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5.xml" ContentType="application/vnd.openxmlformats-officedocument.wordprocessingml.header+xml"/>
  <Override PartName="/word/footer8.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30.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0DD9C" w14:textId="5142B902" w:rsidR="00056EC4" w:rsidRPr="00F45F11" w:rsidRDefault="00B50CDA" w:rsidP="00541B81">
      <w:pPr>
        <w:pStyle w:val="ARBodynospace"/>
      </w:pPr>
      <w:r>
        <w:t xml:space="preserve"> </w:t>
      </w:r>
    </w:p>
    <w:p w14:paraId="55128396" w14:textId="5D39025D" w:rsidR="00595C2A" w:rsidRPr="00F45F11" w:rsidRDefault="004753FD" w:rsidP="00431F42">
      <w:pPr>
        <w:pStyle w:val="Documenttitle"/>
      </w:pPr>
      <w:r>
        <w:rPr>
          <w:noProof/>
        </w:rPr>
        <w:drawing>
          <wp:anchor distT="0" distB="0" distL="114300" distR="114300" simplePos="0" relativeHeight="251658240" behindDoc="0" locked="1" layoutInCell="1" allowOverlap="1" wp14:anchorId="6F1C82F3" wp14:editId="1394FC6B">
            <wp:simplePos x="0" y="0"/>
            <wp:positionH relativeFrom="page">
              <wp:align>left</wp:align>
            </wp:positionH>
            <wp:positionV relativeFrom="page">
              <wp:align>top</wp:align>
            </wp:positionV>
            <wp:extent cx="7560000" cy="10688400"/>
            <wp:effectExtent l="0" t="0" r="3175" b="0"/>
            <wp:wrapNone/>
            <wp:docPr id="437806963" name="Picture 8" descr="Department of Families, Fairness and Housing Annual Report 2025–26&#10;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806963" name="Picture 8" descr="Department of Families, Fairness and Housing Annual Report 2025–26&#10;Victoria State Government, Families Fairness and Housing"/>
                    <pic:cNvPicPr/>
                  </pic:nvPicPr>
                  <pic:blipFill>
                    <a:blip r:embed="rId11" cstate="screen">
                      <a:extLst>
                        <a:ext uri="{28A0092B-C50C-407E-A947-70E740481C1C}">
                          <a14:useLocalDpi xmlns:a14="http://schemas.microsoft.com/office/drawing/2010/main"/>
                        </a:ext>
                      </a:extLst>
                    </a:blip>
                    <a:stretch>
                      <a:fillRect/>
                    </a:stretch>
                  </pic:blipFill>
                  <pic:spPr>
                    <a:xfrm>
                      <a:off x="0" y="0"/>
                      <a:ext cx="7560000" cy="10688400"/>
                    </a:xfrm>
                    <a:prstGeom prst="rect">
                      <a:avLst/>
                    </a:prstGeom>
                  </pic:spPr>
                </pic:pic>
              </a:graphicData>
            </a:graphic>
            <wp14:sizeRelH relativeFrom="margin">
              <wp14:pctWidth>0</wp14:pctWidth>
            </wp14:sizeRelH>
            <wp14:sizeRelV relativeFrom="margin">
              <wp14:pctHeight>0</wp14:pctHeight>
            </wp14:sizeRelV>
          </wp:anchor>
        </w:drawing>
      </w:r>
      <w:r w:rsidR="00D3003E" w:rsidRPr="00F45F11">
        <w:t>D</w:t>
      </w:r>
      <w:r w:rsidR="00A62AE5" w:rsidRPr="00E100C7">
        <w:t xml:space="preserve">epartment of </w:t>
      </w:r>
      <w:r w:rsidR="00D3003E" w:rsidRPr="00F45F11">
        <w:t>F</w:t>
      </w:r>
      <w:r w:rsidR="00A62AE5" w:rsidRPr="00F45F11">
        <w:t xml:space="preserve">amilies, </w:t>
      </w:r>
      <w:r w:rsidR="00D3003E" w:rsidRPr="00F45F11">
        <w:t>F</w:t>
      </w:r>
      <w:r w:rsidR="00A62AE5" w:rsidRPr="00F45F11">
        <w:t xml:space="preserve">airness and </w:t>
      </w:r>
      <w:r w:rsidR="00D3003E" w:rsidRPr="00F45F11">
        <w:t>H</w:t>
      </w:r>
      <w:r w:rsidR="00A62AE5" w:rsidRPr="00F45F11">
        <w:t>ousing</w:t>
      </w:r>
      <w:r w:rsidR="00D3003E" w:rsidRPr="00F45F11">
        <w:t xml:space="preserve"> </w:t>
      </w:r>
      <w:r w:rsidR="00A62AE5" w:rsidRPr="00F45F11">
        <w:t>a</w:t>
      </w:r>
      <w:r w:rsidR="00D3003E" w:rsidRPr="00F45F11">
        <w:t xml:space="preserve">nnual </w:t>
      </w:r>
      <w:r w:rsidR="00A62AE5" w:rsidRPr="00F45F11">
        <w:t>r</w:t>
      </w:r>
      <w:r w:rsidR="00D3003E" w:rsidRPr="00F45F11">
        <w:t>eport 2025</w:t>
      </w:r>
      <w:r w:rsidR="00E23AAF" w:rsidRPr="00F45F11">
        <w:t>–</w:t>
      </w:r>
      <w:r w:rsidR="00D3003E" w:rsidRPr="00F45F11">
        <w:t>26</w:t>
      </w:r>
    </w:p>
    <w:p w14:paraId="72D38C86" w14:textId="77777777" w:rsidR="00B30CC7" w:rsidRPr="00F45F11" w:rsidRDefault="00B30CC7" w:rsidP="00431F42">
      <w:pPr>
        <w:pStyle w:val="Documenttitle"/>
      </w:pPr>
    </w:p>
    <w:p w14:paraId="028D755E" w14:textId="3BA271AC" w:rsidR="00FE4081" w:rsidRPr="00F45F11" w:rsidRDefault="006F7004" w:rsidP="000E348D">
      <w:pPr>
        <w:pStyle w:val="Documentsubtitle"/>
        <w:sectPr w:rsidR="00FE4081" w:rsidRPr="00F45F11" w:rsidSect="00E7077C">
          <w:footerReference w:type="even" r:id="rId12"/>
          <w:footerReference w:type="default" r:id="rId13"/>
          <w:type w:val="continuous"/>
          <w:pgSz w:w="11906" w:h="16838" w:code="9"/>
          <w:pgMar w:top="1588" w:right="1134" w:bottom="851" w:left="1134" w:header="680" w:footer="567" w:gutter="0"/>
          <w:cols w:space="340"/>
          <w:titlePg/>
          <w:docGrid w:linePitch="360"/>
        </w:sectPr>
      </w:pPr>
      <w:r w:rsidRPr="00F45F11">
        <w:br/>
      </w:r>
    </w:p>
    <w:p w14:paraId="6818AE47" w14:textId="77777777" w:rsidR="001F2AF6" w:rsidRPr="00F45F11" w:rsidRDefault="001F2AF6" w:rsidP="00497062">
      <w:pPr>
        <w:pStyle w:val="ARBody"/>
        <w:rPr>
          <w:rStyle w:val="Strong"/>
        </w:rPr>
      </w:pPr>
      <w:bookmarkStart w:id="0" w:name="Page2"/>
      <w:bookmarkStart w:id="1" w:name="_Ref178664362"/>
      <w:bookmarkStart w:id="2" w:name="_Toc212039503"/>
      <w:r w:rsidRPr="00F45F11">
        <w:rPr>
          <w:rStyle w:val="Strong"/>
        </w:rPr>
        <w:lastRenderedPageBreak/>
        <w:t xml:space="preserve">The department proudly acknowledges </w:t>
      </w:r>
      <w:bookmarkEnd w:id="0"/>
      <w:r w:rsidRPr="00F45F11">
        <w:rPr>
          <w:rStyle w:val="Strong"/>
        </w:rPr>
        <w:t>Victoria’s Aboriginal communities and their rich culture and pays respect to their Elders past and present.</w:t>
      </w:r>
    </w:p>
    <w:p w14:paraId="15E2C7B7" w14:textId="77777777" w:rsidR="001F2AF6" w:rsidRPr="00F45F11" w:rsidRDefault="001F2AF6" w:rsidP="00497062">
      <w:pPr>
        <w:pStyle w:val="ARBody"/>
        <w:rPr>
          <w:rStyle w:val="Strong"/>
        </w:rPr>
      </w:pPr>
      <w:r w:rsidRPr="00F45F11">
        <w:rPr>
          <w:rStyle w:val="Strong"/>
        </w:rPr>
        <w:t>We acknowledge Aboriginal people as Australia’s First Peoples and as the Traditional Owners and custodians of the land and water on which we rely.</w:t>
      </w:r>
    </w:p>
    <w:p w14:paraId="38147CDD" w14:textId="06944CF6" w:rsidR="001F2AF6" w:rsidRPr="00F45F11" w:rsidRDefault="001F2AF6" w:rsidP="00497062">
      <w:pPr>
        <w:pStyle w:val="ARBody"/>
        <w:rPr>
          <w:rStyle w:val="Strong"/>
        </w:rPr>
      </w:pPr>
      <w:r w:rsidRPr="00F45F11">
        <w:rPr>
          <w:rStyle w:val="Strong"/>
        </w:rPr>
        <w:t>We recognise and value the ongoing contribution of Aboriginal people and communities to</w:t>
      </w:r>
      <w:r w:rsidR="008414D6">
        <w:rPr>
          <w:rStyle w:val="Strong"/>
        </w:rPr>
        <w:t> </w:t>
      </w:r>
      <w:r w:rsidRPr="00F45F11">
        <w:rPr>
          <w:rStyle w:val="Strong"/>
        </w:rPr>
        <w:t>Victorian life and how this enriches us.</w:t>
      </w:r>
    </w:p>
    <w:p w14:paraId="05070BC5" w14:textId="77777777" w:rsidR="001F2AF6" w:rsidRPr="00F45F11" w:rsidRDefault="001F2AF6" w:rsidP="00497062">
      <w:pPr>
        <w:pStyle w:val="ARBody"/>
        <w:rPr>
          <w:rStyle w:val="Strong"/>
          <w:b w:val="0"/>
          <w:bCs w:val="0"/>
        </w:rPr>
      </w:pPr>
      <w:r w:rsidRPr="00F45F11">
        <w:rPr>
          <w:rStyle w:val="Strong"/>
        </w:rPr>
        <w:t>We embrace the spirit of reconciliation, working towards the equality of outcomes and ensuring an equal voice.</w:t>
      </w:r>
    </w:p>
    <w:p w14:paraId="7A5B441A" w14:textId="77777777" w:rsidR="001F2AF6" w:rsidRPr="00F45F11" w:rsidRDefault="001F2AF6" w:rsidP="001F2AF6">
      <w:pPr>
        <w:pStyle w:val="ARaccessibilitypara"/>
        <w:spacing w:before="1600"/>
      </w:pPr>
      <w:r w:rsidRPr="00F45F11">
        <w:t xml:space="preserve">Contact us to receive this document in another format. Please email </w:t>
      </w:r>
      <w:hyperlink r:id="rId14" w:history="1">
        <w:r w:rsidRPr="00F45F11">
          <w:rPr>
            <w:rStyle w:val="Hyperlink"/>
          </w:rPr>
          <w:t>DFFHcorporate.reporting@dffh.vic.gov.au</w:t>
        </w:r>
      </w:hyperlink>
    </w:p>
    <w:p w14:paraId="1A509AD9" w14:textId="77777777" w:rsidR="001F2AF6" w:rsidRPr="00F45F11" w:rsidRDefault="001F2AF6" w:rsidP="00497062">
      <w:pPr>
        <w:pStyle w:val="ARBody"/>
      </w:pPr>
      <w:r w:rsidRPr="00F45F11">
        <w:t>Authorised and published by the Victorian Government, 1 Treasury Place, Melbourne.</w:t>
      </w:r>
    </w:p>
    <w:p w14:paraId="215144FC" w14:textId="77777777" w:rsidR="001F2AF6" w:rsidRPr="00F45F11" w:rsidRDefault="001F2AF6" w:rsidP="00497062">
      <w:pPr>
        <w:pStyle w:val="ARBody"/>
      </w:pPr>
      <w:r w:rsidRPr="00F45F11">
        <w:t xml:space="preserve">© State of Victoria, Australia (Department of Family, Fairness </w:t>
      </w:r>
      <w:r w:rsidRPr="002F6CC4">
        <w:t>and Housing), October 2026.</w:t>
      </w:r>
    </w:p>
    <w:p w14:paraId="45D03C55" w14:textId="77777777" w:rsidR="001F2AF6" w:rsidRPr="00F45F11" w:rsidRDefault="001F2AF6" w:rsidP="00497062">
      <w:pPr>
        <w:pStyle w:val="ARBody"/>
        <w:rPr>
          <w:highlight w:val="cyan"/>
        </w:rPr>
      </w:pPr>
      <w:r w:rsidRPr="00F45F11">
        <w:rPr>
          <w:noProof/>
          <w:highlight w:val="cyan"/>
          <w:lang w:eastAsia="en-AU" w:bidi="as-IN"/>
        </w:rPr>
        <w:drawing>
          <wp:inline distT="0" distB="0" distL="0" distR="0" wp14:anchorId="252C3E80" wp14:editId="60EB15AF">
            <wp:extent cx="1233170" cy="425450"/>
            <wp:effectExtent l="0" t="0" r="5080" b="0"/>
            <wp:docPr id="1095398416" name="Picture 1"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5" cstate="screen">
                      <a:extLst>
                        <a:ext uri="{28A0092B-C50C-407E-A947-70E740481C1C}">
                          <a14:useLocalDpi xmlns:a14="http://schemas.microsoft.com/office/drawing/2010/main"/>
                        </a:ext>
                      </a:extLst>
                    </a:blip>
                    <a:stretch>
                      <a:fillRect/>
                    </a:stretch>
                  </pic:blipFill>
                  <pic:spPr>
                    <a:xfrm>
                      <a:off x="0" y="0"/>
                      <a:ext cx="1233170" cy="425450"/>
                    </a:xfrm>
                    <a:prstGeom prst="rect">
                      <a:avLst/>
                    </a:prstGeom>
                  </pic:spPr>
                </pic:pic>
              </a:graphicData>
            </a:graphic>
          </wp:inline>
        </w:drawing>
      </w:r>
    </w:p>
    <w:p w14:paraId="60A758FA" w14:textId="5FF8FD90" w:rsidR="001F2AF6" w:rsidRPr="00F45F11" w:rsidRDefault="001F2AF6" w:rsidP="00497062">
      <w:pPr>
        <w:pStyle w:val="ARBody"/>
      </w:pPr>
      <w:bookmarkStart w:id="3" w:name="Standingdirection"/>
      <w:r w:rsidRPr="00F45F11">
        <w:t>With the exception of any images, photographs or branding (including, but not limited to the Victorian Coat of</w:t>
      </w:r>
      <w:r w:rsidR="00DC2218">
        <w:t> </w:t>
      </w:r>
      <w:r w:rsidRPr="00F45F11">
        <w:t>Arms, the Victorian Government logo or the Department of Families, Fairness and Housing logo), this work,</w:t>
      </w:r>
      <w:r w:rsidRPr="00A124D1">
        <w:rPr>
          <w:rStyle w:val="Emphasis"/>
        </w:rPr>
        <w:t xml:space="preserve"> Department of Families, Fairness and Housing Annual Report 2025–26,</w:t>
      </w:r>
      <w:r w:rsidRPr="00F45F11">
        <w:t xml:space="preserve"> is licensed under a Creative Commons Attribution 4.0 licence.</w:t>
      </w:r>
    </w:p>
    <w:p w14:paraId="0F0D4F55" w14:textId="77777777" w:rsidR="001F2AF6" w:rsidRPr="00F45F11" w:rsidRDefault="001F2AF6" w:rsidP="00497062">
      <w:pPr>
        <w:pStyle w:val="ARBody"/>
      </w:pPr>
      <w:r w:rsidRPr="00F45F11">
        <w:t xml:space="preserve">Consistent with the </w:t>
      </w:r>
      <w:proofErr w:type="spellStart"/>
      <w:r w:rsidRPr="00F45F11">
        <w:t>DataVic</w:t>
      </w:r>
      <w:proofErr w:type="spellEnd"/>
      <w:r w:rsidRPr="00F45F11">
        <w:t xml:space="preserve"> access policy, the information included in tables in this annual report will be available in machine-readable format from the </w:t>
      </w:r>
      <w:proofErr w:type="spellStart"/>
      <w:r w:rsidRPr="00F45F11">
        <w:t>DataVic</w:t>
      </w:r>
      <w:proofErr w:type="spellEnd"/>
      <w:r w:rsidRPr="00F45F11">
        <w:t xml:space="preserve"> website.</w:t>
      </w:r>
    </w:p>
    <w:p w14:paraId="0CA9218F" w14:textId="77777777" w:rsidR="001F2AF6" w:rsidRPr="00F45F11" w:rsidRDefault="001F2AF6" w:rsidP="00497062">
      <w:pPr>
        <w:pStyle w:val="ARBody"/>
        <w:rPr>
          <w:highlight w:val="cyan"/>
        </w:rPr>
      </w:pPr>
      <w:r w:rsidRPr="00F45F11">
        <w:t xml:space="preserve">The terms and conditions of this licence, including disclaimer of warranties and limitation of liability, are available at </w:t>
      </w:r>
      <w:hyperlink r:id="rId16" w:history="1">
        <w:r w:rsidRPr="00F45F11">
          <w:rPr>
            <w:rStyle w:val="Hyperlink"/>
          </w:rPr>
          <w:t>Creative Commons Attribution 4.0 International</w:t>
        </w:r>
      </w:hyperlink>
      <w:r w:rsidRPr="00F45F11">
        <w:rPr>
          <w:rStyle w:val="FootnoteReference"/>
        </w:rPr>
        <w:footnoteReference w:id="2"/>
      </w:r>
      <w:r w:rsidRPr="00F45F11">
        <w:t>.</w:t>
      </w:r>
    </w:p>
    <w:p w14:paraId="4F792ED5" w14:textId="0649A126" w:rsidR="001F2AF6" w:rsidRPr="00F45F11" w:rsidRDefault="001F2AF6" w:rsidP="00497062">
      <w:pPr>
        <w:pStyle w:val="ARBody"/>
      </w:pPr>
      <w:r w:rsidRPr="00F45F11">
        <w:t>You are free to reuse the work under that licence, on the condition that you credit the State of Victoria, Australia (Department of Families, Fairness and Housing) as the author and/or owner of the work, indicate if</w:t>
      </w:r>
      <w:r w:rsidR="00DC2218">
        <w:t> </w:t>
      </w:r>
      <w:r w:rsidRPr="00F45F11">
        <w:t>any changes have been made to the work and comply with the other licence terms.</w:t>
      </w:r>
    </w:p>
    <w:p w14:paraId="770690F2" w14:textId="77777777" w:rsidR="001F2AF6" w:rsidRPr="00F45F11" w:rsidRDefault="001F2AF6" w:rsidP="00497062">
      <w:pPr>
        <w:pStyle w:val="ARBody"/>
      </w:pPr>
      <w:r w:rsidRPr="00F45F11">
        <w:t>In this document, ‘Aboriginal’ refers to both Aboriginal and Torres Strait Islander people. ‘Indigenous’ or ‘Koori/Koorie’ is retained when part of the title of a report, program or quotation.</w:t>
      </w:r>
    </w:p>
    <w:p w14:paraId="51F37F83" w14:textId="77777777" w:rsidR="001F2AF6" w:rsidRPr="00F45F11" w:rsidRDefault="001F2AF6" w:rsidP="00497062">
      <w:pPr>
        <w:pStyle w:val="ARBody"/>
      </w:pPr>
      <w:r w:rsidRPr="00F45F11">
        <w:t>ISSN 2653-1976 – Online (pdf/word) (2607616)</w:t>
      </w:r>
    </w:p>
    <w:p w14:paraId="056F9824" w14:textId="77777777" w:rsidR="001F2AF6" w:rsidRPr="00F45F11" w:rsidRDefault="001F2AF6" w:rsidP="00497062">
      <w:pPr>
        <w:pStyle w:val="ARBody"/>
      </w:pPr>
      <w:r w:rsidRPr="002F6CC4">
        <w:rPr>
          <w:szCs w:val="19"/>
        </w:rPr>
        <w:t xml:space="preserve">Available at </w:t>
      </w:r>
      <w:hyperlink r:id="rId17" w:history="1">
        <w:r w:rsidRPr="002F6CC4">
          <w:rPr>
            <w:rStyle w:val="Hyperlink"/>
          </w:rPr>
          <w:t>Department of Families, Fairness and Housing Services annual reports</w:t>
        </w:r>
      </w:hyperlink>
      <w:r w:rsidRPr="002F6CC4">
        <w:t>.</w:t>
      </w:r>
      <w:r w:rsidRPr="002F6CC4">
        <w:rPr>
          <w:rStyle w:val="FootnoteReference"/>
        </w:rPr>
        <w:footnoteReference w:id="3"/>
      </w:r>
      <w:r w:rsidRPr="00F45F11">
        <w:rPr>
          <w:szCs w:val="19"/>
        </w:rPr>
        <w:t xml:space="preserve"> </w:t>
      </w:r>
    </w:p>
    <w:bookmarkEnd w:id="3"/>
    <w:p w14:paraId="696D355C" w14:textId="32F37C0D" w:rsidR="001F2AF6" w:rsidRPr="00F45F11" w:rsidRDefault="001F2AF6" w:rsidP="00497062">
      <w:pPr>
        <w:pStyle w:val="ARBody"/>
      </w:pPr>
      <w:r w:rsidRPr="00F45F11">
        <w:br w:type="page"/>
      </w:r>
    </w:p>
    <w:p w14:paraId="701B80C4" w14:textId="77777777" w:rsidR="00C2644A" w:rsidRPr="00F45F11" w:rsidRDefault="00C2644A">
      <w:pPr>
        <w:pStyle w:val="Heading1"/>
        <w:spacing w:after="480"/>
      </w:pPr>
      <w:bookmarkStart w:id="4" w:name="_Responsible_body’s_declaration"/>
      <w:bookmarkStart w:id="5" w:name="_Toc181101476"/>
      <w:bookmarkStart w:id="6" w:name="_Toc241131680"/>
      <w:bookmarkEnd w:id="1"/>
      <w:bookmarkEnd w:id="2"/>
      <w:bookmarkEnd w:id="4"/>
      <w:r w:rsidRPr="00F45F11">
        <w:lastRenderedPageBreak/>
        <w:t>Responsible body’s declaration</w:t>
      </w:r>
      <w:bookmarkEnd w:id="5"/>
      <w:bookmarkEnd w:id="6"/>
      <w:r w:rsidRPr="00F45F11">
        <w:t xml:space="preserve"> </w:t>
      </w:r>
    </w:p>
    <w:p w14:paraId="6A27D0DE" w14:textId="77F23FCA" w:rsidR="00C2644A" w:rsidRPr="00F45F11" w:rsidRDefault="00C2644A" w:rsidP="00497062">
      <w:pPr>
        <w:pStyle w:val="ARBody"/>
      </w:pPr>
      <w:r w:rsidRPr="00F45F11">
        <w:t xml:space="preserve">In accordance with the </w:t>
      </w:r>
      <w:r w:rsidRPr="00A124D1">
        <w:rPr>
          <w:rStyle w:val="Emphasis"/>
        </w:rPr>
        <w:t xml:space="preserve">Financial Management Act 1994, </w:t>
      </w:r>
      <w:r w:rsidRPr="00F45F11">
        <w:t xml:space="preserve">I am pleased to present the </w:t>
      </w:r>
      <w:r w:rsidR="00936018">
        <w:br/>
      </w:r>
      <w:r w:rsidRPr="00F45F11">
        <w:t xml:space="preserve">Department of Families, Fairness and Housing </w:t>
      </w:r>
      <w:r w:rsidR="009709D2" w:rsidRPr="00F45F11">
        <w:t>a</w:t>
      </w:r>
      <w:r w:rsidRPr="00F45F11">
        <w:t xml:space="preserve">nnual </w:t>
      </w:r>
      <w:r w:rsidR="009709D2" w:rsidRPr="00F45F11">
        <w:t>r</w:t>
      </w:r>
      <w:r w:rsidRPr="00F45F11">
        <w:t>eport for the year ending 30 June 2026.</w:t>
      </w:r>
    </w:p>
    <w:p w14:paraId="44515E9D" w14:textId="4C18E0A9" w:rsidR="00C2644A" w:rsidRPr="00F45F11" w:rsidRDefault="00AC051F" w:rsidP="00CC4ED7">
      <w:pPr>
        <w:pStyle w:val="ARBody"/>
        <w:spacing w:before="720"/>
      </w:pPr>
      <w:r>
        <w:rPr>
          <w:noProof/>
        </w:rPr>
        <w:drawing>
          <wp:inline distT="0" distB="0" distL="0" distR="0" wp14:anchorId="44F1868A" wp14:editId="205D1B89">
            <wp:extent cx="2087734" cy="659805"/>
            <wp:effectExtent l="0" t="0" r="8255" b="6985"/>
            <wp:docPr id="683577177" name="Picture 11" descr="Signature&#10;Peta McCammon PSM&#10;Secretary&#10;Department of Families, Fairness and Hous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577177" name="Picture 11" descr="Signature&#10;Peta McCammon PSM&#10;Secretary&#10;Department of Families, Fairness and Housing&#10;"/>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2094553" cy="661960"/>
                    </a:xfrm>
                    <a:prstGeom prst="rect">
                      <a:avLst/>
                    </a:prstGeom>
                    <a:noFill/>
                    <a:ln>
                      <a:noFill/>
                    </a:ln>
                  </pic:spPr>
                </pic:pic>
              </a:graphicData>
            </a:graphic>
          </wp:inline>
        </w:drawing>
      </w:r>
    </w:p>
    <w:p w14:paraId="00A77B31" w14:textId="5ED8278F" w:rsidR="00C2644A" w:rsidRPr="00F45F11" w:rsidRDefault="00C2644A" w:rsidP="00376783">
      <w:pPr>
        <w:pStyle w:val="ARBodynospace"/>
        <w:rPr>
          <w:rStyle w:val="Strong"/>
        </w:rPr>
      </w:pPr>
      <w:r w:rsidRPr="00F45F11">
        <w:rPr>
          <w:rStyle w:val="Strong"/>
        </w:rPr>
        <w:t>Peta McCammon</w:t>
      </w:r>
      <w:r w:rsidR="1CD1E787" w:rsidRPr="729F27F5">
        <w:rPr>
          <w:rStyle w:val="Strong"/>
        </w:rPr>
        <w:t xml:space="preserve"> PSM</w:t>
      </w:r>
    </w:p>
    <w:p w14:paraId="342DA539" w14:textId="77777777" w:rsidR="00C2644A" w:rsidRPr="00F45F11" w:rsidRDefault="00C2644A" w:rsidP="00376783">
      <w:pPr>
        <w:pStyle w:val="ARBodynospace"/>
      </w:pPr>
      <w:r w:rsidRPr="00F45F11">
        <w:t>Secretary</w:t>
      </w:r>
    </w:p>
    <w:p w14:paraId="56284BCE" w14:textId="77777777" w:rsidR="00C2644A" w:rsidRPr="00F45F11" w:rsidRDefault="00C2644A" w:rsidP="00376783">
      <w:pPr>
        <w:pStyle w:val="ARBodynospace"/>
      </w:pPr>
      <w:r w:rsidRPr="00F45F11">
        <w:t>Department of Families, Fairness and Housing</w:t>
      </w:r>
    </w:p>
    <w:p w14:paraId="46EF888F" w14:textId="1626DFF7" w:rsidR="00C92099" w:rsidRPr="00F45F11" w:rsidRDefault="009613D5" w:rsidP="00497062">
      <w:pPr>
        <w:pStyle w:val="ARBody"/>
      </w:pPr>
      <w:r>
        <w:t>9</w:t>
      </w:r>
      <w:r w:rsidR="00C2644A" w:rsidRPr="00F45F11">
        <w:t xml:space="preserve"> October 2026</w:t>
      </w:r>
      <w:r w:rsidR="00C92099" w:rsidRPr="00F45F11">
        <w:br w:type="page"/>
      </w:r>
    </w:p>
    <w:p w14:paraId="6E56BCAD" w14:textId="1F597EE5" w:rsidR="00595C2A" w:rsidRPr="00F45F11" w:rsidRDefault="00595C2A" w:rsidP="00EE0413">
      <w:pPr>
        <w:pStyle w:val="ARTOCheading"/>
      </w:pPr>
      <w:r w:rsidRPr="00F45F11">
        <w:lastRenderedPageBreak/>
        <w:t>Contents</w:t>
      </w:r>
    </w:p>
    <w:p w14:paraId="5471EB3F" w14:textId="0DBA1726" w:rsidR="00652C2F" w:rsidRDefault="00305D03">
      <w:pPr>
        <w:pStyle w:val="TOC1"/>
        <w:rPr>
          <w:rFonts w:asciiTheme="minorHAnsi" w:eastAsiaTheme="minorEastAsia" w:hAnsiTheme="minorHAnsi" w:cstheme="minorBidi"/>
          <w:b w:val="0"/>
          <w:kern w:val="2"/>
          <w:sz w:val="24"/>
          <w:szCs w:val="24"/>
          <w:lang w:eastAsia="en-AU"/>
          <w14:ligatures w14:val="standardContextual"/>
        </w:rPr>
      </w:pPr>
      <w:r w:rsidRPr="000E348D">
        <w:fldChar w:fldCharType="begin"/>
      </w:r>
      <w:r w:rsidRPr="00F45F11">
        <w:instrText xml:space="preserve"> TOC \h \z \t "Heading 1,1,Heading 2,2" </w:instrText>
      </w:r>
      <w:r w:rsidRPr="000E348D">
        <w:fldChar w:fldCharType="separate"/>
      </w:r>
      <w:hyperlink w:anchor="_Toc241131680" w:history="1">
        <w:r w:rsidR="00652C2F" w:rsidRPr="00775261">
          <w:rPr>
            <w:rStyle w:val="Hyperlink"/>
          </w:rPr>
          <w:t>Responsible body’s declaration</w:t>
        </w:r>
        <w:r w:rsidR="00652C2F">
          <w:rPr>
            <w:webHidden/>
          </w:rPr>
          <w:tab/>
        </w:r>
        <w:r w:rsidR="00652C2F">
          <w:rPr>
            <w:webHidden/>
          </w:rPr>
          <w:fldChar w:fldCharType="begin"/>
        </w:r>
        <w:r w:rsidR="00652C2F">
          <w:rPr>
            <w:webHidden/>
          </w:rPr>
          <w:instrText xml:space="preserve"> PAGEREF _Toc241131680 \h </w:instrText>
        </w:r>
        <w:r w:rsidR="00652C2F">
          <w:rPr>
            <w:webHidden/>
          </w:rPr>
        </w:r>
        <w:r w:rsidR="00652C2F">
          <w:rPr>
            <w:webHidden/>
          </w:rPr>
          <w:fldChar w:fldCharType="separate"/>
        </w:r>
        <w:r w:rsidR="00756D2C">
          <w:rPr>
            <w:webHidden/>
          </w:rPr>
          <w:t>3</w:t>
        </w:r>
        <w:r w:rsidR="00652C2F">
          <w:rPr>
            <w:webHidden/>
          </w:rPr>
          <w:fldChar w:fldCharType="end"/>
        </w:r>
      </w:hyperlink>
    </w:p>
    <w:p w14:paraId="315ABEB5" w14:textId="7EDE3BB2" w:rsidR="00652C2F" w:rsidRDefault="00652C2F">
      <w:pPr>
        <w:pStyle w:val="TOC1"/>
        <w:rPr>
          <w:rFonts w:asciiTheme="minorHAnsi" w:eastAsiaTheme="minorEastAsia" w:hAnsiTheme="minorHAnsi" w:cstheme="minorBidi"/>
          <w:b w:val="0"/>
          <w:kern w:val="2"/>
          <w:sz w:val="24"/>
          <w:szCs w:val="24"/>
          <w:lang w:eastAsia="en-AU"/>
          <w14:ligatures w14:val="standardContextual"/>
        </w:rPr>
      </w:pPr>
      <w:hyperlink w:anchor="_Toc241131681" w:history="1">
        <w:r w:rsidRPr="00775261">
          <w:rPr>
            <w:rStyle w:val="Hyperlink"/>
          </w:rPr>
          <w:t>Section 1: About the department</w:t>
        </w:r>
        <w:r>
          <w:rPr>
            <w:webHidden/>
          </w:rPr>
          <w:tab/>
        </w:r>
        <w:r>
          <w:rPr>
            <w:webHidden/>
          </w:rPr>
          <w:fldChar w:fldCharType="begin"/>
        </w:r>
        <w:r>
          <w:rPr>
            <w:webHidden/>
          </w:rPr>
          <w:instrText xml:space="preserve"> PAGEREF _Toc241131681 \h </w:instrText>
        </w:r>
        <w:r>
          <w:rPr>
            <w:webHidden/>
          </w:rPr>
        </w:r>
        <w:r>
          <w:rPr>
            <w:webHidden/>
          </w:rPr>
          <w:fldChar w:fldCharType="separate"/>
        </w:r>
        <w:r w:rsidR="00756D2C">
          <w:rPr>
            <w:webHidden/>
          </w:rPr>
          <w:t>6</w:t>
        </w:r>
        <w:r>
          <w:rPr>
            <w:webHidden/>
          </w:rPr>
          <w:fldChar w:fldCharType="end"/>
        </w:r>
      </w:hyperlink>
    </w:p>
    <w:p w14:paraId="0152F209" w14:textId="0E7B8D5D"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682" w:history="1">
        <w:r w:rsidRPr="00775261">
          <w:rPr>
            <w:rStyle w:val="Hyperlink"/>
            <w:rFonts w:eastAsia="Times"/>
          </w:rPr>
          <w:t>Secretary’s foreword</w:t>
        </w:r>
        <w:r>
          <w:rPr>
            <w:webHidden/>
          </w:rPr>
          <w:tab/>
        </w:r>
        <w:r>
          <w:rPr>
            <w:webHidden/>
          </w:rPr>
          <w:fldChar w:fldCharType="begin"/>
        </w:r>
        <w:r>
          <w:rPr>
            <w:webHidden/>
          </w:rPr>
          <w:instrText xml:space="preserve"> PAGEREF _Toc241131682 \h </w:instrText>
        </w:r>
        <w:r>
          <w:rPr>
            <w:webHidden/>
          </w:rPr>
        </w:r>
        <w:r>
          <w:rPr>
            <w:webHidden/>
          </w:rPr>
          <w:fldChar w:fldCharType="separate"/>
        </w:r>
        <w:r w:rsidR="00756D2C">
          <w:rPr>
            <w:webHidden/>
          </w:rPr>
          <w:t>6</w:t>
        </w:r>
        <w:r>
          <w:rPr>
            <w:webHidden/>
          </w:rPr>
          <w:fldChar w:fldCharType="end"/>
        </w:r>
      </w:hyperlink>
    </w:p>
    <w:p w14:paraId="661BF34C" w14:textId="3083EE5A"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683" w:history="1">
        <w:r w:rsidRPr="00775261">
          <w:rPr>
            <w:rStyle w:val="Hyperlink"/>
          </w:rPr>
          <w:t>Acknowledgement of First Peoples</w:t>
        </w:r>
        <w:r>
          <w:rPr>
            <w:webHidden/>
          </w:rPr>
          <w:tab/>
        </w:r>
        <w:r>
          <w:rPr>
            <w:webHidden/>
          </w:rPr>
          <w:fldChar w:fldCharType="begin"/>
        </w:r>
        <w:r>
          <w:rPr>
            <w:webHidden/>
          </w:rPr>
          <w:instrText xml:space="preserve"> PAGEREF _Toc241131683 \h </w:instrText>
        </w:r>
        <w:r>
          <w:rPr>
            <w:webHidden/>
          </w:rPr>
        </w:r>
        <w:r>
          <w:rPr>
            <w:webHidden/>
          </w:rPr>
          <w:fldChar w:fldCharType="separate"/>
        </w:r>
        <w:r w:rsidR="00756D2C">
          <w:rPr>
            <w:webHidden/>
          </w:rPr>
          <w:t>9</w:t>
        </w:r>
        <w:r>
          <w:rPr>
            <w:webHidden/>
          </w:rPr>
          <w:fldChar w:fldCharType="end"/>
        </w:r>
      </w:hyperlink>
    </w:p>
    <w:p w14:paraId="59519502" w14:textId="687586F9"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684" w:history="1">
        <w:r w:rsidRPr="00775261">
          <w:rPr>
            <w:rStyle w:val="Hyperlink"/>
          </w:rPr>
          <w:t>Our vision</w:t>
        </w:r>
        <w:r>
          <w:rPr>
            <w:webHidden/>
          </w:rPr>
          <w:tab/>
        </w:r>
        <w:r>
          <w:rPr>
            <w:webHidden/>
          </w:rPr>
          <w:fldChar w:fldCharType="begin"/>
        </w:r>
        <w:r>
          <w:rPr>
            <w:webHidden/>
          </w:rPr>
          <w:instrText xml:space="preserve"> PAGEREF _Toc241131684 \h </w:instrText>
        </w:r>
        <w:r>
          <w:rPr>
            <w:webHidden/>
          </w:rPr>
        </w:r>
        <w:r>
          <w:rPr>
            <w:webHidden/>
          </w:rPr>
          <w:fldChar w:fldCharType="separate"/>
        </w:r>
        <w:r w:rsidR="00756D2C">
          <w:rPr>
            <w:webHidden/>
          </w:rPr>
          <w:t>10</w:t>
        </w:r>
        <w:r>
          <w:rPr>
            <w:webHidden/>
          </w:rPr>
          <w:fldChar w:fldCharType="end"/>
        </w:r>
      </w:hyperlink>
    </w:p>
    <w:p w14:paraId="29CE5055" w14:textId="3182449E"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685" w:history="1">
        <w:r w:rsidRPr="00775261">
          <w:rPr>
            <w:rStyle w:val="Hyperlink"/>
          </w:rPr>
          <w:t>How we will achieve it</w:t>
        </w:r>
        <w:r>
          <w:rPr>
            <w:webHidden/>
          </w:rPr>
          <w:tab/>
        </w:r>
        <w:r>
          <w:rPr>
            <w:webHidden/>
          </w:rPr>
          <w:fldChar w:fldCharType="begin"/>
        </w:r>
        <w:r>
          <w:rPr>
            <w:webHidden/>
          </w:rPr>
          <w:instrText xml:space="preserve"> PAGEREF _Toc241131685 \h </w:instrText>
        </w:r>
        <w:r>
          <w:rPr>
            <w:webHidden/>
          </w:rPr>
        </w:r>
        <w:r>
          <w:rPr>
            <w:webHidden/>
          </w:rPr>
          <w:fldChar w:fldCharType="separate"/>
        </w:r>
        <w:r w:rsidR="00756D2C">
          <w:rPr>
            <w:webHidden/>
          </w:rPr>
          <w:t>10</w:t>
        </w:r>
        <w:r>
          <w:rPr>
            <w:webHidden/>
          </w:rPr>
          <w:fldChar w:fldCharType="end"/>
        </w:r>
      </w:hyperlink>
    </w:p>
    <w:p w14:paraId="6AECA837" w14:textId="29AFB28B"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686" w:history="1">
        <w:r w:rsidRPr="00775261">
          <w:rPr>
            <w:rStyle w:val="Hyperlink"/>
          </w:rPr>
          <w:t>Our objectives</w:t>
        </w:r>
        <w:r>
          <w:rPr>
            <w:webHidden/>
          </w:rPr>
          <w:tab/>
        </w:r>
        <w:r>
          <w:rPr>
            <w:webHidden/>
          </w:rPr>
          <w:fldChar w:fldCharType="begin"/>
        </w:r>
        <w:r>
          <w:rPr>
            <w:webHidden/>
          </w:rPr>
          <w:instrText xml:space="preserve"> PAGEREF _Toc241131686 \h </w:instrText>
        </w:r>
        <w:r>
          <w:rPr>
            <w:webHidden/>
          </w:rPr>
        </w:r>
        <w:r>
          <w:rPr>
            <w:webHidden/>
          </w:rPr>
          <w:fldChar w:fldCharType="separate"/>
        </w:r>
        <w:r w:rsidR="00756D2C">
          <w:rPr>
            <w:webHidden/>
          </w:rPr>
          <w:t>10</w:t>
        </w:r>
        <w:r>
          <w:rPr>
            <w:webHidden/>
          </w:rPr>
          <w:fldChar w:fldCharType="end"/>
        </w:r>
      </w:hyperlink>
    </w:p>
    <w:p w14:paraId="13FE2FEF" w14:textId="31EED64D"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687" w:history="1">
        <w:r w:rsidRPr="00775261">
          <w:rPr>
            <w:rStyle w:val="Hyperlink"/>
          </w:rPr>
          <w:t>Our values</w:t>
        </w:r>
        <w:r>
          <w:rPr>
            <w:webHidden/>
          </w:rPr>
          <w:tab/>
        </w:r>
        <w:r>
          <w:rPr>
            <w:webHidden/>
          </w:rPr>
          <w:fldChar w:fldCharType="begin"/>
        </w:r>
        <w:r>
          <w:rPr>
            <w:webHidden/>
          </w:rPr>
          <w:instrText xml:space="preserve"> PAGEREF _Toc241131687 \h </w:instrText>
        </w:r>
        <w:r>
          <w:rPr>
            <w:webHidden/>
          </w:rPr>
        </w:r>
        <w:r>
          <w:rPr>
            <w:webHidden/>
          </w:rPr>
          <w:fldChar w:fldCharType="separate"/>
        </w:r>
        <w:r w:rsidR="00756D2C">
          <w:rPr>
            <w:webHidden/>
          </w:rPr>
          <w:t>10</w:t>
        </w:r>
        <w:r>
          <w:rPr>
            <w:webHidden/>
          </w:rPr>
          <w:fldChar w:fldCharType="end"/>
        </w:r>
      </w:hyperlink>
    </w:p>
    <w:p w14:paraId="1981914F" w14:textId="4094E465"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688" w:history="1">
        <w:r w:rsidRPr="00775261">
          <w:rPr>
            <w:rStyle w:val="Hyperlink"/>
          </w:rPr>
          <w:t>Purpose and functions</w:t>
        </w:r>
        <w:r>
          <w:rPr>
            <w:webHidden/>
          </w:rPr>
          <w:tab/>
        </w:r>
        <w:r>
          <w:rPr>
            <w:webHidden/>
          </w:rPr>
          <w:fldChar w:fldCharType="begin"/>
        </w:r>
        <w:r>
          <w:rPr>
            <w:webHidden/>
          </w:rPr>
          <w:instrText xml:space="preserve"> PAGEREF _Toc241131688 \h </w:instrText>
        </w:r>
        <w:r>
          <w:rPr>
            <w:webHidden/>
          </w:rPr>
        </w:r>
        <w:r>
          <w:rPr>
            <w:webHidden/>
          </w:rPr>
          <w:fldChar w:fldCharType="separate"/>
        </w:r>
        <w:r w:rsidR="00756D2C">
          <w:rPr>
            <w:webHidden/>
          </w:rPr>
          <w:t>12</w:t>
        </w:r>
        <w:r>
          <w:rPr>
            <w:webHidden/>
          </w:rPr>
          <w:fldChar w:fldCharType="end"/>
        </w:r>
      </w:hyperlink>
    </w:p>
    <w:p w14:paraId="1AB040FE" w14:textId="58FA428F"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689" w:history="1">
        <w:r w:rsidRPr="00775261">
          <w:rPr>
            <w:rStyle w:val="Hyperlink"/>
            <w:rFonts w:eastAsia="Times"/>
          </w:rPr>
          <w:t>The department’s ministers</w:t>
        </w:r>
        <w:r>
          <w:rPr>
            <w:webHidden/>
          </w:rPr>
          <w:tab/>
        </w:r>
        <w:r>
          <w:rPr>
            <w:webHidden/>
          </w:rPr>
          <w:fldChar w:fldCharType="begin"/>
        </w:r>
        <w:r>
          <w:rPr>
            <w:webHidden/>
          </w:rPr>
          <w:instrText xml:space="preserve"> PAGEREF _Toc241131689 \h </w:instrText>
        </w:r>
        <w:r>
          <w:rPr>
            <w:webHidden/>
          </w:rPr>
        </w:r>
        <w:r>
          <w:rPr>
            <w:webHidden/>
          </w:rPr>
          <w:fldChar w:fldCharType="separate"/>
        </w:r>
        <w:r w:rsidR="00756D2C">
          <w:rPr>
            <w:webHidden/>
          </w:rPr>
          <w:t>18</w:t>
        </w:r>
        <w:r>
          <w:rPr>
            <w:webHidden/>
          </w:rPr>
          <w:fldChar w:fldCharType="end"/>
        </w:r>
      </w:hyperlink>
    </w:p>
    <w:p w14:paraId="76BA1A13" w14:textId="6D96CF11"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690" w:history="1">
        <w:r w:rsidRPr="00775261">
          <w:rPr>
            <w:rStyle w:val="Hyperlink"/>
          </w:rPr>
          <w:t>The department’s senior executives</w:t>
        </w:r>
        <w:r>
          <w:rPr>
            <w:webHidden/>
          </w:rPr>
          <w:tab/>
        </w:r>
        <w:r>
          <w:rPr>
            <w:webHidden/>
          </w:rPr>
          <w:fldChar w:fldCharType="begin"/>
        </w:r>
        <w:r>
          <w:rPr>
            <w:webHidden/>
          </w:rPr>
          <w:instrText xml:space="preserve"> PAGEREF _Toc241131690 \h </w:instrText>
        </w:r>
        <w:r>
          <w:rPr>
            <w:webHidden/>
          </w:rPr>
        </w:r>
        <w:r>
          <w:rPr>
            <w:webHidden/>
          </w:rPr>
          <w:fldChar w:fldCharType="separate"/>
        </w:r>
        <w:r w:rsidR="00756D2C">
          <w:rPr>
            <w:webHidden/>
          </w:rPr>
          <w:t>20</w:t>
        </w:r>
        <w:r>
          <w:rPr>
            <w:webHidden/>
          </w:rPr>
          <w:fldChar w:fldCharType="end"/>
        </w:r>
      </w:hyperlink>
    </w:p>
    <w:p w14:paraId="5C8747E2" w14:textId="0D8BEE9D"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691" w:history="1">
        <w:r w:rsidRPr="00775261">
          <w:rPr>
            <w:rStyle w:val="Hyperlink"/>
          </w:rPr>
          <w:t>Organisational structure as at 30 June 2026</w:t>
        </w:r>
        <w:r>
          <w:rPr>
            <w:webHidden/>
          </w:rPr>
          <w:tab/>
        </w:r>
        <w:r>
          <w:rPr>
            <w:webHidden/>
          </w:rPr>
          <w:fldChar w:fldCharType="begin"/>
        </w:r>
        <w:r>
          <w:rPr>
            <w:webHidden/>
          </w:rPr>
          <w:instrText xml:space="preserve"> PAGEREF _Toc241131691 \h </w:instrText>
        </w:r>
        <w:r>
          <w:rPr>
            <w:webHidden/>
          </w:rPr>
        </w:r>
        <w:r>
          <w:rPr>
            <w:webHidden/>
          </w:rPr>
          <w:fldChar w:fldCharType="separate"/>
        </w:r>
        <w:r w:rsidR="00756D2C">
          <w:rPr>
            <w:webHidden/>
          </w:rPr>
          <w:t>24</w:t>
        </w:r>
        <w:r>
          <w:rPr>
            <w:webHidden/>
          </w:rPr>
          <w:fldChar w:fldCharType="end"/>
        </w:r>
      </w:hyperlink>
    </w:p>
    <w:p w14:paraId="4CDD820A" w14:textId="5EB25E25"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692" w:history="1">
        <w:r w:rsidRPr="00775261">
          <w:rPr>
            <w:rStyle w:val="Hyperlink"/>
            <w:rFonts w:eastAsia="Times"/>
          </w:rPr>
          <w:t>Committee structure</w:t>
        </w:r>
        <w:r>
          <w:rPr>
            <w:webHidden/>
          </w:rPr>
          <w:tab/>
        </w:r>
        <w:r>
          <w:rPr>
            <w:webHidden/>
          </w:rPr>
          <w:fldChar w:fldCharType="begin"/>
        </w:r>
        <w:r>
          <w:rPr>
            <w:webHidden/>
          </w:rPr>
          <w:instrText xml:space="preserve"> PAGEREF _Toc241131692 \h </w:instrText>
        </w:r>
        <w:r>
          <w:rPr>
            <w:webHidden/>
          </w:rPr>
        </w:r>
        <w:r>
          <w:rPr>
            <w:webHidden/>
          </w:rPr>
          <w:fldChar w:fldCharType="separate"/>
        </w:r>
        <w:r w:rsidR="00756D2C">
          <w:rPr>
            <w:webHidden/>
          </w:rPr>
          <w:t>26</w:t>
        </w:r>
        <w:r>
          <w:rPr>
            <w:webHidden/>
          </w:rPr>
          <w:fldChar w:fldCharType="end"/>
        </w:r>
      </w:hyperlink>
    </w:p>
    <w:p w14:paraId="68D2AAC6" w14:textId="581EF05A" w:rsidR="00652C2F" w:rsidRDefault="00652C2F">
      <w:pPr>
        <w:pStyle w:val="TOC1"/>
        <w:rPr>
          <w:rFonts w:asciiTheme="minorHAnsi" w:eastAsiaTheme="minorEastAsia" w:hAnsiTheme="minorHAnsi" w:cstheme="minorBidi"/>
          <w:b w:val="0"/>
          <w:kern w:val="2"/>
          <w:sz w:val="24"/>
          <w:szCs w:val="24"/>
          <w:lang w:eastAsia="en-AU"/>
          <w14:ligatures w14:val="standardContextual"/>
        </w:rPr>
      </w:pPr>
      <w:hyperlink w:anchor="_Toc241131693" w:history="1">
        <w:r w:rsidRPr="00775261">
          <w:rPr>
            <w:rStyle w:val="Hyperlink"/>
          </w:rPr>
          <w:t>Section 2: Year in review</w:t>
        </w:r>
        <w:r>
          <w:rPr>
            <w:webHidden/>
          </w:rPr>
          <w:tab/>
        </w:r>
        <w:r>
          <w:rPr>
            <w:webHidden/>
          </w:rPr>
          <w:fldChar w:fldCharType="begin"/>
        </w:r>
        <w:r>
          <w:rPr>
            <w:webHidden/>
          </w:rPr>
          <w:instrText xml:space="preserve"> PAGEREF _Toc241131693 \h </w:instrText>
        </w:r>
        <w:r>
          <w:rPr>
            <w:webHidden/>
          </w:rPr>
        </w:r>
        <w:r>
          <w:rPr>
            <w:webHidden/>
          </w:rPr>
          <w:fldChar w:fldCharType="separate"/>
        </w:r>
        <w:r w:rsidR="00756D2C">
          <w:rPr>
            <w:webHidden/>
          </w:rPr>
          <w:t>27</w:t>
        </w:r>
        <w:r>
          <w:rPr>
            <w:webHidden/>
          </w:rPr>
          <w:fldChar w:fldCharType="end"/>
        </w:r>
      </w:hyperlink>
    </w:p>
    <w:p w14:paraId="74EE5268" w14:textId="759A744C"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694" w:history="1">
        <w:r w:rsidRPr="00775261">
          <w:rPr>
            <w:rStyle w:val="Hyperlink"/>
          </w:rPr>
          <w:t>Progress towards achieving departmental objectives</w:t>
        </w:r>
        <w:r>
          <w:rPr>
            <w:webHidden/>
          </w:rPr>
          <w:tab/>
        </w:r>
        <w:r>
          <w:rPr>
            <w:webHidden/>
          </w:rPr>
          <w:fldChar w:fldCharType="begin"/>
        </w:r>
        <w:r>
          <w:rPr>
            <w:webHidden/>
          </w:rPr>
          <w:instrText xml:space="preserve"> PAGEREF _Toc241131694 \h </w:instrText>
        </w:r>
        <w:r>
          <w:rPr>
            <w:webHidden/>
          </w:rPr>
        </w:r>
        <w:r>
          <w:rPr>
            <w:webHidden/>
          </w:rPr>
          <w:fldChar w:fldCharType="separate"/>
        </w:r>
        <w:r w:rsidR="00756D2C">
          <w:rPr>
            <w:webHidden/>
          </w:rPr>
          <w:t>27</w:t>
        </w:r>
        <w:r>
          <w:rPr>
            <w:webHidden/>
          </w:rPr>
          <w:fldChar w:fldCharType="end"/>
        </w:r>
      </w:hyperlink>
    </w:p>
    <w:p w14:paraId="75DC4FDF" w14:textId="7C27425B"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695" w:history="1">
        <w:r w:rsidRPr="00775261">
          <w:rPr>
            <w:rStyle w:val="Hyperlink"/>
          </w:rPr>
          <w:t>Direct costs attributable to machinery of government changes</w:t>
        </w:r>
        <w:r>
          <w:rPr>
            <w:webHidden/>
          </w:rPr>
          <w:tab/>
        </w:r>
        <w:r>
          <w:rPr>
            <w:webHidden/>
          </w:rPr>
          <w:fldChar w:fldCharType="begin"/>
        </w:r>
        <w:r>
          <w:rPr>
            <w:webHidden/>
          </w:rPr>
          <w:instrText xml:space="preserve"> PAGEREF _Toc241131695 \h </w:instrText>
        </w:r>
        <w:r>
          <w:rPr>
            <w:webHidden/>
          </w:rPr>
        </w:r>
        <w:r>
          <w:rPr>
            <w:webHidden/>
          </w:rPr>
          <w:fldChar w:fldCharType="separate"/>
        </w:r>
        <w:r w:rsidR="00756D2C">
          <w:rPr>
            <w:webHidden/>
          </w:rPr>
          <w:t>27</w:t>
        </w:r>
        <w:r>
          <w:rPr>
            <w:webHidden/>
          </w:rPr>
          <w:fldChar w:fldCharType="end"/>
        </w:r>
      </w:hyperlink>
    </w:p>
    <w:p w14:paraId="1FF11407" w14:textId="1DD335E2"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696" w:history="1">
        <w:r w:rsidRPr="00775261">
          <w:rPr>
            <w:rStyle w:val="Hyperlink"/>
          </w:rPr>
          <w:t>Departmental objectives, indicators and outputs</w:t>
        </w:r>
        <w:r>
          <w:rPr>
            <w:webHidden/>
          </w:rPr>
          <w:tab/>
        </w:r>
        <w:r>
          <w:rPr>
            <w:webHidden/>
          </w:rPr>
          <w:fldChar w:fldCharType="begin"/>
        </w:r>
        <w:r>
          <w:rPr>
            <w:webHidden/>
          </w:rPr>
          <w:instrText xml:space="preserve"> PAGEREF _Toc241131696 \h </w:instrText>
        </w:r>
        <w:r>
          <w:rPr>
            <w:webHidden/>
          </w:rPr>
        </w:r>
        <w:r>
          <w:rPr>
            <w:webHidden/>
          </w:rPr>
          <w:fldChar w:fldCharType="separate"/>
        </w:r>
        <w:r w:rsidR="00756D2C">
          <w:rPr>
            <w:webHidden/>
          </w:rPr>
          <w:t>28</w:t>
        </w:r>
        <w:r>
          <w:rPr>
            <w:webHidden/>
          </w:rPr>
          <w:fldChar w:fldCharType="end"/>
        </w:r>
      </w:hyperlink>
    </w:p>
    <w:p w14:paraId="7E9A0750" w14:textId="4AF34DA2"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697" w:history="1">
        <w:r w:rsidRPr="00775261">
          <w:rPr>
            <w:rStyle w:val="Hyperlink"/>
            <w:rFonts w:eastAsia="MS Gothic"/>
          </w:rPr>
          <w:t>Changes to the department during 2025–26</w:t>
        </w:r>
        <w:r>
          <w:rPr>
            <w:webHidden/>
          </w:rPr>
          <w:tab/>
        </w:r>
        <w:r>
          <w:rPr>
            <w:webHidden/>
          </w:rPr>
          <w:fldChar w:fldCharType="begin"/>
        </w:r>
        <w:r>
          <w:rPr>
            <w:webHidden/>
          </w:rPr>
          <w:instrText xml:space="preserve"> PAGEREF _Toc241131697 \h </w:instrText>
        </w:r>
        <w:r>
          <w:rPr>
            <w:webHidden/>
          </w:rPr>
        </w:r>
        <w:r>
          <w:rPr>
            <w:webHidden/>
          </w:rPr>
          <w:fldChar w:fldCharType="separate"/>
        </w:r>
        <w:r w:rsidR="00756D2C">
          <w:rPr>
            <w:webHidden/>
          </w:rPr>
          <w:t>29</w:t>
        </w:r>
        <w:r>
          <w:rPr>
            <w:webHidden/>
          </w:rPr>
          <w:fldChar w:fldCharType="end"/>
        </w:r>
      </w:hyperlink>
    </w:p>
    <w:p w14:paraId="76177FCC" w14:textId="65A65415"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698" w:history="1">
        <w:r w:rsidRPr="00775261">
          <w:rPr>
            <w:rStyle w:val="Hyperlink"/>
          </w:rPr>
          <w:t>Departmental objectives, indicators and outputs</w:t>
        </w:r>
        <w:r>
          <w:rPr>
            <w:webHidden/>
          </w:rPr>
          <w:tab/>
        </w:r>
        <w:r>
          <w:rPr>
            <w:webHidden/>
          </w:rPr>
          <w:fldChar w:fldCharType="begin"/>
        </w:r>
        <w:r>
          <w:rPr>
            <w:webHidden/>
          </w:rPr>
          <w:instrText xml:space="preserve"> PAGEREF _Toc241131698 \h </w:instrText>
        </w:r>
        <w:r>
          <w:rPr>
            <w:webHidden/>
          </w:rPr>
        </w:r>
        <w:r>
          <w:rPr>
            <w:webHidden/>
          </w:rPr>
          <w:fldChar w:fldCharType="separate"/>
        </w:r>
        <w:r w:rsidR="00756D2C">
          <w:rPr>
            <w:webHidden/>
          </w:rPr>
          <w:t>30</w:t>
        </w:r>
        <w:r>
          <w:rPr>
            <w:webHidden/>
          </w:rPr>
          <w:fldChar w:fldCharType="end"/>
        </w:r>
      </w:hyperlink>
    </w:p>
    <w:p w14:paraId="7E8E9923" w14:textId="1C8EA8C7"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699" w:history="1">
        <w:r w:rsidRPr="00775261">
          <w:rPr>
            <w:rStyle w:val="Hyperlink"/>
          </w:rPr>
          <w:t>Performance against output performance measures</w:t>
        </w:r>
        <w:r>
          <w:rPr>
            <w:webHidden/>
          </w:rPr>
          <w:tab/>
        </w:r>
        <w:r>
          <w:rPr>
            <w:webHidden/>
          </w:rPr>
          <w:fldChar w:fldCharType="begin"/>
        </w:r>
        <w:r>
          <w:rPr>
            <w:webHidden/>
          </w:rPr>
          <w:instrText xml:space="preserve"> PAGEREF _Toc241131699 \h </w:instrText>
        </w:r>
        <w:r>
          <w:rPr>
            <w:webHidden/>
          </w:rPr>
        </w:r>
        <w:r>
          <w:rPr>
            <w:webHidden/>
          </w:rPr>
          <w:fldChar w:fldCharType="separate"/>
        </w:r>
        <w:r w:rsidR="00756D2C">
          <w:rPr>
            <w:webHidden/>
          </w:rPr>
          <w:t>63</w:t>
        </w:r>
        <w:r>
          <w:rPr>
            <w:webHidden/>
          </w:rPr>
          <w:fldChar w:fldCharType="end"/>
        </w:r>
      </w:hyperlink>
    </w:p>
    <w:p w14:paraId="3F95C070" w14:textId="62B1AA37"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00" w:history="1">
        <w:r w:rsidRPr="00775261">
          <w:rPr>
            <w:rStyle w:val="Hyperlink"/>
          </w:rPr>
          <w:t>Discontinued output performance measures</w:t>
        </w:r>
        <w:r>
          <w:rPr>
            <w:webHidden/>
          </w:rPr>
          <w:tab/>
        </w:r>
        <w:r>
          <w:rPr>
            <w:webHidden/>
          </w:rPr>
          <w:fldChar w:fldCharType="begin"/>
        </w:r>
        <w:r>
          <w:rPr>
            <w:webHidden/>
          </w:rPr>
          <w:instrText xml:space="preserve"> PAGEREF _Toc241131700 \h </w:instrText>
        </w:r>
        <w:r>
          <w:rPr>
            <w:webHidden/>
          </w:rPr>
        </w:r>
        <w:r>
          <w:rPr>
            <w:webHidden/>
          </w:rPr>
          <w:fldChar w:fldCharType="separate"/>
        </w:r>
        <w:r w:rsidR="00756D2C">
          <w:rPr>
            <w:webHidden/>
          </w:rPr>
          <w:t>80</w:t>
        </w:r>
        <w:r>
          <w:rPr>
            <w:webHidden/>
          </w:rPr>
          <w:fldChar w:fldCharType="end"/>
        </w:r>
      </w:hyperlink>
    </w:p>
    <w:p w14:paraId="6F0451BD" w14:textId="13960410"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01" w:history="1">
        <w:r w:rsidRPr="00775261">
          <w:rPr>
            <w:rStyle w:val="Hyperlink"/>
            <w:rFonts w:eastAsia="Times"/>
          </w:rPr>
          <w:t>Departmental financial summary</w:t>
        </w:r>
        <w:r>
          <w:rPr>
            <w:webHidden/>
          </w:rPr>
          <w:tab/>
        </w:r>
        <w:r>
          <w:rPr>
            <w:webHidden/>
          </w:rPr>
          <w:fldChar w:fldCharType="begin"/>
        </w:r>
        <w:r>
          <w:rPr>
            <w:webHidden/>
          </w:rPr>
          <w:instrText xml:space="preserve"> PAGEREF _Toc241131701 \h </w:instrText>
        </w:r>
        <w:r>
          <w:rPr>
            <w:webHidden/>
          </w:rPr>
        </w:r>
        <w:r>
          <w:rPr>
            <w:webHidden/>
          </w:rPr>
          <w:fldChar w:fldCharType="separate"/>
        </w:r>
        <w:r w:rsidR="00756D2C">
          <w:rPr>
            <w:webHidden/>
          </w:rPr>
          <w:t>80</w:t>
        </w:r>
        <w:r>
          <w:rPr>
            <w:webHidden/>
          </w:rPr>
          <w:fldChar w:fldCharType="end"/>
        </w:r>
      </w:hyperlink>
    </w:p>
    <w:p w14:paraId="13C0C3B0" w14:textId="4EBBB6E0"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02" w:history="1">
        <w:r w:rsidRPr="00775261">
          <w:rPr>
            <w:rStyle w:val="Hyperlink"/>
            <w:rFonts w:eastAsia="Times"/>
          </w:rPr>
          <w:t>Current year financial summary</w:t>
        </w:r>
        <w:r>
          <w:rPr>
            <w:webHidden/>
          </w:rPr>
          <w:tab/>
        </w:r>
        <w:r>
          <w:rPr>
            <w:webHidden/>
          </w:rPr>
          <w:fldChar w:fldCharType="begin"/>
        </w:r>
        <w:r>
          <w:rPr>
            <w:webHidden/>
          </w:rPr>
          <w:instrText xml:space="preserve"> PAGEREF _Toc241131702 \h </w:instrText>
        </w:r>
        <w:r>
          <w:rPr>
            <w:webHidden/>
          </w:rPr>
        </w:r>
        <w:r>
          <w:rPr>
            <w:webHidden/>
          </w:rPr>
          <w:fldChar w:fldCharType="separate"/>
        </w:r>
        <w:r w:rsidR="00756D2C">
          <w:rPr>
            <w:webHidden/>
          </w:rPr>
          <w:t>81</w:t>
        </w:r>
        <w:r>
          <w:rPr>
            <w:webHidden/>
          </w:rPr>
          <w:fldChar w:fldCharType="end"/>
        </w:r>
      </w:hyperlink>
    </w:p>
    <w:p w14:paraId="651FEC82" w14:textId="12AD30F6"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03" w:history="1">
        <w:r w:rsidRPr="00775261">
          <w:rPr>
            <w:rStyle w:val="Hyperlink"/>
          </w:rPr>
          <w:t>Capital projects/asset investment programs</w:t>
        </w:r>
        <w:r>
          <w:rPr>
            <w:webHidden/>
          </w:rPr>
          <w:tab/>
        </w:r>
        <w:r>
          <w:rPr>
            <w:webHidden/>
          </w:rPr>
          <w:fldChar w:fldCharType="begin"/>
        </w:r>
        <w:r>
          <w:rPr>
            <w:webHidden/>
          </w:rPr>
          <w:instrText xml:space="preserve"> PAGEREF _Toc241131703 \h </w:instrText>
        </w:r>
        <w:r>
          <w:rPr>
            <w:webHidden/>
          </w:rPr>
        </w:r>
        <w:r>
          <w:rPr>
            <w:webHidden/>
          </w:rPr>
          <w:fldChar w:fldCharType="separate"/>
        </w:r>
        <w:r w:rsidR="00756D2C">
          <w:rPr>
            <w:webHidden/>
          </w:rPr>
          <w:t>83</w:t>
        </w:r>
        <w:r>
          <w:rPr>
            <w:webHidden/>
          </w:rPr>
          <w:fldChar w:fldCharType="end"/>
        </w:r>
      </w:hyperlink>
    </w:p>
    <w:p w14:paraId="14C13290" w14:textId="2FED59A4" w:rsidR="00652C2F" w:rsidRDefault="00652C2F">
      <w:pPr>
        <w:pStyle w:val="TOC1"/>
        <w:rPr>
          <w:rFonts w:asciiTheme="minorHAnsi" w:eastAsiaTheme="minorEastAsia" w:hAnsiTheme="minorHAnsi" w:cstheme="minorBidi"/>
          <w:b w:val="0"/>
          <w:kern w:val="2"/>
          <w:sz w:val="24"/>
          <w:szCs w:val="24"/>
          <w:lang w:eastAsia="en-AU"/>
          <w14:ligatures w14:val="standardContextual"/>
        </w:rPr>
      </w:pPr>
      <w:hyperlink w:anchor="_Toc241131704" w:history="1">
        <w:r w:rsidRPr="00775261">
          <w:rPr>
            <w:rStyle w:val="Hyperlink"/>
          </w:rPr>
          <w:t>Section 3: Our workforce</w:t>
        </w:r>
        <w:r>
          <w:rPr>
            <w:webHidden/>
          </w:rPr>
          <w:tab/>
        </w:r>
        <w:r>
          <w:rPr>
            <w:webHidden/>
          </w:rPr>
          <w:fldChar w:fldCharType="begin"/>
        </w:r>
        <w:r>
          <w:rPr>
            <w:webHidden/>
          </w:rPr>
          <w:instrText xml:space="preserve"> PAGEREF _Toc241131704 \h </w:instrText>
        </w:r>
        <w:r>
          <w:rPr>
            <w:webHidden/>
          </w:rPr>
        </w:r>
        <w:r>
          <w:rPr>
            <w:webHidden/>
          </w:rPr>
          <w:fldChar w:fldCharType="separate"/>
        </w:r>
        <w:r w:rsidR="00756D2C">
          <w:rPr>
            <w:webHidden/>
          </w:rPr>
          <w:t>84</w:t>
        </w:r>
        <w:r>
          <w:rPr>
            <w:webHidden/>
          </w:rPr>
          <w:fldChar w:fldCharType="end"/>
        </w:r>
      </w:hyperlink>
    </w:p>
    <w:p w14:paraId="52BD710A" w14:textId="44E8831A"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05" w:history="1">
        <w:r w:rsidRPr="00775261">
          <w:rPr>
            <w:rStyle w:val="Hyperlink"/>
            <w:rFonts w:eastAsia="Times"/>
          </w:rPr>
          <w:t>Public sector values and employment principles</w:t>
        </w:r>
        <w:r>
          <w:rPr>
            <w:webHidden/>
          </w:rPr>
          <w:tab/>
        </w:r>
        <w:r>
          <w:rPr>
            <w:webHidden/>
          </w:rPr>
          <w:fldChar w:fldCharType="begin"/>
        </w:r>
        <w:r>
          <w:rPr>
            <w:webHidden/>
          </w:rPr>
          <w:instrText xml:space="preserve"> PAGEREF _Toc241131705 \h </w:instrText>
        </w:r>
        <w:r>
          <w:rPr>
            <w:webHidden/>
          </w:rPr>
        </w:r>
        <w:r>
          <w:rPr>
            <w:webHidden/>
          </w:rPr>
          <w:fldChar w:fldCharType="separate"/>
        </w:r>
        <w:r w:rsidR="00756D2C">
          <w:rPr>
            <w:webHidden/>
          </w:rPr>
          <w:t>84</w:t>
        </w:r>
        <w:r>
          <w:rPr>
            <w:webHidden/>
          </w:rPr>
          <w:fldChar w:fldCharType="end"/>
        </w:r>
      </w:hyperlink>
    </w:p>
    <w:p w14:paraId="48A66559" w14:textId="6AD8D6B1"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06" w:history="1">
        <w:r w:rsidRPr="00775261">
          <w:rPr>
            <w:rStyle w:val="Hyperlink"/>
            <w:rFonts w:eastAsia="Times"/>
          </w:rPr>
          <w:t>Workforce inclusion policy</w:t>
        </w:r>
        <w:r>
          <w:rPr>
            <w:webHidden/>
          </w:rPr>
          <w:tab/>
        </w:r>
        <w:r>
          <w:rPr>
            <w:webHidden/>
          </w:rPr>
          <w:fldChar w:fldCharType="begin"/>
        </w:r>
        <w:r>
          <w:rPr>
            <w:webHidden/>
          </w:rPr>
          <w:instrText xml:space="preserve"> PAGEREF _Toc241131706 \h </w:instrText>
        </w:r>
        <w:r>
          <w:rPr>
            <w:webHidden/>
          </w:rPr>
        </w:r>
        <w:r>
          <w:rPr>
            <w:webHidden/>
          </w:rPr>
          <w:fldChar w:fldCharType="separate"/>
        </w:r>
        <w:r w:rsidR="00756D2C">
          <w:rPr>
            <w:webHidden/>
          </w:rPr>
          <w:t>86</w:t>
        </w:r>
        <w:r>
          <w:rPr>
            <w:webHidden/>
          </w:rPr>
          <w:fldChar w:fldCharType="end"/>
        </w:r>
      </w:hyperlink>
    </w:p>
    <w:p w14:paraId="328AE392" w14:textId="78C66FD1"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07" w:history="1">
        <w:r w:rsidRPr="00775261">
          <w:rPr>
            <w:rStyle w:val="Hyperlink"/>
          </w:rPr>
          <w:t>Comparative workforce data</w:t>
        </w:r>
        <w:r>
          <w:rPr>
            <w:webHidden/>
          </w:rPr>
          <w:tab/>
        </w:r>
        <w:r>
          <w:rPr>
            <w:webHidden/>
          </w:rPr>
          <w:fldChar w:fldCharType="begin"/>
        </w:r>
        <w:r>
          <w:rPr>
            <w:webHidden/>
          </w:rPr>
          <w:instrText xml:space="preserve"> PAGEREF _Toc241131707 \h </w:instrText>
        </w:r>
        <w:r>
          <w:rPr>
            <w:webHidden/>
          </w:rPr>
        </w:r>
        <w:r>
          <w:rPr>
            <w:webHidden/>
          </w:rPr>
          <w:fldChar w:fldCharType="separate"/>
        </w:r>
        <w:r w:rsidR="00756D2C">
          <w:rPr>
            <w:webHidden/>
          </w:rPr>
          <w:t>92</w:t>
        </w:r>
        <w:r>
          <w:rPr>
            <w:webHidden/>
          </w:rPr>
          <w:fldChar w:fldCharType="end"/>
        </w:r>
      </w:hyperlink>
    </w:p>
    <w:p w14:paraId="15492285" w14:textId="31DE62E8"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08" w:history="1">
        <w:r w:rsidRPr="00775261">
          <w:rPr>
            <w:rStyle w:val="Hyperlink"/>
            <w:rFonts w:eastAsia="Times"/>
          </w:rPr>
          <w:t>Executive data</w:t>
        </w:r>
        <w:r>
          <w:rPr>
            <w:webHidden/>
          </w:rPr>
          <w:tab/>
        </w:r>
        <w:r>
          <w:rPr>
            <w:webHidden/>
          </w:rPr>
          <w:fldChar w:fldCharType="begin"/>
        </w:r>
        <w:r>
          <w:rPr>
            <w:webHidden/>
          </w:rPr>
          <w:instrText xml:space="preserve"> PAGEREF _Toc241131708 \h </w:instrText>
        </w:r>
        <w:r>
          <w:rPr>
            <w:webHidden/>
          </w:rPr>
        </w:r>
        <w:r>
          <w:rPr>
            <w:webHidden/>
          </w:rPr>
          <w:fldChar w:fldCharType="separate"/>
        </w:r>
        <w:r w:rsidR="00756D2C">
          <w:rPr>
            <w:webHidden/>
          </w:rPr>
          <w:t>97</w:t>
        </w:r>
        <w:r>
          <w:rPr>
            <w:webHidden/>
          </w:rPr>
          <w:fldChar w:fldCharType="end"/>
        </w:r>
      </w:hyperlink>
    </w:p>
    <w:p w14:paraId="31BE10EC" w14:textId="0122CACD"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09" w:history="1">
        <w:r w:rsidRPr="00775261">
          <w:rPr>
            <w:rStyle w:val="Hyperlink"/>
            <w:rFonts w:eastAsia="Times"/>
          </w:rPr>
          <w:t>Employee health, safety and wellbeing</w:t>
        </w:r>
        <w:r>
          <w:rPr>
            <w:webHidden/>
          </w:rPr>
          <w:tab/>
        </w:r>
        <w:r>
          <w:rPr>
            <w:webHidden/>
          </w:rPr>
          <w:fldChar w:fldCharType="begin"/>
        </w:r>
        <w:r>
          <w:rPr>
            <w:webHidden/>
          </w:rPr>
          <w:instrText xml:space="preserve"> PAGEREF _Toc241131709 \h </w:instrText>
        </w:r>
        <w:r>
          <w:rPr>
            <w:webHidden/>
          </w:rPr>
        </w:r>
        <w:r>
          <w:rPr>
            <w:webHidden/>
          </w:rPr>
          <w:fldChar w:fldCharType="separate"/>
        </w:r>
        <w:r w:rsidR="00756D2C">
          <w:rPr>
            <w:webHidden/>
          </w:rPr>
          <w:t>98</w:t>
        </w:r>
        <w:r>
          <w:rPr>
            <w:webHidden/>
          </w:rPr>
          <w:fldChar w:fldCharType="end"/>
        </w:r>
      </w:hyperlink>
    </w:p>
    <w:p w14:paraId="1092591F" w14:textId="77777777" w:rsidR="00652C2F" w:rsidRDefault="00652C2F">
      <w:pPr>
        <w:spacing w:after="0" w:line="240" w:lineRule="auto"/>
        <w:rPr>
          <w:rStyle w:val="Hyperlink"/>
          <w:b/>
          <w:noProof/>
        </w:rPr>
      </w:pPr>
      <w:r>
        <w:rPr>
          <w:rStyle w:val="Hyperlink"/>
          <w:noProof/>
        </w:rPr>
        <w:br w:type="page"/>
      </w:r>
    </w:p>
    <w:p w14:paraId="639C07F2" w14:textId="32B692B2" w:rsidR="00652C2F" w:rsidRDefault="00652C2F">
      <w:pPr>
        <w:pStyle w:val="TOC1"/>
        <w:rPr>
          <w:rFonts w:asciiTheme="minorHAnsi" w:eastAsiaTheme="minorEastAsia" w:hAnsiTheme="minorHAnsi" w:cstheme="minorBidi"/>
          <w:b w:val="0"/>
          <w:kern w:val="2"/>
          <w:sz w:val="24"/>
          <w:szCs w:val="24"/>
          <w:lang w:eastAsia="en-AU"/>
          <w14:ligatures w14:val="standardContextual"/>
        </w:rPr>
      </w:pPr>
      <w:hyperlink w:anchor="_Toc241131710" w:history="1">
        <w:r w:rsidRPr="00775261">
          <w:rPr>
            <w:rStyle w:val="Hyperlink"/>
          </w:rPr>
          <w:t>Section 4: Other disclosures</w:t>
        </w:r>
        <w:r>
          <w:rPr>
            <w:webHidden/>
          </w:rPr>
          <w:tab/>
        </w:r>
        <w:r>
          <w:rPr>
            <w:webHidden/>
          </w:rPr>
          <w:fldChar w:fldCharType="begin"/>
        </w:r>
        <w:r>
          <w:rPr>
            <w:webHidden/>
          </w:rPr>
          <w:instrText xml:space="preserve"> PAGEREF _Toc241131710 \h </w:instrText>
        </w:r>
        <w:r>
          <w:rPr>
            <w:webHidden/>
          </w:rPr>
        </w:r>
        <w:r>
          <w:rPr>
            <w:webHidden/>
          </w:rPr>
          <w:fldChar w:fldCharType="separate"/>
        </w:r>
        <w:r w:rsidR="00756D2C">
          <w:rPr>
            <w:webHidden/>
          </w:rPr>
          <w:t>104</w:t>
        </w:r>
        <w:r>
          <w:rPr>
            <w:webHidden/>
          </w:rPr>
          <w:fldChar w:fldCharType="end"/>
        </w:r>
      </w:hyperlink>
    </w:p>
    <w:p w14:paraId="73E9C36D" w14:textId="5F7B46DB"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11" w:history="1">
        <w:r w:rsidRPr="00775261">
          <w:rPr>
            <w:rStyle w:val="Hyperlink"/>
            <w:rFonts w:eastAsia="Times"/>
          </w:rPr>
          <w:t>Local Jobs First</w:t>
        </w:r>
        <w:r>
          <w:rPr>
            <w:webHidden/>
          </w:rPr>
          <w:tab/>
        </w:r>
        <w:r>
          <w:rPr>
            <w:webHidden/>
          </w:rPr>
          <w:fldChar w:fldCharType="begin"/>
        </w:r>
        <w:r>
          <w:rPr>
            <w:webHidden/>
          </w:rPr>
          <w:instrText xml:space="preserve"> PAGEREF _Toc241131711 \h </w:instrText>
        </w:r>
        <w:r>
          <w:rPr>
            <w:webHidden/>
          </w:rPr>
        </w:r>
        <w:r>
          <w:rPr>
            <w:webHidden/>
          </w:rPr>
          <w:fldChar w:fldCharType="separate"/>
        </w:r>
        <w:r w:rsidR="00756D2C">
          <w:rPr>
            <w:webHidden/>
          </w:rPr>
          <w:t>104</w:t>
        </w:r>
        <w:r>
          <w:rPr>
            <w:webHidden/>
          </w:rPr>
          <w:fldChar w:fldCharType="end"/>
        </w:r>
      </w:hyperlink>
    </w:p>
    <w:p w14:paraId="69FB17BE" w14:textId="7AE70DA6"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12" w:history="1">
        <w:r w:rsidRPr="00775261">
          <w:rPr>
            <w:rStyle w:val="Hyperlink"/>
          </w:rPr>
          <w:t>Competitive neutrality policy</w:t>
        </w:r>
        <w:r>
          <w:rPr>
            <w:webHidden/>
          </w:rPr>
          <w:tab/>
        </w:r>
        <w:r>
          <w:rPr>
            <w:webHidden/>
          </w:rPr>
          <w:fldChar w:fldCharType="begin"/>
        </w:r>
        <w:r>
          <w:rPr>
            <w:webHidden/>
          </w:rPr>
          <w:instrText xml:space="preserve"> PAGEREF _Toc241131712 \h </w:instrText>
        </w:r>
        <w:r>
          <w:rPr>
            <w:webHidden/>
          </w:rPr>
        </w:r>
        <w:r>
          <w:rPr>
            <w:webHidden/>
          </w:rPr>
          <w:fldChar w:fldCharType="separate"/>
        </w:r>
        <w:r w:rsidR="00756D2C">
          <w:rPr>
            <w:webHidden/>
          </w:rPr>
          <w:t>105</w:t>
        </w:r>
        <w:r>
          <w:rPr>
            <w:webHidden/>
          </w:rPr>
          <w:fldChar w:fldCharType="end"/>
        </w:r>
      </w:hyperlink>
    </w:p>
    <w:p w14:paraId="60CACAA2" w14:textId="5B00062F"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13" w:history="1">
        <w:r w:rsidRPr="00775261">
          <w:rPr>
            <w:rStyle w:val="Hyperlink"/>
            <w:rFonts w:eastAsia="Times"/>
          </w:rPr>
          <w:t>Government advertising expenditure</w:t>
        </w:r>
        <w:r>
          <w:rPr>
            <w:webHidden/>
          </w:rPr>
          <w:tab/>
        </w:r>
        <w:r>
          <w:rPr>
            <w:webHidden/>
          </w:rPr>
          <w:fldChar w:fldCharType="begin"/>
        </w:r>
        <w:r>
          <w:rPr>
            <w:webHidden/>
          </w:rPr>
          <w:instrText xml:space="preserve"> PAGEREF _Toc241131713 \h </w:instrText>
        </w:r>
        <w:r>
          <w:rPr>
            <w:webHidden/>
          </w:rPr>
        </w:r>
        <w:r>
          <w:rPr>
            <w:webHidden/>
          </w:rPr>
          <w:fldChar w:fldCharType="separate"/>
        </w:r>
        <w:r w:rsidR="00756D2C">
          <w:rPr>
            <w:webHidden/>
          </w:rPr>
          <w:t>106</w:t>
        </w:r>
        <w:r>
          <w:rPr>
            <w:webHidden/>
          </w:rPr>
          <w:fldChar w:fldCharType="end"/>
        </w:r>
      </w:hyperlink>
    </w:p>
    <w:p w14:paraId="5ECC974B" w14:textId="58217C41"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14" w:history="1">
        <w:r w:rsidRPr="00775261">
          <w:rPr>
            <w:rStyle w:val="Hyperlink"/>
          </w:rPr>
          <w:t>Consultancy expenditure</w:t>
        </w:r>
        <w:r>
          <w:rPr>
            <w:webHidden/>
          </w:rPr>
          <w:tab/>
        </w:r>
        <w:r>
          <w:rPr>
            <w:webHidden/>
          </w:rPr>
          <w:fldChar w:fldCharType="begin"/>
        </w:r>
        <w:r>
          <w:rPr>
            <w:webHidden/>
          </w:rPr>
          <w:instrText xml:space="preserve"> PAGEREF _Toc241131714 \h </w:instrText>
        </w:r>
        <w:r>
          <w:rPr>
            <w:webHidden/>
          </w:rPr>
        </w:r>
        <w:r>
          <w:rPr>
            <w:webHidden/>
          </w:rPr>
          <w:fldChar w:fldCharType="separate"/>
        </w:r>
        <w:r w:rsidR="00756D2C">
          <w:rPr>
            <w:webHidden/>
          </w:rPr>
          <w:t>108</w:t>
        </w:r>
        <w:r>
          <w:rPr>
            <w:webHidden/>
          </w:rPr>
          <w:fldChar w:fldCharType="end"/>
        </w:r>
      </w:hyperlink>
    </w:p>
    <w:p w14:paraId="69D50E68" w14:textId="3D9033EC"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15" w:history="1">
        <w:r w:rsidRPr="00775261">
          <w:rPr>
            <w:rStyle w:val="Hyperlink"/>
          </w:rPr>
          <w:t>Review and study expenditure</w:t>
        </w:r>
        <w:r>
          <w:rPr>
            <w:webHidden/>
          </w:rPr>
          <w:tab/>
        </w:r>
        <w:r>
          <w:rPr>
            <w:webHidden/>
          </w:rPr>
          <w:fldChar w:fldCharType="begin"/>
        </w:r>
        <w:r>
          <w:rPr>
            <w:webHidden/>
          </w:rPr>
          <w:instrText xml:space="preserve"> PAGEREF _Toc241131715 \h </w:instrText>
        </w:r>
        <w:r>
          <w:rPr>
            <w:webHidden/>
          </w:rPr>
        </w:r>
        <w:r>
          <w:rPr>
            <w:webHidden/>
          </w:rPr>
          <w:fldChar w:fldCharType="separate"/>
        </w:r>
        <w:r w:rsidR="00756D2C">
          <w:rPr>
            <w:webHidden/>
          </w:rPr>
          <w:t>111</w:t>
        </w:r>
        <w:r>
          <w:rPr>
            <w:webHidden/>
          </w:rPr>
          <w:fldChar w:fldCharType="end"/>
        </w:r>
      </w:hyperlink>
    </w:p>
    <w:p w14:paraId="2D9696C8" w14:textId="7C8A80C1"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16" w:history="1">
        <w:r w:rsidRPr="00775261">
          <w:rPr>
            <w:rStyle w:val="Hyperlink"/>
          </w:rPr>
          <w:t>Information and communication technology expenditure</w:t>
        </w:r>
        <w:r>
          <w:rPr>
            <w:webHidden/>
          </w:rPr>
          <w:tab/>
        </w:r>
        <w:r>
          <w:rPr>
            <w:webHidden/>
          </w:rPr>
          <w:fldChar w:fldCharType="begin"/>
        </w:r>
        <w:r>
          <w:rPr>
            <w:webHidden/>
          </w:rPr>
          <w:instrText xml:space="preserve"> PAGEREF _Toc241131716 \h </w:instrText>
        </w:r>
        <w:r>
          <w:rPr>
            <w:webHidden/>
          </w:rPr>
        </w:r>
        <w:r>
          <w:rPr>
            <w:webHidden/>
          </w:rPr>
          <w:fldChar w:fldCharType="separate"/>
        </w:r>
        <w:r w:rsidR="00756D2C">
          <w:rPr>
            <w:webHidden/>
          </w:rPr>
          <w:t>128</w:t>
        </w:r>
        <w:r>
          <w:rPr>
            <w:webHidden/>
          </w:rPr>
          <w:fldChar w:fldCharType="end"/>
        </w:r>
      </w:hyperlink>
    </w:p>
    <w:p w14:paraId="052338D2" w14:textId="3810B9D6"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17" w:history="1">
        <w:r w:rsidRPr="00775261">
          <w:rPr>
            <w:rStyle w:val="Hyperlink"/>
          </w:rPr>
          <w:t>Disclosure of major contracts</w:t>
        </w:r>
        <w:r>
          <w:rPr>
            <w:webHidden/>
          </w:rPr>
          <w:tab/>
        </w:r>
        <w:r>
          <w:rPr>
            <w:webHidden/>
          </w:rPr>
          <w:fldChar w:fldCharType="begin"/>
        </w:r>
        <w:r>
          <w:rPr>
            <w:webHidden/>
          </w:rPr>
          <w:instrText xml:space="preserve"> PAGEREF _Toc241131717 \h </w:instrText>
        </w:r>
        <w:r>
          <w:rPr>
            <w:webHidden/>
          </w:rPr>
        </w:r>
        <w:r>
          <w:rPr>
            <w:webHidden/>
          </w:rPr>
          <w:fldChar w:fldCharType="separate"/>
        </w:r>
        <w:r w:rsidR="00756D2C">
          <w:rPr>
            <w:webHidden/>
          </w:rPr>
          <w:t>128</w:t>
        </w:r>
        <w:r>
          <w:rPr>
            <w:webHidden/>
          </w:rPr>
          <w:fldChar w:fldCharType="end"/>
        </w:r>
      </w:hyperlink>
    </w:p>
    <w:p w14:paraId="334792AD" w14:textId="090CF150"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18" w:history="1">
        <w:r w:rsidRPr="00775261">
          <w:rPr>
            <w:rStyle w:val="Hyperlink"/>
          </w:rPr>
          <w:t>Disclosure of grants and transfer payments</w:t>
        </w:r>
        <w:r>
          <w:rPr>
            <w:webHidden/>
          </w:rPr>
          <w:tab/>
        </w:r>
        <w:r>
          <w:rPr>
            <w:webHidden/>
          </w:rPr>
          <w:fldChar w:fldCharType="begin"/>
        </w:r>
        <w:r>
          <w:rPr>
            <w:webHidden/>
          </w:rPr>
          <w:instrText xml:space="preserve"> PAGEREF _Toc241131718 \h </w:instrText>
        </w:r>
        <w:r>
          <w:rPr>
            <w:webHidden/>
          </w:rPr>
        </w:r>
        <w:r>
          <w:rPr>
            <w:webHidden/>
          </w:rPr>
          <w:fldChar w:fldCharType="separate"/>
        </w:r>
        <w:r w:rsidR="00756D2C">
          <w:rPr>
            <w:webHidden/>
          </w:rPr>
          <w:t>128</w:t>
        </w:r>
        <w:r>
          <w:rPr>
            <w:webHidden/>
          </w:rPr>
          <w:fldChar w:fldCharType="end"/>
        </w:r>
      </w:hyperlink>
    </w:p>
    <w:p w14:paraId="5BD2CE23" w14:textId="187A4456"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19" w:history="1">
        <w:r w:rsidRPr="00775261">
          <w:rPr>
            <w:rStyle w:val="Hyperlink"/>
          </w:rPr>
          <w:t>Social procurement framework</w:t>
        </w:r>
        <w:r>
          <w:rPr>
            <w:webHidden/>
          </w:rPr>
          <w:tab/>
        </w:r>
        <w:r>
          <w:rPr>
            <w:webHidden/>
          </w:rPr>
          <w:fldChar w:fldCharType="begin"/>
        </w:r>
        <w:r>
          <w:rPr>
            <w:webHidden/>
          </w:rPr>
          <w:instrText xml:space="preserve"> PAGEREF _Toc241131719 \h </w:instrText>
        </w:r>
        <w:r>
          <w:rPr>
            <w:webHidden/>
          </w:rPr>
        </w:r>
        <w:r>
          <w:rPr>
            <w:webHidden/>
          </w:rPr>
          <w:fldChar w:fldCharType="separate"/>
        </w:r>
        <w:r w:rsidR="00756D2C">
          <w:rPr>
            <w:webHidden/>
          </w:rPr>
          <w:t>129</w:t>
        </w:r>
        <w:r>
          <w:rPr>
            <w:webHidden/>
          </w:rPr>
          <w:fldChar w:fldCharType="end"/>
        </w:r>
      </w:hyperlink>
    </w:p>
    <w:p w14:paraId="413B0602" w14:textId="7BEA9879"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20" w:history="1">
        <w:r w:rsidRPr="00775261">
          <w:rPr>
            <w:rStyle w:val="Hyperlink"/>
            <w:rFonts w:eastAsia="Times"/>
          </w:rPr>
          <w:t xml:space="preserve">Compliance with </w:t>
        </w:r>
        <w:r w:rsidRPr="00775261">
          <w:rPr>
            <w:rStyle w:val="Hyperlink"/>
          </w:rPr>
          <w:t>the</w:t>
        </w:r>
        <w:r w:rsidRPr="00775261">
          <w:rPr>
            <w:rStyle w:val="Hyperlink"/>
            <w:rFonts w:eastAsia="Times"/>
          </w:rPr>
          <w:t xml:space="preserve"> Building Act</w:t>
        </w:r>
        <w:r>
          <w:rPr>
            <w:webHidden/>
          </w:rPr>
          <w:tab/>
        </w:r>
        <w:r>
          <w:rPr>
            <w:webHidden/>
          </w:rPr>
          <w:fldChar w:fldCharType="begin"/>
        </w:r>
        <w:r>
          <w:rPr>
            <w:webHidden/>
          </w:rPr>
          <w:instrText xml:space="preserve"> PAGEREF _Toc241131720 \h </w:instrText>
        </w:r>
        <w:r>
          <w:rPr>
            <w:webHidden/>
          </w:rPr>
        </w:r>
        <w:r>
          <w:rPr>
            <w:webHidden/>
          </w:rPr>
          <w:fldChar w:fldCharType="separate"/>
        </w:r>
        <w:r w:rsidR="00756D2C">
          <w:rPr>
            <w:webHidden/>
          </w:rPr>
          <w:t>129</w:t>
        </w:r>
        <w:r>
          <w:rPr>
            <w:webHidden/>
          </w:rPr>
          <w:fldChar w:fldCharType="end"/>
        </w:r>
      </w:hyperlink>
    </w:p>
    <w:p w14:paraId="106246C8" w14:textId="7861F973"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21" w:history="1">
        <w:r w:rsidRPr="00775261">
          <w:rPr>
            <w:rStyle w:val="Hyperlink"/>
          </w:rPr>
          <w:t>Compliance with the Public Interest Disclosures Act</w:t>
        </w:r>
        <w:r>
          <w:rPr>
            <w:webHidden/>
          </w:rPr>
          <w:tab/>
        </w:r>
        <w:r>
          <w:rPr>
            <w:webHidden/>
          </w:rPr>
          <w:fldChar w:fldCharType="begin"/>
        </w:r>
        <w:r>
          <w:rPr>
            <w:webHidden/>
          </w:rPr>
          <w:instrText xml:space="preserve"> PAGEREF _Toc241131721 \h </w:instrText>
        </w:r>
        <w:r>
          <w:rPr>
            <w:webHidden/>
          </w:rPr>
        </w:r>
        <w:r>
          <w:rPr>
            <w:webHidden/>
          </w:rPr>
          <w:fldChar w:fldCharType="separate"/>
        </w:r>
        <w:r w:rsidR="00756D2C">
          <w:rPr>
            <w:webHidden/>
          </w:rPr>
          <w:t>130</w:t>
        </w:r>
        <w:r>
          <w:rPr>
            <w:webHidden/>
          </w:rPr>
          <w:fldChar w:fldCharType="end"/>
        </w:r>
      </w:hyperlink>
    </w:p>
    <w:p w14:paraId="25422825" w14:textId="137A95E1"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22" w:history="1">
        <w:r w:rsidRPr="00775261">
          <w:rPr>
            <w:rStyle w:val="Hyperlink"/>
            <w:rFonts w:eastAsia="Times"/>
          </w:rPr>
          <w:t>Compliance with the Carers Recognition Act</w:t>
        </w:r>
        <w:r>
          <w:rPr>
            <w:webHidden/>
          </w:rPr>
          <w:tab/>
        </w:r>
        <w:r>
          <w:rPr>
            <w:webHidden/>
          </w:rPr>
          <w:fldChar w:fldCharType="begin"/>
        </w:r>
        <w:r>
          <w:rPr>
            <w:webHidden/>
          </w:rPr>
          <w:instrText xml:space="preserve"> PAGEREF _Toc241131722 \h </w:instrText>
        </w:r>
        <w:r>
          <w:rPr>
            <w:webHidden/>
          </w:rPr>
        </w:r>
        <w:r>
          <w:rPr>
            <w:webHidden/>
          </w:rPr>
          <w:fldChar w:fldCharType="separate"/>
        </w:r>
        <w:r w:rsidR="00756D2C">
          <w:rPr>
            <w:webHidden/>
          </w:rPr>
          <w:t>131</w:t>
        </w:r>
        <w:r>
          <w:rPr>
            <w:webHidden/>
          </w:rPr>
          <w:fldChar w:fldCharType="end"/>
        </w:r>
      </w:hyperlink>
    </w:p>
    <w:p w14:paraId="760AE3D6" w14:textId="58D12096"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23" w:history="1">
        <w:r w:rsidRPr="00775261">
          <w:rPr>
            <w:rStyle w:val="Hyperlink"/>
          </w:rPr>
          <w:t>Compliance with the Disability Act</w:t>
        </w:r>
        <w:r>
          <w:rPr>
            <w:webHidden/>
          </w:rPr>
          <w:tab/>
        </w:r>
        <w:r>
          <w:rPr>
            <w:webHidden/>
          </w:rPr>
          <w:fldChar w:fldCharType="begin"/>
        </w:r>
        <w:r>
          <w:rPr>
            <w:webHidden/>
          </w:rPr>
          <w:instrText xml:space="preserve"> PAGEREF _Toc241131723 \h </w:instrText>
        </w:r>
        <w:r>
          <w:rPr>
            <w:webHidden/>
          </w:rPr>
        </w:r>
        <w:r>
          <w:rPr>
            <w:webHidden/>
          </w:rPr>
          <w:fldChar w:fldCharType="separate"/>
        </w:r>
        <w:r w:rsidR="00756D2C">
          <w:rPr>
            <w:webHidden/>
          </w:rPr>
          <w:t>132</w:t>
        </w:r>
        <w:r>
          <w:rPr>
            <w:webHidden/>
          </w:rPr>
          <w:fldChar w:fldCharType="end"/>
        </w:r>
      </w:hyperlink>
    </w:p>
    <w:p w14:paraId="1AD38520" w14:textId="37784432"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24" w:history="1">
        <w:r w:rsidRPr="00775261">
          <w:rPr>
            <w:rStyle w:val="Hyperlink"/>
            <w:rFonts w:eastAsia="Times"/>
          </w:rPr>
          <w:t>Disclosure of emergency procurement</w:t>
        </w:r>
        <w:r>
          <w:rPr>
            <w:webHidden/>
          </w:rPr>
          <w:tab/>
        </w:r>
        <w:r>
          <w:rPr>
            <w:webHidden/>
          </w:rPr>
          <w:fldChar w:fldCharType="begin"/>
        </w:r>
        <w:r>
          <w:rPr>
            <w:webHidden/>
          </w:rPr>
          <w:instrText xml:space="preserve"> PAGEREF _Toc241131724 \h </w:instrText>
        </w:r>
        <w:r>
          <w:rPr>
            <w:webHidden/>
          </w:rPr>
        </w:r>
        <w:r>
          <w:rPr>
            <w:webHidden/>
          </w:rPr>
          <w:fldChar w:fldCharType="separate"/>
        </w:r>
        <w:r w:rsidR="00756D2C">
          <w:rPr>
            <w:webHidden/>
          </w:rPr>
          <w:t>133</w:t>
        </w:r>
        <w:r>
          <w:rPr>
            <w:webHidden/>
          </w:rPr>
          <w:fldChar w:fldCharType="end"/>
        </w:r>
      </w:hyperlink>
    </w:p>
    <w:p w14:paraId="3FA6E42F" w14:textId="0A812FC5"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25" w:history="1">
        <w:r w:rsidRPr="00775261">
          <w:rPr>
            <w:rStyle w:val="Hyperlink"/>
          </w:rPr>
          <w:t>Disclosure of procurement complaints</w:t>
        </w:r>
        <w:r>
          <w:rPr>
            <w:webHidden/>
          </w:rPr>
          <w:tab/>
        </w:r>
        <w:r>
          <w:rPr>
            <w:webHidden/>
          </w:rPr>
          <w:fldChar w:fldCharType="begin"/>
        </w:r>
        <w:r>
          <w:rPr>
            <w:webHidden/>
          </w:rPr>
          <w:instrText xml:space="preserve"> PAGEREF _Toc241131725 \h </w:instrText>
        </w:r>
        <w:r>
          <w:rPr>
            <w:webHidden/>
          </w:rPr>
        </w:r>
        <w:r>
          <w:rPr>
            <w:webHidden/>
          </w:rPr>
          <w:fldChar w:fldCharType="separate"/>
        </w:r>
        <w:r w:rsidR="00756D2C">
          <w:rPr>
            <w:webHidden/>
          </w:rPr>
          <w:t>133</w:t>
        </w:r>
        <w:r>
          <w:rPr>
            <w:webHidden/>
          </w:rPr>
          <w:fldChar w:fldCharType="end"/>
        </w:r>
      </w:hyperlink>
    </w:p>
    <w:p w14:paraId="008CA476" w14:textId="7088964F"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26" w:history="1">
        <w:r w:rsidRPr="00775261">
          <w:rPr>
            <w:rStyle w:val="Hyperlink"/>
          </w:rPr>
          <w:t>Compliance with DataVic access policy</w:t>
        </w:r>
        <w:r>
          <w:rPr>
            <w:webHidden/>
          </w:rPr>
          <w:tab/>
        </w:r>
        <w:r>
          <w:rPr>
            <w:webHidden/>
          </w:rPr>
          <w:fldChar w:fldCharType="begin"/>
        </w:r>
        <w:r>
          <w:rPr>
            <w:webHidden/>
          </w:rPr>
          <w:instrText xml:space="preserve"> PAGEREF _Toc241131726 \h </w:instrText>
        </w:r>
        <w:r>
          <w:rPr>
            <w:webHidden/>
          </w:rPr>
        </w:r>
        <w:r>
          <w:rPr>
            <w:webHidden/>
          </w:rPr>
          <w:fldChar w:fldCharType="separate"/>
        </w:r>
        <w:r w:rsidR="00756D2C">
          <w:rPr>
            <w:webHidden/>
          </w:rPr>
          <w:t>134</w:t>
        </w:r>
        <w:r>
          <w:rPr>
            <w:webHidden/>
          </w:rPr>
          <w:fldChar w:fldCharType="end"/>
        </w:r>
      </w:hyperlink>
    </w:p>
    <w:p w14:paraId="2E8DFDFD" w14:textId="3CAD6DD8"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27" w:history="1">
        <w:r w:rsidRPr="00775261">
          <w:rPr>
            <w:rStyle w:val="Hyperlink"/>
            <w:rFonts w:eastAsia="Times"/>
          </w:rPr>
          <w:t>Social housing dwelling stock</w:t>
        </w:r>
        <w:r>
          <w:rPr>
            <w:webHidden/>
          </w:rPr>
          <w:tab/>
        </w:r>
        <w:r>
          <w:rPr>
            <w:webHidden/>
          </w:rPr>
          <w:fldChar w:fldCharType="begin"/>
        </w:r>
        <w:r>
          <w:rPr>
            <w:webHidden/>
          </w:rPr>
          <w:instrText xml:space="preserve"> PAGEREF _Toc241131727 \h </w:instrText>
        </w:r>
        <w:r>
          <w:rPr>
            <w:webHidden/>
          </w:rPr>
        </w:r>
        <w:r>
          <w:rPr>
            <w:webHidden/>
          </w:rPr>
          <w:fldChar w:fldCharType="separate"/>
        </w:r>
        <w:r w:rsidR="00756D2C">
          <w:rPr>
            <w:webHidden/>
          </w:rPr>
          <w:t>134</w:t>
        </w:r>
        <w:r>
          <w:rPr>
            <w:webHidden/>
          </w:rPr>
          <w:fldChar w:fldCharType="end"/>
        </w:r>
      </w:hyperlink>
    </w:p>
    <w:p w14:paraId="18559274" w14:textId="304BC2F4"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28" w:history="1">
        <w:r w:rsidRPr="00775261">
          <w:rPr>
            <w:rStyle w:val="Hyperlink"/>
          </w:rPr>
          <w:t>Freedom of information</w:t>
        </w:r>
        <w:r>
          <w:rPr>
            <w:webHidden/>
          </w:rPr>
          <w:tab/>
        </w:r>
        <w:r>
          <w:rPr>
            <w:webHidden/>
          </w:rPr>
          <w:fldChar w:fldCharType="begin"/>
        </w:r>
        <w:r>
          <w:rPr>
            <w:webHidden/>
          </w:rPr>
          <w:instrText xml:space="preserve"> PAGEREF _Toc241131728 \h </w:instrText>
        </w:r>
        <w:r>
          <w:rPr>
            <w:webHidden/>
          </w:rPr>
        </w:r>
        <w:r>
          <w:rPr>
            <w:webHidden/>
          </w:rPr>
          <w:fldChar w:fldCharType="separate"/>
        </w:r>
        <w:r w:rsidR="00756D2C">
          <w:rPr>
            <w:webHidden/>
          </w:rPr>
          <w:t>135</w:t>
        </w:r>
        <w:r>
          <w:rPr>
            <w:webHidden/>
          </w:rPr>
          <w:fldChar w:fldCharType="end"/>
        </w:r>
      </w:hyperlink>
    </w:p>
    <w:p w14:paraId="25E02C52" w14:textId="654E24DA"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29" w:history="1">
        <w:r w:rsidRPr="00775261">
          <w:rPr>
            <w:rStyle w:val="Hyperlink"/>
            <w:rFonts w:eastAsia="MS Gothic"/>
          </w:rPr>
          <w:t xml:space="preserve">Environmental </w:t>
        </w:r>
        <w:r w:rsidRPr="00775261">
          <w:rPr>
            <w:rStyle w:val="Hyperlink"/>
          </w:rPr>
          <w:t>performance</w:t>
        </w:r>
        <w:r w:rsidRPr="00775261">
          <w:rPr>
            <w:rStyle w:val="Hyperlink"/>
            <w:rFonts w:eastAsia="MS Gothic"/>
          </w:rPr>
          <w:t xml:space="preserve"> and impacts</w:t>
        </w:r>
        <w:r>
          <w:rPr>
            <w:webHidden/>
          </w:rPr>
          <w:tab/>
        </w:r>
        <w:r>
          <w:rPr>
            <w:webHidden/>
          </w:rPr>
          <w:fldChar w:fldCharType="begin"/>
        </w:r>
        <w:r>
          <w:rPr>
            <w:webHidden/>
          </w:rPr>
          <w:instrText xml:space="preserve"> PAGEREF _Toc241131729 \h </w:instrText>
        </w:r>
        <w:r>
          <w:rPr>
            <w:webHidden/>
          </w:rPr>
        </w:r>
        <w:r>
          <w:rPr>
            <w:webHidden/>
          </w:rPr>
          <w:fldChar w:fldCharType="separate"/>
        </w:r>
        <w:r w:rsidR="00756D2C">
          <w:rPr>
            <w:webHidden/>
          </w:rPr>
          <w:t>136</w:t>
        </w:r>
        <w:r>
          <w:rPr>
            <w:webHidden/>
          </w:rPr>
          <w:fldChar w:fldCharType="end"/>
        </w:r>
      </w:hyperlink>
    </w:p>
    <w:p w14:paraId="2410FC27" w14:textId="54D34DF7"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30" w:history="1">
        <w:r w:rsidRPr="00775261">
          <w:rPr>
            <w:rStyle w:val="Hyperlink"/>
            <w:rFonts w:eastAsia="Times"/>
          </w:rPr>
          <w:t>Financial management compliance attestation statement</w:t>
        </w:r>
        <w:r>
          <w:rPr>
            <w:webHidden/>
          </w:rPr>
          <w:tab/>
        </w:r>
        <w:r>
          <w:rPr>
            <w:webHidden/>
          </w:rPr>
          <w:fldChar w:fldCharType="begin"/>
        </w:r>
        <w:r>
          <w:rPr>
            <w:webHidden/>
          </w:rPr>
          <w:instrText xml:space="preserve"> PAGEREF _Toc241131730 \h </w:instrText>
        </w:r>
        <w:r>
          <w:rPr>
            <w:webHidden/>
          </w:rPr>
        </w:r>
        <w:r>
          <w:rPr>
            <w:webHidden/>
          </w:rPr>
          <w:fldChar w:fldCharType="separate"/>
        </w:r>
        <w:r w:rsidR="00756D2C">
          <w:rPr>
            <w:webHidden/>
          </w:rPr>
          <w:t>149</w:t>
        </w:r>
        <w:r>
          <w:rPr>
            <w:webHidden/>
          </w:rPr>
          <w:fldChar w:fldCharType="end"/>
        </w:r>
      </w:hyperlink>
    </w:p>
    <w:p w14:paraId="3AA62266" w14:textId="7021E3F6" w:rsidR="00652C2F" w:rsidRDefault="00652C2F">
      <w:pPr>
        <w:pStyle w:val="TOC1"/>
        <w:rPr>
          <w:rFonts w:asciiTheme="minorHAnsi" w:eastAsiaTheme="minorEastAsia" w:hAnsiTheme="minorHAnsi" w:cstheme="minorBidi"/>
          <w:b w:val="0"/>
          <w:kern w:val="2"/>
          <w:sz w:val="24"/>
          <w:szCs w:val="24"/>
          <w:lang w:eastAsia="en-AU"/>
          <w14:ligatures w14:val="standardContextual"/>
        </w:rPr>
      </w:pPr>
      <w:hyperlink w:anchor="_Toc241131731" w:history="1">
        <w:r w:rsidRPr="00775261">
          <w:rPr>
            <w:rStyle w:val="Hyperlink"/>
          </w:rPr>
          <w:t>Section 5: Financial statements for the financial year ended 30 June 2026</w:t>
        </w:r>
        <w:r>
          <w:rPr>
            <w:webHidden/>
          </w:rPr>
          <w:tab/>
        </w:r>
        <w:r>
          <w:rPr>
            <w:webHidden/>
          </w:rPr>
          <w:fldChar w:fldCharType="begin"/>
        </w:r>
        <w:r>
          <w:rPr>
            <w:webHidden/>
          </w:rPr>
          <w:instrText xml:space="preserve"> PAGEREF _Toc241131731 \h </w:instrText>
        </w:r>
        <w:r>
          <w:rPr>
            <w:webHidden/>
          </w:rPr>
        </w:r>
        <w:r>
          <w:rPr>
            <w:webHidden/>
          </w:rPr>
          <w:fldChar w:fldCharType="separate"/>
        </w:r>
        <w:r w:rsidR="00756D2C">
          <w:rPr>
            <w:webHidden/>
          </w:rPr>
          <w:t>150</w:t>
        </w:r>
        <w:r>
          <w:rPr>
            <w:webHidden/>
          </w:rPr>
          <w:fldChar w:fldCharType="end"/>
        </w:r>
      </w:hyperlink>
    </w:p>
    <w:p w14:paraId="1282640F" w14:textId="4D298ED7" w:rsidR="00652C2F" w:rsidRDefault="00652C2F">
      <w:pPr>
        <w:pStyle w:val="TOC1"/>
        <w:rPr>
          <w:rFonts w:asciiTheme="minorHAnsi" w:eastAsiaTheme="minorEastAsia" w:hAnsiTheme="minorHAnsi" w:cstheme="minorBidi"/>
          <w:b w:val="0"/>
          <w:kern w:val="2"/>
          <w:sz w:val="24"/>
          <w:szCs w:val="24"/>
          <w:lang w:eastAsia="en-AU"/>
          <w14:ligatures w14:val="standardContextual"/>
        </w:rPr>
      </w:pPr>
      <w:hyperlink w:anchor="_Toc241131732" w:history="1">
        <w:r w:rsidRPr="00775261">
          <w:rPr>
            <w:rStyle w:val="Hyperlink"/>
          </w:rPr>
          <w:t>Section 6: Appendices</w:t>
        </w:r>
        <w:r>
          <w:rPr>
            <w:webHidden/>
          </w:rPr>
          <w:tab/>
        </w:r>
        <w:r>
          <w:rPr>
            <w:webHidden/>
          </w:rPr>
          <w:fldChar w:fldCharType="begin"/>
        </w:r>
        <w:r>
          <w:rPr>
            <w:webHidden/>
          </w:rPr>
          <w:instrText xml:space="preserve"> PAGEREF _Toc241131732 \h </w:instrText>
        </w:r>
        <w:r>
          <w:rPr>
            <w:webHidden/>
          </w:rPr>
        </w:r>
        <w:r>
          <w:rPr>
            <w:webHidden/>
          </w:rPr>
          <w:fldChar w:fldCharType="separate"/>
        </w:r>
        <w:r w:rsidR="00756D2C">
          <w:rPr>
            <w:webHidden/>
          </w:rPr>
          <w:t>231</w:t>
        </w:r>
        <w:r>
          <w:rPr>
            <w:webHidden/>
          </w:rPr>
          <w:fldChar w:fldCharType="end"/>
        </w:r>
      </w:hyperlink>
    </w:p>
    <w:p w14:paraId="2F4549B3" w14:textId="616A16A0"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33" w:history="1">
        <w:r w:rsidRPr="00775261">
          <w:rPr>
            <w:rStyle w:val="Hyperlink"/>
          </w:rPr>
          <w:t>Appendix 1: Budget portfolio outcomes</w:t>
        </w:r>
        <w:r>
          <w:rPr>
            <w:webHidden/>
          </w:rPr>
          <w:tab/>
        </w:r>
        <w:r>
          <w:rPr>
            <w:webHidden/>
          </w:rPr>
          <w:fldChar w:fldCharType="begin"/>
        </w:r>
        <w:r>
          <w:rPr>
            <w:webHidden/>
          </w:rPr>
          <w:instrText xml:space="preserve"> PAGEREF _Toc241131733 \h </w:instrText>
        </w:r>
        <w:r>
          <w:rPr>
            <w:webHidden/>
          </w:rPr>
        </w:r>
        <w:r>
          <w:rPr>
            <w:webHidden/>
          </w:rPr>
          <w:fldChar w:fldCharType="separate"/>
        </w:r>
        <w:r w:rsidR="00756D2C">
          <w:rPr>
            <w:webHidden/>
          </w:rPr>
          <w:t>231</w:t>
        </w:r>
        <w:r>
          <w:rPr>
            <w:webHidden/>
          </w:rPr>
          <w:fldChar w:fldCharType="end"/>
        </w:r>
      </w:hyperlink>
    </w:p>
    <w:p w14:paraId="10291EFD" w14:textId="2B8CB2F1"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34" w:history="1">
        <w:r w:rsidRPr="00775261">
          <w:rPr>
            <w:rStyle w:val="Hyperlink"/>
            <w:lang w:eastAsia="en-AU"/>
          </w:rPr>
          <w:t>Appendix 2: Homes Victoria</w:t>
        </w:r>
        <w:r>
          <w:rPr>
            <w:webHidden/>
          </w:rPr>
          <w:tab/>
        </w:r>
        <w:r>
          <w:rPr>
            <w:webHidden/>
          </w:rPr>
          <w:fldChar w:fldCharType="begin"/>
        </w:r>
        <w:r>
          <w:rPr>
            <w:webHidden/>
          </w:rPr>
          <w:instrText xml:space="preserve"> PAGEREF _Toc241131734 \h </w:instrText>
        </w:r>
        <w:r>
          <w:rPr>
            <w:webHidden/>
          </w:rPr>
        </w:r>
        <w:r>
          <w:rPr>
            <w:webHidden/>
          </w:rPr>
          <w:fldChar w:fldCharType="separate"/>
        </w:r>
        <w:r w:rsidR="00756D2C">
          <w:rPr>
            <w:webHidden/>
          </w:rPr>
          <w:t>236</w:t>
        </w:r>
        <w:r>
          <w:rPr>
            <w:webHidden/>
          </w:rPr>
          <w:fldChar w:fldCharType="end"/>
        </w:r>
      </w:hyperlink>
    </w:p>
    <w:p w14:paraId="149683EA" w14:textId="1CF047D8"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35" w:history="1">
        <w:r w:rsidRPr="00775261">
          <w:rPr>
            <w:rStyle w:val="Hyperlink"/>
          </w:rPr>
          <w:t>Appendix 3: Grants and transfer payments</w:t>
        </w:r>
        <w:r>
          <w:rPr>
            <w:webHidden/>
          </w:rPr>
          <w:tab/>
        </w:r>
        <w:r>
          <w:rPr>
            <w:webHidden/>
          </w:rPr>
          <w:fldChar w:fldCharType="begin"/>
        </w:r>
        <w:r>
          <w:rPr>
            <w:webHidden/>
          </w:rPr>
          <w:instrText xml:space="preserve"> PAGEREF _Toc241131735 \h </w:instrText>
        </w:r>
        <w:r>
          <w:rPr>
            <w:webHidden/>
          </w:rPr>
        </w:r>
        <w:r>
          <w:rPr>
            <w:webHidden/>
          </w:rPr>
          <w:fldChar w:fldCharType="separate"/>
        </w:r>
        <w:r w:rsidR="00756D2C">
          <w:rPr>
            <w:webHidden/>
          </w:rPr>
          <w:t>240</w:t>
        </w:r>
        <w:r>
          <w:rPr>
            <w:webHidden/>
          </w:rPr>
          <w:fldChar w:fldCharType="end"/>
        </w:r>
      </w:hyperlink>
    </w:p>
    <w:p w14:paraId="6D4F5DBB" w14:textId="40D5A556"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36" w:history="1">
        <w:r w:rsidRPr="00775261">
          <w:rPr>
            <w:rStyle w:val="Hyperlink"/>
          </w:rPr>
          <w:t>Appendix 4: Additional departmental information available on request</w:t>
        </w:r>
        <w:r>
          <w:rPr>
            <w:webHidden/>
          </w:rPr>
          <w:tab/>
        </w:r>
        <w:r>
          <w:rPr>
            <w:webHidden/>
          </w:rPr>
          <w:fldChar w:fldCharType="begin"/>
        </w:r>
        <w:r>
          <w:rPr>
            <w:webHidden/>
          </w:rPr>
          <w:instrText xml:space="preserve"> PAGEREF _Toc241131736 \h </w:instrText>
        </w:r>
        <w:r>
          <w:rPr>
            <w:webHidden/>
          </w:rPr>
        </w:r>
        <w:r>
          <w:rPr>
            <w:webHidden/>
          </w:rPr>
          <w:fldChar w:fldCharType="separate"/>
        </w:r>
        <w:r w:rsidR="00756D2C">
          <w:rPr>
            <w:webHidden/>
          </w:rPr>
          <w:t>259</w:t>
        </w:r>
        <w:r>
          <w:rPr>
            <w:webHidden/>
          </w:rPr>
          <w:fldChar w:fldCharType="end"/>
        </w:r>
      </w:hyperlink>
    </w:p>
    <w:p w14:paraId="18CBB1D7" w14:textId="039F8673" w:rsidR="00652C2F" w:rsidRDefault="00652C2F">
      <w:pPr>
        <w:pStyle w:val="TOC2"/>
        <w:rPr>
          <w:rFonts w:asciiTheme="minorHAnsi" w:eastAsiaTheme="minorEastAsia" w:hAnsiTheme="minorHAnsi" w:cstheme="minorBidi"/>
          <w:kern w:val="2"/>
          <w:sz w:val="24"/>
          <w:szCs w:val="24"/>
          <w:lang w:eastAsia="en-AU"/>
          <w14:ligatures w14:val="standardContextual"/>
        </w:rPr>
      </w:pPr>
      <w:hyperlink w:anchor="_Toc241131737" w:history="1">
        <w:r w:rsidRPr="00775261">
          <w:rPr>
            <w:rStyle w:val="Hyperlink"/>
          </w:rPr>
          <w:t>Appendix 5: Disclosure index</w:t>
        </w:r>
        <w:r>
          <w:rPr>
            <w:webHidden/>
          </w:rPr>
          <w:tab/>
        </w:r>
        <w:r>
          <w:rPr>
            <w:webHidden/>
          </w:rPr>
          <w:fldChar w:fldCharType="begin"/>
        </w:r>
        <w:r>
          <w:rPr>
            <w:webHidden/>
          </w:rPr>
          <w:instrText xml:space="preserve"> PAGEREF _Toc241131737 \h </w:instrText>
        </w:r>
        <w:r>
          <w:rPr>
            <w:webHidden/>
          </w:rPr>
        </w:r>
        <w:r>
          <w:rPr>
            <w:webHidden/>
          </w:rPr>
          <w:fldChar w:fldCharType="separate"/>
        </w:r>
        <w:r w:rsidR="00756D2C">
          <w:rPr>
            <w:webHidden/>
          </w:rPr>
          <w:t>260</w:t>
        </w:r>
        <w:r>
          <w:rPr>
            <w:webHidden/>
          </w:rPr>
          <w:fldChar w:fldCharType="end"/>
        </w:r>
      </w:hyperlink>
    </w:p>
    <w:p w14:paraId="22EF3A89" w14:textId="597255F4" w:rsidR="00595C2A" w:rsidRPr="00F45F11" w:rsidRDefault="00305D03" w:rsidP="006F47CA">
      <w:pPr>
        <w:pStyle w:val="ARBody"/>
      </w:pPr>
      <w:r w:rsidRPr="000E348D">
        <w:rPr>
          <w:noProof/>
          <w:sz w:val="21"/>
        </w:rPr>
        <w:fldChar w:fldCharType="end"/>
      </w:r>
      <w:r w:rsidR="00595C2A" w:rsidRPr="00F45F11">
        <w:br w:type="page"/>
      </w:r>
    </w:p>
    <w:p w14:paraId="3D30CF71" w14:textId="77777777" w:rsidR="00FC4783" w:rsidRPr="00F45F11" w:rsidRDefault="00FC4783" w:rsidP="006F47CA">
      <w:pPr>
        <w:pStyle w:val="ARBody"/>
        <w:sectPr w:rsidR="00FC4783" w:rsidRPr="00F45F11" w:rsidSect="00E7077C">
          <w:headerReference w:type="even" r:id="rId19"/>
          <w:headerReference w:type="default" r:id="rId20"/>
          <w:footerReference w:type="even" r:id="rId21"/>
          <w:footerReference w:type="default" r:id="rId22"/>
          <w:headerReference w:type="first" r:id="rId23"/>
          <w:pgSz w:w="11906" w:h="16838" w:code="9"/>
          <w:pgMar w:top="1588" w:right="1134" w:bottom="851" w:left="1134" w:header="680" w:footer="567" w:gutter="0"/>
          <w:cols w:space="340"/>
          <w:docGrid w:linePitch="360"/>
        </w:sectPr>
      </w:pPr>
      <w:bookmarkStart w:id="7" w:name="_Toc114491178"/>
    </w:p>
    <w:p w14:paraId="4ABD1C1E" w14:textId="77777777" w:rsidR="008B5EAB" w:rsidRDefault="00631214" w:rsidP="004127EA">
      <w:pPr>
        <w:pStyle w:val="Heading1"/>
        <w:spacing w:before="0"/>
      </w:pPr>
      <w:bookmarkStart w:id="8" w:name="_Toc241131681"/>
      <w:r w:rsidRPr="00F45F11">
        <w:lastRenderedPageBreak/>
        <w:t>Section 1: About the department</w:t>
      </w:r>
      <w:bookmarkEnd w:id="7"/>
      <w:bookmarkEnd w:id="8"/>
    </w:p>
    <w:p w14:paraId="6B630076" w14:textId="501594FE" w:rsidR="00E7077C" w:rsidRPr="00E7077C" w:rsidRDefault="00544D54" w:rsidP="00E7077C">
      <w:pPr>
        <w:pStyle w:val="Heading2"/>
        <w:spacing w:before="120"/>
        <w:rPr>
          <w:rFonts w:eastAsia="Times"/>
        </w:rPr>
      </w:pPr>
      <w:bookmarkStart w:id="9" w:name="_Toc212039505"/>
      <w:bookmarkStart w:id="10" w:name="_Toc241131682"/>
      <w:r w:rsidRPr="00F45F11">
        <w:rPr>
          <w:rFonts w:eastAsia="Times"/>
        </w:rPr>
        <w:t>Secretary’s forewor</w:t>
      </w:r>
      <w:bookmarkEnd w:id="9"/>
      <w:r w:rsidRPr="00F45F11">
        <w:rPr>
          <w:rFonts w:eastAsia="Times"/>
        </w:rPr>
        <w:t>d</w:t>
      </w:r>
      <w:bookmarkEnd w:id="10"/>
    </w:p>
    <w:p w14:paraId="4072A067" w14:textId="0B40DAEC" w:rsidR="00544D54" w:rsidRPr="00F45F11" w:rsidRDefault="00544D54" w:rsidP="001A1EC5">
      <w:pPr>
        <w:pStyle w:val="ARIntrotext"/>
      </w:pPr>
      <w:bookmarkStart w:id="11" w:name="_Hlk207374452"/>
      <w:bookmarkEnd w:id="11"/>
      <w:r w:rsidRPr="00F45F11">
        <w:t>I acknowledge the Traditional Owners of</w:t>
      </w:r>
      <w:r w:rsidR="00AD5295">
        <w:t> </w:t>
      </w:r>
      <w:r w:rsidRPr="00F45F11">
        <w:t>the lands across Victoria and pay my respects to all First Peoples, including their</w:t>
      </w:r>
      <w:r w:rsidR="00AD5295">
        <w:t> </w:t>
      </w:r>
      <w:r w:rsidRPr="00F45F11">
        <w:t>Elders past and present.</w:t>
      </w:r>
    </w:p>
    <w:p w14:paraId="08806BF5" w14:textId="365F2DF2" w:rsidR="00544D54" w:rsidRPr="00F45F11" w:rsidRDefault="00544D54" w:rsidP="00544D54">
      <w:pPr>
        <w:pStyle w:val="ARBody"/>
      </w:pPr>
      <w:r w:rsidRPr="00F45F11">
        <w:t>On behalf of the Department of Families, Fairness</w:t>
      </w:r>
      <w:r w:rsidR="00FE5C9E">
        <w:t> </w:t>
      </w:r>
      <w:r w:rsidRPr="00F45F11">
        <w:t>and Housing, I am proud to present the</w:t>
      </w:r>
      <w:r w:rsidR="00E7077C">
        <w:t xml:space="preserve"> </w:t>
      </w:r>
      <w:r w:rsidRPr="00F45F11">
        <w:t>2025</w:t>
      </w:r>
      <w:r w:rsidR="00692890" w:rsidRPr="00F45F11">
        <w:t>–</w:t>
      </w:r>
      <w:r w:rsidRPr="00F45F11">
        <w:t>26</w:t>
      </w:r>
      <w:r w:rsidR="00E7077C">
        <w:t xml:space="preserve"> </w:t>
      </w:r>
      <w:r w:rsidRPr="00F45F11">
        <w:t>annual report.</w:t>
      </w:r>
    </w:p>
    <w:p w14:paraId="4747E0FA" w14:textId="35A4F615" w:rsidR="00753F15" w:rsidRPr="00F45F11" w:rsidRDefault="00544D54" w:rsidP="00544D54">
      <w:pPr>
        <w:pStyle w:val="ARBody"/>
      </w:pPr>
      <w:r w:rsidRPr="00F45F11">
        <w:t>Our department</w:t>
      </w:r>
      <w:r w:rsidR="00753F15" w:rsidRPr="00F45F11">
        <w:t>’s vision is for</w:t>
      </w:r>
      <w:r w:rsidRPr="00F45F11">
        <w:t xml:space="preserve"> safe and supported children and families</w:t>
      </w:r>
      <w:r w:rsidR="00753F15" w:rsidRPr="00F45F11">
        <w:t xml:space="preserve"> </w:t>
      </w:r>
      <w:r w:rsidRPr="00F45F11">
        <w:t>in stable homes and strong</w:t>
      </w:r>
      <w:r w:rsidR="00FE5C9E">
        <w:t> </w:t>
      </w:r>
      <w:r w:rsidRPr="00F45F11">
        <w:t>communities.</w:t>
      </w:r>
    </w:p>
    <w:p w14:paraId="41BA55FE" w14:textId="3A9C4CFE" w:rsidR="00544D54" w:rsidRPr="00F45F11" w:rsidRDefault="00544D54" w:rsidP="00544D54">
      <w:pPr>
        <w:pStyle w:val="ARBody"/>
      </w:pPr>
      <w:r w:rsidRPr="00F45F11">
        <w:t xml:space="preserve">We </w:t>
      </w:r>
      <w:r w:rsidR="00AF68C8" w:rsidRPr="00F45F11">
        <w:t>work towards</w:t>
      </w:r>
      <w:r w:rsidRPr="00F45F11">
        <w:t xml:space="preserve"> this by standing up for inclusion, supporting human rights and equity, </w:t>
      </w:r>
      <w:r w:rsidR="00212AA9">
        <w:t xml:space="preserve">keeping children and </w:t>
      </w:r>
      <w:r w:rsidR="00501479">
        <w:t>families connected and safe, working to</w:t>
      </w:r>
      <w:r w:rsidR="00C742C3">
        <w:t> </w:t>
      </w:r>
      <w:r w:rsidR="00501479">
        <w:t>prevent and respond to family violence,</w:t>
      </w:r>
      <w:r w:rsidR="004B221B">
        <w:t xml:space="preserve"> supporting people with disability</w:t>
      </w:r>
      <w:r w:rsidRPr="00F45F11">
        <w:t>, and delivering social and affordable housing and support to</w:t>
      </w:r>
      <w:r w:rsidR="00FE5C9E">
        <w:t> </w:t>
      </w:r>
      <w:r w:rsidRPr="00F45F11">
        <w:t>Victorians who</w:t>
      </w:r>
      <w:r w:rsidR="0096500B" w:rsidRPr="00F45F11">
        <w:t> </w:t>
      </w:r>
      <w:r w:rsidRPr="00F45F11">
        <w:t>need it.</w:t>
      </w:r>
    </w:p>
    <w:p w14:paraId="2481CFC3" w14:textId="3EECB106" w:rsidR="00544D54" w:rsidRPr="00F45F11" w:rsidRDefault="00544D54" w:rsidP="00544D54">
      <w:pPr>
        <w:pStyle w:val="ARBody"/>
      </w:pPr>
      <w:r w:rsidRPr="00F45F11">
        <w:t xml:space="preserve">We provide crucial real-world supports that improve Victorians’ lives, while also addressing the systems and policies that underpin inequality. </w:t>
      </w:r>
    </w:p>
    <w:p w14:paraId="230C2131" w14:textId="79C432CA" w:rsidR="00544D54" w:rsidRPr="00F45F11" w:rsidRDefault="00544D54" w:rsidP="00544D54">
      <w:pPr>
        <w:pStyle w:val="ARBody"/>
      </w:pPr>
      <w:r w:rsidRPr="00F45F11">
        <w:t>This includes recognising and addressing the systems and structures that have negatively affected our First Nations communities over many years and continuing to embed Aboriginal self-determination into our work.</w:t>
      </w:r>
    </w:p>
    <w:p w14:paraId="236214DE" w14:textId="00EF0677" w:rsidR="00544D54" w:rsidRPr="00F45F11" w:rsidRDefault="00544D54" w:rsidP="00544D54">
      <w:pPr>
        <w:pStyle w:val="ARBody"/>
      </w:pPr>
      <w:r w:rsidRPr="00F45F11">
        <w:t>Our Aboriginal Self-Determination and Outcomes Division continues to lead this effort, always with the understanding that First Peoples are best placed to make decisions over matters that affect their lives.</w:t>
      </w:r>
    </w:p>
    <w:p w14:paraId="04C747BE" w14:textId="5649FF14" w:rsidR="00544D54" w:rsidRPr="00F45F11" w:rsidRDefault="00544D54" w:rsidP="00544D54">
      <w:pPr>
        <w:pStyle w:val="ARBody"/>
      </w:pPr>
      <w:r w:rsidRPr="00F45F11">
        <w:t xml:space="preserve">Our people are one of the department’s greatest assets. I am proud of our workforce, which is dedicated to making Victoria </w:t>
      </w:r>
      <w:r w:rsidR="006F1906">
        <w:t xml:space="preserve">our state </w:t>
      </w:r>
      <w:r w:rsidR="00366507">
        <w:t xml:space="preserve">safer, fairer and more inclusive </w:t>
      </w:r>
      <w:r w:rsidRPr="00F45F11">
        <w:t xml:space="preserve">for every Victorian – regardless of who they are or where they live. </w:t>
      </w:r>
    </w:p>
    <w:p w14:paraId="6C17F540" w14:textId="2B8B9304" w:rsidR="00544D54" w:rsidRPr="00F45F11" w:rsidRDefault="00544D54" w:rsidP="00544D54">
      <w:pPr>
        <w:pStyle w:val="ARBody"/>
      </w:pPr>
      <w:r w:rsidRPr="00F45F11">
        <w:t>The department continues to improve the lives of at-risk people across the state</w:t>
      </w:r>
      <w:r w:rsidR="002301D3" w:rsidRPr="00F45F11">
        <w:t xml:space="preserve">. This report highlights </w:t>
      </w:r>
      <w:r w:rsidRPr="00F45F11">
        <w:t>many examples of</w:t>
      </w:r>
      <w:r w:rsidR="002301D3" w:rsidRPr="00F45F11">
        <w:t xml:space="preserve"> our</w:t>
      </w:r>
      <w:r w:rsidRPr="00F45F11">
        <w:t xml:space="preserve"> progress, including many Australian-first initiatives.</w:t>
      </w:r>
    </w:p>
    <w:p w14:paraId="229EF7A8" w14:textId="6701C44A" w:rsidR="00544D54" w:rsidRPr="00F45F11" w:rsidRDefault="00544D54" w:rsidP="00544D54">
      <w:pPr>
        <w:pStyle w:val="ARBody"/>
      </w:pPr>
      <w:r w:rsidRPr="00F45F11">
        <w:t>In 2025</w:t>
      </w:r>
      <w:r w:rsidR="00692890" w:rsidRPr="00F45F11">
        <w:t>–</w:t>
      </w:r>
      <w:r w:rsidRPr="00F45F11">
        <w:t>26, the department:</w:t>
      </w:r>
    </w:p>
    <w:p w14:paraId="6DA380FF" w14:textId="49D439ED" w:rsidR="00544D54" w:rsidRPr="00F45F11" w:rsidRDefault="00544D54" w:rsidP="00544D54">
      <w:pPr>
        <w:pStyle w:val="ARBody"/>
        <w:rPr>
          <w:rStyle w:val="Strong"/>
        </w:rPr>
      </w:pPr>
      <w:r w:rsidRPr="00F45F11">
        <w:rPr>
          <w:rStyle w:val="Strong"/>
        </w:rPr>
        <w:t>Supported Aboriginal self-determination, truth-telling and Treaty</w:t>
      </w:r>
    </w:p>
    <w:p w14:paraId="3498A934" w14:textId="27F0C966" w:rsidR="00544D54" w:rsidRPr="00F45F11" w:rsidRDefault="000F14B0" w:rsidP="00692890">
      <w:pPr>
        <w:pStyle w:val="ARBullet1"/>
      </w:pPr>
      <w:r>
        <w:t>c</w:t>
      </w:r>
      <w:r w:rsidR="00544D54" w:rsidRPr="00F45F11">
        <w:t>ommenced work to ensure all staff are prepared for and familiar with the commitments under the Statewide Treaty</w:t>
      </w:r>
      <w:r w:rsidR="007A4993">
        <w:t xml:space="preserve"> which was signed by</w:t>
      </w:r>
      <w:r w:rsidR="00FE5C9E">
        <w:t> </w:t>
      </w:r>
      <w:r w:rsidR="007A4993">
        <w:t>the First Peoples’ Assembly of Victoria and the State.</w:t>
      </w:r>
    </w:p>
    <w:p w14:paraId="5F9FFF63" w14:textId="1E501BEC" w:rsidR="00544D54" w:rsidRPr="00F45F11" w:rsidRDefault="00544D54" w:rsidP="008937A6">
      <w:pPr>
        <w:pStyle w:val="ARBullet1"/>
      </w:pPr>
      <w:r w:rsidRPr="00F45F11">
        <w:t xml:space="preserve">continued support for the Aboriginal Children’s Forum including the development of a refreshed four-year </w:t>
      </w:r>
      <w:proofErr w:type="spellStart"/>
      <w:r w:rsidRPr="00F45F11">
        <w:rPr>
          <w:rStyle w:val="Emphasis"/>
        </w:rPr>
        <w:t>Wungurilwil</w:t>
      </w:r>
      <w:proofErr w:type="spellEnd"/>
      <w:r w:rsidRPr="00F45F11">
        <w:rPr>
          <w:rStyle w:val="Emphasis"/>
        </w:rPr>
        <w:t xml:space="preserve"> </w:t>
      </w:r>
      <w:proofErr w:type="spellStart"/>
      <w:r w:rsidRPr="00F45F11">
        <w:rPr>
          <w:rStyle w:val="Emphasis"/>
        </w:rPr>
        <w:t>Gapgapduir</w:t>
      </w:r>
      <w:proofErr w:type="spellEnd"/>
      <w:r w:rsidRPr="00F45F11">
        <w:rPr>
          <w:rStyle w:val="Emphasis"/>
        </w:rPr>
        <w:t xml:space="preserve"> strategic action plan </w:t>
      </w:r>
      <w:r w:rsidRPr="00F45F11">
        <w:t>to advance an Aboriginal-led child and family services system</w:t>
      </w:r>
    </w:p>
    <w:p w14:paraId="18156E75" w14:textId="6DBF1A47" w:rsidR="00544D54" w:rsidRPr="00F45F11" w:rsidRDefault="00544D54" w:rsidP="00692890">
      <w:pPr>
        <w:pStyle w:val="ARBullet1"/>
      </w:pPr>
      <w:r w:rsidRPr="00F45F11">
        <w:t xml:space="preserve">funded </w:t>
      </w:r>
      <w:r w:rsidRPr="00F45F11">
        <w:rPr>
          <w:rStyle w:val="Emphasis"/>
        </w:rPr>
        <w:t xml:space="preserve">Korin </w:t>
      </w:r>
      <w:proofErr w:type="spellStart"/>
      <w:r w:rsidRPr="00F45F11">
        <w:rPr>
          <w:rStyle w:val="Emphasis"/>
        </w:rPr>
        <w:t>Korin</w:t>
      </w:r>
      <w:proofErr w:type="spellEnd"/>
      <w:r w:rsidRPr="00F45F11">
        <w:rPr>
          <w:rStyle w:val="Emphasis"/>
        </w:rPr>
        <w:t xml:space="preserve"> Balit-</w:t>
      </w:r>
      <w:proofErr w:type="spellStart"/>
      <w:r w:rsidRPr="00F45F11">
        <w:rPr>
          <w:rStyle w:val="Emphasis"/>
        </w:rPr>
        <w:t>Djak</w:t>
      </w:r>
      <w:proofErr w:type="spellEnd"/>
      <w:r w:rsidRPr="00F45F11">
        <w:rPr>
          <w:rStyle w:val="Emphasis"/>
        </w:rPr>
        <w:t xml:space="preserve"> </w:t>
      </w:r>
      <w:r w:rsidRPr="00067149">
        <w:rPr>
          <w:rStyle w:val="Emphasis"/>
          <w:i w:val="0"/>
          <w:iCs w:val="0"/>
        </w:rPr>
        <w:t>(KKBD)</w:t>
      </w:r>
      <w:r w:rsidRPr="00F45F11">
        <w:rPr>
          <w:rStyle w:val="Emphasis"/>
        </w:rPr>
        <w:t xml:space="preserve"> </w:t>
      </w:r>
      <w:r w:rsidRPr="00F45F11">
        <w:t>to support Aboriginal Community-Controlled Organisations (ACCO) and community-led initiatives that strengthened Aboriginal governance, self-determination, cultural safety and</w:t>
      </w:r>
      <w:r w:rsidR="00FE5C9E">
        <w:t> </w:t>
      </w:r>
      <w:r w:rsidRPr="00F45F11">
        <w:t>community</w:t>
      </w:r>
      <w:r w:rsidR="008B5EAB" w:rsidRPr="00F45F11">
        <w:t> </w:t>
      </w:r>
      <w:r w:rsidRPr="00F45F11">
        <w:t>wellbeing</w:t>
      </w:r>
    </w:p>
    <w:p w14:paraId="093B2ACA" w14:textId="2E183E00" w:rsidR="00544D54" w:rsidRPr="00F45F11" w:rsidRDefault="00544D54" w:rsidP="00692890">
      <w:pPr>
        <w:pStyle w:val="ARBullet1"/>
      </w:pPr>
      <w:r w:rsidRPr="00F45F11">
        <w:t>further expanded the Aboriginal Children in Aboriginal Care (ACAC) program to six (6) teams</w:t>
      </w:r>
      <w:r w:rsidR="00FE5C9E">
        <w:t> </w:t>
      </w:r>
      <w:r w:rsidRPr="00F45F11">
        <w:t>across the state, providing services to an</w:t>
      </w:r>
      <w:r w:rsidR="00FE5C9E">
        <w:t> </w:t>
      </w:r>
      <w:r w:rsidRPr="00F45F11">
        <w:t xml:space="preserve">additional </w:t>
      </w:r>
      <w:r w:rsidR="00EC4B49">
        <w:t>137</w:t>
      </w:r>
      <w:r w:rsidR="00EC4B49" w:rsidRPr="00F45F11">
        <w:t xml:space="preserve"> </w:t>
      </w:r>
      <w:r w:rsidRPr="00F45F11">
        <w:t>children</w:t>
      </w:r>
      <w:r w:rsidR="00EC4B49">
        <w:t xml:space="preserve">, increasing the total number of </w:t>
      </w:r>
      <w:r w:rsidR="009E7DDD">
        <w:t xml:space="preserve">authorised </w:t>
      </w:r>
      <w:r w:rsidR="00EC4B49">
        <w:t>Aboriginal children and young people to 586.</w:t>
      </w:r>
      <w:r w:rsidRPr="00F45F11">
        <w:t xml:space="preserve"> </w:t>
      </w:r>
    </w:p>
    <w:p w14:paraId="20126472" w14:textId="77777777" w:rsidR="00544D54" w:rsidRPr="00F45F11" w:rsidRDefault="00544D54" w:rsidP="00E7077C">
      <w:pPr>
        <w:pStyle w:val="ARBodyaftertablefigure"/>
        <w:rPr>
          <w:rStyle w:val="Strong"/>
        </w:rPr>
      </w:pPr>
      <w:r w:rsidRPr="00F45F11">
        <w:rPr>
          <w:rStyle w:val="Strong"/>
        </w:rPr>
        <w:t>Delivered for the community</w:t>
      </w:r>
    </w:p>
    <w:p w14:paraId="7CA43A09" w14:textId="4AF73412" w:rsidR="00544D54" w:rsidRPr="00F45F11" w:rsidRDefault="00544D54" w:rsidP="00692890">
      <w:pPr>
        <w:pStyle w:val="ARBullet1"/>
      </w:pPr>
      <w:r w:rsidRPr="00F45F11">
        <w:t>began work on the next state disability plan</w:t>
      </w:r>
      <w:r w:rsidR="009532F5" w:rsidRPr="00F45F11">
        <w:t>. This</w:t>
      </w:r>
      <w:r w:rsidR="00FE5C9E">
        <w:t> </w:t>
      </w:r>
      <w:r w:rsidR="009532F5" w:rsidRPr="00F45F11">
        <w:t>included</w:t>
      </w:r>
      <w:r w:rsidRPr="00F45F11">
        <w:t xml:space="preserve"> public consultation between April</w:t>
      </w:r>
      <w:r w:rsidR="00FE5C9E">
        <w:t> </w:t>
      </w:r>
      <w:r w:rsidRPr="00F45F11">
        <w:t>and</w:t>
      </w:r>
      <w:r w:rsidR="00692890" w:rsidRPr="00F45F11">
        <w:t> </w:t>
      </w:r>
      <w:r w:rsidRPr="00F45F11">
        <w:t>July</w:t>
      </w:r>
      <w:r w:rsidR="00E7077C">
        <w:t> </w:t>
      </w:r>
      <w:r w:rsidRPr="00F45F11">
        <w:t>2026</w:t>
      </w:r>
    </w:p>
    <w:p w14:paraId="43535631" w14:textId="49D1F9F6" w:rsidR="00544D54" w:rsidRPr="00F45F11" w:rsidRDefault="0081669B" w:rsidP="00692890">
      <w:pPr>
        <w:pStyle w:val="ARBullet1"/>
      </w:pPr>
      <w:r w:rsidRPr="00F45F11">
        <w:t>funded</w:t>
      </w:r>
      <w:r w:rsidR="00544D54" w:rsidRPr="00F45F11">
        <w:t xml:space="preserve"> organisations to assist an</w:t>
      </w:r>
      <w:r w:rsidR="00692890" w:rsidRPr="00F45F11">
        <w:t> </w:t>
      </w:r>
      <w:r w:rsidR="00544D54" w:rsidRPr="00F45F11">
        <w:t>extra 800</w:t>
      </w:r>
      <w:r w:rsidR="00FE5C9E">
        <w:t> </w:t>
      </w:r>
      <w:r w:rsidR="00544D54" w:rsidRPr="00F45F11">
        <w:t xml:space="preserve">Victorians </w:t>
      </w:r>
      <w:r w:rsidR="00DB713A">
        <w:t xml:space="preserve">to access </w:t>
      </w:r>
      <w:r w:rsidR="00544D54" w:rsidRPr="00F45F11">
        <w:t>disability</w:t>
      </w:r>
      <w:r w:rsidR="00DB713A">
        <w:t xml:space="preserve"> </w:t>
      </w:r>
      <w:r w:rsidR="00D84344">
        <w:t>advocacy</w:t>
      </w:r>
    </w:p>
    <w:p w14:paraId="6F1E776E" w14:textId="69CE1658" w:rsidR="00544D54" w:rsidRPr="00F45F11" w:rsidRDefault="00544D54" w:rsidP="00692890">
      <w:pPr>
        <w:pStyle w:val="ARBullet1"/>
      </w:pPr>
      <w:r w:rsidRPr="00F45F11">
        <w:t xml:space="preserve">progressed changes to Part 12A of the </w:t>
      </w:r>
      <w:r w:rsidRPr="00F45F11">
        <w:rPr>
          <w:rStyle w:val="Emphasis"/>
        </w:rPr>
        <w:t>Residential Tenancies Act 1997</w:t>
      </w:r>
      <w:r w:rsidRPr="00F45F11">
        <w:t xml:space="preserve"> to help protect the rights of</w:t>
      </w:r>
      <w:r w:rsidR="00E7077C">
        <w:t> </w:t>
      </w:r>
      <w:r w:rsidRPr="00F45F11">
        <w:t>people with disability in specialist disability accommodation (SDA)</w:t>
      </w:r>
    </w:p>
    <w:p w14:paraId="2DDFB183" w14:textId="4D6545BE" w:rsidR="00692890" w:rsidRPr="00F45F11" w:rsidRDefault="00544D54">
      <w:pPr>
        <w:pStyle w:val="ARBullet1"/>
      </w:pPr>
      <w:r w:rsidRPr="00F45F11">
        <w:t xml:space="preserve">completed new </w:t>
      </w:r>
      <w:r w:rsidR="003B689F">
        <w:t xml:space="preserve">innovative </w:t>
      </w:r>
      <w:r w:rsidRPr="00F45F11">
        <w:t>SDA homes</w:t>
      </w:r>
      <w:r w:rsidR="008F4A9D">
        <w:t>, including</w:t>
      </w:r>
      <w:r w:rsidR="00AD5295">
        <w:t> </w:t>
      </w:r>
      <w:r w:rsidR="008F4A9D">
        <w:t xml:space="preserve">an </w:t>
      </w:r>
      <w:r w:rsidR="005B4772">
        <w:t>award-winning</w:t>
      </w:r>
      <w:r w:rsidR="003B689F">
        <w:t xml:space="preserve"> home for residents with complex</w:t>
      </w:r>
      <w:r w:rsidR="00E7077C">
        <w:t> </w:t>
      </w:r>
      <w:r w:rsidR="003B689F">
        <w:t>disabilities</w:t>
      </w:r>
      <w:r w:rsidR="000D67BA">
        <w:t xml:space="preserve"> </w:t>
      </w:r>
    </w:p>
    <w:p w14:paraId="591D4D6B" w14:textId="5760062F" w:rsidR="00544D54" w:rsidRPr="00F45F11" w:rsidRDefault="00544D54">
      <w:pPr>
        <w:pStyle w:val="ARBullet1"/>
      </w:pPr>
      <w:r w:rsidRPr="00F45F11">
        <w:t xml:space="preserve">provided </w:t>
      </w:r>
      <w:r w:rsidR="00244B73">
        <w:t xml:space="preserve">funding to </w:t>
      </w:r>
      <w:r w:rsidR="009532F5" w:rsidRPr="00F45F11">
        <w:t xml:space="preserve">6 </w:t>
      </w:r>
      <w:r w:rsidRPr="00F45F11">
        <w:t>Community Support Groups (CSGs) to support more than 2,500 South Sudanese, Somali, Afghan and Pasifika young people and</w:t>
      </w:r>
      <w:r w:rsidR="00FE5C9E">
        <w:t> </w:t>
      </w:r>
      <w:r w:rsidRPr="00F45F11">
        <w:t>their families</w:t>
      </w:r>
    </w:p>
    <w:p w14:paraId="542FDEB5" w14:textId="2EB2B758" w:rsidR="00544D54" w:rsidRPr="00F45F11" w:rsidRDefault="00544D54" w:rsidP="00692890">
      <w:pPr>
        <w:pStyle w:val="ARBullet1"/>
      </w:pPr>
      <w:r w:rsidRPr="00F45F11">
        <w:t xml:space="preserve">delivered Youth Alcohol and Other Drugs (AOD) outreach </w:t>
      </w:r>
      <w:r w:rsidR="004D31C7">
        <w:t>sup</w:t>
      </w:r>
      <w:r w:rsidR="009E1E57">
        <w:t>p</w:t>
      </w:r>
      <w:r w:rsidR="004D31C7">
        <w:t>ort</w:t>
      </w:r>
      <w:r w:rsidR="003E187A">
        <w:t xml:space="preserve"> </w:t>
      </w:r>
      <w:r w:rsidRPr="00F45F11">
        <w:t>–</w:t>
      </w:r>
      <w:r w:rsidR="003E187A">
        <w:t xml:space="preserve"> </w:t>
      </w:r>
      <w:r w:rsidR="004D31C7">
        <w:t>enablin</w:t>
      </w:r>
      <w:r w:rsidR="00F44C6D">
        <w:t>g</w:t>
      </w:r>
      <w:r w:rsidR="002F1312">
        <w:t xml:space="preserve"> multicultural young people</w:t>
      </w:r>
      <w:r w:rsidRPr="00F45F11">
        <w:t xml:space="preserve"> </w:t>
      </w:r>
      <w:r w:rsidR="004D31C7">
        <w:t xml:space="preserve">in Melbourne’s west and south-east </w:t>
      </w:r>
      <w:r w:rsidR="00F44C6D">
        <w:t>to access over 200 individual episodes of care per annum</w:t>
      </w:r>
      <w:r w:rsidR="00F44C6D" w:rsidRPr="00F45F11">
        <w:t xml:space="preserve"> </w:t>
      </w:r>
      <w:r w:rsidRPr="00F45F11">
        <w:t>through the Youth Support and Advocacy</w:t>
      </w:r>
      <w:r w:rsidR="00692890" w:rsidRPr="00F45F11">
        <w:t> </w:t>
      </w:r>
      <w:r w:rsidRPr="00F45F11">
        <w:t>Service</w:t>
      </w:r>
      <w:r w:rsidR="002F1312">
        <w:t>.</w:t>
      </w:r>
      <w:r w:rsidR="00E37857">
        <w:t xml:space="preserve"> </w:t>
      </w:r>
    </w:p>
    <w:p w14:paraId="4B7FA19E" w14:textId="205215A1" w:rsidR="00544D54" w:rsidRPr="00F45F11" w:rsidRDefault="00A826B8" w:rsidP="001763E0">
      <w:pPr>
        <w:pStyle w:val="ARBullet1"/>
      </w:pPr>
      <w:r>
        <w:t xml:space="preserve">delivered </w:t>
      </w:r>
      <w:r w:rsidR="00AB4BD8">
        <w:t>2,3</w:t>
      </w:r>
      <w:r w:rsidR="00E00C00">
        <w:t>88</w:t>
      </w:r>
      <w:r w:rsidR="00AB4BD8">
        <w:t xml:space="preserve"> new social and affordable homes </w:t>
      </w:r>
      <w:r w:rsidR="009F0BA9">
        <w:t>of which</w:t>
      </w:r>
      <w:r w:rsidR="00AB4BD8">
        <w:t xml:space="preserve"> 1,1</w:t>
      </w:r>
      <w:r w:rsidR="00EF74CE">
        <w:t>9</w:t>
      </w:r>
      <w:r w:rsidR="00F53D55">
        <w:t>6</w:t>
      </w:r>
      <w:r w:rsidR="00AE4FCE">
        <w:t xml:space="preserve"> </w:t>
      </w:r>
      <w:r w:rsidR="009F0BA9">
        <w:t xml:space="preserve">were </w:t>
      </w:r>
      <w:r w:rsidR="00AE4FCE">
        <w:t>in regional Victoria</w:t>
      </w:r>
      <w:r w:rsidR="008A38F6">
        <w:t>. M</w:t>
      </w:r>
      <w:r w:rsidR="009F0BA9">
        <w:t>ajor projects completed during the year include</w:t>
      </w:r>
      <w:r w:rsidR="00BF3F86">
        <w:t xml:space="preserve"> </w:t>
      </w:r>
      <w:r w:rsidR="00544D54" w:rsidRPr="00F45F11">
        <w:t>East</w:t>
      </w:r>
      <w:r w:rsidR="00936018">
        <w:t> </w:t>
      </w:r>
      <w:r w:rsidR="00544D54" w:rsidRPr="00F45F11">
        <w:t>Geelong (54 social homes), Geelong (117</w:t>
      </w:r>
      <w:r w:rsidR="00936018">
        <w:t> </w:t>
      </w:r>
      <w:r w:rsidR="00544D54" w:rsidRPr="00F45F11">
        <w:t>social homes), Northcote (99</w:t>
      </w:r>
      <w:r w:rsidR="00692890" w:rsidRPr="00F45F11">
        <w:t> </w:t>
      </w:r>
      <w:r w:rsidR="00544D54" w:rsidRPr="00F45F11">
        <w:t xml:space="preserve">social homes), Carnegie (97 social homes) and Rosanna Station (45 social </w:t>
      </w:r>
      <w:r w:rsidR="002F2F2D">
        <w:t>and affordable</w:t>
      </w:r>
      <w:r w:rsidR="00E7077C">
        <w:t> </w:t>
      </w:r>
      <w:r w:rsidR="00544D54" w:rsidRPr="00F45F11">
        <w:t>homes)</w:t>
      </w:r>
    </w:p>
    <w:p w14:paraId="469DAEC5" w14:textId="77777777" w:rsidR="00033F90" w:rsidRPr="00F45F11" w:rsidRDefault="00033F90" w:rsidP="00033F90">
      <w:pPr>
        <w:pStyle w:val="ARBullet1"/>
      </w:pPr>
      <w:r w:rsidRPr="00F45F11">
        <w:t>delivered 416 new social homes for First Peoples, exceeding the target of 300</w:t>
      </w:r>
    </w:p>
    <w:p w14:paraId="7A67F865" w14:textId="08148BBF" w:rsidR="00544D54" w:rsidRPr="00F45F11" w:rsidRDefault="00544D54" w:rsidP="00692890">
      <w:pPr>
        <w:pStyle w:val="ARBullet1"/>
      </w:pPr>
      <w:r w:rsidRPr="00F45F11">
        <w:t xml:space="preserve">continued construction of </w:t>
      </w:r>
      <w:r w:rsidR="002B57D1">
        <w:t xml:space="preserve">the second </w:t>
      </w:r>
      <w:r w:rsidR="002B57D1" w:rsidRPr="00F45F11">
        <w:t>Ground Lease Model</w:t>
      </w:r>
      <w:r w:rsidR="00D15C82">
        <w:t xml:space="preserve"> to deliver</w:t>
      </w:r>
      <w:r w:rsidR="002B57D1" w:rsidRPr="00F45F11">
        <w:t xml:space="preserve"> </w:t>
      </w:r>
      <w:r w:rsidRPr="00F45F11">
        <w:t>1,370 new homes in</w:t>
      </w:r>
      <w:r w:rsidRPr="00F45F11" w:rsidDel="36E2107F">
        <w:t xml:space="preserve"> </w:t>
      </w:r>
      <w:r w:rsidRPr="00F45F11">
        <w:t>Prahran, South Yarra, Hampton East and Port</w:t>
      </w:r>
      <w:r w:rsidR="007006EB">
        <w:t> </w:t>
      </w:r>
      <w:r w:rsidRPr="00F45F11">
        <w:t>Melbourne</w:t>
      </w:r>
      <w:r w:rsidR="008A38F6">
        <w:t>. These will</w:t>
      </w:r>
      <w:r w:rsidR="00AE4FCE">
        <w:t xml:space="preserve"> be</w:t>
      </w:r>
      <w:r w:rsidR="00B752DB">
        <w:t xml:space="preserve"> completed by the end</w:t>
      </w:r>
      <w:r w:rsidR="00FE5C9E">
        <w:t> </w:t>
      </w:r>
      <w:r w:rsidR="00B752DB">
        <w:t>of 2026</w:t>
      </w:r>
      <w:r w:rsidR="008A38F6">
        <w:t>.</w:t>
      </w:r>
    </w:p>
    <w:p w14:paraId="161EA2F2" w14:textId="5E449EA2" w:rsidR="0068398C" w:rsidRDefault="0068398C" w:rsidP="0068398C">
      <w:pPr>
        <w:pStyle w:val="ARBullet1"/>
      </w:pPr>
      <w:r w:rsidRPr="00F45F11">
        <w:t>continued redevelopment of Melbourne’s 44</w:t>
      </w:r>
      <w:r w:rsidR="00FE5C9E">
        <w:t> </w:t>
      </w:r>
      <w:r w:rsidRPr="00F45F11">
        <w:t>older-style social housing high-rise towers, with work now active at 11 sites</w:t>
      </w:r>
    </w:p>
    <w:p w14:paraId="5AA24F9F" w14:textId="674704E7" w:rsidR="00B752DB" w:rsidRPr="00F45F11" w:rsidRDefault="00653003" w:rsidP="0068398C">
      <w:pPr>
        <w:pStyle w:val="ARBullet1"/>
      </w:pPr>
      <w:r>
        <w:t xml:space="preserve">assisted more than 103,300 people </w:t>
      </w:r>
      <w:r w:rsidR="00F2703E">
        <w:t>to address and prevent homelessness</w:t>
      </w:r>
    </w:p>
    <w:p w14:paraId="01B13E45" w14:textId="77777777" w:rsidR="00544D54" w:rsidRPr="00F45F11" w:rsidRDefault="00544D54" w:rsidP="00692890">
      <w:pPr>
        <w:pStyle w:val="ARBullet1"/>
      </w:pPr>
      <w:r w:rsidRPr="00F45F11">
        <w:t>launched the First Peoples Home Ownership Program, with 41 First Peoples receiving grant packages to purchase their own home</w:t>
      </w:r>
    </w:p>
    <w:p w14:paraId="2CF6850C" w14:textId="53257C91" w:rsidR="00544D54" w:rsidRPr="00F45F11" w:rsidRDefault="00544D54" w:rsidP="00692890">
      <w:pPr>
        <w:pStyle w:val="ARBullet1"/>
      </w:pPr>
      <w:r w:rsidRPr="00F45F11">
        <w:t>supported the Victorian Men’s Shed Association and 31 men’s sheds across the state</w:t>
      </w:r>
      <w:r w:rsidRPr="00F45F11" w:rsidDel="00D523B9">
        <w:t xml:space="preserve"> </w:t>
      </w:r>
      <w:r w:rsidR="00402E93" w:rsidRPr="00F45F11">
        <w:t xml:space="preserve">with </w:t>
      </w:r>
      <w:r w:rsidRPr="00F45F11">
        <w:t>grants of up to</w:t>
      </w:r>
      <w:r w:rsidR="00E7077C">
        <w:t> </w:t>
      </w:r>
      <w:r w:rsidRPr="00F45F11">
        <w:t>$100,000</w:t>
      </w:r>
    </w:p>
    <w:p w14:paraId="085ADC14" w14:textId="08770B26" w:rsidR="00544D54" w:rsidRPr="00F45F11" w:rsidRDefault="00544D54" w:rsidP="00692890">
      <w:pPr>
        <w:pStyle w:val="ARBullet1"/>
      </w:pPr>
      <w:r w:rsidRPr="00F45F11">
        <w:t>supported Foodbank Victoria’s innovative GROW</w:t>
      </w:r>
      <w:r w:rsidR="00FE5C9E">
        <w:t> </w:t>
      </w:r>
      <w:r w:rsidRPr="00F45F11">
        <w:t>Program to divert surplus farm produce</w:t>
      </w:r>
    </w:p>
    <w:p w14:paraId="20B9A004" w14:textId="5BB075BF" w:rsidR="00544D54" w:rsidRPr="00655E62" w:rsidRDefault="00544D54" w:rsidP="00692890">
      <w:pPr>
        <w:pStyle w:val="ARBullet1"/>
      </w:pPr>
      <w:r w:rsidRPr="00655E62">
        <w:t xml:space="preserve">opened a Good Money </w:t>
      </w:r>
      <w:r w:rsidR="0050348E" w:rsidRPr="00655E62">
        <w:t xml:space="preserve">shop front </w:t>
      </w:r>
      <w:r w:rsidRPr="00655E62">
        <w:t xml:space="preserve">in Craigieburn and expanded </w:t>
      </w:r>
      <w:r w:rsidR="0050348E" w:rsidRPr="00655E62">
        <w:t>access to no-interest loans across</w:t>
      </w:r>
      <w:r w:rsidR="00FE5C9E">
        <w:t> </w:t>
      </w:r>
      <w:r w:rsidR="0050348E" w:rsidRPr="00655E62">
        <w:t>Victoria</w:t>
      </w:r>
    </w:p>
    <w:p w14:paraId="0A337E33" w14:textId="3BA46A7B" w:rsidR="00544D54" w:rsidRPr="00F45F11" w:rsidRDefault="00544D54" w:rsidP="00692890">
      <w:pPr>
        <w:pStyle w:val="ARBullet1"/>
      </w:pPr>
      <w:r w:rsidRPr="00F45F11">
        <w:t xml:space="preserve">hosted the 43rd Victorian Seniors Festival, </w:t>
      </w:r>
      <w:r w:rsidR="00642BD4" w:rsidRPr="00F45F11">
        <w:t xml:space="preserve">attended by </w:t>
      </w:r>
      <w:r w:rsidRPr="00F45F11">
        <w:t>163,900 people</w:t>
      </w:r>
    </w:p>
    <w:p w14:paraId="0E01BBED" w14:textId="2D95D5D7" w:rsidR="00642BD4" w:rsidRPr="00F45F11" w:rsidRDefault="00544D54" w:rsidP="00692890">
      <w:pPr>
        <w:pStyle w:val="ARBullet1"/>
      </w:pPr>
      <w:r w:rsidRPr="00F45F11">
        <w:t xml:space="preserve">delivered the Victorian Seniors Card program, </w:t>
      </w:r>
      <w:r w:rsidR="00642BD4" w:rsidRPr="00F45F11">
        <w:t xml:space="preserve">which </w:t>
      </w:r>
      <w:r w:rsidRPr="00F45F11">
        <w:t>now exceed</w:t>
      </w:r>
      <w:r w:rsidR="00642BD4" w:rsidRPr="00F45F11">
        <w:t>s</w:t>
      </w:r>
      <w:r w:rsidRPr="00F45F11">
        <w:t xml:space="preserve"> 1.5 million Seniors Card holders across the state</w:t>
      </w:r>
    </w:p>
    <w:p w14:paraId="747D18C1" w14:textId="683954D2" w:rsidR="00544D54" w:rsidRPr="00F45F11" w:rsidRDefault="00544D54" w:rsidP="00692890">
      <w:pPr>
        <w:pStyle w:val="ARBullet1"/>
      </w:pPr>
      <w:r w:rsidRPr="00F45F11">
        <w:t xml:space="preserve">released the </w:t>
      </w:r>
      <w:r w:rsidRPr="00A124D1">
        <w:rPr>
          <w:rStyle w:val="Emphasis"/>
        </w:rPr>
        <w:t>Victorian Carer Strategy 2025</w:t>
      </w:r>
      <w:r w:rsidR="00692890" w:rsidRPr="00A124D1">
        <w:rPr>
          <w:rStyle w:val="Emphasis"/>
        </w:rPr>
        <w:t>–</w:t>
      </w:r>
      <w:r w:rsidRPr="00A124D1">
        <w:rPr>
          <w:rStyle w:val="Emphasis"/>
        </w:rPr>
        <w:t>2035</w:t>
      </w:r>
    </w:p>
    <w:p w14:paraId="7E2BA716" w14:textId="2B2F6DED" w:rsidR="00544D54" w:rsidRPr="00F45F11" w:rsidRDefault="00544D54" w:rsidP="00692890">
      <w:pPr>
        <w:pStyle w:val="ARBullet1"/>
      </w:pPr>
      <w:r w:rsidRPr="00F45F11">
        <w:t>supported more than 30,000 carers through more than 400,000 hours of carer respite and</w:t>
      </w:r>
      <w:r w:rsidR="00692890" w:rsidRPr="00F45F11">
        <w:t> </w:t>
      </w:r>
      <w:r w:rsidRPr="00F45F11">
        <w:t>support</w:t>
      </w:r>
    </w:p>
    <w:p w14:paraId="6BB5E44F" w14:textId="1576ED87" w:rsidR="00544D54" w:rsidRPr="00F45F11" w:rsidRDefault="00544D54" w:rsidP="00692890">
      <w:pPr>
        <w:pStyle w:val="ARBullet1"/>
      </w:pPr>
      <w:r w:rsidRPr="00F45F11">
        <w:t>released Victoria’s first dedicated primary prevention resource for professionals responding to elder</w:t>
      </w:r>
      <w:r w:rsidR="00E7077C">
        <w:t> </w:t>
      </w:r>
      <w:r w:rsidRPr="00F45F11">
        <w:t>abuse</w:t>
      </w:r>
    </w:p>
    <w:p w14:paraId="3C04AB80" w14:textId="7948F0F3" w:rsidR="00544D54" w:rsidRPr="00F45F11" w:rsidRDefault="00544D54" w:rsidP="00692890">
      <w:pPr>
        <w:pStyle w:val="ARBullet1"/>
      </w:pPr>
      <w:r w:rsidRPr="00F45F11">
        <w:t>continued delivering the Free Pads and Tampons in Public Places program across the</w:t>
      </w:r>
      <w:r w:rsidR="00692890" w:rsidRPr="00F45F11">
        <w:t> </w:t>
      </w:r>
      <w:r w:rsidRPr="00F45F11">
        <w:t>state</w:t>
      </w:r>
      <w:r w:rsidR="00402E93" w:rsidRPr="00F45F11">
        <w:t>. V</w:t>
      </w:r>
      <w:r w:rsidRPr="00F45F11">
        <w:t xml:space="preserve">ending machines now </w:t>
      </w:r>
      <w:r w:rsidR="00402E93" w:rsidRPr="00F45F11">
        <w:t>operate</w:t>
      </w:r>
      <w:r w:rsidRPr="00F45F11">
        <w:t xml:space="preserve"> in</w:t>
      </w:r>
      <w:r w:rsidR="00692890" w:rsidRPr="00F45F11">
        <w:t> </w:t>
      </w:r>
      <w:r w:rsidRPr="00F45F11">
        <w:t>every local government area in Victoria</w:t>
      </w:r>
    </w:p>
    <w:p w14:paraId="1A3430A2" w14:textId="55D25352" w:rsidR="00544D54" w:rsidRPr="00F45F11" w:rsidRDefault="00544D54" w:rsidP="00692890">
      <w:pPr>
        <w:pStyle w:val="ARBullet1"/>
      </w:pPr>
      <w:r w:rsidRPr="00F45F11">
        <w:t xml:space="preserve">proudly supported hosting the </w:t>
      </w:r>
      <w:r w:rsidRPr="003F303E">
        <w:rPr>
          <w:rStyle w:val="Emphasis"/>
          <w:i w:val="0"/>
        </w:rPr>
        <w:t>Women Deliver</w:t>
      </w:r>
      <w:r w:rsidRPr="00F45F11">
        <w:rPr>
          <w:rStyle w:val="Emphasis"/>
        </w:rPr>
        <w:t xml:space="preserve"> </w:t>
      </w:r>
      <w:r w:rsidRPr="00F45F11">
        <w:t>conference in Melbourne in April 2026</w:t>
      </w:r>
      <w:r w:rsidR="00624EBE" w:rsidRPr="00F45F11">
        <w:t>. This is</w:t>
      </w:r>
      <w:r w:rsidRPr="00F45F11">
        <w:t xml:space="preserve"> one of</w:t>
      </w:r>
      <w:r w:rsidR="00692890" w:rsidRPr="00F45F11">
        <w:t> </w:t>
      </w:r>
      <w:r w:rsidRPr="00F45F11">
        <w:t>the largest gender equality conferences in</w:t>
      </w:r>
      <w:r w:rsidR="00FE5C9E">
        <w:t> </w:t>
      </w:r>
      <w:r w:rsidRPr="00F45F11">
        <w:t>the world</w:t>
      </w:r>
      <w:r w:rsidR="00402E93" w:rsidRPr="00F45F11">
        <w:t>. It drew</w:t>
      </w:r>
      <w:r w:rsidRPr="00F45F11">
        <w:t xml:space="preserve"> more than 6,000 delegates from over 180</w:t>
      </w:r>
      <w:r w:rsidR="00E7077C">
        <w:t> </w:t>
      </w:r>
      <w:r w:rsidRPr="00F45F11">
        <w:t>countries</w:t>
      </w:r>
    </w:p>
    <w:p w14:paraId="5F3A763D" w14:textId="48E42B12" w:rsidR="00544D54" w:rsidRPr="00F45F11" w:rsidRDefault="00544D54" w:rsidP="00692890">
      <w:pPr>
        <w:pStyle w:val="ARBullet1"/>
      </w:pPr>
      <w:r w:rsidRPr="00F45F11">
        <w:t>supported the largest ever Victoria’s Pride Street</w:t>
      </w:r>
      <w:r w:rsidR="00FE5C9E">
        <w:t> </w:t>
      </w:r>
      <w:r w:rsidRPr="00F45F11">
        <w:t>Party in Fitzroy in February 2026, with</w:t>
      </w:r>
      <w:r w:rsidR="00FE5C9E">
        <w:t> </w:t>
      </w:r>
      <w:r w:rsidRPr="00F45F11">
        <w:t>an</w:t>
      </w:r>
      <w:r w:rsidR="00FE5C9E">
        <w:t> </w:t>
      </w:r>
      <w:r w:rsidRPr="00F45F11">
        <w:t>estimated 65,448 people attending</w:t>
      </w:r>
    </w:p>
    <w:p w14:paraId="60D6F59F" w14:textId="46C89E4E" w:rsidR="00544D54" w:rsidRPr="00F45F11" w:rsidRDefault="00544D54" w:rsidP="00692890">
      <w:pPr>
        <w:pStyle w:val="ARBullet1"/>
      </w:pPr>
      <w:r w:rsidRPr="00F45F11">
        <w:t xml:space="preserve">continued to deliver the digital Veterans </w:t>
      </w:r>
      <w:r w:rsidR="00692890" w:rsidRPr="00F45F11">
        <w:br/>
      </w:r>
      <w:r w:rsidRPr="00F45F11">
        <w:t>Card – Victoria, in partnership with Service</w:t>
      </w:r>
      <w:r w:rsidR="00692890" w:rsidRPr="00F45F11">
        <w:t> </w:t>
      </w:r>
      <w:r w:rsidRPr="00F45F11">
        <w:t>Victoria</w:t>
      </w:r>
      <w:r w:rsidR="00342BB1">
        <w:t xml:space="preserve">, </w:t>
      </w:r>
      <w:r w:rsidR="00205064">
        <w:t>recognising the service</w:t>
      </w:r>
      <w:r w:rsidR="00342BB1">
        <w:t xml:space="preserve"> </w:t>
      </w:r>
      <w:r w:rsidR="007D72F4">
        <w:t>and</w:t>
      </w:r>
      <w:r w:rsidR="008457AC">
        <w:t> </w:t>
      </w:r>
      <w:r w:rsidR="007D72F4">
        <w:t>sacrifice of Victorians</w:t>
      </w:r>
      <w:r w:rsidR="00E7077C">
        <w:t> </w:t>
      </w:r>
      <w:r w:rsidR="007D72F4">
        <w:t>veterans</w:t>
      </w:r>
    </w:p>
    <w:p w14:paraId="3199D172" w14:textId="0BE24977" w:rsidR="00544D54" w:rsidRPr="00F45F11" w:rsidRDefault="00544D54" w:rsidP="00692890">
      <w:pPr>
        <w:pStyle w:val="ARBullet1"/>
      </w:pPr>
      <w:r w:rsidRPr="00F45F11">
        <w:t xml:space="preserve">supported over 1,000 young people aged between 12 and 17 years through </w:t>
      </w:r>
      <w:r w:rsidR="00961D43" w:rsidRPr="00961D43">
        <w:t xml:space="preserve">therapeutic interventions to </w:t>
      </w:r>
      <w:r w:rsidR="00ED7B47">
        <w:t xml:space="preserve">address </w:t>
      </w:r>
      <w:r w:rsidR="00961D43" w:rsidRPr="00961D43">
        <w:t>their</w:t>
      </w:r>
      <w:r w:rsidR="00ED7B47">
        <w:t xml:space="preserve"> use of family</w:t>
      </w:r>
      <w:r w:rsidR="00961D43" w:rsidRPr="00961D43">
        <w:t xml:space="preserve"> violence in the home and </w:t>
      </w:r>
      <w:r w:rsidR="00E71432">
        <w:t xml:space="preserve">to </w:t>
      </w:r>
      <w:r w:rsidR="00961D43" w:rsidRPr="00961D43">
        <w:t>build healthy family</w:t>
      </w:r>
      <w:r w:rsidR="00FE5C9E">
        <w:t> </w:t>
      </w:r>
      <w:r w:rsidR="00961D43" w:rsidRPr="00961D43">
        <w:t>relationships</w:t>
      </w:r>
    </w:p>
    <w:p w14:paraId="7504BF7A" w14:textId="77777777" w:rsidR="00544D54" w:rsidRPr="00F45F11" w:rsidRDefault="00544D54" w:rsidP="00692890">
      <w:pPr>
        <w:pStyle w:val="ARBullet1"/>
      </w:pPr>
      <w:r w:rsidRPr="00F45F11">
        <w:t>provided access to therapeutic supports for all children and young people in residential care</w:t>
      </w:r>
    </w:p>
    <w:p w14:paraId="5232ACF2" w14:textId="65E1E267" w:rsidR="00544D54" w:rsidRPr="00F45F11" w:rsidRDefault="00544D54" w:rsidP="00692890">
      <w:pPr>
        <w:pStyle w:val="ARBullet1"/>
      </w:pPr>
      <w:r w:rsidRPr="00F45F11">
        <w:t>introduced 200 new therapeutic foster care placements to provide children and young people in foster care with access to therapeutic</w:t>
      </w:r>
      <w:r w:rsidR="00692890" w:rsidRPr="00F45F11">
        <w:t> </w:t>
      </w:r>
      <w:r w:rsidRPr="00F45F11">
        <w:t xml:space="preserve">supports </w:t>
      </w:r>
    </w:p>
    <w:p w14:paraId="0E78C2C1" w14:textId="77777777" w:rsidR="00544D54" w:rsidRPr="00F45F11" w:rsidRDefault="00544D54" w:rsidP="00E7077C">
      <w:pPr>
        <w:pStyle w:val="ARBodyaftertablefigure"/>
        <w:rPr>
          <w:rStyle w:val="Strong"/>
          <w:b w:val="0"/>
          <w:bCs w:val="0"/>
        </w:rPr>
      </w:pPr>
      <w:r w:rsidRPr="00F45F11">
        <w:rPr>
          <w:rStyle w:val="Strong"/>
        </w:rPr>
        <w:t>Invested in the community services sector</w:t>
      </w:r>
    </w:p>
    <w:p w14:paraId="49D40D00" w14:textId="6A666F43" w:rsidR="00544D54" w:rsidRPr="00F45F11" w:rsidRDefault="00544D54" w:rsidP="00AD5295">
      <w:pPr>
        <w:pStyle w:val="ARBullet1"/>
      </w:pPr>
      <w:r w:rsidRPr="00F45F11">
        <w:t xml:space="preserve">funded 21 disability agencies, including </w:t>
      </w:r>
      <w:r w:rsidR="00624EBE" w:rsidRPr="00F45F11">
        <w:t>2</w:t>
      </w:r>
      <w:r w:rsidR="00AD5295">
        <w:t> </w:t>
      </w:r>
      <w:r w:rsidRPr="00F45F11">
        <w:t>resource units under the Victorian Disability Advocacy Program</w:t>
      </w:r>
    </w:p>
    <w:p w14:paraId="67039D41" w14:textId="793D05BB" w:rsidR="00544D54" w:rsidRPr="00F45F11" w:rsidRDefault="00544D54" w:rsidP="00AD5295">
      <w:pPr>
        <w:pStyle w:val="ARBullet1"/>
      </w:pPr>
      <w:r w:rsidRPr="00F45F11">
        <w:t>continued specialist disability Family Services programs and expanded the Disability Practice Advisor</w:t>
      </w:r>
      <w:r w:rsidR="00E7077C">
        <w:t> </w:t>
      </w:r>
      <w:r w:rsidRPr="00F45F11">
        <w:t>workforce</w:t>
      </w:r>
    </w:p>
    <w:p w14:paraId="10B4A1CE" w14:textId="28AF767A" w:rsidR="00544D54" w:rsidRPr="00F45F11" w:rsidRDefault="00544D54" w:rsidP="00AD5295">
      <w:pPr>
        <w:pStyle w:val="ARBullet1"/>
      </w:pPr>
      <w:r w:rsidRPr="00F45F11">
        <w:t>delivered targeted recruitment and retention campaigns for the child protection workforce, with 90</w:t>
      </w:r>
      <w:r w:rsidR="00E7077C">
        <w:t> </w:t>
      </w:r>
      <w:r w:rsidRPr="00F45F11">
        <w:t>participants gaining ongoing employment</w:t>
      </w:r>
      <w:r w:rsidR="007006EB">
        <w:t> </w:t>
      </w:r>
      <w:r w:rsidRPr="00F45F11">
        <w:t>through the Child Protection Employment</w:t>
      </w:r>
      <w:r w:rsidR="00AD5295">
        <w:t> </w:t>
      </w:r>
      <w:r w:rsidRPr="00F45F11">
        <w:t>Program</w:t>
      </w:r>
    </w:p>
    <w:p w14:paraId="7CB0117B" w14:textId="08ADC915" w:rsidR="00544D54" w:rsidRPr="00F45F11" w:rsidRDefault="00544D54" w:rsidP="00AD5295">
      <w:pPr>
        <w:pStyle w:val="ARBullet1"/>
      </w:pPr>
      <w:r w:rsidRPr="00F45F11">
        <w:t>provided student placements to 222 tertiary students through the Child Protection Student Placement</w:t>
      </w:r>
      <w:r w:rsidR="00E7077C">
        <w:t> </w:t>
      </w:r>
      <w:r w:rsidRPr="00F45F11">
        <w:t>Program</w:t>
      </w:r>
    </w:p>
    <w:p w14:paraId="099B9DFD" w14:textId="7B5B261E" w:rsidR="00544D54" w:rsidRPr="00F45F11" w:rsidRDefault="00544D54" w:rsidP="00AD5295">
      <w:pPr>
        <w:pStyle w:val="ARBullet1"/>
      </w:pPr>
      <w:r w:rsidRPr="00F45F11">
        <w:t xml:space="preserve">delivered the targeted </w:t>
      </w:r>
      <w:r w:rsidRPr="003F303E">
        <w:rPr>
          <w:rStyle w:val="Emphasis"/>
          <w:i w:val="0"/>
        </w:rPr>
        <w:t>Go Where You’re Needed</w:t>
      </w:r>
      <w:r w:rsidRPr="00F45F11">
        <w:t xml:space="preserve"> recruitment campaign to attract more</w:t>
      </w:r>
      <w:r w:rsidR="00692890" w:rsidRPr="00F45F11">
        <w:t> </w:t>
      </w:r>
      <w:r w:rsidRPr="00F45F11">
        <w:t>child protection practitioners to regional</w:t>
      </w:r>
      <w:r w:rsidR="00692890" w:rsidRPr="00F45F11">
        <w:t> </w:t>
      </w:r>
      <w:r w:rsidRPr="00F45F11">
        <w:t>Victoria</w:t>
      </w:r>
    </w:p>
    <w:p w14:paraId="02B8CE9B" w14:textId="743E5AA4" w:rsidR="00544D54" w:rsidRPr="00F45F11" w:rsidRDefault="00544D54" w:rsidP="00E7077C">
      <w:pPr>
        <w:pStyle w:val="ARBodyaftertablefigure"/>
        <w:rPr>
          <w:rStyle w:val="Strong"/>
        </w:rPr>
      </w:pPr>
      <w:r w:rsidRPr="00F45F11">
        <w:rPr>
          <w:rStyle w:val="Strong"/>
        </w:rPr>
        <w:t>Strengthened links between government and</w:t>
      </w:r>
      <w:r w:rsidR="00692890" w:rsidRPr="00F45F11">
        <w:rPr>
          <w:rStyle w:val="Strong"/>
        </w:rPr>
        <w:t> </w:t>
      </w:r>
      <w:r w:rsidRPr="00F45F11">
        <w:rPr>
          <w:rStyle w:val="Strong"/>
        </w:rPr>
        <w:t xml:space="preserve">community </w:t>
      </w:r>
    </w:p>
    <w:p w14:paraId="120022E9" w14:textId="36E0532A" w:rsidR="00544D54" w:rsidRPr="00F45F11" w:rsidRDefault="00544D54" w:rsidP="00692890">
      <w:pPr>
        <w:pStyle w:val="ARBullet1"/>
      </w:pPr>
      <w:r w:rsidRPr="00F45F11">
        <w:t>established The Orange Door Statewide Partnership Group in November 2025</w:t>
      </w:r>
      <w:r w:rsidR="00402E93" w:rsidRPr="00F45F11">
        <w:t>. M</w:t>
      </w:r>
      <w:r w:rsidRPr="00F45F11">
        <w:t>embers</w:t>
      </w:r>
      <w:r w:rsidR="008457AC">
        <w:t> </w:t>
      </w:r>
      <w:r w:rsidRPr="00F45F11">
        <w:t>includ</w:t>
      </w:r>
      <w:r w:rsidR="00402E93" w:rsidRPr="00F45F11">
        <w:t>e</w:t>
      </w:r>
      <w:r w:rsidRPr="00F45F11">
        <w:t xml:space="preserve"> community service</w:t>
      </w:r>
      <w:r w:rsidR="000D6A6B">
        <w:t>s</w:t>
      </w:r>
      <w:r w:rsidR="00F74E60">
        <w:t>,</w:t>
      </w:r>
      <w:r w:rsidRPr="00F45F11">
        <w:t xml:space="preserve"> ACCO</w:t>
      </w:r>
      <w:r w:rsidR="00624EBE" w:rsidRPr="00F45F11">
        <w:t xml:space="preserve"> and </w:t>
      </w:r>
      <w:r w:rsidRPr="00F45F11">
        <w:t>A</w:t>
      </w:r>
      <w:r w:rsidR="00624EBE" w:rsidRPr="00F45F11">
        <w:t xml:space="preserve">boriginal community-controlled </w:t>
      </w:r>
      <w:r w:rsidR="00D30F88" w:rsidRPr="00F45F11">
        <w:t>health organisation (ACCHO)</w:t>
      </w:r>
      <w:r w:rsidRPr="00F45F11">
        <w:t xml:space="preserve"> partners, peak body and</w:t>
      </w:r>
      <w:r w:rsidR="008457AC">
        <w:t> </w:t>
      </w:r>
      <w:r w:rsidRPr="00F45F11">
        <w:t xml:space="preserve">departmental representatives. </w:t>
      </w:r>
      <w:r w:rsidR="00AC4C29" w:rsidRPr="00F45F11">
        <w:t>The group is</w:t>
      </w:r>
      <w:r w:rsidR="008457AC">
        <w:t> </w:t>
      </w:r>
      <w:r w:rsidRPr="00F45F11">
        <w:t>a dedicated, statewide decision-making body focused on shared problem-solving and strong network governance</w:t>
      </w:r>
    </w:p>
    <w:p w14:paraId="2A480FA4" w14:textId="07E0C7EC" w:rsidR="00544D54" w:rsidRPr="00F45F11" w:rsidRDefault="00544D54" w:rsidP="00692890">
      <w:pPr>
        <w:pStyle w:val="ARBullet1"/>
      </w:pPr>
      <w:r w:rsidRPr="00F45F11">
        <w:t>launched the Mallee Aboriginal Access Point in</w:t>
      </w:r>
      <w:r w:rsidR="008457AC">
        <w:t> </w:t>
      </w:r>
      <w:r w:rsidRPr="00F45F11">
        <w:t>September 2025, providing culturally safe, Aboriginal-led support to people experiencing or</w:t>
      </w:r>
      <w:r w:rsidR="00D22916" w:rsidRPr="00F45F11">
        <w:t> </w:t>
      </w:r>
      <w:r w:rsidRPr="00F45F11">
        <w:t>at risk of family violence</w:t>
      </w:r>
    </w:p>
    <w:p w14:paraId="193BB0A2" w14:textId="77777777" w:rsidR="00544D54" w:rsidRPr="00F45F11" w:rsidRDefault="00544D54" w:rsidP="00E7077C">
      <w:pPr>
        <w:pStyle w:val="ARBodyaftertablefigure"/>
        <w:rPr>
          <w:rStyle w:val="Strong"/>
        </w:rPr>
      </w:pPr>
      <w:r w:rsidRPr="00F45F11">
        <w:rPr>
          <w:rStyle w:val="Strong"/>
        </w:rPr>
        <w:t>Improved systems and processes</w:t>
      </w:r>
    </w:p>
    <w:p w14:paraId="21F3EF16" w14:textId="00882FC5" w:rsidR="00544D54" w:rsidRPr="00F45F11" w:rsidRDefault="00544D54" w:rsidP="00692890">
      <w:pPr>
        <w:pStyle w:val="ARBullet1"/>
      </w:pPr>
      <w:r w:rsidRPr="00F45F11">
        <w:t>led the development and implementation of</w:t>
      </w:r>
      <w:r w:rsidR="00692890" w:rsidRPr="00F45F11">
        <w:t> </w:t>
      </w:r>
      <w:r w:rsidRPr="00F45F11">
        <w:t>the</w:t>
      </w:r>
      <w:r w:rsidR="00692890" w:rsidRPr="00F45F11">
        <w:t> </w:t>
      </w:r>
      <w:r w:rsidRPr="00F45F11">
        <w:t>Supporting Stable and Strong Families Scheme</w:t>
      </w:r>
      <w:r w:rsidR="00163562" w:rsidRPr="00F45F11">
        <w:t>. The Scheme</w:t>
      </w:r>
      <w:r w:rsidRPr="00F45F11">
        <w:t xml:space="preserve"> establish</w:t>
      </w:r>
      <w:r w:rsidR="00163562" w:rsidRPr="00F45F11">
        <w:t>es</w:t>
      </w:r>
      <w:r w:rsidRPr="00F45F11">
        <w:t xml:space="preserve"> responsibilities for all Victorian Ministers and departments to improve outcomes for at-risk children, young people, care</w:t>
      </w:r>
      <w:r w:rsidR="00D22916" w:rsidRPr="00F45F11">
        <w:t> </w:t>
      </w:r>
      <w:r w:rsidRPr="00F45F11">
        <w:t>leavers, and their</w:t>
      </w:r>
      <w:r w:rsidR="00FE5C9E">
        <w:t> </w:t>
      </w:r>
      <w:r w:rsidRPr="00F45F11">
        <w:t>families</w:t>
      </w:r>
    </w:p>
    <w:p w14:paraId="2627F1FA" w14:textId="365A5433" w:rsidR="00544D54" w:rsidRPr="00F45F11" w:rsidRDefault="00544D54" w:rsidP="00692890">
      <w:pPr>
        <w:pStyle w:val="ARBullet1"/>
      </w:pPr>
      <w:r w:rsidRPr="00F45F11">
        <w:t xml:space="preserve">reformed Victoria’s key child safeguarding and regulatory frameworks following the 2025 </w:t>
      </w:r>
      <w:r w:rsidRPr="00A124D1">
        <w:rPr>
          <w:rStyle w:val="Emphasis"/>
        </w:rPr>
        <w:t>Rapid Child Safety Review</w:t>
      </w:r>
      <w:r w:rsidRPr="00F45F11">
        <w:t>,</w:t>
      </w:r>
      <w:r w:rsidRPr="00F45F11">
        <w:rPr>
          <w:i/>
          <w:iCs/>
        </w:rPr>
        <w:t xml:space="preserve"> </w:t>
      </w:r>
      <w:r w:rsidRPr="00F45F11">
        <w:t xml:space="preserve">through the </w:t>
      </w:r>
      <w:r w:rsidRPr="00A124D1">
        <w:rPr>
          <w:rStyle w:val="Emphasis"/>
        </w:rPr>
        <w:t xml:space="preserve">Social Services Regulation Amendment (Complaints and Worker Regulation) Act 2025 </w:t>
      </w:r>
    </w:p>
    <w:p w14:paraId="657AD0E2" w14:textId="60A98EEA" w:rsidR="00544D54" w:rsidRPr="00F45F11" w:rsidRDefault="00544D54" w:rsidP="00692890">
      <w:pPr>
        <w:pStyle w:val="ARBullet1"/>
      </w:pPr>
      <w:r w:rsidRPr="00F45F11">
        <w:t>introduced a new service model for 10- and</w:t>
      </w:r>
      <w:r w:rsidR="00AD5295">
        <w:t xml:space="preserve"> </w:t>
      </w:r>
      <w:r w:rsidRPr="00F45F11">
        <w:t>11-year-old children exhibiting high</w:t>
      </w:r>
      <w:r w:rsidR="0031180A" w:rsidRPr="00F45F11">
        <w:t>-</w:t>
      </w:r>
      <w:r w:rsidRPr="00F45F11">
        <w:t>harm</w:t>
      </w:r>
      <w:r w:rsidR="00F006F7" w:rsidRPr="00F45F11">
        <w:t> </w:t>
      </w:r>
      <w:r w:rsidRPr="00F45F11">
        <w:t>behaviours</w:t>
      </w:r>
    </w:p>
    <w:p w14:paraId="33AC541E" w14:textId="79FFCBCB" w:rsidR="00544D54" w:rsidRDefault="00544D54" w:rsidP="00692890">
      <w:pPr>
        <w:pStyle w:val="ARBullet1"/>
      </w:pPr>
      <w:r w:rsidRPr="00F45F11">
        <w:t>implemented a new After-Hours Child Protection Service (AHCPS) statewide stand-up rostered model, to create a more responsive, timely, integrated, targeted response, and more proactive intervention</w:t>
      </w:r>
    </w:p>
    <w:p w14:paraId="7523D52B" w14:textId="6F88B0B8" w:rsidR="00544D54" w:rsidRPr="00F45F11" w:rsidRDefault="00544D54">
      <w:pPr>
        <w:pStyle w:val="ARBullet1"/>
      </w:pPr>
      <w:r w:rsidRPr="00F45F11">
        <w:t>completed 158,819 risk assessments and safety</w:t>
      </w:r>
      <w:r w:rsidR="008457AC">
        <w:t> </w:t>
      </w:r>
      <w:r w:rsidRPr="00F45F11">
        <w:t>plans</w:t>
      </w:r>
      <w:r w:rsidR="00A63E0A" w:rsidRPr="00F45F11">
        <w:t>,</w:t>
      </w:r>
      <w:r w:rsidRPr="00F45F11">
        <w:t xml:space="preserve"> including 13,008 plans for people to</w:t>
      </w:r>
      <w:r w:rsidR="008457AC">
        <w:t> </w:t>
      </w:r>
      <w:r w:rsidRPr="00F45F11">
        <w:t>stop their use of violence and abuse</w:t>
      </w:r>
    </w:p>
    <w:p w14:paraId="7AB5BD64" w14:textId="6EA71EF1" w:rsidR="00544D54" w:rsidRPr="00F45F11" w:rsidRDefault="00544D54" w:rsidP="00692890">
      <w:pPr>
        <w:pStyle w:val="ARBullet1"/>
      </w:pPr>
      <w:r w:rsidRPr="00F45F11">
        <w:t>launched the Professional Supervision for Child</w:t>
      </w:r>
      <w:r w:rsidR="00AD5295">
        <w:t> </w:t>
      </w:r>
      <w:r w:rsidRPr="00F45F11">
        <w:t>Protection Practice model to better meet</w:t>
      </w:r>
      <w:r w:rsidR="00AD5295">
        <w:t> </w:t>
      </w:r>
      <w:r w:rsidRPr="00F45F11">
        <w:t>practitioner and supervisor needs</w:t>
      </w:r>
    </w:p>
    <w:p w14:paraId="16A08F52" w14:textId="77777777" w:rsidR="00EE78A7" w:rsidRDefault="00544D54" w:rsidP="00EE78A7">
      <w:pPr>
        <w:pStyle w:val="ARBullet1"/>
      </w:pPr>
      <w:r w:rsidRPr="00F45F11">
        <w:t>modernised the Family Services platform to</w:t>
      </w:r>
      <w:r w:rsidR="00786040" w:rsidRPr="00F45F11">
        <w:t> </w:t>
      </w:r>
      <w:r w:rsidRPr="00F45F11">
        <w:t>a</w:t>
      </w:r>
      <w:r w:rsidR="00692890" w:rsidRPr="00F45F11">
        <w:t> </w:t>
      </w:r>
      <w:r w:rsidRPr="00F45F11">
        <w:t>more sustainable, evidence-based and targeted system of support</w:t>
      </w:r>
      <w:r w:rsidR="00A07BE9">
        <w:t xml:space="preserve"> and upskilled a</w:t>
      </w:r>
      <w:r w:rsidR="00FE5C9E">
        <w:t> </w:t>
      </w:r>
      <w:r w:rsidR="00A07BE9">
        <w:t xml:space="preserve">further </w:t>
      </w:r>
      <w:r w:rsidR="004D557C">
        <w:t xml:space="preserve">363 </w:t>
      </w:r>
      <w:r w:rsidR="00A07BE9">
        <w:t xml:space="preserve">practitioners in </w:t>
      </w:r>
      <w:r w:rsidR="00657C27">
        <w:t xml:space="preserve">foundational </w:t>
      </w:r>
      <w:r w:rsidR="00A07BE9">
        <w:t>evidence</w:t>
      </w:r>
      <w:r w:rsidR="00657C27">
        <w:t>-</w:t>
      </w:r>
      <w:r w:rsidR="00A07BE9">
        <w:t>based Restoring Families practice approaches</w:t>
      </w:r>
      <w:r w:rsidR="00863D2E">
        <w:t xml:space="preserve">, with 1,362 practitioners currently accessing </w:t>
      </w:r>
      <w:r w:rsidR="0004014B">
        <w:t>our eLearning system.</w:t>
      </w:r>
      <w:r w:rsidR="00A07BE9">
        <w:t xml:space="preserve"> </w:t>
      </w:r>
    </w:p>
    <w:p w14:paraId="66927EA4" w14:textId="784BA352" w:rsidR="001C1DF1" w:rsidRPr="00F45F11" w:rsidRDefault="0077061F" w:rsidP="00EE78A7">
      <w:pPr>
        <w:pStyle w:val="ARBullet1"/>
      </w:pPr>
      <w:r>
        <w:t>l</w:t>
      </w:r>
      <w:r w:rsidR="001C1DF1">
        <w:t xml:space="preserve">aunched </w:t>
      </w:r>
      <w:r>
        <w:t xml:space="preserve">a new maintenance portal </w:t>
      </w:r>
      <w:r w:rsidR="008754B9" w:rsidRPr="008754B9">
        <w:t>to enable</w:t>
      </w:r>
      <w:r w:rsidR="00DC5E85">
        <w:t xml:space="preserve"> public housing</w:t>
      </w:r>
      <w:r w:rsidR="008754B9" w:rsidRPr="008754B9">
        <w:t xml:space="preserve"> renters to raise electronic maintenance requests, attach photographs and track the progress of their requests</w:t>
      </w:r>
      <w:r w:rsidR="001F2DEF">
        <w:t>.</w:t>
      </w:r>
      <w:r w:rsidR="002F35CE" w:rsidRPr="00EE78A7">
        <w:rPr>
          <w:rFonts w:cs="Arial"/>
          <w:szCs w:val="24"/>
        </w:rPr>
        <w:t xml:space="preserve"> This will allow contractors to complete more jobs on the first visit and give renters certainty about the timing of work.</w:t>
      </w:r>
    </w:p>
    <w:p w14:paraId="0C5A7086" w14:textId="210907EB" w:rsidR="00544D54" w:rsidRPr="00F45F11" w:rsidRDefault="00544D54" w:rsidP="00F006F7">
      <w:pPr>
        <w:pStyle w:val="ARBodyafterbullets"/>
      </w:pPr>
      <w:r w:rsidRPr="00F45F11">
        <w:t>We are proud of the support we give to so many Victorians. We also recognise there is still more to do to make Victoria fair and inclusive for all.</w:t>
      </w:r>
    </w:p>
    <w:p w14:paraId="049B7EAE" w14:textId="45871AA3" w:rsidR="00544D54" w:rsidRPr="00F45F11" w:rsidRDefault="00FC316A" w:rsidP="00544D54">
      <w:pPr>
        <w:pStyle w:val="ARBody"/>
      </w:pPr>
      <w:r w:rsidRPr="00F45F11">
        <w:t>We</w:t>
      </w:r>
      <w:r w:rsidR="00544D54" w:rsidRPr="00F45F11">
        <w:t xml:space="preserve"> remain focused on the work ahead</w:t>
      </w:r>
      <w:r w:rsidRPr="00F45F11">
        <w:t>. We</w:t>
      </w:r>
      <w:r w:rsidR="00544D54" w:rsidRPr="00F45F11">
        <w:t xml:space="preserve"> engage closely with the communities we serve, and </w:t>
      </w:r>
      <w:r w:rsidRPr="00F45F11">
        <w:t>we are</w:t>
      </w:r>
      <w:r w:rsidR="00544D54" w:rsidRPr="00F45F11">
        <w:t xml:space="preserve"> open about where we can improve.</w:t>
      </w:r>
    </w:p>
    <w:p w14:paraId="5C577CF3" w14:textId="5B614A68" w:rsidR="00544D54" w:rsidRPr="00F45F11" w:rsidRDefault="00544D54" w:rsidP="00544D54">
      <w:pPr>
        <w:pStyle w:val="ARBody"/>
      </w:pPr>
      <w:r w:rsidRPr="00F45F11">
        <w:t>We commit to grow</w:t>
      </w:r>
      <w:r w:rsidR="00FC316A" w:rsidRPr="00F45F11">
        <w:t>ing</w:t>
      </w:r>
      <w:r w:rsidRPr="00F45F11">
        <w:t xml:space="preserve"> and strengthen</w:t>
      </w:r>
      <w:r w:rsidR="00FC316A" w:rsidRPr="00F45F11">
        <w:t>ing</w:t>
      </w:r>
      <w:r w:rsidRPr="00F45F11">
        <w:t xml:space="preserve"> partnerships in every sector and across government</w:t>
      </w:r>
      <w:r w:rsidR="00A63E0A" w:rsidRPr="00F45F11">
        <w:t xml:space="preserve">. We will </w:t>
      </w:r>
      <w:r w:rsidRPr="00F45F11">
        <w:t>work together to create a fairer and safer Victoria for everyone in the year</w:t>
      </w:r>
      <w:r w:rsidR="00692890" w:rsidRPr="00F45F11">
        <w:t> </w:t>
      </w:r>
      <w:r w:rsidRPr="00F45F11">
        <w:t>ahead.</w:t>
      </w:r>
    </w:p>
    <w:p w14:paraId="0B1AE717" w14:textId="2220116F" w:rsidR="00390906" w:rsidRDefault="00390906" w:rsidP="00390906">
      <w:pPr>
        <w:pStyle w:val="ARBodynospace"/>
        <w:spacing w:before="720" w:after="120"/>
        <w:rPr>
          <w:rStyle w:val="Strong"/>
        </w:rPr>
      </w:pPr>
      <w:r>
        <w:rPr>
          <w:noProof/>
        </w:rPr>
        <w:drawing>
          <wp:inline distT="0" distB="0" distL="0" distR="0" wp14:anchorId="4349A303" wp14:editId="56690C82">
            <wp:extent cx="2087734" cy="659805"/>
            <wp:effectExtent l="0" t="0" r="8255" b="6985"/>
            <wp:docPr id="1981263952" name="Picture 11" descr="Signature&#10;Peta McCammon PSM&#10;Secretary&#10;Department of Families, Fairness and Hous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577177" name="Picture 11" descr="Signature&#10;Peta McCammon PSM&#10;Secretary&#10;Department of Families, Fairness and Housing&#10;"/>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2094553" cy="661960"/>
                    </a:xfrm>
                    <a:prstGeom prst="rect">
                      <a:avLst/>
                    </a:prstGeom>
                    <a:noFill/>
                    <a:ln>
                      <a:noFill/>
                    </a:ln>
                  </pic:spPr>
                </pic:pic>
              </a:graphicData>
            </a:graphic>
          </wp:inline>
        </w:drawing>
      </w:r>
    </w:p>
    <w:p w14:paraId="0FA5F8C8" w14:textId="026C2D85" w:rsidR="00544D54" w:rsidRPr="00F45F11" w:rsidRDefault="00544D54" w:rsidP="00497653">
      <w:pPr>
        <w:pStyle w:val="ARBodynospace"/>
        <w:rPr>
          <w:rStyle w:val="Strong"/>
        </w:rPr>
      </w:pPr>
      <w:r w:rsidRPr="00F45F11">
        <w:rPr>
          <w:rStyle w:val="Strong"/>
        </w:rPr>
        <w:t>Peta McCammon</w:t>
      </w:r>
      <w:r w:rsidR="341AC313" w:rsidRPr="729F27F5">
        <w:rPr>
          <w:rStyle w:val="Strong"/>
        </w:rPr>
        <w:t xml:space="preserve"> PSM</w:t>
      </w:r>
    </w:p>
    <w:p w14:paraId="6D45CE65" w14:textId="77777777" w:rsidR="00544D54" w:rsidRPr="00F45F11" w:rsidRDefault="00544D54" w:rsidP="00497653">
      <w:pPr>
        <w:pStyle w:val="ARBodynospace"/>
      </w:pPr>
      <w:r w:rsidRPr="00F45F11">
        <w:t>Secretary</w:t>
      </w:r>
    </w:p>
    <w:p w14:paraId="22807A5F" w14:textId="4BF2407A" w:rsidR="00E7077C" w:rsidRDefault="00544D54" w:rsidP="00C673EB">
      <w:pPr>
        <w:pStyle w:val="ARBody"/>
      </w:pPr>
      <w:r w:rsidRPr="00F45F11">
        <w:t>Department of Families, Fairness and Housi</w:t>
      </w:r>
      <w:bookmarkStart w:id="12" w:name="_Toc82006216"/>
      <w:bookmarkEnd w:id="12"/>
      <w:r w:rsidRPr="00F45F11">
        <w:t>ng</w:t>
      </w:r>
    </w:p>
    <w:p w14:paraId="27A0714C" w14:textId="77777777" w:rsidR="00E7077C" w:rsidRDefault="00E7077C">
      <w:pPr>
        <w:spacing w:after="0" w:line="240" w:lineRule="auto"/>
        <w:rPr>
          <w:rFonts w:eastAsia="Times"/>
          <w:sz w:val="20"/>
        </w:rPr>
      </w:pPr>
      <w:r>
        <w:br w:type="page"/>
      </w:r>
    </w:p>
    <w:p w14:paraId="6E4CE1B5" w14:textId="167BBC11" w:rsidR="00E7077C" w:rsidRDefault="00631214" w:rsidP="00E7077C">
      <w:pPr>
        <w:pStyle w:val="Heading2"/>
        <w:spacing w:before="0"/>
      </w:pPr>
      <w:bookmarkStart w:id="13" w:name="_Toc181101479"/>
      <w:bookmarkStart w:id="14" w:name="_Toc241131683"/>
      <w:r w:rsidRPr="00F45F11">
        <w:t>Acknowledgement of First Peoples</w:t>
      </w:r>
      <w:bookmarkEnd w:id="13"/>
      <w:bookmarkEnd w:id="14"/>
    </w:p>
    <w:p w14:paraId="2D6E8AE0" w14:textId="1C73BC21" w:rsidR="00631214" w:rsidRPr="00F45F11" w:rsidRDefault="00631214" w:rsidP="00371C7F">
      <w:pPr>
        <w:pStyle w:val="ARBody"/>
      </w:pPr>
      <w:r w:rsidRPr="00F45F11">
        <w:rPr>
          <w:lang w:eastAsia="en-AU"/>
        </w:rPr>
        <w:t>We acknowledge the Traditional Owners and Custodians of the lands and waters on which we live, work and play.  We acknowledge all Aboriginal and Torres Strait Islander peoples across</w:t>
      </w:r>
      <w:r w:rsidR="00AD5295">
        <w:rPr>
          <w:lang w:eastAsia="en-AU"/>
        </w:rPr>
        <w:t> </w:t>
      </w:r>
      <w:r w:rsidRPr="00F45F11">
        <w:rPr>
          <w:lang w:eastAsia="en-AU"/>
        </w:rPr>
        <w:t>the state.</w:t>
      </w:r>
      <w:r w:rsidR="00FC316A" w:rsidRPr="00F45F11">
        <w:rPr>
          <w:lang w:eastAsia="en-AU"/>
        </w:rPr>
        <w:t xml:space="preserve"> </w:t>
      </w:r>
      <w:r w:rsidRPr="00F45F11">
        <w:rPr>
          <w:lang w:eastAsia="en-AU"/>
        </w:rPr>
        <w:t>We pay respect to and recognise the contributions of their Elders past and present</w:t>
      </w:r>
      <w:r w:rsidRPr="00F45F11">
        <w:t>, and other First Peoples, who have fought tirelessly for the rights of their communities.</w:t>
      </w:r>
    </w:p>
    <w:p w14:paraId="04D27EFB" w14:textId="153829E3" w:rsidR="00631214" w:rsidRPr="00F45F11" w:rsidRDefault="00631214" w:rsidP="00371C7F">
      <w:pPr>
        <w:pStyle w:val="ARBody"/>
        <w:rPr>
          <w:lang w:eastAsia="en-AU"/>
        </w:rPr>
      </w:pPr>
      <w:r w:rsidRPr="00F45F11">
        <w:t>The sovereignty of First Peoples has never been ceded. T</w:t>
      </w:r>
      <w:r w:rsidRPr="00F45F11">
        <w:rPr>
          <w:lang w:eastAsia="en-AU"/>
        </w:rPr>
        <w:t>heir strength and resilience as</w:t>
      </w:r>
      <w:r w:rsidR="00EE78A7">
        <w:rPr>
          <w:lang w:eastAsia="en-AU"/>
        </w:rPr>
        <w:t> </w:t>
      </w:r>
      <w:r w:rsidRPr="00F45F11">
        <w:rPr>
          <w:lang w:eastAsia="en-AU"/>
        </w:rPr>
        <w:t>the world’s oldest living culture is enduring.</w:t>
      </w:r>
    </w:p>
    <w:p w14:paraId="1A5E213A" w14:textId="7D496B5E" w:rsidR="00631214" w:rsidRPr="00F45F11" w:rsidRDefault="00631214" w:rsidP="00DA3E79">
      <w:pPr>
        <w:pStyle w:val="Heading3"/>
      </w:pPr>
      <w:r w:rsidRPr="00F45F11">
        <w:t>Commitment to self-determination</w:t>
      </w:r>
    </w:p>
    <w:p w14:paraId="282D70D5" w14:textId="77777777" w:rsidR="00631214" w:rsidRPr="00F45F11" w:rsidRDefault="00631214" w:rsidP="00371C7F">
      <w:pPr>
        <w:pStyle w:val="ARBody"/>
      </w:pPr>
      <w:r w:rsidRPr="00F45F11">
        <w:t xml:space="preserve">The Victorian Government’s </w:t>
      </w:r>
      <w:r w:rsidRPr="00A124D1">
        <w:rPr>
          <w:rStyle w:val="Emphasis"/>
        </w:rPr>
        <w:t xml:space="preserve">Victorian Aboriginal affairs framework </w:t>
      </w:r>
      <w:r w:rsidRPr="00F45F11">
        <w:t>commits us to self-determination. It also keeps us accountable for our progress.</w:t>
      </w:r>
    </w:p>
    <w:p w14:paraId="724E6F25" w14:textId="26F3B59B" w:rsidR="00631214" w:rsidRPr="00F45F11" w:rsidRDefault="00631214" w:rsidP="00371C7F">
      <w:pPr>
        <w:pStyle w:val="ARBody"/>
      </w:pPr>
      <w:r w:rsidRPr="00F45F11">
        <w:t>We know that First Peoples’ self-determination works. It is what community wants, and it is a</w:t>
      </w:r>
      <w:r w:rsidR="00EE78A7">
        <w:t> </w:t>
      </w:r>
      <w:r w:rsidRPr="00F45F11">
        <w:t>human right.</w:t>
      </w:r>
    </w:p>
    <w:p w14:paraId="460AE17E" w14:textId="43F5502B" w:rsidR="00631214" w:rsidRPr="00F45F11" w:rsidRDefault="00631214" w:rsidP="00371C7F">
      <w:pPr>
        <w:pStyle w:val="ARBody"/>
      </w:pPr>
      <w:r w:rsidRPr="00F45F11">
        <w:t>We aim to achieve real and tangible outcomes for First Peoples. We do this through our contributions to Closing the Gap, Truth and Treaty. This is embedded across our portfolios’ work.</w:t>
      </w:r>
    </w:p>
    <w:p w14:paraId="7841543C" w14:textId="77777777" w:rsidR="00E7077C" w:rsidRDefault="00631214" w:rsidP="00371C7F">
      <w:pPr>
        <w:pStyle w:val="ARBody"/>
      </w:pPr>
      <w:r w:rsidRPr="00F45F11">
        <w:t>The United Nations Declaration on the Rights of Indigenous Peoples sets out certain rights for First</w:t>
      </w:r>
      <w:r w:rsidR="00AD5295">
        <w:t> </w:t>
      </w:r>
      <w:r w:rsidRPr="00F45F11">
        <w:t>Peoples. These include the rights to freely determine their political status and pursue social, cultural and economic development based on their values and ways of life.</w:t>
      </w:r>
    </w:p>
    <w:p w14:paraId="0F4EC525" w14:textId="04A8F2CF" w:rsidR="00631214" w:rsidRPr="00F45F11" w:rsidRDefault="00631214" w:rsidP="00371C7F">
      <w:pPr>
        <w:pStyle w:val="ARBody"/>
      </w:pPr>
      <w:r w:rsidRPr="00F45F11">
        <w:t>To achieve meaningful and lasting change, we must</w:t>
      </w:r>
      <w:r w:rsidR="00AD5295">
        <w:t> </w:t>
      </w:r>
      <w:r w:rsidRPr="00F45F11">
        <w:t>listen to First Peoples when they tell us what they</w:t>
      </w:r>
      <w:r w:rsidR="00DA3E79" w:rsidRPr="00F45F11">
        <w:t> </w:t>
      </w:r>
      <w:r w:rsidRPr="00F45F11">
        <w:t>need.</w:t>
      </w:r>
    </w:p>
    <w:p w14:paraId="63B389EE" w14:textId="77777777" w:rsidR="00AD5295" w:rsidRDefault="00631214" w:rsidP="00EE6A8D">
      <w:pPr>
        <w:pStyle w:val="ARBody"/>
      </w:pPr>
      <w:r w:rsidRPr="00F45F11">
        <w:t>We acknowledge the strong and ongoing advocacy of First Peoples, and the significant impact this has on our work. When First Peoples make decisions for</w:t>
      </w:r>
      <w:r w:rsidR="00EE78A7">
        <w:t> </w:t>
      </w:r>
      <w:r w:rsidRPr="00F45F11">
        <w:t>Aboriginal families and communities, we see better</w:t>
      </w:r>
      <w:r w:rsidR="00DA3E79" w:rsidRPr="00F45F11">
        <w:t> </w:t>
      </w:r>
      <w:r w:rsidRPr="00F45F11">
        <w:t>results.</w:t>
      </w:r>
    </w:p>
    <w:p w14:paraId="4D14BEA1" w14:textId="79BF58CF" w:rsidR="00631214" w:rsidRPr="00F45F11" w:rsidRDefault="00631214" w:rsidP="00EE6A8D">
      <w:pPr>
        <w:pStyle w:val="ARBody"/>
      </w:pPr>
      <w:r w:rsidRPr="00F45F11">
        <w:t xml:space="preserve">The Victorian Government has signed a Statewide Treaty with the First Peoples’ Assembly of Victoria. In Victoria, we have been on the Truth and Treaty path for nearly 10 years. This work has laid a strong foundation. The </w:t>
      </w:r>
      <w:r w:rsidRPr="00A124D1">
        <w:rPr>
          <w:rStyle w:val="Emphasis"/>
        </w:rPr>
        <w:t xml:space="preserve">Statewide Treaty Act 2025 </w:t>
      </w:r>
      <w:r w:rsidRPr="00F45F11">
        <w:t xml:space="preserve">establishes a new entity, </w:t>
      </w:r>
      <w:proofErr w:type="spellStart"/>
      <w:r w:rsidRPr="00F45F11">
        <w:t>Gellung</w:t>
      </w:r>
      <w:proofErr w:type="spellEnd"/>
      <w:r w:rsidRPr="00F45F11">
        <w:t xml:space="preserve"> Warl, evolved from Victoria’s successful First Peoples’ Assembly, to operate as an ongoing democratic, representative and deliberative body for First Peoples in Victoria.</w:t>
      </w:r>
    </w:p>
    <w:p w14:paraId="2FE20593" w14:textId="70DFCF8B" w:rsidR="00631214" w:rsidRPr="00F45F11" w:rsidRDefault="00631214" w:rsidP="00EE6A8D">
      <w:pPr>
        <w:pStyle w:val="ARBody"/>
      </w:pPr>
      <w:r w:rsidRPr="00F45F11">
        <w:t xml:space="preserve">Treaty is about ensuring First Peoples have a say over the policies that affect them and their families. Australia’s first formal truth-telling process, the </w:t>
      </w:r>
      <w:proofErr w:type="spellStart"/>
      <w:r w:rsidRPr="00F45F11">
        <w:t>Yoorrook</w:t>
      </w:r>
      <w:proofErr w:type="spellEnd"/>
      <w:r w:rsidRPr="00F45F11">
        <w:t xml:space="preserve"> Justice Commission, helps us understand our history from the perspective of Aboriginal people. This includes how colonisation continues to</w:t>
      </w:r>
      <w:r w:rsidR="00EE78A7">
        <w:t> </w:t>
      </w:r>
      <w:r w:rsidRPr="00F45F11">
        <w:t>affect Aboriginal people, what we can do now, and how we can use Treaty to effect practical changes and</w:t>
      </w:r>
      <w:r w:rsidR="002B1295">
        <w:t> </w:t>
      </w:r>
      <w:r w:rsidRPr="00F45F11">
        <w:t>solutions.</w:t>
      </w:r>
    </w:p>
    <w:p w14:paraId="0CFC9F23" w14:textId="1C414788" w:rsidR="00631214" w:rsidRPr="00F45F11" w:rsidRDefault="00631214" w:rsidP="00EE6A8D">
      <w:pPr>
        <w:pStyle w:val="ARBody"/>
      </w:pPr>
      <w:r w:rsidRPr="00F45F11">
        <w:t>We commit to working proactively to support the</w:t>
      </w:r>
      <w:r w:rsidR="00DA3E79" w:rsidRPr="00F45F11">
        <w:t> </w:t>
      </w:r>
      <w:r w:rsidRPr="00F45F11">
        <w:t>aspirations of the First Peoples’ Assembly of</w:t>
      </w:r>
      <w:r w:rsidR="00DA3E79" w:rsidRPr="00F45F11">
        <w:t> </w:t>
      </w:r>
      <w:proofErr w:type="spellStart"/>
      <w:r w:rsidRPr="00F45F11">
        <w:t>Gellung</w:t>
      </w:r>
      <w:proofErr w:type="spellEnd"/>
      <w:r w:rsidRPr="00F45F11">
        <w:t xml:space="preserve"> Warl.</w:t>
      </w:r>
    </w:p>
    <w:p w14:paraId="36742313" w14:textId="660934BB" w:rsidR="005C4056" w:rsidRPr="00F45F11" w:rsidRDefault="00631214" w:rsidP="00EE6A8D">
      <w:pPr>
        <w:pStyle w:val="ARBody"/>
      </w:pPr>
      <w:r w:rsidRPr="00F45F11">
        <w:t>In this document, we use the term ‘Aboriginal’ to</w:t>
      </w:r>
      <w:r w:rsidR="00DA3E79" w:rsidRPr="00F45F11">
        <w:t> </w:t>
      </w:r>
      <w:r w:rsidRPr="00F45F11">
        <w:t>refer to Aboriginal and Torres Strait Islander</w:t>
      </w:r>
      <w:r w:rsidR="00DA3E79" w:rsidRPr="00F45F11">
        <w:t> </w:t>
      </w:r>
      <w:r w:rsidRPr="00F45F11">
        <w:t>peoples</w:t>
      </w:r>
      <w:r w:rsidR="007B370C">
        <w:t>.</w:t>
      </w:r>
    </w:p>
    <w:p w14:paraId="404DC27F" w14:textId="77777777" w:rsidR="007B370C" w:rsidRDefault="007B370C" w:rsidP="007B370C">
      <w:pPr>
        <w:pStyle w:val="ARBody"/>
      </w:pPr>
      <w:bookmarkStart w:id="15" w:name="_Ref178172833"/>
      <w:bookmarkStart w:id="16" w:name="_Ref178173379"/>
      <w:bookmarkStart w:id="17" w:name="_Toc181101480"/>
      <w:bookmarkStart w:id="18" w:name="_Toc241131684"/>
      <w:bookmarkStart w:id="19" w:name="_Toc114491180"/>
      <w:r>
        <w:br w:type="page"/>
      </w:r>
    </w:p>
    <w:p w14:paraId="24769199" w14:textId="0A38CE44" w:rsidR="00371C7F" w:rsidRPr="00F45F11" w:rsidRDefault="00371C7F">
      <w:pPr>
        <w:pStyle w:val="Heading2"/>
        <w:spacing w:after="120"/>
      </w:pPr>
      <w:r w:rsidRPr="00F45F11">
        <w:t>Our vision</w:t>
      </w:r>
      <w:bookmarkEnd w:id="15"/>
      <w:bookmarkEnd w:id="16"/>
      <w:bookmarkEnd w:id="17"/>
      <w:bookmarkEnd w:id="18"/>
    </w:p>
    <w:p w14:paraId="73BC6F06" w14:textId="552A0B5E" w:rsidR="00371C7F" w:rsidRPr="00F45F11" w:rsidRDefault="00371C7F" w:rsidP="00EE6A8D">
      <w:pPr>
        <w:pStyle w:val="ARBody"/>
        <w:rPr>
          <w:lang w:eastAsia="en-AU"/>
        </w:rPr>
      </w:pPr>
      <w:r w:rsidRPr="00F45F11">
        <w:rPr>
          <w:lang w:eastAsia="en-AU"/>
        </w:rPr>
        <w:t>Safe and supported children and families, in stable homes and strong communities.</w:t>
      </w:r>
    </w:p>
    <w:p w14:paraId="1EFC2E38" w14:textId="77777777" w:rsidR="00371C7F" w:rsidRPr="00F45F11" w:rsidRDefault="00371C7F">
      <w:pPr>
        <w:pStyle w:val="Heading2"/>
        <w:spacing w:after="120"/>
      </w:pPr>
      <w:bookmarkStart w:id="20" w:name="_Toc212039508"/>
      <w:bookmarkStart w:id="21" w:name="_Toc241131685"/>
      <w:r w:rsidRPr="00F45F11">
        <w:t>How we will achieve it</w:t>
      </w:r>
      <w:bookmarkEnd w:id="20"/>
      <w:bookmarkEnd w:id="21"/>
    </w:p>
    <w:p w14:paraId="4B85E9B1" w14:textId="77777777" w:rsidR="00371C7F" w:rsidRPr="00F45F11" w:rsidRDefault="00371C7F" w:rsidP="00EE6A8D">
      <w:pPr>
        <w:pStyle w:val="ARBody"/>
        <w:rPr>
          <w:lang w:eastAsia="en-AU"/>
        </w:rPr>
      </w:pPr>
      <w:r w:rsidRPr="00F45F11">
        <w:rPr>
          <w:lang w:eastAsia="en-AU"/>
        </w:rPr>
        <w:t>Standing up for inclusion and equality, preventing harm and discrimination, and delivering social and housing support to Victorians who need it.</w:t>
      </w:r>
    </w:p>
    <w:p w14:paraId="6B6312D9" w14:textId="77777777" w:rsidR="00371C7F" w:rsidRPr="00F45F11" w:rsidRDefault="00371C7F">
      <w:pPr>
        <w:pStyle w:val="Heading2"/>
        <w:spacing w:after="120"/>
      </w:pPr>
      <w:bookmarkStart w:id="22" w:name="_Toc241131686"/>
      <w:bookmarkStart w:id="23" w:name="_Toc212039509"/>
      <w:r w:rsidRPr="00F45F11">
        <w:t>Our objectives</w:t>
      </w:r>
      <w:bookmarkEnd w:id="22"/>
      <w:r w:rsidRPr="00F45F11">
        <w:t xml:space="preserve"> </w:t>
      </w:r>
      <w:bookmarkEnd w:id="23"/>
    </w:p>
    <w:p w14:paraId="52D71015" w14:textId="4E71B0D6" w:rsidR="00371C7F" w:rsidRPr="00F45F11" w:rsidRDefault="00371C7F" w:rsidP="00F15878">
      <w:pPr>
        <w:pStyle w:val="ARBullet1"/>
      </w:pPr>
      <w:r w:rsidRPr="00F45F11">
        <w:t>Aboriginal voice, knowledge and cultural leadership drive Aboriginal policy, legislation and</w:t>
      </w:r>
      <w:r w:rsidR="00AD5295">
        <w:t> </w:t>
      </w:r>
      <w:r w:rsidRPr="00F45F11">
        <w:t>system reform.</w:t>
      </w:r>
    </w:p>
    <w:p w14:paraId="1F90DC35" w14:textId="77777777" w:rsidR="00371C7F" w:rsidRPr="00F45F11" w:rsidRDefault="00371C7F" w:rsidP="00F15878">
      <w:pPr>
        <w:pStyle w:val="ARBullet1"/>
      </w:pPr>
      <w:r w:rsidRPr="00F45F11">
        <w:t>Children, young people and families are safe, strong and supported.</w:t>
      </w:r>
    </w:p>
    <w:p w14:paraId="135CAA49" w14:textId="77777777" w:rsidR="00371C7F" w:rsidRPr="00F45F11" w:rsidRDefault="00371C7F" w:rsidP="00F15878">
      <w:pPr>
        <w:pStyle w:val="ARBullet1"/>
      </w:pPr>
      <w:r w:rsidRPr="00F45F11">
        <w:t>Victorian communities are safe, fair, inclusive and resilient.</w:t>
      </w:r>
    </w:p>
    <w:p w14:paraId="64FD5B81" w14:textId="77777777" w:rsidR="00371C7F" w:rsidRPr="00F45F11" w:rsidRDefault="00371C7F" w:rsidP="00F15878">
      <w:pPr>
        <w:pStyle w:val="ARBullet1"/>
      </w:pPr>
      <w:r w:rsidRPr="00F45F11">
        <w:t>All Victorians have stable, affordable and appropriate housing.</w:t>
      </w:r>
    </w:p>
    <w:p w14:paraId="66AC4B6A" w14:textId="77777777" w:rsidR="00371C7F" w:rsidRPr="00F45F11" w:rsidRDefault="00371C7F" w:rsidP="00F15878">
      <w:pPr>
        <w:pStyle w:val="ARBullet1"/>
      </w:pPr>
      <w:r w:rsidRPr="00F45F11">
        <w:t>Our social services system is integrated, effective, person-centred and sustainable.</w:t>
      </w:r>
    </w:p>
    <w:p w14:paraId="7AD5FC64" w14:textId="77777777" w:rsidR="00371C7F" w:rsidRPr="00F45F11" w:rsidRDefault="00371C7F">
      <w:pPr>
        <w:pStyle w:val="Heading2"/>
        <w:spacing w:after="120"/>
      </w:pPr>
      <w:bookmarkStart w:id="24" w:name="_Toc212039510"/>
      <w:bookmarkStart w:id="25" w:name="_Toc241131687"/>
      <w:r w:rsidRPr="00F45F11">
        <w:t>Our values</w:t>
      </w:r>
      <w:bookmarkEnd w:id="24"/>
      <w:bookmarkEnd w:id="25"/>
    </w:p>
    <w:p w14:paraId="7E409531" w14:textId="77777777" w:rsidR="00371C7F" w:rsidRPr="00F45F11" w:rsidRDefault="00371C7F" w:rsidP="00EE6A8D">
      <w:pPr>
        <w:pStyle w:val="ARBody"/>
      </w:pPr>
      <w:r w:rsidRPr="00F45F11">
        <w:t>Our values describe what we stand for as a department, how we want to make decisions and how we expect each other to behave.</w:t>
      </w:r>
    </w:p>
    <w:p w14:paraId="0EA8653A" w14:textId="77777777" w:rsidR="00371C7F" w:rsidRPr="00F45F11" w:rsidRDefault="00371C7F">
      <w:pPr>
        <w:pStyle w:val="Heading3Values"/>
      </w:pPr>
      <w:r w:rsidRPr="00F45F11">
        <w:rPr>
          <w:noProof/>
        </w:rPr>
        <w:drawing>
          <wp:inline distT="0" distB="0" distL="0" distR="0" wp14:anchorId="2DA0C8EE" wp14:editId="0C491B38">
            <wp:extent cx="324000" cy="324000"/>
            <wp:effectExtent l="0" t="0" r="0" b="0"/>
            <wp:docPr id="1942224364"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224364" name="Graphic 3">
                      <a:extLst>
                        <a:ext uri="{C183D7F6-B498-43B3-948B-1728B52AA6E4}">
                          <adec:decorative xmlns:adec="http://schemas.microsoft.com/office/drawing/2017/decorative" val="1"/>
                        </a:ext>
                      </a:extLst>
                    </pic:cNvPr>
                    <pic:cNvPicPr/>
                  </pic:nvPicPr>
                  <pic:blipFill>
                    <a:blip r:embed="rId25">
                      <a:extLst>
                        <a:ext uri="{96DAC541-7B7A-43D3-8B79-37D633B846F1}">
                          <asvg:svgBlip xmlns:asvg="http://schemas.microsoft.com/office/drawing/2016/SVG/main" r:embed="rId26"/>
                        </a:ext>
                      </a:extLst>
                    </a:blip>
                    <a:stretch>
                      <a:fillRect/>
                    </a:stretch>
                  </pic:blipFill>
                  <pic:spPr>
                    <a:xfrm>
                      <a:off x="0" y="0"/>
                      <a:ext cx="324000" cy="324000"/>
                    </a:xfrm>
                    <a:prstGeom prst="rect">
                      <a:avLst/>
                    </a:prstGeom>
                  </pic:spPr>
                </pic:pic>
              </a:graphicData>
            </a:graphic>
          </wp:inline>
        </w:drawing>
      </w:r>
      <w:r w:rsidRPr="00F45F11">
        <w:tab/>
      </w:r>
      <w:r w:rsidRPr="00F45F11">
        <w:rPr>
          <w:rStyle w:val="ARraisedby10pt"/>
        </w:rPr>
        <w:t>We are responsive</w:t>
      </w:r>
    </w:p>
    <w:p w14:paraId="6D400F40" w14:textId="4903095D" w:rsidR="00371C7F" w:rsidRPr="00F45F11" w:rsidRDefault="00371C7F" w:rsidP="00F15878">
      <w:pPr>
        <w:pStyle w:val="ARBullet1"/>
      </w:pPr>
      <w:r w:rsidRPr="00F45F11">
        <w:t>We provide frank, impartial and timely advice to the Victorian Government</w:t>
      </w:r>
      <w:r w:rsidR="00FC316A" w:rsidRPr="00F45F11">
        <w:t>.</w:t>
      </w:r>
    </w:p>
    <w:p w14:paraId="4D95F865" w14:textId="148B0410" w:rsidR="00371C7F" w:rsidRPr="00F45F11" w:rsidRDefault="00371C7F" w:rsidP="00F15878">
      <w:pPr>
        <w:pStyle w:val="ARBullet1"/>
      </w:pPr>
      <w:r w:rsidRPr="00F45F11">
        <w:t>We provide high-quality services to the Victorian community.</w:t>
      </w:r>
    </w:p>
    <w:p w14:paraId="0D671522" w14:textId="77777777" w:rsidR="00371C7F" w:rsidRPr="00F45F11" w:rsidRDefault="00371C7F" w:rsidP="00F15878">
      <w:pPr>
        <w:pStyle w:val="ARBullet1"/>
      </w:pPr>
      <w:r w:rsidRPr="00F45F11">
        <w:t>We identify and promote best practice.</w:t>
      </w:r>
    </w:p>
    <w:p w14:paraId="46A2760B" w14:textId="77777777" w:rsidR="00371C7F" w:rsidRPr="00F45F11" w:rsidRDefault="00371C7F">
      <w:pPr>
        <w:pStyle w:val="Heading3Values"/>
        <w:rPr>
          <w:rStyle w:val="ARraisedby10pt"/>
        </w:rPr>
      </w:pPr>
      <w:r w:rsidRPr="00F45F11">
        <w:rPr>
          <w:noProof/>
        </w:rPr>
        <w:drawing>
          <wp:inline distT="0" distB="0" distL="0" distR="0" wp14:anchorId="6BA5F521" wp14:editId="58B9DF42">
            <wp:extent cx="292795" cy="323850"/>
            <wp:effectExtent l="0" t="0" r="0" b="0"/>
            <wp:docPr id="804203647"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203647" name="Graphic 4">
                      <a:extLst>
                        <a:ext uri="{C183D7F6-B498-43B3-948B-1728B52AA6E4}">
                          <adec:decorative xmlns:adec="http://schemas.microsoft.com/office/drawing/2017/decorative" val="1"/>
                        </a:ext>
                      </a:extLst>
                    </pic:cNvPr>
                    <pic:cNvPicPr/>
                  </pic:nvPicPr>
                  <pic:blipFill rotWithShape="1">
                    <a:blip r:embed="rId27">
                      <a:extLst>
                        <a:ext uri="{96DAC541-7B7A-43D3-8B79-37D633B846F1}">
                          <asvg:svgBlip xmlns:asvg="http://schemas.microsoft.com/office/drawing/2016/SVG/main" r:embed="rId28"/>
                        </a:ext>
                      </a:extLst>
                    </a:blip>
                    <a:srcRect l="9589"/>
                    <a:stretch>
                      <a:fillRect/>
                    </a:stretch>
                  </pic:blipFill>
                  <pic:spPr bwMode="auto">
                    <a:xfrm>
                      <a:off x="0" y="0"/>
                      <a:ext cx="292931" cy="324000"/>
                    </a:xfrm>
                    <a:prstGeom prst="rect">
                      <a:avLst/>
                    </a:prstGeom>
                    <a:ln>
                      <a:noFill/>
                    </a:ln>
                    <a:extLst>
                      <a:ext uri="{53640926-AAD7-44D8-BBD7-CCE9431645EC}">
                        <a14:shadowObscured xmlns:a14="http://schemas.microsoft.com/office/drawing/2010/main"/>
                      </a:ext>
                    </a:extLst>
                  </pic:spPr>
                </pic:pic>
              </a:graphicData>
            </a:graphic>
          </wp:inline>
        </w:drawing>
      </w:r>
      <w:r w:rsidRPr="00F45F11">
        <w:tab/>
      </w:r>
      <w:r w:rsidRPr="00F45F11">
        <w:rPr>
          <w:rStyle w:val="ARraisedby10pt"/>
        </w:rPr>
        <w:t>We have integrity</w:t>
      </w:r>
    </w:p>
    <w:p w14:paraId="619762C7" w14:textId="34279408" w:rsidR="00371C7F" w:rsidRPr="00F45F11" w:rsidRDefault="00371C7F" w:rsidP="00F15878">
      <w:pPr>
        <w:pStyle w:val="ARBullet1"/>
      </w:pPr>
      <w:r w:rsidRPr="00F45F11">
        <w:t>We are honest, open and transparent in our dealings.</w:t>
      </w:r>
    </w:p>
    <w:p w14:paraId="07B563E2" w14:textId="77777777" w:rsidR="00371C7F" w:rsidRPr="00F45F11" w:rsidRDefault="00371C7F" w:rsidP="00F15878">
      <w:pPr>
        <w:pStyle w:val="ARBullet1"/>
      </w:pPr>
      <w:r w:rsidRPr="00F45F11">
        <w:t>We use powers responsibly.</w:t>
      </w:r>
    </w:p>
    <w:p w14:paraId="54C584AE" w14:textId="77777777" w:rsidR="00371C7F" w:rsidRPr="00F45F11" w:rsidRDefault="00371C7F" w:rsidP="00F15878">
      <w:pPr>
        <w:pStyle w:val="ARBullet1"/>
      </w:pPr>
      <w:r w:rsidRPr="00F45F11">
        <w:t>We report improper conduct.</w:t>
      </w:r>
    </w:p>
    <w:p w14:paraId="387FEE2A" w14:textId="77777777" w:rsidR="00371C7F" w:rsidRPr="00F45F11" w:rsidRDefault="00371C7F" w:rsidP="00F15878">
      <w:pPr>
        <w:pStyle w:val="ARBullet1"/>
      </w:pPr>
      <w:r w:rsidRPr="00F45F11">
        <w:t>We avoid any real or apparent conflicts of interest.</w:t>
      </w:r>
    </w:p>
    <w:p w14:paraId="1EE08AC4" w14:textId="77777777" w:rsidR="00371C7F" w:rsidRPr="00F45F11" w:rsidRDefault="00371C7F" w:rsidP="00F15878">
      <w:pPr>
        <w:pStyle w:val="ARBullet1"/>
      </w:pPr>
      <w:r w:rsidRPr="00F45F11">
        <w:t>We strive to earn and sustain public trust.</w:t>
      </w:r>
    </w:p>
    <w:p w14:paraId="27383BF3" w14:textId="77777777" w:rsidR="00371C7F" w:rsidRPr="00F45F11" w:rsidRDefault="00371C7F">
      <w:pPr>
        <w:pStyle w:val="Heading3Values"/>
      </w:pPr>
      <w:r w:rsidRPr="00F45F11">
        <w:rPr>
          <w:noProof/>
        </w:rPr>
        <w:drawing>
          <wp:inline distT="0" distB="0" distL="0" distR="0" wp14:anchorId="6DB6D2F2" wp14:editId="19C7844E">
            <wp:extent cx="350748" cy="395605"/>
            <wp:effectExtent l="0" t="0" r="0" b="0"/>
            <wp:docPr id="162218694"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18694" name="Graphic 5">
                      <a:extLst>
                        <a:ext uri="{C183D7F6-B498-43B3-948B-1728B52AA6E4}">
                          <adec:decorative xmlns:adec="http://schemas.microsoft.com/office/drawing/2017/decorative" val="1"/>
                        </a:ext>
                      </a:extLst>
                    </pic:cNvPr>
                    <pic:cNvPicPr/>
                  </pic:nvPicPr>
                  <pic:blipFill rotWithShape="1">
                    <a:blip r:embed="rId29">
                      <a:extLst>
                        <a:ext uri="{96DAC541-7B7A-43D3-8B79-37D633B846F1}">
                          <asvg:svgBlip xmlns:asvg="http://schemas.microsoft.com/office/drawing/2016/SVG/main" r:embed="rId30"/>
                        </a:ext>
                      </a:extLst>
                    </a:blip>
                    <a:srcRect l="11339" r="-1"/>
                    <a:stretch>
                      <a:fillRect/>
                    </a:stretch>
                  </pic:blipFill>
                  <pic:spPr bwMode="auto">
                    <a:xfrm>
                      <a:off x="0" y="0"/>
                      <a:ext cx="351098" cy="396000"/>
                    </a:xfrm>
                    <a:prstGeom prst="rect">
                      <a:avLst/>
                    </a:prstGeom>
                    <a:ln>
                      <a:noFill/>
                    </a:ln>
                    <a:extLst>
                      <a:ext uri="{53640926-AAD7-44D8-BBD7-CCE9431645EC}">
                        <a14:shadowObscured xmlns:a14="http://schemas.microsoft.com/office/drawing/2010/main"/>
                      </a:ext>
                    </a:extLst>
                  </pic:spPr>
                </pic:pic>
              </a:graphicData>
            </a:graphic>
          </wp:inline>
        </w:drawing>
      </w:r>
      <w:r w:rsidRPr="00F45F11">
        <w:tab/>
      </w:r>
      <w:r w:rsidRPr="00F45F11">
        <w:rPr>
          <w:rStyle w:val="ARraisedby10pt"/>
        </w:rPr>
        <w:t>We are impartial</w:t>
      </w:r>
    </w:p>
    <w:p w14:paraId="33609C57" w14:textId="6D66D5EA" w:rsidR="00371C7F" w:rsidRPr="00F45F11" w:rsidRDefault="00371C7F" w:rsidP="00F15878">
      <w:pPr>
        <w:pStyle w:val="ARBullet1"/>
      </w:pPr>
      <w:r w:rsidRPr="00F45F11">
        <w:t>We make decisions and provide advice on merit and without bias, caprice, favouritism or self-interest.</w:t>
      </w:r>
    </w:p>
    <w:p w14:paraId="1C5A7EE3" w14:textId="77777777" w:rsidR="00371C7F" w:rsidRPr="00F45F11" w:rsidRDefault="00371C7F" w:rsidP="00F15878">
      <w:pPr>
        <w:pStyle w:val="ARBullet1"/>
      </w:pPr>
      <w:r w:rsidRPr="00F45F11">
        <w:t>We act fairly by objectively considering all relevant facts and fair criteria.</w:t>
      </w:r>
    </w:p>
    <w:p w14:paraId="56C296AA" w14:textId="70D9BF2E" w:rsidR="008816A4" w:rsidRDefault="00371C7F" w:rsidP="00F15878">
      <w:pPr>
        <w:pStyle w:val="ARBullet1"/>
      </w:pPr>
      <w:r w:rsidRPr="00F45F11">
        <w:t>We implement Victorian Government policies and programs equitably.</w:t>
      </w:r>
    </w:p>
    <w:p w14:paraId="6C882F56" w14:textId="77777777" w:rsidR="008816A4" w:rsidRDefault="008816A4">
      <w:pPr>
        <w:spacing w:after="0" w:line="240" w:lineRule="auto"/>
        <w:rPr>
          <w:rFonts w:eastAsia="Times"/>
          <w:sz w:val="20"/>
        </w:rPr>
      </w:pPr>
      <w:r>
        <w:br w:type="page"/>
      </w:r>
    </w:p>
    <w:p w14:paraId="021AED8D" w14:textId="77777777" w:rsidR="00371C7F" w:rsidRPr="00F45F11" w:rsidRDefault="00371C7F">
      <w:pPr>
        <w:pStyle w:val="Heading3Values"/>
      </w:pPr>
      <w:r w:rsidRPr="00F45F11">
        <w:rPr>
          <w:noProof/>
        </w:rPr>
        <w:drawing>
          <wp:inline distT="0" distB="0" distL="0" distR="0" wp14:anchorId="162B5784" wp14:editId="17C918C1">
            <wp:extent cx="317807" cy="360000"/>
            <wp:effectExtent l="0" t="0" r="0" b="0"/>
            <wp:docPr id="1148357478"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357478" name="Graphic 6">
                      <a:extLst>
                        <a:ext uri="{C183D7F6-B498-43B3-948B-1728B52AA6E4}">
                          <adec:decorative xmlns:adec="http://schemas.microsoft.com/office/drawing/2017/decorative" val="1"/>
                        </a:ext>
                      </a:extLst>
                    </pic:cNvPr>
                    <pic:cNvPicPr/>
                  </pic:nvPicPr>
                  <pic:blipFill rotWithShape="1">
                    <a:blip r:embed="rId31">
                      <a:extLst>
                        <a:ext uri="{96DAC541-7B7A-43D3-8B79-37D633B846F1}">
                          <asvg:svgBlip xmlns:asvg="http://schemas.microsoft.com/office/drawing/2016/SVG/main" r:embed="rId32"/>
                        </a:ext>
                      </a:extLst>
                    </a:blip>
                    <a:srcRect l="11720"/>
                    <a:stretch>
                      <a:fillRect/>
                    </a:stretch>
                  </pic:blipFill>
                  <pic:spPr bwMode="auto">
                    <a:xfrm>
                      <a:off x="0" y="0"/>
                      <a:ext cx="317807" cy="360000"/>
                    </a:xfrm>
                    <a:prstGeom prst="rect">
                      <a:avLst/>
                    </a:prstGeom>
                    <a:ln>
                      <a:noFill/>
                    </a:ln>
                    <a:extLst>
                      <a:ext uri="{53640926-AAD7-44D8-BBD7-CCE9431645EC}">
                        <a14:shadowObscured xmlns:a14="http://schemas.microsoft.com/office/drawing/2010/main"/>
                      </a:ext>
                    </a:extLst>
                  </pic:spPr>
                </pic:pic>
              </a:graphicData>
            </a:graphic>
          </wp:inline>
        </w:drawing>
      </w:r>
      <w:r w:rsidRPr="00F45F11">
        <w:rPr>
          <w:rStyle w:val="ARraisedby10pt"/>
        </w:rPr>
        <w:tab/>
        <w:t>We show respect</w:t>
      </w:r>
    </w:p>
    <w:p w14:paraId="5E17DC04" w14:textId="77777777" w:rsidR="00371C7F" w:rsidRPr="00F45F11" w:rsidRDefault="00371C7F" w:rsidP="00F15878">
      <w:pPr>
        <w:pStyle w:val="ARBullet1"/>
      </w:pPr>
      <w:r w:rsidRPr="00F45F11">
        <w:t>We show respect for colleagues, other public officials and members of the Victorian community.</w:t>
      </w:r>
    </w:p>
    <w:p w14:paraId="54605C39" w14:textId="77777777" w:rsidR="00371C7F" w:rsidRPr="00F45F11" w:rsidRDefault="00371C7F" w:rsidP="00F15878">
      <w:pPr>
        <w:pStyle w:val="ARBullet1"/>
      </w:pPr>
      <w:r w:rsidRPr="00F45F11">
        <w:t>We treat our colleagues, other public officials and members of the Victorian community fairly and objectively.</w:t>
      </w:r>
    </w:p>
    <w:p w14:paraId="0FBECE3A" w14:textId="77777777" w:rsidR="00371C7F" w:rsidRPr="00F45F11" w:rsidRDefault="00371C7F" w:rsidP="00F15878">
      <w:pPr>
        <w:pStyle w:val="ARBullet1"/>
      </w:pPr>
      <w:r w:rsidRPr="00F45F11">
        <w:t>We ensure freedom from discrimination, harassment and bullying.</w:t>
      </w:r>
    </w:p>
    <w:p w14:paraId="25FA408B" w14:textId="77777777" w:rsidR="00371C7F" w:rsidRPr="00F45F11" w:rsidRDefault="00371C7F" w:rsidP="00F15878">
      <w:pPr>
        <w:pStyle w:val="ARBullet1"/>
      </w:pPr>
      <w:r w:rsidRPr="00F45F11">
        <w:t>We use the views of colleagues, other public officials and members of the Victorian community to improve outcomes on an ongoing basis.</w:t>
      </w:r>
    </w:p>
    <w:p w14:paraId="0C8AD430" w14:textId="77777777" w:rsidR="00371C7F" w:rsidRPr="00F45F11" w:rsidRDefault="00371C7F">
      <w:pPr>
        <w:pStyle w:val="Heading3Values"/>
      </w:pPr>
      <w:r w:rsidRPr="00F45F11">
        <w:rPr>
          <w:rFonts w:asciiTheme="minorHAnsi" w:eastAsiaTheme="minorHAnsi" w:hAnsiTheme="minorHAnsi" w:cstheme="minorBidi"/>
          <w:noProof/>
          <w:szCs w:val="22"/>
        </w:rPr>
        <w:drawing>
          <wp:inline distT="0" distB="0" distL="0" distR="0" wp14:anchorId="18C767A0" wp14:editId="34DF31DA">
            <wp:extent cx="335256" cy="359410"/>
            <wp:effectExtent l="0" t="0" r="8255" b="2540"/>
            <wp:docPr id="133902175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021757" name="Graphic 7">
                      <a:extLst>
                        <a:ext uri="{C183D7F6-B498-43B3-948B-1728B52AA6E4}">
                          <adec:decorative xmlns:adec="http://schemas.microsoft.com/office/drawing/2017/decorative" val="1"/>
                        </a:ext>
                      </a:extLst>
                    </pic:cNvPr>
                    <pic:cNvPicPr/>
                  </pic:nvPicPr>
                  <pic:blipFill rotWithShape="1">
                    <a:blip r:embed="rId33">
                      <a:extLst>
                        <a:ext uri="{96DAC541-7B7A-43D3-8B79-37D633B846F1}">
                          <asvg:svgBlip xmlns:asvg="http://schemas.microsoft.com/office/drawing/2016/SVG/main" r:embed="rId34"/>
                        </a:ext>
                      </a:extLst>
                    </a:blip>
                    <a:srcRect l="6720"/>
                    <a:stretch>
                      <a:fillRect/>
                    </a:stretch>
                  </pic:blipFill>
                  <pic:spPr bwMode="auto">
                    <a:xfrm>
                      <a:off x="0" y="0"/>
                      <a:ext cx="335806" cy="360000"/>
                    </a:xfrm>
                    <a:prstGeom prst="rect">
                      <a:avLst/>
                    </a:prstGeom>
                    <a:ln>
                      <a:noFill/>
                    </a:ln>
                    <a:extLst>
                      <a:ext uri="{53640926-AAD7-44D8-BBD7-CCE9431645EC}">
                        <a14:shadowObscured xmlns:a14="http://schemas.microsoft.com/office/drawing/2010/main"/>
                      </a:ext>
                    </a:extLst>
                  </pic:spPr>
                </pic:pic>
              </a:graphicData>
            </a:graphic>
          </wp:inline>
        </w:drawing>
      </w:r>
      <w:r w:rsidRPr="00F45F11">
        <w:rPr>
          <w:rFonts w:asciiTheme="minorHAnsi" w:eastAsiaTheme="minorHAnsi" w:hAnsiTheme="minorHAnsi" w:cstheme="minorBidi"/>
        </w:rPr>
        <w:tab/>
      </w:r>
      <w:r w:rsidRPr="00F45F11">
        <w:rPr>
          <w:rStyle w:val="ARraisedby10pt"/>
        </w:rPr>
        <w:t>We are accountable</w:t>
      </w:r>
    </w:p>
    <w:p w14:paraId="44FAF80C" w14:textId="77777777" w:rsidR="00371C7F" w:rsidRPr="00F45F11" w:rsidRDefault="00371C7F" w:rsidP="00F15878">
      <w:pPr>
        <w:pStyle w:val="ARBullet1"/>
      </w:pPr>
      <w:r w:rsidRPr="00F45F11">
        <w:t>We work towards clear objectives in a transparent manner.</w:t>
      </w:r>
    </w:p>
    <w:p w14:paraId="6B0AD08E" w14:textId="77777777" w:rsidR="00371C7F" w:rsidRPr="00F45F11" w:rsidRDefault="00371C7F" w:rsidP="00F15878">
      <w:pPr>
        <w:pStyle w:val="ARBullet1"/>
      </w:pPr>
      <w:r w:rsidRPr="00F45F11">
        <w:t>We accept responsibility for our decisions and actions.</w:t>
      </w:r>
    </w:p>
    <w:p w14:paraId="18EFBC84" w14:textId="77777777" w:rsidR="00371C7F" w:rsidRPr="00F45F11" w:rsidRDefault="00371C7F" w:rsidP="00F15878">
      <w:pPr>
        <w:pStyle w:val="ARBullet1"/>
      </w:pPr>
      <w:r w:rsidRPr="00F45F11">
        <w:t>We seek to achieve the best use of resources.</w:t>
      </w:r>
    </w:p>
    <w:p w14:paraId="401FE134" w14:textId="77777777" w:rsidR="00371C7F" w:rsidRPr="00F45F11" w:rsidRDefault="00371C7F" w:rsidP="00F15878">
      <w:pPr>
        <w:pStyle w:val="ARBullet1"/>
      </w:pPr>
      <w:r w:rsidRPr="00F45F11">
        <w:t>We submit ourselves to appropriate scrutiny.</w:t>
      </w:r>
    </w:p>
    <w:p w14:paraId="220F6C26" w14:textId="77777777" w:rsidR="00371C7F" w:rsidRPr="00F45F11" w:rsidRDefault="00371C7F">
      <w:pPr>
        <w:pStyle w:val="Heading3Values"/>
      </w:pPr>
      <w:r w:rsidRPr="00F45F11">
        <w:rPr>
          <w:noProof/>
        </w:rPr>
        <w:drawing>
          <wp:inline distT="0" distB="0" distL="0" distR="0" wp14:anchorId="71885208" wp14:editId="15BFF4F2">
            <wp:extent cx="300570" cy="419100"/>
            <wp:effectExtent l="0" t="0" r="4445" b="0"/>
            <wp:docPr id="1992689876"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689876" name="Graphic 2">
                      <a:extLst>
                        <a:ext uri="{C183D7F6-B498-43B3-948B-1728B52AA6E4}">
                          <adec:decorative xmlns:adec="http://schemas.microsoft.com/office/drawing/2017/decorative" val="1"/>
                        </a:ext>
                      </a:extLst>
                    </pic:cNvPr>
                    <pic:cNvPicPr/>
                  </pic:nvPicPr>
                  <pic:blipFill rotWithShape="1">
                    <a:blip r:embed="rId35">
                      <a:extLst>
                        <a:ext uri="{96DAC541-7B7A-43D3-8B79-37D633B846F1}">
                          <asvg:svgBlip xmlns:asvg="http://schemas.microsoft.com/office/drawing/2016/SVG/main" r:embed="rId36"/>
                        </a:ext>
                      </a:extLst>
                    </a:blip>
                    <a:srcRect l="16329"/>
                    <a:stretch>
                      <a:fillRect/>
                    </a:stretch>
                  </pic:blipFill>
                  <pic:spPr bwMode="auto">
                    <a:xfrm>
                      <a:off x="0" y="0"/>
                      <a:ext cx="302400" cy="421652"/>
                    </a:xfrm>
                    <a:prstGeom prst="rect">
                      <a:avLst/>
                    </a:prstGeom>
                    <a:ln>
                      <a:noFill/>
                    </a:ln>
                    <a:extLst>
                      <a:ext uri="{53640926-AAD7-44D8-BBD7-CCE9431645EC}">
                        <a14:shadowObscured xmlns:a14="http://schemas.microsoft.com/office/drawing/2010/main"/>
                      </a:ext>
                    </a:extLst>
                  </pic:spPr>
                </pic:pic>
              </a:graphicData>
            </a:graphic>
          </wp:inline>
        </w:drawing>
      </w:r>
      <w:r w:rsidRPr="00F45F11">
        <w:rPr>
          <w:rFonts w:asciiTheme="minorHAnsi" w:eastAsiaTheme="minorHAnsi" w:hAnsiTheme="minorHAnsi" w:cstheme="minorBidi"/>
        </w:rPr>
        <w:tab/>
      </w:r>
      <w:r w:rsidRPr="00F45F11">
        <w:rPr>
          <w:rStyle w:val="ARraisedby10pt"/>
        </w:rPr>
        <w:t>We lead</w:t>
      </w:r>
    </w:p>
    <w:p w14:paraId="44B4A2A1" w14:textId="77777777" w:rsidR="00371C7F" w:rsidRPr="00F45F11" w:rsidRDefault="00371C7F" w:rsidP="00F15878">
      <w:pPr>
        <w:pStyle w:val="ARBullet1"/>
      </w:pPr>
      <w:r w:rsidRPr="00F45F11">
        <w:t>We actively implement, promote and support these values.</w:t>
      </w:r>
    </w:p>
    <w:p w14:paraId="60CFD680" w14:textId="77777777" w:rsidR="00371C7F" w:rsidRPr="00F45F11" w:rsidRDefault="00371C7F">
      <w:pPr>
        <w:pStyle w:val="Heading3Values"/>
      </w:pPr>
      <w:r w:rsidRPr="00F45F11">
        <w:rPr>
          <w:rFonts w:asciiTheme="minorHAnsi" w:eastAsiaTheme="minorHAnsi" w:hAnsiTheme="minorHAnsi" w:cstheme="minorBidi"/>
          <w:noProof/>
          <w:szCs w:val="22"/>
        </w:rPr>
        <w:drawing>
          <wp:inline distT="0" distB="0" distL="0" distR="0" wp14:anchorId="00249B18" wp14:editId="175E9D85">
            <wp:extent cx="335256" cy="359410"/>
            <wp:effectExtent l="0" t="0" r="8255" b="2540"/>
            <wp:docPr id="1330009131"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09131" name="Graphic 8">
                      <a:extLst>
                        <a:ext uri="{C183D7F6-B498-43B3-948B-1728B52AA6E4}">
                          <adec:decorative xmlns:adec="http://schemas.microsoft.com/office/drawing/2017/decorative" val="1"/>
                        </a:ext>
                      </a:extLst>
                    </pic:cNvPr>
                    <pic:cNvPicPr/>
                  </pic:nvPicPr>
                  <pic:blipFill rotWithShape="1">
                    <a:blip r:embed="rId37">
                      <a:extLst>
                        <a:ext uri="{96DAC541-7B7A-43D3-8B79-37D633B846F1}">
                          <asvg:svgBlip xmlns:asvg="http://schemas.microsoft.com/office/drawing/2016/SVG/main" r:embed="rId38"/>
                        </a:ext>
                      </a:extLst>
                    </a:blip>
                    <a:srcRect l="6720"/>
                    <a:stretch>
                      <a:fillRect/>
                    </a:stretch>
                  </pic:blipFill>
                  <pic:spPr bwMode="auto">
                    <a:xfrm>
                      <a:off x="0" y="0"/>
                      <a:ext cx="335806" cy="360000"/>
                    </a:xfrm>
                    <a:prstGeom prst="rect">
                      <a:avLst/>
                    </a:prstGeom>
                    <a:ln>
                      <a:noFill/>
                    </a:ln>
                    <a:extLst>
                      <a:ext uri="{53640926-AAD7-44D8-BBD7-CCE9431645EC}">
                        <a14:shadowObscured xmlns:a14="http://schemas.microsoft.com/office/drawing/2010/main"/>
                      </a:ext>
                    </a:extLst>
                  </pic:spPr>
                </pic:pic>
              </a:graphicData>
            </a:graphic>
          </wp:inline>
        </w:drawing>
      </w:r>
      <w:r w:rsidRPr="00F45F11">
        <w:rPr>
          <w:rFonts w:asciiTheme="minorHAnsi" w:eastAsiaTheme="minorHAnsi" w:hAnsiTheme="minorHAnsi" w:cstheme="minorBidi"/>
        </w:rPr>
        <w:tab/>
      </w:r>
      <w:r w:rsidRPr="00F45F11">
        <w:rPr>
          <w:rStyle w:val="ARraisedby10pt"/>
        </w:rPr>
        <w:t>We respect human rights</w:t>
      </w:r>
    </w:p>
    <w:p w14:paraId="2064C870" w14:textId="7BEB7066" w:rsidR="00371C7F" w:rsidRPr="00F45F11" w:rsidRDefault="00371C7F" w:rsidP="00F15878">
      <w:pPr>
        <w:pStyle w:val="ARBullet1"/>
      </w:pPr>
      <w:r w:rsidRPr="00F45F11">
        <w:t xml:space="preserve">We respect and promote the human rights set out in the Victorian </w:t>
      </w:r>
      <w:r w:rsidRPr="00A124D1">
        <w:rPr>
          <w:rStyle w:val="Emphasis"/>
        </w:rPr>
        <w:t>Charter of Human Rights and</w:t>
      </w:r>
      <w:r w:rsidR="00AD5295">
        <w:rPr>
          <w:rStyle w:val="Emphasis"/>
        </w:rPr>
        <w:t> </w:t>
      </w:r>
      <w:r w:rsidRPr="00A124D1">
        <w:rPr>
          <w:rStyle w:val="Emphasis"/>
        </w:rPr>
        <w:t>Responsibilities Act</w:t>
      </w:r>
      <w:r w:rsidRPr="00F45F11">
        <w:t xml:space="preserve"> </w:t>
      </w:r>
      <w:r w:rsidRPr="00A124D1">
        <w:rPr>
          <w:rStyle w:val="Emphasis"/>
        </w:rPr>
        <w:t>2006.</w:t>
      </w:r>
    </w:p>
    <w:p w14:paraId="556A45A8" w14:textId="77777777" w:rsidR="00371C7F" w:rsidRPr="00F45F11" w:rsidRDefault="00371C7F" w:rsidP="00F15878">
      <w:pPr>
        <w:pStyle w:val="ARBullet1"/>
      </w:pPr>
      <w:r w:rsidRPr="00F45F11">
        <w:t>We make decisions and provide advice consistent with human rights.</w:t>
      </w:r>
    </w:p>
    <w:p w14:paraId="664209FB" w14:textId="58DAEBBD" w:rsidR="002B1295" w:rsidRDefault="00371C7F" w:rsidP="002B1295">
      <w:pPr>
        <w:pStyle w:val="ARBullet1"/>
      </w:pPr>
      <w:r w:rsidRPr="00F45F11">
        <w:t>We actively implement, promote and support human rights.</w:t>
      </w:r>
      <w:bookmarkEnd w:id="19"/>
    </w:p>
    <w:p w14:paraId="34617D7D" w14:textId="77777777" w:rsidR="009F053B" w:rsidRPr="00F45F11" w:rsidRDefault="009F053B" w:rsidP="004127EA">
      <w:pPr>
        <w:pStyle w:val="ARBody"/>
      </w:pPr>
      <w:bookmarkStart w:id="26" w:name="_Toc212039511"/>
      <w:r w:rsidRPr="00F45F11">
        <w:br w:type="page"/>
      </w:r>
    </w:p>
    <w:p w14:paraId="170BB2B5" w14:textId="36D38612" w:rsidR="002B1295" w:rsidRDefault="00156AA6" w:rsidP="002B1295">
      <w:pPr>
        <w:pStyle w:val="Heading2"/>
        <w:spacing w:before="0"/>
      </w:pPr>
      <w:bookmarkStart w:id="27" w:name="_Purpose_and_functions"/>
      <w:bookmarkStart w:id="28" w:name="_Toc241131688"/>
      <w:bookmarkEnd w:id="27"/>
      <w:r w:rsidRPr="00F45F11">
        <w:t>Purpose and functions</w:t>
      </w:r>
      <w:bookmarkEnd w:id="26"/>
      <w:bookmarkEnd w:id="28"/>
    </w:p>
    <w:p w14:paraId="62CAAB73" w14:textId="77777777" w:rsidR="00156AA6" w:rsidRPr="00F45F11" w:rsidRDefault="00156AA6" w:rsidP="00214C22">
      <w:pPr>
        <w:pStyle w:val="Heading3"/>
        <w:spacing w:before="0"/>
      </w:pPr>
      <w:r w:rsidRPr="00F45F11">
        <w:t xml:space="preserve">Our purpose </w:t>
      </w:r>
    </w:p>
    <w:p w14:paraId="1420561D" w14:textId="77777777" w:rsidR="00156AA6" w:rsidRPr="00F45F11" w:rsidRDefault="00156AA6" w:rsidP="009C2DB7">
      <w:pPr>
        <w:pStyle w:val="ARBody"/>
      </w:pPr>
      <w:r w:rsidRPr="00F45F11">
        <w:t>The department looks after child protection and family services, prevention of family violence, housing and homelessness, disability, seniors, carers and volunteers, LGBTIQA+ equality, veterans, women and youth.</w:t>
      </w:r>
    </w:p>
    <w:p w14:paraId="37944943" w14:textId="77777777" w:rsidR="00156AA6" w:rsidRPr="00F45F11" w:rsidRDefault="00156AA6" w:rsidP="007308C5">
      <w:pPr>
        <w:pStyle w:val="Heading4"/>
      </w:pPr>
      <w:r w:rsidRPr="00F45F11">
        <w:t>Ageing</w:t>
      </w:r>
    </w:p>
    <w:p w14:paraId="4ECB680E" w14:textId="22F2BDC2" w:rsidR="00156AA6" w:rsidRPr="00F45F11" w:rsidRDefault="00156AA6" w:rsidP="001F0100">
      <w:pPr>
        <w:pStyle w:val="ARBody"/>
      </w:pPr>
      <w:r w:rsidRPr="00F45F11">
        <w:t>The department supports older Victorians to live healthy, active and purposeful lives. We provide policy advice on priority issues affecting older people</w:t>
      </w:r>
      <w:r w:rsidR="00556DF4" w:rsidRPr="00F45F11">
        <w:t>. We</w:t>
      </w:r>
      <w:r w:rsidRPr="00F45F11">
        <w:t xml:space="preserve"> fund non-government organisations that</w:t>
      </w:r>
      <w:r w:rsidR="00EE78A7">
        <w:t> </w:t>
      </w:r>
      <w:r w:rsidRPr="00F45F11">
        <w:t xml:space="preserve">work with, and for, older people. These organisations help us to deliver work aligned </w:t>
      </w:r>
      <w:r w:rsidR="00556DF4" w:rsidRPr="00F45F11">
        <w:t>with</w:t>
      </w:r>
      <w:r w:rsidR="00EE78A7">
        <w:t> </w:t>
      </w:r>
      <w:r w:rsidRPr="00F45F11">
        <w:t>government priorities for older</w:t>
      </w:r>
      <w:r w:rsidR="002B1295">
        <w:t> </w:t>
      </w:r>
      <w:r w:rsidRPr="00F45F11">
        <w:t>people.</w:t>
      </w:r>
    </w:p>
    <w:p w14:paraId="6C63BD52" w14:textId="6BCB42D8" w:rsidR="00156AA6" w:rsidRPr="00F45F11" w:rsidRDefault="00156AA6" w:rsidP="001F0100">
      <w:pPr>
        <w:pStyle w:val="ARBody"/>
      </w:pPr>
      <w:r w:rsidRPr="00F45F11">
        <w:t>The department also leads policy and programs that</w:t>
      </w:r>
      <w:r w:rsidR="00EE78A7">
        <w:t> </w:t>
      </w:r>
      <w:r w:rsidRPr="00F45F11">
        <w:t xml:space="preserve">prevent and respond to elder abuse. </w:t>
      </w:r>
      <w:r w:rsidR="00556DF4" w:rsidRPr="00F45F11">
        <w:t>We</w:t>
      </w:r>
      <w:r w:rsidRPr="00F45F11">
        <w:t xml:space="preserve"> support local place-based primary prevention action to</w:t>
      </w:r>
      <w:r w:rsidR="00ED4BA6" w:rsidRPr="00F45F11">
        <w:t xml:space="preserve"> </w:t>
      </w:r>
      <w:r w:rsidRPr="00F45F11">
        <w:t>raise awareness of elder abuse and stop it</w:t>
      </w:r>
      <w:r w:rsidR="00EE78A7">
        <w:t> </w:t>
      </w:r>
      <w:r w:rsidRPr="00F45F11">
        <w:t>from</w:t>
      </w:r>
      <w:r w:rsidR="00ED4BA6" w:rsidRPr="00F45F11">
        <w:t xml:space="preserve"> </w:t>
      </w:r>
      <w:r w:rsidRPr="00F45F11">
        <w:t>happening.</w:t>
      </w:r>
    </w:p>
    <w:p w14:paraId="4962E3A1" w14:textId="35116BA5" w:rsidR="00156AA6" w:rsidRPr="00F45F11" w:rsidRDefault="00156AA6" w:rsidP="001F0100">
      <w:pPr>
        <w:pStyle w:val="ARBody"/>
      </w:pPr>
      <w:r w:rsidRPr="00F45F11">
        <w:t xml:space="preserve">We deliver the Victorian Seniors Card, Companion Card and Carer Card programs. </w:t>
      </w:r>
    </w:p>
    <w:p w14:paraId="71C3869B" w14:textId="3BA6F716" w:rsidR="00156AA6" w:rsidRPr="00F45F11" w:rsidRDefault="00156AA6" w:rsidP="001F0100">
      <w:pPr>
        <w:pStyle w:val="ARBody"/>
      </w:pPr>
      <w:r w:rsidRPr="00F45F11">
        <w:t>Each year, we deliver the Victorian Seniors Festival. We do this in partnership with Victoria’s 79 local councils. In October 2025, the Seniors Festival held</w:t>
      </w:r>
      <w:r w:rsidR="008457AC">
        <w:t> </w:t>
      </w:r>
      <w:r w:rsidRPr="00F45F11">
        <w:t>more than 4,700 events across the state.</w:t>
      </w:r>
    </w:p>
    <w:p w14:paraId="750FD075" w14:textId="676ED2E7" w:rsidR="00156AA6" w:rsidRPr="00F45F11" w:rsidRDefault="00156AA6" w:rsidP="001F0100">
      <w:pPr>
        <w:pStyle w:val="ARBody"/>
      </w:pPr>
      <w:r w:rsidRPr="00F45F11">
        <w:t>As part of the Seniors Festival, the department delivers the Victorian Senior of the Year Awards. These awards celebrate the contributions and achievements of older Victorians.</w:t>
      </w:r>
    </w:p>
    <w:p w14:paraId="659BE5A3" w14:textId="1D047F54" w:rsidR="00DB5A56" w:rsidRPr="00F45F11" w:rsidRDefault="00156AA6" w:rsidP="00B2280D">
      <w:pPr>
        <w:pStyle w:val="ARBody"/>
      </w:pPr>
      <w:r w:rsidRPr="00F45F11">
        <w:t xml:space="preserve">The department works across government to implement Victoria’s </w:t>
      </w:r>
      <w:r w:rsidRPr="00A124D1">
        <w:rPr>
          <w:rStyle w:val="Emphasis"/>
        </w:rPr>
        <w:t>Ageing well action plan 2022–2026</w:t>
      </w:r>
      <w:r w:rsidRPr="00F45F11">
        <w:t>. The</w:t>
      </w:r>
      <w:r w:rsidR="002B1295">
        <w:t> </w:t>
      </w:r>
      <w:r w:rsidRPr="00F45F11">
        <w:t>plan encourages an ‘ageing well’</w:t>
      </w:r>
      <w:r w:rsidR="007006EB">
        <w:t> </w:t>
      </w:r>
      <w:r w:rsidRPr="00F45F11">
        <w:t>lens for</w:t>
      </w:r>
      <w:r w:rsidR="00EE78A7">
        <w:t> </w:t>
      </w:r>
      <w:r w:rsidRPr="00F45F11">
        <w:t>policies and programs that affect older</w:t>
      </w:r>
      <w:r w:rsidR="007006EB">
        <w:t> </w:t>
      </w:r>
      <w:r w:rsidRPr="00F45F11">
        <w:t>people.</w:t>
      </w:r>
    </w:p>
    <w:p w14:paraId="7E3287D6" w14:textId="77777777" w:rsidR="00E55171" w:rsidRPr="00F45F11" w:rsidRDefault="00E55171" w:rsidP="00E55171">
      <w:pPr>
        <w:pStyle w:val="Heading4"/>
      </w:pPr>
      <w:bookmarkStart w:id="29" w:name="_Ref85055987"/>
      <w:r w:rsidRPr="00F45F11">
        <w:t>Carers</w:t>
      </w:r>
      <w:bookmarkEnd w:id="29"/>
      <w:r w:rsidRPr="00F45F11">
        <w:t xml:space="preserve"> and Volunteers</w:t>
      </w:r>
    </w:p>
    <w:p w14:paraId="73922243" w14:textId="131254F4" w:rsidR="00E55171" w:rsidRPr="00F45F11" w:rsidRDefault="00E55171" w:rsidP="00E55171">
      <w:pPr>
        <w:pStyle w:val="ARBody"/>
      </w:pPr>
      <w:r w:rsidRPr="00F45F11">
        <w:t>The department helps Victorians feel included in their communities. We do this by encouraging people to get involved in volunteering. This includes being part of community places like neighbourhood houses and men’s</w:t>
      </w:r>
      <w:r w:rsidR="002B1295">
        <w:t> </w:t>
      </w:r>
      <w:r w:rsidRPr="00F45F11">
        <w:t>sheds.</w:t>
      </w:r>
    </w:p>
    <w:p w14:paraId="79181CD6" w14:textId="77777777" w:rsidR="002B1295" w:rsidRDefault="00E55171" w:rsidP="00E55171">
      <w:pPr>
        <w:pStyle w:val="ARBody"/>
      </w:pPr>
      <w:r w:rsidRPr="00F45F11">
        <w:t>Our programs provide support for people experiencing economic exclusion and hardship. They also build financial capability.</w:t>
      </w:r>
    </w:p>
    <w:p w14:paraId="5B070EEF" w14:textId="2D172C0A" w:rsidR="00E55171" w:rsidRPr="00F45F11" w:rsidRDefault="00E55171" w:rsidP="00E55171">
      <w:pPr>
        <w:pStyle w:val="ARBody"/>
      </w:pPr>
      <w:r w:rsidRPr="00F45F11">
        <w:t>We help to strengthen food security so more people</w:t>
      </w:r>
      <w:r w:rsidR="008457AC">
        <w:t> </w:t>
      </w:r>
      <w:r w:rsidRPr="00F45F11">
        <w:t>can put food on the table. We do this in partnership with organisations across the state. This</w:t>
      </w:r>
      <w:r w:rsidR="008457AC">
        <w:t> </w:t>
      </w:r>
      <w:r w:rsidRPr="00F45F11">
        <w:t xml:space="preserve">includes working with Foodbank Victoria, </w:t>
      </w:r>
      <w:proofErr w:type="spellStart"/>
      <w:r w:rsidRPr="00F45F11">
        <w:t>SecondBite</w:t>
      </w:r>
      <w:proofErr w:type="spellEnd"/>
      <w:r w:rsidR="00634F03" w:rsidRPr="00F45F11">
        <w:t>/</w:t>
      </w:r>
      <w:proofErr w:type="spellStart"/>
      <w:r w:rsidRPr="00F45F11">
        <w:t>FareShare</w:t>
      </w:r>
      <w:proofErr w:type="spellEnd"/>
      <w:r w:rsidRPr="00F45F11">
        <w:t xml:space="preserve">, the state’s 6 regional </w:t>
      </w:r>
      <w:proofErr w:type="spellStart"/>
      <w:r w:rsidRPr="00F45F11">
        <w:t>foodshares</w:t>
      </w:r>
      <w:proofErr w:type="spellEnd"/>
      <w:r w:rsidRPr="00F45F11">
        <w:t xml:space="preserve"> and local community organisations.</w:t>
      </w:r>
    </w:p>
    <w:p w14:paraId="38D4CE60" w14:textId="67D59236" w:rsidR="00E55171" w:rsidRPr="00F45F11" w:rsidRDefault="00E55171" w:rsidP="00E55171">
      <w:pPr>
        <w:pStyle w:val="ARBody"/>
      </w:pPr>
      <w:r w:rsidRPr="00F45F11">
        <w:t xml:space="preserve">Under </w:t>
      </w:r>
      <w:r w:rsidRPr="00B5185B">
        <w:rPr>
          <w:rStyle w:val="Emphasis"/>
          <w:i w:val="0"/>
          <w:iCs w:val="0"/>
        </w:rPr>
        <w:t>the</w:t>
      </w:r>
      <w:r w:rsidRPr="00A124D1">
        <w:rPr>
          <w:rStyle w:val="Emphasis"/>
        </w:rPr>
        <w:t xml:space="preserve"> Victorian Carer </w:t>
      </w:r>
      <w:r w:rsidR="007E5E9E" w:rsidRPr="00A124D1">
        <w:rPr>
          <w:rStyle w:val="Emphasis"/>
        </w:rPr>
        <w:t>S</w:t>
      </w:r>
      <w:r w:rsidRPr="00A124D1">
        <w:rPr>
          <w:rStyle w:val="Emphasis"/>
        </w:rPr>
        <w:t>trategy 2025</w:t>
      </w:r>
      <w:r w:rsidR="00E23AAF" w:rsidRPr="00A124D1">
        <w:rPr>
          <w:rStyle w:val="Emphasis"/>
        </w:rPr>
        <w:t>–</w:t>
      </w:r>
      <w:r w:rsidR="00BD7A88" w:rsidRPr="00A124D1">
        <w:rPr>
          <w:rStyle w:val="Emphasis"/>
        </w:rPr>
        <w:t>20</w:t>
      </w:r>
      <w:r w:rsidRPr="00A124D1">
        <w:rPr>
          <w:rStyle w:val="Emphasis"/>
        </w:rPr>
        <w:t>35</w:t>
      </w:r>
      <w:r w:rsidRPr="00F45F11">
        <w:t>, the</w:t>
      </w:r>
      <w:r w:rsidR="00EE78A7">
        <w:t> </w:t>
      </w:r>
      <w:r w:rsidRPr="00F45F11">
        <w:t>department supports people who have unpaid care roles. This includes making sure they are valued, recognised, and have better physical, social</w:t>
      </w:r>
      <w:r w:rsidR="00EE78A7">
        <w:t> </w:t>
      </w:r>
      <w:r w:rsidRPr="00F45F11">
        <w:t>and mental health, and wellbeing. We do this through the Victorian Support for Carers Program, Additional Respite for Carers initiative, and benefits provided to Victorian Carer Card holders.</w:t>
      </w:r>
    </w:p>
    <w:p w14:paraId="55296A41" w14:textId="2E46C8DC" w:rsidR="00DB5A56" w:rsidRPr="00F45F11" w:rsidRDefault="00DB5A56" w:rsidP="009F053B">
      <w:pPr>
        <w:pStyle w:val="Heading4"/>
      </w:pPr>
      <w:r w:rsidRPr="00F45F11">
        <w:t>Children</w:t>
      </w:r>
    </w:p>
    <w:p w14:paraId="30DE2165" w14:textId="494C1465" w:rsidR="00DB5A56" w:rsidRPr="00F45F11" w:rsidRDefault="00DB5A56" w:rsidP="000F08B4">
      <w:pPr>
        <w:pStyle w:val="ARBody"/>
      </w:pPr>
      <w:r w:rsidRPr="00F45F11">
        <w:t>The department supports the broader Children portfolio to improve equity, access and outcomes for</w:t>
      </w:r>
      <w:r w:rsidR="00214C22">
        <w:t> </w:t>
      </w:r>
      <w:r w:rsidRPr="00F45F11">
        <w:t xml:space="preserve">Victorian children and families. This includes the policy, design, funding and delivery of statutory child </w:t>
      </w:r>
      <w:r w:rsidR="002B3BCC">
        <w:t>pr</w:t>
      </w:r>
      <w:r w:rsidR="002B3BCC" w:rsidRPr="00F45F11">
        <w:t>otection</w:t>
      </w:r>
      <w:r w:rsidRPr="00F45F11">
        <w:t xml:space="preserve"> services</w:t>
      </w:r>
      <w:r w:rsidR="00C35DF3" w:rsidRPr="00F45F11">
        <w:t xml:space="preserve">. </w:t>
      </w:r>
      <w:r w:rsidR="00771CFF" w:rsidRPr="00F45F11">
        <w:t>It also includes</w:t>
      </w:r>
      <w:r w:rsidRPr="00F45F11">
        <w:t xml:space="preserve"> family support and parenting services, care services and specialist support services, including for young people leaving care. The department also leads initiatives that support Aboriginal children and families</w:t>
      </w:r>
      <w:r w:rsidR="00DD02ED" w:rsidRPr="00F45F11">
        <w:t xml:space="preserve">. In addition, we </w:t>
      </w:r>
      <w:r w:rsidRPr="00F45F11">
        <w:t>deliver redress and restorative services for people who experienced abuse or neglect in Victorian</w:t>
      </w:r>
      <w:r w:rsidRPr="00F45F11" w:rsidDel="00786BD9">
        <w:t xml:space="preserve"> </w:t>
      </w:r>
      <w:r w:rsidRPr="00F45F11">
        <w:t>institutional care settings.</w:t>
      </w:r>
    </w:p>
    <w:p w14:paraId="6C07BB81" w14:textId="77777777" w:rsidR="000D61D6" w:rsidRDefault="000D61D6">
      <w:pPr>
        <w:spacing w:after="0" w:line="240" w:lineRule="auto"/>
        <w:rPr>
          <w:rFonts w:eastAsia="Times"/>
          <w:sz w:val="20"/>
        </w:rPr>
      </w:pPr>
      <w:r>
        <w:br w:type="page"/>
      </w:r>
    </w:p>
    <w:p w14:paraId="4AE3FC15" w14:textId="26E2C5B3" w:rsidR="000D61D6" w:rsidRDefault="00DB5A56" w:rsidP="000F08B4">
      <w:pPr>
        <w:pStyle w:val="ARBody"/>
      </w:pPr>
      <w:r w:rsidRPr="00F45F11">
        <w:t>The department is leading the government’s child safeguarding reforms by supporting the transition of</w:t>
      </w:r>
      <w:r w:rsidR="00EE78A7">
        <w:t> </w:t>
      </w:r>
      <w:r w:rsidRPr="00F45F11">
        <w:t>key child safety regulation functions into a strengthened Social Services Regulator and the enhancement of the Working with Children Check scheme to more quicky identify and take action in</w:t>
      </w:r>
      <w:r w:rsidR="00EE78A7">
        <w:t> </w:t>
      </w:r>
      <w:r w:rsidRPr="00F45F11">
        <w:t>response to individuals who pose a risk to child safety. The department is also working collaboratively with the Commonwealth, other states</w:t>
      </w:r>
      <w:r w:rsidR="00214C22">
        <w:t> </w:t>
      </w:r>
      <w:r w:rsidRPr="00F45F11">
        <w:t xml:space="preserve">and territories </w:t>
      </w:r>
      <w:r w:rsidR="008A2D6D">
        <w:t>through the Standing Council of Attorneys-General</w:t>
      </w:r>
      <w:r w:rsidR="00910F5A">
        <w:t xml:space="preserve"> (SCAG)</w:t>
      </w:r>
      <w:r w:rsidRPr="00F45F11">
        <w:t xml:space="preserve"> to progress national reforms intended to support mutual recognition of</w:t>
      </w:r>
      <w:r w:rsidR="00214C22">
        <w:t> </w:t>
      </w:r>
      <w:r w:rsidRPr="00F45F11">
        <w:t>Working with Children clearances across jurisdictions.</w:t>
      </w:r>
      <w:r w:rsidR="00910F5A">
        <w:t xml:space="preserve"> This</w:t>
      </w:r>
      <w:r w:rsidR="000D61D6">
        <w:t> </w:t>
      </w:r>
      <w:r w:rsidR="00910F5A">
        <w:t>work seeks to deliver on six priority actions agreed by SCAG in November 2025</w:t>
      </w:r>
      <w:r w:rsidR="00BA5A1E">
        <w:t xml:space="preserve">, providing an agreed pathway and timing </w:t>
      </w:r>
      <w:r w:rsidR="00BA5A1E" w:rsidRPr="00BA5A1E">
        <w:t>to strengthen and improve consistency for a national approach to working with children</w:t>
      </w:r>
      <w:r w:rsidR="000D61D6">
        <w:t> </w:t>
      </w:r>
      <w:r w:rsidR="00BA5A1E" w:rsidRPr="00BA5A1E">
        <w:t>checks</w:t>
      </w:r>
      <w:r w:rsidR="00BA5A1E">
        <w:t>.</w:t>
      </w:r>
    </w:p>
    <w:p w14:paraId="17B5055D" w14:textId="1B51F184" w:rsidR="00DB5A56" w:rsidRPr="00F45F11" w:rsidRDefault="00DB5A56" w:rsidP="000F08B4">
      <w:pPr>
        <w:pStyle w:val="ARBody"/>
      </w:pPr>
      <w:r w:rsidRPr="00F45F11">
        <w:t xml:space="preserve">The department advances self-determined, Aboriginal-led child and family services. This includes enabling authorised ACCOs to undertake specific </w:t>
      </w:r>
      <w:r w:rsidR="00194E51">
        <w:t>statutory</w:t>
      </w:r>
      <w:r w:rsidRPr="00F45F11">
        <w:t xml:space="preserve"> functions</w:t>
      </w:r>
      <w:r w:rsidR="00C41F0D">
        <w:t xml:space="preserve"> and assume greater </w:t>
      </w:r>
      <w:r w:rsidRPr="00F45F11">
        <w:t>responsibility for Aboriginal children</w:t>
      </w:r>
      <w:r w:rsidR="00C41F0D">
        <w:t xml:space="preserve"> </w:t>
      </w:r>
      <w:r w:rsidR="00194E51">
        <w:t>in the child protection and care system</w:t>
      </w:r>
      <w:r w:rsidRPr="00F45F11">
        <w:t>.</w:t>
      </w:r>
    </w:p>
    <w:p w14:paraId="169B905D" w14:textId="77777777" w:rsidR="00DB5A56" w:rsidRPr="00F45F11" w:rsidRDefault="00DB5A56" w:rsidP="000F08B4">
      <w:pPr>
        <w:pStyle w:val="ARBody"/>
      </w:pPr>
      <w:r w:rsidRPr="00F45F11">
        <w:t>These services form part of the Children portfolio, which includes early years services supported by the Department of Education and the Department of Health.</w:t>
      </w:r>
    </w:p>
    <w:p w14:paraId="68FDEF83" w14:textId="2B796880" w:rsidR="00DB5A56" w:rsidRPr="00F45F11" w:rsidRDefault="00DB5A56" w:rsidP="000F08B4">
      <w:pPr>
        <w:pStyle w:val="ARBody"/>
      </w:pPr>
      <w:r w:rsidRPr="00F45F11">
        <w:t>We work with communities, the child and family services sector, people with lived experience and</w:t>
      </w:r>
      <w:r w:rsidR="000D745B">
        <w:t> </w:t>
      </w:r>
      <w:r w:rsidRPr="00F45F11">
        <w:t>across government to achieve real change.</w:t>
      </w:r>
    </w:p>
    <w:p w14:paraId="70DA697A" w14:textId="77777777" w:rsidR="00DB5A56" w:rsidRPr="00F45F11" w:rsidRDefault="00DB5A56" w:rsidP="000F08B4">
      <w:pPr>
        <w:pStyle w:val="ARBody"/>
      </w:pPr>
      <w:r w:rsidRPr="00F45F11">
        <w:t>We have 5 main goals:</w:t>
      </w:r>
    </w:p>
    <w:p w14:paraId="060D54F3" w14:textId="64C739D1" w:rsidR="00DB5A56" w:rsidRPr="00F45F11" w:rsidRDefault="00DB5A56" w:rsidP="00F15878">
      <w:pPr>
        <w:pStyle w:val="ARBullet1"/>
      </w:pPr>
      <w:r w:rsidRPr="00F45F11">
        <w:t>advancing Aboriginal self-determination and self-management. This includes reducing the over-representation of Aboriginal children and families in child protection and care services</w:t>
      </w:r>
    </w:p>
    <w:p w14:paraId="4880A9D8" w14:textId="77777777" w:rsidR="00DB5A56" w:rsidRPr="00F45F11" w:rsidRDefault="00DB5A56" w:rsidP="00F15878">
      <w:pPr>
        <w:pStyle w:val="ARBullet1"/>
      </w:pPr>
      <w:r w:rsidRPr="00F45F11">
        <w:t xml:space="preserve">improving outcomes for children and young people in care </w:t>
      </w:r>
    </w:p>
    <w:p w14:paraId="0B00ACD2" w14:textId="28C9621D" w:rsidR="00DB5A56" w:rsidRPr="00F45F11" w:rsidRDefault="00DB5A56" w:rsidP="00F15878">
      <w:pPr>
        <w:pStyle w:val="ARBullet1"/>
      </w:pPr>
      <w:r w:rsidRPr="00F45F11">
        <w:t>shifting the focus to earlier intervention to</w:t>
      </w:r>
      <w:r w:rsidR="000D745B">
        <w:t> </w:t>
      </w:r>
      <w:r w:rsidRPr="00F45F11">
        <w:t>address family needs and risks sooner</w:t>
      </w:r>
    </w:p>
    <w:p w14:paraId="33F2B69A" w14:textId="77777777" w:rsidR="00DB5A56" w:rsidRPr="00F45F11" w:rsidRDefault="00DB5A56" w:rsidP="00F15878">
      <w:pPr>
        <w:pStyle w:val="ARBullet1"/>
      </w:pPr>
      <w:r w:rsidRPr="00F45F11">
        <w:t>developing deeper partnerships across government, systems and community to intervene earlier</w:t>
      </w:r>
    </w:p>
    <w:p w14:paraId="01540246" w14:textId="77777777" w:rsidR="00DB5A56" w:rsidRPr="00F45F11" w:rsidRDefault="00DB5A56" w:rsidP="00F15878">
      <w:pPr>
        <w:pStyle w:val="ARBullet1"/>
      </w:pPr>
      <w:r w:rsidRPr="00F45F11">
        <w:t>transforming digital capability through modern, integrated client centred service systems.</w:t>
      </w:r>
    </w:p>
    <w:p w14:paraId="0EE7E01E" w14:textId="77777777" w:rsidR="00DB5A56" w:rsidRPr="00F45F11" w:rsidRDefault="00DB5A56" w:rsidP="009F053B">
      <w:pPr>
        <w:pStyle w:val="ARBodyafterbullets"/>
      </w:pPr>
      <w:r w:rsidRPr="00F45F11">
        <w:t>We continually build evidence and data to support these priorities.</w:t>
      </w:r>
    </w:p>
    <w:p w14:paraId="708DAA93" w14:textId="0D5857D8" w:rsidR="00DB5A56" w:rsidRPr="00F45F11" w:rsidRDefault="00DB5A56" w:rsidP="009F053B">
      <w:pPr>
        <w:pStyle w:val="ARBody"/>
      </w:pPr>
      <w:r w:rsidRPr="00F45F11">
        <w:rPr>
          <w:rStyle w:val="ARBodyChar"/>
        </w:rPr>
        <w:t>We continue to actively embed the Statement of Recognition and binding Recognition Principles into policy, practice and governance frameworks</w:t>
      </w:r>
      <w:r w:rsidR="00B9312D" w:rsidRPr="00F45F11">
        <w:rPr>
          <w:rStyle w:val="ARBodyChar"/>
        </w:rPr>
        <w:t xml:space="preserve">. This </w:t>
      </w:r>
      <w:r w:rsidRPr="00F45F11">
        <w:rPr>
          <w:rStyle w:val="ARBodyChar"/>
        </w:rPr>
        <w:t>ensure</w:t>
      </w:r>
      <w:r w:rsidR="00B9312D" w:rsidRPr="00F45F11">
        <w:rPr>
          <w:rStyle w:val="ARBodyChar"/>
        </w:rPr>
        <w:t>s</w:t>
      </w:r>
      <w:r w:rsidRPr="00F45F11">
        <w:rPr>
          <w:rStyle w:val="ARBodyChar"/>
        </w:rPr>
        <w:t xml:space="preserve"> all </w:t>
      </w:r>
      <w:proofErr w:type="gramStart"/>
      <w:r w:rsidRPr="00F45F11">
        <w:rPr>
          <w:rStyle w:val="ARBodyChar"/>
        </w:rPr>
        <w:t>decision</w:t>
      </w:r>
      <w:r w:rsidR="00B9312D" w:rsidRPr="00F45F11">
        <w:rPr>
          <w:rStyle w:val="ARBodyChar"/>
        </w:rPr>
        <w:t>-</w:t>
      </w:r>
      <w:r w:rsidRPr="00F45F11">
        <w:rPr>
          <w:rStyle w:val="ARBodyChar"/>
        </w:rPr>
        <w:t>makers</w:t>
      </w:r>
      <w:proofErr w:type="gramEnd"/>
      <w:r w:rsidRPr="00F45F11">
        <w:rPr>
          <w:rStyle w:val="ARBodyChar"/>
        </w:rPr>
        <w:t xml:space="preserve"> meet their statutory obligations to recognise, respect and support the right of Aboriginal children and families to self-determination. Embedding these principles affirms</w:t>
      </w:r>
      <w:r w:rsidRPr="00F45F11">
        <w:t xml:space="preserve"> our responsibility to uphold Aboriginal cultural rights, strengthen Aboriginal-led decision making</w:t>
      </w:r>
      <w:r w:rsidR="00B9312D" w:rsidRPr="00F45F11">
        <w:t xml:space="preserve"> </w:t>
      </w:r>
      <w:r w:rsidRPr="00F45F11">
        <w:t xml:space="preserve">and enable responsive and equitable service delivery. </w:t>
      </w:r>
    </w:p>
    <w:p w14:paraId="05D5C048" w14:textId="2EC03FB1" w:rsidR="00DB5A56" w:rsidRPr="00F45F11" w:rsidRDefault="00DB5A56" w:rsidP="009F053B">
      <w:pPr>
        <w:pStyle w:val="ARBody"/>
      </w:pPr>
      <w:r w:rsidRPr="00F45F11">
        <w:t xml:space="preserve">We work with Aboriginal communities and ACCOs to </w:t>
      </w:r>
      <w:r w:rsidRPr="009913ED">
        <w:rPr>
          <w:rStyle w:val="Emphasis"/>
          <w:i w:val="0"/>
        </w:rPr>
        <w:t>implement</w:t>
      </w:r>
      <w:r w:rsidRPr="00A124D1">
        <w:rPr>
          <w:rStyle w:val="Emphasis"/>
        </w:rPr>
        <w:t xml:space="preserve"> </w:t>
      </w:r>
      <w:proofErr w:type="spellStart"/>
      <w:r w:rsidRPr="00A124D1">
        <w:rPr>
          <w:rStyle w:val="Emphasis"/>
        </w:rPr>
        <w:t>Wungurilwil</w:t>
      </w:r>
      <w:proofErr w:type="spellEnd"/>
      <w:r w:rsidRPr="00A124D1">
        <w:rPr>
          <w:rStyle w:val="Emphasis"/>
        </w:rPr>
        <w:t xml:space="preserve"> </w:t>
      </w:r>
      <w:proofErr w:type="spellStart"/>
      <w:r w:rsidRPr="00A124D1">
        <w:rPr>
          <w:rStyle w:val="Emphasis"/>
        </w:rPr>
        <w:t>Gapgapduir</w:t>
      </w:r>
      <w:proofErr w:type="spellEnd"/>
      <w:r w:rsidRPr="00A124D1">
        <w:rPr>
          <w:rStyle w:val="Emphasis"/>
        </w:rPr>
        <w:t xml:space="preserve">: Aboriginal Children and Families Agreement. </w:t>
      </w:r>
      <w:r w:rsidRPr="00F45F11">
        <w:t>This includes a</w:t>
      </w:r>
      <w:r w:rsidR="00EE78A7">
        <w:t> </w:t>
      </w:r>
      <w:r w:rsidRPr="00F45F11">
        <w:t>refreshed 4-year strategic action plan.</w:t>
      </w:r>
    </w:p>
    <w:p w14:paraId="743E3131" w14:textId="4A02064E" w:rsidR="00DB5A56" w:rsidRPr="00F45F11" w:rsidRDefault="00DB5A56" w:rsidP="009F053B">
      <w:pPr>
        <w:pStyle w:val="ARBody"/>
      </w:pPr>
      <w:r w:rsidRPr="00F45F11">
        <w:t>The strategic action plan focuses on early intervention and prevention. It also includes ACCO-led responses to child safety. Actions emphasise Aboriginal-led knowledge, evidence and investment.</w:t>
      </w:r>
    </w:p>
    <w:p w14:paraId="10F216FF" w14:textId="509A3F24" w:rsidR="00DB5A56" w:rsidRPr="00F45F11" w:rsidRDefault="00DB5A56" w:rsidP="009F053B">
      <w:pPr>
        <w:pStyle w:val="ARBody"/>
      </w:pPr>
      <w:r w:rsidRPr="00F45F11">
        <w:t xml:space="preserve">We also continue to implement the recommendations of the </w:t>
      </w:r>
      <w:proofErr w:type="spellStart"/>
      <w:r w:rsidRPr="00A124D1">
        <w:rPr>
          <w:rStyle w:val="Emphasis"/>
        </w:rPr>
        <w:t>Yoorrook</w:t>
      </w:r>
      <w:proofErr w:type="spellEnd"/>
      <w:r w:rsidRPr="00A124D1">
        <w:rPr>
          <w:rStyle w:val="Emphasis"/>
        </w:rPr>
        <w:t xml:space="preserve"> for justice</w:t>
      </w:r>
      <w:r w:rsidRPr="00F45F11">
        <w:t xml:space="preserve"> report. These aim to progress a more self-determined Aboriginal child and family service system. This will</w:t>
      </w:r>
      <w:r w:rsidR="00214C22">
        <w:t> </w:t>
      </w:r>
      <w:r w:rsidRPr="00F45F11">
        <w:t>allow Aboriginal children to thrive in strong and culturally rich Aboriginal families and communities.</w:t>
      </w:r>
    </w:p>
    <w:p w14:paraId="675FF3EE" w14:textId="64BC12AE" w:rsidR="00410BE8" w:rsidRPr="00F45F11" w:rsidRDefault="00410BE8" w:rsidP="00534C76">
      <w:pPr>
        <w:pStyle w:val="Heading4"/>
      </w:pPr>
      <w:r w:rsidRPr="00F45F11">
        <w:t>Concessions</w:t>
      </w:r>
    </w:p>
    <w:p w14:paraId="671DD99C" w14:textId="7B81EA95" w:rsidR="000D61D6" w:rsidRDefault="00410BE8" w:rsidP="00410BE8">
      <w:pPr>
        <w:pStyle w:val="ARBody"/>
      </w:pPr>
      <w:r w:rsidRPr="00F45F11">
        <w:t>The department delivers the Victorian Concessions Program. This provides support to Victorians on low incomes or who are experiencing financial hardship. It helps these people meet the rising cost of living. The</w:t>
      </w:r>
      <w:r w:rsidR="000D61D6">
        <w:t> </w:t>
      </w:r>
      <w:r w:rsidRPr="00F45F11">
        <w:t>program also provides concessions for eligible households for energy, water and municipal rates concessions.</w:t>
      </w:r>
    </w:p>
    <w:p w14:paraId="421148C5" w14:textId="77777777" w:rsidR="000D61D6" w:rsidRDefault="000D61D6">
      <w:pPr>
        <w:spacing w:after="0" w:line="240" w:lineRule="auto"/>
        <w:rPr>
          <w:rFonts w:eastAsia="Times"/>
          <w:sz w:val="20"/>
        </w:rPr>
      </w:pPr>
      <w:r>
        <w:br w:type="page"/>
      </w:r>
    </w:p>
    <w:p w14:paraId="255D8A08" w14:textId="77777777" w:rsidR="00697DF6" w:rsidRPr="00F45F11" w:rsidRDefault="00697DF6" w:rsidP="00697DF6">
      <w:pPr>
        <w:pStyle w:val="Heading4"/>
      </w:pPr>
      <w:r w:rsidRPr="00F45F11">
        <w:t>Disability</w:t>
      </w:r>
    </w:p>
    <w:p w14:paraId="10852AB4" w14:textId="19307108" w:rsidR="00697DF6" w:rsidRPr="00F45F11" w:rsidRDefault="00697DF6" w:rsidP="00697DF6">
      <w:pPr>
        <w:pStyle w:val="ARBody"/>
      </w:pPr>
      <w:r w:rsidRPr="00F45F11">
        <w:t>The department works closely with people with disability, their families and carers. We collaborate with the Victorian Disability Advisory Council and other groups. Together, we ensure government policies, programs</w:t>
      </w:r>
      <w:r w:rsidR="000D745B">
        <w:t> </w:t>
      </w:r>
      <w:r w:rsidRPr="00F45F11">
        <w:t>and services include everyone.</w:t>
      </w:r>
    </w:p>
    <w:p w14:paraId="5FC3EE0A" w14:textId="1CD5F825" w:rsidR="00697DF6" w:rsidRPr="00F45F11" w:rsidRDefault="00697DF6" w:rsidP="00697DF6">
      <w:pPr>
        <w:pStyle w:val="ARBody"/>
      </w:pPr>
      <w:r w:rsidRPr="00F45F11">
        <w:t xml:space="preserve">We are responsible for implementing </w:t>
      </w:r>
      <w:r w:rsidRPr="00A124D1">
        <w:rPr>
          <w:rStyle w:val="Emphasis"/>
        </w:rPr>
        <w:t>Inclusive Victoria: state disability plan 2022–2026</w:t>
      </w:r>
      <w:r w:rsidRPr="00F45F11">
        <w:t>. We developed this plan together with people with disability. This included the Victorian Disability Advisory Council. In 2025, the plan was extended for one year to 2027 to enable the next plan to respond to ongoing national disability</w:t>
      </w:r>
      <w:r w:rsidR="000D61D6">
        <w:t> </w:t>
      </w:r>
      <w:r w:rsidRPr="00F45F11">
        <w:t>reforms.</w:t>
      </w:r>
    </w:p>
    <w:p w14:paraId="7A8FEDBD" w14:textId="77777777" w:rsidR="00697DF6" w:rsidRPr="00F45F11" w:rsidRDefault="00697DF6" w:rsidP="00697DF6">
      <w:pPr>
        <w:pStyle w:val="ARBody"/>
      </w:pPr>
      <w:r w:rsidRPr="00F45F11">
        <w:t>The plan sets out 6 systemic reforms and 175 actions. The reform areas and actions aim to improve life for people with disability. This includes focusing on health, mental health and wellbeing, housing, community and online participation, education, employment and safety.</w:t>
      </w:r>
    </w:p>
    <w:p w14:paraId="6C50E3DA" w14:textId="16336321" w:rsidR="00697DF6" w:rsidRPr="00F45F11" w:rsidRDefault="00697DF6" w:rsidP="00697DF6">
      <w:pPr>
        <w:pStyle w:val="ARBody"/>
      </w:pPr>
      <w:r w:rsidRPr="00F45F11">
        <w:t>We also lead the whole-of-government work on the</w:t>
      </w:r>
      <w:r w:rsidR="000D745B">
        <w:t> </w:t>
      </w:r>
      <w:r w:rsidRPr="00F45F11">
        <w:t xml:space="preserve">actions in the </w:t>
      </w:r>
      <w:r w:rsidRPr="00A124D1">
        <w:rPr>
          <w:rStyle w:val="Emphasis"/>
        </w:rPr>
        <w:t>Victorian autism plan.</w:t>
      </w:r>
      <w:r w:rsidRPr="00F45F11">
        <w:t xml:space="preserve"> A refreshed plan was released in October 2023. A report on progress up to December 2024 was released in September 2025. In 2025 the plan was extended for</w:t>
      </w:r>
      <w:r w:rsidR="000D745B">
        <w:t> </w:t>
      </w:r>
      <w:r w:rsidRPr="00F45F11">
        <w:t>one year to 2027.</w:t>
      </w:r>
    </w:p>
    <w:p w14:paraId="764222B2" w14:textId="59DB11B7" w:rsidR="00697DF6" w:rsidRPr="00F45F11" w:rsidRDefault="00697DF6" w:rsidP="00697DF6">
      <w:pPr>
        <w:pStyle w:val="ARBody"/>
      </w:pPr>
      <w:r w:rsidRPr="00F45F11">
        <w:t>We deliver the Victorian Disability Advocacy Program. This program helps people with disability advocate for themselves. It also provides individual advocacy and advocates for systemic change. In</w:t>
      </w:r>
      <w:r w:rsidR="000D745B">
        <w:t> </w:t>
      </w:r>
      <w:r w:rsidRPr="00F45F11">
        <w:t>addition, we support Victoria’s co-governance of</w:t>
      </w:r>
      <w:r w:rsidR="000D745B">
        <w:t> </w:t>
      </w:r>
      <w:r w:rsidRPr="00F45F11">
        <w:t>the National Disability Insurance Scheme (NDIS).</w:t>
      </w:r>
    </w:p>
    <w:p w14:paraId="6239F448" w14:textId="69F6CA9B" w:rsidR="00697DF6" w:rsidRPr="00F45F11" w:rsidRDefault="00697DF6" w:rsidP="00697DF6">
      <w:pPr>
        <w:pStyle w:val="ARBody"/>
      </w:pPr>
      <w:r w:rsidRPr="00F45F11">
        <w:t>We provide services to people with complex needs</w:t>
      </w:r>
      <w:r w:rsidR="00B9312D" w:rsidRPr="00F45F11">
        <w:t>. This</w:t>
      </w:r>
      <w:r w:rsidRPr="00F45F11">
        <w:t xml:space="preserve"> include</w:t>
      </w:r>
      <w:r w:rsidR="00B9312D" w:rsidRPr="00F45F11">
        <w:t>s</w:t>
      </w:r>
      <w:r w:rsidRPr="00F45F11">
        <w:t xml:space="preserve"> </w:t>
      </w:r>
      <w:r w:rsidR="00B9312D" w:rsidRPr="00F45F11">
        <w:t>people</w:t>
      </w:r>
      <w:r w:rsidRPr="00F45F11">
        <w:t xml:space="preserve"> with cognitive impairment or</w:t>
      </w:r>
      <w:r w:rsidR="000D745B">
        <w:t> </w:t>
      </w:r>
      <w:r w:rsidRPr="00F45F11">
        <w:t>those who are involved in the criminal justice system.</w:t>
      </w:r>
    </w:p>
    <w:p w14:paraId="645D6477" w14:textId="77777777" w:rsidR="00697DF6" w:rsidRPr="00F45F11" w:rsidRDefault="00697DF6" w:rsidP="00697DF6">
      <w:pPr>
        <w:pStyle w:val="ARBody"/>
      </w:pPr>
      <w:r w:rsidRPr="00F45F11">
        <w:t>We fund and deliver programs for this cohort. This includes forensic disability services, as well as other programs often referred to as complex needs services.</w:t>
      </w:r>
    </w:p>
    <w:p w14:paraId="6DE4222A" w14:textId="77777777" w:rsidR="00697DF6" w:rsidRPr="00F45F11" w:rsidRDefault="00697DF6" w:rsidP="00697DF6">
      <w:pPr>
        <w:pStyle w:val="ARBody"/>
      </w:pPr>
      <w:r w:rsidRPr="00F45F11">
        <w:t>We operate Victoria’s largest portfolio of specialist disability accommodation, providing safe and secure homes for more than 2,000 Victorians with disability.</w:t>
      </w:r>
    </w:p>
    <w:p w14:paraId="63FF858A" w14:textId="34E84C0E" w:rsidR="00697DF6" w:rsidRPr="00F45F11" w:rsidRDefault="00697DF6" w:rsidP="00697DF6">
      <w:pPr>
        <w:pStyle w:val="ARBody"/>
      </w:pPr>
      <w:bookmarkStart w:id="30" w:name="_Hlk205554402"/>
      <w:r w:rsidRPr="00F45F11">
        <w:t>The Senior Practitioner</w:t>
      </w:r>
      <w:r w:rsidRPr="00F45F11" w:rsidDel="5C62493C">
        <w:t xml:space="preserve"> </w:t>
      </w:r>
      <w:r w:rsidRPr="00F45F11">
        <w:t xml:space="preserve">is established under the </w:t>
      </w:r>
      <w:r w:rsidRPr="00A124D1">
        <w:rPr>
          <w:rStyle w:val="Emphasis"/>
        </w:rPr>
        <w:t>Disability Act 2006.</w:t>
      </w:r>
      <w:r w:rsidRPr="00F45F11">
        <w:t xml:space="preserve"> They are responsible for protecting the rights of people with disability who are subject to restrictive practices and compulsory treatment. They also aim to reduce and eliminate restrictive practices. The Senior Practitioner safeguards the rights of people with disability. They provide training, advice and resources for the disability sector. This work improves knowledge and skills about the best way to support people with disability.</w:t>
      </w:r>
      <w:bookmarkEnd w:id="30"/>
    </w:p>
    <w:p w14:paraId="5CB2E8B5" w14:textId="77777777" w:rsidR="00697DF6" w:rsidRPr="00F45F11" w:rsidRDefault="00697DF6" w:rsidP="00697DF6">
      <w:pPr>
        <w:pStyle w:val="Heading4"/>
      </w:pPr>
      <w:r w:rsidRPr="00F45F11">
        <w:t>Emergency management</w:t>
      </w:r>
    </w:p>
    <w:p w14:paraId="56963EF8" w14:textId="65D62E18" w:rsidR="00697DF6" w:rsidRPr="00F45F11" w:rsidRDefault="00697DF6" w:rsidP="00697DF6">
      <w:pPr>
        <w:pStyle w:val="ARBody"/>
      </w:pPr>
      <w:r w:rsidRPr="00F45F11">
        <w:t>The department</w:t>
      </w:r>
      <w:r w:rsidRPr="00F45F11" w:rsidDel="00DA3F6B">
        <w:t xml:space="preserve"> </w:t>
      </w:r>
      <w:r w:rsidRPr="00F45F11">
        <w:t xml:space="preserve">works to lessen the impact of emergencies on the health and wellbeing of Victorians, especially those who face greater risk before, during and after emergencies. </w:t>
      </w:r>
    </w:p>
    <w:p w14:paraId="5CFA9A6A" w14:textId="579D7257" w:rsidR="00697DF6" w:rsidRPr="00F45F11" w:rsidRDefault="00697DF6" w:rsidP="00697DF6">
      <w:pPr>
        <w:pStyle w:val="ARBody"/>
      </w:pPr>
      <w:r w:rsidRPr="00F45F11">
        <w:t xml:space="preserve">Under the </w:t>
      </w:r>
      <w:r w:rsidRPr="00A124D1">
        <w:rPr>
          <w:rStyle w:val="Emphasis"/>
        </w:rPr>
        <w:t>State emergency management plan</w:t>
      </w:r>
      <w:r w:rsidRPr="00F45F11">
        <w:t xml:space="preserve">, we provide emergency relief payments and emergency </w:t>
      </w:r>
      <w:r w:rsidR="000D61D6">
        <w:br/>
      </w:r>
      <w:r w:rsidRPr="00F45F11">
        <w:t>re-establishment assistance payments</w:t>
      </w:r>
      <w:r w:rsidR="00B9312D" w:rsidRPr="00F45F11">
        <w:t xml:space="preserve"> and</w:t>
      </w:r>
      <w:r w:rsidRPr="00F45F11">
        <w:t xml:space="preserve"> coordinate psychosocial supports</w:t>
      </w:r>
      <w:r w:rsidR="00B9312D" w:rsidRPr="00F45F11">
        <w:t>.</w:t>
      </w:r>
      <w:r w:rsidRPr="00F45F11">
        <w:t xml:space="preserve"> </w:t>
      </w:r>
      <w:r w:rsidR="00B9312D" w:rsidRPr="00F45F11">
        <w:t>This includes</w:t>
      </w:r>
      <w:r w:rsidR="00A17503">
        <w:t> </w:t>
      </w:r>
      <w:r w:rsidRPr="00F45F11">
        <w:t>deliver</w:t>
      </w:r>
      <w:r w:rsidR="00B9312D" w:rsidRPr="00F45F11">
        <w:t>ing</w:t>
      </w:r>
      <w:r w:rsidRPr="00F45F11">
        <w:t xml:space="preserve"> emergency and temporary accommodation and the Emergency Recovery Support Program</w:t>
      </w:r>
      <w:r w:rsidR="005C0495" w:rsidRPr="00F45F11">
        <w:t>.</w:t>
      </w:r>
    </w:p>
    <w:p w14:paraId="5D8DB36D" w14:textId="77777777" w:rsidR="00780F68" w:rsidRPr="00F45F11" w:rsidRDefault="00780F68" w:rsidP="00780F68">
      <w:pPr>
        <w:pStyle w:val="Heading4"/>
      </w:pPr>
      <w:r w:rsidRPr="00F45F11">
        <w:t>Housing</w:t>
      </w:r>
    </w:p>
    <w:p w14:paraId="579B12C4" w14:textId="77777777" w:rsidR="00655E62" w:rsidRDefault="00780F68" w:rsidP="00780F68">
      <w:pPr>
        <w:pStyle w:val="ARBody"/>
      </w:pPr>
      <w:r w:rsidRPr="00F45F11">
        <w:t xml:space="preserve">The department supports Victorians to access safe and affordable housing. We work with people with lived experience, the community, industry and the housing and homelessness sectors. </w:t>
      </w:r>
    </w:p>
    <w:p w14:paraId="2A789A4C" w14:textId="77777777" w:rsidR="00655E62" w:rsidRPr="00F45F11" w:rsidRDefault="00655E62" w:rsidP="00655E62">
      <w:pPr>
        <w:pStyle w:val="ARBodyafterbullets"/>
      </w:pPr>
      <w:r w:rsidRPr="00F45F11">
        <w:t xml:space="preserve">In 2025–26, we focused on 4 objectives: </w:t>
      </w:r>
    </w:p>
    <w:p w14:paraId="6FC41419" w14:textId="77777777" w:rsidR="00655E62" w:rsidRPr="00F45F11" w:rsidRDefault="00655E62" w:rsidP="00655E62">
      <w:pPr>
        <w:pStyle w:val="ARBullet1"/>
      </w:pPr>
      <w:r w:rsidRPr="00F45F11">
        <w:t>reducing homelessness through housing and support</w:t>
      </w:r>
    </w:p>
    <w:p w14:paraId="5043EFA7" w14:textId="77777777" w:rsidR="00655E62" w:rsidRPr="00F45F11" w:rsidRDefault="00655E62" w:rsidP="00655E62">
      <w:pPr>
        <w:pStyle w:val="ARBullet1"/>
      </w:pPr>
      <w:r w:rsidRPr="00F45F11">
        <w:t>enabling Aboriginal self-determination</w:t>
      </w:r>
    </w:p>
    <w:p w14:paraId="594DBB26" w14:textId="77777777" w:rsidR="00655E62" w:rsidRPr="00F45F11" w:rsidRDefault="00655E62" w:rsidP="00655E62">
      <w:pPr>
        <w:pStyle w:val="ARBullet1"/>
      </w:pPr>
      <w:r w:rsidRPr="00F45F11">
        <w:t>delivering more social and affordable housing</w:t>
      </w:r>
    </w:p>
    <w:p w14:paraId="71914504" w14:textId="4F9E6D3E" w:rsidR="00655E62" w:rsidRDefault="00655E62" w:rsidP="00780F68">
      <w:pPr>
        <w:pStyle w:val="ARBullet1"/>
      </w:pPr>
      <w:r w:rsidRPr="00F45F11">
        <w:t>delivering better and more comfortable public housing.</w:t>
      </w:r>
    </w:p>
    <w:p w14:paraId="56F33067" w14:textId="77777777" w:rsidR="000D61D6" w:rsidRDefault="000D61D6">
      <w:pPr>
        <w:spacing w:after="0" w:line="240" w:lineRule="auto"/>
        <w:rPr>
          <w:rFonts w:eastAsia="Times"/>
          <w:sz w:val="20"/>
        </w:rPr>
      </w:pPr>
      <w:r>
        <w:br w:type="page"/>
      </w:r>
    </w:p>
    <w:p w14:paraId="20295516" w14:textId="6289AE5E" w:rsidR="00780F68" w:rsidRPr="00F45F11" w:rsidRDefault="00780F68" w:rsidP="00541B81">
      <w:pPr>
        <w:pStyle w:val="ARBodyafterbullets"/>
      </w:pPr>
      <w:r w:rsidRPr="00F45F11">
        <w:t>This work includes:</w:t>
      </w:r>
    </w:p>
    <w:p w14:paraId="22A7400B" w14:textId="77777777" w:rsidR="000D745B" w:rsidRDefault="00780F68" w:rsidP="00534C76">
      <w:pPr>
        <w:pStyle w:val="ARBullet1"/>
        <w:spacing w:line="250" w:lineRule="atLeast"/>
      </w:pPr>
      <w:r w:rsidRPr="00F45F11">
        <w:t>stewarding, partnering and funding the social housing and homelessness systems to deliver housing and support for generations to come</w:t>
      </w:r>
    </w:p>
    <w:p w14:paraId="7F702817" w14:textId="368BFC7B" w:rsidR="00780F68" w:rsidRPr="00F45F11" w:rsidRDefault="00780F68" w:rsidP="00534C76">
      <w:pPr>
        <w:pStyle w:val="ARBullet1"/>
        <w:spacing w:line="250" w:lineRule="atLeast"/>
      </w:pPr>
      <w:r w:rsidRPr="00F45F11">
        <w:t xml:space="preserve">delivering more than 16,000 social and affordable homes as part of </w:t>
      </w:r>
      <w:r w:rsidR="005C0495" w:rsidRPr="00F45F11">
        <w:t xml:space="preserve">the </w:t>
      </w:r>
      <w:r w:rsidRPr="00F45F11">
        <w:t>government’s $8</w:t>
      </w:r>
      <w:r w:rsidR="005C0495" w:rsidRPr="00F45F11">
        <w:t> </w:t>
      </w:r>
      <w:r w:rsidRPr="00F45F11">
        <w:t>billion investment in housing projects</w:t>
      </w:r>
      <w:r w:rsidR="005C0495" w:rsidRPr="00F45F11">
        <w:t>,</w:t>
      </w:r>
      <w:r w:rsidRPr="00F45F11">
        <w:t xml:space="preserve"> including the Big Housing Build and Regional Housing</w:t>
      </w:r>
      <w:r w:rsidR="00A323DD" w:rsidRPr="00F45F11">
        <w:t> </w:t>
      </w:r>
      <w:r w:rsidRPr="00F45F11">
        <w:t xml:space="preserve">Fund </w:t>
      </w:r>
    </w:p>
    <w:p w14:paraId="0CBEEEDF" w14:textId="3751DAA0" w:rsidR="00780F68" w:rsidRPr="00F45F11" w:rsidRDefault="00780F68" w:rsidP="00534C76">
      <w:pPr>
        <w:pStyle w:val="ARBullet1"/>
        <w:spacing w:line="250" w:lineRule="atLeast"/>
      </w:pPr>
      <w:r w:rsidRPr="00F45F11">
        <w:t xml:space="preserve">managing and maintaining </w:t>
      </w:r>
      <w:r w:rsidR="00762AB2">
        <w:t xml:space="preserve">over </w:t>
      </w:r>
      <w:r w:rsidRPr="00F45F11">
        <w:t>64,000 public housing assets, including delivering upgraded housing to be more comfortable for residents</w:t>
      </w:r>
    </w:p>
    <w:p w14:paraId="13DEA5E0" w14:textId="07443B6D" w:rsidR="00780F68" w:rsidRPr="00F45F11" w:rsidRDefault="00780F68" w:rsidP="00534C76">
      <w:pPr>
        <w:pStyle w:val="ARBullet1"/>
        <w:spacing w:line="250" w:lineRule="atLeast"/>
      </w:pPr>
      <w:r w:rsidRPr="00F45F11">
        <w:t>funding and overseeing the homelessness service system, with a focus on reducing rough sleeping and stopping people becoming homeless in the first place</w:t>
      </w:r>
    </w:p>
    <w:p w14:paraId="5F8E3314" w14:textId="5FEF00DF" w:rsidR="00780F68" w:rsidRPr="00F45F11" w:rsidRDefault="00780F68" w:rsidP="00534C76">
      <w:pPr>
        <w:pStyle w:val="ARBullet1"/>
        <w:spacing w:line="250" w:lineRule="atLeast"/>
      </w:pPr>
      <w:r w:rsidRPr="00F45F11">
        <w:t xml:space="preserve">delivering dedicated housing and services for First Peoples in line with </w:t>
      </w:r>
      <w:hyperlink r:id="rId39" w:tgtFrame="_blank" w:history="1">
        <w:r w:rsidRPr="00A124D1">
          <w:rPr>
            <w:rStyle w:val="Emphasis"/>
          </w:rPr>
          <w:t>Mana-</w:t>
        </w:r>
        <w:proofErr w:type="spellStart"/>
        <w:r w:rsidRPr="00A124D1">
          <w:rPr>
            <w:rStyle w:val="Emphasis"/>
          </w:rPr>
          <w:t>na</w:t>
        </w:r>
        <w:proofErr w:type="spellEnd"/>
        <w:r w:rsidRPr="00A124D1">
          <w:rPr>
            <w:rStyle w:val="Emphasis"/>
          </w:rPr>
          <w:t xml:space="preserve"> </w:t>
        </w:r>
        <w:proofErr w:type="spellStart"/>
        <w:r w:rsidRPr="00A124D1">
          <w:rPr>
            <w:rStyle w:val="Emphasis"/>
          </w:rPr>
          <w:t>woorn-tyeen</w:t>
        </w:r>
        <w:proofErr w:type="spellEnd"/>
        <w:r w:rsidRPr="00A124D1">
          <w:rPr>
            <w:rStyle w:val="Emphasis"/>
          </w:rPr>
          <w:t xml:space="preserve"> maar-</w:t>
        </w:r>
        <w:proofErr w:type="spellStart"/>
        <w:r w:rsidRPr="00A124D1">
          <w:rPr>
            <w:rStyle w:val="Emphasis"/>
          </w:rPr>
          <w:t>takoort</w:t>
        </w:r>
        <w:proofErr w:type="spellEnd"/>
      </w:hyperlink>
      <w:r w:rsidR="0069408A" w:rsidRPr="00F45F11">
        <w:t>,</w:t>
      </w:r>
      <w:r w:rsidRPr="00F45F11">
        <w:rPr>
          <w:vertAlign w:val="superscript"/>
        </w:rPr>
        <w:footnoteReference w:id="4"/>
      </w:r>
      <w:r w:rsidRPr="00F45F11">
        <w:t xml:space="preserve"> the Victorian Aboriginal Housing and Homelessness Framework</w:t>
      </w:r>
    </w:p>
    <w:p w14:paraId="6D4A62A6" w14:textId="04E93681" w:rsidR="00780F68" w:rsidRPr="00F45F11" w:rsidRDefault="00780F68" w:rsidP="00534C76">
      <w:pPr>
        <w:pStyle w:val="ARBullet1"/>
        <w:spacing w:line="250" w:lineRule="atLeast"/>
      </w:pPr>
      <w:r w:rsidRPr="00F45F11">
        <w:t xml:space="preserve">redeveloping 44 older-style </w:t>
      </w:r>
      <w:r w:rsidR="007D47C5">
        <w:t>social</w:t>
      </w:r>
      <w:r w:rsidR="007D47C5" w:rsidRPr="00F45F11">
        <w:t xml:space="preserve"> </w:t>
      </w:r>
      <w:r w:rsidRPr="00F45F11">
        <w:t>housing high-rise towers across Melbourne and supporting the</w:t>
      </w:r>
      <w:r w:rsidR="005F0E06">
        <w:t> </w:t>
      </w:r>
      <w:r w:rsidRPr="00F45F11">
        <w:t>relocation of residents in line with their needs, preferences and departmental policies</w:t>
      </w:r>
    </w:p>
    <w:p w14:paraId="59B77915" w14:textId="347EAEA6" w:rsidR="00780F68" w:rsidRPr="00F45F11" w:rsidRDefault="00780F68" w:rsidP="00534C76">
      <w:pPr>
        <w:pStyle w:val="ARBullet1"/>
        <w:spacing w:line="250" w:lineRule="atLeast"/>
      </w:pPr>
      <w:r w:rsidRPr="00F45F11">
        <w:t>undertaking meaningful engagement with residents, people with lived experience of homelessness and the community to deliver housing options that meet the diverse needs of</w:t>
      </w:r>
      <w:r w:rsidR="00A323DD" w:rsidRPr="00F45F11">
        <w:t> </w:t>
      </w:r>
      <w:r w:rsidRPr="00F45F11">
        <w:t>Victorians</w:t>
      </w:r>
    </w:p>
    <w:p w14:paraId="6EAD015A" w14:textId="5DC1D8A4" w:rsidR="00780F68" w:rsidRPr="00F45F11" w:rsidRDefault="00780F68" w:rsidP="00534C76">
      <w:pPr>
        <w:pStyle w:val="ARBullet1"/>
        <w:spacing w:line="250" w:lineRule="atLeast"/>
      </w:pPr>
      <w:r w:rsidRPr="00F45F11">
        <w:t>managing the operations of the Victorian Housing Register</w:t>
      </w:r>
      <w:r w:rsidR="0069408A" w:rsidRPr="00F45F11">
        <w:t>.</w:t>
      </w:r>
    </w:p>
    <w:p w14:paraId="61F271B0" w14:textId="77777777" w:rsidR="00FB084E" w:rsidRPr="00F45F11" w:rsidRDefault="00FB084E" w:rsidP="00FB084E">
      <w:pPr>
        <w:pStyle w:val="Heading4"/>
        <w:rPr>
          <w:noProof/>
        </w:rPr>
      </w:pPr>
      <w:r w:rsidRPr="00F45F11">
        <w:rPr>
          <w:noProof/>
        </w:rPr>
        <w:t>LGBTIQA+ equality</w:t>
      </w:r>
    </w:p>
    <w:p w14:paraId="2D004FC5" w14:textId="75750CBA" w:rsidR="00FB084E" w:rsidRPr="00F45F11" w:rsidRDefault="00FB084E" w:rsidP="00534C76">
      <w:pPr>
        <w:pStyle w:val="ARBody"/>
        <w:spacing w:line="250" w:lineRule="atLeast"/>
      </w:pPr>
      <w:r w:rsidRPr="00F45F11">
        <w:t xml:space="preserve">Through </w:t>
      </w:r>
      <w:r w:rsidRPr="00A124D1">
        <w:rPr>
          <w:rStyle w:val="Emphasis"/>
        </w:rPr>
        <w:t>Pride in our future: Victoria’s LGBTIQA+ strategy 2022–2032</w:t>
      </w:r>
      <w:r w:rsidRPr="00F45F11">
        <w:t>, the department adopts a holistic, coordinated approach to driving LGBTIQA+ equality across government. The strategy provides the vision and pathway to drive long-term and systemic change so all LGBTIQA+ Victorians are safe, healthy, have equal human rights and can live wholly and freely.</w:t>
      </w:r>
    </w:p>
    <w:p w14:paraId="00010273" w14:textId="77777777" w:rsidR="00FB084E" w:rsidRPr="00F45F11" w:rsidRDefault="00FB084E" w:rsidP="00534C76">
      <w:pPr>
        <w:pStyle w:val="ARBody"/>
        <w:spacing w:line="250" w:lineRule="atLeast"/>
      </w:pPr>
      <w:r w:rsidRPr="00F45F11">
        <w:t>We do this by listening to LGBTIQA+ communities across Victoria to understand the issues that matter to them and inform government policies, programs and services.</w:t>
      </w:r>
    </w:p>
    <w:p w14:paraId="46C7A852" w14:textId="77777777" w:rsidR="000D61D6" w:rsidRDefault="00FB084E" w:rsidP="00534C76">
      <w:pPr>
        <w:pStyle w:val="ARBody"/>
        <w:spacing w:line="250" w:lineRule="atLeast"/>
      </w:pPr>
      <w:r w:rsidRPr="00F45F11">
        <w:t>We also deliver programs and services to celebrate LGBTIQA+ communities, boost the capacity of LGBTIQA+ sector organisations, and improve protective health and wellbeing factors, including social connection and belonging.</w:t>
      </w:r>
    </w:p>
    <w:p w14:paraId="7293FB9E" w14:textId="77777777" w:rsidR="00C5478B" w:rsidRPr="00F45F11" w:rsidRDefault="00C5478B" w:rsidP="00C5478B">
      <w:pPr>
        <w:pStyle w:val="Heading4"/>
      </w:pPr>
      <w:r w:rsidRPr="00F45F11">
        <w:rPr>
          <w:noProof/>
        </w:rPr>
        <w:t xml:space="preserve">Preventing family </w:t>
      </w:r>
      <w:r w:rsidRPr="00F45F11">
        <w:t>violence</w:t>
      </w:r>
    </w:p>
    <w:p w14:paraId="3228D99B" w14:textId="3CF1C786" w:rsidR="00C5478B" w:rsidRPr="00F45F11" w:rsidRDefault="00C5478B" w:rsidP="00C5478B">
      <w:pPr>
        <w:pStyle w:val="ARBody"/>
      </w:pPr>
      <w:r w:rsidRPr="00F45F11">
        <w:t>The department is leading efforts to create a Victoria free from family and sexual violence</w:t>
      </w:r>
      <w:r w:rsidR="008C45A1">
        <w:t xml:space="preserve"> as</w:t>
      </w:r>
      <w:r w:rsidR="000D67BA">
        <w:t xml:space="preserve"> </w:t>
      </w:r>
      <w:r w:rsidRPr="00F45F11">
        <w:t xml:space="preserve">set out in </w:t>
      </w:r>
      <w:r w:rsidRPr="00A124D1">
        <w:rPr>
          <w:rStyle w:val="Emphasis"/>
        </w:rPr>
        <w:t>Ending family violence: Victoria’s 10-year plan for change</w:t>
      </w:r>
      <w:r w:rsidRPr="00F45F11">
        <w:t>. We work in partnership with a highly committed sector and with jurisdictions across the Victorian, Commonwealth and state and territory governments to prevent and respond to family and</w:t>
      </w:r>
      <w:r w:rsidR="00A17503">
        <w:t> </w:t>
      </w:r>
      <w:r w:rsidRPr="00F45F11">
        <w:t>sexual violence.</w:t>
      </w:r>
    </w:p>
    <w:p w14:paraId="6430D6DD" w14:textId="6E607BE2" w:rsidR="00C5478B" w:rsidRPr="00F45F11" w:rsidRDefault="00C5478B" w:rsidP="00C5478B">
      <w:pPr>
        <w:pStyle w:val="ARBody"/>
      </w:pPr>
      <w:r w:rsidRPr="00F45F11">
        <w:t>We put victim survivors’ voices and lived experience at the centre of our work, including through the Victim Survivors Advisory Council. Their views shape policies, programs and system reform.</w:t>
      </w:r>
    </w:p>
    <w:p w14:paraId="40AFC808" w14:textId="036B9AC1" w:rsidR="00C5478B" w:rsidRPr="00F45F11" w:rsidRDefault="00C5478B" w:rsidP="00C5478B">
      <w:pPr>
        <w:pStyle w:val="ARBody"/>
      </w:pPr>
      <w:r w:rsidRPr="00F45F11">
        <w:t xml:space="preserve">Self-determination remains central to how we work. Through the </w:t>
      </w:r>
      <w:r w:rsidRPr="00A124D1">
        <w:rPr>
          <w:rStyle w:val="Emphasis"/>
        </w:rPr>
        <w:t xml:space="preserve">Dhelk Dja: Safe Our Way </w:t>
      </w:r>
      <w:r w:rsidRPr="00F45F11">
        <w:t xml:space="preserve">agreement, we partner with Aboriginal Victorians and </w:t>
      </w:r>
      <w:r w:rsidR="004677E4" w:rsidRPr="00F45F11">
        <w:t>ACCOs</w:t>
      </w:r>
      <w:r w:rsidRPr="00F45F11">
        <w:t xml:space="preserve"> to</w:t>
      </w:r>
      <w:r w:rsidR="000D745B">
        <w:t> </w:t>
      </w:r>
      <w:r w:rsidRPr="00F45F11">
        <w:t>deliver culturally safe family and sexual violence</w:t>
      </w:r>
      <w:r w:rsidR="000D745B">
        <w:t> </w:t>
      </w:r>
      <w:r w:rsidRPr="00F45F11">
        <w:t>initiatives.</w:t>
      </w:r>
    </w:p>
    <w:p w14:paraId="3299BC64" w14:textId="77777777" w:rsidR="00C5478B" w:rsidRPr="00F45F11" w:rsidRDefault="00C5478B" w:rsidP="00C5478B">
      <w:pPr>
        <w:pStyle w:val="ARBody"/>
      </w:pPr>
      <w:r w:rsidRPr="00F45F11">
        <w:t>We work with Respect Victoria to prevent family violence and violence against women through initiatives in the places where Victorians live, work, learn and socialise. We continue to strengthen the evidence of what works to prevent family violence by addressing gender inequality and discrimination to achieve lasting change in community attitudes and behaviours.</w:t>
      </w:r>
    </w:p>
    <w:p w14:paraId="4EDD07DE" w14:textId="3B10AA55" w:rsidR="00C5478B" w:rsidRPr="00F45F11" w:rsidRDefault="00C5478B" w:rsidP="00C5478B">
      <w:pPr>
        <w:pStyle w:val="ARBody"/>
      </w:pPr>
      <w:r w:rsidRPr="00F45F11">
        <w:t>The department delivers, funds and stewards Victoria's family violence and sexual assault service system to ensure people can access timely and effective services. This includes family violence response services, sexual assault services, crisis accommodation, case management, therapeutic interventions and flexible support. We work in close</w:t>
      </w:r>
      <w:r w:rsidR="008457AC">
        <w:t> </w:t>
      </w:r>
      <w:r w:rsidRPr="00F45F11">
        <w:t>partnership with specialist family violence and</w:t>
      </w:r>
      <w:r w:rsidR="008457AC">
        <w:t> </w:t>
      </w:r>
      <w:r w:rsidRPr="00F45F11">
        <w:t>sexual assault services, children’s and family services and community organisations.</w:t>
      </w:r>
    </w:p>
    <w:p w14:paraId="1083AAB1" w14:textId="2C0056EE" w:rsidR="00C5478B" w:rsidRPr="00F45F11" w:rsidRDefault="00C5478B" w:rsidP="00C5478B">
      <w:pPr>
        <w:pStyle w:val="ARBody"/>
      </w:pPr>
      <w:r w:rsidRPr="00F45F11">
        <w:t>We continue to strengthen the Multi Agency Risk</w:t>
      </w:r>
      <w:r w:rsidR="00A17503">
        <w:t> </w:t>
      </w:r>
      <w:r w:rsidRPr="00F45F11">
        <w:t>Assessment and Management (MARAM) Framework and information</w:t>
      </w:r>
      <w:r w:rsidR="004677E4" w:rsidRPr="00F45F11">
        <w:t>-</w:t>
      </w:r>
      <w:r w:rsidRPr="00F45F11">
        <w:t>sharing reforms</w:t>
      </w:r>
      <w:r w:rsidR="004677E4" w:rsidRPr="00F45F11">
        <w:t>. These</w:t>
      </w:r>
      <w:r w:rsidR="000D745B">
        <w:t> </w:t>
      </w:r>
      <w:r w:rsidRPr="00F45F11">
        <w:t>enable professionals across health, education, justice and community sectors to identify family violence, assess risk and coordinate action to</w:t>
      </w:r>
      <w:r w:rsidR="000D745B">
        <w:t> </w:t>
      </w:r>
      <w:r w:rsidRPr="00F45F11">
        <w:t>keep victim survivors safe.</w:t>
      </w:r>
    </w:p>
    <w:p w14:paraId="4AD8405F" w14:textId="77777777" w:rsidR="000D61D6" w:rsidRDefault="00C5478B" w:rsidP="00C5478B">
      <w:pPr>
        <w:pStyle w:val="ARBody"/>
      </w:pPr>
      <w:r w:rsidRPr="00F45F11">
        <w:t>We lead the statewide operations of The Orange Door</w:t>
      </w:r>
      <w:r w:rsidR="004677E4" w:rsidRPr="00F45F11">
        <w:t>,</w:t>
      </w:r>
      <w:r w:rsidRPr="00F45F11">
        <w:t xml:space="preserve"> which provides a visible and accessible entry point for people experiencing </w:t>
      </w:r>
      <w:r w:rsidR="006328A5">
        <w:t xml:space="preserve">or using </w:t>
      </w:r>
      <w:r w:rsidRPr="00F45F11">
        <w:t xml:space="preserve">family violence </w:t>
      </w:r>
      <w:r w:rsidR="006328A5">
        <w:t>and f</w:t>
      </w:r>
      <w:r w:rsidRPr="00F45F11">
        <w:t xml:space="preserve">or </w:t>
      </w:r>
      <w:r w:rsidR="00864510">
        <w:t xml:space="preserve">families with </w:t>
      </w:r>
      <w:r w:rsidRPr="00F45F11">
        <w:t>child wellbeing concerns</w:t>
      </w:r>
      <w:r w:rsidR="004677E4" w:rsidRPr="00F45F11">
        <w:t>. The Orange Door</w:t>
      </w:r>
      <w:r w:rsidRPr="00F45F11">
        <w:t xml:space="preserve"> deliver</w:t>
      </w:r>
      <w:r w:rsidR="004677E4" w:rsidRPr="00F45F11">
        <w:t>s</w:t>
      </w:r>
      <w:r w:rsidRPr="00F45F11">
        <w:t xml:space="preserve"> risk assessment, safety planning, crisis intervention, case management and referrals to specialist </w:t>
      </w:r>
      <w:r w:rsidR="000550C4">
        <w:t>and</w:t>
      </w:r>
      <w:r w:rsidR="00A17503">
        <w:t> </w:t>
      </w:r>
      <w:r w:rsidR="000550C4">
        <w:t xml:space="preserve">other relevant </w:t>
      </w:r>
      <w:r w:rsidRPr="00F45F11">
        <w:t>services.</w:t>
      </w:r>
    </w:p>
    <w:p w14:paraId="4AFF8745" w14:textId="652A632A" w:rsidR="00C5478B" w:rsidRPr="00F45F11" w:rsidRDefault="00C5478B" w:rsidP="00C5478B">
      <w:pPr>
        <w:pStyle w:val="ARBody"/>
      </w:pPr>
      <w:r w:rsidRPr="00F45F11">
        <w:t>And we operate the Central Information Point</w:t>
      </w:r>
      <w:r w:rsidR="004677E4" w:rsidRPr="00F45F11">
        <w:t>,</w:t>
      </w:r>
      <w:r w:rsidRPr="00F45F11">
        <w:t xml:space="preserve"> which</w:t>
      </w:r>
      <w:r w:rsidR="00A17503">
        <w:t> </w:t>
      </w:r>
      <w:r w:rsidRPr="00F45F11">
        <w:t>enables agencies to share timely and coordinated information to support risk assessment</w:t>
      </w:r>
      <w:r w:rsidR="00F8411B">
        <w:t> </w:t>
      </w:r>
      <w:r w:rsidRPr="00F45F11">
        <w:t>and safety</w:t>
      </w:r>
      <w:r w:rsidR="00265607" w:rsidRPr="00F45F11">
        <w:t> </w:t>
      </w:r>
      <w:r w:rsidRPr="00F45F11">
        <w:t>planning.</w:t>
      </w:r>
    </w:p>
    <w:p w14:paraId="47F53649" w14:textId="587AA380" w:rsidR="00C5478B" w:rsidRPr="00F45F11" w:rsidRDefault="00C5478B" w:rsidP="00C5478B">
      <w:pPr>
        <w:pStyle w:val="ARBody"/>
      </w:pPr>
      <w:r w:rsidRPr="00F45F11">
        <w:t>Together with justice and service system partners we keep perpetrators accountable, connected and responsible for stopping their violence. Our work is continually evolving to support behaviour change, reduce reoffending and challenge the attitudes, beliefs, systems and structures that enable violence</w:t>
      </w:r>
      <w:r w:rsidR="00F8411B">
        <w:t> </w:t>
      </w:r>
      <w:r w:rsidRPr="00F45F11">
        <w:t>to continue.</w:t>
      </w:r>
    </w:p>
    <w:p w14:paraId="1B809254" w14:textId="77777777" w:rsidR="00265607" w:rsidRPr="00F45F11" w:rsidRDefault="00265607" w:rsidP="00265607">
      <w:pPr>
        <w:pStyle w:val="Heading4"/>
      </w:pPr>
      <w:r w:rsidRPr="00F45F11">
        <w:rPr>
          <w:noProof/>
        </w:rPr>
        <w:t>Veterans</w:t>
      </w:r>
    </w:p>
    <w:p w14:paraId="2E7A6201" w14:textId="77777777" w:rsidR="00265607" w:rsidRPr="00F45F11" w:rsidRDefault="00265607" w:rsidP="00265607">
      <w:pPr>
        <w:pStyle w:val="ARBody"/>
      </w:pPr>
      <w:r w:rsidRPr="00F45F11">
        <w:t>Victoria proudly honours the sacrifice and enduring legacy of our veterans. The department ensures those who have served our nation are recognised, supported and celebrated.</w:t>
      </w:r>
    </w:p>
    <w:p w14:paraId="280E90C3" w14:textId="3928279C" w:rsidR="00265607" w:rsidRPr="00F45F11" w:rsidRDefault="00265607" w:rsidP="00265607">
      <w:pPr>
        <w:pStyle w:val="ARBody"/>
      </w:pPr>
      <w:r w:rsidRPr="00F45F11">
        <w:t>We partner with the Shrine of Remembrance and ex-service organisations to deliver major events. We</w:t>
      </w:r>
      <w:r w:rsidR="000D745B">
        <w:t> </w:t>
      </w:r>
      <w:r w:rsidRPr="00F45F11">
        <w:t>also run grant programs that empower local organisations. Grants are used for capital works, restoring war memorials and delivering meaningful initiatives that support veterans and their families.</w:t>
      </w:r>
    </w:p>
    <w:p w14:paraId="51D45EDB" w14:textId="15F7AC6F" w:rsidR="00265607" w:rsidRPr="00F45F11" w:rsidRDefault="00265607" w:rsidP="00265607">
      <w:pPr>
        <w:pStyle w:val="ARBody"/>
      </w:pPr>
      <w:r w:rsidRPr="00F45F11">
        <w:t>Our commitment extends across portfolios and jurisdictions. We collaborate with the Commonwealth and other states and territories to</w:t>
      </w:r>
      <w:r w:rsidR="000D745B">
        <w:t> </w:t>
      </w:r>
      <w:r w:rsidRPr="00F45F11">
        <w:t>coordinate Victoria’s state-relevant responses to</w:t>
      </w:r>
      <w:r w:rsidR="000D745B">
        <w:t> </w:t>
      </w:r>
      <w:r w:rsidRPr="00F45F11">
        <w:t>the Royal Commission into Defence and Veteran Suicide. We ensure policies and programs respond to veterans’ needs. This includes initiatives such as the Veterans Card – Victoria.</w:t>
      </w:r>
    </w:p>
    <w:p w14:paraId="53EEE22D" w14:textId="20120A73" w:rsidR="002E0F36" w:rsidRDefault="00265607" w:rsidP="00265607">
      <w:pPr>
        <w:pStyle w:val="ARBody"/>
      </w:pPr>
      <w:r w:rsidRPr="00F45F11">
        <w:t>We also support the Victorian Veterans Council. The</w:t>
      </w:r>
      <w:r w:rsidR="000D745B">
        <w:t> </w:t>
      </w:r>
      <w:r w:rsidRPr="00F45F11">
        <w:t>council shapes and guides Victoria’s efforts to</w:t>
      </w:r>
      <w:r w:rsidR="000D745B">
        <w:t> </w:t>
      </w:r>
      <w:r w:rsidRPr="00F45F11">
        <w:t>honour and assist veterans.</w:t>
      </w:r>
    </w:p>
    <w:p w14:paraId="10BC8F0C" w14:textId="328B4803" w:rsidR="00674941" w:rsidRDefault="009E4CEF" w:rsidP="009E4CEF">
      <w:pPr>
        <w:pStyle w:val="Heading4"/>
      </w:pPr>
      <w:r>
        <w:rPr>
          <w:noProof/>
        </w:rPr>
        <w:t>Women and Girls</w:t>
      </w:r>
    </w:p>
    <w:p w14:paraId="484B868B" w14:textId="6FC5C233" w:rsidR="00674941" w:rsidRPr="00674941" w:rsidRDefault="00674941" w:rsidP="000D745B">
      <w:pPr>
        <w:pStyle w:val="ARBody"/>
      </w:pPr>
      <w:r w:rsidRPr="00674941">
        <w:t>The department works to improve outcomes for women and girls and advance gender equality. Gender equality gives everyone more choices and</w:t>
      </w:r>
      <w:r w:rsidR="000D745B">
        <w:t> </w:t>
      </w:r>
      <w:r w:rsidRPr="00674941">
        <w:t>opportunities. It helps Victorians to reach their</w:t>
      </w:r>
      <w:r w:rsidR="005F0E06">
        <w:t> </w:t>
      </w:r>
      <w:r w:rsidRPr="00674941">
        <w:t>potential and live safe, prosperous, equal and</w:t>
      </w:r>
      <w:r w:rsidR="005F0E06">
        <w:t> </w:t>
      </w:r>
      <w:r w:rsidRPr="00674941">
        <w:t xml:space="preserve">fulfilled lives. </w:t>
      </w:r>
    </w:p>
    <w:p w14:paraId="14756EC5" w14:textId="194DF969" w:rsidR="00674941" w:rsidRPr="00674941" w:rsidRDefault="00674941" w:rsidP="000D745B">
      <w:pPr>
        <w:pStyle w:val="ARBody"/>
      </w:pPr>
      <w:r w:rsidRPr="00674941">
        <w:t>The department leads the Victorian Government’s gender equality strategy,</w:t>
      </w:r>
      <w:r w:rsidRPr="00A124D1">
        <w:rPr>
          <w:rStyle w:val="Emphasis"/>
        </w:rPr>
        <w:t> Our equal state: Victoria’s gender equality strategy and action plan</w:t>
      </w:r>
      <w:r w:rsidRPr="00674941">
        <w:t>. This strategy is the roadmap for action on gender equality from 2023 to 2027. We engage collaboratively across government and with external</w:t>
      </w:r>
      <w:r w:rsidR="000D745B">
        <w:t> </w:t>
      </w:r>
      <w:r w:rsidRPr="00674941">
        <w:t>stakeholders to support this</w:t>
      </w:r>
      <w:r w:rsidR="008816A4">
        <w:t> </w:t>
      </w:r>
      <w:r w:rsidRPr="00674941">
        <w:t>work.</w:t>
      </w:r>
    </w:p>
    <w:p w14:paraId="78274119" w14:textId="5FE58BA3" w:rsidR="00674941" w:rsidRPr="00674941" w:rsidRDefault="00674941" w:rsidP="000D745B">
      <w:pPr>
        <w:pStyle w:val="ARBody"/>
      </w:pPr>
      <w:r w:rsidRPr="00674941">
        <w:t>The department:</w:t>
      </w:r>
    </w:p>
    <w:p w14:paraId="14F94B81" w14:textId="4218EA7C" w:rsidR="00674941" w:rsidRPr="00674941" w:rsidRDefault="00674941" w:rsidP="00655E62">
      <w:pPr>
        <w:pStyle w:val="ARBullet1"/>
      </w:pPr>
      <w:r w:rsidRPr="00674941">
        <w:t>leads policy to improve the lives of women and</w:t>
      </w:r>
      <w:r w:rsidR="008457AC">
        <w:t> </w:t>
      </w:r>
      <w:r w:rsidRPr="00674941">
        <w:t>girls</w:t>
      </w:r>
      <w:r w:rsidR="00655E62">
        <w:t xml:space="preserve">, </w:t>
      </w:r>
      <w:r w:rsidR="00523455">
        <w:t>including</w:t>
      </w:r>
      <w:r w:rsidRPr="00674941">
        <w:t xml:space="preserve"> coordinating gender equality efforts across government. It also includes monitoring implementation of 110 whole-of-government actions under </w:t>
      </w:r>
      <w:r w:rsidRPr="00A124D1">
        <w:rPr>
          <w:rStyle w:val="Emphasis"/>
        </w:rPr>
        <w:t>Our equal state</w:t>
      </w:r>
      <w:r w:rsidRPr="00674941">
        <w:t>. As</w:t>
      </w:r>
      <w:r w:rsidR="000D745B">
        <w:t> </w:t>
      </w:r>
      <w:r w:rsidRPr="00674941">
        <w:t>part of this work, we monitor 4 public sector workforce targets. These are to halve the gender pay gap, reach parity in public sector senior leadership and CEO roles, and increase men’s uptake of paid parental leave</w:t>
      </w:r>
    </w:p>
    <w:p w14:paraId="3AD24B3C" w14:textId="12F80AA0" w:rsidR="00674941" w:rsidRPr="00674941" w:rsidRDefault="00674941" w:rsidP="00966947">
      <w:pPr>
        <w:pStyle w:val="ARBullet1"/>
      </w:pPr>
      <w:r w:rsidRPr="00674941">
        <w:t>delivers initiatives to improve access, opportunities and participation of women and</w:t>
      </w:r>
      <w:r w:rsidR="008457AC">
        <w:t> </w:t>
      </w:r>
      <w:r w:rsidRPr="00674941">
        <w:t>girls. This includes the Free Pads and Tampons in Public Places program and the Safe</w:t>
      </w:r>
      <w:r w:rsidR="0069563C">
        <w:t> </w:t>
      </w:r>
      <w:r w:rsidRPr="00674941">
        <w:t>Workplaces for Women Initiative.</w:t>
      </w:r>
    </w:p>
    <w:p w14:paraId="309D1F8E" w14:textId="77777777" w:rsidR="00674941" w:rsidRPr="00674941" w:rsidRDefault="00674941" w:rsidP="00966947">
      <w:pPr>
        <w:pStyle w:val="ARBullet1"/>
      </w:pPr>
      <w:r w:rsidRPr="00674941">
        <w:t xml:space="preserve">elevates and celebrates the significant contributions of Victorian women. This includes the Honour Roll of Women and the Women’s Public Art Program. </w:t>
      </w:r>
    </w:p>
    <w:p w14:paraId="63B4174D" w14:textId="77777777" w:rsidR="000D61D6" w:rsidRDefault="000D61D6">
      <w:pPr>
        <w:spacing w:after="0" w:line="240" w:lineRule="auto"/>
        <w:rPr>
          <w:rFonts w:eastAsia="Times"/>
          <w:sz w:val="20"/>
        </w:rPr>
      </w:pPr>
      <w:r>
        <w:br w:type="page"/>
      </w:r>
    </w:p>
    <w:p w14:paraId="16D04D80" w14:textId="5FB9530E" w:rsidR="00EA7B0E" w:rsidRDefault="00674941" w:rsidP="00541B81">
      <w:pPr>
        <w:pStyle w:val="ARBodyafterbullets"/>
      </w:pPr>
      <w:r w:rsidRPr="00674941">
        <w:t xml:space="preserve">We work closely with the Public Sector Gender Equality Commissioner. The Commissioner is an independent statutory office that oversees the implementation of the </w:t>
      </w:r>
      <w:r w:rsidRPr="00A124D1">
        <w:rPr>
          <w:rStyle w:val="Emphasis"/>
        </w:rPr>
        <w:t>Gender Equality Act 2020</w:t>
      </w:r>
      <w:r w:rsidRPr="00674941">
        <w:t xml:space="preserve"> (Act). The Commissioner provides education, support and data insights to support approximately 300 public sector organisations that have obligations under the Act. They also promote gender equality in the Victorian community more broadly, including by supporting duty-holder organisations to undertake gender impact assessments of public-facing policies, programs and services.</w:t>
      </w:r>
    </w:p>
    <w:p w14:paraId="5AF151BE" w14:textId="0EEECF4D" w:rsidR="00EA7B0E" w:rsidRPr="00EA7B0E" w:rsidRDefault="00EA7B0E" w:rsidP="000D745B">
      <w:pPr>
        <w:pStyle w:val="Heading4"/>
        <w:spacing w:before="0"/>
        <w:rPr>
          <w:noProof/>
        </w:rPr>
      </w:pPr>
      <w:r>
        <w:rPr>
          <w:noProof/>
        </w:rPr>
        <w:t>Youth</w:t>
      </w:r>
    </w:p>
    <w:p w14:paraId="3290BF62" w14:textId="77777777" w:rsidR="003D1FA9" w:rsidRPr="003D1FA9" w:rsidRDefault="003D1FA9" w:rsidP="000D745B">
      <w:pPr>
        <w:pStyle w:val="ARBody"/>
      </w:pPr>
      <w:r w:rsidRPr="003D1FA9">
        <w:rPr>
          <w:rFonts w:cs="Arial"/>
          <w:szCs w:val="24"/>
        </w:rPr>
        <w:t>The department shapes policies, programs and services for young Victorians aged 12–25. We aim to give them a say about the things that matter for their futures.</w:t>
      </w:r>
    </w:p>
    <w:p w14:paraId="760ADD87" w14:textId="77777777" w:rsidR="003D1FA9" w:rsidRPr="003D1FA9" w:rsidRDefault="003D1FA9" w:rsidP="000D745B">
      <w:pPr>
        <w:pStyle w:val="ARBody"/>
      </w:pPr>
      <w:r w:rsidRPr="003D1FA9">
        <w:rPr>
          <w:rFonts w:cs="Arial"/>
          <w:szCs w:val="24"/>
        </w:rPr>
        <w:t>We work closely with other portfolios to:</w:t>
      </w:r>
    </w:p>
    <w:p w14:paraId="19E17676" w14:textId="03DAEE23" w:rsidR="003D1FA9" w:rsidRPr="003D1FA9" w:rsidRDefault="003D1FA9" w:rsidP="00EA7B0E">
      <w:pPr>
        <w:pStyle w:val="ARBullet1"/>
      </w:pPr>
      <w:r w:rsidRPr="003D1FA9">
        <w:t>improve young people’s health and wellbeing, education, training, skills development and career</w:t>
      </w:r>
      <w:r w:rsidR="000D61D6">
        <w:t> </w:t>
      </w:r>
      <w:r w:rsidRPr="003D1FA9">
        <w:t>pathways</w:t>
      </w:r>
    </w:p>
    <w:p w14:paraId="798A4E6D" w14:textId="77777777" w:rsidR="003D1FA9" w:rsidRPr="003D1FA9" w:rsidRDefault="003D1FA9" w:rsidP="00EA7B0E">
      <w:pPr>
        <w:pStyle w:val="ARBullet1"/>
      </w:pPr>
      <w:r w:rsidRPr="003D1FA9">
        <w:t>boost young people’s participation in community and civic life</w:t>
      </w:r>
    </w:p>
    <w:p w14:paraId="49EFA954" w14:textId="77777777" w:rsidR="003D1FA9" w:rsidRPr="003D1FA9" w:rsidRDefault="003D1FA9" w:rsidP="00EA7B0E">
      <w:pPr>
        <w:pStyle w:val="ARBullet1"/>
      </w:pPr>
      <w:r w:rsidRPr="003D1FA9">
        <w:t>address youth disengagement from family, education and training, employment and community.</w:t>
      </w:r>
    </w:p>
    <w:p w14:paraId="0A3FCD91" w14:textId="77777777" w:rsidR="003D1FA9" w:rsidRPr="003D1FA9" w:rsidRDefault="003D1FA9" w:rsidP="00541B81">
      <w:pPr>
        <w:pStyle w:val="ARBodyafterbullets"/>
      </w:pPr>
      <w:r w:rsidRPr="003D1FA9">
        <w:t>Our work with young people is designed with and led by young people, including the Victorian Youth Congress. This includes universal programs to empower and protect young people. It also includes targeted programs for young people experiencing disengagement or disadvantage.</w:t>
      </w:r>
    </w:p>
    <w:p w14:paraId="236E5CDA" w14:textId="4106BE1C" w:rsidR="00A30B5B" w:rsidRDefault="003D1FA9" w:rsidP="00265607">
      <w:pPr>
        <w:pStyle w:val="ARBody"/>
        <w:rPr>
          <w:rFonts w:cs="Arial"/>
          <w:szCs w:val="24"/>
        </w:rPr>
      </w:pPr>
      <w:r w:rsidRPr="003D1FA9">
        <w:rPr>
          <w:rFonts w:cs="Arial"/>
          <w:szCs w:val="24"/>
        </w:rPr>
        <w:t xml:space="preserve">Guided by </w:t>
      </w:r>
      <w:r w:rsidRPr="00A124D1">
        <w:rPr>
          <w:rStyle w:val="Emphasis"/>
        </w:rPr>
        <w:t>Our promise, your future: Victoria’s youth strategy 2022–2027</w:t>
      </w:r>
      <w:r w:rsidRPr="003D1FA9">
        <w:rPr>
          <w:rFonts w:cs="Arial"/>
          <w:szCs w:val="24"/>
        </w:rPr>
        <w:t xml:space="preserve">, we influence policy, program and service delivery and investment in the things that are important for young people. </w:t>
      </w:r>
    </w:p>
    <w:p w14:paraId="543FBB8F" w14:textId="145978C5" w:rsidR="000D61D6" w:rsidRDefault="000D61D6">
      <w:pPr>
        <w:spacing w:after="0" w:line="240" w:lineRule="auto"/>
        <w:rPr>
          <w:rFonts w:eastAsia="Times" w:cs="Arial"/>
          <w:sz w:val="20"/>
          <w:szCs w:val="24"/>
        </w:rPr>
      </w:pPr>
      <w:r>
        <w:rPr>
          <w:rFonts w:cs="Arial"/>
          <w:szCs w:val="24"/>
        </w:rPr>
        <w:br w:type="page"/>
      </w:r>
    </w:p>
    <w:p w14:paraId="5C9C0FEF" w14:textId="6A1C1F02" w:rsidR="000D61D6" w:rsidRPr="000D61D6" w:rsidRDefault="00830ED1" w:rsidP="000D61D6">
      <w:pPr>
        <w:pStyle w:val="Heading2"/>
        <w:spacing w:before="0"/>
        <w:rPr>
          <w:rFonts w:eastAsia="Times"/>
        </w:rPr>
      </w:pPr>
      <w:bookmarkStart w:id="31" w:name="_The_department’s_ministers"/>
      <w:bookmarkStart w:id="32" w:name="_Toc82006192"/>
      <w:bookmarkStart w:id="33" w:name="_Toc114491184"/>
      <w:bookmarkStart w:id="34" w:name="_Toc241131689"/>
      <w:bookmarkEnd w:id="31"/>
      <w:r w:rsidRPr="00F45F11">
        <w:rPr>
          <w:rFonts w:eastAsia="Times"/>
        </w:rPr>
        <w:t>The department’s ministers</w:t>
      </w:r>
      <w:bookmarkEnd w:id="32"/>
      <w:bookmarkEnd w:id="33"/>
      <w:bookmarkEnd w:id="34"/>
    </w:p>
    <w:p w14:paraId="02C71122" w14:textId="29E8F7B4" w:rsidR="000D61D6" w:rsidRDefault="00830ED1" w:rsidP="00F60046">
      <w:pPr>
        <w:pStyle w:val="ARBody"/>
      </w:pPr>
      <w:r w:rsidRPr="00F45F11">
        <w:t>In 2025</w:t>
      </w:r>
      <w:r w:rsidR="00E23AAF" w:rsidRPr="00F45F11">
        <w:t>–</w:t>
      </w:r>
      <w:r w:rsidRPr="00F45F11">
        <w:t>26, the department supported the following ministers and portfolios:</w:t>
      </w:r>
    </w:p>
    <w:p w14:paraId="1874CA7A" w14:textId="77777777" w:rsidR="00830ED1" w:rsidRPr="00F45F11" w:rsidRDefault="00830ED1" w:rsidP="00484A2D">
      <w:pPr>
        <w:pStyle w:val="Heading3Ministers"/>
      </w:pPr>
      <w:r w:rsidRPr="00F45F11">
        <w:t xml:space="preserve">Hon Lizzie Blandthorn MP </w:t>
      </w:r>
    </w:p>
    <w:p w14:paraId="5388709A" w14:textId="77777777" w:rsidR="00830ED1" w:rsidRPr="00F45F11" w:rsidRDefault="00830ED1" w:rsidP="002B795F">
      <w:pPr>
        <w:pStyle w:val="ARBodynospace"/>
        <w:rPr>
          <w:rStyle w:val="Strong"/>
        </w:rPr>
      </w:pPr>
      <w:r w:rsidRPr="00F45F11">
        <w:rPr>
          <w:rStyle w:val="Strong"/>
        </w:rPr>
        <w:t>Coordinating Minister for the Department of Families, Fairness and Housing</w:t>
      </w:r>
    </w:p>
    <w:p w14:paraId="3454AC52" w14:textId="77777777" w:rsidR="00830ED1" w:rsidRPr="00F45F11" w:rsidRDefault="00830ED1" w:rsidP="002B795F">
      <w:pPr>
        <w:pStyle w:val="ARBodynospace"/>
        <w:rPr>
          <w:rStyle w:val="Strong"/>
        </w:rPr>
      </w:pPr>
      <w:r w:rsidRPr="00F45F11">
        <w:rPr>
          <w:rStyle w:val="Strong"/>
        </w:rPr>
        <w:t>Minister for Children</w:t>
      </w:r>
    </w:p>
    <w:p w14:paraId="2F63A09A" w14:textId="77777777" w:rsidR="00830ED1" w:rsidRPr="00F45F11" w:rsidRDefault="00830ED1" w:rsidP="00C12DA2">
      <w:pPr>
        <w:pStyle w:val="ARBody"/>
        <w:rPr>
          <w:rStyle w:val="Strong"/>
        </w:rPr>
      </w:pPr>
      <w:r w:rsidRPr="00F45F11">
        <w:rPr>
          <w:rStyle w:val="Strong"/>
        </w:rPr>
        <w:t>Minister for Disability</w:t>
      </w:r>
    </w:p>
    <w:p w14:paraId="6F991FDC" w14:textId="42F8B793" w:rsidR="00830ED1" w:rsidRPr="00EA7B0E" w:rsidRDefault="00830ED1" w:rsidP="002B795F">
      <w:pPr>
        <w:pStyle w:val="ARBody"/>
      </w:pPr>
      <w:r w:rsidRPr="00EA7B0E">
        <w:t>Hon Lizzie Blandthorn MP has held the positions of</w:t>
      </w:r>
      <w:r w:rsidR="00741501" w:rsidRPr="00EA7B0E">
        <w:t> </w:t>
      </w:r>
      <w:r w:rsidRPr="00EA7B0E">
        <w:t>Minister for Children and Minister for Disability since October 2023.</w:t>
      </w:r>
      <w:r w:rsidR="00743C97" w:rsidRPr="00743C97">
        <w:t xml:space="preserve"> </w:t>
      </w:r>
      <w:r w:rsidR="00743C97">
        <w:t xml:space="preserve">Prior to this, Minister </w:t>
      </w:r>
      <w:proofErr w:type="spellStart"/>
      <w:r w:rsidR="00743C97">
        <w:t>Blandthorn</w:t>
      </w:r>
      <w:proofErr w:type="spellEnd"/>
      <w:r w:rsidR="00743C97">
        <w:t xml:space="preserve"> held the former portfolios of Child Protection and Family Services and </w:t>
      </w:r>
      <w:r w:rsidR="00C605B1">
        <w:t xml:space="preserve">the combined portfolios of </w:t>
      </w:r>
      <w:r w:rsidR="00743C97">
        <w:t>Disability, Ageing and Carers from December 2022 to October 2023.</w:t>
      </w:r>
    </w:p>
    <w:p w14:paraId="18AE5804" w14:textId="77777777" w:rsidR="00830ED1" w:rsidRPr="00F45F11" w:rsidRDefault="00830ED1" w:rsidP="002B795F">
      <w:pPr>
        <w:pStyle w:val="Heading3Ministers"/>
      </w:pPr>
      <w:r w:rsidRPr="00F45F11">
        <w:t>The Hon Melissa Horne MP</w:t>
      </w:r>
    </w:p>
    <w:p w14:paraId="73733EB5" w14:textId="77777777" w:rsidR="00830ED1" w:rsidRPr="00F45F11" w:rsidRDefault="00830ED1" w:rsidP="00830ED1">
      <w:pPr>
        <w:pStyle w:val="ARBody"/>
        <w:rPr>
          <w:rStyle w:val="Strong"/>
        </w:rPr>
      </w:pPr>
      <w:r w:rsidRPr="00F45F11">
        <w:rPr>
          <w:rStyle w:val="Strong"/>
        </w:rPr>
        <w:t xml:space="preserve">Minister for Prevention of Family Violence </w:t>
      </w:r>
    </w:p>
    <w:p w14:paraId="27399ADE" w14:textId="20EF070D" w:rsidR="00830ED1" w:rsidRPr="00F45F11" w:rsidRDefault="00830ED1" w:rsidP="00830ED1">
      <w:pPr>
        <w:pStyle w:val="ARBody"/>
      </w:pPr>
      <w:r w:rsidRPr="00F45F11">
        <w:t>The Hon Melissa Horne MP was appointed Minister for Prevention of Family Violence in</w:t>
      </w:r>
      <w:r w:rsidR="00741501" w:rsidRPr="00F45F11">
        <w:t> </w:t>
      </w:r>
      <w:r w:rsidRPr="00F45F11">
        <w:t>April</w:t>
      </w:r>
      <w:r w:rsidR="009D605E" w:rsidRPr="00F45F11">
        <w:t> </w:t>
      </w:r>
      <w:r w:rsidRPr="00F45F11">
        <w:t>2026.</w:t>
      </w:r>
    </w:p>
    <w:p w14:paraId="0BB6634B" w14:textId="442118B4" w:rsidR="00830ED1" w:rsidRPr="00F45F11" w:rsidRDefault="00830ED1" w:rsidP="00830ED1">
      <w:pPr>
        <w:pStyle w:val="ARBody"/>
      </w:pPr>
      <w:r w:rsidRPr="00F45F11">
        <w:t>The Prevention of Family Violence portfolio was previously held by The Hon Natalie Hutchins until December 2025 and The Hon Ingrid Stitt from December 2025 to April 2026.</w:t>
      </w:r>
    </w:p>
    <w:p w14:paraId="6F0BED44" w14:textId="77777777" w:rsidR="00830ED1" w:rsidRPr="00F45F11" w:rsidRDefault="00830ED1" w:rsidP="002B795F">
      <w:pPr>
        <w:pStyle w:val="Heading3Ministers"/>
      </w:pPr>
      <w:r w:rsidRPr="00F45F11">
        <w:t>Gabrielle Williams MP</w:t>
      </w:r>
    </w:p>
    <w:p w14:paraId="379A2C4F" w14:textId="77777777" w:rsidR="00830ED1" w:rsidRPr="00F45F11" w:rsidRDefault="00830ED1" w:rsidP="00830ED1">
      <w:pPr>
        <w:pStyle w:val="ARBody"/>
        <w:rPr>
          <w:rStyle w:val="Strong"/>
        </w:rPr>
      </w:pPr>
      <w:r w:rsidRPr="00F45F11">
        <w:rPr>
          <w:rStyle w:val="Strong"/>
        </w:rPr>
        <w:t>Minister for Women and Girls</w:t>
      </w:r>
    </w:p>
    <w:p w14:paraId="30A2AE0A" w14:textId="5F20B2D8" w:rsidR="00830ED1" w:rsidRPr="00EA7B0E" w:rsidRDefault="00830ED1" w:rsidP="00830ED1">
      <w:pPr>
        <w:pStyle w:val="ARBody"/>
      </w:pPr>
      <w:r w:rsidRPr="00EA7B0E">
        <w:t>Minister Wiliams was appointed Minister for Women</w:t>
      </w:r>
      <w:r w:rsidR="008457AC">
        <w:t> </w:t>
      </w:r>
      <w:r w:rsidRPr="00EA7B0E">
        <w:t>and Girls in April 2026.</w:t>
      </w:r>
    </w:p>
    <w:p w14:paraId="29662D0A" w14:textId="654C0156" w:rsidR="00830ED1" w:rsidRPr="00F45F11" w:rsidRDefault="00830ED1" w:rsidP="00830ED1">
      <w:pPr>
        <w:pStyle w:val="ARBody"/>
      </w:pPr>
      <w:r w:rsidRPr="00F45F11">
        <w:t>The Women portfolio was previously held by The</w:t>
      </w:r>
      <w:r w:rsidR="00741501" w:rsidRPr="00F45F11">
        <w:t> </w:t>
      </w:r>
      <w:r w:rsidRPr="00F45F11">
        <w:t>Hon Natalie Hutchins until December 2025 and</w:t>
      </w:r>
      <w:r w:rsidR="00A17503">
        <w:t> </w:t>
      </w:r>
      <w:r w:rsidRPr="00F45F11">
        <w:t>The</w:t>
      </w:r>
      <w:r w:rsidR="009D605E" w:rsidRPr="00F45F11">
        <w:t> </w:t>
      </w:r>
      <w:r w:rsidRPr="00F45F11">
        <w:t>Hon Mary-Anne Thomas from December</w:t>
      </w:r>
      <w:r w:rsidR="0069563C">
        <w:t> </w:t>
      </w:r>
      <w:r w:rsidRPr="00F45F11">
        <w:t>2025 to April 2026.</w:t>
      </w:r>
    </w:p>
    <w:p w14:paraId="4FDAAE6D" w14:textId="2F13EBE6" w:rsidR="00830ED1" w:rsidRPr="00F45F11" w:rsidRDefault="00830ED1" w:rsidP="002B795F">
      <w:pPr>
        <w:pStyle w:val="Heading3Ministers"/>
      </w:pPr>
      <w:r w:rsidRPr="00F45F11">
        <w:t>The Hon Nick Staikos MP</w:t>
      </w:r>
    </w:p>
    <w:p w14:paraId="1362649E" w14:textId="77777777" w:rsidR="00830ED1" w:rsidRPr="00F45F11" w:rsidRDefault="00830ED1" w:rsidP="00830ED1">
      <w:pPr>
        <w:pStyle w:val="ARBody"/>
        <w:rPr>
          <w:b/>
          <w:bCs/>
        </w:rPr>
      </w:pPr>
      <w:r w:rsidRPr="00F45F11">
        <w:rPr>
          <w:b/>
          <w:bCs/>
        </w:rPr>
        <w:t>Minister for Housing and Building</w:t>
      </w:r>
    </w:p>
    <w:p w14:paraId="40BAACC8" w14:textId="2DA17E1B" w:rsidR="00830ED1" w:rsidRPr="00EA7B0E" w:rsidRDefault="00830ED1" w:rsidP="00830ED1">
      <w:pPr>
        <w:pStyle w:val="ARBody"/>
      </w:pPr>
      <w:r w:rsidRPr="00EA7B0E">
        <w:t>The Hon Nick Staikos MP was appointed Minister</w:t>
      </w:r>
      <w:r w:rsidR="0069563C">
        <w:t> </w:t>
      </w:r>
      <w:r w:rsidRPr="00EA7B0E">
        <w:t>for Housing and Building in April 2026.</w:t>
      </w:r>
    </w:p>
    <w:p w14:paraId="4D61448F" w14:textId="5F12B56A" w:rsidR="00830ED1" w:rsidRPr="00EA7B0E" w:rsidRDefault="00830ED1" w:rsidP="00830ED1">
      <w:pPr>
        <w:pStyle w:val="ARBody"/>
      </w:pPr>
      <w:r w:rsidRPr="00EA7B0E">
        <w:t>The Housing and Building portfolio was previously held by The Hon Harriet Shing MP until April 2026.</w:t>
      </w:r>
    </w:p>
    <w:p w14:paraId="278FEE14" w14:textId="697390A1" w:rsidR="00830ED1" w:rsidRPr="00F45F11" w:rsidRDefault="00830ED1" w:rsidP="00A876CF">
      <w:pPr>
        <w:pStyle w:val="Heading3Ministers"/>
      </w:pPr>
      <w:r w:rsidRPr="00F45F11">
        <w:t xml:space="preserve">Hon. Luba </w:t>
      </w:r>
      <w:proofErr w:type="spellStart"/>
      <w:r w:rsidRPr="00F45F11">
        <w:t>Grigorovitch</w:t>
      </w:r>
      <w:proofErr w:type="spellEnd"/>
      <w:r w:rsidRPr="00F45F11">
        <w:t xml:space="preserve"> MP</w:t>
      </w:r>
    </w:p>
    <w:p w14:paraId="57AD3DB8" w14:textId="77777777" w:rsidR="00830ED1" w:rsidRPr="00F45F11" w:rsidRDefault="00830ED1" w:rsidP="00410E60">
      <w:pPr>
        <w:pStyle w:val="ARBodynospace"/>
        <w:rPr>
          <w:rStyle w:val="Strong"/>
        </w:rPr>
      </w:pPr>
      <w:r w:rsidRPr="00F45F11">
        <w:rPr>
          <w:rStyle w:val="Strong"/>
        </w:rPr>
        <w:t>Minister for Youth</w:t>
      </w:r>
    </w:p>
    <w:p w14:paraId="2C25AE7C" w14:textId="77777777" w:rsidR="00830ED1" w:rsidRPr="00F45F11" w:rsidRDefault="00830ED1" w:rsidP="00830ED1">
      <w:pPr>
        <w:pStyle w:val="ARBody"/>
        <w:rPr>
          <w:rStyle w:val="Strong"/>
        </w:rPr>
      </w:pPr>
      <w:r w:rsidRPr="00F45F11">
        <w:rPr>
          <w:rStyle w:val="Strong"/>
        </w:rPr>
        <w:t>Minister for Carers and Volunteers</w:t>
      </w:r>
    </w:p>
    <w:p w14:paraId="6C753015" w14:textId="02D57D00" w:rsidR="00830ED1" w:rsidRPr="00F45F11" w:rsidRDefault="00830ED1" w:rsidP="00830ED1">
      <w:pPr>
        <w:pStyle w:val="ARBody"/>
      </w:pPr>
      <w:r w:rsidRPr="00F45F11">
        <w:t xml:space="preserve">Hon. Luba </w:t>
      </w:r>
      <w:proofErr w:type="spellStart"/>
      <w:r w:rsidRPr="00F45F11">
        <w:t>Grigorovitch</w:t>
      </w:r>
      <w:proofErr w:type="spellEnd"/>
      <w:r w:rsidRPr="00F45F11">
        <w:t xml:space="preserve"> was appointed Minister for</w:t>
      </w:r>
      <w:r w:rsidR="007D6397" w:rsidRPr="00F45F11">
        <w:t> </w:t>
      </w:r>
      <w:r w:rsidRPr="00F45F11">
        <w:t>Youth and Minister for Carers and Volunteers in</w:t>
      </w:r>
      <w:r w:rsidR="007D6397" w:rsidRPr="00F45F11">
        <w:t> </w:t>
      </w:r>
      <w:r w:rsidRPr="00F45F11">
        <w:t>April</w:t>
      </w:r>
      <w:r w:rsidR="000D61D6">
        <w:t> </w:t>
      </w:r>
      <w:r w:rsidRPr="00F45F11">
        <w:t xml:space="preserve">2026. </w:t>
      </w:r>
    </w:p>
    <w:p w14:paraId="66C29322" w14:textId="53291DAC" w:rsidR="00830ED1" w:rsidRPr="00F45F11" w:rsidRDefault="00830ED1" w:rsidP="00830ED1">
      <w:pPr>
        <w:pStyle w:val="ARBody"/>
      </w:pPr>
      <w:r w:rsidRPr="00F45F11">
        <w:t>The Youth portfolio was previously held by The Hon Natalie Suleyman until April 2026.</w:t>
      </w:r>
    </w:p>
    <w:p w14:paraId="1E416DEC" w14:textId="7A936669" w:rsidR="00830ED1" w:rsidRPr="00F45F11" w:rsidRDefault="00830ED1" w:rsidP="00830ED1">
      <w:pPr>
        <w:pStyle w:val="ARBody"/>
      </w:pPr>
      <w:r w:rsidRPr="00F45F11">
        <w:t>The Carers and Volunteers portfolio was previously held by The Hon Ros Spence until April 2026.</w:t>
      </w:r>
    </w:p>
    <w:p w14:paraId="4F22B35A" w14:textId="77777777" w:rsidR="00830ED1" w:rsidRPr="00067149" w:rsidRDefault="00830ED1" w:rsidP="00C12DA2">
      <w:pPr>
        <w:pStyle w:val="Heading3Ministers"/>
        <w:rPr>
          <w:lang w:val="da-DK"/>
        </w:rPr>
      </w:pPr>
      <w:r w:rsidRPr="00067149">
        <w:rPr>
          <w:lang w:val="da-DK"/>
        </w:rPr>
        <w:t>Ingrid Stitt MP</w:t>
      </w:r>
    </w:p>
    <w:p w14:paraId="01475B84" w14:textId="77777777" w:rsidR="00830ED1" w:rsidRPr="00067149" w:rsidRDefault="00830ED1" w:rsidP="00830ED1">
      <w:pPr>
        <w:pStyle w:val="ARBody"/>
        <w:rPr>
          <w:rStyle w:val="Strong"/>
          <w:lang w:val="da-DK"/>
        </w:rPr>
      </w:pPr>
      <w:r w:rsidRPr="00067149">
        <w:rPr>
          <w:rStyle w:val="Strong"/>
          <w:lang w:val="da-DK"/>
        </w:rPr>
        <w:t xml:space="preserve">Minister for Ageing </w:t>
      </w:r>
    </w:p>
    <w:p w14:paraId="5BB4F764" w14:textId="7D67FD86" w:rsidR="00830ED1" w:rsidRPr="00EA7B0E" w:rsidRDefault="00830ED1" w:rsidP="00830ED1">
      <w:pPr>
        <w:pStyle w:val="ARBody"/>
      </w:pPr>
      <w:r w:rsidRPr="00EA7B0E">
        <w:t>Ingrid Stitt MP was appointed Minister for</w:t>
      </w:r>
      <w:r w:rsidR="00741501" w:rsidRPr="00EA7B0E">
        <w:t> </w:t>
      </w:r>
      <w:r w:rsidRPr="00EA7B0E">
        <w:t>Ageing</w:t>
      </w:r>
      <w:r w:rsidR="007D6397" w:rsidRPr="00EA7B0E">
        <w:t> </w:t>
      </w:r>
      <w:r w:rsidRPr="00EA7B0E">
        <w:t>in</w:t>
      </w:r>
      <w:r w:rsidR="008457AC">
        <w:t> </w:t>
      </w:r>
      <w:r w:rsidRPr="00EA7B0E">
        <w:t xml:space="preserve">October 2023. </w:t>
      </w:r>
    </w:p>
    <w:p w14:paraId="4883AD4D" w14:textId="77777777" w:rsidR="00830ED1" w:rsidRPr="00F45F11" w:rsidRDefault="00830ED1" w:rsidP="00C12DA2">
      <w:pPr>
        <w:pStyle w:val="Heading3Ministers"/>
      </w:pPr>
      <w:bookmarkStart w:id="35" w:name="VickiWardMP"/>
      <w:r w:rsidRPr="00F45F11">
        <w:t>Vicki Ward MP</w:t>
      </w:r>
    </w:p>
    <w:bookmarkEnd w:id="35"/>
    <w:p w14:paraId="7E9C4FC4" w14:textId="77777777" w:rsidR="00830ED1" w:rsidRPr="00F45F11" w:rsidRDefault="00830ED1" w:rsidP="00830ED1">
      <w:pPr>
        <w:pStyle w:val="ARBody"/>
        <w:rPr>
          <w:b/>
          <w:bCs/>
        </w:rPr>
      </w:pPr>
      <w:r w:rsidRPr="00F45F11">
        <w:rPr>
          <w:b/>
          <w:bCs/>
        </w:rPr>
        <w:t>Minister for Equality</w:t>
      </w:r>
    </w:p>
    <w:p w14:paraId="008EAFEC" w14:textId="77777777" w:rsidR="000D61D6" w:rsidRDefault="00830ED1" w:rsidP="00830ED1">
      <w:pPr>
        <w:pStyle w:val="ARBody"/>
      </w:pPr>
      <w:r w:rsidRPr="00EA7B0E">
        <w:t>Vicki Ward MP was appointed Minister for</w:t>
      </w:r>
      <w:r w:rsidR="00741501" w:rsidRPr="00EA7B0E">
        <w:t> </w:t>
      </w:r>
      <w:r w:rsidRPr="00EA7B0E">
        <w:t xml:space="preserve">Equality </w:t>
      </w:r>
      <w:r w:rsidR="00425280">
        <w:t>in</w:t>
      </w:r>
      <w:r w:rsidR="00425280" w:rsidRPr="00EA7B0E">
        <w:t xml:space="preserve"> </w:t>
      </w:r>
      <w:r w:rsidRPr="00EA7B0E">
        <w:t>December 2024.</w:t>
      </w:r>
    </w:p>
    <w:p w14:paraId="741816A3" w14:textId="77777777" w:rsidR="000D61D6" w:rsidRDefault="000D61D6">
      <w:pPr>
        <w:spacing w:after="0" w:line="240" w:lineRule="auto"/>
        <w:rPr>
          <w:rFonts w:eastAsia="Times"/>
          <w:sz w:val="20"/>
        </w:rPr>
      </w:pPr>
      <w:r>
        <w:br w:type="page"/>
      </w:r>
    </w:p>
    <w:p w14:paraId="022C829A" w14:textId="77777777" w:rsidR="00830ED1" w:rsidRPr="00F45F11" w:rsidRDefault="00830ED1" w:rsidP="00C12DA2">
      <w:pPr>
        <w:pStyle w:val="Heading3Ministers"/>
      </w:pPr>
      <w:r w:rsidRPr="00F45F11">
        <w:t>The Hon Natalie Suleyman MP</w:t>
      </w:r>
    </w:p>
    <w:p w14:paraId="009B0ED6" w14:textId="77777777" w:rsidR="00830ED1" w:rsidRPr="00F45F11" w:rsidRDefault="00830ED1" w:rsidP="00830ED1">
      <w:pPr>
        <w:pStyle w:val="ARBody"/>
        <w:rPr>
          <w:rStyle w:val="Strong"/>
        </w:rPr>
      </w:pPr>
      <w:r w:rsidRPr="00F45F11">
        <w:rPr>
          <w:rStyle w:val="Strong"/>
        </w:rPr>
        <w:t>Minister for Veterans</w:t>
      </w:r>
    </w:p>
    <w:p w14:paraId="5794E6C2" w14:textId="2918894E" w:rsidR="00830ED1" w:rsidRPr="00F45F11" w:rsidRDefault="00830ED1" w:rsidP="00830ED1">
      <w:pPr>
        <w:pStyle w:val="ARBody"/>
      </w:pPr>
      <w:r w:rsidRPr="00F45F11">
        <w:t>Minister Suleyman was appointed Minister for</w:t>
      </w:r>
      <w:r w:rsidR="00C12DA2" w:rsidRPr="00F45F11">
        <w:t> </w:t>
      </w:r>
      <w:r w:rsidRPr="00F45F11">
        <w:t xml:space="preserve">Veterans in December 2022. </w:t>
      </w:r>
    </w:p>
    <w:p w14:paraId="583DC28C" w14:textId="77777777" w:rsidR="00830ED1" w:rsidRPr="00F45F11" w:rsidRDefault="00830ED1" w:rsidP="00F60046">
      <w:pPr>
        <w:pStyle w:val="Heading3"/>
      </w:pPr>
      <w:r w:rsidRPr="00F45F11">
        <w:t>Government portfolio changes:</w:t>
      </w:r>
    </w:p>
    <w:p w14:paraId="545D4A5A" w14:textId="5659E734" w:rsidR="00830ED1" w:rsidRPr="00F45F11" w:rsidRDefault="00830ED1" w:rsidP="00830ED1">
      <w:pPr>
        <w:pStyle w:val="ARBody"/>
      </w:pPr>
      <w:r w:rsidRPr="00F45F11">
        <w:t xml:space="preserve">On 15 </w:t>
      </w:r>
      <w:r w:rsidRPr="00655E62">
        <w:t>April 202</w:t>
      </w:r>
      <w:r w:rsidR="00755EBA" w:rsidRPr="00655E62">
        <w:t>6</w:t>
      </w:r>
      <w:r w:rsidRPr="00655E62">
        <w:t>,</w:t>
      </w:r>
      <w:r w:rsidRPr="00F45F11">
        <w:t xml:space="preserve"> </w:t>
      </w:r>
      <w:r w:rsidR="00FE757A" w:rsidRPr="00F45F11">
        <w:t xml:space="preserve">the </w:t>
      </w:r>
      <w:r w:rsidRPr="00F45F11">
        <w:t>Hon Jacinta Allan MP, Premier of</w:t>
      </w:r>
      <w:r w:rsidR="00292BAC" w:rsidRPr="00F45F11">
        <w:t> </w:t>
      </w:r>
      <w:r w:rsidRPr="00F45F11">
        <w:t>Victoria, announced changes to the Victorian Cabinet. The following changes were made to</w:t>
      </w:r>
      <w:r w:rsidR="00292BAC" w:rsidRPr="00F45F11">
        <w:t> </w:t>
      </w:r>
      <w:r w:rsidRPr="00F45F11">
        <w:t>Cabinet:</w:t>
      </w:r>
    </w:p>
    <w:p w14:paraId="19FA5097" w14:textId="2556DFB4" w:rsidR="00830ED1" w:rsidRPr="00F45F11" w:rsidRDefault="00830ED1" w:rsidP="00F15878">
      <w:pPr>
        <w:pStyle w:val="ARBullet1"/>
      </w:pPr>
      <w:r w:rsidRPr="00F45F11">
        <w:t>The Hon Nick Staikos MP became the Minister</w:t>
      </w:r>
      <w:r w:rsidR="00292BAC" w:rsidRPr="00F45F11">
        <w:t> </w:t>
      </w:r>
      <w:r w:rsidRPr="00F45F11">
        <w:t>for Housing and Building.</w:t>
      </w:r>
    </w:p>
    <w:p w14:paraId="32F267EE" w14:textId="771FDB19" w:rsidR="00830ED1" w:rsidRPr="00F45F11" w:rsidRDefault="00830ED1" w:rsidP="00F15878">
      <w:pPr>
        <w:pStyle w:val="ARBullet1"/>
      </w:pPr>
      <w:r w:rsidRPr="00F45F11">
        <w:t>The Hon Melissa Horne MP became the Minister</w:t>
      </w:r>
      <w:r w:rsidR="00292BAC" w:rsidRPr="00F45F11">
        <w:t> </w:t>
      </w:r>
      <w:r w:rsidRPr="00F45F11">
        <w:t>for the Prevention of Family Violence.</w:t>
      </w:r>
    </w:p>
    <w:p w14:paraId="1889DC59" w14:textId="4E5CB58E" w:rsidR="00830ED1" w:rsidRPr="00F45F11" w:rsidRDefault="00830ED1" w:rsidP="00F15878">
      <w:pPr>
        <w:pStyle w:val="ARBullet1"/>
      </w:pPr>
      <w:r w:rsidRPr="00F45F11">
        <w:t>Gabrielle Williams MP became the</w:t>
      </w:r>
      <w:r w:rsidR="00292BAC" w:rsidRPr="00F45F11">
        <w:t> </w:t>
      </w:r>
      <w:r w:rsidRPr="00F45F11">
        <w:t>Minister for Women and Girls.</w:t>
      </w:r>
    </w:p>
    <w:p w14:paraId="7BD6EF5C" w14:textId="10D0C5E6" w:rsidR="00830ED1" w:rsidRPr="00F45F11" w:rsidRDefault="00830ED1" w:rsidP="00F15878">
      <w:pPr>
        <w:pStyle w:val="ARBullet1"/>
      </w:pPr>
      <w:r w:rsidRPr="00F45F11">
        <w:t>Hon Luba Grigorovitch MP became the Minister</w:t>
      </w:r>
      <w:r w:rsidR="00292BAC" w:rsidRPr="00F45F11">
        <w:t> </w:t>
      </w:r>
      <w:r w:rsidRPr="00F45F11">
        <w:t>for Carers and Volunteers and Youth.</w:t>
      </w:r>
    </w:p>
    <w:p w14:paraId="7FA9A2FD" w14:textId="7D14C77D" w:rsidR="00830ED1" w:rsidRPr="00F45F11" w:rsidRDefault="00830ED1" w:rsidP="000D61D6">
      <w:pPr>
        <w:pStyle w:val="Heading3"/>
      </w:pPr>
      <w:r w:rsidRPr="00F45F11">
        <w:t>Subsequent events</w:t>
      </w:r>
    </w:p>
    <w:p w14:paraId="29DECCCE" w14:textId="06A3EC61" w:rsidR="00830ED1" w:rsidRPr="00F45F11" w:rsidRDefault="00830ED1" w:rsidP="00F60046">
      <w:pPr>
        <w:pStyle w:val="ARBody"/>
      </w:pPr>
      <w:r w:rsidRPr="00F45F11">
        <w:t>On 28 July 2026, the Hon Ben Carroll MP was sworn in as Premier of Victoria. Following the appointment, changes to the Victorian Cabinet were</w:t>
      </w:r>
      <w:r w:rsidR="00A17503">
        <w:t> </w:t>
      </w:r>
      <w:r w:rsidRPr="00F45F11">
        <w:t xml:space="preserve">made on 4 August </w:t>
      </w:r>
      <w:r w:rsidR="00FE757A" w:rsidRPr="00F45F11">
        <w:t xml:space="preserve">that </w:t>
      </w:r>
      <w:r w:rsidRPr="00F45F11">
        <w:t>are outside the period</w:t>
      </w:r>
      <w:r w:rsidR="00A17503">
        <w:t> </w:t>
      </w:r>
      <w:r w:rsidRPr="00F45F11">
        <w:t>of this annual report:</w:t>
      </w:r>
    </w:p>
    <w:p w14:paraId="6363CF47" w14:textId="387ECAB2" w:rsidR="00830ED1" w:rsidRDefault="00830ED1" w:rsidP="00F15878">
      <w:pPr>
        <w:pStyle w:val="ARBullet1"/>
      </w:pPr>
      <w:r w:rsidRPr="00F45F11">
        <w:t>The Hon. Nick Staikos was appointed as Minister</w:t>
      </w:r>
      <w:r w:rsidR="00292BAC" w:rsidRPr="00F45F11">
        <w:t> </w:t>
      </w:r>
      <w:r w:rsidRPr="00F45F11">
        <w:t>for Seniors</w:t>
      </w:r>
      <w:r w:rsidR="00396D70" w:rsidRPr="00F45F11">
        <w:t>.</w:t>
      </w:r>
    </w:p>
    <w:p w14:paraId="0DF7164D" w14:textId="57AB414B" w:rsidR="00C44515" w:rsidRPr="00F45F11" w:rsidRDefault="00C44515" w:rsidP="00F15878">
      <w:pPr>
        <w:pStyle w:val="ARBullet1"/>
      </w:pPr>
      <w:r>
        <w:t xml:space="preserve">The Hon. Sonya Kilkenny </w:t>
      </w:r>
      <w:r w:rsidR="001620D9">
        <w:t>MP was appointed as</w:t>
      </w:r>
      <w:r w:rsidR="00F8411B">
        <w:t> </w:t>
      </w:r>
      <w:r w:rsidR="001620D9">
        <w:t>Minister for the Prevention of Family Violence.</w:t>
      </w:r>
      <w:r>
        <w:t xml:space="preserve"> </w:t>
      </w:r>
    </w:p>
    <w:p w14:paraId="0713CBD6" w14:textId="1F9503BF" w:rsidR="00830ED1" w:rsidRPr="00F45F11" w:rsidRDefault="00830ED1" w:rsidP="00F15878">
      <w:pPr>
        <w:pStyle w:val="ARBullet1"/>
      </w:pPr>
      <w:r w:rsidRPr="00F45F11">
        <w:t>Mr Steve Dimopoulos was appointed as Minister</w:t>
      </w:r>
      <w:r w:rsidR="00292BAC" w:rsidRPr="00F45F11">
        <w:t> </w:t>
      </w:r>
      <w:r w:rsidRPr="00F45F11">
        <w:t>for Equality</w:t>
      </w:r>
      <w:r w:rsidR="00396D70" w:rsidRPr="00F45F11">
        <w:t>.</w:t>
      </w:r>
    </w:p>
    <w:p w14:paraId="1D7F7995" w14:textId="7E6C65F4" w:rsidR="00830ED1" w:rsidRPr="00F45F11" w:rsidRDefault="00830ED1" w:rsidP="00F15878">
      <w:pPr>
        <w:pStyle w:val="ARBullet1"/>
      </w:pPr>
      <w:r w:rsidRPr="00F45F11">
        <w:t>The Women and Girls portfolio was changed to</w:t>
      </w:r>
      <w:r w:rsidR="00292BAC" w:rsidRPr="00F45F11">
        <w:t> </w:t>
      </w:r>
      <w:r w:rsidRPr="00F45F11">
        <w:t>Women and Gender Equality.</w:t>
      </w:r>
    </w:p>
    <w:p w14:paraId="3E67FC61" w14:textId="77777777" w:rsidR="00830ED1" w:rsidRPr="00F45F11" w:rsidRDefault="00830ED1" w:rsidP="00F15878">
      <w:pPr>
        <w:pStyle w:val="ARBullet1"/>
      </w:pPr>
      <w:r w:rsidRPr="00F45F11">
        <w:t>The Ageing portfolio was changed to Seniors.</w:t>
      </w:r>
    </w:p>
    <w:p w14:paraId="3649F85F" w14:textId="692C7D6D" w:rsidR="00830ED1" w:rsidRPr="00F45F11" w:rsidRDefault="00830ED1" w:rsidP="00F15878">
      <w:pPr>
        <w:pStyle w:val="ARBullet1"/>
      </w:pPr>
      <w:r w:rsidRPr="00F45F11">
        <w:t xml:space="preserve">The Housing </w:t>
      </w:r>
      <w:r w:rsidR="00974CEC">
        <w:t xml:space="preserve">and Building </w:t>
      </w:r>
      <w:r w:rsidRPr="00F45F11">
        <w:t>portfolio was changed to Housing, Building and Precincts.</w:t>
      </w:r>
    </w:p>
    <w:p w14:paraId="44FC40AA" w14:textId="041FD094" w:rsidR="002E0F36" w:rsidRPr="00F45F11" w:rsidRDefault="00830ED1" w:rsidP="00265607">
      <w:pPr>
        <w:pStyle w:val="ARBullet1"/>
      </w:pPr>
      <w:r w:rsidRPr="00F45F11">
        <w:t>The Homelessness portfolio was created with</w:t>
      </w:r>
      <w:r w:rsidR="00A17503">
        <w:t xml:space="preserve"> </w:t>
      </w:r>
      <w:r w:rsidR="00396D70" w:rsidRPr="00F45F11">
        <w:t>t</w:t>
      </w:r>
      <w:r w:rsidRPr="00F45F11">
        <w:t>he</w:t>
      </w:r>
      <w:r w:rsidR="00A17503">
        <w:t> </w:t>
      </w:r>
      <w:r w:rsidRPr="00F45F11">
        <w:t>Hon. Nick Staikos as Minister.</w:t>
      </w:r>
    </w:p>
    <w:p w14:paraId="4AF5A5AE" w14:textId="4B1CD31D" w:rsidR="000D61D6" w:rsidRDefault="000D61D6">
      <w:pPr>
        <w:spacing w:after="0" w:line="240" w:lineRule="auto"/>
        <w:rPr>
          <w:rFonts w:eastAsia="Times"/>
          <w:sz w:val="20"/>
        </w:rPr>
      </w:pPr>
      <w:r>
        <w:br w:type="page"/>
      </w:r>
    </w:p>
    <w:p w14:paraId="18823ECD" w14:textId="57AFEB0E" w:rsidR="000D61D6" w:rsidRDefault="004463E7" w:rsidP="000D61D6">
      <w:pPr>
        <w:pStyle w:val="Heading2"/>
        <w:spacing w:before="0"/>
      </w:pPr>
      <w:bookmarkStart w:id="36" w:name="_Toc82006193"/>
      <w:bookmarkStart w:id="37" w:name="_Toc114491185"/>
      <w:bookmarkStart w:id="38" w:name="_Toc241131690"/>
      <w:r w:rsidRPr="00F45F11">
        <w:t xml:space="preserve">The department’s senior </w:t>
      </w:r>
      <w:bookmarkEnd w:id="36"/>
      <w:r w:rsidRPr="00F45F11">
        <w:t>executives</w:t>
      </w:r>
      <w:bookmarkEnd w:id="37"/>
      <w:bookmarkEnd w:id="38"/>
    </w:p>
    <w:p w14:paraId="4C958FD3" w14:textId="77777777" w:rsidR="004463E7" w:rsidRPr="00F45F11" w:rsidRDefault="004463E7" w:rsidP="004463E7">
      <w:pPr>
        <w:pStyle w:val="Heading3"/>
      </w:pPr>
      <w:r w:rsidRPr="00F45F11">
        <w:t>Peta McCammon PSM</w:t>
      </w:r>
    </w:p>
    <w:p w14:paraId="20BB741C" w14:textId="77777777" w:rsidR="004463E7" w:rsidRPr="00F45F11" w:rsidRDefault="004463E7" w:rsidP="00497062">
      <w:pPr>
        <w:pStyle w:val="ARBody"/>
        <w:rPr>
          <w:rStyle w:val="Strong"/>
        </w:rPr>
      </w:pPr>
      <w:r w:rsidRPr="00F45F11">
        <w:rPr>
          <w:rStyle w:val="Strong"/>
        </w:rPr>
        <w:t>Secretary</w:t>
      </w:r>
    </w:p>
    <w:p w14:paraId="52622392" w14:textId="3EF9998E" w:rsidR="004463E7" w:rsidRPr="00F45F11" w:rsidRDefault="004463E7" w:rsidP="00BF1A91">
      <w:pPr>
        <w:pStyle w:val="ARBody"/>
        <w:spacing w:line="240" w:lineRule="atLeast"/>
      </w:pPr>
      <w:r w:rsidRPr="00F45F11">
        <w:t>Peta has been Secretary of the Department of Families, Fairness and Housing since March 2023. Peta has built a successful career over the past 25 years in the Victorian Public Service. Before taking the role of Secretary at the Department of Families, Fairness and Housing, Peta was Associate Secretary at the Department of Justice and Community Safety. This included policy areas such as Youth Justice and service delivery reform, as well as other key internal functions.</w:t>
      </w:r>
    </w:p>
    <w:p w14:paraId="19FB8A3C" w14:textId="77777777" w:rsidR="004463E7" w:rsidRPr="00F45F11" w:rsidRDefault="004463E7" w:rsidP="00BF1A91">
      <w:pPr>
        <w:pStyle w:val="ARBody"/>
        <w:spacing w:line="240" w:lineRule="atLeast"/>
      </w:pPr>
      <w:proofErr w:type="gramStart"/>
      <w:r w:rsidRPr="00F45F11">
        <w:t>Previous to</w:t>
      </w:r>
      <w:proofErr w:type="gramEnd"/>
      <w:r w:rsidRPr="00F45F11">
        <w:t xml:space="preserve"> this, Peta was Deputy Secretary of Service Delivery Reform, Coordination and Workplace Safety Division. Her Victorian Public Service career has also included senior roles at the Department of Premier and Cabinet, the Department of Treasury and Finance and the then Department of Human Services.</w:t>
      </w:r>
    </w:p>
    <w:p w14:paraId="61F2CC61" w14:textId="4CA67004" w:rsidR="004463E7" w:rsidRPr="00F45F11" w:rsidRDefault="004463E7" w:rsidP="00BF1A91">
      <w:pPr>
        <w:pStyle w:val="ARBody"/>
        <w:spacing w:line="240" w:lineRule="atLeast"/>
      </w:pPr>
      <w:r w:rsidRPr="00F45F11">
        <w:t>Peta is committed to social policy reform and has led reforms in family violence and the implementation of the 227 Royal Commission recommendations, mental health, and the National</w:t>
      </w:r>
      <w:r w:rsidR="00A17503">
        <w:t> </w:t>
      </w:r>
      <w:r w:rsidRPr="00F45F11">
        <w:t>Disability Insurance Scheme.</w:t>
      </w:r>
    </w:p>
    <w:p w14:paraId="73F94D55" w14:textId="0644671E" w:rsidR="00D60E79" w:rsidRPr="00F45F11" w:rsidRDefault="00D60E79" w:rsidP="00D60E79">
      <w:pPr>
        <w:pStyle w:val="Heading3"/>
      </w:pPr>
      <w:r w:rsidRPr="00F45F11">
        <w:t>Raylene Harradine</w:t>
      </w:r>
      <w:r w:rsidR="00F4065D">
        <w:t xml:space="preserve"> PSM</w:t>
      </w:r>
    </w:p>
    <w:p w14:paraId="3E189916" w14:textId="77777777" w:rsidR="00D60E79" w:rsidRPr="00F45F11" w:rsidRDefault="00D60E79" w:rsidP="00D60E79">
      <w:pPr>
        <w:pStyle w:val="ARBody"/>
        <w:rPr>
          <w:rStyle w:val="Strong"/>
        </w:rPr>
      </w:pPr>
      <w:r w:rsidRPr="00F45F11">
        <w:rPr>
          <w:rStyle w:val="Strong"/>
        </w:rPr>
        <w:t xml:space="preserve">Deputy Secretary – Aboriginal </w:t>
      </w:r>
      <w:r w:rsidRPr="00F45F11">
        <w:rPr>
          <w:rStyle w:val="Strong"/>
        </w:rPr>
        <w:br/>
        <w:t>Self-determination and Outcomes</w:t>
      </w:r>
    </w:p>
    <w:p w14:paraId="50B5A759" w14:textId="77777777" w:rsidR="00D60E79" w:rsidRPr="00F45F11" w:rsidRDefault="00D60E79" w:rsidP="00BF1A91">
      <w:pPr>
        <w:pStyle w:val="ARBody"/>
        <w:spacing w:line="240" w:lineRule="atLeast"/>
      </w:pPr>
      <w:r w:rsidRPr="00F45F11">
        <w:t xml:space="preserve">Raylene is the Deputy Secretary of the Aboriginal Self-determination and Outcomes Division (ASDO). Raylene is a proud </w:t>
      </w:r>
      <w:proofErr w:type="spellStart"/>
      <w:r w:rsidRPr="00F45F11">
        <w:t>Wotjabulluk</w:t>
      </w:r>
      <w:proofErr w:type="spellEnd"/>
      <w:r w:rsidRPr="00F45F11">
        <w:t xml:space="preserve">, </w:t>
      </w:r>
      <w:proofErr w:type="spellStart"/>
      <w:r w:rsidRPr="00F45F11">
        <w:t>Latje</w:t>
      </w:r>
      <w:proofErr w:type="spellEnd"/>
      <w:r w:rsidRPr="00F45F11">
        <w:t xml:space="preserve"> </w:t>
      </w:r>
      <w:proofErr w:type="spellStart"/>
      <w:r w:rsidRPr="00F45F11">
        <w:t>Latje</w:t>
      </w:r>
      <w:proofErr w:type="spellEnd"/>
      <w:r w:rsidRPr="00F45F11">
        <w:t xml:space="preserve"> and </w:t>
      </w:r>
      <w:proofErr w:type="spellStart"/>
      <w:r w:rsidRPr="00F45F11">
        <w:t>Djaara</w:t>
      </w:r>
      <w:proofErr w:type="spellEnd"/>
      <w:r w:rsidRPr="00F45F11">
        <w:t xml:space="preserve"> woman who has worked in senior leadership positions within Aboriginal communities for over 20 years.</w:t>
      </w:r>
    </w:p>
    <w:p w14:paraId="63E1F0AC" w14:textId="102266A0" w:rsidR="00D60E79" w:rsidRPr="00F45F11" w:rsidRDefault="00D60E79" w:rsidP="00BF1A91">
      <w:pPr>
        <w:pStyle w:val="ARBody"/>
        <w:spacing w:line="240" w:lineRule="atLeast"/>
      </w:pPr>
      <w:r w:rsidRPr="00F45F11">
        <w:t>Prior to joining ASDO in late 2022, Raylene came from the Bendigo &amp; District Aboriginal Cooperative, as the Chief Executive Officer. Her previous roles include positions in the Department of Justice and</w:t>
      </w:r>
      <w:r w:rsidR="00A17503">
        <w:t> </w:t>
      </w:r>
      <w:r w:rsidRPr="00F45F11">
        <w:t>Regulation, as well as the health and education sectors.</w:t>
      </w:r>
    </w:p>
    <w:p w14:paraId="6DDAF38A" w14:textId="4A37EBC6" w:rsidR="00D60E79" w:rsidRPr="00F45F11" w:rsidRDefault="00D60E79" w:rsidP="00BF1A91">
      <w:pPr>
        <w:pStyle w:val="ARBody"/>
        <w:spacing w:line="240" w:lineRule="atLeast"/>
        <w:rPr>
          <w:rStyle w:val="Emphasis"/>
          <w:i w:val="0"/>
          <w:iCs w:val="0"/>
        </w:rPr>
      </w:pPr>
      <w:r w:rsidRPr="00F45F11">
        <w:t>Raylene played a key role in the first rural Victorian authorisation of children in out-of-home care under s</w:t>
      </w:r>
      <w:r w:rsidR="00164F1F" w:rsidRPr="00F45F11">
        <w:t xml:space="preserve">. </w:t>
      </w:r>
      <w:r w:rsidRPr="00F45F11">
        <w:t xml:space="preserve">18 of the </w:t>
      </w:r>
      <w:bookmarkStart w:id="39" w:name="CYFact"/>
      <w:r w:rsidRPr="00A124D1">
        <w:rPr>
          <w:rStyle w:val="Emphasis"/>
        </w:rPr>
        <w:t>Children, Youth and Families Act 2005</w:t>
      </w:r>
      <w:r w:rsidRPr="00F45F11">
        <w:rPr>
          <w:rStyle w:val="Emphasis"/>
          <w:i w:val="0"/>
          <w:iCs w:val="0"/>
        </w:rPr>
        <w:t>.</w:t>
      </w:r>
      <w:bookmarkEnd w:id="39"/>
    </w:p>
    <w:p w14:paraId="03BDD50C" w14:textId="77777777" w:rsidR="00D60E79" w:rsidRPr="00F45F11" w:rsidRDefault="00D60E79" w:rsidP="00BF1A91">
      <w:pPr>
        <w:pStyle w:val="ARBody"/>
        <w:spacing w:line="240" w:lineRule="atLeast"/>
      </w:pPr>
      <w:r w:rsidRPr="00F45F11">
        <w:t>In 2006, she received the Public Service Medal for her outstanding work with Aboriginal communities.</w:t>
      </w:r>
    </w:p>
    <w:p w14:paraId="24A2CDA8" w14:textId="3260A8B5" w:rsidR="00D60E79" w:rsidRPr="00F45F11" w:rsidRDefault="00D60E79" w:rsidP="00BF1A91">
      <w:pPr>
        <w:pStyle w:val="ARBody"/>
        <w:spacing w:line="240" w:lineRule="atLeast"/>
      </w:pPr>
      <w:r w:rsidRPr="00F45F11">
        <w:t>Raylene was an active member of the First Peoples’ Assembly Victoria and working towards culturally inclusive practices and equity for all.</w:t>
      </w:r>
    </w:p>
    <w:p w14:paraId="26CAD756" w14:textId="77777777" w:rsidR="004D087B" w:rsidRPr="00F45F11" w:rsidRDefault="004D087B" w:rsidP="00DF0B5B">
      <w:pPr>
        <w:pStyle w:val="Heading3"/>
        <w:spacing w:before="0"/>
      </w:pPr>
      <w:r w:rsidRPr="00F45F11">
        <w:t>Annette Lancy</w:t>
      </w:r>
    </w:p>
    <w:p w14:paraId="4EB3C340" w14:textId="34AC73C0" w:rsidR="004D087B" w:rsidRPr="00F45F11" w:rsidRDefault="004D087B" w:rsidP="00D53DA3">
      <w:pPr>
        <w:pStyle w:val="ARBody"/>
        <w:rPr>
          <w:rStyle w:val="Strong"/>
        </w:rPr>
      </w:pPr>
      <w:r w:rsidRPr="00F45F11">
        <w:rPr>
          <w:rStyle w:val="Strong"/>
        </w:rPr>
        <w:t>Deputy Secretary –</w:t>
      </w:r>
      <w:r w:rsidR="00164F1F" w:rsidRPr="00F45F11">
        <w:rPr>
          <w:rStyle w:val="Strong"/>
        </w:rPr>
        <w:t xml:space="preserve"> </w:t>
      </w:r>
      <w:r w:rsidRPr="00F45F11">
        <w:rPr>
          <w:rStyle w:val="Strong"/>
        </w:rPr>
        <w:t>Children, Families and</w:t>
      </w:r>
      <w:r w:rsidR="001A1EC5" w:rsidRPr="00F45F11">
        <w:rPr>
          <w:rStyle w:val="Strong"/>
        </w:rPr>
        <w:t> </w:t>
      </w:r>
      <w:r w:rsidRPr="00F45F11">
        <w:rPr>
          <w:rStyle w:val="Strong"/>
        </w:rPr>
        <w:t>Safeguarding</w:t>
      </w:r>
    </w:p>
    <w:p w14:paraId="61565340" w14:textId="13695523" w:rsidR="004D087B" w:rsidRPr="00F45F11" w:rsidRDefault="004D087B" w:rsidP="00D53DA3">
      <w:pPr>
        <w:pStyle w:val="ARBody"/>
      </w:pPr>
      <w:r w:rsidRPr="00F45F11">
        <w:t>Annette has served as Deputy Secretary, Children, Families and Safeguarding since 2023. Annette previously led design and implementation of family violence system reform at Family Safety Victoria before leading the department’s COVID-19 preparedness and response work for the community</w:t>
      </w:r>
      <w:r w:rsidR="00A17503">
        <w:t> </w:t>
      </w:r>
      <w:r w:rsidRPr="00F45F11">
        <w:t>services sector.</w:t>
      </w:r>
    </w:p>
    <w:p w14:paraId="03992FC9" w14:textId="3698DDBA" w:rsidR="004D087B" w:rsidRPr="00F45F11" w:rsidRDefault="004D087B" w:rsidP="00D53DA3">
      <w:pPr>
        <w:pStyle w:val="ARBody"/>
      </w:pPr>
      <w:r w:rsidRPr="00F45F11">
        <w:t xml:space="preserve">Annette holds a </w:t>
      </w:r>
      <w:proofErr w:type="gramStart"/>
      <w:r w:rsidRPr="00F45F11">
        <w:t>B.Com</w:t>
      </w:r>
      <w:proofErr w:type="gramEnd"/>
      <w:r w:rsidRPr="00F45F11">
        <w:t xml:space="preserve"> (</w:t>
      </w:r>
      <w:r w:rsidR="00655E62">
        <w:t>Hons</w:t>
      </w:r>
      <w:r w:rsidRPr="00F45F11">
        <w:t xml:space="preserve">) and LLB </w:t>
      </w:r>
      <w:r w:rsidR="00A40B6A">
        <w:t>(</w:t>
      </w:r>
      <w:r w:rsidR="00655E62">
        <w:t>Hons</w:t>
      </w:r>
      <w:r w:rsidR="00A40B6A">
        <w:t xml:space="preserve">) </w:t>
      </w:r>
      <w:r w:rsidRPr="00F45F11">
        <w:t>and</w:t>
      </w:r>
      <w:r w:rsidR="00A17503">
        <w:t> </w:t>
      </w:r>
      <w:r w:rsidRPr="00F45F11">
        <w:t xml:space="preserve">has over 20 </w:t>
      </w:r>
      <w:r w:rsidR="00655E62" w:rsidRPr="00F45F11">
        <w:t>years’ experience</w:t>
      </w:r>
      <w:r w:rsidRPr="00F45F11">
        <w:t xml:space="preserve"> working in public</w:t>
      </w:r>
      <w:r w:rsidR="0069563C">
        <w:t> </w:t>
      </w:r>
      <w:r w:rsidRPr="00F45F11">
        <w:t xml:space="preserve">policy and system reform across the private sector as well as in multiple </w:t>
      </w:r>
      <w:r w:rsidR="00946879">
        <w:t>f</w:t>
      </w:r>
      <w:r w:rsidRPr="00F45F11">
        <w:t xml:space="preserve">ederal and </w:t>
      </w:r>
      <w:r w:rsidR="00946879">
        <w:t>s</w:t>
      </w:r>
      <w:r w:rsidRPr="00F45F11">
        <w:t xml:space="preserve">tate </w:t>
      </w:r>
      <w:r w:rsidR="00946879">
        <w:t>government</w:t>
      </w:r>
      <w:r w:rsidR="000D61D6">
        <w:t> </w:t>
      </w:r>
      <w:r w:rsidRPr="00F45F11">
        <w:t>departments</w:t>
      </w:r>
      <w:r w:rsidR="00946879">
        <w:t>.</w:t>
      </w:r>
    </w:p>
    <w:p w14:paraId="147F12A9" w14:textId="633501F6" w:rsidR="00BF1A91" w:rsidRPr="00F45F11" w:rsidRDefault="00BF1A91" w:rsidP="00BF1A91">
      <w:pPr>
        <w:pStyle w:val="Heading3"/>
      </w:pPr>
      <w:r w:rsidRPr="00F45F11">
        <w:t>Danny O’Kelly PSM</w:t>
      </w:r>
    </w:p>
    <w:p w14:paraId="69FB9AC2" w14:textId="77777777" w:rsidR="00BF1A91" w:rsidRPr="00F45F11" w:rsidRDefault="00BF1A91" w:rsidP="00BF1A91">
      <w:pPr>
        <w:pStyle w:val="ARBody"/>
        <w:rPr>
          <w:rStyle w:val="Strong"/>
        </w:rPr>
      </w:pPr>
      <w:r w:rsidRPr="00F45F11">
        <w:rPr>
          <w:rStyle w:val="Strong"/>
        </w:rPr>
        <w:t>Deputy Secretary – Community Operations and Practice Leadership</w:t>
      </w:r>
    </w:p>
    <w:p w14:paraId="746CFB9C" w14:textId="025F9A5F" w:rsidR="00BF1A91" w:rsidRPr="00F45F11" w:rsidRDefault="00BF1A91" w:rsidP="00BF1A91">
      <w:pPr>
        <w:pStyle w:val="ARBody"/>
      </w:pPr>
      <w:r w:rsidRPr="00F45F11">
        <w:t>Danny was appointed Deputy Secretary, Community Operations and Practice Leadership in July 2022. Danny has extensive senior leadership experience spanning 30 years in the public sector across Disability, Primary Health, Drug and Alcohol and Family and Community Services. His experience includes roles across rural, metropolitan and statewide service delivery as well as policy functions</w:t>
      </w:r>
      <w:r w:rsidR="00C213F5" w:rsidRPr="00F45F11">
        <w:t> </w:t>
      </w:r>
      <w:r w:rsidRPr="00F45F11">
        <w:t xml:space="preserve">across </w:t>
      </w:r>
      <w:proofErr w:type="gramStart"/>
      <w:r w:rsidRPr="00F45F11">
        <w:t>a number of</w:t>
      </w:r>
      <w:proofErr w:type="gramEnd"/>
      <w:r w:rsidRPr="00F45F11">
        <w:t xml:space="preserve"> program areas. </w:t>
      </w:r>
    </w:p>
    <w:p w14:paraId="1F643524" w14:textId="77777777" w:rsidR="000D61D6" w:rsidRDefault="00BF1A91" w:rsidP="00BF1A91">
      <w:pPr>
        <w:pStyle w:val="ARBody"/>
      </w:pPr>
      <w:r w:rsidRPr="00F45F11">
        <w:t>Danny oversees the delivery of critical services for the Victorian community including child protection, public housing and forensic disability services; and stewards the funded services sector.</w:t>
      </w:r>
      <w:r w:rsidR="005D25CB" w:rsidRPr="00F45F11">
        <w:t xml:space="preserve"> </w:t>
      </w:r>
      <w:r w:rsidRPr="00F45F11">
        <w:t>Danny also provides leadership and oversight for complex change management processes. This includes large</w:t>
      </w:r>
      <w:r w:rsidR="00C213F5" w:rsidRPr="00F45F11">
        <w:t> </w:t>
      </w:r>
      <w:r w:rsidRPr="00F45F11">
        <w:t>systems reform programs and redevelopment initiatives for statewide operational programs.</w:t>
      </w:r>
    </w:p>
    <w:p w14:paraId="006BA2CD" w14:textId="77777777" w:rsidR="00BF1A91" w:rsidRPr="00F45F11" w:rsidRDefault="00BF1A91" w:rsidP="00BF1A91">
      <w:pPr>
        <w:pStyle w:val="Heading3"/>
      </w:pPr>
      <w:r w:rsidRPr="00F45F11">
        <w:t>Kathleen Alonso</w:t>
      </w:r>
    </w:p>
    <w:p w14:paraId="3C513A56" w14:textId="77777777" w:rsidR="00BF1A91" w:rsidRPr="00F45F11" w:rsidRDefault="00BF1A91" w:rsidP="00BF1A91">
      <w:pPr>
        <w:pStyle w:val="ARBody"/>
        <w:rPr>
          <w:rStyle w:val="Strong"/>
        </w:rPr>
      </w:pPr>
      <w:r w:rsidRPr="00F45F11">
        <w:rPr>
          <w:rStyle w:val="Strong"/>
        </w:rPr>
        <w:t>Deputy Secretary – South Division</w:t>
      </w:r>
    </w:p>
    <w:p w14:paraId="7B0A02FB" w14:textId="77777777" w:rsidR="00214C22" w:rsidRDefault="00BF1A91" w:rsidP="00BF1A91">
      <w:pPr>
        <w:pStyle w:val="ARBody"/>
      </w:pPr>
      <w:r w:rsidRPr="00F45F11">
        <w:t>Kathleen was appointed Deputy Secretary South Division in November 2022, following 7 years as an</w:t>
      </w:r>
      <w:r w:rsidR="00C213F5" w:rsidRPr="00F45F11">
        <w:t> </w:t>
      </w:r>
      <w:r w:rsidRPr="00F45F11">
        <w:t>executive director of an operational area. Kathleen has held senior executive roles in operational service delivery and policy across government and the community services sector.</w:t>
      </w:r>
    </w:p>
    <w:p w14:paraId="5CF3CE14" w14:textId="79DABCE3" w:rsidR="00BF1A91" w:rsidRPr="00F45F11" w:rsidRDefault="00214C22" w:rsidP="00BF1A91">
      <w:pPr>
        <w:pStyle w:val="ARBody"/>
      </w:pPr>
      <w:r>
        <w:t>K</w:t>
      </w:r>
      <w:r w:rsidR="00BF1A91" w:rsidRPr="00F45F11">
        <w:t>athleen oversees the service delivery across 4 diverse areas in the South Division (Bayside Peninsula, Southern Melbourne, Inner Gippsland and Outer Gippsland) and stewardship for the broader funded community services sector. Kathleen is deeply passionate about driving meaningful change and delivering better, lasting outcomes for the most vulnerable members of our community.</w:t>
      </w:r>
    </w:p>
    <w:p w14:paraId="1035AE22" w14:textId="77777777" w:rsidR="00BF1A91" w:rsidRPr="00F45F11" w:rsidRDefault="00BF1A91" w:rsidP="00BF1A91">
      <w:pPr>
        <w:pStyle w:val="Heading3"/>
      </w:pPr>
      <w:r w:rsidRPr="00F45F11">
        <w:t>Jen Litsas</w:t>
      </w:r>
    </w:p>
    <w:p w14:paraId="76661229" w14:textId="77777777" w:rsidR="00BF1A91" w:rsidRPr="00F45F11" w:rsidRDefault="00BF1A91" w:rsidP="00BF1A91">
      <w:pPr>
        <w:pStyle w:val="ARBody"/>
        <w:rPr>
          <w:b/>
          <w:bCs/>
        </w:rPr>
      </w:pPr>
      <w:r w:rsidRPr="00F45F11">
        <w:rPr>
          <w:b/>
          <w:bCs/>
        </w:rPr>
        <w:t>Deputy Secretary – North Division</w:t>
      </w:r>
    </w:p>
    <w:p w14:paraId="44D3977F" w14:textId="6B024201" w:rsidR="00BF1A91" w:rsidRPr="00F45F11" w:rsidRDefault="00BF1A91" w:rsidP="00BF1A91">
      <w:pPr>
        <w:pStyle w:val="ARBody"/>
      </w:pPr>
      <w:r w:rsidRPr="00F45F11">
        <w:t xml:space="preserve">Jen was appointed Deputy Secretary East Division in November 2022, before moving into the Deputy Secretary North Division position in September 2025. Jen has held </w:t>
      </w:r>
      <w:proofErr w:type="gramStart"/>
      <w:r w:rsidRPr="00F45F11">
        <w:t>a number of</w:t>
      </w:r>
      <w:proofErr w:type="gramEnd"/>
      <w:r w:rsidRPr="00F45F11">
        <w:t xml:space="preserve"> senior executive roles across the department, including 10 years as an executive director overseeing operational areas. This includes roles in housing and homelessness programs and leading significant reform.</w:t>
      </w:r>
    </w:p>
    <w:p w14:paraId="0467AC7F" w14:textId="77777777" w:rsidR="00BF1A91" w:rsidRPr="00F45F11" w:rsidRDefault="00BF1A91" w:rsidP="00BF1A91">
      <w:pPr>
        <w:pStyle w:val="ARBody"/>
      </w:pPr>
      <w:r w:rsidRPr="00F45F11">
        <w:t>Jen oversees 4 diverse areas in the North Division (</w:t>
      </w:r>
      <w:proofErr w:type="gramStart"/>
      <w:r w:rsidRPr="00F45F11">
        <w:t>North East</w:t>
      </w:r>
      <w:proofErr w:type="gramEnd"/>
      <w:r w:rsidRPr="00F45F11">
        <w:t xml:space="preserve"> Melbourne, Hume–Merri-</w:t>
      </w:r>
      <w:proofErr w:type="spellStart"/>
      <w:r w:rsidRPr="00F45F11">
        <w:t>bek</w:t>
      </w:r>
      <w:proofErr w:type="spellEnd"/>
      <w:r w:rsidRPr="00F45F11">
        <w:t>, Loddon and Mallee) that deliver child protection, housing and other services. The division also provides stewardship for the broader funded community services sector.</w:t>
      </w:r>
    </w:p>
    <w:p w14:paraId="185130F2" w14:textId="77777777" w:rsidR="00BF1A91" w:rsidRPr="00F45F11" w:rsidRDefault="00BF1A91" w:rsidP="00BF1A91">
      <w:pPr>
        <w:pStyle w:val="Heading3"/>
      </w:pPr>
      <w:r w:rsidRPr="00F45F11">
        <w:t>Kelly Stanton PSM</w:t>
      </w:r>
    </w:p>
    <w:p w14:paraId="7DCF7F37" w14:textId="77777777" w:rsidR="00BF1A91" w:rsidRPr="00F45F11" w:rsidRDefault="00BF1A91" w:rsidP="00BF1A91">
      <w:pPr>
        <w:pStyle w:val="ARBody"/>
        <w:rPr>
          <w:b/>
          <w:bCs/>
        </w:rPr>
      </w:pPr>
      <w:r w:rsidRPr="00F45F11">
        <w:rPr>
          <w:b/>
          <w:bCs/>
        </w:rPr>
        <w:t xml:space="preserve">Deputy Secretary – West Division </w:t>
      </w:r>
    </w:p>
    <w:p w14:paraId="1C504FE0" w14:textId="77777777" w:rsidR="00BF1A91" w:rsidRPr="00F45F11" w:rsidRDefault="00BF1A91" w:rsidP="00BF1A91">
      <w:pPr>
        <w:pStyle w:val="ARBody"/>
      </w:pPr>
      <w:r w:rsidRPr="00F45F11">
        <w:t xml:space="preserve">Kelly was appointed Deputy Secretary, West Division, in January 2024. Prior to this, Kelly had held senior executive roles in operational service delivery and policy and program development both in government and the community services sector. </w:t>
      </w:r>
    </w:p>
    <w:p w14:paraId="54380108" w14:textId="527F5739" w:rsidR="00BF1A91" w:rsidRPr="00F45F11" w:rsidRDefault="00BF1A91" w:rsidP="00BF1A91">
      <w:pPr>
        <w:pStyle w:val="ARBody"/>
      </w:pPr>
      <w:r w:rsidRPr="00F45F11">
        <w:t xml:space="preserve">Kelly oversees the service delivery across 5 diverse areas in the West Division (Central Highlands, Western Melbourne, Barwon, </w:t>
      </w:r>
      <w:proofErr w:type="spellStart"/>
      <w:r w:rsidRPr="00F45F11">
        <w:t>Brimbank</w:t>
      </w:r>
      <w:proofErr w:type="spellEnd"/>
      <w:r w:rsidRPr="00F45F11">
        <w:t xml:space="preserve"> Melton, Wimmera </w:t>
      </w:r>
      <w:proofErr w:type="gramStart"/>
      <w:r w:rsidRPr="00F45F11">
        <w:t>South West</w:t>
      </w:r>
      <w:proofErr w:type="gramEnd"/>
      <w:r w:rsidRPr="00F45F11">
        <w:t xml:space="preserve">), providing services including child protection, housing and care services, and stewardship for the broader funded community services sector. </w:t>
      </w:r>
    </w:p>
    <w:p w14:paraId="038C7AAF" w14:textId="77777777" w:rsidR="00BF1A91" w:rsidRPr="00F45F11" w:rsidRDefault="00BF1A91" w:rsidP="00BF1A91">
      <w:pPr>
        <w:pStyle w:val="Heading3"/>
      </w:pPr>
      <w:r w:rsidRPr="00F45F11">
        <w:t>Penelope Steuart</w:t>
      </w:r>
    </w:p>
    <w:p w14:paraId="3F4B38D5" w14:textId="77777777" w:rsidR="00BF1A91" w:rsidRPr="00F45F11" w:rsidRDefault="00BF1A91" w:rsidP="00BF1A91">
      <w:pPr>
        <w:pStyle w:val="ARBody"/>
        <w:rPr>
          <w:b/>
          <w:bCs/>
        </w:rPr>
      </w:pPr>
      <w:r w:rsidRPr="00F45F11">
        <w:rPr>
          <w:b/>
          <w:bCs/>
        </w:rPr>
        <w:t>Deputy Secretary – East Division</w:t>
      </w:r>
    </w:p>
    <w:p w14:paraId="43D01221" w14:textId="77777777" w:rsidR="00BF1A91" w:rsidRPr="00F45F11" w:rsidRDefault="00BF1A91" w:rsidP="00BF1A91">
      <w:pPr>
        <w:pStyle w:val="ARBody"/>
      </w:pPr>
      <w:r w:rsidRPr="00F45F11">
        <w:t>Penelope commenced as Deputy Secretary, East Division on 1 September 2025. This appointment followed 8 years as an executive director of an operational area, and over 30 years in the department mainly in operational service delivery.</w:t>
      </w:r>
      <w:r w:rsidRPr="00F45F11">
        <w:rPr>
          <w:u w:val="single"/>
        </w:rPr>
        <w:t xml:space="preserve"> </w:t>
      </w:r>
      <w:r w:rsidRPr="00F45F11">
        <w:t xml:space="preserve">Penelope has also worked in policy and program development focused on place-based renewal. </w:t>
      </w:r>
    </w:p>
    <w:p w14:paraId="5DE09E06" w14:textId="50EF60D9" w:rsidR="000D61D6" w:rsidRDefault="00BF1A91" w:rsidP="00BF1A91">
      <w:pPr>
        <w:pStyle w:val="ARBody"/>
      </w:pPr>
      <w:r w:rsidRPr="00F45F11">
        <w:t>Penelope oversees 4 areas in the East Division (Inner Eastern Melbourne, Outer Eastern Melbourne, Goulburn and Ovens Murray). These provide services including child protection, housing and care services. The division also provides stewardship for the broader funded community services sector across the areas</w:t>
      </w:r>
    </w:p>
    <w:p w14:paraId="0A634498" w14:textId="77777777" w:rsidR="000D61D6" w:rsidRDefault="000D61D6">
      <w:pPr>
        <w:spacing w:after="0" w:line="240" w:lineRule="auto"/>
        <w:rPr>
          <w:rFonts w:eastAsia="Times"/>
          <w:sz w:val="20"/>
        </w:rPr>
      </w:pPr>
      <w:r>
        <w:br w:type="page"/>
      </w:r>
    </w:p>
    <w:p w14:paraId="31C2FC9A" w14:textId="785D74EA" w:rsidR="003C3616" w:rsidRPr="00F45F11" w:rsidRDefault="003C3616" w:rsidP="00CB63AD">
      <w:pPr>
        <w:pStyle w:val="Heading3"/>
      </w:pPr>
      <w:proofErr w:type="spellStart"/>
      <w:r w:rsidRPr="00F45F11">
        <w:t>Argiri</w:t>
      </w:r>
      <w:proofErr w:type="spellEnd"/>
      <w:r w:rsidRPr="00F45F11">
        <w:t xml:space="preserve"> </w:t>
      </w:r>
      <w:proofErr w:type="spellStart"/>
      <w:r w:rsidRPr="00F45F11">
        <w:t>Alisandratos</w:t>
      </w:r>
      <w:proofErr w:type="spellEnd"/>
      <w:r w:rsidR="00E6608C">
        <w:t xml:space="preserve"> PSM</w:t>
      </w:r>
    </w:p>
    <w:p w14:paraId="20616974" w14:textId="77777777" w:rsidR="003C3616" w:rsidRPr="00F45F11" w:rsidRDefault="003C3616" w:rsidP="003C3616">
      <w:pPr>
        <w:pStyle w:val="ARBody"/>
        <w:rPr>
          <w:rStyle w:val="Strong"/>
        </w:rPr>
      </w:pPr>
      <w:r w:rsidRPr="00F45F11">
        <w:rPr>
          <w:rStyle w:val="Strong"/>
        </w:rPr>
        <w:t>Deputy Secretary – Disability, Fairness and Emergency Management</w:t>
      </w:r>
    </w:p>
    <w:p w14:paraId="541741E2" w14:textId="53F8D133" w:rsidR="003C3616" w:rsidRPr="00F45F11" w:rsidRDefault="003C3616" w:rsidP="003C3616">
      <w:pPr>
        <w:pStyle w:val="ARBody"/>
      </w:pPr>
      <w:proofErr w:type="spellStart"/>
      <w:r w:rsidRPr="00F45F11">
        <w:t>Argiri</w:t>
      </w:r>
      <w:proofErr w:type="spellEnd"/>
      <w:r w:rsidRPr="00F45F11">
        <w:t xml:space="preserve"> is the Deputy Secretary Disability, Fairness and Emergency Management (DFEM) Division. </w:t>
      </w:r>
      <w:proofErr w:type="spellStart"/>
      <w:r w:rsidRPr="00F45F11">
        <w:t>Argiri</w:t>
      </w:r>
      <w:proofErr w:type="spellEnd"/>
      <w:r w:rsidRPr="00F45F11">
        <w:t xml:space="preserve"> has held numerous senior leadership roles over his long career with the department and the Victorian Public Service. This includes significant social service delivery operations, policy and system</w:t>
      </w:r>
      <w:r w:rsidR="0069563C">
        <w:t> </w:t>
      </w:r>
      <w:r w:rsidRPr="00F45F11">
        <w:t xml:space="preserve">reform across many portfolio areas. </w:t>
      </w:r>
    </w:p>
    <w:p w14:paraId="1B476487" w14:textId="51F86358" w:rsidR="003C3616" w:rsidRPr="00F45F11" w:rsidRDefault="003C3616" w:rsidP="003C3616">
      <w:pPr>
        <w:pStyle w:val="ARBody"/>
      </w:pPr>
      <w:r w:rsidRPr="00F45F11">
        <w:t xml:space="preserve">In leading DFEM, </w:t>
      </w:r>
      <w:proofErr w:type="spellStart"/>
      <w:r w:rsidRPr="00F45F11">
        <w:t>Argiri</w:t>
      </w:r>
      <w:proofErr w:type="spellEnd"/>
      <w:r w:rsidRPr="00F45F11">
        <w:t xml:space="preserve"> and the divisional leadership team support 6 Ministers across 7 ministerial portfolios. These focus on policy, programs and</w:t>
      </w:r>
      <w:r w:rsidR="00A17503">
        <w:t> </w:t>
      </w:r>
      <w:r w:rsidRPr="00F45F11">
        <w:t>resourcing many community-based service and</w:t>
      </w:r>
      <w:r w:rsidR="00A17503">
        <w:t> </w:t>
      </w:r>
      <w:r w:rsidRPr="00F45F11">
        <w:t xml:space="preserve">support infrastructures. This work focuses on inclusion, equity and resilience. </w:t>
      </w:r>
    </w:p>
    <w:p w14:paraId="69146B48" w14:textId="77777777" w:rsidR="000D61D6" w:rsidRDefault="003C3616" w:rsidP="003C3616">
      <w:pPr>
        <w:pStyle w:val="ARBody"/>
      </w:pPr>
      <w:r w:rsidRPr="00F45F11">
        <w:t xml:space="preserve">The division spans disability policy, reform and accommodation, complex needs support, women’s and gender equality policy, carers and volunteers, senior Victorians and LGBTIQA+ communities, as well as youth and </w:t>
      </w:r>
      <w:proofErr w:type="gramStart"/>
      <w:r w:rsidRPr="00F45F11">
        <w:t>veterans</w:t>
      </w:r>
      <w:proofErr w:type="gramEnd"/>
      <w:r w:rsidRPr="00F45F11">
        <w:t xml:space="preserve"> policy and programs.</w:t>
      </w:r>
    </w:p>
    <w:p w14:paraId="3F271654" w14:textId="77777777" w:rsidR="00C213F5" w:rsidRPr="00F45F11" w:rsidRDefault="00C213F5" w:rsidP="00C213F5">
      <w:pPr>
        <w:pStyle w:val="Heading3"/>
      </w:pPr>
      <w:r w:rsidRPr="00F45F11">
        <w:t>Dr Melanie Heenan</w:t>
      </w:r>
    </w:p>
    <w:p w14:paraId="599065D0" w14:textId="77777777" w:rsidR="00C213F5" w:rsidRPr="00F45F11" w:rsidRDefault="00C213F5" w:rsidP="00C213F5">
      <w:pPr>
        <w:pStyle w:val="ARBody"/>
        <w:rPr>
          <w:rStyle w:val="Strong"/>
        </w:rPr>
      </w:pPr>
      <w:r w:rsidRPr="00F45F11">
        <w:rPr>
          <w:rStyle w:val="Strong"/>
        </w:rPr>
        <w:t>Deputy Secretary – Family Safety Victoria</w:t>
      </w:r>
    </w:p>
    <w:p w14:paraId="139EB97A" w14:textId="79B9EFD8" w:rsidR="00C213F5" w:rsidRPr="00F45F11" w:rsidRDefault="00C213F5" w:rsidP="00C213F5">
      <w:pPr>
        <w:pStyle w:val="ARBody"/>
      </w:pPr>
      <w:r w:rsidRPr="00F45F11">
        <w:t>Melanie is an established leader with extensive experience in family violence and sexual assault research, policy, program and system reform. This includes leadership roles with the Australian Institute of Family Studies and the Victorian Law Reform Commission. She commenced as Deputy Secretary in September</w:t>
      </w:r>
      <w:r w:rsidR="000D61D6">
        <w:t> </w:t>
      </w:r>
      <w:r w:rsidRPr="00F45F11">
        <w:t>2023.</w:t>
      </w:r>
    </w:p>
    <w:p w14:paraId="37A841F7" w14:textId="77777777" w:rsidR="00214C22" w:rsidRDefault="00C213F5" w:rsidP="00C213F5">
      <w:pPr>
        <w:pStyle w:val="ARBody"/>
      </w:pPr>
      <w:r w:rsidRPr="00F45F11">
        <w:t>Melanie is a Director on the Board of Australia’s National Research Organisation for Women’s Safety</w:t>
      </w:r>
      <w:r w:rsidR="00A17503">
        <w:t> </w:t>
      </w:r>
      <w:r w:rsidRPr="00F45F11">
        <w:t>(ANROWS), as the Victorian jurisdictional representative. She has previously held executive roles with the Department of Justice and Community Safety and Court Network.</w:t>
      </w:r>
    </w:p>
    <w:p w14:paraId="00601C83" w14:textId="16BE4813" w:rsidR="00DB73F3" w:rsidRPr="00F45F11" w:rsidRDefault="00C213F5" w:rsidP="00C213F5">
      <w:pPr>
        <w:pStyle w:val="ARBody"/>
      </w:pPr>
      <w:r w:rsidRPr="00F45F11">
        <w:t>Melanie has also played a lead role in pioneering primary prevention initiatives in collaboration with local</w:t>
      </w:r>
      <w:r w:rsidR="000D61D6">
        <w:t> </w:t>
      </w:r>
      <w:r w:rsidRPr="00F45F11">
        <w:t xml:space="preserve">councils, sporting clubs, workplaces, and schools to address the underlying causes of </w:t>
      </w:r>
      <w:r w:rsidR="00A17503">
        <w:br/>
      </w:r>
      <w:r w:rsidRPr="00F45F11">
        <w:t>gender-based violence.</w:t>
      </w:r>
    </w:p>
    <w:p w14:paraId="1255F32B" w14:textId="77777777" w:rsidR="002E0F36" w:rsidRPr="00F45F11" w:rsidRDefault="002E0F36" w:rsidP="00CB63AD">
      <w:pPr>
        <w:pStyle w:val="Heading3"/>
      </w:pPr>
      <w:r w:rsidRPr="00CB63AD">
        <w:t>Simon</w:t>
      </w:r>
      <w:r w:rsidRPr="00F45F11">
        <w:t xml:space="preserve"> Newport</w:t>
      </w:r>
    </w:p>
    <w:p w14:paraId="065E62A9" w14:textId="77777777" w:rsidR="002E0F36" w:rsidRPr="00F45F11" w:rsidRDefault="002E0F36" w:rsidP="00541B81">
      <w:pPr>
        <w:pStyle w:val="ARBodyafterbullets"/>
        <w:rPr>
          <w:rStyle w:val="Strong"/>
        </w:rPr>
      </w:pPr>
      <w:r w:rsidRPr="00F45F11">
        <w:rPr>
          <w:rStyle w:val="Strong"/>
        </w:rPr>
        <w:t>Chief Executive Officer, Homes Victoria</w:t>
      </w:r>
    </w:p>
    <w:p w14:paraId="6DFB9D0C" w14:textId="77777777" w:rsidR="002E0F36" w:rsidRPr="00F45F11" w:rsidRDefault="002E0F36" w:rsidP="002E0F36">
      <w:pPr>
        <w:pStyle w:val="ARBody"/>
      </w:pPr>
      <w:r w:rsidRPr="00F45F11">
        <w:t>Simon has served as CEO of Homes Victoria since July 2023. He leads Homes Victoria to deliver on its vision of ‘more and better homes for Victorians’.</w:t>
      </w:r>
    </w:p>
    <w:p w14:paraId="68C4C347" w14:textId="4CA7A3F4" w:rsidR="002E0F36" w:rsidRPr="00F45F11" w:rsidRDefault="002E0F36" w:rsidP="002E0F36">
      <w:pPr>
        <w:pStyle w:val="ARBody"/>
      </w:pPr>
      <w:r w:rsidRPr="00F45F11">
        <w:t>In his statutory role, Simon is responsible for the stewardship and funding of Victoria’s social housing and homelessness system. This includes the growth, delivery and maintenance of the government’s social and affordable housing assets, and the policy and program settings for social housing and homelessness support</w:t>
      </w:r>
      <w:r w:rsidR="000D61D6">
        <w:t> </w:t>
      </w:r>
      <w:r w:rsidRPr="00F45F11">
        <w:t>services.</w:t>
      </w:r>
    </w:p>
    <w:p w14:paraId="5F84669D" w14:textId="1446FD75" w:rsidR="002E0F36" w:rsidRPr="00F45F11" w:rsidRDefault="002E0F36" w:rsidP="002E0F36">
      <w:pPr>
        <w:pStyle w:val="ARBody"/>
      </w:pPr>
      <w:r w:rsidRPr="00F45F11">
        <w:t xml:space="preserve">Simon has had an extensive executive career across government and private sectors in housing, construction and manufacturing, including leading Australia’s largest social housing portfolio in </w:t>
      </w:r>
      <w:r w:rsidR="005569AE" w:rsidRPr="00F45F11">
        <w:t>New</w:t>
      </w:r>
      <w:r w:rsidR="000D61D6">
        <w:t> </w:t>
      </w:r>
      <w:r w:rsidR="005569AE" w:rsidRPr="00F45F11">
        <w:t>South</w:t>
      </w:r>
      <w:r w:rsidR="000D61D6">
        <w:t> </w:t>
      </w:r>
      <w:r w:rsidR="005569AE" w:rsidRPr="00F45F11">
        <w:t>Wales</w:t>
      </w:r>
      <w:r w:rsidRPr="00F45F11">
        <w:t>.</w:t>
      </w:r>
    </w:p>
    <w:p w14:paraId="75617D7B" w14:textId="2E420B67" w:rsidR="002E0F36" w:rsidRPr="00F45F11" w:rsidRDefault="002E0F36" w:rsidP="00CB63AD">
      <w:pPr>
        <w:pStyle w:val="Heading3"/>
      </w:pPr>
      <w:r w:rsidRPr="00CB63AD">
        <w:t>Dannii</w:t>
      </w:r>
      <w:r w:rsidRPr="00F45F11">
        <w:t xml:space="preserve"> de Kretser</w:t>
      </w:r>
    </w:p>
    <w:p w14:paraId="3817DFD4" w14:textId="77777777" w:rsidR="002E0F36" w:rsidRPr="00F45F11" w:rsidRDefault="002E0F36" w:rsidP="002E0F36">
      <w:pPr>
        <w:pStyle w:val="ARBody"/>
        <w:rPr>
          <w:rStyle w:val="Strong"/>
        </w:rPr>
      </w:pPr>
      <w:r w:rsidRPr="00F45F11">
        <w:rPr>
          <w:rStyle w:val="Strong"/>
        </w:rPr>
        <w:t>Deputy Chief Executive Officer, Homes Victoria</w:t>
      </w:r>
    </w:p>
    <w:p w14:paraId="06F2A382" w14:textId="54A94E53" w:rsidR="002E0F36" w:rsidRPr="00F45F11" w:rsidRDefault="002E0F36" w:rsidP="00096611">
      <w:pPr>
        <w:pStyle w:val="ARBody"/>
      </w:pPr>
      <w:r w:rsidRPr="00F45F11">
        <w:t>Dannii served as Deputy Chief Executive Officer of</w:t>
      </w:r>
      <w:r w:rsidR="008457AC">
        <w:t> </w:t>
      </w:r>
      <w:r w:rsidRPr="00096611">
        <w:t>Homes</w:t>
      </w:r>
      <w:r w:rsidRPr="00F45F11">
        <w:t xml:space="preserve"> Victoria from July 2023 to October 2025. This role supported the CEO to deliver Homes Victoria’s priorities including policy settings for public housing, homelessness services and the growth and</w:t>
      </w:r>
      <w:r w:rsidR="00A17503">
        <w:t> </w:t>
      </w:r>
      <w:r w:rsidRPr="00F45F11">
        <w:t>stewardship of community housing</w:t>
      </w:r>
    </w:p>
    <w:p w14:paraId="43F0D36F" w14:textId="11962CE9" w:rsidR="0086039B" w:rsidRDefault="002E0F36" w:rsidP="00096611">
      <w:pPr>
        <w:pStyle w:val="ARBody"/>
      </w:pPr>
      <w:r w:rsidRPr="00F45F11">
        <w:t xml:space="preserve">The vacant Deputy CEO </w:t>
      </w:r>
      <w:r w:rsidRPr="00096611">
        <w:t>role</w:t>
      </w:r>
      <w:r w:rsidRPr="00F45F11">
        <w:t xml:space="preserve"> was removed as part of the department’s organisational restructure </w:t>
      </w:r>
      <w:r w:rsidR="00882035">
        <w:t xml:space="preserve">with </w:t>
      </w:r>
      <w:r w:rsidR="00304785">
        <w:t>effect from 1 July 2026</w:t>
      </w:r>
      <w:r w:rsidRPr="00F45F11">
        <w:t>.</w:t>
      </w:r>
    </w:p>
    <w:p w14:paraId="56A56D3C" w14:textId="4C4B8E8A" w:rsidR="0086039B" w:rsidRPr="0086039B" w:rsidRDefault="0086039B" w:rsidP="00CB63AD">
      <w:pPr>
        <w:pStyle w:val="Heading3"/>
        <w:rPr>
          <w:lang w:eastAsia="en-AU"/>
        </w:rPr>
      </w:pPr>
      <w:r w:rsidRPr="0086039B">
        <w:rPr>
          <w:lang w:eastAsia="en-AU"/>
        </w:rPr>
        <w:t xml:space="preserve">Drew </w:t>
      </w:r>
      <w:r w:rsidRPr="00CB63AD">
        <w:t>Warne</w:t>
      </w:r>
      <w:r w:rsidRPr="0086039B">
        <w:rPr>
          <w:lang w:eastAsia="en-AU"/>
        </w:rPr>
        <w:t>-Smith</w:t>
      </w:r>
    </w:p>
    <w:p w14:paraId="235C7CB4" w14:textId="3D23B41F" w:rsidR="0086039B" w:rsidRPr="00E87DD2" w:rsidRDefault="0086039B" w:rsidP="00543B07">
      <w:pPr>
        <w:pStyle w:val="ARfinbody"/>
        <w:rPr>
          <w:b/>
          <w:bCs/>
          <w:sz w:val="20"/>
        </w:rPr>
      </w:pPr>
      <w:r w:rsidRPr="00E87DD2">
        <w:rPr>
          <w:b/>
          <w:bCs/>
          <w:sz w:val="20"/>
        </w:rPr>
        <w:t>Deputy Secretary – Corporate and</w:t>
      </w:r>
      <w:r w:rsidR="00A17503">
        <w:rPr>
          <w:b/>
          <w:bCs/>
          <w:sz w:val="20"/>
        </w:rPr>
        <w:t> </w:t>
      </w:r>
      <w:r w:rsidRPr="00E87DD2">
        <w:rPr>
          <w:b/>
          <w:bCs/>
          <w:sz w:val="20"/>
        </w:rPr>
        <w:t>Delivery</w:t>
      </w:r>
      <w:r w:rsidR="00D345A1">
        <w:rPr>
          <w:b/>
          <w:bCs/>
          <w:sz w:val="20"/>
        </w:rPr>
        <w:t> </w:t>
      </w:r>
      <w:r w:rsidRPr="00E87DD2">
        <w:rPr>
          <w:b/>
          <w:bCs/>
          <w:sz w:val="20"/>
        </w:rPr>
        <w:t>Services</w:t>
      </w:r>
    </w:p>
    <w:p w14:paraId="1E1A766F" w14:textId="77777777" w:rsidR="00D345A1" w:rsidRDefault="0086039B" w:rsidP="00096611">
      <w:pPr>
        <w:pStyle w:val="ARBody"/>
      </w:pPr>
      <w:r w:rsidRPr="0086039B">
        <w:t>Drew has been in the role of Deputy Secretary, Corporate and Delivery Services since August 2025. In this role he oversees the delivery of key corporate and enabling services across the department and in support of ministerial offices. This includes finance, people and culture, legal services, information technology, shared services, accommodation, Cabinet and executive services.</w:t>
      </w:r>
    </w:p>
    <w:p w14:paraId="6B76EC40" w14:textId="7DA46FA6" w:rsidR="0086039B" w:rsidRPr="0086039B" w:rsidRDefault="0086039B" w:rsidP="00655E62">
      <w:pPr>
        <w:pStyle w:val="ARBody"/>
      </w:pPr>
      <w:r w:rsidRPr="0086039B">
        <w:t>A former journalist with broad experience across the</w:t>
      </w:r>
      <w:r w:rsidR="00A17503">
        <w:t> </w:t>
      </w:r>
      <w:r w:rsidRPr="0086039B">
        <w:t>public and private sectors, Drew is practised in corporate affairs, public policy, service design and</w:t>
      </w:r>
      <w:r w:rsidR="00A17503">
        <w:t> </w:t>
      </w:r>
      <w:r w:rsidRPr="0086039B">
        <w:t>operations, budget and reform strategy, stakeholder engagement and media and communications.</w:t>
      </w:r>
    </w:p>
    <w:p w14:paraId="4C52376E" w14:textId="77777777" w:rsidR="0086039B" w:rsidRPr="0086039B" w:rsidRDefault="0086039B" w:rsidP="00655E62">
      <w:pPr>
        <w:pStyle w:val="ARBody"/>
      </w:pPr>
      <w:r w:rsidRPr="0086039B">
        <w:t xml:space="preserve">Prior to August 2025, Nicola Quin was Deputy Secretary of Corporate and Delivery Services. </w:t>
      </w:r>
    </w:p>
    <w:p w14:paraId="712AB80D" w14:textId="7B53D295" w:rsidR="007F3425" w:rsidRPr="00F45F11" w:rsidRDefault="007F3425" w:rsidP="00CB63AD">
      <w:pPr>
        <w:pStyle w:val="Heading3"/>
      </w:pPr>
      <w:r w:rsidRPr="00F45F11">
        <w:t xml:space="preserve">Ben </w:t>
      </w:r>
      <w:r w:rsidRPr="00CB63AD">
        <w:t>Richardson</w:t>
      </w:r>
    </w:p>
    <w:p w14:paraId="0EE3BC18" w14:textId="77777777" w:rsidR="007F3425" w:rsidRPr="00F45F11" w:rsidRDefault="007F3425" w:rsidP="007F3425">
      <w:pPr>
        <w:pStyle w:val="ARBody"/>
        <w:rPr>
          <w:rStyle w:val="Strong"/>
        </w:rPr>
      </w:pPr>
      <w:r w:rsidRPr="00F45F11">
        <w:rPr>
          <w:rStyle w:val="Strong"/>
        </w:rPr>
        <w:t xml:space="preserve">Acting Deputy Secretary – System Reform, Workforce and Engagement </w:t>
      </w:r>
    </w:p>
    <w:p w14:paraId="51B39173" w14:textId="28286965" w:rsidR="007F3425" w:rsidRPr="00F45F11" w:rsidRDefault="007F3425" w:rsidP="00096611">
      <w:pPr>
        <w:pStyle w:val="ARBody"/>
      </w:pPr>
      <w:r w:rsidRPr="00F45F11">
        <w:t>Ben Richardson acted as Deputy Secretary for the System Reform, Workforce and Engagement (SRWE) division from July 2025.</w:t>
      </w:r>
    </w:p>
    <w:p w14:paraId="70DFD379" w14:textId="5FADEE92" w:rsidR="007F3425" w:rsidRPr="00F45F11" w:rsidRDefault="007F3425" w:rsidP="007F3425">
      <w:pPr>
        <w:pStyle w:val="ARBody"/>
      </w:pPr>
      <w:r w:rsidRPr="00F45F11">
        <w:t>The division brought together cross-cutting functions</w:t>
      </w:r>
      <w:r w:rsidR="008457AC">
        <w:t> </w:t>
      </w:r>
      <w:r w:rsidRPr="00F45F11">
        <w:t>to drive system improvements.</w:t>
      </w:r>
    </w:p>
    <w:p w14:paraId="55C0BBF9" w14:textId="0C70E0BF" w:rsidR="007F3425" w:rsidRPr="00F45F11" w:rsidRDefault="007F3425" w:rsidP="007F3425">
      <w:pPr>
        <w:pStyle w:val="ARBody"/>
      </w:pPr>
      <w:r w:rsidRPr="00F45F11">
        <w:t>Under Ben’s leadership, the division led work on</w:t>
      </w:r>
      <w:r w:rsidR="0069563C">
        <w:t> </w:t>
      </w:r>
      <w:r w:rsidRPr="00F45F11">
        <w:t>cross-portfolio reform and program design, undertook performance monitoring, analytic services and evaluations and progressed regulatory reform.</w:t>
      </w:r>
    </w:p>
    <w:p w14:paraId="6A14AAC1" w14:textId="3BD842BC" w:rsidR="007F3425" w:rsidRPr="00F45F11" w:rsidRDefault="007F3425" w:rsidP="007F3425">
      <w:pPr>
        <w:pStyle w:val="ARBody"/>
      </w:pPr>
      <w:r w:rsidRPr="00F45F11">
        <w:t>The division strengthened the supply, retention and development of community sector workforces and delivered communication services as the custodian of the department’s story, brand and reputation.</w:t>
      </w:r>
    </w:p>
    <w:p w14:paraId="79A8A8A6" w14:textId="06FDEF19" w:rsidR="00557C11" w:rsidRPr="00F45F11" w:rsidRDefault="007F3425" w:rsidP="00497062">
      <w:pPr>
        <w:pStyle w:val="ARBody"/>
      </w:pPr>
      <w:r w:rsidRPr="00F45F11">
        <w:t>The division was dissolved on 1 July 2026 as part of a new organisational structure</w:t>
      </w:r>
      <w:r w:rsidR="00C422B6">
        <w:t>,</w:t>
      </w:r>
      <w:r w:rsidRPr="00F45F11">
        <w:t xml:space="preserve"> with a range of SRWE functions transferred to other areas of the department.</w:t>
      </w:r>
    </w:p>
    <w:p w14:paraId="5A23C38A" w14:textId="77777777" w:rsidR="00557C11" w:rsidRPr="00F45F11" w:rsidRDefault="00557C11" w:rsidP="00497062">
      <w:pPr>
        <w:pStyle w:val="ARBody"/>
        <w:sectPr w:rsidR="00557C11" w:rsidRPr="00F45F11" w:rsidSect="00E7077C">
          <w:headerReference w:type="even" r:id="rId40"/>
          <w:headerReference w:type="default" r:id="rId41"/>
          <w:headerReference w:type="first" r:id="rId42"/>
          <w:type w:val="continuous"/>
          <w:pgSz w:w="11906" w:h="16838" w:code="9"/>
          <w:pgMar w:top="1588" w:right="1134" w:bottom="851" w:left="1134" w:header="680" w:footer="567" w:gutter="0"/>
          <w:cols w:space="340"/>
          <w:docGrid w:linePitch="360"/>
        </w:sectPr>
      </w:pPr>
    </w:p>
    <w:p w14:paraId="48A20442" w14:textId="4AF830D6" w:rsidR="00DE6876" w:rsidRDefault="00DE6876" w:rsidP="00EA4AEF">
      <w:pPr>
        <w:pStyle w:val="Heading2"/>
        <w:spacing w:before="0"/>
        <w:rPr>
          <w:rFonts w:eastAsia="Times"/>
        </w:rPr>
      </w:pPr>
      <w:bookmarkStart w:id="40" w:name="_Organisational_structure_as"/>
      <w:bookmarkStart w:id="41" w:name="_Toc241131691"/>
      <w:bookmarkStart w:id="42" w:name="_Toc82006195"/>
      <w:bookmarkStart w:id="43" w:name="_Toc114491188"/>
      <w:bookmarkEnd w:id="40"/>
      <w:r>
        <w:t xml:space="preserve">Organisational structure as </w:t>
      </w:r>
      <w:proofErr w:type="gramStart"/>
      <w:r>
        <w:t>at</w:t>
      </w:r>
      <w:proofErr w:type="gramEnd"/>
      <w:r>
        <w:t xml:space="preserve"> 30 June 2026</w:t>
      </w:r>
      <w:bookmarkEnd w:id="41"/>
    </w:p>
    <w:p w14:paraId="7532733D" w14:textId="350631B7" w:rsidR="00DE6876" w:rsidRDefault="0069563C" w:rsidP="00DE6876">
      <w:pPr>
        <w:pStyle w:val="ARBody"/>
      </w:pPr>
      <w:r>
        <w:rPr>
          <w:noProof/>
        </w:rPr>
        <w:drawing>
          <wp:inline distT="0" distB="0" distL="0" distR="0" wp14:anchorId="49AE0708" wp14:editId="35ABBDDB">
            <wp:extent cx="9263691" cy="4898265"/>
            <wp:effectExtent l="0" t="0" r="0" b="0"/>
            <wp:docPr id="66079113" name="Picture 10" descr="Organisational structure as at 30 June 2026 P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9113" name="Picture 10" descr="Organisational structure as at 30 June 2026 Part 1"/>
                    <pic:cNvPicPr/>
                  </pic:nvPicPr>
                  <pic:blipFill rotWithShape="1">
                    <a:blip r:embed="rId43" cstate="screen">
                      <a:extLst>
                        <a:ext uri="{28A0092B-C50C-407E-A947-70E740481C1C}">
                          <a14:useLocalDpi xmlns:a14="http://schemas.microsoft.com/office/drawing/2010/main"/>
                        </a:ext>
                      </a:extLst>
                    </a:blip>
                    <a:srcRect/>
                    <a:stretch>
                      <a:fillRect/>
                    </a:stretch>
                  </pic:blipFill>
                  <pic:spPr bwMode="auto">
                    <a:xfrm>
                      <a:off x="0" y="0"/>
                      <a:ext cx="9271486" cy="4902386"/>
                    </a:xfrm>
                    <a:prstGeom prst="rect">
                      <a:avLst/>
                    </a:prstGeom>
                    <a:ln>
                      <a:noFill/>
                    </a:ln>
                    <a:extLst>
                      <a:ext uri="{53640926-AAD7-44D8-BBD7-CCE9431645EC}">
                        <a14:shadowObscured xmlns:a14="http://schemas.microsoft.com/office/drawing/2010/main"/>
                      </a:ext>
                    </a:extLst>
                  </pic:spPr>
                </pic:pic>
              </a:graphicData>
            </a:graphic>
          </wp:inline>
        </w:drawing>
      </w:r>
    </w:p>
    <w:p w14:paraId="743038EB" w14:textId="569344B7" w:rsidR="00DE6876" w:rsidRDefault="00DE6876" w:rsidP="00DE6876">
      <w:pPr>
        <w:pStyle w:val="ARBody"/>
      </w:pPr>
      <w:r>
        <w:rPr>
          <w:noProof/>
        </w:rPr>
        <w:drawing>
          <wp:inline distT="0" distB="0" distL="0" distR="0" wp14:anchorId="40AF75B2" wp14:editId="189F47E3">
            <wp:extent cx="9322753" cy="5782219"/>
            <wp:effectExtent l="0" t="0" r="0" b="9525"/>
            <wp:docPr id="1526589836" name="Picture 10" descr="Organisational structure as at 30 June 2026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589836" name="Picture 10" descr="Organisational structure as at 30 June 2026 Part 2"/>
                    <pic:cNvPicPr/>
                  </pic:nvPicPr>
                  <pic:blipFill rotWithShape="1">
                    <a:blip r:embed="rId44" cstate="screen">
                      <a:extLst>
                        <a:ext uri="{28A0092B-C50C-407E-A947-70E740481C1C}">
                          <a14:useLocalDpi xmlns:a14="http://schemas.microsoft.com/office/drawing/2010/main"/>
                        </a:ext>
                      </a:extLst>
                    </a:blip>
                    <a:srcRect/>
                    <a:stretch>
                      <a:fillRect/>
                    </a:stretch>
                  </pic:blipFill>
                  <pic:spPr bwMode="auto">
                    <a:xfrm>
                      <a:off x="0" y="0"/>
                      <a:ext cx="9324000" cy="5782992"/>
                    </a:xfrm>
                    <a:prstGeom prst="rect">
                      <a:avLst/>
                    </a:prstGeom>
                    <a:ln>
                      <a:noFill/>
                    </a:ln>
                    <a:extLst>
                      <a:ext uri="{53640926-AAD7-44D8-BBD7-CCE9431645EC}">
                        <a14:shadowObscured xmlns:a14="http://schemas.microsoft.com/office/drawing/2010/main"/>
                      </a:ext>
                    </a:extLst>
                  </pic:spPr>
                </pic:pic>
              </a:graphicData>
            </a:graphic>
          </wp:inline>
        </w:drawing>
      </w:r>
    </w:p>
    <w:p w14:paraId="5FACDBC0" w14:textId="77777777" w:rsidR="00DE6876" w:rsidRPr="00DE6876" w:rsidRDefault="00DE6876" w:rsidP="00DE6876">
      <w:pPr>
        <w:pStyle w:val="ARBody"/>
        <w:sectPr w:rsidR="00DE6876" w:rsidRPr="00DE6876" w:rsidSect="00E7077C">
          <w:pgSz w:w="16838" w:h="11906" w:orient="landscape" w:code="9"/>
          <w:pgMar w:top="1588" w:right="1134" w:bottom="851" w:left="1134" w:header="680" w:footer="567" w:gutter="0"/>
          <w:cols w:space="340"/>
          <w:docGrid w:linePitch="360"/>
        </w:sectPr>
      </w:pPr>
    </w:p>
    <w:p w14:paraId="45E1F07E" w14:textId="07D3E6B5" w:rsidR="000D61D6" w:rsidRPr="000D61D6" w:rsidRDefault="00557C11" w:rsidP="000D61D6">
      <w:pPr>
        <w:pStyle w:val="Heading2"/>
        <w:spacing w:before="0"/>
        <w:rPr>
          <w:rFonts w:eastAsia="Times"/>
        </w:rPr>
      </w:pPr>
      <w:bookmarkStart w:id="44" w:name="_Toc241131692"/>
      <w:r w:rsidRPr="00F45F11">
        <w:rPr>
          <w:rFonts w:eastAsia="Times"/>
        </w:rPr>
        <w:t>Committee structure</w:t>
      </w:r>
      <w:bookmarkEnd w:id="42"/>
      <w:bookmarkEnd w:id="43"/>
      <w:bookmarkEnd w:id="44"/>
    </w:p>
    <w:p w14:paraId="59EC8742" w14:textId="77777777" w:rsidR="00557C11" w:rsidRPr="00F45F11" w:rsidRDefault="00557C11" w:rsidP="00557C11">
      <w:pPr>
        <w:pStyle w:val="Heading3"/>
      </w:pPr>
      <w:r w:rsidRPr="00F45F11">
        <w:t>Executive Directions Board</w:t>
      </w:r>
    </w:p>
    <w:p w14:paraId="620DC24C" w14:textId="737E9BFD" w:rsidR="00557C11" w:rsidRPr="00F45F11" w:rsidRDefault="00557C11" w:rsidP="00D345A1">
      <w:pPr>
        <w:pStyle w:val="ARBody"/>
        <w:spacing w:line="240" w:lineRule="atLeast"/>
      </w:pPr>
      <w:r w:rsidRPr="00F45F11">
        <w:t>The Executive Directions Board supports the Secretary in providing whole-of-department oversight and direction on the department’s strategy. This includes forward planning and priority-setting for policy, program and service delivery, culture and</w:t>
      </w:r>
      <w:r w:rsidR="00A17503">
        <w:t> </w:t>
      </w:r>
      <w:r w:rsidRPr="00F45F11">
        <w:t>workforce management, budget strategy and prioritisation, integration of Aboriginal agency, control and self-governance, and stewardship of</w:t>
      </w:r>
      <w:r w:rsidR="005F0E06">
        <w:t> </w:t>
      </w:r>
      <w:r w:rsidRPr="00F45F11">
        <w:t>the</w:t>
      </w:r>
      <w:r w:rsidR="005F0E06">
        <w:t> </w:t>
      </w:r>
      <w:r w:rsidRPr="00F45F11">
        <w:t>department’s brand and integrity.</w:t>
      </w:r>
    </w:p>
    <w:p w14:paraId="44E3B6D9" w14:textId="77777777" w:rsidR="00557C11" w:rsidRPr="00F45F11" w:rsidRDefault="00557C11" w:rsidP="00D345A1">
      <w:pPr>
        <w:pStyle w:val="ARBody"/>
        <w:spacing w:line="240" w:lineRule="atLeast"/>
      </w:pPr>
      <w:r w:rsidRPr="00F45F11">
        <w:t>The Executive Board comprises the Secretary, all Deputy Secretaries, Homes Victoria Chief Executive Officer and the Chief Practitioner.</w:t>
      </w:r>
    </w:p>
    <w:p w14:paraId="6EEA897B" w14:textId="77777777" w:rsidR="00557C11" w:rsidRPr="00F45F11" w:rsidRDefault="00557C11" w:rsidP="00557C11">
      <w:pPr>
        <w:pStyle w:val="Heading3"/>
      </w:pPr>
      <w:r w:rsidRPr="00F45F11">
        <w:t>Board of Management</w:t>
      </w:r>
    </w:p>
    <w:p w14:paraId="36A92E0B" w14:textId="1448EC5F" w:rsidR="00557C11" w:rsidRPr="00F45F11" w:rsidRDefault="00557C11" w:rsidP="00D345A1">
      <w:pPr>
        <w:pStyle w:val="ARBody"/>
        <w:spacing w:line="240" w:lineRule="atLeast"/>
      </w:pPr>
      <w:r w:rsidRPr="00F45F11">
        <w:t>The Board of Management supports the Secretary in</w:t>
      </w:r>
      <w:r w:rsidR="00A17503">
        <w:t> </w:t>
      </w:r>
      <w:r w:rsidRPr="00F45F11">
        <w:t>providing whole-of-department oversight and direction on the department’s governance, people and culture, budget and financial management, performance monitoring, critical risk management and compliance, including relating to financial, legislative and regulatory</w:t>
      </w:r>
      <w:r w:rsidR="000D61D6">
        <w:t> </w:t>
      </w:r>
      <w:r w:rsidRPr="00F45F11">
        <w:t>obligations.</w:t>
      </w:r>
    </w:p>
    <w:p w14:paraId="1358274D" w14:textId="509EF45E" w:rsidR="00557C11" w:rsidRPr="00F45F11" w:rsidRDefault="00557C11" w:rsidP="00D345A1">
      <w:pPr>
        <w:pStyle w:val="ARBody"/>
        <w:spacing w:line="240" w:lineRule="atLeast"/>
      </w:pPr>
      <w:r w:rsidRPr="00F45F11">
        <w:t>The Board of Management comprises the Secretary, Deputy Secretaries and Chief Executive Officer Homes Victoria. The Board is supported by a range</w:t>
      </w:r>
      <w:r w:rsidR="00361CEC">
        <w:t> </w:t>
      </w:r>
      <w:r w:rsidRPr="00F45F11">
        <w:t>of committees to drive the organisation’s governance and strategic direction.</w:t>
      </w:r>
    </w:p>
    <w:p w14:paraId="37E87D81" w14:textId="77777777" w:rsidR="00557C11" w:rsidRPr="00F45F11" w:rsidRDefault="00557C11" w:rsidP="00557C11">
      <w:pPr>
        <w:pStyle w:val="Heading3"/>
      </w:pPr>
      <w:r w:rsidRPr="00F45F11">
        <w:t>Subcommittees</w:t>
      </w:r>
    </w:p>
    <w:p w14:paraId="6D23911B" w14:textId="392FB30E" w:rsidR="00557C11" w:rsidRPr="00F45F11" w:rsidRDefault="00856613" w:rsidP="00557C11">
      <w:pPr>
        <w:pStyle w:val="Heading4"/>
      </w:pPr>
      <w:r>
        <w:t xml:space="preserve">First </w:t>
      </w:r>
      <w:r w:rsidR="00557C11" w:rsidRPr="00F45F11">
        <w:t>People’s Self-determination and Oversight Committee</w:t>
      </w:r>
    </w:p>
    <w:p w14:paraId="0882B172" w14:textId="77777777" w:rsidR="00557C11" w:rsidRPr="00F45F11" w:rsidRDefault="00557C11" w:rsidP="00DE6876">
      <w:pPr>
        <w:pStyle w:val="ARBody"/>
        <w:spacing w:line="240" w:lineRule="atLeast"/>
      </w:pPr>
      <w:r w:rsidRPr="00F45F11">
        <w:t xml:space="preserve">This committee provides oversight, strategic direction, and advice on the department’s responses to the </w:t>
      </w:r>
      <w:proofErr w:type="spellStart"/>
      <w:r w:rsidRPr="00F45F11">
        <w:t>Yoorrook</w:t>
      </w:r>
      <w:proofErr w:type="spellEnd"/>
      <w:r w:rsidRPr="00F45F11">
        <w:t xml:space="preserve"> Justice Commission, Closing the Gap and work to support the Treaty process.</w:t>
      </w:r>
    </w:p>
    <w:p w14:paraId="18DE26FA" w14:textId="77777777" w:rsidR="00557C11" w:rsidRPr="00F45F11" w:rsidRDefault="00557C11" w:rsidP="00557C11">
      <w:pPr>
        <w:pStyle w:val="Heading4"/>
      </w:pPr>
      <w:r w:rsidRPr="00F45F11">
        <w:t>Budget and Financial Management</w:t>
      </w:r>
    </w:p>
    <w:p w14:paraId="1D8A0004" w14:textId="260566FB" w:rsidR="00557C11" w:rsidRPr="00F45F11" w:rsidRDefault="00557C11" w:rsidP="00DE6876">
      <w:pPr>
        <w:pStyle w:val="ARBody"/>
        <w:spacing w:line="240" w:lineRule="atLeast"/>
      </w:pPr>
      <w:r w:rsidRPr="00F45F11">
        <w:t>This committee provides oversight, direction and advice on the department’s budget and financial management and reporting, strategic allocation of</w:t>
      </w:r>
      <w:r w:rsidR="00361CEC">
        <w:t> </w:t>
      </w:r>
      <w:r w:rsidRPr="00F45F11">
        <w:t>financial resources, and strategies to improve financial sustainability, to ensure the department complies with financial accountability requirements.</w:t>
      </w:r>
    </w:p>
    <w:p w14:paraId="522F5FF6" w14:textId="77777777" w:rsidR="00557C11" w:rsidRPr="00F45F11" w:rsidRDefault="00557C11" w:rsidP="00557C11">
      <w:pPr>
        <w:pStyle w:val="Heading4"/>
      </w:pPr>
      <w:r w:rsidRPr="00F45F11">
        <w:t>Information and Communications Technology (ICT)</w:t>
      </w:r>
    </w:p>
    <w:p w14:paraId="7E813748" w14:textId="77777777" w:rsidR="00557C11" w:rsidRPr="00F45F11" w:rsidRDefault="00557C11" w:rsidP="00DE6876">
      <w:pPr>
        <w:pStyle w:val="ARBody"/>
        <w:spacing w:line="240" w:lineRule="atLeast"/>
      </w:pPr>
      <w:r w:rsidRPr="00F45F11">
        <w:t>Provides oversight, direction and advice on the department’s technology strategy, investment, performance and risks.</w:t>
      </w:r>
    </w:p>
    <w:p w14:paraId="3E32B9F8" w14:textId="77777777" w:rsidR="00557C11" w:rsidRPr="00F45F11" w:rsidRDefault="00557C11" w:rsidP="00557C11">
      <w:pPr>
        <w:pStyle w:val="Heading4"/>
      </w:pPr>
      <w:r w:rsidRPr="00F45F11">
        <w:t>Operational Strategy and Performance</w:t>
      </w:r>
    </w:p>
    <w:p w14:paraId="3B153FD4" w14:textId="688720A5" w:rsidR="00557C11" w:rsidRPr="00F45F11" w:rsidRDefault="00557C11" w:rsidP="00DE6876">
      <w:pPr>
        <w:pStyle w:val="ARBody"/>
        <w:spacing w:line="240" w:lineRule="atLeast"/>
      </w:pPr>
      <w:r w:rsidRPr="00F45F11">
        <w:t>This committee provides oversight, direction and advice on the department’s operational strategy, workforce and operating models, and performance and delivery against critical objectives and targets. This includes meeting service delivery requirements and regulations, improving service and system integration, and addressing recommendations from</w:t>
      </w:r>
      <w:r w:rsidR="00361CEC">
        <w:t> </w:t>
      </w:r>
      <w:r w:rsidRPr="00F45F11">
        <w:t>oversight bodies.</w:t>
      </w:r>
    </w:p>
    <w:p w14:paraId="393E6E99" w14:textId="77777777" w:rsidR="00557C11" w:rsidRPr="00F45F11" w:rsidRDefault="00557C11" w:rsidP="00557C11">
      <w:pPr>
        <w:pStyle w:val="Heading3"/>
      </w:pPr>
      <w:r w:rsidRPr="00F45F11">
        <w:t>Statutory committees</w:t>
      </w:r>
    </w:p>
    <w:p w14:paraId="2B25C178" w14:textId="77777777" w:rsidR="00557C11" w:rsidRPr="00F45F11" w:rsidRDefault="00557C11" w:rsidP="00557C11">
      <w:pPr>
        <w:pStyle w:val="Heading4"/>
      </w:pPr>
      <w:r w:rsidRPr="00F45F11">
        <w:t>Audit and Risk Management</w:t>
      </w:r>
    </w:p>
    <w:p w14:paraId="627BE2EC" w14:textId="77777777" w:rsidR="00557C11" w:rsidRPr="00F45F11" w:rsidRDefault="00557C11" w:rsidP="00DE6876">
      <w:pPr>
        <w:pStyle w:val="ARbodybeforetable"/>
        <w:spacing w:line="240" w:lineRule="atLeast"/>
      </w:pPr>
      <w:r w:rsidRPr="00F45F11">
        <w:t>The Audit and Risk Management Committee consists of the following members:</w:t>
      </w:r>
    </w:p>
    <w:tbl>
      <w:tblPr>
        <w:tblStyle w:val="ARtable1"/>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418"/>
        <w:gridCol w:w="3161"/>
      </w:tblGrid>
      <w:tr w:rsidR="00557C11" w:rsidRPr="00F45F11" w14:paraId="72C7D5CB" w14:textId="77777777" w:rsidTr="00DE6876">
        <w:trPr>
          <w:cnfStyle w:val="100000000000" w:firstRow="1" w:lastRow="0" w:firstColumn="0" w:lastColumn="0" w:oddVBand="0" w:evenVBand="0" w:oddHBand="0" w:evenHBand="0" w:firstRowFirstColumn="0" w:firstRowLastColumn="0" w:lastRowFirstColumn="0" w:lastRowLastColumn="0"/>
          <w:trHeight w:val="57"/>
          <w:tblHeader/>
        </w:trPr>
        <w:tc>
          <w:tcPr>
            <w:tcW w:w="1418" w:type="dxa"/>
            <w:tcBorders>
              <w:left w:val="none" w:sz="0" w:space="0" w:color="auto"/>
              <w:bottom w:val="none" w:sz="0" w:space="0" w:color="auto"/>
              <w:right w:val="none" w:sz="0" w:space="0" w:color="auto"/>
            </w:tcBorders>
            <w:hideMark/>
          </w:tcPr>
          <w:p w14:paraId="45BD58C4" w14:textId="77777777" w:rsidR="00557C11" w:rsidRPr="00F45F11" w:rsidRDefault="00557C11" w:rsidP="00434684">
            <w:pPr>
              <w:pStyle w:val="ARTabletext"/>
              <w:rPr>
                <w:rFonts w:eastAsia="Times"/>
              </w:rPr>
            </w:pPr>
            <w:r w:rsidRPr="00F45F11">
              <w:rPr>
                <w:rFonts w:eastAsia="Times"/>
              </w:rPr>
              <w:t>L. Gardiner</w:t>
            </w:r>
          </w:p>
        </w:tc>
        <w:tc>
          <w:tcPr>
            <w:tcW w:w="3161" w:type="dxa"/>
            <w:tcBorders>
              <w:left w:val="none" w:sz="0" w:space="0" w:color="auto"/>
              <w:bottom w:val="none" w:sz="0" w:space="0" w:color="auto"/>
              <w:right w:val="none" w:sz="0" w:space="0" w:color="auto"/>
            </w:tcBorders>
            <w:hideMark/>
          </w:tcPr>
          <w:p w14:paraId="0C0339AA" w14:textId="77777777" w:rsidR="00557C11" w:rsidRPr="00F45F11" w:rsidRDefault="00557C11" w:rsidP="00434684">
            <w:pPr>
              <w:pStyle w:val="ARTabletext"/>
              <w:rPr>
                <w:rFonts w:eastAsia="Times"/>
                <w:b/>
              </w:rPr>
            </w:pPr>
            <w:r w:rsidRPr="00F45F11">
              <w:rPr>
                <w:rFonts w:eastAsia="Times"/>
              </w:rPr>
              <w:t>Independent member</w:t>
            </w:r>
          </w:p>
        </w:tc>
      </w:tr>
      <w:tr w:rsidR="00557C11" w:rsidRPr="00F45F11" w14:paraId="60CB8530" w14:textId="77777777" w:rsidTr="00DE6876">
        <w:trPr>
          <w:cnfStyle w:val="100000000000" w:firstRow="1" w:lastRow="0" w:firstColumn="0" w:lastColumn="0" w:oddVBand="0" w:evenVBand="0" w:oddHBand="0" w:evenHBand="0" w:firstRowFirstColumn="0" w:firstRowLastColumn="0" w:lastRowFirstColumn="0" w:lastRowLastColumn="0"/>
          <w:trHeight w:val="57"/>
          <w:tblHeader/>
        </w:trPr>
        <w:tc>
          <w:tcPr>
            <w:tcW w:w="1418" w:type="dxa"/>
            <w:tcBorders>
              <w:top w:val="none" w:sz="0" w:space="0" w:color="auto"/>
              <w:left w:val="none" w:sz="0" w:space="0" w:color="auto"/>
              <w:bottom w:val="none" w:sz="0" w:space="0" w:color="auto"/>
              <w:right w:val="none" w:sz="0" w:space="0" w:color="auto"/>
            </w:tcBorders>
            <w:hideMark/>
          </w:tcPr>
          <w:p w14:paraId="7761BEEF" w14:textId="77777777" w:rsidR="00557C11" w:rsidRPr="00F45F11" w:rsidRDefault="00557C11" w:rsidP="00434684">
            <w:pPr>
              <w:pStyle w:val="ARTabletext"/>
              <w:rPr>
                <w:rFonts w:eastAsia="Times"/>
              </w:rPr>
            </w:pPr>
            <w:r w:rsidRPr="00F45F11">
              <w:rPr>
                <w:rFonts w:eastAsia="Times"/>
              </w:rPr>
              <w:t>K. Peach</w:t>
            </w:r>
          </w:p>
        </w:tc>
        <w:tc>
          <w:tcPr>
            <w:tcW w:w="3161" w:type="dxa"/>
            <w:tcBorders>
              <w:top w:val="none" w:sz="0" w:space="0" w:color="auto"/>
              <w:left w:val="none" w:sz="0" w:space="0" w:color="auto"/>
              <w:bottom w:val="none" w:sz="0" w:space="0" w:color="auto"/>
              <w:right w:val="none" w:sz="0" w:space="0" w:color="auto"/>
            </w:tcBorders>
            <w:hideMark/>
          </w:tcPr>
          <w:p w14:paraId="7BE6D021" w14:textId="77777777" w:rsidR="00557C11" w:rsidRPr="00F45F11" w:rsidRDefault="00557C11" w:rsidP="00434684">
            <w:pPr>
              <w:pStyle w:val="ARTabletext"/>
              <w:rPr>
                <w:rFonts w:eastAsia="Times"/>
              </w:rPr>
            </w:pPr>
            <w:r w:rsidRPr="00F45F11">
              <w:rPr>
                <w:rFonts w:eastAsia="Times"/>
              </w:rPr>
              <w:t>Independent member</w:t>
            </w:r>
          </w:p>
        </w:tc>
      </w:tr>
      <w:tr w:rsidR="00557C11" w:rsidRPr="00F45F11" w14:paraId="447300B5" w14:textId="77777777" w:rsidTr="00DE6876">
        <w:trPr>
          <w:cnfStyle w:val="100000000000" w:firstRow="1" w:lastRow="0" w:firstColumn="0" w:lastColumn="0" w:oddVBand="0" w:evenVBand="0" w:oddHBand="0" w:evenHBand="0" w:firstRowFirstColumn="0" w:firstRowLastColumn="0" w:lastRowFirstColumn="0" w:lastRowLastColumn="0"/>
          <w:trHeight w:val="57"/>
          <w:tblHeader/>
        </w:trPr>
        <w:tc>
          <w:tcPr>
            <w:tcW w:w="1418" w:type="dxa"/>
            <w:tcBorders>
              <w:top w:val="none" w:sz="0" w:space="0" w:color="auto"/>
              <w:left w:val="none" w:sz="0" w:space="0" w:color="auto"/>
              <w:bottom w:val="none" w:sz="0" w:space="0" w:color="auto"/>
              <w:right w:val="none" w:sz="0" w:space="0" w:color="auto"/>
            </w:tcBorders>
            <w:hideMark/>
          </w:tcPr>
          <w:p w14:paraId="7AC15E5F" w14:textId="77777777" w:rsidR="00557C11" w:rsidRPr="00F45F11" w:rsidRDefault="00557C11" w:rsidP="00434684">
            <w:pPr>
              <w:pStyle w:val="ARTabletext"/>
              <w:rPr>
                <w:rFonts w:eastAsia="Times"/>
              </w:rPr>
            </w:pPr>
            <w:r w:rsidRPr="00F45F11">
              <w:rPr>
                <w:rFonts w:eastAsia="Times"/>
              </w:rPr>
              <w:t>J. Holt</w:t>
            </w:r>
          </w:p>
        </w:tc>
        <w:tc>
          <w:tcPr>
            <w:tcW w:w="3161" w:type="dxa"/>
            <w:tcBorders>
              <w:top w:val="none" w:sz="0" w:space="0" w:color="auto"/>
              <w:left w:val="none" w:sz="0" w:space="0" w:color="auto"/>
              <w:bottom w:val="none" w:sz="0" w:space="0" w:color="auto"/>
              <w:right w:val="none" w:sz="0" w:space="0" w:color="auto"/>
            </w:tcBorders>
            <w:hideMark/>
          </w:tcPr>
          <w:p w14:paraId="674E5DD7" w14:textId="77777777" w:rsidR="00557C11" w:rsidRPr="00F45F11" w:rsidRDefault="00557C11" w:rsidP="00434684">
            <w:pPr>
              <w:pStyle w:val="ARTabletext"/>
              <w:rPr>
                <w:rFonts w:eastAsia="Times"/>
              </w:rPr>
            </w:pPr>
            <w:r w:rsidRPr="00F45F11">
              <w:rPr>
                <w:rFonts w:eastAsia="Times"/>
              </w:rPr>
              <w:t>Independent member</w:t>
            </w:r>
          </w:p>
        </w:tc>
      </w:tr>
      <w:tr w:rsidR="00557C11" w:rsidRPr="00F45F11" w14:paraId="332C7886" w14:textId="77777777" w:rsidTr="00DE6876">
        <w:trPr>
          <w:cnfStyle w:val="100000000000" w:firstRow="1" w:lastRow="0" w:firstColumn="0" w:lastColumn="0" w:oddVBand="0" w:evenVBand="0" w:oddHBand="0" w:evenHBand="0" w:firstRowFirstColumn="0" w:firstRowLastColumn="0" w:lastRowFirstColumn="0" w:lastRowLastColumn="0"/>
          <w:trHeight w:val="57"/>
          <w:tblHeader/>
        </w:trPr>
        <w:tc>
          <w:tcPr>
            <w:tcW w:w="1418" w:type="dxa"/>
            <w:tcBorders>
              <w:top w:val="none" w:sz="0" w:space="0" w:color="auto"/>
              <w:left w:val="none" w:sz="0" w:space="0" w:color="auto"/>
              <w:bottom w:val="none" w:sz="0" w:space="0" w:color="auto"/>
              <w:right w:val="none" w:sz="0" w:space="0" w:color="auto"/>
            </w:tcBorders>
            <w:hideMark/>
          </w:tcPr>
          <w:p w14:paraId="0AEF0669" w14:textId="77777777" w:rsidR="00557C11" w:rsidRPr="00F45F11" w:rsidRDefault="00557C11" w:rsidP="00434684">
            <w:pPr>
              <w:pStyle w:val="ARTabletext"/>
              <w:rPr>
                <w:rFonts w:eastAsia="Times"/>
              </w:rPr>
            </w:pPr>
            <w:r w:rsidRPr="00F45F11">
              <w:rPr>
                <w:rFonts w:eastAsia="Times"/>
              </w:rPr>
              <w:t xml:space="preserve">M. </w:t>
            </w:r>
            <w:proofErr w:type="spellStart"/>
            <w:r w:rsidRPr="00F45F11">
              <w:rPr>
                <w:rFonts w:eastAsia="Times"/>
              </w:rPr>
              <w:t>Tieppo</w:t>
            </w:r>
            <w:proofErr w:type="spellEnd"/>
          </w:p>
        </w:tc>
        <w:tc>
          <w:tcPr>
            <w:tcW w:w="3161" w:type="dxa"/>
            <w:tcBorders>
              <w:top w:val="none" w:sz="0" w:space="0" w:color="auto"/>
              <w:left w:val="none" w:sz="0" w:space="0" w:color="auto"/>
              <w:bottom w:val="none" w:sz="0" w:space="0" w:color="auto"/>
              <w:right w:val="none" w:sz="0" w:space="0" w:color="auto"/>
            </w:tcBorders>
            <w:hideMark/>
          </w:tcPr>
          <w:p w14:paraId="0ED597C7" w14:textId="77777777" w:rsidR="00557C11" w:rsidRPr="00F45F11" w:rsidRDefault="00557C11" w:rsidP="00434684">
            <w:pPr>
              <w:pStyle w:val="ARTabletext"/>
              <w:rPr>
                <w:rFonts w:eastAsia="Times"/>
              </w:rPr>
            </w:pPr>
            <w:r w:rsidRPr="00F45F11">
              <w:rPr>
                <w:rFonts w:eastAsia="Times"/>
              </w:rPr>
              <w:t>Independent member</w:t>
            </w:r>
          </w:p>
        </w:tc>
      </w:tr>
    </w:tbl>
    <w:p w14:paraId="4C186E3E" w14:textId="77777777" w:rsidR="00557C11" w:rsidRPr="00541B81" w:rsidRDefault="00557C11" w:rsidP="00541B81">
      <w:pPr>
        <w:pStyle w:val="ARBodyaftertablefigure"/>
      </w:pPr>
      <w:r w:rsidRPr="00541B81">
        <w:t xml:space="preserve">The Audit and Risk Management Committee is an independent advisory committee established in accordance with the </w:t>
      </w:r>
      <w:r w:rsidRPr="00361CEC">
        <w:rPr>
          <w:rStyle w:val="Emphasis"/>
        </w:rPr>
        <w:t>Financial Management Act 1994</w:t>
      </w:r>
      <w:r w:rsidRPr="00541B81">
        <w:rPr>
          <w:rStyle w:val="Emphasis"/>
          <w:i w:val="0"/>
          <w:iCs w:val="0"/>
        </w:rPr>
        <w:t xml:space="preserve"> </w:t>
      </w:r>
      <w:r w:rsidRPr="00541B81">
        <w:t>and the Standing Directions 2018 issued by the Minister for Finance.</w:t>
      </w:r>
    </w:p>
    <w:p w14:paraId="604A17E3" w14:textId="77777777" w:rsidR="00557C11" w:rsidRPr="00F45F11" w:rsidRDefault="00557C11" w:rsidP="00DE6876">
      <w:pPr>
        <w:pStyle w:val="ARBody"/>
        <w:spacing w:line="240" w:lineRule="atLeast"/>
      </w:pPr>
      <w:r w:rsidRPr="00F45F11">
        <w:t>Accountable to the Secretary, the main responsibilities of the Audit and Risk Management Committee are to provide independent oversight, direction and advice on the department’s governance, risk, control and compliance frameworks, including on internal and external audit activities, financial and performance reporting, risk management, integrity, fraud and corruption controls, legislation and policy.</w:t>
      </w:r>
    </w:p>
    <w:p w14:paraId="158357BA" w14:textId="77777777" w:rsidR="00557C11" w:rsidRPr="00F45F11" w:rsidRDefault="00557C11" w:rsidP="00557C11">
      <w:pPr>
        <w:pStyle w:val="Heading4"/>
      </w:pPr>
      <w:r w:rsidRPr="00F45F11">
        <w:t>Executive Remuneration</w:t>
      </w:r>
    </w:p>
    <w:p w14:paraId="6AC94280" w14:textId="4E76921A" w:rsidR="00557C11" w:rsidRPr="00F45F11" w:rsidRDefault="00557C11" w:rsidP="00DE6876">
      <w:pPr>
        <w:pStyle w:val="ARBody"/>
        <w:spacing w:line="240" w:lineRule="atLeast"/>
      </w:pPr>
      <w:r w:rsidRPr="00F45F11">
        <w:t>This committee provides oversight, direction and advice to ensure a consistent and rigorous approach to creating and advertising executive roles, appointing to roles, and setting remuneration levels for executive</w:t>
      </w:r>
      <w:r w:rsidR="000D61D6">
        <w:t> </w:t>
      </w:r>
      <w:r w:rsidRPr="00F45F11">
        <w:t>staff.</w:t>
      </w:r>
    </w:p>
    <w:p w14:paraId="460910BA" w14:textId="77777777" w:rsidR="00557C11" w:rsidRPr="00F45F11" w:rsidRDefault="00557C11" w:rsidP="00557C11">
      <w:pPr>
        <w:pStyle w:val="Heading4"/>
      </w:pPr>
      <w:r w:rsidRPr="00F45F11">
        <w:t xml:space="preserve">People and Culture </w:t>
      </w:r>
    </w:p>
    <w:p w14:paraId="0249FEF7" w14:textId="2BA239B1" w:rsidR="00557C11" w:rsidRPr="00F45F11" w:rsidRDefault="00557C11" w:rsidP="00DE6876">
      <w:pPr>
        <w:pStyle w:val="ARBody"/>
        <w:spacing w:line="240" w:lineRule="atLeast"/>
        <w:sectPr w:rsidR="00557C11" w:rsidRPr="00F45F11" w:rsidSect="00E7077C">
          <w:type w:val="continuous"/>
          <w:pgSz w:w="11906" w:h="16838" w:code="9"/>
          <w:pgMar w:top="1588" w:right="1134" w:bottom="851" w:left="1134" w:header="680" w:footer="567" w:gutter="0"/>
          <w:cols w:space="340"/>
          <w:docGrid w:linePitch="360"/>
        </w:sectPr>
      </w:pPr>
      <w:r w:rsidRPr="00F45F11">
        <w:t>This committee provides oversight, direction and</w:t>
      </w:r>
      <w:r w:rsidR="00361CEC">
        <w:t> </w:t>
      </w:r>
      <w:r w:rsidRPr="00F45F11">
        <w:t>advice on the department’s health, safety and</w:t>
      </w:r>
      <w:r w:rsidR="00361CEC">
        <w:t> </w:t>
      </w:r>
      <w:r w:rsidRPr="00F45F11">
        <w:t>wellbeing risks, compliance and prevention strategies, industrial relations, integrity, culture, diversity and inclusion.</w:t>
      </w:r>
    </w:p>
    <w:p w14:paraId="6510F443" w14:textId="06CD2B1E" w:rsidR="00393515" w:rsidRPr="00F45F11" w:rsidRDefault="00393515" w:rsidP="00D57122">
      <w:pPr>
        <w:pStyle w:val="Heading1"/>
        <w:tabs>
          <w:tab w:val="left" w:pos="7710"/>
        </w:tabs>
        <w:spacing w:before="0"/>
        <w:rPr>
          <w:highlight w:val="cyan"/>
        </w:rPr>
      </w:pPr>
      <w:bookmarkStart w:id="45" w:name="_Toc241131693"/>
      <w:r w:rsidRPr="00F45F11">
        <w:t>Section 2:</w:t>
      </w:r>
      <w:r w:rsidR="00C24DD7" w:rsidRPr="00F45F11">
        <w:t xml:space="preserve"> Year in review</w:t>
      </w:r>
      <w:bookmarkEnd w:id="45"/>
    </w:p>
    <w:p w14:paraId="49938919" w14:textId="0AB44473" w:rsidR="008C296F" w:rsidRPr="00F45F11" w:rsidRDefault="008C296F" w:rsidP="008C296F">
      <w:pPr>
        <w:pStyle w:val="Heading2"/>
        <w:spacing w:before="0"/>
      </w:pPr>
      <w:bookmarkStart w:id="46" w:name="_Toc241131694"/>
      <w:r w:rsidRPr="00F45F11">
        <w:t>Progress towards achieving departmental objectives</w:t>
      </w:r>
      <w:bookmarkEnd w:id="46"/>
    </w:p>
    <w:p w14:paraId="3BFF67F6" w14:textId="77777777" w:rsidR="008C296F" w:rsidRPr="00F45F11" w:rsidRDefault="008C296F" w:rsidP="008C296F">
      <w:pPr>
        <w:pStyle w:val="ARBody"/>
      </w:pPr>
      <w:r w:rsidRPr="00F45F11">
        <w:t>The department works to create a more inclusive society. We aim to create a Victoria where people feel safe. We want everyone to take part equally.</w:t>
      </w:r>
    </w:p>
    <w:p w14:paraId="50442713" w14:textId="77777777" w:rsidR="008C296F" w:rsidRPr="00F45F11" w:rsidRDefault="008C296F" w:rsidP="008C296F">
      <w:pPr>
        <w:pStyle w:val="ARBody"/>
      </w:pPr>
      <w:r w:rsidRPr="00F45F11">
        <w:t>This section sets out the results of our progress based on our objectives and indicators. It outlines just some of the key initiatives and projects for the year.</w:t>
      </w:r>
    </w:p>
    <w:p w14:paraId="0A06A6DE" w14:textId="77777777" w:rsidR="00763E44" w:rsidRPr="00F45F11" w:rsidRDefault="00763E44" w:rsidP="00763E44">
      <w:pPr>
        <w:pStyle w:val="Heading2"/>
      </w:pPr>
      <w:bookmarkStart w:id="47" w:name="_Toc241131695"/>
      <w:r w:rsidRPr="00F45F11">
        <w:t>Direct costs attributable to machinery of government changes</w:t>
      </w:r>
      <w:bookmarkEnd w:id="47"/>
    </w:p>
    <w:p w14:paraId="3C3C5AF4" w14:textId="40A299F8" w:rsidR="00763E44" w:rsidRPr="00F45F11" w:rsidRDefault="00763E44" w:rsidP="00763E44">
      <w:pPr>
        <w:pStyle w:val="ARBody"/>
      </w:pPr>
      <w:r w:rsidRPr="00F45F11">
        <w:t xml:space="preserve">On 29 August 2025, the Secretaries of Department of Justice and Community Safety and Department of Families, Fairness and Housing entered into an interdepartmental agreement to transfer duties and functions under the </w:t>
      </w:r>
      <w:r w:rsidRPr="00A124D1">
        <w:rPr>
          <w:rStyle w:val="Emphasis"/>
        </w:rPr>
        <w:t>Worker Screening Act 2020</w:t>
      </w:r>
      <w:r w:rsidRPr="00F45F11">
        <w:t xml:space="preserve"> from the Department of Justice and Community Safety to the Department of Families, Fairness and Housing. </w:t>
      </w:r>
    </w:p>
    <w:p w14:paraId="727A2757" w14:textId="38F9903E" w:rsidR="00763E44" w:rsidRDefault="00763E44" w:rsidP="00763E44">
      <w:pPr>
        <w:pStyle w:val="ARBody"/>
      </w:pPr>
      <w:r w:rsidRPr="00F45F11">
        <w:t>There are no direct costs that can be attributed solely to the change that are incurred.</w:t>
      </w:r>
    </w:p>
    <w:p w14:paraId="6FD2ED30" w14:textId="77777777" w:rsidR="00933046" w:rsidRDefault="00933046" w:rsidP="007B370C">
      <w:pPr>
        <w:pStyle w:val="ARBody"/>
      </w:pPr>
      <w:bookmarkStart w:id="48" w:name="_Departmental_objectives,_indicators"/>
      <w:bookmarkStart w:id="49" w:name="_Toc212039522"/>
      <w:bookmarkStart w:id="50" w:name="_Toc241131696"/>
      <w:bookmarkEnd w:id="48"/>
      <w:r>
        <w:br w:type="page"/>
      </w:r>
    </w:p>
    <w:p w14:paraId="54D22B3C" w14:textId="4541291C" w:rsidR="00602F54" w:rsidRDefault="00DC31FB" w:rsidP="003F5D81">
      <w:pPr>
        <w:pStyle w:val="Heading2"/>
      </w:pPr>
      <w:r w:rsidRPr="00F45F11">
        <w:t xml:space="preserve">Departmental </w:t>
      </w:r>
      <w:r w:rsidRPr="003F5D81">
        <w:t>objectives</w:t>
      </w:r>
      <w:r w:rsidRPr="00F45F11">
        <w:t>, indicators and outputs</w:t>
      </w:r>
      <w:bookmarkEnd w:id="49"/>
      <w:bookmarkEnd w:id="50"/>
    </w:p>
    <w:p w14:paraId="7A1A6620" w14:textId="129ADB39" w:rsidR="005263DA" w:rsidRPr="000D745B" w:rsidRDefault="005263DA" w:rsidP="000D745B">
      <w:pPr>
        <w:pStyle w:val="ARBody"/>
        <w:rPr>
          <w:lang w:eastAsia="en-AU"/>
        </w:rPr>
      </w:pPr>
      <w:bookmarkStart w:id="51" w:name="_Toc181101492"/>
      <w:r w:rsidRPr="005263DA">
        <w:rPr>
          <w:lang w:eastAsia="en-AU"/>
        </w:rPr>
        <w:t>The department’s objectives (or outcomes)</w:t>
      </w:r>
      <w:r w:rsidRPr="005263DA" w:rsidDel="00E531F4">
        <w:rPr>
          <w:lang w:eastAsia="en-AU"/>
        </w:rPr>
        <w:t xml:space="preserve"> </w:t>
      </w:r>
      <w:r w:rsidRPr="005263DA">
        <w:rPr>
          <w:lang w:eastAsia="en-AU"/>
        </w:rPr>
        <w:t xml:space="preserve">and indicators are set out in the </w:t>
      </w:r>
      <w:r w:rsidRPr="00A124D1">
        <w:rPr>
          <w:rStyle w:val="Emphasis"/>
          <w:lang w:eastAsia="en-AU"/>
        </w:rPr>
        <w:t>2025</w:t>
      </w:r>
      <w:r w:rsidR="00C0062A">
        <w:rPr>
          <w:rStyle w:val="Emphasis"/>
          <w:lang w:eastAsia="en-AU"/>
        </w:rPr>
        <w:t>–</w:t>
      </w:r>
      <w:r w:rsidRPr="00A124D1">
        <w:rPr>
          <w:rStyle w:val="Emphasis"/>
          <w:lang w:eastAsia="en-AU"/>
        </w:rPr>
        <w:t>26 Budget Paper No. 3 – Service Delivery</w:t>
      </w:r>
      <w:r w:rsidRPr="005263DA">
        <w:rPr>
          <w:lang w:eastAsia="en-AU"/>
        </w:rPr>
        <w:t xml:space="preserve"> </w:t>
      </w:r>
      <w:r w:rsidRPr="00785DC3">
        <w:rPr>
          <w:sz w:val="22"/>
          <w:szCs w:val="28"/>
          <w:lang w:eastAsia="en-AU"/>
        </w:rPr>
        <w:t xml:space="preserve">along with outputs relating </w:t>
      </w:r>
      <w:r w:rsidRPr="005263DA">
        <w:rPr>
          <w:lang w:eastAsia="en-AU"/>
        </w:rPr>
        <w:t>to each objective.</w:t>
      </w:r>
      <w:r w:rsidRPr="005263DA">
        <w:rPr>
          <w:vertAlign w:val="superscript"/>
          <w:lang w:eastAsia="en-AU"/>
        </w:rPr>
        <w:footnoteReference w:id="5"/>
      </w:r>
    </w:p>
    <w:tbl>
      <w:tblPr>
        <w:tblStyle w:val="DFFHtable21"/>
        <w:tblW w:w="4859" w:type="pct"/>
        <w:tblLook w:val="02A0" w:firstRow="1" w:lastRow="0" w:firstColumn="1" w:lastColumn="0" w:noHBand="1" w:noVBand="0"/>
      </w:tblPr>
      <w:tblGrid>
        <w:gridCol w:w="2551"/>
        <w:gridCol w:w="5048"/>
        <w:gridCol w:w="1757"/>
      </w:tblGrid>
      <w:tr w:rsidR="00EA4AEF" w:rsidRPr="005263DA" w14:paraId="298090DF" w14:textId="77777777" w:rsidTr="008457AC">
        <w:trPr>
          <w:cnfStyle w:val="100000000000" w:firstRow="1" w:lastRow="0" w:firstColumn="0" w:lastColumn="0" w:oddVBand="0" w:evenVBand="0" w:oddHBand="0" w:evenHBand="0" w:firstRowFirstColumn="0" w:firstRowLastColumn="0" w:lastRowFirstColumn="0" w:lastRowLastColumn="0"/>
          <w:cantSplit/>
          <w:tblHeader/>
        </w:trPr>
        <w:tc>
          <w:tcPr>
            <w:tcW w:w="2552" w:type="dxa"/>
          </w:tcPr>
          <w:p w14:paraId="6E398533" w14:textId="238BA206" w:rsidR="00EA4AEF" w:rsidRPr="005263DA" w:rsidRDefault="00EA4AEF" w:rsidP="00EA4AEF">
            <w:pPr>
              <w:pStyle w:val="ARTabletext"/>
              <w:rPr>
                <w:rFonts w:eastAsia="Times"/>
                <w:lang w:eastAsia="en-AU"/>
              </w:rPr>
            </w:pPr>
            <w:r w:rsidRPr="005263DA">
              <w:rPr>
                <w:b/>
                <w:lang w:eastAsia="en-AU"/>
              </w:rPr>
              <w:t>Departmental objectives</w:t>
            </w:r>
          </w:p>
        </w:tc>
        <w:tc>
          <w:tcPr>
            <w:cnfStyle w:val="000001000000" w:firstRow="0" w:lastRow="0" w:firstColumn="0" w:lastColumn="0" w:oddVBand="0" w:evenVBand="1" w:oddHBand="0" w:evenHBand="0" w:firstRowFirstColumn="0" w:firstRowLastColumn="0" w:lastRowFirstColumn="0" w:lastRowLastColumn="0"/>
            <w:tcW w:w="5051" w:type="dxa"/>
            <w:tcMar>
              <w:left w:w="113" w:type="dxa"/>
            </w:tcMar>
          </w:tcPr>
          <w:p w14:paraId="2FB7E1A6" w14:textId="3ED38FE7" w:rsidR="00EA4AEF" w:rsidRPr="005263DA" w:rsidRDefault="00EA4AEF" w:rsidP="00EA4AEF">
            <w:pPr>
              <w:pStyle w:val="ARTabletext"/>
              <w:rPr>
                <w:rFonts w:eastAsia="Times"/>
                <w:lang w:eastAsia="en-AU"/>
              </w:rPr>
            </w:pPr>
            <w:r w:rsidRPr="005263DA">
              <w:rPr>
                <w:b/>
                <w:lang w:eastAsia="en-AU"/>
              </w:rPr>
              <w:t>Indicators</w:t>
            </w:r>
          </w:p>
        </w:tc>
        <w:tc>
          <w:tcPr>
            <w:tcW w:w="1757" w:type="dxa"/>
            <w:tcMar>
              <w:left w:w="113" w:type="dxa"/>
            </w:tcMar>
          </w:tcPr>
          <w:p w14:paraId="3C587B57" w14:textId="554474F2" w:rsidR="00EA4AEF" w:rsidRPr="005263DA" w:rsidRDefault="00EA4AEF" w:rsidP="00EA4AEF">
            <w:pPr>
              <w:pStyle w:val="ARTabletext"/>
              <w:cnfStyle w:val="100000000000" w:firstRow="1" w:lastRow="0" w:firstColumn="0" w:lastColumn="0" w:oddVBand="0" w:evenVBand="0" w:oddHBand="0" w:evenHBand="0" w:firstRowFirstColumn="0" w:firstRowLastColumn="0" w:lastRowFirstColumn="0" w:lastRowLastColumn="0"/>
              <w:rPr>
                <w:rFonts w:eastAsia="Times"/>
                <w:lang w:eastAsia="en-AU"/>
              </w:rPr>
            </w:pPr>
            <w:r w:rsidRPr="005263DA">
              <w:rPr>
                <w:b/>
                <w:lang w:eastAsia="en-AU"/>
              </w:rPr>
              <w:t>Outputs</w:t>
            </w:r>
          </w:p>
        </w:tc>
      </w:tr>
      <w:tr w:rsidR="005263DA" w:rsidRPr="005263DA" w14:paraId="17FA1ABF" w14:textId="77777777" w:rsidTr="008457AC">
        <w:tc>
          <w:tcPr>
            <w:tcW w:w="2552" w:type="dxa"/>
            <w:tcBorders>
              <w:top w:val="single" w:sz="4" w:space="0" w:color="000000"/>
              <w:bottom w:val="single" w:sz="4" w:space="0" w:color="BFBFBF" w:themeColor="accent2"/>
            </w:tcBorders>
            <w:hideMark/>
          </w:tcPr>
          <w:p w14:paraId="04522573" w14:textId="4D49CE93" w:rsidR="005263DA" w:rsidRPr="005263DA" w:rsidRDefault="005263DA" w:rsidP="000D745B">
            <w:pPr>
              <w:pStyle w:val="ARTabletext"/>
              <w:rPr>
                <w:lang w:eastAsia="en-AU"/>
              </w:rPr>
            </w:pPr>
            <w:r w:rsidRPr="005263DA">
              <w:rPr>
                <w:lang w:eastAsia="en-AU"/>
              </w:rPr>
              <w:t>Aboriginal voice, knowledge and cultural leadership drive Aboriginal policy, legislation and system</w:t>
            </w:r>
            <w:r w:rsidR="003F5D81">
              <w:rPr>
                <w:lang w:eastAsia="en-AU"/>
              </w:rPr>
              <w:t> </w:t>
            </w:r>
            <w:r w:rsidRPr="005263DA">
              <w:rPr>
                <w:lang w:eastAsia="en-AU"/>
              </w:rPr>
              <w:t>reform</w:t>
            </w:r>
          </w:p>
        </w:tc>
        <w:tc>
          <w:tcPr>
            <w:cnfStyle w:val="000001000000" w:firstRow="0" w:lastRow="0" w:firstColumn="0" w:lastColumn="0" w:oddVBand="0" w:evenVBand="1" w:oddHBand="0" w:evenHBand="0" w:firstRowFirstColumn="0" w:firstRowLastColumn="0" w:lastRowFirstColumn="0" w:lastRowLastColumn="0"/>
            <w:tcW w:w="5051" w:type="dxa"/>
            <w:tcBorders>
              <w:top w:val="single" w:sz="4" w:space="0" w:color="000000"/>
              <w:bottom w:val="single" w:sz="4" w:space="0" w:color="BFBFBF" w:themeColor="accent2"/>
            </w:tcBorders>
            <w:tcMar>
              <w:left w:w="113" w:type="dxa"/>
            </w:tcMar>
            <w:hideMark/>
          </w:tcPr>
          <w:p w14:paraId="5E736666" w14:textId="3B03DE83" w:rsidR="005263DA" w:rsidRPr="005263DA" w:rsidRDefault="005263DA" w:rsidP="006E1D39">
            <w:pPr>
              <w:pStyle w:val="ARTabletext"/>
              <w:rPr>
                <w:lang w:eastAsia="en-AU"/>
              </w:rPr>
            </w:pPr>
            <w:r w:rsidRPr="005263DA">
              <w:rPr>
                <w:lang w:eastAsia="en-AU"/>
              </w:rPr>
              <w:t>Increase the transfer of decision-making power and</w:t>
            </w:r>
            <w:r w:rsidR="008457AC">
              <w:rPr>
                <w:lang w:eastAsia="en-AU"/>
              </w:rPr>
              <w:t> </w:t>
            </w:r>
            <w:r w:rsidRPr="005263DA">
              <w:rPr>
                <w:lang w:eastAsia="en-AU"/>
              </w:rPr>
              <w:t xml:space="preserve">resources to Aboriginal organisations </w:t>
            </w:r>
          </w:p>
          <w:p w14:paraId="0C2C3BAD" w14:textId="55A0B601" w:rsidR="005263DA" w:rsidRPr="005263DA" w:rsidRDefault="005263DA" w:rsidP="006E1D39">
            <w:pPr>
              <w:pStyle w:val="ARTabletext"/>
              <w:rPr>
                <w:lang w:eastAsia="en-AU"/>
              </w:rPr>
            </w:pPr>
            <w:r w:rsidRPr="005263DA">
              <w:rPr>
                <w:lang w:eastAsia="en-AU"/>
              </w:rPr>
              <w:t>Increase the use of Aboriginal knowledge and evidence in</w:t>
            </w:r>
            <w:r w:rsidR="002045B1">
              <w:rPr>
                <w:lang w:eastAsia="en-AU"/>
              </w:rPr>
              <w:t> </w:t>
            </w:r>
            <w:r w:rsidRPr="005263DA">
              <w:rPr>
                <w:lang w:eastAsia="en-AU"/>
              </w:rPr>
              <w:t>policy, program and service planning, design, delivery and</w:t>
            </w:r>
            <w:r w:rsidR="002045B1">
              <w:rPr>
                <w:lang w:eastAsia="en-AU"/>
              </w:rPr>
              <w:t> </w:t>
            </w:r>
            <w:r w:rsidRPr="005263DA">
              <w:rPr>
                <w:lang w:eastAsia="en-AU"/>
              </w:rPr>
              <w:t>evaluation, under Aboriginal</w:t>
            </w:r>
            <w:r w:rsidR="003F5D81">
              <w:rPr>
                <w:lang w:eastAsia="en-AU"/>
              </w:rPr>
              <w:t> </w:t>
            </w:r>
            <w:r w:rsidRPr="005263DA">
              <w:rPr>
                <w:lang w:eastAsia="en-AU"/>
              </w:rPr>
              <w:t>leadership</w:t>
            </w:r>
          </w:p>
          <w:p w14:paraId="17FA243B" w14:textId="29667C74" w:rsidR="005263DA" w:rsidRPr="005263DA" w:rsidRDefault="005263DA" w:rsidP="006E1D39">
            <w:pPr>
              <w:pStyle w:val="ARTabletext"/>
              <w:rPr>
                <w:lang w:eastAsia="en-AU"/>
              </w:rPr>
            </w:pPr>
            <w:r w:rsidRPr="005263DA">
              <w:rPr>
                <w:lang w:eastAsia="en-AU"/>
              </w:rPr>
              <w:t>Increase investment in the Aboriginal workforce to</w:t>
            </w:r>
            <w:r w:rsidR="003F5D81">
              <w:rPr>
                <w:rFonts w:eastAsia="Times"/>
                <w:lang w:eastAsia="en-AU"/>
              </w:rPr>
              <w:t> </w:t>
            </w:r>
            <w:r w:rsidRPr="005263DA">
              <w:rPr>
                <w:lang w:eastAsia="en-AU"/>
              </w:rPr>
              <w:t>support the Aboriginal community-controlled organisations to excel in practice, partnership and</w:t>
            </w:r>
            <w:r w:rsidR="00361CEC">
              <w:rPr>
                <w:lang w:eastAsia="en-AU"/>
              </w:rPr>
              <w:t> </w:t>
            </w:r>
            <w:r w:rsidRPr="005263DA">
              <w:rPr>
                <w:lang w:eastAsia="en-AU"/>
              </w:rPr>
              <w:t>service delivery</w:t>
            </w:r>
          </w:p>
          <w:p w14:paraId="724CB0BD" w14:textId="31271C26" w:rsidR="005263DA" w:rsidRPr="005263DA" w:rsidRDefault="005263DA" w:rsidP="006E1D39">
            <w:pPr>
              <w:pStyle w:val="ARTabletext"/>
              <w:rPr>
                <w:lang w:eastAsia="en-AU"/>
              </w:rPr>
            </w:pPr>
            <w:r w:rsidRPr="005263DA">
              <w:rPr>
                <w:lang w:eastAsia="en-AU"/>
              </w:rPr>
              <w:t>Increase the cultural competence of the non-Aboriginal workforce across all service functions to</w:t>
            </w:r>
            <w:r w:rsidR="003F5D81">
              <w:rPr>
                <w:rFonts w:eastAsia="Times"/>
                <w:lang w:eastAsia="en-AU"/>
              </w:rPr>
              <w:t> </w:t>
            </w:r>
            <w:r w:rsidRPr="005263DA">
              <w:rPr>
                <w:lang w:eastAsia="en-AU"/>
              </w:rPr>
              <w:t>embed practices and processes that respect Aboriginal ways of working, knowledge and</w:t>
            </w:r>
            <w:r w:rsidR="003F5D81">
              <w:rPr>
                <w:rFonts w:eastAsia="Times"/>
                <w:lang w:eastAsia="en-AU"/>
              </w:rPr>
              <w:t> </w:t>
            </w:r>
            <w:r w:rsidRPr="005263DA">
              <w:rPr>
                <w:lang w:eastAsia="en-AU"/>
              </w:rPr>
              <w:t>evidence</w:t>
            </w:r>
          </w:p>
          <w:p w14:paraId="0325438A" w14:textId="1C2D90D2" w:rsidR="005263DA" w:rsidRPr="005263DA" w:rsidRDefault="005263DA" w:rsidP="006E1D39">
            <w:pPr>
              <w:pStyle w:val="ARTabletext"/>
              <w:rPr>
                <w:lang w:eastAsia="en-AU"/>
              </w:rPr>
            </w:pPr>
            <w:r w:rsidRPr="005263DA">
              <w:rPr>
                <w:lang w:eastAsia="en-AU"/>
              </w:rPr>
              <w:t>Improve flexible funding practices to empower Aboriginal organisations to meet the diverse needs</w:t>
            </w:r>
            <w:r w:rsidR="00361CEC">
              <w:rPr>
                <w:lang w:eastAsia="en-AU"/>
              </w:rPr>
              <w:t> </w:t>
            </w:r>
            <w:r w:rsidRPr="005263DA">
              <w:rPr>
                <w:lang w:eastAsia="en-AU"/>
              </w:rPr>
              <w:t>of the community</w:t>
            </w:r>
          </w:p>
          <w:p w14:paraId="479CC8CB" w14:textId="4B3D3F67" w:rsidR="005263DA" w:rsidRPr="005263DA" w:rsidRDefault="005263DA" w:rsidP="006E1D39">
            <w:pPr>
              <w:pStyle w:val="ARTabletext"/>
              <w:rPr>
                <w:lang w:eastAsia="en-AU"/>
              </w:rPr>
            </w:pPr>
            <w:r w:rsidRPr="005263DA">
              <w:rPr>
                <w:lang w:eastAsia="en-AU"/>
              </w:rPr>
              <w:t>Increase the protection and promotion of Aboriginal knowledge and Aboriginal intellectual</w:t>
            </w:r>
            <w:r w:rsidR="003F5D81">
              <w:rPr>
                <w:rFonts w:eastAsia="Times"/>
                <w:lang w:eastAsia="en-AU"/>
              </w:rPr>
              <w:t> </w:t>
            </w:r>
            <w:r w:rsidRPr="005263DA">
              <w:rPr>
                <w:lang w:eastAsia="en-AU"/>
              </w:rPr>
              <w:t>property</w:t>
            </w:r>
          </w:p>
        </w:tc>
        <w:tc>
          <w:tcPr>
            <w:tcW w:w="1757" w:type="dxa"/>
            <w:tcBorders>
              <w:top w:val="single" w:sz="4" w:space="0" w:color="000000"/>
              <w:bottom w:val="single" w:sz="4" w:space="0" w:color="BFBFBF" w:themeColor="accent2"/>
            </w:tcBorders>
            <w:tcMar>
              <w:left w:w="113" w:type="dxa"/>
            </w:tcMar>
            <w:hideMark/>
          </w:tcPr>
          <w:p w14:paraId="64CFEE69" w14:textId="77777777" w:rsidR="005263DA" w:rsidRPr="005263DA" w:rsidRDefault="005263DA" w:rsidP="000C062B">
            <w:pPr>
              <w:pStyle w:val="ARtabletext0"/>
              <w:cnfStyle w:val="000000000000" w:firstRow="0" w:lastRow="0" w:firstColumn="0" w:lastColumn="0" w:oddVBand="0" w:evenVBand="0" w:oddHBand="0" w:evenHBand="0" w:firstRowFirstColumn="0" w:firstRowLastColumn="0" w:lastRowFirstColumn="0" w:lastRowLastColumn="0"/>
            </w:pPr>
            <w:r w:rsidRPr="005263DA">
              <w:t>All departmental outputs</w:t>
            </w:r>
          </w:p>
        </w:tc>
      </w:tr>
      <w:tr w:rsidR="00EA4AEF" w:rsidRPr="005263DA" w14:paraId="5E3422F3" w14:textId="77777777" w:rsidTr="008457AC">
        <w:tc>
          <w:tcPr>
            <w:tcW w:w="2552" w:type="dxa"/>
            <w:tcBorders>
              <w:top w:val="single" w:sz="4" w:space="0" w:color="BFBFBF" w:themeColor="accent2"/>
            </w:tcBorders>
          </w:tcPr>
          <w:p w14:paraId="6ACC835C" w14:textId="7187A3B9" w:rsidR="00EA4AEF" w:rsidRPr="005263DA" w:rsidRDefault="00EA4AEF" w:rsidP="00EA4AEF">
            <w:pPr>
              <w:pStyle w:val="ARTabletext"/>
              <w:rPr>
                <w:rFonts w:eastAsia="Times"/>
                <w:lang w:eastAsia="en-AU"/>
              </w:rPr>
            </w:pPr>
            <w:r w:rsidRPr="005263DA">
              <w:rPr>
                <w:lang w:eastAsia="en-AU"/>
              </w:rPr>
              <w:t>Children, young people and</w:t>
            </w:r>
            <w:r w:rsidR="00361CEC">
              <w:rPr>
                <w:lang w:eastAsia="en-AU"/>
              </w:rPr>
              <w:t> </w:t>
            </w:r>
            <w:r w:rsidRPr="005263DA">
              <w:rPr>
                <w:lang w:eastAsia="en-AU"/>
              </w:rPr>
              <w:t>families are safe, strong</w:t>
            </w:r>
            <w:r w:rsidR="00302B3F">
              <w:rPr>
                <w:lang w:eastAsia="en-AU"/>
              </w:rPr>
              <w:t> </w:t>
            </w:r>
            <w:r w:rsidRPr="005263DA">
              <w:rPr>
                <w:lang w:eastAsia="en-AU"/>
              </w:rPr>
              <w:t>and supported</w:t>
            </w:r>
          </w:p>
        </w:tc>
        <w:tc>
          <w:tcPr>
            <w:cnfStyle w:val="000001000000" w:firstRow="0" w:lastRow="0" w:firstColumn="0" w:lastColumn="0" w:oddVBand="0" w:evenVBand="1" w:oddHBand="0" w:evenHBand="0" w:firstRowFirstColumn="0" w:firstRowLastColumn="0" w:lastRowFirstColumn="0" w:lastRowLastColumn="0"/>
            <w:tcW w:w="5051" w:type="dxa"/>
            <w:tcBorders>
              <w:top w:val="single" w:sz="4" w:space="0" w:color="BFBFBF" w:themeColor="accent2"/>
            </w:tcBorders>
            <w:tcMar>
              <w:left w:w="113" w:type="dxa"/>
            </w:tcMar>
          </w:tcPr>
          <w:p w14:paraId="2E9E7ED0" w14:textId="3F5F9554" w:rsidR="00EA4AEF" w:rsidRPr="005263DA" w:rsidRDefault="00EA4AEF" w:rsidP="006E1D39">
            <w:pPr>
              <w:pStyle w:val="ARTabletext"/>
            </w:pPr>
            <w:r w:rsidRPr="005263DA">
              <w:t>Reduce abuse and neglect of children and</w:t>
            </w:r>
            <w:r w:rsidR="00361CEC">
              <w:t> </w:t>
            </w:r>
            <w:r w:rsidRPr="005263DA">
              <w:t>young people</w:t>
            </w:r>
          </w:p>
          <w:p w14:paraId="1173B36D" w14:textId="77777777" w:rsidR="00EA4AEF" w:rsidRPr="005263DA" w:rsidRDefault="00EA4AEF" w:rsidP="006E1D39">
            <w:pPr>
              <w:pStyle w:val="ARTabletext"/>
            </w:pPr>
            <w:r w:rsidRPr="005263DA">
              <w:t>Increase safe, respectful family relationships</w:t>
            </w:r>
          </w:p>
          <w:p w14:paraId="1EB7297A" w14:textId="4EB01D26" w:rsidR="00EA4AEF" w:rsidRPr="005263DA" w:rsidRDefault="00EA4AEF" w:rsidP="006E1D39">
            <w:pPr>
              <w:pStyle w:val="ARTabletext"/>
            </w:pPr>
            <w:r w:rsidRPr="005263DA">
              <w:t>Improve development and wellbeing for children and young</w:t>
            </w:r>
            <w:r w:rsidR="008457AC">
              <w:t> </w:t>
            </w:r>
            <w:r w:rsidRPr="005263DA">
              <w:t>people</w:t>
            </w:r>
          </w:p>
          <w:p w14:paraId="73BEEEBB" w14:textId="77777777" w:rsidR="00EA4AEF" w:rsidRPr="005263DA" w:rsidRDefault="00EA4AEF" w:rsidP="006E1D39">
            <w:pPr>
              <w:pStyle w:val="ARTabletext"/>
            </w:pPr>
            <w:r w:rsidRPr="005263DA">
              <w:t>Increase the stability of care services placements</w:t>
            </w:r>
          </w:p>
          <w:p w14:paraId="7ED96BB9" w14:textId="538D5695" w:rsidR="00EA4AEF" w:rsidRPr="005263DA" w:rsidRDefault="00EA4AEF" w:rsidP="006E1D39">
            <w:pPr>
              <w:pStyle w:val="ARTabletext"/>
            </w:pPr>
            <w:r w:rsidRPr="005263DA">
              <w:t>Increase connections to culture, family and kinship systems for Aboriginal families including for Aboriginal children in</w:t>
            </w:r>
            <w:r w:rsidR="008457AC">
              <w:t> </w:t>
            </w:r>
            <w:r w:rsidRPr="005263DA">
              <w:t>care</w:t>
            </w:r>
          </w:p>
          <w:p w14:paraId="760698B5" w14:textId="77777777" w:rsidR="00EA4AEF" w:rsidRPr="005263DA" w:rsidRDefault="00EA4AEF" w:rsidP="006E1D39">
            <w:pPr>
              <w:pStyle w:val="ARTabletext"/>
            </w:pPr>
            <w:r w:rsidRPr="005263DA">
              <w:t>Reduce over-representation of Aboriginal children and young people in care services</w:t>
            </w:r>
          </w:p>
          <w:p w14:paraId="5BFB43D2" w14:textId="2F6966D1" w:rsidR="00EA4AEF" w:rsidRPr="005263DA" w:rsidRDefault="00EA4AEF" w:rsidP="006E1D39">
            <w:pPr>
              <w:pStyle w:val="ARTabletext"/>
            </w:pPr>
            <w:r w:rsidRPr="005263DA">
              <w:t xml:space="preserve">Reduce the incidence and impact of family violence </w:t>
            </w:r>
            <w:r w:rsidRPr="005263DA">
              <w:rPr>
                <w:lang w:eastAsia="en-AU"/>
              </w:rPr>
              <w:t>including over-represented cohorts of</w:t>
            </w:r>
            <w:r w:rsidR="003F5D81">
              <w:rPr>
                <w:rFonts w:eastAsia="Times"/>
                <w:lang w:eastAsia="en-AU"/>
              </w:rPr>
              <w:t> </w:t>
            </w:r>
            <w:r w:rsidRPr="005263DA">
              <w:rPr>
                <w:lang w:eastAsia="en-AU"/>
              </w:rPr>
              <w:t>women and</w:t>
            </w:r>
            <w:r w:rsidR="003F5D81">
              <w:rPr>
                <w:lang w:eastAsia="en-AU"/>
              </w:rPr>
              <w:t> </w:t>
            </w:r>
            <w:r w:rsidRPr="005263DA">
              <w:t>children</w:t>
            </w:r>
          </w:p>
          <w:p w14:paraId="42D85C34" w14:textId="2A11C39F" w:rsidR="00EA4AEF" w:rsidRPr="005263DA" w:rsidRDefault="00EA4AEF" w:rsidP="006E1D39">
            <w:pPr>
              <w:pStyle w:val="ARTabletext"/>
              <w:rPr>
                <w:rFonts w:eastAsia="Times"/>
              </w:rPr>
            </w:pPr>
            <w:r w:rsidRPr="005263DA">
              <w:t>Increase safety for victim survivors of</w:t>
            </w:r>
            <w:r w:rsidR="003F5D81">
              <w:t> </w:t>
            </w:r>
            <w:r w:rsidRPr="005263DA">
              <w:t>family</w:t>
            </w:r>
            <w:r w:rsidR="003F5D81">
              <w:rPr>
                <w:rFonts w:eastAsia="Times"/>
              </w:rPr>
              <w:t> </w:t>
            </w:r>
            <w:r w:rsidRPr="005263DA">
              <w:t>violence</w:t>
            </w:r>
          </w:p>
        </w:tc>
        <w:tc>
          <w:tcPr>
            <w:tcW w:w="1757" w:type="dxa"/>
            <w:tcBorders>
              <w:top w:val="single" w:sz="4" w:space="0" w:color="BFBFBF" w:themeColor="accent2"/>
            </w:tcBorders>
            <w:tcMar>
              <w:left w:w="113" w:type="dxa"/>
            </w:tcMar>
          </w:tcPr>
          <w:p w14:paraId="48C1F2DC" w14:textId="35FCD924" w:rsidR="00EA4AEF" w:rsidRPr="005263DA" w:rsidRDefault="00EA4AEF" w:rsidP="000C062B">
            <w:pPr>
              <w:pStyle w:val="ARtabletext0"/>
              <w:cnfStyle w:val="000000000000" w:firstRow="0" w:lastRow="0" w:firstColumn="0" w:lastColumn="0" w:oddVBand="0" w:evenVBand="0" w:oddHBand="0" w:evenHBand="0" w:firstRowFirstColumn="0" w:firstRowLastColumn="0" w:lastRowFirstColumn="0" w:lastRowLastColumn="0"/>
            </w:pPr>
            <w:r w:rsidRPr="005263DA">
              <w:t>Child protection and</w:t>
            </w:r>
            <w:r w:rsidR="00361CEC">
              <w:t> </w:t>
            </w:r>
            <w:r w:rsidRPr="005263DA">
              <w:t>family services</w:t>
            </w:r>
          </w:p>
          <w:p w14:paraId="538EC74D" w14:textId="77777777" w:rsidR="00EA4AEF" w:rsidRPr="005263DA" w:rsidRDefault="00EA4AEF" w:rsidP="000C062B">
            <w:pPr>
              <w:pStyle w:val="ARtabletext0"/>
              <w:cnfStyle w:val="000000000000" w:firstRow="0" w:lastRow="0" w:firstColumn="0" w:lastColumn="0" w:oddVBand="0" w:evenVBand="0" w:oddHBand="0" w:evenHBand="0" w:firstRowFirstColumn="0" w:firstRowLastColumn="0" w:lastRowFirstColumn="0" w:lastRowLastColumn="0"/>
            </w:pPr>
            <w:r w:rsidRPr="005263DA">
              <w:t>Family violence service delivery</w:t>
            </w:r>
          </w:p>
          <w:p w14:paraId="0156136E" w14:textId="2780A599" w:rsidR="00EA4AEF" w:rsidRPr="005263DA" w:rsidRDefault="00EA4AEF" w:rsidP="000C062B">
            <w:pPr>
              <w:pStyle w:val="ARtabletext0"/>
              <w:cnfStyle w:val="000000000000" w:firstRow="0" w:lastRow="0" w:firstColumn="0" w:lastColumn="0" w:oddVBand="0" w:evenVBand="0" w:oddHBand="0" w:evenHBand="0" w:firstRowFirstColumn="0" w:firstRowLastColumn="0" w:lastRowFirstColumn="0" w:lastRowLastColumn="0"/>
            </w:pPr>
            <w:r w:rsidRPr="005263DA">
              <w:t>Primary prevention of family violence</w:t>
            </w:r>
          </w:p>
        </w:tc>
      </w:tr>
      <w:tr w:rsidR="00EA4AEF" w:rsidRPr="005263DA" w14:paraId="0B7A5F71" w14:textId="77777777" w:rsidTr="008457AC">
        <w:tc>
          <w:tcPr>
            <w:tcW w:w="2552" w:type="dxa"/>
          </w:tcPr>
          <w:p w14:paraId="3EE37808" w14:textId="2D5E0C30" w:rsidR="00EA4AEF" w:rsidRPr="005263DA" w:rsidRDefault="00EA4AEF" w:rsidP="00EA4AEF">
            <w:pPr>
              <w:pStyle w:val="ARTabletext"/>
              <w:rPr>
                <w:rFonts w:eastAsia="Times"/>
                <w:lang w:eastAsia="en-AU"/>
              </w:rPr>
            </w:pPr>
            <w:r w:rsidRPr="005263DA">
              <w:rPr>
                <w:lang w:eastAsia="en-AU"/>
              </w:rPr>
              <w:t>Victorian communities are</w:t>
            </w:r>
            <w:r w:rsidR="00361CEC">
              <w:rPr>
                <w:lang w:eastAsia="en-AU"/>
              </w:rPr>
              <w:t> </w:t>
            </w:r>
            <w:r w:rsidRPr="005263DA">
              <w:rPr>
                <w:lang w:eastAsia="en-AU"/>
              </w:rPr>
              <w:t>safe, fair, inclusive and resilient</w:t>
            </w:r>
          </w:p>
        </w:tc>
        <w:tc>
          <w:tcPr>
            <w:cnfStyle w:val="000001000000" w:firstRow="0" w:lastRow="0" w:firstColumn="0" w:lastColumn="0" w:oddVBand="0" w:evenVBand="1" w:oddHBand="0" w:evenHBand="0" w:firstRowFirstColumn="0" w:firstRowLastColumn="0" w:lastRowFirstColumn="0" w:lastRowLastColumn="0"/>
            <w:tcW w:w="5051" w:type="dxa"/>
            <w:tcMar>
              <w:left w:w="113" w:type="dxa"/>
            </w:tcMar>
          </w:tcPr>
          <w:p w14:paraId="5C487DA2" w14:textId="77777777" w:rsidR="00EA4AEF" w:rsidRPr="005263DA" w:rsidRDefault="00EA4AEF" w:rsidP="006E1D39">
            <w:pPr>
              <w:pStyle w:val="ARTabletext"/>
            </w:pPr>
            <w:r w:rsidRPr="005263DA">
              <w:t>Increase economic inclusion and participation</w:t>
            </w:r>
          </w:p>
          <w:p w14:paraId="64089CB8" w14:textId="77777777" w:rsidR="00EA4AEF" w:rsidRPr="005263DA" w:rsidRDefault="00EA4AEF" w:rsidP="006E1D39">
            <w:pPr>
              <w:pStyle w:val="ARTabletext"/>
            </w:pPr>
            <w:r w:rsidRPr="005263DA">
              <w:t>Increase community participation, inclusion and connectedness</w:t>
            </w:r>
          </w:p>
          <w:p w14:paraId="39713C20" w14:textId="77777777" w:rsidR="00EA4AEF" w:rsidRPr="005263DA" w:rsidRDefault="00EA4AEF" w:rsidP="006E1D39">
            <w:pPr>
              <w:pStyle w:val="ARTabletext"/>
            </w:pPr>
            <w:r w:rsidRPr="005263DA">
              <w:t>Decrease experiences of discrimination</w:t>
            </w:r>
          </w:p>
          <w:p w14:paraId="481C6613" w14:textId="75758225" w:rsidR="00EA4AEF" w:rsidRPr="005263DA" w:rsidRDefault="00EA4AEF" w:rsidP="006E1D39">
            <w:pPr>
              <w:pStyle w:val="ARTabletext"/>
            </w:pPr>
            <w:r w:rsidRPr="005263DA">
              <w:t>Increase safety where people live, work, learn</w:t>
            </w:r>
            <w:r w:rsidR="00F55EDE">
              <w:t> </w:t>
            </w:r>
            <w:r w:rsidRPr="005263DA">
              <w:t>and play</w:t>
            </w:r>
          </w:p>
          <w:p w14:paraId="0484C790" w14:textId="60FF87FE" w:rsidR="00EA4AEF" w:rsidRPr="005263DA" w:rsidRDefault="00EA4AEF" w:rsidP="006E1D39">
            <w:pPr>
              <w:pStyle w:val="ARTabletext"/>
            </w:pPr>
            <w:r w:rsidRPr="005263DA">
              <w:t>Increase wellbeing for Aboriginal Victorians, including safety to connect with and express</w:t>
            </w:r>
            <w:r w:rsidR="003F5D81">
              <w:rPr>
                <w:rFonts w:eastAsia="Times"/>
              </w:rPr>
              <w:t> </w:t>
            </w:r>
            <w:r w:rsidRPr="005263DA">
              <w:t>culture</w:t>
            </w:r>
          </w:p>
          <w:p w14:paraId="74E89EEC" w14:textId="77777777" w:rsidR="00EA4AEF" w:rsidRPr="005263DA" w:rsidRDefault="00EA4AEF" w:rsidP="006E1D39">
            <w:pPr>
              <w:pStyle w:val="ARTabletext"/>
            </w:pPr>
            <w:r w:rsidRPr="005263DA">
              <w:t>Increase capacity for senior Victorians to age well</w:t>
            </w:r>
          </w:p>
          <w:p w14:paraId="1B25CC1B" w14:textId="77777777" w:rsidR="00EA4AEF" w:rsidRPr="005263DA" w:rsidRDefault="00EA4AEF" w:rsidP="006E1D39">
            <w:pPr>
              <w:pStyle w:val="ARTabletext"/>
            </w:pPr>
            <w:r w:rsidRPr="005263DA">
              <w:t>Improve supports for people with complex needs</w:t>
            </w:r>
          </w:p>
          <w:p w14:paraId="1413F1C4" w14:textId="77777777" w:rsidR="00EA4AEF" w:rsidRPr="005263DA" w:rsidRDefault="00EA4AEF" w:rsidP="006E1D39">
            <w:pPr>
              <w:pStyle w:val="ARTabletext"/>
            </w:pPr>
            <w:r w:rsidRPr="005263DA">
              <w:t>Increase community resilience</w:t>
            </w:r>
          </w:p>
          <w:p w14:paraId="5C2EAA64" w14:textId="77777777" w:rsidR="00EA4AEF" w:rsidRPr="005263DA" w:rsidRDefault="00EA4AEF" w:rsidP="006E1D39">
            <w:pPr>
              <w:pStyle w:val="ARTabletext"/>
            </w:pPr>
            <w:r w:rsidRPr="005263DA">
              <w:t>Improve social recovery following emergencies</w:t>
            </w:r>
          </w:p>
          <w:p w14:paraId="37808F18" w14:textId="054BB565" w:rsidR="00EA4AEF" w:rsidRPr="005263DA" w:rsidRDefault="00EA4AEF" w:rsidP="006E1D39">
            <w:pPr>
              <w:pStyle w:val="ARTabletext"/>
              <w:rPr>
                <w:rFonts w:eastAsia="Times"/>
                <w:lang w:eastAsia="en-AU"/>
              </w:rPr>
            </w:pPr>
            <w:r w:rsidRPr="005263DA">
              <w:t>Reduce sexual violence</w:t>
            </w:r>
          </w:p>
        </w:tc>
        <w:tc>
          <w:tcPr>
            <w:tcW w:w="1757" w:type="dxa"/>
            <w:tcMar>
              <w:left w:w="113" w:type="dxa"/>
            </w:tcMar>
          </w:tcPr>
          <w:p w14:paraId="447A88DB" w14:textId="77777777" w:rsidR="00EA4AEF" w:rsidRPr="005263DA" w:rsidRDefault="00EA4AEF" w:rsidP="000C062B">
            <w:pPr>
              <w:pStyle w:val="ARtabletext0"/>
              <w:cnfStyle w:val="000000000000" w:firstRow="0" w:lastRow="0" w:firstColumn="0" w:lastColumn="0" w:oddVBand="0" w:evenVBand="0" w:oddHBand="0" w:evenHBand="0" w:firstRowFirstColumn="0" w:firstRowLastColumn="0" w:lastRowFirstColumn="0" w:lastRowLastColumn="0"/>
            </w:pPr>
            <w:r w:rsidRPr="005263DA">
              <w:t>Community participation</w:t>
            </w:r>
          </w:p>
          <w:p w14:paraId="2BE116FF" w14:textId="0A2363BD" w:rsidR="00EA4AEF" w:rsidRPr="005263DA" w:rsidRDefault="00EA4AEF" w:rsidP="000C062B">
            <w:pPr>
              <w:pStyle w:val="ARtabletext0"/>
              <w:cnfStyle w:val="000000000000" w:firstRow="0" w:lastRow="0" w:firstColumn="0" w:lastColumn="0" w:oddVBand="0" w:evenVBand="0" w:oddHBand="0" w:evenHBand="0" w:firstRowFirstColumn="0" w:firstRowLastColumn="0" w:lastRowFirstColumn="0" w:lastRowLastColumn="0"/>
            </w:pPr>
            <w:r w:rsidRPr="005263DA">
              <w:t>Disability programs and</w:t>
            </w:r>
            <w:r w:rsidR="003F5D81">
              <w:t> </w:t>
            </w:r>
            <w:r w:rsidRPr="005263DA">
              <w:t>services</w:t>
            </w:r>
          </w:p>
          <w:p w14:paraId="753BFB84" w14:textId="77777777" w:rsidR="00EA4AEF" w:rsidRPr="005263DA" w:rsidRDefault="00EA4AEF" w:rsidP="000C062B">
            <w:pPr>
              <w:pStyle w:val="ARtabletext0"/>
              <w:cnfStyle w:val="000000000000" w:firstRow="0" w:lastRow="0" w:firstColumn="0" w:lastColumn="0" w:oddVBand="0" w:evenVBand="0" w:oddHBand="0" w:evenHBand="0" w:firstRowFirstColumn="0" w:firstRowLastColumn="0" w:lastRowFirstColumn="0" w:lastRowLastColumn="0"/>
            </w:pPr>
            <w:r w:rsidRPr="005263DA">
              <w:t>Office for Disability</w:t>
            </w:r>
          </w:p>
          <w:p w14:paraId="192CF0B7" w14:textId="77777777" w:rsidR="00EA4AEF" w:rsidRPr="005263DA" w:rsidRDefault="00EA4AEF" w:rsidP="000C062B">
            <w:pPr>
              <w:pStyle w:val="ARtabletext0"/>
              <w:cnfStyle w:val="000000000000" w:firstRow="0" w:lastRow="0" w:firstColumn="0" w:lastColumn="0" w:oddVBand="0" w:evenVBand="0" w:oddHBand="0" w:evenHBand="0" w:firstRowFirstColumn="0" w:firstRowLastColumn="0" w:lastRowFirstColumn="0" w:lastRowLastColumn="0"/>
            </w:pPr>
            <w:proofErr w:type="gramStart"/>
            <w:r w:rsidRPr="005263DA">
              <w:t>Seniors</w:t>
            </w:r>
            <w:proofErr w:type="gramEnd"/>
            <w:r w:rsidRPr="005263DA">
              <w:t xml:space="preserve"> programs and participation</w:t>
            </w:r>
          </w:p>
          <w:p w14:paraId="6C1B5666" w14:textId="77777777" w:rsidR="00EA4AEF" w:rsidRPr="005263DA" w:rsidRDefault="00EA4AEF" w:rsidP="000C062B">
            <w:pPr>
              <w:pStyle w:val="ARtabletext0"/>
              <w:cnfStyle w:val="000000000000" w:firstRow="0" w:lastRow="0" w:firstColumn="0" w:lastColumn="0" w:oddVBand="0" w:evenVBand="0" w:oddHBand="0" w:evenHBand="0" w:firstRowFirstColumn="0" w:firstRowLastColumn="0" w:lastRowFirstColumn="0" w:lastRowLastColumn="0"/>
            </w:pPr>
            <w:r w:rsidRPr="005263DA">
              <w:t>Support to veterans in Victoria</w:t>
            </w:r>
          </w:p>
          <w:p w14:paraId="6FCE708D" w14:textId="77777777" w:rsidR="00EA4AEF" w:rsidRPr="005263DA" w:rsidRDefault="00EA4AEF" w:rsidP="000C062B">
            <w:pPr>
              <w:pStyle w:val="ARtabletext0"/>
              <w:cnfStyle w:val="000000000000" w:firstRow="0" w:lastRow="0" w:firstColumn="0" w:lastColumn="0" w:oddVBand="0" w:evenVBand="0" w:oddHBand="0" w:evenHBand="0" w:firstRowFirstColumn="0" w:firstRowLastColumn="0" w:lastRowFirstColumn="0" w:lastRowLastColumn="0"/>
            </w:pPr>
            <w:r w:rsidRPr="005263DA">
              <w:t>LGBTIQA+ equality policy and programs</w:t>
            </w:r>
          </w:p>
          <w:p w14:paraId="5DC0C7D5" w14:textId="77777777" w:rsidR="00EA4AEF" w:rsidRPr="005263DA" w:rsidRDefault="00EA4AEF" w:rsidP="000C062B">
            <w:pPr>
              <w:pStyle w:val="ARtabletext0"/>
              <w:cnfStyle w:val="000000000000" w:firstRow="0" w:lastRow="0" w:firstColumn="0" w:lastColumn="0" w:oddVBand="0" w:evenVBand="0" w:oddHBand="0" w:evenHBand="0" w:firstRowFirstColumn="0" w:firstRowLastColumn="0" w:lastRowFirstColumn="0" w:lastRowLastColumn="0"/>
            </w:pPr>
            <w:r w:rsidRPr="005263DA">
              <w:t>Women’s policy</w:t>
            </w:r>
          </w:p>
          <w:p w14:paraId="59FE4A6F" w14:textId="46111076" w:rsidR="00EA4AEF" w:rsidRPr="005263DA" w:rsidRDefault="00EA4AEF" w:rsidP="000C062B">
            <w:pPr>
              <w:pStyle w:val="ARtabletext0"/>
              <w:cnfStyle w:val="000000000000" w:firstRow="0" w:lastRow="0" w:firstColumn="0" w:lastColumn="0" w:oddVBand="0" w:evenVBand="0" w:oddHBand="0" w:evenHBand="0" w:firstRowFirstColumn="0" w:firstRowLastColumn="0" w:lastRowFirstColumn="0" w:lastRowLastColumn="0"/>
            </w:pPr>
            <w:r w:rsidRPr="005263DA">
              <w:t>Youth</w:t>
            </w:r>
          </w:p>
        </w:tc>
      </w:tr>
      <w:tr w:rsidR="00EA4AEF" w:rsidRPr="005263DA" w14:paraId="42E4BAEF" w14:textId="77777777" w:rsidTr="008457AC">
        <w:tc>
          <w:tcPr>
            <w:tcW w:w="2552" w:type="dxa"/>
            <w:tcBorders>
              <w:bottom w:val="single" w:sz="4" w:space="0" w:color="A6A6A6"/>
            </w:tcBorders>
          </w:tcPr>
          <w:p w14:paraId="76122200" w14:textId="2472B5C0" w:rsidR="00EA4AEF" w:rsidRPr="005263DA" w:rsidRDefault="00EA4AEF" w:rsidP="00EA4AEF">
            <w:pPr>
              <w:pStyle w:val="ARTabletext"/>
              <w:rPr>
                <w:rFonts w:eastAsia="Times"/>
                <w:lang w:eastAsia="en-AU"/>
              </w:rPr>
            </w:pPr>
            <w:r w:rsidRPr="005263DA">
              <w:rPr>
                <w:lang w:eastAsia="en-AU"/>
              </w:rPr>
              <w:t>All Victorians have stable,</w:t>
            </w:r>
            <w:r w:rsidR="008457AC">
              <w:rPr>
                <w:lang w:eastAsia="en-AU"/>
              </w:rPr>
              <w:t> </w:t>
            </w:r>
            <w:r w:rsidRPr="005263DA">
              <w:rPr>
                <w:lang w:eastAsia="en-AU"/>
              </w:rPr>
              <w:t>affordable and appropriate housing</w:t>
            </w:r>
          </w:p>
        </w:tc>
        <w:tc>
          <w:tcPr>
            <w:cnfStyle w:val="000001000000" w:firstRow="0" w:lastRow="0" w:firstColumn="0" w:lastColumn="0" w:oddVBand="0" w:evenVBand="1" w:oddHBand="0" w:evenHBand="0" w:firstRowFirstColumn="0" w:firstRowLastColumn="0" w:lastRowFirstColumn="0" w:lastRowLastColumn="0"/>
            <w:tcW w:w="5051" w:type="dxa"/>
            <w:tcBorders>
              <w:bottom w:val="single" w:sz="4" w:space="0" w:color="A6A6A6"/>
            </w:tcBorders>
            <w:tcMar>
              <w:left w:w="113" w:type="dxa"/>
            </w:tcMar>
          </w:tcPr>
          <w:p w14:paraId="4F83CAAA" w14:textId="77777777" w:rsidR="00EA4AEF" w:rsidRPr="005263DA" w:rsidRDefault="00EA4AEF" w:rsidP="006E1D39">
            <w:pPr>
              <w:pStyle w:val="ARTabletext"/>
            </w:pPr>
            <w:r w:rsidRPr="005263DA">
              <w:t xml:space="preserve">Increase the supply and availability of quality housing within people’s means </w:t>
            </w:r>
          </w:p>
          <w:p w14:paraId="0E02C4A9" w14:textId="77777777" w:rsidR="00EA4AEF" w:rsidRPr="005263DA" w:rsidRDefault="00EA4AEF" w:rsidP="006E1D39">
            <w:pPr>
              <w:pStyle w:val="ARTabletext"/>
            </w:pPr>
            <w:r w:rsidRPr="005263DA">
              <w:t>Improve the quality, environmental sustainability, appropriateness and accessibility of social housing</w:t>
            </w:r>
          </w:p>
          <w:p w14:paraId="1B3F4643" w14:textId="77777777" w:rsidR="00EA4AEF" w:rsidRPr="005263DA" w:rsidRDefault="00EA4AEF" w:rsidP="006E1D39">
            <w:pPr>
              <w:pStyle w:val="ARTabletext"/>
            </w:pPr>
            <w:r w:rsidRPr="005263DA">
              <w:t>Increase housing stability for people experiencing or at risk of rough sleeping, homelessness, and other insecure housing arrangements</w:t>
            </w:r>
          </w:p>
          <w:p w14:paraId="65773B06" w14:textId="77777777" w:rsidR="00EA4AEF" w:rsidRPr="005263DA" w:rsidRDefault="00EA4AEF" w:rsidP="006E1D39">
            <w:pPr>
              <w:pStyle w:val="ARTabletext"/>
            </w:pPr>
            <w:r w:rsidRPr="005263DA">
              <w:t>Increase financial ability to access and maintain housing and utility services</w:t>
            </w:r>
          </w:p>
          <w:p w14:paraId="2A204859" w14:textId="77777777" w:rsidR="00EA4AEF" w:rsidRPr="005263DA" w:rsidRDefault="00EA4AEF" w:rsidP="006E1D39">
            <w:pPr>
              <w:pStyle w:val="ARTabletext"/>
            </w:pPr>
            <w:r w:rsidRPr="005263DA">
              <w:t>Increase Aboriginal residents’ connection to community, culture and place</w:t>
            </w:r>
          </w:p>
          <w:p w14:paraId="338438C7" w14:textId="77777777" w:rsidR="00EA4AEF" w:rsidRPr="005263DA" w:rsidRDefault="00EA4AEF" w:rsidP="006E1D39">
            <w:pPr>
              <w:pStyle w:val="ARTabletext"/>
            </w:pPr>
            <w:r w:rsidRPr="005263DA">
              <w:t>Increase the proportion of Aboriginal people living in appropriately sized (not overcrowded) housing</w:t>
            </w:r>
          </w:p>
          <w:p w14:paraId="30AF3F3B" w14:textId="043E2810" w:rsidR="00EA4AEF" w:rsidRPr="005263DA" w:rsidRDefault="00EA4AEF" w:rsidP="006E1D39">
            <w:pPr>
              <w:pStyle w:val="ARTabletext"/>
              <w:rPr>
                <w:rFonts w:eastAsia="Times"/>
                <w:lang w:eastAsia="en-AU"/>
              </w:rPr>
            </w:pPr>
            <w:r w:rsidRPr="005263DA">
              <w:t>Improve transitions to independent living</w:t>
            </w:r>
            <w:r w:rsidR="003F5D81">
              <w:rPr>
                <w:rFonts w:eastAsia="Times"/>
              </w:rPr>
              <w:t> </w:t>
            </w:r>
            <w:r w:rsidRPr="005263DA">
              <w:t>arrangements</w:t>
            </w:r>
          </w:p>
        </w:tc>
        <w:tc>
          <w:tcPr>
            <w:tcW w:w="1757" w:type="dxa"/>
            <w:tcBorders>
              <w:bottom w:val="single" w:sz="4" w:space="0" w:color="A6A6A6"/>
            </w:tcBorders>
            <w:tcMar>
              <w:left w:w="113" w:type="dxa"/>
            </w:tcMar>
          </w:tcPr>
          <w:p w14:paraId="256AF33C" w14:textId="77777777" w:rsidR="00EA4AEF" w:rsidRPr="005263DA" w:rsidRDefault="00EA4AEF" w:rsidP="000C062B">
            <w:pPr>
              <w:pStyle w:val="ARtabletext0"/>
              <w:cnfStyle w:val="000000000000" w:firstRow="0" w:lastRow="0" w:firstColumn="0" w:lastColumn="0" w:oddVBand="0" w:evenVBand="0" w:oddHBand="0" w:evenHBand="0" w:firstRowFirstColumn="0" w:firstRowLastColumn="0" w:lastRowFirstColumn="0" w:lastRowLastColumn="0"/>
            </w:pPr>
            <w:r w:rsidRPr="005263DA">
              <w:t xml:space="preserve">Concessions to pensioners and beneficiaries </w:t>
            </w:r>
          </w:p>
          <w:p w14:paraId="4E197D32" w14:textId="13020FA7" w:rsidR="00EA4AEF" w:rsidRPr="005263DA" w:rsidRDefault="00EA4AEF" w:rsidP="000C062B">
            <w:pPr>
              <w:pStyle w:val="ARtabletext0"/>
              <w:cnfStyle w:val="000000000000" w:firstRow="0" w:lastRow="0" w:firstColumn="0" w:lastColumn="0" w:oddVBand="0" w:evenVBand="0" w:oddHBand="0" w:evenHBand="0" w:firstRowFirstColumn="0" w:firstRowLastColumn="0" w:lastRowFirstColumn="0" w:lastRowLastColumn="0"/>
            </w:pPr>
            <w:r w:rsidRPr="005263DA">
              <w:t>Housing assistance</w:t>
            </w:r>
          </w:p>
        </w:tc>
      </w:tr>
      <w:tr w:rsidR="00EA4AEF" w:rsidRPr="005263DA" w14:paraId="345A6E80" w14:textId="77777777" w:rsidTr="008457AC">
        <w:tc>
          <w:tcPr>
            <w:tcW w:w="2552" w:type="dxa"/>
            <w:tcBorders>
              <w:top w:val="single" w:sz="4" w:space="0" w:color="A6A6A6"/>
              <w:bottom w:val="single" w:sz="4" w:space="0" w:color="000000" w:themeColor="text1"/>
            </w:tcBorders>
          </w:tcPr>
          <w:p w14:paraId="667922A0" w14:textId="511F3EC0" w:rsidR="00EA4AEF" w:rsidRPr="005263DA" w:rsidRDefault="00EA4AEF" w:rsidP="00EA4AEF">
            <w:pPr>
              <w:pStyle w:val="ARTabletext"/>
              <w:rPr>
                <w:rFonts w:eastAsia="Times"/>
                <w:lang w:eastAsia="en-AU"/>
              </w:rPr>
            </w:pPr>
            <w:r w:rsidRPr="005263DA">
              <w:rPr>
                <w:lang w:eastAsia="en-AU"/>
              </w:rPr>
              <w:t>Our social services system is integrated, effective, person-centred and sustainable</w:t>
            </w:r>
          </w:p>
        </w:tc>
        <w:tc>
          <w:tcPr>
            <w:cnfStyle w:val="000001000000" w:firstRow="0" w:lastRow="0" w:firstColumn="0" w:lastColumn="0" w:oddVBand="0" w:evenVBand="1" w:oddHBand="0" w:evenHBand="0" w:firstRowFirstColumn="0" w:firstRowLastColumn="0" w:lastRowFirstColumn="0" w:lastRowLastColumn="0"/>
            <w:tcW w:w="5051" w:type="dxa"/>
            <w:tcBorders>
              <w:top w:val="single" w:sz="4" w:space="0" w:color="A6A6A6"/>
              <w:bottom w:val="single" w:sz="4" w:space="0" w:color="000000" w:themeColor="text1"/>
            </w:tcBorders>
            <w:tcMar>
              <w:left w:w="113" w:type="dxa"/>
            </w:tcMar>
          </w:tcPr>
          <w:p w14:paraId="36B737B9" w14:textId="2F651A9A" w:rsidR="00EA4AEF" w:rsidRPr="005263DA" w:rsidRDefault="00EA4AEF" w:rsidP="006E1D39">
            <w:pPr>
              <w:pStyle w:val="ARTabletext"/>
              <w:rPr>
                <w:lang w:eastAsia="en-AU"/>
              </w:rPr>
            </w:pPr>
            <w:r w:rsidRPr="005263DA">
              <w:rPr>
                <w:lang w:eastAsia="en-AU"/>
              </w:rPr>
              <w:t>Improve the quality, safety and effectiveness of</w:t>
            </w:r>
            <w:r w:rsidR="003F5D81">
              <w:rPr>
                <w:lang w:eastAsia="en-AU"/>
              </w:rPr>
              <w:t> </w:t>
            </w:r>
            <w:r w:rsidRPr="005263DA">
              <w:rPr>
                <w:lang w:eastAsia="en-AU"/>
              </w:rPr>
              <w:t>service</w:t>
            </w:r>
            <w:r w:rsidR="002045B1">
              <w:rPr>
                <w:lang w:eastAsia="en-AU"/>
              </w:rPr>
              <w:t> </w:t>
            </w:r>
            <w:r w:rsidRPr="005263DA">
              <w:rPr>
                <w:lang w:eastAsia="en-AU"/>
              </w:rPr>
              <w:t>delivery</w:t>
            </w:r>
          </w:p>
          <w:p w14:paraId="2DE1843B" w14:textId="5EE52F47" w:rsidR="00EA4AEF" w:rsidRPr="005263DA" w:rsidRDefault="00EA4AEF" w:rsidP="006E1D39">
            <w:pPr>
              <w:pStyle w:val="ARTabletext"/>
              <w:rPr>
                <w:lang w:eastAsia="en-AU"/>
              </w:rPr>
            </w:pPr>
            <w:r w:rsidRPr="005263DA">
              <w:rPr>
                <w:lang w:eastAsia="en-AU"/>
              </w:rPr>
              <w:t>Increase responsiveness of services to diversity and</w:t>
            </w:r>
            <w:r w:rsidR="00560BDE">
              <w:rPr>
                <w:lang w:eastAsia="en-AU"/>
              </w:rPr>
              <w:t> </w:t>
            </w:r>
            <w:r w:rsidRPr="005263DA">
              <w:rPr>
                <w:lang w:eastAsia="en-AU"/>
              </w:rPr>
              <w:t>intersectionality</w:t>
            </w:r>
          </w:p>
          <w:p w14:paraId="3F9AA4F9" w14:textId="77777777" w:rsidR="00EA4AEF" w:rsidRPr="005263DA" w:rsidRDefault="00EA4AEF" w:rsidP="006E1D39">
            <w:pPr>
              <w:pStyle w:val="ARTabletext"/>
              <w:rPr>
                <w:lang w:eastAsia="en-AU"/>
              </w:rPr>
            </w:pPr>
            <w:r w:rsidRPr="005263DA">
              <w:rPr>
                <w:lang w:eastAsia="en-AU"/>
              </w:rPr>
              <w:t>Improve access to services</w:t>
            </w:r>
          </w:p>
          <w:p w14:paraId="2AB7C09F" w14:textId="77777777" w:rsidR="00EA4AEF" w:rsidRPr="005263DA" w:rsidRDefault="00EA4AEF" w:rsidP="006E1D39">
            <w:pPr>
              <w:pStyle w:val="ARTabletext"/>
              <w:rPr>
                <w:lang w:eastAsia="en-AU"/>
              </w:rPr>
            </w:pPr>
            <w:r w:rsidRPr="005263DA">
              <w:rPr>
                <w:lang w:eastAsia="en-AU"/>
              </w:rPr>
              <w:t>Increase the voice of clients, people with lived experience and diverse communities in the design, delivery and evaluation of policies and services</w:t>
            </w:r>
          </w:p>
          <w:p w14:paraId="66655745" w14:textId="68F1EBC9" w:rsidR="00EA4AEF" w:rsidRPr="005263DA" w:rsidRDefault="00EA4AEF" w:rsidP="006E1D39">
            <w:pPr>
              <w:pStyle w:val="ARTabletext"/>
              <w:rPr>
                <w:lang w:eastAsia="en-AU"/>
              </w:rPr>
            </w:pPr>
            <w:r w:rsidRPr="005263DA">
              <w:rPr>
                <w:lang w:eastAsia="en-AU"/>
              </w:rPr>
              <w:t>Increase effective organisational oversight and</w:t>
            </w:r>
            <w:r w:rsidR="00361CEC">
              <w:rPr>
                <w:lang w:eastAsia="en-AU"/>
              </w:rPr>
              <w:t> </w:t>
            </w:r>
            <w:r w:rsidRPr="005263DA">
              <w:rPr>
                <w:lang w:eastAsia="en-AU"/>
              </w:rPr>
              <w:t xml:space="preserve">financial management </w:t>
            </w:r>
          </w:p>
          <w:p w14:paraId="58D1E528" w14:textId="7F22202C" w:rsidR="00EA4AEF" w:rsidRPr="005263DA" w:rsidRDefault="00EA4AEF" w:rsidP="006E1D39">
            <w:pPr>
              <w:pStyle w:val="ARTabletext"/>
              <w:rPr>
                <w:lang w:eastAsia="en-AU"/>
              </w:rPr>
            </w:pPr>
            <w:r w:rsidRPr="005263DA">
              <w:rPr>
                <w:lang w:eastAsia="en-AU"/>
              </w:rPr>
              <w:t>Increase system agility, responsiveness and</w:t>
            </w:r>
            <w:r w:rsidR="003F5D81">
              <w:rPr>
                <w:lang w:eastAsia="en-AU"/>
              </w:rPr>
              <w:t> </w:t>
            </w:r>
            <w:r w:rsidRPr="005263DA">
              <w:rPr>
                <w:lang w:eastAsia="en-AU"/>
              </w:rPr>
              <w:t>resilience</w:t>
            </w:r>
          </w:p>
          <w:p w14:paraId="07510960" w14:textId="135E35A2" w:rsidR="00EA4AEF" w:rsidRPr="005263DA" w:rsidRDefault="00EA4AEF" w:rsidP="006E1D39">
            <w:pPr>
              <w:pStyle w:val="ARTabletext"/>
              <w:rPr>
                <w:lang w:eastAsia="en-AU"/>
              </w:rPr>
            </w:pPr>
            <w:r w:rsidRPr="005263DA">
              <w:rPr>
                <w:lang w:eastAsia="en-AU"/>
              </w:rPr>
              <w:t>Increase effectiveness, appropriateness and</w:t>
            </w:r>
            <w:r w:rsidR="00361CEC">
              <w:rPr>
                <w:lang w:eastAsia="en-AU"/>
              </w:rPr>
              <w:t> </w:t>
            </w:r>
            <w:r w:rsidRPr="005263DA">
              <w:rPr>
                <w:lang w:eastAsia="en-AU"/>
              </w:rPr>
              <w:t>integration of</w:t>
            </w:r>
            <w:r w:rsidR="006E1D39">
              <w:rPr>
                <w:lang w:eastAsia="en-AU"/>
              </w:rPr>
              <w:t> </w:t>
            </w:r>
            <w:r w:rsidRPr="005263DA">
              <w:rPr>
                <w:lang w:eastAsia="en-AU"/>
              </w:rPr>
              <w:t>technology, IT systems and</w:t>
            </w:r>
            <w:r w:rsidR="00361CEC">
              <w:rPr>
                <w:lang w:eastAsia="en-AU"/>
              </w:rPr>
              <w:t> </w:t>
            </w:r>
            <w:r w:rsidRPr="005263DA">
              <w:rPr>
                <w:lang w:eastAsia="en-AU"/>
              </w:rPr>
              <w:t xml:space="preserve">information management </w:t>
            </w:r>
          </w:p>
          <w:p w14:paraId="4AE1532F" w14:textId="4132DD65" w:rsidR="00EA4AEF" w:rsidRPr="005263DA" w:rsidRDefault="00EA4AEF" w:rsidP="006E1D39">
            <w:pPr>
              <w:pStyle w:val="ARTabletext"/>
              <w:rPr>
                <w:lang w:eastAsia="en-AU"/>
              </w:rPr>
            </w:pPr>
            <w:r w:rsidRPr="005263DA">
              <w:rPr>
                <w:lang w:eastAsia="en-AU"/>
              </w:rPr>
              <w:t>Improve workforce health, safety, wellbeing, capability and</w:t>
            </w:r>
            <w:r w:rsidR="006E1D39">
              <w:rPr>
                <w:lang w:eastAsia="en-AU"/>
              </w:rPr>
              <w:t> </w:t>
            </w:r>
            <w:r w:rsidRPr="005263DA">
              <w:rPr>
                <w:lang w:eastAsia="en-AU"/>
              </w:rPr>
              <w:t>diversity</w:t>
            </w:r>
          </w:p>
          <w:p w14:paraId="503233A8" w14:textId="41410B77" w:rsidR="00EA4AEF" w:rsidRPr="005263DA" w:rsidRDefault="00EA4AEF" w:rsidP="006E1D39">
            <w:pPr>
              <w:pStyle w:val="ARTabletext"/>
              <w:rPr>
                <w:rFonts w:eastAsia="Times"/>
                <w:lang w:eastAsia="en-AU"/>
              </w:rPr>
            </w:pPr>
            <w:r w:rsidRPr="005263DA">
              <w:rPr>
                <w:lang w:eastAsia="en-AU"/>
              </w:rPr>
              <w:t>Increase use of evidence, analytics, evaluation, outcome measurement and data to inform planning, investment, practice and policy design</w:t>
            </w:r>
          </w:p>
        </w:tc>
        <w:tc>
          <w:tcPr>
            <w:tcW w:w="1757" w:type="dxa"/>
            <w:tcBorders>
              <w:top w:val="single" w:sz="4" w:space="0" w:color="A6A6A6"/>
              <w:bottom w:val="single" w:sz="4" w:space="0" w:color="000000" w:themeColor="text1"/>
            </w:tcBorders>
            <w:tcMar>
              <w:left w:w="113" w:type="dxa"/>
            </w:tcMar>
          </w:tcPr>
          <w:p w14:paraId="30F4A493" w14:textId="7761A274" w:rsidR="00EA4AEF" w:rsidRPr="005263DA" w:rsidRDefault="00EA4AEF" w:rsidP="000C062B">
            <w:pPr>
              <w:pStyle w:val="ARTabletext"/>
              <w:cnfStyle w:val="000000000000" w:firstRow="0" w:lastRow="0" w:firstColumn="0" w:lastColumn="0" w:oddVBand="0" w:evenVBand="0" w:oddHBand="0" w:evenHBand="0" w:firstRowFirstColumn="0" w:firstRowLastColumn="0" w:lastRowFirstColumn="0" w:lastRowLastColumn="0"/>
              <w:rPr>
                <w:rFonts w:eastAsia="Times"/>
                <w:lang w:eastAsia="en-AU"/>
              </w:rPr>
            </w:pPr>
            <w:r w:rsidRPr="005263DA">
              <w:rPr>
                <w:lang w:eastAsia="en-AU"/>
              </w:rPr>
              <w:t>All departmental outputs</w:t>
            </w:r>
          </w:p>
        </w:tc>
      </w:tr>
    </w:tbl>
    <w:p w14:paraId="5F420B48" w14:textId="6CA91CBA" w:rsidR="005263DA" w:rsidRPr="005263DA" w:rsidRDefault="005263DA" w:rsidP="003F5D81">
      <w:pPr>
        <w:pStyle w:val="Heading2"/>
        <w:rPr>
          <w:rFonts w:eastAsia="MS Gothic"/>
        </w:rPr>
      </w:pPr>
      <w:bookmarkStart w:id="52" w:name="_Toc241131697"/>
      <w:r w:rsidRPr="005263DA">
        <w:rPr>
          <w:rFonts w:eastAsia="MS Gothic"/>
        </w:rPr>
        <w:t xml:space="preserve">Changes to the department during </w:t>
      </w:r>
      <w:bookmarkEnd w:id="51"/>
      <w:r w:rsidRPr="005263DA">
        <w:rPr>
          <w:rFonts w:eastAsia="MS Gothic"/>
        </w:rPr>
        <w:t>2025</w:t>
      </w:r>
      <w:r w:rsidR="00C0062A">
        <w:rPr>
          <w:rFonts w:eastAsia="MS Gothic"/>
        </w:rPr>
        <w:t>–</w:t>
      </w:r>
      <w:r w:rsidRPr="005263DA">
        <w:rPr>
          <w:rFonts w:eastAsia="MS Gothic"/>
        </w:rPr>
        <w:t>26</w:t>
      </w:r>
      <w:bookmarkEnd w:id="52"/>
    </w:p>
    <w:p w14:paraId="03B7BD13" w14:textId="77777777" w:rsidR="005263DA" w:rsidRPr="005263DA" w:rsidRDefault="005263DA" w:rsidP="00153C5C">
      <w:pPr>
        <w:pStyle w:val="ARbodybeforetable"/>
      </w:pPr>
      <w:r w:rsidRPr="005263DA">
        <w:t>The department has made changes to its output structure for 2025–26 as shown in the table below.</w:t>
      </w:r>
    </w:p>
    <w:tbl>
      <w:tblPr>
        <w:tblStyle w:val="DFFHtable21"/>
        <w:tblW w:w="9639" w:type="dxa"/>
        <w:tblLook w:val="02E0" w:firstRow="1" w:lastRow="1" w:firstColumn="1" w:lastColumn="0" w:noHBand="1" w:noVBand="0"/>
      </w:tblPr>
      <w:tblGrid>
        <w:gridCol w:w="1701"/>
        <w:gridCol w:w="2977"/>
        <w:gridCol w:w="4961"/>
      </w:tblGrid>
      <w:tr w:rsidR="005263DA" w:rsidRPr="005263DA" w14:paraId="55D9BE4A" w14:textId="77777777" w:rsidTr="00E86BDC">
        <w:trPr>
          <w:cnfStyle w:val="100000000000" w:firstRow="1" w:lastRow="0" w:firstColumn="0" w:lastColumn="0" w:oddVBand="0" w:evenVBand="0" w:oddHBand="0" w:evenHBand="0" w:firstRowFirstColumn="0" w:firstRowLastColumn="0" w:lastRowFirstColumn="0" w:lastRowLastColumn="0"/>
          <w:trHeight w:val="113"/>
          <w:tblHeader/>
        </w:trPr>
        <w:tc>
          <w:tcPr>
            <w:tcW w:w="1701" w:type="dxa"/>
            <w:hideMark/>
          </w:tcPr>
          <w:p w14:paraId="3ADD354E" w14:textId="77777777" w:rsidR="005263DA" w:rsidRPr="005263DA" w:rsidRDefault="005263DA" w:rsidP="003F5D81">
            <w:pPr>
              <w:pStyle w:val="ARtablecolhead"/>
              <w:rPr>
                <w:lang w:eastAsia="en-AU"/>
              </w:rPr>
            </w:pPr>
            <w:r w:rsidRPr="005263DA">
              <w:rPr>
                <w:lang w:eastAsia="en-AU"/>
              </w:rPr>
              <w:t>2024–25 outputs</w:t>
            </w:r>
          </w:p>
        </w:tc>
        <w:tc>
          <w:tcPr>
            <w:cnfStyle w:val="000001000000" w:firstRow="0" w:lastRow="0" w:firstColumn="0" w:lastColumn="0" w:oddVBand="0" w:evenVBand="1" w:oddHBand="0" w:evenHBand="0" w:firstRowFirstColumn="0" w:firstRowLastColumn="0" w:lastRowFirstColumn="0" w:lastRowLastColumn="0"/>
            <w:tcW w:w="2977" w:type="dxa"/>
            <w:hideMark/>
          </w:tcPr>
          <w:p w14:paraId="5352BC0A" w14:textId="77777777" w:rsidR="005263DA" w:rsidRPr="005263DA" w:rsidRDefault="005263DA" w:rsidP="003F5D81">
            <w:pPr>
              <w:pStyle w:val="ARtablecolhead"/>
              <w:rPr>
                <w:lang w:eastAsia="en-AU"/>
              </w:rPr>
            </w:pPr>
            <w:r w:rsidRPr="005263DA">
              <w:rPr>
                <w:lang w:eastAsia="en-AU"/>
              </w:rPr>
              <w:t>2025–26 outputs</w:t>
            </w:r>
          </w:p>
        </w:tc>
        <w:tc>
          <w:tcPr>
            <w:tcW w:w="4961" w:type="dxa"/>
            <w:hideMark/>
          </w:tcPr>
          <w:p w14:paraId="2804A925" w14:textId="77777777" w:rsidR="005263DA" w:rsidRPr="005263DA" w:rsidRDefault="005263DA" w:rsidP="003F5D81">
            <w:pPr>
              <w:pStyle w:val="ARtablecolhead"/>
              <w:cnfStyle w:val="100000000000" w:firstRow="1" w:lastRow="0" w:firstColumn="0" w:lastColumn="0" w:oddVBand="0" w:evenVBand="0" w:oddHBand="0" w:evenHBand="0" w:firstRowFirstColumn="0" w:firstRowLastColumn="0" w:lastRowFirstColumn="0" w:lastRowLastColumn="0"/>
              <w:rPr>
                <w:lang w:eastAsia="en-AU"/>
              </w:rPr>
            </w:pPr>
            <w:r w:rsidRPr="005263DA">
              <w:rPr>
                <w:lang w:eastAsia="en-AU"/>
              </w:rPr>
              <w:t>Reason</w:t>
            </w:r>
          </w:p>
        </w:tc>
      </w:tr>
      <w:tr w:rsidR="005263DA" w:rsidRPr="005263DA" w14:paraId="4D8F48A1" w14:textId="77777777" w:rsidTr="00E86BDC">
        <w:trPr>
          <w:trHeight w:val="961"/>
        </w:trPr>
        <w:tc>
          <w:tcPr>
            <w:tcW w:w="1701" w:type="dxa"/>
            <w:hideMark/>
          </w:tcPr>
          <w:p w14:paraId="6FE158E5" w14:textId="78AFB535" w:rsidR="005263DA" w:rsidRPr="003F5D81" w:rsidRDefault="005263DA" w:rsidP="003F5D81">
            <w:pPr>
              <w:pStyle w:val="ARTabletext"/>
              <w:rPr>
                <w:rFonts w:eastAsia="Calibri"/>
                <w:lang w:eastAsia="en-AU"/>
              </w:rPr>
            </w:pPr>
            <w:r w:rsidRPr="005263DA">
              <w:rPr>
                <w:lang w:eastAsia="en-AU"/>
              </w:rPr>
              <w:t>Office for Disability</w:t>
            </w:r>
          </w:p>
        </w:tc>
        <w:tc>
          <w:tcPr>
            <w:cnfStyle w:val="000001000000" w:firstRow="0" w:lastRow="0" w:firstColumn="0" w:lastColumn="0" w:oddVBand="0" w:evenVBand="1" w:oddHBand="0" w:evenHBand="0" w:firstRowFirstColumn="0" w:firstRowLastColumn="0" w:lastRowFirstColumn="0" w:lastRowLastColumn="0"/>
            <w:tcW w:w="2977" w:type="dxa"/>
            <w:hideMark/>
          </w:tcPr>
          <w:p w14:paraId="331C4E91" w14:textId="28EB3348" w:rsidR="005263DA" w:rsidRPr="005263DA" w:rsidRDefault="005263DA" w:rsidP="003F5D81">
            <w:pPr>
              <w:pStyle w:val="ARTabletext"/>
              <w:rPr>
                <w:rFonts w:eastAsia="Times"/>
                <w:highlight w:val="cyan"/>
                <w:lang w:eastAsia="en-AU"/>
              </w:rPr>
            </w:pPr>
            <w:r w:rsidRPr="005263DA">
              <w:rPr>
                <w:rFonts w:eastAsia="Times"/>
                <w:lang w:eastAsia="en-AU"/>
              </w:rPr>
              <w:t>Disability Programs and</w:t>
            </w:r>
            <w:r w:rsidR="003F5D81">
              <w:rPr>
                <w:rFonts w:eastAsia="Times"/>
                <w:lang w:eastAsia="en-AU"/>
              </w:rPr>
              <w:t> </w:t>
            </w:r>
            <w:r w:rsidRPr="005263DA">
              <w:rPr>
                <w:rFonts w:eastAsia="Times"/>
                <w:lang w:eastAsia="en-AU"/>
              </w:rPr>
              <w:t>Services</w:t>
            </w:r>
          </w:p>
        </w:tc>
        <w:tc>
          <w:tcPr>
            <w:tcW w:w="4961" w:type="dxa"/>
            <w:hideMark/>
          </w:tcPr>
          <w:p w14:paraId="5FFED070" w14:textId="7A88E162" w:rsidR="005263DA" w:rsidRPr="005263DA" w:rsidRDefault="005263DA" w:rsidP="003F5D81">
            <w:pPr>
              <w:pStyle w:val="ARTabletext"/>
              <w:cnfStyle w:val="000000000000" w:firstRow="0" w:lastRow="0" w:firstColumn="0" w:lastColumn="0" w:oddVBand="0" w:evenVBand="0" w:oddHBand="0" w:evenHBand="0" w:firstRowFirstColumn="0" w:firstRowLastColumn="0" w:lastRowFirstColumn="0" w:lastRowLastColumn="0"/>
              <w:rPr>
                <w:rFonts w:eastAsia="Times"/>
                <w:highlight w:val="cyan"/>
                <w:lang w:eastAsia="en-AU"/>
              </w:rPr>
            </w:pPr>
            <w:r w:rsidRPr="005263DA">
              <w:rPr>
                <w:rFonts w:eastAsia="Times"/>
                <w:lang w:eastAsia="en-AU"/>
              </w:rPr>
              <w:t>The 2024</w:t>
            </w:r>
            <w:r w:rsidR="00C0062A">
              <w:rPr>
                <w:rFonts w:eastAsia="Times"/>
                <w:lang w:eastAsia="en-AU"/>
              </w:rPr>
              <w:t>–</w:t>
            </w:r>
            <w:r w:rsidRPr="005263DA">
              <w:rPr>
                <w:rFonts w:eastAsia="Times"/>
                <w:lang w:eastAsia="en-AU"/>
              </w:rPr>
              <w:t>25 output Office for Disability has been consolidated into the new Disability Programs and Services output, to</w:t>
            </w:r>
            <w:r w:rsidR="003F5D81">
              <w:rPr>
                <w:rFonts w:eastAsia="Times"/>
                <w:lang w:eastAsia="en-AU"/>
              </w:rPr>
              <w:t> </w:t>
            </w:r>
            <w:r w:rsidRPr="005263DA">
              <w:rPr>
                <w:rFonts w:eastAsia="Times"/>
                <w:lang w:eastAsia="en-AU"/>
              </w:rPr>
              <w:t>align output activities to the State's role following completion of the NDIS transition. Performance measures continue to be reported under the consolidated</w:t>
            </w:r>
            <w:r w:rsidR="003F5D81">
              <w:rPr>
                <w:rFonts w:eastAsia="Times"/>
                <w:lang w:eastAsia="en-AU"/>
              </w:rPr>
              <w:t> </w:t>
            </w:r>
            <w:r w:rsidRPr="005263DA">
              <w:rPr>
                <w:rFonts w:eastAsia="Times"/>
                <w:lang w:eastAsia="en-AU"/>
              </w:rPr>
              <w:t>output.</w:t>
            </w:r>
          </w:p>
        </w:tc>
      </w:tr>
      <w:tr w:rsidR="003F5D81" w:rsidRPr="005263DA" w14:paraId="6A8BBFBB" w14:textId="77777777" w:rsidTr="00E86BDC">
        <w:trPr>
          <w:cnfStyle w:val="010000000000" w:firstRow="0" w:lastRow="1" w:firstColumn="0" w:lastColumn="0" w:oddVBand="0" w:evenVBand="0" w:oddHBand="0" w:evenHBand="0" w:firstRowFirstColumn="0" w:firstRowLastColumn="0" w:lastRowFirstColumn="0" w:lastRowLastColumn="0"/>
          <w:trHeight w:val="113"/>
        </w:trPr>
        <w:tc>
          <w:tcPr>
            <w:tcW w:w="1701" w:type="dxa"/>
          </w:tcPr>
          <w:p w14:paraId="2E7E3916" w14:textId="56C1616C" w:rsidR="003F5D81" w:rsidRPr="005263DA" w:rsidRDefault="003F5D81" w:rsidP="003F5D81">
            <w:pPr>
              <w:pStyle w:val="ARTabletext"/>
              <w:rPr>
                <w:lang w:eastAsia="en-AU"/>
              </w:rPr>
            </w:pPr>
            <w:r w:rsidRPr="005263DA">
              <w:rPr>
                <w:rFonts w:eastAsia="Times"/>
                <w:lang w:eastAsia="en-AU"/>
              </w:rPr>
              <w:t>Disability Services</w:t>
            </w:r>
          </w:p>
        </w:tc>
        <w:tc>
          <w:tcPr>
            <w:cnfStyle w:val="000001000000" w:firstRow="0" w:lastRow="0" w:firstColumn="0" w:lastColumn="0" w:oddVBand="0" w:evenVBand="1" w:oddHBand="0" w:evenHBand="0" w:firstRowFirstColumn="0" w:firstRowLastColumn="0" w:lastRowFirstColumn="0" w:lastRowLastColumn="0"/>
            <w:tcW w:w="2977" w:type="dxa"/>
          </w:tcPr>
          <w:p w14:paraId="3B60CF71" w14:textId="53C357FB" w:rsidR="003F5D81" w:rsidRPr="005263DA" w:rsidRDefault="003F5D81" w:rsidP="003F5D81">
            <w:pPr>
              <w:pStyle w:val="ARTabletext"/>
              <w:rPr>
                <w:rFonts w:eastAsia="Times"/>
                <w:lang w:eastAsia="en-AU"/>
              </w:rPr>
            </w:pPr>
            <w:r w:rsidRPr="005263DA">
              <w:rPr>
                <w:rFonts w:eastAsia="Times"/>
                <w:lang w:eastAsia="en-AU"/>
              </w:rPr>
              <w:t>Disability Programs and</w:t>
            </w:r>
            <w:r>
              <w:rPr>
                <w:rFonts w:eastAsia="Times"/>
                <w:lang w:eastAsia="en-AU"/>
              </w:rPr>
              <w:t> </w:t>
            </w:r>
            <w:r w:rsidRPr="005263DA">
              <w:rPr>
                <w:rFonts w:eastAsia="Times"/>
                <w:lang w:eastAsia="en-AU"/>
              </w:rPr>
              <w:t>Services</w:t>
            </w:r>
          </w:p>
        </w:tc>
        <w:tc>
          <w:tcPr>
            <w:tcW w:w="4961" w:type="dxa"/>
          </w:tcPr>
          <w:p w14:paraId="0C0302B6" w14:textId="195245FE" w:rsidR="003F5D81" w:rsidRPr="005263DA" w:rsidRDefault="003F5D81" w:rsidP="003F5D81">
            <w:pPr>
              <w:pStyle w:val="ARTabletext"/>
              <w:cnfStyle w:val="010000000000" w:firstRow="0" w:lastRow="1" w:firstColumn="0" w:lastColumn="0" w:oddVBand="0" w:evenVBand="0" w:oddHBand="0" w:evenHBand="0" w:firstRowFirstColumn="0" w:firstRowLastColumn="0" w:lastRowFirstColumn="0" w:lastRowLastColumn="0"/>
              <w:rPr>
                <w:rFonts w:eastAsia="Times"/>
                <w:lang w:eastAsia="en-AU"/>
              </w:rPr>
            </w:pPr>
            <w:r w:rsidRPr="00CC051D">
              <w:rPr>
                <w:rFonts w:eastAsia="Times" w:cs="Times New Roman"/>
                <w:lang w:eastAsia="en-AU"/>
              </w:rPr>
              <w:t>The 2024</w:t>
            </w:r>
            <w:r>
              <w:rPr>
                <w:rFonts w:eastAsia="Times" w:cs="Times New Roman"/>
                <w:lang w:eastAsia="en-AU"/>
              </w:rPr>
              <w:t>–</w:t>
            </w:r>
            <w:r w:rsidRPr="00CC051D">
              <w:rPr>
                <w:rFonts w:eastAsia="Times" w:cs="Times New Roman"/>
                <w:lang w:eastAsia="en-AU"/>
              </w:rPr>
              <w:t>25 output Disability Services has</w:t>
            </w:r>
            <w:r>
              <w:rPr>
                <w:rFonts w:eastAsia="Times" w:cs="Times New Roman"/>
                <w:lang w:eastAsia="en-AU"/>
              </w:rPr>
              <w:t> </w:t>
            </w:r>
            <w:r w:rsidRPr="00CC051D">
              <w:rPr>
                <w:rFonts w:eastAsia="Times" w:cs="Times New Roman"/>
                <w:lang w:eastAsia="en-AU"/>
              </w:rPr>
              <w:t>been expanded into the new Disability Programs and Services output and incorporates the Office for Disability output, to</w:t>
            </w:r>
            <w:r w:rsidR="00361CEC">
              <w:rPr>
                <w:rFonts w:eastAsia="Times" w:cs="Times New Roman"/>
                <w:lang w:eastAsia="en-AU"/>
              </w:rPr>
              <w:t> </w:t>
            </w:r>
            <w:r w:rsidRPr="00CC051D">
              <w:rPr>
                <w:rFonts w:eastAsia="Times" w:cs="Times New Roman"/>
                <w:lang w:eastAsia="en-AU"/>
              </w:rPr>
              <w:t>align output activities to the State's role following completion of the NDIS transition. Performance measures continue</w:t>
            </w:r>
            <w:r>
              <w:rPr>
                <w:rFonts w:eastAsia="Times" w:cs="Times New Roman"/>
                <w:lang w:eastAsia="en-AU"/>
              </w:rPr>
              <w:t> </w:t>
            </w:r>
            <w:r w:rsidRPr="00CC051D">
              <w:rPr>
                <w:rFonts w:eastAsia="Times" w:cs="Times New Roman"/>
                <w:lang w:eastAsia="en-AU"/>
              </w:rPr>
              <w:t>to be reported under the consolidated</w:t>
            </w:r>
            <w:r>
              <w:rPr>
                <w:rFonts w:eastAsia="Times" w:cs="Times New Roman"/>
                <w:lang w:eastAsia="en-AU"/>
              </w:rPr>
              <w:t> </w:t>
            </w:r>
            <w:r w:rsidRPr="00CC051D">
              <w:rPr>
                <w:rFonts w:eastAsia="Times" w:cs="Times New Roman"/>
                <w:lang w:eastAsia="en-AU"/>
              </w:rPr>
              <w:t>output.</w:t>
            </w:r>
          </w:p>
        </w:tc>
      </w:tr>
    </w:tbl>
    <w:p w14:paraId="79964BFB" w14:textId="6FDFC0A7" w:rsidR="005263DA" w:rsidRPr="00541B81" w:rsidRDefault="005263DA" w:rsidP="00541B81">
      <w:pPr>
        <w:pStyle w:val="ARBodyaftertablefigure"/>
      </w:pPr>
      <w:r w:rsidRPr="00541B81">
        <w:t>In 2025</w:t>
      </w:r>
      <w:r w:rsidR="00C0062A" w:rsidRPr="00541B81">
        <w:t>–</w:t>
      </w:r>
      <w:r w:rsidRPr="00541B81">
        <w:t xml:space="preserve">26, the department was required to deliver savings in response to government’s directions from the Silver Review recommendations, as well as annual savings requirements. Savings were primarily achieved through reducing the number of staff employed in non-frontline roles. Changes were made in line with the recommendations of the </w:t>
      </w:r>
      <w:proofErr w:type="gramStart"/>
      <w:r w:rsidRPr="00541B81">
        <w:t>Silver</w:t>
      </w:r>
      <w:proofErr w:type="gramEnd"/>
      <w:r w:rsidRPr="00541B81">
        <w:t xml:space="preserve"> review, including by reducing more senior positions and expanding spans of control for executives.</w:t>
      </w:r>
    </w:p>
    <w:p w14:paraId="15EDC7C9" w14:textId="19539BB9" w:rsidR="005263DA" w:rsidRPr="005263DA" w:rsidRDefault="005263DA" w:rsidP="00D11C80">
      <w:pPr>
        <w:pStyle w:val="ARBody"/>
        <w:rPr>
          <w:lang w:eastAsia="en-AU"/>
        </w:rPr>
      </w:pPr>
      <w:r w:rsidRPr="005263DA">
        <w:rPr>
          <w:lang w:eastAsia="en-AU"/>
        </w:rPr>
        <w:t>The change process was conducted consistent with clause 11 of the Victorian Public Service Enterprise Agreement. The new structure commenced 1 July 2026. The overall net reduction was 26 executive positions (including SES and STS classifications) and 140 VPS1-6 positions</w:t>
      </w:r>
      <w:r w:rsidR="00560BDE">
        <w:rPr>
          <w:lang w:eastAsia="en-AU"/>
        </w:rPr>
        <w:t>.</w:t>
      </w:r>
    </w:p>
    <w:p w14:paraId="5E161733" w14:textId="77777777" w:rsidR="005263DA" w:rsidRPr="005263DA" w:rsidRDefault="005263DA" w:rsidP="00153C5C">
      <w:pPr>
        <w:pStyle w:val="Heading3"/>
        <w:rPr>
          <w:lang w:eastAsia="en-AU"/>
        </w:rPr>
      </w:pPr>
      <w:bookmarkStart w:id="53" w:name="_Subsequent_events"/>
      <w:bookmarkEnd w:id="53"/>
      <w:r w:rsidRPr="005263DA">
        <w:rPr>
          <w:lang w:eastAsia="en-AU"/>
        </w:rPr>
        <w:t>Subsequent events</w:t>
      </w:r>
    </w:p>
    <w:p w14:paraId="1084EDAD" w14:textId="77777777" w:rsidR="005263DA" w:rsidRPr="005263DA" w:rsidRDefault="005263DA" w:rsidP="00D11C80">
      <w:pPr>
        <w:pStyle w:val="ARBody"/>
      </w:pPr>
      <w:r w:rsidRPr="005263DA">
        <w:t>The consolidation of several branches and units across the department resulted in a shift in the way work is done. This was particularly evident with the disbanding of the System Reform, Workforce and Engagement (SRWE) division. Teams and units from SRWE that remain are now in other areas of the department.</w:t>
      </w:r>
    </w:p>
    <w:p w14:paraId="10E12C3C" w14:textId="7D6EEE47" w:rsidR="006714A7" w:rsidRDefault="006714A7" w:rsidP="006714A7">
      <w:pPr>
        <w:pStyle w:val="Heading2"/>
      </w:pPr>
      <w:bookmarkStart w:id="54" w:name="_Toc241131698"/>
      <w:r>
        <w:t>Departmental objectives, indicators and outputs</w:t>
      </w:r>
      <w:bookmarkEnd w:id="54"/>
    </w:p>
    <w:p w14:paraId="66FF5C28" w14:textId="5B456930" w:rsidR="006714A7" w:rsidRPr="00F45F11" w:rsidRDefault="006714A7" w:rsidP="006714A7">
      <w:pPr>
        <w:pStyle w:val="Heading3"/>
      </w:pPr>
      <w:bookmarkStart w:id="55" w:name="_Objective:_Children,_young"/>
      <w:bookmarkEnd w:id="55"/>
      <w:r w:rsidRPr="00F45F11">
        <w:t>Objective: Children, young people and families are safe, strong and supported</w:t>
      </w:r>
    </w:p>
    <w:p w14:paraId="6D7F5A66" w14:textId="223D5715" w:rsidR="006714A7" w:rsidRPr="00F45F11" w:rsidRDefault="006714A7" w:rsidP="00153C5C">
      <w:pPr>
        <w:pStyle w:val="ARBody"/>
      </w:pPr>
      <w:r w:rsidRPr="00F45F11">
        <w:t>This objective aims to ensure that Victorian families, carers and individuals have respectful relationships and</w:t>
      </w:r>
      <w:r w:rsidR="00361CEC">
        <w:t> </w:t>
      </w:r>
      <w:r w:rsidRPr="00F45F11">
        <w:t>are safe from harm, fear and neglect in their homes. This includes:</w:t>
      </w:r>
    </w:p>
    <w:p w14:paraId="49BBDC29" w14:textId="77777777" w:rsidR="006714A7" w:rsidRPr="00F45F11" w:rsidRDefault="006714A7" w:rsidP="006714A7">
      <w:pPr>
        <w:pStyle w:val="ARBullet1"/>
      </w:pPr>
      <w:r w:rsidRPr="00F45F11">
        <w:t>addressing the compounding effects of abuse and violence</w:t>
      </w:r>
    </w:p>
    <w:p w14:paraId="46F9FA52" w14:textId="77777777" w:rsidR="006714A7" w:rsidRPr="00F45F11" w:rsidRDefault="006714A7" w:rsidP="006714A7">
      <w:pPr>
        <w:pStyle w:val="ARBullet1"/>
      </w:pPr>
      <w:r w:rsidRPr="00F45F11">
        <w:t>improving support and recovery for both victim survivors and perpetrators</w:t>
      </w:r>
    </w:p>
    <w:p w14:paraId="7F04E511" w14:textId="77777777" w:rsidR="006714A7" w:rsidRPr="00F45F11" w:rsidRDefault="006714A7" w:rsidP="006714A7">
      <w:pPr>
        <w:pStyle w:val="ARBullet1"/>
      </w:pPr>
      <w:r w:rsidRPr="00F45F11">
        <w:t>ensuring the wellbeing of children and young people in care.</w:t>
      </w:r>
    </w:p>
    <w:p w14:paraId="79D4AFBD" w14:textId="77777777" w:rsidR="006714A7" w:rsidRPr="00F45F11" w:rsidRDefault="006714A7" w:rsidP="006714A7">
      <w:pPr>
        <w:pStyle w:val="ARTablecaption"/>
        <w:rPr>
          <w:rFonts w:eastAsia="Times"/>
        </w:rPr>
      </w:pPr>
      <w:r w:rsidRPr="00F45F11">
        <w:rPr>
          <w:rFonts w:eastAsia="Times"/>
        </w:rPr>
        <w:t>Indicator results</w:t>
      </w:r>
    </w:p>
    <w:tbl>
      <w:tblPr>
        <w:tblStyle w:val="ARtable1"/>
        <w:tblW w:w="4930" w:type="pct"/>
        <w:tblLook w:val="02A0" w:firstRow="1" w:lastRow="0" w:firstColumn="1" w:lastColumn="0" w:noHBand="1" w:noVBand="0"/>
      </w:tblPr>
      <w:tblGrid>
        <w:gridCol w:w="4884"/>
        <w:gridCol w:w="1152"/>
        <w:gridCol w:w="1152"/>
        <w:gridCol w:w="1152"/>
        <w:gridCol w:w="1153"/>
      </w:tblGrid>
      <w:tr w:rsidR="006714A7" w:rsidRPr="00F45F11" w14:paraId="6C702515" w14:textId="77777777" w:rsidTr="00361CEC">
        <w:trPr>
          <w:cnfStyle w:val="100000000000" w:firstRow="1" w:lastRow="0" w:firstColumn="0" w:lastColumn="0" w:oddVBand="0" w:evenVBand="0" w:oddHBand="0" w:evenHBand="0" w:firstRowFirstColumn="0" w:firstRowLastColumn="0" w:lastRowFirstColumn="0" w:lastRowLastColumn="0"/>
          <w:trHeight w:val="157"/>
        </w:trPr>
        <w:tc>
          <w:tcPr>
            <w:tcW w:w="4890" w:type="dxa"/>
          </w:tcPr>
          <w:p w14:paraId="6F66DB85" w14:textId="77777777" w:rsidR="006714A7" w:rsidRPr="00F45F11" w:rsidRDefault="006714A7" w:rsidP="009817E6">
            <w:pPr>
              <w:pStyle w:val="ARtablecolhead"/>
              <w:rPr>
                <w:rFonts w:eastAsia="Times"/>
              </w:rPr>
            </w:pPr>
          </w:p>
        </w:tc>
        <w:tc>
          <w:tcPr>
            <w:cnfStyle w:val="000001000000" w:firstRow="0" w:lastRow="0" w:firstColumn="0" w:lastColumn="0" w:oddVBand="0" w:evenVBand="1" w:oddHBand="0" w:evenHBand="0" w:firstRowFirstColumn="0" w:firstRowLastColumn="0" w:lastRowFirstColumn="0" w:lastRowLastColumn="0"/>
            <w:tcW w:w="1153" w:type="dxa"/>
          </w:tcPr>
          <w:p w14:paraId="580072E1" w14:textId="77777777" w:rsidR="006714A7" w:rsidRPr="00F45F11" w:rsidRDefault="006714A7" w:rsidP="009817E6">
            <w:pPr>
              <w:pStyle w:val="ARtablecolheadright"/>
              <w:rPr>
                <w:rFonts w:eastAsia="Times"/>
              </w:rPr>
            </w:pPr>
            <w:r w:rsidRPr="00F45F11">
              <w:rPr>
                <w:rFonts w:eastAsia="Times"/>
              </w:rPr>
              <w:t>2022–23</w:t>
            </w:r>
          </w:p>
        </w:tc>
        <w:tc>
          <w:tcPr>
            <w:tcW w:w="1153" w:type="dxa"/>
          </w:tcPr>
          <w:p w14:paraId="2443FB6E" w14:textId="77777777" w:rsidR="006714A7" w:rsidRPr="00F45F11" w:rsidRDefault="006714A7" w:rsidP="009817E6">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2023–24</w:t>
            </w:r>
          </w:p>
        </w:tc>
        <w:tc>
          <w:tcPr>
            <w:cnfStyle w:val="000001000000" w:firstRow="0" w:lastRow="0" w:firstColumn="0" w:lastColumn="0" w:oddVBand="0" w:evenVBand="1" w:oddHBand="0" w:evenHBand="0" w:firstRowFirstColumn="0" w:firstRowLastColumn="0" w:lastRowFirstColumn="0" w:lastRowLastColumn="0"/>
            <w:tcW w:w="1153" w:type="dxa"/>
          </w:tcPr>
          <w:p w14:paraId="5F116EB2" w14:textId="77777777" w:rsidR="006714A7" w:rsidRPr="00F45F11" w:rsidRDefault="006714A7" w:rsidP="009817E6">
            <w:pPr>
              <w:pStyle w:val="ARtablecolheadright"/>
              <w:rPr>
                <w:rFonts w:eastAsia="Times"/>
              </w:rPr>
            </w:pPr>
            <w:r w:rsidRPr="00F45F11">
              <w:rPr>
                <w:rFonts w:eastAsia="Times"/>
              </w:rPr>
              <w:t>2024–25</w:t>
            </w:r>
          </w:p>
        </w:tc>
        <w:tc>
          <w:tcPr>
            <w:tcW w:w="1154" w:type="dxa"/>
          </w:tcPr>
          <w:p w14:paraId="3AD0844C" w14:textId="77777777" w:rsidR="006714A7" w:rsidRPr="00F45F11" w:rsidRDefault="006714A7" w:rsidP="009817E6">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2025–26</w:t>
            </w:r>
          </w:p>
        </w:tc>
      </w:tr>
      <w:tr w:rsidR="006714A7" w:rsidRPr="00F45F11" w14:paraId="71F54A5B" w14:textId="77777777" w:rsidTr="00361CEC">
        <w:tc>
          <w:tcPr>
            <w:tcW w:w="4890" w:type="dxa"/>
            <w:hideMark/>
          </w:tcPr>
          <w:p w14:paraId="254B8FCA" w14:textId="0020B5BB" w:rsidR="006714A7" w:rsidRPr="00F45F11" w:rsidRDefault="006714A7" w:rsidP="009817E6">
            <w:pPr>
              <w:pStyle w:val="ARTabletext"/>
              <w:rPr>
                <w:rFonts w:eastAsia="Times"/>
                <w:i/>
              </w:rPr>
            </w:pPr>
            <w:r w:rsidRPr="00F45F11">
              <w:rPr>
                <w:rFonts w:eastAsia="Times"/>
              </w:rPr>
              <w:t>Reports to child protection services about the wellbeing and</w:t>
            </w:r>
            <w:r w:rsidR="00361CEC">
              <w:rPr>
                <w:rFonts w:eastAsia="Times"/>
              </w:rPr>
              <w:t> </w:t>
            </w:r>
            <w:r w:rsidRPr="00F45F11">
              <w:rPr>
                <w:rFonts w:eastAsia="Times"/>
              </w:rPr>
              <w:t xml:space="preserve">safety of children </w:t>
            </w:r>
          </w:p>
        </w:tc>
        <w:tc>
          <w:tcPr>
            <w:cnfStyle w:val="000001000000" w:firstRow="0" w:lastRow="0" w:firstColumn="0" w:lastColumn="0" w:oddVBand="0" w:evenVBand="1" w:oddHBand="0" w:evenHBand="0" w:firstRowFirstColumn="0" w:firstRowLastColumn="0" w:lastRowFirstColumn="0" w:lastRowLastColumn="0"/>
            <w:tcW w:w="1153" w:type="dxa"/>
          </w:tcPr>
          <w:p w14:paraId="5ED80748" w14:textId="77777777" w:rsidR="006714A7" w:rsidRPr="00F45F11" w:rsidRDefault="006714A7" w:rsidP="008074B3">
            <w:pPr>
              <w:pStyle w:val="ARtabletextright"/>
              <w:rPr>
                <w:rFonts w:eastAsia="Times"/>
              </w:rPr>
            </w:pPr>
            <w:r w:rsidRPr="00F45F11">
              <w:rPr>
                <w:rFonts w:eastAsia="Times"/>
              </w:rPr>
              <w:t>128,705</w:t>
            </w:r>
          </w:p>
        </w:tc>
        <w:tc>
          <w:tcPr>
            <w:tcW w:w="1153" w:type="dxa"/>
          </w:tcPr>
          <w:p w14:paraId="209C3943" w14:textId="77777777" w:rsidR="006714A7" w:rsidRPr="00F45F11"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139,612</w:t>
            </w:r>
          </w:p>
        </w:tc>
        <w:tc>
          <w:tcPr>
            <w:cnfStyle w:val="000001000000" w:firstRow="0" w:lastRow="0" w:firstColumn="0" w:lastColumn="0" w:oddVBand="0" w:evenVBand="1" w:oddHBand="0" w:evenHBand="0" w:firstRowFirstColumn="0" w:firstRowLastColumn="0" w:lastRowFirstColumn="0" w:lastRowLastColumn="0"/>
            <w:tcW w:w="1153" w:type="dxa"/>
          </w:tcPr>
          <w:p w14:paraId="244D8C98" w14:textId="77777777" w:rsidR="006714A7" w:rsidRPr="00F45F11" w:rsidRDefault="006714A7" w:rsidP="008074B3">
            <w:pPr>
              <w:pStyle w:val="ARtabletextright"/>
              <w:rPr>
                <w:rFonts w:eastAsia="Times"/>
              </w:rPr>
            </w:pPr>
            <w:r w:rsidRPr="00F45F11">
              <w:rPr>
                <w:rFonts w:eastAsia="Times"/>
              </w:rPr>
              <w:t>151,587</w:t>
            </w:r>
          </w:p>
        </w:tc>
        <w:tc>
          <w:tcPr>
            <w:tcW w:w="1154" w:type="dxa"/>
          </w:tcPr>
          <w:p w14:paraId="4E17611C" w14:textId="77777777" w:rsidR="006714A7" w:rsidRPr="00F45F11"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154,227</w:t>
            </w:r>
          </w:p>
        </w:tc>
      </w:tr>
      <w:tr w:rsidR="006714A7" w:rsidRPr="00F45F11" w14:paraId="121E1C52" w14:textId="77777777" w:rsidTr="00361CEC">
        <w:tc>
          <w:tcPr>
            <w:tcW w:w="4890" w:type="dxa"/>
          </w:tcPr>
          <w:p w14:paraId="6A32876E" w14:textId="77777777" w:rsidR="006714A7" w:rsidRPr="00F45F11" w:rsidRDefault="006714A7" w:rsidP="009817E6">
            <w:pPr>
              <w:pStyle w:val="ARTabletext"/>
              <w:rPr>
                <w:rFonts w:eastAsia="Times"/>
              </w:rPr>
            </w:pPr>
            <w:r w:rsidRPr="00F45F11">
              <w:rPr>
                <w:rFonts w:eastAsia="Times"/>
              </w:rPr>
              <w:t xml:space="preserve">Daily average number of children in care placements </w:t>
            </w:r>
          </w:p>
        </w:tc>
        <w:tc>
          <w:tcPr>
            <w:cnfStyle w:val="000001000000" w:firstRow="0" w:lastRow="0" w:firstColumn="0" w:lastColumn="0" w:oddVBand="0" w:evenVBand="1" w:oddHBand="0" w:evenHBand="0" w:firstRowFirstColumn="0" w:firstRowLastColumn="0" w:lastRowFirstColumn="0" w:lastRowLastColumn="0"/>
            <w:tcW w:w="1153" w:type="dxa"/>
          </w:tcPr>
          <w:p w14:paraId="2F828943" w14:textId="77777777" w:rsidR="006714A7" w:rsidRPr="00F45F11" w:rsidRDefault="006714A7" w:rsidP="008074B3">
            <w:pPr>
              <w:pStyle w:val="ARtabletextright"/>
              <w:rPr>
                <w:rFonts w:eastAsia="Times"/>
              </w:rPr>
            </w:pPr>
            <w:r w:rsidRPr="00F45F11">
              <w:rPr>
                <w:rFonts w:eastAsia="Times"/>
              </w:rPr>
              <w:t>9,366</w:t>
            </w:r>
          </w:p>
        </w:tc>
        <w:tc>
          <w:tcPr>
            <w:tcW w:w="1153" w:type="dxa"/>
          </w:tcPr>
          <w:p w14:paraId="3DD8A44F" w14:textId="77777777" w:rsidR="006714A7" w:rsidRPr="00F45F11"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9,316</w:t>
            </w:r>
          </w:p>
        </w:tc>
        <w:tc>
          <w:tcPr>
            <w:cnfStyle w:val="000001000000" w:firstRow="0" w:lastRow="0" w:firstColumn="0" w:lastColumn="0" w:oddVBand="0" w:evenVBand="1" w:oddHBand="0" w:evenHBand="0" w:firstRowFirstColumn="0" w:firstRowLastColumn="0" w:lastRowFirstColumn="0" w:lastRowLastColumn="0"/>
            <w:tcW w:w="1153" w:type="dxa"/>
          </w:tcPr>
          <w:p w14:paraId="3B2443CA" w14:textId="77777777" w:rsidR="006714A7" w:rsidRPr="00F45F11" w:rsidRDefault="006714A7" w:rsidP="008074B3">
            <w:pPr>
              <w:pStyle w:val="ARtabletextright"/>
              <w:rPr>
                <w:rFonts w:eastAsia="Times"/>
              </w:rPr>
            </w:pPr>
            <w:r w:rsidRPr="00F45F11">
              <w:rPr>
                <w:rFonts w:eastAsia="Times"/>
              </w:rPr>
              <w:t>9,288</w:t>
            </w:r>
          </w:p>
        </w:tc>
        <w:tc>
          <w:tcPr>
            <w:tcW w:w="1154" w:type="dxa"/>
          </w:tcPr>
          <w:p w14:paraId="79497518" w14:textId="77777777" w:rsidR="006714A7" w:rsidRPr="00F45F11"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9,145</w:t>
            </w:r>
          </w:p>
        </w:tc>
      </w:tr>
      <w:tr w:rsidR="006714A7" w:rsidRPr="00F45F11" w14:paraId="186D9825" w14:textId="77777777" w:rsidTr="00361CEC">
        <w:tc>
          <w:tcPr>
            <w:tcW w:w="4890" w:type="dxa"/>
            <w:hideMark/>
          </w:tcPr>
          <w:p w14:paraId="28314058" w14:textId="77777777" w:rsidR="006714A7" w:rsidRPr="00F45F11" w:rsidRDefault="006714A7" w:rsidP="009817E6">
            <w:pPr>
              <w:pStyle w:val="ARTabletext"/>
              <w:rPr>
                <w:rFonts w:eastAsia="Times"/>
                <w:i/>
              </w:rPr>
            </w:pPr>
            <w:r w:rsidRPr="00F45F11">
              <w:rPr>
                <w:rFonts w:eastAsia="Times"/>
              </w:rPr>
              <w:t xml:space="preserve">Children and young people in care who have had two or less placements in the past 12 months (not including time at home in parental care) </w:t>
            </w:r>
          </w:p>
        </w:tc>
        <w:tc>
          <w:tcPr>
            <w:cnfStyle w:val="000001000000" w:firstRow="0" w:lastRow="0" w:firstColumn="0" w:lastColumn="0" w:oddVBand="0" w:evenVBand="1" w:oddHBand="0" w:evenHBand="0" w:firstRowFirstColumn="0" w:firstRowLastColumn="0" w:lastRowFirstColumn="0" w:lastRowLastColumn="0"/>
            <w:tcW w:w="1153" w:type="dxa"/>
          </w:tcPr>
          <w:p w14:paraId="047E3F8C" w14:textId="77777777" w:rsidR="006714A7" w:rsidRPr="00F45F11" w:rsidRDefault="006714A7" w:rsidP="008074B3">
            <w:pPr>
              <w:pStyle w:val="ARtabletextright"/>
              <w:rPr>
                <w:rFonts w:eastAsia="Times"/>
              </w:rPr>
            </w:pPr>
            <w:r w:rsidRPr="00F45F11">
              <w:rPr>
                <w:rFonts w:eastAsia="Times"/>
              </w:rPr>
              <w:t>93.1%</w:t>
            </w:r>
          </w:p>
        </w:tc>
        <w:tc>
          <w:tcPr>
            <w:tcW w:w="1153" w:type="dxa"/>
          </w:tcPr>
          <w:p w14:paraId="7A588D96" w14:textId="77777777" w:rsidR="006714A7" w:rsidRPr="00F45F11"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94%</w:t>
            </w:r>
          </w:p>
        </w:tc>
        <w:tc>
          <w:tcPr>
            <w:cnfStyle w:val="000001000000" w:firstRow="0" w:lastRow="0" w:firstColumn="0" w:lastColumn="0" w:oddVBand="0" w:evenVBand="1" w:oddHBand="0" w:evenHBand="0" w:firstRowFirstColumn="0" w:firstRowLastColumn="0" w:lastRowFirstColumn="0" w:lastRowLastColumn="0"/>
            <w:tcW w:w="1153" w:type="dxa"/>
          </w:tcPr>
          <w:p w14:paraId="323CA862" w14:textId="77777777" w:rsidR="006714A7" w:rsidRPr="00F45F11" w:rsidRDefault="006714A7" w:rsidP="008074B3">
            <w:pPr>
              <w:pStyle w:val="ARtabletextright"/>
              <w:rPr>
                <w:rFonts w:eastAsia="Times"/>
              </w:rPr>
            </w:pPr>
            <w:r w:rsidRPr="00F45F11">
              <w:rPr>
                <w:rFonts w:eastAsia="Times"/>
              </w:rPr>
              <w:t>94%</w:t>
            </w:r>
          </w:p>
        </w:tc>
        <w:tc>
          <w:tcPr>
            <w:tcW w:w="1154" w:type="dxa"/>
          </w:tcPr>
          <w:p w14:paraId="5C1478DD" w14:textId="77777777" w:rsidR="006714A7" w:rsidRPr="00F45F11"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94.2%</w:t>
            </w:r>
          </w:p>
        </w:tc>
      </w:tr>
      <w:tr w:rsidR="006714A7" w:rsidRPr="00F45F11" w14:paraId="65EC6BF8" w14:textId="77777777" w:rsidTr="00361CEC">
        <w:tc>
          <w:tcPr>
            <w:tcW w:w="4890" w:type="dxa"/>
            <w:hideMark/>
          </w:tcPr>
          <w:p w14:paraId="3F727F76" w14:textId="56FB1391" w:rsidR="006714A7" w:rsidRPr="00F45F11" w:rsidRDefault="006714A7" w:rsidP="009817E6">
            <w:pPr>
              <w:pStyle w:val="ARTabletext"/>
              <w:rPr>
                <w:rFonts w:eastAsia="Times"/>
                <w:i/>
              </w:rPr>
            </w:pPr>
            <w:r w:rsidRPr="00F45F11">
              <w:rPr>
                <w:rFonts w:eastAsia="Times"/>
              </w:rPr>
              <w:t>Children and young people who were the subject of a</w:t>
            </w:r>
            <w:r w:rsidR="00560BDE">
              <w:rPr>
                <w:rFonts w:eastAsia="Times"/>
              </w:rPr>
              <w:t> </w:t>
            </w:r>
            <w:r w:rsidRPr="00F45F11">
              <w:rPr>
                <w:rFonts w:eastAsia="Times"/>
              </w:rPr>
              <w:t>substantiated report within 12 months of the closure of</w:t>
            </w:r>
            <w:r w:rsidR="00560BDE">
              <w:rPr>
                <w:rFonts w:eastAsia="Times"/>
              </w:rPr>
              <w:t> </w:t>
            </w:r>
            <w:r w:rsidRPr="00F45F11">
              <w:rPr>
                <w:rFonts w:eastAsia="Times"/>
              </w:rPr>
              <w:t xml:space="preserve">a previous substantiated report </w:t>
            </w:r>
          </w:p>
        </w:tc>
        <w:tc>
          <w:tcPr>
            <w:cnfStyle w:val="000001000000" w:firstRow="0" w:lastRow="0" w:firstColumn="0" w:lastColumn="0" w:oddVBand="0" w:evenVBand="1" w:oddHBand="0" w:evenHBand="0" w:firstRowFirstColumn="0" w:firstRowLastColumn="0" w:lastRowFirstColumn="0" w:lastRowLastColumn="0"/>
            <w:tcW w:w="1153" w:type="dxa"/>
          </w:tcPr>
          <w:p w14:paraId="2690984D" w14:textId="77777777" w:rsidR="006714A7" w:rsidRPr="00F45F11" w:rsidRDefault="006714A7" w:rsidP="008074B3">
            <w:pPr>
              <w:pStyle w:val="ARtabletextright"/>
              <w:rPr>
                <w:rFonts w:eastAsia="Times"/>
              </w:rPr>
            </w:pPr>
            <w:r w:rsidRPr="00F45F11">
              <w:rPr>
                <w:rFonts w:eastAsia="Times"/>
              </w:rPr>
              <w:t>16.1%</w:t>
            </w:r>
          </w:p>
        </w:tc>
        <w:tc>
          <w:tcPr>
            <w:tcW w:w="1153" w:type="dxa"/>
          </w:tcPr>
          <w:p w14:paraId="142F91ED" w14:textId="77777777" w:rsidR="006714A7" w:rsidRPr="00F45F11"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19.3%</w:t>
            </w:r>
          </w:p>
        </w:tc>
        <w:tc>
          <w:tcPr>
            <w:cnfStyle w:val="000001000000" w:firstRow="0" w:lastRow="0" w:firstColumn="0" w:lastColumn="0" w:oddVBand="0" w:evenVBand="1" w:oddHBand="0" w:evenHBand="0" w:firstRowFirstColumn="0" w:firstRowLastColumn="0" w:lastRowFirstColumn="0" w:lastRowLastColumn="0"/>
            <w:tcW w:w="1153" w:type="dxa"/>
          </w:tcPr>
          <w:p w14:paraId="7FFDDD4D" w14:textId="77777777" w:rsidR="006714A7" w:rsidRPr="00F45F11" w:rsidRDefault="006714A7" w:rsidP="008074B3">
            <w:pPr>
              <w:pStyle w:val="ARtabletextright"/>
              <w:rPr>
                <w:rFonts w:eastAsia="Times"/>
              </w:rPr>
            </w:pPr>
            <w:r w:rsidRPr="00F45F11">
              <w:rPr>
                <w:rFonts w:eastAsia="Times"/>
              </w:rPr>
              <w:t>19.7%</w:t>
            </w:r>
          </w:p>
        </w:tc>
        <w:tc>
          <w:tcPr>
            <w:tcW w:w="1154" w:type="dxa"/>
          </w:tcPr>
          <w:p w14:paraId="491FD99E" w14:textId="77777777" w:rsidR="006714A7" w:rsidRPr="00F45F11"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21.9%</w:t>
            </w:r>
          </w:p>
        </w:tc>
      </w:tr>
      <w:tr w:rsidR="006714A7" w:rsidRPr="00CC051D" w14:paraId="29903AA4" w14:textId="77777777" w:rsidTr="00361CEC">
        <w:tc>
          <w:tcPr>
            <w:tcW w:w="4890" w:type="dxa"/>
          </w:tcPr>
          <w:p w14:paraId="39F706AD" w14:textId="4F1FDAA5" w:rsidR="006714A7" w:rsidRPr="00F45F11" w:rsidRDefault="006714A7" w:rsidP="009817E6">
            <w:pPr>
              <w:pStyle w:val="ARTabletext"/>
              <w:rPr>
                <w:rFonts w:eastAsia="Times"/>
              </w:rPr>
            </w:pPr>
            <w:r w:rsidRPr="00F45F11">
              <w:rPr>
                <w:rFonts w:eastAsia="Times"/>
              </w:rPr>
              <w:t>Total assessments undertaken at the Support and</w:t>
            </w:r>
            <w:r w:rsidR="00361CEC">
              <w:rPr>
                <w:rFonts w:eastAsia="Times"/>
              </w:rPr>
              <w:t> </w:t>
            </w:r>
            <w:r w:rsidRPr="00F45F11">
              <w:rPr>
                <w:rFonts w:eastAsia="Times"/>
              </w:rPr>
              <w:t xml:space="preserve">Safety Hubs </w:t>
            </w:r>
          </w:p>
        </w:tc>
        <w:tc>
          <w:tcPr>
            <w:cnfStyle w:val="000001000000" w:firstRow="0" w:lastRow="0" w:firstColumn="0" w:lastColumn="0" w:oddVBand="0" w:evenVBand="1" w:oddHBand="0" w:evenHBand="0" w:firstRowFirstColumn="0" w:firstRowLastColumn="0" w:lastRowFirstColumn="0" w:lastRowLastColumn="0"/>
            <w:tcW w:w="1153" w:type="dxa"/>
          </w:tcPr>
          <w:p w14:paraId="54C7DECF" w14:textId="77777777" w:rsidR="006714A7" w:rsidRPr="00F45F11" w:rsidRDefault="006714A7" w:rsidP="008074B3">
            <w:pPr>
              <w:pStyle w:val="ARtabletextright"/>
              <w:rPr>
                <w:rFonts w:eastAsia="Times"/>
              </w:rPr>
            </w:pPr>
            <w:r w:rsidRPr="00F45F11">
              <w:rPr>
                <w:rFonts w:eastAsia="Times"/>
              </w:rPr>
              <w:t>122,229</w:t>
            </w:r>
          </w:p>
        </w:tc>
        <w:tc>
          <w:tcPr>
            <w:tcW w:w="1153" w:type="dxa"/>
          </w:tcPr>
          <w:p w14:paraId="12BB7B60" w14:textId="77777777" w:rsidR="006714A7" w:rsidRPr="00F45F11"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176,012</w:t>
            </w:r>
          </w:p>
        </w:tc>
        <w:tc>
          <w:tcPr>
            <w:cnfStyle w:val="000001000000" w:firstRow="0" w:lastRow="0" w:firstColumn="0" w:lastColumn="0" w:oddVBand="0" w:evenVBand="1" w:oddHBand="0" w:evenHBand="0" w:firstRowFirstColumn="0" w:firstRowLastColumn="0" w:lastRowFirstColumn="0" w:lastRowLastColumn="0"/>
            <w:tcW w:w="1153" w:type="dxa"/>
          </w:tcPr>
          <w:p w14:paraId="3D78D2FD" w14:textId="77777777" w:rsidR="006714A7" w:rsidRPr="00F45F11" w:rsidRDefault="006714A7" w:rsidP="008074B3">
            <w:pPr>
              <w:pStyle w:val="ARtabletextright"/>
              <w:rPr>
                <w:rFonts w:eastAsia="Times"/>
              </w:rPr>
            </w:pPr>
            <w:r w:rsidRPr="00F45F11">
              <w:rPr>
                <w:rFonts w:eastAsia="Times"/>
              </w:rPr>
              <w:t>186,524</w:t>
            </w:r>
          </w:p>
        </w:tc>
        <w:tc>
          <w:tcPr>
            <w:tcW w:w="1154" w:type="dxa"/>
          </w:tcPr>
          <w:p w14:paraId="5F4307D4" w14:textId="77777777" w:rsidR="006714A7" w:rsidRPr="00CC051D"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CC051D">
              <w:rPr>
                <w:rFonts w:eastAsia="Times"/>
              </w:rPr>
              <w:t>206,350</w:t>
            </w:r>
          </w:p>
        </w:tc>
      </w:tr>
      <w:tr w:rsidR="006714A7" w:rsidRPr="00F45F11" w14:paraId="51DB111A" w14:textId="77777777" w:rsidTr="00361CEC">
        <w:tc>
          <w:tcPr>
            <w:tcW w:w="4890" w:type="dxa"/>
          </w:tcPr>
          <w:p w14:paraId="1D266B44" w14:textId="55F8A3EA" w:rsidR="006714A7" w:rsidRPr="00F45F11" w:rsidRDefault="006714A7" w:rsidP="009817E6">
            <w:pPr>
              <w:pStyle w:val="ARTabletext"/>
              <w:rPr>
                <w:rFonts w:eastAsia="Times"/>
              </w:rPr>
            </w:pPr>
            <w:r w:rsidRPr="00F45F11">
              <w:rPr>
                <w:rFonts w:eastAsia="Times"/>
              </w:rPr>
              <w:t>Total assessments undertaken for children in the Support</w:t>
            </w:r>
            <w:r w:rsidR="00361CEC">
              <w:rPr>
                <w:rFonts w:eastAsia="Times"/>
              </w:rPr>
              <w:t> </w:t>
            </w:r>
            <w:r w:rsidRPr="00F45F11">
              <w:rPr>
                <w:rFonts w:eastAsia="Times"/>
              </w:rPr>
              <w:t xml:space="preserve">and Safety Hubs / The Orange Door </w:t>
            </w:r>
          </w:p>
        </w:tc>
        <w:tc>
          <w:tcPr>
            <w:cnfStyle w:val="000001000000" w:firstRow="0" w:lastRow="0" w:firstColumn="0" w:lastColumn="0" w:oddVBand="0" w:evenVBand="1" w:oddHBand="0" w:evenHBand="0" w:firstRowFirstColumn="0" w:firstRowLastColumn="0" w:lastRowFirstColumn="0" w:lastRowLastColumn="0"/>
            <w:tcW w:w="1153" w:type="dxa"/>
          </w:tcPr>
          <w:p w14:paraId="65EDC054" w14:textId="77777777" w:rsidR="006714A7" w:rsidRPr="00F45F11" w:rsidRDefault="006714A7" w:rsidP="008074B3">
            <w:pPr>
              <w:pStyle w:val="ARtabletextright"/>
              <w:rPr>
                <w:rFonts w:eastAsia="Times"/>
              </w:rPr>
            </w:pPr>
            <w:r w:rsidRPr="00F45F11">
              <w:rPr>
                <w:rFonts w:eastAsia="Times"/>
              </w:rPr>
              <w:t>91,067</w:t>
            </w:r>
          </w:p>
        </w:tc>
        <w:tc>
          <w:tcPr>
            <w:tcW w:w="1153" w:type="dxa"/>
          </w:tcPr>
          <w:p w14:paraId="6CF8524B" w14:textId="77777777" w:rsidR="006714A7" w:rsidRPr="00F45F11"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99,722</w:t>
            </w:r>
          </w:p>
        </w:tc>
        <w:tc>
          <w:tcPr>
            <w:cnfStyle w:val="000001000000" w:firstRow="0" w:lastRow="0" w:firstColumn="0" w:lastColumn="0" w:oddVBand="0" w:evenVBand="1" w:oddHBand="0" w:evenHBand="0" w:firstRowFirstColumn="0" w:firstRowLastColumn="0" w:lastRowFirstColumn="0" w:lastRowLastColumn="0"/>
            <w:tcW w:w="1153" w:type="dxa"/>
          </w:tcPr>
          <w:p w14:paraId="0D7A0A26" w14:textId="77777777" w:rsidR="006714A7" w:rsidRPr="00F45F11" w:rsidRDefault="006714A7" w:rsidP="008074B3">
            <w:pPr>
              <w:pStyle w:val="ARtabletextright"/>
              <w:rPr>
                <w:rFonts w:eastAsia="Times"/>
              </w:rPr>
            </w:pPr>
            <w:r w:rsidRPr="00F45F11">
              <w:rPr>
                <w:rFonts w:eastAsia="Times"/>
              </w:rPr>
              <w:t>106,116</w:t>
            </w:r>
          </w:p>
        </w:tc>
        <w:tc>
          <w:tcPr>
            <w:tcW w:w="1154" w:type="dxa"/>
          </w:tcPr>
          <w:p w14:paraId="1DE413DF" w14:textId="77777777" w:rsidR="006714A7" w:rsidRPr="00F45F11"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107,313</w:t>
            </w:r>
          </w:p>
        </w:tc>
      </w:tr>
      <w:tr w:rsidR="006714A7" w:rsidRPr="00F45F11" w14:paraId="1A333923" w14:textId="77777777" w:rsidTr="00361CEC">
        <w:tc>
          <w:tcPr>
            <w:tcW w:w="4890" w:type="dxa"/>
          </w:tcPr>
          <w:p w14:paraId="5C2BEA09" w14:textId="77777777" w:rsidR="006714A7" w:rsidRPr="00F45F11" w:rsidRDefault="006714A7" w:rsidP="009817E6">
            <w:pPr>
              <w:pStyle w:val="ARTabletext"/>
              <w:rPr>
                <w:rFonts w:eastAsia="Times"/>
              </w:rPr>
            </w:pPr>
            <w:r w:rsidRPr="00F45F11">
              <w:rPr>
                <w:rFonts w:eastAsia="Times"/>
              </w:rPr>
              <w:t xml:space="preserve">Number of family violence victim survivors who receive a refuge response </w:t>
            </w:r>
          </w:p>
        </w:tc>
        <w:tc>
          <w:tcPr>
            <w:cnfStyle w:val="000001000000" w:firstRow="0" w:lastRow="0" w:firstColumn="0" w:lastColumn="0" w:oddVBand="0" w:evenVBand="1" w:oddHBand="0" w:evenHBand="0" w:firstRowFirstColumn="0" w:firstRowLastColumn="0" w:lastRowFirstColumn="0" w:lastRowLastColumn="0"/>
            <w:tcW w:w="1153" w:type="dxa"/>
          </w:tcPr>
          <w:p w14:paraId="1BBE4213" w14:textId="77777777" w:rsidR="006714A7" w:rsidRPr="00F45F11" w:rsidRDefault="006714A7" w:rsidP="008074B3">
            <w:pPr>
              <w:pStyle w:val="ARtabletextright"/>
              <w:rPr>
                <w:rFonts w:eastAsia="Times"/>
              </w:rPr>
            </w:pPr>
            <w:r w:rsidRPr="00F45F11">
              <w:rPr>
                <w:rFonts w:eastAsia="Times"/>
              </w:rPr>
              <w:t>943</w:t>
            </w:r>
          </w:p>
        </w:tc>
        <w:tc>
          <w:tcPr>
            <w:tcW w:w="1153" w:type="dxa"/>
          </w:tcPr>
          <w:p w14:paraId="6CF98E78" w14:textId="77777777" w:rsidR="006714A7" w:rsidRPr="00F45F11"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969</w:t>
            </w:r>
          </w:p>
        </w:tc>
        <w:tc>
          <w:tcPr>
            <w:cnfStyle w:val="000001000000" w:firstRow="0" w:lastRow="0" w:firstColumn="0" w:lastColumn="0" w:oddVBand="0" w:evenVBand="1" w:oddHBand="0" w:evenHBand="0" w:firstRowFirstColumn="0" w:firstRowLastColumn="0" w:lastRowFirstColumn="0" w:lastRowLastColumn="0"/>
            <w:tcW w:w="1153" w:type="dxa"/>
          </w:tcPr>
          <w:p w14:paraId="3CDB7AF2" w14:textId="77777777" w:rsidR="006714A7" w:rsidRPr="00F45F11" w:rsidRDefault="006714A7" w:rsidP="008074B3">
            <w:pPr>
              <w:pStyle w:val="ARtabletextright"/>
              <w:rPr>
                <w:rFonts w:eastAsia="Times"/>
              </w:rPr>
            </w:pPr>
            <w:r w:rsidRPr="00F45F11">
              <w:rPr>
                <w:rFonts w:eastAsia="Times"/>
              </w:rPr>
              <w:t>889</w:t>
            </w:r>
          </w:p>
        </w:tc>
        <w:tc>
          <w:tcPr>
            <w:tcW w:w="1154" w:type="dxa"/>
          </w:tcPr>
          <w:p w14:paraId="4B085860" w14:textId="77777777" w:rsidR="006714A7" w:rsidRPr="00F45F11"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CC051D">
              <w:rPr>
                <w:rFonts w:eastAsia="Times"/>
              </w:rPr>
              <w:t>955</w:t>
            </w:r>
          </w:p>
        </w:tc>
      </w:tr>
      <w:tr w:rsidR="006714A7" w:rsidRPr="00CC051D" w14:paraId="6A83273A" w14:textId="77777777" w:rsidTr="00361CEC">
        <w:tc>
          <w:tcPr>
            <w:tcW w:w="4890" w:type="dxa"/>
          </w:tcPr>
          <w:p w14:paraId="3A23BA86" w14:textId="5958279F" w:rsidR="006714A7" w:rsidRPr="00F45F11" w:rsidRDefault="006714A7" w:rsidP="009817E6">
            <w:pPr>
              <w:pStyle w:val="ARTabletext"/>
              <w:rPr>
                <w:rFonts w:eastAsia="Times"/>
              </w:rPr>
            </w:pPr>
            <w:r w:rsidRPr="00F45F11">
              <w:rPr>
                <w:rFonts w:eastAsia="Times"/>
              </w:rPr>
              <w:t>Number of men participating in the Men’s Behaviour Change</w:t>
            </w:r>
            <w:r w:rsidR="008074B3">
              <w:rPr>
                <w:rFonts w:eastAsia="Times"/>
              </w:rPr>
              <w:t> </w:t>
            </w:r>
            <w:r w:rsidRPr="00F45F11">
              <w:rPr>
                <w:rFonts w:eastAsia="Times"/>
              </w:rPr>
              <w:t xml:space="preserve">program </w:t>
            </w:r>
          </w:p>
        </w:tc>
        <w:tc>
          <w:tcPr>
            <w:cnfStyle w:val="000001000000" w:firstRow="0" w:lastRow="0" w:firstColumn="0" w:lastColumn="0" w:oddVBand="0" w:evenVBand="1" w:oddHBand="0" w:evenHBand="0" w:firstRowFirstColumn="0" w:firstRowLastColumn="0" w:lastRowFirstColumn="0" w:lastRowLastColumn="0"/>
            <w:tcW w:w="1153" w:type="dxa"/>
          </w:tcPr>
          <w:p w14:paraId="07B7731C" w14:textId="77777777" w:rsidR="006714A7" w:rsidRPr="00F45F11" w:rsidRDefault="006714A7" w:rsidP="008074B3">
            <w:pPr>
              <w:pStyle w:val="ARtabletextright"/>
              <w:rPr>
                <w:rFonts w:eastAsia="Times"/>
              </w:rPr>
            </w:pPr>
            <w:r w:rsidRPr="00F45F11">
              <w:rPr>
                <w:rFonts w:eastAsia="Times"/>
              </w:rPr>
              <w:t>2,906</w:t>
            </w:r>
          </w:p>
        </w:tc>
        <w:tc>
          <w:tcPr>
            <w:tcW w:w="1153" w:type="dxa"/>
          </w:tcPr>
          <w:p w14:paraId="23C7B724" w14:textId="77777777" w:rsidR="006714A7" w:rsidRPr="00F45F11"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3110</w:t>
            </w:r>
          </w:p>
        </w:tc>
        <w:tc>
          <w:tcPr>
            <w:cnfStyle w:val="000001000000" w:firstRow="0" w:lastRow="0" w:firstColumn="0" w:lastColumn="0" w:oddVBand="0" w:evenVBand="1" w:oddHBand="0" w:evenHBand="0" w:firstRowFirstColumn="0" w:firstRowLastColumn="0" w:lastRowFirstColumn="0" w:lastRowLastColumn="0"/>
            <w:tcW w:w="1153" w:type="dxa"/>
          </w:tcPr>
          <w:p w14:paraId="3FC99BDF" w14:textId="77777777" w:rsidR="006714A7" w:rsidRPr="00F45F11" w:rsidRDefault="006714A7" w:rsidP="008074B3">
            <w:pPr>
              <w:pStyle w:val="ARtabletextright"/>
              <w:rPr>
                <w:rFonts w:eastAsia="Times"/>
              </w:rPr>
            </w:pPr>
            <w:r w:rsidRPr="00F45F11">
              <w:rPr>
                <w:rFonts w:eastAsia="Times"/>
              </w:rPr>
              <w:t>5,337</w:t>
            </w:r>
          </w:p>
        </w:tc>
        <w:tc>
          <w:tcPr>
            <w:tcW w:w="1154" w:type="dxa"/>
          </w:tcPr>
          <w:p w14:paraId="346D91E7" w14:textId="77777777" w:rsidR="006714A7" w:rsidRPr="00CC051D"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CC051D">
              <w:rPr>
                <w:rFonts w:eastAsia="Times"/>
              </w:rPr>
              <w:t>5,307</w:t>
            </w:r>
          </w:p>
        </w:tc>
      </w:tr>
      <w:tr w:rsidR="006714A7" w:rsidRPr="00CC051D" w14:paraId="2EF6044A" w14:textId="77777777" w:rsidTr="00361CEC">
        <w:tc>
          <w:tcPr>
            <w:tcW w:w="4890" w:type="dxa"/>
            <w:tcBorders>
              <w:bottom w:val="single" w:sz="4" w:space="0" w:color="BFBFBF" w:themeColor="accent2"/>
            </w:tcBorders>
          </w:tcPr>
          <w:p w14:paraId="4484D3E1" w14:textId="6EA8DEEC" w:rsidR="006714A7" w:rsidRPr="00F45F11" w:rsidRDefault="006714A7" w:rsidP="009817E6">
            <w:pPr>
              <w:pStyle w:val="ARTabletext"/>
              <w:rPr>
                <w:rFonts w:eastAsia="Times"/>
              </w:rPr>
            </w:pPr>
            <w:r w:rsidRPr="00F45F11">
              <w:rPr>
                <w:rFonts w:eastAsia="Times"/>
              </w:rPr>
              <w:t>Number of case management responses provided to</w:t>
            </w:r>
            <w:r w:rsidR="00560BDE">
              <w:rPr>
                <w:rFonts w:eastAsia="Times"/>
              </w:rPr>
              <w:t> </w:t>
            </w:r>
            <w:r w:rsidRPr="00F45F11">
              <w:rPr>
                <w:rFonts w:eastAsia="Times"/>
              </w:rPr>
              <w:t>perpetrators of family violence including those that require individualised support</w:t>
            </w:r>
          </w:p>
        </w:tc>
        <w:tc>
          <w:tcPr>
            <w:cnfStyle w:val="000001000000" w:firstRow="0" w:lastRow="0" w:firstColumn="0" w:lastColumn="0" w:oddVBand="0" w:evenVBand="1" w:oddHBand="0" w:evenHBand="0" w:firstRowFirstColumn="0" w:firstRowLastColumn="0" w:lastRowFirstColumn="0" w:lastRowLastColumn="0"/>
            <w:tcW w:w="1153" w:type="dxa"/>
            <w:tcBorders>
              <w:bottom w:val="single" w:sz="4" w:space="0" w:color="BFBFBF" w:themeColor="accent2"/>
            </w:tcBorders>
          </w:tcPr>
          <w:p w14:paraId="36C14996" w14:textId="77777777" w:rsidR="006714A7" w:rsidRPr="00F45F11" w:rsidRDefault="006714A7" w:rsidP="008074B3">
            <w:pPr>
              <w:pStyle w:val="ARtabletextright"/>
              <w:rPr>
                <w:rFonts w:eastAsia="Times"/>
              </w:rPr>
            </w:pPr>
            <w:r w:rsidRPr="00F45F11">
              <w:rPr>
                <w:rFonts w:eastAsia="Times"/>
              </w:rPr>
              <w:t>1,748</w:t>
            </w:r>
          </w:p>
        </w:tc>
        <w:tc>
          <w:tcPr>
            <w:tcW w:w="1153" w:type="dxa"/>
            <w:tcBorders>
              <w:bottom w:val="single" w:sz="4" w:space="0" w:color="BFBFBF" w:themeColor="accent2"/>
            </w:tcBorders>
          </w:tcPr>
          <w:p w14:paraId="3030DA15" w14:textId="77777777" w:rsidR="006714A7" w:rsidRPr="00F45F11"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2,849</w:t>
            </w:r>
          </w:p>
        </w:tc>
        <w:tc>
          <w:tcPr>
            <w:cnfStyle w:val="000001000000" w:firstRow="0" w:lastRow="0" w:firstColumn="0" w:lastColumn="0" w:oddVBand="0" w:evenVBand="1" w:oddHBand="0" w:evenHBand="0" w:firstRowFirstColumn="0" w:firstRowLastColumn="0" w:lastRowFirstColumn="0" w:lastRowLastColumn="0"/>
            <w:tcW w:w="1153" w:type="dxa"/>
            <w:tcBorders>
              <w:bottom w:val="single" w:sz="4" w:space="0" w:color="BFBFBF" w:themeColor="accent2"/>
            </w:tcBorders>
          </w:tcPr>
          <w:p w14:paraId="5D2B2242" w14:textId="77777777" w:rsidR="006714A7" w:rsidRPr="00F45F11" w:rsidRDefault="006714A7" w:rsidP="008074B3">
            <w:pPr>
              <w:pStyle w:val="ARtabletextright"/>
              <w:rPr>
                <w:rFonts w:eastAsia="Times"/>
              </w:rPr>
            </w:pPr>
            <w:r w:rsidRPr="00F45F11">
              <w:rPr>
                <w:rFonts w:eastAsia="Times"/>
              </w:rPr>
              <w:t>3,328</w:t>
            </w:r>
          </w:p>
        </w:tc>
        <w:tc>
          <w:tcPr>
            <w:tcW w:w="1154" w:type="dxa"/>
            <w:tcBorders>
              <w:bottom w:val="single" w:sz="4" w:space="0" w:color="BFBFBF" w:themeColor="accent2"/>
            </w:tcBorders>
          </w:tcPr>
          <w:p w14:paraId="5ACE1484" w14:textId="77777777" w:rsidR="006714A7" w:rsidRPr="00CC051D"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CC051D">
              <w:rPr>
                <w:rFonts w:eastAsia="Times"/>
              </w:rPr>
              <w:t>3,606</w:t>
            </w:r>
          </w:p>
        </w:tc>
      </w:tr>
      <w:tr w:rsidR="006714A7" w:rsidRPr="00F45F11" w14:paraId="4F4651D3" w14:textId="77777777" w:rsidTr="00361CEC">
        <w:tc>
          <w:tcPr>
            <w:tcW w:w="4890" w:type="dxa"/>
            <w:tcBorders>
              <w:bottom w:val="single" w:sz="4" w:space="0" w:color="000000" w:themeColor="text1"/>
            </w:tcBorders>
          </w:tcPr>
          <w:p w14:paraId="2F0F59C9" w14:textId="77777777" w:rsidR="006714A7" w:rsidRPr="00F45F11" w:rsidRDefault="006714A7" w:rsidP="009817E6">
            <w:pPr>
              <w:pStyle w:val="ARTabletext"/>
              <w:rPr>
                <w:rFonts w:eastAsia="Times"/>
              </w:rPr>
            </w:pPr>
            <w:r w:rsidRPr="00F45F11">
              <w:rPr>
                <w:rFonts w:eastAsia="Times"/>
              </w:rPr>
              <w:t xml:space="preserve">Prevention of family violence projects and programs delivered on time </w:t>
            </w:r>
          </w:p>
        </w:tc>
        <w:tc>
          <w:tcPr>
            <w:cnfStyle w:val="000001000000" w:firstRow="0" w:lastRow="0" w:firstColumn="0" w:lastColumn="0" w:oddVBand="0" w:evenVBand="1" w:oddHBand="0" w:evenHBand="0" w:firstRowFirstColumn="0" w:firstRowLastColumn="0" w:lastRowFirstColumn="0" w:lastRowLastColumn="0"/>
            <w:tcW w:w="1153" w:type="dxa"/>
            <w:tcBorders>
              <w:bottom w:val="single" w:sz="4" w:space="0" w:color="000000" w:themeColor="text1"/>
            </w:tcBorders>
          </w:tcPr>
          <w:p w14:paraId="7AF431C2" w14:textId="77777777" w:rsidR="006714A7" w:rsidRPr="00F45F11" w:rsidRDefault="006714A7" w:rsidP="008074B3">
            <w:pPr>
              <w:pStyle w:val="ARtabletextright"/>
              <w:rPr>
                <w:rFonts w:eastAsia="Times"/>
              </w:rPr>
            </w:pPr>
            <w:r w:rsidRPr="00F45F11">
              <w:rPr>
                <w:rFonts w:eastAsia="Times"/>
              </w:rPr>
              <w:t>100%</w:t>
            </w:r>
          </w:p>
        </w:tc>
        <w:tc>
          <w:tcPr>
            <w:tcW w:w="1153" w:type="dxa"/>
            <w:tcBorders>
              <w:bottom w:val="single" w:sz="4" w:space="0" w:color="000000" w:themeColor="text1"/>
            </w:tcBorders>
          </w:tcPr>
          <w:p w14:paraId="0525D318" w14:textId="77777777" w:rsidR="006714A7" w:rsidRPr="00F45F11"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100%</w:t>
            </w:r>
          </w:p>
        </w:tc>
        <w:tc>
          <w:tcPr>
            <w:cnfStyle w:val="000001000000" w:firstRow="0" w:lastRow="0" w:firstColumn="0" w:lastColumn="0" w:oddVBand="0" w:evenVBand="1" w:oddHBand="0" w:evenHBand="0" w:firstRowFirstColumn="0" w:firstRowLastColumn="0" w:lastRowFirstColumn="0" w:lastRowLastColumn="0"/>
            <w:tcW w:w="1153" w:type="dxa"/>
            <w:tcBorders>
              <w:bottom w:val="single" w:sz="4" w:space="0" w:color="000000" w:themeColor="text1"/>
            </w:tcBorders>
          </w:tcPr>
          <w:p w14:paraId="171FFDB0" w14:textId="77777777" w:rsidR="006714A7" w:rsidRPr="00F45F11" w:rsidRDefault="006714A7" w:rsidP="008074B3">
            <w:pPr>
              <w:pStyle w:val="ARtabletextright"/>
              <w:rPr>
                <w:rFonts w:eastAsia="Times"/>
              </w:rPr>
            </w:pPr>
            <w:r w:rsidRPr="00F45F11">
              <w:rPr>
                <w:rFonts w:eastAsia="Times"/>
              </w:rPr>
              <w:t>95.8%</w:t>
            </w:r>
          </w:p>
        </w:tc>
        <w:tc>
          <w:tcPr>
            <w:tcW w:w="1154" w:type="dxa"/>
            <w:tcBorders>
              <w:bottom w:val="single" w:sz="4" w:space="0" w:color="000000" w:themeColor="text1"/>
            </w:tcBorders>
          </w:tcPr>
          <w:p w14:paraId="415404BB" w14:textId="77777777" w:rsidR="006714A7" w:rsidRPr="00F45F11" w:rsidRDefault="006714A7" w:rsidP="008074B3">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95.8%</w:t>
            </w:r>
          </w:p>
        </w:tc>
      </w:tr>
    </w:tbl>
    <w:p w14:paraId="76506EAF" w14:textId="77777777" w:rsidR="0079051E" w:rsidRDefault="006714A7" w:rsidP="00414BCA">
      <w:pPr>
        <w:pStyle w:val="Heading4"/>
      </w:pPr>
      <w:bookmarkStart w:id="56" w:name="_Key_initiatives_and"/>
      <w:bookmarkEnd w:id="56"/>
      <w:r w:rsidRPr="00F45F11">
        <w:t xml:space="preserve">Key initiatives and </w:t>
      </w:r>
      <w:r w:rsidRPr="00414BCA">
        <w:t>projects</w:t>
      </w:r>
    </w:p>
    <w:p w14:paraId="2B78C02E" w14:textId="77777777" w:rsidR="006714A7" w:rsidRPr="00F45F11" w:rsidRDefault="006714A7" w:rsidP="008074B3">
      <w:pPr>
        <w:pStyle w:val="Heading5"/>
        <w:spacing w:before="0"/>
      </w:pPr>
      <w:r w:rsidRPr="00F45F11">
        <w:t>Supporting multicultural and faith communities to prevent and respond to family violence</w:t>
      </w:r>
    </w:p>
    <w:p w14:paraId="52716932" w14:textId="37751C32" w:rsidR="006714A7" w:rsidRPr="00F45F11" w:rsidRDefault="006714A7" w:rsidP="006714A7">
      <w:pPr>
        <w:pStyle w:val="ARBody"/>
      </w:pPr>
      <w:r w:rsidRPr="00F45F11">
        <w:t>Since 2020, more than 52,000 people from 80 culturally diverse and faith communities have participated in initiatives to prevent family and sexual violence</w:t>
      </w:r>
      <w:r w:rsidR="005154B3">
        <w:t xml:space="preserve"> through the </w:t>
      </w:r>
      <w:r w:rsidR="005154B3" w:rsidRPr="00A124D1">
        <w:rPr>
          <w:rStyle w:val="Emphasis"/>
        </w:rPr>
        <w:t xml:space="preserve">Supporting Multicultural and Faith </w:t>
      </w:r>
      <w:r w:rsidR="00CE6DE5" w:rsidRPr="00A124D1">
        <w:rPr>
          <w:rStyle w:val="Emphasis"/>
        </w:rPr>
        <w:t>Communities to Prevent Family Violence</w:t>
      </w:r>
      <w:r w:rsidR="0079051E">
        <w:rPr>
          <w:rStyle w:val="Emphasis"/>
        </w:rPr>
        <w:t> </w:t>
      </w:r>
      <w:r w:rsidR="00CE6DE5">
        <w:t>program</w:t>
      </w:r>
    </w:p>
    <w:p w14:paraId="63DD7DC0" w14:textId="5C873BDE" w:rsidR="006714A7" w:rsidRPr="00F45F11" w:rsidRDefault="006714A7" w:rsidP="006714A7">
      <w:pPr>
        <w:pStyle w:val="ARBody"/>
      </w:pPr>
      <w:r w:rsidRPr="00F45F11">
        <w:t>Specialist organisations such as InTouch Multicultural Centre Against Family Violence, Australian Muslim Women’s Centre for Human Rights and Wellsprings for Women provide culturally responsive case management services to</w:t>
      </w:r>
      <w:r w:rsidR="0079051E">
        <w:t> </w:t>
      </w:r>
      <w:r w:rsidRPr="00F45F11">
        <w:t>support victim survivors to stay safe. Interpreters work across all services to improve accessibility.</w:t>
      </w:r>
    </w:p>
    <w:p w14:paraId="432E1FBE" w14:textId="3443FB81" w:rsidR="006714A7" w:rsidRPr="00F45F11" w:rsidRDefault="006714A7" w:rsidP="006714A7">
      <w:pPr>
        <w:pStyle w:val="ARBody"/>
      </w:pPr>
      <w:r w:rsidRPr="00F45F11">
        <w:t xml:space="preserve">The </w:t>
      </w:r>
      <w:r w:rsidRPr="00A124D1">
        <w:rPr>
          <w:rStyle w:val="Emphasis"/>
        </w:rPr>
        <w:t>Working Together: Strengthening Family and</w:t>
      </w:r>
      <w:r w:rsidR="00A94E77">
        <w:rPr>
          <w:rStyle w:val="Emphasis"/>
        </w:rPr>
        <w:t> </w:t>
      </w:r>
      <w:r w:rsidRPr="00A124D1">
        <w:rPr>
          <w:rStyle w:val="Emphasis"/>
        </w:rPr>
        <w:t>Sexual Violence Support with Multicultural Communities</w:t>
      </w:r>
      <w:r w:rsidRPr="00F45F11">
        <w:t xml:space="preserve"> program supports 17 partnerships between multicultural and family and sexual violence services. </w:t>
      </w:r>
      <w:r w:rsidR="00541C3E">
        <w:t xml:space="preserve">This work is jointly funded by </w:t>
      </w:r>
      <w:r w:rsidR="00FB6552">
        <w:t xml:space="preserve">the </w:t>
      </w:r>
      <w:r w:rsidR="00541C3E">
        <w:t>Victoria</w:t>
      </w:r>
      <w:r w:rsidR="00FB6552">
        <w:t>n</w:t>
      </w:r>
      <w:r w:rsidR="00541C3E">
        <w:t xml:space="preserve"> and Commonwealth</w:t>
      </w:r>
      <w:r w:rsidR="00FB6552">
        <w:t xml:space="preserve"> governments</w:t>
      </w:r>
      <w:r w:rsidR="00541C3E">
        <w:t xml:space="preserve">. </w:t>
      </w:r>
      <w:r w:rsidRPr="00F45F11">
        <w:t>These projects are facilitating improved access to, and building cultural responsivity of, services for victim survivors from migrant and refugee backgrounds.</w:t>
      </w:r>
    </w:p>
    <w:p w14:paraId="5B849290" w14:textId="77777777" w:rsidR="006714A7" w:rsidRPr="00F45F11" w:rsidRDefault="006714A7" w:rsidP="006714A7">
      <w:pPr>
        <w:pStyle w:val="Heading5"/>
      </w:pPr>
      <w:r w:rsidRPr="00F45F11">
        <w:t>Family Violence Multi-Agency Risk Assessment and Management (MARAM) Framework and the Family Violence Information Sharing Scheme (FVISS)</w:t>
      </w:r>
    </w:p>
    <w:p w14:paraId="07F796A7" w14:textId="73CCD56D" w:rsidR="006714A7" w:rsidRPr="00F45F11" w:rsidRDefault="006714A7" w:rsidP="006714A7">
      <w:pPr>
        <w:pStyle w:val="ARBody"/>
      </w:pPr>
      <w:r w:rsidRPr="00F45F11">
        <w:t>The Family Violence Multi-Agency Risk Assessment and Management (MARAM) Framework continues to strengthen Victoria’s system-wide response to family violence. MARAM and FVISS cover more than 8,470 prescribed organisations across health, education, justice and</w:t>
      </w:r>
      <w:r w:rsidR="00A94E77">
        <w:t> </w:t>
      </w:r>
      <w:r w:rsidRPr="00F45F11">
        <w:t>community services, with 598,500 workers now</w:t>
      </w:r>
      <w:r w:rsidR="00A94E77">
        <w:t> </w:t>
      </w:r>
      <w:r w:rsidRPr="00F45F11">
        <w:t>equipped to identify and manage family violence risk.</w:t>
      </w:r>
    </w:p>
    <w:p w14:paraId="6CB215D3" w14:textId="77777777" w:rsidR="00414BCA" w:rsidRDefault="006714A7" w:rsidP="006714A7">
      <w:pPr>
        <w:pStyle w:val="ARBody"/>
      </w:pPr>
      <w:r w:rsidRPr="00F45F11">
        <w:t>Statewide, more than 84,712</w:t>
      </w:r>
      <w:r w:rsidRPr="00F45F11" w:rsidDel="00AD7E89">
        <w:t xml:space="preserve"> </w:t>
      </w:r>
      <w:r w:rsidRPr="00F45F11">
        <w:t>professionals were trained in MARAM and Information Sharing in 2025–26. Of these, more than 1,600 professionals received training in the Adults Using Family Violence Tools.</w:t>
      </w:r>
    </w:p>
    <w:p w14:paraId="405B2D34" w14:textId="06FC2B41" w:rsidR="006714A7" w:rsidRPr="00F45F11" w:rsidRDefault="006714A7" w:rsidP="006714A7">
      <w:pPr>
        <w:pStyle w:val="ARBody"/>
      </w:pPr>
      <w:r w:rsidRPr="00F45F11">
        <w:t xml:space="preserve">In 2025–26, 158,819 risk assessments and safety plans were completed. This included 13,008 plans for people using violence to stop their use of violence and abuse. </w:t>
      </w:r>
    </w:p>
    <w:p w14:paraId="04E20800" w14:textId="77777777" w:rsidR="006714A7" w:rsidRPr="00F45F11" w:rsidRDefault="006714A7" w:rsidP="006714A7">
      <w:pPr>
        <w:pStyle w:val="ARBody"/>
      </w:pPr>
      <w:r w:rsidRPr="00F45F11">
        <w:t>The FVISS supported more than 65,934 information sharing requests to enable information to be shared for the purposes of keeping adult and child victim survivors safe and people using violence in view.</w:t>
      </w:r>
    </w:p>
    <w:p w14:paraId="6E598EE3" w14:textId="2C09EFDE" w:rsidR="006714A7" w:rsidRPr="00F45F11" w:rsidRDefault="006714A7" w:rsidP="006714A7">
      <w:pPr>
        <w:pStyle w:val="ARBody"/>
      </w:pPr>
      <w:r w:rsidRPr="00F45F11">
        <w:t>We are also implementing recommendations from the MARAM, FVISS and CIP 5-Year Legislative Review and the MARAM 5-Year Evidence Review. This work will improve information sharing and system collaboration. It will ensure we identify children and young people’s risk and respond to</w:t>
      </w:r>
      <w:r w:rsidR="008074B3">
        <w:t> </w:t>
      </w:r>
      <w:r w:rsidRPr="00F45F11">
        <w:t>their safety and wellbeing needs.</w:t>
      </w:r>
    </w:p>
    <w:p w14:paraId="7CCB7EB7" w14:textId="6C69F821" w:rsidR="006714A7" w:rsidRPr="00F45F11" w:rsidRDefault="006714A7" w:rsidP="006714A7">
      <w:pPr>
        <w:pStyle w:val="Heading5"/>
      </w:pPr>
      <w:r w:rsidRPr="00F45F11">
        <w:t>Strengthening The Orange Door network governance and accountability arrangement</w:t>
      </w:r>
    </w:p>
    <w:p w14:paraId="25C9342F" w14:textId="54AA1FC2" w:rsidR="006714A7" w:rsidRPr="00F45F11" w:rsidRDefault="006714A7" w:rsidP="006714A7">
      <w:pPr>
        <w:pStyle w:val="ARBody"/>
      </w:pPr>
      <w:r w:rsidRPr="00F45F11">
        <w:t xml:space="preserve">The department undertook a governance and accountability review of The Orange Door in 2024. Recommendations from the review will improve governance, risk management and partnership roles and responsibilities in The Orange Door. </w:t>
      </w:r>
      <w:r w:rsidR="00B90EDF">
        <w:t>The</w:t>
      </w:r>
      <w:r w:rsidR="00A94E77">
        <w:t> </w:t>
      </w:r>
      <w:r w:rsidR="00B90EDF">
        <w:t xml:space="preserve">establishment of </w:t>
      </w:r>
      <w:r w:rsidR="00D15F4A">
        <w:t>a statewide governance group was identified a</w:t>
      </w:r>
      <w:r w:rsidRPr="00F45F11">
        <w:t>s a priority</w:t>
      </w:r>
      <w:r w:rsidR="00D15F4A">
        <w:t xml:space="preserve"> in the review</w:t>
      </w:r>
      <w:r w:rsidRPr="00F45F11">
        <w:t>,</w:t>
      </w:r>
      <w:r w:rsidR="00D15F4A">
        <w:t xml:space="preserve"> with</w:t>
      </w:r>
      <w:r w:rsidRPr="00F45F11">
        <w:t xml:space="preserve"> The Orange Door Statewide Partnership Group (SPG) </w:t>
      </w:r>
      <w:r w:rsidR="00F5046D">
        <w:t>commencing</w:t>
      </w:r>
      <w:r w:rsidR="00F5046D" w:rsidRPr="00F45F11">
        <w:t xml:space="preserve"> </w:t>
      </w:r>
      <w:r w:rsidRPr="00F45F11">
        <w:t>in November 2025. Members include community service and ACCO/ACCHO partners, peak body and departmental representatives. The SPG is facilitated by an external Chair. It serves as a dedicated, statewide decision-making body focused on shared problem-solving and strong network governance.</w:t>
      </w:r>
    </w:p>
    <w:p w14:paraId="32E3B2BC" w14:textId="7CB3335F" w:rsidR="006714A7" w:rsidRPr="00F45F11" w:rsidRDefault="006714A7" w:rsidP="006714A7">
      <w:pPr>
        <w:pStyle w:val="ARBody"/>
      </w:pPr>
      <w:r w:rsidRPr="00F45F11">
        <w:t>The SPG has an ambitious program of work. Key</w:t>
      </w:r>
      <w:r w:rsidR="008457AC">
        <w:t> </w:t>
      </w:r>
      <w:r w:rsidRPr="00F45F11">
        <w:t xml:space="preserve">achievements in 2026 include finalising the </w:t>
      </w:r>
      <w:r w:rsidRPr="00A124D1">
        <w:rPr>
          <w:rStyle w:val="Emphasis"/>
        </w:rPr>
        <w:t>Integrated practice in The Orange Door summary guide</w:t>
      </w:r>
      <w:r w:rsidRPr="00F45F11">
        <w:t>, a risk escalation protocol and statewide risk register, core terms of a workplace charter, an interagency HR issue-resolution procedure and an</w:t>
      </w:r>
      <w:r w:rsidR="00A94E77">
        <w:t> </w:t>
      </w:r>
      <w:r w:rsidRPr="00F45F11">
        <w:t>OHS guide to developing a record of partnership</w:t>
      </w:r>
      <w:r w:rsidR="00A94E77">
        <w:t> </w:t>
      </w:r>
      <w:r w:rsidRPr="00F45F11">
        <w:t>responsibilities.</w:t>
      </w:r>
    </w:p>
    <w:p w14:paraId="02C89EE5" w14:textId="53C605D3" w:rsidR="0075532C" w:rsidRDefault="006714A7" w:rsidP="006714A7">
      <w:pPr>
        <w:pStyle w:val="ARBody"/>
      </w:pPr>
      <w:r w:rsidRPr="00F45F11">
        <w:t>Work on a statewide governance framework and</w:t>
      </w:r>
      <w:r w:rsidR="00A94E77">
        <w:t> </w:t>
      </w:r>
      <w:r w:rsidRPr="00F45F11">
        <w:t>a</w:t>
      </w:r>
      <w:r w:rsidR="00A94E77">
        <w:t> </w:t>
      </w:r>
      <w:r w:rsidRPr="00F45F11">
        <w:t>standard set of key performance indicators is</w:t>
      </w:r>
      <w:r w:rsidR="00A94E77">
        <w:t> </w:t>
      </w:r>
      <w:r w:rsidRPr="00F45F11">
        <w:t>currently</w:t>
      </w:r>
      <w:r w:rsidR="00414BCA">
        <w:t> </w:t>
      </w:r>
      <w:r w:rsidRPr="00F45F11">
        <w:t>underway.</w:t>
      </w:r>
      <w:r w:rsidR="0075532C">
        <w:br w:type="page"/>
      </w:r>
    </w:p>
    <w:p w14:paraId="6D2D9EF6" w14:textId="77777777" w:rsidR="006714A7" w:rsidRPr="00F45F11" w:rsidRDefault="006714A7" w:rsidP="006714A7">
      <w:pPr>
        <w:pStyle w:val="Heading5"/>
      </w:pPr>
      <w:r w:rsidRPr="00F45F11">
        <w:t>Justice Navigators</w:t>
      </w:r>
    </w:p>
    <w:p w14:paraId="0A383C28" w14:textId="77777777" w:rsidR="006714A7" w:rsidRPr="00F45F11" w:rsidRDefault="006714A7" w:rsidP="006714A7">
      <w:pPr>
        <w:pStyle w:val="ARBody"/>
      </w:pPr>
      <w:r w:rsidRPr="00F45F11">
        <w:t>The Justice Navigator pilot will support victim survivors of sexual violence to navigate their support and recovery options. The roles will be in specialist sexual assault services and provide independent specialist support to victim survivors of sexual violence to help them understand and access their rights across systems. These roles will assist victim survivors to navigate justice and recovery options, including those available through the justice system.</w:t>
      </w:r>
    </w:p>
    <w:p w14:paraId="2A687684" w14:textId="7FCBD62F" w:rsidR="006714A7" w:rsidRPr="00F45F11" w:rsidRDefault="006714A7" w:rsidP="006714A7">
      <w:pPr>
        <w:pStyle w:val="ARBody"/>
      </w:pPr>
      <w:r w:rsidRPr="00F45F11">
        <w:t xml:space="preserve">In 2025–26, in partnership with Sexual Assault Services Victoria, </w:t>
      </w:r>
      <w:r w:rsidR="00DA6143">
        <w:t xml:space="preserve">the department </w:t>
      </w:r>
      <w:r w:rsidRPr="00F45F11">
        <w:t xml:space="preserve">co-designed the service model with victim survivors and key stakeholders. Through an invited call-for-submissions process, Mallee Sexual Assault Unit and </w:t>
      </w:r>
      <w:proofErr w:type="gramStart"/>
      <w:r w:rsidRPr="00F45F11">
        <w:t>South Eastern</w:t>
      </w:r>
      <w:proofErr w:type="gramEnd"/>
      <w:r w:rsidRPr="00F45F11">
        <w:t xml:space="preserve"> Centre Against Sexual Assault were selected to</w:t>
      </w:r>
      <w:r w:rsidR="00A94E77">
        <w:t> </w:t>
      </w:r>
      <w:r w:rsidRPr="00F45F11">
        <w:t>deliver the pilot over 2 years.</w:t>
      </w:r>
    </w:p>
    <w:p w14:paraId="04977156" w14:textId="77777777" w:rsidR="006714A7" w:rsidRPr="00F45F11" w:rsidRDefault="006714A7" w:rsidP="006714A7">
      <w:pPr>
        <w:pStyle w:val="Heading5"/>
      </w:pPr>
      <w:r w:rsidRPr="00F45F11">
        <w:t>Adolescent Family Violence Program</w:t>
      </w:r>
    </w:p>
    <w:p w14:paraId="40E39961" w14:textId="48DA113B" w:rsidR="006714A7" w:rsidRPr="00F45F11" w:rsidDel="00C536D6" w:rsidRDefault="006714A7" w:rsidP="006714A7">
      <w:pPr>
        <w:pStyle w:val="ARBody"/>
      </w:pPr>
      <w:r w:rsidRPr="00F45F11">
        <w:t>The Adolescent Family Violence in the Home (AFVITH) program provides trauma informed whole</w:t>
      </w:r>
      <w:r w:rsidR="00361CEC">
        <w:t> </w:t>
      </w:r>
      <w:r w:rsidRPr="00F45F11">
        <w:t xml:space="preserve">of family responses to increase safety and strengthen recovery. In 2025–26, the program supported over 1,000 young people aged between 12 and 17 years to rebuild healthy </w:t>
      </w:r>
      <w:r w:rsidR="005377EF">
        <w:t xml:space="preserve">family </w:t>
      </w:r>
      <w:r w:rsidRPr="00F45F11">
        <w:t>relationships, and address trauma through integrated therapeutic family violence interventions.</w:t>
      </w:r>
    </w:p>
    <w:p w14:paraId="767FED5C" w14:textId="54530FAF" w:rsidR="006714A7" w:rsidRPr="00F45F11" w:rsidDel="00C536D6" w:rsidRDefault="006714A7" w:rsidP="006714A7">
      <w:pPr>
        <w:pStyle w:val="ARBody"/>
      </w:pPr>
      <w:r w:rsidRPr="00F45F11">
        <w:t xml:space="preserve">The </w:t>
      </w:r>
      <w:r w:rsidRPr="00D31049">
        <w:t>2025–26 State Budget</w:t>
      </w:r>
      <w:r w:rsidRPr="00F45F11">
        <w:t xml:space="preserve"> provided ongoing funding to AFVITH service providers across the state. An AFVITH service targeted to the unique needs of multicultural and multifaith communities is</w:t>
      </w:r>
      <w:r w:rsidR="00A94E77">
        <w:t> </w:t>
      </w:r>
      <w:r w:rsidRPr="00F45F11">
        <w:t xml:space="preserve">being trialled in the Western Melbourne Area, and an ACCO led AFVITH intervention is available in 9 DFFH Areas for Aboriginal families to access. </w:t>
      </w:r>
    </w:p>
    <w:p w14:paraId="24C1DB6F" w14:textId="617039F3" w:rsidR="006714A7" w:rsidRPr="00F45F11" w:rsidRDefault="006714A7" w:rsidP="006714A7">
      <w:pPr>
        <w:pStyle w:val="ARBody"/>
      </w:pPr>
      <w:r w:rsidRPr="00F45F11">
        <w:t xml:space="preserve">The department undertook an evaluation of the state-wide AFVITH program in 2023–24. </w:t>
      </w:r>
      <w:r w:rsidR="006703A3">
        <w:t xml:space="preserve">The evaluation </w:t>
      </w:r>
      <w:r w:rsidR="006703A3" w:rsidRPr="006703A3">
        <w:t>found that the program fills a critical service gap, delivering essential supports to</w:t>
      </w:r>
      <w:r w:rsidR="006703A3">
        <w:t xml:space="preserve"> </w:t>
      </w:r>
      <w:r w:rsidR="006703A3" w:rsidRPr="006703A3">
        <w:t>young people and their families, with flow-on benefits for the Victorian community more broadly</w:t>
      </w:r>
      <w:r w:rsidR="006703A3">
        <w:t xml:space="preserve">. </w:t>
      </w:r>
      <w:r w:rsidRPr="00F45F11">
        <w:t>Findings have been shared with funded service providers and peak bodies and will guide sector practice, program design and service</w:t>
      </w:r>
      <w:r w:rsidR="00414BCA">
        <w:t> </w:t>
      </w:r>
      <w:r w:rsidRPr="00F45F11">
        <w:t>improvement.</w:t>
      </w:r>
    </w:p>
    <w:p w14:paraId="3C0BF24A" w14:textId="77777777" w:rsidR="006714A7" w:rsidRPr="00F45F11" w:rsidRDefault="006714A7" w:rsidP="006714A7">
      <w:pPr>
        <w:pStyle w:val="Heading5"/>
      </w:pPr>
      <w:r w:rsidRPr="00F45F11">
        <w:t>Mallee Aboriginal Access Point</w:t>
      </w:r>
    </w:p>
    <w:p w14:paraId="315AC6DE" w14:textId="77777777" w:rsidR="006714A7" w:rsidRPr="00F45F11" w:rsidRDefault="006714A7" w:rsidP="006714A7">
      <w:pPr>
        <w:pStyle w:val="ARBody"/>
      </w:pPr>
      <w:r w:rsidRPr="00F45F11">
        <w:t>The Mallee Aboriginal Access Point was launched in September 2025 and provides culturally safe, Aboriginal-led support for people experiencing or at risk of family violence. This is the third Aboriginal Access Point established in Victoria.</w:t>
      </w:r>
    </w:p>
    <w:p w14:paraId="028BFF28" w14:textId="77777777" w:rsidR="006714A7" w:rsidRPr="00F45F11" w:rsidRDefault="006714A7" w:rsidP="006714A7">
      <w:pPr>
        <w:pStyle w:val="ARBody"/>
      </w:pPr>
      <w:r w:rsidRPr="00F45F11">
        <w:t>The service supports community members to improve housing stability, strengthen financial wellbeing and maintain connections to family, community and culture through flexible case management and brokerage.</w:t>
      </w:r>
    </w:p>
    <w:p w14:paraId="4FC8401A" w14:textId="083070DF" w:rsidR="006714A7" w:rsidRPr="00F45F11" w:rsidRDefault="006714A7" w:rsidP="006714A7">
      <w:pPr>
        <w:pStyle w:val="ARBody"/>
      </w:pPr>
      <w:r w:rsidRPr="00F45F11">
        <w:t>Journey Walkers provide advocacy across housing,</w:t>
      </w:r>
      <w:r w:rsidR="008074B3">
        <w:t> </w:t>
      </w:r>
      <w:r w:rsidRPr="00F45F11">
        <w:t>child protection, health and justice systems. They also support community members during Sorry Business to maintain important cultural</w:t>
      </w:r>
      <w:r w:rsidR="008074B3">
        <w:t> </w:t>
      </w:r>
      <w:r w:rsidRPr="00F45F11">
        <w:t>and family</w:t>
      </w:r>
      <w:r w:rsidR="0079051E">
        <w:t> </w:t>
      </w:r>
      <w:r w:rsidRPr="00F45F11">
        <w:t>connections.</w:t>
      </w:r>
    </w:p>
    <w:p w14:paraId="5050037B" w14:textId="77777777" w:rsidR="006714A7" w:rsidRPr="00F45F11" w:rsidRDefault="006714A7" w:rsidP="006714A7">
      <w:pPr>
        <w:pStyle w:val="ARBody"/>
      </w:pPr>
      <w:r w:rsidRPr="00F45F11">
        <w:t>Ongoing engagement with local services and community strengthened awareness of the program, contributing to increased self-referrals.</w:t>
      </w:r>
    </w:p>
    <w:p w14:paraId="28A274F4" w14:textId="77777777" w:rsidR="006714A7" w:rsidRPr="00F45F11" w:rsidRDefault="006714A7" w:rsidP="006714A7">
      <w:pPr>
        <w:pStyle w:val="Heading5"/>
      </w:pPr>
      <w:r w:rsidRPr="00F45F11">
        <w:t>Changing Ways</w:t>
      </w:r>
    </w:p>
    <w:p w14:paraId="7B6D845C" w14:textId="02DE68C3" w:rsidR="006714A7" w:rsidRPr="00F45F11" w:rsidRDefault="006714A7" w:rsidP="006714A7">
      <w:pPr>
        <w:pStyle w:val="ARBody"/>
      </w:pPr>
      <w:r w:rsidRPr="00F45F11">
        <w:t>The Changing Ways pilot program is a community-based intervention that works intensively with adults who use family violence to reduce and manage serious risk behaviour. It also works with victim survivors on safety planning and wellbeing. The</w:t>
      </w:r>
      <w:r w:rsidR="00A94E77">
        <w:t> </w:t>
      </w:r>
      <w:r w:rsidRPr="00F45F11">
        <w:t>pilot was initially funded in 2022–23 for 2</w:t>
      </w:r>
      <w:r w:rsidR="00A94E77">
        <w:t> </w:t>
      </w:r>
      <w:r w:rsidRPr="00F45F11">
        <w:t xml:space="preserve">years. Further funding </w:t>
      </w:r>
      <w:r w:rsidRPr="00D31049">
        <w:t xml:space="preserve">provided in 2025–26 allows the pilot to continue until June 2027. </w:t>
      </w:r>
      <w:r w:rsidRPr="00F45F11">
        <w:t>T</w:t>
      </w:r>
      <w:r w:rsidRPr="00D31049">
        <w:t>he</w:t>
      </w:r>
      <w:r w:rsidR="00A94E77">
        <w:t> </w:t>
      </w:r>
      <w:r w:rsidRPr="00D31049">
        <w:t>program has been evaluated by the Centre for</w:t>
      </w:r>
      <w:r w:rsidR="008074B3">
        <w:t> </w:t>
      </w:r>
      <w:r w:rsidRPr="00D31049">
        <w:t>Innovative Justice, in</w:t>
      </w:r>
      <w:r w:rsidR="00A94E77">
        <w:t> </w:t>
      </w:r>
      <w:r w:rsidRPr="00D31049">
        <w:t>partnership with Australia’s National Research Organisation for Women’s Safety (ANROWS). Key</w:t>
      </w:r>
      <w:r w:rsidR="00A94E77">
        <w:t> </w:t>
      </w:r>
      <w:r w:rsidRPr="00D31049">
        <w:t>findings demonstrate that</w:t>
      </w:r>
      <w:r w:rsidR="00A94E77">
        <w:t> </w:t>
      </w:r>
      <w:r w:rsidRPr="00D31049">
        <w:t>the program supports sustained and flexible engagement with victim survivors. It also engages with serious-risk adults using violence to disrupt pathways towards severe</w:t>
      </w:r>
      <w:r w:rsidR="00F02308">
        <w:t> </w:t>
      </w:r>
      <w:r w:rsidRPr="00D31049">
        <w:t>harm.</w:t>
      </w:r>
    </w:p>
    <w:p w14:paraId="337BC7D1" w14:textId="66412391" w:rsidR="006714A7" w:rsidRPr="00F45F11" w:rsidRDefault="006714A7" w:rsidP="006714A7">
      <w:pPr>
        <w:pStyle w:val="ARBody"/>
      </w:pPr>
      <w:r w:rsidRPr="00D31049">
        <w:t>Findings from the evaluation support continuous improvement opportunities for the pilot program, other serious-risk perpetrator interventions, the</w:t>
      </w:r>
      <w:r w:rsidR="00A94E77">
        <w:t> </w:t>
      </w:r>
      <w:r w:rsidRPr="00D31049">
        <w:t>broader service system, and workforce and</w:t>
      </w:r>
      <w:r w:rsidR="00A94E77">
        <w:t> </w:t>
      </w:r>
      <w:r w:rsidRPr="00D31049">
        <w:t>system capability.</w:t>
      </w:r>
    </w:p>
    <w:p w14:paraId="2EAD6349" w14:textId="77777777" w:rsidR="006714A7" w:rsidRPr="00F45F11" w:rsidRDefault="006714A7" w:rsidP="006714A7">
      <w:pPr>
        <w:pStyle w:val="Heading5"/>
      </w:pPr>
      <w:bookmarkStart w:id="57" w:name="_Hlk202092198"/>
      <w:bookmarkStart w:id="58" w:name="_Toc173830436"/>
      <w:r w:rsidRPr="00F45F11">
        <w:t>Embedding self-determination for Aboriginal children, young people and families</w:t>
      </w:r>
    </w:p>
    <w:p w14:paraId="4CC6B080" w14:textId="0E027293" w:rsidR="006714A7" w:rsidRPr="00F45F11" w:rsidRDefault="006714A7" w:rsidP="006714A7">
      <w:pPr>
        <w:pStyle w:val="ARBody"/>
      </w:pPr>
      <w:r w:rsidRPr="00F45F11">
        <w:t xml:space="preserve">In the Children portfolio, we are advancing </w:t>
      </w:r>
      <w:r w:rsidRPr="00F45F11">
        <w:br/>
        <w:t>self-determination by implementing the </w:t>
      </w:r>
      <w:r w:rsidRPr="00A124D1">
        <w:rPr>
          <w:rStyle w:val="Emphasis"/>
        </w:rPr>
        <w:t>Children and Health Legislation Amendment (Statement of</w:t>
      </w:r>
      <w:r w:rsidR="00A94E77">
        <w:rPr>
          <w:rStyle w:val="Emphasis"/>
        </w:rPr>
        <w:t> </w:t>
      </w:r>
      <w:r w:rsidRPr="00A124D1">
        <w:rPr>
          <w:rStyle w:val="Emphasis"/>
        </w:rPr>
        <w:t>Recognition, Aboriginal Self-determination and</w:t>
      </w:r>
      <w:r w:rsidR="00361CEC">
        <w:rPr>
          <w:rStyle w:val="Emphasis"/>
        </w:rPr>
        <w:t> </w:t>
      </w:r>
      <w:r w:rsidRPr="00A124D1">
        <w:rPr>
          <w:rStyle w:val="Emphasis"/>
        </w:rPr>
        <w:t>Other Matters) Act 2023.</w:t>
      </w:r>
    </w:p>
    <w:p w14:paraId="7D6DF530" w14:textId="647709A3" w:rsidR="006714A7" w:rsidRPr="00F45F11" w:rsidRDefault="006714A7" w:rsidP="006714A7">
      <w:pPr>
        <w:pStyle w:val="ARBullet1"/>
        <w:rPr>
          <w:rFonts w:asciiTheme="minorHAnsi" w:eastAsiaTheme="minorHAnsi" w:hAnsiTheme="minorHAnsi" w:cstheme="minorBidi"/>
          <w:iCs/>
          <w:sz w:val="22"/>
          <w:szCs w:val="22"/>
        </w:rPr>
      </w:pPr>
      <w:r w:rsidRPr="00F45F11">
        <w:t>The Act came into effect on 1 July 2024. As part of our work to implement the act, we continue to</w:t>
      </w:r>
      <w:r w:rsidR="00A94E77">
        <w:t> </w:t>
      </w:r>
      <w:r w:rsidRPr="00F45F11">
        <w:t xml:space="preserve">implement and embed Aboriginal self-determination in the legislative framework for children and family services. This includes binding principles for </w:t>
      </w:r>
      <w:proofErr w:type="gramStart"/>
      <w:r w:rsidRPr="00F45F11">
        <w:t>decision-makers</w:t>
      </w:r>
      <w:proofErr w:type="gramEnd"/>
      <w:r w:rsidRPr="00F45F11">
        <w:t xml:space="preserve"> and measuring impact through development of the monitoring and evaluation framework for the Act.</w:t>
      </w:r>
    </w:p>
    <w:p w14:paraId="65E064C6" w14:textId="77777777" w:rsidR="006714A7" w:rsidRPr="00F45F11" w:rsidRDefault="006714A7" w:rsidP="006714A7">
      <w:pPr>
        <w:pStyle w:val="Heading5"/>
      </w:pPr>
      <w:proofErr w:type="spellStart"/>
      <w:r w:rsidRPr="00F45F11">
        <w:t>Wungurilwil</w:t>
      </w:r>
      <w:proofErr w:type="spellEnd"/>
      <w:r w:rsidRPr="00F45F11">
        <w:t xml:space="preserve"> </w:t>
      </w:r>
      <w:proofErr w:type="spellStart"/>
      <w:r w:rsidRPr="00F45F11">
        <w:t>Gapgapduir</w:t>
      </w:r>
      <w:proofErr w:type="spellEnd"/>
      <w:r w:rsidRPr="00F45F11">
        <w:t xml:space="preserve"> and Aboriginal Children’s Forum</w:t>
      </w:r>
    </w:p>
    <w:p w14:paraId="6C86E4DB" w14:textId="41CC0FA8" w:rsidR="006714A7" w:rsidRPr="00F45F11" w:rsidRDefault="006714A7" w:rsidP="006714A7">
      <w:pPr>
        <w:pStyle w:val="ARBody"/>
        <w:rPr>
          <w:rFonts w:ascii="Segoe UI" w:hAnsi="Segoe UI" w:cs="Segoe UI"/>
          <w:sz w:val="18"/>
          <w:szCs w:val="18"/>
        </w:rPr>
      </w:pPr>
      <w:r w:rsidRPr="00F45F11">
        <w:t>The</w:t>
      </w:r>
      <w:r w:rsidRPr="00A124D1">
        <w:rPr>
          <w:rStyle w:val="Emphasis"/>
        </w:rPr>
        <w:t xml:space="preserve"> </w:t>
      </w:r>
      <w:proofErr w:type="spellStart"/>
      <w:r w:rsidRPr="00A124D1">
        <w:rPr>
          <w:rStyle w:val="Emphasis"/>
        </w:rPr>
        <w:t>Wungurilwil</w:t>
      </w:r>
      <w:proofErr w:type="spellEnd"/>
      <w:r w:rsidRPr="00A124D1">
        <w:rPr>
          <w:rStyle w:val="Emphasis"/>
        </w:rPr>
        <w:t xml:space="preserve"> </w:t>
      </w:r>
      <w:proofErr w:type="spellStart"/>
      <w:r w:rsidRPr="00A124D1">
        <w:rPr>
          <w:rStyle w:val="Emphasis"/>
        </w:rPr>
        <w:t>Gapgapduir</w:t>
      </w:r>
      <w:proofErr w:type="spellEnd"/>
      <w:r w:rsidRPr="00A124D1">
        <w:rPr>
          <w:rStyle w:val="Emphasis"/>
        </w:rPr>
        <w:t xml:space="preserve">: Aboriginal Children and Families Agreement </w:t>
      </w:r>
      <w:r w:rsidRPr="00F45F11">
        <w:t>offers a systemic approach to improving outcomes for Aboriginal children, young people and families. It sets out our</w:t>
      </w:r>
      <w:r w:rsidR="008074B3">
        <w:t> </w:t>
      </w:r>
      <w:r w:rsidRPr="00F45F11">
        <w:t>collective responsibility to develop a strong service system.</w:t>
      </w:r>
    </w:p>
    <w:p w14:paraId="0E06991A" w14:textId="77777777" w:rsidR="006714A7" w:rsidRPr="00F45F11" w:rsidRDefault="006714A7" w:rsidP="006714A7">
      <w:pPr>
        <w:pStyle w:val="ARBody"/>
      </w:pPr>
      <w:r w:rsidRPr="00F45F11">
        <w:t xml:space="preserve">The Aboriginal Children’s Forum (ACF) has developed a refreshed 4-year </w:t>
      </w:r>
      <w:proofErr w:type="spellStart"/>
      <w:r w:rsidRPr="00A124D1">
        <w:rPr>
          <w:rStyle w:val="Emphasis"/>
        </w:rPr>
        <w:t>Wungurilwil</w:t>
      </w:r>
      <w:proofErr w:type="spellEnd"/>
      <w:r w:rsidRPr="00A124D1">
        <w:rPr>
          <w:rStyle w:val="Emphasis"/>
        </w:rPr>
        <w:t xml:space="preserve"> </w:t>
      </w:r>
      <w:proofErr w:type="spellStart"/>
      <w:r w:rsidRPr="00A124D1">
        <w:rPr>
          <w:rStyle w:val="Emphasis"/>
        </w:rPr>
        <w:t>Gapgapduir</w:t>
      </w:r>
      <w:proofErr w:type="spellEnd"/>
      <w:r w:rsidRPr="00A124D1">
        <w:rPr>
          <w:rStyle w:val="Emphasis"/>
        </w:rPr>
        <w:t xml:space="preserve"> strategic action plan</w:t>
      </w:r>
      <w:r w:rsidRPr="00F45F11">
        <w:t>. Actions will advance an Aboriginal-led child and family services system.</w:t>
      </w:r>
    </w:p>
    <w:p w14:paraId="2E2C3185" w14:textId="77777777" w:rsidR="006714A7" w:rsidRPr="00F45F11" w:rsidRDefault="006714A7" w:rsidP="006714A7">
      <w:pPr>
        <w:pStyle w:val="ARBody"/>
      </w:pPr>
      <w:r w:rsidRPr="00F45F11">
        <w:t>As part of the refresh, ACCOs have led the process to set the ACF agenda. The Victorian Aboriginal Children and Young People’s Alliance (VACYPA), alongside the Victorian Aboriginal Child and Community Agency (VACCA), co-chair the ACF. They play a pivotal role in the oversight and delivery of more self-determined Aboriginal child and family services.</w:t>
      </w:r>
    </w:p>
    <w:p w14:paraId="70748232" w14:textId="77777777" w:rsidR="006714A7" w:rsidRPr="00F45F11" w:rsidRDefault="006714A7" w:rsidP="006714A7">
      <w:pPr>
        <w:pStyle w:val="ARBody"/>
      </w:pPr>
      <w:r w:rsidRPr="00F45F11">
        <w:t>In collaboration with the ACF, the department has continued significant work to expand Aboriginal-led child and family services. This includes new policies to facilitate the transfer of funding and resources for care and case management of Aboriginal children in care from mainstream community services organisations to ACCOs.</w:t>
      </w:r>
    </w:p>
    <w:p w14:paraId="40B3B1EC" w14:textId="49E4CB26" w:rsidR="006714A7" w:rsidRPr="00F45F11" w:rsidRDefault="006714A7" w:rsidP="006714A7">
      <w:pPr>
        <w:pStyle w:val="ARBody"/>
      </w:pPr>
      <w:r w:rsidRPr="00F45F11">
        <w:t>The ACF has also fostered collaboration with Department of Education and Department of Health to focus efforts for prevention and early intervention to reduce the entry of Aboriginal children into child protection and out-of-home care. The ACF has partnered with the Aboriginal Justice Forum and the Department of Justice and Community Safety to explore intersections in child protection and justice systems for Aboriginal children. This include</w:t>
      </w:r>
      <w:r w:rsidR="00B96AA0">
        <w:t>d</w:t>
      </w:r>
      <w:r w:rsidRPr="00F45F11">
        <w:t xml:space="preserve"> child</w:t>
      </w:r>
      <w:r w:rsidR="00CC6BD3">
        <w:t> </w:t>
      </w:r>
      <w:r w:rsidRPr="00F45F11">
        <w:t>sexual and criminal exploitation and joint accountabilities for Aboriginal children in both systems.</w:t>
      </w:r>
    </w:p>
    <w:p w14:paraId="48BD8B04" w14:textId="77777777" w:rsidR="006714A7" w:rsidRPr="00F45F11" w:rsidRDefault="006714A7" w:rsidP="006714A7">
      <w:pPr>
        <w:pStyle w:val="Heading5"/>
      </w:pPr>
      <w:bookmarkStart w:id="59" w:name="_Aboriginal_Children_in"/>
      <w:bookmarkEnd w:id="59"/>
      <w:r w:rsidRPr="00F45F11">
        <w:t xml:space="preserve">Aboriginal Children in Aboriginal Care and Community Protecting </w:t>
      </w:r>
      <w:proofErr w:type="spellStart"/>
      <w:r w:rsidRPr="00F45F11">
        <w:t>Boorais</w:t>
      </w:r>
      <w:proofErr w:type="spellEnd"/>
    </w:p>
    <w:p w14:paraId="2A8B01F4" w14:textId="77777777" w:rsidR="006714A7" w:rsidRPr="00F45F11" w:rsidRDefault="006714A7" w:rsidP="006714A7">
      <w:pPr>
        <w:pStyle w:val="ARBody"/>
      </w:pPr>
      <w:r w:rsidRPr="00F45F11">
        <w:t>Aboriginal Children in Aboriginal Care (ACAC) is a program for Aboriginal children and families involved with the child protection system. Under the program, authorised ACCOs provide child safety services. They do this instead of the department.</w:t>
      </w:r>
    </w:p>
    <w:p w14:paraId="31D6BDE4" w14:textId="1B9A4344" w:rsidR="006714A7" w:rsidRPr="00F45F11" w:rsidRDefault="006714A7" w:rsidP="006714A7">
      <w:pPr>
        <w:pStyle w:val="ARBody"/>
      </w:pPr>
      <w:r w:rsidRPr="00F45F11">
        <w:t xml:space="preserve">Under s. 18 of the </w:t>
      </w:r>
      <w:r w:rsidRPr="00A124D1">
        <w:rPr>
          <w:rStyle w:val="Emphasis"/>
        </w:rPr>
        <w:t xml:space="preserve">Children, Youth and Families Act 2005, </w:t>
      </w:r>
      <w:r w:rsidRPr="00F45F11">
        <w:t>authorised ACCOs have legal responsibility for Aboriginal children or young people who have been placed on a Children’s Court protection order or relevant</w:t>
      </w:r>
      <w:r w:rsidR="00F02308">
        <w:t> </w:t>
      </w:r>
      <w:r w:rsidRPr="00F45F11">
        <w:t>order.</w:t>
      </w:r>
    </w:p>
    <w:p w14:paraId="163F9BE9" w14:textId="77777777" w:rsidR="006714A7" w:rsidRPr="00F45F11" w:rsidRDefault="006714A7" w:rsidP="006714A7">
      <w:pPr>
        <w:pStyle w:val="ARBody"/>
      </w:pPr>
      <w:r w:rsidRPr="00F45F11">
        <w:t>In 2025–26, the ACAC program has:</w:t>
      </w:r>
    </w:p>
    <w:p w14:paraId="214D0972" w14:textId="46F46466" w:rsidR="006714A7" w:rsidRPr="00F45F11" w:rsidRDefault="006714A7" w:rsidP="006714A7">
      <w:pPr>
        <w:pStyle w:val="ARBullet1"/>
      </w:pPr>
      <w:r w:rsidRPr="00F45F11">
        <w:t xml:space="preserve">allocated an additional 6 teams across the state. This allowed us to provide services to an additional </w:t>
      </w:r>
      <w:r w:rsidR="009E7DDD">
        <w:t>137</w:t>
      </w:r>
      <w:r w:rsidRPr="00F45F11">
        <w:t xml:space="preserve"> </w:t>
      </w:r>
      <w:proofErr w:type="gramStart"/>
      <w:r w:rsidRPr="00F45F11">
        <w:t>children</w:t>
      </w:r>
      <w:r w:rsidR="007A26CD">
        <w:t>, and</w:t>
      </w:r>
      <w:proofErr w:type="gramEnd"/>
      <w:r w:rsidR="007A26CD">
        <w:t xml:space="preserve"> is</w:t>
      </w:r>
      <w:r w:rsidRPr="00F45F11">
        <w:t xml:space="preserve"> now operating in</w:t>
      </w:r>
      <w:r w:rsidR="008074B3">
        <w:t> </w:t>
      </w:r>
      <w:r w:rsidRPr="00F45F11">
        <w:t xml:space="preserve">13 of 17 DFFH Areas. The Australian-first Community Protecting </w:t>
      </w:r>
      <w:proofErr w:type="spellStart"/>
      <w:r w:rsidRPr="00F45F11">
        <w:t>Boorais</w:t>
      </w:r>
      <w:proofErr w:type="spellEnd"/>
      <w:r w:rsidRPr="00F45F11">
        <w:t xml:space="preserve"> (CPB) program continued and expanded during 2025–26. The</w:t>
      </w:r>
      <w:r w:rsidR="008074B3">
        <w:t> </w:t>
      </w:r>
      <w:r w:rsidRPr="00F45F11">
        <w:t>program expands the scope of the ACAC program. This includes allowing ACCOs to respond to child protection reports. This enables an earlier ACCO-led response to child safety. In</w:t>
      </w:r>
      <w:r w:rsidR="008074B3">
        <w:t> </w:t>
      </w:r>
      <w:r w:rsidRPr="00F45F11">
        <w:t xml:space="preserve">2025–26 the program </w:t>
      </w:r>
      <w:proofErr w:type="gramStart"/>
      <w:r w:rsidRPr="00F45F11">
        <w:t>grew</w:t>
      </w:r>
      <w:proofErr w:type="gramEnd"/>
      <w:r w:rsidRPr="00F45F11">
        <w:t xml:space="preserve"> and 245 child protection reports were responded to directly by</w:t>
      </w:r>
      <w:r w:rsidR="008074B3">
        <w:t> </w:t>
      </w:r>
      <w:r w:rsidRPr="00F45F11">
        <w:t>authorised ACCOs.</w:t>
      </w:r>
    </w:p>
    <w:p w14:paraId="23701F0D" w14:textId="77777777" w:rsidR="006714A7" w:rsidRPr="00F45F11" w:rsidRDefault="006714A7" w:rsidP="006714A7">
      <w:pPr>
        <w:pStyle w:val="Heading5"/>
      </w:pPr>
      <w:r w:rsidRPr="00F45F11">
        <w:t>Supporting children, young people and families through ongoing system reform</w:t>
      </w:r>
    </w:p>
    <w:p w14:paraId="1F63F7E3" w14:textId="475097CC" w:rsidR="006714A7" w:rsidRPr="00F45F11" w:rsidRDefault="006714A7" w:rsidP="006714A7">
      <w:pPr>
        <w:pStyle w:val="ARBody"/>
      </w:pPr>
      <w:r w:rsidRPr="00F45F11">
        <w:t>In 2023, Victoria established the Children portfolio. The portfolio improves equity, access and outcomes for Victorian children and families. It brings together Maternal and Child Health, Early Childhood Education and statutory and non-statutory Child and Family Services.</w:t>
      </w:r>
    </w:p>
    <w:p w14:paraId="592981DA" w14:textId="77777777" w:rsidR="006714A7" w:rsidRPr="00F45F11" w:rsidRDefault="006714A7" w:rsidP="006714A7">
      <w:pPr>
        <w:pStyle w:val="ARBody"/>
      </w:pPr>
      <w:r w:rsidRPr="00F45F11">
        <w:t>The portfolio supports children, young people and families. It works with communities, the child protection and family services sector, and people with lived experience.</w:t>
      </w:r>
    </w:p>
    <w:p w14:paraId="28675F7D" w14:textId="77777777" w:rsidR="006714A7" w:rsidRPr="00F45F11" w:rsidRDefault="006714A7" w:rsidP="006714A7">
      <w:pPr>
        <w:pStyle w:val="ARBody"/>
      </w:pPr>
      <w:r w:rsidRPr="00F45F11">
        <w:t xml:space="preserve">The department led the development and implementation of the Supporting Stable and Strong Families Scheme, which was passed by Parliament in March 2026. The scheme establishes responsibilities for all </w:t>
      </w:r>
      <w:r w:rsidRPr="00F45F11" w:rsidDel="00646A9D">
        <w:t xml:space="preserve">Victorian </w:t>
      </w:r>
      <w:r w:rsidRPr="00F45F11">
        <w:t>ministers and departments to improve outcomes for at-risk children, young people, care leavers, and their families.</w:t>
      </w:r>
    </w:p>
    <w:p w14:paraId="20C70957" w14:textId="7171CCFC" w:rsidR="006714A7" w:rsidRPr="00F45F11" w:rsidRDefault="006714A7" w:rsidP="006714A7">
      <w:pPr>
        <w:pStyle w:val="ARBody"/>
      </w:pPr>
      <w:r w:rsidRPr="00F45F11">
        <w:t xml:space="preserve">The scheme complements </w:t>
      </w:r>
      <w:r w:rsidR="00724ED4">
        <w:t xml:space="preserve">reforms </w:t>
      </w:r>
      <w:r w:rsidR="008F31D9">
        <w:t xml:space="preserve">that support family reunification </w:t>
      </w:r>
      <w:r w:rsidR="00294962">
        <w:t xml:space="preserve">via the </w:t>
      </w:r>
      <w:r w:rsidR="00294962">
        <w:rPr>
          <w:i/>
          <w:iCs/>
        </w:rPr>
        <w:t>Children, Youth and Families (Stability) Act 2026</w:t>
      </w:r>
      <w:r w:rsidR="00366073">
        <w:t xml:space="preserve">, which </w:t>
      </w:r>
      <w:r w:rsidR="00607F1D">
        <w:t>commenced in May 2026</w:t>
      </w:r>
      <w:r w:rsidRPr="00F45F11">
        <w:rPr>
          <w:rStyle w:val="Emphasis"/>
          <w:i w:val="0"/>
          <w:iCs w:val="0"/>
        </w:rPr>
        <w:t xml:space="preserve">. </w:t>
      </w:r>
      <w:r w:rsidR="00294962">
        <w:rPr>
          <w:rStyle w:val="Emphasis"/>
          <w:i w:val="0"/>
          <w:iCs w:val="0"/>
        </w:rPr>
        <w:t>The reform</w:t>
      </w:r>
      <w:r w:rsidRPr="00F45F11">
        <w:t xml:space="preserve"> remove</w:t>
      </w:r>
      <w:r w:rsidR="00294962">
        <w:t>d</w:t>
      </w:r>
      <w:r w:rsidRPr="00F45F11">
        <w:t xml:space="preserve"> strict time limits for family reunification orders, providing families additional time to access support and make changes to support children returned to their care, when it is safe to do so and in the best interests of</w:t>
      </w:r>
      <w:r w:rsidR="008074B3">
        <w:t> </w:t>
      </w:r>
      <w:r w:rsidRPr="00F45F11">
        <w:t>the child.</w:t>
      </w:r>
    </w:p>
    <w:bookmarkEnd w:id="57"/>
    <w:p w14:paraId="0EBE1AA9" w14:textId="1E19E39D" w:rsidR="006714A7" w:rsidRPr="00F45F11" w:rsidRDefault="006714A7" w:rsidP="0075532C">
      <w:pPr>
        <w:pStyle w:val="Heading5"/>
      </w:pPr>
      <w:r w:rsidRPr="00F45F11">
        <w:t>Family Services platform enhancements</w:t>
      </w:r>
    </w:p>
    <w:p w14:paraId="2E1186E2" w14:textId="77777777" w:rsidR="006714A7" w:rsidRPr="00F45F11" w:rsidRDefault="006714A7" w:rsidP="006714A7">
      <w:pPr>
        <w:pStyle w:val="ARBody"/>
      </w:pPr>
      <w:r w:rsidRPr="00F45F11">
        <w:t xml:space="preserve">Family Services aims to support families before challenges escalate and to divert families from more intensive and statutory interventions. Each year, Family Services supports approximately 40,000 families. </w:t>
      </w:r>
    </w:p>
    <w:p w14:paraId="71705C7F" w14:textId="7C43C8F9" w:rsidR="006714A7" w:rsidRPr="00F45F11" w:rsidRDefault="006714A7" w:rsidP="006714A7">
      <w:pPr>
        <w:pStyle w:val="ARBody"/>
      </w:pPr>
      <w:r w:rsidRPr="00F45F11">
        <w:t>In</w:t>
      </w:r>
      <w:r w:rsidRPr="00F45F11" w:rsidDel="00BB6B36">
        <w:t xml:space="preserve"> 2025</w:t>
      </w:r>
      <w:r w:rsidRPr="00F45F11">
        <w:t>–</w:t>
      </w:r>
      <w:r w:rsidRPr="00F45F11" w:rsidDel="00BB6B36">
        <w:t>26</w:t>
      </w:r>
      <w:r w:rsidRPr="00F45F11">
        <w:t>,</w:t>
      </w:r>
      <w:r w:rsidRPr="00F45F11" w:rsidDel="00BB6B36">
        <w:t xml:space="preserve"> </w:t>
      </w:r>
      <w:r w:rsidRPr="00F45F11">
        <w:t>the department modernised the Family</w:t>
      </w:r>
      <w:r w:rsidR="00361CEC">
        <w:t> </w:t>
      </w:r>
      <w:r w:rsidRPr="00F45F11">
        <w:t>Services platform to a more sustainable, evidence-based and targeted system of support.</w:t>
      </w:r>
    </w:p>
    <w:p w14:paraId="7E997084" w14:textId="77777777" w:rsidR="006714A7" w:rsidRPr="00F45F11" w:rsidRDefault="006714A7" w:rsidP="006714A7">
      <w:pPr>
        <w:pStyle w:val="ARBody"/>
      </w:pPr>
      <w:r w:rsidRPr="00F45F11">
        <w:t>Family Services platform enhancements include:</w:t>
      </w:r>
    </w:p>
    <w:p w14:paraId="5F7E65DF" w14:textId="77777777" w:rsidR="006714A7" w:rsidRPr="00F45F11" w:rsidRDefault="006714A7" w:rsidP="006714A7">
      <w:pPr>
        <w:pStyle w:val="ARBullet1"/>
      </w:pPr>
      <w:r w:rsidRPr="00F45F11">
        <w:t>moving to 3 simplified and flexible service streams – Connecting Families, Strengthening Families and Restoring Families</w:t>
      </w:r>
    </w:p>
    <w:p w14:paraId="0F1707D6" w14:textId="77777777" w:rsidR="006714A7" w:rsidRPr="00F45F11" w:rsidRDefault="006714A7" w:rsidP="006714A7">
      <w:pPr>
        <w:pStyle w:val="ARBullet1"/>
      </w:pPr>
      <w:r w:rsidRPr="00F45F11">
        <w:t>creating capacity to support families experiencing complexity effectively and earlier</w:t>
      </w:r>
    </w:p>
    <w:p w14:paraId="01945ED5" w14:textId="77777777" w:rsidR="006714A7" w:rsidRPr="00F45F11" w:rsidRDefault="006714A7" w:rsidP="006714A7">
      <w:pPr>
        <w:pStyle w:val="ARBullet1"/>
      </w:pPr>
      <w:r w:rsidRPr="00F45F11">
        <w:t>integrating learnings from previous trials to provide a statewide response for families engaged in the justice system</w:t>
      </w:r>
    </w:p>
    <w:p w14:paraId="3406CCCC" w14:textId="77777777" w:rsidR="006714A7" w:rsidRPr="00F45F11" w:rsidRDefault="006714A7" w:rsidP="006714A7">
      <w:pPr>
        <w:pStyle w:val="ARBullet1"/>
      </w:pPr>
      <w:r w:rsidRPr="00F45F11">
        <w:t>introducing new area-based resources to support service coordination and family-led decision-making.</w:t>
      </w:r>
    </w:p>
    <w:p w14:paraId="03EB8987" w14:textId="4FCBD1A2" w:rsidR="006714A7" w:rsidRPr="00F45F11" w:rsidRDefault="006714A7" w:rsidP="00A94E77">
      <w:pPr>
        <w:pStyle w:val="ARBodyafterbullets"/>
      </w:pPr>
      <w:r w:rsidRPr="00F45F11">
        <w:t>A new service model for 10- and 11-year-old children with high-harm behaviours also commenced in 2025–26. This model leverages the</w:t>
      </w:r>
      <w:r w:rsidR="00A94E77">
        <w:t> </w:t>
      </w:r>
      <w:r w:rsidRPr="00F45F11">
        <w:t>Family Services platform by combining intensive whole-of-family support with child-focused behavioural, forensic disability and mental health supports to meet young person’s needs and enhance community safety.</w:t>
      </w:r>
    </w:p>
    <w:p w14:paraId="7E07AFBB" w14:textId="77777777" w:rsidR="006714A7" w:rsidRPr="00F45F11" w:rsidRDefault="006714A7" w:rsidP="006714A7">
      <w:pPr>
        <w:pStyle w:val="Heading5"/>
      </w:pPr>
      <w:r w:rsidRPr="00F45F11">
        <w:t xml:space="preserve">Victorian Redress for Historical Institutional Abuse and National Redress </w:t>
      </w:r>
    </w:p>
    <w:p w14:paraId="07ED9D86" w14:textId="77777777" w:rsidR="006714A7" w:rsidRPr="00F45F11" w:rsidRDefault="006714A7" w:rsidP="006714A7">
      <w:pPr>
        <w:pStyle w:val="ARBody"/>
      </w:pPr>
      <w:r w:rsidRPr="00F45F11">
        <w:t>Applications for Redress for Historical Institutional Abuse (Redress) opened on 10 December 2024 and will close on 31 December 2026. All eligible applications made before the program closure date will be funded. The program is for people who were physically, psychologically or emotionally abused or neglected as children in institutional settings before 1990.</w:t>
      </w:r>
    </w:p>
    <w:p w14:paraId="41C0CDDC" w14:textId="77777777" w:rsidR="006714A7" w:rsidRPr="00F45F11" w:rsidRDefault="006714A7" w:rsidP="006714A7">
      <w:pPr>
        <w:pStyle w:val="ARBody"/>
      </w:pPr>
      <w:r w:rsidRPr="00F45F11">
        <w:t>Applicants who apply and are found eligible may be offered: payments of up to $20,000, a personal acknowledgment and apology, and access to counselling.</w:t>
      </w:r>
    </w:p>
    <w:p w14:paraId="1CA642E5" w14:textId="77777777" w:rsidR="006714A7" w:rsidRDefault="006714A7" w:rsidP="006714A7">
      <w:pPr>
        <w:pStyle w:val="ARBody"/>
      </w:pPr>
      <w:r w:rsidRPr="00F45F11">
        <w:t>The department also provides the statewide Counselling and Psychological Care Service Victoria and the Direct Personal Response Program. These are for people who experienced institutional child sexual abuse. This is part of National Redress.</w:t>
      </w:r>
    </w:p>
    <w:p w14:paraId="31611A18" w14:textId="081348D2" w:rsidR="006714A7" w:rsidRPr="00F45F11" w:rsidRDefault="006714A7" w:rsidP="00F02308">
      <w:pPr>
        <w:pStyle w:val="Heading5"/>
      </w:pPr>
      <w:r w:rsidRPr="00F45F11">
        <w:t>Improving outcomes for children and young people in c</w:t>
      </w:r>
      <w:r w:rsidRPr="00F45F11" w:rsidDel="00DF5819">
        <w:t xml:space="preserve">are </w:t>
      </w:r>
    </w:p>
    <w:p w14:paraId="7532C875" w14:textId="77777777" w:rsidR="006714A7" w:rsidRPr="00F45F11" w:rsidRDefault="006714A7" w:rsidP="008074B3">
      <w:pPr>
        <w:pStyle w:val="Heading6"/>
        <w:spacing w:before="0"/>
      </w:pPr>
      <w:bookmarkStart w:id="60" w:name="_Toc173830452"/>
      <w:r w:rsidRPr="00F45F11">
        <w:t>Education support for children in care</w:t>
      </w:r>
      <w:bookmarkEnd w:id="60"/>
    </w:p>
    <w:p w14:paraId="3841241E" w14:textId="76CC5912" w:rsidR="006714A7" w:rsidRPr="00F45F11" w:rsidRDefault="006714A7" w:rsidP="006714A7">
      <w:pPr>
        <w:pStyle w:val="ARBody"/>
      </w:pPr>
      <w:r w:rsidRPr="00F45F11">
        <w:t>In 2023–24, the government invested $10.7 million to support 500 children and young people in care with their education. Education Supports for Children in Care provides one-on-one tutoring from a qualified teacher. It is for children and young people in care who are disengaged or at risk of</w:t>
      </w:r>
      <w:r w:rsidR="00A94E77">
        <w:t> </w:t>
      </w:r>
      <w:r w:rsidRPr="00F45F11">
        <w:t xml:space="preserve">disengaging from education. </w:t>
      </w:r>
    </w:p>
    <w:p w14:paraId="3613773A" w14:textId="01B828C4" w:rsidR="006714A7" w:rsidRPr="00F45F11" w:rsidRDefault="006714A7" w:rsidP="006714A7">
      <w:pPr>
        <w:pStyle w:val="ARBody"/>
      </w:pPr>
      <w:r w:rsidRPr="00F45F11">
        <w:t>The program started in late 2024. In June 2026, it</w:t>
      </w:r>
      <w:r w:rsidR="00A94E77">
        <w:t> </w:t>
      </w:r>
      <w:r w:rsidRPr="00F45F11">
        <w:t xml:space="preserve">supported 413 children and young people across the 4 pilot locations. These are Central Highlands, </w:t>
      </w:r>
      <w:proofErr w:type="gramStart"/>
      <w:r w:rsidRPr="00F45F11">
        <w:t>North Eastern</w:t>
      </w:r>
      <w:proofErr w:type="gramEnd"/>
      <w:r w:rsidRPr="00F45F11">
        <w:t xml:space="preserve"> Melbourne, Outer Eastern Melbourne and Inner</w:t>
      </w:r>
      <w:r w:rsidR="00F02308">
        <w:t> </w:t>
      </w:r>
      <w:r w:rsidRPr="00F45F11">
        <w:t>Gippsland</w:t>
      </w:r>
      <w:r w:rsidRPr="00F45F11" w:rsidDel="003E00BF">
        <w:t>.</w:t>
      </w:r>
    </w:p>
    <w:p w14:paraId="23D1CE3A" w14:textId="77777777" w:rsidR="006714A7" w:rsidRPr="00F45F11" w:rsidRDefault="006714A7" w:rsidP="006714A7">
      <w:pPr>
        <w:pStyle w:val="ARBody"/>
      </w:pPr>
      <w:r w:rsidRPr="00F45F11">
        <w:t>An ACCO works in 3 of the 4 pilot areas.</w:t>
      </w:r>
    </w:p>
    <w:p w14:paraId="42E15EF6" w14:textId="77777777" w:rsidR="006714A7" w:rsidRPr="00F45F11" w:rsidRDefault="006714A7" w:rsidP="006714A7">
      <w:pPr>
        <w:pStyle w:val="ARBody"/>
      </w:pPr>
      <w:r w:rsidRPr="00F45F11">
        <w:t>Funding for the pilots in all 4 areas has been extended to December 2027.</w:t>
      </w:r>
    </w:p>
    <w:p w14:paraId="5B04DFAD" w14:textId="274F40F8" w:rsidR="006714A7" w:rsidRPr="00F45F11" w:rsidRDefault="006714A7" w:rsidP="006714A7">
      <w:pPr>
        <w:pStyle w:val="ARBody"/>
      </w:pPr>
      <w:r w:rsidRPr="00F45F11">
        <w:t>This initiative is being delivered in collaboration with</w:t>
      </w:r>
      <w:r w:rsidR="00A94E77">
        <w:t> </w:t>
      </w:r>
      <w:r w:rsidRPr="00F45F11">
        <w:t>the Department of Education.</w:t>
      </w:r>
    </w:p>
    <w:p w14:paraId="6505E7A8" w14:textId="77777777" w:rsidR="006714A7" w:rsidRPr="00F45F11" w:rsidRDefault="006714A7" w:rsidP="006714A7">
      <w:pPr>
        <w:pStyle w:val="Heading6"/>
      </w:pPr>
      <w:bookmarkStart w:id="61" w:name="_Toc173830453"/>
      <w:r w:rsidRPr="00F45F11">
        <w:t>Pathways to Good Health</w:t>
      </w:r>
      <w:bookmarkEnd w:id="61"/>
    </w:p>
    <w:p w14:paraId="2E9502E1" w14:textId="5D3E0DC6" w:rsidR="006714A7" w:rsidRPr="00F45F11" w:rsidRDefault="006714A7" w:rsidP="006714A7">
      <w:pPr>
        <w:pStyle w:val="ARBody"/>
      </w:pPr>
      <w:r w:rsidRPr="00F45F11">
        <w:t xml:space="preserve">The </w:t>
      </w:r>
      <w:r w:rsidRPr="00A124D1">
        <w:rPr>
          <w:rStyle w:val="Emphasis"/>
        </w:rPr>
        <w:t>2023–24 State Budget invested</w:t>
      </w:r>
      <w:r w:rsidRPr="00F45F11">
        <w:t xml:space="preserve"> $37.8 million over 4 years in the Pathway to Good Health program. The</w:t>
      </w:r>
      <w:r w:rsidR="00F02308">
        <w:t> </w:t>
      </w:r>
      <w:r w:rsidRPr="00F45F11">
        <w:t xml:space="preserve">Department of Health leads this work. </w:t>
      </w:r>
    </w:p>
    <w:p w14:paraId="259C4C54" w14:textId="77777777" w:rsidR="006714A7" w:rsidRPr="00F45F11" w:rsidRDefault="006714A7" w:rsidP="006714A7">
      <w:pPr>
        <w:pStyle w:val="ARBody"/>
      </w:pPr>
      <w:r w:rsidRPr="00F45F11">
        <w:t>The program gives children who enter or re-enter statutory care an automatic referral for health screening. This supports practitioners to provide health and disability supports.</w:t>
      </w:r>
    </w:p>
    <w:p w14:paraId="7828FD24" w14:textId="77777777" w:rsidR="006714A7" w:rsidRPr="00F45F11" w:rsidRDefault="006714A7" w:rsidP="006714A7">
      <w:pPr>
        <w:pStyle w:val="ARBody"/>
      </w:pPr>
      <w:r w:rsidRPr="00F45F11">
        <w:t>The program has been implemented in all 17 department areas since December 2025 after a phased implementation. This initiative is being delivered in collaboration with the Department of Health.</w:t>
      </w:r>
    </w:p>
    <w:p w14:paraId="57844AFC" w14:textId="77777777" w:rsidR="006714A7" w:rsidRPr="00F45F11" w:rsidRDefault="006714A7" w:rsidP="006714A7">
      <w:pPr>
        <w:pStyle w:val="Heading5"/>
      </w:pPr>
      <w:r w:rsidRPr="00F45F11">
        <w:t>Therapeutic supports for all young people in residential care</w:t>
      </w:r>
    </w:p>
    <w:p w14:paraId="093D7799" w14:textId="77777777" w:rsidR="006714A7" w:rsidRPr="00F45F11" w:rsidRDefault="006714A7" w:rsidP="006714A7">
      <w:pPr>
        <w:pStyle w:val="ARBody"/>
      </w:pPr>
      <w:r w:rsidRPr="00F45F11">
        <w:t xml:space="preserve">The </w:t>
      </w:r>
      <w:r w:rsidRPr="00A124D1">
        <w:rPr>
          <w:rStyle w:val="Emphasis"/>
        </w:rPr>
        <w:t xml:space="preserve">2023–24 State Budget </w:t>
      </w:r>
      <w:r w:rsidRPr="00F45F11">
        <w:t>provided $548 million to improve outcomes for young people in residential care, including to provide young people in residential care with access to therapeutic supports.</w:t>
      </w:r>
    </w:p>
    <w:p w14:paraId="770B3D23" w14:textId="12222DC4" w:rsidR="00373CF8" w:rsidRDefault="006714A7" w:rsidP="006714A7">
      <w:pPr>
        <w:pStyle w:val="ARBody"/>
      </w:pPr>
      <w:r w:rsidRPr="00F45F11">
        <w:t>As of 1 July 2025, all children and young people living in residential care have access to therapeutic supports</w:t>
      </w:r>
      <w:r w:rsidR="00C647DE">
        <w:t xml:space="preserve"> which includes </w:t>
      </w:r>
      <w:r w:rsidR="00192A5C" w:rsidRPr="00192A5C">
        <w:t>a therapeutic specialist</w:t>
      </w:r>
      <w:r w:rsidR="008A142C">
        <w:t> </w:t>
      </w:r>
      <w:r w:rsidR="00192A5C" w:rsidRPr="00192A5C">
        <w:t>who</w:t>
      </w:r>
      <w:r w:rsidR="00373CF8">
        <w:t>:</w:t>
      </w:r>
      <w:r w:rsidR="00192A5C" w:rsidRPr="00192A5C">
        <w:t xml:space="preserve"> </w:t>
      </w:r>
    </w:p>
    <w:p w14:paraId="05213569" w14:textId="77777777" w:rsidR="00F02308" w:rsidRDefault="00373CF8" w:rsidP="008A142C">
      <w:pPr>
        <w:pStyle w:val="ARBullet1"/>
      </w:pPr>
      <w:r>
        <w:t>u</w:t>
      </w:r>
      <w:r w:rsidRPr="00373CF8">
        <w:t>ndertake</w:t>
      </w:r>
      <w:r>
        <w:t>s</w:t>
      </w:r>
      <w:r w:rsidRPr="00373CF8">
        <w:t xml:space="preserve"> assessments and planning to ensure young people receive tailored</w:t>
      </w:r>
      <w:r>
        <w:t xml:space="preserve"> </w:t>
      </w:r>
      <w:r w:rsidRPr="00373CF8">
        <w:t>care and support</w:t>
      </w:r>
    </w:p>
    <w:p w14:paraId="6332E14D" w14:textId="7F62AF59" w:rsidR="008074B3" w:rsidRDefault="00192A5C" w:rsidP="008A142C">
      <w:pPr>
        <w:pStyle w:val="ARBullet1"/>
      </w:pPr>
      <w:r w:rsidRPr="00192A5C">
        <w:t>supports residential care</w:t>
      </w:r>
      <w:r w:rsidR="002C343B">
        <w:t>rs</w:t>
      </w:r>
      <w:r w:rsidRPr="00192A5C">
        <w:t xml:space="preserve"> to deliver a therapeutic model of care and provide a </w:t>
      </w:r>
      <w:r w:rsidR="00CC6BD3">
        <w:br/>
      </w:r>
      <w:r w:rsidRPr="00192A5C">
        <w:t>trauma-informed response to complex behaviours, ensuring young people receive the</w:t>
      </w:r>
      <w:r w:rsidR="00CC6BD3">
        <w:t> </w:t>
      </w:r>
      <w:r w:rsidRPr="00192A5C">
        <w:t>care they need to promote healing from trauma and support their wellbeing</w:t>
      </w:r>
      <w:r>
        <w:t>.</w:t>
      </w:r>
      <w:r w:rsidR="006714A7" w:rsidRPr="00F45F11">
        <w:t xml:space="preserve"> </w:t>
      </w:r>
    </w:p>
    <w:p w14:paraId="2B6BA3FA" w14:textId="77777777" w:rsidR="006714A7" w:rsidRPr="00F45F11" w:rsidRDefault="006714A7" w:rsidP="008A142C">
      <w:pPr>
        <w:pStyle w:val="ARBodyafterbullets"/>
      </w:pPr>
      <w:r w:rsidRPr="00F45F11">
        <w:t xml:space="preserve">The </w:t>
      </w:r>
      <w:r w:rsidRPr="00A124D1">
        <w:rPr>
          <w:rStyle w:val="Emphasis"/>
        </w:rPr>
        <w:t>2023–24 State Budget</w:t>
      </w:r>
      <w:r w:rsidRPr="00F45F11">
        <w:t xml:space="preserve"> also included ongoing funding to continue to expand 2- and 3-bed therapeutic residential care for 25 homes. These homes are all operational. They include specialised education, vocational and therapeutic supports.</w:t>
      </w:r>
    </w:p>
    <w:p w14:paraId="5B7E7B72" w14:textId="77777777" w:rsidR="006714A7" w:rsidRPr="00F45F11" w:rsidRDefault="006714A7" w:rsidP="006714A7">
      <w:pPr>
        <w:pStyle w:val="Heading5"/>
      </w:pPr>
      <w:r w:rsidRPr="00F45F11">
        <w:t>Strengthening supports for foster and kinship carers</w:t>
      </w:r>
    </w:p>
    <w:p w14:paraId="1E52A526" w14:textId="4296DBE6" w:rsidR="006714A7" w:rsidRPr="00F45F11" w:rsidRDefault="006714A7" w:rsidP="006714A7">
      <w:pPr>
        <w:pStyle w:val="ARBody"/>
      </w:pPr>
      <w:r w:rsidRPr="00F45F11">
        <w:t>A pilot of 20 carer support networks commenced in 2025–26 for 120 to 200 foster and kinship carers. Carer support networks are groups of between 6–10 foster and kinship carers each supported by one experienced carer. These networks strengthen and enable localised peer-based support, social activities and informal advice between foster and kinship carers.</w:t>
      </w:r>
    </w:p>
    <w:p w14:paraId="63966963" w14:textId="77777777" w:rsidR="006714A7" w:rsidRPr="00F45F11" w:rsidRDefault="006714A7" w:rsidP="006714A7">
      <w:pPr>
        <w:pStyle w:val="Heading5"/>
      </w:pPr>
      <w:r w:rsidRPr="00F45F11">
        <w:t>Expansion of therapeutic supports for children and young people in foster care</w:t>
      </w:r>
    </w:p>
    <w:p w14:paraId="1C55D8DA" w14:textId="77777777" w:rsidR="006714A7" w:rsidRPr="00F45F11" w:rsidRDefault="006714A7" w:rsidP="006714A7">
      <w:pPr>
        <w:pStyle w:val="ARBody"/>
      </w:pPr>
      <w:r w:rsidRPr="00F45F11">
        <w:t>In 2025–26, 200 new therapeutic foster care placements</w:t>
      </w:r>
      <w:r w:rsidRPr="00F45F11" w:rsidDel="0040573A">
        <w:t xml:space="preserve"> </w:t>
      </w:r>
      <w:r w:rsidRPr="00F45F11">
        <w:t>were introduced to provide</w:t>
      </w:r>
      <w:r w:rsidRPr="00F45F11" w:rsidDel="0040573A">
        <w:t xml:space="preserve"> </w:t>
      </w:r>
      <w:r w:rsidRPr="00F45F11">
        <w:t>children and young people in foster care with access to therapeutic supports. These placements also include additional training and support for foster carers.</w:t>
      </w:r>
    </w:p>
    <w:p w14:paraId="246CED87" w14:textId="2855D2C3" w:rsidR="006714A7" w:rsidRPr="00F45F11" w:rsidRDefault="006714A7" w:rsidP="006714A7">
      <w:pPr>
        <w:pStyle w:val="ARBody"/>
      </w:pPr>
      <w:r w:rsidRPr="00F45F11">
        <w:t>This is a</w:t>
      </w:r>
      <w:r w:rsidR="00061A59">
        <w:t>n important</w:t>
      </w:r>
      <w:r w:rsidR="005C0025">
        <w:t xml:space="preserve"> </w:t>
      </w:r>
      <w:r w:rsidRPr="00F45F11">
        <w:t>step in strengthening and modernising foster care in Victoria.</w:t>
      </w:r>
    </w:p>
    <w:p w14:paraId="01E10EB7" w14:textId="77777777" w:rsidR="006714A7" w:rsidRPr="00F45F11" w:rsidRDefault="006714A7" w:rsidP="006714A7">
      <w:pPr>
        <w:pStyle w:val="Heading5"/>
      </w:pPr>
      <w:r w:rsidRPr="00F45F11">
        <w:t>Supports for young people leaving care</w:t>
      </w:r>
    </w:p>
    <w:p w14:paraId="31FE3E93" w14:textId="48443C1B" w:rsidR="006714A7" w:rsidRPr="00F45F11" w:rsidRDefault="006714A7" w:rsidP="006714A7">
      <w:pPr>
        <w:pStyle w:val="ARBody"/>
      </w:pPr>
      <w:r w:rsidRPr="00F45F11">
        <w:t>The department continued to provide supports for</w:t>
      </w:r>
      <w:r w:rsidR="00361CEC">
        <w:t> </w:t>
      </w:r>
      <w:r w:rsidRPr="00F45F11">
        <w:t xml:space="preserve">young people leaving care through the Better Futures and Home Stretch programs. In addition, the department continues to implement the </w:t>
      </w:r>
      <w:r w:rsidRPr="00F45F11">
        <w:br/>
      </w:r>
      <w:r w:rsidRPr="00A124D1">
        <w:rPr>
          <w:rStyle w:val="Emphasis"/>
        </w:rPr>
        <w:t>2023–24 State Budget</w:t>
      </w:r>
      <w:r w:rsidRPr="00F45F11" w:rsidDel="00CC5B0D">
        <w:t xml:space="preserve"> </w:t>
      </w:r>
      <w:r w:rsidRPr="00F45F11">
        <w:t>investment of $40.4 million in the Housing First for Young People Leaving Residential Care Initiative (Housing First). This</w:t>
      </w:r>
      <w:r w:rsidR="00A94E77">
        <w:t> </w:t>
      </w:r>
      <w:r w:rsidRPr="00F45F11">
        <w:t>initiative will support 225 young people leaving residential care and other care settings. It provides at least 2 years of housing and 3 years of wrap-around support. Housing First builds on existing leaving care supports like Better Futures and Home</w:t>
      </w:r>
      <w:r w:rsidR="00A94E77">
        <w:t> </w:t>
      </w:r>
      <w:r w:rsidRPr="00F45F11">
        <w:t>Stretch. It provides young people with a</w:t>
      </w:r>
      <w:r w:rsidR="00A94E77">
        <w:t> </w:t>
      </w:r>
      <w:r w:rsidRPr="00F45F11">
        <w:t>gradual and supported transition from care.</w:t>
      </w:r>
    </w:p>
    <w:p w14:paraId="01B35ACF" w14:textId="2A02C964" w:rsidR="006714A7" w:rsidRPr="00F45F11" w:rsidRDefault="006714A7" w:rsidP="006714A7">
      <w:pPr>
        <w:pStyle w:val="ARBody"/>
      </w:pPr>
      <w:r w:rsidRPr="00F45F11">
        <w:t>The department also supported the continued opportunity for young people who have left care to provide advice and input into future system improvements. The Ministerial Youth Advisory Group (MYAG</w:t>
      </w:r>
      <w:r w:rsidRPr="00F45F11" w:rsidDel="00E765FE">
        <w:t>)</w:t>
      </w:r>
      <w:r w:rsidRPr="00F45F11">
        <w:t xml:space="preserve"> met 4 times in 2025–26. The Youth</w:t>
      </w:r>
      <w:r w:rsidR="00A94E77">
        <w:t> </w:t>
      </w:r>
      <w:r w:rsidRPr="00F45F11">
        <w:t>Expert Advisory Group (YEAG) met 12 times in 2025–26.</w:t>
      </w:r>
    </w:p>
    <w:p w14:paraId="58AF73AA" w14:textId="2CB2C1D8" w:rsidR="006714A7" w:rsidRPr="00F45F11" w:rsidRDefault="006714A7" w:rsidP="006714A7">
      <w:pPr>
        <w:pStyle w:val="ARBody"/>
      </w:pPr>
      <w:r w:rsidRPr="00F45F11">
        <w:t>Key focus areas for the YEAG included developing a video resource for young people regarding the work of the YEAG, along with the</w:t>
      </w:r>
      <w:r w:rsidRPr="00A124D1">
        <w:rPr>
          <w:rStyle w:val="Emphasis"/>
        </w:rPr>
        <w:t xml:space="preserve"> </w:t>
      </w:r>
      <w:proofErr w:type="gramStart"/>
      <w:r w:rsidRPr="00A124D1">
        <w:rPr>
          <w:rStyle w:val="Emphasis"/>
        </w:rPr>
        <w:t>Better</w:t>
      </w:r>
      <w:proofErr w:type="gramEnd"/>
      <w:r w:rsidRPr="00A124D1">
        <w:rPr>
          <w:rStyle w:val="Emphasis"/>
        </w:rPr>
        <w:t xml:space="preserve"> futures guide</w:t>
      </w:r>
      <w:r w:rsidRPr="00F45F11">
        <w:t xml:space="preserve"> (the guide) for young people to help them understand the supports available through the Better Futures and Home Stretch programs. </w:t>
      </w:r>
    </w:p>
    <w:p w14:paraId="5DF53100" w14:textId="082E42B2" w:rsidR="006714A7" w:rsidRPr="00F45F11" w:rsidRDefault="006714A7" w:rsidP="006714A7">
      <w:pPr>
        <w:pStyle w:val="ARBody"/>
      </w:pPr>
      <w:r w:rsidRPr="00F45F11">
        <w:t>YEAG members will deliver information sessions to</w:t>
      </w:r>
      <w:r w:rsidR="00A94E77">
        <w:t> </w:t>
      </w:r>
      <w:r w:rsidRPr="00F45F11">
        <w:t>promote the guide in 2026–27.</w:t>
      </w:r>
    </w:p>
    <w:p w14:paraId="2265C197" w14:textId="77777777" w:rsidR="006714A7" w:rsidRPr="00F45F11" w:rsidRDefault="006714A7" w:rsidP="006714A7">
      <w:pPr>
        <w:pStyle w:val="ARBody"/>
      </w:pPr>
      <w:r w:rsidRPr="00F45F11">
        <w:t>Key focus areas for the MYAG included providing advice to the Minister for Children on the development and implementation of the Supporting Stable and Strong Families legislation, experiences of education and mental health.</w:t>
      </w:r>
    </w:p>
    <w:p w14:paraId="34C0899C" w14:textId="77777777" w:rsidR="006714A7" w:rsidRPr="00F45F11" w:rsidRDefault="006714A7" w:rsidP="006714A7">
      <w:pPr>
        <w:pStyle w:val="Heading5"/>
      </w:pPr>
      <w:r w:rsidRPr="00F45F11">
        <w:t>Understanding what works for children and families – Menu of Evidence for Children and Families</w:t>
      </w:r>
    </w:p>
    <w:p w14:paraId="596BF1A6" w14:textId="77777777" w:rsidR="006714A7" w:rsidRPr="00F45F11" w:rsidRDefault="006714A7" w:rsidP="006714A7">
      <w:pPr>
        <w:pStyle w:val="ARBody"/>
      </w:pPr>
      <w:r w:rsidRPr="00F45F11">
        <w:t xml:space="preserve">In March 2023, the department launched the </w:t>
      </w:r>
      <w:hyperlink r:id="rId45" w:history="1">
        <w:r w:rsidRPr="00F45F11">
          <w:rPr>
            <w:rStyle w:val="Hyperlink"/>
          </w:rPr>
          <w:t>Menu of Evidence for Children and Families</w:t>
        </w:r>
      </w:hyperlink>
      <w:r w:rsidRPr="00F45F11">
        <w:t>.</w:t>
      </w:r>
      <w:r w:rsidRPr="00F45F11">
        <w:rPr>
          <w:rStyle w:val="FootnoteReference"/>
        </w:rPr>
        <w:footnoteReference w:id="6"/>
      </w:r>
      <w:r w:rsidRPr="00F45F11">
        <w:t xml:space="preserve"> This searchable online database showcases the best available evidence of what works for children and families.</w:t>
      </w:r>
    </w:p>
    <w:p w14:paraId="1D224E30" w14:textId="1FF9DC48" w:rsidR="006714A7" w:rsidRPr="00F45F11" w:rsidRDefault="006714A7" w:rsidP="006714A7">
      <w:pPr>
        <w:pStyle w:val="ARBody"/>
      </w:pPr>
      <w:r w:rsidRPr="00F45F11">
        <w:t>Since its release, the Menu has attracted more than</w:t>
      </w:r>
      <w:r w:rsidR="00A94E77">
        <w:t> </w:t>
      </w:r>
      <w:r w:rsidRPr="00F45F11">
        <w:t>22,000 users. The Menu supports safe and effective Family Services. It sits alongside other sources, such as Aboriginal knowledge and client voice.</w:t>
      </w:r>
    </w:p>
    <w:p w14:paraId="481E5BF5" w14:textId="77777777" w:rsidR="006714A7" w:rsidRPr="00F45F11" w:rsidRDefault="006714A7" w:rsidP="006714A7">
      <w:pPr>
        <w:pStyle w:val="Heading5"/>
      </w:pPr>
      <w:r w:rsidRPr="00F45F11">
        <w:t>Growing evidence through collaboration – the Outcomes, Practice and Evidence Network</w:t>
      </w:r>
    </w:p>
    <w:p w14:paraId="4FBA9BA5" w14:textId="77777777" w:rsidR="006714A7" w:rsidRPr="00F45F11" w:rsidRDefault="006714A7" w:rsidP="008074B3">
      <w:pPr>
        <w:pStyle w:val="ARBody"/>
        <w:spacing w:line="240" w:lineRule="atLeast"/>
      </w:pPr>
      <w:r w:rsidRPr="00F45F11">
        <w:t>The Centre for Excellence in Child and Family Welfare coordinates the Outcomes, Practice and Evidence Network (OPEN). OPEN fosters a collaborative approach to evidence-informed services for children and families.</w:t>
      </w:r>
    </w:p>
    <w:p w14:paraId="44F1FA62" w14:textId="77777777" w:rsidR="006714A7" w:rsidRPr="00F45F11" w:rsidRDefault="006714A7" w:rsidP="008074B3">
      <w:pPr>
        <w:pStyle w:val="ARBody"/>
        <w:spacing w:line="240" w:lineRule="atLeast"/>
      </w:pPr>
      <w:r w:rsidRPr="00F45F11">
        <w:t>OPEN has more than 6,100 practitioners, policy makers and researchers. It champions practice-based research and contributes to building a robust Victorian evidence base. OPEN uses a calendar of annual learning events, training and communities of practice. This enables professional development, knowledge sharing, best practice and innovation.</w:t>
      </w:r>
    </w:p>
    <w:p w14:paraId="58098F76" w14:textId="77777777" w:rsidR="006714A7" w:rsidRPr="00F45F11" w:rsidRDefault="006714A7" w:rsidP="006714A7">
      <w:pPr>
        <w:pStyle w:val="Heading5"/>
      </w:pPr>
      <w:r w:rsidRPr="00F45F11">
        <w:t>Mobilising evidence for better outcomes</w:t>
      </w:r>
    </w:p>
    <w:p w14:paraId="01D19962" w14:textId="16AE5C20" w:rsidR="006714A7" w:rsidRPr="00F45F11" w:rsidRDefault="006714A7" w:rsidP="006714A7">
      <w:pPr>
        <w:pStyle w:val="ARBody"/>
      </w:pPr>
      <w:r w:rsidRPr="00F45F11">
        <w:t>The Family Services platform uses an evidence approach. This embeds evidence at all stages of</w:t>
      </w:r>
      <w:r w:rsidR="00A94E77">
        <w:t> </w:t>
      </w:r>
      <w:r w:rsidRPr="00F45F11">
        <w:t>design, implementation and scaling.</w:t>
      </w:r>
    </w:p>
    <w:p w14:paraId="60F5ED36" w14:textId="77777777" w:rsidR="006714A7" w:rsidRPr="00F45F11" w:rsidRDefault="006714A7" w:rsidP="006714A7">
      <w:pPr>
        <w:pStyle w:val="ARBody"/>
        <w:rPr>
          <w:kern w:val="2"/>
          <w14:ligatures w14:val="standardContextual"/>
        </w:rPr>
      </w:pPr>
      <w:r w:rsidRPr="00F45F11">
        <w:t xml:space="preserve">It includes integrating the best available evidence with Aboriginal cultural practice. This ensures </w:t>
      </w:r>
      <w:r w:rsidRPr="00F45F11">
        <w:rPr>
          <w:kern w:val="2"/>
          <w14:ligatures w14:val="standardContextual"/>
        </w:rPr>
        <w:t>families receive support</w:t>
      </w:r>
      <w:r w:rsidRPr="00F45F11">
        <w:t xml:space="preserve"> </w:t>
      </w:r>
      <w:r w:rsidRPr="00F45F11">
        <w:rPr>
          <w:kern w:val="2"/>
          <w14:ligatures w14:val="standardContextual"/>
        </w:rPr>
        <w:t>that provides the best chance of improved outcomes</w:t>
      </w:r>
      <w:r w:rsidRPr="00F45F11">
        <w:t xml:space="preserve"> for children</w:t>
      </w:r>
      <w:r w:rsidRPr="00F45F11">
        <w:rPr>
          <w:kern w:val="2"/>
          <w14:ligatures w14:val="standardContextual"/>
        </w:rPr>
        <w:t>.</w:t>
      </w:r>
    </w:p>
    <w:p w14:paraId="559A1BB1" w14:textId="77777777" w:rsidR="006714A7" w:rsidRPr="00F45F11" w:rsidRDefault="006714A7" w:rsidP="006714A7">
      <w:pPr>
        <w:pStyle w:val="ARBody"/>
      </w:pPr>
      <w:r w:rsidRPr="00F45F11">
        <w:t>The evidence approach is flexible and inclusive. It accommodates different workforce skills and qualifications. It can be adapted to different contexts. It can also be tailored to families’ needs.</w:t>
      </w:r>
    </w:p>
    <w:p w14:paraId="14253570" w14:textId="77777777" w:rsidR="006714A7" w:rsidRPr="00F45F11" w:rsidRDefault="006714A7" w:rsidP="006714A7">
      <w:pPr>
        <w:pStyle w:val="ARBody"/>
      </w:pPr>
      <w:r w:rsidRPr="00F45F11">
        <w:t>The department provides coordinated implementation support. This helps practitioners apply proven methods in their work. It strengthens Family Services, making them consistent and effective.</w:t>
      </w:r>
    </w:p>
    <w:p w14:paraId="727FBEE2" w14:textId="36F84C08" w:rsidR="006714A7" w:rsidRPr="00F45F11" w:rsidRDefault="006714A7" w:rsidP="006714A7">
      <w:pPr>
        <w:pStyle w:val="ARBody"/>
      </w:pPr>
      <w:r w:rsidRPr="00F45F11">
        <w:t>Evaluations show positive outcomes for intensive family preservation and reunification support using the evidence approach. Children and young people from families supported in this way are less likely to</w:t>
      </w:r>
      <w:r w:rsidR="00A94E77">
        <w:t> </w:t>
      </w:r>
      <w:r w:rsidRPr="00F45F11">
        <w:t>enter Care Services.</w:t>
      </w:r>
    </w:p>
    <w:bookmarkEnd w:id="58"/>
    <w:p w14:paraId="29CAE2F5" w14:textId="77777777" w:rsidR="006714A7" w:rsidRPr="00F45F11" w:rsidRDefault="006714A7" w:rsidP="006714A7">
      <w:pPr>
        <w:pStyle w:val="Heading5"/>
      </w:pPr>
      <w:r w:rsidRPr="00F45F11">
        <w:t>Providing an enriched early career experience for community services graduates</w:t>
      </w:r>
    </w:p>
    <w:p w14:paraId="67719869" w14:textId="77777777" w:rsidR="006714A7" w:rsidRPr="00F45F11" w:rsidRDefault="006714A7" w:rsidP="006714A7">
      <w:pPr>
        <w:pStyle w:val="ARBody"/>
      </w:pPr>
      <w:r w:rsidRPr="00F45F11">
        <w:t>The Community and Social Services Graduate Program gives new community services practitioners 12 months of professional development, improving their job-readiness and retention. Through cross-sector development activities and professional networking, graduates build their skills and confidence as they move from study to work.</w:t>
      </w:r>
    </w:p>
    <w:p w14:paraId="0BF0D1F5" w14:textId="77777777" w:rsidR="006714A7" w:rsidRPr="00F45F11" w:rsidRDefault="006714A7" w:rsidP="006714A7">
      <w:pPr>
        <w:pStyle w:val="ARBody"/>
      </w:pPr>
      <w:r w:rsidRPr="00F45F11">
        <w:t>The program is being delivered over 6 rounds from 2024 to 2028. So far:</w:t>
      </w:r>
    </w:p>
    <w:p w14:paraId="30B3675E" w14:textId="77777777" w:rsidR="006714A7" w:rsidRPr="00F45F11" w:rsidRDefault="006714A7" w:rsidP="006714A7">
      <w:pPr>
        <w:pStyle w:val="ARBullet1"/>
      </w:pPr>
      <w:r w:rsidRPr="00F45F11">
        <w:t>308 graduates from 48 employers have taken part</w:t>
      </w:r>
    </w:p>
    <w:p w14:paraId="6D913FF0" w14:textId="77777777" w:rsidR="006714A7" w:rsidRPr="00F45F11" w:rsidRDefault="006714A7" w:rsidP="006714A7">
      <w:pPr>
        <w:pStyle w:val="ARBullet1"/>
      </w:pPr>
      <w:r w:rsidRPr="00F45F11">
        <w:t>the fifth round will begin in November 2026</w:t>
      </w:r>
    </w:p>
    <w:p w14:paraId="784EBC44" w14:textId="77777777" w:rsidR="006714A7" w:rsidRPr="00F45F11" w:rsidRDefault="006714A7" w:rsidP="006714A7">
      <w:pPr>
        <w:pStyle w:val="ARBullet1"/>
      </w:pPr>
      <w:r w:rsidRPr="00F45F11">
        <w:t>29% of participating graduates are working within the department including in Child Protection, Secure Care and Forensic Disability</w:t>
      </w:r>
    </w:p>
    <w:p w14:paraId="7F99740F" w14:textId="2FDC92ED" w:rsidR="006714A7" w:rsidRPr="00F45F11" w:rsidRDefault="006714A7" w:rsidP="006714A7">
      <w:pPr>
        <w:pStyle w:val="ARBullet1"/>
      </w:pPr>
      <w:r w:rsidRPr="00F45F11">
        <w:t>some participants were existing staff who had recently gained an eligible qualification, while others were hired through the program across a</w:t>
      </w:r>
      <w:r w:rsidR="00A94E77">
        <w:t> </w:t>
      </w:r>
      <w:r w:rsidRPr="00F45F11">
        <w:t>range of specialisms</w:t>
      </w:r>
    </w:p>
    <w:p w14:paraId="3D06714A" w14:textId="444BC6D3" w:rsidR="006714A7" w:rsidRPr="00F45F11" w:rsidRDefault="006714A7" w:rsidP="006714A7">
      <w:pPr>
        <w:pStyle w:val="ARBodyafterbullets"/>
      </w:pPr>
      <w:r w:rsidRPr="00F45F11">
        <w:t>In 2025, the Graduate Program introduced increased financial support for regional participants,</w:t>
      </w:r>
      <w:r w:rsidR="00D04AD6">
        <w:t> </w:t>
      </w:r>
      <w:r w:rsidRPr="00F45F11">
        <w:t>who can receive up to $5,000 to help with relocation, establishment and access to learning and development opportunities.</w:t>
      </w:r>
    </w:p>
    <w:p w14:paraId="3B34F7E1" w14:textId="77777777" w:rsidR="006714A7" w:rsidRPr="00F45F11" w:rsidRDefault="006714A7" w:rsidP="006714A7">
      <w:pPr>
        <w:pStyle w:val="Heading5"/>
      </w:pPr>
      <w:r w:rsidRPr="00F45F11">
        <w:t>Reducing barriers to course completion</w:t>
      </w:r>
    </w:p>
    <w:p w14:paraId="7A163DF7" w14:textId="0086D686" w:rsidR="006714A7" w:rsidRPr="00F45F11" w:rsidRDefault="006714A7" w:rsidP="006714A7">
      <w:pPr>
        <w:pStyle w:val="ARBody"/>
      </w:pPr>
      <w:r w:rsidRPr="00F45F11">
        <w:t>The Regional Disability Worker Scholarships initiative aims to attract and upskill disability workers in rural and regional areas. The</w:t>
      </w:r>
      <w:r w:rsidR="00A94E77">
        <w:t> </w:t>
      </w:r>
      <w:r w:rsidRPr="00F45F11">
        <w:t xml:space="preserve">scholarship is for $3,500. In the first round, 30 scholarships were awarded. The second round opened in July 2025 and 185 scholarships were awarded. The third and final round </w:t>
      </w:r>
      <w:r w:rsidR="002F4E85">
        <w:t xml:space="preserve">opened for applications in </w:t>
      </w:r>
      <w:r w:rsidRPr="00F45F11">
        <w:t>July 2026.</w:t>
      </w:r>
    </w:p>
    <w:p w14:paraId="425414A8" w14:textId="77777777" w:rsidR="006714A7" w:rsidRPr="00F45F11" w:rsidRDefault="006714A7" w:rsidP="006714A7">
      <w:pPr>
        <w:pStyle w:val="Heading5"/>
      </w:pPr>
      <w:r w:rsidRPr="00F45F11">
        <w:t>Supporting the Aboriginal sector workforce to deliver for Aboriginal communities</w:t>
      </w:r>
    </w:p>
    <w:p w14:paraId="2EA94879" w14:textId="14A64E36" w:rsidR="006714A7" w:rsidRPr="00F45F11" w:rsidRDefault="006714A7" w:rsidP="006714A7">
      <w:pPr>
        <w:pStyle w:val="ARBody"/>
      </w:pPr>
      <w:r w:rsidRPr="00F45F11">
        <w:t>In 2024, the Aboriginal Strategic Governance Forum (ASGF) established a dedicated working group made up of Aboriginal sector leaders. The</w:t>
      </w:r>
      <w:r w:rsidR="00A94E77">
        <w:t> </w:t>
      </w:r>
      <w:r w:rsidRPr="00F45F11">
        <w:t xml:space="preserve">ASGF leads the development of a 10-year Aboriginal community-controlled workforce strategy to build a strong and sustainable Aboriginal sector workforce. The strategy covers Aboriginal and </w:t>
      </w:r>
      <w:r w:rsidR="00A94E77">
        <w:br/>
      </w:r>
      <w:r w:rsidRPr="00F45F11">
        <w:t>non-Aboriginal workforces in Aboriginal organisations. This includes those working in children and families, family violence and sexual assault, and housing and homelessness.</w:t>
      </w:r>
    </w:p>
    <w:p w14:paraId="2F4E22D3" w14:textId="77777777" w:rsidR="006714A7" w:rsidRPr="00F45F11" w:rsidRDefault="006714A7" w:rsidP="006714A7">
      <w:pPr>
        <w:pStyle w:val="ARBody"/>
      </w:pPr>
      <w:r w:rsidRPr="00F45F11">
        <w:t>The strategy supports Closing the Gap’s priority reform 2: strengthening the community-controlled sector. It is expected to be endorsed by the ASGF in 2026.</w:t>
      </w:r>
    </w:p>
    <w:p w14:paraId="639ABC76" w14:textId="77777777" w:rsidR="006714A7" w:rsidRPr="00F45F11" w:rsidRDefault="006714A7" w:rsidP="006714A7">
      <w:pPr>
        <w:pStyle w:val="Heading5"/>
      </w:pPr>
      <w:r w:rsidRPr="00F45F11">
        <w:t xml:space="preserve">After Hours Child Protection Service </w:t>
      </w:r>
    </w:p>
    <w:p w14:paraId="423CE378" w14:textId="77777777" w:rsidR="006714A7" w:rsidRPr="00F45F11" w:rsidRDefault="006714A7" w:rsidP="006714A7">
      <w:pPr>
        <w:pStyle w:val="ARBody"/>
      </w:pPr>
      <w:r w:rsidRPr="00F45F11">
        <w:t xml:space="preserve">In 2025–26, the department implemented a new </w:t>
      </w:r>
      <w:proofErr w:type="gramStart"/>
      <w:r w:rsidRPr="00F45F11">
        <w:t>After Hours Child</w:t>
      </w:r>
      <w:proofErr w:type="gramEnd"/>
      <w:r w:rsidRPr="00F45F11">
        <w:t xml:space="preserve"> Protection Service (AHCPS) statewide stand-up rostered model. This followed the refreshed child protection operating model in 2024–25. </w:t>
      </w:r>
    </w:p>
    <w:p w14:paraId="34EF3BF3" w14:textId="3ACE7738" w:rsidR="006714A7" w:rsidRPr="00F45F11" w:rsidRDefault="006714A7" w:rsidP="006714A7">
      <w:pPr>
        <w:pStyle w:val="ARBody"/>
      </w:pPr>
      <w:r w:rsidRPr="00F45F11">
        <w:t>AHCPS offers a responsive, timely, integrated, targeted response. It provides opportunities for proactive intervention and outreach through consistent statewide AHCPS service coverage. Having consistent staff coverage across the state improves responsiveness and collaboration with stakeholders. It strengthens safety and support for</w:t>
      </w:r>
      <w:r w:rsidR="00A94E77">
        <w:t> </w:t>
      </w:r>
      <w:r w:rsidRPr="00F45F11">
        <w:t>children and families.</w:t>
      </w:r>
    </w:p>
    <w:p w14:paraId="58DBAC72" w14:textId="276B015C" w:rsidR="006714A7" w:rsidRPr="00F45F11" w:rsidRDefault="006714A7" w:rsidP="006714A7">
      <w:pPr>
        <w:pStyle w:val="ARBody"/>
      </w:pPr>
      <w:r w:rsidRPr="00F45F11">
        <w:t xml:space="preserve">The new model receives reports for children needing urgent child protection intervention, </w:t>
      </w:r>
      <w:r w:rsidR="00A94E77">
        <w:br/>
      </w:r>
      <w:r w:rsidRPr="00F45F11">
        <w:t>as well as concerns for existing child protection clients requiring after-hours service response. The</w:t>
      </w:r>
      <w:r w:rsidR="00A94E77">
        <w:t> </w:t>
      </w:r>
      <w:r w:rsidRPr="00F45F11">
        <w:t>AHCPS operates outside usual business hours, between 5 pm to 9 am weekdays and 24</w:t>
      </w:r>
      <w:r w:rsidR="008074B3">
        <w:t> </w:t>
      </w:r>
      <w:r w:rsidRPr="00F45F11">
        <w:t>hours a day on weekends and public holidays.</w:t>
      </w:r>
    </w:p>
    <w:p w14:paraId="7E738314" w14:textId="5AC2BA76" w:rsidR="006714A7" w:rsidRPr="00F45F11" w:rsidRDefault="006714A7" w:rsidP="006714A7">
      <w:pPr>
        <w:pStyle w:val="ARBody"/>
      </w:pPr>
      <w:r w:rsidRPr="00F45F11">
        <w:t>Key benefits of the AHCPS statewide stand-up rostered model include:</w:t>
      </w:r>
    </w:p>
    <w:p w14:paraId="30788529" w14:textId="77777777" w:rsidR="006714A7" w:rsidRPr="00F45F11" w:rsidRDefault="006714A7" w:rsidP="006714A7">
      <w:pPr>
        <w:pStyle w:val="ARBullet1"/>
      </w:pPr>
      <w:r w:rsidRPr="00F45F11">
        <w:t>statewide coverage and timely service response to vulnerable children and their families</w:t>
      </w:r>
    </w:p>
    <w:p w14:paraId="1A994924" w14:textId="77777777" w:rsidR="006714A7" w:rsidRPr="00F45F11" w:rsidRDefault="006714A7" w:rsidP="006714A7">
      <w:pPr>
        <w:pStyle w:val="ARBullet1"/>
      </w:pPr>
      <w:r w:rsidRPr="00F45F11">
        <w:t>consistent after-hours operational hours and flexible use of resources to support client need across metropolitan and rural areas, enabling greater service coverage statewide</w:t>
      </w:r>
    </w:p>
    <w:p w14:paraId="0597BC5A" w14:textId="77777777" w:rsidR="006714A7" w:rsidRPr="00F45F11" w:rsidRDefault="006714A7" w:rsidP="006714A7">
      <w:pPr>
        <w:pStyle w:val="ARBullet1"/>
      </w:pPr>
      <w:r w:rsidRPr="00F45F11">
        <w:t>greater oversight, integrated, targeted outreach and intervention for children most at risk</w:t>
      </w:r>
    </w:p>
    <w:p w14:paraId="29218D1B" w14:textId="4BCC0E09" w:rsidR="006714A7" w:rsidRPr="00F45F11" w:rsidRDefault="006714A7" w:rsidP="006714A7">
      <w:pPr>
        <w:pStyle w:val="ARBullet1"/>
      </w:pPr>
      <w:r w:rsidRPr="00F45F11">
        <w:t>ability to undertake planned and proactive work</w:t>
      </w:r>
      <w:r w:rsidR="00CC6BD3">
        <w:t> </w:t>
      </w:r>
      <w:r w:rsidRPr="00F45F11">
        <w:t>after hours across the state</w:t>
      </w:r>
    </w:p>
    <w:p w14:paraId="072F186F" w14:textId="4F121FDC" w:rsidR="006714A7" w:rsidRPr="00F45F11" w:rsidRDefault="006714A7" w:rsidP="006714A7">
      <w:pPr>
        <w:pStyle w:val="ARBullet1"/>
      </w:pPr>
      <w:r w:rsidRPr="00F45F11">
        <w:t>senior manager resourcing across all hours of operation to support decision-making, issue</w:t>
      </w:r>
      <w:r w:rsidR="0021402F">
        <w:t> </w:t>
      </w:r>
      <w:r w:rsidRPr="00F45F11">
        <w:t>resolution, stakeholder collaboration and</w:t>
      </w:r>
      <w:r w:rsidR="0021402F">
        <w:t> </w:t>
      </w:r>
      <w:r w:rsidRPr="00F45F11">
        <w:t>practitioner support</w:t>
      </w:r>
    </w:p>
    <w:p w14:paraId="34C902B6" w14:textId="77777777" w:rsidR="006714A7" w:rsidRPr="00F45F11" w:rsidRDefault="006714A7" w:rsidP="006714A7">
      <w:pPr>
        <w:pStyle w:val="ARBullet1"/>
      </w:pPr>
      <w:r w:rsidRPr="00F45F11">
        <w:t>roster resourcing aligned to peak demand to improve responsiveness and reduce workload pressures</w:t>
      </w:r>
    </w:p>
    <w:p w14:paraId="1E79D649" w14:textId="10843C92" w:rsidR="006714A7" w:rsidRPr="00F45F11" w:rsidRDefault="006714A7" w:rsidP="006714A7">
      <w:pPr>
        <w:pStyle w:val="ARBullet1"/>
      </w:pPr>
      <w:r w:rsidRPr="00F45F11">
        <w:t>improved practitioner mobilisation, response and</w:t>
      </w:r>
      <w:r w:rsidR="00361CEC">
        <w:t> </w:t>
      </w:r>
      <w:r w:rsidRPr="00F45F11">
        <w:t>handover times and processes, better aligning service with client needs.</w:t>
      </w:r>
    </w:p>
    <w:p w14:paraId="431E8403" w14:textId="20FF13F5" w:rsidR="006714A7" w:rsidRPr="00F45F11" w:rsidRDefault="006714A7" w:rsidP="006714A7">
      <w:pPr>
        <w:pStyle w:val="Heading5"/>
      </w:pPr>
      <w:r w:rsidRPr="00F45F11">
        <w:t>Strengthening the child protection</w:t>
      </w:r>
      <w:r w:rsidR="00361CEC">
        <w:t xml:space="preserve"> </w:t>
      </w:r>
      <w:r w:rsidRPr="00F45F11">
        <w:t>workforce through targeted recruitment and retention</w:t>
      </w:r>
    </w:p>
    <w:p w14:paraId="04BB4A99" w14:textId="77777777" w:rsidR="006714A7" w:rsidRPr="00F45F11" w:rsidRDefault="006714A7" w:rsidP="006714A7">
      <w:pPr>
        <w:pStyle w:val="ARBody"/>
        <w:numPr>
          <w:ilvl w:val="0"/>
          <w:numId w:val="26"/>
        </w:numPr>
      </w:pPr>
      <w:r w:rsidRPr="00F45F11">
        <w:t>The department continued targeted recruitment and retention efforts in 2025–26. This included:</w:t>
      </w:r>
    </w:p>
    <w:p w14:paraId="20298B74" w14:textId="77777777" w:rsidR="006714A7" w:rsidRPr="00F45F11" w:rsidRDefault="006714A7" w:rsidP="006714A7">
      <w:pPr>
        <w:pStyle w:val="ARBullet1"/>
      </w:pPr>
      <w:r w:rsidRPr="00F45F11">
        <w:t>90 participants in the Child Protection Employment Program successful in attaining ongoing employment</w:t>
      </w:r>
    </w:p>
    <w:p w14:paraId="74D799A2" w14:textId="35D1CA9F" w:rsidR="006714A7" w:rsidRPr="00F45F11" w:rsidRDefault="006714A7" w:rsidP="006714A7">
      <w:pPr>
        <w:pStyle w:val="ARBullet1"/>
      </w:pPr>
      <w:r w:rsidRPr="00F45F11">
        <w:t>222 tertiary students commenc</w:t>
      </w:r>
      <w:r w:rsidR="00005459">
        <w:t>ing</w:t>
      </w:r>
      <w:r w:rsidRPr="00F45F11">
        <w:t xml:space="preserve"> a student placement as part of the Child Protection Student Placement Program</w:t>
      </w:r>
    </w:p>
    <w:p w14:paraId="0E2DDA69" w14:textId="4C56FEF7" w:rsidR="006714A7" w:rsidRPr="00F45F11" w:rsidRDefault="006714A7" w:rsidP="006714A7">
      <w:pPr>
        <w:pStyle w:val="ARBullet1"/>
      </w:pPr>
      <w:r w:rsidRPr="00F45F11">
        <w:t>the Switch to Child Protection program employ</w:t>
      </w:r>
      <w:r w:rsidR="00005459">
        <w:t>ing</w:t>
      </w:r>
      <w:r w:rsidRPr="00F45F11">
        <w:t xml:space="preserve"> 18 Advanced Child Protection Practitioners. The program recognises transferable skills and offers a supported learning pathway through the Graduate Certificate in Child Protection</w:t>
      </w:r>
    </w:p>
    <w:p w14:paraId="102099AE" w14:textId="4B06F385" w:rsidR="006714A7" w:rsidRPr="00F45F11" w:rsidRDefault="006714A7" w:rsidP="006714A7">
      <w:pPr>
        <w:pStyle w:val="ARBullet1"/>
      </w:pPr>
      <w:r w:rsidRPr="00F45F11">
        <w:t>nominating 28 sponsored employees for permanent residency who were recruited through the International Recruitment Strategy. This supports qualified and experienced practitioners to remain employed in their child protection roles and permanently remain in Victoria</w:t>
      </w:r>
    </w:p>
    <w:p w14:paraId="4DB47024" w14:textId="6874DD60" w:rsidR="006714A7" w:rsidRPr="00F45F11" w:rsidRDefault="006714A7" w:rsidP="006714A7">
      <w:pPr>
        <w:pStyle w:val="ARBullet1"/>
      </w:pPr>
      <w:r w:rsidRPr="00F45F11">
        <w:t xml:space="preserve">implementing the Onshore Recruitment strategy to attract CPP4 and CPP5 suitably qualified and experienced candidates who are in Australia on their own visa who can then be sponsored for employment on a </w:t>
      </w:r>
      <w:r w:rsidR="00B04558">
        <w:t>‘</w:t>
      </w:r>
      <w:r w:rsidRPr="00F45F11">
        <w:t>skills in demand</w:t>
      </w:r>
      <w:r w:rsidR="00B04558">
        <w:t>’</w:t>
      </w:r>
      <w:r w:rsidRPr="00F45F11">
        <w:t xml:space="preserve"> visa</w:t>
      </w:r>
    </w:p>
    <w:p w14:paraId="1E3EFD4E" w14:textId="77777777" w:rsidR="006714A7" w:rsidRPr="00F45F11" w:rsidRDefault="006714A7" w:rsidP="006714A7">
      <w:pPr>
        <w:pStyle w:val="ARBullet1"/>
      </w:pPr>
      <w:r w:rsidRPr="00F45F11">
        <w:t>implementing the New Zealand attraction strategy to attract CPP4 and CPP5 suitably qualified and experienced candidates to relocate to Victoria</w:t>
      </w:r>
    </w:p>
    <w:p w14:paraId="71886636" w14:textId="77777777" w:rsidR="006714A7" w:rsidRPr="00F45F11" w:rsidRDefault="006714A7" w:rsidP="006714A7">
      <w:pPr>
        <w:pStyle w:val="ARBullet1"/>
      </w:pPr>
      <w:r w:rsidRPr="00F45F11">
        <w:t xml:space="preserve">delivering the targeted Go Where You’re Needed recruitment campaign. This focused on attracting child protection practitioners to regional Victoria. More than 100 new practitioners were recruited to child protection following the campaign. </w:t>
      </w:r>
    </w:p>
    <w:p w14:paraId="18C60D65" w14:textId="77777777" w:rsidR="006714A7" w:rsidRPr="00F45F11" w:rsidRDefault="006714A7" w:rsidP="006714A7">
      <w:pPr>
        <w:pStyle w:val="ARBullet1"/>
      </w:pPr>
      <w:r w:rsidRPr="00F45F11">
        <w:t>providing a retention allowance of up to $15,000 over 3 years to eligible child protection employees in nominated regional locations. This was part of the Victorian Public Sector Enterprise Agreement 2024.</w:t>
      </w:r>
    </w:p>
    <w:p w14:paraId="00FCA533" w14:textId="77777777" w:rsidR="006714A7" w:rsidRPr="00F45F11" w:rsidRDefault="006714A7" w:rsidP="006714A7">
      <w:pPr>
        <w:pStyle w:val="Heading5"/>
      </w:pPr>
      <w:r w:rsidRPr="00F45F11">
        <w:t>New Professional Supervision for Child Protection Practice</w:t>
      </w:r>
    </w:p>
    <w:p w14:paraId="775A5045" w14:textId="77777777" w:rsidR="006714A7" w:rsidRPr="00F45F11" w:rsidRDefault="006714A7" w:rsidP="006714A7">
      <w:pPr>
        <w:pStyle w:val="ARBody"/>
        <w:numPr>
          <w:ilvl w:val="0"/>
          <w:numId w:val="26"/>
        </w:numPr>
      </w:pPr>
      <w:r w:rsidRPr="00F45F11">
        <w:t>In March 2026, the department launched the Professional Supervision in Child Protection model to better meet practitioner and supervisor needs through additional and practical modes of supervision.</w:t>
      </w:r>
    </w:p>
    <w:p w14:paraId="5EC6507D" w14:textId="77777777" w:rsidR="006714A7" w:rsidRPr="00F45F11" w:rsidRDefault="006714A7" w:rsidP="006714A7">
      <w:pPr>
        <w:pStyle w:val="ARBody"/>
        <w:numPr>
          <w:ilvl w:val="0"/>
          <w:numId w:val="26"/>
        </w:numPr>
      </w:pPr>
      <w:r w:rsidRPr="00C47D7E">
        <w:t>The model consists of 3 complementary supervision modes:</w:t>
      </w:r>
    </w:p>
    <w:p w14:paraId="790AC6AA" w14:textId="77777777" w:rsidR="006714A7" w:rsidRPr="00F45F11" w:rsidRDefault="006714A7" w:rsidP="006714A7">
      <w:pPr>
        <w:pStyle w:val="ARBullet1"/>
      </w:pPr>
      <w:r w:rsidRPr="00C47D7E">
        <w:t>individual supervision</w:t>
      </w:r>
    </w:p>
    <w:p w14:paraId="2D74603E" w14:textId="77777777" w:rsidR="006714A7" w:rsidRPr="00F45F11" w:rsidRDefault="006714A7" w:rsidP="006714A7">
      <w:pPr>
        <w:pStyle w:val="ARBullet1"/>
      </w:pPr>
      <w:r w:rsidRPr="00C47D7E">
        <w:t>reflective group supervision (team based)</w:t>
      </w:r>
    </w:p>
    <w:p w14:paraId="649D075C" w14:textId="77777777" w:rsidR="006714A7" w:rsidRPr="00F45F11" w:rsidRDefault="006714A7" w:rsidP="006714A7">
      <w:pPr>
        <w:pStyle w:val="ARBullet1"/>
      </w:pPr>
      <w:r w:rsidRPr="00C47D7E">
        <w:t>live supervision.</w:t>
      </w:r>
    </w:p>
    <w:p w14:paraId="77303048" w14:textId="77777777" w:rsidR="006714A7" w:rsidRPr="00F45F11" w:rsidRDefault="006714A7" w:rsidP="006714A7">
      <w:pPr>
        <w:pStyle w:val="ARBodyafterbullets"/>
      </w:pPr>
      <w:r w:rsidRPr="00F45F11">
        <w:t>This consistent statewide supervision model is supported by a range of tools and training. It also includes a simpler set of reporting requirements that increase flexibility for achieving compliance and focus more on practitioner need.</w:t>
      </w:r>
    </w:p>
    <w:p w14:paraId="293F91F3" w14:textId="77777777" w:rsidR="008A142C" w:rsidRDefault="006714A7" w:rsidP="006714A7">
      <w:pPr>
        <w:pStyle w:val="ARBodyafterbullets"/>
      </w:pPr>
      <w:r w:rsidRPr="00F45F11">
        <w:t xml:space="preserve">A new bespoke training program for supervisors was developed by the Australian Childhood Foundation to support the implementation of the model. Delivery of the training program commenced in April 2026. </w:t>
      </w:r>
    </w:p>
    <w:p w14:paraId="0EB92E86" w14:textId="15E2DE4B" w:rsidR="006714A7" w:rsidRDefault="006714A7" w:rsidP="006714A7">
      <w:pPr>
        <w:pStyle w:val="ARBodyafterbullets"/>
      </w:pPr>
      <w:r w:rsidRPr="00F45F11">
        <w:t>As of the end of June 2026, 350 child protection supervisors have completed the 2-day training program. Further training sessions for supervisors and child protection leaders are scheduled until February 2027.</w:t>
      </w:r>
    </w:p>
    <w:p w14:paraId="713A8199" w14:textId="77777777" w:rsidR="006714A7" w:rsidRPr="00F45F11" w:rsidRDefault="006714A7" w:rsidP="006714A7">
      <w:pPr>
        <w:pStyle w:val="Heading5"/>
      </w:pPr>
      <w:r w:rsidRPr="00F45F11">
        <w:t>Culturally Safe Practice (Cultural Elements) training for Child Protection Practitioners</w:t>
      </w:r>
    </w:p>
    <w:p w14:paraId="6C8AD040" w14:textId="77777777" w:rsidR="006714A7" w:rsidRPr="00F45F11" w:rsidRDefault="006714A7" w:rsidP="006714A7">
      <w:pPr>
        <w:pStyle w:val="ARBody"/>
        <w:numPr>
          <w:ilvl w:val="0"/>
          <w:numId w:val="26"/>
        </w:numPr>
      </w:pPr>
      <w:r w:rsidRPr="00F45F11">
        <w:t xml:space="preserve">The </w:t>
      </w:r>
      <w:proofErr w:type="spellStart"/>
      <w:r w:rsidRPr="00F45F11">
        <w:t>Yoorrook</w:t>
      </w:r>
      <w:proofErr w:type="spellEnd"/>
      <w:r w:rsidRPr="00F45F11">
        <w:t xml:space="preserve"> Justice Commission made several recommendations relating to training provided to the child protection workforce, including to substantially upscale capability, competence and support in relation to human and Aboriginal cultural rights and a review all relevant training programs.</w:t>
      </w:r>
    </w:p>
    <w:p w14:paraId="24642941" w14:textId="56803E86" w:rsidR="0075532C" w:rsidRDefault="006714A7" w:rsidP="006714A7">
      <w:pPr>
        <w:pStyle w:val="ARBody"/>
        <w:numPr>
          <w:ilvl w:val="0"/>
          <w:numId w:val="26"/>
        </w:numPr>
      </w:pPr>
      <w:r w:rsidRPr="00F45F11">
        <w:t xml:space="preserve">After the success of a pilot program in 2024–25, in 2025–26 the Culturally Safe Practice (Cultural Elements) training program for child protection practitioners delivered face-to-face training to 331 child protection practitioners, managers and practice leaders across Victoria. </w:t>
      </w:r>
    </w:p>
    <w:p w14:paraId="10EB7E43" w14:textId="77777777" w:rsidR="0075532C" w:rsidRDefault="0075532C">
      <w:pPr>
        <w:spacing w:after="0" w:line="240" w:lineRule="auto"/>
        <w:rPr>
          <w:rFonts w:eastAsia="Times"/>
          <w:sz w:val="20"/>
        </w:rPr>
      </w:pPr>
      <w:r>
        <w:br w:type="page"/>
      </w:r>
    </w:p>
    <w:p w14:paraId="318F5BC9" w14:textId="77777777" w:rsidR="006714A7" w:rsidRPr="00F45F11" w:rsidRDefault="006714A7" w:rsidP="0075532C">
      <w:pPr>
        <w:pStyle w:val="Heading5"/>
      </w:pPr>
      <w:r w:rsidRPr="00F45F11">
        <w:t>Preventing child sexual exploitation</w:t>
      </w:r>
    </w:p>
    <w:p w14:paraId="63C0F832" w14:textId="174BCF22" w:rsidR="006714A7" w:rsidRPr="00F45F11" w:rsidRDefault="006714A7" w:rsidP="006714A7">
      <w:pPr>
        <w:pStyle w:val="ARBody"/>
      </w:pPr>
      <w:r w:rsidRPr="00F45F11">
        <w:t>In 2025–26, the Child Exploitation Response Team produced and launched a suite of resources, titled "</w:t>
      </w:r>
      <w:r w:rsidRPr="00A124D1">
        <w:rPr>
          <w:rStyle w:val="Emphasis"/>
        </w:rPr>
        <w:t>Understanding and responding to child sexual and criminal exploitation</w:t>
      </w:r>
      <w:r w:rsidRPr="00F45F11">
        <w:t xml:space="preserve">, which consisted of a Practice Guide, Literature Review, and Practitioner Toolkit. The Literature Review provides the knowledge foundation for the Practice Guide and toolkit. The Practice Guide equips practitioners across the sector with a shared understanding of exploitation risk, strengthens professional judgement, promoting consistent and effective responses and the toolkit provides practitioners with immediate direction and support to respond to child exploitation in practice. The resources were launched across the state of Victoria with representatives from child protection, aboriginal </w:t>
      </w:r>
      <w:r w:rsidR="009022CF" w:rsidRPr="00F45F11">
        <w:t>community-controlled</w:t>
      </w:r>
      <w:r w:rsidRPr="00F45F11">
        <w:t xml:space="preserve"> organisations, community services organisations and other key stakeholders from across the child, youth and family sector. </w:t>
      </w:r>
    </w:p>
    <w:p w14:paraId="7CFE8F9F" w14:textId="15EAF57C" w:rsidR="006714A7" w:rsidRPr="00F45F11" w:rsidRDefault="006714A7" w:rsidP="006714A7">
      <w:pPr>
        <w:pStyle w:val="ARBody"/>
      </w:pPr>
      <w:proofErr w:type="gramStart"/>
      <w:r w:rsidRPr="00F45F11">
        <w:t>Also</w:t>
      </w:r>
      <w:proofErr w:type="gramEnd"/>
      <w:r w:rsidRPr="00F45F11">
        <w:t xml:space="preserve"> during 2025–26, the Child Exploitation Response Team successfully established and embedded an Intelligence Strategy and Framework. This promotes intelligence that is consistent, co-ordinated and proactive, supporting sound operational decision making by internal and external stakeholders.</w:t>
      </w:r>
    </w:p>
    <w:p w14:paraId="49EFE6A7" w14:textId="68E5B91F" w:rsidR="0084076D" w:rsidRDefault="0084076D" w:rsidP="00CE0233">
      <w:pPr>
        <w:pStyle w:val="ARBody"/>
      </w:pPr>
      <w:r>
        <w:br w:type="page"/>
      </w:r>
    </w:p>
    <w:p w14:paraId="04B578BC" w14:textId="77777777" w:rsidR="00FF1168" w:rsidRPr="00F45F11" w:rsidRDefault="00FF1168" w:rsidP="00FF1168">
      <w:pPr>
        <w:pStyle w:val="Heading3"/>
      </w:pPr>
      <w:r w:rsidRPr="00F45F11">
        <w:t xml:space="preserve">Objective: Safe, fair, inclusive and resilient Victorian communities </w:t>
      </w:r>
    </w:p>
    <w:p w14:paraId="40E58928" w14:textId="77777777" w:rsidR="00FF1168" w:rsidRPr="00F45F11" w:rsidRDefault="00FF1168" w:rsidP="00FF1168">
      <w:pPr>
        <w:pStyle w:val="ARBody"/>
      </w:pPr>
      <w:r w:rsidRPr="00F45F11">
        <w:t xml:space="preserve">This objective aims to ensure Victorians are socially connected to their community in a way that enhances their safety and wellbeing. Strong communities are critical in fostering social inclusion and </w:t>
      </w:r>
      <w:proofErr w:type="gramStart"/>
      <w:r w:rsidRPr="00F45F11">
        <w:t>participation, and</w:t>
      </w:r>
      <w:proofErr w:type="gramEnd"/>
      <w:r w:rsidRPr="00F45F11">
        <w:t> ensuring that Victorians from intersectional communities can safely identify with their culture, express their identity and build support networks with people they trust.</w:t>
      </w:r>
    </w:p>
    <w:p w14:paraId="40CB9A99" w14:textId="77777777" w:rsidR="00FF1168" w:rsidRPr="00F45F11" w:rsidRDefault="00FF1168" w:rsidP="00FF1168">
      <w:pPr>
        <w:pStyle w:val="ARTablecaption"/>
        <w:rPr>
          <w:rFonts w:eastAsia="Times"/>
        </w:rPr>
      </w:pPr>
      <w:r w:rsidRPr="00F45F11">
        <w:rPr>
          <w:rFonts w:eastAsia="Times"/>
        </w:rPr>
        <w:t>Indicator results</w:t>
      </w:r>
    </w:p>
    <w:tbl>
      <w:tblPr>
        <w:tblStyle w:val="ARtable1"/>
        <w:tblW w:w="5000" w:type="pct"/>
        <w:tblLayout w:type="fixed"/>
        <w:tblLook w:val="02A0" w:firstRow="1" w:lastRow="0" w:firstColumn="1" w:lastColumn="0" w:noHBand="1" w:noVBand="0"/>
      </w:tblPr>
      <w:tblGrid>
        <w:gridCol w:w="5042"/>
        <w:gridCol w:w="1146"/>
        <w:gridCol w:w="1147"/>
        <w:gridCol w:w="1146"/>
        <w:gridCol w:w="1147"/>
      </w:tblGrid>
      <w:tr w:rsidR="00FF1168" w:rsidRPr="00F45F11" w14:paraId="1BEDD0CF" w14:textId="77777777">
        <w:trPr>
          <w:cnfStyle w:val="100000000000" w:firstRow="1" w:lastRow="0" w:firstColumn="0" w:lastColumn="0" w:oddVBand="0" w:evenVBand="0" w:oddHBand="0" w:evenHBand="0" w:firstRowFirstColumn="0" w:firstRowLastColumn="0" w:lastRowFirstColumn="0" w:lastRowLastColumn="0"/>
          <w:tblHeader/>
        </w:trPr>
        <w:tc>
          <w:tcPr>
            <w:tcW w:w="5048" w:type="dxa"/>
          </w:tcPr>
          <w:p w14:paraId="5DF6BBF8" w14:textId="77777777" w:rsidR="00FF1168" w:rsidRPr="00F45F11" w:rsidRDefault="00FF1168">
            <w:pPr>
              <w:pStyle w:val="ARtablecolhead"/>
              <w:rPr>
                <w:rFonts w:eastAsia="Times"/>
              </w:rPr>
            </w:pPr>
          </w:p>
        </w:tc>
        <w:tc>
          <w:tcPr>
            <w:cnfStyle w:val="000001000000" w:firstRow="0" w:lastRow="0" w:firstColumn="0" w:lastColumn="0" w:oddVBand="0" w:evenVBand="1" w:oddHBand="0" w:evenHBand="0" w:firstRowFirstColumn="0" w:firstRowLastColumn="0" w:lastRowFirstColumn="0" w:lastRowLastColumn="0"/>
            <w:tcW w:w="1147" w:type="dxa"/>
          </w:tcPr>
          <w:p w14:paraId="5D95F182" w14:textId="77777777" w:rsidR="00FF1168" w:rsidRPr="00F45F11" w:rsidRDefault="00FF1168">
            <w:pPr>
              <w:pStyle w:val="ARtablecolheadright"/>
              <w:rPr>
                <w:rFonts w:eastAsia="Times"/>
              </w:rPr>
            </w:pPr>
            <w:r w:rsidRPr="00F45F11">
              <w:rPr>
                <w:rFonts w:eastAsia="Times"/>
              </w:rPr>
              <w:t>2022–23</w:t>
            </w:r>
          </w:p>
        </w:tc>
        <w:tc>
          <w:tcPr>
            <w:tcW w:w="1148" w:type="dxa"/>
          </w:tcPr>
          <w:p w14:paraId="5C5EEEF4" w14:textId="77777777" w:rsidR="00FF1168" w:rsidRPr="00F45F11" w:rsidRDefault="00FF1168">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2023–24</w:t>
            </w:r>
          </w:p>
        </w:tc>
        <w:tc>
          <w:tcPr>
            <w:cnfStyle w:val="000001000000" w:firstRow="0" w:lastRow="0" w:firstColumn="0" w:lastColumn="0" w:oddVBand="0" w:evenVBand="1" w:oddHBand="0" w:evenHBand="0" w:firstRowFirstColumn="0" w:firstRowLastColumn="0" w:lastRowFirstColumn="0" w:lastRowLastColumn="0"/>
            <w:tcW w:w="1147" w:type="dxa"/>
          </w:tcPr>
          <w:p w14:paraId="4101E19B" w14:textId="77777777" w:rsidR="00FF1168" w:rsidRPr="00F45F11" w:rsidRDefault="00FF1168">
            <w:pPr>
              <w:pStyle w:val="ARtablecolheadright"/>
              <w:rPr>
                <w:rFonts w:eastAsia="Times"/>
              </w:rPr>
            </w:pPr>
            <w:r w:rsidRPr="00F45F11">
              <w:rPr>
                <w:rFonts w:eastAsia="Times"/>
              </w:rPr>
              <w:t>2024–25</w:t>
            </w:r>
          </w:p>
        </w:tc>
        <w:tc>
          <w:tcPr>
            <w:tcW w:w="1148" w:type="dxa"/>
          </w:tcPr>
          <w:p w14:paraId="0038BE6B" w14:textId="77777777" w:rsidR="00FF1168" w:rsidRPr="00F45F11" w:rsidRDefault="00FF1168">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2025–26</w:t>
            </w:r>
          </w:p>
        </w:tc>
      </w:tr>
      <w:tr w:rsidR="00FF1168" w:rsidRPr="00F45F11" w14:paraId="3B76B798" w14:textId="77777777">
        <w:tc>
          <w:tcPr>
            <w:tcW w:w="5048" w:type="dxa"/>
          </w:tcPr>
          <w:p w14:paraId="0D70690D" w14:textId="77777777" w:rsidR="00FF1168" w:rsidRPr="00F45F11" w:rsidRDefault="00FF1168">
            <w:pPr>
              <w:pStyle w:val="ARTabletext"/>
              <w:rPr>
                <w:rFonts w:eastAsia="Times"/>
              </w:rPr>
            </w:pPr>
            <w:r w:rsidRPr="00F45F11">
              <w:rPr>
                <w:rFonts w:eastAsia="Times"/>
              </w:rPr>
              <w:t>Hours of coordination funding provided to Neighbourhood Houses</w:t>
            </w:r>
          </w:p>
        </w:tc>
        <w:tc>
          <w:tcPr>
            <w:cnfStyle w:val="000001000000" w:firstRow="0" w:lastRow="0" w:firstColumn="0" w:lastColumn="0" w:oddVBand="0" w:evenVBand="1" w:oddHBand="0" w:evenHBand="0" w:firstRowFirstColumn="0" w:firstRowLastColumn="0" w:lastRowFirstColumn="0" w:lastRowLastColumn="0"/>
            <w:tcW w:w="1147" w:type="dxa"/>
          </w:tcPr>
          <w:p w14:paraId="2C7ABD0A" w14:textId="77777777" w:rsidR="00FF1168" w:rsidRPr="00F45F11" w:rsidRDefault="00FF1168">
            <w:pPr>
              <w:pStyle w:val="ARtabletextright"/>
              <w:rPr>
                <w:rFonts w:eastAsia="Times"/>
              </w:rPr>
            </w:pPr>
            <w:r w:rsidRPr="00F45F11">
              <w:rPr>
                <w:rFonts w:eastAsia="Times"/>
              </w:rPr>
              <w:t>561,320</w:t>
            </w:r>
          </w:p>
        </w:tc>
        <w:tc>
          <w:tcPr>
            <w:tcW w:w="1148" w:type="dxa"/>
          </w:tcPr>
          <w:p w14:paraId="7BB2EDA3" w14:textId="77777777" w:rsidR="00FF1168" w:rsidRPr="00F45F11" w:rsidRDefault="00FF1168">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561,106</w:t>
            </w:r>
          </w:p>
        </w:tc>
        <w:tc>
          <w:tcPr>
            <w:cnfStyle w:val="000001000000" w:firstRow="0" w:lastRow="0" w:firstColumn="0" w:lastColumn="0" w:oddVBand="0" w:evenVBand="1" w:oddHBand="0" w:evenHBand="0" w:firstRowFirstColumn="0" w:firstRowLastColumn="0" w:lastRowFirstColumn="0" w:lastRowLastColumn="0"/>
            <w:tcW w:w="1147" w:type="dxa"/>
          </w:tcPr>
          <w:p w14:paraId="1A539196" w14:textId="77777777" w:rsidR="00FF1168" w:rsidRPr="00F45F11" w:rsidRDefault="00FF1168">
            <w:pPr>
              <w:pStyle w:val="ARtabletextright"/>
              <w:rPr>
                <w:rFonts w:eastAsia="Times"/>
              </w:rPr>
            </w:pPr>
            <w:r w:rsidRPr="00F45F11">
              <w:rPr>
                <w:rFonts w:eastAsia="Times"/>
              </w:rPr>
              <w:t>560,351</w:t>
            </w:r>
          </w:p>
        </w:tc>
        <w:tc>
          <w:tcPr>
            <w:tcW w:w="1148" w:type="dxa"/>
          </w:tcPr>
          <w:p w14:paraId="1304D547" w14:textId="77777777" w:rsidR="00FF1168" w:rsidRPr="00F45F11" w:rsidRDefault="00FF1168">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561,058</w:t>
            </w:r>
          </w:p>
        </w:tc>
      </w:tr>
      <w:tr w:rsidR="00FF1168" w:rsidRPr="00F45F11" w14:paraId="54415598" w14:textId="77777777">
        <w:tc>
          <w:tcPr>
            <w:tcW w:w="5048" w:type="dxa"/>
            <w:hideMark/>
          </w:tcPr>
          <w:p w14:paraId="546E21E7" w14:textId="77777777" w:rsidR="00FF1168" w:rsidRPr="00F45F11" w:rsidRDefault="00FF1168">
            <w:pPr>
              <w:pStyle w:val="ARTabletext"/>
              <w:rPr>
                <w:rFonts w:eastAsia="Times"/>
              </w:rPr>
            </w:pPr>
            <w:r w:rsidRPr="00F45F11">
              <w:rPr>
                <w:rFonts w:eastAsia="Times"/>
              </w:rPr>
              <w:t>Number of Disability Advocacy clients</w:t>
            </w:r>
          </w:p>
        </w:tc>
        <w:tc>
          <w:tcPr>
            <w:cnfStyle w:val="000001000000" w:firstRow="0" w:lastRow="0" w:firstColumn="0" w:lastColumn="0" w:oddVBand="0" w:evenVBand="1" w:oddHBand="0" w:evenHBand="0" w:firstRowFirstColumn="0" w:firstRowLastColumn="0" w:lastRowFirstColumn="0" w:lastRowLastColumn="0"/>
            <w:tcW w:w="1147" w:type="dxa"/>
          </w:tcPr>
          <w:p w14:paraId="20177309" w14:textId="77777777" w:rsidR="00FF1168" w:rsidRPr="00F45F11" w:rsidRDefault="00FF1168">
            <w:pPr>
              <w:pStyle w:val="ARtabletextright"/>
              <w:rPr>
                <w:rFonts w:eastAsia="Times"/>
              </w:rPr>
            </w:pPr>
            <w:r w:rsidRPr="00F45F11">
              <w:rPr>
                <w:rFonts w:eastAsia="Times"/>
              </w:rPr>
              <w:t>2,782</w:t>
            </w:r>
          </w:p>
        </w:tc>
        <w:tc>
          <w:tcPr>
            <w:tcW w:w="1148" w:type="dxa"/>
          </w:tcPr>
          <w:p w14:paraId="3EA4EB20" w14:textId="77777777" w:rsidR="00FF1168" w:rsidRPr="00F45F11" w:rsidRDefault="00FF1168">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2,821</w:t>
            </w:r>
          </w:p>
        </w:tc>
        <w:tc>
          <w:tcPr>
            <w:cnfStyle w:val="000001000000" w:firstRow="0" w:lastRow="0" w:firstColumn="0" w:lastColumn="0" w:oddVBand="0" w:evenVBand="1" w:oddHBand="0" w:evenHBand="0" w:firstRowFirstColumn="0" w:firstRowLastColumn="0" w:lastRowFirstColumn="0" w:lastRowLastColumn="0"/>
            <w:tcW w:w="1147" w:type="dxa"/>
          </w:tcPr>
          <w:p w14:paraId="57DCEFB5" w14:textId="77777777" w:rsidR="00FF1168" w:rsidRPr="00F45F11" w:rsidRDefault="00FF1168">
            <w:pPr>
              <w:pStyle w:val="ARtabletextright"/>
              <w:rPr>
                <w:rFonts w:eastAsia="Times"/>
              </w:rPr>
            </w:pPr>
            <w:r w:rsidRPr="00F45F11">
              <w:rPr>
                <w:rFonts w:eastAsia="Times"/>
              </w:rPr>
              <w:t>2,812</w:t>
            </w:r>
          </w:p>
        </w:tc>
        <w:tc>
          <w:tcPr>
            <w:tcW w:w="1148" w:type="dxa"/>
          </w:tcPr>
          <w:p w14:paraId="51E4DEBA" w14:textId="77777777" w:rsidR="00FF1168" w:rsidRPr="00F45F11" w:rsidRDefault="00FF1168">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CC051D">
              <w:rPr>
                <w:rFonts w:eastAsia="Times"/>
              </w:rPr>
              <w:t>2,788</w:t>
            </w:r>
          </w:p>
        </w:tc>
      </w:tr>
      <w:tr w:rsidR="00FF1168" w:rsidRPr="00F45F11" w14:paraId="45A95544" w14:textId="77777777">
        <w:tc>
          <w:tcPr>
            <w:tcW w:w="5048" w:type="dxa"/>
          </w:tcPr>
          <w:p w14:paraId="697D81C1" w14:textId="77777777" w:rsidR="00FF1168" w:rsidRPr="00F45F11" w:rsidRDefault="00FF1168">
            <w:pPr>
              <w:pStyle w:val="ARTabletext"/>
              <w:rPr>
                <w:rFonts w:eastAsia="Times"/>
              </w:rPr>
            </w:pPr>
            <w:r w:rsidRPr="00F45F11">
              <w:rPr>
                <w:rFonts w:eastAsia="Times"/>
              </w:rPr>
              <w:t>Forensic disability residents participating in community reintegration activities</w:t>
            </w:r>
          </w:p>
        </w:tc>
        <w:tc>
          <w:tcPr>
            <w:cnfStyle w:val="000001000000" w:firstRow="0" w:lastRow="0" w:firstColumn="0" w:lastColumn="0" w:oddVBand="0" w:evenVBand="1" w:oddHBand="0" w:evenHBand="0" w:firstRowFirstColumn="0" w:firstRowLastColumn="0" w:lastRowFirstColumn="0" w:lastRowLastColumn="0"/>
            <w:tcW w:w="1147" w:type="dxa"/>
          </w:tcPr>
          <w:p w14:paraId="0EE7CBA4" w14:textId="77777777" w:rsidR="00FF1168" w:rsidRPr="00F45F11" w:rsidRDefault="00FF1168">
            <w:pPr>
              <w:pStyle w:val="ARtabletextright"/>
              <w:rPr>
                <w:rFonts w:eastAsia="Times"/>
              </w:rPr>
            </w:pPr>
            <w:r w:rsidRPr="00F45F11">
              <w:rPr>
                <w:rFonts w:eastAsia="Times"/>
              </w:rPr>
              <w:t>86%</w:t>
            </w:r>
          </w:p>
        </w:tc>
        <w:tc>
          <w:tcPr>
            <w:tcW w:w="1148" w:type="dxa"/>
          </w:tcPr>
          <w:p w14:paraId="6D7C1616" w14:textId="77777777" w:rsidR="00FF1168" w:rsidRPr="00F45F11" w:rsidRDefault="00FF1168">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97%</w:t>
            </w:r>
          </w:p>
        </w:tc>
        <w:tc>
          <w:tcPr>
            <w:cnfStyle w:val="000001000000" w:firstRow="0" w:lastRow="0" w:firstColumn="0" w:lastColumn="0" w:oddVBand="0" w:evenVBand="1" w:oddHBand="0" w:evenHBand="0" w:firstRowFirstColumn="0" w:firstRowLastColumn="0" w:lastRowFirstColumn="0" w:lastRowLastColumn="0"/>
            <w:tcW w:w="1147" w:type="dxa"/>
          </w:tcPr>
          <w:p w14:paraId="4C683D15" w14:textId="77777777" w:rsidR="00FF1168" w:rsidRPr="00F45F11" w:rsidRDefault="00FF1168">
            <w:pPr>
              <w:pStyle w:val="ARtabletextright"/>
              <w:rPr>
                <w:rFonts w:eastAsia="Times"/>
              </w:rPr>
            </w:pPr>
            <w:r w:rsidRPr="00F45F11">
              <w:rPr>
                <w:rFonts w:eastAsia="Times"/>
              </w:rPr>
              <w:t>97%</w:t>
            </w:r>
          </w:p>
        </w:tc>
        <w:tc>
          <w:tcPr>
            <w:tcW w:w="1148" w:type="dxa"/>
          </w:tcPr>
          <w:p w14:paraId="55FC2878" w14:textId="77777777" w:rsidR="00FF1168" w:rsidRPr="00F45F11" w:rsidRDefault="00FF1168">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99%</w:t>
            </w:r>
          </w:p>
        </w:tc>
      </w:tr>
      <w:tr w:rsidR="00FF1168" w:rsidRPr="00F45F11" w14:paraId="1A62F125" w14:textId="77777777">
        <w:tc>
          <w:tcPr>
            <w:tcW w:w="5048" w:type="dxa"/>
          </w:tcPr>
          <w:p w14:paraId="0C38EB19" w14:textId="77777777" w:rsidR="00FF1168" w:rsidRPr="00F45F11" w:rsidRDefault="00FF1168">
            <w:pPr>
              <w:pStyle w:val="ARTabletext"/>
              <w:rPr>
                <w:rFonts w:eastAsia="Times"/>
              </w:rPr>
            </w:pPr>
            <w:r w:rsidRPr="00F45F11">
              <w:rPr>
                <w:rFonts w:eastAsia="Times"/>
              </w:rPr>
              <w:t>Senior satisfaction with Victorian Seniors Festival events</w:t>
            </w:r>
          </w:p>
        </w:tc>
        <w:tc>
          <w:tcPr>
            <w:cnfStyle w:val="000001000000" w:firstRow="0" w:lastRow="0" w:firstColumn="0" w:lastColumn="0" w:oddVBand="0" w:evenVBand="1" w:oddHBand="0" w:evenHBand="0" w:firstRowFirstColumn="0" w:firstRowLastColumn="0" w:lastRowFirstColumn="0" w:lastRowLastColumn="0"/>
            <w:tcW w:w="1147" w:type="dxa"/>
          </w:tcPr>
          <w:p w14:paraId="7E9FC5F1" w14:textId="77777777" w:rsidR="00FF1168" w:rsidRPr="00F45F11" w:rsidRDefault="00FF1168">
            <w:pPr>
              <w:pStyle w:val="ARtabletextright"/>
              <w:rPr>
                <w:rFonts w:eastAsia="Times"/>
              </w:rPr>
            </w:pPr>
            <w:r w:rsidRPr="00F45F11">
              <w:rPr>
                <w:rFonts w:eastAsia="Times"/>
              </w:rPr>
              <w:t>96%</w:t>
            </w:r>
          </w:p>
        </w:tc>
        <w:tc>
          <w:tcPr>
            <w:tcW w:w="1148" w:type="dxa"/>
          </w:tcPr>
          <w:p w14:paraId="5279A0AA" w14:textId="77777777" w:rsidR="00FF1168" w:rsidRPr="00F45F11" w:rsidRDefault="00FF1168">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90%</w:t>
            </w:r>
          </w:p>
        </w:tc>
        <w:tc>
          <w:tcPr>
            <w:cnfStyle w:val="000001000000" w:firstRow="0" w:lastRow="0" w:firstColumn="0" w:lastColumn="0" w:oddVBand="0" w:evenVBand="1" w:oddHBand="0" w:evenHBand="0" w:firstRowFirstColumn="0" w:firstRowLastColumn="0" w:lastRowFirstColumn="0" w:lastRowLastColumn="0"/>
            <w:tcW w:w="1147" w:type="dxa"/>
          </w:tcPr>
          <w:p w14:paraId="1F158C2D" w14:textId="77777777" w:rsidR="00FF1168" w:rsidRPr="00F45F11" w:rsidRDefault="00FF1168">
            <w:pPr>
              <w:pStyle w:val="ARtabletextright"/>
              <w:rPr>
                <w:rFonts w:eastAsia="Times"/>
              </w:rPr>
            </w:pPr>
            <w:r w:rsidRPr="00F45F11">
              <w:rPr>
                <w:rFonts w:eastAsia="Times"/>
              </w:rPr>
              <w:t>90%</w:t>
            </w:r>
          </w:p>
        </w:tc>
        <w:tc>
          <w:tcPr>
            <w:tcW w:w="1148" w:type="dxa"/>
          </w:tcPr>
          <w:p w14:paraId="18AF5BD6" w14:textId="77777777" w:rsidR="00FF1168" w:rsidRPr="00F45F11" w:rsidRDefault="00FF1168">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86.3%</w:t>
            </w:r>
          </w:p>
        </w:tc>
      </w:tr>
      <w:tr w:rsidR="00FF1168" w:rsidRPr="00CC051D" w14:paraId="0248FD57" w14:textId="77777777">
        <w:tc>
          <w:tcPr>
            <w:tcW w:w="5048" w:type="dxa"/>
          </w:tcPr>
          <w:p w14:paraId="60C9C818" w14:textId="77777777" w:rsidR="00FF1168" w:rsidRPr="00F45F11" w:rsidRDefault="00FF1168">
            <w:pPr>
              <w:pStyle w:val="ARTabletext"/>
              <w:rPr>
                <w:rFonts w:eastAsia="Times"/>
              </w:rPr>
            </w:pPr>
            <w:r w:rsidRPr="00F45F11">
              <w:rPr>
                <w:rFonts w:eastAsia="Times"/>
              </w:rPr>
              <w:t>Community engagement – Shrine ceremonial activities, public and student education programs, tours and general visitation</w:t>
            </w:r>
          </w:p>
        </w:tc>
        <w:tc>
          <w:tcPr>
            <w:cnfStyle w:val="000001000000" w:firstRow="0" w:lastRow="0" w:firstColumn="0" w:lastColumn="0" w:oddVBand="0" w:evenVBand="1" w:oddHBand="0" w:evenHBand="0" w:firstRowFirstColumn="0" w:firstRowLastColumn="0" w:lastRowFirstColumn="0" w:lastRowLastColumn="0"/>
            <w:tcW w:w="1147" w:type="dxa"/>
          </w:tcPr>
          <w:p w14:paraId="380E2EA4" w14:textId="77777777" w:rsidR="00FF1168" w:rsidRPr="00F45F11" w:rsidRDefault="00FF1168">
            <w:pPr>
              <w:pStyle w:val="ARtabletextright"/>
              <w:rPr>
                <w:rFonts w:eastAsia="Times"/>
              </w:rPr>
            </w:pPr>
            <w:r w:rsidRPr="00F45F11">
              <w:rPr>
                <w:rFonts w:eastAsia="Times"/>
              </w:rPr>
              <w:t>1,201,664</w:t>
            </w:r>
          </w:p>
        </w:tc>
        <w:tc>
          <w:tcPr>
            <w:tcW w:w="1148" w:type="dxa"/>
          </w:tcPr>
          <w:p w14:paraId="13200EF7" w14:textId="77777777" w:rsidR="00FF1168" w:rsidRPr="00F45F11" w:rsidRDefault="00FF1168">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1,777,590</w:t>
            </w:r>
          </w:p>
        </w:tc>
        <w:tc>
          <w:tcPr>
            <w:cnfStyle w:val="000001000000" w:firstRow="0" w:lastRow="0" w:firstColumn="0" w:lastColumn="0" w:oddVBand="0" w:evenVBand="1" w:oddHBand="0" w:evenHBand="0" w:firstRowFirstColumn="0" w:firstRowLastColumn="0" w:lastRowFirstColumn="0" w:lastRowLastColumn="0"/>
            <w:tcW w:w="1147" w:type="dxa"/>
          </w:tcPr>
          <w:p w14:paraId="4FEAD4D9" w14:textId="77777777" w:rsidR="00FF1168" w:rsidRPr="00F45F11" w:rsidRDefault="00FF1168">
            <w:pPr>
              <w:pStyle w:val="ARtabletextright"/>
              <w:rPr>
                <w:rFonts w:eastAsia="Times"/>
              </w:rPr>
            </w:pPr>
            <w:r w:rsidRPr="00F45F11">
              <w:rPr>
                <w:rFonts w:eastAsia="Times"/>
              </w:rPr>
              <w:t>1,711,320</w:t>
            </w:r>
          </w:p>
        </w:tc>
        <w:tc>
          <w:tcPr>
            <w:tcW w:w="1148" w:type="dxa"/>
          </w:tcPr>
          <w:p w14:paraId="7EF46EBB" w14:textId="77777777" w:rsidR="00FF1168" w:rsidRPr="00CC051D" w:rsidRDefault="00FF1168">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CC051D">
              <w:rPr>
                <w:rFonts w:eastAsia="Times"/>
              </w:rPr>
              <w:t>2,050,972</w:t>
            </w:r>
          </w:p>
        </w:tc>
      </w:tr>
      <w:tr w:rsidR="00FF1168" w:rsidRPr="00F45F11" w14:paraId="02386B2A" w14:textId="77777777">
        <w:tc>
          <w:tcPr>
            <w:tcW w:w="5048" w:type="dxa"/>
          </w:tcPr>
          <w:p w14:paraId="452B9A64" w14:textId="77777777" w:rsidR="00FF1168" w:rsidRPr="00F45F11" w:rsidRDefault="00FF1168">
            <w:pPr>
              <w:pStyle w:val="ARTabletext"/>
              <w:rPr>
                <w:rFonts w:eastAsia="Times"/>
              </w:rPr>
            </w:pPr>
            <w:r w:rsidRPr="00F45F11">
              <w:rPr>
                <w:rFonts w:eastAsia="Times"/>
              </w:rPr>
              <w:t>Proportion of LGBTIQA+ grant program recipients located in regional and rural areas</w:t>
            </w:r>
          </w:p>
        </w:tc>
        <w:tc>
          <w:tcPr>
            <w:cnfStyle w:val="000001000000" w:firstRow="0" w:lastRow="0" w:firstColumn="0" w:lastColumn="0" w:oddVBand="0" w:evenVBand="1" w:oddHBand="0" w:evenHBand="0" w:firstRowFirstColumn="0" w:firstRowLastColumn="0" w:lastRowFirstColumn="0" w:lastRowLastColumn="0"/>
            <w:tcW w:w="1147" w:type="dxa"/>
          </w:tcPr>
          <w:p w14:paraId="34CED97B" w14:textId="77777777" w:rsidR="00FF1168" w:rsidRPr="00F45F11" w:rsidRDefault="00FF1168">
            <w:pPr>
              <w:pStyle w:val="ARtabletextright"/>
              <w:rPr>
                <w:rFonts w:eastAsia="Times"/>
              </w:rPr>
            </w:pPr>
            <w:r w:rsidRPr="00F45F11">
              <w:rPr>
                <w:rFonts w:eastAsia="Times"/>
              </w:rPr>
              <w:t>52%</w:t>
            </w:r>
          </w:p>
        </w:tc>
        <w:tc>
          <w:tcPr>
            <w:tcW w:w="1148" w:type="dxa"/>
          </w:tcPr>
          <w:p w14:paraId="7E7A046B" w14:textId="77777777" w:rsidR="00FF1168" w:rsidRPr="00F45F11" w:rsidRDefault="00FF1168">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39.7%</w:t>
            </w:r>
          </w:p>
        </w:tc>
        <w:tc>
          <w:tcPr>
            <w:cnfStyle w:val="000001000000" w:firstRow="0" w:lastRow="0" w:firstColumn="0" w:lastColumn="0" w:oddVBand="0" w:evenVBand="1" w:oddHBand="0" w:evenHBand="0" w:firstRowFirstColumn="0" w:firstRowLastColumn="0" w:lastRowFirstColumn="0" w:lastRowLastColumn="0"/>
            <w:tcW w:w="1147" w:type="dxa"/>
          </w:tcPr>
          <w:p w14:paraId="2A087AAD" w14:textId="77777777" w:rsidR="00FF1168" w:rsidRPr="00F45F11" w:rsidRDefault="00FF1168">
            <w:pPr>
              <w:pStyle w:val="ARtabletextright"/>
              <w:rPr>
                <w:rFonts w:eastAsia="Times"/>
              </w:rPr>
            </w:pPr>
            <w:r w:rsidRPr="00F45F11">
              <w:rPr>
                <w:rFonts w:eastAsia="Times"/>
              </w:rPr>
              <w:t>25.4%</w:t>
            </w:r>
          </w:p>
        </w:tc>
        <w:tc>
          <w:tcPr>
            <w:tcW w:w="1148" w:type="dxa"/>
          </w:tcPr>
          <w:p w14:paraId="225717CA" w14:textId="77777777" w:rsidR="00FF1168" w:rsidRPr="00F45F11" w:rsidRDefault="00FF1168">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30.3%</w:t>
            </w:r>
          </w:p>
        </w:tc>
      </w:tr>
      <w:tr w:rsidR="00FF1168" w:rsidRPr="00F45F11" w14:paraId="60086ACC" w14:textId="77777777">
        <w:tc>
          <w:tcPr>
            <w:tcW w:w="5048" w:type="dxa"/>
          </w:tcPr>
          <w:p w14:paraId="4973E860" w14:textId="77777777" w:rsidR="00FF1168" w:rsidRPr="00F45F11" w:rsidRDefault="00FF1168">
            <w:pPr>
              <w:pStyle w:val="ARTabletext"/>
              <w:rPr>
                <w:rFonts w:eastAsia="Times"/>
              </w:rPr>
            </w:pPr>
            <w:r w:rsidRPr="00F45F11">
              <w:rPr>
                <w:rFonts w:eastAsia="Times"/>
              </w:rPr>
              <w:t>Participation by young people in programs that provide opportunities to be involved in social and economic life in their communities</w:t>
            </w:r>
          </w:p>
        </w:tc>
        <w:tc>
          <w:tcPr>
            <w:cnfStyle w:val="000001000000" w:firstRow="0" w:lastRow="0" w:firstColumn="0" w:lastColumn="0" w:oddVBand="0" w:evenVBand="1" w:oddHBand="0" w:evenHBand="0" w:firstRowFirstColumn="0" w:firstRowLastColumn="0" w:lastRowFirstColumn="0" w:lastRowLastColumn="0"/>
            <w:tcW w:w="1147" w:type="dxa"/>
          </w:tcPr>
          <w:p w14:paraId="7EA6749A" w14:textId="77777777" w:rsidR="00FF1168" w:rsidRPr="00F45F11" w:rsidRDefault="00FF1168">
            <w:pPr>
              <w:pStyle w:val="ARtabletextright"/>
              <w:rPr>
                <w:rFonts w:eastAsia="Times"/>
              </w:rPr>
            </w:pPr>
            <w:r w:rsidRPr="00F45F11">
              <w:rPr>
                <w:rFonts w:eastAsia="Times"/>
              </w:rPr>
              <w:t>305,608</w:t>
            </w:r>
          </w:p>
        </w:tc>
        <w:tc>
          <w:tcPr>
            <w:tcW w:w="1148" w:type="dxa"/>
          </w:tcPr>
          <w:p w14:paraId="52D444F6" w14:textId="77777777" w:rsidR="00FF1168" w:rsidRPr="00F45F11" w:rsidRDefault="00FF1168">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389,619</w:t>
            </w:r>
          </w:p>
        </w:tc>
        <w:tc>
          <w:tcPr>
            <w:cnfStyle w:val="000001000000" w:firstRow="0" w:lastRow="0" w:firstColumn="0" w:lastColumn="0" w:oddVBand="0" w:evenVBand="1" w:oddHBand="0" w:evenHBand="0" w:firstRowFirstColumn="0" w:firstRowLastColumn="0" w:lastRowFirstColumn="0" w:lastRowLastColumn="0"/>
            <w:tcW w:w="1147" w:type="dxa"/>
          </w:tcPr>
          <w:p w14:paraId="34666583" w14:textId="77777777" w:rsidR="00FF1168" w:rsidRPr="004E6C67" w:rsidRDefault="00FF1168">
            <w:pPr>
              <w:pStyle w:val="ARtabletextright"/>
              <w:rPr>
                <w:rFonts w:eastAsia="Times"/>
              </w:rPr>
            </w:pPr>
            <w:r w:rsidRPr="004E6C67">
              <w:rPr>
                <w:rFonts w:eastAsia="Times"/>
              </w:rPr>
              <w:t>260,780</w:t>
            </w:r>
          </w:p>
        </w:tc>
        <w:tc>
          <w:tcPr>
            <w:tcW w:w="1148" w:type="dxa"/>
          </w:tcPr>
          <w:p w14:paraId="57512BC1" w14:textId="77777777" w:rsidR="00FF1168" w:rsidRPr="00F45F11" w:rsidRDefault="00FF1168">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209,390</w:t>
            </w:r>
          </w:p>
        </w:tc>
      </w:tr>
      <w:tr w:rsidR="00FF1168" w:rsidRPr="00F45F11" w14:paraId="41C48FFE" w14:textId="77777777">
        <w:tc>
          <w:tcPr>
            <w:tcW w:w="5048" w:type="dxa"/>
            <w:tcBorders>
              <w:bottom w:val="single" w:sz="4" w:space="0" w:color="BFBFBF" w:themeColor="accent2"/>
            </w:tcBorders>
          </w:tcPr>
          <w:p w14:paraId="3DF5EC3A" w14:textId="77777777" w:rsidR="00FF1168" w:rsidRPr="00F45F11" w:rsidRDefault="00FF1168">
            <w:pPr>
              <w:pStyle w:val="ARTabletext"/>
              <w:rPr>
                <w:rFonts w:eastAsia="Times"/>
              </w:rPr>
            </w:pPr>
            <w:r w:rsidRPr="00F45F11">
              <w:rPr>
                <w:rFonts w:eastAsia="Times"/>
              </w:rPr>
              <w:t>Participation by young people in programs that support young people to be involved in decision making in their community</w:t>
            </w:r>
          </w:p>
        </w:tc>
        <w:tc>
          <w:tcPr>
            <w:cnfStyle w:val="000001000000" w:firstRow="0" w:lastRow="0" w:firstColumn="0" w:lastColumn="0" w:oddVBand="0" w:evenVBand="1" w:oddHBand="0" w:evenHBand="0" w:firstRowFirstColumn="0" w:firstRowLastColumn="0" w:lastRowFirstColumn="0" w:lastRowLastColumn="0"/>
            <w:tcW w:w="1147" w:type="dxa"/>
            <w:tcBorders>
              <w:bottom w:val="single" w:sz="4" w:space="0" w:color="BFBFBF" w:themeColor="accent2"/>
            </w:tcBorders>
          </w:tcPr>
          <w:p w14:paraId="1E7437ED" w14:textId="77777777" w:rsidR="00FF1168" w:rsidRPr="00F45F11" w:rsidRDefault="00FF1168">
            <w:pPr>
              <w:pStyle w:val="ARtabletextright"/>
              <w:rPr>
                <w:rFonts w:eastAsia="Times"/>
              </w:rPr>
            </w:pPr>
            <w:r w:rsidRPr="00F45F11">
              <w:rPr>
                <w:rFonts w:eastAsia="Times"/>
              </w:rPr>
              <w:t>3,631</w:t>
            </w:r>
          </w:p>
        </w:tc>
        <w:tc>
          <w:tcPr>
            <w:tcW w:w="1148" w:type="dxa"/>
            <w:tcBorders>
              <w:bottom w:val="single" w:sz="4" w:space="0" w:color="BFBFBF" w:themeColor="accent2"/>
            </w:tcBorders>
          </w:tcPr>
          <w:p w14:paraId="6B92442E" w14:textId="77777777" w:rsidR="00FF1168" w:rsidRPr="00F45F11" w:rsidRDefault="00FF1168">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4,449</w:t>
            </w:r>
          </w:p>
        </w:tc>
        <w:tc>
          <w:tcPr>
            <w:cnfStyle w:val="000001000000" w:firstRow="0" w:lastRow="0" w:firstColumn="0" w:lastColumn="0" w:oddVBand="0" w:evenVBand="1" w:oddHBand="0" w:evenHBand="0" w:firstRowFirstColumn="0" w:firstRowLastColumn="0" w:lastRowFirstColumn="0" w:lastRowLastColumn="0"/>
            <w:tcW w:w="1147" w:type="dxa"/>
            <w:tcBorders>
              <w:bottom w:val="single" w:sz="4" w:space="0" w:color="BFBFBF" w:themeColor="accent2"/>
            </w:tcBorders>
          </w:tcPr>
          <w:p w14:paraId="654E84AE" w14:textId="77777777" w:rsidR="00FF1168" w:rsidRPr="004E6C67" w:rsidRDefault="00FF1168">
            <w:pPr>
              <w:pStyle w:val="ARtabletextright"/>
              <w:rPr>
                <w:rFonts w:eastAsia="Times"/>
              </w:rPr>
            </w:pPr>
            <w:r w:rsidRPr="004E6C67">
              <w:rPr>
                <w:rFonts w:eastAsia="Times"/>
              </w:rPr>
              <w:t>3,732</w:t>
            </w:r>
          </w:p>
        </w:tc>
        <w:tc>
          <w:tcPr>
            <w:tcW w:w="1148" w:type="dxa"/>
            <w:tcBorders>
              <w:bottom w:val="single" w:sz="4" w:space="0" w:color="BFBFBF" w:themeColor="accent2"/>
            </w:tcBorders>
          </w:tcPr>
          <w:p w14:paraId="1044FDAD" w14:textId="77777777" w:rsidR="00FF1168" w:rsidRPr="00F45F11" w:rsidRDefault="00FF1168">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2,648</w:t>
            </w:r>
          </w:p>
        </w:tc>
      </w:tr>
      <w:tr w:rsidR="00FF1168" w:rsidRPr="00F45F11" w14:paraId="7C3418FC" w14:textId="77777777">
        <w:tc>
          <w:tcPr>
            <w:tcW w:w="5048" w:type="dxa"/>
            <w:tcBorders>
              <w:bottom w:val="single" w:sz="4" w:space="0" w:color="auto"/>
            </w:tcBorders>
          </w:tcPr>
          <w:p w14:paraId="2CD4DB51" w14:textId="77777777" w:rsidR="00FF1168" w:rsidRPr="00F45F11" w:rsidRDefault="00FF1168">
            <w:pPr>
              <w:pStyle w:val="ARTabletext"/>
              <w:rPr>
                <w:rFonts w:eastAsia="Times"/>
              </w:rPr>
            </w:pPr>
            <w:r w:rsidRPr="00F45F11">
              <w:rPr>
                <w:rFonts w:eastAsia="Times"/>
              </w:rPr>
              <w:t>Percentage of women on Victorian Government boards</w:t>
            </w:r>
          </w:p>
        </w:tc>
        <w:tc>
          <w:tcPr>
            <w:cnfStyle w:val="000001000000" w:firstRow="0" w:lastRow="0" w:firstColumn="0" w:lastColumn="0" w:oddVBand="0" w:evenVBand="1" w:oddHBand="0" w:evenHBand="0" w:firstRowFirstColumn="0" w:firstRowLastColumn="0" w:lastRowFirstColumn="0" w:lastRowLastColumn="0"/>
            <w:tcW w:w="1147" w:type="dxa"/>
            <w:tcBorders>
              <w:bottom w:val="single" w:sz="4" w:space="0" w:color="auto"/>
            </w:tcBorders>
          </w:tcPr>
          <w:p w14:paraId="7CEE764F" w14:textId="77777777" w:rsidR="00FF1168" w:rsidRPr="00F45F11" w:rsidRDefault="00FF1168">
            <w:pPr>
              <w:pStyle w:val="ARtabletextright"/>
              <w:rPr>
                <w:rFonts w:eastAsia="Times"/>
              </w:rPr>
            </w:pPr>
            <w:r w:rsidRPr="00F45F11">
              <w:rPr>
                <w:rFonts w:eastAsia="Times"/>
              </w:rPr>
              <w:t>53%</w:t>
            </w:r>
          </w:p>
        </w:tc>
        <w:tc>
          <w:tcPr>
            <w:tcW w:w="1148" w:type="dxa"/>
            <w:tcBorders>
              <w:bottom w:val="single" w:sz="4" w:space="0" w:color="auto"/>
            </w:tcBorders>
          </w:tcPr>
          <w:p w14:paraId="633DA444" w14:textId="77777777" w:rsidR="00FF1168" w:rsidRPr="00F45F11" w:rsidRDefault="00FF1168">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53%</w:t>
            </w:r>
          </w:p>
        </w:tc>
        <w:tc>
          <w:tcPr>
            <w:cnfStyle w:val="000001000000" w:firstRow="0" w:lastRow="0" w:firstColumn="0" w:lastColumn="0" w:oddVBand="0" w:evenVBand="1" w:oddHBand="0" w:evenHBand="0" w:firstRowFirstColumn="0" w:firstRowLastColumn="0" w:lastRowFirstColumn="0" w:lastRowLastColumn="0"/>
            <w:tcW w:w="1147" w:type="dxa"/>
            <w:tcBorders>
              <w:bottom w:val="single" w:sz="4" w:space="0" w:color="auto"/>
            </w:tcBorders>
          </w:tcPr>
          <w:p w14:paraId="4ED3B060" w14:textId="77777777" w:rsidR="00FF1168" w:rsidRPr="00F45F11" w:rsidRDefault="00FF1168">
            <w:pPr>
              <w:pStyle w:val="ARtabletextright"/>
              <w:rPr>
                <w:rFonts w:eastAsia="Times"/>
              </w:rPr>
            </w:pPr>
            <w:r w:rsidRPr="00F45F11">
              <w:rPr>
                <w:rFonts w:eastAsia="Times"/>
              </w:rPr>
              <w:t>53%</w:t>
            </w:r>
          </w:p>
        </w:tc>
        <w:tc>
          <w:tcPr>
            <w:tcW w:w="1148" w:type="dxa"/>
            <w:tcBorders>
              <w:bottom w:val="single" w:sz="4" w:space="0" w:color="auto"/>
            </w:tcBorders>
          </w:tcPr>
          <w:p w14:paraId="2A222D64" w14:textId="77777777" w:rsidR="00FF1168" w:rsidRPr="00F45F11" w:rsidRDefault="00FF1168">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54%</w:t>
            </w:r>
          </w:p>
        </w:tc>
      </w:tr>
    </w:tbl>
    <w:p w14:paraId="5CB911E8" w14:textId="77777777" w:rsidR="0082791A" w:rsidRPr="00F45F11" w:rsidRDefault="0082791A" w:rsidP="0082791A">
      <w:pPr>
        <w:pStyle w:val="Heading4"/>
      </w:pPr>
      <w:r w:rsidRPr="00F45F11">
        <w:t>Key initiatives and projects</w:t>
      </w:r>
    </w:p>
    <w:p w14:paraId="2D8FF4B3" w14:textId="2CD84496" w:rsidR="0082791A" w:rsidRPr="00F45F11" w:rsidRDefault="0082791A" w:rsidP="00303756">
      <w:pPr>
        <w:pStyle w:val="Heading5"/>
      </w:pPr>
      <w:bookmarkStart w:id="62" w:name="_Toc173830443"/>
      <w:bookmarkStart w:id="63" w:name="_Hlk202094417"/>
      <w:r w:rsidRPr="00F45F11">
        <w:t>Supporting wellbeing and engagement for</w:t>
      </w:r>
      <w:r w:rsidR="001A1EC5" w:rsidRPr="00F45F11">
        <w:t> </w:t>
      </w:r>
      <w:r w:rsidRPr="00F45F11">
        <w:t>culturally diverse young people</w:t>
      </w:r>
      <w:bookmarkEnd w:id="62"/>
    </w:p>
    <w:p w14:paraId="06AB391E" w14:textId="5D967E29" w:rsidR="0082791A" w:rsidRPr="00F45F11" w:rsidRDefault="0082791A" w:rsidP="0082791A">
      <w:pPr>
        <w:pStyle w:val="ARBody"/>
      </w:pPr>
      <w:r w:rsidRPr="00F45F11">
        <w:t>The department continued to provide services to</w:t>
      </w:r>
      <w:r w:rsidR="00CA5306" w:rsidRPr="00F45F11">
        <w:t> </w:t>
      </w:r>
      <w:r w:rsidRPr="00F45F11">
        <w:t>young people from multicultural communities</w:t>
      </w:r>
      <w:r w:rsidR="009B3A6F" w:rsidRPr="00F45F11">
        <w:t>. This</w:t>
      </w:r>
      <w:r w:rsidRPr="00F45F11">
        <w:t xml:space="preserve"> </w:t>
      </w:r>
      <w:r w:rsidR="009B3A6F" w:rsidRPr="00F45F11">
        <w:t xml:space="preserve">work </w:t>
      </w:r>
      <w:r w:rsidRPr="00F45F11">
        <w:t>recognis</w:t>
      </w:r>
      <w:r w:rsidR="009B3A6F" w:rsidRPr="00F45F11">
        <w:t>es</w:t>
      </w:r>
      <w:r w:rsidRPr="00F45F11">
        <w:t xml:space="preserve"> </w:t>
      </w:r>
      <w:r w:rsidR="007309F7" w:rsidRPr="00F45F11">
        <w:t xml:space="preserve">young people’s </w:t>
      </w:r>
      <w:r w:rsidRPr="00F45F11">
        <w:t>individual strengths and the significant contributions they make to their communities and broader society. People from these communities</w:t>
      </w:r>
      <w:r w:rsidR="009B3A6F" w:rsidRPr="00F45F11">
        <w:t xml:space="preserve"> </w:t>
      </w:r>
      <w:r w:rsidRPr="00F45F11">
        <w:t>can experience additional barriers to achieving positive social, education and</w:t>
      </w:r>
      <w:r w:rsidR="00CA5306" w:rsidRPr="00F45F11">
        <w:t> </w:t>
      </w:r>
      <w:r w:rsidRPr="00F45F11">
        <w:t>economic outcomes. These additional barriers include systemic racism and</w:t>
      </w:r>
      <w:r w:rsidR="0021402F">
        <w:t> </w:t>
      </w:r>
      <w:r w:rsidRPr="00F45F11">
        <w:t>cultural bias</w:t>
      </w:r>
      <w:r w:rsidR="007309F7" w:rsidRPr="00F45F11">
        <w:t>.</w:t>
      </w:r>
      <w:r w:rsidRPr="00F45F11">
        <w:t xml:space="preserve"> </w:t>
      </w:r>
      <w:r w:rsidR="007309F7" w:rsidRPr="00F45F11">
        <w:t>C</w:t>
      </w:r>
      <w:r w:rsidRPr="00F45F11">
        <w:t>ollectively</w:t>
      </w:r>
      <w:r w:rsidR="007309F7" w:rsidRPr="00F45F11">
        <w:t>, these</w:t>
      </w:r>
      <w:r w:rsidRPr="00F45F11">
        <w:t xml:space="preserve"> compound structural disadvantage.</w:t>
      </w:r>
    </w:p>
    <w:p w14:paraId="2B7BD1D7" w14:textId="5ADE12DF" w:rsidR="0082791A" w:rsidRDefault="0082791A" w:rsidP="0082791A">
      <w:pPr>
        <w:pStyle w:val="ARBody"/>
      </w:pPr>
      <w:r w:rsidRPr="00F45F11">
        <w:t>The</w:t>
      </w:r>
      <w:r w:rsidRPr="00A124D1">
        <w:rPr>
          <w:rStyle w:val="Emphasis"/>
        </w:rPr>
        <w:t xml:space="preserve"> 2023–24 State Budget </w:t>
      </w:r>
      <w:r w:rsidRPr="00F45F11">
        <w:t>provided $23.4 million over 4 years for the Investing Early Where It Matters package. This included prevention and early intervention initiatives. These supported South</w:t>
      </w:r>
      <w:r w:rsidR="0021402F">
        <w:t> </w:t>
      </w:r>
      <w:r w:rsidRPr="00F45F11">
        <w:t xml:space="preserve">Sudanese, Somali, Afghan and Pasifika young people and their families. Highlights for </w:t>
      </w:r>
      <w:r w:rsidRPr="00F45F11">
        <w:br/>
        <w:t>2025–26 included:</w:t>
      </w:r>
    </w:p>
    <w:p w14:paraId="482DEFA9" w14:textId="760F2AE1" w:rsidR="0082791A" w:rsidRPr="00F45F11" w:rsidRDefault="0082791A" w:rsidP="008A142C">
      <w:pPr>
        <w:pStyle w:val="ARBullet1"/>
      </w:pPr>
      <w:r w:rsidRPr="00F45F11">
        <w:t>providing 6 Community Support Groups that support more than 2,500 young people and their families. This includes support and referrals for</w:t>
      </w:r>
      <w:r w:rsidR="00CC6BD3">
        <w:t> </w:t>
      </w:r>
      <w:r w:rsidRPr="00F45F11">
        <w:t>education and training, mental health and employment. It also includes cultural and community activities that foster engagement and participation</w:t>
      </w:r>
    </w:p>
    <w:p w14:paraId="79D371DE" w14:textId="77777777" w:rsidR="00E275EB" w:rsidRDefault="0082791A" w:rsidP="00E275EB">
      <w:pPr>
        <w:pStyle w:val="ARBullet1"/>
      </w:pPr>
      <w:r w:rsidRPr="00F45F11">
        <w:t>the Le Mana Pasifika Project. The project provides targeted supports for at-risk Pasifika young people. This includes connecting them with education, employment, their families, community and support services. The project supported more than 1,000 Pasifika young people in 2025–26. It provided in-school programs, cultural capacity building, employment support and programs fostering family and community connection</w:t>
      </w:r>
    </w:p>
    <w:p w14:paraId="079C0131" w14:textId="5646D2DC" w:rsidR="0082791A" w:rsidRPr="00F45F11" w:rsidRDefault="00BE05C0" w:rsidP="00E275EB">
      <w:pPr>
        <w:pStyle w:val="ARBullet1"/>
      </w:pPr>
      <w:r w:rsidRPr="00F45F11">
        <w:t>y</w:t>
      </w:r>
      <w:r w:rsidR="0082791A" w:rsidRPr="00F45F11">
        <w:t xml:space="preserve">outh </w:t>
      </w:r>
      <w:r w:rsidRPr="00F45F11">
        <w:t>a</w:t>
      </w:r>
      <w:r w:rsidR="0082791A" w:rsidRPr="00F45F11">
        <w:t xml:space="preserve">lcohol and </w:t>
      </w:r>
      <w:r w:rsidRPr="00F45F11">
        <w:t>o</w:t>
      </w:r>
      <w:r w:rsidR="0082791A" w:rsidRPr="00F45F11">
        <w:t xml:space="preserve">ther </w:t>
      </w:r>
      <w:r w:rsidRPr="00F45F11">
        <w:t>d</w:t>
      </w:r>
      <w:r w:rsidR="0082791A" w:rsidRPr="00F45F11">
        <w:t xml:space="preserve">rugs (AOD) outreach support – </w:t>
      </w:r>
      <w:r w:rsidR="007B3279">
        <w:t xml:space="preserve">complementing Community Support Groups and Le Mana to </w:t>
      </w:r>
      <w:r w:rsidR="0082791A" w:rsidRPr="00F45F11">
        <w:t>provid</w:t>
      </w:r>
      <w:r w:rsidR="007B3279">
        <w:t>e</w:t>
      </w:r>
      <w:r w:rsidR="0082791A" w:rsidRPr="00F45F11">
        <w:t xml:space="preserve"> </w:t>
      </w:r>
      <w:r w:rsidR="001D2E34">
        <w:t>multicultural young people with</w:t>
      </w:r>
      <w:r w:rsidR="0082791A" w:rsidRPr="00F45F11">
        <w:t xml:space="preserve"> </w:t>
      </w:r>
      <w:r w:rsidRPr="00F45F11">
        <w:t xml:space="preserve">more than </w:t>
      </w:r>
      <w:r w:rsidR="0082791A" w:rsidRPr="00F45F11">
        <w:t xml:space="preserve">200 individualised AOD episodes of care </w:t>
      </w:r>
      <w:r w:rsidRPr="00F45F11">
        <w:t>a year. This</w:t>
      </w:r>
      <w:r w:rsidR="0082791A" w:rsidRPr="00F45F11">
        <w:t xml:space="preserve"> </w:t>
      </w:r>
      <w:r w:rsidR="007B3279">
        <w:t>includes</w:t>
      </w:r>
      <w:r w:rsidR="0082791A" w:rsidRPr="00F45F11">
        <w:t xml:space="preserve"> </w:t>
      </w:r>
      <w:r w:rsidR="007B3279">
        <w:t>building resilience,</w:t>
      </w:r>
      <w:r w:rsidR="0082791A" w:rsidRPr="00F45F11">
        <w:t xml:space="preserve"> </w:t>
      </w:r>
      <w:r w:rsidR="004D31C7">
        <w:t xml:space="preserve">pro-social connections and </w:t>
      </w:r>
      <w:r w:rsidR="007B3279">
        <w:t>case management to support</w:t>
      </w:r>
      <w:r w:rsidR="0082791A" w:rsidRPr="00F45F11">
        <w:t xml:space="preserve"> harm minimisation through the Youth Support and Advocacy</w:t>
      </w:r>
      <w:r w:rsidR="00B6250D" w:rsidRPr="00F45F11">
        <w:t> </w:t>
      </w:r>
      <w:r w:rsidR="0082791A" w:rsidRPr="00F45F11">
        <w:t>Service.</w:t>
      </w:r>
    </w:p>
    <w:p w14:paraId="06E65CF7" w14:textId="6ED2A809" w:rsidR="0082791A" w:rsidRPr="00F45F11" w:rsidRDefault="0082791A" w:rsidP="00B6250D">
      <w:pPr>
        <w:pStyle w:val="ARBodyafterbullets"/>
      </w:pPr>
      <w:r w:rsidRPr="00F45F11">
        <w:t xml:space="preserve">A one-off $750,000 boost in 2025–26 was also provided to support </w:t>
      </w:r>
      <w:r w:rsidR="00BE05C0" w:rsidRPr="00F45F11">
        <w:t xml:space="preserve">3 </w:t>
      </w:r>
      <w:r w:rsidRPr="00F45F11">
        <w:t>South Sudanese Community Support Groups</w:t>
      </w:r>
      <w:r w:rsidR="00BE05C0" w:rsidRPr="00F45F11">
        <w:t xml:space="preserve">. This funding </w:t>
      </w:r>
      <w:r w:rsidRPr="00F45F11">
        <w:t>meet</w:t>
      </w:r>
      <w:r w:rsidR="00BE05C0" w:rsidRPr="00F45F11">
        <w:t>s</w:t>
      </w:r>
      <w:r w:rsidRPr="00F45F11">
        <w:t xml:space="preserve"> increased demand following recent tragic incidents that</w:t>
      </w:r>
      <w:r w:rsidR="00B6250D" w:rsidRPr="00F45F11">
        <w:t> </w:t>
      </w:r>
      <w:r w:rsidRPr="00F45F11">
        <w:t>have</w:t>
      </w:r>
      <w:r w:rsidR="00CC6BD3">
        <w:t> </w:t>
      </w:r>
      <w:r w:rsidRPr="00F45F11">
        <w:t>deeply affected these communities.</w:t>
      </w:r>
    </w:p>
    <w:p w14:paraId="4E8930FE" w14:textId="77777777" w:rsidR="0082791A" w:rsidRPr="00F45F11" w:rsidRDefault="0082791A" w:rsidP="00B6250D">
      <w:pPr>
        <w:pStyle w:val="Heading5"/>
      </w:pPr>
      <w:bookmarkStart w:id="64" w:name="_Hlk202094430"/>
      <w:bookmarkEnd w:id="63"/>
      <w:r w:rsidRPr="00F45F11">
        <w:t>Supporting engagement in education for young people with mental health challenges</w:t>
      </w:r>
    </w:p>
    <w:p w14:paraId="00296222" w14:textId="3EECF00D" w:rsidR="0082791A" w:rsidRPr="00F45F11" w:rsidRDefault="0082791A" w:rsidP="00CA5306">
      <w:pPr>
        <w:pStyle w:val="ARBody"/>
      </w:pPr>
      <w:r w:rsidRPr="00F45F11">
        <w:t>The department continued to support youth engagement through the Living Learning program. The program supports young people who experience mental health conditions. In 2025</w:t>
      </w:r>
      <w:r w:rsidR="00F0005F" w:rsidRPr="00F45F11">
        <w:t>–</w:t>
      </w:r>
      <w:r w:rsidRPr="00F45F11">
        <w:t>26</w:t>
      </w:r>
      <w:r w:rsidR="00BE05C0" w:rsidRPr="00F45F11">
        <w:t>,</w:t>
      </w:r>
      <w:r w:rsidRPr="00F45F11">
        <w:t xml:space="preserve"> Living Learning supported 72 young people to re-engage with education, employment or training</w:t>
      </w:r>
      <w:r w:rsidR="00361CEC">
        <w:t> </w:t>
      </w:r>
      <w:r w:rsidRPr="00F45F11">
        <w:t>and to stabilise their mental health.</w:t>
      </w:r>
    </w:p>
    <w:p w14:paraId="4EA66E5E" w14:textId="761424AD" w:rsidR="0082791A" w:rsidRPr="00F45F11" w:rsidRDefault="0082791A" w:rsidP="00CA5306">
      <w:pPr>
        <w:pStyle w:val="ARBody"/>
      </w:pPr>
      <w:r w:rsidRPr="00F45F11">
        <w:t>The program is delivered by Melbourne City Mission at its independent school the Hester Hornbrook Academy. The program provides wrap-around mental health and specialist supports,</w:t>
      </w:r>
      <w:r w:rsidR="00CC6BD3">
        <w:t> </w:t>
      </w:r>
      <w:r w:rsidRPr="00F45F11">
        <w:t>including counselling, occupational therapy, and</w:t>
      </w:r>
      <w:r w:rsidR="00361CEC">
        <w:t> </w:t>
      </w:r>
      <w:r w:rsidRPr="00F45F11">
        <w:t>family therapy.</w:t>
      </w:r>
    </w:p>
    <w:p w14:paraId="61E4F8F2" w14:textId="77777777" w:rsidR="0082791A" w:rsidRPr="00F45F11" w:rsidRDefault="0082791A" w:rsidP="00CA5306">
      <w:pPr>
        <w:pStyle w:val="ARBody"/>
      </w:pPr>
      <w:r w:rsidRPr="00F45F11">
        <w:t>Evaluations show the program improves young people’s mental and physical health, confidence, self-efficacy and engagement in education, employment and training.</w:t>
      </w:r>
    </w:p>
    <w:p w14:paraId="282F3A40" w14:textId="3A3FE58E" w:rsidR="0082791A" w:rsidRPr="00F45F11" w:rsidRDefault="0082791A" w:rsidP="00B6250D">
      <w:pPr>
        <w:pStyle w:val="Heading5"/>
      </w:pPr>
      <w:bookmarkStart w:id="65" w:name="_Toc173832730"/>
      <w:bookmarkEnd w:id="64"/>
      <w:r w:rsidRPr="00F45F11">
        <w:t>Delivering the state disability plan to improve access and inclusion for Victorians with</w:t>
      </w:r>
      <w:r w:rsidR="00303756">
        <w:t> </w:t>
      </w:r>
      <w:r w:rsidRPr="00F45F11">
        <w:t>disability</w:t>
      </w:r>
      <w:bookmarkEnd w:id="65"/>
    </w:p>
    <w:p w14:paraId="36DA7707" w14:textId="7DCFEA1E" w:rsidR="000C76D7" w:rsidRPr="00F45F11" w:rsidRDefault="0082791A" w:rsidP="00B6250D">
      <w:pPr>
        <w:pStyle w:val="ARBody"/>
      </w:pPr>
      <w:r w:rsidRPr="00F45F11">
        <w:t xml:space="preserve">The department is implementing </w:t>
      </w:r>
      <w:r w:rsidRPr="00A124D1">
        <w:rPr>
          <w:rStyle w:val="Emphasis"/>
        </w:rPr>
        <w:t xml:space="preserve">Inclusive Victoria: state disability plan 2022–2026 </w:t>
      </w:r>
      <w:r w:rsidRPr="00F45F11">
        <w:rPr>
          <w:iCs/>
        </w:rPr>
        <w:t>(</w:t>
      </w:r>
      <w:r w:rsidRPr="00F45F11">
        <w:t>state d</w:t>
      </w:r>
      <w:r w:rsidRPr="00F45F11">
        <w:rPr>
          <w:iCs/>
        </w:rPr>
        <w:t xml:space="preserve">isability </w:t>
      </w:r>
      <w:r w:rsidRPr="00F45F11">
        <w:t>p</w:t>
      </w:r>
      <w:r w:rsidRPr="00F45F11">
        <w:rPr>
          <w:iCs/>
        </w:rPr>
        <w:t>lan), which was</w:t>
      </w:r>
      <w:r w:rsidRPr="00F45F11">
        <w:rPr>
          <w:i/>
          <w:iCs/>
        </w:rPr>
        <w:t xml:space="preserve"> </w:t>
      </w:r>
      <w:r w:rsidRPr="00F45F11">
        <w:t xml:space="preserve">released in March 2022. The state disability plan and the Victorian autism plan were extended to 2027. This enables the next plans to respond to national disability reforms. During 2025–26, we continued to invest in the state disability plan to improve access, inclusion </w:t>
      </w:r>
      <w:r w:rsidRPr="00361CEC">
        <w:t>and</w:t>
      </w:r>
      <w:r w:rsidR="00361CEC">
        <w:t> </w:t>
      </w:r>
      <w:r w:rsidRPr="00361CEC">
        <w:t>outcomes</w:t>
      </w:r>
      <w:r w:rsidRPr="00F45F11">
        <w:t xml:space="preserve"> for people with disability.</w:t>
      </w:r>
    </w:p>
    <w:p w14:paraId="76150FD9" w14:textId="22C1F55F" w:rsidR="0082791A" w:rsidRPr="00F241E7" w:rsidRDefault="0082791A" w:rsidP="00CE0233">
      <w:pPr>
        <w:pStyle w:val="ARBody"/>
      </w:pPr>
      <w:r w:rsidRPr="00F45F11">
        <w:t xml:space="preserve">During the reporting period, the department began work on the next state disability plan and Victorian autism plan. </w:t>
      </w:r>
      <w:r w:rsidR="00BE05C0" w:rsidRPr="00F45F11">
        <w:t>This includes public c</w:t>
      </w:r>
      <w:r w:rsidRPr="00F45F11">
        <w:t xml:space="preserve">onsultation about the </w:t>
      </w:r>
      <w:r w:rsidR="00BE05C0" w:rsidRPr="00F45F11">
        <w:t xml:space="preserve">2 </w:t>
      </w:r>
      <w:r w:rsidRPr="00F45F11">
        <w:t xml:space="preserve">plans between April 2026 and July 2026. </w:t>
      </w:r>
      <w:r w:rsidR="00BE05C0" w:rsidRPr="00F45F11">
        <w:t>We</w:t>
      </w:r>
      <w:r w:rsidR="005C4E47">
        <w:t> </w:t>
      </w:r>
      <w:r w:rsidR="00BE05C0" w:rsidRPr="00F45F11">
        <w:t>sought feedback</w:t>
      </w:r>
      <w:r w:rsidRPr="00F45F11">
        <w:t xml:space="preserve"> from people with disability, their families and carers, friends and allies, disability and</w:t>
      </w:r>
      <w:r w:rsidR="00361CEC">
        <w:t> </w:t>
      </w:r>
      <w:r w:rsidRPr="00F45F11">
        <w:t>community organisations, and service</w:t>
      </w:r>
      <w:r w:rsidRPr="00F45F11" w:rsidDel="00450752">
        <w:t xml:space="preserve"> </w:t>
      </w:r>
      <w:r w:rsidRPr="00F45F11">
        <w:t>providers. Consultation occurred in 3 ways:</w:t>
      </w:r>
    </w:p>
    <w:p w14:paraId="77A71060" w14:textId="4D520964" w:rsidR="008A142C" w:rsidRPr="00F45F11" w:rsidRDefault="0082791A" w:rsidP="008A142C">
      <w:pPr>
        <w:pStyle w:val="ARBullet1"/>
      </w:pPr>
      <w:r w:rsidRPr="00F45F11">
        <w:t>online engagement through the Engage Victoria platform</w:t>
      </w:r>
      <w:r w:rsidR="00174C80" w:rsidRPr="00F45F11">
        <w:t>,</w:t>
      </w:r>
      <w:r w:rsidRPr="00F45F11">
        <w:t xml:space="preserve"> where people could complete a survey or upload a written submission or video</w:t>
      </w:r>
    </w:p>
    <w:p w14:paraId="2BD25268" w14:textId="42BABC91" w:rsidR="0082791A" w:rsidRPr="00F45F11" w:rsidRDefault="0082791A" w:rsidP="00B6250D">
      <w:pPr>
        <w:pStyle w:val="ARBullet1"/>
      </w:pPr>
      <w:r w:rsidRPr="00F45F11">
        <w:t>targeted engagement by funded organisations to</w:t>
      </w:r>
      <w:r w:rsidR="00412518" w:rsidRPr="00F45F11">
        <w:t> </w:t>
      </w:r>
      <w:r w:rsidRPr="00F45F11">
        <w:t>reach underrepresented communities and people who may face barriers to participating in</w:t>
      </w:r>
      <w:r w:rsidR="00412518" w:rsidRPr="00F45F11">
        <w:t> </w:t>
      </w:r>
      <w:r w:rsidRPr="00F45F11">
        <w:t>government consultations</w:t>
      </w:r>
    </w:p>
    <w:p w14:paraId="3EB02311" w14:textId="1CA7C9EC" w:rsidR="0082791A" w:rsidRPr="00F45F11" w:rsidRDefault="0082791A" w:rsidP="001A1EC5">
      <w:pPr>
        <w:pStyle w:val="ARBullet1"/>
      </w:pPr>
      <w:r w:rsidRPr="00F45F11">
        <w:t>in-person and online forums co-facilitated by</w:t>
      </w:r>
      <w:r w:rsidR="00412518" w:rsidRPr="00F45F11">
        <w:t> </w:t>
      </w:r>
      <w:r w:rsidRPr="00F45F11">
        <w:t>members of the Victorian Disability Advisory</w:t>
      </w:r>
      <w:r w:rsidR="00B6250D" w:rsidRPr="00F45F11">
        <w:t> </w:t>
      </w:r>
      <w:r w:rsidRPr="00F45F11">
        <w:t>Council.</w:t>
      </w:r>
    </w:p>
    <w:p w14:paraId="063E215D" w14:textId="21FE3354" w:rsidR="0082791A" w:rsidRPr="00F45F11" w:rsidRDefault="0082791A" w:rsidP="001A1EC5">
      <w:pPr>
        <w:pStyle w:val="ARBodyafterbullets"/>
      </w:pPr>
      <w:r w:rsidRPr="00F45F11">
        <w:t>Lived experience advisory groups shape the next</w:t>
      </w:r>
      <w:r w:rsidR="00CC6BD3">
        <w:t> </w:t>
      </w:r>
      <w:r w:rsidRPr="00F45F11">
        <w:t xml:space="preserve">plans. Their input </w:t>
      </w:r>
      <w:r w:rsidR="001355A1" w:rsidRPr="00F45F11">
        <w:t>ensures</w:t>
      </w:r>
      <w:r w:rsidRPr="00F45F11">
        <w:t xml:space="preserve"> consultation is accessible, inclusive and focused on the experiences of people with</w:t>
      </w:r>
      <w:r w:rsidR="001355A1" w:rsidRPr="00F45F11">
        <w:t xml:space="preserve"> d</w:t>
      </w:r>
      <w:r w:rsidRPr="00F45F11">
        <w:t>isability.</w:t>
      </w:r>
    </w:p>
    <w:p w14:paraId="1892ACA0" w14:textId="65E6DA07" w:rsidR="0082791A" w:rsidRPr="00F45F11" w:rsidRDefault="0082791A" w:rsidP="00B6250D">
      <w:pPr>
        <w:pStyle w:val="ARBody"/>
      </w:pPr>
      <w:r w:rsidRPr="00F45F11">
        <w:t>Feedback from the consultation will inform the development of the next plans. The plans will outline the Victorian Government’s priorities to improve access, inclusion and outcomes for Victorians with disability and people</w:t>
      </w:r>
      <w:r w:rsidR="001355A1" w:rsidRPr="00F45F11">
        <w:t xml:space="preserve"> with autism</w:t>
      </w:r>
      <w:r w:rsidRPr="00F45F11">
        <w:t>.</w:t>
      </w:r>
    </w:p>
    <w:p w14:paraId="4DF546AC" w14:textId="4F18985B" w:rsidR="0082791A" w:rsidRPr="00067149" w:rsidRDefault="0082791A" w:rsidP="008A142C">
      <w:pPr>
        <w:pStyle w:val="Heading5"/>
        <w:rPr>
          <w:i/>
          <w:iCs w:val="0"/>
        </w:rPr>
      </w:pPr>
      <w:bookmarkStart w:id="66" w:name="_Toc173832731"/>
      <w:r w:rsidRPr="00F45F11">
        <w:t>Ch</w:t>
      </w:r>
      <w:r w:rsidRPr="00A124D1">
        <w:t xml:space="preserve">anges to the </w:t>
      </w:r>
      <w:r w:rsidRPr="00067149">
        <w:rPr>
          <w:i/>
          <w:iCs w:val="0"/>
        </w:rPr>
        <w:t>Residential Tenancies Act</w:t>
      </w:r>
      <w:r w:rsidR="000C76D7" w:rsidRPr="00067149">
        <w:rPr>
          <w:i/>
          <w:iCs w:val="0"/>
        </w:rPr>
        <w:t> </w:t>
      </w:r>
      <w:r w:rsidRPr="00067149">
        <w:rPr>
          <w:i/>
          <w:iCs w:val="0"/>
        </w:rPr>
        <w:t>1997</w:t>
      </w:r>
      <w:bookmarkEnd w:id="66"/>
    </w:p>
    <w:p w14:paraId="55A51870" w14:textId="57F03D4E" w:rsidR="0082791A" w:rsidRPr="00F45F11" w:rsidRDefault="0082791A" w:rsidP="000C76D7">
      <w:pPr>
        <w:pStyle w:val="ARBody"/>
      </w:pPr>
      <w:r w:rsidRPr="00F45F11">
        <w:t>The department progressed changes to Part 12A of</w:t>
      </w:r>
      <w:r w:rsidR="00412518" w:rsidRPr="00F45F11">
        <w:t> </w:t>
      </w:r>
      <w:r w:rsidRPr="00F45F11">
        <w:t xml:space="preserve">the </w:t>
      </w:r>
      <w:r w:rsidRPr="00F45F11">
        <w:rPr>
          <w:rStyle w:val="Emphasis"/>
          <w:i w:val="0"/>
          <w:iCs w:val="0"/>
        </w:rPr>
        <w:t>Residential</w:t>
      </w:r>
      <w:r w:rsidRPr="00A124D1">
        <w:rPr>
          <w:rStyle w:val="Emphasis"/>
        </w:rPr>
        <w:t xml:space="preserve"> Tenancies Act 1997</w:t>
      </w:r>
      <w:r w:rsidRPr="00F45F11">
        <w:t>. The changes will help to ensure the rights of people with</w:t>
      </w:r>
      <w:r w:rsidR="00412518" w:rsidRPr="00F45F11">
        <w:t> </w:t>
      </w:r>
      <w:r w:rsidRPr="00F45F11">
        <w:t xml:space="preserve">disability in specialist disability accommodation (SDA) are upheld. The changes will also ensure that the </w:t>
      </w:r>
      <w:r w:rsidR="0084725A">
        <w:t xml:space="preserve">Part 12A agreements </w:t>
      </w:r>
      <w:r w:rsidRPr="00F45F11">
        <w:t>operate as intended. The changes:</w:t>
      </w:r>
    </w:p>
    <w:p w14:paraId="39A7665E" w14:textId="086530D3" w:rsidR="0082791A" w:rsidRPr="00F45F11" w:rsidRDefault="001C74D5" w:rsidP="000C76D7">
      <w:pPr>
        <w:pStyle w:val="ARBullet1"/>
      </w:pPr>
      <w:r>
        <w:t>validate certain SDA residency agreements that</w:t>
      </w:r>
      <w:r w:rsidR="005C4E47">
        <w:t> </w:t>
      </w:r>
      <w:r>
        <w:t xml:space="preserve">were </w:t>
      </w:r>
      <w:r w:rsidR="00D746B1">
        <w:t>made</w:t>
      </w:r>
      <w:r>
        <w:t xml:space="preserve"> </w:t>
      </w:r>
      <w:r w:rsidR="00D746B1">
        <w:t>during the</w:t>
      </w:r>
      <w:r>
        <w:t xml:space="preserve"> </w:t>
      </w:r>
      <w:r w:rsidR="007C3069">
        <w:t>transition to</w:t>
      </w:r>
      <w:r w:rsidR="00AC7B4C">
        <w:t xml:space="preserve"> the</w:t>
      </w:r>
      <w:r w:rsidR="007C3069">
        <w:t xml:space="preserve"> </w:t>
      </w:r>
      <w:r w:rsidRPr="00067149">
        <w:rPr>
          <w:i/>
          <w:iCs/>
        </w:rPr>
        <w:t>Residential Tenancies Act 1997</w:t>
      </w:r>
    </w:p>
    <w:p w14:paraId="660EEA48" w14:textId="34E6B836" w:rsidR="0082791A" w:rsidRPr="00F45F11" w:rsidRDefault="0082791A" w:rsidP="000C76D7">
      <w:pPr>
        <w:pStyle w:val="ARBullet1"/>
      </w:pPr>
      <w:r w:rsidRPr="00F45F11">
        <w:t>gave VCAT new powers to help resolve SDA</w:t>
      </w:r>
      <w:r w:rsidR="00361CEC">
        <w:t> </w:t>
      </w:r>
      <w:r w:rsidRPr="00F45F11">
        <w:t>residency agreement validity issues</w:t>
      </w:r>
    </w:p>
    <w:p w14:paraId="653EA698" w14:textId="63A24D7A" w:rsidR="0082791A" w:rsidRPr="00F45F11" w:rsidRDefault="0082791A" w:rsidP="000C76D7">
      <w:pPr>
        <w:pStyle w:val="ARBullet1"/>
      </w:pPr>
      <w:r w:rsidRPr="00F45F11">
        <w:t>streamlined SDA residential notice</w:t>
      </w:r>
      <w:r w:rsidR="000C76D7" w:rsidRPr="00F45F11">
        <w:t> </w:t>
      </w:r>
      <w:r w:rsidRPr="00F45F11">
        <w:t xml:space="preserve">requirements. </w:t>
      </w:r>
    </w:p>
    <w:p w14:paraId="2F89F846" w14:textId="77777777" w:rsidR="0082791A" w:rsidRPr="00F45F11" w:rsidRDefault="0082791A" w:rsidP="001A1EC5">
      <w:pPr>
        <w:pStyle w:val="ARBodyafterbullets"/>
      </w:pPr>
      <w:r w:rsidRPr="00F45F11">
        <w:t>The changes came into force on 1 July 2026.</w:t>
      </w:r>
      <w:r w:rsidRPr="00F45F11" w:rsidDel="002C418F">
        <w:t xml:space="preserve"> </w:t>
      </w:r>
    </w:p>
    <w:p w14:paraId="5B067436" w14:textId="26E4C255" w:rsidR="0082791A" w:rsidRPr="00F45F11" w:rsidRDefault="0082791A" w:rsidP="008A142C">
      <w:pPr>
        <w:pStyle w:val="Heading5"/>
      </w:pPr>
      <w:bookmarkStart w:id="67" w:name="_Toc173832732"/>
      <w:r w:rsidRPr="00F45F11">
        <w:t>Supporting organisations through the Victorian Disability Advocacy Program</w:t>
      </w:r>
      <w:bookmarkEnd w:id="67"/>
    </w:p>
    <w:p w14:paraId="21A53334" w14:textId="77777777" w:rsidR="0082791A" w:rsidRPr="00F45F11" w:rsidRDefault="0082791A" w:rsidP="000C76D7">
      <w:pPr>
        <w:pStyle w:val="ARBody"/>
      </w:pPr>
      <w:r w:rsidRPr="00F45F11">
        <w:t>Victoria’s disability advocacy organisations help create a safer and fairer Victoria through individual, self and systemic advocacy.</w:t>
      </w:r>
    </w:p>
    <w:p w14:paraId="59AA27D5" w14:textId="644737A0" w:rsidR="0082791A" w:rsidRPr="00F45F11" w:rsidRDefault="0082791A" w:rsidP="000C76D7">
      <w:pPr>
        <w:pStyle w:val="ARBody"/>
      </w:pPr>
      <w:r w:rsidRPr="00F45F11">
        <w:t>The Victorian Disability Advocacy Program provides funding for systemic and individual advocacy. Under the Victorian Disability Advocacy Program, the department funds 21 disability advocacy agencies, including 2 resource units. In 2025–26, additional funding enabled organisations to continue to assist an additional 800 Victorians with</w:t>
      </w:r>
      <w:r w:rsidR="00412518" w:rsidRPr="00F45F11">
        <w:t> </w:t>
      </w:r>
      <w:r w:rsidRPr="00F45F11">
        <w:t>disability. This was on top of the base target of</w:t>
      </w:r>
      <w:r w:rsidR="00412518" w:rsidRPr="00F45F11">
        <w:t> </w:t>
      </w:r>
      <w:r w:rsidRPr="00F45F11">
        <w:t xml:space="preserve">1,700 clients </w:t>
      </w:r>
      <w:r w:rsidR="001355A1" w:rsidRPr="00F45F11">
        <w:t xml:space="preserve">a </w:t>
      </w:r>
      <w:r w:rsidRPr="00F45F11">
        <w:t>year. In 2025–26, funded organisations exceeded the annual target of assisting 2,500 people. The program assisted a</w:t>
      </w:r>
      <w:r w:rsidR="00412518" w:rsidRPr="00F45F11">
        <w:t> </w:t>
      </w:r>
      <w:r w:rsidRPr="00F45F11">
        <w:t>total of 2,788 people during the 2025–26 financial</w:t>
      </w:r>
      <w:r w:rsidR="000C76D7" w:rsidRPr="00F45F11">
        <w:t> </w:t>
      </w:r>
      <w:r w:rsidRPr="00F45F11">
        <w:t>year.</w:t>
      </w:r>
    </w:p>
    <w:p w14:paraId="6FC6FD54" w14:textId="619AD7F6" w:rsidR="0082791A" w:rsidRPr="00F45F11" w:rsidRDefault="0082791A" w:rsidP="000C76D7">
      <w:pPr>
        <w:pStyle w:val="Heading5"/>
      </w:pPr>
      <w:r w:rsidRPr="00F45F11">
        <w:t>Building the capacity of mainstream services to support people with complex disability</w:t>
      </w:r>
      <w:r w:rsidR="00303756">
        <w:t> </w:t>
      </w:r>
      <w:r w:rsidRPr="00F45F11">
        <w:t>needs</w:t>
      </w:r>
    </w:p>
    <w:p w14:paraId="3FF16F62" w14:textId="4990F296" w:rsidR="0082791A" w:rsidRPr="00F45F11" w:rsidRDefault="0082791A" w:rsidP="000C76D7">
      <w:pPr>
        <w:pStyle w:val="ARBody"/>
      </w:pPr>
      <w:r w:rsidRPr="00F45F11">
        <w:t>The Victorian Government allocated $0.68 million in</w:t>
      </w:r>
      <w:r w:rsidR="00772C70">
        <w:t> </w:t>
      </w:r>
      <w:r w:rsidRPr="00F45F11">
        <w:t xml:space="preserve">the </w:t>
      </w:r>
      <w:r w:rsidRPr="000E14DB">
        <w:rPr>
          <w:i/>
        </w:rPr>
        <w:t xml:space="preserve">2025–26 State </w:t>
      </w:r>
      <w:r w:rsidR="001355A1" w:rsidRPr="000E14DB">
        <w:rPr>
          <w:i/>
          <w:iCs/>
        </w:rPr>
        <w:t>B</w:t>
      </w:r>
      <w:r w:rsidRPr="000E14DB">
        <w:rPr>
          <w:i/>
          <w:iCs/>
        </w:rPr>
        <w:t>udget</w:t>
      </w:r>
      <w:r w:rsidRPr="00F45F11">
        <w:t xml:space="preserve"> to support building the</w:t>
      </w:r>
      <w:r w:rsidR="00772C70">
        <w:t> </w:t>
      </w:r>
      <w:r w:rsidRPr="00F45F11">
        <w:t>capability of mainstream services to work with the NDIS</w:t>
      </w:r>
      <w:r w:rsidR="001355A1" w:rsidRPr="00F45F11">
        <w:t>. This includes</w:t>
      </w:r>
      <w:r w:rsidRPr="00F45F11">
        <w:t xml:space="preserve"> support</w:t>
      </w:r>
      <w:r w:rsidR="001355A1" w:rsidRPr="00F45F11">
        <w:t>ing</w:t>
      </w:r>
      <w:r w:rsidRPr="00F45F11">
        <w:t xml:space="preserve"> people with complex disability needs. </w:t>
      </w:r>
      <w:r w:rsidR="001355A1" w:rsidRPr="00F45F11">
        <w:t>We developed t</w:t>
      </w:r>
      <w:r w:rsidRPr="00F45F11">
        <w:t>raining for</w:t>
      </w:r>
      <w:r w:rsidR="00772C70">
        <w:t> </w:t>
      </w:r>
      <w:r w:rsidRPr="00F45F11">
        <w:t>Complex Needs Coordinators in the department, and Community Corrections Services staff in the Department of Justice and Community Safety</w:t>
      </w:r>
      <w:r w:rsidR="001355A1" w:rsidRPr="00F45F11">
        <w:t xml:space="preserve">. This training </w:t>
      </w:r>
      <w:r w:rsidRPr="00F45F11">
        <w:t>build</w:t>
      </w:r>
      <w:r w:rsidR="00586490" w:rsidRPr="00F45F11">
        <w:t>s</w:t>
      </w:r>
      <w:r w:rsidRPr="00F45F11">
        <w:t xml:space="preserve"> </w:t>
      </w:r>
      <w:r w:rsidR="00CF77BC" w:rsidRPr="00F45F11">
        <w:t>workforce</w:t>
      </w:r>
      <w:r w:rsidR="00586490" w:rsidRPr="00F45F11">
        <w:t xml:space="preserve"> </w:t>
      </w:r>
      <w:r w:rsidRPr="00F45F11">
        <w:t xml:space="preserve">skills </w:t>
      </w:r>
      <w:r w:rsidR="00586490" w:rsidRPr="00F45F11">
        <w:t>to</w:t>
      </w:r>
      <w:r w:rsidRPr="00F45F11">
        <w:t xml:space="preserve"> work more effectively with </w:t>
      </w:r>
      <w:r w:rsidR="00586490" w:rsidRPr="00F45F11">
        <w:t xml:space="preserve">the </w:t>
      </w:r>
      <w:r w:rsidRPr="00F45F11">
        <w:t>NDIS</w:t>
      </w:r>
      <w:r w:rsidR="00CF77BC" w:rsidRPr="00F45F11">
        <w:t xml:space="preserve"> and </w:t>
      </w:r>
      <w:r w:rsidRPr="00F45F11">
        <w:t>support service users to access and maximise the benefits of the NDIS.</w:t>
      </w:r>
    </w:p>
    <w:p w14:paraId="2C4AE3C9" w14:textId="77777777" w:rsidR="0082791A" w:rsidRPr="00F45F11" w:rsidDel="00BD1EDD" w:rsidRDefault="0082791A" w:rsidP="000C76D7">
      <w:pPr>
        <w:pStyle w:val="Heading5"/>
      </w:pPr>
      <w:bookmarkStart w:id="68" w:name="_Toc173832733"/>
      <w:r w:rsidRPr="00F45F11">
        <w:t>Royal Commission into Violence, Abuse, Neglect and Exploitation of People with Disability</w:t>
      </w:r>
      <w:bookmarkEnd w:id="68"/>
    </w:p>
    <w:p w14:paraId="5011600C" w14:textId="228B6675" w:rsidR="0082791A" w:rsidRPr="00F45F11" w:rsidRDefault="0082791A" w:rsidP="000C76D7">
      <w:pPr>
        <w:pStyle w:val="ARBody"/>
      </w:pPr>
      <w:r w:rsidRPr="00F45F11">
        <w:t>The Victorian Government published its response to the Royal Commission into Violence, Abuse, Neglect and Exploitation of People with Disability (Disability Royal Commission) on 31 July 2024. The</w:t>
      </w:r>
      <w:r w:rsidR="00412518" w:rsidRPr="00F45F11">
        <w:t> </w:t>
      </w:r>
      <w:r w:rsidRPr="00F45F11">
        <w:t xml:space="preserve">Commonwealth also published a joint response to the 85 joint Commonwealth, state and territory recommendations on the same date. Victoria’s response builds on the joint response. </w:t>
      </w:r>
    </w:p>
    <w:p w14:paraId="703585AD" w14:textId="35E209F9" w:rsidR="0082791A" w:rsidRPr="00F45F11" w:rsidRDefault="0082791A" w:rsidP="000C76D7">
      <w:pPr>
        <w:pStyle w:val="ARBody"/>
      </w:pPr>
      <w:r w:rsidRPr="00F45F11">
        <w:t>We continue to work collaboratively with Victorian Government departments and other jurisdictions to</w:t>
      </w:r>
      <w:r w:rsidR="00412518" w:rsidRPr="00F45F11">
        <w:t> </w:t>
      </w:r>
      <w:r w:rsidRPr="00F45F11">
        <w:t>implement the recommendations.</w:t>
      </w:r>
      <w:r w:rsidR="001111F9">
        <w:t xml:space="preserve"> </w:t>
      </w:r>
      <w:r w:rsidRPr="00F45F11">
        <w:t>The Victorian Government reports on the 130 recommendations within its remit. This includes</w:t>
      </w:r>
      <w:r w:rsidR="00AC6F9A" w:rsidRPr="00F45F11">
        <w:t> </w:t>
      </w:r>
      <w:r w:rsidRPr="00F45F11">
        <w:t>providing reporting to the Disability Reform</w:t>
      </w:r>
      <w:r w:rsidR="00AC6F9A" w:rsidRPr="00F45F11">
        <w:t> </w:t>
      </w:r>
      <w:r w:rsidRPr="00F45F11">
        <w:t>Ministerial Council. This council oversees the implementation of the recommendations.</w:t>
      </w:r>
    </w:p>
    <w:p w14:paraId="5056301D" w14:textId="77777777" w:rsidR="0082791A" w:rsidRPr="00F45F11" w:rsidRDefault="0082791A" w:rsidP="000C76D7">
      <w:pPr>
        <w:pStyle w:val="Heading5"/>
      </w:pPr>
      <w:bookmarkStart w:id="69" w:name="_Toc173832734"/>
      <w:r w:rsidRPr="00F45F11">
        <w:t>NDIS review and foundational supports</w:t>
      </w:r>
      <w:bookmarkEnd w:id="69"/>
    </w:p>
    <w:p w14:paraId="1580A287" w14:textId="68F6B054" w:rsidR="0082791A" w:rsidRDefault="0082791A" w:rsidP="000F353A">
      <w:pPr>
        <w:pStyle w:val="ARbody125"/>
      </w:pPr>
      <w:r w:rsidRPr="00F45F11">
        <w:t>As an initial response to the NDIS Review, National Cabinet agreed to jointly design Foundational Supports. Thriving Kids is the first cohort of Foundational Supports</w:t>
      </w:r>
      <w:r w:rsidR="00263E58" w:rsidRPr="00F45F11">
        <w:t>. It</w:t>
      </w:r>
      <w:r w:rsidRPr="00F45F11">
        <w:t xml:space="preserve"> support</w:t>
      </w:r>
      <w:r w:rsidR="00263E58" w:rsidRPr="00F45F11">
        <w:t>s</w:t>
      </w:r>
      <w:r w:rsidRPr="00F45F11">
        <w:t xml:space="preserve"> children aged 8 and under </w:t>
      </w:r>
      <w:r w:rsidR="00263E58" w:rsidRPr="00F45F11">
        <w:t xml:space="preserve">who have </w:t>
      </w:r>
      <w:r w:rsidRPr="00F45F11">
        <w:t xml:space="preserve">developmental delay </w:t>
      </w:r>
      <w:r w:rsidR="00263E58" w:rsidRPr="00F45F11">
        <w:t xml:space="preserve">or </w:t>
      </w:r>
      <w:r w:rsidRPr="00F45F11">
        <w:t>autism</w:t>
      </w:r>
      <w:r w:rsidR="00772C70">
        <w:t> </w:t>
      </w:r>
      <w:r w:rsidRPr="00F45F11">
        <w:t>with low to moderate support needs. The department supports the Department of Education as the lead for Thriving Kids implementation in</w:t>
      </w:r>
      <w:r w:rsidR="00412518" w:rsidRPr="00F45F11">
        <w:t> </w:t>
      </w:r>
      <w:r w:rsidRPr="00F45F11">
        <w:t>Victoria.</w:t>
      </w:r>
    </w:p>
    <w:p w14:paraId="02E7CE4B" w14:textId="36A003C0" w:rsidR="0082791A" w:rsidRPr="00F45F11" w:rsidRDefault="0082791A" w:rsidP="008A142C">
      <w:pPr>
        <w:pStyle w:val="Heading5"/>
        <w:spacing w:before="0"/>
      </w:pPr>
      <w:r w:rsidRPr="00F45F11">
        <w:t xml:space="preserve">Delivering contemporary and innovative specialist </w:t>
      </w:r>
      <w:r w:rsidRPr="008A142C">
        <w:t>disability</w:t>
      </w:r>
      <w:r w:rsidRPr="00F45F11">
        <w:t xml:space="preserve"> accommodation </w:t>
      </w:r>
    </w:p>
    <w:p w14:paraId="11E1BE09" w14:textId="1C53DB75" w:rsidR="0082791A" w:rsidRPr="00F45F11" w:rsidRDefault="0082791A" w:rsidP="000F353A">
      <w:pPr>
        <w:pStyle w:val="ARbody125"/>
      </w:pPr>
      <w:r w:rsidRPr="00F45F11">
        <w:t xml:space="preserve">The department expanded the Specialist Disability Accommodation (SDA) Capital Pilot Program, investing $27.5 million to build new and innovative </w:t>
      </w:r>
      <w:r w:rsidR="00510878" w:rsidRPr="00F45F11">
        <w:t>SDA</w:t>
      </w:r>
      <w:r w:rsidRPr="00F45F11">
        <w:t>. These new homes are an alternative to the group home model. They are delivered in partnership with residents, their supports and supported independent living providers.</w:t>
      </w:r>
    </w:p>
    <w:p w14:paraId="1C4407E3" w14:textId="2C6224D5" w:rsidR="0082791A" w:rsidRPr="00F45F11" w:rsidRDefault="0082791A" w:rsidP="000F353A">
      <w:pPr>
        <w:pStyle w:val="ARbody125"/>
      </w:pPr>
      <w:r w:rsidRPr="00F45F11">
        <w:t>In 2025–26, we completed new homes for 14</w:t>
      </w:r>
      <w:r w:rsidR="005C4E47">
        <w:t> </w:t>
      </w:r>
      <w:r w:rsidRPr="00F45F11">
        <w:t>residents. In recognition of its quality design, one</w:t>
      </w:r>
      <w:r w:rsidR="00772C70">
        <w:t> </w:t>
      </w:r>
      <w:r w:rsidRPr="00F45F11">
        <w:t>of</w:t>
      </w:r>
      <w:r w:rsidR="00412518" w:rsidRPr="00F45F11">
        <w:t> </w:t>
      </w:r>
      <w:r w:rsidRPr="00F45F11">
        <w:t>the homes completed in 2025–26 received an award in the Australian Institute of Architecture Victorian Architecture Awards. Across the program, we have completed new homes for 39 residents.</w:t>
      </w:r>
      <w:r w:rsidR="002A50D6">
        <w:t xml:space="preserve"> The </w:t>
      </w:r>
      <w:r w:rsidR="002A50D6" w:rsidRPr="00A124D1">
        <w:rPr>
          <w:rStyle w:val="Emphasis"/>
        </w:rPr>
        <w:t>2026</w:t>
      </w:r>
      <w:r w:rsidR="00C0062A">
        <w:rPr>
          <w:rStyle w:val="Emphasis"/>
        </w:rPr>
        <w:t>–</w:t>
      </w:r>
      <w:r w:rsidR="002A50D6" w:rsidRPr="00A124D1">
        <w:rPr>
          <w:rStyle w:val="Emphasis"/>
        </w:rPr>
        <w:t xml:space="preserve">2027 State Budget </w:t>
      </w:r>
      <w:proofErr w:type="gramStart"/>
      <w:r w:rsidR="001B1DF8">
        <w:t>allocated</w:t>
      </w:r>
      <w:r w:rsidR="002A50D6">
        <w:t xml:space="preserve">  </w:t>
      </w:r>
      <w:r w:rsidR="00A96298">
        <w:t>$</w:t>
      </w:r>
      <w:proofErr w:type="gramEnd"/>
      <w:r w:rsidR="00A96298">
        <w:t xml:space="preserve">18.7 million to extend the </w:t>
      </w:r>
      <w:r w:rsidR="00977532">
        <w:t>new build SDA program.</w:t>
      </w:r>
    </w:p>
    <w:p w14:paraId="4466C603" w14:textId="2514476B" w:rsidR="000C76D7" w:rsidRPr="00F45F11" w:rsidRDefault="0082791A" w:rsidP="000F353A">
      <w:pPr>
        <w:pStyle w:val="ARbody125"/>
      </w:pPr>
      <w:r w:rsidRPr="00F45F11">
        <w:t xml:space="preserve">The </w:t>
      </w:r>
      <w:r w:rsidRPr="00A124D1">
        <w:rPr>
          <w:rStyle w:val="Emphasis"/>
        </w:rPr>
        <w:t>2025–26 State Budget</w:t>
      </w:r>
      <w:r w:rsidRPr="00F45F11">
        <w:t xml:space="preserve"> </w:t>
      </w:r>
      <w:r w:rsidR="00061AF8">
        <w:t xml:space="preserve">allocated </w:t>
      </w:r>
      <w:r w:rsidRPr="00F45F11">
        <w:t>$19.2 million to replace fire panels in SDA. The fire panel replacement program proactively invests in the safety of residents living in department-owned SDA</w:t>
      </w:r>
      <w:r w:rsidR="000C76D7" w:rsidRPr="00F45F11">
        <w:t> </w:t>
      </w:r>
      <w:r w:rsidRPr="00F45F11">
        <w:t xml:space="preserve">homes. </w:t>
      </w:r>
    </w:p>
    <w:p w14:paraId="0E2FC5FE" w14:textId="77777777" w:rsidR="0082791A" w:rsidRPr="00F45F11" w:rsidRDefault="0082791A" w:rsidP="000C76D7">
      <w:pPr>
        <w:pStyle w:val="Heading5"/>
      </w:pPr>
      <w:r w:rsidRPr="00F45F11">
        <w:t>Providing relief and social recovery programs after emergencies</w:t>
      </w:r>
    </w:p>
    <w:p w14:paraId="59CB6070" w14:textId="77777777" w:rsidR="0082791A" w:rsidRPr="00F45F11" w:rsidRDefault="0082791A" w:rsidP="000F353A">
      <w:pPr>
        <w:pStyle w:val="ARbody125"/>
      </w:pPr>
      <w:r w:rsidRPr="00F45F11">
        <w:t>The department mitigates the impact of emergencies on communities and individuals. We focus on Victorians who face greater risk in emergencies.</w:t>
      </w:r>
    </w:p>
    <w:p w14:paraId="6A3F873F" w14:textId="4D748ED2" w:rsidR="0082791A" w:rsidRPr="00F45F11" w:rsidRDefault="0082791A" w:rsidP="000F353A">
      <w:pPr>
        <w:pStyle w:val="ARbody125"/>
      </w:pPr>
      <w:r w:rsidRPr="00F45F11">
        <w:t>Following the Western Victoria Bushfires in December 2024 and January 2025, the department:</w:t>
      </w:r>
    </w:p>
    <w:p w14:paraId="22345E92" w14:textId="77777777" w:rsidR="0082791A" w:rsidRPr="00F45F11" w:rsidRDefault="0082791A" w:rsidP="000F353A">
      <w:pPr>
        <w:pStyle w:val="ARBullet1"/>
        <w:spacing w:line="250" w:lineRule="atLeast"/>
      </w:pPr>
      <w:r w:rsidRPr="00F45F11">
        <w:t>worked with councils to identify relevant psychosocial supports for affected communities. Specialists from the Psychosocial Services Panel delivered customised support for people affected by the fires</w:t>
      </w:r>
    </w:p>
    <w:p w14:paraId="4E1CC2FB" w14:textId="77777777" w:rsidR="0082791A" w:rsidRPr="00F45F11" w:rsidRDefault="0082791A" w:rsidP="000F353A">
      <w:pPr>
        <w:pStyle w:val="ARBullet1"/>
        <w:spacing w:line="250" w:lineRule="atLeast"/>
      </w:pPr>
      <w:r w:rsidRPr="00F45F11">
        <w:t>worked with the Department of Health and Agriculture Victoria to develop and distribute communications packs to councils. These packs focused on mental health and wellbeing supports</w:t>
      </w:r>
    </w:p>
    <w:p w14:paraId="3CA2746F" w14:textId="77777777" w:rsidR="00F02308" w:rsidRDefault="0082791A" w:rsidP="00F76467">
      <w:pPr>
        <w:pStyle w:val="ARBullet1"/>
        <w:spacing w:line="250" w:lineRule="atLeast"/>
      </w:pPr>
      <w:r w:rsidRPr="00F45F11">
        <w:t>provided 1,286 emergency relief payments totalling $1,419,620 for eligible residents.</w:t>
      </w:r>
    </w:p>
    <w:p w14:paraId="49A73029" w14:textId="77777777" w:rsidR="0082791A" w:rsidRPr="00F45F11" w:rsidRDefault="0082791A" w:rsidP="00F02308">
      <w:pPr>
        <w:pStyle w:val="Heading5"/>
      </w:pPr>
      <w:r w:rsidRPr="00F45F11">
        <w:t xml:space="preserve">Delivery of an integrated child and family services response for the most vulnerable children with disability </w:t>
      </w:r>
    </w:p>
    <w:p w14:paraId="2DEF6718" w14:textId="5CD19745" w:rsidR="0082791A" w:rsidRPr="00F45F11" w:rsidRDefault="0082791A" w:rsidP="000C76D7">
      <w:pPr>
        <w:pStyle w:val="ARBody"/>
      </w:pPr>
      <w:r w:rsidRPr="00F45F11">
        <w:t xml:space="preserve">The </w:t>
      </w:r>
      <w:r w:rsidRPr="00A124D1">
        <w:rPr>
          <w:rStyle w:val="Emphasis"/>
        </w:rPr>
        <w:t>2025–26 State Budget</w:t>
      </w:r>
      <w:r w:rsidRPr="00F45F11">
        <w:t xml:space="preserve"> provided $24.1 million for one year to continue specialist disability Family Services programs and an expanded Disability Practice Advisor (DPA) workforce. The Family Services programs support families where children or parents have disability with direct support and system navigation so that children can thrive. DPAs provide advice and support to the child protection workforce to</w:t>
      </w:r>
      <w:r w:rsidR="00F02308">
        <w:t> </w:t>
      </w:r>
      <w:r w:rsidRPr="00F45F11">
        <w:t>better support children and families with disability and maintain capacity to identify and provide early intervention to families of children with complex disability to prevent the need for out of home accommodation.</w:t>
      </w:r>
    </w:p>
    <w:p w14:paraId="5452C129" w14:textId="76CE4B93" w:rsidR="0082791A" w:rsidRPr="00F45F11" w:rsidRDefault="0082791A" w:rsidP="000C76D7">
      <w:pPr>
        <w:pStyle w:val="Heading5"/>
      </w:pPr>
      <w:r w:rsidRPr="00F45F11">
        <w:t>Delivering a Complex Needs and Forensic</w:t>
      </w:r>
      <w:r w:rsidR="000C76D7" w:rsidRPr="00F45F11">
        <w:t> </w:t>
      </w:r>
      <w:r w:rsidRPr="00F45F11">
        <w:t xml:space="preserve">Disability Aboriginal </w:t>
      </w:r>
      <w:r w:rsidR="000C76D7" w:rsidRPr="00F45F11">
        <w:br/>
      </w:r>
      <w:r w:rsidRPr="00F45F11">
        <w:t>Self-determination</w:t>
      </w:r>
      <w:r w:rsidR="000C76D7" w:rsidRPr="00F45F11">
        <w:t> </w:t>
      </w:r>
      <w:r w:rsidRPr="00F45F11">
        <w:t xml:space="preserve">Strategy </w:t>
      </w:r>
    </w:p>
    <w:p w14:paraId="05C919A4" w14:textId="458FF52D" w:rsidR="0082791A" w:rsidRPr="00F45F11" w:rsidRDefault="0082791A" w:rsidP="000C76D7">
      <w:pPr>
        <w:pStyle w:val="ARBody"/>
      </w:pPr>
      <w:r w:rsidRPr="00F45F11">
        <w:t xml:space="preserve">The </w:t>
      </w:r>
      <w:r w:rsidRPr="00A124D1">
        <w:rPr>
          <w:rStyle w:val="Emphasis"/>
        </w:rPr>
        <w:t>2023–24 State Budget</w:t>
      </w:r>
      <w:r w:rsidRPr="00F45F11">
        <w:t xml:space="preserve"> provided $1 million over 2 years to develop and implement an Aboriginal self-determination strategy for people with complex</w:t>
      </w:r>
      <w:r w:rsidR="005C4E47">
        <w:t> </w:t>
      </w:r>
      <w:r w:rsidRPr="00F45F11">
        <w:t xml:space="preserve">needs. This includes people with cognitive disability. </w:t>
      </w:r>
    </w:p>
    <w:p w14:paraId="27C58A8C" w14:textId="0AB61798" w:rsidR="0082791A" w:rsidRPr="00F45F11" w:rsidRDefault="0082791A" w:rsidP="000C76D7">
      <w:pPr>
        <w:pStyle w:val="ARBody"/>
      </w:pPr>
      <w:r w:rsidRPr="00F45F11">
        <w:t>In 2024–25, we supported developing the strategy to support Aboriginal Victorians with cognitive impairment and complex needs. It ensures that Aboriginal people receive culturally appropriate services. The strategy strengthens self-determination. It aims to empower Aboriginal communities and improve outcomes for people. The work was undertaken by an Aboriginal owned consultancy group.</w:t>
      </w:r>
      <w:r w:rsidR="00E80A3D">
        <w:t xml:space="preserve"> </w:t>
      </w:r>
      <w:r w:rsidRPr="00F45F11">
        <w:t>In 2025–26</w:t>
      </w:r>
      <w:r w:rsidR="009E1395" w:rsidRPr="00F45F11">
        <w:t>,</w:t>
      </w:r>
      <w:r w:rsidRPr="00F45F11">
        <w:t xml:space="preserve"> the department is working with local ACCOs to implement the strategy</w:t>
      </w:r>
      <w:r w:rsidR="009E1395" w:rsidRPr="00F45F11">
        <w:t xml:space="preserve">. This work </w:t>
      </w:r>
      <w:r w:rsidRPr="00F45F11">
        <w:t>focus</w:t>
      </w:r>
      <w:r w:rsidR="009E1395" w:rsidRPr="00F45F11">
        <w:t>es</w:t>
      </w:r>
      <w:r w:rsidRPr="00F45F11">
        <w:t xml:space="preserve"> on tangible benefits </w:t>
      </w:r>
      <w:r w:rsidR="009E1395" w:rsidRPr="00F45F11">
        <w:t>for</w:t>
      </w:r>
      <w:r w:rsidR="005C4E47">
        <w:t> </w:t>
      </w:r>
      <w:r w:rsidRPr="00F45F11">
        <w:t xml:space="preserve">clients and improved collective understanding from providers and staff. </w:t>
      </w:r>
    </w:p>
    <w:p w14:paraId="6060E098" w14:textId="2CFCAFF8" w:rsidR="0082791A" w:rsidRPr="00F45F11" w:rsidRDefault="0082791A" w:rsidP="000C76D7">
      <w:pPr>
        <w:pStyle w:val="Heading5"/>
      </w:pPr>
      <w:bookmarkStart w:id="70" w:name="_Toc173832702"/>
      <w:r w:rsidRPr="00F45F11">
        <w:t>Delivering the Neighbourhood House Coordination Program</w:t>
      </w:r>
      <w:bookmarkEnd w:id="70"/>
      <w:r w:rsidRPr="00F45F11">
        <w:t xml:space="preserve"> and Men’s Shed Funding</w:t>
      </w:r>
      <w:r w:rsidR="00F02308">
        <w:t> </w:t>
      </w:r>
      <w:r w:rsidRPr="00F45F11">
        <w:t>Program</w:t>
      </w:r>
    </w:p>
    <w:p w14:paraId="7F9508D9" w14:textId="342B02ED" w:rsidR="0082791A" w:rsidRPr="00F45F11" w:rsidRDefault="0082791A" w:rsidP="000C76D7">
      <w:pPr>
        <w:pStyle w:val="ARBody"/>
      </w:pPr>
      <w:r w:rsidRPr="00F45F11">
        <w:t xml:space="preserve">In </w:t>
      </w:r>
      <w:r w:rsidRPr="00F45F11">
        <w:rPr>
          <w:bCs/>
        </w:rPr>
        <w:t>2025–26</w:t>
      </w:r>
      <w:r w:rsidRPr="00F45F11">
        <w:t>, the department continued to deliver the Neighbourhood House Coordination Program. The program receives more than $46 million annually. This includes funding for around 400 neighbourhood houses, 16 networks and the peak</w:t>
      </w:r>
      <w:r w:rsidR="00361CEC">
        <w:t> </w:t>
      </w:r>
      <w:r w:rsidRPr="00F45F11">
        <w:t>body, Neighbourhood Houses Victoria.</w:t>
      </w:r>
    </w:p>
    <w:p w14:paraId="138160AD" w14:textId="3F4FFA59" w:rsidR="0082791A" w:rsidRPr="00F45F11" w:rsidRDefault="0082791A" w:rsidP="000C76D7">
      <w:pPr>
        <w:pStyle w:val="ARBody"/>
      </w:pPr>
      <w:r w:rsidRPr="00F45F11">
        <w:t>Neighbourhood houses support social inclusion and</w:t>
      </w:r>
      <w:r w:rsidR="000C76D7" w:rsidRPr="00F45F11">
        <w:t> </w:t>
      </w:r>
      <w:r w:rsidRPr="00F45F11">
        <w:t>community connection. They are led by communities and respond to local needs. They provide childcare, employment, education, social</w:t>
      </w:r>
      <w:r w:rsidR="005C4E47">
        <w:t> </w:t>
      </w:r>
      <w:r w:rsidRPr="00F45F11">
        <w:t>and volunteering opportunities.</w:t>
      </w:r>
    </w:p>
    <w:p w14:paraId="6566796E" w14:textId="3F1D5DCD" w:rsidR="0082791A" w:rsidRPr="00F45F11" w:rsidRDefault="0082791A" w:rsidP="000C76D7">
      <w:pPr>
        <w:pStyle w:val="ARBody"/>
      </w:pPr>
      <w:r w:rsidRPr="00F45F11">
        <w:t>In 2025, neighbourhood houses across Victoria reported over 9.8 million visits and 438,000 activity</w:t>
      </w:r>
      <w:r w:rsidR="000C76D7" w:rsidRPr="00F45F11">
        <w:t> </w:t>
      </w:r>
      <w:r w:rsidRPr="00F45F11">
        <w:t>sessions.</w:t>
      </w:r>
    </w:p>
    <w:p w14:paraId="274D4DB9" w14:textId="77777777" w:rsidR="0082791A" w:rsidRPr="00F45F11" w:rsidRDefault="0082791A" w:rsidP="000C76D7">
      <w:pPr>
        <w:pStyle w:val="ARBody"/>
      </w:pPr>
      <w:r w:rsidRPr="00F45F11">
        <w:t>The department also continued to deliver the Men’s Shed Funding Program in 2025–26. This supported the Victorian Men’s Shed Association and provided 31 grants of up to $100,000 for men’s sheds across the state. Grants can be used to upgrade or build new facilities or purchase new equipment.</w:t>
      </w:r>
    </w:p>
    <w:p w14:paraId="5BAB8719" w14:textId="77777777" w:rsidR="0082791A" w:rsidRPr="00F45F11" w:rsidRDefault="0082791A" w:rsidP="000C76D7">
      <w:pPr>
        <w:pStyle w:val="ARBody"/>
      </w:pPr>
      <w:r w:rsidRPr="00F45F11">
        <w:t>These social infrastructure programs support better health, wellbeing and social connection for Victorians.</w:t>
      </w:r>
    </w:p>
    <w:p w14:paraId="5E6AC291" w14:textId="77777777" w:rsidR="0082791A" w:rsidRPr="00F45F11" w:rsidRDefault="0082791A" w:rsidP="000C76D7">
      <w:pPr>
        <w:pStyle w:val="Heading5"/>
      </w:pPr>
      <w:bookmarkStart w:id="71" w:name="_Toc173832704"/>
      <w:r w:rsidRPr="00F45F11">
        <w:t>Delivering more food relief to Victorians</w:t>
      </w:r>
      <w:bookmarkEnd w:id="71"/>
    </w:p>
    <w:p w14:paraId="40B71183" w14:textId="552D511F" w:rsidR="0082791A" w:rsidRPr="00F45F11" w:rsidRDefault="0082791A" w:rsidP="000C76D7">
      <w:pPr>
        <w:pStyle w:val="ARBody"/>
      </w:pPr>
      <w:r w:rsidRPr="00F45F11">
        <w:t xml:space="preserve">The </w:t>
      </w:r>
      <w:r w:rsidRPr="00A124D1">
        <w:rPr>
          <w:rStyle w:val="Emphasis"/>
        </w:rPr>
        <w:t>2025–26 State Budget</w:t>
      </w:r>
      <w:r w:rsidRPr="007516D6">
        <w:t xml:space="preserve"> </w:t>
      </w:r>
      <w:r w:rsidR="00845A14" w:rsidRPr="007516D6">
        <w:t>allocated</w:t>
      </w:r>
      <w:r w:rsidR="00845A14">
        <w:rPr>
          <w:rStyle w:val="Emphasis"/>
        </w:rPr>
        <w:t xml:space="preserve"> </w:t>
      </w:r>
      <w:r w:rsidRPr="00F45F11">
        <w:t>$18 million over 3 years to deliver more food relief to where it</w:t>
      </w:r>
      <w:r w:rsidR="005C4E47">
        <w:t> </w:t>
      </w:r>
      <w:r w:rsidRPr="00F45F11">
        <w:t>is</w:t>
      </w:r>
      <w:r w:rsidR="00412518" w:rsidRPr="00F45F11">
        <w:t> </w:t>
      </w:r>
      <w:r w:rsidRPr="00F45F11">
        <w:t>needed</w:t>
      </w:r>
      <w:r w:rsidR="00F02308">
        <w:t> </w:t>
      </w:r>
      <w:r w:rsidRPr="00F45F11">
        <w:t>most.</w:t>
      </w:r>
    </w:p>
    <w:p w14:paraId="4A27AA74" w14:textId="4FDAD9C5" w:rsidR="0082791A" w:rsidRPr="00F45F11" w:rsidRDefault="0082791A" w:rsidP="000C76D7">
      <w:pPr>
        <w:pStyle w:val="ARBody"/>
      </w:pPr>
      <w:r w:rsidRPr="00F45F11">
        <w:t xml:space="preserve">It included $6 million over 2 years to continue supporting operations of the state’s 6 regional </w:t>
      </w:r>
      <w:proofErr w:type="spellStart"/>
      <w:r w:rsidRPr="00F45F11">
        <w:t>foodshares</w:t>
      </w:r>
      <w:proofErr w:type="spellEnd"/>
      <w:r w:rsidRPr="00F45F11">
        <w:t xml:space="preserve"> – in</w:t>
      </w:r>
      <w:r w:rsidR="00F02308">
        <w:t> </w:t>
      </w:r>
      <w:r w:rsidRPr="00F45F11">
        <w:t>Albury</w:t>
      </w:r>
      <w:r w:rsidR="004F7228" w:rsidRPr="00F45F11">
        <w:t>–</w:t>
      </w:r>
      <w:r w:rsidRPr="00F45F11">
        <w:t xml:space="preserve">Wodonga, Bendigo, Geelong, Mildura, Shepparton and Warrnambool </w:t>
      </w:r>
      <w:r w:rsidR="00F0005F" w:rsidRPr="00F45F11">
        <w:t>–</w:t>
      </w:r>
      <w:r w:rsidRPr="00F45F11">
        <w:t xml:space="preserve"> and shared services delivered through the Regional Food Security Alliance. This promotes an efficient regional food relief system.</w:t>
      </w:r>
    </w:p>
    <w:p w14:paraId="6EC2F223" w14:textId="0FFC8F20" w:rsidR="0082791A" w:rsidRPr="00F45F11" w:rsidRDefault="0082791A" w:rsidP="000C76D7">
      <w:pPr>
        <w:pStyle w:val="ARBody"/>
      </w:pPr>
      <w:r w:rsidRPr="00F45F11">
        <w:t>The investment also included $3 million over 3</w:t>
      </w:r>
      <w:r w:rsidR="004F7228" w:rsidRPr="00F45F11">
        <w:t> </w:t>
      </w:r>
      <w:r w:rsidRPr="00F45F11">
        <w:t>years for Foodbank Victoria’s innovative GROW Program. The program will divert 4,000 tonnes of surplus farm produce over 3 years and redirect this to the food relief system to provide healthy, Victorian-grown produce to Victorians in need.</w:t>
      </w:r>
    </w:p>
    <w:p w14:paraId="47D02C4A" w14:textId="63E9BD71" w:rsidR="0082791A" w:rsidRPr="00F45F11" w:rsidRDefault="0082791A" w:rsidP="000C76D7">
      <w:pPr>
        <w:pStyle w:val="ARBody"/>
      </w:pPr>
      <w:r w:rsidRPr="00F45F11">
        <w:t xml:space="preserve">The </w:t>
      </w:r>
      <w:r w:rsidRPr="00A124D1">
        <w:rPr>
          <w:rStyle w:val="Emphasis"/>
        </w:rPr>
        <w:t>2025–26 State Budget</w:t>
      </w:r>
      <w:r w:rsidRPr="00F45F11">
        <w:t xml:space="preserve"> also </w:t>
      </w:r>
      <w:r w:rsidR="00845A14">
        <w:t xml:space="preserve">allocated </w:t>
      </w:r>
      <w:r w:rsidRPr="00F45F11">
        <w:t>$9 million for a second round of the Community Food Relief Program. This program provides grants to strengthen local, regional and statewide food relief models as well as $500,000 over 2 years for</w:t>
      </w:r>
      <w:r w:rsidR="00412518" w:rsidRPr="00F45F11">
        <w:t> </w:t>
      </w:r>
      <w:r w:rsidRPr="00F45F11">
        <w:t>Foodbank Victoria to boost charity freight to regional Victoria.</w:t>
      </w:r>
    </w:p>
    <w:p w14:paraId="6F428FD9" w14:textId="40564D41" w:rsidR="00F02308" w:rsidRDefault="0082791A" w:rsidP="000C76D7">
      <w:pPr>
        <w:pStyle w:val="ARBody"/>
      </w:pPr>
      <w:r w:rsidRPr="00F45F11">
        <w:t>The Local Grants stream of the program provided 126 grants across 60 local government areas. This work bolstered local food relief supply and capacity. For example, North Melbourne Chinese Association Inc</w:t>
      </w:r>
      <w:r w:rsidR="004F7228" w:rsidRPr="00F45F11">
        <w:t>.</w:t>
      </w:r>
      <w:r w:rsidRPr="00F45F11">
        <w:t xml:space="preserve"> received $19,000 to support Chinese-speaking seniors living in public housing with culturally appropriate food deliveries for a year, and</w:t>
      </w:r>
      <w:r w:rsidR="00412518" w:rsidRPr="00F45F11">
        <w:t> </w:t>
      </w:r>
      <w:r w:rsidRPr="00F45F11">
        <w:t xml:space="preserve">Wathaurong </w:t>
      </w:r>
      <w:proofErr w:type="spellStart"/>
      <w:r w:rsidRPr="00F45F11">
        <w:t>Booln</w:t>
      </w:r>
      <w:proofErr w:type="spellEnd"/>
      <w:r w:rsidRPr="00F45F11">
        <w:t xml:space="preserve"> </w:t>
      </w:r>
      <w:proofErr w:type="spellStart"/>
      <w:r w:rsidRPr="00F45F11">
        <w:t>Booln</w:t>
      </w:r>
      <w:proofErr w:type="spellEnd"/>
      <w:r w:rsidRPr="00F45F11">
        <w:t xml:space="preserve"> Cultural Centre in</w:t>
      </w:r>
      <w:r w:rsidR="00412518" w:rsidRPr="00F45F11">
        <w:t> </w:t>
      </w:r>
      <w:r w:rsidRPr="00F45F11">
        <w:t>Geelong received $97,000 to deliver quarterly community meals and bush</w:t>
      </w:r>
      <w:r w:rsidR="004F7228" w:rsidRPr="00F45F11">
        <w:t>-</w:t>
      </w:r>
      <w:r w:rsidRPr="00F45F11">
        <w:t>tucker workshops for</w:t>
      </w:r>
      <w:r w:rsidR="00412518" w:rsidRPr="00F45F11">
        <w:t> </w:t>
      </w:r>
      <w:r w:rsidRPr="00F45F11">
        <w:t>First Nations families, and to support their community garden.</w:t>
      </w:r>
    </w:p>
    <w:p w14:paraId="672FC977" w14:textId="77777777" w:rsidR="0082791A" w:rsidRPr="00F45F11" w:rsidRDefault="0082791A" w:rsidP="000C76D7">
      <w:pPr>
        <w:pStyle w:val="ARBody"/>
      </w:pPr>
      <w:r w:rsidRPr="00F45F11">
        <w:t>The Coordination Grants stream of the program delivered 7 grants to regional and statewide food relief providers. This will improve food relief supply and distribution across Victoria. For example, Geelong Foodshare received $250,000 to improve food relief efficiency and sustainability through shared logistics and supplier relationships, to expand access to healthy, culturally appropriate food, including in Colac Otway and Golden Plains.</w:t>
      </w:r>
    </w:p>
    <w:p w14:paraId="2F50B951" w14:textId="77777777" w:rsidR="0082791A" w:rsidRPr="00F45F11" w:rsidRDefault="0082791A" w:rsidP="000C76D7">
      <w:pPr>
        <w:pStyle w:val="ARBody"/>
      </w:pPr>
      <w:r w:rsidRPr="00F45F11">
        <w:t xml:space="preserve">A further $5 million was allocated in 2025–26 to expand </w:t>
      </w:r>
      <w:proofErr w:type="spellStart"/>
      <w:r w:rsidRPr="00F45F11">
        <w:t>SecondBite’s</w:t>
      </w:r>
      <w:proofErr w:type="spellEnd"/>
      <w:r w:rsidRPr="00F45F11">
        <w:t xml:space="preserve"> Derrimut warehouse. Once complete, this project will triple food relief volume and double support to regional Victoria and Melbourne’s north over the next 10 years.</w:t>
      </w:r>
    </w:p>
    <w:p w14:paraId="75AB56A6" w14:textId="77777777" w:rsidR="00A205C5" w:rsidRDefault="0082791A" w:rsidP="00A205C5">
      <w:pPr>
        <w:pStyle w:val="ARBody"/>
      </w:pPr>
      <w:r w:rsidRPr="00F45F11">
        <w:t>These programs are just some of the initiatives to address food insecurity. In addition, the department provides more than $3.3 million each year in recurrent funding to support Foodbank Victoria’s operations, and a further $2.7 million immediate food relief package in 2025–26 supported food relief providers to manage rising operational costs including in response to fuel supply challenges.</w:t>
      </w:r>
      <w:bookmarkStart w:id="72" w:name="_Toc173832705"/>
    </w:p>
    <w:p w14:paraId="6BD22D5A" w14:textId="7BCCAA39" w:rsidR="0082791A" w:rsidRPr="00F45F11" w:rsidRDefault="0082791A" w:rsidP="00D80E76">
      <w:pPr>
        <w:pStyle w:val="Heading5"/>
      </w:pPr>
      <w:r w:rsidRPr="00F45F11">
        <w:t>Delivering the Good Money Program and</w:t>
      </w:r>
      <w:r w:rsidR="001A1EC5" w:rsidRPr="00F45F11">
        <w:t> </w:t>
      </w:r>
      <w:r w:rsidRPr="00F45F11">
        <w:t xml:space="preserve">No-Interest Loans Scheme </w:t>
      </w:r>
      <w:bookmarkEnd w:id="72"/>
    </w:p>
    <w:p w14:paraId="7922BE24" w14:textId="349CAA8B" w:rsidR="0082791A" w:rsidRPr="00F45F11" w:rsidRDefault="0082791A" w:rsidP="000C76D7">
      <w:pPr>
        <w:pStyle w:val="ARBody"/>
      </w:pPr>
      <w:r w:rsidRPr="00F45F11">
        <w:t>The department continued to support the Good Money Program in 2025–26. The program provides Victorians facing financial stress with access to no-interest loans, budgeting advice and referrals to other</w:t>
      </w:r>
      <w:r w:rsidR="000A4797">
        <w:t> </w:t>
      </w:r>
      <w:r w:rsidRPr="00F45F11">
        <w:t xml:space="preserve">supports. </w:t>
      </w:r>
    </w:p>
    <w:p w14:paraId="44E5735F" w14:textId="07EC17F9" w:rsidR="0082791A" w:rsidRPr="00F45F11" w:rsidRDefault="0082791A" w:rsidP="000C76D7">
      <w:pPr>
        <w:pStyle w:val="ARBody"/>
      </w:pPr>
      <w:r w:rsidRPr="00F45F11">
        <w:t>Good Money is delivered by Good Shepherd Australia New Zealand. It has 5 shop fronts in Dandenong, Collingwood, Craigieburn, Morwell and</w:t>
      </w:r>
      <w:r w:rsidR="008074B3">
        <w:t> </w:t>
      </w:r>
      <w:r w:rsidRPr="00F45F11">
        <w:t>Geelong. It also has phone and digital services. In 2025–26, Good Money received 17,882 enquiries and approved 2,415 no-interest loans.</w:t>
      </w:r>
    </w:p>
    <w:p w14:paraId="3187ECF0" w14:textId="696019E3" w:rsidR="0082791A" w:rsidRPr="00F45F11" w:rsidRDefault="0082791A" w:rsidP="000C76D7">
      <w:pPr>
        <w:pStyle w:val="ARBody"/>
      </w:pPr>
      <w:r w:rsidRPr="00F45F11">
        <w:t xml:space="preserve">Clients can use loans to purchase essential goods and services and for other health and education-related expenses. The </w:t>
      </w:r>
      <w:r w:rsidRPr="00A124D1">
        <w:rPr>
          <w:rStyle w:val="Emphasis"/>
        </w:rPr>
        <w:t>2021–22 State Budget</w:t>
      </w:r>
      <w:r w:rsidRPr="00F45F11">
        <w:t xml:space="preserve"> allocated $14.6 million over 4 years, including $3.1</w:t>
      </w:r>
      <w:r w:rsidR="000C76D7" w:rsidRPr="00F45F11">
        <w:t> </w:t>
      </w:r>
      <w:r w:rsidRPr="00F45F11">
        <w:t xml:space="preserve">million to deliver phone and digital services, and $3.8 million </w:t>
      </w:r>
      <w:r w:rsidR="004F7228" w:rsidRPr="00F45F11">
        <w:t>a year</w:t>
      </w:r>
      <w:r w:rsidRPr="00F45F11">
        <w:t xml:space="preserve"> from 2025–26</w:t>
      </w:r>
      <w:r w:rsidRPr="00F45F11" w:rsidDel="004C35FF">
        <w:t>.</w:t>
      </w:r>
    </w:p>
    <w:p w14:paraId="795DDBB7" w14:textId="77777777" w:rsidR="003A45A0" w:rsidRDefault="0082791A" w:rsidP="000C76D7">
      <w:pPr>
        <w:pStyle w:val="ARBody"/>
      </w:pPr>
      <w:r w:rsidRPr="00F45F11">
        <w:t xml:space="preserve">The </w:t>
      </w:r>
      <w:r w:rsidRPr="00A124D1">
        <w:rPr>
          <w:rStyle w:val="Emphasis"/>
        </w:rPr>
        <w:t>2025–26 State Budget</w:t>
      </w:r>
      <w:r w:rsidRPr="00F45F11">
        <w:t xml:space="preserve"> </w:t>
      </w:r>
      <w:r w:rsidR="00845A14">
        <w:t>allocated</w:t>
      </w:r>
      <w:r w:rsidRPr="00F45F11">
        <w:t xml:space="preserve"> an additional $5 million over 4 years to expand the program, including the new Good Money shop front in Craigieburn which opened in February 2026, expansion of the community providers network, </w:t>
      </w:r>
      <w:r w:rsidRPr="005C4E47">
        <w:rPr>
          <w:spacing w:val="-4"/>
        </w:rPr>
        <w:t>and</w:t>
      </w:r>
      <w:r w:rsidR="000C76D7" w:rsidRPr="005C4E47">
        <w:rPr>
          <w:spacing w:val="-4"/>
        </w:rPr>
        <w:t> </w:t>
      </w:r>
      <w:r w:rsidRPr="005C4E47">
        <w:rPr>
          <w:spacing w:val="-4"/>
        </w:rPr>
        <w:t>promotion of the no-interest loans digital</w:t>
      </w:r>
      <w:r w:rsidR="000C76D7" w:rsidRPr="005C4E47">
        <w:rPr>
          <w:spacing w:val="-4"/>
        </w:rPr>
        <w:t> </w:t>
      </w:r>
      <w:r w:rsidRPr="005C4E47">
        <w:rPr>
          <w:spacing w:val="-4"/>
        </w:rPr>
        <w:t>platform</w:t>
      </w:r>
      <w:r w:rsidRPr="00F45F11">
        <w:t>.</w:t>
      </w:r>
    </w:p>
    <w:p w14:paraId="0948D3CD" w14:textId="599F9C28" w:rsidR="0082791A" w:rsidRPr="00F45F11" w:rsidRDefault="0082791A" w:rsidP="000C76D7">
      <w:pPr>
        <w:pStyle w:val="ARBody"/>
      </w:pPr>
      <w:r w:rsidRPr="00F45F11">
        <w:t>In 2025–26, the department also provided $500,000 to Good Shepherd to increase accessibility of no-interest loans across Victoria. It</w:t>
      </w:r>
      <w:r w:rsidR="000C76D7" w:rsidRPr="00F45F11">
        <w:t> </w:t>
      </w:r>
      <w:r w:rsidRPr="00F45F11">
        <w:t>does this via a network of community providers. During this period, the community providers’ network received 5,458 enquiries and approved 4,359 no-interest loans (10% above</w:t>
      </w:r>
      <w:r w:rsidR="00A62EED">
        <w:t> </w:t>
      </w:r>
      <w:r w:rsidRPr="00F45F11">
        <w:t>target).</w:t>
      </w:r>
    </w:p>
    <w:p w14:paraId="49F20888" w14:textId="37D7D25B" w:rsidR="0082791A" w:rsidRPr="00F45F11" w:rsidRDefault="0082791A" w:rsidP="000C76D7">
      <w:pPr>
        <w:pStyle w:val="Heading5"/>
      </w:pPr>
      <w:r w:rsidRPr="00F45F11">
        <w:t>Celebrating older Victorians through the</w:t>
      </w:r>
      <w:r w:rsidR="001A1EC5" w:rsidRPr="00F45F11">
        <w:t> </w:t>
      </w:r>
      <w:r w:rsidRPr="00F45F11">
        <w:t>43rd Victorian Seniors Festival</w:t>
      </w:r>
    </w:p>
    <w:p w14:paraId="653E37EC" w14:textId="77777777" w:rsidR="0082791A" w:rsidRPr="00F45F11" w:rsidRDefault="0082791A" w:rsidP="000C76D7">
      <w:pPr>
        <w:pStyle w:val="ARBody"/>
      </w:pPr>
      <w:r w:rsidRPr="00F45F11">
        <w:t xml:space="preserve">In 2025–26, the department hosted the 43rd Victorian Seniors Festival. Across October 2025, 163,900 people attended over 4,700 free or low-cost events across the state. The festival included events hosted by the department, community organisations and local councils. </w:t>
      </w:r>
    </w:p>
    <w:p w14:paraId="1E8EE62A" w14:textId="73359AA2" w:rsidR="0082791A" w:rsidRPr="00F45F11" w:rsidRDefault="0082791A" w:rsidP="000C76D7">
      <w:pPr>
        <w:pStyle w:val="ARBody"/>
      </w:pPr>
      <w:r w:rsidRPr="00F45F11">
        <w:t xml:space="preserve">Local councils offered or supported 3,692 events, representing 78.5% of all events offered. These were attended by 114,962 people. The festival opened on Celebration Day at Federation Square with more than 17,000 people in attendance. </w:t>
      </w:r>
      <w:proofErr w:type="gramStart"/>
      <w:r w:rsidRPr="00F45F11">
        <w:t>Seniors</w:t>
      </w:r>
      <w:proofErr w:type="gramEnd"/>
      <w:r w:rsidRPr="00F45F11">
        <w:t xml:space="preserve"> Card holders received 8 days of free public transport during the festival.</w:t>
      </w:r>
      <w:r w:rsidR="00580B60">
        <w:t xml:space="preserve"> </w:t>
      </w:r>
      <w:r w:rsidRPr="00F45F11">
        <w:t>As part of bringing the festival to regional Victoria, 26 country concerts were held attended by 7,633 people. The Victorian Seniors Festival Aged Care Tour also delivered magic, music and entertainment to more than 1,548 senior Victorians living in 36</w:t>
      </w:r>
      <w:r w:rsidR="000C76D7" w:rsidRPr="00F45F11">
        <w:t> </w:t>
      </w:r>
      <w:r w:rsidRPr="00F45F11">
        <w:t>aged care facilities across the state.</w:t>
      </w:r>
    </w:p>
    <w:p w14:paraId="6B209BCB" w14:textId="75FA0CDD" w:rsidR="0082791A" w:rsidRPr="00F45F11" w:rsidRDefault="0082791A" w:rsidP="000C76D7">
      <w:pPr>
        <w:pStyle w:val="ARBody"/>
      </w:pPr>
      <w:r w:rsidRPr="00F45F11">
        <w:t>The 2025 Victorian Senior of the Year Awards recognised 17 senior Victorians at an event hosted by Her Excellency the Honourable Professor Margaret Gardner AC, Governor of Victoria. The</w:t>
      </w:r>
      <w:r w:rsidR="000C76D7" w:rsidRPr="00F45F11">
        <w:t> </w:t>
      </w:r>
      <w:r w:rsidRPr="00F45F11">
        <w:t>awards recognise and celebrate older Victorians who contribute to their community through</w:t>
      </w:r>
      <w:r w:rsidR="000C76D7" w:rsidRPr="00F45F11">
        <w:t> </w:t>
      </w:r>
      <w:r w:rsidRPr="00F45F11">
        <w:t>volunteering.</w:t>
      </w:r>
    </w:p>
    <w:p w14:paraId="5D059FF9" w14:textId="77777777" w:rsidR="0082791A" w:rsidRPr="00F45F11" w:rsidRDefault="0082791A" w:rsidP="000C76D7">
      <w:pPr>
        <w:pStyle w:val="Heading5"/>
      </w:pPr>
      <w:r w:rsidRPr="00F45F11">
        <w:t>Supporting more older people to save through the Victorian Seniors Card</w:t>
      </w:r>
    </w:p>
    <w:p w14:paraId="3BD6FC95" w14:textId="3E13B662" w:rsidR="0082791A" w:rsidRPr="00F45F11" w:rsidRDefault="0082791A" w:rsidP="000C76D7">
      <w:pPr>
        <w:pStyle w:val="ARBody"/>
      </w:pPr>
      <w:r w:rsidRPr="00F45F11">
        <w:t>In 2025–26, the Victorian Seniors Card program reached a significant milestone, exceeding 1.5</w:t>
      </w:r>
      <w:r w:rsidR="00620251" w:rsidRPr="00F45F11">
        <w:t> </w:t>
      </w:r>
      <w:r w:rsidRPr="00F45F11">
        <w:t>million Seniors Card holders across the state.</w:t>
      </w:r>
    </w:p>
    <w:p w14:paraId="69F4ED8F" w14:textId="77777777" w:rsidR="003A45A0" w:rsidRDefault="0082791A" w:rsidP="000C76D7">
      <w:pPr>
        <w:pStyle w:val="ARBody"/>
      </w:pPr>
      <w:r w:rsidRPr="00F45F11">
        <w:t>The department worked in partnership with the Department of Transport and Planning, to deliver more savings for older people with the expansion of</w:t>
      </w:r>
      <w:r w:rsidR="00412518" w:rsidRPr="00F45F11">
        <w:t> </w:t>
      </w:r>
      <w:r w:rsidRPr="00F45F11">
        <w:t xml:space="preserve">free weekend travel for all Seniors myki holders from 1 January 2026. </w:t>
      </w:r>
    </w:p>
    <w:p w14:paraId="66965B3D" w14:textId="77777777" w:rsidR="0082791A" w:rsidRPr="00F45F11" w:rsidRDefault="0082791A" w:rsidP="000C76D7">
      <w:pPr>
        <w:pStyle w:val="Heading5"/>
      </w:pPr>
      <w:r w:rsidRPr="00F45F11">
        <w:t xml:space="preserve">Supporting unpaid primary carers through the Victorian Carer Card </w:t>
      </w:r>
    </w:p>
    <w:p w14:paraId="31372773" w14:textId="167D3021" w:rsidR="0082791A" w:rsidRPr="00F45F11" w:rsidRDefault="0082791A" w:rsidP="000C76D7">
      <w:pPr>
        <w:pStyle w:val="ARBody"/>
      </w:pPr>
      <w:r w:rsidRPr="00F45F11">
        <w:t>The department launched changes to proof of eligibility requirements to make it easier for all carers, particularly young, foster and kinship carers to apply for the Victorian Carer Card. School staff are now authorised to confirm a young carer’s status. In addition, statutory declarations and letters from foster agencies can now be used to confirm a</w:t>
      </w:r>
      <w:r w:rsidR="008074B3">
        <w:t> </w:t>
      </w:r>
      <w:r w:rsidRPr="00F45F11">
        <w:t xml:space="preserve">person's unpaid primary carer status. Since the introduction of these changes, cardholder numbers have increased from 29,000 to over 33,000 unpaid primary carers benefiting from the card. </w:t>
      </w:r>
    </w:p>
    <w:p w14:paraId="2BF13D05" w14:textId="1548AA37" w:rsidR="0082791A" w:rsidRPr="00F45F11" w:rsidRDefault="0082791A" w:rsidP="000C76D7">
      <w:pPr>
        <w:pStyle w:val="ARBody"/>
      </w:pPr>
      <w:r w:rsidRPr="00F45F11">
        <w:t>As part of these eligibility changes, the department also refreshed the Victorian Carer Card website to make it easier for carers to find information on who is eligible, how to apply, discounts and benefits, and support and services available to them.</w:t>
      </w:r>
    </w:p>
    <w:p w14:paraId="60BEC547" w14:textId="6F9D8B22" w:rsidR="0082791A" w:rsidRPr="00F45F11" w:rsidRDefault="0082791A" w:rsidP="000C76D7">
      <w:pPr>
        <w:pStyle w:val="ARBody"/>
      </w:pPr>
      <w:r w:rsidRPr="00F45F11">
        <w:t>In addition, the department worked in partnership with the Department of Transport and Planning, to</w:t>
      </w:r>
      <w:r w:rsidR="00412518" w:rsidRPr="00F45F11">
        <w:t> </w:t>
      </w:r>
      <w:r w:rsidRPr="00F45F11">
        <w:t>deliver more savings for carers with the expansion of free weekend public transport to all Victorian Carer Card holders from 1 January 2026.</w:t>
      </w:r>
    </w:p>
    <w:p w14:paraId="11A3142E" w14:textId="467C46BC" w:rsidR="0082791A" w:rsidRPr="00F45F11" w:rsidRDefault="0082791A" w:rsidP="000C76D7">
      <w:pPr>
        <w:pStyle w:val="Heading5"/>
      </w:pPr>
      <w:bookmarkStart w:id="73" w:name="_Toc173832707"/>
      <w:r w:rsidRPr="00F45F11">
        <w:t xml:space="preserve">Supporting unpaid carers through the </w:t>
      </w:r>
      <w:r w:rsidRPr="00067149">
        <w:rPr>
          <w:i/>
          <w:iCs w:val="0"/>
        </w:rPr>
        <w:t xml:space="preserve">Victorian </w:t>
      </w:r>
      <w:bookmarkEnd w:id="73"/>
      <w:r w:rsidRPr="00067149">
        <w:rPr>
          <w:i/>
          <w:iCs w:val="0"/>
        </w:rPr>
        <w:t>Carer Strategy</w:t>
      </w:r>
    </w:p>
    <w:p w14:paraId="3849E4F4" w14:textId="349FE3F7" w:rsidR="0082791A" w:rsidRPr="00F45F11" w:rsidRDefault="0082791A" w:rsidP="000C76D7">
      <w:pPr>
        <w:pStyle w:val="ARBody"/>
        <w:rPr>
          <w:i/>
          <w:iCs/>
        </w:rPr>
      </w:pPr>
      <w:r w:rsidRPr="00F45F11">
        <w:t xml:space="preserve">In 2025–26, the department released the </w:t>
      </w:r>
      <w:r w:rsidRPr="00A124D1">
        <w:rPr>
          <w:rStyle w:val="Emphasis"/>
        </w:rPr>
        <w:t xml:space="preserve">Victorian </w:t>
      </w:r>
      <w:r w:rsidR="00BD7A88" w:rsidRPr="00A124D1">
        <w:rPr>
          <w:rStyle w:val="Emphasis"/>
        </w:rPr>
        <w:t>C</w:t>
      </w:r>
      <w:r w:rsidRPr="00A124D1">
        <w:rPr>
          <w:rStyle w:val="Emphasis"/>
        </w:rPr>
        <w:t xml:space="preserve">arer </w:t>
      </w:r>
      <w:r w:rsidR="00BD7A88" w:rsidRPr="00A124D1">
        <w:rPr>
          <w:rStyle w:val="Emphasis"/>
        </w:rPr>
        <w:t>S</w:t>
      </w:r>
      <w:r w:rsidRPr="00A124D1">
        <w:rPr>
          <w:rStyle w:val="Emphasis"/>
        </w:rPr>
        <w:t>trategy 2025</w:t>
      </w:r>
      <w:r w:rsidR="00F0005F" w:rsidRPr="00A124D1">
        <w:rPr>
          <w:rStyle w:val="Emphasis"/>
        </w:rPr>
        <w:t>–</w:t>
      </w:r>
      <w:r w:rsidRPr="00A124D1">
        <w:rPr>
          <w:rStyle w:val="Emphasis"/>
        </w:rPr>
        <w:t xml:space="preserve">2035. </w:t>
      </w:r>
      <w:r w:rsidRPr="00F45F11">
        <w:t>The updated strategy</w:t>
      </w:r>
      <w:r w:rsidRPr="00F45F11">
        <w:rPr>
          <w:i/>
          <w:iCs/>
        </w:rPr>
        <w:t xml:space="preserve"> </w:t>
      </w:r>
      <w:r w:rsidRPr="00F45F11">
        <w:t xml:space="preserve">focuses on </w:t>
      </w:r>
      <w:r w:rsidR="00267485" w:rsidRPr="00F45F11">
        <w:t xml:space="preserve">4 </w:t>
      </w:r>
      <w:r w:rsidRPr="00F45F11">
        <w:t>key areas to help guide how we support carers:</w:t>
      </w:r>
      <w:r w:rsidRPr="00F45F11">
        <w:rPr>
          <w:i/>
          <w:iCs/>
        </w:rPr>
        <w:t xml:space="preserve"> </w:t>
      </w:r>
    </w:p>
    <w:p w14:paraId="05E13FFB" w14:textId="1FB6C6F1" w:rsidR="0082791A" w:rsidRPr="008A142C" w:rsidRDefault="0082791A" w:rsidP="008A142C">
      <w:pPr>
        <w:pStyle w:val="ARBullet1"/>
      </w:pPr>
      <w:r w:rsidRPr="008A142C">
        <w:t>awareness, recognition and respect</w:t>
      </w:r>
    </w:p>
    <w:p w14:paraId="2D6043C5" w14:textId="4A65635E" w:rsidR="0082791A" w:rsidRPr="008A142C" w:rsidRDefault="0082791A" w:rsidP="008A142C">
      <w:pPr>
        <w:pStyle w:val="ARBullet1"/>
      </w:pPr>
      <w:r w:rsidRPr="008A142C">
        <w:t>quality services in the right place, at the right</w:t>
      </w:r>
      <w:r w:rsidR="000C76D7" w:rsidRPr="008A142C">
        <w:t> </w:t>
      </w:r>
      <w:r w:rsidRPr="008A142C">
        <w:t>time</w:t>
      </w:r>
    </w:p>
    <w:p w14:paraId="6114B042" w14:textId="77777777" w:rsidR="0082791A" w:rsidRPr="008A142C" w:rsidRDefault="0082791A" w:rsidP="008A142C">
      <w:pPr>
        <w:pStyle w:val="ARBullet1"/>
      </w:pPr>
      <w:r w:rsidRPr="008A142C">
        <w:t>participation, connection and opportunity</w:t>
      </w:r>
    </w:p>
    <w:p w14:paraId="71BAD00E" w14:textId="41FABF8D" w:rsidR="0082791A" w:rsidRPr="00F45F11" w:rsidRDefault="0082791A" w:rsidP="008A142C">
      <w:pPr>
        <w:pStyle w:val="ARBullet1"/>
      </w:pPr>
      <w:r w:rsidRPr="008A142C">
        <w:t>recognise and support First Nations care</w:t>
      </w:r>
      <w:r w:rsidR="000C76D7" w:rsidRPr="008A142C">
        <w:t> </w:t>
      </w:r>
      <w:r w:rsidRPr="008A142C">
        <w:t>relationships</w:t>
      </w:r>
      <w:r w:rsidRPr="00F45F11">
        <w:t>.</w:t>
      </w:r>
    </w:p>
    <w:p w14:paraId="26CCA17F" w14:textId="30DEAF1B" w:rsidR="0082791A" w:rsidRPr="00F45F11" w:rsidRDefault="0082791A" w:rsidP="000C76D7">
      <w:pPr>
        <w:pStyle w:val="ARBodyafterbullets"/>
      </w:pPr>
      <w:r w:rsidRPr="00F45F11">
        <w:t>The goal of the whole</w:t>
      </w:r>
      <w:r w:rsidR="00267485" w:rsidRPr="00F45F11">
        <w:t>-</w:t>
      </w:r>
      <w:r w:rsidRPr="00F45F11">
        <w:t>of</w:t>
      </w:r>
      <w:r w:rsidR="00267485" w:rsidRPr="00F45F11">
        <w:t>-</w:t>
      </w:r>
      <w:r w:rsidRPr="00F45F11">
        <w:t>government strategy is</w:t>
      </w:r>
      <w:r w:rsidR="00A94E77">
        <w:t> </w:t>
      </w:r>
      <w:r w:rsidRPr="00F45F11">
        <w:t>to</w:t>
      </w:r>
      <w:r w:rsidR="00412518" w:rsidRPr="00F45F11">
        <w:t> </w:t>
      </w:r>
      <w:r w:rsidRPr="00F45F11">
        <w:t>improve carer health and wellbeing.</w:t>
      </w:r>
    </w:p>
    <w:p w14:paraId="16A12C5B" w14:textId="77777777" w:rsidR="003A45A0" w:rsidRDefault="0082791A" w:rsidP="000C76D7">
      <w:pPr>
        <w:pStyle w:val="ARBody"/>
      </w:pPr>
      <w:r w:rsidRPr="00F45F11">
        <w:t>The department continued to provide Carers Victoria with $2.5 million annually. This peak body supports carers across the state. It provides access information, advocacy and help with navigating services. Carers Victoria also delivers education and training for the sector and provides advice to government on matters of importance for Victoria’s carers.</w:t>
      </w:r>
    </w:p>
    <w:p w14:paraId="591EF537" w14:textId="402F5B9A" w:rsidR="0082791A" w:rsidRPr="00F45F11" w:rsidRDefault="0082791A" w:rsidP="000C76D7">
      <w:pPr>
        <w:pStyle w:val="ARBody"/>
      </w:pPr>
      <w:r w:rsidRPr="00F45F11">
        <w:t>The department also funded Carers Victoria and the Victorian Aboriginal Community</w:t>
      </w:r>
      <w:r w:rsidR="00267485" w:rsidRPr="00F45F11">
        <w:t>-</w:t>
      </w:r>
      <w:r w:rsidRPr="00F45F11">
        <w:t xml:space="preserve">Controlled Health Organisation (VACCHO) $760,000 to deliver another round of the Connecting Carers in their Community grants in 2025–26. A total of 34 organisations are delivering projects helping carers to access local support and create valuable social networks. This includes supporting 7 </w:t>
      </w:r>
      <w:proofErr w:type="gramStart"/>
      <w:r w:rsidRPr="00F45F11">
        <w:t>First</w:t>
      </w:r>
      <w:r w:rsidR="00267485" w:rsidRPr="00F45F11">
        <w:t>-</w:t>
      </w:r>
      <w:r w:rsidRPr="00F45F11">
        <w:t>Peoples</w:t>
      </w:r>
      <w:proofErr w:type="gramEnd"/>
      <w:r w:rsidR="00267485" w:rsidRPr="00F45F11">
        <w:t>-</w:t>
      </w:r>
      <w:r w:rsidRPr="00F45F11">
        <w:t>led carer groups and yarning circles and projects supporting carers from diverse backgrounds, First Nations communities and those living in rural</w:t>
      </w:r>
      <w:r w:rsidR="008074B3">
        <w:t> </w:t>
      </w:r>
      <w:r w:rsidRPr="00F45F11">
        <w:t>and regional areas.</w:t>
      </w:r>
    </w:p>
    <w:p w14:paraId="13B22EDA" w14:textId="77777777" w:rsidR="0082791A" w:rsidRPr="00F45F11" w:rsidRDefault="0082791A" w:rsidP="000C76D7">
      <w:pPr>
        <w:pStyle w:val="Heading5"/>
      </w:pPr>
      <w:bookmarkStart w:id="74" w:name="_Toc173832708"/>
      <w:r w:rsidRPr="00F45F11">
        <w:t>Delivering support and respite for carers</w:t>
      </w:r>
      <w:bookmarkEnd w:id="74"/>
      <w:r w:rsidRPr="00F45F11">
        <w:t xml:space="preserve"> </w:t>
      </w:r>
    </w:p>
    <w:p w14:paraId="35BC1BF1" w14:textId="77000AE6" w:rsidR="0082791A" w:rsidRPr="00F45F11" w:rsidRDefault="0082791A" w:rsidP="000C76D7">
      <w:pPr>
        <w:pStyle w:val="ARBody"/>
      </w:pPr>
      <w:r w:rsidRPr="00F45F11">
        <w:t>The department continued to administer the Victorian Support for Carers Program, with $22.4 million plus indexation invested annually.</w:t>
      </w:r>
    </w:p>
    <w:p w14:paraId="0C88AF9D" w14:textId="3AD119FB" w:rsidR="0082791A" w:rsidRPr="00F45F11" w:rsidRDefault="0082791A" w:rsidP="000C76D7">
      <w:pPr>
        <w:pStyle w:val="ARBody"/>
      </w:pPr>
      <w:r w:rsidRPr="00F45F11">
        <w:t>The program operates through 58 providers across the state. It offers one-to-one support, counselling, support groups, information and respite options. These are tailored to the needs of Victoria’s unpaid</w:t>
      </w:r>
      <w:r w:rsidR="00412518" w:rsidRPr="00F45F11">
        <w:t> </w:t>
      </w:r>
      <w:r w:rsidRPr="00F45F11" w:rsidDel="00320C96">
        <w:t>carers</w:t>
      </w:r>
      <w:r w:rsidRPr="00F45F11">
        <w:t>.</w:t>
      </w:r>
    </w:p>
    <w:p w14:paraId="72C5E350" w14:textId="7D2BF0C8" w:rsidR="0082791A" w:rsidRPr="00F45F11" w:rsidRDefault="0082791A" w:rsidP="000C76D7">
      <w:pPr>
        <w:pStyle w:val="ARBody"/>
      </w:pPr>
      <w:r w:rsidRPr="00F45F11">
        <w:t xml:space="preserve">The </w:t>
      </w:r>
      <w:r w:rsidRPr="00A124D1">
        <w:rPr>
          <w:rStyle w:val="Emphasis"/>
        </w:rPr>
        <w:t>2022–23 State Budget</w:t>
      </w:r>
      <w:r w:rsidRPr="00F45F11">
        <w:t xml:space="preserve"> invested $38 million over 4 years to provide additional respite for carers. This</w:t>
      </w:r>
      <w:r w:rsidRPr="00F45F11" w:rsidDel="00FE4BC9">
        <w:t xml:space="preserve"> </w:t>
      </w:r>
      <w:r w:rsidRPr="00F45F11">
        <w:t>enables 5,000 more Victorian carers to access an additional 100,000 hours of respite each year to</w:t>
      </w:r>
      <w:r w:rsidR="008074B3">
        <w:t> </w:t>
      </w:r>
      <w:r w:rsidRPr="00F45F11">
        <w:t>2026–27. It includes carers in regional and rural Victoria and carers from diverse communities.</w:t>
      </w:r>
    </w:p>
    <w:p w14:paraId="2CAE66A1" w14:textId="77777777" w:rsidR="0082791A" w:rsidRPr="00F45F11" w:rsidRDefault="0082791A" w:rsidP="000C76D7">
      <w:pPr>
        <w:pStyle w:val="ARBody"/>
      </w:pPr>
      <w:r w:rsidRPr="00F45F11">
        <w:t>In 2025–26, the combined Support for Carers Program and additional respite funding exceeded targets. The program supported more than 30,000 carers through more than 400,000 hours of carer respite and support. This includes through flexible online engagement.</w:t>
      </w:r>
    </w:p>
    <w:p w14:paraId="39A3FDFD" w14:textId="77777777" w:rsidR="0082791A" w:rsidRPr="00F45F11" w:rsidRDefault="0082791A" w:rsidP="000C76D7">
      <w:pPr>
        <w:pStyle w:val="Heading5"/>
      </w:pPr>
      <w:bookmarkStart w:id="75" w:name="_Toc173832710"/>
      <w:r w:rsidRPr="00F45F11">
        <w:t xml:space="preserve">Continuing elder abuse initiatives to address family violence for older </w:t>
      </w:r>
      <w:bookmarkEnd w:id="75"/>
      <w:r w:rsidRPr="00F45F11">
        <w:t>people</w:t>
      </w:r>
    </w:p>
    <w:p w14:paraId="6353A208" w14:textId="77777777" w:rsidR="0082791A" w:rsidRPr="00F45F11" w:rsidRDefault="0082791A" w:rsidP="000C76D7">
      <w:pPr>
        <w:pStyle w:val="ARBody"/>
      </w:pPr>
      <w:r w:rsidRPr="00F45F11">
        <w:t>In 2025–26, the department continued to deliver initiatives that address elder abuse. This included awareness raising, primary prevention, early intervention and response.</w:t>
      </w:r>
    </w:p>
    <w:p w14:paraId="1A7C05EB" w14:textId="77777777" w:rsidR="0082791A" w:rsidRPr="00F45F11" w:rsidRDefault="0082791A" w:rsidP="000C76D7">
      <w:pPr>
        <w:pStyle w:val="ARBody"/>
      </w:pPr>
      <w:r w:rsidRPr="00F45F11">
        <w:t>These initiatives included:</w:t>
      </w:r>
    </w:p>
    <w:p w14:paraId="22FBC943" w14:textId="77777777" w:rsidR="0082791A" w:rsidRPr="00F45F11" w:rsidRDefault="0082791A" w:rsidP="000C76D7">
      <w:pPr>
        <w:pStyle w:val="ARBullet1"/>
      </w:pPr>
      <w:r w:rsidRPr="00F45F11">
        <w:t>supporting a statewide elder abuse helpline. This provides information, referrals, legal casework, education and advocacy</w:t>
      </w:r>
    </w:p>
    <w:p w14:paraId="0B6A8C37" w14:textId="77777777" w:rsidR="003A45A0" w:rsidRDefault="0082791A" w:rsidP="000C76D7">
      <w:pPr>
        <w:pStyle w:val="ARBullet1"/>
      </w:pPr>
      <w:r w:rsidRPr="00F45F11">
        <w:t>Elder Abuse Prevention Networks. These deliver local action to raise awareness and stop abuse from occurring, using a primary prevention approach. This includes addressing ageism and gender inequality for older women</w:t>
      </w:r>
    </w:p>
    <w:p w14:paraId="264D49AF" w14:textId="57AF0CA5" w:rsidR="0082791A" w:rsidRPr="00F45F11" w:rsidRDefault="0082791A" w:rsidP="000C76D7">
      <w:pPr>
        <w:pStyle w:val="ARBullet1"/>
      </w:pPr>
      <w:r w:rsidRPr="00F45F11">
        <w:t>a counselling and mediation service interfacing with select The Orange Door locations. The service provides therapeutic options for older people seeking assistance</w:t>
      </w:r>
    </w:p>
    <w:p w14:paraId="7E108321" w14:textId="77777777" w:rsidR="0082791A" w:rsidRPr="00F45F11" w:rsidRDefault="0082791A" w:rsidP="000C76D7">
      <w:pPr>
        <w:pStyle w:val="ARBullet1"/>
      </w:pPr>
      <w:r w:rsidRPr="00F45F11">
        <w:t>a targeted project with ethnic communities. The project raises awareness of elder abuse and how to access support services</w:t>
      </w:r>
    </w:p>
    <w:p w14:paraId="5A8390E8" w14:textId="77777777" w:rsidR="0082791A" w:rsidRPr="00F45F11" w:rsidRDefault="0082791A" w:rsidP="000C76D7">
      <w:pPr>
        <w:pStyle w:val="ARBullet1"/>
      </w:pPr>
      <w:r w:rsidRPr="00F45F11">
        <w:t>an Elder Abuse Learning Hub for professionals working with older people. This helps professionals to understand, identify and respond to elder abuse.</w:t>
      </w:r>
    </w:p>
    <w:p w14:paraId="045B014E" w14:textId="54CBFAD3" w:rsidR="0082791A" w:rsidRPr="00F45F11" w:rsidRDefault="0082791A" w:rsidP="00412518">
      <w:pPr>
        <w:pStyle w:val="ARBodyafterbullets"/>
      </w:pPr>
      <w:r w:rsidRPr="00F45F11">
        <w:t>In 2025–26, Victoria’s first dedicated primary prevention resource for professionals responding to</w:t>
      </w:r>
      <w:r w:rsidR="00412518" w:rsidRPr="00F45F11">
        <w:t> </w:t>
      </w:r>
      <w:r w:rsidRPr="00F45F11">
        <w:t>elder abuse was released</w:t>
      </w:r>
      <w:r w:rsidRPr="00A124D1">
        <w:rPr>
          <w:rStyle w:val="Emphasis"/>
        </w:rPr>
        <w:t xml:space="preserve">, Respecting and valuing older people: Victoria’s </w:t>
      </w:r>
      <w:r w:rsidR="00C27900" w:rsidRPr="00A124D1">
        <w:rPr>
          <w:rStyle w:val="Emphasis"/>
        </w:rPr>
        <w:t>p</w:t>
      </w:r>
      <w:r w:rsidRPr="00A124D1">
        <w:rPr>
          <w:rStyle w:val="Emphasis"/>
        </w:rPr>
        <w:t xml:space="preserve">rimary </w:t>
      </w:r>
      <w:r w:rsidR="00C27900" w:rsidRPr="00A124D1">
        <w:rPr>
          <w:rStyle w:val="Emphasis"/>
        </w:rPr>
        <w:t>p</w:t>
      </w:r>
      <w:r w:rsidRPr="00A124D1">
        <w:rPr>
          <w:rStyle w:val="Emphasis"/>
        </w:rPr>
        <w:t xml:space="preserve">revention of </w:t>
      </w:r>
      <w:r w:rsidR="00C27900" w:rsidRPr="00A124D1">
        <w:rPr>
          <w:rStyle w:val="Emphasis"/>
        </w:rPr>
        <w:t>e</w:t>
      </w:r>
      <w:r w:rsidRPr="00A124D1">
        <w:rPr>
          <w:rStyle w:val="Emphasis"/>
        </w:rPr>
        <w:t xml:space="preserve">lder </w:t>
      </w:r>
      <w:r w:rsidR="00C27900" w:rsidRPr="00A124D1">
        <w:rPr>
          <w:rStyle w:val="Emphasis"/>
        </w:rPr>
        <w:t>a</w:t>
      </w:r>
      <w:r w:rsidRPr="00A124D1">
        <w:rPr>
          <w:rStyle w:val="Emphasis"/>
        </w:rPr>
        <w:t xml:space="preserve">buse </w:t>
      </w:r>
      <w:r w:rsidR="00C27900" w:rsidRPr="00A124D1">
        <w:rPr>
          <w:rStyle w:val="Emphasis"/>
        </w:rPr>
        <w:t>f</w:t>
      </w:r>
      <w:r w:rsidRPr="00A124D1">
        <w:rPr>
          <w:rStyle w:val="Emphasis"/>
        </w:rPr>
        <w:t xml:space="preserve">ramework. </w:t>
      </w:r>
      <w:r w:rsidRPr="00F45F11">
        <w:t>The Elder Abuse Prevention Networks are embedding the framework into their work to support effective primary prevention action.</w:t>
      </w:r>
    </w:p>
    <w:p w14:paraId="324DCBD4" w14:textId="77777777" w:rsidR="0082791A" w:rsidRPr="00F45F11" w:rsidRDefault="0082791A" w:rsidP="008A142C">
      <w:pPr>
        <w:pStyle w:val="Heading5"/>
      </w:pPr>
      <w:r w:rsidRPr="00F45F11">
        <w:t xml:space="preserve">Senior </w:t>
      </w:r>
      <w:r w:rsidRPr="008A142C">
        <w:t>Victorians</w:t>
      </w:r>
      <w:r w:rsidRPr="00F45F11">
        <w:t xml:space="preserve"> Advisory Committee</w:t>
      </w:r>
    </w:p>
    <w:p w14:paraId="79D94E1C" w14:textId="442AF57B" w:rsidR="0082791A" w:rsidRPr="00280897" w:rsidRDefault="0082791A" w:rsidP="000C76D7">
      <w:pPr>
        <w:pStyle w:val="ARBody"/>
        <w:rPr>
          <w:i/>
        </w:rPr>
      </w:pPr>
      <w:r w:rsidRPr="00F45F11">
        <w:t>The Senior Victorians Advisory Committee provides a voice to the government on the lived experiences of older Victorians. The department works with the committee to inform related government policy and programs. This includes implementing the </w:t>
      </w:r>
      <w:r w:rsidRPr="00A124D1">
        <w:rPr>
          <w:rStyle w:val="Emphasis"/>
        </w:rPr>
        <w:t>Ageing well action plan 2022–2026.</w:t>
      </w:r>
      <w:r w:rsidRPr="00F45F11">
        <w:t xml:space="preserve">The committee comprises 8 community members, including the chairperson, and 4 sector members. Committee members reflect the diversity and </w:t>
      </w:r>
      <w:proofErr w:type="gramStart"/>
      <w:r w:rsidRPr="00F45F11">
        <w:t>lived</w:t>
      </w:r>
      <w:proofErr w:type="gramEnd"/>
      <w:r w:rsidRPr="00F45F11">
        <w:t xml:space="preserve"> experience of older Victorians.</w:t>
      </w:r>
    </w:p>
    <w:p w14:paraId="20968D79" w14:textId="6B7BBB22" w:rsidR="0082791A" w:rsidRPr="00F45F11" w:rsidRDefault="0082791A" w:rsidP="000C76D7">
      <w:pPr>
        <w:pStyle w:val="ARBody"/>
      </w:pPr>
      <w:r w:rsidRPr="00F45F11">
        <w:t>The</w:t>
      </w:r>
      <w:r w:rsidR="00C27900" w:rsidRPr="00F45F11">
        <w:t xml:space="preserve"> </w:t>
      </w:r>
      <w:r w:rsidRPr="00F45F11">
        <w:t>committee</w:t>
      </w:r>
      <w:r w:rsidR="00C27900" w:rsidRPr="00F45F11">
        <w:t xml:space="preserve"> </w:t>
      </w:r>
      <w:r w:rsidRPr="00F45F11">
        <w:t>met 3</w:t>
      </w:r>
      <w:r w:rsidR="00C27900" w:rsidRPr="00F45F11">
        <w:t xml:space="preserve"> </w:t>
      </w:r>
      <w:r w:rsidRPr="00F45F11">
        <w:t>times during 2025–26.</w:t>
      </w:r>
      <w:r w:rsidR="00C27900" w:rsidRPr="00F45F11">
        <w:t xml:space="preserve"> </w:t>
      </w:r>
      <w:r w:rsidRPr="00F45F11">
        <w:t>Matters considered include</w:t>
      </w:r>
      <w:r w:rsidR="00C27900" w:rsidRPr="00F45F11">
        <w:t xml:space="preserve"> </w:t>
      </w:r>
      <w:r w:rsidRPr="00F45F11">
        <w:t>social</w:t>
      </w:r>
      <w:r w:rsidR="00C27900" w:rsidRPr="00F45F11">
        <w:t xml:space="preserve"> </w:t>
      </w:r>
      <w:r w:rsidRPr="00F45F11">
        <w:t>isolation</w:t>
      </w:r>
      <w:r w:rsidR="00C27900" w:rsidRPr="00F45F11">
        <w:t xml:space="preserve"> </w:t>
      </w:r>
      <w:r w:rsidRPr="00F45F11">
        <w:t>and loneliness</w:t>
      </w:r>
      <w:r w:rsidR="00C27900" w:rsidRPr="00F45F11">
        <w:t xml:space="preserve">, </w:t>
      </w:r>
      <w:r w:rsidRPr="00F45F11">
        <w:t>elder abuse</w:t>
      </w:r>
      <w:r w:rsidR="00C27900" w:rsidRPr="00F45F11">
        <w:t>,</w:t>
      </w:r>
      <w:r w:rsidRPr="00F45F11">
        <w:t xml:space="preserve"> support in regional and rural setting</w:t>
      </w:r>
      <w:r w:rsidR="00C27900" w:rsidRPr="00F45F11">
        <w:t xml:space="preserve">s, </w:t>
      </w:r>
      <w:r w:rsidRPr="00F45F11">
        <w:t>aged care and ageing well at home, and</w:t>
      </w:r>
      <w:r w:rsidR="00C27900" w:rsidRPr="00F45F11">
        <w:t xml:space="preserve"> </w:t>
      </w:r>
      <w:r w:rsidRPr="00F45F11">
        <w:t>digital</w:t>
      </w:r>
      <w:r w:rsidR="00C27900" w:rsidRPr="00F45F11">
        <w:t xml:space="preserve"> </w:t>
      </w:r>
      <w:r w:rsidRPr="00F45F11">
        <w:t>literacy.</w:t>
      </w:r>
    </w:p>
    <w:p w14:paraId="4ABE13D4" w14:textId="04C6EEE8" w:rsidR="0082791A" w:rsidRPr="00F45F11" w:rsidRDefault="0082791A" w:rsidP="000C76D7">
      <w:pPr>
        <w:pStyle w:val="ARBody"/>
      </w:pPr>
      <w:r w:rsidRPr="00F45F11">
        <w:t>The committee is appointed for a 3-year term, which will expire at the end of 2027.</w:t>
      </w:r>
    </w:p>
    <w:p w14:paraId="790B80AE" w14:textId="77777777" w:rsidR="0082791A" w:rsidRPr="00F45F11" w:rsidRDefault="0082791A" w:rsidP="008A142C">
      <w:pPr>
        <w:pStyle w:val="Heading5"/>
      </w:pPr>
      <w:r w:rsidRPr="00F45F11">
        <w:t>Delivering Victoria’s gender equality strategy and action plan</w:t>
      </w:r>
    </w:p>
    <w:p w14:paraId="00C86D4D" w14:textId="77777777" w:rsidR="003A45A0" w:rsidRDefault="0082791A" w:rsidP="000C76D7">
      <w:pPr>
        <w:pStyle w:val="ARBody"/>
      </w:pPr>
      <w:r w:rsidRPr="00F45F11">
        <w:t xml:space="preserve">The department continues to drive implementation of </w:t>
      </w:r>
      <w:r w:rsidRPr="00A124D1">
        <w:rPr>
          <w:rStyle w:val="Emphasis"/>
        </w:rPr>
        <w:t>Our equal state: Victoria’s gender equality strategy and action plan 2023–2027</w:t>
      </w:r>
      <w:r w:rsidRPr="00F45F11">
        <w:rPr>
          <w:rStyle w:val="Emphasis"/>
          <w:i w:val="0"/>
          <w:iCs w:val="0"/>
        </w:rPr>
        <w:t xml:space="preserve">. </w:t>
      </w:r>
      <w:r w:rsidRPr="00F45F11">
        <w:t>The</w:t>
      </w:r>
      <w:r w:rsidR="00C27900" w:rsidRPr="00F45F11">
        <w:t xml:space="preserve"> </w:t>
      </w:r>
      <w:r w:rsidRPr="00F45F11">
        <w:t>strategy includes 110 whole-of-government and portfolio-specific actions. These actions embed a shared</w:t>
      </w:r>
      <w:r w:rsidR="00C27900" w:rsidRPr="00F45F11">
        <w:t xml:space="preserve"> </w:t>
      </w:r>
      <w:r w:rsidRPr="00F45F11">
        <w:t>responsibility for gender equality across</w:t>
      </w:r>
      <w:r w:rsidR="008A142C">
        <w:t> </w:t>
      </w:r>
      <w:r w:rsidRPr="00F45F11">
        <w:t>government.</w:t>
      </w:r>
    </w:p>
    <w:p w14:paraId="4E1DCA71" w14:textId="2415DAB9" w:rsidR="0082791A" w:rsidRPr="00F45F11" w:rsidRDefault="0082791A" w:rsidP="000C76D7">
      <w:pPr>
        <w:pStyle w:val="ARBody"/>
      </w:pPr>
      <w:r w:rsidRPr="00F45F11">
        <w:t>A reference group provides strategic advice on the</w:t>
      </w:r>
      <w:r w:rsidR="008A142C">
        <w:t> </w:t>
      </w:r>
      <w:r w:rsidRPr="00F45F11">
        <w:t xml:space="preserve">implementation of </w:t>
      </w:r>
      <w:r w:rsidRPr="00A124D1">
        <w:rPr>
          <w:rStyle w:val="Emphasis"/>
        </w:rPr>
        <w:t>Our equal state</w:t>
      </w:r>
      <w:r w:rsidRPr="00F45F11">
        <w:rPr>
          <w:rStyle w:val="Emphasis"/>
          <w:i w:val="0"/>
          <w:iCs w:val="0"/>
        </w:rPr>
        <w:t xml:space="preserve">. </w:t>
      </w:r>
      <w:r w:rsidRPr="00F45F11">
        <w:t>The group comprises members with gender equality expertise and a deep understanding of intersectionality. The</w:t>
      </w:r>
      <w:r w:rsidR="008A142C">
        <w:t> </w:t>
      </w:r>
      <w:r w:rsidRPr="00F45F11">
        <w:t>group’s experience supports progress gender equality in Victoria.</w:t>
      </w:r>
    </w:p>
    <w:p w14:paraId="67EC32C1" w14:textId="6B8A7247" w:rsidR="0082791A" w:rsidRPr="00F45F11" w:rsidRDefault="0082791A" w:rsidP="000C76D7">
      <w:pPr>
        <w:pStyle w:val="ARBody"/>
      </w:pPr>
      <w:r w:rsidRPr="00F45F11">
        <w:t>In the</w:t>
      </w:r>
      <w:r w:rsidRPr="00F45F11" w:rsidDel="00D67EF0">
        <w:t xml:space="preserve"> </w:t>
      </w:r>
      <w:r w:rsidRPr="00F45F11">
        <w:t>third year of the strategy, we continued to drive significant progress on actions. We</w:t>
      </w:r>
      <w:r w:rsidRPr="00F45F11" w:rsidDel="00D67EF0">
        <w:t xml:space="preserve"> </w:t>
      </w:r>
      <w:r w:rsidRPr="00F45F11">
        <w:t>rolled out the Free Pads and Tampons in Public Places program in every local government area. Across government, the landmark Inquiry into</w:t>
      </w:r>
      <w:r w:rsidR="00A94E77">
        <w:t> </w:t>
      </w:r>
      <w:r w:rsidRPr="00F45F11">
        <w:t>Women</w:t>
      </w:r>
      <w:r w:rsidR="00C27900" w:rsidRPr="00F45F11">
        <w:t>’</w:t>
      </w:r>
      <w:r w:rsidRPr="00F45F11">
        <w:t>s Pain</w:t>
      </w:r>
      <w:r w:rsidR="00823B28">
        <w:t xml:space="preserve"> was released</w:t>
      </w:r>
      <w:r w:rsidRPr="00F45F11">
        <w:t xml:space="preserve"> to ensure women’s pain is recognised, understood and properly treated</w:t>
      </w:r>
      <w:r w:rsidR="00C27900" w:rsidRPr="00F45F11">
        <w:t xml:space="preserve">. </w:t>
      </w:r>
      <w:r w:rsidR="0082212E">
        <w:t>L</w:t>
      </w:r>
      <w:r w:rsidRPr="00F45F11">
        <w:t xml:space="preserve">egislation </w:t>
      </w:r>
      <w:r w:rsidR="0082212E">
        <w:t xml:space="preserve">was also introduced </w:t>
      </w:r>
      <w:r w:rsidR="000E65C9">
        <w:t xml:space="preserve">in Victoria </w:t>
      </w:r>
      <w:r w:rsidRPr="00F45F11">
        <w:t>to restrict the use of</w:t>
      </w:r>
      <w:r w:rsidR="008A142C">
        <w:t> </w:t>
      </w:r>
      <w:r w:rsidRPr="00F45F11">
        <w:t>non-disclosure agreements in workplace sexual harassment cases</w:t>
      </w:r>
      <w:r w:rsidR="00C27900" w:rsidRPr="00F45F11">
        <w:t xml:space="preserve">. This aims </w:t>
      </w:r>
      <w:r w:rsidRPr="00F45F11">
        <w:t>to dismantle the culture of secrecy that allows behaviours to</w:t>
      </w:r>
      <w:r w:rsidR="008A142C">
        <w:t> </w:t>
      </w:r>
      <w:r w:rsidRPr="00F45F11">
        <w:t>continue.</w:t>
      </w:r>
    </w:p>
    <w:p w14:paraId="6B6410EB" w14:textId="730275D8" w:rsidR="0082791A" w:rsidRPr="00A124D1" w:rsidRDefault="0082791A" w:rsidP="000C76D7">
      <w:pPr>
        <w:pStyle w:val="ARBody"/>
        <w:rPr>
          <w:rStyle w:val="Emphasis"/>
        </w:rPr>
      </w:pPr>
      <w:r w:rsidRPr="00F45F11">
        <w:rPr>
          <w:rStyle w:val="Emphasis"/>
          <w:i w:val="0"/>
          <w:iCs w:val="0"/>
        </w:rPr>
        <w:t>Our equal state</w:t>
      </w:r>
      <w:r w:rsidRPr="00F45F11">
        <w:t xml:space="preserve"> ensures government elevates and</w:t>
      </w:r>
      <w:r w:rsidR="00A94E77">
        <w:t> </w:t>
      </w:r>
      <w:r w:rsidRPr="00F45F11">
        <w:t>prioritises gender equality across all portfolios. It</w:t>
      </w:r>
      <w:r w:rsidR="008A142C">
        <w:t> </w:t>
      </w:r>
      <w:r w:rsidRPr="00F45F11">
        <w:t>is</w:t>
      </w:r>
      <w:r w:rsidR="008A142C">
        <w:t> </w:t>
      </w:r>
      <w:r w:rsidRPr="00F45F11">
        <w:t>part of real and meaningful change set out in</w:t>
      </w:r>
      <w:r w:rsidR="008A142C">
        <w:t> </w:t>
      </w:r>
      <w:r w:rsidRPr="00F45F11">
        <w:t xml:space="preserve">the </w:t>
      </w:r>
      <w:r w:rsidRPr="00A124D1">
        <w:rPr>
          <w:rStyle w:val="Emphasis"/>
        </w:rPr>
        <w:t>Gender Equality Act 2020.</w:t>
      </w:r>
    </w:p>
    <w:p w14:paraId="78E9FC68" w14:textId="3F185968" w:rsidR="0082791A" w:rsidRPr="00F45F11" w:rsidRDefault="0082791A" w:rsidP="008A142C">
      <w:pPr>
        <w:pStyle w:val="Heading5"/>
      </w:pPr>
      <w:bookmarkStart w:id="76" w:name="_Toc173832712"/>
      <w:r w:rsidRPr="00F45F11">
        <w:t xml:space="preserve">Advancing gender equality by implementing the </w:t>
      </w:r>
      <w:r w:rsidRPr="00067149">
        <w:rPr>
          <w:i/>
          <w:iCs w:val="0"/>
        </w:rPr>
        <w:t>Gender Equality Act 2020</w:t>
      </w:r>
      <w:bookmarkEnd w:id="76"/>
    </w:p>
    <w:p w14:paraId="41439A8F" w14:textId="77777777" w:rsidR="00412518" w:rsidRPr="00F45F11" w:rsidRDefault="0082791A" w:rsidP="008A142C">
      <w:pPr>
        <w:pStyle w:val="ARBody"/>
      </w:pPr>
      <w:r w:rsidRPr="00F45F11">
        <w:t xml:space="preserve">The </w:t>
      </w:r>
      <w:r w:rsidRPr="00A124D1">
        <w:rPr>
          <w:rStyle w:val="Emphasis"/>
        </w:rPr>
        <w:t>Gender Equality Act 2020</w:t>
      </w:r>
      <w:r w:rsidRPr="00F45F11">
        <w:t xml:space="preserve"> requires Victorian public sector </w:t>
      </w:r>
      <w:r w:rsidRPr="008A142C">
        <w:t>organisations</w:t>
      </w:r>
      <w:r w:rsidRPr="00F45F11">
        <w:t xml:space="preserve">, universities and councils with 50 or more employees to measure and improve gender equality. </w:t>
      </w:r>
    </w:p>
    <w:p w14:paraId="63E32466" w14:textId="7A5F4ED9" w:rsidR="0082791A" w:rsidRPr="00F45F11" w:rsidRDefault="0082791A" w:rsidP="000C76D7">
      <w:pPr>
        <w:pStyle w:val="ARBody"/>
      </w:pPr>
      <w:r w:rsidRPr="00F45F11">
        <w:t>In 2025–26, the Public Sector Gender Equality Commissioner supported duty holders to comply with their obligations under the Act to prepare and submit progress reports and Gender Equality Action Plans based on workplace gender audit data. This</w:t>
      </w:r>
      <w:r w:rsidR="00F673CC" w:rsidRPr="00F45F11">
        <w:t> </w:t>
      </w:r>
      <w:r w:rsidRPr="00F45F11">
        <w:t>includes:</w:t>
      </w:r>
    </w:p>
    <w:p w14:paraId="1BF83EEA" w14:textId="2406DDB3" w:rsidR="0082791A" w:rsidRPr="00F45F11" w:rsidRDefault="0082791A" w:rsidP="000C76D7">
      <w:pPr>
        <w:pStyle w:val="ARBullet1"/>
      </w:pPr>
      <w:r w:rsidRPr="00F45F11">
        <w:t>publishing detailed templates, guides, compliance rubrics and how-to videos to</w:t>
      </w:r>
      <w:r w:rsidR="008074B3">
        <w:t> </w:t>
      </w:r>
      <w:r w:rsidRPr="00F45F11">
        <w:t>support</w:t>
      </w:r>
      <w:r w:rsidR="001A7218" w:rsidRPr="00F45F11">
        <w:t> </w:t>
      </w:r>
      <w:r w:rsidRPr="00F45F11">
        <w:t>duty holders to prepare their reporting</w:t>
      </w:r>
      <w:r w:rsidR="001A7218" w:rsidRPr="00F45F11">
        <w:t> </w:t>
      </w:r>
      <w:r w:rsidRPr="00F45F11">
        <w:t>obligations</w:t>
      </w:r>
    </w:p>
    <w:p w14:paraId="1D925307" w14:textId="1DF8E5D7" w:rsidR="0082791A" w:rsidRPr="00F45F11" w:rsidRDefault="0082791A" w:rsidP="000C76D7">
      <w:pPr>
        <w:pStyle w:val="ARBullet1"/>
      </w:pPr>
      <w:r w:rsidRPr="00F45F11">
        <w:t>issuing compliance feedback to duty holders in</w:t>
      </w:r>
      <w:r w:rsidR="00A94E77">
        <w:t> </w:t>
      </w:r>
      <w:r w:rsidRPr="00F45F11">
        <w:t>relation to their workplace gender audit data</w:t>
      </w:r>
    </w:p>
    <w:p w14:paraId="1187F9FB" w14:textId="77777777" w:rsidR="0082791A" w:rsidRPr="00F45F11" w:rsidRDefault="0082791A" w:rsidP="000C76D7">
      <w:pPr>
        <w:pStyle w:val="ARBullet1"/>
      </w:pPr>
      <w:r w:rsidRPr="00F45F11">
        <w:t>releasing a statement on the Commissioner’s regulatory priorities and compliance approach for assessing these reporting obligations.</w:t>
      </w:r>
    </w:p>
    <w:p w14:paraId="288DBBC5" w14:textId="0653D3BC" w:rsidR="0082791A" w:rsidRPr="00F45F11" w:rsidRDefault="0082791A" w:rsidP="000C76D7">
      <w:pPr>
        <w:pStyle w:val="ARBodyafterbullets"/>
      </w:pPr>
      <w:r w:rsidRPr="00F45F11">
        <w:t>In 2025–26, the Commissioner launched 2 data insights reports on the gender pay gap and workplace sexual harassment</w:t>
      </w:r>
      <w:r w:rsidR="004D3ADB" w:rsidRPr="00F45F11">
        <w:t xml:space="preserve">. </w:t>
      </w:r>
      <w:r w:rsidR="00EE36CF" w:rsidRPr="00F45F11">
        <w:t>The Commissioner also published</w:t>
      </w:r>
      <w:r w:rsidRPr="00F45F11">
        <w:t xml:space="preserve"> new industry-focused guides to support duty holders to undertake gender impact assessments on public-facing policies, programs and services.</w:t>
      </w:r>
    </w:p>
    <w:p w14:paraId="60694723" w14:textId="77777777" w:rsidR="0082791A" w:rsidRPr="00F45F11" w:rsidRDefault="0082791A" w:rsidP="000C76D7">
      <w:pPr>
        <w:pStyle w:val="Heading5"/>
      </w:pPr>
      <w:bookmarkStart w:id="77" w:name="_Toc173832713"/>
      <w:r w:rsidRPr="00F45F11">
        <w:t>Advancing women’s leadership and representation</w:t>
      </w:r>
      <w:bookmarkEnd w:id="77"/>
    </w:p>
    <w:p w14:paraId="41DAE9FF" w14:textId="15899E5C" w:rsidR="0082791A" w:rsidRPr="00F45F11" w:rsidRDefault="0082791A" w:rsidP="000C76D7">
      <w:pPr>
        <w:pStyle w:val="ARBody"/>
      </w:pPr>
      <w:r w:rsidRPr="00F45F11">
        <w:t>In 2025–26, the department continued to fund programs to</w:t>
      </w:r>
      <w:r w:rsidR="00EE36CF" w:rsidRPr="00F45F11">
        <w:t xml:space="preserve"> </w:t>
      </w:r>
      <w:r w:rsidRPr="00F45F11">
        <w:t>increase leadership opportunities for Victorian women. This work also reduces the barriers women often encounter in leadership roles</w:t>
      </w:r>
      <w:r w:rsidR="00772C70">
        <w:t> </w:t>
      </w:r>
      <w:r w:rsidRPr="00F45F11">
        <w:t>in workplaces and the community.</w:t>
      </w:r>
    </w:p>
    <w:p w14:paraId="064FC524" w14:textId="493C6875" w:rsidR="0082791A" w:rsidRPr="00F45F11" w:rsidDel="00BD1EDD" w:rsidRDefault="0082791A" w:rsidP="000C76D7">
      <w:pPr>
        <w:pStyle w:val="ARBody"/>
      </w:pPr>
      <w:r w:rsidRPr="00F45F11">
        <w:t>The department hosted the annual Victorian Honour Roll of Women in September 2025. This</w:t>
      </w:r>
      <w:r w:rsidR="00772C70">
        <w:t> </w:t>
      </w:r>
      <w:r w:rsidRPr="00F45F11">
        <w:t>saw the outstanding contributions of 24 Victorian women elevated and celebrated.</w:t>
      </w:r>
    </w:p>
    <w:p w14:paraId="3D4A9FF7" w14:textId="2E9C4C40" w:rsidR="0082791A" w:rsidRPr="00F45F11" w:rsidRDefault="0082791A" w:rsidP="000C76D7">
      <w:pPr>
        <w:pStyle w:val="ARBody"/>
      </w:pPr>
      <w:r w:rsidRPr="00F45F11">
        <w:t>The department supported delivery of co-designed leadership programs. This included the Women of Colour Executive Leadership Program,</w:t>
      </w:r>
      <w:r w:rsidRPr="00F45F11" w:rsidDel="00B95A4B">
        <w:t xml:space="preserve"> </w:t>
      </w:r>
      <w:r w:rsidRPr="00F45F11">
        <w:t>Elevating Connections Healing Ourselves (ECHO) First Nations Women’s Leadership Program and the Joan Kirner Emerging Leaders Program. We also supported the delivery of a women’s leadership alumni pilot program. This pilot brought together participants from past women’s leadership programs for professional development, networking</w:t>
      </w:r>
      <w:r w:rsidR="008A142C">
        <w:t> </w:t>
      </w:r>
      <w:r w:rsidRPr="00F45F11">
        <w:t>and mentoring to connect and empower</w:t>
      </w:r>
      <w:r w:rsidR="008A142C">
        <w:t> </w:t>
      </w:r>
      <w:r w:rsidRPr="00F45F11">
        <w:t>local</w:t>
      </w:r>
      <w:r w:rsidR="008A142C">
        <w:t> </w:t>
      </w:r>
      <w:r w:rsidRPr="00F45F11">
        <w:t xml:space="preserve">leaders. </w:t>
      </w:r>
    </w:p>
    <w:p w14:paraId="72E78ECF" w14:textId="2C55890B" w:rsidR="0082791A" w:rsidRPr="00F45F11" w:rsidRDefault="0082791A" w:rsidP="000C76D7">
      <w:pPr>
        <w:pStyle w:val="ARBody"/>
      </w:pPr>
      <w:r w:rsidRPr="00F45F11">
        <w:t xml:space="preserve">The department also commissioned 6 new public artworks through the second round of the Victorian Women’s Public Art Program. The program aims to address the underrepresentation of women and their contributions and achievements </w:t>
      </w:r>
      <w:r w:rsidRPr="00F45F11" w:rsidDel="00B95A4B">
        <w:t>through enduring public artworks</w:t>
      </w:r>
      <w:r w:rsidRPr="00F45F11">
        <w:t>. The selection of artworks was informed by a public consultation process. Three of the artworks were launched in 2025–26.</w:t>
      </w:r>
    </w:p>
    <w:p w14:paraId="385E915D" w14:textId="77777777" w:rsidR="0082791A" w:rsidRPr="00F45F11" w:rsidRDefault="0082791A" w:rsidP="000C76D7">
      <w:pPr>
        <w:pStyle w:val="ARBody"/>
      </w:pPr>
      <w:r w:rsidRPr="00F45F11">
        <w:t>The $1.2 million grant program builds on the success of 6 artworks unveiled under the program in 2023. The program continues to pay tribute to the women who made a lasting impact on Victoria’s culture, history and development – with selected sites across metro and regional areas.</w:t>
      </w:r>
    </w:p>
    <w:p w14:paraId="1EFB617F" w14:textId="77777777" w:rsidR="0082791A" w:rsidRPr="00F45F11" w:rsidRDefault="0082791A" w:rsidP="000C76D7">
      <w:pPr>
        <w:pStyle w:val="Heading5"/>
      </w:pPr>
      <w:r w:rsidRPr="00F45F11">
        <w:t>Providing a dedicated space for women at the Queen Victoria Women’s Centre</w:t>
      </w:r>
    </w:p>
    <w:p w14:paraId="2CD80E45" w14:textId="77777777" w:rsidR="0082791A" w:rsidRPr="00F45F11" w:rsidRDefault="0082791A" w:rsidP="000C76D7">
      <w:pPr>
        <w:pStyle w:val="ARBody"/>
      </w:pPr>
      <w:r w:rsidRPr="00F45F11">
        <w:t>The Queen Victoria Women’s Centre is an iconic venue in Melbourne’s CBD that promotes gender equality, inclusion and diversity. It delivers cultural and arts activities that bring women together. It welcomed more than 80,000 visitors in 2025–26.</w:t>
      </w:r>
    </w:p>
    <w:p w14:paraId="77A82B54" w14:textId="6D7B1271" w:rsidR="0082791A" w:rsidRPr="00F45F11" w:rsidRDefault="0082791A" w:rsidP="000C76D7">
      <w:pPr>
        <w:pStyle w:val="ARBody"/>
      </w:pPr>
      <w:r w:rsidRPr="00F45F11">
        <w:t xml:space="preserve">The </w:t>
      </w:r>
      <w:r w:rsidR="00EE36CF" w:rsidRPr="00F45F11">
        <w:t>c</w:t>
      </w:r>
      <w:r w:rsidRPr="00F45F11">
        <w:t>entre also operates a retail space selling products by local women and non-binary artists and designers. It provides venue hire and office space to women’s organisations, including Centre Against Sexual Assault (CASA) House, Council of Single Mothers and their Children, She Shapes History and Ovarian Cancer Australia.</w:t>
      </w:r>
    </w:p>
    <w:p w14:paraId="0993338C" w14:textId="77777777" w:rsidR="0082791A" w:rsidRPr="00F45F11" w:rsidRDefault="0082791A" w:rsidP="000C76D7">
      <w:pPr>
        <w:pStyle w:val="Heading5"/>
      </w:pPr>
      <w:r w:rsidRPr="00F45F11">
        <w:t>Supporting women’s health and wellbeing through access to free period products</w:t>
      </w:r>
    </w:p>
    <w:p w14:paraId="6F2D496A" w14:textId="2583EDFD" w:rsidR="0082791A" w:rsidRPr="00F45F11" w:rsidRDefault="0082791A" w:rsidP="000C76D7">
      <w:pPr>
        <w:pStyle w:val="ARBody"/>
      </w:pPr>
      <w:r w:rsidRPr="00F45F11">
        <w:t>In 2025–26,</w:t>
      </w:r>
      <w:r w:rsidRPr="00F45F11" w:rsidDel="00900AC4">
        <w:t xml:space="preserve"> the </w:t>
      </w:r>
      <w:r w:rsidRPr="00F45F11">
        <w:t>Free Pads and Tampons in Public Places program was rolled out across the state and is in every local government area. This $23 million program improves access to essential health products, normalises periods and</w:t>
      </w:r>
      <w:r w:rsidR="00EE36CF" w:rsidRPr="00F45F11">
        <w:t xml:space="preserve"> </w:t>
      </w:r>
      <w:r w:rsidRPr="00F45F11">
        <w:t>eases cost-of-living pressures for people who</w:t>
      </w:r>
      <w:r w:rsidR="00EE36CF" w:rsidRPr="00F45F11">
        <w:t xml:space="preserve"> </w:t>
      </w:r>
      <w:r w:rsidRPr="00F45F11">
        <w:t>menstruate.</w:t>
      </w:r>
    </w:p>
    <w:p w14:paraId="37665341" w14:textId="77777777" w:rsidR="0082791A" w:rsidRPr="00F45F11" w:rsidRDefault="0082791A" w:rsidP="000C76D7">
      <w:pPr>
        <w:pStyle w:val="ARBody"/>
      </w:pPr>
      <w:r w:rsidRPr="00F45F11">
        <w:t>The program includes smart and battery-operated machines in 745 venues. This includes libraries, hospitals, TAFEs, staffed train stations, universities, community centres, community sports centres, neighbourhood houses and cultural institutions.</w:t>
      </w:r>
    </w:p>
    <w:p w14:paraId="6B94C63E" w14:textId="49B3B339" w:rsidR="0082791A" w:rsidRPr="00F45F11" w:rsidRDefault="0082791A" w:rsidP="000C76D7">
      <w:pPr>
        <w:pStyle w:val="ARBody"/>
      </w:pPr>
      <w:r w:rsidRPr="00F45F11">
        <w:t>The roll-out started in November 2024. By 30 June 2026,</w:t>
      </w:r>
      <w:r w:rsidRPr="00F45F11" w:rsidDel="00701C84">
        <w:t xml:space="preserve"> </w:t>
      </w:r>
      <w:r w:rsidRPr="00F45F11">
        <w:t xml:space="preserve">more than 1,400 machines have been installed across </w:t>
      </w:r>
      <w:r w:rsidRPr="00F45F11" w:rsidDel="008C15AC">
        <w:t>Victoria</w:t>
      </w:r>
      <w:r w:rsidRPr="00F45F11">
        <w:t xml:space="preserve"> and provided more than 975,000 packs of free period products to those who</w:t>
      </w:r>
      <w:r w:rsidR="00A94E77">
        <w:t> </w:t>
      </w:r>
      <w:r w:rsidRPr="00F45F11">
        <w:t>need them.</w:t>
      </w:r>
    </w:p>
    <w:p w14:paraId="45862C5D" w14:textId="242ACFF0" w:rsidR="0082791A" w:rsidRPr="00F45F11" w:rsidRDefault="0082791A" w:rsidP="00412518">
      <w:pPr>
        <w:pStyle w:val="Heading5"/>
        <w:spacing w:before="0"/>
      </w:pPr>
      <w:r w:rsidRPr="00F45F11">
        <w:t>Safer workplaces for women</w:t>
      </w:r>
    </w:p>
    <w:p w14:paraId="4381D557" w14:textId="77777777" w:rsidR="00412518" w:rsidRPr="00F45F11" w:rsidRDefault="0082791A" w:rsidP="000C76D7">
      <w:pPr>
        <w:pStyle w:val="ARBody"/>
      </w:pPr>
      <w:r w:rsidRPr="00F45F11">
        <w:t>The Safe Workplaces for Women Initiative is changing culture and attitudes to women in the workplace. It also increases legal and other support available for gendered workplace issues including wage theft, sexual harassment and unfair dismissal.</w:t>
      </w:r>
    </w:p>
    <w:p w14:paraId="6581E8B1" w14:textId="3B32A6CB" w:rsidR="0082791A" w:rsidRPr="00F45F11" w:rsidRDefault="0082791A" w:rsidP="000C76D7">
      <w:pPr>
        <w:pStyle w:val="ARBody"/>
      </w:pPr>
      <w:r w:rsidRPr="00F45F11">
        <w:t>The initiative is a partnership between organisations representing employees and employers through Victorian Trades Hall Council and the Victorian Chamber of Commerce and Industry</w:t>
      </w:r>
      <w:r w:rsidR="008B1336" w:rsidRPr="00F45F11">
        <w:t xml:space="preserve">. It ensures </w:t>
      </w:r>
      <w:r w:rsidRPr="00F45F11">
        <w:t>workers understand their rights, employers meet their legal obligations and people can access support.</w:t>
      </w:r>
    </w:p>
    <w:p w14:paraId="43C8C98F" w14:textId="1CB7F83D" w:rsidR="0082791A" w:rsidRPr="00F45F11" w:rsidRDefault="00BF1F7C" w:rsidP="000C76D7">
      <w:pPr>
        <w:pStyle w:val="ARBody"/>
      </w:pPr>
      <w:r w:rsidRPr="00F45F11">
        <w:t xml:space="preserve">The initiative also </w:t>
      </w:r>
      <w:r w:rsidR="0082791A" w:rsidRPr="00F45F11">
        <w:t xml:space="preserve">enables more women to access in-depth employment law support and advice through the Working Women’s Centre Victoria. </w:t>
      </w:r>
      <w:r w:rsidR="0018302E" w:rsidRPr="00F45F11">
        <w:t>T</w:t>
      </w:r>
      <w:r w:rsidR="00CA00D1" w:rsidRPr="00F45F11">
        <w:t>he</w:t>
      </w:r>
      <w:r w:rsidR="008A142C">
        <w:t> </w:t>
      </w:r>
      <w:r w:rsidR="00CA00D1" w:rsidRPr="00F45F11">
        <w:t>d</w:t>
      </w:r>
      <w:r w:rsidR="0082791A" w:rsidRPr="00F45F11">
        <w:t xml:space="preserve">epartment </w:t>
      </w:r>
      <w:r w:rsidR="00CA00D1" w:rsidRPr="00F45F11">
        <w:t>funds</w:t>
      </w:r>
      <w:r w:rsidR="0082791A" w:rsidRPr="00F45F11">
        <w:t xml:space="preserve"> </w:t>
      </w:r>
      <w:r w:rsidR="0018302E" w:rsidRPr="00F45F11">
        <w:t xml:space="preserve">the </w:t>
      </w:r>
      <w:r w:rsidR="0082791A" w:rsidRPr="00F45F11">
        <w:t xml:space="preserve">federally funded </w:t>
      </w:r>
      <w:r w:rsidR="0018302E" w:rsidRPr="00F45F11">
        <w:t>c</w:t>
      </w:r>
      <w:r w:rsidR="0082791A" w:rsidRPr="00F45F11">
        <w:t>entre to expand its services in rural and regional areas across Victoria. This will ensure better access to legal and support services for every woman in Victoria who needs them.</w:t>
      </w:r>
    </w:p>
    <w:p w14:paraId="08E94513" w14:textId="16C77370" w:rsidR="0082791A" w:rsidRPr="00F45F11" w:rsidRDefault="0082791A" w:rsidP="000C76D7">
      <w:pPr>
        <w:pStyle w:val="Heading5"/>
      </w:pPr>
      <w:r w:rsidRPr="00F45F11">
        <w:t>Supporting local stakeholders to participate in the Women Deliver Global Conference in</w:t>
      </w:r>
      <w:r w:rsidR="003A45A0">
        <w:t> </w:t>
      </w:r>
      <w:r w:rsidRPr="00F45F11">
        <w:t>Melbourne</w:t>
      </w:r>
    </w:p>
    <w:p w14:paraId="780BA05F" w14:textId="640713C1" w:rsidR="0082791A" w:rsidRPr="00F45F11" w:rsidRDefault="0082791A" w:rsidP="000C76D7">
      <w:pPr>
        <w:pStyle w:val="ARBody"/>
      </w:pPr>
      <w:r w:rsidRPr="00F45F11">
        <w:t>Women Deliver is one of the largest gender equality conferences in the world. In April 2026</w:t>
      </w:r>
      <w:r w:rsidR="00DB04E0" w:rsidRPr="00F45F11">
        <w:t>,</w:t>
      </w:r>
      <w:r w:rsidRPr="00F45F11">
        <w:t xml:space="preserve"> more than 6,000 delegates from over 180 countries gathered at the conference hosted in Melbourne</w:t>
      </w:r>
      <w:r w:rsidR="00DB04E0" w:rsidRPr="00F45F11">
        <w:t xml:space="preserve">. </w:t>
      </w:r>
      <w:r w:rsidR="003C7CC0" w:rsidRPr="00F45F11">
        <w:t>The</w:t>
      </w:r>
      <w:r w:rsidR="008A142C">
        <w:t> </w:t>
      </w:r>
      <w:r w:rsidR="003C7CC0" w:rsidRPr="00F45F11">
        <w:t xml:space="preserve">conference aimed to have </w:t>
      </w:r>
      <w:r w:rsidRPr="00F45F11">
        <w:t>important conversations,</w:t>
      </w:r>
      <w:r w:rsidR="008A142C">
        <w:t> </w:t>
      </w:r>
      <w:r w:rsidRPr="00F45F11">
        <w:t>break barriers and address gender</w:t>
      </w:r>
      <w:r w:rsidR="008A142C">
        <w:t> </w:t>
      </w:r>
      <w:r w:rsidRPr="00F45F11">
        <w:t>equality</w:t>
      </w:r>
      <w:r w:rsidR="008A142C">
        <w:t> </w:t>
      </w:r>
      <w:r w:rsidRPr="00F45F11">
        <w:t>challenges</w:t>
      </w:r>
      <w:r w:rsidR="003C7CC0" w:rsidRPr="00F45F11">
        <w:t>.</w:t>
      </w:r>
    </w:p>
    <w:p w14:paraId="71145EBC" w14:textId="7F0E974B" w:rsidR="0082791A" w:rsidRPr="00F45F11" w:rsidRDefault="003C7CC0" w:rsidP="000C76D7">
      <w:pPr>
        <w:pStyle w:val="ARBody"/>
      </w:pPr>
      <w:r w:rsidRPr="00F45F11">
        <w:t xml:space="preserve">It </w:t>
      </w:r>
      <w:r w:rsidR="0082791A" w:rsidRPr="00F45F11">
        <w:t>was the first time a Women Deliver conference was held in the Oceanic Pacific region.</w:t>
      </w:r>
    </w:p>
    <w:p w14:paraId="5D31FA53" w14:textId="7E7F472D" w:rsidR="00CA5396" w:rsidRDefault="0082791A" w:rsidP="00280897">
      <w:pPr>
        <w:pStyle w:val="ARBody"/>
      </w:pPr>
      <w:r w:rsidRPr="00F45F11">
        <w:t>The department supported participation in the Women Deliver 2026 Conference through targeted scholarships for local stakeholders to attend, supporting First Nations women’s representation</w:t>
      </w:r>
      <w:r w:rsidR="003C7CC0" w:rsidRPr="00F45F11">
        <w:t>. It</w:t>
      </w:r>
      <w:r w:rsidR="00A94E77">
        <w:t> </w:t>
      </w:r>
      <w:r w:rsidR="003C7CC0" w:rsidRPr="00F45F11">
        <w:t>also</w:t>
      </w:r>
      <w:r w:rsidRPr="00F45F11">
        <w:t xml:space="preserve"> </w:t>
      </w:r>
      <w:r w:rsidR="003C7CC0" w:rsidRPr="00F45F11">
        <w:t xml:space="preserve">contributed </w:t>
      </w:r>
      <w:r w:rsidRPr="00F45F11">
        <w:t xml:space="preserve">to conference governance and programming, free venue </w:t>
      </w:r>
      <w:proofErr w:type="gramStart"/>
      <w:r w:rsidRPr="00F45F11">
        <w:t>hire</w:t>
      </w:r>
      <w:proofErr w:type="gramEnd"/>
      <w:r w:rsidRPr="00F45F11">
        <w:t xml:space="preserve"> for local events at the</w:t>
      </w:r>
      <w:r w:rsidR="00A94E77">
        <w:t> </w:t>
      </w:r>
      <w:r w:rsidRPr="00F45F11">
        <w:t>Queen Victoria Women’s Centre and support for Victorian organisations to showcase their work in the conference exhibition space</w:t>
      </w:r>
      <w:bookmarkStart w:id="78" w:name="_Toc173832718"/>
      <w:r w:rsidR="00CA5396">
        <w:t>.</w:t>
      </w:r>
    </w:p>
    <w:p w14:paraId="08405E6D" w14:textId="281F8B5B" w:rsidR="0082791A" w:rsidRPr="00F45F11" w:rsidRDefault="0082791A" w:rsidP="00280897">
      <w:pPr>
        <w:pStyle w:val="ARBody"/>
      </w:pPr>
      <w:r w:rsidRPr="00D80E76">
        <w:rPr>
          <w:rStyle w:val="Heading5Char"/>
        </w:rPr>
        <w:t>Championing equality by delivering Victoria’s LGBTIQA+ strategy</w:t>
      </w:r>
      <w:bookmarkEnd w:id="78"/>
    </w:p>
    <w:p w14:paraId="28732C4E" w14:textId="514DB81C" w:rsidR="0082791A" w:rsidRPr="00F45F11" w:rsidRDefault="0082791A" w:rsidP="00F0005F">
      <w:pPr>
        <w:pStyle w:val="ARBody"/>
      </w:pPr>
      <w:r w:rsidRPr="00F45F11">
        <w:t xml:space="preserve">The department delivers </w:t>
      </w:r>
      <w:r w:rsidRPr="00A124D1">
        <w:rPr>
          <w:rStyle w:val="Emphasis"/>
        </w:rPr>
        <w:t>Pride in our future: Victoria’s LGBTIQA+ strategy 2022–32</w:t>
      </w:r>
      <w:r w:rsidRPr="00F45F11">
        <w:rPr>
          <w:rStyle w:val="Emphasis"/>
          <w:i w:val="0"/>
          <w:iCs w:val="0"/>
        </w:rPr>
        <w:t xml:space="preserve"> </w:t>
      </w:r>
      <w:r w:rsidRPr="00F45F11">
        <w:t>(the strategy). This is the Victorian Government’s long-term reform vision for LGBTIQA+</w:t>
      </w:r>
      <w:r w:rsidR="009F3CFD" w:rsidRPr="00F45F11">
        <w:t> </w:t>
      </w:r>
      <w:r w:rsidRPr="00F45F11">
        <w:t>communities.</w:t>
      </w:r>
    </w:p>
    <w:p w14:paraId="6577625B" w14:textId="75606971" w:rsidR="0082791A" w:rsidRPr="00F45F11" w:rsidRDefault="0082791A" w:rsidP="00F0005F">
      <w:pPr>
        <w:pStyle w:val="ARBody"/>
      </w:pPr>
      <w:r w:rsidRPr="00F45F11">
        <w:t>We work with LGBTIQA+ communities through the</w:t>
      </w:r>
      <w:r w:rsidR="00A94E77">
        <w:t> </w:t>
      </w:r>
      <w:r w:rsidRPr="00F45F11">
        <w:t>Ministerial LGBTIQA+ Taskforce, Justice and</w:t>
      </w:r>
      <w:r w:rsidR="00A94E77">
        <w:t> </w:t>
      </w:r>
      <w:r w:rsidRPr="00F45F11">
        <w:t>Health and Wellbeing Working Groups and the</w:t>
      </w:r>
      <w:r w:rsidR="00A94E77">
        <w:t> </w:t>
      </w:r>
      <w:r w:rsidRPr="00F45F11">
        <w:t>LGBTIQA+ Disability Inclusion Expert Advisory Group. The strategy is overseen by the Interdepartmental Steering Group.</w:t>
      </w:r>
    </w:p>
    <w:p w14:paraId="30053BD7" w14:textId="1054F9A5" w:rsidR="0082791A" w:rsidRPr="00F45F11" w:rsidRDefault="0082791A" w:rsidP="00F0005F">
      <w:pPr>
        <w:pStyle w:val="ARBody"/>
      </w:pPr>
      <w:r w:rsidRPr="00F45F11">
        <w:t>In the strategy’s fourth year of implementation, we</w:t>
      </w:r>
      <w:r w:rsidR="00A94E77">
        <w:t> </w:t>
      </w:r>
      <w:r w:rsidRPr="00F45F11">
        <w:t>championed equitable, inclusive and accessible policy and programs across government which saw Victoria establish health safeguards for people born with variations in sex characteristics. We also worked closely with other departments to address community safety concerns amid rising incidents of vilification, violence and hate targeting LGBTIQA+</w:t>
      </w:r>
      <w:r w:rsidR="009F3CFD" w:rsidRPr="00F45F11">
        <w:t> </w:t>
      </w:r>
      <w:r w:rsidRPr="00F45F11">
        <w:t>Victorians.</w:t>
      </w:r>
    </w:p>
    <w:p w14:paraId="53D56778" w14:textId="77777777" w:rsidR="0082791A" w:rsidRPr="00F45F11" w:rsidRDefault="0082791A" w:rsidP="009F3CFD">
      <w:pPr>
        <w:pStyle w:val="Heading5"/>
      </w:pPr>
      <w:r w:rsidRPr="00F45F11">
        <w:t xml:space="preserve">Driving LGBTIQA+ inclusion in community and health organisations </w:t>
      </w:r>
    </w:p>
    <w:p w14:paraId="3CEF418F" w14:textId="5B3F16BD" w:rsidR="0082791A" w:rsidRPr="00F45F11" w:rsidRDefault="0082791A" w:rsidP="00F0005F">
      <w:pPr>
        <w:pStyle w:val="ARBody"/>
      </w:pPr>
      <w:r w:rsidRPr="00F45F11">
        <w:t>The department funds Rainbow Health Australia to</w:t>
      </w:r>
      <w:r w:rsidR="00A94E77">
        <w:t> </w:t>
      </w:r>
      <w:r w:rsidRPr="00F45F11">
        <w:t>deliver the Rainbow Tick program which is supporting up to 160 health and community organisations to show they are safe and inclusive for LGBTIQA+ communities through training, tailored supports and Rainbow Tick</w:t>
      </w:r>
      <w:r w:rsidR="009F3CFD" w:rsidRPr="00F45F11">
        <w:t> </w:t>
      </w:r>
      <w:r w:rsidRPr="00F45F11">
        <w:t xml:space="preserve">accreditation. </w:t>
      </w:r>
    </w:p>
    <w:p w14:paraId="41B2D20E" w14:textId="27783411" w:rsidR="0082791A" w:rsidRPr="00F45F11" w:rsidRDefault="0082791A" w:rsidP="00F0005F">
      <w:pPr>
        <w:pStyle w:val="ARBody"/>
      </w:pPr>
      <w:r w:rsidRPr="00F45F11">
        <w:t>Rainbow Tick is widely recognised as one of the most meaningful ways to measure and demonstrate LGBTIQA+ inclusion in organisational practices and</w:t>
      </w:r>
      <w:r w:rsidR="00772C70">
        <w:t> </w:t>
      </w:r>
      <w:r w:rsidRPr="00F45F11">
        <w:t>service delivery.</w:t>
      </w:r>
    </w:p>
    <w:p w14:paraId="04314B64" w14:textId="3C11EC3E" w:rsidR="0082791A" w:rsidRPr="00F45F11" w:rsidRDefault="0082791A" w:rsidP="00F0005F">
      <w:pPr>
        <w:pStyle w:val="ARBody"/>
      </w:pPr>
      <w:r w:rsidRPr="00F45F11">
        <w:t>In 2025–26, the Rainbow Tick program achieved a</w:t>
      </w:r>
      <w:r w:rsidR="00A94E77">
        <w:t> </w:t>
      </w:r>
      <w:r w:rsidRPr="00F45F11">
        <w:t xml:space="preserve">significant milestone, engaging 100 organisations across metropolitan, regional and rural Victoria since its launch in 2023. The strongest regional representation is in Hume, Loddon Mallee and Barwon </w:t>
      </w:r>
      <w:proofErr w:type="gramStart"/>
      <w:r w:rsidRPr="00F45F11">
        <w:t>South West</w:t>
      </w:r>
      <w:proofErr w:type="gramEnd"/>
      <w:r w:rsidRPr="00F45F11">
        <w:t>.</w:t>
      </w:r>
    </w:p>
    <w:p w14:paraId="7225E8CF" w14:textId="77777777" w:rsidR="0082791A" w:rsidRPr="00F45F11" w:rsidRDefault="0082791A" w:rsidP="00734E7B">
      <w:pPr>
        <w:pStyle w:val="Heading5"/>
      </w:pPr>
      <w:r w:rsidRPr="00F45F11">
        <w:t>Supporting older LGBTIQA+ Victorians</w:t>
      </w:r>
    </w:p>
    <w:p w14:paraId="336130DB" w14:textId="05C4497F" w:rsidR="0082791A" w:rsidRPr="00F45F11" w:rsidRDefault="0082791A" w:rsidP="00F0005F">
      <w:pPr>
        <w:pStyle w:val="ARBody"/>
      </w:pPr>
      <w:r w:rsidRPr="00F45F11">
        <w:t xml:space="preserve">The </w:t>
      </w:r>
      <w:r w:rsidRPr="00A124D1">
        <w:rPr>
          <w:rStyle w:val="Emphasis"/>
        </w:rPr>
        <w:t>2023</w:t>
      </w:r>
      <w:r w:rsidR="00F0005F" w:rsidRPr="00A124D1">
        <w:rPr>
          <w:rStyle w:val="Emphasis"/>
        </w:rPr>
        <w:t>–</w:t>
      </w:r>
      <w:r w:rsidRPr="00A124D1">
        <w:rPr>
          <w:rStyle w:val="Emphasis"/>
        </w:rPr>
        <w:t>24 State Budget</w:t>
      </w:r>
      <w:r w:rsidRPr="00F45F11">
        <w:t xml:space="preserve"> invested $4.5 million over 4 years for Switchboard to deliver the Pride </w:t>
      </w:r>
      <w:r w:rsidRPr="00A94E77">
        <w:t>in</w:t>
      </w:r>
      <w:r w:rsidR="00A94E77">
        <w:t> </w:t>
      </w:r>
      <w:r w:rsidRPr="00A94E77">
        <w:t>Ageing</w:t>
      </w:r>
      <w:r w:rsidRPr="00F45F11">
        <w:t xml:space="preserve"> program. This peer-designed and locally delivered pilot program helps older LGBTIQA+ Victorians feel connected, safe and</w:t>
      </w:r>
      <w:r w:rsidR="009F3CFD" w:rsidRPr="00F45F11">
        <w:t> </w:t>
      </w:r>
      <w:r w:rsidRPr="00F45F11">
        <w:t>proud to live as</w:t>
      </w:r>
      <w:r w:rsidR="00A94E77">
        <w:t> </w:t>
      </w:r>
      <w:r w:rsidRPr="00F45F11">
        <w:t xml:space="preserve">their authentic selves. </w:t>
      </w:r>
    </w:p>
    <w:p w14:paraId="329C0B84" w14:textId="77777777" w:rsidR="0082791A" w:rsidRPr="00F45F11" w:rsidRDefault="0082791A" w:rsidP="00F0005F">
      <w:pPr>
        <w:pStyle w:val="ARBody"/>
      </w:pPr>
      <w:r w:rsidRPr="00F45F11">
        <w:t xml:space="preserve">It runs in key regional locations across Victoria including East Gippsland, </w:t>
      </w:r>
      <w:proofErr w:type="gramStart"/>
      <w:r w:rsidRPr="00F45F11">
        <w:t>North East</w:t>
      </w:r>
      <w:proofErr w:type="gramEnd"/>
      <w:r w:rsidRPr="00F45F11">
        <w:t xml:space="preserve"> Victoria (Wodonga), </w:t>
      </w:r>
      <w:proofErr w:type="gramStart"/>
      <w:r w:rsidRPr="00F45F11">
        <w:t>South West</w:t>
      </w:r>
      <w:proofErr w:type="gramEnd"/>
      <w:r w:rsidRPr="00F45F11">
        <w:t xml:space="preserve"> Victoria (Warrnambool) and Golden Plains Shire</w:t>
      </w:r>
      <w:r w:rsidRPr="00F45F11" w:rsidDel="00852085">
        <w:t>.</w:t>
      </w:r>
    </w:p>
    <w:p w14:paraId="27728525" w14:textId="77777777" w:rsidR="0082791A" w:rsidRPr="00F45F11" w:rsidRDefault="0082791A" w:rsidP="00F0005F">
      <w:pPr>
        <w:pStyle w:val="ARBody"/>
      </w:pPr>
      <w:r w:rsidRPr="00F45F11">
        <w:t>In 2025</w:t>
      </w:r>
      <w:r w:rsidRPr="00F45F11">
        <w:rPr>
          <w:i/>
          <w:iCs/>
        </w:rPr>
        <w:t>–</w:t>
      </w:r>
      <w:r w:rsidRPr="00F45F11">
        <w:t xml:space="preserve">26, Switchboard appointed 4 Regional Coordinators and continued to develop partnerships with existing services in regions to build their capacity to meet the needs of LGBTIQA+ older people. The program also held the first designated LGBTIQA+ event as part of the 2025 Victorian Seniors Festival. </w:t>
      </w:r>
    </w:p>
    <w:p w14:paraId="6F6AAD23" w14:textId="77777777" w:rsidR="0082791A" w:rsidRPr="00F45F11" w:rsidRDefault="0082791A" w:rsidP="009F3CFD">
      <w:pPr>
        <w:pStyle w:val="Heading5"/>
      </w:pPr>
      <w:bookmarkStart w:id="79" w:name="_Toc173832719"/>
      <w:r w:rsidRPr="00F45F11">
        <w:t>Supporting LGBTIQA+ Victorians and strengthening the sector through grants</w:t>
      </w:r>
      <w:bookmarkEnd w:id="79"/>
    </w:p>
    <w:p w14:paraId="6A81099B" w14:textId="10D1D6D8" w:rsidR="0082791A" w:rsidRPr="00F45F11" w:rsidRDefault="0082791A" w:rsidP="009F3CFD">
      <w:pPr>
        <w:pStyle w:val="ARBody"/>
      </w:pPr>
      <w:r w:rsidRPr="00F45F11">
        <w:t>The department funds 3 competitive grant programs that enable community organisations</w:t>
      </w:r>
      <w:r w:rsidR="009F3CFD" w:rsidRPr="00F45F11">
        <w:t> </w:t>
      </w:r>
      <w:r w:rsidRPr="00F45F11">
        <w:t>to</w:t>
      </w:r>
      <w:r w:rsidR="00A94E77">
        <w:t> </w:t>
      </w:r>
      <w:r w:rsidRPr="00F45F11">
        <w:t>support and celebrate LGBTIQA+</w:t>
      </w:r>
      <w:r w:rsidR="009F3CFD" w:rsidRPr="00F45F11">
        <w:t> </w:t>
      </w:r>
      <w:r w:rsidRPr="00F45F11">
        <w:t>communities:</w:t>
      </w:r>
    </w:p>
    <w:p w14:paraId="735A5CBE" w14:textId="77777777" w:rsidR="0082791A" w:rsidRPr="00F45F11" w:rsidRDefault="0082791A" w:rsidP="00F0005F">
      <w:pPr>
        <w:pStyle w:val="ARBullet1"/>
      </w:pPr>
      <w:r w:rsidRPr="00F45F11">
        <w:t>Pride Events and Festivals Fund</w:t>
      </w:r>
    </w:p>
    <w:p w14:paraId="6CA4D244" w14:textId="77777777" w:rsidR="0082791A" w:rsidRPr="00F45F11" w:rsidRDefault="0082791A" w:rsidP="00F0005F">
      <w:pPr>
        <w:pStyle w:val="ARBullet1"/>
      </w:pPr>
      <w:r w:rsidRPr="00F45F11">
        <w:t>LGBTIQA+ Organisational Development program</w:t>
      </w:r>
    </w:p>
    <w:p w14:paraId="0A23749D" w14:textId="77777777" w:rsidR="0082791A" w:rsidRPr="00F45F11" w:rsidRDefault="0082791A" w:rsidP="00F0005F">
      <w:pPr>
        <w:pStyle w:val="ARBullet1"/>
      </w:pPr>
      <w:r w:rsidRPr="00F45F11">
        <w:t>LGBTIQA+ Sector Strengthening program.</w:t>
      </w:r>
    </w:p>
    <w:p w14:paraId="0D3D72E5" w14:textId="77777777" w:rsidR="0082791A" w:rsidRPr="00F45F11" w:rsidRDefault="0082791A" w:rsidP="00F0005F">
      <w:pPr>
        <w:pStyle w:val="ARBodyafterbullets"/>
      </w:pPr>
      <w:r w:rsidRPr="00F45F11">
        <w:t>In 2025–26, these programs provided grants totalling $1.6 million to 58 projects.</w:t>
      </w:r>
    </w:p>
    <w:p w14:paraId="096D7617" w14:textId="77777777" w:rsidR="0082791A" w:rsidRPr="00F45F11" w:rsidRDefault="0082791A" w:rsidP="0082791A">
      <w:pPr>
        <w:pStyle w:val="ARBody"/>
      </w:pPr>
      <w:r w:rsidRPr="00F45F11">
        <w:t xml:space="preserve">Funded projects include: </w:t>
      </w:r>
    </w:p>
    <w:p w14:paraId="4757FAFD" w14:textId="47E6AE46" w:rsidR="0082791A" w:rsidRPr="00F45F11" w:rsidRDefault="0082791A" w:rsidP="00F0005F">
      <w:pPr>
        <w:pStyle w:val="ARBullet1"/>
      </w:pPr>
      <w:r w:rsidRPr="00F45F11">
        <w:t>events that celebrate and strengthen LGBTIQA+ communities</w:t>
      </w:r>
    </w:p>
    <w:p w14:paraId="1544A350" w14:textId="4452659E" w:rsidR="0082791A" w:rsidRPr="00F45F11" w:rsidRDefault="0082791A" w:rsidP="00F0005F">
      <w:pPr>
        <w:pStyle w:val="ARBullet1"/>
      </w:pPr>
      <w:r w:rsidRPr="00F45F11">
        <w:t>projects that support the growth, capacity and</w:t>
      </w:r>
      <w:r w:rsidR="009F3CFD" w:rsidRPr="00F45F11">
        <w:t> </w:t>
      </w:r>
      <w:r w:rsidRPr="00F45F11">
        <w:t xml:space="preserve">sustainability of LGBTIQA+ organisations </w:t>
      </w:r>
    </w:p>
    <w:p w14:paraId="053A0105" w14:textId="52BCB9CD" w:rsidR="0082791A" w:rsidRPr="00F45F11" w:rsidRDefault="0082791A" w:rsidP="00F0005F">
      <w:pPr>
        <w:pStyle w:val="ARBullet1"/>
      </w:pPr>
      <w:r w:rsidRPr="00F45F11">
        <w:t>critical service delivery projects that support resilience and empower LGBTIQA+</w:t>
      </w:r>
      <w:r w:rsidR="009F3CFD" w:rsidRPr="00F45F11">
        <w:t> </w:t>
      </w:r>
      <w:r w:rsidRPr="00F45F11">
        <w:t>communities.</w:t>
      </w:r>
    </w:p>
    <w:p w14:paraId="1D45BED6" w14:textId="43B5C3DD" w:rsidR="0082791A" w:rsidRPr="00F45F11" w:rsidRDefault="0082791A" w:rsidP="00FF3994">
      <w:pPr>
        <w:pStyle w:val="Heading5"/>
      </w:pPr>
      <w:bookmarkStart w:id="80" w:name="_Toc173832720"/>
      <w:r w:rsidRPr="00F45F11">
        <w:t>Progressing LGBTIQA+ inclusion in</w:t>
      </w:r>
      <w:r w:rsidR="00A94E77">
        <w:t> </w:t>
      </w:r>
      <w:r w:rsidRPr="00F45F11">
        <w:t>regional and rural communities</w:t>
      </w:r>
      <w:bookmarkEnd w:id="80"/>
    </w:p>
    <w:p w14:paraId="17B6DD0E" w14:textId="3CA22D4D" w:rsidR="0082791A" w:rsidRPr="00F45F11" w:rsidRDefault="0082791A" w:rsidP="009F3CFD">
      <w:pPr>
        <w:pStyle w:val="ARBody"/>
      </w:pPr>
      <w:r w:rsidRPr="00F45F11">
        <w:t>LGBTIQA+ people in regional and rural areas</w:t>
      </w:r>
      <w:r w:rsidR="009F3CFD" w:rsidRPr="00F45F11">
        <w:t> </w:t>
      </w:r>
      <w:r w:rsidRPr="00F45F11">
        <w:t>face compounding barriers to</w:t>
      </w:r>
      <w:r w:rsidR="00A94E77">
        <w:t> </w:t>
      </w:r>
      <w:r w:rsidRPr="00F45F11">
        <w:t>accessing services.</w:t>
      </w:r>
    </w:p>
    <w:p w14:paraId="5D4B163C" w14:textId="77777777" w:rsidR="0082791A" w:rsidRPr="00F45F11" w:rsidRDefault="0082791A" w:rsidP="009F3CFD">
      <w:pPr>
        <w:pStyle w:val="ARBody"/>
      </w:pPr>
      <w:r w:rsidRPr="00F45F11">
        <w:t>In 2025–26, more than 30% of projects funded through the Equality portfolio’s 3 competitive grant programs were based in or directly supported rural and regional communities. This</w:t>
      </w:r>
      <w:r w:rsidRPr="00F45F11" w:rsidDel="002F25B5">
        <w:t xml:space="preserve"> </w:t>
      </w:r>
      <w:r w:rsidRPr="00F45F11">
        <w:t>exceeds the department’s performance measure target of 25%.</w:t>
      </w:r>
    </w:p>
    <w:p w14:paraId="316D19CC" w14:textId="77777777" w:rsidR="00F0005F" w:rsidRPr="00F45F11" w:rsidRDefault="0082791A" w:rsidP="009F3CFD">
      <w:pPr>
        <w:pStyle w:val="ARBody"/>
      </w:pPr>
      <w:r w:rsidRPr="00F45F11">
        <w:t>Funded projects included events for regional and rural LGBTIQA+ communities that combat social isolation like family-friendly festivals, sporting events and social gatherings.</w:t>
      </w:r>
    </w:p>
    <w:p w14:paraId="4B9D83F4" w14:textId="7A8B0BA7" w:rsidR="0082791A" w:rsidRPr="00F45F11" w:rsidRDefault="0082791A" w:rsidP="009F3CFD">
      <w:pPr>
        <w:pStyle w:val="ARBody"/>
      </w:pPr>
      <w:r w:rsidRPr="00F45F11">
        <w:t>Other funded projects supported regional and rural outreach for priority cohorts by LGBTIQA+ organisations and improving LGBTIQA+ inclusion across</w:t>
      </w:r>
      <w:r w:rsidRPr="00F45F11" w:rsidDel="00D65352">
        <w:t xml:space="preserve"> </w:t>
      </w:r>
      <w:r w:rsidRPr="00F45F11">
        <w:t>mainstream health and community</w:t>
      </w:r>
      <w:r w:rsidR="009F3CFD" w:rsidRPr="00F45F11">
        <w:t> </w:t>
      </w:r>
      <w:r w:rsidRPr="00F45F11">
        <w:t>organisations.</w:t>
      </w:r>
    </w:p>
    <w:p w14:paraId="74DBF93C" w14:textId="77777777" w:rsidR="0082791A" w:rsidRPr="00F45F11" w:rsidRDefault="0082791A" w:rsidP="008A142C">
      <w:pPr>
        <w:pStyle w:val="Heading5"/>
      </w:pPr>
      <w:proofErr w:type="spellStart"/>
      <w:r w:rsidRPr="00F45F11">
        <w:t>QHubs</w:t>
      </w:r>
      <w:proofErr w:type="spellEnd"/>
      <w:r w:rsidRPr="00F45F11">
        <w:t xml:space="preserve">: Creating Safe Spaces for Western Victoria’s LGBTIQA+ </w:t>
      </w:r>
      <w:r w:rsidRPr="008A142C">
        <w:t>young</w:t>
      </w:r>
      <w:r w:rsidRPr="00F45F11">
        <w:t xml:space="preserve"> people </w:t>
      </w:r>
    </w:p>
    <w:p w14:paraId="35F56B95" w14:textId="77777777" w:rsidR="0082791A" w:rsidRPr="00F45F11" w:rsidRDefault="0082791A" w:rsidP="009F3CFD">
      <w:pPr>
        <w:pStyle w:val="ARBody"/>
      </w:pPr>
      <w:r w:rsidRPr="00F45F11">
        <w:t xml:space="preserve">In 2023–24, the department established a trial of Safe Spaces in Western Victoria. This place-based program increases access to mental health support and fosters social connection for LGBTIQA+ young people and their families. Two </w:t>
      </w:r>
      <w:proofErr w:type="spellStart"/>
      <w:r w:rsidRPr="00F45F11">
        <w:t>QHub</w:t>
      </w:r>
      <w:proofErr w:type="spellEnd"/>
      <w:r w:rsidRPr="00F45F11">
        <w:t xml:space="preserve"> sites are in full operation in Ballarat and Geelong. They provide outreach to the Surf Coast area and online. </w:t>
      </w:r>
    </w:p>
    <w:p w14:paraId="232D057A" w14:textId="76B05B16" w:rsidR="0082791A" w:rsidRPr="00F45F11" w:rsidRDefault="0082791A" w:rsidP="009F3CFD">
      <w:pPr>
        <w:pStyle w:val="ARBody"/>
      </w:pPr>
      <w:r w:rsidRPr="00F45F11">
        <w:t xml:space="preserve">A consortium of community organisations delivers </w:t>
      </w:r>
      <w:proofErr w:type="spellStart"/>
      <w:r w:rsidRPr="00F45F11">
        <w:t>QHubs</w:t>
      </w:r>
      <w:proofErr w:type="spellEnd"/>
      <w:r w:rsidRPr="00F45F11">
        <w:t xml:space="preserve">. </w:t>
      </w:r>
      <w:proofErr w:type="spellStart"/>
      <w:r w:rsidRPr="00F45F11">
        <w:t>QHubs</w:t>
      </w:r>
      <w:proofErr w:type="spellEnd"/>
      <w:r w:rsidRPr="00F45F11">
        <w:t xml:space="preserve"> allow LGBTIQA+ young people up to the age of 25 to access affirming and inclusive care. They also promote peer</w:t>
      </w:r>
      <w:r w:rsidR="009E4EDC" w:rsidRPr="00F45F11">
        <w:t>-</w:t>
      </w:r>
      <w:r w:rsidRPr="00F45F11">
        <w:t>to</w:t>
      </w:r>
      <w:r w:rsidR="009E4EDC" w:rsidRPr="00F45F11">
        <w:t>-</w:t>
      </w:r>
      <w:r w:rsidRPr="00F45F11">
        <w:t xml:space="preserve">peer support and intergenerational connections with older members of the rainbow community. </w:t>
      </w:r>
    </w:p>
    <w:p w14:paraId="1137E4B4" w14:textId="16E9F7D8" w:rsidR="0082791A" w:rsidRPr="00F45F11" w:rsidRDefault="0082791A" w:rsidP="009F3CFD">
      <w:pPr>
        <w:pStyle w:val="ARBody"/>
      </w:pPr>
      <w:r w:rsidRPr="00F45F11">
        <w:t>Since 2023, the program has supported 199</w:t>
      </w:r>
      <w:r w:rsidR="00F41512" w:rsidRPr="00F45F11">
        <w:t> </w:t>
      </w:r>
      <w:r w:rsidRPr="00F45F11">
        <w:t xml:space="preserve">regional clients and families. </w:t>
      </w:r>
      <w:r w:rsidR="00F41512" w:rsidRPr="00F45F11">
        <w:t xml:space="preserve">During </w:t>
      </w:r>
      <w:r w:rsidRPr="00F45F11">
        <w:t xml:space="preserve">the same period, </w:t>
      </w:r>
      <w:r w:rsidR="00F41512" w:rsidRPr="00F45F11">
        <w:t xml:space="preserve">it reached </w:t>
      </w:r>
      <w:r w:rsidRPr="00F45F11">
        <w:t>more than 12,874 people through community engagement, including school visits</w:t>
      </w:r>
      <w:r w:rsidR="00F41512" w:rsidRPr="00F45F11">
        <w:t>. This</w:t>
      </w:r>
      <w:r w:rsidRPr="00F45F11">
        <w:t xml:space="preserve"> help</w:t>
      </w:r>
      <w:r w:rsidR="00F41512" w:rsidRPr="00F45F11">
        <w:t>ed</w:t>
      </w:r>
      <w:r w:rsidRPr="00F45F11">
        <w:t xml:space="preserve"> to strengthen inclusion across entire</w:t>
      </w:r>
      <w:r w:rsidR="009F3CFD" w:rsidRPr="00F45F11">
        <w:t> </w:t>
      </w:r>
      <w:r w:rsidRPr="00F45F11">
        <w:t>communities.</w:t>
      </w:r>
    </w:p>
    <w:p w14:paraId="284D7687" w14:textId="77777777" w:rsidR="0082791A" w:rsidRPr="00F45F11" w:rsidRDefault="0082791A" w:rsidP="008A142C">
      <w:pPr>
        <w:pStyle w:val="Heading5"/>
      </w:pPr>
      <w:bookmarkStart w:id="81" w:name="_Toc173832721"/>
      <w:r w:rsidRPr="00F45F11">
        <w:t xml:space="preserve">Celebrating LGBTIQA+ identity and culture through Victoria’s </w:t>
      </w:r>
      <w:r w:rsidRPr="008A142C">
        <w:t>Pride</w:t>
      </w:r>
      <w:bookmarkEnd w:id="81"/>
    </w:p>
    <w:p w14:paraId="3EC8E82B" w14:textId="77777777" w:rsidR="0082791A" w:rsidRPr="00F45F11" w:rsidRDefault="0082791A" w:rsidP="009F3CFD">
      <w:pPr>
        <w:pStyle w:val="ARBody"/>
      </w:pPr>
      <w:r w:rsidRPr="00F45F11">
        <w:t xml:space="preserve">The Victoria's Pride Street Party and Regional Activation Program increased in size and impact once again in 2025–26. LGBTIQA+ arts and cultural organisation </w:t>
      </w:r>
      <w:proofErr w:type="spellStart"/>
      <w:r w:rsidRPr="00F45F11">
        <w:t>Midsumma</w:t>
      </w:r>
      <w:proofErr w:type="spellEnd"/>
      <w:r w:rsidRPr="00F45F11">
        <w:t xml:space="preserve"> Festival delivered the Victoria’s Pride statewide celebrations for the fifth time in 2025–26.</w:t>
      </w:r>
    </w:p>
    <w:p w14:paraId="3C7F8C44" w14:textId="77777777" w:rsidR="0082791A" w:rsidRPr="00F45F11" w:rsidRDefault="0082791A" w:rsidP="009F3CFD">
      <w:pPr>
        <w:pStyle w:val="ARBody"/>
      </w:pPr>
      <w:r w:rsidRPr="00F45F11">
        <w:t>The department supported a range of Victoria’s Pride events across the state, including 15 events in regional and rural areas funded by the Regional Activation Program. Almost 10,000 people participated across the series of events.</w:t>
      </w:r>
    </w:p>
    <w:p w14:paraId="0434F3F5" w14:textId="16AC11C0" w:rsidR="0082791A" w:rsidRPr="00F45F11" w:rsidRDefault="0082791A" w:rsidP="009F3CFD">
      <w:pPr>
        <w:pStyle w:val="ARBody"/>
      </w:pPr>
      <w:r w:rsidRPr="00F45F11">
        <w:t>Victoria’s Pride culminated in the biggest ever Victoria’s Pride Street Party in Fitzroy on Sunday, 8</w:t>
      </w:r>
      <w:r w:rsidR="009F3CFD" w:rsidRPr="00F45F11">
        <w:t> </w:t>
      </w:r>
      <w:r w:rsidRPr="00F45F11">
        <w:t>February 2026. An estimated 65,448 people attended the free street party, a 9% increase in</w:t>
      </w:r>
      <w:r w:rsidR="009F3CFD" w:rsidRPr="00F45F11">
        <w:t> </w:t>
      </w:r>
      <w:r w:rsidRPr="00F45F11">
        <w:t xml:space="preserve">attendance from the record set in 2025. </w:t>
      </w:r>
    </w:p>
    <w:p w14:paraId="7E7FBD04" w14:textId="77777777" w:rsidR="0082791A" w:rsidRPr="00F45F11" w:rsidRDefault="0082791A" w:rsidP="009F3CFD">
      <w:pPr>
        <w:pStyle w:val="ARBody"/>
      </w:pPr>
      <w:r w:rsidRPr="00F45F11">
        <w:t>In total, approximately 75,000 people participated in Victoria’s Pride in 2025–26.</w:t>
      </w:r>
    </w:p>
    <w:p w14:paraId="05833971" w14:textId="3E6F0591" w:rsidR="0082791A" w:rsidRPr="00F45F11" w:rsidRDefault="0082791A" w:rsidP="009F3CFD">
      <w:pPr>
        <w:pStyle w:val="ARBody"/>
      </w:pPr>
      <w:proofErr w:type="spellStart"/>
      <w:r w:rsidRPr="00F45F11">
        <w:t>Midsumma</w:t>
      </w:r>
      <w:proofErr w:type="spellEnd"/>
      <w:r w:rsidRPr="00F45F11">
        <w:t xml:space="preserve"> Festival also delivered the annual LGBTIQA+ Pride March which drew in 34,419 participants including over 11,419 marchers and</w:t>
      </w:r>
      <w:r w:rsidR="00772C70">
        <w:t> </w:t>
      </w:r>
      <w:r w:rsidRPr="00F45F11">
        <w:t xml:space="preserve">23,000 spectators. </w:t>
      </w:r>
    </w:p>
    <w:p w14:paraId="163F689D" w14:textId="58BAED63" w:rsidR="0082791A" w:rsidRPr="00F45F11" w:rsidRDefault="0082791A" w:rsidP="008A142C">
      <w:pPr>
        <w:pStyle w:val="Heading5"/>
      </w:pPr>
      <w:bookmarkStart w:id="82" w:name="_Toc173832722"/>
      <w:r w:rsidRPr="00F45F11">
        <w:t>Delivering peer-led supports for Victoria’s trans and gender diverse communities</w:t>
      </w:r>
    </w:p>
    <w:p w14:paraId="199D0A3B" w14:textId="2C4897CF" w:rsidR="0082791A" w:rsidRPr="00F45F11" w:rsidRDefault="0082791A" w:rsidP="009F3CFD">
      <w:pPr>
        <w:pStyle w:val="ARBody"/>
      </w:pPr>
      <w:r w:rsidRPr="00F45F11">
        <w:t>In the context of increasing transphobia and anti-trans vilification, trans and gender diverse communities continue to be supported through evidence-based peer-led support models funded by</w:t>
      </w:r>
      <w:r w:rsidR="009F3CFD" w:rsidRPr="00F45F11">
        <w:t> </w:t>
      </w:r>
      <w:r w:rsidRPr="00F45F11">
        <w:t xml:space="preserve">the department. </w:t>
      </w:r>
    </w:p>
    <w:p w14:paraId="389E3FF1" w14:textId="321C20AC" w:rsidR="0082791A" w:rsidRPr="00F45F11" w:rsidRDefault="0082791A" w:rsidP="009F3CFD">
      <w:pPr>
        <w:pStyle w:val="ARBody"/>
      </w:pPr>
      <w:r w:rsidRPr="00F45F11">
        <w:t>In 2025–26, we continued to partner with Transgender Victoria to deliver the Trans and Gender Diverse Peer Support Program. The program delivers a range of wellbeing supports to</w:t>
      </w:r>
      <w:r w:rsidR="009F3CFD" w:rsidRPr="00F45F11">
        <w:t> </w:t>
      </w:r>
      <w:r w:rsidRPr="00F45F11">
        <w:t>trans and gender diverse communities including individual Peer Navigation, social groups, art therapy and gender affirmation services. Services are delivered on-site in Brunswick East, via statewide outreach and online.</w:t>
      </w:r>
    </w:p>
    <w:p w14:paraId="2B12F5D1" w14:textId="77777777" w:rsidR="009F3CFD" w:rsidRPr="00F45F11" w:rsidRDefault="0082791A" w:rsidP="009F3CFD">
      <w:pPr>
        <w:pStyle w:val="ARBody"/>
      </w:pPr>
      <w:r w:rsidRPr="00F45F11">
        <w:t>Outcomes of the program include improved wellbeing, social connection and access to services. In 2025–26, 435 trans and gender diverse Victorians accessed the Peer Support Program.</w:t>
      </w:r>
      <w:bookmarkStart w:id="83" w:name="_Toc173832723"/>
      <w:bookmarkEnd w:id="82"/>
    </w:p>
    <w:p w14:paraId="2A07D778" w14:textId="34360520" w:rsidR="0082791A" w:rsidRPr="00F45F11" w:rsidRDefault="0082791A" w:rsidP="009F3CFD">
      <w:pPr>
        <w:pStyle w:val="Heading5"/>
      </w:pPr>
      <w:r w:rsidRPr="00F45F11">
        <w:t>Delivering youth infrastructure projects</w:t>
      </w:r>
      <w:bookmarkEnd w:id="83"/>
    </w:p>
    <w:p w14:paraId="09E1E50C" w14:textId="502B5739" w:rsidR="0082791A" w:rsidRPr="00F45F11" w:rsidRDefault="0082791A" w:rsidP="009F3CFD">
      <w:pPr>
        <w:pStyle w:val="ARBody"/>
      </w:pPr>
      <w:r w:rsidRPr="00F45F11">
        <w:t>The department continued its longstanding partnership with Scouts Victoria, an organisation that has supported young people across the state for more than 100 years. Since 2018, this partnership has delivered 28 new and upgraded Scout halls with</w:t>
      </w:r>
      <w:r w:rsidRPr="00F45F11" w:rsidDel="0067453F">
        <w:t xml:space="preserve"> </w:t>
      </w:r>
      <w:r w:rsidRPr="00F45F11">
        <w:t xml:space="preserve">a further </w:t>
      </w:r>
      <w:r w:rsidR="002D6815" w:rsidRPr="00F45F11">
        <w:t xml:space="preserve">4 </w:t>
      </w:r>
      <w:r w:rsidRPr="00F45F11">
        <w:t>projects underway. These facilities provide safe and welcoming spaces where young people can learn new skills, build friendships, strengthen community connections and</w:t>
      </w:r>
      <w:r w:rsidR="00772C70">
        <w:t> </w:t>
      </w:r>
      <w:r w:rsidRPr="00F45F11">
        <w:t xml:space="preserve">support their mental and physical wellbeing. </w:t>
      </w:r>
    </w:p>
    <w:p w14:paraId="485A89C5" w14:textId="77777777" w:rsidR="003A45A0" w:rsidRDefault="0082791A" w:rsidP="009F3CFD">
      <w:pPr>
        <w:pStyle w:val="ARBody"/>
      </w:pPr>
      <w:r w:rsidRPr="00F45F11">
        <w:t>The department also partnered with Wyndham City</w:t>
      </w:r>
      <w:r w:rsidR="001A1EC5" w:rsidRPr="00F45F11">
        <w:t> </w:t>
      </w:r>
      <w:r w:rsidRPr="00F45F11">
        <w:t>Council to develop a new and vibrant outdoor recreation space beside the Manor Lakes Community Centre. The space features sports courts, seating and public artwork to encourage young people to be active, connect with each other</w:t>
      </w:r>
      <w:r w:rsidR="009F3CFD" w:rsidRPr="00F45F11">
        <w:t> </w:t>
      </w:r>
      <w:r w:rsidRPr="00F45F11">
        <w:t xml:space="preserve">and participate in community programs. </w:t>
      </w:r>
    </w:p>
    <w:p w14:paraId="7ABE67A4" w14:textId="77777777" w:rsidR="0082791A" w:rsidRPr="00F45F11" w:rsidRDefault="0082791A" w:rsidP="00412518">
      <w:pPr>
        <w:pStyle w:val="Heading5"/>
        <w:spacing w:before="0"/>
      </w:pPr>
      <w:r w:rsidRPr="00F45F11">
        <w:t>Strengthening statewide youth participation and connection</w:t>
      </w:r>
    </w:p>
    <w:p w14:paraId="759B06F2" w14:textId="77777777" w:rsidR="0082791A" w:rsidRPr="00F45F11" w:rsidRDefault="0082791A" w:rsidP="009F3CFD">
      <w:pPr>
        <w:pStyle w:val="ARBody"/>
      </w:pPr>
      <w:r w:rsidRPr="00F45F11">
        <w:t xml:space="preserve">The department continued to provide meaningful opportunities for young people to participate in their communities, develop new skills and confidence, and have a voice in decisions that affect them. </w:t>
      </w:r>
    </w:p>
    <w:p w14:paraId="5766623B" w14:textId="29BE0564" w:rsidR="0082791A" w:rsidRPr="00F45F11" w:rsidRDefault="0082791A" w:rsidP="009F3CFD">
      <w:pPr>
        <w:pStyle w:val="ARBody"/>
      </w:pPr>
      <w:r w:rsidRPr="00F45F11">
        <w:t xml:space="preserve">In 2025, the Engage! program supported 73 organisations to empower young people to </w:t>
      </w:r>
      <w:r w:rsidR="00772C70">
        <w:br/>
      </w:r>
      <w:r w:rsidRPr="00F45F11">
        <w:t>co-design and deliver youth-friendly events and activities. More than 60,000 young people who took part in the program developed leadership and life skills through vocational training workshops, mentoring programs and youth advisory groups.</w:t>
      </w:r>
    </w:p>
    <w:p w14:paraId="0DD35611" w14:textId="77777777" w:rsidR="0082791A" w:rsidRPr="00F45F11" w:rsidRDefault="0082791A" w:rsidP="009F3CFD">
      <w:pPr>
        <w:pStyle w:val="ARBody"/>
      </w:pPr>
      <w:r w:rsidRPr="00F45F11">
        <w:t>The Amplify program supported over 410 youth-led music, creative and cultural events across Victoria. These safe, inclusive and alcohol, drug and smoke-free events gave young people opportunities to develop leadership skills, express their creativity and connect with their communities. Amplify invests in the future of Victoria's music and creative industries by providing access to opportunities and career pathways for emerging musicians, artists and aspiring events management professionals.</w:t>
      </w:r>
    </w:p>
    <w:p w14:paraId="7F997B7A" w14:textId="5436AA1E" w:rsidR="0082791A" w:rsidRPr="00F45F11" w:rsidRDefault="0082791A" w:rsidP="009F3CFD">
      <w:pPr>
        <w:pStyle w:val="ARBody"/>
      </w:pPr>
      <w:r w:rsidRPr="00F45F11">
        <w:t>Future Ready commenced its first year of implementation in 2025, supporting around 5,800 young people to build practical skills and prepare for future education and employment pathways. The program funds government secondary schools, community organisations and social enterprises to deliver mentoring, accredited training, work experience, community volunteering and leadership opportunities. Funded initiatives support secondary students to strengthen their confidence and connections and achieve their</w:t>
      </w:r>
      <w:r w:rsidR="003A45A0">
        <w:t> </w:t>
      </w:r>
      <w:r w:rsidRPr="00F45F11">
        <w:t xml:space="preserve">goals. </w:t>
      </w:r>
    </w:p>
    <w:p w14:paraId="3E22E517" w14:textId="77777777" w:rsidR="0082791A" w:rsidRDefault="0082791A" w:rsidP="009F3CFD">
      <w:pPr>
        <w:pStyle w:val="ARBody"/>
      </w:pPr>
      <w:r w:rsidRPr="00F45F11">
        <w:t xml:space="preserve">The Victorian Youth Congress continued to provide a platform for young people to identify and advocate to government on issues that matter to them. They help to embed a youth perspective and voice in policies, programs and decisions that affect Victorian young people. The congress continues to inform the implementation of </w:t>
      </w:r>
      <w:r w:rsidRPr="00A124D1">
        <w:rPr>
          <w:rStyle w:val="Emphasis"/>
        </w:rPr>
        <w:t>Our promise, your future: Victoria’s youth strategy 2022–2027</w:t>
      </w:r>
      <w:r w:rsidRPr="00F45F11">
        <w:t>.</w:t>
      </w:r>
    </w:p>
    <w:p w14:paraId="5BBB813D" w14:textId="65862E63" w:rsidR="0082791A" w:rsidRPr="00F45F11" w:rsidRDefault="0082791A" w:rsidP="003A45A0">
      <w:pPr>
        <w:pStyle w:val="Heading5"/>
      </w:pPr>
      <w:r w:rsidRPr="00F45F11">
        <w:t>Acknowledging veterans’ service through the Veterans Card – Victoria</w:t>
      </w:r>
    </w:p>
    <w:p w14:paraId="4359F1DA" w14:textId="77777777" w:rsidR="0082791A" w:rsidRDefault="0082791A" w:rsidP="009F3CFD">
      <w:pPr>
        <w:pStyle w:val="ARBody"/>
      </w:pPr>
      <w:r w:rsidRPr="00F45F11">
        <w:t>In 2025–26, the department continued to deliver the digital Veterans Card – Victoria, in partnership with Service Victoria.</w:t>
      </w:r>
    </w:p>
    <w:p w14:paraId="6CA0193A" w14:textId="34C428CC" w:rsidR="0082791A" w:rsidRPr="00F45F11" w:rsidRDefault="0082791A" w:rsidP="009F3CFD">
      <w:pPr>
        <w:pStyle w:val="ARBody"/>
      </w:pPr>
      <w:r w:rsidRPr="00F45F11">
        <w:t>The Veterans Card is a groundbreaking Australian first. It acknowledges and thanks our veterans for their service and sacrifice. It also provides a convenient pathway to access veteran-specific savings and services. This includes targeted employment programs and supports.</w:t>
      </w:r>
    </w:p>
    <w:p w14:paraId="54F4A886" w14:textId="77777777" w:rsidR="0082791A" w:rsidRPr="00F45F11" w:rsidRDefault="0082791A" w:rsidP="009F3CFD">
      <w:pPr>
        <w:pStyle w:val="ARBody"/>
      </w:pPr>
      <w:r w:rsidRPr="00F45F11">
        <w:t>As of 30 June 2026, more than 26,100 Victorian veterans had signed up for the Veterans Card.</w:t>
      </w:r>
    </w:p>
    <w:p w14:paraId="48F21098" w14:textId="5C480019" w:rsidR="0082791A" w:rsidRPr="00F45F11" w:rsidRDefault="0082791A" w:rsidP="009F3CFD">
      <w:pPr>
        <w:pStyle w:val="Heading5"/>
      </w:pPr>
      <w:bookmarkStart w:id="84" w:name="_Toc173832725"/>
      <w:r w:rsidRPr="00F45F11">
        <w:t>Supporting veterans transition to civilian life through employment and recognition of </w:t>
      </w:r>
      <w:r w:rsidRPr="003A45A0">
        <w:t>prior</w:t>
      </w:r>
      <w:r w:rsidR="007B370C">
        <w:t xml:space="preserve"> </w:t>
      </w:r>
      <w:r w:rsidRPr="003A45A0">
        <w:t>learning</w:t>
      </w:r>
      <w:bookmarkEnd w:id="84"/>
    </w:p>
    <w:p w14:paraId="097370FD" w14:textId="77777777" w:rsidR="0082791A" w:rsidRPr="00F45F11" w:rsidRDefault="0082791A" w:rsidP="009F3CFD">
      <w:pPr>
        <w:pStyle w:val="ARBody"/>
      </w:pPr>
      <w:r w:rsidRPr="00F45F11">
        <w:t>Through the Public Sector Veteran Employment Strategy, the Victorian public sector has employed a further 155 veterans between July 2025 and June 2026. A total of 2026 veterans have been employed since the strategy commenced in July 2017. This work is part of Victoria’s commitment to supporting veterans as they transition out of service. The strategy has been extended to June 2027.</w:t>
      </w:r>
    </w:p>
    <w:p w14:paraId="2CC23E40" w14:textId="6094D144" w:rsidR="0082791A" w:rsidRPr="00F45F11" w:rsidRDefault="0082791A" w:rsidP="009F3CFD">
      <w:pPr>
        <w:pStyle w:val="ARBody"/>
      </w:pPr>
      <w:r w:rsidRPr="00F45F11">
        <w:t>The strategy provides targeted workshops to help veterans understand and navigate public sector recruitment processes, Veteran Employment Network and mentor program. The unique mentor program pairs current and former Australian Defence Force members with mentors to help with</w:t>
      </w:r>
      <w:r w:rsidR="00772C70">
        <w:t> </w:t>
      </w:r>
      <w:r w:rsidRPr="00F45F11">
        <w:t xml:space="preserve">job applications and career advancement. </w:t>
      </w:r>
    </w:p>
    <w:p w14:paraId="230A4EBD" w14:textId="77777777" w:rsidR="003A45A0" w:rsidRDefault="0082791A" w:rsidP="009F3CFD">
      <w:pPr>
        <w:pStyle w:val="ARBody"/>
      </w:pPr>
      <w:r w:rsidRPr="00F45F11">
        <w:t>The department also funds a program to recognise prior learning for veterans. This is delivered by Wodonga TAFE. The program helps veterans leverage the skills and knowledge they gained during military service into skills that are nationally recognised in the equivalent civilian qualifications.</w:t>
      </w:r>
    </w:p>
    <w:p w14:paraId="15D2D8B1" w14:textId="69157D46" w:rsidR="0082791A" w:rsidRPr="00F45F11" w:rsidRDefault="0082791A" w:rsidP="003A45A0">
      <w:pPr>
        <w:pStyle w:val="Heading5"/>
      </w:pPr>
      <w:bookmarkStart w:id="85" w:name="_Toc173832726"/>
      <w:r w:rsidRPr="00F45F11">
        <w:t>Delivering grant programs to support veterans’ infrastructure and welfare</w:t>
      </w:r>
      <w:bookmarkEnd w:id="85"/>
    </w:p>
    <w:p w14:paraId="54CFCD93" w14:textId="77777777" w:rsidR="0082791A" w:rsidRPr="00F45F11" w:rsidRDefault="0082791A" w:rsidP="009F3CFD">
      <w:pPr>
        <w:pStyle w:val="ARBody"/>
      </w:pPr>
      <w:r w:rsidRPr="00F45F11">
        <w:t xml:space="preserve">The department continued to provide grants to community organisations. This included grants for capital works, commemoration and education, war memorial restoration and programs that deliver welfare and wellbeing support for veterans and their families. The department delivers funding to the veteran and ex-service community through four annual grant programs. In 2025–26, the department allocated almost $2.6 million across 80 projects: </w:t>
      </w:r>
    </w:p>
    <w:p w14:paraId="430E60FC" w14:textId="394EEC34" w:rsidR="0082791A" w:rsidRPr="00F45F11" w:rsidRDefault="0082791A" w:rsidP="009F3CFD">
      <w:pPr>
        <w:pStyle w:val="ARBullet1"/>
      </w:pPr>
      <w:r w:rsidRPr="00F45F11">
        <w:t xml:space="preserve">the Veterans Capital Works grant program </w:t>
      </w:r>
      <w:r w:rsidR="00845A14">
        <w:t xml:space="preserve">allocated </w:t>
      </w:r>
      <w:r w:rsidRPr="00F45F11">
        <w:t xml:space="preserve">funds to 18 ex service organisations to deliver building and facility improvements </w:t>
      </w:r>
    </w:p>
    <w:p w14:paraId="19AB828F" w14:textId="6F82AD4D" w:rsidR="0082791A" w:rsidRPr="00F45F11" w:rsidRDefault="0082791A" w:rsidP="009F3CFD">
      <w:pPr>
        <w:pStyle w:val="ARBullet1"/>
      </w:pPr>
      <w:r w:rsidRPr="00F45F11">
        <w:t>the Anzac Day Proceeds Fund supported 20</w:t>
      </w:r>
      <w:r w:rsidR="00A94E77">
        <w:t> </w:t>
      </w:r>
      <w:r w:rsidRPr="00F45F11">
        <w:t>veteran welfare and wellbeing initiatives</w:t>
      </w:r>
    </w:p>
    <w:p w14:paraId="63BC67B6" w14:textId="77777777" w:rsidR="0082791A" w:rsidRPr="00F45F11" w:rsidRDefault="0082791A" w:rsidP="009F3CFD">
      <w:pPr>
        <w:pStyle w:val="ARBullet1"/>
      </w:pPr>
      <w:r w:rsidRPr="00F45F11">
        <w:t>Victoria Remembers supported 27 commemorative and educational projects</w:t>
      </w:r>
    </w:p>
    <w:p w14:paraId="4DE3A10F" w14:textId="61743E01" w:rsidR="0082791A" w:rsidRPr="00F45F11" w:rsidRDefault="0082791A" w:rsidP="009F3CFD">
      <w:pPr>
        <w:pStyle w:val="ARBullet1"/>
      </w:pPr>
      <w:r w:rsidRPr="00F45F11">
        <w:t>Restoring Community War Memorials and Avenues of Honour supported 15 critical projects to support respectful commemoration of</w:t>
      </w:r>
      <w:r w:rsidR="000D67BA">
        <w:t> </w:t>
      </w:r>
      <w:r w:rsidRPr="00F45F11">
        <w:t>veterans throughout Victoria.</w:t>
      </w:r>
    </w:p>
    <w:p w14:paraId="30A6A487" w14:textId="77777777" w:rsidR="0082791A" w:rsidRPr="00F45F11" w:rsidRDefault="0082791A" w:rsidP="009F3CFD">
      <w:pPr>
        <w:pStyle w:val="Heading5"/>
      </w:pPr>
      <w:bookmarkStart w:id="86" w:name="_Toc173832727"/>
      <w:bookmarkStart w:id="87" w:name="_Toc173832728"/>
      <w:r w:rsidRPr="00F45F11">
        <w:t>Encouraging students to learn and appreciate our nation’s Anzac spirit</w:t>
      </w:r>
      <w:bookmarkEnd w:id="86"/>
    </w:p>
    <w:p w14:paraId="04028DFD" w14:textId="7C4E52ED" w:rsidR="0082791A" w:rsidRPr="00F45F11" w:rsidDel="00847C6B" w:rsidRDefault="0082791A" w:rsidP="009F3CFD">
      <w:pPr>
        <w:pStyle w:val="ARBody"/>
      </w:pPr>
      <w:r w:rsidRPr="00F45F11">
        <w:t>The department delivers the annual Premier’s Spirit of Anzac Prize competition, which supports selected Victorian students enrolled in Years 9 to 12 to learn about Australia’s wartime and peacekeeping history through a fully funded study</w:t>
      </w:r>
      <w:r w:rsidR="009F3CFD" w:rsidRPr="00F45F11">
        <w:t> </w:t>
      </w:r>
      <w:r w:rsidRPr="00F45F11">
        <w:t>tour.</w:t>
      </w:r>
    </w:p>
    <w:p w14:paraId="63AF3CE8" w14:textId="77777777" w:rsidR="00412518" w:rsidRDefault="0082791A" w:rsidP="009F3CFD">
      <w:pPr>
        <w:pStyle w:val="ARBody"/>
      </w:pPr>
      <w:r w:rsidRPr="00F45F11">
        <w:t>The 12 student recipients of the 2025 prize travelled to Türkiye in September 2025. The 2026 competition closed in May 2026, and the recipients will travel to Vietnam in September 2026.</w:t>
      </w:r>
    </w:p>
    <w:bookmarkEnd w:id="87"/>
    <w:p w14:paraId="38232B11" w14:textId="4CDF8C5B" w:rsidR="00440E4F" w:rsidRPr="00F45F11" w:rsidRDefault="00440E4F" w:rsidP="003A45A0">
      <w:pPr>
        <w:pStyle w:val="Heading5"/>
      </w:pPr>
      <w:r w:rsidRPr="00F45F11">
        <w:t>Building capability in the disability workforce</w:t>
      </w:r>
    </w:p>
    <w:p w14:paraId="3838088A" w14:textId="7C425DFB" w:rsidR="00440E4F" w:rsidRPr="00F45F11" w:rsidRDefault="00440E4F" w:rsidP="00440E4F">
      <w:pPr>
        <w:pStyle w:val="ARBody"/>
      </w:pPr>
      <w:r w:rsidRPr="00F45F11">
        <w:t xml:space="preserve">In 2025–2026, </w:t>
      </w:r>
      <w:r w:rsidR="006B5FA8" w:rsidRPr="00F45F11">
        <w:t xml:space="preserve">the department </w:t>
      </w:r>
      <w:r w:rsidRPr="00F45F11">
        <w:t>continued to partner with the University of Melbourne to deliver training to Victorian Authorised Program Officers working in</w:t>
      </w:r>
      <w:r w:rsidR="00A94E77">
        <w:t> </w:t>
      </w:r>
      <w:r w:rsidRPr="00F45F11">
        <w:t xml:space="preserve">the disability sector. For the first time, the University of Melbourne offered the Authorised Program Officer professional development course as a </w:t>
      </w:r>
      <w:r w:rsidR="006B5FA8" w:rsidRPr="00F45F11">
        <w:t>m</w:t>
      </w:r>
      <w:r w:rsidRPr="00F45F11">
        <w:t>icro</w:t>
      </w:r>
      <w:r w:rsidR="006B5FA8" w:rsidRPr="00F45F11">
        <w:t>-c</w:t>
      </w:r>
      <w:r w:rsidRPr="00F45F11">
        <w:t>redentialed course.</w:t>
      </w:r>
    </w:p>
    <w:p w14:paraId="58AC560C" w14:textId="535D138F" w:rsidR="00440E4F" w:rsidRPr="00F45F11" w:rsidRDefault="00440E4F" w:rsidP="00A94E77">
      <w:pPr>
        <w:pStyle w:val="ARBody"/>
      </w:pPr>
      <w:r w:rsidRPr="00F45F11">
        <w:t xml:space="preserve">The new </w:t>
      </w:r>
      <w:r w:rsidR="006B5FA8" w:rsidRPr="00F45F11">
        <w:t>m</w:t>
      </w:r>
      <w:r w:rsidRPr="00F45F11">
        <w:t>icro</w:t>
      </w:r>
      <w:r w:rsidR="006B5FA8" w:rsidRPr="00F45F11">
        <w:t>-c</w:t>
      </w:r>
      <w:r w:rsidRPr="00F45F11">
        <w:t>redentialed course included an introduction to positive behaviour support tailored to</w:t>
      </w:r>
      <w:r w:rsidR="00541B81">
        <w:t> </w:t>
      </w:r>
      <w:r w:rsidRPr="00F45F11">
        <w:t>Authorised Program Officers. It also covered how</w:t>
      </w:r>
      <w:r w:rsidR="00541B81">
        <w:t> </w:t>
      </w:r>
      <w:r w:rsidRPr="00F45F11">
        <w:t>to work collaboratively with behaviour support practitioners, medical practitioners and other service providers to </w:t>
      </w:r>
      <w:r w:rsidRPr="00A94E77">
        <w:t>develop</w:t>
      </w:r>
      <w:r w:rsidRPr="00F45F11">
        <w:t xml:space="preserve"> and implement behavioural support plans.</w:t>
      </w:r>
    </w:p>
    <w:p w14:paraId="666DE1E0" w14:textId="3D233EA8" w:rsidR="00440E4F" w:rsidRPr="00F45F11" w:rsidRDefault="00440E4F" w:rsidP="00A94E77">
      <w:pPr>
        <w:pStyle w:val="ARBody"/>
      </w:pPr>
      <w:r w:rsidRPr="00F45F11">
        <w:t xml:space="preserve">Authorised Program Officers play a key role in the authorisation and </w:t>
      </w:r>
      <w:r w:rsidRPr="00A94E77">
        <w:t>approval</w:t>
      </w:r>
      <w:r w:rsidRPr="00F45F11">
        <w:t xml:space="preserve"> of regulated restrictive practices. In 2025–26</w:t>
      </w:r>
      <w:r w:rsidR="006B5FA8" w:rsidRPr="00F45F11">
        <w:t>,</w:t>
      </w:r>
      <w:r w:rsidRPr="00F45F11">
        <w:t xml:space="preserve"> the course was delivered to 4 cohorts across the year to a total of 169 Authorised Program Officers. </w:t>
      </w:r>
    </w:p>
    <w:p w14:paraId="207F2E36" w14:textId="36407843" w:rsidR="00440E4F" w:rsidRPr="00F45F11" w:rsidRDefault="009F1CA9" w:rsidP="00440E4F">
      <w:pPr>
        <w:pStyle w:val="ARBody"/>
      </w:pPr>
      <w:r w:rsidRPr="00F45F11">
        <w:t>In</w:t>
      </w:r>
      <w:r w:rsidR="00440E4F" w:rsidRPr="00F45F11">
        <w:t xml:space="preserve"> 2025–26</w:t>
      </w:r>
      <w:r w:rsidRPr="00F45F11">
        <w:t>, the department developed</w:t>
      </w:r>
      <w:r w:rsidR="00440E4F" w:rsidRPr="00F45F11">
        <w:t xml:space="preserve"> a role-specific Capability Framework and Learning </w:t>
      </w:r>
      <w:r w:rsidR="008D4AD8" w:rsidRPr="00F45F11">
        <w:t>M</w:t>
      </w:r>
      <w:r w:rsidR="00440E4F" w:rsidRPr="00F45F11">
        <w:t>ap</w:t>
      </w:r>
      <w:r w:rsidRPr="00F45F11">
        <w:t xml:space="preserve"> to</w:t>
      </w:r>
      <w:r w:rsidR="00541B81">
        <w:t> </w:t>
      </w:r>
      <w:r w:rsidRPr="00F45F11">
        <w:t xml:space="preserve">support the forensic disability services workforce. </w:t>
      </w:r>
      <w:r w:rsidR="008D4AD8" w:rsidRPr="00F45F11">
        <w:t>This</w:t>
      </w:r>
      <w:r w:rsidRPr="00F45F11">
        <w:t xml:space="preserve"> </w:t>
      </w:r>
      <w:r w:rsidR="008D4AD8" w:rsidRPr="00F45F11">
        <w:t>sets out</w:t>
      </w:r>
      <w:r w:rsidR="00440E4F" w:rsidRPr="00F45F11" w:rsidDel="001F3CC8">
        <w:t xml:space="preserve"> </w:t>
      </w:r>
      <w:r w:rsidR="00440E4F" w:rsidRPr="00F45F11">
        <w:t>mandatory and professional</w:t>
      </w:r>
      <w:r w:rsidR="00541B81">
        <w:t xml:space="preserve"> </w:t>
      </w:r>
      <w:r w:rsidR="00440E4F" w:rsidRPr="00F45F11">
        <w:t>development activities for this workforce.</w:t>
      </w:r>
    </w:p>
    <w:p w14:paraId="3A03A023" w14:textId="6246C55F" w:rsidR="003A45A0" w:rsidRDefault="003A45A0">
      <w:pPr>
        <w:spacing w:after="0" w:line="240" w:lineRule="auto"/>
        <w:rPr>
          <w:rFonts w:eastAsia="Times"/>
          <w:sz w:val="20"/>
        </w:rPr>
      </w:pPr>
      <w:r>
        <w:br w:type="page"/>
      </w:r>
    </w:p>
    <w:p w14:paraId="276D7C73" w14:textId="689B5C48" w:rsidR="004A01AE" w:rsidRPr="00F45F11" w:rsidRDefault="004A01AE" w:rsidP="00541B81">
      <w:pPr>
        <w:pStyle w:val="Heading3"/>
        <w:spacing w:before="0"/>
      </w:pPr>
      <w:r w:rsidRPr="00F45F11">
        <w:t>Objective: All Victorians have stable, affordable and</w:t>
      </w:r>
      <w:r w:rsidR="00F8411B">
        <w:t> </w:t>
      </w:r>
      <w:r w:rsidRPr="00F45F11">
        <w:t>appropriate housing</w:t>
      </w:r>
    </w:p>
    <w:p w14:paraId="2E4C0226" w14:textId="77777777" w:rsidR="004A01AE" w:rsidRPr="00F45F11" w:rsidRDefault="004A01AE" w:rsidP="004A01AE">
      <w:pPr>
        <w:pStyle w:val="ARBody"/>
      </w:pPr>
      <w:r w:rsidRPr="00F45F11">
        <w:t>This objective aims to ensure Victorians have safe homes that provide emotional and physical sanctuary, Victorians have security of tenure in housing that is appropriate to their needs, including that it is accessible, high quality, affordable and tailored to them. This outcome includes supports to address and reduce housing insecurity and homelessness, to enable suitable housing for all.</w:t>
      </w:r>
    </w:p>
    <w:p w14:paraId="34FB3263" w14:textId="77777777" w:rsidR="004A01AE" w:rsidRPr="00F45F11" w:rsidRDefault="004A01AE" w:rsidP="004A01AE">
      <w:pPr>
        <w:pStyle w:val="ARTablecaption"/>
        <w:rPr>
          <w:rFonts w:eastAsia="Times"/>
        </w:rPr>
      </w:pPr>
      <w:r w:rsidRPr="00F45F11">
        <w:rPr>
          <w:rFonts w:eastAsia="Times"/>
        </w:rPr>
        <w:t>Indicator results</w:t>
      </w:r>
    </w:p>
    <w:tbl>
      <w:tblPr>
        <w:tblStyle w:val="ARtable1"/>
        <w:tblW w:w="5000" w:type="pct"/>
        <w:tblLook w:val="01A0" w:firstRow="1" w:lastRow="0" w:firstColumn="1" w:lastColumn="1" w:noHBand="0" w:noVBand="0"/>
      </w:tblPr>
      <w:tblGrid>
        <w:gridCol w:w="5008"/>
        <w:gridCol w:w="1155"/>
        <w:gridCol w:w="1155"/>
        <w:gridCol w:w="1155"/>
        <w:gridCol w:w="1155"/>
      </w:tblGrid>
      <w:tr w:rsidR="004A01AE" w:rsidRPr="00F45F11" w14:paraId="0A1D7306" w14:textId="77777777" w:rsidTr="00541B81">
        <w:trPr>
          <w:cnfStyle w:val="100000000000" w:firstRow="1" w:lastRow="0" w:firstColumn="0" w:lastColumn="0" w:oddVBand="0" w:evenVBand="0" w:oddHBand="0" w:evenHBand="0" w:firstRowFirstColumn="0" w:firstRowLastColumn="0" w:lastRowFirstColumn="0" w:lastRowLastColumn="0"/>
          <w:tblHeader/>
        </w:trPr>
        <w:tc>
          <w:tcPr>
            <w:tcW w:w="2599" w:type="pct"/>
          </w:tcPr>
          <w:p w14:paraId="23C8DDDA" w14:textId="77777777" w:rsidR="004A01AE" w:rsidRPr="00F45F11" w:rsidRDefault="004A01AE">
            <w:pPr>
              <w:pStyle w:val="ARtablecolheadright"/>
              <w:rPr>
                <w:rFonts w:eastAsia="Times"/>
              </w:rPr>
            </w:pPr>
          </w:p>
        </w:tc>
        <w:tc>
          <w:tcPr>
            <w:cnfStyle w:val="000001000000" w:firstRow="0" w:lastRow="0" w:firstColumn="0" w:lastColumn="0" w:oddVBand="0" w:evenVBand="1" w:oddHBand="0" w:evenHBand="0" w:firstRowFirstColumn="0" w:firstRowLastColumn="0" w:lastRowFirstColumn="0" w:lastRowLastColumn="0"/>
            <w:tcW w:w="600" w:type="pct"/>
          </w:tcPr>
          <w:p w14:paraId="6BF3BE86" w14:textId="77777777" w:rsidR="004A01AE" w:rsidRPr="00F45F11" w:rsidRDefault="004A01AE">
            <w:pPr>
              <w:pStyle w:val="ARtablecolheadright"/>
              <w:rPr>
                <w:rFonts w:eastAsia="Times"/>
              </w:rPr>
            </w:pPr>
            <w:r w:rsidRPr="00F45F11">
              <w:rPr>
                <w:rFonts w:eastAsia="Times"/>
              </w:rPr>
              <w:t>2022–23</w:t>
            </w:r>
          </w:p>
        </w:tc>
        <w:tc>
          <w:tcPr>
            <w:tcW w:w="600" w:type="pct"/>
          </w:tcPr>
          <w:p w14:paraId="00E0FBB7" w14:textId="77777777" w:rsidR="004A01AE" w:rsidRPr="00F45F11" w:rsidRDefault="004A01AE">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2023–24</w:t>
            </w:r>
          </w:p>
        </w:tc>
        <w:tc>
          <w:tcPr>
            <w:cnfStyle w:val="000001000000" w:firstRow="0" w:lastRow="0" w:firstColumn="0" w:lastColumn="0" w:oddVBand="0" w:evenVBand="1" w:oddHBand="0" w:evenHBand="0" w:firstRowFirstColumn="0" w:firstRowLastColumn="0" w:lastRowFirstColumn="0" w:lastRowLastColumn="0"/>
            <w:tcW w:w="600" w:type="pct"/>
          </w:tcPr>
          <w:p w14:paraId="522557A6" w14:textId="77777777" w:rsidR="004A01AE" w:rsidRPr="00F45F11" w:rsidRDefault="004A01AE">
            <w:pPr>
              <w:pStyle w:val="ARtablecolheadright"/>
              <w:rPr>
                <w:rFonts w:eastAsia="Times"/>
              </w:rPr>
            </w:pPr>
            <w:r w:rsidRPr="00F45F11">
              <w:rPr>
                <w:rFonts w:eastAsia="Times"/>
              </w:rPr>
              <w:t>2024–25</w:t>
            </w:r>
          </w:p>
        </w:tc>
        <w:tc>
          <w:tcPr>
            <w:tcW w:w="600" w:type="pct"/>
          </w:tcPr>
          <w:p w14:paraId="7DA04FAC" w14:textId="77777777" w:rsidR="004A01AE" w:rsidRPr="00F45F11" w:rsidRDefault="004A01AE">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2025–26</w:t>
            </w:r>
          </w:p>
        </w:tc>
      </w:tr>
      <w:tr w:rsidR="004A01AE" w:rsidRPr="004E6C67" w14:paraId="48DF0C64" w14:textId="77777777" w:rsidTr="00541B81">
        <w:trPr>
          <w:cnfStyle w:val="000000100000" w:firstRow="0" w:lastRow="0" w:firstColumn="0" w:lastColumn="0" w:oddVBand="0" w:evenVBand="0" w:oddHBand="1" w:evenHBand="0" w:firstRowFirstColumn="0" w:firstRowLastColumn="0" w:lastRowFirstColumn="0" w:lastRowLastColumn="0"/>
        </w:trPr>
        <w:tc>
          <w:tcPr>
            <w:tcW w:w="2599" w:type="pct"/>
            <w:hideMark/>
          </w:tcPr>
          <w:p w14:paraId="26D25245" w14:textId="77777777" w:rsidR="004A01AE" w:rsidRPr="00F45F11" w:rsidRDefault="004A01AE">
            <w:pPr>
              <w:pStyle w:val="ARTabletext"/>
              <w:rPr>
                <w:rFonts w:eastAsia="Times"/>
              </w:rPr>
            </w:pPr>
            <w:r w:rsidRPr="00F45F11">
              <w:rPr>
                <w:rFonts w:eastAsia="Times"/>
              </w:rPr>
              <w:t>Number of clients assisted to address and prevent homelessness</w:t>
            </w:r>
          </w:p>
        </w:tc>
        <w:tc>
          <w:tcPr>
            <w:cnfStyle w:val="000001000000" w:firstRow="0" w:lastRow="0" w:firstColumn="0" w:lastColumn="0" w:oddVBand="0" w:evenVBand="1" w:oddHBand="0" w:evenHBand="0" w:firstRowFirstColumn="0" w:firstRowLastColumn="0" w:lastRowFirstColumn="0" w:lastRowLastColumn="0"/>
            <w:tcW w:w="600" w:type="pct"/>
          </w:tcPr>
          <w:p w14:paraId="6DAAF788" w14:textId="77777777" w:rsidR="004A01AE" w:rsidRPr="00F45F11" w:rsidRDefault="004A01AE">
            <w:pPr>
              <w:pStyle w:val="ARtabletextright"/>
              <w:rPr>
                <w:rFonts w:eastAsia="Times"/>
              </w:rPr>
            </w:pPr>
            <w:r w:rsidRPr="00F45F11">
              <w:rPr>
                <w:rFonts w:eastAsia="Times"/>
              </w:rPr>
              <w:t>98,333</w:t>
            </w:r>
          </w:p>
        </w:tc>
        <w:tc>
          <w:tcPr>
            <w:tcW w:w="600" w:type="pct"/>
          </w:tcPr>
          <w:p w14:paraId="52E70DC6" w14:textId="77777777" w:rsidR="004A01AE" w:rsidRPr="00F45F11" w:rsidRDefault="004A01AE">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101,804</w:t>
            </w:r>
          </w:p>
        </w:tc>
        <w:tc>
          <w:tcPr>
            <w:cnfStyle w:val="000001000000" w:firstRow="0" w:lastRow="0" w:firstColumn="0" w:lastColumn="0" w:oddVBand="0" w:evenVBand="1" w:oddHBand="0" w:evenHBand="0" w:firstRowFirstColumn="0" w:firstRowLastColumn="0" w:lastRowFirstColumn="0" w:lastRowLastColumn="0"/>
            <w:tcW w:w="600" w:type="pct"/>
          </w:tcPr>
          <w:p w14:paraId="05083807" w14:textId="77777777" w:rsidR="004A01AE" w:rsidRPr="00F45F11" w:rsidRDefault="004A01AE">
            <w:pPr>
              <w:pStyle w:val="ARtabletextright"/>
              <w:rPr>
                <w:rFonts w:eastAsia="Times"/>
              </w:rPr>
            </w:pPr>
            <w:r w:rsidRPr="00F45F11">
              <w:rPr>
                <w:rFonts w:eastAsia="Times"/>
              </w:rPr>
              <w:t>102,449</w:t>
            </w:r>
          </w:p>
        </w:tc>
        <w:tc>
          <w:tcPr>
            <w:tcW w:w="600" w:type="pct"/>
          </w:tcPr>
          <w:p w14:paraId="275A28E1" w14:textId="77777777" w:rsidR="004A01AE" w:rsidRPr="004E6C67" w:rsidRDefault="004A01AE">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4E6C67">
              <w:rPr>
                <w:rFonts w:eastAsia="Times"/>
              </w:rPr>
              <w:t>103,373</w:t>
            </w:r>
          </w:p>
        </w:tc>
      </w:tr>
      <w:tr w:rsidR="004A01AE" w:rsidRPr="004E6C67" w14:paraId="2A04AC84" w14:textId="77777777" w:rsidTr="00541B81">
        <w:trPr>
          <w:cnfStyle w:val="000000010000" w:firstRow="0" w:lastRow="0" w:firstColumn="0" w:lastColumn="0" w:oddVBand="0" w:evenVBand="0" w:oddHBand="0" w:evenHBand="1" w:firstRowFirstColumn="0" w:firstRowLastColumn="0" w:lastRowFirstColumn="0" w:lastRowLastColumn="0"/>
        </w:trPr>
        <w:tc>
          <w:tcPr>
            <w:tcW w:w="2599" w:type="pct"/>
          </w:tcPr>
          <w:p w14:paraId="2FEB2B33" w14:textId="77777777" w:rsidR="004A01AE" w:rsidRPr="00F45F11" w:rsidRDefault="004A01AE">
            <w:pPr>
              <w:pStyle w:val="ARTabletext"/>
              <w:rPr>
                <w:rFonts w:eastAsia="Times"/>
              </w:rPr>
            </w:pPr>
            <w:r w:rsidRPr="00F45F11">
              <w:rPr>
                <w:rFonts w:eastAsia="Times"/>
              </w:rPr>
              <w:t>Number of clients provided with accommodation</w:t>
            </w:r>
          </w:p>
        </w:tc>
        <w:tc>
          <w:tcPr>
            <w:cnfStyle w:val="000001000000" w:firstRow="0" w:lastRow="0" w:firstColumn="0" w:lastColumn="0" w:oddVBand="0" w:evenVBand="1" w:oddHBand="0" w:evenHBand="0" w:firstRowFirstColumn="0" w:firstRowLastColumn="0" w:lastRowFirstColumn="0" w:lastRowLastColumn="0"/>
            <w:tcW w:w="600" w:type="pct"/>
          </w:tcPr>
          <w:p w14:paraId="6BE51951" w14:textId="77777777" w:rsidR="004A01AE" w:rsidRPr="00F45F11" w:rsidRDefault="004A01AE">
            <w:pPr>
              <w:pStyle w:val="ARtabletextright"/>
              <w:rPr>
                <w:rFonts w:eastAsia="Times"/>
              </w:rPr>
            </w:pPr>
            <w:r w:rsidRPr="00F45F11">
              <w:rPr>
                <w:rFonts w:eastAsia="Times"/>
              </w:rPr>
              <w:t>29,050</w:t>
            </w:r>
          </w:p>
        </w:tc>
        <w:tc>
          <w:tcPr>
            <w:tcW w:w="600" w:type="pct"/>
          </w:tcPr>
          <w:p w14:paraId="4F0937CE" w14:textId="77777777" w:rsidR="004A01AE" w:rsidRPr="00F45F11" w:rsidRDefault="004A01AE">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27,882</w:t>
            </w:r>
          </w:p>
        </w:tc>
        <w:tc>
          <w:tcPr>
            <w:cnfStyle w:val="000001000000" w:firstRow="0" w:lastRow="0" w:firstColumn="0" w:lastColumn="0" w:oddVBand="0" w:evenVBand="1" w:oddHBand="0" w:evenHBand="0" w:firstRowFirstColumn="0" w:firstRowLastColumn="0" w:lastRowFirstColumn="0" w:lastRowLastColumn="0"/>
            <w:tcW w:w="600" w:type="pct"/>
          </w:tcPr>
          <w:p w14:paraId="2FAEAB96" w14:textId="77777777" w:rsidR="004A01AE" w:rsidRPr="00F45F11" w:rsidRDefault="004A01AE">
            <w:pPr>
              <w:pStyle w:val="ARtabletextright"/>
              <w:rPr>
                <w:rFonts w:eastAsia="Times"/>
              </w:rPr>
            </w:pPr>
            <w:r w:rsidRPr="00F45F11">
              <w:rPr>
                <w:rFonts w:eastAsia="Times"/>
              </w:rPr>
              <w:t>27,981</w:t>
            </w:r>
          </w:p>
        </w:tc>
        <w:tc>
          <w:tcPr>
            <w:tcW w:w="600" w:type="pct"/>
          </w:tcPr>
          <w:p w14:paraId="5AF9537C" w14:textId="77777777" w:rsidR="004A01AE" w:rsidRPr="004E6C67" w:rsidRDefault="004A01AE">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4E6C67">
              <w:rPr>
                <w:rFonts w:eastAsia="Times"/>
              </w:rPr>
              <w:t>26,727</w:t>
            </w:r>
          </w:p>
        </w:tc>
      </w:tr>
      <w:tr w:rsidR="004A01AE" w:rsidRPr="00F45F11" w14:paraId="7577CA0E" w14:textId="77777777" w:rsidTr="00541B81">
        <w:trPr>
          <w:cnfStyle w:val="000000100000" w:firstRow="0" w:lastRow="0" w:firstColumn="0" w:lastColumn="0" w:oddVBand="0" w:evenVBand="0" w:oddHBand="1" w:evenHBand="0" w:firstRowFirstColumn="0" w:firstRowLastColumn="0" w:lastRowFirstColumn="0" w:lastRowLastColumn="0"/>
        </w:trPr>
        <w:tc>
          <w:tcPr>
            <w:tcW w:w="2599" w:type="pct"/>
            <w:hideMark/>
          </w:tcPr>
          <w:p w14:paraId="105B1015" w14:textId="77777777" w:rsidR="004A01AE" w:rsidRPr="00F45F11" w:rsidRDefault="004A01AE">
            <w:pPr>
              <w:pStyle w:val="ARTabletext"/>
              <w:rPr>
                <w:rFonts w:eastAsia="Times"/>
              </w:rPr>
            </w:pPr>
            <w:r w:rsidRPr="00F45F11">
              <w:rPr>
                <w:rFonts w:eastAsia="Times"/>
              </w:rPr>
              <w:t>Number of bonds issued to low-income Victorians to assist access to the private rental market</w:t>
            </w:r>
          </w:p>
        </w:tc>
        <w:tc>
          <w:tcPr>
            <w:cnfStyle w:val="000001000000" w:firstRow="0" w:lastRow="0" w:firstColumn="0" w:lastColumn="0" w:oddVBand="0" w:evenVBand="1" w:oddHBand="0" w:evenHBand="0" w:firstRowFirstColumn="0" w:firstRowLastColumn="0" w:lastRowFirstColumn="0" w:lastRowLastColumn="0"/>
            <w:tcW w:w="600" w:type="pct"/>
          </w:tcPr>
          <w:p w14:paraId="1084BE16" w14:textId="77777777" w:rsidR="004A01AE" w:rsidRPr="00F45F11" w:rsidRDefault="004A01AE">
            <w:pPr>
              <w:pStyle w:val="ARtabletextright"/>
              <w:rPr>
                <w:rFonts w:eastAsia="Times"/>
              </w:rPr>
            </w:pPr>
            <w:r w:rsidRPr="00F45F11">
              <w:rPr>
                <w:rFonts w:eastAsia="Times"/>
              </w:rPr>
              <w:t>7,011</w:t>
            </w:r>
          </w:p>
        </w:tc>
        <w:tc>
          <w:tcPr>
            <w:tcW w:w="600" w:type="pct"/>
          </w:tcPr>
          <w:p w14:paraId="4F7D1E45" w14:textId="77777777" w:rsidR="004A01AE" w:rsidRPr="00F45F11" w:rsidRDefault="004A01AE">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6,932</w:t>
            </w:r>
          </w:p>
        </w:tc>
        <w:tc>
          <w:tcPr>
            <w:cnfStyle w:val="000001000000" w:firstRow="0" w:lastRow="0" w:firstColumn="0" w:lastColumn="0" w:oddVBand="0" w:evenVBand="1" w:oddHBand="0" w:evenHBand="0" w:firstRowFirstColumn="0" w:firstRowLastColumn="0" w:lastRowFirstColumn="0" w:lastRowLastColumn="0"/>
            <w:tcW w:w="600" w:type="pct"/>
          </w:tcPr>
          <w:p w14:paraId="0DFF1376" w14:textId="77777777" w:rsidR="004A01AE" w:rsidRPr="00F45F11" w:rsidRDefault="004A01AE">
            <w:pPr>
              <w:pStyle w:val="ARtabletextright"/>
              <w:rPr>
                <w:rFonts w:eastAsia="Times"/>
              </w:rPr>
            </w:pPr>
            <w:r w:rsidRPr="00F45F11">
              <w:rPr>
                <w:rFonts w:eastAsia="Times"/>
              </w:rPr>
              <w:t>8,841</w:t>
            </w:r>
          </w:p>
        </w:tc>
        <w:tc>
          <w:tcPr>
            <w:tcW w:w="600" w:type="pct"/>
          </w:tcPr>
          <w:p w14:paraId="0D9A59E8" w14:textId="77777777" w:rsidR="004A01AE" w:rsidRPr="00F45F11" w:rsidRDefault="004A01AE">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8,608</w:t>
            </w:r>
          </w:p>
        </w:tc>
      </w:tr>
      <w:tr w:rsidR="004A01AE" w:rsidRPr="00F45F11" w14:paraId="3204505F" w14:textId="77777777" w:rsidTr="00541B81">
        <w:trPr>
          <w:cnfStyle w:val="000000010000" w:firstRow="0" w:lastRow="0" w:firstColumn="0" w:lastColumn="0" w:oddVBand="0" w:evenVBand="0" w:oddHBand="0" w:evenHBand="1" w:firstRowFirstColumn="0" w:firstRowLastColumn="0" w:lastRowFirstColumn="0" w:lastRowLastColumn="0"/>
        </w:trPr>
        <w:tc>
          <w:tcPr>
            <w:tcW w:w="2599" w:type="pct"/>
            <w:tcBorders>
              <w:bottom w:val="single" w:sz="4" w:space="0" w:color="BFBFBF" w:themeColor="accent2"/>
            </w:tcBorders>
          </w:tcPr>
          <w:p w14:paraId="0F8F84CF" w14:textId="77777777" w:rsidR="004A01AE" w:rsidRPr="00F45F11" w:rsidRDefault="004A01AE">
            <w:pPr>
              <w:pStyle w:val="ARTabletext"/>
              <w:rPr>
                <w:rFonts w:eastAsia="Times"/>
              </w:rPr>
            </w:pPr>
            <w:r w:rsidRPr="00F45F11">
              <w:rPr>
                <w:rFonts w:eastAsia="Times"/>
              </w:rPr>
              <w:t>Average waiting time for long-term social housing for those clients who have received priority access housing allocation or a priority transfer</w:t>
            </w:r>
          </w:p>
        </w:tc>
        <w:tc>
          <w:tcPr>
            <w:cnfStyle w:val="000001000000" w:firstRow="0" w:lastRow="0" w:firstColumn="0" w:lastColumn="0" w:oddVBand="0" w:evenVBand="1" w:oddHBand="0" w:evenHBand="0" w:firstRowFirstColumn="0" w:firstRowLastColumn="0" w:lastRowFirstColumn="0" w:lastRowLastColumn="0"/>
            <w:tcW w:w="600" w:type="pct"/>
            <w:tcBorders>
              <w:bottom w:val="single" w:sz="4" w:space="0" w:color="BFBFBF" w:themeColor="accent2"/>
            </w:tcBorders>
          </w:tcPr>
          <w:p w14:paraId="0FE6A749" w14:textId="77777777" w:rsidR="004A01AE" w:rsidRPr="00F45F11" w:rsidRDefault="004A01AE">
            <w:pPr>
              <w:pStyle w:val="ARtabletextright"/>
              <w:rPr>
                <w:rFonts w:eastAsia="Times"/>
              </w:rPr>
            </w:pPr>
            <w:r w:rsidRPr="00F45F11">
              <w:rPr>
                <w:rFonts w:eastAsia="Times"/>
              </w:rPr>
              <w:t>18.1 months</w:t>
            </w:r>
          </w:p>
        </w:tc>
        <w:tc>
          <w:tcPr>
            <w:tcW w:w="600" w:type="pct"/>
            <w:tcBorders>
              <w:bottom w:val="single" w:sz="4" w:space="0" w:color="BFBFBF" w:themeColor="accent2"/>
            </w:tcBorders>
          </w:tcPr>
          <w:p w14:paraId="1EAC43D5" w14:textId="77777777" w:rsidR="004A01AE" w:rsidRPr="00F45F11" w:rsidRDefault="004A01AE">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19.8 months</w:t>
            </w:r>
          </w:p>
        </w:tc>
        <w:tc>
          <w:tcPr>
            <w:cnfStyle w:val="000001000000" w:firstRow="0" w:lastRow="0" w:firstColumn="0" w:lastColumn="0" w:oddVBand="0" w:evenVBand="1" w:oddHBand="0" w:evenHBand="0" w:firstRowFirstColumn="0" w:firstRowLastColumn="0" w:lastRowFirstColumn="0" w:lastRowLastColumn="0"/>
            <w:tcW w:w="600" w:type="pct"/>
            <w:tcBorders>
              <w:bottom w:val="single" w:sz="4" w:space="0" w:color="BFBFBF" w:themeColor="accent2"/>
            </w:tcBorders>
          </w:tcPr>
          <w:p w14:paraId="51B31194" w14:textId="77777777" w:rsidR="004A01AE" w:rsidRPr="00F45F11" w:rsidRDefault="004A01AE">
            <w:pPr>
              <w:pStyle w:val="ARtabletextright"/>
              <w:rPr>
                <w:rFonts w:eastAsia="Times"/>
              </w:rPr>
            </w:pPr>
            <w:r w:rsidRPr="00F45F11">
              <w:rPr>
                <w:rFonts w:eastAsia="Times"/>
              </w:rPr>
              <w:t>17.2 months</w:t>
            </w:r>
          </w:p>
        </w:tc>
        <w:tc>
          <w:tcPr>
            <w:tcW w:w="600" w:type="pct"/>
            <w:tcBorders>
              <w:bottom w:val="single" w:sz="4" w:space="0" w:color="BFBFBF" w:themeColor="accent2"/>
            </w:tcBorders>
          </w:tcPr>
          <w:p w14:paraId="5DB63461" w14:textId="77777777" w:rsidR="004A01AE" w:rsidRPr="00F45F11" w:rsidRDefault="004A01AE">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19.4 months</w:t>
            </w:r>
          </w:p>
        </w:tc>
      </w:tr>
      <w:tr w:rsidR="004A01AE" w:rsidRPr="00F45F11" w14:paraId="036F4C5B" w14:textId="77777777" w:rsidTr="00541B81">
        <w:trPr>
          <w:cnfStyle w:val="000000100000" w:firstRow="0" w:lastRow="0" w:firstColumn="0" w:lastColumn="0" w:oddVBand="0" w:evenVBand="0" w:oddHBand="1" w:evenHBand="0" w:firstRowFirstColumn="0" w:firstRowLastColumn="0" w:lastRowFirstColumn="0" w:lastRowLastColumn="0"/>
        </w:trPr>
        <w:tc>
          <w:tcPr>
            <w:tcW w:w="2599" w:type="pct"/>
            <w:tcBorders>
              <w:top w:val="single" w:sz="4" w:space="0" w:color="BFBFBF" w:themeColor="accent2"/>
              <w:bottom w:val="single" w:sz="4" w:space="0" w:color="000000" w:themeColor="text1"/>
            </w:tcBorders>
          </w:tcPr>
          <w:p w14:paraId="6A8C0BE6" w14:textId="77777777" w:rsidR="004A01AE" w:rsidRPr="00F45F11" w:rsidRDefault="004A01AE">
            <w:pPr>
              <w:pStyle w:val="ARTabletext"/>
              <w:rPr>
                <w:rFonts w:eastAsia="Times"/>
              </w:rPr>
            </w:pPr>
            <w:r w:rsidRPr="00F45F11">
              <w:rPr>
                <w:rFonts w:eastAsia="Times"/>
              </w:rPr>
              <w:t>Average waiting time for long-term social housing for those clients who have received a priority access housing allocation or priority transfer due to family violence</w:t>
            </w:r>
          </w:p>
        </w:tc>
        <w:tc>
          <w:tcPr>
            <w:cnfStyle w:val="000001000000" w:firstRow="0" w:lastRow="0" w:firstColumn="0" w:lastColumn="0" w:oddVBand="0" w:evenVBand="1" w:oddHBand="0" w:evenHBand="0" w:firstRowFirstColumn="0" w:firstRowLastColumn="0" w:lastRowFirstColumn="0" w:lastRowLastColumn="0"/>
            <w:tcW w:w="600" w:type="pct"/>
            <w:tcBorders>
              <w:top w:val="single" w:sz="4" w:space="0" w:color="BFBFBF" w:themeColor="accent2"/>
              <w:bottom w:val="single" w:sz="4" w:space="0" w:color="000000" w:themeColor="text1"/>
            </w:tcBorders>
          </w:tcPr>
          <w:p w14:paraId="19B16A06" w14:textId="77777777" w:rsidR="004A01AE" w:rsidRPr="00F45F11" w:rsidRDefault="004A01AE">
            <w:pPr>
              <w:pStyle w:val="ARtabletextright"/>
              <w:rPr>
                <w:rFonts w:eastAsia="Times"/>
              </w:rPr>
            </w:pPr>
            <w:r w:rsidRPr="00F45F11">
              <w:rPr>
                <w:rFonts w:eastAsia="Times"/>
              </w:rPr>
              <w:t>23.6 months</w:t>
            </w:r>
          </w:p>
        </w:tc>
        <w:tc>
          <w:tcPr>
            <w:tcW w:w="600" w:type="pct"/>
            <w:tcBorders>
              <w:top w:val="single" w:sz="4" w:space="0" w:color="BFBFBF" w:themeColor="accent2"/>
              <w:bottom w:val="single" w:sz="4" w:space="0" w:color="000000" w:themeColor="text1"/>
            </w:tcBorders>
          </w:tcPr>
          <w:p w14:paraId="463D1822" w14:textId="77777777" w:rsidR="004A01AE" w:rsidRPr="00F45F11" w:rsidRDefault="004A01AE">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19.5 months</w:t>
            </w:r>
          </w:p>
        </w:tc>
        <w:tc>
          <w:tcPr>
            <w:cnfStyle w:val="000001000000" w:firstRow="0" w:lastRow="0" w:firstColumn="0" w:lastColumn="0" w:oddVBand="0" w:evenVBand="1" w:oddHBand="0" w:evenHBand="0" w:firstRowFirstColumn="0" w:firstRowLastColumn="0" w:lastRowFirstColumn="0" w:lastRowLastColumn="0"/>
            <w:tcW w:w="600" w:type="pct"/>
            <w:tcBorders>
              <w:top w:val="single" w:sz="4" w:space="0" w:color="BFBFBF" w:themeColor="accent2"/>
              <w:bottom w:val="single" w:sz="4" w:space="0" w:color="000000" w:themeColor="text1"/>
            </w:tcBorders>
          </w:tcPr>
          <w:p w14:paraId="30D3B3C8" w14:textId="77777777" w:rsidR="004A01AE" w:rsidRPr="00F45F11" w:rsidRDefault="004A01AE">
            <w:pPr>
              <w:pStyle w:val="ARtabletextright"/>
              <w:rPr>
                <w:rFonts w:eastAsia="Times"/>
              </w:rPr>
            </w:pPr>
            <w:r w:rsidRPr="00F45F11">
              <w:rPr>
                <w:rFonts w:eastAsia="Times"/>
              </w:rPr>
              <w:t>17.3 months</w:t>
            </w:r>
          </w:p>
        </w:tc>
        <w:tc>
          <w:tcPr>
            <w:tcW w:w="600" w:type="pct"/>
            <w:tcBorders>
              <w:top w:val="single" w:sz="4" w:space="0" w:color="BFBFBF" w:themeColor="accent2"/>
              <w:bottom w:val="single" w:sz="4" w:space="0" w:color="000000" w:themeColor="text1"/>
            </w:tcBorders>
          </w:tcPr>
          <w:p w14:paraId="44A4DAEB" w14:textId="77777777" w:rsidR="004A01AE" w:rsidRPr="00F45F11" w:rsidRDefault="004A01AE">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20.0 months</w:t>
            </w:r>
          </w:p>
        </w:tc>
      </w:tr>
    </w:tbl>
    <w:p w14:paraId="423F0DFB" w14:textId="08082BFB" w:rsidR="003A45A0" w:rsidRDefault="00FA2A9E" w:rsidP="003A45A0">
      <w:pPr>
        <w:pStyle w:val="Heading4"/>
      </w:pPr>
      <w:r w:rsidRPr="00F45F11" w:rsidDel="00136856">
        <w:t xml:space="preserve">Key initiatives and </w:t>
      </w:r>
      <w:r w:rsidRPr="00D30C1D" w:rsidDel="00136856">
        <w:t>projects</w:t>
      </w:r>
    </w:p>
    <w:p w14:paraId="32932AE3" w14:textId="77777777" w:rsidR="00FA2A9E" w:rsidRPr="00F45F11" w:rsidRDefault="00FA2A9E" w:rsidP="003A45A0">
      <w:pPr>
        <w:pStyle w:val="Heading5"/>
      </w:pPr>
      <w:r w:rsidRPr="00F45F11">
        <w:t xml:space="preserve">More social and affordable </w:t>
      </w:r>
      <w:r w:rsidRPr="003A45A0">
        <w:t>housing</w:t>
      </w:r>
      <w:r w:rsidRPr="00F45F11">
        <w:t xml:space="preserve"> </w:t>
      </w:r>
    </w:p>
    <w:p w14:paraId="52E10448" w14:textId="77777777" w:rsidR="00FA2A9E" w:rsidRPr="009913ED" w:rsidRDefault="00FA2A9E" w:rsidP="00FA2A9E">
      <w:pPr>
        <w:pStyle w:val="ARBody"/>
      </w:pPr>
      <w:r w:rsidRPr="00F45F11" w:rsidDel="0064038E">
        <w:t xml:space="preserve">The Victorian Government continues </w:t>
      </w:r>
      <w:r w:rsidRPr="00F45F11">
        <w:t xml:space="preserve">to invest to increase housing supply so that more Victorians have </w:t>
      </w:r>
      <w:r w:rsidRPr="009913ED">
        <w:t xml:space="preserve">stable, affordable and appropriate homes. </w:t>
      </w:r>
    </w:p>
    <w:p w14:paraId="1D6E1261" w14:textId="1A9930BD" w:rsidR="00FA2A9E" w:rsidRPr="009913ED" w:rsidRDefault="00FA2A9E" w:rsidP="00FA2A9E">
      <w:pPr>
        <w:pStyle w:val="ARBody"/>
      </w:pPr>
      <w:proofErr w:type="gramStart"/>
      <w:r w:rsidRPr="009913ED">
        <w:t>At</w:t>
      </w:r>
      <w:proofErr w:type="gramEnd"/>
      <w:r w:rsidRPr="009913ED">
        <w:t xml:space="preserve"> 30 June 2026, the department </w:t>
      </w:r>
      <w:r w:rsidR="008D4AD8" w:rsidRPr="009913ED">
        <w:t xml:space="preserve">had </w:t>
      </w:r>
      <w:r w:rsidRPr="009913ED">
        <w:t>commenced more</w:t>
      </w:r>
      <w:r w:rsidR="00C623C3" w:rsidRPr="009913ED">
        <w:t> </w:t>
      </w:r>
      <w:r w:rsidRPr="009913ED">
        <w:t>than 16,700 new social and affordable homes</w:t>
      </w:r>
      <w:r w:rsidR="008D4AD8" w:rsidRPr="009913ED">
        <w:t xml:space="preserve">. More </w:t>
      </w:r>
      <w:r w:rsidRPr="009913ED">
        <w:t xml:space="preserve">than 11,300 </w:t>
      </w:r>
      <w:r w:rsidR="008D4AD8" w:rsidRPr="009913ED">
        <w:t xml:space="preserve">of these </w:t>
      </w:r>
      <w:r w:rsidRPr="009913ED">
        <w:t>have been</w:t>
      </w:r>
      <w:r w:rsidR="00C623C3" w:rsidRPr="009913ED">
        <w:t> </w:t>
      </w:r>
      <w:r w:rsidRPr="009913ED">
        <w:t>completed.</w:t>
      </w:r>
    </w:p>
    <w:p w14:paraId="22C3CD03" w14:textId="4C63BA3E" w:rsidR="00FA2A9E" w:rsidRPr="00F45F11" w:rsidRDefault="00FA2A9E" w:rsidP="00FA2A9E">
      <w:pPr>
        <w:pStyle w:val="ARBody"/>
      </w:pPr>
      <w:r w:rsidRPr="00F45F11">
        <w:t>Major social and affordable housing projects completed during 2025</w:t>
      </w:r>
      <w:r w:rsidR="008D4AD8" w:rsidRPr="00F45F11">
        <w:t>–</w:t>
      </w:r>
      <w:r w:rsidRPr="00F45F11">
        <w:t>26 include:</w:t>
      </w:r>
    </w:p>
    <w:p w14:paraId="4C9CA14A" w14:textId="28ECAB93" w:rsidR="00FA2A9E" w:rsidRPr="00F45F11" w:rsidRDefault="00FA2A9E" w:rsidP="005F29E3">
      <w:pPr>
        <w:pStyle w:val="ARBullet1"/>
      </w:pPr>
      <w:r w:rsidRPr="00F45F11">
        <w:t xml:space="preserve">Ormond Road, East Geelong </w:t>
      </w:r>
      <w:r w:rsidR="008D4AD8" w:rsidRPr="00F45F11">
        <w:t>–</w:t>
      </w:r>
      <w:r w:rsidRPr="00F45F11">
        <w:t xml:space="preserve"> 54 social homes</w:t>
      </w:r>
    </w:p>
    <w:p w14:paraId="2FE46C60" w14:textId="77777777" w:rsidR="00FA2A9E" w:rsidRPr="00F45F11" w:rsidRDefault="00FA2A9E" w:rsidP="005F29E3">
      <w:pPr>
        <w:pStyle w:val="ARBullet1"/>
      </w:pPr>
      <w:r w:rsidRPr="00F45F11">
        <w:t>Walker Street, Northcote – 99 social homes</w:t>
      </w:r>
    </w:p>
    <w:p w14:paraId="691E6634" w14:textId="77777777" w:rsidR="00FA2A9E" w:rsidRPr="00F45F11" w:rsidRDefault="00FA2A9E" w:rsidP="005F29E3">
      <w:pPr>
        <w:pStyle w:val="ARBullet1"/>
      </w:pPr>
      <w:r w:rsidRPr="00F45F11">
        <w:t>Myers Street, Geelong – 117 social homes</w:t>
      </w:r>
    </w:p>
    <w:p w14:paraId="4E43D618" w14:textId="77777777" w:rsidR="00FA2A9E" w:rsidRPr="00F45F11" w:rsidRDefault="00FA2A9E" w:rsidP="005F29E3">
      <w:pPr>
        <w:pStyle w:val="ARBullet1"/>
      </w:pPr>
      <w:r w:rsidRPr="00F45F11">
        <w:t>Egan Street, Carnegie – 97 social homes</w:t>
      </w:r>
    </w:p>
    <w:p w14:paraId="1B794491" w14:textId="27D23247" w:rsidR="00FA2A9E" w:rsidRPr="00F45F11" w:rsidRDefault="00FA2A9E" w:rsidP="005F29E3">
      <w:pPr>
        <w:pStyle w:val="ARBullet1"/>
      </w:pPr>
      <w:r w:rsidRPr="00F45F11">
        <w:t>Rosanna Station – 45 social and affordable</w:t>
      </w:r>
      <w:r w:rsidR="00C623C3" w:rsidRPr="00F45F11">
        <w:t> </w:t>
      </w:r>
      <w:r w:rsidRPr="00F45F11">
        <w:t>homes</w:t>
      </w:r>
      <w:r w:rsidR="008D4AD8" w:rsidRPr="00F45F11">
        <w:t>.</w:t>
      </w:r>
    </w:p>
    <w:p w14:paraId="16482D18" w14:textId="77777777" w:rsidR="00FA2A9E" w:rsidRPr="009913ED" w:rsidRDefault="00FA2A9E" w:rsidP="005F29E3">
      <w:pPr>
        <w:pStyle w:val="Heading5"/>
      </w:pPr>
      <w:r w:rsidRPr="009913ED">
        <w:t>Growing social housing through the Social Housing Growth Fund</w:t>
      </w:r>
    </w:p>
    <w:p w14:paraId="69F6B0F5" w14:textId="765D992B" w:rsidR="00FA2A9E" w:rsidRPr="00F45F11" w:rsidRDefault="00FA2A9E" w:rsidP="005F29E3">
      <w:pPr>
        <w:pStyle w:val="ARBody"/>
      </w:pPr>
      <w:r w:rsidRPr="00F45F11">
        <w:t>The Social Housing Growth Fund (SHGF) continues to create a pipeline of new social housing. The SGHF partnership leverages debt and</w:t>
      </w:r>
      <w:r w:rsidR="00772C70">
        <w:t> </w:t>
      </w:r>
      <w:r w:rsidRPr="00F45F11">
        <w:t>equity from community housing organisations and enables the community housing sector to use its experience and expertise to support renters once they move in.</w:t>
      </w:r>
    </w:p>
    <w:p w14:paraId="37EF8C88" w14:textId="02C7C2A7" w:rsidR="00FA2A9E" w:rsidRPr="00F45F11" w:rsidRDefault="008D4AD8" w:rsidP="00FA2A9E">
      <w:pPr>
        <w:pStyle w:val="ARBody"/>
      </w:pPr>
      <w:r w:rsidRPr="00F45F11">
        <w:t xml:space="preserve">Since </w:t>
      </w:r>
      <w:r w:rsidR="00FA2A9E" w:rsidRPr="00F45F11">
        <w:t>2018</w:t>
      </w:r>
      <w:r w:rsidRPr="00F45F11">
        <w:t>, the SHGF</w:t>
      </w:r>
      <w:r w:rsidR="00FA2A9E" w:rsidRPr="00F45F11">
        <w:t xml:space="preserve"> has delivered more than 4,000 social homes. Major builds completed in partnership with community housing organisations during </w:t>
      </w:r>
      <w:r w:rsidRPr="00F45F11">
        <w:t>2025–26</w:t>
      </w:r>
      <w:r w:rsidR="00FA2A9E" w:rsidRPr="00F45F11">
        <w:t xml:space="preserve"> include 92 homes in Footscray through </w:t>
      </w:r>
      <w:proofErr w:type="spellStart"/>
      <w:r w:rsidR="00FA2A9E" w:rsidRPr="00F45F11">
        <w:t>VincentCare</w:t>
      </w:r>
      <w:proofErr w:type="spellEnd"/>
      <w:r w:rsidR="00FA2A9E" w:rsidRPr="00F45F11">
        <w:t xml:space="preserve"> Community Housing and 73</w:t>
      </w:r>
      <w:r w:rsidR="00772C70">
        <w:t> </w:t>
      </w:r>
      <w:r w:rsidR="00FA2A9E" w:rsidRPr="00F45F11">
        <w:t>homes in Bendigo through Uniting Housing (Vic)</w:t>
      </w:r>
      <w:r w:rsidR="005F29E3" w:rsidRPr="00F45F11">
        <w:t> </w:t>
      </w:r>
      <w:r w:rsidR="00FA2A9E" w:rsidRPr="00F45F11">
        <w:t>Ltd</w:t>
      </w:r>
      <w:r w:rsidR="00613C72" w:rsidRPr="00F45F11">
        <w:t>.</w:t>
      </w:r>
    </w:p>
    <w:p w14:paraId="7BEF1BF6" w14:textId="77777777" w:rsidR="00FA2A9E" w:rsidRPr="00F45F11" w:rsidRDefault="00FA2A9E" w:rsidP="005F29E3">
      <w:pPr>
        <w:pStyle w:val="Heading5"/>
      </w:pPr>
      <w:r w:rsidRPr="00F45F11">
        <w:t xml:space="preserve">Delivering the second Ground Lease Model </w:t>
      </w:r>
    </w:p>
    <w:p w14:paraId="1F10B56A" w14:textId="6FEBA867" w:rsidR="00FA2A9E" w:rsidRPr="00F45F11" w:rsidRDefault="00FA2A9E" w:rsidP="005F29E3">
      <w:pPr>
        <w:pStyle w:val="ARBody"/>
      </w:pPr>
      <w:r w:rsidRPr="00F45F11">
        <w:t xml:space="preserve">The department </w:t>
      </w:r>
      <w:r w:rsidR="00F966E2">
        <w:t>is</w:t>
      </w:r>
      <w:r w:rsidRPr="00F45F11">
        <w:t xml:space="preserve"> </w:t>
      </w:r>
      <w:r w:rsidR="00613C72" w:rsidRPr="00F45F11">
        <w:t>continu</w:t>
      </w:r>
      <w:r w:rsidR="00F966E2">
        <w:t>ing</w:t>
      </w:r>
      <w:r w:rsidR="00613C72" w:rsidRPr="00F45F11">
        <w:t xml:space="preserve"> to</w:t>
      </w:r>
      <w:r w:rsidRPr="00F45F11">
        <w:t xml:space="preserve"> deliver </w:t>
      </w:r>
      <w:r w:rsidR="00F966E2">
        <w:t>on</w:t>
      </w:r>
      <w:r w:rsidRPr="00F45F11">
        <w:t xml:space="preserve"> 2,740 homes with a mix of social, affordable, market rental and specialist disability accommodation homes through the innovative Ground Lease Model (GLM).</w:t>
      </w:r>
      <w:r w:rsidR="00DC5A88" w:rsidRPr="00F45F11">
        <w:t xml:space="preserve"> </w:t>
      </w:r>
      <w:r w:rsidRPr="00F45F11" w:rsidDel="00A01806">
        <w:t>This model allows Homes Victoria to retain ownership of land.</w:t>
      </w:r>
      <w:r w:rsidR="00DC5A88" w:rsidRPr="00F45F11">
        <w:t xml:space="preserve"> </w:t>
      </w:r>
      <w:r w:rsidRPr="00F45F11">
        <w:t>Homes Victoria partners with not-for-profit groups that finance, plan, design, build and manage the homes.</w:t>
      </w:r>
      <w:r w:rsidR="00DC5A88" w:rsidRPr="00F45F11">
        <w:t xml:space="preserve"> </w:t>
      </w:r>
      <w:r w:rsidRPr="00F45F11">
        <w:t>Homes Victoria retains ownership of the land</w:t>
      </w:r>
      <w:r w:rsidR="002D4636">
        <w:t xml:space="preserve"> and</w:t>
      </w:r>
      <w:r w:rsidR="00613C72" w:rsidRPr="00F45F11">
        <w:t xml:space="preserve"> </w:t>
      </w:r>
      <w:r w:rsidR="002D4636">
        <w:t>a</w:t>
      </w:r>
      <w:r w:rsidRPr="00F45F11">
        <w:t>fter 40 years, the dwellings are handed back to Homes Victoria.</w:t>
      </w:r>
    </w:p>
    <w:p w14:paraId="5F0C5F86" w14:textId="641C473D" w:rsidR="00FA2A9E" w:rsidRPr="00F45F11" w:rsidRDefault="00FA2A9E" w:rsidP="005F29E3">
      <w:pPr>
        <w:pStyle w:val="ARBody"/>
      </w:pPr>
      <w:r w:rsidRPr="00F45F11">
        <w:t xml:space="preserve">Following the success of the first GLM </w:t>
      </w:r>
      <w:r w:rsidR="00613C72" w:rsidRPr="00F45F11">
        <w:t xml:space="preserve">that </w:t>
      </w:r>
      <w:r w:rsidRPr="00F45F11">
        <w:t>delivered 1,084 homes, construction continued in</w:t>
      </w:r>
      <w:r w:rsidR="00C623C3" w:rsidRPr="00F45F11">
        <w:t> </w:t>
      </w:r>
      <w:r w:rsidRPr="00F45F11">
        <w:t>2025</w:t>
      </w:r>
      <w:r w:rsidR="008D4AD8" w:rsidRPr="00F45F11">
        <w:t>–</w:t>
      </w:r>
      <w:r w:rsidRPr="00F45F11">
        <w:t>26 on the second GLM to</w:t>
      </w:r>
      <w:r w:rsidR="00DC5A88" w:rsidRPr="00F45F11">
        <w:t xml:space="preserve"> </w:t>
      </w:r>
      <w:r w:rsidRPr="00F45F11">
        <w:t>deliver 1,370 new homes before the end of 2026</w:t>
      </w:r>
      <w:r w:rsidR="00613C72" w:rsidRPr="00F45F11">
        <w:t xml:space="preserve">. These homes </w:t>
      </w:r>
      <w:r w:rsidR="00337115" w:rsidRPr="00F45F11">
        <w:t xml:space="preserve">are in </w:t>
      </w:r>
      <w:r w:rsidRPr="00F45F11">
        <w:t>Prahran, South Yarra, Hampton East and Port Melbourne. There will be a further 286 homes completed in</w:t>
      </w:r>
      <w:r w:rsidR="00C623C3" w:rsidRPr="00F45F11">
        <w:t> </w:t>
      </w:r>
      <w:r w:rsidRPr="00F45F11">
        <w:t>Flemington as part of the second phase of</w:t>
      </w:r>
      <w:r w:rsidR="00337115" w:rsidRPr="00F45F11">
        <w:t xml:space="preserve"> </w:t>
      </w:r>
      <w:r w:rsidRPr="00F45F11">
        <w:t>GLM</w:t>
      </w:r>
      <w:r w:rsidR="009A6DB3">
        <w:t>1</w:t>
      </w:r>
      <w:r w:rsidR="00F22BE3">
        <w:t>, which will be completed by</w:t>
      </w:r>
      <w:r w:rsidR="005D503A">
        <w:t> </w:t>
      </w:r>
      <w:r w:rsidR="00F22BE3">
        <w:t>the end of 2026</w:t>
      </w:r>
      <w:r w:rsidRPr="00F45F11">
        <w:t>.</w:t>
      </w:r>
    </w:p>
    <w:p w14:paraId="78B98479" w14:textId="768ABEF5" w:rsidR="00FA2A9E" w:rsidRPr="00F45F11" w:rsidRDefault="00FA2A9E" w:rsidP="00541B81">
      <w:pPr>
        <w:pStyle w:val="Heading5"/>
        <w:spacing w:before="0"/>
      </w:pPr>
      <w:r w:rsidRPr="00F45F11">
        <w:t>Partnering with the Commonwealth Government to get our share of housing</w:t>
      </w:r>
      <w:r w:rsidR="00C623C3" w:rsidRPr="00F45F11">
        <w:t> </w:t>
      </w:r>
      <w:r w:rsidRPr="00F45F11">
        <w:t>funds</w:t>
      </w:r>
    </w:p>
    <w:p w14:paraId="001C0C46" w14:textId="01F95B0F" w:rsidR="00FA2A9E" w:rsidRPr="00F45F11" w:rsidRDefault="00FA2A9E" w:rsidP="005F29E3">
      <w:pPr>
        <w:pStyle w:val="ARBody"/>
      </w:pPr>
      <w:r w:rsidRPr="00F45F11">
        <w:t>The department is working with the Commonwealth Government to deliver 797 social housing homes through the Social Housing Accelerator program.</w:t>
      </w:r>
      <w:r w:rsidR="00DC5A88" w:rsidRPr="00F45F11">
        <w:t xml:space="preserve"> </w:t>
      </w:r>
      <w:proofErr w:type="gramStart"/>
      <w:r w:rsidRPr="00F45F11">
        <w:t>At</w:t>
      </w:r>
      <w:proofErr w:type="gramEnd"/>
      <w:r w:rsidR="008074B3">
        <w:t> </w:t>
      </w:r>
      <w:r w:rsidRPr="00F45F11">
        <w:t xml:space="preserve">June 2026, the Social Housing Accelerator Program has commenced </w:t>
      </w:r>
      <w:proofErr w:type="gramStart"/>
      <w:r w:rsidRPr="00F45F11">
        <w:t>all of</w:t>
      </w:r>
      <w:proofErr w:type="gramEnd"/>
      <w:r w:rsidRPr="00F45F11">
        <w:t xml:space="preserve"> these homes and</w:t>
      </w:r>
      <w:r w:rsidR="00772C70">
        <w:t> </w:t>
      </w:r>
      <w:r w:rsidRPr="00F45F11">
        <w:t>completed more than 400 homes.</w:t>
      </w:r>
    </w:p>
    <w:p w14:paraId="4F0F85B6" w14:textId="29DE30DB" w:rsidR="00FA2A9E" w:rsidRPr="00F45F11" w:rsidRDefault="00FA2A9E" w:rsidP="005F29E3">
      <w:pPr>
        <w:pStyle w:val="ARBody"/>
      </w:pPr>
      <w:r w:rsidRPr="00F45F11">
        <w:t xml:space="preserve">In addition, the state secured the largest dwelling allocation of any state or territory through the first </w:t>
      </w:r>
      <w:r w:rsidR="00E807CB">
        <w:t>2</w:t>
      </w:r>
      <w:r w:rsidR="005D503A">
        <w:t> </w:t>
      </w:r>
      <w:r w:rsidRPr="00F45F11">
        <w:t>rounds of the Housing Australia Future Fund Facility (HAFFF). Under these rounds, Homes Victoria is supporting delivery of 1,614 social and</w:t>
      </w:r>
      <w:r w:rsidR="00772C70">
        <w:t> </w:t>
      </w:r>
      <w:r w:rsidRPr="00F45F11">
        <w:t>affordable homes, of which 574 homes have commenced, and 176 of those are</w:t>
      </w:r>
      <w:r w:rsidR="003A45A0">
        <w:t> </w:t>
      </w:r>
      <w:r w:rsidRPr="00F45F11">
        <w:t xml:space="preserve">completed. </w:t>
      </w:r>
    </w:p>
    <w:p w14:paraId="21897E5F" w14:textId="315F7B3A" w:rsidR="00FA2A9E" w:rsidRPr="00F45F11" w:rsidRDefault="00FA2A9E" w:rsidP="00FA2A9E">
      <w:pPr>
        <w:pStyle w:val="ARBody"/>
      </w:pPr>
      <w:r w:rsidRPr="00F45F11">
        <w:t xml:space="preserve">The Housing Support Program (HSP) More and Better Social Homes stream has delivered more than 120 of the 315 social homes target as </w:t>
      </w:r>
      <w:proofErr w:type="gramStart"/>
      <w:r w:rsidRPr="00F45F11">
        <w:t>at</w:t>
      </w:r>
      <w:proofErr w:type="gramEnd"/>
      <w:r w:rsidRPr="00F45F11">
        <w:t xml:space="preserve"> 30 June 2026.</w:t>
      </w:r>
      <w:r w:rsidR="00DC5A88" w:rsidRPr="00F45F11">
        <w:t xml:space="preserve"> </w:t>
      </w:r>
      <w:r w:rsidRPr="00F45F11">
        <w:t>Enabling works under HSP have also commenced, which will unlock the future delivery of</w:t>
      </w:r>
      <w:r w:rsidR="00C623C3" w:rsidRPr="00F45F11">
        <w:t> </w:t>
      </w:r>
      <w:r w:rsidRPr="00F45F11">
        <w:t>more than 850 homes.</w:t>
      </w:r>
    </w:p>
    <w:p w14:paraId="32C1CFEA" w14:textId="77777777" w:rsidR="00FA2A9E" w:rsidRPr="00F45F11" w:rsidRDefault="00FA2A9E" w:rsidP="005F29E3">
      <w:pPr>
        <w:pStyle w:val="Heading5"/>
      </w:pPr>
      <w:r w:rsidRPr="00F45F11">
        <w:t>Transforming housing through the Public Housing Renewal Program</w:t>
      </w:r>
    </w:p>
    <w:p w14:paraId="50520FD6" w14:textId="7E16E7E7" w:rsidR="00FA2A9E" w:rsidRPr="00F45F11" w:rsidRDefault="00FA2A9E" w:rsidP="005F29E3">
      <w:pPr>
        <w:pStyle w:val="ARBody"/>
      </w:pPr>
      <w:r w:rsidRPr="00F45F11">
        <w:t>The Public Housing Renewal Program continues to</w:t>
      </w:r>
      <w:r w:rsidR="00C623C3" w:rsidRPr="00F45F11">
        <w:t> </w:t>
      </w:r>
      <w:r w:rsidRPr="00F45F11">
        <w:t>transform some of the oldest public housing estates in metropolitan Melbourne.</w:t>
      </w:r>
      <w:r w:rsidR="00DC5A88" w:rsidRPr="00F45F11">
        <w:t xml:space="preserve"> </w:t>
      </w:r>
      <w:r w:rsidRPr="00F45F11">
        <w:t>The program will provide approximately 1,300 social and market homes.</w:t>
      </w:r>
      <w:r w:rsidR="00DC5A88" w:rsidRPr="00F45F11">
        <w:t xml:space="preserve"> </w:t>
      </w:r>
      <w:r w:rsidRPr="00F45F11">
        <w:t>These homes are modern, accessible and energy efficient.</w:t>
      </w:r>
      <w:r w:rsidR="00DC5A88" w:rsidRPr="00F45F11">
        <w:t xml:space="preserve"> </w:t>
      </w:r>
      <w:r w:rsidRPr="00F45F11">
        <w:t>In June 2026, more than 800 social and market homes have been completed across sites in Preston, Brunswick West, Northcote and North Melbourne.</w:t>
      </w:r>
      <w:r w:rsidR="00DC5A88" w:rsidRPr="00F45F11">
        <w:t xml:space="preserve"> </w:t>
      </w:r>
      <w:r w:rsidRPr="00F45F11">
        <w:t>Once completed, the number of</w:t>
      </w:r>
      <w:r w:rsidR="00772C70">
        <w:t> </w:t>
      </w:r>
      <w:r w:rsidRPr="00F45F11">
        <w:t>social homes at these locations will increase by</w:t>
      </w:r>
      <w:r w:rsidR="005D503A">
        <w:t> </w:t>
      </w:r>
      <w:r w:rsidRPr="00F45F11" w:rsidDel="00B653A7">
        <w:t>more than 50</w:t>
      </w:r>
      <w:r w:rsidRPr="00F45F11">
        <w:t>%.</w:t>
      </w:r>
    </w:p>
    <w:p w14:paraId="773657AF" w14:textId="77777777" w:rsidR="00FA2A9E" w:rsidRPr="00F45F11" w:rsidRDefault="00FA2A9E" w:rsidP="005F29E3">
      <w:pPr>
        <w:pStyle w:val="Heading5"/>
      </w:pPr>
      <w:r w:rsidRPr="00F45F11">
        <w:t>Redeveloping the 44 older high-rise social housing towers across Melbourne</w:t>
      </w:r>
    </w:p>
    <w:p w14:paraId="761C41B9" w14:textId="77777777" w:rsidR="003A45A0" w:rsidRDefault="00FA2A9E" w:rsidP="005F29E3">
      <w:pPr>
        <w:pStyle w:val="ARBody"/>
      </w:pPr>
      <w:r w:rsidRPr="00F45F11">
        <w:t xml:space="preserve">The department is redeveloping the 44 </w:t>
      </w:r>
      <w:r w:rsidRPr="00F45F11" w:rsidDel="009F1C11">
        <w:t>older-style</w:t>
      </w:r>
      <w:r w:rsidRPr="00F45F11">
        <w:t xml:space="preserve"> social housing high-rise </w:t>
      </w:r>
      <w:r w:rsidRPr="00F45F11" w:rsidDel="00F54108">
        <w:t>towers</w:t>
      </w:r>
      <w:r w:rsidRPr="00F45F11">
        <w:t xml:space="preserve"> to build new, modern and accessible homes to better meet the needs of the residents now and into the future.</w:t>
      </w:r>
      <w:r w:rsidR="00DC5A88" w:rsidRPr="00F45F11">
        <w:t xml:space="preserve"> </w:t>
      </w:r>
      <w:r w:rsidRPr="00F45F11">
        <w:t>The</w:t>
      </w:r>
      <w:r w:rsidR="005D503A">
        <w:t> </w:t>
      </w:r>
      <w:r w:rsidRPr="00F45F11">
        <w:t>program will improve the quality and liveability of social housing, create vibrant places for communities and provide more</w:t>
      </w:r>
      <w:r w:rsidR="005F29E3" w:rsidRPr="00F45F11">
        <w:t> </w:t>
      </w:r>
      <w:r w:rsidRPr="00F45F11">
        <w:t>homes.</w:t>
      </w:r>
    </w:p>
    <w:p w14:paraId="6C35C312" w14:textId="3512434E" w:rsidR="00FA2A9E" w:rsidRPr="00F45F11" w:rsidRDefault="00FA2A9E" w:rsidP="005F29E3">
      <w:pPr>
        <w:pStyle w:val="ARBody"/>
      </w:pPr>
      <w:r w:rsidRPr="00F45F11">
        <w:t>The department continues to work with relocating residents to understand their needs such as where they want to live and their social, cultural and practical connections.</w:t>
      </w:r>
      <w:r w:rsidR="00DC5A88" w:rsidRPr="00F45F11">
        <w:t xml:space="preserve"> </w:t>
      </w:r>
      <w:r w:rsidRPr="00F45F11">
        <w:t xml:space="preserve">There are now active projects across 11 sites and over 800 households from </w:t>
      </w:r>
      <w:r w:rsidR="00E807CB">
        <w:t xml:space="preserve">5 </w:t>
      </w:r>
      <w:r w:rsidRPr="00F45F11">
        <w:t>towers in Flemington, North Melbourne, Richmond and South Yarra have relocated in line with their preferences.</w:t>
      </w:r>
    </w:p>
    <w:p w14:paraId="658969AC" w14:textId="77777777" w:rsidR="00FA2A9E" w:rsidRPr="00F45F11" w:rsidRDefault="00FA2A9E" w:rsidP="005F29E3">
      <w:pPr>
        <w:pStyle w:val="ARBody"/>
      </w:pPr>
      <w:r w:rsidRPr="00F45F11">
        <w:t xml:space="preserve">Construction has commenced on 248 new social homes to replace 196 older homes in Carlton. Plans have been released for over 800 new homes in Flemington including at least 400 social homes, and 131 new social homes in South Melbourne. </w:t>
      </w:r>
    </w:p>
    <w:p w14:paraId="63A7C71F" w14:textId="61BFE636" w:rsidR="00FA2A9E" w:rsidRPr="00D31049" w:rsidRDefault="00FA2A9E" w:rsidP="005F29E3">
      <w:pPr>
        <w:pStyle w:val="Heading5"/>
      </w:pPr>
      <w:r w:rsidRPr="00F45F11">
        <w:t xml:space="preserve">Continuing innovative delivery options through </w:t>
      </w:r>
      <w:r w:rsidR="00337115" w:rsidRPr="00D31049">
        <w:t>m</w:t>
      </w:r>
      <w:r w:rsidRPr="00D31049">
        <w:t xml:space="preserve">odern </w:t>
      </w:r>
      <w:r w:rsidR="00337115" w:rsidRPr="00D31049">
        <w:t>m</w:t>
      </w:r>
      <w:r w:rsidRPr="00D31049">
        <w:t xml:space="preserve">ethods of </w:t>
      </w:r>
      <w:r w:rsidR="00337115" w:rsidRPr="00D31049">
        <w:t>c</w:t>
      </w:r>
      <w:r w:rsidRPr="00D31049">
        <w:t>onstruction</w:t>
      </w:r>
    </w:p>
    <w:p w14:paraId="368ECFB9" w14:textId="307CF2AA" w:rsidR="00FA2A9E" w:rsidRPr="00F45F11" w:rsidRDefault="00FA2A9E" w:rsidP="005F29E3">
      <w:pPr>
        <w:pStyle w:val="ARBody"/>
      </w:pPr>
      <w:r w:rsidRPr="00F45F11">
        <w:t xml:space="preserve">The department </w:t>
      </w:r>
      <w:r w:rsidR="00325556">
        <w:t>has</w:t>
      </w:r>
      <w:r w:rsidRPr="00F45F11">
        <w:t xml:space="preserve"> established a Modern Methods of Construction Builders Panel, with a focus on building in regional Victoria.</w:t>
      </w:r>
      <w:r w:rsidR="00DC5A88" w:rsidRPr="00F45F11">
        <w:t xml:space="preserve"> </w:t>
      </w:r>
      <w:r w:rsidRPr="00F45F11">
        <w:t xml:space="preserve">Through the Regional Housing Fund, the department will deliver 250 new homes using modern methods of construction. </w:t>
      </w:r>
      <w:r w:rsidR="00337115" w:rsidRPr="00F45F11">
        <w:t>So</w:t>
      </w:r>
      <w:r w:rsidR="000D67BA">
        <w:t> </w:t>
      </w:r>
      <w:r w:rsidR="00337115" w:rsidRPr="00F45F11">
        <w:t>far</w:t>
      </w:r>
      <w:r w:rsidRPr="00F45F11">
        <w:t>, 104 new homes have been commenced and</w:t>
      </w:r>
      <w:r w:rsidR="000D67BA">
        <w:t> </w:t>
      </w:r>
      <w:r w:rsidRPr="00F45F11">
        <w:t>14</w:t>
      </w:r>
      <w:r w:rsidR="00337115" w:rsidRPr="00F45F11">
        <w:t> </w:t>
      </w:r>
      <w:r w:rsidRPr="00F45F11">
        <w:t>completed.</w:t>
      </w:r>
    </w:p>
    <w:p w14:paraId="312D7317" w14:textId="751D4775" w:rsidR="00FA2A9E" w:rsidRPr="00F45F11" w:rsidRDefault="00FA2A9E" w:rsidP="005F29E3">
      <w:pPr>
        <w:pStyle w:val="ARBody"/>
      </w:pPr>
      <w:r w:rsidRPr="00F45F11">
        <w:t>Homes Victoria also developed and implemented a</w:t>
      </w:r>
      <w:r w:rsidR="000D67BA">
        <w:t> </w:t>
      </w:r>
      <w:r w:rsidRPr="00F45F11">
        <w:t xml:space="preserve">3D printing pilot project in Norlane </w:t>
      </w:r>
      <w:r w:rsidR="00337115" w:rsidRPr="00F45F11">
        <w:t xml:space="preserve">that </w:t>
      </w:r>
      <w:r w:rsidRPr="00F45F11">
        <w:t xml:space="preserve">will provide </w:t>
      </w:r>
      <w:r w:rsidR="00B15FFE">
        <w:t>two</w:t>
      </w:r>
      <w:r w:rsidR="00B15FFE" w:rsidRPr="00F45F11">
        <w:t xml:space="preserve"> </w:t>
      </w:r>
      <w:r w:rsidRPr="00F45F11">
        <w:t xml:space="preserve">3-bedroom homes in partnership with Geelong based builder </w:t>
      </w:r>
      <w:proofErr w:type="spellStart"/>
      <w:r w:rsidRPr="00F45F11">
        <w:t>Hamlan</w:t>
      </w:r>
      <w:proofErr w:type="spellEnd"/>
      <w:r w:rsidRPr="00F45F11">
        <w:t xml:space="preserve"> Homes.</w:t>
      </w:r>
      <w:r w:rsidR="00DC5A88" w:rsidRPr="00F45F11">
        <w:t xml:space="preserve"> </w:t>
      </w:r>
      <w:r w:rsidRPr="00F45F11">
        <w:t>These homes are the first 3D</w:t>
      </w:r>
      <w:r w:rsidR="00337115" w:rsidRPr="00F45F11">
        <w:t>-</w:t>
      </w:r>
      <w:r w:rsidRPr="00F45F11">
        <w:t>printed social housing homes in Victoria. This new way of building will save time during construction</w:t>
      </w:r>
      <w:r w:rsidR="00A16500" w:rsidRPr="00F45F11">
        <w:t>. Homes</w:t>
      </w:r>
      <w:r w:rsidRPr="00F45F11">
        <w:t xml:space="preserve"> will be thermally efficient with a</w:t>
      </w:r>
      <w:r w:rsidR="00C623C3" w:rsidRPr="00F45F11">
        <w:t> </w:t>
      </w:r>
      <w:r w:rsidRPr="00F45F11">
        <w:t xml:space="preserve">minimum </w:t>
      </w:r>
      <w:proofErr w:type="gramStart"/>
      <w:r w:rsidRPr="00F45F11">
        <w:t>8.5 star</w:t>
      </w:r>
      <w:proofErr w:type="gramEnd"/>
      <w:r w:rsidRPr="00F45F11">
        <w:t xml:space="preserve"> NATHERS rating.</w:t>
      </w:r>
    </w:p>
    <w:p w14:paraId="25BD60BA" w14:textId="38397032" w:rsidR="00C623C3" w:rsidRPr="00F45F11" w:rsidRDefault="00FA2A9E" w:rsidP="005F29E3">
      <w:pPr>
        <w:pStyle w:val="ARBody"/>
      </w:pPr>
      <w:r w:rsidRPr="00F45F11">
        <w:t>Homes Victoria has also refreshed its movable unit</w:t>
      </w:r>
      <w:r w:rsidR="005D503A">
        <w:t> </w:t>
      </w:r>
      <w:r w:rsidRPr="00F45F11">
        <w:t>program and small second homes programs.</w:t>
      </w:r>
      <w:r w:rsidR="00DC5A88" w:rsidRPr="00F45F11">
        <w:t xml:space="preserve"> </w:t>
      </w:r>
      <w:r w:rsidRPr="00F45F11">
        <w:t xml:space="preserve">Both use modern methods of construction to deliver additional one- and </w:t>
      </w:r>
      <w:r w:rsidR="00A16500" w:rsidRPr="00F45F11">
        <w:t>2</w:t>
      </w:r>
      <w:r w:rsidRPr="00F45F11">
        <w:t>-bedroom homes in the backyard of existing</w:t>
      </w:r>
      <w:r w:rsidR="003A45A0">
        <w:t> </w:t>
      </w:r>
      <w:r w:rsidRPr="00F45F11">
        <w:t>properties.</w:t>
      </w:r>
    </w:p>
    <w:p w14:paraId="4F96DC99" w14:textId="77777777" w:rsidR="00FA2A9E" w:rsidRPr="009913ED" w:rsidRDefault="00FA2A9E" w:rsidP="005F29E3">
      <w:pPr>
        <w:pStyle w:val="Heading5"/>
      </w:pPr>
      <w:r w:rsidRPr="00D31049">
        <w:t xml:space="preserve">Addressing affordability through new </w:t>
      </w:r>
      <w:r w:rsidRPr="009913ED">
        <w:t>affordable housing supply</w:t>
      </w:r>
    </w:p>
    <w:p w14:paraId="6999C10E" w14:textId="48A9832C" w:rsidR="00FA2A9E" w:rsidRPr="00F45F11" w:rsidRDefault="00FA2A9E" w:rsidP="005F29E3">
      <w:pPr>
        <w:pStyle w:val="ARBody"/>
      </w:pPr>
      <w:r w:rsidRPr="00F45F11">
        <w:t>The Affordable Housing Rental Scheme, Affordable Housing Partnerships Program and Ground Lease Model provide affordable housing for low to moderate income households, including casual and</w:t>
      </w:r>
      <w:r w:rsidR="00772C70">
        <w:t> </w:t>
      </w:r>
      <w:r w:rsidRPr="00F45F11">
        <w:t>essential workers experiencing rental stress.</w:t>
      </w:r>
    </w:p>
    <w:p w14:paraId="147A9254" w14:textId="77777777" w:rsidR="003A45A0" w:rsidRDefault="00FA2A9E" w:rsidP="005F29E3">
      <w:pPr>
        <w:pStyle w:val="ARBody"/>
      </w:pPr>
      <w:r w:rsidRPr="00F45F11">
        <w:t>These modern, energy efficient and affordable homes are close to shops, transport and workplaces, creating opportunities for people to connect and participate in their local communities.</w:t>
      </w:r>
    </w:p>
    <w:p w14:paraId="189C70C6" w14:textId="2CC29CDA" w:rsidR="00FA2A9E" w:rsidRPr="00F45F11" w:rsidRDefault="00FA2A9E" w:rsidP="005F29E3">
      <w:pPr>
        <w:pStyle w:val="ARBody"/>
      </w:pPr>
      <w:r w:rsidRPr="00F45F11">
        <w:t xml:space="preserve">As </w:t>
      </w:r>
      <w:proofErr w:type="gramStart"/>
      <w:r w:rsidRPr="00F45F11">
        <w:t>at</w:t>
      </w:r>
      <w:proofErr w:type="gramEnd"/>
      <w:r w:rsidRPr="00F45F11">
        <w:t xml:space="preserve"> 30 June 2026, Homes Victoria increased the</w:t>
      </w:r>
      <w:r w:rsidR="00C623C3" w:rsidRPr="00F45F11">
        <w:t> </w:t>
      </w:r>
      <w:r w:rsidRPr="00F45F11">
        <w:t xml:space="preserve">number of affordable homes to </w:t>
      </w:r>
      <w:proofErr w:type="gramStart"/>
      <w:r w:rsidRPr="00F45F11">
        <w:t>72</w:t>
      </w:r>
      <w:r w:rsidR="00D75A5D">
        <w:t>3</w:t>
      </w:r>
      <w:r w:rsidR="00E932E0">
        <w:t>,</w:t>
      </w:r>
      <w:r w:rsidR="00C623C3" w:rsidRPr="00F45F11">
        <w:t> </w:t>
      </w:r>
      <w:r w:rsidRPr="00F45F11">
        <w:t>and</w:t>
      </w:r>
      <w:proofErr w:type="gramEnd"/>
      <w:r w:rsidRPr="00F45F11">
        <w:t xml:space="preserve"> implemented new settings for the Affordable Housing Rental Scheme, to ensure renters pay no more than 30% of household income</w:t>
      </w:r>
      <w:r w:rsidR="00C623C3" w:rsidRPr="00F45F11">
        <w:t> </w:t>
      </w:r>
      <w:r w:rsidRPr="00F45F11">
        <w:t>or 74.99% of market rent.</w:t>
      </w:r>
      <w:r w:rsidR="00DC5A88" w:rsidRPr="00F45F11">
        <w:t xml:space="preserve"> </w:t>
      </w:r>
      <w:r w:rsidRPr="00F45F11">
        <w:t>This change ensures rents remain affordable and brings the Scheme in line with other Victorian and Commonwealth Government funded affordable housing programs.</w:t>
      </w:r>
      <w:r w:rsidR="00DC5A88" w:rsidRPr="00F45F11">
        <w:t xml:space="preserve"> </w:t>
      </w:r>
      <w:r w:rsidRPr="00F45F11">
        <w:t xml:space="preserve">Leases </w:t>
      </w:r>
      <w:r w:rsidR="00A16500" w:rsidRPr="00F45F11">
        <w:t>were</w:t>
      </w:r>
      <w:r w:rsidRPr="00F45F11">
        <w:t xml:space="preserve"> extended from </w:t>
      </w:r>
      <w:r w:rsidR="00A16500" w:rsidRPr="00F45F11">
        <w:t xml:space="preserve">3 </w:t>
      </w:r>
      <w:r w:rsidRPr="00F45F11">
        <w:t xml:space="preserve">to </w:t>
      </w:r>
      <w:r w:rsidR="00A16500" w:rsidRPr="00F45F11">
        <w:t xml:space="preserve">5 </w:t>
      </w:r>
      <w:r w:rsidRPr="00F45F11">
        <w:t>years</w:t>
      </w:r>
      <w:r w:rsidR="00A16500" w:rsidRPr="00F45F11">
        <w:t>.</w:t>
      </w:r>
      <w:r w:rsidRPr="00F45F11">
        <w:t xml:space="preserve"> </w:t>
      </w:r>
      <w:r w:rsidR="00A16500" w:rsidRPr="00F45F11">
        <w:t>R</w:t>
      </w:r>
      <w:r w:rsidRPr="00F45F11">
        <w:t xml:space="preserve">enters </w:t>
      </w:r>
      <w:r w:rsidR="00A16500" w:rsidRPr="00F45F11">
        <w:t xml:space="preserve">can </w:t>
      </w:r>
      <w:r w:rsidRPr="00F45F11">
        <w:t>exit their lease at any time without penalty, offering renters both security of tenure and</w:t>
      </w:r>
      <w:r w:rsidR="00C623C3" w:rsidRPr="00F45F11">
        <w:t> </w:t>
      </w:r>
      <w:r w:rsidRPr="00F45F11">
        <w:t>flexibility.</w:t>
      </w:r>
    </w:p>
    <w:p w14:paraId="449F219D" w14:textId="77777777" w:rsidR="00FA2A9E" w:rsidRPr="00F45F11" w:rsidRDefault="00FA2A9E" w:rsidP="005F29E3">
      <w:pPr>
        <w:pStyle w:val="Heading5"/>
      </w:pPr>
      <w:r w:rsidRPr="00F45F11">
        <w:t xml:space="preserve">Delivering safe and secure housing for victim survivors of family violence </w:t>
      </w:r>
    </w:p>
    <w:p w14:paraId="27D95B07" w14:textId="38E48724" w:rsidR="00FA2A9E" w:rsidRPr="00F45F11" w:rsidRDefault="00FA2A9E" w:rsidP="005F29E3">
      <w:pPr>
        <w:pStyle w:val="ARBody"/>
      </w:pPr>
      <w:r w:rsidRPr="00F45F11">
        <w:t xml:space="preserve">The redevelopment of communal family violence refuges into the ‘core and cluster’ model is providing improved and expanded access to refuge and crisis accommodation for victim survivors. </w:t>
      </w:r>
      <w:r w:rsidR="00472121">
        <w:br/>
      </w:r>
      <w:r w:rsidRPr="00F45F11">
        <w:t>As</w:t>
      </w:r>
      <w:r w:rsidR="00C623C3" w:rsidRPr="00F45F11">
        <w:t> </w:t>
      </w:r>
      <w:proofErr w:type="gramStart"/>
      <w:r w:rsidRPr="00F45F11">
        <w:t>at</w:t>
      </w:r>
      <w:proofErr w:type="gramEnd"/>
      <w:r w:rsidRPr="00F45F11">
        <w:t xml:space="preserve"> 30 June 2026, 17 of the 22 </w:t>
      </w:r>
      <w:r w:rsidR="004A315C">
        <w:t>core and cluster</w:t>
      </w:r>
      <w:r w:rsidRPr="00F45F11">
        <w:t xml:space="preserve"> refuges </w:t>
      </w:r>
      <w:r w:rsidR="00A16500" w:rsidRPr="00F45F11">
        <w:t>were</w:t>
      </w:r>
      <w:r w:rsidRPr="00F45F11">
        <w:t xml:space="preserve"> operational.</w:t>
      </w:r>
      <w:r w:rsidR="00DC5A88" w:rsidRPr="00F45F11">
        <w:t xml:space="preserve"> </w:t>
      </w:r>
      <w:r w:rsidRPr="00F45F11">
        <w:t xml:space="preserve">The </w:t>
      </w:r>
      <w:r w:rsidR="00A16500" w:rsidRPr="00F45F11">
        <w:t xml:space="preserve">5 </w:t>
      </w:r>
      <w:r w:rsidRPr="00F45F11">
        <w:t>remaining sites will</w:t>
      </w:r>
      <w:r w:rsidR="00472121">
        <w:t> </w:t>
      </w:r>
      <w:r w:rsidRPr="00F45F11">
        <w:t>be completed by 2028.</w:t>
      </w:r>
    </w:p>
    <w:p w14:paraId="5885F0F6" w14:textId="73554427" w:rsidR="00FA2A9E" w:rsidRPr="00F45F11" w:rsidRDefault="00FA2A9E" w:rsidP="005F29E3">
      <w:pPr>
        <w:pStyle w:val="ARBody"/>
      </w:pPr>
      <w:r w:rsidRPr="00F45F11">
        <w:t>McAuley Community Services for Women and Meli</w:t>
      </w:r>
      <w:r w:rsidR="00C623C3" w:rsidRPr="00F45F11">
        <w:t> </w:t>
      </w:r>
      <w:r w:rsidRPr="00F45F11">
        <w:t>continue to deliver the Safe at Home Pilot in</w:t>
      </w:r>
      <w:r w:rsidR="00C623C3" w:rsidRPr="00F45F11">
        <w:t> </w:t>
      </w:r>
      <w:r w:rsidRPr="00F45F11">
        <w:t>Geelong.</w:t>
      </w:r>
      <w:r w:rsidR="00DC5A88" w:rsidRPr="00F45F11">
        <w:t xml:space="preserve"> </w:t>
      </w:r>
      <w:r w:rsidRPr="00F45F11">
        <w:t>This early intervention response shifts the focus of victim survivors needing to leave the family home, alongside comprehensive wrap around supports for all family members.</w:t>
      </w:r>
    </w:p>
    <w:p w14:paraId="2579E9E8" w14:textId="7EC2EC4B" w:rsidR="00FA2A9E" w:rsidRPr="00F45F11" w:rsidRDefault="00FA2A9E" w:rsidP="005F29E3">
      <w:pPr>
        <w:pStyle w:val="ARBody"/>
      </w:pPr>
      <w:r w:rsidRPr="00F45F11">
        <w:t>The Exit Pathways initiative has continued to support victim survivors to access private rental</w:t>
      </w:r>
      <w:r w:rsidR="00D30C1D">
        <w:t> </w:t>
      </w:r>
      <w:r w:rsidRPr="00F45F11">
        <w:t>housing after exiting refuge or crisis accommodation through head-leasing arrangements or private rental brokerage for</w:t>
      </w:r>
      <w:r w:rsidR="00C623C3" w:rsidRPr="00F45F11">
        <w:t> </w:t>
      </w:r>
      <w:r w:rsidRPr="00F45F11">
        <w:t>up</w:t>
      </w:r>
      <w:r w:rsidR="00C623C3" w:rsidRPr="00F45F11">
        <w:t> </w:t>
      </w:r>
      <w:r w:rsidRPr="00F45F11">
        <w:t>to</w:t>
      </w:r>
      <w:r w:rsidR="00D30C1D">
        <w:t> </w:t>
      </w:r>
      <w:r w:rsidRPr="00F45F11">
        <w:t>18 months.</w:t>
      </w:r>
      <w:r w:rsidR="00DC5A88" w:rsidRPr="00F45F11">
        <w:t xml:space="preserve"> </w:t>
      </w:r>
      <w:r w:rsidRPr="00F45F11">
        <w:t>The Victorian Government will</w:t>
      </w:r>
      <w:r w:rsidR="00C623C3" w:rsidRPr="00F45F11">
        <w:t> </w:t>
      </w:r>
      <w:r w:rsidRPr="00F45F11">
        <w:t xml:space="preserve">implement the Improving Access </w:t>
      </w:r>
      <w:proofErr w:type="gramStart"/>
      <w:r w:rsidRPr="00F45F11">
        <w:t>To</w:t>
      </w:r>
      <w:proofErr w:type="gramEnd"/>
      <w:r w:rsidRPr="00F45F11">
        <w:t xml:space="preserve"> Crisis Accommodation Responses initiative to build on this work under the Federation Funding Agreement and Family, Domestic and Sexual Violence Responses 2025</w:t>
      </w:r>
      <w:r w:rsidR="00A16500" w:rsidRPr="00F45F11">
        <w:t>–</w:t>
      </w:r>
      <w:r w:rsidRPr="00F45F11">
        <w:t>30.</w:t>
      </w:r>
    </w:p>
    <w:p w14:paraId="510F2945" w14:textId="13E95764" w:rsidR="00FA2A9E" w:rsidRPr="00F45F11" w:rsidRDefault="00FA2A9E" w:rsidP="005F29E3">
      <w:pPr>
        <w:pStyle w:val="Heading5"/>
      </w:pPr>
      <w:r w:rsidRPr="00F45F11">
        <w:t>Better and more comfortable public</w:t>
      </w:r>
      <w:r w:rsidR="00C623C3" w:rsidRPr="00F45F11">
        <w:t> </w:t>
      </w:r>
      <w:r w:rsidRPr="00F45F11">
        <w:t>housing</w:t>
      </w:r>
    </w:p>
    <w:p w14:paraId="4DAF1A8D" w14:textId="0848B4B5" w:rsidR="00FA2A9E" w:rsidRDefault="00FA2A9E" w:rsidP="005F29E3">
      <w:pPr>
        <w:pStyle w:val="ARBody"/>
      </w:pPr>
      <w:r w:rsidRPr="00F45F11" w:rsidDel="00A50A4D">
        <w:t>The</w:t>
      </w:r>
      <w:r w:rsidRPr="00F45F11">
        <w:t xml:space="preserve"> department </w:t>
      </w:r>
      <w:r w:rsidR="00546347">
        <w:t>is committed to ensuring</w:t>
      </w:r>
      <w:r w:rsidR="000D67BA">
        <w:t xml:space="preserve"> </w:t>
      </w:r>
      <w:r w:rsidRPr="00F45F11">
        <w:t>public housing properties in a safe and suitable condition though regular maintenance activities. In</w:t>
      </w:r>
      <w:r w:rsidR="00C623C3" w:rsidRPr="00F45F11">
        <w:t> </w:t>
      </w:r>
      <w:r w:rsidRPr="00F45F11">
        <w:t>2025</w:t>
      </w:r>
      <w:r w:rsidR="00A16500" w:rsidRPr="00F45F11">
        <w:t>–</w:t>
      </w:r>
      <w:r w:rsidRPr="00F45F11">
        <w:t>26</w:t>
      </w:r>
      <w:r w:rsidR="00A16500" w:rsidRPr="00F45F11">
        <w:t>,</w:t>
      </w:r>
      <w:r w:rsidRPr="00F45F11">
        <w:t xml:space="preserve"> </w:t>
      </w:r>
      <w:r w:rsidR="00A16500" w:rsidRPr="00F45F11">
        <w:t>we</w:t>
      </w:r>
      <w:r w:rsidRPr="00F45F11">
        <w:t xml:space="preserve"> </w:t>
      </w:r>
      <w:r w:rsidR="00A16500" w:rsidRPr="00F45F11">
        <w:t>delivered</w:t>
      </w:r>
      <w:r w:rsidRPr="00F45F11">
        <w:t xml:space="preserve"> cooling in high-rise towers and improv</w:t>
      </w:r>
      <w:r w:rsidR="00A16500" w:rsidRPr="00F45F11">
        <w:t>ed</w:t>
      </w:r>
      <w:r w:rsidRPr="00F45F11">
        <w:t xml:space="preserve"> thermal comfort through the Energy Efficiency Social Housing Upgrades program.</w:t>
      </w:r>
    </w:p>
    <w:p w14:paraId="519A6EEF" w14:textId="37B4611D" w:rsidR="00FA2A9E" w:rsidRPr="00F45F11" w:rsidRDefault="00FA2A9E" w:rsidP="003A45A0">
      <w:pPr>
        <w:pStyle w:val="Heading5"/>
      </w:pPr>
      <w:r w:rsidRPr="00F45F11">
        <w:t xml:space="preserve">Modernising public housing maintenance </w:t>
      </w:r>
    </w:p>
    <w:p w14:paraId="2C9EAD41" w14:textId="71BAD76C" w:rsidR="00FA2A9E" w:rsidRPr="00F45F11" w:rsidRDefault="00FA2A9E" w:rsidP="00FA2A9E">
      <w:pPr>
        <w:pStyle w:val="ARBody"/>
      </w:pPr>
      <w:r w:rsidRPr="00F45F11">
        <w:t>The department is improving maintenance for renters as part of the Maintenance Modernisation program.</w:t>
      </w:r>
      <w:r w:rsidR="00DC5A88" w:rsidRPr="00F45F11">
        <w:t xml:space="preserve"> </w:t>
      </w:r>
      <w:r w:rsidRPr="00F45F11">
        <w:t>These improvements support renters and</w:t>
      </w:r>
      <w:r w:rsidR="00D30C1D">
        <w:t> </w:t>
      </w:r>
      <w:r w:rsidRPr="00F45F11">
        <w:t>contractors at key points in the maintenance process.</w:t>
      </w:r>
      <w:r w:rsidR="00DC5A88" w:rsidRPr="00F45F11">
        <w:t xml:space="preserve"> </w:t>
      </w:r>
      <w:r w:rsidRPr="00F45F11">
        <w:t>In 2025</w:t>
      </w:r>
      <w:r w:rsidR="00A16500" w:rsidRPr="00F45F11">
        <w:t>–</w:t>
      </w:r>
      <w:r w:rsidRPr="00F45F11">
        <w:t>26</w:t>
      </w:r>
      <w:r w:rsidR="00A16500" w:rsidRPr="00F45F11">
        <w:t>,</w:t>
      </w:r>
      <w:r w:rsidRPr="00F45F11">
        <w:t xml:space="preserve"> the department launched a</w:t>
      </w:r>
      <w:r w:rsidR="00C623C3" w:rsidRPr="00F45F11">
        <w:t> </w:t>
      </w:r>
      <w:r w:rsidRPr="00F45F11">
        <w:t>portal to enable renters to raise electronic maintenance requests, attach photographs and track the progress of their requests.</w:t>
      </w:r>
      <w:r w:rsidR="00DC5A88" w:rsidRPr="00F45F11">
        <w:t xml:space="preserve"> </w:t>
      </w:r>
      <w:r w:rsidRPr="00F45F11">
        <w:t>The system also gives contractors better information about the</w:t>
      </w:r>
      <w:r w:rsidR="00C623C3" w:rsidRPr="00F45F11">
        <w:t> </w:t>
      </w:r>
      <w:r w:rsidRPr="00F45F11">
        <w:t>job before they arrive.</w:t>
      </w:r>
      <w:r w:rsidR="00DC5A88" w:rsidRPr="00F45F11">
        <w:t xml:space="preserve"> </w:t>
      </w:r>
      <w:r w:rsidRPr="00F45F11">
        <w:t>This allows them to complete more jobs on the first visit</w:t>
      </w:r>
      <w:r w:rsidR="002A4A21">
        <w:t xml:space="preserve"> and </w:t>
      </w:r>
      <w:r w:rsidRPr="00F45F11">
        <w:t>gives renters certainty about the timing of the work.</w:t>
      </w:r>
    </w:p>
    <w:p w14:paraId="5E6955B4" w14:textId="77777777" w:rsidR="00FA2A9E" w:rsidRPr="00D31049" w:rsidRDefault="00FA2A9E" w:rsidP="005F29E3">
      <w:pPr>
        <w:pStyle w:val="Heading5"/>
      </w:pPr>
      <w:r w:rsidRPr="00F45F11">
        <w:t xml:space="preserve">Delivering high-quality, safe and sustainable upgrades to public housing </w:t>
      </w:r>
    </w:p>
    <w:p w14:paraId="0A09B1FC" w14:textId="71EC2E3E" w:rsidR="00FA2A9E" w:rsidRPr="00F45F11" w:rsidRDefault="00FA2A9E" w:rsidP="005F29E3">
      <w:pPr>
        <w:pStyle w:val="ARBody"/>
      </w:pPr>
      <w:r w:rsidRPr="00F45F11">
        <w:t xml:space="preserve">The department undertakes </w:t>
      </w:r>
      <w:r w:rsidR="00757DCA" w:rsidRPr="00F45F11">
        <w:t xml:space="preserve">more than </w:t>
      </w:r>
      <w:r w:rsidRPr="00F45F11">
        <w:t>350,000 maintenance activities each year</w:t>
      </w:r>
      <w:r w:rsidR="00757DCA" w:rsidRPr="00F45F11">
        <w:t>. This includes</w:t>
      </w:r>
      <w:r w:rsidRPr="00F45F11">
        <w:t xml:space="preserve"> essential safety checks, planned vacant and responsive maintenance to all public and transitional housing.</w:t>
      </w:r>
      <w:r w:rsidR="00DC5A88" w:rsidRPr="00F45F11">
        <w:t xml:space="preserve"> </w:t>
      </w:r>
      <w:r w:rsidRPr="00F45F11">
        <w:t>To ensure the facilities remain clean, safe and habitable, the department manages cleaning, gardening, playground repairs, waste removal and pest control.</w:t>
      </w:r>
    </w:p>
    <w:p w14:paraId="30FDD0FD" w14:textId="6FF3A64A" w:rsidR="00FA2A9E" w:rsidRPr="00F45F11" w:rsidRDefault="00FA2A9E" w:rsidP="005F29E3">
      <w:pPr>
        <w:pStyle w:val="ARBody"/>
      </w:pPr>
      <w:r w:rsidRPr="00F45F11">
        <w:t>In 2025</w:t>
      </w:r>
      <w:r w:rsidR="00000213" w:rsidRPr="00F45F11">
        <w:t>–</w:t>
      </w:r>
      <w:r w:rsidRPr="00F45F11">
        <w:t>26</w:t>
      </w:r>
      <w:r w:rsidR="00000213" w:rsidRPr="00F45F11">
        <w:t>,</w:t>
      </w:r>
      <w:r w:rsidRPr="00F45F11">
        <w:t xml:space="preserve"> 1,908 public housing properties were upgraded and improved.</w:t>
      </w:r>
      <w:r w:rsidR="00DC5A88" w:rsidRPr="00F45F11">
        <w:t xml:space="preserve"> </w:t>
      </w:r>
      <w:r w:rsidRPr="00F45F11">
        <w:t>This means more renters have a modern, safe, secure and energy-efficient home.</w:t>
      </w:r>
      <w:r w:rsidR="00DC5A88" w:rsidRPr="00F45F11">
        <w:t xml:space="preserve"> </w:t>
      </w:r>
      <w:r w:rsidRPr="00F45F11">
        <w:t xml:space="preserve">These homes meet, at a minimum, condition standards set out in the </w:t>
      </w:r>
      <w:r w:rsidR="00C623C3" w:rsidRPr="00A124D1">
        <w:rPr>
          <w:rStyle w:val="Emphasis"/>
        </w:rPr>
        <w:t>Residential Tenancies Act</w:t>
      </w:r>
      <w:r w:rsidR="00541B81">
        <w:rPr>
          <w:rStyle w:val="Emphasis"/>
        </w:rPr>
        <w:t> </w:t>
      </w:r>
      <w:r w:rsidR="00C623C3" w:rsidRPr="00A124D1">
        <w:rPr>
          <w:rStyle w:val="Emphasis"/>
        </w:rPr>
        <w:t>1997</w:t>
      </w:r>
      <w:r w:rsidRPr="00F45F11">
        <w:t>.</w:t>
      </w:r>
    </w:p>
    <w:p w14:paraId="1447357B" w14:textId="6AA60D2E" w:rsidR="00FA2A9E" w:rsidRPr="00F45F11" w:rsidRDefault="00FA2A9E" w:rsidP="005F29E3">
      <w:pPr>
        <w:pStyle w:val="Heading5"/>
      </w:pPr>
      <w:r w:rsidRPr="00F45F11">
        <w:t>Progressing the High-Rise Cooling Program and Energy Efficiency in Social</w:t>
      </w:r>
      <w:r w:rsidR="003A45A0">
        <w:t xml:space="preserve"> </w:t>
      </w:r>
      <w:r w:rsidRPr="00F45F11">
        <w:t>Housing</w:t>
      </w:r>
      <w:r w:rsidR="003A45A0">
        <w:t> </w:t>
      </w:r>
      <w:r w:rsidRPr="00F45F11">
        <w:t>Program</w:t>
      </w:r>
    </w:p>
    <w:p w14:paraId="0ADB72AC" w14:textId="3D3E1A33" w:rsidR="00FA2A9E" w:rsidRPr="00F45F11" w:rsidRDefault="00FA2A9E" w:rsidP="005F29E3">
      <w:pPr>
        <w:pStyle w:val="ARBody"/>
      </w:pPr>
      <w:r w:rsidRPr="00F45F11">
        <w:t>The department has completed installation of cooling in 16 towers through the High-Rise Cooling program.</w:t>
      </w:r>
      <w:r w:rsidR="00DC5A88" w:rsidRPr="00F45F11">
        <w:t xml:space="preserve"> </w:t>
      </w:r>
      <w:r w:rsidRPr="00F45F11">
        <w:t>Significant electrical infrastructure upgrades are planned across the remaining towers</w:t>
      </w:r>
      <w:r w:rsidR="00C623C3" w:rsidRPr="00F45F11">
        <w:t> </w:t>
      </w:r>
      <w:r w:rsidRPr="00F45F11">
        <w:t>in the program to support the installation of</w:t>
      </w:r>
      <w:r w:rsidR="00C623C3" w:rsidRPr="00F45F11">
        <w:t> </w:t>
      </w:r>
      <w:r w:rsidRPr="00F45F11">
        <w:t>air</w:t>
      </w:r>
      <w:r w:rsidR="00C623C3" w:rsidRPr="00F45F11">
        <w:t> </w:t>
      </w:r>
      <w:r w:rsidRPr="00F45F11">
        <w:t>conditioners.</w:t>
      </w:r>
    </w:p>
    <w:p w14:paraId="1FCAF2CC" w14:textId="775692DA" w:rsidR="00FA2A9E" w:rsidRPr="00F45F11" w:rsidRDefault="00FA2A9E" w:rsidP="005F29E3">
      <w:pPr>
        <w:pStyle w:val="ARBody"/>
      </w:pPr>
      <w:r w:rsidRPr="00F45F11">
        <w:t>In addition, the Energy Efficiency in Social Housing Program continues to provide energy efficiency upgrades across Victoria.</w:t>
      </w:r>
      <w:r w:rsidR="00DC5A88" w:rsidRPr="00F45F11">
        <w:t xml:space="preserve"> </w:t>
      </w:r>
      <w:r w:rsidRPr="00F45F11">
        <w:t xml:space="preserve">This program reduces energy bills for low-income households. </w:t>
      </w:r>
      <w:bookmarkStart w:id="88" w:name="_Hlk204614514"/>
      <w:r w:rsidRPr="00F45F11">
        <w:t>The program will deliver more than 50,000 individual upgrades.</w:t>
      </w:r>
      <w:r w:rsidR="00DC5A88" w:rsidRPr="00F45F11">
        <w:t xml:space="preserve"> </w:t>
      </w:r>
      <w:r w:rsidRPr="00F45F11">
        <w:t>At least 5,000 homes will be fully</w:t>
      </w:r>
      <w:r w:rsidR="00C623C3" w:rsidRPr="00F45F11">
        <w:t> </w:t>
      </w:r>
      <w:r w:rsidRPr="00F45F11">
        <w:t>electrified.</w:t>
      </w:r>
    </w:p>
    <w:p w14:paraId="47D14C6F" w14:textId="77777777" w:rsidR="00FA2A9E" w:rsidRPr="00F45F11" w:rsidRDefault="00FA2A9E" w:rsidP="005F29E3">
      <w:pPr>
        <w:pStyle w:val="ARBody"/>
      </w:pPr>
      <w:r w:rsidRPr="00F45F11">
        <w:t>Works include installing high-efficiency reverse-cycle air conditioners, hot water heat pumps, electric and induction cooktops, draught sealing, ceiling insulation and solar photovoltaic systems.</w:t>
      </w:r>
    </w:p>
    <w:p w14:paraId="436E0D60" w14:textId="32214EA4" w:rsidR="00FA2A9E" w:rsidRPr="00F45F11" w:rsidRDefault="00FA2A9E" w:rsidP="005F29E3">
      <w:pPr>
        <w:pStyle w:val="ARBody"/>
      </w:pPr>
      <w:r w:rsidRPr="00F45F11">
        <w:t xml:space="preserve">As </w:t>
      </w:r>
      <w:proofErr w:type="gramStart"/>
      <w:r w:rsidRPr="00F45F11">
        <w:t>at</w:t>
      </w:r>
      <w:proofErr w:type="gramEnd"/>
      <w:r w:rsidRPr="00F45F11">
        <w:t xml:space="preserve"> 30 June 2026, the department ha</w:t>
      </w:r>
      <w:r w:rsidR="00757DCA" w:rsidRPr="00F45F11">
        <w:t>d</w:t>
      </w:r>
      <w:r w:rsidRPr="00F45F11">
        <w:t xml:space="preserve"> delivered</w:t>
      </w:r>
      <w:r w:rsidR="00D30C1D">
        <w:t> </w:t>
      </w:r>
      <w:r w:rsidRPr="00F45F11">
        <w:t xml:space="preserve">36,000 energy-efficient upgrades </w:t>
      </w:r>
      <w:r w:rsidR="00472121">
        <w:br/>
      </w:r>
      <w:r w:rsidRPr="00F45F11">
        <w:t>and fully electrified more than 2,700 properties.</w:t>
      </w:r>
    </w:p>
    <w:bookmarkEnd w:id="88"/>
    <w:p w14:paraId="7003E78D" w14:textId="77777777" w:rsidR="00FA2A9E" w:rsidRPr="00F45F11" w:rsidRDefault="00FA2A9E" w:rsidP="005F29E3">
      <w:pPr>
        <w:pStyle w:val="Heading5"/>
      </w:pPr>
      <w:r w:rsidRPr="00F45F11">
        <w:t>Reducing homelessness through housing and support</w:t>
      </w:r>
    </w:p>
    <w:p w14:paraId="60D6F798" w14:textId="65C33064" w:rsidR="00FA2A9E" w:rsidRPr="00F45F11" w:rsidRDefault="00FA2A9E" w:rsidP="005F29E3">
      <w:pPr>
        <w:pStyle w:val="ARBody"/>
      </w:pPr>
      <w:r w:rsidRPr="00F45F11">
        <w:t>The department is committed to making homelessness rare, brief and non-recurring by working closely with the homelessness service system</w:t>
      </w:r>
      <w:r w:rsidR="003C4C73" w:rsidRPr="00F45F11">
        <w:t>. This work will</w:t>
      </w:r>
      <w:r w:rsidRPr="00F45F11">
        <w:t xml:space="preserve"> ensure people are connected to crisis accommodation, outreach and ongoing support. </w:t>
      </w:r>
      <w:r w:rsidR="00F13069">
        <w:t>During the year,</w:t>
      </w:r>
      <w:r w:rsidRPr="00F45F11">
        <w:t xml:space="preserve"> 103,</w:t>
      </w:r>
      <w:r w:rsidR="00F13069" w:rsidRPr="00F45F11">
        <w:t>37</w:t>
      </w:r>
      <w:r w:rsidR="00F13069">
        <w:t>3</w:t>
      </w:r>
      <w:r w:rsidR="00F13069" w:rsidRPr="00F45F11">
        <w:t xml:space="preserve"> </w:t>
      </w:r>
      <w:r w:rsidRPr="00F45F11">
        <w:t xml:space="preserve">homelessness services clients </w:t>
      </w:r>
      <w:r w:rsidR="003C4C73" w:rsidRPr="00F45F11">
        <w:t xml:space="preserve">received </w:t>
      </w:r>
      <w:proofErr w:type="gramStart"/>
      <w:r w:rsidR="003C4C73" w:rsidRPr="00F45F11">
        <w:t>assistance</w:t>
      </w:r>
      <w:proofErr w:type="gramEnd"/>
      <w:r w:rsidRPr="00F45F11">
        <w:t xml:space="preserve"> </w:t>
      </w:r>
      <w:r w:rsidR="00F13069">
        <w:t>and</w:t>
      </w:r>
      <w:r w:rsidRPr="00F45F11">
        <w:t xml:space="preserve"> 26,727 people </w:t>
      </w:r>
      <w:r w:rsidR="00F13069">
        <w:t xml:space="preserve">were </w:t>
      </w:r>
      <w:r w:rsidRPr="00F45F11">
        <w:t>provided with accommodation.</w:t>
      </w:r>
    </w:p>
    <w:p w14:paraId="31E5674C" w14:textId="77777777" w:rsidR="00FA2A9E" w:rsidRPr="00F45F11" w:rsidRDefault="00FA2A9E" w:rsidP="005F29E3">
      <w:pPr>
        <w:pStyle w:val="ARBody"/>
      </w:pPr>
      <w:r w:rsidRPr="00F45F11">
        <w:t>The department administers more than $300 million each year to respond to a broad spectrum of needs. This includes:</w:t>
      </w:r>
    </w:p>
    <w:p w14:paraId="48B8A9B9" w14:textId="4ECD89F6" w:rsidR="00FA2A9E" w:rsidRPr="00F45F11" w:rsidRDefault="00FA2A9E" w:rsidP="005F29E3">
      <w:pPr>
        <w:pStyle w:val="ARBullet1"/>
      </w:pPr>
      <w:r w:rsidRPr="00F45F11">
        <w:t>targeted prevention measures to avoid homelessness wherever possible through financial assistance and brokerage</w:t>
      </w:r>
    </w:p>
    <w:p w14:paraId="6F53F340" w14:textId="3E327D68" w:rsidR="00FA2A9E" w:rsidRPr="00F45F11" w:rsidRDefault="00FA2A9E" w:rsidP="005F29E3">
      <w:pPr>
        <w:pStyle w:val="ARBullet1"/>
      </w:pPr>
      <w:r w:rsidRPr="00F45F11">
        <w:t>a wide network of entry points for intake into specialist responses for those experiencing homelessness</w:t>
      </w:r>
    </w:p>
    <w:p w14:paraId="02A7BE50" w14:textId="3201CCDC" w:rsidR="00FA2A9E" w:rsidRPr="00F45F11" w:rsidRDefault="00FA2A9E" w:rsidP="005F29E3">
      <w:pPr>
        <w:pStyle w:val="ARBullet1"/>
      </w:pPr>
      <w:r w:rsidRPr="00F45F11">
        <w:t>short-term, crisis accommodation or medium-term housing options based on individual or household support and recovery need including specialist youth and family violence responses</w:t>
      </w:r>
    </w:p>
    <w:p w14:paraId="783CB171" w14:textId="0A1CD1BE" w:rsidR="00FA2A9E" w:rsidRPr="00F45F11" w:rsidRDefault="00FA2A9E" w:rsidP="005F29E3">
      <w:pPr>
        <w:pStyle w:val="ARBullet1"/>
      </w:pPr>
      <w:r w:rsidRPr="00F45F11">
        <w:t>longer-term housing with wrap around support for people who have experienced chronic or recurrent homelessness, including those who may be sleeping rough.</w:t>
      </w:r>
    </w:p>
    <w:p w14:paraId="29C78A4A" w14:textId="77777777" w:rsidR="00513AC0" w:rsidRDefault="00FA2A9E" w:rsidP="00CA5396">
      <w:pPr>
        <w:pStyle w:val="ARBodyafterbullets"/>
      </w:pPr>
      <w:r w:rsidRPr="00F45F11">
        <w:t>Aboriginal-specific services have expanded to prevention programs, entry points, and long-term housing responses with wrap-around services.</w:t>
      </w:r>
    </w:p>
    <w:p w14:paraId="2885B7BD" w14:textId="1CBA1515" w:rsidR="00FA2A9E" w:rsidRPr="003A45A0" w:rsidRDefault="00FA2A9E" w:rsidP="003A45A0">
      <w:pPr>
        <w:pStyle w:val="Heading5"/>
      </w:pPr>
      <w:r w:rsidRPr="003A45A0">
        <w:t>Delivering Housing First programs</w:t>
      </w:r>
    </w:p>
    <w:p w14:paraId="2CE6A6AD" w14:textId="186FEA8B" w:rsidR="00FA2A9E" w:rsidRPr="00F45F11" w:rsidRDefault="00FA2A9E" w:rsidP="005F29E3">
      <w:pPr>
        <w:pStyle w:val="ARBody"/>
      </w:pPr>
      <w:r w:rsidRPr="00F45F11">
        <w:t>Housing First programs sustain tenancies through the provision of dedicated support and long-term housing.</w:t>
      </w:r>
      <w:r w:rsidR="00DC5A88" w:rsidRPr="00F45F11">
        <w:t xml:space="preserve"> </w:t>
      </w:r>
      <w:r w:rsidRPr="00F45F11">
        <w:t>The Homes First program, based on Housing First principles, is helping around 500 households</w:t>
      </w:r>
      <w:r w:rsidR="003C4C73" w:rsidRPr="00F45F11">
        <w:t xml:space="preserve"> that</w:t>
      </w:r>
      <w:r w:rsidRPr="00F45F11">
        <w:t xml:space="preserve"> need intensive support services for</w:t>
      </w:r>
      <w:r w:rsidR="000D67BA">
        <w:t> </w:t>
      </w:r>
      <w:r w:rsidRPr="00F45F11">
        <w:t>people experiencing homelessness or at risk of</w:t>
      </w:r>
      <w:r w:rsidR="000D67BA">
        <w:t> </w:t>
      </w:r>
      <w:r w:rsidRPr="00F45F11">
        <w:t>sleeping rough.</w:t>
      </w:r>
    </w:p>
    <w:p w14:paraId="2A59F26E" w14:textId="77777777" w:rsidR="003A45A0" w:rsidRDefault="00FA2A9E" w:rsidP="005F29E3">
      <w:pPr>
        <w:pStyle w:val="ARBody"/>
      </w:pPr>
      <w:r w:rsidRPr="00F45F11">
        <w:t xml:space="preserve">The Journey to Social Inclusion program provides </w:t>
      </w:r>
      <w:r w:rsidR="003C4C73" w:rsidRPr="00F45F11">
        <w:t>3</w:t>
      </w:r>
      <w:r w:rsidRPr="00F45F11">
        <w:t>-year intensive wraparound services</w:t>
      </w:r>
      <w:r w:rsidR="003C4C73" w:rsidRPr="00F45F11">
        <w:t>. It</w:t>
      </w:r>
      <w:r w:rsidRPr="00F45F11">
        <w:t xml:space="preserve"> has supported 240 households, including </w:t>
      </w:r>
      <w:r w:rsidR="003C4C73" w:rsidRPr="00F45F11">
        <w:t xml:space="preserve">more than </w:t>
      </w:r>
      <w:r w:rsidRPr="00F45F11">
        <w:t>90</w:t>
      </w:r>
      <w:r w:rsidR="00D30C1D">
        <w:t> </w:t>
      </w:r>
      <w:r w:rsidRPr="00F45F11">
        <w:t>participants into long-term housing.</w:t>
      </w:r>
      <w:r w:rsidR="00DC5A88" w:rsidRPr="00F45F11">
        <w:t xml:space="preserve"> </w:t>
      </w:r>
      <w:r w:rsidRPr="00F45F11">
        <w:t>In addition, the Arc Partnership Addressing Disadvantage program provided housing for approximately 70</w:t>
      </w:r>
      <w:r w:rsidR="00D30C1D">
        <w:t> </w:t>
      </w:r>
      <w:r w:rsidRPr="00F45F11">
        <w:t>people exiting prison.</w:t>
      </w:r>
    </w:p>
    <w:p w14:paraId="1C110394" w14:textId="57B62D84" w:rsidR="00FA2A9E" w:rsidRPr="00F45F11" w:rsidRDefault="00FA2A9E" w:rsidP="005F29E3">
      <w:pPr>
        <w:pStyle w:val="ARBody"/>
      </w:pPr>
      <w:r w:rsidRPr="00F45F11">
        <w:t>In 2025</w:t>
      </w:r>
      <w:r w:rsidR="003C4C73" w:rsidRPr="00F45F11">
        <w:t>–</w:t>
      </w:r>
      <w:r w:rsidRPr="00F45F11">
        <w:t xml:space="preserve">26 the department opened </w:t>
      </w:r>
      <w:r w:rsidR="003C4C73" w:rsidRPr="00F45F11">
        <w:t xml:space="preserve">2 </w:t>
      </w:r>
      <w:r w:rsidRPr="00F45F11">
        <w:t>new Supportive Housing sites: Madden House in St</w:t>
      </w:r>
      <w:r w:rsidR="00C623C3" w:rsidRPr="00F45F11">
        <w:t> </w:t>
      </w:r>
      <w:r w:rsidRPr="00F45F11">
        <w:t>Kilda and Doug’s Place Mildura</w:t>
      </w:r>
      <w:r w:rsidR="003C4C73" w:rsidRPr="00F45F11">
        <w:t xml:space="preserve">. </w:t>
      </w:r>
      <w:r w:rsidR="00564FF1" w:rsidRPr="00F45F11">
        <w:t>These provide</w:t>
      </w:r>
      <w:r w:rsidRPr="00F45F11">
        <w:t xml:space="preserve"> </w:t>
      </w:r>
      <w:r w:rsidR="00564FF1" w:rsidRPr="00F45F11">
        <w:t xml:space="preserve">onsite support services for </w:t>
      </w:r>
      <w:r w:rsidRPr="00F45F11">
        <w:t>up to</w:t>
      </w:r>
      <w:r w:rsidR="00C623C3" w:rsidRPr="00F45F11">
        <w:t> </w:t>
      </w:r>
      <w:r w:rsidRPr="00F45F11">
        <w:t>30 long-term housing places.</w:t>
      </w:r>
    </w:p>
    <w:p w14:paraId="53C30EDE" w14:textId="77777777" w:rsidR="00FA2A9E" w:rsidRPr="00F45F11" w:rsidRDefault="00FA2A9E" w:rsidP="005F29E3">
      <w:pPr>
        <w:pStyle w:val="Heading5"/>
      </w:pPr>
      <w:r w:rsidRPr="00F45F11">
        <w:t>Funding the Rough Sleeping Action Plan</w:t>
      </w:r>
    </w:p>
    <w:p w14:paraId="7D1E4D23" w14:textId="6B2CA8DD" w:rsidR="00FA2A9E" w:rsidRPr="00D31049" w:rsidRDefault="00FA2A9E" w:rsidP="005F29E3">
      <w:pPr>
        <w:pStyle w:val="ARBody"/>
      </w:pPr>
      <w:r w:rsidRPr="00F45F11">
        <w:t>In 2025</w:t>
      </w:r>
      <w:r w:rsidR="00EB0C06" w:rsidRPr="00D31049">
        <w:t>–</w:t>
      </w:r>
      <w:r w:rsidRPr="00D31049">
        <w:t>26, the department renewed contracts for</w:t>
      </w:r>
      <w:r w:rsidR="000D67BA">
        <w:t> </w:t>
      </w:r>
      <w:r w:rsidRPr="00D31049">
        <w:t>8</w:t>
      </w:r>
      <w:r w:rsidR="00C623C3" w:rsidRPr="00D31049">
        <w:t> </w:t>
      </w:r>
      <w:r w:rsidRPr="00D31049">
        <w:t xml:space="preserve">assertive outreach teams operating across </w:t>
      </w:r>
      <w:r w:rsidRPr="00F45F11">
        <w:t>metropolitan</w:t>
      </w:r>
      <w:r w:rsidRPr="00D31049">
        <w:t xml:space="preserve"> and regional Victoria to continue critical work to support people experiencing rough sleeping to engage with housing and other social services supports.</w:t>
      </w:r>
      <w:r w:rsidR="00DC5A88" w:rsidRPr="00D31049">
        <w:t xml:space="preserve"> </w:t>
      </w:r>
      <w:r w:rsidR="00EB0C06" w:rsidRPr="00D31049">
        <w:t>This included p</w:t>
      </w:r>
      <w:r w:rsidRPr="00D31049">
        <w:t>lanning to modernise former case management programs to</w:t>
      </w:r>
      <w:r w:rsidR="000D67BA">
        <w:t> </w:t>
      </w:r>
      <w:r w:rsidRPr="00D31049">
        <w:t xml:space="preserve">transition </w:t>
      </w:r>
      <w:proofErr w:type="gramStart"/>
      <w:r w:rsidRPr="00D31049">
        <w:t>to Housing</w:t>
      </w:r>
      <w:proofErr w:type="gramEnd"/>
      <w:r w:rsidRPr="00D31049">
        <w:t xml:space="preserve"> First</w:t>
      </w:r>
      <w:r w:rsidR="00047E7E" w:rsidRPr="00047E7E">
        <w:rPr>
          <w:lang w:val="en-US"/>
        </w:rPr>
        <w:t xml:space="preserve"> </w:t>
      </w:r>
      <w:r w:rsidR="00047E7E">
        <w:rPr>
          <w:lang w:val="en-US"/>
        </w:rPr>
        <w:t>program delivery</w:t>
      </w:r>
      <w:r w:rsidR="00047E7E" w:rsidRPr="78F5888A">
        <w:rPr>
          <w:lang w:val="en-US"/>
        </w:rPr>
        <w:t xml:space="preserve"> to</w:t>
      </w:r>
      <w:r w:rsidR="000D67BA">
        <w:rPr>
          <w:lang w:val="en-US"/>
        </w:rPr>
        <w:t> </w:t>
      </w:r>
      <w:r w:rsidR="00047E7E" w:rsidRPr="78F5888A">
        <w:rPr>
          <w:lang w:val="en-US"/>
        </w:rPr>
        <w:t>improve long term client outcomes</w:t>
      </w:r>
      <w:r w:rsidRPr="00D31049">
        <w:t>.</w:t>
      </w:r>
    </w:p>
    <w:p w14:paraId="0E82268A" w14:textId="77777777" w:rsidR="00FA2A9E" w:rsidRPr="00F45F11" w:rsidRDefault="00FA2A9E" w:rsidP="00C623C3">
      <w:pPr>
        <w:pStyle w:val="Heading5"/>
      </w:pPr>
      <w:r w:rsidRPr="00F45F11">
        <w:t>Preventing youth homelessness</w:t>
      </w:r>
    </w:p>
    <w:p w14:paraId="320D221F" w14:textId="341AC9E0" w:rsidR="00FA2A9E" w:rsidRPr="00F45F11" w:rsidRDefault="00FA2A9E" w:rsidP="005F29E3">
      <w:pPr>
        <w:pStyle w:val="ARBody"/>
      </w:pPr>
      <w:r w:rsidRPr="00F45F11">
        <w:t>The department continued to fund targeted housing and support for young people, including opening a</w:t>
      </w:r>
      <w:r w:rsidR="00C623C3" w:rsidRPr="00F45F11">
        <w:t> </w:t>
      </w:r>
      <w:r w:rsidRPr="00F45F11">
        <w:t>new special youth accommodation through Orly House and the Berry St</w:t>
      </w:r>
      <w:r w:rsidR="00EB0C06" w:rsidRPr="00F45F11">
        <w:t>reet</w:t>
      </w:r>
      <w:r w:rsidRPr="00F45F11">
        <w:t xml:space="preserve"> GOALS Program.</w:t>
      </w:r>
    </w:p>
    <w:p w14:paraId="3CE2DC9F" w14:textId="0A9D7176" w:rsidR="00FA2A9E" w:rsidRPr="00F45F11" w:rsidRDefault="00FA2A9E" w:rsidP="005F29E3">
      <w:pPr>
        <w:pStyle w:val="ARBody"/>
      </w:pPr>
      <w:r w:rsidRPr="00F45F11">
        <w:t>In addition, a new Education First Youth Foyer opened in Wodonga in April 2026.</w:t>
      </w:r>
      <w:r w:rsidR="00DC5A88" w:rsidRPr="00F45F11">
        <w:t xml:space="preserve"> </w:t>
      </w:r>
      <w:r w:rsidRPr="00F45F11">
        <w:t>This Education First Youth Foyer support</w:t>
      </w:r>
      <w:r w:rsidR="00BE0CCD">
        <w:t>s</w:t>
      </w:r>
      <w:r w:rsidRPr="00F45F11">
        <w:t xml:space="preserve"> 40 young people at a time with housing and onsite wraparound support.</w:t>
      </w:r>
    </w:p>
    <w:p w14:paraId="6636A609" w14:textId="598661BD" w:rsidR="00FA2A9E" w:rsidRPr="00F45F11" w:rsidRDefault="00FA2A9E" w:rsidP="005F29E3">
      <w:pPr>
        <w:pStyle w:val="ARBody"/>
      </w:pPr>
      <w:r w:rsidRPr="00F45F11">
        <w:t>Youth refuges and foyers accommodated more than 460 young people on any given night in 2025</w:t>
      </w:r>
      <w:r w:rsidR="00EB0C06" w:rsidRPr="00F45F11">
        <w:t>–</w:t>
      </w:r>
      <w:r w:rsidRPr="00F45F11">
        <w:t>26.</w:t>
      </w:r>
    </w:p>
    <w:p w14:paraId="598CA526" w14:textId="7CBB1A0B" w:rsidR="00FA2A9E" w:rsidRPr="00F45F11" w:rsidRDefault="00FA2A9E" w:rsidP="00C623C3">
      <w:pPr>
        <w:pStyle w:val="Heading5"/>
      </w:pPr>
      <w:r w:rsidRPr="00F45F11">
        <w:t>Delivering reform and improvements for</w:t>
      </w:r>
      <w:r w:rsidR="00D30C1D">
        <w:t> </w:t>
      </w:r>
      <w:r w:rsidRPr="00F45F11">
        <w:t>the</w:t>
      </w:r>
      <w:r w:rsidR="00D30C1D">
        <w:t> </w:t>
      </w:r>
      <w:r w:rsidRPr="00F45F11">
        <w:t>homelessness services system</w:t>
      </w:r>
    </w:p>
    <w:p w14:paraId="40DD1082" w14:textId="77777777" w:rsidR="003A45A0" w:rsidRDefault="00FA2A9E" w:rsidP="005F29E3">
      <w:pPr>
        <w:pStyle w:val="ARBody"/>
      </w:pPr>
      <w:r w:rsidRPr="00F45F11">
        <w:t>The Homelessness Lived Experience Expert Advisory Panel considered priority actions to better structure and deliver homelessness services throughout 2025</w:t>
      </w:r>
      <w:r w:rsidR="00EB0C06" w:rsidRPr="00F45F11">
        <w:t>–</w:t>
      </w:r>
      <w:r w:rsidRPr="00F45F11">
        <w:t>26.</w:t>
      </w:r>
      <w:r w:rsidR="00DC5A88" w:rsidRPr="00F45F11">
        <w:t xml:space="preserve"> </w:t>
      </w:r>
      <w:r w:rsidRPr="00F45F11">
        <w:t>Incorporating this advice and</w:t>
      </w:r>
      <w:r w:rsidR="000D67BA">
        <w:t> </w:t>
      </w:r>
      <w:r w:rsidRPr="00F45F11">
        <w:t xml:space="preserve">through its own deliberations, the Ministerial Homelessness Advisory Group also finalised </w:t>
      </w:r>
      <w:r w:rsidR="00EB0C06" w:rsidRPr="00F45F11">
        <w:t xml:space="preserve">its </w:t>
      </w:r>
      <w:r w:rsidRPr="00F45F11">
        <w:t xml:space="preserve">advice to the </w:t>
      </w:r>
      <w:r w:rsidR="00EB0C06" w:rsidRPr="00F45F11">
        <w:t>m</w:t>
      </w:r>
      <w:r w:rsidRPr="00F45F11">
        <w:t xml:space="preserve">inister through the recommendation of </w:t>
      </w:r>
      <w:r w:rsidR="00EB0C06" w:rsidRPr="00F45F11">
        <w:t xml:space="preserve">6 </w:t>
      </w:r>
      <w:r w:rsidRPr="00F45F11">
        <w:t>priority actions to reform homelessness services</w:t>
      </w:r>
      <w:r w:rsidR="00EB0C06" w:rsidRPr="00F45F11">
        <w:t>. This</w:t>
      </w:r>
      <w:r w:rsidRPr="00F45F11">
        <w:t xml:space="preserve"> includ</w:t>
      </w:r>
      <w:r w:rsidR="00EB0C06" w:rsidRPr="00F45F11">
        <w:t>ed</w:t>
      </w:r>
      <w:r w:rsidRPr="00F45F11">
        <w:t xml:space="preserve"> the expansion of Assertive Outreach</w:t>
      </w:r>
      <w:r w:rsidR="00EB0C06" w:rsidRPr="00F45F11">
        <w:t>,</w:t>
      </w:r>
      <w:r w:rsidRPr="00F45F11">
        <w:t xml:space="preserve"> which was funded through the </w:t>
      </w:r>
      <w:r w:rsidRPr="00A124D1">
        <w:rPr>
          <w:rStyle w:val="Emphasis"/>
        </w:rPr>
        <w:t>2025</w:t>
      </w:r>
      <w:r w:rsidR="00EB0C06" w:rsidRPr="00A124D1">
        <w:rPr>
          <w:rStyle w:val="Emphasis"/>
        </w:rPr>
        <w:t>–</w:t>
      </w:r>
      <w:r w:rsidRPr="00A124D1">
        <w:rPr>
          <w:rStyle w:val="Emphasis"/>
        </w:rPr>
        <w:t xml:space="preserve">26 </w:t>
      </w:r>
      <w:r w:rsidR="00EB0C06" w:rsidRPr="00A124D1">
        <w:rPr>
          <w:rStyle w:val="Emphasis"/>
        </w:rPr>
        <w:t xml:space="preserve">State </w:t>
      </w:r>
      <w:r w:rsidRPr="00A124D1">
        <w:rPr>
          <w:rStyle w:val="Emphasis"/>
        </w:rPr>
        <w:t>Budget</w:t>
      </w:r>
      <w:r w:rsidRPr="00F45F11">
        <w:t xml:space="preserve">. </w:t>
      </w:r>
    </w:p>
    <w:p w14:paraId="72A88D44" w14:textId="77777777" w:rsidR="00FA2A9E" w:rsidRPr="00F45F11" w:rsidRDefault="00FA2A9E" w:rsidP="005F29E3">
      <w:pPr>
        <w:pStyle w:val="Heading5"/>
      </w:pPr>
      <w:r w:rsidRPr="00F45F11">
        <w:t>Supported Residential Services Outreach and Assistance Program</w:t>
      </w:r>
    </w:p>
    <w:p w14:paraId="474052AD" w14:textId="2A7BCA8D" w:rsidR="00FA2A9E" w:rsidRPr="00F45F11" w:rsidRDefault="00FA2A9E" w:rsidP="005F29E3">
      <w:pPr>
        <w:pStyle w:val="ARBody"/>
      </w:pPr>
      <w:r w:rsidRPr="00F45F11">
        <w:t>The Victorian Government provides more than $15</w:t>
      </w:r>
      <w:r w:rsidR="00C623C3" w:rsidRPr="00F45F11">
        <w:t> </w:t>
      </w:r>
      <w:r w:rsidRPr="00F45F11">
        <w:t xml:space="preserve">million each year to funded agencies to support residents in </w:t>
      </w:r>
      <w:r w:rsidR="00961906">
        <w:t>S</w:t>
      </w:r>
      <w:r w:rsidRPr="00F45F11">
        <w:t xml:space="preserve">upported </w:t>
      </w:r>
      <w:r w:rsidR="00961906">
        <w:t>R</w:t>
      </w:r>
      <w:r w:rsidRPr="00F45F11">
        <w:t xml:space="preserve">esidential </w:t>
      </w:r>
      <w:r w:rsidR="00961906">
        <w:t>S</w:t>
      </w:r>
      <w:r w:rsidRPr="00F45F11">
        <w:t>ervices (SRS). SRSs provide accommodation for people with daily living support needs, including people exiting health, justice and homelessness settings. Under the SRS Outreach and Assistance Program, health and community service professionals delivered support to all 69 pension-level SRSs in</w:t>
      </w:r>
      <w:r w:rsidR="00C623C3" w:rsidRPr="00F45F11">
        <w:t> </w:t>
      </w:r>
      <w:r w:rsidRPr="00F45F11">
        <w:t>Victoria.</w:t>
      </w:r>
      <w:r w:rsidR="00DC5A88" w:rsidRPr="00F45F11">
        <w:t xml:space="preserve"> </w:t>
      </w:r>
      <w:r w:rsidRPr="00F45F11">
        <w:t>These provide more than 2,200 beds</w:t>
      </w:r>
      <w:r w:rsidR="00C623C3" w:rsidRPr="00F45F11">
        <w:t> </w:t>
      </w:r>
      <w:r w:rsidRPr="00F45F11">
        <w:t xml:space="preserve">statewide. </w:t>
      </w:r>
    </w:p>
    <w:p w14:paraId="09B0A31F" w14:textId="77777777" w:rsidR="00FA2A9E" w:rsidRPr="00F45F11" w:rsidRDefault="00FA2A9E" w:rsidP="005F29E3">
      <w:pPr>
        <w:pStyle w:val="Heading5"/>
      </w:pPr>
      <w:r w:rsidRPr="00F45F11">
        <w:t>Enabling First Peoples self-determination</w:t>
      </w:r>
    </w:p>
    <w:p w14:paraId="586EA1CB" w14:textId="54404510" w:rsidR="00FA2A9E" w:rsidRPr="00F45F11" w:rsidRDefault="00FA2A9E" w:rsidP="005F29E3">
      <w:pPr>
        <w:pStyle w:val="ARBody"/>
      </w:pPr>
      <w:r w:rsidRPr="00F45F11">
        <w:t>The department is working with First Peoples housing and homelessness providers and communities to enable a self-determined approach to ensure housing options and service responses meet community</w:t>
      </w:r>
      <w:r w:rsidR="003A45A0">
        <w:t> </w:t>
      </w:r>
      <w:r w:rsidRPr="00F45F11">
        <w:t>needs.</w:t>
      </w:r>
    </w:p>
    <w:p w14:paraId="2741D82B" w14:textId="0A12DFEC" w:rsidR="00FA2A9E" w:rsidRPr="00F45F11" w:rsidRDefault="00FA2A9E" w:rsidP="005F29E3">
      <w:pPr>
        <w:pStyle w:val="Heading5"/>
      </w:pPr>
      <w:r w:rsidRPr="00F45F11">
        <w:t>Launched First Peoples Home Ownership</w:t>
      </w:r>
      <w:r w:rsidR="00C623C3" w:rsidRPr="00F45F11">
        <w:t> </w:t>
      </w:r>
      <w:r w:rsidRPr="00F45F11">
        <w:t>Program</w:t>
      </w:r>
    </w:p>
    <w:p w14:paraId="4E86650B" w14:textId="26332480" w:rsidR="00513AC0" w:rsidRDefault="00FA2A9E" w:rsidP="00513AC0">
      <w:pPr>
        <w:pStyle w:val="ARBody"/>
      </w:pPr>
      <w:r w:rsidRPr="00F45F11">
        <w:t>The First Peoples Home Ownership Program provides grants for eligible First Peoples in Victoria to contribute to the upfront costs of buying a home, including deposit contribution, stamp duty and legal and conveyancing fees.</w:t>
      </w:r>
      <w:r w:rsidR="00DC5A88" w:rsidRPr="00F45F11">
        <w:t xml:space="preserve"> </w:t>
      </w:r>
      <w:r w:rsidRPr="00F45F11">
        <w:t xml:space="preserve">The department has partnered with Aboriginal Housing Victoria and Worn </w:t>
      </w:r>
      <w:proofErr w:type="spellStart"/>
      <w:r w:rsidRPr="00F45F11">
        <w:t>Gundidj</w:t>
      </w:r>
      <w:proofErr w:type="spellEnd"/>
      <w:r w:rsidRPr="00F45F11">
        <w:t xml:space="preserve"> to provide community engagement, education, referrals and support to applicants as they progress to home ownership.</w:t>
      </w:r>
      <w:r w:rsidR="00DC5A88" w:rsidRPr="00F45F11">
        <w:t xml:space="preserve"> </w:t>
      </w:r>
      <w:r w:rsidRPr="00F45F11">
        <w:t>In 2025</w:t>
      </w:r>
      <w:r w:rsidR="00EB0C06" w:rsidRPr="00F45F11">
        <w:t>–</w:t>
      </w:r>
      <w:r w:rsidRPr="00F45F11">
        <w:t>26, 41</w:t>
      </w:r>
      <w:r w:rsidR="00C623C3" w:rsidRPr="00F45F11">
        <w:t> </w:t>
      </w:r>
      <w:r w:rsidRPr="00F45F11">
        <w:t>First Peoples received grant packages and</w:t>
      </w:r>
      <w:r w:rsidR="00472121">
        <w:t> </w:t>
      </w:r>
      <w:r w:rsidRPr="00F45F11">
        <w:t>purchased their own home</w:t>
      </w:r>
      <w:r w:rsidRPr="00F45F11" w:rsidDel="005C1FAF">
        <w:t>.</w:t>
      </w:r>
    </w:p>
    <w:p w14:paraId="60403328" w14:textId="6F069C77" w:rsidR="00FA2A9E" w:rsidRPr="00F45F11" w:rsidRDefault="00FA2A9E" w:rsidP="00513AC0">
      <w:pPr>
        <w:pStyle w:val="ARBody"/>
      </w:pPr>
      <w:r w:rsidRPr="00513AC0">
        <w:rPr>
          <w:rStyle w:val="Heading5Char"/>
        </w:rPr>
        <w:t>Delivering more new</w:t>
      </w:r>
      <w:r w:rsidRPr="00513AC0" w:rsidDel="00744C69">
        <w:rPr>
          <w:rStyle w:val="Heading5Char"/>
        </w:rPr>
        <w:t xml:space="preserve"> </w:t>
      </w:r>
      <w:r w:rsidRPr="00513AC0">
        <w:rPr>
          <w:rStyle w:val="Heading5Char"/>
        </w:rPr>
        <w:t>social homes for</w:t>
      </w:r>
      <w:r w:rsidR="00C623C3" w:rsidRPr="00513AC0">
        <w:rPr>
          <w:rStyle w:val="Heading5Char"/>
        </w:rPr>
        <w:t> </w:t>
      </w:r>
      <w:r w:rsidRPr="00513AC0">
        <w:rPr>
          <w:rStyle w:val="Heading5Char"/>
        </w:rPr>
        <w:t>First</w:t>
      </w:r>
      <w:r w:rsidR="00C623C3" w:rsidRPr="00513AC0">
        <w:rPr>
          <w:rStyle w:val="Heading5Char"/>
        </w:rPr>
        <w:t> </w:t>
      </w:r>
      <w:r w:rsidRPr="00513AC0">
        <w:rPr>
          <w:rStyle w:val="Heading5Char"/>
        </w:rPr>
        <w:t>Peoples</w:t>
      </w:r>
      <w:r w:rsidRPr="00F45F11">
        <w:t xml:space="preserve"> </w:t>
      </w:r>
    </w:p>
    <w:p w14:paraId="19F772EE" w14:textId="3AB27EDF" w:rsidR="00FA2A9E" w:rsidRDefault="00FA2A9E" w:rsidP="005F29E3">
      <w:pPr>
        <w:pStyle w:val="ARBody"/>
      </w:pPr>
      <w:r w:rsidRPr="00F45F11">
        <w:t>The Big Housing Build, Regional Housing Fund</w:t>
      </w:r>
      <w:r w:rsidRPr="00D31049">
        <w:t xml:space="preserve"> and Social Housing Accelerator Program ensure</w:t>
      </w:r>
      <w:r w:rsidRPr="00F45F11">
        <w:t xml:space="preserve"> 10% of</w:t>
      </w:r>
      <w:r w:rsidR="00C623C3" w:rsidRPr="00F45F11">
        <w:t> </w:t>
      </w:r>
      <w:r w:rsidRPr="00F45F11">
        <w:t>net new social housing will be delivered for First Peoples in Victoria.</w:t>
      </w:r>
      <w:r w:rsidR="00DC5A88" w:rsidRPr="00F45F11">
        <w:t xml:space="preserve"> </w:t>
      </w:r>
      <w:r w:rsidRPr="00F45F11">
        <w:t>In 2025</w:t>
      </w:r>
      <w:r w:rsidR="000232DA" w:rsidRPr="00F45F11">
        <w:t>–</w:t>
      </w:r>
      <w:r w:rsidRPr="00F45F11">
        <w:t>26</w:t>
      </w:r>
      <w:r w:rsidR="000232DA" w:rsidRPr="00F45F11">
        <w:t>,</w:t>
      </w:r>
      <w:r w:rsidRPr="00F45F11">
        <w:t xml:space="preserve"> 416 new social homes were delivered for First Peoples, exceeding our target of 300 new homes per year. </w:t>
      </w:r>
    </w:p>
    <w:p w14:paraId="4500CF6E" w14:textId="40A669C1" w:rsidR="00FA2A9E" w:rsidRPr="00F45F11" w:rsidRDefault="00FA2A9E" w:rsidP="003A45A0">
      <w:pPr>
        <w:pStyle w:val="Heading5"/>
      </w:pPr>
      <w:r w:rsidRPr="00F45F11">
        <w:t>Delivered key housing and homelessness priorities under the National Agreement on</w:t>
      </w:r>
      <w:r w:rsidR="00C623C3" w:rsidRPr="00F45F11">
        <w:t> </w:t>
      </w:r>
      <w:r w:rsidRPr="00F45F11">
        <w:t>Closing the Gap and the Victorian Aboriginal Housing and Homelessness Framework (VAHHF)</w:t>
      </w:r>
    </w:p>
    <w:p w14:paraId="4B2286ED" w14:textId="69A7AA51" w:rsidR="00FA2A9E" w:rsidRPr="00F45F11" w:rsidRDefault="00FA2A9E" w:rsidP="005F29E3">
      <w:pPr>
        <w:pStyle w:val="ARBody"/>
      </w:pPr>
      <w:r w:rsidRPr="00F45F11">
        <w:t>The department participates in the partnership forum for the National Agreement on Closing the</w:t>
      </w:r>
      <w:r w:rsidR="00330098">
        <w:t> </w:t>
      </w:r>
      <w:r w:rsidRPr="00F45F11">
        <w:t>Gap.</w:t>
      </w:r>
      <w:r w:rsidR="00DC5A88" w:rsidRPr="00F45F11">
        <w:t xml:space="preserve"> </w:t>
      </w:r>
      <w:r w:rsidRPr="00F45F11">
        <w:t>This commits all Australian governments</w:t>
      </w:r>
      <w:r w:rsidR="00330098">
        <w:t> </w:t>
      </w:r>
      <w:r w:rsidRPr="00F45F11">
        <w:t>and</w:t>
      </w:r>
      <w:r w:rsidR="00330098">
        <w:t> </w:t>
      </w:r>
      <w:r w:rsidRPr="00F45F11">
        <w:t xml:space="preserve">First Peoples representatives </w:t>
      </w:r>
      <w:r w:rsidR="00330098">
        <w:br/>
      </w:r>
      <w:r w:rsidRPr="00F45F11">
        <w:t>to a fundamentally new way of developing and implementing policies and programs that affect First</w:t>
      </w:r>
      <w:r w:rsidR="00330098">
        <w:t> </w:t>
      </w:r>
      <w:r w:rsidRPr="00F45F11">
        <w:t xml:space="preserve">Peoples. </w:t>
      </w:r>
    </w:p>
    <w:p w14:paraId="069F1562" w14:textId="62644F61" w:rsidR="00FA2A9E" w:rsidRPr="00F45F11" w:rsidRDefault="00FA2A9E" w:rsidP="00CE0233">
      <w:pPr>
        <w:pStyle w:val="ARBody"/>
      </w:pPr>
      <w:r w:rsidRPr="00F45F11">
        <w:t xml:space="preserve">As </w:t>
      </w:r>
      <w:proofErr w:type="gramStart"/>
      <w:r w:rsidRPr="00F45F11">
        <w:t>at</w:t>
      </w:r>
      <w:proofErr w:type="gramEnd"/>
      <w:r w:rsidRPr="00F45F11">
        <w:t xml:space="preserve"> 30 June 2026, the department progressed towards the National Agreement by delivering key housing and homelessness priorities.</w:t>
      </w:r>
      <w:r w:rsidR="00DC5A88" w:rsidRPr="00F45F11">
        <w:t xml:space="preserve"> </w:t>
      </w:r>
      <w:r w:rsidRPr="00F45F11">
        <w:t xml:space="preserve">This includes establishing and undertaking data sharing processes to progress Data Sovereignty, funding initiatives to improve cultural safety in social housing and building </w:t>
      </w:r>
      <w:r w:rsidRPr="00CE0233">
        <w:t>the</w:t>
      </w:r>
      <w:r w:rsidRPr="00F45F11">
        <w:t xml:space="preserve"> First Peoples housing sector through the commitment to deliver at least 10% of social homes for First Peoples</w:t>
      </w:r>
      <w:r w:rsidRPr="00F45F11" w:rsidDel="008D23B7">
        <w:t>.</w:t>
      </w:r>
    </w:p>
    <w:p w14:paraId="5D4D5D03" w14:textId="7C8FA2B1" w:rsidR="00B97C78" w:rsidRDefault="00DC5A88" w:rsidP="00CE0233">
      <w:pPr>
        <w:pStyle w:val="ARBody"/>
      </w:pPr>
      <w:r w:rsidRPr="00F45F11">
        <w:t>The department continues to work in partnership with First Peoples to implement</w:t>
      </w:r>
      <w:r w:rsidRPr="00A124D1">
        <w:rPr>
          <w:rStyle w:val="Emphasis"/>
        </w:rPr>
        <w:t xml:space="preserve"> Mana-</w:t>
      </w:r>
      <w:proofErr w:type="spellStart"/>
      <w:r w:rsidRPr="00A124D1">
        <w:rPr>
          <w:rStyle w:val="Emphasis"/>
        </w:rPr>
        <w:t>na</w:t>
      </w:r>
      <w:proofErr w:type="spellEnd"/>
      <w:r w:rsidRPr="00A124D1">
        <w:rPr>
          <w:rStyle w:val="Emphasis"/>
        </w:rPr>
        <w:t xml:space="preserve"> </w:t>
      </w:r>
      <w:proofErr w:type="spellStart"/>
      <w:r w:rsidRPr="00A124D1">
        <w:rPr>
          <w:rStyle w:val="Emphasis"/>
        </w:rPr>
        <w:t>woorn-tyeen</w:t>
      </w:r>
      <w:proofErr w:type="spellEnd"/>
      <w:r w:rsidRPr="00A124D1">
        <w:rPr>
          <w:rStyle w:val="Emphasis"/>
        </w:rPr>
        <w:t xml:space="preserve"> maar-</w:t>
      </w:r>
      <w:proofErr w:type="spellStart"/>
      <w:r w:rsidRPr="00A124D1">
        <w:rPr>
          <w:rStyle w:val="Emphasis"/>
        </w:rPr>
        <w:t>takoort</w:t>
      </w:r>
      <w:proofErr w:type="spellEnd"/>
      <w:r w:rsidRPr="00A124D1">
        <w:rPr>
          <w:rStyle w:val="Emphasis"/>
        </w:rPr>
        <w:t>: Every Aboriginal person has a</w:t>
      </w:r>
      <w:r w:rsidR="000D67BA">
        <w:rPr>
          <w:rStyle w:val="Emphasis"/>
        </w:rPr>
        <w:t> </w:t>
      </w:r>
      <w:r w:rsidRPr="00A124D1">
        <w:rPr>
          <w:rStyle w:val="Emphasis"/>
        </w:rPr>
        <w:t xml:space="preserve">home </w:t>
      </w:r>
      <w:r w:rsidRPr="00F45F11">
        <w:t xml:space="preserve">– the VAHHF and the </w:t>
      </w:r>
      <w:r w:rsidRPr="00A124D1">
        <w:rPr>
          <w:rStyle w:val="Emphasis"/>
        </w:rPr>
        <w:t>Blueprint for an Aboriginal-specific homelessness system</w:t>
      </w:r>
      <w:r w:rsidRPr="00F45F11">
        <w:t>. The VAHHF</w:t>
      </w:r>
      <w:r w:rsidRPr="00F45F11" w:rsidDel="00F61D2E">
        <w:t xml:space="preserve"> </w:t>
      </w:r>
      <w:r w:rsidRPr="00F45F11">
        <w:t>enables the government to enable</w:t>
      </w:r>
      <w:r w:rsidRPr="00F45F11" w:rsidDel="0055546C">
        <w:t xml:space="preserve"> </w:t>
      </w:r>
      <w:r w:rsidRPr="00F45F11">
        <w:t xml:space="preserve">self-determination by transitioning power and responsibility over to First Peoples communities. </w:t>
      </w:r>
    </w:p>
    <w:p w14:paraId="2D6166E0" w14:textId="77777777" w:rsidR="00B97C78" w:rsidRDefault="00B97C78">
      <w:pPr>
        <w:spacing w:after="0" w:line="240" w:lineRule="auto"/>
        <w:rPr>
          <w:rFonts w:eastAsia="Times"/>
          <w:sz w:val="20"/>
        </w:rPr>
      </w:pPr>
      <w:r>
        <w:br w:type="page"/>
      </w:r>
    </w:p>
    <w:p w14:paraId="533D3A89" w14:textId="2A3D0267" w:rsidR="00FA2A9E" w:rsidRPr="00F45F11" w:rsidRDefault="00FA2A9E" w:rsidP="00DC5A88">
      <w:pPr>
        <w:pStyle w:val="Heading5"/>
        <w:spacing w:before="0"/>
      </w:pPr>
      <w:r w:rsidRPr="00F45F11">
        <w:t>Increasing cultural safety across mainstream social housing and homelessness services</w:t>
      </w:r>
    </w:p>
    <w:p w14:paraId="7A5F3C22" w14:textId="57EB51EC" w:rsidR="00E344AA" w:rsidRPr="00A6731C" w:rsidRDefault="00FA2A9E" w:rsidP="00E344AA">
      <w:pPr>
        <w:pStyle w:val="ARBody"/>
      </w:pPr>
      <w:r w:rsidRPr="00F45F11">
        <w:t>In 2025</w:t>
      </w:r>
      <w:r w:rsidR="000232DA" w:rsidRPr="00F45F11">
        <w:t>–</w:t>
      </w:r>
      <w:r w:rsidRPr="00F45F11">
        <w:t>26</w:t>
      </w:r>
      <w:r w:rsidR="000232DA" w:rsidRPr="00F45F11">
        <w:t>,</w:t>
      </w:r>
      <w:r w:rsidRPr="00F45F11">
        <w:t xml:space="preserve"> the department partnered with peak bodies Community Housing Industry Association Victoria and Council to Homeless Persons to fund cultural safety initiatives across the housing and homelessness sectors.</w:t>
      </w:r>
      <w:r w:rsidR="00DC5A88" w:rsidRPr="00F45F11">
        <w:t xml:space="preserve"> </w:t>
      </w:r>
      <w:r w:rsidRPr="00F45F11">
        <w:t>These initiatives support the</w:t>
      </w:r>
      <w:r w:rsidR="00330098">
        <w:t> </w:t>
      </w:r>
      <w:r w:rsidRPr="00F45F11">
        <w:t>department’s delivery of the Korin-Korin Balit-</w:t>
      </w:r>
      <w:proofErr w:type="spellStart"/>
      <w:r w:rsidRPr="00F45F11">
        <w:t>Dja</w:t>
      </w:r>
      <w:r w:rsidR="00A6731C">
        <w:t>k</w:t>
      </w:r>
      <w:proofErr w:type="spellEnd"/>
      <w:r w:rsidR="000D67BA">
        <w:t xml:space="preserve"> </w:t>
      </w:r>
      <w:hyperlink r:id="rId46" w:history="1">
        <w:r w:rsidR="00E344AA" w:rsidRPr="00A6731C">
          <w:rPr>
            <w:rStyle w:val="Hyperlink"/>
          </w:rPr>
          <w:t>Aboriginal health, wellbeing and safety strategic plan 2017–2027.</w:t>
        </w:r>
      </w:hyperlink>
      <w:r w:rsidR="000D67BA">
        <w:rPr>
          <w:rStyle w:val="FootnoteReference"/>
        </w:rPr>
        <w:footnoteReference w:id="7"/>
      </w:r>
    </w:p>
    <w:p w14:paraId="5B683420" w14:textId="77777777" w:rsidR="003A45A0" w:rsidRDefault="00E344AA" w:rsidP="00E344AA">
      <w:pPr>
        <w:pStyle w:val="ARBody"/>
      </w:pPr>
      <w:r w:rsidRPr="00A6731C">
        <w:t>The department also engaged with the Aboriginal Housing and Homelessness Forum to inform development of a cultural safety standard for the community housing sector, in partnership with the Housing Registrar.</w:t>
      </w:r>
    </w:p>
    <w:p w14:paraId="46546468" w14:textId="77777777" w:rsidR="00E344AA" w:rsidRPr="00A6731C" w:rsidRDefault="00E344AA" w:rsidP="003A45A0">
      <w:pPr>
        <w:pStyle w:val="Heading6"/>
      </w:pPr>
      <w:r w:rsidRPr="00A6731C">
        <w:t xml:space="preserve">Growing the First Peoples </w:t>
      </w:r>
      <w:r w:rsidRPr="003A45A0">
        <w:t>housing</w:t>
      </w:r>
      <w:r w:rsidRPr="00A6731C">
        <w:t xml:space="preserve"> sector with capacity building initiatives</w:t>
      </w:r>
    </w:p>
    <w:p w14:paraId="2E9CCBF0" w14:textId="186697BF" w:rsidR="00E344AA" w:rsidRDefault="00E344AA" w:rsidP="00E344AA">
      <w:pPr>
        <w:pStyle w:val="ARBody"/>
      </w:pPr>
      <w:r w:rsidRPr="00A6731C">
        <w:t xml:space="preserve">Through Homes Victoria, the department supports the growth of the First Peoples community housing sector. There are now 8 registered First Peoples housing providers under the </w:t>
      </w:r>
      <w:r w:rsidRPr="00A124D1">
        <w:rPr>
          <w:rStyle w:val="Emphasis"/>
        </w:rPr>
        <w:t>Housing Act 1983</w:t>
      </w:r>
      <w:r w:rsidRPr="00A6731C">
        <w:t xml:space="preserve">. This is a significant step towards self-determination as it enables localised housing services to respond to the needs of their communities. </w:t>
      </w:r>
    </w:p>
    <w:p w14:paraId="50488E14" w14:textId="4D99B911" w:rsidR="00E344AA" w:rsidRPr="00A6731C" w:rsidRDefault="00E344AA" w:rsidP="003A45A0">
      <w:pPr>
        <w:pStyle w:val="Heading6"/>
      </w:pPr>
      <w:r w:rsidRPr="00A6731C">
        <w:t xml:space="preserve">Building a </w:t>
      </w:r>
      <w:proofErr w:type="gramStart"/>
      <w:r w:rsidRPr="00A6731C">
        <w:t>First-Peoples</w:t>
      </w:r>
      <w:proofErr w:type="gramEnd"/>
      <w:r w:rsidRPr="00A6731C">
        <w:t>-specific homelessness system</w:t>
      </w:r>
    </w:p>
    <w:p w14:paraId="0A7F7195" w14:textId="4EB434CD" w:rsidR="00E344AA" w:rsidRPr="00A6731C" w:rsidRDefault="00E344AA" w:rsidP="00E344AA">
      <w:pPr>
        <w:pStyle w:val="ARBody"/>
      </w:pPr>
      <w:r w:rsidRPr="00A6731C">
        <w:t xml:space="preserve">The </w:t>
      </w:r>
      <w:proofErr w:type="gramStart"/>
      <w:r w:rsidRPr="00A6731C">
        <w:t>First-Peoples</w:t>
      </w:r>
      <w:proofErr w:type="gramEnd"/>
      <w:r w:rsidRPr="00A6731C">
        <w:t xml:space="preserve">-specific homelessness entry points program is delivered by </w:t>
      </w:r>
      <w:proofErr w:type="spellStart"/>
      <w:r w:rsidRPr="00A6731C">
        <w:t>Ngwala</w:t>
      </w:r>
      <w:proofErr w:type="spellEnd"/>
      <w:r w:rsidRPr="00A6731C">
        <w:t xml:space="preserve"> Willumbong Aboriginal Corporation (Bayside Peninsula and</w:t>
      </w:r>
      <w:r w:rsidR="00472121">
        <w:t> </w:t>
      </w:r>
      <w:r w:rsidRPr="00A6731C">
        <w:t xml:space="preserve">metropolitan Melbourne) and Wathaurong Aboriginal Co-operative (Barwon area). It provides access to </w:t>
      </w:r>
      <w:proofErr w:type="gramStart"/>
      <w:r w:rsidRPr="00A6731C">
        <w:t>First-Peoples</w:t>
      </w:r>
      <w:proofErr w:type="gramEnd"/>
      <w:r w:rsidRPr="00A6731C">
        <w:t>-led,</w:t>
      </w:r>
      <w:r w:rsidRPr="00A6731C" w:rsidDel="007D28DE">
        <w:t xml:space="preserve"> </w:t>
      </w:r>
      <w:r w:rsidRPr="00A6731C">
        <w:t>culturally appropriate homelessness services for those at risk of or experiencing homelessness. In 2025–26, the entry points delivered</w:t>
      </w:r>
      <w:r w:rsidRPr="00A6731C" w:rsidDel="00A96D69">
        <w:t xml:space="preserve"> </w:t>
      </w:r>
      <w:r w:rsidRPr="00A6731C">
        <w:t xml:space="preserve">over 1,000 initial assessment and planning sessions. </w:t>
      </w:r>
    </w:p>
    <w:p w14:paraId="2B48519F" w14:textId="08BD2D5E" w:rsidR="003A45A0" w:rsidRDefault="003A45A0">
      <w:pPr>
        <w:spacing w:after="0" w:line="240" w:lineRule="auto"/>
        <w:rPr>
          <w:rFonts w:eastAsia="Times"/>
          <w:sz w:val="20"/>
        </w:rPr>
      </w:pPr>
      <w:r>
        <w:br w:type="page"/>
      </w:r>
    </w:p>
    <w:p w14:paraId="378A2CD0" w14:textId="77777777" w:rsidR="00AC5AB5" w:rsidRPr="00AC5AB5" w:rsidRDefault="00AC5AB5" w:rsidP="00CE0233">
      <w:pPr>
        <w:pStyle w:val="Heading3"/>
      </w:pPr>
      <w:r w:rsidRPr="00AC5AB5">
        <w:t>Objective: Aboriginal voice, knowledge and cultural leadership drive Aboriginal policy, legislation and system reform</w:t>
      </w:r>
    </w:p>
    <w:p w14:paraId="32E10B42" w14:textId="7E79B7CB" w:rsidR="003A45A0" w:rsidRDefault="00AC5AB5" w:rsidP="00CC051D">
      <w:pPr>
        <w:pStyle w:val="ARBody"/>
      </w:pPr>
      <w:r w:rsidRPr="00AC5AB5">
        <w:t>Self-determination enables the wellbeing of Aboriginal Victorians. We actively address systems and structures that inhibit self-determination. We work in partnership with and under the leadership of the Victorian Aboriginal community.</w:t>
      </w:r>
    </w:p>
    <w:p w14:paraId="297D987F" w14:textId="52500C0A" w:rsidR="003A45A0" w:rsidRPr="003A45A0" w:rsidRDefault="00AC5AB5" w:rsidP="003A45A0">
      <w:pPr>
        <w:pStyle w:val="Heading4"/>
      </w:pPr>
      <w:r w:rsidRPr="00AC5AB5">
        <w:t>Key initiatives and projects</w:t>
      </w:r>
    </w:p>
    <w:p w14:paraId="25FF182E" w14:textId="77777777" w:rsidR="00AC5AB5" w:rsidRPr="00CE0233" w:rsidRDefault="00AC5AB5" w:rsidP="003A45A0">
      <w:pPr>
        <w:pStyle w:val="Heading5"/>
      </w:pPr>
      <w:r w:rsidRPr="00CE0233">
        <w:t xml:space="preserve">Aboriginal Self-determination </w:t>
      </w:r>
      <w:r w:rsidRPr="003A45A0">
        <w:t>and</w:t>
      </w:r>
      <w:r w:rsidRPr="00CE0233">
        <w:t> Outcomes Division</w:t>
      </w:r>
    </w:p>
    <w:p w14:paraId="464F5FEC" w14:textId="6A815EE2" w:rsidR="00AC5AB5" w:rsidRPr="00AC5AB5" w:rsidRDefault="00AC5AB5" w:rsidP="00CE0233">
      <w:pPr>
        <w:pStyle w:val="ARBody"/>
      </w:pPr>
      <w:r w:rsidRPr="00AC5AB5">
        <w:t>The Aboriginal Self-Determination and Outcomes (ASDO) Division is a critical pillar</w:t>
      </w:r>
      <w:r w:rsidR="00D30C1D">
        <w:t> </w:t>
      </w:r>
      <w:r w:rsidRPr="00AC5AB5">
        <w:t>of the department. It has leadership, oversight</w:t>
      </w:r>
      <w:r w:rsidR="00D30C1D">
        <w:t> </w:t>
      </w:r>
      <w:r w:rsidRPr="00AC5AB5">
        <w:t xml:space="preserve">and coordination functions relating </w:t>
      </w:r>
      <w:r w:rsidR="00D30C1D">
        <w:br/>
      </w:r>
      <w:r w:rsidRPr="00AC5AB5">
        <w:t>to self-determination, Truth, Treaty and Closing the Gap.</w:t>
      </w:r>
    </w:p>
    <w:p w14:paraId="6E1FB7F3" w14:textId="250B9ED8" w:rsidR="00AC5AB5" w:rsidRPr="00AC5AB5" w:rsidRDefault="00AC5AB5" w:rsidP="00CE0233">
      <w:pPr>
        <w:pStyle w:val="ARBody"/>
      </w:pPr>
      <w:r w:rsidRPr="00AC5AB5">
        <w:t>ASDO prioritises First Peoples’ expertise, knowledge and experience. The division works in</w:t>
      </w:r>
      <w:r w:rsidR="008074B3">
        <w:t> </w:t>
      </w:r>
      <w:r w:rsidRPr="00AC5AB5">
        <w:t>accordance with policy and legislative settings. These include the Victorian Aboriginal Affairs Framework, the National Agreement on Closing the</w:t>
      </w:r>
      <w:r w:rsidR="008074B3">
        <w:t> </w:t>
      </w:r>
      <w:r w:rsidRPr="00AC5AB5">
        <w:t xml:space="preserve">Gap, and the </w:t>
      </w:r>
      <w:r w:rsidRPr="00830298">
        <w:rPr>
          <w:rStyle w:val="Emphasis"/>
        </w:rPr>
        <w:t>Statewide Treaty and Statewide Treaty Act 2025</w:t>
      </w:r>
      <w:r w:rsidRPr="00AC5AB5">
        <w:t xml:space="preserve"> (Treaty Act).</w:t>
      </w:r>
    </w:p>
    <w:p w14:paraId="51E0CF9A" w14:textId="77777777" w:rsidR="00AC5AB5" w:rsidRPr="00AC5AB5" w:rsidRDefault="00AC5AB5" w:rsidP="00CE0233">
      <w:pPr>
        <w:pStyle w:val="ARBody"/>
      </w:pPr>
      <w:r w:rsidRPr="00AC5AB5">
        <w:t>The division drives Aboriginal self-determination by embedding First Peoples’ voice and ways of knowing, being and doing in decision-making processes.</w:t>
      </w:r>
    </w:p>
    <w:p w14:paraId="38891732" w14:textId="77777777" w:rsidR="00AC5AB5" w:rsidRPr="00AC5AB5" w:rsidRDefault="00AC5AB5" w:rsidP="00CE0233">
      <w:pPr>
        <w:pStyle w:val="Heading5"/>
      </w:pPr>
      <w:r w:rsidRPr="00AC5AB5">
        <w:t xml:space="preserve">Response to </w:t>
      </w:r>
      <w:proofErr w:type="spellStart"/>
      <w:r w:rsidRPr="00AC5AB5">
        <w:t>Yoorrook</w:t>
      </w:r>
      <w:proofErr w:type="spellEnd"/>
      <w:r w:rsidRPr="00AC5AB5">
        <w:t xml:space="preserve"> Justice Commission</w:t>
      </w:r>
    </w:p>
    <w:p w14:paraId="7E4BA13E" w14:textId="125479EE" w:rsidR="00AC5AB5" w:rsidRPr="00AC5AB5" w:rsidRDefault="00AC5AB5" w:rsidP="00CE0233">
      <w:pPr>
        <w:pStyle w:val="ARBody"/>
      </w:pPr>
      <w:r w:rsidRPr="00AC5AB5">
        <w:t xml:space="preserve">In June 2025, the </w:t>
      </w:r>
      <w:proofErr w:type="spellStart"/>
      <w:r w:rsidRPr="00AC5AB5">
        <w:t>Yoorrook</w:t>
      </w:r>
      <w:proofErr w:type="spellEnd"/>
      <w:r w:rsidRPr="00AC5AB5">
        <w:t xml:space="preserve"> Justice Commission concluded its truth-telling inquiry. The inquiry examined historical and ongoing injustices experienced by First Peoples in Victoria since colonisation. The work of the Commission helps us</w:t>
      </w:r>
      <w:r w:rsidR="00472121">
        <w:t> </w:t>
      </w:r>
      <w:r w:rsidRPr="00AC5AB5">
        <w:t>understand our history from the perspective of Aboriginal people, how it impacts on</w:t>
      </w:r>
      <w:r w:rsidR="00396C68">
        <w:t xml:space="preserve"> </w:t>
      </w:r>
      <w:r w:rsidRPr="00AC5AB5">
        <w:t>their present, and how Treaty can be the pathway to practical changes and solutions.</w:t>
      </w:r>
    </w:p>
    <w:p w14:paraId="3675BDB0" w14:textId="77777777" w:rsidR="00AC5AB5" w:rsidRPr="00AC5AB5" w:rsidRDefault="00AC5AB5" w:rsidP="00CE0233">
      <w:pPr>
        <w:pStyle w:val="ARBody"/>
      </w:pPr>
      <w:r w:rsidRPr="00AC5AB5">
        <w:t>Over the course of the Commission’s 4-year term, the department engaged honestly and transparently to assist the Commission in its important truth-telling mandate. This included producing documentary and witness evidence relating to the Commission’s key focus areas. These were child protection, housing and prevention of family violence.</w:t>
      </w:r>
    </w:p>
    <w:p w14:paraId="52A1AA3F" w14:textId="77777777" w:rsidR="003A45A0" w:rsidRDefault="00AC5AB5" w:rsidP="00CE0233">
      <w:pPr>
        <w:pStyle w:val="ARBody"/>
      </w:pPr>
      <w:r w:rsidRPr="00AC5AB5">
        <w:t xml:space="preserve">In October 2024, the Victorian Government released a progress report on its implementation of the Commission’s </w:t>
      </w:r>
      <w:proofErr w:type="spellStart"/>
      <w:r w:rsidRPr="00AC5AB5">
        <w:t>Yoorrook</w:t>
      </w:r>
      <w:proofErr w:type="spellEnd"/>
      <w:r w:rsidRPr="00AC5AB5">
        <w:t xml:space="preserve"> for justice interim report on</w:t>
      </w:r>
      <w:r w:rsidR="00472121">
        <w:t> </w:t>
      </w:r>
      <w:r w:rsidRPr="00AC5AB5">
        <w:t>the child protection and criminal justice system released in August 2023.</w:t>
      </w:r>
      <w:r w:rsidRPr="00AC5AB5" w:rsidDel="00EB027C">
        <w:t xml:space="preserve"> </w:t>
      </w:r>
    </w:p>
    <w:p w14:paraId="79B0226E" w14:textId="56BBBE8E" w:rsidR="00AC5AB5" w:rsidRPr="00AC5AB5" w:rsidRDefault="00AC5AB5" w:rsidP="00CE0233">
      <w:pPr>
        <w:pStyle w:val="ARBody"/>
      </w:pPr>
      <w:r w:rsidRPr="00AC5AB5">
        <w:t>The department remains committed to the truth-telling process and continues to progress the important work of implementing the Commission’s recommendations.</w:t>
      </w:r>
    </w:p>
    <w:p w14:paraId="7525E0F3" w14:textId="77777777" w:rsidR="00AC5AB5" w:rsidRPr="00AC5AB5" w:rsidRDefault="00AC5AB5" w:rsidP="00CE0233">
      <w:pPr>
        <w:pStyle w:val="Heading5"/>
      </w:pPr>
      <w:r w:rsidRPr="00AC5AB5">
        <w:t>Treaty</w:t>
      </w:r>
    </w:p>
    <w:p w14:paraId="4933C862" w14:textId="77777777" w:rsidR="00AC5AB5" w:rsidRPr="00AC5AB5" w:rsidRDefault="00AC5AB5" w:rsidP="00CE0233">
      <w:pPr>
        <w:pStyle w:val="ARBody"/>
      </w:pPr>
      <w:r w:rsidRPr="00AC5AB5">
        <w:t>In late 2025, the Victorian Government signed the Statewide Treaty with the First Peoples’ Assembly of Victoria. Victoria has been on the Truth and Treaty path for nearly 10 years.</w:t>
      </w:r>
    </w:p>
    <w:p w14:paraId="629B260D" w14:textId="77777777" w:rsidR="00AC5AB5" w:rsidRPr="00AC5AB5" w:rsidRDefault="00AC5AB5" w:rsidP="00CE0233">
      <w:pPr>
        <w:pStyle w:val="ARBody"/>
      </w:pPr>
      <w:r w:rsidRPr="00AC5AB5">
        <w:t>Treaty is about ensuring First Peoples have a say over the policies that impact them and their families to achieve better outcomes for First Peoples in Victoria and close the gap.</w:t>
      </w:r>
    </w:p>
    <w:p w14:paraId="750FA161" w14:textId="77777777" w:rsidR="00AC5AB5" w:rsidRPr="00AC5AB5" w:rsidRDefault="00AC5AB5" w:rsidP="00CE0233">
      <w:pPr>
        <w:pStyle w:val="ARBody"/>
      </w:pPr>
      <w:r w:rsidRPr="00AC5AB5">
        <w:t xml:space="preserve">The Treaty Act gives effect to the Statewide Treaty and establishes </w:t>
      </w:r>
      <w:proofErr w:type="spellStart"/>
      <w:r w:rsidRPr="00AC5AB5">
        <w:t>Gellung</w:t>
      </w:r>
      <w:proofErr w:type="spellEnd"/>
      <w:r w:rsidRPr="00AC5AB5">
        <w:t xml:space="preserve"> Warl to operate as an ongoing democratic, representative and deliberative body for First Peoples in Victoria. </w:t>
      </w:r>
    </w:p>
    <w:p w14:paraId="73AEEC36" w14:textId="77777777" w:rsidR="00AC5AB5" w:rsidRPr="00AC5AB5" w:rsidRDefault="00AC5AB5" w:rsidP="00CE0233">
      <w:pPr>
        <w:pStyle w:val="ARBody"/>
      </w:pPr>
      <w:r w:rsidRPr="00AC5AB5">
        <w:t>The department is working to implement the Statewide Treaty and ensure all staff are prepared for and familiar with the commitments under the Statewide Treaty.</w:t>
      </w:r>
    </w:p>
    <w:p w14:paraId="18A8DC10" w14:textId="325CC968" w:rsidR="00AC5AB5" w:rsidRPr="00AC5AB5" w:rsidRDefault="00AC5AB5" w:rsidP="00CE0233">
      <w:pPr>
        <w:pStyle w:val="ARBody"/>
      </w:pPr>
      <w:r w:rsidRPr="00AC5AB5">
        <w:t>We continue to educate staff at all levels about Treaty and the Treaty process. This includes leadership groups, operational staff and staff who</w:t>
      </w:r>
      <w:r w:rsidR="00D30C1D">
        <w:t> </w:t>
      </w:r>
      <w:r w:rsidRPr="00AC5AB5">
        <w:t>contribute to reform and policy initiatives.</w:t>
      </w:r>
    </w:p>
    <w:p w14:paraId="210F22D0" w14:textId="77777777" w:rsidR="00AC5AB5" w:rsidRPr="00AC5AB5" w:rsidRDefault="00AC5AB5" w:rsidP="00CE0233">
      <w:pPr>
        <w:pStyle w:val="ARBody"/>
      </w:pPr>
      <w:r w:rsidRPr="00AC5AB5">
        <w:t>The department works closely with the Department of Premier and Cabinet. This ensures all Treaty-related work aligns with whole-of-government best practice guidance.</w:t>
      </w:r>
    </w:p>
    <w:p w14:paraId="5CB74699" w14:textId="77777777" w:rsidR="00AC5AB5" w:rsidRPr="00AC5AB5" w:rsidRDefault="00AC5AB5" w:rsidP="00CE0233">
      <w:pPr>
        <w:pStyle w:val="Heading5"/>
      </w:pPr>
      <w:r w:rsidRPr="00AC5AB5">
        <w:t xml:space="preserve">Closing the Gap </w:t>
      </w:r>
    </w:p>
    <w:p w14:paraId="7E1C4EE5" w14:textId="77777777" w:rsidR="00AC5AB5" w:rsidRPr="00AC5AB5" w:rsidRDefault="00AC5AB5" w:rsidP="00CE0233">
      <w:pPr>
        <w:pStyle w:val="ARBody"/>
      </w:pPr>
      <w:r w:rsidRPr="00AC5AB5">
        <w:t xml:space="preserve">The department is working with sector partners and stakeholders to contribute to the development of the state’s Closing the Gap Implementation Plan. This is a partnership between the Victorian Government and </w:t>
      </w:r>
      <w:proofErr w:type="spellStart"/>
      <w:r w:rsidRPr="00AC5AB5">
        <w:t>Ngaweeyan</w:t>
      </w:r>
      <w:proofErr w:type="spellEnd"/>
      <w:r w:rsidRPr="00AC5AB5">
        <w:t xml:space="preserve"> </w:t>
      </w:r>
      <w:proofErr w:type="spellStart"/>
      <w:r w:rsidRPr="00AC5AB5">
        <w:t>Maar˗oo</w:t>
      </w:r>
      <w:proofErr w:type="spellEnd"/>
      <w:r w:rsidRPr="00AC5AB5">
        <w:t>, the Aboriginal members of the Victorian Closing the Gap Partnership Forum.</w:t>
      </w:r>
    </w:p>
    <w:p w14:paraId="1F0B95F0" w14:textId="77777777" w:rsidR="00AC5AB5" w:rsidRPr="00AC5AB5" w:rsidRDefault="00AC5AB5" w:rsidP="00CE0233">
      <w:pPr>
        <w:pStyle w:val="ARBody"/>
      </w:pPr>
      <w:r w:rsidRPr="00AC5AB5">
        <w:t>ASDO coordinates work to ensure progress against the priority reform and socioeconomic targets and actions. The division also provides quarterly reports to the Victorian Closing the Gap Partnership Forum.</w:t>
      </w:r>
    </w:p>
    <w:p w14:paraId="1A83DDA6" w14:textId="77777777" w:rsidR="00AC5AB5" w:rsidRPr="00AC5AB5" w:rsidRDefault="00AC5AB5" w:rsidP="00CE0233">
      <w:pPr>
        <w:pStyle w:val="Heading5"/>
      </w:pPr>
      <w:r w:rsidRPr="00AC5AB5">
        <w:t>Aboriginal Strategic Governance Forum</w:t>
      </w:r>
    </w:p>
    <w:p w14:paraId="4FDAEB64" w14:textId="77777777" w:rsidR="00AC5AB5" w:rsidRPr="00AC5AB5" w:rsidRDefault="00AC5AB5" w:rsidP="00CE0233">
      <w:pPr>
        <w:pStyle w:val="ARBody"/>
      </w:pPr>
      <w:r w:rsidRPr="00AC5AB5">
        <w:t xml:space="preserve">The Aboriginal Strategic Governance Forum (ASGF) is the department’s Aboriginal-led governance structure. The ASGF sets and oversees strategic direction for system transformation. This work aligns with </w:t>
      </w:r>
      <w:r w:rsidRPr="00067149">
        <w:rPr>
          <w:i/>
          <w:iCs/>
        </w:rPr>
        <w:t xml:space="preserve">Korin </w:t>
      </w:r>
      <w:proofErr w:type="spellStart"/>
      <w:r w:rsidRPr="00067149">
        <w:rPr>
          <w:i/>
          <w:iCs/>
        </w:rPr>
        <w:t>Korin</w:t>
      </w:r>
      <w:proofErr w:type="spellEnd"/>
      <w:r w:rsidRPr="00067149">
        <w:rPr>
          <w:i/>
          <w:iCs/>
        </w:rPr>
        <w:t xml:space="preserve"> Balit-</w:t>
      </w:r>
      <w:proofErr w:type="spellStart"/>
      <w:r w:rsidRPr="00067149">
        <w:rPr>
          <w:i/>
          <w:iCs/>
        </w:rPr>
        <w:t>Djak</w:t>
      </w:r>
      <w:proofErr w:type="spellEnd"/>
      <w:r w:rsidRPr="00AC5AB5">
        <w:t>, the department’s overarching Aboriginal strategy. It also aligns with other state and national frameworks including:</w:t>
      </w:r>
    </w:p>
    <w:p w14:paraId="1C853D1D" w14:textId="77777777" w:rsidR="00AC5AB5" w:rsidRPr="00AC5AB5" w:rsidRDefault="00AC5AB5" w:rsidP="00CE0233">
      <w:pPr>
        <w:pStyle w:val="ARBullet1"/>
      </w:pPr>
      <w:r w:rsidRPr="00AC5AB5">
        <w:t xml:space="preserve">the National Agreement on Closing the Gap </w:t>
      </w:r>
    </w:p>
    <w:p w14:paraId="3E863696" w14:textId="77777777" w:rsidR="00AC5AB5" w:rsidRPr="00067149" w:rsidRDefault="00AC5AB5" w:rsidP="00CE0233">
      <w:pPr>
        <w:pStyle w:val="ARBullet1"/>
        <w:rPr>
          <w:i/>
          <w:iCs/>
        </w:rPr>
      </w:pPr>
      <w:r w:rsidRPr="00067149">
        <w:rPr>
          <w:i/>
          <w:iCs/>
        </w:rPr>
        <w:t>Victorian Self-Determination Reform Framework</w:t>
      </w:r>
    </w:p>
    <w:p w14:paraId="3DE8E30C" w14:textId="77777777" w:rsidR="00AC5AB5" w:rsidRPr="00067149" w:rsidRDefault="00AC5AB5" w:rsidP="00CE0233">
      <w:pPr>
        <w:pStyle w:val="ARBullet1"/>
        <w:rPr>
          <w:i/>
          <w:iCs/>
        </w:rPr>
      </w:pPr>
      <w:r w:rsidRPr="00067149">
        <w:rPr>
          <w:i/>
          <w:iCs/>
        </w:rPr>
        <w:t>Victorian Aboriginal Affairs Framework</w:t>
      </w:r>
    </w:p>
    <w:p w14:paraId="2A5B12EF" w14:textId="77777777" w:rsidR="00AC5AB5" w:rsidRPr="00067149" w:rsidRDefault="00AC5AB5" w:rsidP="00CE0233">
      <w:pPr>
        <w:pStyle w:val="ARBullet1"/>
        <w:rPr>
          <w:i/>
          <w:iCs/>
        </w:rPr>
      </w:pPr>
      <w:proofErr w:type="spellStart"/>
      <w:r w:rsidRPr="00067149">
        <w:rPr>
          <w:i/>
          <w:iCs/>
        </w:rPr>
        <w:t>Wungurilwil</w:t>
      </w:r>
      <w:proofErr w:type="spellEnd"/>
      <w:r w:rsidRPr="00067149">
        <w:rPr>
          <w:i/>
          <w:iCs/>
        </w:rPr>
        <w:t xml:space="preserve"> </w:t>
      </w:r>
      <w:proofErr w:type="spellStart"/>
      <w:r w:rsidRPr="00067149">
        <w:rPr>
          <w:i/>
          <w:iCs/>
        </w:rPr>
        <w:t>Gapgapduir</w:t>
      </w:r>
      <w:proofErr w:type="spellEnd"/>
    </w:p>
    <w:p w14:paraId="02F230EC" w14:textId="77777777" w:rsidR="00AC5AB5" w:rsidRPr="00067149" w:rsidRDefault="00AC5AB5" w:rsidP="00CE0233">
      <w:pPr>
        <w:pStyle w:val="ARBullet1"/>
        <w:rPr>
          <w:i/>
          <w:iCs/>
        </w:rPr>
      </w:pPr>
      <w:r w:rsidRPr="00067149">
        <w:rPr>
          <w:i/>
          <w:iCs/>
        </w:rPr>
        <w:t>Mana-</w:t>
      </w:r>
      <w:proofErr w:type="spellStart"/>
      <w:r w:rsidRPr="00067149">
        <w:rPr>
          <w:i/>
          <w:iCs/>
        </w:rPr>
        <w:t>na</w:t>
      </w:r>
      <w:proofErr w:type="spellEnd"/>
      <w:r w:rsidRPr="00067149">
        <w:rPr>
          <w:i/>
          <w:iCs/>
        </w:rPr>
        <w:t>-worn-</w:t>
      </w:r>
      <w:proofErr w:type="spellStart"/>
      <w:r w:rsidRPr="00067149">
        <w:rPr>
          <w:i/>
          <w:iCs/>
        </w:rPr>
        <w:t>tyeen</w:t>
      </w:r>
      <w:proofErr w:type="spellEnd"/>
      <w:r w:rsidRPr="00067149">
        <w:rPr>
          <w:i/>
          <w:iCs/>
        </w:rPr>
        <w:t xml:space="preserve"> maar-</w:t>
      </w:r>
      <w:proofErr w:type="spellStart"/>
      <w:r w:rsidRPr="00067149">
        <w:rPr>
          <w:i/>
          <w:iCs/>
        </w:rPr>
        <w:t>takoort</w:t>
      </w:r>
      <w:proofErr w:type="spellEnd"/>
      <w:r w:rsidRPr="00067149" w:rsidDel="00877F59">
        <w:rPr>
          <w:i/>
          <w:iCs/>
        </w:rPr>
        <w:t xml:space="preserve"> </w:t>
      </w:r>
    </w:p>
    <w:p w14:paraId="204B75E6" w14:textId="77777777" w:rsidR="00AC5AB5" w:rsidRPr="00067149" w:rsidRDefault="00AC5AB5" w:rsidP="00CE0233">
      <w:pPr>
        <w:pStyle w:val="ARBullet1"/>
        <w:rPr>
          <w:i/>
          <w:iCs/>
        </w:rPr>
      </w:pPr>
      <w:r w:rsidRPr="00067149">
        <w:rPr>
          <w:i/>
          <w:iCs/>
        </w:rPr>
        <w:t>Dhelk Dja: Safe our way.</w:t>
      </w:r>
      <w:r w:rsidRPr="00067149" w:rsidDel="00877F59">
        <w:rPr>
          <w:i/>
          <w:iCs/>
        </w:rPr>
        <w:t xml:space="preserve"> </w:t>
      </w:r>
    </w:p>
    <w:p w14:paraId="09F6B9D3" w14:textId="7B8A2F70" w:rsidR="00AC5AB5" w:rsidRPr="00AC5AB5" w:rsidRDefault="00AC5AB5" w:rsidP="00541B81">
      <w:pPr>
        <w:pStyle w:val="ARBodyafterbullets"/>
      </w:pPr>
      <w:r w:rsidRPr="00AC5AB5">
        <w:t>This division works in partnership with the Koorie</w:t>
      </w:r>
      <w:r w:rsidR="00D30C1D">
        <w:t> </w:t>
      </w:r>
      <w:r w:rsidRPr="00AC5AB5">
        <w:t>Caucus of the ASGF. This work embeds self-determination and shared decision</w:t>
      </w:r>
      <w:r w:rsidRPr="00AC5AB5" w:rsidDel="00877F59">
        <w:t xml:space="preserve"> </w:t>
      </w:r>
      <w:r w:rsidRPr="00AC5AB5">
        <w:t xml:space="preserve">making. </w:t>
      </w:r>
    </w:p>
    <w:p w14:paraId="59437FC9" w14:textId="77777777" w:rsidR="00AC5AB5" w:rsidRPr="00AC5AB5" w:rsidRDefault="00AC5AB5" w:rsidP="00CE0233">
      <w:pPr>
        <w:pStyle w:val="ARBody"/>
      </w:pPr>
      <w:r w:rsidRPr="00AC5AB5">
        <w:t>Recent highlights include:</w:t>
      </w:r>
    </w:p>
    <w:p w14:paraId="0D8A1B56" w14:textId="667FEE4F" w:rsidR="00AC5AB5" w:rsidRPr="00AC5AB5" w:rsidRDefault="00AC5AB5" w:rsidP="00CE0233">
      <w:pPr>
        <w:pStyle w:val="ARBullet1"/>
      </w:pPr>
      <w:r w:rsidRPr="00AC5AB5">
        <w:t>establishing priority reform working groups. These working groups drive the department’s work under Closing the Gap priority reforms. A</w:t>
      </w:r>
      <w:r w:rsidR="005D503A">
        <w:t> </w:t>
      </w:r>
      <w:r w:rsidRPr="00AC5AB5">
        <w:t>Koorie Caucus Chair leads each working group. A Deputy Secretary acts as an executive sponsor to support the Chair and the work of each working group</w:t>
      </w:r>
    </w:p>
    <w:p w14:paraId="06477981" w14:textId="77777777" w:rsidR="00AC5AB5" w:rsidRPr="00AC5AB5" w:rsidRDefault="00AC5AB5" w:rsidP="00CE0233">
      <w:pPr>
        <w:pStyle w:val="ARBullet1"/>
      </w:pPr>
      <w:r w:rsidRPr="00AC5AB5">
        <w:t>these working groups are developing workplans against the Closing the Gap priority reforms relating to child protection, family violence and housing</w:t>
      </w:r>
    </w:p>
    <w:p w14:paraId="7F0CF35F" w14:textId="77777777" w:rsidR="00AC5AB5" w:rsidRPr="00AC5AB5" w:rsidRDefault="00AC5AB5" w:rsidP="00CE0233">
      <w:pPr>
        <w:pStyle w:val="ARBullet1"/>
      </w:pPr>
      <w:r w:rsidRPr="00AC5AB5">
        <w:t xml:space="preserve">working closely with the ASGF Leadership Group to refresh </w:t>
      </w:r>
      <w:r w:rsidRPr="00067149">
        <w:rPr>
          <w:i/>
          <w:iCs/>
        </w:rPr>
        <w:t xml:space="preserve">Korin </w:t>
      </w:r>
      <w:proofErr w:type="spellStart"/>
      <w:r w:rsidRPr="00067149">
        <w:rPr>
          <w:i/>
          <w:iCs/>
        </w:rPr>
        <w:t>Korin</w:t>
      </w:r>
      <w:proofErr w:type="spellEnd"/>
      <w:r w:rsidRPr="00067149">
        <w:rPr>
          <w:i/>
          <w:iCs/>
        </w:rPr>
        <w:t xml:space="preserve"> Balit-</w:t>
      </w:r>
      <w:proofErr w:type="spellStart"/>
      <w:r w:rsidRPr="00067149">
        <w:rPr>
          <w:i/>
          <w:iCs/>
        </w:rPr>
        <w:t>Djak</w:t>
      </w:r>
      <w:proofErr w:type="spellEnd"/>
      <w:r w:rsidRPr="00AC5AB5">
        <w:t>. This work will align with the current reform environment.</w:t>
      </w:r>
      <w:r w:rsidRPr="00AC5AB5" w:rsidDel="00877F59">
        <w:t xml:space="preserve"> </w:t>
      </w:r>
    </w:p>
    <w:p w14:paraId="2EE1757B" w14:textId="77777777" w:rsidR="00AC5AB5" w:rsidRPr="00AC5AB5" w:rsidRDefault="00AC5AB5" w:rsidP="00CE0233">
      <w:pPr>
        <w:pStyle w:val="Heading5"/>
      </w:pPr>
      <w:r w:rsidRPr="00067149">
        <w:rPr>
          <w:i/>
          <w:iCs w:val="0"/>
        </w:rPr>
        <w:t xml:space="preserve">Korin </w:t>
      </w:r>
      <w:proofErr w:type="spellStart"/>
      <w:r w:rsidRPr="00067149">
        <w:rPr>
          <w:i/>
          <w:iCs w:val="0"/>
        </w:rPr>
        <w:t>Korin</w:t>
      </w:r>
      <w:proofErr w:type="spellEnd"/>
      <w:r w:rsidRPr="00067149">
        <w:rPr>
          <w:i/>
          <w:iCs w:val="0"/>
        </w:rPr>
        <w:t xml:space="preserve"> Balit-</w:t>
      </w:r>
      <w:proofErr w:type="spellStart"/>
      <w:r w:rsidRPr="00067149">
        <w:rPr>
          <w:i/>
          <w:iCs w:val="0"/>
        </w:rPr>
        <w:t>Djak</w:t>
      </w:r>
      <w:proofErr w:type="spellEnd"/>
      <w:r w:rsidRPr="00AC5AB5">
        <w:t xml:space="preserve"> funding </w:t>
      </w:r>
    </w:p>
    <w:p w14:paraId="1A64ADCD" w14:textId="7E80CE42" w:rsidR="00412418" w:rsidRDefault="00AC5AB5" w:rsidP="00CE0233">
      <w:pPr>
        <w:pStyle w:val="ARBody"/>
      </w:pPr>
      <w:r w:rsidRPr="00AC5AB5">
        <w:t xml:space="preserve">Through Korin </w:t>
      </w:r>
      <w:proofErr w:type="spellStart"/>
      <w:r w:rsidRPr="00AC5AB5">
        <w:t>Korin</w:t>
      </w:r>
      <w:proofErr w:type="spellEnd"/>
      <w:r w:rsidRPr="00AC5AB5">
        <w:t xml:space="preserve"> Balit-</w:t>
      </w:r>
      <w:proofErr w:type="spellStart"/>
      <w:r w:rsidRPr="00AC5AB5">
        <w:t>Djak</w:t>
      </w:r>
      <w:proofErr w:type="spellEnd"/>
      <w:r w:rsidRPr="00AC5AB5">
        <w:t>, the department funded Aboriginal community-controlled organisations (ACCOs) and community-led initiatives. These initiatives strengthen Aboriginal governance, self-determination, cultural safety and</w:t>
      </w:r>
      <w:r w:rsidR="00D30C1D">
        <w:t> </w:t>
      </w:r>
      <w:r w:rsidRPr="00AC5AB5">
        <w:t>community wellbeing. Funding supported the establishment of regional Aboriginal governance groups and Gathering Places, as well as initiatives that promote youth leadership, cultural connection and improved wellbeing initiatives for Aboriginal communities across Victoria.</w:t>
      </w:r>
    </w:p>
    <w:p w14:paraId="236C5B34" w14:textId="7F4AE46E" w:rsidR="00AC5AB5" w:rsidRPr="00412418" w:rsidRDefault="00AC5AB5" w:rsidP="003A45A0">
      <w:pPr>
        <w:pStyle w:val="Heading5"/>
      </w:pPr>
      <w:r w:rsidRPr="00AC5AB5">
        <w:t xml:space="preserve">Regional partnerships </w:t>
      </w:r>
    </w:p>
    <w:p w14:paraId="0EF3A98B" w14:textId="2FC75119" w:rsidR="00AC5AB5" w:rsidRPr="00AC5AB5" w:rsidRDefault="00AC5AB5" w:rsidP="00CE0233">
      <w:pPr>
        <w:pStyle w:val="ARBody"/>
      </w:pPr>
      <w:r w:rsidRPr="00AC5AB5">
        <w:t>The division works with Aboriginal communities and the department. We amplify the lived experience of Aboriginal people. This supports the department’s policy advice and program delivery. The division’s regional teams in the north, south, east and west have strong relationships with</w:t>
      </w:r>
      <w:r w:rsidR="00D30C1D">
        <w:t> </w:t>
      </w:r>
      <w:r w:rsidRPr="00AC5AB5">
        <w:t>Aboriginal communities and organisations.</w:t>
      </w:r>
    </w:p>
    <w:p w14:paraId="34BBF032" w14:textId="3AF48162" w:rsidR="00AC5AB5" w:rsidRPr="00AC5AB5" w:rsidRDefault="00AC5AB5" w:rsidP="00CE0233">
      <w:pPr>
        <w:pStyle w:val="ARBody"/>
      </w:pPr>
      <w:r w:rsidRPr="00AC5AB5">
        <w:t>These teams work in partnership with Aboriginal organisations. They support and strengthen ACCOs’ capacity to provide critical services in Aboriginal communities. The teams collaborate and provide advice to the department’s portfolio areas and divisions. This includes Community Operations and</w:t>
      </w:r>
      <w:r w:rsidR="008074B3">
        <w:t> </w:t>
      </w:r>
      <w:r w:rsidRPr="00AC5AB5">
        <w:t>Practice Leadership, Family Safety Victoria, Children and Families, Homes Victoria, and Disability, Fairness and Emergency Management.</w:t>
      </w:r>
    </w:p>
    <w:p w14:paraId="28FA7892" w14:textId="37FAFEB3" w:rsidR="00AC5AB5" w:rsidRPr="00AC5AB5" w:rsidRDefault="00AC5AB5" w:rsidP="00CE0233">
      <w:pPr>
        <w:pStyle w:val="ARBody"/>
      </w:pPr>
      <w:r w:rsidRPr="00AC5AB5">
        <w:t>The division continues to work with Aboriginal stakeholders to strengthen and</w:t>
      </w:r>
      <w:r w:rsidR="00590E32">
        <w:t xml:space="preserve"> </w:t>
      </w:r>
      <w:r w:rsidRPr="00AC5AB5">
        <w:t>support, Aboriginal governance bodies across Victoria. These are:</w:t>
      </w:r>
    </w:p>
    <w:p w14:paraId="2BF03AAE" w14:textId="77777777" w:rsidR="00AC5AB5" w:rsidRPr="00AC5AB5" w:rsidRDefault="00AC5AB5" w:rsidP="00CE0233">
      <w:pPr>
        <w:pStyle w:val="ARBullet1"/>
      </w:pPr>
      <w:r w:rsidRPr="00AC5AB5">
        <w:t>Gippsland Governance Group</w:t>
      </w:r>
    </w:p>
    <w:p w14:paraId="3A07DD2F" w14:textId="77777777" w:rsidR="00AC5AB5" w:rsidRPr="00AC5AB5" w:rsidRDefault="00AC5AB5" w:rsidP="00CE0233">
      <w:pPr>
        <w:pStyle w:val="ARBullet1"/>
      </w:pPr>
      <w:r w:rsidRPr="00AC5AB5">
        <w:t>Southern Metropolitan Governance</w:t>
      </w:r>
    </w:p>
    <w:p w14:paraId="5ABD21D9" w14:textId="77777777" w:rsidR="00AC5AB5" w:rsidRPr="00AC5AB5" w:rsidRDefault="00AC5AB5" w:rsidP="00CE0233">
      <w:pPr>
        <w:pStyle w:val="ARBullet1"/>
      </w:pPr>
      <w:r w:rsidRPr="00AC5AB5">
        <w:t>East Metropolitan Governance Group</w:t>
      </w:r>
    </w:p>
    <w:p w14:paraId="24C87081" w14:textId="77777777" w:rsidR="00AC5AB5" w:rsidRPr="00AC5AB5" w:rsidRDefault="00AC5AB5" w:rsidP="00CE0233">
      <w:pPr>
        <w:pStyle w:val="ARBullet1"/>
      </w:pPr>
      <w:r w:rsidRPr="00AC5AB5">
        <w:t>East Regional Governance Group</w:t>
      </w:r>
    </w:p>
    <w:p w14:paraId="3890C334" w14:textId="77777777" w:rsidR="00AC5AB5" w:rsidRPr="00AC5AB5" w:rsidRDefault="00AC5AB5" w:rsidP="00CE0233">
      <w:pPr>
        <w:pStyle w:val="ARBullet1"/>
      </w:pPr>
      <w:r w:rsidRPr="00AC5AB5">
        <w:t>Loddon Mallee Aboriginal Reference Group</w:t>
      </w:r>
    </w:p>
    <w:p w14:paraId="249D8087" w14:textId="77777777" w:rsidR="00AC5AB5" w:rsidRPr="00AC5AB5" w:rsidRDefault="00AC5AB5" w:rsidP="00CE0233">
      <w:pPr>
        <w:pStyle w:val="ARBullet1"/>
      </w:pPr>
      <w:r w:rsidRPr="00AC5AB5">
        <w:t>Northern Metropolitan Aboriginal Strategic Governance Group</w:t>
      </w:r>
    </w:p>
    <w:p w14:paraId="49587E54" w14:textId="77777777" w:rsidR="00AC5AB5" w:rsidRPr="00AC5AB5" w:rsidRDefault="00AC5AB5" w:rsidP="00CE0233">
      <w:pPr>
        <w:pStyle w:val="ARBullet1"/>
      </w:pPr>
      <w:r w:rsidRPr="00AC5AB5">
        <w:t>West Metropolitan Aboriginal Governance Group</w:t>
      </w:r>
    </w:p>
    <w:p w14:paraId="62F33AB3" w14:textId="77777777" w:rsidR="00AC5AB5" w:rsidRPr="00AC5AB5" w:rsidRDefault="00AC5AB5" w:rsidP="00CE0233">
      <w:pPr>
        <w:pStyle w:val="ARBullet1"/>
      </w:pPr>
      <w:r w:rsidRPr="00AC5AB5">
        <w:t>Western District ACCO Collective.</w:t>
      </w:r>
    </w:p>
    <w:p w14:paraId="281FCB3B" w14:textId="77777777" w:rsidR="00AC5AB5" w:rsidRPr="00AC5AB5" w:rsidRDefault="00AC5AB5" w:rsidP="00541B81">
      <w:pPr>
        <w:pStyle w:val="ARBodyafterbullets"/>
      </w:pPr>
      <w:r w:rsidRPr="00AC5AB5">
        <w:t>Regional Aboriginal governance groups are self-governing. They are led by ACCOs funded to administer these governance groups. The groups provide advice on implementing the department’s Aboriginal strategies and frameworks.</w:t>
      </w:r>
    </w:p>
    <w:p w14:paraId="66C466FB" w14:textId="77777777" w:rsidR="00AC5AB5" w:rsidRPr="00AC5AB5" w:rsidRDefault="00AC5AB5" w:rsidP="00CE0233">
      <w:pPr>
        <w:pStyle w:val="ARBody"/>
      </w:pPr>
      <w:r w:rsidRPr="00AC5AB5">
        <w:t>Chairs of these regional governance bodies are also members of ASGF Koorie Caucus and the Aboriginal Strategic Governance Forum. They bring place-based knowledge and insights on the specific needs, priorities and lived experiences of Aboriginal Victorians to statewide decision-making forums.</w:t>
      </w:r>
    </w:p>
    <w:p w14:paraId="17AF8F24" w14:textId="77777777" w:rsidR="00AC5AB5" w:rsidRPr="00AC5AB5" w:rsidDel="00AD2D23" w:rsidRDefault="00AC5AB5" w:rsidP="00CE0233">
      <w:pPr>
        <w:pStyle w:val="ARBody"/>
      </w:pPr>
      <w:r w:rsidRPr="00AC5AB5">
        <w:t>The division also leads the department’s emergency management work with Aboriginal communities. The regional teams support to ACCOs to identify relief priorities and make preparedness plans. The division also works with Emergency Recovery Victoria. This includes contributing to statewide planning and quality assurance frameworks.</w:t>
      </w:r>
    </w:p>
    <w:p w14:paraId="15B7D018" w14:textId="77777777" w:rsidR="00AC5AB5" w:rsidRPr="00AC5AB5" w:rsidRDefault="00AC5AB5" w:rsidP="00CE0233">
      <w:pPr>
        <w:pStyle w:val="Heading5"/>
      </w:pPr>
      <w:r w:rsidRPr="00AC5AB5">
        <w:t>Supporting representation and participation of First Nations young people</w:t>
      </w:r>
    </w:p>
    <w:p w14:paraId="47B6E569" w14:textId="77777777" w:rsidR="00AC5AB5" w:rsidRPr="00AC5AB5" w:rsidRDefault="00AC5AB5" w:rsidP="00CE0233">
      <w:pPr>
        <w:pStyle w:val="ARBody"/>
      </w:pPr>
      <w:r w:rsidRPr="00AC5AB5">
        <w:t>The department supports First Nations young people to pursue their goals and stay connected to culture and community.</w:t>
      </w:r>
    </w:p>
    <w:p w14:paraId="4E8BCBEE" w14:textId="77777777" w:rsidR="00AC5AB5" w:rsidRPr="00AC5AB5" w:rsidRDefault="00AC5AB5" w:rsidP="00CE0233">
      <w:pPr>
        <w:pStyle w:val="ARBody"/>
      </w:pPr>
      <w:r w:rsidRPr="00AC5AB5">
        <w:t>The 2024–25 State Budget funded a 4-year extension to the government’s partnership with the Koorie Youth Council. The council is the peak body representing Aboriginal young people in Victoria.</w:t>
      </w:r>
      <w:r w:rsidRPr="00AC5AB5" w:rsidDel="00AD2D23">
        <w:t xml:space="preserve"> </w:t>
      </w:r>
    </w:p>
    <w:p w14:paraId="641B3AAE" w14:textId="742F7725" w:rsidR="00AC5AB5" w:rsidRPr="00AC5AB5" w:rsidRDefault="00AC5AB5" w:rsidP="00CE0233">
      <w:pPr>
        <w:pStyle w:val="ARBody"/>
      </w:pPr>
      <w:r w:rsidRPr="00AC5AB5">
        <w:t>This important partnership continues to embed a broad, strengths-based, prevention approach. It</w:t>
      </w:r>
      <w:r w:rsidR="00D30C1D">
        <w:t> </w:t>
      </w:r>
      <w:r w:rsidRPr="00AC5AB5">
        <w:t>ensures that the government and organisations engage meaningfully with Aboriginal young people. This helps the government deliver tailored support and services that meet the needs and aspirations of Aboriginal young people.</w:t>
      </w:r>
      <w:r w:rsidRPr="00AC5AB5" w:rsidDel="00AD2D23">
        <w:t xml:space="preserve"> </w:t>
      </w:r>
    </w:p>
    <w:p w14:paraId="03A72185" w14:textId="53B8EDD3" w:rsidR="00AC5AB5" w:rsidRPr="00AC5AB5" w:rsidDel="00AD2D23" w:rsidRDefault="00AC5AB5" w:rsidP="00CE0233">
      <w:pPr>
        <w:pStyle w:val="ARBody"/>
      </w:pPr>
      <w:r w:rsidRPr="00AC5AB5">
        <w:t>In addition, the department</w:t>
      </w:r>
      <w:r w:rsidRPr="00AC5AB5" w:rsidDel="00B57A13">
        <w:t xml:space="preserve"> </w:t>
      </w:r>
      <w:r w:rsidRPr="00AC5AB5">
        <w:t>continued to support the</w:t>
      </w:r>
      <w:r w:rsidR="008074B3">
        <w:t> </w:t>
      </w:r>
      <w:r w:rsidRPr="00AC5AB5">
        <w:t xml:space="preserve">Marram </w:t>
      </w:r>
      <w:proofErr w:type="spellStart"/>
      <w:r w:rsidRPr="00AC5AB5">
        <w:t>Nganyin</w:t>
      </w:r>
      <w:proofErr w:type="spellEnd"/>
      <w:r w:rsidRPr="00AC5AB5">
        <w:t xml:space="preserve"> Aboriginal Youth Mentoring Program. This is delivered in partnership with the</w:t>
      </w:r>
      <w:r w:rsidR="008074B3">
        <w:t> </w:t>
      </w:r>
      <w:r w:rsidRPr="00AC5AB5">
        <w:t>Koorie Youth Council and 5 local Aboriginal community organisations. The program builds protective factors and strengthens connections to</w:t>
      </w:r>
      <w:r w:rsidR="008074B3">
        <w:t> </w:t>
      </w:r>
      <w:r w:rsidRPr="00AC5AB5">
        <w:t>culture and community. It supports wellbeing and</w:t>
      </w:r>
      <w:r w:rsidR="008074B3">
        <w:t> </w:t>
      </w:r>
      <w:r w:rsidRPr="00AC5AB5">
        <w:t>life</w:t>
      </w:r>
      <w:r w:rsidR="008074B3">
        <w:t> </w:t>
      </w:r>
      <w:r w:rsidRPr="00AC5AB5">
        <w:t>skills, enhancing education outcomes. It</w:t>
      </w:r>
      <w:r w:rsidR="008074B3">
        <w:t> </w:t>
      </w:r>
      <w:r w:rsidRPr="00AC5AB5">
        <w:t>also creates pathways to training and</w:t>
      </w:r>
      <w:r w:rsidR="008074B3">
        <w:t> </w:t>
      </w:r>
      <w:r w:rsidRPr="00AC5AB5">
        <w:t>employment.</w:t>
      </w:r>
    </w:p>
    <w:p w14:paraId="24E1E640" w14:textId="7C275F29" w:rsidR="00541B81" w:rsidRDefault="00541B81" w:rsidP="00AC5AB5">
      <w:pPr>
        <w:pStyle w:val="ARBody"/>
      </w:pPr>
      <w:r>
        <w:br w:type="page"/>
      </w:r>
    </w:p>
    <w:p w14:paraId="1069E841" w14:textId="77777777" w:rsidR="007F2BAD" w:rsidRPr="00F45F11" w:rsidRDefault="007F2BAD" w:rsidP="00DB64FD">
      <w:pPr>
        <w:pStyle w:val="Heading3"/>
        <w:spacing w:before="0"/>
      </w:pPr>
      <w:r w:rsidRPr="00F45F11">
        <w:t xml:space="preserve">Objective: Our social services system is integrated, effective, person-centred and sustainable </w:t>
      </w:r>
    </w:p>
    <w:p w14:paraId="4A4AC030" w14:textId="2188F428" w:rsidR="0023457F" w:rsidRPr="002442C0" w:rsidRDefault="0023457F" w:rsidP="00CC051D">
      <w:pPr>
        <w:pStyle w:val="ARBody"/>
      </w:pPr>
      <w:r w:rsidRPr="002442C0">
        <w:t>The social services system is joined up and provides safe, effective and appropriate services that respond to</w:t>
      </w:r>
      <w:r w:rsidR="008074B3">
        <w:t> </w:t>
      </w:r>
      <w:r w:rsidRPr="002442C0">
        <w:t>the needs, preferences and circumstances of Victorians. Our corporate functions and IT systems facilitate efficient service delivery, administration and oversight, and our workforce is sustainable and highly skilled. We nurture strong partnerships with funded agencies, and we deploy data and evidence to continuously</w:t>
      </w:r>
      <w:r w:rsidR="00D72B91">
        <w:t xml:space="preserve"> </w:t>
      </w:r>
      <w:r w:rsidRPr="002442C0">
        <w:t>improve.</w:t>
      </w:r>
    </w:p>
    <w:p w14:paraId="2CE61ACE" w14:textId="129F158C" w:rsidR="003A45A0" w:rsidRPr="003A45A0" w:rsidRDefault="007F2BAD" w:rsidP="003A45A0">
      <w:pPr>
        <w:pStyle w:val="Heading4"/>
      </w:pPr>
      <w:r w:rsidRPr="00F45F11">
        <w:t xml:space="preserve">Key initiatives and </w:t>
      </w:r>
      <w:r w:rsidRPr="00D30C1D">
        <w:t>projects</w:t>
      </w:r>
    </w:p>
    <w:p w14:paraId="156A380E" w14:textId="16913133" w:rsidR="007F2BAD" w:rsidRPr="00F45F11" w:rsidRDefault="007F2BAD" w:rsidP="003A45A0">
      <w:pPr>
        <w:pStyle w:val="Heading5"/>
      </w:pPr>
      <w:r w:rsidRPr="00F45F11">
        <w:t>Strengthening child safeguarding and</w:t>
      </w:r>
      <w:r w:rsidR="00443A73" w:rsidRPr="00F45F11">
        <w:t> </w:t>
      </w:r>
      <w:r w:rsidRPr="003A45A0">
        <w:t>oversight</w:t>
      </w:r>
    </w:p>
    <w:p w14:paraId="26F538CB" w14:textId="2326AF1C" w:rsidR="007F2BAD" w:rsidRPr="00F45F11" w:rsidRDefault="007F2BAD" w:rsidP="00EA325A">
      <w:pPr>
        <w:pStyle w:val="ARBody"/>
      </w:pPr>
      <w:r w:rsidRPr="00F45F11">
        <w:t xml:space="preserve">Following the 2025 </w:t>
      </w:r>
      <w:r w:rsidRPr="00A124D1">
        <w:rPr>
          <w:rStyle w:val="Emphasis"/>
        </w:rPr>
        <w:t>Rapid Child Safety Review</w:t>
      </w:r>
      <w:r w:rsidRPr="00F45F11">
        <w:t>,</w:t>
      </w:r>
      <w:r w:rsidRPr="00F45F11">
        <w:rPr>
          <w:i/>
          <w:iCs/>
        </w:rPr>
        <w:t xml:space="preserve"> </w:t>
      </w:r>
      <w:r w:rsidRPr="00F45F11">
        <w:t xml:space="preserve">reforms to Victoria’s key child safeguarding and regulatory frameworks have been implemented through the </w:t>
      </w:r>
      <w:r w:rsidRPr="00A124D1">
        <w:rPr>
          <w:rStyle w:val="Emphasis"/>
        </w:rPr>
        <w:t>Social Services Regulation Amendment (Complaints and Worker Regulation) Act 2025</w:t>
      </w:r>
      <w:r w:rsidR="00E75479" w:rsidRPr="00F45F11">
        <w:rPr>
          <w:rStyle w:val="Emphasis"/>
          <w:i w:val="0"/>
          <w:iCs w:val="0"/>
        </w:rPr>
        <w:t>,</w:t>
      </w:r>
      <w:r w:rsidRPr="00F45F11">
        <w:rPr>
          <w:rStyle w:val="Emphasis"/>
        </w:rPr>
        <w:t xml:space="preserve"> </w:t>
      </w:r>
      <w:r w:rsidRPr="00F45F11">
        <w:t>which received Royal Assent in December 2025.</w:t>
      </w:r>
    </w:p>
    <w:p w14:paraId="28909711" w14:textId="124F3509" w:rsidR="007F2BAD" w:rsidRPr="00F45F11" w:rsidRDefault="007F2BAD" w:rsidP="00EA325A">
      <w:pPr>
        <w:pStyle w:val="ARBody"/>
      </w:pPr>
      <w:r w:rsidRPr="00F45F11">
        <w:t>Key reforms progressively implemented throughout 20</w:t>
      </w:r>
      <w:r w:rsidR="007F601A" w:rsidRPr="00F45F11">
        <w:t>25–</w:t>
      </w:r>
      <w:r w:rsidRPr="00F45F11">
        <w:t>26 include consolidation of Working with Children Check, Reportable Conduct Scheme and Child Safe Standards functions into the Social Services Regulator and strengthening the Working with Children Check framework. The reforms will enable information to be shared more easily and acted on more quickly across these regulatory</w:t>
      </w:r>
      <w:r w:rsidR="000D67BA">
        <w:t> </w:t>
      </w:r>
      <w:r w:rsidRPr="00F45F11">
        <w:t>schemes.</w:t>
      </w:r>
    </w:p>
    <w:p w14:paraId="4E00406A" w14:textId="545CA977" w:rsidR="007F2BAD" w:rsidRDefault="007F2BAD" w:rsidP="00EA325A">
      <w:pPr>
        <w:pStyle w:val="ARBody"/>
      </w:pPr>
      <w:r w:rsidRPr="00F45F11">
        <w:t>The Social Services Regulator will administer these</w:t>
      </w:r>
      <w:r w:rsidR="00D30C1D">
        <w:t> </w:t>
      </w:r>
      <w:r w:rsidRPr="00F45F11">
        <w:t xml:space="preserve">new schemes alongside their existing social services regulatory functions. </w:t>
      </w:r>
    </w:p>
    <w:p w14:paraId="70D5F524" w14:textId="1676CF60" w:rsidR="00443A73" w:rsidRPr="00F45F11" w:rsidRDefault="00443A73" w:rsidP="003A45A0">
      <w:pPr>
        <w:pStyle w:val="Heading5"/>
      </w:pPr>
      <w:r w:rsidRPr="00F45F11">
        <w:t>Improved information</w:t>
      </w:r>
      <w:r w:rsidR="007F601A" w:rsidRPr="00F45F11">
        <w:t xml:space="preserve"> </w:t>
      </w:r>
      <w:r w:rsidRPr="00F45F11">
        <w:t>sharing</w:t>
      </w:r>
    </w:p>
    <w:p w14:paraId="3D057C0C" w14:textId="0C6F5825" w:rsidR="00CD2168" w:rsidRDefault="00CD2168" w:rsidP="00CD2168">
      <w:pPr>
        <w:pStyle w:val="ARBody"/>
      </w:pPr>
      <w:r>
        <w:t xml:space="preserve">The department </w:t>
      </w:r>
      <w:r w:rsidR="00976895">
        <w:t>continued to scope and plan for</w:t>
      </w:r>
      <w:r>
        <w:t xml:space="preserve"> a multiyear program to </w:t>
      </w:r>
      <w:r w:rsidRPr="00F45F11">
        <w:t xml:space="preserve">modernise the core technology systems that support the community and family service system. </w:t>
      </w:r>
      <w:r w:rsidR="009E5DE2">
        <w:t>Following a successful 2026-27 budget outcome</w:t>
      </w:r>
      <w:r w:rsidR="00256C1F">
        <w:t xml:space="preserve">, </w:t>
      </w:r>
      <w:r w:rsidR="009E5DE2">
        <w:t>wor</w:t>
      </w:r>
      <w:r>
        <w:t xml:space="preserve">k </w:t>
      </w:r>
      <w:r w:rsidR="00256C1F">
        <w:t xml:space="preserve">is underway to </w:t>
      </w:r>
      <w:r>
        <w:t xml:space="preserve">replace </w:t>
      </w:r>
      <w:r w:rsidR="0093224A">
        <w:t>the Integrated Reports and Information System (</w:t>
      </w:r>
      <w:r w:rsidRPr="00F45F11">
        <w:t>IRIS</w:t>
      </w:r>
      <w:r w:rsidR="0093224A">
        <w:t>)</w:t>
      </w:r>
      <w:r w:rsidRPr="00F45F11">
        <w:t xml:space="preserve"> and design a new case management system for child protection</w:t>
      </w:r>
      <w:r>
        <w:t>,</w:t>
      </w:r>
      <w:r w:rsidRPr="00F45F11">
        <w:t xml:space="preserve"> care </w:t>
      </w:r>
      <w:r>
        <w:t>and family and sexual violence</w:t>
      </w:r>
      <w:r w:rsidR="007713BA">
        <w:t> </w:t>
      </w:r>
      <w:r w:rsidRPr="00F45F11">
        <w:t>services.</w:t>
      </w:r>
      <w:r w:rsidR="000D67BA">
        <w:t xml:space="preserve"> </w:t>
      </w:r>
      <w:r w:rsidR="00C863A3">
        <w:t>This will allow improved information sharing and record management to</w:t>
      </w:r>
      <w:r w:rsidR="007713BA">
        <w:t> </w:t>
      </w:r>
      <w:r w:rsidR="00C863A3">
        <w:t>improve services and client outcomes.</w:t>
      </w:r>
    </w:p>
    <w:p w14:paraId="1B1B1256" w14:textId="77777777" w:rsidR="000D4A68" w:rsidRPr="00F45F11" w:rsidRDefault="000D4A68" w:rsidP="00D30C1D">
      <w:pPr>
        <w:pStyle w:val="Heading5"/>
      </w:pPr>
      <w:r w:rsidRPr="00F45F11">
        <w:t xml:space="preserve">Investment to support our skilled community </w:t>
      </w:r>
      <w:r w:rsidRPr="00D30C1D">
        <w:t>services</w:t>
      </w:r>
      <w:r w:rsidRPr="00F45F11">
        <w:t xml:space="preserve"> workforce</w:t>
      </w:r>
    </w:p>
    <w:p w14:paraId="4CF88B62" w14:textId="42CD2154" w:rsidR="00AF76B4" w:rsidRPr="00F45F11" w:rsidRDefault="00443A73" w:rsidP="00AF76B4">
      <w:pPr>
        <w:pStyle w:val="ARBody"/>
      </w:pPr>
      <w:r w:rsidRPr="00F45F11">
        <w:t xml:space="preserve">The department is </w:t>
      </w:r>
      <w:r w:rsidR="007F601A" w:rsidRPr="00F45F11">
        <w:t>improving its</w:t>
      </w:r>
      <w:r w:rsidRPr="00F45F11">
        <w:t xml:space="preserve"> use of data insights by strengthening data collection, analysis and reporting through the MARAM and Family Violence Information Sharing schemes</w:t>
      </w:r>
      <w:r w:rsidR="007F601A" w:rsidRPr="00F45F11">
        <w:t xml:space="preserve">. This </w:t>
      </w:r>
      <w:r w:rsidRPr="00F45F11">
        <w:t>will</w:t>
      </w:r>
      <w:r w:rsidR="007F601A" w:rsidRPr="00F45F11">
        <w:t xml:space="preserve"> </w:t>
      </w:r>
      <w:r w:rsidRPr="00F45F11">
        <w:t>inform</w:t>
      </w:r>
      <w:r w:rsidR="007F601A" w:rsidRPr="00F45F11">
        <w:t xml:space="preserve"> </w:t>
      </w:r>
      <w:r w:rsidRPr="00F45F11">
        <w:t>our family and sexual violence responses. Work is</w:t>
      </w:r>
      <w:r w:rsidR="008074B3">
        <w:t> </w:t>
      </w:r>
      <w:r w:rsidRPr="00F45F11">
        <w:t>also underway to scale and apply</w:t>
      </w:r>
      <w:r w:rsidR="007F601A" w:rsidRPr="00F45F11">
        <w:t xml:space="preserve"> </w:t>
      </w:r>
      <w:r w:rsidRPr="00F45F11">
        <w:t>linked data insights for decision-making across</w:t>
      </w:r>
      <w:r w:rsidR="007F601A" w:rsidRPr="00F45F11">
        <w:t xml:space="preserve"> </w:t>
      </w:r>
      <w:r w:rsidRPr="00F45F11">
        <w:t>the</w:t>
      </w:r>
      <w:r w:rsidR="007F601A" w:rsidRPr="00F45F11">
        <w:t xml:space="preserve"> </w:t>
      </w:r>
      <w:r w:rsidRPr="00F45F11">
        <w:t>Victorian Government through the Victorian Social Investment Model (</w:t>
      </w:r>
      <w:proofErr w:type="spellStart"/>
      <w:r w:rsidRPr="00F45F11">
        <w:t>VicSIM</w:t>
      </w:r>
      <w:proofErr w:type="spellEnd"/>
      <w:r w:rsidRPr="00F45F11">
        <w:t>).</w:t>
      </w:r>
      <w:bookmarkStart w:id="89" w:name="_Performance_against_output"/>
      <w:bookmarkStart w:id="90" w:name="_Section_3:_Our"/>
      <w:bookmarkEnd w:id="89"/>
      <w:bookmarkEnd w:id="90"/>
    </w:p>
    <w:p w14:paraId="5D6B24F1" w14:textId="21600553" w:rsidR="00541B81" w:rsidRDefault="00443A73" w:rsidP="00AF76B4">
      <w:pPr>
        <w:pStyle w:val="ARBody"/>
      </w:pPr>
      <w:r w:rsidRPr="00F45F11">
        <w:t xml:space="preserve">The department </w:t>
      </w:r>
      <w:r w:rsidR="0011785E">
        <w:t xml:space="preserve">also </w:t>
      </w:r>
      <w:r w:rsidRPr="00F45F11">
        <w:t xml:space="preserve">continues to support the community and social services sector’s recruitment and retention strategies and activities. </w:t>
      </w:r>
    </w:p>
    <w:p w14:paraId="492FE175" w14:textId="755ECD28" w:rsidR="003A45A0" w:rsidRDefault="003A45A0">
      <w:pPr>
        <w:spacing w:after="0" w:line="240" w:lineRule="auto"/>
        <w:rPr>
          <w:rFonts w:eastAsia="Times"/>
          <w:sz w:val="20"/>
        </w:rPr>
      </w:pPr>
      <w:r>
        <w:br w:type="page"/>
      </w:r>
    </w:p>
    <w:p w14:paraId="15D86189" w14:textId="21E66400" w:rsidR="00602F54" w:rsidRPr="00F45F11" w:rsidRDefault="00602F54" w:rsidP="00602F54">
      <w:pPr>
        <w:pStyle w:val="Heading2"/>
        <w:spacing w:before="0"/>
      </w:pPr>
      <w:bookmarkStart w:id="91" w:name="_Performance_against_output_1"/>
      <w:bookmarkStart w:id="92" w:name="_Toc212039523"/>
      <w:bookmarkStart w:id="93" w:name="_Toc241131699"/>
      <w:bookmarkEnd w:id="91"/>
      <w:r w:rsidRPr="00F45F11">
        <w:t>Performance against output performance measures</w:t>
      </w:r>
      <w:bookmarkEnd w:id="92"/>
      <w:bookmarkEnd w:id="93"/>
    </w:p>
    <w:p w14:paraId="29227EFE" w14:textId="77777777" w:rsidR="00602F54" w:rsidRPr="00F45F11" w:rsidRDefault="00602F54" w:rsidP="00602F54">
      <w:pPr>
        <w:pStyle w:val="ARBody"/>
      </w:pPr>
      <w:r w:rsidRPr="00F45F11">
        <w:t>This section provides information about the department’s performance against output performance measures.</w:t>
      </w:r>
    </w:p>
    <w:p w14:paraId="2B6E8EEC" w14:textId="77777777" w:rsidR="00602F54" w:rsidRPr="00F45F11" w:rsidRDefault="00602F54" w:rsidP="00602F54">
      <w:pPr>
        <w:pStyle w:val="ARBody"/>
      </w:pPr>
      <w:r w:rsidRPr="00F45F11">
        <w:t>Results in the tables below are coded according to:</w:t>
      </w:r>
    </w:p>
    <w:p w14:paraId="4B6DB37F" w14:textId="77777777" w:rsidR="00602F54" w:rsidRPr="00F45F11" w:rsidRDefault="00602F54" w:rsidP="00602F54">
      <w:pPr>
        <w:pStyle w:val="ARBody"/>
        <w:tabs>
          <w:tab w:val="left" w:pos="426"/>
        </w:tabs>
      </w:pPr>
      <w:r w:rsidRPr="00F45F11">
        <w:rPr>
          <w:rFonts w:ascii="Wingdings" w:eastAsia="Wingdings" w:hAnsi="Wingdings" w:cs="Wingdings"/>
        </w:rPr>
        <w:t></w:t>
      </w:r>
      <w:r w:rsidRPr="00F45F11">
        <w:tab/>
        <w:t>Performance target achieved or exceeded</w:t>
      </w:r>
    </w:p>
    <w:p w14:paraId="4A8BFF14" w14:textId="77777777" w:rsidR="00602F54" w:rsidRPr="00F45F11" w:rsidRDefault="00602F54" w:rsidP="00602F54">
      <w:pPr>
        <w:pStyle w:val="ARBody"/>
        <w:tabs>
          <w:tab w:val="left" w:pos="426"/>
        </w:tabs>
      </w:pPr>
      <w:r w:rsidRPr="00F45F11">
        <w:rPr>
          <w:rFonts w:ascii="Wingdings" w:hAnsi="Wingdings"/>
        </w:rPr>
        <w:t>□</w:t>
      </w:r>
      <w:r w:rsidRPr="00F45F11">
        <w:tab/>
        <w:t>Performance target not achieved – within 5% variance</w:t>
      </w:r>
    </w:p>
    <w:p w14:paraId="77C58A57" w14:textId="77777777" w:rsidR="00602F54" w:rsidRPr="00F45F11" w:rsidRDefault="00602F54" w:rsidP="00602F54">
      <w:pPr>
        <w:pStyle w:val="ARBody"/>
        <w:tabs>
          <w:tab w:val="left" w:pos="426"/>
        </w:tabs>
      </w:pPr>
      <w:r w:rsidRPr="00F45F11">
        <w:rPr>
          <w:rFonts w:ascii="Wingdings" w:eastAsia="Wingdings" w:hAnsi="Wingdings" w:cs="Wingdings"/>
        </w:rPr>
        <w:t></w:t>
      </w:r>
      <w:r w:rsidRPr="00F45F11">
        <w:tab/>
        <w:t>Performance target not achieved – exceeds 5% variance</w:t>
      </w:r>
    </w:p>
    <w:p w14:paraId="705910E8" w14:textId="77777777" w:rsidR="00602F54" w:rsidRPr="00F45F11" w:rsidRDefault="00602F54" w:rsidP="00602F54">
      <w:pPr>
        <w:pStyle w:val="ARBodyafterbullets"/>
      </w:pPr>
      <w:r w:rsidRPr="00F45F11">
        <w:t>Note: There may be slight discrepancies in the variation percentage figures due to decimal point rounding.</w:t>
      </w:r>
    </w:p>
    <w:p w14:paraId="23EA844D" w14:textId="77777777" w:rsidR="00602F54" w:rsidRPr="00F45F11" w:rsidRDefault="00602F54" w:rsidP="00602F54">
      <w:pPr>
        <w:pStyle w:val="Heading3"/>
      </w:pPr>
      <w:r w:rsidRPr="00F45F11">
        <w:t>Child protection and family services</w:t>
      </w:r>
    </w:p>
    <w:p w14:paraId="76E246BA" w14:textId="2F56BCB0" w:rsidR="00602F54" w:rsidRPr="00F45F11" w:rsidRDefault="00602F54" w:rsidP="00602F54">
      <w:pPr>
        <w:pStyle w:val="ARBody"/>
      </w:pPr>
      <w:r w:rsidRPr="00F45F11">
        <w:t>Th</w:t>
      </w:r>
      <w:r w:rsidR="00861D42">
        <w:t xml:space="preserve">is </w:t>
      </w:r>
      <w:r w:rsidR="00DF034F">
        <w:t xml:space="preserve">output, through the funding of </w:t>
      </w:r>
      <w:r w:rsidRPr="00F45F11">
        <w:t>statutory child protection services, family support and parenting services, care services and specialist support services, including services for Aboriginal children and families</w:t>
      </w:r>
      <w:r w:rsidR="00FE3A69" w:rsidRPr="00F45F11">
        <w:t>. It</w:t>
      </w:r>
      <w:r w:rsidRPr="00F45F11">
        <w:t xml:space="preserve"> aims to ensure the safety and wellbeing of children and young people at risk of harm, abuse and neglect. </w:t>
      </w:r>
      <w:r w:rsidR="00DF034F">
        <w:t xml:space="preserve">This output </w:t>
      </w:r>
      <w:r w:rsidR="00FE3A69" w:rsidRPr="00F45F11">
        <w:t>also</w:t>
      </w:r>
      <w:r w:rsidRPr="00F45F11">
        <w:t xml:space="preserve"> aims to make a positive difference to Victorians experiencing disadvantage by providing excellent community services to meet clients’ needs.</w:t>
      </w:r>
    </w:p>
    <w:p w14:paraId="61C035B8" w14:textId="77777777" w:rsidR="00602F54" w:rsidRPr="00F45F11" w:rsidRDefault="00602F54" w:rsidP="00602F54">
      <w:pPr>
        <w:pStyle w:val="ARBody"/>
      </w:pPr>
      <w:r w:rsidRPr="00F45F11">
        <w:t>This output provides:</w:t>
      </w:r>
    </w:p>
    <w:p w14:paraId="25D9C044" w14:textId="77777777" w:rsidR="00602F54" w:rsidRPr="00F45F11" w:rsidRDefault="00602F54" w:rsidP="00602F54">
      <w:pPr>
        <w:pStyle w:val="ARBullet1"/>
      </w:pPr>
      <w:r w:rsidRPr="00F45F11">
        <w:t>child protection services to provide for the safety and wellbeing of children and young people at risk of harm, abuse and neglect</w:t>
      </w:r>
    </w:p>
    <w:p w14:paraId="2DB1C42D" w14:textId="6C55A778" w:rsidR="00602F54" w:rsidRPr="00F45F11" w:rsidRDefault="00602F54" w:rsidP="00602F54">
      <w:pPr>
        <w:pStyle w:val="ARBullet1"/>
      </w:pPr>
      <w:r w:rsidRPr="00F45F11">
        <w:t xml:space="preserve">specialist support and placement services </w:t>
      </w:r>
      <w:r w:rsidR="00DF034F">
        <w:t>to provide for the safety and wellbeing of</w:t>
      </w:r>
      <w:r w:rsidR="00FE3A69" w:rsidRPr="00F45F11">
        <w:t xml:space="preserve"> </w:t>
      </w:r>
      <w:r w:rsidRPr="00F45F11">
        <w:t xml:space="preserve">children and young people who </w:t>
      </w:r>
      <w:r w:rsidR="00FE3A69" w:rsidRPr="00F45F11">
        <w:t>need</w:t>
      </w:r>
      <w:r w:rsidRPr="00F45F11" w:rsidDel="00084947">
        <w:t xml:space="preserve"> </w:t>
      </w:r>
      <w:r w:rsidRPr="00F45F11">
        <w:t>support to remain with their family or are placed in out</w:t>
      </w:r>
      <w:r w:rsidR="00FE3A69" w:rsidRPr="00F45F11">
        <w:t>-</w:t>
      </w:r>
      <w:r w:rsidRPr="00F45F11">
        <w:t>of-home care</w:t>
      </w:r>
    </w:p>
    <w:p w14:paraId="17BFB32A" w14:textId="77777777" w:rsidR="00602F54" w:rsidRPr="00F45F11" w:rsidRDefault="00602F54" w:rsidP="00602F54">
      <w:pPr>
        <w:pStyle w:val="ARBullet1"/>
      </w:pPr>
      <w:r w:rsidRPr="00F45F11">
        <w:t>a range of earlier intervention services to provide for the safety and wellbeing of children, young people and families</w:t>
      </w:r>
    </w:p>
    <w:p w14:paraId="7D1D2714" w14:textId="0DFB6231" w:rsidR="00602F54" w:rsidRPr="00F45F11" w:rsidRDefault="00602F54" w:rsidP="003A45A0">
      <w:pPr>
        <w:pStyle w:val="ARBullet1"/>
        <w:spacing w:after="360"/>
      </w:pPr>
      <w:r w:rsidRPr="00F45F11">
        <w:t>a focus on Aboriginal children, young people, their families and carers.</w:t>
      </w:r>
    </w:p>
    <w:tbl>
      <w:tblPr>
        <w:tblStyle w:val="ARtable1"/>
        <w:tblW w:w="5000" w:type="pct"/>
        <w:tblLook w:val="06A0" w:firstRow="1" w:lastRow="0" w:firstColumn="1" w:lastColumn="0" w:noHBand="1" w:noVBand="1"/>
      </w:tblPr>
      <w:tblGrid>
        <w:gridCol w:w="4834"/>
        <w:gridCol w:w="1087"/>
        <w:gridCol w:w="934"/>
        <w:gridCol w:w="934"/>
        <w:gridCol w:w="1062"/>
        <w:gridCol w:w="777"/>
      </w:tblGrid>
      <w:tr w:rsidR="00602F54" w:rsidRPr="00F45F11" w14:paraId="0A194725" w14:textId="77777777" w:rsidTr="002A7BAF">
        <w:trPr>
          <w:cnfStyle w:val="100000000000" w:firstRow="1" w:lastRow="0" w:firstColumn="0" w:lastColumn="0" w:oddVBand="0" w:evenVBand="0" w:oddHBand="0" w:evenHBand="0" w:firstRowFirstColumn="0" w:firstRowLastColumn="0" w:lastRowFirstColumn="0" w:lastRowLastColumn="0"/>
          <w:tblHeader/>
        </w:trPr>
        <w:tc>
          <w:tcPr>
            <w:tcW w:w="2516" w:type="pct"/>
            <w:hideMark/>
          </w:tcPr>
          <w:p w14:paraId="627114D0" w14:textId="77777777" w:rsidR="00602F54" w:rsidRPr="00F45F11" w:rsidRDefault="00602F54" w:rsidP="009817E6">
            <w:pPr>
              <w:pStyle w:val="ARtablecolhead"/>
            </w:pPr>
            <w:r w:rsidRPr="00F45F11">
              <w:t>Performance measures</w:t>
            </w:r>
          </w:p>
        </w:tc>
        <w:tc>
          <w:tcPr>
            <w:tcW w:w="542" w:type="pct"/>
            <w:hideMark/>
          </w:tcPr>
          <w:p w14:paraId="273854CB" w14:textId="77777777" w:rsidR="00602F54" w:rsidRPr="00F45F11" w:rsidRDefault="00602F54" w:rsidP="009817E6">
            <w:pPr>
              <w:pStyle w:val="ARtablecolhead"/>
            </w:pPr>
            <w:r w:rsidRPr="00F45F11">
              <w:t>Unit of measure</w:t>
            </w:r>
          </w:p>
        </w:tc>
        <w:tc>
          <w:tcPr>
            <w:tcW w:w="491" w:type="pct"/>
            <w:hideMark/>
          </w:tcPr>
          <w:p w14:paraId="3719B26F" w14:textId="77777777" w:rsidR="00602F54" w:rsidRPr="00F45F11" w:rsidRDefault="00602F54" w:rsidP="009817E6">
            <w:pPr>
              <w:pStyle w:val="ARtablecolheadright"/>
            </w:pPr>
            <w:r w:rsidRPr="00F45F11">
              <w:t>2025–26 target</w:t>
            </w:r>
          </w:p>
        </w:tc>
        <w:tc>
          <w:tcPr>
            <w:tcW w:w="491" w:type="pct"/>
            <w:hideMark/>
          </w:tcPr>
          <w:p w14:paraId="6FDF1920" w14:textId="77777777" w:rsidR="00602F54" w:rsidRPr="00F45F11" w:rsidRDefault="00602F54" w:rsidP="009817E6">
            <w:pPr>
              <w:pStyle w:val="ARtablecolheadright"/>
            </w:pPr>
            <w:r w:rsidRPr="00F45F11">
              <w:t>2025–26 actual</w:t>
            </w:r>
          </w:p>
        </w:tc>
        <w:tc>
          <w:tcPr>
            <w:tcW w:w="556" w:type="pct"/>
            <w:hideMark/>
          </w:tcPr>
          <w:p w14:paraId="5CD3C16E" w14:textId="77777777" w:rsidR="00602F54" w:rsidRPr="00F45F11" w:rsidRDefault="00602F54" w:rsidP="009817E6">
            <w:pPr>
              <w:pStyle w:val="ARtablecolheadright"/>
            </w:pPr>
            <w:r w:rsidRPr="00F45F11">
              <w:t xml:space="preserve">Variation </w:t>
            </w:r>
          </w:p>
        </w:tc>
        <w:tc>
          <w:tcPr>
            <w:tcW w:w="404" w:type="pct"/>
            <w:hideMark/>
          </w:tcPr>
          <w:p w14:paraId="42B08CE0" w14:textId="77777777" w:rsidR="00602F54" w:rsidRPr="00F45F11" w:rsidRDefault="00602F54" w:rsidP="009817E6">
            <w:pPr>
              <w:pStyle w:val="ARtablecolheadright"/>
            </w:pPr>
            <w:r w:rsidRPr="00F45F11">
              <w:t>Result</w:t>
            </w:r>
          </w:p>
        </w:tc>
      </w:tr>
      <w:tr w:rsidR="00477AB2" w:rsidRPr="00F45F11" w14:paraId="2DDECA07" w14:textId="77777777" w:rsidTr="002A7BAF">
        <w:tc>
          <w:tcPr>
            <w:tcW w:w="2516" w:type="pct"/>
          </w:tcPr>
          <w:p w14:paraId="05AA467F" w14:textId="262E606A" w:rsidR="00477AB2" w:rsidRPr="00F45F11" w:rsidRDefault="00477AB2" w:rsidP="00477AB2">
            <w:pPr>
              <w:pStyle w:val="ARtablegreybold"/>
            </w:pPr>
            <w:r w:rsidRPr="00F45F11">
              <w:t>Quantity</w:t>
            </w:r>
          </w:p>
        </w:tc>
        <w:tc>
          <w:tcPr>
            <w:tcW w:w="542" w:type="pct"/>
          </w:tcPr>
          <w:p w14:paraId="705F3466" w14:textId="77777777" w:rsidR="00477AB2" w:rsidRDefault="00477AB2" w:rsidP="009817E6">
            <w:pPr>
              <w:pStyle w:val="ARTabletext"/>
            </w:pPr>
          </w:p>
        </w:tc>
        <w:tc>
          <w:tcPr>
            <w:tcW w:w="491" w:type="pct"/>
          </w:tcPr>
          <w:p w14:paraId="0F6A2B16" w14:textId="77777777" w:rsidR="00477AB2" w:rsidRPr="00F45F11" w:rsidRDefault="00477AB2" w:rsidP="009817E6">
            <w:pPr>
              <w:pStyle w:val="ARtabletextright"/>
            </w:pPr>
          </w:p>
        </w:tc>
        <w:tc>
          <w:tcPr>
            <w:tcW w:w="491" w:type="pct"/>
          </w:tcPr>
          <w:p w14:paraId="7703B28C" w14:textId="77777777" w:rsidR="00477AB2" w:rsidRPr="00F45F11" w:rsidDel="00710D65" w:rsidRDefault="00477AB2" w:rsidP="009817E6">
            <w:pPr>
              <w:pStyle w:val="ARtabletextright"/>
            </w:pPr>
          </w:p>
        </w:tc>
        <w:tc>
          <w:tcPr>
            <w:tcW w:w="556" w:type="pct"/>
          </w:tcPr>
          <w:p w14:paraId="63E5909B" w14:textId="77777777" w:rsidR="00477AB2" w:rsidRPr="00F45F11" w:rsidRDefault="00477AB2" w:rsidP="009817E6">
            <w:pPr>
              <w:pStyle w:val="ARtabletextright"/>
            </w:pPr>
          </w:p>
        </w:tc>
        <w:tc>
          <w:tcPr>
            <w:tcW w:w="404" w:type="pct"/>
          </w:tcPr>
          <w:p w14:paraId="78E96BF0" w14:textId="77777777" w:rsidR="00477AB2" w:rsidRPr="00F45F11" w:rsidRDefault="00477AB2" w:rsidP="009817E6">
            <w:pPr>
              <w:pStyle w:val="ARtableperformancesymbol"/>
              <w:rPr>
                <w:rFonts w:eastAsia="Wingdings" w:cs="Wingdings"/>
              </w:rPr>
            </w:pPr>
          </w:p>
        </w:tc>
      </w:tr>
      <w:tr w:rsidR="00602F54" w:rsidRPr="00F45F11" w14:paraId="327FF60F" w14:textId="77777777" w:rsidTr="002A7BAF">
        <w:tc>
          <w:tcPr>
            <w:tcW w:w="2516" w:type="pct"/>
            <w:hideMark/>
          </w:tcPr>
          <w:p w14:paraId="5BC77B6F" w14:textId="77777777" w:rsidR="00602F54" w:rsidRDefault="00602F54" w:rsidP="009817E6">
            <w:pPr>
              <w:pStyle w:val="ARTabletext"/>
            </w:pPr>
            <w:r w:rsidRPr="00F45F11">
              <w:t>Daily average number of children in care placements</w:t>
            </w:r>
          </w:p>
          <w:p w14:paraId="0B57477A" w14:textId="0ED732CF" w:rsidR="00477AB2" w:rsidRPr="00F45F11" w:rsidRDefault="00477AB2" w:rsidP="00477AB2">
            <w:pPr>
              <w:pStyle w:val="ARtablenoteindent"/>
            </w:pPr>
            <w:r w:rsidRPr="00F45F11">
              <w:t>The 2025–26 result is lower than the 2025–26 target reflecting demand for services. A lower result signifies that fewer placements are required (potentially reflecting impacts of early intervention).</w:t>
            </w:r>
          </w:p>
        </w:tc>
        <w:tc>
          <w:tcPr>
            <w:tcW w:w="542" w:type="pct"/>
            <w:hideMark/>
          </w:tcPr>
          <w:p w14:paraId="2E5DBC3C" w14:textId="432A2061" w:rsidR="00602F54" w:rsidRPr="00F45F11" w:rsidRDefault="00D30C1D" w:rsidP="009817E6">
            <w:pPr>
              <w:pStyle w:val="ARTabletext"/>
            </w:pPr>
            <w:r>
              <w:t>n</w:t>
            </w:r>
            <w:r w:rsidR="00602F54" w:rsidRPr="00F45F11">
              <w:t>umber</w:t>
            </w:r>
            <w:r w:rsidR="00F32FC8">
              <w:t> </w:t>
            </w:r>
          </w:p>
        </w:tc>
        <w:tc>
          <w:tcPr>
            <w:tcW w:w="491" w:type="pct"/>
          </w:tcPr>
          <w:p w14:paraId="5D0B0404" w14:textId="77777777" w:rsidR="00602F54" w:rsidRPr="00F45F11" w:rsidRDefault="00602F54" w:rsidP="009817E6">
            <w:pPr>
              <w:pStyle w:val="ARtabletextright"/>
            </w:pPr>
            <w:r w:rsidRPr="00F45F11">
              <w:t>10,641</w:t>
            </w:r>
          </w:p>
        </w:tc>
        <w:tc>
          <w:tcPr>
            <w:tcW w:w="491" w:type="pct"/>
          </w:tcPr>
          <w:p w14:paraId="0AA5EC77" w14:textId="77777777" w:rsidR="00602F54" w:rsidRPr="00F45F11" w:rsidRDefault="00602F54" w:rsidP="009817E6">
            <w:pPr>
              <w:pStyle w:val="ARtabletextright"/>
            </w:pPr>
            <w:r w:rsidRPr="00F45F11" w:rsidDel="00710D65">
              <w:t>9,</w:t>
            </w:r>
            <w:r w:rsidRPr="00F45F11">
              <w:t>145</w:t>
            </w:r>
          </w:p>
        </w:tc>
        <w:tc>
          <w:tcPr>
            <w:tcW w:w="556" w:type="pct"/>
          </w:tcPr>
          <w:p w14:paraId="1A6D50FF" w14:textId="77777777" w:rsidR="00602F54" w:rsidRPr="00F45F11" w:rsidRDefault="00602F54" w:rsidP="009817E6">
            <w:pPr>
              <w:pStyle w:val="ARtabletextright"/>
            </w:pPr>
            <w:r w:rsidRPr="00F45F11">
              <w:t>-14.1%</w:t>
            </w:r>
          </w:p>
        </w:tc>
        <w:tc>
          <w:tcPr>
            <w:tcW w:w="404" w:type="pct"/>
          </w:tcPr>
          <w:p w14:paraId="6EC91037" w14:textId="77777777" w:rsidR="00602F54" w:rsidRPr="00F45F11" w:rsidRDefault="00602F54" w:rsidP="009817E6">
            <w:pPr>
              <w:pStyle w:val="ARtableperformancesymbol"/>
              <w:rPr>
                <w:sz w:val="20"/>
              </w:rPr>
            </w:pPr>
            <w:r w:rsidRPr="00F45F11">
              <w:rPr>
                <w:rFonts w:eastAsia="Wingdings" w:cs="Wingdings"/>
              </w:rPr>
              <w:t></w:t>
            </w:r>
          </w:p>
        </w:tc>
      </w:tr>
      <w:tr w:rsidR="00602F54" w:rsidRPr="00F45F11" w14:paraId="133EBE37" w14:textId="77777777" w:rsidTr="002A7BAF">
        <w:tc>
          <w:tcPr>
            <w:tcW w:w="2516" w:type="pct"/>
          </w:tcPr>
          <w:p w14:paraId="1D0D3F35" w14:textId="77777777" w:rsidR="00602F54" w:rsidRDefault="00602F54" w:rsidP="009817E6">
            <w:pPr>
              <w:pStyle w:val="ARTabletext"/>
            </w:pPr>
            <w:r w:rsidRPr="00F45F11">
              <w:t>Daily average number of children in foster care placements</w:t>
            </w:r>
          </w:p>
          <w:p w14:paraId="0AC8C31F" w14:textId="40613D9E" w:rsidR="00477AB2" w:rsidRPr="00F45F11" w:rsidRDefault="00477AB2" w:rsidP="00477AB2">
            <w:pPr>
              <w:pStyle w:val="ARtablenoteindent"/>
            </w:pPr>
            <w:r w:rsidRPr="00F45F11">
              <w:t>The 2025–26 result is lower than the 2025–26 target potentially reflecting the overall trend in placements and the availability of</w:t>
            </w:r>
            <w:r>
              <w:t> </w:t>
            </w:r>
            <w:r w:rsidRPr="00F45F11">
              <w:t>foster carers.</w:t>
            </w:r>
          </w:p>
        </w:tc>
        <w:tc>
          <w:tcPr>
            <w:tcW w:w="542" w:type="pct"/>
          </w:tcPr>
          <w:p w14:paraId="52F23774" w14:textId="77777777" w:rsidR="00602F54" w:rsidRPr="00F45F11" w:rsidRDefault="00602F54" w:rsidP="009817E6">
            <w:pPr>
              <w:pStyle w:val="ARTabletext"/>
            </w:pPr>
            <w:r w:rsidRPr="00F45F11">
              <w:t>number</w:t>
            </w:r>
          </w:p>
        </w:tc>
        <w:tc>
          <w:tcPr>
            <w:tcW w:w="491" w:type="pct"/>
          </w:tcPr>
          <w:p w14:paraId="31464A03" w14:textId="77777777" w:rsidR="00602F54" w:rsidRPr="00F45F11" w:rsidRDefault="00602F54" w:rsidP="009817E6">
            <w:pPr>
              <w:pStyle w:val="ARtabletextright"/>
            </w:pPr>
            <w:r w:rsidRPr="00F45F11">
              <w:t>1,773</w:t>
            </w:r>
          </w:p>
        </w:tc>
        <w:tc>
          <w:tcPr>
            <w:tcW w:w="491" w:type="pct"/>
          </w:tcPr>
          <w:p w14:paraId="70922C01" w14:textId="77777777" w:rsidR="00602F54" w:rsidRPr="00F45F11" w:rsidRDefault="00602F54" w:rsidP="009817E6">
            <w:pPr>
              <w:pStyle w:val="ARtabletextright"/>
            </w:pPr>
            <w:r w:rsidRPr="00F45F11" w:rsidDel="00014108">
              <w:t>1,</w:t>
            </w:r>
            <w:r w:rsidRPr="00F45F11">
              <w:t>237</w:t>
            </w:r>
          </w:p>
        </w:tc>
        <w:tc>
          <w:tcPr>
            <w:tcW w:w="556" w:type="pct"/>
          </w:tcPr>
          <w:p w14:paraId="32AF172D" w14:textId="77777777" w:rsidR="00602F54" w:rsidRPr="00F45F11" w:rsidRDefault="00602F54" w:rsidP="009817E6">
            <w:pPr>
              <w:pStyle w:val="ARtabletextright"/>
            </w:pPr>
            <w:r w:rsidRPr="00F45F11">
              <w:t>-30.2%</w:t>
            </w:r>
          </w:p>
        </w:tc>
        <w:tc>
          <w:tcPr>
            <w:tcW w:w="404" w:type="pct"/>
          </w:tcPr>
          <w:p w14:paraId="0218FA16" w14:textId="77777777" w:rsidR="00602F54" w:rsidRPr="00F45F11" w:rsidRDefault="00602F54" w:rsidP="009817E6">
            <w:pPr>
              <w:pStyle w:val="ARtableperformancesymbol"/>
              <w:rPr>
                <w:rStyle w:val="CommentReference"/>
                <w:rFonts w:asciiTheme="minorHAnsi" w:hAnsiTheme="minorHAnsi"/>
              </w:rPr>
            </w:pPr>
            <w:r w:rsidRPr="00F45F11">
              <w:rPr>
                <w:rFonts w:eastAsia="Wingdings" w:cs="Wingdings"/>
              </w:rPr>
              <w:t></w:t>
            </w:r>
          </w:p>
        </w:tc>
      </w:tr>
      <w:tr w:rsidR="00602F54" w:rsidRPr="00F45F11" w14:paraId="24BF3F3F" w14:textId="77777777" w:rsidTr="002A7BAF">
        <w:tc>
          <w:tcPr>
            <w:tcW w:w="2516" w:type="pct"/>
          </w:tcPr>
          <w:p w14:paraId="6A92FD40" w14:textId="77777777" w:rsidR="00602F54" w:rsidRDefault="00602F54" w:rsidP="009817E6">
            <w:pPr>
              <w:pStyle w:val="ARTabletext"/>
            </w:pPr>
            <w:r w:rsidRPr="00F45F11">
              <w:t>Daily average number of children in kinship care placements</w:t>
            </w:r>
          </w:p>
          <w:p w14:paraId="43CB0721" w14:textId="0083686C" w:rsidR="00477AB2" w:rsidRPr="00F45F11" w:rsidRDefault="00477AB2" w:rsidP="00477AB2">
            <w:pPr>
              <w:pStyle w:val="ARtablenoteindent"/>
            </w:pPr>
            <w:r w:rsidRPr="00F45F11">
              <w:t>The 2025–26 result is lower than the 2025–26 target, potentially reflecting the overall trend in placements.</w:t>
            </w:r>
          </w:p>
        </w:tc>
        <w:tc>
          <w:tcPr>
            <w:tcW w:w="542" w:type="pct"/>
          </w:tcPr>
          <w:p w14:paraId="5EDD6044" w14:textId="77777777" w:rsidR="00602F54" w:rsidRPr="00F45F11" w:rsidRDefault="00602F54" w:rsidP="009817E6">
            <w:pPr>
              <w:pStyle w:val="ARTabletext"/>
            </w:pPr>
            <w:r w:rsidRPr="00F45F11">
              <w:t>number</w:t>
            </w:r>
          </w:p>
        </w:tc>
        <w:tc>
          <w:tcPr>
            <w:tcW w:w="491" w:type="pct"/>
          </w:tcPr>
          <w:p w14:paraId="6DC30464" w14:textId="77777777" w:rsidR="00602F54" w:rsidRPr="00F45F11" w:rsidRDefault="00602F54" w:rsidP="009817E6">
            <w:pPr>
              <w:pStyle w:val="ARtabletextright"/>
            </w:pPr>
            <w:r w:rsidRPr="00F45F11">
              <w:t>8,338</w:t>
            </w:r>
          </w:p>
        </w:tc>
        <w:tc>
          <w:tcPr>
            <w:tcW w:w="491" w:type="pct"/>
          </w:tcPr>
          <w:p w14:paraId="6D8C5B8C" w14:textId="77777777" w:rsidR="00602F54" w:rsidRPr="00F45F11" w:rsidRDefault="00602F54" w:rsidP="009817E6">
            <w:pPr>
              <w:pStyle w:val="ARtabletextright"/>
            </w:pPr>
            <w:r w:rsidRPr="00F45F11" w:rsidDel="00B01F46">
              <w:t>7,</w:t>
            </w:r>
            <w:r w:rsidRPr="00F45F11">
              <w:t>433</w:t>
            </w:r>
          </w:p>
        </w:tc>
        <w:tc>
          <w:tcPr>
            <w:tcW w:w="556" w:type="pct"/>
          </w:tcPr>
          <w:p w14:paraId="3CA1075D" w14:textId="77777777" w:rsidR="00602F54" w:rsidRPr="00F45F11" w:rsidRDefault="00602F54" w:rsidP="009817E6">
            <w:pPr>
              <w:pStyle w:val="ARtabletextright"/>
            </w:pPr>
            <w:r w:rsidRPr="00F45F11">
              <w:t>-10.9%</w:t>
            </w:r>
          </w:p>
        </w:tc>
        <w:tc>
          <w:tcPr>
            <w:tcW w:w="404" w:type="pct"/>
          </w:tcPr>
          <w:p w14:paraId="08A45E38" w14:textId="77777777" w:rsidR="00602F54" w:rsidRPr="00F45F11" w:rsidRDefault="00602F54" w:rsidP="009817E6">
            <w:pPr>
              <w:pStyle w:val="ARtableperformancesymbol"/>
              <w:rPr>
                <w:rStyle w:val="CommentReference"/>
                <w:rFonts w:asciiTheme="minorHAnsi" w:hAnsiTheme="minorHAnsi"/>
              </w:rPr>
            </w:pPr>
            <w:r w:rsidRPr="00F45F11">
              <w:rPr>
                <w:rFonts w:eastAsia="Wingdings" w:cs="Wingdings"/>
              </w:rPr>
              <w:t></w:t>
            </w:r>
          </w:p>
        </w:tc>
      </w:tr>
      <w:tr w:rsidR="00602F54" w:rsidRPr="00F45F11" w14:paraId="15A65046" w14:textId="77777777" w:rsidTr="002A7BAF">
        <w:tc>
          <w:tcPr>
            <w:tcW w:w="2516" w:type="pct"/>
          </w:tcPr>
          <w:p w14:paraId="0B46898D" w14:textId="77777777" w:rsidR="00602F54" w:rsidRDefault="00602F54" w:rsidP="009817E6">
            <w:pPr>
              <w:pStyle w:val="ARTabletext"/>
            </w:pPr>
            <w:r w:rsidRPr="00F45F11">
              <w:t>Daily average number of children in residential care placements</w:t>
            </w:r>
          </w:p>
          <w:p w14:paraId="00F5748F" w14:textId="2C17AB29" w:rsidR="00477AB2" w:rsidRPr="00F45F11" w:rsidRDefault="00477AB2" w:rsidP="00477AB2">
            <w:pPr>
              <w:pStyle w:val="ARtablenoteindent"/>
            </w:pPr>
            <w:r w:rsidRPr="00F45F11">
              <w:t>The 2025–26 result is lower than the 2025–26 target, potentially reflecting the overall trend in placements.</w:t>
            </w:r>
          </w:p>
        </w:tc>
        <w:tc>
          <w:tcPr>
            <w:tcW w:w="542" w:type="pct"/>
          </w:tcPr>
          <w:p w14:paraId="63854127" w14:textId="77777777" w:rsidR="00602F54" w:rsidRPr="00F45F11" w:rsidRDefault="00602F54" w:rsidP="009817E6">
            <w:pPr>
              <w:pStyle w:val="ARTabletext"/>
            </w:pPr>
            <w:r w:rsidRPr="00F45F11">
              <w:t>number</w:t>
            </w:r>
          </w:p>
        </w:tc>
        <w:tc>
          <w:tcPr>
            <w:tcW w:w="491" w:type="pct"/>
          </w:tcPr>
          <w:p w14:paraId="0A215FA5" w14:textId="77777777" w:rsidR="00602F54" w:rsidRPr="00F45F11" w:rsidRDefault="00602F54" w:rsidP="009817E6">
            <w:pPr>
              <w:pStyle w:val="ARtabletextright"/>
            </w:pPr>
            <w:r w:rsidRPr="00F45F11">
              <w:t>529</w:t>
            </w:r>
          </w:p>
        </w:tc>
        <w:tc>
          <w:tcPr>
            <w:tcW w:w="491" w:type="pct"/>
          </w:tcPr>
          <w:p w14:paraId="3D5F0027" w14:textId="77777777" w:rsidR="00602F54" w:rsidRPr="00F45F11" w:rsidRDefault="00602F54" w:rsidP="009817E6">
            <w:pPr>
              <w:pStyle w:val="ARtabletextright"/>
            </w:pPr>
            <w:r w:rsidRPr="00F45F11">
              <w:t>467</w:t>
            </w:r>
          </w:p>
        </w:tc>
        <w:tc>
          <w:tcPr>
            <w:tcW w:w="556" w:type="pct"/>
          </w:tcPr>
          <w:p w14:paraId="0095AF64" w14:textId="77777777" w:rsidR="00602F54" w:rsidRPr="00F45F11" w:rsidRDefault="00602F54" w:rsidP="009817E6">
            <w:pPr>
              <w:pStyle w:val="ARtabletextright"/>
            </w:pPr>
            <w:r w:rsidRPr="00F45F11">
              <w:t>-11.6%</w:t>
            </w:r>
          </w:p>
        </w:tc>
        <w:tc>
          <w:tcPr>
            <w:tcW w:w="404" w:type="pct"/>
          </w:tcPr>
          <w:p w14:paraId="09762CEE" w14:textId="77777777" w:rsidR="00602F54" w:rsidRPr="00F45F11" w:rsidRDefault="00602F54" w:rsidP="009817E6">
            <w:pPr>
              <w:pStyle w:val="ARtableperformancesymbol"/>
              <w:rPr>
                <w:rStyle w:val="CommentReference"/>
                <w:rFonts w:asciiTheme="minorHAnsi" w:hAnsiTheme="minorHAnsi"/>
              </w:rPr>
            </w:pPr>
            <w:r w:rsidRPr="00F45F11">
              <w:rPr>
                <w:rFonts w:eastAsia="Wingdings" w:cs="Wingdings"/>
              </w:rPr>
              <w:t></w:t>
            </w:r>
          </w:p>
        </w:tc>
      </w:tr>
      <w:tr w:rsidR="00602F54" w:rsidRPr="00F45F11" w14:paraId="7533A0F4" w14:textId="77777777" w:rsidTr="002A7BAF">
        <w:tc>
          <w:tcPr>
            <w:tcW w:w="2516" w:type="pct"/>
          </w:tcPr>
          <w:p w14:paraId="0F44915A" w14:textId="77777777" w:rsidR="00602F54" w:rsidRPr="00F45F11" w:rsidRDefault="00602F54" w:rsidP="009817E6">
            <w:pPr>
              <w:pStyle w:val="ARTabletext"/>
              <w:rPr>
                <w:highlight w:val="cyan"/>
              </w:rPr>
            </w:pPr>
            <w:r w:rsidRPr="00F45F11">
              <w:t>Daily average number of children subject to permanent care orders</w:t>
            </w:r>
          </w:p>
        </w:tc>
        <w:tc>
          <w:tcPr>
            <w:tcW w:w="542" w:type="pct"/>
          </w:tcPr>
          <w:p w14:paraId="5488DC32" w14:textId="77777777" w:rsidR="00602F54" w:rsidRPr="00F45F11" w:rsidRDefault="00602F54" w:rsidP="009817E6">
            <w:pPr>
              <w:pStyle w:val="ARTabletext"/>
            </w:pPr>
            <w:r w:rsidRPr="00F45F11">
              <w:t>number</w:t>
            </w:r>
          </w:p>
        </w:tc>
        <w:tc>
          <w:tcPr>
            <w:tcW w:w="491" w:type="pct"/>
          </w:tcPr>
          <w:p w14:paraId="21745457" w14:textId="77777777" w:rsidR="00602F54" w:rsidRPr="00F45F11" w:rsidRDefault="00602F54" w:rsidP="009817E6">
            <w:pPr>
              <w:pStyle w:val="ARtabletextright"/>
            </w:pPr>
            <w:r w:rsidRPr="00F45F11" w:rsidDel="00E67D06">
              <w:t>3,</w:t>
            </w:r>
            <w:r w:rsidRPr="00F45F11">
              <w:t>850</w:t>
            </w:r>
          </w:p>
        </w:tc>
        <w:tc>
          <w:tcPr>
            <w:tcW w:w="491" w:type="pct"/>
          </w:tcPr>
          <w:p w14:paraId="06D44FD9" w14:textId="19DD5BE9" w:rsidR="00602F54" w:rsidRPr="00F45F11" w:rsidRDefault="00602F54" w:rsidP="009817E6">
            <w:pPr>
              <w:pStyle w:val="ARtabletextright"/>
            </w:pPr>
            <w:r w:rsidRPr="00F45F11" w:rsidDel="00E56D86">
              <w:t>3</w:t>
            </w:r>
            <w:r w:rsidR="007404AA">
              <w:t>,</w:t>
            </w:r>
            <w:r w:rsidRPr="00F45F11">
              <w:t>851</w:t>
            </w:r>
          </w:p>
        </w:tc>
        <w:tc>
          <w:tcPr>
            <w:tcW w:w="556" w:type="pct"/>
          </w:tcPr>
          <w:p w14:paraId="1A07DAD4" w14:textId="77777777" w:rsidR="00602F54" w:rsidRPr="00F45F11" w:rsidRDefault="00602F54" w:rsidP="009817E6">
            <w:pPr>
              <w:pStyle w:val="ARtabletextright"/>
            </w:pPr>
            <w:r w:rsidRPr="00F45F11" w:rsidDel="00E56D86">
              <w:t>0.</w:t>
            </w:r>
            <w:r w:rsidRPr="00F45F11">
              <w:t>0%</w:t>
            </w:r>
          </w:p>
        </w:tc>
        <w:tc>
          <w:tcPr>
            <w:tcW w:w="404" w:type="pct"/>
          </w:tcPr>
          <w:p w14:paraId="3A62A3D3" w14:textId="77777777" w:rsidR="00602F54" w:rsidRPr="00F45F11" w:rsidRDefault="00602F54" w:rsidP="009817E6">
            <w:pPr>
              <w:pStyle w:val="ARtableperformancesymbol"/>
              <w:rPr>
                <w:rStyle w:val="CommentReference"/>
                <w:rFonts w:asciiTheme="minorHAnsi" w:hAnsiTheme="minorHAnsi"/>
              </w:rPr>
            </w:pPr>
            <w:r w:rsidRPr="00F45F11">
              <w:rPr>
                <w:rFonts w:eastAsia="Wingdings" w:cs="Wingdings"/>
              </w:rPr>
              <w:t></w:t>
            </w:r>
          </w:p>
        </w:tc>
      </w:tr>
      <w:tr w:rsidR="00602F54" w:rsidRPr="00F45F11" w14:paraId="757469A8" w14:textId="77777777" w:rsidTr="002A7BAF">
        <w:tc>
          <w:tcPr>
            <w:tcW w:w="2516" w:type="pct"/>
          </w:tcPr>
          <w:p w14:paraId="5C87E525" w14:textId="77777777" w:rsidR="00602F54" w:rsidRDefault="00602F54" w:rsidP="009817E6">
            <w:pPr>
              <w:pStyle w:val="ARTabletext"/>
            </w:pPr>
            <w:r w:rsidRPr="00F45F11">
              <w:t>Number of children authorised to an Aboriginal agency under the Aboriginal Children in Aboriginal Care program</w:t>
            </w:r>
          </w:p>
          <w:p w14:paraId="58B29F89" w14:textId="1D27DD3E" w:rsidR="00477AB2" w:rsidRPr="00F45F11" w:rsidRDefault="00477AB2" w:rsidP="00477AB2">
            <w:pPr>
              <w:pStyle w:val="ARtablenoteindent"/>
              <w:rPr>
                <w:highlight w:val="cyan"/>
              </w:rPr>
            </w:pPr>
            <w:r w:rsidRPr="00F45F11">
              <w:t>The 2025–26 actual has exceeded the 2025–26 target. This reflects increased funded capacity in mostly established authorised Aboriginal agencies and familiarisation with the approach. New ACAC teams have been able to significantly increase the number of authorised Aboriginal children supported by an ACCO.</w:t>
            </w:r>
          </w:p>
        </w:tc>
        <w:tc>
          <w:tcPr>
            <w:tcW w:w="542" w:type="pct"/>
          </w:tcPr>
          <w:p w14:paraId="579F1E04" w14:textId="77777777" w:rsidR="00602F54" w:rsidRPr="00F45F11" w:rsidRDefault="00602F54" w:rsidP="009817E6">
            <w:pPr>
              <w:pStyle w:val="ARTabletext"/>
            </w:pPr>
            <w:r w:rsidRPr="00F45F11">
              <w:t>number</w:t>
            </w:r>
          </w:p>
        </w:tc>
        <w:tc>
          <w:tcPr>
            <w:tcW w:w="491" w:type="pct"/>
          </w:tcPr>
          <w:p w14:paraId="0E4F51BA" w14:textId="77777777" w:rsidR="00602F54" w:rsidRPr="00F45F11" w:rsidRDefault="00602F54" w:rsidP="009817E6">
            <w:pPr>
              <w:pStyle w:val="ARtabletextright"/>
            </w:pPr>
            <w:r w:rsidRPr="00F45F11">
              <w:t>460</w:t>
            </w:r>
          </w:p>
        </w:tc>
        <w:tc>
          <w:tcPr>
            <w:tcW w:w="491" w:type="pct"/>
          </w:tcPr>
          <w:p w14:paraId="13FF10FC" w14:textId="77777777" w:rsidR="00602F54" w:rsidRPr="00F45F11" w:rsidRDefault="00602F54" w:rsidP="009817E6">
            <w:pPr>
              <w:pStyle w:val="ARtabletextright"/>
            </w:pPr>
            <w:r w:rsidRPr="00F45F11">
              <w:t>586</w:t>
            </w:r>
          </w:p>
        </w:tc>
        <w:tc>
          <w:tcPr>
            <w:tcW w:w="556" w:type="pct"/>
          </w:tcPr>
          <w:p w14:paraId="3B3B40CE" w14:textId="77777777" w:rsidR="00602F54" w:rsidRPr="00F45F11" w:rsidRDefault="00602F54" w:rsidP="009817E6">
            <w:pPr>
              <w:pStyle w:val="ARtabletextright"/>
            </w:pPr>
            <w:r w:rsidRPr="00F45F11">
              <w:t>27.4%</w:t>
            </w:r>
          </w:p>
        </w:tc>
        <w:tc>
          <w:tcPr>
            <w:tcW w:w="404" w:type="pct"/>
          </w:tcPr>
          <w:p w14:paraId="6B31ED95" w14:textId="77777777" w:rsidR="00602F54" w:rsidRPr="00F45F11" w:rsidRDefault="00602F54" w:rsidP="009817E6">
            <w:pPr>
              <w:pStyle w:val="ARtableperformancesymbol"/>
              <w:rPr>
                <w:rFonts w:eastAsia="Wingdings" w:cs="Wingdings"/>
              </w:rPr>
            </w:pPr>
            <w:r w:rsidRPr="00F45F11">
              <w:rPr>
                <w:rFonts w:eastAsia="Wingdings" w:cs="Wingdings"/>
              </w:rPr>
              <w:t></w:t>
            </w:r>
          </w:p>
        </w:tc>
      </w:tr>
      <w:tr w:rsidR="00602F54" w:rsidRPr="00F45F11" w14:paraId="6DA15BC5" w14:textId="77777777" w:rsidTr="002A7BAF">
        <w:tc>
          <w:tcPr>
            <w:tcW w:w="2516" w:type="pct"/>
            <w:hideMark/>
          </w:tcPr>
          <w:p w14:paraId="075B8C63" w14:textId="77777777" w:rsidR="00602F54" w:rsidRDefault="00602F54" w:rsidP="009817E6">
            <w:pPr>
              <w:pStyle w:val="ARTabletext"/>
            </w:pPr>
            <w:r w:rsidRPr="00F45F11">
              <w:t>Number of intensive family services cases commencing</w:t>
            </w:r>
          </w:p>
          <w:p w14:paraId="6AE11FF9" w14:textId="3068098D" w:rsidR="002A7BAF" w:rsidRPr="00F45F11" w:rsidRDefault="002A7BAF" w:rsidP="002A7BAF">
            <w:pPr>
              <w:pStyle w:val="ARtablenoteindent"/>
            </w:pPr>
            <w:r w:rsidRPr="005C554C">
              <w:t>The 2025–26 actual is higher than the 2025–26 target due to responsiveness to continuing and consistent high levels of</w:t>
            </w:r>
            <w:r>
              <w:t> </w:t>
            </w:r>
            <w:r w:rsidRPr="005C554C">
              <w:t xml:space="preserve">demand for intensive family services. </w:t>
            </w:r>
            <w:r w:rsidRPr="00650866">
              <w:t>This data is lagged 3 months to ensure accuracy, due to delays in agency data</w:t>
            </w:r>
            <w:r>
              <w:t> </w:t>
            </w:r>
            <w:r w:rsidRPr="00650866">
              <w:t>submission.</w:t>
            </w:r>
          </w:p>
        </w:tc>
        <w:tc>
          <w:tcPr>
            <w:tcW w:w="542" w:type="pct"/>
            <w:hideMark/>
          </w:tcPr>
          <w:p w14:paraId="5994954E" w14:textId="77777777" w:rsidR="00602F54" w:rsidRPr="00F45F11" w:rsidRDefault="00602F54" w:rsidP="009817E6">
            <w:pPr>
              <w:pStyle w:val="ARTabletext"/>
            </w:pPr>
            <w:r w:rsidRPr="00F45F11">
              <w:t>number</w:t>
            </w:r>
          </w:p>
        </w:tc>
        <w:tc>
          <w:tcPr>
            <w:tcW w:w="491" w:type="pct"/>
          </w:tcPr>
          <w:p w14:paraId="3430C94C" w14:textId="77777777" w:rsidR="00602F54" w:rsidRPr="00F45F11" w:rsidRDefault="00602F54" w:rsidP="009817E6">
            <w:pPr>
              <w:pStyle w:val="ARtabletextright"/>
            </w:pPr>
            <w:r w:rsidRPr="00F45F11">
              <w:t>4,707</w:t>
            </w:r>
          </w:p>
        </w:tc>
        <w:tc>
          <w:tcPr>
            <w:tcW w:w="491" w:type="pct"/>
          </w:tcPr>
          <w:p w14:paraId="4EA73B08" w14:textId="77777777" w:rsidR="00602F54" w:rsidRPr="00F45F11" w:rsidRDefault="00602F54" w:rsidP="009817E6">
            <w:pPr>
              <w:pStyle w:val="ARtabletextright"/>
            </w:pPr>
            <w:r w:rsidRPr="00F45F11">
              <w:t>5,378</w:t>
            </w:r>
          </w:p>
        </w:tc>
        <w:tc>
          <w:tcPr>
            <w:tcW w:w="556" w:type="pct"/>
          </w:tcPr>
          <w:p w14:paraId="00907442" w14:textId="77777777" w:rsidR="00602F54" w:rsidRPr="00F45F11" w:rsidRDefault="00602F54" w:rsidP="009817E6">
            <w:pPr>
              <w:pStyle w:val="ARtabletextright"/>
            </w:pPr>
            <w:r w:rsidRPr="00F45F11">
              <w:t>14.3%</w:t>
            </w:r>
          </w:p>
        </w:tc>
        <w:tc>
          <w:tcPr>
            <w:tcW w:w="404" w:type="pct"/>
          </w:tcPr>
          <w:p w14:paraId="40C8ACFE" w14:textId="77777777" w:rsidR="00602F54" w:rsidRPr="00F45F11" w:rsidRDefault="00602F54" w:rsidP="009817E6">
            <w:pPr>
              <w:pStyle w:val="ARtableperformancesymbol"/>
            </w:pPr>
            <w:r w:rsidRPr="00F45F11">
              <w:rPr>
                <w:rFonts w:eastAsia="Wingdings" w:cs="Wingdings"/>
              </w:rPr>
              <w:t></w:t>
            </w:r>
          </w:p>
        </w:tc>
      </w:tr>
      <w:tr w:rsidR="00602F54" w:rsidRPr="00F45F11" w14:paraId="053ED3A1" w14:textId="77777777" w:rsidTr="002A7BAF">
        <w:tc>
          <w:tcPr>
            <w:tcW w:w="2516" w:type="pct"/>
            <w:hideMark/>
          </w:tcPr>
          <w:p w14:paraId="001C94FB" w14:textId="77777777" w:rsidR="00602F54" w:rsidRDefault="00602F54" w:rsidP="009817E6">
            <w:pPr>
              <w:pStyle w:val="ARTabletext"/>
            </w:pPr>
            <w:r w:rsidRPr="00F45F11">
              <w:t>Number of intensive family services cases</w:t>
            </w:r>
            <w:r w:rsidRPr="00F45F11" w:rsidDel="00F1082A">
              <w:t xml:space="preserve"> </w:t>
            </w:r>
            <w:r w:rsidRPr="00F45F11">
              <w:t>commencing for Aboriginal families</w:t>
            </w:r>
          </w:p>
          <w:p w14:paraId="38F6CF54" w14:textId="4693F241" w:rsidR="00477AB2" w:rsidRPr="00F45F11" w:rsidRDefault="00477AB2" w:rsidP="00477AB2">
            <w:pPr>
              <w:pStyle w:val="ARtablenoteindent"/>
            </w:pPr>
            <w:r w:rsidRPr="00F45F11">
              <w:t>The 2025–26 actual is higher than the 2025–26 target due to responsiveness to continuing and consistent high levels of demand for intensive family services for Aboriginal families. This data is lagged 3 months to ensure accuracy, due to delays in agency data submission.</w:t>
            </w:r>
          </w:p>
        </w:tc>
        <w:tc>
          <w:tcPr>
            <w:tcW w:w="542" w:type="pct"/>
            <w:hideMark/>
          </w:tcPr>
          <w:p w14:paraId="6F7C975D" w14:textId="77777777" w:rsidR="00602F54" w:rsidRPr="00F45F11" w:rsidRDefault="00602F54" w:rsidP="009817E6">
            <w:pPr>
              <w:pStyle w:val="ARTabletext"/>
            </w:pPr>
            <w:r w:rsidRPr="00F45F11">
              <w:t>number</w:t>
            </w:r>
          </w:p>
        </w:tc>
        <w:tc>
          <w:tcPr>
            <w:tcW w:w="491" w:type="pct"/>
            <w:hideMark/>
          </w:tcPr>
          <w:p w14:paraId="19C7C06D" w14:textId="77777777" w:rsidR="00602F54" w:rsidRPr="00F45F11" w:rsidRDefault="00602F54" w:rsidP="009817E6">
            <w:pPr>
              <w:pStyle w:val="ARtabletextright"/>
            </w:pPr>
            <w:r w:rsidRPr="00F45F11">
              <w:t>1,418</w:t>
            </w:r>
          </w:p>
        </w:tc>
        <w:tc>
          <w:tcPr>
            <w:tcW w:w="491" w:type="pct"/>
          </w:tcPr>
          <w:p w14:paraId="1F2DCFF8" w14:textId="77777777" w:rsidR="00602F54" w:rsidRPr="00F45F11" w:rsidRDefault="00602F54" w:rsidP="009817E6">
            <w:pPr>
              <w:pStyle w:val="ARtabletextright"/>
            </w:pPr>
            <w:r w:rsidRPr="00F45F11">
              <w:t>1,524</w:t>
            </w:r>
          </w:p>
        </w:tc>
        <w:tc>
          <w:tcPr>
            <w:tcW w:w="556" w:type="pct"/>
          </w:tcPr>
          <w:p w14:paraId="3B9023AD" w14:textId="77777777" w:rsidR="00602F54" w:rsidRPr="00F45F11" w:rsidRDefault="00602F54" w:rsidP="009817E6">
            <w:pPr>
              <w:pStyle w:val="ARtabletextright"/>
            </w:pPr>
            <w:r w:rsidRPr="00F45F11">
              <w:t>7.5%</w:t>
            </w:r>
          </w:p>
        </w:tc>
        <w:tc>
          <w:tcPr>
            <w:tcW w:w="404" w:type="pct"/>
          </w:tcPr>
          <w:p w14:paraId="23B581BC" w14:textId="77777777" w:rsidR="00602F54" w:rsidRPr="00F45F11" w:rsidRDefault="00602F54" w:rsidP="009817E6">
            <w:pPr>
              <w:pStyle w:val="ARtableperformancesymbol"/>
            </w:pPr>
            <w:r w:rsidRPr="00F45F11">
              <w:rPr>
                <w:rFonts w:eastAsia="Wingdings" w:cs="Wingdings"/>
              </w:rPr>
              <w:t></w:t>
            </w:r>
          </w:p>
        </w:tc>
      </w:tr>
      <w:tr w:rsidR="00602F54" w:rsidRPr="00F45F11" w14:paraId="7DB6AE5A" w14:textId="77777777" w:rsidTr="002A7BAF">
        <w:tc>
          <w:tcPr>
            <w:tcW w:w="2516" w:type="pct"/>
            <w:hideMark/>
          </w:tcPr>
          <w:p w14:paraId="5022B1E2" w14:textId="77777777" w:rsidR="00602F54" w:rsidRDefault="00602F54" w:rsidP="009817E6">
            <w:pPr>
              <w:pStyle w:val="ARTabletext"/>
            </w:pPr>
            <w:r w:rsidRPr="00F45F11">
              <w:t>Number of investigations from reports to Child Protection Services about the wellbeing and safety of children</w:t>
            </w:r>
          </w:p>
          <w:p w14:paraId="40FF2950" w14:textId="4E986A72" w:rsidR="00477AB2" w:rsidRPr="00F45F11" w:rsidRDefault="00477AB2" w:rsidP="00477AB2">
            <w:pPr>
              <w:pStyle w:val="ARtablenoteindent"/>
            </w:pPr>
            <w:r w:rsidRPr="00F45F11">
              <w:t>The 2025–26 actual is higher than the 2025–26 target. A higher investigation rate may reflect that a higher proportion of reports from the community warrant an investigation to determine whether the statutory threshold for intervention has been met.</w:t>
            </w:r>
          </w:p>
        </w:tc>
        <w:tc>
          <w:tcPr>
            <w:tcW w:w="542" w:type="pct"/>
            <w:hideMark/>
          </w:tcPr>
          <w:p w14:paraId="17E0ADE5" w14:textId="77777777" w:rsidR="00602F54" w:rsidRPr="00F45F11" w:rsidRDefault="00602F54" w:rsidP="009817E6">
            <w:pPr>
              <w:pStyle w:val="ARTabletext"/>
            </w:pPr>
            <w:r w:rsidRPr="00F45F11">
              <w:t>number</w:t>
            </w:r>
          </w:p>
        </w:tc>
        <w:tc>
          <w:tcPr>
            <w:tcW w:w="491" w:type="pct"/>
            <w:hideMark/>
          </w:tcPr>
          <w:p w14:paraId="217BD6C7" w14:textId="77777777" w:rsidR="00602F54" w:rsidRPr="00F45F11" w:rsidRDefault="00602F54" w:rsidP="009817E6">
            <w:pPr>
              <w:pStyle w:val="ARtabletextright"/>
            </w:pPr>
            <w:r w:rsidRPr="00F45F11">
              <w:t>46,088</w:t>
            </w:r>
          </w:p>
        </w:tc>
        <w:tc>
          <w:tcPr>
            <w:tcW w:w="491" w:type="pct"/>
          </w:tcPr>
          <w:p w14:paraId="26EB46B1" w14:textId="77777777" w:rsidR="00602F54" w:rsidRPr="00F45F11" w:rsidRDefault="00602F54" w:rsidP="009817E6">
            <w:pPr>
              <w:pStyle w:val="ARtabletextright"/>
            </w:pPr>
            <w:r w:rsidRPr="00F45F11">
              <w:t>52,357</w:t>
            </w:r>
          </w:p>
        </w:tc>
        <w:tc>
          <w:tcPr>
            <w:tcW w:w="556" w:type="pct"/>
          </w:tcPr>
          <w:p w14:paraId="2B03C932" w14:textId="77777777" w:rsidR="00602F54" w:rsidRPr="00F45F11" w:rsidRDefault="00602F54" w:rsidP="009817E6">
            <w:pPr>
              <w:pStyle w:val="ARtabletextright"/>
            </w:pPr>
            <w:r w:rsidRPr="00F45F11">
              <w:t>13.6%</w:t>
            </w:r>
          </w:p>
        </w:tc>
        <w:tc>
          <w:tcPr>
            <w:tcW w:w="404" w:type="pct"/>
          </w:tcPr>
          <w:p w14:paraId="4B4A5549" w14:textId="77777777" w:rsidR="00602F54" w:rsidRPr="00F45F11" w:rsidRDefault="00602F54" w:rsidP="009817E6">
            <w:pPr>
              <w:pStyle w:val="ARtableperformancesymbol"/>
            </w:pPr>
            <w:r w:rsidRPr="00F45F11">
              <w:rPr>
                <w:rFonts w:eastAsia="Wingdings" w:cs="Wingdings"/>
              </w:rPr>
              <w:t></w:t>
            </w:r>
          </w:p>
        </w:tc>
      </w:tr>
      <w:tr w:rsidR="00602F54" w:rsidRPr="00F45F11" w14:paraId="147FAD34" w14:textId="77777777" w:rsidTr="002A7BAF">
        <w:tc>
          <w:tcPr>
            <w:tcW w:w="2516" w:type="pct"/>
            <w:hideMark/>
          </w:tcPr>
          <w:p w14:paraId="1164BC41" w14:textId="5100D835" w:rsidR="00602F54" w:rsidRPr="00F45F11" w:rsidRDefault="00602F54" w:rsidP="009817E6">
            <w:pPr>
              <w:pStyle w:val="ARTabletext"/>
            </w:pPr>
            <w:r w:rsidRPr="00F45F11">
              <w:t>Number of parents/carers enrolled in</w:t>
            </w:r>
            <w:r w:rsidR="00530C3C">
              <w:t> </w:t>
            </w:r>
            <w:r w:rsidRPr="00F45F11">
              <w:t>Supported Playgroups</w:t>
            </w:r>
          </w:p>
        </w:tc>
        <w:tc>
          <w:tcPr>
            <w:tcW w:w="542" w:type="pct"/>
            <w:hideMark/>
          </w:tcPr>
          <w:p w14:paraId="6096B359" w14:textId="77777777" w:rsidR="00602F54" w:rsidRPr="00F45F11" w:rsidRDefault="00602F54" w:rsidP="009817E6">
            <w:pPr>
              <w:pStyle w:val="ARTabletext"/>
            </w:pPr>
            <w:r w:rsidRPr="00F45F11">
              <w:t>number</w:t>
            </w:r>
          </w:p>
        </w:tc>
        <w:tc>
          <w:tcPr>
            <w:tcW w:w="491" w:type="pct"/>
          </w:tcPr>
          <w:p w14:paraId="106B3DD8" w14:textId="77777777" w:rsidR="00602F54" w:rsidRPr="00F45F11" w:rsidRDefault="00602F54" w:rsidP="009817E6">
            <w:pPr>
              <w:pStyle w:val="ARtabletextright"/>
            </w:pPr>
            <w:r w:rsidRPr="00F45F11" w:rsidDel="001F741E">
              <w:t>13,</w:t>
            </w:r>
            <w:r w:rsidRPr="00F45F11">
              <w:t>900</w:t>
            </w:r>
          </w:p>
        </w:tc>
        <w:tc>
          <w:tcPr>
            <w:tcW w:w="491" w:type="pct"/>
          </w:tcPr>
          <w:p w14:paraId="7D303925" w14:textId="77777777" w:rsidR="00602F54" w:rsidRPr="00F45F11" w:rsidRDefault="00602F54" w:rsidP="009817E6">
            <w:pPr>
              <w:pStyle w:val="ARtabletextright"/>
            </w:pPr>
            <w:r w:rsidRPr="00F45F11" w:rsidDel="002C2EC1">
              <w:t>13,</w:t>
            </w:r>
            <w:r w:rsidRPr="00F45F11">
              <w:t>474</w:t>
            </w:r>
          </w:p>
        </w:tc>
        <w:tc>
          <w:tcPr>
            <w:tcW w:w="556" w:type="pct"/>
          </w:tcPr>
          <w:p w14:paraId="3E0D2AB1" w14:textId="77777777" w:rsidR="00602F54" w:rsidRPr="00F45F11" w:rsidRDefault="00602F54" w:rsidP="009817E6">
            <w:pPr>
              <w:pStyle w:val="ARtabletextright"/>
            </w:pPr>
            <w:r w:rsidRPr="00F45F11">
              <w:t>-3.1%</w:t>
            </w:r>
          </w:p>
        </w:tc>
        <w:tc>
          <w:tcPr>
            <w:tcW w:w="404" w:type="pct"/>
          </w:tcPr>
          <w:p w14:paraId="1A2B91A9" w14:textId="77777777" w:rsidR="00602F54" w:rsidRPr="00F45F11" w:rsidRDefault="00602F54" w:rsidP="009817E6">
            <w:pPr>
              <w:pStyle w:val="ARtableperformancesymbol"/>
            </w:pPr>
            <w:r w:rsidRPr="00F45F11">
              <w:t>□</w:t>
            </w:r>
          </w:p>
        </w:tc>
      </w:tr>
      <w:tr w:rsidR="00602F54" w:rsidRPr="00F45F11" w14:paraId="7E2D30F8" w14:textId="77777777" w:rsidTr="002A7BAF">
        <w:tc>
          <w:tcPr>
            <w:tcW w:w="2516" w:type="pct"/>
            <w:hideMark/>
          </w:tcPr>
          <w:p w14:paraId="01246F33" w14:textId="77777777" w:rsidR="00602F54" w:rsidRPr="00F45F11" w:rsidRDefault="00602F54" w:rsidP="009817E6">
            <w:pPr>
              <w:pStyle w:val="ARTabletext"/>
            </w:pPr>
            <w:r w:rsidRPr="00F45F11">
              <w:t>Reports to Child Protection Services about the wellbeing and safety of children</w:t>
            </w:r>
          </w:p>
        </w:tc>
        <w:tc>
          <w:tcPr>
            <w:tcW w:w="542" w:type="pct"/>
            <w:hideMark/>
          </w:tcPr>
          <w:p w14:paraId="6DCA99B1" w14:textId="77777777" w:rsidR="00602F54" w:rsidRPr="00F45F11" w:rsidRDefault="00602F54" w:rsidP="009817E6">
            <w:pPr>
              <w:pStyle w:val="ARTabletext"/>
            </w:pPr>
            <w:r w:rsidRPr="00F45F11">
              <w:t>number</w:t>
            </w:r>
          </w:p>
        </w:tc>
        <w:tc>
          <w:tcPr>
            <w:tcW w:w="491" w:type="pct"/>
          </w:tcPr>
          <w:p w14:paraId="107714EA" w14:textId="77777777" w:rsidR="00602F54" w:rsidRPr="00F45F11" w:rsidRDefault="00602F54" w:rsidP="009817E6">
            <w:pPr>
              <w:pStyle w:val="ARtabletextright"/>
            </w:pPr>
            <w:r w:rsidRPr="00F45F11">
              <w:t>153,982</w:t>
            </w:r>
          </w:p>
        </w:tc>
        <w:tc>
          <w:tcPr>
            <w:tcW w:w="491" w:type="pct"/>
          </w:tcPr>
          <w:p w14:paraId="436A0C88" w14:textId="77777777" w:rsidR="00602F54" w:rsidRPr="00F45F11" w:rsidRDefault="00602F54" w:rsidP="009817E6">
            <w:pPr>
              <w:pStyle w:val="ARtabletextright"/>
            </w:pPr>
            <w:r w:rsidRPr="00F45F11">
              <w:t>154,227</w:t>
            </w:r>
          </w:p>
        </w:tc>
        <w:tc>
          <w:tcPr>
            <w:tcW w:w="556" w:type="pct"/>
          </w:tcPr>
          <w:p w14:paraId="566F87BC" w14:textId="77777777" w:rsidR="00602F54" w:rsidRPr="00F45F11" w:rsidRDefault="00602F54" w:rsidP="009817E6">
            <w:pPr>
              <w:pStyle w:val="ARtabletextright"/>
            </w:pPr>
            <w:r w:rsidRPr="00F45F11">
              <w:t>0.2%</w:t>
            </w:r>
          </w:p>
        </w:tc>
        <w:tc>
          <w:tcPr>
            <w:tcW w:w="404" w:type="pct"/>
          </w:tcPr>
          <w:p w14:paraId="0FB71855" w14:textId="77777777" w:rsidR="00602F54" w:rsidRPr="00F45F11" w:rsidRDefault="00602F54" w:rsidP="009817E6">
            <w:pPr>
              <w:pStyle w:val="ARtableperformancesymbol"/>
            </w:pPr>
            <w:r w:rsidRPr="00F45F11">
              <w:rPr>
                <w:rFonts w:eastAsia="Wingdings" w:cs="Wingdings"/>
              </w:rPr>
              <w:t></w:t>
            </w:r>
          </w:p>
        </w:tc>
      </w:tr>
      <w:tr w:rsidR="00602F54" w:rsidRPr="00F45F11" w14:paraId="640F42AC" w14:textId="77777777" w:rsidTr="002A7BAF">
        <w:tc>
          <w:tcPr>
            <w:tcW w:w="2516" w:type="pct"/>
            <w:hideMark/>
          </w:tcPr>
          <w:p w14:paraId="30492858" w14:textId="77777777" w:rsidR="00602F54" w:rsidRDefault="00602F54" w:rsidP="009817E6">
            <w:pPr>
              <w:pStyle w:val="ARTabletext"/>
            </w:pPr>
            <w:r w:rsidRPr="00F45F11">
              <w:t>Total family services cases commencing</w:t>
            </w:r>
          </w:p>
          <w:p w14:paraId="26BC8DDC" w14:textId="587369BB" w:rsidR="00477AB2" w:rsidRPr="00F45F11" w:rsidRDefault="00477AB2" w:rsidP="00477AB2">
            <w:pPr>
              <w:pStyle w:val="ARtablenoteindent"/>
            </w:pPr>
            <w:r w:rsidRPr="00F45F11">
              <w:t>The 2025–26 outcome is higher than the 2025–26 target due to increased numbers of families receiving Early Help Family Services. This data is lagged 3 months to ensure accuracy, due to delays in agency data submission.</w:t>
            </w:r>
          </w:p>
        </w:tc>
        <w:tc>
          <w:tcPr>
            <w:tcW w:w="542" w:type="pct"/>
            <w:hideMark/>
          </w:tcPr>
          <w:p w14:paraId="2A9AFCD3" w14:textId="77777777" w:rsidR="00602F54" w:rsidRPr="00F45F11" w:rsidRDefault="00602F54" w:rsidP="009817E6">
            <w:pPr>
              <w:pStyle w:val="ARTabletext"/>
            </w:pPr>
            <w:r w:rsidRPr="00F45F11">
              <w:t>number</w:t>
            </w:r>
          </w:p>
        </w:tc>
        <w:tc>
          <w:tcPr>
            <w:tcW w:w="491" w:type="pct"/>
          </w:tcPr>
          <w:p w14:paraId="16E20492" w14:textId="77777777" w:rsidR="00602F54" w:rsidRPr="00F45F11" w:rsidRDefault="00602F54" w:rsidP="009817E6">
            <w:pPr>
              <w:pStyle w:val="ARtabletextright"/>
            </w:pPr>
            <w:r w:rsidRPr="00F45F11">
              <w:t>17,066</w:t>
            </w:r>
          </w:p>
        </w:tc>
        <w:tc>
          <w:tcPr>
            <w:tcW w:w="491" w:type="pct"/>
          </w:tcPr>
          <w:p w14:paraId="77D60750" w14:textId="77777777" w:rsidR="00602F54" w:rsidRPr="00F45F11" w:rsidRDefault="00602F54" w:rsidP="009817E6">
            <w:pPr>
              <w:pStyle w:val="ARtabletextright"/>
            </w:pPr>
            <w:r w:rsidRPr="00F45F11">
              <w:t>21,439</w:t>
            </w:r>
          </w:p>
        </w:tc>
        <w:tc>
          <w:tcPr>
            <w:tcW w:w="556" w:type="pct"/>
          </w:tcPr>
          <w:p w14:paraId="68E383B1" w14:textId="77777777" w:rsidR="00602F54" w:rsidRPr="00F45F11" w:rsidRDefault="00602F54" w:rsidP="009817E6">
            <w:pPr>
              <w:pStyle w:val="ARtabletextright"/>
            </w:pPr>
            <w:r w:rsidRPr="00F45F11">
              <w:t>25.6%</w:t>
            </w:r>
          </w:p>
        </w:tc>
        <w:tc>
          <w:tcPr>
            <w:tcW w:w="404" w:type="pct"/>
          </w:tcPr>
          <w:p w14:paraId="7B401269" w14:textId="77777777" w:rsidR="00602F54" w:rsidRPr="00F45F11" w:rsidRDefault="00602F54" w:rsidP="009817E6">
            <w:pPr>
              <w:pStyle w:val="ARtableperformancesymbol"/>
            </w:pPr>
            <w:r w:rsidRPr="00F45F11">
              <w:rPr>
                <w:rFonts w:eastAsia="Wingdings" w:cs="Wingdings"/>
              </w:rPr>
              <w:t></w:t>
            </w:r>
          </w:p>
        </w:tc>
      </w:tr>
      <w:tr w:rsidR="00602F54" w:rsidRPr="00F45F11" w14:paraId="08932E70" w14:textId="77777777" w:rsidTr="002A7BAF">
        <w:tc>
          <w:tcPr>
            <w:tcW w:w="2516" w:type="pct"/>
            <w:hideMark/>
          </w:tcPr>
          <w:p w14:paraId="003DF3DA" w14:textId="77777777" w:rsidR="00602F54" w:rsidRDefault="00602F54" w:rsidP="009817E6">
            <w:pPr>
              <w:pStyle w:val="ARTabletext"/>
            </w:pPr>
            <w:r w:rsidRPr="00F45F11">
              <w:t>Total family services cases commencing for Aboriginal families</w:t>
            </w:r>
          </w:p>
          <w:p w14:paraId="1BBB9D30" w14:textId="2274CEE0" w:rsidR="00477AB2" w:rsidRPr="00F45F11" w:rsidRDefault="00477AB2" w:rsidP="00477AB2">
            <w:pPr>
              <w:pStyle w:val="ARtablenoteindent"/>
            </w:pPr>
            <w:r w:rsidRPr="00F45F11">
              <w:t>The 2025–26 outcome is higher than the 2025–26 target due to increased numbers of Aboriginal families receiving family services. This data is lagged 3 months to ensure accuracy, due to delays in agency data submission.</w:t>
            </w:r>
          </w:p>
        </w:tc>
        <w:tc>
          <w:tcPr>
            <w:tcW w:w="542" w:type="pct"/>
            <w:hideMark/>
          </w:tcPr>
          <w:p w14:paraId="0789F3B0" w14:textId="77777777" w:rsidR="00602F54" w:rsidRPr="00F45F11" w:rsidRDefault="00602F54" w:rsidP="009817E6">
            <w:pPr>
              <w:pStyle w:val="ARTabletext"/>
            </w:pPr>
            <w:r w:rsidRPr="00F45F11">
              <w:t>number</w:t>
            </w:r>
          </w:p>
        </w:tc>
        <w:tc>
          <w:tcPr>
            <w:tcW w:w="491" w:type="pct"/>
          </w:tcPr>
          <w:p w14:paraId="525651B9" w14:textId="77777777" w:rsidR="00602F54" w:rsidRPr="00F45F11" w:rsidRDefault="00602F54" w:rsidP="009817E6">
            <w:pPr>
              <w:pStyle w:val="ARtabletextright"/>
            </w:pPr>
            <w:r w:rsidRPr="00F45F11" w:rsidDel="00CD6FB3">
              <w:t>2,</w:t>
            </w:r>
            <w:r w:rsidRPr="00F45F11">
              <w:t>680</w:t>
            </w:r>
          </w:p>
        </w:tc>
        <w:tc>
          <w:tcPr>
            <w:tcW w:w="491" w:type="pct"/>
          </w:tcPr>
          <w:p w14:paraId="5489F52E" w14:textId="77777777" w:rsidR="00602F54" w:rsidRPr="00F45F11" w:rsidRDefault="00602F54" w:rsidP="009817E6">
            <w:pPr>
              <w:pStyle w:val="ARtabletextright"/>
            </w:pPr>
            <w:r w:rsidRPr="00F45F11">
              <w:t>3,776</w:t>
            </w:r>
          </w:p>
        </w:tc>
        <w:tc>
          <w:tcPr>
            <w:tcW w:w="556" w:type="pct"/>
          </w:tcPr>
          <w:p w14:paraId="4B8FD0C8" w14:textId="77777777" w:rsidR="00602F54" w:rsidRPr="00F45F11" w:rsidRDefault="00602F54" w:rsidP="009817E6">
            <w:pPr>
              <w:pStyle w:val="ARtabletextright"/>
            </w:pPr>
            <w:r w:rsidRPr="00F45F11">
              <w:t>40.9%</w:t>
            </w:r>
          </w:p>
        </w:tc>
        <w:tc>
          <w:tcPr>
            <w:tcW w:w="404" w:type="pct"/>
          </w:tcPr>
          <w:p w14:paraId="67497826" w14:textId="77777777" w:rsidR="00602F54" w:rsidRPr="00F45F11" w:rsidRDefault="00602F54" w:rsidP="009817E6">
            <w:pPr>
              <w:pStyle w:val="ARtableperformancesymbol"/>
            </w:pPr>
            <w:r w:rsidRPr="00F45F11">
              <w:rPr>
                <w:rFonts w:eastAsia="Wingdings" w:cs="Wingdings"/>
              </w:rPr>
              <w:t></w:t>
            </w:r>
          </w:p>
        </w:tc>
      </w:tr>
      <w:tr w:rsidR="00602F54" w:rsidRPr="00F45F11" w14:paraId="6E3B9011" w14:textId="77777777" w:rsidTr="002A7BAF">
        <w:tc>
          <w:tcPr>
            <w:tcW w:w="2516" w:type="pct"/>
            <w:hideMark/>
          </w:tcPr>
          <w:p w14:paraId="2CD61E52" w14:textId="77777777" w:rsidR="00602F54" w:rsidRDefault="00602F54" w:rsidP="009817E6">
            <w:pPr>
              <w:pStyle w:val="ARTabletext"/>
            </w:pPr>
            <w:r w:rsidRPr="00F45F11">
              <w:t>Working with Children and National Disability Insurance Scheme (NDIS) checks processed</w:t>
            </w:r>
          </w:p>
          <w:p w14:paraId="6CD1F305" w14:textId="2F9AA5F5" w:rsidR="00477AB2" w:rsidRPr="00F45F11" w:rsidRDefault="00477AB2" w:rsidP="00477AB2">
            <w:pPr>
              <w:pStyle w:val="ARtablenoteindent"/>
            </w:pPr>
            <w:r w:rsidRPr="00EC46BF">
              <w:t>This measure transferred in 2026–27 from the Department of Government Services to reflect machinery of government changes.</w:t>
            </w:r>
          </w:p>
        </w:tc>
        <w:tc>
          <w:tcPr>
            <w:tcW w:w="542" w:type="pct"/>
            <w:hideMark/>
          </w:tcPr>
          <w:p w14:paraId="4D64F08A" w14:textId="77777777" w:rsidR="00602F54" w:rsidRPr="00F45F11" w:rsidRDefault="00602F54" w:rsidP="009817E6">
            <w:pPr>
              <w:pStyle w:val="ARTabletext"/>
            </w:pPr>
            <w:r w:rsidRPr="00F45F11">
              <w:t>Number (thousand)</w:t>
            </w:r>
          </w:p>
        </w:tc>
        <w:tc>
          <w:tcPr>
            <w:tcW w:w="491" w:type="pct"/>
          </w:tcPr>
          <w:p w14:paraId="346CC35D" w14:textId="2335D37B" w:rsidR="00602F54" w:rsidRPr="00F45F11" w:rsidRDefault="00602F54" w:rsidP="009817E6">
            <w:pPr>
              <w:pStyle w:val="ARtabletextright"/>
            </w:pPr>
            <w:r w:rsidRPr="00F45F11">
              <w:t>550</w:t>
            </w:r>
            <w:r w:rsidR="00C0062A">
              <w:t>–</w:t>
            </w:r>
            <w:r w:rsidRPr="00F45F11">
              <w:t>600</w:t>
            </w:r>
          </w:p>
        </w:tc>
        <w:tc>
          <w:tcPr>
            <w:tcW w:w="491" w:type="pct"/>
          </w:tcPr>
          <w:p w14:paraId="4B8F8979" w14:textId="77777777" w:rsidR="00602F54" w:rsidRPr="00F45F11" w:rsidRDefault="00602F54" w:rsidP="009817E6">
            <w:pPr>
              <w:pStyle w:val="ARtabletextright"/>
            </w:pPr>
            <w:r w:rsidRPr="00F45F11">
              <w:t>585.9</w:t>
            </w:r>
          </w:p>
        </w:tc>
        <w:tc>
          <w:tcPr>
            <w:tcW w:w="556" w:type="pct"/>
          </w:tcPr>
          <w:p w14:paraId="5C99B3C2" w14:textId="77777777" w:rsidR="00602F54" w:rsidRPr="00EA17F2" w:rsidRDefault="00602F54" w:rsidP="009817E6">
            <w:pPr>
              <w:pStyle w:val="ARtabletextright"/>
              <w:rPr>
                <w:highlight w:val="yellow"/>
              </w:rPr>
            </w:pPr>
            <w:r w:rsidRPr="001806D4">
              <w:t>0%</w:t>
            </w:r>
          </w:p>
        </w:tc>
        <w:tc>
          <w:tcPr>
            <w:tcW w:w="404" w:type="pct"/>
          </w:tcPr>
          <w:p w14:paraId="0F91FA4A" w14:textId="77777777" w:rsidR="00602F54" w:rsidRPr="00F45F11" w:rsidRDefault="00602F54" w:rsidP="009817E6">
            <w:pPr>
              <w:pStyle w:val="ARtableperformancesymbol"/>
            </w:pPr>
            <w:r w:rsidRPr="00F45F11">
              <w:rPr>
                <w:rFonts w:eastAsia="Wingdings" w:cs="Wingdings"/>
              </w:rPr>
              <w:t></w:t>
            </w:r>
          </w:p>
        </w:tc>
      </w:tr>
      <w:tr w:rsidR="00477AB2" w:rsidRPr="00F45F11" w14:paraId="603FC090" w14:textId="77777777" w:rsidTr="002A7BAF">
        <w:tc>
          <w:tcPr>
            <w:tcW w:w="2516" w:type="pct"/>
          </w:tcPr>
          <w:p w14:paraId="2C6FABC2" w14:textId="35AD0B51" w:rsidR="00477AB2" w:rsidRPr="00F45F11" w:rsidRDefault="00477AB2" w:rsidP="002A7BAF">
            <w:pPr>
              <w:pStyle w:val="ARtablegreybold"/>
              <w:keepNext/>
            </w:pPr>
            <w:r w:rsidRPr="00F45F11">
              <w:t>Quality</w:t>
            </w:r>
          </w:p>
        </w:tc>
        <w:tc>
          <w:tcPr>
            <w:tcW w:w="542" w:type="pct"/>
          </w:tcPr>
          <w:p w14:paraId="531CF643" w14:textId="77777777" w:rsidR="00477AB2" w:rsidRPr="00F45F11" w:rsidRDefault="00477AB2" w:rsidP="009817E6">
            <w:pPr>
              <w:pStyle w:val="ARTabletext"/>
            </w:pPr>
          </w:p>
        </w:tc>
        <w:tc>
          <w:tcPr>
            <w:tcW w:w="491" w:type="pct"/>
          </w:tcPr>
          <w:p w14:paraId="19204F72" w14:textId="77777777" w:rsidR="00477AB2" w:rsidRPr="00F45F11" w:rsidRDefault="00477AB2" w:rsidP="009817E6">
            <w:pPr>
              <w:pStyle w:val="ARtabletextright"/>
            </w:pPr>
          </w:p>
        </w:tc>
        <w:tc>
          <w:tcPr>
            <w:tcW w:w="491" w:type="pct"/>
          </w:tcPr>
          <w:p w14:paraId="0794797F" w14:textId="77777777" w:rsidR="00477AB2" w:rsidRPr="00F45F11" w:rsidDel="00942942" w:rsidRDefault="00477AB2" w:rsidP="009817E6">
            <w:pPr>
              <w:pStyle w:val="ARtabletextright"/>
            </w:pPr>
          </w:p>
        </w:tc>
        <w:tc>
          <w:tcPr>
            <w:tcW w:w="556" w:type="pct"/>
          </w:tcPr>
          <w:p w14:paraId="6605AFA3" w14:textId="77777777" w:rsidR="00477AB2" w:rsidRPr="00F45F11" w:rsidDel="00942942" w:rsidRDefault="00477AB2" w:rsidP="009817E6">
            <w:pPr>
              <w:pStyle w:val="ARtabletextright"/>
            </w:pPr>
          </w:p>
        </w:tc>
        <w:tc>
          <w:tcPr>
            <w:tcW w:w="404" w:type="pct"/>
          </w:tcPr>
          <w:p w14:paraId="032FEA64" w14:textId="77777777" w:rsidR="00477AB2" w:rsidRPr="00F45F11" w:rsidRDefault="00477AB2" w:rsidP="009817E6">
            <w:pPr>
              <w:pStyle w:val="ARtableperformancesymbol"/>
              <w:rPr>
                <w:rFonts w:eastAsia="Wingdings" w:cs="Wingdings"/>
              </w:rPr>
            </w:pPr>
          </w:p>
        </w:tc>
      </w:tr>
      <w:tr w:rsidR="00602F54" w:rsidRPr="00F45F11" w14:paraId="6308E75D" w14:textId="77777777" w:rsidTr="002A7BAF">
        <w:tc>
          <w:tcPr>
            <w:tcW w:w="2516" w:type="pct"/>
            <w:hideMark/>
          </w:tcPr>
          <w:p w14:paraId="674373D0" w14:textId="5D542CF1" w:rsidR="00602F54" w:rsidRPr="00F45F11" w:rsidRDefault="00602F54" w:rsidP="009817E6">
            <w:pPr>
              <w:pStyle w:val="ARTabletext"/>
            </w:pPr>
            <w:r w:rsidRPr="00F45F11">
              <w:t xml:space="preserve">Children and young people in care who have had </w:t>
            </w:r>
            <w:r w:rsidR="008210AB" w:rsidRPr="00F45F11">
              <w:t>2</w:t>
            </w:r>
            <w:r w:rsidRPr="00F45F11">
              <w:t xml:space="preserve"> or </w:t>
            </w:r>
            <w:r w:rsidR="00DF034F">
              <w:t xml:space="preserve">less </w:t>
            </w:r>
            <w:r w:rsidRPr="00F45F11">
              <w:t>placements in the past 12 months (not including time at home in parental care)</w:t>
            </w:r>
          </w:p>
        </w:tc>
        <w:tc>
          <w:tcPr>
            <w:tcW w:w="542" w:type="pct"/>
            <w:hideMark/>
          </w:tcPr>
          <w:p w14:paraId="21BEF2D8" w14:textId="77777777" w:rsidR="00602F54" w:rsidRPr="00F45F11" w:rsidRDefault="00602F54" w:rsidP="009817E6">
            <w:pPr>
              <w:pStyle w:val="ARTabletext"/>
            </w:pPr>
            <w:r w:rsidRPr="00F45F11">
              <w:t>per cent</w:t>
            </w:r>
          </w:p>
        </w:tc>
        <w:tc>
          <w:tcPr>
            <w:tcW w:w="491" w:type="pct"/>
          </w:tcPr>
          <w:p w14:paraId="3576FABF" w14:textId="77777777" w:rsidR="00602F54" w:rsidRPr="00F45F11" w:rsidRDefault="00602F54" w:rsidP="009817E6">
            <w:pPr>
              <w:pStyle w:val="ARtabletextright"/>
            </w:pPr>
            <w:r w:rsidRPr="00F45F11">
              <w:t>90.0</w:t>
            </w:r>
          </w:p>
        </w:tc>
        <w:tc>
          <w:tcPr>
            <w:tcW w:w="491" w:type="pct"/>
          </w:tcPr>
          <w:p w14:paraId="307E46A8" w14:textId="77777777" w:rsidR="00602F54" w:rsidRPr="00F45F11" w:rsidRDefault="00602F54" w:rsidP="009817E6">
            <w:pPr>
              <w:pStyle w:val="ARtabletextright"/>
            </w:pPr>
            <w:r w:rsidRPr="00F45F11" w:rsidDel="00942942">
              <w:t>94.</w:t>
            </w:r>
            <w:r w:rsidRPr="00F45F11">
              <w:t>2</w:t>
            </w:r>
          </w:p>
        </w:tc>
        <w:tc>
          <w:tcPr>
            <w:tcW w:w="556" w:type="pct"/>
          </w:tcPr>
          <w:p w14:paraId="776969A1" w14:textId="77777777" w:rsidR="00602F54" w:rsidRPr="00F45F11" w:rsidRDefault="00602F54" w:rsidP="009817E6">
            <w:pPr>
              <w:pStyle w:val="ARtabletextright"/>
            </w:pPr>
            <w:r w:rsidRPr="00F45F11" w:rsidDel="00942942">
              <w:t>4.</w:t>
            </w:r>
            <w:r w:rsidRPr="00F45F11">
              <w:t>7%</w:t>
            </w:r>
          </w:p>
        </w:tc>
        <w:tc>
          <w:tcPr>
            <w:tcW w:w="404" w:type="pct"/>
          </w:tcPr>
          <w:p w14:paraId="22063416" w14:textId="77777777" w:rsidR="00602F54" w:rsidRPr="00F45F11" w:rsidRDefault="00602F54" w:rsidP="009817E6">
            <w:pPr>
              <w:pStyle w:val="ARtableperformancesymbol"/>
            </w:pPr>
            <w:r w:rsidRPr="00F45F11">
              <w:rPr>
                <w:rFonts w:eastAsia="Wingdings" w:cs="Wingdings"/>
              </w:rPr>
              <w:t></w:t>
            </w:r>
          </w:p>
        </w:tc>
      </w:tr>
      <w:tr w:rsidR="00602F54" w:rsidRPr="00F45F11" w14:paraId="59526824" w14:textId="77777777" w:rsidTr="002A7BAF">
        <w:tc>
          <w:tcPr>
            <w:tcW w:w="2516" w:type="pct"/>
          </w:tcPr>
          <w:p w14:paraId="5364100E" w14:textId="77777777" w:rsidR="00602F54" w:rsidRDefault="00602F54" w:rsidP="009817E6">
            <w:pPr>
              <w:pStyle w:val="ARTabletext"/>
            </w:pPr>
            <w:r w:rsidRPr="00F45F11">
              <w:t>Children and young people who were the subject of a substantiated report within 12 months of the closure of</w:t>
            </w:r>
            <w:r w:rsidR="005D503A">
              <w:t> </w:t>
            </w:r>
            <w:r w:rsidRPr="00F45F11">
              <w:t>a</w:t>
            </w:r>
            <w:r w:rsidR="005D503A">
              <w:t> </w:t>
            </w:r>
            <w:r w:rsidRPr="00F45F11">
              <w:t>previous substantiated report</w:t>
            </w:r>
          </w:p>
          <w:p w14:paraId="67A0BD8A" w14:textId="12213E17" w:rsidR="00477AB2" w:rsidRPr="00F45F11" w:rsidRDefault="00477AB2" w:rsidP="00477AB2">
            <w:pPr>
              <w:pStyle w:val="ARtablenoteindent"/>
            </w:pPr>
            <w:r w:rsidRPr="00F45F11">
              <w:t xml:space="preserve">The 2025–26 actual is higher than the 2025–26 target. This potentially reflects changes in a child's circumstances, and/or capacity for families to sustain voluntary engagement. </w:t>
            </w:r>
            <w:r w:rsidRPr="00F45F11" w:rsidDel="00935BE2">
              <w:t>Substantiation decisions are made on the best available evidence at the time.</w:t>
            </w:r>
          </w:p>
        </w:tc>
        <w:tc>
          <w:tcPr>
            <w:tcW w:w="542" w:type="pct"/>
          </w:tcPr>
          <w:p w14:paraId="1C944069" w14:textId="77777777" w:rsidR="00602F54" w:rsidRPr="00F45F11" w:rsidRDefault="00602F54" w:rsidP="009817E6">
            <w:pPr>
              <w:pStyle w:val="ARTabletext"/>
            </w:pPr>
            <w:r w:rsidRPr="00F45F11">
              <w:t>per cent</w:t>
            </w:r>
          </w:p>
        </w:tc>
        <w:tc>
          <w:tcPr>
            <w:tcW w:w="491" w:type="pct"/>
          </w:tcPr>
          <w:p w14:paraId="7E77B77C" w14:textId="77777777" w:rsidR="00602F54" w:rsidRPr="00F45F11" w:rsidRDefault="00602F54" w:rsidP="009817E6">
            <w:pPr>
              <w:pStyle w:val="ARtabletextright"/>
            </w:pPr>
            <w:r w:rsidRPr="00F45F11">
              <w:t>17.5</w:t>
            </w:r>
          </w:p>
        </w:tc>
        <w:tc>
          <w:tcPr>
            <w:tcW w:w="491" w:type="pct"/>
          </w:tcPr>
          <w:p w14:paraId="51C70ADB" w14:textId="77777777" w:rsidR="00602F54" w:rsidRPr="00F45F11" w:rsidRDefault="00602F54" w:rsidP="009817E6">
            <w:pPr>
              <w:pStyle w:val="ARtabletextright"/>
            </w:pPr>
            <w:r w:rsidRPr="00F45F11">
              <w:t>21.9</w:t>
            </w:r>
          </w:p>
        </w:tc>
        <w:tc>
          <w:tcPr>
            <w:tcW w:w="556" w:type="pct"/>
          </w:tcPr>
          <w:p w14:paraId="5BF8424F" w14:textId="77777777" w:rsidR="00602F54" w:rsidRPr="00F45F11" w:rsidRDefault="00602F54" w:rsidP="009817E6">
            <w:pPr>
              <w:pStyle w:val="ARtabletextright"/>
            </w:pPr>
            <w:r w:rsidRPr="00F45F11">
              <w:t>25.1%</w:t>
            </w:r>
          </w:p>
        </w:tc>
        <w:tc>
          <w:tcPr>
            <w:tcW w:w="404" w:type="pct"/>
          </w:tcPr>
          <w:p w14:paraId="5E14A6DE" w14:textId="77777777" w:rsidR="00602F54" w:rsidRPr="00F45F11" w:rsidRDefault="00602F54" w:rsidP="009817E6">
            <w:pPr>
              <w:pStyle w:val="ARtableperformancesymbol"/>
            </w:pPr>
            <w:r w:rsidRPr="00F45F11">
              <w:t></w:t>
            </w:r>
          </w:p>
        </w:tc>
      </w:tr>
      <w:tr w:rsidR="00602F54" w:rsidRPr="00F45F11" w14:paraId="70B90107" w14:textId="77777777" w:rsidTr="002A7BAF">
        <w:tc>
          <w:tcPr>
            <w:tcW w:w="2516" w:type="pct"/>
          </w:tcPr>
          <w:p w14:paraId="28D086F2" w14:textId="77777777" w:rsidR="00602F54" w:rsidRDefault="00602F54" w:rsidP="00D30C1D">
            <w:pPr>
              <w:pStyle w:val="ARTabletext"/>
              <w:keepNext/>
            </w:pPr>
            <w:r w:rsidRPr="00F45F11">
              <w:t>Children and young people who were the subject of an investigation which led to a decision not to substantiate, who were subsequently the subject of a substantiation within 3 months of case</w:t>
            </w:r>
            <w:r w:rsidR="008074B3">
              <w:t> </w:t>
            </w:r>
            <w:r w:rsidRPr="00F45F11">
              <w:t>closure</w:t>
            </w:r>
          </w:p>
          <w:p w14:paraId="0147D649" w14:textId="4A16E2EB" w:rsidR="00477AB2" w:rsidRPr="00F45F11" w:rsidRDefault="00477AB2" w:rsidP="00477AB2">
            <w:pPr>
              <w:pStyle w:val="ARtablenoteindent"/>
            </w:pPr>
            <w:r w:rsidRPr="00F45F11">
              <w:t xml:space="preserve">The 2025–26 actual is higher than the 2025–26 target. This potentially reflects changes in a child’s circumstances, and/or capacity for families to sustain voluntary engagement. </w:t>
            </w:r>
            <w:r w:rsidRPr="00F45F11" w:rsidDel="00444E8B">
              <w:t>Substantiation decisions are made on the best available evidence at the time.</w:t>
            </w:r>
          </w:p>
        </w:tc>
        <w:tc>
          <w:tcPr>
            <w:tcW w:w="542" w:type="pct"/>
          </w:tcPr>
          <w:p w14:paraId="3BF46059" w14:textId="77777777" w:rsidR="00602F54" w:rsidRPr="00F45F11" w:rsidRDefault="00602F54" w:rsidP="009817E6">
            <w:pPr>
              <w:pStyle w:val="ARTabletext"/>
            </w:pPr>
            <w:r w:rsidRPr="00F45F11">
              <w:t>per cent</w:t>
            </w:r>
          </w:p>
        </w:tc>
        <w:tc>
          <w:tcPr>
            <w:tcW w:w="491" w:type="pct"/>
          </w:tcPr>
          <w:p w14:paraId="29210828" w14:textId="77777777" w:rsidR="00602F54" w:rsidRPr="00F45F11" w:rsidRDefault="00602F54" w:rsidP="009817E6">
            <w:pPr>
              <w:pStyle w:val="ARtabletextright"/>
            </w:pPr>
            <w:r w:rsidRPr="00F45F11">
              <w:t>3.0</w:t>
            </w:r>
          </w:p>
        </w:tc>
        <w:tc>
          <w:tcPr>
            <w:tcW w:w="491" w:type="pct"/>
          </w:tcPr>
          <w:p w14:paraId="7342B2F5" w14:textId="77777777" w:rsidR="00602F54" w:rsidRPr="00F45F11" w:rsidRDefault="00602F54" w:rsidP="009817E6">
            <w:pPr>
              <w:pStyle w:val="ARtabletextright"/>
            </w:pPr>
            <w:r w:rsidRPr="00F45F11">
              <w:t>5.9</w:t>
            </w:r>
          </w:p>
        </w:tc>
        <w:tc>
          <w:tcPr>
            <w:tcW w:w="556" w:type="pct"/>
          </w:tcPr>
          <w:p w14:paraId="60D84555" w14:textId="77777777" w:rsidR="00602F54" w:rsidRPr="00F45F11" w:rsidRDefault="00602F54" w:rsidP="009817E6">
            <w:pPr>
              <w:pStyle w:val="ARtabletextright"/>
            </w:pPr>
            <w:r w:rsidRPr="00F45F11">
              <w:t>96.7%</w:t>
            </w:r>
          </w:p>
        </w:tc>
        <w:tc>
          <w:tcPr>
            <w:tcW w:w="404" w:type="pct"/>
          </w:tcPr>
          <w:p w14:paraId="63E8B01C" w14:textId="77777777" w:rsidR="00602F54" w:rsidRPr="00F45F11" w:rsidRDefault="00602F54" w:rsidP="009817E6">
            <w:pPr>
              <w:pStyle w:val="ARtableperformancesymbol"/>
            </w:pPr>
            <w:r w:rsidRPr="00F45F11">
              <w:t></w:t>
            </w:r>
          </w:p>
        </w:tc>
      </w:tr>
      <w:tr w:rsidR="00602F54" w:rsidRPr="00F45F11" w14:paraId="3D0A5AEB" w14:textId="77777777" w:rsidTr="002A7BAF">
        <w:trPr>
          <w:trHeight w:val="397"/>
        </w:trPr>
        <w:tc>
          <w:tcPr>
            <w:tcW w:w="2516" w:type="pct"/>
          </w:tcPr>
          <w:p w14:paraId="70DBD0AB" w14:textId="77777777" w:rsidR="00602F54" w:rsidRDefault="00602F54" w:rsidP="009817E6">
            <w:pPr>
              <w:pStyle w:val="ARTabletext"/>
            </w:pPr>
            <w:r w:rsidRPr="00F45F11">
              <w:t>Proportion of Aboriginal children placed with relatives/kin, other Aboriginal carers or in Aboriginal residential care</w:t>
            </w:r>
          </w:p>
          <w:p w14:paraId="46215D1D" w14:textId="3F79E394" w:rsidR="00477AB2" w:rsidRPr="00F45F11" w:rsidRDefault="00477AB2" w:rsidP="00477AB2">
            <w:pPr>
              <w:pStyle w:val="ARtablenoteindent"/>
            </w:pPr>
            <w:r w:rsidRPr="00F45F11">
              <w:t>The 2025–26 outcome is lower than the 2025–26 target, potentially reflecting overall care placement trends and availability of suitable Aboriginal care placements.</w:t>
            </w:r>
          </w:p>
        </w:tc>
        <w:tc>
          <w:tcPr>
            <w:tcW w:w="542" w:type="pct"/>
          </w:tcPr>
          <w:p w14:paraId="08FE09C4" w14:textId="77777777" w:rsidR="00602F54" w:rsidRPr="00F45F11" w:rsidRDefault="00602F54" w:rsidP="009817E6">
            <w:pPr>
              <w:pStyle w:val="ARTabletext"/>
            </w:pPr>
            <w:r w:rsidRPr="00F45F11">
              <w:t>per cent</w:t>
            </w:r>
          </w:p>
        </w:tc>
        <w:tc>
          <w:tcPr>
            <w:tcW w:w="491" w:type="pct"/>
          </w:tcPr>
          <w:p w14:paraId="14C94AB8" w14:textId="77777777" w:rsidR="00602F54" w:rsidRPr="00F45F11" w:rsidRDefault="00602F54" w:rsidP="009817E6">
            <w:pPr>
              <w:pStyle w:val="ARtabletextright"/>
            </w:pPr>
            <w:r w:rsidRPr="00F45F11">
              <w:t>77.0</w:t>
            </w:r>
          </w:p>
        </w:tc>
        <w:tc>
          <w:tcPr>
            <w:tcW w:w="491" w:type="pct"/>
          </w:tcPr>
          <w:p w14:paraId="09443643" w14:textId="77777777" w:rsidR="00602F54" w:rsidRPr="00F45F11" w:rsidRDefault="00602F54" w:rsidP="009817E6">
            <w:pPr>
              <w:pStyle w:val="ARtabletextright"/>
            </w:pPr>
            <w:r w:rsidRPr="00F45F11">
              <w:t>72.6</w:t>
            </w:r>
          </w:p>
        </w:tc>
        <w:tc>
          <w:tcPr>
            <w:tcW w:w="556" w:type="pct"/>
          </w:tcPr>
          <w:p w14:paraId="18E24B69" w14:textId="77777777" w:rsidR="00602F54" w:rsidRPr="00F45F11" w:rsidRDefault="00602F54" w:rsidP="009817E6">
            <w:pPr>
              <w:pStyle w:val="ARtabletextright"/>
            </w:pPr>
            <w:r w:rsidRPr="00F45F11">
              <w:t>-5.7%</w:t>
            </w:r>
          </w:p>
        </w:tc>
        <w:tc>
          <w:tcPr>
            <w:tcW w:w="404" w:type="pct"/>
          </w:tcPr>
          <w:p w14:paraId="3C73AEEC" w14:textId="77777777" w:rsidR="00602F54" w:rsidRPr="00F45F11" w:rsidRDefault="00602F54" w:rsidP="009817E6">
            <w:pPr>
              <w:pStyle w:val="ARtableperformancesymbol"/>
            </w:pPr>
            <w:r w:rsidRPr="00F45F11">
              <w:t></w:t>
            </w:r>
          </w:p>
        </w:tc>
      </w:tr>
      <w:tr w:rsidR="00602F54" w:rsidRPr="00F45F11" w14:paraId="6E588B47" w14:textId="77777777" w:rsidTr="002A7BAF">
        <w:tc>
          <w:tcPr>
            <w:tcW w:w="2516" w:type="pct"/>
          </w:tcPr>
          <w:p w14:paraId="2BEB34FC" w14:textId="77777777" w:rsidR="00602F54" w:rsidRPr="00F45F11" w:rsidRDefault="00602F54" w:rsidP="009817E6">
            <w:pPr>
              <w:pStyle w:val="ARTabletext"/>
            </w:pPr>
            <w:r w:rsidRPr="00F45F11">
              <w:t>Proportion of family services cases closing who met an identified goal in their child and family action plans</w:t>
            </w:r>
          </w:p>
        </w:tc>
        <w:tc>
          <w:tcPr>
            <w:tcW w:w="542" w:type="pct"/>
          </w:tcPr>
          <w:p w14:paraId="795C6DD4" w14:textId="77777777" w:rsidR="00602F54" w:rsidRPr="00F45F11" w:rsidRDefault="00602F54" w:rsidP="009817E6">
            <w:pPr>
              <w:pStyle w:val="ARTabletext"/>
            </w:pPr>
            <w:r w:rsidRPr="00F45F11">
              <w:t>per cent</w:t>
            </w:r>
          </w:p>
        </w:tc>
        <w:tc>
          <w:tcPr>
            <w:tcW w:w="491" w:type="pct"/>
          </w:tcPr>
          <w:p w14:paraId="69EE4663" w14:textId="77777777" w:rsidR="00602F54" w:rsidRPr="00F45F11" w:rsidRDefault="00602F54" w:rsidP="009817E6">
            <w:pPr>
              <w:pStyle w:val="ARtabletextright"/>
            </w:pPr>
            <w:r w:rsidRPr="00F45F11">
              <w:t>70.0</w:t>
            </w:r>
          </w:p>
        </w:tc>
        <w:tc>
          <w:tcPr>
            <w:tcW w:w="491" w:type="pct"/>
          </w:tcPr>
          <w:p w14:paraId="750F4537" w14:textId="77777777" w:rsidR="00602F54" w:rsidRPr="00F45F11" w:rsidRDefault="00602F54" w:rsidP="009817E6">
            <w:pPr>
              <w:pStyle w:val="ARtabletextright"/>
            </w:pPr>
            <w:r w:rsidRPr="00F45F11" w:rsidDel="00E5477B">
              <w:t>73.</w:t>
            </w:r>
            <w:r w:rsidRPr="00F45F11">
              <w:t>2</w:t>
            </w:r>
          </w:p>
        </w:tc>
        <w:tc>
          <w:tcPr>
            <w:tcW w:w="556" w:type="pct"/>
          </w:tcPr>
          <w:p w14:paraId="65DF357B" w14:textId="77777777" w:rsidR="00602F54" w:rsidRPr="00F45F11" w:rsidRDefault="00602F54" w:rsidP="009817E6">
            <w:pPr>
              <w:pStyle w:val="ARtabletextright"/>
            </w:pPr>
            <w:r w:rsidRPr="00F45F11" w:rsidDel="00E5477B">
              <w:t>4.</w:t>
            </w:r>
            <w:r w:rsidRPr="00F45F11">
              <w:t>6%</w:t>
            </w:r>
          </w:p>
        </w:tc>
        <w:tc>
          <w:tcPr>
            <w:tcW w:w="404" w:type="pct"/>
          </w:tcPr>
          <w:p w14:paraId="3F139C1B" w14:textId="77777777" w:rsidR="00602F54" w:rsidRPr="00F45F11" w:rsidRDefault="00602F54" w:rsidP="009817E6">
            <w:pPr>
              <w:pStyle w:val="ARtableperformancesymbol"/>
            </w:pPr>
            <w:r w:rsidRPr="00F45F11">
              <w:rPr>
                <w:rFonts w:eastAsia="Wingdings" w:cs="Wingdings"/>
              </w:rPr>
              <w:t></w:t>
            </w:r>
          </w:p>
        </w:tc>
      </w:tr>
      <w:tr w:rsidR="00602F54" w:rsidRPr="00F45F11" w14:paraId="6F9E9C5B" w14:textId="77777777" w:rsidTr="002A7BAF">
        <w:tc>
          <w:tcPr>
            <w:tcW w:w="2516" w:type="pct"/>
          </w:tcPr>
          <w:p w14:paraId="4B3520E7" w14:textId="77777777" w:rsidR="00602F54" w:rsidRDefault="00602F54" w:rsidP="009817E6">
            <w:pPr>
              <w:pStyle w:val="ARTabletext"/>
            </w:pPr>
            <w:r w:rsidRPr="00F45F11">
              <w:t>Proportion of parents who participate in a Supported Playgroup who improved parenting self-efficacy</w:t>
            </w:r>
          </w:p>
          <w:p w14:paraId="55E409F8" w14:textId="248384DE" w:rsidR="00477AB2" w:rsidRPr="00F45F11" w:rsidRDefault="00477AB2" w:rsidP="00477AB2">
            <w:pPr>
              <w:pStyle w:val="ARtablenoteindent"/>
            </w:pPr>
            <w:r w:rsidRPr="00F45F11">
              <w:t>The outcome is slightly higher than the 2025–26 target with more families reporting improved parenting efficacy.</w:t>
            </w:r>
          </w:p>
        </w:tc>
        <w:tc>
          <w:tcPr>
            <w:tcW w:w="542" w:type="pct"/>
          </w:tcPr>
          <w:p w14:paraId="285F4D95" w14:textId="77777777" w:rsidR="00602F54" w:rsidRPr="00F45F11" w:rsidRDefault="00602F54" w:rsidP="009817E6">
            <w:pPr>
              <w:pStyle w:val="ARTabletext"/>
            </w:pPr>
            <w:r w:rsidRPr="00F45F11">
              <w:t>per cent</w:t>
            </w:r>
          </w:p>
        </w:tc>
        <w:tc>
          <w:tcPr>
            <w:tcW w:w="491" w:type="pct"/>
          </w:tcPr>
          <w:p w14:paraId="6B30027A" w14:textId="77777777" w:rsidR="00602F54" w:rsidRPr="00F45F11" w:rsidRDefault="00602F54" w:rsidP="009817E6">
            <w:pPr>
              <w:pStyle w:val="ARtabletextright"/>
            </w:pPr>
            <w:r w:rsidRPr="00F45F11">
              <w:t>60.0</w:t>
            </w:r>
          </w:p>
        </w:tc>
        <w:tc>
          <w:tcPr>
            <w:tcW w:w="491" w:type="pct"/>
          </w:tcPr>
          <w:p w14:paraId="2BDBE8C0" w14:textId="77777777" w:rsidR="00602F54" w:rsidRPr="00F45F11" w:rsidRDefault="00602F54" w:rsidP="009817E6">
            <w:pPr>
              <w:pStyle w:val="ARtabletextright"/>
            </w:pPr>
            <w:r w:rsidRPr="00F45F11">
              <w:t>67.5</w:t>
            </w:r>
          </w:p>
        </w:tc>
        <w:tc>
          <w:tcPr>
            <w:tcW w:w="556" w:type="pct"/>
          </w:tcPr>
          <w:p w14:paraId="2E7CCCEA" w14:textId="77777777" w:rsidR="00602F54" w:rsidRPr="00F45F11" w:rsidRDefault="00602F54" w:rsidP="009817E6">
            <w:pPr>
              <w:pStyle w:val="ARtabletextright"/>
            </w:pPr>
            <w:r w:rsidRPr="00F45F11">
              <w:t>12.5%</w:t>
            </w:r>
          </w:p>
        </w:tc>
        <w:tc>
          <w:tcPr>
            <w:tcW w:w="404" w:type="pct"/>
          </w:tcPr>
          <w:p w14:paraId="04CE0B92" w14:textId="77777777" w:rsidR="00602F54" w:rsidRPr="00F45F11" w:rsidRDefault="00602F54" w:rsidP="009817E6">
            <w:pPr>
              <w:pStyle w:val="ARtableperformancesymbol"/>
              <w:rPr>
                <w:highlight w:val="cyan"/>
              </w:rPr>
            </w:pPr>
            <w:r w:rsidRPr="00F45F11">
              <w:rPr>
                <w:rFonts w:eastAsia="Wingdings" w:cs="Wingdings"/>
              </w:rPr>
              <w:t></w:t>
            </w:r>
          </w:p>
        </w:tc>
      </w:tr>
      <w:tr w:rsidR="000957A8" w:rsidRPr="00F45F11" w14:paraId="7C1BD4AC" w14:textId="77777777" w:rsidTr="002A7BAF">
        <w:tc>
          <w:tcPr>
            <w:tcW w:w="2516" w:type="pct"/>
          </w:tcPr>
          <w:p w14:paraId="542ECCE8" w14:textId="77777777" w:rsidR="000957A8" w:rsidRDefault="000957A8">
            <w:pPr>
              <w:pStyle w:val="ARTabletext"/>
              <w:rPr>
                <w:rFonts w:eastAsia="Times"/>
              </w:rPr>
            </w:pPr>
            <w:r w:rsidRPr="00F45F11">
              <w:rPr>
                <w:rFonts w:eastAsia="Times"/>
              </w:rPr>
              <w:t>Social service providers’ satisfaction with education and guidance provided by the Social Services</w:t>
            </w:r>
            <w:r w:rsidRPr="00F45F11">
              <w:t> </w:t>
            </w:r>
            <w:r w:rsidRPr="00F45F11">
              <w:rPr>
                <w:rFonts w:eastAsia="Times"/>
              </w:rPr>
              <w:t>Regulator.</w:t>
            </w:r>
          </w:p>
          <w:p w14:paraId="6E2871D9" w14:textId="6B2CB949" w:rsidR="00477AB2" w:rsidRPr="00F45F11" w:rsidRDefault="00477AB2" w:rsidP="00477AB2">
            <w:pPr>
              <w:pStyle w:val="ARtablenoteindent"/>
            </w:pPr>
            <w:r w:rsidRPr="00F45F11">
              <w:t xml:space="preserve">The Social Services Regulator has been able to build upon its initial guidance phase, which focused on supporting registration and basic knowledge of the scheme, towards more engaging and strategic education materials and communications that support awareness </w:t>
            </w:r>
            <w:r w:rsidRPr="00F45F11">
              <w:rPr>
                <w:rStyle w:val="ARtablenoteindentChar"/>
              </w:rPr>
              <w:t>and</w:t>
            </w:r>
            <w:r w:rsidRPr="00F45F11">
              <w:rPr>
                <w:rStyle w:val="ARtablenoteindentChar"/>
                <w:iCs/>
              </w:rPr>
              <w:t> </w:t>
            </w:r>
            <w:r w:rsidRPr="00F45F11">
              <w:t>compliance.</w:t>
            </w:r>
          </w:p>
        </w:tc>
        <w:tc>
          <w:tcPr>
            <w:tcW w:w="542" w:type="pct"/>
          </w:tcPr>
          <w:p w14:paraId="20A4970F" w14:textId="77777777" w:rsidR="000957A8" w:rsidRPr="00F45F11" w:rsidRDefault="000957A8">
            <w:pPr>
              <w:pStyle w:val="ARTabletext"/>
            </w:pPr>
            <w:r w:rsidRPr="00F45F11">
              <w:rPr>
                <w:rFonts w:eastAsia="Times"/>
              </w:rPr>
              <w:t>per cent</w:t>
            </w:r>
          </w:p>
        </w:tc>
        <w:tc>
          <w:tcPr>
            <w:tcW w:w="491" w:type="pct"/>
          </w:tcPr>
          <w:p w14:paraId="6543CC6D" w14:textId="77777777" w:rsidR="000957A8" w:rsidRPr="00F45F11" w:rsidRDefault="000957A8">
            <w:pPr>
              <w:pStyle w:val="ARfintabletextright"/>
            </w:pPr>
            <w:r w:rsidRPr="00F45F11">
              <w:rPr>
                <w:rFonts w:eastAsia="Times"/>
              </w:rPr>
              <w:t>75.0</w:t>
            </w:r>
          </w:p>
        </w:tc>
        <w:tc>
          <w:tcPr>
            <w:tcW w:w="491" w:type="pct"/>
          </w:tcPr>
          <w:p w14:paraId="7506515A" w14:textId="77777777" w:rsidR="000957A8" w:rsidRPr="00F45F11" w:rsidRDefault="000957A8">
            <w:pPr>
              <w:pStyle w:val="ARfintabletextright"/>
            </w:pPr>
            <w:r w:rsidRPr="00F45F11">
              <w:rPr>
                <w:rFonts w:eastAsia="Times"/>
              </w:rPr>
              <w:t>95.0</w:t>
            </w:r>
          </w:p>
        </w:tc>
        <w:tc>
          <w:tcPr>
            <w:tcW w:w="556" w:type="pct"/>
          </w:tcPr>
          <w:p w14:paraId="0E6BEF25" w14:textId="77777777" w:rsidR="000957A8" w:rsidRPr="00F45F11" w:rsidRDefault="000957A8">
            <w:pPr>
              <w:pStyle w:val="ARfintabletextright"/>
            </w:pPr>
            <w:r w:rsidRPr="00F45F11">
              <w:rPr>
                <w:rFonts w:eastAsia="Times"/>
              </w:rPr>
              <w:t>26.7%</w:t>
            </w:r>
          </w:p>
        </w:tc>
        <w:tc>
          <w:tcPr>
            <w:tcW w:w="404" w:type="pct"/>
          </w:tcPr>
          <w:p w14:paraId="5DC2253F" w14:textId="77777777" w:rsidR="000957A8" w:rsidRPr="00F45F11" w:rsidRDefault="000957A8">
            <w:pPr>
              <w:pStyle w:val="ARtableperformancesymbol"/>
              <w:rPr>
                <w:rFonts w:eastAsia="Times"/>
              </w:rPr>
            </w:pPr>
            <w:r w:rsidRPr="00F45F11">
              <w:rPr>
                <w:rFonts w:eastAsia="Times"/>
              </w:rPr>
              <w:t></w:t>
            </w:r>
          </w:p>
        </w:tc>
      </w:tr>
      <w:tr w:rsidR="00477AB2" w:rsidRPr="00F45F11" w14:paraId="172C2C04" w14:textId="77777777" w:rsidTr="002A7BAF">
        <w:tc>
          <w:tcPr>
            <w:tcW w:w="2516" w:type="pct"/>
          </w:tcPr>
          <w:p w14:paraId="61BAA36E" w14:textId="5C445A4B" w:rsidR="00477AB2" w:rsidRPr="00F45F11" w:rsidRDefault="00477AB2" w:rsidP="00477AB2">
            <w:pPr>
              <w:pStyle w:val="ARtablegreybold"/>
            </w:pPr>
            <w:r w:rsidRPr="00F45F11">
              <w:t>Timeliness</w:t>
            </w:r>
          </w:p>
        </w:tc>
        <w:tc>
          <w:tcPr>
            <w:tcW w:w="542" w:type="pct"/>
          </w:tcPr>
          <w:p w14:paraId="501CAC92" w14:textId="77777777" w:rsidR="00477AB2" w:rsidRPr="00F45F11" w:rsidRDefault="00477AB2" w:rsidP="009817E6">
            <w:pPr>
              <w:pStyle w:val="ARTabletext"/>
            </w:pPr>
          </w:p>
        </w:tc>
        <w:tc>
          <w:tcPr>
            <w:tcW w:w="491" w:type="pct"/>
          </w:tcPr>
          <w:p w14:paraId="77152F4F" w14:textId="77777777" w:rsidR="00477AB2" w:rsidRPr="00F45F11" w:rsidRDefault="00477AB2" w:rsidP="009817E6">
            <w:pPr>
              <w:pStyle w:val="ARtabletextright"/>
            </w:pPr>
          </w:p>
        </w:tc>
        <w:tc>
          <w:tcPr>
            <w:tcW w:w="491" w:type="pct"/>
          </w:tcPr>
          <w:p w14:paraId="02C4D47A" w14:textId="77777777" w:rsidR="00477AB2" w:rsidRPr="00F45F11" w:rsidDel="00FB4B7C" w:rsidRDefault="00477AB2" w:rsidP="009817E6">
            <w:pPr>
              <w:pStyle w:val="ARtabletextright"/>
            </w:pPr>
          </w:p>
        </w:tc>
        <w:tc>
          <w:tcPr>
            <w:tcW w:w="556" w:type="pct"/>
          </w:tcPr>
          <w:p w14:paraId="5417F9A7" w14:textId="77777777" w:rsidR="00477AB2" w:rsidRPr="00F45F11" w:rsidDel="00FB4B7C" w:rsidRDefault="00477AB2" w:rsidP="009817E6">
            <w:pPr>
              <w:pStyle w:val="ARtabletextright"/>
            </w:pPr>
          </w:p>
        </w:tc>
        <w:tc>
          <w:tcPr>
            <w:tcW w:w="404" w:type="pct"/>
          </w:tcPr>
          <w:p w14:paraId="36D15164" w14:textId="77777777" w:rsidR="00477AB2" w:rsidRPr="00F45F11" w:rsidRDefault="00477AB2" w:rsidP="009817E6">
            <w:pPr>
              <w:pStyle w:val="ARtableperformancesymbol"/>
              <w:rPr>
                <w:rFonts w:eastAsia="Wingdings" w:cs="Wingdings"/>
              </w:rPr>
            </w:pPr>
          </w:p>
        </w:tc>
      </w:tr>
      <w:tr w:rsidR="00602F54" w:rsidRPr="00F45F11" w14:paraId="69EB9708" w14:textId="77777777" w:rsidTr="002A7BAF">
        <w:tc>
          <w:tcPr>
            <w:tcW w:w="2516" w:type="pct"/>
            <w:hideMark/>
          </w:tcPr>
          <w:p w14:paraId="4E5A4D2B" w14:textId="39D84568" w:rsidR="00602F54" w:rsidRPr="00F45F11" w:rsidRDefault="00602F54" w:rsidP="009817E6">
            <w:pPr>
              <w:pStyle w:val="ARTabletext"/>
            </w:pPr>
            <w:r w:rsidRPr="00F45F11">
              <w:t>Percentage of child protection investigations assessed as</w:t>
            </w:r>
            <w:r w:rsidR="00D30C1D">
              <w:t> </w:t>
            </w:r>
            <w:r w:rsidRPr="00F45F11">
              <w:t xml:space="preserve">urgent, that were visited, or where attempts were made to visit, within </w:t>
            </w:r>
            <w:r w:rsidR="008210AB" w:rsidRPr="00F45F11">
              <w:t>2</w:t>
            </w:r>
            <w:r w:rsidRPr="00F45F11">
              <w:t xml:space="preserve"> days of receipt of</w:t>
            </w:r>
            <w:r w:rsidR="008074B3">
              <w:t> </w:t>
            </w:r>
            <w:r w:rsidRPr="00F45F11">
              <w:t>the report</w:t>
            </w:r>
          </w:p>
        </w:tc>
        <w:tc>
          <w:tcPr>
            <w:tcW w:w="542" w:type="pct"/>
            <w:hideMark/>
          </w:tcPr>
          <w:p w14:paraId="794F425C" w14:textId="77777777" w:rsidR="00602F54" w:rsidRPr="00F45F11" w:rsidRDefault="00602F54" w:rsidP="009817E6">
            <w:pPr>
              <w:pStyle w:val="ARTabletext"/>
            </w:pPr>
            <w:r w:rsidRPr="00F45F11">
              <w:t>per cent</w:t>
            </w:r>
          </w:p>
        </w:tc>
        <w:tc>
          <w:tcPr>
            <w:tcW w:w="491" w:type="pct"/>
          </w:tcPr>
          <w:p w14:paraId="70B1B828" w14:textId="77777777" w:rsidR="00602F54" w:rsidRPr="00F45F11" w:rsidRDefault="00602F54" w:rsidP="009817E6">
            <w:pPr>
              <w:pStyle w:val="ARtabletextright"/>
            </w:pPr>
            <w:r w:rsidRPr="00F45F11">
              <w:t>97.0</w:t>
            </w:r>
          </w:p>
        </w:tc>
        <w:tc>
          <w:tcPr>
            <w:tcW w:w="491" w:type="pct"/>
          </w:tcPr>
          <w:p w14:paraId="6CF2D6BB" w14:textId="77777777" w:rsidR="00602F54" w:rsidRPr="00F45F11" w:rsidRDefault="00602F54" w:rsidP="009817E6">
            <w:pPr>
              <w:pStyle w:val="ARtabletextright"/>
            </w:pPr>
            <w:r w:rsidRPr="00F45F11" w:rsidDel="00FB4B7C">
              <w:t>97.</w:t>
            </w:r>
            <w:r w:rsidRPr="00F45F11">
              <w:t>8</w:t>
            </w:r>
          </w:p>
        </w:tc>
        <w:tc>
          <w:tcPr>
            <w:tcW w:w="556" w:type="pct"/>
          </w:tcPr>
          <w:p w14:paraId="3B24BC0B" w14:textId="77777777" w:rsidR="00602F54" w:rsidRPr="00F45F11" w:rsidRDefault="00602F54" w:rsidP="009817E6">
            <w:pPr>
              <w:pStyle w:val="ARtabletextright"/>
            </w:pPr>
            <w:r w:rsidRPr="00F45F11" w:rsidDel="00FB4B7C">
              <w:t>0.</w:t>
            </w:r>
            <w:r w:rsidRPr="00F45F11">
              <w:t>8%</w:t>
            </w:r>
          </w:p>
        </w:tc>
        <w:tc>
          <w:tcPr>
            <w:tcW w:w="404" w:type="pct"/>
          </w:tcPr>
          <w:p w14:paraId="0B4ED26F" w14:textId="77777777" w:rsidR="00602F54" w:rsidRPr="00F45F11" w:rsidRDefault="00602F54" w:rsidP="009817E6">
            <w:pPr>
              <w:pStyle w:val="ARtableperformancesymbol"/>
            </w:pPr>
            <w:r w:rsidRPr="00F45F11">
              <w:rPr>
                <w:rFonts w:eastAsia="Wingdings" w:cs="Wingdings"/>
              </w:rPr>
              <w:t></w:t>
            </w:r>
          </w:p>
        </w:tc>
      </w:tr>
      <w:tr w:rsidR="005E789C" w:rsidRPr="00F45F11" w14:paraId="14F23339" w14:textId="77777777" w:rsidTr="002A7BAF">
        <w:tc>
          <w:tcPr>
            <w:tcW w:w="2516" w:type="pct"/>
          </w:tcPr>
          <w:p w14:paraId="6FBA7667" w14:textId="77777777" w:rsidR="005E789C" w:rsidRDefault="005E789C">
            <w:pPr>
              <w:pStyle w:val="ARTabletext"/>
              <w:rPr>
                <w:rFonts w:eastAsia="Times"/>
              </w:rPr>
            </w:pPr>
            <w:r w:rsidRPr="00F45F11">
              <w:rPr>
                <w:rFonts w:eastAsia="Times"/>
              </w:rPr>
              <w:t>Registration applications processed within statutory timelines.</w:t>
            </w:r>
          </w:p>
          <w:p w14:paraId="62E96B51" w14:textId="5F5D4138" w:rsidR="00477AB2" w:rsidRPr="00F45F11" w:rsidRDefault="00477AB2" w:rsidP="00477AB2">
            <w:pPr>
              <w:pStyle w:val="ARtablenoteindent"/>
            </w:pPr>
            <w:r w:rsidRPr="00F45F11">
              <w:t>Fixed-term resourcing to support transitional registrations ends in 2025–26. This will affect the Social Services Regulator’s capacity to maintain high levels of engagement with providers, which may alter capacity to sustain these outcomes.</w:t>
            </w:r>
          </w:p>
        </w:tc>
        <w:tc>
          <w:tcPr>
            <w:tcW w:w="542" w:type="pct"/>
          </w:tcPr>
          <w:p w14:paraId="2FC6F332" w14:textId="77777777" w:rsidR="005E789C" w:rsidRPr="00F45F11" w:rsidRDefault="005E789C">
            <w:pPr>
              <w:pStyle w:val="ARTabletext"/>
            </w:pPr>
            <w:r w:rsidRPr="00F45F11">
              <w:rPr>
                <w:rFonts w:eastAsia="Times"/>
              </w:rPr>
              <w:t>per cent</w:t>
            </w:r>
          </w:p>
        </w:tc>
        <w:tc>
          <w:tcPr>
            <w:tcW w:w="491" w:type="pct"/>
          </w:tcPr>
          <w:p w14:paraId="7E6C86CC" w14:textId="77777777" w:rsidR="005E789C" w:rsidRPr="00F45F11" w:rsidRDefault="005E789C">
            <w:pPr>
              <w:pStyle w:val="ARtabletextright"/>
            </w:pPr>
            <w:r w:rsidRPr="00F45F11">
              <w:rPr>
                <w:rFonts w:eastAsia="Times"/>
              </w:rPr>
              <w:t>70.0</w:t>
            </w:r>
          </w:p>
        </w:tc>
        <w:tc>
          <w:tcPr>
            <w:tcW w:w="491" w:type="pct"/>
          </w:tcPr>
          <w:p w14:paraId="247C44CF" w14:textId="77777777" w:rsidR="005E789C" w:rsidRPr="00F45F11" w:rsidRDefault="005E789C">
            <w:pPr>
              <w:pStyle w:val="ARtabletextright"/>
            </w:pPr>
            <w:r w:rsidRPr="00F45F11">
              <w:rPr>
                <w:rFonts w:eastAsia="Times"/>
              </w:rPr>
              <w:t>98.0</w:t>
            </w:r>
          </w:p>
        </w:tc>
        <w:tc>
          <w:tcPr>
            <w:tcW w:w="556" w:type="pct"/>
          </w:tcPr>
          <w:p w14:paraId="4E68870D" w14:textId="77777777" w:rsidR="005E789C" w:rsidRPr="00F45F11" w:rsidRDefault="005E789C">
            <w:pPr>
              <w:pStyle w:val="ARtabletextright"/>
            </w:pPr>
            <w:r w:rsidRPr="00F45F11">
              <w:rPr>
                <w:rFonts w:eastAsia="Times"/>
              </w:rPr>
              <w:t>40.0%</w:t>
            </w:r>
          </w:p>
        </w:tc>
        <w:tc>
          <w:tcPr>
            <w:tcW w:w="404" w:type="pct"/>
          </w:tcPr>
          <w:p w14:paraId="1B11CD00" w14:textId="77777777" w:rsidR="005E789C" w:rsidRPr="00F45F11" w:rsidRDefault="005E789C">
            <w:pPr>
              <w:pStyle w:val="ARtableperformancesymbol"/>
            </w:pPr>
            <w:r w:rsidRPr="00F45F11">
              <w:t></w:t>
            </w:r>
          </w:p>
        </w:tc>
      </w:tr>
      <w:tr w:rsidR="00AA2429" w:rsidRPr="00F45F11" w14:paraId="6F4DF68C" w14:textId="77777777" w:rsidTr="002A7BAF">
        <w:tc>
          <w:tcPr>
            <w:tcW w:w="2516" w:type="pct"/>
            <w:hideMark/>
          </w:tcPr>
          <w:p w14:paraId="49777FF3" w14:textId="77777777" w:rsidR="00AA2429" w:rsidRDefault="00AA2429">
            <w:pPr>
              <w:pStyle w:val="ARTabletext"/>
            </w:pPr>
            <w:r w:rsidRPr="00F45F11">
              <w:t>Percentage of clearances for Working with Children and National Disability Insurance Scheme (NDIS) checks issued within agreed</w:t>
            </w:r>
            <w:r w:rsidR="008074B3">
              <w:t> </w:t>
            </w:r>
            <w:r w:rsidRPr="00F45F11">
              <w:t>timeframes</w:t>
            </w:r>
          </w:p>
          <w:p w14:paraId="6B028C7C" w14:textId="5C106187" w:rsidR="00B413F6" w:rsidRPr="00F45F11" w:rsidRDefault="00B413F6" w:rsidP="00B413F6">
            <w:pPr>
              <w:pStyle w:val="ARtablenoteindent"/>
            </w:pPr>
            <w:r w:rsidRPr="00EC46BF">
              <w:t>This measure transferred in 2026–27 from the Department of Government Services to reflect machinery of government changes.</w:t>
            </w:r>
          </w:p>
        </w:tc>
        <w:tc>
          <w:tcPr>
            <w:tcW w:w="542" w:type="pct"/>
            <w:hideMark/>
          </w:tcPr>
          <w:p w14:paraId="5BD45633" w14:textId="77777777" w:rsidR="00AA2429" w:rsidRPr="00F45F11" w:rsidRDefault="00AA2429">
            <w:pPr>
              <w:pStyle w:val="ARTabletext"/>
            </w:pPr>
            <w:r w:rsidRPr="00F45F11">
              <w:t>per cent</w:t>
            </w:r>
          </w:p>
        </w:tc>
        <w:tc>
          <w:tcPr>
            <w:tcW w:w="491" w:type="pct"/>
          </w:tcPr>
          <w:p w14:paraId="7BFBC4C1" w14:textId="77777777" w:rsidR="00AA2429" w:rsidRPr="00F45F11" w:rsidRDefault="00AA2429">
            <w:pPr>
              <w:pStyle w:val="ARtabletextright"/>
            </w:pPr>
            <w:r w:rsidRPr="00F45F11">
              <w:t>100.0</w:t>
            </w:r>
          </w:p>
        </w:tc>
        <w:tc>
          <w:tcPr>
            <w:tcW w:w="491" w:type="pct"/>
          </w:tcPr>
          <w:p w14:paraId="04B82557" w14:textId="77777777" w:rsidR="00AA2429" w:rsidRPr="00F45F11" w:rsidRDefault="00AA2429">
            <w:pPr>
              <w:pStyle w:val="ARtabletextright"/>
            </w:pPr>
            <w:r w:rsidRPr="00F45F11">
              <w:t>99.4</w:t>
            </w:r>
          </w:p>
        </w:tc>
        <w:tc>
          <w:tcPr>
            <w:tcW w:w="556" w:type="pct"/>
          </w:tcPr>
          <w:p w14:paraId="277D2C96" w14:textId="77777777" w:rsidR="00AA2429" w:rsidRPr="00F45F11" w:rsidRDefault="00AA2429">
            <w:pPr>
              <w:pStyle w:val="ARtabletextright"/>
            </w:pPr>
            <w:r w:rsidRPr="00F45F11">
              <w:t>-0.6%</w:t>
            </w:r>
          </w:p>
        </w:tc>
        <w:tc>
          <w:tcPr>
            <w:tcW w:w="404" w:type="pct"/>
          </w:tcPr>
          <w:p w14:paraId="08242FE4" w14:textId="77777777" w:rsidR="00AA2429" w:rsidRPr="00F45F11" w:rsidRDefault="00AA2429">
            <w:pPr>
              <w:pStyle w:val="ARtableperformancesymbol"/>
            </w:pPr>
            <w:r w:rsidRPr="00F45F11">
              <w:t>□</w:t>
            </w:r>
          </w:p>
        </w:tc>
      </w:tr>
      <w:tr w:rsidR="00CB7B38" w:rsidRPr="00F45F11" w14:paraId="09CD1CAF" w14:textId="77777777" w:rsidTr="002A7BAF">
        <w:tc>
          <w:tcPr>
            <w:tcW w:w="2516" w:type="pct"/>
            <w:hideMark/>
          </w:tcPr>
          <w:p w14:paraId="074160D3" w14:textId="77777777" w:rsidR="00CB7B38" w:rsidRDefault="00CB7B38" w:rsidP="00CB7B38">
            <w:pPr>
              <w:pStyle w:val="ARTabletext"/>
            </w:pPr>
            <w:r w:rsidRPr="00F45F11">
              <w:t>Percentage of exclusions for Working with Children and National Disability Insurance Scheme (NDIS) checks issued within agreed timeframes</w:t>
            </w:r>
          </w:p>
          <w:p w14:paraId="7FD89691" w14:textId="66209187" w:rsidR="00B413F6" w:rsidRPr="00F45F11" w:rsidRDefault="00B413F6" w:rsidP="00B413F6">
            <w:pPr>
              <w:pStyle w:val="ARtablenoteindent"/>
            </w:pPr>
            <w:r w:rsidRPr="00EC46BF">
              <w:t>This measure transferred in 2026–27 from the Department of Government Services to reflect machinery of government changes.</w:t>
            </w:r>
          </w:p>
        </w:tc>
        <w:tc>
          <w:tcPr>
            <w:tcW w:w="542" w:type="pct"/>
            <w:hideMark/>
          </w:tcPr>
          <w:p w14:paraId="33152BC4" w14:textId="77777777" w:rsidR="00CB7B38" w:rsidRPr="00F45F11" w:rsidRDefault="00CB7B38" w:rsidP="00CB7B38">
            <w:pPr>
              <w:pStyle w:val="ARTabletext"/>
            </w:pPr>
            <w:r w:rsidRPr="00F45F11">
              <w:t>per cent</w:t>
            </w:r>
          </w:p>
        </w:tc>
        <w:tc>
          <w:tcPr>
            <w:tcW w:w="491" w:type="pct"/>
          </w:tcPr>
          <w:p w14:paraId="4E3CD80B" w14:textId="77777777" w:rsidR="00CB7B38" w:rsidRPr="00F45F11" w:rsidRDefault="00CB7B38" w:rsidP="00CB7B38">
            <w:pPr>
              <w:pStyle w:val="ARtabletextright"/>
            </w:pPr>
            <w:r w:rsidRPr="00F45F11">
              <w:t>100.0</w:t>
            </w:r>
          </w:p>
        </w:tc>
        <w:tc>
          <w:tcPr>
            <w:tcW w:w="491" w:type="pct"/>
          </w:tcPr>
          <w:p w14:paraId="0F38EFAC" w14:textId="77777777" w:rsidR="00CB7B38" w:rsidRPr="00F45F11" w:rsidRDefault="00CB7B38" w:rsidP="00CB7B38">
            <w:pPr>
              <w:pStyle w:val="ARtabletextright"/>
            </w:pPr>
            <w:r w:rsidRPr="00F45F11">
              <w:t>99.8</w:t>
            </w:r>
          </w:p>
        </w:tc>
        <w:tc>
          <w:tcPr>
            <w:tcW w:w="556" w:type="pct"/>
          </w:tcPr>
          <w:p w14:paraId="164F4C83" w14:textId="77777777" w:rsidR="00CB7B38" w:rsidRPr="00F45F11" w:rsidRDefault="00CB7B38" w:rsidP="00CB7B38">
            <w:pPr>
              <w:pStyle w:val="ARtabletextright"/>
            </w:pPr>
            <w:r w:rsidRPr="00F45F11">
              <w:t>-0.2%</w:t>
            </w:r>
          </w:p>
        </w:tc>
        <w:tc>
          <w:tcPr>
            <w:tcW w:w="404" w:type="pct"/>
          </w:tcPr>
          <w:p w14:paraId="7B370BD0" w14:textId="77777777" w:rsidR="00CB7B38" w:rsidRPr="00F45F11" w:rsidRDefault="00CB7B38" w:rsidP="00CB7B38">
            <w:pPr>
              <w:pStyle w:val="ARtableperformancesymbol"/>
            </w:pPr>
            <w:r w:rsidRPr="00F45F11">
              <w:t>□</w:t>
            </w:r>
          </w:p>
        </w:tc>
      </w:tr>
      <w:tr w:rsidR="00477AB2" w:rsidRPr="00F45F11" w14:paraId="3AAACCDF" w14:textId="77777777" w:rsidTr="002A7BAF">
        <w:tc>
          <w:tcPr>
            <w:tcW w:w="2516" w:type="pct"/>
          </w:tcPr>
          <w:p w14:paraId="47E03BB2" w14:textId="7AED9EC9" w:rsidR="00477AB2" w:rsidRPr="00F45F11" w:rsidRDefault="00477AB2" w:rsidP="00B413F6">
            <w:pPr>
              <w:pStyle w:val="ARtablegreybold"/>
            </w:pPr>
            <w:r w:rsidRPr="00F45F11">
              <w:t>Cost</w:t>
            </w:r>
          </w:p>
        </w:tc>
        <w:tc>
          <w:tcPr>
            <w:tcW w:w="542" w:type="pct"/>
          </w:tcPr>
          <w:p w14:paraId="005EF68E" w14:textId="77777777" w:rsidR="00477AB2" w:rsidRPr="00F45F11" w:rsidRDefault="00477AB2" w:rsidP="00541B81">
            <w:pPr>
              <w:pStyle w:val="ARtabletextbold"/>
              <w:keepNext/>
            </w:pPr>
          </w:p>
        </w:tc>
        <w:tc>
          <w:tcPr>
            <w:tcW w:w="491" w:type="pct"/>
          </w:tcPr>
          <w:p w14:paraId="562565B9" w14:textId="77777777" w:rsidR="00477AB2" w:rsidRPr="00F45F11" w:rsidDel="000632EE" w:rsidRDefault="00477AB2" w:rsidP="00541B81">
            <w:pPr>
              <w:pStyle w:val="ARtabletextrightbold"/>
              <w:keepNext/>
            </w:pPr>
          </w:p>
        </w:tc>
        <w:tc>
          <w:tcPr>
            <w:tcW w:w="491" w:type="pct"/>
          </w:tcPr>
          <w:p w14:paraId="73BC56A0" w14:textId="77777777" w:rsidR="00477AB2" w:rsidRPr="00F45F11" w:rsidDel="000632EE" w:rsidRDefault="00477AB2" w:rsidP="00541B81">
            <w:pPr>
              <w:pStyle w:val="ARtabletextrightbold"/>
              <w:keepNext/>
            </w:pPr>
          </w:p>
        </w:tc>
        <w:tc>
          <w:tcPr>
            <w:tcW w:w="556" w:type="pct"/>
          </w:tcPr>
          <w:p w14:paraId="1B544059" w14:textId="77777777" w:rsidR="00477AB2" w:rsidRPr="00F45F11" w:rsidRDefault="00477AB2" w:rsidP="00541B81">
            <w:pPr>
              <w:pStyle w:val="ARtabletextrightbold"/>
              <w:keepNext/>
            </w:pPr>
          </w:p>
        </w:tc>
        <w:tc>
          <w:tcPr>
            <w:tcW w:w="404" w:type="pct"/>
          </w:tcPr>
          <w:p w14:paraId="0A355281" w14:textId="77777777" w:rsidR="00477AB2" w:rsidRPr="00F45F11" w:rsidRDefault="00477AB2" w:rsidP="00541B81">
            <w:pPr>
              <w:pStyle w:val="ARtableperformancesymbol"/>
              <w:keepNext/>
            </w:pPr>
          </w:p>
        </w:tc>
      </w:tr>
      <w:tr w:rsidR="00CB7B38" w:rsidRPr="00F45F11" w14:paraId="62CD31F1" w14:textId="77777777" w:rsidTr="002A7BAF">
        <w:tc>
          <w:tcPr>
            <w:tcW w:w="2516" w:type="pct"/>
            <w:hideMark/>
          </w:tcPr>
          <w:p w14:paraId="52E7B160" w14:textId="77777777" w:rsidR="00CB7B38" w:rsidRDefault="00CB7B38" w:rsidP="00541B81">
            <w:pPr>
              <w:pStyle w:val="ARtabletextbold"/>
              <w:keepNext/>
            </w:pPr>
            <w:r w:rsidRPr="00F45F11">
              <w:t>Total output cost</w:t>
            </w:r>
          </w:p>
          <w:p w14:paraId="4C74316A" w14:textId="76587D5C" w:rsidR="00B413F6" w:rsidRPr="00F45F11" w:rsidRDefault="00B413F6" w:rsidP="00B413F6">
            <w:pPr>
              <w:pStyle w:val="ARtablenoteindent"/>
            </w:pPr>
            <w:r w:rsidRPr="00F45F11">
              <w:t>The higher expenditure reflects insurance claims and premiums and expenditure for care allowance payments</w:t>
            </w:r>
          </w:p>
        </w:tc>
        <w:tc>
          <w:tcPr>
            <w:tcW w:w="542" w:type="pct"/>
            <w:hideMark/>
          </w:tcPr>
          <w:p w14:paraId="20989B55" w14:textId="77777777" w:rsidR="00CB7B38" w:rsidRPr="00F45F11" w:rsidRDefault="00CB7B38" w:rsidP="00541B81">
            <w:pPr>
              <w:pStyle w:val="ARtabletextbold"/>
              <w:keepNext/>
            </w:pPr>
            <w:r w:rsidRPr="00F45F11">
              <w:t>$ million</w:t>
            </w:r>
          </w:p>
        </w:tc>
        <w:tc>
          <w:tcPr>
            <w:tcW w:w="491" w:type="pct"/>
          </w:tcPr>
          <w:p w14:paraId="198BCDF8" w14:textId="77777777" w:rsidR="00CB7B38" w:rsidRPr="00F45F11" w:rsidRDefault="00CB7B38" w:rsidP="00541B81">
            <w:pPr>
              <w:pStyle w:val="ARtabletextrightbold"/>
              <w:keepNext/>
            </w:pPr>
            <w:r w:rsidRPr="00F45F11" w:rsidDel="000632EE">
              <w:t>2,</w:t>
            </w:r>
            <w:r w:rsidRPr="00F45F11">
              <w:t>193.4</w:t>
            </w:r>
          </w:p>
        </w:tc>
        <w:tc>
          <w:tcPr>
            <w:tcW w:w="491" w:type="pct"/>
          </w:tcPr>
          <w:p w14:paraId="23695E84" w14:textId="77777777" w:rsidR="00CB7B38" w:rsidRPr="00F45F11" w:rsidRDefault="00CB7B38" w:rsidP="00541B81">
            <w:pPr>
              <w:pStyle w:val="ARtabletextrightbold"/>
              <w:keepNext/>
            </w:pPr>
            <w:r w:rsidRPr="00F45F11" w:rsidDel="000632EE">
              <w:t>2,</w:t>
            </w:r>
            <w:r w:rsidRPr="00F45F11">
              <w:t>557.1</w:t>
            </w:r>
          </w:p>
        </w:tc>
        <w:tc>
          <w:tcPr>
            <w:tcW w:w="556" w:type="pct"/>
          </w:tcPr>
          <w:p w14:paraId="1C5BA301" w14:textId="77777777" w:rsidR="00CB7B38" w:rsidRPr="00F45F11" w:rsidRDefault="00CB7B38" w:rsidP="00541B81">
            <w:pPr>
              <w:pStyle w:val="ARtabletextrightbold"/>
              <w:keepNext/>
            </w:pPr>
            <w:r w:rsidRPr="00F45F11">
              <w:t>16.6%</w:t>
            </w:r>
          </w:p>
        </w:tc>
        <w:tc>
          <w:tcPr>
            <w:tcW w:w="404" w:type="pct"/>
          </w:tcPr>
          <w:p w14:paraId="028927EC" w14:textId="77777777" w:rsidR="00CB7B38" w:rsidRPr="00F45F11" w:rsidRDefault="00CB7B38" w:rsidP="00541B81">
            <w:pPr>
              <w:pStyle w:val="ARtableperformancesymbol"/>
              <w:keepNext/>
              <w:rPr>
                <w:b/>
              </w:rPr>
            </w:pPr>
            <w:r w:rsidRPr="00F45F11">
              <w:t></w:t>
            </w:r>
          </w:p>
        </w:tc>
      </w:tr>
    </w:tbl>
    <w:p w14:paraId="03572540" w14:textId="715E77FA" w:rsidR="00602F54" w:rsidRPr="00F45F11" w:rsidRDefault="00602F54" w:rsidP="00541B81">
      <w:pPr>
        <w:pStyle w:val="Heading3"/>
        <w:rPr>
          <w:lang w:eastAsia="en-AU"/>
        </w:rPr>
      </w:pPr>
      <w:r w:rsidRPr="00F45F11">
        <w:rPr>
          <w:lang w:eastAsia="en-AU"/>
        </w:rPr>
        <w:t xml:space="preserve">Family violence service </w:t>
      </w:r>
      <w:r w:rsidRPr="00541B81">
        <w:t>delivery</w:t>
      </w:r>
    </w:p>
    <w:p w14:paraId="413CCB89" w14:textId="4D244963" w:rsidR="00602F54" w:rsidRPr="00F45F11" w:rsidRDefault="00DF034F" w:rsidP="00704FA3">
      <w:pPr>
        <w:pStyle w:val="ARBody"/>
        <w:rPr>
          <w:lang w:eastAsia="en-AU"/>
        </w:rPr>
      </w:pPr>
      <w:r>
        <w:rPr>
          <w:lang w:eastAsia="en-AU"/>
        </w:rPr>
        <w:t>Th</w:t>
      </w:r>
      <w:r w:rsidR="00861D42">
        <w:rPr>
          <w:lang w:eastAsia="en-AU"/>
        </w:rPr>
        <w:t xml:space="preserve">is </w:t>
      </w:r>
      <w:r>
        <w:rPr>
          <w:lang w:eastAsia="en-AU"/>
        </w:rPr>
        <w:t xml:space="preserve">output </w:t>
      </w:r>
      <w:r w:rsidR="00602F54" w:rsidRPr="00F45F11">
        <w:rPr>
          <w:lang w:eastAsia="en-AU"/>
        </w:rPr>
        <w:t>leads and coordinates whole-of-government family violence policy and implements and delivers the government’s family violence reform agenda.</w:t>
      </w:r>
    </w:p>
    <w:p w14:paraId="29A9E978" w14:textId="2167C457" w:rsidR="00002F7F" w:rsidRPr="00724959" w:rsidRDefault="00602F54" w:rsidP="00F32FC8">
      <w:pPr>
        <w:pStyle w:val="ARbodybeforetable"/>
      </w:pPr>
      <w:r w:rsidRPr="00F45F11">
        <w:t>This includes operating The Orange Door Network; delivering victim survivor support services; sexual assault support services; perpetrator interventions; implementing information-sharing legislation; early intervention programs and delivering risk assessment and management programs.</w:t>
      </w:r>
    </w:p>
    <w:tbl>
      <w:tblPr>
        <w:tblStyle w:val="ARtable1"/>
        <w:tblW w:w="9656" w:type="dxa"/>
        <w:tblLayout w:type="fixed"/>
        <w:tblLook w:val="06E0" w:firstRow="1" w:lastRow="1" w:firstColumn="1" w:lastColumn="0" w:noHBand="1" w:noVBand="1"/>
      </w:tblPr>
      <w:tblGrid>
        <w:gridCol w:w="4815"/>
        <w:gridCol w:w="992"/>
        <w:gridCol w:w="992"/>
        <w:gridCol w:w="993"/>
        <w:gridCol w:w="1020"/>
        <w:gridCol w:w="844"/>
      </w:tblGrid>
      <w:tr w:rsidR="00602F54" w:rsidRPr="00F45F11" w14:paraId="187E031E" w14:textId="77777777" w:rsidTr="00003010">
        <w:trPr>
          <w:cnfStyle w:val="100000000000" w:firstRow="1" w:lastRow="0" w:firstColumn="0" w:lastColumn="0" w:oddVBand="0" w:evenVBand="0" w:oddHBand="0" w:evenHBand="0" w:firstRowFirstColumn="0" w:firstRowLastColumn="0" w:lastRowFirstColumn="0" w:lastRowLastColumn="0"/>
          <w:tblHeader/>
        </w:trPr>
        <w:tc>
          <w:tcPr>
            <w:tcW w:w="4815" w:type="dxa"/>
            <w:hideMark/>
          </w:tcPr>
          <w:p w14:paraId="7AEB8AD7" w14:textId="77777777" w:rsidR="00602F54" w:rsidRPr="00F45F11" w:rsidRDefault="00602F54" w:rsidP="009817E6">
            <w:pPr>
              <w:pStyle w:val="ARtablecolhead"/>
              <w:rPr>
                <w:rFonts w:eastAsia="Times"/>
              </w:rPr>
            </w:pPr>
            <w:r w:rsidRPr="00F45F11">
              <w:rPr>
                <w:rFonts w:eastAsia="Times"/>
              </w:rPr>
              <w:t>Performance measures</w:t>
            </w:r>
          </w:p>
        </w:tc>
        <w:tc>
          <w:tcPr>
            <w:tcW w:w="992" w:type="dxa"/>
            <w:hideMark/>
          </w:tcPr>
          <w:p w14:paraId="393A5104" w14:textId="77777777" w:rsidR="00602F54" w:rsidRPr="00F45F11" w:rsidRDefault="00602F54" w:rsidP="009817E6">
            <w:pPr>
              <w:pStyle w:val="ARtablecolhead"/>
              <w:rPr>
                <w:rFonts w:eastAsia="Times"/>
              </w:rPr>
            </w:pPr>
            <w:r w:rsidRPr="00F45F11">
              <w:rPr>
                <w:rFonts w:eastAsia="Times"/>
              </w:rPr>
              <w:t>Unit of measure</w:t>
            </w:r>
          </w:p>
        </w:tc>
        <w:tc>
          <w:tcPr>
            <w:tcW w:w="992" w:type="dxa"/>
            <w:hideMark/>
          </w:tcPr>
          <w:p w14:paraId="0D42EA7C" w14:textId="77777777" w:rsidR="00602F54" w:rsidRPr="00F45F11" w:rsidRDefault="00602F54" w:rsidP="009817E6">
            <w:pPr>
              <w:pStyle w:val="ARtablecolheadright"/>
              <w:rPr>
                <w:rFonts w:eastAsia="Times"/>
              </w:rPr>
            </w:pPr>
            <w:r w:rsidRPr="00F45F11">
              <w:rPr>
                <w:rFonts w:eastAsia="Times"/>
              </w:rPr>
              <w:t>2025–26 target</w:t>
            </w:r>
          </w:p>
        </w:tc>
        <w:tc>
          <w:tcPr>
            <w:tcW w:w="993" w:type="dxa"/>
            <w:hideMark/>
          </w:tcPr>
          <w:p w14:paraId="5B2A5D54" w14:textId="77777777" w:rsidR="00602F54" w:rsidRPr="00F45F11" w:rsidRDefault="00602F54" w:rsidP="009817E6">
            <w:pPr>
              <w:pStyle w:val="ARtablecolheadright"/>
              <w:rPr>
                <w:rFonts w:eastAsia="Times"/>
              </w:rPr>
            </w:pPr>
            <w:r w:rsidRPr="00F45F11">
              <w:rPr>
                <w:rFonts w:eastAsia="Times"/>
              </w:rPr>
              <w:t>2025–26 actual</w:t>
            </w:r>
          </w:p>
        </w:tc>
        <w:tc>
          <w:tcPr>
            <w:tcW w:w="1020" w:type="dxa"/>
            <w:hideMark/>
          </w:tcPr>
          <w:p w14:paraId="034B47E5" w14:textId="77777777" w:rsidR="00602F54" w:rsidRPr="00F45F11" w:rsidRDefault="00602F54" w:rsidP="009817E6">
            <w:pPr>
              <w:pStyle w:val="ARtablecolheadright"/>
              <w:rPr>
                <w:rFonts w:eastAsia="Times"/>
              </w:rPr>
            </w:pPr>
            <w:r w:rsidRPr="00F45F11">
              <w:rPr>
                <w:rFonts w:eastAsia="Times"/>
              </w:rPr>
              <w:t xml:space="preserve">Variation </w:t>
            </w:r>
          </w:p>
        </w:tc>
        <w:tc>
          <w:tcPr>
            <w:tcW w:w="844" w:type="dxa"/>
            <w:hideMark/>
          </w:tcPr>
          <w:p w14:paraId="7A11D0A3" w14:textId="77777777" w:rsidR="00602F54" w:rsidRPr="00F45F11" w:rsidRDefault="00602F54" w:rsidP="009817E6">
            <w:pPr>
              <w:pStyle w:val="ARtablecolheadright"/>
              <w:rPr>
                <w:rFonts w:eastAsia="Times"/>
              </w:rPr>
            </w:pPr>
            <w:r w:rsidRPr="00F45F11">
              <w:rPr>
                <w:rFonts w:eastAsia="Times"/>
              </w:rPr>
              <w:t>Result</w:t>
            </w:r>
          </w:p>
        </w:tc>
      </w:tr>
      <w:tr w:rsidR="000D1FC6" w:rsidRPr="00F45F11" w14:paraId="283D0EAC" w14:textId="77777777" w:rsidTr="00003010">
        <w:tc>
          <w:tcPr>
            <w:tcW w:w="4815" w:type="dxa"/>
          </w:tcPr>
          <w:p w14:paraId="5C70561F" w14:textId="46EE8998" w:rsidR="000D1FC6" w:rsidRPr="00F45F11" w:rsidRDefault="00003010" w:rsidP="00003010">
            <w:pPr>
              <w:pStyle w:val="ARtablegreybold"/>
              <w:rPr>
                <w:rFonts w:eastAsia="Times"/>
              </w:rPr>
            </w:pPr>
            <w:r w:rsidRPr="00F45F11">
              <w:t>Quantity</w:t>
            </w:r>
          </w:p>
        </w:tc>
        <w:tc>
          <w:tcPr>
            <w:tcW w:w="992" w:type="dxa"/>
          </w:tcPr>
          <w:p w14:paraId="5CA4D573" w14:textId="77777777" w:rsidR="000D1FC6" w:rsidRPr="00F45F11" w:rsidRDefault="000D1FC6" w:rsidP="009817E6">
            <w:pPr>
              <w:pStyle w:val="ARTabletext"/>
              <w:rPr>
                <w:rFonts w:eastAsia="Times"/>
                <w:lang w:eastAsia="en-AU"/>
              </w:rPr>
            </w:pPr>
          </w:p>
        </w:tc>
        <w:tc>
          <w:tcPr>
            <w:tcW w:w="992" w:type="dxa"/>
          </w:tcPr>
          <w:p w14:paraId="3A9D9616" w14:textId="77777777" w:rsidR="000D1FC6" w:rsidRPr="00F45F11" w:rsidRDefault="000D1FC6" w:rsidP="009817E6">
            <w:pPr>
              <w:pStyle w:val="ARtabletextright"/>
              <w:rPr>
                <w:rFonts w:eastAsia="Times"/>
                <w:lang w:eastAsia="en-AU"/>
              </w:rPr>
            </w:pPr>
          </w:p>
        </w:tc>
        <w:tc>
          <w:tcPr>
            <w:tcW w:w="993" w:type="dxa"/>
          </w:tcPr>
          <w:p w14:paraId="4A93A6C1" w14:textId="77777777" w:rsidR="000D1FC6" w:rsidRPr="004E6C67" w:rsidRDefault="000D1FC6" w:rsidP="009817E6">
            <w:pPr>
              <w:pStyle w:val="ARtabletextright"/>
              <w:rPr>
                <w:rFonts w:eastAsia="Times"/>
                <w:lang w:eastAsia="en-AU"/>
              </w:rPr>
            </w:pPr>
          </w:p>
        </w:tc>
        <w:tc>
          <w:tcPr>
            <w:tcW w:w="1020" w:type="dxa"/>
          </w:tcPr>
          <w:p w14:paraId="1D710F02" w14:textId="77777777" w:rsidR="000D1FC6" w:rsidRPr="00F45F11" w:rsidRDefault="000D1FC6" w:rsidP="009817E6">
            <w:pPr>
              <w:pStyle w:val="ARtabletextright"/>
              <w:rPr>
                <w:rFonts w:eastAsia="Times"/>
                <w:lang w:eastAsia="en-AU"/>
              </w:rPr>
            </w:pPr>
          </w:p>
        </w:tc>
        <w:tc>
          <w:tcPr>
            <w:tcW w:w="844" w:type="dxa"/>
          </w:tcPr>
          <w:p w14:paraId="155991DA" w14:textId="77777777" w:rsidR="000D1FC6" w:rsidRPr="00F45F11" w:rsidRDefault="000D1FC6" w:rsidP="009817E6">
            <w:pPr>
              <w:pStyle w:val="ARtableperformancesymbol"/>
              <w:rPr>
                <w:rFonts w:eastAsia="Wingdings"/>
              </w:rPr>
            </w:pPr>
          </w:p>
        </w:tc>
      </w:tr>
      <w:tr w:rsidR="00602F54" w:rsidRPr="00F45F11" w14:paraId="4C488EC8" w14:textId="77777777" w:rsidTr="00003010">
        <w:tc>
          <w:tcPr>
            <w:tcW w:w="4815" w:type="dxa"/>
            <w:hideMark/>
          </w:tcPr>
          <w:p w14:paraId="3B9F6338" w14:textId="77777777" w:rsidR="00602F54" w:rsidRDefault="00602F54" w:rsidP="009817E6">
            <w:pPr>
              <w:pStyle w:val="ARTabletext"/>
              <w:rPr>
                <w:rFonts w:eastAsia="Times"/>
                <w:lang w:eastAsia="en-AU"/>
              </w:rPr>
            </w:pPr>
            <w:r w:rsidRPr="00F45F11">
              <w:rPr>
                <w:rFonts w:eastAsia="Times"/>
                <w:lang w:eastAsia="en-AU"/>
              </w:rPr>
              <w:t>Number of calls responded to by the statewide crisis helpline for victim survivors of family violence</w:t>
            </w:r>
          </w:p>
          <w:p w14:paraId="5AE89288" w14:textId="15A972AD" w:rsidR="00003010" w:rsidRPr="00F45F11" w:rsidRDefault="00003010" w:rsidP="00003010">
            <w:pPr>
              <w:pStyle w:val="ARtablenoteindent"/>
            </w:pPr>
            <w:r w:rsidRPr="004E6C67">
              <w:t>The 2025–26 outcome is higher than the target due to an increase in demand and follows intensive work done with Safe Steps to drive down call waiting times and abandoned calls</w:t>
            </w:r>
            <w:r>
              <w:t>.</w:t>
            </w:r>
          </w:p>
        </w:tc>
        <w:tc>
          <w:tcPr>
            <w:tcW w:w="992" w:type="dxa"/>
            <w:hideMark/>
          </w:tcPr>
          <w:p w14:paraId="274A5E6C" w14:textId="77777777" w:rsidR="00602F54" w:rsidRPr="00F45F11" w:rsidRDefault="00602F54" w:rsidP="009817E6">
            <w:pPr>
              <w:pStyle w:val="ARTabletext"/>
              <w:rPr>
                <w:rFonts w:eastAsia="Times"/>
                <w:lang w:eastAsia="en-AU"/>
              </w:rPr>
            </w:pPr>
            <w:r w:rsidRPr="00F45F11">
              <w:rPr>
                <w:rFonts w:eastAsia="Times"/>
                <w:lang w:eastAsia="en-AU"/>
              </w:rPr>
              <w:t>number</w:t>
            </w:r>
          </w:p>
        </w:tc>
        <w:tc>
          <w:tcPr>
            <w:tcW w:w="992" w:type="dxa"/>
            <w:hideMark/>
          </w:tcPr>
          <w:p w14:paraId="6B15281A" w14:textId="77777777" w:rsidR="00602F54" w:rsidRPr="00F45F11" w:rsidRDefault="00602F54" w:rsidP="009817E6">
            <w:pPr>
              <w:pStyle w:val="ARtabletextright"/>
              <w:rPr>
                <w:rFonts w:eastAsia="Times"/>
                <w:lang w:eastAsia="en-AU"/>
              </w:rPr>
            </w:pPr>
            <w:r w:rsidRPr="00F45F11">
              <w:rPr>
                <w:rFonts w:eastAsia="Times"/>
                <w:lang w:eastAsia="en-AU"/>
              </w:rPr>
              <w:t>60,000</w:t>
            </w:r>
          </w:p>
        </w:tc>
        <w:tc>
          <w:tcPr>
            <w:tcW w:w="993" w:type="dxa"/>
            <w:hideMark/>
          </w:tcPr>
          <w:p w14:paraId="25B0699A" w14:textId="77777777" w:rsidR="00602F54" w:rsidRPr="004E6C67" w:rsidRDefault="00602F54" w:rsidP="009817E6">
            <w:pPr>
              <w:pStyle w:val="ARtabletextright"/>
              <w:rPr>
                <w:rFonts w:eastAsia="Times"/>
                <w:lang w:eastAsia="en-AU"/>
              </w:rPr>
            </w:pPr>
            <w:r w:rsidRPr="004E6C67">
              <w:rPr>
                <w:rFonts w:eastAsia="Times"/>
                <w:lang w:eastAsia="en-AU"/>
              </w:rPr>
              <w:t>78,423</w:t>
            </w:r>
          </w:p>
        </w:tc>
        <w:tc>
          <w:tcPr>
            <w:tcW w:w="1020" w:type="dxa"/>
          </w:tcPr>
          <w:p w14:paraId="7BD01208" w14:textId="77777777" w:rsidR="00602F54" w:rsidRPr="00F45F11" w:rsidRDefault="00602F54" w:rsidP="009817E6">
            <w:pPr>
              <w:pStyle w:val="ARtabletextright"/>
              <w:rPr>
                <w:rFonts w:eastAsia="Times"/>
                <w:lang w:eastAsia="en-AU"/>
              </w:rPr>
            </w:pPr>
            <w:r w:rsidRPr="00F45F11">
              <w:rPr>
                <w:rFonts w:eastAsia="Times"/>
                <w:lang w:eastAsia="en-AU"/>
              </w:rPr>
              <w:t>30.7%</w:t>
            </w:r>
          </w:p>
        </w:tc>
        <w:tc>
          <w:tcPr>
            <w:tcW w:w="844" w:type="dxa"/>
            <w:hideMark/>
          </w:tcPr>
          <w:p w14:paraId="7850BBFB" w14:textId="77777777" w:rsidR="00602F54" w:rsidRPr="00F45F11" w:rsidRDefault="00602F54" w:rsidP="009817E6">
            <w:pPr>
              <w:pStyle w:val="ARtableperformancesymbol"/>
              <w:rPr>
                <w:rFonts w:eastAsia="MS PGothic" w:cs="Arial" w:hint="eastAsia"/>
                <w:highlight w:val="cyan"/>
              </w:rPr>
            </w:pPr>
            <w:r w:rsidRPr="00F45F11">
              <w:rPr>
                <w:rFonts w:eastAsia="Wingdings"/>
              </w:rPr>
              <w:t></w:t>
            </w:r>
          </w:p>
        </w:tc>
      </w:tr>
      <w:tr w:rsidR="00602F54" w:rsidRPr="00F45F11" w14:paraId="75896E3A" w14:textId="77777777" w:rsidTr="00003010">
        <w:tc>
          <w:tcPr>
            <w:tcW w:w="4815" w:type="dxa"/>
            <w:hideMark/>
          </w:tcPr>
          <w:p w14:paraId="025CABCE" w14:textId="77777777" w:rsidR="00602F54" w:rsidRDefault="00602F54" w:rsidP="009817E6">
            <w:pPr>
              <w:pStyle w:val="ARTabletext"/>
              <w:keepNext/>
              <w:rPr>
                <w:rFonts w:eastAsia="Times"/>
                <w:lang w:eastAsia="en-AU"/>
              </w:rPr>
            </w:pPr>
            <w:r w:rsidRPr="00F45F11">
              <w:rPr>
                <w:rFonts w:eastAsia="Times"/>
                <w:lang w:eastAsia="en-AU"/>
              </w:rPr>
              <w:t>Number of calls responded to by the statewide telephone helpline for men regarding family violence</w:t>
            </w:r>
          </w:p>
          <w:p w14:paraId="32AEC1EA" w14:textId="05C7DBE5" w:rsidR="00003010" w:rsidRPr="00F45F11" w:rsidRDefault="00003010" w:rsidP="00003010">
            <w:pPr>
              <w:pStyle w:val="ARtablenoteindent"/>
            </w:pPr>
            <w:r w:rsidRPr="004E6C67">
              <w:t>The 2025–26 outcome is higher than the 2025–26 target due to a higher than anticipated level of calls.</w:t>
            </w:r>
          </w:p>
        </w:tc>
        <w:tc>
          <w:tcPr>
            <w:tcW w:w="992" w:type="dxa"/>
            <w:hideMark/>
          </w:tcPr>
          <w:p w14:paraId="7551FC88" w14:textId="77777777" w:rsidR="00602F54" w:rsidRPr="00F45F11" w:rsidRDefault="00602F54" w:rsidP="009817E6">
            <w:pPr>
              <w:pStyle w:val="ARTabletext"/>
              <w:rPr>
                <w:rFonts w:eastAsia="Times"/>
                <w:lang w:eastAsia="en-AU"/>
              </w:rPr>
            </w:pPr>
            <w:r w:rsidRPr="00F45F11">
              <w:rPr>
                <w:rFonts w:eastAsia="Times"/>
                <w:lang w:eastAsia="en-AU"/>
              </w:rPr>
              <w:t>number</w:t>
            </w:r>
          </w:p>
        </w:tc>
        <w:tc>
          <w:tcPr>
            <w:tcW w:w="992" w:type="dxa"/>
            <w:hideMark/>
          </w:tcPr>
          <w:p w14:paraId="6551D508" w14:textId="77777777" w:rsidR="00602F54" w:rsidRPr="00F45F11" w:rsidRDefault="00602F54" w:rsidP="009817E6">
            <w:pPr>
              <w:pStyle w:val="ARtabletextright"/>
              <w:rPr>
                <w:rFonts w:eastAsia="Times"/>
                <w:lang w:eastAsia="en-AU"/>
              </w:rPr>
            </w:pPr>
            <w:r w:rsidRPr="00F45F11">
              <w:rPr>
                <w:rFonts w:eastAsia="Times"/>
                <w:lang w:eastAsia="en-AU"/>
              </w:rPr>
              <w:t>6,500</w:t>
            </w:r>
          </w:p>
        </w:tc>
        <w:tc>
          <w:tcPr>
            <w:tcW w:w="993" w:type="dxa"/>
            <w:hideMark/>
          </w:tcPr>
          <w:p w14:paraId="0F6675D7" w14:textId="77777777" w:rsidR="00602F54" w:rsidRPr="004E6C67" w:rsidRDefault="00602F54" w:rsidP="009817E6">
            <w:pPr>
              <w:pStyle w:val="ARtabletextright"/>
              <w:rPr>
                <w:rFonts w:eastAsia="Times"/>
                <w:lang w:eastAsia="en-AU"/>
              </w:rPr>
            </w:pPr>
            <w:r w:rsidRPr="004E6C67">
              <w:rPr>
                <w:rFonts w:eastAsia="Times"/>
                <w:lang w:eastAsia="en-AU"/>
              </w:rPr>
              <w:t>7,649</w:t>
            </w:r>
          </w:p>
        </w:tc>
        <w:tc>
          <w:tcPr>
            <w:tcW w:w="1020" w:type="dxa"/>
          </w:tcPr>
          <w:p w14:paraId="68C37C17" w14:textId="77777777" w:rsidR="00602F54" w:rsidRPr="00F45F11" w:rsidRDefault="00602F54" w:rsidP="009817E6">
            <w:pPr>
              <w:pStyle w:val="ARtabletextright"/>
              <w:rPr>
                <w:rFonts w:eastAsia="Times"/>
                <w:lang w:eastAsia="en-AU"/>
              </w:rPr>
            </w:pPr>
            <w:r w:rsidRPr="00F45F11">
              <w:rPr>
                <w:rFonts w:eastAsia="Times"/>
                <w:lang w:eastAsia="en-AU"/>
              </w:rPr>
              <w:t>17.7%</w:t>
            </w:r>
          </w:p>
        </w:tc>
        <w:tc>
          <w:tcPr>
            <w:tcW w:w="844" w:type="dxa"/>
            <w:hideMark/>
          </w:tcPr>
          <w:p w14:paraId="2E7C6708" w14:textId="77777777" w:rsidR="00602F54" w:rsidRPr="00F45F11" w:rsidRDefault="00602F54" w:rsidP="009817E6">
            <w:pPr>
              <w:pStyle w:val="ARtableperformancesymbol"/>
              <w:rPr>
                <w:rFonts w:eastAsia="MS PGothic" w:cs="Arial" w:hint="eastAsia"/>
                <w:highlight w:val="cyan"/>
              </w:rPr>
            </w:pPr>
            <w:r w:rsidRPr="00F45F11">
              <w:rPr>
                <w:rFonts w:eastAsia="Wingdings"/>
              </w:rPr>
              <w:t></w:t>
            </w:r>
          </w:p>
        </w:tc>
      </w:tr>
      <w:tr w:rsidR="00602F54" w:rsidRPr="00F45F11" w14:paraId="3E9DF75F" w14:textId="77777777" w:rsidTr="00003010">
        <w:trPr>
          <w:trHeight w:val="518"/>
        </w:trPr>
        <w:tc>
          <w:tcPr>
            <w:tcW w:w="4815" w:type="dxa"/>
          </w:tcPr>
          <w:p w14:paraId="15567ABE" w14:textId="77777777" w:rsidR="00602F54" w:rsidRDefault="00602F54" w:rsidP="009817E6">
            <w:pPr>
              <w:pStyle w:val="ARTabletext"/>
              <w:rPr>
                <w:rFonts w:eastAsia="Times"/>
                <w:lang w:eastAsia="en-AU"/>
              </w:rPr>
            </w:pPr>
            <w:r w:rsidRPr="00F45F11">
              <w:rPr>
                <w:rFonts w:eastAsia="Times"/>
                <w:lang w:eastAsia="en-AU"/>
              </w:rPr>
              <w:t>Number of case management responses provided to perpetrators of family violence including those that require individualised support</w:t>
            </w:r>
          </w:p>
          <w:p w14:paraId="0AFDE074" w14:textId="0CC7954D" w:rsidR="00003010" w:rsidRPr="00F45F11" w:rsidRDefault="00003010" w:rsidP="00003010">
            <w:pPr>
              <w:pStyle w:val="ARtablenoteindent"/>
            </w:pPr>
            <w:r w:rsidRPr="004E6C67">
              <w:t>The 2025–26 outcome is higher than the target, due to the target not reflecting all in-scope funding.</w:t>
            </w:r>
          </w:p>
        </w:tc>
        <w:tc>
          <w:tcPr>
            <w:tcW w:w="992" w:type="dxa"/>
          </w:tcPr>
          <w:p w14:paraId="48987CCF" w14:textId="77777777" w:rsidR="00602F54" w:rsidRPr="00F45F11" w:rsidRDefault="00602F54" w:rsidP="009817E6">
            <w:pPr>
              <w:pStyle w:val="ARTabletext"/>
              <w:rPr>
                <w:rFonts w:eastAsia="Times"/>
                <w:lang w:eastAsia="en-AU"/>
              </w:rPr>
            </w:pPr>
            <w:r w:rsidRPr="00F45F11">
              <w:rPr>
                <w:rFonts w:eastAsia="Times"/>
                <w:lang w:eastAsia="en-AU"/>
              </w:rPr>
              <w:t>number</w:t>
            </w:r>
          </w:p>
        </w:tc>
        <w:tc>
          <w:tcPr>
            <w:tcW w:w="992" w:type="dxa"/>
          </w:tcPr>
          <w:p w14:paraId="1CF8F3A8" w14:textId="77777777" w:rsidR="00602F54" w:rsidRPr="00F45F11" w:rsidRDefault="00602F54" w:rsidP="009817E6">
            <w:pPr>
              <w:pStyle w:val="ARtabletextright"/>
              <w:rPr>
                <w:rFonts w:eastAsia="Times"/>
                <w:lang w:eastAsia="en-AU"/>
              </w:rPr>
            </w:pPr>
            <w:r w:rsidRPr="00F45F11">
              <w:rPr>
                <w:rFonts w:eastAsia="Times"/>
                <w:lang w:eastAsia="en-AU"/>
              </w:rPr>
              <w:t>2,500</w:t>
            </w:r>
          </w:p>
        </w:tc>
        <w:tc>
          <w:tcPr>
            <w:tcW w:w="993" w:type="dxa"/>
          </w:tcPr>
          <w:p w14:paraId="15A8416F" w14:textId="77777777" w:rsidR="00602F54" w:rsidRPr="004E6C67" w:rsidRDefault="00602F54" w:rsidP="009817E6">
            <w:pPr>
              <w:pStyle w:val="ARtabletextright"/>
              <w:rPr>
                <w:rFonts w:eastAsia="Times"/>
                <w:lang w:eastAsia="en-AU"/>
              </w:rPr>
            </w:pPr>
            <w:r w:rsidRPr="004E6C67">
              <w:rPr>
                <w:rFonts w:eastAsia="Times"/>
                <w:lang w:eastAsia="en-AU"/>
              </w:rPr>
              <w:t>3,606</w:t>
            </w:r>
          </w:p>
        </w:tc>
        <w:tc>
          <w:tcPr>
            <w:tcW w:w="1020" w:type="dxa"/>
          </w:tcPr>
          <w:p w14:paraId="72E30B26" w14:textId="77777777" w:rsidR="00602F54" w:rsidRPr="00F45F11" w:rsidRDefault="00602F54" w:rsidP="009817E6">
            <w:pPr>
              <w:pStyle w:val="ARtabletextright"/>
              <w:rPr>
                <w:rFonts w:eastAsia="Times"/>
                <w:lang w:eastAsia="en-AU"/>
              </w:rPr>
            </w:pPr>
            <w:r w:rsidRPr="00F45F11">
              <w:rPr>
                <w:rFonts w:eastAsia="Times"/>
                <w:lang w:eastAsia="en-AU"/>
              </w:rPr>
              <w:t>44.2%</w:t>
            </w:r>
          </w:p>
        </w:tc>
        <w:tc>
          <w:tcPr>
            <w:tcW w:w="844" w:type="dxa"/>
          </w:tcPr>
          <w:p w14:paraId="0B2FAA1E" w14:textId="77777777" w:rsidR="00602F54" w:rsidRPr="00F45F11" w:rsidRDefault="00602F54" w:rsidP="009817E6">
            <w:pPr>
              <w:pStyle w:val="ARtableperformancesymbol"/>
              <w:rPr>
                <w:rFonts w:eastAsia="Wingdings"/>
                <w:highlight w:val="cyan"/>
              </w:rPr>
            </w:pPr>
            <w:r w:rsidRPr="00F45F11">
              <w:rPr>
                <w:rFonts w:eastAsia="Wingdings"/>
              </w:rPr>
              <w:t></w:t>
            </w:r>
          </w:p>
        </w:tc>
      </w:tr>
      <w:tr w:rsidR="00602F54" w:rsidRPr="00F45F11" w14:paraId="4CCF9A91" w14:textId="77777777" w:rsidTr="00003010">
        <w:tc>
          <w:tcPr>
            <w:tcW w:w="4815" w:type="dxa"/>
          </w:tcPr>
          <w:p w14:paraId="70F9A2E0" w14:textId="77777777" w:rsidR="00602F54" w:rsidRDefault="00602F54" w:rsidP="009817E6">
            <w:pPr>
              <w:pStyle w:val="ARTabletext"/>
              <w:rPr>
                <w:rFonts w:eastAsia="Times"/>
                <w:lang w:eastAsia="en-AU"/>
              </w:rPr>
            </w:pPr>
            <w:r w:rsidRPr="00F45F11">
              <w:rPr>
                <w:rFonts w:eastAsia="Times"/>
                <w:lang w:eastAsia="en-AU"/>
              </w:rPr>
              <w:t>Number of cases of support provided to adolescents using violence in the home</w:t>
            </w:r>
          </w:p>
          <w:p w14:paraId="653A8995" w14:textId="73782DCE" w:rsidR="00003010" w:rsidRPr="00F45F11" w:rsidRDefault="00003010" w:rsidP="00003010">
            <w:pPr>
              <w:pStyle w:val="ARtablenoteindent"/>
            </w:pPr>
            <w:r w:rsidRPr="004E6C67">
              <w:t>The 2025–26 outcome is higher than the target due to increased demand for the service. This is due to increasing community and</w:t>
            </w:r>
            <w:r>
              <w:t> </w:t>
            </w:r>
            <w:r w:rsidRPr="004E6C67">
              <w:t>public awareness.</w:t>
            </w:r>
          </w:p>
        </w:tc>
        <w:tc>
          <w:tcPr>
            <w:tcW w:w="992" w:type="dxa"/>
          </w:tcPr>
          <w:p w14:paraId="11BD17D6" w14:textId="77777777" w:rsidR="00602F54" w:rsidRPr="00F45F11" w:rsidRDefault="00602F54" w:rsidP="009817E6">
            <w:pPr>
              <w:pStyle w:val="ARTabletext"/>
              <w:rPr>
                <w:rFonts w:eastAsia="Times"/>
                <w:lang w:eastAsia="en-AU"/>
              </w:rPr>
            </w:pPr>
            <w:r w:rsidRPr="00F45F11">
              <w:rPr>
                <w:rFonts w:eastAsia="Times"/>
                <w:lang w:eastAsia="en-AU"/>
              </w:rPr>
              <w:t>number</w:t>
            </w:r>
          </w:p>
        </w:tc>
        <w:tc>
          <w:tcPr>
            <w:tcW w:w="992" w:type="dxa"/>
          </w:tcPr>
          <w:p w14:paraId="1E482624" w14:textId="77777777" w:rsidR="00602F54" w:rsidRPr="00F45F11" w:rsidRDefault="00602F54" w:rsidP="009817E6">
            <w:pPr>
              <w:pStyle w:val="ARtabletextright"/>
              <w:rPr>
                <w:rFonts w:eastAsia="Times"/>
                <w:lang w:eastAsia="en-AU"/>
              </w:rPr>
            </w:pPr>
            <w:r w:rsidRPr="00F45F11">
              <w:rPr>
                <w:rFonts w:eastAsia="Times"/>
                <w:lang w:eastAsia="en-AU"/>
              </w:rPr>
              <w:t>1,040</w:t>
            </w:r>
          </w:p>
        </w:tc>
        <w:tc>
          <w:tcPr>
            <w:tcW w:w="993" w:type="dxa"/>
          </w:tcPr>
          <w:p w14:paraId="50EBEBCC" w14:textId="77777777" w:rsidR="00602F54" w:rsidRPr="004E6C67" w:rsidRDefault="00602F54" w:rsidP="009817E6">
            <w:pPr>
              <w:pStyle w:val="ARtabletextright"/>
              <w:rPr>
                <w:rFonts w:eastAsia="Times"/>
                <w:lang w:eastAsia="en-AU"/>
              </w:rPr>
            </w:pPr>
            <w:r w:rsidRPr="004E6C67">
              <w:rPr>
                <w:rFonts w:eastAsia="Times"/>
                <w:lang w:eastAsia="en-AU"/>
              </w:rPr>
              <w:t>1,139</w:t>
            </w:r>
          </w:p>
        </w:tc>
        <w:tc>
          <w:tcPr>
            <w:tcW w:w="1020" w:type="dxa"/>
          </w:tcPr>
          <w:p w14:paraId="05C1DE35" w14:textId="77777777" w:rsidR="00602F54" w:rsidRPr="00F45F11" w:rsidRDefault="00602F54" w:rsidP="009817E6">
            <w:pPr>
              <w:pStyle w:val="ARtabletextright"/>
              <w:rPr>
                <w:rFonts w:eastAsia="Times"/>
                <w:lang w:eastAsia="en-AU"/>
              </w:rPr>
            </w:pPr>
            <w:r w:rsidRPr="00F45F11">
              <w:rPr>
                <w:rFonts w:eastAsia="Times"/>
                <w:lang w:eastAsia="en-AU"/>
              </w:rPr>
              <w:t>9.5%</w:t>
            </w:r>
          </w:p>
        </w:tc>
        <w:tc>
          <w:tcPr>
            <w:tcW w:w="844" w:type="dxa"/>
          </w:tcPr>
          <w:p w14:paraId="79765CB6" w14:textId="77777777" w:rsidR="00602F54" w:rsidRPr="00F45F11" w:rsidRDefault="00602F54" w:rsidP="009817E6">
            <w:pPr>
              <w:pStyle w:val="ARtableperformancesymbol"/>
              <w:rPr>
                <w:rFonts w:eastAsia="Wingdings"/>
                <w:highlight w:val="cyan"/>
              </w:rPr>
            </w:pPr>
            <w:r w:rsidRPr="00F45F11">
              <w:rPr>
                <w:rFonts w:eastAsia="Wingdings"/>
              </w:rPr>
              <w:t></w:t>
            </w:r>
          </w:p>
        </w:tc>
      </w:tr>
      <w:tr w:rsidR="00602F54" w:rsidRPr="00F45F11" w14:paraId="50898363" w14:textId="77777777" w:rsidTr="00003010">
        <w:tc>
          <w:tcPr>
            <w:tcW w:w="4815" w:type="dxa"/>
          </w:tcPr>
          <w:p w14:paraId="772A501E" w14:textId="77777777" w:rsidR="00602F54" w:rsidRDefault="00602F54" w:rsidP="009817E6">
            <w:pPr>
              <w:pStyle w:val="ARTabletext"/>
              <w:rPr>
                <w:rFonts w:eastAsia="Times"/>
              </w:rPr>
            </w:pPr>
            <w:r w:rsidRPr="00F45F11">
              <w:rPr>
                <w:rFonts w:eastAsia="Times"/>
              </w:rPr>
              <w:t>Number of cases referred to Risk Assessment and Management Panels and managed by the coordinators</w:t>
            </w:r>
          </w:p>
          <w:p w14:paraId="322F4AB5" w14:textId="340BC54D" w:rsidR="00003010" w:rsidRPr="00F45F11" w:rsidRDefault="00003010" w:rsidP="00003010">
            <w:pPr>
              <w:pStyle w:val="ARtablenoteindent"/>
            </w:pPr>
            <w:r w:rsidRPr="00F45F11">
              <w:t>The 2025–26 outcome is higher than the 2025–26 target due to the improved specialist family violence system that has enabled proactive engagement of the Risk Assessment and Management Panel (RAMP) coordinators with the sector to manage risk.</w:t>
            </w:r>
          </w:p>
        </w:tc>
        <w:tc>
          <w:tcPr>
            <w:tcW w:w="992" w:type="dxa"/>
          </w:tcPr>
          <w:p w14:paraId="5B51D213" w14:textId="77777777" w:rsidR="00602F54" w:rsidRPr="00F45F11" w:rsidRDefault="00602F54" w:rsidP="009817E6">
            <w:pPr>
              <w:pStyle w:val="ARTabletext"/>
              <w:rPr>
                <w:rFonts w:eastAsia="Times"/>
              </w:rPr>
            </w:pPr>
            <w:r w:rsidRPr="00F45F11">
              <w:rPr>
                <w:rFonts w:eastAsia="Times"/>
              </w:rPr>
              <w:t>number</w:t>
            </w:r>
          </w:p>
        </w:tc>
        <w:tc>
          <w:tcPr>
            <w:tcW w:w="992" w:type="dxa"/>
          </w:tcPr>
          <w:p w14:paraId="6CF51850" w14:textId="77777777" w:rsidR="00602F54" w:rsidRPr="00F45F11" w:rsidRDefault="00602F54" w:rsidP="009817E6">
            <w:pPr>
              <w:pStyle w:val="ARtabletextright"/>
              <w:rPr>
                <w:rFonts w:eastAsia="Times"/>
                <w:lang w:eastAsia="en-AU"/>
              </w:rPr>
            </w:pPr>
            <w:r w:rsidRPr="00F45F11">
              <w:rPr>
                <w:rFonts w:eastAsia="Times"/>
                <w:lang w:eastAsia="en-AU"/>
              </w:rPr>
              <w:t>200</w:t>
            </w:r>
          </w:p>
        </w:tc>
        <w:tc>
          <w:tcPr>
            <w:tcW w:w="993" w:type="dxa"/>
          </w:tcPr>
          <w:p w14:paraId="11B2A71B" w14:textId="77777777" w:rsidR="00602F54" w:rsidRPr="00F45F11" w:rsidRDefault="00602F54" w:rsidP="009817E6">
            <w:pPr>
              <w:pStyle w:val="ARtabletextright"/>
              <w:rPr>
                <w:rFonts w:eastAsia="Times"/>
                <w:lang w:eastAsia="en-AU"/>
              </w:rPr>
            </w:pPr>
            <w:r w:rsidRPr="00F45F11">
              <w:rPr>
                <w:rFonts w:eastAsia="Times"/>
                <w:lang w:eastAsia="en-AU"/>
              </w:rPr>
              <w:t>231</w:t>
            </w:r>
          </w:p>
        </w:tc>
        <w:tc>
          <w:tcPr>
            <w:tcW w:w="1020" w:type="dxa"/>
          </w:tcPr>
          <w:p w14:paraId="0DC17BF9" w14:textId="77777777" w:rsidR="00602F54" w:rsidRPr="00F45F11" w:rsidRDefault="00602F54" w:rsidP="009817E6">
            <w:pPr>
              <w:pStyle w:val="ARtabletextright"/>
              <w:rPr>
                <w:rFonts w:eastAsia="Times"/>
                <w:lang w:eastAsia="en-AU"/>
              </w:rPr>
            </w:pPr>
            <w:r w:rsidRPr="00F45F11">
              <w:rPr>
                <w:rFonts w:eastAsia="Times"/>
                <w:lang w:eastAsia="en-AU"/>
              </w:rPr>
              <w:t>15.5%</w:t>
            </w:r>
          </w:p>
        </w:tc>
        <w:tc>
          <w:tcPr>
            <w:tcW w:w="844" w:type="dxa"/>
          </w:tcPr>
          <w:p w14:paraId="52BDA5AB" w14:textId="77777777" w:rsidR="00602F54" w:rsidRPr="00F45F11" w:rsidRDefault="00602F54" w:rsidP="009817E6">
            <w:pPr>
              <w:pStyle w:val="ARtableperformancesymbol"/>
              <w:rPr>
                <w:rFonts w:eastAsia="MS PGothic" w:cs="Arial" w:hint="eastAsia"/>
                <w:highlight w:val="cyan"/>
              </w:rPr>
            </w:pPr>
            <w:r w:rsidRPr="00F45F11">
              <w:rPr>
                <w:rFonts w:eastAsia="Wingdings"/>
              </w:rPr>
              <w:t></w:t>
            </w:r>
          </w:p>
        </w:tc>
      </w:tr>
      <w:tr w:rsidR="00602F54" w:rsidRPr="00F45F11" w14:paraId="59B201C7" w14:textId="77777777" w:rsidTr="00003010">
        <w:tc>
          <w:tcPr>
            <w:tcW w:w="4815" w:type="dxa"/>
            <w:hideMark/>
          </w:tcPr>
          <w:p w14:paraId="5228284D" w14:textId="77777777" w:rsidR="00602F54" w:rsidRDefault="00602F54" w:rsidP="009817E6">
            <w:pPr>
              <w:pStyle w:val="ARTabletext"/>
              <w:keepNext/>
              <w:rPr>
                <w:rFonts w:eastAsia="Times"/>
              </w:rPr>
            </w:pPr>
            <w:r w:rsidRPr="00F45F11">
              <w:rPr>
                <w:rFonts w:eastAsia="Times"/>
              </w:rPr>
              <w:t>Number of cases referred to and assisted by a Risk Assessment and Management Panel</w:t>
            </w:r>
          </w:p>
          <w:p w14:paraId="285CA482" w14:textId="58655338" w:rsidR="00003010" w:rsidRPr="00F45F11" w:rsidRDefault="00003010" w:rsidP="00003010">
            <w:pPr>
              <w:pStyle w:val="ARtablenoteindent"/>
            </w:pPr>
            <w:r w:rsidRPr="00F45F11">
              <w:t>The 2025–26 outcome is lower than the 2025–26 target due to an increased number of cases being referred to and effectively managed by the RAMP coordinators.</w:t>
            </w:r>
          </w:p>
        </w:tc>
        <w:tc>
          <w:tcPr>
            <w:tcW w:w="992" w:type="dxa"/>
            <w:hideMark/>
          </w:tcPr>
          <w:p w14:paraId="051FDDD5" w14:textId="77777777" w:rsidR="00602F54" w:rsidRPr="00F45F11" w:rsidRDefault="00602F54" w:rsidP="009817E6">
            <w:pPr>
              <w:pStyle w:val="ARTabletext"/>
            </w:pPr>
            <w:r w:rsidRPr="00F45F11">
              <w:t>number</w:t>
            </w:r>
          </w:p>
        </w:tc>
        <w:tc>
          <w:tcPr>
            <w:tcW w:w="992" w:type="dxa"/>
            <w:hideMark/>
          </w:tcPr>
          <w:p w14:paraId="328DD63F" w14:textId="77777777" w:rsidR="00602F54" w:rsidRPr="00F45F11" w:rsidRDefault="00602F54" w:rsidP="009817E6">
            <w:pPr>
              <w:pStyle w:val="ARtabletextright"/>
              <w:rPr>
                <w:rFonts w:eastAsia="Times"/>
                <w:lang w:eastAsia="en-AU"/>
              </w:rPr>
            </w:pPr>
            <w:r w:rsidRPr="00F45F11">
              <w:rPr>
                <w:rFonts w:eastAsia="Times"/>
                <w:lang w:eastAsia="en-AU"/>
              </w:rPr>
              <w:t>450</w:t>
            </w:r>
          </w:p>
        </w:tc>
        <w:tc>
          <w:tcPr>
            <w:tcW w:w="993" w:type="dxa"/>
            <w:hideMark/>
          </w:tcPr>
          <w:p w14:paraId="06610CA0" w14:textId="77777777" w:rsidR="00602F54" w:rsidRPr="00F45F11" w:rsidRDefault="00602F54" w:rsidP="009817E6">
            <w:pPr>
              <w:pStyle w:val="ARtabletextright"/>
              <w:rPr>
                <w:rFonts w:eastAsia="Times"/>
                <w:lang w:eastAsia="en-AU"/>
              </w:rPr>
            </w:pPr>
            <w:r w:rsidRPr="00F45F11">
              <w:rPr>
                <w:rFonts w:eastAsia="Times"/>
                <w:lang w:eastAsia="en-AU"/>
              </w:rPr>
              <w:t>393</w:t>
            </w:r>
          </w:p>
        </w:tc>
        <w:tc>
          <w:tcPr>
            <w:tcW w:w="1020" w:type="dxa"/>
          </w:tcPr>
          <w:p w14:paraId="542E1284" w14:textId="77777777" w:rsidR="00602F54" w:rsidRPr="00F45F11" w:rsidRDefault="00602F54" w:rsidP="009817E6">
            <w:pPr>
              <w:pStyle w:val="ARtabletextright"/>
              <w:rPr>
                <w:rFonts w:eastAsia="Times"/>
                <w:lang w:eastAsia="en-AU"/>
              </w:rPr>
            </w:pPr>
            <w:r w:rsidRPr="00F45F11">
              <w:rPr>
                <w:rFonts w:eastAsia="Times"/>
                <w:lang w:eastAsia="en-AU"/>
              </w:rPr>
              <w:t>-12.7%</w:t>
            </w:r>
          </w:p>
        </w:tc>
        <w:tc>
          <w:tcPr>
            <w:tcW w:w="844" w:type="dxa"/>
            <w:hideMark/>
          </w:tcPr>
          <w:p w14:paraId="06893B3B" w14:textId="77777777" w:rsidR="00602F54" w:rsidRPr="00F45F11" w:rsidRDefault="00602F54" w:rsidP="009817E6">
            <w:pPr>
              <w:pStyle w:val="ARtableperformancesymbol"/>
              <w:rPr>
                <w:rFonts w:eastAsia="MS PGothic" w:cs="Arial" w:hint="eastAsia"/>
              </w:rPr>
            </w:pPr>
            <w:r w:rsidRPr="00F45F11">
              <w:rPr>
                <w:rFonts w:eastAsia="Wingdings"/>
              </w:rPr>
              <w:t></w:t>
            </w:r>
          </w:p>
        </w:tc>
      </w:tr>
      <w:tr w:rsidR="00602F54" w:rsidRPr="00F45F11" w14:paraId="6851915C" w14:textId="77777777" w:rsidTr="00003010">
        <w:tc>
          <w:tcPr>
            <w:tcW w:w="4815" w:type="dxa"/>
            <w:hideMark/>
          </w:tcPr>
          <w:p w14:paraId="7EA949DD" w14:textId="77777777" w:rsidR="00602F54" w:rsidRDefault="00602F54" w:rsidP="009817E6">
            <w:pPr>
              <w:pStyle w:val="ARTabletext"/>
              <w:rPr>
                <w:rFonts w:eastAsia="Times"/>
                <w:lang w:eastAsia="en-AU"/>
              </w:rPr>
            </w:pPr>
            <w:r w:rsidRPr="00F45F11">
              <w:rPr>
                <w:rFonts w:eastAsia="Times"/>
                <w:lang w:eastAsia="en-AU"/>
              </w:rPr>
              <w:t>Number of children who receive a Sexually Abusive Behaviours Treatment Service response</w:t>
            </w:r>
          </w:p>
          <w:p w14:paraId="633D0A71" w14:textId="3F83AE6D" w:rsidR="00003010" w:rsidRPr="00F45F11" w:rsidRDefault="00003010" w:rsidP="00003010">
            <w:pPr>
              <w:pStyle w:val="ARtablenoteindent"/>
            </w:pPr>
            <w:r w:rsidRPr="004E6C67">
              <w:t>The 2025–26 outcome is lower than the 2025–26 target due to complexities of working with children and young people who display harmful sexual behaviours and their families. Where lengthy engagement is required, annual capacity to commence cases is reduced, and this is reflected in the 2025–26 outcome.</w:t>
            </w:r>
          </w:p>
        </w:tc>
        <w:tc>
          <w:tcPr>
            <w:tcW w:w="992" w:type="dxa"/>
            <w:hideMark/>
          </w:tcPr>
          <w:p w14:paraId="37C66AAA" w14:textId="77777777" w:rsidR="00602F54" w:rsidRPr="00F45F11" w:rsidRDefault="00602F54" w:rsidP="009817E6">
            <w:pPr>
              <w:pStyle w:val="ARTabletext"/>
              <w:rPr>
                <w:rFonts w:eastAsia="Times"/>
                <w:lang w:eastAsia="en-AU"/>
              </w:rPr>
            </w:pPr>
            <w:r w:rsidRPr="00F45F11">
              <w:rPr>
                <w:rFonts w:eastAsia="Times"/>
                <w:lang w:eastAsia="en-AU"/>
              </w:rPr>
              <w:t>number</w:t>
            </w:r>
          </w:p>
        </w:tc>
        <w:tc>
          <w:tcPr>
            <w:tcW w:w="992" w:type="dxa"/>
            <w:hideMark/>
          </w:tcPr>
          <w:p w14:paraId="51F6DEE3" w14:textId="77777777" w:rsidR="00602F54" w:rsidRPr="00F45F11" w:rsidRDefault="00602F54" w:rsidP="009817E6">
            <w:pPr>
              <w:pStyle w:val="ARtabletextright"/>
            </w:pPr>
            <w:r w:rsidRPr="00F45F11">
              <w:t>1,220</w:t>
            </w:r>
          </w:p>
        </w:tc>
        <w:tc>
          <w:tcPr>
            <w:tcW w:w="993" w:type="dxa"/>
            <w:hideMark/>
          </w:tcPr>
          <w:p w14:paraId="06D19039" w14:textId="77777777" w:rsidR="00602F54" w:rsidRPr="004E6C67" w:rsidRDefault="00602F54" w:rsidP="009817E6">
            <w:pPr>
              <w:pStyle w:val="ARtabletextright"/>
            </w:pPr>
            <w:r w:rsidRPr="004E6C67">
              <w:t>986</w:t>
            </w:r>
          </w:p>
        </w:tc>
        <w:tc>
          <w:tcPr>
            <w:tcW w:w="1020" w:type="dxa"/>
          </w:tcPr>
          <w:p w14:paraId="30968172" w14:textId="77777777" w:rsidR="00602F54" w:rsidRPr="00F45F11" w:rsidRDefault="00602F54" w:rsidP="009817E6">
            <w:pPr>
              <w:pStyle w:val="ARtabletextright"/>
            </w:pPr>
            <w:r w:rsidRPr="00F45F11">
              <w:t>-19.2%</w:t>
            </w:r>
          </w:p>
        </w:tc>
        <w:tc>
          <w:tcPr>
            <w:tcW w:w="844" w:type="dxa"/>
            <w:hideMark/>
          </w:tcPr>
          <w:p w14:paraId="18F0C8BC" w14:textId="77777777" w:rsidR="00602F54" w:rsidRPr="00F45F11" w:rsidRDefault="00602F54" w:rsidP="009817E6">
            <w:pPr>
              <w:pStyle w:val="ARtableperformancesymbol"/>
              <w:rPr>
                <w:rFonts w:eastAsia="MS PGothic" w:cs="Arial" w:hint="eastAsia"/>
              </w:rPr>
            </w:pPr>
            <w:r w:rsidRPr="00F45F11">
              <w:rPr>
                <w:rFonts w:eastAsia="Wingdings"/>
              </w:rPr>
              <w:t></w:t>
            </w:r>
          </w:p>
        </w:tc>
      </w:tr>
      <w:tr w:rsidR="00602F54" w:rsidRPr="00F45F11" w14:paraId="34736D36" w14:textId="77777777" w:rsidTr="00003010">
        <w:tc>
          <w:tcPr>
            <w:tcW w:w="4815" w:type="dxa"/>
            <w:hideMark/>
          </w:tcPr>
          <w:p w14:paraId="5EF14791" w14:textId="77777777" w:rsidR="00602F54" w:rsidRDefault="00602F54" w:rsidP="009817E6">
            <w:pPr>
              <w:pStyle w:val="ARTabletext"/>
              <w:rPr>
                <w:rFonts w:eastAsia="Times"/>
                <w:lang w:eastAsia="en-AU"/>
              </w:rPr>
            </w:pPr>
            <w:r w:rsidRPr="00F45F11">
              <w:rPr>
                <w:rFonts w:eastAsia="Times"/>
                <w:lang w:eastAsia="en-AU"/>
              </w:rPr>
              <w:t>Number of family violence victim survivors who received a refuge response</w:t>
            </w:r>
          </w:p>
          <w:p w14:paraId="6831AC6B" w14:textId="2A364D84" w:rsidR="00003010" w:rsidRPr="00F45F11" w:rsidRDefault="00003010" w:rsidP="00003010">
            <w:pPr>
              <w:pStyle w:val="ARtablenoteindent"/>
            </w:pPr>
            <w:r w:rsidRPr="004E6C67">
              <w:t>The 2025–26 outcome is lower than the 2025–26 target, reflecting longer stays in refuge than is optimal. A complex interplay of factors contributes to longer stays in refuge including housing affordability, a lack of available rental properties or other suitable exit options for victim survivors</w:t>
            </w:r>
            <w:r>
              <w:t>.</w:t>
            </w:r>
          </w:p>
        </w:tc>
        <w:tc>
          <w:tcPr>
            <w:tcW w:w="992" w:type="dxa"/>
            <w:hideMark/>
          </w:tcPr>
          <w:p w14:paraId="54B08094" w14:textId="77777777" w:rsidR="00602F54" w:rsidRPr="00F45F11" w:rsidRDefault="00602F54" w:rsidP="009817E6">
            <w:pPr>
              <w:pStyle w:val="ARTabletext"/>
              <w:rPr>
                <w:rFonts w:eastAsia="Times"/>
                <w:lang w:eastAsia="en-AU"/>
              </w:rPr>
            </w:pPr>
            <w:r w:rsidRPr="00F45F11">
              <w:rPr>
                <w:rFonts w:eastAsia="Times"/>
                <w:lang w:eastAsia="en-AU"/>
              </w:rPr>
              <w:t>number</w:t>
            </w:r>
          </w:p>
        </w:tc>
        <w:tc>
          <w:tcPr>
            <w:tcW w:w="992" w:type="dxa"/>
            <w:hideMark/>
          </w:tcPr>
          <w:p w14:paraId="12418356" w14:textId="77777777" w:rsidR="00602F54" w:rsidRPr="00F45F11" w:rsidRDefault="00602F54" w:rsidP="009817E6">
            <w:pPr>
              <w:pStyle w:val="ARtabletextright"/>
            </w:pPr>
            <w:r w:rsidRPr="00F45F11">
              <w:t>1,061</w:t>
            </w:r>
          </w:p>
        </w:tc>
        <w:tc>
          <w:tcPr>
            <w:tcW w:w="993" w:type="dxa"/>
            <w:hideMark/>
          </w:tcPr>
          <w:p w14:paraId="76583E59" w14:textId="77777777" w:rsidR="00602F54" w:rsidRPr="004E6C67" w:rsidRDefault="00602F54" w:rsidP="009817E6">
            <w:pPr>
              <w:pStyle w:val="ARtabletextright"/>
            </w:pPr>
            <w:r w:rsidRPr="004E6C67">
              <w:t>955</w:t>
            </w:r>
          </w:p>
        </w:tc>
        <w:tc>
          <w:tcPr>
            <w:tcW w:w="1020" w:type="dxa"/>
          </w:tcPr>
          <w:p w14:paraId="325CE0CE" w14:textId="77777777" w:rsidR="00602F54" w:rsidRPr="00F45F11" w:rsidRDefault="00602F54" w:rsidP="009817E6">
            <w:pPr>
              <w:pStyle w:val="ARtabletextright"/>
            </w:pPr>
            <w:r w:rsidRPr="00F45F11">
              <w:t>-10.0%</w:t>
            </w:r>
          </w:p>
        </w:tc>
        <w:tc>
          <w:tcPr>
            <w:tcW w:w="844" w:type="dxa"/>
            <w:hideMark/>
          </w:tcPr>
          <w:p w14:paraId="30291E12" w14:textId="77777777" w:rsidR="00602F54" w:rsidRPr="00F45F11" w:rsidRDefault="00602F54" w:rsidP="009817E6">
            <w:pPr>
              <w:pStyle w:val="ARtableperformancesymbol"/>
              <w:rPr>
                <w:rFonts w:eastAsia="MS PGothic" w:cs="Arial" w:hint="eastAsia"/>
              </w:rPr>
            </w:pPr>
            <w:r w:rsidRPr="00F45F11">
              <w:rPr>
                <w:rFonts w:eastAsia="Wingdings"/>
              </w:rPr>
              <w:t></w:t>
            </w:r>
          </w:p>
        </w:tc>
      </w:tr>
      <w:tr w:rsidR="00602F54" w:rsidRPr="00F45F11" w14:paraId="055557FA" w14:textId="77777777" w:rsidTr="00003010">
        <w:tc>
          <w:tcPr>
            <w:tcW w:w="4815" w:type="dxa"/>
            <w:hideMark/>
          </w:tcPr>
          <w:p w14:paraId="64A875FE" w14:textId="77777777" w:rsidR="00602F54" w:rsidRDefault="00602F54" w:rsidP="009817E6">
            <w:pPr>
              <w:pStyle w:val="ARTabletext"/>
            </w:pPr>
            <w:r w:rsidRPr="00F45F11">
              <w:t>Number of men participating in the Men’s Behaviour Change program</w:t>
            </w:r>
          </w:p>
          <w:p w14:paraId="7C2BA180" w14:textId="53F31386" w:rsidR="00003010" w:rsidRPr="00F45F11" w:rsidRDefault="00003010" w:rsidP="00003010">
            <w:pPr>
              <w:pStyle w:val="ARtablenoteindent"/>
            </w:pPr>
            <w:r w:rsidRPr="00F45F11">
              <w:t>The 2025–26 outcome is higher than the target due to improved reporting and data integrity, which also identified that the target did not capture all in-scope funding. The target has been revised for 2026–27.</w:t>
            </w:r>
          </w:p>
        </w:tc>
        <w:tc>
          <w:tcPr>
            <w:tcW w:w="992" w:type="dxa"/>
            <w:hideMark/>
          </w:tcPr>
          <w:p w14:paraId="30DFAA6E" w14:textId="77777777" w:rsidR="00602F54" w:rsidRPr="00F45F11" w:rsidRDefault="00602F54" w:rsidP="009817E6">
            <w:pPr>
              <w:pStyle w:val="ARTabletext"/>
            </w:pPr>
            <w:r w:rsidRPr="00F45F11">
              <w:t>number</w:t>
            </w:r>
          </w:p>
        </w:tc>
        <w:tc>
          <w:tcPr>
            <w:tcW w:w="992" w:type="dxa"/>
            <w:hideMark/>
          </w:tcPr>
          <w:p w14:paraId="0F9A0C6A" w14:textId="77777777" w:rsidR="00602F54" w:rsidRPr="00F45F11" w:rsidRDefault="00602F54" w:rsidP="009817E6">
            <w:pPr>
              <w:pStyle w:val="ARtabletextright"/>
              <w:rPr>
                <w:rFonts w:eastAsia="Times"/>
                <w:lang w:eastAsia="en-AU"/>
              </w:rPr>
            </w:pPr>
            <w:r w:rsidRPr="00F45F11">
              <w:rPr>
                <w:rFonts w:eastAsia="Times"/>
                <w:lang w:eastAsia="en-AU"/>
              </w:rPr>
              <w:t>4,400</w:t>
            </w:r>
          </w:p>
        </w:tc>
        <w:tc>
          <w:tcPr>
            <w:tcW w:w="993" w:type="dxa"/>
            <w:hideMark/>
          </w:tcPr>
          <w:p w14:paraId="23DAF8CE" w14:textId="77777777" w:rsidR="00602F54" w:rsidRPr="004E6C67" w:rsidRDefault="00602F54" w:rsidP="009817E6">
            <w:pPr>
              <w:pStyle w:val="ARtabletextright"/>
              <w:rPr>
                <w:rFonts w:eastAsia="Times"/>
                <w:lang w:eastAsia="en-AU"/>
              </w:rPr>
            </w:pPr>
            <w:r w:rsidRPr="004E6C67">
              <w:rPr>
                <w:rFonts w:eastAsia="Times"/>
                <w:lang w:eastAsia="en-AU"/>
              </w:rPr>
              <w:t>5,307</w:t>
            </w:r>
          </w:p>
        </w:tc>
        <w:tc>
          <w:tcPr>
            <w:tcW w:w="1020" w:type="dxa"/>
          </w:tcPr>
          <w:p w14:paraId="2287B674" w14:textId="77777777" w:rsidR="00602F54" w:rsidRPr="00F45F11" w:rsidRDefault="00602F54" w:rsidP="009817E6">
            <w:pPr>
              <w:pStyle w:val="ARtabletextright"/>
              <w:rPr>
                <w:rFonts w:eastAsia="Times"/>
                <w:lang w:eastAsia="en-AU"/>
              </w:rPr>
            </w:pPr>
            <w:r w:rsidRPr="00F45F11">
              <w:rPr>
                <w:rFonts w:eastAsia="Times"/>
                <w:lang w:eastAsia="en-AU"/>
              </w:rPr>
              <w:t>20.6%</w:t>
            </w:r>
          </w:p>
        </w:tc>
        <w:tc>
          <w:tcPr>
            <w:tcW w:w="844" w:type="dxa"/>
            <w:hideMark/>
          </w:tcPr>
          <w:p w14:paraId="4B6F3BC8" w14:textId="77777777" w:rsidR="00602F54" w:rsidRPr="00F45F11" w:rsidRDefault="00602F54" w:rsidP="00CE0233">
            <w:pPr>
              <w:pStyle w:val="ARtableperformancesymbol"/>
              <w:rPr>
                <w:rFonts w:eastAsia="MS PGothic" w:cs="Arial" w:hint="eastAsia"/>
              </w:rPr>
            </w:pPr>
            <w:r w:rsidRPr="009913ED">
              <w:rPr>
                <w:rFonts w:eastAsia="Wingdings"/>
              </w:rPr>
              <w:t></w:t>
            </w:r>
          </w:p>
        </w:tc>
      </w:tr>
      <w:tr w:rsidR="00602F54" w:rsidRPr="00F45F11" w14:paraId="23EB5650" w14:textId="77777777" w:rsidTr="00003010">
        <w:tc>
          <w:tcPr>
            <w:tcW w:w="4815" w:type="dxa"/>
            <w:hideMark/>
          </w:tcPr>
          <w:p w14:paraId="50091182" w14:textId="77777777" w:rsidR="00602F54" w:rsidRDefault="00602F54" w:rsidP="009817E6">
            <w:pPr>
              <w:pStyle w:val="ARTabletext"/>
              <w:rPr>
                <w:rFonts w:eastAsia="Times"/>
                <w:lang w:eastAsia="en-AU"/>
              </w:rPr>
            </w:pPr>
            <w:r w:rsidRPr="00F45F11">
              <w:rPr>
                <w:rFonts w:eastAsia="Times"/>
                <w:lang w:eastAsia="en-AU"/>
              </w:rPr>
              <w:t>Number of new episodes of therapeutic interventions for</w:t>
            </w:r>
            <w:r w:rsidR="008B6CA7">
              <w:rPr>
                <w:rFonts w:eastAsia="Times"/>
                <w:lang w:eastAsia="en-AU"/>
              </w:rPr>
              <w:t> </w:t>
            </w:r>
            <w:r w:rsidRPr="00F45F11">
              <w:rPr>
                <w:rFonts w:eastAsia="Times"/>
                <w:lang w:eastAsia="en-AU"/>
              </w:rPr>
              <w:t>family violence victim survivors</w:t>
            </w:r>
          </w:p>
          <w:p w14:paraId="591DB7E9" w14:textId="59B85F2A" w:rsidR="00003010" w:rsidRPr="00F45F11" w:rsidRDefault="00003010" w:rsidP="00003010">
            <w:pPr>
              <w:pStyle w:val="ARtablenoteindent"/>
            </w:pPr>
            <w:r w:rsidRPr="004E6C67">
              <w:t>The 2025–26 outcome is higher than the target due to higher demand across the state for the service.</w:t>
            </w:r>
          </w:p>
        </w:tc>
        <w:tc>
          <w:tcPr>
            <w:tcW w:w="992" w:type="dxa"/>
            <w:hideMark/>
          </w:tcPr>
          <w:p w14:paraId="64254314" w14:textId="77777777" w:rsidR="00602F54" w:rsidRPr="00F45F11" w:rsidRDefault="00602F54" w:rsidP="009817E6">
            <w:pPr>
              <w:pStyle w:val="ARTabletext"/>
              <w:rPr>
                <w:rFonts w:eastAsia="Times"/>
                <w:lang w:eastAsia="en-AU"/>
              </w:rPr>
            </w:pPr>
            <w:r w:rsidRPr="00F45F11">
              <w:rPr>
                <w:rFonts w:eastAsia="Times"/>
                <w:lang w:eastAsia="en-AU"/>
              </w:rPr>
              <w:t>number</w:t>
            </w:r>
          </w:p>
        </w:tc>
        <w:tc>
          <w:tcPr>
            <w:tcW w:w="992" w:type="dxa"/>
            <w:hideMark/>
          </w:tcPr>
          <w:p w14:paraId="048B4384" w14:textId="77777777" w:rsidR="00602F54" w:rsidRPr="00F45F11" w:rsidRDefault="00602F54" w:rsidP="009817E6">
            <w:pPr>
              <w:pStyle w:val="ARtabletextright"/>
              <w:rPr>
                <w:rFonts w:eastAsia="Times"/>
                <w:lang w:eastAsia="en-AU"/>
              </w:rPr>
            </w:pPr>
            <w:r w:rsidRPr="00F45F11">
              <w:rPr>
                <w:rFonts w:eastAsia="Times"/>
                <w:lang w:eastAsia="en-AU"/>
              </w:rPr>
              <w:t>7,239</w:t>
            </w:r>
          </w:p>
        </w:tc>
        <w:tc>
          <w:tcPr>
            <w:tcW w:w="993" w:type="dxa"/>
            <w:hideMark/>
          </w:tcPr>
          <w:p w14:paraId="6DA9CBFC" w14:textId="77777777" w:rsidR="00602F54" w:rsidRPr="004E6C67" w:rsidRDefault="00602F54" w:rsidP="009817E6">
            <w:pPr>
              <w:pStyle w:val="ARtabletextright"/>
              <w:rPr>
                <w:rFonts w:eastAsia="Times"/>
                <w:lang w:eastAsia="en-AU"/>
              </w:rPr>
            </w:pPr>
            <w:r w:rsidRPr="004E6C67">
              <w:rPr>
                <w:rFonts w:eastAsia="Times"/>
                <w:lang w:eastAsia="en-AU"/>
              </w:rPr>
              <w:t>9,623</w:t>
            </w:r>
          </w:p>
        </w:tc>
        <w:tc>
          <w:tcPr>
            <w:tcW w:w="1020" w:type="dxa"/>
          </w:tcPr>
          <w:p w14:paraId="260362C2" w14:textId="77777777" w:rsidR="00602F54" w:rsidRPr="00F45F11" w:rsidRDefault="00602F54" w:rsidP="009817E6">
            <w:pPr>
              <w:pStyle w:val="ARtabletextright"/>
              <w:rPr>
                <w:rFonts w:eastAsia="Times"/>
                <w:lang w:eastAsia="en-AU"/>
              </w:rPr>
            </w:pPr>
            <w:r w:rsidRPr="00F45F11">
              <w:rPr>
                <w:rFonts w:eastAsia="Times"/>
                <w:lang w:eastAsia="en-AU"/>
              </w:rPr>
              <w:t>32.9%</w:t>
            </w:r>
          </w:p>
        </w:tc>
        <w:tc>
          <w:tcPr>
            <w:tcW w:w="844" w:type="dxa"/>
            <w:hideMark/>
          </w:tcPr>
          <w:p w14:paraId="6AF068A4" w14:textId="77777777" w:rsidR="00602F54" w:rsidRPr="00F45F11" w:rsidRDefault="00602F54" w:rsidP="009817E6">
            <w:pPr>
              <w:pStyle w:val="ARtableperformancesymbol"/>
              <w:rPr>
                <w:rFonts w:eastAsia="MS PGothic" w:cs="Arial" w:hint="eastAsia"/>
              </w:rPr>
            </w:pPr>
            <w:r w:rsidRPr="00F45F11">
              <w:rPr>
                <w:rFonts w:eastAsia="Wingdings"/>
              </w:rPr>
              <w:t></w:t>
            </w:r>
          </w:p>
        </w:tc>
      </w:tr>
      <w:tr w:rsidR="00602F54" w:rsidRPr="00F45F11" w14:paraId="3D304218" w14:textId="77777777" w:rsidTr="00003010">
        <w:tc>
          <w:tcPr>
            <w:tcW w:w="4815" w:type="dxa"/>
            <w:hideMark/>
          </w:tcPr>
          <w:p w14:paraId="448300CC" w14:textId="77777777" w:rsidR="00602F54" w:rsidRDefault="00602F54" w:rsidP="009817E6">
            <w:pPr>
              <w:pStyle w:val="ARTabletext"/>
              <w:rPr>
                <w:rFonts w:eastAsia="Times"/>
                <w:lang w:eastAsia="en-AU"/>
              </w:rPr>
            </w:pPr>
            <w:r w:rsidRPr="00F45F11">
              <w:rPr>
                <w:rFonts w:eastAsia="Times"/>
                <w:lang w:eastAsia="en-AU"/>
              </w:rPr>
              <w:t>Number of new periods of family violence case management support provided to victim survivors</w:t>
            </w:r>
          </w:p>
          <w:p w14:paraId="5B1C3B7C" w14:textId="7A92F591" w:rsidR="00003010" w:rsidRPr="00F45F11" w:rsidRDefault="00003010" w:rsidP="00003010">
            <w:pPr>
              <w:pStyle w:val="ARtablenoteindent"/>
            </w:pPr>
            <w:r w:rsidRPr="004E6C67">
              <w:t>The 2025–26 outcome is higher than the target due to increased demand for the service. This is due to increasing community and public awareness.</w:t>
            </w:r>
          </w:p>
        </w:tc>
        <w:tc>
          <w:tcPr>
            <w:tcW w:w="992" w:type="dxa"/>
            <w:hideMark/>
          </w:tcPr>
          <w:p w14:paraId="6522EB72" w14:textId="77777777" w:rsidR="00602F54" w:rsidRPr="00F45F11" w:rsidRDefault="00602F54" w:rsidP="009817E6">
            <w:pPr>
              <w:pStyle w:val="ARTabletext"/>
              <w:rPr>
                <w:rFonts w:eastAsia="Times"/>
                <w:lang w:eastAsia="en-AU"/>
              </w:rPr>
            </w:pPr>
            <w:r w:rsidRPr="00F45F11">
              <w:rPr>
                <w:rFonts w:eastAsia="Times"/>
                <w:lang w:eastAsia="en-AU"/>
              </w:rPr>
              <w:t>number</w:t>
            </w:r>
          </w:p>
        </w:tc>
        <w:tc>
          <w:tcPr>
            <w:tcW w:w="992" w:type="dxa"/>
            <w:hideMark/>
          </w:tcPr>
          <w:p w14:paraId="07AF67BC" w14:textId="77777777" w:rsidR="00602F54" w:rsidRPr="00F45F11" w:rsidRDefault="00602F54" w:rsidP="009817E6">
            <w:pPr>
              <w:pStyle w:val="ARtabletextright"/>
              <w:rPr>
                <w:rFonts w:eastAsia="Times"/>
                <w:lang w:eastAsia="en-AU"/>
              </w:rPr>
            </w:pPr>
            <w:r w:rsidRPr="00F45F11">
              <w:rPr>
                <w:rFonts w:eastAsia="Times"/>
                <w:lang w:eastAsia="en-AU"/>
              </w:rPr>
              <w:t>30,639</w:t>
            </w:r>
          </w:p>
        </w:tc>
        <w:tc>
          <w:tcPr>
            <w:tcW w:w="993" w:type="dxa"/>
            <w:hideMark/>
          </w:tcPr>
          <w:p w14:paraId="6F2B3950" w14:textId="77777777" w:rsidR="00602F54" w:rsidRPr="004E6C67" w:rsidRDefault="00602F54" w:rsidP="009817E6">
            <w:pPr>
              <w:pStyle w:val="ARtabletextright"/>
              <w:rPr>
                <w:rFonts w:eastAsia="Times"/>
                <w:lang w:eastAsia="en-AU"/>
              </w:rPr>
            </w:pPr>
            <w:r w:rsidRPr="004E6C67">
              <w:rPr>
                <w:rFonts w:eastAsia="Times"/>
                <w:lang w:eastAsia="en-AU"/>
              </w:rPr>
              <w:t>33,914</w:t>
            </w:r>
          </w:p>
        </w:tc>
        <w:tc>
          <w:tcPr>
            <w:tcW w:w="1020" w:type="dxa"/>
          </w:tcPr>
          <w:p w14:paraId="68429DBB" w14:textId="77777777" w:rsidR="00602F54" w:rsidRPr="00F45F11" w:rsidRDefault="00602F54" w:rsidP="009817E6">
            <w:pPr>
              <w:pStyle w:val="ARtabletextright"/>
              <w:rPr>
                <w:rFonts w:eastAsia="Times"/>
                <w:lang w:eastAsia="en-AU"/>
              </w:rPr>
            </w:pPr>
            <w:r w:rsidRPr="00F45F11">
              <w:rPr>
                <w:rFonts w:eastAsia="Times"/>
                <w:lang w:eastAsia="en-AU"/>
              </w:rPr>
              <w:t>10.7%</w:t>
            </w:r>
          </w:p>
        </w:tc>
        <w:tc>
          <w:tcPr>
            <w:tcW w:w="844" w:type="dxa"/>
            <w:hideMark/>
          </w:tcPr>
          <w:p w14:paraId="5EAA0FE2" w14:textId="77777777" w:rsidR="00602F54" w:rsidRPr="00F45F11" w:rsidRDefault="00602F54" w:rsidP="009817E6">
            <w:pPr>
              <w:pStyle w:val="ARtableperformancesymbol"/>
              <w:rPr>
                <w:rFonts w:eastAsia="MS PGothic" w:cs="Arial" w:hint="eastAsia"/>
              </w:rPr>
            </w:pPr>
            <w:r w:rsidRPr="00F45F11">
              <w:rPr>
                <w:rFonts w:eastAsia="Wingdings"/>
              </w:rPr>
              <w:t></w:t>
            </w:r>
          </w:p>
        </w:tc>
      </w:tr>
      <w:tr w:rsidR="00602F54" w:rsidRPr="00F45F11" w14:paraId="20272BF0" w14:textId="77777777" w:rsidTr="00003010">
        <w:tc>
          <w:tcPr>
            <w:tcW w:w="4815" w:type="dxa"/>
            <w:hideMark/>
          </w:tcPr>
          <w:p w14:paraId="04FEA343" w14:textId="77777777" w:rsidR="00602F54" w:rsidRDefault="00602F54" w:rsidP="009817E6">
            <w:pPr>
              <w:pStyle w:val="ARTabletext"/>
              <w:rPr>
                <w:rFonts w:eastAsia="Times"/>
                <w:lang w:eastAsia="en-AU"/>
              </w:rPr>
            </w:pPr>
            <w:r w:rsidRPr="00F45F11">
              <w:rPr>
                <w:rFonts w:eastAsia="Times"/>
                <w:lang w:eastAsia="en-AU"/>
              </w:rPr>
              <w:t>Number of nights of refuge accommodation provided to victim survivors of family violence</w:t>
            </w:r>
          </w:p>
          <w:p w14:paraId="556A291C" w14:textId="157AD50B" w:rsidR="00003010" w:rsidRPr="00F45F11" w:rsidRDefault="00003010" w:rsidP="00003010">
            <w:pPr>
              <w:pStyle w:val="ARtablenoteindent"/>
            </w:pPr>
            <w:r w:rsidRPr="004E6C67">
              <w:t>The 2025–26 outcome is higher than target reflecting that refuge capacity is being well utilised with victim survivors being supported in available refuge units. </w:t>
            </w:r>
          </w:p>
        </w:tc>
        <w:tc>
          <w:tcPr>
            <w:tcW w:w="992" w:type="dxa"/>
            <w:hideMark/>
          </w:tcPr>
          <w:p w14:paraId="64B80936" w14:textId="77777777" w:rsidR="00602F54" w:rsidRPr="00F45F11" w:rsidRDefault="00602F54" w:rsidP="009817E6">
            <w:pPr>
              <w:pStyle w:val="ARTabletext"/>
              <w:rPr>
                <w:rFonts w:eastAsia="Times"/>
                <w:lang w:eastAsia="en-AU"/>
              </w:rPr>
            </w:pPr>
            <w:r w:rsidRPr="00F45F11">
              <w:rPr>
                <w:rFonts w:eastAsia="Times"/>
                <w:lang w:eastAsia="en-AU"/>
              </w:rPr>
              <w:t>number</w:t>
            </w:r>
          </w:p>
        </w:tc>
        <w:tc>
          <w:tcPr>
            <w:tcW w:w="992" w:type="dxa"/>
            <w:hideMark/>
          </w:tcPr>
          <w:p w14:paraId="034647FE" w14:textId="77777777" w:rsidR="00602F54" w:rsidRPr="00F45F11" w:rsidRDefault="00602F54" w:rsidP="009817E6">
            <w:pPr>
              <w:pStyle w:val="ARtabletextright"/>
              <w:rPr>
                <w:rFonts w:eastAsia="Times"/>
                <w:lang w:eastAsia="en-AU"/>
              </w:rPr>
            </w:pPr>
            <w:r w:rsidRPr="00F45F11">
              <w:rPr>
                <w:rFonts w:eastAsia="Times"/>
                <w:lang w:eastAsia="en-AU"/>
              </w:rPr>
              <w:t>54,109</w:t>
            </w:r>
          </w:p>
        </w:tc>
        <w:tc>
          <w:tcPr>
            <w:tcW w:w="993" w:type="dxa"/>
            <w:hideMark/>
          </w:tcPr>
          <w:p w14:paraId="3A4499EA" w14:textId="77777777" w:rsidR="00602F54" w:rsidRPr="004E6C67" w:rsidRDefault="00602F54" w:rsidP="009817E6">
            <w:pPr>
              <w:pStyle w:val="ARtabletextright"/>
              <w:rPr>
                <w:rFonts w:eastAsia="Times"/>
                <w:lang w:eastAsia="en-AU"/>
              </w:rPr>
            </w:pPr>
            <w:r w:rsidRPr="004E6C67">
              <w:rPr>
                <w:rFonts w:eastAsia="Times"/>
                <w:lang w:eastAsia="en-AU"/>
              </w:rPr>
              <w:t>57,115</w:t>
            </w:r>
          </w:p>
        </w:tc>
        <w:tc>
          <w:tcPr>
            <w:tcW w:w="1020" w:type="dxa"/>
          </w:tcPr>
          <w:p w14:paraId="74D17A27" w14:textId="77777777" w:rsidR="00602F54" w:rsidRPr="00F45F11" w:rsidRDefault="00602F54" w:rsidP="009817E6">
            <w:pPr>
              <w:pStyle w:val="ARtabletextright"/>
              <w:rPr>
                <w:rFonts w:eastAsia="Times"/>
                <w:lang w:eastAsia="en-AU"/>
              </w:rPr>
            </w:pPr>
            <w:r w:rsidRPr="00F45F11">
              <w:rPr>
                <w:rFonts w:eastAsia="Times"/>
                <w:lang w:eastAsia="en-AU"/>
              </w:rPr>
              <w:t>5.6%</w:t>
            </w:r>
          </w:p>
        </w:tc>
        <w:tc>
          <w:tcPr>
            <w:tcW w:w="844" w:type="dxa"/>
            <w:hideMark/>
          </w:tcPr>
          <w:p w14:paraId="23481A56" w14:textId="77777777" w:rsidR="00602F54" w:rsidRPr="00F45F11" w:rsidRDefault="00602F54" w:rsidP="009817E6">
            <w:pPr>
              <w:pStyle w:val="ARtableperformancesymbol"/>
              <w:rPr>
                <w:rFonts w:eastAsia="MS PGothic" w:cs="Arial" w:hint="eastAsia"/>
              </w:rPr>
            </w:pPr>
            <w:r w:rsidRPr="00F45F11">
              <w:rPr>
                <w:rFonts w:eastAsia="Wingdings"/>
              </w:rPr>
              <w:t></w:t>
            </w:r>
          </w:p>
        </w:tc>
      </w:tr>
      <w:tr w:rsidR="00602F54" w:rsidRPr="00F45F11" w14:paraId="5D317B2F" w14:textId="77777777" w:rsidTr="00003010">
        <w:tc>
          <w:tcPr>
            <w:tcW w:w="4815" w:type="dxa"/>
          </w:tcPr>
          <w:p w14:paraId="4C581316" w14:textId="77777777" w:rsidR="00602F54" w:rsidRDefault="00602F54" w:rsidP="006B6E69">
            <w:pPr>
              <w:pStyle w:val="ARTabletext"/>
              <w:rPr>
                <w:rFonts w:eastAsia="Times"/>
                <w:lang w:eastAsia="en-AU"/>
              </w:rPr>
            </w:pPr>
            <w:r w:rsidRPr="00F45F11">
              <w:rPr>
                <w:rFonts w:eastAsia="Times"/>
                <w:lang w:eastAsia="en-AU"/>
              </w:rPr>
              <w:t>Number of sexual assault services provided to adults, children and young people</w:t>
            </w:r>
          </w:p>
          <w:p w14:paraId="5383667E" w14:textId="4904FDE2" w:rsidR="00003010" w:rsidRPr="00F45F11" w:rsidRDefault="00003010" w:rsidP="006B6E69">
            <w:pPr>
              <w:pStyle w:val="ARtablenoteindent"/>
            </w:pPr>
            <w:r w:rsidRPr="004E6C67">
              <w:t>The 2025–26 outcome is higher than the 2025–26 target due to an increase in demand for a sexual assault service response. Increasing community awareness of this program from recent inquiries, commissions, victim survivor advocacy, legal cases, and</w:t>
            </w:r>
            <w:r>
              <w:t> </w:t>
            </w:r>
            <w:r w:rsidRPr="004E6C67">
              <w:t>consent law reform, continues to drive strong demand across the system.</w:t>
            </w:r>
          </w:p>
        </w:tc>
        <w:tc>
          <w:tcPr>
            <w:tcW w:w="992" w:type="dxa"/>
          </w:tcPr>
          <w:p w14:paraId="72FFDC7E" w14:textId="77777777" w:rsidR="00602F54" w:rsidRPr="00F45F11" w:rsidRDefault="00602F54" w:rsidP="006B6E69">
            <w:pPr>
              <w:pStyle w:val="ARTabletext"/>
              <w:rPr>
                <w:rFonts w:eastAsia="Times"/>
                <w:lang w:eastAsia="en-AU"/>
              </w:rPr>
            </w:pPr>
            <w:r w:rsidRPr="00F45F11">
              <w:rPr>
                <w:rFonts w:eastAsia="Times"/>
                <w:lang w:eastAsia="en-AU"/>
              </w:rPr>
              <w:t>number</w:t>
            </w:r>
          </w:p>
        </w:tc>
        <w:tc>
          <w:tcPr>
            <w:tcW w:w="992" w:type="dxa"/>
          </w:tcPr>
          <w:p w14:paraId="5CBABD1E" w14:textId="77777777" w:rsidR="00602F54" w:rsidRPr="00F45F11" w:rsidRDefault="00602F54" w:rsidP="006B6E69">
            <w:pPr>
              <w:pStyle w:val="ARtabletextright"/>
              <w:rPr>
                <w:rFonts w:eastAsia="Times"/>
                <w:lang w:eastAsia="en-AU"/>
              </w:rPr>
            </w:pPr>
            <w:r w:rsidRPr="00F45F11">
              <w:rPr>
                <w:rFonts w:eastAsia="Times"/>
                <w:lang w:eastAsia="en-AU"/>
              </w:rPr>
              <w:t>19,000</w:t>
            </w:r>
          </w:p>
        </w:tc>
        <w:tc>
          <w:tcPr>
            <w:tcW w:w="993" w:type="dxa"/>
          </w:tcPr>
          <w:p w14:paraId="02F5FEBF" w14:textId="77777777" w:rsidR="00602F54" w:rsidRPr="004E6C67" w:rsidRDefault="00602F54" w:rsidP="006B6E69">
            <w:pPr>
              <w:pStyle w:val="ARtabletextright"/>
              <w:rPr>
                <w:rFonts w:eastAsia="Times"/>
                <w:lang w:eastAsia="en-AU"/>
              </w:rPr>
            </w:pPr>
            <w:r w:rsidRPr="004E6C67">
              <w:rPr>
                <w:rFonts w:eastAsia="Times"/>
                <w:lang w:eastAsia="en-AU"/>
              </w:rPr>
              <w:t>21,513</w:t>
            </w:r>
          </w:p>
        </w:tc>
        <w:tc>
          <w:tcPr>
            <w:tcW w:w="1020" w:type="dxa"/>
          </w:tcPr>
          <w:p w14:paraId="323A8682" w14:textId="77777777" w:rsidR="00602F54" w:rsidRPr="00F45F11" w:rsidRDefault="00602F54" w:rsidP="006B6E69">
            <w:pPr>
              <w:pStyle w:val="ARtabletextright"/>
              <w:rPr>
                <w:rFonts w:eastAsia="Times"/>
                <w:lang w:eastAsia="en-AU"/>
              </w:rPr>
            </w:pPr>
            <w:r w:rsidRPr="00F45F11">
              <w:rPr>
                <w:rFonts w:eastAsia="Times"/>
                <w:lang w:eastAsia="en-AU"/>
              </w:rPr>
              <w:t>13.2%</w:t>
            </w:r>
          </w:p>
        </w:tc>
        <w:tc>
          <w:tcPr>
            <w:tcW w:w="844" w:type="dxa"/>
          </w:tcPr>
          <w:p w14:paraId="0A46E7A6" w14:textId="77777777" w:rsidR="00602F54" w:rsidRPr="00F45F11" w:rsidRDefault="00602F54" w:rsidP="006B6E69">
            <w:pPr>
              <w:pStyle w:val="ARtableperformancesymbol"/>
              <w:rPr>
                <w:rFonts w:eastAsia="Wingdings"/>
              </w:rPr>
            </w:pPr>
            <w:r w:rsidRPr="00F45F11">
              <w:rPr>
                <w:rFonts w:eastAsia="Wingdings"/>
              </w:rPr>
              <w:t></w:t>
            </w:r>
          </w:p>
        </w:tc>
      </w:tr>
      <w:tr w:rsidR="00602F54" w:rsidRPr="00F45F11" w14:paraId="69F1A583" w14:textId="77777777" w:rsidTr="00003010">
        <w:tc>
          <w:tcPr>
            <w:tcW w:w="4815" w:type="dxa"/>
            <w:hideMark/>
          </w:tcPr>
          <w:p w14:paraId="33F67E1D" w14:textId="77777777" w:rsidR="00602F54" w:rsidRDefault="00602F54" w:rsidP="009817E6">
            <w:pPr>
              <w:pStyle w:val="ARTabletext"/>
              <w:rPr>
                <w:rFonts w:eastAsia="Times"/>
                <w:lang w:eastAsia="en-AU"/>
              </w:rPr>
            </w:pPr>
            <w:r w:rsidRPr="00F45F11">
              <w:rPr>
                <w:rFonts w:eastAsia="Times"/>
                <w:lang w:eastAsia="en-AU"/>
              </w:rPr>
              <w:t>Self-referrals to The Orange Door services as a proportion of total referrals</w:t>
            </w:r>
          </w:p>
          <w:p w14:paraId="13B9EBC7" w14:textId="51609887" w:rsidR="00003010" w:rsidRPr="00F45F11" w:rsidRDefault="00003010" w:rsidP="00003010">
            <w:pPr>
              <w:pStyle w:val="ARtablenoteindent"/>
            </w:pPr>
            <w:r w:rsidRPr="004E6C67">
              <w:t xml:space="preserve">The 2025–26 outcome is higher than the target </w:t>
            </w:r>
            <w:proofErr w:type="gramStart"/>
            <w:r w:rsidRPr="004E6C67">
              <w:t>as a result of</w:t>
            </w:r>
            <w:proofErr w:type="gramEnd"/>
            <w:r w:rsidRPr="004E6C67">
              <w:t xml:space="preserve"> increased service demand, and growing community confidence in</w:t>
            </w:r>
            <w:r>
              <w:t> </w:t>
            </w:r>
            <w:r w:rsidRPr="004E6C67">
              <w:t xml:space="preserve">accessing local supports through </w:t>
            </w:r>
            <w:r>
              <w:t>The Orange Door</w:t>
            </w:r>
            <w:r w:rsidRPr="004E6C67">
              <w:t>.</w:t>
            </w:r>
          </w:p>
        </w:tc>
        <w:tc>
          <w:tcPr>
            <w:tcW w:w="992" w:type="dxa"/>
            <w:hideMark/>
          </w:tcPr>
          <w:p w14:paraId="5E96E644" w14:textId="77777777" w:rsidR="00602F54" w:rsidRPr="00F45F11" w:rsidRDefault="00602F54" w:rsidP="009817E6">
            <w:pPr>
              <w:pStyle w:val="ARTabletext"/>
              <w:rPr>
                <w:rFonts w:eastAsia="Times"/>
                <w:lang w:eastAsia="en-AU"/>
              </w:rPr>
            </w:pPr>
            <w:r w:rsidRPr="00F45F11">
              <w:rPr>
                <w:rFonts w:eastAsia="Times"/>
                <w:lang w:eastAsia="en-AU"/>
              </w:rPr>
              <w:t>per cent</w:t>
            </w:r>
          </w:p>
        </w:tc>
        <w:tc>
          <w:tcPr>
            <w:tcW w:w="992" w:type="dxa"/>
            <w:hideMark/>
          </w:tcPr>
          <w:p w14:paraId="5E0CA8A6" w14:textId="77777777" w:rsidR="00602F54" w:rsidRPr="00F45F11" w:rsidRDefault="00602F54" w:rsidP="009817E6">
            <w:pPr>
              <w:pStyle w:val="ARtabletextright"/>
              <w:rPr>
                <w:rFonts w:eastAsia="Times"/>
                <w:lang w:eastAsia="en-AU"/>
              </w:rPr>
            </w:pPr>
            <w:r w:rsidRPr="00F45F11">
              <w:rPr>
                <w:rFonts w:eastAsia="Times"/>
                <w:lang w:eastAsia="en-AU"/>
              </w:rPr>
              <w:t>27</w:t>
            </w:r>
          </w:p>
        </w:tc>
        <w:tc>
          <w:tcPr>
            <w:tcW w:w="993" w:type="dxa"/>
            <w:hideMark/>
          </w:tcPr>
          <w:p w14:paraId="26AEE25D" w14:textId="77777777" w:rsidR="00602F54" w:rsidRPr="004E6C67" w:rsidRDefault="00602F54" w:rsidP="009817E6">
            <w:pPr>
              <w:pStyle w:val="ARtabletextright"/>
              <w:rPr>
                <w:rFonts w:eastAsia="Times"/>
                <w:lang w:eastAsia="en-AU"/>
              </w:rPr>
            </w:pPr>
            <w:r w:rsidRPr="004E6C67">
              <w:rPr>
                <w:rFonts w:eastAsia="Times"/>
                <w:lang w:eastAsia="en-AU"/>
              </w:rPr>
              <w:t>34</w:t>
            </w:r>
          </w:p>
        </w:tc>
        <w:tc>
          <w:tcPr>
            <w:tcW w:w="1020" w:type="dxa"/>
          </w:tcPr>
          <w:p w14:paraId="1E2EDF81" w14:textId="77777777" w:rsidR="00602F54" w:rsidRPr="00F45F11" w:rsidRDefault="00602F54" w:rsidP="009817E6">
            <w:pPr>
              <w:pStyle w:val="ARtabletextright"/>
              <w:rPr>
                <w:rFonts w:eastAsia="Times"/>
                <w:lang w:eastAsia="en-AU"/>
              </w:rPr>
            </w:pPr>
            <w:r w:rsidRPr="00F45F11">
              <w:rPr>
                <w:rFonts w:eastAsia="Times"/>
                <w:lang w:eastAsia="en-AU"/>
              </w:rPr>
              <w:t>25.9%</w:t>
            </w:r>
          </w:p>
        </w:tc>
        <w:tc>
          <w:tcPr>
            <w:tcW w:w="844" w:type="dxa"/>
            <w:hideMark/>
          </w:tcPr>
          <w:p w14:paraId="074129EA" w14:textId="77777777" w:rsidR="00602F54" w:rsidRPr="00F45F11" w:rsidRDefault="00602F54" w:rsidP="009817E6">
            <w:pPr>
              <w:pStyle w:val="ARtableperformancesymbol"/>
              <w:rPr>
                <w:rFonts w:eastAsia="MS PGothic" w:cs="Arial" w:hint="eastAsia"/>
              </w:rPr>
            </w:pPr>
            <w:r w:rsidRPr="00F45F11">
              <w:rPr>
                <w:rFonts w:eastAsia="Wingdings"/>
              </w:rPr>
              <w:t></w:t>
            </w:r>
          </w:p>
        </w:tc>
      </w:tr>
      <w:tr w:rsidR="00602F54" w:rsidRPr="00F45F11" w14:paraId="42F8A3EF" w14:textId="77777777" w:rsidTr="00003010">
        <w:tc>
          <w:tcPr>
            <w:tcW w:w="4815" w:type="dxa"/>
            <w:hideMark/>
          </w:tcPr>
          <w:p w14:paraId="2E099E67" w14:textId="77777777" w:rsidR="00602F54" w:rsidRDefault="00602F54" w:rsidP="009817E6">
            <w:pPr>
              <w:pStyle w:val="ARTabletext"/>
              <w:rPr>
                <w:rFonts w:eastAsia="Times"/>
                <w:lang w:eastAsia="en-AU"/>
              </w:rPr>
            </w:pPr>
            <w:r w:rsidRPr="00F45F11">
              <w:rPr>
                <w:rFonts w:eastAsia="Times"/>
                <w:lang w:eastAsia="en-AU"/>
              </w:rPr>
              <w:t>The proportion of victim survivors seeking a refuge response that receive this support</w:t>
            </w:r>
          </w:p>
          <w:p w14:paraId="06B5D047" w14:textId="0FBDA61A" w:rsidR="006B6E69" w:rsidRPr="00F45F11" w:rsidRDefault="006B6E69" w:rsidP="006B6E69">
            <w:pPr>
              <w:pStyle w:val="ARtablenoteindent"/>
            </w:pPr>
            <w:r w:rsidRPr="00F45F11">
              <w:t>The 2025–26 outcome is lower than target as the number of refuge referrals has increased at a faster rate than refuge capacity. It reflects an increase in victim survivors seeking a refuge response, rather than a decline in refuge placements.</w:t>
            </w:r>
          </w:p>
        </w:tc>
        <w:tc>
          <w:tcPr>
            <w:tcW w:w="992" w:type="dxa"/>
            <w:hideMark/>
          </w:tcPr>
          <w:p w14:paraId="0803FA74" w14:textId="77777777" w:rsidR="00602F54" w:rsidRPr="00F45F11" w:rsidRDefault="00602F54" w:rsidP="009817E6">
            <w:pPr>
              <w:pStyle w:val="ARTabletext"/>
              <w:rPr>
                <w:rFonts w:eastAsia="Times"/>
                <w:lang w:eastAsia="en-AU"/>
              </w:rPr>
            </w:pPr>
            <w:r w:rsidRPr="00F45F11">
              <w:rPr>
                <w:rFonts w:eastAsia="Times"/>
                <w:lang w:eastAsia="en-AU"/>
              </w:rPr>
              <w:t>per cent</w:t>
            </w:r>
          </w:p>
        </w:tc>
        <w:tc>
          <w:tcPr>
            <w:tcW w:w="992" w:type="dxa"/>
            <w:hideMark/>
          </w:tcPr>
          <w:p w14:paraId="1BABF2A2" w14:textId="77777777" w:rsidR="00602F54" w:rsidRPr="00F45F11" w:rsidRDefault="00602F54" w:rsidP="009817E6">
            <w:pPr>
              <w:pStyle w:val="ARtabletextright"/>
              <w:rPr>
                <w:rFonts w:eastAsia="Times"/>
                <w:lang w:eastAsia="en-AU"/>
              </w:rPr>
            </w:pPr>
            <w:r w:rsidRPr="00F45F11">
              <w:rPr>
                <w:rFonts w:eastAsia="Times"/>
                <w:lang w:eastAsia="en-AU"/>
              </w:rPr>
              <w:t>60</w:t>
            </w:r>
          </w:p>
        </w:tc>
        <w:tc>
          <w:tcPr>
            <w:tcW w:w="993" w:type="dxa"/>
            <w:hideMark/>
          </w:tcPr>
          <w:p w14:paraId="2E87F710" w14:textId="77777777" w:rsidR="00602F54" w:rsidRPr="004E6C67" w:rsidRDefault="00602F54" w:rsidP="009817E6">
            <w:pPr>
              <w:pStyle w:val="ARtabletextright"/>
              <w:rPr>
                <w:rFonts w:eastAsia="Times"/>
                <w:lang w:eastAsia="en-AU"/>
              </w:rPr>
            </w:pPr>
            <w:r w:rsidRPr="004E6C67">
              <w:rPr>
                <w:rFonts w:eastAsia="Times"/>
                <w:lang w:eastAsia="en-AU"/>
              </w:rPr>
              <w:t>55</w:t>
            </w:r>
          </w:p>
        </w:tc>
        <w:tc>
          <w:tcPr>
            <w:tcW w:w="1020" w:type="dxa"/>
          </w:tcPr>
          <w:p w14:paraId="311DDBDB" w14:textId="77777777" w:rsidR="00602F54" w:rsidRPr="00F45F11" w:rsidRDefault="00602F54" w:rsidP="009817E6">
            <w:pPr>
              <w:pStyle w:val="ARtabletextright"/>
              <w:rPr>
                <w:rFonts w:eastAsia="Times"/>
                <w:lang w:eastAsia="en-AU"/>
              </w:rPr>
            </w:pPr>
            <w:r w:rsidRPr="00F45F11">
              <w:rPr>
                <w:rFonts w:eastAsia="Times"/>
                <w:lang w:eastAsia="en-AU"/>
              </w:rPr>
              <w:t>-8.3%</w:t>
            </w:r>
          </w:p>
        </w:tc>
        <w:tc>
          <w:tcPr>
            <w:tcW w:w="844" w:type="dxa"/>
            <w:hideMark/>
          </w:tcPr>
          <w:p w14:paraId="61883F7E" w14:textId="77777777" w:rsidR="00602F54" w:rsidRPr="00F45F11" w:rsidRDefault="00602F54" w:rsidP="009817E6">
            <w:pPr>
              <w:pStyle w:val="ARtableperformancesymbol"/>
              <w:rPr>
                <w:rFonts w:eastAsia="MS PGothic" w:cs="Arial" w:hint="eastAsia"/>
              </w:rPr>
            </w:pPr>
            <w:r w:rsidRPr="00F45F11">
              <w:rPr>
                <w:rFonts w:eastAsia="Wingdings"/>
              </w:rPr>
              <w:t></w:t>
            </w:r>
          </w:p>
        </w:tc>
      </w:tr>
      <w:tr w:rsidR="00602F54" w:rsidRPr="00F45F11" w14:paraId="758BF7FE" w14:textId="77777777" w:rsidTr="00003010">
        <w:tc>
          <w:tcPr>
            <w:tcW w:w="4815" w:type="dxa"/>
          </w:tcPr>
          <w:p w14:paraId="2702F3A7" w14:textId="77777777" w:rsidR="00602F54" w:rsidRDefault="00602F54" w:rsidP="009817E6">
            <w:pPr>
              <w:pStyle w:val="ARTabletext"/>
              <w:keepNext/>
              <w:rPr>
                <w:rFonts w:eastAsia="Times"/>
                <w:lang w:eastAsia="en-AU"/>
              </w:rPr>
            </w:pPr>
            <w:r w:rsidRPr="00F45F11">
              <w:rPr>
                <w:rFonts w:eastAsia="Times"/>
                <w:lang w:eastAsia="en-AU"/>
              </w:rPr>
              <w:t>Total assessments undertaken at the Support and Safety Hubs</w:t>
            </w:r>
          </w:p>
          <w:p w14:paraId="62843B10" w14:textId="1D63243A" w:rsidR="006B6E69" w:rsidRPr="00F45F11" w:rsidRDefault="006B6E69" w:rsidP="006B6E69">
            <w:pPr>
              <w:pStyle w:val="ARtablenoteindent"/>
            </w:pPr>
            <w:r w:rsidRPr="004E6C67">
              <w:t>The 2025–26 outcome is higher than the 2025–26 target because there has been a rise in demand for family violence and child wellbeing supports.</w:t>
            </w:r>
          </w:p>
        </w:tc>
        <w:tc>
          <w:tcPr>
            <w:tcW w:w="992" w:type="dxa"/>
          </w:tcPr>
          <w:p w14:paraId="05DAB327" w14:textId="77777777" w:rsidR="00602F54" w:rsidRPr="00F45F11" w:rsidRDefault="00602F54" w:rsidP="009817E6">
            <w:pPr>
              <w:pStyle w:val="ARTabletext"/>
              <w:rPr>
                <w:rFonts w:eastAsia="Times"/>
                <w:lang w:eastAsia="en-AU"/>
              </w:rPr>
            </w:pPr>
            <w:r w:rsidRPr="00F45F11">
              <w:rPr>
                <w:rFonts w:eastAsia="Times"/>
                <w:lang w:eastAsia="en-AU"/>
              </w:rPr>
              <w:t>number</w:t>
            </w:r>
          </w:p>
        </w:tc>
        <w:tc>
          <w:tcPr>
            <w:tcW w:w="992" w:type="dxa"/>
          </w:tcPr>
          <w:p w14:paraId="32178695" w14:textId="77777777" w:rsidR="00602F54" w:rsidRPr="00F45F11" w:rsidRDefault="00602F54" w:rsidP="009817E6">
            <w:pPr>
              <w:pStyle w:val="ARtabletextright"/>
              <w:rPr>
                <w:rFonts w:eastAsia="Times"/>
                <w:lang w:eastAsia="en-AU"/>
              </w:rPr>
            </w:pPr>
            <w:r w:rsidRPr="00F45F11">
              <w:rPr>
                <w:rFonts w:eastAsia="Times"/>
                <w:lang w:eastAsia="en-AU"/>
              </w:rPr>
              <w:t>190,000</w:t>
            </w:r>
          </w:p>
        </w:tc>
        <w:tc>
          <w:tcPr>
            <w:tcW w:w="993" w:type="dxa"/>
          </w:tcPr>
          <w:p w14:paraId="4B92CA6F" w14:textId="77777777" w:rsidR="00602F54" w:rsidRPr="00C80763" w:rsidRDefault="00602F54" w:rsidP="009817E6">
            <w:pPr>
              <w:pStyle w:val="ARtabletextright"/>
              <w:rPr>
                <w:rFonts w:eastAsia="Times"/>
                <w:lang w:eastAsia="en-AU"/>
              </w:rPr>
            </w:pPr>
            <w:r w:rsidRPr="00C80763">
              <w:rPr>
                <w:rFonts w:eastAsia="Times"/>
                <w:lang w:eastAsia="en-AU"/>
              </w:rPr>
              <w:t>206,350</w:t>
            </w:r>
          </w:p>
        </w:tc>
        <w:tc>
          <w:tcPr>
            <w:tcW w:w="1020" w:type="dxa"/>
          </w:tcPr>
          <w:p w14:paraId="596CE907" w14:textId="77777777" w:rsidR="00602F54" w:rsidRPr="00C80763" w:rsidRDefault="00602F54" w:rsidP="009817E6">
            <w:pPr>
              <w:pStyle w:val="ARtabletextright"/>
              <w:rPr>
                <w:rFonts w:eastAsia="Times"/>
                <w:lang w:eastAsia="en-AU"/>
              </w:rPr>
            </w:pPr>
            <w:r w:rsidRPr="00C80763">
              <w:rPr>
                <w:rFonts w:eastAsia="Times"/>
                <w:lang w:eastAsia="en-AU"/>
              </w:rPr>
              <w:t>8.6%</w:t>
            </w:r>
          </w:p>
        </w:tc>
        <w:tc>
          <w:tcPr>
            <w:tcW w:w="844" w:type="dxa"/>
          </w:tcPr>
          <w:p w14:paraId="4234902D" w14:textId="77777777" w:rsidR="00602F54" w:rsidRPr="00C80763" w:rsidRDefault="00602F54" w:rsidP="009817E6">
            <w:pPr>
              <w:pStyle w:val="ARtableperformancesymbol"/>
              <w:rPr>
                <w:rFonts w:eastAsia="Wingdings"/>
              </w:rPr>
            </w:pPr>
            <w:r w:rsidRPr="00C80763">
              <w:rPr>
                <w:rFonts w:eastAsia="Wingdings"/>
              </w:rPr>
              <w:t></w:t>
            </w:r>
          </w:p>
        </w:tc>
      </w:tr>
      <w:tr w:rsidR="00602F54" w:rsidRPr="00F45F11" w14:paraId="4C946959" w14:textId="77777777" w:rsidTr="00003010">
        <w:tc>
          <w:tcPr>
            <w:tcW w:w="4815" w:type="dxa"/>
            <w:hideMark/>
          </w:tcPr>
          <w:p w14:paraId="46C73F31" w14:textId="77777777" w:rsidR="00602F54" w:rsidRPr="00F45F11" w:rsidRDefault="00602F54" w:rsidP="009817E6">
            <w:pPr>
              <w:pStyle w:val="ARTabletext"/>
              <w:rPr>
                <w:rFonts w:eastAsia="Times"/>
                <w:lang w:eastAsia="en-AU"/>
              </w:rPr>
            </w:pPr>
            <w:r w:rsidRPr="00F45F11">
              <w:rPr>
                <w:rFonts w:eastAsia="Times"/>
                <w:lang w:eastAsia="en-AU"/>
              </w:rPr>
              <w:t>Total assessments undertaken for children in the Support and Safety Hubs / The Orange Door</w:t>
            </w:r>
          </w:p>
        </w:tc>
        <w:tc>
          <w:tcPr>
            <w:tcW w:w="992" w:type="dxa"/>
            <w:hideMark/>
          </w:tcPr>
          <w:p w14:paraId="64D01AA2" w14:textId="77777777" w:rsidR="00602F54" w:rsidRPr="00F45F11" w:rsidRDefault="00602F54" w:rsidP="009817E6">
            <w:pPr>
              <w:pStyle w:val="ARTabletext"/>
              <w:rPr>
                <w:rFonts w:eastAsia="Times"/>
                <w:lang w:eastAsia="en-AU"/>
              </w:rPr>
            </w:pPr>
            <w:r w:rsidRPr="00F45F11">
              <w:rPr>
                <w:rFonts w:eastAsia="Times"/>
                <w:lang w:eastAsia="en-AU"/>
              </w:rPr>
              <w:t>number</w:t>
            </w:r>
          </w:p>
        </w:tc>
        <w:tc>
          <w:tcPr>
            <w:tcW w:w="992" w:type="dxa"/>
            <w:hideMark/>
          </w:tcPr>
          <w:p w14:paraId="1E9A9EE8" w14:textId="77777777" w:rsidR="00602F54" w:rsidRPr="00F45F11" w:rsidRDefault="00602F54" w:rsidP="009817E6">
            <w:pPr>
              <w:pStyle w:val="ARtabletextright"/>
              <w:rPr>
                <w:rFonts w:eastAsia="Times"/>
                <w:lang w:eastAsia="en-AU"/>
              </w:rPr>
            </w:pPr>
            <w:r w:rsidRPr="00F45F11">
              <w:rPr>
                <w:rFonts w:eastAsia="Times"/>
                <w:lang w:eastAsia="en-AU"/>
              </w:rPr>
              <w:t>105,000</w:t>
            </w:r>
          </w:p>
        </w:tc>
        <w:tc>
          <w:tcPr>
            <w:tcW w:w="993" w:type="dxa"/>
            <w:hideMark/>
          </w:tcPr>
          <w:p w14:paraId="2CCEECE5" w14:textId="77777777" w:rsidR="00602F54" w:rsidRPr="004E6C67" w:rsidRDefault="00602F54" w:rsidP="009817E6">
            <w:pPr>
              <w:pStyle w:val="ARtabletextright"/>
              <w:rPr>
                <w:rFonts w:eastAsia="Times"/>
                <w:lang w:eastAsia="en-AU"/>
              </w:rPr>
            </w:pPr>
            <w:r w:rsidRPr="004E6C67">
              <w:rPr>
                <w:rFonts w:eastAsia="Times"/>
                <w:lang w:eastAsia="en-AU"/>
              </w:rPr>
              <w:t>107,313</w:t>
            </w:r>
          </w:p>
        </w:tc>
        <w:tc>
          <w:tcPr>
            <w:tcW w:w="1020" w:type="dxa"/>
          </w:tcPr>
          <w:p w14:paraId="1962D307" w14:textId="77777777" w:rsidR="00602F54" w:rsidRPr="00F45F11" w:rsidRDefault="00602F54" w:rsidP="009817E6">
            <w:pPr>
              <w:pStyle w:val="ARtabletextright"/>
              <w:rPr>
                <w:rFonts w:eastAsia="Times"/>
                <w:lang w:eastAsia="en-AU"/>
              </w:rPr>
            </w:pPr>
            <w:r w:rsidRPr="00F45F11">
              <w:rPr>
                <w:rFonts w:eastAsia="Times"/>
                <w:lang w:eastAsia="en-AU"/>
              </w:rPr>
              <w:t>2.2%</w:t>
            </w:r>
          </w:p>
        </w:tc>
        <w:tc>
          <w:tcPr>
            <w:tcW w:w="844" w:type="dxa"/>
            <w:hideMark/>
          </w:tcPr>
          <w:p w14:paraId="7F46721B" w14:textId="77777777" w:rsidR="00602F54" w:rsidRPr="00F45F11" w:rsidRDefault="00602F54" w:rsidP="00602F54">
            <w:pPr>
              <w:pStyle w:val="ARtableperformancesymbol"/>
              <w:rPr>
                <w:rFonts w:eastAsia="MS PGothic" w:hint="eastAsia"/>
              </w:rPr>
            </w:pPr>
            <w:r w:rsidRPr="00F45F11">
              <w:rPr>
                <w:rFonts w:eastAsia="Wingdings"/>
              </w:rPr>
              <w:t></w:t>
            </w:r>
          </w:p>
        </w:tc>
      </w:tr>
      <w:tr w:rsidR="00602F54" w:rsidRPr="00F45F11" w14:paraId="651ACFB1" w14:textId="77777777" w:rsidTr="00003010">
        <w:tc>
          <w:tcPr>
            <w:tcW w:w="4815" w:type="dxa"/>
            <w:hideMark/>
          </w:tcPr>
          <w:p w14:paraId="22FF1669" w14:textId="77777777" w:rsidR="00602F54" w:rsidRDefault="00602F54" w:rsidP="009817E6">
            <w:pPr>
              <w:pStyle w:val="ARTabletext"/>
              <w:keepNext/>
              <w:rPr>
                <w:rFonts w:eastAsia="Times"/>
                <w:lang w:eastAsia="en-AU"/>
              </w:rPr>
            </w:pPr>
            <w:r w:rsidRPr="00F45F11">
              <w:rPr>
                <w:rFonts w:eastAsia="Times"/>
                <w:lang w:eastAsia="en-AU"/>
              </w:rPr>
              <w:t>Total number of Central Information Point reports delivered to CIP requesters</w:t>
            </w:r>
          </w:p>
          <w:p w14:paraId="749A58C4" w14:textId="63C3CDEF" w:rsidR="006B6E69" w:rsidRPr="00F45F11" w:rsidRDefault="006B6E69" w:rsidP="006B6E69">
            <w:pPr>
              <w:pStyle w:val="ARtablenoteindent"/>
            </w:pPr>
            <w:r w:rsidRPr="004E6C67">
              <w:t>The 2025–26 outcome is lower than the 2025–26 target due to factors including a higher proportion of comprehensive reports delivered which take more time to prepare.</w:t>
            </w:r>
          </w:p>
        </w:tc>
        <w:tc>
          <w:tcPr>
            <w:tcW w:w="992" w:type="dxa"/>
            <w:hideMark/>
          </w:tcPr>
          <w:p w14:paraId="604C4472" w14:textId="77777777" w:rsidR="00602F54" w:rsidRPr="00F45F11" w:rsidRDefault="00602F54" w:rsidP="009817E6">
            <w:pPr>
              <w:pStyle w:val="ARTabletext"/>
              <w:rPr>
                <w:rFonts w:eastAsia="Times"/>
                <w:lang w:eastAsia="en-AU"/>
              </w:rPr>
            </w:pPr>
            <w:r w:rsidRPr="00F45F11">
              <w:rPr>
                <w:rFonts w:eastAsia="Times"/>
                <w:lang w:eastAsia="en-AU"/>
              </w:rPr>
              <w:t>number</w:t>
            </w:r>
          </w:p>
        </w:tc>
        <w:tc>
          <w:tcPr>
            <w:tcW w:w="992" w:type="dxa"/>
            <w:hideMark/>
          </w:tcPr>
          <w:p w14:paraId="68EAC352" w14:textId="77777777" w:rsidR="00602F54" w:rsidRPr="00F45F11" w:rsidRDefault="00602F54" w:rsidP="009817E6">
            <w:pPr>
              <w:pStyle w:val="ARtabletextright"/>
              <w:rPr>
                <w:rFonts w:eastAsia="Times"/>
                <w:lang w:eastAsia="en-AU"/>
              </w:rPr>
            </w:pPr>
            <w:r w:rsidRPr="00F45F11">
              <w:rPr>
                <w:rFonts w:eastAsia="Times"/>
                <w:lang w:eastAsia="en-AU"/>
              </w:rPr>
              <w:t>10,000</w:t>
            </w:r>
          </w:p>
        </w:tc>
        <w:tc>
          <w:tcPr>
            <w:tcW w:w="993" w:type="dxa"/>
            <w:hideMark/>
          </w:tcPr>
          <w:p w14:paraId="11540EF0" w14:textId="77777777" w:rsidR="00602F54" w:rsidRPr="004E6C67" w:rsidRDefault="00602F54" w:rsidP="009817E6">
            <w:pPr>
              <w:pStyle w:val="ARtabletextright"/>
              <w:rPr>
                <w:rFonts w:eastAsia="Times"/>
                <w:lang w:eastAsia="en-AU"/>
              </w:rPr>
            </w:pPr>
            <w:r w:rsidRPr="004E6C67">
              <w:rPr>
                <w:rFonts w:eastAsia="Times"/>
                <w:lang w:eastAsia="en-AU"/>
              </w:rPr>
              <w:t>9,164</w:t>
            </w:r>
          </w:p>
        </w:tc>
        <w:tc>
          <w:tcPr>
            <w:tcW w:w="1020" w:type="dxa"/>
          </w:tcPr>
          <w:p w14:paraId="60CDC11C" w14:textId="77777777" w:rsidR="00602F54" w:rsidRPr="00F45F11" w:rsidRDefault="00602F54" w:rsidP="009817E6">
            <w:pPr>
              <w:pStyle w:val="ARtabletextright"/>
              <w:rPr>
                <w:rFonts w:eastAsia="Times"/>
                <w:lang w:eastAsia="en-AU"/>
              </w:rPr>
            </w:pPr>
            <w:r w:rsidRPr="00F45F11">
              <w:rPr>
                <w:rFonts w:eastAsia="Times"/>
                <w:lang w:eastAsia="en-AU"/>
              </w:rPr>
              <w:t>-8.4%</w:t>
            </w:r>
          </w:p>
        </w:tc>
        <w:tc>
          <w:tcPr>
            <w:tcW w:w="844" w:type="dxa"/>
            <w:hideMark/>
          </w:tcPr>
          <w:p w14:paraId="50764AA7" w14:textId="77777777" w:rsidR="00602F54" w:rsidRPr="00F45F11" w:rsidRDefault="00602F54" w:rsidP="00602F54">
            <w:pPr>
              <w:pStyle w:val="ARtableperformancesymbol"/>
              <w:rPr>
                <w:rFonts w:eastAsia="MS PGothic" w:hint="eastAsia"/>
              </w:rPr>
            </w:pPr>
            <w:r w:rsidRPr="00F45F11">
              <w:rPr>
                <w:rFonts w:eastAsia="Wingdings"/>
              </w:rPr>
              <w:t></w:t>
            </w:r>
          </w:p>
        </w:tc>
      </w:tr>
      <w:tr w:rsidR="00602F54" w:rsidRPr="00F45F11" w14:paraId="45DF11D3" w14:textId="77777777" w:rsidTr="00003010">
        <w:tc>
          <w:tcPr>
            <w:tcW w:w="4815" w:type="dxa"/>
            <w:hideMark/>
          </w:tcPr>
          <w:p w14:paraId="38D32C39" w14:textId="77777777" w:rsidR="00602F54" w:rsidRDefault="00602F54" w:rsidP="009817E6">
            <w:pPr>
              <w:pStyle w:val="ARTabletext"/>
              <w:rPr>
                <w:rFonts w:eastAsia="Times"/>
                <w:lang w:eastAsia="en-AU"/>
              </w:rPr>
            </w:pPr>
            <w:r w:rsidRPr="00F45F11">
              <w:rPr>
                <w:rFonts w:eastAsia="Times"/>
                <w:lang w:eastAsia="en-AU"/>
              </w:rPr>
              <w:t>Total number of cases opened at The Orange Door</w:t>
            </w:r>
          </w:p>
          <w:p w14:paraId="6545BBD3" w14:textId="2ED1DF3F" w:rsidR="006B6E69" w:rsidRPr="00F45F11" w:rsidRDefault="006B6E69" w:rsidP="006B6E69">
            <w:pPr>
              <w:pStyle w:val="ARtablenoteindent"/>
            </w:pPr>
            <w:r w:rsidRPr="004E6C67">
              <w:t>The 2025–26 outcome is higher than the 2025–26 target because there has been a rise in demand for family violence and child wellbeing supports.</w:t>
            </w:r>
          </w:p>
        </w:tc>
        <w:tc>
          <w:tcPr>
            <w:tcW w:w="992" w:type="dxa"/>
            <w:hideMark/>
          </w:tcPr>
          <w:p w14:paraId="3F4379C6" w14:textId="77777777" w:rsidR="00602F54" w:rsidRPr="00F45F11" w:rsidRDefault="00602F54" w:rsidP="009817E6">
            <w:pPr>
              <w:pStyle w:val="ARTabletext"/>
              <w:rPr>
                <w:rFonts w:eastAsia="Times" w:cs="Arial"/>
                <w:szCs w:val="18"/>
                <w:lang w:eastAsia="en-AU"/>
              </w:rPr>
            </w:pPr>
            <w:r w:rsidRPr="00F45F11">
              <w:rPr>
                <w:rFonts w:eastAsia="Times" w:cs="Arial"/>
                <w:szCs w:val="18"/>
                <w:lang w:eastAsia="en-AU"/>
              </w:rPr>
              <w:t>number</w:t>
            </w:r>
          </w:p>
        </w:tc>
        <w:tc>
          <w:tcPr>
            <w:tcW w:w="992" w:type="dxa"/>
            <w:hideMark/>
          </w:tcPr>
          <w:p w14:paraId="1AA37EE4" w14:textId="77777777" w:rsidR="00602F54" w:rsidRPr="00F45F11" w:rsidRDefault="00602F54" w:rsidP="009817E6">
            <w:pPr>
              <w:pStyle w:val="ARtabletextright"/>
              <w:rPr>
                <w:rFonts w:eastAsia="Times"/>
                <w:lang w:eastAsia="en-AU"/>
              </w:rPr>
            </w:pPr>
            <w:r w:rsidRPr="00F45F11">
              <w:rPr>
                <w:rFonts w:eastAsia="Times"/>
                <w:lang w:eastAsia="en-AU"/>
              </w:rPr>
              <w:t>290,000</w:t>
            </w:r>
          </w:p>
        </w:tc>
        <w:tc>
          <w:tcPr>
            <w:tcW w:w="993" w:type="dxa"/>
            <w:hideMark/>
          </w:tcPr>
          <w:p w14:paraId="0D47C221" w14:textId="77777777" w:rsidR="00602F54" w:rsidRPr="004E6C67" w:rsidRDefault="00602F54" w:rsidP="009817E6">
            <w:pPr>
              <w:pStyle w:val="ARtabletextright"/>
              <w:rPr>
                <w:rFonts w:eastAsia="Times"/>
                <w:lang w:eastAsia="en-AU"/>
              </w:rPr>
            </w:pPr>
            <w:r w:rsidRPr="004E6C67">
              <w:rPr>
                <w:rFonts w:eastAsia="Times"/>
                <w:lang w:eastAsia="en-AU"/>
              </w:rPr>
              <w:t>308,219</w:t>
            </w:r>
          </w:p>
        </w:tc>
        <w:tc>
          <w:tcPr>
            <w:tcW w:w="1020" w:type="dxa"/>
          </w:tcPr>
          <w:p w14:paraId="14EF228A" w14:textId="77777777" w:rsidR="00602F54" w:rsidRPr="00F45F11" w:rsidRDefault="00602F54" w:rsidP="009817E6">
            <w:pPr>
              <w:pStyle w:val="ARtabletextright"/>
              <w:rPr>
                <w:rFonts w:eastAsia="Times"/>
                <w:lang w:eastAsia="en-AU"/>
              </w:rPr>
            </w:pPr>
            <w:r w:rsidRPr="00F45F11">
              <w:rPr>
                <w:rFonts w:eastAsia="Times"/>
                <w:lang w:eastAsia="en-AU"/>
              </w:rPr>
              <w:t>6.3%</w:t>
            </w:r>
          </w:p>
        </w:tc>
        <w:tc>
          <w:tcPr>
            <w:tcW w:w="844" w:type="dxa"/>
            <w:hideMark/>
          </w:tcPr>
          <w:p w14:paraId="350CC49A" w14:textId="77777777" w:rsidR="00602F54" w:rsidRPr="00F45F11" w:rsidRDefault="00602F54" w:rsidP="009817E6">
            <w:pPr>
              <w:pStyle w:val="ARtableperformancesymbol"/>
              <w:rPr>
                <w:rFonts w:eastAsia="MS PGothic" w:cs="Arial" w:hint="eastAsia"/>
              </w:rPr>
            </w:pPr>
            <w:r w:rsidRPr="00F45F11">
              <w:rPr>
                <w:rFonts w:eastAsia="Wingdings"/>
              </w:rPr>
              <w:t></w:t>
            </w:r>
          </w:p>
        </w:tc>
      </w:tr>
      <w:tr w:rsidR="00602F54" w:rsidRPr="00F45F11" w14:paraId="7DA30A8E" w14:textId="77777777" w:rsidTr="00003010">
        <w:tc>
          <w:tcPr>
            <w:tcW w:w="4815" w:type="dxa"/>
            <w:hideMark/>
          </w:tcPr>
          <w:p w14:paraId="61D7958F" w14:textId="77777777" w:rsidR="00602F54" w:rsidRDefault="00602F54" w:rsidP="002A7BAF">
            <w:pPr>
              <w:pStyle w:val="ARTabletext"/>
            </w:pPr>
            <w:r w:rsidRPr="00F45F11">
              <w:t xml:space="preserve">Workers trained in the Multi-Agency Risk Management Framework, the Family Violence Information Sharing Scheme and the Child Information Sharing Scheme. </w:t>
            </w:r>
          </w:p>
          <w:p w14:paraId="0C1A3157" w14:textId="2FE1D69D" w:rsidR="006B6E69" w:rsidRPr="00F45F11" w:rsidRDefault="006B6E69" w:rsidP="002A7BAF">
            <w:pPr>
              <w:pStyle w:val="ARtablenoteindent"/>
            </w:pPr>
            <w:r w:rsidRPr="00F45F11">
              <w:t>The 2025–26 outcome is higher than the 2025–26 target due to a broader range of training products being available and proactive engagement to ensure that sector knowledge reflects new practice requirements.</w:t>
            </w:r>
          </w:p>
        </w:tc>
        <w:tc>
          <w:tcPr>
            <w:tcW w:w="992" w:type="dxa"/>
            <w:hideMark/>
          </w:tcPr>
          <w:p w14:paraId="63E39133" w14:textId="77777777" w:rsidR="00602F54" w:rsidRPr="00F45F11" w:rsidRDefault="00602F54" w:rsidP="00541B81">
            <w:pPr>
              <w:pStyle w:val="ARTabletext"/>
              <w:keepNext/>
            </w:pPr>
            <w:r w:rsidRPr="00F45F11">
              <w:t>number</w:t>
            </w:r>
          </w:p>
        </w:tc>
        <w:tc>
          <w:tcPr>
            <w:tcW w:w="992" w:type="dxa"/>
            <w:hideMark/>
          </w:tcPr>
          <w:p w14:paraId="2C462D04" w14:textId="77777777" w:rsidR="00602F54" w:rsidRPr="00F45F11" w:rsidRDefault="00602F54" w:rsidP="00541B81">
            <w:pPr>
              <w:pStyle w:val="ARtabletextright"/>
              <w:keepNext/>
              <w:rPr>
                <w:rFonts w:eastAsia="Times"/>
                <w:lang w:eastAsia="en-AU"/>
              </w:rPr>
            </w:pPr>
            <w:r w:rsidRPr="00F45F11">
              <w:rPr>
                <w:rFonts w:eastAsia="Times"/>
                <w:lang w:eastAsia="en-AU"/>
              </w:rPr>
              <w:t>15,000</w:t>
            </w:r>
          </w:p>
        </w:tc>
        <w:tc>
          <w:tcPr>
            <w:tcW w:w="993" w:type="dxa"/>
            <w:hideMark/>
          </w:tcPr>
          <w:p w14:paraId="1B39C3FA" w14:textId="77777777" w:rsidR="00602F54" w:rsidRPr="004E6C67" w:rsidRDefault="00602F54" w:rsidP="00541B81">
            <w:pPr>
              <w:pStyle w:val="ARtabletextright"/>
              <w:keepNext/>
              <w:rPr>
                <w:rFonts w:eastAsia="Times"/>
                <w:lang w:eastAsia="en-AU"/>
              </w:rPr>
            </w:pPr>
            <w:r w:rsidRPr="004E6C67">
              <w:rPr>
                <w:rFonts w:eastAsia="Times"/>
                <w:lang w:eastAsia="en-AU"/>
              </w:rPr>
              <w:t>18,169</w:t>
            </w:r>
          </w:p>
        </w:tc>
        <w:tc>
          <w:tcPr>
            <w:tcW w:w="1020" w:type="dxa"/>
          </w:tcPr>
          <w:p w14:paraId="12201947" w14:textId="77777777" w:rsidR="00602F54" w:rsidRPr="00F45F11" w:rsidRDefault="00602F54" w:rsidP="009817E6">
            <w:pPr>
              <w:pStyle w:val="ARtabletextright"/>
              <w:rPr>
                <w:rFonts w:eastAsia="Times"/>
                <w:lang w:eastAsia="en-AU"/>
              </w:rPr>
            </w:pPr>
            <w:r w:rsidRPr="00F45F11">
              <w:rPr>
                <w:rFonts w:eastAsia="Times"/>
                <w:lang w:eastAsia="en-AU"/>
              </w:rPr>
              <w:t>21.1%</w:t>
            </w:r>
          </w:p>
        </w:tc>
        <w:tc>
          <w:tcPr>
            <w:tcW w:w="844" w:type="dxa"/>
            <w:hideMark/>
          </w:tcPr>
          <w:p w14:paraId="747668E5" w14:textId="77777777" w:rsidR="00602F54" w:rsidRPr="00F45F11" w:rsidRDefault="00602F54" w:rsidP="009817E6">
            <w:pPr>
              <w:pStyle w:val="ARtableperformancesymbol"/>
              <w:rPr>
                <w:rFonts w:eastAsia="MS PGothic" w:hint="eastAsia"/>
              </w:rPr>
            </w:pPr>
            <w:r w:rsidRPr="00F45F11">
              <w:rPr>
                <w:rFonts w:eastAsia="Wingdings"/>
              </w:rPr>
              <w:t></w:t>
            </w:r>
          </w:p>
        </w:tc>
      </w:tr>
      <w:tr w:rsidR="00DC4049" w:rsidRPr="00F45F11" w14:paraId="14A7B456" w14:textId="77777777" w:rsidTr="00003010">
        <w:tc>
          <w:tcPr>
            <w:tcW w:w="4815" w:type="dxa"/>
          </w:tcPr>
          <w:p w14:paraId="532CF193" w14:textId="05A3A964" w:rsidR="00DC4049" w:rsidRPr="00F45F11" w:rsidRDefault="006B6E69" w:rsidP="002A7BAF">
            <w:pPr>
              <w:pStyle w:val="ARtablegreybold"/>
              <w:keepNext/>
              <w:rPr>
                <w:rFonts w:eastAsia="Times"/>
              </w:rPr>
            </w:pPr>
            <w:r w:rsidRPr="00F45F11">
              <w:t>Quality</w:t>
            </w:r>
          </w:p>
        </w:tc>
        <w:tc>
          <w:tcPr>
            <w:tcW w:w="992" w:type="dxa"/>
          </w:tcPr>
          <w:p w14:paraId="7E3C80BF" w14:textId="77777777" w:rsidR="00DC4049" w:rsidRPr="00F45F11" w:rsidRDefault="00DC4049" w:rsidP="009817E6">
            <w:pPr>
              <w:pStyle w:val="ARTabletext"/>
              <w:rPr>
                <w:rFonts w:eastAsia="Times"/>
                <w:lang w:eastAsia="en-AU"/>
              </w:rPr>
            </w:pPr>
          </w:p>
        </w:tc>
        <w:tc>
          <w:tcPr>
            <w:tcW w:w="992" w:type="dxa"/>
          </w:tcPr>
          <w:p w14:paraId="72241240" w14:textId="77777777" w:rsidR="00DC4049" w:rsidRPr="00F45F11" w:rsidRDefault="00DC4049" w:rsidP="009817E6">
            <w:pPr>
              <w:pStyle w:val="ARtabletextright"/>
              <w:rPr>
                <w:rFonts w:eastAsia="Times"/>
                <w:lang w:eastAsia="en-AU"/>
              </w:rPr>
            </w:pPr>
          </w:p>
        </w:tc>
        <w:tc>
          <w:tcPr>
            <w:tcW w:w="993" w:type="dxa"/>
          </w:tcPr>
          <w:p w14:paraId="6CDD0C9F" w14:textId="77777777" w:rsidR="00DC4049" w:rsidRPr="00F45F11" w:rsidRDefault="00DC4049" w:rsidP="009817E6">
            <w:pPr>
              <w:pStyle w:val="ARtabletextright"/>
              <w:rPr>
                <w:rFonts w:eastAsia="Times"/>
                <w:lang w:eastAsia="en-AU"/>
              </w:rPr>
            </w:pPr>
          </w:p>
        </w:tc>
        <w:tc>
          <w:tcPr>
            <w:tcW w:w="1020" w:type="dxa"/>
          </w:tcPr>
          <w:p w14:paraId="773A14D6" w14:textId="77777777" w:rsidR="00DC4049" w:rsidRPr="00F45F11" w:rsidRDefault="00DC4049" w:rsidP="009817E6">
            <w:pPr>
              <w:pStyle w:val="ARtabletextright"/>
              <w:rPr>
                <w:rFonts w:eastAsia="Times"/>
                <w:lang w:eastAsia="en-AU"/>
              </w:rPr>
            </w:pPr>
          </w:p>
        </w:tc>
        <w:tc>
          <w:tcPr>
            <w:tcW w:w="844" w:type="dxa"/>
          </w:tcPr>
          <w:p w14:paraId="0A3E574C" w14:textId="77777777" w:rsidR="00DC4049" w:rsidRPr="00F45F11" w:rsidRDefault="00DC4049" w:rsidP="009817E6">
            <w:pPr>
              <w:pStyle w:val="ARtableperformancesymbol"/>
              <w:rPr>
                <w:rFonts w:eastAsia="Wingdings"/>
              </w:rPr>
            </w:pPr>
          </w:p>
        </w:tc>
      </w:tr>
      <w:tr w:rsidR="00602F54" w:rsidRPr="00F45F11" w14:paraId="50079750" w14:textId="77777777" w:rsidTr="00003010">
        <w:tc>
          <w:tcPr>
            <w:tcW w:w="4815" w:type="dxa"/>
            <w:hideMark/>
          </w:tcPr>
          <w:p w14:paraId="78BE8AC0" w14:textId="77777777" w:rsidR="00602F54" w:rsidRDefault="00602F54" w:rsidP="009913ED">
            <w:pPr>
              <w:pStyle w:val="ARTabletext"/>
              <w:keepNext/>
              <w:rPr>
                <w:rFonts w:eastAsia="Times"/>
                <w:lang w:eastAsia="en-AU"/>
              </w:rPr>
            </w:pPr>
            <w:r w:rsidRPr="00F45F11">
              <w:rPr>
                <w:rFonts w:eastAsia="Times"/>
                <w:lang w:eastAsia="en-AU"/>
              </w:rPr>
              <w:t>Satisfaction of clients with Support and</w:t>
            </w:r>
            <w:r w:rsidR="008B6CA7">
              <w:rPr>
                <w:rFonts w:eastAsia="Times"/>
                <w:lang w:eastAsia="en-AU"/>
              </w:rPr>
              <w:t> </w:t>
            </w:r>
            <w:r w:rsidRPr="00F45F11">
              <w:rPr>
                <w:rFonts w:eastAsia="Times"/>
                <w:lang w:eastAsia="en-AU"/>
              </w:rPr>
              <w:t>Safety Hubs services</w:t>
            </w:r>
          </w:p>
          <w:p w14:paraId="54C2757F" w14:textId="1C43BC86" w:rsidR="006B6E69" w:rsidRPr="00F45F11" w:rsidRDefault="006B6E69" w:rsidP="006B6E69">
            <w:pPr>
              <w:pStyle w:val="ARtablenoteindent"/>
            </w:pPr>
            <w:r w:rsidRPr="00F45F11">
              <w:t>The 2025–26 outcome is higher than the 2025–26 target due to increased client confidence and the rate at which positive sentiments were provided through the Client Voice Survey</w:t>
            </w:r>
            <w:r>
              <w:t>.</w:t>
            </w:r>
          </w:p>
        </w:tc>
        <w:tc>
          <w:tcPr>
            <w:tcW w:w="992" w:type="dxa"/>
            <w:hideMark/>
          </w:tcPr>
          <w:p w14:paraId="43225F14" w14:textId="77777777" w:rsidR="00602F54" w:rsidRPr="00F45F11" w:rsidRDefault="00602F54" w:rsidP="009817E6">
            <w:pPr>
              <w:pStyle w:val="ARTabletext"/>
              <w:rPr>
                <w:rFonts w:eastAsia="Times"/>
                <w:lang w:eastAsia="en-AU"/>
              </w:rPr>
            </w:pPr>
            <w:r w:rsidRPr="00F45F11">
              <w:rPr>
                <w:rFonts w:eastAsia="Times"/>
                <w:lang w:eastAsia="en-AU"/>
              </w:rPr>
              <w:t>per cent</w:t>
            </w:r>
          </w:p>
        </w:tc>
        <w:tc>
          <w:tcPr>
            <w:tcW w:w="992" w:type="dxa"/>
            <w:hideMark/>
          </w:tcPr>
          <w:p w14:paraId="18A66938" w14:textId="77777777" w:rsidR="00602F54" w:rsidRPr="00F45F11" w:rsidRDefault="00602F54" w:rsidP="009817E6">
            <w:pPr>
              <w:pStyle w:val="ARtabletextright"/>
              <w:rPr>
                <w:rFonts w:eastAsia="Times"/>
                <w:lang w:eastAsia="en-AU"/>
              </w:rPr>
            </w:pPr>
            <w:r w:rsidRPr="00F45F11">
              <w:rPr>
                <w:rFonts w:eastAsia="Times"/>
                <w:lang w:eastAsia="en-AU"/>
              </w:rPr>
              <w:t>80</w:t>
            </w:r>
          </w:p>
        </w:tc>
        <w:tc>
          <w:tcPr>
            <w:tcW w:w="993" w:type="dxa"/>
            <w:hideMark/>
          </w:tcPr>
          <w:p w14:paraId="431F52D9" w14:textId="77777777" w:rsidR="00602F54" w:rsidRPr="00F45F11" w:rsidRDefault="00602F54" w:rsidP="009817E6">
            <w:pPr>
              <w:pStyle w:val="ARtabletextright"/>
              <w:rPr>
                <w:rFonts w:eastAsia="Times"/>
                <w:lang w:eastAsia="en-AU"/>
              </w:rPr>
            </w:pPr>
            <w:r w:rsidRPr="00F45F11">
              <w:rPr>
                <w:rFonts w:eastAsia="Times"/>
                <w:lang w:eastAsia="en-AU"/>
              </w:rPr>
              <w:t>94.0</w:t>
            </w:r>
          </w:p>
        </w:tc>
        <w:tc>
          <w:tcPr>
            <w:tcW w:w="1020" w:type="dxa"/>
          </w:tcPr>
          <w:p w14:paraId="23BA2FF1" w14:textId="77777777" w:rsidR="00602F54" w:rsidRPr="00F45F11" w:rsidRDefault="00602F54" w:rsidP="009817E6">
            <w:pPr>
              <w:pStyle w:val="ARtabletextright"/>
              <w:rPr>
                <w:rFonts w:eastAsia="Times"/>
                <w:lang w:eastAsia="en-AU"/>
              </w:rPr>
            </w:pPr>
            <w:r w:rsidRPr="00F45F11">
              <w:rPr>
                <w:rFonts w:eastAsia="Times"/>
                <w:lang w:eastAsia="en-AU"/>
              </w:rPr>
              <w:t>17.5%</w:t>
            </w:r>
          </w:p>
        </w:tc>
        <w:tc>
          <w:tcPr>
            <w:tcW w:w="844" w:type="dxa"/>
            <w:hideMark/>
          </w:tcPr>
          <w:p w14:paraId="38CDF39D" w14:textId="77777777" w:rsidR="00602F54" w:rsidRPr="00F45F11" w:rsidRDefault="00602F54" w:rsidP="009817E6">
            <w:pPr>
              <w:pStyle w:val="ARtableperformancesymbol"/>
              <w:rPr>
                <w:rFonts w:eastAsia="MS PGothic" w:cs="Arial" w:hint="eastAsia"/>
              </w:rPr>
            </w:pPr>
            <w:r w:rsidRPr="00F45F11">
              <w:rPr>
                <w:rFonts w:eastAsia="Wingdings"/>
              </w:rPr>
              <w:t></w:t>
            </w:r>
          </w:p>
        </w:tc>
      </w:tr>
      <w:tr w:rsidR="00602F54" w:rsidRPr="004E6C67" w14:paraId="5768C7FC" w14:textId="77777777" w:rsidTr="00003010">
        <w:tc>
          <w:tcPr>
            <w:tcW w:w="4815" w:type="dxa"/>
            <w:hideMark/>
          </w:tcPr>
          <w:p w14:paraId="66394629" w14:textId="77777777" w:rsidR="00602F54" w:rsidRPr="004E6C67" w:rsidRDefault="00602F54" w:rsidP="009817E6">
            <w:pPr>
              <w:pStyle w:val="ARTabletext"/>
              <w:rPr>
                <w:rFonts w:eastAsia="Times"/>
                <w:lang w:eastAsia="en-AU"/>
              </w:rPr>
            </w:pPr>
            <w:r w:rsidRPr="004E6C67">
              <w:rPr>
                <w:rFonts w:eastAsia="Times"/>
                <w:lang w:eastAsia="en-AU"/>
              </w:rPr>
              <w:t>Satisfaction of workers with the information sharing and family violence risk assessment and risk management training</w:t>
            </w:r>
          </w:p>
        </w:tc>
        <w:tc>
          <w:tcPr>
            <w:tcW w:w="992" w:type="dxa"/>
            <w:hideMark/>
          </w:tcPr>
          <w:p w14:paraId="3E459006" w14:textId="77777777" w:rsidR="00602F54" w:rsidRPr="004E6C67" w:rsidRDefault="00602F54" w:rsidP="009817E6">
            <w:pPr>
              <w:pStyle w:val="ARTabletext"/>
              <w:rPr>
                <w:rFonts w:eastAsia="Times"/>
                <w:lang w:eastAsia="en-AU"/>
              </w:rPr>
            </w:pPr>
            <w:r w:rsidRPr="004E6C67">
              <w:rPr>
                <w:rFonts w:eastAsia="Times"/>
                <w:lang w:eastAsia="en-AU"/>
              </w:rPr>
              <w:t>per cent</w:t>
            </w:r>
          </w:p>
        </w:tc>
        <w:tc>
          <w:tcPr>
            <w:tcW w:w="992" w:type="dxa"/>
            <w:hideMark/>
          </w:tcPr>
          <w:p w14:paraId="0DB31D0F" w14:textId="77777777" w:rsidR="00602F54" w:rsidRPr="004E6C67" w:rsidRDefault="00602F54" w:rsidP="009817E6">
            <w:pPr>
              <w:pStyle w:val="ARtabletextright"/>
              <w:rPr>
                <w:rFonts w:eastAsia="Times"/>
                <w:lang w:eastAsia="en-AU"/>
              </w:rPr>
            </w:pPr>
            <w:r w:rsidRPr="004E6C67">
              <w:rPr>
                <w:rFonts w:eastAsia="Times"/>
                <w:lang w:eastAsia="en-AU"/>
              </w:rPr>
              <w:t>95</w:t>
            </w:r>
          </w:p>
        </w:tc>
        <w:tc>
          <w:tcPr>
            <w:tcW w:w="993" w:type="dxa"/>
            <w:hideMark/>
          </w:tcPr>
          <w:p w14:paraId="2B6E8AFD" w14:textId="77777777" w:rsidR="00602F54" w:rsidRPr="004E6C67" w:rsidRDefault="00602F54" w:rsidP="009817E6">
            <w:pPr>
              <w:pStyle w:val="ARtabletextright"/>
              <w:rPr>
                <w:rFonts w:eastAsia="Times"/>
                <w:lang w:eastAsia="en-AU"/>
              </w:rPr>
            </w:pPr>
            <w:r w:rsidRPr="004E6C67">
              <w:rPr>
                <w:rFonts w:eastAsia="Times"/>
                <w:lang w:eastAsia="en-AU"/>
              </w:rPr>
              <w:t>98.8</w:t>
            </w:r>
          </w:p>
        </w:tc>
        <w:tc>
          <w:tcPr>
            <w:tcW w:w="1020" w:type="dxa"/>
          </w:tcPr>
          <w:p w14:paraId="4AD6CAC6" w14:textId="77777777" w:rsidR="00602F54" w:rsidRPr="004E6C67" w:rsidRDefault="00602F54" w:rsidP="009817E6">
            <w:pPr>
              <w:pStyle w:val="ARtabletextright"/>
              <w:rPr>
                <w:rFonts w:eastAsia="Times"/>
                <w:lang w:eastAsia="en-AU"/>
              </w:rPr>
            </w:pPr>
            <w:r w:rsidRPr="004E6C67">
              <w:rPr>
                <w:rFonts w:eastAsia="Times"/>
                <w:lang w:eastAsia="en-AU"/>
              </w:rPr>
              <w:t>4%</w:t>
            </w:r>
          </w:p>
        </w:tc>
        <w:tc>
          <w:tcPr>
            <w:tcW w:w="844" w:type="dxa"/>
            <w:hideMark/>
          </w:tcPr>
          <w:p w14:paraId="2D2DF6FB" w14:textId="77777777" w:rsidR="00602F54" w:rsidRPr="004E6C67" w:rsidRDefault="00602F54" w:rsidP="009817E6">
            <w:pPr>
              <w:pStyle w:val="ARtableperformancesymbol"/>
              <w:rPr>
                <w:rFonts w:eastAsia="MS PGothic" w:cs="Arial" w:hint="eastAsia"/>
              </w:rPr>
            </w:pPr>
            <w:r w:rsidRPr="004E6C67">
              <w:rPr>
                <w:rFonts w:eastAsia="Wingdings"/>
              </w:rPr>
              <w:t></w:t>
            </w:r>
          </w:p>
        </w:tc>
      </w:tr>
      <w:tr w:rsidR="00DC4049" w:rsidRPr="004E6C67" w14:paraId="735307BF" w14:textId="77777777" w:rsidTr="00003010">
        <w:tc>
          <w:tcPr>
            <w:tcW w:w="4815" w:type="dxa"/>
          </w:tcPr>
          <w:p w14:paraId="08288CDE" w14:textId="7FD3B3BF" w:rsidR="00DC4049" w:rsidRPr="004E6C67" w:rsidRDefault="006B6E69" w:rsidP="006B6E69">
            <w:pPr>
              <w:pStyle w:val="ARtablegreybold"/>
            </w:pPr>
            <w:r w:rsidRPr="004E6C67">
              <w:t>Timeliness</w:t>
            </w:r>
          </w:p>
        </w:tc>
        <w:tc>
          <w:tcPr>
            <w:tcW w:w="992" w:type="dxa"/>
          </w:tcPr>
          <w:p w14:paraId="16B0DDA5" w14:textId="77777777" w:rsidR="00DC4049" w:rsidRPr="004E6C67" w:rsidRDefault="00DC4049" w:rsidP="009817E6">
            <w:pPr>
              <w:pStyle w:val="ARTabletext"/>
              <w:rPr>
                <w:rFonts w:eastAsia="Times"/>
                <w:lang w:eastAsia="en-AU"/>
              </w:rPr>
            </w:pPr>
          </w:p>
        </w:tc>
        <w:tc>
          <w:tcPr>
            <w:tcW w:w="992" w:type="dxa"/>
          </w:tcPr>
          <w:p w14:paraId="1A33B0E0" w14:textId="77777777" w:rsidR="00DC4049" w:rsidRPr="004E6C67" w:rsidRDefault="00DC4049" w:rsidP="009817E6">
            <w:pPr>
              <w:pStyle w:val="ARtabletextright"/>
              <w:rPr>
                <w:rFonts w:eastAsia="Times"/>
                <w:lang w:eastAsia="en-AU"/>
              </w:rPr>
            </w:pPr>
          </w:p>
        </w:tc>
        <w:tc>
          <w:tcPr>
            <w:tcW w:w="993" w:type="dxa"/>
          </w:tcPr>
          <w:p w14:paraId="4C15421D" w14:textId="77777777" w:rsidR="00DC4049" w:rsidRPr="004E6C67" w:rsidRDefault="00DC4049" w:rsidP="009817E6">
            <w:pPr>
              <w:pStyle w:val="ARtabletextright"/>
              <w:rPr>
                <w:rFonts w:eastAsia="Times"/>
                <w:lang w:eastAsia="en-AU"/>
              </w:rPr>
            </w:pPr>
          </w:p>
        </w:tc>
        <w:tc>
          <w:tcPr>
            <w:tcW w:w="1020" w:type="dxa"/>
          </w:tcPr>
          <w:p w14:paraId="669629F9" w14:textId="77777777" w:rsidR="00DC4049" w:rsidRPr="004E6C67" w:rsidRDefault="00DC4049" w:rsidP="009817E6">
            <w:pPr>
              <w:pStyle w:val="ARtabletextright"/>
              <w:rPr>
                <w:rFonts w:eastAsia="Times"/>
                <w:lang w:eastAsia="en-AU"/>
              </w:rPr>
            </w:pPr>
          </w:p>
        </w:tc>
        <w:tc>
          <w:tcPr>
            <w:tcW w:w="844" w:type="dxa"/>
          </w:tcPr>
          <w:p w14:paraId="29D534B0" w14:textId="77777777" w:rsidR="00DC4049" w:rsidRPr="004E6C67" w:rsidRDefault="00DC4049" w:rsidP="009817E6">
            <w:pPr>
              <w:pStyle w:val="ARtableperformancesymbol"/>
              <w:rPr>
                <w:rFonts w:eastAsia="MS PGothic" w:hint="eastAsia"/>
              </w:rPr>
            </w:pPr>
          </w:p>
        </w:tc>
      </w:tr>
      <w:tr w:rsidR="00602F54" w:rsidRPr="004E6C67" w14:paraId="0DF373B3" w14:textId="77777777" w:rsidTr="00003010">
        <w:tc>
          <w:tcPr>
            <w:tcW w:w="4815" w:type="dxa"/>
            <w:hideMark/>
          </w:tcPr>
          <w:p w14:paraId="0FB99170" w14:textId="77777777" w:rsidR="00602F54" w:rsidRPr="004E6C67" w:rsidRDefault="00602F54" w:rsidP="009817E6">
            <w:pPr>
              <w:pStyle w:val="ARTabletext"/>
              <w:rPr>
                <w:rFonts w:eastAsia="Times"/>
                <w:lang w:eastAsia="en-AU"/>
              </w:rPr>
            </w:pPr>
            <w:r w:rsidRPr="004E6C67">
              <w:rPr>
                <w:rFonts w:eastAsia="Times"/>
                <w:lang w:eastAsia="en-AU"/>
              </w:rPr>
              <w:t>Assessments undertaken within seven days</w:t>
            </w:r>
          </w:p>
        </w:tc>
        <w:tc>
          <w:tcPr>
            <w:tcW w:w="992" w:type="dxa"/>
            <w:hideMark/>
          </w:tcPr>
          <w:p w14:paraId="5D0D408A" w14:textId="77777777" w:rsidR="00602F54" w:rsidRPr="004E6C67" w:rsidRDefault="00602F54" w:rsidP="009817E6">
            <w:pPr>
              <w:pStyle w:val="ARTabletext"/>
              <w:rPr>
                <w:rFonts w:eastAsia="Times"/>
                <w:lang w:eastAsia="en-AU"/>
              </w:rPr>
            </w:pPr>
            <w:r w:rsidRPr="004E6C67">
              <w:rPr>
                <w:rFonts w:eastAsia="Times"/>
                <w:lang w:eastAsia="en-AU"/>
              </w:rPr>
              <w:t>per cent</w:t>
            </w:r>
          </w:p>
        </w:tc>
        <w:tc>
          <w:tcPr>
            <w:tcW w:w="992" w:type="dxa"/>
            <w:hideMark/>
          </w:tcPr>
          <w:p w14:paraId="6071D994" w14:textId="77777777" w:rsidR="00602F54" w:rsidRPr="004E6C67" w:rsidRDefault="00602F54" w:rsidP="009817E6">
            <w:pPr>
              <w:pStyle w:val="ARtabletextright"/>
              <w:rPr>
                <w:rFonts w:eastAsia="Times"/>
                <w:lang w:eastAsia="en-AU"/>
              </w:rPr>
            </w:pPr>
            <w:r w:rsidRPr="004E6C67">
              <w:rPr>
                <w:rFonts w:eastAsia="Times"/>
                <w:lang w:eastAsia="en-AU"/>
              </w:rPr>
              <w:t>80.0</w:t>
            </w:r>
          </w:p>
        </w:tc>
        <w:tc>
          <w:tcPr>
            <w:tcW w:w="993" w:type="dxa"/>
            <w:hideMark/>
          </w:tcPr>
          <w:p w14:paraId="0AB4EEBE" w14:textId="77777777" w:rsidR="00602F54" w:rsidRPr="004E6C67" w:rsidRDefault="00602F54" w:rsidP="009817E6">
            <w:pPr>
              <w:pStyle w:val="ARtabletextright"/>
              <w:rPr>
                <w:rFonts w:eastAsia="Times"/>
                <w:lang w:eastAsia="en-AU"/>
              </w:rPr>
            </w:pPr>
            <w:r w:rsidRPr="004E6C67">
              <w:rPr>
                <w:rFonts w:eastAsia="Times"/>
                <w:lang w:eastAsia="en-AU"/>
              </w:rPr>
              <w:t>77.8</w:t>
            </w:r>
          </w:p>
        </w:tc>
        <w:tc>
          <w:tcPr>
            <w:tcW w:w="1020" w:type="dxa"/>
          </w:tcPr>
          <w:p w14:paraId="5A3798AF" w14:textId="77777777" w:rsidR="00602F54" w:rsidRPr="004E6C67" w:rsidRDefault="00602F54" w:rsidP="009817E6">
            <w:pPr>
              <w:pStyle w:val="ARtabletextright"/>
              <w:rPr>
                <w:rFonts w:eastAsia="Times"/>
                <w:lang w:eastAsia="en-AU"/>
              </w:rPr>
            </w:pPr>
            <w:r w:rsidRPr="004E6C67">
              <w:rPr>
                <w:rFonts w:eastAsia="Times"/>
                <w:lang w:eastAsia="en-AU"/>
              </w:rPr>
              <w:t>-2.8%</w:t>
            </w:r>
          </w:p>
        </w:tc>
        <w:tc>
          <w:tcPr>
            <w:tcW w:w="844" w:type="dxa"/>
            <w:hideMark/>
          </w:tcPr>
          <w:p w14:paraId="21E94B1E" w14:textId="77777777" w:rsidR="00602F54" w:rsidRPr="004E6C67" w:rsidRDefault="00602F54" w:rsidP="009817E6">
            <w:pPr>
              <w:pStyle w:val="ARtableperformancesymbol"/>
              <w:rPr>
                <w:rFonts w:eastAsia="MS PGothic" w:hint="eastAsia"/>
              </w:rPr>
            </w:pPr>
            <w:r w:rsidRPr="004E6C67">
              <w:rPr>
                <w:rFonts w:eastAsia="MS PGothic"/>
              </w:rPr>
              <w:t>□</w:t>
            </w:r>
          </w:p>
        </w:tc>
      </w:tr>
      <w:tr w:rsidR="00602F54" w:rsidRPr="004E6C67" w14:paraId="45CB0AE6" w14:textId="77777777" w:rsidTr="00003010">
        <w:tc>
          <w:tcPr>
            <w:tcW w:w="4815" w:type="dxa"/>
            <w:hideMark/>
          </w:tcPr>
          <w:p w14:paraId="4FAA5D89" w14:textId="2E7367B3" w:rsidR="00602F54" w:rsidRPr="004E6C67" w:rsidRDefault="00602F54" w:rsidP="009817E6">
            <w:pPr>
              <w:pStyle w:val="ARTabletext"/>
              <w:rPr>
                <w:rFonts w:eastAsia="Times"/>
                <w:lang w:eastAsia="en-AU"/>
              </w:rPr>
            </w:pPr>
            <w:r w:rsidRPr="004E6C67">
              <w:rPr>
                <w:rFonts w:eastAsia="Times"/>
                <w:lang w:eastAsia="en-AU"/>
              </w:rPr>
              <w:t xml:space="preserve">Sexual assault support services clients receiving </w:t>
            </w:r>
            <w:r w:rsidR="008B6CA7">
              <w:rPr>
                <w:rFonts w:eastAsia="Times"/>
                <w:lang w:eastAsia="en-AU"/>
              </w:rPr>
              <w:br/>
            </w:r>
            <w:r w:rsidRPr="004E6C67">
              <w:rPr>
                <w:rFonts w:eastAsia="Times"/>
                <w:lang w:eastAsia="en-AU"/>
              </w:rPr>
              <w:t xml:space="preserve">an initial response within five working days of </w:t>
            </w:r>
            <w:r w:rsidRPr="004E6C67">
              <w:t>referral</w:t>
            </w:r>
          </w:p>
        </w:tc>
        <w:tc>
          <w:tcPr>
            <w:tcW w:w="992" w:type="dxa"/>
            <w:hideMark/>
          </w:tcPr>
          <w:p w14:paraId="55D343DC" w14:textId="77777777" w:rsidR="00602F54" w:rsidRPr="004E6C67" w:rsidRDefault="00602F54" w:rsidP="009817E6">
            <w:pPr>
              <w:pStyle w:val="ARTabletext"/>
              <w:rPr>
                <w:rFonts w:eastAsia="Times"/>
                <w:lang w:eastAsia="en-AU"/>
              </w:rPr>
            </w:pPr>
            <w:r w:rsidRPr="004E6C67">
              <w:rPr>
                <w:rFonts w:eastAsia="Times"/>
                <w:lang w:eastAsia="en-AU"/>
              </w:rPr>
              <w:t>per cent</w:t>
            </w:r>
          </w:p>
        </w:tc>
        <w:tc>
          <w:tcPr>
            <w:tcW w:w="992" w:type="dxa"/>
            <w:hideMark/>
          </w:tcPr>
          <w:p w14:paraId="24DF28C3" w14:textId="77777777" w:rsidR="00602F54" w:rsidRPr="004E6C67" w:rsidRDefault="00602F54" w:rsidP="009817E6">
            <w:pPr>
              <w:pStyle w:val="ARtabletextright"/>
              <w:rPr>
                <w:rFonts w:eastAsia="Times"/>
                <w:lang w:eastAsia="en-AU"/>
              </w:rPr>
            </w:pPr>
            <w:r w:rsidRPr="004E6C67">
              <w:rPr>
                <w:rFonts w:eastAsia="Times"/>
                <w:lang w:eastAsia="en-AU"/>
              </w:rPr>
              <w:t>98.0</w:t>
            </w:r>
          </w:p>
        </w:tc>
        <w:tc>
          <w:tcPr>
            <w:tcW w:w="993" w:type="dxa"/>
            <w:hideMark/>
          </w:tcPr>
          <w:p w14:paraId="202B9284" w14:textId="77777777" w:rsidR="00602F54" w:rsidRPr="004E6C67" w:rsidRDefault="00602F54" w:rsidP="009817E6">
            <w:pPr>
              <w:pStyle w:val="ARtabletextright"/>
              <w:rPr>
                <w:rFonts w:eastAsia="Times"/>
                <w:lang w:eastAsia="en-AU"/>
              </w:rPr>
            </w:pPr>
            <w:r w:rsidRPr="004E6C67">
              <w:rPr>
                <w:rFonts w:eastAsia="Times"/>
                <w:lang w:eastAsia="en-AU"/>
              </w:rPr>
              <w:t>94.0</w:t>
            </w:r>
          </w:p>
        </w:tc>
        <w:tc>
          <w:tcPr>
            <w:tcW w:w="1020" w:type="dxa"/>
          </w:tcPr>
          <w:p w14:paraId="42A084FB" w14:textId="77777777" w:rsidR="00602F54" w:rsidRPr="004E6C67" w:rsidRDefault="00602F54" w:rsidP="009817E6">
            <w:pPr>
              <w:pStyle w:val="ARtabletextright"/>
              <w:rPr>
                <w:rFonts w:eastAsia="Times"/>
                <w:lang w:eastAsia="en-AU"/>
              </w:rPr>
            </w:pPr>
            <w:r w:rsidRPr="004E6C67">
              <w:rPr>
                <w:rFonts w:eastAsia="Times"/>
                <w:lang w:eastAsia="en-AU"/>
              </w:rPr>
              <w:t>-4.1%</w:t>
            </w:r>
          </w:p>
        </w:tc>
        <w:tc>
          <w:tcPr>
            <w:tcW w:w="844" w:type="dxa"/>
            <w:hideMark/>
          </w:tcPr>
          <w:p w14:paraId="231A5F69" w14:textId="77777777" w:rsidR="00602F54" w:rsidRPr="004E6C67" w:rsidRDefault="00602F54" w:rsidP="009817E6">
            <w:pPr>
              <w:pStyle w:val="ARtableperformancesymbol"/>
              <w:rPr>
                <w:rFonts w:eastAsia="Wingdings" w:cs="Wingdings"/>
              </w:rPr>
            </w:pPr>
            <w:r w:rsidRPr="004E6C67">
              <w:rPr>
                <w:rFonts w:eastAsia="MS PGothic"/>
              </w:rPr>
              <w:t>□</w:t>
            </w:r>
          </w:p>
        </w:tc>
      </w:tr>
      <w:tr w:rsidR="00602F54" w:rsidRPr="004E6C67" w14:paraId="7ACC009B" w14:textId="77777777" w:rsidTr="00003010">
        <w:tc>
          <w:tcPr>
            <w:tcW w:w="4815" w:type="dxa"/>
          </w:tcPr>
          <w:p w14:paraId="196DE589" w14:textId="77777777" w:rsidR="00602F54" w:rsidRPr="004E6C67" w:rsidRDefault="00602F54" w:rsidP="009817E6">
            <w:pPr>
              <w:pStyle w:val="ARtablegreybold"/>
            </w:pPr>
            <w:r w:rsidRPr="004E6C67">
              <w:t>Cost</w:t>
            </w:r>
          </w:p>
        </w:tc>
        <w:tc>
          <w:tcPr>
            <w:tcW w:w="992" w:type="dxa"/>
          </w:tcPr>
          <w:p w14:paraId="280B734A" w14:textId="77777777" w:rsidR="00602F54" w:rsidRPr="004E6C67" w:rsidRDefault="00602F54" w:rsidP="009817E6">
            <w:pPr>
              <w:pStyle w:val="ARtablegreybold"/>
              <w:rPr>
                <w:rFonts w:eastAsia="Times"/>
              </w:rPr>
            </w:pPr>
          </w:p>
        </w:tc>
        <w:tc>
          <w:tcPr>
            <w:tcW w:w="992" w:type="dxa"/>
          </w:tcPr>
          <w:p w14:paraId="5A52B267" w14:textId="77777777" w:rsidR="00602F54" w:rsidRPr="004E6C67" w:rsidRDefault="00602F54" w:rsidP="009817E6">
            <w:pPr>
              <w:pStyle w:val="ARtablegreybold"/>
              <w:rPr>
                <w:rFonts w:eastAsia="Times"/>
              </w:rPr>
            </w:pPr>
          </w:p>
        </w:tc>
        <w:tc>
          <w:tcPr>
            <w:tcW w:w="993" w:type="dxa"/>
          </w:tcPr>
          <w:p w14:paraId="3192EF10" w14:textId="77777777" w:rsidR="00602F54" w:rsidRPr="004E6C67" w:rsidRDefault="00602F54" w:rsidP="009817E6">
            <w:pPr>
              <w:pStyle w:val="ARtablegreybold"/>
              <w:rPr>
                <w:rFonts w:eastAsia="Times"/>
              </w:rPr>
            </w:pPr>
          </w:p>
        </w:tc>
        <w:tc>
          <w:tcPr>
            <w:tcW w:w="1020" w:type="dxa"/>
          </w:tcPr>
          <w:p w14:paraId="6CEA03E3" w14:textId="77777777" w:rsidR="00602F54" w:rsidRPr="004E6C67" w:rsidRDefault="00602F54" w:rsidP="009817E6">
            <w:pPr>
              <w:pStyle w:val="ARtablegreybold"/>
              <w:rPr>
                <w:rFonts w:eastAsia="Times"/>
              </w:rPr>
            </w:pPr>
          </w:p>
        </w:tc>
        <w:tc>
          <w:tcPr>
            <w:tcW w:w="844" w:type="dxa"/>
          </w:tcPr>
          <w:p w14:paraId="68A41BD1" w14:textId="77777777" w:rsidR="00602F54" w:rsidRPr="004E6C67" w:rsidRDefault="00602F54" w:rsidP="009817E6">
            <w:pPr>
              <w:pStyle w:val="ARtablegreybold"/>
              <w:rPr>
                <w:rFonts w:ascii="Wingdings" w:eastAsia="Wingdings" w:hAnsi="Wingdings" w:cs="Wingdings"/>
                <w:lang w:eastAsia="x-none"/>
              </w:rPr>
            </w:pPr>
          </w:p>
        </w:tc>
      </w:tr>
      <w:tr w:rsidR="00602F54" w:rsidRPr="004E6C67" w14:paraId="670296A2" w14:textId="77777777" w:rsidTr="00003010">
        <w:trPr>
          <w:cnfStyle w:val="010000000000" w:firstRow="0" w:lastRow="1" w:firstColumn="0" w:lastColumn="0" w:oddVBand="0" w:evenVBand="0" w:oddHBand="0" w:evenHBand="0" w:firstRowFirstColumn="0" w:firstRowLastColumn="0" w:lastRowFirstColumn="0" w:lastRowLastColumn="0"/>
          <w:trHeight w:val="159"/>
        </w:trPr>
        <w:tc>
          <w:tcPr>
            <w:tcW w:w="4815" w:type="dxa"/>
            <w:hideMark/>
          </w:tcPr>
          <w:p w14:paraId="7F4038C9" w14:textId="77777777" w:rsidR="00602F54" w:rsidRPr="004E6C67" w:rsidRDefault="00602F54" w:rsidP="00CE0233">
            <w:pPr>
              <w:pStyle w:val="ARtabletextbold"/>
              <w:rPr>
                <w:rFonts w:eastAsia="Times"/>
                <w:lang w:eastAsia="en-AU"/>
              </w:rPr>
            </w:pPr>
            <w:r w:rsidRPr="004E6C67">
              <w:rPr>
                <w:rFonts w:eastAsia="Times"/>
                <w:lang w:eastAsia="en-AU"/>
              </w:rPr>
              <w:t>Total output cost</w:t>
            </w:r>
          </w:p>
        </w:tc>
        <w:tc>
          <w:tcPr>
            <w:tcW w:w="992" w:type="dxa"/>
            <w:hideMark/>
          </w:tcPr>
          <w:p w14:paraId="5DCF683C" w14:textId="77777777" w:rsidR="00602F54" w:rsidRPr="004E6C67" w:rsidRDefault="00602F54" w:rsidP="008B6CA7">
            <w:pPr>
              <w:pStyle w:val="ARtabletextbold"/>
              <w:rPr>
                <w:rFonts w:eastAsia="Times"/>
                <w:lang w:eastAsia="en-AU"/>
              </w:rPr>
            </w:pPr>
            <w:r w:rsidRPr="004E6C67">
              <w:rPr>
                <w:rFonts w:eastAsia="Times"/>
                <w:lang w:eastAsia="en-AU"/>
              </w:rPr>
              <w:t>$ million</w:t>
            </w:r>
          </w:p>
        </w:tc>
        <w:tc>
          <w:tcPr>
            <w:tcW w:w="992" w:type="dxa"/>
          </w:tcPr>
          <w:p w14:paraId="78DEB151" w14:textId="77777777" w:rsidR="00602F54" w:rsidRPr="004E6C67" w:rsidRDefault="00602F54" w:rsidP="00CE0233">
            <w:pPr>
              <w:pStyle w:val="ARtabletextrightbold"/>
              <w:rPr>
                <w:rFonts w:eastAsia="Times"/>
                <w:lang w:eastAsia="en-AU"/>
              </w:rPr>
            </w:pPr>
            <w:r w:rsidRPr="004E6C67">
              <w:rPr>
                <w:rFonts w:eastAsia="Times"/>
                <w:lang w:eastAsia="en-AU"/>
              </w:rPr>
              <w:t>786.9</w:t>
            </w:r>
          </w:p>
        </w:tc>
        <w:tc>
          <w:tcPr>
            <w:tcW w:w="993" w:type="dxa"/>
          </w:tcPr>
          <w:p w14:paraId="1245635E" w14:textId="77777777" w:rsidR="00602F54" w:rsidRPr="004E6C67" w:rsidRDefault="00602F54" w:rsidP="00CE0233">
            <w:pPr>
              <w:pStyle w:val="ARtabletextrightbold"/>
              <w:rPr>
                <w:rFonts w:eastAsia="Times"/>
                <w:lang w:eastAsia="en-AU"/>
              </w:rPr>
            </w:pPr>
            <w:r w:rsidRPr="004E6C67">
              <w:rPr>
                <w:rFonts w:eastAsia="Times"/>
                <w:lang w:eastAsia="en-AU"/>
              </w:rPr>
              <w:t>809.3</w:t>
            </w:r>
          </w:p>
        </w:tc>
        <w:tc>
          <w:tcPr>
            <w:tcW w:w="1020" w:type="dxa"/>
          </w:tcPr>
          <w:p w14:paraId="0B01D934" w14:textId="77777777" w:rsidR="00602F54" w:rsidRPr="004E6C67" w:rsidRDefault="00602F54" w:rsidP="00CE0233">
            <w:pPr>
              <w:pStyle w:val="ARtabletextrightbold"/>
              <w:rPr>
                <w:rFonts w:eastAsia="Times"/>
                <w:lang w:eastAsia="en-AU"/>
              </w:rPr>
            </w:pPr>
            <w:r w:rsidRPr="004E6C67">
              <w:rPr>
                <w:rFonts w:eastAsia="Times"/>
                <w:lang w:eastAsia="en-AU"/>
              </w:rPr>
              <w:t>2.9%</w:t>
            </w:r>
          </w:p>
        </w:tc>
        <w:tc>
          <w:tcPr>
            <w:tcW w:w="844" w:type="dxa"/>
          </w:tcPr>
          <w:p w14:paraId="60F66160" w14:textId="77777777" w:rsidR="00602F54" w:rsidRPr="004E6C67" w:rsidRDefault="00602F54" w:rsidP="009817E6">
            <w:pPr>
              <w:pStyle w:val="ARtableperformancesymbol"/>
              <w:rPr>
                <w:rFonts w:eastAsia="MS PGothic" w:cs="Arial" w:hint="eastAsia"/>
              </w:rPr>
            </w:pPr>
            <w:r w:rsidRPr="004E6C67">
              <w:rPr>
                <w:rFonts w:eastAsia="Wingdings"/>
              </w:rPr>
              <w:t></w:t>
            </w:r>
          </w:p>
        </w:tc>
      </w:tr>
    </w:tbl>
    <w:p w14:paraId="3356E25B" w14:textId="0F50B0CD" w:rsidR="00602F54" w:rsidRPr="004E6C67" w:rsidRDefault="00602F54" w:rsidP="00386558">
      <w:pPr>
        <w:pStyle w:val="Heading3"/>
        <w:rPr>
          <w:lang w:eastAsia="en-AU"/>
        </w:rPr>
      </w:pPr>
      <w:r w:rsidRPr="004E6C67">
        <w:rPr>
          <w:lang w:eastAsia="en-AU"/>
        </w:rPr>
        <w:t>Primary prevention of family violence</w:t>
      </w:r>
    </w:p>
    <w:p w14:paraId="060EEEFE" w14:textId="15E654D9" w:rsidR="00C47424" w:rsidRPr="008A142C" w:rsidRDefault="00602F54" w:rsidP="008A142C">
      <w:pPr>
        <w:pStyle w:val="ARbodybeforetable"/>
      </w:pPr>
      <w:r w:rsidRPr="004E6C67">
        <w:t>This output provides initiatives that support primary prevention of family violence and all forms of violence against women.</w:t>
      </w:r>
    </w:p>
    <w:tbl>
      <w:tblPr>
        <w:tblStyle w:val="ARtable1"/>
        <w:tblW w:w="5000" w:type="pct"/>
        <w:tblLayout w:type="fixed"/>
        <w:tblLook w:val="06A0" w:firstRow="1" w:lastRow="0" w:firstColumn="1" w:lastColumn="0" w:noHBand="1" w:noVBand="1"/>
      </w:tblPr>
      <w:tblGrid>
        <w:gridCol w:w="4720"/>
        <w:gridCol w:w="1021"/>
        <w:gridCol w:w="1022"/>
        <w:gridCol w:w="1024"/>
        <w:gridCol w:w="1028"/>
        <w:gridCol w:w="813"/>
      </w:tblGrid>
      <w:tr w:rsidR="00602F54" w:rsidRPr="004E6C67" w14:paraId="27442045" w14:textId="77777777" w:rsidTr="00E906D7">
        <w:trPr>
          <w:cnfStyle w:val="100000000000" w:firstRow="1" w:lastRow="0" w:firstColumn="0" w:lastColumn="0" w:oddVBand="0" w:evenVBand="0" w:oddHBand="0" w:evenHBand="0" w:firstRowFirstColumn="0" w:firstRowLastColumn="0" w:lastRowFirstColumn="0" w:lastRowLastColumn="0"/>
          <w:tblHeader/>
        </w:trPr>
        <w:tc>
          <w:tcPr>
            <w:tcW w:w="2451" w:type="pct"/>
            <w:hideMark/>
          </w:tcPr>
          <w:p w14:paraId="71370A88" w14:textId="77777777" w:rsidR="00602F54" w:rsidRPr="004E6C67" w:rsidRDefault="00602F54" w:rsidP="009817E6">
            <w:pPr>
              <w:pStyle w:val="ARtablecolhead"/>
              <w:rPr>
                <w:rFonts w:eastAsia="Times"/>
              </w:rPr>
            </w:pPr>
            <w:r w:rsidRPr="004E6C67">
              <w:rPr>
                <w:rFonts w:eastAsia="Times"/>
              </w:rPr>
              <w:t>Performance measures</w:t>
            </w:r>
          </w:p>
        </w:tc>
        <w:tc>
          <w:tcPr>
            <w:tcW w:w="530" w:type="pct"/>
            <w:hideMark/>
          </w:tcPr>
          <w:p w14:paraId="679BE94E" w14:textId="77777777" w:rsidR="00602F54" w:rsidRPr="004E6C67" w:rsidRDefault="00602F54" w:rsidP="009817E6">
            <w:pPr>
              <w:pStyle w:val="ARtablecolhead"/>
              <w:rPr>
                <w:rFonts w:eastAsia="Times"/>
              </w:rPr>
            </w:pPr>
            <w:r w:rsidRPr="004E6C67">
              <w:rPr>
                <w:rFonts w:eastAsia="Times"/>
              </w:rPr>
              <w:t>Unit of measure</w:t>
            </w:r>
          </w:p>
        </w:tc>
        <w:tc>
          <w:tcPr>
            <w:tcW w:w="531" w:type="pct"/>
            <w:hideMark/>
          </w:tcPr>
          <w:p w14:paraId="635256BC" w14:textId="77777777" w:rsidR="00602F54" w:rsidRPr="004E6C67" w:rsidRDefault="00602F54" w:rsidP="009817E6">
            <w:pPr>
              <w:pStyle w:val="ARtablecolheadright"/>
              <w:rPr>
                <w:rFonts w:eastAsia="Times"/>
              </w:rPr>
            </w:pPr>
            <w:r w:rsidRPr="004E6C67">
              <w:rPr>
                <w:rFonts w:eastAsia="Times"/>
              </w:rPr>
              <w:t>2025–26 target</w:t>
            </w:r>
          </w:p>
        </w:tc>
        <w:tc>
          <w:tcPr>
            <w:tcW w:w="532" w:type="pct"/>
            <w:hideMark/>
          </w:tcPr>
          <w:p w14:paraId="68D65EBC" w14:textId="77777777" w:rsidR="00602F54" w:rsidRPr="004E6C67" w:rsidRDefault="00602F54" w:rsidP="009817E6">
            <w:pPr>
              <w:pStyle w:val="ARtablecolheadright"/>
              <w:rPr>
                <w:rFonts w:eastAsia="Times"/>
              </w:rPr>
            </w:pPr>
            <w:r w:rsidRPr="004E6C67">
              <w:rPr>
                <w:rFonts w:eastAsia="Times"/>
              </w:rPr>
              <w:t>2025–26 actual</w:t>
            </w:r>
          </w:p>
        </w:tc>
        <w:tc>
          <w:tcPr>
            <w:tcW w:w="534" w:type="pct"/>
            <w:hideMark/>
          </w:tcPr>
          <w:p w14:paraId="02FD367B" w14:textId="77777777" w:rsidR="00602F54" w:rsidRPr="004E6C67" w:rsidRDefault="00602F54" w:rsidP="009817E6">
            <w:pPr>
              <w:pStyle w:val="ARtablecolheadright"/>
              <w:rPr>
                <w:rFonts w:eastAsia="Times"/>
              </w:rPr>
            </w:pPr>
            <w:r w:rsidRPr="004E6C67">
              <w:rPr>
                <w:rFonts w:eastAsia="Times"/>
              </w:rPr>
              <w:t xml:space="preserve">Variation </w:t>
            </w:r>
          </w:p>
        </w:tc>
        <w:tc>
          <w:tcPr>
            <w:tcW w:w="423" w:type="pct"/>
            <w:hideMark/>
          </w:tcPr>
          <w:p w14:paraId="471FBA8A" w14:textId="77777777" w:rsidR="00602F54" w:rsidRPr="004E6C67" w:rsidRDefault="00602F54" w:rsidP="009817E6">
            <w:pPr>
              <w:pStyle w:val="ARtablecolheadright"/>
              <w:rPr>
                <w:rFonts w:eastAsia="Times"/>
              </w:rPr>
            </w:pPr>
            <w:r w:rsidRPr="004E6C67">
              <w:rPr>
                <w:rFonts w:eastAsia="Times"/>
              </w:rPr>
              <w:t>Result</w:t>
            </w:r>
          </w:p>
        </w:tc>
      </w:tr>
      <w:tr w:rsidR="00DC4049" w:rsidRPr="00F45F11" w14:paraId="68B22E1E" w14:textId="77777777" w:rsidTr="00E906D7">
        <w:tc>
          <w:tcPr>
            <w:tcW w:w="2451" w:type="pct"/>
          </w:tcPr>
          <w:p w14:paraId="04717057" w14:textId="77FE7415" w:rsidR="00DC4049" w:rsidRPr="004E6C67" w:rsidRDefault="00386558" w:rsidP="00386558">
            <w:pPr>
              <w:pStyle w:val="ARtablegreybold"/>
              <w:rPr>
                <w:rFonts w:eastAsia="Times"/>
              </w:rPr>
            </w:pPr>
            <w:r w:rsidRPr="004E6C67">
              <w:t>Quantity</w:t>
            </w:r>
          </w:p>
        </w:tc>
        <w:tc>
          <w:tcPr>
            <w:tcW w:w="530" w:type="pct"/>
          </w:tcPr>
          <w:p w14:paraId="0EEF7E05" w14:textId="77777777" w:rsidR="00DC4049" w:rsidRPr="004E6C67" w:rsidRDefault="00DC4049" w:rsidP="009817E6">
            <w:pPr>
              <w:pStyle w:val="ARTabletext"/>
              <w:rPr>
                <w:rFonts w:eastAsia="Times"/>
                <w:lang w:eastAsia="en-AU"/>
              </w:rPr>
            </w:pPr>
          </w:p>
        </w:tc>
        <w:tc>
          <w:tcPr>
            <w:tcW w:w="531" w:type="pct"/>
          </w:tcPr>
          <w:p w14:paraId="14C23313" w14:textId="77777777" w:rsidR="00DC4049" w:rsidRPr="004E6C67" w:rsidRDefault="00DC4049" w:rsidP="009817E6">
            <w:pPr>
              <w:pStyle w:val="ARtabletextright"/>
              <w:rPr>
                <w:rFonts w:eastAsia="Times"/>
                <w:lang w:eastAsia="en-AU"/>
              </w:rPr>
            </w:pPr>
          </w:p>
        </w:tc>
        <w:tc>
          <w:tcPr>
            <w:tcW w:w="532" w:type="pct"/>
          </w:tcPr>
          <w:p w14:paraId="792E2EA6" w14:textId="77777777" w:rsidR="00DC4049" w:rsidRPr="004E6C67" w:rsidRDefault="00DC4049" w:rsidP="009817E6">
            <w:pPr>
              <w:pStyle w:val="ARtabletextright"/>
              <w:rPr>
                <w:rFonts w:eastAsia="Times"/>
                <w:lang w:eastAsia="en-AU"/>
              </w:rPr>
            </w:pPr>
          </w:p>
        </w:tc>
        <w:tc>
          <w:tcPr>
            <w:tcW w:w="534" w:type="pct"/>
          </w:tcPr>
          <w:p w14:paraId="7BC092D5" w14:textId="77777777" w:rsidR="00DC4049" w:rsidRPr="004E6C67" w:rsidRDefault="00DC4049" w:rsidP="009817E6">
            <w:pPr>
              <w:pStyle w:val="ARtabletextright"/>
              <w:rPr>
                <w:rFonts w:eastAsia="Times"/>
                <w:lang w:eastAsia="en-AU"/>
              </w:rPr>
            </w:pPr>
          </w:p>
        </w:tc>
        <w:tc>
          <w:tcPr>
            <w:tcW w:w="423" w:type="pct"/>
          </w:tcPr>
          <w:p w14:paraId="25CDF163" w14:textId="77777777" w:rsidR="00DC4049" w:rsidRPr="004E6C67" w:rsidRDefault="00DC4049" w:rsidP="009817E6">
            <w:pPr>
              <w:pStyle w:val="ARtableperformancesymbol"/>
              <w:rPr>
                <w:rFonts w:eastAsia="Wingdings"/>
              </w:rPr>
            </w:pPr>
          </w:p>
        </w:tc>
      </w:tr>
      <w:tr w:rsidR="00602F54" w:rsidRPr="00F45F11" w14:paraId="4EC766FF" w14:textId="77777777" w:rsidTr="00E906D7">
        <w:tc>
          <w:tcPr>
            <w:tcW w:w="2451" w:type="pct"/>
          </w:tcPr>
          <w:p w14:paraId="44091A6D" w14:textId="77777777" w:rsidR="00602F54" w:rsidRDefault="00602F54" w:rsidP="009817E6">
            <w:pPr>
              <w:pStyle w:val="ARTabletext"/>
              <w:rPr>
                <w:rFonts w:eastAsia="Times"/>
                <w:lang w:eastAsia="en-AU"/>
              </w:rPr>
            </w:pPr>
            <w:r w:rsidRPr="004E6C67">
              <w:rPr>
                <w:rFonts w:eastAsia="Times"/>
                <w:lang w:eastAsia="en-AU"/>
              </w:rPr>
              <w:t>Number of people participating in funded primary prevention programs</w:t>
            </w:r>
          </w:p>
          <w:p w14:paraId="368292EE" w14:textId="2C47A1BD" w:rsidR="00386558" w:rsidRPr="004E6C67" w:rsidRDefault="00386558" w:rsidP="00386558">
            <w:pPr>
              <w:pStyle w:val="ARtablenoteindent"/>
            </w:pPr>
            <w:r w:rsidRPr="00817B6D">
              <w:t>The 2025–26 result is an estimate due to timing of program reporting from funded organisations.</w:t>
            </w:r>
          </w:p>
        </w:tc>
        <w:tc>
          <w:tcPr>
            <w:tcW w:w="530" w:type="pct"/>
          </w:tcPr>
          <w:p w14:paraId="4A4B8B3A" w14:textId="77777777" w:rsidR="00602F54" w:rsidRPr="004E6C67" w:rsidRDefault="00602F54" w:rsidP="009817E6">
            <w:pPr>
              <w:pStyle w:val="ARTabletext"/>
              <w:rPr>
                <w:rFonts w:eastAsia="Times"/>
                <w:lang w:eastAsia="en-AU"/>
              </w:rPr>
            </w:pPr>
            <w:r w:rsidRPr="004E6C67">
              <w:rPr>
                <w:rFonts w:eastAsia="Times"/>
                <w:lang w:eastAsia="en-AU"/>
              </w:rPr>
              <w:t>number</w:t>
            </w:r>
          </w:p>
        </w:tc>
        <w:tc>
          <w:tcPr>
            <w:tcW w:w="531" w:type="pct"/>
          </w:tcPr>
          <w:p w14:paraId="4F2916F2" w14:textId="77777777" w:rsidR="00602F54" w:rsidRPr="004E6C67" w:rsidRDefault="00602F54" w:rsidP="009817E6">
            <w:pPr>
              <w:pStyle w:val="ARtabletextright"/>
              <w:rPr>
                <w:rFonts w:eastAsia="Times"/>
                <w:lang w:eastAsia="en-AU"/>
              </w:rPr>
            </w:pPr>
            <w:r w:rsidRPr="004E6C67">
              <w:rPr>
                <w:rFonts w:eastAsia="Times"/>
                <w:lang w:eastAsia="en-AU"/>
              </w:rPr>
              <w:t>43,000</w:t>
            </w:r>
          </w:p>
        </w:tc>
        <w:tc>
          <w:tcPr>
            <w:tcW w:w="532" w:type="pct"/>
          </w:tcPr>
          <w:p w14:paraId="76622AD0" w14:textId="77777777" w:rsidR="00602F54" w:rsidRPr="004E6C67" w:rsidRDefault="00602F54" w:rsidP="009817E6">
            <w:pPr>
              <w:pStyle w:val="ARtabletextright"/>
              <w:rPr>
                <w:rFonts w:eastAsia="Times"/>
                <w:lang w:eastAsia="en-AU"/>
              </w:rPr>
            </w:pPr>
            <w:r w:rsidRPr="004E6C67">
              <w:rPr>
                <w:rFonts w:eastAsia="Times"/>
                <w:lang w:eastAsia="en-AU"/>
              </w:rPr>
              <w:t>44,428</w:t>
            </w:r>
          </w:p>
        </w:tc>
        <w:tc>
          <w:tcPr>
            <w:tcW w:w="534" w:type="pct"/>
          </w:tcPr>
          <w:p w14:paraId="2F1152CB" w14:textId="77777777" w:rsidR="00602F54" w:rsidRPr="004E6C67" w:rsidRDefault="00602F54" w:rsidP="009817E6">
            <w:pPr>
              <w:pStyle w:val="ARtabletextright"/>
              <w:rPr>
                <w:rFonts w:eastAsia="Times"/>
                <w:lang w:eastAsia="en-AU"/>
              </w:rPr>
            </w:pPr>
            <w:r w:rsidRPr="004E6C67">
              <w:rPr>
                <w:rFonts w:eastAsia="Times"/>
                <w:lang w:eastAsia="en-AU"/>
              </w:rPr>
              <w:t>3.3%</w:t>
            </w:r>
          </w:p>
        </w:tc>
        <w:tc>
          <w:tcPr>
            <w:tcW w:w="423" w:type="pct"/>
          </w:tcPr>
          <w:p w14:paraId="46A1F882" w14:textId="77777777" w:rsidR="00602F54" w:rsidRPr="00F45F11" w:rsidRDefault="00602F54" w:rsidP="009817E6">
            <w:pPr>
              <w:pStyle w:val="ARtableperformancesymbol"/>
              <w:rPr>
                <w:rFonts w:eastAsia="MS PGothic" w:cs="Arial" w:hint="eastAsia"/>
              </w:rPr>
            </w:pPr>
            <w:r w:rsidRPr="004E6C67">
              <w:rPr>
                <w:rFonts w:eastAsia="Wingdings"/>
              </w:rPr>
              <w:t></w:t>
            </w:r>
          </w:p>
        </w:tc>
      </w:tr>
      <w:tr w:rsidR="00DC4049" w:rsidRPr="00F45F11" w14:paraId="56008D26" w14:textId="77777777" w:rsidTr="00E906D7">
        <w:tc>
          <w:tcPr>
            <w:tcW w:w="2451" w:type="pct"/>
          </w:tcPr>
          <w:p w14:paraId="5E525760" w14:textId="3F1E8C8A" w:rsidR="00DC4049" w:rsidRPr="00CE0233" w:rsidRDefault="00386558" w:rsidP="00386558">
            <w:pPr>
              <w:pStyle w:val="ARtablegreybold"/>
            </w:pPr>
            <w:r w:rsidRPr="00F45F11">
              <w:t>Quality</w:t>
            </w:r>
          </w:p>
        </w:tc>
        <w:tc>
          <w:tcPr>
            <w:tcW w:w="530" w:type="pct"/>
          </w:tcPr>
          <w:p w14:paraId="17EEE19B" w14:textId="77777777" w:rsidR="00DC4049" w:rsidRPr="00F45F11" w:rsidRDefault="00DC4049" w:rsidP="00434684">
            <w:pPr>
              <w:pStyle w:val="ARTabletext"/>
              <w:rPr>
                <w:rFonts w:eastAsia="Times"/>
              </w:rPr>
            </w:pPr>
          </w:p>
        </w:tc>
        <w:tc>
          <w:tcPr>
            <w:tcW w:w="531" w:type="pct"/>
          </w:tcPr>
          <w:p w14:paraId="4251C815" w14:textId="77777777" w:rsidR="00DC4049" w:rsidRPr="00F45F11" w:rsidRDefault="00DC4049" w:rsidP="00CE0233">
            <w:pPr>
              <w:pStyle w:val="ARtabletextright"/>
              <w:rPr>
                <w:rFonts w:eastAsia="Times"/>
                <w:lang w:eastAsia="en-AU"/>
              </w:rPr>
            </w:pPr>
          </w:p>
        </w:tc>
        <w:tc>
          <w:tcPr>
            <w:tcW w:w="532" w:type="pct"/>
          </w:tcPr>
          <w:p w14:paraId="5675A020" w14:textId="77777777" w:rsidR="00DC4049" w:rsidRPr="00F45F11" w:rsidRDefault="00DC4049" w:rsidP="00CE0233">
            <w:pPr>
              <w:pStyle w:val="ARtabletextright"/>
              <w:rPr>
                <w:rFonts w:eastAsia="Times"/>
                <w:lang w:eastAsia="en-AU"/>
              </w:rPr>
            </w:pPr>
          </w:p>
        </w:tc>
        <w:tc>
          <w:tcPr>
            <w:tcW w:w="534" w:type="pct"/>
          </w:tcPr>
          <w:p w14:paraId="798CC4F0" w14:textId="77777777" w:rsidR="00DC4049" w:rsidRPr="00F45F11" w:rsidRDefault="00DC4049" w:rsidP="00CE0233">
            <w:pPr>
              <w:pStyle w:val="ARtabletextright"/>
              <w:rPr>
                <w:rFonts w:eastAsia="Times"/>
                <w:lang w:eastAsia="en-AU"/>
              </w:rPr>
            </w:pPr>
          </w:p>
        </w:tc>
        <w:tc>
          <w:tcPr>
            <w:tcW w:w="423" w:type="pct"/>
          </w:tcPr>
          <w:p w14:paraId="286C18CF" w14:textId="77777777" w:rsidR="00DC4049" w:rsidRPr="00F45F11" w:rsidRDefault="00DC4049" w:rsidP="009817E6">
            <w:pPr>
              <w:pStyle w:val="ARtableperformancesymbol"/>
              <w:rPr>
                <w:rFonts w:eastAsia="Wingdings"/>
              </w:rPr>
            </w:pPr>
          </w:p>
        </w:tc>
      </w:tr>
      <w:tr w:rsidR="00602F54" w:rsidRPr="00F45F11" w14:paraId="724BE62F" w14:textId="77777777" w:rsidTr="00E906D7">
        <w:tc>
          <w:tcPr>
            <w:tcW w:w="2451" w:type="pct"/>
          </w:tcPr>
          <w:p w14:paraId="6D883293" w14:textId="77777777" w:rsidR="00602F54" w:rsidRDefault="00602F54" w:rsidP="00434684">
            <w:pPr>
              <w:pStyle w:val="ARTabletext"/>
            </w:pPr>
            <w:r w:rsidRPr="00CE0233">
              <w:t>Prevention of family violence grant recipients who met or exceeded contractually agreed outcomes</w:t>
            </w:r>
          </w:p>
          <w:p w14:paraId="4A473E52" w14:textId="654E2A5C" w:rsidR="00386558" w:rsidRPr="00CE0233" w:rsidRDefault="00386558" w:rsidP="00386558">
            <w:pPr>
              <w:pStyle w:val="ARtablenoteindent"/>
            </w:pPr>
            <w:r w:rsidRPr="00F45F11">
              <w:t>The 2025–26 outcome is higher than the 2025–26 target due to an increased number of providers meeting contractually agreed outcomes.</w:t>
            </w:r>
          </w:p>
        </w:tc>
        <w:tc>
          <w:tcPr>
            <w:tcW w:w="530" w:type="pct"/>
          </w:tcPr>
          <w:p w14:paraId="2A2EB265" w14:textId="77777777" w:rsidR="00602F54" w:rsidRPr="00F45F11" w:rsidRDefault="00602F54" w:rsidP="00434684">
            <w:pPr>
              <w:pStyle w:val="ARTabletext"/>
              <w:rPr>
                <w:rFonts w:eastAsia="Times"/>
              </w:rPr>
            </w:pPr>
            <w:r w:rsidRPr="00F45F11">
              <w:rPr>
                <w:rFonts w:eastAsia="Times"/>
              </w:rPr>
              <w:t>per cent</w:t>
            </w:r>
          </w:p>
        </w:tc>
        <w:tc>
          <w:tcPr>
            <w:tcW w:w="531" w:type="pct"/>
          </w:tcPr>
          <w:p w14:paraId="5C7EA807" w14:textId="77777777" w:rsidR="00602F54" w:rsidRPr="00F45F11" w:rsidRDefault="00602F54" w:rsidP="00CE0233">
            <w:pPr>
              <w:pStyle w:val="ARtabletextright"/>
              <w:rPr>
                <w:rFonts w:eastAsia="Times"/>
                <w:lang w:eastAsia="en-AU"/>
              </w:rPr>
            </w:pPr>
            <w:r w:rsidRPr="00F45F11">
              <w:rPr>
                <w:rFonts w:eastAsia="Times"/>
                <w:lang w:eastAsia="en-AU"/>
              </w:rPr>
              <w:t>95</w:t>
            </w:r>
          </w:p>
        </w:tc>
        <w:tc>
          <w:tcPr>
            <w:tcW w:w="532" w:type="pct"/>
          </w:tcPr>
          <w:p w14:paraId="0200FE7F" w14:textId="77777777" w:rsidR="00602F54" w:rsidRPr="00F45F11" w:rsidRDefault="00602F54" w:rsidP="00CE0233">
            <w:pPr>
              <w:pStyle w:val="ARtabletextright"/>
              <w:rPr>
                <w:rFonts w:eastAsia="Times"/>
                <w:lang w:eastAsia="en-AU"/>
              </w:rPr>
            </w:pPr>
            <w:r w:rsidRPr="00F45F11">
              <w:rPr>
                <w:rFonts w:eastAsia="Times"/>
                <w:lang w:eastAsia="en-AU"/>
              </w:rPr>
              <w:t>99.8</w:t>
            </w:r>
          </w:p>
        </w:tc>
        <w:tc>
          <w:tcPr>
            <w:tcW w:w="534" w:type="pct"/>
          </w:tcPr>
          <w:p w14:paraId="7B2FFB77" w14:textId="77777777" w:rsidR="00602F54" w:rsidRPr="00F45F11" w:rsidRDefault="00602F54" w:rsidP="00CE0233">
            <w:pPr>
              <w:pStyle w:val="ARtabletextright"/>
              <w:rPr>
                <w:rFonts w:eastAsia="Times"/>
                <w:lang w:eastAsia="en-AU"/>
              </w:rPr>
            </w:pPr>
            <w:r w:rsidRPr="00F45F11">
              <w:rPr>
                <w:rFonts w:eastAsia="Times"/>
                <w:lang w:eastAsia="en-AU"/>
              </w:rPr>
              <w:t>5.1%</w:t>
            </w:r>
          </w:p>
        </w:tc>
        <w:tc>
          <w:tcPr>
            <w:tcW w:w="423" w:type="pct"/>
          </w:tcPr>
          <w:p w14:paraId="7ACF0050" w14:textId="77777777" w:rsidR="00602F54" w:rsidRPr="00F45F11" w:rsidRDefault="00602F54" w:rsidP="009817E6">
            <w:pPr>
              <w:pStyle w:val="ARtableperformancesymbol"/>
              <w:rPr>
                <w:rFonts w:eastAsia="MS PGothic" w:cs="Arial" w:hint="eastAsia"/>
              </w:rPr>
            </w:pPr>
            <w:r w:rsidRPr="00F45F11">
              <w:rPr>
                <w:rFonts w:eastAsia="Wingdings"/>
              </w:rPr>
              <w:t></w:t>
            </w:r>
          </w:p>
        </w:tc>
      </w:tr>
      <w:tr w:rsidR="00E906D7" w:rsidRPr="00F45F11" w14:paraId="46EA23EE" w14:textId="77777777" w:rsidTr="00E906D7">
        <w:tc>
          <w:tcPr>
            <w:tcW w:w="2451" w:type="pct"/>
          </w:tcPr>
          <w:p w14:paraId="32858B6D" w14:textId="0D4D4F4C" w:rsidR="00E906D7" w:rsidRPr="00F45F11" w:rsidRDefault="00E906D7" w:rsidP="00E906D7">
            <w:pPr>
              <w:pStyle w:val="ARtablegreybold"/>
              <w:rPr>
                <w:rFonts w:eastAsia="Times"/>
              </w:rPr>
            </w:pPr>
            <w:r w:rsidRPr="00F45F11">
              <w:t>Timeliness</w:t>
            </w:r>
          </w:p>
        </w:tc>
        <w:tc>
          <w:tcPr>
            <w:tcW w:w="530" w:type="pct"/>
          </w:tcPr>
          <w:p w14:paraId="4842AF1C" w14:textId="77777777" w:rsidR="00E906D7" w:rsidRPr="00F45F11" w:rsidRDefault="00E906D7" w:rsidP="00434684">
            <w:pPr>
              <w:pStyle w:val="ARTabletext"/>
              <w:rPr>
                <w:rFonts w:eastAsia="Times"/>
                <w:lang w:eastAsia="en-AU"/>
              </w:rPr>
            </w:pPr>
          </w:p>
        </w:tc>
        <w:tc>
          <w:tcPr>
            <w:tcW w:w="531" w:type="pct"/>
          </w:tcPr>
          <w:p w14:paraId="4144AF32" w14:textId="77777777" w:rsidR="00E906D7" w:rsidRPr="00F45F11" w:rsidRDefault="00E906D7" w:rsidP="00CE0233">
            <w:pPr>
              <w:pStyle w:val="ARtabletextright"/>
              <w:rPr>
                <w:rFonts w:eastAsia="Times"/>
                <w:lang w:eastAsia="en-AU"/>
              </w:rPr>
            </w:pPr>
          </w:p>
        </w:tc>
        <w:tc>
          <w:tcPr>
            <w:tcW w:w="532" w:type="pct"/>
          </w:tcPr>
          <w:p w14:paraId="0301EBD5" w14:textId="77777777" w:rsidR="00E906D7" w:rsidRPr="00F45F11" w:rsidRDefault="00E906D7" w:rsidP="00CE0233">
            <w:pPr>
              <w:pStyle w:val="ARtabletextright"/>
              <w:rPr>
                <w:rFonts w:eastAsia="Times"/>
                <w:lang w:eastAsia="en-AU"/>
              </w:rPr>
            </w:pPr>
          </w:p>
        </w:tc>
        <w:tc>
          <w:tcPr>
            <w:tcW w:w="534" w:type="pct"/>
          </w:tcPr>
          <w:p w14:paraId="7BC0F59C" w14:textId="77777777" w:rsidR="00E906D7" w:rsidRPr="00F45F11" w:rsidRDefault="00E906D7" w:rsidP="00CE0233">
            <w:pPr>
              <w:pStyle w:val="ARtabletextright"/>
              <w:rPr>
                <w:rFonts w:eastAsia="Times"/>
                <w:lang w:eastAsia="en-AU"/>
              </w:rPr>
            </w:pPr>
          </w:p>
        </w:tc>
        <w:tc>
          <w:tcPr>
            <w:tcW w:w="423" w:type="pct"/>
          </w:tcPr>
          <w:p w14:paraId="349B5A76" w14:textId="77777777" w:rsidR="00E906D7" w:rsidRPr="00F45F11" w:rsidRDefault="00E906D7" w:rsidP="009817E6">
            <w:pPr>
              <w:pStyle w:val="ARtableperformancesymbol"/>
            </w:pPr>
          </w:p>
        </w:tc>
      </w:tr>
      <w:tr w:rsidR="00602F54" w:rsidRPr="00F45F11" w14:paraId="2A3289F2" w14:textId="77777777" w:rsidTr="00E906D7">
        <w:tc>
          <w:tcPr>
            <w:tcW w:w="2451" w:type="pct"/>
          </w:tcPr>
          <w:p w14:paraId="52D00558" w14:textId="77777777" w:rsidR="00602F54" w:rsidRPr="00F45F11" w:rsidRDefault="00602F54" w:rsidP="00CE0233">
            <w:pPr>
              <w:pStyle w:val="ARTabletext"/>
              <w:rPr>
                <w:rFonts w:eastAsia="Times"/>
                <w:lang w:eastAsia="en-AU"/>
              </w:rPr>
            </w:pPr>
            <w:r w:rsidRPr="00F45F11">
              <w:rPr>
                <w:rFonts w:eastAsia="Times"/>
                <w:lang w:eastAsia="en-AU"/>
              </w:rPr>
              <w:t>Prevention of family violence projects and programs delivered on time</w:t>
            </w:r>
          </w:p>
        </w:tc>
        <w:tc>
          <w:tcPr>
            <w:tcW w:w="530" w:type="pct"/>
          </w:tcPr>
          <w:p w14:paraId="1169EE98" w14:textId="77777777" w:rsidR="00602F54" w:rsidRPr="00F45F11" w:rsidRDefault="00602F54" w:rsidP="00434684">
            <w:pPr>
              <w:pStyle w:val="ARTabletext"/>
              <w:rPr>
                <w:rFonts w:eastAsia="Times"/>
                <w:lang w:eastAsia="en-AU"/>
              </w:rPr>
            </w:pPr>
            <w:r w:rsidRPr="00F45F11">
              <w:rPr>
                <w:rFonts w:eastAsia="Times"/>
                <w:lang w:eastAsia="en-AU"/>
              </w:rPr>
              <w:t>per cent</w:t>
            </w:r>
          </w:p>
        </w:tc>
        <w:tc>
          <w:tcPr>
            <w:tcW w:w="531" w:type="pct"/>
          </w:tcPr>
          <w:p w14:paraId="27F2E6BB" w14:textId="77777777" w:rsidR="00602F54" w:rsidRPr="00F45F11" w:rsidRDefault="00602F54" w:rsidP="00CE0233">
            <w:pPr>
              <w:pStyle w:val="ARtabletextright"/>
              <w:rPr>
                <w:rFonts w:eastAsia="Times"/>
                <w:lang w:eastAsia="en-AU"/>
              </w:rPr>
            </w:pPr>
            <w:r w:rsidRPr="00F45F11">
              <w:rPr>
                <w:rFonts w:eastAsia="Times"/>
                <w:lang w:eastAsia="en-AU"/>
              </w:rPr>
              <w:t>100</w:t>
            </w:r>
          </w:p>
        </w:tc>
        <w:tc>
          <w:tcPr>
            <w:tcW w:w="532" w:type="pct"/>
          </w:tcPr>
          <w:p w14:paraId="2C8A5F8A" w14:textId="77777777" w:rsidR="00602F54" w:rsidRPr="00F45F11" w:rsidRDefault="00602F54" w:rsidP="00CE0233">
            <w:pPr>
              <w:pStyle w:val="ARtabletextright"/>
              <w:rPr>
                <w:rFonts w:eastAsia="Times"/>
                <w:lang w:eastAsia="en-AU"/>
              </w:rPr>
            </w:pPr>
            <w:r w:rsidRPr="00F45F11">
              <w:rPr>
                <w:rFonts w:eastAsia="Times"/>
                <w:lang w:eastAsia="en-AU"/>
              </w:rPr>
              <w:t>95.8</w:t>
            </w:r>
          </w:p>
        </w:tc>
        <w:tc>
          <w:tcPr>
            <w:tcW w:w="534" w:type="pct"/>
          </w:tcPr>
          <w:p w14:paraId="537FEF2C" w14:textId="77777777" w:rsidR="00602F54" w:rsidRPr="00F45F11" w:rsidRDefault="00602F54" w:rsidP="00CE0233">
            <w:pPr>
              <w:pStyle w:val="ARtabletextright"/>
              <w:rPr>
                <w:rFonts w:eastAsia="Times"/>
                <w:lang w:eastAsia="en-AU"/>
              </w:rPr>
            </w:pPr>
            <w:r w:rsidRPr="00F45F11">
              <w:rPr>
                <w:rFonts w:eastAsia="Times"/>
                <w:lang w:eastAsia="en-AU"/>
              </w:rPr>
              <w:t>−4.2%</w:t>
            </w:r>
          </w:p>
        </w:tc>
        <w:tc>
          <w:tcPr>
            <w:tcW w:w="423" w:type="pct"/>
          </w:tcPr>
          <w:p w14:paraId="6E07541B" w14:textId="4E06D14F" w:rsidR="00602F54" w:rsidRPr="00F45F11" w:rsidRDefault="00CE0233" w:rsidP="009817E6">
            <w:pPr>
              <w:pStyle w:val="ARtableperformancesymbol"/>
              <w:rPr>
                <w:rFonts w:eastAsia="MS PGothic" w:hint="eastAsia"/>
              </w:rPr>
            </w:pPr>
            <w:r w:rsidRPr="00F45F11">
              <w:t>□</w:t>
            </w:r>
          </w:p>
        </w:tc>
      </w:tr>
      <w:tr w:rsidR="00DC4049" w:rsidRPr="00F45F11" w14:paraId="21B9F5E7" w14:textId="77777777" w:rsidTr="00E906D7">
        <w:tc>
          <w:tcPr>
            <w:tcW w:w="2451" w:type="pct"/>
          </w:tcPr>
          <w:p w14:paraId="09AD9FE6" w14:textId="51785CAC" w:rsidR="00DC4049" w:rsidRPr="00F45F11" w:rsidRDefault="00DC4049" w:rsidP="00DC4049">
            <w:pPr>
              <w:pStyle w:val="ARtablegreybold"/>
            </w:pPr>
            <w:r w:rsidRPr="00F45F11">
              <w:t>Cost</w:t>
            </w:r>
          </w:p>
        </w:tc>
        <w:tc>
          <w:tcPr>
            <w:tcW w:w="530" w:type="pct"/>
          </w:tcPr>
          <w:p w14:paraId="64DBDD9F" w14:textId="77777777" w:rsidR="00DC4049" w:rsidRPr="00F45F11" w:rsidRDefault="00DC4049" w:rsidP="00DC4049">
            <w:pPr>
              <w:pStyle w:val="ARtablegreybold"/>
            </w:pPr>
          </w:p>
        </w:tc>
        <w:tc>
          <w:tcPr>
            <w:tcW w:w="531" w:type="pct"/>
          </w:tcPr>
          <w:p w14:paraId="61D1F6E6" w14:textId="77777777" w:rsidR="00DC4049" w:rsidRPr="00F45F11" w:rsidRDefault="00DC4049" w:rsidP="00DC4049">
            <w:pPr>
              <w:pStyle w:val="ARtablegreybold"/>
            </w:pPr>
          </w:p>
        </w:tc>
        <w:tc>
          <w:tcPr>
            <w:tcW w:w="532" w:type="pct"/>
          </w:tcPr>
          <w:p w14:paraId="4EF9C319" w14:textId="77777777" w:rsidR="00DC4049" w:rsidRPr="00F45F11" w:rsidRDefault="00DC4049" w:rsidP="00DC4049">
            <w:pPr>
              <w:pStyle w:val="ARtablegreybold"/>
            </w:pPr>
          </w:p>
        </w:tc>
        <w:tc>
          <w:tcPr>
            <w:tcW w:w="534" w:type="pct"/>
          </w:tcPr>
          <w:p w14:paraId="5EBE8559" w14:textId="77777777" w:rsidR="00DC4049" w:rsidRPr="00F45F11" w:rsidRDefault="00DC4049" w:rsidP="00DC4049">
            <w:pPr>
              <w:pStyle w:val="ARtablegreybold"/>
            </w:pPr>
          </w:p>
        </w:tc>
        <w:tc>
          <w:tcPr>
            <w:tcW w:w="423" w:type="pct"/>
          </w:tcPr>
          <w:p w14:paraId="4E0E9D6B" w14:textId="77777777" w:rsidR="00DC4049" w:rsidRPr="00F45F11" w:rsidRDefault="00DC4049" w:rsidP="00DC4049">
            <w:pPr>
              <w:pStyle w:val="ARtablegreybold"/>
              <w:rPr>
                <w:rFonts w:eastAsia="Wingdings"/>
              </w:rPr>
            </w:pPr>
          </w:p>
        </w:tc>
      </w:tr>
      <w:tr w:rsidR="00602F54" w:rsidRPr="00F45F11" w14:paraId="7A090789" w14:textId="77777777" w:rsidTr="00E906D7">
        <w:tc>
          <w:tcPr>
            <w:tcW w:w="2451" w:type="pct"/>
            <w:hideMark/>
          </w:tcPr>
          <w:p w14:paraId="5469EC03" w14:textId="77777777" w:rsidR="00602F54" w:rsidRDefault="00602F54" w:rsidP="009817E6">
            <w:pPr>
              <w:pStyle w:val="ARtabletextbold"/>
              <w:rPr>
                <w:rFonts w:eastAsia="Times"/>
                <w:lang w:eastAsia="en-AU"/>
              </w:rPr>
            </w:pPr>
            <w:r w:rsidRPr="00F45F11">
              <w:rPr>
                <w:rFonts w:eastAsia="Times"/>
                <w:lang w:eastAsia="en-AU"/>
              </w:rPr>
              <w:t>Total output cost</w:t>
            </w:r>
          </w:p>
          <w:p w14:paraId="518CD72A" w14:textId="6F42C882" w:rsidR="00386558" w:rsidRPr="00F45F11" w:rsidRDefault="00386558" w:rsidP="00386558">
            <w:pPr>
              <w:pStyle w:val="ARtablenoteindent"/>
            </w:pPr>
            <w:r w:rsidRPr="00F45F11">
              <w:t>The higher actual primarily reflects additional funding for the Women’s Health Workforce Capacity Building Program.</w:t>
            </w:r>
          </w:p>
        </w:tc>
        <w:tc>
          <w:tcPr>
            <w:tcW w:w="530" w:type="pct"/>
            <w:hideMark/>
          </w:tcPr>
          <w:p w14:paraId="23275168" w14:textId="77777777" w:rsidR="00602F54" w:rsidRPr="00F45F11" w:rsidRDefault="00602F54" w:rsidP="009817E6">
            <w:pPr>
              <w:pStyle w:val="ARtabletextbold"/>
              <w:rPr>
                <w:rFonts w:eastAsia="Times"/>
                <w:lang w:eastAsia="en-AU"/>
              </w:rPr>
            </w:pPr>
            <w:r w:rsidRPr="00F45F11">
              <w:rPr>
                <w:rFonts w:eastAsia="Times"/>
                <w:lang w:eastAsia="en-AU"/>
              </w:rPr>
              <w:t>$ million</w:t>
            </w:r>
          </w:p>
        </w:tc>
        <w:tc>
          <w:tcPr>
            <w:tcW w:w="531" w:type="pct"/>
          </w:tcPr>
          <w:p w14:paraId="366AD2E1" w14:textId="77777777" w:rsidR="00602F54" w:rsidRPr="00F45F11" w:rsidRDefault="00602F54" w:rsidP="009817E6">
            <w:pPr>
              <w:pStyle w:val="ARtabletextrightbold"/>
              <w:rPr>
                <w:rFonts w:eastAsia="Times"/>
                <w:lang w:eastAsia="en-AU"/>
              </w:rPr>
            </w:pPr>
            <w:r w:rsidRPr="00F45F11">
              <w:rPr>
                <w:rFonts w:eastAsia="Times"/>
                <w:lang w:eastAsia="en-AU"/>
              </w:rPr>
              <w:t>25.3</w:t>
            </w:r>
          </w:p>
        </w:tc>
        <w:tc>
          <w:tcPr>
            <w:tcW w:w="532" w:type="pct"/>
          </w:tcPr>
          <w:p w14:paraId="3B28E23F" w14:textId="77777777" w:rsidR="00602F54" w:rsidRPr="00F45F11" w:rsidRDefault="00602F54" w:rsidP="009817E6">
            <w:pPr>
              <w:pStyle w:val="ARtabletextrightbold"/>
              <w:rPr>
                <w:rFonts w:eastAsia="Times"/>
                <w:lang w:eastAsia="en-AU"/>
              </w:rPr>
            </w:pPr>
            <w:r w:rsidRPr="00F45F11">
              <w:rPr>
                <w:rFonts w:eastAsia="Times"/>
                <w:lang w:eastAsia="en-AU"/>
              </w:rPr>
              <w:t>28.6</w:t>
            </w:r>
          </w:p>
        </w:tc>
        <w:tc>
          <w:tcPr>
            <w:tcW w:w="534" w:type="pct"/>
          </w:tcPr>
          <w:p w14:paraId="2A7C62EE" w14:textId="77777777" w:rsidR="00602F54" w:rsidRPr="00F45F11" w:rsidRDefault="00602F54" w:rsidP="009817E6">
            <w:pPr>
              <w:pStyle w:val="ARtabletextrightbold"/>
              <w:rPr>
                <w:rFonts w:eastAsia="Times"/>
                <w:lang w:eastAsia="en-AU"/>
              </w:rPr>
            </w:pPr>
            <w:r w:rsidRPr="00F45F11">
              <w:rPr>
                <w:rFonts w:eastAsia="Times"/>
                <w:lang w:eastAsia="en-AU"/>
              </w:rPr>
              <w:t>13.0%</w:t>
            </w:r>
          </w:p>
        </w:tc>
        <w:tc>
          <w:tcPr>
            <w:tcW w:w="423" w:type="pct"/>
          </w:tcPr>
          <w:p w14:paraId="00EC085A" w14:textId="77777777" w:rsidR="00602F54" w:rsidRPr="00F45F11" w:rsidRDefault="00602F54" w:rsidP="009817E6">
            <w:pPr>
              <w:pStyle w:val="ARtableperformancesymbol"/>
              <w:rPr>
                <w:rFonts w:eastAsia="MS PGothic" w:cs="Arial" w:hint="eastAsia"/>
              </w:rPr>
            </w:pPr>
            <w:r w:rsidRPr="00F45F11">
              <w:rPr>
                <w:rFonts w:eastAsia="Wingdings"/>
              </w:rPr>
              <w:t></w:t>
            </w:r>
          </w:p>
        </w:tc>
      </w:tr>
    </w:tbl>
    <w:p w14:paraId="020431E5" w14:textId="64E0C026" w:rsidR="00602F54" w:rsidRPr="00F45F11" w:rsidRDefault="00602F54" w:rsidP="00602F54">
      <w:pPr>
        <w:pStyle w:val="Heading3"/>
      </w:pPr>
      <w:r w:rsidRPr="00F45F11">
        <w:t>Community participation</w:t>
      </w:r>
    </w:p>
    <w:p w14:paraId="75FADAE1" w14:textId="77777777" w:rsidR="00602F54" w:rsidRPr="00F45F11" w:rsidRDefault="00602F54" w:rsidP="00602F54">
      <w:pPr>
        <w:pStyle w:val="ARbodybeforetable"/>
      </w:pPr>
      <w:r w:rsidRPr="00F45F11">
        <w:t>Community participation programs include the Neighbourhood House Coordination Program, Men’s Sheds, Community Support and Community Finance initiatives. These programs support the social and economic participation of Victorian communities.</w:t>
      </w:r>
    </w:p>
    <w:tbl>
      <w:tblPr>
        <w:tblStyle w:val="ARtable1"/>
        <w:tblW w:w="5000" w:type="pct"/>
        <w:tblLook w:val="06A0" w:firstRow="1" w:lastRow="0" w:firstColumn="1" w:lastColumn="0" w:noHBand="1" w:noVBand="1"/>
      </w:tblPr>
      <w:tblGrid>
        <w:gridCol w:w="4673"/>
        <w:gridCol w:w="992"/>
        <w:gridCol w:w="1040"/>
        <w:gridCol w:w="1040"/>
        <w:gridCol w:w="1040"/>
        <w:gridCol w:w="843"/>
      </w:tblGrid>
      <w:tr w:rsidR="00602F54" w:rsidRPr="00F45F11" w14:paraId="09E17755" w14:textId="77777777" w:rsidTr="004D01FA">
        <w:trPr>
          <w:cnfStyle w:val="100000000000" w:firstRow="1" w:lastRow="0" w:firstColumn="0" w:lastColumn="0" w:oddVBand="0" w:evenVBand="0" w:oddHBand="0" w:evenHBand="0" w:firstRowFirstColumn="0" w:firstRowLastColumn="0" w:lastRowFirstColumn="0" w:lastRowLastColumn="0"/>
          <w:tblHeader/>
        </w:trPr>
        <w:tc>
          <w:tcPr>
            <w:tcW w:w="2427" w:type="pct"/>
            <w:hideMark/>
          </w:tcPr>
          <w:p w14:paraId="33ABEEE4" w14:textId="77777777" w:rsidR="00602F54" w:rsidRPr="00F45F11" w:rsidRDefault="00602F54" w:rsidP="009817E6">
            <w:pPr>
              <w:pStyle w:val="ARtablecolhead"/>
              <w:rPr>
                <w:rFonts w:eastAsia="Times"/>
              </w:rPr>
            </w:pPr>
            <w:r w:rsidRPr="00F45F11">
              <w:rPr>
                <w:rFonts w:eastAsia="Times"/>
              </w:rPr>
              <w:t>Performance measures</w:t>
            </w:r>
          </w:p>
        </w:tc>
        <w:tc>
          <w:tcPr>
            <w:tcW w:w="515" w:type="pct"/>
            <w:hideMark/>
          </w:tcPr>
          <w:p w14:paraId="65F862B0" w14:textId="77777777" w:rsidR="00602F54" w:rsidRPr="00F45F11" w:rsidRDefault="00602F54" w:rsidP="009817E6">
            <w:pPr>
              <w:pStyle w:val="ARtablecolhead"/>
              <w:rPr>
                <w:rFonts w:eastAsia="Times"/>
              </w:rPr>
            </w:pPr>
            <w:r w:rsidRPr="00F45F11">
              <w:rPr>
                <w:rFonts w:eastAsia="Times"/>
              </w:rPr>
              <w:t>Unit of measure</w:t>
            </w:r>
          </w:p>
        </w:tc>
        <w:tc>
          <w:tcPr>
            <w:tcW w:w="540" w:type="pct"/>
            <w:hideMark/>
          </w:tcPr>
          <w:p w14:paraId="04EEED2E" w14:textId="77777777" w:rsidR="00602F54" w:rsidRPr="00F45F11" w:rsidRDefault="00602F54" w:rsidP="009817E6">
            <w:pPr>
              <w:pStyle w:val="ARtablecolheadright"/>
              <w:rPr>
                <w:rFonts w:eastAsia="Times"/>
              </w:rPr>
            </w:pPr>
            <w:r w:rsidRPr="00F45F11">
              <w:rPr>
                <w:rFonts w:eastAsia="Times"/>
              </w:rPr>
              <w:t>2025–26 target</w:t>
            </w:r>
          </w:p>
        </w:tc>
        <w:tc>
          <w:tcPr>
            <w:tcW w:w="540" w:type="pct"/>
            <w:hideMark/>
          </w:tcPr>
          <w:p w14:paraId="5D0DBF1F" w14:textId="77777777" w:rsidR="00602F54" w:rsidRPr="00F45F11" w:rsidRDefault="00602F54" w:rsidP="009817E6">
            <w:pPr>
              <w:pStyle w:val="ARtablecolheadright"/>
              <w:rPr>
                <w:rFonts w:eastAsia="Times"/>
              </w:rPr>
            </w:pPr>
            <w:r w:rsidRPr="00F45F11">
              <w:rPr>
                <w:rFonts w:eastAsia="Times"/>
              </w:rPr>
              <w:t>2025–26 actual</w:t>
            </w:r>
          </w:p>
        </w:tc>
        <w:tc>
          <w:tcPr>
            <w:tcW w:w="540" w:type="pct"/>
            <w:hideMark/>
          </w:tcPr>
          <w:p w14:paraId="7369F80D" w14:textId="77777777" w:rsidR="00602F54" w:rsidRPr="00F45F11" w:rsidRDefault="00602F54" w:rsidP="009817E6">
            <w:pPr>
              <w:pStyle w:val="ARtablecolheadright"/>
              <w:rPr>
                <w:rFonts w:eastAsia="Times"/>
              </w:rPr>
            </w:pPr>
            <w:r w:rsidRPr="00F45F11">
              <w:rPr>
                <w:rFonts w:eastAsia="Times"/>
              </w:rPr>
              <w:t xml:space="preserve">Variation </w:t>
            </w:r>
          </w:p>
        </w:tc>
        <w:tc>
          <w:tcPr>
            <w:tcW w:w="438" w:type="pct"/>
            <w:hideMark/>
          </w:tcPr>
          <w:p w14:paraId="435E0B3A" w14:textId="77777777" w:rsidR="00602F54" w:rsidRPr="00F45F11" w:rsidRDefault="00602F54" w:rsidP="009817E6">
            <w:pPr>
              <w:pStyle w:val="ARtablecolheadright"/>
              <w:rPr>
                <w:rFonts w:eastAsia="Times"/>
              </w:rPr>
            </w:pPr>
            <w:r w:rsidRPr="00F45F11">
              <w:rPr>
                <w:rFonts w:eastAsia="Times"/>
              </w:rPr>
              <w:t>Result</w:t>
            </w:r>
          </w:p>
        </w:tc>
      </w:tr>
      <w:tr w:rsidR="00DC4049" w:rsidRPr="00F45F11" w14:paraId="294EBA5F" w14:textId="77777777" w:rsidTr="004D01FA">
        <w:tc>
          <w:tcPr>
            <w:tcW w:w="2427" w:type="pct"/>
          </w:tcPr>
          <w:p w14:paraId="0AC4E02F" w14:textId="67A1AC6F" w:rsidR="00DC4049" w:rsidRPr="00F45F11" w:rsidRDefault="00E27841" w:rsidP="00E27841">
            <w:pPr>
              <w:pStyle w:val="ARtablegreybold"/>
              <w:rPr>
                <w:rFonts w:eastAsia="Times"/>
              </w:rPr>
            </w:pPr>
            <w:r w:rsidRPr="00F45F11">
              <w:t>Quantity</w:t>
            </w:r>
          </w:p>
        </w:tc>
        <w:tc>
          <w:tcPr>
            <w:tcW w:w="515" w:type="pct"/>
          </w:tcPr>
          <w:p w14:paraId="3DD9304F" w14:textId="77777777" w:rsidR="00DC4049" w:rsidRPr="00F45F11" w:rsidRDefault="00DC4049" w:rsidP="009817E6">
            <w:pPr>
              <w:pStyle w:val="ARTabletext"/>
              <w:rPr>
                <w:rFonts w:eastAsia="Times"/>
              </w:rPr>
            </w:pPr>
          </w:p>
        </w:tc>
        <w:tc>
          <w:tcPr>
            <w:tcW w:w="540" w:type="pct"/>
          </w:tcPr>
          <w:p w14:paraId="501F1A3E" w14:textId="77777777" w:rsidR="00DC4049" w:rsidRPr="00F45F11" w:rsidRDefault="00DC4049" w:rsidP="009817E6">
            <w:pPr>
              <w:pStyle w:val="ARtabletextright"/>
              <w:rPr>
                <w:rFonts w:eastAsia="Times"/>
              </w:rPr>
            </w:pPr>
          </w:p>
        </w:tc>
        <w:tc>
          <w:tcPr>
            <w:tcW w:w="540" w:type="pct"/>
          </w:tcPr>
          <w:p w14:paraId="543EAAAB" w14:textId="77777777" w:rsidR="00DC4049" w:rsidRPr="00F45F11" w:rsidRDefault="00DC4049" w:rsidP="009817E6">
            <w:pPr>
              <w:pStyle w:val="ARtabletextright"/>
              <w:rPr>
                <w:rFonts w:eastAsia="Times"/>
              </w:rPr>
            </w:pPr>
          </w:p>
        </w:tc>
        <w:tc>
          <w:tcPr>
            <w:tcW w:w="540" w:type="pct"/>
          </w:tcPr>
          <w:p w14:paraId="03263C6A" w14:textId="77777777" w:rsidR="00DC4049" w:rsidRPr="00F45F11" w:rsidRDefault="00DC4049" w:rsidP="009817E6">
            <w:pPr>
              <w:pStyle w:val="ARtabletextright"/>
              <w:rPr>
                <w:rFonts w:eastAsia="Times"/>
              </w:rPr>
            </w:pPr>
          </w:p>
        </w:tc>
        <w:tc>
          <w:tcPr>
            <w:tcW w:w="438" w:type="pct"/>
          </w:tcPr>
          <w:p w14:paraId="6CE85D43" w14:textId="77777777" w:rsidR="00DC4049" w:rsidRPr="00F45F11" w:rsidRDefault="00DC4049" w:rsidP="009817E6">
            <w:pPr>
              <w:pStyle w:val="ARtableperformancesymbol"/>
              <w:rPr>
                <w:rFonts w:eastAsia="Times"/>
              </w:rPr>
            </w:pPr>
          </w:p>
        </w:tc>
      </w:tr>
      <w:tr w:rsidR="00602F54" w:rsidRPr="00F45F11" w14:paraId="6AF5ED8B" w14:textId="77777777" w:rsidTr="004D01FA">
        <w:tc>
          <w:tcPr>
            <w:tcW w:w="2427" w:type="pct"/>
          </w:tcPr>
          <w:p w14:paraId="2D83B4E0" w14:textId="77777777" w:rsidR="00602F54" w:rsidRDefault="00602F54" w:rsidP="009817E6">
            <w:pPr>
              <w:pStyle w:val="ARTabletext"/>
              <w:rPr>
                <w:rFonts w:eastAsia="Times"/>
              </w:rPr>
            </w:pPr>
            <w:r w:rsidRPr="00F45F11">
              <w:rPr>
                <w:rFonts w:eastAsia="Times"/>
              </w:rPr>
              <w:t>Average weekly visits to government-funded neighbourhood houses</w:t>
            </w:r>
          </w:p>
          <w:p w14:paraId="207042DE" w14:textId="30BEB6B7" w:rsidR="00E906D7" w:rsidRPr="00F45F11" w:rsidRDefault="00E906D7" w:rsidP="00E906D7">
            <w:pPr>
              <w:pStyle w:val="ARtablenoteindent"/>
            </w:pPr>
            <w:r w:rsidRPr="00F45F11">
              <w:t>The 2025–26 actual outcome (using 2025 calendar year data) is higher than the target due to strong community interest in neighbourhood house programs and activities.</w:t>
            </w:r>
          </w:p>
        </w:tc>
        <w:tc>
          <w:tcPr>
            <w:tcW w:w="515" w:type="pct"/>
          </w:tcPr>
          <w:p w14:paraId="0DC2016A" w14:textId="77777777" w:rsidR="00602F54" w:rsidRPr="00F45F11" w:rsidRDefault="00602F54" w:rsidP="009817E6">
            <w:pPr>
              <w:pStyle w:val="ARTabletext"/>
              <w:rPr>
                <w:rFonts w:eastAsia="Times"/>
              </w:rPr>
            </w:pPr>
            <w:r w:rsidRPr="00F45F11">
              <w:rPr>
                <w:rFonts w:eastAsia="Times"/>
              </w:rPr>
              <w:t>number</w:t>
            </w:r>
          </w:p>
        </w:tc>
        <w:tc>
          <w:tcPr>
            <w:tcW w:w="540" w:type="pct"/>
          </w:tcPr>
          <w:p w14:paraId="66BCECEA" w14:textId="77777777" w:rsidR="00602F54" w:rsidRPr="00F45F11" w:rsidRDefault="00602F54" w:rsidP="009817E6">
            <w:pPr>
              <w:pStyle w:val="ARtabletextright"/>
              <w:rPr>
                <w:rFonts w:eastAsia="Times"/>
              </w:rPr>
            </w:pPr>
            <w:r w:rsidRPr="00F45F11">
              <w:rPr>
                <w:rFonts w:eastAsia="Times"/>
              </w:rPr>
              <w:t>173,600</w:t>
            </w:r>
          </w:p>
        </w:tc>
        <w:tc>
          <w:tcPr>
            <w:tcW w:w="540" w:type="pct"/>
          </w:tcPr>
          <w:p w14:paraId="78D9A9B1" w14:textId="77777777" w:rsidR="00602F54" w:rsidRPr="00F45F11" w:rsidRDefault="00602F54" w:rsidP="009817E6">
            <w:pPr>
              <w:pStyle w:val="ARtabletextright"/>
              <w:rPr>
                <w:rFonts w:eastAsia="Times"/>
              </w:rPr>
            </w:pPr>
            <w:r w:rsidRPr="00F45F11">
              <w:rPr>
                <w:rFonts w:eastAsia="Times"/>
              </w:rPr>
              <w:t>190,128</w:t>
            </w:r>
          </w:p>
        </w:tc>
        <w:tc>
          <w:tcPr>
            <w:tcW w:w="540" w:type="pct"/>
          </w:tcPr>
          <w:p w14:paraId="514FDF97" w14:textId="77777777" w:rsidR="00602F54" w:rsidRPr="00F45F11" w:rsidRDefault="00602F54" w:rsidP="009817E6">
            <w:pPr>
              <w:pStyle w:val="ARtabletextright"/>
              <w:rPr>
                <w:rFonts w:eastAsia="Times"/>
              </w:rPr>
            </w:pPr>
            <w:r w:rsidRPr="00F45F11">
              <w:rPr>
                <w:rFonts w:eastAsia="Times"/>
              </w:rPr>
              <w:t>9.5%</w:t>
            </w:r>
          </w:p>
        </w:tc>
        <w:tc>
          <w:tcPr>
            <w:tcW w:w="438" w:type="pct"/>
          </w:tcPr>
          <w:p w14:paraId="00417A1A" w14:textId="77777777" w:rsidR="00602F54" w:rsidRPr="00F45F11" w:rsidRDefault="00602F54" w:rsidP="009817E6">
            <w:pPr>
              <w:pStyle w:val="ARtableperformancesymbol"/>
              <w:rPr>
                <w:rFonts w:eastAsia="Times"/>
              </w:rPr>
            </w:pPr>
            <w:r w:rsidRPr="00F45F11">
              <w:rPr>
                <w:rFonts w:eastAsia="Times"/>
              </w:rPr>
              <w:t></w:t>
            </w:r>
          </w:p>
        </w:tc>
      </w:tr>
      <w:tr w:rsidR="00602F54" w:rsidRPr="00F45F11" w14:paraId="39C53CDD" w14:textId="77777777" w:rsidTr="004D01FA">
        <w:tc>
          <w:tcPr>
            <w:tcW w:w="2427" w:type="pct"/>
            <w:hideMark/>
          </w:tcPr>
          <w:p w14:paraId="32A0F06C" w14:textId="67A53556" w:rsidR="00602F54" w:rsidRPr="00F45F11" w:rsidRDefault="00602F54" w:rsidP="009817E6">
            <w:pPr>
              <w:pStyle w:val="ARTabletext"/>
              <w:rPr>
                <w:rFonts w:eastAsia="Times"/>
              </w:rPr>
            </w:pPr>
            <w:r w:rsidRPr="00F45F11">
              <w:rPr>
                <w:rFonts w:eastAsia="Times"/>
              </w:rPr>
              <w:t>Hours of coordination funding provided to</w:t>
            </w:r>
            <w:r w:rsidR="0048706E">
              <w:rPr>
                <w:rFonts w:eastAsia="Times"/>
              </w:rPr>
              <w:t> </w:t>
            </w:r>
            <w:r w:rsidRPr="00F45F11">
              <w:rPr>
                <w:rFonts w:eastAsia="Times"/>
              </w:rPr>
              <w:t>Neighbourhood Houses</w:t>
            </w:r>
          </w:p>
        </w:tc>
        <w:tc>
          <w:tcPr>
            <w:tcW w:w="515" w:type="pct"/>
            <w:hideMark/>
          </w:tcPr>
          <w:p w14:paraId="6334340D" w14:textId="77777777" w:rsidR="00602F54" w:rsidRPr="00F45F11" w:rsidRDefault="00602F54" w:rsidP="009817E6">
            <w:pPr>
              <w:pStyle w:val="ARTabletext"/>
              <w:rPr>
                <w:rFonts w:eastAsia="Times"/>
              </w:rPr>
            </w:pPr>
            <w:r w:rsidRPr="00F45F11">
              <w:rPr>
                <w:rFonts w:eastAsia="Times"/>
              </w:rPr>
              <w:t>number</w:t>
            </w:r>
          </w:p>
        </w:tc>
        <w:tc>
          <w:tcPr>
            <w:tcW w:w="540" w:type="pct"/>
            <w:hideMark/>
          </w:tcPr>
          <w:p w14:paraId="64BDC83D" w14:textId="77777777" w:rsidR="00602F54" w:rsidRPr="00F45F11" w:rsidRDefault="00602F54" w:rsidP="009817E6">
            <w:pPr>
              <w:pStyle w:val="ARtabletextright"/>
              <w:rPr>
                <w:rFonts w:eastAsia="Times"/>
              </w:rPr>
            </w:pPr>
            <w:r w:rsidRPr="00F45F11">
              <w:rPr>
                <w:rFonts w:eastAsia="Times"/>
              </w:rPr>
              <w:t xml:space="preserve">561,896 </w:t>
            </w:r>
          </w:p>
        </w:tc>
        <w:tc>
          <w:tcPr>
            <w:tcW w:w="540" w:type="pct"/>
            <w:hideMark/>
          </w:tcPr>
          <w:p w14:paraId="5FB7AD1E" w14:textId="77777777" w:rsidR="00602F54" w:rsidRPr="00F45F11" w:rsidRDefault="00602F54" w:rsidP="009817E6">
            <w:pPr>
              <w:pStyle w:val="ARtabletextright"/>
              <w:rPr>
                <w:rFonts w:eastAsia="Times"/>
              </w:rPr>
            </w:pPr>
            <w:r w:rsidRPr="00F45F11">
              <w:rPr>
                <w:rFonts w:eastAsia="Times"/>
              </w:rPr>
              <w:t xml:space="preserve">561,058 </w:t>
            </w:r>
          </w:p>
        </w:tc>
        <w:tc>
          <w:tcPr>
            <w:tcW w:w="540" w:type="pct"/>
          </w:tcPr>
          <w:p w14:paraId="24793363" w14:textId="77777777" w:rsidR="00602F54" w:rsidRPr="00F45F11" w:rsidRDefault="00602F54" w:rsidP="009817E6">
            <w:pPr>
              <w:pStyle w:val="ARtabletextright"/>
              <w:rPr>
                <w:rFonts w:eastAsia="Times"/>
              </w:rPr>
            </w:pPr>
            <w:r w:rsidRPr="00F45F11">
              <w:rPr>
                <w:rFonts w:eastAsia="Times"/>
              </w:rPr>
              <w:t>-0.1%</w:t>
            </w:r>
          </w:p>
        </w:tc>
        <w:tc>
          <w:tcPr>
            <w:tcW w:w="438" w:type="pct"/>
            <w:hideMark/>
          </w:tcPr>
          <w:p w14:paraId="58B52E7C" w14:textId="77777777" w:rsidR="00602F54" w:rsidRPr="00F45F11" w:rsidRDefault="00602F54" w:rsidP="009817E6">
            <w:pPr>
              <w:pStyle w:val="ARtableperformancesymbol"/>
              <w:rPr>
                <w:rFonts w:eastAsia="Times"/>
              </w:rPr>
            </w:pPr>
            <w:r w:rsidRPr="00F45F11">
              <w:rPr>
                <w:rFonts w:eastAsia="Times"/>
              </w:rPr>
              <w:t>□</w:t>
            </w:r>
          </w:p>
        </w:tc>
      </w:tr>
      <w:tr w:rsidR="00DC4049" w:rsidRPr="00F45F11" w14:paraId="772B6921" w14:textId="77777777" w:rsidTr="004D01FA">
        <w:tc>
          <w:tcPr>
            <w:tcW w:w="2427" w:type="pct"/>
          </w:tcPr>
          <w:p w14:paraId="68AEE36C" w14:textId="32BA89BA" w:rsidR="00DC4049" w:rsidRPr="00F45F11" w:rsidRDefault="00E27841" w:rsidP="00E27841">
            <w:pPr>
              <w:pStyle w:val="ARtablegreybold"/>
              <w:rPr>
                <w:rFonts w:eastAsia="Times"/>
              </w:rPr>
            </w:pPr>
            <w:r w:rsidRPr="00F45F11">
              <w:t>Timeliness</w:t>
            </w:r>
          </w:p>
        </w:tc>
        <w:tc>
          <w:tcPr>
            <w:tcW w:w="515" w:type="pct"/>
          </w:tcPr>
          <w:p w14:paraId="1857A132" w14:textId="77777777" w:rsidR="00DC4049" w:rsidRPr="00F45F11" w:rsidRDefault="00DC4049" w:rsidP="009817E6">
            <w:pPr>
              <w:pStyle w:val="ARTabletext"/>
              <w:rPr>
                <w:rFonts w:eastAsia="Times"/>
              </w:rPr>
            </w:pPr>
          </w:p>
        </w:tc>
        <w:tc>
          <w:tcPr>
            <w:tcW w:w="540" w:type="pct"/>
          </w:tcPr>
          <w:p w14:paraId="74CFB169" w14:textId="77777777" w:rsidR="00DC4049" w:rsidRPr="00F45F11" w:rsidRDefault="00DC4049" w:rsidP="009817E6">
            <w:pPr>
              <w:pStyle w:val="ARtabletextright"/>
              <w:rPr>
                <w:rFonts w:eastAsia="Times"/>
              </w:rPr>
            </w:pPr>
          </w:p>
        </w:tc>
        <w:tc>
          <w:tcPr>
            <w:tcW w:w="540" w:type="pct"/>
          </w:tcPr>
          <w:p w14:paraId="5ED5F677" w14:textId="77777777" w:rsidR="00DC4049" w:rsidRPr="00F45F11" w:rsidRDefault="00DC4049" w:rsidP="009817E6">
            <w:pPr>
              <w:pStyle w:val="ARtabletextright"/>
              <w:rPr>
                <w:rFonts w:eastAsia="Times"/>
              </w:rPr>
            </w:pPr>
          </w:p>
        </w:tc>
        <w:tc>
          <w:tcPr>
            <w:tcW w:w="540" w:type="pct"/>
          </w:tcPr>
          <w:p w14:paraId="515D0DAB" w14:textId="77777777" w:rsidR="00DC4049" w:rsidRPr="00F45F11" w:rsidRDefault="00DC4049" w:rsidP="009817E6">
            <w:pPr>
              <w:pStyle w:val="ARtabletextright"/>
              <w:rPr>
                <w:rFonts w:eastAsia="Times"/>
              </w:rPr>
            </w:pPr>
          </w:p>
        </w:tc>
        <w:tc>
          <w:tcPr>
            <w:tcW w:w="438" w:type="pct"/>
          </w:tcPr>
          <w:p w14:paraId="79E23C2C" w14:textId="77777777" w:rsidR="00DC4049" w:rsidRPr="00F45F11" w:rsidRDefault="00DC4049" w:rsidP="009817E6">
            <w:pPr>
              <w:pStyle w:val="ARtableperformancesymbol"/>
              <w:rPr>
                <w:rFonts w:eastAsia="Times"/>
              </w:rPr>
            </w:pPr>
          </w:p>
        </w:tc>
      </w:tr>
      <w:tr w:rsidR="00602F54" w:rsidRPr="00F45F11" w14:paraId="0F08B7A6" w14:textId="77777777" w:rsidTr="004D01FA">
        <w:tc>
          <w:tcPr>
            <w:tcW w:w="2427" w:type="pct"/>
            <w:hideMark/>
          </w:tcPr>
          <w:p w14:paraId="26558CEC" w14:textId="77777777" w:rsidR="00602F54" w:rsidRPr="00F45F11" w:rsidRDefault="00602F54" w:rsidP="009817E6">
            <w:pPr>
              <w:pStyle w:val="ARTabletext"/>
              <w:rPr>
                <w:rFonts w:eastAsia="Times"/>
              </w:rPr>
            </w:pPr>
            <w:r w:rsidRPr="00F45F11">
              <w:rPr>
                <w:rFonts w:eastAsia="Times"/>
              </w:rPr>
              <w:t>Proportion of Men's Shed Funding Program grant projects delivered within program timeframes</w:t>
            </w:r>
          </w:p>
        </w:tc>
        <w:tc>
          <w:tcPr>
            <w:tcW w:w="515" w:type="pct"/>
            <w:hideMark/>
          </w:tcPr>
          <w:p w14:paraId="3B0BF71A" w14:textId="77777777" w:rsidR="00602F54" w:rsidRPr="00F45F11" w:rsidRDefault="00602F54" w:rsidP="009817E6">
            <w:pPr>
              <w:pStyle w:val="ARTabletext"/>
              <w:rPr>
                <w:rFonts w:eastAsia="Times"/>
              </w:rPr>
            </w:pPr>
            <w:r w:rsidRPr="00F45F11">
              <w:rPr>
                <w:rFonts w:eastAsia="Times"/>
              </w:rPr>
              <w:t>per cent</w:t>
            </w:r>
          </w:p>
        </w:tc>
        <w:tc>
          <w:tcPr>
            <w:tcW w:w="540" w:type="pct"/>
            <w:hideMark/>
          </w:tcPr>
          <w:p w14:paraId="55137138" w14:textId="77777777" w:rsidR="00602F54" w:rsidRPr="00F45F11" w:rsidRDefault="00602F54" w:rsidP="009817E6">
            <w:pPr>
              <w:pStyle w:val="ARtabletextright"/>
              <w:rPr>
                <w:rFonts w:eastAsia="Times"/>
              </w:rPr>
            </w:pPr>
            <w:r w:rsidRPr="00F45F11">
              <w:rPr>
                <w:rFonts w:eastAsia="Times"/>
              </w:rPr>
              <w:t>92</w:t>
            </w:r>
          </w:p>
        </w:tc>
        <w:tc>
          <w:tcPr>
            <w:tcW w:w="540" w:type="pct"/>
            <w:hideMark/>
          </w:tcPr>
          <w:p w14:paraId="65EB43D6" w14:textId="77777777" w:rsidR="00602F54" w:rsidRPr="00F45F11" w:rsidRDefault="00602F54" w:rsidP="009817E6">
            <w:pPr>
              <w:pStyle w:val="ARtabletextright"/>
              <w:rPr>
                <w:rFonts w:eastAsia="Times"/>
              </w:rPr>
            </w:pPr>
            <w:r w:rsidRPr="00F45F11">
              <w:rPr>
                <w:rFonts w:eastAsia="Times"/>
              </w:rPr>
              <w:t>92.3</w:t>
            </w:r>
          </w:p>
        </w:tc>
        <w:tc>
          <w:tcPr>
            <w:tcW w:w="540" w:type="pct"/>
          </w:tcPr>
          <w:p w14:paraId="0D96686C" w14:textId="77777777" w:rsidR="00602F54" w:rsidRPr="00F45F11" w:rsidRDefault="00602F54" w:rsidP="009817E6">
            <w:pPr>
              <w:pStyle w:val="ARtabletextright"/>
              <w:rPr>
                <w:rFonts w:eastAsia="Times"/>
              </w:rPr>
            </w:pPr>
            <w:r w:rsidRPr="00F45F11">
              <w:rPr>
                <w:rFonts w:eastAsia="Times"/>
              </w:rPr>
              <w:t>0.3%</w:t>
            </w:r>
          </w:p>
        </w:tc>
        <w:tc>
          <w:tcPr>
            <w:tcW w:w="438" w:type="pct"/>
            <w:hideMark/>
          </w:tcPr>
          <w:p w14:paraId="5E30BE7D" w14:textId="77777777" w:rsidR="00602F54" w:rsidRPr="00F45F11" w:rsidRDefault="00602F54" w:rsidP="009817E6">
            <w:pPr>
              <w:pStyle w:val="ARtableperformancesymbol"/>
              <w:rPr>
                <w:rFonts w:eastAsia="Times"/>
              </w:rPr>
            </w:pPr>
            <w:r w:rsidRPr="00F45F11">
              <w:rPr>
                <w:rFonts w:eastAsia="Times"/>
              </w:rPr>
              <w:t></w:t>
            </w:r>
          </w:p>
        </w:tc>
      </w:tr>
      <w:tr w:rsidR="00DC4049" w:rsidRPr="00F45F11" w14:paraId="27DC894F" w14:textId="77777777" w:rsidTr="004D01FA">
        <w:tc>
          <w:tcPr>
            <w:tcW w:w="2427" w:type="pct"/>
          </w:tcPr>
          <w:p w14:paraId="2E7EE611" w14:textId="23AA6745" w:rsidR="00DC4049" w:rsidRPr="00F45F11" w:rsidRDefault="00E27841" w:rsidP="00E27841">
            <w:pPr>
              <w:pStyle w:val="ARtablegreybold"/>
              <w:rPr>
                <w:rFonts w:eastAsia="Times"/>
              </w:rPr>
            </w:pPr>
            <w:r w:rsidRPr="00F45F11">
              <w:t>Cost</w:t>
            </w:r>
          </w:p>
        </w:tc>
        <w:tc>
          <w:tcPr>
            <w:tcW w:w="515" w:type="pct"/>
          </w:tcPr>
          <w:p w14:paraId="554CDA2A" w14:textId="77777777" w:rsidR="00DC4049" w:rsidRPr="00F45F11" w:rsidRDefault="00DC4049" w:rsidP="009817E6">
            <w:pPr>
              <w:pStyle w:val="ARtabletextbold"/>
              <w:rPr>
                <w:rFonts w:eastAsia="Times"/>
              </w:rPr>
            </w:pPr>
          </w:p>
        </w:tc>
        <w:tc>
          <w:tcPr>
            <w:tcW w:w="540" w:type="pct"/>
          </w:tcPr>
          <w:p w14:paraId="005A5BBF" w14:textId="77777777" w:rsidR="00DC4049" w:rsidRPr="00F45F11" w:rsidRDefault="00DC4049" w:rsidP="009817E6">
            <w:pPr>
              <w:pStyle w:val="ARtabletextrightbold"/>
              <w:rPr>
                <w:rFonts w:eastAsia="Times"/>
              </w:rPr>
            </w:pPr>
          </w:p>
        </w:tc>
        <w:tc>
          <w:tcPr>
            <w:tcW w:w="540" w:type="pct"/>
          </w:tcPr>
          <w:p w14:paraId="257E63BD" w14:textId="77777777" w:rsidR="00DC4049" w:rsidRPr="00F45F11" w:rsidRDefault="00DC4049" w:rsidP="009817E6">
            <w:pPr>
              <w:pStyle w:val="ARtabletextrightbold"/>
              <w:rPr>
                <w:rFonts w:eastAsia="Times"/>
              </w:rPr>
            </w:pPr>
          </w:p>
        </w:tc>
        <w:tc>
          <w:tcPr>
            <w:tcW w:w="540" w:type="pct"/>
          </w:tcPr>
          <w:p w14:paraId="7CC509B9" w14:textId="77777777" w:rsidR="00DC4049" w:rsidRPr="00F45F11" w:rsidRDefault="00DC4049" w:rsidP="009817E6">
            <w:pPr>
              <w:pStyle w:val="ARtabletextrightbold"/>
              <w:rPr>
                <w:rFonts w:eastAsia="Times"/>
              </w:rPr>
            </w:pPr>
          </w:p>
        </w:tc>
        <w:tc>
          <w:tcPr>
            <w:tcW w:w="438" w:type="pct"/>
          </w:tcPr>
          <w:p w14:paraId="2E12F20C" w14:textId="77777777" w:rsidR="00DC4049" w:rsidRPr="00F45F11" w:rsidRDefault="00DC4049" w:rsidP="009817E6">
            <w:pPr>
              <w:pStyle w:val="ARtableperformancesymbol"/>
              <w:rPr>
                <w:rFonts w:eastAsia="Times"/>
              </w:rPr>
            </w:pPr>
          </w:p>
        </w:tc>
      </w:tr>
      <w:tr w:rsidR="00602F54" w:rsidRPr="00F45F11" w14:paraId="13A7F21D" w14:textId="77777777" w:rsidTr="004D01FA">
        <w:tc>
          <w:tcPr>
            <w:tcW w:w="2427" w:type="pct"/>
            <w:hideMark/>
          </w:tcPr>
          <w:p w14:paraId="5C610399" w14:textId="77777777" w:rsidR="00602F54" w:rsidRDefault="00602F54" w:rsidP="009817E6">
            <w:pPr>
              <w:pStyle w:val="ARtabletextbold"/>
              <w:keepNext/>
              <w:rPr>
                <w:rFonts w:eastAsia="Times"/>
              </w:rPr>
            </w:pPr>
            <w:r w:rsidRPr="00F45F11">
              <w:rPr>
                <w:rFonts w:eastAsia="Times"/>
              </w:rPr>
              <w:t>Total output cost</w:t>
            </w:r>
          </w:p>
          <w:p w14:paraId="325D00B3" w14:textId="60FB024E" w:rsidR="007B5B5D" w:rsidRPr="00F45F11" w:rsidRDefault="007B5B5D" w:rsidP="007B5B5D">
            <w:pPr>
              <w:pStyle w:val="ARtablenoteindent"/>
            </w:pPr>
            <w:r w:rsidRPr="00F45F11">
              <w:t>The higher actual reflects additional funding for government initiatives.</w:t>
            </w:r>
          </w:p>
        </w:tc>
        <w:tc>
          <w:tcPr>
            <w:tcW w:w="515" w:type="pct"/>
            <w:hideMark/>
          </w:tcPr>
          <w:p w14:paraId="34F0A6CC" w14:textId="77777777" w:rsidR="00602F54" w:rsidRPr="00F45F11" w:rsidRDefault="00602F54" w:rsidP="009817E6">
            <w:pPr>
              <w:pStyle w:val="ARtabletextbold"/>
              <w:rPr>
                <w:rFonts w:eastAsia="Times"/>
              </w:rPr>
            </w:pPr>
            <w:r w:rsidRPr="00F45F11">
              <w:rPr>
                <w:rFonts w:eastAsia="Times"/>
              </w:rPr>
              <w:t>$ million</w:t>
            </w:r>
          </w:p>
        </w:tc>
        <w:tc>
          <w:tcPr>
            <w:tcW w:w="540" w:type="pct"/>
          </w:tcPr>
          <w:p w14:paraId="0F3BBCCD" w14:textId="77777777" w:rsidR="00602F54" w:rsidRPr="00F45F11" w:rsidRDefault="00602F54" w:rsidP="009817E6">
            <w:pPr>
              <w:pStyle w:val="ARtabletextrightbold"/>
              <w:rPr>
                <w:rFonts w:eastAsia="Times"/>
              </w:rPr>
            </w:pPr>
            <w:r w:rsidRPr="00F45F11">
              <w:rPr>
                <w:rFonts w:eastAsia="Times"/>
              </w:rPr>
              <w:t>69.7</w:t>
            </w:r>
          </w:p>
        </w:tc>
        <w:tc>
          <w:tcPr>
            <w:tcW w:w="540" w:type="pct"/>
          </w:tcPr>
          <w:p w14:paraId="01C6AC0A" w14:textId="77777777" w:rsidR="00602F54" w:rsidRPr="00F45F11" w:rsidRDefault="00602F54" w:rsidP="009817E6">
            <w:pPr>
              <w:pStyle w:val="ARtabletextrightbold"/>
              <w:rPr>
                <w:rFonts w:eastAsia="Times"/>
              </w:rPr>
            </w:pPr>
            <w:r w:rsidRPr="00F45F11">
              <w:rPr>
                <w:rFonts w:eastAsia="Times"/>
              </w:rPr>
              <w:t>82.4</w:t>
            </w:r>
          </w:p>
        </w:tc>
        <w:tc>
          <w:tcPr>
            <w:tcW w:w="540" w:type="pct"/>
          </w:tcPr>
          <w:p w14:paraId="3DC2AB83" w14:textId="77777777" w:rsidR="00602F54" w:rsidRPr="00F45F11" w:rsidRDefault="00602F54" w:rsidP="009817E6">
            <w:pPr>
              <w:pStyle w:val="ARtabletextrightbold"/>
              <w:rPr>
                <w:rFonts w:eastAsia="Times"/>
              </w:rPr>
            </w:pPr>
            <w:r w:rsidRPr="00F45F11">
              <w:rPr>
                <w:rFonts w:eastAsia="Times"/>
              </w:rPr>
              <w:t>18.2%</w:t>
            </w:r>
          </w:p>
        </w:tc>
        <w:tc>
          <w:tcPr>
            <w:tcW w:w="438" w:type="pct"/>
          </w:tcPr>
          <w:p w14:paraId="703A9D0D" w14:textId="77777777" w:rsidR="00602F54" w:rsidRPr="00F45F11" w:rsidRDefault="00602F54" w:rsidP="009817E6">
            <w:pPr>
              <w:pStyle w:val="ARtableperformancesymbol"/>
              <w:rPr>
                <w:rFonts w:eastAsia="Times"/>
              </w:rPr>
            </w:pPr>
            <w:r w:rsidRPr="00F45F11">
              <w:rPr>
                <w:rFonts w:eastAsia="Times"/>
              </w:rPr>
              <w:t></w:t>
            </w:r>
          </w:p>
        </w:tc>
      </w:tr>
    </w:tbl>
    <w:p w14:paraId="059044AC" w14:textId="3758564C" w:rsidR="00602F54" w:rsidRPr="00F45F11" w:rsidRDefault="00602F54" w:rsidP="00602F54">
      <w:pPr>
        <w:pStyle w:val="Heading3"/>
      </w:pPr>
      <w:r w:rsidRPr="00F45F11">
        <w:t>Disability programs and services</w:t>
      </w:r>
    </w:p>
    <w:p w14:paraId="7D1D7D65" w14:textId="7A3ACC00" w:rsidR="00D071F6" w:rsidRPr="00F45F11" w:rsidRDefault="00602F54" w:rsidP="00602F54">
      <w:pPr>
        <w:pStyle w:val="ARbodybeforetable"/>
      </w:pPr>
      <w:r w:rsidRPr="00F45F11">
        <w:t>This output</w:t>
      </w:r>
      <w:r w:rsidR="0072461F">
        <w:t xml:space="preserve">, through the provision of </w:t>
      </w:r>
      <w:r w:rsidRPr="00F45F11">
        <w:t xml:space="preserve">services not covered by the National Disability Insurance Scheme for people with disabilities, their </w:t>
      </w:r>
      <w:proofErr w:type="spellStart"/>
      <w:r w:rsidRPr="00F45F11">
        <w:t>carers</w:t>
      </w:r>
      <w:proofErr w:type="spellEnd"/>
      <w:r w:rsidRPr="00F45F11">
        <w:t xml:space="preserve"> and their families</w:t>
      </w:r>
      <w:r w:rsidR="0072461F">
        <w:t xml:space="preserve">, </w:t>
      </w:r>
      <w:r w:rsidRPr="00F45F11">
        <w:t>aims to make a positive difference for Victorians experiencing barriers to accessing services and to provide high-quality support to meet clients’ needs. This</w:t>
      </w:r>
      <w:r w:rsidR="00CB76A7" w:rsidRPr="00F45F11">
        <w:t xml:space="preserve"> </w:t>
      </w:r>
      <w:r w:rsidRPr="00F45F11">
        <w:t>includes therapeutic services and supports for people with cognitive disability</w:t>
      </w:r>
      <w:r w:rsidR="00CB76A7" w:rsidRPr="00F45F11">
        <w:t xml:space="preserve"> who are</w:t>
      </w:r>
      <w:r w:rsidRPr="00F45F11">
        <w:t xml:space="preserve"> involved, or at risk of</w:t>
      </w:r>
      <w:r w:rsidR="008E4FC2" w:rsidRPr="00F45F11">
        <w:t xml:space="preserve"> being</w:t>
      </w:r>
      <w:r w:rsidRPr="00F45F11">
        <w:t xml:space="preserve"> involve</w:t>
      </w:r>
      <w:r w:rsidR="008E4FC2" w:rsidRPr="00F45F11">
        <w:t>d</w:t>
      </w:r>
      <w:r w:rsidRPr="00F45F11">
        <w:t xml:space="preserve">, in Victoria’s criminal justice system. This includes initiatives under the State Disability Plan </w:t>
      </w:r>
      <w:r w:rsidR="00CB76A7" w:rsidRPr="00F45F11">
        <w:t>such as</w:t>
      </w:r>
      <w:r w:rsidRPr="00F45F11">
        <w:t xml:space="preserve"> disability advocacy.</w:t>
      </w:r>
    </w:p>
    <w:tbl>
      <w:tblPr>
        <w:tblStyle w:val="ARtable1"/>
        <w:tblW w:w="5000" w:type="pct"/>
        <w:tblLook w:val="06E0" w:firstRow="1" w:lastRow="1" w:firstColumn="1" w:lastColumn="0" w:noHBand="1" w:noVBand="1"/>
      </w:tblPr>
      <w:tblGrid>
        <w:gridCol w:w="4698"/>
        <w:gridCol w:w="1011"/>
        <w:gridCol w:w="1001"/>
        <w:gridCol w:w="996"/>
        <w:gridCol w:w="1019"/>
        <w:gridCol w:w="903"/>
      </w:tblGrid>
      <w:tr w:rsidR="00602F54" w:rsidRPr="00F45F11" w14:paraId="2D2E540B" w14:textId="77777777" w:rsidTr="004D01FA">
        <w:trPr>
          <w:cnfStyle w:val="100000000000" w:firstRow="1" w:lastRow="0" w:firstColumn="0" w:lastColumn="0" w:oddVBand="0" w:evenVBand="0" w:oddHBand="0" w:evenHBand="0" w:firstRowFirstColumn="0" w:firstRowLastColumn="0" w:lastRowFirstColumn="0" w:lastRowLastColumn="0"/>
          <w:tblHeader/>
        </w:trPr>
        <w:tc>
          <w:tcPr>
            <w:tcW w:w="2440" w:type="pct"/>
            <w:hideMark/>
          </w:tcPr>
          <w:p w14:paraId="48A6DE8B" w14:textId="77777777" w:rsidR="00602F54" w:rsidRPr="00F45F11" w:rsidRDefault="00602F54" w:rsidP="009817E6">
            <w:pPr>
              <w:pStyle w:val="ARtablecolhead"/>
              <w:rPr>
                <w:rFonts w:eastAsia="Times"/>
              </w:rPr>
            </w:pPr>
            <w:r w:rsidRPr="00F45F11">
              <w:rPr>
                <w:rFonts w:eastAsia="Times"/>
              </w:rPr>
              <w:t>Performance measures</w:t>
            </w:r>
          </w:p>
        </w:tc>
        <w:tc>
          <w:tcPr>
            <w:tcW w:w="525" w:type="pct"/>
            <w:hideMark/>
          </w:tcPr>
          <w:p w14:paraId="44B4480C" w14:textId="77777777" w:rsidR="00602F54" w:rsidRPr="00F45F11" w:rsidRDefault="00602F54" w:rsidP="009817E6">
            <w:pPr>
              <w:pStyle w:val="ARtablecolhead"/>
              <w:rPr>
                <w:rFonts w:eastAsia="Times"/>
              </w:rPr>
            </w:pPr>
            <w:r w:rsidRPr="00F45F11">
              <w:rPr>
                <w:rFonts w:eastAsia="Times"/>
              </w:rPr>
              <w:t>Unit of measure</w:t>
            </w:r>
          </w:p>
        </w:tc>
        <w:tc>
          <w:tcPr>
            <w:tcW w:w="520" w:type="pct"/>
            <w:hideMark/>
          </w:tcPr>
          <w:p w14:paraId="533CCE1F" w14:textId="77777777" w:rsidR="00602F54" w:rsidRPr="00F45F11" w:rsidRDefault="00602F54" w:rsidP="009817E6">
            <w:pPr>
              <w:pStyle w:val="ARtablecolheadright"/>
              <w:rPr>
                <w:rFonts w:eastAsia="Times"/>
              </w:rPr>
            </w:pPr>
            <w:r w:rsidRPr="00F45F11">
              <w:rPr>
                <w:rFonts w:eastAsia="Times"/>
              </w:rPr>
              <w:t>2025–26 target</w:t>
            </w:r>
          </w:p>
        </w:tc>
        <w:tc>
          <w:tcPr>
            <w:tcW w:w="517" w:type="pct"/>
            <w:hideMark/>
          </w:tcPr>
          <w:p w14:paraId="5EBC6C54" w14:textId="77777777" w:rsidR="00602F54" w:rsidRPr="00F45F11" w:rsidRDefault="00602F54" w:rsidP="009817E6">
            <w:pPr>
              <w:pStyle w:val="ARtablecolheadright"/>
              <w:rPr>
                <w:rFonts w:eastAsia="Times"/>
              </w:rPr>
            </w:pPr>
            <w:r w:rsidRPr="00F45F11">
              <w:rPr>
                <w:rFonts w:eastAsia="Times"/>
              </w:rPr>
              <w:t>2025–26 actual</w:t>
            </w:r>
          </w:p>
        </w:tc>
        <w:tc>
          <w:tcPr>
            <w:tcW w:w="529" w:type="pct"/>
            <w:hideMark/>
          </w:tcPr>
          <w:p w14:paraId="7D94B006" w14:textId="77777777" w:rsidR="00602F54" w:rsidRPr="00F45F11" w:rsidRDefault="00602F54" w:rsidP="009817E6">
            <w:pPr>
              <w:pStyle w:val="ARtablecolheadright"/>
              <w:rPr>
                <w:rFonts w:eastAsia="Times"/>
              </w:rPr>
            </w:pPr>
            <w:r w:rsidRPr="00F45F11">
              <w:rPr>
                <w:rFonts w:eastAsia="Times"/>
              </w:rPr>
              <w:t xml:space="preserve">Variation </w:t>
            </w:r>
          </w:p>
        </w:tc>
        <w:tc>
          <w:tcPr>
            <w:tcW w:w="469" w:type="pct"/>
            <w:hideMark/>
          </w:tcPr>
          <w:p w14:paraId="4C31CA65" w14:textId="77777777" w:rsidR="00602F54" w:rsidRPr="00F45F11" w:rsidRDefault="00602F54" w:rsidP="009817E6">
            <w:pPr>
              <w:pStyle w:val="ARtablecolheadright"/>
              <w:rPr>
                <w:rFonts w:eastAsia="Times"/>
              </w:rPr>
            </w:pPr>
            <w:r w:rsidRPr="00F45F11">
              <w:rPr>
                <w:rFonts w:eastAsia="Times"/>
              </w:rPr>
              <w:t>Result</w:t>
            </w:r>
          </w:p>
        </w:tc>
      </w:tr>
      <w:tr w:rsidR="00DC4049" w:rsidRPr="00F45F11" w14:paraId="49CC2281" w14:textId="77777777" w:rsidTr="004D01FA">
        <w:tc>
          <w:tcPr>
            <w:tcW w:w="2440" w:type="pct"/>
          </w:tcPr>
          <w:p w14:paraId="4638CFDC" w14:textId="628042B9" w:rsidR="00DC4049" w:rsidRPr="00F45F11" w:rsidRDefault="00E27841" w:rsidP="00E27841">
            <w:pPr>
              <w:pStyle w:val="ARtablegreybold"/>
              <w:rPr>
                <w:rFonts w:eastAsia="Times"/>
              </w:rPr>
            </w:pPr>
            <w:r w:rsidRPr="00F45F11">
              <w:t>Quantity</w:t>
            </w:r>
          </w:p>
        </w:tc>
        <w:tc>
          <w:tcPr>
            <w:tcW w:w="525" w:type="pct"/>
          </w:tcPr>
          <w:p w14:paraId="0C8B1267" w14:textId="77777777" w:rsidR="00DC4049" w:rsidRPr="00F45F11" w:rsidRDefault="00DC4049" w:rsidP="009817E6">
            <w:pPr>
              <w:pStyle w:val="ARTabletext"/>
              <w:rPr>
                <w:rFonts w:eastAsia="Times"/>
              </w:rPr>
            </w:pPr>
          </w:p>
        </w:tc>
        <w:tc>
          <w:tcPr>
            <w:tcW w:w="520" w:type="pct"/>
          </w:tcPr>
          <w:p w14:paraId="4E4DA6F9" w14:textId="77777777" w:rsidR="00DC4049" w:rsidRPr="00F45F11" w:rsidRDefault="00DC4049" w:rsidP="009817E6">
            <w:pPr>
              <w:pStyle w:val="ARtabletextright"/>
              <w:rPr>
                <w:rFonts w:eastAsia="Times"/>
              </w:rPr>
            </w:pPr>
          </w:p>
        </w:tc>
        <w:tc>
          <w:tcPr>
            <w:tcW w:w="517" w:type="pct"/>
          </w:tcPr>
          <w:p w14:paraId="140B8915" w14:textId="77777777" w:rsidR="00DC4049" w:rsidRPr="00F45F11" w:rsidRDefault="00DC4049" w:rsidP="009817E6">
            <w:pPr>
              <w:pStyle w:val="ARtabletextright"/>
              <w:rPr>
                <w:rFonts w:eastAsia="Times"/>
              </w:rPr>
            </w:pPr>
          </w:p>
        </w:tc>
        <w:tc>
          <w:tcPr>
            <w:tcW w:w="529" w:type="pct"/>
          </w:tcPr>
          <w:p w14:paraId="1996B051" w14:textId="77777777" w:rsidR="00DC4049" w:rsidRPr="00F45F11" w:rsidRDefault="00DC4049" w:rsidP="009817E6">
            <w:pPr>
              <w:pStyle w:val="ARtabletextright"/>
              <w:rPr>
                <w:rFonts w:eastAsia="Times"/>
              </w:rPr>
            </w:pPr>
          </w:p>
        </w:tc>
        <w:tc>
          <w:tcPr>
            <w:tcW w:w="469" w:type="pct"/>
          </w:tcPr>
          <w:p w14:paraId="44F6C40E" w14:textId="77777777" w:rsidR="00DC4049" w:rsidRPr="00F45F11" w:rsidRDefault="00DC4049" w:rsidP="009817E6">
            <w:pPr>
              <w:pStyle w:val="ARtableperformancesymbol"/>
              <w:rPr>
                <w:rFonts w:eastAsia="Times"/>
              </w:rPr>
            </w:pPr>
          </w:p>
        </w:tc>
      </w:tr>
      <w:tr w:rsidR="00602F54" w:rsidRPr="00F45F11" w14:paraId="4AB7F58C" w14:textId="77777777" w:rsidTr="004D01FA">
        <w:tc>
          <w:tcPr>
            <w:tcW w:w="2440" w:type="pct"/>
            <w:hideMark/>
          </w:tcPr>
          <w:p w14:paraId="6092FD71" w14:textId="77777777" w:rsidR="00602F54" w:rsidRDefault="00602F54" w:rsidP="009817E6">
            <w:pPr>
              <w:pStyle w:val="ARTabletext"/>
              <w:rPr>
                <w:rFonts w:eastAsia="Times"/>
              </w:rPr>
            </w:pPr>
            <w:r w:rsidRPr="00F45F11">
              <w:rPr>
                <w:rFonts w:eastAsia="Times"/>
              </w:rPr>
              <w:t>Clients receiving forensic disability service</w:t>
            </w:r>
          </w:p>
          <w:p w14:paraId="6E4B77DE" w14:textId="0211D376" w:rsidR="00E27841" w:rsidRPr="00F45F11" w:rsidRDefault="00E27841" w:rsidP="00E27841">
            <w:pPr>
              <w:pStyle w:val="ARtablenoteindent"/>
            </w:pPr>
            <w:r w:rsidRPr="00F45F11">
              <w:t>The higher result can be attributed to more clients being serviced due to the Youth Forensic Disability Clinical Service program which commenced in early 2024.</w:t>
            </w:r>
          </w:p>
        </w:tc>
        <w:tc>
          <w:tcPr>
            <w:tcW w:w="525" w:type="pct"/>
            <w:hideMark/>
          </w:tcPr>
          <w:p w14:paraId="60426C11" w14:textId="77777777" w:rsidR="00602F54" w:rsidRPr="00F45F11" w:rsidRDefault="00602F54" w:rsidP="009817E6">
            <w:pPr>
              <w:pStyle w:val="ARTabletext"/>
              <w:rPr>
                <w:rFonts w:eastAsia="Times"/>
              </w:rPr>
            </w:pPr>
            <w:r w:rsidRPr="00F45F11">
              <w:rPr>
                <w:rFonts w:eastAsia="Times"/>
              </w:rPr>
              <w:t>number</w:t>
            </w:r>
          </w:p>
        </w:tc>
        <w:tc>
          <w:tcPr>
            <w:tcW w:w="520" w:type="pct"/>
            <w:hideMark/>
          </w:tcPr>
          <w:p w14:paraId="6F38C215" w14:textId="77777777" w:rsidR="00602F54" w:rsidRPr="00F45F11" w:rsidRDefault="00602F54" w:rsidP="009817E6">
            <w:pPr>
              <w:pStyle w:val="ARtabletextright"/>
              <w:rPr>
                <w:rFonts w:eastAsia="Times"/>
              </w:rPr>
            </w:pPr>
            <w:r w:rsidRPr="00F45F11">
              <w:rPr>
                <w:rFonts w:eastAsia="Times"/>
              </w:rPr>
              <w:t>800</w:t>
            </w:r>
          </w:p>
        </w:tc>
        <w:tc>
          <w:tcPr>
            <w:tcW w:w="517" w:type="pct"/>
            <w:hideMark/>
          </w:tcPr>
          <w:p w14:paraId="6F7A8DC5" w14:textId="77777777" w:rsidR="00602F54" w:rsidRPr="00F45F11" w:rsidRDefault="00602F54" w:rsidP="009817E6">
            <w:pPr>
              <w:pStyle w:val="ARtabletextright"/>
              <w:rPr>
                <w:rFonts w:eastAsia="Times"/>
              </w:rPr>
            </w:pPr>
            <w:r w:rsidRPr="00F45F11">
              <w:rPr>
                <w:rFonts w:eastAsia="Times"/>
              </w:rPr>
              <w:t>877</w:t>
            </w:r>
          </w:p>
        </w:tc>
        <w:tc>
          <w:tcPr>
            <w:tcW w:w="529" w:type="pct"/>
          </w:tcPr>
          <w:p w14:paraId="4B9DBF5E" w14:textId="77777777" w:rsidR="00602F54" w:rsidRPr="00F45F11" w:rsidRDefault="00602F54" w:rsidP="009817E6">
            <w:pPr>
              <w:pStyle w:val="ARtabletextright"/>
              <w:rPr>
                <w:rFonts w:eastAsia="Times"/>
              </w:rPr>
            </w:pPr>
            <w:r w:rsidRPr="00F45F11">
              <w:rPr>
                <w:rFonts w:eastAsia="Times"/>
              </w:rPr>
              <w:t>9.6%</w:t>
            </w:r>
          </w:p>
        </w:tc>
        <w:tc>
          <w:tcPr>
            <w:tcW w:w="469" w:type="pct"/>
            <w:hideMark/>
          </w:tcPr>
          <w:p w14:paraId="7DC35C46" w14:textId="77777777" w:rsidR="00602F54" w:rsidRPr="00F45F11" w:rsidRDefault="00602F54" w:rsidP="009817E6">
            <w:pPr>
              <w:pStyle w:val="ARtableperformancesymbol"/>
              <w:rPr>
                <w:rFonts w:eastAsia="Times"/>
              </w:rPr>
            </w:pPr>
            <w:r w:rsidRPr="00F45F11">
              <w:rPr>
                <w:rFonts w:eastAsia="Times"/>
              </w:rPr>
              <w:t></w:t>
            </w:r>
          </w:p>
        </w:tc>
      </w:tr>
      <w:tr w:rsidR="00602F54" w:rsidRPr="00F45F11" w14:paraId="2BA3B42B" w14:textId="77777777" w:rsidTr="004D01FA">
        <w:tc>
          <w:tcPr>
            <w:tcW w:w="2440" w:type="pct"/>
            <w:hideMark/>
          </w:tcPr>
          <w:p w14:paraId="134EB5BF" w14:textId="77777777" w:rsidR="00602F54" w:rsidRDefault="00602F54" w:rsidP="009817E6">
            <w:pPr>
              <w:pStyle w:val="ARTabletext"/>
              <w:rPr>
                <w:rFonts w:eastAsia="Times"/>
              </w:rPr>
            </w:pPr>
            <w:r w:rsidRPr="00F45F11">
              <w:rPr>
                <w:rFonts w:eastAsia="Times"/>
              </w:rPr>
              <w:t>Number of Disability Advocacy clients</w:t>
            </w:r>
          </w:p>
          <w:p w14:paraId="0BC3FFCA" w14:textId="4D9F125D" w:rsidR="00E27841" w:rsidRPr="00F45F11" w:rsidRDefault="00E27841" w:rsidP="00E27841">
            <w:pPr>
              <w:pStyle w:val="ARtablenoteindent"/>
            </w:pPr>
            <w:r w:rsidRPr="00067149">
              <w:t>The program continues to experience high demand. A small number of agencies continue to phase out of time-limited Information, Linkages and Capacity Building (ILC) and other Commonwealth grants that have led to increases in advocacy demand and performance.</w:t>
            </w:r>
          </w:p>
        </w:tc>
        <w:tc>
          <w:tcPr>
            <w:tcW w:w="525" w:type="pct"/>
            <w:hideMark/>
          </w:tcPr>
          <w:p w14:paraId="79389E07" w14:textId="77777777" w:rsidR="00602F54" w:rsidRPr="00F45F11" w:rsidRDefault="00602F54" w:rsidP="009817E6">
            <w:pPr>
              <w:pStyle w:val="ARTabletext"/>
              <w:rPr>
                <w:rFonts w:eastAsia="Times"/>
              </w:rPr>
            </w:pPr>
            <w:r w:rsidRPr="00F45F11">
              <w:rPr>
                <w:rFonts w:eastAsia="Times"/>
              </w:rPr>
              <w:t>number</w:t>
            </w:r>
          </w:p>
        </w:tc>
        <w:tc>
          <w:tcPr>
            <w:tcW w:w="520" w:type="pct"/>
            <w:hideMark/>
          </w:tcPr>
          <w:p w14:paraId="0C1374D9" w14:textId="77777777" w:rsidR="00602F54" w:rsidRPr="00F45F11" w:rsidRDefault="00602F54" w:rsidP="009817E6">
            <w:pPr>
              <w:pStyle w:val="ARtabletextright"/>
              <w:rPr>
                <w:rFonts w:eastAsia="Times"/>
              </w:rPr>
            </w:pPr>
            <w:r w:rsidRPr="00F45F11">
              <w:rPr>
                <w:rFonts w:eastAsia="Times"/>
              </w:rPr>
              <w:t>2,500</w:t>
            </w:r>
          </w:p>
        </w:tc>
        <w:tc>
          <w:tcPr>
            <w:tcW w:w="517" w:type="pct"/>
            <w:hideMark/>
          </w:tcPr>
          <w:p w14:paraId="61765783" w14:textId="77777777" w:rsidR="00602F54" w:rsidRPr="00067149" w:rsidRDefault="00602F54" w:rsidP="009817E6">
            <w:pPr>
              <w:pStyle w:val="ARtabletextright"/>
              <w:rPr>
                <w:rFonts w:eastAsia="Times"/>
              </w:rPr>
            </w:pPr>
            <w:r w:rsidRPr="00067149">
              <w:rPr>
                <w:rFonts w:eastAsia="Times"/>
              </w:rPr>
              <w:t>2,788</w:t>
            </w:r>
          </w:p>
        </w:tc>
        <w:tc>
          <w:tcPr>
            <w:tcW w:w="529" w:type="pct"/>
          </w:tcPr>
          <w:p w14:paraId="14081CA7" w14:textId="77777777" w:rsidR="00602F54" w:rsidRPr="00067149" w:rsidRDefault="00602F54" w:rsidP="009817E6">
            <w:pPr>
              <w:pStyle w:val="ARtabletextright"/>
              <w:rPr>
                <w:rFonts w:eastAsia="Times"/>
              </w:rPr>
            </w:pPr>
            <w:r w:rsidRPr="00067149">
              <w:rPr>
                <w:rFonts w:eastAsia="Times"/>
              </w:rPr>
              <w:t>11.5%</w:t>
            </w:r>
          </w:p>
        </w:tc>
        <w:tc>
          <w:tcPr>
            <w:tcW w:w="469" w:type="pct"/>
            <w:hideMark/>
          </w:tcPr>
          <w:p w14:paraId="163FE0E7" w14:textId="77777777" w:rsidR="00602F54" w:rsidRPr="00F45F11" w:rsidRDefault="00602F54" w:rsidP="009817E6">
            <w:pPr>
              <w:pStyle w:val="ARtableperformancesymbol"/>
              <w:rPr>
                <w:rFonts w:eastAsia="Times"/>
              </w:rPr>
            </w:pPr>
            <w:r w:rsidRPr="00F45F11">
              <w:rPr>
                <w:rFonts w:eastAsia="Times"/>
              </w:rPr>
              <w:t></w:t>
            </w:r>
          </w:p>
        </w:tc>
      </w:tr>
      <w:tr w:rsidR="00DC4049" w:rsidRPr="00F45F11" w14:paraId="7F65F756" w14:textId="77777777" w:rsidTr="004D01FA">
        <w:tc>
          <w:tcPr>
            <w:tcW w:w="2440" w:type="pct"/>
          </w:tcPr>
          <w:p w14:paraId="0695A763" w14:textId="5CEC84E3" w:rsidR="00DC4049" w:rsidRPr="00F45F11" w:rsidRDefault="00E27841" w:rsidP="00E27841">
            <w:pPr>
              <w:pStyle w:val="ARtablegreybold"/>
              <w:rPr>
                <w:rFonts w:eastAsia="Times"/>
              </w:rPr>
            </w:pPr>
            <w:r w:rsidRPr="00067149">
              <w:t>Quality</w:t>
            </w:r>
          </w:p>
        </w:tc>
        <w:tc>
          <w:tcPr>
            <w:tcW w:w="525" w:type="pct"/>
          </w:tcPr>
          <w:p w14:paraId="3643417B" w14:textId="77777777" w:rsidR="00DC4049" w:rsidRPr="00F45F11" w:rsidRDefault="00DC4049" w:rsidP="009817E6">
            <w:pPr>
              <w:pStyle w:val="ARTabletext"/>
              <w:rPr>
                <w:rFonts w:eastAsia="Times"/>
              </w:rPr>
            </w:pPr>
          </w:p>
        </w:tc>
        <w:tc>
          <w:tcPr>
            <w:tcW w:w="520" w:type="pct"/>
          </w:tcPr>
          <w:p w14:paraId="4D33CE38" w14:textId="77777777" w:rsidR="00DC4049" w:rsidRPr="00F45F11" w:rsidRDefault="00DC4049" w:rsidP="009817E6">
            <w:pPr>
              <w:pStyle w:val="ARtabletextright"/>
              <w:rPr>
                <w:rFonts w:eastAsia="Times"/>
              </w:rPr>
            </w:pPr>
          </w:p>
        </w:tc>
        <w:tc>
          <w:tcPr>
            <w:tcW w:w="517" w:type="pct"/>
          </w:tcPr>
          <w:p w14:paraId="577B1F92" w14:textId="77777777" w:rsidR="00DC4049" w:rsidRPr="00067149" w:rsidRDefault="00DC4049" w:rsidP="009817E6">
            <w:pPr>
              <w:pStyle w:val="ARtabletextright"/>
              <w:rPr>
                <w:rFonts w:eastAsia="Times"/>
              </w:rPr>
            </w:pPr>
          </w:p>
        </w:tc>
        <w:tc>
          <w:tcPr>
            <w:tcW w:w="529" w:type="pct"/>
          </w:tcPr>
          <w:p w14:paraId="29770D17" w14:textId="77777777" w:rsidR="00DC4049" w:rsidRPr="00067149" w:rsidRDefault="00DC4049" w:rsidP="009817E6">
            <w:pPr>
              <w:pStyle w:val="ARtabletextright"/>
              <w:rPr>
                <w:rFonts w:eastAsia="Times"/>
              </w:rPr>
            </w:pPr>
          </w:p>
        </w:tc>
        <w:tc>
          <w:tcPr>
            <w:tcW w:w="469" w:type="pct"/>
          </w:tcPr>
          <w:p w14:paraId="573DF828" w14:textId="77777777" w:rsidR="00DC4049" w:rsidRPr="00F45F11" w:rsidRDefault="00DC4049" w:rsidP="009817E6">
            <w:pPr>
              <w:pStyle w:val="ARtableperformancesymbol"/>
              <w:rPr>
                <w:rFonts w:eastAsia="Times"/>
              </w:rPr>
            </w:pPr>
          </w:p>
        </w:tc>
      </w:tr>
      <w:tr w:rsidR="00602F54" w:rsidRPr="00F45F11" w14:paraId="3B77A6B0" w14:textId="77777777" w:rsidTr="004D01FA">
        <w:tc>
          <w:tcPr>
            <w:tcW w:w="2440" w:type="pct"/>
          </w:tcPr>
          <w:p w14:paraId="5125DB50" w14:textId="77777777" w:rsidR="00602F54" w:rsidRDefault="00602F54" w:rsidP="009817E6">
            <w:pPr>
              <w:pStyle w:val="ARTabletext"/>
              <w:rPr>
                <w:rFonts w:eastAsia="Times"/>
              </w:rPr>
            </w:pPr>
            <w:r w:rsidRPr="00F45F11">
              <w:rPr>
                <w:rFonts w:eastAsia="Times"/>
              </w:rPr>
              <w:t>Forensic disability residents participating in community reintegration activities</w:t>
            </w:r>
          </w:p>
          <w:p w14:paraId="289B070C" w14:textId="0BFB0459" w:rsidR="00E27841" w:rsidRPr="00F45F11" w:rsidRDefault="00E27841" w:rsidP="00E27841">
            <w:pPr>
              <w:pStyle w:val="ARtablenoteindent"/>
            </w:pPr>
            <w:r w:rsidRPr="00067149">
              <w:t>The higher result can be attributed to the number of residents now funded through NDIS to access reintegration opportunities</w:t>
            </w:r>
            <w:r>
              <w:t>.</w:t>
            </w:r>
          </w:p>
        </w:tc>
        <w:tc>
          <w:tcPr>
            <w:tcW w:w="525" w:type="pct"/>
          </w:tcPr>
          <w:p w14:paraId="5E6A30D2" w14:textId="77777777" w:rsidR="00602F54" w:rsidRPr="00F45F11" w:rsidRDefault="00602F54" w:rsidP="009817E6">
            <w:pPr>
              <w:pStyle w:val="ARTabletext"/>
              <w:rPr>
                <w:rFonts w:eastAsia="Times"/>
              </w:rPr>
            </w:pPr>
            <w:r w:rsidRPr="00F45F11">
              <w:rPr>
                <w:rFonts w:eastAsia="Times"/>
              </w:rPr>
              <w:t>per cent</w:t>
            </w:r>
          </w:p>
        </w:tc>
        <w:tc>
          <w:tcPr>
            <w:tcW w:w="520" w:type="pct"/>
          </w:tcPr>
          <w:p w14:paraId="2ADFE3D9" w14:textId="77777777" w:rsidR="00602F54" w:rsidRPr="00F45F11" w:rsidRDefault="00602F54" w:rsidP="009817E6">
            <w:pPr>
              <w:pStyle w:val="ARtabletextright"/>
              <w:rPr>
                <w:rFonts w:eastAsia="Times"/>
              </w:rPr>
            </w:pPr>
            <w:r w:rsidRPr="00F45F11">
              <w:rPr>
                <w:rFonts w:eastAsia="Times"/>
              </w:rPr>
              <w:t>90.0</w:t>
            </w:r>
          </w:p>
        </w:tc>
        <w:tc>
          <w:tcPr>
            <w:tcW w:w="517" w:type="pct"/>
          </w:tcPr>
          <w:p w14:paraId="6A34C376" w14:textId="77777777" w:rsidR="00602F54" w:rsidRPr="00067149" w:rsidRDefault="00602F54" w:rsidP="009817E6">
            <w:pPr>
              <w:pStyle w:val="ARtabletextright"/>
              <w:rPr>
                <w:rFonts w:eastAsia="Times"/>
              </w:rPr>
            </w:pPr>
            <w:r w:rsidRPr="00067149">
              <w:rPr>
                <w:rFonts w:eastAsia="Times"/>
              </w:rPr>
              <w:t>99.0</w:t>
            </w:r>
          </w:p>
        </w:tc>
        <w:tc>
          <w:tcPr>
            <w:tcW w:w="529" w:type="pct"/>
          </w:tcPr>
          <w:p w14:paraId="053B7896" w14:textId="77777777" w:rsidR="00602F54" w:rsidRPr="00067149" w:rsidRDefault="00602F54" w:rsidP="009817E6">
            <w:pPr>
              <w:pStyle w:val="ARtabletextright"/>
              <w:rPr>
                <w:rFonts w:eastAsia="Times"/>
              </w:rPr>
            </w:pPr>
            <w:r w:rsidRPr="00067149">
              <w:rPr>
                <w:rFonts w:eastAsia="Times"/>
              </w:rPr>
              <w:t>10.0%</w:t>
            </w:r>
          </w:p>
        </w:tc>
        <w:tc>
          <w:tcPr>
            <w:tcW w:w="469" w:type="pct"/>
          </w:tcPr>
          <w:p w14:paraId="558DC97D" w14:textId="77777777" w:rsidR="00602F54" w:rsidRPr="00F45F11" w:rsidRDefault="00602F54" w:rsidP="009817E6">
            <w:pPr>
              <w:pStyle w:val="ARtableperformancesymbol"/>
              <w:rPr>
                <w:rFonts w:eastAsia="Times"/>
              </w:rPr>
            </w:pPr>
            <w:r w:rsidRPr="00F45F11">
              <w:rPr>
                <w:rFonts w:eastAsia="Times"/>
              </w:rPr>
              <w:t></w:t>
            </w:r>
          </w:p>
        </w:tc>
      </w:tr>
      <w:tr w:rsidR="00602F54" w:rsidRPr="00F45F11" w14:paraId="3C456802" w14:textId="77777777" w:rsidTr="004D01FA">
        <w:tc>
          <w:tcPr>
            <w:tcW w:w="2440" w:type="pct"/>
          </w:tcPr>
          <w:p w14:paraId="36414096" w14:textId="77777777" w:rsidR="00602F54" w:rsidRPr="00F45F11" w:rsidRDefault="00602F54" w:rsidP="009817E6">
            <w:pPr>
              <w:pStyle w:val="ARTabletext"/>
            </w:pPr>
            <w:r w:rsidRPr="00F45F11">
              <w:t>Percentage of Victorian Disability Advocacy Program funded organisations that met contractually agreed outcomes</w:t>
            </w:r>
          </w:p>
        </w:tc>
        <w:tc>
          <w:tcPr>
            <w:tcW w:w="525" w:type="pct"/>
          </w:tcPr>
          <w:p w14:paraId="00578413" w14:textId="77777777" w:rsidR="00602F54" w:rsidRPr="00F45F11" w:rsidRDefault="00602F54" w:rsidP="009817E6">
            <w:pPr>
              <w:pStyle w:val="ARTabletext"/>
            </w:pPr>
            <w:r w:rsidRPr="00F45F11">
              <w:t>per cent</w:t>
            </w:r>
          </w:p>
        </w:tc>
        <w:tc>
          <w:tcPr>
            <w:tcW w:w="520" w:type="pct"/>
          </w:tcPr>
          <w:p w14:paraId="38728E9E" w14:textId="77777777" w:rsidR="00602F54" w:rsidRPr="00F45F11" w:rsidRDefault="00602F54" w:rsidP="009817E6">
            <w:pPr>
              <w:pStyle w:val="ARtabletextright"/>
              <w:rPr>
                <w:rFonts w:eastAsia="Times"/>
              </w:rPr>
            </w:pPr>
            <w:r w:rsidRPr="00F45F11">
              <w:rPr>
                <w:rFonts w:eastAsia="Times"/>
              </w:rPr>
              <w:t>90.0</w:t>
            </w:r>
          </w:p>
        </w:tc>
        <w:tc>
          <w:tcPr>
            <w:tcW w:w="517" w:type="pct"/>
          </w:tcPr>
          <w:p w14:paraId="1DD60258" w14:textId="77777777" w:rsidR="00602F54" w:rsidRPr="00067149" w:rsidRDefault="00602F54" w:rsidP="009817E6">
            <w:pPr>
              <w:pStyle w:val="ARtabletextright"/>
              <w:rPr>
                <w:rFonts w:eastAsia="Times"/>
              </w:rPr>
            </w:pPr>
            <w:r w:rsidRPr="00067149">
              <w:rPr>
                <w:rFonts w:eastAsia="Times"/>
              </w:rPr>
              <w:t>90.4</w:t>
            </w:r>
          </w:p>
        </w:tc>
        <w:tc>
          <w:tcPr>
            <w:tcW w:w="529" w:type="pct"/>
          </w:tcPr>
          <w:p w14:paraId="36249BA6" w14:textId="77777777" w:rsidR="00602F54" w:rsidRPr="00067149" w:rsidRDefault="00602F54" w:rsidP="009817E6">
            <w:pPr>
              <w:pStyle w:val="ARtabletextright"/>
              <w:rPr>
                <w:rFonts w:eastAsia="Times"/>
              </w:rPr>
            </w:pPr>
            <w:r w:rsidRPr="00067149">
              <w:rPr>
                <w:rFonts w:eastAsia="Times"/>
              </w:rPr>
              <w:t>0.4%</w:t>
            </w:r>
          </w:p>
        </w:tc>
        <w:tc>
          <w:tcPr>
            <w:tcW w:w="469" w:type="pct"/>
          </w:tcPr>
          <w:p w14:paraId="3573F331" w14:textId="77777777" w:rsidR="00602F54" w:rsidRPr="00F45F11" w:rsidRDefault="00602F54" w:rsidP="009817E6">
            <w:pPr>
              <w:pStyle w:val="ARtableperformancesymbol"/>
              <w:rPr>
                <w:rFonts w:eastAsia="Times"/>
              </w:rPr>
            </w:pPr>
            <w:r w:rsidRPr="00F45F11">
              <w:rPr>
                <w:rFonts w:eastAsia="Times"/>
              </w:rPr>
              <w:t></w:t>
            </w:r>
          </w:p>
        </w:tc>
      </w:tr>
      <w:tr w:rsidR="00602F54" w:rsidRPr="00F45F11" w14:paraId="3A45B9EE" w14:textId="77777777" w:rsidTr="004D01FA">
        <w:tc>
          <w:tcPr>
            <w:tcW w:w="2440" w:type="pct"/>
          </w:tcPr>
          <w:p w14:paraId="555C4A1B" w14:textId="77777777" w:rsidR="00602F54" w:rsidRDefault="00602F54" w:rsidP="009817E6">
            <w:pPr>
              <w:pStyle w:val="ARTabletext"/>
              <w:rPr>
                <w:rFonts w:eastAsia="Times"/>
              </w:rPr>
            </w:pPr>
            <w:r w:rsidRPr="00F45F11">
              <w:rPr>
                <w:rFonts w:eastAsia="Times"/>
              </w:rPr>
              <w:t xml:space="preserve">Social </w:t>
            </w:r>
            <w:r w:rsidR="00503520" w:rsidRPr="00F45F11">
              <w:rPr>
                <w:rFonts w:eastAsia="Times"/>
              </w:rPr>
              <w:t>s</w:t>
            </w:r>
            <w:r w:rsidRPr="00F45F11">
              <w:rPr>
                <w:rFonts w:eastAsia="Times"/>
              </w:rPr>
              <w:t xml:space="preserve">ervice </w:t>
            </w:r>
            <w:r w:rsidR="007D7638" w:rsidRPr="00F45F11">
              <w:rPr>
                <w:rFonts w:eastAsia="Times"/>
              </w:rPr>
              <w:t>p</w:t>
            </w:r>
            <w:r w:rsidRPr="00F45F11">
              <w:rPr>
                <w:rFonts w:eastAsia="Times"/>
              </w:rPr>
              <w:t>roviders</w:t>
            </w:r>
            <w:r w:rsidR="00503520" w:rsidRPr="00F45F11">
              <w:rPr>
                <w:rFonts w:eastAsia="Times"/>
              </w:rPr>
              <w:t>’</w:t>
            </w:r>
            <w:r w:rsidRPr="00F45F11">
              <w:rPr>
                <w:rFonts w:eastAsia="Times"/>
              </w:rPr>
              <w:t xml:space="preserve"> satisfaction with education and guidance provided by the Social Services</w:t>
            </w:r>
            <w:r w:rsidRPr="00F45F11">
              <w:t> </w:t>
            </w:r>
            <w:r w:rsidRPr="00F45F11">
              <w:rPr>
                <w:rFonts w:eastAsia="Times"/>
              </w:rPr>
              <w:t>Regulator.</w:t>
            </w:r>
          </w:p>
          <w:p w14:paraId="4DB3D9F6" w14:textId="7BAEA4E5" w:rsidR="00E27841" w:rsidRPr="00F45F11" w:rsidRDefault="00E27841" w:rsidP="00E27841">
            <w:pPr>
              <w:pStyle w:val="ARtablenoteindent"/>
            </w:pPr>
            <w:r w:rsidRPr="00F45F11">
              <w:t xml:space="preserve">The Social Services Regulator has been able to build upon its initial guidance phase, which focused on supporting registration and basic knowledge of the scheme, towards more engaging and strategic education materials and communications that support awareness </w:t>
            </w:r>
            <w:r w:rsidRPr="00F45F11">
              <w:rPr>
                <w:rStyle w:val="ARtablenoteindentChar"/>
              </w:rPr>
              <w:t>and</w:t>
            </w:r>
            <w:r w:rsidRPr="00F45F11">
              <w:rPr>
                <w:rStyle w:val="ARtablenoteindentChar"/>
                <w:iCs/>
              </w:rPr>
              <w:t> </w:t>
            </w:r>
            <w:r w:rsidRPr="00F45F11">
              <w:t>compliance.</w:t>
            </w:r>
          </w:p>
        </w:tc>
        <w:tc>
          <w:tcPr>
            <w:tcW w:w="525" w:type="pct"/>
          </w:tcPr>
          <w:p w14:paraId="07BD85EA" w14:textId="77777777" w:rsidR="00602F54" w:rsidRPr="00F45F11" w:rsidRDefault="00602F54" w:rsidP="009817E6">
            <w:pPr>
              <w:pStyle w:val="ARTabletext"/>
            </w:pPr>
            <w:r w:rsidRPr="00F45F11">
              <w:rPr>
                <w:rFonts w:eastAsia="Times"/>
              </w:rPr>
              <w:t>per cent</w:t>
            </w:r>
          </w:p>
        </w:tc>
        <w:tc>
          <w:tcPr>
            <w:tcW w:w="520" w:type="pct"/>
          </w:tcPr>
          <w:p w14:paraId="0CC729CB" w14:textId="77777777" w:rsidR="00602F54" w:rsidRPr="00F45F11" w:rsidRDefault="00602F54" w:rsidP="009817E6">
            <w:pPr>
              <w:pStyle w:val="ARfintabletextright"/>
            </w:pPr>
            <w:r w:rsidRPr="00F45F11">
              <w:rPr>
                <w:rFonts w:eastAsia="Times"/>
              </w:rPr>
              <w:t>75.0</w:t>
            </w:r>
          </w:p>
        </w:tc>
        <w:tc>
          <w:tcPr>
            <w:tcW w:w="517" w:type="pct"/>
          </w:tcPr>
          <w:p w14:paraId="4F9B04AC" w14:textId="77777777" w:rsidR="00602F54" w:rsidRPr="00F45F11" w:rsidRDefault="00602F54" w:rsidP="009817E6">
            <w:pPr>
              <w:pStyle w:val="ARfintabletextright"/>
            </w:pPr>
            <w:r w:rsidRPr="00F45F11">
              <w:rPr>
                <w:rFonts w:eastAsia="Times"/>
              </w:rPr>
              <w:t>95.0</w:t>
            </w:r>
          </w:p>
        </w:tc>
        <w:tc>
          <w:tcPr>
            <w:tcW w:w="529" w:type="pct"/>
          </w:tcPr>
          <w:p w14:paraId="090F0F9B" w14:textId="77777777" w:rsidR="00602F54" w:rsidRPr="00F45F11" w:rsidRDefault="00602F54" w:rsidP="009817E6">
            <w:pPr>
              <w:pStyle w:val="ARfintabletextright"/>
            </w:pPr>
            <w:r w:rsidRPr="00F45F11">
              <w:rPr>
                <w:rFonts w:eastAsia="Times"/>
              </w:rPr>
              <w:t>26.7%</w:t>
            </w:r>
          </w:p>
        </w:tc>
        <w:tc>
          <w:tcPr>
            <w:tcW w:w="469" w:type="pct"/>
          </w:tcPr>
          <w:p w14:paraId="21D66DF9" w14:textId="77777777" w:rsidR="00602F54" w:rsidRPr="00F45F11" w:rsidRDefault="00602F54" w:rsidP="009817E6">
            <w:pPr>
              <w:pStyle w:val="ARtableperformancesymbol"/>
              <w:rPr>
                <w:rFonts w:eastAsia="Times"/>
              </w:rPr>
            </w:pPr>
            <w:r w:rsidRPr="00F45F11">
              <w:rPr>
                <w:rFonts w:eastAsia="Times"/>
              </w:rPr>
              <w:t></w:t>
            </w:r>
          </w:p>
        </w:tc>
      </w:tr>
      <w:tr w:rsidR="00DC4049" w:rsidRPr="00F45F11" w14:paraId="07052255" w14:textId="77777777" w:rsidTr="004D01FA">
        <w:tc>
          <w:tcPr>
            <w:tcW w:w="2440" w:type="pct"/>
          </w:tcPr>
          <w:p w14:paraId="36124B08" w14:textId="60557A2A" w:rsidR="00DC4049" w:rsidRPr="00F45F11" w:rsidRDefault="00E27841" w:rsidP="00E27841">
            <w:pPr>
              <w:pStyle w:val="ARtablegreybold"/>
              <w:rPr>
                <w:rFonts w:eastAsia="Times"/>
              </w:rPr>
            </w:pPr>
            <w:r w:rsidRPr="00F45F11">
              <w:t>Timeliness</w:t>
            </w:r>
          </w:p>
        </w:tc>
        <w:tc>
          <w:tcPr>
            <w:tcW w:w="525" w:type="pct"/>
          </w:tcPr>
          <w:p w14:paraId="76D53364" w14:textId="77777777" w:rsidR="00DC4049" w:rsidRPr="00F45F11" w:rsidRDefault="00DC4049" w:rsidP="00857755">
            <w:pPr>
              <w:pStyle w:val="ARTabletext"/>
              <w:rPr>
                <w:rFonts w:eastAsia="Times"/>
              </w:rPr>
            </w:pPr>
          </w:p>
        </w:tc>
        <w:tc>
          <w:tcPr>
            <w:tcW w:w="520" w:type="pct"/>
          </w:tcPr>
          <w:p w14:paraId="6C217A16" w14:textId="77777777" w:rsidR="00DC4049" w:rsidRPr="00F45F11" w:rsidRDefault="00DC4049" w:rsidP="00857755">
            <w:pPr>
              <w:pStyle w:val="ARtabletextright"/>
              <w:rPr>
                <w:rFonts w:eastAsia="Times"/>
              </w:rPr>
            </w:pPr>
          </w:p>
        </w:tc>
        <w:tc>
          <w:tcPr>
            <w:tcW w:w="517" w:type="pct"/>
          </w:tcPr>
          <w:p w14:paraId="5B559A72" w14:textId="77777777" w:rsidR="00DC4049" w:rsidRDefault="00DC4049" w:rsidP="00857755">
            <w:pPr>
              <w:pStyle w:val="ARtabletextright"/>
              <w:rPr>
                <w:rFonts w:eastAsia="Times"/>
              </w:rPr>
            </w:pPr>
          </w:p>
        </w:tc>
        <w:tc>
          <w:tcPr>
            <w:tcW w:w="529" w:type="pct"/>
          </w:tcPr>
          <w:p w14:paraId="7E12FC60" w14:textId="77777777" w:rsidR="00DC4049" w:rsidRDefault="00DC4049" w:rsidP="00857755">
            <w:pPr>
              <w:pStyle w:val="ARtabletextright"/>
              <w:rPr>
                <w:rFonts w:eastAsia="Times"/>
              </w:rPr>
            </w:pPr>
          </w:p>
        </w:tc>
        <w:tc>
          <w:tcPr>
            <w:tcW w:w="469" w:type="pct"/>
          </w:tcPr>
          <w:p w14:paraId="3968DD78" w14:textId="77777777" w:rsidR="00DC4049" w:rsidRPr="00F45F11" w:rsidRDefault="00DC4049" w:rsidP="00857755">
            <w:pPr>
              <w:pStyle w:val="ARtableperformancesymbol"/>
              <w:rPr>
                <w:rFonts w:eastAsia="Times"/>
              </w:rPr>
            </w:pPr>
          </w:p>
        </w:tc>
      </w:tr>
      <w:tr w:rsidR="00857755" w:rsidRPr="00F45F11" w14:paraId="2CA4BB74" w14:textId="77777777" w:rsidTr="004D01FA">
        <w:tc>
          <w:tcPr>
            <w:tcW w:w="2440" w:type="pct"/>
          </w:tcPr>
          <w:p w14:paraId="114C9DAB" w14:textId="65C9EDC3" w:rsidR="00857755" w:rsidRPr="00F45F11" w:rsidRDefault="00857755" w:rsidP="00857755">
            <w:pPr>
              <w:pStyle w:val="ARTabletext"/>
            </w:pPr>
            <w:r w:rsidRPr="00F45F11">
              <w:rPr>
                <w:rFonts w:eastAsia="Times"/>
              </w:rPr>
              <w:t>Forensic disability Target Group Assessments completed within 6 weeks</w:t>
            </w:r>
          </w:p>
        </w:tc>
        <w:tc>
          <w:tcPr>
            <w:tcW w:w="525" w:type="pct"/>
          </w:tcPr>
          <w:p w14:paraId="43495AE0" w14:textId="0EB33C04" w:rsidR="00857755" w:rsidRPr="00F45F11" w:rsidRDefault="00857755" w:rsidP="00857755">
            <w:pPr>
              <w:pStyle w:val="ARTabletext"/>
            </w:pPr>
            <w:r w:rsidRPr="00F45F11">
              <w:rPr>
                <w:rFonts w:eastAsia="Times"/>
              </w:rPr>
              <w:t>per cent</w:t>
            </w:r>
          </w:p>
        </w:tc>
        <w:tc>
          <w:tcPr>
            <w:tcW w:w="520" w:type="pct"/>
          </w:tcPr>
          <w:p w14:paraId="70300E3A" w14:textId="0D1227B1" w:rsidR="00857755" w:rsidRPr="00F45F11" w:rsidRDefault="00857755" w:rsidP="00857755">
            <w:pPr>
              <w:pStyle w:val="ARtabletextright"/>
              <w:rPr>
                <w:rFonts w:eastAsia="Times"/>
              </w:rPr>
            </w:pPr>
            <w:r w:rsidRPr="00F45F11">
              <w:rPr>
                <w:rFonts w:eastAsia="Times"/>
              </w:rPr>
              <w:t>8</w:t>
            </w:r>
            <w:r>
              <w:rPr>
                <w:rFonts w:eastAsia="Times"/>
              </w:rPr>
              <w:t>5</w:t>
            </w:r>
          </w:p>
        </w:tc>
        <w:tc>
          <w:tcPr>
            <w:tcW w:w="517" w:type="pct"/>
          </w:tcPr>
          <w:p w14:paraId="7E9EB284" w14:textId="0C897AA9" w:rsidR="00857755" w:rsidRPr="00067149" w:rsidRDefault="00857755" w:rsidP="00857755">
            <w:pPr>
              <w:pStyle w:val="ARtabletextright"/>
              <w:rPr>
                <w:rFonts w:eastAsia="Times"/>
              </w:rPr>
            </w:pPr>
            <w:r>
              <w:rPr>
                <w:rFonts w:eastAsia="Times"/>
              </w:rPr>
              <w:t>88</w:t>
            </w:r>
          </w:p>
        </w:tc>
        <w:tc>
          <w:tcPr>
            <w:tcW w:w="529" w:type="pct"/>
          </w:tcPr>
          <w:p w14:paraId="29335E14" w14:textId="11335234" w:rsidR="00857755" w:rsidRPr="00067149" w:rsidRDefault="00857755" w:rsidP="00857755">
            <w:pPr>
              <w:pStyle w:val="ARtabletextright"/>
              <w:rPr>
                <w:rFonts w:eastAsia="Times"/>
              </w:rPr>
            </w:pPr>
            <w:r>
              <w:rPr>
                <w:rFonts w:eastAsia="Times"/>
              </w:rPr>
              <w:t>3.5%</w:t>
            </w:r>
          </w:p>
        </w:tc>
        <w:tc>
          <w:tcPr>
            <w:tcW w:w="469" w:type="pct"/>
          </w:tcPr>
          <w:p w14:paraId="32ACDCF0" w14:textId="77777777" w:rsidR="00857755" w:rsidRPr="00F45F11" w:rsidRDefault="00857755" w:rsidP="00857755">
            <w:pPr>
              <w:pStyle w:val="ARtableperformancesymbol"/>
              <w:rPr>
                <w:rFonts w:eastAsia="Times"/>
              </w:rPr>
            </w:pPr>
            <w:r w:rsidRPr="00F45F11">
              <w:rPr>
                <w:rFonts w:eastAsia="Times"/>
              </w:rPr>
              <w:t></w:t>
            </w:r>
          </w:p>
        </w:tc>
      </w:tr>
      <w:tr w:rsidR="00857755" w:rsidRPr="00F45F11" w14:paraId="53FFA898" w14:textId="77777777" w:rsidTr="004D01FA">
        <w:tc>
          <w:tcPr>
            <w:tcW w:w="2440" w:type="pct"/>
          </w:tcPr>
          <w:p w14:paraId="03F4960D" w14:textId="77777777" w:rsidR="00857755" w:rsidRDefault="00857755" w:rsidP="00857755">
            <w:pPr>
              <w:pStyle w:val="ARTabletext"/>
              <w:keepNext/>
              <w:rPr>
                <w:rFonts w:eastAsia="Times"/>
                <w:spacing w:val="-4"/>
              </w:rPr>
            </w:pPr>
            <w:r w:rsidRPr="00857755">
              <w:rPr>
                <w:rFonts w:eastAsia="Times"/>
                <w:spacing w:val="-4"/>
              </w:rPr>
              <w:t>Registration applications processed within statutory timelines.</w:t>
            </w:r>
          </w:p>
          <w:p w14:paraId="46B829EE" w14:textId="240FDA0D" w:rsidR="00E27841" w:rsidRPr="00857755" w:rsidRDefault="00E27841" w:rsidP="00E27841">
            <w:pPr>
              <w:pStyle w:val="ARtablenoteindent"/>
            </w:pPr>
            <w:r w:rsidRPr="00F45F11">
              <w:t>Fixed-term resourcing to support transitional registrations ends in 2025–26. This will affect the Social Services Regulator’s capacity to maintain high levels of engagement with providers, which may alter capacity to sustain these outcomes.</w:t>
            </w:r>
          </w:p>
        </w:tc>
        <w:tc>
          <w:tcPr>
            <w:tcW w:w="525" w:type="pct"/>
          </w:tcPr>
          <w:p w14:paraId="222D72AB" w14:textId="12A826B3" w:rsidR="00857755" w:rsidRPr="00857755" w:rsidRDefault="00857755" w:rsidP="00857755">
            <w:pPr>
              <w:pStyle w:val="ARTabletext"/>
              <w:keepNext/>
              <w:rPr>
                <w:spacing w:val="-4"/>
              </w:rPr>
            </w:pPr>
            <w:r w:rsidRPr="00857755">
              <w:rPr>
                <w:rFonts w:eastAsia="Times"/>
                <w:spacing w:val="-4"/>
              </w:rPr>
              <w:t>per cent</w:t>
            </w:r>
          </w:p>
        </w:tc>
        <w:tc>
          <w:tcPr>
            <w:tcW w:w="520" w:type="pct"/>
          </w:tcPr>
          <w:p w14:paraId="4494D07B" w14:textId="57E14DE9" w:rsidR="00857755" w:rsidRPr="00857755" w:rsidRDefault="00857755" w:rsidP="00857755">
            <w:pPr>
              <w:pStyle w:val="ARfintabletextright"/>
              <w:keepNext/>
              <w:rPr>
                <w:spacing w:val="-4"/>
              </w:rPr>
            </w:pPr>
            <w:r w:rsidRPr="00857755">
              <w:rPr>
                <w:rFonts w:eastAsia="Times"/>
                <w:spacing w:val="-4"/>
              </w:rPr>
              <w:t>70.0</w:t>
            </w:r>
          </w:p>
        </w:tc>
        <w:tc>
          <w:tcPr>
            <w:tcW w:w="517" w:type="pct"/>
          </w:tcPr>
          <w:p w14:paraId="1C0EC7AB" w14:textId="7976B5EA" w:rsidR="00857755" w:rsidRPr="00857755" w:rsidRDefault="00857755" w:rsidP="00857755">
            <w:pPr>
              <w:pStyle w:val="ARfintabletextright"/>
              <w:keepNext/>
              <w:rPr>
                <w:spacing w:val="-4"/>
              </w:rPr>
            </w:pPr>
            <w:r w:rsidRPr="00857755">
              <w:rPr>
                <w:rFonts w:eastAsia="Times"/>
                <w:spacing w:val="-4"/>
              </w:rPr>
              <w:t>98.0</w:t>
            </w:r>
          </w:p>
        </w:tc>
        <w:tc>
          <w:tcPr>
            <w:tcW w:w="529" w:type="pct"/>
          </w:tcPr>
          <w:p w14:paraId="7E0E9B72" w14:textId="5A2DBCC8" w:rsidR="00857755" w:rsidRPr="00857755" w:rsidRDefault="00857755" w:rsidP="00857755">
            <w:pPr>
              <w:pStyle w:val="ARfintabletextright"/>
              <w:keepNext/>
              <w:rPr>
                <w:spacing w:val="-4"/>
              </w:rPr>
            </w:pPr>
            <w:r w:rsidRPr="00857755">
              <w:rPr>
                <w:rFonts w:eastAsia="Times"/>
                <w:spacing w:val="-4"/>
              </w:rPr>
              <w:t>40.0%</w:t>
            </w:r>
          </w:p>
        </w:tc>
        <w:tc>
          <w:tcPr>
            <w:tcW w:w="469" w:type="pct"/>
          </w:tcPr>
          <w:p w14:paraId="116E6AB0" w14:textId="77777777" w:rsidR="00857755" w:rsidRPr="00857755" w:rsidRDefault="00857755" w:rsidP="00857755">
            <w:pPr>
              <w:pStyle w:val="ARtableperformancesymbol"/>
              <w:keepNext/>
              <w:rPr>
                <w:rFonts w:eastAsia="Times"/>
                <w:spacing w:val="-4"/>
              </w:rPr>
            </w:pPr>
            <w:r w:rsidRPr="00857755">
              <w:rPr>
                <w:rFonts w:eastAsia="Times"/>
                <w:spacing w:val="-4"/>
              </w:rPr>
              <w:t></w:t>
            </w:r>
          </w:p>
        </w:tc>
      </w:tr>
      <w:tr w:rsidR="004D01FA" w:rsidRPr="00F45F11" w14:paraId="06BBC071" w14:textId="77777777" w:rsidTr="004D01FA">
        <w:trPr>
          <w:cnfStyle w:val="010000000000" w:firstRow="0" w:lastRow="1" w:firstColumn="0" w:lastColumn="0" w:oddVBand="0" w:evenVBand="0" w:oddHBand="0" w:evenHBand="0" w:firstRowFirstColumn="0" w:firstRowLastColumn="0" w:lastRowFirstColumn="0" w:lastRowLastColumn="0"/>
        </w:trPr>
        <w:tc>
          <w:tcPr>
            <w:tcW w:w="2440" w:type="pct"/>
          </w:tcPr>
          <w:p w14:paraId="4A1E5F51" w14:textId="48CA44D7" w:rsidR="004D01FA" w:rsidRPr="00857755" w:rsidRDefault="004D01FA" w:rsidP="004D01FA">
            <w:pPr>
              <w:pStyle w:val="ARtabletextbold"/>
              <w:rPr>
                <w:rFonts w:eastAsia="Times"/>
                <w:spacing w:val="-4"/>
              </w:rPr>
            </w:pPr>
            <w:r w:rsidRPr="00F45F11">
              <w:rPr>
                <w:rFonts w:eastAsia="Times"/>
              </w:rPr>
              <w:t>Total output cost</w:t>
            </w:r>
          </w:p>
        </w:tc>
        <w:tc>
          <w:tcPr>
            <w:tcW w:w="525" w:type="pct"/>
          </w:tcPr>
          <w:p w14:paraId="0A3B9180" w14:textId="298C1E25" w:rsidR="004D01FA" w:rsidRPr="00857755" w:rsidRDefault="004D01FA" w:rsidP="004D01FA">
            <w:pPr>
              <w:pStyle w:val="ARtabletextbold"/>
              <w:rPr>
                <w:rFonts w:eastAsia="Times"/>
                <w:spacing w:val="-4"/>
              </w:rPr>
            </w:pPr>
            <w:r w:rsidRPr="00F45F11">
              <w:rPr>
                <w:rFonts w:eastAsia="Times"/>
              </w:rPr>
              <w:t>$ million</w:t>
            </w:r>
          </w:p>
        </w:tc>
        <w:tc>
          <w:tcPr>
            <w:tcW w:w="520" w:type="pct"/>
          </w:tcPr>
          <w:p w14:paraId="2A49A4A2" w14:textId="7F6D2A29" w:rsidR="004D01FA" w:rsidRPr="00857755" w:rsidRDefault="004D01FA" w:rsidP="004D01FA">
            <w:pPr>
              <w:pStyle w:val="ARtabletextbold"/>
              <w:jc w:val="right"/>
              <w:rPr>
                <w:rFonts w:eastAsia="Times"/>
                <w:spacing w:val="-4"/>
              </w:rPr>
            </w:pPr>
            <w:r w:rsidRPr="00F45F11">
              <w:rPr>
                <w:rFonts w:eastAsia="Times"/>
              </w:rPr>
              <w:t>372.4</w:t>
            </w:r>
          </w:p>
        </w:tc>
        <w:tc>
          <w:tcPr>
            <w:tcW w:w="517" w:type="pct"/>
          </w:tcPr>
          <w:p w14:paraId="663D991D" w14:textId="19F753FE" w:rsidR="004D01FA" w:rsidRPr="00857755" w:rsidRDefault="004D01FA" w:rsidP="004D01FA">
            <w:pPr>
              <w:pStyle w:val="ARtabletextbold"/>
              <w:jc w:val="right"/>
              <w:rPr>
                <w:rFonts w:eastAsia="Times"/>
                <w:spacing w:val="-4"/>
              </w:rPr>
            </w:pPr>
            <w:r w:rsidRPr="00F45F11">
              <w:rPr>
                <w:rFonts w:eastAsia="Times"/>
              </w:rPr>
              <w:t>380.6</w:t>
            </w:r>
          </w:p>
        </w:tc>
        <w:tc>
          <w:tcPr>
            <w:tcW w:w="529" w:type="pct"/>
          </w:tcPr>
          <w:p w14:paraId="6427EB90" w14:textId="405DFCBB" w:rsidR="004D01FA" w:rsidRPr="00857755" w:rsidRDefault="004D01FA" w:rsidP="004D01FA">
            <w:pPr>
              <w:pStyle w:val="ARtabletextbold"/>
              <w:jc w:val="right"/>
              <w:rPr>
                <w:rFonts w:eastAsia="Times"/>
                <w:spacing w:val="-4"/>
              </w:rPr>
            </w:pPr>
            <w:r w:rsidRPr="00F45F11">
              <w:rPr>
                <w:rFonts w:eastAsia="Times"/>
              </w:rPr>
              <w:t>2.2%</w:t>
            </w:r>
          </w:p>
        </w:tc>
        <w:tc>
          <w:tcPr>
            <w:tcW w:w="469" w:type="pct"/>
          </w:tcPr>
          <w:p w14:paraId="6A84E115" w14:textId="70B57A62" w:rsidR="004D01FA" w:rsidRPr="00857755" w:rsidRDefault="004D01FA" w:rsidP="004D01FA">
            <w:pPr>
              <w:pStyle w:val="ARtableperformancesymbol"/>
              <w:keepNext/>
              <w:rPr>
                <w:rFonts w:eastAsia="Times"/>
                <w:spacing w:val="-4"/>
              </w:rPr>
            </w:pPr>
            <w:r w:rsidRPr="00F45F11">
              <w:rPr>
                <w:rFonts w:eastAsia="Times"/>
              </w:rPr>
              <w:t></w:t>
            </w:r>
          </w:p>
        </w:tc>
      </w:tr>
    </w:tbl>
    <w:p w14:paraId="300CFE03" w14:textId="568689E0" w:rsidR="00602F54" w:rsidRPr="00F45F11" w:rsidRDefault="00602F54" w:rsidP="00F32FC8">
      <w:pPr>
        <w:pStyle w:val="Heading3"/>
      </w:pPr>
      <w:proofErr w:type="gramStart"/>
      <w:r w:rsidRPr="00F45F11">
        <w:t>Seniors</w:t>
      </w:r>
      <w:proofErr w:type="gramEnd"/>
      <w:r w:rsidRPr="00F45F11">
        <w:t xml:space="preserve"> programs and participation</w:t>
      </w:r>
    </w:p>
    <w:p w14:paraId="7D79928D" w14:textId="32295789" w:rsidR="00602F54" w:rsidRPr="00F45F11" w:rsidRDefault="00602F54" w:rsidP="00602F54">
      <w:pPr>
        <w:pStyle w:val="ARbodybeforetable"/>
      </w:pPr>
      <w:r w:rsidRPr="00F45F11">
        <w:t>Support broader community planning processes to facilitate an integrated community planning and response approach aimed at enabling older Victorians to fully participate and engage in the community. This output also delivers recognition and support to Victorians with unpaid caring responsibilities.</w:t>
      </w:r>
    </w:p>
    <w:tbl>
      <w:tblPr>
        <w:tblStyle w:val="ARtable1"/>
        <w:tblW w:w="5000" w:type="pct"/>
        <w:tblLayout w:type="fixed"/>
        <w:tblLook w:val="06E0" w:firstRow="1" w:lastRow="1" w:firstColumn="1" w:lastColumn="0" w:noHBand="1" w:noVBand="1"/>
      </w:tblPr>
      <w:tblGrid>
        <w:gridCol w:w="4722"/>
        <w:gridCol w:w="1021"/>
        <w:gridCol w:w="1023"/>
        <w:gridCol w:w="1025"/>
        <w:gridCol w:w="1029"/>
        <w:gridCol w:w="808"/>
      </w:tblGrid>
      <w:tr w:rsidR="00602F54" w:rsidRPr="00F45F11" w14:paraId="7DA1D8FA" w14:textId="77777777" w:rsidTr="00E27841">
        <w:trPr>
          <w:cnfStyle w:val="100000000000" w:firstRow="1" w:lastRow="0" w:firstColumn="0" w:lastColumn="0" w:oddVBand="0" w:evenVBand="0" w:oddHBand="0" w:evenHBand="0" w:firstRowFirstColumn="0" w:firstRowLastColumn="0" w:lastRowFirstColumn="0" w:lastRowLastColumn="0"/>
          <w:tblHeader/>
        </w:trPr>
        <w:tc>
          <w:tcPr>
            <w:tcW w:w="4722" w:type="dxa"/>
            <w:hideMark/>
          </w:tcPr>
          <w:p w14:paraId="3BF826C8" w14:textId="77777777" w:rsidR="00602F54" w:rsidRPr="00F45F11" w:rsidRDefault="00602F54" w:rsidP="009817E6">
            <w:pPr>
              <w:pStyle w:val="ARfintablecolhead"/>
              <w:rPr>
                <w:rFonts w:eastAsia="Times"/>
              </w:rPr>
            </w:pPr>
            <w:r w:rsidRPr="00F45F11">
              <w:rPr>
                <w:rFonts w:eastAsia="Times"/>
              </w:rPr>
              <w:t>Performance measures</w:t>
            </w:r>
          </w:p>
        </w:tc>
        <w:tc>
          <w:tcPr>
            <w:tcW w:w="1021" w:type="dxa"/>
            <w:hideMark/>
          </w:tcPr>
          <w:p w14:paraId="39F48E5D" w14:textId="77777777" w:rsidR="00602F54" w:rsidRPr="00F45F11" w:rsidRDefault="00602F54" w:rsidP="009817E6">
            <w:pPr>
              <w:pStyle w:val="ARfintablecolhead"/>
              <w:rPr>
                <w:rFonts w:eastAsia="Times"/>
              </w:rPr>
            </w:pPr>
            <w:r w:rsidRPr="00F45F11">
              <w:rPr>
                <w:rFonts w:eastAsia="Times"/>
              </w:rPr>
              <w:t>Unit of measure</w:t>
            </w:r>
          </w:p>
        </w:tc>
        <w:tc>
          <w:tcPr>
            <w:tcW w:w="1023" w:type="dxa"/>
            <w:hideMark/>
          </w:tcPr>
          <w:p w14:paraId="7606591A" w14:textId="77777777" w:rsidR="00602F54" w:rsidRPr="00F45F11" w:rsidRDefault="00602F54" w:rsidP="009817E6">
            <w:pPr>
              <w:pStyle w:val="ARtablecolheadright"/>
              <w:rPr>
                <w:rFonts w:eastAsia="Times"/>
              </w:rPr>
            </w:pPr>
            <w:r w:rsidRPr="00F45F11">
              <w:rPr>
                <w:rFonts w:eastAsia="Times"/>
              </w:rPr>
              <w:t>2025–26 target</w:t>
            </w:r>
          </w:p>
        </w:tc>
        <w:tc>
          <w:tcPr>
            <w:tcW w:w="1025" w:type="dxa"/>
            <w:hideMark/>
          </w:tcPr>
          <w:p w14:paraId="6C953A0C" w14:textId="77777777" w:rsidR="00602F54" w:rsidRPr="00F45F11" w:rsidRDefault="00602F54" w:rsidP="009817E6">
            <w:pPr>
              <w:pStyle w:val="ARtablecolheadright"/>
              <w:rPr>
                <w:rFonts w:eastAsia="Times"/>
              </w:rPr>
            </w:pPr>
            <w:r w:rsidRPr="00F45F11">
              <w:rPr>
                <w:rFonts w:eastAsia="Times"/>
              </w:rPr>
              <w:t>2025–26 actual</w:t>
            </w:r>
          </w:p>
        </w:tc>
        <w:tc>
          <w:tcPr>
            <w:tcW w:w="1029" w:type="dxa"/>
            <w:hideMark/>
          </w:tcPr>
          <w:p w14:paraId="33E0C516" w14:textId="77777777" w:rsidR="00602F54" w:rsidRPr="00F45F11" w:rsidRDefault="00602F54" w:rsidP="009817E6">
            <w:pPr>
              <w:pStyle w:val="ARtablecolheadright"/>
              <w:rPr>
                <w:rFonts w:eastAsia="Times"/>
              </w:rPr>
            </w:pPr>
            <w:r w:rsidRPr="00F45F11">
              <w:rPr>
                <w:rFonts w:eastAsia="Times"/>
              </w:rPr>
              <w:t xml:space="preserve">Variation </w:t>
            </w:r>
          </w:p>
        </w:tc>
        <w:tc>
          <w:tcPr>
            <w:tcW w:w="808" w:type="dxa"/>
            <w:hideMark/>
          </w:tcPr>
          <w:p w14:paraId="50F5B808" w14:textId="77777777" w:rsidR="00602F54" w:rsidRPr="00F45F11" w:rsidRDefault="00602F54" w:rsidP="009817E6">
            <w:pPr>
              <w:pStyle w:val="ARtablecolheadright"/>
              <w:rPr>
                <w:rFonts w:eastAsia="Times"/>
              </w:rPr>
            </w:pPr>
            <w:r w:rsidRPr="00F45F11">
              <w:rPr>
                <w:rFonts w:eastAsia="Times"/>
              </w:rPr>
              <w:t>Result</w:t>
            </w:r>
          </w:p>
        </w:tc>
      </w:tr>
      <w:tr w:rsidR="00DC4049" w:rsidRPr="00F45F11" w14:paraId="13F2CE8F" w14:textId="77777777" w:rsidTr="00DC4049">
        <w:tc>
          <w:tcPr>
            <w:tcW w:w="4722" w:type="dxa"/>
          </w:tcPr>
          <w:p w14:paraId="4FB0E4CC" w14:textId="0AEAAF85" w:rsidR="00DC4049" w:rsidRPr="00F45F11" w:rsidRDefault="00E27841" w:rsidP="00E27841">
            <w:pPr>
              <w:pStyle w:val="ARtablegreybold"/>
              <w:rPr>
                <w:rFonts w:eastAsia="Times"/>
              </w:rPr>
            </w:pPr>
            <w:r w:rsidRPr="00F45F11">
              <w:t>Quantity</w:t>
            </w:r>
          </w:p>
        </w:tc>
        <w:tc>
          <w:tcPr>
            <w:tcW w:w="1021" w:type="dxa"/>
          </w:tcPr>
          <w:p w14:paraId="50463C47" w14:textId="77777777" w:rsidR="00DC4049" w:rsidRPr="00F45F11" w:rsidRDefault="00DC4049" w:rsidP="009817E6">
            <w:pPr>
              <w:pStyle w:val="ARTabletext"/>
              <w:rPr>
                <w:rFonts w:eastAsia="Times"/>
              </w:rPr>
            </w:pPr>
          </w:p>
        </w:tc>
        <w:tc>
          <w:tcPr>
            <w:tcW w:w="1023" w:type="dxa"/>
          </w:tcPr>
          <w:p w14:paraId="3183454A" w14:textId="77777777" w:rsidR="00DC4049" w:rsidRPr="00F45F11" w:rsidRDefault="00DC4049" w:rsidP="00472121">
            <w:pPr>
              <w:pStyle w:val="ARtabletextright"/>
              <w:rPr>
                <w:rFonts w:eastAsia="Times"/>
              </w:rPr>
            </w:pPr>
          </w:p>
        </w:tc>
        <w:tc>
          <w:tcPr>
            <w:tcW w:w="1025" w:type="dxa"/>
          </w:tcPr>
          <w:p w14:paraId="1405E507" w14:textId="77777777" w:rsidR="00DC4049" w:rsidRPr="00F45F11" w:rsidRDefault="00DC4049" w:rsidP="00472121">
            <w:pPr>
              <w:pStyle w:val="ARtabletextright"/>
              <w:rPr>
                <w:rFonts w:eastAsia="Times"/>
              </w:rPr>
            </w:pPr>
          </w:p>
        </w:tc>
        <w:tc>
          <w:tcPr>
            <w:tcW w:w="1029" w:type="dxa"/>
          </w:tcPr>
          <w:p w14:paraId="412FF969" w14:textId="77777777" w:rsidR="00DC4049" w:rsidRPr="00F45F11" w:rsidRDefault="00DC4049" w:rsidP="00472121">
            <w:pPr>
              <w:pStyle w:val="ARtabletextright"/>
              <w:rPr>
                <w:rFonts w:eastAsia="Times"/>
              </w:rPr>
            </w:pPr>
          </w:p>
        </w:tc>
        <w:tc>
          <w:tcPr>
            <w:tcW w:w="808" w:type="dxa"/>
          </w:tcPr>
          <w:p w14:paraId="68801000" w14:textId="77777777" w:rsidR="00DC4049" w:rsidRPr="00F45F11" w:rsidRDefault="00DC4049" w:rsidP="009817E6">
            <w:pPr>
              <w:pStyle w:val="ARtableperformancesymbol"/>
              <w:rPr>
                <w:rFonts w:eastAsia="Times"/>
              </w:rPr>
            </w:pPr>
          </w:p>
        </w:tc>
      </w:tr>
      <w:tr w:rsidR="00602F54" w:rsidRPr="00F45F11" w14:paraId="5DB4B438" w14:textId="77777777" w:rsidTr="00DC4049">
        <w:tc>
          <w:tcPr>
            <w:tcW w:w="4722" w:type="dxa"/>
          </w:tcPr>
          <w:p w14:paraId="5D5C4A5D" w14:textId="77777777" w:rsidR="00602F54" w:rsidRDefault="00602F54" w:rsidP="009817E6">
            <w:pPr>
              <w:pStyle w:val="ARTabletext"/>
              <w:rPr>
                <w:rFonts w:eastAsia="Times"/>
              </w:rPr>
            </w:pPr>
            <w:r w:rsidRPr="00F45F11">
              <w:rPr>
                <w:rFonts w:eastAsia="Times"/>
              </w:rPr>
              <w:t>Eligible seniors in the Seniors Card program</w:t>
            </w:r>
          </w:p>
          <w:p w14:paraId="3CAE9B5E" w14:textId="17E9DDD7" w:rsidR="00E27841" w:rsidRPr="00F45F11" w:rsidRDefault="00E27841" w:rsidP="00E27841">
            <w:pPr>
              <w:pStyle w:val="ARtablenoteindent"/>
            </w:pPr>
            <w:r w:rsidRPr="00F45F11">
              <w:t>The 2025–26 actual outcome is higher than the 2025–26 target due to increased awareness of the Seniors Card program with Victorians 60 years and over.</w:t>
            </w:r>
          </w:p>
        </w:tc>
        <w:tc>
          <w:tcPr>
            <w:tcW w:w="1021" w:type="dxa"/>
          </w:tcPr>
          <w:p w14:paraId="118B3C98" w14:textId="77777777" w:rsidR="00602F54" w:rsidRPr="00F45F11" w:rsidRDefault="00602F54" w:rsidP="009817E6">
            <w:pPr>
              <w:pStyle w:val="ARTabletext"/>
              <w:rPr>
                <w:rFonts w:eastAsia="Times"/>
              </w:rPr>
            </w:pPr>
            <w:r w:rsidRPr="00F45F11">
              <w:rPr>
                <w:rFonts w:eastAsia="Times"/>
              </w:rPr>
              <w:t>per cent</w:t>
            </w:r>
          </w:p>
        </w:tc>
        <w:tc>
          <w:tcPr>
            <w:tcW w:w="1023" w:type="dxa"/>
          </w:tcPr>
          <w:p w14:paraId="25A045B9" w14:textId="77777777" w:rsidR="00602F54" w:rsidRPr="00F45F11" w:rsidRDefault="00602F54" w:rsidP="00472121">
            <w:pPr>
              <w:pStyle w:val="ARtabletextright"/>
              <w:rPr>
                <w:rFonts w:eastAsia="Times"/>
              </w:rPr>
            </w:pPr>
            <w:r w:rsidRPr="00F45F11">
              <w:rPr>
                <w:rFonts w:eastAsia="Times"/>
              </w:rPr>
              <w:t>90</w:t>
            </w:r>
          </w:p>
        </w:tc>
        <w:tc>
          <w:tcPr>
            <w:tcW w:w="1025" w:type="dxa"/>
          </w:tcPr>
          <w:p w14:paraId="109F8E05" w14:textId="77777777" w:rsidR="00602F54" w:rsidRPr="00F45F11" w:rsidRDefault="00602F54" w:rsidP="00472121">
            <w:pPr>
              <w:pStyle w:val="ARtabletextright"/>
              <w:rPr>
                <w:rFonts w:eastAsia="Times"/>
              </w:rPr>
            </w:pPr>
            <w:r w:rsidRPr="00F45F11">
              <w:rPr>
                <w:rFonts w:eastAsia="Times"/>
              </w:rPr>
              <w:t>94.9</w:t>
            </w:r>
          </w:p>
        </w:tc>
        <w:tc>
          <w:tcPr>
            <w:tcW w:w="1029" w:type="dxa"/>
          </w:tcPr>
          <w:p w14:paraId="5418180D" w14:textId="77777777" w:rsidR="00602F54" w:rsidRPr="00F45F11" w:rsidRDefault="00602F54" w:rsidP="00472121">
            <w:pPr>
              <w:pStyle w:val="ARtabletextright"/>
              <w:rPr>
                <w:rFonts w:eastAsia="Times"/>
              </w:rPr>
            </w:pPr>
            <w:r w:rsidRPr="00F45F11">
              <w:rPr>
                <w:rFonts w:eastAsia="Times"/>
              </w:rPr>
              <w:t>5.4%</w:t>
            </w:r>
          </w:p>
        </w:tc>
        <w:tc>
          <w:tcPr>
            <w:tcW w:w="808" w:type="dxa"/>
          </w:tcPr>
          <w:p w14:paraId="3B5F9A71" w14:textId="77777777" w:rsidR="00602F54" w:rsidRPr="00F45F11" w:rsidRDefault="00602F54" w:rsidP="009817E6">
            <w:pPr>
              <w:pStyle w:val="ARtableperformancesymbol"/>
              <w:rPr>
                <w:rFonts w:eastAsia="Times"/>
              </w:rPr>
            </w:pPr>
            <w:r w:rsidRPr="00F45F11">
              <w:rPr>
                <w:rFonts w:eastAsia="Times"/>
              </w:rPr>
              <w:t></w:t>
            </w:r>
          </w:p>
        </w:tc>
      </w:tr>
      <w:tr w:rsidR="00602F54" w:rsidRPr="00F45F11" w14:paraId="4AF88E6E" w14:textId="77777777" w:rsidTr="00DC4049">
        <w:tc>
          <w:tcPr>
            <w:tcW w:w="4722" w:type="dxa"/>
          </w:tcPr>
          <w:p w14:paraId="5F0EBBD4" w14:textId="77777777" w:rsidR="00602F54" w:rsidRDefault="00602F54" w:rsidP="009817E6">
            <w:pPr>
              <w:pStyle w:val="ARTabletext"/>
              <w:rPr>
                <w:rFonts w:eastAsia="Times"/>
              </w:rPr>
            </w:pPr>
            <w:r w:rsidRPr="00F45F11">
              <w:rPr>
                <w:rFonts w:eastAsia="Times"/>
              </w:rPr>
              <w:t>Individuals provided with respite and support services</w:t>
            </w:r>
          </w:p>
          <w:p w14:paraId="711B2001" w14:textId="2BC0319B" w:rsidR="00E27841" w:rsidRPr="00F45F11" w:rsidRDefault="00E27841" w:rsidP="00E27841">
            <w:pPr>
              <w:pStyle w:val="ARtablenoteindent"/>
            </w:pPr>
            <w:r w:rsidRPr="00F45F11">
              <w:t>The 2025–26 outcome is significantly higher than the 2025–26 target due to the long-term shift in modes of service provision, with significantly more online services provided to large groups of carers continuing since the COVID pandemic. These measures are being discontinued and replaced with new measures for 2026–27, which more accurately capture funding intent to provide quality one-on-one or small-group service provision to carers.</w:t>
            </w:r>
          </w:p>
        </w:tc>
        <w:tc>
          <w:tcPr>
            <w:tcW w:w="1021" w:type="dxa"/>
          </w:tcPr>
          <w:p w14:paraId="38A7BF00" w14:textId="77777777" w:rsidR="00602F54" w:rsidRPr="00F45F11" w:rsidRDefault="00602F54" w:rsidP="009817E6">
            <w:pPr>
              <w:pStyle w:val="ARTabletext"/>
              <w:rPr>
                <w:rFonts w:eastAsia="Times"/>
              </w:rPr>
            </w:pPr>
            <w:r w:rsidRPr="00F45F11">
              <w:rPr>
                <w:rFonts w:eastAsia="Times"/>
              </w:rPr>
              <w:t>number</w:t>
            </w:r>
          </w:p>
        </w:tc>
        <w:tc>
          <w:tcPr>
            <w:tcW w:w="1023" w:type="dxa"/>
          </w:tcPr>
          <w:p w14:paraId="16572790" w14:textId="77777777" w:rsidR="00602F54" w:rsidRPr="00F45F11" w:rsidRDefault="00602F54" w:rsidP="00472121">
            <w:pPr>
              <w:pStyle w:val="ARtabletextright"/>
              <w:rPr>
                <w:rFonts w:eastAsia="Times"/>
              </w:rPr>
            </w:pPr>
            <w:r w:rsidRPr="00F45F11">
              <w:rPr>
                <w:rFonts w:eastAsia="Times"/>
              </w:rPr>
              <w:t xml:space="preserve">13,250 </w:t>
            </w:r>
          </w:p>
        </w:tc>
        <w:tc>
          <w:tcPr>
            <w:tcW w:w="1025" w:type="dxa"/>
          </w:tcPr>
          <w:p w14:paraId="28957A82" w14:textId="77777777" w:rsidR="00602F54" w:rsidRPr="00F45F11" w:rsidRDefault="00602F54" w:rsidP="00472121">
            <w:pPr>
              <w:pStyle w:val="ARtabletextright"/>
              <w:rPr>
                <w:rFonts w:eastAsia="Times"/>
              </w:rPr>
            </w:pPr>
            <w:r w:rsidRPr="00F45F11">
              <w:rPr>
                <w:rFonts w:eastAsia="Times"/>
              </w:rPr>
              <w:t xml:space="preserve">31,388 </w:t>
            </w:r>
          </w:p>
        </w:tc>
        <w:tc>
          <w:tcPr>
            <w:tcW w:w="1029" w:type="dxa"/>
          </w:tcPr>
          <w:p w14:paraId="098993BD" w14:textId="77777777" w:rsidR="00602F54" w:rsidRPr="00F45F11" w:rsidRDefault="00602F54" w:rsidP="00472121">
            <w:pPr>
              <w:pStyle w:val="ARtabletextright"/>
              <w:rPr>
                <w:rFonts w:eastAsia="Times"/>
              </w:rPr>
            </w:pPr>
            <w:r w:rsidRPr="00F45F11">
              <w:rPr>
                <w:rFonts w:eastAsia="Times"/>
              </w:rPr>
              <w:t>136.9%</w:t>
            </w:r>
          </w:p>
        </w:tc>
        <w:tc>
          <w:tcPr>
            <w:tcW w:w="808" w:type="dxa"/>
          </w:tcPr>
          <w:p w14:paraId="7DF56A36" w14:textId="77777777" w:rsidR="00602F54" w:rsidRPr="00F45F11" w:rsidRDefault="00602F54" w:rsidP="009817E6">
            <w:pPr>
              <w:pStyle w:val="ARtableperformancesymbol"/>
              <w:rPr>
                <w:rFonts w:eastAsia="Times"/>
              </w:rPr>
            </w:pPr>
            <w:r w:rsidRPr="00F45F11">
              <w:rPr>
                <w:rFonts w:eastAsia="Times"/>
              </w:rPr>
              <w:t></w:t>
            </w:r>
          </w:p>
        </w:tc>
      </w:tr>
      <w:tr w:rsidR="00602F54" w:rsidRPr="00F45F11" w14:paraId="6E3A7D9E" w14:textId="77777777" w:rsidTr="00DC4049">
        <w:tc>
          <w:tcPr>
            <w:tcW w:w="4722" w:type="dxa"/>
          </w:tcPr>
          <w:p w14:paraId="30C3802A" w14:textId="77777777" w:rsidR="00602F54" w:rsidRDefault="00602F54" w:rsidP="009817E6">
            <w:pPr>
              <w:pStyle w:val="ARTabletext"/>
              <w:rPr>
                <w:rFonts w:eastAsia="Times"/>
              </w:rPr>
            </w:pPr>
            <w:r w:rsidRPr="00F45F11">
              <w:rPr>
                <w:rFonts w:eastAsia="Times"/>
              </w:rPr>
              <w:t>Number of hours of respite and support services</w:t>
            </w:r>
          </w:p>
          <w:p w14:paraId="1E4117C6" w14:textId="41957671" w:rsidR="00E27841" w:rsidRPr="00F45F11" w:rsidRDefault="00E27841" w:rsidP="00E27841">
            <w:pPr>
              <w:pStyle w:val="ARtablenoteindent"/>
            </w:pPr>
            <w:r w:rsidRPr="00F45F11">
              <w:t>The 2025–26 outcome is significantly higher than the 2025–26 target due to the long-term shift in modes of service provision, with significantly more online services provided to large groups of carers continuing since the COVID pandemic. These measures are being discontinued and replaced with new measures for 2026–27, which more accurately capture funding intent to provide quality one-on-one or small-group service provision to carers.</w:t>
            </w:r>
          </w:p>
        </w:tc>
        <w:tc>
          <w:tcPr>
            <w:tcW w:w="1021" w:type="dxa"/>
          </w:tcPr>
          <w:p w14:paraId="4239D142" w14:textId="77777777" w:rsidR="00602F54" w:rsidRPr="00F45F11" w:rsidRDefault="00602F54" w:rsidP="009817E6">
            <w:pPr>
              <w:pStyle w:val="ARTabletext"/>
              <w:rPr>
                <w:rFonts w:eastAsia="Times"/>
              </w:rPr>
            </w:pPr>
            <w:r w:rsidRPr="00F45F11">
              <w:rPr>
                <w:rFonts w:eastAsia="Times"/>
              </w:rPr>
              <w:t>number</w:t>
            </w:r>
          </w:p>
        </w:tc>
        <w:tc>
          <w:tcPr>
            <w:tcW w:w="1023" w:type="dxa"/>
          </w:tcPr>
          <w:p w14:paraId="3F1DB202" w14:textId="77777777" w:rsidR="00602F54" w:rsidRPr="00F45F11" w:rsidRDefault="00602F54" w:rsidP="009817E6">
            <w:pPr>
              <w:pStyle w:val="ARtabletextright"/>
              <w:rPr>
                <w:rFonts w:eastAsia="Times"/>
              </w:rPr>
            </w:pPr>
            <w:r w:rsidRPr="00F45F11">
              <w:rPr>
                <w:rFonts w:eastAsia="Times"/>
              </w:rPr>
              <w:t xml:space="preserve">261,250 </w:t>
            </w:r>
          </w:p>
        </w:tc>
        <w:tc>
          <w:tcPr>
            <w:tcW w:w="1025" w:type="dxa"/>
          </w:tcPr>
          <w:p w14:paraId="7142D92E" w14:textId="77777777" w:rsidR="00602F54" w:rsidRPr="00F45F11" w:rsidRDefault="00602F54" w:rsidP="009817E6">
            <w:pPr>
              <w:pStyle w:val="ARtabletextright"/>
              <w:rPr>
                <w:rFonts w:eastAsia="Times"/>
              </w:rPr>
            </w:pPr>
            <w:r w:rsidRPr="00F45F11">
              <w:rPr>
                <w:rFonts w:eastAsia="Times"/>
              </w:rPr>
              <w:t xml:space="preserve">459,162 </w:t>
            </w:r>
          </w:p>
        </w:tc>
        <w:tc>
          <w:tcPr>
            <w:tcW w:w="1029" w:type="dxa"/>
          </w:tcPr>
          <w:p w14:paraId="2C92AD7A" w14:textId="77777777" w:rsidR="00602F54" w:rsidRPr="00F45F11" w:rsidRDefault="00602F54" w:rsidP="009817E6">
            <w:pPr>
              <w:pStyle w:val="ARtabletextright"/>
              <w:rPr>
                <w:rFonts w:eastAsia="Times"/>
              </w:rPr>
            </w:pPr>
            <w:r w:rsidRPr="00F45F11">
              <w:rPr>
                <w:rFonts w:eastAsia="Times"/>
              </w:rPr>
              <w:t>75.8%</w:t>
            </w:r>
          </w:p>
        </w:tc>
        <w:tc>
          <w:tcPr>
            <w:tcW w:w="808" w:type="dxa"/>
          </w:tcPr>
          <w:p w14:paraId="1215ED3A" w14:textId="77777777" w:rsidR="00602F54" w:rsidRPr="00F45F11" w:rsidRDefault="00602F54" w:rsidP="009817E6">
            <w:pPr>
              <w:pStyle w:val="ARtableperformancesymbol"/>
              <w:rPr>
                <w:rFonts w:eastAsia="Times"/>
              </w:rPr>
            </w:pPr>
            <w:r w:rsidRPr="00F45F11">
              <w:rPr>
                <w:rFonts w:eastAsia="Times"/>
              </w:rPr>
              <w:t></w:t>
            </w:r>
          </w:p>
        </w:tc>
      </w:tr>
      <w:tr w:rsidR="00602F54" w:rsidRPr="00F45F11" w14:paraId="64283B6F" w14:textId="77777777" w:rsidTr="00DC4049">
        <w:tc>
          <w:tcPr>
            <w:tcW w:w="4722" w:type="dxa"/>
          </w:tcPr>
          <w:p w14:paraId="3917E863" w14:textId="77777777" w:rsidR="00602F54" w:rsidRDefault="00602F54" w:rsidP="009817E6">
            <w:pPr>
              <w:pStyle w:val="ARTabletext"/>
            </w:pPr>
            <w:r w:rsidRPr="00F45F11">
              <w:t>Open rates for Seniors Card e-Newsletters</w:t>
            </w:r>
          </w:p>
          <w:p w14:paraId="3D1A3F69" w14:textId="345A669D" w:rsidR="00E27841" w:rsidRPr="00F45F11" w:rsidRDefault="00E27841" w:rsidP="00E27841">
            <w:pPr>
              <w:pStyle w:val="ARtablenoteindent"/>
            </w:pPr>
            <w:r w:rsidRPr="00F45F11">
              <w:t xml:space="preserve">The 2025–26 actual outcome is higher than the 2025–26 target due to effective strategies implemented to increase open rates of the </w:t>
            </w:r>
            <w:proofErr w:type="spellStart"/>
            <w:r w:rsidRPr="00F45F11">
              <w:t>eNews</w:t>
            </w:r>
            <w:proofErr w:type="spellEnd"/>
            <w:r w:rsidRPr="00F45F11">
              <w:t xml:space="preserve"> for Seniors Card holders. This includes strategies to focus content on areas of particular interest to seniors, including cost of living savings and the inclusion of competitions.</w:t>
            </w:r>
          </w:p>
        </w:tc>
        <w:tc>
          <w:tcPr>
            <w:tcW w:w="1021" w:type="dxa"/>
          </w:tcPr>
          <w:p w14:paraId="32FF6341" w14:textId="77777777" w:rsidR="00602F54" w:rsidRPr="00F45F11" w:rsidRDefault="00602F54" w:rsidP="009817E6">
            <w:pPr>
              <w:pStyle w:val="ARTabletext"/>
            </w:pPr>
            <w:r w:rsidRPr="00F45F11">
              <w:t>per cent</w:t>
            </w:r>
          </w:p>
        </w:tc>
        <w:tc>
          <w:tcPr>
            <w:tcW w:w="1023" w:type="dxa"/>
          </w:tcPr>
          <w:p w14:paraId="0A8F92BA" w14:textId="77777777" w:rsidR="00602F54" w:rsidRPr="00F45F11" w:rsidRDefault="00602F54" w:rsidP="009817E6">
            <w:pPr>
              <w:pStyle w:val="ARtabletextright"/>
              <w:rPr>
                <w:rFonts w:eastAsia="Times"/>
              </w:rPr>
            </w:pPr>
            <w:r w:rsidRPr="00F45F11">
              <w:rPr>
                <w:rFonts w:eastAsia="Times"/>
              </w:rPr>
              <w:t>48</w:t>
            </w:r>
          </w:p>
        </w:tc>
        <w:tc>
          <w:tcPr>
            <w:tcW w:w="1025" w:type="dxa"/>
          </w:tcPr>
          <w:p w14:paraId="40FCA271" w14:textId="77777777" w:rsidR="00602F54" w:rsidRPr="00F45F11" w:rsidRDefault="00602F54" w:rsidP="009817E6">
            <w:pPr>
              <w:pStyle w:val="ARtabletextright"/>
              <w:rPr>
                <w:rFonts w:eastAsia="Times"/>
              </w:rPr>
            </w:pPr>
            <w:r w:rsidRPr="00F45F11">
              <w:rPr>
                <w:rFonts w:eastAsia="Times"/>
              </w:rPr>
              <w:t>60.7</w:t>
            </w:r>
          </w:p>
        </w:tc>
        <w:tc>
          <w:tcPr>
            <w:tcW w:w="1029" w:type="dxa"/>
          </w:tcPr>
          <w:p w14:paraId="36F09DB8" w14:textId="77777777" w:rsidR="00602F54" w:rsidRPr="00F45F11" w:rsidRDefault="00602F54" w:rsidP="009817E6">
            <w:pPr>
              <w:pStyle w:val="ARtabletextright"/>
              <w:rPr>
                <w:rFonts w:eastAsia="Times"/>
              </w:rPr>
            </w:pPr>
            <w:r w:rsidRPr="00F45F11">
              <w:rPr>
                <w:rFonts w:eastAsia="Times"/>
              </w:rPr>
              <w:t>26.4%</w:t>
            </w:r>
          </w:p>
        </w:tc>
        <w:tc>
          <w:tcPr>
            <w:tcW w:w="808" w:type="dxa"/>
          </w:tcPr>
          <w:p w14:paraId="47DF7F6C" w14:textId="77777777" w:rsidR="00602F54" w:rsidRPr="00F45F11" w:rsidRDefault="00602F54" w:rsidP="009817E6">
            <w:pPr>
              <w:pStyle w:val="ARtableperformancesymbol"/>
              <w:rPr>
                <w:rFonts w:eastAsia="Times"/>
              </w:rPr>
            </w:pPr>
            <w:r w:rsidRPr="00F45F11">
              <w:rPr>
                <w:rFonts w:eastAsia="Times"/>
              </w:rPr>
              <w:t></w:t>
            </w:r>
          </w:p>
        </w:tc>
      </w:tr>
      <w:tr w:rsidR="00256235" w:rsidRPr="00F45F11" w14:paraId="78DBB484" w14:textId="77777777" w:rsidTr="00DC4049">
        <w:tc>
          <w:tcPr>
            <w:tcW w:w="4722" w:type="dxa"/>
          </w:tcPr>
          <w:p w14:paraId="17E31440" w14:textId="77777777" w:rsidR="00256235" w:rsidRDefault="00C7243D">
            <w:pPr>
              <w:pStyle w:val="ARTabletext"/>
              <w:rPr>
                <w:rFonts w:eastAsia="Times"/>
                <w:lang w:eastAsia="en-AU"/>
              </w:rPr>
            </w:pPr>
            <w:r w:rsidRPr="00F45F11">
              <w:rPr>
                <w:rFonts w:eastAsia="Times"/>
                <w:lang w:eastAsia="en-AU"/>
              </w:rPr>
              <w:t xml:space="preserve">Pension-level Supported Residential Services residents provided </w:t>
            </w:r>
            <w:r w:rsidRPr="00F45F11">
              <w:t>with</w:t>
            </w:r>
            <w:r w:rsidRPr="00F45F11">
              <w:rPr>
                <w:rFonts w:eastAsia="Times"/>
                <w:lang w:eastAsia="en-AU"/>
              </w:rPr>
              <w:t xml:space="preserve"> service coordination and </w:t>
            </w:r>
            <w:r w:rsidRPr="00F45F11">
              <w:rPr>
                <w:rFonts w:eastAsia="Times"/>
                <w:lang w:eastAsia="en-AU"/>
              </w:rPr>
              <w:br/>
              <w:t>support/brokerage services</w:t>
            </w:r>
          </w:p>
          <w:p w14:paraId="043323B6" w14:textId="0EE1B3A2" w:rsidR="00E27841" w:rsidRPr="00F45F11" w:rsidRDefault="00E27841" w:rsidP="00E27841">
            <w:pPr>
              <w:pStyle w:val="ARtablenoteindent"/>
            </w:pPr>
            <w:r w:rsidRPr="00F45F11">
              <w:t>The 2025–26 result exceeded target with funded organisations responding to increased demand and changing resident needs</w:t>
            </w:r>
            <w:r>
              <w:t>.</w:t>
            </w:r>
          </w:p>
        </w:tc>
        <w:tc>
          <w:tcPr>
            <w:tcW w:w="1021" w:type="dxa"/>
          </w:tcPr>
          <w:p w14:paraId="38EDAC8C" w14:textId="49F50A3F" w:rsidR="00256235" w:rsidRPr="00F45F11" w:rsidRDefault="00C7243D">
            <w:pPr>
              <w:pStyle w:val="ARTabletext"/>
            </w:pPr>
            <w:r w:rsidRPr="00F45F11">
              <w:rPr>
                <w:rFonts w:eastAsia="Times"/>
                <w:lang w:eastAsia="en-AU"/>
              </w:rPr>
              <w:t>number</w:t>
            </w:r>
          </w:p>
        </w:tc>
        <w:tc>
          <w:tcPr>
            <w:tcW w:w="1023" w:type="dxa"/>
          </w:tcPr>
          <w:p w14:paraId="11014FE1" w14:textId="312017FD" w:rsidR="00256235" w:rsidRPr="00F45F11" w:rsidRDefault="00C7243D">
            <w:pPr>
              <w:pStyle w:val="ARtabletextright"/>
              <w:rPr>
                <w:rFonts w:eastAsia="Times"/>
              </w:rPr>
            </w:pPr>
            <w:r w:rsidRPr="00F45F11">
              <w:rPr>
                <w:rFonts w:eastAsia="Times"/>
                <w:lang w:eastAsia="en-AU"/>
              </w:rPr>
              <w:t>1,040</w:t>
            </w:r>
          </w:p>
        </w:tc>
        <w:tc>
          <w:tcPr>
            <w:tcW w:w="1025" w:type="dxa"/>
          </w:tcPr>
          <w:p w14:paraId="7A62161E" w14:textId="7154E1F2" w:rsidR="00256235" w:rsidRPr="00F45F11" w:rsidRDefault="00C7243D">
            <w:pPr>
              <w:pStyle w:val="ARtabletextright"/>
              <w:rPr>
                <w:rFonts w:eastAsia="Times"/>
              </w:rPr>
            </w:pPr>
            <w:r w:rsidRPr="00F45F11">
              <w:rPr>
                <w:rFonts w:eastAsia="Times"/>
                <w:lang w:eastAsia="en-AU"/>
              </w:rPr>
              <w:t>1,104</w:t>
            </w:r>
          </w:p>
        </w:tc>
        <w:tc>
          <w:tcPr>
            <w:tcW w:w="1029" w:type="dxa"/>
          </w:tcPr>
          <w:p w14:paraId="1FF7839F" w14:textId="4F5DDE67" w:rsidR="00256235" w:rsidRPr="00F45F11" w:rsidRDefault="00C7243D">
            <w:pPr>
              <w:pStyle w:val="ARtabletextright"/>
              <w:rPr>
                <w:rFonts w:eastAsia="Times"/>
              </w:rPr>
            </w:pPr>
            <w:r w:rsidRPr="00F45F11">
              <w:rPr>
                <w:rFonts w:eastAsia="Times"/>
                <w:lang w:eastAsia="en-AU"/>
              </w:rPr>
              <w:t>6.2%</w:t>
            </w:r>
          </w:p>
        </w:tc>
        <w:tc>
          <w:tcPr>
            <w:tcW w:w="808" w:type="dxa"/>
          </w:tcPr>
          <w:p w14:paraId="75813503" w14:textId="77777777" w:rsidR="00256235" w:rsidRPr="00F45F11" w:rsidRDefault="00256235">
            <w:pPr>
              <w:pStyle w:val="ARtableperformancesymbol"/>
              <w:rPr>
                <w:rFonts w:eastAsia="Times"/>
              </w:rPr>
            </w:pPr>
            <w:r w:rsidRPr="009913ED">
              <w:rPr>
                <w:rFonts w:eastAsia="Wingdings" w:cs="Wingdings"/>
                <w:szCs w:val="18"/>
                <w:lang w:eastAsia="x-none"/>
              </w:rPr>
              <w:t></w:t>
            </w:r>
          </w:p>
        </w:tc>
      </w:tr>
      <w:tr w:rsidR="00E27841" w:rsidRPr="00F45F11" w14:paraId="4ED8CD62" w14:textId="77777777" w:rsidTr="00DC4049">
        <w:tc>
          <w:tcPr>
            <w:tcW w:w="4722" w:type="dxa"/>
          </w:tcPr>
          <w:p w14:paraId="63E4258E" w14:textId="71FF472D" w:rsidR="00E27841" w:rsidRPr="00F45F11" w:rsidRDefault="00E27841" w:rsidP="00E27841">
            <w:pPr>
              <w:pStyle w:val="ARTabletext"/>
              <w:rPr>
                <w:rFonts w:eastAsia="Times"/>
                <w:lang w:eastAsia="en-AU"/>
              </w:rPr>
            </w:pPr>
            <w:r w:rsidRPr="00F45F11">
              <w:rPr>
                <w:rFonts w:eastAsia="Times"/>
                <w:lang w:eastAsia="en-AU"/>
              </w:rPr>
              <w:t>Pension-level beds available in assisted supported residential services facilities</w:t>
            </w:r>
          </w:p>
        </w:tc>
        <w:tc>
          <w:tcPr>
            <w:tcW w:w="1021" w:type="dxa"/>
          </w:tcPr>
          <w:p w14:paraId="4281A4B5" w14:textId="695A807B" w:rsidR="00E27841" w:rsidRPr="00F45F11" w:rsidRDefault="00E27841" w:rsidP="00E27841">
            <w:pPr>
              <w:pStyle w:val="ARTabletext"/>
              <w:rPr>
                <w:rFonts w:eastAsia="Times"/>
                <w:lang w:eastAsia="en-AU"/>
              </w:rPr>
            </w:pPr>
            <w:r w:rsidRPr="00F45F11">
              <w:rPr>
                <w:rFonts w:eastAsia="Times"/>
                <w:lang w:eastAsia="en-AU"/>
              </w:rPr>
              <w:t>number</w:t>
            </w:r>
          </w:p>
        </w:tc>
        <w:tc>
          <w:tcPr>
            <w:tcW w:w="1023" w:type="dxa"/>
          </w:tcPr>
          <w:p w14:paraId="029891B8" w14:textId="4FFFE7B1" w:rsidR="00E27841" w:rsidRPr="00F45F11" w:rsidRDefault="00E27841" w:rsidP="00E27841">
            <w:pPr>
              <w:pStyle w:val="ARtabletextright"/>
              <w:rPr>
                <w:rFonts w:eastAsia="Times"/>
                <w:lang w:eastAsia="en-AU"/>
              </w:rPr>
            </w:pPr>
            <w:r w:rsidRPr="00F45F11">
              <w:rPr>
                <w:rFonts w:eastAsia="Times"/>
                <w:lang w:eastAsia="en-AU"/>
              </w:rPr>
              <w:t>2,242</w:t>
            </w:r>
          </w:p>
        </w:tc>
        <w:tc>
          <w:tcPr>
            <w:tcW w:w="1025" w:type="dxa"/>
          </w:tcPr>
          <w:p w14:paraId="321AEAC7" w14:textId="2768588E" w:rsidR="00E27841" w:rsidRPr="00F45F11" w:rsidRDefault="00E27841" w:rsidP="00E27841">
            <w:pPr>
              <w:pStyle w:val="ARtabletextright"/>
              <w:rPr>
                <w:rFonts w:eastAsia="Times"/>
                <w:lang w:eastAsia="en-AU"/>
              </w:rPr>
            </w:pPr>
            <w:r w:rsidRPr="00F45F11">
              <w:rPr>
                <w:rFonts w:eastAsia="Times"/>
                <w:lang w:eastAsia="en-AU"/>
              </w:rPr>
              <w:t>2,297</w:t>
            </w:r>
          </w:p>
        </w:tc>
        <w:tc>
          <w:tcPr>
            <w:tcW w:w="1029" w:type="dxa"/>
          </w:tcPr>
          <w:p w14:paraId="4DADB135" w14:textId="6919FE99" w:rsidR="00E27841" w:rsidRPr="00F45F11" w:rsidRDefault="00E27841" w:rsidP="00E27841">
            <w:pPr>
              <w:pStyle w:val="ARtabletextright"/>
              <w:rPr>
                <w:rFonts w:eastAsia="Times"/>
                <w:lang w:eastAsia="en-AU"/>
              </w:rPr>
            </w:pPr>
            <w:r w:rsidRPr="00F45F11">
              <w:rPr>
                <w:rFonts w:eastAsia="Times"/>
                <w:lang w:eastAsia="en-AU"/>
              </w:rPr>
              <w:t>2</w:t>
            </w:r>
            <w:r w:rsidRPr="00F45F11">
              <w:rPr>
                <w:rFonts w:eastAsia="Times"/>
              </w:rPr>
              <w:t>.5%</w:t>
            </w:r>
          </w:p>
        </w:tc>
        <w:tc>
          <w:tcPr>
            <w:tcW w:w="808" w:type="dxa"/>
          </w:tcPr>
          <w:p w14:paraId="1B7411BA" w14:textId="25492A92" w:rsidR="00E27841" w:rsidRPr="009913ED" w:rsidRDefault="00E27841" w:rsidP="00E27841">
            <w:pPr>
              <w:pStyle w:val="ARtableperformancesymbol"/>
              <w:rPr>
                <w:rFonts w:eastAsia="Wingdings" w:cs="Wingdings"/>
                <w:szCs w:val="18"/>
                <w:lang w:eastAsia="x-none"/>
              </w:rPr>
            </w:pPr>
            <w:r w:rsidRPr="009913ED">
              <w:rPr>
                <w:rFonts w:eastAsia="Wingdings" w:cs="Wingdings"/>
                <w:szCs w:val="18"/>
                <w:lang w:eastAsia="x-none"/>
              </w:rPr>
              <w:t></w:t>
            </w:r>
          </w:p>
        </w:tc>
      </w:tr>
      <w:tr w:rsidR="00E27841" w:rsidRPr="00F45F11" w14:paraId="521AB880" w14:textId="77777777" w:rsidTr="00DC4049">
        <w:tc>
          <w:tcPr>
            <w:tcW w:w="4722" w:type="dxa"/>
          </w:tcPr>
          <w:p w14:paraId="5DEA17D6" w14:textId="77777777" w:rsidR="00E27841" w:rsidRDefault="00E27841" w:rsidP="00E27841">
            <w:pPr>
              <w:pStyle w:val="ARTabletext"/>
              <w:rPr>
                <w:rFonts w:eastAsia="Times"/>
              </w:rPr>
            </w:pPr>
            <w:r w:rsidRPr="00F45F11">
              <w:rPr>
                <w:rFonts w:eastAsia="Times"/>
              </w:rPr>
              <w:t>University of the Third Age membership</w:t>
            </w:r>
          </w:p>
          <w:p w14:paraId="61D4C604" w14:textId="78A15364" w:rsidR="00E27841" w:rsidRPr="00F45F11" w:rsidRDefault="00E27841" w:rsidP="002A7BAF">
            <w:pPr>
              <w:pStyle w:val="ARtablenoteindent"/>
            </w:pPr>
            <w:r w:rsidRPr="00F45F11">
              <w:t>U3A Network and the 104 local U3A clubs across Victoria continue to focus on increasing U3A club memberships by offering a comprehensive selection of lifelong learning opportunities to new and existing members that can be accessed online and in person.</w:t>
            </w:r>
          </w:p>
        </w:tc>
        <w:tc>
          <w:tcPr>
            <w:tcW w:w="1021" w:type="dxa"/>
          </w:tcPr>
          <w:p w14:paraId="3ABD620B" w14:textId="60091DAF" w:rsidR="00E27841" w:rsidRPr="00F45F11" w:rsidRDefault="00E27841" w:rsidP="00E27841">
            <w:pPr>
              <w:pStyle w:val="ARTabletext"/>
              <w:rPr>
                <w:rFonts w:eastAsia="Times"/>
                <w:lang w:eastAsia="en-AU"/>
              </w:rPr>
            </w:pPr>
            <w:r w:rsidRPr="00F45F11">
              <w:rPr>
                <w:rFonts w:eastAsia="Times"/>
              </w:rPr>
              <w:t>number</w:t>
            </w:r>
          </w:p>
        </w:tc>
        <w:tc>
          <w:tcPr>
            <w:tcW w:w="1023" w:type="dxa"/>
          </w:tcPr>
          <w:p w14:paraId="0E670AA1" w14:textId="58C4B43D" w:rsidR="00E27841" w:rsidRPr="00F45F11" w:rsidRDefault="00E27841" w:rsidP="00E27841">
            <w:pPr>
              <w:pStyle w:val="ARtabletextright"/>
              <w:rPr>
                <w:rFonts w:eastAsia="Times"/>
                <w:lang w:eastAsia="en-AU"/>
              </w:rPr>
            </w:pPr>
            <w:r w:rsidRPr="00F45F11">
              <w:rPr>
                <w:rFonts w:eastAsia="Times"/>
              </w:rPr>
              <w:t xml:space="preserve">38,000 </w:t>
            </w:r>
          </w:p>
        </w:tc>
        <w:tc>
          <w:tcPr>
            <w:tcW w:w="1025" w:type="dxa"/>
          </w:tcPr>
          <w:p w14:paraId="220F72AB" w14:textId="0D43770F" w:rsidR="00E27841" w:rsidRPr="00F45F11" w:rsidRDefault="00E27841" w:rsidP="00E27841">
            <w:pPr>
              <w:pStyle w:val="ARtabletextright"/>
              <w:rPr>
                <w:rFonts w:eastAsia="Times"/>
                <w:lang w:eastAsia="en-AU"/>
              </w:rPr>
            </w:pPr>
            <w:r w:rsidRPr="00F45F11">
              <w:rPr>
                <w:rFonts w:eastAsia="Times"/>
              </w:rPr>
              <w:t>44,368</w:t>
            </w:r>
          </w:p>
        </w:tc>
        <w:tc>
          <w:tcPr>
            <w:tcW w:w="1029" w:type="dxa"/>
          </w:tcPr>
          <w:p w14:paraId="45AEDC18" w14:textId="703B2754" w:rsidR="00E27841" w:rsidRPr="00F45F11" w:rsidRDefault="00E27841" w:rsidP="00E27841">
            <w:pPr>
              <w:pStyle w:val="ARtabletextright"/>
              <w:rPr>
                <w:rFonts w:eastAsia="Times"/>
                <w:lang w:eastAsia="en-AU"/>
              </w:rPr>
            </w:pPr>
            <w:r w:rsidRPr="00F45F11">
              <w:rPr>
                <w:rFonts w:eastAsia="Times"/>
              </w:rPr>
              <w:t>16.8%</w:t>
            </w:r>
          </w:p>
        </w:tc>
        <w:tc>
          <w:tcPr>
            <w:tcW w:w="808" w:type="dxa"/>
          </w:tcPr>
          <w:p w14:paraId="603E539E" w14:textId="2860BA27" w:rsidR="00E27841" w:rsidRPr="009913ED" w:rsidRDefault="00E27841" w:rsidP="00E27841">
            <w:pPr>
              <w:pStyle w:val="ARtableperformancesymbol"/>
              <w:rPr>
                <w:rFonts w:eastAsia="Wingdings" w:cs="Wingdings"/>
                <w:szCs w:val="18"/>
                <w:lang w:eastAsia="x-none"/>
              </w:rPr>
            </w:pPr>
            <w:r w:rsidRPr="00F45F11">
              <w:rPr>
                <w:rFonts w:eastAsia="Times"/>
              </w:rPr>
              <w:t></w:t>
            </w:r>
          </w:p>
        </w:tc>
      </w:tr>
      <w:tr w:rsidR="00E27841" w:rsidRPr="00F45F11" w14:paraId="00227C55" w14:textId="77777777" w:rsidTr="00DC4049">
        <w:tc>
          <w:tcPr>
            <w:tcW w:w="4722" w:type="dxa"/>
          </w:tcPr>
          <w:p w14:paraId="60C8D5E0" w14:textId="1181F380" w:rsidR="00E27841" w:rsidRPr="00F45F11" w:rsidRDefault="00E27841" w:rsidP="00E27841">
            <w:pPr>
              <w:pStyle w:val="ARtablegreybold"/>
              <w:rPr>
                <w:rFonts w:eastAsia="Times"/>
              </w:rPr>
            </w:pPr>
            <w:r w:rsidRPr="00F45F11">
              <w:t>Quality</w:t>
            </w:r>
          </w:p>
        </w:tc>
        <w:tc>
          <w:tcPr>
            <w:tcW w:w="1021" w:type="dxa"/>
          </w:tcPr>
          <w:p w14:paraId="13C1CB18" w14:textId="77777777" w:rsidR="00E27841" w:rsidRPr="00F45F11" w:rsidRDefault="00E27841">
            <w:pPr>
              <w:pStyle w:val="ARTabletext"/>
              <w:rPr>
                <w:rFonts w:eastAsia="Times"/>
                <w:lang w:eastAsia="en-AU"/>
              </w:rPr>
            </w:pPr>
          </w:p>
        </w:tc>
        <w:tc>
          <w:tcPr>
            <w:tcW w:w="1023" w:type="dxa"/>
          </w:tcPr>
          <w:p w14:paraId="0C990D98" w14:textId="77777777" w:rsidR="00E27841" w:rsidRPr="00F45F11" w:rsidRDefault="00E27841">
            <w:pPr>
              <w:pStyle w:val="ARtabletextright"/>
              <w:rPr>
                <w:rFonts w:eastAsia="Times"/>
                <w:lang w:eastAsia="en-AU"/>
              </w:rPr>
            </w:pPr>
          </w:p>
        </w:tc>
        <w:tc>
          <w:tcPr>
            <w:tcW w:w="1025" w:type="dxa"/>
          </w:tcPr>
          <w:p w14:paraId="66AB4AB2" w14:textId="77777777" w:rsidR="00E27841" w:rsidRPr="00F45F11" w:rsidRDefault="00E27841">
            <w:pPr>
              <w:pStyle w:val="ARtabletextright"/>
              <w:rPr>
                <w:rFonts w:eastAsia="Times"/>
                <w:lang w:eastAsia="en-AU"/>
              </w:rPr>
            </w:pPr>
          </w:p>
        </w:tc>
        <w:tc>
          <w:tcPr>
            <w:tcW w:w="1029" w:type="dxa"/>
          </w:tcPr>
          <w:p w14:paraId="545D7DA2" w14:textId="77777777" w:rsidR="00E27841" w:rsidRPr="00F45F11" w:rsidRDefault="00E27841">
            <w:pPr>
              <w:pStyle w:val="ARtabletextright"/>
              <w:rPr>
                <w:rFonts w:eastAsia="Times"/>
                <w:lang w:eastAsia="en-AU"/>
              </w:rPr>
            </w:pPr>
          </w:p>
        </w:tc>
        <w:tc>
          <w:tcPr>
            <w:tcW w:w="808" w:type="dxa"/>
          </w:tcPr>
          <w:p w14:paraId="21A98A11" w14:textId="77777777" w:rsidR="00E27841" w:rsidRPr="009913ED" w:rsidRDefault="00E27841">
            <w:pPr>
              <w:pStyle w:val="ARtableperformancesymbol"/>
              <w:rPr>
                <w:rFonts w:eastAsia="Wingdings" w:cs="Wingdings"/>
                <w:szCs w:val="18"/>
                <w:lang w:eastAsia="x-none"/>
              </w:rPr>
            </w:pPr>
          </w:p>
        </w:tc>
      </w:tr>
      <w:tr w:rsidR="00E27841" w:rsidRPr="00F45F11" w14:paraId="2514E116" w14:textId="77777777" w:rsidTr="00DC4049">
        <w:tc>
          <w:tcPr>
            <w:tcW w:w="4722" w:type="dxa"/>
          </w:tcPr>
          <w:p w14:paraId="65D87851" w14:textId="6DC92E37" w:rsidR="00E27841" w:rsidRPr="00F45F11" w:rsidRDefault="00E27841" w:rsidP="00E27841">
            <w:pPr>
              <w:pStyle w:val="ARTabletext"/>
              <w:rPr>
                <w:rFonts w:eastAsia="Times"/>
                <w:lang w:eastAsia="en-AU"/>
              </w:rPr>
            </w:pPr>
            <w:r w:rsidRPr="00F45F11">
              <w:rPr>
                <w:rFonts w:eastAsia="Times"/>
              </w:rPr>
              <w:t>Senior satisfaction with Victorian Seniors Festival events</w:t>
            </w:r>
          </w:p>
        </w:tc>
        <w:tc>
          <w:tcPr>
            <w:tcW w:w="1021" w:type="dxa"/>
          </w:tcPr>
          <w:p w14:paraId="3C8CA84C" w14:textId="59FEE904" w:rsidR="00E27841" w:rsidRPr="00F45F11" w:rsidRDefault="00E27841" w:rsidP="00E27841">
            <w:pPr>
              <w:pStyle w:val="ARTabletext"/>
              <w:rPr>
                <w:rFonts w:eastAsia="Times"/>
                <w:lang w:eastAsia="en-AU"/>
              </w:rPr>
            </w:pPr>
            <w:r w:rsidRPr="00F45F11">
              <w:rPr>
                <w:rFonts w:eastAsia="Times"/>
              </w:rPr>
              <w:t>per cent</w:t>
            </w:r>
          </w:p>
        </w:tc>
        <w:tc>
          <w:tcPr>
            <w:tcW w:w="1023" w:type="dxa"/>
          </w:tcPr>
          <w:p w14:paraId="7B214286" w14:textId="233E342B" w:rsidR="00E27841" w:rsidRPr="00F45F11" w:rsidRDefault="00E27841" w:rsidP="00E27841">
            <w:pPr>
              <w:pStyle w:val="ARtabletextright"/>
              <w:rPr>
                <w:rFonts w:eastAsia="Times"/>
                <w:lang w:eastAsia="en-AU"/>
              </w:rPr>
            </w:pPr>
            <w:r w:rsidRPr="00F45F11">
              <w:rPr>
                <w:rFonts w:eastAsia="Times"/>
              </w:rPr>
              <w:t>90.0</w:t>
            </w:r>
          </w:p>
        </w:tc>
        <w:tc>
          <w:tcPr>
            <w:tcW w:w="1025" w:type="dxa"/>
          </w:tcPr>
          <w:p w14:paraId="4602037E" w14:textId="246416D0" w:rsidR="00E27841" w:rsidRPr="00F45F11" w:rsidRDefault="00E27841" w:rsidP="00E27841">
            <w:pPr>
              <w:pStyle w:val="ARtabletextright"/>
              <w:rPr>
                <w:rFonts w:eastAsia="Times"/>
                <w:lang w:eastAsia="en-AU"/>
              </w:rPr>
            </w:pPr>
            <w:r w:rsidRPr="00F45F11">
              <w:rPr>
                <w:rFonts w:eastAsia="Times"/>
              </w:rPr>
              <w:t>86.3</w:t>
            </w:r>
          </w:p>
        </w:tc>
        <w:tc>
          <w:tcPr>
            <w:tcW w:w="1029" w:type="dxa"/>
          </w:tcPr>
          <w:p w14:paraId="564CD981" w14:textId="2ECBDE17" w:rsidR="00E27841" w:rsidRPr="00F45F11" w:rsidRDefault="00E27841" w:rsidP="00E27841">
            <w:pPr>
              <w:pStyle w:val="ARtabletextright"/>
              <w:rPr>
                <w:rFonts w:eastAsia="Times"/>
                <w:lang w:eastAsia="en-AU"/>
              </w:rPr>
            </w:pPr>
            <w:r w:rsidRPr="00F45F11">
              <w:rPr>
                <w:rFonts w:eastAsia="Times"/>
              </w:rPr>
              <w:t>-4.1%</w:t>
            </w:r>
          </w:p>
        </w:tc>
        <w:tc>
          <w:tcPr>
            <w:tcW w:w="808" w:type="dxa"/>
          </w:tcPr>
          <w:p w14:paraId="5D4116CF" w14:textId="5E13D87E" w:rsidR="00E27841" w:rsidRPr="009913ED" w:rsidRDefault="00E27841" w:rsidP="00E27841">
            <w:pPr>
              <w:pStyle w:val="ARtableperformancesymbol"/>
              <w:rPr>
                <w:rFonts w:eastAsia="Wingdings" w:cs="Wingdings"/>
                <w:szCs w:val="18"/>
                <w:lang w:eastAsia="x-none"/>
              </w:rPr>
            </w:pPr>
            <w:r w:rsidRPr="00F45F11">
              <w:rPr>
                <w:rFonts w:eastAsia="Times"/>
              </w:rPr>
              <w:t>□</w:t>
            </w:r>
          </w:p>
        </w:tc>
      </w:tr>
      <w:tr w:rsidR="00E27841" w:rsidRPr="00F45F11" w14:paraId="4B30C45C" w14:textId="77777777" w:rsidTr="00DC4049">
        <w:tc>
          <w:tcPr>
            <w:tcW w:w="4722" w:type="dxa"/>
          </w:tcPr>
          <w:p w14:paraId="492ADF13" w14:textId="6A3E9D6C" w:rsidR="00E27841" w:rsidRPr="00F45F11" w:rsidRDefault="00E27841" w:rsidP="00E27841">
            <w:pPr>
              <w:pStyle w:val="ARtablegreybold"/>
              <w:rPr>
                <w:rFonts w:eastAsia="Times"/>
              </w:rPr>
            </w:pPr>
            <w:r w:rsidRPr="00F45F11">
              <w:t>Cost</w:t>
            </w:r>
          </w:p>
        </w:tc>
        <w:tc>
          <w:tcPr>
            <w:tcW w:w="1021" w:type="dxa"/>
          </w:tcPr>
          <w:p w14:paraId="0CBCB0CD" w14:textId="77777777" w:rsidR="00E27841" w:rsidRPr="00F45F11" w:rsidRDefault="00E27841" w:rsidP="00E27841">
            <w:pPr>
              <w:pStyle w:val="ARTabletext"/>
              <w:rPr>
                <w:rFonts w:eastAsia="Times"/>
                <w:lang w:eastAsia="en-AU"/>
              </w:rPr>
            </w:pPr>
          </w:p>
        </w:tc>
        <w:tc>
          <w:tcPr>
            <w:tcW w:w="1023" w:type="dxa"/>
          </w:tcPr>
          <w:p w14:paraId="3DD76B3C" w14:textId="77777777" w:rsidR="00E27841" w:rsidRPr="00F45F11" w:rsidRDefault="00E27841" w:rsidP="00E27841">
            <w:pPr>
              <w:pStyle w:val="ARtabletextright"/>
              <w:rPr>
                <w:rFonts w:eastAsia="Times"/>
                <w:lang w:eastAsia="en-AU"/>
              </w:rPr>
            </w:pPr>
          </w:p>
        </w:tc>
        <w:tc>
          <w:tcPr>
            <w:tcW w:w="1025" w:type="dxa"/>
          </w:tcPr>
          <w:p w14:paraId="0C39B092" w14:textId="77777777" w:rsidR="00E27841" w:rsidRPr="00F45F11" w:rsidRDefault="00E27841" w:rsidP="00E27841">
            <w:pPr>
              <w:pStyle w:val="ARtabletextright"/>
              <w:rPr>
                <w:rFonts w:eastAsia="Times"/>
                <w:lang w:eastAsia="en-AU"/>
              </w:rPr>
            </w:pPr>
          </w:p>
        </w:tc>
        <w:tc>
          <w:tcPr>
            <w:tcW w:w="1029" w:type="dxa"/>
          </w:tcPr>
          <w:p w14:paraId="1C37875D" w14:textId="77777777" w:rsidR="00E27841" w:rsidRPr="00F45F11" w:rsidRDefault="00E27841" w:rsidP="00E27841">
            <w:pPr>
              <w:pStyle w:val="ARtabletextright"/>
              <w:rPr>
                <w:rFonts w:eastAsia="Times"/>
                <w:lang w:eastAsia="en-AU"/>
              </w:rPr>
            </w:pPr>
          </w:p>
        </w:tc>
        <w:tc>
          <w:tcPr>
            <w:tcW w:w="808" w:type="dxa"/>
          </w:tcPr>
          <w:p w14:paraId="1950C8B7" w14:textId="77777777" w:rsidR="00E27841" w:rsidRPr="009913ED" w:rsidRDefault="00E27841" w:rsidP="00E27841">
            <w:pPr>
              <w:pStyle w:val="ARtableperformancesymbol"/>
              <w:rPr>
                <w:rFonts w:eastAsia="Wingdings" w:cs="Wingdings"/>
                <w:szCs w:val="18"/>
                <w:lang w:eastAsia="x-none"/>
              </w:rPr>
            </w:pPr>
          </w:p>
        </w:tc>
      </w:tr>
      <w:tr w:rsidR="00E27841" w:rsidRPr="00F45F11" w14:paraId="10943488" w14:textId="77777777" w:rsidTr="00E27841">
        <w:trPr>
          <w:cnfStyle w:val="010000000000" w:firstRow="0" w:lastRow="1" w:firstColumn="0" w:lastColumn="0" w:oddVBand="0" w:evenVBand="0" w:oddHBand="0" w:evenHBand="0" w:firstRowFirstColumn="0" w:firstRowLastColumn="0" w:lastRowFirstColumn="0" w:lastRowLastColumn="0"/>
        </w:trPr>
        <w:tc>
          <w:tcPr>
            <w:tcW w:w="4722" w:type="dxa"/>
          </w:tcPr>
          <w:p w14:paraId="424FC8E2" w14:textId="7F2A36B6" w:rsidR="00E27841" w:rsidRPr="00F45F11" w:rsidRDefault="00E27841" w:rsidP="00E27841">
            <w:pPr>
              <w:pStyle w:val="ARtabletextbold"/>
              <w:rPr>
                <w:rFonts w:eastAsia="Times"/>
                <w:lang w:eastAsia="en-AU"/>
              </w:rPr>
            </w:pPr>
            <w:r w:rsidRPr="00F45F11">
              <w:rPr>
                <w:rFonts w:eastAsia="Times"/>
              </w:rPr>
              <w:t>Total output cost</w:t>
            </w:r>
          </w:p>
        </w:tc>
        <w:tc>
          <w:tcPr>
            <w:tcW w:w="1021" w:type="dxa"/>
          </w:tcPr>
          <w:p w14:paraId="09DA6138" w14:textId="1181D556" w:rsidR="00E27841" w:rsidRPr="00F45F11" w:rsidRDefault="00E27841" w:rsidP="00E27841">
            <w:pPr>
              <w:pStyle w:val="ARtabletextbold"/>
              <w:rPr>
                <w:rFonts w:eastAsia="Times"/>
                <w:lang w:eastAsia="en-AU"/>
              </w:rPr>
            </w:pPr>
            <w:r w:rsidRPr="00F45F11">
              <w:rPr>
                <w:rFonts w:eastAsia="Times"/>
              </w:rPr>
              <w:t>$ million</w:t>
            </w:r>
          </w:p>
        </w:tc>
        <w:tc>
          <w:tcPr>
            <w:tcW w:w="1023" w:type="dxa"/>
          </w:tcPr>
          <w:p w14:paraId="19D05007" w14:textId="3CE20967" w:rsidR="00E27841" w:rsidRPr="00F45F11" w:rsidRDefault="00E27841" w:rsidP="00E27841">
            <w:pPr>
              <w:pStyle w:val="ARtabletextbold"/>
              <w:jc w:val="right"/>
              <w:rPr>
                <w:rFonts w:eastAsia="Times"/>
                <w:lang w:eastAsia="en-AU"/>
              </w:rPr>
            </w:pPr>
            <w:r w:rsidRPr="00F45F11">
              <w:rPr>
                <w:rFonts w:eastAsia="Times"/>
              </w:rPr>
              <w:t>63.1</w:t>
            </w:r>
          </w:p>
        </w:tc>
        <w:tc>
          <w:tcPr>
            <w:tcW w:w="1025" w:type="dxa"/>
          </w:tcPr>
          <w:p w14:paraId="679AD63C" w14:textId="468F80FF" w:rsidR="00E27841" w:rsidRPr="00F45F11" w:rsidRDefault="00E27841" w:rsidP="00E27841">
            <w:pPr>
              <w:pStyle w:val="ARtabletextbold"/>
              <w:jc w:val="right"/>
              <w:rPr>
                <w:rFonts w:eastAsia="Times"/>
                <w:lang w:eastAsia="en-AU"/>
              </w:rPr>
            </w:pPr>
            <w:r w:rsidRPr="00F45F11">
              <w:rPr>
                <w:rFonts w:eastAsia="Times"/>
              </w:rPr>
              <w:t>65.4</w:t>
            </w:r>
          </w:p>
        </w:tc>
        <w:tc>
          <w:tcPr>
            <w:tcW w:w="1029" w:type="dxa"/>
          </w:tcPr>
          <w:p w14:paraId="3A19B6C1" w14:textId="0A54828B" w:rsidR="00E27841" w:rsidRPr="00F45F11" w:rsidRDefault="00E27841" w:rsidP="00E27841">
            <w:pPr>
              <w:pStyle w:val="ARtabletextbold"/>
              <w:jc w:val="right"/>
              <w:rPr>
                <w:rFonts w:eastAsia="Times"/>
                <w:lang w:eastAsia="en-AU"/>
              </w:rPr>
            </w:pPr>
            <w:r w:rsidRPr="00F45F11">
              <w:rPr>
                <w:rFonts w:eastAsia="Times"/>
              </w:rPr>
              <w:t>3.7%</w:t>
            </w:r>
          </w:p>
        </w:tc>
        <w:tc>
          <w:tcPr>
            <w:tcW w:w="808" w:type="dxa"/>
          </w:tcPr>
          <w:p w14:paraId="0784E6BA" w14:textId="6720C20B" w:rsidR="00E27841" w:rsidRPr="009913ED" w:rsidRDefault="00E27841" w:rsidP="00E27841">
            <w:pPr>
              <w:pStyle w:val="ARtableperformancesymbol"/>
              <w:rPr>
                <w:rFonts w:eastAsia="Wingdings" w:cs="Wingdings"/>
                <w:szCs w:val="18"/>
                <w:lang w:eastAsia="x-none"/>
              </w:rPr>
            </w:pPr>
            <w:r w:rsidRPr="00F45F11">
              <w:rPr>
                <w:rFonts w:eastAsia="Times"/>
              </w:rPr>
              <w:t></w:t>
            </w:r>
          </w:p>
        </w:tc>
      </w:tr>
    </w:tbl>
    <w:p w14:paraId="4DCA67D3" w14:textId="2121AE38" w:rsidR="00602F54" w:rsidRPr="00F45F11" w:rsidRDefault="00602F54" w:rsidP="00602F54">
      <w:pPr>
        <w:pStyle w:val="Heading3"/>
      </w:pPr>
      <w:r w:rsidRPr="00F45F11">
        <w:t>Support to veterans in Victoria</w:t>
      </w:r>
    </w:p>
    <w:p w14:paraId="5C90406D" w14:textId="3CB11E60" w:rsidR="00181E36" w:rsidRPr="00541B81" w:rsidRDefault="00602F54" w:rsidP="00602F54">
      <w:pPr>
        <w:pStyle w:val="ARbodybeforetable"/>
      </w:pPr>
      <w:r w:rsidRPr="00F45F11">
        <w:t>This output provides coordination of veteran-related issues at a state level, especially in relation to commemoration, education programs, grant programs, employment initiatives, research and veteran welfare. This output supports the Shrine of Remembrance and the Victorian Veterans Council.</w:t>
      </w:r>
    </w:p>
    <w:tbl>
      <w:tblPr>
        <w:tblStyle w:val="ARtable1"/>
        <w:tblW w:w="5000" w:type="pct"/>
        <w:tblLook w:val="06E0" w:firstRow="1" w:lastRow="1" w:firstColumn="1" w:lastColumn="0" w:noHBand="1" w:noVBand="1"/>
      </w:tblPr>
      <w:tblGrid>
        <w:gridCol w:w="4671"/>
        <w:gridCol w:w="999"/>
        <w:gridCol w:w="1001"/>
        <w:gridCol w:w="1027"/>
        <w:gridCol w:w="1007"/>
        <w:gridCol w:w="923"/>
      </w:tblGrid>
      <w:tr w:rsidR="00602F54" w:rsidRPr="00F45F11" w14:paraId="6D02CBD3" w14:textId="77777777" w:rsidTr="00E86BDC">
        <w:trPr>
          <w:cnfStyle w:val="100000000000" w:firstRow="1" w:lastRow="0" w:firstColumn="0" w:lastColumn="0" w:oddVBand="0" w:evenVBand="0" w:oddHBand="0" w:evenHBand="0" w:firstRowFirstColumn="0" w:firstRowLastColumn="0" w:lastRowFirstColumn="0" w:lastRowLastColumn="0"/>
          <w:tblHeader/>
        </w:trPr>
        <w:tc>
          <w:tcPr>
            <w:tcW w:w="2428" w:type="pct"/>
            <w:hideMark/>
          </w:tcPr>
          <w:p w14:paraId="728B2239" w14:textId="77777777" w:rsidR="00602F54" w:rsidRPr="00F45F11" w:rsidRDefault="00602F54" w:rsidP="009817E6">
            <w:pPr>
              <w:pStyle w:val="ARtablecolhead"/>
              <w:rPr>
                <w:rFonts w:eastAsia="Times"/>
              </w:rPr>
            </w:pPr>
            <w:r w:rsidRPr="00F45F11">
              <w:rPr>
                <w:rFonts w:eastAsia="Times"/>
              </w:rPr>
              <w:t>Performance measures</w:t>
            </w:r>
          </w:p>
        </w:tc>
        <w:tc>
          <w:tcPr>
            <w:tcW w:w="521" w:type="pct"/>
            <w:hideMark/>
          </w:tcPr>
          <w:p w14:paraId="5EACD4CC" w14:textId="77777777" w:rsidR="00602F54" w:rsidRPr="00F45F11" w:rsidRDefault="00602F54" w:rsidP="009817E6">
            <w:pPr>
              <w:pStyle w:val="ARtablecolhead"/>
              <w:rPr>
                <w:rFonts w:eastAsia="Times"/>
              </w:rPr>
            </w:pPr>
            <w:r w:rsidRPr="00F45F11">
              <w:rPr>
                <w:rFonts w:eastAsia="Times"/>
              </w:rPr>
              <w:t>Unit of measure</w:t>
            </w:r>
          </w:p>
        </w:tc>
        <w:tc>
          <w:tcPr>
            <w:tcW w:w="522" w:type="pct"/>
            <w:hideMark/>
          </w:tcPr>
          <w:p w14:paraId="276C8C20" w14:textId="77777777" w:rsidR="00602F54" w:rsidRPr="00F45F11" w:rsidRDefault="00602F54" w:rsidP="009817E6">
            <w:pPr>
              <w:pStyle w:val="ARtablecolheadright"/>
              <w:rPr>
                <w:rFonts w:eastAsia="Times"/>
              </w:rPr>
            </w:pPr>
            <w:r w:rsidRPr="00F45F11">
              <w:rPr>
                <w:rFonts w:eastAsia="Times"/>
              </w:rPr>
              <w:t>2025–26 target</w:t>
            </w:r>
          </w:p>
        </w:tc>
        <w:tc>
          <w:tcPr>
            <w:tcW w:w="523" w:type="pct"/>
            <w:hideMark/>
          </w:tcPr>
          <w:p w14:paraId="0A485E54" w14:textId="77777777" w:rsidR="00602F54" w:rsidRPr="00F45F11" w:rsidRDefault="00602F54" w:rsidP="009817E6">
            <w:pPr>
              <w:pStyle w:val="ARtablecolheadright"/>
              <w:rPr>
                <w:rFonts w:eastAsia="Times"/>
              </w:rPr>
            </w:pPr>
            <w:r w:rsidRPr="00F45F11">
              <w:rPr>
                <w:rFonts w:eastAsia="Times"/>
              </w:rPr>
              <w:t>2025–26 actual</w:t>
            </w:r>
          </w:p>
        </w:tc>
        <w:tc>
          <w:tcPr>
            <w:tcW w:w="525" w:type="pct"/>
            <w:hideMark/>
          </w:tcPr>
          <w:p w14:paraId="1557608F" w14:textId="77777777" w:rsidR="00602F54" w:rsidRPr="00F45F11" w:rsidRDefault="00602F54" w:rsidP="009817E6">
            <w:pPr>
              <w:pStyle w:val="ARtablecolheadright"/>
              <w:rPr>
                <w:rFonts w:eastAsia="Times"/>
              </w:rPr>
            </w:pPr>
            <w:r w:rsidRPr="00F45F11">
              <w:rPr>
                <w:rFonts w:eastAsia="Times"/>
              </w:rPr>
              <w:t xml:space="preserve">Variation </w:t>
            </w:r>
          </w:p>
        </w:tc>
        <w:tc>
          <w:tcPr>
            <w:tcW w:w="481" w:type="pct"/>
            <w:hideMark/>
          </w:tcPr>
          <w:p w14:paraId="54200F96" w14:textId="77777777" w:rsidR="00602F54" w:rsidRPr="00F45F11" w:rsidRDefault="00602F54" w:rsidP="009817E6">
            <w:pPr>
              <w:pStyle w:val="ARtablecolheadright"/>
              <w:rPr>
                <w:rFonts w:eastAsia="Times"/>
              </w:rPr>
            </w:pPr>
            <w:r w:rsidRPr="00F45F11">
              <w:rPr>
                <w:rFonts w:eastAsia="Times"/>
              </w:rPr>
              <w:t>Result</w:t>
            </w:r>
          </w:p>
        </w:tc>
      </w:tr>
      <w:tr w:rsidR="00DC4049" w:rsidRPr="00F45F11" w14:paraId="3EE5E04A" w14:textId="77777777" w:rsidTr="00E86BDC">
        <w:tc>
          <w:tcPr>
            <w:tcW w:w="2428" w:type="pct"/>
          </w:tcPr>
          <w:p w14:paraId="0590F7B6" w14:textId="51A1F5F0" w:rsidR="00DC4049" w:rsidRPr="00067149" w:rsidRDefault="00E27841" w:rsidP="00E27841">
            <w:pPr>
              <w:pStyle w:val="ARtablegreybold"/>
              <w:rPr>
                <w:rFonts w:eastAsia="Times"/>
              </w:rPr>
            </w:pPr>
            <w:r w:rsidRPr="00F45F11">
              <w:t>Quantity</w:t>
            </w:r>
          </w:p>
        </w:tc>
        <w:tc>
          <w:tcPr>
            <w:tcW w:w="521" w:type="pct"/>
          </w:tcPr>
          <w:p w14:paraId="257BA9BB" w14:textId="77777777" w:rsidR="00DC4049" w:rsidRPr="00067149" w:rsidRDefault="00DC4049" w:rsidP="009817E6">
            <w:pPr>
              <w:pStyle w:val="ARTabletext"/>
              <w:rPr>
                <w:rFonts w:eastAsia="Times"/>
              </w:rPr>
            </w:pPr>
          </w:p>
        </w:tc>
        <w:tc>
          <w:tcPr>
            <w:tcW w:w="522" w:type="pct"/>
          </w:tcPr>
          <w:p w14:paraId="142B2FA5" w14:textId="77777777" w:rsidR="00DC4049" w:rsidRPr="00067149" w:rsidRDefault="00DC4049" w:rsidP="009817E6">
            <w:pPr>
              <w:pStyle w:val="ARtabletextright"/>
              <w:rPr>
                <w:rFonts w:eastAsia="Times"/>
              </w:rPr>
            </w:pPr>
          </w:p>
        </w:tc>
        <w:tc>
          <w:tcPr>
            <w:tcW w:w="523" w:type="pct"/>
          </w:tcPr>
          <w:p w14:paraId="57CF9612" w14:textId="77777777" w:rsidR="00DC4049" w:rsidRPr="00067149" w:rsidRDefault="00DC4049" w:rsidP="009817E6">
            <w:pPr>
              <w:pStyle w:val="ARtabletextright"/>
              <w:rPr>
                <w:rFonts w:eastAsia="Times"/>
              </w:rPr>
            </w:pPr>
          </w:p>
        </w:tc>
        <w:tc>
          <w:tcPr>
            <w:tcW w:w="525" w:type="pct"/>
          </w:tcPr>
          <w:p w14:paraId="51BD152B" w14:textId="77777777" w:rsidR="00DC4049" w:rsidRPr="00067149" w:rsidRDefault="00DC4049" w:rsidP="009817E6">
            <w:pPr>
              <w:pStyle w:val="ARtabletextright"/>
              <w:rPr>
                <w:rFonts w:eastAsia="Times"/>
              </w:rPr>
            </w:pPr>
          </w:p>
        </w:tc>
        <w:tc>
          <w:tcPr>
            <w:tcW w:w="481" w:type="pct"/>
          </w:tcPr>
          <w:p w14:paraId="5DE1EA49" w14:textId="77777777" w:rsidR="00DC4049" w:rsidRPr="00067149" w:rsidRDefault="00DC4049" w:rsidP="009817E6">
            <w:pPr>
              <w:pStyle w:val="ARtableperformancesymbol"/>
              <w:rPr>
                <w:rFonts w:eastAsia="Times"/>
              </w:rPr>
            </w:pPr>
          </w:p>
        </w:tc>
      </w:tr>
      <w:tr w:rsidR="00602F54" w:rsidRPr="00F45F11" w14:paraId="09DE678E" w14:textId="77777777" w:rsidTr="00E86BDC">
        <w:tc>
          <w:tcPr>
            <w:tcW w:w="2428" w:type="pct"/>
          </w:tcPr>
          <w:p w14:paraId="4A816486" w14:textId="77777777" w:rsidR="00602F54" w:rsidRDefault="00602F54" w:rsidP="009817E6">
            <w:pPr>
              <w:pStyle w:val="ARTabletext"/>
              <w:rPr>
                <w:rFonts w:eastAsia="Times"/>
              </w:rPr>
            </w:pPr>
            <w:r w:rsidRPr="00067149">
              <w:rPr>
                <w:rFonts w:eastAsia="Times"/>
              </w:rPr>
              <w:t>Community engagement – Shrine ceremonial activities,</w:t>
            </w:r>
            <w:r w:rsidR="005E58EE" w:rsidRPr="00067149">
              <w:rPr>
                <w:rFonts w:eastAsia="Times"/>
              </w:rPr>
              <w:t> </w:t>
            </w:r>
            <w:r w:rsidRPr="00067149">
              <w:rPr>
                <w:rFonts w:eastAsia="Times"/>
              </w:rPr>
              <w:t>public and student education programs, tours</w:t>
            </w:r>
            <w:r w:rsidR="005E58EE" w:rsidRPr="00067149">
              <w:rPr>
                <w:rFonts w:eastAsia="Times"/>
              </w:rPr>
              <w:t> </w:t>
            </w:r>
            <w:r w:rsidRPr="00067149">
              <w:rPr>
                <w:rFonts w:eastAsia="Times"/>
              </w:rPr>
              <w:t>and</w:t>
            </w:r>
            <w:r w:rsidR="005E58EE" w:rsidRPr="00067149">
              <w:rPr>
                <w:rFonts w:eastAsia="Times"/>
              </w:rPr>
              <w:t> </w:t>
            </w:r>
            <w:r w:rsidRPr="00067149">
              <w:rPr>
                <w:rFonts w:eastAsia="Times"/>
              </w:rPr>
              <w:t>general visitation</w:t>
            </w:r>
          </w:p>
          <w:p w14:paraId="2FED142B" w14:textId="7E581E02" w:rsidR="00E27841" w:rsidRPr="00067149" w:rsidRDefault="00E27841" w:rsidP="00E27841">
            <w:pPr>
              <w:pStyle w:val="ARtablenoteindent"/>
            </w:pPr>
            <w:r w:rsidRPr="00067149">
              <w:t>The outcome is significantly higher due to increased digital engagement with the Shrine of Remembrance.</w:t>
            </w:r>
          </w:p>
        </w:tc>
        <w:tc>
          <w:tcPr>
            <w:tcW w:w="521" w:type="pct"/>
          </w:tcPr>
          <w:p w14:paraId="352B8C04" w14:textId="77777777" w:rsidR="00602F54" w:rsidRPr="00067149" w:rsidRDefault="00602F54" w:rsidP="009817E6">
            <w:pPr>
              <w:pStyle w:val="ARTabletext"/>
              <w:rPr>
                <w:rFonts w:eastAsia="Times"/>
              </w:rPr>
            </w:pPr>
            <w:r w:rsidRPr="00067149">
              <w:rPr>
                <w:rFonts w:eastAsia="Times"/>
              </w:rPr>
              <w:t>number</w:t>
            </w:r>
          </w:p>
        </w:tc>
        <w:tc>
          <w:tcPr>
            <w:tcW w:w="522" w:type="pct"/>
          </w:tcPr>
          <w:p w14:paraId="62A7397C" w14:textId="77777777" w:rsidR="00602F54" w:rsidRPr="00067149" w:rsidRDefault="00602F54" w:rsidP="009817E6">
            <w:pPr>
              <w:pStyle w:val="ARtabletextright"/>
              <w:rPr>
                <w:rFonts w:eastAsia="Times"/>
              </w:rPr>
            </w:pPr>
            <w:r w:rsidRPr="00067149">
              <w:rPr>
                <w:rFonts w:eastAsia="Times"/>
              </w:rPr>
              <w:t>750,000</w:t>
            </w:r>
          </w:p>
        </w:tc>
        <w:tc>
          <w:tcPr>
            <w:tcW w:w="523" w:type="pct"/>
          </w:tcPr>
          <w:p w14:paraId="4455478D" w14:textId="77777777" w:rsidR="00602F54" w:rsidRPr="00067149" w:rsidRDefault="00602F54" w:rsidP="009817E6">
            <w:pPr>
              <w:pStyle w:val="ARtabletextright"/>
              <w:rPr>
                <w:rFonts w:eastAsia="Times"/>
              </w:rPr>
            </w:pPr>
            <w:r w:rsidRPr="00067149">
              <w:rPr>
                <w:rFonts w:eastAsia="Times"/>
              </w:rPr>
              <w:t xml:space="preserve">2,050,972 </w:t>
            </w:r>
          </w:p>
        </w:tc>
        <w:tc>
          <w:tcPr>
            <w:tcW w:w="525" w:type="pct"/>
          </w:tcPr>
          <w:p w14:paraId="16A6CF95" w14:textId="77777777" w:rsidR="00602F54" w:rsidRPr="00067149" w:rsidRDefault="00602F54" w:rsidP="009817E6">
            <w:pPr>
              <w:pStyle w:val="ARtabletextright"/>
              <w:rPr>
                <w:rFonts w:eastAsia="Times"/>
              </w:rPr>
            </w:pPr>
            <w:r w:rsidRPr="00067149">
              <w:rPr>
                <w:rFonts w:eastAsia="Times"/>
              </w:rPr>
              <w:t>173.5%</w:t>
            </w:r>
          </w:p>
        </w:tc>
        <w:tc>
          <w:tcPr>
            <w:tcW w:w="481" w:type="pct"/>
          </w:tcPr>
          <w:p w14:paraId="18763510" w14:textId="77777777" w:rsidR="00602F54" w:rsidRPr="00067149" w:rsidRDefault="00602F54" w:rsidP="009817E6">
            <w:pPr>
              <w:pStyle w:val="ARtableperformancesymbol"/>
              <w:rPr>
                <w:rFonts w:eastAsia="Times"/>
              </w:rPr>
            </w:pPr>
            <w:r w:rsidRPr="00067149">
              <w:rPr>
                <w:rFonts w:eastAsia="Times"/>
              </w:rPr>
              <w:t></w:t>
            </w:r>
          </w:p>
        </w:tc>
      </w:tr>
      <w:tr w:rsidR="00602F54" w:rsidRPr="00067149" w14:paraId="64AA872B" w14:textId="77777777" w:rsidTr="00E86BDC">
        <w:tc>
          <w:tcPr>
            <w:tcW w:w="2428" w:type="pct"/>
          </w:tcPr>
          <w:p w14:paraId="7FC8B7A3" w14:textId="77777777" w:rsidR="00602F54" w:rsidRDefault="00602F54" w:rsidP="009817E6">
            <w:pPr>
              <w:pStyle w:val="ARTabletext"/>
              <w:rPr>
                <w:rFonts w:eastAsia="Times"/>
              </w:rPr>
            </w:pPr>
            <w:r w:rsidRPr="00067149">
              <w:rPr>
                <w:rFonts w:eastAsia="Times"/>
              </w:rPr>
              <w:t>Entries received – Premier’s Spirit of Anzac Prize</w:t>
            </w:r>
          </w:p>
          <w:p w14:paraId="68D042EF" w14:textId="64B31C93" w:rsidR="00E27841" w:rsidRPr="00067149" w:rsidRDefault="00E27841" w:rsidP="00E27841">
            <w:pPr>
              <w:pStyle w:val="ARtablenoteindent"/>
            </w:pPr>
            <w:r w:rsidRPr="00067149">
              <w:t>Expanded application approach and advertising to broader community groups (including in low SES areas and CALD communities) has contributed to strong application numbers.</w:t>
            </w:r>
          </w:p>
        </w:tc>
        <w:tc>
          <w:tcPr>
            <w:tcW w:w="521" w:type="pct"/>
          </w:tcPr>
          <w:p w14:paraId="18A4B36D" w14:textId="77777777" w:rsidR="00602F54" w:rsidRPr="00067149" w:rsidRDefault="00602F54" w:rsidP="009817E6">
            <w:pPr>
              <w:pStyle w:val="ARTabletext"/>
              <w:rPr>
                <w:rFonts w:eastAsia="Times"/>
              </w:rPr>
            </w:pPr>
            <w:r w:rsidRPr="00067149">
              <w:rPr>
                <w:rFonts w:eastAsia="Times"/>
              </w:rPr>
              <w:t>number</w:t>
            </w:r>
          </w:p>
        </w:tc>
        <w:tc>
          <w:tcPr>
            <w:tcW w:w="522" w:type="pct"/>
          </w:tcPr>
          <w:p w14:paraId="018425F5" w14:textId="77777777" w:rsidR="00602F54" w:rsidRPr="00067149" w:rsidRDefault="00602F54" w:rsidP="009817E6">
            <w:pPr>
              <w:pStyle w:val="ARtabletextright"/>
              <w:rPr>
                <w:rFonts w:eastAsia="Times"/>
              </w:rPr>
            </w:pPr>
            <w:r w:rsidRPr="00067149">
              <w:rPr>
                <w:rFonts w:eastAsia="Times"/>
              </w:rPr>
              <w:t>100</w:t>
            </w:r>
          </w:p>
        </w:tc>
        <w:tc>
          <w:tcPr>
            <w:tcW w:w="523" w:type="pct"/>
          </w:tcPr>
          <w:p w14:paraId="45B0D4D0" w14:textId="77777777" w:rsidR="00602F54" w:rsidRPr="00067149" w:rsidRDefault="00602F54" w:rsidP="009817E6">
            <w:pPr>
              <w:pStyle w:val="ARtabletextright"/>
              <w:rPr>
                <w:rFonts w:eastAsia="Times"/>
              </w:rPr>
            </w:pPr>
            <w:r w:rsidRPr="00067149">
              <w:rPr>
                <w:rFonts w:eastAsia="Times"/>
              </w:rPr>
              <w:t>163</w:t>
            </w:r>
          </w:p>
        </w:tc>
        <w:tc>
          <w:tcPr>
            <w:tcW w:w="525" w:type="pct"/>
          </w:tcPr>
          <w:p w14:paraId="2BE0FADE" w14:textId="77777777" w:rsidR="00602F54" w:rsidRPr="00067149" w:rsidRDefault="00602F54" w:rsidP="009817E6">
            <w:pPr>
              <w:pStyle w:val="ARtabletextright"/>
              <w:rPr>
                <w:rFonts w:eastAsia="Times"/>
              </w:rPr>
            </w:pPr>
            <w:r w:rsidRPr="00067149">
              <w:rPr>
                <w:rFonts w:eastAsia="Times"/>
              </w:rPr>
              <w:t>63.0%</w:t>
            </w:r>
          </w:p>
        </w:tc>
        <w:tc>
          <w:tcPr>
            <w:tcW w:w="481" w:type="pct"/>
          </w:tcPr>
          <w:p w14:paraId="7104EAA4" w14:textId="77777777" w:rsidR="00602F54" w:rsidRPr="00067149" w:rsidRDefault="00602F54" w:rsidP="009817E6">
            <w:pPr>
              <w:pStyle w:val="ARtableperformancesymbol"/>
              <w:rPr>
                <w:rFonts w:eastAsia="Times"/>
              </w:rPr>
            </w:pPr>
            <w:r w:rsidRPr="00067149">
              <w:rPr>
                <w:rFonts w:eastAsia="Times"/>
              </w:rPr>
              <w:t></w:t>
            </w:r>
          </w:p>
        </w:tc>
      </w:tr>
      <w:tr w:rsidR="00602F54" w:rsidRPr="00F45F11" w14:paraId="5A1339D7" w14:textId="77777777" w:rsidTr="00E86BDC">
        <w:tc>
          <w:tcPr>
            <w:tcW w:w="2428" w:type="pct"/>
          </w:tcPr>
          <w:p w14:paraId="77F287A7" w14:textId="77777777" w:rsidR="00602F54" w:rsidRDefault="00602F54" w:rsidP="00F32FC8">
            <w:pPr>
              <w:pStyle w:val="ARTabletext"/>
              <w:keepNext/>
              <w:rPr>
                <w:rFonts w:eastAsia="Times"/>
              </w:rPr>
            </w:pPr>
            <w:r w:rsidRPr="00067149">
              <w:rPr>
                <w:rFonts w:eastAsia="Times"/>
              </w:rPr>
              <w:t>Number of veterans employed annually in the Victorian Public Sector</w:t>
            </w:r>
          </w:p>
          <w:p w14:paraId="633D511D" w14:textId="6A09D238" w:rsidR="00E27841" w:rsidRPr="00067149" w:rsidRDefault="00E27841" w:rsidP="00E27841">
            <w:pPr>
              <w:pStyle w:val="ARtablenoteindent"/>
            </w:pPr>
            <w:r w:rsidRPr="00F45F11">
              <w:t xml:space="preserve">The 2025–26 outcome is lower than the 2025–26 target due to </w:t>
            </w:r>
            <w:proofErr w:type="gramStart"/>
            <w:r w:rsidRPr="00F45F11">
              <w:t>a number of</w:t>
            </w:r>
            <w:proofErr w:type="gramEnd"/>
            <w:r w:rsidRPr="00F45F11">
              <w:t xml:space="preserve"> external factors that affect the number of ex-defence personnel in Victoria who may be seeking employment in the Victorian Public Service. The program ensures that transitioning defence personnel are aware of career opportunities in the Victorian Public Service, and that they are supported to consider those opportunities.</w:t>
            </w:r>
          </w:p>
        </w:tc>
        <w:tc>
          <w:tcPr>
            <w:tcW w:w="521" w:type="pct"/>
          </w:tcPr>
          <w:p w14:paraId="425DC1D7" w14:textId="77777777" w:rsidR="00602F54" w:rsidRPr="00067149" w:rsidRDefault="00602F54" w:rsidP="00F32FC8">
            <w:pPr>
              <w:pStyle w:val="ARTabletext"/>
              <w:keepNext/>
              <w:rPr>
                <w:rFonts w:eastAsia="Times"/>
              </w:rPr>
            </w:pPr>
            <w:r w:rsidRPr="00067149">
              <w:rPr>
                <w:rFonts w:eastAsia="Times"/>
              </w:rPr>
              <w:t>number</w:t>
            </w:r>
          </w:p>
        </w:tc>
        <w:tc>
          <w:tcPr>
            <w:tcW w:w="522" w:type="pct"/>
          </w:tcPr>
          <w:p w14:paraId="21E23C0F" w14:textId="77777777" w:rsidR="00602F54" w:rsidRPr="00067149" w:rsidRDefault="00602F54" w:rsidP="00F32FC8">
            <w:pPr>
              <w:pStyle w:val="ARfintabletextright"/>
              <w:keepNext/>
              <w:rPr>
                <w:rFonts w:eastAsia="Times"/>
              </w:rPr>
            </w:pPr>
            <w:r w:rsidRPr="00067149">
              <w:rPr>
                <w:rFonts w:eastAsia="Times"/>
              </w:rPr>
              <w:t>263</w:t>
            </w:r>
          </w:p>
        </w:tc>
        <w:tc>
          <w:tcPr>
            <w:tcW w:w="523" w:type="pct"/>
          </w:tcPr>
          <w:p w14:paraId="7F26D4F3" w14:textId="77777777" w:rsidR="00602F54" w:rsidRPr="00067149" w:rsidRDefault="00602F54" w:rsidP="00F32FC8">
            <w:pPr>
              <w:pStyle w:val="ARfintabletextright"/>
              <w:keepNext/>
              <w:rPr>
                <w:rFonts w:eastAsia="Times"/>
              </w:rPr>
            </w:pPr>
            <w:r w:rsidRPr="00067149">
              <w:rPr>
                <w:rFonts w:eastAsia="Times"/>
              </w:rPr>
              <w:t>185</w:t>
            </w:r>
          </w:p>
        </w:tc>
        <w:tc>
          <w:tcPr>
            <w:tcW w:w="525" w:type="pct"/>
          </w:tcPr>
          <w:p w14:paraId="0FC475C0" w14:textId="77777777" w:rsidR="00602F54" w:rsidRPr="00067149" w:rsidRDefault="00602F54" w:rsidP="00F32FC8">
            <w:pPr>
              <w:pStyle w:val="ARfintabletextright"/>
              <w:keepNext/>
              <w:rPr>
                <w:rFonts w:eastAsia="Times"/>
              </w:rPr>
            </w:pPr>
            <w:r w:rsidRPr="00067149">
              <w:rPr>
                <w:rFonts w:eastAsia="Times"/>
              </w:rPr>
              <w:t>-29.7%</w:t>
            </w:r>
          </w:p>
        </w:tc>
        <w:tc>
          <w:tcPr>
            <w:tcW w:w="481" w:type="pct"/>
          </w:tcPr>
          <w:p w14:paraId="7EE609CF" w14:textId="77777777" w:rsidR="00602F54" w:rsidRPr="00067149" w:rsidRDefault="00602F54" w:rsidP="00F32FC8">
            <w:pPr>
              <w:pStyle w:val="ARtableperformancesymbol"/>
              <w:keepNext/>
              <w:rPr>
                <w:rFonts w:eastAsia="Times"/>
              </w:rPr>
            </w:pPr>
            <w:r w:rsidRPr="00067149">
              <w:rPr>
                <w:rFonts w:eastAsia="Times"/>
              </w:rPr>
              <w:t></w:t>
            </w:r>
          </w:p>
        </w:tc>
      </w:tr>
      <w:tr w:rsidR="00DC4049" w:rsidRPr="00F45F11" w14:paraId="0F578FD1" w14:textId="77777777" w:rsidTr="00E86BDC">
        <w:tc>
          <w:tcPr>
            <w:tcW w:w="2428" w:type="pct"/>
          </w:tcPr>
          <w:p w14:paraId="5524027F" w14:textId="26303A96" w:rsidR="00DC4049" w:rsidRPr="00F45F11" w:rsidRDefault="00E27841" w:rsidP="00E27841">
            <w:pPr>
              <w:pStyle w:val="ARtablegreybold"/>
              <w:rPr>
                <w:rFonts w:eastAsia="Times"/>
              </w:rPr>
            </w:pPr>
            <w:r w:rsidRPr="00F45F11">
              <w:t>Quality</w:t>
            </w:r>
          </w:p>
        </w:tc>
        <w:tc>
          <w:tcPr>
            <w:tcW w:w="521" w:type="pct"/>
          </w:tcPr>
          <w:p w14:paraId="6180B081" w14:textId="77777777" w:rsidR="00DC4049" w:rsidRPr="00F45F11" w:rsidRDefault="00DC4049" w:rsidP="009817E6">
            <w:pPr>
              <w:pStyle w:val="ARTabletext"/>
              <w:rPr>
                <w:rFonts w:eastAsia="Times"/>
              </w:rPr>
            </w:pPr>
          </w:p>
        </w:tc>
        <w:tc>
          <w:tcPr>
            <w:tcW w:w="522" w:type="pct"/>
          </w:tcPr>
          <w:p w14:paraId="2100340F" w14:textId="77777777" w:rsidR="00DC4049" w:rsidRPr="00F45F11" w:rsidRDefault="00DC4049" w:rsidP="009817E6">
            <w:pPr>
              <w:pStyle w:val="ARtabletextright"/>
              <w:rPr>
                <w:rFonts w:eastAsia="Times"/>
              </w:rPr>
            </w:pPr>
          </w:p>
        </w:tc>
        <w:tc>
          <w:tcPr>
            <w:tcW w:w="523" w:type="pct"/>
          </w:tcPr>
          <w:p w14:paraId="1FD9EC35" w14:textId="77777777" w:rsidR="00DC4049" w:rsidRPr="00F45F11" w:rsidRDefault="00DC4049" w:rsidP="009817E6">
            <w:pPr>
              <w:pStyle w:val="ARtabletextright"/>
              <w:rPr>
                <w:rFonts w:eastAsia="Times"/>
              </w:rPr>
            </w:pPr>
          </w:p>
        </w:tc>
        <w:tc>
          <w:tcPr>
            <w:tcW w:w="525" w:type="pct"/>
          </w:tcPr>
          <w:p w14:paraId="06476F0B" w14:textId="77777777" w:rsidR="00DC4049" w:rsidRPr="00F45F11" w:rsidRDefault="00DC4049" w:rsidP="009817E6">
            <w:pPr>
              <w:pStyle w:val="ARtabletextright"/>
              <w:rPr>
                <w:rFonts w:eastAsia="Times"/>
              </w:rPr>
            </w:pPr>
          </w:p>
        </w:tc>
        <w:tc>
          <w:tcPr>
            <w:tcW w:w="481" w:type="pct"/>
          </w:tcPr>
          <w:p w14:paraId="7D7BBEE7" w14:textId="77777777" w:rsidR="00DC4049" w:rsidRPr="00F45F11" w:rsidRDefault="00DC4049" w:rsidP="009817E6">
            <w:pPr>
              <w:pStyle w:val="ARtableperformancesymbol"/>
              <w:rPr>
                <w:rFonts w:eastAsia="Times"/>
              </w:rPr>
            </w:pPr>
          </w:p>
        </w:tc>
      </w:tr>
      <w:tr w:rsidR="00602F54" w:rsidRPr="00F45F11" w14:paraId="26E20823" w14:textId="77777777" w:rsidTr="00E86BDC">
        <w:tc>
          <w:tcPr>
            <w:tcW w:w="2428" w:type="pct"/>
          </w:tcPr>
          <w:p w14:paraId="31D766C7" w14:textId="77777777" w:rsidR="00602F54" w:rsidRPr="00F45F11" w:rsidRDefault="00602F54" w:rsidP="009817E6">
            <w:pPr>
              <w:pStyle w:val="ARTabletext"/>
              <w:rPr>
                <w:rFonts w:eastAsia="Times"/>
              </w:rPr>
            </w:pPr>
            <w:r w:rsidRPr="00F45F11">
              <w:rPr>
                <w:rFonts w:eastAsia="Times"/>
              </w:rPr>
              <w:t>Commemorative and educative projects meet agreed project objectives</w:t>
            </w:r>
          </w:p>
        </w:tc>
        <w:tc>
          <w:tcPr>
            <w:tcW w:w="521" w:type="pct"/>
          </w:tcPr>
          <w:p w14:paraId="2F8E9FFC" w14:textId="77777777" w:rsidR="00602F54" w:rsidRPr="00F45F11" w:rsidRDefault="00602F54" w:rsidP="009817E6">
            <w:pPr>
              <w:pStyle w:val="ARTabletext"/>
              <w:rPr>
                <w:rFonts w:eastAsia="Times"/>
              </w:rPr>
            </w:pPr>
            <w:r w:rsidRPr="00F45F11">
              <w:rPr>
                <w:rFonts w:eastAsia="Times"/>
              </w:rPr>
              <w:t>per cent</w:t>
            </w:r>
          </w:p>
        </w:tc>
        <w:tc>
          <w:tcPr>
            <w:tcW w:w="522" w:type="pct"/>
          </w:tcPr>
          <w:p w14:paraId="0D9C4929" w14:textId="77777777" w:rsidR="00602F54" w:rsidRPr="00F45F11" w:rsidRDefault="00602F54" w:rsidP="009817E6">
            <w:pPr>
              <w:pStyle w:val="ARtabletextright"/>
              <w:rPr>
                <w:rFonts w:eastAsia="Times"/>
              </w:rPr>
            </w:pPr>
            <w:r w:rsidRPr="00F45F11">
              <w:rPr>
                <w:rFonts w:eastAsia="Times"/>
              </w:rPr>
              <w:t>100.0</w:t>
            </w:r>
          </w:p>
        </w:tc>
        <w:tc>
          <w:tcPr>
            <w:tcW w:w="523" w:type="pct"/>
          </w:tcPr>
          <w:p w14:paraId="3FAF6FBA" w14:textId="77777777" w:rsidR="00602F54" w:rsidRPr="00F45F11" w:rsidRDefault="00602F54" w:rsidP="009817E6">
            <w:pPr>
              <w:pStyle w:val="ARtabletextright"/>
              <w:rPr>
                <w:rFonts w:eastAsia="Times"/>
              </w:rPr>
            </w:pPr>
            <w:r w:rsidRPr="00F45F11">
              <w:rPr>
                <w:rFonts w:eastAsia="Times"/>
              </w:rPr>
              <w:t>100.0</w:t>
            </w:r>
          </w:p>
        </w:tc>
        <w:tc>
          <w:tcPr>
            <w:tcW w:w="525" w:type="pct"/>
          </w:tcPr>
          <w:p w14:paraId="485E1780" w14:textId="77777777" w:rsidR="00602F54" w:rsidRPr="00F45F11" w:rsidRDefault="00602F54" w:rsidP="009817E6">
            <w:pPr>
              <w:pStyle w:val="ARtabletextright"/>
              <w:rPr>
                <w:rFonts w:eastAsia="Times"/>
              </w:rPr>
            </w:pPr>
            <w:r w:rsidRPr="00F45F11">
              <w:rPr>
                <w:rFonts w:eastAsia="Times"/>
              </w:rPr>
              <w:t>0%</w:t>
            </w:r>
          </w:p>
        </w:tc>
        <w:tc>
          <w:tcPr>
            <w:tcW w:w="481" w:type="pct"/>
          </w:tcPr>
          <w:p w14:paraId="5CB856AD" w14:textId="77777777" w:rsidR="00602F54" w:rsidRPr="00F45F11" w:rsidRDefault="00602F54" w:rsidP="009817E6">
            <w:pPr>
              <w:pStyle w:val="ARtableperformancesymbol"/>
              <w:rPr>
                <w:rFonts w:eastAsia="Times"/>
              </w:rPr>
            </w:pPr>
            <w:r w:rsidRPr="00F45F11">
              <w:rPr>
                <w:rFonts w:eastAsia="Times"/>
              </w:rPr>
              <w:t></w:t>
            </w:r>
          </w:p>
        </w:tc>
      </w:tr>
      <w:tr w:rsidR="007172BE" w:rsidRPr="00F45F11" w14:paraId="6ADEB5FE" w14:textId="77777777" w:rsidTr="00E86BDC">
        <w:tc>
          <w:tcPr>
            <w:tcW w:w="2428" w:type="pct"/>
          </w:tcPr>
          <w:p w14:paraId="7129FF98" w14:textId="0B957678" w:rsidR="007172BE" w:rsidRPr="00F45F11" w:rsidRDefault="007172BE" w:rsidP="007172BE">
            <w:pPr>
              <w:pStyle w:val="ARtablegreybold"/>
              <w:rPr>
                <w:rFonts w:eastAsia="Times"/>
              </w:rPr>
            </w:pPr>
            <w:r w:rsidRPr="00F45F11">
              <w:t>Timeliness</w:t>
            </w:r>
          </w:p>
        </w:tc>
        <w:tc>
          <w:tcPr>
            <w:tcW w:w="521" w:type="pct"/>
          </w:tcPr>
          <w:p w14:paraId="733F5E5B" w14:textId="77777777" w:rsidR="007172BE" w:rsidRPr="00F45F11" w:rsidRDefault="007172BE" w:rsidP="009817E6">
            <w:pPr>
              <w:pStyle w:val="ARTabletext"/>
              <w:rPr>
                <w:rFonts w:eastAsia="Times"/>
              </w:rPr>
            </w:pPr>
          </w:p>
        </w:tc>
        <w:tc>
          <w:tcPr>
            <w:tcW w:w="522" w:type="pct"/>
          </w:tcPr>
          <w:p w14:paraId="6113B7E0" w14:textId="77777777" w:rsidR="007172BE" w:rsidRPr="00F45F11" w:rsidRDefault="007172BE" w:rsidP="009817E6">
            <w:pPr>
              <w:pStyle w:val="ARtabletextright"/>
              <w:rPr>
                <w:rFonts w:eastAsia="Times"/>
              </w:rPr>
            </w:pPr>
          </w:p>
        </w:tc>
        <w:tc>
          <w:tcPr>
            <w:tcW w:w="523" w:type="pct"/>
          </w:tcPr>
          <w:p w14:paraId="4C81FF17" w14:textId="77777777" w:rsidR="007172BE" w:rsidRPr="00F45F11" w:rsidRDefault="007172BE" w:rsidP="009817E6">
            <w:pPr>
              <w:pStyle w:val="ARtabletextright"/>
              <w:rPr>
                <w:rFonts w:eastAsia="Times"/>
              </w:rPr>
            </w:pPr>
          </w:p>
        </w:tc>
        <w:tc>
          <w:tcPr>
            <w:tcW w:w="525" w:type="pct"/>
          </w:tcPr>
          <w:p w14:paraId="3223F2B8" w14:textId="77777777" w:rsidR="007172BE" w:rsidRPr="00F45F11" w:rsidRDefault="007172BE" w:rsidP="009817E6">
            <w:pPr>
              <w:pStyle w:val="ARtabletextright"/>
              <w:rPr>
                <w:rFonts w:eastAsia="Times"/>
              </w:rPr>
            </w:pPr>
          </w:p>
        </w:tc>
        <w:tc>
          <w:tcPr>
            <w:tcW w:w="481" w:type="pct"/>
          </w:tcPr>
          <w:p w14:paraId="28233CC2" w14:textId="77777777" w:rsidR="007172BE" w:rsidRPr="00F45F11" w:rsidRDefault="007172BE" w:rsidP="009817E6">
            <w:pPr>
              <w:pStyle w:val="ARtableperformancesymbol"/>
              <w:rPr>
                <w:rFonts w:eastAsia="Times"/>
              </w:rPr>
            </w:pPr>
          </w:p>
        </w:tc>
      </w:tr>
      <w:tr w:rsidR="00602F54" w:rsidRPr="00F45F11" w14:paraId="4DB702B3" w14:textId="77777777" w:rsidTr="00E86BDC">
        <w:tc>
          <w:tcPr>
            <w:tcW w:w="2428" w:type="pct"/>
          </w:tcPr>
          <w:p w14:paraId="61073C5D" w14:textId="77777777" w:rsidR="00602F54" w:rsidRPr="00F45F11" w:rsidRDefault="00602F54" w:rsidP="009817E6">
            <w:pPr>
              <w:pStyle w:val="ARTabletext"/>
              <w:rPr>
                <w:rFonts w:eastAsia="Times"/>
              </w:rPr>
            </w:pPr>
            <w:r w:rsidRPr="00F45F11">
              <w:rPr>
                <w:rFonts w:eastAsia="Times"/>
              </w:rPr>
              <w:t>Deliver an annual program of grants within agreed, published timelines</w:t>
            </w:r>
          </w:p>
        </w:tc>
        <w:tc>
          <w:tcPr>
            <w:tcW w:w="521" w:type="pct"/>
          </w:tcPr>
          <w:p w14:paraId="6DA3A582" w14:textId="77777777" w:rsidR="00602F54" w:rsidRPr="00F45F11" w:rsidRDefault="00602F54" w:rsidP="009817E6">
            <w:pPr>
              <w:pStyle w:val="ARTabletext"/>
              <w:rPr>
                <w:rFonts w:eastAsia="Times"/>
              </w:rPr>
            </w:pPr>
            <w:r w:rsidRPr="00F45F11">
              <w:rPr>
                <w:rFonts w:eastAsia="Times"/>
              </w:rPr>
              <w:t>per cent</w:t>
            </w:r>
          </w:p>
        </w:tc>
        <w:tc>
          <w:tcPr>
            <w:tcW w:w="522" w:type="pct"/>
          </w:tcPr>
          <w:p w14:paraId="3A115161" w14:textId="77777777" w:rsidR="00602F54" w:rsidRPr="00F45F11" w:rsidRDefault="00602F54" w:rsidP="009817E6">
            <w:pPr>
              <w:pStyle w:val="ARtabletextright"/>
              <w:rPr>
                <w:rFonts w:eastAsia="Times"/>
              </w:rPr>
            </w:pPr>
            <w:r w:rsidRPr="00F45F11">
              <w:rPr>
                <w:rFonts w:eastAsia="Times"/>
              </w:rPr>
              <w:t>100</w:t>
            </w:r>
          </w:p>
        </w:tc>
        <w:tc>
          <w:tcPr>
            <w:tcW w:w="523" w:type="pct"/>
          </w:tcPr>
          <w:p w14:paraId="456BD878" w14:textId="77777777" w:rsidR="00602F54" w:rsidRPr="00F45F11" w:rsidRDefault="00602F54" w:rsidP="009817E6">
            <w:pPr>
              <w:pStyle w:val="ARtabletextright"/>
              <w:rPr>
                <w:rFonts w:eastAsia="Times"/>
              </w:rPr>
            </w:pPr>
            <w:r w:rsidRPr="00F45F11">
              <w:rPr>
                <w:rFonts w:eastAsia="Times"/>
              </w:rPr>
              <w:t>100</w:t>
            </w:r>
          </w:p>
        </w:tc>
        <w:tc>
          <w:tcPr>
            <w:tcW w:w="525" w:type="pct"/>
          </w:tcPr>
          <w:p w14:paraId="555C5274" w14:textId="77777777" w:rsidR="00602F54" w:rsidRPr="00F45F11" w:rsidRDefault="00602F54" w:rsidP="009817E6">
            <w:pPr>
              <w:pStyle w:val="ARtabletextright"/>
              <w:rPr>
                <w:rFonts w:eastAsia="Times"/>
              </w:rPr>
            </w:pPr>
            <w:r w:rsidRPr="00F45F11">
              <w:rPr>
                <w:rFonts w:eastAsia="Times"/>
              </w:rPr>
              <w:t>0%</w:t>
            </w:r>
          </w:p>
        </w:tc>
        <w:tc>
          <w:tcPr>
            <w:tcW w:w="481" w:type="pct"/>
          </w:tcPr>
          <w:p w14:paraId="51D40455" w14:textId="77777777" w:rsidR="00602F54" w:rsidRPr="00F45F11" w:rsidRDefault="00602F54" w:rsidP="009817E6">
            <w:pPr>
              <w:pStyle w:val="ARtableperformancesymbol"/>
              <w:rPr>
                <w:rFonts w:eastAsia="Times"/>
              </w:rPr>
            </w:pPr>
            <w:r w:rsidRPr="00F45F11">
              <w:rPr>
                <w:rFonts w:eastAsia="Times"/>
              </w:rPr>
              <w:t></w:t>
            </w:r>
          </w:p>
        </w:tc>
      </w:tr>
      <w:tr w:rsidR="007172BE" w:rsidRPr="00F45F11" w14:paraId="4543CD27" w14:textId="77777777" w:rsidTr="00E86BDC">
        <w:tc>
          <w:tcPr>
            <w:tcW w:w="2428" w:type="pct"/>
          </w:tcPr>
          <w:p w14:paraId="3603C4EA" w14:textId="605B13D5" w:rsidR="007172BE" w:rsidRPr="00F45F11" w:rsidRDefault="007172BE" w:rsidP="007172BE">
            <w:pPr>
              <w:pStyle w:val="ARtablegreybold"/>
              <w:rPr>
                <w:rFonts w:eastAsia="Times"/>
              </w:rPr>
            </w:pPr>
            <w:r w:rsidRPr="00F45F11">
              <w:t>Cost</w:t>
            </w:r>
          </w:p>
        </w:tc>
        <w:tc>
          <w:tcPr>
            <w:tcW w:w="521" w:type="pct"/>
          </w:tcPr>
          <w:p w14:paraId="49A60E10" w14:textId="77777777" w:rsidR="007172BE" w:rsidRPr="00F45F11" w:rsidRDefault="007172BE" w:rsidP="007172BE">
            <w:pPr>
              <w:pStyle w:val="ARTabletext"/>
              <w:rPr>
                <w:rFonts w:eastAsia="Times"/>
              </w:rPr>
            </w:pPr>
          </w:p>
        </w:tc>
        <w:tc>
          <w:tcPr>
            <w:tcW w:w="522" w:type="pct"/>
          </w:tcPr>
          <w:p w14:paraId="0276597A" w14:textId="77777777" w:rsidR="007172BE" w:rsidRPr="00F45F11" w:rsidRDefault="007172BE" w:rsidP="007172BE">
            <w:pPr>
              <w:pStyle w:val="ARTabletext"/>
            </w:pPr>
          </w:p>
        </w:tc>
        <w:tc>
          <w:tcPr>
            <w:tcW w:w="523" w:type="pct"/>
          </w:tcPr>
          <w:p w14:paraId="115352BF" w14:textId="77777777" w:rsidR="007172BE" w:rsidRPr="00F45F11" w:rsidRDefault="007172BE" w:rsidP="007172BE">
            <w:pPr>
              <w:pStyle w:val="ARTabletext"/>
            </w:pPr>
          </w:p>
        </w:tc>
        <w:tc>
          <w:tcPr>
            <w:tcW w:w="525" w:type="pct"/>
          </w:tcPr>
          <w:p w14:paraId="449A306C" w14:textId="77777777" w:rsidR="007172BE" w:rsidRPr="00F45F11" w:rsidRDefault="007172BE" w:rsidP="007172BE">
            <w:pPr>
              <w:pStyle w:val="ARTabletext"/>
            </w:pPr>
          </w:p>
        </w:tc>
        <w:tc>
          <w:tcPr>
            <w:tcW w:w="481" w:type="pct"/>
          </w:tcPr>
          <w:p w14:paraId="6A407134" w14:textId="77777777" w:rsidR="007172BE" w:rsidRPr="00F45F11" w:rsidRDefault="007172BE" w:rsidP="007172BE">
            <w:pPr>
              <w:pStyle w:val="ARTabletext"/>
              <w:rPr>
                <w:rFonts w:eastAsia="Times"/>
              </w:rPr>
            </w:pPr>
          </w:p>
        </w:tc>
      </w:tr>
      <w:tr w:rsidR="00602F54" w:rsidRPr="00F45F11" w14:paraId="0300672D" w14:textId="77777777" w:rsidTr="00E86BDC">
        <w:trPr>
          <w:cnfStyle w:val="010000000000" w:firstRow="0" w:lastRow="1" w:firstColumn="0" w:lastColumn="0" w:oddVBand="0" w:evenVBand="0" w:oddHBand="0" w:evenHBand="0" w:firstRowFirstColumn="0" w:firstRowLastColumn="0" w:lastRowFirstColumn="0" w:lastRowLastColumn="0"/>
        </w:trPr>
        <w:tc>
          <w:tcPr>
            <w:tcW w:w="2428" w:type="pct"/>
            <w:hideMark/>
          </w:tcPr>
          <w:p w14:paraId="57A30452" w14:textId="77777777" w:rsidR="00602F54" w:rsidRDefault="00602F54" w:rsidP="009817E6">
            <w:pPr>
              <w:pStyle w:val="ARtabletextbold"/>
              <w:rPr>
                <w:rFonts w:eastAsia="Times"/>
              </w:rPr>
            </w:pPr>
            <w:r w:rsidRPr="00F45F11">
              <w:rPr>
                <w:rFonts w:eastAsia="Times"/>
              </w:rPr>
              <w:t>Total output cost</w:t>
            </w:r>
          </w:p>
          <w:p w14:paraId="6FE2AB7F" w14:textId="5B5EC22D" w:rsidR="007172BE" w:rsidRPr="00F45F11" w:rsidRDefault="007172BE" w:rsidP="007172BE">
            <w:pPr>
              <w:pStyle w:val="ARtablenoteindent"/>
            </w:pPr>
            <w:r w:rsidRPr="00F45F11">
              <w:t>The lower actual primarily reflects revised delivery timelines for government initiatives, where carryover will be sought to deliver programs in future years.</w:t>
            </w:r>
          </w:p>
        </w:tc>
        <w:tc>
          <w:tcPr>
            <w:tcW w:w="521" w:type="pct"/>
            <w:hideMark/>
          </w:tcPr>
          <w:p w14:paraId="65DA1E0C" w14:textId="77777777" w:rsidR="00602F54" w:rsidRPr="00F45F11" w:rsidRDefault="00602F54" w:rsidP="009817E6">
            <w:pPr>
              <w:pStyle w:val="ARtabletextbold"/>
              <w:rPr>
                <w:rFonts w:eastAsia="Times"/>
              </w:rPr>
            </w:pPr>
            <w:r w:rsidRPr="00F45F11">
              <w:rPr>
                <w:rFonts w:eastAsia="Times"/>
              </w:rPr>
              <w:t>$ million</w:t>
            </w:r>
          </w:p>
        </w:tc>
        <w:tc>
          <w:tcPr>
            <w:tcW w:w="522" w:type="pct"/>
          </w:tcPr>
          <w:p w14:paraId="7BBF9663" w14:textId="77777777" w:rsidR="00602F54" w:rsidRPr="00F45F11" w:rsidRDefault="00602F54" w:rsidP="009817E6">
            <w:pPr>
              <w:pStyle w:val="ARtabletextrightbold"/>
            </w:pPr>
            <w:r w:rsidRPr="00F45F11">
              <w:t>20.2</w:t>
            </w:r>
          </w:p>
        </w:tc>
        <w:tc>
          <w:tcPr>
            <w:tcW w:w="523" w:type="pct"/>
          </w:tcPr>
          <w:p w14:paraId="7FF9409B" w14:textId="77777777" w:rsidR="00602F54" w:rsidRPr="00F45F11" w:rsidRDefault="00602F54" w:rsidP="009817E6">
            <w:pPr>
              <w:pStyle w:val="ARtabletextrightbold"/>
            </w:pPr>
            <w:r w:rsidRPr="00F45F11">
              <w:t>11.9</w:t>
            </w:r>
          </w:p>
        </w:tc>
        <w:tc>
          <w:tcPr>
            <w:tcW w:w="525" w:type="pct"/>
          </w:tcPr>
          <w:p w14:paraId="18308933" w14:textId="77777777" w:rsidR="00602F54" w:rsidRPr="00F45F11" w:rsidRDefault="00602F54" w:rsidP="009817E6">
            <w:pPr>
              <w:pStyle w:val="ARtabletextrightbold"/>
            </w:pPr>
            <w:r w:rsidRPr="00F45F11">
              <w:t>-41.0%</w:t>
            </w:r>
          </w:p>
        </w:tc>
        <w:tc>
          <w:tcPr>
            <w:tcW w:w="481" w:type="pct"/>
          </w:tcPr>
          <w:p w14:paraId="190C2BFE" w14:textId="77777777" w:rsidR="00602F54" w:rsidRPr="00F45F11" w:rsidRDefault="00602F54" w:rsidP="009817E6">
            <w:pPr>
              <w:pStyle w:val="ARtableperformancesymbol"/>
              <w:rPr>
                <w:rFonts w:eastAsia="Times"/>
              </w:rPr>
            </w:pPr>
            <w:r w:rsidRPr="00F45F11">
              <w:rPr>
                <w:rFonts w:eastAsia="Times"/>
              </w:rPr>
              <w:t></w:t>
            </w:r>
          </w:p>
        </w:tc>
      </w:tr>
    </w:tbl>
    <w:p w14:paraId="592BBC51" w14:textId="77777777" w:rsidR="00602F54" w:rsidRPr="00F45F11" w:rsidRDefault="00602F54" w:rsidP="00602F54">
      <w:pPr>
        <w:pStyle w:val="Heading3"/>
      </w:pPr>
      <w:r w:rsidRPr="00F45F11">
        <w:t>LGBTIQA+ equality policy and programs</w:t>
      </w:r>
    </w:p>
    <w:p w14:paraId="2F978B98" w14:textId="71E724CF" w:rsidR="00181E36" w:rsidRPr="00541B81" w:rsidRDefault="00602F54" w:rsidP="00602F54">
      <w:pPr>
        <w:pStyle w:val="ARbodybeforetable"/>
      </w:pPr>
      <w:r w:rsidRPr="00F45F11">
        <w:t>This output provides programs and services to promote equality for LGBTIQA+ Victorians and to support the economic, social and civic participation of these communities.</w:t>
      </w:r>
    </w:p>
    <w:tbl>
      <w:tblPr>
        <w:tblStyle w:val="ARtable1"/>
        <w:tblW w:w="5000" w:type="pct"/>
        <w:tblLayout w:type="fixed"/>
        <w:tblLook w:val="06E0" w:firstRow="1" w:lastRow="1" w:firstColumn="1" w:lastColumn="0" w:noHBand="1" w:noVBand="1"/>
      </w:tblPr>
      <w:tblGrid>
        <w:gridCol w:w="4724"/>
        <w:gridCol w:w="1021"/>
        <w:gridCol w:w="1023"/>
        <w:gridCol w:w="1025"/>
        <w:gridCol w:w="1029"/>
        <w:gridCol w:w="806"/>
      </w:tblGrid>
      <w:tr w:rsidR="00602F54" w:rsidRPr="00F45F11" w14:paraId="37A96AC1" w14:textId="77777777" w:rsidTr="00550312">
        <w:trPr>
          <w:cnfStyle w:val="100000000000" w:firstRow="1" w:lastRow="0" w:firstColumn="0" w:lastColumn="0" w:oddVBand="0" w:evenVBand="0" w:oddHBand="0" w:evenHBand="0" w:firstRowFirstColumn="0" w:firstRowLastColumn="0" w:lastRowFirstColumn="0" w:lastRowLastColumn="0"/>
          <w:tblHeader/>
        </w:trPr>
        <w:tc>
          <w:tcPr>
            <w:tcW w:w="4724" w:type="dxa"/>
            <w:hideMark/>
          </w:tcPr>
          <w:p w14:paraId="39BEC8AB" w14:textId="77777777" w:rsidR="00602F54" w:rsidRPr="00F45F11" w:rsidRDefault="00602F54" w:rsidP="009913ED">
            <w:pPr>
              <w:pStyle w:val="ARtablecolhead"/>
            </w:pPr>
            <w:r w:rsidRPr="00F45F11">
              <w:t>Performance measures</w:t>
            </w:r>
          </w:p>
        </w:tc>
        <w:tc>
          <w:tcPr>
            <w:tcW w:w="1021" w:type="dxa"/>
            <w:hideMark/>
          </w:tcPr>
          <w:p w14:paraId="6725245B" w14:textId="77777777" w:rsidR="00602F54" w:rsidRPr="00F45F11" w:rsidRDefault="00602F54" w:rsidP="009913ED">
            <w:pPr>
              <w:pStyle w:val="ARtablecolhead"/>
            </w:pPr>
            <w:r w:rsidRPr="00F45F11">
              <w:t>Unit of measure</w:t>
            </w:r>
          </w:p>
        </w:tc>
        <w:tc>
          <w:tcPr>
            <w:tcW w:w="1023" w:type="dxa"/>
            <w:hideMark/>
          </w:tcPr>
          <w:p w14:paraId="16F0A7E7" w14:textId="77777777" w:rsidR="00602F54" w:rsidRPr="00F45F11" w:rsidRDefault="00602F54" w:rsidP="009913ED">
            <w:pPr>
              <w:pStyle w:val="ARtablecolheadright"/>
            </w:pPr>
            <w:r w:rsidRPr="00F45F11">
              <w:t>2025–26 target</w:t>
            </w:r>
          </w:p>
        </w:tc>
        <w:tc>
          <w:tcPr>
            <w:tcW w:w="1025" w:type="dxa"/>
            <w:hideMark/>
          </w:tcPr>
          <w:p w14:paraId="29661186" w14:textId="77777777" w:rsidR="00602F54" w:rsidRPr="00F45F11" w:rsidRDefault="00602F54" w:rsidP="009913ED">
            <w:pPr>
              <w:pStyle w:val="ARtablecolheadright"/>
            </w:pPr>
            <w:r w:rsidRPr="00F45F11">
              <w:t>2025–26 actual</w:t>
            </w:r>
          </w:p>
        </w:tc>
        <w:tc>
          <w:tcPr>
            <w:tcW w:w="1029" w:type="dxa"/>
            <w:hideMark/>
          </w:tcPr>
          <w:p w14:paraId="4BBB1BE5" w14:textId="77777777" w:rsidR="00602F54" w:rsidRPr="00F45F11" w:rsidRDefault="00602F54" w:rsidP="009913ED">
            <w:pPr>
              <w:pStyle w:val="ARtablecolheadright"/>
            </w:pPr>
            <w:r w:rsidRPr="00F45F11">
              <w:t xml:space="preserve">Variation </w:t>
            </w:r>
          </w:p>
        </w:tc>
        <w:tc>
          <w:tcPr>
            <w:tcW w:w="806" w:type="dxa"/>
            <w:hideMark/>
          </w:tcPr>
          <w:p w14:paraId="6429EE57" w14:textId="77777777" w:rsidR="00602F54" w:rsidRPr="00F45F11" w:rsidRDefault="00602F54" w:rsidP="009913ED">
            <w:pPr>
              <w:pStyle w:val="ARtablecolheadright"/>
            </w:pPr>
            <w:r w:rsidRPr="00F45F11">
              <w:t>Result</w:t>
            </w:r>
          </w:p>
        </w:tc>
      </w:tr>
      <w:tr w:rsidR="00DC4049" w:rsidRPr="00F45F11" w14:paraId="7CAAB27F" w14:textId="77777777" w:rsidTr="00DC4049">
        <w:tc>
          <w:tcPr>
            <w:tcW w:w="4724" w:type="dxa"/>
          </w:tcPr>
          <w:p w14:paraId="47553F09" w14:textId="6AB9D762" w:rsidR="00DC4049" w:rsidRPr="00F45F11" w:rsidRDefault="007172BE" w:rsidP="007172BE">
            <w:pPr>
              <w:pStyle w:val="ARtablegreybold"/>
              <w:rPr>
                <w:rFonts w:eastAsia="Times"/>
              </w:rPr>
            </w:pPr>
            <w:r w:rsidRPr="00F45F11">
              <w:t>Quantity</w:t>
            </w:r>
          </w:p>
        </w:tc>
        <w:tc>
          <w:tcPr>
            <w:tcW w:w="1021" w:type="dxa"/>
          </w:tcPr>
          <w:p w14:paraId="2C6014C3" w14:textId="77777777" w:rsidR="00DC4049" w:rsidRPr="00F45F11" w:rsidRDefault="00DC4049" w:rsidP="009817E6">
            <w:pPr>
              <w:pStyle w:val="ARTabletext"/>
              <w:rPr>
                <w:rFonts w:eastAsia="Times"/>
              </w:rPr>
            </w:pPr>
          </w:p>
        </w:tc>
        <w:tc>
          <w:tcPr>
            <w:tcW w:w="1023" w:type="dxa"/>
          </w:tcPr>
          <w:p w14:paraId="7D09442B" w14:textId="77777777" w:rsidR="00DC4049" w:rsidRPr="00F45F11" w:rsidRDefault="00DC4049" w:rsidP="009817E6">
            <w:pPr>
              <w:pStyle w:val="ARtabletextright"/>
              <w:rPr>
                <w:rFonts w:eastAsia="Times"/>
              </w:rPr>
            </w:pPr>
          </w:p>
        </w:tc>
        <w:tc>
          <w:tcPr>
            <w:tcW w:w="1025" w:type="dxa"/>
          </w:tcPr>
          <w:p w14:paraId="678922D3" w14:textId="77777777" w:rsidR="00DC4049" w:rsidRPr="00F45F11" w:rsidRDefault="00DC4049" w:rsidP="009817E6">
            <w:pPr>
              <w:pStyle w:val="ARtabletextright"/>
              <w:rPr>
                <w:rFonts w:eastAsia="Times"/>
              </w:rPr>
            </w:pPr>
          </w:p>
        </w:tc>
        <w:tc>
          <w:tcPr>
            <w:tcW w:w="1029" w:type="dxa"/>
          </w:tcPr>
          <w:p w14:paraId="1309E693" w14:textId="77777777" w:rsidR="00DC4049" w:rsidRPr="00F45F11" w:rsidRDefault="00DC4049" w:rsidP="009817E6">
            <w:pPr>
              <w:pStyle w:val="ARtabletextright"/>
              <w:rPr>
                <w:rFonts w:eastAsia="Times"/>
              </w:rPr>
            </w:pPr>
          </w:p>
        </w:tc>
        <w:tc>
          <w:tcPr>
            <w:tcW w:w="806" w:type="dxa"/>
          </w:tcPr>
          <w:p w14:paraId="7DDF5AC8" w14:textId="77777777" w:rsidR="00DC4049" w:rsidRPr="00F45F11" w:rsidRDefault="00DC4049" w:rsidP="009817E6">
            <w:pPr>
              <w:pStyle w:val="ARtableperformancesymbol"/>
              <w:rPr>
                <w:rFonts w:eastAsia="Times"/>
              </w:rPr>
            </w:pPr>
          </w:p>
        </w:tc>
      </w:tr>
      <w:tr w:rsidR="00602F54" w:rsidRPr="00F45F11" w14:paraId="13A6332A" w14:textId="77777777" w:rsidTr="00DC4049">
        <w:tc>
          <w:tcPr>
            <w:tcW w:w="4724" w:type="dxa"/>
          </w:tcPr>
          <w:p w14:paraId="0282AA5F" w14:textId="77777777" w:rsidR="00602F54" w:rsidRDefault="00602F54" w:rsidP="009817E6">
            <w:pPr>
              <w:pStyle w:val="ARTabletext"/>
              <w:rPr>
                <w:rFonts w:eastAsia="Times"/>
              </w:rPr>
            </w:pPr>
            <w:r w:rsidRPr="00F45F11">
              <w:rPr>
                <w:rFonts w:eastAsia="Times"/>
              </w:rPr>
              <w:t>Number of people engaged through a Trans and Gender Diverse Peer Support Program</w:t>
            </w:r>
          </w:p>
          <w:p w14:paraId="452F69AA" w14:textId="091CD609" w:rsidR="007172BE" w:rsidRPr="00F45F11" w:rsidRDefault="007172BE" w:rsidP="007172BE">
            <w:pPr>
              <w:pStyle w:val="ARtablenoteindent"/>
            </w:pPr>
            <w:r w:rsidRPr="00F45F11">
              <w:t>An additional 283 people were engaged through a new service partially funded by the Peer Support Program. To ensure consistency with this measure, they were not included in the actual result. The department will work with the provider to improve counting rules for the 2026–27 reporting period.</w:t>
            </w:r>
          </w:p>
        </w:tc>
        <w:tc>
          <w:tcPr>
            <w:tcW w:w="1021" w:type="dxa"/>
          </w:tcPr>
          <w:p w14:paraId="46F58902" w14:textId="77777777" w:rsidR="00602F54" w:rsidRPr="00F45F11" w:rsidRDefault="00602F54" w:rsidP="009817E6">
            <w:pPr>
              <w:pStyle w:val="ARTabletext"/>
              <w:rPr>
                <w:rFonts w:eastAsia="Times"/>
              </w:rPr>
            </w:pPr>
            <w:r w:rsidRPr="00F45F11">
              <w:rPr>
                <w:rFonts w:eastAsia="Times"/>
              </w:rPr>
              <w:t>number</w:t>
            </w:r>
          </w:p>
        </w:tc>
        <w:tc>
          <w:tcPr>
            <w:tcW w:w="1023" w:type="dxa"/>
          </w:tcPr>
          <w:p w14:paraId="5495DAEE" w14:textId="77777777" w:rsidR="00602F54" w:rsidRPr="00F45F11" w:rsidRDefault="00602F54" w:rsidP="009817E6">
            <w:pPr>
              <w:pStyle w:val="ARtabletextright"/>
              <w:rPr>
                <w:rFonts w:eastAsia="Times"/>
              </w:rPr>
            </w:pPr>
            <w:r w:rsidRPr="00F45F11">
              <w:rPr>
                <w:rFonts w:eastAsia="Times"/>
              </w:rPr>
              <w:t>450</w:t>
            </w:r>
          </w:p>
        </w:tc>
        <w:tc>
          <w:tcPr>
            <w:tcW w:w="1025" w:type="dxa"/>
          </w:tcPr>
          <w:p w14:paraId="13FCC810" w14:textId="77777777" w:rsidR="00602F54" w:rsidRPr="00F45F11" w:rsidRDefault="00602F54" w:rsidP="009817E6">
            <w:pPr>
              <w:pStyle w:val="ARtabletextright"/>
              <w:rPr>
                <w:rFonts w:eastAsia="Times"/>
              </w:rPr>
            </w:pPr>
            <w:r w:rsidRPr="00F45F11">
              <w:rPr>
                <w:rFonts w:eastAsia="Times"/>
              </w:rPr>
              <w:t>435</w:t>
            </w:r>
          </w:p>
        </w:tc>
        <w:tc>
          <w:tcPr>
            <w:tcW w:w="1029" w:type="dxa"/>
          </w:tcPr>
          <w:p w14:paraId="6393BAFE" w14:textId="77777777" w:rsidR="00602F54" w:rsidRPr="00F45F11" w:rsidRDefault="00602F54" w:rsidP="009817E6">
            <w:pPr>
              <w:pStyle w:val="ARtabletextright"/>
              <w:rPr>
                <w:rFonts w:eastAsia="Times"/>
              </w:rPr>
            </w:pPr>
            <w:r w:rsidRPr="00F45F11">
              <w:rPr>
                <w:rFonts w:eastAsia="Times"/>
              </w:rPr>
              <w:t>-3.3%</w:t>
            </w:r>
          </w:p>
        </w:tc>
        <w:tc>
          <w:tcPr>
            <w:tcW w:w="806" w:type="dxa"/>
          </w:tcPr>
          <w:p w14:paraId="3579906B" w14:textId="77777777" w:rsidR="00602F54" w:rsidRPr="00F45F11" w:rsidRDefault="00602F54" w:rsidP="009817E6">
            <w:pPr>
              <w:pStyle w:val="ARtableperformancesymbol"/>
              <w:rPr>
                <w:rFonts w:eastAsia="Times"/>
              </w:rPr>
            </w:pPr>
            <w:r w:rsidRPr="00F45F11">
              <w:rPr>
                <w:rFonts w:eastAsia="Times"/>
              </w:rPr>
              <w:t>□</w:t>
            </w:r>
          </w:p>
        </w:tc>
      </w:tr>
      <w:tr w:rsidR="00602F54" w:rsidRPr="00F45F11" w14:paraId="10DA09D3" w14:textId="77777777" w:rsidTr="00DC4049">
        <w:tc>
          <w:tcPr>
            <w:tcW w:w="4724" w:type="dxa"/>
          </w:tcPr>
          <w:p w14:paraId="14C0A529" w14:textId="77777777" w:rsidR="00602F54" w:rsidRDefault="00602F54" w:rsidP="009817E6">
            <w:pPr>
              <w:pStyle w:val="ARTabletext"/>
              <w:keepNext/>
              <w:rPr>
                <w:rFonts w:eastAsia="Times"/>
              </w:rPr>
            </w:pPr>
            <w:r w:rsidRPr="00F45F11">
              <w:rPr>
                <w:rFonts w:eastAsia="Times"/>
              </w:rPr>
              <w:t xml:space="preserve">Number of services engaged </w:t>
            </w:r>
            <w:r w:rsidRPr="00F45F11" w:rsidDel="00F9087D">
              <w:rPr>
                <w:rFonts w:eastAsia="Times"/>
              </w:rPr>
              <w:t xml:space="preserve">for </w:t>
            </w:r>
            <w:r w:rsidRPr="00F45F11">
              <w:rPr>
                <w:rFonts w:eastAsia="Times"/>
              </w:rPr>
              <w:t xml:space="preserve">Rainbow Tick accreditation </w:t>
            </w:r>
          </w:p>
          <w:p w14:paraId="77D64A5E" w14:textId="56186648" w:rsidR="007172BE" w:rsidRPr="00F45F11" w:rsidRDefault="007172BE" w:rsidP="007172BE">
            <w:pPr>
              <w:pStyle w:val="ARtablenoteindent"/>
            </w:pPr>
            <w:r w:rsidRPr="00067149">
              <w:t>The 2025–26 estimated outcome is higher than the target due to the maturing of a large pipeline of organisations engaged in the program and working toward their full accreditation. This estimated outcome reflects organisations that have formally executed a contract for Rainbow Tick accreditation.</w:t>
            </w:r>
          </w:p>
        </w:tc>
        <w:tc>
          <w:tcPr>
            <w:tcW w:w="1021" w:type="dxa"/>
          </w:tcPr>
          <w:p w14:paraId="72EFFBA5" w14:textId="77777777" w:rsidR="00602F54" w:rsidRPr="00F45F11" w:rsidRDefault="00602F54" w:rsidP="009817E6">
            <w:pPr>
              <w:pStyle w:val="ARTabletext"/>
              <w:rPr>
                <w:rFonts w:eastAsia="Times"/>
              </w:rPr>
            </w:pPr>
            <w:r w:rsidRPr="00F45F11">
              <w:rPr>
                <w:rFonts w:eastAsia="Times"/>
              </w:rPr>
              <w:t>number</w:t>
            </w:r>
          </w:p>
        </w:tc>
        <w:tc>
          <w:tcPr>
            <w:tcW w:w="1023" w:type="dxa"/>
          </w:tcPr>
          <w:p w14:paraId="7B95E0C0" w14:textId="77777777" w:rsidR="00602F54" w:rsidRPr="00F45F11" w:rsidRDefault="00602F54" w:rsidP="009817E6">
            <w:pPr>
              <w:pStyle w:val="ARtabletextright"/>
              <w:rPr>
                <w:rFonts w:eastAsia="Times"/>
              </w:rPr>
            </w:pPr>
            <w:r w:rsidRPr="00F45F11">
              <w:rPr>
                <w:rFonts w:eastAsia="Times"/>
              </w:rPr>
              <w:t>40</w:t>
            </w:r>
          </w:p>
        </w:tc>
        <w:tc>
          <w:tcPr>
            <w:tcW w:w="1025" w:type="dxa"/>
          </w:tcPr>
          <w:p w14:paraId="3FDC10AC" w14:textId="77777777" w:rsidR="00602F54" w:rsidRPr="00067149" w:rsidRDefault="00602F54" w:rsidP="009817E6">
            <w:pPr>
              <w:pStyle w:val="ARtabletextright"/>
              <w:rPr>
                <w:rFonts w:eastAsia="Times"/>
              </w:rPr>
            </w:pPr>
            <w:r w:rsidRPr="00067149">
              <w:rPr>
                <w:rFonts w:eastAsia="Times"/>
              </w:rPr>
              <w:t>57</w:t>
            </w:r>
          </w:p>
        </w:tc>
        <w:tc>
          <w:tcPr>
            <w:tcW w:w="1029" w:type="dxa"/>
          </w:tcPr>
          <w:p w14:paraId="7878781D" w14:textId="77777777" w:rsidR="00602F54" w:rsidRPr="00067149" w:rsidRDefault="00602F54" w:rsidP="009817E6">
            <w:pPr>
              <w:pStyle w:val="ARtabletextright"/>
              <w:rPr>
                <w:rFonts w:eastAsia="Times"/>
              </w:rPr>
            </w:pPr>
            <w:r w:rsidRPr="00067149">
              <w:rPr>
                <w:rFonts w:eastAsia="Times"/>
              </w:rPr>
              <w:t>42.5%</w:t>
            </w:r>
          </w:p>
        </w:tc>
        <w:tc>
          <w:tcPr>
            <w:tcW w:w="806" w:type="dxa"/>
          </w:tcPr>
          <w:p w14:paraId="40A4E460" w14:textId="77777777" w:rsidR="00602F54" w:rsidRPr="00067149" w:rsidRDefault="00602F54" w:rsidP="009817E6">
            <w:pPr>
              <w:pStyle w:val="ARtableperformancesymbol"/>
              <w:rPr>
                <w:rFonts w:eastAsia="Times"/>
              </w:rPr>
            </w:pPr>
            <w:r w:rsidRPr="00067149">
              <w:rPr>
                <w:rFonts w:eastAsia="Times"/>
              </w:rPr>
              <w:t></w:t>
            </w:r>
          </w:p>
        </w:tc>
      </w:tr>
      <w:tr w:rsidR="00602F54" w:rsidRPr="00F45F11" w14:paraId="7FA4AA4A" w14:textId="77777777" w:rsidTr="00DC4049">
        <w:tc>
          <w:tcPr>
            <w:tcW w:w="4724" w:type="dxa"/>
          </w:tcPr>
          <w:p w14:paraId="2039433A" w14:textId="77777777" w:rsidR="00602F54" w:rsidRDefault="00602F54" w:rsidP="009817E6">
            <w:pPr>
              <w:pStyle w:val="ARTabletext"/>
            </w:pPr>
            <w:r w:rsidRPr="00067149">
              <w:t>Proportion of LGBTIQA+ grant program recipients who </w:t>
            </w:r>
            <w:r w:rsidR="0048706E" w:rsidRPr="00067149">
              <w:br/>
            </w:r>
            <w:proofErr w:type="gramStart"/>
            <w:r w:rsidRPr="00067149">
              <w:t>are located in</w:t>
            </w:r>
            <w:proofErr w:type="gramEnd"/>
            <w:r w:rsidRPr="00067149">
              <w:t xml:space="preserve"> regional and rural areas</w:t>
            </w:r>
          </w:p>
          <w:p w14:paraId="32E6B485" w14:textId="3317FCAC" w:rsidR="007172BE" w:rsidRPr="00067149" w:rsidRDefault="007172BE" w:rsidP="007172BE">
            <w:pPr>
              <w:pStyle w:val="ARtablenoteindent"/>
            </w:pPr>
            <w:r w:rsidRPr="00067149">
              <w:t>The 2025–26 actual outcome is higher than the 2025–26 target due to a dedicated focus on prioritising applications that support regional and rural LGBTIQA+ communities.</w:t>
            </w:r>
          </w:p>
        </w:tc>
        <w:tc>
          <w:tcPr>
            <w:tcW w:w="1021" w:type="dxa"/>
          </w:tcPr>
          <w:p w14:paraId="57A82F27" w14:textId="77777777" w:rsidR="00602F54" w:rsidRPr="00067149" w:rsidRDefault="00602F54" w:rsidP="009817E6">
            <w:pPr>
              <w:pStyle w:val="ARTabletext"/>
            </w:pPr>
            <w:r w:rsidRPr="00067149">
              <w:t>per cent</w:t>
            </w:r>
          </w:p>
        </w:tc>
        <w:tc>
          <w:tcPr>
            <w:tcW w:w="1023" w:type="dxa"/>
          </w:tcPr>
          <w:p w14:paraId="6A25C707" w14:textId="77777777" w:rsidR="00602F54" w:rsidRPr="00067149" w:rsidRDefault="00602F54" w:rsidP="009817E6">
            <w:pPr>
              <w:pStyle w:val="ARtabletextright"/>
            </w:pPr>
            <w:r w:rsidRPr="00067149">
              <w:t>25</w:t>
            </w:r>
          </w:p>
        </w:tc>
        <w:tc>
          <w:tcPr>
            <w:tcW w:w="1025" w:type="dxa"/>
          </w:tcPr>
          <w:p w14:paraId="46514BE8" w14:textId="4F54654E" w:rsidR="00602F54" w:rsidRPr="00067149" w:rsidRDefault="005F30F0" w:rsidP="009817E6">
            <w:pPr>
              <w:pStyle w:val="ARtabletextright"/>
            </w:pPr>
            <w:r w:rsidRPr="00067149">
              <w:t>29</w:t>
            </w:r>
            <w:r w:rsidR="00602F54" w:rsidRPr="00067149">
              <w:t>.3</w:t>
            </w:r>
          </w:p>
        </w:tc>
        <w:tc>
          <w:tcPr>
            <w:tcW w:w="1029" w:type="dxa"/>
          </w:tcPr>
          <w:p w14:paraId="37D9E07E" w14:textId="73BF5014" w:rsidR="00602F54" w:rsidRPr="00067149" w:rsidRDefault="00D721C9" w:rsidP="009817E6">
            <w:pPr>
              <w:pStyle w:val="ARtabletextright"/>
            </w:pPr>
            <w:r w:rsidRPr="00067149">
              <w:t>17</w:t>
            </w:r>
            <w:r w:rsidR="00602F54" w:rsidRPr="00067149">
              <w:t>.2%</w:t>
            </w:r>
          </w:p>
        </w:tc>
        <w:tc>
          <w:tcPr>
            <w:tcW w:w="806" w:type="dxa"/>
          </w:tcPr>
          <w:p w14:paraId="3C861A1D" w14:textId="77777777" w:rsidR="00602F54" w:rsidRPr="00067149" w:rsidRDefault="00602F54" w:rsidP="009817E6">
            <w:pPr>
              <w:pStyle w:val="ARtableperformancesymbol"/>
              <w:rPr>
                <w:rFonts w:eastAsia="Times"/>
              </w:rPr>
            </w:pPr>
            <w:r w:rsidRPr="00067149">
              <w:rPr>
                <w:rFonts w:eastAsia="Times"/>
              </w:rPr>
              <w:t></w:t>
            </w:r>
          </w:p>
        </w:tc>
      </w:tr>
      <w:tr w:rsidR="00DC4049" w:rsidRPr="00F45F11" w14:paraId="6BC66470" w14:textId="77777777" w:rsidTr="00DC4049">
        <w:tc>
          <w:tcPr>
            <w:tcW w:w="4724" w:type="dxa"/>
          </w:tcPr>
          <w:p w14:paraId="02AA68B7" w14:textId="2B20731B" w:rsidR="00DC4049" w:rsidRPr="00F45F11" w:rsidRDefault="007172BE" w:rsidP="007172BE">
            <w:pPr>
              <w:pStyle w:val="ARtablegreybold"/>
              <w:rPr>
                <w:rFonts w:eastAsia="Times"/>
              </w:rPr>
            </w:pPr>
            <w:r w:rsidRPr="00F45F11">
              <w:t>Cost</w:t>
            </w:r>
          </w:p>
        </w:tc>
        <w:tc>
          <w:tcPr>
            <w:tcW w:w="1021" w:type="dxa"/>
          </w:tcPr>
          <w:p w14:paraId="5E7FE542" w14:textId="77777777" w:rsidR="00DC4049" w:rsidRPr="00F45F11" w:rsidRDefault="00DC4049" w:rsidP="009817E6">
            <w:pPr>
              <w:pStyle w:val="ARtabletextbold"/>
              <w:rPr>
                <w:rFonts w:eastAsia="Times"/>
              </w:rPr>
            </w:pPr>
          </w:p>
        </w:tc>
        <w:tc>
          <w:tcPr>
            <w:tcW w:w="1023" w:type="dxa"/>
          </w:tcPr>
          <w:p w14:paraId="6B8AF855" w14:textId="77777777" w:rsidR="00DC4049" w:rsidRPr="00F45F11" w:rsidRDefault="00DC4049" w:rsidP="009817E6">
            <w:pPr>
              <w:pStyle w:val="ARtabletextrightbold"/>
              <w:rPr>
                <w:rFonts w:eastAsia="Times"/>
              </w:rPr>
            </w:pPr>
          </w:p>
        </w:tc>
        <w:tc>
          <w:tcPr>
            <w:tcW w:w="1025" w:type="dxa"/>
          </w:tcPr>
          <w:p w14:paraId="4D65C02D" w14:textId="77777777" w:rsidR="00DC4049" w:rsidRPr="00F45F11" w:rsidRDefault="00DC4049" w:rsidP="009817E6">
            <w:pPr>
              <w:pStyle w:val="ARtabletextrightbold"/>
              <w:rPr>
                <w:rFonts w:eastAsia="Times"/>
              </w:rPr>
            </w:pPr>
          </w:p>
        </w:tc>
        <w:tc>
          <w:tcPr>
            <w:tcW w:w="1029" w:type="dxa"/>
          </w:tcPr>
          <w:p w14:paraId="538A5C62" w14:textId="77777777" w:rsidR="00DC4049" w:rsidRPr="00F45F11" w:rsidRDefault="00DC4049" w:rsidP="009817E6">
            <w:pPr>
              <w:pStyle w:val="ARtabletextrightbold"/>
              <w:rPr>
                <w:rFonts w:eastAsia="Times"/>
              </w:rPr>
            </w:pPr>
          </w:p>
        </w:tc>
        <w:tc>
          <w:tcPr>
            <w:tcW w:w="806" w:type="dxa"/>
          </w:tcPr>
          <w:p w14:paraId="7E06F3DD" w14:textId="77777777" w:rsidR="00DC4049" w:rsidRPr="00F45F11" w:rsidRDefault="00DC4049" w:rsidP="009817E6">
            <w:pPr>
              <w:pStyle w:val="ARtableperformancesymbol"/>
              <w:rPr>
                <w:rFonts w:eastAsia="Times"/>
              </w:rPr>
            </w:pPr>
          </w:p>
        </w:tc>
      </w:tr>
      <w:tr w:rsidR="00602F54" w:rsidRPr="00F45F11" w14:paraId="4F8C3F90" w14:textId="77777777" w:rsidTr="00DC4049">
        <w:trPr>
          <w:cnfStyle w:val="010000000000" w:firstRow="0" w:lastRow="1" w:firstColumn="0" w:lastColumn="0" w:oddVBand="0" w:evenVBand="0" w:oddHBand="0" w:evenHBand="0" w:firstRowFirstColumn="0" w:firstRowLastColumn="0" w:lastRowFirstColumn="0" w:lastRowLastColumn="0"/>
        </w:trPr>
        <w:tc>
          <w:tcPr>
            <w:tcW w:w="4724" w:type="dxa"/>
            <w:hideMark/>
          </w:tcPr>
          <w:p w14:paraId="53E00195" w14:textId="77777777" w:rsidR="00602F54" w:rsidRPr="00F45F11" w:rsidRDefault="00602F54" w:rsidP="009817E6">
            <w:pPr>
              <w:pStyle w:val="ARtabletextbold"/>
              <w:rPr>
                <w:rFonts w:eastAsia="Times"/>
              </w:rPr>
            </w:pPr>
            <w:r w:rsidRPr="00F45F11">
              <w:rPr>
                <w:rFonts w:eastAsia="Times"/>
              </w:rPr>
              <w:t>Total output cost</w:t>
            </w:r>
          </w:p>
        </w:tc>
        <w:tc>
          <w:tcPr>
            <w:tcW w:w="1021" w:type="dxa"/>
            <w:hideMark/>
          </w:tcPr>
          <w:p w14:paraId="53A98965" w14:textId="77777777" w:rsidR="00602F54" w:rsidRPr="00F45F11" w:rsidRDefault="00602F54" w:rsidP="009817E6">
            <w:pPr>
              <w:pStyle w:val="ARtabletextbold"/>
              <w:rPr>
                <w:rFonts w:eastAsia="Times"/>
              </w:rPr>
            </w:pPr>
            <w:r w:rsidRPr="00F45F11">
              <w:rPr>
                <w:rFonts w:eastAsia="Times"/>
              </w:rPr>
              <w:t>$ million</w:t>
            </w:r>
          </w:p>
        </w:tc>
        <w:tc>
          <w:tcPr>
            <w:tcW w:w="1023" w:type="dxa"/>
          </w:tcPr>
          <w:p w14:paraId="2A08C07C" w14:textId="77777777" w:rsidR="00602F54" w:rsidRPr="00F45F11" w:rsidRDefault="00602F54" w:rsidP="009817E6">
            <w:pPr>
              <w:pStyle w:val="ARtabletextrightbold"/>
              <w:rPr>
                <w:rFonts w:eastAsia="Times"/>
              </w:rPr>
            </w:pPr>
            <w:r w:rsidRPr="00F45F11">
              <w:rPr>
                <w:rFonts w:eastAsia="Times"/>
              </w:rPr>
              <w:t>10.5</w:t>
            </w:r>
          </w:p>
        </w:tc>
        <w:tc>
          <w:tcPr>
            <w:tcW w:w="1025" w:type="dxa"/>
          </w:tcPr>
          <w:p w14:paraId="2CCD11E4" w14:textId="77777777" w:rsidR="00602F54" w:rsidRPr="00F45F11" w:rsidRDefault="00602F54" w:rsidP="009817E6">
            <w:pPr>
              <w:pStyle w:val="ARtabletextrightbold"/>
              <w:rPr>
                <w:rFonts w:eastAsia="Times"/>
              </w:rPr>
            </w:pPr>
            <w:r w:rsidRPr="00F45F11">
              <w:rPr>
                <w:rFonts w:eastAsia="Times"/>
              </w:rPr>
              <w:t>10.9</w:t>
            </w:r>
          </w:p>
        </w:tc>
        <w:tc>
          <w:tcPr>
            <w:tcW w:w="1029" w:type="dxa"/>
          </w:tcPr>
          <w:p w14:paraId="52341E2F" w14:textId="77777777" w:rsidR="00602F54" w:rsidRPr="00F45F11" w:rsidRDefault="00602F54" w:rsidP="009817E6">
            <w:pPr>
              <w:pStyle w:val="ARtabletextrightbold"/>
              <w:rPr>
                <w:rFonts w:eastAsia="Times"/>
              </w:rPr>
            </w:pPr>
            <w:r w:rsidRPr="00F45F11">
              <w:rPr>
                <w:rFonts w:eastAsia="Times"/>
              </w:rPr>
              <w:t>3.8%</w:t>
            </w:r>
          </w:p>
        </w:tc>
        <w:tc>
          <w:tcPr>
            <w:tcW w:w="806" w:type="dxa"/>
          </w:tcPr>
          <w:p w14:paraId="3476E06B" w14:textId="77777777" w:rsidR="00602F54" w:rsidRPr="00F45F11" w:rsidRDefault="00602F54" w:rsidP="009817E6">
            <w:pPr>
              <w:pStyle w:val="ARtableperformancesymbol"/>
              <w:rPr>
                <w:rFonts w:eastAsia="Times"/>
              </w:rPr>
            </w:pPr>
            <w:r w:rsidRPr="00F45F11">
              <w:rPr>
                <w:rFonts w:eastAsia="Times"/>
              </w:rPr>
              <w:t></w:t>
            </w:r>
          </w:p>
        </w:tc>
      </w:tr>
    </w:tbl>
    <w:p w14:paraId="718590A3" w14:textId="27A32189" w:rsidR="00602F54" w:rsidRPr="00F45F11" w:rsidRDefault="00602F54" w:rsidP="00602F54">
      <w:pPr>
        <w:pStyle w:val="Heading3"/>
      </w:pPr>
      <w:r w:rsidRPr="00F45F11">
        <w:t>Women’s policy</w:t>
      </w:r>
    </w:p>
    <w:p w14:paraId="2C0AA9CA" w14:textId="77777777" w:rsidR="00602F54" w:rsidRPr="00F45F11" w:rsidRDefault="00602F54" w:rsidP="00602F54">
      <w:pPr>
        <w:pStyle w:val="ARbodybeforetable"/>
      </w:pPr>
      <w:r w:rsidRPr="00F45F11">
        <w:t>This output provides initiatives that support gender equality and better outcomes for women across all areas of their lives including economic security, safety, leadership, health and wellbeing.</w:t>
      </w:r>
    </w:p>
    <w:tbl>
      <w:tblPr>
        <w:tblStyle w:val="ARtable1"/>
        <w:tblW w:w="5000" w:type="pct"/>
        <w:tblLook w:val="06E0" w:firstRow="1" w:lastRow="1" w:firstColumn="1" w:lastColumn="0" w:noHBand="1" w:noVBand="1"/>
      </w:tblPr>
      <w:tblGrid>
        <w:gridCol w:w="4674"/>
        <w:gridCol w:w="992"/>
        <w:gridCol w:w="1026"/>
        <w:gridCol w:w="1003"/>
        <w:gridCol w:w="1086"/>
        <w:gridCol w:w="847"/>
      </w:tblGrid>
      <w:tr w:rsidR="00602F54" w:rsidRPr="00F45F11" w14:paraId="48CF827C" w14:textId="77777777" w:rsidTr="004E5FC5">
        <w:trPr>
          <w:cnfStyle w:val="100000000000" w:firstRow="1" w:lastRow="0" w:firstColumn="0" w:lastColumn="0" w:oddVBand="0" w:evenVBand="0" w:oddHBand="0" w:evenHBand="0" w:firstRowFirstColumn="0" w:firstRowLastColumn="0" w:lastRowFirstColumn="0" w:lastRowLastColumn="0"/>
          <w:tblHeader/>
        </w:trPr>
        <w:tc>
          <w:tcPr>
            <w:tcW w:w="2427" w:type="pct"/>
            <w:hideMark/>
          </w:tcPr>
          <w:p w14:paraId="30206581" w14:textId="77777777" w:rsidR="00602F54" w:rsidRPr="00F45F11" w:rsidRDefault="00602F54" w:rsidP="009817E6">
            <w:pPr>
              <w:pStyle w:val="ARtablecolhead"/>
              <w:rPr>
                <w:rFonts w:eastAsia="Times"/>
              </w:rPr>
            </w:pPr>
            <w:r w:rsidRPr="00F45F11">
              <w:rPr>
                <w:rFonts w:eastAsia="Times"/>
              </w:rPr>
              <w:t>Performance measures</w:t>
            </w:r>
          </w:p>
        </w:tc>
        <w:tc>
          <w:tcPr>
            <w:tcW w:w="515" w:type="pct"/>
            <w:hideMark/>
          </w:tcPr>
          <w:p w14:paraId="65E2C567" w14:textId="77777777" w:rsidR="00602F54" w:rsidRPr="00F45F11" w:rsidRDefault="00602F54" w:rsidP="009817E6">
            <w:pPr>
              <w:pStyle w:val="ARtablecolhead"/>
              <w:rPr>
                <w:rFonts w:eastAsia="Times"/>
              </w:rPr>
            </w:pPr>
            <w:r w:rsidRPr="00F45F11">
              <w:rPr>
                <w:rFonts w:eastAsia="Times"/>
              </w:rPr>
              <w:t>Unit of measure</w:t>
            </w:r>
          </w:p>
        </w:tc>
        <w:tc>
          <w:tcPr>
            <w:tcW w:w="533" w:type="pct"/>
            <w:hideMark/>
          </w:tcPr>
          <w:p w14:paraId="47BBDB75" w14:textId="77777777" w:rsidR="00602F54" w:rsidRPr="00F45F11" w:rsidRDefault="00602F54" w:rsidP="009817E6">
            <w:pPr>
              <w:pStyle w:val="ARtablecolheadright"/>
              <w:rPr>
                <w:rFonts w:eastAsia="Times"/>
              </w:rPr>
            </w:pPr>
            <w:r w:rsidRPr="00F45F11">
              <w:rPr>
                <w:rFonts w:eastAsia="Times"/>
              </w:rPr>
              <w:t>2025–26 target</w:t>
            </w:r>
          </w:p>
        </w:tc>
        <w:tc>
          <w:tcPr>
            <w:tcW w:w="521" w:type="pct"/>
            <w:hideMark/>
          </w:tcPr>
          <w:p w14:paraId="0CDEE595" w14:textId="77777777" w:rsidR="00602F54" w:rsidRPr="00F45F11" w:rsidRDefault="00602F54" w:rsidP="009817E6">
            <w:pPr>
              <w:pStyle w:val="ARtablecolheadright"/>
              <w:rPr>
                <w:rFonts w:eastAsia="Times"/>
              </w:rPr>
            </w:pPr>
            <w:r w:rsidRPr="00F45F11">
              <w:rPr>
                <w:rFonts w:eastAsia="Times"/>
              </w:rPr>
              <w:t>2025–26 actual</w:t>
            </w:r>
          </w:p>
        </w:tc>
        <w:tc>
          <w:tcPr>
            <w:tcW w:w="564" w:type="pct"/>
            <w:hideMark/>
          </w:tcPr>
          <w:p w14:paraId="5E1A42F1" w14:textId="77777777" w:rsidR="00602F54" w:rsidRPr="00F45F11" w:rsidRDefault="00602F54" w:rsidP="009817E6">
            <w:pPr>
              <w:pStyle w:val="ARtablecolheadright"/>
              <w:rPr>
                <w:rFonts w:eastAsia="Times"/>
              </w:rPr>
            </w:pPr>
            <w:r w:rsidRPr="00F45F11">
              <w:rPr>
                <w:rFonts w:eastAsia="Times"/>
              </w:rPr>
              <w:t xml:space="preserve">Variation </w:t>
            </w:r>
          </w:p>
        </w:tc>
        <w:tc>
          <w:tcPr>
            <w:tcW w:w="440" w:type="pct"/>
            <w:hideMark/>
          </w:tcPr>
          <w:p w14:paraId="30871222" w14:textId="77777777" w:rsidR="00602F54" w:rsidRPr="00F45F11" w:rsidRDefault="00602F54" w:rsidP="009817E6">
            <w:pPr>
              <w:pStyle w:val="ARtablecolheadright"/>
              <w:rPr>
                <w:rFonts w:eastAsia="Times"/>
              </w:rPr>
            </w:pPr>
            <w:r w:rsidRPr="00F45F11">
              <w:rPr>
                <w:rFonts w:eastAsia="Times"/>
              </w:rPr>
              <w:t>Result</w:t>
            </w:r>
          </w:p>
        </w:tc>
      </w:tr>
      <w:tr w:rsidR="007172BE" w:rsidRPr="00F45F11" w14:paraId="6D7916D7" w14:textId="77777777" w:rsidTr="004E5FC5">
        <w:tc>
          <w:tcPr>
            <w:tcW w:w="2427" w:type="pct"/>
          </w:tcPr>
          <w:p w14:paraId="2DBB8FBA" w14:textId="323406F4" w:rsidR="007172BE" w:rsidRPr="00F45F11" w:rsidRDefault="007172BE" w:rsidP="007172BE">
            <w:pPr>
              <w:pStyle w:val="ARtablegreybold"/>
              <w:rPr>
                <w:rFonts w:eastAsia="Times"/>
              </w:rPr>
            </w:pPr>
            <w:r w:rsidRPr="00F45F11">
              <w:t>Quantity</w:t>
            </w:r>
          </w:p>
        </w:tc>
        <w:tc>
          <w:tcPr>
            <w:tcW w:w="515" w:type="pct"/>
          </w:tcPr>
          <w:p w14:paraId="0F85AF1C" w14:textId="77777777" w:rsidR="007172BE" w:rsidRPr="00F45F11" w:rsidRDefault="007172BE" w:rsidP="009817E6">
            <w:pPr>
              <w:pStyle w:val="ARTabletext"/>
              <w:rPr>
                <w:rFonts w:eastAsia="Times"/>
              </w:rPr>
            </w:pPr>
          </w:p>
        </w:tc>
        <w:tc>
          <w:tcPr>
            <w:tcW w:w="533" w:type="pct"/>
          </w:tcPr>
          <w:p w14:paraId="169B852A" w14:textId="77777777" w:rsidR="007172BE" w:rsidRPr="00F45F11" w:rsidRDefault="007172BE" w:rsidP="009817E6">
            <w:pPr>
              <w:pStyle w:val="ARtabletextright"/>
              <w:rPr>
                <w:rFonts w:eastAsia="Times"/>
              </w:rPr>
            </w:pPr>
          </w:p>
        </w:tc>
        <w:tc>
          <w:tcPr>
            <w:tcW w:w="521" w:type="pct"/>
          </w:tcPr>
          <w:p w14:paraId="67505461" w14:textId="77777777" w:rsidR="007172BE" w:rsidRPr="00F45F11" w:rsidRDefault="007172BE" w:rsidP="009817E6">
            <w:pPr>
              <w:pStyle w:val="ARtabletextright"/>
              <w:rPr>
                <w:rFonts w:eastAsia="Times"/>
              </w:rPr>
            </w:pPr>
          </w:p>
        </w:tc>
        <w:tc>
          <w:tcPr>
            <w:tcW w:w="564" w:type="pct"/>
          </w:tcPr>
          <w:p w14:paraId="0FC1E8F4" w14:textId="77777777" w:rsidR="007172BE" w:rsidRPr="00F45F11" w:rsidRDefault="007172BE" w:rsidP="009817E6">
            <w:pPr>
              <w:pStyle w:val="ARtabletextright"/>
              <w:rPr>
                <w:rFonts w:eastAsia="Times"/>
              </w:rPr>
            </w:pPr>
          </w:p>
        </w:tc>
        <w:tc>
          <w:tcPr>
            <w:tcW w:w="440" w:type="pct"/>
          </w:tcPr>
          <w:p w14:paraId="1D1298B5" w14:textId="77777777" w:rsidR="007172BE" w:rsidRPr="00F45F11" w:rsidRDefault="007172BE" w:rsidP="009817E6">
            <w:pPr>
              <w:pStyle w:val="ARtableperformancesymbol"/>
              <w:rPr>
                <w:rFonts w:eastAsia="Times"/>
              </w:rPr>
            </w:pPr>
          </w:p>
        </w:tc>
      </w:tr>
      <w:tr w:rsidR="00602F54" w:rsidRPr="00F45F11" w14:paraId="1BBDC905" w14:textId="77777777" w:rsidTr="004E5FC5">
        <w:tc>
          <w:tcPr>
            <w:tcW w:w="2427" w:type="pct"/>
          </w:tcPr>
          <w:p w14:paraId="47D25634" w14:textId="77777777" w:rsidR="00602F54" w:rsidRDefault="00602F54" w:rsidP="009817E6">
            <w:pPr>
              <w:pStyle w:val="ARTabletext"/>
              <w:rPr>
                <w:rFonts w:eastAsia="Times"/>
              </w:rPr>
            </w:pPr>
            <w:r w:rsidRPr="00F45F11">
              <w:rPr>
                <w:rFonts w:eastAsia="Times"/>
              </w:rPr>
              <w:t>Number of people participating in funded gender equality programs</w:t>
            </w:r>
          </w:p>
          <w:p w14:paraId="18AE4198" w14:textId="20689B59" w:rsidR="007172BE" w:rsidRPr="00F45F11" w:rsidRDefault="007172BE" w:rsidP="007172BE">
            <w:pPr>
              <w:pStyle w:val="ARtablenoteindent"/>
            </w:pPr>
            <w:r w:rsidRPr="00F45F11">
              <w:t>The participant number target was exceeded due to 6,500 Queen Victoria Women’s Centre (QVWC) participants who attended QVWC programmed events in 2025–26. This is due to the completion of capital works upgrades to the building in July 2025, which increased the available space in the building compared with 2024–25.</w:t>
            </w:r>
          </w:p>
        </w:tc>
        <w:tc>
          <w:tcPr>
            <w:tcW w:w="515" w:type="pct"/>
          </w:tcPr>
          <w:p w14:paraId="701714B2" w14:textId="77777777" w:rsidR="00602F54" w:rsidRPr="00F45F11" w:rsidRDefault="00602F54" w:rsidP="009817E6">
            <w:pPr>
              <w:pStyle w:val="ARTabletext"/>
              <w:rPr>
                <w:rFonts w:eastAsia="Times"/>
              </w:rPr>
            </w:pPr>
            <w:r w:rsidRPr="00F45F11">
              <w:rPr>
                <w:rFonts w:eastAsia="Times"/>
              </w:rPr>
              <w:t>number</w:t>
            </w:r>
          </w:p>
        </w:tc>
        <w:tc>
          <w:tcPr>
            <w:tcW w:w="533" w:type="pct"/>
          </w:tcPr>
          <w:p w14:paraId="4081DE82" w14:textId="77777777" w:rsidR="00602F54" w:rsidRPr="00F45F11" w:rsidRDefault="00602F54" w:rsidP="009817E6">
            <w:pPr>
              <w:pStyle w:val="ARtabletextright"/>
              <w:rPr>
                <w:rFonts w:eastAsia="Times"/>
              </w:rPr>
            </w:pPr>
            <w:r w:rsidRPr="00F45F11">
              <w:rPr>
                <w:rFonts w:eastAsia="Times"/>
              </w:rPr>
              <w:t>2,000</w:t>
            </w:r>
          </w:p>
        </w:tc>
        <w:tc>
          <w:tcPr>
            <w:tcW w:w="521" w:type="pct"/>
          </w:tcPr>
          <w:p w14:paraId="51420627" w14:textId="77777777" w:rsidR="00602F54" w:rsidRPr="00F45F11" w:rsidRDefault="00602F54" w:rsidP="009817E6">
            <w:pPr>
              <w:pStyle w:val="ARtabletextright"/>
              <w:rPr>
                <w:rFonts w:eastAsia="Times"/>
              </w:rPr>
            </w:pPr>
            <w:r w:rsidRPr="00F45F11">
              <w:rPr>
                <w:rFonts w:eastAsia="Times"/>
              </w:rPr>
              <w:t>6,953</w:t>
            </w:r>
          </w:p>
        </w:tc>
        <w:tc>
          <w:tcPr>
            <w:tcW w:w="564" w:type="pct"/>
          </w:tcPr>
          <w:p w14:paraId="6CF2F9B4" w14:textId="77777777" w:rsidR="00602F54" w:rsidRPr="00F45F11" w:rsidRDefault="00602F54" w:rsidP="009817E6">
            <w:pPr>
              <w:pStyle w:val="ARtabletextright"/>
              <w:rPr>
                <w:rFonts w:eastAsia="Times"/>
              </w:rPr>
            </w:pPr>
            <w:r w:rsidRPr="00F45F11">
              <w:rPr>
                <w:rFonts w:eastAsia="Times"/>
              </w:rPr>
              <w:t>247.7%</w:t>
            </w:r>
          </w:p>
        </w:tc>
        <w:tc>
          <w:tcPr>
            <w:tcW w:w="440" w:type="pct"/>
          </w:tcPr>
          <w:p w14:paraId="4062720A" w14:textId="77777777" w:rsidR="00602F54" w:rsidRPr="00F45F11" w:rsidRDefault="00602F54" w:rsidP="009817E6">
            <w:pPr>
              <w:pStyle w:val="ARtableperformancesymbol"/>
              <w:rPr>
                <w:rFonts w:eastAsia="Times"/>
              </w:rPr>
            </w:pPr>
            <w:r w:rsidRPr="00F45F11">
              <w:rPr>
                <w:rFonts w:eastAsia="Times"/>
              </w:rPr>
              <w:t></w:t>
            </w:r>
          </w:p>
        </w:tc>
      </w:tr>
      <w:tr w:rsidR="00602F54" w:rsidRPr="00F45F11" w14:paraId="3552BA04" w14:textId="77777777" w:rsidTr="004E5FC5">
        <w:tc>
          <w:tcPr>
            <w:tcW w:w="2427" w:type="pct"/>
          </w:tcPr>
          <w:p w14:paraId="3FD15ABD" w14:textId="77777777" w:rsidR="00602F54" w:rsidRDefault="00602F54" w:rsidP="009817E6">
            <w:pPr>
              <w:pStyle w:val="ARTabletext"/>
              <w:rPr>
                <w:rFonts w:eastAsia="Times"/>
              </w:rPr>
            </w:pPr>
            <w:r w:rsidRPr="00F45F11">
              <w:rPr>
                <w:rFonts w:eastAsia="Times"/>
              </w:rPr>
              <w:t>Percentage of women on Victorian Government boards</w:t>
            </w:r>
          </w:p>
          <w:p w14:paraId="5E62C3F7" w14:textId="66CA50A5" w:rsidR="007172BE" w:rsidRPr="00F45F11" w:rsidRDefault="007172BE" w:rsidP="007172BE">
            <w:pPr>
              <w:pStyle w:val="ARtablenoteindent"/>
            </w:pPr>
            <w:r w:rsidRPr="00F45F11">
              <w:t>The 2025–26 outcome reflects the Victorian Government's commitment to a minimum of 50% of board members being women.</w:t>
            </w:r>
          </w:p>
        </w:tc>
        <w:tc>
          <w:tcPr>
            <w:tcW w:w="515" w:type="pct"/>
          </w:tcPr>
          <w:p w14:paraId="0E04D4CB" w14:textId="77777777" w:rsidR="00602F54" w:rsidRPr="00F45F11" w:rsidRDefault="00602F54" w:rsidP="009817E6">
            <w:pPr>
              <w:pStyle w:val="ARTabletext"/>
              <w:rPr>
                <w:rFonts w:eastAsia="Times"/>
              </w:rPr>
            </w:pPr>
            <w:r w:rsidRPr="00F45F11">
              <w:rPr>
                <w:rFonts w:eastAsia="Times"/>
              </w:rPr>
              <w:t>per cent</w:t>
            </w:r>
          </w:p>
        </w:tc>
        <w:tc>
          <w:tcPr>
            <w:tcW w:w="533" w:type="pct"/>
          </w:tcPr>
          <w:p w14:paraId="6A641F19" w14:textId="77777777" w:rsidR="00602F54" w:rsidRPr="00F45F11" w:rsidRDefault="00602F54" w:rsidP="009817E6">
            <w:pPr>
              <w:pStyle w:val="ARtabletextright"/>
              <w:rPr>
                <w:rFonts w:eastAsia="Times"/>
              </w:rPr>
            </w:pPr>
            <w:r w:rsidRPr="00F45F11">
              <w:rPr>
                <w:rFonts w:eastAsia="Times"/>
              </w:rPr>
              <w:t>50.0</w:t>
            </w:r>
          </w:p>
        </w:tc>
        <w:tc>
          <w:tcPr>
            <w:tcW w:w="521" w:type="pct"/>
          </w:tcPr>
          <w:p w14:paraId="1E09FA7F" w14:textId="77777777" w:rsidR="00602F54" w:rsidRPr="00F45F11" w:rsidRDefault="00602F54" w:rsidP="009817E6">
            <w:pPr>
              <w:pStyle w:val="ARtabletextright"/>
              <w:rPr>
                <w:rFonts w:eastAsia="Times"/>
              </w:rPr>
            </w:pPr>
            <w:r w:rsidRPr="00F45F11">
              <w:rPr>
                <w:rFonts w:eastAsia="Times"/>
              </w:rPr>
              <w:t>54.0</w:t>
            </w:r>
          </w:p>
        </w:tc>
        <w:tc>
          <w:tcPr>
            <w:tcW w:w="564" w:type="pct"/>
          </w:tcPr>
          <w:p w14:paraId="7FDB89A3" w14:textId="77777777" w:rsidR="00602F54" w:rsidRPr="00F45F11" w:rsidRDefault="00602F54" w:rsidP="009817E6">
            <w:pPr>
              <w:pStyle w:val="ARtabletextright"/>
              <w:rPr>
                <w:rFonts w:eastAsia="Times"/>
              </w:rPr>
            </w:pPr>
            <w:r w:rsidRPr="00F45F11">
              <w:rPr>
                <w:rFonts w:eastAsia="Times"/>
              </w:rPr>
              <w:t>8%</w:t>
            </w:r>
          </w:p>
        </w:tc>
        <w:tc>
          <w:tcPr>
            <w:tcW w:w="440" w:type="pct"/>
          </w:tcPr>
          <w:p w14:paraId="243C3890" w14:textId="77777777" w:rsidR="00602F54" w:rsidRPr="00F45F11" w:rsidRDefault="00602F54" w:rsidP="009817E6">
            <w:pPr>
              <w:pStyle w:val="ARtableperformancesymbol"/>
              <w:rPr>
                <w:rFonts w:eastAsia="Times"/>
              </w:rPr>
            </w:pPr>
            <w:r w:rsidRPr="00F45F11">
              <w:rPr>
                <w:rFonts w:eastAsia="Times"/>
              </w:rPr>
              <w:t></w:t>
            </w:r>
          </w:p>
        </w:tc>
      </w:tr>
      <w:tr w:rsidR="00602F54" w:rsidRPr="00F45F11" w14:paraId="7C05D8B3" w14:textId="77777777" w:rsidTr="004E5FC5">
        <w:tc>
          <w:tcPr>
            <w:tcW w:w="2427" w:type="pct"/>
          </w:tcPr>
          <w:p w14:paraId="7F30DAF2" w14:textId="6A7367B6" w:rsidR="00602F54" w:rsidRDefault="00602F54" w:rsidP="007172BE">
            <w:pPr>
              <w:pStyle w:val="ARTabletext"/>
            </w:pPr>
            <w:r w:rsidRPr="00F45F11">
              <w:t xml:space="preserve">The number of </w:t>
            </w:r>
            <w:r w:rsidRPr="007172BE">
              <w:t xml:space="preserve">free pads and tampons </w:t>
            </w:r>
            <w:r w:rsidR="007172BE">
              <w:br/>
            </w:r>
            <w:r w:rsidRPr="007172BE">
              <w:t>dispensers</w:t>
            </w:r>
            <w:r w:rsidR="007172BE" w:rsidRPr="007172BE">
              <w:t xml:space="preserve"> </w:t>
            </w:r>
            <w:r w:rsidRPr="007172BE">
              <w:t>installed</w:t>
            </w:r>
          </w:p>
          <w:p w14:paraId="1B73D184" w14:textId="2E439603" w:rsidR="007172BE" w:rsidRPr="00F45F11" w:rsidRDefault="007172BE" w:rsidP="007172BE">
            <w:pPr>
              <w:pStyle w:val="ARtablenoteindent"/>
            </w:pPr>
            <w:r w:rsidRPr="00F45F11">
              <w:t>Due to the initial complexities of this Australian-first initiative, the BP3 target was set more conservatively at 1,300 machines rather than the election commitment of 1,500 machines. The effective strategies implemented during the delivery phase of the project ensured that many of the original risks were mitigated, allowing for the target to be exceeded.</w:t>
            </w:r>
          </w:p>
        </w:tc>
        <w:tc>
          <w:tcPr>
            <w:tcW w:w="515" w:type="pct"/>
          </w:tcPr>
          <w:p w14:paraId="45397BC3" w14:textId="77777777" w:rsidR="00602F54" w:rsidRPr="00F45F11" w:rsidRDefault="00602F54" w:rsidP="009817E6">
            <w:pPr>
              <w:pStyle w:val="ARTabletext"/>
            </w:pPr>
            <w:r w:rsidRPr="00F45F11">
              <w:t>number</w:t>
            </w:r>
          </w:p>
        </w:tc>
        <w:tc>
          <w:tcPr>
            <w:tcW w:w="533" w:type="pct"/>
          </w:tcPr>
          <w:p w14:paraId="494DB444" w14:textId="77777777" w:rsidR="00602F54" w:rsidRPr="00F45F11" w:rsidRDefault="00602F54" w:rsidP="009817E6">
            <w:pPr>
              <w:pStyle w:val="ARtabletextright"/>
              <w:rPr>
                <w:rFonts w:eastAsia="Times"/>
              </w:rPr>
            </w:pPr>
            <w:r w:rsidRPr="00F45F11">
              <w:rPr>
                <w:rFonts w:eastAsia="Times"/>
              </w:rPr>
              <w:t>1,300</w:t>
            </w:r>
          </w:p>
        </w:tc>
        <w:tc>
          <w:tcPr>
            <w:tcW w:w="521" w:type="pct"/>
          </w:tcPr>
          <w:p w14:paraId="45097908" w14:textId="77777777" w:rsidR="00602F54" w:rsidRPr="00067149" w:rsidRDefault="00602F54" w:rsidP="009817E6">
            <w:pPr>
              <w:pStyle w:val="ARtabletextright"/>
              <w:rPr>
                <w:rFonts w:eastAsia="Times"/>
              </w:rPr>
            </w:pPr>
            <w:r w:rsidRPr="00067149">
              <w:rPr>
                <w:rFonts w:eastAsia="Times"/>
              </w:rPr>
              <w:t>1,484</w:t>
            </w:r>
          </w:p>
        </w:tc>
        <w:tc>
          <w:tcPr>
            <w:tcW w:w="564" w:type="pct"/>
          </w:tcPr>
          <w:p w14:paraId="17750A11" w14:textId="77777777" w:rsidR="00602F54" w:rsidRPr="00067149" w:rsidRDefault="00602F54" w:rsidP="009817E6">
            <w:pPr>
              <w:pStyle w:val="ARtabletextright"/>
              <w:rPr>
                <w:rFonts w:eastAsia="Times"/>
              </w:rPr>
            </w:pPr>
            <w:r w:rsidRPr="00067149">
              <w:rPr>
                <w:rFonts w:eastAsia="Times"/>
              </w:rPr>
              <w:t>14.2</w:t>
            </w:r>
            <w:r w:rsidRPr="00067149" w:rsidDel="009C0B55">
              <w:rPr>
                <w:rFonts w:eastAsia="Times"/>
              </w:rPr>
              <w:t xml:space="preserve"> </w:t>
            </w:r>
            <w:r w:rsidRPr="00067149">
              <w:rPr>
                <w:rFonts w:eastAsia="Times"/>
              </w:rPr>
              <w:t>%</w:t>
            </w:r>
          </w:p>
        </w:tc>
        <w:tc>
          <w:tcPr>
            <w:tcW w:w="440" w:type="pct"/>
          </w:tcPr>
          <w:p w14:paraId="000FDFB5" w14:textId="77777777" w:rsidR="00602F54" w:rsidRPr="00067149" w:rsidRDefault="00602F54" w:rsidP="009817E6">
            <w:pPr>
              <w:pStyle w:val="ARtableperformancesymbol"/>
              <w:rPr>
                <w:rFonts w:eastAsia="Times"/>
              </w:rPr>
            </w:pPr>
            <w:r w:rsidRPr="00067149">
              <w:rPr>
                <w:rFonts w:eastAsia="Times"/>
              </w:rPr>
              <w:t></w:t>
            </w:r>
          </w:p>
        </w:tc>
      </w:tr>
      <w:tr w:rsidR="00DC4049" w:rsidRPr="00F45F11" w14:paraId="1EC126B6" w14:textId="77777777" w:rsidTr="004E5FC5">
        <w:tc>
          <w:tcPr>
            <w:tcW w:w="2427" w:type="pct"/>
          </w:tcPr>
          <w:p w14:paraId="56A7A1CC" w14:textId="0CDE214A" w:rsidR="00DC4049" w:rsidRPr="00F45F11" w:rsidRDefault="007172BE" w:rsidP="007172BE">
            <w:pPr>
              <w:pStyle w:val="ARtablegreybold"/>
              <w:rPr>
                <w:rFonts w:eastAsia="Times"/>
              </w:rPr>
            </w:pPr>
            <w:r w:rsidRPr="00F45F11">
              <w:t>Quality</w:t>
            </w:r>
          </w:p>
        </w:tc>
        <w:tc>
          <w:tcPr>
            <w:tcW w:w="515" w:type="pct"/>
          </w:tcPr>
          <w:p w14:paraId="77F6EBF1" w14:textId="77777777" w:rsidR="00DC4049" w:rsidRPr="00F45F11" w:rsidRDefault="00DC4049" w:rsidP="009817E6">
            <w:pPr>
              <w:pStyle w:val="ARTabletext"/>
              <w:rPr>
                <w:rFonts w:eastAsia="Times"/>
              </w:rPr>
            </w:pPr>
          </w:p>
        </w:tc>
        <w:tc>
          <w:tcPr>
            <w:tcW w:w="533" w:type="pct"/>
          </w:tcPr>
          <w:p w14:paraId="56C67EC6" w14:textId="77777777" w:rsidR="00DC4049" w:rsidRPr="00F45F11" w:rsidRDefault="00DC4049" w:rsidP="009817E6">
            <w:pPr>
              <w:pStyle w:val="ARtabletextright"/>
              <w:rPr>
                <w:rFonts w:eastAsia="Times"/>
              </w:rPr>
            </w:pPr>
          </w:p>
        </w:tc>
        <w:tc>
          <w:tcPr>
            <w:tcW w:w="521" w:type="pct"/>
          </w:tcPr>
          <w:p w14:paraId="17FA6672" w14:textId="77777777" w:rsidR="00DC4049" w:rsidRPr="00F45F11" w:rsidRDefault="00DC4049" w:rsidP="009817E6">
            <w:pPr>
              <w:pStyle w:val="ARtabletextright"/>
              <w:rPr>
                <w:rFonts w:eastAsia="Times"/>
              </w:rPr>
            </w:pPr>
          </w:p>
        </w:tc>
        <w:tc>
          <w:tcPr>
            <w:tcW w:w="564" w:type="pct"/>
          </w:tcPr>
          <w:p w14:paraId="7C38E832" w14:textId="77777777" w:rsidR="00DC4049" w:rsidRPr="00F45F11" w:rsidRDefault="00DC4049" w:rsidP="009817E6">
            <w:pPr>
              <w:pStyle w:val="ARtabletextright"/>
              <w:rPr>
                <w:rFonts w:eastAsia="Times"/>
              </w:rPr>
            </w:pPr>
          </w:p>
        </w:tc>
        <w:tc>
          <w:tcPr>
            <w:tcW w:w="440" w:type="pct"/>
          </w:tcPr>
          <w:p w14:paraId="2E30BCA1" w14:textId="77777777" w:rsidR="00DC4049" w:rsidRPr="00F45F11" w:rsidRDefault="00DC4049" w:rsidP="009817E6">
            <w:pPr>
              <w:pStyle w:val="ARtableperformancesymbol"/>
              <w:rPr>
                <w:rFonts w:eastAsia="Times"/>
              </w:rPr>
            </w:pPr>
          </w:p>
        </w:tc>
      </w:tr>
      <w:tr w:rsidR="00602F54" w:rsidRPr="00F45F11" w14:paraId="0F8A616D" w14:textId="77777777" w:rsidTr="004E5FC5">
        <w:tc>
          <w:tcPr>
            <w:tcW w:w="2427" w:type="pct"/>
          </w:tcPr>
          <w:p w14:paraId="3FEC92A5" w14:textId="77777777" w:rsidR="00602F54" w:rsidRPr="00F45F11" w:rsidRDefault="00602F54" w:rsidP="009817E6">
            <w:pPr>
              <w:pStyle w:val="ARTabletext"/>
              <w:rPr>
                <w:rFonts w:eastAsia="Times"/>
              </w:rPr>
            </w:pPr>
            <w:r w:rsidRPr="00F45F11">
              <w:rPr>
                <w:rFonts w:eastAsia="Times"/>
              </w:rPr>
              <w:t>Gender equality grant recipients who met or exceeded contractually agreed outcomes</w:t>
            </w:r>
          </w:p>
        </w:tc>
        <w:tc>
          <w:tcPr>
            <w:tcW w:w="515" w:type="pct"/>
          </w:tcPr>
          <w:p w14:paraId="71C29DA1" w14:textId="77777777" w:rsidR="00602F54" w:rsidRPr="00F45F11" w:rsidRDefault="00602F54" w:rsidP="009817E6">
            <w:pPr>
              <w:pStyle w:val="ARTabletext"/>
              <w:rPr>
                <w:rFonts w:eastAsia="Times"/>
              </w:rPr>
            </w:pPr>
            <w:r w:rsidRPr="00F45F11">
              <w:rPr>
                <w:rFonts w:eastAsia="Times"/>
              </w:rPr>
              <w:t>per cent</w:t>
            </w:r>
          </w:p>
        </w:tc>
        <w:tc>
          <w:tcPr>
            <w:tcW w:w="533" w:type="pct"/>
          </w:tcPr>
          <w:p w14:paraId="52261396" w14:textId="77777777" w:rsidR="00602F54" w:rsidRPr="00F45F11" w:rsidRDefault="00602F54" w:rsidP="009817E6">
            <w:pPr>
              <w:pStyle w:val="ARtabletextright"/>
              <w:rPr>
                <w:rFonts w:eastAsia="Times"/>
              </w:rPr>
            </w:pPr>
            <w:r w:rsidRPr="00F45F11">
              <w:rPr>
                <w:rFonts w:eastAsia="Times"/>
              </w:rPr>
              <w:t>100</w:t>
            </w:r>
          </w:p>
        </w:tc>
        <w:tc>
          <w:tcPr>
            <w:tcW w:w="521" w:type="pct"/>
          </w:tcPr>
          <w:p w14:paraId="19CA4320" w14:textId="77777777" w:rsidR="00602F54" w:rsidRPr="00F45F11" w:rsidRDefault="00602F54" w:rsidP="009817E6">
            <w:pPr>
              <w:pStyle w:val="ARtabletextright"/>
              <w:rPr>
                <w:rFonts w:eastAsia="Times"/>
              </w:rPr>
            </w:pPr>
            <w:r w:rsidRPr="00F45F11">
              <w:rPr>
                <w:rFonts w:eastAsia="Times"/>
              </w:rPr>
              <w:t>100</w:t>
            </w:r>
          </w:p>
        </w:tc>
        <w:tc>
          <w:tcPr>
            <w:tcW w:w="564" w:type="pct"/>
          </w:tcPr>
          <w:p w14:paraId="7F7DF019" w14:textId="77777777" w:rsidR="00602F54" w:rsidRPr="00F45F11" w:rsidRDefault="00602F54" w:rsidP="009817E6">
            <w:pPr>
              <w:pStyle w:val="ARtabletextright"/>
              <w:rPr>
                <w:rFonts w:eastAsia="Times"/>
              </w:rPr>
            </w:pPr>
            <w:r w:rsidRPr="00F45F11">
              <w:rPr>
                <w:rFonts w:eastAsia="Times"/>
              </w:rPr>
              <w:t>0%</w:t>
            </w:r>
          </w:p>
        </w:tc>
        <w:tc>
          <w:tcPr>
            <w:tcW w:w="440" w:type="pct"/>
          </w:tcPr>
          <w:p w14:paraId="1D70E83E" w14:textId="77777777" w:rsidR="00602F54" w:rsidRPr="00F45F11" w:rsidRDefault="00602F54" w:rsidP="009817E6">
            <w:pPr>
              <w:pStyle w:val="ARtableperformancesymbol"/>
              <w:rPr>
                <w:rFonts w:eastAsia="Times"/>
              </w:rPr>
            </w:pPr>
            <w:r w:rsidRPr="00F45F11">
              <w:rPr>
                <w:rFonts w:eastAsia="Times"/>
              </w:rPr>
              <w:t></w:t>
            </w:r>
          </w:p>
        </w:tc>
      </w:tr>
      <w:tr w:rsidR="007172BE" w:rsidRPr="00F45F11" w14:paraId="79B938B1" w14:textId="77777777" w:rsidTr="004E5FC5">
        <w:tc>
          <w:tcPr>
            <w:tcW w:w="2427" w:type="pct"/>
          </w:tcPr>
          <w:p w14:paraId="567CB059" w14:textId="3AD52A96" w:rsidR="007172BE" w:rsidRPr="00F45F11" w:rsidRDefault="007172BE" w:rsidP="008272C6">
            <w:pPr>
              <w:pStyle w:val="ARtablegreybold"/>
              <w:keepNext/>
              <w:rPr>
                <w:rFonts w:eastAsia="Times"/>
              </w:rPr>
            </w:pPr>
            <w:r w:rsidRPr="00F45F11">
              <w:t>Timeliness</w:t>
            </w:r>
          </w:p>
        </w:tc>
        <w:tc>
          <w:tcPr>
            <w:tcW w:w="515" w:type="pct"/>
          </w:tcPr>
          <w:p w14:paraId="0886336E" w14:textId="77777777" w:rsidR="007172BE" w:rsidRPr="00F45F11" w:rsidRDefault="007172BE" w:rsidP="009817E6">
            <w:pPr>
              <w:pStyle w:val="ARTabletext"/>
              <w:rPr>
                <w:rFonts w:eastAsia="Times"/>
              </w:rPr>
            </w:pPr>
          </w:p>
        </w:tc>
        <w:tc>
          <w:tcPr>
            <w:tcW w:w="533" w:type="pct"/>
          </w:tcPr>
          <w:p w14:paraId="1F6FC86C" w14:textId="77777777" w:rsidR="007172BE" w:rsidRPr="00F45F11" w:rsidRDefault="007172BE" w:rsidP="009817E6">
            <w:pPr>
              <w:pStyle w:val="ARtabletextright"/>
              <w:rPr>
                <w:rFonts w:eastAsia="Times"/>
              </w:rPr>
            </w:pPr>
          </w:p>
        </w:tc>
        <w:tc>
          <w:tcPr>
            <w:tcW w:w="521" w:type="pct"/>
          </w:tcPr>
          <w:p w14:paraId="1E689953" w14:textId="77777777" w:rsidR="007172BE" w:rsidRPr="00F45F11" w:rsidRDefault="007172BE" w:rsidP="009817E6">
            <w:pPr>
              <w:pStyle w:val="ARtabletextright"/>
              <w:rPr>
                <w:rFonts w:eastAsia="Times"/>
              </w:rPr>
            </w:pPr>
          </w:p>
        </w:tc>
        <w:tc>
          <w:tcPr>
            <w:tcW w:w="564" w:type="pct"/>
          </w:tcPr>
          <w:p w14:paraId="2DCEC092" w14:textId="77777777" w:rsidR="007172BE" w:rsidRPr="00F45F11" w:rsidRDefault="007172BE" w:rsidP="009817E6">
            <w:pPr>
              <w:pStyle w:val="ARtabletextright"/>
              <w:rPr>
                <w:rFonts w:eastAsia="Times"/>
              </w:rPr>
            </w:pPr>
          </w:p>
        </w:tc>
        <w:tc>
          <w:tcPr>
            <w:tcW w:w="440" w:type="pct"/>
          </w:tcPr>
          <w:p w14:paraId="6FBE7C73" w14:textId="77777777" w:rsidR="007172BE" w:rsidRPr="00F45F11" w:rsidRDefault="007172BE" w:rsidP="009817E6">
            <w:pPr>
              <w:pStyle w:val="ARtableperformancesymbol"/>
              <w:rPr>
                <w:rFonts w:eastAsia="Times"/>
              </w:rPr>
            </w:pPr>
          </w:p>
        </w:tc>
      </w:tr>
      <w:tr w:rsidR="00602F54" w:rsidRPr="00F45F11" w14:paraId="17531EF6" w14:textId="77777777" w:rsidTr="004E5FC5">
        <w:tc>
          <w:tcPr>
            <w:tcW w:w="2427" w:type="pct"/>
          </w:tcPr>
          <w:p w14:paraId="13AB43D1" w14:textId="77777777" w:rsidR="00602F54" w:rsidRPr="00F45F11" w:rsidRDefault="00602F54" w:rsidP="009817E6">
            <w:pPr>
              <w:pStyle w:val="ARTabletext"/>
              <w:rPr>
                <w:rFonts w:eastAsia="Times"/>
              </w:rPr>
            </w:pPr>
            <w:r w:rsidRPr="00F45F11">
              <w:rPr>
                <w:rFonts w:eastAsia="Times"/>
              </w:rPr>
              <w:t>Tools, resources and guidelines to support the </w:t>
            </w:r>
            <w:r w:rsidRPr="00A124D1">
              <w:rPr>
                <w:rStyle w:val="Emphasis"/>
              </w:rPr>
              <w:t>Gender Equality Act 2020</w:t>
            </w:r>
            <w:r w:rsidRPr="00F45F11">
              <w:rPr>
                <w:rFonts w:eastAsia="Times"/>
              </w:rPr>
              <w:t> implementation are completed within agreed timeframes</w:t>
            </w:r>
          </w:p>
        </w:tc>
        <w:tc>
          <w:tcPr>
            <w:tcW w:w="515" w:type="pct"/>
          </w:tcPr>
          <w:p w14:paraId="2C555DC1" w14:textId="77777777" w:rsidR="00602F54" w:rsidRPr="00F45F11" w:rsidRDefault="00602F54" w:rsidP="009817E6">
            <w:pPr>
              <w:pStyle w:val="ARTabletext"/>
              <w:rPr>
                <w:rFonts w:eastAsia="Times"/>
              </w:rPr>
            </w:pPr>
            <w:r w:rsidRPr="00F45F11">
              <w:rPr>
                <w:rFonts w:eastAsia="Times"/>
              </w:rPr>
              <w:t>per cent</w:t>
            </w:r>
          </w:p>
        </w:tc>
        <w:tc>
          <w:tcPr>
            <w:tcW w:w="533" w:type="pct"/>
          </w:tcPr>
          <w:p w14:paraId="61FA81C3" w14:textId="77777777" w:rsidR="00602F54" w:rsidRPr="00F45F11" w:rsidRDefault="00602F54" w:rsidP="009817E6">
            <w:pPr>
              <w:pStyle w:val="ARtabletextright"/>
              <w:rPr>
                <w:rFonts w:eastAsia="Times"/>
              </w:rPr>
            </w:pPr>
            <w:r w:rsidRPr="00F45F11">
              <w:rPr>
                <w:rFonts w:eastAsia="Times"/>
              </w:rPr>
              <w:t>100</w:t>
            </w:r>
          </w:p>
        </w:tc>
        <w:tc>
          <w:tcPr>
            <w:tcW w:w="521" w:type="pct"/>
          </w:tcPr>
          <w:p w14:paraId="62510F12" w14:textId="77777777" w:rsidR="00602F54" w:rsidRPr="00F45F11" w:rsidRDefault="00602F54" w:rsidP="009817E6">
            <w:pPr>
              <w:pStyle w:val="ARtabletextright"/>
              <w:rPr>
                <w:rFonts w:eastAsia="Times"/>
              </w:rPr>
            </w:pPr>
            <w:r w:rsidRPr="00F45F11">
              <w:rPr>
                <w:rFonts w:eastAsia="Times"/>
              </w:rPr>
              <w:t>100</w:t>
            </w:r>
          </w:p>
        </w:tc>
        <w:tc>
          <w:tcPr>
            <w:tcW w:w="564" w:type="pct"/>
          </w:tcPr>
          <w:p w14:paraId="5ABC21B2" w14:textId="77777777" w:rsidR="00602F54" w:rsidRPr="00F45F11" w:rsidRDefault="00602F54" w:rsidP="009817E6">
            <w:pPr>
              <w:pStyle w:val="ARtabletextright"/>
              <w:rPr>
                <w:rFonts w:eastAsia="Times"/>
              </w:rPr>
            </w:pPr>
            <w:r w:rsidRPr="00F45F11">
              <w:rPr>
                <w:rFonts w:eastAsia="Times"/>
              </w:rPr>
              <w:t>0%</w:t>
            </w:r>
          </w:p>
        </w:tc>
        <w:tc>
          <w:tcPr>
            <w:tcW w:w="440" w:type="pct"/>
          </w:tcPr>
          <w:p w14:paraId="7E6582AD" w14:textId="77777777" w:rsidR="00602F54" w:rsidRPr="00F45F11" w:rsidRDefault="00602F54" w:rsidP="009817E6">
            <w:pPr>
              <w:pStyle w:val="ARtableperformancesymbol"/>
              <w:rPr>
                <w:rFonts w:eastAsia="Times"/>
              </w:rPr>
            </w:pPr>
            <w:r w:rsidRPr="00F45F11">
              <w:rPr>
                <w:rFonts w:eastAsia="Times"/>
              </w:rPr>
              <w:t></w:t>
            </w:r>
          </w:p>
        </w:tc>
      </w:tr>
      <w:tr w:rsidR="00602F54" w:rsidRPr="00F45F11" w14:paraId="660BBF8A" w14:textId="77777777" w:rsidTr="004E5FC5">
        <w:tc>
          <w:tcPr>
            <w:tcW w:w="2427" w:type="pct"/>
          </w:tcPr>
          <w:p w14:paraId="6AD77D6F" w14:textId="77777777" w:rsidR="00602F54" w:rsidRPr="00F45F11" w:rsidRDefault="00602F54" w:rsidP="009817E6">
            <w:pPr>
              <w:pStyle w:val="ARTabletext"/>
              <w:rPr>
                <w:rFonts w:eastAsia="Times"/>
              </w:rPr>
            </w:pPr>
            <w:r w:rsidRPr="00F45F11">
              <w:rPr>
                <w:rFonts w:eastAsia="Times"/>
              </w:rPr>
              <w:t>Women’s portfolio projects and programs delivered on time</w:t>
            </w:r>
          </w:p>
        </w:tc>
        <w:tc>
          <w:tcPr>
            <w:tcW w:w="515" w:type="pct"/>
          </w:tcPr>
          <w:p w14:paraId="67F402C2" w14:textId="77777777" w:rsidR="00602F54" w:rsidRPr="00F45F11" w:rsidRDefault="00602F54" w:rsidP="009817E6">
            <w:pPr>
              <w:pStyle w:val="ARTabletext"/>
              <w:rPr>
                <w:rFonts w:eastAsia="Times"/>
              </w:rPr>
            </w:pPr>
            <w:r w:rsidRPr="00F45F11">
              <w:rPr>
                <w:rFonts w:eastAsia="Times"/>
              </w:rPr>
              <w:t>per cent</w:t>
            </w:r>
          </w:p>
        </w:tc>
        <w:tc>
          <w:tcPr>
            <w:tcW w:w="533" w:type="pct"/>
          </w:tcPr>
          <w:p w14:paraId="171ABB00" w14:textId="77777777" w:rsidR="00602F54" w:rsidRPr="00F45F11" w:rsidRDefault="00602F54" w:rsidP="009817E6">
            <w:pPr>
              <w:pStyle w:val="ARtabletextright"/>
              <w:rPr>
                <w:rFonts w:eastAsia="Times"/>
              </w:rPr>
            </w:pPr>
            <w:r w:rsidRPr="00F45F11">
              <w:rPr>
                <w:rFonts w:eastAsia="Times"/>
              </w:rPr>
              <w:t>100</w:t>
            </w:r>
          </w:p>
        </w:tc>
        <w:tc>
          <w:tcPr>
            <w:tcW w:w="521" w:type="pct"/>
          </w:tcPr>
          <w:p w14:paraId="77849F67" w14:textId="77777777" w:rsidR="00602F54" w:rsidRPr="00F45F11" w:rsidRDefault="00602F54" w:rsidP="009817E6">
            <w:pPr>
              <w:pStyle w:val="ARtabletextright"/>
              <w:rPr>
                <w:rFonts w:eastAsia="Times"/>
              </w:rPr>
            </w:pPr>
            <w:r w:rsidRPr="00F45F11">
              <w:rPr>
                <w:rFonts w:eastAsia="Times"/>
              </w:rPr>
              <w:t>100</w:t>
            </w:r>
          </w:p>
        </w:tc>
        <w:tc>
          <w:tcPr>
            <w:tcW w:w="564" w:type="pct"/>
          </w:tcPr>
          <w:p w14:paraId="35E4194C" w14:textId="77777777" w:rsidR="00602F54" w:rsidRPr="00F45F11" w:rsidRDefault="00602F54" w:rsidP="009817E6">
            <w:pPr>
              <w:pStyle w:val="ARtabletextright"/>
              <w:rPr>
                <w:rFonts w:eastAsia="Times"/>
              </w:rPr>
            </w:pPr>
            <w:r w:rsidRPr="00F45F11">
              <w:rPr>
                <w:rFonts w:eastAsia="Times"/>
              </w:rPr>
              <w:t>0%</w:t>
            </w:r>
          </w:p>
        </w:tc>
        <w:tc>
          <w:tcPr>
            <w:tcW w:w="440" w:type="pct"/>
          </w:tcPr>
          <w:p w14:paraId="0AAB3B39" w14:textId="77777777" w:rsidR="00602F54" w:rsidRPr="00F45F11" w:rsidRDefault="00602F54" w:rsidP="009817E6">
            <w:pPr>
              <w:pStyle w:val="ARtableperformancesymbol"/>
              <w:rPr>
                <w:rFonts w:eastAsia="Times"/>
              </w:rPr>
            </w:pPr>
            <w:r w:rsidRPr="00F45F11">
              <w:rPr>
                <w:rFonts w:eastAsia="Times"/>
              </w:rPr>
              <w:t></w:t>
            </w:r>
          </w:p>
        </w:tc>
      </w:tr>
      <w:tr w:rsidR="00DC4049" w:rsidRPr="00F45F11" w14:paraId="6D82CC5E" w14:textId="77777777" w:rsidTr="004E5FC5">
        <w:tc>
          <w:tcPr>
            <w:tcW w:w="2427" w:type="pct"/>
          </w:tcPr>
          <w:p w14:paraId="649299C8" w14:textId="1B4316A0" w:rsidR="00DC4049" w:rsidRPr="00F45F11" w:rsidRDefault="007172BE" w:rsidP="007172BE">
            <w:pPr>
              <w:pStyle w:val="ARtablegreybold"/>
              <w:rPr>
                <w:rFonts w:eastAsia="Times"/>
              </w:rPr>
            </w:pPr>
            <w:r w:rsidRPr="00F45F11">
              <w:t>Cost</w:t>
            </w:r>
          </w:p>
        </w:tc>
        <w:tc>
          <w:tcPr>
            <w:tcW w:w="515" w:type="pct"/>
          </w:tcPr>
          <w:p w14:paraId="67226ADD" w14:textId="77777777" w:rsidR="00DC4049" w:rsidRPr="00F45F11" w:rsidRDefault="00DC4049" w:rsidP="009817E6">
            <w:pPr>
              <w:pStyle w:val="ARtabletextbold"/>
              <w:rPr>
                <w:rFonts w:eastAsia="Times"/>
              </w:rPr>
            </w:pPr>
          </w:p>
        </w:tc>
        <w:tc>
          <w:tcPr>
            <w:tcW w:w="533" w:type="pct"/>
          </w:tcPr>
          <w:p w14:paraId="2E6A9EFE" w14:textId="77777777" w:rsidR="00DC4049" w:rsidRPr="00F45F11" w:rsidRDefault="00DC4049" w:rsidP="009817E6">
            <w:pPr>
              <w:pStyle w:val="ARtabletextrightbold"/>
              <w:rPr>
                <w:rFonts w:eastAsia="Times"/>
              </w:rPr>
            </w:pPr>
          </w:p>
        </w:tc>
        <w:tc>
          <w:tcPr>
            <w:tcW w:w="521" w:type="pct"/>
          </w:tcPr>
          <w:p w14:paraId="4B622FAB" w14:textId="77777777" w:rsidR="00DC4049" w:rsidRPr="00F45F11" w:rsidRDefault="00DC4049" w:rsidP="009817E6">
            <w:pPr>
              <w:pStyle w:val="ARtabletextrightbold"/>
              <w:rPr>
                <w:rFonts w:eastAsia="Times"/>
              </w:rPr>
            </w:pPr>
          </w:p>
        </w:tc>
        <w:tc>
          <w:tcPr>
            <w:tcW w:w="564" w:type="pct"/>
          </w:tcPr>
          <w:p w14:paraId="10CB9235" w14:textId="77777777" w:rsidR="00DC4049" w:rsidRPr="00F45F11" w:rsidRDefault="00DC4049" w:rsidP="009817E6">
            <w:pPr>
              <w:pStyle w:val="ARtabletextrightbold"/>
              <w:rPr>
                <w:rFonts w:eastAsia="Times"/>
                <w:bCs/>
              </w:rPr>
            </w:pPr>
          </w:p>
        </w:tc>
        <w:tc>
          <w:tcPr>
            <w:tcW w:w="440" w:type="pct"/>
          </w:tcPr>
          <w:p w14:paraId="6CB4C1FC" w14:textId="77777777" w:rsidR="00DC4049" w:rsidRPr="00F45F11" w:rsidRDefault="00DC4049" w:rsidP="009817E6">
            <w:pPr>
              <w:pStyle w:val="ARtableperformancesymbol"/>
              <w:rPr>
                <w:rFonts w:eastAsia="Times"/>
              </w:rPr>
            </w:pPr>
          </w:p>
        </w:tc>
      </w:tr>
      <w:tr w:rsidR="00602F54" w:rsidRPr="00F45F11" w14:paraId="05662D55" w14:textId="77777777" w:rsidTr="004E5FC5">
        <w:trPr>
          <w:cnfStyle w:val="010000000000" w:firstRow="0" w:lastRow="1" w:firstColumn="0" w:lastColumn="0" w:oddVBand="0" w:evenVBand="0" w:oddHBand="0" w:evenHBand="0" w:firstRowFirstColumn="0" w:firstRowLastColumn="0" w:lastRowFirstColumn="0" w:lastRowLastColumn="0"/>
        </w:trPr>
        <w:tc>
          <w:tcPr>
            <w:tcW w:w="2427" w:type="pct"/>
          </w:tcPr>
          <w:p w14:paraId="5ED14CAC" w14:textId="77777777" w:rsidR="00602F54" w:rsidRDefault="00602F54" w:rsidP="009913ED">
            <w:pPr>
              <w:pStyle w:val="ARtabletextbold"/>
              <w:keepNext/>
              <w:keepLines/>
              <w:rPr>
                <w:rFonts w:eastAsia="Times"/>
              </w:rPr>
            </w:pPr>
            <w:r w:rsidRPr="00F45F11">
              <w:rPr>
                <w:rFonts w:eastAsia="Times"/>
              </w:rPr>
              <w:t>Total output cost</w:t>
            </w:r>
          </w:p>
          <w:p w14:paraId="3D8DC944" w14:textId="11630D0F" w:rsidR="007172BE" w:rsidRPr="00F45F11" w:rsidRDefault="007172BE" w:rsidP="007172BE">
            <w:pPr>
              <w:pStyle w:val="ARtablenoteindent"/>
            </w:pPr>
            <w:r w:rsidRPr="00F45F11">
              <w:t xml:space="preserve">The higher actual reflects additional funding for </w:t>
            </w:r>
            <w:r>
              <w:br/>
            </w:r>
            <w:r w:rsidRPr="00F45F11">
              <w:t>government initiatives.</w:t>
            </w:r>
          </w:p>
        </w:tc>
        <w:tc>
          <w:tcPr>
            <w:tcW w:w="515" w:type="pct"/>
          </w:tcPr>
          <w:p w14:paraId="036EFD6A" w14:textId="77777777" w:rsidR="00602F54" w:rsidRPr="00F45F11" w:rsidRDefault="00602F54" w:rsidP="009817E6">
            <w:pPr>
              <w:pStyle w:val="ARtabletextbold"/>
              <w:rPr>
                <w:rFonts w:eastAsia="Times"/>
              </w:rPr>
            </w:pPr>
            <w:r w:rsidRPr="00F45F11">
              <w:rPr>
                <w:rFonts w:eastAsia="Times"/>
              </w:rPr>
              <w:t>$ million</w:t>
            </w:r>
          </w:p>
        </w:tc>
        <w:tc>
          <w:tcPr>
            <w:tcW w:w="533" w:type="pct"/>
          </w:tcPr>
          <w:p w14:paraId="53FC7877" w14:textId="77777777" w:rsidR="00602F54" w:rsidRPr="00F45F11" w:rsidRDefault="00602F54" w:rsidP="009817E6">
            <w:pPr>
              <w:pStyle w:val="ARtabletextrightbold"/>
              <w:rPr>
                <w:rFonts w:eastAsia="Times"/>
              </w:rPr>
            </w:pPr>
            <w:r w:rsidRPr="00F45F11">
              <w:rPr>
                <w:rFonts w:eastAsia="Times"/>
              </w:rPr>
              <w:t>15.9</w:t>
            </w:r>
          </w:p>
        </w:tc>
        <w:tc>
          <w:tcPr>
            <w:tcW w:w="521" w:type="pct"/>
          </w:tcPr>
          <w:p w14:paraId="17A64679" w14:textId="77777777" w:rsidR="00602F54" w:rsidRPr="00F45F11" w:rsidRDefault="00602F54" w:rsidP="009817E6">
            <w:pPr>
              <w:pStyle w:val="ARtabletextrightbold"/>
              <w:rPr>
                <w:rFonts w:eastAsia="Times"/>
              </w:rPr>
            </w:pPr>
            <w:r w:rsidRPr="00F45F11">
              <w:rPr>
                <w:rFonts w:eastAsia="Times"/>
              </w:rPr>
              <w:t>16.8</w:t>
            </w:r>
          </w:p>
        </w:tc>
        <w:tc>
          <w:tcPr>
            <w:tcW w:w="564" w:type="pct"/>
          </w:tcPr>
          <w:p w14:paraId="60EA503E" w14:textId="77777777" w:rsidR="00602F54" w:rsidRPr="00F45F11" w:rsidRDefault="00602F54" w:rsidP="009817E6">
            <w:pPr>
              <w:pStyle w:val="ARtabletextrightbold"/>
              <w:rPr>
                <w:rFonts w:eastAsia="Times"/>
              </w:rPr>
            </w:pPr>
            <w:r w:rsidRPr="00F45F11">
              <w:rPr>
                <w:rFonts w:eastAsia="Times"/>
                <w:bCs/>
              </w:rPr>
              <w:t>5.4</w:t>
            </w:r>
            <w:r w:rsidRPr="00F45F11">
              <w:rPr>
                <w:rFonts w:eastAsia="Times"/>
              </w:rPr>
              <w:t>%</w:t>
            </w:r>
          </w:p>
        </w:tc>
        <w:tc>
          <w:tcPr>
            <w:tcW w:w="440" w:type="pct"/>
          </w:tcPr>
          <w:p w14:paraId="181554E2" w14:textId="77777777" w:rsidR="00602F54" w:rsidRPr="00F45F11" w:rsidRDefault="00602F54" w:rsidP="009817E6">
            <w:pPr>
              <w:pStyle w:val="ARtableperformancesymbol"/>
              <w:rPr>
                <w:rFonts w:eastAsia="Times"/>
              </w:rPr>
            </w:pPr>
            <w:r w:rsidRPr="00F45F11">
              <w:rPr>
                <w:rFonts w:eastAsia="Times"/>
              </w:rPr>
              <w:t></w:t>
            </w:r>
          </w:p>
        </w:tc>
      </w:tr>
    </w:tbl>
    <w:p w14:paraId="008297C6" w14:textId="1FF8B777" w:rsidR="00602F54" w:rsidRPr="00F45F11" w:rsidRDefault="00602F54" w:rsidP="00602F54">
      <w:pPr>
        <w:pStyle w:val="Heading3"/>
      </w:pPr>
      <w:r w:rsidRPr="00F45F11">
        <w:t>Youth</w:t>
      </w:r>
    </w:p>
    <w:p w14:paraId="2D052893" w14:textId="4DF767AB" w:rsidR="00602F54" w:rsidRPr="00F45F11" w:rsidRDefault="00602F54" w:rsidP="00602F54">
      <w:pPr>
        <w:pStyle w:val="ARbodybeforetable"/>
      </w:pPr>
      <w:r w:rsidRPr="00F45F11">
        <w:t>This output leads and coordinates whole-of-government policy advice and delivers initiatives for young people aged between 12 and 25 years to gain skills and experiences and to actively participate in their local</w:t>
      </w:r>
      <w:r w:rsidR="0048706E">
        <w:t> </w:t>
      </w:r>
      <w:r w:rsidRPr="00F45F11">
        <w:t>communities.</w:t>
      </w:r>
    </w:p>
    <w:tbl>
      <w:tblPr>
        <w:tblStyle w:val="ARtable1"/>
        <w:tblW w:w="5000" w:type="pct"/>
        <w:tblLayout w:type="fixed"/>
        <w:tblLook w:val="06E0" w:firstRow="1" w:lastRow="1" w:firstColumn="1" w:lastColumn="0" w:noHBand="1" w:noVBand="1"/>
      </w:tblPr>
      <w:tblGrid>
        <w:gridCol w:w="4741"/>
        <w:gridCol w:w="1019"/>
        <w:gridCol w:w="1021"/>
        <w:gridCol w:w="1022"/>
        <w:gridCol w:w="1026"/>
        <w:gridCol w:w="799"/>
      </w:tblGrid>
      <w:tr w:rsidR="00602F54" w:rsidRPr="00F45F11" w14:paraId="2872D610" w14:textId="77777777" w:rsidTr="004D01FA">
        <w:trPr>
          <w:cnfStyle w:val="100000000000" w:firstRow="1" w:lastRow="0" w:firstColumn="0" w:lastColumn="0" w:oddVBand="0" w:evenVBand="0" w:oddHBand="0" w:evenHBand="0" w:firstRowFirstColumn="0" w:firstRowLastColumn="0" w:lastRowFirstColumn="0" w:lastRowLastColumn="0"/>
          <w:tblHeader/>
        </w:trPr>
        <w:tc>
          <w:tcPr>
            <w:tcW w:w="2462" w:type="pct"/>
            <w:hideMark/>
          </w:tcPr>
          <w:p w14:paraId="39F2583C" w14:textId="77777777" w:rsidR="00602F54" w:rsidRPr="00F45F11" w:rsidRDefault="00602F54" w:rsidP="009817E6">
            <w:pPr>
              <w:pStyle w:val="ARtablecolhead"/>
              <w:rPr>
                <w:rFonts w:eastAsia="Times"/>
              </w:rPr>
            </w:pPr>
            <w:r w:rsidRPr="00F45F11">
              <w:rPr>
                <w:rFonts w:eastAsia="Times"/>
              </w:rPr>
              <w:t>Performance measures</w:t>
            </w:r>
          </w:p>
        </w:tc>
        <w:tc>
          <w:tcPr>
            <w:tcW w:w="529" w:type="pct"/>
            <w:hideMark/>
          </w:tcPr>
          <w:p w14:paraId="212FCA0E" w14:textId="77777777" w:rsidR="00602F54" w:rsidRPr="00F45F11" w:rsidRDefault="00602F54" w:rsidP="009817E6">
            <w:pPr>
              <w:pStyle w:val="ARtablecolhead"/>
              <w:rPr>
                <w:rFonts w:eastAsia="Times"/>
              </w:rPr>
            </w:pPr>
            <w:r w:rsidRPr="00F45F11">
              <w:rPr>
                <w:rFonts w:eastAsia="Times"/>
              </w:rPr>
              <w:t>Unit of measure</w:t>
            </w:r>
          </w:p>
        </w:tc>
        <w:tc>
          <w:tcPr>
            <w:tcW w:w="530" w:type="pct"/>
            <w:hideMark/>
          </w:tcPr>
          <w:p w14:paraId="41674B8F" w14:textId="77777777" w:rsidR="00602F54" w:rsidRPr="00F45F11" w:rsidRDefault="00602F54" w:rsidP="009817E6">
            <w:pPr>
              <w:pStyle w:val="ARtablecolheadright"/>
              <w:rPr>
                <w:rFonts w:eastAsia="Times"/>
              </w:rPr>
            </w:pPr>
            <w:r w:rsidRPr="00F45F11">
              <w:rPr>
                <w:rFonts w:eastAsia="Times"/>
              </w:rPr>
              <w:t>2025–26 target</w:t>
            </w:r>
          </w:p>
        </w:tc>
        <w:tc>
          <w:tcPr>
            <w:tcW w:w="531" w:type="pct"/>
            <w:hideMark/>
          </w:tcPr>
          <w:p w14:paraId="32CA89F0" w14:textId="77777777" w:rsidR="00602F54" w:rsidRPr="00F45F11" w:rsidRDefault="00602F54" w:rsidP="009817E6">
            <w:pPr>
              <w:pStyle w:val="ARtablecolheadright"/>
              <w:rPr>
                <w:rFonts w:eastAsia="Times"/>
              </w:rPr>
            </w:pPr>
            <w:r w:rsidRPr="00F45F11">
              <w:rPr>
                <w:rFonts w:eastAsia="Times"/>
              </w:rPr>
              <w:t>2025–26 actual</w:t>
            </w:r>
          </w:p>
        </w:tc>
        <w:tc>
          <w:tcPr>
            <w:tcW w:w="533" w:type="pct"/>
            <w:hideMark/>
          </w:tcPr>
          <w:p w14:paraId="1F1A7FA0" w14:textId="77777777" w:rsidR="00602F54" w:rsidRPr="00F45F11" w:rsidRDefault="00602F54" w:rsidP="009817E6">
            <w:pPr>
              <w:pStyle w:val="ARtablecolheadright"/>
              <w:rPr>
                <w:rFonts w:eastAsia="Times"/>
              </w:rPr>
            </w:pPr>
            <w:r w:rsidRPr="00F45F11">
              <w:rPr>
                <w:rFonts w:eastAsia="Times"/>
              </w:rPr>
              <w:t xml:space="preserve">Variation </w:t>
            </w:r>
          </w:p>
        </w:tc>
        <w:tc>
          <w:tcPr>
            <w:tcW w:w="415" w:type="pct"/>
            <w:hideMark/>
          </w:tcPr>
          <w:p w14:paraId="569EE2E2" w14:textId="77777777" w:rsidR="00602F54" w:rsidRPr="00F45F11" w:rsidRDefault="00602F54" w:rsidP="009817E6">
            <w:pPr>
              <w:pStyle w:val="ARtablecolheadright"/>
              <w:rPr>
                <w:rFonts w:eastAsia="Times"/>
              </w:rPr>
            </w:pPr>
            <w:r w:rsidRPr="00F45F11">
              <w:rPr>
                <w:rFonts w:eastAsia="Times"/>
              </w:rPr>
              <w:t>Result</w:t>
            </w:r>
          </w:p>
        </w:tc>
      </w:tr>
      <w:tr w:rsidR="00DC4049" w:rsidRPr="00F45F11" w14:paraId="6E4F36DB" w14:textId="77777777" w:rsidTr="004D01FA">
        <w:tc>
          <w:tcPr>
            <w:tcW w:w="2462" w:type="pct"/>
          </w:tcPr>
          <w:p w14:paraId="48087D58" w14:textId="27ED86DD" w:rsidR="00DC4049" w:rsidRPr="00F45F11" w:rsidRDefault="007172BE" w:rsidP="007172BE">
            <w:pPr>
              <w:pStyle w:val="ARtablegreybold"/>
              <w:rPr>
                <w:rFonts w:eastAsia="Times"/>
              </w:rPr>
            </w:pPr>
            <w:r w:rsidRPr="00F45F11">
              <w:t>Quantity</w:t>
            </w:r>
          </w:p>
        </w:tc>
        <w:tc>
          <w:tcPr>
            <w:tcW w:w="529" w:type="pct"/>
          </w:tcPr>
          <w:p w14:paraId="08BD791B" w14:textId="77777777" w:rsidR="00DC4049" w:rsidRPr="00F45F11" w:rsidRDefault="00DC4049" w:rsidP="009817E6">
            <w:pPr>
              <w:pStyle w:val="ARTabletext"/>
              <w:rPr>
                <w:rFonts w:eastAsia="Times"/>
              </w:rPr>
            </w:pPr>
          </w:p>
        </w:tc>
        <w:tc>
          <w:tcPr>
            <w:tcW w:w="530" w:type="pct"/>
          </w:tcPr>
          <w:p w14:paraId="67DBB601" w14:textId="77777777" w:rsidR="00DC4049" w:rsidRPr="00F45F11" w:rsidRDefault="00DC4049" w:rsidP="009817E6">
            <w:pPr>
              <w:pStyle w:val="ARtabletextright"/>
              <w:rPr>
                <w:rFonts w:eastAsia="Times"/>
              </w:rPr>
            </w:pPr>
          </w:p>
        </w:tc>
        <w:tc>
          <w:tcPr>
            <w:tcW w:w="531" w:type="pct"/>
          </w:tcPr>
          <w:p w14:paraId="72E24337" w14:textId="77777777" w:rsidR="00DC4049" w:rsidRPr="00F45F11" w:rsidRDefault="00DC4049" w:rsidP="009817E6">
            <w:pPr>
              <w:pStyle w:val="ARtabletextright"/>
              <w:rPr>
                <w:rFonts w:eastAsia="Times"/>
              </w:rPr>
            </w:pPr>
          </w:p>
        </w:tc>
        <w:tc>
          <w:tcPr>
            <w:tcW w:w="533" w:type="pct"/>
          </w:tcPr>
          <w:p w14:paraId="6D3982AC" w14:textId="77777777" w:rsidR="00DC4049" w:rsidRPr="00F45F11" w:rsidRDefault="00DC4049" w:rsidP="009817E6">
            <w:pPr>
              <w:pStyle w:val="ARtabletextright"/>
              <w:rPr>
                <w:rFonts w:eastAsia="Times"/>
              </w:rPr>
            </w:pPr>
          </w:p>
        </w:tc>
        <w:tc>
          <w:tcPr>
            <w:tcW w:w="415" w:type="pct"/>
          </w:tcPr>
          <w:p w14:paraId="5256FDB0" w14:textId="77777777" w:rsidR="00DC4049" w:rsidRPr="00F45F11" w:rsidRDefault="00DC4049" w:rsidP="009817E6">
            <w:pPr>
              <w:pStyle w:val="ARtableperformancesymbol"/>
              <w:rPr>
                <w:rFonts w:eastAsia="Times"/>
              </w:rPr>
            </w:pPr>
          </w:p>
        </w:tc>
      </w:tr>
      <w:tr w:rsidR="00602F54" w:rsidRPr="00F45F11" w14:paraId="722CBD5E" w14:textId="77777777" w:rsidTr="004D01FA">
        <w:tc>
          <w:tcPr>
            <w:tcW w:w="2462" w:type="pct"/>
          </w:tcPr>
          <w:p w14:paraId="5596A880" w14:textId="77777777" w:rsidR="00602F54" w:rsidRDefault="00602F54" w:rsidP="009817E6">
            <w:pPr>
              <w:pStyle w:val="ARTabletext"/>
              <w:rPr>
                <w:rFonts w:eastAsia="Times"/>
              </w:rPr>
            </w:pPr>
            <w:r w:rsidRPr="00F45F11">
              <w:rPr>
                <w:rFonts w:eastAsia="Times"/>
              </w:rPr>
              <w:t>Number of Scout Hall capital projects completed</w:t>
            </w:r>
          </w:p>
          <w:p w14:paraId="5F77D875" w14:textId="21DFEEB5" w:rsidR="007172BE" w:rsidRPr="00F45F11" w:rsidRDefault="007172BE" w:rsidP="007172BE">
            <w:pPr>
              <w:pStyle w:val="ARtablenoteindent"/>
            </w:pPr>
            <w:r w:rsidRPr="00F45F11">
              <w:t>The 2025–26 outcome is lower than the target due to minor changes to the delivery timeline for one Scout Hall upgrade project by Scouts Victoria.</w:t>
            </w:r>
          </w:p>
        </w:tc>
        <w:tc>
          <w:tcPr>
            <w:tcW w:w="529" w:type="pct"/>
          </w:tcPr>
          <w:p w14:paraId="13B7F0C0" w14:textId="77777777" w:rsidR="00602F54" w:rsidRPr="00F45F11" w:rsidRDefault="00602F54" w:rsidP="009817E6">
            <w:pPr>
              <w:pStyle w:val="ARTabletext"/>
              <w:rPr>
                <w:rFonts w:eastAsia="Times"/>
              </w:rPr>
            </w:pPr>
            <w:r w:rsidRPr="00F45F11">
              <w:rPr>
                <w:rFonts w:eastAsia="Times"/>
              </w:rPr>
              <w:t>number</w:t>
            </w:r>
          </w:p>
        </w:tc>
        <w:tc>
          <w:tcPr>
            <w:tcW w:w="530" w:type="pct"/>
          </w:tcPr>
          <w:p w14:paraId="129BACFA" w14:textId="77777777" w:rsidR="00602F54" w:rsidRPr="00F45F11" w:rsidRDefault="00602F54" w:rsidP="009817E6">
            <w:pPr>
              <w:pStyle w:val="ARtabletextright"/>
              <w:rPr>
                <w:rFonts w:eastAsia="Times"/>
              </w:rPr>
            </w:pPr>
            <w:r w:rsidRPr="00F45F11">
              <w:rPr>
                <w:rFonts w:eastAsia="Times"/>
              </w:rPr>
              <w:t>3</w:t>
            </w:r>
          </w:p>
        </w:tc>
        <w:tc>
          <w:tcPr>
            <w:tcW w:w="531" w:type="pct"/>
          </w:tcPr>
          <w:p w14:paraId="7947A146" w14:textId="77777777" w:rsidR="00602F54" w:rsidRPr="00F45F11" w:rsidRDefault="00602F54" w:rsidP="009817E6">
            <w:pPr>
              <w:pStyle w:val="ARtabletextright"/>
              <w:rPr>
                <w:rFonts w:eastAsia="Times"/>
              </w:rPr>
            </w:pPr>
            <w:r w:rsidRPr="00F45F11">
              <w:rPr>
                <w:rFonts w:eastAsia="Times"/>
              </w:rPr>
              <w:t>2</w:t>
            </w:r>
          </w:p>
        </w:tc>
        <w:tc>
          <w:tcPr>
            <w:tcW w:w="533" w:type="pct"/>
          </w:tcPr>
          <w:p w14:paraId="4C02EBF2" w14:textId="77777777" w:rsidR="00602F54" w:rsidRPr="00F45F11" w:rsidRDefault="00602F54" w:rsidP="009817E6">
            <w:pPr>
              <w:pStyle w:val="ARtabletextright"/>
              <w:rPr>
                <w:rFonts w:eastAsia="Times"/>
              </w:rPr>
            </w:pPr>
            <w:r w:rsidRPr="00F45F11">
              <w:rPr>
                <w:rFonts w:eastAsia="Times"/>
              </w:rPr>
              <w:t>-33.3%</w:t>
            </w:r>
          </w:p>
        </w:tc>
        <w:tc>
          <w:tcPr>
            <w:tcW w:w="415" w:type="pct"/>
          </w:tcPr>
          <w:p w14:paraId="272283F3" w14:textId="77777777" w:rsidR="00602F54" w:rsidRPr="00F45F11" w:rsidRDefault="00602F54" w:rsidP="009817E6">
            <w:pPr>
              <w:pStyle w:val="ARtableperformancesymbol"/>
              <w:rPr>
                <w:rFonts w:eastAsia="Times"/>
              </w:rPr>
            </w:pPr>
            <w:r w:rsidRPr="00F45F11">
              <w:rPr>
                <w:rFonts w:eastAsia="Times"/>
              </w:rPr>
              <w:t></w:t>
            </w:r>
          </w:p>
        </w:tc>
      </w:tr>
      <w:tr w:rsidR="00211C24" w:rsidRPr="00F45F11" w14:paraId="020A9EF2" w14:textId="77777777" w:rsidTr="004D01FA">
        <w:tc>
          <w:tcPr>
            <w:tcW w:w="2462" w:type="pct"/>
          </w:tcPr>
          <w:p w14:paraId="66007D5A" w14:textId="77777777" w:rsidR="00211C24" w:rsidRDefault="00211C24">
            <w:pPr>
              <w:pStyle w:val="ARTabletext"/>
              <w:rPr>
                <w:rFonts w:eastAsia="Times"/>
              </w:rPr>
            </w:pPr>
            <w:r w:rsidRPr="00F45F11">
              <w:rPr>
                <w:rFonts w:eastAsia="Times"/>
              </w:rPr>
              <w:t>Participation by young people in programs that support young people to be involved in decision-making in their community</w:t>
            </w:r>
          </w:p>
          <w:p w14:paraId="68A6C311" w14:textId="3EC8E204" w:rsidR="007172BE" w:rsidRPr="00F45F11" w:rsidRDefault="007172BE" w:rsidP="007172BE">
            <w:pPr>
              <w:pStyle w:val="ARtablenoteindent"/>
            </w:pPr>
            <w:r w:rsidRPr="00B40253">
              <w:t>The 2025–26 estimated outcome is higher than the target due to higher-than-expected participation in funded youth programs. Some programs contributing to this measure were refreshed for implementation in 2025, hence the target for this measure was estimated based on conservative projection.</w:t>
            </w:r>
          </w:p>
        </w:tc>
        <w:tc>
          <w:tcPr>
            <w:tcW w:w="529" w:type="pct"/>
          </w:tcPr>
          <w:p w14:paraId="609655E4" w14:textId="77777777" w:rsidR="00211C24" w:rsidRPr="00F45F11" w:rsidRDefault="00211C24">
            <w:pPr>
              <w:pStyle w:val="ARTabletext"/>
              <w:rPr>
                <w:rFonts w:eastAsia="Times"/>
              </w:rPr>
            </w:pPr>
            <w:r w:rsidRPr="00F45F11">
              <w:rPr>
                <w:rFonts w:eastAsia="Times"/>
              </w:rPr>
              <w:t>number</w:t>
            </w:r>
          </w:p>
        </w:tc>
        <w:tc>
          <w:tcPr>
            <w:tcW w:w="530" w:type="pct"/>
          </w:tcPr>
          <w:p w14:paraId="0269E931" w14:textId="77777777" w:rsidR="00211C24" w:rsidRPr="00F45F11" w:rsidRDefault="00211C24">
            <w:pPr>
              <w:pStyle w:val="ARtabletextright"/>
              <w:rPr>
                <w:rFonts w:eastAsia="Times"/>
              </w:rPr>
            </w:pPr>
            <w:r w:rsidRPr="00F45F11">
              <w:rPr>
                <w:rFonts w:eastAsia="Times"/>
              </w:rPr>
              <w:t>2,500</w:t>
            </w:r>
          </w:p>
        </w:tc>
        <w:tc>
          <w:tcPr>
            <w:tcW w:w="531" w:type="pct"/>
          </w:tcPr>
          <w:p w14:paraId="3423BCB7" w14:textId="77777777" w:rsidR="00211C24" w:rsidRPr="00F45F11" w:rsidRDefault="00211C24">
            <w:pPr>
              <w:pStyle w:val="ARtabletextright"/>
              <w:rPr>
                <w:rFonts w:eastAsia="Times"/>
              </w:rPr>
            </w:pPr>
            <w:r w:rsidRPr="00F45F11">
              <w:rPr>
                <w:rFonts w:eastAsia="Times"/>
              </w:rPr>
              <w:t>2,648</w:t>
            </w:r>
          </w:p>
        </w:tc>
        <w:tc>
          <w:tcPr>
            <w:tcW w:w="533" w:type="pct"/>
          </w:tcPr>
          <w:p w14:paraId="5A0B8FFF" w14:textId="77777777" w:rsidR="00211C24" w:rsidRPr="00F45F11" w:rsidRDefault="00211C24">
            <w:pPr>
              <w:pStyle w:val="ARtabletextright"/>
              <w:rPr>
                <w:rFonts w:eastAsia="Times"/>
              </w:rPr>
            </w:pPr>
            <w:r w:rsidRPr="00F45F11">
              <w:rPr>
                <w:rFonts w:eastAsia="Times"/>
              </w:rPr>
              <w:t>5.9%</w:t>
            </w:r>
          </w:p>
        </w:tc>
        <w:tc>
          <w:tcPr>
            <w:tcW w:w="415" w:type="pct"/>
          </w:tcPr>
          <w:p w14:paraId="08A0207A" w14:textId="77777777" w:rsidR="00211C24" w:rsidRPr="00F45F11" w:rsidRDefault="00211C24">
            <w:pPr>
              <w:pStyle w:val="ARtableperformancesymbol"/>
              <w:rPr>
                <w:rFonts w:eastAsia="Times"/>
              </w:rPr>
            </w:pPr>
            <w:r w:rsidRPr="00F45F11">
              <w:rPr>
                <w:rFonts w:eastAsia="Times"/>
              </w:rPr>
              <w:t></w:t>
            </w:r>
          </w:p>
        </w:tc>
      </w:tr>
      <w:tr w:rsidR="00602F54" w:rsidRPr="00F45F11" w14:paraId="26B8A589" w14:textId="77777777" w:rsidTr="004D01FA">
        <w:trPr>
          <w:trHeight w:val="197"/>
        </w:trPr>
        <w:tc>
          <w:tcPr>
            <w:tcW w:w="2462" w:type="pct"/>
          </w:tcPr>
          <w:p w14:paraId="0D47F2D8" w14:textId="77777777" w:rsidR="00602F54" w:rsidRDefault="00602F54" w:rsidP="009817E6">
            <w:pPr>
              <w:pStyle w:val="ARTabletext"/>
              <w:rPr>
                <w:rFonts w:eastAsia="Times"/>
              </w:rPr>
            </w:pPr>
            <w:r w:rsidRPr="00F45F11">
              <w:rPr>
                <w:rFonts w:eastAsia="Times"/>
              </w:rPr>
              <w:t>Participation by young people in programs that provide opportunities to be involved in social and economic life in their communities</w:t>
            </w:r>
          </w:p>
          <w:p w14:paraId="00A17290" w14:textId="10E241C2" w:rsidR="007172BE" w:rsidRPr="00F45F11" w:rsidRDefault="007172BE" w:rsidP="007172BE">
            <w:pPr>
              <w:pStyle w:val="ARtablenoteindent"/>
            </w:pPr>
            <w:r w:rsidRPr="00B40253">
              <w:t>The 2025–26 estimated outcome is higher than the target due to higher-than-expected participation in funded youth programs. Some programs contributing to this measure were refreshed for implementation in 2025, hence the target for this measure was estimated based on conservative projection.</w:t>
            </w:r>
          </w:p>
        </w:tc>
        <w:tc>
          <w:tcPr>
            <w:tcW w:w="529" w:type="pct"/>
          </w:tcPr>
          <w:p w14:paraId="4CB4B097" w14:textId="77777777" w:rsidR="00602F54" w:rsidRPr="00F45F11" w:rsidRDefault="00602F54" w:rsidP="009817E6">
            <w:pPr>
              <w:pStyle w:val="ARTabletext"/>
              <w:rPr>
                <w:rFonts w:eastAsia="Times"/>
              </w:rPr>
            </w:pPr>
            <w:r w:rsidRPr="00F45F11">
              <w:rPr>
                <w:rFonts w:eastAsia="Times"/>
              </w:rPr>
              <w:t>number</w:t>
            </w:r>
          </w:p>
        </w:tc>
        <w:tc>
          <w:tcPr>
            <w:tcW w:w="530" w:type="pct"/>
          </w:tcPr>
          <w:p w14:paraId="4AE76620" w14:textId="77777777" w:rsidR="00602F54" w:rsidRPr="00F45F11" w:rsidRDefault="00602F54" w:rsidP="009817E6">
            <w:pPr>
              <w:pStyle w:val="ARtabletextright"/>
              <w:rPr>
                <w:rFonts w:eastAsia="Times"/>
              </w:rPr>
            </w:pPr>
            <w:r w:rsidRPr="00F45F11">
              <w:rPr>
                <w:rFonts w:eastAsia="Times"/>
              </w:rPr>
              <w:t>155,000</w:t>
            </w:r>
          </w:p>
        </w:tc>
        <w:tc>
          <w:tcPr>
            <w:tcW w:w="531" w:type="pct"/>
          </w:tcPr>
          <w:p w14:paraId="2A45B3B1" w14:textId="77777777" w:rsidR="00602F54" w:rsidRPr="00F45F11" w:rsidRDefault="00602F54" w:rsidP="009817E6">
            <w:pPr>
              <w:pStyle w:val="ARtabletextright"/>
              <w:rPr>
                <w:rFonts w:eastAsia="Times"/>
              </w:rPr>
            </w:pPr>
            <w:r w:rsidRPr="00F45F11">
              <w:rPr>
                <w:rFonts w:eastAsia="Times"/>
              </w:rPr>
              <w:t>209,390</w:t>
            </w:r>
          </w:p>
        </w:tc>
        <w:tc>
          <w:tcPr>
            <w:tcW w:w="533" w:type="pct"/>
          </w:tcPr>
          <w:p w14:paraId="4F0B4D84" w14:textId="77777777" w:rsidR="00602F54" w:rsidRPr="00F45F11" w:rsidRDefault="00602F54" w:rsidP="009817E6">
            <w:pPr>
              <w:pStyle w:val="ARtabletextright"/>
              <w:rPr>
                <w:rFonts w:eastAsia="Times"/>
              </w:rPr>
            </w:pPr>
            <w:r w:rsidRPr="00F45F11">
              <w:rPr>
                <w:rFonts w:eastAsia="Times"/>
              </w:rPr>
              <w:t>35.1%</w:t>
            </w:r>
          </w:p>
        </w:tc>
        <w:tc>
          <w:tcPr>
            <w:tcW w:w="415" w:type="pct"/>
          </w:tcPr>
          <w:p w14:paraId="7FA98DFA" w14:textId="77777777" w:rsidR="00602F54" w:rsidRPr="00F45F11" w:rsidRDefault="00602F54" w:rsidP="009817E6">
            <w:pPr>
              <w:pStyle w:val="ARtableperformancesymbol"/>
              <w:rPr>
                <w:rFonts w:eastAsia="Times"/>
              </w:rPr>
            </w:pPr>
            <w:r w:rsidRPr="00F45F11">
              <w:rPr>
                <w:rFonts w:eastAsia="Times"/>
              </w:rPr>
              <w:t></w:t>
            </w:r>
          </w:p>
        </w:tc>
      </w:tr>
      <w:tr w:rsidR="00DC4049" w:rsidRPr="00F45F11" w14:paraId="73046B13" w14:textId="77777777" w:rsidTr="004D01FA">
        <w:tc>
          <w:tcPr>
            <w:tcW w:w="2462" w:type="pct"/>
          </w:tcPr>
          <w:p w14:paraId="407FD54E" w14:textId="090AF0E9" w:rsidR="00DC4049" w:rsidRPr="00F45F11" w:rsidRDefault="007172BE" w:rsidP="007172BE">
            <w:pPr>
              <w:pStyle w:val="ARtablegreybold"/>
              <w:rPr>
                <w:rFonts w:eastAsia="Times"/>
              </w:rPr>
            </w:pPr>
            <w:r w:rsidRPr="00F45F11">
              <w:t>Quality</w:t>
            </w:r>
          </w:p>
        </w:tc>
        <w:tc>
          <w:tcPr>
            <w:tcW w:w="529" w:type="pct"/>
          </w:tcPr>
          <w:p w14:paraId="0326E09D" w14:textId="77777777" w:rsidR="00DC4049" w:rsidRPr="00F45F11" w:rsidRDefault="00DC4049" w:rsidP="009817E6">
            <w:pPr>
              <w:pStyle w:val="ARTabletext"/>
              <w:rPr>
                <w:rFonts w:eastAsia="Times"/>
              </w:rPr>
            </w:pPr>
          </w:p>
        </w:tc>
        <w:tc>
          <w:tcPr>
            <w:tcW w:w="530" w:type="pct"/>
          </w:tcPr>
          <w:p w14:paraId="0583A142" w14:textId="77777777" w:rsidR="00DC4049" w:rsidRPr="00F45F11" w:rsidRDefault="00DC4049" w:rsidP="009817E6">
            <w:pPr>
              <w:pStyle w:val="ARtabletextright"/>
              <w:rPr>
                <w:rFonts w:eastAsia="Times"/>
              </w:rPr>
            </w:pPr>
          </w:p>
        </w:tc>
        <w:tc>
          <w:tcPr>
            <w:tcW w:w="531" w:type="pct"/>
          </w:tcPr>
          <w:p w14:paraId="25CE19A0" w14:textId="77777777" w:rsidR="00DC4049" w:rsidRPr="00F45F11" w:rsidRDefault="00DC4049" w:rsidP="009817E6">
            <w:pPr>
              <w:pStyle w:val="ARtabletextright"/>
              <w:rPr>
                <w:rFonts w:eastAsia="Times"/>
              </w:rPr>
            </w:pPr>
          </w:p>
        </w:tc>
        <w:tc>
          <w:tcPr>
            <w:tcW w:w="533" w:type="pct"/>
          </w:tcPr>
          <w:p w14:paraId="6EB9E5E1" w14:textId="77777777" w:rsidR="00DC4049" w:rsidRPr="00F45F11" w:rsidRDefault="00DC4049" w:rsidP="009817E6">
            <w:pPr>
              <w:pStyle w:val="ARtabletextright"/>
              <w:rPr>
                <w:rFonts w:eastAsia="Times"/>
              </w:rPr>
            </w:pPr>
          </w:p>
        </w:tc>
        <w:tc>
          <w:tcPr>
            <w:tcW w:w="415" w:type="pct"/>
          </w:tcPr>
          <w:p w14:paraId="6CB4E6BA" w14:textId="77777777" w:rsidR="00DC4049" w:rsidRPr="00F45F11" w:rsidRDefault="00DC4049" w:rsidP="009817E6">
            <w:pPr>
              <w:pStyle w:val="ARtableperformancesymbol"/>
              <w:rPr>
                <w:rFonts w:eastAsia="Times"/>
              </w:rPr>
            </w:pPr>
          </w:p>
        </w:tc>
      </w:tr>
      <w:tr w:rsidR="00602F54" w:rsidRPr="00F45F11" w14:paraId="3CB2B5B1" w14:textId="77777777" w:rsidTr="004D01FA">
        <w:tc>
          <w:tcPr>
            <w:tcW w:w="2462" w:type="pct"/>
          </w:tcPr>
          <w:p w14:paraId="46CD18FC" w14:textId="25614626" w:rsidR="00602F54" w:rsidRPr="00F45F11" w:rsidRDefault="00602F54" w:rsidP="009817E6">
            <w:pPr>
              <w:pStyle w:val="ARTabletext"/>
              <w:rPr>
                <w:rFonts w:eastAsia="Times"/>
              </w:rPr>
            </w:pPr>
            <w:r w:rsidRPr="00F45F11">
              <w:rPr>
                <w:rFonts w:eastAsia="Times"/>
              </w:rPr>
              <w:t>Percentage of grant recipients who met or exceeded contractually agreed project outcomes</w:t>
            </w:r>
          </w:p>
        </w:tc>
        <w:tc>
          <w:tcPr>
            <w:tcW w:w="529" w:type="pct"/>
          </w:tcPr>
          <w:p w14:paraId="45444D25" w14:textId="77777777" w:rsidR="00602F54" w:rsidRPr="00F45F11" w:rsidRDefault="00602F54" w:rsidP="009817E6">
            <w:pPr>
              <w:pStyle w:val="ARTabletext"/>
              <w:rPr>
                <w:rFonts w:eastAsia="Times"/>
              </w:rPr>
            </w:pPr>
            <w:r w:rsidRPr="00F45F11">
              <w:rPr>
                <w:rFonts w:eastAsia="Times"/>
              </w:rPr>
              <w:t>per cent</w:t>
            </w:r>
          </w:p>
        </w:tc>
        <w:tc>
          <w:tcPr>
            <w:tcW w:w="530" w:type="pct"/>
          </w:tcPr>
          <w:p w14:paraId="685056DC" w14:textId="77777777" w:rsidR="00602F54" w:rsidRPr="00F45F11" w:rsidRDefault="00602F54" w:rsidP="009817E6">
            <w:pPr>
              <w:pStyle w:val="ARtabletextright"/>
              <w:rPr>
                <w:rFonts w:eastAsia="Times"/>
              </w:rPr>
            </w:pPr>
            <w:r w:rsidRPr="00F45F11">
              <w:rPr>
                <w:rFonts w:eastAsia="Times"/>
              </w:rPr>
              <w:t>93</w:t>
            </w:r>
          </w:p>
        </w:tc>
        <w:tc>
          <w:tcPr>
            <w:tcW w:w="531" w:type="pct"/>
          </w:tcPr>
          <w:p w14:paraId="6D212EA1" w14:textId="77777777" w:rsidR="00602F54" w:rsidRPr="00F45F11" w:rsidRDefault="00602F54" w:rsidP="009817E6">
            <w:pPr>
              <w:pStyle w:val="ARtabletextright"/>
              <w:rPr>
                <w:rFonts w:eastAsia="Times"/>
              </w:rPr>
            </w:pPr>
            <w:r w:rsidRPr="00F45F11">
              <w:rPr>
                <w:rFonts w:eastAsia="Times"/>
              </w:rPr>
              <w:t>95.0</w:t>
            </w:r>
          </w:p>
        </w:tc>
        <w:tc>
          <w:tcPr>
            <w:tcW w:w="533" w:type="pct"/>
          </w:tcPr>
          <w:p w14:paraId="2D06C83B" w14:textId="77777777" w:rsidR="00602F54" w:rsidRPr="00F45F11" w:rsidRDefault="00602F54" w:rsidP="009817E6">
            <w:pPr>
              <w:pStyle w:val="ARtabletextright"/>
              <w:rPr>
                <w:rFonts w:eastAsia="Times"/>
              </w:rPr>
            </w:pPr>
            <w:r w:rsidRPr="00F45F11">
              <w:rPr>
                <w:rFonts w:eastAsia="Times"/>
              </w:rPr>
              <w:t>2.2%</w:t>
            </w:r>
          </w:p>
        </w:tc>
        <w:tc>
          <w:tcPr>
            <w:tcW w:w="415" w:type="pct"/>
          </w:tcPr>
          <w:p w14:paraId="783C4F14" w14:textId="77777777" w:rsidR="00602F54" w:rsidRPr="00F45F11" w:rsidRDefault="00602F54" w:rsidP="009817E6">
            <w:pPr>
              <w:pStyle w:val="ARtableperformancesymbol"/>
              <w:rPr>
                <w:rFonts w:eastAsia="Times"/>
              </w:rPr>
            </w:pPr>
            <w:r w:rsidRPr="00F45F11">
              <w:rPr>
                <w:rFonts w:eastAsia="Times"/>
              </w:rPr>
              <w:t></w:t>
            </w:r>
          </w:p>
        </w:tc>
      </w:tr>
      <w:tr w:rsidR="007172BE" w:rsidRPr="00F45F11" w14:paraId="3EFA4A8F" w14:textId="77777777" w:rsidTr="004D01FA">
        <w:tc>
          <w:tcPr>
            <w:tcW w:w="2462" w:type="pct"/>
          </w:tcPr>
          <w:p w14:paraId="27529866" w14:textId="50B38032" w:rsidR="007172BE" w:rsidRPr="00F45F11" w:rsidRDefault="007172BE" w:rsidP="00342264">
            <w:pPr>
              <w:pStyle w:val="ARtablegreybold"/>
              <w:keepNext/>
              <w:rPr>
                <w:rFonts w:eastAsia="Times"/>
              </w:rPr>
            </w:pPr>
            <w:r w:rsidRPr="00F45F11">
              <w:t>Timeliness</w:t>
            </w:r>
          </w:p>
        </w:tc>
        <w:tc>
          <w:tcPr>
            <w:tcW w:w="529" w:type="pct"/>
          </w:tcPr>
          <w:p w14:paraId="26AD48D6" w14:textId="77777777" w:rsidR="007172BE" w:rsidRPr="00F45F11" w:rsidRDefault="007172BE" w:rsidP="009817E6">
            <w:pPr>
              <w:pStyle w:val="ARTabletext"/>
              <w:rPr>
                <w:rFonts w:eastAsia="Times"/>
              </w:rPr>
            </w:pPr>
          </w:p>
        </w:tc>
        <w:tc>
          <w:tcPr>
            <w:tcW w:w="530" w:type="pct"/>
          </w:tcPr>
          <w:p w14:paraId="60D01407" w14:textId="77777777" w:rsidR="007172BE" w:rsidRPr="00F45F11" w:rsidRDefault="007172BE" w:rsidP="009817E6">
            <w:pPr>
              <w:pStyle w:val="ARtabletextright"/>
              <w:rPr>
                <w:rFonts w:eastAsia="Times"/>
              </w:rPr>
            </w:pPr>
          </w:p>
        </w:tc>
        <w:tc>
          <w:tcPr>
            <w:tcW w:w="531" w:type="pct"/>
          </w:tcPr>
          <w:p w14:paraId="299D4C07" w14:textId="77777777" w:rsidR="007172BE" w:rsidRPr="00F45F11" w:rsidRDefault="007172BE" w:rsidP="009817E6">
            <w:pPr>
              <w:pStyle w:val="ARtabletextright"/>
              <w:rPr>
                <w:rFonts w:eastAsia="Times"/>
              </w:rPr>
            </w:pPr>
          </w:p>
        </w:tc>
        <w:tc>
          <w:tcPr>
            <w:tcW w:w="533" w:type="pct"/>
          </w:tcPr>
          <w:p w14:paraId="127A6936" w14:textId="77777777" w:rsidR="007172BE" w:rsidRPr="00F45F11" w:rsidRDefault="007172BE" w:rsidP="009817E6">
            <w:pPr>
              <w:pStyle w:val="ARtabletextright"/>
              <w:rPr>
                <w:rFonts w:eastAsia="Times"/>
              </w:rPr>
            </w:pPr>
          </w:p>
        </w:tc>
        <w:tc>
          <w:tcPr>
            <w:tcW w:w="415" w:type="pct"/>
          </w:tcPr>
          <w:p w14:paraId="7D22E6B9" w14:textId="77777777" w:rsidR="007172BE" w:rsidRPr="00F45F11" w:rsidRDefault="007172BE" w:rsidP="009817E6">
            <w:pPr>
              <w:pStyle w:val="ARtableperformancesymbol"/>
              <w:rPr>
                <w:rFonts w:eastAsia="Times"/>
              </w:rPr>
            </w:pPr>
          </w:p>
        </w:tc>
      </w:tr>
      <w:tr w:rsidR="00602F54" w:rsidRPr="00F45F11" w14:paraId="65FB1CA6" w14:textId="77777777" w:rsidTr="004D01FA">
        <w:tc>
          <w:tcPr>
            <w:tcW w:w="2462" w:type="pct"/>
          </w:tcPr>
          <w:p w14:paraId="57AAC957" w14:textId="77777777" w:rsidR="00602F54" w:rsidRDefault="00602F54" w:rsidP="009817E6">
            <w:pPr>
              <w:pStyle w:val="ARTabletext"/>
              <w:rPr>
                <w:rFonts w:eastAsia="Times"/>
              </w:rPr>
            </w:pPr>
            <w:r w:rsidRPr="00F45F11">
              <w:rPr>
                <w:rFonts w:eastAsia="Times"/>
              </w:rPr>
              <w:t>Percentage of programs delivered within agreed timeframes</w:t>
            </w:r>
          </w:p>
          <w:p w14:paraId="445EC472" w14:textId="6BC97B0E" w:rsidR="007172BE" w:rsidRPr="00F45F11" w:rsidRDefault="007172BE" w:rsidP="007172BE">
            <w:pPr>
              <w:pStyle w:val="ARtablenoteindent"/>
            </w:pPr>
            <w:r w:rsidRPr="00F45F11">
              <w:t>The 2025–26 outcome is higher than the target due to consistent monitoring and communication with funded organisations leading to a higher-than-expected percentage of programs delivered within agreed timeframe.</w:t>
            </w:r>
          </w:p>
        </w:tc>
        <w:tc>
          <w:tcPr>
            <w:tcW w:w="529" w:type="pct"/>
          </w:tcPr>
          <w:p w14:paraId="02A31805" w14:textId="77777777" w:rsidR="00602F54" w:rsidRPr="00F45F11" w:rsidRDefault="00602F54" w:rsidP="009817E6">
            <w:pPr>
              <w:pStyle w:val="ARTabletext"/>
              <w:rPr>
                <w:rFonts w:eastAsia="Times"/>
              </w:rPr>
            </w:pPr>
            <w:r w:rsidRPr="00F45F11">
              <w:rPr>
                <w:rFonts w:eastAsia="Times"/>
              </w:rPr>
              <w:t>Timeliness %</w:t>
            </w:r>
          </w:p>
        </w:tc>
        <w:tc>
          <w:tcPr>
            <w:tcW w:w="530" w:type="pct"/>
          </w:tcPr>
          <w:p w14:paraId="45DD19AF" w14:textId="77777777" w:rsidR="00602F54" w:rsidRPr="00F45F11" w:rsidRDefault="00602F54" w:rsidP="009817E6">
            <w:pPr>
              <w:pStyle w:val="ARtabletextright"/>
              <w:rPr>
                <w:rFonts w:eastAsia="Times"/>
              </w:rPr>
            </w:pPr>
            <w:r w:rsidRPr="00F45F11">
              <w:rPr>
                <w:rFonts w:eastAsia="Times"/>
              </w:rPr>
              <w:t>93.0</w:t>
            </w:r>
          </w:p>
        </w:tc>
        <w:tc>
          <w:tcPr>
            <w:tcW w:w="531" w:type="pct"/>
          </w:tcPr>
          <w:p w14:paraId="4E2F2C50" w14:textId="77777777" w:rsidR="00602F54" w:rsidRPr="00F45F11" w:rsidRDefault="00602F54" w:rsidP="009817E6">
            <w:pPr>
              <w:pStyle w:val="ARtabletextright"/>
              <w:rPr>
                <w:rFonts w:eastAsia="Times"/>
              </w:rPr>
            </w:pPr>
            <w:r w:rsidRPr="00F45F11">
              <w:rPr>
                <w:rFonts w:eastAsia="Times"/>
              </w:rPr>
              <w:t>99.0</w:t>
            </w:r>
          </w:p>
        </w:tc>
        <w:tc>
          <w:tcPr>
            <w:tcW w:w="533" w:type="pct"/>
          </w:tcPr>
          <w:p w14:paraId="02C3CC76" w14:textId="77777777" w:rsidR="00602F54" w:rsidRPr="00F45F11" w:rsidRDefault="00602F54" w:rsidP="009817E6">
            <w:pPr>
              <w:pStyle w:val="ARtabletextright"/>
              <w:rPr>
                <w:rFonts w:eastAsia="Times"/>
              </w:rPr>
            </w:pPr>
            <w:r w:rsidRPr="00F45F11">
              <w:rPr>
                <w:rFonts w:eastAsia="Times"/>
              </w:rPr>
              <w:t>6.5%</w:t>
            </w:r>
          </w:p>
        </w:tc>
        <w:tc>
          <w:tcPr>
            <w:tcW w:w="415" w:type="pct"/>
          </w:tcPr>
          <w:p w14:paraId="2C8784B7" w14:textId="77777777" w:rsidR="00602F54" w:rsidRPr="00F45F11" w:rsidRDefault="00602F54" w:rsidP="009817E6">
            <w:pPr>
              <w:pStyle w:val="ARtableperformancesymbol"/>
              <w:rPr>
                <w:rFonts w:eastAsia="Times"/>
              </w:rPr>
            </w:pPr>
            <w:r w:rsidRPr="00F45F11">
              <w:rPr>
                <w:rFonts w:eastAsia="Times"/>
              </w:rPr>
              <w:t></w:t>
            </w:r>
          </w:p>
        </w:tc>
      </w:tr>
      <w:tr w:rsidR="00DC4049" w:rsidRPr="00F45F11" w14:paraId="1EA37FB2" w14:textId="77777777" w:rsidTr="004D01FA">
        <w:tc>
          <w:tcPr>
            <w:tcW w:w="2462" w:type="pct"/>
          </w:tcPr>
          <w:p w14:paraId="5BDB2535" w14:textId="4A306B3E" w:rsidR="00DC4049" w:rsidRPr="00F45F11" w:rsidRDefault="007172BE" w:rsidP="007172BE">
            <w:pPr>
              <w:pStyle w:val="ARtablegreybold"/>
              <w:rPr>
                <w:rFonts w:eastAsia="Times"/>
              </w:rPr>
            </w:pPr>
            <w:r w:rsidRPr="00F45F11">
              <w:t>Cost</w:t>
            </w:r>
          </w:p>
        </w:tc>
        <w:tc>
          <w:tcPr>
            <w:tcW w:w="529" w:type="pct"/>
          </w:tcPr>
          <w:p w14:paraId="012F411E" w14:textId="77777777" w:rsidR="00DC4049" w:rsidRPr="00F45F11" w:rsidRDefault="00DC4049" w:rsidP="009817E6">
            <w:pPr>
              <w:pStyle w:val="ARtabletextbold"/>
              <w:rPr>
                <w:rFonts w:eastAsia="Times"/>
              </w:rPr>
            </w:pPr>
          </w:p>
        </w:tc>
        <w:tc>
          <w:tcPr>
            <w:tcW w:w="530" w:type="pct"/>
          </w:tcPr>
          <w:p w14:paraId="0CE1D931" w14:textId="77777777" w:rsidR="00DC4049" w:rsidRPr="00F45F11" w:rsidRDefault="00DC4049" w:rsidP="009817E6">
            <w:pPr>
              <w:pStyle w:val="ARtabletextrightbold"/>
              <w:rPr>
                <w:rFonts w:eastAsia="Times"/>
              </w:rPr>
            </w:pPr>
          </w:p>
        </w:tc>
        <w:tc>
          <w:tcPr>
            <w:tcW w:w="531" w:type="pct"/>
          </w:tcPr>
          <w:p w14:paraId="4F55F69B" w14:textId="77777777" w:rsidR="00DC4049" w:rsidRPr="00F45F11" w:rsidRDefault="00DC4049" w:rsidP="009817E6">
            <w:pPr>
              <w:pStyle w:val="ARtabletextrightbold"/>
              <w:rPr>
                <w:rFonts w:eastAsia="Times"/>
              </w:rPr>
            </w:pPr>
          </w:p>
        </w:tc>
        <w:tc>
          <w:tcPr>
            <w:tcW w:w="533" w:type="pct"/>
          </w:tcPr>
          <w:p w14:paraId="2FE27A6E" w14:textId="77777777" w:rsidR="00DC4049" w:rsidRPr="00F45F11" w:rsidRDefault="00DC4049" w:rsidP="009817E6">
            <w:pPr>
              <w:pStyle w:val="ARtabletextrightbold"/>
              <w:rPr>
                <w:rFonts w:eastAsia="Times"/>
              </w:rPr>
            </w:pPr>
          </w:p>
        </w:tc>
        <w:tc>
          <w:tcPr>
            <w:tcW w:w="415" w:type="pct"/>
          </w:tcPr>
          <w:p w14:paraId="1E7F8F27" w14:textId="77777777" w:rsidR="00DC4049" w:rsidRPr="00F45F11" w:rsidRDefault="00DC4049" w:rsidP="009817E6">
            <w:pPr>
              <w:pStyle w:val="ARtableperformancesymbol"/>
              <w:rPr>
                <w:rFonts w:eastAsia="Times"/>
              </w:rPr>
            </w:pPr>
          </w:p>
        </w:tc>
      </w:tr>
      <w:tr w:rsidR="00602F54" w:rsidRPr="00F45F11" w14:paraId="0E63D760" w14:textId="77777777" w:rsidTr="004D01FA">
        <w:trPr>
          <w:cnfStyle w:val="010000000000" w:firstRow="0" w:lastRow="1" w:firstColumn="0" w:lastColumn="0" w:oddVBand="0" w:evenVBand="0" w:oddHBand="0" w:evenHBand="0" w:firstRowFirstColumn="0" w:firstRowLastColumn="0" w:lastRowFirstColumn="0" w:lastRowLastColumn="0"/>
        </w:trPr>
        <w:tc>
          <w:tcPr>
            <w:tcW w:w="2462" w:type="pct"/>
            <w:hideMark/>
          </w:tcPr>
          <w:p w14:paraId="21BF869E" w14:textId="77777777" w:rsidR="00602F54" w:rsidRDefault="00602F54" w:rsidP="009817E6">
            <w:pPr>
              <w:pStyle w:val="ARtabletextbold"/>
              <w:keepNext/>
              <w:rPr>
                <w:rFonts w:eastAsia="Times"/>
              </w:rPr>
            </w:pPr>
            <w:r w:rsidRPr="00F45F11">
              <w:rPr>
                <w:rFonts w:eastAsia="Times"/>
              </w:rPr>
              <w:t>Total output cost</w:t>
            </w:r>
          </w:p>
          <w:p w14:paraId="3036D21F" w14:textId="5361811D" w:rsidR="007172BE" w:rsidRPr="00F45F11" w:rsidRDefault="007172BE" w:rsidP="007172BE">
            <w:pPr>
              <w:pStyle w:val="ARtablenoteindent"/>
            </w:pPr>
            <w:r w:rsidRPr="00F45F11">
              <w:t>The higher actual reflects additional funding for government initiatives.</w:t>
            </w:r>
          </w:p>
        </w:tc>
        <w:tc>
          <w:tcPr>
            <w:tcW w:w="529" w:type="pct"/>
            <w:hideMark/>
          </w:tcPr>
          <w:p w14:paraId="4227C342" w14:textId="77777777" w:rsidR="00602F54" w:rsidRPr="00F45F11" w:rsidRDefault="00602F54" w:rsidP="009817E6">
            <w:pPr>
              <w:pStyle w:val="ARtabletextbold"/>
              <w:rPr>
                <w:rFonts w:eastAsia="Times"/>
              </w:rPr>
            </w:pPr>
            <w:r w:rsidRPr="00F45F11">
              <w:rPr>
                <w:rFonts w:eastAsia="Times"/>
              </w:rPr>
              <w:t>$ million</w:t>
            </w:r>
          </w:p>
        </w:tc>
        <w:tc>
          <w:tcPr>
            <w:tcW w:w="530" w:type="pct"/>
          </w:tcPr>
          <w:p w14:paraId="0A7A8635" w14:textId="77777777" w:rsidR="00602F54" w:rsidRPr="00F45F11" w:rsidRDefault="00602F54" w:rsidP="009817E6">
            <w:pPr>
              <w:pStyle w:val="ARtabletextrightbold"/>
              <w:rPr>
                <w:rFonts w:eastAsia="Times"/>
              </w:rPr>
            </w:pPr>
            <w:r w:rsidRPr="00F45F11">
              <w:rPr>
                <w:rFonts w:eastAsia="Times"/>
              </w:rPr>
              <w:t>30.9</w:t>
            </w:r>
          </w:p>
        </w:tc>
        <w:tc>
          <w:tcPr>
            <w:tcW w:w="531" w:type="pct"/>
          </w:tcPr>
          <w:p w14:paraId="197B60D2" w14:textId="77777777" w:rsidR="00602F54" w:rsidRPr="00F45F11" w:rsidRDefault="00602F54" w:rsidP="009817E6">
            <w:pPr>
              <w:pStyle w:val="ARtabletextrightbold"/>
              <w:rPr>
                <w:rFonts w:eastAsia="Times"/>
              </w:rPr>
            </w:pPr>
            <w:r w:rsidRPr="00F45F11">
              <w:rPr>
                <w:rFonts w:eastAsia="Times"/>
              </w:rPr>
              <w:t>35.6</w:t>
            </w:r>
          </w:p>
        </w:tc>
        <w:tc>
          <w:tcPr>
            <w:tcW w:w="533" w:type="pct"/>
          </w:tcPr>
          <w:p w14:paraId="2D3E094B" w14:textId="77777777" w:rsidR="00602F54" w:rsidRPr="00F45F11" w:rsidRDefault="00602F54" w:rsidP="009817E6">
            <w:pPr>
              <w:pStyle w:val="ARtabletextrightbold"/>
              <w:rPr>
                <w:rFonts w:eastAsia="Times"/>
              </w:rPr>
            </w:pPr>
            <w:r w:rsidRPr="00F45F11">
              <w:rPr>
                <w:rFonts w:eastAsia="Times"/>
              </w:rPr>
              <w:t>15.4%</w:t>
            </w:r>
          </w:p>
        </w:tc>
        <w:tc>
          <w:tcPr>
            <w:tcW w:w="415" w:type="pct"/>
          </w:tcPr>
          <w:p w14:paraId="3FF75425" w14:textId="77777777" w:rsidR="00602F54" w:rsidRPr="00F45F11" w:rsidRDefault="00602F54" w:rsidP="009817E6">
            <w:pPr>
              <w:pStyle w:val="ARtableperformancesymbol"/>
              <w:rPr>
                <w:rFonts w:eastAsia="Times"/>
              </w:rPr>
            </w:pPr>
            <w:r w:rsidRPr="00F45F11">
              <w:rPr>
                <w:rFonts w:eastAsia="Times"/>
              </w:rPr>
              <w:t></w:t>
            </w:r>
          </w:p>
        </w:tc>
      </w:tr>
    </w:tbl>
    <w:p w14:paraId="6F98A949" w14:textId="405C22A2" w:rsidR="00602F54" w:rsidRPr="00F45F11" w:rsidRDefault="00602F54" w:rsidP="002A7BAF">
      <w:pPr>
        <w:pStyle w:val="Heading3"/>
      </w:pPr>
      <w:r w:rsidRPr="00F45F11">
        <w:t>Concessions to pensioners and beneficiaries</w:t>
      </w:r>
    </w:p>
    <w:p w14:paraId="4EA35605" w14:textId="77777777" w:rsidR="00602F54" w:rsidRPr="00F45F11" w:rsidRDefault="00602F54" w:rsidP="00602F54">
      <w:pPr>
        <w:pStyle w:val="ARbodybeforetable"/>
      </w:pPr>
      <w:r w:rsidRPr="00F45F11">
        <w:t>This output, through the development and coordination of concessions and relief grants to eligible consumers and concession card holders, aims to make a positive difference for Victorians experiencing disadvantage by providing excellent community services to meet clients’ needs.</w:t>
      </w:r>
    </w:p>
    <w:tbl>
      <w:tblPr>
        <w:tblStyle w:val="ARtable1"/>
        <w:tblW w:w="5000" w:type="pct"/>
        <w:tblLook w:val="06E0" w:firstRow="1" w:lastRow="1" w:firstColumn="1" w:lastColumn="0" w:noHBand="1" w:noVBand="1"/>
      </w:tblPr>
      <w:tblGrid>
        <w:gridCol w:w="4793"/>
        <w:gridCol w:w="1014"/>
        <w:gridCol w:w="1014"/>
        <w:gridCol w:w="1014"/>
        <w:gridCol w:w="1016"/>
        <w:gridCol w:w="777"/>
      </w:tblGrid>
      <w:tr w:rsidR="00602F54" w:rsidRPr="00F45F11" w14:paraId="6A2BBF5E" w14:textId="77777777" w:rsidTr="004D01FA">
        <w:trPr>
          <w:cnfStyle w:val="100000000000" w:firstRow="1" w:lastRow="0" w:firstColumn="0" w:lastColumn="0" w:oddVBand="0" w:evenVBand="0" w:oddHBand="0" w:evenHBand="0" w:firstRowFirstColumn="0" w:firstRowLastColumn="0" w:lastRowFirstColumn="0" w:lastRowLastColumn="0"/>
          <w:tblHeader/>
        </w:trPr>
        <w:tc>
          <w:tcPr>
            <w:tcW w:w="2500" w:type="pct"/>
            <w:hideMark/>
          </w:tcPr>
          <w:p w14:paraId="6B27EB6F" w14:textId="77777777" w:rsidR="00602F54" w:rsidRPr="00F45F11" w:rsidRDefault="00602F54" w:rsidP="009817E6">
            <w:pPr>
              <w:pStyle w:val="ARtablecolhead"/>
              <w:rPr>
                <w:rFonts w:eastAsia="Times"/>
              </w:rPr>
            </w:pPr>
            <w:r w:rsidRPr="00F45F11">
              <w:rPr>
                <w:rFonts w:eastAsia="Times"/>
              </w:rPr>
              <w:t>Performance measures</w:t>
            </w:r>
          </w:p>
        </w:tc>
        <w:tc>
          <w:tcPr>
            <w:tcW w:w="537" w:type="pct"/>
            <w:hideMark/>
          </w:tcPr>
          <w:p w14:paraId="757FF78F" w14:textId="77777777" w:rsidR="00602F54" w:rsidRPr="00F45F11" w:rsidRDefault="00602F54" w:rsidP="009817E6">
            <w:pPr>
              <w:pStyle w:val="ARtablecolhead"/>
              <w:rPr>
                <w:rFonts w:eastAsia="Times"/>
              </w:rPr>
            </w:pPr>
            <w:r w:rsidRPr="00F45F11">
              <w:rPr>
                <w:rFonts w:eastAsia="Times"/>
              </w:rPr>
              <w:t>Unit of measure</w:t>
            </w:r>
          </w:p>
        </w:tc>
        <w:tc>
          <w:tcPr>
            <w:tcW w:w="537" w:type="pct"/>
            <w:hideMark/>
          </w:tcPr>
          <w:p w14:paraId="49491B11" w14:textId="77777777" w:rsidR="00602F54" w:rsidRPr="00F45F11" w:rsidRDefault="00602F54" w:rsidP="009817E6">
            <w:pPr>
              <w:pStyle w:val="ARtablecolheadright"/>
              <w:rPr>
                <w:rFonts w:eastAsia="Times"/>
              </w:rPr>
            </w:pPr>
            <w:r w:rsidRPr="00F45F11">
              <w:rPr>
                <w:rFonts w:eastAsia="Times"/>
              </w:rPr>
              <w:t>2025–26 target</w:t>
            </w:r>
          </w:p>
        </w:tc>
        <w:tc>
          <w:tcPr>
            <w:tcW w:w="537" w:type="pct"/>
            <w:hideMark/>
          </w:tcPr>
          <w:p w14:paraId="14A0273B" w14:textId="77777777" w:rsidR="00602F54" w:rsidRPr="00F45F11" w:rsidRDefault="00602F54" w:rsidP="009817E6">
            <w:pPr>
              <w:pStyle w:val="ARtablecolheadright"/>
              <w:rPr>
                <w:rFonts w:eastAsia="Times"/>
              </w:rPr>
            </w:pPr>
            <w:r w:rsidRPr="00F45F11">
              <w:rPr>
                <w:rFonts w:eastAsia="Times"/>
              </w:rPr>
              <w:t>2025–26 actual</w:t>
            </w:r>
          </w:p>
        </w:tc>
        <w:tc>
          <w:tcPr>
            <w:tcW w:w="538" w:type="pct"/>
            <w:hideMark/>
          </w:tcPr>
          <w:p w14:paraId="5F0DC3EB" w14:textId="77777777" w:rsidR="00602F54" w:rsidRPr="00F45F11" w:rsidRDefault="00602F54" w:rsidP="009817E6">
            <w:pPr>
              <w:pStyle w:val="ARtablecolheadright"/>
              <w:rPr>
                <w:rFonts w:eastAsia="Times"/>
              </w:rPr>
            </w:pPr>
            <w:r w:rsidRPr="00F45F11">
              <w:rPr>
                <w:rFonts w:eastAsia="Times"/>
              </w:rPr>
              <w:t xml:space="preserve">Variation </w:t>
            </w:r>
          </w:p>
        </w:tc>
        <w:tc>
          <w:tcPr>
            <w:tcW w:w="351" w:type="pct"/>
            <w:hideMark/>
          </w:tcPr>
          <w:p w14:paraId="2E220522" w14:textId="77777777" w:rsidR="00602F54" w:rsidRPr="00F45F11" w:rsidRDefault="00602F54" w:rsidP="009817E6">
            <w:pPr>
              <w:pStyle w:val="ARtablecolheadright"/>
              <w:rPr>
                <w:rFonts w:eastAsia="Times"/>
              </w:rPr>
            </w:pPr>
            <w:r w:rsidRPr="00F45F11">
              <w:rPr>
                <w:rFonts w:eastAsia="Times"/>
              </w:rPr>
              <w:t>Result</w:t>
            </w:r>
          </w:p>
        </w:tc>
      </w:tr>
      <w:tr w:rsidR="00DC4049" w:rsidRPr="00F45F11" w14:paraId="732B2E7E" w14:textId="77777777" w:rsidTr="004D01FA">
        <w:tc>
          <w:tcPr>
            <w:tcW w:w="2500" w:type="pct"/>
          </w:tcPr>
          <w:p w14:paraId="53092040" w14:textId="62225ACE" w:rsidR="00DC4049" w:rsidRPr="00F45F11" w:rsidRDefault="007172BE" w:rsidP="007172BE">
            <w:pPr>
              <w:pStyle w:val="ARtablegreybold"/>
              <w:rPr>
                <w:rFonts w:eastAsia="Times"/>
              </w:rPr>
            </w:pPr>
            <w:r w:rsidRPr="00F45F11">
              <w:t>Quantity</w:t>
            </w:r>
          </w:p>
        </w:tc>
        <w:tc>
          <w:tcPr>
            <w:tcW w:w="537" w:type="pct"/>
          </w:tcPr>
          <w:p w14:paraId="202708ED" w14:textId="77777777" w:rsidR="00DC4049" w:rsidRPr="00F45F11" w:rsidRDefault="00DC4049" w:rsidP="009817E6">
            <w:pPr>
              <w:pStyle w:val="ARTabletext"/>
              <w:rPr>
                <w:rFonts w:eastAsia="Times"/>
              </w:rPr>
            </w:pPr>
          </w:p>
        </w:tc>
        <w:tc>
          <w:tcPr>
            <w:tcW w:w="537" w:type="pct"/>
          </w:tcPr>
          <w:p w14:paraId="148E1F20" w14:textId="77777777" w:rsidR="00DC4049" w:rsidRPr="00F45F11" w:rsidRDefault="00DC4049" w:rsidP="009817E6">
            <w:pPr>
              <w:pStyle w:val="ARtabletextright"/>
              <w:rPr>
                <w:rFonts w:eastAsia="Times"/>
              </w:rPr>
            </w:pPr>
          </w:p>
        </w:tc>
        <w:tc>
          <w:tcPr>
            <w:tcW w:w="537" w:type="pct"/>
          </w:tcPr>
          <w:p w14:paraId="2B4CDCDA" w14:textId="77777777" w:rsidR="00DC4049" w:rsidRPr="00F45F11" w:rsidRDefault="00DC4049" w:rsidP="009817E6">
            <w:pPr>
              <w:pStyle w:val="ARtabletextright"/>
              <w:rPr>
                <w:rFonts w:eastAsia="Times"/>
              </w:rPr>
            </w:pPr>
          </w:p>
        </w:tc>
        <w:tc>
          <w:tcPr>
            <w:tcW w:w="538" w:type="pct"/>
          </w:tcPr>
          <w:p w14:paraId="3EC162F3" w14:textId="77777777" w:rsidR="00DC4049" w:rsidRPr="00F45F11" w:rsidRDefault="00DC4049" w:rsidP="009817E6">
            <w:pPr>
              <w:pStyle w:val="ARtabletextright"/>
              <w:rPr>
                <w:rFonts w:eastAsia="Times"/>
              </w:rPr>
            </w:pPr>
          </w:p>
        </w:tc>
        <w:tc>
          <w:tcPr>
            <w:tcW w:w="351" w:type="pct"/>
          </w:tcPr>
          <w:p w14:paraId="1BFDD042" w14:textId="77777777" w:rsidR="00DC4049" w:rsidRPr="00F45F11" w:rsidRDefault="00DC4049" w:rsidP="009817E6">
            <w:pPr>
              <w:pStyle w:val="ARtableperformancesymbol"/>
              <w:rPr>
                <w:rFonts w:eastAsia="Times"/>
              </w:rPr>
            </w:pPr>
          </w:p>
        </w:tc>
      </w:tr>
      <w:tr w:rsidR="00602F54" w:rsidRPr="00F45F11" w14:paraId="69FFD322" w14:textId="77777777" w:rsidTr="004D01FA">
        <w:tc>
          <w:tcPr>
            <w:tcW w:w="2500" w:type="pct"/>
            <w:hideMark/>
          </w:tcPr>
          <w:p w14:paraId="1EB55938" w14:textId="77777777" w:rsidR="00602F54" w:rsidRPr="00F45F11" w:rsidRDefault="00602F54" w:rsidP="009817E6">
            <w:pPr>
              <w:pStyle w:val="ARTabletext"/>
              <w:rPr>
                <w:rFonts w:eastAsia="Times"/>
              </w:rPr>
            </w:pPr>
            <w:r w:rsidRPr="00F45F11">
              <w:rPr>
                <w:rFonts w:eastAsia="Times"/>
              </w:rPr>
              <w:t>Households receiving mains electricity concessions</w:t>
            </w:r>
          </w:p>
        </w:tc>
        <w:tc>
          <w:tcPr>
            <w:tcW w:w="537" w:type="pct"/>
            <w:hideMark/>
          </w:tcPr>
          <w:p w14:paraId="2E2C78E2" w14:textId="77777777" w:rsidR="00602F54" w:rsidRPr="00F45F11" w:rsidRDefault="00602F54" w:rsidP="009817E6">
            <w:pPr>
              <w:pStyle w:val="ARTabletext"/>
              <w:rPr>
                <w:rFonts w:eastAsia="Times"/>
              </w:rPr>
            </w:pPr>
            <w:r w:rsidRPr="00F45F11">
              <w:rPr>
                <w:rFonts w:eastAsia="Times"/>
              </w:rPr>
              <w:t>number</w:t>
            </w:r>
          </w:p>
        </w:tc>
        <w:tc>
          <w:tcPr>
            <w:tcW w:w="537" w:type="pct"/>
          </w:tcPr>
          <w:p w14:paraId="7B265123" w14:textId="77777777" w:rsidR="00602F54" w:rsidRPr="00F45F11" w:rsidRDefault="00602F54" w:rsidP="009817E6">
            <w:pPr>
              <w:pStyle w:val="ARtabletextright"/>
              <w:rPr>
                <w:rFonts w:eastAsia="Times"/>
              </w:rPr>
            </w:pPr>
            <w:r w:rsidRPr="00F45F11">
              <w:rPr>
                <w:rFonts w:eastAsia="Times"/>
              </w:rPr>
              <w:t xml:space="preserve">916,823 </w:t>
            </w:r>
          </w:p>
        </w:tc>
        <w:tc>
          <w:tcPr>
            <w:tcW w:w="537" w:type="pct"/>
          </w:tcPr>
          <w:p w14:paraId="0803A028" w14:textId="77777777" w:rsidR="00602F54" w:rsidRPr="00F45F11" w:rsidRDefault="00602F54" w:rsidP="009817E6">
            <w:pPr>
              <w:pStyle w:val="ARtabletextright"/>
              <w:rPr>
                <w:rFonts w:eastAsia="Times"/>
              </w:rPr>
            </w:pPr>
            <w:r w:rsidRPr="00F45F11">
              <w:rPr>
                <w:rFonts w:eastAsia="Times"/>
              </w:rPr>
              <w:t xml:space="preserve">914,924 </w:t>
            </w:r>
          </w:p>
        </w:tc>
        <w:tc>
          <w:tcPr>
            <w:tcW w:w="538" w:type="pct"/>
          </w:tcPr>
          <w:p w14:paraId="0E23DC80" w14:textId="77777777" w:rsidR="00602F54" w:rsidRPr="00F45F11" w:rsidRDefault="00602F54" w:rsidP="009817E6">
            <w:pPr>
              <w:pStyle w:val="ARtabletextright"/>
              <w:rPr>
                <w:rFonts w:eastAsia="Times"/>
              </w:rPr>
            </w:pPr>
            <w:r w:rsidRPr="00F45F11">
              <w:rPr>
                <w:rFonts w:eastAsia="Times"/>
              </w:rPr>
              <w:t>-0.2%</w:t>
            </w:r>
          </w:p>
        </w:tc>
        <w:tc>
          <w:tcPr>
            <w:tcW w:w="351" w:type="pct"/>
            <w:hideMark/>
          </w:tcPr>
          <w:p w14:paraId="10CED64C" w14:textId="77777777" w:rsidR="00602F54" w:rsidRPr="00F45F11" w:rsidRDefault="00602F54" w:rsidP="009817E6">
            <w:pPr>
              <w:pStyle w:val="ARtableperformancesymbol"/>
              <w:rPr>
                <w:rFonts w:eastAsia="Times"/>
              </w:rPr>
            </w:pPr>
            <w:r w:rsidRPr="00F45F11">
              <w:rPr>
                <w:rFonts w:eastAsia="Times"/>
              </w:rPr>
              <w:t>□</w:t>
            </w:r>
          </w:p>
        </w:tc>
      </w:tr>
      <w:tr w:rsidR="00602F54" w:rsidRPr="00F45F11" w14:paraId="7016E248" w14:textId="77777777" w:rsidTr="004D01FA">
        <w:tc>
          <w:tcPr>
            <w:tcW w:w="2500" w:type="pct"/>
            <w:hideMark/>
          </w:tcPr>
          <w:p w14:paraId="1653C208" w14:textId="77777777" w:rsidR="00602F54" w:rsidRPr="00F45F11" w:rsidRDefault="00602F54" w:rsidP="009817E6">
            <w:pPr>
              <w:pStyle w:val="ARTabletext"/>
              <w:rPr>
                <w:rFonts w:eastAsia="Times"/>
              </w:rPr>
            </w:pPr>
            <w:r w:rsidRPr="00F45F11">
              <w:rPr>
                <w:rFonts w:eastAsia="Times"/>
              </w:rPr>
              <w:t>Households receiving mains gas concessions</w:t>
            </w:r>
          </w:p>
        </w:tc>
        <w:tc>
          <w:tcPr>
            <w:tcW w:w="537" w:type="pct"/>
            <w:hideMark/>
          </w:tcPr>
          <w:p w14:paraId="264757FE" w14:textId="77777777" w:rsidR="00602F54" w:rsidRPr="00F45F11" w:rsidRDefault="00602F54" w:rsidP="009817E6">
            <w:pPr>
              <w:pStyle w:val="ARTabletext"/>
              <w:rPr>
                <w:rFonts w:eastAsia="Times"/>
              </w:rPr>
            </w:pPr>
            <w:r w:rsidRPr="00F45F11">
              <w:rPr>
                <w:rFonts w:eastAsia="Times"/>
              </w:rPr>
              <w:t>number</w:t>
            </w:r>
          </w:p>
        </w:tc>
        <w:tc>
          <w:tcPr>
            <w:tcW w:w="537" w:type="pct"/>
          </w:tcPr>
          <w:p w14:paraId="1A076FC3" w14:textId="77777777" w:rsidR="00602F54" w:rsidRPr="00F45F11" w:rsidRDefault="00602F54" w:rsidP="009817E6">
            <w:pPr>
              <w:pStyle w:val="ARtabletextright"/>
              <w:rPr>
                <w:rFonts w:eastAsia="Times"/>
              </w:rPr>
            </w:pPr>
            <w:r w:rsidRPr="00F45F11">
              <w:rPr>
                <w:rFonts w:eastAsia="Times"/>
              </w:rPr>
              <w:t xml:space="preserve">673,870 </w:t>
            </w:r>
          </w:p>
        </w:tc>
        <w:tc>
          <w:tcPr>
            <w:tcW w:w="537" w:type="pct"/>
          </w:tcPr>
          <w:p w14:paraId="2A574011" w14:textId="77777777" w:rsidR="00602F54" w:rsidRPr="003F0659" w:rsidRDefault="00602F54" w:rsidP="009817E6">
            <w:pPr>
              <w:pStyle w:val="ARtabletextright"/>
              <w:rPr>
                <w:rFonts w:eastAsia="Times"/>
              </w:rPr>
            </w:pPr>
            <w:r w:rsidRPr="003F0659">
              <w:rPr>
                <w:rFonts w:eastAsia="Times"/>
              </w:rPr>
              <w:t xml:space="preserve"> 671,859 </w:t>
            </w:r>
          </w:p>
        </w:tc>
        <w:tc>
          <w:tcPr>
            <w:tcW w:w="538" w:type="pct"/>
          </w:tcPr>
          <w:p w14:paraId="704196CD" w14:textId="77777777" w:rsidR="00602F54" w:rsidRPr="00F45F11" w:rsidRDefault="00602F54" w:rsidP="009817E6">
            <w:pPr>
              <w:pStyle w:val="ARtabletextright"/>
              <w:rPr>
                <w:rFonts w:eastAsia="Times"/>
              </w:rPr>
            </w:pPr>
            <w:r w:rsidRPr="00F45F11">
              <w:rPr>
                <w:rFonts w:eastAsia="Times"/>
              </w:rPr>
              <w:t>-0.3%</w:t>
            </w:r>
          </w:p>
        </w:tc>
        <w:tc>
          <w:tcPr>
            <w:tcW w:w="351" w:type="pct"/>
            <w:hideMark/>
          </w:tcPr>
          <w:p w14:paraId="1F433361" w14:textId="77777777" w:rsidR="00602F54" w:rsidRPr="00F45F11" w:rsidRDefault="00602F54" w:rsidP="009817E6">
            <w:pPr>
              <w:pStyle w:val="ARtableperformancesymbol"/>
              <w:rPr>
                <w:rFonts w:eastAsia="Times"/>
              </w:rPr>
            </w:pPr>
            <w:r w:rsidRPr="00F45F11">
              <w:rPr>
                <w:rFonts w:eastAsia="Times"/>
              </w:rPr>
              <w:t>□</w:t>
            </w:r>
          </w:p>
        </w:tc>
      </w:tr>
      <w:tr w:rsidR="00602F54" w:rsidRPr="00F45F11" w14:paraId="635ADD27" w14:textId="77777777" w:rsidTr="004D01FA">
        <w:tc>
          <w:tcPr>
            <w:tcW w:w="2500" w:type="pct"/>
            <w:hideMark/>
          </w:tcPr>
          <w:p w14:paraId="18EF111F" w14:textId="77777777" w:rsidR="00602F54" w:rsidRDefault="00602F54" w:rsidP="009817E6">
            <w:pPr>
              <w:pStyle w:val="ARTabletext"/>
              <w:rPr>
                <w:rFonts w:eastAsia="Times"/>
              </w:rPr>
            </w:pPr>
            <w:r w:rsidRPr="00F45F11">
              <w:rPr>
                <w:rFonts w:eastAsia="Times"/>
              </w:rPr>
              <w:t>Households receiving non-mains energy concessions</w:t>
            </w:r>
          </w:p>
          <w:p w14:paraId="38F3E063" w14:textId="4D826BD3" w:rsidR="007172BE" w:rsidRPr="00F45F11" w:rsidRDefault="007172BE" w:rsidP="007172BE">
            <w:pPr>
              <w:pStyle w:val="ARtablenoteindent"/>
            </w:pPr>
            <w:r w:rsidRPr="00F45F11">
              <w:t>Numbers are driven by public demand. Demand has exceeded expected annual growth due to the nature of the cohort of eligible Victorians who are more susceptible to cost-of-living pressures.</w:t>
            </w:r>
          </w:p>
        </w:tc>
        <w:tc>
          <w:tcPr>
            <w:tcW w:w="537" w:type="pct"/>
            <w:hideMark/>
          </w:tcPr>
          <w:p w14:paraId="7EF41618" w14:textId="77777777" w:rsidR="00602F54" w:rsidRPr="00F45F11" w:rsidRDefault="00602F54" w:rsidP="009817E6">
            <w:pPr>
              <w:pStyle w:val="ARTabletext"/>
              <w:rPr>
                <w:rFonts w:eastAsia="Times"/>
              </w:rPr>
            </w:pPr>
            <w:r w:rsidRPr="00F45F11">
              <w:rPr>
                <w:rFonts w:eastAsia="Times"/>
              </w:rPr>
              <w:t>number</w:t>
            </w:r>
          </w:p>
        </w:tc>
        <w:tc>
          <w:tcPr>
            <w:tcW w:w="537" w:type="pct"/>
          </w:tcPr>
          <w:p w14:paraId="750098A4" w14:textId="77777777" w:rsidR="00602F54" w:rsidRPr="00F45F11" w:rsidRDefault="00602F54" w:rsidP="009817E6">
            <w:pPr>
              <w:pStyle w:val="ARtabletextright"/>
              <w:rPr>
                <w:rFonts w:eastAsia="Times"/>
              </w:rPr>
            </w:pPr>
            <w:r w:rsidRPr="00F45F11" w:rsidDel="006A4052">
              <w:rPr>
                <w:rFonts w:eastAsia="Times"/>
              </w:rPr>
              <w:t>22,</w:t>
            </w:r>
            <w:r w:rsidRPr="00F45F11">
              <w:rPr>
                <w:rFonts w:eastAsia="Times"/>
              </w:rPr>
              <w:t xml:space="preserve">186 </w:t>
            </w:r>
          </w:p>
        </w:tc>
        <w:tc>
          <w:tcPr>
            <w:tcW w:w="537" w:type="pct"/>
          </w:tcPr>
          <w:p w14:paraId="32ECCA95" w14:textId="77777777" w:rsidR="00602F54" w:rsidRPr="00F45F11" w:rsidRDefault="00602F54" w:rsidP="009817E6">
            <w:pPr>
              <w:pStyle w:val="ARtabletextright"/>
              <w:rPr>
                <w:rFonts w:eastAsia="Times"/>
              </w:rPr>
            </w:pPr>
            <w:r w:rsidRPr="00F45F11">
              <w:rPr>
                <w:rFonts w:eastAsia="Times"/>
              </w:rPr>
              <w:t xml:space="preserve"> 30,036 </w:t>
            </w:r>
          </w:p>
        </w:tc>
        <w:tc>
          <w:tcPr>
            <w:tcW w:w="538" w:type="pct"/>
          </w:tcPr>
          <w:p w14:paraId="41248B79" w14:textId="77777777" w:rsidR="00602F54" w:rsidRPr="00F45F11" w:rsidRDefault="00602F54" w:rsidP="009817E6">
            <w:pPr>
              <w:pStyle w:val="ARtabletextright"/>
              <w:rPr>
                <w:rFonts w:eastAsia="Times"/>
              </w:rPr>
            </w:pPr>
            <w:r w:rsidRPr="00F45F11">
              <w:rPr>
                <w:rFonts w:eastAsia="Times"/>
              </w:rPr>
              <w:t>35.4%</w:t>
            </w:r>
          </w:p>
        </w:tc>
        <w:tc>
          <w:tcPr>
            <w:tcW w:w="351" w:type="pct"/>
            <w:hideMark/>
          </w:tcPr>
          <w:p w14:paraId="32077687" w14:textId="77777777" w:rsidR="00602F54" w:rsidRPr="00F45F11" w:rsidRDefault="00602F54" w:rsidP="009817E6">
            <w:pPr>
              <w:pStyle w:val="ARtableperformancesymbol"/>
              <w:rPr>
                <w:rFonts w:eastAsia="Times"/>
              </w:rPr>
            </w:pPr>
            <w:r w:rsidRPr="00F45F11">
              <w:rPr>
                <w:rFonts w:eastAsia="Times"/>
              </w:rPr>
              <w:t></w:t>
            </w:r>
          </w:p>
        </w:tc>
      </w:tr>
      <w:tr w:rsidR="00602F54" w:rsidRPr="00F45F11" w14:paraId="7DF57B28" w14:textId="77777777" w:rsidTr="004D01FA">
        <w:tc>
          <w:tcPr>
            <w:tcW w:w="2500" w:type="pct"/>
            <w:hideMark/>
          </w:tcPr>
          <w:p w14:paraId="6087AF36" w14:textId="2DE3BDF3" w:rsidR="00602F54" w:rsidRPr="00F45F11" w:rsidRDefault="00602F54" w:rsidP="009817E6">
            <w:pPr>
              <w:pStyle w:val="ARTabletext"/>
              <w:rPr>
                <w:rFonts w:eastAsia="Times"/>
              </w:rPr>
            </w:pPr>
            <w:r w:rsidRPr="00F45F11">
              <w:rPr>
                <w:rFonts w:eastAsia="Times"/>
              </w:rPr>
              <w:t>Households receiving pensioner concessions for municipal rates and charges</w:t>
            </w:r>
          </w:p>
        </w:tc>
        <w:tc>
          <w:tcPr>
            <w:tcW w:w="537" w:type="pct"/>
            <w:hideMark/>
          </w:tcPr>
          <w:p w14:paraId="50598E32" w14:textId="77777777" w:rsidR="00602F54" w:rsidRPr="00F45F11" w:rsidRDefault="00602F54" w:rsidP="009817E6">
            <w:pPr>
              <w:pStyle w:val="ARTabletext"/>
              <w:rPr>
                <w:rFonts w:eastAsia="Times"/>
              </w:rPr>
            </w:pPr>
            <w:r w:rsidRPr="00F45F11">
              <w:rPr>
                <w:rFonts w:eastAsia="Times"/>
              </w:rPr>
              <w:t>number</w:t>
            </w:r>
          </w:p>
        </w:tc>
        <w:tc>
          <w:tcPr>
            <w:tcW w:w="537" w:type="pct"/>
          </w:tcPr>
          <w:p w14:paraId="16B0FD5E" w14:textId="77777777" w:rsidR="00602F54" w:rsidRPr="00F45F11" w:rsidRDefault="00602F54" w:rsidP="009817E6">
            <w:pPr>
              <w:pStyle w:val="ARtabletextright"/>
              <w:rPr>
                <w:rFonts w:eastAsia="Times"/>
              </w:rPr>
            </w:pPr>
            <w:r w:rsidRPr="00F45F11">
              <w:rPr>
                <w:rFonts w:eastAsia="Times"/>
              </w:rPr>
              <w:t xml:space="preserve">437,917 </w:t>
            </w:r>
          </w:p>
        </w:tc>
        <w:tc>
          <w:tcPr>
            <w:tcW w:w="537" w:type="pct"/>
          </w:tcPr>
          <w:p w14:paraId="1EF4B387" w14:textId="77777777" w:rsidR="00602F54" w:rsidRPr="003F0659" w:rsidRDefault="00602F54" w:rsidP="009817E6">
            <w:pPr>
              <w:pStyle w:val="ARtabletextright"/>
              <w:rPr>
                <w:rFonts w:eastAsia="Times"/>
              </w:rPr>
            </w:pPr>
            <w:r w:rsidRPr="003F0659">
              <w:rPr>
                <w:rFonts w:eastAsia="Times"/>
              </w:rPr>
              <w:t xml:space="preserve"> 419,087 </w:t>
            </w:r>
          </w:p>
        </w:tc>
        <w:tc>
          <w:tcPr>
            <w:tcW w:w="538" w:type="pct"/>
          </w:tcPr>
          <w:p w14:paraId="2C97F43F" w14:textId="77777777" w:rsidR="00602F54" w:rsidRPr="00F45F11" w:rsidRDefault="00602F54" w:rsidP="009817E6">
            <w:pPr>
              <w:pStyle w:val="ARtabletextright"/>
              <w:rPr>
                <w:rFonts w:eastAsia="Times"/>
              </w:rPr>
            </w:pPr>
            <w:r w:rsidRPr="00F45F11">
              <w:rPr>
                <w:rFonts w:eastAsia="Times"/>
              </w:rPr>
              <w:t>-4.3%</w:t>
            </w:r>
          </w:p>
        </w:tc>
        <w:tc>
          <w:tcPr>
            <w:tcW w:w="351" w:type="pct"/>
            <w:hideMark/>
          </w:tcPr>
          <w:p w14:paraId="5C81E32F" w14:textId="77777777" w:rsidR="00602F54" w:rsidRPr="00F45F11" w:rsidRDefault="00602F54" w:rsidP="009817E6">
            <w:pPr>
              <w:pStyle w:val="ARtableperformancesymbol"/>
              <w:rPr>
                <w:rFonts w:eastAsia="Times"/>
              </w:rPr>
            </w:pPr>
            <w:r w:rsidRPr="00F45F11">
              <w:rPr>
                <w:rFonts w:eastAsia="Times"/>
              </w:rPr>
              <w:t>□</w:t>
            </w:r>
          </w:p>
        </w:tc>
      </w:tr>
      <w:tr w:rsidR="00602F54" w:rsidRPr="00F45F11" w14:paraId="625CDD84" w14:textId="77777777" w:rsidTr="004D01FA">
        <w:tc>
          <w:tcPr>
            <w:tcW w:w="2500" w:type="pct"/>
            <w:hideMark/>
          </w:tcPr>
          <w:p w14:paraId="4D829BC0" w14:textId="77777777" w:rsidR="00602F54" w:rsidRPr="00F45F11" w:rsidRDefault="00602F54" w:rsidP="009817E6">
            <w:pPr>
              <w:pStyle w:val="ARTabletext"/>
              <w:rPr>
                <w:rFonts w:eastAsia="Times"/>
              </w:rPr>
            </w:pPr>
            <w:r w:rsidRPr="00F45F11">
              <w:rPr>
                <w:rFonts w:eastAsia="Times"/>
              </w:rPr>
              <w:t>Households receiving water and sewerage concessions</w:t>
            </w:r>
          </w:p>
        </w:tc>
        <w:tc>
          <w:tcPr>
            <w:tcW w:w="537" w:type="pct"/>
            <w:hideMark/>
          </w:tcPr>
          <w:p w14:paraId="269DF615" w14:textId="77777777" w:rsidR="00602F54" w:rsidRPr="00F45F11" w:rsidRDefault="00602F54" w:rsidP="009817E6">
            <w:pPr>
              <w:pStyle w:val="ARTabletext"/>
              <w:rPr>
                <w:rFonts w:eastAsia="Times"/>
              </w:rPr>
            </w:pPr>
            <w:r w:rsidRPr="00F45F11">
              <w:rPr>
                <w:rFonts w:eastAsia="Times"/>
              </w:rPr>
              <w:t>number</w:t>
            </w:r>
          </w:p>
        </w:tc>
        <w:tc>
          <w:tcPr>
            <w:tcW w:w="537" w:type="pct"/>
          </w:tcPr>
          <w:p w14:paraId="14F65B99" w14:textId="77777777" w:rsidR="00602F54" w:rsidRPr="00F45F11" w:rsidRDefault="00602F54" w:rsidP="009817E6">
            <w:pPr>
              <w:pStyle w:val="ARtabletextright"/>
              <w:rPr>
                <w:rFonts w:eastAsia="Times"/>
              </w:rPr>
            </w:pPr>
            <w:r w:rsidRPr="00F45F11">
              <w:rPr>
                <w:rFonts w:eastAsia="Times"/>
              </w:rPr>
              <w:t xml:space="preserve">704,799 </w:t>
            </w:r>
          </w:p>
        </w:tc>
        <w:tc>
          <w:tcPr>
            <w:tcW w:w="537" w:type="pct"/>
          </w:tcPr>
          <w:p w14:paraId="4A24B980" w14:textId="77777777" w:rsidR="00602F54" w:rsidRPr="003F0659" w:rsidRDefault="00602F54" w:rsidP="009817E6">
            <w:pPr>
              <w:pStyle w:val="ARtabletextright"/>
              <w:rPr>
                <w:rFonts w:eastAsia="Times"/>
              </w:rPr>
            </w:pPr>
            <w:r w:rsidRPr="003F0659">
              <w:rPr>
                <w:rFonts w:eastAsia="Times"/>
              </w:rPr>
              <w:t xml:space="preserve"> 686,117 </w:t>
            </w:r>
          </w:p>
        </w:tc>
        <w:tc>
          <w:tcPr>
            <w:tcW w:w="538" w:type="pct"/>
          </w:tcPr>
          <w:p w14:paraId="7DED30D3" w14:textId="77777777" w:rsidR="00602F54" w:rsidRPr="00F45F11" w:rsidRDefault="00602F54" w:rsidP="009817E6">
            <w:pPr>
              <w:pStyle w:val="ARtabletextright"/>
              <w:rPr>
                <w:rFonts w:eastAsia="Times"/>
              </w:rPr>
            </w:pPr>
            <w:r w:rsidRPr="00F45F11">
              <w:rPr>
                <w:rFonts w:eastAsia="Times"/>
              </w:rPr>
              <w:t>-2.7%</w:t>
            </w:r>
          </w:p>
        </w:tc>
        <w:tc>
          <w:tcPr>
            <w:tcW w:w="351" w:type="pct"/>
            <w:hideMark/>
          </w:tcPr>
          <w:p w14:paraId="0F76F9E1" w14:textId="77777777" w:rsidR="00602F54" w:rsidRPr="00F45F11" w:rsidRDefault="00602F54" w:rsidP="009817E6">
            <w:pPr>
              <w:pStyle w:val="ARtableperformancesymbol"/>
              <w:rPr>
                <w:rFonts w:eastAsia="Times"/>
              </w:rPr>
            </w:pPr>
            <w:r w:rsidRPr="00F45F11">
              <w:rPr>
                <w:rFonts w:eastAsia="Times"/>
              </w:rPr>
              <w:t>□</w:t>
            </w:r>
          </w:p>
        </w:tc>
      </w:tr>
      <w:tr w:rsidR="002273F8" w:rsidRPr="00F45F11" w14:paraId="445BDCC8" w14:textId="77777777" w:rsidTr="004D01FA">
        <w:tc>
          <w:tcPr>
            <w:tcW w:w="2500" w:type="pct"/>
          </w:tcPr>
          <w:p w14:paraId="790BD880" w14:textId="77777777" w:rsidR="002273F8" w:rsidRDefault="002273F8">
            <w:pPr>
              <w:pStyle w:val="ARTabletext"/>
              <w:rPr>
                <w:rFonts w:eastAsia="Times"/>
              </w:rPr>
            </w:pPr>
            <w:r w:rsidRPr="00F45F11">
              <w:rPr>
                <w:rFonts w:eastAsia="Times"/>
              </w:rPr>
              <w:t>Number of State Trustees clients receiving financial administration services</w:t>
            </w:r>
          </w:p>
          <w:p w14:paraId="1280B2DC" w14:textId="2D3CD289" w:rsidR="007172BE" w:rsidRPr="00F45F11" w:rsidRDefault="007172BE" w:rsidP="007172BE">
            <w:pPr>
              <w:pStyle w:val="ARtablenoteindent"/>
            </w:pPr>
            <w:r w:rsidRPr="00F45F11">
              <w:t>State Trustees provides financial administration services to approximately 9,000 to 10,000 Victorians annually. The actual number of clients receiving financial administration services is dependent on VCAT appointments. The higher than target result reflects a longer tenure of client base</w:t>
            </w:r>
            <w:r>
              <w:t>.</w:t>
            </w:r>
          </w:p>
        </w:tc>
        <w:tc>
          <w:tcPr>
            <w:tcW w:w="537" w:type="pct"/>
          </w:tcPr>
          <w:p w14:paraId="6E5A5146" w14:textId="77777777" w:rsidR="002273F8" w:rsidRPr="00F45F11" w:rsidRDefault="002273F8">
            <w:pPr>
              <w:pStyle w:val="ARTabletext"/>
              <w:rPr>
                <w:rFonts w:eastAsia="Times"/>
              </w:rPr>
            </w:pPr>
            <w:r w:rsidRPr="00F45F11">
              <w:rPr>
                <w:rFonts w:eastAsia="Times"/>
              </w:rPr>
              <w:t>number</w:t>
            </w:r>
          </w:p>
        </w:tc>
        <w:tc>
          <w:tcPr>
            <w:tcW w:w="537" w:type="pct"/>
          </w:tcPr>
          <w:p w14:paraId="19ECE2D8" w14:textId="77777777" w:rsidR="002273F8" w:rsidRPr="00F45F11" w:rsidRDefault="002273F8">
            <w:pPr>
              <w:pStyle w:val="ARtabletextright"/>
              <w:rPr>
                <w:rFonts w:eastAsia="Times"/>
              </w:rPr>
            </w:pPr>
            <w:r w:rsidRPr="00F45F11">
              <w:rPr>
                <w:rFonts w:eastAsia="Times"/>
              </w:rPr>
              <w:t xml:space="preserve">9,000 </w:t>
            </w:r>
          </w:p>
        </w:tc>
        <w:tc>
          <w:tcPr>
            <w:tcW w:w="537" w:type="pct"/>
          </w:tcPr>
          <w:p w14:paraId="2FC7280D" w14:textId="77777777" w:rsidR="002273F8" w:rsidRPr="00F45F11" w:rsidRDefault="002273F8">
            <w:pPr>
              <w:pStyle w:val="ARtabletextright"/>
              <w:rPr>
                <w:rFonts w:eastAsia="Times"/>
              </w:rPr>
            </w:pPr>
            <w:r w:rsidRPr="00F45F11" w:rsidDel="00262AC9">
              <w:rPr>
                <w:rFonts w:eastAsia="Times"/>
              </w:rPr>
              <w:t>9,</w:t>
            </w:r>
            <w:r w:rsidRPr="00F45F11">
              <w:rPr>
                <w:rFonts w:eastAsia="Times"/>
              </w:rPr>
              <w:t xml:space="preserve">682 </w:t>
            </w:r>
          </w:p>
        </w:tc>
        <w:tc>
          <w:tcPr>
            <w:tcW w:w="538" w:type="pct"/>
          </w:tcPr>
          <w:p w14:paraId="06583B51" w14:textId="77777777" w:rsidR="002273F8" w:rsidRPr="00F45F11" w:rsidRDefault="002273F8">
            <w:pPr>
              <w:pStyle w:val="ARtabletextright"/>
              <w:rPr>
                <w:rFonts w:eastAsia="Times"/>
              </w:rPr>
            </w:pPr>
            <w:r w:rsidRPr="00F45F11">
              <w:rPr>
                <w:rFonts w:eastAsia="Times"/>
              </w:rPr>
              <w:t>7.6%</w:t>
            </w:r>
          </w:p>
        </w:tc>
        <w:tc>
          <w:tcPr>
            <w:tcW w:w="351" w:type="pct"/>
          </w:tcPr>
          <w:p w14:paraId="01E83592" w14:textId="77777777" w:rsidR="002273F8" w:rsidRPr="00F45F11" w:rsidRDefault="002273F8">
            <w:pPr>
              <w:pStyle w:val="ARtableperformancesymbol"/>
              <w:rPr>
                <w:rFonts w:eastAsia="Times"/>
              </w:rPr>
            </w:pPr>
            <w:r w:rsidRPr="00F45F11">
              <w:rPr>
                <w:rFonts w:eastAsia="Times"/>
              </w:rPr>
              <w:t></w:t>
            </w:r>
          </w:p>
        </w:tc>
      </w:tr>
      <w:tr w:rsidR="00602F54" w:rsidRPr="00F45F11" w14:paraId="710B39AF" w14:textId="77777777" w:rsidTr="004D01FA">
        <w:tc>
          <w:tcPr>
            <w:tcW w:w="2500" w:type="pct"/>
          </w:tcPr>
          <w:p w14:paraId="7341B370" w14:textId="77777777" w:rsidR="00602F54" w:rsidRDefault="00602F54" w:rsidP="009817E6">
            <w:pPr>
              <w:pStyle w:val="ARTabletext"/>
              <w:rPr>
                <w:rFonts w:eastAsia="Times"/>
              </w:rPr>
            </w:pPr>
            <w:r w:rsidRPr="00F45F11">
              <w:rPr>
                <w:rFonts w:eastAsia="Times"/>
              </w:rPr>
              <w:t>Number of Utility Relief Grants granted to households</w:t>
            </w:r>
          </w:p>
          <w:p w14:paraId="1FAAF44F" w14:textId="40E8692C" w:rsidR="007172BE" w:rsidRPr="00F45F11" w:rsidRDefault="007172BE" w:rsidP="007172BE">
            <w:pPr>
              <w:pStyle w:val="ARtablenoteindent"/>
            </w:pPr>
            <w:r w:rsidRPr="00F45F11">
              <w:t>Annual demand growth has exceeded expectations due to the greater susceptibility to cost-of-living expenses of people eligible for Utility Relief Grants.</w:t>
            </w:r>
          </w:p>
        </w:tc>
        <w:tc>
          <w:tcPr>
            <w:tcW w:w="537" w:type="pct"/>
          </w:tcPr>
          <w:p w14:paraId="7C6B4EFD" w14:textId="77777777" w:rsidR="00602F54" w:rsidRPr="00F45F11" w:rsidRDefault="00602F54" w:rsidP="009817E6">
            <w:pPr>
              <w:pStyle w:val="ARTabletext"/>
              <w:rPr>
                <w:rFonts w:eastAsia="Times"/>
              </w:rPr>
            </w:pPr>
            <w:r w:rsidRPr="00F45F11">
              <w:rPr>
                <w:rFonts w:eastAsia="Times"/>
              </w:rPr>
              <w:t>number</w:t>
            </w:r>
          </w:p>
        </w:tc>
        <w:tc>
          <w:tcPr>
            <w:tcW w:w="537" w:type="pct"/>
          </w:tcPr>
          <w:p w14:paraId="3BC24D60" w14:textId="77777777" w:rsidR="00602F54" w:rsidRPr="00F45F11" w:rsidRDefault="00602F54" w:rsidP="009817E6">
            <w:pPr>
              <w:pStyle w:val="ARtabletextright"/>
              <w:rPr>
                <w:rFonts w:eastAsia="Times"/>
              </w:rPr>
            </w:pPr>
            <w:r w:rsidRPr="00F45F11">
              <w:rPr>
                <w:rFonts w:eastAsia="Times"/>
              </w:rPr>
              <w:t xml:space="preserve">249,879 </w:t>
            </w:r>
          </w:p>
        </w:tc>
        <w:tc>
          <w:tcPr>
            <w:tcW w:w="537" w:type="pct"/>
          </w:tcPr>
          <w:p w14:paraId="281F3351" w14:textId="77777777" w:rsidR="00602F54" w:rsidRPr="00F45F11" w:rsidRDefault="00602F54" w:rsidP="009817E6">
            <w:pPr>
              <w:pStyle w:val="ARtabletextright"/>
              <w:rPr>
                <w:rFonts w:eastAsia="Times"/>
              </w:rPr>
            </w:pPr>
            <w:r w:rsidRPr="00F45F11">
              <w:rPr>
                <w:rFonts w:eastAsia="Times"/>
              </w:rPr>
              <w:t xml:space="preserve"> 295,104 </w:t>
            </w:r>
          </w:p>
        </w:tc>
        <w:tc>
          <w:tcPr>
            <w:tcW w:w="538" w:type="pct"/>
          </w:tcPr>
          <w:p w14:paraId="5000834A" w14:textId="77777777" w:rsidR="00602F54" w:rsidRPr="00F45F11" w:rsidRDefault="00602F54" w:rsidP="009817E6">
            <w:pPr>
              <w:pStyle w:val="ARtabletextright"/>
              <w:rPr>
                <w:rFonts w:eastAsia="Times"/>
              </w:rPr>
            </w:pPr>
            <w:r w:rsidRPr="00F45F11">
              <w:rPr>
                <w:rFonts w:eastAsia="Times"/>
              </w:rPr>
              <w:t>18.1%</w:t>
            </w:r>
          </w:p>
        </w:tc>
        <w:tc>
          <w:tcPr>
            <w:tcW w:w="351" w:type="pct"/>
          </w:tcPr>
          <w:p w14:paraId="3EB9980E" w14:textId="77777777" w:rsidR="00602F54" w:rsidRPr="00F45F11" w:rsidRDefault="00602F54" w:rsidP="009817E6">
            <w:pPr>
              <w:pStyle w:val="ARtableperformancesymbol"/>
              <w:rPr>
                <w:rFonts w:eastAsia="Times"/>
              </w:rPr>
            </w:pPr>
            <w:r w:rsidRPr="00F45F11">
              <w:rPr>
                <w:rFonts w:eastAsia="Times"/>
              </w:rPr>
              <w:t></w:t>
            </w:r>
          </w:p>
        </w:tc>
      </w:tr>
      <w:tr w:rsidR="00DC4049" w:rsidRPr="00F45F11" w14:paraId="014149F2" w14:textId="77777777" w:rsidTr="004D01FA">
        <w:tc>
          <w:tcPr>
            <w:tcW w:w="2500" w:type="pct"/>
          </w:tcPr>
          <w:p w14:paraId="69B1FE74" w14:textId="2B8E8028" w:rsidR="00DC4049" w:rsidRPr="00F45F11" w:rsidRDefault="007172BE" w:rsidP="00342264">
            <w:pPr>
              <w:pStyle w:val="ARtablegreybold"/>
              <w:keepNext/>
              <w:rPr>
                <w:rFonts w:eastAsia="Times"/>
              </w:rPr>
            </w:pPr>
            <w:r w:rsidRPr="00F45F11">
              <w:t>Quality</w:t>
            </w:r>
          </w:p>
        </w:tc>
        <w:tc>
          <w:tcPr>
            <w:tcW w:w="537" w:type="pct"/>
          </w:tcPr>
          <w:p w14:paraId="6C7B8F77" w14:textId="77777777" w:rsidR="00DC4049" w:rsidRPr="00F45F11" w:rsidRDefault="00DC4049" w:rsidP="009817E6">
            <w:pPr>
              <w:pStyle w:val="ARTabletext"/>
              <w:rPr>
                <w:rFonts w:eastAsia="Times"/>
              </w:rPr>
            </w:pPr>
          </w:p>
        </w:tc>
        <w:tc>
          <w:tcPr>
            <w:tcW w:w="537" w:type="pct"/>
          </w:tcPr>
          <w:p w14:paraId="5B3BB493" w14:textId="77777777" w:rsidR="00DC4049" w:rsidRPr="00F45F11" w:rsidRDefault="00DC4049" w:rsidP="009817E6">
            <w:pPr>
              <w:pStyle w:val="ARtabletextright"/>
              <w:rPr>
                <w:rFonts w:eastAsia="Times"/>
              </w:rPr>
            </w:pPr>
          </w:p>
        </w:tc>
        <w:tc>
          <w:tcPr>
            <w:tcW w:w="537" w:type="pct"/>
          </w:tcPr>
          <w:p w14:paraId="1C8B5E6B" w14:textId="77777777" w:rsidR="00DC4049" w:rsidRPr="00F45F11" w:rsidRDefault="00DC4049" w:rsidP="009817E6">
            <w:pPr>
              <w:pStyle w:val="ARtabletextright"/>
              <w:rPr>
                <w:rFonts w:eastAsia="Times"/>
              </w:rPr>
            </w:pPr>
          </w:p>
        </w:tc>
        <w:tc>
          <w:tcPr>
            <w:tcW w:w="538" w:type="pct"/>
          </w:tcPr>
          <w:p w14:paraId="29B201BE" w14:textId="77777777" w:rsidR="00DC4049" w:rsidRPr="00F45F11" w:rsidRDefault="00DC4049" w:rsidP="009817E6">
            <w:pPr>
              <w:pStyle w:val="ARtabletextright"/>
              <w:rPr>
                <w:rFonts w:eastAsia="Times"/>
              </w:rPr>
            </w:pPr>
          </w:p>
        </w:tc>
        <w:tc>
          <w:tcPr>
            <w:tcW w:w="351" w:type="pct"/>
          </w:tcPr>
          <w:p w14:paraId="2CF9ABD1" w14:textId="77777777" w:rsidR="00DC4049" w:rsidRPr="00F45F11" w:rsidRDefault="00DC4049" w:rsidP="009817E6">
            <w:pPr>
              <w:pStyle w:val="ARtableperformancesymbol"/>
              <w:rPr>
                <w:rFonts w:eastAsia="Times"/>
              </w:rPr>
            </w:pPr>
          </w:p>
        </w:tc>
      </w:tr>
      <w:tr w:rsidR="00602F54" w:rsidRPr="00F45F11" w14:paraId="02B2AF71" w14:textId="77777777" w:rsidTr="004D01FA">
        <w:tc>
          <w:tcPr>
            <w:tcW w:w="2500" w:type="pct"/>
            <w:hideMark/>
          </w:tcPr>
          <w:p w14:paraId="00738B4D" w14:textId="77777777" w:rsidR="00602F54" w:rsidRDefault="00602F54" w:rsidP="009817E6">
            <w:pPr>
              <w:pStyle w:val="ARTabletext"/>
              <w:rPr>
                <w:rFonts w:eastAsia="Times"/>
              </w:rPr>
            </w:pPr>
            <w:r w:rsidRPr="00F45F11">
              <w:rPr>
                <w:rFonts w:eastAsia="Times"/>
              </w:rPr>
              <w:t>State Trustees client experience index (client satisfaction measure)</w:t>
            </w:r>
          </w:p>
          <w:p w14:paraId="17989CC8" w14:textId="391AA1D5" w:rsidR="007172BE" w:rsidRPr="00F45F11" w:rsidRDefault="007172BE" w:rsidP="007172BE">
            <w:pPr>
              <w:pStyle w:val="ARtablenoteindent"/>
            </w:pPr>
            <w:r w:rsidRPr="00F45F11">
              <w:t>Result exceeded the target, reflecting the continuing maturity of the tiered service delivery model that provides clients with service according to need, as well as internal improvements made to customer-delivery skills.</w:t>
            </w:r>
          </w:p>
        </w:tc>
        <w:tc>
          <w:tcPr>
            <w:tcW w:w="537" w:type="pct"/>
            <w:hideMark/>
          </w:tcPr>
          <w:p w14:paraId="54C36B63" w14:textId="77777777" w:rsidR="00602F54" w:rsidRPr="00F45F11" w:rsidRDefault="00602F54" w:rsidP="009817E6">
            <w:pPr>
              <w:pStyle w:val="ARTabletext"/>
              <w:rPr>
                <w:rFonts w:eastAsia="Times"/>
              </w:rPr>
            </w:pPr>
            <w:r w:rsidRPr="00F45F11">
              <w:rPr>
                <w:rFonts w:eastAsia="Times"/>
              </w:rPr>
              <w:t>per cent</w:t>
            </w:r>
          </w:p>
        </w:tc>
        <w:tc>
          <w:tcPr>
            <w:tcW w:w="537" w:type="pct"/>
          </w:tcPr>
          <w:p w14:paraId="67FBA0C9" w14:textId="77777777" w:rsidR="00602F54" w:rsidRPr="00F45F11" w:rsidRDefault="00602F54" w:rsidP="009817E6">
            <w:pPr>
              <w:pStyle w:val="ARtabletextright"/>
              <w:rPr>
                <w:rFonts w:eastAsia="Times"/>
              </w:rPr>
            </w:pPr>
            <w:r w:rsidRPr="00F45F11">
              <w:rPr>
                <w:rFonts w:eastAsia="Times"/>
              </w:rPr>
              <w:t xml:space="preserve">80 </w:t>
            </w:r>
          </w:p>
        </w:tc>
        <w:tc>
          <w:tcPr>
            <w:tcW w:w="537" w:type="pct"/>
          </w:tcPr>
          <w:p w14:paraId="3B542778" w14:textId="77777777" w:rsidR="00602F54" w:rsidRPr="00F45F11" w:rsidRDefault="00602F54" w:rsidP="009817E6">
            <w:pPr>
              <w:pStyle w:val="ARtabletextright"/>
              <w:rPr>
                <w:rFonts w:eastAsia="Times"/>
              </w:rPr>
            </w:pPr>
            <w:r w:rsidRPr="00F45F11">
              <w:rPr>
                <w:rFonts w:eastAsia="Times"/>
              </w:rPr>
              <w:t xml:space="preserve">84 </w:t>
            </w:r>
          </w:p>
        </w:tc>
        <w:tc>
          <w:tcPr>
            <w:tcW w:w="538" w:type="pct"/>
          </w:tcPr>
          <w:p w14:paraId="267B0861" w14:textId="77777777" w:rsidR="00602F54" w:rsidRPr="00F45F11" w:rsidRDefault="00602F54" w:rsidP="009817E6">
            <w:pPr>
              <w:pStyle w:val="ARtabletextright"/>
              <w:rPr>
                <w:rFonts w:eastAsia="Times"/>
              </w:rPr>
            </w:pPr>
            <w:r w:rsidRPr="00F45F11">
              <w:rPr>
                <w:rFonts w:eastAsia="Times"/>
              </w:rPr>
              <w:t>5.0%</w:t>
            </w:r>
          </w:p>
        </w:tc>
        <w:tc>
          <w:tcPr>
            <w:tcW w:w="351" w:type="pct"/>
            <w:hideMark/>
          </w:tcPr>
          <w:p w14:paraId="58FD2649" w14:textId="77777777" w:rsidR="00602F54" w:rsidRPr="00F45F11" w:rsidRDefault="00602F54" w:rsidP="009817E6">
            <w:pPr>
              <w:pStyle w:val="ARtableperformancesymbol"/>
              <w:rPr>
                <w:rFonts w:eastAsia="Times"/>
              </w:rPr>
            </w:pPr>
            <w:r w:rsidRPr="00F45F11">
              <w:rPr>
                <w:rFonts w:eastAsia="Times"/>
              </w:rPr>
              <w:t></w:t>
            </w:r>
          </w:p>
        </w:tc>
      </w:tr>
      <w:tr w:rsidR="00DC4049" w:rsidRPr="00F45F11" w14:paraId="4091F2D6" w14:textId="77777777" w:rsidTr="004D01FA">
        <w:tc>
          <w:tcPr>
            <w:tcW w:w="2500" w:type="pct"/>
          </w:tcPr>
          <w:p w14:paraId="1CD214CA" w14:textId="2202D62E" w:rsidR="00DC4049" w:rsidRPr="00F45F11" w:rsidRDefault="007172BE" w:rsidP="007172BE">
            <w:pPr>
              <w:pStyle w:val="ARtablegreybold"/>
              <w:rPr>
                <w:rFonts w:eastAsia="Times"/>
              </w:rPr>
            </w:pPr>
            <w:r w:rsidRPr="00F45F11">
              <w:t>Timeliness</w:t>
            </w:r>
          </w:p>
        </w:tc>
        <w:tc>
          <w:tcPr>
            <w:tcW w:w="537" w:type="pct"/>
          </w:tcPr>
          <w:p w14:paraId="42744699" w14:textId="77777777" w:rsidR="00DC4049" w:rsidRPr="00F45F11" w:rsidRDefault="00DC4049" w:rsidP="009817E6">
            <w:pPr>
              <w:pStyle w:val="ARTabletext"/>
              <w:rPr>
                <w:rFonts w:eastAsia="Times"/>
              </w:rPr>
            </w:pPr>
          </w:p>
        </w:tc>
        <w:tc>
          <w:tcPr>
            <w:tcW w:w="537" w:type="pct"/>
          </w:tcPr>
          <w:p w14:paraId="01C544C9" w14:textId="77777777" w:rsidR="00DC4049" w:rsidRPr="00F45F11" w:rsidRDefault="00DC4049" w:rsidP="009817E6">
            <w:pPr>
              <w:pStyle w:val="ARtabletextright"/>
              <w:rPr>
                <w:rFonts w:eastAsia="Times"/>
              </w:rPr>
            </w:pPr>
          </w:p>
        </w:tc>
        <w:tc>
          <w:tcPr>
            <w:tcW w:w="537" w:type="pct"/>
          </w:tcPr>
          <w:p w14:paraId="07EC8766" w14:textId="77777777" w:rsidR="00DC4049" w:rsidRPr="00F45F11" w:rsidRDefault="00DC4049" w:rsidP="009817E6">
            <w:pPr>
              <w:pStyle w:val="ARtabletextright"/>
              <w:rPr>
                <w:rFonts w:eastAsia="Times"/>
              </w:rPr>
            </w:pPr>
          </w:p>
        </w:tc>
        <w:tc>
          <w:tcPr>
            <w:tcW w:w="538" w:type="pct"/>
          </w:tcPr>
          <w:p w14:paraId="18130643" w14:textId="77777777" w:rsidR="00DC4049" w:rsidRPr="00F45F11" w:rsidRDefault="00DC4049" w:rsidP="009817E6">
            <w:pPr>
              <w:pStyle w:val="ARtabletextright"/>
              <w:rPr>
                <w:rFonts w:eastAsia="Times"/>
              </w:rPr>
            </w:pPr>
          </w:p>
        </w:tc>
        <w:tc>
          <w:tcPr>
            <w:tcW w:w="351" w:type="pct"/>
          </w:tcPr>
          <w:p w14:paraId="2CE3F746" w14:textId="77777777" w:rsidR="00DC4049" w:rsidRPr="00F45F11" w:rsidRDefault="00DC4049" w:rsidP="009817E6">
            <w:pPr>
              <w:pStyle w:val="ARtableperformancesymbol"/>
              <w:rPr>
                <w:rFonts w:eastAsia="Times"/>
              </w:rPr>
            </w:pPr>
          </w:p>
        </w:tc>
      </w:tr>
      <w:tr w:rsidR="00602F54" w:rsidRPr="00F45F11" w14:paraId="50160339" w14:textId="77777777" w:rsidTr="004D01FA">
        <w:tc>
          <w:tcPr>
            <w:tcW w:w="2500" w:type="pct"/>
            <w:hideMark/>
          </w:tcPr>
          <w:p w14:paraId="6500AC6C" w14:textId="77777777" w:rsidR="00602F54" w:rsidRDefault="00602F54" w:rsidP="009817E6">
            <w:pPr>
              <w:pStyle w:val="ARTabletext"/>
              <w:rPr>
                <w:rFonts w:eastAsia="Times"/>
              </w:rPr>
            </w:pPr>
            <w:r w:rsidRPr="00F45F11">
              <w:rPr>
                <w:rFonts w:eastAsia="Times"/>
              </w:rPr>
              <w:t>Percentage of State Trustees clients onboarded within 45 days</w:t>
            </w:r>
          </w:p>
          <w:p w14:paraId="489AEDAA" w14:textId="678DAB64" w:rsidR="007172BE" w:rsidRPr="00F45F11" w:rsidRDefault="007172BE" w:rsidP="007172BE">
            <w:pPr>
              <w:pStyle w:val="ARtablenoteindent"/>
            </w:pPr>
            <w:r w:rsidRPr="00F45F11">
              <w:t>Target exceeded after State Trustees reviewed the onboarding function and identified efficiencies.</w:t>
            </w:r>
          </w:p>
        </w:tc>
        <w:tc>
          <w:tcPr>
            <w:tcW w:w="537" w:type="pct"/>
            <w:hideMark/>
          </w:tcPr>
          <w:p w14:paraId="7A9C70F0" w14:textId="77777777" w:rsidR="00602F54" w:rsidRPr="00F45F11" w:rsidRDefault="00602F54" w:rsidP="009817E6">
            <w:pPr>
              <w:pStyle w:val="ARTabletext"/>
              <w:rPr>
                <w:rFonts w:eastAsia="Times"/>
              </w:rPr>
            </w:pPr>
            <w:r w:rsidRPr="00F45F11">
              <w:rPr>
                <w:rFonts w:eastAsia="Times"/>
              </w:rPr>
              <w:t>per cent</w:t>
            </w:r>
          </w:p>
        </w:tc>
        <w:tc>
          <w:tcPr>
            <w:tcW w:w="537" w:type="pct"/>
          </w:tcPr>
          <w:p w14:paraId="5EA5B3C0" w14:textId="77777777" w:rsidR="00602F54" w:rsidRPr="00F45F11" w:rsidRDefault="00602F54" w:rsidP="009817E6">
            <w:pPr>
              <w:pStyle w:val="ARtabletextright"/>
              <w:rPr>
                <w:rFonts w:eastAsia="Times"/>
              </w:rPr>
            </w:pPr>
            <w:r w:rsidRPr="00F45F11">
              <w:rPr>
                <w:rFonts w:eastAsia="Times"/>
              </w:rPr>
              <w:t>90.0</w:t>
            </w:r>
          </w:p>
        </w:tc>
        <w:tc>
          <w:tcPr>
            <w:tcW w:w="537" w:type="pct"/>
          </w:tcPr>
          <w:p w14:paraId="15EDC3AA" w14:textId="77777777" w:rsidR="00602F54" w:rsidRPr="00F45F11" w:rsidRDefault="00602F54" w:rsidP="009817E6">
            <w:pPr>
              <w:pStyle w:val="ARtabletextright"/>
              <w:rPr>
                <w:rFonts w:eastAsia="Times"/>
              </w:rPr>
            </w:pPr>
            <w:r w:rsidRPr="00F45F11">
              <w:rPr>
                <w:rFonts w:eastAsia="Times"/>
              </w:rPr>
              <w:t>95.0</w:t>
            </w:r>
          </w:p>
        </w:tc>
        <w:tc>
          <w:tcPr>
            <w:tcW w:w="538" w:type="pct"/>
          </w:tcPr>
          <w:p w14:paraId="5D780E59" w14:textId="77777777" w:rsidR="00602F54" w:rsidRPr="00F45F11" w:rsidRDefault="00602F54" w:rsidP="009817E6">
            <w:pPr>
              <w:pStyle w:val="ARtabletextright"/>
              <w:rPr>
                <w:rFonts w:eastAsia="Times"/>
              </w:rPr>
            </w:pPr>
            <w:r w:rsidRPr="00F45F11">
              <w:rPr>
                <w:rFonts w:eastAsia="Times"/>
              </w:rPr>
              <w:t>5.6%</w:t>
            </w:r>
          </w:p>
        </w:tc>
        <w:tc>
          <w:tcPr>
            <w:tcW w:w="351" w:type="pct"/>
            <w:hideMark/>
          </w:tcPr>
          <w:p w14:paraId="61CB5202" w14:textId="77777777" w:rsidR="00602F54" w:rsidRPr="00F45F11" w:rsidRDefault="00602F54" w:rsidP="009817E6">
            <w:pPr>
              <w:pStyle w:val="ARtableperformancesymbol"/>
              <w:rPr>
                <w:rFonts w:eastAsia="Times"/>
              </w:rPr>
            </w:pPr>
            <w:r w:rsidRPr="00F45F11">
              <w:rPr>
                <w:rFonts w:eastAsia="Times"/>
              </w:rPr>
              <w:t></w:t>
            </w:r>
          </w:p>
        </w:tc>
      </w:tr>
      <w:tr w:rsidR="00DC4049" w:rsidRPr="00F45F11" w14:paraId="42F81E1A" w14:textId="77777777" w:rsidTr="004D01FA">
        <w:tc>
          <w:tcPr>
            <w:tcW w:w="2500" w:type="pct"/>
          </w:tcPr>
          <w:p w14:paraId="4D123C6D" w14:textId="7A26E137" w:rsidR="00DC4049" w:rsidRPr="00F45F11" w:rsidRDefault="007172BE" w:rsidP="00DC4049">
            <w:pPr>
              <w:pStyle w:val="ARtablegreybold"/>
            </w:pPr>
            <w:r w:rsidRPr="00F45F11">
              <w:t>Cost</w:t>
            </w:r>
          </w:p>
        </w:tc>
        <w:tc>
          <w:tcPr>
            <w:tcW w:w="537" w:type="pct"/>
          </w:tcPr>
          <w:p w14:paraId="4FA50986" w14:textId="77777777" w:rsidR="00DC4049" w:rsidRPr="00F45F11" w:rsidRDefault="00DC4049" w:rsidP="00DC4049">
            <w:pPr>
              <w:pStyle w:val="ARtablegreybold"/>
            </w:pPr>
          </w:p>
        </w:tc>
        <w:tc>
          <w:tcPr>
            <w:tcW w:w="537" w:type="pct"/>
          </w:tcPr>
          <w:p w14:paraId="096B310D" w14:textId="77777777" w:rsidR="00DC4049" w:rsidRPr="00F45F11" w:rsidRDefault="00DC4049" w:rsidP="00DC4049">
            <w:pPr>
              <w:pStyle w:val="ARtablegreybold"/>
            </w:pPr>
          </w:p>
        </w:tc>
        <w:tc>
          <w:tcPr>
            <w:tcW w:w="537" w:type="pct"/>
          </w:tcPr>
          <w:p w14:paraId="70456B41" w14:textId="77777777" w:rsidR="00DC4049" w:rsidRPr="00F45F11" w:rsidDel="00D21187" w:rsidRDefault="00DC4049" w:rsidP="00DC4049">
            <w:pPr>
              <w:pStyle w:val="ARtablegreybold"/>
            </w:pPr>
          </w:p>
        </w:tc>
        <w:tc>
          <w:tcPr>
            <w:tcW w:w="538" w:type="pct"/>
          </w:tcPr>
          <w:p w14:paraId="32308AE9" w14:textId="77777777" w:rsidR="00DC4049" w:rsidRPr="00F45F11" w:rsidRDefault="00DC4049" w:rsidP="00DC4049">
            <w:pPr>
              <w:pStyle w:val="ARtablegreybold"/>
            </w:pPr>
          </w:p>
        </w:tc>
        <w:tc>
          <w:tcPr>
            <w:tcW w:w="351" w:type="pct"/>
          </w:tcPr>
          <w:p w14:paraId="0B4DCE83" w14:textId="77777777" w:rsidR="00DC4049" w:rsidRPr="00F45F11" w:rsidRDefault="00DC4049" w:rsidP="00DC4049">
            <w:pPr>
              <w:pStyle w:val="ARtablegreybold"/>
            </w:pPr>
          </w:p>
        </w:tc>
      </w:tr>
      <w:tr w:rsidR="00602F54" w:rsidRPr="00F45F11" w14:paraId="2E961BE7" w14:textId="77777777" w:rsidTr="004D01FA">
        <w:trPr>
          <w:cnfStyle w:val="010000000000" w:firstRow="0" w:lastRow="1" w:firstColumn="0" w:lastColumn="0" w:oddVBand="0" w:evenVBand="0" w:oddHBand="0" w:evenHBand="0" w:firstRowFirstColumn="0" w:firstRowLastColumn="0" w:lastRowFirstColumn="0" w:lastRowLastColumn="0"/>
        </w:trPr>
        <w:tc>
          <w:tcPr>
            <w:tcW w:w="2500" w:type="pct"/>
            <w:hideMark/>
          </w:tcPr>
          <w:p w14:paraId="5511B8D1" w14:textId="77777777" w:rsidR="00602F54" w:rsidRDefault="00602F54" w:rsidP="009817E6">
            <w:pPr>
              <w:pStyle w:val="ARtabletextbold"/>
              <w:rPr>
                <w:rFonts w:eastAsia="Times"/>
              </w:rPr>
            </w:pPr>
            <w:r w:rsidRPr="00F45F11">
              <w:rPr>
                <w:rFonts w:eastAsia="Times"/>
              </w:rPr>
              <w:t>Total output cost</w:t>
            </w:r>
          </w:p>
          <w:p w14:paraId="39EAEE99" w14:textId="7A1BFCC2" w:rsidR="00F659C1" w:rsidRPr="00F45F11" w:rsidRDefault="00F659C1" w:rsidP="00F659C1">
            <w:pPr>
              <w:pStyle w:val="ARtablenoteindent"/>
            </w:pPr>
            <w:r w:rsidRPr="00F45F11">
              <w:t>The higher expenditure relates to increase in Commonwealth Energy Relief funding</w:t>
            </w:r>
          </w:p>
        </w:tc>
        <w:tc>
          <w:tcPr>
            <w:tcW w:w="537" w:type="pct"/>
            <w:hideMark/>
          </w:tcPr>
          <w:p w14:paraId="04D0472A" w14:textId="77777777" w:rsidR="00602F54" w:rsidRPr="00F45F11" w:rsidRDefault="00602F54" w:rsidP="009817E6">
            <w:pPr>
              <w:pStyle w:val="ARtabletextbold"/>
              <w:rPr>
                <w:rFonts w:eastAsia="Times"/>
              </w:rPr>
            </w:pPr>
            <w:r w:rsidRPr="00F45F11">
              <w:rPr>
                <w:rFonts w:eastAsia="Times"/>
              </w:rPr>
              <w:t>$ million</w:t>
            </w:r>
          </w:p>
        </w:tc>
        <w:tc>
          <w:tcPr>
            <w:tcW w:w="537" w:type="pct"/>
          </w:tcPr>
          <w:p w14:paraId="4546D918" w14:textId="77777777" w:rsidR="00602F54" w:rsidRPr="00F45F11" w:rsidRDefault="00602F54" w:rsidP="009817E6">
            <w:pPr>
              <w:pStyle w:val="ARtabletextrightbold"/>
              <w:rPr>
                <w:rFonts w:eastAsia="Times"/>
              </w:rPr>
            </w:pPr>
            <w:r w:rsidRPr="00F45F11">
              <w:rPr>
                <w:rFonts w:eastAsia="Times"/>
              </w:rPr>
              <w:t>1,162.9</w:t>
            </w:r>
          </w:p>
        </w:tc>
        <w:tc>
          <w:tcPr>
            <w:tcW w:w="537" w:type="pct"/>
          </w:tcPr>
          <w:p w14:paraId="4A034875" w14:textId="77777777" w:rsidR="00602F54" w:rsidRPr="00F45F11" w:rsidRDefault="00602F54" w:rsidP="009817E6">
            <w:pPr>
              <w:pStyle w:val="ARtabletextrightbold"/>
              <w:rPr>
                <w:rFonts w:eastAsia="Times"/>
              </w:rPr>
            </w:pPr>
            <w:r w:rsidRPr="00F45F11" w:rsidDel="00D21187">
              <w:rPr>
                <w:rFonts w:eastAsia="Times"/>
              </w:rPr>
              <w:t>1,</w:t>
            </w:r>
            <w:r w:rsidRPr="00F45F11">
              <w:rPr>
                <w:rFonts w:eastAsia="Times"/>
              </w:rPr>
              <w:t>259.2</w:t>
            </w:r>
          </w:p>
        </w:tc>
        <w:tc>
          <w:tcPr>
            <w:tcW w:w="538" w:type="pct"/>
          </w:tcPr>
          <w:p w14:paraId="7AFF8911" w14:textId="77777777" w:rsidR="00602F54" w:rsidRPr="00F45F11" w:rsidRDefault="00602F54" w:rsidP="009817E6">
            <w:pPr>
              <w:pStyle w:val="ARtabletextrightbold"/>
              <w:rPr>
                <w:rFonts w:eastAsia="Times"/>
              </w:rPr>
            </w:pPr>
            <w:r w:rsidRPr="00F45F11">
              <w:rPr>
                <w:rFonts w:eastAsia="Times"/>
              </w:rPr>
              <w:t>8.3%</w:t>
            </w:r>
          </w:p>
        </w:tc>
        <w:tc>
          <w:tcPr>
            <w:tcW w:w="351" w:type="pct"/>
          </w:tcPr>
          <w:p w14:paraId="383A45D7" w14:textId="77777777" w:rsidR="00602F54" w:rsidRPr="00F45F11" w:rsidRDefault="00602F54" w:rsidP="009817E6">
            <w:pPr>
              <w:pStyle w:val="ARtableperformancesymbol"/>
              <w:rPr>
                <w:rFonts w:eastAsia="Times"/>
              </w:rPr>
            </w:pPr>
            <w:r w:rsidRPr="00F45F11">
              <w:rPr>
                <w:rFonts w:eastAsia="Times"/>
              </w:rPr>
              <w:t></w:t>
            </w:r>
          </w:p>
        </w:tc>
      </w:tr>
    </w:tbl>
    <w:p w14:paraId="23E35BC8" w14:textId="02AF56B5" w:rsidR="008A142C" w:rsidRPr="00F45F11" w:rsidRDefault="008A142C" w:rsidP="007F5225">
      <w:pPr>
        <w:pStyle w:val="Heading3"/>
        <w:rPr>
          <w:lang w:eastAsia="en-AU"/>
        </w:rPr>
      </w:pPr>
      <w:r w:rsidRPr="00F45F11">
        <w:rPr>
          <w:lang w:eastAsia="en-AU"/>
        </w:rPr>
        <w:t>Housing assistance</w:t>
      </w:r>
    </w:p>
    <w:p w14:paraId="6444D415" w14:textId="77777777" w:rsidR="008A142C" w:rsidRPr="00F45F11" w:rsidRDefault="008A142C" w:rsidP="008A142C">
      <w:pPr>
        <w:pStyle w:val="ARBody"/>
      </w:pPr>
      <w:r w:rsidRPr="00F45F11">
        <w:t>This output ensures more Victorians have a place to call home by providing services and support across the housing continuum</w:t>
      </w:r>
      <w:r>
        <w:t xml:space="preserve">; including </w:t>
      </w:r>
      <w:r w:rsidRPr="00F45F11">
        <w:t>homelessness services, transitional accommodation and wraparound services, and social and affordable housing.</w:t>
      </w:r>
    </w:p>
    <w:p w14:paraId="3F890DF5" w14:textId="77777777" w:rsidR="008A142C" w:rsidRPr="00F45F11" w:rsidRDefault="008A142C" w:rsidP="008A142C">
      <w:pPr>
        <w:pStyle w:val="ARBody"/>
      </w:pPr>
      <w:r w:rsidRPr="00F45F11">
        <w:t>Affordable housing options delivered through the Affordable Housing Rental Scheme are responding to the growing gap in housing affordability. The scheme aims to increase supply for households experiencing rental stress or trying to buy their first home.</w:t>
      </w:r>
    </w:p>
    <w:p w14:paraId="07E9522A" w14:textId="77777777" w:rsidR="008A142C" w:rsidRPr="00F45F11" w:rsidRDefault="008A142C" w:rsidP="008A142C">
      <w:pPr>
        <w:pStyle w:val="ARBody"/>
      </w:pPr>
      <w:r w:rsidRPr="00F45F11">
        <w:t xml:space="preserve">This output is ensuring more affordable, safe and secure accommodation is being built right across Victoria. It is also reforming the housing system to provide greater access to housing services and supports for all Victorians, including: </w:t>
      </w:r>
    </w:p>
    <w:p w14:paraId="1D01C6CA" w14:textId="77777777" w:rsidR="008A142C" w:rsidRPr="00F45F11" w:rsidRDefault="008A142C" w:rsidP="008A142C">
      <w:pPr>
        <w:pStyle w:val="ARBullet1"/>
      </w:pPr>
      <w:r w:rsidRPr="00F45F11">
        <w:t>housing assistance for low-income families, older people, singles, youth, victim survivors of family violence and other households. It responds to the needs of clients through the provision of appropriate accommodation, including short-term and long-term properties that assist in reducing and preventing homelessness</w:t>
      </w:r>
    </w:p>
    <w:p w14:paraId="6833E954" w14:textId="77777777" w:rsidR="008A142C" w:rsidRPr="00F45F11" w:rsidRDefault="008A142C" w:rsidP="008A142C">
      <w:pPr>
        <w:pStyle w:val="ARBullet1"/>
      </w:pPr>
      <w:r w:rsidRPr="00F45F11">
        <w:t xml:space="preserve">housing support services to people who are homeless or at risk of homelessness, in short-term housing or crisis situations. Support will assist clients in accessing and maintaining tenancies in appropriate accommodation. Services aim to prevent and reduce homelessness </w:t>
      </w:r>
    </w:p>
    <w:p w14:paraId="393CE200" w14:textId="57F59E93" w:rsidR="008A142C" w:rsidRPr="00F45F11" w:rsidRDefault="008A142C" w:rsidP="00F659C1">
      <w:pPr>
        <w:pStyle w:val="ARBullet1"/>
        <w:spacing w:after="240"/>
      </w:pPr>
      <w:r w:rsidRPr="00F45F11">
        <w:t>working with Aboriginal housing providers to ensure housing is designed and delivered by Aboriginal people, enabling self-determination and meeting community needs.</w:t>
      </w:r>
    </w:p>
    <w:tbl>
      <w:tblPr>
        <w:tblStyle w:val="ARtable1"/>
        <w:tblW w:w="5000" w:type="pct"/>
        <w:tblLayout w:type="fixed"/>
        <w:tblLook w:val="06A0" w:firstRow="1" w:lastRow="0" w:firstColumn="1" w:lastColumn="0" w:noHBand="1" w:noVBand="1"/>
      </w:tblPr>
      <w:tblGrid>
        <w:gridCol w:w="4742"/>
        <w:gridCol w:w="1018"/>
        <w:gridCol w:w="1018"/>
        <w:gridCol w:w="1018"/>
        <w:gridCol w:w="1023"/>
        <w:gridCol w:w="809"/>
      </w:tblGrid>
      <w:tr w:rsidR="008A142C" w:rsidRPr="00F45F11" w14:paraId="0C5209CA" w14:textId="77777777" w:rsidTr="00F659C1">
        <w:trPr>
          <w:cnfStyle w:val="100000000000" w:firstRow="1" w:lastRow="0" w:firstColumn="0" w:lastColumn="0" w:oddVBand="0" w:evenVBand="0" w:oddHBand="0" w:evenHBand="0" w:firstRowFirstColumn="0" w:firstRowLastColumn="0" w:lastRowFirstColumn="0" w:lastRowLastColumn="0"/>
          <w:tblHeader/>
        </w:trPr>
        <w:tc>
          <w:tcPr>
            <w:tcW w:w="4742" w:type="dxa"/>
            <w:hideMark/>
          </w:tcPr>
          <w:p w14:paraId="6FB6F496" w14:textId="77777777" w:rsidR="008A142C" w:rsidRPr="00F45F11" w:rsidRDefault="008A142C">
            <w:pPr>
              <w:pStyle w:val="ARtablecolhead"/>
              <w:rPr>
                <w:rFonts w:eastAsia="Times"/>
                <w:highlight w:val="cyan"/>
              </w:rPr>
            </w:pPr>
            <w:r w:rsidRPr="00F45F11">
              <w:rPr>
                <w:rFonts w:eastAsia="Times"/>
              </w:rPr>
              <w:t>Performance measures</w:t>
            </w:r>
          </w:p>
        </w:tc>
        <w:tc>
          <w:tcPr>
            <w:tcW w:w="1018" w:type="dxa"/>
            <w:hideMark/>
          </w:tcPr>
          <w:p w14:paraId="58D20F7C" w14:textId="77777777" w:rsidR="008A142C" w:rsidRPr="00F45F11" w:rsidRDefault="008A142C">
            <w:pPr>
              <w:pStyle w:val="ARtablecolhead"/>
              <w:rPr>
                <w:rFonts w:eastAsia="Times"/>
                <w:highlight w:val="cyan"/>
              </w:rPr>
            </w:pPr>
            <w:r w:rsidRPr="00F45F11">
              <w:rPr>
                <w:rFonts w:eastAsia="Times"/>
              </w:rPr>
              <w:t>Unit of measure</w:t>
            </w:r>
          </w:p>
        </w:tc>
        <w:tc>
          <w:tcPr>
            <w:tcW w:w="1018" w:type="dxa"/>
            <w:hideMark/>
          </w:tcPr>
          <w:p w14:paraId="0DA8DE98" w14:textId="77777777" w:rsidR="008A142C" w:rsidRPr="00F45F11" w:rsidRDefault="008A142C">
            <w:pPr>
              <w:pStyle w:val="ARtablecolheadright"/>
              <w:rPr>
                <w:rFonts w:eastAsia="Times"/>
                <w:highlight w:val="cyan"/>
              </w:rPr>
            </w:pPr>
            <w:r w:rsidRPr="00F45F11">
              <w:rPr>
                <w:rFonts w:eastAsia="Times"/>
              </w:rPr>
              <w:t>2025–26 target</w:t>
            </w:r>
          </w:p>
        </w:tc>
        <w:tc>
          <w:tcPr>
            <w:tcW w:w="1018" w:type="dxa"/>
            <w:hideMark/>
          </w:tcPr>
          <w:p w14:paraId="227018D4" w14:textId="77777777" w:rsidR="008A142C" w:rsidRPr="00F45F11" w:rsidRDefault="008A142C">
            <w:pPr>
              <w:pStyle w:val="ARtablecolheadright"/>
              <w:rPr>
                <w:rFonts w:eastAsia="Times"/>
                <w:highlight w:val="cyan"/>
              </w:rPr>
            </w:pPr>
            <w:r w:rsidRPr="00F45F11">
              <w:rPr>
                <w:rFonts w:eastAsia="Times"/>
              </w:rPr>
              <w:t>2025–26 actual</w:t>
            </w:r>
          </w:p>
        </w:tc>
        <w:tc>
          <w:tcPr>
            <w:tcW w:w="1023" w:type="dxa"/>
            <w:hideMark/>
          </w:tcPr>
          <w:p w14:paraId="41754BEA" w14:textId="77777777" w:rsidR="008A142C" w:rsidRPr="00F45F11" w:rsidRDefault="008A142C">
            <w:pPr>
              <w:pStyle w:val="ARtablecolheadright"/>
              <w:rPr>
                <w:rFonts w:eastAsia="Times"/>
                <w:highlight w:val="cyan"/>
              </w:rPr>
            </w:pPr>
            <w:r w:rsidRPr="00F45F11">
              <w:rPr>
                <w:rFonts w:eastAsia="Times"/>
              </w:rPr>
              <w:t xml:space="preserve">Variation </w:t>
            </w:r>
          </w:p>
        </w:tc>
        <w:tc>
          <w:tcPr>
            <w:tcW w:w="809" w:type="dxa"/>
            <w:hideMark/>
          </w:tcPr>
          <w:p w14:paraId="4BEE341D" w14:textId="77777777" w:rsidR="008A142C" w:rsidRPr="00F45F11" w:rsidRDefault="008A142C">
            <w:pPr>
              <w:pStyle w:val="ARtablecolheadright"/>
              <w:rPr>
                <w:rFonts w:eastAsia="Times"/>
                <w:highlight w:val="cyan"/>
              </w:rPr>
            </w:pPr>
            <w:r w:rsidRPr="00F45F11">
              <w:rPr>
                <w:rFonts w:eastAsia="Times"/>
              </w:rPr>
              <w:t>Result</w:t>
            </w:r>
          </w:p>
        </w:tc>
      </w:tr>
      <w:tr w:rsidR="00DC4049" w:rsidRPr="00F45F11" w14:paraId="2B5E0677" w14:textId="77777777" w:rsidTr="00DC4049">
        <w:tc>
          <w:tcPr>
            <w:tcW w:w="4742" w:type="dxa"/>
          </w:tcPr>
          <w:p w14:paraId="75A436F1" w14:textId="7303566E" w:rsidR="00DC4049" w:rsidRPr="00F45F11" w:rsidRDefault="00F659C1" w:rsidP="00F659C1">
            <w:pPr>
              <w:pStyle w:val="ARtablegreybold"/>
              <w:rPr>
                <w:rFonts w:eastAsia="Times"/>
              </w:rPr>
            </w:pPr>
            <w:r w:rsidRPr="00F45F11">
              <w:t>Quantity</w:t>
            </w:r>
          </w:p>
        </w:tc>
        <w:tc>
          <w:tcPr>
            <w:tcW w:w="1018" w:type="dxa"/>
          </w:tcPr>
          <w:p w14:paraId="37DCA87F" w14:textId="77777777" w:rsidR="00DC4049" w:rsidRPr="00F45F11" w:rsidRDefault="00DC4049">
            <w:pPr>
              <w:pStyle w:val="ARTabletext"/>
              <w:rPr>
                <w:rFonts w:eastAsia="Times"/>
                <w:lang w:eastAsia="en-AU"/>
              </w:rPr>
            </w:pPr>
          </w:p>
        </w:tc>
        <w:tc>
          <w:tcPr>
            <w:tcW w:w="1018" w:type="dxa"/>
          </w:tcPr>
          <w:p w14:paraId="2738EE2C" w14:textId="77777777" w:rsidR="00DC4049" w:rsidRPr="00F45F11" w:rsidRDefault="00DC4049">
            <w:pPr>
              <w:pStyle w:val="ARtabletextright"/>
              <w:rPr>
                <w:rFonts w:eastAsia="Times"/>
                <w:lang w:eastAsia="en-AU"/>
              </w:rPr>
            </w:pPr>
          </w:p>
        </w:tc>
        <w:tc>
          <w:tcPr>
            <w:tcW w:w="1018" w:type="dxa"/>
          </w:tcPr>
          <w:p w14:paraId="4E15E640" w14:textId="77777777" w:rsidR="00DC4049" w:rsidRPr="00F45F11" w:rsidRDefault="00DC4049">
            <w:pPr>
              <w:pStyle w:val="ARtabletextright"/>
              <w:rPr>
                <w:rFonts w:eastAsia="Times"/>
                <w:lang w:eastAsia="en-AU"/>
              </w:rPr>
            </w:pPr>
          </w:p>
        </w:tc>
        <w:tc>
          <w:tcPr>
            <w:tcW w:w="1023" w:type="dxa"/>
          </w:tcPr>
          <w:p w14:paraId="392EFE0A" w14:textId="77777777" w:rsidR="00DC4049" w:rsidRPr="00F45F11" w:rsidRDefault="00DC4049">
            <w:pPr>
              <w:pStyle w:val="ARtabletextright"/>
              <w:rPr>
                <w:rFonts w:eastAsia="Times"/>
                <w:lang w:eastAsia="en-AU"/>
              </w:rPr>
            </w:pPr>
          </w:p>
        </w:tc>
        <w:tc>
          <w:tcPr>
            <w:tcW w:w="809" w:type="dxa"/>
          </w:tcPr>
          <w:p w14:paraId="5AD4A8D6" w14:textId="77777777" w:rsidR="00DC4049" w:rsidRPr="009913ED" w:rsidRDefault="00DC4049">
            <w:pPr>
              <w:pStyle w:val="ARtableperformancesymbol"/>
              <w:rPr>
                <w:rFonts w:eastAsia="Wingdings"/>
              </w:rPr>
            </w:pPr>
          </w:p>
        </w:tc>
      </w:tr>
      <w:tr w:rsidR="008A142C" w:rsidRPr="00F45F11" w14:paraId="0C01C900" w14:textId="77777777" w:rsidTr="00DC4049">
        <w:tc>
          <w:tcPr>
            <w:tcW w:w="4742" w:type="dxa"/>
            <w:hideMark/>
          </w:tcPr>
          <w:p w14:paraId="16406D80" w14:textId="77777777" w:rsidR="008A142C" w:rsidRDefault="008A142C">
            <w:pPr>
              <w:pStyle w:val="ARTabletext"/>
              <w:rPr>
                <w:rFonts w:eastAsia="Times"/>
                <w:lang w:eastAsia="en-AU"/>
              </w:rPr>
            </w:pPr>
            <w:r w:rsidRPr="00F45F11">
              <w:rPr>
                <w:rFonts w:eastAsia="Times"/>
                <w:lang w:eastAsia="en-AU"/>
              </w:rPr>
              <w:t>Number of bonds issued to low-income Victorians to assist access to the private rental market</w:t>
            </w:r>
          </w:p>
          <w:p w14:paraId="7C4E0968" w14:textId="2666AD28" w:rsidR="00F659C1" w:rsidRPr="00F45F11" w:rsidRDefault="00F659C1" w:rsidP="00F659C1">
            <w:pPr>
              <w:pStyle w:val="ARtablenoteindent"/>
            </w:pPr>
            <w:r w:rsidRPr="00F45F11">
              <w:t>The 2025–26 result exceeded target due to increased demand from eligible households.</w:t>
            </w:r>
          </w:p>
        </w:tc>
        <w:tc>
          <w:tcPr>
            <w:tcW w:w="1018" w:type="dxa"/>
            <w:hideMark/>
          </w:tcPr>
          <w:p w14:paraId="58CBDD15" w14:textId="77777777" w:rsidR="008A142C" w:rsidRPr="00F45F11" w:rsidRDefault="008A142C">
            <w:pPr>
              <w:pStyle w:val="ARTabletext"/>
              <w:rPr>
                <w:rFonts w:eastAsia="Times"/>
                <w:lang w:eastAsia="en-AU"/>
              </w:rPr>
            </w:pPr>
            <w:r w:rsidRPr="00F45F11">
              <w:rPr>
                <w:rFonts w:eastAsia="Times"/>
                <w:lang w:eastAsia="en-AU"/>
              </w:rPr>
              <w:t>number</w:t>
            </w:r>
          </w:p>
        </w:tc>
        <w:tc>
          <w:tcPr>
            <w:tcW w:w="1018" w:type="dxa"/>
            <w:hideMark/>
          </w:tcPr>
          <w:p w14:paraId="1FED43AD" w14:textId="77777777" w:rsidR="008A142C" w:rsidRPr="00F45F11" w:rsidRDefault="008A142C">
            <w:pPr>
              <w:pStyle w:val="ARtabletextright"/>
              <w:rPr>
                <w:rFonts w:eastAsia="Times"/>
                <w:lang w:eastAsia="en-AU"/>
              </w:rPr>
            </w:pPr>
            <w:r w:rsidRPr="00F45F11">
              <w:rPr>
                <w:rFonts w:eastAsia="Times"/>
                <w:lang w:eastAsia="en-AU"/>
              </w:rPr>
              <w:t>7,000</w:t>
            </w:r>
          </w:p>
        </w:tc>
        <w:tc>
          <w:tcPr>
            <w:tcW w:w="1018" w:type="dxa"/>
            <w:hideMark/>
          </w:tcPr>
          <w:p w14:paraId="6C49FD8A" w14:textId="77777777" w:rsidR="008A142C" w:rsidRPr="00F45F11" w:rsidRDefault="008A142C">
            <w:pPr>
              <w:pStyle w:val="ARtabletextright"/>
              <w:rPr>
                <w:rFonts w:eastAsia="Times"/>
                <w:lang w:eastAsia="en-AU"/>
              </w:rPr>
            </w:pPr>
            <w:r w:rsidRPr="00F45F11">
              <w:rPr>
                <w:rFonts w:eastAsia="Times"/>
                <w:lang w:eastAsia="en-AU"/>
              </w:rPr>
              <w:t>8,608</w:t>
            </w:r>
          </w:p>
        </w:tc>
        <w:tc>
          <w:tcPr>
            <w:tcW w:w="1023" w:type="dxa"/>
          </w:tcPr>
          <w:p w14:paraId="6D909216" w14:textId="77777777" w:rsidR="008A142C" w:rsidRPr="00F45F11" w:rsidRDefault="008A142C">
            <w:pPr>
              <w:pStyle w:val="ARtabletextright"/>
              <w:rPr>
                <w:rFonts w:eastAsia="Times"/>
                <w:lang w:eastAsia="en-AU"/>
              </w:rPr>
            </w:pPr>
            <w:r w:rsidRPr="00F45F11">
              <w:rPr>
                <w:rFonts w:eastAsia="Times"/>
                <w:lang w:eastAsia="en-AU"/>
              </w:rPr>
              <w:t>23.0%</w:t>
            </w:r>
          </w:p>
        </w:tc>
        <w:tc>
          <w:tcPr>
            <w:tcW w:w="809" w:type="dxa"/>
            <w:hideMark/>
          </w:tcPr>
          <w:p w14:paraId="5E41590A" w14:textId="77777777" w:rsidR="008A142C" w:rsidRPr="00F45F11" w:rsidRDefault="008A142C">
            <w:pPr>
              <w:pStyle w:val="ARtableperformancesymbol"/>
              <w:rPr>
                <w:rFonts w:eastAsia="MS PGothic" w:cs="Arial" w:hint="eastAsia"/>
              </w:rPr>
            </w:pPr>
            <w:r w:rsidRPr="009913ED">
              <w:rPr>
                <w:rFonts w:eastAsia="Wingdings"/>
              </w:rPr>
              <w:t></w:t>
            </w:r>
          </w:p>
        </w:tc>
      </w:tr>
      <w:tr w:rsidR="008A142C" w:rsidRPr="00F45F11" w14:paraId="720FD54A" w14:textId="77777777" w:rsidTr="00DC4049">
        <w:tc>
          <w:tcPr>
            <w:tcW w:w="4742" w:type="dxa"/>
            <w:hideMark/>
          </w:tcPr>
          <w:p w14:paraId="6BC613BE" w14:textId="77777777" w:rsidR="008A142C" w:rsidRPr="00F45F11" w:rsidRDefault="008A142C">
            <w:pPr>
              <w:pStyle w:val="ARTabletext"/>
              <w:rPr>
                <w:rFonts w:eastAsia="Times"/>
                <w:lang w:eastAsia="en-AU"/>
              </w:rPr>
            </w:pPr>
            <w:r w:rsidRPr="00F45F11">
              <w:rPr>
                <w:rFonts w:eastAsia="Times"/>
                <w:lang w:eastAsia="en-AU"/>
              </w:rPr>
              <w:t>Number of clients assisted to address and prevent homelessness</w:t>
            </w:r>
          </w:p>
        </w:tc>
        <w:tc>
          <w:tcPr>
            <w:tcW w:w="1018" w:type="dxa"/>
            <w:hideMark/>
          </w:tcPr>
          <w:p w14:paraId="28F03F1C" w14:textId="77777777" w:rsidR="008A142C" w:rsidRPr="00F45F11" w:rsidRDefault="008A142C">
            <w:pPr>
              <w:pStyle w:val="ARTabletext"/>
              <w:rPr>
                <w:rFonts w:eastAsia="Times" w:cs="Arial"/>
                <w:szCs w:val="18"/>
                <w:lang w:eastAsia="en-AU"/>
              </w:rPr>
            </w:pPr>
            <w:r w:rsidRPr="00F45F11">
              <w:rPr>
                <w:rFonts w:eastAsia="Times" w:cs="Arial"/>
                <w:szCs w:val="18"/>
                <w:lang w:eastAsia="en-AU"/>
              </w:rPr>
              <w:t>number</w:t>
            </w:r>
          </w:p>
        </w:tc>
        <w:tc>
          <w:tcPr>
            <w:tcW w:w="1018" w:type="dxa"/>
            <w:hideMark/>
          </w:tcPr>
          <w:p w14:paraId="23B1DBFB" w14:textId="77777777" w:rsidR="008A142C" w:rsidRPr="00F45F11" w:rsidRDefault="008A142C">
            <w:pPr>
              <w:pStyle w:val="ARtabletextright"/>
              <w:rPr>
                <w:rFonts w:eastAsia="Times"/>
                <w:lang w:eastAsia="en-AU"/>
              </w:rPr>
            </w:pPr>
            <w:r w:rsidRPr="00F45F11">
              <w:rPr>
                <w:rFonts w:eastAsia="Times"/>
                <w:lang w:eastAsia="en-AU"/>
              </w:rPr>
              <w:t>103,000</w:t>
            </w:r>
          </w:p>
        </w:tc>
        <w:tc>
          <w:tcPr>
            <w:tcW w:w="1018" w:type="dxa"/>
            <w:hideMark/>
          </w:tcPr>
          <w:p w14:paraId="7950F89B" w14:textId="77777777" w:rsidR="008A142C" w:rsidRPr="00067149" w:rsidRDefault="008A142C">
            <w:pPr>
              <w:pStyle w:val="ARtabletextright"/>
              <w:rPr>
                <w:rFonts w:eastAsia="Times"/>
                <w:lang w:eastAsia="en-AU"/>
              </w:rPr>
            </w:pPr>
            <w:r w:rsidRPr="00067149">
              <w:rPr>
                <w:rFonts w:eastAsia="Times"/>
                <w:lang w:eastAsia="en-AU"/>
              </w:rPr>
              <w:t>103,</w:t>
            </w:r>
            <w:r w:rsidRPr="00067149">
              <w:rPr>
                <w:rFonts w:eastAsia="Times"/>
                <w:kern w:val="2"/>
                <w:lang w:eastAsia="en-AU"/>
                <w14:ligatures w14:val="standardContextual"/>
              </w:rPr>
              <w:t>373</w:t>
            </w:r>
          </w:p>
        </w:tc>
        <w:tc>
          <w:tcPr>
            <w:tcW w:w="1023" w:type="dxa"/>
          </w:tcPr>
          <w:p w14:paraId="325E5D01" w14:textId="77777777" w:rsidR="008A142C" w:rsidRPr="00067149" w:rsidRDefault="008A142C">
            <w:pPr>
              <w:pStyle w:val="ARtabletextright"/>
              <w:rPr>
                <w:rFonts w:eastAsia="Times"/>
                <w:lang w:eastAsia="en-AU"/>
              </w:rPr>
            </w:pPr>
            <w:r w:rsidRPr="00067149">
              <w:rPr>
                <w:rFonts w:eastAsia="Times"/>
                <w:lang w:eastAsia="en-AU"/>
              </w:rPr>
              <w:t>0.4%</w:t>
            </w:r>
          </w:p>
        </w:tc>
        <w:tc>
          <w:tcPr>
            <w:tcW w:w="809" w:type="dxa"/>
            <w:hideMark/>
          </w:tcPr>
          <w:p w14:paraId="6922AB3B" w14:textId="77777777" w:rsidR="008A142C" w:rsidRPr="00F45F11" w:rsidRDefault="008A142C">
            <w:pPr>
              <w:pStyle w:val="ARtableperformancesymbol"/>
              <w:rPr>
                <w:rFonts w:eastAsia="MS PGothic" w:cs="Arial" w:hint="eastAsia"/>
              </w:rPr>
            </w:pPr>
            <w:r w:rsidRPr="009913ED">
              <w:rPr>
                <w:rFonts w:eastAsia="Wingdings"/>
              </w:rPr>
              <w:t></w:t>
            </w:r>
          </w:p>
        </w:tc>
      </w:tr>
      <w:tr w:rsidR="008A142C" w:rsidRPr="00F45F11" w14:paraId="5D0278E7" w14:textId="77777777" w:rsidTr="00DC4049">
        <w:tc>
          <w:tcPr>
            <w:tcW w:w="4742" w:type="dxa"/>
          </w:tcPr>
          <w:p w14:paraId="4336FC86" w14:textId="77777777" w:rsidR="008A142C" w:rsidRDefault="008A142C">
            <w:pPr>
              <w:pStyle w:val="ARTabletext"/>
              <w:rPr>
                <w:rFonts w:eastAsia="Times"/>
                <w:lang w:eastAsia="en-AU"/>
              </w:rPr>
            </w:pPr>
            <w:r w:rsidRPr="00F45F11">
              <w:rPr>
                <w:rFonts w:eastAsia="Times"/>
                <w:lang w:eastAsia="en-AU"/>
              </w:rPr>
              <w:t>Number of clients provided with accommodation</w:t>
            </w:r>
          </w:p>
          <w:p w14:paraId="6476766F" w14:textId="2F827400" w:rsidR="00F659C1" w:rsidRPr="00F45F11" w:rsidRDefault="00F659C1" w:rsidP="00F659C1">
            <w:pPr>
              <w:pStyle w:val="ARtablenoteindent"/>
            </w:pPr>
            <w:r w:rsidRPr="00067149">
              <w:t>The 2025–26 result is below target due to rising costs of, and difficulty of securing suitable short- term accommodation for client base.</w:t>
            </w:r>
          </w:p>
        </w:tc>
        <w:tc>
          <w:tcPr>
            <w:tcW w:w="1018" w:type="dxa"/>
          </w:tcPr>
          <w:p w14:paraId="2FAA7896" w14:textId="77777777" w:rsidR="008A142C" w:rsidRPr="00F45F11" w:rsidRDefault="008A142C">
            <w:pPr>
              <w:pStyle w:val="ARTabletext"/>
              <w:rPr>
                <w:rFonts w:eastAsia="Times" w:cs="Arial"/>
                <w:szCs w:val="18"/>
                <w:lang w:eastAsia="en-AU"/>
              </w:rPr>
            </w:pPr>
            <w:r w:rsidRPr="00F45F11">
              <w:rPr>
                <w:rFonts w:eastAsia="Times" w:cs="Arial"/>
                <w:szCs w:val="18"/>
                <w:lang w:eastAsia="en-AU"/>
              </w:rPr>
              <w:t>number</w:t>
            </w:r>
          </w:p>
        </w:tc>
        <w:tc>
          <w:tcPr>
            <w:tcW w:w="1018" w:type="dxa"/>
          </w:tcPr>
          <w:p w14:paraId="39E0DA6D" w14:textId="77777777" w:rsidR="008A142C" w:rsidRPr="00F45F11" w:rsidRDefault="008A142C">
            <w:pPr>
              <w:pStyle w:val="ARtabletextright"/>
              <w:rPr>
                <w:rFonts w:eastAsia="Times"/>
                <w:lang w:eastAsia="en-AU"/>
              </w:rPr>
            </w:pPr>
            <w:r w:rsidRPr="00F45F11">
              <w:rPr>
                <w:rFonts w:eastAsia="Times"/>
                <w:lang w:eastAsia="en-AU"/>
              </w:rPr>
              <w:t>30,000</w:t>
            </w:r>
          </w:p>
        </w:tc>
        <w:tc>
          <w:tcPr>
            <w:tcW w:w="1018" w:type="dxa"/>
          </w:tcPr>
          <w:p w14:paraId="02284977" w14:textId="77777777" w:rsidR="008A142C" w:rsidRPr="00067149" w:rsidRDefault="008A142C">
            <w:pPr>
              <w:pStyle w:val="ARtabletextright"/>
              <w:rPr>
                <w:rFonts w:eastAsia="Times"/>
                <w:lang w:eastAsia="en-AU"/>
              </w:rPr>
            </w:pPr>
            <w:r w:rsidRPr="00067149">
              <w:rPr>
                <w:rFonts w:eastAsia="Times"/>
                <w:kern w:val="2"/>
                <w:lang w:eastAsia="en-AU"/>
                <w14:ligatures w14:val="standardContextual"/>
              </w:rPr>
              <w:t>26,727</w:t>
            </w:r>
          </w:p>
        </w:tc>
        <w:tc>
          <w:tcPr>
            <w:tcW w:w="1023" w:type="dxa"/>
          </w:tcPr>
          <w:p w14:paraId="5E9700BE" w14:textId="77777777" w:rsidR="008A142C" w:rsidRPr="00067149" w:rsidRDefault="008A142C">
            <w:pPr>
              <w:pStyle w:val="ARtabletextright"/>
              <w:rPr>
                <w:rFonts w:eastAsia="Times"/>
                <w:lang w:eastAsia="en-AU"/>
              </w:rPr>
            </w:pPr>
            <w:r w:rsidRPr="00067149">
              <w:rPr>
                <w:rFonts w:eastAsia="Times"/>
                <w:lang w:eastAsia="en-AU"/>
              </w:rPr>
              <w:t>-10.9%</w:t>
            </w:r>
          </w:p>
        </w:tc>
        <w:tc>
          <w:tcPr>
            <w:tcW w:w="809" w:type="dxa"/>
          </w:tcPr>
          <w:p w14:paraId="620460CD" w14:textId="77777777" w:rsidR="008A142C" w:rsidRPr="00F45F11" w:rsidRDefault="008A142C">
            <w:pPr>
              <w:pStyle w:val="ARtableperformancesymbol"/>
              <w:rPr>
                <w:rFonts w:eastAsia="Wingdings"/>
              </w:rPr>
            </w:pPr>
            <w:r w:rsidRPr="009913ED">
              <w:rPr>
                <w:rFonts w:eastAsia="Wingdings"/>
              </w:rPr>
              <w:t></w:t>
            </w:r>
          </w:p>
        </w:tc>
      </w:tr>
      <w:tr w:rsidR="008A142C" w:rsidRPr="00F45F11" w14:paraId="552DEF93" w14:textId="77777777" w:rsidTr="00DC4049">
        <w:tc>
          <w:tcPr>
            <w:tcW w:w="4742" w:type="dxa"/>
          </w:tcPr>
          <w:p w14:paraId="2AB38902" w14:textId="77777777" w:rsidR="008A142C" w:rsidRPr="00F45F11" w:rsidRDefault="008A142C">
            <w:pPr>
              <w:pStyle w:val="ARTabletext"/>
              <w:rPr>
                <w:rFonts w:eastAsia="Times"/>
                <w:lang w:eastAsia="en-AU"/>
              </w:rPr>
            </w:pPr>
            <w:r w:rsidRPr="00F45F11">
              <w:rPr>
                <w:rFonts w:eastAsia="Times"/>
                <w:lang w:eastAsia="en-AU"/>
              </w:rPr>
              <w:t>Number of households assisted with long-term social housing (public, Aboriginal and community long-term tenancies at end of year)</w:t>
            </w:r>
          </w:p>
        </w:tc>
        <w:tc>
          <w:tcPr>
            <w:tcW w:w="1018" w:type="dxa"/>
          </w:tcPr>
          <w:p w14:paraId="449BDA7B" w14:textId="77777777" w:rsidR="008A142C" w:rsidRPr="00F45F11" w:rsidRDefault="008A142C">
            <w:pPr>
              <w:pStyle w:val="ARTabletext"/>
              <w:rPr>
                <w:rFonts w:eastAsia="Times" w:cs="Arial"/>
                <w:szCs w:val="18"/>
                <w:lang w:eastAsia="en-AU"/>
              </w:rPr>
            </w:pPr>
            <w:r w:rsidRPr="00F45F11">
              <w:rPr>
                <w:rFonts w:eastAsia="Times" w:cs="Arial"/>
                <w:szCs w:val="18"/>
                <w:lang w:eastAsia="en-AU"/>
              </w:rPr>
              <w:t>number</w:t>
            </w:r>
          </w:p>
        </w:tc>
        <w:tc>
          <w:tcPr>
            <w:tcW w:w="1018" w:type="dxa"/>
          </w:tcPr>
          <w:p w14:paraId="2A1988D6" w14:textId="77777777" w:rsidR="008A142C" w:rsidRPr="00F45F11" w:rsidRDefault="008A142C">
            <w:pPr>
              <w:pStyle w:val="ARtabletextright"/>
              <w:rPr>
                <w:rFonts w:eastAsia="Times"/>
                <w:lang w:eastAsia="en-AU"/>
              </w:rPr>
            </w:pPr>
            <w:r w:rsidRPr="00F45F11">
              <w:rPr>
                <w:rFonts w:eastAsia="Times"/>
                <w:lang w:eastAsia="en-AU"/>
              </w:rPr>
              <w:t>84,633</w:t>
            </w:r>
          </w:p>
        </w:tc>
        <w:tc>
          <w:tcPr>
            <w:tcW w:w="1018" w:type="dxa"/>
          </w:tcPr>
          <w:p w14:paraId="30A33FA7" w14:textId="77777777" w:rsidR="008A142C" w:rsidRPr="00D24EC4" w:rsidRDefault="008A142C">
            <w:pPr>
              <w:pStyle w:val="ARtabletextright"/>
              <w:rPr>
                <w:rFonts w:eastAsia="Times"/>
                <w:kern w:val="2"/>
                <w:lang w:eastAsia="en-AU"/>
                <w14:ligatures w14:val="standardContextual"/>
              </w:rPr>
            </w:pPr>
            <w:r w:rsidRPr="00D24EC4">
              <w:rPr>
                <w:rFonts w:eastAsia="Times"/>
                <w:kern w:val="2"/>
                <w:lang w:eastAsia="en-AU"/>
                <w14:ligatures w14:val="standardContextual"/>
              </w:rPr>
              <w:t>84,247</w:t>
            </w:r>
          </w:p>
        </w:tc>
        <w:tc>
          <w:tcPr>
            <w:tcW w:w="1023" w:type="dxa"/>
          </w:tcPr>
          <w:p w14:paraId="01CDAF35" w14:textId="77777777" w:rsidR="008A142C" w:rsidRPr="00D24EC4" w:rsidRDefault="008A142C">
            <w:pPr>
              <w:pStyle w:val="ARtabletextright"/>
              <w:rPr>
                <w:rFonts w:eastAsia="Times"/>
                <w:lang w:eastAsia="en-AU"/>
              </w:rPr>
            </w:pPr>
            <w:r w:rsidRPr="00D24EC4">
              <w:rPr>
                <w:rFonts w:eastAsia="Times"/>
                <w:lang w:eastAsia="en-AU"/>
              </w:rPr>
              <w:t>-0.5%</w:t>
            </w:r>
          </w:p>
        </w:tc>
        <w:tc>
          <w:tcPr>
            <w:tcW w:w="809" w:type="dxa"/>
          </w:tcPr>
          <w:p w14:paraId="4AC726F2" w14:textId="77777777" w:rsidR="008A142C" w:rsidRPr="00F45F11" w:rsidRDefault="008A142C">
            <w:pPr>
              <w:pStyle w:val="ARtableperformancesymbol"/>
              <w:rPr>
                <w:rFonts w:eastAsia="Wingdings" w:cs="Wingdings"/>
              </w:rPr>
            </w:pPr>
            <w:r w:rsidRPr="00F45F11">
              <w:t>□</w:t>
            </w:r>
          </w:p>
        </w:tc>
      </w:tr>
      <w:tr w:rsidR="008A142C" w:rsidRPr="00F45F11" w14:paraId="59F6F5BC" w14:textId="77777777" w:rsidTr="00DC4049">
        <w:tc>
          <w:tcPr>
            <w:tcW w:w="4742" w:type="dxa"/>
            <w:hideMark/>
          </w:tcPr>
          <w:p w14:paraId="770E13B2" w14:textId="77777777" w:rsidR="008A142C" w:rsidRDefault="008A142C">
            <w:pPr>
              <w:pStyle w:val="ARTabletext"/>
              <w:rPr>
                <w:rFonts w:eastAsia="Times"/>
                <w:lang w:eastAsia="en-AU"/>
              </w:rPr>
            </w:pPr>
            <w:r w:rsidRPr="00F45F11">
              <w:rPr>
                <w:rFonts w:eastAsia="Times"/>
                <w:lang w:eastAsia="en-AU"/>
              </w:rPr>
              <w:t xml:space="preserve">Number of public housing dwellings upgraded </w:t>
            </w:r>
            <w:r w:rsidR="00F659C1">
              <w:rPr>
                <w:rFonts w:eastAsia="Times"/>
                <w:lang w:eastAsia="en-AU"/>
              </w:rPr>
              <w:br/>
            </w:r>
            <w:r w:rsidRPr="00F45F11">
              <w:rPr>
                <w:rFonts w:eastAsia="Times"/>
                <w:lang w:eastAsia="en-AU"/>
              </w:rPr>
              <w:t>during year</w:t>
            </w:r>
          </w:p>
          <w:p w14:paraId="5E4CCD31" w14:textId="08D9FC2E" w:rsidR="00F659C1" w:rsidRPr="00F45F11" w:rsidRDefault="00F659C1" w:rsidP="00F659C1">
            <w:pPr>
              <w:pStyle w:val="ARtablenoteindent"/>
            </w:pPr>
            <w:r w:rsidRPr="00F45F11">
              <w:t>The 2025–26 result exceeded target due to the accelerated delivery of energy efficiency upgrades to social housing, including more efficient heating and cooling systems, insulation and hot water upgrades.</w:t>
            </w:r>
          </w:p>
        </w:tc>
        <w:tc>
          <w:tcPr>
            <w:tcW w:w="1018" w:type="dxa"/>
            <w:hideMark/>
          </w:tcPr>
          <w:p w14:paraId="4368B521" w14:textId="77777777" w:rsidR="008A142C" w:rsidRPr="00F45F11" w:rsidRDefault="008A142C">
            <w:pPr>
              <w:pStyle w:val="ARTabletext"/>
              <w:rPr>
                <w:rFonts w:eastAsia="Times" w:cs="Arial"/>
                <w:szCs w:val="18"/>
                <w:lang w:eastAsia="en-AU"/>
              </w:rPr>
            </w:pPr>
            <w:r w:rsidRPr="00F45F11">
              <w:rPr>
                <w:rFonts w:eastAsia="Times" w:cs="Arial"/>
                <w:szCs w:val="18"/>
                <w:lang w:eastAsia="en-AU"/>
              </w:rPr>
              <w:t>number</w:t>
            </w:r>
          </w:p>
        </w:tc>
        <w:tc>
          <w:tcPr>
            <w:tcW w:w="1018" w:type="dxa"/>
            <w:hideMark/>
          </w:tcPr>
          <w:p w14:paraId="22F99525" w14:textId="77777777" w:rsidR="008A142C" w:rsidRPr="00F45F11" w:rsidRDefault="008A142C">
            <w:pPr>
              <w:pStyle w:val="ARtabletextright"/>
              <w:rPr>
                <w:rFonts w:eastAsia="Times"/>
                <w:lang w:eastAsia="en-AU"/>
              </w:rPr>
            </w:pPr>
            <w:r w:rsidRPr="00F45F11">
              <w:rPr>
                <w:rFonts w:eastAsia="Times"/>
                <w:lang w:eastAsia="en-AU"/>
              </w:rPr>
              <w:t>1,500</w:t>
            </w:r>
          </w:p>
        </w:tc>
        <w:tc>
          <w:tcPr>
            <w:tcW w:w="1018" w:type="dxa"/>
            <w:hideMark/>
          </w:tcPr>
          <w:p w14:paraId="5BDB8455" w14:textId="77777777" w:rsidR="008A142C" w:rsidRPr="00F45F11" w:rsidRDefault="008A142C">
            <w:pPr>
              <w:pStyle w:val="ARtabletextright"/>
              <w:rPr>
                <w:rFonts w:eastAsia="Times"/>
                <w:lang w:eastAsia="en-AU"/>
              </w:rPr>
            </w:pPr>
            <w:r w:rsidRPr="00F45F11">
              <w:rPr>
                <w:rFonts w:eastAsia="Times"/>
                <w:lang w:eastAsia="en-AU"/>
              </w:rPr>
              <w:t>1,908</w:t>
            </w:r>
          </w:p>
        </w:tc>
        <w:tc>
          <w:tcPr>
            <w:tcW w:w="1023" w:type="dxa"/>
          </w:tcPr>
          <w:p w14:paraId="0F708D32" w14:textId="77777777" w:rsidR="008A142C" w:rsidRPr="00F45F11" w:rsidRDefault="008A142C">
            <w:pPr>
              <w:pStyle w:val="ARtabletextright"/>
              <w:rPr>
                <w:rFonts w:eastAsia="Times"/>
                <w:lang w:eastAsia="en-AU"/>
              </w:rPr>
            </w:pPr>
            <w:r w:rsidRPr="00F45F11">
              <w:rPr>
                <w:rFonts w:eastAsia="Times"/>
                <w:lang w:eastAsia="en-AU"/>
              </w:rPr>
              <w:t>27.2%</w:t>
            </w:r>
          </w:p>
        </w:tc>
        <w:tc>
          <w:tcPr>
            <w:tcW w:w="809" w:type="dxa"/>
            <w:hideMark/>
          </w:tcPr>
          <w:p w14:paraId="6BE5623F" w14:textId="77777777" w:rsidR="008A142C" w:rsidRPr="00F45F11" w:rsidRDefault="008A142C">
            <w:pPr>
              <w:pStyle w:val="ARtableperformancesymbol"/>
              <w:rPr>
                <w:rFonts w:eastAsia="MS PGothic" w:cs="Arial" w:hint="eastAsia"/>
              </w:rPr>
            </w:pPr>
            <w:r w:rsidRPr="009913ED">
              <w:rPr>
                <w:rFonts w:eastAsia="Wingdings"/>
              </w:rPr>
              <w:t></w:t>
            </w:r>
          </w:p>
        </w:tc>
      </w:tr>
      <w:tr w:rsidR="008A142C" w:rsidRPr="00F45F11" w14:paraId="72E0F17F" w14:textId="77777777" w:rsidTr="00DC4049">
        <w:tc>
          <w:tcPr>
            <w:tcW w:w="4742" w:type="dxa"/>
          </w:tcPr>
          <w:p w14:paraId="0136F532" w14:textId="77777777" w:rsidR="008A142C" w:rsidRPr="00F45F11" w:rsidRDefault="008A142C">
            <w:pPr>
              <w:pStyle w:val="ARTabletext"/>
              <w:rPr>
                <w:rFonts w:eastAsia="Times"/>
                <w:lang w:eastAsia="en-AU"/>
              </w:rPr>
            </w:pPr>
            <w:r w:rsidRPr="00F45F11">
              <w:rPr>
                <w:rFonts w:eastAsia="Times"/>
                <w:lang w:eastAsia="en-AU"/>
              </w:rPr>
              <w:t>Total number of Victorian Affordable Housing Program (VAHP) affordable housing dwellings</w:t>
            </w:r>
          </w:p>
        </w:tc>
        <w:tc>
          <w:tcPr>
            <w:tcW w:w="1018" w:type="dxa"/>
          </w:tcPr>
          <w:p w14:paraId="34693976" w14:textId="77777777" w:rsidR="008A142C" w:rsidRPr="00F45F11" w:rsidRDefault="008A142C">
            <w:pPr>
              <w:pStyle w:val="ARTabletext"/>
              <w:rPr>
                <w:rFonts w:eastAsia="Times"/>
                <w:lang w:eastAsia="en-AU"/>
              </w:rPr>
            </w:pPr>
            <w:r w:rsidRPr="00F45F11">
              <w:rPr>
                <w:rFonts w:eastAsia="Times"/>
                <w:lang w:eastAsia="en-AU"/>
              </w:rPr>
              <w:t>number</w:t>
            </w:r>
          </w:p>
        </w:tc>
        <w:tc>
          <w:tcPr>
            <w:tcW w:w="1018" w:type="dxa"/>
          </w:tcPr>
          <w:p w14:paraId="43CE237C" w14:textId="77777777" w:rsidR="008A142C" w:rsidRPr="00F45F11" w:rsidRDefault="008A142C">
            <w:pPr>
              <w:pStyle w:val="ARtabletextright"/>
              <w:rPr>
                <w:rFonts w:eastAsia="Times"/>
                <w:lang w:eastAsia="en-AU"/>
              </w:rPr>
            </w:pPr>
            <w:r w:rsidRPr="00F45F11">
              <w:rPr>
                <w:rFonts w:eastAsia="Times"/>
                <w:lang w:eastAsia="en-AU"/>
              </w:rPr>
              <w:t>722</w:t>
            </w:r>
          </w:p>
        </w:tc>
        <w:tc>
          <w:tcPr>
            <w:tcW w:w="1018" w:type="dxa"/>
          </w:tcPr>
          <w:p w14:paraId="56341331" w14:textId="77777777" w:rsidR="008A142C" w:rsidRPr="00F45F11" w:rsidRDefault="008A142C">
            <w:pPr>
              <w:pStyle w:val="ARtabletextright"/>
              <w:rPr>
                <w:rFonts w:eastAsia="Times"/>
                <w:lang w:eastAsia="en-AU"/>
              </w:rPr>
            </w:pPr>
            <w:r w:rsidRPr="00F45F11">
              <w:rPr>
                <w:rFonts w:eastAsia="Times"/>
                <w:lang w:eastAsia="en-AU"/>
              </w:rPr>
              <w:t>723</w:t>
            </w:r>
          </w:p>
        </w:tc>
        <w:tc>
          <w:tcPr>
            <w:tcW w:w="1023" w:type="dxa"/>
          </w:tcPr>
          <w:p w14:paraId="26D1175E" w14:textId="77777777" w:rsidR="008A142C" w:rsidRPr="00F45F11" w:rsidRDefault="008A142C">
            <w:pPr>
              <w:pStyle w:val="ARtabletextright"/>
              <w:rPr>
                <w:rFonts w:eastAsia="Times"/>
                <w:lang w:eastAsia="en-AU"/>
              </w:rPr>
            </w:pPr>
            <w:r w:rsidRPr="00F45F11">
              <w:rPr>
                <w:rFonts w:eastAsia="Times"/>
                <w:lang w:eastAsia="en-AU"/>
              </w:rPr>
              <w:t>0.1%</w:t>
            </w:r>
          </w:p>
        </w:tc>
        <w:tc>
          <w:tcPr>
            <w:tcW w:w="809" w:type="dxa"/>
          </w:tcPr>
          <w:p w14:paraId="3E7A3F73" w14:textId="77777777" w:rsidR="008A142C" w:rsidRPr="009913ED" w:rsidRDefault="008A142C">
            <w:pPr>
              <w:pStyle w:val="ARtableperformancesymbol"/>
              <w:rPr>
                <w:rFonts w:eastAsia="Wingdings"/>
              </w:rPr>
            </w:pPr>
            <w:r w:rsidRPr="009913ED">
              <w:rPr>
                <w:rFonts w:eastAsia="Wingdings"/>
              </w:rPr>
              <w:t></w:t>
            </w:r>
          </w:p>
        </w:tc>
      </w:tr>
      <w:tr w:rsidR="008A142C" w:rsidRPr="00F45F11" w14:paraId="497F3900" w14:textId="77777777" w:rsidTr="00DC4049">
        <w:tc>
          <w:tcPr>
            <w:tcW w:w="4742" w:type="dxa"/>
            <w:hideMark/>
          </w:tcPr>
          <w:p w14:paraId="19263616" w14:textId="77777777" w:rsidR="008A142C" w:rsidRDefault="008A142C">
            <w:pPr>
              <w:pStyle w:val="ARTabletext"/>
              <w:rPr>
                <w:rFonts w:eastAsia="Times"/>
                <w:lang w:eastAsia="en-AU"/>
              </w:rPr>
            </w:pPr>
            <w:r w:rsidRPr="00F45F11">
              <w:rPr>
                <w:rFonts w:eastAsia="Times"/>
                <w:lang w:eastAsia="en-AU"/>
              </w:rPr>
              <w:t>Total number of Aboriginal social housing dwellings added during the year</w:t>
            </w:r>
          </w:p>
          <w:p w14:paraId="0422395C" w14:textId="69F5B345" w:rsidR="00F659C1" w:rsidRPr="00F45F11" w:rsidRDefault="00F659C1" w:rsidP="00F659C1">
            <w:pPr>
              <w:pStyle w:val="ARtablenoteindent"/>
            </w:pPr>
            <w:r w:rsidRPr="00F45F11">
              <w:t xml:space="preserve">The 2025–26 result exceeded target due to the focus on delivering </w:t>
            </w:r>
            <w:proofErr w:type="gramStart"/>
            <w:r w:rsidRPr="00F45F11">
              <w:t>more new</w:t>
            </w:r>
            <w:proofErr w:type="gramEnd"/>
            <w:r w:rsidRPr="00F45F11">
              <w:t xml:space="preserve"> public and community housing for First Peoples.</w:t>
            </w:r>
          </w:p>
        </w:tc>
        <w:tc>
          <w:tcPr>
            <w:tcW w:w="1018" w:type="dxa"/>
            <w:hideMark/>
          </w:tcPr>
          <w:p w14:paraId="2FFF2CF4" w14:textId="77777777" w:rsidR="008A142C" w:rsidRPr="00F45F11" w:rsidRDefault="008A142C">
            <w:pPr>
              <w:pStyle w:val="ARTabletext"/>
              <w:rPr>
                <w:rFonts w:eastAsia="Times"/>
                <w:lang w:eastAsia="en-AU"/>
              </w:rPr>
            </w:pPr>
            <w:r w:rsidRPr="00F45F11">
              <w:rPr>
                <w:rFonts w:eastAsia="Times"/>
                <w:lang w:eastAsia="en-AU"/>
              </w:rPr>
              <w:t>number</w:t>
            </w:r>
          </w:p>
        </w:tc>
        <w:tc>
          <w:tcPr>
            <w:tcW w:w="1018" w:type="dxa"/>
            <w:hideMark/>
          </w:tcPr>
          <w:p w14:paraId="6B6C5EC2" w14:textId="77777777" w:rsidR="008A142C" w:rsidRPr="00F45F11" w:rsidRDefault="008A142C">
            <w:pPr>
              <w:pStyle w:val="ARtabletextright"/>
              <w:rPr>
                <w:rFonts w:eastAsia="Times"/>
                <w:lang w:eastAsia="en-AU"/>
              </w:rPr>
            </w:pPr>
            <w:r w:rsidRPr="00F45F11">
              <w:rPr>
                <w:rFonts w:eastAsia="Times"/>
                <w:lang w:eastAsia="en-AU"/>
              </w:rPr>
              <w:t>300</w:t>
            </w:r>
          </w:p>
        </w:tc>
        <w:tc>
          <w:tcPr>
            <w:tcW w:w="1018" w:type="dxa"/>
            <w:hideMark/>
          </w:tcPr>
          <w:p w14:paraId="377C3BAD" w14:textId="77777777" w:rsidR="008A142C" w:rsidRPr="00F45F11" w:rsidRDefault="008A142C">
            <w:pPr>
              <w:pStyle w:val="ARtabletextright"/>
              <w:rPr>
                <w:rFonts w:eastAsia="Times"/>
                <w:lang w:eastAsia="en-AU"/>
              </w:rPr>
            </w:pPr>
            <w:r w:rsidRPr="00F45F11">
              <w:rPr>
                <w:rFonts w:eastAsia="Times"/>
                <w:lang w:eastAsia="en-AU"/>
              </w:rPr>
              <w:t>416</w:t>
            </w:r>
          </w:p>
        </w:tc>
        <w:tc>
          <w:tcPr>
            <w:tcW w:w="1023" w:type="dxa"/>
          </w:tcPr>
          <w:p w14:paraId="340A37C9" w14:textId="77777777" w:rsidR="008A142C" w:rsidRPr="00F45F11" w:rsidRDefault="008A142C">
            <w:pPr>
              <w:pStyle w:val="ARtabletextright"/>
              <w:rPr>
                <w:rFonts w:eastAsia="Times"/>
                <w:lang w:eastAsia="en-AU"/>
              </w:rPr>
            </w:pPr>
            <w:r w:rsidRPr="00F45F11">
              <w:rPr>
                <w:rFonts w:eastAsia="Times"/>
                <w:lang w:eastAsia="en-AU"/>
              </w:rPr>
              <w:t>38.7%</w:t>
            </w:r>
          </w:p>
        </w:tc>
        <w:tc>
          <w:tcPr>
            <w:tcW w:w="809" w:type="dxa"/>
            <w:hideMark/>
          </w:tcPr>
          <w:p w14:paraId="070AEEFE" w14:textId="77777777" w:rsidR="008A142C" w:rsidRPr="00F45F11" w:rsidRDefault="008A142C">
            <w:pPr>
              <w:pStyle w:val="ARtableperformancesymbol"/>
              <w:rPr>
                <w:rFonts w:eastAsia="MS PGothic" w:cs="Arial" w:hint="eastAsia"/>
              </w:rPr>
            </w:pPr>
            <w:r w:rsidRPr="009913ED">
              <w:rPr>
                <w:rFonts w:eastAsia="Wingdings"/>
              </w:rPr>
              <w:t></w:t>
            </w:r>
          </w:p>
        </w:tc>
      </w:tr>
      <w:tr w:rsidR="00C90BA9" w:rsidRPr="00F45F11" w14:paraId="51BB13D6" w14:textId="77777777" w:rsidTr="00DC4049">
        <w:tc>
          <w:tcPr>
            <w:tcW w:w="4742" w:type="dxa"/>
          </w:tcPr>
          <w:p w14:paraId="12454480" w14:textId="1DEFFEFB" w:rsidR="00C90BA9" w:rsidRPr="00F45F11" w:rsidRDefault="00C90BA9" w:rsidP="00C90BA9">
            <w:pPr>
              <w:pStyle w:val="ARTabletext"/>
              <w:rPr>
                <w:rFonts w:eastAsia="Times"/>
                <w:lang w:eastAsia="en-AU"/>
              </w:rPr>
            </w:pPr>
            <w:r w:rsidRPr="000E2A33">
              <w:t>Total number of social housing dwellings</w:t>
            </w:r>
          </w:p>
        </w:tc>
        <w:tc>
          <w:tcPr>
            <w:tcW w:w="1018" w:type="dxa"/>
          </w:tcPr>
          <w:p w14:paraId="06619A7A" w14:textId="1B15ACFE" w:rsidR="00C90BA9" w:rsidRPr="00F45F11" w:rsidRDefault="00C90BA9" w:rsidP="00C90BA9">
            <w:pPr>
              <w:pStyle w:val="ARTabletext"/>
              <w:rPr>
                <w:rFonts w:eastAsia="Times" w:cs="Arial"/>
                <w:szCs w:val="18"/>
                <w:lang w:eastAsia="en-AU"/>
              </w:rPr>
            </w:pPr>
            <w:r w:rsidRPr="000E2A33">
              <w:t>number</w:t>
            </w:r>
          </w:p>
        </w:tc>
        <w:tc>
          <w:tcPr>
            <w:tcW w:w="1018" w:type="dxa"/>
          </w:tcPr>
          <w:p w14:paraId="696FE1BB" w14:textId="299A3C87" w:rsidR="00C90BA9" w:rsidRPr="00F45F11" w:rsidRDefault="00C90BA9" w:rsidP="00C90BA9">
            <w:pPr>
              <w:pStyle w:val="ARtabletextright"/>
              <w:rPr>
                <w:rFonts w:eastAsia="Times"/>
                <w:lang w:eastAsia="en-AU"/>
              </w:rPr>
            </w:pPr>
            <w:r w:rsidRPr="000E2A33">
              <w:t>92,170</w:t>
            </w:r>
          </w:p>
        </w:tc>
        <w:tc>
          <w:tcPr>
            <w:tcW w:w="1018" w:type="dxa"/>
          </w:tcPr>
          <w:p w14:paraId="0433B19B" w14:textId="1D10DFFC" w:rsidR="00C90BA9" w:rsidRPr="00F45F11" w:rsidRDefault="00C90BA9" w:rsidP="00C90BA9">
            <w:pPr>
              <w:pStyle w:val="ARtabletextright"/>
              <w:rPr>
                <w:rFonts w:eastAsia="Times"/>
                <w:lang w:eastAsia="en-AU"/>
              </w:rPr>
            </w:pPr>
            <w:r w:rsidRPr="000E2A33">
              <w:t>92,484</w:t>
            </w:r>
          </w:p>
        </w:tc>
        <w:tc>
          <w:tcPr>
            <w:tcW w:w="1023" w:type="dxa"/>
          </w:tcPr>
          <w:p w14:paraId="4E3145A6" w14:textId="2B6D9154" w:rsidR="00C90BA9" w:rsidRPr="00F45F11" w:rsidRDefault="00C90BA9" w:rsidP="00C90BA9">
            <w:pPr>
              <w:pStyle w:val="ARtabletextright"/>
              <w:rPr>
                <w:rFonts w:eastAsia="Times"/>
                <w:lang w:eastAsia="en-AU"/>
              </w:rPr>
            </w:pPr>
            <w:r w:rsidRPr="000E2A33">
              <w:t>0.3%</w:t>
            </w:r>
          </w:p>
        </w:tc>
        <w:tc>
          <w:tcPr>
            <w:tcW w:w="809" w:type="dxa"/>
          </w:tcPr>
          <w:p w14:paraId="5349CFF0" w14:textId="256D01A2" w:rsidR="00C90BA9" w:rsidRPr="00F45F11" w:rsidRDefault="00C90BA9" w:rsidP="00C90BA9">
            <w:pPr>
              <w:pStyle w:val="ARtableperformancesymbol"/>
            </w:pPr>
            <w:r w:rsidRPr="000E2A33">
              <w:t></w:t>
            </w:r>
          </w:p>
        </w:tc>
      </w:tr>
      <w:tr w:rsidR="008A142C" w:rsidRPr="00F45F11" w14:paraId="547088C8" w14:textId="77777777" w:rsidTr="00DC4049">
        <w:tc>
          <w:tcPr>
            <w:tcW w:w="4742" w:type="dxa"/>
            <w:hideMark/>
          </w:tcPr>
          <w:p w14:paraId="230C3A53" w14:textId="77777777" w:rsidR="008A142C" w:rsidRPr="00F45F11" w:rsidRDefault="008A142C">
            <w:pPr>
              <w:pStyle w:val="ARTabletext"/>
              <w:rPr>
                <w:rFonts w:eastAsia="Times"/>
                <w:lang w:eastAsia="en-AU"/>
              </w:rPr>
            </w:pPr>
            <w:r w:rsidRPr="00F45F11">
              <w:rPr>
                <w:rFonts w:eastAsia="Times"/>
                <w:lang w:eastAsia="en-AU"/>
              </w:rPr>
              <w:t>Total social housing dwellings added during the year</w:t>
            </w:r>
          </w:p>
        </w:tc>
        <w:tc>
          <w:tcPr>
            <w:tcW w:w="1018" w:type="dxa"/>
            <w:hideMark/>
          </w:tcPr>
          <w:p w14:paraId="27264AE9" w14:textId="77777777" w:rsidR="008A142C" w:rsidRPr="00F45F11" w:rsidRDefault="008A142C">
            <w:pPr>
              <w:pStyle w:val="ARTabletext"/>
              <w:rPr>
                <w:rFonts w:eastAsia="Times" w:cs="Arial"/>
                <w:szCs w:val="18"/>
                <w:lang w:eastAsia="en-AU"/>
              </w:rPr>
            </w:pPr>
            <w:r w:rsidRPr="00F45F11">
              <w:rPr>
                <w:rFonts w:eastAsia="Times" w:cs="Arial"/>
                <w:szCs w:val="18"/>
                <w:lang w:eastAsia="en-AU"/>
              </w:rPr>
              <w:t>number</w:t>
            </w:r>
          </w:p>
        </w:tc>
        <w:tc>
          <w:tcPr>
            <w:tcW w:w="1018" w:type="dxa"/>
            <w:hideMark/>
          </w:tcPr>
          <w:p w14:paraId="03148E70" w14:textId="77777777" w:rsidR="008A142C" w:rsidRPr="00F45F11" w:rsidRDefault="008A142C">
            <w:pPr>
              <w:pStyle w:val="ARtabletextright"/>
              <w:rPr>
                <w:rFonts w:eastAsia="Times"/>
                <w:lang w:eastAsia="en-AU"/>
              </w:rPr>
            </w:pPr>
            <w:r w:rsidRPr="00F45F11">
              <w:rPr>
                <w:rFonts w:eastAsia="Times"/>
                <w:lang w:eastAsia="en-AU"/>
              </w:rPr>
              <w:t>2,358</w:t>
            </w:r>
          </w:p>
        </w:tc>
        <w:tc>
          <w:tcPr>
            <w:tcW w:w="1018" w:type="dxa"/>
            <w:hideMark/>
          </w:tcPr>
          <w:p w14:paraId="46A8FE3B" w14:textId="77777777" w:rsidR="008A142C" w:rsidRPr="00F45F11" w:rsidRDefault="008A142C">
            <w:pPr>
              <w:pStyle w:val="ARtabletextright"/>
              <w:rPr>
                <w:rFonts w:eastAsia="Times"/>
                <w:lang w:eastAsia="en-AU"/>
              </w:rPr>
            </w:pPr>
            <w:r w:rsidRPr="00F45F11">
              <w:rPr>
                <w:rFonts w:eastAsia="Times"/>
                <w:lang w:eastAsia="en-AU"/>
              </w:rPr>
              <w:t>2,311</w:t>
            </w:r>
          </w:p>
        </w:tc>
        <w:tc>
          <w:tcPr>
            <w:tcW w:w="1023" w:type="dxa"/>
          </w:tcPr>
          <w:p w14:paraId="5C2E0955" w14:textId="77777777" w:rsidR="008A142C" w:rsidRPr="00F45F11" w:rsidRDefault="008A142C">
            <w:pPr>
              <w:pStyle w:val="ARtabletextright"/>
              <w:rPr>
                <w:rFonts w:eastAsia="Times"/>
                <w:lang w:eastAsia="en-AU"/>
              </w:rPr>
            </w:pPr>
            <w:r w:rsidRPr="00F45F11">
              <w:rPr>
                <w:rFonts w:eastAsia="Times"/>
                <w:lang w:eastAsia="en-AU"/>
              </w:rPr>
              <w:t>-2.0%</w:t>
            </w:r>
          </w:p>
        </w:tc>
        <w:tc>
          <w:tcPr>
            <w:tcW w:w="809" w:type="dxa"/>
            <w:hideMark/>
          </w:tcPr>
          <w:p w14:paraId="6D28E1EF" w14:textId="77777777" w:rsidR="008A142C" w:rsidRPr="00F45F11" w:rsidRDefault="008A142C">
            <w:pPr>
              <w:pStyle w:val="ARtableperformancesymbol"/>
              <w:rPr>
                <w:rFonts w:eastAsia="MS PGothic" w:cs="Arial" w:hint="eastAsia"/>
                <w:szCs w:val="18"/>
                <w:lang w:eastAsia="x-none"/>
              </w:rPr>
            </w:pPr>
            <w:r w:rsidRPr="00F45F11">
              <w:t>□</w:t>
            </w:r>
          </w:p>
        </w:tc>
      </w:tr>
      <w:tr w:rsidR="007F5225" w:rsidRPr="00F45F11" w14:paraId="2256A92F" w14:textId="77777777" w:rsidTr="00DC4049">
        <w:tc>
          <w:tcPr>
            <w:tcW w:w="4742" w:type="dxa"/>
          </w:tcPr>
          <w:p w14:paraId="15157228" w14:textId="34A66A6E" w:rsidR="007F5225" w:rsidRPr="00F45F11" w:rsidRDefault="007F5225" w:rsidP="007F5225">
            <w:pPr>
              <w:pStyle w:val="ARtablegreybold"/>
              <w:rPr>
                <w:rFonts w:eastAsia="Times"/>
              </w:rPr>
            </w:pPr>
            <w:r w:rsidRPr="00F45F11">
              <w:t>Quality</w:t>
            </w:r>
          </w:p>
        </w:tc>
        <w:tc>
          <w:tcPr>
            <w:tcW w:w="1018" w:type="dxa"/>
          </w:tcPr>
          <w:p w14:paraId="72C92DB0" w14:textId="77777777" w:rsidR="007F5225" w:rsidRPr="00F45F11" w:rsidRDefault="007F5225">
            <w:pPr>
              <w:pStyle w:val="ARTabletext"/>
              <w:rPr>
                <w:rFonts w:eastAsia="Times"/>
                <w:lang w:eastAsia="en-AU"/>
              </w:rPr>
            </w:pPr>
          </w:p>
        </w:tc>
        <w:tc>
          <w:tcPr>
            <w:tcW w:w="1018" w:type="dxa"/>
          </w:tcPr>
          <w:p w14:paraId="2AEAABE1" w14:textId="77777777" w:rsidR="007F5225" w:rsidRPr="00F45F11" w:rsidRDefault="007F5225">
            <w:pPr>
              <w:pStyle w:val="ARtabletextright"/>
              <w:rPr>
                <w:rFonts w:eastAsia="Times"/>
                <w:lang w:eastAsia="en-AU"/>
              </w:rPr>
            </w:pPr>
          </w:p>
        </w:tc>
        <w:tc>
          <w:tcPr>
            <w:tcW w:w="1018" w:type="dxa"/>
          </w:tcPr>
          <w:p w14:paraId="07D0A2CB" w14:textId="77777777" w:rsidR="007F5225" w:rsidRPr="00485CC9" w:rsidRDefault="007F5225">
            <w:pPr>
              <w:pStyle w:val="ARtabletextright"/>
              <w:rPr>
                <w:rFonts w:eastAsia="Times"/>
                <w:lang w:eastAsia="en-AU"/>
              </w:rPr>
            </w:pPr>
          </w:p>
        </w:tc>
        <w:tc>
          <w:tcPr>
            <w:tcW w:w="1023" w:type="dxa"/>
          </w:tcPr>
          <w:p w14:paraId="6A02073B" w14:textId="77777777" w:rsidR="007F5225" w:rsidRPr="00485CC9" w:rsidRDefault="007F5225">
            <w:pPr>
              <w:pStyle w:val="ARtabletextright"/>
              <w:rPr>
                <w:rFonts w:eastAsia="Times"/>
                <w:lang w:eastAsia="en-AU"/>
              </w:rPr>
            </w:pPr>
          </w:p>
        </w:tc>
        <w:tc>
          <w:tcPr>
            <w:tcW w:w="809" w:type="dxa"/>
          </w:tcPr>
          <w:p w14:paraId="6ADC5931" w14:textId="77777777" w:rsidR="007F5225" w:rsidRPr="009913ED" w:rsidRDefault="007F5225">
            <w:pPr>
              <w:pStyle w:val="ARtableperformancesymbol"/>
              <w:rPr>
                <w:rFonts w:eastAsia="Wingdings"/>
              </w:rPr>
            </w:pPr>
          </w:p>
        </w:tc>
      </w:tr>
      <w:tr w:rsidR="008A142C" w:rsidRPr="00F45F11" w14:paraId="398422D1" w14:textId="77777777" w:rsidTr="00DC4049">
        <w:tc>
          <w:tcPr>
            <w:tcW w:w="4742" w:type="dxa"/>
          </w:tcPr>
          <w:p w14:paraId="5682F56F" w14:textId="77777777" w:rsidR="008A142C" w:rsidRPr="00F45F11" w:rsidRDefault="008A142C">
            <w:pPr>
              <w:pStyle w:val="ARTabletext"/>
              <w:rPr>
                <w:rFonts w:eastAsia="Times"/>
                <w:lang w:eastAsia="en-AU"/>
              </w:rPr>
            </w:pPr>
            <w:r w:rsidRPr="00F45F11">
              <w:rPr>
                <w:rFonts w:eastAsia="Times"/>
                <w:lang w:eastAsia="en-AU"/>
              </w:rPr>
              <w:t>Proportion of homelessness services clients that engage with support services and access or maintain housing </w:t>
            </w:r>
          </w:p>
        </w:tc>
        <w:tc>
          <w:tcPr>
            <w:tcW w:w="1018" w:type="dxa"/>
          </w:tcPr>
          <w:p w14:paraId="790E7FC8" w14:textId="77777777" w:rsidR="008A142C" w:rsidRPr="00F45F11" w:rsidRDefault="008A142C">
            <w:pPr>
              <w:pStyle w:val="ARTabletext"/>
              <w:rPr>
                <w:rFonts w:eastAsia="Times"/>
                <w:lang w:eastAsia="en-AU"/>
              </w:rPr>
            </w:pPr>
            <w:r w:rsidRPr="00F45F11">
              <w:rPr>
                <w:rFonts w:eastAsia="Times"/>
                <w:lang w:eastAsia="en-AU"/>
              </w:rPr>
              <w:t>per cent</w:t>
            </w:r>
          </w:p>
        </w:tc>
        <w:tc>
          <w:tcPr>
            <w:tcW w:w="1018" w:type="dxa"/>
          </w:tcPr>
          <w:p w14:paraId="3C492167" w14:textId="77777777" w:rsidR="008A142C" w:rsidRPr="00F45F11" w:rsidRDefault="008A142C">
            <w:pPr>
              <w:pStyle w:val="ARtabletextright"/>
              <w:rPr>
                <w:rFonts w:eastAsia="Times"/>
                <w:lang w:eastAsia="en-AU"/>
              </w:rPr>
            </w:pPr>
            <w:r w:rsidRPr="00F45F11">
              <w:rPr>
                <w:rFonts w:eastAsia="Times"/>
                <w:lang w:eastAsia="en-AU"/>
              </w:rPr>
              <w:t>77</w:t>
            </w:r>
          </w:p>
        </w:tc>
        <w:tc>
          <w:tcPr>
            <w:tcW w:w="1018" w:type="dxa"/>
          </w:tcPr>
          <w:p w14:paraId="5C934F19" w14:textId="77777777" w:rsidR="008A142C" w:rsidRPr="00485CC9" w:rsidRDefault="008A142C">
            <w:pPr>
              <w:pStyle w:val="ARtabletextright"/>
              <w:rPr>
                <w:rFonts w:eastAsia="Times"/>
                <w:lang w:eastAsia="en-AU"/>
              </w:rPr>
            </w:pPr>
            <w:r w:rsidRPr="00485CC9">
              <w:rPr>
                <w:rFonts w:eastAsia="Times"/>
                <w:lang w:eastAsia="en-AU"/>
              </w:rPr>
              <w:t>7</w:t>
            </w:r>
            <w:r w:rsidRPr="00485CC9">
              <w:rPr>
                <w:rFonts w:eastAsia="Times"/>
                <w:kern w:val="2"/>
                <w:lang w:eastAsia="en-AU"/>
                <w14:ligatures w14:val="standardContextual"/>
              </w:rPr>
              <w:t>7</w:t>
            </w:r>
          </w:p>
        </w:tc>
        <w:tc>
          <w:tcPr>
            <w:tcW w:w="1023" w:type="dxa"/>
          </w:tcPr>
          <w:p w14:paraId="1A4E5464" w14:textId="77777777" w:rsidR="008A142C" w:rsidRPr="00485CC9" w:rsidRDefault="008A142C">
            <w:pPr>
              <w:pStyle w:val="ARtabletextright"/>
              <w:rPr>
                <w:rFonts w:eastAsia="Times"/>
                <w:lang w:eastAsia="en-AU"/>
              </w:rPr>
            </w:pPr>
            <w:r w:rsidRPr="00485CC9">
              <w:rPr>
                <w:rFonts w:eastAsia="Times"/>
                <w:lang w:eastAsia="en-AU"/>
              </w:rPr>
              <w:t>0.0%</w:t>
            </w:r>
          </w:p>
        </w:tc>
        <w:tc>
          <w:tcPr>
            <w:tcW w:w="809" w:type="dxa"/>
          </w:tcPr>
          <w:p w14:paraId="4A083FCB" w14:textId="77777777" w:rsidR="008A142C" w:rsidRPr="00F45F11" w:rsidRDefault="008A142C">
            <w:pPr>
              <w:pStyle w:val="ARtableperformancesymbol"/>
              <w:rPr>
                <w:rFonts w:eastAsia="MS PGothic" w:cs="Arial" w:hint="eastAsia"/>
              </w:rPr>
            </w:pPr>
            <w:r w:rsidRPr="009913ED">
              <w:rPr>
                <w:rFonts w:eastAsia="Wingdings"/>
              </w:rPr>
              <w:t></w:t>
            </w:r>
          </w:p>
        </w:tc>
      </w:tr>
      <w:tr w:rsidR="008A142C" w:rsidRPr="00F45F11" w14:paraId="1796C8A2" w14:textId="77777777" w:rsidTr="00DC4049">
        <w:tc>
          <w:tcPr>
            <w:tcW w:w="4742" w:type="dxa"/>
          </w:tcPr>
          <w:p w14:paraId="1D387E20" w14:textId="77777777" w:rsidR="008A142C" w:rsidRPr="00F45F11" w:rsidRDefault="008A142C">
            <w:pPr>
              <w:pStyle w:val="ARTabletext"/>
              <w:rPr>
                <w:rFonts w:eastAsia="Times"/>
                <w:lang w:eastAsia="en-AU"/>
              </w:rPr>
            </w:pPr>
            <w:r w:rsidRPr="00F45F11">
              <w:rPr>
                <w:rFonts w:eastAsia="Times"/>
                <w:lang w:eastAsia="en-AU"/>
              </w:rPr>
              <w:t xml:space="preserve">Social housing tenants satisfied with completed </w:t>
            </w:r>
            <w:r w:rsidRPr="00F45F11">
              <w:rPr>
                <w:rFonts w:eastAsia="Times"/>
                <w:lang w:eastAsia="en-AU"/>
              </w:rPr>
              <w:br/>
              <w:t>non-urgent maintenance works</w:t>
            </w:r>
          </w:p>
        </w:tc>
        <w:tc>
          <w:tcPr>
            <w:tcW w:w="1018" w:type="dxa"/>
          </w:tcPr>
          <w:p w14:paraId="1B4B4F12" w14:textId="77777777" w:rsidR="008A142C" w:rsidRPr="00F45F11" w:rsidRDefault="008A142C">
            <w:pPr>
              <w:pStyle w:val="ARTabletext"/>
              <w:rPr>
                <w:rFonts w:eastAsia="Times"/>
                <w:lang w:eastAsia="en-AU"/>
              </w:rPr>
            </w:pPr>
            <w:r w:rsidRPr="00F45F11">
              <w:rPr>
                <w:rFonts w:eastAsia="Times"/>
                <w:lang w:eastAsia="en-AU"/>
              </w:rPr>
              <w:t>per cent</w:t>
            </w:r>
          </w:p>
        </w:tc>
        <w:tc>
          <w:tcPr>
            <w:tcW w:w="1018" w:type="dxa"/>
          </w:tcPr>
          <w:p w14:paraId="332516EB" w14:textId="77777777" w:rsidR="008A142C" w:rsidRPr="00F45F11" w:rsidRDefault="008A142C">
            <w:pPr>
              <w:pStyle w:val="ARtabletextright"/>
              <w:rPr>
                <w:rFonts w:eastAsia="Times"/>
                <w:lang w:eastAsia="en-AU"/>
              </w:rPr>
            </w:pPr>
            <w:r w:rsidRPr="00F45F11">
              <w:rPr>
                <w:rFonts w:eastAsia="Times"/>
                <w:lang w:eastAsia="en-AU"/>
              </w:rPr>
              <w:t>80</w:t>
            </w:r>
          </w:p>
        </w:tc>
        <w:tc>
          <w:tcPr>
            <w:tcW w:w="1018" w:type="dxa"/>
          </w:tcPr>
          <w:p w14:paraId="30ED03BF" w14:textId="77777777" w:rsidR="008A142C" w:rsidRPr="00F45F11" w:rsidRDefault="008A142C">
            <w:pPr>
              <w:pStyle w:val="ARtabletextright"/>
              <w:rPr>
                <w:rFonts w:eastAsia="Times"/>
                <w:lang w:eastAsia="en-AU"/>
              </w:rPr>
            </w:pPr>
            <w:r w:rsidRPr="00F45F11">
              <w:rPr>
                <w:rFonts w:eastAsia="Times"/>
                <w:lang w:eastAsia="en-AU"/>
              </w:rPr>
              <w:t>80</w:t>
            </w:r>
          </w:p>
        </w:tc>
        <w:tc>
          <w:tcPr>
            <w:tcW w:w="1023" w:type="dxa"/>
          </w:tcPr>
          <w:p w14:paraId="0FB59014" w14:textId="77777777" w:rsidR="008A142C" w:rsidRPr="00F45F11" w:rsidRDefault="008A142C">
            <w:pPr>
              <w:pStyle w:val="ARtabletextright"/>
              <w:rPr>
                <w:rFonts w:eastAsia="Times"/>
                <w:lang w:eastAsia="en-AU"/>
              </w:rPr>
            </w:pPr>
            <w:r w:rsidRPr="00F45F11">
              <w:rPr>
                <w:rFonts w:eastAsia="Times"/>
                <w:lang w:eastAsia="en-AU"/>
              </w:rPr>
              <w:t>0.0%</w:t>
            </w:r>
          </w:p>
        </w:tc>
        <w:tc>
          <w:tcPr>
            <w:tcW w:w="809" w:type="dxa"/>
          </w:tcPr>
          <w:p w14:paraId="43651300" w14:textId="77777777" w:rsidR="008A142C" w:rsidRPr="009913ED" w:rsidRDefault="008A142C">
            <w:pPr>
              <w:pStyle w:val="ARtableperformancesymbol"/>
              <w:rPr>
                <w:rFonts w:eastAsia="Wingdings"/>
              </w:rPr>
            </w:pPr>
            <w:r w:rsidRPr="009913ED">
              <w:rPr>
                <w:rFonts w:eastAsia="Wingdings"/>
              </w:rPr>
              <w:t></w:t>
            </w:r>
          </w:p>
        </w:tc>
      </w:tr>
      <w:tr w:rsidR="008A142C" w:rsidRPr="00F45F11" w14:paraId="15F50217" w14:textId="77777777" w:rsidTr="00DC4049">
        <w:tc>
          <w:tcPr>
            <w:tcW w:w="4742" w:type="dxa"/>
            <w:hideMark/>
          </w:tcPr>
          <w:p w14:paraId="69952865" w14:textId="77777777" w:rsidR="008A142C" w:rsidRDefault="008A142C">
            <w:pPr>
              <w:pStyle w:val="ARTabletext"/>
              <w:rPr>
                <w:rFonts w:eastAsia="Times"/>
                <w:lang w:eastAsia="en-AU"/>
              </w:rPr>
            </w:pPr>
            <w:r w:rsidRPr="00F45F11">
              <w:rPr>
                <w:rFonts w:eastAsia="Times"/>
                <w:lang w:eastAsia="en-AU"/>
              </w:rPr>
              <w:t>Social housing tenants satisfied with completed urgent maintenance works</w:t>
            </w:r>
          </w:p>
          <w:p w14:paraId="0E9BBC55" w14:textId="433847A6" w:rsidR="00F659C1" w:rsidRPr="00F45F11" w:rsidRDefault="00F659C1" w:rsidP="00F659C1">
            <w:pPr>
              <w:pStyle w:val="ARtablenoteindent"/>
            </w:pPr>
            <w:r w:rsidRPr="00F45F11">
              <w:t>The 2025–26 result has improved since 30 June 2025 but remains below target. The department is implementing a new maintenance operating model in 2026–27 and will continue working with contractors to improve customer satisfaction.</w:t>
            </w:r>
          </w:p>
        </w:tc>
        <w:tc>
          <w:tcPr>
            <w:tcW w:w="1018" w:type="dxa"/>
            <w:hideMark/>
          </w:tcPr>
          <w:p w14:paraId="0794B551" w14:textId="77777777" w:rsidR="008A142C" w:rsidRPr="00F45F11" w:rsidRDefault="008A142C">
            <w:pPr>
              <w:pStyle w:val="ARTabletext"/>
              <w:rPr>
                <w:rFonts w:eastAsia="Times"/>
                <w:lang w:eastAsia="en-AU"/>
              </w:rPr>
            </w:pPr>
            <w:r w:rsidRPr="00F45F11">
              <w:rPr>
                <w:rFonts w:eastAsia="Times"/>
                <w:lang w:eastAsia="en-AU"/>
              </w:rPr>
              <w:t>per cent</w:t>
            </w:r>
          </w:p>
        </w:tc>
        <w:tc>
          <w:tcPr>
            <w:tcW w:w="1018" w:type="dxa"/>
          </w:tcPr>
          <w:p w14:paraId="6EFC8CE2" w14:textId="77777777" w:rsidR="008A142C" w:rsidRPr="00F45F11" w:rsidRDefault="008A142C">
            <w:pPr>
              <w:pStyle w:val="ARtabletextright"/>
              <w:rPr>
                <w:rFonts w:eastAsia="Times"/>
                <w:lang w:eastAsia="en-AU"/>
              </w:rPr>
            </w:pPr>
            <w:r w:rsidRPr="00F45F11">
              <w:rPr>
                <w:rFonts w:eastAsia="Times"/>
                <w:lang w:eastAsia="en-AU"/>
              </w:rPr>
              <w:t>85</w:t>
            </w:r>
          </w:p>
        </w:tc>
        <w:tc>
          <w:tcPr>
            <w:tcW w:w="1018" w:type="dxa"/>
          </w:tcPr>
          <w:p w14:paraId="69B5BD99" w14:textId="77777777" w:rsidR="008A142C" w:rsidRPr="00F45F11" w:rsidRDefault="008A142C">
            <w:pPr>
              <w:pStyle w:val="ARtabletextright"/>
              <w:rPr>
                <w:rFonts w:eastAsia="Times"/>
                <w:lang w:eastAsia="en-AU"/>
              </w:rPr>
            </w:pPr>
            <w:r w:rsidRPr="00F45F11">
              <w:rPr>
                <w:rFonts w:eastAsia="Times"/>
                <w:lang w:eastAsia="en-AU"/>
              </w:rPr>
              <w:t>78</w:t>
            </w:r>
          </w:p>
        </w:tc>
        <w:tc>
          <w:tcPr>
            <w:tcW w:w="1023" w:type="dxa"/>
          </w:tcPr>
          <w:p w14:paraId="7C378E64" w14:textId="77777777" w:rsidR="008A142C" w:rsidRPr="00F45F11" w:rsidRDefault="008A142C">
            <w:pPr>
              <w:pStyle w:val="ARtabletextright"/>
              <w:rPr>
                <w:rFonts w:eastAsia="Times"/>
                <w:lang w:eastAsia="en-AU"/>
              </w:rPr>
            </w:pPr>
            <w:r w:rsidRPr="00F45F11">
              <w:rPr>
                <w:rFonts w:eastAsia="Times"/>
                <w:lang w:eastAsia="en-AU"/>
              </w:rPr>
              <w:t>-8.2%</w:t>
            </w:r>
          </w:p>
        </w:tc>
        <w:tc>
          <w:tcPr>
            <w:tcW w:w="809" w:type="dxa"/>
            <w:hideMark/>
          </w:tcPr>
          <w:p w14:paraId="7A5E7D2C" w14:textId="77777777" w:rsidR="008A142C" w:rsidRPr="00F45F11" w:rsidRDefault="008A142C">
            <w:pPr>
              <w:pStyle w:val="ARtableperformancesymbol"/>
              <w:rPr>
                <w:rFonts w:eastAsia="MS PGothic" w:cs="Arial" w:hint="eastAsia"/>
              </w:rPr>
            </w:pPr>
            <w:r w:rsidRPr="009913ED">
              <w:rPr>
                <w:rFonts w:eastAsia="Wingdings"/>
              </w:rPr>
              <w:t></w:t>
            </w:r>
          </w:p>
        </w:tc>
      </w:tr>
      <w:tr w:rsidR="00F659C1" w:rsidRPr="00F45F11" w14:paraId="626F34B1" w14:textId="77777777" w:rsidTr="00DC4049">
        <w:tc>
          <w:tcPr>
            <w:tcW w:w="4742" w:type="dxa"/>
          </w:tcPr>
          <w:p w14:paraId="3E25C5E9" w14:textId="608C8FE0" w:rsidR="00F659C1" w:rsidRPr="00F45F11" w:rsidRDefault="00F659C1" w:rsidP="00F659C1">
            <w:pPr>
              <w:pStyle w:val="ARtablegreybold"/>
              <w:rPr>
                <w:rFonts w:eastAsia="Times"/>
              </w:rPr>
            </w:pPr>
            <w:r w:rsidRPr="00F45F11">
              <w:t>Timeliness</w:t>
            </w:r>
          </w:p>
        </w:tc>
        <w:tc>
          <w:tcPr>
            <w:tcW w:w="1018" w:type="dxa"/>
          </w:tcPr>
          <w:p w14:paraId="4A2646F2" w14:textId="77777777" w:rsidR="00F659C1" w:rsidRPr="00F45F11" w:rsidRDefault="00F659C1">
            <w:pPr>
              <w:pStyle w:val="ARTabletext"/>
              <w:rPr>
                <w:rFonts w:eastAsia="Times"/>
                <w:lang w:eastAsia="en-AU"/>
              </w:rPr>
            </w:pPr>
          </w:p>
        </w:tc>
        <w:tc>
          <w:tcPr>
            <w:tcW w:w="1018" w:type="dxa"/>
          </w:tcPr>
          <w:p w14:paraId="397CA0CF" w14:textId="77777777" w:rsidR="00F659C1" w:rsidRPr="00F45F11" w:rsidRDefault="00F659C1">
            <w:pPr>
              <w:pStyle w:val="ARtabletextright"/>
            </w:pPr>
          </w:p>
        </w:tc>
        <w:tc>
          <w:tcPr>
            <w:tcW w:w="1018" w:type="dxa"/>
          </w:tcPr>
          <w:p w14:paraId="7D31F871" w14:textId="77777777" w:rsidR="00F659C1" w:rsidRPr="00F45F11" w:rsidRDefault="00F659C1">
            <w:pPr>
              <w:pStyle w:val="ARtabletextright"/>
            </w:pPr>
          </w:p>
        </w:tc>
        <w:tc>
          <w:tcPr>
            <w:tcW w:w="1023" w:type="dxa"/>
          </w:tcPr>
          <w:p w14:paraId="0114FFB1" w14:textId="77777777" w:rsidR="00F659C1" w:rsidRPr="00F45F11" w:rsidRDefault="00F659C1">
            <w:pPr>
              <w:pStyle w:val="ARtabletextright"/>
            </w:pPr>
          </w:p>
        </w:tc>
        <w:tc>
          <w:tcPr>
            <w:tcW w:w="809" w:type="dxa"/>
          </w:tcPr>
          <w:p w14:paraId="1DA1C780" w14:textId="77777777" w:rsidR="00F659C1" w:rsidRPr="009913ED" w:rsidRDefault="00F659C1">
            <w:pPr>
              <w:pStyle w:val="ARtableperformancesymbol"/>
              <w:rPr>
                <w:rFonts w:eastAsia="Wingdings"/>
              </w:rPr>
            </w:pPr>
          </w:p>
        </w:tc>
      </w:tr>
      <w:tr w:rsidR="008A142C" w:rsidRPr="00F45F11" w14:paraId="76BBF0C6" w14:textId="77777777" w:rsidTr="00DC4049">
        <w:tc>
          <w:tcPr>
            <w:tcW w:w="4742" w:type="dxa"/>
            <w:hideMark/>
          </w:tcPr>
          <w:p w14:paraId="65DDF957" w14:textId="77777777" w:rsidR="008A142C" w:rsidRDefault="008A142C">
            <w:pPr>
              <w:pStyle w:val="ARTabletext"/>
              <w:rPr>
                <w:rFonts w:eastAsia="Times"/>
                <w:lang w:eastAsia="en-AU"/>
              </w:rPr>
            </w:pPr>
            <w:r w:rsidRPr="00F45F11">
              <w:rPr>
                <w:rFonts w:eastAsia="Times"/>
                <w:lang w:eastAsia="en-AU"/>
              </w:rPr>
              <w:t>Average waiting time for long-term social housing for clients who have received a priority access housing or priority transfer allocation due to family violence</w:t>
            </w:r>
          </w:p>
          <w:p w14:paraId="64A8FC6A" w14:textId="3A9FB61E" w:rsidR="00F659C1" w:rsidRPr="00F45F11" w:rsidRDefault="00F659C1" w:rsidP="00F659C1">
            <w:pPr>
              <w:pStyle w:val="ARtablenoteindent"/>
            </w:pPr>
            <w:r w:rsidRPr="00F45F11">
              <w:t>The 2025–26 result reflects ongoing demand for social housing, influenced by housing affordability and broader housing market conditions.</w:t>
            </w:r>
          </w:p>
        </w:tc>
        <w:tc>
          <w:tcPr>
            <w:tcW w:w="1018" w:type="dxa"/>
            <w:hideMark/>
          </w:tcPr>
          <w:p w14:paraId="41E854DC" w14:textId="77777777" w:rsidR="008A142C" w:rsidRPr="00F45F11" w:rsidRDefault="008A142C">
            <w:pPr>
              <w:pStyle w:val="ARTabletext"/>
              <w:rPr>
                <w:rFonts w:eastAsia="Times"/>
                <w:lang w:eastAsia="en-AU"/>
              </w:rPr>
            </w:pPr>
            <w:r w:rsidRPr="00F45F11">
              <w:rPr>
                <w:rFonts w:eastAsia="Times"/>
                <w:lang w:eastAsia="en-AU"/>
              </w:rPr>
              <w:t>months</w:t>
            </w:r>
          </w:p>
        </w:tc>
        <w:tc>
          <w:tcPr>
            <w:tcW w:w="1018" w:type="dxa"/>
          </w:tcPr>
          <w:p w14:paraId="090C5A69" w14:textId="77777777" w:rsidR="008A142C" w:rsidRPr="00F45F11" w:rsidRDefault="008A142C">
            <w:pPr>
              <w:pStyle w:val="ARtabletextright"/>
            </w:pPr>
            <w:r w:rsidRPr="00F45F11">
              <w:t>10.5</w:t>
            </w:r>
          </w:p>
        </w:tc>
        <w:tc>
          <w:tcPr>
            <w:tcW w:w="1018" w:type="dxa"/>
          </w:tcPr>
          <w:p w14:paraId="39F5237F" w14:textId="77777777" w:rsidR="008A142C" w:rsidRPr="00F45F11" w:rsidRDefault="008A142C">
            <w:pPr>
              <w:pStyle w:val="ARtabletextright"/>
            </w:pPr>
            <w:r w:rsidRPr="00F45F11">
              <w:t>20.0</w:t>
            </w:r>
          </w:p>
        </w:tc>
        <w:tc>
          <w:tcPr>
            <w:tcW w:w="1023" w:type="dxa"/>
          </w:tcPr>
          <w:p w14:paraId="0C5F7F34" w14:textId="77777777" w:rsidR="008A142C" w:rsidRPr="00F45F11" w:rsidRDefault="008A142C">
            <w:pPr>
              <w:pStyle w:val="ARtabletextright"/>
            </w:pPr>
            <w:r w:rsidRPr="00F45F11">
              <w:t>90.5%</w:t>
            </w:r>
          </w:p>
        </w:tc>
        <w:tc>
          <w:tcPr>
            <w:tcW w:w="809" w:type="dxa"/>
            <w:hideMark/>
          </w:tcPr>
          <w:p w14:paraId="469FACFB" w14:textId="77777777" w:rsidR="008A142C" w:rsidRPr="00F45F11" w:rsidRDefault="008A142C">
            <w:pPr>
              <w:pStyle w:val="ARtableperformancesymbol"/>
              <w:rPr>
                <w:rFonts w:eastAsia="MS PGothic" w:cs="Arial" w:hint="eastAsia"/>
              </w:rPr>
            </w:pPr>
            <w:r w:rsidRPr="009913ED">
              <w:rPr>
                <w:rFonts w:eastAsia="Wingdings"/>
              </w:rPr>
              <w:t></w:t>
            </w:r>
          </w:p>
        </w:tc>
      </w:tr>
      <w:tr w:rsidR="008A142C" w:rsidRPr="00F45F11" w14:paraId="182F9859" w14:textId="77777777" w:rsidTr="00DC4049">
        <w:tc>
          <w:tcPr>
            <w:tcW w:w="4742" w:type="dxa"/>
          </w:tcPr>
          <w:p w14:paraId="3C8575E1" w14:textId="77777777" w:rsidR="008A142C" w:rsidRDefault="008A142C">
            <w:pPr>
              <w:pStyle w:val="ARTabletext"/>
              <w:rPr>
                <w:rFonts w:eastAsia="Times"/>
                <w:lang w:eastAsia="en-AU"/>
              </w:rPr>
            </w:pPr>
            <w:r w:rsidRPr="00F45F11">
              <w:rPr>
                <w:rFonts w:eastAsia="Times"/>
                <w:lang w:eastAsia="en-AU"/>
              </w:rPr>
              <w:t>Average waiting time for long-term social housing for those clients who have received priority access housing allocation or a priority transfer</w:t>
            </w:r>
          </w:p>
          <w:p w14:paraId="30B644A3" w14:textId="3D263BAC" w:rsidR="00F659C1" w:rsidRPr="00F45F11" w:rsidRDefault="00F659C1" w:rsidP="00F659C1">
            <w:pPr>
              <w:pStyle w:val="ARtablenoteindent"/>
            </w:pPr>
            <w:r w:rsidRPr="00F45F11">
              <w:t>The 2025–26 result reflects ongoing demand for social housing, influenced by housing affordability and broader housing market conditions.</w:t>
            </w:r>
          </w:p>
        </w:tc>
        <w:tc>
          <w:tcPr>
            <w:tcW w:w="1018" w:type="dxa"/>
          </w:tcPr>
          <w:p w14:paraId="5B73E386" w14:textId="77777777" w:rsidR="008A142C" w:rsidRPr="00F45F11" w:rsidRDefault="008A142C">
            <w:pPr>
              <w:pStyle w:val="ARTabletext"/>
              <w:rPr>
                <w:rFonts w:eastAsia="Times"/>
                <w:lang w:eastAsia="en-AU"/>
              </w:rPr>
            </w:pPr>
            <w:r w:rsidRPr="00F45F11">
              <w:rPr>
                <w:rFonts w:eastAsia="Times"/>
                <w:lang w:eastAsia="en-AU"/>
              </w:rPr>
              <w:t>months</w:t>
            </w:r>
          </w:p>
        </w:tc>
        <w:tc>
          <w:tcPr>
            <w:tcW w:w="1018" w:type="dxa"/>
          </w:tcPr>
          <w:p w14:paraId="07EC825F" w14:textId="77777777" w:rsidR="008A142C" w:rsidRPr="00F45F11" w:rsidRDefault="008A142C">
            <w:pPr>
              <w:pStyle w:val="ARtabletextright"/>
              <w:rPr>
                <w:rFonts w:eastAsia="Times"/>
                <w:lang w:eastAsia="en-AU"/>
              </w:rPr>
            </w:pPr>
            <w:r w:rsidRPr="00F45F11">
              <w:rPr>
                <w:rFonts w:eastAsia="Times"/>
                <w:lang w:eastAsia="en-AU"/>
              </w:rPr>
              <w:t>10.5</w:t>
            </w:r>
          </w:p>
        </w:tc>
        <w:tc>
          <w:tcPr>
            <w:tcW w:w="1018" w:type="dxa"/>
          </w:tcPr>
          <w:p w14:paraId="17521F33" w14:textId="77777777" w:rsidR="008A142C" w:rsidRPr="00F45F11" w:rsidRDefault="008A142C">
            <w:pPr>
              <w:pStyle w:val="ARtabletextright"/>
              <w:rPr>
                <w:rFonts w:eastAsia="Times"/>
                <w:lang w:eastAsia="en-AU"/>
              </w:rPr>
            </w:pPr>
            <w:r w:rsidRPr="00F45F11">
              <w:rPr>
                <w:rFonts w:eastAsia="Times"/>
                <w:lang w:eastAsia="en-AU"/>
              </w:rPr>
              <w:t>19.4</w:t>
            </w:r>
          </w:p>
        </w:tc>
        <w:tc>
          <w:tcPr>
            <w:tcW w:w="1023" w:type="dxa"/>
          </w:tcPr>
          <w:p w14:paraId="4483B334" w14:textId="77777777" w:rsidR="008A142C" w:rsidRPr="00F45F11" w:rsidRDefault="008A142C">
            <w:pPr>
              <w:pStyle w:val="ARtabletextright"/>
              <w:rPr>
                <w:rFonts w:eastAsia="Times"/>
                <w:lang w:eastAsia="en-AU"/>
              </w:rPr>
            </w:pPr>
            <w:r w:rsidRPr="00F45F11">
              <w:rPr>
                <w:rFonts w:eastAsia="Times"/>
                <w:lang w:eastAsia="en-AU"/>
              </w:rPr>
              <w:t>84.8%</w:t>
            </w:r>
          </w:p>
        </w:tc>
        <w:tc>
          <w:tcPr>
            <w:tcW w:w="809" w:type="dxa"/>
          </w:tcPr>
          <w:p w14:paraId="0B7EBD44" w14:textId="77777777" w:rsidR="008A142C" w:rsidRPr="00F45F11" w:rsidRDefault="008A142C">
            <w:pPr>
              <w:pStyle w:val="ARtableperformancesymbol"/>
              <w:rPr>
                <w:rFonts w:eastAsia="Wingdings"/>
              </w:rPr>
            </w:pPr>
            <w:r w:rsidRPr="009913ED">
              <w:rPr>
                <w:rFonts w:eastAsia="Wingdings"/>
              </w:rPr>
              <w:t></w:t>
            </w:r>
          </w:p>
        </w:tc>
      </w:tr>
      <w:tr w:rsidR="008A142C" w:rsidRPr="00F45F11" w14:paraId="3FBB1748" w14:textId="77777777" w:rsidTr="00DC4049">
        <w:tc>
          <w:tcPr>
            <w:tcW w:w="4742" w:type="dxa"/>
            <w:hideMark/>
          </w:tcPr>
          <w:p w14:paraId="65BB9BDC" w14:textId="77777777" w:rsidR="008A142C" w:rsidRPr="00F45F11" w:rsidRDefault="008A142C">
            <w:pPr>
              <w:pStyle w:val="ARTabletext"/>
              <w:rPr>
                <w:rFonts w:eastAsia="Times"/>
                <w:lang w:eastAsia="en-AU"/>
              </w:rPr>
            </w:pPr>
            <w:r w:rsidRPr="00F45F11">
              <w:rPr>
                <w:rFonts w:eastAsia="Times"/>
                <w:lang w:eastAsia="en-AU"/>
              </w:rPr>
              <w:t>Proportion of clients where support to sustain housing tenure was provided or referred</w:t>
            </w:r>
          </w:p>
        </w:tc>
        <w:tc>
          <w:tcPr>
            <w:tcW w:w="1018" w:type="dxa"/>
            <w:hideMark/>
          </w:tcPr>
          <w:p w14:paraId="69572CF9" w14:textId="77777777" w:rsidR="008A142C" w:rsidRPr="00F45F11" w:rsidRDefault="008A142C">
            <w:pPr>
              <w:pStyle w:val="ARTabletext"/>
              <w:rPr>
                <w:rFonts w:eastAsia="Times"/>
              </w:rPr>
            </w:pPr>
            <w:r w:rsidRPr="00F45F11">
              <w:rPr>
                <w:rFonts w:eastAsia="Times"/>
              </w:rPr>
              <w:t>per cent</w:t>
            </w:r>
          </w:p>
        </w:tc>
        <w:tc>
          <w:tcPr>
            <w:tcW w:w="1018" w:type="dxa"/>
            <w:hideMark/>
          </w:tcPr>
          <w:p w14:paraId="5065356E" w14:textId="77777777" w:rsidR="008A142C" w:rsidRPr="00F45F11" w:rsidRDefault="008A142C">
            <w:pPr>
              <w:pStyle w:val="ARtabletextright"/>
              <w:rPr>
                <w:rFonts w:eastAsia="Times"/>
                <w:lang w:eastAsia="en-AU"/>
              </w:rPr>
            </w:pPr>
            <w:r w:rsidRPr="00F45F11">
              <w:rPr>
                <w:rFonts w:eastAsia="Times"/>
                <w:lang w:eastAsia="en-AU"/>
              </w:rPr>
              <w:t>85</w:t>
            </w:r>
          </w:p>
        </w:tc>
        <w:tc>
          <w:tcPr>
            <w:tcW w:w="1018" w:type="dxa"/>
            <w:hideMark/>
          </w:tcPr>
          <w:p w14:paraId="55BFA928" w14:textId="77777777" w:rsidR="008A142C" w:rsidRPr="00562BCD" w:rsidRDefault="008A142C">
            <w:pPr>
              <w:pStyle w:val="ARtabletextright"/>
              <w:rPr>
                <w:rFonts w:eastAsia="Times"/>
                <w:lang w:eastAsia="en-AU"/>
              </w:rPr>
            </w:pPr>
            <w:r w:rsidRPr="00562BCD">
              <w:rPr>
                <w:rFonts w:eastAsia="Times"/>
                <w:kern w:val="2"/>
                <w:lang w:eastAsia="en-AU"/>
                <w14:ligatures w14:val="standardContextual"/>
              </w:rPr>
              <w:t>88</w:t>
            </w:r>
          </w:p>
        </w:tc>
        <w:tc>
          <w:tcPr>
            <w:tcW w:w="1023" w:type="dxa"/>
          </w:tcPr>
          <w:p w14:paraId="34C94876" w14:textId="77777777" w:rsidR="008A142C" w:rsidRPr="00562BCD" w:rsidRDefault="008A142C">
            <w:pPr>
              <w:pStyle w:val="ARtabletextright"/>
              <w:rPr>
                <w:rFonts w:eastAsia="Times"/>
                <w:lang w:eastAsia="en-AU"/>
              </w:rPr>
            </w:pPr>
            <w:r w:rsidRPr="00562BCD">
              <w:rPr>
                <w:rFonts w:eastAsia="Times"/>
                <w:lang w:eastAsia="en-AU"/>
              </w:rPr>
              <w:t>3.</w:t>
            </w:r>
            <w:r w:rsidRPr="00562BCD">
              <w:rPr>
                <w:rFonts w:eastAsia="Times"/>
                <w:kern w:val="2"/>
                <w:lang w:eastAsia="en-AU"/>
                <w14:ligatures w14:val="standardContextual"/>
              </w:rPr>
              <w:t>5%</w:t>
            </w:r>
          </w:p>
        </w:tc>
        <w:tc>
          <w:tcPr>
            <w:tcW w:w="809" w:type="dxa"/>
            <w:hideMark/>
          </w:tcPr>
          <w:p w14:paraId="28EDA40C" w14:textId="77777777" w:rsidR="008A142C" w:rsidRPr="00F45F11" w:rsidRDefault="008A142C">
            <w:pPr>
              <w:pStyle w:val="ARtableperformancesymbol"/>
              <w:rPr>
                <w:rFonts w:eastAsia="MS PGothic" w:cs="Arial" w:hint="eastAsia"/>
              </w:rPr>
            </w:pPr>
            <w:r w:rsidRPr="009913ED">
              <w:rPr>
                <w:rFonts w:eastAsia="Wingdings"/>
              </w:rPr>
              <w:t></w:t>
            </w:r>
          </w:p>
        </w:tc>
      </w:tr>
      <w:tr w:rsidR="00DC4049" w:rsidRPr="00F45F11" w14:paraId="74F3244D" w14:textId="77777777" w:rsidTr="00DC4049">
        <w:tc>
          <w:tcPr>
            <w:tcW w:w="4742" w:type="dxa"/>
          </w:tcPr>
          <w:p w14:paraId="71BE5C3F" w14:textId="50A0A773" w:rsidR="00DC4049" w:rsidRPr="00F659C1" w:rsidRDefault="00F659C1" w:rsidP="006D61F8">
            <w:pPr>
              <w:pStyle w:val="ARtablegreybold"/>
              <w:keepNext/>
            </w:pPr>
            <w:r w:rsidRPr="00F45F11">
              <w:t>Cost</w:t>
            </w:r>
          </w:p>
        </w:tc>
        <w:tc>
          <w:tcPr>
            <w:tcW w:w="1018" w:type="dxa"/>
          </w:tcPr>
          <w:p w14:paraId="2EE5E22F" w14:textId="77777777" w:rsidR="00DC4049" w:rsidRPr="00F45F11" w:rsidRDefault="00DC4049" w:rsidP="00DC4049">
            <w:pPr>
              <w:pStyle w:val="ARtablegreybold"/>
            </w:pPr>
          </w:p>
        </w:tc>
        <w:tc>
          <w:tcPr>
            <w:tcW w:w="1018" w:type="dxa"/>
          </w:tcPr>
          <w:p w14:paraId="4423044F" w14:textId="77777777" w:rsidR="00DC4049" w:rsidRPr="00F45F11" w:rsidRDefault="00DC4049" w:rsidP="00DC4049">
            <w:pPr>
              <w:pStyle w:val="ARtablegreybold"/>
            </w:pPr>
          </w:p>
        </w:tc>
        <w:tc>
          <w:tcPr>
            <w:tcW w:w="1018" w:type="dxa"/>
          </w:tcPr>
          <w:p w14:paraId="0E691F5F" w14:textId="77777777" w:rsidR="00DC4049" w:rsidRPr="00F45F11" w:rsidRDefault="00DC4049" w:rsidP="00DC4049">
            <w:pPr>
              <w:pStyle w:val="ARtablegreybold"/>
            </w:pPr>
          </w:p>
        </w:tc>
        <w:tc>
          <w:tcPr>
            <w:tcW w:w="1023" w:type="dxa"/>
          </w:tcPr>
          <w:p w14:paraId="71E53CBA" w14:textId="77777777" w:rsidR="00DC4049" w:rsidRPr="00F45F11" w:rsidRDefault="00DC4049" w:rsidP="00DC4049">
            <w:pPr>
              <w:pStyle w:val="ARtablegreybold"/>
            </w:pPr>
          </w:p>
        </w:tc>
        <w:tc>
          <w:tcPr>
            <w:tcW w:w="809" w:type="dxa"/>
          </w:tcPr>
          <w:p w14:paraId="025794C6" w14:textId="77777777" w:rsidR="00DC4049" w:rsidRPr="009913ED" w:rsidRDefault="00DC4049" w:rsidP="00DC4049">
            <w:pPr>
              <w:pStyle w:val="ARtablegreybold"/>
              <w:rPr>
                <w:rFonts w:eastAsia="Wingdings"/>
              </w:rPr>
            </w:pPr>
          </w:p>
        </w:tc>
      </w:tr>
      <w:tr w:rsidR="008A142C" w:rsidRPr="00F45F11" w14:paraId="326ED21D" w14:textId="77777777" w:rsidTr="00DC4049">
        <w:tc>
          <w:tcPr>
            <w:tcW w:w="4742" w:type="dxa"/>
            <w:hideMark/>
          </w:tcPr>
          <w:p w14:paraId="7F2456B8" w14:textId="77777777" w:rsidR="008A142C" w:rsidRDefault="008A142C">
            <w:pPr>
              <w:pStyle w:val="ARtabletextbold"/>
              <w:rPr>
                <w:rFonts w:eastAsia="Times"/>
                <w:lang w:eastAsia="en-AU"/>
              </w:rPr>
            </w:pPr>
            <w:r w:rsidRPr="00F45F11">
              <w:rPr>
                <w:rFonts w:eastAsia="Times"/>
                <w:lang w:eastAsia="en-AU"/>
              </w:rPr>
              <w:t>Total output cost</w:t>
            </w:r>
          </w:p>
          <w:p w14:paraId="356C381C" w14:textId="03065026" w:rsidR="00F659C1" w:rsidRPr="00F45F11" w:rsidRDefault="00F659C1" w:rsidP="00F659C1">
            <w:pPr>
              <w:pStyle w:val="ARtablenoteindent"/>
            </w:pPr>
            <w:r w:rsidRPr="00FD34E8">
              <w:t>The higher actual primarily reflects additional funding for housing initiatives and includes the release of the short stay levy ($91.8 million), approved in June 2026.</w:t>
            </w:r>
          </w:p>
        </w:tc>
        <w:tc>
          <w:tcPr>
            <w:tcW w:w="1018" w:type="dxa"/>
            <w:hideMark/>
          </w:tcPr>
          <w:p w14:paraId="13B14D63" w14:textId="77777777" w:rsidR="008A142C" w:rsidRPr="00F45F11" w:rsidRDefault="008A142C">
            <w:pPr>
              <w:pStyle w:val="ARtabletextbold"/>
              <w:rPr>
                <w:rFonts w:eastAsia="Times"/>
                <w:lang w:eastAsia="en-AU"/>
              </w:rPr>
            </w:pPr>
            <w:r w:rsidRPr="00F45F11">
              <w:rPr>
                <w:rFonts w:eastAsia="Times"/>
                <w:lang w:eastAsia="en-AU"/>
              </w:rPr>
              <w:t>$ million</w:t>
            </w:r>
          </w:p>
        </w:tc>
        <w:tc>
          <w:tcPr>
            <w:tcW w:w="1018" w:type="dxa"/>
          </w:tcPr>
          <w:p w14:paraId="13F27FD2" w14:textId="77777777" w:rsidR="008A142C" w:rsidRPr="00F45F11" w:rsidRDefault="008A142C">
            <w:pPr>
              <w:pStyle w:val="ARtabletextrightbold"/>
              <w:rPr>
                <w:rFonts w:eastAsia="Times"/>
                <w:lang w:eastAsia="en-AU"/>
              </w:rPr>
            </w:pPr>
            <w:r w:rsidRPr="00F45F11">
              <w:rPr>
                <w:rFonts w:eastAsia="Times"/>
                <w:lang w:eastAsia="en-AU"/>
              </w:rPr>
              <w:t>653.4</w:t>
            </w:r>
          </w:p>
        </w:tc>
        <w:tc>
          <w:tcPr>
            <w:tcW w:w="1018" w:type="dxa"/>
          </w:tcPr>
          <w:p w14:paraId="591E5F3F" w14:textId="77777777" w:rsidR="008A142C" w:rsidRPr="00F45F11" w:rsidRDefault="008A142C">
            <w:pPr>
              <w:pStyle w:val="ARtabletextrightbold"/>
              <w:rPr>
                <w:rFonts w:eastAsia="Times"/>
                <w:lang w:eastAsia="en-AU"/>
              </w:rPr>
            </w:pPr>
            <w:r w:rsidRPr="00F45F11">
              <w:rPr>
                <w:rFonts w:eastAsia="Times"/>
                <w:lang w:eastAsia="en-AU"/>
              </w:rPr>
              <w:t>716.1</w:t>
            </w:r>
          </w:p>
        </w:tc>
        <w:tc>
          <w:tcPr>
            <w:tcW w:w="1023" w:type="dxa"/>
          </w:tcPr>
          <w:p w14:paraId="7D38EA6B" w14:textId="77777777" w:rsidR="008A142C" w:rsidRPr="00F45F11" w:rsidRDefault="008A142C">
            <w:pPr>
              <w:pStyle w:val="ARtabletextrightbold"/>
              <w:rPr>
                <w:rFonts w:eastAsia="Times"/>
                <w:lang w:eastAsia="en-AU"/>
              </w:rPr>
            </w:pPr>
            <w:r w:rsidRPr="00F45F11">
              <w:rPr>
                <w:rFonts w:eastAsia="Times"/>
                <w:lang w:eastAsia="en-AU"/>
              </w:rPr>
              <w:t>9.6%</w:t>
            </w:r>
          </w:p>
        </w:tc>
        <w:tc>
          <w:tcPr>
            <w:tcW w:w="809" w:type="dxa"/>
          </w:tcPr>
          <w:p w14:paraId="0B8618B7" w14:textId="77777777" w:rsidR="008A142C" w:rsidRPr="009913ED" w:rsidRDefault="008A142C">
            <w:pPr>
              <w:pStyle w:val="ARtableperformancesymbol"/>
              <w:rPr>
                <w:rFonts w:eastAsia="MS PGothic" w:cs="Arial" w:hint="eastAsia"/>
              </w:rPr>
            </w:pPr>
            <w:r w:rsidRPr="009913ED">
              <w:rPr>
                <w:rFonts w:eastAsia="Wingdings"/>
              </w:rPr>
              <w:t></w:t>
            </w:r>
          </w:p>
        </w:tc>
      </w:tr>
    </w:tbl>
    <w:p w14:paraId="0E7E931A" w14:textId="77777777" w:rsidR="007558DC" w:rsidRDefault="007558DC">
      <w:pPr>
        <w:spacing w:after="0" w:line="240" w:lineRule="auto"/>
        <w:rPr>
          <w:rFonts w:eastAsia="Times"/>
          <w:sz w:val="20"/>
        </w:rPr>
      </w:pPr>
      <w:bookmarkStart w:id="94" w:name="_Toc212039524"/>
      <w:bookmarkStart w:id="95" w:name="_Toc241131700"/>
      <w:r>
        <w:br w:type="page"/>
      </w:r>
    </w:p>
    <w:p w14:paraId="43DB2146" w14:textId="488236CE" w:rsidR="00641545" w:rsidRDefault="00B809B3" w:rsidP="00641545">
      <w:pPr>
        <w:pStyle w:val="Heading2"/>
      </w:pPr>
      <w:r w:rsidRPr="00F45F11">
        <w:t>Discontinued output performance measures</w:t>
      </w:r>
      <w:bookmarkEnd w:id="94"/>
      <w:bookmarkEnd w:id="95"/>
    </w:p>
    <w:p w14:paraId="53D3797C" w14:textId="77777777" w:rsidR="00B809B3" w:rsidRPr="00F45F11" w:rsidRDefault="00B809B3" w:rsidP="0048706E">
      <w:pPr>
        <w:pStyle w:val="ARBody"/>
        <w:spacing w:line="240" w:lineRule="atLeast"/>
      </w:pPr>
      <w:r w:rsidRPr="00F45F11">
        <w:t xml:space="preserve">The department identified 3 performance measures for discontinuation in the </w:t>
      </w:r>
      <w:r w:rsidRPr="00A124D1">
        <w:rPr>
          <w:rStyle w:val="Emphasis"/>
        </w:rPr>
        <w:t>2025–26 State Budget</w:t>
      </w:r>
      <w:r w:rsidRPr="00F45F11">
        <w:t>.</w:t>
      </w:r>
    </w:p>
    <w:p w14:paraId="72E86ED3" w14:textId="77777777" w:rsidR="00B809B3" w:rsidRPr="00F45F11" w:rsidRDefault="00B809B3" w:rsidP="0048706E">
      <w:pPr>
        <w:pStyle w:val="ARBody"/>
        <w:spacing w:line="240" w:lineRule="atLeast"/>
      </w:pPr>
      <w:r w:rsidRPr="00F45F11">
        <w:t>Two measures were discontinued and replaced with new measures:</w:t>
      </w:r>
    </w:p>
    <w:p w14:paraId="59F07A41" w14:textId="77777777" w:rsidR="00B809B3" w:rsidRPr="00F45F11" w:rsidRDefault="00B809B3" w:rsidP="0048706E">
      <w:pPr>
        <w:pStyle w:val="ARBullet1"/>
        <w:spacing w:line="240" w:lineRule="atLeast"/>
      </w:pPr>
      <w:r w:rsidRPr="00F45F11">
        <w:t>Number of new episodes of family violence therapeutic interventions</w:t>
      </w:r>
    </w:p>
    <w:p w14:paraId="798EF523" w14:textId="77534EB0" w:rsidR="00B809B3" w:rsidRPr="00F45F11" w:rsidRDefault="00B809B3" w:rsidP="0048706E">
      <w:pPr>
        <w:pStyle w:val="ARBullet1"/>
        <w:spacing w:line="240" w:lineRule="atLeast"/>
      </w:pPr>
      <w:r w:rsidRPr="00F45F11">
        <w:t>Victorian Disability Advisory Council Meetings</w:t>
      </w:r>
      <w:r w:rsidR="00BA0217" w:rsidRPr="00F45F11">
        <w:t>.</w:t>
      </w:r>
    </w:p>
    <w:p w14:paraId="7C5F44A2" w14:textId="157B7D09" w:rsidR="00B809B3" w:rsidRPr="00F45F11" w:rsidRDefault="00B809B3" w:rsidP="00641545">
      <w:pPr>
        <w:pStyle w:val="ARBodyafterbullets"/>
      </w:pPr>
      <w:r w:rsidRPr="00F45F11">
        <w:t>One measure was discontinued, with the information on the capacity of the homelessness system to support clients being captured and reported via other channels:</w:t>
      </w:r>
    </w:p>
    <w:p w14:paraId="4C44F856" w14:textId="2AA5C41B" w:rsidR="00B809B3" w:rsidRPr="00F45F11" w:rsidRDefault="00B809B3" w:rsidP="0048706E">
      <w:pPr>
        <w:pStyle w:val="ARBullet1"/>
        <w:spacing w:line="240" w:lineRule="atLeast"/>
      </w:pPr>
      <w:r w:rsidRPr="00F45F11">
        <w:t>Number of clients assisted to address and prevent homelessness due to family violence</w:t>
      </w:r>
      <w:r w:rsidR="00BA0217" w:rsidRPr="00F45F11">
        <w:t>.</w:t>
      </w:r>
    </w:p>
    <w:p w14:paraId="56567C38" w14:textId="77777777" w:rsidR="00B3222D" w:rsidRPr="00826E46" w:rsidRDefault="00B3222D" w:rsidP="007558DC">
      <w:pPr>
        <w:pStyle w:val="Heading2"/>
        <w:rPr>
          <w:rFonts w:eastAsia="Times"/>
        </w:rPr>
      </w:pPr>
      <w:bookmarkStart w:id="96" w:name="_Departmental_financial_summary"/>
      <w:bookmarkStart w:id="97" w:name="_Toc241131701"/>
      <w:bookmarkStart w:id="98" w:name="_Hlk110605914"/>
      <w:bookmarkEnd w:id="96"/>
      <w:r w:rsidRPr="00826E46">
        <w:rPr>
          <w:rFonts w:eastAsia="Times"/>
        </w:rPr>
        <w:t>Departmental financial summary</w:t>
      </w:r>
      <w:bookmarkEnd w:id="97"/>
    </w:p>
    <w:tbl>
      <w:tblPr>
        <w:tblStyle w:val="ARtable1"/>
        <w:tblW w:w="5000" w:type="pct"/>
        <w:tblLook w:val="00E0" w:firstRow="1" w:lastRow="1" w:firstColumn="1" w:lastColumn="0" w:noHBand="0" w:noVBand="0"/>
      </w:tblPr>
      <w:tblGrid>
        <w:gridCol w:w="4108"/>
        <w:gridCol w:w="1104"/>
        <w:gridCol w:w="1103"/>
        <w:gridCol w:w="1105"/>
        <w:gridCol w:w="1103"/>
        <w:gridCol w:w="1105"/>
      </w:tblGrid>
      <w:tr w:rsidR="00B3222D" w:rsidRPr="00826E46" w14:paraId="34FA623D" w14:textId="77777777" w:rsidTr="007558DC">
        <w:trPr>
          <w:cnfStyle w:val="100000000000" w:firstRow="1" w:lastRow="0" w:firstColumn="0" w:lastColumn="0" w:oddVBand="0" w:evenVBand="0" w:oddHBand="0" w:evenHBand="0" w:firstRowFirstColumn="0" w:firstRowLastColumn="0" w:lastRowFirstColumn="0" w:lastRowLastColumn="0"/>
          <w:trHeight w:val="20"/>
          <w:tblHeader/>
        </w:trPr>
        <w:tc>
          <w:tcPr>
            <w:tcW w:w="2133" w:type="pct"/>
          </w:tcPr>
          <w:bookmarkEnd w:id="98"/>
          <w:p w14:paraId="4EE85F3D" w14:textId="77777777" w:rsidR="00B3222D" w:rsidRPr="00826E46" w:rsidRDefault="00B3222D">
            <w:pPr>
              <w:pStyle w:val="ARtablecolhead"/>
              <w:rPr>
                <w:rFonts w:eastAsia="Times"/>
              </w:rPr>
            </w:pPr>
            <w:r w:rsidRPr="00826E46">
              <w:rPr>
                <w:rFonts w:eastAsia="Times"/>
              </w:rPr>
              <w:t>Five-year financial summary ($ millions)</w:t>
            </w:r>
          </w:p>
        </w:tc>
        <w:tc>
          <w:tcPr>
            <w:cnfStyle w:val="000001000000" w:firstRow="0" w:lastRow="0" w:firstColumn="0" w:lastColumn="0" w:oddVBand="0" w:evenVBand="1" w:oddHBand="0" w:evenHBand="0" w:firstRowFirstColumn="0" w:firstRowLastColumn="0" w:lastRowFirstColumn="0" w:lastRowLastColumn="0"/>
            <w:tcW w:w="573" w:type="pct"/>
          </w:tcPr>
          <w:p w14:paraId="439A7A68" w14:textId="77777777" w:rsidR="00B3222D" w:rsidRPr="00826E46" w:rsidRDefault="00B3222D">
            <w:pPr>
              <w:pStyle w:val="ARtablecolheadright"/>
              <w:rPr>
                <w:rFonts w:eastAsia="Times"/>
              </w:rPr>
            </w:pPr>
            <w:r w:rsidRPr="00826E46">
              <w:rPr>
                <w:rFonts w:eastAsia="Times"/>
              </w:rPr>
              <w:t>2026</w:t>
            </w:r>
          </w:p>
        </w:tc>
        <w:tc>
          <w:tcPr>
            <w:tcW w:w="573" w:type="pct"/>
          </w:tcPr>
          <w:p w14:paraId="1856BA0E" w14:textId="77777777" w:rsidR="00B3222D" w:rsidRPr="00826E46" w:rsidRDefault="00B3222D">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826E46">
              <w:rPr>
                <w:rFonts w:eastAsia="Times"/>
              </w:rPr>
              <w:t>2025</w:t>
            </w:r>
          </w:p>
        </w:tc>
        <w:tc>
          <w:tcPr>
            <w:cnfStyle w:val="000001000000" w:firstRow="0" w:lastRow="0" w:firstColumn="0" w:lastColumn="0" w:oddVBand="0" w:evenVBand="1" w:oddHBand="0" w:evenHBand="0" w:firstRowFirstColumn="0" w:firstRowLastColumn="0" w:lastRowFirstColumn="0" w:lastRowLastColumn="0"/>
            <w:tcW w:w="574" w:type="pct"/>
          </w:tcPr>
          <w:p w14:paraId="522C6F7F" w14:textId="77777777" w:rsidR="00B3222D" w:rsidRPr="00826E46" w:rsidRDefault="00B3222D">
            <w:pPr>
              <w:pStyle w:val="ARtablecolheadright"/>
              <w:rPr>
                <w:rFonts w:eastAsia="Times"/>
              </w:rPr>
            </w:pPr>
            <w:r w:rsidRPr="00826E46">
              <w:rPr>
                <w:rFonts w:eastAsia="Times"/>
              </w:rPr>
              <w:t>2024</w:t>
            </w:r>
          </w:p>
        </w:tc>
        <w:tc>
          <w:tcPr>
            <w:tcW w:w="573" w:type="pct"/>
          </w:tcPr>
          <w:p w14:paraId="0DBE2EC3" w14:textId="77777777" w:rsidR="00B3222D" w:rsidRPr="00826E46" w:rsidRDefault="00B3222D">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826E46">
              <w:rPr>
                <w:rFonts w:eastAsia="Times"/>
              </w:rPr>
              <w:t xml:space="preserve"> 2023</w:t>
            </w:r>
          </w:p>
        </w:tc>
        <w:tc>
          <w:tcPr>
            <w:cnfStyle w:val="000001000000" w:firstRow="0" w:lastRow="0" w:firstColumn="0" w:lastColumn="0" w:oddVBand="0" w:evenVBand="1" w:oddHBand="0" w:evenHBand="0" w:firstRowFirstColumn="0" w:firstRowLastColumn="0" w:lastRowFirstColumn="0" w:lastRowLastColumn="0"/>
            <w:tcW w:w="574" w:type="pct"/>
          </w:tcPr>
          <w:p w14:paraId="5414973A" w14:textId="77777777" w:rsidR="00B3222D" w:rsidRPr="00826E46" w:rsidRDefault="00B3222D">
            <w:pPr>
              <w:pStyle w:val="ARtablecolheadright"/>
              <w:rPr>
                <w:rFonts w:eastAsia="Times"/>
              </w:rPr>
            </w:pPr>
            <w:r w:rsidRPr="00826E46">
              <w:rPr>
                <w:rFonts w:eastAsia="Times"/>
              </w:rPr>
              <w:t>2022</w:t>
            </w:r>
          </w:p>
        </w:tc>
      </w:tr>
      <w:tr w:rsidR="00B3222D" w:rsidRPr="00826E46" w14:paraId="5F6D5749" w14:textId="77777777" w:rsidTr="007558DC">
        <w:trPr>
          <w:cnfStyle w:val="000000100000" w:firstRow="0" w:lastRow="0" w:firstColumn="0" w:lastColumn="0" w:oddVBand="0" w:evenVBand="0" w:oddHBand="1" w:evenHBand="0" w:firstRowFirstColumn="0" w:firstRowLastColumn="0" w:lastRowFirstColumn="0" w:lastRowLastColumn="0"/>
          <w:trHeight w:val="20"/>
        </w:trPr>
        <w:tc>
          <w:tcPr>
            <w:tcW w:w="2133" w:type="pct"/>
          </w:tcPr>
          <w:p w14:paraId="049793A8" w14:textId="77777777" w:rsidR="00B3222D" w:rsidRPr="00826E46" w:rsidRDefault="00B3222D">
            <w:pPr>
              <w:pStyle w:val="ARTabletext"/>
              <w:rPr>
                <w:rFonts w:eastAsia="Times"/>
              </w:rPr>
            </w:pPr>
            <w:r w:rsidRPr="00826E46">
              <w:rPr>
                <w:rFonts w:eastAsia="Times"/>
              </w:rPr>
              <w:t>Income from government</w:t>
            </w:r>
          </w:p>
        </w:tc>
        <w:tc>
          <w:tcPr>
            <w:cnfStyle w:val="000001000000" w:firstRow="0" w:lastRow="0" w:firstColumn="0" w:lastColumn="0" w:oddVBand="0" w:evenVBand="1" w:oddHBand="0" w:evenHBand="0" w:firstRowFirstColumn="0" w:firstRowLastColumn="0" w:lastRowFirstColumn="0" w:lastRowLastColumn="0"/>
            <w:tcW w:w="573" w:type="pct"/>
          </w:tcPr>
          <w:p w14:paraId="4608512C" w14:textId="77777777" w:rsidR="00B3222D" w:rsidRPr="00826E46" w:rsidRDefault="00B3222D">
            <w:pPr>
              <w:pStyle w:val="ARtabletextright"/>
              <w:rPr>
                <w:rFonts w:eastAsia="Times"/>
              </w:rPr>
            </w:pPr>
            <w:r w:rsidRPr="00826E46">
              <w:rPr>
                <w:rFonts w:eastAsia="Times"/>
              </w:rPr>
              <w:t>5,981.8</w:t>
            </w:r>
          </w:p>
        </w:tc>
        <w:tc>
          <w:tcPr>
            <w:tcW w:w="573" w:type="pct"/>
          </w:tcPr>
          <w:p w14:paraId="481EE737" w14:textId="77777777" w:rsidR="00B3222D" w:rsidRPr="00826E46" w:rsidRDefault="00B3222D">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826E46">
              <w:rPr>
                <w:rFonts w:eastAsia="Times"/>
              </w:rPr>
              <w:t>6,407.7</w:t>
            </w:r>
          </w:p>
        </w:tc>
        <w:tc>
          <w:tcPr>
            <w:cnfStyle w:val="000001000000" w:firstRow="0" w:lastRow="0" w:firstColumn="0" w:lastColumn="0" w:oddVBand="0" w:evenVBand="1" w:oddHBand="0" w:evenHBand="0" w:firstRowFirstColumn="0" w:firstRowLastColumn="0" w:lastRowFirstColumn="0" w:lastRowLastColumn="0"/>
            <w:tcW w:w="574" w:type="pct"/>
          </w:tcPr>
          <w:p w14:paraId="649907D6" w14:textId="77777777" w:rsidR="00B3222D" w:rsidRPr="00826E46" w:rsidRDefault="00B3222D">
            <w:pPr>
              <w:pStyle w:val="ARtabletextright"/>
              <w:rPr>
                <w:rFonts w:eastAsia="Times"/>
              </w:rPr>
            </w:pPr>
            <w:r w:rsidRPr="00826E46">
              <w:rPr>
                <w:rFonts w:eastAsia="Times"/>
              </w:rPr>
              <w:t>5,381.7</w:t>
            </w:r>
          </w:p>
        </w:tc>
        <w:tc>
          <w:tcPr>
            <w:tcW w:w="573" w:type="pct"/>
          </w:tcPr>
          <w:p w14:paraId="5DCE9B4B" w14:textId="77777777" w:rsidR="00B3222D" w:rsidRPr="00826E46" w:rsidRDefault="00B3222D">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826E46">
              <w:rPr>
                <w:rFonts w:eastAsia="Times"/>
              </w:rPr>
              <w:t>5,047.5</w:t>
            </w:r>
          </w:p>
        </w:tc>
        <w:tc>
          <w:tcPr>
            <w:cnfStyle w:val="000001000000" w:firstRow="0" w:lastRow="0" w:firstColumn="0" w:lastColumn="0" w:oddVBand="0" w:evenVBand="1" w:oddHBand="0" w:evenHBand="0" w:firstRowFirstColumn="0" w:firstRowLastColumn="0" w:lastRowFirstColumn="0" w:lastRowLastColumn="0"/>
            <w:tcW w:w="574" w:type="pct"/>
          </w:tcPr>
          <w:p w14:paraId="5A28846E" w14:textId="77777777" w:rsidR="00B3222D" w:rsidRPr="00826E46" w:rsidRDefault="00B3222D">
            <w:pPr>
              <w:pStyle w:val="ARtabletextright"/>
              <w:rPr>
                <w:rFonts w:eastAsia="Times"/>
              </w:rPr>
            </w:pPr>
            <w:r>
              <w:rPr>
                <w:rFonts w:eastAsia="Times"/>
              </w:rPr>
              <w:t xml:space="preserve"> </w:t>
            </w:r>
            <w:r w:rsidRPr="00826E46">
              <w:rPr>
                <w:rFonts w:eastAsia="Times"/>
              </w:rPr>
              <w:t>6,583.4</w:t>
            </w:r>
            <w:r>
              <w:rPr>
                <w:rFonts w:eastAsia="Times"/>
              </w:rPr>
              <w:t xml:space="preserve"> </w:t>
            </w:r>
          </w:p>
        </w:tc>
      </w:tr>
      <w:tr w:rsidR="00B3222D" w:rsidRPr="00826E46" w14:paraId="5B987774" w14:textId="77777777" w:rsidTr="007558DC">
        <w:trPr>
          <w:cnfStyle w:val="000000010000" w:firstRow="0" w:lastRow="0" w:firstColumn="0" w:lastColumn="0" w:oddVBand="0" w:evenVBand="0" w:oddHBand="0" w:evenHBand="1" w:firstRowFirstColumn="0" w:firstRowLastColumn="0" w:lastRowFirstColumn="0" w:lastRowLastColumn="0"/>
          <w:trHeight w:val="20"/>
        </w:trPr>
        <w:tc>
          <w:tcPr>
            <w:tcW w:w="2133" w:type="pct"/>
          </w:tcPr>
          <w:p w14:paraId="00BA77DF" w14:textId="77777777" w:rsidR="00B3222D" w:rsidRPr="00826E46" w:rsidRDefault="00B3222D">
            <w:pPr>
              <w:pStyle w:val="ARTabletext"/>
              <w:rPr>
                <w:rFonts w:eastAsia="Times"/>
              </w:rPr>
            </w:pPr>
            <w:r w:rsidRPr="00826E46">
              <w:rPr>
                <w:rFonts w:eastAsia="Times"/>
              </w:rPr>
              <w:t>Total revenue and income from transactions</w:t>
            </w:r>
          </w:p>
        </w:tc>
        <w:tc>
          <w:tcPr>
            <w:cnfStyle w:val="000001000000" w:firstRow="0" w:lastRow="0" w:firstColumn="0" w:lastColumn="0" w:oddVBand="0" w:evenVBand="1" w:oddHBand="0" w:evenHBand="0" w:firstRowFirstColumn="0" w:firstRowLastColumn="0" w:lastRowFirstColumn="0" w:lastRowLastColumn="0"/>
            <w:tcW w:w="573" w:type="pct"/>
          </w:tcPr>
          <w:p w14:paraId="0C954C27" w14:textId="77777777" w:rsidR="00B3222D" w:rsidRPr="00826E46" w:rsidRDefault="00B3222D">
            <w:pPr>
              <w:pStyle w:val="ARtabletextright"/>
              <w:rPr>
                <w:rFonts w:eastAsia="Times"/>
              </w:rPr>
            </w:pPr>
            <w:r w:rsidRPr="00826E46">
              <w:rPr>
                <w:rFonts w:eastAsia="Times"/>
              </w:rPr>
              <w:t>7,063.4</w:t>
            </w:r>
          </w:p>
        </w:tc>
        <w:tc>
          <w:tcPr>
            <w:tcW w:w="573" w:type="pct"/>
          </w:tcPr>
          <w:p w14:paraId="5697391A" w14:textId="77777777" w:rsidR="00B3222D" w:rsidRPr="00826E46" w:rsidRDefault="00B3222D">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826E46">
              <w:rPr>
                <w:rFonts w:eastAsia="Times"/>
              </w:rPr>
              <w:t>7,341.8</w:t>
            </w:r>
          </w:p>
        </w:tc>
        <w:tc>
          <w:tcPr>
            <w:cnfStyle w:val="000001000000" w:firstRow="0" w:lastRow="0" w:firstColumn="0" w:lastColumn="0" w:oddVBand="0" w:evenVBand="1" w:oddHBand="0" w:evenHBand="0" w:firstRowFirstColumn="0" w:firstRowLastColumn="0" w:lastRowFirstColumn="0" w:lastRowLastColumn="0"/>
            <w:tcW w:w="574" w:type="pct"/>
          </w:tcPr>
          <w:p w14:paraId="027683FC" w14:textId="77777777" w:rsidR="00B3222D" w:rsidRPr="00826E46" w:rsidRDefault="00B3222D">
            <w:pPr>
              <w:pStyle w:val="ARtabletextright"/>
              <w:rPr>
                <w:rFonts w:eastAsia="Times"/>
              </w:rPr>
            </w:pPr>
            <w:r w:rsidRPr="00826E46">
              <w:rPr>
                <w:rFonts w:eastAsia="Times"/>
              </w:rPr>
              <w:t>6,398.0</w:t>
            </w:r>
          </w:p>
        </w:tc>
        <w:tc>
          <w:tcPr>
            <w:tcW w:w="573" w:type="pct"/>
          </w:tcPr>
          <w:p w14:paraId="17B21B23" w14:textId="77777777" w:rsidR="00B3222D" w:rsidRPr="00826E46" w:rsidRDefault="00B3222D">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826E46">
              <w:rPr>
                <w:rFonts w:eastAsia="Times"/>
              </w:rPr>
              <w:t xml:space="preserve">6,038.0 </w:t>
            </w:r>
          </w:p>
        </w:tc>
        <w:tc>
          <w:tcPr>
            <w:cnfStyle w:val="000001000000" w:firstRow="0" w:lastRow="0" w:firstColumn="0" w:lastColumn="0" w:oddVBand="0" w:evenVBand="1" w:oddHBand="0" w:evenHBand="0" w:firstRowFirstColumn="0" w:firstRowLastColumn="0" w:lastRowFirstColumn="0" w:lastRowLastColumn="0"/>
            <w:tcW w:w="574" w:type="pct"/>
          </w:tcPr>
          <w:p w14:paraId="26C7D739" w14:textId="77777777" w:rsidR="00B3222D" w:rsidRPr="00826E46" w:rsidRDefault="00B3222D">
            <w:pPr>
              <w:pStyle w:val="ARtabletextright"/>
              <w:rPr>
                <w:rFonts w:eastAsia="Times"/>
              </w:rPr>
            </w:pPr>
            <w:r>
              <w:rPr>
                <w:rFonts w:eastAsia="Times"/>
              </w:rPr>
              <w:t xml:space="preserve"> </w:t>
            </w:r>
            <w:r w:rsidRPr="00826E46">
              <w:rPr>
                <w:rFonts w:eastAsia="Times"/>
              </w:rPr>
              <w:t>8,021.4</w:t>
            </w:r>
          </w:p>
        </w:tc>
      </w:tr>
      <w:tr w:rsidR="00B3222D" w:rsidRPr="00826E46" w14:paraId="68B61271" w14:textId="77777777" w:rsidTr="007558DC">
        <w:trPr>
          <w:cnfStyle w:val="000000100000" w:firstRow="0" w:lastRow="0" w:firstColumn="0" w:lastColumn="0" w:oddVBand="0" w:evenVBand="0" w:oddHBand="1" w:evenHBand="0" w:firstRowFirstColumn="0" w:firstRowLastColumn="0" w:lastRowFirstColumn="0" w:lastRowLastColumn="0"/>
          <w:trHeight w:val="20"/>
        </w:trPr>
        <w:tc>
          <w:tcPr>
            <w:tcW w:w="2133" w:type="pct"/>
          </w:tcPr>
          <w:p w14:paraId="032B7D81" w14:textId="77777777" w:rsidR="00B3222D" w:rsidRPr="00826E46" w:rsidRDefault="00B3222D">
            <w:pPr>
              <w:pStyle w:val="ARTabletext"/>
              <w:rPr>
                <w:rFonts w:eastAsia="Times"/>
              </w:rPr>
            </w:pPr>
            <w:r w:rsidRPr="00826E46">
              <w:rPr>
                <w:rFonts w:eastAsia="Times"/>
              </w:rPr>
              <w:t>Total expenses from transactions</w:t>
            </w:r>
          </w:p>
        </w:tc>
        <w:tc>
          <w:tcPr>
            <w:cnfStyle w:val="000001000000" w:firstRow="0" w:lastRow="0" w:firstColumn="0" w:lastColumn="0" w:oddVBand="0" w:evenVBand="1" w:oddHBand="0" w:evenHBand="0" w:firstRowFirstColumn="0" w:firstRowLastColumn="0" w:lastRowFirstColumn="0" w:lastRowLastColumn="0"/>
            <w:tcW w:w="573" w:type="pct"/>
          </w:tcPr>
          <w:p w14:paraId="367A619B" w14:textId="77777777" w:rsidR="00B3222D" w:rsidRPr="00826E46" w:rsidRDefault="00B3222D">
            <w:pPr>
              <w:pStyle w:val="ARtabletextright"/>
              <w:rPr>
                <w:rFonts w:eastAsia="Times"/>
              </w:rPr>
            </w:pPr>
            <w:r w:rsidRPr="00826E46">
              <w:rPr>
                <w:rFonts w:eastAsia="Times"/>
              </w:rPr>
              <w:t>(7,561.0)</w:t>
            </w:r>
          </w:p>
        </w:tc>
        <w:tc>
          <w:tcPr>
            <w:tcW w:w="573" w:type="pct"/>
          </w:tcPr>
          <w:p w14:paraId="0FFF4371" w14:textId="77777777" w:rsidR="00B3222D" w:rsidRPr="00826E46" w:rsidRDefault="00B3222D">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826E46">
              <w:rPr>
                <w:rFonts w:eastAsia="Times"/>
              </w:rPr>
              <w:t>(7,811.5)</w:t>
            </w:r>
          </w:p>
        </w:tc>
        <w:tc>
          <w:tcPr>
            <w:cnfStyle w:val="000001000000" w:firstRow="0" w:lastRow="0" w:firstColumn="0" w:lastColumn="0" w:oddVBand="0" w:evenVBand="1" w:oddHBand="0" w:evenHBand="0" w:firstRowFirstColumn="0" w:firstRowLastColumn="0" w:lastRowFirstColumn="0" w:lastRowLastColumn="0"/>
            <w:tcW w:w="574" w:type="pct"/>
          </w:tcPr>
          <w:p w14:paraId="4ECAFF25" w14:textId="77777777" w:rsidR="00B3222D" w:rsidRPr="00826E46" w:rsidRDefault="00B3222D">
            <w:pPr>
              <w:pStyle w:val="ARtabletextright"/>
              <w:rPr>
                <w:rFonts w:eastAsia="Times"/>
              </w:rPr>
            </w:pPr>
            <w:r w:rsidRPr="00826E46">
              <w:rPr>
                <w:rFonts w:eastAsia="Times"/>
              </w:rPr>
              <w:t>(6,999.7)</w:t>
            </w:r>
          </w:p>
        </w:tc>
        <w:tc>
          <w:tcPr>
            <w:tcW w:w="573" w:type="pct"/>
          </w:tcPr>
          <w:p w14:paraId="5CAB1804" w14:textId="058796D3" w:rsidR="00B3222D" w:rsidRPr="00826E46" w:rsidRDefault="00B3222D">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826E46">
              <w:rPr>
                <w:rFonts w:eastAsia="Times"/>
              </w:rPr>
              <w:t xml:space="preserve"> (6,282.1)</w:t>
            </w:r>
            <w:r w:rsidR="000D67BA">
              <w:rPr>
                <w:rFonts w:eastAsia="Times"/>
              </w:rPr>
              <w:t xml:space="preserve"> </w:t>
            </w:r>
          </w:p>
        </w:tc>
        <w:tc>
          <w:tcPr>
            <w:cnfStyle w:val="000001000000" w:firstRow="0" w:lastRow="0" w:firstColumn="0" w:lastColumn="0" w:oddVBand="0" w:evenVBand="1" w:oddHBand="0" w:evenHBand="0" w:firstRowFirstColumn="0" w:firstRowLastColumn="0" w:lastRowFirstColumn="0" w:lastRowLastColumn="0"/>
            <w:tcW w:w="574" w:type="pct"/>
          </w:tcPr>
          <w:p w14:paraId="2AC528AC" w14:textId="77777777" w:rsidR="00B3222D" w:rsidRPr="00826E46" w:rsidRDefault="00B3222D">
            <w:pPr>
              <w:pStyle w:val="ARtabletextright"/>
              <w:rPr>
                <w:rFonts w:eastAsia="Times"/>
              </w:rPr>
            </w:pPr>
            <w:r>
              <w:rPr>
                <w:rFonts w:eastAsia="Times"/>
              </w:rPr>
              <w:t xml:space="preserve"> </w:t>
            </w:r>
            <w:r w:rsidRPr="00826E46">
              <w:rPr>
                <w:rFonts w:eastAsia="Times"/>
              </w:rPr>
              <w:t>(7,669.5)</w:t>
            </w:r>
          </w:p>
        </w:tc>
      </w:tr>
      <w:tr w:rsidR="00B3222D" w:rsidRPr="00826E46" w14:paraId="7DF1DBBD" w14:textId="77777777" w:rsidTr="007558DC">
        <w:trPr>
          <w:cnfStyle w:val="000000010000" w:firstRow="0" w:lastRow="0" w:firstColumn="0" w:lastColumn="0" w:oddVBand="0" w:evenVBand="0" w:oddHBand="0" w:evenHBand="1" w:firstRowFirstColumn="0" w:firstRowLastColumn="0" w:lastRowFirstColumn="0" w:lastRowLastColumn="0"/>
          <w:trHeight w:val="20"/>
        </w:trPr>
        <w:tc>
          <w:tcPr>
            <w:tcW w:w="2133" w:type="pct"/>
          </w:tcPr>
          <w:p w14:paraId="2BEE6F97" w14:textId="77777777" w:rsidR="00B3222D" w:rsidRPr="00826E46" w:rsidRDefault="00B3222D">
            <w:pPr>
              <w:pStyle w:val="ARtabletextbold"/>
              <w:rPr>
                <w:rFonts w:eastAsia="Times"/>
              </w:rPr>
            </w:pPr>
            <w:r w:rsidRPr="00826E46">
              <w:rPr>
                <w:rFonts w:eastAsia="Times"/>
              </w:rPr>
              <w:t>Net result from transactions</w:t>
            </w:r>
          </w:p>
        </w:tc>
        <w:tc>
          <w:tcPr>
            <w:cnfStyle w:val="000001000000" w:firstRow="0" w:lastRow="0" w:firstColumn="0" w:lastColumn="0" w:oddVBand="0" w:evenVBand="1" w:oddHBand="0" w:evenHBand="0" w:firstRowFirstColumn="0" w:firstRowLastColumn="0" w:lastRowFirstColumn="0" w:lastRowLastColumn="0"/>
            <w:tcW w:w="573" w:type="pct"/>
          </w:tcPr>
          <w:p w14:paraId="753BB4F7" w14:textId="77777777" w:rsidR="00B3222D" w:rsidRPr="00826E46" w:rsidRDefault="00B3222D">
            <w:pPr>
              <w:pStyle w:val="ARtabletextrightbold"/>
              <w:rPr>
                <w:rFonts w:eastAsia="Times"/>
              </w:rPr>
            </w:pPr>
            <w:r w:rsidRPr="00826E46">
              <w:rPr>
                <w:rFonts w:eastAsia="Times"/>
              </w:rPr>
              <w:t>(497.6)</w:t>
            </w:r>
          </w:p>
        </w:tc>
        <w:tc>
          <w:tcPr>
            <w:tcW w:w="573" w:type="pct"/>
          </w:tcPr>
          <w:p w14:paraId="0E9A6204" w14:textId="77777777" w:rsidR="00B3222D" w:rsidRPr="00826E46" w:rsidRDefault="00B3222D">
            <w:pPr>
              <w:pStyle w:val="ARtabletextrightbold"/>
              <w:cnfStyle w:val="000000010000" w:firstRow="0" w:lastRow="0" w:firstColumn="0" w:lastColumn="0" w:oddVBand="0" w:evenVBand="0" w:oddHBand="0" w:evenHBand="1" w:firstRowFirstColumn="0" w:firstRowLastColumn="0" w:lastRowFirstColumn="0" w:lastRowLastColumn="0"/>
              <w:rPr>
                <w:rFonts w:eastAsia="Times"/>
              </w:rPr>
            </w:pPr>
            <w:r w:rsidRPr="00826E46">
              <w:rPr>
                <w:rFonts w:eastAsia="Times"/>
              </w:rPr>
              <w:t>(469.7)</w:t>
            </w:r>
          </w:p>
        </w:tc>
        <w:tc>
          <w:tcPr>
            <w:cnfStyle w:val="000001000000" w:firstRow="0" w:lastRow="0" w:firstColumn="0" w:lastColumn="0" w:oddVBand="0" w:evenVBand="1" w:oddHBand="0" w:evenHBand="0" w:firstRowFirstColumn="0" w:firstRowLastColumn="0" w:lastRowFirstColumn="0" w:lastRowLastColumn="0"/>
            <w:tcW w:w="574" w:type="pct"/>
          </w:tcPr>
          <w:p w14:paraId="53AEF7B6" w14:textId="77777777" w:rsidR="00B3222D" w:rsidRPr="00826E46" w:rsidRDefault="00B3222D">
            <w:pPr>
              <w:pStyle w:val="ARtabletextrightbold"/>
              <w:rPr>
                <w:rFonts w:eastAsia="Times"/>
              </w:rPr>
            </w:pPr>
            <w:r w:rsidRPr="00826E46">
              <w:rPr>
                <w:rFonts w:eastAsia="Times"/>
              </w:rPr>
              <w:t>(601.7)</w:t>
            </w:r>
          </w:p>
        </w:tc>
        <w:tc>
          <w:tcPr>
            <w:tcW w:w="573" w:type="pct"/>
          </w:tcPr>
          <w:p w14:paraId="7A61ED29" w14:textId="77777777" w:rsidR="00B3222D" w:rsidRPr="00826E46" w:rsidRDefault="00B3222D">
            <w:pPr>
              <w:pStyle w:val="ARtabletextrightbold"/>
              <w:cnfStyle w:val="000000010000" w:firstRow="0" w:lastRow="0" w:firstColumn="0" w:lastColumn="0" w:oddVBand="0" w:evenVBand="0" w:oddHBand="0" w:evenHBand="1" w:firstRowFirstColumn="0" w:firstRowLastColumn="0" w:lastRowFirstColumn="0" w:lastRowLastColumn="0"/>
              <w:rPr>
                <w:rFonts w:eastAsia="Times"/>
              </w:rPr>
            </w:pPr>
            <w:r w:rsidRPr="00826E46">
              <w:rPr>
                <w:rFonts w:eastAsia="Times"/>
              </w:rPr>
              <w:t>(244.1)</w:t>
            </w:r>
          </w:p>
        </w:tc>
        <w:tc>
          <w:tcPr>
            <w:cnfStyle w:val="000001000000" w:firstRow="0" w:lastRow="0" w:firstColumn="0" w:lastColumn="0" w:oddVBand="0" w:evenVBand="1" w:oddHBand="0" w:evenHBand="0" w:firstRowFirstColumn="0" w:firstRowLastColumn="0" w:lastRowFirstColumn="0" w:lastRowLastColumn="0"/>
            <w:tcW w:w="574" w:type="pct"/>
          </w:tcPr>
          <w:p w14:paraId="19D43B41" w14:textId="77777777" w:rsidR="00B3222D" w:rsidRPr="00826E46" w:rsidRDefault="00B3222D">
            <w:pPr>
              <w:pStyle w:val="ARtabletextrightbold"/>
              <w:rPr>
                <w:rFonts w:eastAsia="Times"/>
              </w:rPr>
            </w:pPr>
            <w:r>
              <w:rPr>
                <w:rFonts w:eastAsia="Times"/>
              </w:rPr>
              <w:t xml:space="preserve"> </w:t>
            </w:r>
            <w:r w:rsidRPr="00826E46">
              <w:rPr>
                <w:rFonts w:eastAsia="Times"/>
              </w:rPr>
              <w:t>351.8</w:t>
            </w:r>
          </w:p>
        </w:tc>
      </w:tr>
      <w:tr w:rsidR="00B3222D" w:rsidRPr="00826E46" w14:paraId="127FDAE7" w14:textId="77777777" w:rsidTr="007558DC">
        <w:trPr>
          <w:cnfStyle w:val="000000100000" w:firstRow="0" w:lastRow="0" w:firstColumn="0" w:lastColumn="0" w:oddVBand="0" w:evenVBand="0" w:oddHBand="1" w:evenHBand="0" w:firstRowFirstColumn="0" w:firstRowLastColumn="0" w:lastRowFirstColumn="0" w:lastRowLastColumn="0"/>
          <w:trHeight w:val="20"/>
        </w:trPr>
        <w:tc>
          <w:tcPr>
            <w:tcW w:w="2133" w:type="pct"/>
          </w:tcPr>
          <w:p w14:paraId="4287EB87" w14:textId="77777777" w:rsidR="00B3222D" w:rsidRPr="00826E46" w:rsidRDefault="00B3222D">
            <w:pPr>
              <w:pStyle w:val="ARTabletext"/>
              <w:rPr>
                <w:rFonts w:eastAsia="Times"/>
              </w:rPr>
            </w:pPr>
            <w:r w:rsidRPr="00826E46">
              <w:rPr>
                <w:rFonts w:eastAsia="Times"/>
              </w:rPr>
              <w:t>Net result for the period</w:t>
            </w:r>
          </w:p>
        </w:tc>
        <w:tc>
          <w:tcPr>
            <w:cnfStyle w:val="000001000000" w:firstRow="0" w:lastRow="0" w:firstColumn="0" w:lastColumn="0" w:oddVBand="0" w:evenVBand="1" w:oddHBand="0" w:evenHBand="0" w:firstRowFirstColumn="0" w:firstRowLastColumn="0" w:lastRowFirstColumn="0" w:lastRowLastColumn="0"/>
            <w:tcW w:w="573" w:type="pct"/>
          </w:tcPr>
          <w:p w14:paraId="73637C45" w14:textId="77777777" w:rsidR="00B3222D" w:rsidRPr="00826E46" w:rsidRDefault="00B3222D">
            <w:pPr>
              <w:pStyle w:val="ARtabletextright"/>
              <w:rPr>
                <w:rFonts w:eastAsia="Times"/>
              </w:rPr>
            </w:pPr>
            <w:r w:rsidRPr="00826E46">
              <w:rPr>
                <w:rFonts w:eastAsia="Times"/>
              </w:rPr>
              <w:t>(462.1)</w:t>
            </w:r>
          </w:p>
        </w:tc>
        <w:tc>
          <w:tcPr>
            <w:tcW w:w="573" w:type="pct"/>
          </w:tcPr>
          <w:p w14:paraId="4AA3684A" w14:textId="77777777" w:rsidR="00B3222D" w:rsidRPr="00826E46" w:rsidRDefault="00B3222D">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826E46">
              <w:rPr>
                <w:rFonts w:eastAsia="Times"/>
              </w:rPr>
              <w:t>(522.2)</w:t>
            </w:r>
          </w:p>
        </w:tc>
        <w:tc>
          <w:tcPr>
            <w:cnfStyle w:val="000001000000" w:firstRow="0" w:lastRow="0" w:firstColumn="0" w:lastColumn="0" w:oddVBand="0" w:evenVBand="1" w:oddHBand="0" w:evenHBand="0" w:firstRowFirstColumn="0" w:firstRowLastColumn="0" w:lastRowFirstColumn="0" w:lastRowLastColumn="0"/>
            <w:tcW w:w="574" w:type="pct"/>
          </w:tcPr>
          <w:p w14:paraId="79E4B738" w14:textId="77777777" w:rsidR="00B3222D" w:rsidRPr="00826E46" w:rsidRDefault="00B3222D">
            <w:pPr>
              <w:pStyle w:val="ARtabletextright"/>
              <w:rPr>
                <w:rFonts w:eastAsia="Times"/>
              </w:rPr>
            </w:pPr>
            <w:r w:rsidRPr="00826E46">
              <w:rPr>
                <w:rFonts w:eastAsia="Times"/>
              </w:rPr>
              <w:t>(638.4)</w:t>
            </w:r>
          </w:p>
        </w:tc>
        <w:tc>
          <w:tcPr>
            <w:tcW w:w="573" w:type="pct"/>
          </w:tcPr>
          <w:p w14:paraId="5655E577" w14:textId="77777777" w:rsidR="00B3222D" w:rsidRPr="00826E46" w:rsidRDefault="00B3222D">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826E46">
              <w:rPr>
                <w:rFonts w:eastAsia="Times"/>
              </w:rPr>
              <w:t>(264.7)</w:t>
            </w:r>
          </w:p>
        </w:tc>
        <w:tc>
          <w:tcPr>
            <w:cnfStyle w:val="000001000000" w:firstRow="0" w:lastRow="0" w:firstColumn="0" w:lastColumn="0" w:oddVBand="0" w:evenVBand="1" w:oddHBand="0" w:evenHBand="0" w:firstRowFirstColumn="0" w:firstRowLastColumn="0" w:lastRowFirstColumn="0" w:lastRowLastColumn="0"/>
            <w:tcW w:w="574" w:type="pct"/>
          </w:tcPr>
          <w:p w14:paraId="3850E577" w14:textId="77777777" w:rsidR="00B3222D" w:rsidRPr="00826E46" w:rsidRDefault="00B3222D">
            <w:pPr>
              <w:pStyle w:val="ARtabletextright"/>
              <w:rPr>
                <w:rFonts w:eastAsia="Times"/>
              </w:rPr>
            </w:pPr>
            <w:r>
              <w:rPr>
                <w:rFonts w:eastAsia="Times"/>
              </w:rPr>
              <w:t xml:space="preserve"> </w:t>
            </w:r>
            <w:r w:rsidRPr="00826E46">
              <w:rPr>
                <w:rFonts w:eastAsia="Times"/>
              </w:rPr>
              <w:t>335.9</w:t>
            </w:r>
          </w:p>
        </w:tc>
      </w:tr>
      <w:tr w:rsidR="00B3222D" w:rsidRPr="00826E46" w14:paraId="04598131" w14:textId="77777777" w:rsidTr="007558DC">
        <w:trPr>
          <w:cnfStyle w:val="000000010000" w:firstRow="0" w:lastRow="0" w:firstColumn="0" w:lastColumn="0" w:oddVBand="0" w:evenVBand="0" w:oddHBand="0" w:evenHBand="1" w:firstRowFirstColumn="0" w:firstRowLastColumn="0" w:lastRowFirstColumn="0" w:lastRowLastColumn="0"/>
          <w:trHeight w:val="20"/>
        </w:trPr>
        <w:tc>
          <w:tcPr>
            <w:tcW w:w="2133" w:type="pct"/>
          </w:tcPr>
          <w:p w14:paraId="4DFD8D22" w14:textId="77777777" w:rsidR="00B3222D" w:rsidRPr="00826E46" w:rsidRDefault="00B3222D">
            <w:pPr>
              <w:pStyle w:val="ARTabletext"/>
              <w:rPr>
                <w:rFonts w:eastAsia="Times"/>
              </w:rPr>
            </w:pPr>
            <w:r w:rsidRPr="00826E46">
              <w:rPr>
                <w:rFonts w:eastAsia="Times"/>
              </w:rPr>
              <w:t>Net cash flow from operating activities</w:t>
            </w:r>
            <w:r>
              <w:rPr>
                <w:rFonts w:eastAsia="Times"/>
              </w:rPr>
              <w:t xml:space="preserve"> </w:t>
            </w:r>
          </w:p>
        </w:tc>
        <w:tc>
          <w:tcPr>
            <w:cnfStyle w:val="000001000000" w:firstRow="0" w:lastRow="0" w:firstColumn="0" w:lastColumn="0" w:oddVBand="0" w:evenVBand="1" w:oddHBand="0" w:evenHBand="0" w:firstRowFirstColumn="0" w:firstRowLastColumn="0" w:lastRowFirstColumn="0" w:lastRowLastColumn="0"/>
            <w:tcW w:w="573" w:type="pct"/>
          </w:tcPr>
          <w:p w14:paraId="131C3A8E" w14:textId="77777777" w:rsidR="00B3222D" w:rsidRPr="00826E46" w:rsidRDefault="00B3222D">
            <w:pPr>
              <w:pStyle w:val="ARtabletextright"/>
              <w:rPr>
                <w:rFonts w:eastAsia="Times"/>
              </w:rPr>
            </w:pPr>
            <w:r w:rsidRPr="00826E46">
              <w:rPr>
                <w:rFonts w:eastAsia="Times"/>
              </w:rPr>
              <w:t>31.1</w:t>
            </w:r>
          </w:p>
        </w:tc>
        <w:tc>
          <w:tcPr>
            <w:tcW w:w="573" w:type="pct"/>
          </w:tcPr>
          <w:p w14:paraId="3CFF0DF6" w14:textId="77777777" w:rsidR="00B3222D" w:rsidRPr="00826E46" w:rsidRDefault="00B3222D">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826E46">
              <w:rPr>
                <w:rFonts w:eastAsia="Times"/>
              </w:rPr>
              <w:t>333.7</w:t>
            </w:r>
          </w:p>
        </w:tc>
        <w:tc>
          <w:tcPr>
            <w:cnfStyle w:val="000001000000" w:firstRow="0" w:lastRow="0" w:firstColumn="0" w:lastColumn="0" w:oddVBand="0" w:evenVBand="1" w:oddHBand="0" w:evenHBand="0" w:firstRowFirstColumn="0" w:firstRowLastColumn="0" w:lastRowFirstColumn="0" w:lastRowLastColumn="0"/>
            <w:tcW w:w="574" w:type="pct"/>
          </w:tcPr>
          <w:p w14:paraId="1FC76EEF" w14:textId="77777777" w:rsidR="00B3222D" w:rsidRPr="00826E46" w:rsidRDefault="00B3222D">
            <w:pPr>
              <w:pStyle w:val="ARtabletextright"/>
              <w:rPr>
                <w:rFonts w:eastAsia="Times"/>
              </w:rPr>
            </w:pPr>
            <w:r w:rsidRPr="00826E46">
              <w:rPr>
                <w:rFonts w:eastAsia="Times"/>
              </w:rPr>
              <w:t>(103.2)</w:t>
            </w:r>
          </w:p>
        </w:tc>
        <w:tc>
          <w:tcPr>
            <w:tcW w:w="573" w:type="pct"/>
          </w:tcPr>
          <w:p w14:paraId="40F79520" w14:textId="77777777" w:rsidR="00B3222D" w:rsidRPr="00826E46" w:rsidRDefault="00B3222D">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826E46">
              <w:rPr>
                <w:rFonts w:eastAsia="Times"/>
              </w:rPr>
              <w:t>182.5</w:t>
            </w:r>
          </w:p>
        </w:tc>
        <w:tc>
          <w:tcPr>
            <w:cnfStyle w:val="000001000000" w:firstRow="0" w:lastRow="0" w:firstColumn="0" w:lastColumn="0" w:oddVBand="0" w:evenVBand="1" w:oddHBand="0" w:evenHBand="0" w:firstRowFirstColumn="0" w:firstRowLastColumn="0" w:lastRowFirstColumn="0" w:lastRowLastColumn="0"/>
            <w:tcW w:w="574" w:type="pct"/>
          </w:tcPr>
          <w:p w14:paraId="7520BF58" w14:textId="77777777" w:rsidR="00B3222D" w:rsidRPr="00826E46" w:rsidRDefault="00B3222D">
            <w:pPr>
              <w:pStyle w:val="ARtabletextright"/>
              <w:rPr>
                <w:rFonts w:eastAsia="Times"/>
              </w:rPr>
            </w:pPr>
            <w:r>
              <w:rPr>
                <w:rFonts w:eastAsia="Times"/>
              </w:rPr>
              <w:t xml:space="preserve"> </w:t>
            </w:r>
            <w:r w:rsidRPr="00826E46">
              <w:rPr>
                <w:rFonts w:eastAsia="Times"/>
              </w:rPr>
              <w:t>548.2</w:t>
            </w:r>
          </w:p>
        </w:tc>
      </w:tr>
      <w:tr w:rsidR="00B3222D" w:rsidRPr="00826E46" w14:paraId="2558255D" w14:textId="77777777" w:rsidTr="007558DC">
        <w:trPr>
          <w:cnfStyle w:val="000000100000" w:firstRow="0" w:lastRow="0" w:firstColumn="0" w:lastColumn="0" w:oddVBand="0" w:evenVBand="0" w:oddHBand="1" w:evenHBand="0" w:firstRowFirstColumn="0" w:firstRowLastColumn="0" w:lastRowFirstColumn="0" w:lastRowLastColumn="0"/>
          <w:trHeight w:val="20"/>
        </w:trPr>
        <w:tc>
          <w:tcPr>
            <w:tcW w:w="2133" w:type="pct"/>
          </w:tcPr>
          <w:p w14:paraId="78BDEFC4" w14:textId="77777777" w:rsidR="00B3222D" w:rsidRPr="00826E46" w:rsidRDefault="00B3222D">
            <w:pPr>
              <w:pStyle w:val="ARtabletextbold"/>
              <w:rPr>
                <w:rFonts w:eastAsia="Times"/>
              </w:rPr>
            </w:pPr>
            <w:r w:rsidRPr="00826E46">
              <w:rPr>
                <w:rFonts w:eastAsia="Times"/>
              </w:rPr>
              <w:t>Total assets</w:t>
            </w:r>
          </w:p>
        </w:tc>
        <w:tc>
          <w:tcPr>
            <w:cnfStyle w:val="000001000000" w:firstRow="0" w:lastRow="0" w:firstColumn="0" w:lastColumn="0" w:oddVBand="0" w:evenVBand="1" w:oddHBand="0" w:evenHBand="0" w:firstRowFirstColumn="0" w:firstRowLastColumn="0" w:lastRowFirstColumn="0" w:lastRowLastColumn="0"/>
            <w:tcW w:w="573" w:type="pct"/>
          </w:tcPr>
          <w:p w14:paraId="29A43089" w14:textId="77777777" w:rsidR="00B3222D" w:rsidRPr="00826E46" w:rsidRDefault="00B3222D">
            <w:pPr>
              <w:pStyle w:val="ARtabletextrightbold"/>
              <w:rPr>
                <w:rFonts w:eastAsia="Times"/>
              </w:rPr>
            </w:pPr>
            <w:r w:rsidRPr="00826E46">
              <w:rPr>
                <w:rFonts w:eastAsia="Times"/>
              </w:rPr>
              <w:t>41,986.6</w:t>
            </w:r>
          </w:p>
        </w:tc>
        <w:tc>
          <w:tcPr>
            <w:tcW w:w="573" w:type="pct"/>
          </w:tcPr>
          <w:p w14:paraId="1AE6B4D7" w14:textId="77777777" w:rsidR="00B3222D" w:rsidRPr="00826E46" w:rsidRDefault="00B3222D">
            <w:pPr>
              <w:pStyle w:val="ARtabletextrightbold"/>
              <w:cnfStyle w:val="000000100000" w:firstRow="0" w:lastRow="0" w:firstColumn="0" w:lastColumn="0" w:oddVBand="0" w:evenVBand="0" w:oddHBand="1" w:evenHBand="0" w:firstRowFirstColumn="0" w:firstRowLastColumn="0" w:lastRowFirstColumn="0" w:lastRowLastColumn="0"/>
              <w:rPr>
                <w:rFonts w:eastAsia="Times"/>
              </w:rPr>
            </w:pPr>
            <w:r w:rsidRPr="00826E46">
              <w:rPr>
                <w:rFonts w:eastAsia="Times"/>
              </w:rPr>
              <w:t>41,495.7</w:t>
            </w:r>
          </w:p>
        </w:tc>
        <w:tc>
          <w:tcPr>
            <w:cnfStyle w:val="000001000000" w:firstRow="0" w:lastRow="0" w:firstColumn="0" w:lastColumn="0" w:oddVBand="0" w:evenVBand="1" w:oddHBand="0" w:evenHBand="0" w:firstRowFirstColumn="0" w:firstRowLastColumn="0" w:lastRowFirstColumn="0" w:lastRowLastColumn="0"/>
            <w:tcW w:w="574" w:type="pct"/>
          </w:tcPr>
          <w:p w14:paraId="1FB45102" w14:textId="77777777" w:rsidR="00B3222D" w:rsidRPr="00826E46" w:rsidRDefault="00B3222D">
            <w:pPr>
              <w:pStyle w:val="ARtabletextrightbold"/>
              <w:rPr>
                <w:rFonts w:eastAsia="Times"/>
              </w:rPr>
            </w:pPr>
            <w:r w:rsidRPr="00826E46">
              <w:rPr>
                <w:rFonts w:eastAsia="Times"/>
              </w:rPr>
              <w:t>40,495.4</w:t>
            </w:r>
          </w:p>
        </w:tc>
        <w:tc>
          <w:tcPr>
            <w:tcW w:w="573" w:type="pct"/>
          </w:tcPr>
          <w:p w14:paraId="63947657" w14:textId="77777777" w:rsidR="00B3222D" w:rsidRPr="00826E46" w:rsidRDefault="00B3222D">
            <w:pPr>
              <w:pStyle w:val="ARtabletextrightbold"/>
              <w:cnfStyle w:val="000000100000" w:firstRow="0" w:lastRow="0" w:firstColumn="0" w:lastColumn="0" w:oddVBand="0" w:evenVBand="0" w:oddHBand="1" w:evenHBand="0" w:firstRowFirstColumn="0" w:firstRowLastColumn="0" w:lastRowFirstColumn="0" w:lastRowLastColumn="0"/>
              <w:rPr>
                <w:rFonts w:eastAsia="Times"/>
              </w:rPr>
            </w:pPr>
            <w:r w:rsidRPr="00826E46">
              <w:rPr>
                <w:rFonts w:eastAsia="Times"/>
              </w:rPr>
              <w:t>38,565.6</w:t>
            </w:r>
          </w:p>
        </w:tc>
        <w:tc>
          <w:tcPr>
            <w:cnfStyle w:val="000001000000" w:firstRow="0" w:lastRow="0" w:firstColumn="0" w:lastColumn="0" w:oddVBand="0" w:evenVBand="1" w:oddHBand="0" w:evenHBand="0" w:firstRowFirstColumn="0" w:firstRowLastColumn="0" w:lastRowFirstColumn="0" w:lastRowLastColumn="0"/>
            <w:tcW w:w="574" w:type="pct"/>
          </w:tcPr>
          <w:p w14:paraId="518CE5C9" w14:textId="77777777" w:rsidR="00B3222D" w:rsidRPr="00826E46" w:rsidRDefault="00B3222D">
            <w:pPr>
              <w:pStyle w:val="ARtabletextrightbold"/>
              <w:rPr>
                <w:rFonts w:eastAsia="Times"/>
              </w:rPr>
            </w:pPr>
            <w:r w:rsidRPr="00826E46">
              <w:rPr>
                <w:rFonts w:eastAsia="Times"/>
              </w:rPr>
              <w:t xml:space="preserve"> 38,113.8</w:t>
            </w:r>
          </w:p>
        </w:tc>
      </w:tr>
      <w:tr w:rsidR="00B3222D" w:rsidRPr="00826E46" w14:paraId="1FB062F6" w14:textId="77777777" w:rsidTr="007558DC">
        <w:trPr>
          <w:cnfStyle w:val="010000000000" w:firstRow="0" w:lastRow="1" w:firstColumn="0" w:lastColumn="0" w:oddVBand="0" w:evenVBand="0" w:oddHBand="0" w:evenHBand="0" w:firstRowFirstColumn="0" w:firstRowLastColumn="0" w:lastRowFirstColumn="0" w:lastRowLastColumn="0"/>
          <w:trHeight w:val="1"/>
        </w:trPr>
        <w:tc>
          <w:tcPr>
            <w:tcW w:w="2133" w:type="pct"/>
          </w:tcPr>
          <w:p w14:paraId="419E365A" w14:textId="77777777" w:rsidR="00B3222D" w:rsidRPr="00826E46" w:rsidRDefault="00B3222D">
            <w:pPr>
              <w:pStyle w:val="ARtabletextbold"/>
              <w:rPr>
                <w:rFonts w:eastAsia="Times"/>
              </w:rPr>
            </w:pPr>
            <w:r w:rsidRPr="00826E46">
              <w:rPr>
                <w:rFonts w:eastAsia="Times"/>
              </w:rPr>
              <w:t>Total liabilities</w:t>
            </w:r>
          </w:p>
        </w:tc>
        <w:tc>
          <w:tcPr>
            <w:cnfStyle w:val="000001000000" w:firstRow="0" w:lastRow="0" w:firstColumn="0" w:lastColumn="0" w:oddVBand="0" w:evenVBand="1" w:oddHBand="0" w:evenHBand="0" w:firstRowFirstColumn="0" w:firstRowLastColumn="0" w:lastRowFirstColumn="0" w:lastRowLastColumn="0"/>
            <w:tcW w:w="573" w:type="pct"/>
          </w:tcPr>
          <w:p w14:paraId="6D98052A" w14:textId="77777777" w:rsidR="00B3222D" w:rsidRPr="00826E46" w:rsidRDefault="00B3222D">
            <w:pPr>
              <w:pStyle w:val="ARtabletextrightbold"/>
              <w:rPr>
                <w:rFonts w:eastAsia="Times"/>
              </w:rPr>
            </w:pPr>
            <w:r w:rsidRPr="00826E46">
              <w:rPr>
                <w:rFonts w:eastAsia="Times"/>
              </w:rPr>
              <w:t>2,594.6</w:t>
            </w:r>
          </w:p>
        </w:tc>
        <w:tc>
          <w:tcPr>
            <w:tcW w:w="573" w:type="pct"/>
          </w:tcPr>
          <w:p w14:paraId="7C0B20BA" w14:textId="77777777" w:rsidR="00B3222D" w:rsidRPr="00826E46" w:rsidRDefault="00B3222D">
            <w:pPr>
              <w:pStyle w:val="ARtabletextrightbold"/>
              <w:cnfStyle w:val="010000000000" w:firstRow="0" w:lastRow="1" w:firstColumn="0" w:lastColumn="0" w:oddVBand="0" w:evenVBand="0" w:oddHBand="0" w:evenHBand="0" w:firstRowFirstColumn="0" w:firstRowLastColumn="0" w:lastRowFirstColumn="0" w:lastRowLastColumn="0"/>
              <w:rPr>
                <w:rFonts w:eastAsia="Times"/>
              </w:rPr>
            </w:pPr>
            <w:r w:rsidRPr="00826E46">
              <w:rPr>
                <w:rFonts w:eastAsia="Times"/>
              </w:rPr>
              <w:t>2,401.9</w:t>
            </w:r>
          </w:p>
        </w:tc>
        <w:tc>
          <w:tcPr>
            <w:cnfStyle w:val="000001000000" w:firstRow="0" w:lastRow="0" w:firstColumn="0" w:lastColumn="0" w:oddVBand="0" w:evenVBand="1" w:oddHBand="0" w:evenHBand="0" w:firstRowFirstColumn="0" w:firstRowLastColumn="0" w:lastRowFirstColumn="0" w:lastRowLastColumn="0"/>
            <w:tcW w:w="574" w:type="pct"/>
          </w:tcPr>
          <w:p w14:paraId="51F3852B" w14:textId="77777777" w:rsidR="00B3222D" w:rsidRPr="00826E46" w:rsidRDefault="00B3222D">
            <w:pPr>
              <w:pStyle w:val="ARtabletextrightbold"/>
              <w:rPr>
                <w:rFonts w:eastAsia="Times"/>
              </w:rPr>
            </w:pPr>
            <w:r w:rsidRPr="00826E46">
              <w:rPr>
                <w:rFonts w:eastAsia="Times"/>
              </w:rPr>
              <w:t>1,933.1</w:t>
            </w:r>
          </w:p>
        </w:tc>
        <w:tc>
          <w:tcPr>
            <w:tcW w:w="573" w:type="pct"/>
          </w:tcPr>
          <w:p w14:paraId="0648975E" w14:textId="77777777" w:rsidR="00B3222D" w:rsidRPr="00826E46" w:rsidRDefault="00B3222D">
            <w:pPr>
              <w:pStyle w:val="ARtabletextrightbold"/>
              <w:cnfStyle w:val="010000000000" w:firstRow="0" w:lastRow="1" w:firstColumn="0" w:lastColumn="0" w:oddVBand="0" w:evenVBand="0" w:oddHBand="0" w:evenHBand="0" w:firstRowFirstColumn="0" w:firstRowLastColumn="0" w:lastRowFirstColumn="0" w:lastRowLastColumn="0"/>
              <w:rPr>
                <w:rFonts w:eastAsia="Times"/>
              </w:rPr>
            </w:pPr>
            <w:r w:rsidRPr="00826E46">
              <w:rPr>
                <w:rFonts w:eastAsia="Times"/>
              </w:rPr>
              <w:t>1,383.6</w:t>
            </w:r>
          </w:p>
        </w:tc>
        <w:tc>
          <w:tcPr>
            <w:cnfStyle w:val="000001000000" w:firstRow="0" w:lastRow="0" w:firstColumn="0" w:lastColumn="0" w:oddVBand="0" w:evenVBand="1" w:oddHBand="0" w:evenHBand="0" w:firstRowFirstColumn="0" w:firstRowLastColumn="0" w:lastRowFirstColumn="0" w:lastRowLastColumn="0"/>
            <w:tcW w:w="574" w:type="pct"/>
          </w:tcPr>
          <w:p w14:paraId="29E3B556" w14:textId="77777777" w:rsidR="00B3222D" w:rsidRPr="00826E46" w:rsidRDefault="00B3222D">
            <w:pPr>
              <w:pStyle w:val="ARtabletextrightbold"/>
              <w:rPr>
                <w:rFonts w:eastAsia="Times"/>
              </w:rPr>
            </w:pPr>
            <w:r>
              <w:rPr>
                <w:rFonts w:eastAsia="Times"/>
              </w:rPr>
              <w:t xml:space="preserve"> </w:t>
            </w:r>
            <w:r w:rsidRPr="00826E46">
              <w:rPr>
                <w:rFonts w:eastAsia="Times"/>
              </w:rPr>
              <w:t>1,337.6</w:t>
            </w:r>
          </w:p>
        </w:tc>
      </w:tr>
    </w:tbl>
    <w:p w14:paraId="0F964FF2" w14:textId="77777777" w:rsidR="00B3222D" w:rsidRPr="00641545" w:rsidRDefault="00B3222D" w:rsidP="00E906D7">
      <w:pPr>
        <w:pStyle w:val="Heading3"/>
      </w:pPr>
      <w:bookmarkStart w:id="99" w:name="_Ref52274666"/>
      <w:r w:rsidRPr="00826E46">
        <w:t>Departmental financial arrangements</w:t>
      </w:r>
      <w:bookmarkEnd w:id="99"/>
    </w:p>
    <w:p w14:paraId="1485B09D" w14:textId="77777777" w:rsidR="00B3222D" w:rsidRPr="00826E46" w:rsidRDefault="00B3222D" w:rsidP="0048706E">
      <w:pPr>
        <w:pStyle w:val="ARBody"/>
        <w:spacing w:line="240" w:lineRule="atLeast"/>
      </w:pPr>
      <w:r w:rsidRPr="00826E46">
        <w:t>The department’s audited financial statements presented in this annual report includes entities within the department’s portfolio that are not controlled by the department.</w:t>
      </w:r>
    </w:p>
    <w:p w14:paraId="67D52544" w14:textId="77777777" w:rsidR="00B3222D" w:rsidRPr="00826E46" w:rsidRDefault="00B3222D" w:rsidP="0048706E">
      <w:pPr>
        <w:pStyle w:val="ARBody"/>
        <w:spacing w:line="240" w:lineRule="atLeast"/>
      </w:pPr>
      <w:r w:rsidRPr="00826E46">
        <w:t xml:space="preserve">To enable efficient production of financial statements for smaller entities within the department’s portfolio and to recognise the Homes Victoria entity operating within the department’s business structure, pursuant to s. 53(1) (b) of the </w:t>
      </w:r>
      <w:r w:rsidRPr="00C020FB">
        <w:rPr>
          <w:rStyle w:val="Emphasis"/>
        </w:rPr>
        <w:t>Financial Management Act 1994,</w:t>
      </w:r>
      <w:r w:rsidRPr="00826E46">
        <w:t xml:space="preserve"> the Minister for Finance has granted approval for the department to</w:t>
      </w:r>
      <w:r>
        <w:t> </w:t>
      </w:r>
      <w:r w:rsidRPr="00826E46">
        <w:t>prepare financial statements incorporating the following entities which form part of the Department of Families, Fairness and Housing reporting entity:</w:t>
      </w:r>
    </w:p>
    <w:p w14:paraId="77037E50" w14:textId="77777777" w:rsidR="00B3222D" w:rsidRPr="00826E46" w:rsidRDefault="00B3222D" w:rsidP="0048706E">
      <w:pPr>
        <w:pStyle w:val="ARBullet1"/>
        <w:numPr>
          <w:ilvl w:val="0"/>
          <w:numId w:val="3"/>
        </w:numPr>
        <w:spacing w:line="240" w:lineRule="atLeast"/>
      </w:pPr>
      <w:r w:rsidRPr="00826E46">
        <w:t>Homes Victoria</w:t>
      </w:r>
    </w:p>
    <w:p w14:paraId="5C11B062" w14:textId="77777777" w:rsidR="00B3222D" w:rsidRPr="00826E46" w:rsidRDefault="00B3222D" w:rsidP="0048706E">
      <w:pPr>
        <w:pStyle w:val="ARBullet1"/>
        <w:numPr>
          <w:ilvl w:val="0"/>
          <w:numId w:val="3"/>
        </w:numPr>
        <w:spacing w:line="240" w:lineRule="atLeast"/>
      </w:pPr>
      <w:r w:rsidRPr="00826E46">
        <w:t xml:space="preserve">Commission for Children and Young People </w:t>
      </w:r>
    </w:p>
    <w:p w14:paraId="2DA87A0B" w14:textId="77777777" w:rsidR="00B3222D" w:rsidRPr="00826E46" w:rsidRDefault="00B3222D" w:rsidP="0048706E">
      <w:pPr>
        <w:pStyle w:val="ARBullet1"/>
        <w:numPr>
          <w:ilvl w:val="0"/>
          <w:numId w:val="3"/>
        </w:numPr>
        <w:spacing w:line="240" w:lineRule="atLeast"/>
      </w:pPr>
      <w:r w:rsidRPr="00826E46">
        <w:t>Respect Victoria</w:t>
      </w:r>
    </w:p>
    <w:p w14:paraId="335EB4B0" w14:textId="77777777" w:rsidR="00B3222D" w:rsidRPr="00826E46" w:rsidRDefault="00B3222D" w:rsidP="0048706E">
      <w:pPr>
        <w:pStyle w:val="ARBullet1"/>
        <w:numPr>
          <w:ilvl w:val="0"/>
          <w:numId w:val="3"/>
        </w:numPr>
        <w:spacing w:line="240" w:lineRule="atLeast"/>
      </w:pPr>
      <w:r w:rsidRPr="00826E46">
        <w:t>Victorian Veterans Council</w:t>
      </w:r>
    </w:p>
    <w:p w14:paraId="5346A2B9" w14:textId="77777777" w:rsidR="00B3222D" w:rsidRPr="00826E46" w:rsidRDefault="00B3222D" w:rsidP="0048706E">
      <w:pPr>
        <w:pStyle w:val="ARBullet1"/>
        <w:numPr>
          <w:ilvl w:val="0"/>
          <w:numId w:val="3"/>
        </w:numPr>
        <w:spacing w:line="240" w:lineRule="atLeast"/>
      </w:pPr>
      <w:bookmarkStart w:id="100" w:name="_Hlk142913649"/>
      <w:r w:rsidRPr="00826E46">
        <w:t>Victorian Disability Worker Commission</w:t>
      </w:r>
    </w:p>
    <w:p w14:paraId="57DD646E" w14:textId="77777777" w:rsidR="00B3222D" w:rsidRPr="00826E46" w:rsidRDefault="00B3222D" w:rsidP="0048706E">
      <w:pPr>
        <w:pStyle w:val="ARBullet1"/>
        <w:numPr>
          <w:ilvl w:val="0"/>
          <w:numId w:val="3"/>
        </w:numPr>
        <w:spacing w:line="240" w:lineRule="atLeast"/>
      </w:pPr>
      <w:bookmarkStart w:id="101" w:name="_Hlk142913619"/>
      <w:bookmarkEnd w:id="100"/>
      <w:r w:rsidRPr="00826E46">
        <w:t>Disability Worker Registration Board</w:t>
      </w:r>
    </w:p>
    <w:p w14:paraId="6362A5E7" w14:textId="77777777" w:rsidR="00B3222D" w:rsidRPr="00826E46" w:rsidRDefault="00B3222D" w:rsidP="0048706E">
      <w:pPr>
        <w:pStyle w:val="ARBullet1"/>
        <w:numPr>
          <w:ilvl w:val="0"/>
          <w:numId w:val="3"/>
        </w:numPr>
        <w:spacing w:line="240" w:lineRule="atLeast"/>
      </w:pPr>
      <w:r w:rsidRPr="00826E46">
        <w:t>Social Services Regulator</w:t>
      </w:r>
    </w:p>
    <w:bookmarkEnd w:id="101"/>
    <w:p w14:paraId="5A8375DE" w14:textId="77777777" w:rsidR="00B3222D" w:rsidRPr="00826E46" w:rsidRDefault="00B3222D" w:rsidP="0048706E">
      <w:pPr>
        <w:pStyle w:val="ARBodyafterbullets"/>
        <w:spacing w:line="240" w:lineRule="atLeast"/>
      </w:pPr>
      <w:r w:rsidRPr="00826E46">
        <w:t xml:space="preserve">As a public non-financial corporation, </w:t>
      </w:r>
      <w:proofErr w:type="gramStart"/>
      <w:r w:rsidRPr="00826E46">
        <w:t>the majority of</w:t>
      </w:r>
      <w:proofErr w:type="gramEnd"/>
      <w:r>
        <w:t> </w:t>
      </w:r>
      <w:r w:rsidRPr="00826E46">
        <w:t>income for the Homes Victoria entity is derived from business operations primarily in the form of public housing rental, along with revenue provided</w:t>
      </w:r>
      <w:r>
        <w:t> </w:t>
      </w:r>
      <w:r w:rsidRPr="00826E46">
        <w:t>by government through annual appropriation processes.</w:t>
      </w:r>
    </w:p>
    <w:p w14:paraId="18FE45B0" w14:textId="6DC442D5" w:rsidR="00641545" w:rsidRDefault="00B3222D" w:rsidP="0048706E">
      <w:pPr>
        <w:pStyle w:val="ARBody"/>
        <w:spacing w:line="240" w:lineRule="atLeast"/>
      </w:pPr>
      <w:r w:rsidRPr="00826E46">
        <w:t>Detailed financial results for Homes Victoria are included in the appendices of the annual report, following the department’s audited financial</w:t>
      </w:r>
      <w:r>
        <w:t> </w:t>
      </w:r>
      <w:r w:rsidRPr="00826E46">
        <w:t>statements.</w:t>
      </w:r>
      <w:bookmarkStart w:id="102" w:name="_Toc110926254"/>
    </w:p>
    <w:p w14:paraId="7314101D" w14:textId="63BB1A46" w:rsidR="00641545" w:rsidRDefault="00B3222D" w:rsidP="00641545">
      <w:pPr>
        <w:pStyle w:val="Heading2"/>
      </w:pPr>
      <w:bookmarkStart w:id="103" w:name="_Current_year_financial"/>
      <w:bookmarkStart w:id="104" w:name="_Toc241131702"/>
      <w:bookmarkEnd w:id="103"/>
      <w:r w:rsidRPr="00826E46">
        <w:rPr>
          <w:rFonts w:eastAsia="Times"/>
        </w:rPr>
        <w:t xml:space="preserve">Current year </w:t>
      </w:r>
      <w:r w:rsidRPr="00641545">
        <w:t>financial</w:t>
      </w:r>
      <w:r w:rsidRPr="00826E46">
        <w:rPr>
          <w:rFonts w:eastAsia="Times"/>
        </w:rPr>
        <w:t xml:space="preserve"> summary</w:t>
      </w:r>
      <w:bookmarkEnd w:id="104"/>
    </w:p>
    <w:p w14:paraId="75A6AADF" w14:textId="77777777" w:rsidR="00B3222D" w:rsidRPr="00826E46" w:rsidRDefault="00B3222D" w:rsidP="001471AB">
      <w:pPr>
        <w:pStyle w:val="ARBody"/>
        <w:spacing w:line="240" w:lineRule="atLeast"/>
      </w:pPr>
      <w:r w:rsidRPr="00826E46">
        <w:t>The details below relate to the department’s consolidated financial statements including the entities outlined</w:t>
      </w:r>
      <w:r>
        <w:t> </w:t>
      </w:r>
      <w:r w:rsidRPr="00826E46">
        <w:t>above.</w:t>
      </w:r>
    </w:p>
    <w:p w14:paraId="15F62B0B" w14:textId="43CDFD1D" w:rsidR="00B3222D" w:rsidRPr="00826E46" w:rsidRDefault="00B3222D" w:rsidP="001471AB">
      <w:pPr>
        <w:pStyle w:val="ARBody"/>
        <w:spacing w:line="240" w:lineRule="atLeast"/>
      </w:pPr>
      <w:bookmarkStart w:id="105" w:name="_Hlk111823612"/>
      <w:r w:rsidRPr="00826E46">
        <w:t>The department’s net result from transactions for the</w:t>
      </w:r>
      <w:r w:rsidR="0048706E">
        <w:t> </w:t>
      </w:r>
      <w:r w:rsidRPr="00826E46">
        <w:t xml:space="preserve">financial year ended 30 June 2026 is a deficit </w:t>
      </w:r>
      <w:r w:rsidR="00641545">
        <w:br/>
      </w:r>
      <w:r w:rsidRPr="00826E46">
        <w:t>of</w:t>
      </w:r>
      <w:r w:rsidR="0048706E">
        <w:t> </w:t>
      </w:r>
      <w:r w:rsidRPr="00826E46">
        <w:t>$497.6 million, compared with a deficit of $469.7 million for 30 June 2025.</w:t>
      </w:r>
    </w:p>
    <w:p w14:paraId="1FDE0C8E" w14:textId="77777777" w:rsidR="00B3222D" w:rsidRPr="00826E46" w:rsidRDefault="00B3222D" w:rsidP="001471AB">
      <w:pPr>
        <w:pStyle w:val="ARBody"/>
        <w:spacing w:line="240" w:lineRule="atLeast"/>
      </w:pPr>
      <w:r w:rsidRPr="00826E46">
        <w:t>With the inclusion of other economic flows gains of $35.5 million, the net result for the financial year is a deficit of $462.1 million. This compares with a deficit of $522.2 million in 2024</w:t>
      </w:r>
      <w:r>
        <w:t>–</w:t>
      </w:r>
      <w:r w:rsidRPr="00826E46">
        <w:t>25.</w:t>
      </w:r>
    </w:p>
    <w:p w14:paraId="249468F9" w14:textId="068C3AB6" w:rsidR="00B3222D" w:rsidRPr="00826E46" w:rsidRDefault="00B3222D" w:rsidP="001471AB">
      <w:pPr>
        <w:pStyle w:val="ARBody"/>
        <w:spacing w:line="240" w:lineRule="atLeast"/>
      </w:pPr>
      <w:r w:rsidRPr="00826E46">
        <w:t>The deficit from transactions primarily relates to a</w:t>
      </w:r>
      <w:r>
        <w:t> </w:t>
      </w:r>
      <w:r w:rsidRPr="00826E46">
        <w:t>$446.7 million deficit in Homes Victoria reflecting the</w:t>
      </w:r>
      <w:r>
        <w:t> </w:t>
      </w:r>
      <w:r w:rsidRPr="00826E46">
        <w:t>unfunded depreciation expense, offset by government investment funding recognised as revenue in 2025</w:t>
      </w:r>
      <w:r>
        <w:t>–</w:t>
      </w:r>
      <w:r w:rsidRPr="00826E46">
        <w:t>26 to be as part of the Big Housing</w:t>
      </w:r>
      <w:r>
        <w:t> </w:t>
      </w:r>
      <w:r w:rsidRPr="00826E46">
        <w:t>Build to grow social and affordable housing in Victoria. Another main contributor to</w:t>
      </w:r>
      <w:r w:rsidR="005E58EE">
        <w:t> </w:t>
      </w:r>
      <w:r w:rsidRPr="00826E46">
        <w:t>the</w:t>
      </w:r>
      <w:r w:rsidR="005E58EE">
        <w:t> </w:t>
      </w:r>
      <w:r w:rsidRPr="00826E46">
        <w:t>net deficit</w:t>
      </w:r>
      <w:r w:rsidR="005E58EE">
        <w:t> </w:t>
      </w:r>
      <w:r w:rsidRPr="00826E46">
        <w:t>from transactions is a higher insurance expense relating to civil claims from historical institutional child abuse.</w:t>
      </w:r>
    </w:p>
    <w:bookmarkEnd w:id="105"/>
    <w:p w14:paraId="6C8BD393" w14:textId="77777777" w:rsidR="00B3222D" w:rsidRPr="00826E46" w:rsidRDefault="00B3222D" w:rsidP="00B3222D">
      <w:pPr>
        <w:pStyle w:val="Heading3"/>
      </w:pPr>
      <w:r w:rsidRPr="00826E46">
        <w:t>Financial Position – balance</w:t>
      </w:r>
      <w:r>
        <w:t> </w:t>
      </w:r>
      <w:r w:rsidRPr="00826E46">
        <w:t>sheet</w:t>
      </w:r>
    </w:p>
    <w:p w14:paraId="4B40944E" w14:textId="77777777" w:rsidR="00B3222D" w:rsidRPr="00826E46" w:rsidRDefault="00B3222D" w:rsidP="001471AB">
      <w:pPr>
        <w:pStyle w:val="ARBody"/>
        <w:spacing w:line="240" w:lineRule="atLeast"/>
      </w:pPr>
      <w:r w:rsidRPr="00826E46">
        <w:t xml:space="preserve">The department’s net asset base as </w:t>
      </w:r>
      <w:proofErr w:type="gramStart"/>
      <w:r w:rsidRPr="00826E46">
        <w:t>at</w:t>
      </w:r>
      <w:proofErr w:type="gramEnd"/>
      <w:r w:rsidRPr="00826E46">
        <w:t xml:space="preserve"> 30 June 2026 was $39,392.0 million, comprising total assets</w:t>
      </w:r>
      <w:r>
        <w:t> </w:t>
      </w:r>
      <w:r w:rsidRPr="00826E46">
        <w:t>of $41,986.6 million and total liabilities $2,594.6</w:t>
      </w:r>
      <w:r>
        <w:t> </w:t>
      </w:r>
      <w:r w:rsidRPr="00826E46">
        <w:t>million.</w:t>
      </w:r>
    </w:p>
    <w:p w14:paraId="07864F61" w14:textId="29A570B9" w:rsidR="00B3222D" w:rsidRPr="00826E46" w:rsidRDefault="00B3222D" w:rsidP="001471AB">
      <w:pPr>
        <w:pStyle w:val="ARBody"/>
        <w:spacing w:line="240" w:lineRule="atLeast"/>
      </w:pPr>
      <w:r w:rsidRPr="00826E46">
        <w:t>Total assets have increased by $490.9 million in</w:t>
      </w:r>
      <w:r>
        <w:t> </w:t>
      </w:r>
      <w:r w:rsidRPr="00826E46">
        <w:t>2025</w:t>
      </w:r>
      <w:r>
        <w:t>–</w:t>
      </w:r>
      <w:r w:rsidRPr="00826E46">
        <w:t>26. This reflects the funding received in 2025</w:t>
      </w:r>
      <w:r>
        <w:t>–</w:t>
      </w:r>
      <w:r w:rsidRPr="00826E46">
        <w:t>26 that was invested and capitalised in the Big Housing Build.</w:t>
      </w:r>
    </w:p>
    <w:p w14:paraId="469FE3F3" w14:textId="64F697BF" w:rsidR="00B3222D" w:rsidRDefault="00B3222D" w:rsidP="00B3222D">
      <w:pPr>
        <w:pStyle w:val="ARBody"/>
      </w:pPr>
      <w:r w:rsidRPr="00826E46">
        <w:t>Liabilities totalling $2,594.6 million mainly consist of</w:t>
      </w:r>
      <w:r>
        <w:t> </w:t>
      </w:r>
      <w:r w:rsidRPr="00826E46">
        <w:t>payables, borrowings, employee benefit and other</w:t>
      </w:r>
      <w:r w:rsidR="00641545">
        <w:t xml:space="preserve"> </w:t>
      </w:r>
      <w:r w:rsidRPr="00826E46">
        <w:t>provisions. Total liabilities have increased by $192.7 million compared to 2024</w:t>
      </w:r>
      <w:r>
        <w:t>–</w:t>
      </w:r>
      <w:r w:rsidRPr="00826E46">
        <w:t>25. This is mainly due to increased borrowings (service concession liabilities associated with Big Housing Build Program) and increase in provision for civil claims costs relating to historical institutional child abuse.</w:t>
      </w:r>
    </w:p>
    <w:p w14:paraId="7EF8C574" w14:textId="77777777" w:rsidR="00B3222D" w:rsidRPr="00826E46" w:rsidRDefault="00B3222D" w:rsidP="00B3222D">
      <w:pPr>
        <w:pStyle w:val="Heading3"/>
        <w:spacing w:before="0"/>
      </w:pPr>
      <w:bookmarkStart w:id="106" w:name="_Ref52263715"/>
      <w:r w:rsidRPr="00826E46">
        <w:t>Cash flows</w:t>
      </w:r>
      <w:bookmarkEnd w:id="106"/>
    </w:p>
    <w:p w14:paraId="28BBEDBA" w14:textId="407E7A9B" w:rsidR="00B3222D" w:rsidRPr="00826E46" w:rsidRDefault="00B3222D" w:rsidP="00B3222D">
      <w:pPr>
        <w:pStyle w:val="ARBody"/>
      </w:pPr>
      <w:r w:rsidRPr="00826E46">
        <w:t>Cash and deposits as at end of the 2025</w:t>
      </w:r>
      <w:r>
        <w:t>–</w:t>
      </w:r>
      <w:r w:rsidRPr="00826E46">
        <w:t xml:space="preserve">26 financial year was $994.2 million, a decrease of $318.0 million from the beginning of the financial year. This is mainly due to </w:t>
      </w:r>
      <w:bookmarkEnd w:id="102"/>
      <w:r w:rsidRPr="00826E46">
        <w:t>a decrease in net cash flows from operations, resulting from the timing of government funding received last financial year and</w:t>
      </w:r>
      <w:r w:rsidR="0048706E">
        <w:t> </w:t>
      </w:r>
      <w:r w:rsidRPr="00826E46">
        <w:t>spent this financial year.</w:t>
      </w:r>
    </w:p>
    <w:p w14:paraId="4C9BB257" w14:textId="77777777" w:rsidR="00B3222D" w:rsidRPr="00826E46" w:rsidRDefault="00B3222D" w:rsidP="00B3222D">
      <w:pPr>
        <w:pStyle w:val="Heading3"/>
      </w:pPr>
      <w:bookmarkStart w:id="107" w:name="_Budget_portfolio_outcomes"/>
      <w:bookmarkEnd w:id="107"/>
      <w:r w:rsidRPr="00826E46">
        <w:t>Budget portfolio outcomes</w:t>
      </w:r>
    </w:p>
    <w:p w14:paraId="0C158F2C" w14:textId="77777777" w:rsidR="00B3222D" w:rsidRPr="00826E46" w:rsidRDefault="00B3222D" w:rsidP="00B3222D">
      <w:pPr>
        <w:pStyle w:val="ARBody"/>
      </w:pPr>
      <w:r w:rsidRPr="00826E46">
        <w:t xml:space="preserve">The portfolio budget outcomes provide a comparison between the actual financial statements of all general government sector entities within the portfolio and the forecast financial information published in Budget Paper No. 5 </w:t>
      </w:r>
      <w:r w:rsidRPr="00C020FB">
        <w:rPr>
          <w:rStyle w:val="Emphasis"/>
        </w:rPr>
        <w:t>Statement of</w:t>
      </w:r>
      <w:r>
        <w:rPr>
          <w:rStyle w:val="Emphasis"/>
        </w:rPr>
        <w:t> </w:t>
      </w:r>
      <w:r w:rsidRPr="00C020FB">
        <w:rPr>
          <w:rStyle w:val="Emphasis"/>
        </w:rPr>
        <w:t>Finances 2026</w:t>
      </w:r>
      <w:r>
        <w:rPr>
          <w:rStyle w:val="Emphasis"/>
        </w:rPr>
        <w:t>–</w:t>
      </w:r>
      <w:r w:rsidRPr="00C020FB">
        <w:rPr>
          <w:rStyle w:val="Emphasis"/>
        </w:rPr>
        <w:t>27 (</w:t>
      </w:r>
      <w:r w:rsidRPr="00826E46">
        <w:t>BP5).</w:t>
      </w:r>
    </w:p>
    <w:p w14:paraId="6F6B1424" w14:textId="46EDC974" w:rsidR="00F55EDE" w:rsidRDefault="00B3222D" w:rsidP="00B3222D">
      <w:pPr>
        <w:pStyle w:val="ARBody"/>
      </w:pPr>
      <w:r w:rsidRPr="00826E46">
        <w:t xml:space="preserve">The portfolio budget outcomes comprise the comprehensive operating statement, balance sheet, </w:t>
      </w:r>
      <w:r w:rsidR="00641545">
        <w:t>s</w:t>
      </w:r>
      <w:r w:rsidRPr="00826E46">
        <w:t>tatement of cash flows, statement of changes in</w:t>
      </w:r>
      <w:r>
        <w:t> </w:t>
      </w:r>
      <w:r w:rsidRPr="00826E46">
        <w:t>equity, and administered items statement for the</w:t>
      </w:r>
      <w:r>
        <w:t> </w:t>
      </w:r>
      <w:r w:rsidRPr="00826E46">
        <w:t xml:space="preserve">financial </w:t>
      </w:r>
      <w:r w:rsidR="00641545">
        <w:br/>
      </w:r>
      <w:r w:rsidRPr="00826E46">
        <w:t>year 2025</w:t>
      </w:r>
      <w:r>
        <w:t>–</w:t>
      </w:r>
      <w:r w:rsidRPr="00826E46">
        <w:t>26.</w:t>
      </w:r>
    </w:p>
    <w:p w14:paraId="668F48DD" w14:textId="0CB4B179" w:rsidR="00B3222D" w:rsidRDefault="00B3222D" w:rsidP="00B3222D">
      <w:pPr>
        <w:pStyle w:val="ARBody"/>
      </w:pPr>
      <w:r w:rsidRPr="00826E46">
        <w:t>The portfolio budget outcomes have been prepared on a consolidated basis for the period 1 July 2025 to</w:t>
      </w:r>
      <w:r>
        <w:t> </w:t>
      </w:r>
      <w:r w:rsidRPr="00826E46">
        <w:t>30 June 2026 and include all general government sector entities within the portfolio. Financial transactions and balances are classified into either controlled or administered categories as agreed with</w:t>
      </w:r>
      <w:r w:rsidR="005D503A">
        <w:t> </w:t>
      </w:r>
      <w:r w:rsidRPr="00826E46">
        <w:t>the Treasurer in the context of the published statements in BP5.</w:t>
      </w:r>
    </w:p>
    <w:p w14:paraId="59890041" w14:textId="77777777" w:rsidR="00B3222D" w:rsidRPr="00826E46" w:rsidRDefault="00B3222D" w:rsidP="00B3222D">
      <w:pPr>
        <w:pStyle w:val="ARBody"/>
      </w:pPr>
      <w:r w:rsidRPr="00826E46">
        <w:t>The portfolio budget outcomes statements are not subject to audit by the Victorian Auditor-General’s Office. They are not prepared on the same basis as</w:t>
      </w:r>
      <w:r>
        <w:t> </w:t>
      </w:r>
      <w:r w:rsidRPr="00826E46">
        <w:t>the financial statements as they include financial information of the following entities:</w:t>
      </w:r>
    </w:p>
    <w:p w14:paraId="77DBA264" w14:textId="77777777" w:rsidR="00B3222D" w:rsidRPr="00826E46" w:rsidRDefault="00B3222D" w:rsidP="00B3222D">
      <w:pPr>
        <w:pStyle w:val="ARBullet1"/>
        <w:numPr>
          <w:ilvl w:val="0"/>
          <w:numId w:val="3"/>
        </w:numPr>
      </w:pPr>
      <w:r w:rsidRPr="00826E46">
        <w:t>Department of Families, Fairness and Housing</w:t>
      </w:r>
      <w:r>
        <w:t> </w:t>
      </w:r>
      <w:r w:rsidRPr="00826E46">
        <w:t>(DFFH)</w:t>
      </w:r>
    </w:p>
    <w:p w14:paraId="3FF1BBEE" w14:textId="77777777" w:rsidR="00B3222D" w:rsidRPr="00826E46" w:rsidRDefault="00B3222D" w:rsidP="00B3222D">
      <w:pPr>
        <w:pStyle w:val="ARBullet1"/>
        <w:numPr>
          <w:ilvl w:val="0"/>
          <w:numId w:val="3"/>
        </w:numPr>
      </w:pPr>
      <w:r w:rsidRPr="00826E46">
        <w:t>Victorian Disability Workers Commission</w:t>
      </w:r>
    </w:p>
    <w:p w14:paraId="37C37EFD" w14:textId="77777777" w:rsidR="00B3222D" w:rsidRPr="00826E46" w:rsidRDefault="00B3222D" w:rsidP="00B3222D">
      <w:pPr>
        <w:pStyle w:val="ARBullet1"/>
        <w:numPr>
          <w:ilvl w:val="0"/>
          <w:numId w:val="3"/>
        </w:numPr>
      </w:pPr>
      <w:r w:rsidRPr="00826E46">
        <w:t>Disability Worker Registration Board</w:t>
      </w:r>
    </w:p>
    <w:p w14:paraId="61EB8E78" w14:textId="77777777" w:rsidR="00B3222D" w:rsidRPr="00826E46" w:rsidRDefault="00B3222D" w:rsidP="00B3222D">
      <w:pPr>
        <w:pStyle w:val="ARBullet1"/>
        <w:numPr>
          <w:ilvl w:val="0"/>
          <w:numId w:val="3"/>
        </w:numPr>
      </w:pPr>
      <w:r w:rsidRPr="00826E46">
        <w:t>Commission for Children and Young People</w:t>
      </w:r>
    </w:p>
    <w:p w14:paraId="24C57447" w14:textId="77777777" w:rsidR="00B3222D" w:rsidRPr="00826E46" w:rsidRDefault="00B3222D" w:rsidP="00B3222D">
      <w:pPr>
        <w:pStyle w:val="ARBullet1"/>
        <w:numPr>
          <w:ilvl w:val="0"/>
          <w:numId w:val="3"/>
        </w:numPr>
      </w:pPr>
      <w:r w:rsidRPr="00826E46">
        <w:t xml:space="preserve">Social Services Regulator </w:t>
      </w:r>
    </w:p>
    <w:p w14:paraId="460A83BC" w14:textId="77777777" w:rsidR="00B3222D" w:rsidRPr="00826E46" w:rsidRDefault="00B3222D" w:rsidP="00B3222D">
      <w:pPr>
        <w:pStyle w:val="ARBullet1"/>
        <w:numPr>
          <w:ilvl w:val="0"/>
          <w:numId w:val="3"/>
        </w:numPr>
      </w:pPr>
      <w:r w:rsidRPr="00826E46">
        <w:t>Family Violence Prevention Agency (Respect</w:t>
      </w:r>
      <w:r>
        <w:t> </w:t>
      </w:r>
      <w:r w:rsidRPr="00826E46">
        <w:t>Victoria)</w:t>
      </w:r>
    </w:p>
    <w:p w14:paraId="1C6CA920" w14:textId="77777777" w:rsidR="00B3222D" w:rsidRPr="00826E46" w:rsidRDefault="00B3222D" w:rsidP="00B3222D">
      <w:pPr>
        <w:pStyle w:val="ARBullet1"/>
        <w:numPr>
          <w:ilvl w:val="0"/>
          <w:numId w:val="3"/>
        </w:numPr>
      </w:pPr>
      <w:r w:rsidRPr="00826E46">
        <w:t>Victorian Veterans Council</w:t>
      </w:r>
    </w:p>
    <w:p w14:paraId="0FA104B3" w14:textId="77777777" w:rsidR="00B3222D" w:rsidRPr="00826E46" w:rsidRDefault="00B3222D" w:rsidP="00B3222D">
      <w:pPr>
        <w:pStyle w:val="ARBullet1"/>
        <w:numPr>
          <w:ilvl w:val="0"/>
          <w:numId w:val="3"/>
        </w:numPr>
      </w:pPr>
      <w:r w:rsidRPr="00826E46">
        <w:t xml:space="preserve">Director of Housing (General Government). </w:t>
      </w:r>
    </w:p>
    <w:p w14:paraId="2F3DF2DD" w14:textId="77777777" w:rsidR="00B3222D" w:rsidRDefault="00B3222D" w:rsidP="00B3222D">
      <w:pPr>
        <w:pStyle w:val="ARBodyafterbullets"/>
      </w:pPr>
      <w:r w:rsidRPr="00826E46">
        <w:t>The portfolio budget outcomes statements include funding from the Commonwealth Government and revenue from the sale of services attributed to DFFH</w:t>
      </w:r>
      <w:r>
        <w:t> </w:t>
      </w:r>
      <w:r w:rsidRPr="00826E46">
        <w:t>from the state government. They also include income and expenses associated with National Disability Insurance Scheme funding, which are reported in the DFFH administered accounts.</w:t>
      </w:r>
    </w:p>
    <w:p w14:paraId="769AC5B9" w14:textId="73840C00" w:rsidR="00B3222D" w:rsidRPr="00826E46" w:rsidRDefault="00B3222D" w:rsidP="0048706E">
      <w:pPr>
        <w:pStyle w:val="Heading4"/>
        <w:spacing w:before="0"/>
      </w:pPr>
      <w:r w:rsidRPr="00826E46">
        <w:t xml:space="preserve">Machinery of government changes </w:t>
      </w:r>
    </w:p>
    <w:p w14:paraId="2AA04850" w14:textId="77777777" w:rsidR="00B3222D" w:rsidRDefault="00B3222D" w:rsidP="00B3222D">
      <w:pPr>
        <w:pStyle w:val="ARBody"/>
      </w:pPr>
      <w:r w:rsidRPr="00826E46">
        <w:t>As a result of the machinery of government changes on 9 February 2026, the Workers Screening Unit has become part of DFFH from Department of Government Services (DGS).</w:t>
      </w:r>
    </w:p>
    <w:p w14:paraId="6202F383" w14:textId="1C371366" w:rsidR="00B3222D" w:rsidRPr="00826E46" w:rsidRDefault="00B3222D" w:rsidP="001471AB">
      <w:pPr>
        <w:pStyle w:val="Heading4"/>
        <w:spacing w:before="0"/>
      </w:pPr>
      <w:r w:rsidRPr="00826E46">
        <w:t>Financial performance – operating statement</w:t>
      </w:r>
    </w:p>
    <w:p w14:paraId="2644C940" w14:textId="77777777" w:rsidR="00B3222D" w:rsidRPr="00826E46" w:rsidRDefault="00B3222D" w:rsidP="00B3222D">
      <w:pPr>
        <w:pStyle w:val="ARBody"/>
      </w:pPr>
      <w:r w:rsidRPr="00826E46">
        <w:t>In 2025</w:t>
      </w:r>
      <w:r>
        <w:t>–</w:t>
      </w:r>
      <w:r w:rsidRPr="00826E46">
        <w:t>26 the portfolio recorded an actual net result from transactions of a $92 million deficit compared to a 2025</w:t>
      </w:r>
      <w:r>
        <w:t>–</w:t>
      </w:r>
      <w:r w:rsidRPr="00826E46">
        <w:t>26 published budgeted deficit</w:t>
      </w:r>
      <w:r>
        <w:t> </w:t>
      </w:r>
      <w:r w:rsidRPr="00826E46">
        <w:t>of $3 million.</w:t>
      </w:r>
    </w:p>
    <w:p w14:paraId="37E95BDD" w14:textId="77777777" w:rsidR="00B3222D" w:rsidRDefault="00B3222D" w:rsidP="00B3222D">
      <w:pPr>
        <w:pStyle w:val="ARBody"/>
      </w:pPr>
      <w:r w:rsidRPr="00826E46">
        <w:t>The variance between the budgeted and actual deficit is mainly related to higher insurance claims expense recognised in 2025</w:t>
      </w:r>
      <w:r>
        <w:t>–</w:t>
      </w:r>
      <w:r w:rsidRPr="00826E46">
        <w:t xml:space="preserve">26 </w:t>
      </w:r>
      <w:proofErr w:type="gramStart"/>
      <w:r w:rsidRPr="00826E46">
        <w:t>as a result of</w:t>
      </w:r>
      <w:proofErr w:type="gramEnd"/>
      <w:r w:rsidRPr="00826E46">
        <w:t xml:space="preserve"> increased in provisions for civil claims associated with historical institutional child abuse.</w:t>
      </w:r>
      <w:r>
        <w:t xml:space="preserve"> </w:t>
      </w:r>
    </w:p>
    <w:p w14:paraId="0E760F4B" w14:textId="6B428F65" w:rsidR="00B3222D" w:rsidRPr="00826E46" w:rsidRDefault="00B3222D" w:rsidP="0048706E">
      <w:pPr>
        <w:pStyle w:val="Heading4"/>
        <w:spacing w:before="0"/>
      </w:pPr>
      <w:r w:rsidRPr="00826E46">
        <w:t>Financial position – balance sheet</w:t>
      </w:r>
    </w:p>
    <w:p w14:paraId="62357A33" w14:textId="77777777" w:rsidR="00B3222D" w:rsidRPr="00826E46" w:rsidRDefault="00B3222D" w:rsidP="00B3222D">
      <w:pPr>
        <w:pStyle w:val="ARBody"/>
      </w:pPr>
      <w:r w:rsidRPr="00826E46">
        <w:t xml:space="preserve">Total assets are $75 million higher than the published budget. This is mainly attributed to increase in financial assets </w:t>
      </w:r>
      <w:proofErr w:type="gramStart"/>
      <w:r w:rsidRPr="00826E46">
        <w:t>as a result of</w:t>
      </w:r>
      <w:proofErr w:type="gramEnd"/>
      <w:r w:rsidRPr="00826E46">
        <w:t xml:space="preserve"> timing of</w:t>
      </w:r>
      <w:r>
        <w:t> </w:t>
      </w:r>
      <w:r w:rsidRPr="00826E46">
        <w:t>funding accessed to settle payments to customers and other accrued obligations, which</w:t>
      </w:r>
      <w:r>
        <w:t> </w:t>
      </w:r>
      <w:r w:rsidRPr="00826E46">
        <w:t>occurred post</w:t>
      </w:r>
      <w:r>
        <w:t> </w:t>
      </w:r>
      <w:r w:rsidRPr="00826E46">
        <w:t xml:space="preserve">the published budget. </w:t>
      </w:r>
    </w:p>
    <w:p w14:paraId="389DDB15" w14:textId="77777777" w:rsidR="00B3222D" w:rsidRPr="00826E46" w:rsidRDefault="00B3222D" w:rsidP="00B3222D">
      <w:pPr>
        <w:pStyle w:val="Heading4"/>
      </w:pPr>
      <w:r w:rsidRPr="00826E46">
        <w:t>Cash flows</w:t>
      </w:r>
    </w:p>
    <w:p w14:paraId="1AEA8554" w14:textId="1E9D7137" w:rsidR="00B3222D" w:rsidRPr="00826E46" w:rsidRDefault="00B3222D" w:rsidP="00B3222D">
      <w:pPr>
        <w:pStyle w:val="ARBody"/>
      </w:pPr>
      <w:r w:rsidRPr="00826E46">
        <w:t>The overall cash position at the end of the 2025</w:t>
      </w:r>
      <w:r>
        <w:t>–</w:t>
      </w:r>
      <w:r w:rsidRPr="00826E46">
        <w:t>26</w:t>
      </w:r>
      <w:r>
        <w:t> </w:t>
      </w:r>
      <w:r w:rsidRPr="00826E46">
        <w:t>financial year is $24 million higher than</w:t>
      </w:r>
      <w:r>
        <w:t> </w:t>
      </w:r>
      <w:r w:rsidRPr="00826E46">
        <w:t>the</w:t>
      </w:r>
      <w:r>
        <w:t> </w:t>
      </w:r>
      <w:r w:rsidRPr="00826E46">
        <w:t>published budget, with the variance to</w:t>
      </w:r>
      <w:r>
        <w:t> </w:t>
      </w:r>
      <w:r w:rsidRPr="00826E46">
        <w:t>the</w:t>
      </w:r>
      <w:r>
        <w:t> </w:t>
      </w:r>
      <w:r w:rsidRPr="00826E46">
        <w:t>published</w:t>
      </w:r>
      <w:r>
        <w:t> </w:t>
      </w:r>
      <w:r w:rsidRPr="00826E46">
        <w:t>budget being due to timing of</w:t>
      </w:r>
      <w:r>
        <w:t> </w:t>
      </w:r>
      <w:r w:rsidRPr="00826E46">
        <w:t>receipts</w:t>
      </w:r>
      <w:r>
        <w:t> </w:t>
      </w:r>
      <w:r w:rsidRPr="00826E46">
        <w:t>and</w:t>
      </w:r>
      <w:r>
        <w:t> </w:t>
      </w:r>
      <w:r w:rsidRPr="00826E46">
        <w:t xml:space="preserve">payments. </w:t>
      </w:r>
    </w:p>
    <w:p w14:paraId="3209B30B" w14:textId="77777777" w:rsidR="00B3222D" w:rsidRDefault="00B3222D" w:rsidP="00B3222D">
      <w:pPr>
        <w:pStyle w:val="ARBody"/>
      </w:pPr>
      <w:r w:rsidRPr="00826E46">
        <w:t>Detailed financial results for the 2025</w:t>
      </w:r>
      <w:r>
        <w:t>–</w:t>
      </w:r>
      <w:r w:rsidRPr="00826E46">
        <w:t>26 portfolio</w:t>
      </w:r>
      <w:r>
        <w:t> </w:t>
      </w:r>
      <w:r w:rsidRPr="00826E46">
        <w:t>budget and actual results are included in following</w:t>
      </w:r>
      <w:r>
        <w:t> </w:t>
      </w:r>
      <w:r w:rsidRPr="00826E46">
        <w:t>statements.</w:t>
      </w:r>
    </w:p>
    <w:p w14:paraId="0DADAF13" w14:textId="77777777" w:rsidR="00B3222D" w:rsidRDefault="00B3222D" w:rsidP="00AF76B4">
      <w:pPr>
        <w:pStyle w:val="ARBody"/>
        <w:sectPr w:rsidR="00B3222D" w:rsidSect="00E7077C">
          <w:headerReference w:type="even" r:id="rId47"/>
          <w:headerReference w:type="default" r:id="rId48"/>
          <w:headerReference w:type="first" r:id="rId49"/>
          <w:type w:val="continuous"/>
          <w:pgSz w:w="11906" w:h="16838" w:code="9"/>
          <w:pgMar w:top="1588" w:right="1134" w:bottom="851" w:left="1134" w:header="680" w:footer="567" w:gutter="0"/>
          <w:cols w:space="340"/>
          <w:docGrid w:linePitch="360"/>
        </w:sectPr>
      </w:pPr>
    </w:p>
    <w:p w14:paraId="06B3F95C" w14:textId="77777777" w:rsidR="002E1FD9" w:rsidRPr="00F45F11" w:rsidRDefault="002E1FD9" w:rsidP="009D3437">
      <w:pPr>
        <w:pStyle w:val="Heading2"/>
        <w:spacing w:before="0"/>
      </w:pPr>
      <w:bookmarkStart w:id="108" w:name="RANGE!A1:E36"/>
      <w:bookmarkStart w:id="109" w:name="_Toc212039528"/>
      <w:bookmarkStart w:id="110" w:name="_Toc241131703"/>
      <w:bookmarkEnd w:id="108"/>
      <w:r w:rsidRPr="00F45F11">
        <w:t>Capital projects/asset investment programs</w:t>
      </w:r>
      <w:bookmarkEnd w:id="109"/>
      <w:bookmarkEnd w:id="110"/>
    </w:p>
    <w:p w14:paraId="4171E7DC" w14:textId="13BEF36C" w:rsidR="002E1FD9" w:rsidRPr="00F45F11" w:rsidRDefault="002E1FD9" w:rsidP="002E1FD9">
      <w:pPr>
        <w:pStyle w:val="ARbodybeforetable"/>
      </w:pPr>
      <w:r w:rsidRPr="00F45F11">
        <w:t xml:space="preserve">During the financial year ending 30 June 2026, the department </w:t>
      </w:r>
      <w:r w:rsidRPr="00F45F11">
        <w:rPr>
          <w:rStyle w:val="Strong"/>
        </w:rPr>
        <w:t>completed</w:t>
      </w:r>
      <w:r w:rsidRPr="00F45F11">
        <w:t xml:space="preserve"> capital projects with a total estimated investment (TEI) of $10 million or greater. The</w:t>
      </w:r>
      <w:r w:rsidR="00D056EA">
        <w:t> </w:t>
      </w:r>
      <w:r w:rsidRPr="00F45F11">
        <w:t>details related to these projects are reported below.</w:t>
      </w:r>
    </w:p>
    <w:tbl>
      <w:tblPr>
        <w:tblStyle w:val="ARtable1"/>
        <w:tblW w:w="5000" w:type="pct"/>
        <w:tblLook w:val="02E0" w:firstRow="1" w:lastRow="1" w:firstColumn="1" w:lastColumn="0" w:noHBand="1" w:noVBand="0"/>
      </w:tblPr>
      <w:tblGrid>
        <w:gridCol w:w="2473"/>
        <w:gridCol w:w="1285"/>
        <w:gridCol w:w="1285"/>
        <w:gridCol w:w="1285"/>
        <w:gridCol w:w="1285"/>
        <w:gridCol w:w="1285"/>
        <w:gridCol w:w="1285"/>
        <w:gridCol w:w="1285"/>
        <w:gridCol w:w="1284"/>
        <w:gridCol w:w="1808"/>
      </w:tblGrid>
      <w:tr w:rsidR="002E1FD9" w:rsidRPr="00F45F11" w14:paraId="0200E0E4" w14:textId="77777777" w:rsidTr="000069AD">
        <w:trPr>
          <w:cnfStyle w:val="100000000000" w:firstRow="1" w:lastRow="0" w:firstColumn="0" w:lastColumn="0" w:oddVBand="0" w:evenVBand="0" w:oddHBand="0" w:evenHBand="0" w:firstRowFirstColumn="0" w:firstRowLastColumn="0" w:lastRowFirstColumn="0" w:lastRowLastColumn="0"/>
        </w:trPr>
        <w:tc>
          <w:tcPr>
            <w:tcW w:w="849" w:type="pct"/>
            <w:hideMark/>
          </w:tcPr>
          <w:p w14:paraId="49D8A78E" w14:textId="77777777" w:rsidR="002E1FD9" w:rsidRPr="00F45F11" w:rsidRDefault="002E1FD9" w:rsidP="002E1FD9">
            <w:pPr>
              <w:pStyle w:val="ARtablecolhead"/>
            </w:pPr>
            <w:r w:rsidRPr="00F45F11">
              <w:t>Project name</w:t>
            </w:r>
          </w:p>
        </w:tc>
        <w:tc>
          <w:tcPr>
            <w:cnfStyle w:val="000001000000" w:firstRow="0" w:lastRow="0" w:firstColumn="0" w:lastColumn="0" w:oddVBand="0" w:evenVBand="1" w:oddHBand="0" w:evenHBand="0" w:firstRowFirstColumn="0" w:firstRowLastColumn="0" w:lastRowFirstColumn="0" w:lastRowLastColumn="0"/>
            <w:tcW w:w="441" w:type="pct"/>
            <w:tcMar>
              <w:right w:w="0" w:type="nil"/>
            </w:tcMar>
            <w:hideMark/>
          </w:tcPr>
          <w:p w14:paraId="17A0DB1D" w14:textId="77777777" w:rsidR="002E1FD9" w:rsidRPr="00F45F11" w:rsidRDefault="002E1FD9" w:rsidP="003F6D54">
            <w:pPr>
              <w:pStyle w:val="ARtablecolheadright"/>
              <w:jc w:val="left"/>
            </w:pPr>
            <w:r w:rsidRPr="00F45F11">
              <w:t>Original completion date</w:t>
            </w:r>
          </w:p>
        </w:tc>
        <w:tc>
          <w:tcPr>
            <w:tcW w:w="441" w:type="pct"/>
            <w:tcMar>
              <w:right w:w="0" w:type="nil"/>
            </w:tcMar>
            <w:hideMark/>
          </w:tcPr>
          <w:p w14:paraId="1102A9ED" w14:textId="77777777" w:rsidR="002E1FD9" w:rsidRPr="00F45F11" w:rsidRDefault="002E1FD9" w:rsidP="003F6D54">
            <w:pPr>
              <w:pStyle w:val="ARtablecolheadright"/>
              <w:jc w:val="left"/>
              <w:cnfStyle w:val="100000000000" w:firstRow="1" w:lastRow="0" w:firstColumn="0" w:lastColumn="0" w:oddVBand="0" w:evenVBand="0" w:oddHBand="0" w:evenHBand="0" w:firstRowFirstColumn="0" w:firstRowLastColumn="0" w:lastRowFirstColumn="0" w:lastRowLastColumn="0"/>
            </w:pPr>
            <w:r w:rsidRPr="00F45F11">
              <w:t>Latest approved completion date</w:t>
            </w:r>
          </w:p>
        </w:tc>
        <w:tc>
          <w:tcPr>
            <w:cnfStyle w:val="000001000000" w:firstRow="0" w:lastRow="0" w:firstColumn="0" w:lastColumn="0" w:oddVBand="0" w:evenVBand="1" w:oddHBand="0" w:evenHBand="0" w:firstRowFirstColumn="0" w:firstRowLastColumn="0" w:lastRowFirstColumn="0" w:lastRowLastColumn="0"/>
            <w:tcW w:w="441" w:type="pct"/>
            <w:tcMar>
              <w:right w:w="0" w:type="nil"/>
            </w:tcMar>
            <w:hideMark/>
          </w:tcPr>
          <w:p w14:paraId="2E3D9A07" w14:textId="77777777" w:rsidR="002E1FD9" w:rsidRPr="00F45F11" w:rsidRDefault="002E1FD9" w:rsidP="003F6D54">
            <w:pPr>
              <w:pStyle w:val="ARtablecolheadright"/>
              <w:jc w:val="left"/>
            </w:pPr>
            <w:r w:rsidRPr="00F45F11">
              <w:t>Practical completion date</w:t>
            </w:r>
          </w:p>
        </w:tc>
        <w:tc>
          <w:tcPr>
            <w:tcW w:w="441" w:type="pct"/>
            <w:tcMar>
              <w:right w:w="0" w:type="nil"/>
            </w:tcMar>
            <w:hideMark/>
          </w:tcPr>
          <w:p w14:paraId="0C4AC97A" w14:textId="77777777" w:rsidR="002E1FD9" w:rsidRPr="00F45F11" w:rsidRDefault="002E1FD9" w:rsidP="003F6D54">
            <w:pPr>
              <w:pStyle w:val="ARtablecolheadright"/>
              <w:jc w:val="left"/>
              <w:cnfStyle w:val="100000000000" w:firstRow="1" w:lastRow="0" w:firstColumn="0" w:lastColumn="0" w:oddVBand="0" w:evenVBand="0" w:oddHBand="0" w:evenHBand="0" w:firstRowFirstColumn="0" w:firstRowLastColumn="0" w:lastRowFirstColumn="0" w:lastRowLastColumn="0"/>
            </w:pPr>
            <w:r w:rsidRPr="00F45F11">
              <w:t>Reason for variance in completion dates</w:t>
            </w:r>
          </w:p>
        </w:tc>
        <w:tc>
          <w:tcPr>
            <w:cnfStyle w:val="000001000000" w:firstRow="0" w:lastRow="0" w:firstColumn="0" w:lastColumn="0" w:oddVBand="0" w:evenVBand="1" w:oddHBand="0" w:evenHBand="0" w:firstRowFirstColumn="0" w:firstRowLastColumn="0" w:lastRowFirstColumn="0" w:lastRowLastColumn="0"/>
            <w:tcW w:w="441" w:type="pct"/>
            <w:tcMar>
              <w:right w:w="0" w:type="nil"/>
            </w:tcMar>
            <w:hideMark/>
          </w:tcPr>
          <w:p w14:paraId="2C1FF303" w14:textId="77777777" w:rsidR="002E1FD9" w:rsidRPr="00F45F11" w:rsidRDefault="002E1FD9" w:rsidP="002E1FD9">
            <w:pPr>
              <w:pStyle w:val="ARtablecolheadright"/>
            </w:pPr>
            <w:r w:rsidRPr="00F45F11">
              <w:t xml:space="preserve">Original approved </w:t>
            </w:r>
            <w:r w:rsidRPr="00F45F11">
              <w:br/>
              <w:t>TEI budget</w:t>
            </w:r>
          </w:p>
          <w:p w14:paraId="60BA7B93" w14:textId="77777777" w:rsidR="002E1FD9" w:rsidRPr="00F45F11" w:rsidRDefault="002E1FD9" w:rsidP="002E1FD9">
            <w:pPr>
              <w:pStyle w:val="ARtablecolheadright"/>
            </w:pPr>
            <w:r w:rsidRPr="00F45F11">
              <w:t>($m)</w:t>
            </w:r>
          </w:p>
        </w:tc>
        <w:tc>
          <w:tcPr>
            <w:tcW w:w="441" w:type="pct"/>
            <w:tcMar>
              <w:right w:w="0" w:type="nil"/>
            </w:tcMar>
            <w:hideMark/>
          </w:tcPr>
          <w:p w14:paraId="6D23AD29" w14:textId="77777777" w:rsidR="002E1FD9" w:rsidRPr="00F45F11" w:rsidRDefault="002E1FD9" w:rsidP="002E1FD9">
            <w:pPr>
              <w:pStyle w:val="ARtablecolheadright"/>
              <w:cnfStyle w:val="100000000000" w:firstRow="1" w:lastRow="0" w:firstColumn="0" w:lastColumn="0" w:oddVBand="0" w:evenVBand="0" w:oddHBand="0" w:evenHBand="0" w:firstRowFirstColumn="0" w:firstRowLastColumn="0" w:lastRowFirstColumn="0" w:lastRowLastColumn="0"/>
            </w:pPr>
            <w:r w:rsidRPr="00F45F11">
              <w:t>Latest approved TEI budget</w:t>
            </w:r>
          </w:p>
          <w:p w14:paraId="0CB6FA47" w14:textId="77777777" w:rsidR="002E1FD9" w:rsidRPr="00F45F11" w:rsidRDefault="002E1FD9" w:rsidP="002E1FD9">
            <w:pPr>
              <w:pStyle w:val="ARtablecolheadright"/>
              <w:cnfStyle w:val="100000000000" w:firstRow="1" w:lastRow="0" w:firstColumn="0" w:lastColumn="0" w:oddVBand="0" w:evenVBand="0" w:oddHBand="0" w:evenHBand="0" w:firstRowFirstColumn="0" w:firstRowLastColumn="0" w:lastRowFirstColumn="0" w:lastRowLastColumn="0"/>
            </w:pPr>
            <w:r w:rsidRPr="00F45F11">
              <w:t>($m)</w:t>
            </w:r>
          </w:p>
        </w:tc>
        <w:tc>
          <w:tcPr>
            <w:cnfStyle w:val="000001000000" w:firstRow="0" w:lastRow="0" w:firstColumn="0" w:lastColumn="0" w:oddVBand="0" w:evenVBand="1" w:oddHBand="0" w:evenHBand="0" w:firstRowFirstColumn="0" w:firstRowLastColumn="0" w:lastRowFirstColumn="0" w:lastRowLastColumn="0"/>
            <w:tcW w:w="441" w:type="pct"/>
            <w:tcMar>
              <w:right w:w="0" w:type="nil"/>
            </w:tcMar>
            <w:hideMark/>
          </w:tcPr>
          <w:p w14:paraId="62AC3D59" w14:textId="77777777" w:rsidR="002E1FD9" w:rsidRPr="00F45F11" w:rsidRDefault="002E1FD9" w:rsidP="002E1FD9">
            <w:pPr>
              <w:pStyle w:val="ARtablecolheadright"/>
            </w:pPr>
            <w:r w:rsidRPr="00F45F11">
              <w:t>Actual TEI cost</w:t>
            </w:r>
          </w:p>
          <w:p w14:paraId="04BA6B15" w14:textId="77777777" w:rsidR="002E1FD9" w:rsidRPr="00F45F11" w:rsidRDefault="002E1FD9" w:rsidP="002E1FD9">
            <w:pPr>
              <w:pStyle w:val="ARtablecolheadright"/>
            </w:pPr>
            <w:r w:rsidRPr="00F45F11">
              <w:t>($m)</w:t>
            </w:r>
          </w:p>
        </w:tc>
        <w:tc>
          <w:tcPr>
            <w:tcW w:w="441" w:type="pct"/>
            <w:tcMar>
              <w:right w:w="0" w:type="nil"/>
            </w:tcMar>
            <w:hideMark/>
          </w:tcPr>
          <w:p w14:paraId="7EAABFBE" w14:textId="77777777" w:rsidR="002E1FD9" w:rsidRPr="00F45F11" w:rsidRDefault="002E1FD9" w:rsidP="002E1FD9">
            <w:pPr>
              <w:pStyle w:val="ARtablecolheadright"/>
              <w:cnfStyle w:val="100000000000" w:firstRow="1" w:lastRow="0" w:firstColumn="0" w:lastColumn="0" w:oddVBand="0" w:evenVBand="0" w:oddHBand="0" w:evenHBand="0" w:firstRowFirstColumn="0" w:firstRowLastColumn="0" w:lastRowFirstColumn="0" w:lastRowLastColumn="0"/>
            </w:pPr>
            <w:r w:rsidRPr="00F45F11">
              <w:t>Variation between actual cost and latest approved TEI budget</w:t>
            </w:r>
          </w:p>
          <w:p w14:paraId="778AE849" w14:textId="77777777" w:rsidR="002E1FD9" w:rsidRPr="00F45F11" w:rsidRDefault="002E1FD9" w:rsidP="002E1FD9">
            <w:pPr>
              <w:pStyle w:val="ARtablecolheadright"/>
              <w:cnfStyle w:val="100000000000" w:firstRow="1" w:lastRow="0" w:firstColumn="0" w:lastColumn="0" w:oddVBand="0" w:evenVBand="0" w:oddHBand="0" w:evenHBand="0" w:firstRowFirstColumn="0" w:firstRowLastColumn="0" w:lastRowFirstColumn="0" w:lastRowLastColumn="0"/>
            </w:pPr>
            <w:r w:rsidRPr="00F45F11">
              <w:t>($m)</w:t>
            </w:r>
          </w:p>
        </w:tc>
        <w:tc>
          <w:tcPr>
            <w:cnfStyle w:val="000001000000" w:firstRow="0" w:lastRow="0" w:firstColumn="0" w:lastColumn="0" w:oddVBand="0" w:evenVBand="1" w:oddHBand="0" w:evenHBand="0" w:firstRowFirstColumn="0" w:firstRowLastColumn="0" w:lastRowFirstColumn="0" w:lastRowLastColumn="0"/>
            <w:tcW w:w="621" w:type="pct"/>
            <w:tcMar>
              <w:right w:w="0" w:type="nil"/>
            </w:tcMar>
            <w:hideMark/>
          </w:tcPr>
          <w:p w14:paraId="26FE39EC" w14:textId="77777777" w:rsidR="002E1FD9" w:rsidRPr="00F45F11" w:rsidRDefault="002E1FD9" w:rsidP="002E1FD9">
            <w:pPr>
              <w:pStyle w:val="ARtablecolheadright"/>
            </w:pPr>
            <w:r w:rsidRPr="00F45F11">
              <w:t>Reason for variance from latest approved TEI budget</w:t>
            </w:r>
          </w:p>
        </w:tc>
      </w:tr>
      <w:tr w:rsidR="002E1FD9" w:rsidRPr="00F45F11" w14:paraId="77BBCC44" w14:textId="77777777" w:rsidTr="000069AD">
        <w:trPr>
          <w:cnfStyle w:val="010000000000" w:firstRow="0" w:lastRow="1" w:firstColumn="0" w:lastColumn="0" w:oddVBand="0" w:evenVBand="0" w:oddHBand="0" w:evenHBand="0" w:firstRowFirstColumn="0" w:firstRowLastColumn="0" w:lastRowFirstColumn="0" w:lastRowLastColumn="0"/>
          <w:trHeight w:val="300"/>
        </w:trPr>
        <w:tc>
          <w:tcPr>
            <w:tcW w:w="849" w:type="pct"/>
          </w:tcPr>
          <w:p w14:paraId="76C0293F" w14:textId="77777777" w:rsidR="002E1FD9" w:rsidRPr="00F45F11" w:rsidRDefault="002E1FD9" w:rsidP="00F33AE5">
            <w:pPr>
              <w:pStyle w:val="ARTabletext"/>
            </w:pPr>
            <w:r w:rsidRPr="00F45F11">
              <w:t>High-rise fire upgrade program (statewide)</w:t>
            </w:r>
          </w:p>
        </w:tc>
        <w:tc>
          <w:tcPr>
            <w:cnfStyle w:val="000001000000" w:firstRow="0" w:lastRow="0" w:firstColumn="0" w:lastColumn="0" w:oddVBand="0" w:evenVBand="1" w:oddHBand="0" w:evenHBand="0" w:firstRowFirstColumn="0" w:firstRowLastColumn="0" w:lastRowFirstColumn="0" w:lastRowLastColumn="0"/>
            <w:tcW w:w="441" w:type="pct"/>
            <w:tcMar>
              <w:right w:w="0" w:type="nil"/>
            </w:tcMar>
          </w:tcPr>
          <w:p w14:paraId="77ACE9D7" w14:textId="6AC1A383" w:rsidR="002E1FD9" w:rsidRPr="00F45F11" w:rsidRDefault="002E1FD9" w:rsidP="003F6D54">
            <w:pPr>
              <w:pStyle w:val="ARfintabletextright"/>
              <w:jc w:val="left"/>
            </w:pPr>
            <w:proofErr w:type="spellStart"/>
            <w:r w:rsidRPr="00F45F11">
              <w:t>qtr</w:t>
            </w:r>
            <w:proofErr w:type="spellEnd"/>
            <w:r w:rsidRPr="00F45F11">
              <w:t xml:space="preserve"> 4 </w:t>
            </w:r>
            <w:r w:rsidR="00F33AE5" w:rsidRPr="00F45F11">
              <w:br/>
            </w:r>
            <w:r w:rsidRPr="00F45F11">
              <w:t>2025</w:t>
            </w:r>
            <w:r w:rsidR="00E7341C" w:rsidRPr="00F45F11">
              <w:t>–</w:t>
            </w:r>
            <w:r w:rsidRPr="00F45F11">
              <w:t>26</w:t>
            </w:r>
          </w:p>
        </w:tc>
        <w:tc>
          <w:tcPr>
            <w:tcW w:w="441" w:type="pct"/>
            <w:tcMar>
              <w:right w:w="0" w:type="nil"/>
            </w:tcMar>
          </w:tcPr>
          <w:p w14:paraId="3F93D272" w14:textId="21AADBB7" w:rsidR="002E1FD9" w:rsidRPr="00F45F11" w:rsidRDefault="002E1FD9" w:rsidP="003F6D54">
            <w:pPr>
              <w:pStyle w:val="ARfintabletextright"/>
              <w:jc w:val="left"/>
              <w:cnfStyle w:val="010000000000" w:firstRow="0" w:lastRow="1" w:firstColumn="0" w:lastColumn="0" w:oddVBand="0" w:evenVBand="0" w:oddHBand="0" w:evenHBand="0" w:firstRowFirstColumn="0" w:firstRowLastColumn="0" w:lastRowFirstColumn="0" w:lastRowLastColumn="0"/>
            </w:pPr>
            <w:proofErr w:type="spellStart"/>
            <w:r w:rsidRPr="00F45F11">
              <w:t>qtr</w:t>
            </w:r>
            <w:proofErr w:type="spellEnd"/>
            <w:r w:rsidRPr="00F45F11">
              <w:t xml:space="preserve"> 4</w:t>
            </w:r>
            <w:r w:rsidR="00F33AE5" w:rsidRPr="00F45F11">
              <w:br/>
            </w:r>
            <w:r w:rsidRPr="00F45F11">
              <w:t xml:space="preserve"> 2025</w:t>
            </w:r>
            <w:r w:rsidR="00E7341C" w:rsidRPr="00F45F11">
              <w:t>–</w:t>
            </w:r>
            <w:r w:rsidRPr="00F45F11">
              <w:t>26</w:t>
            </w:r>
          </w:p>
        </w:tc>
        <w:tc>
          <w:tcPr>
            <w:cnfStyle w:val="000001000000" w:firstRow="0" w:lastRow="0" w:firstColumn="0" w:lastColumn="0" w:oddVBand="0" w:evenVBand="1" w:oddHBand="0" w:evenHBand="0" w:firstRowFirstColumn="0" w:firstRowLastColumn="0" w:lastRowFirstColumn="0" w:lastRowLastColumn="0"/>
            <w:tcW w:w="441" w:type="pct"/>
            <w:tcMar>
              <w:right w:w="0" w:type="nil"/>
            </w:tcMar>
          </w:tcPr>
          <w:p w14:paraId="24FD2446" w14:textId="77777777" w:rsidR="002E1FD9" w:rsidRPr="00F45F11" w:rsidRDefault="002E1FD9" w:rsidP="003F6D54">
            <w:pPr>
              <w:pStyle w:val="ARfintabletextright"/>
              <w:jc w:val="left"/>
            </w:pPr>
            <w:r w:rsidRPr="00F45F11">
              <w:t>June 2026</w:t>
            </w:r>
          </w:p>
        </w:tc>
        <w:tc>
          <w:tcPr>
            <w:tcW w:w="441" w:type="pct"/>
            <w:tcMar>
              <w:right w:w="0" w:type="nil"/>
            </w:tcMar>
          </w:tcPr>
          <w:p w14:paraId="1E656880" w14:textId="6668DA8F" w:rsidR="002E1FD9" w:rsidRPr="00F45F11" w:rsidRDefault="00E7341C" w:rsidP="003F6D54">
            <w:pPr>
              <w:pStyle w:val="ARfintabletextright"/>
              <w:jc w:val="left"/>
              <w:cnfStyle w:val="010000000000" w:firstRow="0" w:lastRow="1" w:firstColumn="0" w:lastColumn="0" w:oddVBand="0" w:evenVBand="0" w:oddHBand="0" w:evenHBand="0" w:firstRowFirstColumn="0" w:firstRowLastColumn="0" w:lastRowFirstColumn="0" w:lastRowLastColumn="0"/>
            </w:pPr>
            <w:r w:rsidRPr="00F45F11">
              <w:t>–</w:t>
            </w:r>
          </w:p>
        </w:tc>
        <w:tc>
          <w:tcPr>
            <w:cnfStyle w:val="000001000000" w:firstRow="0" w:lastRow="0" w:firstColumn="0" w:lastColumn="0" w:oddVBand="0" w:evenVBand="1" w:oddHBand="0" w:evenHBand="0" w:firstRowFirstColumn="0" w:firstRowLastColumn="0" w:lastRowFirstColumn="0" w:lastRowLastColumn="0"/>
            <w:tcW w:w="441" w:type="pct"/>
            <w:tcMar>
              <w:right w:w="0" w:type="nil"/>
            </w:tcMar>
          </w:tcPr>
          <w:p w14:paraId="3366AC86" w14:textId="77777777" w:rsidR="002E1FD9" w:rsidRPr="00F45F11" w:rsidRDefault="002E1FD9" w:rsidP="006B2225">
            <w:pPr>
              <w:pStyle w:val="ARfintabletextright"/>
            </w:pPr>
            <w:r w:rsidRPr="00F45F11">
              <w:t>22.091</w:t>
            </w:r>
          </w:p>
        </w:tc>
        <w:tc>
          <w:tcPr>
            <w:tcW w:w="441" w:type="pct"/>
            <w:tcMar>
              <w:right w:w="0" w:type="nil"/>
            </w:tcMar>
          </w:tcPr>
          <w:p w14:paraId="04F56919" w14:textId="77777777" w:rsidR="002E1FD9" w:rsidRPr="00F45F11" w:rsidRDefault="002E1FD9" w:rsidP="006B2225">
            <w:pPr>
              <w:pStyle w:val="ARfintabletextright"/>
              <w:cnfStyle w:val="010000000000" w:firstRow="0" w:lastRow="1" w:firstColumn="0" w:lastColumn="0" w:oddVBand="0" w:evenVBand="0" w:oddHBand="0" w:evenHBand="0" w:firstRowFirstColumn="0" w:firstRowLastColumn="0" w:lastRowFirstColumn="0" w:lastRowLastColumn="0"/>
            </w:pPr>
            <w:r w:rsidRPr="00F45F11">
              <w:t>22.091</w:t>
            </w:r>
          </w:p>
        </w:tc>
        <w:tc>
          <w:tcPr>
            <w:cnfStyle w:val="000001000000" w:firstRow="0" w:lastRow="0" w:firstColumn="0" w:lastColumn="0" w:oddVBand="0" w:evenVBand="1" w:oddHBand="0" w:evenHBand="0" w:firstRowFirstColumn="0" w:firstRowLastColumn="0" w:lastRowFirstColumn="0" w:lastRowLastColumn="0"/>
            <w:tcW w:w="441" w:type="pct"/>
            <w:tcMar>
              <w:right w:w="0" w:type="nil"/>
            </w:tcMar>
          </w:tcPr>
          <w:p w14:paraId="55CDA472" w14:textId="77777777" w:rsidR="002E1FD9" w:rsidRPr="00F45F11" w:rsidRDefault="002E1FD9" w:rsidP="006B2225">
            <w:pPr>
              <w:pStyle w:val="ARfintabletextright"/>
            </w:pPr>
            <w:r w:rsidRPr="00F45F11">
              <w:t>16.983</w:t>
            </w:r>
          </w:p>
        </w:tc>
        <w:tc>
          <w:tcPr>
            <w:tcW w:w="441" w:type="pct"/>
            <w:tcMar>
              <w:right w:w="0" w:type="nil"/>
            </w:tcMar>
          </w:tcPr>
          <w:p w14:paraId="4D2A8460" w14:textId="77777777" w:rsidR="002E1FD9" w:rsidRPr="00F45F11" w:rsidRDefault="002E1FD9" w:rsidP="006B2225">
            <w:pPr>
              <w:pStyle w:val="ARfintabletextright"/>
              <w:cnfStyle w:val="010000000000" w:firstRow="0" w:lastRow="1" w:firstColumn="0" w:lastColumn="0" w:oddVBand="0" w:evenVBand="0" w:oddHBand="0" w:evenHBand="0" w:firstRowFirstColumn="0" w:firstRowLastColumn="0" w:lastRowFirstColumn="0" w:lastRowLastColumn="0"/>
            </w:pPr>
            <w:r w:rsidRPr="00F45F11">
              <w:t>5.108</w:t>
            </w:r>
          </w:p>
        </w:tc>
        <w:tc>
          <w:tcPr>
            <w:cnfStyle w:val="000001000000" w:firstRow="0" w:lastRow="0" w:firstColumn="0" w:lastColumn="0" w:oddVBand="0" w:evenVBand="1" w:oddHBand="0" w:evenHBand="0" w:firstRowFirstColumn="0" w:firstRowLastColumn="0" w:lastRowFirstColumn="0" w:lastRowLastColumn="0"/>
            <w:tcW w:w="621" w:type="pct"/>
            <w:tcMar>
              <w:right w:w="0" w:type="nil"/>
            </w:tcMar>
          </w:tcPr>
          <w:p w14:paraId="73254458" w14:textId="77777777" w:rsidR="002E1FD9" w:rsidRPr="00F45F11" w:rsidRDefault="002E1FD9" w:rsidP="006B2225">
            <w:pPr>
              <w:pStyle w:val="ARfintabletextright"/>
            </w:pPr>
            <w:r w:rsidRPr="00F45F11">
              <w:t xml:space="preserve">Savings reflect revised scope as part of the </w:t>
            </w:r>
            <w:proofErr w:type="gramStart"/>
            <w:r w:rsidRPr="00F45F11">
              <w:t>High Rise</w:t>
            </w:r>
            <w:proofErr w:type="gramEnd"/>
            <w:r w:rsidRPr="00F45F11">
              <w:t xml:space="preserve"> Redevelopment Program </w:t>
            </w:r>
          </w:p>
        </w:tc>
      </w:tr>
    </w:tbl>
    <w:p w14:paraId="7A9846E8" w14:textId="77777777" w:rsidR="002E1FD9" w:rsidRPr="00F45F11" w:rsidRDefault="002E1FD9" w:rsidP="00434684">
      <w:pPr>
        <w:pStyle w:val="ARBody"/>
      </w:pPr>
    </w:p>
    <w:p w14:paraId="1FD639B7" w14:textId="77777777" w:rsidR="002E1FD9" w:rsidRPr="00F45F11" w:rsidRDefault="002E1FD9" w:rsidP="002E1FD9">
      <w:pPr>
        <w:pStyle w:val="ARBody"/>
        <w:sectPr w:rsidR="002E1FD9" w:rsidRPr="00F45F11" w:rsidSect="00E7077C">
          <w:pgSz w:w="16838" w:h="11906" w:orient="landscape" w:code="9"/>
          <w:pgMar w:top="1588" w:right="1134" w:bottom="851" w:left="1134" w:header="680" w:footer="567" w:gutter="0"/>
          <w:cols w:space="340"/>
          <w:docGrid w:linePitch="360"/>
        </w:sectPr>
      </w:pPr>
    </w:p>
    <w:p w14:paraId="07D55A15" w14:textId="41A98D4D" w:rsidR="00641545" w:rsidRDefault="004C20E2" w:rsidP="00641545">
      <w:pPr>
        <w:pStyle w:val="Heading1"/>
        <w:spacing w:before="0"/>
      </w:pPr>
      <w:bookmarkStart w:id="111" w:name="_Section_3:_Our_1"/>
      <w:bookmarkStart w:id="112" w:name="_Toc241131704"/>
      <w:bookmarkEnd w:id="111"/>
      <w:r w:rsidRPr="00F45F11">
        <w:t>Section 3:</w:t>
      </w:r>
      <w:r w:rsidR="003656BC" w:rsidRPr="00F45F11">
        <w:t xml:space="preserve"> Our workforce</w:t>
      </w:r>
      <w:bookmarkEnd w:id="112"/>
    </w:p>
    <w:p w14:paraId="314B1974" w14:textId="291C40DF" w:rsidR="00641545" w:rsidRPr="00641545" w:rsidRDefault="000227CB" w:rsidP="00641545">
      <w:pPr>
        <w:pStyle w:val="Heading2"/>
        <w:rPr>
          <w:rFonts w:eastAsia="Times"/>
        </w:rPr>
      </w:pPr>
      <w:bookmarkStart w:id="113" w:name="_Public_sector_values"/>
      <w:bookmarkStart w:id="114" w:name="_Toc82006197"/>
      <w:bookmarkStart w:id="115" w:name="_Ref111130064"/>
      <w:bookmarkStart w:id="116" w:name="_Ref111194709"/>
      <w:bookmarkStart w:id="117" w:name="_Toc212039530"/>
      <w:bookmarkStart w:id="118" w:name="_Ref178175981"/>
      <w:bookmarkStart w:id="119" w:name="_Toc114491197"/>
      <w:bookmarkStart w:id="120" w:name="_Toc241131705"/>
      <w:bookmarkEnd w:id="113"/>
      <w:r w:rsidRPr="00F45F11">
        <w:rPr>
          <w:rFonts w:eastAsia="Times"/>
        </w:rPr>
        <w:t>Public sector values and employment principles</w:t>
      </w:r>
      <w:bookmarkEnd w:id="114"/>
      <w:bookmarkEnd w:id="115"/>
      <w:bookmarkEnd w:id="116"/>
      <w:bookmarkEnd w:id="117"/>
      <w:bookmarkEnd w:id="118"/>
      <w:bookmarkEnd w:id="119"/>
      <w:bookmarkEnd w:id="120"/>
    </w:p>
    <w:p w14:paraId="749B7A79" w14:textId="095F2419" w:rsidR="000227CB" w:rsidRPr="00F45F11" w:rsidRDefault="000227CB" w:rsidP="000227CB">
      <w:pPr>
        <w:pStyle w:val="ARBody"/>
      </w:pPr>
      <w:r w:rsidRPr="00F45F11">
        <w:t xml:space="preserve">The </w:t>
      </w:r>
      <w:bookmarkStart w:id="121" w:name="PAA77"/>
      <w:r w:rsidRPr="00A124D1">
        <w:rPr>
          <w:rStyle w:val="Emphasis"/>
        </w:rPr>
        <w:t>Public Administration Act 2004</w:t>
      </w:r>
      <w:bookmarkEnd w:id="121"/>
      <w:r w:rsidRPr="00F45F11">
        <w:t xml:space="preserve"> sets out the values and employment principles that apply</w:t>
      </w:r>
      <w:r w:rsidR="00A34E32" w:rsidRPr="00F45F11">
        <w:t> </w:t>
      </w:r>
      <w:r w:rsidRPr="00F45F11">
        <w:t>to the Victorian public sector.</w:t>
      </w:r>
    </w:p>
    <w:p w14:paraId="0BB66434" w14:textId="55DED2AA" w:rsidR="000227CB" w:rsidRPr="00F45F11" w:rsidRDefault="000227CB" w:rsidP="000227CB">
      <w:pPr>
        <w:pStyle w:val="ARBody"/>
      </w:pPr>
      <w:r w:rsidRPr="00F45F11">
        <w:t>This includes the values of responsiveness, integrity, impartiality, accountability, respect, leadership and human rights. These values underpin our work with colleagues, clients and</w:t>
      </w:r>
      <w:r w:rsidR="00A34E32" w:rsidRPr="00F45F11">
        <w:t> </w:t>
      </w:r>
      <w:r w:rsidRPr="00F45F11">
        <w:t>in the community.</w:t>
      </w:r>
    </w:p>
    <w:p w14:paraId="6F2ED643" w14:textId="247916C8" w:rsidR="000227CB" w:rsidRPr="00F45F11" w:rsidRDefault="000227CB" w:rsidP="000227CB">
      <w:pPr>
        <w:pStyle w:val="ARBody"/>
      </w:pPr>
      <w:r w:rsidRPr="00F45F11">
        <w:t>The values define what is important to our organisation and how we do things. They also flow</w:t>
      </w:r>
      <w:r w:rsidR="00A34E32" w:rsidRPr="00F45F11">
        <w:t> </w:t>
      </w:r>
      <w:r w:rsidRPr="00F45F11">
        <w:t>through our governance arrangements. Our</w:t>
      </w:r>
      <w:r w:rsidR="00A354CC" w:rsidRPr="00F45F11">
        <w:t> </w:t>
      </w:r>
      <w:r w:rsidRPr="00F45F11">
        <w:t>values ensure we make decisions based on</w:t>
      </w:r>
      <w:r w:rsidR="00A354CC" w:rsidRPr="00F45F11">
        <w:t> </w:t>
      </w:r>
      <w:r w:rsidRPr="00F45F11">
        <w:t>sound judgements.</w:t>
      </w:r>
    </w:p>
    <w:p w14:paraId="72DEAB18" w14:textId="77777777" w:rsidR="000227CB" w:rsidRPr="00F45F11" w:rsidRDefault="000227CB" w:rsidP="000227CB">
      <w:pPr>
        <w:pStyle w:val="ARBody"/>
      </w:pPr>
      <w:r w:rsidRPr="00F45F11">
        <w:t>We embed the values throughout the department.</w:t>
      </w:r>
    </w:p>
    <w:p w14:paraId="6356A124" w14:textId="77777777" w:rsidR="000227CB" w:rsidRPr="00F45F11" w:rsidRDefault="000227CB" w:rsidP="000227CB">
      <w:pPr>
        <w:pStyle w:val="ARBody"/>
      </w:pPr>
      <w:r w:rsidRPr="00F45F11">
        <w:t xml:space="preserve">They inform: </w:t>
      </w:r>
    </w:p>
    <w:p w14:paraId="0D70D1CD" w14:textId="0FDF5A0B" w:rsidR="000227CB" w:rsidRPr="00F45F11" w:rsidRDefault="000227CB" w:rsidP="00F15878">
      <w:pPr>
        <w:pStyle w:val="ARBullet1"/>
      </w:pPr>
      <w:r w:rsidRPr="00F45F11">
        <w:t>our response to the annual People Matter Survey</w:t>
      </w:r>
      <w:r w:rsidR="00A34E32" w:rsidRPr="00F45F11">
        <w:t> </w:t>
      </w:r>
      <w:r w:rsidRPr="00F45F11">
        <w:t>results</w:t>
      </w:r>
    </w:p>
    <w:p w14:paraId="3C2D5248" w14:textId="77777777" w:rsidR="000227CB" w:rsidRPr="00F45F11" w:rsidRDefault="000227CB" w:rsidP="00F15878">
      <w:pPr>
        <w:pStyle w:val="ARBullet1"/>
      </w:pPr>
      <w:r w:rsidRPr="00F45F11">
        <w:t>performance and development planning</w:t>
      </w:r>
    </w:p>
    <w:p w14:paraId="31BA5F76" w14:textId="77777777" w:rsidR="000227CB" w:rsidRPr="00F45F11" w:rsidRDefault="000227CB" w:rsidP="00F15878">
      <w:pPr>
        <w:pStyle w:val="ARBullet1"/>
      </w:pPr>
      <w:r w:rsidRPr="00F45F11">
        <w:t>learning and development programs</w:t>
      </w:r>
    </w:p>
    <w:p w14:paraId="55ECFA66" w14:textId="3CC6C7D5" w:rsidR="000227CB" w:rsidRPr="00F45F11" w:rsidRDefault="000227CB" w:rsidP="00F15878">
      <w:pPr>
        <w:pStyle w:val="ARBullet1"/>
      </w:pPr>
      <w:r w:rsidRPr="00F45F11">
        <w:t>how we resolve workplace issues.</w:t>
      </w:r>
    </w:p>
    <w:p w14:paraId="7F4EEE4C" w14:textId="13F60023" w:rsidR="000227CB" w:rsidRPr="00F45F11" w:rsidRDefault="000227CB" w:rsidP="000227CB">
      <w:pPr>
        <w:pStyle w:val="ARBodyafterbullets"/>
      </w:pPr>
      <w:r w:rsidRPr="00F45F11">
        <w:t>We also advise our employees on matters of ethics and integrity. This includes how to avoid conflicts of</w:t>
      </w:r>
      <w:r w:rsidR="00A34E32" w:rsidRPr="00F45F11">
        <w:t> </w:t>
      </w:r>
      <w:r w:rsidRPr="00F45F11">
        <w:t>interest and how to respond to offers of gifts.</w:t>
      </w:r>
    </w:p>
    <w:p w14:paraId="1218D23F" w14:textId="77777777" w:rsidR="000227CB" w:rsidRPr="00F45F11" w:rsidRDefault="000227CB" w:rsidP="000227CB">
      <w:pPr>
        <w:pStyle w:val="ARBody"/>
      </w:pPr>
      <w:r w:rsidRPr="00F45F11">
        <w:t>The department’s policies and practices are consistent with Victorian public sector employment principles and standards. We apply merit and equity principles to all employment policies, programs and resources. We provide fair treatment and career opportunities for all our staff.</w:t>
      </w:r>
    </w:p>
    <w:p w14:paraId="5D467F72" w14:textId="77777777" w:rsidR="000227CB" w:rsidRPr="00F45F11" w:rsidRDefault="000227CB" w:rsidP="000227CB">
      <w:pPr>
        <w:pStyle w:val="Heading3"/>
      </w:pPr>
      <w:r w:rsidRPr="00F45F11">
        <w:t>Our people</w:t>
      </w:r>
    </w:p>
    <w:p w14:paraId="749419F8" w14:textId="77777777" w:rsidR="000227CB" w:rsidRPr="00F45F11" w:rsidRDefault="000227CB" w:rsidP="000227CB">
      <w:pPr>
        <w:pStyle w:val="ARBody"/>
      </w:pPr>
      <w:r w:rsidRPr="00F45F11">
        <w:t>The department’s people work in diverse fields. These include child protection, housing, disability, preventing family violence, LGBTIQA+ equality, seniors, carers, veterans, women and youth.</w:t>
      </w:r>
    </w:p>
    <w:p w14:paraId="39FB8275" w14:textId="77777777" w:rsidR="00641545" w:rsidRDefault="000227CB" w:rsidP="000227CB">
      <w:pPr>
        <w:pStyle w:val="ARBody"/>
      </w:pPr>
      <w:r w:rsidRPr="00F45F11">
        <w:t xml:space="preserve">Our </w:t>
      </w:r>
      <w:r w:rsidRPr="00A124D1">
        <w:rPr>
          <w:rStyle w:val="Emphasis"/>
        </w:rPr>
        <w:t>People strategy 2024–2026</w:t>
      </w:r>
      <w:r w:rsidRPr="00F45F11">
        <w:t xml:space="preserve"> sets out our priorities for addressing our challenges. These priorities help us maintain a strong organisation. This means our people are safe, roles are filled and employees stay because of our culture. </w:t>
      </w:r>
    </w:p>
    <w:p w14:paraId="716479B8" w14:textId="00C88CE9" w:rsidR="000227CB" w:rsidRPr="00F45F11" w:rsidRDefault="000227CB" w:rsidP="000227CB">
      <w:pPr>
        <w:pStyle w:val="ARBody"/>
      </w:pPr>
      <w:r w:rsidRPr="00F45F11">
        <w:t>The strategy aims to create a workforce where our people have positive experiences. It is a diverse workforce with the capacity and capability to deliver</w:t>
      </w:r>
      <w:r w:rsidR="005E58EE">
        <w:t> </w:t>
      </w:r>
      <w:r w:rsidRPr="00F45F11">
        <w:t>vital services for all Victorians.</w:t>
      </w:r>
    </w:p>
    <w:p w14:paraId="369E83B3" w14:textId="77777777" w:rsidR="000227CB" w:rsidRPr="00F45F11" w:rsidRDefault="000227CB" w:rsidP="000227CB">
      <w:pPr>
        <w:pStyle w:val="ARBody"/>
      </w:pPr>
      <w:r w:rsidRPr="00F45F11">
        <w:t>Highlights for the year include:</w:t>
      </w:r>
    </w:p>
    <w:p w14:paraId="7A2F4D9B" w14:textId="77777777" w:rsidR="000227CB" w:rsidRPr="00F45F11" w:rsidRDefault="000227CB" w:rsidP="00F15878">
      <w:pPr>
        <w:pStyle w:val="ARBullet1"/>
      </w:pPr>
      <w:r w:rsidRPr="00F45F11">
        <w:t xml:space="preserve">implementing the department’s </w:t>
      </w:r>
      <w:r w:rsidRPr="00A124D1">
        <w:rPr>
          <w:rStyle w:val="Emphasis"/>
        </w:rPr>
        <w:t>Aboriginal workforce strategy 2021–2026</w:t>
      </w:r>
      <w:r w:rsidRPr="00F45F11">
        <w:t xml:space="preserve"> and Aboriginal and Torres Strait Islander Cultural Safety Framework</w:t>
      </w:r>
    </w:p>
    <w:p w14:paraId="03C11C83" w14:textId="7A11DC0F" w:rsidR="000227CB" w:rsidRPr="00F45F11" w:rsidRDefault="000227CB" w:rsidP="00F15878">
      <w:pPr>
        <w:pStyle w:val="ARBullet1"/>
      </w:pPr>
      <w:r w:rsidRPr="00F45F11">
        <w:t xml:space="preserve">completing the 2025 workplace gender audit, </w:t>
      </w:r>
      <w:r w:rsidRPr="00A124D1">
        <w:rPr>
          <w:rStyle w:val="Emphasis"/>
        </w:rPr>
        <w:t>Gender equality progress report 2026</w:t>
      </w:r>
      <w:r w:rsidRPr="00F45F11">
        <w:t xml:space="preserve"> and </w:t>
      </w:r>
      <w:r w:rsidRPr="00A124D1">
        <w:rPr>
          <w:rStyle w:val="Emphasis"/>
        </w:rPr>
        <w:t>Gender equality action plan 2026–2029</w:t>
      </w:r>
      <w:r w:rsidRPr="00F45F11">
        <w:t>. This</w:t>
      </w:r>
      <w:r w:rsidR="00A34E32" w:rsidRPr="00F45F11">
        <w:t> </w:t>
      </w:r>
      <w:r w:rsidRPr="00F45F11">
        <w:t xml:space="preserve">supports our obligations under the </w:t>
      </w:r>
      <w:r w:rsidRPr="00A124D1">
        <w:rPr>
          <w:rStyle w:val="Emphasis"/>
        </w:rPr>
        <w:t>Gender</w:t>
      </w:r>
      <w:r w:rsidR="00A354CC" w:rsidRPr="00A124D1">
        <w:rPr>
          <w:rStyle w:val="Emphasis"/>
        </w:rPr>
        <w:t> </w:t>
      </w:r>
      <w:r w:rsidRPr="00A124D1">
        <w:rPr>
          <w:rStyle w:val="Emphasis"/>
        </w:rPr>
        <w:t>Equality Act 2020</w:t>
      </w:r>
      <w:r w:rsidRPr="00F45F11">
        <w:t xml:space="preserve"> </w:t>
      </w:r>
    </w:p>
    <w:p w14:paraId="226F81F8" w14:textId="08A518D7" w:rsidR="000227CB" w:rsidRPr="00F45F11" w:rsidRDefault="000227CB" w:rsidP="00F15878">
      <w:pPr>
        <w:pStyle w:val="ARBullet1"/>
      </w:pPr>
      <w:r w:rsidRPr="00F45F11">
        <w:t>delivering programs under the </w:t>
      </w:r>
      <w:r w:rsidRPr="00A124D1">
        <w:rPr>
          <w:rStyle w:val="Emphasis"/>
        </w:rPr>
        <w:t>Diversity and</w:t>
      </w:r>
      <w:r w:rsidR="00D056EA">
        <w:rPr>
          <w:rStyle w:val="Emphasis"/>
        </w:rPr>
        <w:t> </w:t>
      </w:r>
      <w:r w:rsidRPr="00A124D1">
        <w:rPr>
          <w:rStyle w:val="Emphasis"/>
        </w:rPr>
        <w:t>inclusion framework 2022–2027</w:t>
      </w:r>
    </w:p>
    <w:p w14:paraId="2AD9B94C" w14:textId="77777777" w:rsidR="000227CB" w:rsidRPr="00F45F11" w:rsidRDefault="000227CB" w:rsidP="00F15878">
      <w:pPr>
        <w:pStyle w:val="ARBullet1"/>
      </w:pPr>
      <w:r w:rsidRPr="00F45F11">
        <w:t>responding to the People Matter Survey</w:t>
      </w:r>
      <w:r w:rsidRPr="00F45F11" w:rsidDel="00B06286">
        <w:t xml:space="preserve"> </w:t>
      </w:r>
      <w:r w:rsidRPr="00F45F11">
        <w:t>2025, including providing customised support for teams to build workplace culture and improve safety and workforce civility</w:t>
      </w:r>
    </w:p>
    <w:p w14:paraId="7DA666E8" w14:textId="77777777" w:rsidR="000227CB" w:rsidRPr="00F45F11" w:rsidRDefault="000227CB" w:rsidP="00F15878">
      <w:pPr>
        <w:pStyle w:val="ARBullet1"/>
      </w:pPr>
      <w:r w:rsidRPr="00F45F11">
        <w:t>administering the People Matter Survey 2026, including disseminating results to divisions and briefing leaders and staff on high-level findings</w:t>
      </w:r>
    </w:p>
    <w:p w14:paraId="73C6CB5D" w14:textId="77777777" w:rsidR="000227CB" w:rsidRPr="00F45F11" w:rsidRDefault="000227CB" w:rsidP="00F15878">
      <w:pPr>
        <w:pStyle w:val="ARBullet1"/>
      </w:pPr>
      <w:r w:rsidRPr="00F45F11">
        <w:t>supporting our people to access learning and career development opportunities through the learning management system and the department’s training calendar</w:t>
      </w:r>
    </w:p>
    <w:p w14:paraId="2C749D02" w14:textId="6845C9F5" w:rsidR="000227CB" w:rsidRPr="00F45F11" w:rsidRDefault="000227CB" w:rsidP="00F15878">
      <w:pPr>
        <w:pStyle w:val="ARBullet1"/>
      </w:pPr>
      <w:r w:rsidRPr="00F45F11">
        <w:t>supporting employees’ psychological health and</w:t>
      </w:r>
      <w:r w:rsidR="00A34E32" w:rsidRPr="00F45F11">
        <w:t> </w:t>
      </w:r>
      <w:r w:rsidRPr="00F45F11">
        <w:t xml:space="preserve">wellbeing through health, safety and wellbeing programs and wellbeing webinars </w:t>
      </w:r>
    </w:p>
    <w:p w14:paraId="10B810B3" w14:textId="10317D61" w:rsidR="000227CB" w:rsidRPr="00F45F11" w:rsidRDefault="000227CB" w:rsidP="00F15878">
      <w:pPr>
        <w:pStyle w:val="ARBullet1"/>
      </w:pPr>
      <w:r w:rsidRPr="00F45F11">
        <w:t>incorporating mandatory goals in performance and development plans (PDPs) to align employee performance and development goals</w:t>
      </w:r>
      <w:r w:rsidR="005E58EE">
        <w:t> </w:t>
      </w:r>
      <w:r w:rsidRPr="00F45F11">
        <w:t>with departmental priorities</w:t>
      </w:r>
    </w:p>
    <w:p w14:paraId="006554A2" w14:textId="77777777" w:rsidR="000227CB" w:rsidRPr="00F45F11" w:rsidRDefault="000227CB" w:rsidP="00F15878">
      <w:pPr>
        <w:pStyle w:val="ARBullet1"/>
      </w:pPr>
      <w:r w:rsidRPr="00F45F11">
        <w:t>linking required Compliance Essentials eLearning modules to PDP outcomes and supporting staff to complete essential training</w:t>
      </w:r>
    </w:p>
    <w:p w14:paraId="4A6C87C5" w14:textId="77777777" w:rsidR="000227CB" w:rsidRPr="00F45F11" w:rsidRDefault="000227CB" w:rsidP="00F15878">
      <w:pPr>
        <w:pStyle w:val="ARBullet1"/>
      </w:pPr>
      <w:r w:rsidRPr="00F45F11">
        <w:t xml:space="preserve">delivering regular orientation programs and integrity sessions for new starters </w:t>
      </w:r>
    </w:p>
    <w:p w14:paraId="099BED71" w14:textId="509437F2" w:rsidR="000227CB" w:rsidRPr="00F45F11" w:rsidRDefault="000227CB" w:rsidP="00F15878">
      <w:pPr>
        <w:pStyle w:val="ARBullet1"/>
      </w:pPr>
      <w:r w:rsidRPr="00F45F11">
        <w:t>updating and improving the Change Hub and Careers Support Hub.</w:t>
      </w:r>
    </w:p>
    <w:p w14:paraId="3DF0B3F6" w14:textId="5298245B" w:rsidR="000227CB" w:rsidRPr="00F45F11" w:rsidRDefault="000227CB" w:rsidP="00641545">
      <w:pPr>
        <w:pStyle w:val="Heading3"/>
      </w:pPr>
      <w:r w:rsidRPr="00F45F11">
        <w:t>Capability development</w:t>
      </w:r>
    </w:p>
    <w:p w14:paraId="5634A8C7" w14:textId="3758E99D" w:rsidR="000227CB" w:rsidRPr="00F45F11" w:rsidRDefault="000227CB" w:rsidP="000227CB">
      <w:pPr>
        <w:pStyle w:val="ARBody"/>
      </w:pPr>
      <w:bookmarkStart w:id="122" w:name="_Ref525208139"/>
      <w:r w:rsidRPr="00F45F11">
        <w:t>Learning and development activities aim to build the</w:t>
      </w:r>
      <w:r w:rsidR="0048706E">
        <w:t> </w:t>
      </w:r>
      <w:r w:rsidRPr="00F45F11">
        <w:t>department’s capability and performance. This includes in client service delivery, policy implementation, program management and compliance. These are underpinned by the department’s capability framework.</w:t>
      </w:r>
    </w:p>
    <w:p w14:paraId="3D3BADEA" w14:textId="77777777" w:rsidR="000227CB" w:rsidRPr="00F45F11" w:rsidRDefault="000227CB" w:rsidP="00A354CC">
      <w:pPr>
        <w:pStyle w:val="ARBody"/>
      </w:pPr>
      <w:r w:rsidRPr="00F45F11">
        <w:t>Workforce capability activities focused on:</w:t>
      </w:r>
    </w:p>
    <w:p w14:paraId="358BB8C2" w14:textId="77777777" w:rsidR="000227CB" w:rsidRPr="00F45F11" w:rsidRDefault="000227CB" w:rsidP="00F15878">
      <w:pPr>
        <w:pStyle w:val="ARBullet1"/>
      </w:pPr>
      <w:r w:rsidRPr="00F45F11">
        <w:t>service delivery</w:t>
      </w:r>
    </w:p>
    <w:p w14:paraId="4C3BC0A5" w14:textId="77777777" w:rsidR="000227CB" w:rsidRPr="00F45F11" w:rsidRDefault="000227CB" w:rsidP="00F15878">
      <w:pPr>
        <w:pStyle w:val="ARBullet1"/>
      </w:pPr>
      <w:r w:rsidRPr="00F45F11">
        <w:t>practice development</w:t>
      </w:r>
    </w:p>
    <w:p w14:paraId="2B5A4F70" w14:textId="77777777" w:rsidR="000227CB" w:rsidRPr="00F45F11" w:rsidRDefault="000227CB" w:rsidP="00F15878">
      <w:pPr>
        <w:pStyle w:val="ARBullet1"/>
      </w:pPr>
      <w:r w:rsidRPr="00F45F11">
        <w:t>positive workplace culture</w:t>
      </w:r>
    </w:p>
    <w:p w14:paraId="42A638D4" w14:textId="77777777" w:rsidR="000227CB" w:rsidRPr="00F45F11" w:rsidRDefault="000227CB" w:rsidP="00F15878">
      <w:pPr>
        <w:pStyle w:val="ARBullet1"/>
      </w:pPr>
      <w:r w:rsidRPr="00F45F11">
        <w:t>health, safety and wellbeing</w:t>
      </w:r>
    </w:p>
    <w:p w14:paraId="7DDEFF3E" w14:textId="77777777" w:rsidR="000227CB" w:rsidRPr="00F45F11" w:rsidRDefault="000227CB" w:rsidP="00F15878">
      <w:pPr>
        <w:pStyle w:val="ARBullet1"/>
      </w:pPr>
      <w:r w:rsidRPr="00F45F11">
        <w:t>equality, diversity and inclusion</w:t>
      </w:r>
    </w:p>
    <w:p w14:paraId="6EF2F2BE" w14:textId="77777777" w:rsidR="000227CB" w:rsidRPr="00F45F11" w:rsidRDefault="000227CB" w:rsidP="00F15878">
      <w:pPr>
        <w:pStyle w:val="ARBullet1"/>
      </w:pPr>
      <w:r w:rsidRPr="00F45F11">
        <w:t>Aboriginal cultural safety</w:t>
      </w:r>
    </w:p>
    <w:p w14:paraId="795761B9" w14:textId="30ED0A13" w:rsidR="000227CB" w:rsidRPr="00F45F11" w:rsidRDefault="000227CB" w:rsidP="00F15878">
      <w:pPr>
        <w:pStyle w:val="ARBullet1"/>
      </w:pPr>
      <w:r w:rsidRPr="00F45F11">
        <w:t>anti-racism</w:t>
      </w:r>
    </w:p>
    <w:p w14:paraId="284CFC68" w14:textId="77777777" w:rsidR="000227CB" w:rsidRPr="00F45F11" w:rsidRDefault="000227CB" w:rsidP="00F15878">
      <w:pPr>
        <w:pStyle w:val="ARBullet1"/>
      </w:pPr>
      <w:r w:rsidRPr="00F45F11">
        <w:t>leadership and management</w:t>
      </w:r>
    </w:p>
    <w:p w14:paraId="2C7BE18C" w14:textId="77777777" w:rsidR="000227CB" w:rsidRPr="00F45F11" w:rsidRDefault="000227CB" w:rsidP="00F15878">
      <w:pPr>
        <w:pStyle w:val="ARBullet1"/>
      </w:pPr>
      <w:r w:rsidRPr="00F45F11">
        <w:t>writing and communication</w:t>
      </w:r>
    </w:p>
    <w:p w14:paraId="27888171" w14:textId="77777777" w:rsidR="000227CB" w:rsidRPr="00F45F11" w:rsidRDefault="000227CB" w:rsidP="00F15878">
      <w:pPr>
        <w:pStyle w:val="ARBullet1"/>
      </w:pPr>
      <w:r w:rsidRPr="00F45F11">
        <w:t>project management</w:t>
      </w:r>
    </w:p>
    <w:p w14:paraId="3ADA8DC3" w14:textId="77777777" w:rsidR="000227CB" w:rsidRPr="00F45F11" w:rsidRDefault="000227CB" w:rsidP="00F15878">
      <w:pPr>
        <w:pStyle w:val="ARBullet1"/>
      </w:pPr>
      <w:r w:rsidRPr="00F45F11">
        <w:t>software and systems</w:t>
      </w:r>
    </w:p>
    <w:p w14:paraId="6D7D5724" w14:textId="77777777" w:rsidR="000227CB" w:rsidRPr="00F45F11" w:rsidRDefault="000227CB" w:rsidP="00F15878">
      <w:pPr>
        <w:pStyle w:val="ARBullet1"/>
      </w:pPr>
      <w:r w:rsidRPr="00F45F11">
        <w:t>finance and procurement.</w:t>
      </w:r>
    </w:p>
    <w:p w14:paraId="7C84F018" w14:textId="28F49F11" w:rsidR="000227CB" w:rsidRPr="00F45F11" w:rsidRDefault="000227CB" w:rsidP="000227CB">
      <w:pPr>
        <w:pStyle w:val="ARBodyafterbullets"/>
      </w:pPr>
      <w:r w:rsidRPr="00F45F11">
        <w:t>During 2025–26, we offered 267 learning and development programs through the department’s training calendar, as well as 88 webinar sessions on</w:t>
      </w:r>
      <w:r w:rsidR="00442A9C" w:rsidRPr="00F45F11">
        <w:t> </w:t>
      </w:r>
      <w:r w:rsidRPr="00F45F11">
        <w:t>themes relating to staff wellbeing and career</w:t>
      </w:r>
      <w:r w:rsidR="00442A9C" w:rsidRPr="00F45F11">
        <w:t> </w:t>
      </w:r>
      <w:r w:rsidRPr="00F45F11">
        <w:t>development.</w:t>
      </w:r>
    </w:p>
    <w:p w14:paraId="12FBB7D7" w14:textId="19602599" w:rsidR="000227CB" w:rsidRPr="00F45F11" w:rsidRDefault="000227CB" w:rsidP="000227CB">
      <w:pPr>
        <w:pStyle w:val="ARBody"/>
      </w:pPr>
      <w:r w:rsidRPr="00F45F11">
        <w:t>In addition, People and Culture staff facilitated 65</w:t>
      </w:r>
      <w:r w:rsidR="00442A9C" w:rsidRPr="00F45F11">
        <w:t> </w:t>
      </w:r>
      <w:r w:rsidRPr="00F45F11">
        <w:t>culture building and leadership development workshops targeted to teams around positive workplaces, psychological safety, safe to speak up, preventing and responding to bullying and incivility, staff retention, workload management and giving and receiving feedback.</w:t>
      </w:r>
    </w:p>
    <w:p w14:paraId="5DC874F7" w14:textId="42AC2705" w:rsidR="000227CB" w:rsidRPr="00F45F11" w:rsidRDefault="000227CB" w:rsidP="000227CB">
      <w:pPr>
        <w:pStyle w:val="ARBody"/>
      </w:pPr>
      <w:r w:rsidRPr="00F45F11">
        <w:t>All employees are required to complete Compliance Essentials eLearning modules on topics related to the obligations of Victorian public servants (11 for staff and 14 for managers) as well as other mandatory training (such as Child Safe Standards and Family Violence Multi-Agency Risk Assessment and Management). Compliance Essentials training must be refreshed at least every two years. Completions are monitored through the annual PDP</w:t>
      </w:r>
      <w:r w:rsidR="00442A9C" w:rsidRPr="00F45F11">
        <w:t> </w:t>
      </w:r>
      <w:r w:rsidRPr="00F45F11">
        <w:t>process.</w:t>
      </w:r>
    </w:p>
    <w:p w14:paraId="6E3C1AF8" w14:textId="1120D9A0" w:rsidR="000227CB" w:rsidRPr="00F45F11" w:rsidRDefault="000227CB" w:rsidP="000227CB">
      <w:pPr>
        <w:pStyle w:val="ARBody"/>
      </w:pPr>
      <w:r w:rsidRPr="00F45F11">
        <w:t>The department continued to strengthen its leadership capability by:</w:t>
      </w:r>
    </w:p>
    <w:p w14:paraId="12E383DF" w14:textId="190D031B" w:rsidR="000227CB" w:rsidRPr="00F45F11" w:rsidRDefault="000227CB" w:rsidP="00F15878">
      <w:pPr>
        <w:pStyle w:val="ARBullet1"/>
      </w:pPr>
      <w:r w:rsidRPr="00F45F11">
        <w:t>including 2 mandatory goals in all leaders’ PDPs. These focus on positive workplace culture</w:t>
      </w:r>
      <w:r w:rsidR="005E58EE">
        <w:t> </w:t>
      </w:r>
      <w:r w:rsidRPr="00F45F11">
        <w:t>and supporting performance and delivery</w:t>
      </w:r>
    </w:p>
    <w:p w14:paraId="3D46CB84" w14:textId="233CD829" w:rsidR="000227CB" w:rsidRPr="00F45F11" w:rsidRDefault="000227CB" w:rsidP="00F15878">
      <w:pPr>
        <w:pStyle w:val="ARBullet1"/>
      </w:pPr>
      <w:r w:rsidRPr="00F45F11">
        <w:t>requiring each executive officer to complete at</w:t>
      </w:r>
      <w:r w:rsidR="00A354CC" w:rsidRPr="00F45F11">
        <w:t> </w:t>
      </w:r>
      <w:r w:rsidRPr="00F45F11">
        <w:t xml:space="preserve">least </w:t>
      </w:r>
      <w:r w:rsidR="00895CB6" w:rsidRPr="00F45F11">
        <w:t xml:space="preserve">5 </w:t>
      </w:r>
      <w:r w:rsidRPr="00F45F11">
        <w:t>hours of professional development annually on public service craft capabilities (or for new executive officers, to complete Executive Essentials induction training)</w:t>
      </w:r>
    </w:p>
    <w:p w14:paraId="5FFA680F" w14:textId="77777777" w:rsidR="000227CB" w:rsidRPr="00F45F11" w:rsidRDefault="000227CB" w:rsidP="00F15878">
      <w:pPr>
        <w:pStyle w:val="ARBullet1"/>
      </w:pPr>
      <w:r w:rsidRPr="00F45F11">
        <w:t>delivering 171 Leading with Impact sessions. This 5-workshop series had an average of 22 attendees per session. The program focuses on building leadership capabilities in coaching and providing feedback, performance and delivery, equality, diversity and inclusion, ethics and integrity, and psychological safety</w:t>
      </w:r>
    </w:p>
    <w:p w14:paraId="2476F0E0" w14:textId="1AA5E2DA" w:rsidR="000227CB" w:rsidRPr="00F45F11" w:rsidRDefault="000227CB" w:rsidP="00F15878">
      <w:pPr>
        <w:pStyle w:val="ARBullet1"/>
      </w:pPr>
      <w:r w:rsidRPr="00F45F11">
        <w:t>delivering 63 Aboriginal cultural safety sessions facilitated by a First Peoples training provider. The training includes content recommended in</w:t>
      </w:r>
      <w:r w:rsidR="00A354CC" w:rsidRPr="00F45F11">
        <w:t> </w:t>
      </w:r>
      <w:r w:rsidRPr="00F45F11">
        <w:t xml:space="preserve">the </w:t>
      </w:r>
      <w:proofErr w:type="spellStart"/>
      <w:r w:rsidRPr="00F45F11">
        <w:t>Yoorrook</w:t>
      </w:r>
      <w:proofErr w:type="spellEnd"/>
      <w:r w:rsidRPr="00F45F11">
        <w:t xml:space="preserve"> for Justice recommendations</w:t>
      </w:r>
    </w:p>
    <w:p w14:paraId="02038AA9" w14:textId="77777777" w:rsidR="000227CB" w:rsidRPr="00F45F11" w:rsidRDefault="000227CB" w:rsidP="00F15878">
      <w:pPr>
        <w:pStyle w:val="ARBullet1"/>
      </w:pPr>
      <w:r w:rsidRPr="00F45F11">
        <w:t>delivering 20 anti-racism people leader sessions. The program focuses on building racial literacy and addressing all forms of racism</w:t>
      </w:r>
    </w:p>
    <w:p w14:paraId="5CEB1B3B" w14:textId="42A4534A" w:rsidR="000227CB" w:rsidRPr="00F45F11" w:rsidRDefault="000227CB" w:rsidP="00F15878">
      <w:pPr>
        <w:pStyle w:val="ARBullet1"/>
      </w:pPr>
      <w:r w:rsidRPr="00F45F11">
        <w:t>building leaders’ skills in supporting working parents and employees who are experiencing</w:t>
      </w:r>
      <w:r w:rsidR="00442A9C" w:rsidRPr="00F45F11">
        <w:t> </w:t>
      </w:r>
      <w:r w:rsidRPr="00F45F11">
        <w:t xml:space="preserve">menopause </w:t>
      </w:r>
    </w:p>
    <w:p w14:paraId="42809C39" w14:textId="0EF56658" w:rsidR="000227CB" w:rsidRPr="00F45F11" w:rsidRDefault="000227CB" w:rsidP="00F15878">
      <w:pPr>
        <w:pStyle w:val="ARBullet1"/>
      </w:pPr>
      <w:r w:rsidRPr="00F45F11">
        <w:t>supporting executives to participate in cross-department leadership and new-to-role programs provided by the Victorian Public Sector Commission, including the Executive Essentials</w:t>
      </w:r>
      <w:r w:rsidR="00442A9C" w:rsidRPr="00F45F11">
        <w:t> </w:t>
      </w:r>
      <w:r w:rsidRPr="00F45F11">
        <w:t>Program</w:t>
      </w:r>
    </w:p>
    <w:p w14:paraId="5AF615DD" w14:textId="77777777" w:rsidR="000227CB" w:rsidRPr="00F45F11" w:rsidRDefault="000227CB" w:rsidP="00F15878">
      <w:pPr>
        <w:pStyle w:val="ARBullet1"/>
      </w:pPr>
      <w:r w:rsidRPr="00F45F11">
        <w:t>supporting employees to attend high-quality public leadership programs aimed at broadening and deepening leadership capabilities and giving participants exposure to peers from other organisations</w:t>
      </w:r>
    </w:p>
    <w:p w14:paraId="2DB1B35A" w14:textId="77777777" w:rsidR="000227CB" w:rsidRPr="00F45F11" w:rsidRDefault="000227CB" w:rsidP="00F15878">
      <w:pPr>
        <w:pStyle w:val="ARBullet1"/>
      </w:pPr>
      <w:r w:rsidRPr="00F45F11">
        <w:t>providing peer and experiential learning through structured mentoring and coaching opportunities for leaders.</w:t>
      </w:r>
    </w:p>
    <w:bookmarkEnd w:id="122"/>
    <w:p w14:paraId="153A4509" w14:textId="10A850A0" w:rsidR="000227CB" w:rsidRPr="00F45F11" w:rsidRDefault="000227CB" w:rsidP="00641545">
      <w:pPr>
        <w:pStyle w:val="ARBodyafterbullets"/>
      </w:pPr>
      <w:r w:rsidRPr="00F45F11">
        <w:t>In 2025</w:t>
      </w:r>
      <w:r w:rsidR="00895CB6" w:rsidRPr="00F45F11">
        <w:t>–</w:t>
      </w:r>
      <w:r w:rsidRPr="00F45F11">
        <w:t>26, the department continued to support and expand the learning and development of our frontline workforce by:</w:t>
      </w:r>
    </w:p>
    <w:p w14:paraId="77772CBA" w14:textId="77777777" w:rsidR="000227CB" w:rsidRPr="00F45F11" w:rsidRDefault="000227CB" w:rsidP="00F15878">
      <w:pPr>
        <w:pStyle w:val="ARBullet1"/>
      </w:pPr>
      <w:r w:rsidRPr="00F45F11">
        <w:t>delivering induction training to commencing staff:</w:t>
      </w:r>
    </w:p>
    <w:p w14:paraId="31FBE032" w14:textId="77777777" w:rsidR="000227CB" w:rsidRPr="00F45F11" w:rsidRDefault="000227CB" w:rsidP="00442A9C">
      <w:pPr>
        <w:pStyle w:val="ARBullet2"/>
      </w:pPr>
      <w:r w:rsidRPr="00F45F11">
        <w:t>510 child protection practitioners</w:t>
      </w:r>
    </w:p>
    <w:p w14:paraId="26D4A51F" w14:textId="77777777" w:rsidR="000227CB" w:rsidRPr="00F45F11" w:rsidRDefault="000227CB" w:rsidP="00442A9C">
      <w:pPr>
        <w:pStyle w:val="ARBullet2"/>
      </w:pPr>
      <w:r w:rsidRPr="00F45F11">
        <w:t>57 housing services officers</w:t>
      </w:r>
    </w:p>
    <w:p w14:paraId="46CF70A0" w14:textId="77777777" w:rsidR="000227CB" w:rsidRPr="00F45F11" w:rsidRDefault="000227CB" w:rsidP="00442A9C">
      <w:pPr>
        <w:pStyle w:val="ARBullet2"/>
      </w:pPr>
      <w:r w:rsidRPr="00F45F11">
        <w:t>6 forensic residential services staff</w:t>
      </w:r>
    </w:p>
    <w:p w14:paraId="1F208637" w14:textId="77777777" w:rsidR="000227CB" w:rsidRPr="00F45F11" w:rsidRDefault="000227CB" w:rsidP="00442A9C">
      <w:pPr>
        <w:pStyle w:val="ARBullet2"/>
      </w:pPr>
      <w:r w:rsidRPr="00F45F11">
        <w:t>11 disability justice coordination staff</w:t>
      </w:r>
    </w:p>
    <w:p w14:paraId="7C52ED86" w14:textId="714B47BB" w:rsidR="000227CB" w:rsidRPr="00F45F11" w:rsidRDefault="0005497C" w:rsidP="00A57C50">
      <w:pPr>
        <w:pStyle w:val="ARBullet2"/>
      </w:pPr>
      <w:r>
        <w:t>continuing</w:t>
      </w:r>
      <w:r w:rsidR="003C7E42">
        <w:t xml:space="preserve"> to </w:t>
      </w:r>
      <w:r w:rsidR="003B0997">
        <w:t xml:space="preserve">provide a range of </w:t>
      </w:r>
      <w:r w:rsidR="000227CB" w:rsidRPr="00F45F11">
        <w:t>practice development</w:t>
      </w:r>
      <w:r w:rsidR="003B0997">
        <w:t xml:space="preserve"> programs to </w:t>
      </w:r>
      <w:r w:rsidR="00BF7944">
        <w:t xml:space="preserve">support the professional development of </w:t>
      </w:r>
      <w:r w:rsidR="003B0997">
        <w:t>CPP</w:t>
      </w:r>
      <w:r w:rsidR="00C46ED5">
        <w:t>3-6, such as</w:t>
      </w:r>
      <w:r w:rsidR="00AC5929">
        <w:t xml:space="preserve"> </w:t>
      </w:r>
      <w:r w:rsidR="006243EE">
        <w:t>a</w:t>
      </w:r>
      <w:r w:rsidR="00B740C6">
        <w:t xml:space="preserve">dvanced </w:t>
      </w:r>
      <w:r w:rsidR="006E3EEA">
        <w:t>c</w:t>
      </w:r>
      <w:r w:rsidR="00B740C6">
        <w:t>ourt practice skills</w:t>
      </w:r>
    </w:p>
    <w:p w14:paraId="146F2D83" w14:textId="2429B5CF" w:rsidR="000227CB" w:rsidRPr="00F45F11" w:rsidRDefault="000227CB" w:rsidP="00F15878">
      <w:pPr>
        <w:pStyle w:val="ARBullet1"/>
      </w:pPr>
      <w:r w:rsidRPr="00F45F11">
        <w:t>developing future frontline leaders, with:</w:t>
      </w:r>
    </w:p>
    <w:p w14:paraId="0831A993" w14:textId="77777777" w:rsidR="000227CB" w:rsidRPr="00F45F11" w:rsidRDefault="000227CB" w:rsidP="00442A9C">
      <w:pPr>
        <w:pStyle w:val="ARBullet2"/>
      </w:pPr>
      <w:r w:rsidRPr="00F45F11">
        <w:t>88 Child Protection Career Advancement Program graduates (CPP3s and CPP4s)</w:t>
      </w:r>
    </w:p>
    <w:p w14:paraId="74431B9B" w14:textId="3D00DE5E" w:rsidR="000227CB" w:rsidRDefault="000227CB" w:rsidP="00442A9C">
      <w:pPr>
        <w:pStyle w:val="ARBullet2"/>
      </w:pPr>
      <w:r w:rsidRPr="00F45F11">
        <w:t>74 CPP5s graduated from the new selective entry Child Protection Leadership Program for</w:t>
      </w:r>
      <w:r w:rsidR="00A354CC" w:rsidRPr="00F45F11">
        <w:t> </w:t>
      </w:r>
      <w:r w:rsidRPr="00F45F11">
        <w:t xml:space="preserve">CPP5 </w:t>
      </w:r>
    </w:p>
    <w:p w14:paraId="4D86F3C8" w14:textId="4D23FE97" w:rsidR="000227CB" w:rsidRPr="00F45F11" w:rsidRDefault="000227CB" w:rsidP="00A42A6B">
      <w:pPr>
        <w:pStyle w:val="ARBullet1"/>
      </w:pPr>
      <w:r w:rsidRPr="00F45F11">
        <w:t>501 CPP5s completing modules in the open access Child Protection Leadership and Management</w:t>
      </w:r>
      <w:r w:rsidR="00641545">
        <w:t> </w:t>
      </w:r>
      <w:r w:rsidRPr="00F45F11">
        <w:t xml:space="preserve">Program </w:t>
      </w:r>
    </w:p>
    <w:p w14:paraId="4D431DD7" w14:textId="1CEA9507" w:rsidR="000227CB" w:rsidRPr="00F45F11" w:rsidRDefault="000227CB" w:rsidP="00442A9C">
      <w:pPr>
        <w:pStyle w:val="ARBullet2"/>
      </w:pPr>
      <w:r w:rsidRPr="00F45F11">
        <w:t>20 group coaching sessions for new child</w:t>
      </w:r>
      <w:r w:rsidR="00A354CC" w:rsidRPr="00F45F11">
        <w:t> </w:t>
      </w:r>
      <w:r w:rsidRPr="00F45F11">
        <w:t>protection graduates and their managers/mentors as part of the Community and Social Services Graduate Program. This led to 36 graduates being matched with mentors</w:t>
      </w:r>
    </w:p>
    <w:p w14:paraId="22DCA74F" w14:textId="77777777" w:rsidR="000227CB" w:rsidRPr="00F45F11" w:rsidRDefault="000227CB" w:rsidP="00F15878">
      <w:pPr>
        <w:pStyle w:val="ARBullet2"/>
      </w:pPr>
      <w:r w:rsidRPr="00F45F11">
        <w:t>17 Housing Career Advancement Program graduates</w:t>
      </w:r>
    </w:p>
    <w:p w14:paraId="060B5240" w14:textId="77777777" w:rsidR="000227CB" w:rsidRPr="00F45F11" w:rsidRDefault="000227CB" w:rsidP="000227CB">
      <w:pPr>
        <w:pStyle w:val="ARBody"/>
        <w:numPr>
          <w:ilvl w:val="1"/>
          <w:numId w:val="34"/>
        </w:numPr>
      </w:pPr>
      <w:r w:rsidRPr="00F45F11">
        <w:t>9 Housing Practice Leadership Program graduates.</w:t>
      </w:r>
    </w:p>
    <w:p w14:paraId="7B5F1ED6" w14:textId="61B87548" w:rsidR="000227CB" w:rsidRPr="00F45F11" w:rsidRDefault="000227CB" w:rsidP="00F15878">
      <w:pPr>
        <w:pStyle w:val="ARBodyafterbullets"/>
      </w:pPr>
      <w:r w:rsidRPr="00F45F11">
        <w:t>The department also celebrates the work of frontline</w:t>
      </w:r>
      <w:r w:rsidR="00F15878" w:rsidRPr="00F45F11">
        <w:t> </w:t>
      </w:r>
      <w:r w:rsidRPr="00F45F11">
        <w:t>staff and excellence in practice through events</w:t>
      </w:r>
      <w:r w:rsidR="00641545">
        <w:t> </w:t>
      </w:r>
      <w:r w:rsidRPr="00F45F11">
        <w:t>including:</w:t>
      </w:r>
    </w:p>
    <w:p w14:paraId="0B2F03C9" w14:textId="545D7034" w:rsidR="000227CB" w:rsidRPr="00F45F11" w:rsidRDefault="000227CB" w:rsidP="00F15878">
      <w:pPr>
        <w:pStyle w:val="ARBullet1"/>
      </w:pPr>
      <w:r w:rsidRPr="00F45F11">
        <w:t xml:space="preserve">Victorian Protecting Children Awards and the </w:t>
      </w:r>
      <w:r w:rsidR="00895CB6" w:rsidRPr="00F45F11">
        <w:t xml:space="preserve">department’s </w:t>
      </w:r>
      <w:r w:rsidRPr="00F45F11">
        <w:t>Child Protection Staff Awards</w:t>
      </w:r>
    </w:p>
    <w:p w14:paraId="25B0FC3B" w14:textId="77777777" w:rsidR="000227CB" w:rsidRPr="00F45F11" w:rsidRDefault="000227CB" w:rsidP="00F15878">
      <w:pPr>
        <w:pStyle w:val="ARBullet1"/>
      </w:pPr>
      <w:r w:rsidRPr="00F45F11">
        <w:t>Public Housing Forum and Workforce Awards</w:t>
      </w:r>
    </w:p>
    <w:p w14:paraId="06CB4011" w14:textId="580B9825" w:rsidR="00A42A6B" w:rsidRDefault="000227CB" w:rsidP="0073114A">
      <w:pPr>
        <w:pStyle w:val="ARBullet1"/>
      </w:pPr>
      <w:r w:rsidRPr="00F45F11">
        <w:t>Forensic Disability Services Workforce Forum and Awards.</w:t>
      </w:r>
    </w:p>
    <w:p w14:paraId="49F4E8A1" w14:textId="77777777" w:rsidR="00954A4B" w:rsidRDefault="003874DF" w:rsidP="00641545">
      <w:pPr>
        <w:pStyle w:val="Heading2"/>
      </w:pPr>
      <w:bookmarkStart w:id="123" w:name="_Toc212039531"/>
      <w:bookmarkStart w:id="124" w:name="_Toc241131706"/>
      <w:bookmarkStart w:id="125" w:name="_Toc82006198"/>
      <w:bookmarkStart w:id="126" w:name="_Ref492905526"/>
      <w:bookmarkStart w:id="127" w:name="_Toc477967497"/>
      <w:r w:rsidRPr="00F45F11">
        <w:rPr>
          <w:rFonts w:eastAsia="Times"/>
        </w:rPr>
        <w:t xml:space="preserve">Workforce inclusion </w:t>
      </w:r>
      <w:r w:rsidRPr="00641545">
        <w:t>policy</w:t>
      </w:r>
      <w:bookmarkEnd w:id="123"/>
      <w:bookmarkEnd w:id="124"/>
    </w:p>
    <w:p w14:paraId="0FCAABF5" w14:textId="2752FE13" w:rsidR="003874DF" w:rsidRPr="00F45F11" w:rsidRDefault="003874DF" w:rsidP="00954A4B">
      <w:pPr>
        <w:pStyle w:val="ARBody"/>
      </w:pPr>
      <w:r w:rsidRPr="00F45F11">
        <w:t>The department continues to build a diverse, inclusive and culturally safe workplace. This</w:t>
      </w:r>
      <w:r w:rsidR="0073114A" w:rsidRPr="00F45F11">
        <w:t> </w:t>
      </w:r>
      <w:r w:rsidRPr="00F45F11">
        <w:t>workplace reflects the communities we serve.</w:t>
      </w:r>
    </w:p>
    <w:p w14:paraId="6D339DEF" w14:textId="3DFA642A" w:rsidR="003874DF" w:rsidRPr="00F45F11" w:rsidRDefault="003874DF" w:rsidP="00954A4B">
      <w:pPr>
        <w:pStyle w:val="ARBody"/>
      </w:pPr>
      <w:r w:rsidRPr="00F45F11">
        <w:t>Our strategies elevate and recognise Aboriginal peoples as original custodians of Victoria. We</w:t>
      </w:r>
      <w:r w:rsidR="00D056EA">
        <w:t> </w:t>
      </w:r>
      <w:r w:rsidRPr="00F45F11">
        <w:t xml:space="preserve">embed Aboriginal cultural safety and self-determination in all that we do. </w:t>
      </w:r>
    </w:p>
    <w:p w14:paraId="703EC20C" w14:textId="697F14EF" w:rsidR="00641545" w:rsidRDefault="003874DF" w:rsidP="00954A4B">
      <w:pPr>
        <w:pStyle w:val="ARBody"/>
      </w:pPr>
      <w:r w:rsidRPr="00F45F11">
        <w:t xml:space="preserve">Diversity and inclusion </w:t>
      </w:r>
      <w:proofErr w:type="gramStart"/>
      <w:r w:rsidRPr="00F45F11">
        <w:t>benefits</w:t>
      </w:r>
      <w:proofErr w:type="gramEnd"/>
      <w:r w:rsidRPr="00F45F11">
        <w:t> everyone. It promotes a positive and safe workplace culture. It builds our reputation as an employer of choice. It helps us to attract and retain talented staff. It supports innovation by harnessing the rich and</w:t>
      </w:r>
      <w:r w:rsidR="00D056EA">
        <w:t> </w:t>
      </w:r>
      <w:r w:rsidRPr="00F45F11">
        <w:t>varied perspectives of our people. It</w:t>
      </w:r>
      <w:r w:rsidR="005E58EE">
        <w:t> </w:t>
      </w:r>
      <w:r w:rsidRPr="00F45F11">
        <w:t>helps</w:t>
      </w:r>
      <w:r w:rsidR="005E58EE">
        <w:t> </w:t>
      </w:r>
      <w:r w:rsidRPr="00F45F11">
        <w:t>us</w:t>
      </w:r>
      <w:r w:rsidR="005E58EE">
        <w:t> </w:t>
      </w:r>
      <w:r w:rsidRPr="00F45F11">
        <w:t>understand and meet the needs of</w:t>
      </w:r>
      <w:r w:rsidR="005E58EE">
        <w:t> </w:t>
      </w:r>
      <w:r w:rsidRPr="00F45F11">
        <w:t>the</w:t>
      </w:r>
      <w:r w:rsidR="005E58EE">
        <w:t> </w:t>
      </w:r>
      <w:r w:rsidRPr="00F45F11">
        <w:t>Victorian community.</w:t>
      </w:r>
    </w:p>
    <w:p w14:paraId="4B531421" w14:textId="77777777" w:rsidR="00641545" w:rsidRDefault="00641545">
      <w:pPr>
        <w:spacing w:after="0" w:line="240" w:lineRule="auto"/>
        <w:rPr>
          <w:rFonts w:eastAsia="Times"/>
          <w:sz w:val="20"/>
        </w:rPr>
      </w:pPr>
      <w:r>
        <w:br w:type="page"/>
      </w:r>
    </w:p>
    <w:p w14:paraId="32A739AD" w14:textId="77777777" w:rsidR="003874DF" w:rsidRPr="00F45F11" w:rsidRDefault="003874DF" w:rsidP="00E7341C">
      <w:pPr>
        <w:pStyle w:val="Heading3"/>
      </w:pPr>
      <w:r w:rsidRPr="00F45F11">
        <w:t>Aboriginal workforce strategy</w:t>
      </w:r>
    </w:p>
    <w:p w14:paraId="545C6A4D" w14:textId="77777777" w:rsidR="003874DF" w:rsidRPr="00F63DEB" w:rsidRDefault="003874DF" w:rsidP="0073114A">
      <w:pPr>
        <w:pStyle w:val="ARBody"/>
      </w:pPr>
      <w:r w:rsidRPr="00F45F11">
        <w:t>The department’s</w:t>
      </w:r>
      <w:r w:rsidRPr="00F63DEB">
        <w:t xml:space="preserve"> </w:t>
      </w:r>
      <w:r w:rsidRPr="00A124D1">
        <w:rPr>
          <w:rStyle w:val="Emphasis"/>
        </w:rPr>
        <w:t xml:space="preserve">Aboriginal workforce strategy 2021–26 </w:t>
      </w:r>
      <w:r w:rsidRPr="00F63DEB">
        <w:t>has 5 strategic objectives:</w:t>
      </w:r>
    </w:p>
    <w:p w14:paraId="7866FE9C" w14:textId="77777777" w:rsidR="003874DF" w:rsidRPr="00F45F11" w:rsidRDefault="003874DF" w:rsidP="00E7341C">
      <w:pPr>
        <w:pStyle w:val="ARBullet1"/>
      </w:pPr>
      <w:r w:rsidRPr="00F45F11">
        <w:t>exceed a minimum 3% Aboriginal employment by 2026, with a stretch target of 4%</w:t>
      </w:r>
    </w:p>
    <w:p w14:paraId="2242A36E" w14:textId="77777777" w:rsidR="003874DF" w:rsidRPr="00F45F11" w:rsidRDefault="003874DF" w:rsidP="00E7341C">
      <w:pPr>
        <w:pStyle w:val="ARBullet1"/>
      </w:pPr>
      <w:r w:rsidRPr="00F45F11">
        <w:t>exceed 4% Aboriginal employment at manager and executive level positions by 2026</w:t>
      </w:r>
    </w:p>
    <w:p w14:paraId="71847711" w14:textId="7EC897C6" w:rsidR="003874DF" w:rsidRPr="00F45F11" w:rsidRDefault="003874DF" w:rsidP="00E7341C">
      <w:pPr>
        <w:pStyle w:val="ARBullet1"/>
      </w:pPr>
      <w:r w:rsidRPr="00F45F11">
        <w:t xml:space="preserve">embed Aboriginal self-determination </w:t>
      </w:r>
      <w:r w:rsidR="005E58EE">
        <w:br/>
      </w:r>
      <w:r w:rsidRPr="00F45F11">
        <w:t>and cultural safety in all that we do</w:t>
      </w:r>
    </w:p>
    <w:p w14:paraId="01D8CBA7" w14:textId="36E01829" w:rsidR="003874DF" w:rsidRPr="00F45F11" w:rsidRDefault="003874DF" w:rsidP="00E7341C">
      <w:pPr>
        <w:pStyle w:val="ARBullet1"/>
      </w:pPr>
      <w:r w:rsidRPr="00F45F11">
        <w:t>ensure the workforce develops a deep understanding of Aboriginal ways of listening, knowing and doing</w:t>
      </w:r>
    </w:p>
    <w:p w14:paraId="75097E89" w14:textId="788243AE" w:rsidR="003874DF" w:rsidRPr="00F45F11" w:rsidRDefault="003874DF" w:rsidP="00E7341C">
      <w:pPr>
        <w:pStyle w:val="ARBullet1"/>
      </w:pPr>
      <w:r w:rsidRPr="00F45F11">
        <w:t>celebrate Aboriginal culture and the achievements of Aboriginal employees, children,</w:t>
      </w:r>
      <w:r w:rsidR="005E58EE">
        <w:t> </w:t>
      </w:r>
      <w:r w:rsidRPr="00F45F11">
        <w:t>families and</w:t>
      </w:r>
      <w:r w:rsidR="00641545">
        <w:t> </w:t>
      </w:r>
      <w:r w:rsidRPr="00F45F11">
        <w:t>communities.</w:t>
      </w:r>
    </w:p>
    <w:p w14:paraId="084848CF" w14:textId="4E0BAA98" w:rsidR="003874DF" w:rsidRPr="00F45F11" w:rsidRDefault="003874DF" w:rsidP="00E7341C">
      <w:pPr>
        <w:pStyle w:val="ARBodyafterbullets"/>
      </w:pPr>
      <w:r w:rsidRPr="00F45F11">
        <w:t>Implementation of the strategy is on track.</w:t>
      </w:r>
    </w:p>
    <w:p w14:paraId="581DDB21" w14:textId="309C70EC" w:rsidR="003874DF" w:rsidRPr="00F45F11" w:rsidRDefault="003874DF" w:rsidP="00E7341C">
      <w:pPr>
        <w:pStyle w:val="ARBody"/>
      </w:pPr>
      <w:r w:rsidRPr="00F45F11">
        <w:t>The 4% Aboriginal leadership target has been exceeded, with more than 6% of the executive workforce identifying as Aboriginal.</w:t>
      </w:r>
    </w:p>
    <w:p w14:paraId="0C6C6818" w14:textId="0E690C2D" w:rsidR="003874DF" w:rsidRPr="00F45F11" w:rsidRDefault="003874DF" w:rsidP="00E7341C">
      <w:pPr>
        <w:pStyle w:val="ARBody"/>
      </w:pPr>
      <w:r w:rsidRPr="00F45F11">
        <w:t xml:space="preserve">We create employment pathways and development opportunities for Aboriginal people. The department hosted a record 12 </w:t>
      </w:r>
      <w:proofErr w:type="spellStart"/>
      <w:r w:rsidRPr="00F45F11">
        <w:t>CareerTrackers</w:t>
      </w:r>
      <w:proofErr w:type="spellEnd"/>
      <w:r w:rsidRPr="00F45F11">
        <w:t xml:space="preserve"> internships for Aboriginal university students this financial year.</w:t>
      </w:r>
      <w:r w:rsidR="0073114A" w:rsidRPr="00F45F11">
        <w:t xml:space="preserve"> </w:t>
      </w:r>
      <w:r w:rsidRPr="00F45F11">
        <w:t>It</w:t>
      </w:r>
      <w:r w:rsidR="0073114A" w:rsidRPr="00F45F11">
        <w:t> </w:t>
      </w:r>
      <w:r w:rsidRPr="00F45F11">
        <w:t>also includes the Aboriginal Graduate Program, leadership programs, mentoring for employees and strengthening the Aboriginal Staff Network.</w:t>
      </w:r>
    </w:p>
    <w:p w14:paraId="72F4453C" w14:textId="77777777" w:rsidR="00A42A6B" w:rsidRDefault="003874DF" w:rsidP="00E7341C">
      <w:pPr>
        <w:pStyle w:val="ARBody"/>
      </w:pPr>
      <w:r w:rsidRPr="00F45F11">
        <w:t xml:space="preserve">We continue to support the recruitment and retention of Aboriginal </w:t>
      </w:r>
      <w:r w:rsidR="00895CB6" w:rsidRPr="00F45F11">
        <w:t>c</w:t>
      </w:r>
      <w:r w:rsidRPr="00F45F11">
        <w:t xml:space="preserve">hild protection practitioners. We do this through regular check-ins with new child protection practitioners. We have established the Child Protection Aboriginal Staff Network, which comprises 70 Aboriginal child protection staff engaging in development. </w:t>
      </w:r>
    </w:p>
    <w:p w14:paraId="35E211CC" w14:textId="6BA41253" w:rsidR="003874DF" w:rsidRPr="00F45F11" w:rsidRDefault="003874DF" w:rsidP="00E7341C">
      <w:pPr>
        <w:pStyle w:val="ARBody"/>
      </w:pPr>
      <w:r w:rsidRPr="00F45F11">
        <w:t xml:space="preserve">We have maintained </w:t>
      </w:r>
      <w:r w:rsidR="00895CB6" w:rsidRPr="00F45F11">
        <w:t xml:space="preserve">the </w:t>
      </w:r>
      <w:r w:rsidRPr="00F45F11">
        <w:t xml:space="preserve">highest number of Aboriginal </w:t>
      </w:r>
      <w:r w:rsidR="00895CB6" w:rsidRPr="00F45F11">
        <w:t>c</w:t>
      </w:r>
      <w:r w:rsidRPr="00F45F11">
        <w:t xml:space="preserve">hild </w:t>
      </w:r>
      <w:r w:rsidR="00895CB6" w:rsidRPr="00F45F11">
        <w:t>p</w:t>
      </w:r>
      <w:r w:rsidRPr="00F45F11">
        <w:t xml:space="preserve">rotection </w:t>
      </w:r>
      <w:r w:rsidR="00895CB6" w:rsidRPr="00F45F11">
        <w:t>s</w:t>
      </w:r>
      <w:r w:rsidRPr="00F45F11">
        <w:t>taff the department has</w:t>
      </w:r>
      <w:r w:rsidR="00566B8E">
        <w:t> </w:t>
      </w:r>
      <w:r w:rsidRPr="00F45F11">
        <w:t xml:space="preserve">achieved. </w:t>
      </w:r>
      <w:r w:rsidR="00895CB6" w:rsidRPr="00F45F11">
        <w:t>We also expanded</w:t>
      </w:r>
      <w:r w:rsidRPr="00F45F11">
        <w:t xml:space="preserve"> wellbeing supports including a</w:t>
      </w:r>
      <w:r w:rsidR="0073114A" w:rsidRPr="00F45F11">
        <w:t> </w:t>
      </w:r>
      <w:r w:rsidRPr="00F45F11">
        <w:t>dedicated gathering and regular facilitated group</w:t>
      </w:r>
      <w:r w:rsidR="00E7341C" w:rsidRPr="00F45F11">
        <w:t> </w:t>
      </w:r>
      <w:r w:rsidRPr="00F45F11">
        <w:t xml:space="preserve">sessions. </w:t>
      </w:r>
    </w:p>
    <w:p w14:paraId="3CD197FA" w14:textId="4D4DC438" w:rsidR="003874DF" w:rsidRPr="00F45F11" w:rsidRDefault="003874DF" w:rsidP="0073114A">
      <w:pPr>
        <w:pStyle w:val="ARBody"/>
      </w:pPr>
      <w:r w:rsidRPr="00F45F11">
        <w:t>A dedicated Aboriginal peer-support network supports the health, wellbeing and safety of our Aboriginal workforce. The Victorian Aboriginal Health Service Employee Assistance Program also</w:t>
      </w:r>
      <w:r w:rsidR="00566B8E">
        <w:t> </w:t>
      </w:r>
      <w:r w:rsidRPr="00F45F11">
        <w:t>provides dedicated Aboriginal social and emotional wellbeing supports.</w:t>
      </w:r>
    </w:p>
    <w:p w14:paraId="4FC015A1" w14:textId="77777777" w:rsidR="003874DF" w:rsidRPr="00F45F11" w:rsidRDefault="003874DF" w:rsidP="0073114A">
      <w:pPr>
        <w:pStyle w:val="ARBody"/>
      </w:pPr>
      <w:r w:rsidRPr="00F45F11">
        <w:t xml:space="preserve">The department’s </w:t>
      </w:r>
      <w:proofErr w:type="spellStart"/>
      <w:r w:rsidRPr="00F45F11">
        <w:t>Wirrigirri</w:t>
      </w:r>
      <w:proofErr w:type="spellEnd"/>
      <w:r w:rsidRPr="00F45F11">
        <w:t xml:space="preserve"> reconciliation program continues to increase the number of allies for Aboriginal inclusion and cultural safety of workplaces. </w:t>
      </w:r>
    </w:p>
    <w:p w14:paraId="170AAA17" w14:textId="77777777" w:rsidR="003874DF" w:rsidRPr="00F45F11" w:rsidRDefault="003874DF" w:rsidP="00E7341C">
      <w:pPr>
        <w:pStyle w:val="Heading3"/>
      </w:pPr>
      <w:r w:rsidRPr="00F45F11">
        <w:t>Aboriginal and Torres Strait Islander cultural safety</w:t>
      </w:r>
    </w:p>
    <w:p w14:paraId="0F2BFDB7" w14:textId="77777777" w:rsidR="003874DF" w:rsidRPr="00F45F11" w:rsidRDefault="003874DF" w:rsidP="0073114A">
      <w:pPr>
        <w:pStyle w:val="ARBody"/>
      </w:pPr>
      <w:r w:rsidRPr="00F45F11">
        <w:t xml:space="preserve">The department continues to implement the </w:t>
      </w:r>
      <w:r w:rsidRPr="00A124D1">
        <w:rPr>
          <w:rStyle w:val="Emphasis"/>
        </w:rPr>
        <w:t>Aboriginal and Torres Strait Islander cultural safety framework</w:t>
      </w:r>
      <w:r w:rsidRPr="00F45F11">
        <w:t xml:space="preserve">. The framework’s vision is to ensure the Victorian community service and housing sectors provide culturally safe practice and service that improve outcomes for Aboriginal people. </w:t>
      </w:r>
    </w:p>
    <w:p w14:paraId="25B1024A" w14:textId="70E1E552" w:rsidR="003874DF" w:rsidRPr="00F45F11" w:rsidRDefault="003874DF" w:rsidP="0073114A">
      <w:pPr>
        <w:pStyle w:val="ARBody"/>
      </w:pPr>
      <w:r w:rsidRPr="00F45F11">
        <w:t>The department is developing executive leaders and</w:t>
      </w:r>
      <w:r w:rsidR="0073114A" w:rsidRPr="00F45F11">
        <w:t> </w:t>
      </w:r>
      <w:r w:rsidRPr="00F45F11">
        <w:t>the workforce to ensure a culturally safe environment and to embed self-determination in</w:t>
      </w:r>
      <w:r w:rsidR="00566B8E">
        <w:t> </w:t>
      </w:r>
      <w:r w:rsidRPr="00F45F11">
        <w:t>policy, programs and service provision.</w:t>
      </w:r>
    </w:p>
    <w:p w14:paraId="12B19C30" w14:textId="7CA4D031" w:rsidR="003874DF" w:rsidRPr="00F45F11" w:rsidRDefault="003874DF" w:rsidP="0073114A">
      <w:pPr>
        <w:pStyle w:val="ARBody"/>
      </w:pPr>
      <w:r w:rsidRPr="00F45F11">
        <w:t>This financial year the department implemented an</w:t>
      </w:r>
      <w:r w:rsidR="0073114A" w:rsidRPr="00F45F11">
        <w:t> </w:t>
      </w:r>
      <w:r w:rsidRPr="00F45F11">
        <w:t xml:space="preserve">expanded Aboriginal Cultural Safety training curriculum aligned with the </w:t>
      </w:r>
      <w:proofErr w:type="spellStart"/>
      <w:r w:rsidRPr="00A124D1">
        <w:rPr>
          <w:rStyle w:val="Emphasis"/>
        </w:rPr>
        <w:t>Yoorrook</w:t>
      </w:r>
      <w:proofErr w:type="spellEnd"/>
      <w:r w:rsidRPr="00A124D1">
        <w:rPr>
          <w:rStyle w:val="Emphasis"/>
        </w:rPr>
        <w:t xml:space="preserve"> for justice</w:t>
      </w:r>
      <w:r w:rsidRPr="00F45F11">
        <w:t xml:space="preserve"> report recommendations.</w:t>
      </w:r>
    </w:p>
    <w:p w14:paraId="42C1A5F8" w14:textId="1F9D56F8" w:rsidR="003874DF" w:rsidRPr="00F45F11" w:rsidRDefault="003874DF" w:rsidP="0073114A">
      <w:pPr>
        <w:pStyle w:val="ARBody"/>
      </w:pPr>
      <w:r w:rsidRPr="00F45F11">
        <w:t>A compliance Cultural Safety eLearn is completed by all staff. As of 30 June 2026, 96% of the workforce have completed the eLearn.</w:t>
      </w:r>
    </w:p>
    <w:p w14:paraId="1A08EE57" w14:textId="77777777" w:rsidR="003874DF" w:rsidRPr="00F45F11" w:rsidRDefault="003874DF" w:rsidP="0073114A">
      <w:pPr>
        <w:pStyle w:val="ARBody"/>
      </w:pPr>
      <w:r w:rsidRPr="00F45F11">
        <w:t>Facilitated trainings led by a First Peoples provider for staff and people leaders, builds cultural knowledge and capability. Over 1,190 staff have completed one or more training.</w:t>
      </w:r>
    </w:p>
    <w:p w14:paraId="49AE6D9C" w14:textId="77777777" w:rsidR="00641545" w:rsidRDefault="003874DF" w:rsidP="0073114A">
      <w:pPr>
        <w:pStyle w:val="ARBody"/>
      </w:pPr>
      <w:r w:rsidRPr="00F45F11">
        <w:t>In</w:t>
      </w:r>
      <w:r w:rsidRPr="00F63DEB">
        <w:t xml:space="preserve"> September 2024, the department launched the </w:t>
      </w:r>
      <w:r w:rsidRPr="00A124D1">
        <w:rPr>
          <w:rStyle w:val="Emphasis"/>
        </w:rPr>
        <w:t>Anti-</w:t>
      </w:r>
      <w:r w:rsidR="00860614" w:rsidRPr="00A124D1">
        <w:rPr>
          <w:rStyle w:val="Emphasis"/>
        </w:rPr>
        <w:t>r</w:t>
      </w:r>
      <w:r w:rsidRPr="00A124D1">
        <w:rPr>
          <w:rStyle w:val="Emphasis"/>
        </w:rPr>
        <w:t xml:space="preserve">acism </w:t>
      </w:r>
      <w:r w:rsidR="00860614" w:rsidRPr="00A124D1">
        <w:rPr>
          <w:rStyle w:val="Emphasis"/>
        </w:rPr>
        <w:t>a</w:t>
      </w:r>
      <w:r w:rsidRPr="00A124D1">
        <w:rPr>
          <w:rStyle w:val="Emphasis"/>
        </w:rPr>
        <w:t xml:space="preserve">ction </w:t>
      </w:r>
      <w:r w:rsidR="00860614" w:rsidRPr="00A124D1">
        <w:rPr>
          <w:rStyle w:val="Emphasis"/>
        </w:rPr>
        <w:t>p</w:t>
      </w:r>
      <w:r w:rsidRPr="00A124D1">
        <w:rPr>
          <w:rStyle w:val="Emphasis"/>
        </w:rPr>
        <w:t>lan</w:t>
      </w:r>
      <w:r w:rsidRPr="00F63DEB">
        <w:t xml:space="preserve">. The plan sets out clear action to address all forms of racism in the workplace. Anti-racism </w:t>
      </w:r>
      <w:r w:rsidR="00860614" w:rsidRPr="00F63DEB">
        <w:t>p</w:t>
      </w:r>
      <w:r w:rsidRPr="00F63DEB">
        <w:t>eople</w:t>
      </w:r>
      <w:r w:rsidR="00860614" w:rsidRPr="00F63DEB">
        <w:t>-</w:t>
      </w:r>
      <w:r w:rsidRPr="00F63DEB">
        <w:t xml:space="preserve">leader training ensures </w:t>
      </w:r>
      <w:r w:rsidR="00860614" w:rsidRPr="00F63DEB">
        <w:t xml:space="preserve">leaders have the </w:t>
      </w:r>
      <w:r w:rsidRPr="00F63DEB">
        <w:t>capability to address all forms of racism.</w:t>
      </w:r>
      <w:r w:rsidR="00860614" w:rsidRPr="00F63DEB">
        <w:t xml:space="preserve"> </w:t>
      </w:r>
      <w:r w:rsidRPr="00F63DEB">
        <w:t xml:space="preserve">As of 30 June 2026, 85% of </w:t>
      </w:r>
      <w:r w:rsidR="00860614" w:rsidRPr="00F63DEB">
        <w:t>p</w:t>
      </w:r>
      <w:r w:rsidRPr="00F63DEB">
        <w:t xml:space="preserve">eople </w:t>
      </w:r>
      <w:r w:rsidR="00860614" w:rsidRPr="00F63DEB">
        <w:t>l</w:t>
      </w:r>
      <w:r w:rsidRPr="00F63DEB">
        <w:t>eaders ha</w:t>
      </w:r>
      <w:r w:rsidR="00860614" w:rsidRPr="00F63DEB">
        <w:t>d</w:t>
      </w:r>
      <w:r w:rsidRPr="00F63DEB">
        <w:t xml:space="preserve"> completed the training.</w:t>
      </w:r>
    </w:p>
    <w:p w14:paraId="64CDE925" w14:textId="097431FD" w:rsidR="003874DF" w:rsidRPr="00F63DEB" w:rsidRDefault="003874DF" w:rsidP="0073114A">
      <w:pPr>
        <w:pStyle w:val="ARBody"/>
      </w:pPr>
      <w:r w:rsidRPr="00F45F11">
        <w:t xml:space="preserve">In May 2025, we launched Aboriginal </w:t>
      </w:r>
      <w:r w:rsidR="00860614" w:rsidRPr="00F45F11">
        <w:t>cu</w:t>
      </w:r>
      <w:r w:rsidRPr="00F45F11">
        <w:t xml:space="preserve">ltural </w:t>
      </w:r>
      <w:r w:rsidR="00860614" w:rsidRPr="00F45F11">
        <w:t>s</w:t>
      </w:r>
      <w:r w:rsidRPr="00F45F11">
        <w:t xml:space="preserve">afety and </w:t>
      </w:r>
      <w:r w:rsidR="00860614" w:rsidRPr="00F45F11">
        <w:t>a</w:t>
      </w:r>
      <w:r w:rsidRPr="00F45F11">
        <w:t>nti-racism workshops to improve capability to address all forms of racism and ensure policies, services and workplaces are culturally safe. Over 1,900 staff have completed one or more workshops.</w:t>
      </w:r>
    </w:p>
    <w:p w14:paraId="4A762A6D" w14:textId="7BB9889E" w:rsidR="003874DF" w:rsidRPr="00F45F11" w:rsidRDefault="003874DF" w:rsidP="0073114A">
      <w:pPr>
        <w:pStyle w:val="ARBody"/>
      </w:pPr>
      <w:r w:rsidRPr="00F45F11">
        <w:t>The department partners with the University of Melbourne to deliver the Self-determination and</w:t>
      </w:r>
      <w:r w:rsidR="005D503A">
        <w:t> </w:t>
      </w:r>
      <w:r w:rsidRPr="00F45F11">
        <w:t>Community Services micro-certificate series. The program supports advanced cultural capability.</w:t>
      </w:r>
      <w:r w:rsidR="00860614" w:rsidRPr="00F45F11">
        <w:t xml:space="preserve"> </w:t>
      </w:r>
      <w:r w:rsidRPr="00F45F11">
        <w:t>Over 1</w:t>
      </w:r>
      <w:r w:rsidR="00860614" w:rsidRPr="00F45F11">
        <w:t>,</w:t>
      </w:r>
      <w:r w:rsidRPr="00F45F11">
        <w:t>090 staff have completed one or more micro certificate since the program launched.</w:t>
      </w:r>
    </w:p>
    <w:p w14:paraId="32466659" w14:textId="3221D88E" w:rsidR="003874DF" w:rsidRPr="00F45F11" w:rsidRDefault="003874DF" w:rsidP="0073114A">
      <w:pPr>
        <w:pStyle w:val="ARBody"/>
      </w:pPr>
      <w:r w:rsidRPr="00F45F11">
        <w:t>In 2024</w:t>
      </w:r>
      <w:r w:rsidR="00860614" w:rsidRPr="00F45F11">
        <w:t>,</w:t>
      </w:r>
      <w:r w:rsidRPr="00F45F11">
        <w:t xml:space="preserve"> the department launched the annual Aboriginal Cultural Safety Workplace Monitoring Tool.</w:t>
      </w:r>
      <w:r w:rsidR="00860614" w:rsidRPr="00F45F11">
        <w:t xml:space="preserve"> </w:t>
      </w:r>
      <w:r w:rsidRPr="00F45F11">
        <w:t>It provides index ratings on how we are tracking against cultural safety priority areas. The tool enables us to track progress, understand where we are doing well and areas for improvement.</w:t>
      </w:r>
    </w:p>
    <w:p w14:paraId="51D13A80" w14:textId="77777777" w:rsidR="003874DF" w:rsidRPr="00F45F11" w:rsidRDefault="003874DF" w:rsidP="0073114A">
      <w:pPr>
        <w:pStyle w:val="Heading3"/>
      </w:pPr>
      <w:r w:rsidRPr="00F45F11">
        <w:t>Aboriginal Staff Network</w:t>
      </w:r>
    </w:p>
    <w:p w14:paraId="62BE15FE" w14:textId="4901F4E7" w:rsidR="003874DF" w:rsidRPr="00F45F11" w:rsidRDefault="003874DF" w:rsidP="0073114A">
      <w:pPr>
        <w:pStyle w:val="ARBody"/>
      </w:pPr>
      <w:r w:rsidRPr="00F45F11">
        <w:t>The Aboriginal Staff Network offers access to a supportive</w:t>
      </w:r>
      <w:r w:rsidR="00860614" w:rsidRPr="00F45F11">
        <w:t>,</w:t>
      </w:r>
      <w:r w:rsidRPr="00F45F11">
        <w:t xml:space="preserve"> culturally safe community of practice. It is a place to share good practice and creative ideas, support each other through issues of concern, access opportunities for professional development, and provide input into the department’s work to ensure </w:t>
      </w:r>
      <w:r w:rsidR="00E963CF" w:rsidRPr="00F45F11">
        <w:t xml:space="preserve">it includes </w:t>
      </w:r>
      <w:r w:rsidRPr="00F45F11">
        <w:t>Aboriginal people.</w:t>
      </w:r>
      <w:r w:rsidRPr="00F63DEB">
        <w:t xml:space="preserve"> </w:t>
      </w:r>
    </w:p>
    <w:p w14:paraId="315E94C8" w14:textId="68E00EA3" w:rsidR="003874DF" w:rsidRPr="00F45F11" w:rsidRDefault="003874DF" w:rsidP="0073114A">
      <w:pPr>
        <w:pStyle w:val="ARBody"/>
      </w:pPr>
      <w:r w:rsidRPr="00F63DEB">
        <w:t>The Aboriginal Staff Network held its annual conference in May 2026</w:t>
      </w:r>
      <w:r w:rsidR="00BE019D" w:rsidRPr="00F63DEB">
        <w:t>. The conference</w:t>
      </w:r>
      <w:r w:rsidRPr="00F63DEB">
        <w:t xml:space="preserve"> focused on cultural safety, lateral healing, consultation and</w:t>
      </w:r>
      <w:r w:rsidR="00566B8E">
        <w:t> </w:t>
      </w:r>
      <w:r w:rsidRPr="00F63DEB">
        <w:t>connection. </w:t>
      </w:r>
      <w:r w:rsidR="00BE019D" w:rsidRPr="00F63DEB">
        <w:t>It</w:t>
      </w:r>
      <w:r w:rsidRPr="00F63DEB">
        <w:t xml:space="preserve"> was well attended by over 80</w:t>
      </w:r>
      <w:r w:rsidR="00566B8E">
        <w:t> </w:t>
      </w:r>
      <w:r w:rsidRPr="00F63DEB">
        <w:t>Aboriginal staff from the department.</w:t>
      </w:r>
    </w:p>
    <w:p w14:paraId="147E7887" w14:textId="77777777" w:rsidR="003874DF" w:rsidRPr="00F45F11" w:rsidRDefault="003874DF" w:rsidP="0073114A">
      <w:pPr>
        <w:pStyle w:val="Heading3"/>
      </w:pPr>
      <w:r w:rsidRPr="00F45F11">
        <w:t>Diversity and inclusion framework</w:t>
      </w:r>
    </w:p>
    <w:p w14:paraId="52E28B8A" w14:textId="77777777" w:rsidR="003874DF" w:rsidRPr="00F45F11" w:rsidRDefault="003874DF" w:rsidP="0073114A">
      <w:pPr>
        <w:pStyle w:val="ARBody"/>
      </w:pPr>
      <w:r w:rsidRPr="00F45F11">
        <w:t xml:space="preserve">The department’s </w:t>
      </w:r>
      <w:r w:rsidRPr="00A124D1">
        <w:rPr>
          <w:rStyle w:val="Emphasis"/>
        </w:rPr>
        <w:t>Diversity and inclusion framework 2022–2027</w:t>
      </w:r>
      <w:r w:rsidRPr="00F45F11">
        <w:t xml:space="preserve"> supports us to become a leading employer in diversity and inclusion. The framework commits the department to:</w:t>
      </w:r>
    </w:p>
    <w:p w14:paraId="58100553" w14:textId="77777777" w:rsidR="003874DF" w:rsidRPr="00F45F11" w:rsidRDefault="003874DF" w:rsidP="0073114A">
      <w:pPr>
        <w:pStyle w:val="ARBullet1"/>
      </w:pPr>
      <w:r w:rsidRPr="00F45F11">
        <w:t>employing a workforce that reflects Victoria’s communities to better meet community needs</w:t>
      </w:r>
    </w:p>
    <w:p w14:paraId="79A912F9" w14:textId="34E04E33" w:rsidR="003874DF" w:rsidRPr="00F45F11" w:rsidRDefault="003874DF" w:rsidP="0073114A">
      <w:pPr>
        <w:pStyle w:val="ARBullet1"/>
      </w:pPr>
      <w:r w:rsidRPr="00F45F11">
        <w:t>building workplaces that are culturally safe and</w:t>
      </w:r>
      <w:r w:rsidR="00566B8E">
        <w:t> </w:t>
      </w:r>
      <w:r w:rsidRPr="00F45F11">
        <w:t>inclusive for diverse staff.</w:t>
      </w:r>
    </w:p>
    <w:p w14:paraId="6649C1C8" w14:textId="77777777" w:rsidR="003874DF" w:rsidRPr="00F45F11" w:rsidRDefault="003874DF" w:rsidP="0073114A">
      <w:pPr>
        <w:pStyle w:val="ARBodyafterbullets"/>
      </w:pPr>
      <w:r w:rsidRPr="00F45F11">
        <w:t xml:space="preserve">The framework takes an intersectional approach. It incorporates strategies to improve employee experiences, elevate diversity of thought and remove workplace barriers. </w:t>
      </w:r>
    </w:p>
    <w:p w14:paraId="369C0214" w14:textId="2E6DD8F0" w:rsidR="003874DF" w:rsidRPr="00F45F11" w:rsidRDefault="003874DF" w:rsidP="0073114A">
      <w:pPr>
        <w:pStyle w:val="ARBody"/>
      </w:pPr>
      <w:r w:rsidRPr="00F45F11">
        <w:t>This includes:</w:t>
      </w:r>
    </w:p>
    <w:p w14:paraId="1A088CBD" w14:textId="77777777" w:rsidR="003874DF" w:rsidRPr="00F45F11" w:rsidRDefault="003874DF" w:rsidP="0073114A">
      <w:pPr>
        <w:pStyle w:val="ARBullet1"/>
      </w:pPr>
      <w:r w:rsidRPr="00F45F11">
        <w:t>people with disability</w:t>
      </w:r>
    </w:p>
    <w:p w14:paraId="550BEF79" w14:textId="77777777" w:rsidR="003874DF" w:rsidRPr="00F45F11" w:rsidRDefault="003874DF" w:rsidP="0073114A">
      <w:pPr>
        <w:pStyle w:val="ARBullet1"/>
      </w:pPr>
      <w:r w:rsidRPr="00F45F11">
        <w:t>people from multicultural and multifaith backgrounds</w:t>
      </w:r>
    </w:p>
    <w:p w14:paraId="45EED35E" w14:textId="77777777" w:rsidR="003874DF" w:rsidRPr="00F45F11" w:rsidRDefault="003874DF" w:rsidP="0073114A">
      <w:pPr>
        <w:pStyle w:val="ARBullet1"/>
      </w:pPr>
      <w:r w:rsidRPr="00F45F11">
        <w:t>people who are LGBTIQA+</w:t>
      </w:r>
    </w:p>
    <w:p w14:paraId="762F91E4" w14:textId="77777777" w:rsidR="003874DF" w:rsidRPr="00F45F11" w:rsidRDefault="003874DF" w:rsidP="0073114A">
      <w:pPr>
        <w:pStyle w:val="ARBullet1"/>
      </w:pPr>
      <w:r w:rsidRPr="00F45F11">
        <w:t>people with caring responsibilities.</w:t>
      </w:r>
    </w:p>
    <w:p w14:paraId="19FCC261" w14:textId="77777777" w:rsidR="003874DF" w:rsidRPr="00F45F11" w:rsidRDefault="003874DF" w:rsidP="001A1EC5">
      <w:pPr>
        <w:pStyle w:val="ARBodyafterbullets"/>
      </w:pPr>
      <w:r w:rsidRPr="00F45F11">
        <w:t>Since the launch of the framework, progressed implementation actions include:</w:t>
      </w:r>
    </w:p>
    <w:p w14:paraId="10B9C21B" w14:textId="223B6D2A" w:rsidR="003874DF" w:rsidRPr="00F45F11" w:rsidRDefault="003874DF" w:rsidP="0073114A">
      <w:pPr>
        <w:pStyle w:val="ARBullet1"/>
      </w:pPr>
      <w:r w:rsidRPr="00F45F11">
        <w:t>implementing gender</w:t>
      </w:r>
      <w:r w:rsidR="00BE019D" w:rsidRPr="00F45F11">
        <w:t>-</w:t>
      </w:r>
      <w:r w:rsidRPr="00F45F11">
        <w:t xml:space="preserve">neutral bathroom options </w:t>
      </w:r>
    </w:p>
    <w:p w14:paraId="4158487F" w14:textId="77777777" w:rsidR="003874DF" w:rsidRPr="00F45F11" w:rsidRDefault="003874DF" w:rsidP="0073114A">
      <w:pPr>
        <w:pStyle w:val="ARBullet1"/>
      </w:pPr>
      <w:r w:rsidRPr="00F45F11">
        <w:t xml:space="preserve">establishing employee network month </w:t>
      </w:r>
    </w:p>
    <w:p w14:paraId="72E1FCEF" w14:textId="77777777" w:rsidR="003874DF" w:rsidRPr="00F45F11" w:rsidRDefault="003874DF" w:rsidP="0073114A">
      <w:pPr>
        <w:pStyle w:val="ARBullet1"/>
      </w:pPr>
      <w:r w:rsidRPr="00F45F11">
        <w:t>delivering the annual diversity workforce survey</w:t>
      </w:r>
    </w:p>
    <w:p w14:paraId="62B163FE" w14:textId="77777777" w:rsidR="003874DF" w:rsidRPr="00F45F11" w:rsidRDefault="003874DF" w:rsidP="0073114A">
      <w:pPr>
        <w:pStyle w:val="ARBullet1"/>
      </w:pPr>
      <w:r w:rsidRPr="00F45F11">
        <w:t>establishing accessible communications guidelines</w:t>
      </w:r>
    </w:p>
    <w:p w14:paraId="4A55FB30" w14:textId="77777777" w:rsidR="003874DF" w:rsidRPr="00F45F11" w:rsidRDefault="003874DF" w:rsidP="0073114A">
      <w:pPr>
        <w:pStyle w:val="ARBullet1"/>
      </w:pPr>
      <w:r w:rsidRPr="00F45F11">
        <w:t xml:space="preserve">launching a language allowance policy </w:t>
      </w:r>
    </w:p>
    <w:p w14:paraId="5F923A33" w14:textId="5CD7B4E1" w:rsidR="003874DF" w:rsidRPr="00F45F11" w:rsidRDefault="003874DF" w:rsidP="0073114A">
      <w:pPr>
        <w:pStyle w:val="ARBullet1"/>
      </w:pPr>
      <w:r w:rsidRPr="00F45F11">
        <w:t>implementing a workplace adjustment policy and</w:t>
      </w:r>
      <w:r w:rsidR="0073114A" w:rsidRPr="00F45F11">
        <w:t> </w:t>
      </w:r>
      <w:r w:rsidRPr="00F45F11">
        <w:t>passport</w:t>
      </w:r>
    </w:p>
    <w:p w14:paraId="07CFA799" w14:textId="77777777" w:rsidR="003874DF" w:rsidRPr="00F45F11" w:rsidRDefault="003874DF" w:rsidP="0073114A">
      <w:pPr>
        <w:pStyle w:val="ARBullet1"/>
      </w:pPr>
      <w:r w:rsidRPr="00F45F11">
        <w:t>building inclusive leadership development into our leadership training</w:t>
      </w:r>
    </w:p>
    <w:p w14:paraId="445D4FBB" w14:textId="77777777" w:rsidR="003874DF" w:rsidRPr="00F45F11" w:rsidRDefault="003874DF" w:rsidP="0073114A">
      <w:pPr>
        <w:pStyle w:val="ARBullet1"/>
      </w:pPr>
      <w:r w:rsidRPr="00F45F11">
        <w:t>investing in anti-racism training for people leaders</w:t>
      </w:r>
    </w:p>
    <w:p w14:paraId="4AC886C9" w14:textId="774D1CE0" w:rsidR="003874DF" w:rsidRPr="00F45F11" w:rsidRDefault="003874DF" w:rsidP="0073114A">
      <w:pPr>
        <w:pStyle w:val="ARBullet1"/>
      </w:pPr>
      <w:r w:rsidRPr="00F45F11">
        <w:t>delivering disability confidence and autism support training</w:t>
      </w:r>
      <w:r w:rsidR="00BE019D" w:rsidRPr="00F45F11">
        <w:t>.</w:t>
      </w:r>
    </w:p>
    <w:p w14:paraId="09E79C4C" w14:textId="66128556" w:rsidR="003874DF" w:rsidRPr="00F45F11" w:rsidRDefault="003874DF" w:rsidP="0073114A">
      <w:pPr>
        <w:pStyle w:val="Heading4"/>
      </w:pPr>
      <w:r w:rsidRPr="00F45F11">
        <w:t>Staff-led lived experience</w:t>
      </w:r>
      <w:r w:rsidR="0073114A" w:rsidRPr="00F45F11">
        <w:t> </w:t>
      </w:r>
      <w:r w:rsidRPr="00F45F11">
        <w:t>networks</w:t>
      </w:r>
    </w:p>
    <w:p w14:paraId="1563C9D5" w14:textId="586362F3" w:rsidR="003874DF" w:rsidRPr="00F45F11" w:rsidRDefault="003874DF" w:rsidP="0073114A">
      <w:pPr>
        <w:pStyle w:val="ARBody"/>
      </w:pPr>
      <w:r w:rsidRPr="00F45F11">
        <w:t>The department is investing in diverse staff with lived experience and their allies. Staff lived experienced networks are inclusive places for staff</w:t>
      </w:r>
      <w:r w:rsidR="0073114A" w:rsidRPr="00F45F11">
        <w:t> </w:t>
      </w:r>
      <w:r w:rsidRPr="00F45F11">
        <w:t>to connect and share experiences. As part of</w:t>
      </w:r>
      <w:r w:rsidR="0073114A" w:rsidRPr="00F45F11">
        <w:t> </w:t>
      </w:r>
      <w:r w:rsidRPr="00F45F11">
        <w:t xml:space="preserve">the networks, staff </w:t>
      </w:r>
      <w:r w:rsidR="00BE019D" w:rsidRPr="00F45F11">
        <w:t>have</w:t>
      </w:r>
      <w:r w:rsidRPr="00F45F11">
        <w:t xml:space="preserve"> opportunities to</w:t>
      </w:r>
      <w:r w:rsidR="0073114A" w:rsidRPr="00F45F11">
        <w:t> </w:t>
      </w:r>
      <w:r w:rsidRPr="00F45F11">
        <w:t>input into the department’s projects, strategies and training.</w:t>
      </w:r>
    </w:p>
    <w:p w14:paraId="3042A907" w14:textId="308E527F" w:rsidR="003874DF" w:rsidRPr="00F45F11" w:rsidRDefault="003874DF" w:rsidP="0073114A">
      <w:pPr>
        <w:pStyle w:val="ARBody"/>
      </w:pPr>
      <w:r w:rsidRPr="00F45F11">
        <w:t>Each network has co-chairs and an appointed Executive Champion accountable for addressing barriers to inclusion. All network members meet regularly to progress priorities.</w:t>
      </w:r>
      <w:r w:rsidRPr="00F45F11" w:rsidDel="005D64B3">
        <w:t xml:space="preserve"> </w:t>
      </w:r>
      <w:r w:rsidRPr="00F45F11">
        <w:t xml:space="preserve">In addition to the Enablers, Pride, Aboriginal </w:t>
      </w:r>
      <w:r w:rsidR="00BE019D" w:rsidRPr="00F45F11">
        <w:t>s</w:t>
      </w:r>
      <w:r w:rsidRPr="00F45F11">
        <w:t xml:space="preserve">taff and </w:t>
      </w:r>
      <w:proofErr w:type="spellStart"/>
      <w:r w:rsidRPr="00F45F11">
        <w:t>Wirrigirri</w:t>
      </w:r>
      <w:proofErr w:type="spellEnd"/>
      <w:r w:rsidRPr="00F45F11">
        <w:t xml:space="preserve"> networks, </w:t>
      </w:r>
      <w:r w:rsidR="00BE019D" w:rsidRPr="00F45F11">
        <w:t xml:space="preserve">2 </w:t>
      </w:r>
      <w:r w:rsidRPr="00F45F11">
        <w:t>new networks were established in 2025</w:t>
      </w:r>
      <w:r w:rsidR="00A42A6B">
        <w:t> </w:t>
      </w:r>
      <w:r w:rsidRPr="00F45F11">
        <w:t>the Women of Colour and Multicultural Staff</w:t>
      </w:r>
      <w:r w:rsidR="00A42A6B">
        <w:t> </w:t>
      </w:r>
      <w:r w:rsidRPr="00F45F11">
        <w:t>Networks.</w:t>
      </w:r>
    </w:p>
    <w:p w14:paraId="085B3150" w14:textId="577D99F3" w:rsidR="003874DF" w:rsidRPr="00F45F11" w:rsidRDefault="003874DF" w:rsidP="0073114A">
      <w:pPr>
        <w:pStyle w:val="ARBody"/>
      </w:pPr>
      <w:r w:rsidRPr="00F45F11">
        <w:t>Network co-chairs completed employee reference group development to support them to effectively navigate their roles.</w:t>
      </w:r>
    </w:p>
    <w:p w14:paraId="2D7F6D48" w14:textId="77777777" w:rsidR="003874DF" w:rsidRPr="00F45F11" w:rsidRDefault="003874DF" w:rsidP="0073114A">
      <w:pPr>
        <w:pStyle w:val="Heading4"/>
      </w:pPr>
      <w:r w:rsidRPr="00F45F11">
        <w:t>People with disability</w:t>
      </w:r>
    </w:p>
    <w:p w14:paraId="576B2B63" w14:textId="77777777" w:rsidR="00641545" w:rsidRDefault="003874DF" w:rsidP="0073114A">
      <w:pPr>
        <w:pStyle w:val="ARBody"/>
      </w:pPr>
      <w:r w:rsidRPr="00F45F11">
        <w:t xml:space="preserve">In addition to the department’s framework, the department continued to deliver actions under </w:t>
      </w:r>
      <w:r w:rsidRPr="00A124D1">
        <w:rPr>
          <w:rStyle w:val="Emphasis"/>
        </w:rPr>
        <w:t>Getting to work: Victorian public sector disability employment action plan 2018–2025</w:t>
      </w:r>
      <w:r w:rsidRPr="00F45F11">
        <w:t>.</w:t>
      </w:r>
    </w:p>
    <w:p w14:paraId="10E33DF4" w14:textId="456C63C9" w:rsidR="003874DF" w:rsidRPr="00F45F11" w:rsidRDefault="003874DF" w:rsidP="0073114A">
      <w:pPr>
        <w:pStyle w:val="ARBody"/>
      </w:pPr>
      <w:r w:rsidRPr="00F45F11">
        <w:t>The action plan supports increased opportunities for people with disability to work in the department, with targets of 6% employment by 2020 and 12%</w:t>
      </w:r>
      <w:r w:rsidR="0073114A" w:rsidRPr="00F45F11">
        <w:t> </w:t>
      </w:r>
      <w:r w:rsidRPr="00F45F11">
        <w:t>employment by 2025. In 2026, the People Matter Survey data showed that of the people who completed the survey, 12% of respondents shared they had a disability.</w:t>
      </w:r>
    </w:p>
    <w:p w14:paraId="78CC834B" w14:textId="48565577" w:rsidR="003874DF" w:rsidRPr="00F45F11" w:rsidRDefault="003874DF" w:rsidP="0073114A">
      <w:pPr>
        <w:pStyle w:val="ARBody"/>
      </w:pPr>
      <w:r w:rsidRPr="00F45F11">
        <w:t>The department has a dedicated workplace adjustment policy and resources to support the inclusion and participation of employees with disability and build organisational capability. The department has also implemented independent neurodiverse</w:t>
      </w:r>
      <w:r w:rsidR="006A499D" w:rsidRPr="00F45F11">
        <w:t>-</w:t>
      </w:r>
      <w:r w:rsidRPr="00F45F11">
        <w:t>confident services that offer a range of</w:t>
      </w:r>
      <w:r w:rsidR="00566B8E">
        <w:t> </w:t>
      </w:r>
      <w:r w:rsidRPr="00F45F11">
        <w:t>services and support for neurodivergent employees, as well as managers and their teams.</w:t>
      </w:r>
    </w:p>
    <w:p w14:paraId="58D5C34A" w14:textId="611F4F44" w:rsidR="003874DF" w:rsidRPr="00F45F11" w:rsidRDefault="003874DF" w:rsidP="0073114A">
      <w:pPr>
        <w:pStyle w:val="ARBody"/>
      </w:pPr>
      <w:r w:rsidRPr="00F45F11">
        <w:t>The Enablers Network for people with disability continued supporting employees with disability to</w:t>
      </w:r>
      <w:r w:rsidR="0073114A" w:rsidRPr="00F45F11">
        <w:t> </w:t>
      </w:r>
      <w:r w:rsidRPr="00F45F11">
        <w:t>ensure a voice and removing barriers to inclusion.</w:t>
      </w:r>
    </w:p>
    <w:p w14:paraId="1BB1CF38" w14:textId="77777777" w:rsidR="003874DF" w:rsidRPr="00F45F11" w:rsidRDefault="003874DF" w:rsidP="0073114A">
      <w:pPr>
        <w:pStyle w:val="Heading4"/>
      </w:pPr>
      <w:r w:rsidRPr="00F45F11">
        <w:t>People from multicultural and multifaith backgrounds</w:t>
      </w:r>
    </w:p>
    <w:p w14:paraId="0F6748F3" w14:textId="77777777" w:rsidR="003874DF" w:rsidRPr="00F45F11" w:rsidRDefault="003874DF" w:rsidP="0073114A">
      <w:pPr>
        <w:pStyle w:val="ARBody"/>
      </w:pPr>
      <w:r w:rsidRPr="00F45F11">
        <w:t>The department has priority targets to improve the representation of the workforce from non-main-English-speaking multicultural backgrounds. The People Matter Survey 2026 shows that 19% of staff speak a language other than English with their families or communities.</w:t>
      </w:r>
    </w:p>
    <w:p w14:paraId="08664F33" w14:textId="2B6B0A8E" w:rsidR="003874DF" w:rsidRPr="00F45F11" w:rsidRDefault="003874DF" w:rsidP="0073114A">
      <w:pPr>
        <w:pStyle w:val="ARBody"/>
      </w:pPr>
      <w:r w:rsidRPr="00F45F11">
        <w:t>We have delivered a guide for ensuring prayer spaces</w:t>
      </w:r>
      <w:r w:rsidR="006A499D" w:rsidRPr="00F45F11">
        <w:t>. R</w:t>
      </w:r>
      <w:r w:rsidRPr="00F45F11">
        <w:t>oll-out has continued across offices. We</w:t>
      </w:r>
      <w:r w:rsidR="00A42A6B">
        <w:t> </w:t>
      </w:r>
      <w:r w:rsidRPr="00F45F11">
        <w:t>have launched a language allowance policy that</w:t>
      </w:r>
      <w:r w:rsidR="0073114A" w:rsidRPr="00F45F11">
        <w:t> </w:t>
      </w:r>
      <w:r w:rsidRPr="00F45F11">
        <w:t>ensures we valued the language and cultural expertise our workforce brings in serving diverse</w:t>
      </w:r>
      <w:r w:rsidR="00A42A6B">
        <w:t> </w:t>
      </w:r>
      <w:r w:rsidRPr="00F45F11">
        <w:t>communities.</w:t>
      </w:r>
    </w:p>
    <w:p w14:paraId="57F8FE7D" w14:textId="0469A2F7" w:rsidR="003874DF" w:rsidRPr="00F45F11" w:rsidRDefault="003874DF" w:rsidP="0073114A">
      <w:pPr>
        <w:pStyle w:val="ARBody"/>
      </w:pPr>
      <w:r w:rsidRPr="00F45F11">
        <w:t>The department has established a Multicultural and Women of Colour Network to empower staff to</w:t>
      </w:r>
      <w:r w:rsidR="0073114A" w:rsidRPr="00F45F11">
        <w:t> </w:t>
      </w:r>
      <w:r w:rsidRPr="00F45F11">
        <w:t>drive an inclusive workplace culture and contribute to innovation that improves outcomes for</w:t>
      </w:r>
      <w:r w:rsidR="00D056EA">
        <w:t> </w:t>
      </w:r>
      <w:r w:rsidRPr="00F45F11">
        <w:t>employees and communities.</w:t>
      </w:r>
    </w:p>
    <w:p w14:paraId="0647ECA3" w14:textId="20110E2D" w:rsidR="003874DF" w:rsidRPr="00F45F11" w:rsidRDefault="003874DF" w:rsidP="00A42A6B">
      <w:pPr>
        <w:pStyle w:val="Heading4"/>
      </w:pPr>
      <w:r w:rsidRPr="00F45F11">
        <w:t>LGBTIQA+ people</w:t>
      </w:r>
    </w:p>
    <w:p w14:paraId="104DD9EC" w14:textId="77777777" w:rsidR="003874DF" w:rsidRPr="00F45F11" w:rsidRDefault="003874DF" w:rsidP="0073114A">
      <w:pPr>
        <w:pStyle w:val="ARBody"/>
      </w:pPr>
      <w:r w:rsidRPr="00F45F11">
        <w:t>The department invested in LGBTIQA+ workplace inclusion achieving bronze accreditation in the Australian Workplace Equality Index in May 2026.</w:t>
      </w:r>
    </w:p>
    <w:p w14:paraId="15ADE8C3" w14:textId="32F1D4F9" w:rsidR="003874DF" w:rsidRPr="00F45F11" w:rsidRDefault="003874DF" w:rsidP="0073114A">
      <w:pPr>
        <w:pStyle w:val="ARBody"/>
      </w:pPr>
      <w:r w:rsidRPr="00F45F11">
        <w:t>The department has supportive processes for trans and gender diverse employees to affirm their gender identity in the workplace and to ensure their safety and inclusion. The department launched a trans and gender diverse eLearn in 2025 to build the capability of the workforce.</w:t>
      </w:r>
    </w:p>
    <w:p w14:paraId="4BC732E4" w14:textId="744BF024" w:rsidR="003874DF" w:rsidRPr="00F45F11" w:rsidRDefault="003874DF" w:rsidP="0073114A">
      <w:pPr>
        <w:pStyle w:val="ARBody"/>
      </w:pPr>
      <w:r w:rsidRPr="00F45F11">
        <w:t>The department continued to work with Pride in</w:t>
      </w:r>
      <w:r w:rsidR="00566B8E">
        <w:t> </w:t>
      </w:r>
      <w:r w:rsidRPr="00F45F11">
        <w:t>Diversity to provide employees with training and</w:t>
      </w:r>
      <w:r w:rsidR="0073114A" w:rsidRPr="00F45F11">
        <w:t> </w:t>
      </w:r>
      <w:r w:rsidRPr="00F45F11">
        <w:t>awareness.</w:t>
      </w:r>
    </w:p>
    <w:p w14:paraId="33F83B8E" w14:textId="4B4A25A9" w:rsidR="003874DF" w:rsidRPr="00F45F11" w:rsidRDefault="003874DF" w:rsidP="0073114A">
      <w:pPr>
        <w:pStyle w:val="ARBody"/>
      </w:pPr>
      <w:r w:rsidRPr="00F45F11">
        <w:t>To support wellbeing of staff</w:t>
      </w:r>
      <w:r w:rsidR="006A499D" w:rsidRPr="00F45F11">
        <w:t>,</w:t>
      </w:r>
      <w:r w:rsidRPr="00F45F11">
        <w:t xml:space="preserve"> we offer LGBTIQA+ confidential contacts and grievance officer programs to ensure trained allies and people and culture staff can support the workforce.</w:t>
      </w:r>
    </w:p>
    <w:p w14:paraId="5511918C" w14:textId="03429900" w:rsidR="003874DF" w:rsidRPr="00F45F11" w:rsidRDefault="003874DF" w:rsidP="0073114A">
      <w:pPr>
        <w:pStyle w:val="ARBody"/>
      </w:pPr>
      <w:r w:rsidRPr="00F45F11">
        <w:t>The department’s Pride Network provides a safe and inclusive space for LGBTIQA+ employees and</w:t>
      </w:r>
      <w:r w:rsidR="0073114A" w:rsidRPr="00F45F11">
        <w:t> </w:t>
      </w:r>
      <w:r w:rsidRPr="00F45F11">
        <w:t>allies.</w:t>
      </w:r>
    </w:p>
    <w:p w14:paraId="1E099555" w14:textId="77777777" w:rsidR="003874DF" w:rsidRPr="00F45F11" w:rsidRDefault="003874DF" w:rsidP="0073114A">
      <w:pPr>
        <w:pStyle w:val="Heading4"/>
      </w:pPr>
      <w:r w:rsidRPr="00F45F11">
        <w:t>People with caring responsibilities</w:t>
      </w:r>
    </w:p>
    <w:p w14:paraId="70B29FD0" w14:textId="77777777" w:rsidR="003874DF" w:rsidRPr="00F45F11" w:rsidRDefault="003874DF" w:rsidP="0073114A">
      <w:pPr>
        <w:pStyle w:val="ARBody"/>
      </w:pPr>
      <w:r w:rsidRPr="00F45F11">
        <w:t>The department is committed to supporting staff to balance work and caring responsibilities and has included a range of actions to support carers in its diversity and inclusion framework and gender equality action plan.</w:t>
      </w:r>
    </w:p>
    <w:p w14:paraId="0FA9E8C6" w14:textId="480D83C5" w:rsidR="003874DF" w:rsidRPr="00F45F11" w:rsidRDefault="003874DF" w:rsidP="0073114A">
      <w:pPr>
        <w:pStyle w:val="ARBody"/>
      </w:pPr>
      <w:r w:rsidRPr="00F45F11">
        <w:t>Key activities include a parental transition support program, promoting equitable access to flexible work arrangements through the development of resources for managers and staff and monitoring uptake of leave for diverse caring, parental and kinship responsibilities through an annual audit to</w:t>
      </w:r>
      <w:r w:rsidR="00566B8E">
        <w:t> </w:t>
      </w:r>
      <w:r w:rsidRPr="00F45F11">
        <w:t>identify and address barriers and trends.</w:t>
      </w:r>
    </w:p>
    <w:p w14:paraId="0453B14D" w14:textId="77777777" w:rsidR="003874DF" w:rsidRPr="00F45F11" w:rsidRDefault="003874DF" w:rsidP="00126E5A">
      <w:pPr>
        <w:pStyle w:val="Heading3"/>
      </w:pPr>
      <w:r w:rsidRPr="00F45F11">
        <w:t>Gender equality</w:t>
      </w:r>
    </w:p>
    <w:p w14:paraId="19C58162" w14:textId="0AE57CDD" w:rsidR="003874DF" w:rsidRPr="00F45F11" w:rsidRDefault="003874DF" w:rsidP="0073114A">
      <w:pPr>
        <w:pStyle w:val="ARBody"/>
      </w:pPr>
      <w:r w:rsidRPr="00F45F11">
        <w:t>The department continued to promote workplace gender equality and to meet its requirements under</w:t>
      </w:r>
      <w:r w:rsidR="00566B8E">
        <w:t> </w:t>
      </w:r>
      <w:r w:rsidRPr="00F45F11">
        <w:t xml:space="preserve">the </w:t>
      </w:r>
      <w:r w:rsidRPr="00A124D1">
        <w:rPr>
          <w:rStyle w:val="Emphasis"/>
        </w:rPr>
        <w:t>Gender Equality Act 2020</w:t>
      </w:r>
      <w:r w:rsidRPr="00F45F11">
        <w:t xml:space="preserve"> (the Act) including through:</w:t>
      </w:r>
    </w:p>
    <w:p w14:paraId="49015F19" w14:textId="77777777" w:rsidR="003874DF" w:rsidRPr="00F45F11" w:rsidRDefault="003874DF" w:rsidP="0073114A">
      <w:pPr>
        <w:pStyle w:val="ARBullet1"/>
      </w:pPr>
      <w:r w:rsidRPr="00F45F11">
        <w:t xml:space="preserve">implementation of the department’s </w:t>
      </w:r>
      <w:r w:rsidRPr="00A124D1">
        <w:rPr>
          <w:rStyle w:val="Emphasis"/>
        </w:rPr>
        <w:t xml:space="preserve">Gender equality action plan 2022–2025 </w:t>
      </w:r>
      <w:r w:rsidRPr="00F45F11">
        <w:t>(GEAP)</w:t>
      </w:r>
    </w:p>
    <w:p w14:paraId="54AA1B65" w14:textId="07F6D083" w:rsidR="003874DF" w:rsidRPr="00F45F11" w:rsidRDefault="003874DF" w:rsidP="0073114A">
      <w:pPr>
        <w:pStyle w:val="ARBullet1"/>
      </w:pPr>
      <w:r w:rsidRPr="00F45F11">
        <w:t xml:space="preserve">completion of the new </w:t>
      </w:r>
      <w:r w:rsidRPr="00A124D1">
        <w:rPr>
          <w:rStyle w:val="Emphasis"/>
        </w:rPr>
        <w:t>Gender equality action plan 2026–2029</w:t>
      </w:r>
      <w:r w:rsidRPr="00F45F11">
        <w:t xml:space="preserve"> and submission to the Commission for Gender Equality in the Public</w:t>
      </w:r>
      <w:r w:rsidR="0073114A" w:rsidRPr="00F45F11">
        <w:t> </w:t>
      </w:r>
      <w:r w:rsidRPr="00F45F11">
        <w:t>Sector</w:t>
      </w:r>
    </w:p>
    <w:p w14:paraId="1CE9DF50" w14:textId="0CC771C4" w:rsidR="003874DF" w:rsidRPr="00F45F11" w:rsidRDefault="003874DF" w:rsidP="0073114A">
      <w:pPr>
        <w:pStyle w:val="ARBullet1"/>
      </w:pPr>
      <w:r w:rsidRPr="00F45F11">
        <w:t xml:space="preserve">conducting the June 2025 workplace gender audit and preparing the </w:t>
      </w:r>
      <w:r w:rsidRPr="00A124D1">
        <w:rPr>
          <w:rStyle w:val="Emphasis"/>
        </w:rPr>
        <w:t>Gender equality</w:t>
      </w:r>
      <w:r w:rsidR="001A1EC5" w:rsidRPr="00A124D1">
        <w:rPr>
          <w:rStyle w:val="Emphasis"/>
        </w:rPr>
        <w:t> </w:t>
      </w:r>
      <w:r w:rsidRPr="00A124D1">
        <w:rPr>
          <w:rStyle w:val="Emphasis"/>
        </w:rPr>
        <w:t>progress report</w:t>
      </w:r>
      <w:r w:rsidR="0073114A" w:rsidRPr="00A124D1">
        <w:rPr>
          <w:rStyle w:val="Emphasis"/>
        </w:rPr>
        <w:t> </w:t>
      </w:r>
      <w:r w:rsidRPr="00A124D1">
        <w:rPr>
          <w:rStyle w:val="Emphasis"/>
        </w:rPr>
        <w:t>2026</w:t>
      </w:r>
    </w:p>
    <w:p w14:paraId="5328CFEF" w14:textId="77777777" w:rsidR="003874DF" w:rsidRPr="00F45F11" w:rsidRDefault="003874DF" w:rsidP="0073114A">
      <w:pPr>
        <w:pStyle w:val="ARBullet1"/>
      </w:pPr>
      <w:r w:rsidRPr="00F45F11">
        <w:t>conducting Gender Impact Assessments (GIAs) for new policies, programs and services that have a significant impact on the public.</w:t>
      </w:r>
    </w:p>
    <w:p w14:paraId="057C7B72" w14:textId="6A3CE24B" w:rsidR="0048706E" w:rsidRDefault="003874DF" w:rsidP="00641545">
      <w:pPr>
        <w:pStyle w:val="ARBodyafterbullets"/>
      </w:pPr>
      <w:r w:rsidRPr="00F45F11">
        <w:t>The department has progressed activities under the GEAP. This includes developing and delivering Everyday Sexism and Sexual Harassment workshops, providing training and coaching to support parental leave and menopause transition, supporting the family violence contact officer network, implementing eLearning modules about family violence and the Multi-Agency Risk Assessment and Management (MARAM) Framework</w:t>
      </w:r>
      <w:r w:rsidRPr="00F45F11" w:rsidDel="00C22930">
        <w:t xml:space="preserve">, </w:t>
      </w:r>
      <w:r w:rsidRPr="00F45F11">
        <w:t>and including model gender equality</w:t>
      </w:r>
      <w:r w:rsidR="00566B8E">
        <w:t> </w:t>
      </w:r>
      <w:r w:rsidRPr="00F45F11">
        <w:t>goals for leaders in the professional development cycle.</w:t>
      </w:r>
    </w:p>
    <w:p w14:paraId="158B2ACA" w14:textId="1398689C" w:rsidR="003874DF" w:rsidRPr="00F45F11" w:rsidRDefault="003874DF" w:rsidP="0048706E">
      <w:pPr>
        <w:pStyle w:val="ARBodyafterbullets"/>
        <w:spacing w:before="0"/>
      </w:pPr>
      <w:r w:rsidRPr="00F45F11">
        <w:t>The department has delivered activities to support GIA capability and compliance. This includes expanding the number of GIAs in our central GIA depository, quality assurance of gender responsive budgeting submissions, and providing in-house training to department staff on GIA processes.</w:t>
      </w:r>
    </w:p>
    <w:p w14:paraId="16F54A26" w14:textId="77777777" w:rsidR="003874DF" w:rsidRPr="00F45F11" w:rsidRDefault="003874DF" w:rsidP="0073114A">
      <w:pPr>
        <w:pStyle w:val="Heading3"/>
      </w:pPr>
      <w:r w:rsidRPr="00F45F11">
        <w:t>Youth Employment Scheme</w:t>
      </w:r>
    </w:p>
    <w:p w14:paraId="5B2A4136" w14:textId="2F42CB24" w:rsidR="003874DF" w:rsidRPr="00F45F11" w:rsidRDefault="003874DF" w:rsidP="0073114A">
      <w:pPr>
        <w:pStyle w:val="ARBody"/>
      </w:pPr>
      <w:r w:rsidRPr="00F45F11">
        <w:t>The department continued to engage with the Youth</w:t>
      </w:r>
      <w:r w:rsidR="0073114A" w:rsidRPr="00F45F11">
        <w:t> </w:t>
      </w:r>
      <w:r w:rsidRPr="00F45F11">
        <w:t>Employment Scheme. This initiative of the Department of Jobs, Skills, Industry and Regions supports young people aged 15 to 29 years to find</w:t>
      </w:r>
      <w:r w:rsidR="00D056EA">
        <w:t> </w:t>
      </w:r>
      <w:r w:rsidRPr="00F45F11">
        <w:t>employment.</w:t>
      </w:r>
    </w:p>
    <w:p w14:paraId="7F14914D" w14:textId="77777777" w:rsidR="003874DF" w:rsidRPr="00F45F11" w:rsidRDefault="003874DF" w:rsidP="0073114A">
      <w:pPr>
        <w:pStyle w:val="ARBody"/>
      </w:pPr>
      <w:r w:rsidRPr="00F45F11">
        <w:t>The traineeships provide paid employment opportunities while attaining a qualification, with the prospect of further and potentially ongoing employment in the department.</w:t>
      </w:r>
    </w:p>
    <w:p w14:paraId="53172B43" w14:textId="77777777" w:rsidR="003874DF" w:rsidRPr="00F45F11" w:rsidRDefault="003874DF" w:rsidP="0073114A">
      <w:pPr>
        <w:pStyle w:val="ARBody"/>
      </w:pPr>
      <w:r w:rsidRPr="00F45F11">
        <w:t>Priority groups include:</w:t>
      </w:r>
    </w:p>
    <w:p w14:paraId="3AE37F95" w14:textId="77777777" w:rsidR="003874DF" w:rsidRPr="00F45F11" w:rsidRDefault="003874DF" w:rsidP="0073114A">
      <w:pPr>
        <w:pStyle w:val="ARBullet1"/>
      </w:pPr>
      <w:r w:rsidRPr="00F45F11">
        <w:t>people unemployed for 6 months or at risk of being long-term unemployed</w:t>
      </w:r>
    </w:p>
    <w:p w14:paraId="44A25397" w14:textId="77777777" w:rsidR="003874DF" w:rsidRPr="00F45F11" w:rsidRDefault="003874DF" w:rsidP="0073114A">
      <w:pPr>
        <w:pStyle w:val="ARBullet1"/>
      </w:pPr>
      <w:r w:rsidRPr="00F45F11">
        <w:t>people with disability</w:t>
      </w:r>
    </w:p>
    <w:p w14:paraId="226DA73E" w14:textId="77777777" w:rsidR="003874DF" w:rsidRPr="00F45F11" w:rsidRDefault="003874DF" w:rsidP="0073114A">
      <w:pPr>
        <w:pStyle w:val="ARBullet1"/>
      </w:pPr>
      <w:r w:rsidRPr="00F45F11">
        <w:t>Aboriginal and Torres Strait Islander people</w:t>
      </w:r>
    </w:p>
    <w:p w14:paraId="63B5B1C4" w14:textId="77777777" w:rsidR="003874DF" w:rsidRPr="00F45F11" w:rsidRDefault="003874DF" w:rsidP="0073114A">
      <w:pPr>
        <w:pStyle w:val="ARBullet1"/>
      </w:pPr>
      <w:r w:rsidRPr="00F45F11">
        <w:t>culturally and linguistically diverse communities including humanitarian migrants (asylum seekers and refugees)</w:t>
      </w:r>
    </w:p>
    <w:p w14:paraId="4C71878A" w14:textId="77777777" w:rsidR="003874DF" w:rsidRPr="00F45F11" w:rsidRDefault="003874DF" w:rsidP="0073114A">
      <w:pPr>
        <w:pStyle w:val="ARBullet1"/>
      </w:pPr>
      <w:r w:rsidRPr="00F45F11">
        <w:t>public and social housing residents</w:t>
      </w:r>
    </w:p>
    <w:p w14:paraId="3A69A315" w14:textId="77777777" w:rsidR="003874DF" w:rsidRPr="00F45F11" w:rsidRDefault="003874DF" w:rsidP="0073114A">
      <w:pPr>
        <w:pStyle w:val="ARBullet1"/>
      </w:pPr>
      <w:r w:rsidRPr="00F45F11">
        <w:t>people with experience of homelessness or at risk of homelessness</w:t>
      </w:r>
    </w:p>
    <w:p w14:paraId="01A23054" w14:textId="77777777" w:rsidR="003874DF" w:rsidRPr="00F45F11" w:rsidRDefault="003874DF" w:rsidP="0073114A">
      <w:pPr>
        <w:pStyle w:val="ARBullet1"/>
      </w:pPr>
      <w:r w:rsidRPr="00F45F11">
        <w:t>people with experience of family violence</w:t>
      </w:r>
    </w:p>
    <w:p w14:paraId="4624B5DF" w14:textId="7E7D6D35" w:rsidR="003874DF" w:rsidRPr="00F45F11" w:rsidRDefault="003874DF" w:rsidP="0073114A">
      <w:pPr>
        <w:pStyle w:val="ARBullet1"/>
      </w:pPr>
      <w:r w:rsidRPr="00F45F11">
        <w:t>Youth Justice clients</w:t>
      </w:r>
    </w:p>
    <w:p w14:paraId="0961FE10" w14:textId="77777777" w:rsidR="003874DF" w:rsidRPr="00F45F11" w:rsidRDefault="003874DF" w:rsidP="0073114A">
      <w:pPr>
        <w:pStyle w:val="ARBullet1"/>
      </w:pPr>
      <w:r w:rsidRPr="00F45F11">
        <w:t>young people from out-of-home care</w:t>
      </w:r>
    </w:p>
    <w:p w14:paraId="0F5C66C9" w14:textId="77777777" w:rsidR="003874DF" w:rsidRPr="00F45F11" w:rsidRDefault="003874DF" w:rsidP="0073114A">
      <w:pPr>
        <w:pStyle w:val="ARBullet1"/>
      </w:pPr>
      <w:r w:rsidRPr="00F45F11">
        <w:t>single parents</w:t>
      </w:r>
    </w:p>
    <w:p w14:paraId="66DFDE9F" w14:textId="35EDC9B1" w:rsidR="0048706E" w:rsidRDefault="003874DF" w:rsidP="0073114A">
      <w:pPr>
        <w:pStyle w:val="ARBullet1"/>
      </w:pPr>
      <w:r w:rsidRPr="00F45F11">
        <w:t>people with experience of mental illness.</w:t>
      </w:r>
    </w:p>
    <w:p w14:paraId="356C5D0B" w14:textId="77777777" w:rsidR="003874DF" w:rsidRPr="00F45F11" w:rsidRDefault="003874DF" w:rsidP="0073114A">
      <w:pPr>
        <w:pStyle w:val="Heading3"/>
      </w:pPr>
      <w:r w:rsidRPr="00F45F11">
        <w:t>Western Chances internship</w:t>
      </w:r>
    </w:p>
    <w:p w14:paraId="193A3C53" w14:textId="7014100A" w:rsidR="003874DF" w:rsidRPr="00F45F11" w:rsidRDefault="003874DF" w:rsidP="0073114A">
      <w:pPr>
        <w:pStyle w:val="ARBody"/>
      </w:pPr>
      <w:r w:rsidRPr="00F45F11">
        <w:t>The Western Chances Internship Program matches tertiary scholarship recipients with 12-week paid internships. This internship provides young people</w:t>
      </w:r>
      <w:r w:rsidR="00333488" w:rsidRPr="00F45F11">
        <w:t> </w:t>
      </w:r>
      <w:r w:rsidRPr="00F45F11">
        <w:t>facing social or financial barriers with meaningful work experience and an opportunity to</w:t>
      </w:r>
      <w:r w:rsidR="00333488" w:rsidRPr="00F45F11">
        <w:t> </w:t>
      </w:r>
      <w:r w:rsidRPr="00F45F11">
        <w:t xml:space="preserve">develop job-ready skills and builds their professional network. </w:t>
      </w:r>
    </w:p>
    <w:p w14:paraId="2E27BBD3" w14:textId="659C6A89" w:rsidR="0048706E" w:rsidRDefault="003874DF" w:rsidP="0073114A">
      <w:pPr>
        <w:pStyle w:val="ARBody"/>
      </w:pPr>
      <w:r w:rsidRPr="00F45F11">
        <w:t>The department hosted 3 internships for young people through this employment program within this</w:t>
      </w:r>
      <w:r w:rsidR="0073114A" w:rsidRPr="00F45F11">
        <w:t> </w:t>
      </w:r>
      <w:r w:rsidRPr="00F45F11">
        <w:t>financial</w:t>
      </w:r>
      <w:r w:rsidR="00641545">
        <w:t> </w:t>
      </w:r>
      <w:r w:rsidRPr="00F45F11">
        <w:t>year.</w:t>
      </w:r>
    </w:p>
    <w:p w14:paraId="4218A728" w14:textId="77777777" w:rsidR="003874DF" w:rsidRPr="00F45F11" w:rsidRDefault="003874DF" w:rsidP="0073114A">
      <w:pPr>
        <w:pStyle w:val="Heading3"/>
      </w:pPr>
      <w:r w:rsidRPr="00F45F11">
        <w:t>Graduate recruitment</w:t>
      </w:r>
    </w:p>
    <w:p w14:paraId="46D185EB" w14:textId="77777777" w:rsidR="003874DF" w:rsidRPr="00F45F11" w:rsidRDefault="003874DF" w:rsidP="0073114A">
      <w:pPr>
        <w:pStyle w:val="ARBody"/>
      </w:pPr>
      <w:r w:rsidRPr="00F45F11">
        <w:t>The department has 5 graduates participating in the 2026 Victorian Government Graduate Program, which is run by the Victorian Public Sector Commission (VPSC).</w:t>
      </w:r>
    </w:p>
    <w:p w14:paraId="6F0B60C9" w14:textId="77777777" w:rsidR="003874DF" w:rsidRPr="00F45F11" w:rsidRDefault="003874DF" w:rsidP="0073114A">
      <w:pPr>
        <w:pStyle w:val="ARBody"/>
      </w:pPr>
      <w:r w:rsidRPr="00F45F11">
        <w:t>In the 2026 intake, the department recruited 5 graduates from diverse academic backgrounds.</w:t>
      </w:r>
    </w:p>
    <w:p w14:paraId="228CE5C0" w14:textId="77777777" w:rsidR="003874DF" w:rsidRPr="00F45F11" w:rsidRDefault="003874DF" w:rsidP="0073114A">
      <w:pPr>
        <w:pStyle w:val="ARBody"/>
      </w:pPr>
      <w:r w:rsidRPr="00F45F11">
        <w:t>Graduates participating in the 12-month graduate programs complete 3 rotations to develop core skills and gain broad experience working within various business units.</w:t>
      </w:r>
    </w:p>
    <w:p w14:paraId="1256AB6D" w14:textId="2A623BB6" w:rsidR="003874DF" w:rsidRPr="00F45F11" w:rsidRDefault="003874DF" w:rsidP="0073114A">
      <w:pPr>
        <w:pStyle w:val="ARBody"/>
      </w:pPr>
      <w:r w:rsidRPr="00F45F11">
        <w:t>In addition to the VPSC graduate program, the</w:t>
      </w:r>
      <w:r w:rsidR="0073114A" w:rsidRPr="00F45F11">
        <w:t> </w:t>
      </w:r>
      <w:r w:rsidRPr="00F45F11">
        <w:t xml:space="preserve">department hosted 2 positions within the internal Aboriginal Graduate Program. The 2 employees commenced at different dates within the 2025–26 financial year. </w:t>
      </w:r>
    </w:p>
    <w:p w14:paraId="21FB42AD" w14:textId="630B026C" w:rsidR="003874DF" w:rsidRPr="00F45F11" w:rsidRDefault="003874DF" w:rsidP="0073114A">
      <w:pPr>
        <w:pStyle w:val="ARBody"/>
      </w:pPr>
      <w:r w:rsidRPr="00F45F11">
        <w:t>The department also administers the Community and Social Services Graduate Program, which saw</w:t>
      </w:r>
      <w:r w:rsidR="00566B8E">
        <w:t> </w:t>
      </w:r>
      <w:r w:rsidRPr="00F45F11">
        <w:t>the department host 39 graduates during the</w:t>
      </w:r>
      <w:r w:rsidR="00566B8E">
        <w:t> </w:t>
      </w:r>
      <w:r w:rsidRPr="00F45F11">
        <w:t>2025–26 financial year.</w:t>
      </w:r>
    </w:p>
    <w:p w14:paraId="3F39A4AA" w14:textId="77777777" w:rsidR="003874DF" w:rsidRPr="00F45F11" w:rsidRDefault="003874DF" w:rsidP="0073114A">
      <w:pPr>
        <w:pStyle w:val="Heading3"/>
      </w:pPr>
      <w:r w:rsidRPr="00F45F11">
        <w:t>Student placement program</w:t>
      </w:r>
    </w:p>
    <w:p w14:paraId="216EE1FB" w14:textId="04C73CF6" w:rsidR="003874DF" w:rsidRPr="00F45F11" w:rsidRDefault="003874DF" w:rsidP="0073114A">
      <w:pPr>
        <w:pStyle w:val="ARBody"/>
      </w:pPr>
      <w:r w:rsidRPr="00F45F11">
        <w:t>The department offers students undertaking a</w:t>
      </w:r>
      <w:r w:rsidR="0073114A" w:rsidRPr="00F45F11">
        <w:t> </w:t>
      </w:r>
      <w:r w:rsidRPr="00F45F11">
        <w:t>tertiary qualification the opportunity to complete their</w:t>
      </w:r>
      <w:r w:rsidR="0073114A" w:rsidRPr="00F45F11">
        <w:t> </w:t>
      </w:r>
      <w:r w:rsidRPr="00F45F11">
        <w:t>fieldwork placement as part of their course.</w:t>
      </w:r>
    </w:p>
    <w:p w14:paraId="702C823D" w14:textId="77777777" w:rsidR="0048706E" w:rsidRDefault="003874DF" w:rsidP="0048706E">
      <w:pPr>
        <w:pStyle w:val="ARBody"/>
      </w:pPr>
      <w:r w:rsidRPr="00F45F11">
        <w:t>In 2025–26, 280 tertiary students commenced a</w:t>
      </w:r>
      <w:r w:rsidR="0073114A" w:rsidRPr="00F45F11">
        <w:t> </w:t>
      </w:r>
      <w:r w:rsidRPr="00F45F11">
        <w:t>placement across the department, including placements in child protection, housing, forensic disability services, corporate services and statewide services.</w:t>
      </w:r>
    </w:p>
    <w:p w14:paraId="706A5333" w14:textId="3CB0076D" w:rsidR="003874DF" w:rsidRPr="00F45F11" w:rsidRDefault="003874DF" w:rsidP="00641545">
      <w:pPr>
        <w:pStyle w:val="Heading3"/>
      </w:pPr>
      <w:r w:rsidRPr="00F45F11">
        <w:t>Child Protection Employment Program</w:t>
      </w:r>
    </w:p>
    <w:p w14:paraId="3A06CA62" w14:textId="5D8ABBEF" w:rsidR="003874DF" w:rsidRPr="00F45F11" w:rsidRDefault="003874DF" w:rsidP="0048706E">
      <w:pPr>
        <w:pStyle w:val="ARBody"/>
        <w:spacing w:line="240" w:lineRule="atLeast"/>
      </w:pPr>
      <w:r w:rsidRPr="00F45F11">
        <w:t xml:space="preserve">The Child Protection Employment Program (CPEP) offers 12 weeks full-time or 16 weeks part-time, </w:t>
      </w:r>
      <w:proofErr w:type="gramStart"/>
      <w:r w:rsidRPr="00F45F11">
        <w:t>fixed-term</w:t>
      </w:r>
      <w:proofErr w:type="gramEnd"/>
      <w:r w:rsidRPr="00F45F11">
        <w:t xml:space="preserve"> paid employment to recent graduates and</w:t>
      </w:r>
      <w:r w:rsidR="0073114A" w:rsidRPr="00F45F11">
        <w:t> </w:t>
      </w:r>
      <w:r w:rsidRPr="00F45F11">
        <w:t>eligible students studying a social work, welfare, community or behavioural qualification.</w:t>
      </w:r>
    </w:p>
    <w:p w14:paraId="2E07842E" w14:textId="77777777" w:rsidR="0048706E" w:rsidRDefault="003874DF" w:rsidP="0048706E">
      <w:pPr>
        <w:pStyle w:val="ARBody"/>
        <w:spacing w:line="240" w:lineRule="atLeast"/>
      </w:pPr>
      <w:r w:rsidRPr="00F45F11">
        <w:t>The rotation-based program enables participants to work in a structured and supportive learning environment alongside experienced practitioners to experience the </w:t>
      </w:r>
      <w:r w:rsidR="00064781" w:rsidRPr="00F45F11">
        <w:t>c</w:t>
      </w:r>
      <w:r w:rsidRPr="00F45F11">
        <w:t>hild </w:t>
      </w:r>
      <w:r w:rsidR="00064781" w:rsidRPr="00F45F11">
        <w:t>p</w:t>
      </w:r>
      <w:r w:rsidRPr="00F45F11">
        <w:t xml:space="preserve">rotection </w:t>
      </w:r>
      <w:r w:rsidR="00064781" w:rsidRPr="00F45F11">
        <w:t>p</w:t>
      </w:r>
      <w:r w:rsidRPr="00F45F11">
        <w:t>ractitioner (CPP) role.</w:t>
      </w:r>
    </w:p>
    <w:p w14:paraId="5027FF89" w14:textId="7166AF53" w:rsidR="003874DF" w:rsidRPr="00F45F11" w:rsidRDefault="003874DF" w:rsidP="0048706E">
      <w:pPr>
        <w:pStyle w:val="ARBody"/>
        <w:spacing w:line="240" w:lineRule="atLeast"/>
      </w:pPr>
      <w:r w:rsidRPr="00F45F11">
        <w:t xml:space="preserve">Participants who demonstrate the essential skills and attributes necessary for entry into a CPP role, have completed a recognised qualification and who successfully complete the program may receive an offer of employment for a CPP3 position. Participants </w:t>
      </w:r>
      <w:r w:rsidR="008E6530" w:rsidRPr="00F45F11">
        <w:t xml:space="preserve">who </w:t>
      </w:r>
      <w:r w:rsidRPr="00F45F11">
        <w:t>have successfully completed the program and are still completing a recognised qualification may receive a conditional offer of employment at the CPP3 level, subject to the successful completion of their recognised qualification. These participants may commence in the department as a CPP2, enabling them to remain working in child protection while completing their qualification.</w:t>
      </w:r>
    </w:p>
    <w:p w14:paraId="2983147F" w14:textId="07C34EA0" w:rsidR="003874DF" w:rsidRPr="00F45F11" w:rsidRDefault="008E6530" w:rsidP="0048706E">
      <w:pPr>
        <w:pStyle w:val="ARBody"/>
        <w:spacing w:line="240" w:lineRule="atLeast"/>
      </w:pPr>
      <w:r w:rsidRPr="00F45F11">
        <w:t xml:space="preserve">One hundred </w:t>
      </w:r>
      <w:r w:rsidR="003874DF" w:rsidRPr="00F45F11">
        <w:t>CPEP employees completed the program.</w:t>
      </w:r>
      <w:r w:rsidRPr="00F45F11">
        <w:t xml:space="preserve"> Ninety</w:t>
      </w:r>
      <w:r w:rsidR="003874DF" w:rsidRPr="00F45F11">
        <w:t> participants in the program were recommended for further employment at the end of</w:t>
      </w:r>
      <w:r w:rsidR="00D056EA">
        <w:t> </w:t>
      </w:r>
      <w:r w:rsidR="003874DF" w:rsidRPr="00F45F11">
        <w:t>the program in June 2026.</w:t>
      </w:r>
    </w:p>
    <w:p w14:paraId="24B60AEE" w14:textId="279F16A5" w:rsidR="003874DF" w:rsidRPr="00F45F11" w:rsidRDefault="003874DF" w:rsidP="00A42A6B">
      <w:pPr>
        <w:pStyle w:val="Heading3"/>
      </w:pPr>
      <w:r w:rsidRPr="00F45F11">
        <w:t xml:space="preserve">Additional </w:t>
      </w:r>
      <w:r w:rsidRPr="00A42A6B">
        <w:t>employment</w:t>
      </w:r>
      <w:r w:rsidRPr="00F45F11">
        <w:t xml:space="preserve"> programs in 2025–26</w:t>
      </w:r>
    </w:p>
    <w:p w14:paraId="76CE082D" w14:textId="286CD57E" w:rsidR="003874DF" w:rsidRPr="00F45F11" w:rsidRDefault="003874DF" w:rsidP="0048706E">
      <w:pPr>
        <w:pStyle w:val="ARBody"/>
        <w:spacing w:line="240" w:lineRule="atLeast"/>
      </w:pPr>
      <w:r w:rsidRPr="00F45F11">
        <w:t>The department has additional employment programs that are smaller in scale that contribute to</w:t>
      </w:r>
      <w:r w:rsidR="0073114A" w:rsidRPr="00F45F11">
        <w:t> </w:t>
      </w:r>
      <w:r w:rsidRPr="00F45F11">
        <w:t xml:space="preserve">the </w:t>
      </w:r>
      <w:r w:rsidRPr="00A124D1">
        <w:rPr>
          <w:rStyle w:val="Emphasis"/>
        </w:rPr>
        <w:t>Diversity and inclusion framework 2022–2027</w:t>
      </w:r>
      <w:r w:rsidRPr="00F63DEB">
        <w:rPr>
          <w:rStyle w:val="Emphasis"/>
          <w:i w:val="0"/>
        </w:rPr>
        <w:t>:</w:t>
      </w:r>
    </w:p>
    <w:p w14:paraId="591C9DA2" w14:textId="72470861" w:rsidR="003874DF" w:rsidRPr="00F45F11" w:rsidRDefault="003874DF" w:rsidP="0048706E">
      <w:pPr>
        <w:pStyle w:val="ARBullet1"/>
        <w:spacing w:line="240" w:lineRule="atLeast"/>
      </w:pPr>
      <w:proofErr w:type="spellStart"/>
      <w:r w:rsidRPr="00F45F11">
        <w:t>CareerSeekers</w:t>
      </w:r>
      <w:proofErr w:type="spellEnd"/>
      <w:r w:rsidRPr="00F45F11">
        <w:t xml:space="preserve"> – the department hosted 4 internships for participants of this program. </w:t>
      </w:r>
      <w:proofErr w:type="spellStart"/>
      <w:r w:rsidRPr="00F45F11">
        <w:t>CareerSeekers</w:t>
      </w:r>
      <w:proofErr w:type="spellEnd"/>
      <w:r w:rsidRPr="00F45F11">
        <w:t xml:space="preserve"> supports university students and experienced professionals from a refugee background to secure employment opportunities</w:t>
      </w:r>
    </w:p>
    <w:p w14:paraId="39D83049" w14:textId="2BA93EAA" w:rsidR="003874DF" w:rsidRPr="00F45F11" w:rsidRDefault="003874DF" w:rsidP="0048706E">
      <w:pPr>
        <w:pStyle w:val="ARBullet1"/>
        <w:spacing w:line="240" w:lineRule="atLeast"/>
      </w:pPr>
      <w:r w:rsidRPr="00F45F11">
        <w:t>Australian Disability Network Internship Program – the department hosted 3 internships for participants of this program.</w:t>
      </w:r>
    </w:p>
    <w:p w14:paraId="4FD0A655" w14:textId="1289DD87" w:rsidR="005D1667" w:rsidRDefault="003874DF" w:rsidP="00641545">
      <w:pPr>
        <w:pStyle w:val="ARBodyafterbullets"/>
        <w:spacing w:line="240" w:lineRule="atLeast"/>
      </w:pPr>
      <w:r w:rsidRPr="00F45F11">
        <w:t>The department also administers the Community and Social Services Graduate Program, which commenced 180 graduates this financial year. The</w:t>
      </w:r>
      <w:r w:rsidR="0073114A" w:rsidRPr="00F45F11">
        <w:t> </w:t>
      </w:r>
      <w:r w:rsidRPr="00F45F11">
        <w:t xml:space="preserve">program provides graduates with opportunities in cross-sector development activities and professional networking to improve graduate </w:t>
      </w:r>
      <w:r w:rsidR="008E6530" w:rsidRPr="00F45F11">
        <w:br/>
      </w:r>
      <w:r w:rsidRPr="00F45F11">
        <w:t>job-readiness and</w:t>
      </w:r>
      <w:r w:rsidR="0073114A" w:rsidRPr="00F45F11">
        <w:t> </w:t>
      </w:r>
      <w:r w:rsidRPr="00F45F11">
        <w:t>retention.</w:t>
      </w:r>
      <w:bookmarkStart w:id="128" w:name="_Comparative_workforce_data"/>
      <w:bookmarkEnd w:id="125"/>
      <w:bookmarkEnd w:id="126"/>
      <w:bookmarkEnd w:id="127"/>
      <w:bookmarkEnd w:id="128"/>
    </w:p>
    <w:p w14:paraId="41BD283A" w14:textId="77777777" w:rsidR="00641545" w:rsidRPr="00F45F11" w:rsidRDefault="00641545" w:rsidP="0073114A">
      <w:pPr>
        <w:pStyle w:val="ARBody"/>
        <w:sectPr w:rsidR="00641545" w:rsidRPr="00F45F11" w:rsidSect="00E7077C">
          <w:headerReference w:type="even" r:id="rId50"/>
          <w:headerReference w:type="default" r:id="rId51"/>
          <w:footerReference w:type="default" r:id="rId52"/>
          <w:headerReference w:type="first" r:id="rId53"/>
          <w:type w:val="continuous"/>
          <w:pgSz w:w="11906" w:h="16838" w:code="9"/>
          <w:pgMar w:top="1588" w:right="1134" w:bottom="851" w:left="1134" w:header="680" w:footer="567" w:gutter="0"/>
          <w:cols w:space="340"/>
          <w:docGrid w:linePitch="360"/>
        </w:sectPr>
      </w:pPr>
    </w:p>
    <w:p w14:paraId="45D6449C" w14:textId="77777777" w:rsidR="005E2BB1" w:rsidRPr="00F45F11" w:rsidRDefault="005E2BB1" w:rsidP="005E2BB1">
      <w:pPr>
        <w:pStyle w:val="Heading2"/>
        <w:spacing w:before="0"/>
      </w:pPr>
      <w:bookmarkStart w:id="129" w:name="_Comparative_workforce_data_1"/>
      <w:bookmarkStart w:id="130" w:name="_Toc114491199"/>
      <w:bookmarkStart w:id="131" w:name="_Toc212039532"/>
      <w:bookmarkStart w:id="132" w:name="_Toc241131707"/>
      <w:bookmarkStart w:id="133" w:name="_Toc114491200"/>
      <w:bookmarkStart w:id="134" w:name="_Toc212039533"/>
      <w:bookmarkEnd w:id="129"/>
      <w:r w:rsidRPr="00F45F11">
        <w:t>Comparative workforce data</w:t>
      </w:r>
      <w:bookmarkEnd w:id="130"/>
      <w:bookmarkEnd w:id="131"/>
      <w:bookmarkEnd w:id="132"/>
    </w:p>
    <w:p w14:paraId="4812FDDF" w14:textId="028420D0" w:rsidR="005E2BB1" w:rsidRPr="00F45F11" w:rsidRDefault="005E2BB1" w:rsidP="005E2BB1">
      <w:pPr>
        <w:pStyle w:val="ARBody"/>
      </w:pPr>
      <w:r w:rsidRPr="00F45F11">
        <w:t>The following table discloses the head count and full-time staff equivalent (FTE) of all active public service employees of the department, employed in the last full pay period in June of the current reporting period (2026), and in the last full pay period of June in the previous reporting period (2025)</w:t>
      </w:r>
      <w:r w:rsidR="008B7D85" w:rsidRPr="00F45F11">
        <w:t>.</w:t>
      </w:r>
      <w:r w:rsidRPr="00F45F11">
        <w:rPr>
          <w:vertAlign w:val="superscript"/>
        </w:rPr>
        <w:footnoteReference w:id="8"/>
      </w:r>
    </w:p>
    <w:p w14:paraId="1BA22EC1" w14:textId="0D828E87" w:rsidR="005E2BB1" w:rsidRPr="00F45F11" w:rsidRDefault="005E2BB1" w:rsidP="005E2BB1">
      <w:pPr>
        <w:pStyle w:val="ARTablecaption"/>
      </w:pPr>
      <w:r w:rsidRPr="00F45F11">
        <w:t>Table 1: Details of employment levels in June 2026 and June 2025</w:t>
      </w:r>
    </w:p>
    <w:tbl>
      <w:tblPr>
        <w:tblStyle w:val="ARtable1"/>
        <w:tblW w:w="14680" w:type="dxa"/>
        <w:tblLayout w:type="fixed"/>
        <w:tblLook w:val="04E0" w:firstRow="1" w:lastRow="1" w:firstColumn="1" w:lastColumn="0" w:noHBand="0" w:noVBand="1"/>
      </w:tblPr>
      <w:tblGrid>
        <w:gridCol w:w="1186"/>
        <w:gridCol w:w="992"/>
        <w:gridCol w:w="992"/>
        <w:gridCol w:w="926"/>
        <w:gridCol w:w="926"/>
        <w:gridCol w:w="927"/>
        <w:gridCol w:w="1057"/>
        <w:gridCol w:w="927"/>
        <w:gridCol w:w="1057"/>
        <w:gridCol w:w="927"/>
        <w:gridCol w:w="926"/>
        <w:gridCol w:w="926"/>
        <w:gridCol w:w="927"/>
        <w:gridCol w:w="1057"/>
        <w:gridCol w:w="927"/>
      </w:tblGrid>
      <w:tr w:rsidR="005E2BB1" w:rsidRPr="00F45F11" w14:paraId="6D6EAE23" w14:textId="77777777" w:rsidTr="004E5FC5">
        <w:trPr>
          <w:cnfStyle w:val="100000000000" w:firstRow="1" w:lastRow="0" w:firstColumn="0" w:lastColumn="0" w:oddVBand="0" w:evenVBand="0" w:oddHBand="0" w:evenHBand="0" w:firstRowFirstColumn="0" w:firstRowLastColumn="0" w:lastRowFirstColumn="0" w:lastRowLastColumn="0"/>
          <w:trHeight w:val="20"/>
          <w:tblHeader/>
        </w:trPr>
        <w:tc>
          <w:tcPr>
            <w:tcW w:w="1186" w:type="dxa"/>
            <w:tcBorders>
              <w:bottom w:val="single" w:sz="4" w:space="0" w:color="auto"/>
            </w:tcBorders>
            <w:hideMark/>
          </w:tcPr>
          <w:p w14:paraId="15873025" w14:textId="77777777" w:rsidR="005E2BB1" w:rsidRPr="00F45F11" w:rsidRDefault="005E2BB1" w:rsidP="005E2BB1">
            <w:pPr>
              <w:rPr>
                <w:lang w:eastAsia="en-AU"/>
              </w:rPr>
            </w:pPr>
          </w:p>
        </w:tc>
        <w:tc>
          <w:tcPr>
            <w:tcW w:w="992" w:type="dxa"/>
            <w:tcBorders>
              <w:bottom w:val="single" w:sz="4" w:space="0" w:color="auto"/>
            </w:tcBorders>
            <w:shd w:val="clear" w:color="auto" w:fill="E7E6E6" w:themeFill="background2"/>
            <w:hideMark/>
          </w:tcPr>
          <w:p w14:paraId="46D3AAD2" w14:textId="768B01B0" w:rsidR="00E9020C" w:rsidRPr="00E9020C" w:rsidRDefault="00E9020C" w:rsidP="0093234E">
            <w:pPr>
              <w:pStyle w:val="ARtablecolheadright"/>
              <w:rPr>
                <w:sz w:val="16"/>
                <w:szCs w:val="16"/>
                <w:lang w:eastAsia="en-AU"/>
              </w:rPr>
            </w:pPr>
            <w:r w:rsidRPr="00E9020C">
              <w:rPr>
                <w:sz w:val="16"/>
                <w:szCs w:val="16"/>
                <w:lang w:eastAsia="en-AU"/>
              </w:rPr>
              <w:t>Jun–26</w:t>
            </w:r>
          </w:p>
          <w:p w14:paraId="443DF0D8" w14:textId="40CBAFF9" w:rsidR="00E9020C" w:rsidRPr="00E9020C" w:rsidRDefault="00E9020C" w:rsidP="0093234E">
            <w:pPr>
              <w:pStyle w:val="ARtablecolheadright"/>
              <w:rPr>
                <w:sz w:val="16"/>
                <w:szCs w:val="16"/>
                <w:lang w:eastAsia="en-AU"/>
              </w:rPr>
            </w:pPr>
            <w:r w:rsidRPr="00E9020C">
              <w:rPr>
                <w:sz w:val="16"/>
                <w:szCs w:val="16"/>
                <w:lang w:eastAsia="en-AU"/>
              </w:rPr>
              <w:t xml:space="preserve">All </w:t>
            </w:r>
            <w:proofErr w:type="gramStart"/>
            <w:r w:rsidRPr="00E9020C">
              <w:rPr>
                <w:sz w:val="16"/>
                <w:szCs w:val="16"/>
                <w:lang w:eastAsia="en-AU"/>
              </w:rPr>
              <w:t>employ</w:t>
            </w:r>
            <w:r w:rsidR="004E5FC5">
              <w:rPr>
                <w:sz w:val="16"/>
                <w:szCs w:val="16"/>
                <w:lang w:eastAsia="en-AU"/>
              </w:rPr>
              <w:t>-</w:t>
            </w:r>
            <w:r w:rsidRPr="00E9020C">
              <w:rPr>
                <w:sz w:val="16"/>
                <w:szCs w:val="16"/>
                <w:lang w:eastAsia="en-AU"/>
              </w:rPr>
              <w:t>ees</w:t>
            </w:r>
            <w:proofErr w:type="gramEnd"/>
          </w:p>
          <w:p w14:paraId="7E4EB98E" w14:textId="414D0ECF" w:rsidR="005E2BB1" w:rsidRPr="00E9020C" w:rsidRDefault="005E2BB1" w:rsidP="0093234E">
            <w:pPr>
              <w:pStyle w:val="ARtablecolheadright"/>
              <w:rPr>
                <w:sz w:val="16"/>
                <w:szCs w:val="16"/>
                <w:lang w:eastAsia="en-AU"/>
              </w:rPr>
            </w:pPr>
            <w:r w:rsidRPr="00E9020C">
              <w:rPr>
                <w:sz w:val="16"/>
                <w:szCs w:val="16"/>
                <w:lang w:eastAsia="en-AU"/>
              </w:rPr>
              <w:t>Number</w:t>
            </w:r>
            <w:r w:rsidR="0093234E" w:rsidRPr="00E9020C">
              <w:rPr>
                <w:sz w:val="16"/>
                <w:szCs w:val="16"/>
                <w:lang w:eastAsia="en-AU"/>
              </w:rPr>
              <w:t xml:space="preserve"> </w:t>
            </w:r>
            <w:r w:rsidRPr="00E9020C">
              <w:rPr>
                <w:sz w:val="16"/>
                <w:szCs w:val="16"/>
                <w:lang w:eastAsia="en-AU"/>
              </w:rPr>
              <w:t>(head</w:t>
            </w:r>
            <w:r w:rsidR="0093234E" w:rsidRPr="00E9020C">
              <w:rPr>
                <w:sz w:val="16"/>
                <w:szCs w:val="16"/>
                <w:lang w:eastAsia="en-AU"/>
              </w:rPr>
              <w:t xml:space="preserve"> </w:t>
            </w:r>
            <w:r w:rsidRPr="00E9020C">
              <w:rPr>
                <w:sz w:val="16"/>
                <w:szCs w:val="16"/>
                <w:lang w:eastAsia="en-AU"/>
              </w:rPr>
              <w:t>count)</w:t>
            </w:r>
          </w:p>
        </w:tc>
        <w:tc>
          <w:tcPr>
            <w:tcW w:w="992" w:type="dxa"/>
            <w:tcBorders>
              <w:bottom w:val="single" w:sz="4" w:space="0" w:color="auto"/>
            </w:tcBorders>
            <w:shd w:val="clear" w:color="auto" w:fill="E7E6E6" w:themeFill="background2"/>
            <w:hideMark/>
          </w:tcPr>
          <w:p w14:paraId="0D7129DA" w14:textId="4DCCB4F9" w:rsidR="00E9020C" w:rsidRPr="00E9020C" w:rsidRDefault="00E9020C" w:rsidP="005E2BB1">
            <w:pPr>
              <w:pStyle w:val="ARtablecolheadright"/>
              <w:rPr>
                <w:sz w:val="16"/>
                <w:szCs w:val="16"/>
                <w:lang w:eastAsia="en-AU"/>
              </w:rPr>
            </w:pPr>
            <w:r w:rsidRPr="00E9020C">
              <w:rPr>
                <w:sz w:val="16"/>
                <w:szCs w:val="16"/>
                <w:lang w:eastAsia="en-AU"/>
              </w:rPr>
              <w:t>Jun–26</w:t>
            </w:r>
          </w:p>
          <w:p w14:paraId="67914532" w14:textId="612AC05E" w:rsidR="00E9020C" w:rsidRPr="00E9020C" w:rsidRDefault="00E9020C" w:rsidP="005E2BB1">
            <w:pPr>
              <w:pStyle w:val="ARtablecolheadright"/>
              <w:rPr>
                <w:sz w:val="16"/>
                <w:szCs w:val="16"/>
                <w:lang w:eastAsia="en-AU"/>
              </w:rPr>
            </w:pPr>
            <w:r w:rsidRPr="00E9020C">
              <w:rPr>
                <w:sz w:val="16"/>
                <w:szCs w:val="16"/>
                <w:lang w:eastAsia="en-AU"/>
              </w:rPr>
              <w:t xml:space="preserve">All </w:t>
            </w:r>
            <w:proofErr w:type="gramStart"/>
            <w:r w:rsidRPr="00E9020C">
              <w:rPr>
                <w:sz w:val="16"/>
                <w:szCs w:val="16"/>
                <w:lang w:eastAsia="en-AU"/>
              </w:rPr>
              <w:t>employ</w:t>
            </w:r>
            <w:r w:rsidR="004E5FC5">
              <w:rPr>
                <w:sz w:val="16"/>
                <w:szCs w:val="16"/>
                <w:lang w:eastAsia="en-AU"/>
              </w:rPr>
              <w:t>-</w:t>
            </w:r>
            <w:r w:rsidRPr="00E9020C">
              <w:rPr>
                <w:sz w:val="16"/>
                <w:szCs w:val="16"/>
                <w:lang w:eastAsia="en-AU"/>
              </w:rPr>
              <w:t>ees</w:t>
            </w:r>
            <w:proofErr w:type="gramEnd"/>
          </w:p>
          <w:p w14:paraId="2D316CAE" w14:textId="495F4971" w:rsidR="005E2BB1" w:rsidRPr="00E9020C" w:rsidRDefault="005E2BB1" w:rsidP="005E2BB1">
            <w:pPr>
              <w:pStyle w:val="ARtablecolheadright"/>
              <w:rPr>
                <w:sz w:val="16"/>
                <w:szCs w:val="16"/>
                <w:lang w:eastAsia="en-AU"/>
              </w:rPr>
            </w:pPr>
            <w:r w:rsidRPr="00E9020C">
              <w:rPr>
                <w:sz w:val="16"/>
                <w:szCs w:val="16"/>
                <w:lang w:eastAsia="en-AU"/>
              </w:rPr>
              <w:t>FTE</w:t>
            </w:r>
          </w:p>
        </w:tc>
        <w:tc>
          <w:tcPr>
            <w:tcW w:w="926" w:type="dxa"/>
            <w:tcBorders>
              <w:bottom w:val="single" w:sz="4" w:space="0" w:color="auto"/>
            </w:tcBorders>
            <w:hideMark/>
          </w:tcPr>
          <w:p w14:paraId="06A00D94" w14:textId="41478DFF" w:rsidR="00E9020C" w:rsidRPr="00E9020C" w:rsidRDefault="00E9020C" w:rsidP="0093234E">
            <w:pPr>
              <w:pStyle w:val="ARtablecolheadright"/>
              <w:rPr>
                <w:sz w:val="16"/>
                <w:szCs w:val="16"/>
                <w:lang w:eastAsia="en-AU"/>
              </w:rPr>
            </w:pPr>
            <w:r w:rsidRPr="00E9020C">
              <w:rPr>
                <w:sz w:val="16"/>
                <w:szCs w:val="16"/>
                <w:lang w:eastAsia="en-AU"/>
              </w:rPr>
              <w:t>Jun–26</w:t>
            </w:r>
          </w:p>
          <w:p w14:paraId="31EA0B09" w14:textId="4CA9060B" w:rsidR="00E9020C" w:rsidRPr="00E9020C" w:rsidRDefault="00E9020C" w:rsidP="0093234E">
            <w:pPr>
              <w:pStyle w:val="ARtablecolheadright"/>
              <w:rPr>
                <w:sz w:val="16"/>
                <w:szCs w:val="16"/>
                <w:lang w:eastAsia="en-AU"/>
              </w:rPr>
            </w:pPr>
            <w:r w:rsidRPr="00E9020C">
              <w:rPr>
                <w:sz w:val="16"/>
                <w:szCs w:val="16"/>
                <w:lang w:eastAsia="en-AU"/>
              </w:rPr>
              <w:t>Ongoing</w:t>
            </w:r>
          </w:p>
          <w:p w14:paraId="5C231EDC" w14:textId="45358988" w:rsidR="005E2BB1" w:rsidRPr="00E9020C" w:rsidRDefault="005E2BB1" w:rsidP="0093234E">
            <w:pPr>
              <w:pStyle w:val="ARtablecolheadright"/>
              <w:rPr>
                <w:sz w:val="16"/>
                <w:szCs w:val="16"/>
                <w:lang w:eastAsia="en-AU"/>
              </w:rPr>
            </w:pPr>
            <w:r w:rsidRPr="00E9020C">
              <w:rPr>
                <w:sz w:val="16"/>
                <w:szCs w:val="16"/>
                <w:lang w:eastAsia="en-AU"/>
              </w:rPr>
              <w:t>Full-time</w:t>
            </w:r>
            <w:r w:rsidR="0093234E" w:rsidRPr="00E9020C">
              <w:rPr>
                <w:sz w:val="16"/>
                <w:szCs w:val="16"/>
                <w:lang w:eastAsia="en-AU"/>
              </w:rPr>
              <w:t xml:space="preserve"> </w:t>
            </w:r>
            <w:r w:rsidRPr="00E9020C">
              <w:rPr>
                <w:sz w:val="16"/>
                <w:szCs w:val="16"/>
                <w:lang w:eastAsia="en-AU"/>
              </w:rPr>
              <w:t>(head</w:t>
            </w:r>
            <w:r w:rsidR="0093234E" w:rsidRPr="00E9020C">
              <w:rPr>
                <w:sz w:val="16"/>
                <w:szCs w:val="16"/>
                <w:lang w:eastAsia="en-AU"/>
              </w:rPr>
              <w:t xml:space="preserve"> </w:t>
            </w:r>
            <w:r w:rsidRPr="00E9020C">
              <w:rPr>
                <w:sz w:val="16"/>
                <w:szCs w:val="16"/>
                <w:lang w:eastAsia="en-AU"/>
              </w:rPr>
              <w:t>count)</w:t>
            </w:r>
          </w:p>
        </w:tc>
        <w:tc>
          <w:tcPr>
            <w:tcW w:w="926" w:type="dxa"/>
            <w:tcBorders>
              <w:bottom w:val="single" w:sz="4" w:space="0" w:color="auto"/>
            </w:tcBorders>
            <w:hideMark/>
          </w:tcPr>
          <w:p w14:paraId="3A59D198" w14:textId="711F4BCC" w:rsidR="00E9020C" w:rsidRPr="00E9020C" w:rsidRDefault="00E9020C" w:rsidP="0093234E">
            <w:pPr>
              <w:pStyle w:val="ARtablecolheadright"/>
              <w:rPr>
                <w:sz w:val="16"/>
                <w:szCs w:val="16"/>
                <w:lang w:eastAsia="en-AU"/>
              </w:rPr>
            </w:pPr>
            <w:r w:rsidRPr="00E9020C">
              <w:rPr>
                <w:sz w:val="16"/>
                <w:szCs w:val="16"/>
                <w:lang w:eastAsia="en-AU"/>
              </w:rPr>
              <w:t>Jun–26</w:t>
            </w:r>
          </w:p>
          <w:p w14:paraId="5053E023" w14:textId="0B599FAD" w:rsidR="00E9020C" w:rsidRPr="00E9020C" w:rsidRDefault="00E9020C" w:rsidP="0093234E">
            <w:pPr>
              <w:pStyle w:val="ARtablecolheadright"/>
              <w:rPr>
                <w:sz w:val="16"/>
                <w:szCs w:val="16"/>
                <w:lang w:eastAsia="en-AU"/>
              </w:rPr>
            </w:pPr>
            <w:r w:rsidRPr="00E9020C">
              <w:rPr>
                <w:sz w:val="16"/>
                <w:szCs w:val="16"/>
                <w:lang w:eastAsia="en-AU"/>
              </w:rPr>
              <w:t>Ongoing</w:t>
            </w:r>
          </w:p>
          <w:p w14:paraId="4A63BAFC" w14:textId="22CA921B" w:rsidR="005E2BB1" w:rsidRPr="00E9020C" w:rsidRDefault="005E2BB1" w:rsidP="0093234E">
            <w:pPr>
              <w:pStyle w:val="ARtablecolheadright"/>
              <w:rPr>
                <w:sz w:val="16"/>
                <w:szCs w:val="16"/>
                <w:lang w:eastAsia="en-AU"/>
              </w:rPr>
            </w:pPr>
            <w:r w:rsidRPr="00E9020C">
              <w:rPr>
                <w:sz w:val="16"/>
                <w:szCs w:val="16"/>
                <w:lang w:eastAsia="en-AU"/>
              </w:rPr>
              <w:t>Part-time</w:t>
            </w:r>
            <w:r w:rsidR="0093234E" w:rsidRPr="00E9020C">
              <w:rPr>
                <w:sz w:val="16"/>
                <w:szCs w:val="16"/>
                <w:lang w:eastAsia="en-AU"/>
              </w:rPr>
              <w:t xml:space="preserve"> </w:t>
            </w:r>
            <w:r w:rsidRPr="00E9020C">
              <w:rPr>
                <w:sz w:val="16"/>
                <w:szCs w:val="16"/>
                <w:lang w:eastAsia="en-AU"/>
              </w:rPr>
              <w:t>(head</w:t>
            </w:r>
            <w:r w:rsidR="0093234E" w:rsidRPr="00E9020C">
              <w:rPr>
                <w:sz w:val="16"/>
                <w:szCs w:val="16"/>
                <w:lang w:eastAsia="en-AU"/>
              </w:rPr>
              <w:t xml:space="preserve"> </w:t>
            </w:r>
            <w:r w:rsidRPr="00E9020C">
              <w:rPr>
                <w:sz w:val="16"/>
                <w:szCs w:val="16"/>
                <w:lang w:eastAsia="en-AU"/>
              </w:rPr>
              <w:t>count)</w:t>
            </w:r>
          </w:p>
        </w:tc>
        <w:tc>
          <w:tcPr>
            <w:tcW w:w="927" w:type="dxa"/>
            <w:tcBorders>
              <w:bottom w:val="single" w:sz="4" w:space="0" w:color="auto"/>
            </w:tcBorders>
            <w:hideMark/>
          </w:tcPr>
          <w:p w14:paraId="3F93A4D8" w14:textId="58ABBAFB" w:rsidR="00E9020C" w:rsidRPr="00E9020C" w:rsidRDefault="00E9020C" w:rsidP="005E2BB1">
            <w:pPr>
              <w:pStyle w:val="ARtablecolheadright"/>
              <w:rPr>
                <w:sz w:val="16"/>
                <w:szCs w:val="16"/>
                <w:lang w:eastAsia="en-AU"/>
              </w:rPr>
            </w:pPr>
            <w:r w:rsidRPr="00E9020C">
              <w:rPr>
                <w:sz w:val="16"/>
                <w:szCs w:val="16"/>
                <w:lang w:eastAsia="en-AU"/>
              </w:rPr>
              <w:t>Jun–26</w:t>
            </w:r>
          </w:p>
          <w:p w14:paraId="75F899D6" w14:textId="084F74DC" w:rsidR="00E9020C" w:rsidRPr="00E9020C" w:rsidRDefault="00E9020C" w:rsidP="005E2BB1">
            <w:pPr>
              <w:pStyle w:val="ARtablecolheadright"/>
              <w:rPr>
                <w:sz w:val="16"/>
                <w:szCs w:val="16"/>
                <w:lang w:eastAsia="en-AU"/>
              </w:rPr>
            </w:pPr>
            <w:r w:rsidRPr="00E9020C">
              <w:rPr>
                <w:sz w:val="16"/>
                <w:szCs w:val="16"/>
                <w:lang w:eastAsia="en-AU"/>
              </w:rPr>
              <w:t>Ongoing</w:t>
            </w:r>
          </w:p>
          <w:p w14:paraId="6F091FF3" w14:textId="1E27BFDF" w:rsidR="005E2BB1" w:rsidRPr="00E9020C" w:rsidRDefault="005E2BB1" w:rsidP="005E2BB1">
            <w:pPr>
              <w:pStyle w:val="ARtablecolheadright"/>
              <w:rPr>
                <w:sz w:val="16"/>
                <w:szCs w:val="16"/>
                <w:lang w:eastAsia="en-AU"/>
              </w:rPr>
            </w:pPr>
            <w:r w:rsidRPr="00E9020C">
              <w:rPr>
                <w:sz w:val="16"/>
                <w:szCs w:val="16"/>
                <w:lang w:eastAsia="en-AU"/>
              </w:rPr>
              <w:t>FTE</w:t>
            </w:r>
          </w:p>
        </w:tc>
        <w:tc>
          <w:tcPr>
            <w:tcW w:w="1057" w:type="dxa"/>
            <w:tcBorders>
              <w:bottom w:val="single" w:sz="4" w:space="0" w:color="auto"/>
            </w:tcBorders>
            <w:shd w:val="clear" w:color="auto" w:fill="E7E6E6" w:themeFill="background2"/>
            <w:hideMark/>
          </w:tcPr>
          <w:p w14:paraId="7A32EF8E" w14:textId="4F312259" w:rsidR="00E9020C" w:rsidRPr="00E9020C" w:rsidRDefault="00E9020C" w:rsidP="0093234E">
            <w:pPr>
              <w:pStyle w:val="ARtablecolheadright"/>
              <w:rPr>
                <w:sz w:val="16"/>
                <w:szCs w:val="16"/>
                <w:lang w:eastAsia="en-AU"/>
              </w:rPr>
            </w:pPr>
            <w:r w:rsidRPr="00E9020C">
              <w:rPr>
                <w:sz w:val="16"/>
                <w:szCs w:val="16"/>
                <w:lang w:eastAsia="en-AU"/>
              </w:rPr>
              <w:t>Jun–26</w:t>
            </w:r>
          </w:p>
          <w:p w14:paraId="6AE725B6" w14:textId="4C926A97" w:rsidR="00E9020C" w:rsidRPr="00E9020C" w:rsidRDefault="00E9020C" w:rsidP="0093234E">
            <w:pPr>
              <w:pStyle w:val="ARtablecolheadright"/>
              <w:rPr>
                <w:sz w:val="16"/>
                <w:szCs w:val="16"/>
                <w:lang w:eastAsia="en-AU"/>
              </w:rPr>
            </w:pPr>
            <w:proofErr w:type="gramStart"/>
            <w:r w:rsidRPr="00E9020C">
              <w:rPr>
                <w:sz w:val="16"/>
                <w:szCs w:val="16"/>
                <w:lang w:eastAsia="en-AU"/>
              </w:rPr>
              <w:t>Fixed-term</w:t>
            </w:r>
            <w:proofErr w:type="gramEnd"/>
            <w:r w:rsidRPr="00E9020C">
              <w:rPr>
                <w:sz w:val="16"/>
                <w:szCs w:val="16"/>
                <w:lang w:eastAsia="en-AU"/>
              </w:rPr>
              <w:t xml:space="preserve"> and</w:t>
            </w:r>
            <w:r>
              <w:rPr>
                <w:sz w:val="16"/>
                <w:szCs w:val="16"/>
                <w:lang w:eastAsia="en-AU"/>
              </w:rPr>
              <w:t xml:space="preserve"> </w:t>
            </w:r>
            <w:r w:rsidRPr="00E9020C">
              <w:rPr>
                <w:sz w:val="16"/>
                <w:szCs w:val="16"/>
                <w:lang w:eastAsia="en-AU"/>
              </w:rPr>
              <w:t>casual</w:t>
            </w:r>
          </w:p>
          <w:p w14:paraId="4C1B9547" w14:textId="0F1D1CD1" w:rsidR="005E2BB1" w:rsidRPr="00E9020C" w:rsidRDefault="005E2BB1" w:rsidP="0093234E">
            <w:pPr>
              <w:pStyle w:val="ARtablecolheadright"/>
              <w:rPr>
                <w:sz w:val="16"/>
                <w:szCs w:val="16"/>
                <w:lang w:eastAsia="en-AU"/>
              </w:rPr>
            </w:pPr>
            <w:r w:rsidRPr="00E9020C">
              <w:rPr>
                <w:sz w:val="16"/>
                <w:szCs w:val="16"/>
                <w:lang w:eastAsia="en-AU"/>
              </w:rPr>
              <w:t>Number</w:t>
            </w:r>
            <w:r w:rsidR="0093234E" w:rsidRPr="00E9020C">
              <w:rPr>
                <w:sz w:val="16"/>
                <w:szCs w:val="16"/>
                <w:lang w:eastAsia="en-AU"/>
              </w:rPr>
              <w:t xml:space="preserve"> </w:t>
            </w:r>
            <w:r w:rsidRPr="00E9020C">
              <w:rPr>
                <w:sz w:val="16"/>
                <w:szCs w:val="16"/>
                <w:lang w:eastAsia="en-AU"/>
              </w:rPr>
              <w:t>(head</w:t>
            </w:r>
            <w:r w:rsidR="0093234E" w:rsidRPr="00E9020C">
              <w:rPr>
                <w:sz w:val="16"/>
                <w:szCs w:val="16"/>
                <w:lang w:eastAsia="en-AU"/>
              </w:rPr>
              <w:t xml:space="preserve"> </w:t>
            </w:r>
            <w:r w:rsidRPr="00E9020C">
              <w:rPr>
                <w:sz w:val="16"/>
                <w:szCs w:val="16"/>
                <w:lang w:eastAsia="en-AU"/>
              </w:rPr>
              <w:t>count)</w:t>
            </w:r>
          </w:p>
        </w:tc>
        <w:tc>
          <w:tcPr>
            <w:tcW w:w="927" w:type="dxa"/>
            <w:tcBorders>
              <w:bottom w:val="single" w:sz="4" w:space="0" w:color="auto"/>
            </w:tcBorders>
            <w:shd w:val="clear" w:color="auto" w:fill="E7E6E6" w:themeFill="background2"/>
            <w:hideMark/>
          </w:tcPr>
          <w:p w14:paraId="20C3DAF4" w14:textId="2AFF9124" w:rsidR="00E9020C" w:rsidRPr="00E9020C" w:rsidRDefault="00E9020C" w:rsidP="005E2BB1">
            <w:pPr>
              <w:pStyle w:val="ARtablecolheadright"/>
              <w:rPr>
                <w:sz w:val="16"/>
                <w:szCs w:val="16"/>
                <w:lang w:eastAsia="en-AU"/>
              </w:rPr>
            </w:pPr>
            <w:r w:rsidRPr="00E9020C">
              <w:rPr>
                <w:sz w:val="16"/>
                <w:szCs w:val="16"/>
                <w:lang w:eastAsia="en-AU"/>
              </w:rPr>
              <w:t>Jun–26</w:t>
            </w:r>
          </w:p>
          <w:p w14:paraId="46DDAB01" w14:textId="2CF08997" w:rsidR="00E9020C" w:rsidRPr="00E9020C" w:rsidRDefault="00E9020C" w:rsidP="005E2BB1">
            <w:pPr>
              <w:pStyle w:val="ARtablecolheadright"/>
              <w:rPr>
                <w:sz w:val="16"/>
                <w:szCs w:val="16"/>
                <w:lang w:eastAsia="en-AU"/>
              </w:rPr>
            </w:pPr>
            <w:proofErr w:type="gramStart"/>
            <w:r w:rsidRPr="00E9020C">
              <w:rPr>
                <w:sz w:val="16"/>
                <w:szCs w:val="16"/>
                <w:lang w:eastAsia="en-AU"/>
              </w:rPr>
              <w:t>Fixed-term</w:t>
            </w:r>
            <w:proofErr w:type="gramEnd"/>
            <w:r w:rsidRPr="00E9020C">
              <w:rPr>
                <w:sz w:val="16"/>
                <w:szCs w:val="16"/>
                <w:lang w:eastAsia="en-AU"/>
              </w:rPr>
              <w:t xml:space="preserve"> and</w:t>
            </w:r>
            <w:r>
              <w:rPr>
                <w:sz w:val="16"/>
                <w:szCs w:val="16"/>
                <w:lang w:eastAsia="en-AU"/>
              </w:rPr>
              <w:t xml:space="preserve"> </w:t>
            </w:r>
            <w:r w:rsidRPr="00E9020C">
              <w:rPr>
                <w:sz w:val="16"/>
                <w:szCs w:val="16"/>
                <w:lang w:eastAsia="en-AU"/>
              </w:rPr>
              <w:t>casual</w:t>
            </w:r>
          </w:p>
          <w:p w14:paraId="593AA320" w14:textId="14B38ABA" w:rsidR="005E2BB1" w:rsidRPr="00E9020C" w:rsidRDefault="005E2BB1" w:rsidP="005E2BB1">
            <w:pPr>
              <w:pStyle w:val="ARtablecolheadright"/>
              <w:rPr>
                <w:sz w:val="16"/>
                <w:szCs w:val="16"/>
                <w:lang w:eastAsia="en-AU"/>
              </w:rPr>
            </w:pPr>
            <w:r w:rsidRPr="00E9020C">
              <w:rPr>
                <w:sz w:val="16"/>
                <w:szCs w:val="16"/>
                <w:lang w:eastAsia="en-AU"/>
              </w:rPr>
              <w:t>FTE</w:t>
            </w:r>
          </w:p>
        </w:tc>
        <w:tc>
          <w:tcPr>
            <w:tcW w:w="1057" w:type="dxa"/>
            <w:tcBorders>
              <w:bottom w:val="single" w:sz="4" w:space="0" w:color="auto"/>
            </w:tcBorders>
            <w:hideMark/>
          </w:tcPr>
          <w:p w14:paraId="3FAA21F2" w14:textId="761A7150" w:rsidR="00E9020C" w:rsidRPr="00E9020C" w:rsidRDefault="00E9020C" w:rsidP="005D503A">
            <w:pPr>
              <w:pStyle w:val="ARtablecolheadright"/>
              <w:rPr>
                <w:sz w:val="16"/>
                <w:szCs w:val="16"/>
                <w:lang w:eastAsia="en-AU"/>
              </w:rPr>
            </w:pPr>
            <w:r w:rsidRPr="00E9020C">
              <w:rPr>
                <w:sz w:val="16"/>
                <w:szCs w:val="16"/>
                <w:lang w:eastAsia="en-AU"/>
              </w:rPr>
              <w:t>Jun–25</w:t>
            </w:r>
          </w:p>
          <w:p w14:paraId="7E7C360C" w14:textId="08C78E50" w:rsidR="00E9020C" w:rsidRPr="00E9020C" w:rsidRDefault="00E9020C" w:rsidP="005D503A">
            <w:pPr>
              <w:pStyle w:val="ARtablecolheadright"/>
              <w:rPr>
                <w:sz w:val="16"/>
                <w:szCs w:val="16"/>
                <w:lang w:eastAsia="en-AU"/>
              </w:rPr>
            </w:pPr>
            <w:r w:rsidRPr="00E9020C">
              <w:rPr>
                <w:sz w:val="16"/>
                <w:szCs w:val="16"/>
                <w:lang w:eastAsia="en-AU"/>
              </w:rPr>
              <w:t>All employees</w:t>
            </w:r>
          </w:p>
          <w:p w14:paraId="3990F6C4" w14:textId="7CE529A9" w:rsidR="005E2BB1" w:rsidRPr="00E9020C" w:rsidRDefault="005E2BB1" w:rsidP="005D503A">
            <w:pPr>
              <w:pStyle w:val="ARtablecolheadright"/>
              <w:rPr>
                <w:sz w:val="16"/>
                <w:szCs w:val="16"/>
                <w:lang w:eastAsia="en-AU"/>
              </w:rPr>
            </w:pPr>
            <w:r w:rsidRPr="00E9020C">
              <w:rPr>
                <w:sz w:val="16"/>
                <w:szCs w:val="16"/>
                <w:lang w:eastAsia="en-AU"/>
              </w:rPr>
              <w:t>Number</w:t>
            </w:r>
            <w:r w:rsidR="005D503A" w:rsidRPr="00E9020C">
              <w:rPr>
                <w:sz w:val="16"/>
                <w:szCs w:val="16"/>
                <w:lang w:eastAsia="en-AU"/>
              </w:rPr>
              <w:br/>
            </w:r>
            <w:r w:rsidRPr="00E9020C">
              <w:rPr>
                <w:sz w:val="16"/>
                <w:szCs w:val="16"/>
                <w:lang w:eastAsia="en-AU"/>
              </w:rPr>
              <w:t>(head</w:t>
            </w:r>
            <w:r w:rsidR="0093234E" w:rsidRPr="00E9020C">
              <w:rPr>
                <w:sz w:val="16"/>
                <w:szCs w:val="16"/>
                <w:lang w:eastAsia="en-AU"/>
              </w:rPr>
              <w:t xml:space="preserve"> </w:t>
            </w:r>
            <w:r w:rsidRPr="00E9020C">
              <w:rPr>
                <w:sz w:val="16"/>
                <w:szCs w:val="16"/>
                <w:lang w:eastAsia="en-AU"/>
              </w:rPr>
              <w:t>count)</w:t>
            </w:r>
          </w:p>
        </w:tc>
        <w:tc>
          <w:tcPr>
            <w:tcW w:w="927" w:type="dxa"/>
            <w:tcBorders>
              <w:bottom w:val="single" w:sz="4" w:space="0" w:color="auto"/>
            </w:tcBorders>
            <w:hideMark/>
          </w:tcPr>
          <w:p w14:paraId="6CF5C1AA" w14:textId="6F7A0DEF" w:rsidR="00E9020C" w:rsidRPr="00E9020C" w:rsidRDefault="00E9020C" w:rsidP="005E2BB1">
            <w:pPr>
              <w:pStyle w:val="ARtablecolheadright"/>
              <w:rPr>
                <w:sz w:val="16"/>
                <w:szCs w:val="16"/>
                <w:lang w:eastAsia="en-AU"/>
              </w:rPr>
            </w:pPr>
            <w:r w:rsidRPr="00E9020C">
              <w:rPr>
                <w:sz w:val="16"/>
                <w:szCs w:val="16"/>
                <w:lang w:eastAsia="en-AU"/>
              </w:rPr>
              <w:t>Jun–25</w:t>
            </w:r>
          </w:p>
          <w:p w14:paraId="265D121A" w14:textId="6986ECCC" w:rsidR="00E9020C" w:rsidRPr="00E9020C" w:rsidRDefault="00E9020C" w:rsidP="005E2BB1">
            <w:pPr>
              <w:pStyle w:val="ARtablecolheadright"/>
              <w:rPr>
                <w:sz w:val="16"/>
                <w:szCs w:val="16"/>
                <w:lang w:eastAsia="en-AU"/>
              </w:rPr>
            </w:pPr>
            <w:r w:rsidRPr="00E9020C">
              <w:rPr>
                <w:sz w:val="16"/>
                <w:szCs w:val="16"/>
                <w:lang w:eastAsia="en-AU"/>
              </w:rPr>
              <w:t>All employees</w:t>
            </w:r>
          </w:p>
          <w:p w14:paraId="09578583" w14:textId="2B138188" w:rsidR="005E2BB1" w:rsidRPr="00E9020C" w:rsidRDefault="005E2BB1" w:rsidP="005E2BB1">
            <w:pPr>
              <w:pStyle w:val="ARtablecolheadright"/>
              <w:rPr>
                <w:sz w:val="16"/>
                <w:szCs w:val="16"/>
                <w:lang w:eastAsia="en-AU"/>
              </w:rPr>
            </w:pPr>
            <w:r w:rsidRPr="00E9020C">
              <w:rPr>
                <w:sz w:val="16"/>
                <w:szCs w:val="16"/>
                <w:lang w:eastAsia="en-AU"/>
              </w:rPr>
              <w:t>FTE</w:t>
            </w:r>
          </w:p>
        </w:tc>
        <w:tc>
          <w:tcPr>
            <w:tcW w:w="926" w:type="dxa"/>
            <w:tcBorders>
              <w:bottom w:val="single" w:sz="4" w:space="0" w:color="auto"/>
            </w:tcBorders>
            <w:shd w:val="clear" w:color="auto" w:fill="E7E6E6" w:themeFill="background2"/>
            <w:hideMark/>
          </w:tcPr>
          <w:p w14:paraId="2F462E4E" w14:textId="38757E0A" w:rsidR="00E9020C" w:rsidRPr="00E9020C" w:rsidRDefault="00E9020C" w:rsidP="0093234E">
            <w:pPr>
              <w:pStyle w:val="ARtablecolheadright"/>
              <w:rPr>
                <w:sz w:val="16"/>
                <w:szCs w:val="16"/>
                <w:lang w:eastAsia="en-AU"/>
              </w:rPr>
            </w:pPr>
            <w:r w:rsidRPr="00E9020C">
              <w:rPr>
                <w:sz w:val="16"/>
                <w:szCs w:val="16"/>
                <w:lang w:eastAsia="en-AU"/>
              </w:rPr>
              <w:t>Jun–25</w:t>
            </w:r>
          </w:p>
          <w:p w14:paraId="56F176DF" w14:textId="4D12E31D" w:rsidR="00E9020C" w:rsidRPr="00E9020C" w:rsidRDefault="00E9020C" w:rsidP="0093234E">
            <w:pPr>
              <w:pStyle w:val="ARtablecolheadright"/>
              <w:rPr>
                <w:sz w:val="16"/>
                <w:szCs w:val="16"/>
                <w:lang w:eastAsia="en-AU"/>
              </w:rPr>
            </w:pPr>
            <w:r w:rsidRPr="00E9020C">
              <w:rPr>
                <w:sz w:val="16"/>
                <w:szCs w:val="16"/>
                <w:lang w:eastAsia="en-AU"/>
              </w:rPr>
              <w:t>Ongoing</w:t>
            </w:r>
          </w:p>
          <w:p w14:paraId="7DA9B0ED" w14:textId="326B3C34" w:rsidR="005E2BB1" w:rsidRPr="00E9020C" w:rsidRDefault="005E2BB1" w:rsidP="0093234E">
            <w:pPr>
              <w:pStyle w:val="ARtablecolheadright"/>
              <w:rPr>
                <w:sz w:val="16"/>
                <w:szCs w:val="16"/>
                <w:lang w:eastAsia="en-AU"/>
              </w:rPr>
            </w:pPr>
            <w:r w:rsidRPr="00E9020C">
              <w:rPr>
                <w:sz w:val="16"/>
                <w:szCs w:val="16"/>
                <w:lang w:eastAsia="en-AU"/>
              </w:rPr>
              <w:t>Full-time</w:t>
            </w:r>
            <w:r w:rsidR="0093234E" w:rsidRPr="00E9020C">
              <w:rPr>
                <w:sz w:val="16"/>
                <w:szCs w:val="16"/>
                <w:lang w:eastAsia="en-AU"/>
              </w:rPr>
              <w:t xml:space="preserve"> </w:t>
            </w:r>
            <w:r w:rsidRPr="00E9020C">
              <w:rPr>
                <w:sz w:val="16"/>
                <w:szCs w:val="16"/>
                <w:lang w:eastAsia="en-AU"/>
              </w:rPr>
              <w:t>(head</w:t>
            </w:r>
            <w:r w:rsidR="0093234E" w:rsidRPr="00E9020C">
              <w:rPr>
                <w:sz w:val="16"/>
                <w:szCs w:val="16"/>
                <w:lang w:eastAsia="en-AU"/>
              </w:rPr>
              <w:t xml:space="preserve"> </w:t>
            </w:r>
            <w:r w:rsidRPr="00E9020C">
              <w:rPr>
                <w:sz w:val="16"/>
                <w:szCs w:val="16"/>
                <w:lang w:eastAsia="en-AU"/>
              </w:rPr>
              <w:t>count)</w:t>
            </w:r>
          </w:p>
        </w:tc>
        <w:tc>
          <w:tcPr>
            <w:tcW w:w="926" w:type="dxa"/>
            <w:tcBorders>
              <w:bottom w:val="single" w:sz="4" w:space="0" w:color="auto"/>
            </w:tcBorders>
            <w:shd w:val="clear" w:color="auto" w:fill="E7E6E6" w:themeFill="background2"/>
            <w:hideMark/>
          </w:tcPr>
          <w:p w14:paraId="6EB309BB" w14:textId="0E7114FC" w:rsidR="00E9020C" w:rsidRPr="00E9020C" w:rsidRDefault="00E9020C" w:rsidP="0093234E">
            <w:pPr>
              <w:pStyle w:val="ARtablecolheadright"/>
              <w:rPr>
                <w:sz w:val="16"/>
                <w:szCs w:val="16"/>
                <w:lang w:eastAsia="en-AU"/>
              </w:rPr>
            </w:pPr>
            <w:r w:rsidRPr="00E9020C">
              <w:rPr>
                <w:sz w:val="16"/>
                <w:szCs w:val="16"/>
                <w:lang w:eastAsia="en-AU"/>
              </w:rPr>
              <w:t>Jun–25</w:t>
            </w:r>
          </w:p>
          <w:p w14:paraId="5C3190C6" w14:textId="689FAF37" w:rsidR="00E9020C" w:rsidRPr="00E9020C" w:rsidRDefault="00E9020C" w:rsidP="0093234E">
            <w:pPr>
              <w:pStyle w:val="ARtablecolheadright"/>
              <w:rPr>
                <w:sz w:val="16"/>
                <w:szCs w:val="16"/>
                <w:lang w:eastAsia="en-AU"/>
              </w:rPr>
            </w:pPr>
            <w:r w:rsidRPr="00E9020C">
              <w:rPr>
                <w:sz w:val="16"/>
                <w:szCs w:val="16"/>
                <w:lang w:eastAsia="en-AU"/>
              </w:rPr>
              <w:t>Ongoing</w:t>
            </w:r>
          </w:p>
          <w:p w14:paraId="71F57918" w14:textId="658937E1" w:rsidR="005E2BB1" w:rsidRPr="00E9020C" w:rsidRDefault="005E2BB1" w:rsidP="0093234E">
            <w:pPr>
              <w:pStyle w:val="ARtablecolheadright"/>
              <w:rPr>
                <w:sz w:val="16"/>
                <w:szCs w:val="16"/>
                <w:lang w:eastAsia="en-AU"/>
              </w:rPr>
            </w:pPr>
            <w:r w:rsidRPr="00E9020C">
              <w:rPr>
                <w:sz w:val="16"/>
                <w:szCs w:val="16"/>
                <w:lang w:eastAsia="en-AU"/>
              </w:rPr>
              <w:t>Part-time</w:t>
            </w:r>
            <w:r w:rsidR="0093234E" w:rsidRPr="00E9020C">
              <w:rPr>
                <w:sz w:val="16"/>
                <w:szCs w:val="16"/>
                <w:lang w:eastAsia="en-AU"/>
              </w:rPr>
              <w:t xml:space="preserve"> </w:t>
            </w:r>
            <w:r w:rsidRPr="00E9020C">
              <w:rPr>
                <w:sz w:val="16"/>
                <w:szCs w:val="16"/>
                <w:lang w:eastAsia="en-AU"/>
              </w:rPr>
              <w:t>(head</w:t>
            </w:r>
            <w:r w:rsidR="0093234E" w:rsidRPr="00E9020C">
              <w:rPr>
                <w:sz w:val="16"/>
                <w:szCs w:val="16"/>
                <w:lang w:eastAsia="en-AU"/>
              </w:rPr>
              <w:t xml:space="preserve"> </w:t>
            </w:r>
            <w:r w:rsidRPr="00E9020C">
              <w:rPr>
                <w:sz w:val="16"/>
                <w:szCs w:val="16"/>
                <w:lang w:eastAsia="en-AU"/>
              </w:rPr>
              <w:t>count)</w:t>
            </w:r>
          </w:p>
        </w:tc>
        <w:tc>
          <w:tcPr>
            <w:tcW w:w="927" w:type="dxa"/>
            <w:tcBorders>
              <w:bottom w:val="single" w:sz="4" w:space="0" w:color="auto"/>
            </w:tcBorders>
            <w:shd w:val="clear" w:color="auto" w:fill="E7E6E6" w:themeFill="background2"/>
            <w:hideMark/>
          </w:tcPr>
          <w:p w14:paraId="33585AF5" w14:textId="233EC8BD" w:rsidR="00E9020C" w:rsidRPr="00E9020C" w:rsidRDefault="00E9020C" w:rsidP="005E2BB1">
            <w:pPr>
              <w:pStyle w:val="ARtablecolheadright"/>
              <w:rPr>
                <w:sz w:val="16"/>
                <w:szCs w:val="16"/>
                <w:lang w:eastAsia="en-AU"/>
              </w:rPr>
            </w:pPr>
            <w:r w:rsidRPr="00E9020C">
              <w:rPr>
                <w:sz w:val="16"/>
                <w:szCs w:val="16"/>
                <w:lang w:eastAsia="en-AU"/>
              </w:rPr>
              <w:t>Jun–25</w:t>
            </w:r>
          </w:p>
          <w:p w14:paraId="04099C10" w14:textId="5111CF75" w:rsidR="00E9020C" w:rsidRPr="00E9020C" w:rsidRDefault="00E9020C" w:rsidP="005E2BB1">
            <w:pPr>
              <w:pStyle w:val="ARtablecolheadright"/>
              <w:rPr>
                <w:sz w:val="16"/>
                <w:szCs w:val="16"/>
                <w:lang w:eastAsia="en-AU"/>
              </w:rPr>
            </w:pPr>
            <w:r w:rsidRPr="00E9020C">
              <w:rPr>
                <w:sz w:val="16"/>
                <w:szCs w:val="16"/>
                <w:lang w:eastAsia="en-AU"/>
              </w:rPr>
              <w:t>Ongoing</w:t>
            </w:r>
          </w:p>
          <w:p w14:paraId="71337771" w14:textId="5FA625EB" w:rsidR="005E2BB1" w:rsidRPr="00E9020C" w:rsidRDefault="005E2BB1" w:rsidP="005E2BB1">
            <w:pPr>
              <w:pStyle w:val="ARtablecolheadright"/>
              <w:rPr>
                <w:sz w:val="16"/>
                <w:szCs w:val="16"/>
                <w:lang w:eastAsia="en-AU"/>
              </w:rPr>
            </w:pPr>
            <w:r w:rsidRPr="00E9020C">
              <w:rPr>
                <w:sz w:val="16"/>
                <w:szCs w:val="16"/>
                <w:lang w:eastAsia="en-AU"/>
              </w:rPr>
              <w:t>FTE</w:t>
            </w:r>
          </w:p>
        </w:tc>
        <w:tc>
          <w:tcPr>
            <w:tcW w:w="1057" w:type="dxa"/>
            <w:tcBorders>
              <w:bottom w:val="single" w:sz="4" w:space="0" w:color="auto"/>
            </w:tcBorders>
            <w:hideMark/>
          </w:tcPr>
          <w:p w14:paraId="579C5B8D" w14:textId="3AA7AF2F" w:rsidR="00E9020C" w:rsidRPr="00E9020C" w:rsidRDefault="00E9020C" w:rsidP="0093234E">
            <w:pPr>
              <w:pStyle w:val="ARtablecolheadright"/>
              <w:rPr>
                <w:sz w:val="16"/>
                <w:szCs w:val="16"/>
                <w:lang w:eastAsia="en-AU"/>
              </w:rPr>
            </w:pPr>
            <w:r w:rsidRPr="00E9020C">
              <w:rPr>
                <w:sz w:val="16"/>
                <w:szCs w:val="16"/>
                <w:lang w:eastAsia="en-AU"/>
              </w:rPr>
              <w:t>Jun–25</w:t>
            </w:r>
          </w:p>
          <w:p w14:paraId="200354D5" w14:textId="1C3B1EAC" w:rsidR="00E9020C" w:rsidRPr="00E9020C" w:rsidRDefault="00E9020C" w:rsidP="0093234E">
            <w:pPr>
              <w:pStyle w:val="ARtablecolheadright"/>
              <w:rPr>
                <w:sz w:val="16"/>
                <w:szCs w:val="16"/>
                <w:lang w:eastAsia="en-AU"/>
              </w:rPr>
            </w:pPr>
            <w:proofErr w:type="gramStart"/>
            <w:r w:rsidRPr="00E9020C">
              <w:rPr>
                <w:sz w:val="16"/>
                <w:szCs w:val="16"/>
                <w:lang w:eastAsia="en-AU"/>
              </w:rPr>
              <w:t>Fixed-term</w:t>
            </w:r>
            <w:proofErr w:type="gramEnd"/>
            <w:r w:rsidRPr="00E9020C">
              <w:rPr>
                <w:sz w:val="16"/>
                <w:szCs w:val="16"/>
                <w:lang w:eastAsia="en-AU"/>
              </w:rPr>
              <w:t xml:space="preserve"> and</w:t>
            </w:r>
            <w:r>
              <w:rPr>
                <w:sz w:val="16"/>
                <w:szCs w:val="16"/>
                <w:lang w:eastAsia="en-AU"/>
              </w:rPr>
              <w:t xml:space="preserve"> </w:t>
            </w:r>
            <w:r w:rsidRPr="00E9020C">
              <w:rPr>
                <w:sz w:val="16"/>
                <w:szCs w:val="16"/>
                <w:lang w:eastAsia="en-AU"/>
              </w:rPr>
              <w:t>casual</w:t>
            </w:r>
          </w:p>
          <w:p w14:paraId="5E7A0F47" w14:textId="24710CC3" w:rsidR="005E2BB1" w:rsidRPr="00E9020C" w:rsidRDefault="005E2BB1" w:rsidP="0093234E">
            <w:pPr>
              <w:pStyle w:val="ARtablecolheadright"/>
              <w:rPr>
                <w:sz w:val="16"/>
                <w:szCs w:val="16"/>
                <w:lang w:eastAsia="en-AU"/>
              </w:rPr>
            </w:pPr>
            <w:r w:rsidRPr="00E9020C">
              <w:rPr>
                <w:sz w:val="16"/>
                <w:szCs w:val="16"/>
                <w:lang w:eastAsia="en-AU"/>
              </w:rPr>
              <w:t>Number</w:t>
            </w:r>
            <w:r w:rsidR="0093234E" w:rsidRPr="00E9020C">
              <w:rPr>
                <w:sz w:val="16"/>
                <w:szCs w:val="16"/>
                <w:lang w:eastAsia="en-AU"/>
              </w:rPr>
              <w:t xml:space="preserve"> </w:t>
            </w:r>
            <w:r w:rsidRPr="00E9020C">
              <w:rPr>
                <w:sz w:val="16"/>
                <w:szCs w:val="16"/>
                <w:lang w:eastAsia="en-AU"/>
              </w:rPr>
              <w:t>(head</w:t>
            </w:r>
            <w:r w:rsidR="0093234E" w:rsidRPr="00E9020C">
              <w:rPr>
                <w:sz w:val="16"/>
                <w:szCs w:val="16"/>
                <w:lang w:eastAsia="en-AU"/>
              </w:rPr>
              <w:t xml:space="preserve"> </w:t>
            </w:r>
            <w:r w:rsidRPr="00E9020C">
              <w:rPr>
                <w:sz w:val="16"/>
                <w:szCs w:val="16"/>
                <w:lang w:eastAsia="en-AU"/>
              </w:rPr>
              <w:t>count)</w:t>
            </w:r>
          </w:p>
        </w:tc>
        <w:tc>
          <w:tcPr>
            <w:tcW w:w="927" w:type="dxa"/>
            <w:tcBorders>
              <w:bottom w:val="single" w:sz="4" w:space="0" w:color="auto"/>
            </w:tcBorders>
            <w:hideMark/>
          </w:tcPr>
          <w:p w14:paraId="5E2A3536" w14:textId="4DF88493" w:rsidR="00E9020C" w:rsidRPr="00E9020C" w:rsidRDefault="00E9020C" w:rsidP="005E2BB1">
            <w:pPr>
              <w:pStyle w:val="ARtablecolheadright"/>
              <w:rPr>
                <w:sz w:val="16"/>
                <w:szCs w:val="16"/>
                <w:lang w:eastAsia="en-AU"/>
              </w:rPr>
            </w:pPr>
            <w:r w:rsidRPr="00E9020C">
              <w:rPr>
                <w:sz w:val="16"/>
                <w:szCs w:val="16"/>
                <w:lang w:eastAsia="en-AU"/>
              </w:rPr>
              <w:t>Jun–25</w:t>
            </w:r>
          </w:p>
          <w:p w14:paraId="32A76E73" w14:textId="23146249" w:rsidR="00E9020C" w:rsidRPr="00E9020C" w:rsidRDefault="00E9020C" w:rsidP="005E2BB1">
            <w:pPr>
              <w:pStyle w:val="ARtablecolheadright"/>
              <w:rPr>
                <w:sz w:val="16"/>
                <w:szCs w:val="16"/>
                <w:lang w:eastAsia="en-AU"/>
              </w:rPr>
            </w:pPr>
            <w:proofErr w:type="gramStart"/>
            <w:r w:rsidRPr="00E9020C">
              <w:rPr>
                <w:sz w:val="16"/>
                <w:szCs w:val="16"/>
                <w:lang w:eastAsia="en-AU"/>
              </w:rPr>
              <w:t>Fixed-term</w:t>
            </w:r>
            <w:proofErr w:type="gramEnd"/>
            <w:r w:rsidRPr="00E9020C">
              <w:rPr>
                <w:sz w:val="16"/>
                <w:szCs w:val="16"/>
                <w:lang w:eastAsia="en-AU"/>
              </w:rPr>
              <w:t xml:space="preserve"> and</w:t>
            </w:r>
            <w:r>
              <w:rPr>
                <w:sz w:val="16"/>
                <w:szCs w:val="16"/>
                <w:lang w:eastAsia="en-AU"/>
              </w:rPr>
              <w:t xml:space="preserve"> </w:t>
            </w:r>
            <w:r w:rsidRPr="00E9020C">
              <w:rPr>
                <w:sz w:val="16"/>
                <w:szCs w:val="16"/>
                <w:lang w:eastAsia="en-AU"/>
              </w:rPr>
              <w:t>casual</w:t>
            </w:r>
          </w:p>
          <w:p w14:paraId="0BA8FFEC" w14:textId="14483F0C" w:rsidR="005E2BB1" w:rsidRPr="00E9020C" w:rsidRDefault="005E2BB1" w:rsidP="005E2BB1">
            <w:pPr>
              <w:pStyle w:val="ARtablecolheadright"/>
              <w:rPr>
                <w:sz w:val="16"/>
                <w:szCs w:val="16"/>
                <w:lang w:eastAsia="en-AU"/>
              </w:rPr>
            </w:pPr>
            <w:r w:rsidRPr="00E9020C">
              <w:rPr>
                <w:sz w:val="16"/>
                <w:szCs w:val="16"/>
                <w:lang w:eastAsia="en-AU"/>
              </w:rPr>
              <w:t>FTE</w:t>
            </w:r>
          </w:p>
        </w:tc>
      </w:tr>
      <w:tr w:rsidR="00F659C1" w:rsidRPr="00F45F11" w14:paraId="3A4BCEAA"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tcBorders>
              <w:top w:val="single" w:sz="4" w:space="0" w:color="auto"/>
            </w:tcBorders>
          </w:tcPr>
          <w:p w14:paraId="002506EE" w14:textId="372E71E6" w:rsidR="00F659C1" w:rsidRPr="00F45F11" w:rsidRDefault="00F659C1" w:rsidP="00F659C1">
            <w:pPr>
              <w:pStyle w:val="ARTabletextboldcoloured"/>
              <w:rPr>
                <w:lang w:eastAsia="en-AU"/>
              </w:rPr>
            </w:pPr>
            <w:r w:rsidRPr="00F45F11">
              <w:rPr>
                <w:lang w:eastAsia="en-AU"/>
              </w:rPr>
              <w:t>Part 1: Demo</w:t>
            </w:r>
            <w:r>
              <w:rPr>
                <w:lang w:eastAsia="en-AU"/>
              </w:rPr>
              <w:t>-</w:t>
            </w:r>
            <w:r w:rsidRPr="00F45F11">
              <w:rPr>
                <w:lang w:eastAsia="en-AU"/>
              </w:rPr>
              <w:t>graphic data</w:t>
            </w:r>
          </w:p>
        </w:tc>
        <w:tc>
          <w:tcPr>
            <w:tcW w:w="992" w:type="dxa"/>
            <w:tcBorders>
              <w:top w:val="single" w:sz="4" w:space="0" w:color="auto"/>
            </w:tcBorders>
          </w:tcPr>
          <w:p w14:paraId="27878BCA" w14:textId="77777777" w:rsidR="00F659C1" w:rsidRPr="00F45F11" w:rsidRDefault="00F659C1" w:rsidP="0093234E">
            <w:pPr>
              <w:pStyle w:val="ARTabletext"/>
              <w:rPr>
                <w:lang w:eastAsia="en-AU"/>
              </w:rPr>
            </w:pPr>
          </w:p>
        </w:tc>
        <w:tc>
          <w:tcPr>
            <w:tcW w:w="992" w:type="dxa"/>
            <w:tcBorders>
              <w:top w:val="single" w:sz="4" w:space="0" w:color="auto"/>
            </w:tcBorders>
          </w:tcPr>
          <w:p w14:paraId="160A881F" w14:textId="77777777" w:rsidR="00F659C1" w:rsidRPr="00F45F11" w:rsidRDefault="00F659C1" w:rsidP="0093234E">
            <w:pPr>
              <w:pStyle w:val="ARTabletext"/>
              <w:rPr>
                <w:lang w:eastAsia="en-AU"/>
              </w:rPr>
            </w:pPr>
          </w:p>
        </w:tc>
        <w:tc>
          <w:tcPr>
            <w:tcW w:w="926" w:type="dxa"/>
            <w:tcBorders>
              <w:top w:val="single" w:sz="4" w:space="0" w:color="auto"/>
            </w:tcBorders>
          </w:tcPr>
          <w:p w14:paraId="2D14D6EB" w14:textId="77777777" w:rsidR="00F659C1" w:rsidRPr="00F45F11" w:rsidRDefault="00F659C1" w:rsidP="0093234E">
            <w:pPr>
              <w:pStyle w:val="ARTabletext"/>
              <w:rPr>
                <w:lang w:eastAsia="en-AU"/>
              </w:rPr>
            </w:pPr>
          </w:p>
        </w:tc>
        <w:tc>
          <w:tcPr>
            <w:tcW w:w="926" w:type="dxa"/>
            <w:tcBorders>
              <w:top w:val="single" w:sz="4" w:space="0" w:color="auto"/>
            </w:tcBorders>
          </w:tcPr>
          <w:p w14:paraId="1385BE0E" w14:textId="77777777" w:rsidR="00F659C1" w:rsidRPr="00F45F11" w:rsidRDefault="00F659C1" w:rsidP="0093234E">
            <w:pPr>
              <w:pStyle w:val="ARTabletext"/>
              <w:rPr>
                <w:lang w:eastAsia="en-AU"/>
              </w:rPr>
            </w:pPr>
          </w:p>
        </w:tc>
        <w:tc>
          <w:tcPr>
            <w:tcW w:w="927" w:type="dxa"/>
            <w:tcBorders>
              <w:top w:val="single" w:sz="4" w:space="0" w:color="auto"/>
            </w:tcBorders>
          </w:tcPr>
          <w:p w14:paraId="0CD8D9E8" w14:textId="77777777" w:rsidR="00F659C1" w:rsidRPr="00F45F11" w:rsidRDefault="00F659C1" w:rsidP="0093234E">
            <w:pPr>
              <w:pStyle w:val="ARTabletext"/>
              <w:rPr>
                <w:lang w:eastAsia="en-AU"/>
              </w:rPr>
            </w:pPr>
          </w:p>
        </w:tc>
        <w:tc>
          <w:tcPr>
            <w:tcW w:w="1057" w:type="dxa"/>
            <w:tcBorders>
              <w:top w:val="single" w:sz="4" w:space="0" w:color="auto"/>
            </w:tcBorders>
          </w:tcPr>
          <w:p w14:paraId="762C634F" w14:textId="77777777" w:rsidR="00F659C1" w:rsidRPr="00F45F11" w:rsidRDefault="00F659C1" w:rsidP="0093234E">
            <w:pPr>
              <w:pStyle w:val="ARTabletext"/>
              <w:rPr>
                <w:lang w:eastAsia="en-AU"/>
              </w:rPr>
            </w:pPr>
          </w:p>
        </w:tc>
        <w:tc>
          <w:tcPr>
            <w:tcW w:w="927" w:type="dxa"/>
            <w:tcBorders>
              <w:top w:val="single" w:sz="4" w:space="0" w:color="auto"/>
            </w:tcBorders>
          </w:tcPr>
          <w:p w14:paraId="1FEAB939" w14:textId="77777777" w:rsidR="00F659C1" w:rsidRPr="00F45F11" w:rsidRDefault="00F659C1" w:rsidP="0093234E">
            <w:pPr>
              <w:pStyle w:val="ARTabletext"/>
              <w:rPr>
                <w:lang w:eastAsia="en-AU"/>
              </w:rPr>
            </w:pPr>
          </w:p>
        </w:tc>
        <w:tc>
          <w:tcPr>
            <w:tcW w:w="1057" w:type="dxa"/>
            <w:tcBorders>
              <w:top w:val="single" w:sz="4" w:space="0" w:color="auto"/>
            </w:tcBorders>
          </w:tcPr>
          <w:p w14:paraId="0AD08C5D" w14:textId="77777777" w:rsidR="00F659C1" w:rsidRPr="00F45F11" w:rsidRDefault="00F659C1" w:rsidP="0093234E">
            <w:pPr>
              <w:pStyle w:val="ARTabletext"/>
              <w:rPr>
                <w:lang w:eastAsia="en-AU"/>
              </w:rPr>
            </w:pPr>
          </w:p>
        </w:tc>
        <w:tc>
          <w:tcPr>
            <w:tcW w:w="927" w:type="dxa"/>
            <w:tcBorders>
              <w:top w:val="single" w:sz="4" w:space="0" w:color="auto"/>
            </w:tcBorders>
          </w:tcPr>
          <w:p w14:paraId="7DA5784A" w14:textId="77777777" w:rsidR="00F659C1" w:rsidRPr="00F45F11" w:rsidRDefault="00F659C1" w:rsidP="0093234E">
            <w:pPr>
              <w:pStyle w:val="ARTabletext"/>
              <w:rPr>
                <w:lang w:eastAsia="en-AU"/>
              </w:rPr>
            </w:pPr>
          </w:p>
        </w:tc>
        <w:tc>
          <w:tcPr>
            <w:tcW w:w="926" w:type="dxa"/>
            <w:tcBorders>
              <w:top w:val="single" w:sz="4" w:space="0" w:color="auto"/>
            </w:tcBorders>
          </w:tcPr>
          <w:p w14:paraId="5004AB0A" w14:textId="77777777" w:rsidR="00F659C1" w:rsidRPr="00F45F11" w:rsidRDefault="00F659C1" w:rsidP="0093234E">
            <w:pPr>
              <w:pStyle w:val="ARTabletext"/>
              <w:rPr>
                <w:lang w:eastAsia="en-AU"/>
              </w:rPr>
            </w:pPr>
          </w:p>
        </w:tc>
        <w:tc>
          <w:tcPr>
            <w:tcW w:w="926" w:type="dxa"/>
            <w:tcBorders>
              <w:top w:val="single" w:sz="4" w:space="0" w:color="auto"/>
            </w:tcBorders>
          </w:tcPr>
          <w:p w14:paraId="5E2277B9" w14:textId="77777777" w:rsidR="00F659C1" w:rsidRPr="00F45F11" w:rsidRDefault="00F659C1" w:rsidP="0093234E">
            <w:pPr>
              <w:pStyle w:val="ARTabletext"/>
              <w:rPr>
                <w:lang w:eastAsia="en-AU"/>
              </w:rPr>
            </w:pPr>
          </w:p>
        </w:tc>
        <w:tc>
          <w:tcPr>
            <w:tcW w:w="927" w:type="dxa"/>
            <w:tcBorders>
              <w:top w:val="single" w:sz="4" w:space="0" w:color="auto"/>
            </w:tcBorders>
          </w:tcPr>
          <w:p w14:paraId="6B57CCEB" w14:textId="77777777" w:rsidR="00F659C1" w:rsidRPr="00F45F11" w:rsidRDefault="00F659C1" w:rsidP="0093234E">
            <w:pPr>
              <w:pStyle w:val="ARTabletext"/>
              <w:rPr>
                <w:lang w:eastAsia="en-AU"/>
              </w:rPr>
            </w:pPr>
          </w:p>
        </w:tc>
        <w:tc>
          <w:tcPr>
            <w:tcW w:w="1057" w:type="dxa"/>
            <w:tcBorders>
              <w:top w:val="single" w:sz="4" w:space="0" w:color="auto"/>
            </w:tcBorders>
          </w:tcPr>
          <w:p w14:paraId="225D55F9" w14:textId="77777777" w:rsidR="00F659C1" w:rsidRPr="00F45F11" w:rsidRDefault="00F659C1" w:rsidP="0093234E">
            <w:pPr>
              <w:pStyle w:val="ARTabletext"/>
              <w:rPr>
                <w:lang w:eastAsia="en-AU"/>
              </w:rPr>
            </w:pPr>
          </w:p>
        </w:tc>
        <w:tc>
          <w:tcPr>
            <w:tcW w:w="927" w:type="dxa"/>
            <w:tcBorders>
              <w:top w:val="single" w:sz="4" w:space="0" w:color="auto"/>
            </w:tcBorders>
          </w:tcPr>
          <w:p w14:paraId="71B7FC02" w14:textId="77777777" w:rsidR="00F659C1" w:rsidRPr="00F45F11" w:rsidRDefault="00F659C1" w:rsidP="0093234E">
            <w:pPr>
              <w:pStyle w:val="ARTabletext"/>
              <w:rPr>
                <w:lang w:eastAsia="en-AU"/>
              </w:rPr>
            </w:pPr>
          </w:p>
        </w:tc>
      </w:tr>
      <w:tr w:rsidR="0093234E" w:rsidRPr="00F45F11" w14:paraId="2AC99095"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tcBorders>
              <w:top w:val="single" w:sz="4" w:space="0" w:color="auto"/>
            </w:tcBorders>
          </w:tcPr>
          <w:p w14:paraId="17745921" w14:textId="4C1EB0B9" w:rsidR="0093234E" w:rsidRPr="00F45F11" w:rsidRDefault="0093234E" w:rsidP="0093234E">
            <w:pPr>
              <w:pStyle w:val="ARtabletextbold"/>
              <w:rPr>
                <w:lang w:eastAsia="en-AU"/>
              </w:rPr>
            </w:pPr>
            <w:r w:rsidRPr="00F45F11">
              <w:rPr>
                <w:lang w:eastAsia="en-AU"/>
              </w:rPr>
              <w:t>Gender</w:t>
            </w:r>
          </w:p>
        </w:tc>
        <w:tc>
          <w:tcPr>
            <w:tcW w:w="992" w:type="dxa"/>
            <w:tcBorders>
              <w:top w:val="single" w:sz="4" w:space="0" w:color="auto"/>
            </w:tcBorders>
          </w:tcPr>
          <w:p w14:paraId="658C07E0" w14:textId="77777777" w:rsidR="0093234E" w:rsidRPr="00F45F11" w:rsidRDefault="0093234E" w:rsidP="0093234E">
            <w:pPr>
              <w:pStyle w:val="ARTabletext"/>
              <w:rPr>
                <w:lang w:eastAsia="en-AU"/>
              </w:rPr>
            </w:pPr>
          </w:p>
        </w:tc>
        <w:tc>
          <w:tcPr>
            <w:tcW w:w="992" w:type="dxa"/>
            <w:tcBorders>
              <w:top w:val="single" w:sz="4" w:space="0" w:color="auto"/>
            </w:tcBorders>
          </w:tcPr>
          <w:p w14:paraId="48170D41" w14:textId="77777777" w:rsidR="0093234E" w:rsidRPr="00F45F11" w:rsidRDefault="0093234E" w:rsidP="0093234E">
            <w:pPr>
              <w:pStyle w:val="ARTabletext"/>
              <w:rPr>
                <w:lang w:eastAsia="en-AU"/>
              </w:rPr>
            </w:pPr>
          </w:p>
        </w:tc>
        <w:tc>
          <w:tcPr>
            <w:tcW w:w="926" w:type="dxa"/>
            <w:tcBorders>
              <w:top w:val="single" w:sz="4" w:space="0" w:color="auto"/>
            </w:tcBorders>
          </w:tcPr>
          <w:p w14:paraId="376455EC" w14:textId="77777777" w:rsidR="0093234E" w:rsidRPr="00F45F11" w:rsidRDefault="0093234E" w:rsidP="0093234E">
            <w:pPr>
              <w:pStyle w:val="ARTabletext"/>
              <w:rPr>
                <w:lang w:eastAsia="en-AU"/>
              </w:rPr>
            </w:pPr>
          </w:p>
        </w:tc>
        <w:tc>
          <w:tcPr>
            <w:tcW w:w="926" w:type="dxa"/>
            <w:tcBorders>
              <w:top w:val="single" w:sz="4" w:space="0" w:color="auto"/>
            </w:tcBorders>
          </w:tcPr>
          <w:p w14:paraId="1F411A60" w14:textId="77777777" w:rsidR="0093234E" w:rsidRPr="00F45F11" w:rsidRDefault="0093234E" w:rsidP="0093234E">
            <w:pPr>
              <w:pStyle w:val="ARTabletext"/>
              <w:rPr>
                <w:lang w:eastAsia="en-AU"/>
              </w:rPr>
            </w:pPr>
          </w:p>
        </w:tc>
        <w:tc>
          <w:tcPr>
            <w:tcW w:w="927" w:type="dxa"/>
            <w:tcBorders>
              <w:top w:val="single" w:sz="4" w:space="0" w:color="auto"/>
            </w:tcBorders>
          </w:tcPr>
          <w:p w14:paraId="1F9D8DF9" w14:textId="77777777" w:rsidR="0093234E" w:rsidRPr="00F45F11" w:rsidRDefault="0093234E" w:rsidP="0093234E">
            <w:pPr>
              <w:pStyle w:val="ARTabletext"/>
              <w:rPr>
                <w:lang w:eastAsia="en-AU"/>
              </w:rPr>
            </w:pPr>
          </w:p>
        </w:tc>
        <w:tc>
          <w:tcPr>
            <w:tcW w:w="1057" w:type="dxa"/>
            <w:tcBorders>
              <w:top w:val="single" w:sz="4" w:space="0" w:color="auto"/>
            </w:tcBorders>
          </w:tcPr>
          <w:p w14:paraId="7A5C4CAA" w14:textId="77777777" w:rsidR="0093234E" w:rsidRPr="00F45F11" w:rsidRDefault="0093234E" w:rsidP="0093234E">
            <w:pPr>
              <w:pStyle w:val="ARTabletext"/>
              <w:rPr>
                <w:lang w:eastAsia="en-AU"/>
              </w:rPr>
            </w:pPr>
          </w:p>
        </w:tc>
        <w:tc>
          <w:tcPr>
            <w:tcW w:w="927" w:type="dxa"/>
            <w:tcBorders>
              <w:top w:val="single" w:sz="4" w:space="0" w:color="auto"/>
            </w:tcBorders>
          </w:tcPr>
          <w:p w14:paraId="41F61356" w14:textId="77777777" w:rsidR="0093234E" w:rsidRPr="00F45F11" w:rsidRDefault="0093234E" w:rsidP="0093234E">
            <w:pPr>
              <w:pStyle w:val="ARTabletext"/>
              <w:rPr>
                <w:lang w:eastAsia="en-AU"/>
              </w:rPr>
            </w:pPr>
          </w:p>
        </w:tc>
        <w:tc>
          <w:tcPr>
            <w:tcW w:w="1057" w:type="dxa"/>
            <w:tcBorders>
              <w:top w:val="single" w:sz="4" w:space="0" w:color="auto"/>
            </w:tcBorders>
          </w:tcPr>
          <w:p w14:paraId="1850B491" w14:textId="77777777" w:rsidR="0093234E" w:rsidRPr="00F45F11" w:rsidRDefault="0093234E" w:rsidP="0093234E">
            <w:pPr>
              <w:pStyle w:val="ARTabletext"/>
              <w:rPr>
                <w:lang w:eastAsia="en-AU"/>
              </w:rPr>
            </w:pPr>
          </w:p>
        </w:tc>
        <w:tc>
          <w:tcPr>
            <w:tcW w:w="927" w:type="dxa"/>
            <w:tcBorders>
              <w:top w:val="single" w:sz="4" w:space="0" w:color="auto"/>
            </w:tcBorders>
          </w:tcPr>
          <w:p w14:paraId="6B2BEED9" w14:textId="77777777" w:rsidR="0093234E" w:rsidRPr="00F45F11" w:rsidRDefault="0093234E" w:rsidP="0093234E">
            <w:pPr>
              <w:pStyle w:val="ARTabletext"/>
              <w:rPr>
                <w:lang w:eastAsia="en-AU"/>
              </w:rPr>
            </w:pPr>
          </w:p>
        </w:tc>
        <w:tc>
          <w:tcPr>
            <w:tcW w:w="926" w:type="dxa"/>
            <w:tcBorders>
              <w:top w:val="single" w:sz="4" w:space="0" w:color="auto"/>
            </w:tcBorders>
          </w:tcPr>
          <w:p w14:paraId="0F76E250" w14:textId="77777777" w:rsidR="0093234E" w:rsidRPr="00F45F11" w:rsidRDefault="0093234E" w:rsidP="0093234E">
            <w:pPr>
              <w:pStyle w:val="ARTabletext"/>
              <w:rPr>
                <w:lang w:eastAsia="en-AU"/>
              </w:rPr>
            </w:pPr>
          </w:p>
        </w:tc>
        <w:tc>
          <w:tcPr>
            <w:tcW w:w="926" w:type="dxa"/>
            <w:tcBorders>
              <w:top w:val="single" w:sz="4" w:space="0" w:color="auto"/>
            </w:tcBorders>
          </w:tcPr>
          <w:p w14:paraId="5ED4C4B1" w14:textId="77777777" w:rsidR="0093234E" w:rsidRPr="00F45F11" w:rsidRDefault="0093234E" w:rsidP="0093234E">
            <w:pPr>
              <w:pStyle w:val="ARTabletext"/>
              <w:rPr>
                <w:lang w:eastAsia="en-AU"/>
              </w:rPr>
            </w:pPr>
          </w:p>
        </w:tc>
        <w:tc>
          <w:tcPr>
            <w:tcW w:w="927" w:type="dxa"/>
            <w:tcBorders>
              <w:top w:val="single" w:sz="4" w:space="0" w:color="auto"/>
            </w:tcBorders>
          </w:tcPr>
          <w:p w14:paraId="238AABE5" w14:textId="77777777" w:rsidR="0093234E" w:rsidRPr="00F45F11" w:rsidRDefault="0093234E" w:rsidP="0093234E">
            <w:pPr>
              <w:pStyle w:val="ARTabletext"/>
              <w:rPr>
                <w:lang w:eastAsia="en-AU"/>
              </w:rPr>
            </w:pPr>
          </w:p>
        </w:tc>
        <w:tc>
          <w:tcPr>
            <w:tcW w:w="1057" w:type="dxa"/>
            <w:tcBorders>
              <w:top w:val="single" w:sz="4" w:space="0" w:color="auto"/>
            </w:tcBorders>
          </w:tcPr>
          <w:p w14:paraId="19F131C2" w14:textId="77777777" w:rsidR="0093234E" w:rsidRPr="00F45F11" w:rsidRDefault="0093234E" w:rsidP="0093234E">
            <w:pPr>
              <w:pStyle w:val="ARTabletext"/>
              <w:rPr>
                <w:lang w:eastAsia="en-AU"/>
              </w:rPr>
            </w:pPr>
          </w:p>
        </w:tc>
        <w:tc>
          <w:tcPr>
            <w:tcW w:w="927" w:type="dxa"/>
            <w:tcBorders>
              <w:top w:val="single" w:sz="4" w:space="0" w:color="auto"/>
            </w:tcBorders>
          </w:tcPr>
          <w:p w14:paraId="550E907B" w14:textId="77777777" w:rsidR="0093234E" w:rsidRPr="00F45F11" w:rsidRDefault="0093234E" w:rsidP="0093234E">
            <w:pPr>
              <w:pStyle w:val="ARTabletext"/>
              <w:rPr>
                <w:lang w:eastAsia="en-AU"/>
              </w:rPr>
            </w:pPr>
          </w:p>
        </w:tc>
      </w:tr>
      <w:tr w:rsidR="005E2BB1" w:rsidRPr="00F45F11" w14:paraId="52F0339B"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hideMark/>
          </w:tcPr>
          <w:p w14:paraId="51C0463E" w14:textId="77777777" w:rsidR="005E2BB1" w:rsidRPr="00F45F11" w:rsidRDefault="005E2BB1" w:rsidP="0093234E">
            <w:pPr>
              <w:pStyle w:val="ARTabletext"/>
              <w:rPr>
                <w:lang w:eastAsia="en-AU"/>
              </w:rPr>
            </w:pPr>
            <w:r w:rsidRPr="00F45F11">
              <w:rPr>
                <w:lang w:eastAsia="en-AU"/>
              </w:rPr>
              <w:t>Women</w:t>
            </w:r>
          </w:p>
        </w:tc>
        <w:tc>
          <w:tcPr>
            <w:tcW w:w="992" w:type="dxa"/>
            <w:shd w:val="clear" w:color="auto" w:fill="E7E6E6" w:themeFill="background2"/>
            <w:hideMark/>
          </w:tcPr>
          <w:p w14:paraId="58538E77" w14:textId="4CB84DBD" w:rsidR="005E2BB1" w:rsidRPr="00F45F11" w:rsidRDefault="005E2BB1" w:rsidP="0093234E">
            <w:pPr>
              <w:pStyle w:val="ARtabletextright"/>
              <w:rPr>
                <w:lang w:eastAsia="en-AU"/>
              </w:rPr>
            </w:pPr>
            <w:r w:rsidRPr="00F45F11">
              <w:rPr>
                <w:lang w:eastAsia="en-AU"/>
              </w:rPr>
              <w:t>5</w:t>
            </w:r>
            <w:r w:rsidR="00333488" w:rsidRPr="00F45F11">
              <w:rPr>
                <w:lang w:eastAsia="en-AU"/>
              </w:rPr>
              <w:t>,</w:t>
            </w:r>
            <w:r w:rsidRPr="00F45F11">
              <w:rPr>
                <w:lang w:eastAsia="en-AU"/>
              </w:rPr>
              <w:t>498</w:t>
            </w:r>
          </w:p>
        </w:tc>
        <w:tc>
          <w:tcPr>
            <w:tcW w:w="992" w:type="dxa"/>
            <w:shd w:val="clear" w:color="auto" w:fill="E7E6E6" w:themeFill="background2"/>
            <w:hideMark/>
          </w:tcPr>
          <w:p w14:paraId="188D522F" w14:textId="547584D4" w:rsidR="005E2BB1" w:rsidRPr="00F45F11" w:rsidRDefault="005E2BB1" w:rsidP="0093234E">
            <w:pPr>
              <w:pStyle w:val="ARtabletextright"/>
              <w:rPr>
                <w:lang w:eastAsia="en-AU"/>
              </w:rPr>
            </w:pPr>
            <w:r w:rsidRPr="00F45F11">
              <w:rPr>
                <w:lang w:eastAsia="en-AU"/>
              </w:rPr>
              <w:t>5</w:t>
            </w:r>
            <w:r w:rsidR="00333488" w:rsidRPr="00F45F11">
              <w:rPr>
                <w:lang w:eastAsia="en-AU"/>
              </w:rPr>
              <w:t>,</w:t>
            </w:r>
            <w:r w:rsidRPr="00F45F11">
              <w:rPr>
                <w:lang w:eastAsia="en-AU"/>
              </w:rPr>
              <w:t>131.3</w:t>
            </w:r>
          </w:p>
        </w:tc>
        <w:tc>
          <w:tcPr>
            <w:tcW w:w="926" w:type="dxa"/>
            <w:hideMark/>
          </w:tcPr>
          <w:p w14:paraId="00969E95" w14:textId="2A615848" w:rsidR="005E2BB1" w:rsidRPr="00F45F11" w:rsidRDefault="005E2BB1" w:rsidP="0093234E">
            <w:pPr>
              <w:pStyle w:val="ARtabletextright"/>
              <w:rPr>
                <w:lang w:eastAsia="en-AU"/>
              </w:rPr>
            </w:pPr>
            <w:r w:rsidRPr="00F45F11">
              <w:rPr>
                <w:lang w:eastAsia="en-AU"/>
              </w:rPr>
              <w:t>3</w:t>
            </w:r>
            <w:r w:rsidR="00333488" w:rsidRPr="00F45F11">
              <w:rPr>
                <w:lang w:eastAsia="en-AU"/>
              </w:rPr>
              <w:t>,</w:t>
            </w:r>
            <w:r w:rsidRPr="00F45F11">
              <w:rPr>
                <w:lang w:eastAsia="en-AU"/>
              </w:rPr>
              <w:t>757</w:t>
            </w:r>
          </w:p>
        </w:tc>
        <w:tc>
          <w:tcPr>
            <w:tcW w:w="926" w:type="dxa"/>
            <w:hideMark/>
          </w:tcPr>
          <w:p w14:paraId="2D4E74E0" w14:textId="77777777" w:rsidR="005E2BB1" w:rsidRPr="00F45F11" w:rsidRDefault="005E2BB1" w:rsidP="0093234E">
            <w:pPr>
              <w:pStyle w:val="ARtabletextright"/>
              <w:rPr>
                <w:lang w:eastAsia="en-AU"/>
              </w:rPr>
            </w:pPr>
            <w:r w:rsidRPr="00F45F11">
              <w:rPr>
                <w:lang w:eastAsia="en-AU"/>
              </w:rPr>
              <w:t>810</w:t>
            </w:r>
          </w:p>
        </w:tc>
        <w:tc>
          <w:tcPr>
            <w:tcW w:w="927" w:type="dxa"/>
            <w:hideMark/>
          </w:tcPr>
          <w:p w14:paraId="35E67870" w14:textId="3EFFF2BA" w:rsidR="005E2BB1" w:rsidRPr="00F45F11" w:rsidRDefault="005E2BB1" w:rsidP="0093234E">
            <w:pPr>
              <w:pStyle w:val="ARtabletextright"/>
              <w:rPr>
                <w:lang w:eastAsia="en-AU"/>
              </w:rPr>
            </w:pPr>
            <w:r w:rsidRPr="00F45F11">
              <w:rPr>
                <w:lang w:eastAsia="en-AU"/>
              </w:rPr>
              <w:t>4</w:t>
            </w:r>
            <w:r w:rsidR="00333488" w:rsidRPr="00F45F11">
              <w:rPr>
                <w:lang w:eastAsia="en-AU"/>
              </w:rPr>
              <w:t>,</w:t>
            </w:r>
            <w:r w:rsidRPr="00F45F11">
              <w:rPr>
                <w:lang w:eastAsia="en-AU"/>
              </w:rPr>
              <w:t>287.8</w:t>
            </w:r>
          </w:p>
        </w:tc>
        <w:tc>
          <w:tcPr>
            <w:tcW w:w="1057" w:type="dxa"/>
            <w:shd w:val="clear" w:color="auto" w:fill="E7E6E6" w:themeFill="background2"/>
            <w:hideMark/>
          </w:tcPr>
          <w:p w14:paraId="65A73578" w14:textId="77777777" w:rsidR="005E2BB1" w:rsidRPr="00F45F11" w:rsidRDefault="005E2BB1" w:rsidP="0093234E">
            <w:pPr>
              <w:pStyle w:val="ARtabletextright"/>
              <w:rPr>
                <w:lang w:eastAsia="en-AU"/>
              </w:rPr>
            </w:pPr>
            <w:r w:rsidRPr="00F45F11">
              <w:rPr>
                <w:lang w:eastAsia="en-AU"/>
              </w:rPr>
              <w:t>931</w:t>
            </w:r>
          </w:p>
        </w:tc>
        <w:tc>
          <w:tcPr>
            <w:tcW w:w="927" w:type="dxa"/>
            <w:shd w:val="clear" w:color="auto" w:fill="E7E6E6" w:themeFill="background2"/>
            <w:hideMark/>
          </w:tcPr>
          <w:p w14:paraId="5ABB1768" w14:textId="77777777" w:rsidR="005E2BB1" w:rsidRPr="00F45F11" w:rsidRDefault="005E2BB1" w:rsidP="0093234E">
            <w:pPr>
              <w:pStyle w:val="ARtabletextright"/>
              <w:rPr>
                <w:lang w:eastAsia="en-AU"/>
              </w:rPr>
            </w:pPr>
            <w:r w:rsidRPr="00F45F11">
              <w:rPr>
                <w:lang w:eastAsia="en-AU"/>
              </w:rPr>
              <w:t>843.5</w:t>
            </w:r>
          </w:p>
        </w:tc>
        <w:tc>
          <w:tcPr>
            <w:tcW w:w="1057" w:type="dxa"/>
            <w:hideMark/>
          </w:tcPr>
          <w:p w14:paraId="567DD050" w14:textId="7DA3D455" w:rsidR="005E2BB1" w:rsidRPr="00F45F11" w:rsidRDefault="005E2BB1" w:rsidP="0093234E">
            <w:pPr>
              <w:pStyle w:val="ARtabletextright"/>
              <w:rPr>
                <w:lang w:eastAsia="en-AU"/>
              </w:rPr>
            </w:pPr>
            <w:r w:rsidRPr="00F45F11">
              <w:rPr>
                <w:lang w:eastAsia="en-AU"/>
              </w:rPr>
              <w:t>5</w:t>
            </w:r>
            <w:r w:rsidR="00333488" w:rsidRPr="00F45F11">
              <w:rPr>
                <w:lang w:eastAsia="en-AU"/>
              </w:rPr>
              <w:t>,</w:t>
            </w:r>
            <w:r w:rsidRPr="00F45F11">
              <w:rPr>
                <w:lang w:eastAsia="en-AU"/>
              </w:rPr>
              <w:t>488</w:t>
            </w:r>
          </w:p>
        </w:tc>
        <w:tc>
          <w:tcPr>
            <w:tcW w:w="927" w:type="dxa"/>
            <w:hideMark/>
          </w:tcPr>
          <w:p w14:paraId="33AD7D9B" w14:textId="6CEE102A" w:rsidR="005E2BB1" w:rsidRPr="00F45F11" w:rsidRDefault="005E2BB1" w:rsidP="0093234E">
            <w:pPr>
              <w:pStyle w:val="ARtabletextright"/>
              <w:rPr>
                <w:lang w:eastAsia="en-AU"/>
              </w:rPr>
            </w:pPr>
            <w:r w:rsidRPr="00F45F11">
              <w:rPr>
                <w:lang w:eastAsia="en-AU"/>
              </w:rPr>
              <w:t>5</w:t>
            </w:r>
            <w:r w:rsidR="00333488" w:rsidRPr="00F45F11">
              <w:rPr>
                <w:lang w:eastAsia="en-AU"/>
              </w:rPr>
              <w:t>,</w:t>
            </w:r>
            <w:r w:rsidRPr="00F45F11">
              <w:rPr>
                <w:lang w:eastAsia="en-AU"/>
              </w:rPr>
              <w:t>107.7</w:t>
            </w:r>
          </w:p>
        </w:tc>
        <w:tc>
          <w:tcPr>
            <w:tcW w:w="926" w:type="dxa"/>
            <w:shd w:val="clear" w:color="auto" w:fill="E7E6E6" w:themeFill="background2"/>
            <w:hideMark/>
          </w:tcPr>
          <w:p w14:paraId="21B87668" w14:textId="09F09C24" w:rsidR="005E2BB1" w:rsidRPr="00F45F11" w:rsidRDefault="005E2BB1" w:rsidP="0093234E">
            <w:pPr>
              <w:pStyle w:val="ARtabletextright"/>
              <w:rPr>
                <w:lang w:eastAsia="en-AU"/>
              </w:rPr>
            </w:pPr>
            <w:r w:rsidRPr="00F45F11">
              <w:rPr>
                <w:lang w:eastAsia="en-AU"/>
              </w:rPr>
              <w:t>3</w:t>
            </w:r>
            <w:r w:rsidR="00333488" w:rsidRPr="00F45F11">
              <w:rPr>
                <w:lang w:eastAsia="en-AU"/>
              </w:rPr>
              <w:t>,</w:t>
            </w:r>
            <w:r w:rsidRPr="00F45F11">
              <w:rPr>
                <w:lang w:eastAsia="en-AU"/>
              </w:rPr>
              <w:t>793</w:t>
            </w:r>
          </w:p>
        </w:tc>
        <w:tc>
          <w:tcPr>
            <w:tcW w:w="926" w:type="dxa"/>
            <w:shd w:val="clear" w:color="auto" w:fill="E7E6E6" w:themeFill="background2"/>
            <w:hideMark/>
          </w:tcPr>
          <w:p w14:paraId="3CA3381E" w14:textId="77777777" w:rsidR="005E2BB1" w:rsidRPr="00F45F11" w:rsidRDefault="005E2BB1" w:rsidP="0093234E">
            <w:pPr>
              <w:pStyle w:val="ARtabletextright"/>
              <w:rPr>
                <w:lang w:eastAsia="en-AU"/>
              </w:rPr>
            </w:pPr>
            <w:r w:rsidRPr="00F45F11">
              <w:rPr>
                <w:lang w:eastAsia="en-AU"/>
              </w:rPr>
              <w:t>802</w:t>
            </w:r>
          </w:p>
        </w:tc>
        <w:tc>
          <w:tcPr>
            <w:tcW w:w="927" w:type="dxa"/>
            <w:shd w:val="clear" w:color="auto" w:fill="E7E6E6" w:themeFill="background2"/>
            <w:hideMark/>
          </w:tcPr>
          <w:p w14:paraId="5CACA38C" w14:textId="732506BB" w:rsidR="005E2BB1" w:rsidRPr="00F45F11" w:rsidRDefault="005E2BB1" w:rsidP="0093234E">
            <w:pPr>
              <w:pStyle w:val="ARtabletextright"/>
              <w:rPr>
                <w:lang w:eastAsia="en-AU"/>
              </w:rPr>
            </w:pPr>
            <w:r w:rsidRPr="00F45F11">
              <w:rPr>
                <w:lang w:eastAsia="en-AU"/>
              </w:rPr>
              <w:t>4</w:t>
            </w:r>
            <w:r w:rsidR="00333488" w:rsidRPr="00F45F11">
              <w:rPr>
                <w:lang w:eastAsia="en-AU"/>
              </w:rPr>
              <w:t>,</w:t>
            </w:r>
            <w:r w:rsidRPr="00F45F11">
              <w:rPr>
                <w:lang w:eastAsia="en-AU"/>
              </w:rPr>
              <w:t>309.1</w:t>
            </w:r>
          </w:p>
        </w:tc>
        <w:tc>
          <w:tcPr>
            <w:tcW w:w="1057" w:type="dxa"/>
            <w:hideMark/>
          </w:tcPr>
          <w:p w14:paraId="660B2B17" w14:textId="77777777" w:rsidR="005E2BB1" w:rsidRPr="00F45F11" w:rsidRDefault="005E2BB1" w:rsidP="0093234E">
            <w:pPr>
              <w:pStyle w:val="ARtabletextright"/>
              <w:rPr>
                <w:lang w:eastAsia="en-AU"/>
              </w:rPr>
            </w:pPr>
            <w:r w:rsidRPr="00F45F11">
              <w:rPr>
                <w:lang w:eastAsia="en-AU"/>
              </w:rPr>
              <w:t>893</w:t>
            </w:r>
          </w:p>
        </w:tc>
        <w:tc>
          <w:tcPr>
            <w:tcW w:w="927" w:type="dxa"/>
            <w:hideMark/>
          </w:tcPr>
          <w:p w14:paraId="55810D83" w14:textId="77777777" w:rsidR="005E2BB1" w:rsidRPr="00F45F11" w:rsidRDefault="005E2BB1" w:rsidP="0093234E">
            <w:pPr>
              <w:pStyle w:val="ARtabletextright"/>
              <w:rPr>
                <w:lang w:eastAsia="en-AU"/>
              </w:rPr>
            </w:pPr>
            <w:r w:rsidRPr="00F45F11">
              <w:rPr>
                <w:lang w:eastAsia="en-AU"/>
              </w:rPr>
              <w:t>798.6</w:t>
            </w:r>
          </w:p>
        </w:tc>
      </w:tr>
      <w:tr w:rsidR="005E2BB1" w:rsidRPr="00F45F11" w14:paraId="58A00D6D"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hideMark/>
          </w:tcPr>
          <w:p w14:paraId="63F8930E" w14:textId="77777777" w:rsidR="005E2BB1" w:rsidRPr="00F45F11" w:rsidRDefault="005E2BB1" w:rsidP="0093234E">
            <w:pPr>
              <w:pStyle w:val="ARTabletext"/>
              <w:rPr>
                <w:lang w:eastAsia="en-AU"/>
              </w:rPr>
            </w:pPr>
            <w:r w:rsidRPr="00F45F11">
              <w:rPr>
                <w:lang w:eastAsia="en-AU"/>
              </w:rPr>
              <w:t>Men</w:t>
            </w:r>
          </w:p>
        </w:tc>
        <w:tc>
          <w:tcPr>
            <w:tcW w:w="992" w:type="dxa"/>
            <w:shd w:val="clear" w:color="auto" w:fill="E7E6E6" w:themeFill="background2"/>
            <w:hideMark/>
          </w:tcPr>
          <w:p w14:paraId="522E6071" w14:textId="558B1A1C"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682</w:t>
            </w:r>
          </w:p>
        </w:tc>
        <w:tc>
          <w:tcPr>
            <w:tcW w:w="992" w:type="dxa"/>
            <w:shd w:val="clear" w:color="auto" w:fill="E7E6E6" w:themeFill="background2"/>
            <w:hideMark/>
          </w:tcPr>
          <w:p w14:paraId="5836BF84" w14:textId="3B759EFE"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624.6</w:t>
            </w:r>
          </w:p>
        </w:tc>
        <w:tc>
          <w:tcPr>
            <w:tcW w:w="926" w:type="dxa"/>
            <w:hideMark/>
          </w:tcPr>
          <w:p w14:paraId="475E1D72" w14:textId="73848C1C"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226</w:t>
            </w:r>
          </w:p>
        </w:tc>
        <w:tc>
          <w:tcPr>
            <w:tcW w:w="926" w:type="dxa"/>
            <w:hideMark/>
          </w:tcPr>
          <w:p w14:paraId="009C66E0" w14:textId="77777777" w:rsidR="005E2BB1" w:rsidRPr="00F45F11" w:rsidRDefault="005E2BB1" w:rsidP="0093234E">
            <w:pPr>
              <w:pStyle w:val="ARtabletextright"/>
              <w:rPr>
                <w:lang w:eastAsia="en-AU"/>
              </w:rPr>
            </w:pPr>
            <w:r w:rsidRPr="00F45F11">
              <w:rPr>
                <w:lang w:eastAsia="en-AU"/>
              </w:rPr>
              <w:t>77</w:t>
            </w:r>
          </w:p>
        </w:tc>
        <w:tc>
          <w:tcPr>
            <w:tcW w:w="927" w:type="dxa"/>
            <w:hideMark/>
          </w:tcPr>
          <w:p w14:paraId="0B23454B" w14:textId="7C0F9A6A"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278.6</w:t>
            </w:r>
          </w:p>
        </w:tc>
        <w:tc>
          <w:tcPr>
            <w:tcW w:w="1057" w:type="dxa"/>
            <w:shd w:val="clear" w:color="auto" w:fill="E7E6E6" w:themeFill="background2"/>
            <w:hideMark/>
          </w:tcPr>
          <w:p w14:paraId="6325FE46" w14:textId="77777777" w:rsidR="005E2BB1" w:rsidRPr="00F45F11" w:rsidRDefault="005E2BB1" w:rsidP="0093234E">
            <w:pPr>
              <w:pStyle w:val="ARtabletextright"/>
              <w:rPr>
                <w:lang w:eastAsia="en-AU"/>
              </w:rPr>
            </w:pPr>
            <w:r w:rsidRPr="00F45F11">
              <w:rPr>
                <w:lang w:eastAsia="en-AU"/>
              </w:rPr>
              <w:t>379</w:t>
            </w:r>
          </w:p>
        </w:tc>
        <w:tc>
          <w:tcPr>
            <w:tcW w:w="927" w:type="dxa"/>
            <w:shd w:val="clear" w:color="auto" w:fill="E7E6E6" w:themeFill="background2"/>
            <w:hideMark/>
          </w:tcPr>
          <w:p w14:paraId="4398B954" w14:textId="77777777" w:rsidR="005E2BB1" w:rsidRPr="00F45F11" w:rsidRDefault="005E2BB1" w:rsidP="0093234E">
            <w:pPr>
              <w:pStyle w:val="ARtabletextright"/>
              <w:rPr>
                <w:lang w:eastAsia="en-AU"/>
              </w:rPr>
            </w:pPr>
            <w:r w:rsidRPr="00F45F11">
              <w:rPr>
                <w:lang w:eastAsia="en-AU"/>
              </w:rPr>
              <w:t>346.0</w:t>
            </w:r>
          </w:p>
        </w:tc>
        <w:tc>
          <w:tcPr>
            <w:tcW w:w="1057" w:type="dxa"/>
            <w:hideMark/>
          </w:tcPr>
          <w:p w14:paraId="550AB144" w14:textId="1115BC97"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620</w:t>
            </w:r>
          </w:p>
        </w:tc>
        <w:tc>
          <w:tcPr>
            <w:tcW w:w="927" w:type="dxa"/>
            <w:hideMark/>
          </w:tcPr>
          <w:p w14:paraId="163F712C" w14:textId="03EF176B"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564.4</w:t>
            </w:r>
          </w:p>
        </w:tc>
        <w:tc>
          <w:tcPr>
            <w:tcW w:w="926" w:type="dxa"/>
            <w:shd w:val="clear" w:color="auto" w:fill="E7E6E6" w:themeFill="background2"/>
            <w:hideMark/>
          </w:tcPr>
          <w:p w14:paraId="1AE554F1" w14:textId="6EA2B5CA"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164</w:t>
            </w:r>
          </w:p>
        </w:tc>
        <w:tc>
          <w:tcPr>
            <w:tcW w:w="926" w:type="dxa"/>
            <w:shd w:val="clear" w:color="auto" w:fill="E7E6E6" w:themeFill="background2"/>
            <w:hideMark/>
          </w:tcPr>
          <w:p w14:paraId="6AF85E9D" w14:textId="77777777" w:rsidR="005E2BB1" w:rsidRPr="00F45F11" w:rsidRDefault="005E2BB1" w:rsidP="0093234E">
            <w:pPr>
              <w:pStyle w:val="ARtabletextright"/>
              <w:rPr>
                <w:lang w:eastAsia="en-AU"/>
              </w:rPr>
            </w:pPr>
            <w:r w:rsidRPr="00F45F11">
              <w:rPr>
                <w:lang w:eastAsia="en-AU"/>
              </w:rPr>
              <w:t>80</w:t>
            </w:r>
          </w:p>
        </w:tc>
        <w:tc>
          <w:tcPr>
            <w:tcW w:w="927" w:type="dxa"/>
            <w:shd w:val="clear" w:color="auto" w:fill="E7E6E6" w:themeFill="background2"/>
            <w:hideMark/>
          </w:tcPr>
          <w:p w14:paraId="5552AEA9" w14:textId="6E8039FA"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218.0</w:t>
            </w:r>
          </w:p>
        </w:tc>
        <w:tc>
          <w:tcPr>
            <w:tcW w:w="1057" w:type="dxa"/>
            <w:hideMark/>
          </w:tcPr>
          <w:p w14:paraId="60036C86" w14:textId="77777777" w:rsidR="005E2BB1" w:rsidRPr="00F45F11" w:rsidRDefault="005E2BB1" w:rsidP="0093234E">
            <w:pPr>
              <w:pStyle w:val="ARtabletextright"/>
              <w:rPr>
                <w:lang w:eastAsia="en-AU"/>
              </w:rPr>
            </w:pPr>
            <w:r w:rsidRPr="00F45F11">
              <w:rPr>
                <w:lang w:eastAsia="en-AU"/>
              </w:rPr>
              <w:t>376</w:t>
            </w:r>
          </w:p>
        </w:tc>
        <w:tc>
          <w:tcPr>
            <w:tcW w:w="927" w:type="dxa"/>
            <w:hideMark/>
          </w:tcPr>
          <w:p w14:paraId="7E67366E" w14:textId="77777777" w:rsidR="005E2BB1" w:rsidRPr="00F45F11" w:rsidRDefault="005E2BB1" w:rsidP="0093234E">
            <w:pPr>
              <w:pStyle w:val="ARtabletextright"/>
              <w:rPr>
                <w:lang w:eastAsia="en-AU"/>
              </w:rPr>
            </w:pPr>
            <w:r w:rsidRPr="00F45F11">
              <w:rPr>
                <w:lang w:eastAsia="en-AU"/>
              </w:rPr>
              <w:t>346.4</w:t>
            </w:r>
          </w:p>
        </w:tc>
      </w:tr>
      <w:tr w:rsidR="005E2BB1" w:rsidRPr="00F45F11" w14:paraId="106A777C"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hideMark/>
          </w:tcPr>
          <w:p w14:paraId="0F2FE4FE" w14:textId="77777777" w:rsidR="005E2BB1" w:rsidRPr="00F45F11" w:rsidRDefault="005E2BB1" w:rsidP="0093234E">
            <w:pPr>
              <w:pStyle w:val="ARTabletext"/>
              <w:rPr>
                <w:lang w:eastAsia="en-AU"/>
              </w:rPr>
            </w:pPr>
            <w:r w:rsidRPr="00F45F11">
              <w:rPr>
                <w:lang w:eastAsia="en-AU"/>
              </w:rPr>
              <w:t>Self-described</w:t>
            </w:r>
          </w:p>
        </w:tc>
        <w:tc>
          <w:tcPr>
            <w:tcW w:w="992" w:type="dxa"/>
            <w:shd w:val="clear" w:color="auto" w:fill="E7E6E6" w:themeFill="background2"/>
            <w:hideMark/>
          </w:tcPr>
          <w:p w14:paraId="3B70A84F" w14:textId="77777777" w:rsidR="005E2BB1" w:rsidRPr="00F45F11" w:rsidRDefault="005E2BB1" w:rsidP="0093234E">
            <w:pPr>
              <w:pStyle w:val="ARtabletextright"/>
              <w:rPr>
                <w:lang w:eastAsia="en-AU"/>
              </w:rPr>
            </w:pPr>
            <w:r w:rsidRPr="00F45F11">
              <w:rPr>
                <w:lang w:eastAsia="en-AU"/>
              </w:rPr>
              <w:t>102</w:t>
            </w:r>
          </w:p>
        </w:tc>
        <w:tc>
          <w:tcPr>
            <w:tcW w:w="992" w:type="dxa"/>
            <w:shd w:val="clear" w:color="auto" w:fill="E7E6E6" w:themeFill="background2"/>
            <w:hideMark/>
          </w:tcPr>
          <w:p w14:paraId="6BF5B5D7" w14:textId="77777777" w:rsidR="005E2BB1" w:rsidRPr="00F45F11" w:rsidRDefault="005E2BB1" w:rsidP="0093234E">
            <w:pPr>
              <w:pStyle w:val="ARtabletextright"/>
              <w:rPr>
                <w:lang w:eastAsia="en-AU"/>
              </w:rPr>
            </w:pPr>
            <w:r w:rsidRPr="00F45F11">
              <w:rPr>
                <w:lang w:eastAsia="en-AU"/>
              </w:rPr>
              <w:t>94.5</w:t>
            </w:r>
          </w:p>
        </w:tc>
        <w:tc>
          <w:tcPr>
            <w:tcW w:w="926" w:type="dxa"/>
            <w:hideMark/>
          </w:tcPr>
          <w:p w14:paraId="4C4DDC76" w14:textId="77777777" w:rsidR="005E2BB1" w:rsidRPr="00F45F11" w:rsidRDefault="005E2BB1" w:rsidP="0093234E">
            <w:pPr>
              <w:pStyle w:val="ARtabletextright"/>
              <w:rPr>
                <w:lang w:eastAsia="en-AU"/>
              </w:rPr>
            </w:pPr>
            <w:r w:rsidRPr="00F45F11">
              <w:rPr>
                <w:lang w:eastAsia="en-AU"/>
              </w:rPr>
              <w:t>59</w:t>
            </w:r>
          </w:p>
        </w:tc>
        <w:tc>
          <w:tcPr>
            <w:tcW w:w="926" w:type="dxa"/>
            <w:hideMark/>
          </w:tcPr>
          <w:p w14:paraId="620F6F4F" w14:textId="77777777" w:rsidR="005E2BB1" w:rsidRPr="00F45F11" w:rsidRDefault="005E2BB1" w:rsidP="0093234E">
            <w:pPr>
              <w:pStyle w:val="ARtabletextright"/>
              <w:rPr>
                <w:lang w:eastAsia="en-AU"/>
              </w:rPr>
            </w:pPr>
            <w:r w:rsidRPr="00F45F11">
              <w:rPr>
                <w:lang w:eastAsia="en-AU"/>
              </w:rPr>
              <w:t>11</w:t>
            </w:r>
          </w:p>
        </w:tc>
        <w:tc>
          <w:tcPr>
            <w:tcW w:w="927" w:type="dxa"/>
            <w:hideMark/>
          </w:tcPr>
          <w:p w14:paraId="052E1EBE" w14:textId="77777777" w:rsidR="005E2BB1" w:rsidRPr="00F45F11" w:rsidRDefault="005E2BB1" w:rsidP="0093234E">
            <w:pPr>
              <w:pStyle w:val="ARtabletextright"/>
              <w:rPr>
                <w:lang w:eastAsia="en-AU"/>
              </w:rPr>
            </w:pPr>
            <w:r w:rsidRPr="00F45F11">
              <w:rPr>
                <w:lang w:eastAsia="en-AU"/>
              </w:rPr>
              <w:t>66.4</w:t>
            </w:r>
          </w:p>
        </w:tc>
        <w:tc>
          <w:tcPr>
            <w:tcW w:w="1057" w:type="dxa"/>
            <w:shd w:val="clear" w:color="auto" w:fill="E7E6E6" w:themeFill="background2"/>
            <w:hideMark/>
          </w:tcPr>
          <w:p w14:paraId="555E07DC" w14:textId="77777777" w:rsidR="005E2BB1" w:rsidRPr="00F45F11" w:rsidRDefault="005E2BB1" w:rsidP="0093234E">
            <w:pPr>
              <w:pStyle w:val="ARtabletextright"/>
              <w:rPr>
                <w:lang w:eastAsia="en-AU"/>
              </w:rPr>
            </w:pPr>
            <w:r w:rsidRPr="00F45F11">
              <w:rPr>
                <w:lang w:eastAsia="en-AU"/>
              </w:rPr>
              <w:t>32</w:t>
            </w:r>
          </w:p>
        </w:tc>
        <w:tc>
          <w:tcPr>
            <w:tcW w:w="927" w:type="dxa"/>
            <w:shd w:val="clear" w:color="auto" w:fill="E7E6E6" w:themeFill="background2"/>
            <w:hideMark/>
          </w:tcPr>
          <w:p w14:paraId="13605C8A" w14:textId="77777777" w:rsidR="005E2BB1" w:rsidRPr="00F45F11" w:rsidRDefault="005E2BB1" w:rsidP="0093234E">
            <w:pPr>
              <w:pStyle w:val="ARtabletextright"/>
              <w:rPr>
                <w:lang w:eastAsia="en-AU"/>
              </w:rPr>
            </w:pPr>
            <w:r w:rsidRPr="00F45F11">
              <w:rPr>
                <w:lang w:eastAsia="en-AU"/>
              </w:rPr>
              <w:t>28.1</w:t>
            </w:r>
          </w:p>
        </w:tc>
        <w:tc>
          <w:tcPr>
            <w:tcW w:w="1057" w:type="dxa"/>
            <w:hideMark/>
          </w:tcPr>
          <w:p w14:paraId="72CAD6E6" w14:textId="77777777" w:rsidR="005E2BB1" w:rsidRPr="00F45F11" w:rsidRDefault="005E2BB1" w:rsidP="0093234E">
            <w:pPr>
              <w:pStyle w:val="ARtabletextright"/>
              <w:rPr>
                <w:lang w:eastAsia="en-AU"/>
              </w:rPr>
            </w:pPr>
            <w:r w:rsidRPr="00F45F11">
              <w:rPr>
                <w:lang w:eastAsia="en-AU"/>
              </w:rPr>
              <w:t>105</w:t>
            </w:r>
          </w:p>
        </w:tc>
        <w:tc>
          <w:tcPr>
            <w:tcW w:w="927" w:type="dxa"/>
            <w:hideMark/>
          </w:tcPr>
          <w:p w14:paraId="6AA31B4E" w14:textId="77777777" w:rsidR="005E2BB1" w:rsidRPr="00F45F11" w:rsidRDefault="005E2BB1" w:rsidP="0093234E">
            <w:pPr>
              <w:pStyle w:val="ARtabletextright"/>
              <w:rPr>
                <w:lang w:eastAsia="en-AU"/>
              </w:rPr>
            </w:pPr>
            <w:r w:rsidRPr="00F45F11">
              <w:rPr>
                <w:lang w:eastAsia="en-AU"/>
              </w:rPr>
              <w:t>100.3</w:t>
            </w:r>
          </w:p>
        </w:tc>
        <w:tc>
          <w:tcPr>
            <w:tcW w:w="926" w:type="dxa"/>
            <w:shd w:val="clear" w:color="auto" w:fill="E7E6E6" w:themeFill="background2"/>
            <w:hideMark/>
          </w:tcPr>
          <w:p w14:paraId="0E5B72F4" w14:textId="77777777" w:rsidR="005E2BB1" w:rsidRPr="00F45F11" w:rsidRDefault="005E2BB1" w:rsidP="0093234E">
            <w:pPr>
              <w:pStyle w:val="ARtabletextright"/>
              <w:rPr>
                <w:lang w:eastAsia="en-AU"/>
              </w:rPr>
            </w:pPr>
            <w:r w:rsidRPr="00F45F11">
              <w:rPr>
                <w:lang w:eastAsia="en-AU"/>
              </w:rPr>
              <w:t>65</w:t>
            </w:r>
          </w:p>
        </w:tc>
        <w:tc>
          <w:tcPr>
            <w:tcW w:w="926" w:type="dxa"/>
            <w:shd w:val="clear" w:color="auto" w:fill="E7E6E6" w:themeFill="background2"/>
            <w:hideMark/>
          </w:tcPr>
          <w:p w14:paraId="6555B888" w14:textId="77777777" w:rsidR="005E2BB1" w:rsidRPr="00F45F11" w:rsidRDefault="005E2BB1" w:rsidP="0093234E">
            <w:pPr>
              <w:pStyle w:val="ARtabletextright"/>
              <w:rPr>
                <w:lang w:eastAsia="en-AU"/>
              </w:rPr>
            </w:pPr>
            <w:r w:rsidRPr="00F45F11">
              <w:rPr>
                <w:lang w:eastAsia="en-AU"/>
              </w:rPr>
              <w:t>6</w:t>
            </w:r>
          </w:p>
        </w:tc>
        <w:tc>
          <w:tcPr>
            <w:tcW w:w="927" w:type="dxa"/>
            <w:shd w:val="clear" w:color="auto" w:fill="E7E6E6" w:themeFill="background2"/>
            <w:hideMark/>
          </w:tcPr>
          <w:p w14:paraId="24951499" w14:textId="77777777" w:rsidR="005E2BB1" w:rsidRPr="00F45F11" w:rsidRDefault="005E2BB1" w:rsidP="0093234E">
            <w:pPr>
              <w:pStyle w:val="ARtabletextright"/>
              <w:rPr>
                <w:lang w:eastAsia="en-AU"/>
              </w:rPr>
            </w:pPr>
            <w:r w:rsidRPr="00F45F11">
              <w:rPr>
                <w:lang w:eastAsia="en-AU"/>
              </w:rPr>
              <w:t>69.2</w:t>
            </w:r>
          </w:p>
        </w:tc>
        <w:tc>
          <w:tcPr>
            <w:tcW w:w="1057" w:type="dxa"/>
            <w:hideMark/>
          </w:tcPr>
          <w:p w14:paraId="0643E73C" w14:textId="77777777" w:rsidR="005E2BB1" w:rsidRPr="00F45F11" w:rsidRDefault="005E2BB1" w:rsidP="0093234E">
            <w:pPr>
              <w:pStyle w:val="ARtabletextright"/>
              <w:rPr>
                <w:lang w:eastAsia="en-AU"/>
              </w:rPr>
            </w:pPr>
            <w:r w:rsidRPr="00F45F11">
              <w:rPr>
                <w:lang w:eastAsia="en-AU"/>
              </w:rPr>
              <w:t>34</w:t>
            </w:r>
          </w:p>
        </w:tc>
        <w:tc>
          <w:tcPr>
            <w:tcW w:w="927" w:type="dxa"/>
            <w:hideMark/>
          </w:tcPr>
          <w:p w14:paraId="760A9E5E" w14:textId="77777777" w:rsidR="005E2BB1" w:rsidRPr="00F45F11" w:rsidRDefault="005E2BB1" w:rsidP="0093234E">
            <w:pPr>
              <w:pStyle w:val="ARtabletextright"/>
              <w:rPr>
                <w:lang w:eastAsia="en-AU"/>
              </w:rPr>
            </w:pPr>
            <w:r w:rsidRPr="00F45F11">
              <w:rPr>
                <w:lang w:eastAsia="en-AU"/>
              </w:rPr>
              <w:t>31.1</w:t>
            </w:r>
          </w:p>
        </w:tc>
      </w:tr>
      <w:tr w:rsidR="0093234E" w:rsidRPr="00F45F11" w14:paraId="227F11B7"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tcPr>
          <w:p w14:paraId="0F72F4E8" w14:textId="3A93605F" w:rsidR="0093234E" w:rsidRPr="00F45F11" w:rsidRDefault="0093234E" w:rsidP="0093234E">
            <w:pPr>
              <w:pStyle w:val="ARtabletextbold"/>
              <w:rPr>
                <w:lang w:eastAsia="en-AU"/>
              </w:rPr>
            </w:pPr>
            <w:r w:rsidRPr="00F45F11">
              <w:rPr>
                <w:lang w:eastAsia="en-AU"/>
              </w:rPr>
              <w:t>Age</w:t>
            </w:r>
          </w:p>
        </w:tc>
        <w:tc>
          <w:tcPr>
            <w:tcW w:w="992" w:type="dxa"/>
          </w:tcPr>
          <w:p w14:paraId="482A2ABE" w14:textId="77777777" w:rsidR="0093234E" w:rsidRPr="00F45F11" w:rsidRDefault="0093234E" w:rsidP="0093234E">
            <w:pPr>
              <w:pStyle w:val="ARTabletext"/>
              <w:rPr>
                <w:lang w:eastAsia="en-AU"/>
              </w:rPr>
            </w:pPr>
          </w:p>
        </w:tc>
        <w:tc>
          <w:tcPr>
            <w:tcW w:w="992" w:type="dxa"/>
          </w:tcPr>
          <w:p w14:paraId="14B69949" w14:textId="77777777" w:rsidR="0093234E" w:rsidRPr="00F45F11" w:rsidRDefault="0093234E" w:rsidP="0093234E">
            <w:pPr>
              <w:pStyle w:val="ARTabletext"/>
              <w:rPr>
                <w:lang w:eastAsia="en-AU"/>
              </w:rPr>
            </w:pPr>
          </w:p>
        </w:tc>
        <w:tc>
          <w:tcPr>
            <w:tcW w:w="926" w:type="dxa"/>
          </w:tcPr>
          <w:p w14:paraId="3C234C54" w14:textId="77777777" w:rsidR="0093234E" w:rsidRPr="00F45F11" w:rsidRDefault="0093234E" w:rsidP="0093234E">
            <w:pPr>
              <w:pStyle w:val="ARTabletext"/>
              <w:rPr>
                <w:lang w:eastAsia="en-AU"/>
              </w:rPr>
            </w:pPr>
          </w:p>
        </w:tc>
        <w:tc>
          <w:tcPr>
            <w:tcW w:w="926" w:type="dxa"/>
          </w:tcPr>
          <w:p w14:paraId="3133FEF2" w14:textId="77777777" w:rsidR="0093234E" w:rsidRPr="00F45F11" w:rsidRDefault="0093234E" w:rsidP="0093234E">
            <w:pPr>
              <w:pStyle w:val="ARTabletext"/>
              <w:rPr>
                <w:lang w:eastAsia="en-AU"/>
              </w:rPr>
            </w:pPr>
          </w:p>
        </w:tc>
        <w:tc>
          <w:tcPr>
            <w:tcW w:w="927" w:type="dxa"/>
          </w:tcPr>
          <w:p w14:paraId="32C847E2" w14:textId="77777777" w:rsidR="0093234E" w:rsidRPr="00F45F11" w:rsidRDefault="0093234E" w:rsidP="0093234E">
            <w:pPr>
              <w:pStyle w:val="ARTabletext"/>
              <w:rPr>
                <w:lang w:eastAsia="en-AU"/>
              </w:rPr>
            </w:pPr>
          </w:p>
        </w:tc>
        <w:tc>
          <w:tcPr>
            <w:tcW w:w="1057" w:type="dxa"/>
          </w:tcPr>
          <w:p w14:paraId="487A64E5" w14:textId="77777777" w:rsidR="0093234E" w:rsidRPr="00F45F11" w:rsidRDefault="0093234E" w:rsidP="0093234E">
            <w:pPr>
              <w:pStyle w:val="ARTabletext"/>
              <w:rPr>
                <w:lang w:eastAsia="en-AU"/>
              </w:rPr>
            </w:pPr>
          </w:p>
        </w:tc>
        <w:tc>
          <w:tcPr>
            <w:tcW w:w="927" w:type="dxa"/>
          </w:tcPr>
          <w:p w14:paraId="1A7D7D16" w14:textId="77777777" w:rsidR="0093234E" w:rsidRPr="00F45F11" w:rsidRDefault="0093234E" w:rsidP="0093234E">
            <w:pPr>
              <w:pStyle w:val="ARTabletext"/>
              <w:rPr>
                <w:lang w:eastAsia="en-AU"/>
              </w:rPr>
            </w:pPr>
          </w:p>
        </w:tc>
        <w:tc>
          <w:tcPr>
            <w:tcW w:w="1057" w:type="dxa"/>
          </w:tcPr>
          <w:p w14:paraId="5B346AF0" w14:textId="77777777" w:rsidR="0093234E" w:rsidRPr="00F45F11" w:rsidRDefault="0093234E" w:rsidP="0093234E">
            <w:pPr>
              <w:pStyle w:val="ARTabletext"/>
              <w:rPr>
                <w:lang w:eastAsia="en-AU"/>
              </w:rPr>
            </w:pPr>
          </w:p>
        </w:tc>
        <w:tc>
          <w:tcPr>
            <w:tcW w:w="927" w:type="dxa"/>
          </w:tcPr>
          <w:p w14:paraId="04F77100" w14:textId="77777777" w:rsidR="0093234E" w:rsidRPr="00F45F11" w:rsidRDefault="0093234E" w:rsidP="0093234E">
            <w:pPr>
              <w:pStyle w:val="ARTabletext"/>
              <w:rPr>
                <w:lang w:eastAsia="en-AU"/>
              </w:rPr>
            </w:pPr>
          </w:p>
        </w:tc>
        <w:tc>
          <w:tcPr>
            <w:tcW w:w="926" w:type="dxa"/>
          </w:tcPr>
          <w:p w14:paraId="23B6D17D" w14:textId="77777777" w:rsidR="0093234E" w:rsidRPr="00F45F11" w:rsidRDefault="0093234E" w:rsidP="0093234E">
            <w:pPr>
              <w:pStyle w:val="ARTabletext"/>
              <w:rPr>
                <w:lang w:eastAsia="en-AU"/>
              </w:rPr>
            </w:pPr>
          </w:p>
        </w:tc>
        <w:tc>
          <w:tcPr>
            <w:tcW w:w="926" w:type="dxa"/>
          </w:tcPr>
          <w:p w14:paraId="378F5CA3" w14:textId="77777777" w:rsidR="0093234E" w:rsidRPr="00F45F11" w:rsidRDefault="0093234E" w:rsidP="0093234E">
            <w:pPr>
              <w:pStyle w:val="ARTabletext"/>
              <w:rPr>
                <w:lang w:eastAsia="en-AU"/>
              </w:rPr>
            </w:pPr>
          </w:p>
        </w:tc>
        <w:tc>
          <w:tcPr>
            <w:tcW w:w="927" w:type="dxa"/>
          </w:tcPr>
          <w:p w14:paraId="11E1A3D9" w14:textId="77777777" w:rsidR="0093234E" w:rsidRPr="00F45F11" w:rsidRDefault="0093234E" w:rsidP="0093234E">
            <w:pPr>
              <w:pStyle w:val="ARTabletext"/>
              <w:rPr>
                <w:lang w:eastAsia="en-AU"/>
              </w:rPr>
            </w:pPr>
          </w:p>
        </w:tc>
        <w:tc>
          <w:tcPr>
            <w:tcW w:w="1057" w:type="dxa"/>
          </w:tcPr>
          <w:p w14:paraId="18576C04" w14:textId="77777777" w:rsidR="0093234E" w:rsidRPr="00F45F11" w:rsidRDefault="0093234E" w:rsidP="0093234E">
            <w:pPr>
              <w:pStyle w:val="ARTabletext"/>
              <w:rPr>
                <w:lang w:eastAsia="en-AU"/>
              </w:rPr>
            </w:pPr>
          </w:p>
        </w:tc>
        <w:tc>
          <w:tcPr>
            <w:tcW w:w="927" w:type="dxa"/>
          </w:tcPr>
          <w:p w14:paraId="6CD7810F" w14:textId="77777777" w:rsidR="0093234E" w:rsidRPr="00F45F11" w:rsidRDefault="0093234E" w:rsidP="0093234E">
            <w:pPr>
              <w:pStyle w:val="ARTabletext"/>
              <w:rPr>
                <w:lang w:eastAsia="en-AU"/>
              </w:rPr>
            </w:pPr>
          </w:p>
        </w:tc>
      </w:tr>
      <w:tr w:rsidR="005E2BB1" w:rsidRPr="00F45F11" w14:paraId="2DBAC30B"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hideMark/>
          </w:tcPr>
          <w:p w14:paraId="15C26FF6" w14:textId="77777777" w:rsidR="005E2BB1" w:rsidRPr="00F45F11" w:rsidRDefault="005E2BB1" w:rsidP="0093234E">
            <w:pPr>
              <w:pStyle w:val="ARTabletext"/>
              <w:rPr>
                <w:lang w:eastAsia="en-AU"/>
              </w:rPr>
            </w:pPr>
            <w:r w:rsidRPr="00F45F11">
              <w:rPr>
                <w:lang w:eastAsia="en-AU"/>
              </w:rPr>
              <w:t>15–24</w:t>
            </w:r>
          </w:p>
        </w:tc>
        <w:tc>
          <w:tcPr>
            <w:tcW w:w="992" w:type="dxa"/>
            <w:shd w:val="clear" w:color="auto" w:fill="E7E6E6" w:themeFill="background2"/>
            <w:hideMark/>
          </w:tcPr>
          <w:p w14:paraId="5F4DFB98" w14:textId="77777777" w:rsidR="005E2BB1" w:rsidRPr="00F45F11" w:rsidRDefault="005E2BB1" w:rsidP="0093234E">
            <w:pPr>
              <w:pStyle w:val="ARtabletextright"/>
              <w:rPr>
                <w:lang w:eastAsia="en-AU"/>
              </w:rPr>
            </w:pPr>
            <w:r w:rsidRPr="00F45F11">
              <w:rPr>
                <w:lang w:eastAsia="en-AU"/>
              </w:rPr>
              <w:t>291</w:t>
            </w:r>
          </w:p>
        </w:tc>
        <w:tc>
          <w:tcPr>
            <w:tcW w:w="992" w:type="dxa"/>
            <w:shd w:val="clear" w:color="auto" w:fill="E7E6E6" w:themeFill="background2"/>
            <w:hideMark/>
          </w:tcPr>
          <w:p w14:paraId="4DB9DE25" w14:textId="77777777" w:rsidR="005E2BB1" w:rsidRPr="00F45F11" w:rsidRDefault="005E2BB1" w:rsidP="0093234E">
            <w:pPr>
              <w:pStyle w:val="ARtabletextright"/>
              <w:rPr>
                <w:lang w:eastAsia="en-AU"/>
              </w:rPr>
            </w:pPr>
            <w:r w:rsidRPr="00F45F11">
              <w:rPr>
                <w:lang w:eastAsia="en-AU"/>
              </w:rPr>
              <w:t>261.5</w:t>
            </w:r>
          </w:p>
        </w:tc>
        <w:tc>
          <w:tcPr>
            <w:tcW w:w="926" w:type="dxa"/>
            <w:hideMark/>
          </w:tcPr>
          <w:p w14:paraId="6E8C08CE" w14:textId="77777777" w:rsidR="005E2BB1" w:rsidRPr="00F45F11" w:rsidRDefault="005E2BB1" w:rsidP="0093234E">
            <w:pPr>
              <w:pStyle w:val="ARtabletextright"/>
              <w:rPr>
                <w:lang w:eastAsia="en-AU"/>
              </w:rPr>
            </w:pPr>
            <w:r w:rsidRPr="00F45F11">
              <w:rPr>
                <w:lang w:eastAsia="en-AU"/>
              </w:rPr>
              <w:t>147</w:t>
            </w:r>
          </w:p>
        </w:tc>
        <w:tc>
          <w:tcPr>
            <w:tcW w:w="926" w:type="dxa"/>
            <w:hideMark/>
          </w:tcPr>
          <w:p w14:paraId="0D3ABF19" w14:textId="77777777" w:rsidR="005E2BB1" w:rsidRPr="00F45F11" w:rsidRDefault="005E2BB1" w:rsidP="0093234E">
            <w:pPr>
              <w:pStyle w:val="ARtabletextright"/>
              <w:rPr>
                <w:lang w:eastAsia="en-AU"/>
              </w:rPr>
            </w:pPr>
            <w:r w:rsidRPr="00F45F11">
              <w:rPr>
                <w:lang w:eastAsia="en-AU"/>
              </w:rPr>
              <w:t>13</w:t>
            </w:r>
          </w:p>
        </w:tc>
        <w:tc>
          <w:tcPr>
            <w:tcW w:w="927" w:type="dxa"/>
            <w:hideMark/>
          </w:tcPr>
          <w:p w14:paraId="21C1EA17" w14:textId="77777777" w:rsidR="005E2BB1" w:rsidRPr="00F45F11" w:rsidRDefault="005E2BB1" w:rsidP="0093234E">
            <w:pPr>
              <w:pStyle w:val="ARtabletextright"/>
              <w:rPr>
                <w:lang w:eastAsia="en-AU"/>
              </w:rPr>
            </w:pPr>
            <w:r w:rsidRPr="00F45F11">
              <w:rPr>
                <w:lang w:eastAsia="en-AU"/>
              </w:rPr>
              <w:t>156.2</w:t>
            </w:r>
          </w:p>
        </w:tc>
        <w:tc>
          <w:tcPr>
            <w:tcW w:w="1057" w:type="dxa"/>
            <w:shd w:val="clear" w:color="auto" w:fill="E7E6E6" w:themeFill="background2"/>
            <w:hideMark/>
          </w:tcPr>
          <w:p w14:paraId="273E3D30" w14:textId="77777777" w:rsidR="005E2BB1" w:rsidRPr="00F45F11" w:rsidRDefault="005E2BB1" w:rsidP="0093234E">
            <w:pPr>
              <w:pStyle w:val="ARtabletextright"/>
              <w:rPr>
                <w:lang w:eastAsia="en-AU"/>
              </w:rPr>
            </w:pPr>
            <w:r w:rsidRPr="00F45F11">
              <w:rPr>
                <w:lang w:eastAsia="en-AU"/>
              </w:rPr>
              <w:t>131</w:t>
            </w:r>
          </w:p>
        </w:tc>
        <w:tc>
          <w:tcPr>
            <w:tcW w:w="927" w:type="dxa"/>
            <w:shd w:val="clear" w:color="auto" w:fill="E7E6E6" w:themeFill="background2"/>
            <w:hideMark/>
          </w:tcPr>
          <w:p w14:paraId="19BE2332" w14:textId="77777777" w:rsidR="005E2BB1" w:rsidRPr="00F45F11" w:rsidRDefault="005E2BB1" w:rsidP="0093234E">
            <w:pPr>
              <w:pStyle w:val="ARtabletextright"/>
              <w:rPr>
                <w:lang w:eastAsia="en-AU"/>
              </w:rPr>
            </w:pPr>
            <w:r w:rsidRPr="00F45F11">
              <w:rPr>
                <w:lang w:eastAsia="en-AU"/>
              </w:rPr>
              <w:t>105.4</w:t>
            </w:r>
          </w:p>
        </w:tc>
        <w:tc>
          <w:tcPr>
            <w:tcW w:w="1057" w:type="dxa"/>
            <w:hideMark/>
          </w:tcPr>
          <w:p w14:paraId="2E58F6F4" w14:textId="77777777" w:rsidR="005E2BB1" w:rsidRPr="00F45F11" w:rsidRDefault="005E2BB1" w:rsidP="0093234E">
            <w:pPr>
              <w:pStyle w:val="ARtabletextright"/>
              <w:rPr>
                <w:lang w:eastAsia="en-AU"/>
              </w:rPr>
            </w:pPr>
            <w:r w:rsidRPr="00F45F11">
              <w:rPr>
                <w:lang w:eastAsia="en-AU"/>
              </w:rPr>
              <w:t>280</w:t>
            </w:r>
          </w:p>
        </w:tc>
        <w:tc>
          <w:tcPr>
            <w:tcW w:w="927" w:type="dxa"/>
            <w:hideMark/>
          </w:tcPr>
          <w:p w14:paraId="2606B48D" w14:textId="77777777" w:rsidR="005E2BB1" w:rsidRPr="00F45F11" w:rsidRDefault="005E2BB1" w:rsidP="0093234E">
            <w:pPr>
              <w:pStyle w:val="ARtabletextright"/>
              <w:rPr>
                <w:lang w:eastAsia="en-AU"/>
              </w:rPr>
            </w:pPr>
            <w:r w:rsidRPr="00F45F11">
              <w:rPr>
                <w:lang w:eastAsia="en-AU"/>
              </w:rPr>
              <w:t>250.2</w:t>
            </w:r>
          </w:p>
        </w:tc>
        <w:tc>
          <w:tcPr>
            <w:tcW w:w="926" w:type="dxa"/>
            <w:shd w:val="clear" w:color="auto" w:fill="E7E6E6" w:themeFill="background2"/>
            <w:hideMark/>
          </w:tcPr>
          <w:p w14:paraId="6A494AC1" w14:textId="77777777" w:rsidR="005E2BB1" w:rsidRPr="00F45F11" w:rsidRDefault="005E2BB1" w:rsidP="0093234E">
            <w:pPr>
              <w:pStyle w:val="ARtabletextright"/>
              <w:rPr>
                <w:lang w:eastAsia="en-AU"/>
              </w:rPr>
            </w:pPr>
            <w:r w:rsidRPr="00F45F11">
              <w:rPr>
                <w:lang w:eastAsia="en-AU"/>
              </w:rPr>
              <w:t>157</w:t>
            </w:r>
          </w:p>
        </w:tc>
        <w:tc>
          <w:tcPr>
            <w:tcW w:w="926" w:type="dxa"/>
            <w:shd w:val="clear" w:color="auto" w:fill="E7E6E6" w:themeFill="background2"/>
            <w:hideMark/>
          </w:tcPr>
          <w:p w14:paraId="18C5BD89" w14:textId="77777777" w:rsidR="005E2BB1" w:rsidRPr="00F45F11" w:rsidRDefault="005E2BB1" w:rsidP="0093234E">
            <w:pPr>
              <w:pStyle w:val="ARtabletextright"/>
              <w:rPr>
                <w:lang w:eastAsia="en-AU"/>
              </w:rPr>
            </w:pPr>
            <w:r w:rsidRPr="00F45F11">
              <w:rPr>
                <w:lang w:eastAsia="en-AU"/>
              </w:rPr>
              <w:t>23</w:t>
            </w:r>
          </w:p>
        </w:tc>
        <w:tc>
          <w:tcPr>
            <w:tcW w:w="927" w:type="dxa"/>
            <w:shd w:val="clear" w:color="auto" w:fill="E7E6E6" w:themeFill="background2"/>
            <w:hideMark/>
          </w:tcPr>
          <w:p w14:paraId="7504E810" w14:textId="77777777" w:rsidR="005E2BB1" w:rsidRPr="00F45F11" w:rsidRDefault="005E2BB1" w:rsidP="0093234E">
            <w:pPr>
              <w:pStyle w:val="ARtabletextright"/>
              <w:rPr>
                <w:lang w:eastAsia="en-AU"/>
              </w:rPr>
            </w:pPr>
            <w:r w:rsidRPr="00F45F11">
              <w:rPr>
                <w:lang w:eastAsia="en-AU"/>
              </w:rPr>
              <w:t>171.5</w:t>
            </w:r>
          </w:p>
        </w:tc>
        <w:tc>
          <w:tcPr>
            <w:tcW w:w="1057" w:type="dxa"/>
            <w:hideMark/>
          </w:tcPr>
          <w:p w14:paraId="5847AFF6" w14:textId="77777777" w:rsidR="005E2BB1" w:rsidRPr="00F45F11" w:rsidRDefault="005E2BB1" w:rsidP="0093234E">
            <w:pPr>
              <w:pStyle w:val="ARtabletextright"/>
              <w:rPr>
                <w:lang w:eastAsia="en-AU"/>
              </w:rPr>
            </w:pPr>
            <w:r w:rsidRPr="00F45F11">
              <w:rPr>
                <w:lang w:eastAsia="en-AU"/>
              </w:rPr>
              <w:t>100</w:t>
            </w:r>
          </w:p>
        </w:tc>
        <w:tc>
          <w:tcPr>
            <w:tcW w:w="927" w:type="dxa"/>
            <w:hideMark/>
          </w:tcPr>
          <w:p w14:paraId="51365DD6" w14:textId="77777777" w:rsidR="005E2BB1" w:rsidRPr="00F45F11" w:rsidRDefault="005E2BB1" w:rsidP="0093234E">
            <w:pPr>
              <w:pStyle w:val="ARtabletextright"/>
              <w:rPr>
                <w:lang w:eastAsia="en-AU"/>
              </w:rPr>
            </w:pPr>
            <w:r w:rsidRPr="00F45F11">
              <w:rPr>
                <w:lang w:eastAsia="en-AU"/>
              </w:rPr>
              <w:t>78.7</w:t>
            </w:r>
          </w:p>
        </w:tc>
      </w:tr>
      <w:tr w:rsidR="005E2BB1" w:rsidRPr="00F45F11" w14:paraId="78EBFD0F"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hideMark/>
          </w:tcPr>
          <w:p w14:paraId="70D950D7" w14:textId="77777777" w:rsidR="005E2BB1" w:rsidRPr="00F45F11" w:rsidRDefault="005E2BB1" w:rsidP="0093234E">
            <w:pPr>
              <w:pStyle w:val="ARTabletext"/>
              <w:rPr>
                <w:lang w:eastAsia="en-AU"/>
              </w:rPr>
            </w:pPr>
            <w:r w:rsidRPr="00F45F11">
              <w:rPr>
                <w:lang w:eastAsia="en-AU"/>
              </w:rPr>
              <w:t>25–34</w:t>
            </w:r>
          </w:p>
        </w:tc>
        <w:tc>
          <w:tcPr>
            <w:tcW w:w="992" w:type="dxa"/>
            <w:shd w:val="clear" w:color="auto" w:fill="E7E6E6" w:themeFill="background2"/>
            <w:hideMark/>
          </w:tcPr>
          <w:p w14:paraId="5BFF2BC2" w14:textId="33CC51DD"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925</w:t>
            </w:r>
          </w:p>
        </w:tc>
        <w:tc>
          <w:tcPr>
            <w:tcW w:w="992" w:type="dxa"/>
            <w:shd w:val="clear" w:color="auto" w:fill="E7E6E6" w:themeFill="background2"/>
            <w:hideMark/>
          </w:tcPr>
          <w:p w14:paraId="673EA1CB" w14:textId="085BB6F3"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823.5</w:t>
            </w:r>
          </w:p>
        </w:tc>
        <w:tc>
          <w:tcPr>
            <w:tcW w:w="926" w:type="dxa"/>
            <w:hideMark/>
          </w:tcPr>
          <w:p w14:paraId="68D1CD4C" w14:textId="418631A3"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332</w:t>
            </w:r>
          </w:p>
        </w:tc>
        <w:tc>
          <w:tcPr>
            <w:tcW w:w="926" w:type="dxa"/>
            <w:hideMark/>
          </w:tcPr>
          <w:p w14:paraId="53BDD3AB" w14:textId="77777777" w:rsidR="005E2BB1" w:rsidRPr="00F45F11" w:rsidRDefault="005E2BB1" w:rsidP="0093234E">
            <w:pPr>
              <w:pStyle w:val="ARtabletextright"/>
              <w:rPr>
                <w:lang w:eastAsia="en-AU"/>
              </w:rPr>
            </w:pPr>
            <w:r w:rsidRPr="00F45F11">
              <w:rPr>
                <w:lang w:eastAsia="en-AU"/>
              </w:rPr>
              <w:t>167</w:t>
            </w:r>
          </w:p>
        </w:tc>
        <w:tc>
          <w:tcPr>
            <w:tcW w:w="927" w:type="dxa"/>
            <w:hideMark/>
          </w:tcPr>
          <w:p w14:paraId="346E3903" w14:textId="0B4FE300"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430.9</w:t>
            </w:r>
          </w:p>
        </w:tc>
        <w:tc>
          <w:tcPr>
            <w:tcW w:w="1057" w:type="dxa"/>
            <w:shd w:val="clear" w:color="auto" w:fill="E7E6E6" w:themeFill="background2"/>
            <w:hideMark/>
          </w:tcPr>
          <w:p w14:paraId="038E0588" w14:textId="77777777" w:rsidR="005E2BB1" w:rsidRPr="00F45F11" w:rsidRDefault="005E2BB1" w:rsidP="0093234E">
            <w:pPr>
              <w:pStyle w:val="ARtabletextright"/>
              <w:rPr>
                <w:lang w:eastAsia="en-AU"/>
              </w:rPr>
            </w:pPr>
            <w:r w:rsidRPr="00F45F11">
              <w:rPr>
                <w:lang w:eastAsia="en-AU"/>
              </w:rPr>
              <w:t>426</w:t>
            </w:r>
          </w:p>
        </w:tc>
        <w:tc>
          <w:tcPr>
            <w:tcW w:w="927" w:type="dxa"/>
            <w:shd w:val="clear" w:color="auto" w:fill="E7E6E6" w:themeFill="background2"/>
            <w:hideMark/>
          </w:tcPr>
          <w:p w14:paraId="7A76D2EC" w14:textId="77777777" w:rsidR="005E2BB1" w:rsidRPr="00F45F11" w:rsidRDefault="005E2BB1" w:rsidP="0093234E">
            <w:pPr>
              <w:pStyle w:val="ARtabletextright"/>
              <w:rPr>
                <w:lang w:eastAsia="en-AU"/>
              </w:rPr>
            </w:pPr>
            <w:r w:rsidRPr="00F45F11">
              <w:rPr>
                <w:lang w:eastAsia="en-AU"/>
              </w:rPr>
              <w:t>392.6</w:t>
            </w:r>
          </w:p>
        </w:tc>
        <w:tc>
          <w:tcPr>
            <w:tcW w:w="1057" w:type="dxa"/>
            <w:hideMark/>
          </w:tcPr>
          <w:p w14:paraId="3B86A17E" w14:textId="11CF593F"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875</w:t>
            </w:r>
          </w:p>
        </w:tc>
        <w:tc>
          <w:tcPr>
            <w:tcW w:w="927" w:type="dxa"/>
            <w:hideMark/>
          </w:tcPr>
          <w:p w14:paraId="36EE3F0F" w14:textId="0662169A"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782.6</w:t>
            </w:r>
          </w:p>
        </w:tc>
        <w:tc>
          <w:tcPr>
            <w:tcW w:w="926" w:type="dxa"/>
            <w:shd w:val="clear" w:color="auto" w:fill="E7E6E6" w:themeFill="background2"/>
            <w:hideMark/>
          </w:tcPr>
          <w:p w14:paraId="6CF5E595" w14:textId="7B28A389"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329</w:t>
            </w:r>
          </w:p>
        </w:tc>
        <w:tc>
          <w:tcPr>
            <w:tcW w:w="926" w:type="dxa"/>
            <w:shd w:val="clear" w:color="auto" w:fill="E7E6E6" w:themeFill="background2"/>
            <w:hideMark/>
          </w:tcPr>
          <w:p w14:paraId="30757BBE" w14:textId="77777777" w:rsidR="005E2BB1" w:rsidRPr="00F45F11" w:rsidRDefault="005E2BB1" w:rsidP="0093234E">
            <w:pPr>
              <w:pStyle w:val="ARtabletextright"/>
              <w:rPr>
                <w:lang w:eastAsia="en-AU"/>
              </w:rPr>
            </w:pPr>
            <w:r w:rsidRPr="00F45F11">
              <w:rPr>
                <w:lang w:eastAsia="en-AU"/>
              </w:rPr>
              <w:t>148</w:t>
            </w:r>
          </w:p>
        </w:tc>
        <w:tc>
          <w:tcPr>
            <w:tcW w:w="927" w:type="dxa"/>
            <w:shd w:val="clear" w:color="auto" w:fill="E7E6E6" w:themeFill="background2"/>
            <w:hideMark/>
          </w:tcPr>
          <w:p w14:paraId="2618F02E" w14:textId="2AB784B8"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419.7</w:t>
            </w:r>
          </w:p>
        </w:tc>
        <w:tc>
          <w:tcPr>
            <w:tcW w:w="1057" w:type="dxa"/>
            <w:hideMark/>
          </w:tcPr>
          <w:p w14:paraId="25C2EB7B" w14:textId="77777777" w:rsidR="005E2BB1" w:rsidRPr="00F45F11" w:rsidRDefault="005E2BB1" w:rsidP="0093234E">
            <w:pPr>
              <w:pStyle w:val="ARtabletextright"/>
              <w:rPr>
                <w:lang w:eastAsia="en-AU"/>
              </w:rPr>
            </w:pPr>
            <w:r w:rsidRPr="00F45F11">
              <w:rPr>
                <w:lang w:eastAsia="en-AU"/>
              </w:rPr>
              <w:t>398</w:t>
            </w:r>
          </w:p>
        </w:tc>
        <w:tc>
          <w:tcPr>
            <w:tcW w:w="927" w:type="dxa"/>
            <w:hideMark/>
          </w:tcPr>
          <w:p w14:paraId="41D08E32" w14:textId="77777777" w:rsidR="005E2BB1" w:rsidRPr="00F45F11" w:rsidRDefault="005E2BB1" w:rsidP="0093234E">
            <w:pPr>
              <w:pStyle w:val="ARtabletextright"/>
              <w:rPr>
                <w:lang w:eastAsia="en-AU"/>
              </w:rPr>
            </w:pPr>
            <w:r w:rsidRPr="00F45F11">
              <w:rPr>
                <w:lang w:eastAsia="en-AU"/>
              </w:rPr>
              <w:t>362.9</w:t>
            </w:r>
          </w:p>
        </w:tc>
      </w:tr>
      <w:tr w:rsidR="005E2BB1" w:rsidRPr="00F45F11" w14:paraId="3F8556EE"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hideMark/>
          </w:tcPr>
          <w:p w14:paraId="1058340B" w14:textId="77777777" w:rsidR="005E2BB1" w:rsidRPr="00F45F11" w:rsidRDefault="005E2BB1" w:rsidP="0093234E">
            <w:pPr>
              <w:pStyle w:val="ARTabletext"/>
              <w:rPr>
                <w:lang w:eastAsia="en-AU"/>
              </w:rPr>
            </w:pPr>
            <w:r w:rsidRPr="00F45F11">
              <w:rPr>
                <w:lang w:eastAsia="en-AU"/>
              </w:rPr>
              <w:t>35–44</w:t>
            </w:r>
          </w:p>
        </w:tc>
        <w:tc>
          <w:tcPr>
            <w:tcW w:w="992" w:type="dxa"/>
            <w:shd w:val="clear" w:color="auto" w:fill="E7E6E6" w:themeFill="background2"/>
            <w:hideMark/>
          </w:tcPr>
          <w:p w14:paraId="22D14CC2" w14:textId="406D4D26" w:rsidR="005E2BB1" w:rsidRPr="00F45F11" w:rsidRDefault="005E2BB1" w:rsidP="0093234E">
            <w:pPr>
              <w:pStyle w:val="ARtabletextright"/>
              <w:rPr>
                <w:lang w:eastAsia="en-AU"/>
              </w:rPr>
            </w:pPr>
            <w:r w:rsidRPr="00F45F11">
              <w:rPr>
                <w:lang w:eastAsia="en-AU"/>
              </w:rPr>
              <w:t>2</w:t>
            </w:r>
            <w:r w:rsidR="00333488" w:rsidRPr="00F45F11">
              <w:rPr>
                <w:lang w:eastAsia="en-AU"/>
              </w:rPr>
              <w:t>,</w:t>
            </w:r>
            <w:r w:rsidRPr="00F45F11">
              <w:rPr>
                <w:lang w:eastAsia="en-AU"/>
              </w:rPr>
              <w:t>085</w:t>
            </w:r>
          </w:p>
        </w:tc>
        <w:tc>
          <w:tcPr>
            <w:tcW w:w="992" w:type="dxa"/>
            <w:shd w:val="clear" w:color="auto" w:fill="E7E6E6" w:themeFill="background2"/>
            <w:hideMark/>
          </w:tcPr>
          <w:p w14:paraId="527A823F" w14:textId="34D27192"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933.4</w:t>
            </w:r>
          </w:p>
        </w:tc>
        <w:tc>
          <w:tcPr>
            <w:tcW w:w="926" w:type="dxa"/>
            <w:hideMark/>
          </w:tcPr>
          <w:p w14:paraId="40E38793" w14:textId="542B1E3E"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397</w:t>
            </w:r>
          </w:p>
        </w:tc>
        <w:tc>
          <w:tcPr>
            <w:tcW w:w="926" w:type="dxa"/>
            <w:hideMark/>
          </w:tcPr>
          <w:p w14:paraId="73D4E053" w14:textId="77777777" w:rsidR="005E2BB1" w:rsidRPr="00F45F11" w:rsidRDefault="005E2BB1" w:rsidP="0093234E">
            <w:pPr>
              <w:pStyle w:val="ARtabletextright"/>
              <w:rPr>
                <w:lang w:eastAsia="en-AU"/>
              </w:rPr>
            </w:pPr>
            <w:r w:rsidRPr="00F45F11">
              <w:rPr>
                <w:lang w:eastAsia="en-AU"/>
              </w:rPr>
              <w:t>334</w:t>
            </w:r>
          </w:p>
        </w:tc>
        <w:tc>
          <w:tcPr>
            <w:tcW w:w="927" w:type="dxa"/>
            <w:hideMark/>
          </w:tcPr>
          <w:p w14:paraId="48AECCC2" w14:textId="12C42B74"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611.3</w:t>
            </w:r>
          </w:p>
        </w:tc>
        <w:tc>
          <w:tcPr>
            <w:tcW w:w="1057" w:type="dxa"/>
            <w:shd w:val="clear" w:color="auto" w:fill="E7E6E6" w:themeFill="background2"/>
            <w:hideMark/>
          </w:tcPr>
          <w:p w14:paraId="74F20B03" w14:textId="77777777" w:rsidR="005E2BB1" w:rsidRPr="00F45F11" w:rsidRDefault="005E2BB1" w:rsidP="0093234E">
            <w:pPr>
              <w:pStyle w:val="ARtabletextright"/>
              <w:rPr>
                <w:lang w:eastAsia="en-AU"/>
              </w:rPr>
            </w:pPr>
            <w:r w:rsidRPr="00F45F11">
              <w:rPr>
                <w:lang w:eastAsia="en-AU"/>
              </w:rPr>
              <w:t>354</w:t>
            </w:r>
          </w:p>
        </w:tc>
        <w:tc>
          <w:tcPr>
            <w:tcW w:w="927" w:type="dxa"/>
            <w:shd w:val="clear" w:color="auto" w:fill="E7E6E6" w:themeFill="background2"/>
            <w:hideMark/>
          </w:tcPr>
          <w:p w14:paraId="049D5872" w14:textId="77777777" w:rsidR="005E2BB1" w:rsidRPr="00F45F11" w:rsidRDefault="005E2BB1" w:rsidP="0093234E">
            <w:pPr>
              <w:pStyle w:val="ARtabletextright"/>
              <w:rPr>
                <w:lang w:eastAsia="en-AU"/>
              </w:rPr>
            </w:pPr>
            <w:r w:rsidRPr="00F45F11">
              <w:rPr>
                <w:lang w:eastAsia="en-AU"/>
              </w:rPr>
              <w:t>322.2</w:t>
            </w:r>
          </w:p>
        </w:tc>
        <w:tc>
          <w:tcPr>
            <w:tcW w:w="1057" w:type="dxa"/>
            <w:hideMark/>
          </w:tcPr>
          <w:p w14:paraId="2356C5B0" w14:textId="5A9F729E" w:rsidR="005E2BB1" w:rsidRPr="00F45F11" w:rsidRDefault="005E2BB1" w:rsidP="0093234E">
            <w:pPr>
              <w:pStyle w:val="ARtabletextright"/>
              <w:rPr>
                <w:lang w:eastAsia="en-AU"/>
              </w:rPr>
            </w:pPr>
            <w:r w:rsidRPr="00F45F11">
              <w:rPr>
                <w:lang w:eastAsia="en-AU"/>
              </w:rPr>
              <w:t>2</w:t>
            </w:r>
            <w:r w:rsidR="00333488" w:rsidRPr="00F45F11">
              <w:rPr>
                <w:lang w:eastAsia="en-AU"/>
              </w:rPr>
              <w:t>,</w:t>
            </w:r>
            <w:r w:rsidRPr="00F45F11">
              <w:rPr>
                <w:lang w:eastAsia="en-AU"/>
              </w:rPr>
              <w:t>061</w:t>
            </w:r>
          </w:p>
        </w:tc>
        <w:tc>
          <w:tcPr>
            <w:tcW w:w="927" w:type="dxa"/>
            <w:hideMark/>
          </w:tcPr>
          <w:p w14:paraId="52EAB439" w14:textId="7C09C44B"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903.3</w:t>
            </w:r>
          </w:p>
        </w:tc>
        <w:tc>
          <w:tcPr>
            <w:tcW w:w="926" w:type="dxa"/>
            <w:shd w:val="clear" w:color="auto" w:fill="E7E6E6" w:themeFill="background2"/>
            <w:hideMark/>
          </w:tcPr>
          <w:p w14:paraId="1110CCE5" w14:textId="6116BB39"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379</w:t>
            </w:r>
          </w:p>
        </w:tc>
        <w:tc>
          <w:tcPr>
            <w:tcW w:w="926" w:type="dxa"/>
            <w:shd w:val="clear" w:color="auto" w:fill="E7E6E6" w:themeFill="background2"/>
            <w:hideMark/>
          </w:tcPr>
          <w:p w14:paraId="4C912D08" w14:textId="77777777" w:rsidR="005E2BB1" w:rsidRPr="00F45F11" w:rsidRDefault="005E2BB1" w:rsidP="0093234E">
            <w:pPr>
              <w:pStyle w:val="ARtabletextright"/>
              <w:rPr>
                <w:lang w:eastAsia="en-AU"/>
              </w:rPr>
            </w:pPr>
            <w:r w:rsidRPr="00F45F11">
              <w:rPr>
                <w:lang w:eastAsia="en-AU"/>
              </w:rPr>
              <w:t>325</w:t>
            </w:r>
          </w:p>
        </w:tc>
        <w:tc>
          <w:tcPr>
            <w:tcW w:w="927" w:type="dxa"/>
            <w:shd w:val="clear" w:color="auto" w:fill="E7E6E6" w:themeFill="background2"/>
            <w:hideMark/>
          </w:tcPr>
          <w:p w14:paraId="78795C73" w14:textId="5D6B3E37"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581.7</w:t>
            </w:r>
          </w:p>
        </w:tc>
        <w:tc>
          <w:tcPr>
            <w:tcW w:w="1057" w:type="dxa"/>
            <w:hideMark/>
          </w:tcPr>
          <w:p w14:paraId="62DCB218" w14:textId="77777777" w:rsidR="005E2BB1" w:rsidRPr="00F45F11" w:rsidRDefault="005E2BB1" w:rsidP="0093234E">
            <w:pPr>
              <w:pStyle w:val="ARtabletextright"/>
              <w:rPr>
                <w:lang w:eastAsia="en-AU"/>
              </w:rPr>
            </w:pPr>
            <w:r w:rsidRPr="00F45F11">
              <w:rPr>
                <w:lang w:eastAsia="en-AU"/>
              </w:rPr>
              <w:t>357</w:t>
            </w:r>
          </w:p>
        </w:tc>
        <w:tc>
          <w:tcPr>
            <w:tcW w:w="927" w:type="dxa"/>
            <w:hideMark/>
          </w:tcPr>
          <w:p w14:paraId="47A9288C" w14:textId="77777777" w:rsidR="005E2BB1" w:rsidRPr="00F45F11" w:rsidRDefault="005E2BB1" w:rsidP="0093234E">
            <w:pPr>
              <w:pStyle w:val="ARtabletextright"/>
              <w:rPr>
                <w:lang w:eastAsia="en-AU"/>
              </w:rPr>
            </w:pPr>
            <w:r w:rsidRPr="00F45F11">
              <w:rPr>
                <w:lang w:eastAsia="en-AU"/>
              </w:rPr>
              <w:t>321.5</w:t>
            </w:r>
          </w:p>
        </w:tc>
      </w:tr>
      <w:tr w:rsidR="005E2BB1" w:rsidRPr="00F45F11" w14:paraId="7A89DFA6"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hideMark/>
          </w:tcPr>
          <w:p w14:paraId="7964BAA7" w14:textId="77777777" w:rsidR="005E2BB1" w:rsidRPr="00F45F11" w:rsidRDefault="005E2BB1" w:rsidP="0093234E">
            <w:pPr>
              <w:pStyle w:val="ARTabletext"/>
              <w:rPr>
                <w:lang w:eastAsia="en-AU"/>
              </w:rPr>
            </w:pPr>
            <w:r w:rsidRPr="00F45F11">
              <w:rPr>
                <w:lang w:eastAsia="en-AU"/>
              </w:rPr>
              <w:t>45–54</w:t>
            </w:r>
          </w:p>
        </w:tc>
        <w:tc>
          <w:tcPr>
            <w:tcW w:w="992" w:type="dxa"/>
            <w:shd w:val="clear" w:color="auto" w:fill="E7E6E6" w:themeFill="background2"/>
            <w:hideMark/>
          </w:tcPr>
          <w:p w14:paraId="2859A2D6" w14:textId="3C3577AF"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592</w:t>
            </w:r>
          </w:p>
        </w:tc>
        <w:tc>
          <w:tcPr>
            <w:tcW w:w="992" w:type="dxa"/>
            <w:shd w:val="clear" w:color="auto" w:fill="E7E6E6" w:themeFill="background2"/>
            <w:hideMark/>
          </w:tcPr>
          <w:p w14:paraId="11C8C37D" w14:textId="284687BF"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514.7</w:t>
            </w:r>
          </w:p>
        </w:tc>
        <w:tc>
          <w:tcPr>
            <w:tcW w:w="926" w:type="dxa"/>
            <w:hideMark/>
          </w:tcPr>
          <w:p w14:paraId="5E003A6C" w14:textId="15341D2C"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134</w:t>
            </w:r>
          </w:p>
        </w:tc>
        <w:tc>
          <w:tcPr>
            <w:tcW w:w="926" w:type="dxa"/>
            <w:hideMark/>
          </w:tcPr>
          <w:p w14:paraId="49CE1AEC" w14:textId="77777777" w:rsidR="005E2BB1" w:rsidRPr="00F45F11" w:rsidRDefault="005E2BB1" w:rsidP="0093234E">
            <w:pPr>
              <w:pStyle w:val="ARtabletextright"/>
              <w:rPr>
                <w:lang w:eastAsia="en-AU"/>
              </w:rPr>
            </w:pPr>
            <w:r w:rsidRPr="00F45F11">
              <w:rPr>
                <w:lang w:eastAsia="en-AU"/>
              </w:rPr>
              <w:t>188</w:t>
            </w:r>
          </w:p>
        </w:tc>
        <w:tc>
          <w:tcPr>
            <w:tcW w:w="927" w:type="dxa"/>
            <w:hideMark/>
          </w:tcPr>
          <w:p w14:paraId="02EBB9D6" w14:textId="0AC3BA51"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267.6</w:t>
            </w:r>
          </w:p>
        </w:tc>
        <w:tc>
          <w:tcPr>
            <w:tcW w:w="1057" w:type="dxa"/>
            <w:shd w:val="clear" w:color="auto" w:fill="E7E6E6" w:themeFill="background2"/>
            <w:hideMark/>
          </w:tcPr>
          <w:p w14:paraId="28450203" w14:textId="77777777" w:rsidR="005E2BB1" w:rsidRPr="00F45F11" w:rsidRDefault="005E2BB1" w:rsidP="0093234E">
            <w:pPr>
              <w:pStyle w:val="ARtabletextright"/>
              <w:rPr>
                <w:lang w:eastAsia="en-AU"/>
              </w:rPr>
            </w:pPr>
            <w:r w:rsidRPr="00F45F11">
              <w:rPr>
                <w:lang w:eastAsia="en-AU"/>
              </w:rPr>
              <w:t>270</w:t>
            </w:r>
          </w:p>
        </w:tc>
        <w:tc>
          <w:tcPr>
            <w:tcW w:w="927" w:type="dxa"/>
            <w:shd w:val="clear" w:color="auto" w:fill="E7E6E6" w:themeFill="background2"/>
            <w:hideMark/>
          </w:tcPr>
          <w:p w14:paraId="7A6AFA91" w14:textId="77777777" w:rsidR="005E2BB1" w:rsidRPr="00F45F11" w:rsidRDefault="005E2BB1" w:rsidP="0093234E">
            <w:pPr>
              <w:pStyle w:val="ARtabletextright"/>
              <w:rPr>
                <w:lang w:eastAsia="en-AU"/>
              </w:rPr>
            </w:pPr>
            <w:r w:rsidRPr="00F45F11">
              <w:rPr>
                <w:lang w:eastAsia="en-AU"/>
              </w:rPr>
              <w:t>247.1</w:t>
            </w:r>
          </w:p>
        </w:tc>
        <w:tc>
          <w:tcPr>
            <w:tcW w:w="1057" w:type="dxa"/>
            <w:hideMark/>
          </w:tcPr>
          <w:p w14:paraId="751B7679" w14:textId="31FD0219"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659</w:t>
            </w:r>
          </w:p>
        </w:tc>
        <w:tc>
          <w:tcPr>
            <w:tcW w:w="927" w:type="dxa"/>
            <w:hideMark/>
          </w:tcPr>
          <w:p w14:paraId="399CEC14" w14:textId="1DBC73D9"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573.4</w:t>
            </w:r>
          </w:p>
        </w:tc>
        <w:tc>
          <w:tcPr>
            <w:tcW w:w="926" w:type="dxa"/>
            <w:shd w:val="clear" w:color="auto" w:fill="E7E6E6" w:themeFill="background2"/>
            <w:hideMark/>
          </w:tcPr>
          <w:p w14:paraId="5419994D" w14:textId="40196EAC"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169</w:t>
            </w:r>
          </w:p>
        </w:tc>
        <w:tc>
          <w:tcPr>
            <w:tcW w:w="926" w:type="dxa"/>
            <w:shd w:val="clear" w:color="auto" w:fill="E7E6E6" w:themeFill="background2"/>
            <w:hideMark/>
          </w:tcPr>
          <w:p w14:paraId="751AF73C" w14:textId="77777777" w:rsidR="005E2BB1" w:rsidRPr="00F45F11" w:rsidRDefault="005E2BB1" w:rsidP="0093234E">
            <w:pPr>
              <w:pStyle w:val="ARtabletextright"/>
              <w:rPr>
                <w:lang w:eastAsia="en-AU"/>
              </w:rPr>
            </w:pPr>
            <w:r w:rsidRPr="00F45F11">
              <w:rPr>
                <w:lang w:eastAsia="en-AU"/>
              </w:rPr>
              <w:t>202</w:t>
            </w:r>
          </w:p>
        </w:tc>
        <w:tc>
          <w:tcPr>
            <w:tcW w:w="927" w:type="dxa"/>
            <w:shd w:val="clear" w:color="auto" w:fill="E7E6E6" w:themeFill="background2"/>
            <w:hideMark/>
          </w:tcPr>
          <w:p w14:paraId="268BB7F4" w14:textId="763EA6BC"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308.0</w:t>
            </w:r>
          </w:p>
        </w:tc>
        <w:tc>
          <w:tcPr>
            <w:tcW w:w="1057" w:type="dxa"/>
            <w:hideMark/>
          </w:tcPr>
          <w:p w14:paraId="591CC88E" w14:textId="77777777" w:rsidR="005E2BB1" w:rsidRPr="00F45F11" w:rsidRDefault="005E2BB1" w:rsidP="0093234E">
            <w:pPr>
              <w:pStyle w:val="ARtabletextright"/>
              <w:rPr>
                <w:lang w:eastAsia="en-AU"/>
              </w:rPr>
            </w:pPr>
            <w:r w:rsidRPr="00F45F11">
              <w:rPr>
                <w:lang w:eastAsia="en-AU"/>
              </w:rPr>
              <w:t>288</w:t>
            </w:r>
          </w:p>
        </w:tc>
        <w:tc>
          <w:tcPr>
            <w:tcW w:w="927" w:type="dxa"/>
            <w:hideMark/>
          </w:tcPr>
          <w:p w14:paraId="4046E347" w14:textId="77777777" w:rsidR="005E2BB1" w:rsidRPr="00F45F11" w:rsidRDefault="005E2BB1" w:rsidP="0093234E">
            <w:pPr>
              <w:pStyle w:val="ARtabletextright"/>
              <w:rPr>
                <w:lang w:eastAsia="en-AU"/>
              </w:rPr>
            </w:pPr>
            <w:r w:rsidRPr="00F45F11">
              <w:rPr>
                <w:lang w:eastAsia="en-AU"/>
              </w:rPr>
              <w:t>265.3</w:t>
            </w:r>
          </w:p>
        </w:tc>
      </w:tr>
      <w:tr w:rsidR="005E2BB1" w:rsidRPr="00F45F11" w14:paraId="1025658E"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tcBorders>
              <w:bottom w:val="single" w:sz="4" w:space="0" w:color="BFBFBF" w:themeColor="accent2"/>
            </w:tcBorders>
            <w:hideMark/>
          </w:tcPr>
          <w:p w14:paraId="1655E0BD" w14:textId="77777777" w:rsidR="005E2BB1" w:rsidRPr="00F45F11" w:rsidRDefault="005E2BB1" w:rsidP="0093234E">
            <w:pPr>
              <w:pStyle w:val="ARTabletext"/>
              <w:rPr>
                <w:lang w:eastAsia="en-AU"/>
              </w:rPr>
            </w:pPr>
            <w:r w:rsidRPr="00F45F11">
              <w:rPr>
                <w:lang w:eastAsia="en-AU"/>
              </w:rPr>
              <w:t>55–64</w:t>
            </w:r>
          </w:p>
        </w:tc>
        <w:tc>
          <w:tcPr>
            <w:tcW w:w="992" w:type="dxa"/>
            <w:tcBorders>
              <w:bottom w:val="single" w:sz="4" w:space="0" w:color="BFBFBF" w:themeColor="accent2"/>
            </w:tcBorders>
            <w:shd w:val="clear" w:color="auto" w:fill="E7E6E6" w:themeFill="background2"/>
            <w:hideMark/>
          </w:tcPr>
          <w:p w14:paraId="779B68D5" w14:textId="6A3D35FC"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134</w:t>
            </w:r>
          </w:p>
        </w:tc>
        <w:tc>
          <w:tcPr>
            <w:tcW w:w="992" w:type="dxa"/>
            <w:tcBorders>
              <w:bottom w:val="single" w:sz="4" w:space="0" w:color="BFBFBF" w:themeColor="accent2"/>
            </w:tcBorders>
            <w:shd w:val="clear" w:color="auto" w:fill="E7E6E6" w:themeFill="background2"/>
            <w:hideMark/>
          </w:tcPr>
          <w:p w14:paraId="201199BC" w14:textId="494CF457"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083.9</w:t>
            </w:r>
          </w:p>
        </w:tc>
        <w:tc>
          <w:tcPr>
            <w:tcW w:w="926" w:type="dxa"/>
            <w:tcBorders>
              <w:bottom w:val="single" w:sz="4" w:space="0" w:color="BFBFBF" w:themeColor="accent2"/>
            </w:tcBorders>
            <w:hideMark/>
          </w:tcPr>
          <w:p w14:paraId="5E437991" w14:textId="77777777" w:rsidR="005E2BB1" w:rsidRPr="00F45F11" w:rsidRDefault="005E2BB1" w:rsidP="0093234E">
            <w:pPr>
              <w:pStyle w:val="ARtabletextright"/>
              <w:rPr>
                <w:lang w:eastAsia="en-AU"/>
              </w:rPr>
            </w:pPr>
            <w:r w:rsidRPr="00F45F11">
              <w:rPr>
                <w:lang w:eastAsia="en-AU"/>
              </w:rPr>
              <w:t>850</w:t>
            </w:r>
          </w:p>
        </w:tc>
        <w:tc>
          <w:tcPr>
            <w:tcW w:w="926" w:type="dxa"/>
            <w:tcBorders>
              <w:bottom w:val="single" w:sz="4" w:space="0" w:color="BFBFBF" w:themeColor="accent2"/>
            </w:tcBorders>
            <w:hideMark/>
          </w:tcPr>
          <w:p w14:paraId="5D9B9953" w14:textId="77777777" w:rsidR="005E2BB1" w:rsidRPr="00F45F11" w:rsidRDefault="005E2BB1" w:rsidP="0093234E">
            <w:pPr>
              <w:pStyle w:val="ARtabletextright"/>
              <w:rPr>
                <w:lang w:eastAsia="en-AU"/>
              </w:rPr>
            </w:pPr>
            <w:r w:rsidRPr="00F45F11">
              <w:rPr>
                <w:lang w:eastAsia="en-AU"/>
              </w:rPr>
              <w:t>144</w:t>
            </w:r>
          </w:p>
        </w:tc>
        <w:tc>
          <w:tcPr>
            <w:tcW w:w="927" w:type="dxa"/>
            <w:tcBorders>
              <w:bottom w:val="single" w:sz="4" w:space="0" w:color="BFBFBF" w:themeColor="accent2"/>
            </w:tcBorders>
            <w:hideMark/>
          </w:tcPr>
          <w:p w14:paraId="3555E357" w14:textId="77777777" w:rsidR="005E2BB1" w:rsidRPr="00F45F11" w:rsidRDefault="005E2BB1" w:rsidP="0093234E">
            <w:pPr>
              <w:pStyle w:val="ARtabletextright"/>
              <w:rPr>
                <w:lang w:eastAsia="en-AU"/>
              </w:rPr>
            </w:pPr>
            <w:r w:rsidRPr="00F45F11">
              <w:rPr>
                <w:lang w:eastAsia="en-AU"/>
              </w:rPr>
              <w:t>950.9</w:t>
            </w:r>
          </w:p>
        </w:tc>
        <w:tc>
          <w:tcPr>
            <w:tcW w:w="1057" w:type="dxa"/>
            <w:tcBorders>
              <w:bottom w:val="single" w:sz="4" w:space="0" w:color="BFBFBF" w:themeColor="accent2"/>
            </w:tcBorders>
            <w:shd w:val="clear" w:color="auto" w:fill="E7E6E6" w:themeFill="background2"/>
            <w:hideMark/>
          </w:tcPr>
          <w:p w14:paraId="3AFF4072" w14:textId="77777777" w:rsidR="005E2BB1" w:rsidRPr="00F45F11" w:rsidRDefault="005E2BB1" w:rsidP="0093234E">
            <w:pPr>
              <w:pStyle w:val="ARtabletextright"/>
              <w:rPr>
                <w:lang w:eastAsia="en-AU"/>
              </w:rPr>
            </w:pPr>
            <w:r w:rsidRPr="00F45F11">
              <w:rPr>
                <w:lang w:eastAsia="en-AU"/>
              </w:rPr>
              <w:t>140</w:t>
            </w:r>
          </w:p>
        </w:tc>
        <w:tc>
          <w:tcPr>
            <w:tcW w:w="927" w:type="dxa"/>
            <w:tcBorders>
              <w:bottom w:val="single" w:sz="4" w:space="0" w:color="BFBFBF" w:themeColor="accent2"/>
            </w:tcBorders>
            <w:shd w:val="clear" w:color="auto" w:fill="E7E6E6" w:themeFill="background2"/>
            <w:hideMark/>
          </w:tcPr>
          <w:p w14:paraId="6D5825F6" w14:textId="77777777" w:rsidR="005E2BB1" w:rsidRPr="00F45F11" w:rsidRDefault="005E2BB1" w:rsidP="0093234E">
            <w:pPr>
              <w:pStyle w:val="ARtabletextright"/>
              <w:rPr>
                <w:lang w:eastAsia="en-AU"/>
              </w:rPr>
            </w:pPr>
            <w:r w:rsidRPr="00F45F11">
              <w:rPr>
                <w:lang w:eastAsia="en-AU"/>
              </w:rPr>
              <w:t>133.0</w:t>
            </w:r>
          </w:p>
        </w:tc>
        <w:tc>
          <w:tcPr>
            <w:tcW w:w="1057" w:type="dxa"/>
            <w:tcBorders>
              <w:bottom w:val="single" w:sz="4" w:space="0" w:color="BFBFBF" w:themeColor="accent2"/>
            </w:tcBorders>
            <w:hideMark/>
          </w:tcPr>
          <w:p w14:paraId="69B53252" w14:textId="524645BC"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104</w:t>
            </w:r>
          </w:p>
        </w:tc>
        <w:tc>
          <w:tcPr>
            <w:tcW w:w="927" w:type="dxa"/>
            <w:tcBorders>
              <w:bottom w:val="single" w:sz="4" w:space="0" w:color="BFBFBF" w:themeColor="accent2"/>
            </w:tcBorders>
            <w:hideMark/>
          </w:tcPr>
          <w:p w14:paraId="6758599D" w14:textId="61B51662"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050.4</w:t>
            </w:r>
          </w:p>
        </w:tc>
        <w:tc>
          <w:tcPr>
            <w:tcW w:w="926" w:type="dxa"/>
            <w:tcBorders>
              <w:bottom w:val="single" w:sz="4" w:space="0" w:color="BFBFBF" w:themeColor="accent2"/>
            </w:tcBorders>
            <w:shd w:val="clear" w:color="auto" w:fill="E7E6E6" w:themeFill="background2"/>
            <w:hideMark/>
          </w:tcPr>
          <w:p w14:paraId="4372D678" w14:textId="77777777" w:rsidR="005E2BB1" w:rsidRPr="00F45F11" w:rsidRDefault="005E2BB1" w:rsidP="0093234E">
            <w:pPr>
              <w:pStyle w:val="ARtabletextright"/>
              <w:rPr>
                <w:lang w:eastAsia="en-AU"/>
              </w:rPr>
            </w:pPr>
            <w:r w:rsidRPr="00F45F11">
              <w:rPr>
                <w:lang w:eastAsia="en-AU"/>
              </w:rPr>
              <w:t>824</w:t>
            </w:r>
          </w:p>
        </w:tc>
        <w:tc>
          <w:tcPr>
            <w:tcW w:w="926" w:type="dxa"/>
            <w:tcBorders>
              <w:bottom w:val="single" w:sz="4" w:space="0" w:color="BFBFBF" w:themeColor="accent2"/>
            </w:tcBorders>
            <w:shd w:val="clear" w:color="auto" w:fill="E7E6E6" w:themeFill="background2"/>
            <w:hideMark/>
          </w:tcPr>
          <w:p w14:paraId="279A8BCB" w14:textId="77777777" w:rsidR="005E2BB1" w:rsidRPr="00F45F11" w:rsidRDefault="005E2BB1" w:rsidP="0093234E">
            <w:pPr>
              <w:pStyle w:val="ARtabletextright"/>
              <w:rPr>
                <w:lang w:eastAsia="en-AU"/>
              </w:rPr>
            </w:pPr>
            <w:r w:rsidRPr="00F45F11">
              <w:rPr>
                <w:lang w:eastAsia="en-AU"/>
              </w:rPr>
              <w:t>138</w:t>
            </w:r>
          </w:p>
        </w:tc>
        <w:tc>
          <w:tcPr>
            <w:tcW w:w="927" w:type="dxa"/>
            <w:tcBorders>
              <w:bottom w:val="single" w:sz="4" w:space="0" w:color="BFBFBF" w:themeColor="accent2"/>
            </w:tcBorders>
            <w:shd w:val="clear" w:color="auto" w:fill="E7E6E6" w:themeFill="background2"/>
            <w:hideMark/>
          </w:tcPr>
          <w:p w14:paraId="6EF1A82F" w14:textId="77777777" w:rsidR="005E2BB1" w:rsidRPr="00F45F11" w:rsidRDefault="005E2BB1" w:rsidP="0093234E">
            <w:pPr>
              <w:pStyle w:val="ARtabletextright"/>
              <w:rPr>
                <w:lang w:eastAsia="en-AU"/>
              </w:rPr>
            </w:pPr>
            <w:r w:rsidRPr="00F45F11">
              <w:rPr>
                <w:lang w:eastAsia="en-AU"/>
              </w:rPr>
              <w:t>917.6</w:t>
            </w:r>
          </w:p>
        </w:tc>
        <w:tc>
          <w:tcPr>
            <w:tcW w:w="1057" w:type="dxa"/>
            <w:tcBorders>
              <w:bottom w:val="single" w:sz="4" w:space="0" w:color="BFBFBF" w:themeColor="accent2"/>
            </w:tcBorders>
            <w:hideMark/>
          </w:tcPr>
          <w:p w14:paraId="47CE112E" w14:textId="77777777" w:rsidR="005E2BB1" w:rsidRPr="00F45F11" w:rsidRDefault="005E2BB1" w:rsidP="0093234E">
            <w:pPr>
              <w:pStyle w:val="ARtabletextright"/>
              <w:rPr>
                <w:lang w:eastAsia="en-AU"/>
              </w:rPr>
            </w:pPr>
            <w:r w:rsidRPr="00F45F11">
              <w:rPr>
                <w:lang w:eastAsia="en-AU"/>
              </w:rPr>
              <w:t>142</w:t>
            </w:r>
          </w:p>
        </w:tc>
        <w:tc>
          <w:tcPr>
            <w:tcW w:w="927" w:type="dxa"/>
            <w:tcBorders>
              <w:bottom w:val="single" w:sz="4" w:space="0" w:color="BFBFBF" w:themeColor="accent2"/>
            </w:tcBorders>
            <w:hideMark/>
          </w:tcPr>
          <w:p w14:paraId="4775E029" w14:textId="77777777" w:rsidR="005E2BB1" w:rsidRPr="00F45F11" w:rsidRDefault="005E2BB1" w:rsidP="0093234E">
            <w:pPr>
              <w:pStyle w:val="ARtabletextright"/>
              <w:rPr>
                <w:lang w:eastAsia="en-AU"/>
              </w:rPr>
            </w:pPr>
            <w:r w:rsidRPr="00F45F11">
              <w:rPr>
                <w:lang w:eastAsia="en-AU"/>
              </w:rPr>
              <w:t>132.7</w:t>
            </w:r>
          </w:p>
        </w:tc>
      </w:tr>
      <w:tr w:rsidR="005E2BB1" w:rsidRPr="00F45F11" w14:paraId="0556AADB"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tcBorders>
              <w:top w:val="single" w:sz="4" w:space="0" w:color="BFBFBF" w:themeColor="accent2"/>
              <w:bottom w:val="single" w:sz="4" w:space="0" w:color="auto"/>
            </w:tcBorders>
            <w:hideMark/>
          </w:tcPr>
          <w:p w14:paraId="05B5B834" w14:textId="77777777" w:rsidR="005E2BB1" w:rsidRPr="00F45F11" w:rsidRDefault="005E2BB1" w:rsidP="0093234E">
            <w:pPr>
              <w:pStyle w:val="ARTabletext"/>
              <w:rPr>
                <w:lang w:eastAsia="en-AU"/>
              </w:rPr>
            </w:pPr>
            <w:r w:rsidRPr="00F45F11">
              <w:rPr>
                <w:lang w:eastAsia="en-AU"/>
              </w:rPr>
              <w:t>65+</w:t>
            </w:r>
          </w:p>
        </w:tc>
        <w:tc>
          <w:tcPr>
            <w:tcW w:w="992" w:type="dxa"/>
            <w:tcBorders>
              <w:top w:val="single" w:sz="4" w:space="0" w:color="BFBFBF" w:themeColor="accent2"/>
              <w:bottom w:val="single" w:sz="4" w:space="0" w:color="auto"/>
            </w:tcBorders>
            <w:shd w:val="clear" w:color="auto" w:fill="E7E6E6" w:themeFill="background2"/>
            <w:hideMark/>
          </w:tcPr>
          <w:p w14:paraId="27685E89" w14:textId="77777777" w:rsidR="005E2BB1" w:rsidRPr="00F45F11" w:rsidRDefault="005E2BB1" w:rsidP="0093234E">
            <w:pPr>
              <w:pStyle w:val="ARtabletextright"/>
              <w:rPr>
                <w:lang w:eastAsia="en-AU"/>
              </w:rPr>
            </w:pPr>
            <w:r w:rsidRPr="00F45F11">
              <w:rPr>
                <w:lang w:eastAsia="en-AU"/>
              </w:rPr>
              <w:t>255</w:t>
            </w:r>
          </w:p>
        </w:tc>
        <w:tc>
          <w:tcPr>
            <w:tcW w:w="992" w:type="dxa"/>
            <w:tcBorders>
              <w:top w:val="single" w:sz="4" w:space="0" w:color="BFBFBF" w:themeColor="accent2"/>
              <w:bottom w:val="single" w:sz="4" w:space="0" w:color="auto"/>
            </w:tcBorders>
            <w:shd w:val="clear" w:color="auto" w:fill="E7E6E6" w:themeFill="background2"/>
            <w:hideMark/>
          </w:tcPr>
          <w:p w14:paraId="69FF77B9" w14:textId="77777777" w:rsidR="005E2BB1" w:rsidRPr="00F45F11" w:rsidRDefault="005E2BB1" w:rsidP="0093234E">
            <w:pPr>
              <w:pStyle w:val="ARtabletextright"/>
              <w:rPr>
                <w:lang w:eastAsia="en-AU"/>
              </w:rPr>
            </w:pPr>
            <w:r w:rsidRPr="00F45F11">
              <w:rPr>
                <w:lang w:eastAsia="en-AU"/>
              </w:rPr>
              <w:t>233.5</w:t>
            </w:r>
          </w:p>
        </w:tc>
        <w:tc>
          <w:tcPr>
            <w:tcW w:w="926" w:type="dxa"/>
            <w:tcBorders>
              <w:top w:val="single" w:sz="4" w:space="0" w:color="BFBFBF" w:themeColor="accent2"/>
              <w:bottom w:val="single" w:sz="4" w:space="0" w:color="auto"/>
            </w:tcBorders>
            <w:hideMark/>
          </w:tcPr>
          <w:p w14:paraId="08A0D8C4" w14:textId="77777777" w:rsidR="005E2BB1" w:rsidRPr="00F45F11" w:rsidRDefault="005E2BB1" w:rsidP="0093234E">
            <w:pPr>
              <w:pStyle w:val="ARtabletextright"/>
              <w:rPr>
                <w:lang w:eastAsia="en-AU"/>
              </w:rPr>
            </w:pPr>
            <w:r w:rsidRPr="00F45F11">
              <w:rPr>
                <w:lang w:eastAsia="en-AU"/>
              </w:rPr>
              <w:t>182</w:t>
            </w:r>
          </w:p>
        </w:tc>
        <w:tc>
          <w:tcPr>
            <w:tcW w:w="926" w:type="dxa"/>
            <w:tcBorders>
              <w:top w:val="single" w:sz="4" w:space="0" w:color="BFBFBF" w:themeColor="accent2"/>
              <w:bottom w:val="single" w:sz="4" w:space="0" w:color="auto"/>
            </w:tcBorders>
            <w:hideMark/>
          </w:tcPr>
          <w:p w14:paraId="1DA8818A" w14:textId="77777777" w:rsidR="005E2BB1" w:rsidRPr="00F45F11" w:rsidRDefault="005E2BB1" w:rsidP="0093234E">
            <w:pPr>
              <w:pStyle w:val="ARtabletextright"/>
              <w:rPr>
                <w:lang w:eastAsia="en-AU"/>
              </w:rPr>
            </w:pPr>
            <w:r w:rsidRPr="00F45F11">
              <w:rPr>
                <w:lang w:eastAsia="en-AU"/>
              </w:rPr>
              <w:t>52</w:t>
            </w:r>
          </w:p>
        </w:tc>
        <w:tc>
          <w:tcPr>
            <w:tcW w:w="927" w:type="dxa"/>
            <w:tcBorders>
              <w:top w:val="single" w:sz="4" w:space="0" w:color="BFBFBF" w:themeColor="accent2"/>
              <w:bottom w:val="single" w:sz="4" w:space="0" w:color="auto"/>
            </w:tcBorders>
            <w:hideMark/>
          </w:tcPr>
          <w:p w14:paraId="647E56A9" w14:textId="77777777" w:rsidR="005E2BB1" w:rsidRPr="00F45F11" w:rsidRDefault="005E2BB1" w:rsidP="0093234E">
            <w:pPr>
              <w:pStyle w:val="ARtabletextright"/>
              <w:rPr>
                <w:lang w:eastAsia="en-AU"/>
              </w:rPr>
            </w:pPr>
            <w:r w:rsidRPr="00F45F11">
              <w:rPr>
                <w:lang w:eastAsia="en-AU"/>
              </w:rPr>
              <w:t>216.0</w:t>
            </w:r>
          </w:p>
        </w:tc>
        <w:tc>
          <w:tcPr>
            <w:tcW w:w="1057" w:type="dxa"/>
            <w:tcBorders>
              <w:top w:val="single" w:sz="4" w:space="0" w:color="BFBFBF" w:themeColor="accent2"/>
              <w:bottom w:val="single" w:sz="4" w:space="0" w:color="auto"/>
            </w:tcBorders>
            <w:shd w:val="clear" w:color="auto" w:fill="E7E6E6" w:themeFill="background2"/>
            <w:hideMark/>
          </w:tcPr>
          <w:p w14:paraId="5DCF6ED4" w14:textId="77777777" w:rsidR="005E2BB1" w:rsidRPr="00F45F11" w:rsidRDefault="005E2BB1" w:rsidP="0093234E">
            <w:pPr>
              <w:pStyle w:val="ARtabletextright"/>
              <w:rPr>
                <w:lang w:eastAsia="en-AU"/>
              </w:rPr>
            </w:pPr>
            <w:r w:rsidRPr="00F45F11">
              <w:rPr>
                <w:lang w:eastAsia="en-AU"/>
              </w:rPr>
              <w:t>21</w:t>
            </w:r>
          </w:p>
        </w:tc>
        <w:tc>
          <w:tcPr>
            <w:tcW w:w="927" w:type="dxa"/>
            <w:tcBorders>
              <w:top w:val="single" w:sz="4" w:space="0" w:color="BFBFBF" w:themeColor="accent2"/>
              <w:bottom w:val="single" w:sz="4" w:space="0" w:color="auto"/>
            </w:tcBorders>
            <w:shd w:val="clear" w:color="auto" w:fill="E7E6E6" w:themeFill="background2"/>
            <w:hideMark/>
          </w:tcPr>
          <w:p w14:paraId="79DBA842" w14:textId="77777777" w:rsidR="005E2BB1" w:rsidRPr="00F45F11" w:rsidRDefault="005E2BB1" w:rsidP="0093234E">
            <w:pPr>
              <w:pStyle w:val="ARtabletextright"/>
              <w:rPr>
                <w:lang w:eastAsia="en-AU"/>
              </w:rPr>
            </w:pPr>
            <w:r w:rsidRPr="00F45F11">
              <w:rPr>
                <w:lang w:eastAsia="en-AU"/>
              </w:rPr>
              <w:t>17.5</w:t>
            </w:r>
          </w:p>
        </w:tc>
        <w:tc>
          <w:tcPr>
            <w:tcW w:w="1057" w:type="dxa"/>
            <w:tcBorders>
              <w:top w:val="single" w:sz="4" w:space="0" w:color="BFBFBF" w:themeColor="accent2"/>
              <w:bottom w:val="single" w:sz="4" w:space="0" w:color="auto"/>
            </w:tcBorders>
            <w:hideMark/>
          </w:tcPr>
          <w:p w14:paraId="7AD2E5BB" w14:textId="77777777" w:rsidR="005E2BB1" w:rsidRPr="00F45F11" w:rsidRDefault="005E2BB1" w:rsidP="0093234E">
            <w:pPr>
              <w:pStyle w:val="ARtabletextright"/>
              <w:rPr>
                <w:lang w:eastAsia="en-AU"/>
              </w:rPr>
            </w:pPr>
            <w:r w:rsidRPr="00F45F11">
              <w:rPr>
                <w:lang w:eastAsia="en-AU"/>
              </w:rPr>
              <w:t>234</w:t>
            </w:r>
          </w:p>
        </w:tc>
        <w:tc>
          <w:tcPr>
            <w:tcW w:w="927" w:type="dxa"/>
            <w:tcBorders>
              <w:top w:val="single" w:sz="4" w:space="0" w:color="BFBFBF" w:themeColor="accent2"/>
              <w:bottom w:val="single" w:sz="4" w:space="0" w:color="auto"/>
            </w:tcBorders>
            <w:hideMark/>
          </w:tcPr>
          <w:p w14:paraId="07C43D95" w14:textId="77777777" w:rsidR="005E2BB1" w:rsidRPr="00F45F11" w:rsidRDefault="005E2BB1" w:rsidP="0093234E">
            <w:pPr>
              <w:pStyle w:val="ARtabletextright"/>
              <w:rPr>
                <w:lang w:eastAsia="en-AU"/>
              </w:rPr>
            </w:pPr>
            <w:r w:rsidRPr="00F45F11">
              <w:rPr>
                <w:lang w:eastAsia="en-AU"/>
              </w:rPr>
              <w:t>212.5</w:t>
            </w:r>
          </w:p>
        </w:tc>
        <w:tc>
          <w:tcPr>
            <w:tcW w:w="926" w:type="dxa"/>
            <w:tcBorders>
              <w:top w:val="single" w:sz="4" w:space="0" w:color="BFBFBF" w:themeColor="accent2"/>
              <w:bottom w:val="single" w:sz="4" w:space="0" w:color="auto"/>
            </w:tcBorders>
            <w:shd w:val="clear" w:color="auto" w:fill="E7E6E6" w:themeFill="background2"/>
            <w:hideMark/>
          </w:tcPr>
          <w:p w14:paraId="0E7B4058" w14:textId="77777777" w:rsidR="005E2BB1" w:rsidRPr="00F45F11" w:rsidRDefault="005E2BB1" w:rsidP="0093234E">
            <w:pPr>
              <w:pStyle w:val="ARtabletextright"/>
              <w:rPr>
                <w:lang w:eastAsia="en-AU"/>
              </w:rPr>
            </w:pPr>
            <w:r w:rsidRPr="00F45F11">
              <w:rPr>
                <w:lang w:eastAsia="en-AU"/>
              </w:rPr>
              <w:t>164</w:t>
            </w:r>
          </w:p>
        </w:tc>
        <w:tc>
          <w:tcPr>
            <w:tcW w:w="926" w:type="dxa"/>
            <w:tcBorders>
              <w:top w:val="single" w:sz="4" w:space="0" w:color="BFBFBF" w:themeColor="accent2"/>
              <w:bottom w:val="single" w:sz="4" w:space="0" w:color="auto"/>
            </w:tcBorders>
            <w:shd w:val="clear" w:color="auto" w:fill="E7E6E6" w:themeFill="background2"/>
            <w:hideMark/>
          </w:tcPr>
          <w:p w14:paraId="296020D3" w14:textId="77777777" w:rsidR="005E2BB1" w:rsidRPr="00F45F11" w:rsidRDefault="005E2BB1" w:rsidP="0093234E">
            <w:pPr>
              <w:pStyle w:val="ARtabletextright"/>
              <w:rPr>
                <w:lang w:eastAsia="en-AU"/>
              </w:rPr>
            </w:pPr>
            <w:r w:rsidRPr="00F45F11">
              <w:rPr>
                <w:lang w:eastAsia="en-AU"/>
              </w:rPr>
              <w:t>52</w:t>
            </w:r>
          </w:p>
        </w:tc>
        <w:tc>
          <w:tcPr>
            <w:tcW w:w="927" w:type="dxa"/>
            <w:tcBorders>
              <w:top w:val="single" w:sz="4" w:space="0" w:color="BFBFBF" w:themeColor="accent2"/>
              <w:bottom w:val="single" w:sz="4" w:space="0" w:color="auto"/>
            </w:tcBorders>
            <w:shd w:val="clear" w:color="auto" w:fill="E7E6E6" w:themeFill="background2"/>
            <w:hideMark/>
          </w:tcPr>
          <w:p w14:paraId="67D8029C" w14:textId="77777777" w:rsidR="005E2BB1" w:rsidRPr="00F45F11" w:rsidRDefault="005E2BB1" w:rsidP="0093234E">
            <w:pPr>
              <w:pStyle w:val="ARtabletextright"/>
              <w:rPr>
                <w:lang w:eastAsia="en-AU"/>
              </w:rPr>
            </w:pPr>
            <w:r w:rsidRPr="00F45F11">
              <w:rPr>
                <w:lang w:eastAsia="en-AU"/>
              </w:rPr>
              <w:t>197.7</w:t>
            </w:r>
          </w:p>
        </w:tc>
        <w:tc>
          <w:tcPr>
            <w:tcW w:w="1057" w:type="dxa"/>
            <w:tcBorders>
              <w:top w:val="single" w:sz="4" w:space="0" w:color="BFBFBF" w:themeColor="accent2"/>
              <w:bottom w:val="single" w:sz="4" w:space="0" w:color="auto"/>
            </w:tcBorders>
            <w:hideMark/>
          </w:tcPr>
          <w:p w14:paraId="64E91135" w14:textId="77777777" w:rsidR="005E2BB1" w:rsidRPr="00F45F11" w:rsidRDefault="005E2BB1" w:rsidP="0093234E">
            <w:pPr>
              <w:pStyle w:val="ARtabletextright"/>
              <w:rPr>
                <w:lang w:eastAsia="en-AU"/>
              </w:rPr>
            </w:pPr>
            <w:r w:rsidRPr="00F45F11">
              <w:rPr>
                <w:lang w:eastAsia="en-AU"/>
              </w:rPr>
              <w:t>18</w:t>
            </w:r>
          </w:p>
        </w:tc>
        <w:tc>
          <w:tcPr>
            <w:tcW w:w="927" w:type="dxa"/>
            <w:tcBorders>
              <w:top w:val="single" w:sz="4" w:space="0" w:color="BFBFBF" w:themeColor="accent2"/>
              <w:bottom w:val="single" w:sz="4" w:space="0" w:color="auto"/>
            </w:tcBorders>
            <w:hideMark/>
          </w:tcPr>
          <w:p w14:paraId="5C4605BA" w14:textId="77777777" w:rsidR="005E2BB1" w:rsidRPr="00F45F11" w:rsidRDefault="005E2BB1" w:rsidP="0093234E">
            <w:pPr>
              <w:pStyle w:val="ARtabletextright"/>
              <w:rPr>
                <w:lang w:eastAsia="en-AU"/>
              </w:rPr>
            </w:pPr>
            <w:r w:rsidRPr="00F45F11">
              <w:rPr>
                <w:lang w:eastAsia="en-AU"/>
              </w:rPr>
              <w:t>14.8</w:t>
            </w:r>
          </w:p>
        </w:tc>
      </w:tr>
      <w:tr w:rsidR="00F659C1" w:rsidRPr="00F45F11" w14:paraId="210255D7"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tcBorders>
              <w:top w:val="single" w:sz="4" w:space="0" w:color="auto"/>
            </w:tcBorders>
          </w:tcPr>
          <w:p w14:paraId="5F1BC353" w14:textId="0DA850C0" w:rsidR="00F659C1" w:rsidRPr="00F45F11" w:rsidRDefault="00F659C1" w:rsidP="00F659C1">
            <w:pPr>
              <w:pStyle w:val="ARTabletextboldcoloured"/>
              <w:rPr>
                <w:lang w:eastAsia="en-AU"/>
              </w:rPr>
            </w:pPr>
            <w:r w:rsidRPr="00F45F11">
              <w:rPr>
                <w:lang w:eastAsia="en-AU"/>
              </w:rPr>
              <w:t xml:space="preserve">Part 2: </w:t>
            </w:r>
            <w:proofErr w:type="spellStart"/>
            <w:r w:rsidRPr="00F45F11">
              <w:rPr>
                <w:lang w:eastAsia="en-AU"/>
              </w:rPr>
              <w:t>Classifi</w:t>
            </w:r>
            <w:proofErr w:type="spellEnd"/>
            <w:r>
              <w:rPr>
                <w:lang w:eastAsia="en-AU"/>
              </w:rPr>
              <w:t>-</w:t>
            </w:r>
            <w:r w:rsidRPr="00F45F11">
              <w:rPr>
                <w:lang w:eastAsia="en-AU"/>
              </w:rPr>
              <w:t>cation data</w:t>
            </w:r>
          </w:p>
        </w:tc>
        <w:tc>
          <w:tcPr>
            <w:tcW w:w="992" w:type="dxa"/>
            <w:tcBorders>
              <w:top w:val="single" w:sz="4" w:space="0" w:color="auto"/>
            </w:tcBorders>
          </w:tcPr>
          <w:p w14:paraId="47213F6A" w14:textId="77777777" w:rsidR="00F659C1" w:rsidRPr="00F45F11" w:rsidRDefault="00F659C1" w:rsidP="0093234E">
            <w:pPr>
              <w:pStyle w:val="ARtabletextright"/>
              <w:rPr>
                <w:lang w:eastAsia="en-AU"/>
              </w:rPr>
            </w:pPr>
          </w:p>
        </w:tc>
        <w:tc>
          <w:tcPr>
            <w:tcW w:w="992" w:type="dxa"/>
            <w:tcBorders>
              <w:top w:val="single" w:sz="4" w:space="0" w:color="auto"/>
            </w:tcBorders>
          </w:tcPr>
          <w:p w14:paraId="618A8D70" w14:textId="77777777" w:rsidR="00F659C1" w:rsidRPr="00F45F11" w:rsidRDefault="00F659C1" w:rsidP="0093234E">
            <w:pPr>
              <w:pStyle w:val="ARtabletextright"/>
              <w:rPr>
                <w:lang w:eastAsia="en-AU"/>
              </w:rPr>
            </w:pPr>
          </w:p>
        </w:tc>
        <w:tc>
          <w:tcPr>
            <w:tcW w:w="926" w:type="dxa"/>
            <w:tcBorders>
              <w:top w:val="single" w:sz="4" w:space="0" w:color="auto"/>
            </w:tcBorders>
          </w:tcPr>
          <w:p w14:paraId="1B60E9EA" w14:textId="77777777" w:rsidR="00F659C1" w:rsidRPr="00F45F11" w:rsidRDefault="00F659C1" w:rsidP="0093234E">
            <w:pPr>
              <w:pStyle w:val="ARtabletextright"/>
              <w:rPr>
                <w:lang w:eastAsia="en-AU"/>
              </w:rPr>
            </w:pPr>
          </w:p>
        </w:tc>
        <w:tc>
          <w:tcPr>
            <w:tcW w:w="926" w:type="dxa"/>
            <w:tcBorders>
              <w:top w:val="single" w:sz="4" w:space="0" w:color="auto"/>
            </w:tcBorders>
          </w:tcPr>
          <w:p w14:paraId="6FFA82E2" w14:textId="77777777" w:rsidR="00F659C1" w:rsidRPr="00F45F11" w:rsidRDefault="00F659C1" w:rsidP="0093234E">
            <w:pPr>
              <w:pStyle w:val="ARtabletextright"/>
              <w:rPr>
                <w:lang w:eastAsia="en-AU"/>
              </w:rPr>
            </w:pPr>
          </w:p>
        </w:tc>
        <w:tc>
          <w:tcPr>
            <w:tcW w:w="927" w:type="dxa"/>
            <w:tcBorders>
              <w:top w:val="single" w:sz="4" w:space="0" w:color="auto"/>
            </w:tcBorders>
          </w:tcPr>
          <w:p w14:paraId="787BFFE0" w14:textId="77777777" w:rsidR="00F659C1" w:rsidRPr="00F45F11" w:rsidRDefault="00F659C1" w:rsidP="0093234E">
            <w:pPr>
              <w:pStyle w:val="ARtabletextright"/>
              <w:rPr>
                <w:lang w:eastAsia="en-AU"/>
              </w:rPr>
            </w:pPr>
          </w:p>
        </w:tc>
        <w:tc>
          <w:tcPr>
            <w:tcW w:w="1057" w:type="dxa"/>
            <w:tcBorders>
              <w:top w:val="single" w:sz="4" w:space="0" w:color="auto"/>
            </w:tcBorders>
          </w:tcPr>
          <w:p w14:paraId="4814243E" w14:textId="77777777" w:rsidR="00F659C1" w:rsidRPr="00F45F11" w:rsidRDefault="00F659C1" w:rsidP="0093234E">
            <w:pPr>
              <w:pStyle w:val="ARtabletextright"/>
              <w:rPr>
                <w:lang w:eastAsia="en-AU"/>
              </w:rPr>
            </w:pPr>
          </w:p>
        </w:tc>
        <w:tc>
          <w:tcPr>
            <w:tcW w:w="927" w:type="dxa"/>
            <w:tcBorders>
              <w:top w:val="single" w:sz="4" w:space="0" w:color="auto"/>
            </w:tcBorders>
          </w:tcPr>
          <w:p w14:paraId="47BF3FB5" w14:textId="77777777" w:rsidR="00F659C1" w:rsidRPr="00F45F11" w:rsidRDefault="00F659C1" w:rsidP="0093234E">
            <w:pPr>
              <w:pStyle w:val="ARtabletextright"/>
              <w:rPr>
                <w:lang w:eastAsia="en-AU"/>
              </w:rPr>
            </w:pPr>
          </w:p>
        </w:tc>
        <w:tc>
          <w:tcPr>
            <w:tcW w:w="1057" w:type="dxa"/>
            <w:tcBorders>
              <w:top w:val="single" w:sz="4" w:space="0" w:color="auto"/>
            </w:tcBorders>
          </w:tcPr>
          <w:p w14:paraId="0EFBCCC9" w14:textId="77777777" w:rsidR="00F659C1" w:rsidRPr="00F45F11" w:rsidRDefault="00F659C1" w:rsidP="0093234E">
            <w:pPr>
              <w:pStyle w:val="ARtabletextright"/>
              <w:rPr>
                <w:lang w:eastAsia="en-AU"/>
              </w:rPr>
            </w:pPr>
          </w:p>
        </w:tc>
        <w:tc>
          <w:tcPr>
            <w:tcW w:w="927" w:type="dxa"/>
            <w:tcBorders>
              <w:top w:val="single" w:sz="4" w:space="0" w:color="auto"/>
            </w:tcBorders>
          </w:tcPr>
          <w:p w14:paraId="6CEC002D" w14:textId="77777777" w:rsidR="00F659C1" w:rsidRPr="00F45F11" w:rsidRDefault="00F659C1" w:rsidP="0093234E">
            <w:pPr>
              <w:pStyle w:val="ARtabletextright"/>
              <w:rPr>
                <w:lang w:eastAsia="en-AU"/>
              </w:rPr>
            </w:pPr>
          </w:p>
        </w:tc>
        <w:tc>
          <w:tcPr>
            <w:tcW w:w="926" w:type="dxa"/>
            <w:tcBorders>
              <w:top w:val="single" w:sz="4" w:space="0" w:color="auto"/>
            </w:tcBorders>
          </w:tcPr>
          <w:p w14:paraId="34CFB14A" w14:textId="77777777" w:rsidR="00F659C1" w:rsidRPr="00F45F11" w:rsidRDefault="00F659C1" w:rsidP="0093234E">
            <w:pPr>
              <w:pStyle w:val="ARtabletextright"/>
              <w:rPr>
                <w:lang w:eastAsia="en-AU"/>
              </w:rPr>
            </w:pPr>
          </w:p>
        </w:tc>
        <w:tc>
          <w:tcPr>
            <w:tcW w:w="926" w:type="dxa"/>
            <w:tcBorders>
              <w:top w:val="single" w:sz="4" w:space="0" w:color="auto"/>
            </w:tcBorders>
          </w:tcPr>
          <w:p w14:paraId="1ED12FF0" w14:textId="77777777" w:rsidR="00F659C1" w:rsidRPr="00F45F11" w:rsidRDefault="00F659C1" w:rsidP="0093234E">
            <w:pPr>
              <w:pStyle w:val="ARtabletextright"/>
              <w:rPr>
                <w:lang w:eastAsia="en-AU"/>
              </w:rPr>
            </w:pPr>
          </w:p>
        </w:tc>
        <w:tc>
          <w:tcPr>
            <w:tcW w:w="927" w:type="dxa"/>
            <w:tcBorders>
              <w:top w:val="single" w:sz="4" w:space="0" w:color="auto"/>
            </w:tcBorders>
          </w:tcPr>
          <w:p w14:paraId="5A28CBAC" w14:textId="77777777" w:rsidR="00F659C1" w:rsidRPr="00F45F11" w:rsidRDefault="00F659C1" w:rsidP="0093234E">
            <w:pPr>
              <w:pStyle w:val="ARtabletextright"/>
              <w:rPr>
                <w:lang w:eastAsia="en-AU"/>
              </w:rPr>
            </w:pPr>
          </w:p>
        </w:tc>
        <w:tc>
          <w:tcPr>
            <w:tcW w:w="1057" w:type="dxa"/>
            <w:tcBorders>
              <w:top w:val="single" w:sz="4" w:space="0" w:color="auto"/>
            </w:tcBorders>
          </w:tcPr>
          <w:p w14:paraId="6A1A7C3E" w14:textId="77777777" w:rsidR="00F659C1" w:rsidRPr="00F45F11" w:rsidRDefault="00F659C1" w:rsidP="0093234E">
            <w:pPr>
              <w:pStyle w:val="ARtabletextright"/>
              <w:rPr>
                <w:lang w:eastAsia="en-AU"/>
              </w:rPr>
            </w:pPr>
          </w:p>
        </w:tc>
        <w:tc>
          <w:tcPr>
            <w:tcW w:w="927" w:type="dxa"/>
            <w:tcBorders>
              <w:top w:val="single" w:sz="4" w:space="0" w:color="auto"/>
            </w:tcBorders>
          </w:tcPr>
          <w:p w14:paraId="151D52E8" w14:textId="77777777" w:rsidR="00F659C1" w:rsidRPr="00F45F11" w:rsidRDefault="00F659C1" w:rsidP="0093234E">
            <w:pPr>
              <w:pStyle w:val="ARtabletextright"/>
              <w:rPr>
                <w:lang w:eastAsia="en-AU"/>
              </w:rPr>
            </w:pPr>
          </w:p>
        </w:tc>
      </w:tr>
      <w:tr w:rsidR="00F659C1" w:rsidRPr="00F45F11" w14:paraId="6FC1B6BA"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tcBorders>
              <w:top w:val="single" w:sz="4" w:space="0" w:color="auto"/>
            </w:tcBorders>
          </w:tcPr>
          <w:p w14:paraId="3BFDF67F" w14:textId="773D21E0" w:rsidR="00F659C1" w:rsidRPr="00F45F11" w:rsidRDefault="00F659C1" w:rsidP="00F659C1">
            <w:pPr>
              <w:pStyle w:val="ARTabletextboldcoloured"/>
              <w:rPr>
                <w:lang w:eastAsia="en-AU"/>
              </w:rPr>
            </w:pPr>
            <w:r w:rsidRPr="00F45F11">
              <w:rPr>
                <w:lang w:eastAsia="en-AU"/>
              </w:rPr>
              <w:t>VPS 1–6 grades</w:t>
            </w:r>
          </w:p>
        </w:tc>
        <w:tc>
          <w:tcPr>
            <w:tcW w:w="992" w:type="dxa"/>
            <w:tcBorders>
              <w:top w:val="single" w:sz="4" w:space="0" w:color="auto"/>
            </w:tcBorders>
          </w:tcPr>
          <w:p w14:paraId="18E62B60" w14:textId="77777777" w:rsidR="00F659C1" w:rsidRPr="00F45F11" w:rsidRDefault="00F659C1" w:rsidP="0093234E">
            <w:pPr>
              <w:pStyle w:val="ARtabletextright"/>
              <w:rPr>
                <w:lang w:eastAsia="en-AU"/>
              </w:rPr>
            </w:pPr>
          </w:p>
        </w:tc>
        <w:tc>
          <w:tcPr>
            <w:tcW w:w="992" w:type="dxa"/>
            <w:tcBorders>
              <w:top w:val="single" w:sz="4" w:space="0" w:color="auto"/>
            </w:tcBorders>
          </w:tcPr>
          <w:p w14:paraId="511AAF0E" w14:textId="77777777" w:rsidR="00F659C1" w:rsidRPr="00F45F11" w:rsidRDefault="00F659C1" w:rsidP="0093234E">
            <w:pPr>
              <w:pStyle w:val="ARtabletextright"/>
              <w:rPr>
                <w:lang w:eastAsia="en-AU"/>
              </w:rPr>
            </w:pPr>
          </w:p>
        </w:tc>
        <w:tc>
          <w:tcPr>
            <w:tcW w:w="926" w:type="dxa"/>
            <w:tcBorders>
              <w:top w:val="single" w:sz="4" w:space="0" w:color="auto"/>
            </w:tcBorders>
          </w:tcPr>
          <w:p w14:paraId="07BA9A3C" w14:textId="77777777" w:rsidR="00F659C1" w:rsidRPr="00F45F11" w:rsidRDefault="00F659C1" w:rsidP="0093234E">
            <w:pPr>
              <w:pStyle w:val="ARtabletextright"/>
              <w:rPr>
                <w:lang w:eastAsia="en-AU"/>
              </w:rPr>
            </w:pPr>
          </w:p>
        </w:tc>
        <w:tc>
          <w:tcPr>
            <w:tcW w:w="926" w:type="dxa"/>
            <w:tcBorders>
              <w:top w:val="single" w:sz="4" w:space="0" w:color="auto"/>
            </w:tcBorders>
          </w:tcPr>
          <w:p w14:paraId="1CBBA3BA" w14:textId="77777777" w:rsidR="00F659C1" w:rsidRPr="00F45F11" w:rsidRDefault="00F659C1" w:rsidP="0093234E">
            <w:pPr>
              <w:pStyle w:val="ARtabletextright"/>
              <w:rPr>
                <w:lang w:eastAsia="en-AU"/>
              </w:rPr>
            </w:pPr>
          </w:p>
        </w:tc>
        <w:tc>
          <w:tcPr>
            <w:tcW w:w="927" w:type="dxa"/>
            <w:tcBorders>
              <w:top w:val="single" w:sz="4" w:space="0" w:color="auto"/>
            </w:tcBorders>
          </w:tcPr>
          <w:p w14:paraId="6584C553" w14:textId="77777777" w:rsidR="00F659C1" w:rsidRPr="00F45F11" w:rsidRDefault="00F659C1" w:rsidP="0093234E">
            <w:pPr>
              <w:pStyle w:val="ARtabletextright"/>
              <w:rPr>
                <w:lang w:eastAsia="en-AU"/>
              </w:rPr>
            </w:pPr>
          </w:p>
        </w:tc>
        <w:tc>
          <w:tcPr>
            <w:tcW w:w="1057" w:type="dxa"/>
            <w:tcBorders>
              <w:top w:val="single" w:sz="4" w:space="0" w:color="auto"/>
            </w:tcBorders>
          </w:tcPr>
          <w:p w14:paraId="3192E82E" w14:textId="77777777" w:rsidR="00F659C1" w:rsidRPr="00F45F11" w:rsidRDefault="00F659C1" w:rsidP="0093234E">
            <w:pPr>
              <w:pStyle w:val="ARtabletextright"/>
              <w:rPr>
                <w:lang w:eastAsia="en-AU"/>
              </w:rPr>
            </w:pPr>
          </w:p>
        </w:tc>
        <w:tc>
          <w:tcPr>
            <w:tcW w:w="927" w:type="dxa"/>
            <w:tcBorders>
              <w:top w:val="single" w:sz="4" w:space="0" w:color="auto"/>
            </w:tcBorders>
          </w:tcPr>
          <w:p w14:paraId="6BE1FD2E" w14:textId="77777777" w:rsidR="00F659C1" w:rsidRPr="00F45F11" w:rsidRDefault="00F659C1" w:rsidP="0093234E">
            <w:pPr>
              <w:pStyle w:val="ARtabletextright"/>
              <w:rPr>
                <w:lang w:eastAsia="en-AU"/>
              </w:rPr>
            </w:pPr>
          </w:p>
        </w:tc>
        <w:tc>
          <w:tcPr>
            <w:tcW w:w="1057" w:type="dxa"/>
            <w:tcBorders>
              <w:top w:val="single" w:sz="4" w:space="0" w:color="auto"/>
            </w:tcBorders>
          </w:tcPr>
          <w:p w14:paraId="57BAD10F" w14:textId="77777777" w:rsidR="00F659C1" w:rsidRPr="00F45F11" w:rsidRDefault="00F659C1" w:rsidP="0093234E">
            <w:pPr>
              <w:pStyle w:val="ARtabletextright"/>
              <w:rPr>
                <w:lang w:eastAsia="en-AU"/>
              </w:rPr>
            </w:pPr>
          </w:p>
        </w:tc>
        <w:tc>
          <w:tcPr>
            <w:tcW w:w="927" w:type="dxa"/>
            <w:tcBorders>
              <w:top w:val="single" w:sz="4" w:space="0" w:color="auto"/>
            </w:tcBorders>
          </w:tcPr>
          <w:p w14:paraId="34F31653" w14:textId="77777777" w:rsidR="00F659C1" w:rsidRPr="00F45F11" w:rsidRDefault="00F659C1" w:rsidP="0093234E">
            <w:pPr>
              <w:pStyle w:val="ARtabletextright"/>
              <w:rPr>
                <w:lang w:eastAsia="en-AU"/>
              </w:rPr>
            </w:pPr>
          </w:p>
        </w:tc>
        <w:tc>
          <w:tcPr>
            <w:tcW w:w="926" w:type="dxa"/>
            <w:tcBorders>
              <w:top w:val="single" w:sz="4" w:space="0" w:color="auto"/>
            </w:tcBorders>
          </w:tcPr>
          <w:p w14:paraId="6CAC3AE0" w14:textId="77777777" w:rsidR="00F659C1" w:rsidRPr="00F45F11" w:rsidRDefault="00F659C1" w:rsidP="0093234E">
            <w:pPr>
              <w:pStyle w:val="ARtabletextright"/>
              <w:rPr>
                <w:lang w:eastAsia="en-AU"/>
              </w:rPr>
            </w:pPr>
          </w:p>
        </w:tc>
        <w:tc>
          <w:tcPr>
            <w:tcW w:w="926" w:type="dxa"/>
            <w:tcBorders>
              <w:top w:val="single" w:sz="4" w:space="0" w:color="auto"/>
            </w:tcBorders>
          </w:tcPr>
          <w:p w14:paraId="265BA394" w14:textId="77777777" w:rsidR="00F659C1" w:rsidRPr="00F45F11" w:rsidRDefault="00F659C1" w:rsidP="0093234E">
            <w:pPr>
              <w:pStyle w:val="ARtabletextright"/>
              <w:rPr>
                <w:lang w:eastAsia="en-AU"/>
              </w:rPr>
            </w:pPr>
          </w:p>
        </w:tc>
        <w:tc>
          <w:tcPr>
            <w:tcW w:w="927" w:type="dxa"/>
            <w:tcBorders>
              <w:top w:val="single" w:sz="4" w:space="0" w:color="auto"/>
            </w:tcBorders>
          </w:tcPr>
          <w:p w14:paraId="249F3684" w14:textId="77777777" w:rsidR="00F659C1" w:rsidRPr="00F45F11" w:rsidRDefault="00F659C1" w:rsidP="0093234E">
            <w:pPr>
              <w:pStyle w:val="ARtabletextright"/>
              <w:rPr>
                <w:lang w:eastAsia="en-AU"/>
              </w:rPr>
            </w:pPr>
          </w:p>
        </w:tc>
        <w:tc>
          <w:tcPr>
            <w:tcW w:w="1057" w:type="dxa"/>
            <w:tcBorders>
              <w:top w:val="single" w:sz="4" w:space="0" w:color="auto"/>
            </w:tcBorders>
          </w:tcPr>
          <w:p w14:paraId="0AFB1FF4" w14:textId="77777777" w:rsidR="00F659C1" w:rsidRPr="00F45F11" w:rsidRDefault="00F659C1" w:rsidP="0093234E">
            <w:pPr>
              <w:pStyle w:val="ARtabletextright"/>
              <w:rPr>
                <w:lang w:eastAsia="en-AU"/>
              </w:rPr>
            </w:pPr>
          </w:p>
        </w:tc>
        <w:tc>
          <w:tcPr>
            <w:tcW w:w="927" w:type="dxa"/>
            <w:tcBorders>
              <w:top w:val="single" w:sz="4" w:space="0" w:color="auto"/>
            </w:tcBorders>
          </w:tcPr>
          <w:p w14:paraId="5F057761" w14:textId="77777777" w:rsidR="00F659C1" w:rsidRPr="00F45F11" w:rsidRDefault="00F659C1" w:rsidP="0093234E">
            <w:pPr>
              <w:pStyle w:val="ARtabletextright"/>
              <w:rPr>
                <w:lang w:eastAsia="en-AU"/>
              </w:rPr>
            </w:pPr>
          </w:p>
        </w:tc>
      </w:tr>
      <w:tr w:rsidR="005E2BB1" w:rsidRPr="00F45F11" w14:paraId="12EF7E12"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tcBorders>
              <w:top w:val="single" w:sz="4" w:space="0" w:color="auto"/>
            </w:tcBorders>
            <w:hideMark/>
          </w:tcPr>
          <w:p w14:paraId="0D745EB4" w14:textId="77777777" w:rsidR="005E2BB1" w:rsidRPr="00F45F11" w:rsidRDefault="005E2BB1" w:rsidP="0093234E">
            <w:pPr>
              <w:pStyle w:val="ARTabletext"/>
              <w:rPr>
                <w:lang w:eastAsia="en-AU"/>
              </w:rPr>
            </w:pPr>
            <w:r w:rsidRPr="00F45F11">
              <w:rPr>
                <w:lang w:eastAsia="en-AU"/>
              </w:rPr>
              <w:t>VPS 1</w:t>
            </w:r>
          </w:p>
        </w:tc>
        <w:tc>
          <w:tcPr>
            <w:tcW w:w="992" w:type="dxa"/>
            <w:tcBorders>
              <w:top w:val="single" w:sz="4" w:space="0" w:color="auto"/>
            </w:tcBorders>
            <w:shd w:val="clear" w:color="auto" w:fill="E7E6E6" w:themeFill="background2"/>
            <w:hideMark/>
          </w:tcPr>
          <w:p w14:paraId="4461DF61" w14:textId="77777777" w:rsidR="005E2BB1" w:rsidRPr="00F45F11" w:rsidRDefault="005E2BB1" w:rsidP="0093234E">
            <w:pPr>
              <w:pStyle w:val="ARtabletextright"/>
              <w:rPr>
                <w:lang w:eastAsia="en-AU"/>
              </w:rPr>
            </w:pPr>
            <w:r w:rsidRPr="00F45F11">
              <w:rPr>
                <w:lang w:eastAsia="en-AU"/>
              </w:rPr>
              <w:t>2</w:t>
            </w:r>
          </w:p>
        </w:tc>
        <w:tc>
          <w:tcPr>
            <w:tcW w:w="992" w:type="dxa"/>
            <w:tcBorders>
              <w:top w:val="single" w:sz="4" w:space="0" w:color="auto"/>
            </w:tcBorders>
            <w:shd w:val="clear" w:color="auto" w:fill="E7E6E6" w:themeFill="background2"/>
            <w:hideMark/>
          </w:tcPr>
          <w:p w14:paraId="79C36AB8" w14:textId="77777777" w:rsidR="005E2BB1" w:rsidRPr="00F45F11" w:rsidRDefault="005E2BB1" w:rsidP="0093234E">
            <w:pPr>
              <w:pStyle w:val="ARtabletextright"/>
              <w:rPr>
                <w:lang w:eastAsia="en-AU"/>
              </w:rPr>
            </w:pPr>
            <w:r w:rsidRPr="00F45F11">
              <w:rPr>
                <w:lang w:eastAsia="en-AU"/>
              </w:rPr>
              <w:t>2.0</w:t>
            </w:r>
          </w:p>
        </w:tc>
        <w:tc>
          <w:tcPr>
            <w:tcW w:w="926" w:type="dxa"/>
            <w:tcBorders>
              <w:top w:val="single" w:sz="4" w:space="0" w:color="auto"/>
            </w:tcBorders>
            <w:hideMark/>
          </w:tcPr>
          <w:p w14:paraId="58E216EB" w14:textId="77777777" w:rsidR="005E2BB1" w:rsidRPr="00F45F11" w:rsidRDefault="005E2BB1" w:rsidP="0093234E">
            <w:pPr>
              <w:pStyle w:val="ARtabletextright"/>
              <w:rPr>
                <w:lang w:eastAsia="en-AU"/>
              </w:rPr>
            </w:pPr>
            <w:r w:rsidRPr="00F45F11">
              <w:rPr>
                <w:lang w:eastAsia="en-AU"/>
              </w:rPr>
              <w:t>0</w:t>
            </w:r>
          </w:p>
        </w:tc>
        <w:tc>
          <w:tcPr>
            <w:tcW w:w="926" w:type="dxa"/>
            <w:tcBorders>
              <w:top w:val="single" w:sz="4" w:space="0" w:color="auto"/>
            </w:tcBorders>
            <w:hideMark/>
          </w:tcPr>
          <w:p w14:paraId="74961BCC" w14:textId="77777777" w:rsidR="005E2BB1" w:rsidRPr="00F45F11" w:rsidRDefault="005E2BB1" w:rsidP="0093234E">
            <w:pPr>
              <w:pStyle w:val="ARtabletextright"/>
              <w:rPr>
                <w:lang w:eastAsia="en-AU"/>
              </w:rPr>
            </w:pPr>
            <w:r w:rsidRPr="00F45F11">
              <w:rPr>
                <w:lang w:eastAsia="en-AU"/>
              </w:rPr>
              <w:t>0</w:t>
            </w:r>
          </w:p>
        </w:tc>
        <w:tc>
          <w:tcPr>
            <w:tcW w:w="927" w:type="dxa"/>
            <w:tcBorders>
              <w:top w:val="single" w:sz="4" w:space="0" w:color="auto"/>
            </w:tcBorders>
            <w:hideMark/>
          </w:tcPr>
          <w:p w14:paraId="3DB54690" w14:textId="77777777" w:rsidR="005E2BB1" w:rsidRPr="00F45F11" w:rsidRDefault="005E2BB1" w:rsidP="0093234E">
            <w:pPr>
              <w:pStyle w:val="ARtabletextright"/>
              <w:rPr>
                <w:lang w:eastAsia="en-AU"/>
              </w:rPr>
            </w:pPr>
            <w:r w:rsidRPr="00F45F11">
              <w:rPr>
                <w:lang w:eastAsia="en-AU"/>
              </w:rPr>
              <w:t>0.0</w:t>
            </w:r>
          </w:p>
        </w:tc>
        <w:tc>
          <w:tcPr>
            <w:tcW w:w="1057" w:type="dxa"/>
            <w:tcBorders>
              <w:top w:val="single" w:sz="4" w:space="0" w:color="auto"/>
            </w:tcBorders>
            <w:shd w:val="clear" w:color="auto" w:fill="E7E6E6" w:themeFill="background2"/>
            <w:hideMark/>
          </w:tcPr>
          <w:p w14:paraId="6E60DA0D" w14:textId="77777777" w:rsidR="005E2BB1" w:rsidRPr="00F45F11" w:rsidRDefault="005E2BB1" w:rsidP="0093234E">
            <w:pPr>
              <w:pStyle w:val="ARtabletextright"/>
              <w:rPr>
                <w:lang w:eastAsia="en-AU"/>
              </w:rPr>
            </w:pPr>
            <w:r w:rsidRPr="00F45F11">
              <w:rPr>
                <w:lang w:eastAsia="en-AU"/>
              </w:rPr>
              <w:t>2</w:t>
            </w:r>
          </w:p>
        </w:tc>
        <w:tc>
          <w:tcPr>
            <w:tcW w:w="927" w:type="dxa"/>
            <w:tcBorders>
              <w:top w:val="single" w:sz="4" w:space="0" w:color="auto"/>
            </w:tcBorders>
            <w:shd w:val="clear" w:color="auto" w:fill="E7E6E6" w:themeFill="background2"/>
            <w:hideMark/>
          </w:tcPr>
          <w:p w14:paraId="149A1977" w14:textId="77777777" w:rsidR="005E2BB1" w:rsidRPr="00F45F11" w:rsidRDefault="005E2BB1" w:rsidP="0093234E">
            <w:pPr>
              <w:pStyle w:val="ARtabletextright"/>
              <w:rPr>
                <w:lang w:eastAsia="en-AU"/>
              </w:rPr>
            </w:pPr>
            <w:r w:rsidRPr="00F45F11">
              <w:rPr>
                <w:lang w:eastAsia="en-AU"/>
              </w:rPr>
              <w:t>2.0</w:t>
            </w:r>
          </w:p>
        </w:tc>
        <w:tc>
          <w:tcPr>
            <w:tcW w:w="1057" w:type="dxa"/>
            <w:tcBorders>
              <w:top w:val="single" w:sz="4" w:space="0" w:color="auto"/>
            </w:tcBorders>
            <w:hideMark/>
          </w:tcPr>
          <w:p w14:paraId="76CF9DB4" w14:textId="77777777" w:rsidR="005E2BB1" w:rsidRPr="00F45F11" w:rsidRDefault="005E2BB1" w:rsidP="0093234E">
            <w:pPr>
              <w:pStyle w:val="ARtabletextright"/>
              <w:rPr>
                <w:lang w:eastAsia="en-AU"/>
              </w:rPr>
            </w:pPr>
            <w:r w:rsidRPr="00F45F11">
              <w:rPr>
                <w:lang w:eastAsia="en-AU"/>
              </w:rPr>
              <w:t>19</w:t>
            </w:r>
          </w:p>
        </w:tc>
        <w:tc>
          <w:tcPr>
            <w:tcW w:w="927" w:type="dxa"/>
            <w:tcBorders>
              <w:top w:val="single" w:sz="4" w:space="0" w:color="auto"/>
            </w:tcBorders>
            <w:hideMark/>
          </w:tcPr>
          <w:p w14:paraId="15E1FA6E" w14:textId="77777777" w:rsidR="005E2BB1" w:rsidRPr="00F45F11" w:rsidRDefault="005E2BB1" w:rsidP="0093234E">
            <w:pPr>
              <w:pStyle w:val="ARtabletextright"/>
              <w:rPr>
                <w:lang w:eastAsia="en-AU"/>
              </w:rPr>
            </w:pPr>
            <w:r w:rsidRPr="00F45F11">
              <w:rPr>
                <w:lang w:eastAsia="en-AU"/>
              </w:rPr>
              <w:t>19.0</w:t>
            </w:r>
          </w:p>
        </w:tc>
        <w:tc>
          <w:tcPr>
            <w:tcW w:w="926" w:type="dxa"/>
            <w:tcBorders>
              <w:top w:val="single" w:sz="4" w:space="0" w:color="auto"/>
            </w:tcBorders>
            <w:shd w:val="clear" w:color="auto" w:fill="E7E6E6" w:themeFill="background2"/>
            <w:hideMark/>
          </w:tcPr>
          <w:p w14:paraId="19510124" w14:textId="77777777" w:rsidR="005E2BB1" w:rsidRPr="00F45F11" w:rsidRDefault="005E2BB1" w:rsidP="0093234E">
            <w:pPr>
              <w:pStyle w:val="ARtabletextright"/>
              <w:rPr>
                <w:lang w:eastAsia="en-AU"/>
              </w:rPr>
            </w:pPr>
            <w:r w:rsidRPr="00F45F11">
              <w:rPr>
                <w:lang w:eastAsia="en-AU"/>
              </w:rPr>
              <w:t>1</w:t>
            </w:r>
          </w:p>
        </w:tc>
        <w:tc>
          <w:tcPr>
            <w:tcW w:w="926" w:type="dxa"/>
            <w:tcBorders>
              <w:top w:val="single" w:sz="4" w:space="0" w:color="auto"/>
            </w:tcBorders>
            <w:shd w:val="clear" w:color="auto" w:fill="E7E6E6" w:themeFill="background2"/>
            <w:hideMark/>
          </w:tcPr>
          <w:p w14:paraId="53A577E0" w14:textId="77777777" w:rsidR="005E2BB1" w:rsidRPr="00F45F11" w:rsidRDefault="005E2BB1" w:rsidP="0093234E">
            <w:pPr>
              <w:pStyle w:val="ARtabletextright"/>
              <w:rPr>
                <w:lang w:eastAsia="en-AU"/>
              </w:rPr>
            </w:pPr>
            <w:r w:rsidRPr="00F45F11">
              <w:rPr>
                <w:lang w:eastAsia="en-AU"/>
              </w:rPr>
              <w:t>0</w:t>
            </w:r>
          </w:p>
        </w:tc>
        <w:tc>
          <w:tcPr>
            <w:tcW w:w="927" w:type="dxa"/>
            <w:tcBorders>
              <w:top w:val="single" w:sz="4" w:space="0" w:color="auto"/>
            </w:tcBorders>
            <w:shd w:val="clear" w:color="auto" w:fill="E7E6E6" w:themeFill="background2"/>
            <w:hideMark/>
          </w:tcPr>
          <w:p w14:paraId="0DF4B641" w14:textId="77777777" w:rsidR="005E2BB1" w:rsidRPr="00F45F11" w:rsidRDefault="005E2BB1" w:rsidP="0093234E">
            <w:pPr>
              <w:pStyle w:val="ARtabletextright"/>
              <w:rPr>
                <w:lang w:eastAsia="en-AU"/>
              </w:rPr>
            </w:pPr>
            <w:r w:rsidRPr="00F45F11">
              <w:rPr>
                <w:lang w:eastAsia="en-AU"/>
              </w:rPr>
              <w:t>1.0</w:t>
            </w:r>
          </w:p>
        </w:tc>
        <w:tc>
          <w:tcPr>
            <w:tcW w:w="1057" w:type="dxa"/>
            <w:tcBorders>
              <w:top w:val="single" w:sz="4" w:space="0" w:color="auto"/>
            </w:tcBorders>
            <w:hideMark/>
          </w:tcPr>
          <w:p w14:paraId="000081FB" w14:textId="77777777" w:rsidR="005E2BB1" w:rsidRPr="00F45F11" w:rsidRDefault="005E2BB1" w:rsidP="0093234E">
            <w:pPr>
              <w:pStyle w:val="ARtabletextright"/>
              <w:rPr>
                <w:lang w:eastAsia="en-AU"/>
              </w:rPr>
            </w:pPr>
            <w:r w:rsidRPr="00F45F11">
              <w:rPr>
                <w:lang w:eastAsia="en-AU"/>
              </w:rPr>
              <w:t>18</w:t>
            </w:r>
          </w:p>
        </w:tc>
        <w:tc>
          <w:tcPr>
            <w:tcW w:w="927" w:type="dxa"/>
            <w:tcBorders>
              <w:top w:val="single" w:sz="4" w:space="0" w:color="auto"/>
            </w:tcBorders>
            <w:hideMark/>
          </w:tcPr>
          <w:p w14:paraId="2E872DA9" w14:textId="77777777" w:rsidR="005E2BB1" w:rsidRPr="00F45F11" w:rsidRDefault="005E2BB1" w:rsidP="0093234E">
            <w:pPr>
              <w:pStyle w:val="ARtabletextright"/>
              <w:rPr>
                <w:lang w:eastAsia="en-AU"/>
              </w:rPr>
            </w:pPr>
            <w:r w:rsidRPr="00F45F11">
              <w:rPr>
                <w:lang w:eastAsia="en-AU"/>
              </w:rPr>
              <w:t>18.0</w:t>
            </w:r>
          </w:p>
        </w:tc>
      </w:tr>
      <w:tr w:rsidR="005E2BB1" w:rsidRPr="00F45F11" w14:paraId="6A806214"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hideMark/>
          </w:tcPr>
          <w:p w14:paraId="08C4395B" w14:textId="77777777" w:rsidR="005E2BB1" w:rsidRPr="00F45F11" w:rsidRDefault="005E2BB1" w:rsidP="0093234E">
            <w:pPr>
              <w:pStyle w:val="ARTabletext"/>
              <w:rPr>
                <w:lang w:eastAsia="en-AU"/>
              </w:rPr>
            </w:pPr>
            <w:r w:rsidRPr="00F45F11">
              <w:rPr>
                <w:lang w:eastAsia="en-AU"/>
              </w:rPr>
              <w:t>VPS 2</w:t>
            </w:r>
          </w:p>
        </w:tc>
        <w:tc>
          <w:tcPr>
            <w:tcW w:w="992" w:type="dxa"/>
            <w:shd w:val="clear" w:color="auto" w:fill="E7E6E6" w:themeFill="background2"/>
            <w:hideMark/>
          </w:tcPr>
          <w:p w14:paraId="6AD9101A" w14:textId="77777777" w:rsidR="005E2BB1" w:rsidRPr="00F45F11" w:rsidRDefault="005E2BB1" w:rsidP="0093234E">
            <w:pPr>
              <w:pStyle w:val="ARtabletextright"/>
              <w:rPr>
                <w:lang w:eastAsia="en-AU"/>
              </w:rPr>
            </w:pPr>
            <w:r w:rsidRPr="00F45F11">
              <w:rPr>
                <w:lang w:eastAsia="en-AU"/>
              </w:rPr>
              <w:t>261</w:t>
            </w:r>
          </w:p>
        </w:tc>
        <w:tc>
          <w:tcPr>
            <w:tcW w:w="992" w:type="dxa"/>
            <w:shd w:val="clear" w:color="auto" w:fill="E7E6E6" w:themeFill="background2"/>
            <w:hideMark/>
          </w:tcPr>
          <w:p w14:paraId="244BB08E" w14:textId="77777777" w:rsidR="005E2BB1" w:rsidRPr="00F45F11" w:rsidRDefault="005E2BB1" w:rsidP="0093234E">
            <w:pPr>
              <w:pStyle w:val="ARtabletextright"/>
              <w:rPr>
                <w:lang w:eastAsia="en-AU"/>
              </w:rPr>
            </w:pPr>
            <w:r w:rsidRPr="00F45F11">
              <w:rPr>
                <w:lang w:eastAsia="en-AU"/>
              </w:rPr>
              <w:t>219.4</w:t>
            </w:r>
          </w:p>
        </w:tc>
        <w:tc>
          <w:tcPr>
            <w:tcW w:w="926" w:type="dxa"/>
            <w:hideMark/>
          </w:tcPr>
          <w:p w14:paraId="06C0FBD9" w14:textId="77777777" w:rsidR="005E2BB1" w:rsidRPr="00F45F11" w:rsidRDefault="005E2BB1" w:rsidP="0093234E">
            <w:pPr>
              <w:pStyle w:val="ARtabletextright"/>
              <w:rPr>
                <w:lang w:eastAsia="en-AU"/>
              </w:rPr>
            </w:pPr>
            <w:r w:rsidRPr="00F45F11">
              <w:rPr>
                <w:lang w:eastAsia="en-AU"/>
              </w:rPr>
              <w:t>141</w:t>
            </w:r>
          </w:p>
        </w:tc>
        <w:tc>
          <w:tcPr>
            <w:tcW w:w="926" w:type="dxa"/>
            <w:hideMark/>
          </w:tcPr>
          <w:p w14:paraId="348A7984" w14:textId="77777777" w:rsidR="005E2BB1" w:rsidRPr="00F45F11" w:rsidRDefault="005E2BB1" w:rsidP="0093234E">
            <w:pPr>
              <w:pStyle w:val="ARtabletextright"/>
              <w:rPr>
                <w:lang w:eastAsia="en-AU"/>
              </w:rPr>
            </w:pPr>
            <w:r w:rsidRPr="00F45F11">
              <w:rPr>
                <w:lang w:eastAsia="en-AU"/>
              </w:rPr>
              <w:t>56</w:t>
            </w:r>
          </w:p>
        </w:tc>
        <w:tc>
          <w:tcPr>
            <w:tcW w:w="927" w:type="dxa"/>
            <w:hideMark/>
          </w:tcPr>
          <w:p w14:paraId="3F6493F2" w14:textId="77777777" w:rsidR="005E2BB1" w:rsidRPr="00F45F11" w:rsidRDefault="005E2BB1" w:rsidP="0093234E">
            <w:pPr>
              <w:pStyle w:val="ARtabletextright"/>
              <w:rPr>
                <w:lang w:eastAsia="en-AU"/>
              </w:rPr>
            </w:pPr>
            <w:r w:rsidRPr="00F45F11">
              <w:rPr>
                <w:lang w:eastAsia="en-AU"/>
              </w:rPr>
              <w:t>176.8</w:t>
            </w:r>
          </w:p>
        </w:tc>
        <w:tc>
          <w:tcPr>
            <w:tcW w:w="1057" w:type="dxa"/>
            <w:shd w:val="clear" w:color="auto" w:fill="E7E6E6" w:themeFill="background2"/>
            <w:hideMark/>
          </w:tcPr>
          <w:p w14:paraId="108C8056" w14:textId="77777777" w:rsidR="005E2BB1" w:rsidRPr="00F45F11" w:rsidRDefault="005E2BB1" w:rsidP="0093234E">
            <w:pPr>
              <w:pStyle w:val="ARtabletextright"/>
              <w:rPr>
                <w:lang w:eastAsia="en-AU"/>
              </w:rPr>
            </w:pPr>
            <w:r w:rsidRPr="00F45F11">
              <w:rPr>
                <w:lang w:eastAsia="en-AU"/>
              </w:rPr>
              <w:t>64</w:t>
            </w:r>
          </w:p>
        </w:tc>
        <w:tc>
          <w:tcPr>
            <w:tcW w:w="927" w:type="dxa"/>
            <w:shd w:val="clear" w:color="auto" w:fill="E7E6E6" w:themeFill="background2"/>
            <w:hideMark/>
          </w:tcPr>
          <w:p w14:paraId="7924196A" w14:textId="77777777" w:rsidR="005E2BB1" w:rsidRPr="00F45F11" w:rsidRDefault="005E2BB1" w:rsidP="0093234E">
            <w:pPr>
              <w:pStyle w:val="ARtabletextright"/>
              <w:rPr>
                <w:lang w:eastAsia="en-AU"/>
              </w:rPr>
            </w:pPr>
            <w:r w:rsidRPr="00F45F11">
              <w:rPr>
                <w:lang w:eastAsia="en-AU"/>
              </w:rPr>
              <w:t>42.6</w:t>
            </w:r>
          </w:p>
        </w:tc>
        <w:tc>
          <w:tcPr>
            <w:tcW w:w="1057" w:type="dxa"/>
            <w:hideMark/>
          </w:tcPr>
          <w:p w14:paraId="78EFDDDB" w14:textId="77777777" w:rsidR="005E2BB1" w:rsidRPr="00F45F11" w:rsidRDefault="005E2BB1" w:rsidP="0093234E">
            <w:pPr>
              <w:pStyle w:val="ARtabletextright"/>
              <w:rPr>
                <w:lang w:eastAsia="en-AU"/>
              </w:rPr>
            </w:pPr>
            <w:r w:rsidRPr="00F45F11">
              <w:rPr>
                <w:lang w:eastAsia="en-AU"/>
              </w:rPr>
              <w:t>264</w:t>
            </w:r>
          </w:p>
        </w:tc>
        <w:tc>
          <w:tcPr>
            <w:tcW w:w="927" w:type="dxa"/>
            <w:hideMark/>
          </w:tcPr>
          <w:p w14:paraId="251F1F8F" w14:textId="77777777" w:rsidR="005E2BB1" w:rsidRPr="00F45F11" w:rsidRDefault="005E2BB1" w:rsidP="0093234E">
            <w:pPr>
              <w:pStyle w:val="ARtabletextright"/>
              <w:rPr>
                <w:lang w:eastAsia="en-AU"/>
              </w:rPr>
            </w:pPr>
            <w:r w:rsidRPr="00F45F11">
              <w:rPr>
                <w:lang w:eastAsia="en-AU"/>
              </w:rPr>
              <w:t>224.4</w:t>
            </w:r>
          </w:p>
        </w:tc>
        <w:tc>
          <w:tcPr>
            <w:tcW w:w="926" w:type="dxa"/>
            <w:shd w:val="clear" w:color="auto" w:fill="E7E6E6" w:themeFill="background2"/>
            <w:hideMark/>
          </w:tcPr>
          <w:p w14:paraId="360A7450" w14:textId="77777777" w:rsidR="005E2BB1" w:rsidRPr="00F45F11" w:rsidRDefault="005E2BB1" w:rsidP="0093234E">
            <w:pPr>
              <w:pStyle w:val="ARtabletextright"/>
              <w:rPr>
                <w:lang w:eastAsia="en-AU"/>
              </w:rPr>
            </w:pPr>
            <w:r w:rsidRPr="00F45F11">
              <w:rPr>
                <w:lang w:eastAsia="en-AU"/>
              </w:rPr>
              <w:t>147</w:t>
            </w:r>
          </w:p>
        </w:tc>
        <w:tc>
          <w:tcPr>
            <w:tcW w:w="926" w:type="dxa"/>
            <w:shd w:val="clear" w:color="auto" w:fill="E7E6E6" w:themeFill="background2"/>
            <w:hideMark/>
          </w:tcPr>
          <w:p w14:paraId="4A1CDFDA" w14:textId="77777777" w:rsidR="005E2BB1" w:rsidRPr="00F45F11" w:rsidRDefault="005E2BB1" w:rsidP="0093234E">
            <w:pPr>
              <w:pStyle w:val="ARtabletextright"/>
              <w:rPr>
                <w:lang w:eastAsia="en-AU"/>
              </w:rPr>
            </w:pPr>
            <w:r w:rsidRPr="00F45F11">
              <w:rPr>
                <w:lang w:eastAsia="en-AU"/>
              </w:rPr>
              <w:t>52</w:t>
            </w:r>
          </w:p>
        </w:tc>
        <w:tc>
          <w:tcPr>
            <w:tcW w:w="927" w:type="dxa"/>
            <w:shd w:val="clear" w:color="auto" w:fill="E7E6E6" w:themeFill="background2"/>
            <w:hideMark/>
          </w:tcPr>
          <w:p w14:paraId="50C49047" w14:textId="77777777" w:rsidR="005E2BB1" w:rsidRPr="00F45F11" w:rsidRDefault="005E2BB1" w:rsidP="0093234E">
            <w:pPr>
              <w:pStyle w:val="ARtabletextright"/>
              <w:rPr>
                <w:lang w:eastAsia="en-AU"/>
              </w:rPr>
            </w:pPr>
            <w:r w:rsidRPr="00F45F11">
              <w:rPr>
                <w:lang w:eastAsia="en-AU"/>
              </w:rPr>
              <w:t>180.1</w:t>
            </w:r>
          </w:p>
        </w:tc>
        <w:tc>
          <w:tcPr>
            <w:tcW w:w="1057" w:type="dxa"/>
            <w:hideMark/>
          </w:tcPr>
          <w:p w14:paraId="1FDFC4B8" w14:textId="77777777" w:rsidR="005E2BB1" w:rsidRPr="00F45F11" w:rsidRDefault="005E2BB1" w:rsidP="0093234E">
            <w:pPr>
              <w:pStyle w:val="ARtabletextright"/>
              <w:rPr>
                <w:lang w:eastAsia="en-AU"/>
              </w:rPr>
            </w:pPr>
            <w:r w:rsidRPr="00F45F11">
              <w:rPr>
                <w:lang w:eastAsia="en-AU"/>
              </w:rPr>
              <w:t>65</w:t>
            </w:r>
          </w:p>
        </w:tc>
        <w:tc>
          <w:tcPr>
            <w:tcW w:w="927" w:type="dxa"/>
            <w:hideMark/>
          </w:tcPr>
          <w:p w14:paraId="668A80E9" w14:textId="77777777" w:rsidR="005E2BB1" w:rsidRPr="00F45F11" w:rsidRDefault="005E2BB1" w:rsidP="0093234E">
            <w:pPr>
              <w:pStyle w:val="ARtabletextright"/>
              <w:rPr>
                <w:lang w:eastAsia="en-AU"/>
              </w:rPr>
            </w:pPr>
            <w:r w:rsidRPr="00F45F11">
              <w:rPr>
                <w:lang w:eastAsia="en-AU"/>
              </w:rPr>
              <w:t>44.3</w:t>
            </w:r>
          </w:p>
        </w:tc>
      </w:tr>
      <w:tr w:rsidR="005E2BB1" w:rsidRPr="00F45F11" w14:paraId="4BDC705A"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hideMark/>
          </w:tcPr>
          <w:p w14:paraId="5A3F87A2" w14:textId="77777777" w:rsidR="005E2BB1" w:rsidRPr="00F45F11" w:rsidRDefault="005E2BB1" w:rsidP="0093234E">
            <w:pPr>
              <w:pStyle w:val="ARTabletext"/>
              <w:rPr>
                <w:lang w:eastAsia="en-AU"/>
              </w:rPr>
            </w:pPr>
            <w:r w:rsidRPr="00F45F11">
              <w:rPr>
                <w:lang w:eastAsia="en-AU"/>
              </w:rPr>
              <w:t>VPS 3</w:t>
            </w:r>
          </w:p>
        </w:tc>
        <w:tc>
          <w:tcPr>
            <w:tcW w:w="992" w:type="dxa"/>
            <w:shd w:val="clear" w:color="auto" w:fill="E7E6E6" w:themeFill="background2"/>
            <w:hideMark/>
          </w:tcPr>
          <w:p w14:paraId="5243410B" w14:textId="77777777" w:rsidR="005E2BB1" w:rsidRPr="00F45F11" w:rsidRDefault="005E2BB1" w:rsidP="0093234E">
            <w:pPr>
              <w:pStyle w:val="ARtabletextright"/>
              <w:rPr>
                <w:lang w:eastAsia="en-AU"/>
              </w:rPr>
            </w:pPr>
            <w:r w:rsidRPr="00F45F11">
              <w:rPr>
                <w:lang w:eastAsia="en-AU"/>
              </w:rPr>
              <w:t>371</w:t>
            </w:r>
          </w:p>
        </w:tc>
        <w:tc>
          <w:tcPr>
            <w:tcW w:w="992" w:type="dxa"/>
            <w:shd w:val="clear" w:color="auto" w:fill="E7E6E6" w:themeFill="background2"/>
            <w:hideMark/>
          </w:tcPr>
          <w:p w14:paraId="7923321D" w14:textId="77777777" w:rsidR="005E2BB1" w:rsidRPr="00F45F11" w:rsidRDefault="005E2BB1" w:rsidP="0093234E">
            <w:pPr>
              <w:pStyle w:val="ARtabletextright"/>
              <w:rPr>
                <w:lang w:eastAsia="en-AU"/>
              </w:rPr>
            </w:pPr>
            <w:r w:rsidRPr="00F45F11">
              <w:rPr>
                <w:lang w:eastAsia="en-AU"/>
              </w:rPr>
              <w:t>345.6</w:t>
            </w:r>
          </w:p>
        </w:tc>
        <w:tc>
          <w:tcPr>
            <w:tcW w:w="926" w:type="dxa"/>
            <w:hideMark/>
          </w:tcPr>
          <w:p w14:paraId="56466AAF" w14:textId="77777777" w:rsidR="005E2BB1" w:rsidRPr="00F45F11" w:rsidRDefault="005E2BB1" w:rsidP="0093234E">
            <w:pPr>
              <w:pStyle w:val="ARtabletextright"/>
              <w:rPr>
                <w:lang w:eastAsia="en-AU"/>
              </w:rPr>
            </w:pPr>
            <w:r w:rsidRPr="00F45F11">
              <w:rPr>
                <w:lang w:eastAsia="en-AU"/>
              </w:rPr>
              <w:t>241</w:t>
            </w:r>
          </w:p>
        </w:tc>
        <w:tc>
          <w:tcPr>
            <w:tcW w:w="926" w:type="dxa"/>
            <w:hideMark/>
          </w:tcPr>
          <w:p w14:paraId="6677A7FE" w14:textId="77777777" w:rsidR="005E2BB1" w:rsidRPr="00F45F11" w:rsidRDefault="005E2BB1" w:rsidP="0093234E">
            <w:pPr>
              <w:pStyle w:val="ARtabletextright"/>
              <w:rPr>
                <w:lang w:eastAsia="en-AU"/>
              </w:rPr>
            </w:pPr>
            <w:r w:rsidRPr="00F45F11">
              <w:rPr>
                <w:lang w:eastAsia="en-AU"/>
              </w:rPr>
              <w:t>65</w:t>
            </w:r>
          </w:p>
        </w:tc>
        <w:tc>
          <w:tcPr>
            <w:tcW w:w="927" w:type="dxa"/>
            <w:hideMark/>
          </w:tcPr>
          <w:p w14:paraId="1774B51C" w14:textId="77777777" w:rsidR="005E2BB1" w:rsidRPr="00F45F11" w:rsidRDefault="005E2BB1" w:rsidP="0093234E">
            <w:pPr>
              <w:pStyle w:val="ARtabletextright"/>
              <w:rPr>
                <w:lang w:eastAsia="en-AU"/>
              </w:rPr>
            </w:pPr>
            <w:r w:rsidRPr="00F45F11">
              <w:rPr>
                <w:lang w:eastAsia="en-AU"/>
              </w:rPr>
              <w:t>286.2</w:t>
            </w:r>
          </w:p>
        </w:tc>
        <w:tc>
          <w:tcPr>
            <w:tcW w:w="1057" w:type="dxa"/>
            <w:shd w:val="clear" w:color="auto" w:fill="E7E6E6" w:themeFill="background2"/>
            <w:hideMark/>
          </w:tcPr>
          <w:p w14:paraId="7354B3FB" w14:textId="77777777" w:rsidR="005E2BB1" w:rsidRPr="00F45F11" w:rsidRDefault="005E2BB1" w:rsidP="0093234E">
            <w:pPr>
              <w:pStyle w:val="ARtabletextright"/>
              <w:rPr>
                <w:lang w:eastAsia="en-AU"/>
              </w:rPr>
            </w:pPr>
            <w:r w:rsidRPr="00F45F11">
              <w:rPr>
                <w:lang w:eastAsia="en-AU"/>
              </w:rPr>
              <w:t>65</w:t>
            </w:r>
          </w:p>
        </w:tc>
        <w:tc>
          <w:tcPr>
            <w:tcW w:w="927" w:type="dxa"/>
            <w:shd w:val="clear" w:color="auto" w:fill="E7E6E6" w:themeFill="background2"/>
            <w:hideMark/>
          </w:tcPr>
          <w:p w14:paraId="1389A8F6" w14:textId="77777777" w:rsidR="005E2BB1" w:rsidRPr="00F45F11" w:rsidRDefault="005E2BB1" w:rsidP="0093234E">
            <w:pPr>
              <w:pStyle w:val="ARtabletextright"/>
              <w:rPr>
                <w:lang w:eastAsia="en-AU"/>
              </w:rPr>
            </w:pPr>
            <w:r w:rsidRPr="00F45F11">
              <w:rPr>
                <w:lang w:eastAsia="en-AU"/>
              </w:rPr>
              <w:t>59.4</w:t>
            </w:r>
          </w:p>
        </w:tc>
        <w:tc>
          <w:tcPr>
            <w:tcW w:w="1057" w:type="dxa"/>
            <w:hideMark/>
          </w:tcPr>
          <w:p w14:paraId="232393C0" w14:textId="77777777" w:rsidR="005E2BB1" w:rsidRPr="00F45F11" w:rsidRDefault="005E2BB1" w:rsidP="0093234E">
            <w:pPr>
              <w:pStyle w:val="ARtabletextright"/>
              <w:rPr>
                <w:lang w:eastAsia="en-AU"/>
              </w:rPr>
            </w:pPr>
            <w:r w:rsidRPr="00F45F11">
              <w:rPr>
                <w:lang w:eastAsia="en-AU"/>
              </w:rPr>
              <w:t>387</w:t>
            </w:r>
          </w:p>
        </w:tc>
        <w:tc>
          <w:tcPr>
            <w:tcW w:w="927" w:type="dxa"/>
            <w:hideMark/>
          </w:tcPr>
          <w:p w14:paraId="26E7F0F0" w14:textId="77777777" w:rsidR="005E2BB1" w:rsidRPr="00F45F11" w:rsidRDefault="005E2BB1" w:rsidP="0093234E">
            <w:pPr>
              <w:pStyle w:val="ARtabletextright"/>
              <w:rPr>
                <w:lang w:eastAsia="en-AU"/>
              </w:rPr>
            </w:pPr>
            <w:r w:rsidRPr="00F45F11">
              <w:rPr>
                <w:lang w:eastAsia="en-AU"/>
              </w:rPr>
              <w:t>363.3</w:t>
            </w:r>
          </w:p>
        </w:tc>
        <w:tc>
          <w:tcPr>
            <w:tcW w:w="926" w:type="dxa"/>
            <w:shd w:val="clear" w:color="auto" w:fill="E7E6E6" w:themeFill="background2"/>
            <w:hideMark/>
          </w:tcPr>
          <w:p w14:paraId="2B12E5E7" w14:textId="77777777" w:rsidR="005E2BB1" w:rsidRPr="00F45F11" w:rsidRDefault="005E2BB1" w:rsidP="0093234E">
            <w:pPr>
              <w:pStyle w:val="ARtabletextright"/>
              <w:rPr>
                <w:lang w:eastAsia="en-AU"/>
              </w:rPr>
            </w:pPr>
            <w:r w:rsidRPr="00F45F11">
              <w:rPr>
                <w:lang w:eastAsia="en-AU"/>
              </w:rPr>
              <w:t>262</w:t>
            </w:r>
          </w:p>
        </w:tc>
        <w:tc>
          <w:tcPr>
            <w:tcW w:w="926" w:type="dxa"/>
            <w:shd w:val="clear" w:color="auto" w:fill="E7E6E6" w:themeFill="background2"/>
            <w:hideMark/>
          </w:tcPr>
          <w:p w14:paraId="0F0AAA09" w14:textId="77777777" w:rsidR="005E2BB1" w:rsidRPr="00F45F11" w:rsidRDefault="005E2BB1" w:rsidP="0093234E">
            <w:pPr>
              <w:pStyle w:val="ARtabletextright"/>
              <w:rPr>
                <w:lang w:eastAsia="en-AU"/>
              </w:rPr>
            </w:pPr>
            <w:r w:rsidRPr="00F45F11">
              <w:rPr>
                <w:lang w:eastAsia="en-AU"/>
              </w:rPr>
              <w:t>51</w:t>
            </w:r>
          </w:p>
        </w:tc>
        <w:tc>
          <w:tcPr>
            <w:tcW w:w="927" w:type="dxa"/>
            <w:shd w:val="clear" w:color="auto" w:fill="E7E6E6" w:themeFill="background2"/>
            <w:hideMark/>
          </w:tcPr>
          <w:p w14:paraId="2729C9F4" w14:textId="77777777" w:rsidR="005E2BB1" w:rsidRPr="00F45F11" w:rsidRDefault="005E2BB1" w:rsidP="0093234E">
            <w:pPr>
              <w:pStyle w:val="ARtabletextright"/>
              <w:rPr>
                <w:lang w:eastAsia="en-AU"/>
              </w:rPr>
            </w:pPr>
            <w:r w:rsidRPr="00F45F11">
              <w:rPr>
                <w:lang w:eastAsia="en-AU"/>
              </w:rPr>
              <w:t>296.6</w:t>
            </w:r>
          </w:p>
        </w:tc>
        <w:tc>
          <w:tcPr>
            <w:tcW w:w="1057" w:type="dxa"/>
            <w:hideMark/>
          </w:tcPr>
          <w:p w14:paraId="09354F57" w14:textId="77777777" w:rsidR="005E2BB1" w:rsidRPr="00F45F11" w:rsidRDefault="005E2BB1" w:rsidP="0093234E">
            <w:pPr>
              <w:pStyle w:val="ARtabletextright"/>
              <w:rPr>
                <w:lang w:eastAsia="en-AU"/>
              </w:rPr>
            </w:pPr>
            <w:r w:rsidRPr="00F45F11">
              <w:rPr>
                <w:lang w:eastAsia="en-AU"/>
              </w:rPr>
              <w:t>74</w:t>
            </w:r>
          </w:p>
        </w:tc>
        <w:tc>
          <w:tcPr>
            <w:tcW w:w="927" w:type="dxa"/>
            <w:hideMark/>
          </w:tcPr>
          <w:p w14:paraId="5D316AD6" w14:textId="77777777" w:rsidR="005E2BB1" w:rsidRPr="00F45F11" w:rsidRDefault="005E2BB1" w:rsidP="0093234E">
            <w:pPr>
              <w:pStyle w:val="ARtabletextright"/>
              <w:rPr>
                <w:lang w:eastAsia="en-AU"/>
              </w:rPr>
            </w:pPr>
            <w:r w:rsidRPr="00F45F11">
              <w:rPr>
                <w:lang w:eastAsia="en-AU"/>
              </w:rPr>
              <w:t>66.7</w:t>
            </w:r>
          </w:p>
        </w:tc>
      </w:tr>
      <w:tr w:rsidR="005E2BB1" w:rsidRPr="00F45F11" w14:paraId="1B04B448"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hideMark/>
          </w:tcPr>
          <w:p w14:paraId="62CF1A04" w14:textId="77777777" w:rsidR="005E2BB1" w:rsidRPr="00F45F11" w:rsidRDefault="005E2BB1" w:rsidP="0093234E">
            <w:pPr>
              <w:pStyle w:val="ARTabletext"/>
              <w:rPr>
                <w:lang w:eastAsia="en-AU"/>
              </w:rPr>
            </w:pPr>
            <w:r w:rsidRPr="00F45F11">
              <w:rPr>
                <w:lang w:eastAsia="en-AU"/>
              </w:rPr>
              <w:t>VPS 4</w:t>
            </w:r>
          </w:p>
        </w:tc>
        <w:tc>
          <w:tcPr>
            <w:tcW w:w="992" w:type="dxa"/>
            <w:shd w:val="clear" w:color="auto" w:fill="E7E6E6" w:themeFill="background2"/>
            <w:hideMark/>
          </w:tcPr>
          <w:p w14:paraId="3E25E5D1" w14:textId="77777777" w:rsidR="005E2BB1" w:rsidRPr="00F45F11" w:rsidRDefault="005E2BB1" w:rsidP="0093234E">
            <w:pPr>
              <w:pStyle w:val="ARtabletextright"/>
              <w:rPr>
                <w:lang w:eastAsia="en-AU"/>
              </w:rPr>
            </w:pPr>
            <w:r w:rsidRPr="00F45F11">
              <w:rPr>
                <w:lang w:eastAsia="en-AU"/>
              </w:rPr>
              <w:t>628</w:t>
            </w:r>
          </w:p>
        </w:tc>
        <w:tc>
          <w:tcPr>
            <w:tcW w:w="992" w:type="dxa"/>
            <w:shd w:val="clear" w:color="auto" w:fill="E7E6E6" w:themeFill="background2"/>
            <w:hideMark/>
          </w:tcPr>
          <w:p w14:paraId="4EEE5F03" w14:textId="77777777" w:rsidR="005E2BB1" w:rsidRPr="00F45F11" w:rsidRDefault="005E2BB1" w:rsidP="0093234E">
            <w:pPr>
              <w:pStyle w:val="ARtabletextright"/>
              <w:rPr>
                <w:lang w:eastAsia="en-AU"/>
              </w:rPr>
            </w:pPr>
            <w:r w:rsidRPr="00F45F11">
              <w:rPr>
                <w:lang w:eastAsia="en-AU"/>
              </w:rPr>
              <w:t>608.0</w:t>
            </w:r>
          </w:p>
        </w:tc>
        <w:tc>
          <w:tcPr>
            <w:tcW w:w="926" w:type="dxa"/>
            <w:hideMark/>
          </w:tcPr>
          <w:p w14:paraId="29BFD8FF" w14:textId="77777777" w:rsidR="005E2BB1" w:rsidRPr="00F45F11" w:rsidRDefault="005E2BB1" w:rsidP="0093234E">
            <w:pPr>
              <w:pStyle w:val="ARtabletextright"/>
              <w:rPr>
                <w:lang w:eastAsia="en-AU"/>
              </w:rPr>
            </w:pPr>
            <w:r w:rsidRPr="00F45F11">
              <w:rPr>
                <w:lang w:eastAsia="en-AU"/>
              </w:rPr>
              <w:t>445</w:t>
            </w:r>
          </w:p>
        </w:tc>
        <w:tc>
          <w:tcPr>
            <w:tcW w:w="926" w:type="dxa"/>
            <w:hideMark/>
          </w:tcPr>
          <w:p w14:paraId="3FF47F7C" w14:textId="77777777" w:rsidR="005E2BB1" w:rsidRPr="00F45F11" w:rsidRDefault="005E2BB1" w:rsidP="0093234E">
            <w:pPr>
              <w:pStyle w:val="ARtabletextright"/>
              <w:rPr>
                <w:lang w:eastAsia="en-AU"/>
              </w:rPr>
            </w:pPr>
            <w:r w:rsidRPr="00F45F11">
              <w:rPr>
                <w:lang w:eastAsia="en-AU"/>
              </w:rPr>
              <w:t>53</w:t>
            </w:r>
          </w:p>
        </w:tc>
        <w:tc>
          <w:tcPr>
            <w:tcW w:w="927" w:type="dxa"/>
            <w:hideMark/>
          </w:tcPr>
          <w:p w14:paraId="21CB9183" w14:textId="77777777" w:rsidR="005E2BB1" w:rsidRPr="00F45F11" w:rsidRDefault="005E2BB1" w:rsidP="0093234E">
            <w:pPr>
              <w:pStyle w:val="ARtabletextright"/>
              <w:rPr>
                <w:lang w:eastAsia="en-AU"/>
              </w:rPr>
            </w:pPr>
            <w:r w:rsidRPr="00F45F11">
              <w:rPr>
                <w:lang w:eastAsia="en-AU"/>
              </w:rPr>
              <w:t>480.7</w:t>
            </w:r>
          </w:p>
        </w:tc>
        <w:tc>
          <w:tcPr>
            <w:tcW w:w="1057" w:type="dxa"/>
            <w:shd w:val="clear" w:color="auto" w:fill="E7E6E6" w:themeFill="background2"/>
            <w:hideMark/>
          </w:tcPr>
          <w:p w14:paraId="199A23C9" w14:textId="77777777" w:rsidR="005E2BB1" w:rsidRPr="00F45F11" w:rsidRDefault="005E2BB1" w:rsidP="0093234E">
            <w:pPr>
              <w:pStyle w:val="ARtabletextright"/>
              <w:rPr>
                <w:lang w:eastAsia="en-AU"/>
              </w:rPr>
            </w:pPr>
            <w:r w:rsidRPr="00F45F11">
              <w:rPr>
                <w:lang w:eastAsia="en-AU"/>
              </w:rPr>
              <w:t>130</w:t>
            </w:r>
          </w:p>
        </w:tc>
        <w:tc>
          <w:tcPr>
            <w:tcW w:w="927" w:type="dxa"/>
            <w:shd w:val="clear" w:color="auto" w:fill="E7E6E6" w:themeFill="background2"/>
            <w:hideMark/>
          </w:tcPr>
          <w:p w14:paraId="495B9DA7" w14:textId="77777777" w:rsidR="005E2BB1" w:rsidRPr="00F45F11" w:rsidRDefault="005E2BB1" w:rsidP="0093234E">
            <w:pPr>
              <w:pStyle w:val="ARtabletextright"/>
              <w:rPr>
                <w:lang w:eastAsia="en-AU"/>
              </w:rPr>
            </w:pPr>
            <w:r w:rsidRPr="00F45F11">
              <w:rPr>
                <w:lang w:eastAsia="en-AU"/>
              </w:rPr>
              <w:t>127.3</w:t>
            </w:r>
          </w:p>
        </w:tc>
        <w:tc>
          <w:tcPr>
            <w:tcW w:w="1057" w:type="dxa"/>
            <w:hideMark/>
          </w:tcPr>
          <w:p w14:paraId="5ABBDC05" w14:textId="77777777" w:rsidR="005E2BB1" w:rsidRPr="00F45F11" w:rsidRDefault="005E2BB1" w:rsidP="0093234E">
            <w:pPr>
              <w:pStyle w:val="ARtabletextright"/>
              <w:rPr>
                <w:lang w:eastAsia="en-AU"/>
              </w:rPr>
            </w:pPr>
            <w:r w:rsidRPr="00F45F11">
              <w:rPr>
                <w:lang w:eastAsia="en-AU"/>
              </w:rPr>
              <w:t>643</w:t>
            </w:r>
          </w:p>
        </w:tc>
        <w:tc>
          <w:tcPr>
            <w:tcW w:w="927" w:type="dxa"/>
            <w:hideMark/>
          </w:tcPr>
          <w:p w14:paraId="73F4892D" w14:textId="77777777" w:rsidR="005E2BB1" w:rsidRPr="00F45F11" w:rsidRDefault="005E2BB1" w:rsidP="0093234E">
            <w:pPr>
              <w:pStyle w:val="ARtabletextright"/>
              <w:rPr>
                <w:lang w:eastAsia="en-AU"/>
              </w:rPr>
            </w:pPr>
            <w:r w:rsidRPr="00F45F11">
              <w:rPr>
                <w:lang w:eastAsia="en-AU"/>
              </w:rPr>
              <w:t>619.4</w:t>
            </w:r>
          </w:p>
        </w:tc>
        <w:tc>
          <w:tcPr>
            <w:tcW w:w="926" w:type="dxa"/>
            <w:shd w:val="clear" w:color="auto" w:fill="E7E6E6" w:themeFill="background2"/>
            <w:hideMark/>
          </w:tcPr>
          <w:p w14:paraId="073F69A1" w14:textId="77777777" w:rsidR="005E2BB1" w:rsidRPr="00F45F11" w:rsidRDefault="005E2BB1" w:rsidP="0093234E">
            <w:pPr>
              <w:pStyle w:val="ARtabletextright"/>
              <w:rPr>
                <w:lang w:eastAsia="en-AU"/>
              </w:rPr>
            </w:pPr>
            <w:r w:rsidRPr="00F45F11">
              <w:rPr>
                <w:lang w:eastAsia="en-AU"/>
              </w:rPr>
              <w:t>418</w:t>
            </w:r>
          </w:p>
        </w:tc>
        <w:tc>
          <w:tcPr>
            <w:tcW w:w="926" w:type="dxa"/>
            <w:shd w:val="clear" w:color="auto" w:fill="E7E6E6" w:themeFill="background2"/>
            <w:hideMark/>
          </w:tcPr>
          <w:p w14:paraId="26C3F6B8" w14:textId="77777777" w:rsidR="005E2BB1" w:rsidRPr="00F45F11" w:rsidRDefault="005E2BB1" w:rsidP="0093234E">
            <w:pPr>
              <w:pStyle w:val="ARtabletextright"/>
              <w:rPr>
                <w:lang w:eastAsia="en-AU"/>
              </w:rPr>
            </w:pPr>
            <w:r w:rsidRPr="00F45F11">
              <w:rPr>
                <w:lang w:eastAsia="en-AU"/>
              </w:rPr>
              <w:t>62</w:t>
            </w:r>
          </w:p>
        </w:tc>
        <w:tc>
          <w:tcPr>
            <w:tcW w:w="927" w:type="dxa"/>
            <w:shd w:val="clear" w:color="auto" w:fill="E7E6E6" w:themeFill="background2"/>
            <w:hideMark/>
          </w:tcPr>
          <w:p w14:paraId="46DCB148" w14:textId="77777777" w:rsidR="005E2BB1" w:rsidRPr="00F45F11" w:rsidRDefault="005E2BB1" w:rsidP="0093234E">
            <w:pPr>
              <w:pStyle w:val="ARtabletextright"/>
              <w:rPr>
                <w:lang w:eastAsia="en-AU"/>
              </w:rPr>
            </w:pPr>
            <w:r w:rsidRPr="00F45F11">
              <w:rPr>
                <w:lang w:eastAsia="en-AU"/>
              </w:rPr>
              <w:t>461.7</w:t>
            </w:r>
          </w:p>
        </w:tc>
        <w:tc>
          <w:tcPr>
            <w:tcW w:w="1057" w:type="dxa"/>
            <w:hideMark/>
          </w:tcPr>
          <w:p w14:paraId="1B89F917" w14:textId="77777777" w:rsidR="005E2BB1" w:rsidRPr="00F45F11" w:rsidRDefault="005E2BB1" w:rsidP="0093234E">
            <w:pPr>
              <w:pStyle w:val="ARtabletextright"/>
              <w:rPr>
                <w:lang w:eastAsia="en-AU"/>
              </w:rPr>
            </w:pPr>
            <w:r w:rsidRPr="00F45F11">
              <w:rPr>
                <w:lang w:eastAsia="en-AU"/>
              </w:rPr>
              <w:t>163</w:t>
            </w:r>
          </w:p>
        </w:tc>
        <w:tc>
          <w:tcPr>
            <w:tcW w:w="927" w:type="dxa"/>
            <w:hideMark/>
          </w:tcPr>
          <w:p w14:paraId="1725AA58" w14:textId="77777777" w:rsidR="005E2BB1" w:rsidRPr="00F45F11" w:rsidRDefault="005E2BB1" w:rsidP="0093234E">
            <w:pPr>
              <w:pStyle w:val="ARtabletextright"/>
              <w:rPr>
                <w:lang w:eastAsia="en-AU"/>
              </w:rPr>
            </w:pPr>
            <w:r w:rsidRPr="00F45F11">
              <w:rPr>
                <w:lang w:eastAsia="en-AU"/>
              </w:rPr>
              <w:t>157.8</w:t>
            </w:r>
          </w:p>
        </w:tc>
      </w:tr>
      <w:tr w:rsidR="005E2BB1" w:rsidRPr="00F45F11" w14:paraId="369C2758"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tcBorders>
              <w:bottom w:val="single" w:sz="4" w:space="0" w:color="BFBFBF" w:themeColor="accent2"/>
            </w:tcBorders>
            <w:hideMark/>
          </w:tcPr>
          <w:p w14:paraId="1E84FE7B" w14:textId="77777777" w:rsidR="005E2BB1" w:rsidRPr="00F45F11" w:rsidRDefault="005E2BB1" w:rsidP="0093234E">
            <w:pPr>
              <w:pStyle w:val="ARTabletext"/>
              <w:rPr>
                <w:lang w:eastAsia="en-AU"/>
              </w:rPr>
            </w:pPr>
            <w:r w:rsidRPr="00F45F11">
              <w:rPr>
                <w:lang w:eastAsia="en-AU"/>
              </w:rPr>
              <w:t>VPS 5</w:t>
            </w:r>
          </w:p>
        </w:tc>
        <w:tc>
          <w:tcPr>
            <w:tcW w:w="992" w:type="dxa"/>
            <w:tcBorders>
              <w:bottom w:val="single" w:sz="4" w:space="0" w:color="BFBFBF" w:themeColor="accent2"/>
            </w:tcBorders>
            <w:shd w:val="clear" w:color="auto" w:fill="E7E6E6" w:themeFill="background2"/>
            <w:hideMark/>
          </w:tcPr>
          <w:p w14:paraId="6F2383BB" w14:textId="5C8F6392"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142</w:t>
            </w:r>
          </w:p>
        </w:tc>
        <w:tc>
          <w:tcPr>
            <w:tcW w:w="992" w:type="dxa"/>
            <w:tcBorders>
              <w:bottom w:val="single" w:sz="4" w:space="0" w:color="BFBFBF" w:themeColor="accent2"/>
            </w:tcBorders>
            <w:shd w:val="clear" w:color="auto" w:fill="E7E6E6" w:themeFill="background2"/>
            <w:hideMark/>
          </w:tcPr>
          <w:p w14:paraId="40818EFA" w14:textId="03EBB9D3" w:rsidR="005E2BB1" w:rsidRPr="00F45F11" w:rsidRDefault="005E2BB1" w:rsidP="0093234E">
            <w:pPr>
              <w:pStyle w:val="ARtabletextright"/>
              <w:rPr>
                <w:lang w:eastAsia="en-AU"/>
              </w:rPr>
            </w:pPr>
            <w:r w:rsidRPr="00F45F11">
              <w:rPr>
                <w:lang w:eastAsia="en-AU"/>
              </w:rPr>
              <w:t>1</w:t>
            </w:r>
            <w:r w:rsidR="00333488" w:rsidRPr="00F45F11">
              <w:rPr>
                <w:lang w:eastAsia="en-AU"/>
              </w:rPr>
              <w:t>,</w:t>
            </w:r>
            <w:r w:rsidRPr="00F45F11">
              <w:rPr>
                <w:lang w:eastAsia="en-AU"/>
              </w:rPr>
              <w:t>100.6</w:t>
            </w:r>
          </w:p>
        </w:tc>
        <w:tc>
          <w:tcPr>
            <w:tcW w:w="926" w:type="dxa"/>
            <w:tcBorders>
              <w:bottom w:val="single" w:sz="4" w:space="0" w:color="BFBFBF" w:themeColor="accent2"/>
            </w:tcBorders>
            <w:hideMark/>
          </w:tcPr>
          <w:p w14:paraId="4556D1FB" w14:textId="77777777" w:rsidR="005E2BB1" w:rsidRPr="00F45F11" w:rsidRDefault="005E2BB1" w:rsidP="0093234E">
            <w:pPr>
              <w:pStyle w:val="ARtabletextright"/>
              <w:rPr>
                <w:lang w:eastAsia="en-AU"/>
              </w:rPr>
            </w:pPr>
            <w:r w:rsidRPr="00F45F11">
              <w:rPr>
                <w:lang w:eastAsia="en-AU"/>
              </w:rPr>
              <w:t>792</w:t>
            </w:r>
          </w:p>
        </w:tc>
        <w:tc>
          <w:tcPr>
            <w:tcW w:w="926" w:type="dxa"/>
            <w:tcBorders>
              <w:bottom w:val="single" w:sz="4" w:space="0" w:color="BFBFBF" w:themeColor="accent2"/>
            </w:tcBorders>
            <w:hideMark/>
          </w:tcPr>
          <w:p w14:paraId="2EC256C3" w14:textId="77777777" w:rsidR="005E2BB1" w:rsidRPr="00F45F11" w:rsidRDefault="005E2BB1" w:rsidP="0093234E">
            <w:pPr>
              <w:pStyle w:val="ARtabletextright"/>
              <w:rPr>
                <w:lang w:eastAsia="en-AU"/>
              </w:rPr>
            </w:pPr>
            <w:r w:rsidRPr="00F45F11">
              <w:rPr>
                <w:lang w:eastAsia="en-AU"/>
              </w:rPr>
              <w:t>120</w:t>
            </w:r>
          </w:p>
        </w:tc>
        <w:tc>
          <w:tcPr>
            <w:tcW w:w="927" w:type="dxa"/>
            <w:tcBorders>
              <w:bottom w:val="single" w:sz="4" w:space="0" w:color="BFBFBF" w:themeColor="accent2"/>
            </w:tcBorders>
            <w:hideMark/>
          </w:tcPr>
          <w:p w14:paraId="708742BD" w14:textId="77777777" w:rsidR="005E2BB1" w:rsidRPr="00F45F11" w:rsidRDefault="005E2BB1" w:rsidP="0093234E">
            <w:pPr>
              <w:pStyle w:val="ARtabletextright"/>
              <w:rPr>
                <w:lang w:eastAsia="en-AU"/>
              </w:rPr>
            </w:pPr>
            <w:r w:rsidRPr="00F45F11">
              <w:rPr>
                <w:lang w:eastAsia="en-AU"/>
              </w:rPr>
              <w:t>877.7</w:t>
            </w:r>
          </w:p>
        </w:tc>
        <w:tc>
          <w:tcPr>
            <w:tcW w:w="1057" w:type="dxa"/>
            <w:tcBorders>
              <w:bottom w:val="single" w:sz="4" w:space="0" w:color="BFBFBF" w:themeColor="accent2"/>
            </w:tcBorders>
            <w:shd w:val="clear" w:color="auto" w:fill="E7E6E6" w:themeFill="background2"/>
            <w:hideMark/>
          </w:tcPr>
          <w:p w14:paraId="10184CF1" w14:textId="77777777" w:rsidR="005E2BB1" w:rsidRPr="00F45F11" w:rsidRDefault="005E2BB1" w:rsidP="0093234E">
            <w:pPr>
              <w:pStyle w:val="ARtabletextright"/>
              <w:rPr>
                <w:lang w:eastAsia="en-AU"/>
              </w:rPr>
            </w:pPr>
            <w:r w:rsidRPr="00F45F11">
              <w:rPr>
                <w:lang w:eastAsia="en-AU"/>
              </w:rPr>
              <w:t>230</w:t>
            </w:r>
          </w:p>
        </w:tc>
        <w:tc>
          <w:tcPr>
            <w:tcW w:w="927" w:type="dxa"/>
            <w:tcBorders>
              <w:bottom w:val="single" w:sz="4" w:space="0" w:color="BFBFBF" w:themeColor="accent2"/>
            </w:tcBorders>
            <w:shd w:val="clear" w:color="auto" w:fill="E7E6E6" w:themeFill="background2"/>
            <w:hideMark/>
          </w:tcPr>
          <w:p w14:paraId="0F4C6BD5" w14:textId="77777777" w:rsidR="005E2BB1" w:rsidRPr="00F45F11" w:rsidRDefault="005E2BB1" w:rsidP="0093234E">
            <w:pPr>
              <w:pStyle w:val="ARtabletextright"/>
              <w:rPr>
                <w:lang w:eastAsia="en-AU"/>
              </w:rPr>
            </w:pPr>
            <w:r w:rsidRPr="00F45F11">
              <w:rPr>
                <w:lang w:eastAsia="en-AU"/>
              </w:rPr>
              <w:t>222.9</w:t>
            </w:r>
          </w:p>
        </w:tc>
        <w:tc>
          <w:tcPr>
            <w:tcW w:w="1057" w:type="dxa"/>
            <w:tcBorders>
              <w:bottom w:val="single" w:sz="4" w:space="0" w:color="BFBFBF" w:themeColor="accent2"/>
            </w:tcBorders>
            <w:hideMark/>
          </w:tcPr>
          <w:p w14:paraId="01D1794A" w14:textId="77777777" w:rsidR="005E2BB1" w:rsidRPr="00F45F11" w:rsidRDefault="005E2BB1" w:rsidP="0093234E">
            <w:pPr>
              <w:pStyle w:val="ARtabletextright"/>
              <w:rPr>
                <w:lang w:eastAsia="en-AU"/>
              </w:rPr>
            </w:pPr>
            <w:r w:rsidRPr="00F45F11">
              <w:rPr>
                <w:lang w:eastAsia="en-AU"/>
              </w:rPr>
              <w:t>1152</w:t>
            </w:r>
          </w:p>
        </w:tc>
        <w:tc>
          <w:tcPr>
            <w:tcW w:w="927" w:type="dxa"/>
            <w:tcBorders>
              <w:bottom w:val="single" w:sz="4" w:space="0" w:color="BFBFBF" w:themeColor="accent2"/>
            </w:tcBorders>
            <w:hideMark/>
          </w:tcPr>
          <w:p w14:paraId="5C26B41E" w14:textId="77777777" w:rsidR="005E2BB1" w:rsidRPr="00F45F11" w:rsidRDefault="005E2BB1" w:rsidP="0093234E">
            <w:pPr>
              <w:pStyle w:val="ARtabletextright"/>
              <w:rPr>
                <w:lang w:eastAsia="en-AU"/>
              </w:rPr>
            </w:pPr>
            <w:r w:rsidRPr="00F45F11">
              <w:rPr>
                <w:lang w:eastAsia="en-AU"/>
              </w:rPr>
              <w:t>1109.3</w:t>
            </w:r>
          </w:p>
        </w:tc>
        <w:tc>
          <w:tcPr>
            <w:tcW w:w="926" w:type="dxa"/>
            <w:tcBorders>
              <w:bottom w:val="single" w:sz="4" w:space="0" w:color="BFBFBF" w:themeColor="accent2"/>
            </w:tcBorders>
            <w:shd w:val="clear" w:color="auto" w:fill="E7E6E6" w:themeFill="background2"/>
            <w:hideMark/>
          </w:tcPr>
          <w:p w14:paraId="53D8D17E" w14:textId="77777777" w:rsidR="005E2BB1" w:rsidRPr="00F45F11" w:rsidRDefault="005E2BB1" w:rsidP="0093234E">
            <w:pPr>
              <w:pStyle w:val="ARtabletextright"/>
              <w:rPr>
                <w:lang w:eastAsia="en-AU"/>
              </w:rPr>
            </w:pPr>
            <w:r w:rsidRPr="00F45F11">
              <w:rPr>
                <w:lang w:eastAsia="en-AU"/>
              </w:rPr>
              <w:t>814</w:t>
            </w:r>
          </w:p>
        </w:tc>
        <w:tc>
          <w:tcPr>
            <w:tcW w:w="926" w:type="dxa"/>
            <w:tcBorders>
              <w:bottom w:val="single" w:sz="4" w:space="0" w:color="BFBFBF" w:themeColor="accent2"/>
            </w:tcBorders>
            <w:shd w:val="clear" w:color="auto" w:fill="E7E6E6" w:themeFill="background2"/>
            <w:hideMark/>
          </w:tcPr>
          <w:p w14:paraId="3FE9C383" w14:textId="77777777" w:rsidR="005E2BB1" w:rsidRPr="00F45F11" w:rsidRDefault="005E2BB1" w:rsidP="0093234E">
            <w:pPr>
              <w:pStyle w:val="ARtabletextright"/>
              <w:rPr>
                <w:lang w:eastAsia="en-AU"/>
              </w:rPr>
            </w:pPr>
            <w:r w:rsidRPr="00F45F11">
              <w:rPr>
                <w:lang w:eastAsia="en-AU"/>
              </w:rPr>
              <w:t>118</w:t>
            </w:r>
          </w:p>
        </w:tc>
        <w:tc>
          <w:tcPr>
            <w:tcW w:w="927" w:type="dxa"/>
            <w:tcBorders>
              <w:bottom w:val="single" w:sz="4" w:space="0" w:color="BFBFBF" w:themeColor="accent2"/>
            </w:tcBorders>
            <w:shd w:val="clear" w:color="auto" w:fill="E7E6E6" w:themeFill="background2"/>
            <w:hideMark/>
          </w:tcPr>
          <w:p w14:paraId="05FE5248" w14:textId="77777777" w:rsidR="005E2BB1" w:rsidRPr="00F45F11" w:rsidRDefault="005E2BB1" w:rsidP="0093234E">
            <w:pPr>
              <w:pStyle w:val="ARtabletextright"/>
              <w:rPr>
                <w:lang w:eastAsia="en-AU"/>
              </w:rPr>
            </w:pPr>
            <w:r w:rsidRPr="00F45F11">
              <w:rPr>
                <w:lang w:eastAsia="en-AU"/>
              </w:rPr>
              <w:t>896.1</w:t>
            </w:r>
          </w:p>
        </w:tc>
        <w:tc>
          <w:tcPr>
            <w:tcW w:w="1057" w:type="dxa"/>
            <w:tcBorders>
              <w:bottom w:val="single" w:sz="4" w:space="0" w:color="BFBFBF" w:themeColor="accent2"/>
            </w:tcBorders>
            <w:hideMark/>
          </w:tcPr>
          <w:p w14:paraId="08A757E5" w14:textId="77777777" w:rsidR="005E2BB1" w:rsidRPr="00F45F11" w:rsidRDefault="005E2BB1" w:rsidP="0093234E">
            <w:pPr>
              <w:pStyle w:val="ARtabletextright"/>
              <w:rPr>
                <w:lang w:eastAsia="en-AU"/>
              </w:rPr>
            </w:pPr>
            <w:r w:rsidRPr="00F45F11">
              <w:rPr>
                <w:lang w:eastAsia="en-AU"/>
              </w:rPr>
              <w:t>220</w:t>
            </w:r>
          </w:p>
        </w:tc>
        <w:tc>
          <w:tcPr>
            <w:tcW w:w="927" w:type="dxa"/>
            <w:tcBorders>
              <w:bottom w:val="single" w:sz="4" w:space="0" w:color="BFBFBF" w:themeColor="accent2"/>
            </w:tcBorders>
            <w:hideMark/>
          </w:tcPr>
          <w:p w14:paraId="16E3A776" w14:textId="77777777" w:rsidR="005E2BB1" w:rsidRPr="00F45F11" w:rsidRDefault="005E2BB1" w:rsidP="0093234E">
            <w:pPr>
              <w:pStyle w:val="ARtabletextright"/>
              <w:rPr>
                <w:lang w:eastAsia="en-AU"/>
              </w:rPr>
            </w:pPr>
            <w:r w:rsidRPr="00F45F11">
              <w:rPr>
                <w:lang w:eastAsia="en-AU"/>
              </w:rPr>
              <w:t>213.2</w:t>
            </w:r>
          </w:p>
        </w:tc>
      </w:tr>
      <w:tr w:rsidR="005E2BB1" w:rsidRPr="00F45F11" w14:paraId="0CBCD28F"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tcBorders>
              <w:top w:val="single" w:sz="4" w:space="0" w:color="BFBFBF" w:themeColor="accent2"/>
              <w:bottom w:val="single" w:sz="4" w:space="0" w:color="auto"/>
            </w:tcBorders>
            <w:hideMark/>
          </w:tcPr>
          <w:p w14:paraId="1F9E2DC4" w14:textId="77777777" w:rsidR="005E2BB1" w:rsidRPr="00F45F11" w:rsidRDefault="005E2BB1" w:rsidP="0093234E">
            <w:pPr>
              <w:pStyle w:val="ARTabletext"/>
              <w:rPr>
                <w:lang w:eastAsia="en-AU"/>
              </w:rPr>
            </w:pPr>
            <w:r w:rsidRPr="00F45F11">
              <w:rPr>
                <w:lang w:eastAsia="en-AU"/>
              </w:rPr>
              <w:t>VPS 6</w:t>
            </w:r>
          </w:p>
        </w:tc>
        <w:tc>
          <w:tcPr>
            <w:tcW w:w="992" w:type="dxa"/>
            <w:tcBorders>
              <w:top w:val="single" w:sz="4" w:space="0" w:color="BFBFBF" w:themeColor="accent2"/>
              <w:bottom w:val="single" w:sz="4" w:space="0" w:color="auto"/>
            </w:tcBorders>
            <w:shd w:val="clear" w:color="auto" w:fill="E7E6E6" w:themeFill="background2"/>
            <w:hideMark/>
          </w:tcPr>
          <w:p w14:paraId="124E8708" w14:textId="77777777" w:rsidR="005E2BB1" w:rsidRPr="00F45F11" w:rsidRDefault="005E2BB1" w:rsidP="0093234E">
            <w:pPr>
              <w:pStyle w:val="ARtabletextright"/>
              <w:rPr>
                <w:lang w:eastAsia="en-AU"/>
              </w:rPr>
            </w:pPr>
            <w:r w:rsidRPr="00F45F11">
              <w:rPr>
                <w:lang w:eastAsia="en-AU"/>
              </w:rPr>
              <w:t>693</w:t>
            </w:r>
          </w:p>
        </w:tc>
        <w:tc>
          <w:tcPr>
            <w:tcW w:w="992" w:type="dxa"/>
            <w:tcBorders>
              <w:top w:val="single" w:sz="4" w:space="0" w:color="BFBFBF" w:themeColor="accent2"/>
              <w:bottom w:val="single" w:sz="4" w:space="0" w:color="auto"/>
            </w:tcBorders>
            <w:shd w:val="clear" w:color="auto" w:fill="E7E6E6" w:themeFill="background2"/>
            <w:hideMark/>
          </w:tcPr>
          <w:p w14:paraId="699EF4AD" w14:textId="77777777" w:rsidR="005E2BB1" w:rsidRPr="00F45F11" w:rsidRDefault="005E2BB1" w:rsidP="0093234E">
            <w:pPr>
              <w:pStyle w:val="ARtabletextright"/>
              <w:rPr>
                <w:lang w:eastAsia="en-AU"/>
              </w:rPr>
            </w:pPr>
            <w:r w:rsidRPr="00F45F11">
              <w:rPr>
                <w:lang w:eastAsia="en-AU"/>
              </w:rPr>
              <w:t>676.5</w:t>
            </w:r>
          </w:p>
        </w:tc>
        <w:tc>
          <w:tcPr>
            <w:tcW w:w="926" w:type="dxa"/>
            <w:tcBorders>
              <w:top w:val="single" w:sz="4" w:space="0" w:color="BFBFBF" w:themeColor="accent2"/>
              <w:bottom w:val="single" w:sz="4" w:space="0" w:color="auto"/>
            </w:tcBorders>
            <w:hideMark/>
          </w:tcPr>
          <w:p w14:paraId="121D8896" w14:textId="77777777" w:rsidR="005E2BB1" w:rsidRPr="00F45F11" w:rsidRDefault="005E2BB1" w:rsidP="0093234E">
            <w:pPr>
              <w:pStyle w:val="ARtabletextright"/>
              <w:rPr>
                <w:lang w:eastAsia="en-AU"/>
              </w:rPr>
            </w:pPr>
            <w:r w:rsidRPr="00F45F11">
              <w:rPr>
                <w:lang w:eastAsia="en-AU"/>
              </w:rPr>
              <w:t>524</w:t>
            </w:r>
          </w:p>
        </w:tc>
        <w:tc>
          <w:tcPr>
            <w:tcW w:w="926" w:type="dxa"/>
            <w:tcBorders>
              <w:top w:val="single" w:sz="4" w:space="0" w:color="BFBFBF" w:themeColor="accent2"/>
              <w:bottom w:val="single" w:sz="4" w:space="0" w:color="auto"/>
            </w:tcBorders>
            <w:hideMark/>
          </w:tcPr>
          <w:p w14:paraId="120DA003" w14:textId="77777777" w:rsidR="005E2BB1" w:rsidRPr="00F45F11" w:rsidRDefault="005E2BB1" w:rsidP="0093234E">
            <w:pPr>
              <w:pStyle w:val="ARtabletextright"/>
              <w:rPr>
                <w:lang w:eastAsia="en-AU"/>
              </w:rPr>
            </w:pPr>
            <w:r w:rsidRPr="00F45F11">
              <w:rPr>
                <w:lang w:eastAsia="en-AU"/>
              </w:rPr>
              <w:t>56</w:t>
            </w:r>
          </w:p>
        </w:tc>
        <w:tc>
          <w:tcPr>
            <w:tcW w:w="927" w:type="dxa"/>
            <w:tcBorders>
              <w:top w:val="single" w:sz="4" w:space="0" w:color="BFBFBF" w:themeColor="accent2"/>
              <w:bottom w:val="single" w:sz="4" w:space="0" w:color="auto"/>
            </w:tcBorders>
            <w:hideMark/>
          </w:tcPr>
          <w:p w14:paraId="2FC04B70" w14:textId="77777777" w:rsidR="005E2BB1" w:rsidRPr="00F45F11" w:rsidRDefault="005E2BB1" w:rsidP="0093234E">
            <w:pPr>
              <w:pStyle w:val="ARtabletextright"/>
              <w:rPr>
                <w:lang w:eastAsia="en-AU"/>
              </w:rPr>
            </w:pPr>
            <w:r w:rsidRPr="00F45F11">
              <w:rPr>
                <w:lang w:eastAsia="en-AU"/>
              </w:rPr>
              <w:t>566.0</w:t>
            </w:r>
          </w:p>
        </w:tc>
        <w:tc>
          <w:tcPr>
            <w:tcW w:w="1057" w:type="dxa"/>
            <w:tcBorders>
              <w:top w:val="single" w:sz="4" w:space="0" w:color="BFBFBF" w:themeColor="accent2"/>
              <w:bottom w:val="single" w:sz="4" w:space="0" w:color="auto"/>
            </w:tcBorders>
            <w:shd w:val="clear" w:color="auto" w:fill="E7E6E6" w:themeFill="background2"/>
            <w:hideMark/>
          </w:tcPr>
          <w:p w14:paraId="7F1AD1F0" w14:textId="77777777" w:rsidR="005E2BB1" w:rsidRPr="00F45F11" w:rsidRDefault="005E2BB1" w:rsidP="0093234E">
            <w:pPr>
              <w:pStyle w:val="ARtabletextright"/>
              <w:rPr>
                <w:lang w:eastAsia="en-AU"/>
              </w:rPr>
            </w:pPr>
            <w:r w:rsidRPr="00F45F11">
              <w:rPr>
                <w:lang w:eastAsia="en-AU"/>
              </w:rPr>
              <w:t>113</w:t>
            </w:r>
          </w:p>
        </w:tc>
        <w:tc>
          <w:tcPr>
            <w:tcW w:w="927" w:type="dxa"/>
            <w:tcBorders>
              <w:top w:val="single" w:sz="4" w:space="0" w:color="BFBFBF" w:themeColor="accent2"/>
              <w:bottom w:val="single" w:sz="4" w:space="0" w:color="auto"/>
            </w:tcBorders>
            <w:shd w:val="clear" w:color="auto" w:fill="E7E6E6" w:themeFill="background2"/>
            <w:hideMark/>
          </w:tcPr>
          <w:p w14:paraId="42F4E49D" w14:textId="77777777" w:rsidR="005E2BB1" w:rsidRPr="00F45F11" w:rsidRDefault="005E2BB1" w:rsidP="0093234E">
            <w:pPr>
              <w:pStyle w:val="ARtabletextright"/>
              <w:rPr>
                <w:lang w:eastAsia="en-AU"/>
              </w:rPr>
            </w:pPr>
            <w:r w:rsidRPr="00F45F11">
              <w:rPr>
                <w:lang w:eastAsia="en-AU"/>
              </w:rPr>
              <w:t>110.5</w:t>
            </w:r>
          </w:p>
        </w:tc>
        <w:tc>
          <w:tcPr>
            <w:tcW w:w="1057" w:type="dxa"/>
            <w:tcBorders>
              <w:top w:val="single" w:sz="4" w:space="0" w:color="BFBFBF" w:themeColor="accent2"/>
              <w:bottom w:val="single" w:sz="4" w:space="0" w:color="auto"/>
            </w:tcBorders>
            <w:hideMark/>
          </w:tcPr>
          <w:p w14:paraId="47F341C3" w14:textId="77777777" w:rsidR="005E2BB1" w:rsidRPr="00F45F11" w:rsidRDefault="005E2BB1" w:rsidP="0093234E">
            <w:pPr>
              <w:pStyle w:val="ARtabletextright"/>
              <w:rPr>
                <w:lang w:eastAsia="en-AU"/>
              </w:rPr>
            </w:pPr>
            <w:r w:rsidRPr="00F45F11">
              <w:rPr>
                <w:lang w:eastAsia="en-AU"/>
              </w:rPr>
              <w:t>710</w:t>
            </w:r>
          </w:p>
        </w:tc>
        <w:tc>
          <w:tcPr>
            <w:tcW w:w="927" w:type="dxa"/>
            <w:tcBorders>
              <w:top w:val="single" w:sz="4" w:space="0" w:color="BFBFBF" w:themeColor="accent2"/>
              <w:bottom w:val="single" w:sz="4" w:space="0" w:color="auto"/>
            </w:tcBorders>
            <w:hideMark/>
          </w:tcPr>
          <w:p w14:paraId="5A2EB0CD" w14:textId="77777777" w:rsidR="005E2BB1" w:rsidRPr="00F45F11" w:rsidRDefault="005E2BB1" w:rsidP="0093234E">
            <w:pPr>
              <w:pStyle w:val="ARtabletextright"/>
              <w:rPr>
                <w:lang w:eastAsia="en-AU"/>
              </w:rPr>
            </w:pPr>
            <w:r w:rsidRPr="00F45F11">
              <w:rPr>
                <w:lang w:eastAsia="en-AU"/>
              </w:rPr>
              <w:t>694.0</w:t>
            </w:r>
          </w:p>
        </w:tc>
        <w:tc>
          <w:tcPr>
            <w:tcW w:w="926" w:type="dxa"/>
            <w:tcBorders>
              <w:top w:val="single" w:sz="4" w:space="0" w:color="BFBFBF" w:themeColor="accent2"/>
              <w:bottom w:val="single" w:sz="4" w:space="0" w:color="auto"/>
            </w:tcBorders>
            <w:shd w:val="clear" w:color="auto" w:fill="E7E6E6" w:themeFill="background2"/>
            <w:hideMark/>
          </w:tcPr>
          <w:p w14:paraId="4C4195F1" w14:textId="77777777" w:rsidR="005E2BB1" w:rsidRPr="00F45F11" w:rsidRDefault="005E2BB1" w:rsidP="0093234E">
            <w:pPr>
              <w:pStyle w:val="ARtabletextright"/>
              <w:rPr>
                <w:lang w:eastAsia="en-AU"/>
              </w:rPr>
            </w:pPr>
            <w:r w:rsidRPr="00F45F11">
              <w:rPr>
                <w:lang w:eastAsia="en-AU"/>
              </w:rPr>
              <w:t>545</w:t>
            </w:r>
          </w:p>
        </w:tc>
        <w:tc>
          <w:tcPr>
            <w:tcW w:w="926" w:type="dxa"/>
            <w:tcBorders>
              <w:top w:val="single" w:sz="4" w:space="0" w:color="BFBFBF" w:themeColor="accent2"/>
              <w:bottom w:val="single" w:sz="4" w:space="0" w:color="auto"/>
            </w:tcBorders>
            <w:shd w:val="clear" w:color="auto" w:fill="E7E6E6" w:themeFill="background2"/>
            <w:hideMark/>
          </w:tcPr>
          <w:p w14:paraId="0B2226DB" w14:textId="77777777" w:rsidR="005E2BB1" w:rsidRPr="00F45F11" w:rsidRDefault="005E2BB1" w:rsidP="0093234E">
            <w:pPr>
              <w:pStyle w:val="ARtabletextright"/>
              <w:rPr>
                <w:lang w:eastAsia="en-AU"/>
              </w:rPr>
            </w:pPr>
            <w:r w:rsidRPr="00F45F11">
              <w:rPr>
                <w:lang w:eastAsia="en-AU"/>
              </w:rPr>
              <w:t>55</w:t>
            </w:r>
          </w:p>
        </w:tc>
        <w:tc>
          <w:tcPr>
            <w:tcW w:w="927" w:type="dxa"/>
            <w:tcBorders>
              <w:top w:val="single" w:sz="4" w:space="0" w:color="BFBFBF" w:themeColor="accent2"/>
              <w:bottom w:val="single" w:sz="4" w:space="0" w:color="auto"/>
            </w:tcBorders>
            <w:shd w:val="clear" w:color="auto" w:fill="E7E6E6" w:themeFill="background2"/>
            <w:hideMark/>
          </w:tcPr>
          <w:p w14:paraId="38394D0A" w14:textId="77777777" w:rsidR="005E2BB1" w:rsidRPr="00F45F11" w:rsidRDefault="005E2BB1" w:rsidP="0093234E">
            <w:pPr>
              <w:pStyle w:val="ARtabletextright"/>
              <w:rPr>
                <w:lang w:eastAsia="en-AU"/>
              </w:rPr>
            </w:pPr>
            <w:r w:rsidRPr="00F45F11">
              <w:rPr>
                <w:lang w:eastAsia="en-AU"/>
              </w:rPr>
              <w:t>586.5</w:t>
            </w:r>
          </w:p>
        </w:tc>
        <w:tc>
          <w:tcPr>
            <w:tcW w:w="1057" w:type="dxa"/>
            <w:tcBorders>
              <w:top w:val="single" w:sz="4" w:space="0" w:color="BFBFBF" w:themeColor="accent2"/>
              <w:bottom w:val="single" w:sz="4" w:space="0" w:color="auto"/>
            </w:tcBorders>
            <w:hideMark/>
          </w:tcPr>
          <w:p w14:paraId="094D5C4B" w14:textId="77777777" w:rsidR="005E2BB1" w:rsidRPr="00F45F11" w:rsidRDefault="005E2BB1" w:rsidP="0093234E">
            <w:pPr>
              <w:pStyle w:val="ARtabletextright"/>
              <w:rPr>
                <w:lang w:eastAsia="en-AU"/>
              </w:rPr>
            </w:pPr>
            <w:r w:rsidRPr="00F45F11">
              <w:rPr>
                <w:lang w:eastAsia="en-AU"/>
              </w:rPr>
              <w:t>110</w:t>
            </w:r>
          </w:p>
        </w:tc>
        <w:tc>
          <w:tcPr>
            <w:tcW w:w="927" w:type="dxa"/>
            <w:tcBorders>
              <w:top w:val="single" w:sz="4" w:space="0" w:color="BFBFBF" w:themeColor="accent2"/>
              <w:bottom w:val="single" w:sz="4" w:space="0" w:color="auto"/>
            </w:tcBorders>
            <w:hideMark/>
          </w:tcPr>
          <w:p w14:paraId="77DA4CAF" w14:textId="77777777" w:rsidR="005E2BB1" w:rsidRPr="00F45F11" w:rsidRDefault="005E2BB1" w:rsidP="0093234E">
            <w:pPr>
              <w:pStyle w:val="ARtabletextright"/>
              <w:rPr>
                <w:lang w:eastAsia="en-AU"/>
              </w:rPr>
            </w:pPr>
            <w:r w:rsidRPr="00F45F11">
              <w:rPr>
                <w:lang w:eastAsia="en-AU"/>
              </w:rPr>
              <w:t>107.6</w:t>
            </w:r>
          </w:p>
        </w:tc>
      </w:tr>
      <w:tr w:rsidR="005E2BB1" w:rsidRPr="00F45F11" w14:paraId="4B344E02"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tcBorders>
              <w:top w:val="single" w:sz="4" w:space="0" w:color="auto"/>
              <w:bottom w:val="single" w:sz="4" w:space="0" w:color="auto"/>
            </w:tcBorders>
            <w:hideMark/>
          </w:tcPr>
          <w:p w14:paraId="42E66A87" w14:textId="77777777" w:rsidR="005E2BB1" w:rsidRPr="00F45F11" w:rsidRDefault="005E2BB1" w:rsidP="0093234E">
            <w:pPr>
              <w:pStyle w:val="ARtabletextbold"/>
              <w:rPr>
                <w:lang w:eastAsia="en-AU"/>
              </w:rPr>
            </w:pPr>
            <w:r w:rsidRPr="00F45F11">
              <w:rPr>
                <w:lang w:eastAsia="en-AU"/>
              </w:rPr>
              <w:t>Total</w:t>
            </w:r>
          </w:p>
        </w:tc>
        <w:tc>
          <w:tcPr>
            <w:tcW w:w="992" w:type="dxa"/>
            <w:tcBorders>
              <w:top w:val="single" w:sz="4" w:space="0" w:color="auto"/>
              <w:bottom w:val="single" w:sz="4" w:space="0" w:color="auto"/>
            </w:tcBorders>
            <w:shd w:val="clear" w:color="auto" w:fill="E7E6E6" w:themeFill="background2"/>
            <w:hideMark/>
          </w:tcPr>
          <w:p w14:paraId="1C9187D3" w14:textId="107674A1" w:rsidR="005E2BB1" w:rsidRPr="00F45F11" w:rsidRDefault="005E2BB1" w:rsidP="0093234E">
            <w:pPr>
              <w:pStyle w:val="ARtabletextrightbold"/>
              <w:rPr>
                <w:lang w:eastAsia="en-AU"/>
              </w:rPr>
            </w:pPr>
            <w:r w:rsidRPr="00F45F11">
              <w:rPr>
                <w:lang w:eastAsia="en-AU"/>
              </w:rPr>
              <w:t>3</w:t>
            </w:r>
            <w:r w:rsidR="00333488" w:rsidRPr="00F45F11">
              <w:rPr>
                <w:lang w:eastAsia="en-AU"/>
              </w:rPr>
              <w:t>,</w:t>
            </w:r>
            <w:r w:rsidRPr="00F45F11">
              <w:rPr>
                <w:lang w:eastAsia="en-AU"/>
              </w:rPr>
              <w:t>097</w:t>
            </w:r>
          </w:p>
        </w:tc>
        <w:tc>
          <w:tcPr>
            <w:tcW w:w="992" w:type="dxa"/>
            <w:tcBorders>
              <w:top w:val="single" w:sz="4" w:space="0" w:color="auto"/>
              <w:bottom w:val="single" w:sz="4" w:space="0" w:color="auto"/>
            </w:tcBorders>
            <w:shd w:val="clear" w:color="auto" w:fill="E7E6E6" w:themeFill="background2"/>
            <w:hideMark/>
          </w:tcPr>
          <w:p w14:paraId="161467C5" w14:textId="10F7E0C4" w:rsidR="005E2BB1" w:rsidRPr="00F45F11" w:rsidRDefault="005E2BB1" w:rsidP="0093234E">
            <w:pPr>
              <w:pStyle w:val="ARtabletextrightbold"/>
              <w:rPr>
                <w:lang w:eastAsia="en-AU"/>
              </w:rPr>
            </w:pPr>
            <w:r w:rsidRPr="00F45F11">
              <w:rPr>
                <w:lang w:eastAsia="en-AU"/>
              </w:rPr>
              <w:t>2</w:t>
            </w:r>
            <w:r w:rsidR="00333488" w:rsidRPr="00F45F11">
              <w:rPr>
                <w:lang w:eastAsia="en-AU"/>
              </w:rPr>
              <w:t>,</w:t>
            </w:r>
            <w:r w:rsidRPr="00F45F11">
              <w:rPr>
                <w:lang w:eastAsia="en-AU"/>
              </w:rPr>
              <w:t>952.0</w:t>
            </w:r>
          </w:p>
        </w:tc>
        <w:tc>
          <w:tcPr>
            <w:tcW w:w="926" w:type="dxa"/>
            <w:tcBorders>
              <w:top w:val="single" w:sz="4" w:space="0" w:color="auto"/>
              <w:bottom w:val="single" w:sz="4" w:space="0" w:color="auto"/>
            </w:tcBorders>
            <w:hideMark/>
          </w:tcPr>
          <w:p w14:paraId="27DDBA4C" w14:textId="77777777" w:rsidR="005E2BB1" w:rsidRPr="00F45F11" w:rsidRDefault="005E2BB1" w:rsidP="0093234E">
            <w:pPr>
              <w:pStyle w:val="ARtabletextrightbold"/>
              <w:rPr>
                <w:lang w:eastAsia="en-AU"/>
              </w:rPr>
            </w:pPr>
            <w:r w:rsidRPr="00F45F11">
              <w:rPr>
                <w:lang w:eastAsia="en-AU"/>
              </w:rPr>
              <w:t>2143</w:t>
            </w:r>
          </w:p>
        </w:tc>
        <w:tc>
          <w:tcPr>
            <w:tcW w:w="926" w:type="dxa"/>
            <w:tcBorders>
              <w:top w:val="single" w:sz="4" w:space="0" w:color="auto"/>
              <w:bottom w:val="single" w:sz="4" w:space="0" w:color="auto"/>
            </w:tcBorders>
            <w:hideMark/>
          </w:tcPr>
          <w:p w14:paraId="0040C543" w14:textId="77777777" w:rsidR="005E2BB1" w:rsidRPr="00F45F11" w:rsidRDefault="005E2BB1" w:rsidP="0093234E">
            <w:pPr>
              <w:pStyle w:val="ARtabletextrightbold"/>
              <w:rPr>
                <w:lang w:eastAsia="en-AU"/>
              </w:rPr>
            </w:pPr>
            <w:r w:rsidRPr="00F45F11">
              <w:rPr>
                <w:lang w:eastAsia="en-AU"/>
              </w:rPr>
              <w:t>350</w:t>
            </w:r>
          </w:p>
        </w:tc>
        <w:tc>
          <w:tcPr>
            <w:tcW w:w="927" w:type="dxa"/>
            <w:tcBorders>
              <w:top w:val="single" w:sz="4" w:space="0" w:color="auto"/>
              <w:bottom w:val="single" w:sz="4" w:space="0" w:color="auto"/>
            </w:tcBorders>
            <w:hideMark/>
          </w:tcPr>
          <w:p w14:paraId="4FDC5209" w14:textId="637169E2" w:rsidR="005E2BB1" w:rsidRPr="00F45F11" w:rsidRDefault="005E2BB1" w:rsidP="0093234E">
            <w:pPr>
              <w:pStyle w:val="ARtabletextrightbold"/>
              <w:rPr>
                <w:lang w:eastAsia="en-AU"/>
              </w:rPr>
            </w:pPr>
            <w:r w:rsidRPr="00F45F11">
              <w:rPr>
                <w:lang w:eastAsia="en-AU"/>
              </w:rPr>
              <w:t>2</w:t>
            </w:r>
            <w:r w:rsidR="00333488" w:rsidRPr="00F45F11">
              <w:rPr>
                <w:lang w:eastAsia="en-AU"/>
              </w:rPr>
              <w:t>,</w:t>
            </w:r>
            <w:r w:rsidRPr="00F45F11">
              <w:rPr>
                <w:lang w:eastAsia="en-AU"/>
              </w:rPr>
              <w:t>387.3</w:t>
            </w:r>
          </w:p>
        </w:tc>
        <w:tc>
          <w:tcPr>
            <w:tcW w:w="1057" w:type="dxa"/>
            <w:tcBorders>
              <w:top w:val="single" w:sz="4" w:space="0" w:color="auto"/>
              <w:bottom w:val="single" w:sz="4" w:space="0" w:color="auto"/>
            </w:tcBorders>
            <w:shd w:val="clear" w:color="auto" w:fill="E7E6E6" w:themeFill="background2"/>
            <w:hideMark/>
          </w:tcPr>
          <w:p w14:paraId="5244140A" w14:textId="77777777" w:rsidR="005E2BB1" w:rsidRPr="00F45F11" w:rsidRDefault="005E2BB1" w:rsidP="0093234E">
            <w:pPr>
              <w:pStyle w:val="ARtabletextrightbold"/>
              <w:rPr>
                <w:lang w:eastAsia="en-AU"/>
              </w:rPr>
            </w:pPr>
            <w:r w:rsidRPr="00F45F11">
              <w:rPr>
                <w:lang w:eastAsia="en-AU"/>
              </w:rPr>
              <w:t>604</w:t>
            </w:r>
          </w:p>
        </w:tc>
        <w:tc>
          <w:tcPr>
            <w:tcW w:w="927" w:type="dxa"/>
            <w:tcBorders>
              <w:top w:val="single" w:sz="4" w:space="0" w:color="auto"/>
              <w:bottom w:val="single" w:sz="4" w:space="0" w:color="auto"/>
            </w:tcBorders>
            <w:shd w:val="clear" w:color="auto" w:fill="E7E6E6" w:themeFill="background2"/>
            <w:hideMark/>
          </w:tcPr>
          <w:p w14:paraId="18C193A9" w14:textId="77777777" w:rsidR="005E2BB1" w:rsidRPr="00F45F11" w:rsidRDefault="005E2BB1" w:rsidP="0093234E">
            <w:pPr>
              <w:pStyle w:val="ARtabletextrightbold"/>
              <w:rPr>
                <w:lang w:eastAsia="en-AU"/>
              </w:rPr>
            </w:pPr>
            <w:r w:rsidRPr="00F45F11">
              <w:rPr>
                <w:lang w:eastAsia="en-AU"/>
              </w:rPr>
              <w:t>564.7</w:t>
            </w:r>
          </w:p>
        </w:tc>
        <w:tc>
          <w:tcPr>
            <w:tcW w:w="1057" w:type="dxa"/>
            <w:tcBorders>
              <w:top w:val="single" w:sz="4" w:space="0" w:color="auto"/>
              <w:bottom w:val="single" w:sz="4" w:space="0" w:color="auto"/>
            </w:tcBorders>
            <w:hideMark/>
          </w:tcPr>
          <w:p w14:paraId="554A6D92" w14:textId="2B322317" w:rsidR="005E2BB1" w:rsidRPr="00F45F11" w:rsidRDefault="005E2BB1" w:rsidP="0093234E">
            <w:pPr>
              <w:pStyle w:val="ARtabletextrightbold"/>
              <w:rPr>
                <w:lang w:eastAsia="en-AU"/>
              </w:rPr>
            </w:pPr>
            <w:r w:rsidRPr="00F45F11">
              <w:rPr>
                <w:lang w:eastAsia="en-AU"/>
              </w:rPr>
              <w:t>3</w:t>
            </w:r>
            <w:r w:rsidR="00333488" w:rsidRPr="00F45F11">
              <w:rPr>
                <w:lang w:eastAsia="en-AU"/>
              </w:rPr>
              <w:t>,</w:t>
            </w:r>
            <w:r w:rsidRPr="00F45F11">
              <w:rPr>
                <w:lang w:eastAsia="en-AU"/>
              </w:rPr>
              <w:t>175</w:t>
            </w:r>
          </w:p>
        </w:tc>
        <w:tc>
          <w:tcPr>
            <w:tcW w:w="927" w:type="dxa"/>
            <w:tcBorders>
              <w:top w:val="single" w:sz="4" w:space="0" w:color="auto"/>
              <w:bottom w:val="single" w:sz="4" w:space="0" w:color="auto"/>
            </w:tcBorders>
            <w:hideMark/>
          </w:tcPr>
          <w:p w14:paraId="235A5634" w14:textId="3D78EEE4" w:rsidR="005E2BB1" w:rsidRPr="00F45F11" w:rsidRDefault="005E2BB1" w:rsidP="0093234E">
            <w:pPr>
              <w:pStyle w:val="ARtabletextrightbold"/>
              <w:rPr>
                <w:lang w:eastAsia="en-AU"/>
              </w:rPr>
            </w:pPr>
            <w:r w:rsidRPr="00F45F11">
              <w:rPr>
                <w:lang w:eastAsia="en-AU"/>
              </w:rPr>
              <w:t>3</w:t>
            </w:r>
            <w:r w:rsidR="00333488" w:rsidRPr="00F45F11">
              <w:rPr>
                <w:lang w:eastAsia="en-AU"/>
              </w:rPr>
              <w:t>,</w:t>
            </w:r>
            <w:r w:rsidRPr="00F45F11">
              <w:rPr>
                <w:lang w:eastAsia="en-AU"/>
              </w:rPr>
              <w:t>029.5</w:t>
            </w:r>
          </w:p>
        </w:tc>
        <w:tc>
          <w:tcPr>
            <w:tcW w:w="926" w:type="dxa"/>
            <w:tcBorders>
              <w:top w:val="single" w:sz="4" w:space="0" w:color="auto"/>
              <w:bottom w:val="single" w:sz="4" w:space="0" w:color="auto"/>
            </w:tcBorders>
            <w:shd w:val="clear" w:color="auto" w:fill="E7E6E6" w:themeFill="background2"/>
            <w:hideMark/>
          </w:tcPr>
          <w:p w14:paraId="5BA9CC66" w14:textId="04A0E306" w:rsidR="005E2BB1" w:rsidRPr="00F45F11" w:rsidRDefault="005E2BB1" w:rsidP="0093234E">
            <w:pPr>
              <w:pStyle w:val="ARtabletextrightbold"/>
              <w:rPr>
                <w:lang w:eastAsia="en-AU"/>
              </w:rPr>
            </w:pPr>
            <w:r w:rsidRPr="00F45F11">
              <w:rPr>
                <w:lang w:eastAsia="en-AU"/>
              </w:rPr>
              <w:t>2</w:t>
            </w:r>
            <w:r w:rsidR="00333488" w:rsidRPr="00F45F11">
              <w:rPr>
                <w:lang w:eastAsia="en-AU"/>
              </w:rPr>
              <w:t>,</w:t>
            </w:r>
            <w:r w:rsidRPr="00F45F11">
              <w:rPr>
                <w:lang w:eastAsia="en-AU"/>
              </w:rPr>
              <w:t>187</w:t>
            </w:r>
          </w:p>
        </w:tc>
        <w:tc>
          <w:tcPr>
            <w:tcW w:w="926" w:type="dxa"/>
            <w:tcBorders>
              <w:top w:val="single" w:sz="4" w:space="0" w:color="auto"/>
              <w:bottom w:val="single" w:sz="4" w:space="0" w:color="auto"/>
            </w:tcBorders>
            <w:shd w:val="clear" w:color="auto" w:fill="E7E6E6" w:themeFill="background2"/>
            <w:hideMark/>
          </w:tcPr>
          <w:p w14:paraId="1C135826" w14:textId="77777777" w:rsidR="005E2BB1" w:rsidRPr="00F45F11" w:rsidRDefault="005E2BB1" w:rsidP="0093234E">
            <w:pPr>
              <w:pStyle w:val="ARtabletextrightbold"/>
              <w:rPr>
                <w:lang w:eastAsia="en-AU"/>
              </w:rPr>
            </w:pPr>
            <w:r w:rsidRPr="00F45F11">
              <w:rPr>
                <w:lang w:eastAsia="en-AU"/>
              </w:rPr>
              <w:t>338</w:t>
            </w:r>
          </w:p>
        </w:tc>
        <w:tc>
          <w:tcPr>
            <w:tcW w:w="927" w:type="dxa"/>
            <w:tcBorders>
              <w:top w:val="single" w:sz="4" w:space="0" w:color="auto"/>
              <w:bottom w:val="single" w:sz="4" w:space="0" w:color="auto"/>
            </w:tcBorders>
            <w:shd w:val="clear" w:color="auto" w:fill="E7E6E6" w:themeFill="background2"/>
            <w:hideMark/>
          </w:tcPr>
          <w:p w14:paraId="2D295D48" w14:textId="7206A97C" w:rsidR="005E2BB1" w:rsidRPr="00F45F11" w:rsidRDefault="005E2BB1" w:rsidP="0093234E">
            <w:pPr>
              <w:pStyle w:val="ARtabletextrightbold"/>
              <w:rPr>
                <w:lang w:eastAsia="en-AU"/>
              </w:rPr>
            </w:pPr>
            <w:r w:rsidRPr="00F45F11">
              <w:rPr>
                <w:lang w:eastAsia="en-AU"/>
              </w:rPr>
              <w:t>2</w:t>
            </w:r>
            <w:r w:rsidR="00333488" w:rsidRPr="00F45F11">
              <w:rPr>
                <w:lang w:eastAsia="en-AU"/>
              </w:rPr>
              <w:t>,</w:t>
            </w:r>
            <w:r w:rsidRPr="00F45F11">
              <w:rPr>
                <w:lang w:eastAsia="en-AU"/>
              </w:rPr>
              <w:t>421.9</w:t>
            </w:r>
          </w:p>
        </w:tc>
        <w:tc>
          <w:tcPr>
            <w:tcW w:w="1057" w:type="dxa"/>
            <w:tcBorders>
              <w:top w:val="single" w:sz="4" w:space="0" w:color="auto"/>
              <w:bottom w:val="single" w:sz="4" w:space="0" w:color="auto"/>
            </w:tcBorders>
            <w:hideMark/>
          </w:tcPr>
          <w:p w14:paraId="26EC64D4" w14:textId="77777777" w:rsidR="005E2BB1" w:rsidRPr="00F45F11" w:rsidRDefault="005E2BB1" w:rsidP="0093234E">
            <w:pPr>
              <w:pStyle w:val="ARtabletextrightbold"/>
              <w:rPr>
                <w:lang w:eastAsia="en-AU"/>
              </w:rPr>
            </w:pPr>
            <w:r w:rsidRPr="00F45F11">
              <w:rPr>
                <w:lang w:eastAsia="en-AU"/>
              </w:rPr>
              <w:t>650</w:t>
            </w:r>
          </w:p>
        </w:tc>
        <w:tc>
          <w:tcPr>
            <w:tcW w:w="927" w:type="dxa"/>
            <w:tcBorders>
              <w:top w:val="single" w:sz="4" w:space="0" w:color="auto"/>
              <w:bottom w:val="single" w:sz="4" w:space="0" w:color="auto"/>
            </w:tcBorders>
            <w:hideMark/>
          </w:tcPr>
          <w:p w14:paraId="55E4F267" w14:textId="77777777" w:rsidR="005E2BB1" w:rsidRPr="00F45F11" w:rsidRDefault="005E2BB1" w:rsidP="0093234E">
            <w:pPr>
              <w:pStyle w:val="ARtabletextrightbold"/>
              <w:rPr>
                <w:lang w:eastAsia="en-AU"/>
              </w:rPr>
            </w:pPr>
            <w:r w:rsidRPr="00F45F11">
              <w:rPr>
                <w:lang w:eastAsia="en-AU"/>
              </w:rPr>
              <w:t>607.5</w:t>
            </w:r>
          </w:p>
        </w:tc>
      </w:tr>
      <w:tr w:rsidR="00F659C1" w:rsidRPr="00F45F11" w14:paraId="4874C5D4"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tcPr>
          <w:p w14:paraId="54141BD5" w14:textId="3F929B3A" w:rsidR="00F659C1" w:rsidRPr="00F45F11" w:rsidRDefault="00F659C1" w:rsidP="00F659C1">
            <w:pPr>
              <w:pStyle w:val="ARTabletextboldcoloured"/>
              <w:rPr>
                <w:lang w:eastAsia="en-AU"/>
              </w:rPr>
            </w:pPr>
            <w:r w:rsidRPr="00F45F11">
              <w:rPr>
                <w:lang w:eastAsia="en-AU"/>
              </w:rPr>
              <w:t>Child Protection Practitioner </w:t>
            </w:r>
          </w:p>
        </w:tc>
        <w:tc>
          <w:tcPr>
            <w:tcW w:w="992" w:type="dxa"/>
          </w:tcPr>
          <w:p w14:paraId="227C9592" w14:textId="77777777" w:rsidR="00F659C1" w:rsidRPr="00F45F11" w:rsidRDefault="00F659C1" w:rsidP="0093234E">
            <w:pPr>
              <w:pStyle w:val="ARtabletextright"/>
              <w:rPr>
                <w:lang w:eastAsia="en-AU"/>
              </w:rPr>
            </w:pPr>
          </w:p>
        </w:tc>
        <w:tc>
          <w:tcPr>
            <w:tcW w:w="992" w:type="dxa"/>
          </w:tcPr>
          <w:p w14:paraId="2082B7B1" w14:textId="77777777" w:rsidR="00F659C1" w:rsidRPr="00F45F11" w:rsidRDefault="00F659C1" w:rsidP="0093234E">
            <w:pPr>
              <w:pStyle w:val="ARtabletextright"/>
              <w:rPr>
                <w:lang w:eastAsia="en-AU"/>
              </w:rPr>
            </w:pPr>
          </w:p>
        </w:tc>
        <w:tc>
          <w:tcPr>
            <w:tcW w:w="926" w:type="dxa"/>
          </w:tcPr>
          <w:p w14:paraId="51CDB6E0" w14:textId="77777777" w:rsidR="00F659C1" w:rsidRPr="00F45F11" w:rsidRDefault="00F659C1" w:rsidP="0093234E">
            <w:pPr>
              <w:pStyle w:val="ARtabletextright"/>
              <w:rPr>
                <w:lang w:eastAsia="en-AU"/>
              </w:rPr>
            </w:pPr>
          </w:p>
        </w:tc>
        <w:tc>
          <w:tcPr>
            <w:tcW w:w="926" w:type="dxa"/>
          </w:tcPr>
          <w:p w14:paraId="5BED8458" w14:textId="77777777" w:rsidR="00F659C1" w:rsidRPr="00F45F11" w:rsidRDefault="00F659C1" w:rsidP="0093234E">
            <w:pPr>
              <w:pStyle w:val="ARtabletextright"/>
              <w:rPr>
                <w:lang w:eastAsia="en-AU"/>
              </w:rPr>
            </w:pPr>
          </w:p>
        </w:tc>
        <w:tc>
          <w:tcPr>
            <w:tcW w:w="927" w:type="dxa"/>
          </w:tcPr>
          <w:p w14:paraId="41FAFD0F" w14:textId="77777777" w:rsidR="00F659C1" w:rsidRPr="00F45F11" w:rsidRDefault="00F659C1" w:rsidP="0093234E">
            <w:pPr>
              <w:pStyle w:val="ARtabletextright"/>
              <w:rPr>
                <w:lang w:eastAsia="en-AU"/>
              </w:rPr>
            </w:pPr>
          </w:p>
        </w:tc>
        <w:tc>
          <w:tcPr>
            <w:tcW w:w="1057" w:type="dxa"/>
          </w:tcPr>
          <w:p w14:paraId="54CB012A" w14:textId="77777777" w:rsidR="00F659C1" w:rsidRPr="00F45F11" w:rsidRDefault="00F659C1" w:rsidP="0093234E">
            <w:pPr>
              <w:pStyle w:val="ARtabletextright"/>
              <w:rPr>
                <w:lang w:eastAsia="en-AU"/>
              </w:rPr>
            </w:pPr>
          </w:p>
        </w:tc>
        <w:tc>
          <w:tcPr>
            <w:tcW w:w="927" w:type="dxa"/>
          </w:tcPr>
          <w:p w14:paraId="0AF88480" w14:textId="77777777" w:rsidR="00F659C1" w:rsidRPr="00F45F11" w:rsidRDefault="00F659C1" w:rsidP="0093234E">
            <w:pPr>
              <w:pStyle w:val="ARtabletextright"/>
              <w:rPr>
                <w:lang w:eastAsia="en-AU"/>
              </w:rPr>
            </w:pPr>
          </w:p>
        </w:tc>
        <w:tc>
          <w:tcPr>
            <w:tcW w:w="1057" w:type="dxa"/>
          </w:tcPr>
          <w:p w14:paraId="7AFFC69D" w14:textId="77777777" w:rsidR="00F659C1" w:rsidRPr="00F45F11" w:rsidRDefault="00F659C1" w:rsidP="0093234E">
            <w:pPr>
              <w:pStyle w:val="ARtabletextright"/>
              <w:rPr>
                <w:lang w:eastAsia="en-AU"/>
              </w:rPr>
            </w:pPr>
          </w:p>
        </w:tc>
        <w:tc>
          <w:tcPr>
            <w:tcW w:w="927" w:type="dxa"/>
          </w:tcPr>
          <w:p w14:paraId="41736401" w14:textId="77777777" w:rsidR="00F659C1" w:rsidRPr="00F45F11" w:rsidRDefault="00F659C1" w:rsidP="0093234E">
            <w:pPr>
              <w:pStyle w:val="ARtabletextright"/>
              <w:rPr>
                <w:lang w:eastAsia="en-AU"/>
              </w:rPr>
            </w:pPr>
          </w:p>
        </w:tc>
        <w:tc>
          <w:tcPr>
            <w:tcW w:w="926" w:type="dxa"/>
          </w:tcPr>
          <w:p w14:paraId="02D054A8" w14:textId="77777777" w:rsidR="00F659C1" w:rsidRPr="00F45F11" w:rsidRDefault="00F659C1" w:rsidP="0093234E">
            <w:pPr>
              <w:pStyle w:val="ARtabletextright"/>
              <w:rPr>
                <w:lang w:eastAsia="en-AU"/>
              </w:rPr>
            </w:pPr>
          </w:p>
        </w:tc>
        <w:tc>
          <w:tcPr>
            <w:tcW w:w="926" w:type="dxa"/>
          </w:tcPr>
          <w:p w14:paraId="0D4C5FCA" w14:textId="77777777" w:rsidR="00F659C1" w:rsidRPr="00F45F11" w:rsidRDefault="00F659C1" w:rsidP="0093234E">
            <w:pPr>
              <w:pStyle w:val="ARtabletextright"/>
              <w:rPr>
                <w:lang w:eastAsia="en-AU"/>
              </w:rPr>
            </w:pPr>
          </w:p>
        </w:tc>
        <w:tc>
          <w:tcPr>
            <w:tcW w:w="927" w:type="dxa"/>
          </w:tcPr>
          <w:p w14:paraId="4603890C" w14:textId="77777777" w:rsidR="00F659C1" w:rsidRPr="00F45F11" w:rsidRDefault="00F659C1" w:rsidP="0093234E">
            <w:pPr>
              <w:pStyle w:val="ARtabletextright"/>
              <w:rPr>
                <w:lang w:eastAsia="en-AU"/>
              </w:rPr>
            </w:pPr>
          </w:p>
        </w:tc>
        <w:tc>
          <w:tcPr>
            <w:tcW w:w="1057" w:type="dxa"/>
          </w:tcPr>
          <w:p w14:paraId="10AD78D4" w14:textId="77777777" w:rsidR="00F659C1" w:rsidRPr="00F45F11" w:rsidRDefault="00F659C1" w:rsidP="0093234E">
            <w:pPr>
              <w:pStyle w:val="ARtabletextright"/>
              <w:rPr>
                <w:lang w:eastAsia="en-AU"/>
              </w:rPr>
            </w:pPr>
          </w:p>
        </w:tc>
        <w:tc>
          <w:tcPr>
            <w:tcW w:w="927" w:type="dxa"/>
          </w:tcPr>
          <w:p w14:paraId="6A0121A6" w14:textId="77777777" w:rsidR="00F659C1" w:rsidRPr="00F45F11" w:rsidRDefault="00F659C1" w:rsidP="0093234E">
            <w:pPr>
              <w:pStyle w:val="ARtabletextright"/>
              <w:rPr>
                <w:lang w:eastAsia="en-AU"/>
              </w:rPr>
            </w:pPr>
          </w:p>
        </w:tc>
      </w:tr>
      <w:tr w:rsidR="005E2BB1" w:rsidRPr="00F45F11" w14:paraId="158FD3C8"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hideMark/>
          </w:tcPr>
          <w:p w14:paraId="070FA448" w14:textId="77777777" w:rsidR="005E2BB1" w:rsidRPr="00F45F11" w:rsidRDefault="005E2BB1" w:rsidP="0093234E">
            <w:pPr>
              <w:pStyle w:val="ARTabletext"/>
              <w:rPr>
                <w:lang w:eastAsia="en-AU"/>
              </w:rPr>
            </w:pPr>
            <w:r w:rsidRPr="00F45F11">
              <w:rPr>
                <w:lang w:eastAsia="en-AU"/>
              </w:rPr>
              <w:t>CPP 2</w:t>
            </w:r>
          </w:p>
        </w:tc>
        <w:tc>
          <w:tcPr>
            <w:tcW w:w="992" w:type="dxa"/>
            <w:shd w:val="clear" w:color="auto" w:fill="E7E6E6" w:themeFill="background2"/>
            <w:hideMark/>
          </w:tcPr>
          <w:p w14:paraId="7E1E0C4F" w14:textId="77777777" w:rsidR="005E2BB1" w:rsidRPr="00F45F11" w:rsidRDefault="005E2BB1" w:rsidP="0093234E">
            <w:pPr>
              <w:pStyle w:val="ARtabletextright"/>
              <w:rPr>
                <w:lang w:eastAsia="en-AU"/>
              </w:rPr>
            </w:pPr>
            <w:r w:rsidRPr="00F45F11">
              <w:rPr>
                <w:lang w:eastAsia="en-AU"/>
              </w:rPr>
              <w:t>378</w:t>
            </w:r>
          </w:p>
        </w:tc>
        <w:tc>
          <w:tcPr>
            <w:tcW w:w="992" w:type="dxa"/>
            <w:shd w:val="clear" w:color="auto" w:fill="E7E6E6" w:themeFill="background2"/>
            <w:hideMark/>
          </w:tcPr>
          <w:p w14:paraId="61CB2EB4" w14:textId="77777777" w:rsidR="005E2BB1" w:rsidRPr="00F45F11" w:rsidRDefault="005E2BB1" w:rsidP="0093234E">
            <w:pPr>
              <w:pStyle w:val="ARtabletextright"/>
              <w:rPr>
                <w:lang w:eastAsia="en-AU"/>
              </w:rPr>
            </w:pPr>
            <w:r w:rsidRPr="00F45F11">
              <w:rPr>
                <w:lang w:eastAsia="en-AU"/>
              </w:rPr>
              <w:t>327.5</w:t>
            </w:r>
          </w:p>
        </w:tc>
        <w:tc>
          <w:tcPr>
            <w:tcW w:w="926" w:type="dxa"/>
            <w:hideMark/>
          </w:tcPr>
          <w:p w14:paraId="4ACBA0E8" w14:textId="77777777" w:rsidR="005E2BB1" w:rsidRPr="00F45F11" w:rsidRDefault="005E2BB1" w:rsidP="0093234E">
            <w:pPr>
              <w:pStyle w:val="ARtabletextright"/>
              <w:rPr>
                <w:lang w:eastAsia="en-AU"/>
              </w:rPr>
            </w:pPr>
            <w:r w:rsidRPr="00F45F11">
              <w:rPr>
                <w:lang w:eastAsia="en-AU"/>
              </w:rPr>
              <w:t>148</w:t>
            </w:r>
          </w:p>
        </w:tc>
        <w:tc>
          <w:tcPr>
            <w:tcW w:w="926" w:type="dxa"/>
            <w:hideMark/>
          </w:tcPr>
          <w:p w14:paraId="00E8C53E" w14:textId="77777777" w:rsidR="005E2BB1" w:rsidRPr="00F45F11" w:rsidRDefault="005E2BB1" w:rsidP="0093234E">
            <w:pPr>
              <w:pStyle w:val="ARtabletextright"/>
              <w:rPr>
                <w:lang w:eastAsia="en-AU"/>
              </w:rPr>
            </w:pPr>
            <w:r w:rsidRPr="00F45F11">
              <w:rPr>
                <w:lang w:eastAsia="en-AU"/>
              </w:rPr>
              <w:t>58</w:t>
            </w:r>
          </w:p>
        </w:tc>
        <w:tc>
          <w:tcPr>
            <w:tcW w:w="927" w:type="dxa"/>
            <w:hideMark/>
          </w:tcPr>
          <w:p w14:paraId="7CE390A5" w14:textId="77777777" w:rsidR="005E2BB1" w:rsidRPr="00F45F11" w:rsidRDefault="005E2BB1" w:rsidP="0093234E">
            <w:pPr>
              <w:pStyle w:val="ARtabletextright"/>
              <w:rPr>
                <w:lang w:eastAsia="en-AU"/>
              </w:rPr>
            </w:pPr>
            <w:r w:rsidRPr="00F45F11">
              <w:rPr>
                <w:lang w:eastAsia="en-AU"/>
              </w:rPr>
              <w:t>184.7</w:t>
            </w:r>
          </w:p>
        </w:tc>
        <w:tc>
          <w:tcPr>
            <w:tcW w:w="1057" w:type="dxa"/>
            <w:shd w:val="clear" w:color="auto" w:fill="E7E6E6" w:themeFill="background2"/>
            <w:hideMark/>
          </w:tcPr>
          <w:p w14:paraId="413101D4" w14:textId="77777777" w:rsidR="005E2BB1" w:rsidRPr="00F45F11" w:rsidRDefault="005E2BB1" w:rsidP="0093234E">
            <w:pPr>
              <w:pStyle w:val="ARtabletextright"/>
              <w:rPr>
                <w:lang w:eastAsia="en-AU"/>
              </w:rPr>
            </w:pPr>
            <w:r w:rsidRPr="00F45F11">
              <w:rPr>
                <w:lang w:eastAsia="en-AU"/>
              </w:rPr>
              <w:t>172</w:t>
            </w:r>
          </w:p>
        </w:tc>
        <w:tc>
          <w:tcPr>
            <w:tcW w:w="927" w:type="dxa"/>
            <w:shd w:val="clear" w:color="auto" w:fill="E7E6E6" w:themeFill="background2"/>
            <w:hideMark/>
          </w:tcPr>
          <w:p w14:paraId="101FF903" w14:textId="77777777" w:rsidR="005E2BB1" w:rsidRPr="00F45F11" w:rsidRDefault="005E2BB1" w:rsidP="0093234E">
            <w:pPr>
              <w:pStyle w:val="ARtabletextright"/>
              <w:rPr>
                <w:lang w:eastAsia="en-AU"/>
              </w:rPr>
            </w:pPr>
            <w:r w:rsidRPr="00F45F11">
              <w:rPr>
                <w:lang w:eastAsia="en-AU"/>
              </w:rPr>
              <w:t>142.8</w:t>
            </w:r>
          </w:p>
        </w:tc>
        <w:tc>
          <w:tcPr>
            <w:tcW w:w="1057" w:type="dxa"/>
            <w:hideMark/>
          </w:tcPr>
          <w:p w14:paraId="35A09725" w14:textId="77777777" w:rsidR="005E2BB1" w:rsidRPr="00F45F11" w:rsidRDefault="005E2BB1" w:rsidP="0093234E">
            <w:pPr>
              <w:pStyle w:val="ARtabletextright"/>
              <w:rPr>
                <w:lang w:eastAsia="en-AU"/>
              </w:rPr>
            </w:pPr>
            <w:r w:rsidRPr="00F45F11">
              <w:rPr>
                <w:lang w:eastAsia="en-AU"/>
              </w:rPr>
              <w:t>299</w:t>
            </w:r>
          </w:p>
        </w:tc>
        <w:tc>
          <w:tcPr>
            <w:tcW w:w="927" w:type="dxa"/>
            <w:hideMark/>
          </w:tcPr>
          <w:p w14:paraId="6CD342FA" w14:textId="77777777" w:rsidR="005E2BB1" w:rsidRPr="00F45F11" w:rsidRDefault="005E2BB1" w:rsidP="0093234E">
            <w:pPr>
              <w:pStyle w:val="ARtabletextright"/>
              <w:rPr>
                <w:lang w:eastAsia="en-AU"/>
              </w:rPr>
            </w:pPr>
            <w:r w:rsidRPr="00F45F11">
              <w:rPr>
                <w:lang w:eastAsia="en-AU"/>
              </w:rPr>
              <w:t>253.2</w:t>
            </w:r>
          </w:p>
        </w:tc>
        <w:tc>
          <w:tcPr>
            <w:tcW w:w="926" w:type="dxa"/>
            <w:shd w:val="clear" w:color="auto" w:fill="E7E6E6" w:themeFill="background2"/>
            <w:hideMark/>
          </w:tcPr>
          <w:p w14:paraId="7FBD572B" w14:textId="77777777" w:rsidR="005E2BB1" w:rsidRPr="00F45F11" w:rsidRDefault="005E2BB1" w:rsidP="0093234E">
            <w:pPr>
              <w:pStyle w:val="ARtabletextright"/>
              <w:rPr>
                <w:lang w:eastAsia="en-AU"/>
              </w:rPr>
            </w:pPr>
            <w:r w:rsidRPr="00F45F11">
              <w:rPr>
                <w:lang w:eastAsia="en-AU"/>
              </w:rPr>
              <w:t>138</w:t>
            </w:r>
          </w:p>
        </w:tc>
        <w:tc>
          <w:tcPr>
            <w:tcW w:w="926" w:type="dxa"/>
            <w:shd w:val="clear" w:color="auto" w:fill="E7E6E6" w:themeFill="background2"/>
            <w:hideMark/>
          </w:tcPr>
          <w:p w14:paraId="1DC6119F" w14:textId="77777777" w:rsidR="005E2BB1" w:rsidRPr="00F45F11" w:rsidRDefault="005E2BB1" w:rsidP="0093234E">
            <w:pPr>
              <w:pStyle w:val="ARtabletextright"/>
              <w:rPr>
                <w:lang w:eastAsia="en-AU"/>
              </w:rPr>
            </w:pPr>
            <w:r w:rsidRPr="00F45F11">
              <w:rPr>
                <w:lang w:eastAsia="en-AU"/>
              </w:rPr>
              <w:t>55</w:t>
            </w:r>
          </w:p>
        </w:tc>
        <w:tc>
          <w:tcPr>
            <w:tcW w:w="927" w:type="dxa"/>
            <w:shd w:val="clear" w:color="auto" w:fill="E7E6E6" w:themeFill="background2"/>
            <w:hideMark/>
          </w:tcPr>
          <w:p w14:paraId="529EC41F" w14:textId="77777777" w:rsidR="005E2BB1" w:rsidRPr="00F45F11" w:rsidRDefault="005E2BB1" w:rsidP="0093234E">
            <w:pPr>
              <w:pStyle w:val="ARtabletextright"/>
              <w:rPr>
                <w:lang w:eastAsia="en-AU"/>
              </w:rPr>
            </w:pPr>
            <w:r w:rsidRPr="00F45F11">
              <w:rPr>
                <w:lang w:eastAsia="en-AU"/>
              </w:rPr>
              <w:t>172.4</w:t>
            </w:r>
          </w:p>
        </w:tc>
        <w:tc>
          <w:tcPr>
            <w:tcW w:w="1057" w:type="dxa"/>
            <w:hideMark/>
          </w:tcPr>
          <w:p w14:paraId="2FD6BE6B" w14:textId="77777777" w:rsidR="005E2BB1" w:rsidRPr="00F45F11" w:rsidRDefault="005E2BB1" w:rsidP="0093234E">
            <w:pPr>
              <w:pStyle w:val="ARtabletextright"/>
              <w:rPr>
                <w:lang w:eastAsia="en-AU"/>
              </w:rPr>
            </w:pPr>
            <w:r w:rsidRPr="00F45F11">
              <w:rPr>
                <w:lang w:eastAsia="en-AU"/>
              </w:rPr>
              <w:t>106</w:t>
            </w:r>
          </w:p>
        </w:tc>
        <w:tc>
          <w:tcPr>
            <w:tcW w:w="927" w:type="dxa"/>
            <w:hideMark/>
          </w:tcPr>
          <w:p w14:paraId="5C53CA96" w14:textId="77777777" w:rsidR="005E2BB1" w:rsidRPr="00F45F11" w:rsidRDefault="005E2BB1" w:rsidP="0093234E">
            <w:pPr>
              <w:pStyle w:val="ARtabletextright"/>
              <w:rPr>
                <w:lang w:eastAsia="en-AU"/>
              </w:rPr>
            </w:pPr>
            <w:r w:rsidRPr="00F45F11">
              <w:rPr>
                <w:lang w:eastAsia="en-AU"/>
              </w:rPr>
              <w:t>80.8</w:t>
            </w:r>
          </w:p>
        </w:tc>
      </w:tr>
      <w:tr w:rsidR="005E2BB1" w:rsidRPr="00F45F11" w14:paraId="30930C93"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hideMark/>
          </w:tcPr>
          <w:p w14:paraId="49BC59BA" w14:textId="77777777" w:rsidR="005E2BB1" w:rsidRPr="00F45F11" w:rsidRDefault="005E2BB1" w:rsidP="0093234E">
            <w:pPr>
              <w:pStyle w:val="ARTabletext"/>
              <w:rPr>
                <w:lang w:eastAsia="en-AU"/>
              </w:rPr>
            </w:pPr>
            <w:r w:rsidRPr="00F45F11">
              <w:rPr>
                <w:lang w:eastAsia="en-AU"/>
              </w:rPr>
              <w:t>CPP 3</w:t>
            </w:r>
          </w:p>
        </w:tc>
        <w:tc>
          <w:tcPr>
            <w:tcW w:w="992" w:type="dxa"/>
            <w:shd w:val="clear" w:color="auto" w:fill="E7E6E6" w:themeFill="background2"/>
            <w:hideMark/>
          </w:tcPr>
          <w:p w14:paraId="59CB05A4" w14:textId="77777777" w:rsidR="005E2BB1" w:rsidRPr="00F45F11" w:rsidRDefault="005E2BB1" w:rsidP="0093234E">
            <w:pPr>
              <w:pStyle w:val="ARtabletextright"/>
              <w:rPr>
                <w:lang w:eastAsia="en-AU"/>
              </w:rPr>
            </w:pPr>
            <w:r w:rsidRPr="00F45F11">
              <w:rPr>
                <w:lang w:eastAsia="en-AU"/>
              </w:rPr>
              <w:t>575</w:t>
            </w:r>
          </w:p>
        </w:tc>
        <w:tc>
          <w:tcPr>
            <w:tcW w:w="992" w:type="dxa"/>
            <w:shd w:val="clear" w:color="auto" w:fill="E7E6E6" w:themeFill="background2"/>
            <w:hideMark/>
          </w:tcPr>
          <w:p w14:paraId="5CA452F2" w14:textId="77777777" w:rsidR="005E2BB1" w:rsidRPr="00F45F11" w:rsidRDefault="005E2BB1" w:rsidP="0093234E">
            <w:pPr>
              <w:pStyle w:val="ARtabletextright"/>
              <w:rPr>
                <w:lang w:eastAsia="en-AU"/>
              </w:rPr>
            </w:pPr>
            <w:r w:rsidRPr="00F45F11">
              <w:rPr>
                <w:lang w:eastAsia="en-AU"/>
              </w:rPr>
              <w:t>556.9</w:t>
            </w:r>
          </w:p>
        </w:tc>
        <w:tc>
          <w:tcPr>
            <w:tcW w:w="926" w:type="dxa"/>
            <w:hideMark/>
          </w:tcPr>
          <w:p w14:paraId="270EFD1C" w14:textId="77777777" w:rsidR="005E2BB1" w:rsidRPr="00F45F11" w:rsidRDefault="005E2BB1" w:rsidP="0093234E">
            <w:pPr>
              <w:pStyle w:val="ARtabletextright"/>
              <w:rPr>
                <w:lang w:eastAsia="en-AU"/>
              </w:rPr>
            </w:pPr>
            <w:r w:rsidRPr="00F45F11">
              <w:rPr>
                <w:lang w:eastAsia="en-AU"/>
              </w:rPr>
              <w:t>412</w:t>
            </w:r>
          </w:p>
        </w:tc>
        <w:tc>
          <w:tcPr>
            <w:tcW w:w="926" w:type="dxa"/>
            <w:hideMark/>
          </w:tcPr>
          <w:p w14:paraId="0510E3EE" w14:textId="77777777" w:rsidR="005E2BB1" w:rsidRPr="00F45F11" w:rsidRDefault="005E2BB1" w:rsidP="0093234E">
            <w:pPr>
              <w:pStyle w:val="ARtabletextright"/>
              <w:rPr>
                <w:lang w:eastAsia="en-AU"/>
              </w:rPr>
            </w:pPr>
            <w:r w:rsidRPr="00F45F11">
              <w:rPr>
                <w:lang w:eastAsia="en-AU"/>
              </w:rPr>
              <w:t>45</w:t>
            </w:r>
          </w:p>
        </w:tc>
        <w:tc>
          <w:tcPr>
            <w:tcW w:w="927" w:type="dxa"/>
            <w:hideMark/>
          </w:tcPr>
          <w:p w14:paraId="7404E33F" w14:textId="77777777" w:rsidR="005E2BB1" w:rsidRPr="00F45F11" w:rsidRDefault="005E2BB1" w:rsidP="0093234E">
            <w:pPr>
              <w:pStyle w:val="ARtabletextright"/>
              <w:rPr>
                <w:lang w:eastAsia="en-AU"/>
              </w:rPr>
            </w:pPr>
            <w:r w:rsidRPr="00F45F11">
              <w:rPr>
                <w:lang w:eastAsia="en-AU"/>
              </w:rPr>
              <w:t>441.5</w:t>
            </w:r>
          </w:p>
        </w:tc>
        <w:tc>
          <w:tcPr>
            <w:tcW w:w="1057" w:type="dxa"/>
            <w:shd w:val="clear" w:color="auto" w:fill="E7E6E6" w:themeFill="background2"/>
            <w:hideMark/>
          </w:tcPr>
          <w:p w14:paraId="7A8ED428" w14:textId="77777777" w:rsidR="005E2BB1" w:rsidRPr="00F45F11" w:rsidRDefault="005E2BB1" w:rsidP="0093234E">
            <w:pPr>
              <w:pStyle w:val="ARtabletextright"/>
              <w:rPr>
                <w:lang w:eastAsia="en-AU"/>
              </w:rPr>
            </w:pPr>
            <w:r w:rsidRPr="00F45F11">
              <w:rPr>
                <w:lang w:eastAsia="en-AU"/>
              </w:rPr>
              <w:t>118</w:t>
            </w:r>
          </w:p>
        </w:tc>
        <w:tc>
          <w:tcPr>
            <w:tcW w:w="927" w:type="dxa"/>
            <w:shd w:val="clear" w:color="auto" w:fill="E7E6E6" w:themeFill="background2"/>
            <w:hideMark/>
          </w:tcPr>
          <w:p w14:paraId="546DEE81" w14:textId="77777777" w:rsidR="005E2BB1" w:rsidRPr="00F45F11" w:rsidRDefault="005E2BB1" w:rsidP="0093234E">
            <w:pPr>
              <w:pStyle w:val="ARtabletextright"/>
              <w:rPr>
                <w:lang w:eastAsia="en-AU"/>
              </w:rPr>
            </w:pPr>
            <w:r w:rsidRPr="00F45F11">
              <w:rPr>
                <w:lang w:eastAsia="en-AU"/>
              </w:rPr>
              <w:t>115.4</w:t>
            </w:r>
          </w:p>
        </w:tc>
        <w:tc>
          <w:tcPr>
            <w:tcW w:w="1057" w:type="dxa"/>
            <w:hideMark/>
          </w:tcPr>
          <w:p w14:paraId="18639AF7" w14:textId="77777777" w:rsidR="005E2BB1" w:rsidRPr="00F45F11" w:rsidRDefault="005E2BB1" w:rsidP="0093234E">
            <w:pPr>
              <w:pStyle w:val="ARtabletextright"/>
              <w:rPr>
                <w:lang w:eastAsia="en-AU"/>
              </w:rPr>
            </w:pPr>
            <w:r w:rsidRPr="00F45F11">
              <w:rPr>
                <w:lang w:eastAsia="en-AU"/>
              </w:rPr>
              <w:t>575</w:t>
            </w:r>
          </w:p>
        </w:tc>
        <w:tc>
          <w:tcPr>
            <w:tcW w:w="927" w:type="dxa"/>
            <w:hideMark/>
          </w:tcPr>
          <w:p w14:paraId="403CAFE0" w14:textId="77777777" w:rsidR="005E2BB1" w:rsidRPr="00F45F11" w:rsidRDefault="005E2BB1" w:rsidP="0093234E">
            <w:pPr>
              <w:pStyle w:val="ARtabletextright"/>
              <w:rPr>
                <w:lang w:eastAsia="en-AU"/>
              </w:rPr>
            </w:pPr>
            <w:r w:rsidRPr="00F45F11">
              <w:rPr>
                <w:lang w:eastAsia="en-AU"/>
              </w:rPr>
              <w:t>553.6</w:t>
            </w:r>
          </w:p>
        </w:tc>
        <w:tc>
          <w:tcPr>
            <w:tcW w:w="926" w:type="dxa"/>
            <w:shd w:val="clear" w:color="auto" w:fill="E7E6E6" w:themeFill="background2"/>
            <w:hideMark/>
          </w:tcPr>
          <w:p w14:paraId="7333FC6A" w14:textId="77777777" w:rsidR="005E2BB1" w:rsidRPr="00F45F11" w:rsidRDefault="005E2BB1" w:rsidP="0093234E">
            <w:pPr>
              <w:pStyle w:val="ARtabletextright"/>
              <w:rPr>
                <w:lang w:eastAsia="en-AU"/>
              </w:rPr>
            </w:pPr>
            <w:r w:rsidRPr="00F45F11">
              <w:rPr>
                <w:lang w:eastAsia="en-AU"/>
              </w:rPr>
              <w:t>450</w:t>
            </w:r>
          </w:p>
        </w:tc>
        <w:tc>
          <w:tcPr>
            <w:tcW w:w="926" w:type="dxa"/>
            <w:shd w:val="clear" w:color="auto" w:fill="E7E6E6" w:themeFill="background2"/>
            <w:hideMark/>
          </w:tcPr>
          <w:p w14:paraId="2C6758C2" w14:textId="77777777" w:rsidR="005E2BB1" w:rsidRPr="00F45F11" w:rsidRDefault="005E2BB1" w:rsidP="0093234E">
            <w:pPr>
              <w:pStyle w:val="ARtabletextright"/>
              <w:rPr>
                <w:lang w:eastAsia="en-AU"/>
              </w:rPr>
            </w:pPr>
            <w:r w:rsidRPr="00F45F11">
              <w:rPr>
                <w:lang w:eastAsia="en-AU"/>
              </w:rPr>
              <w:t>64</w:t>
            </w:r>
          </w:p>
        </w:tc>
        <w:tc>
          <w:tcPr>
            <w:tcW w:w="927" w:type="dxa"/>
            <w:shd w:val="clear" w:color="auto" w:fill="E7E6E6" w:themeFill="background2"/>
            <w:hideMark/>
          </w:tcPr>
          <w:p w14:paraId="13C4D3D6" w14:textId="77777777" w:rsidR="005E2BB1" w:rsidRPr="00F45F11" w:rsidRDefault="005E2BB1" w:rsidP="0093234E">
            <w:pPr>
              <w:pStyle w:val="ARtabletextright"/>
              <w:rPr>
                <w:lang w:eastAsia="en-AU"/>
              </w:rPr>
            </w:pPr>
            <w:r w:rsidRPr="00F45F11">
              <w:rPr>
                <w:lang w:eastAsia="en-AU"/>
              </w:rPr>
              <w:t>493.4</w:t>
            </w:r>
          </w:p>
        </w:tc>
        <w:tc>
          <w:tcPr>
            <w:tcW w:w="1057" w:type="dxa"/>
            <w:hideMark/>
          </w:tcPr>
          <w:p w14:paraId="00FF658E" w14:textId="77777777" w:rsidR="005E2BB1" w:rsidRPr="00F45F11" w:rsidRDefault="005E2BB1" w:rsidP="0093234E">
            <w:pPr>
              <w:pStyle w:val="ARtabletextright"/>
              <w:rPr>
                <w:lang w:eastAsia="en-AU"/>
              </w:rPr>
            </w:pPr>
            <w:r w:rsidRPr="00F45F11">
              <w:rPr>
                <w:lang w:eastAsia="en-AU"/>
              </w:rPr>
              <w:t>61</w:t>
            </w:r>
          </w:p>
        </w:tc>
        <w:tc>
          <w:tcPr>
            <w:tcW w:w="927" w:type="dxa"/>
            <w:hideMark/>
          </w:tcPr>
          <w:p w14:paraId="60E79D86" w14:textId="77777777" w:rsidR="005E2BB1" w:rsidRPr="00F45F11" w:rsidRDefault="005E2BB1" w:rsidP="0093234E">
            <w:pPr>
              <w:pStyle w:val="ARtabletextright"/>
              <w:rPr>
                <w:lang w:eastAsia="en-AU"/>
              </w:rPr>
            </w:pPr>
            <w:r w:rsidRPr="00F45F11">
              <w:rPr>
                <w:lang w:eastAsia="en-AU"/>
              </w:rPr>
              <w:t>60.2</w:t>
            </w:r>
          </w:p>
        </w:tc>
      </w:tr>
      <w:tr w:rsidR="005E2BB1" w:rsidRPr="00F45F11" w14:paraId="5CB1CC32"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hideMark/>
          </w:tcPr>
          <w:p w14:paraId="1456421D" w14:textId="77777777" w:rsidR="005E2BB1" w:rsidRPr="00F45F11" w:rsidRDefault="005E2BB1" w:rsidP="0093234E">
            <w:pPr>
              <w:pStyle w:val="ARTabletext"/>
              <w:rPr>
                <w:lang w:eastAsia="en-AU"/>
              </w:rPr>
            </w:pPr>
            <w:r w:rsidRPr="00F45F11">
              <w:rPr>
                <w:lang w:eastAsia="en-AU"/>
              </w:rPr>
              <w:t>CPP 4</w:t>
            </w:r>
          </w:p>
        </w:tc>
        <w:tc>
          <w:tcPr>
            <w:tcW w:w="992" w:type="dxa"/>
            <w:shd w:val="clear" w:color="auto" w:fill="E7E6E6" w:themeFill="background2"/>
            <w:hideMark/>
          </w:tcPr>
          <w:p w14:paraId="4C331CCA" w14:textId="77777777" w:rsidR="005E2BB1" w:rsidRPr="00F45F11" w:rsidRDefault="005E2BB1" w:rsidP="0093234E">
            <w:pPr>
              <w:pStyle w:val="ARtabletextright"/>
              <w:rPr>
                <w:lang w:eastAsia="en-AU"/>
              </w:rPr>
            </w:pPr>
            <w:r w:rsidRPr="00F45F11">
              <w:rPr>
                <w:lang w:eastAsia="en-AU"/>
              </w:rPr>
              <w:t>843</w:t>
            </w:r>
          </w:p>
        </w:tc>
        <w:tc>
          <w:tcPr>
            <w:tcW w:w="992" w:type="dxa"/>
            <w:shd w:val="clear" w:color="auto" w:fill="E7E6E6" w:themeFill="background2"/>
            <w:hideMark/>
          </w:tcPr>
          <w:p w14:paraId="5FE44B72" w14:textId="77777777" w:rsidR="005E2BB1" w:rsidRPr="00F45F11" w:rsidRDefault="005E2BB1" w:rsidP="0093234E">
            <w:pPr>
              <w:pStyle w:val="ARtabletextright"/>
              <w:rPr>
                <w:lang w:eastAsia="en-AU"/>
              </w:rPr>
            </w:pPr>
            <w:r w:rsidRPr="00F45F11">
              <w:rPr>
                <w:lang w:eastAsia="en-AU"/>
              </w:rPr>
              <w:t>776.2</w:t>
            </w:r>
          </w:p>
        </w:tc>
        <w:tc>
          <w:tcPr>
            <w:tcW w:w="926" w:type="dxa"/>
            <w:hideMark/>
          </w:tcPr>
          <w:p w14:paraId="542F3AFD" w14:textId="77777777" w:rsidR="005E2BB1" w:rsidRPr="00F45F11" w:rsidRDefault="005E2BB1" w:rsidP="0093234E">
            <w:pPr>
              <w:pStyle w:val="ARtabletextright"/>
              <w:rPr>
                <w:lang w:eastAsia="en-AU"/>
              </w:rPr>
            </w:pPr>
            <w:r w:rsidRPr="00F45F11">
              <w:rPr>
                <w:lang w:eastAsia="en-AU"/>
              </w:rPr>
              <w:t>674</w:t>
            </w:r>
          </w:p>
        </w:tc>
        <w:tc>
          <w:tcPr>
            <w:tcW w:w="926" w:type="dxa"/>
            <w:hideMark/>
          </w:tcPr>
          <w:p w14:paraId="32F6EF4D" w14:textId="77777777" w:rsidR="005E2BB1" w:rsidRPr="00F45F11" w:rsidRDefault="005E2BB1" w:rsidP="0093234E">
            <w:pPr>
              <w:pStyle w:val="ARtabletextright"/>
              <w:rPr>
                <w:lang w:eastAsia="en-AU"/>
              </w:rPr>
            </w:pPr>
            <w:r w:rsidRPr="00F45F11">
              <w:rPr>
                <w:lang w:eastAsia="en-AU"/>
              </w:rPr>
              <w:t>131</w:t>
            </w:r>
          </w:p>
        </w:tc>
        <w:tc>
          <w:tcPr>
            <w:tcW w:w="927" w:type="dxa"/>
            <w:hideMark/>
          </w:tcPr>
          <w:p w14:paraId="46472C52" w14:textId="77777777" w:rsidR="005E2BB1" w:rsidRPr="00F45F11" w:rsidRDefault="005E2BB1" w:rsidP="0093234E">
            <w:pPr>
              <w:pStyle w:val="ARtabletextright"/>
              <w:rPr>
                <w:lang w:eastAsia="en-AU"/>
              </w:rPr>
            </w:pPr>
            <w:r w:rsidRPr="00F45F11">
              <w:rPr>
                <w:lang w:eastAsia="en-AU"/>
              </w:rPr>
              <w:t>749.4</w:t>
            </w:r>
          </w:p>
        </w:tc>
        <w:tc>
          <w:tcPr>
            <w:tcW w:w="1057" w:type="dxa"/>
            <w:shd w:val="clear" w:color="auto" w:fill="E7E6E6" w:themeFill="background2"/>
            <w:hideMark/>
          </w:tcPr>
          <w:p w14:paraId="337C2D57" w14:textId="77777777" w:rsidR="005E2BB1" w:rsidRPr="00F45F11" w:rsidRDefault="005E2BB1" w:rsidP="0093234E">
            <w:pPr>
              <w:pStyle w:val="ARtabletextright"/>
              <w:rPr>
                <w:lang w:eastAsia="en-AU"/>
              </w:rPr>
            </w:pPr>
            <w:r w:rsidRPr="00F45F11">
              <w:rPr>
                <w:lang w:eastAsia="en-AU"/>
              </w:rPr>
              <w:t>38</w:t>
            </w:r>
          </w:p>
        </w:tc>
        <w:tc>
          <w:tcPr>
            <w:tcW w:w="927" w:type="dxa"/>
            <w:shd w:val="clear" w:color="auto" w:fill="E7E6E6" w:themeFill="background2"/>
            <w:hideMark/>
          </w:tcPr>
          <w:p w14:paraId="3DE43D7E" w14:textId="77777777" w:rsidR="005E2BB1" w:rsidRPr="00F45F11" w:rsidRDefault="005E2BB1" w:rsidP="0093234E">
            <w:pPr>
              <w:pStyle w:val="ARtabletextright"/>
              <w:rPr>
                <w:lang w:eastAsia="en-AU"/>
              </w:rPr>
            </w:pPr>
            <w:r w:rsidRPr="00F45F11">
              <w:rPr>
                <w:lang w:eastAsia="en-AU"/>
              </w:rPr>
              <w:t>26.8</w:t>
            </w:r>
          </w:p>
        </w:tc>
        <w:tc>
          <w:tcPr>
            <w:tcW w:w="1057" w:type="dxa"/>
            <w:hideMark/>
          </w:tcPr>
          <w:p w14:paraId="7817F146" w14:textId="77777777" w:rsidR="005E2BB1" w:rsidRPr="00F45F11" w:rsidRDefault="005E2BB1" w:rsidP="0093234E">
            <w:pPr>
              <w:pStyle w:val="ARtabletextright"/>
              <w:rPr>
                <w:lang w:eastAsia="en-AU"/>
              </w:rPr>
            </w:pPr>
            <w:r w:rsidRPr="00F45F11">
              <w:rPr>
                <w:lang w:eastAsia="en-AU"/>
              </w:rPr>
              <w:t>754</w:t>
            </w:r>
          </w:p>
        </w:tc>
        <w:tc>
          <w:tcPr>
            <w:tcW w:w="927" w:type="dxa"/>
            <w:hideMark/>
          </w:tcPr>
          <w:p w14:paraId="498FF6DA" w14:textId="77777777" w:rsidR="005E2BB1" w:rsidRPr="00F45F11" w:rsidRDefault="005E2BB1" w:rsidP="0093234E">
            <w:pPr>
              <w:pStyle w:val="ARtabletextright"/>
              <w:rPr>
                <w:lang w:eastAsia="en-AU"/>
              </w:rPr>
            </w:pPr>
            <w:r w:rsidRPr="00F45F11">
              <w:rPr>
                <w:lang w:eastAsia="en-AU"/>
              </w:rPr>
              <w:t>678.4</w:t>
            </w:r>
          </w:p>
        </w:tc>
        <w:tc>
          <w:tcPr>
            <w:tcW w:w="926" w:type="dxa"/>
            <w:shd w:val="clear" w:color="auto" w:fill="E7E6E6" w:themeFill="background2"/>
            <w:hideMark/>
          </w:tcPr>
          <w:p w14:paraId="32FDDCBE" w14:textId="77777777" w:rsidR="005E2BB1" w:rsidRPr="00F45F11" w:rsidRDefault="005E2BB1" w:rsidP="0093234E">
            <w:pPr>
              <w:pStyle w:val="ARtabletextright"/>
              <w:rPr>
                <w:lang w:eastAsia="en-AU"/>
              </w:rPr>
            </w:pPr>
            <w:r w:rsidRPr="00F45F11">
              <w:rPr>
                <w:lang w:eastAsia="en-AU"/>
              </w:rPr>
              <w:t>587</w:t>
            </w:r>
          </w:p>
        </w:tc>
        <w:tc>
          <w:tcPr>
            <w:tcW w:w="926" w:type="dxa"/>
            <w:shd w:val="clear" w:color="auto" w:fill="E7E6E6" w:themeFill="background2"/>
            <w:hideMark/>
          </w:tcPr>
          <w:p w14:paraId="500A2CCE" w14:textId="77777777" w:rsidR="005E2BB1" w:rsidRPr="00F45F11" w:rsidRDefault="005E2BB1" w:rsidP="0093234E">
            <w:pPr>
              <w:pStyle w:val="ARtabletextright"/>
              <w:rPr>
                <w:lang w:eastAsia="en-AU"/>
              </w:rPr>
            </w:pPr>
            <w:r w:rsidRPr="00F45F11">
              <w:rPr>
                <w:lang w:eastAsia="en-AU"/>
              </w:rPr>
              <w:t>133</w:t>
            </w:r>
          </w:p>
        </w:tc>
        <w:tc>
          <w:tcPr>
            <w:tcW w:w="927" w:type="dxa"/>
            <w:shd w:val="clear" w:color="auto" w:fill="E7E6E6" w:themeFill="background2"/>
            <w:hideMark/>
          </w:tcPr>
          <w:p w14:paraId="3165B520" w14:textId="77777777" w:rsidR="005E2BB1" w:rsidRPr="00F45F11" w:rsidRDefault="005E2BB1" w:rsidP="0093234E">
            <w:pPr>
              <w:pStyle w:val="ARtabletextright"/>
              <w:rPr>
                <w:lang w:eastAsia="en-AU"/>
              </w:rPr>
            </w:pPr>
            <w:r w:rsidRPr="00F45F11">
              <w:rPr>
                <w:lang w:eastAsia="en-AU"/>
              </w:rPr>
              <w:t>658.6</w:t>
            </w:r>
          </w:p>
        </w:tc>
        <w:tc>
          <w:tcPr>
            <w:tcW w:w="1057" w:type="dxa"/>
            <w:hideMark/>
          </w:tcPr>
          <w:p w14:paraId="25E261BF" w14:textId="77777777" w:rsidR="005E2BB1" w:rsidRPr="00F45F11" w:rsidRDefault="005E2BB1" w:rsidP="0093234E">
            <w:pPr>
              <w:pStyle w:val="ARtabletextright"/>
              <w:rPr>
                <w:lang w:eastAsia="en-AU"/>
              </w:rPr>
            </w:pPr>
            <w:r w:rsidRPr="00F45F11">
              <w:rPr>
                <w:lang w:eastAsia="en-AU"/>
              </w:rPr>
              <w:t>34</w:t>
            </w:r>
          </w:p>
        </w:tc>
        <w:tc>
          <w:tcPr>
            <w:tcW w:w="927" w:type="dxa"/>
            <w:hideMark/>
          </w:tcPr>
          <w:p w14:paraId="78CC9D0C" w14:textId="77777777" w:rsidR="005E2BB1" w:rsidRPr="00F45F11" w:rsidRDefault="005E2BB1" w:rsidP="0093234E">
            <w:pPr>
              <w:pStyle w:val="ARtabletextright"/>
              <w:rPr>
                <w:lang w:eastAsia="en-AU"/>
              </w:rPr>
            </w:pPr>
            <w:r w:rsidRPr="00F45F11">
              <w:rPr>
                <w:lang w:eastAsia="en-AU"/>
              </w:rPr>
              <w:t>19.8</w:t>
            </w:r>
          </w:p>
        </w:tc>
      </w:tr>
      <w:tr w:rsidR="005E2BB1" w:rsidRPr="00F45F11" w14:paraId="78D105C9"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tcBorders>
              <w:bottom w:val="single" w:sz="4" w:space="0" w:color="BFBFBF" w:themeColor="accent2"/>
            </w:tcBorders>
            <w:hideMark/>
          </w:tcPr>
          <w:p w14:paraId="2BF3774D" w14:textId="77777777" w:rsidR="005E2BB1" w:rsidRPr="00F45F11" w:rsidRDefault="005E2BB1" w:rsidP="0093234E">
            <w:pPr>
              <w:pStyle w:val="ARTabletext"/>
              <w:rPr>
                <w:lang w:eastAsia="en-AU"/>
              </w:rPr>
            </w:pPr>
            <w:r w:rsidRPr="00F45F11">
              <w:rPr>
                <w:lang w:eastAsia="en-AU"/>
              </w:rPr>
              <w:t>CPP 5</w:t>
            </w:r>
          </w:p>
        </w:tc>
        <w:tc>
          <w:tcPr>
            <w:tcW w:w="992" w:type="dxa"/>
            <w:tcBorders>
              <w:bottom w:val="single" w:sz="4" w:space="0" w:color="BFBFBF" w:themeColor="accent2"/>
            </w:tcBorders>
            <w:shd w:val="clear" w:color="auto" w:fill="E7E6E6" w:themeFill="background2"/>
            <w:hideMark/>
          </w:tcPr>
          <w:p w14:paraId="36349659" w14:textId="77777777" w:rsidR="005E2BB1" w:rsidRPr="00F45F11" w:rsidRDefault="005E2BB1" w:rsidP="0093234E">
            <w:pPr>
              <w:pStyle w:val="ARtabletextright"/>
              <w:rPr>
                <w:lang w:eastAsia="en-AU"/>
              </w:rPr>
            </w:pPr>
            <w:r w:rsidRPr="00F45F11">
              <w:rPr>
                <w:lang w:eastAsia="en-AU"/>
              </w:rPr>
              <w:t>886</w:t>
            </w:r>
          </w:p>
        </w:tc>
        <w:tc>
          <w:tcPr>
            <w:tcW w:w="992" w:type="dxa"/>
            <w:tcBorders>
              <w:bottom w:val="single" w:sz="4" w:space="0" w:color="BFBFBF" w:themeColor="accent2"/>
            </w:tcBorders>
            <w:shd w:val="clear" w:color="auto" w:fill="E7E6E6" w:themeFill="background2"/>
            <w:hideMark/>
          </w:tcPr>
          <w:p w14:paraId="1A7891DA" w14:textId="77777777" w:rsidR="005E2BB1" w:rsidRPr="00F45F11" w:rsidRDefault="005E2BB1" w:rsidP="0093234E">
            <w:pPr>
              <w:pStyle w:val="ARtabletextright"/>
              <w:rPr>
                <w:lang w:eastAsia="en-AU"/>
              </w:rPr>
            </w:pPr>
            <w:r w:rsidRPr="00F45F11">
              <w:rPr>
                <w:lang w:eastAsia="en-AU"/>
              </w:rPr>
              <w:t>826.9</w:t>
            </w:r>
          </w:p>
        </w:tc>
        <w:tc>
          <w:tcPr>
            <w:tcW w:w="926" w:type="dxa"/>
            <w:tcBorders>
              <w:bottom w:val="single" w:sz="4" w:space="0" w:color="BFBFBF" w:themeColor="accent2"/>
            </w:tcBorders>
            <w:hideMark/>
          </w:tcPr>
          <w:p w14:paraId="1E80108B" w14:textId="77777777" w:rsidR="005E2BB1" w:rsidRPr="00F45F11" w:rsidRDefault="005E2BB1" w:rsidP="0093234E">
            <w:pPr>
              <w:pStyle w:val="ARtabletextright"/>
              <w:rPr>
                <w:lang w:eastAsia="en-AU"/>
              </w:rPr>
            </w:pPr>
            <w:r w:rsidRPr="00F45F11">
              <w:rPr>
                <w:lang w:eastAsia="en-AU"/>
              </w:rPr>
              <w:t>727</w:t>
            </w:r>
          </w:p>
        </w:tc>
        <w:tc>
          <w:tcPr>
            <w:tcW w:w="926" w:type="dxa"/>
            <w:tcBorders>
              <w:bottom w:val="single" w:sz="4" w:space="0" w:color="BFBFBF" w:themeColor="accent2"/>
            </w:tcBorders>
            <w:hideMark/>
          </w:tcPr>
          <w:p w14:paraId="32076EC0" w14:textId="77777777" w:rsidR="005E2BB1" w:rsidRPr="00F45F11" w:rsidRDefault="005E2BB1" w:rsidP="0093234E">
            <w:pPr>
              <w:pStyle w:val="ARtabletextright"/>
              <w:rPr>
                <w:lang w:eastAsia="en-AU"/>
              </w:rPr>
            </w:pPr>
            <w:r w:rsidRPr="00F45F11">
              <w:rPr>
                <w:lang w:eastAsia="en-AU"/>
              </w:rPr>
              <w:t>140</w:t>
            </w:r>
          </w:p>
        </w:tc>
        <w:tc>
          <w:tcPr>
            <w:tcW w:w="927" w:type="dxa"/>
            <w:tcBorders>
              <w:bottom w:val="single" w:sz="4" w:space="0" w:color="BFBFBF" w:themeColor="accent2"/>
            </w:tcBorders>
            <w:hideMark/>
          </w:tcPr>
          <w:p w14:paraId="623095D0" w14:textId="77777777" w:rsidR="005E2BB1" w:rsidRPr="00F45F11" w:rsidRDefault="005E2BB1" w:rsidP="0093234E">
            <w:pPr>
              <w:pStyle w:val="ARtabletextright"/>
              <w:rPr>
                <w:lang w:eastAsia="en-AU"/>
              </w:rPr>
            </w:pPr>
            <w:r w:rsidRPr="00F45F11">
              <w:rPr>
                <w:lang w:eastAsia="en-AU"/>
              </w:rPr>
              <w:t>810.4</w:t>
            </w:r>
          </w:p>
        </w:tc>
        <w:tc>
          <w:tcPr>
            <w:tcW w:w="1057" w:type="dxa"/>
            <w:tcBorders>
              <w:bottom w:val="single" w:sz="4" w:space="0" w:color="BFBFBF" w:themeColor="accent2"/>
            </w:tcBorders>
            <w:shd w:val="clear" w:color="auto" w:fill="E7E6E6" w:themeFill="background2"/>
            <w:hideMark/>
          </w:tcPr>
          <w:p w14:paraId="7CF03323" w14:textId="77777777" w:rsidR="005E2BB1" w:rsidRPr="00F45F11" w:rsidRDefault="005E2BB1" w:rsidP="0093234E">
            <w:pPr>
              <w:pStyle w:val="ARtabletextright"/>
              <w:rPr>
                <w:lang w:eastAsia="en-AU"/>
              </w:rPr>
            </w:pPr>
            <w:r w:rsidRPr="00F45F11">
              <w:rPr>
                <w:lang w:eastAsia="en-AU"/>
              </w:rPr>
              <w:t>19</w:t>
            </w:r>
          </w:p>
        </w:tc>
        <w:tc>
          <w:tcPr>
            <w:tcW w:w="927" w:type="dxa"/>
            <w:tcBorders>
              <w:bottom w:val="single" w:sz="4" w:space="0" w:color="BFBFBF" w:themeColor="accent2"/>
            </w:tcBorders>
            <w:shd w:val="clear" w:color="auto" w:fill="E7E6E6" w:themeFill="background2"/>
            <w:hideMark/>
          </w:tcPr>
          <w:p w14:paraId="25E6B91B" w14:textId="77777777" w:rsidR="005E2BB1" w:rsidRPr="00F45F11" w:rsidRDefault="005E2BB1" w:rsidP="0093234E">
            <w:pPr>
              <w:pStyle w:val="ARtabletextright"/>
              <w:rPr>
                <w:lang w:eastAsia="en-AU"/>
              </w:rPr>
            </w:pPr>
            <w:r w:rsidRPr="00F45F11">
              <w:rPr>
                <w:lang w:eastAsia="en-AU"/>
              </w:rPr>
              <w:t>16.5</w:t>
            </w:r>
          </w:p>
        </w:tc>
        <w:tc>
          <w:tcPr>
            <w:tcW w:w="1057" w:type="dxa"/>
            <w:tcBorders>
              <w:bottom w:val="single" w:sz="4" w:space="0" w:color="BFBFBF" w:themeColor="accent2"/>
            </w:tcBorders>
            <w:hideMark/>
          </w:tcPr>
          <w:p w14:paraId="1F581029" w14:textId="77777777" w:rsidR="005E2BB1" w:rsidRPr="00F45F11" w:rsidRDefault="005E2BB1" w:rsidP="0093234E">
            <w:pPr>
              <w:pStyle w:val="ARtabletextright"/>
              <w:rPr>
                <w:lang w:eastAsia="en-AU"/>
              </w:rPr>
            </w:pPr>
            <w:r w:rsidRPr="00F45F11">
              <w:rPr>
                <w:lang w:eastAsia="en-AU"/>
              </w:rPr>
              <w:t>868</w:t>
            </w:r>
          </w:p>
        </w:tc>
        <w:tc>
          <w:tcPr>
            <w:tcW w:w="927" w:type="dxa"/>
            <w:tcBorders>
              <w:bottom w:val="single" w:sz="4" w:space="0" w:color="BFBFBF" w:themeColor="accent2"/>
            </w:tcBorders>
            <w:hideMark/>
          </w:tcPr>
          <w:p w14:paraId="1070B616" w14:textId="77777777" w:rsidR="005E2BB1" w:rsidRPr="00F45F11" w:rsidRDefault="005E2BB1" w:rsidP="0093234E">
            <w:pPr>
              <w:pStyle w:val="ARtabletextright"/>
              <w:rPr>
                <w:lang w:eastAsia="en-AU"/>
              </w:rPr>
            </w:pPr>
            <w:r w:rsidRPr="00F45F11">
              <w:rPr>
                <w:lang w:eastAsia="en-AU"/>
              </w:rPr>
              <w:t>814.5</w:t>
            </w:r>
          </w:p>
        </w:tc>
        <w:tc>
          <w:tcPr>
            <w:tcW w:w="926" w:type="dxa"/>
            <w:tcBorders>
              <w:bottom w:val="single" w:sz="4" w:space="0" w:color="BFBFBF" w:themeColor="accent2"/>
            </w:tcBorders>
            <w:shd w:val="clear" w:color="auto" w:fill="E7E6E6" w:themeFill="background2"/>
            <w:hideMark/>
          </w:tcPr>
          <w:p w14:paraId="4F061E84" w14:textId="77777777" w:rsidR="005E2BB1" w:rsidRPr="00F45F11" w:rsidRDefault="005E2BB1" w:rsidP="0093234E">
            <w:pPr>
              <w:pStyle w:val="ARtabletextright"/>
              <w:rPr>
                <w:lang w:eastAsia="en-AU"/>
              </w:rPr>
            </w:pPr>
            <w:r w:rsidRPr="00F45F11">
              <w:rPr>
                <w:lang w:eastAsia="en-AU"/>
              </w:rPr>
              <w:t>718</w:t>
            </w:r>
          </w:p>
        </w:tc>
        <w:tc>
          <w:tcPr>
            <w:tcW w:w="926" w:type="dxa"/>
            <w:tcBorders>
              <w:bottom w:val="single" w:sz="4" w:space="0" w:color="BFBFBF" w:themeColor="accent2"/>
            </w:tcBorders>
            <w:shd w:val="clear" w:color="auto" w:fill="E7E6E6" w:themeFill="background2"/>
            <w:hideMark/>
          </w:tcPr>
          <w:p w14:paraId="38CD9475" w14:textId="77777777" w:rsidR="005E2BB1" w:rsidRPr="00F45F11" w:rsidRDefault="005E2BB1" w:rsidP="0093234E">
            <w:pPr>
              <w:pStyle w:val="ARtabletextright"/>
              <w:rPr>
                <w:lang w:eastAsia="en-AU"/>
              </w:rPr>
            </w:pPr>
            <w:r w:rsidRPr="00F45F11">
              <w:rPr>
                <w:lang w:eastAsia="en-AU"/>
              </w:rPr>
              <w:t>128</w:t>
            </w:r>
          </w:p>
        </w:tc>
        <w:tc>
          <w:tcPr>
            <w:tcW w:w="927" w:type="dxa"/>
            <w:tcBorders>
              <w:bottom w:val="single" w:sz="4" w:space="0" w:color="BFBFBF" w:themeColor="accent2"/>
            </w:tcBorders>
            <w:shd w:val="clear" w:color="auto" w:fill="E7E6E6" w:themeFill="background2"/>
            <w:hideMark/>
          </w:tcPr>
          <w:p w14:paraId="41C51290" w14:textId="77777777" w:rsidR="005E2BB1" w:rsidRPr="00F45F11" w:rsidRDefault="005E2BB1" w:rsidP="0093234E">
            <w:pPr>
              <w:pStyle w:val="ARtabletextright"/>
              <w:rPr>
                <w:lang w:eastAsia="en-AU"/>
              </w:rPr>
            </w:pPr>
            <w:r w:rsidRPr="00F45F11">
              <w:rPr>
                <w:lang w:eastAsia="en-AU"/>
              </w:rPr>
              <w:t>796.1</w:t>
            </w:r>
          </w:p>
        </w:tc>
        <w:tc>
          <w:tcPr>
            <w:tcW w:w="1057" w:type="dxa"/>
            <w:tcBorders>
              <w:bottom w:val="single" w:sz="4" w:space="0" w:color="BFBFBF" w:themeColor="accent2"/>
            </w:tcBorders>
            <w:hideMark/>
          </w:tcPr>
          <w:p w14:paraId="4065F1C8" w14:textId="77777777" w:rsidR="005E2BB1" w:rsidRPr="00F45F11" w:rsidRDefault="005E2BB1" w:rsidP="0093234E">
            <w:pPr>
              <w:pStyle w:val="ARtabletextright"/>
              <w:rPr>
                <w:lang w:eastAsia="en-AU"/>
              </w:rPr>
            </w:pPr>
            <w:r w:rsidRPr="00F45F11">
              <w:rPr>
                <w:lang w:eastAsia="en-AU"/>
              </w:rPr>
              <w:t>22</w:t>
            </w:r>
          </w:p>
        </w:tc>
        <w:tc>
          <w:tcPr>
            <w:tcW w:w="927" w:type="dxa"/>
            <w:tcBorders>
              <w:bottom w:val="single" w:sz="4" w:space="0" w:color="BFBFBF" w:themeColor="accent2"/>
            </w:tcBorders>
            <w:hideMark/>
          </w:tcPr>
          <w:p w14:paraId="21F96CD6" w14:textId="77777777" w:rsidR="005E2BB1" w:rsidRPr="00F45F11" w:rsidRDefault="005E2BB1" w:rsidP="0093234E">
            <w:pPr>
              <w:pStyle w:val="ARtabletextright"/>
              <w:rPr>
                <w:lang w:eastAsia="en-AU"/>
              </w:rPr>
            </w:pPr>
            <w:r w:rsidRPr="00F45F11">
              <w:rPr>
                <w:lang w:eastAsia="en-AU"/>
              </w:rPr>
              <w:t>18.4</w:t>
            </w:r>
          </w:p>
        </w:tc>
      </w:tr>
      <w:tr w:rsidR="005E2BB1" w:rsidRPr="00F45F11" w14:paraId="43740040"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tcBorders>
              <w:top w:val="single" w:sz="4" w:space="0" w:color="BFBFBF" w:themeColor="accent2"/>
              <w:bottom w:val="single" w:sz="4" w:space="0" w:color="auto"/>
            </w:tcBorders>
            <w:hideMark/>
          </w:tcPr>
          <w:p w14:paraId="05D7EB21" w14:textId="77777777" w:rsidR="005E2BB1" w:rsidRPr="00F45F11" w:rsidRDefault="005E2BB1" w:rsidP="0093234E">
            <w:pPr>
              <w:pStyle w:val="ARTabletext"/>
              <w:rPr>
                <w:lang w:eastAsia="en-AU"/>
              </w:rPr>
            </w:pPr>
            <w:r w:rsidRPr="00F45F11">
              <w:rPr>
                <w:lang w:eastAsia="en-AU"/>
              </w:rPr>
              <w:t>CPP 6</w:t>
            </w:r>
          </w:p>
        </w:tc>
        <w:tc>
          <w:tcPr>
            <w:tcW w:w="992" w:type="dxa"/>
            <w:tcBorders>
              <w:top w:val="single" w:sz="4" w:space="0" w:color="BFBFBF" w:themeColor="accent2"/>
              <w:bottom w:val="single" w:sz="4" w:space="0" w:color="auto"/>
            </w:tcBorders>
            <w:shd w:val="clear" w:color="auto" w:fill="E7E6E6" w:themeFill="background2"/>
            <w:hideMark/>
          </w:tcPr>
          <w:p w14:paraId="4764153F" w14:textId="77777777" w:rsidR="005E2BB1" w:rsidRPr="00F45F11" w:rsidRDefault="005E2BB1" w:rsidP="0093234E">
            <w:pPr>
              <w:pStyle w:val="ARtabletextright"/>
              <w:rPr>
                <w:lang w:eastAsia="en-AU"/>
              </w:rPr>
            </w:pPr>
            <w:r w:rsidRPr="00F45F11">
              <w:rPr>
                <w:lang w:eastAsia="en-AU"/>
              </w:rPr>
              <w:t>128</w:t>
            </w:r>
          </w:p>
        </w:tc>
        <w:tc>
          <w:tcPr>
            <w:tcW w:w="992" w:type="dxa"/>
            <w:tcBorders>
              <w:top w:val="single" w:sz="4" w:space="0" w:color="BFBFBF" w:themeColor="accent2"/>
              <w:bottom w:val="single" w:sz="4" w:space="0" w:color="auto"/>
            </w:tcBorders>
            <w:shd w:val="clear" w:color="auto" w:fill="E7E6E6" w:themeFill="background2"/>
            <w:hideMark/>
          </w:tcPr>
          <w:p w14:paraId="658FFDEE" w14:textId="77777777" w:rsidR="005E2BB1" w:rsidRPr="00F45F11" w:rsidRDefault="005E2BB1" w:rsidP="0093234E">
            <w:pPr>
              <w:pStyle w:val="ARtabletextright"/>
              <w:rPr>
                <w:lang w:eastAsia="en-AU"/>
              </w:rPr>
            </w:pPr>
            <w:r w:rsidRPr="00F45F11">
              <w:rPr>
                <w:lang w:eastAsia="en-AU"/>
              </w:rPr>
              <w:t>125.1</w:t>
            </w:r>
          </w:p>
        </w:tc>
        <w:tc>
          <w:tcPr>
            <w:tcW w:w="926" w:type="dxa"/>
            <w:tcBorders>
              <w:top w:val="single" w:sz="4" w:space="0" w:color="BFBFBF" w:themeColor="accent2"/>
              <w:bottom w:val="single" w:sz="4" w:space="0" w:color="auto"/>
            </w:tcBorders>
            <w:hideMark/>
          </w:tcPr>
          <w:p w14:paraId="600D90D0" w14:textId="77777777" w:rsidR="005E2BB1" w:rsidRPr="00F45F11" w:rsidRDefault="005E2BB1" w:rsidP="0093234E">
            <w:pPr>
              <w:pStyle w:val="ARtabletextright"/>
              <w:rPr>
                <w:lang w:eastAsia="en-AU"/>
              </w:rPr>
            </w:pPr>
            <w:r w:rsidRPr="00F45F11">
              <w:rPr>
                <w:lang w:eastAsia="en-AU"/>
              </w:rPr>
              <w:t>114</w:t>
            </w:r>
          </w:p>
        </w:tc>
        <w:tc>
          <w:tcPr>
            <w:tcW w:w="926" w:type="dxa"/>
            <w:tcBorders>
              <w:top w:val="single" w:sz="4" w:space="0" w:color="BFBFBF" w:themeColor="accent2"/>
              <w:bottom w:val="single" w:sz="4" w:space="0" w:color="auto"/>
            </w:tcBorders>
            <w:hideMark/>
          </w:tcPr>
          <w:p w14:paraId="03797759" w14:textId="77777777" w:rsidR="005E2BB1" w:rsidRPr="00F45F11" w:rsidRDefault="005E2BB1" w:rsidP="0093234E">
            <w:pPr>
              <w:pStyle w:val="ARtabletextright"/>
              <w:rPr>
                <w:lang w:eastAsia="en-AU"/>
              </w:rPr>
            </w:pPr>
            <w:r w:rsidRPr="00F45F11">
              <w:rPr>
                <w:lang w:eastAsia="en-AU"/>
              </w:rPr>
              <w:t>11</w:t>
            </w:r>
          </w:p>
        </w:tc>
        <w:tc>
          <w:tcPr>
            <w:tcW w:w="927" w:type="dxa"/>
            <w:tcBorders>
              <w:top w:val="single" w:sz="4" w:space="0" w:color="BFBFBF" w:themeColor="accent2"/>
              <w:bottom w:val="single" w:sz="4" w:space="0" w:color="auto"/>
            </w:tcBorders>
            <w:hideMark/>
          </w:tcPr>
          <w:p w14:paraId="65E44781" w14:textId="77777777" w:rsidR="005E2BB1" w:rsidRPr="00F45F11" w:rsidRDefault="005E2BB1" w:rsidP="0093234E">
            <w:pPr>
              <w:pStyle w:val="ARtabletextright"/>
              <w:rPr>
                <w:lang w:eastAsia="en-AU"/>
              </w:rPr>
            </w:pPr>
            <w:r w:rsidRPr="00F45F11">
              <w:rPr>
                <w:lang w:eastAsia="en-AU"/>
              </w:rPr>
              <w:t>122.5</w:t>
            </w:r>
          </w:p>
        </w:tc>
        <w:tc>
          <w:tcPr>
            <w:tcW w:w="1057" w:type="dxa"/>
            <w:tcBorders>
              <w:top w:val="single" w:sz="4" w:space="0" w:color="BFBFBF" w:themeColor="accent2"/>
              <w:bottom w:val="single" w:sz="4" w:space="0" w:color="auto"/>
            </w:tcBorders>
            <w:shd w:val="clear" w:color="auto" w:fill="E7E6E6" w:themeFill="background2"/>
            <w:hideMark/>
          </w:tcPr>
          <w:p w14:paraId="01980638" w14:textId="77777777" w:rsidR="005E2BB1" w:rsidRPr="00F45F11" w:rsidRDefault="005E2BB1" w:rsidP="0093234E">
            <w:pPr>
              <w:pStyle w:val="ARtabletextright"/>
              <w:rPr>
                <w:lang w:eastAsia="en-AU"/>
              </w:rPr>
            </w:pPr>
            <w:r w:rsidRPr="00F45F11">
              <w:rPr>
                <w:lang w:eastAsia="en-AU"/>
              </w:rPr>
              <w:t>3</w:t>
            </w:r>
          </w:p>
        </w:tc>
        <w:tc>
          <w:tcPr>
            <w:tcW w:w="927" w:type="dxa"/>
            <w:tcBorders>
              <w:top w:val="single" w:sz="4" w:space="0" w:color="BFBFBF" w:themeColor="accent2"/>
              <w:bottom w:val="single" w:sz="4" w:space="0" w:color="auto"/>
            </w:tcBorders>
            <w:shd w:val="clear" w:color="auto" w:fill="E7E6E6" w:themeFill="background2"/>
            <w:hideMark/>
          </w:tcPr>
          <w:p w14:paraId="40334A77" w14:textId="77777777" w:rsidR="005E2BB1" w:rsidRPr="00F45F11" w:rsidRDefault="005E2BB1" w:rsidP="0093234E">
            <w:pPr>
              <w:pStyle w:val="ARtabletextright"/>
              <w:rPr>
                <w:lang w:eastAsia="en-AU"/>
              </w:rPr>
            </w:pPr>
            <w:r w:rsidRPr="00F45F11">
              <w:rPr>
                <w:lang w:eastAsia="en-AU"/>
              </w:rPr>
              <w:t>2.6</w:t>
            </w:r>
          </w:p>
        </w:tc>
        <w:tc>
          <w:tcPr>
            <w:tcW w:w="1057" w:type="dxa"/>
            <w:tcBorders>
              <w:top w:val="single" w:sz="4" w:space="0" w:color="BFBFBF" w:themeColor="accent2"/>
              <w:bottom w:val="single" w:sz="4" w:space="0" w:color="auto"/>
            </w:tcBorders>
            <w:hideMark/>
          </w:tcPr>
          <w:p w14:paraId="0ABC92F3" w14:textId="77777777" w:rsidR="005E2BB1" w:rsidRPr="00F45F11" w:rsidRDefault="005E2BB1" w:rsidP="0093234E">
            <w:pPr>
              <w:pStyle w:val="ARtabletextright"/>
              <w:rPr>
                <w:lang w:eastAsia="en-AU"/>
              </w:rPr>
            </w:pPr>
            <w:r w:rsidRPr="00F45F11">
              <w:rPr>
                <w:lang w:eastAsia="en-AU"/>
              </w:rPr>
              <w:t>128</w:t>
            </w:r>
          </w:p>
        </w:tc>
        <w:tc>
          <w:tcPr>
            <w:tcW w:w="927" w:type="dxa"/>
            <w:tcBorders>
              <w:top w:val="single" w:sz="4" w:space="0" w:color="BFBFBF" w:themeColor="accent2"/>
              <w:bottom w:val="single" w:sz="4" w:space="0" w:color="auto"/>
            </w:tcBorders>
            <w:hideMark/>
          </w:tcPr>
          <w:p w14:paraId="7F5E1970" w14:textId="77777777" w:rsidR="005E2BB1" w:rsidRPr="00F45F11" w:rsidRDefault="005E2BB1" w:rsidP="0093234E">
            <w:pPr>
              <w:pStyle w:val="ARtabletextright"/>
              <w:rPr>
                <w:lang w:eastAsia="en-AU"/>
              </w:rPr>
            </w:pPr>
            <w:r w:rsidRPr="00F45F11">
              <w:rPr>
                <w:lang w:eastAsia="en-AU"/>
              </w:rPr>
              <w:t>125.2</w:t>
            </w:r>
          </w:p>
        </w:tc>
        <w:tc>
          <w:tcPr>
            <w:tcW w:w="926" w:type="dxa"/>
            <w:tcBorders>
              <w:top w:val="single" w:sz="4" w:space="0" w:color="BFBFBF" w:themeColor="accent2"/>
              <w:bottom w:val="single" w:sz="4" w:space="0" w:color="auto"/>
            </w:tcBorders>
            <w:shd w:val="clear" w:color="auto" w:fill="E7E6E6" w:themeFill="background2"/>
            <w:hideMark/>
          </w:tcPr>
          <w:p w14:paraId="5802E17C" w14:textId="77777777" w:rsidR="005E2BB1" w:rsidRPr="00F45F11" w:rsidRDefault="005E2BB1" w:rsidP="0093234E">
            <w:pPr>
              <w:pStyle w:val="ARtabletextright"/>
              <w:rPr>
                <w:lang w:eastAsia="en-AU"/>
              </w:rPr>
            </w:pPr>
            <w:r w:rsidRPr="00F45F11">
              <w:rPr>
                <w:lang w:eastAsia="en-AU"/>
              </w:rPr>
              <w:t>118</w:t>
            </w:r>
          </w:p>
        </w:tc>
        <w:tc>
          <w:tcPr>
            <w:tcW w:w="926" w:type="dxa"/>
            <w:tcBorders>
              <w:top w:val="single" w:sz="4" w:space="0" w:color="BFBFBF" w:themeColor="accent2"/>
              <w:bottom w:val="single" w:sz="4" w:space="0" w:color="auto"/>
            </w:tcBorders>
            <w:shd w:val="clear" w:color="auto" w:fill="E7E6E6" w:themeFill="background2"/>
            <w:hideMark/>
          </w:tcPr>
          <w:p w14:paraId="01913F5F" w14:textId="77777777" w:rsidR="005E2BB1" w:rsidRPr="00F45F11" w:rsidRDefault="005E2BB1" w:rsidP="0093234E">
            <w:pPr>
              <w:pStyle w:val="ARtabletextright"/>
              <w:rPr>
                <w:lang w:eastAsia="en-AU"/>
              </w:rPr>
            </w:pPr>
            <w:r w:rsidRPr="00F45F11">
              <w:rPr>
                <w:lang w:eastAsia="en-AU"/>
              </w:rPr>
              <w:t>7</w:t>
            </w:r>
          </w:p>
        </w:tc>
        <w:tc>
          <w:tcPr>
            <w:tcW w:w="927" w:type="dxa"/>
            <w:tcBorders>
              <w:top w:val="single" w:sz="4" w:space="0" w:color="BFBFBF" w:themeColor="accent2"/>
              <w:bottom w:val="single" w:sz="4" w:space="0" w:color="auto"/>
            </w:tcBorders>
            <w:shd w:val="clear" w:color="auto" w:fill="E7E6E6" w:themeFill="background2"/>
            <w:hideMark/>
          </w:tcPr>
          <w:p w14:paraId="3C38D383" w14:textId="77777777" w:rsidR="005E2BB1" w:rsidRPr="00F45F11" w:rsidRDefault="005E2BB1" w:rsidP="0093234E">
            <w:pPr>
              <w:pStyle w:val="ARtabletextright"/>
              <w:rPr>
                <w:lang w:eastAsia="en-AU"/>
              </w:rPr>
            </w:pPr>
            <w:r w:rsidRPr="00F45F11">
              <w:rPr>
                <w:lang w:eastAsia="en-AU"/>
              </w:rPr>
              <w:t>122.2</w:t>
            </w:r>
          </w:p>
        </w:tc>
        <w:tc>
          <w:tcPr>
            <w:tcW w:w="1057" w:type="dxa"/>
            <w:tcBorders>
              <w:top w:val="single" w:sz="4" w:space="0" w:color="BFBFBF" w:themeColor="accent2"/>
              <w:bottom w:val="single" w:sz="4" w:space="0" w:color="auto"/>
            </w:tcBorders>
            <w:hideMark/>
          </w:tcPr>
          <w:p w14:paraId="6B1724AD" w14:textId="77777777" w:rsidR="005E2BB1" w:rsidRPr="00F45F11" w:rsidRDefault="005E2BB1" w:rsidP="0093234E">
            <w:pPr>
              <w:pStyle w:val="ARtabletextright"/>
              <w:rPr>
                <w:lang w:eastAsia="en-AU"/>
              </w:rPr>
            </w:pPr>
            <w:r w:rsidRPr="00F45F11">
              <w:rPr>
                <w:lang w:eastAsia="en-AU"/>
              </w:rPr>
              <w:t>3</w:t>
            </w:r>
          </w:p>
        </w:tc>
        <w:tc>
          <w:tcPr>
            <w:tcW w:w="927" w:type="dxa"/>
            <w:tcBorders>
              <w:top w:val="single" w:sz="4" w:space="0" w:color="BFBFBF" w:themeColor="accent2"/>
              <w:bottom w:val="single" w:sz="4" w:space="0" w:color="auto"/>
            </w:tcBorders>
            <w:hideMark/>
          </w:tcPr>
          <w:p w14:paraId="71E6EF37" w14:textId="77777777" w:rsidR="005E2BB1" w:rsidRPr="00F45F11" w:rsidRDefault="005E2BB1" w:rsidP="0093234E">
            <w:pPr>
              <w:pStyle w:val="ARtabletextright"/>
              <w:rPr>
                <w:lang w:eastAsia="en-AU"/>
              </w:rPr>
            </w:pPr>
            <w:r w:rsidRPr="00F45F11">
              <w:rPr>
                <w:lang w:eastAsia="en-AU"/>
              </w:rPr>
              <w:t>3.0</w:t>
            </w:r>
          </w:p>
        </w:tc>
      </w:tr>
      <w:tr w:rsidR="005E2BB1" w:rsidRPr="00F45F11" w14:paraId="05F60A5D"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tcBorders>
              <w:top w:val="single" w:sz="4" w:space="0" w:color="auto"/>
              <w:bottom w:val="single" w:sz="4" w:space="0" w:color="auto"/>
            </w:tcBorders>
            <w:hideMark/>
          </w:tcPr>
          <w:p w14:paraId="543A670C" w14:textId="77777777" w:rsidR="005E2BB1" w:rsidRPr="00F45F11" w:rsidRDefault="005E2BB1" w:rsidP="0093234E">
            <w:pPr>
              <w:pStyle w:val="ARtabletextbold"/>
              <w:rPr>
                <w:lang w:eastAsia="en-AU"/>
              </w:rPr>
            </w:pPr>
            <w:r w:rsidRPr="00F45F11">
              <w:rPr>
                <w:lang w:eastAsia="en-AU"/>
              </w:rPr>
              <w:t>Total</w:t>
            </w:r>
          </w:p>
        </w:tc>
        <w:tc>
          <w:tcPr>
            <w:tcW w:w="992" w:type="dxa"/>
            <w:tcBorders>
              <w:top w:val="single" w:sz="4" w:space="0" w:color="auto"/>
              <w:bottom w:val="single" w:sz="4" w:space="0" w:color="auto"/>
            </w:tcBorders>
            <w:shd w:val="clear" w:color="auto" w:fill="E7E6E6" w:themeFill="background2"/>
            <w:hideMark/>
          </w:tcPr>
          <w:p w14:paraId="5F90225B" w14:textId="0A1AA144" w:rsidR="005E2BB1" w:rsidRPr="00F45F11" w:rsidRDefault="005E2BB1" w:rsidP="0093234E">
            <w:pPr>
              <w:pStyle w:val="ARtabletextrightbold"/>
              <w:rPr>
                <w:lang w:eastAsia="en-AU"/>
              </w:rPr>
            </w:pPr>
            <w:r w:rsidRPr="00F45F11">
              <w:rPr>
                <w:lang w:eastAsia="en-AU"/>
              </w:rPr>
              <w:t>2</w:t>
            </w:r>
            <w:r w:rsidR="00333488" w:rsidRPr="00F45F11">
              <w:rPr>
                <w:lang w:eastAsia="en-AU"/>
              </w:rPr>
              <w:t>,</w:t>
            </w:r>
            <w:r w:rsidRPr="00F45F11">
              <w:rPr>
                <w:lang w:eastAsia="en-AU"/>
              </w:rPr>
              <w:t>810</w:t>
            </w:r>
          </w:p>
        </w:tc>
        <w:tc>
          <w:tcPr>
            <w:tcW w:w="992" w:type="dxa"/>
            <w:tcBorders>
              <w:top w:val="single" w:sz="4" w:space="0" w:color="auto"/>
              <w:bottom w:val="single" w:sz="4" w:space="0" w:color="auto"/>
            </w:tcBorders>
            <w:shd w:val="clear" w:color="auto" w:fill="E7E6E6" w:themeFill="background2"/>
            <w:hideMark/>
          </w:tcPr>
          <w:p w14:paraId="3782E596" w14:textId="3AA963E0" w:rsidR="005E2BB1" w:rsidRPr="00F45F11" w:rsidRDefault="005E2BB1" w:rsidP="0093234E">
            <w:pPr>
              <w:pStyle w:val="ARtabletextrightbold"/>
              <w:rPr>
                <w:lang w:eastAsia="en-AU"/>
              </w:rPr>
            </w:pPr>
            <w:r w:rsidRPr="00F45F11">
              <w:rPr>
                <w:lang w:eastAsia="en-AU"/>
              </w:rPr>
              <w:t>2</w:t>
            </w:r>
            <w:r w:rsidR="00333488" w:rsidRPr="00F45F11">
              <w:rPr>
                <w:lang w:eastAsia="en-AU"/>
              </w:rPr>
              <w:t>,</w:t>
            </w:r>
            <w:r w:rsidRPr="00F45F11">
              <w:rPr>
                <w:lang w:eastAsia="en-AU"/>
              </w:rPr>
              <w:t>612.5</w:t>
            </w:r>
          </w:p>
        </w:tc>
        <w:tc>
          <w:tcPr>
            <w:tcW w:w="926" w:type="dxa"/>
            <w:tcBorders>
              <w:top w:val="single" w:sz="4" w:space="0" w:color="auto"/>
              <w:bottom w:val="single" w:sz="4" w:space="0" w:color="auto"/>
            </w:tcBorders>
            <w:hideMark/>
          </w:tcPr>
          <w:p w14:paraId="33AE6DE1" w14:textId="0F696EBB" w:rsidR="005E2BB1" w:rsidRPr="00F45F11" w:rsidRDefault="005E2BB1" w:rsidP="0093234E">
            <w:pPr>
              <w:pStyle w:val="ARtabletextrightbold"/>
              <w:rPr>
                <w:lang w:eastAsia="en-AU"/>
              </w:rPr>
            </w:pPr>
            <w:r w:rsidRPr="00F45F11">
              <w:rPr>
                <w:lang w:eastAsia="en-AU"/>
              </w:rPr>
              <w:t>2</w:t>
            </w:r>
            <w:r w:rsidR="00333488" w:rsidRPr="00F45F11">
              <w:rPr>
                <w:lang w:eastAsia="en-AU"/>
              </w:rPr>
              <w:t>,</w:t>
            </w:r>
            <w:r w:rsidRPr="00F45F11">
              <w:rPr>
                <w:lang w:eastAsia="en-AU"/>
              </w:rPr>
              <w:t>075</w:t>
            </w:r>
          </w:p>
        </w:tc>
        <w:tc>
          <w:tcPr>
            <w:tcW w:w="926" w:type="dxa"/>
            <w:tcBorders>
              <w:top w:val="single" w:sz="4" w:space="0" w:color="auto"/>
              <w:bottom w:val="single" w:sz="4" w:space="0" w:color="auto"/>
            </w:tcBorders>
            <w:hideMark/>
          </w:tcPr>
          <w:p w14:paraId="45BA2808" w14:textId="77777777" w:rsidR="005E2BB1" w:rsidRPr="00F45F11" w:rsidRDefault="005E2BB1" w:rsidP="0093234E">
            <w:pPr>
              <w:pStyle w:val="ARtabletextrightbold"/>
              <w:rPr>
                <w:lang w:eastAsia="en-AU"/>
              </w:rPr>
            </w:pPr>
            <w:r w:rsidRPr="00F45F11">
              <w:rPr>
                <w:lang w:eastAsia="en-AU"/>
              </w:rPr>
              <w:t>385</w:t>
            </w:r>
          </w:p>
        </w:tc>
        <w:tc>
          <w:tcPr>
            <w:tcW w:w="927" w:type="dxa"/>
            <w:tcBorders>
              <w:top w:val="single" w:sz="4" w:space="0" w:color="auto"/>
              <w:bottom w:val="single" w:sz="4" w:space="0" w:color="auto"/>
            </w:tcBorders>
            <w:hideMark/>
          </w:tcPr>
          <w:p w14:paraId="119E85D6" w14:textId="5AC9B40E" w:rsidR="005E2BB1" w:rsidRPr="00F45F11" w:rsidRDefault="005E2BB1" w:rsidP="0093234E">
            <w:pPr>
              <w:pStyle w:val="ARtabletextrightbold"/>
              <w:rPr>
                <w:lang w:eastAsia="en-AU"/>
              </w:rPr>
            </w:pPr>
            <w:r w:rsidRPr="00F45F11">
              <w:rPr>
                <w:lang w:eastAsia="en-AU"/>
              </w:rPr>
              <w:t>2</w:t>
            </w:r>
            <w:r w:rsidR="00333488" w:rsidRPr="00F45F11">
              <w:rPr>
                <w:lang w:eastAsia="en-AU"/>
              </w:rPr>
              <w:t>,</w:t>
            </w:r>
            <w:r w:rsidRPr="00F45F11">
              <w:rPr>
                <w:lang w:eastAsia="en-AU"/>
              </w:rPr>
              <w:t>308.4</w:t>
            </w:r>
          </w:p>
        </w:tc>
        <w:tc>
          <w:tcPr>
            <w:tcW w:w="1057" w:type="dxa"/>
            <w:tcBorders>
              <w:top w:val="single" w:sz="4" w:space="0" w:color="auto"/>
              <w:bottom w:val="single" w:sz="4" w:space="0" w:color="auto"/>
            </w:tcBorders>
            <w:shd w:val="clear" w:color="auto" w:fill="E7E6E6" w:themeFill="background2"/>
            <w:hideMark/>
          </w:tcPr>
          <w:p w14:paraId="09812ECC" w14:textId="77777777" w:rsidR="005E2BB1" w:rsidRPr="00F45F11" w:rsidRDefault="005E2BB1" w:rsidP="0093234E">
            <w:pPr>
              <w:pStyle w:val="ARtabletextrightbold"/>
              <w:rPr>
                <w:lang w:eastAsia="en-AU"/>
              </w:rPr>
            </w:pPr>
            <w:r w:rsidRPr="00F45F11">
              <w:rPr>
                <w:lang w:eastAsia="en-AU"/>
              </w:rPr>
              <w:t>350</w:t>
            </w:r>
          </w:p>
        </w:tc>
        <w:tc>
          <w:tcPr>
            <w:tcW w:w="927" w:type="dxa"/>
            <w:tcBorders>
              <w:top w:val="single" w:sz="4" w:space="0" w:color="auto"/>
              <w:bottom w:val="single" w:sz="4" w:space="0" w:color="auto"/>
            </w:tcBorders>
            <w:shd w:val="clear" w:color="auto" w:fill="E7E6E6" w:themeFill="background2"/>
            <w:hideMark/>
          </w:tcPr>
          <w:p w14:paraId="3BED0999" w14:textId="77777777" w:rsidR="005E2BB1" w:rsidRPr="00F45F11" w:rsidRDefault="005E2BB1" w:rsidP="0093234E">
            <w:pPr>
              <w:pStyle w:val="ARtabletextrightbold"/>
              <w:rPr>
                <w:lang w:eastAsia="en-AU"/>
              </w:rPr>
            </w:pPr>
            <w:r w:rsidRPr="00F45F11">
              <w:rPr>
                <w:lang w:eastAsia="en-AU"/>
              </w:rPr>
              <w:t>304.1</w:t>
            </w:r>
          </w:p>
        </w:tc>
        <w:tc>
          <w:tcPr>
            <w:tcW w:w="1057" w:type="dxa"/>
            <w:tcBorders>
              <w:top w:val="single" w:sz="4" w:space="0" w:color="auto"/>
              <w:bottom w:val="single" w:sz="4" w:space="0" w:color="auto"/>
            </w:tcBorders>
            <w:hideMark/>
          </w:tcPr>
          <w:p w14:paraId="0F9602FC" w14:textId="070D58CD" w:rsidR="005E2BB1" w:rsidRPr="00F45F11" w:rsidRDefault="005E2BB1" w:rsidP="0093234E">
            <w:pPr>
              <w:pStyle w:val="ARtabletextrightbold"/>
              <w:rPr>
                <w:lang w:eastAsia="en-AU"/>
              </w:rPr>
            </w:pPr>
            <w:r w:rsidRPr="00F45F11">
              <w:rPr>
                <w:lang w:eastAsia="en-AU"/>
              </w:rPr>
              <w:t>2</w:t>
            </w:r>
            <w:r w:rsidR="00333488" w:rsidRPr="00F45F11">
              <w:rPr>
                <w:lang w:eastAsia="en-AU"/>
              </w:rPr>
              <w:t>,</w:t>
            </w:r>
            <w:r w:rsidRPr="00F45F11">
              <w:rPr>
                <w:lang w:eastAsia="en-AU"/>
              </w:rPr>
              <w:t>624</w:t>
            </w:r>
          </w:p>
        </w:tc>
        <w:tc>
          <w:tcPr>
            <w:tcW w:w="927" w:type="dxa"/>
            <w:tcBorders>
              <w:top w:val="single" w:sz="4" w:space="0" w:color="auto"/>
              <w:bottom w:val="single" w:sz="4" w:space="0" w:color="auto"/>
            </w:tcBorders>
            <w:hideMark/>
          </w:tcPr>
          <w:p w14:paraId="08FD2D34" w14:textId="2614708A" w:rsidR="005E2BB1" w:rsidRPr="00F45F11" w:rsidRDefault="005E2BB1" w:rsidP="0093234E">
            <w:pPr>
              <w:pStyle w:val="ARtabletextrightbold"/>
              <w:rPr>
                <w:lang w:eastAsia="en-AU"/>
              </w:rPr>
            </w:pPr>
            <w:r w:rsidRPr="00F45F11">
              <w:rPr>
                <w:lang w:eastAsia="en-AU"/>
              </w:rPr>
              <w:t>2</w:t>
            </w:r>
            <w:r w:rsidR="00333488" w:rsidRPr="00F45F11">
              <w:rPr>
                <w:lang w:eastAsia="en-AU"/>
              </w:rPr>
              <w:t>,</w:t>
            </w:r>
            <w:r w:rsidRPr="00F45F11">
              <w:rPr>
                <w:lang w:eastAsia="en-AU"/>
              </w:rPr>
              <w:t>424.9</w:t>
            </w:r>
          </w:p>
        </w:tc>
        <w:tc>
          <w:tcPr>
            <w:tcW w:w="926" w:type="dxa"/>
            <w:tcBorders>
              <w:top w:val="single" w:sz="4" w:space="0" w:color="auto"/>
              <w:bottom w:val="single" w:sz="4" w:space="0" w:color="auto"/>
            </w:tcBorders>
            <w:shd w:val="clear" w:color="auto" w:fill="E7E6E6" w:themeFill="background2"/>
            <w:hideMark/>
          </w:tcPr>
          <w:p w14:paraId="73BBEB72" w14:textId="792E1D38" w:rsidR="005E2BB1" w:rsidRPr="00F45F11" w:rsidRDefault="005E2BB1" w:rsidP="0093234E">
            <w:pPr>
              <w:pStyle w:val="ARtabletextrightbold"/>
              <w:rPr>
                <w:lang w:eastAsia="en-AU"/>
              </w:rPr>
            </w:pPr>
            <w:r w:rsidRPr="00F45F11">
              <w:rPr>
                <w:lang w:eastAsia="en-AU"/>
              </w:rPr>
              <w:t>2</w:t>
            </w:r>
            <w:r w:rsidR="00333488" w:rsidRPr="00F45F11">
              <w:rPr>
                <w:lang w:eastAsia="en-AU"/>
              </w:rPr>
              <w:t>,</w:t>
            </w:r>
            <w:r w:rsidRPr="00F45F11">
              <w:rPr>
                <w:lang w:eastAsia="en-AU"/>
              </w:rPr>
              <w:t>011</w:t>
            </w:r>
          </w:p>
        </w:tc>
        <w:tc>
          <w:tcPr>
            <w:tcW w:w="926" w:type="dxa"/>
            <w:tcBorders>
              <w:top w:val="single" w:sz="4" w:space="0" w:color="auto"/>
              <w:bottom w:val="single" w:sz="4" w:space="0" w:color="auto"/>
            </w:tcBorders>
            <w:shd w:val="clear" w:color="auto" w:fill="E7E6E6" w:themeFill="background2"/>
            <w:hideMark/>
          </w:tcPr>
          <w:p w14:paraId="0B44602A" w14:textId="77777777" w:rsidR="005E2BB1" w:rsidRPr="00F45F11" w:rsidRDefault="005E2BB1" w:rsidP="0093234E">
            <w:pPr>
              <w:pStyle w:val="ARtabletextrightbold"/>
              <w:rPr>
                <w:lang w:eastAsia="en-AU"/>
              </w:rPr>
            </w:pPr>
            <w:r w:rsidRPr="00F45F11">
              <w:rPr>
                <w:lang w:eastAsia="en-AU"/>
              </w:rPr>
              <w:t>387</w:t>
            </w:r>
          </w:p>
        </w:tc>
        <w:tc>
          <w:tcPr>
            <w:tcW w:w="927" w:type="dxa"/>
            <w:tcBorders>
              <w:top w:val="single" w:sz="4" w:space="0" w:color="auto"/>
              <w:bottom w:val="single" w:sz="4" w:space="0" w:color="auto"/>
            </w:tcBorders>
            <w:shd w:val="clear" w:color="auto" w:fill="E7E6E6" w:themeFill="background2"/>
            <w:hideMark/>
          </w:tcPr>
          <w:p w14:paraId="5929E686" w14:textId="7923EB4C" w:rsidR="005E2BB1" w:rsidRPr="00F45F11" w:rsidRDefault="005E2BB1" w:rsidP="0093234E">
            <w:pPr>
              <w:pStyle w:val="ARtabletextrightbold"/>
              <w:rPr>
                <w:lang w:eastAsia="en-AU"/>
              </w:rPr>
            </w:pPr>
            <w:r w:rsidRPr="00F45F11">
              <w:rPr>
                <w:lang w:eastAsia="en-AU"/>
              </w:rPr>
              <w:t>2</w:t>
            </w:r>
            <w:r w:rsidR="00333488" w:rsidRPr="00F45F11">
              <w:rPr>
                <w:lang w:eastAsia="en-AU"/>
              </w:rPr>
              <w:t>,</w:t>
            </w:r>
            <w:r w:rsidRPr="00F45F11">
              <w:rPr>
                <w:lang w:eastAsia="en-AU"/>
              </w:rPr>
              <w:t>242.7</w:t>
            </w:r>
          </w:p>
        </w:tc>
        <w:tc>
          <w:tcPr>
            <w:tcW w:w="1057" w:type="dxa"/>
            <w:tcBorders>
              <w:top w:val="single" w:sz="4" w:space="0" w:color="auto"/>
              <w:bottom w:val="single" w:sz="4" w:space="0" w:color="auto"/>
            </w:tcBorders>
            <w:hideMark/>
          </w:tcPr>
          <w:p w14:paraId="377D9685" w14:textId="77777777" w:rsidR="005E2BB1" w:rsidRPr="00F45F11" w:rsidRDefault="005E2BB1" w:rsidP="0093234E">
            <w:pPr>
              <w:pStyle w:val="ARtabletextrightbold"/>
              <w:rPr>
                <w:lang w:eastAsia="en-AU"/>
              </w:rPr>
            </w:pPr>
            <w:r w:rsidRPr="00F45F11">
              <w:rPr>
                <w:lang w:eastAsia="en-AU"/>
              </w:rPr>
              <w:t>226</w:t>
            </w:r>
          </w:p>
        </w:tc>
        <w:tc>
          <w:tcPr>
            <w:tcW w:w="927" w:type="dxa"/>
            <w:tcBorders>
              <w:top w:val="single" w:sz="4" w:space="0" w:color="auto"/>
              <w:bottom w:val="single" w:sz="4" w:space="0" w:color="auto"/>
            </w:tcBorders>
            <w:hideMark/>
          </w:tcPr>
          <w:p w14:paraId="68043F1C" w14:textId="77777777" w:rsidR="005E2BB1" w:rsidRPr="00F45F11" w:rsidRDefault="005E2BB1" w:rsidP="0093234E">
            <w:pPr>
              <w:pStyle w:val="ARtabletextrightbold"/>
              <w:rPr>
                <w:lang w:eastAsia="en-AU"/>
              </w:rPr>
            </w:pPr>
            <w:r w:rsidRPr="00F45F11">
              <w:rPr>
                <w:lang w:eastAsia="en-AU"/>
              </w:rPr>
              <w:t>182.2</w:t>
            </w:r>
          </w:p>
        </w:tc>
      </w:tr>
      <w:tr w:rsidR="00F659C1" w:rsidRPr="00F45F11" w14:paraId="1933B7B0"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tcPr>
          <w:p w14:paraId="51DD3A64" w14:textId="7A26BDF7" w:rsidR="00F659C1" w:rsidRPr="00F45F11" w:rsidRDefault="00F659C1" w:rsidP="00F659C1">
            <w:pPr>
              <w:pStyle w:val="ARTabletextboldcoloured"/>
              <w:rPr>
                <w:lang w:eastAsia="en-AU"/>
              </w:rPr>
            </w:pPr>
            <w:r w:rsidRPr="00F45F11">
              <w:rPr>
                <w:lang w:eastAsia="en-AU"/>
              </w:rPr>
              <w:t>Children, Youth and Families</w:t>
            </w:r>
          </w:p>
        </w:tc>
        <w:tc>
          <w:tcPr>
            <w:tcW w:w="992" w:type="dxa"/>
          </w:tcPr>
          <w:p w14:paraId="2F15FB20" w14:textId="77777777" w:rsidR="00F659C1" w:rsidRPr="00F45F11" w:rsidRDefault="00F659C1" w:rsidP="0093234E">
            <w:pPr>
              <w:pStyle w:val="ARtabletextright"/>
              <w:rPr>
                <w:lang w:eastAsia="en-AU"/>
              </w:rPr>
            </w:pPr>
          </w:p>
        </w:tc>
        <w:tc>
          <w:tcPr>
            <w:tcW w:w="992" w:type="dxa"/>
          </w:tcPr>
          <w:p w14:paraId="794FCA92" w14:textId="77777777" w:rsidR="00F659C1" w:rsidRPr="00F45F11" w:rsidRDefault="00F659C1" w:rsidP="0093234E">
            <w:pPr>
              <w:pStyle w:val="ARtabletextright"/>
              <w:rPr>
                <w:lang w:eastAsia="en-AU"/>
              </w:rPr>
            </w:pPr>
          </w:p>
        </w:tc>
        <w:tc>
          <w:tcPr>
            <w:tcW w:w="926" w:type="dxa"/>
          </w:tcPr>
          <w:p w14:paraId="051B3BFA" w14:textId="77777777" w:rsidR="00F659C1" w:rsidRPr="00F45F11" w:rsidRDefault="00F659C1" w:rsidP="0093234E">
            <w:pPr>
              <w:pStyle w:val="ARtabletextright"/>
              <w:rPr>
                <w:lang w:eastAsia="en-AU"/>
              </w:rPr>
            </w:pPr>
          </w:p>
        </w:tc>
        <w:tc>
          <w:tcPr>
            <w:tcW w:w="926" w:type="dxa"/>
          </w:tcPr>
          <w:p w14:paraId="00D89FE5" w14:textId="77777777" w:rsidR="00F659C1" w:rsidRPr="00F45F11" w:rsidRDefault="00F659C1" w:rsidP="0093234E">
            <w:pPr>
              <w:pStyle w:val="ARtabletextright"/>
              <w:rPr>
                <w:lang w:eastAsia="en-AU"/>
              </w:rPr>
            </w:pPr>
          </w:p>
        </w:tc>
        <w:tc>
          <w:tcPr>
            <w:tcW w:w="927" w:type="dxa"/>
          </w:tcPr>
          <w:p w14:paraId="117ABEE7" w14:textId="77777777" w:rsidR="00F659C1" w:rsidRPr="00F45F11" w:rsidRDefault="00F659C1" w:rsidP="0093234E">
            <w:pPr>
              <w:pStyle w:val="ARtabletextright"/>
              <w:rPr>
                <w:lang w:eastAsia="en-AU"/>
              </w:rPr>
            </w:pPr>
          </w:p>
        </w:tc>
        <w:tc>
          <w:tcPr>
            <w:tcW w:w="1057" w:type="dxa"/>
          </w:tcPr>
          <w:p w14:paraId="2CFA6BED" w14:textId="77777777" w:rsidR="00F659C1" w:rsidRPr="00F45F11" w:rsidRDefault="00F659C1" w:rsidP="0093234E">
            <w:pPr>
              <w:pStyle w:val="ARtabletextright"/>
              <w:rPr>
                <w:lang w:eastAsia="en-AU"/>
              </w:rPr>
            </w:pPr>
          </w:p>
        </w:tc>
        <w:tc>
          <w:tcPr>
            <w:tcW w:w="927" w:type="dxa"/>
          </w:tcPr>
          <w:p w14:paraId="1E0B376F" w14:textId="77777777" w:rsidR="00F659C1" w:rsidRPr="00F45F11" w:rsidRDefault="00F659C1" w:rsidP="0093234E">
            <w:pPr>
              <w:pStyle w:val="ARtabletextright"/>
              <w:rPr>
                <w:lang w:eastAsia="en-AU"/>
              </w:rPr>
            </w:pPr>
          </w:p>
        </w:tc>
        <w:tc>
          <w:tcPr>
            <w:tcW w:w="1057" w:type="dxa"/>
          </w:tcPr>
          <w:p w14:paraId="2F5A4E5E" w14:textId="77777777" w:rsidR="00F659C1" w:rsidRPr="00F45F11" w:rsidRDefault="00F659C1" w:rsidP="0093234E">
            <w:pPr>
              <w:pStyle w:val="ARtabletextright"/>
              <w:rPr>
                <w:lang w:eastAsia="en-AU"/>
              </w:rPr>
            </w:pPr>
          </w:p>
        </w:tc>
        <w:tc>
          <w:tcPr>
            <w:tcW w:w="927" w:type="dxa"/>
          </w:tcPr>
          <w:p w14:paraId="367D2E59" w14:textId="77777777" w:rsidR="00F659C1" w:rsidRPr="00F45F11" w:rsidRDefault="00F659C1" w:rsidP="0093234E">
            <w:pPr>
              <w:pStyle w:val="ARtabletextright"/>
              <w:rPr>
                <w:lang w:eastAsia="en-AU"/>
              </w:rPr>
            </w:pPr>
          </w:p>
        </w:tc>
        <w:tc>
          <w:tcPr>
            <w:tcW w:w="926" w:type="dxa"/>
          </w:tcPr>
          <w:p w14:paraId="7B67E562" w14:textId="77777777" w:rsidR="00F659C1" w:rsidRPr="00F45F11" w:rsidRDefault="00F659C1" w:rsidP="0093234E">
            <w:pPr>
              <w:pStyle w:val="ARtabletextright"/>
              <w:rPr>
                <w:lang w:eastAsia="en-AU"/>
              </w:rPr>
            </w:pPr>
          </w:p>
        </w:tc>
        <w:tc>
          <w:tcPr>
            <w:tcW w:w="926" w:type="dxa"/>
          </w:tcPr>
          <w:p w14:paraId="5BD7C90D" w14:textId="77777777" w:rsidR="00F659C1" w:rsidRPr="00F45F11" w:rsidRDefault="00F659C1" w:rsidP="0093234E">
            <w:pPr>
              <w:pStyle w:val="ARtabletextright"/>
              <w:rPr>
                <w:lang w:eastAsia="en-AU"/>
              </w:rPr>
            </w:pPr>
          </w:p>
        </w:tc>
        <w:tc>
          <w:tcPr>
            <w:tcW w:w="927" w:type="dxa"/>
          </w:tcPr>
          <w:p w14:paraId="0048D9A8" w14:textId="77777777" w:rsidR="00F659C1" w:rsidRPr="00F45F11" w:rsidRDefault="00F659C1" w:rsidP="0093234E">
            <w:pPr>
              <w:pStyle w:val="ARtabletextright"/>
              <w:rPr>
                <w:lang w:eastAsia="en-AU"/>
              </w:rPr>
            </w:pPr>
          </w:p>
        </w:tc>
        <w:tc>
          <w:tcPr>
            <w:tcW w:w="1057" w:type="dxa"/>
          </w:tcPr>
          <w:p w14:paraId="05D2C505" w14:textId="77777777" w:rsidR="00F659C1" w:rsidRPr="00F45F11" w:rsidRDefault="00F659C1" w:rsidP="0093234E">
            <w:pPr>
              <w:pStyle w:val="ARtabletextright"/>
              <w:rPr>
                <w:lang w:eastAsia="en-AU"/>
              </w:rPr>
            </w:pPr>
          </w:p>
        </w:tc>
        <w:tc>
          <w:tcPr>
            <w:tcW w:w="927" w:type="dxa"/>
          </w:tcPr>
          <w:p w14:paraId="01DD1322" w14:textId="77777777" w:rsidR="00F659C1" w:rsidRPr="00F45F11" w:rsidRDefault="00F659C1" w:rsidP="0093234E">
            <w:pPr>
              <w:pStyle w:val="ARtabletextright"/>
              <w:rPr>
                <w:lang w:eastAsia="en-AU"/>
              </w:rPr>
            </w:pPr>
          </w:p>
        </w:tc>
      </w:tr>
      <w:tr w:rsidR="005E2BB1" w:rsidRPr="00F45F11" w14:paraId="5F7BC948"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hideMark/>
          </w:tcPr>
          <w:p w14:paraId="6DFC98AA" w14:textId="77777777" w:rsidR="005E2BB1" w:rsidRPr="00F45F11" w:rsidRDefault="005E2BB1" w:rsidP="0093234E">
            <w:pPr>
              <w:pStyle w:val="ARTabletext"/>
              <w:rPr>
                <w:lang w:eastAsia="en-AU"/>
              </w:rPr>
            </w:pPr>
            <w:r w:rsidRPr="00F45F11">
              <w:rPr>
                <w:lang w:eastAsia="en-AU"/>
              </w:rPr>
              <w:t>CYF 1</w:t>
            </w:r>
          </w:p>
        </w:tc>
        <w:tc>
          <w:tcPr>
            <w:tcW w:w="992" w:type="dxa"/>
            <w:shd w:val="clear" w:color="auto" w:fill="E7E6E6" w:themeFill="background2"/>
            <w:hideMark/>
          </w:tcPr>
          <w:p w14:paraId="0E79B6D5" w14:textId="77777777" w:rsidR="005E2BB1" w:rsidRPr="00F45F11" w:rsidRDefault="005E2BB1" w:rsidP="0093234E">
            <w:pPr>
              <w:pStyle w:val="ARtabletextright"/>
              <w:rPr>
                <w:lang w:eastAsia="en-AU"/>
              </w:rPr>
            </w:pPr>
            <w:r w:rsidRPr="00F45F11">
              <w:rPr>
                <w:lang w:eastAsia="en-AU"/>
              </w:rPr>
              <w:t>0</w:t>
            </w:r>
          </w:p>
        </w:tc>
        <w:tc>
          <w:tcPr>
            <w:tcW w:w="992" w:type="dxa"/>
            <w:shd w:val="clear" w:color="auto" w:fill="E7E6E6" w:themeFill="background2"/>
            <w:hideMark/>
          </w:tcPr>
          <w:p w14:paraId="6E67D3A1" w14:textId="77777777" w:rsidR="005E2BB1" w:rsidRPr="00F45F11" w:rsidRDefault="005E2BB1" w:rsidP="0093234E">
            <w:pPr>
              <w:pStyle w:val="ARtabletextright"/>
              <w:rPr>
                <w:lang w:eastAsia="en-AU"/>
              </w:rPr>
            </w:pPr>
            <w:r w:rsidRPr="00F45F11">
              <w:rPr>
                <w:lang w:eastAsia="en-AU"/>
              </w:rPr>
              <w:t>0.0</w:t>
            </w:r>
          </w:p>
        </w:tc>
        <w:tc>
          <w:tcPr>
            <w:tcW w:w="926" w:type="dxa"/>
            <w:hideMark/>
          </w:tcPr>
          <w:p w14:paraId="202EC7EB" w14:textId="77777777" w:rsidR="005E2BB1" w:rsidRPr="00F45F11" w:rsidRDefault="005E2BB1" w:rsidP="0093234E">
            <w:pPr>
              <w:pStyle w:val="ARtabletextright"/>
              <w:rPr>
                <w:lang w:eastAsia="en-AU"/>
              </w:rPr>
            </w:pPr>
            <w:r w:rsidRPr="00F45F11">
              <w:rPr>
                <w:lang w:eastAsia="en-AU"/>
              </w:rPr>
              <w:t>0</w:t>
            </w:r>
          </w:p>
        </w:tc>
        <w:tc>
          <w:tcPr>
            <w:tcW w:w="926" w:type="dxa"/>
            <w:hideMark/>
          </w:tcPr>
          <w:p w14:paraId="3DB842BC" w14:textId="77777777" w:rsidR="005E2BB1" w:rsidRPr="00F45F11" w:rsidRDefault="005E2BB1" w:rsidP="0093234E">
            <w:pPr>
              <w:pStyle w:val="ARtabletextright"/>
              <w:rPr>
                <w:lang w:eastAsia="en-AU"/>
              </w:rPr>
            </w:pPr>
            <w:r w:rsidRPr="00F45F11">
              <w:rPr>
                <w:lang w:eastAsia="en-AU"/>
              </w:rPr>
              <w:t>0</w:t>
            </w:r>
          </w:p>
        </w:tc>
        <w:tc>
          <w:tcPr>
            <w:tcW w:w="927" w:type="dxa"/>
            <w:hideMark/>
          </w:tcPr>
          <w:p w14:paraId="60E50142" w14:textId="77777777" w:rsidR="005E2BB1" w:rsidRPr="00F45F11" w:rsidRDefault="005E2BB1" w:rsidP="0093234E">
            <w:pPr>
              <w:pStyle w:val="ARtabletextright"/>
              <w:rPr>
                <w:lang w:eastAsia="en-AU"/>
              </w:rPr>
            </w:pPr>
            <w:r w:rsidRPr="00F45F11">
              <w:rPr>
                <w:lang w:eastAsia="en-AU"/>
              </w:rPr>
              <w:t>0.0</w:t>
            </w:r>
          </w:p>
        </w:tc>
        <w:tc>
          <w:tcPr>
            <w:tcW w:w="1057" w:type="dxa"/>
            <w:shd w:val="clear" w:color="auto" w:fill="E7E6E6" w:themeFill="background2"/>
            <w:hideMark/>
          </w:tcPr>
          <w:p w14:paraId="4C6E2E72" w14:textId="77777777" w:rsidR="005E2BB1" w:rsidRPr="00F45F11" w:rsidRDefault="005E2BB1" w:rsidP="0093234E">
            <w:pPr>
              <w:pStyle w:val="ARtabletextright"/>
              <w:rPr>
                <w:lang w:eastAsia="en-AU"/>
              </w:rPr>
            </w:pPr>
            <w:r w:rsidRPr="00F45F11">
              <w:rPr>
                <w:lang w:eastAsia="en-AU"/>
              </w:rPr>
              <w:t>0</w:t>
            </w:r>
          </w:p>
        </w:tc>
        <w:tc>
          <w:tcPr>
            <w:tcW w:w="927" w:type="dxa"/>
            <w:shd w:val="clear" w:color="auto" w:fill="E7E6E6" w:themeFill="background2"/>
            <w:hideMark/>
          </w:tcPr>
          <w:p w14:paraId="39F8B3B7" w14:textId="77777777" w:rsidR="005E2BB1" w:rsidRPr="00F45F11" w:rsidRDefault="005E2BB1" w:rsidP="0093234E">
            <w:pPr>
              <w:pStyle w:val="ARtabletextright"/>
              <w:rPr>
                <w:lang w:eastAsia="en-AU"/>
              </w:rPr>
            </w:pPr>
            <w:r w:rsidRPr="00F45F11">
              <w:rPr>
                <w:lang w:eastAsia="en-AU"/>
              </w:rPr>
              <w:t>0.0</w:t>
            </w:r>
          </w:p>
        </w:tc>
        <w:tc>
          <w:tcPr>
            <w:tcW w:w="1057" w:type="dxa"/>
            <w:hideMark/>
          </w:tcPr>
          <w:p w14:paraId="15134754" w14:textId="77777777" w:rsidR="005E2BB1" w:rsidRPr="00F45F11" w:rsidRDefault="005E2BB1" w:rsidP="0093234E">
            <w:pPr>
              <w:pStyle w:val="ARtabletextright"/>
              <w:rPr>
                <w:lang w:eastAsia="en-AU"/>
              </w:rPr>
            </w:pPr>
            <w:r w:rsidRPr="00F45F11">
              <w:rPr>
                <w:lang w:eastAsia="en-AU"/>
              </w:rPr>
              <w:t>1</w:t>
            </w:r>
          </w:p>
        </w:tc>
        <w:tc>
          <w:tcPr>
            <w:tcW w:w="927" w:type="dxa"/>
            <w:hideMark/>
          </w:tcPr>
          <w:p w14:paraId="1FA41ECF" w14:textId="77777777" w:rsidR="005E2BB1" w:rsidRPr="00F45F11" w:rsidRDefault="005E2BB1" w:rsidP="0093234E">
            <w:pPr>
              <w:pStyle w:val="ARtabletextright"/>
              <w:rPr>
                <w:lang w:eastAsia="en-AU"/>
              </w:rPr>
            </w:pPr>
            <w:r w:rsidRPr="00F45F11">
              <w:rPr>
                <w:lang w:eastAsia="en-AU"/>
              </w:rPr>
              <w:t>0.6</w:t>
            </w:r>
          </w:p>
        </w:tc>
        <w:tc>
          <w:tcPr>
            <w:tcW w:w="926" w:type="dxa"/>
            <w:shd w:val="clear" w:color="auto" w:fill="E7E6E6" w:themeFill="background2"/>
            <w:hideMark/>
          </w:tcPr>
          <w:p w14:paraId="763EB500" w14:textId="77777777" w:rsidR="005E2BB1" w:rsidRPr="00F45F11" w:rsidRDefault="005E2BB1" w:rsidP="0093234E">
            <w:pPr>
              <w:pStyle w:val="ARtabletextright"/>
              <w:rPr>
                <w:lang w:eastAsia="en-AU"/>
              </w:rPr>
            </w:pPr>
            <w:r w:rsidRPr="00F45F11">
              <w:rPr>
                <w:lang w:eastAsia="en-AU"/>
              </w:rPr>
              <w:t>0</w:t>
            </w:r>
          </w:p>
        </w:tc>
        <w:tc>
          <w:tcPr>
            <w:tcW w:w="926" w:type="dxa"/>
            <w:shd w:val="clear" w:color="auto" w:fill="E7E6E6" w:themeFill="background2"/>
            <w:hideMark/>
          </w:tcPr>
          <w:p w14:paraId="5EB2BDFB" w14:textId="77777777" w:rsidR="005E2BB1" w:rsidRPr="00F45F11" w:rsidRDefault="005E2BB1" w:rsidP="0093234E">
            <w:pPr>
              <w:pStyle w:val="ARtabletextright"/>
              <w:rPr>
                <w:lang w:eastAsia="en-AU"/>
              </w:rPr>
            </w:pPr>
            <w:r w:rsidRPr="00F45F11">
              <w:rPr>
                <w:lang w:eastAsia="en-AU"/>
              </w:rPr>
              <w:t>0</w:t>
            </w:r>
          </w:p>
        </w:tc>
        <w:tc>
          <w:tcPr>
            <w:tcW w:w="927" w:type="dxa"/>
            <w:shd w:val="clear" w:color="auto" w:fill="E7E6E6" w:themeFill="background2"/>
            <w:hideMark/>
          </w:tcPr>
          <w:p w14:paraId="0A2F1F21" w14:textId="77777777" w:rsidR="005E2BB1" w:rsidRPr="00F45F11" w:rsidRDefault="005E2BB1" w:rsidP="0093234E">
            <w:pPr>
              <w:pStyle w:val="ARtabletextright"/>
              <w:rPr>
                <w:lang w:eastAsia="en-AU"/>
              </w:rPr>
            </w:pPr>
            <w:r w:rsidRPr="00F45F11">
              <w:rPr>
                <w:lang w:eastAsia="en-AU"/>
              </w:rPr>
              <w:t>0.0</w:t>
            </w:r>
          </w:p>
        </w:tc>
        <w:tc>
          <w:tcPr>
            <w:tcW w:w="1057" w:type="dxa"/>
            <w:hideMark/>
          </w:tcPr>
          <w:p w14:paraId="4CC9D967" w14:textId="77777777" w:rsidR="005E2BB1" w:rsidRPr="00F45F11" w:rsidRDefault="005E2BB1" w:rsidP="0093234E">
            <w:pPr>
              <w:pStyle w:val="ARtabletextright"/>
              <w:rPr>
                <w:lang w:eastAsia="en-AU"/>
              </w:rPr>
            </w:pPr>
            <w:r w:rsidRPr="00F45F11">
              <w:rPr>
                <w:lang w:eastAsia="en-AU"/>
              </w:rPr>
              <w:t>1</w:t>
            </w:r>
          </w:p>
        </w:tc>
        <w:tc>
          <w:tcPr>
            <w:tcW w:w="927" w:type="dxa"/>
            <w:hideMark/>
          </w:tcPr>
          <w:p w14:paraId="76A628E5" w14:textId="77777777" w:rsidR="005E2BB1" w:rsidRPr="00F45F11" w:rsidRDefault="005E2BB1" w:rsidP="0093234E">
            <w:pPr>
              <w:pStyle w:val="ARtabletextright"/>
              <w:rPr>
                <w:lang w:eastAsia="en-AU"/>
              </w:rPr>
            </w:pPr>
            <w:r w:rsidRPr="00F45F11">
              <w:rPr>
                <w:lang w:eastAsia="en-AU"/>
              </w:rPr>
              <w:t>0.6</w:t>
            </w:r>
          </w:p>
        </w:tc>
      </w:tr>
      <w:tr w:rsidR="005E2BB1" w:rsidRPr="00F45F11" w14:paraId="6D72C786"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hideMark/>
          </w:tcPr>
          <w:p w14:paraId="2AE5C52B" w14:textId="77777777" w:rsidR="005E2BB1" w:rsidRPr="00F45F11" w:rsidRDefault="005E2BB1" w:rsidP="0093234E">
            <w:pPr>
              <w:pStyle w:val="ARTabletext"/>
              <w:rPr>
                <w:lang w:eastAsia="en-AU"/>
              </w:rPr>
            </w:pPr>
            <w:r w:rsidRPr="00F45F11">
              <w:rPr>
                <w:lang w:eastAsia="en-AU"/>
              </w:rPr>
              <w:t>CYF 2</w:t>
            </w:r>
          </w:p>
        </w:tc>
        <w:tc>
          <w:tcPr>
            <w:tcW w:w="992" w:type="dxa"/>
            <w:shd w:val="clear" w:color="auto" w:fill="E7E6E6" w:themeFill="background2"/>
            <w:hideMark/>
          </w:tcPr>
          <w:p w14:paraId="4BC9DFAE" w14:textId="77777777" w:rsidR="005E2BB1" w:rsidRPr="00F45F11" w:rsidRDefault="005E2BB1" w:rsidP="0093234E">
            <w:pPr>
              <w:pStyle w:val="ARtabletextright"/>
              <w:rPr>
                <w:lang w:eastAsia="en-AU"/>
              </w:rPr>
            </w:pPr>
            <w:r w:rsidRPr="00F45F11">
              <w:rPr>
                <w:lang w:eastAsia="en-AU"/>
              </w:rPr>
              <w:t>87</w:t>
            </w:r>
          </w:p>
        </w:tc>
        <w:tc>
          <w:tcPr>
            <w:tcW w:w="992" w:type="dxa"/>
            <w:shd w:val="clear" w:color="auto" w:fill="E7E6E6" w:themeFill="background2"/>
            <w:hideMark/>
          </w:tcPr>
          <w:p w14:paraId="1A9706FB" w14:textId="77777777" w:rsidR="005E2BB1" w:rsidRPr="00F45F11" w:rsidRDefault="005E2BB1" w:rsidP="0093234E">
            <w:pPr>
              <w:pStyle w:val="ARtabletextright"/>
              <w:rPr>
                <w:lang w:eastAsia="en-AU"/>
              </w:rPr>
            </w:pPr>
            <w:r w:rsidRPr="00F45F11">
              <w:rPr>
                <w:lang w:eastAsia="en-AU"/>
              </w:rPr>
              <w:t>71.2</w:t>
            </w:r>
          </w:p>
        </w:tc>
        <w:tc>
          <w:tcPr>
            <w:tcW w:w="926" w:type="dxa"/>
            <w:hideMark/>
          </w:tcPr>
          <w:p w14:paraId="2EF38CD2" w14:textId="77777777" w:rsidR="005E2BB1" w:rsidRPr="00F45F11" w:rsidRDefault="005E2BB1" w:rsidP="0093234E">
            <w:pPr>
              <w:pStyle w:val="ARtabletextright"/>
              <w:rPr>
                <w:lang w:eastAsia="en-AU"/>
              </w:rPr>
            </w:pPr>
            <w:r w:rsidRPr="00F45F11">
              <w:rPr>
                <w:lang w:eastAsia="en-AU"/>
              </w:rPr>
              <w:t>43</w:t>
            </w:r>
          </w:p>
        </w:tc>
        <w:tc>
          <w:tcPr>
            <w:tcW w:w="926" w:type="dxa"/>
            <w:hideMark/>
          </w:tcPr>
          <w:p w14:paraId="506E32A0" w14:textId="77777777" w:rsidR="005E2BB1" w:rsidRPr="00F45F11" w:rsidRDefault="005E2BB1" w:rsidP="0093234E">
            <w:pPr>
              <w:pStyle w:val="ARtabletextright"/>
              <w:rPr>
                <w:lang w:eastAsia="en-AU"/>
              </w:rPr>
            </w:pPr>
            <w:r w:rsidRPr="00F45F11">
              <w:rPr>
                <w:lang w:eastAsia="en-AU"/>
              </w:rPr>
              <w:t>11</w:t>
            </w:r>
          </w:p>
        </w:tc>
        <w:tc>
          <w:tcPr>
            <w:tcW w:w="927" w:type="dxa"/>
            <w:hideMark/>
          </w:tcPr>
          <w:p w14:paraId="2E98F1E7" w14:textId="77777777" w:rsidR="005E2BB1" w:rsidRPr="00F45F11" w:rsidRDefault="005E2BB1" w:rsidP="0093234E">
            <w:pPr>
              <w:pStyle w:val="ARtabletextright"/>
              <w:rPr>
                <w:lang w:eastAsia="en-AU"/>
              </w:rPr>
            </w:pPr>
            <w:r w:rsidRPr="00F45F11">
              <w:rPr>
                <w:lang w:eastAsia="en-AU"/>
              </w:rPr>
              <w:t>50.4</w:t>
            </w:r>
          </w:p>
        </w:tc>
        <w:tc>
          <w:tcPr>
            <w:tcW w:w="1057" w:type="dxa"/>
            <w:shd w:val="clear" w:color="auto" w:fill="E7E6E6" w:themeFill="background2"/>
            <w:hideMark/>
          </w:tcPr>
          <w:p w14:paraId="3C84F339" w14:textId="77777777" w:rsidR="005E2BB1" w:rsidRPr="00F45F11" w:rsidRDefault="005E2BB1" w:rsidP="0093234E">
            <w:pPr>
              <w:pStyle w:val="ARtabletextright"/>
              <w:rPr>
                <w:lang w:eastAsia="en-AU"/>
              </w:rPr>
            </w:pPr>
            <w:r w:rsidRPr="00F45F11">
              <w:rPr>
                <w:lang w:eastAsia="en-AU"/>
              </w:rPr>
              <w:t>33</w:t>
            </w:r>
          </w:p>
        </w:tc>
        <w:tc>
          <w:tcPr>
            <w:tcW w:w="927" w:type="dxa"/>
            <w:shd w:val="clear" w:color="auto" w:fill="E7E6E6" w:themeFill="background2"/>
            <w:hideMark/>
          </w:tcPr>
          <w:p w14:paraId="5373B669" w14:textId="77777777" w:rsidR="005E2BB1" w:rsidRPr="00F45F11" w:rsidRDefault="005E2BB1" w:rsidP="0093234E">
            <w:pPr>
              <w:pStyle w:val="ARtabletextright"/>
              <w:rPr>
                <w:lang w:eastAsia="en-AU"/>
              </w:rPr>
            </w:pPr>
            <w:r w:rsidRPr="00F45F11">
              <w:rPr>
                <w:lang w:eastAsia="en-AU"/>
              </w:rPr>
              <w:t>20.8</w:t>
            </w:r>
          </w:p>
        </w:tc>
        <w:tc>
          <w:tcPr>
            <w:tcW w:w="1057" w:type="dxa"/>
            <w:hideMark/>
          </w:tcPr>
          <w:p w14:paraId="1929B8C8" w14:textId="77777777" w:rsidR="005E2BB1" w:rsidRPr="00F45F11" w:rsidRDefault="005E2BB1" w:rsidP="0093234E">
            <w:pPr>
              <w:pStyle w:val="ARtabletextright"/>
              <w:rPr>
                <w:lang w:eastAsia="en-AU"/>
              </w:rPr>
            </w:pPr>
            <w:r w:rsidRPr="00F45F11">
              <w:rPr>
                <w:lang w:eastAsia="en-AU"/>
              </w:rPr>
              <w:t>91</w:t>
            </w:r>
          </w:p>
        </w:tc>
        <w:tc>
          <w:tcPr>
            <w:tcW w:w="927" w:type="dxa"/>
            <w:hideMark/>
          </w:tcPr>
          <w:p w14:paraId="70A293F0" w14:textId="77777777" w:rsidR="005E2BB1" w:rsidRPr="00F45F11" w:rsidRDefault="005E2BB1" w:rsidP="0093234E">
            <w:pPr>
              <w:pStyle w:val="ARtabletextright"/>
              <w:rPr>
                <w:lang w:eastAsia="en-AU"/>
              </w:rPr>
            </w:pPr>
            <w:r w:rsidRPr="00F45F11">
              <w:rPr>
                <w:lang w:eastAsia="en-AU"/>
              </w:rPr>
              <w:t>74.3</w:t>
            </w:r>
          </w:p>
        </w:tc>
        <w:tc>
          <w:tcPr>
            <w:tcW w:w="926" w:type="dxa"/>
            <w:shd w:val="clear" w:color="auto" w:fill="E7E6E6" w:themeFill="background2"/>
            <w:hideMark/>
          </w:tcPr>
          <w:p w14:paraId="281262BD" w14:textId="77777777" w:rsidR="005E2BB1" w:rsidRPr="00F45F11" w:rsidRDefault="005E2BB1" w:rsidP="0093234E">
            <w:pPr>
              <w:pStyle w:val="ARtabletextright"/>
              <w:rPr>
                <w:lang w:eastAsia="en-AU"/>
              </w:rPr>
            </w:pPr>
            <w:r w:rsidRPr="00F45F11">
              <w:rPr>
                <w:lang w:eastAsia="en-AU"/>
              </w:rPr>
              <w:t>46</w:t>
            </w:r>
          </w:p>
        </w:tc>
        <w:tc>
          <w:tcPr>
            <w:tcW w:w="926" w:type="dxa"/>
            <w:shd w:val="clear" w:color="auto" w:fill="E7E6E6" w:themeFill="background2"/>
            <w:hideMark/>
          </w:tcPr>
          <w:p w14:paraId="6462AC92" w14:textId="77777777" w:rsidR="005E2BB1" w:rsidRPr="00F45F11" w:rsidRDefault="005E2BB1" w:rsidP="0093234E">
            <w:pPr>
              <w:pStyle w:val="ARtabletextright"/>
              <w:rPr>
                <w:lang w:eastAsia="en-AU"/>
              </w:rPr>
            </w:pPr>
            <w:r w:rsidRPr="00F45F11">
              <w:rPr>
                <w:lang w:eastAsia="en-AU"/>
              </w:rPr>
              <w:t>10</w:t>
            </w:r>
          </w:p>
        </w:tc>
        <w:tc>
          <w:tcPr>
            <w:tcW w:w="927" w:type="dxa"/>
            <w:shd w:val="clear" w:color="auto" w:fill="E7E6E6" w:themeFill="background2"/>
            <w:hideMark/>
          </w:tcPr>
          <w:p w14:paraId="38835AEB" w14:textId="77777777" w:rsidR="005E2BB1" w:rsidRPr="00F45F11" w:rsidRDefault="005E2BB1" w:rsidP="0093234E">
            <w:pPr>
              <w:pStyle w:val="ARtabletextright"/>
              <w:rPr>
                <w:lang w:eastAsia="en-AU"/>
              </w:rPr>
            </w:pPr>
            <w:r w:rsidRPr="00F45F11">
              <w:rPr>
                <w:lang w:eastAsia="en-AU"/>
              </w:rPr>
              <w:t>52.3</w:t>
            </w:r>
          </w:p>
        </w:tc>
        <w:tc>
          <w:tcPr>
            <w:tcW w:w="1057" w:type="dxa"/>
            <w:hideMark/>
          </w:tcPr>
          <w:p w14:paraId="2243C935" w14:textId="77777777" w:rsidR="005E2BB1" w:rsidRPr="00F45F11" w:rsidRDefault="005E2BB1" w:rsidP="0093234E">
            <w:pPr>
              <w:pStyle w:val="ARtabletextright"/>
              <w:rPr>
                <w:lang w:eastAsia="en-AU"/>
              </w:rPr>
            </w:pPr>
            <w:r w:rsidRPr="00F45F11">
              <w:rPr>
                <w:lang w:eastAsia="en-AU"/>
              </w:rPr>
              <w:t>35</w:t>
            </w:r>
          </w:p>
        </w:tc>
        <w:tc>
          <w:tcPr>
            <w:tcW w:w="927" w:type="dxa"/>
            <w:hideMark/>
          </w:tcPr>
          <w:p w14:paraId="1D8AB5F2" w14:textId="77777777" w:rsidR="005E2BB1" w:rsidRPr="00F45F11" w:rsidRDefault="005E2BB1" w:rsidP="0093234E">
            <w:pPr>
              <w:pStyle w:val="ARtabletextright"/>
              <w:rPr>
                <w:lang w:eastAsia="en-AU"/>
              </w:rPr>
            </w:pPr>
            <w:r w:rsidRPr="00F45F11">
              <w:rPr>
                <w:lang w:eastAsia="en-AU"/>
              </w:rPr>
              <w:t>22.0</w:t>
            </w:r>
          </w:p>
        </w:tc>
      </w:tr>
      <w:tr w:rsidR="005E2BB1" w:rsidRPr="00F45F11" w14:paraId="7114A0EA"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hideMark/>
          </w:tcPr>
          <w:p w14:paraId="675D4BE0" w14:textId="77777777" w:rsidR="005E2BB1" w:rsidRPr="00F45F11" w:rsidRDefault="005E2BB1" w:rsidP="0093234E">
            <w:pPr>
              <w:pStyle w:val="ARTabletext"/>
              <w:rPr>
                <w:lang w:eastAsia="en-AU"/>
              </w:rPr>
            </w:pPr>
            <w:r w:rsidRPr="00F45F11">
              <w:rPr>
                <w:lang w:eastAsia="en-AU"/>
              </w:rPr>
              <w:t>CYF 3</w:t>
            </w:r>
          </w:p>
        </w:tc>
        <w:tc>
          <w:tcPr>
            <w:tcW w:w="992" w:type="dxa"/>
            <w:shd w:val="clear" w:color="auto" w:fill="E7E6E6" w:themeFill="background2"/>
            <w:hideMark/>
          </w:tcPr>
          <w:p w14:paraId="0134B54F" w14:textId="77777777" w:rsidR="005E2BB1" w:rsidRPr="00F45F11" w:rsidRDefault="005E2BB1" w:rsidP="0093234E">
            <w:pPr>
              <w:pStyle w:val="ARtabletextright"/>
              <w:rPr>
                <w:lang w:eastAsia="en-AU"/>
              </w:rPr>
            </w:pPr>
            <w:r w:rsidRPr="00F45F11">
              <w:rPr>
                <w:lang w:eastAsia="en-AU"/>
              </w:rPr>
              <w:t>36</w:t>
            </w:r>
          </w:p>
        </w:tc>
        <w:tc>
          <w:tcPr>
            <w:tcW w:w="992" w:type="dxa"/>
            <w:shd w:val="clear" w:color="auto" w:fill="E7E6E6" w:themeFill="background2"/>
            <w:hideMark/>
          </w:tcPr>
          <w:p w14:paraId="5E1C3E83" w14:textId="77777777" w:rsidR="005E2BB1" w:rsidRPr="00F45F11" w:rsidRDefault="005E2BB1" w:rsidP="0093234E">
            <w:pPr>
              <w:pStyle w:val="ARtabletextright"/>
              <w:rPr>
                <w:lang w:eastAsia="en-AU"/>
              </w:rPr>
            </w:pPr>
            <w:r w:rsidRPr="00F45F11">
              <w:rPr>
                <w:lang w:eastAsia="en-AU"/>
              </w:rPr>
              <w:t>32.9</w:t>
            </w:r>
          </w:p>
        </w:tc>
        <w:tc>
          <w:tcPr>
            <w:tcW w:w="926" w:type="dxa"/>
            <w:hideMark/>
          </w:tcPr>
          <w:p w14:paraId="7C9704E0" w14:textId="77777777" w:rsidR="005E2BB1" w:rsidRPr="00F45F11" w:rsidRDefault="005E2BB1" w:rsidP="0093234E">
            <w:pPr>
              <w:pStyle w:val="ARtabletextright"/>
              <w:rPr>
                <w:lang w:eastAsia="en-AU"/>
              </w:rPr>
            </w:pPr>
            <w:r w:rsidRPr="00F45F11">
              <w:rPr>
                <w:lang w:eastAsia="en-AU"/>
              </w:rPr>
              <w:t>23</w:t>
            </w:r>
          </w:p>
        </w:tc>
        <w:tc>
          <w:tcPr>
            <w:tcW w:w="926" w:type="dxa"/>
            <w:hideMark/>
          </w:tcPr>
          <w:p w14:paraId="48A2F026" w14:textId="77777777" w:rsidR="005E2BB1" w:rsidRPr="00F45F11" w:rsidRDefault="005E2BB1" w:rsidP="0093234E">
            <w:pPr>
              <w:pStyle w:val="ARtabletextright"/>
              <w:rPr>
                <w:lang w:eastAsia="en-AU"/>
              </w:rPr>
            </w:pPr>
            <w:r w:rsidRPr="00F45F11">
              <w:rPr>
                <w:lang w:eastAsia="en-AU"/>
              </w:rPr>
              <w:t>9</w:t>
            </w:r>
          </w:p>
        </w:tc>
        <w:tc>
          <w:tcPr>
            <w:tcW w:w="927" w:type="dxa"/>
            <w:hideMark/>
          </w:tcPr>
          <w:p w14:paraId="2DE3B580" w14:textId="77777777" w:rsidR="005E2BB1" w:rsidRPr="00F45F11" w:rsidRDefault="005E2BB1" w:rsidP="0093234E">
            <w:pPr>
              <w:pStyle w:val="ARtabletextright"/>
              <w:rPr>
                <w:lang w:eastAsia="en-AU"/>
              </w:rPr>
            </w:pPr>
            <w:r w:rsidRPr="00F45F11">
              <w:rPr>
                <w:lang w:eastAsia="en-AU"/>
              </w:rPr>
              <w:t>29.1</w:t>
            </w:r>
          </w:p>
        </w:tc>
        <w:tc>
          <w:tcPr>
            <w:tcW w:w="1057" w:type="dxa"/>
            <w:shd w:val="clear" w:color="auto" w:fill="E7E6E6" w:themeFill="background2"/>
            <w:hideMark/>
          </w:tcPr>
          <w:p w14:paraId="13B6C539" w14:textId="77777777" w:rsidR="005E2BB1" w:rsidRPr="00F45F11" w:rsidRDefault="005E2BB1" w:rsidP="0093234E">
            <w:pPr>
              <w:pStyle w:val="ARtabletextright"/>
              <w:rPr>
                <w:lang w:eastAsia="en-AU"/>
              </w:rPr>
            </w:pPr>
            <w:r w:rsidRPr="00F45F11">
              <w:rPr>
                <w:lang w:eastAsia="en-AU"/>
              </w:rPr>
              <w:t>4</w:t>
            </w:r>
          </w:p>
        </w:tc>
        <w:tc>
          <w:tcPr>
            <w:tcW w:w="927" w:type="dxa"/>
            <w:shd w:val="clear" w:color="auto" w:fill="E7E6E6" w:themeFill="background2"/>
            <w:hideMark/>
          </w:tcPr>
          <w:p w14:paraId="65B8C763" w14:textId="77777777" w:rsidR="005E2BB1" w:rsidRPr="00F45F11" w:rsidRDefault="005E2BB1" w:rsidP="0093234E">
            <w:pPr>
              <w:pStyle w:val="ARtabletextright"/>
              <w:rPr>
                <w:lang w:eastAsia="en-AU"/>
              </w:rPr>
            </w:pPr>
            <w:r w:rsidRPr="00F45F11">
              <w:rPr>
                <w:lang w:eastAsia="en-AU"/>
              </w:rPr>
              <w:t>3.8</w:t>
            </w:r>
          </w:p>
        </w:tc>
        <w:tc>
          <w:tcPr>
            <w:tcW w:w="1057" w:type="dxa"/>
            <w:hideMark/>
          </w:tcPr>
          <w:p w14:paraId="7CC61D31" w14:textId="77777777" w:rsidR="005E2BB1" w:rsidRPr="00F45F11" w:rsidRDefault="005E2BB1" w:rsidP="0093234E">
            <w:pPr>
              <w:pStyle w:val="ARtabletextright"/>
              <w:rPr>
                <w:lang w:eastAsia="en-AU"/>
              </w:rPr>
            </w:pPr>
            <w:r w:rsidRPr="00F45F11">
              <w:rPr>
                <w:lang w:eastAsia="en-AU"/>
              </w:rPr>
              <w:t>35</w:t>
            </w:r>
          </w:p>
        </w:tc>
        <w:tc>
          <w:tcPr>
            <w:tcW w:w="927" w:type="dxa"/>
            <w:hideMark/>
          </w:tcPr>
          <w:p w14:paraId="575AE725" w14:textId="77777777" w:rsidR="005E2BB1" w:rsidRPr="00F45F11" w:rsidRDefault="005E2BB1" w:rsidP="0093234E">
            <w:pPr>
              <w:pStyle w:val="ARtabletextright"/>
              <w:rPr>
                <w:lang w:eastAsia="en-AU"/>
              </w:rPr>
            </w:pPr>
            <w:r w:rsidRPr="00F45F11">
              <w:rPr>
                <w:lang w:eastAsia="en-AU"/>
              </w:rPr>
              <w:t>32.5</w:t>
            </w:r>
          </w:p>
        </w:tc>
        <w:tc>
          <w:tcPr>
            <w:tcW w:w="926" w:type="dxa"/>
            <w:shd w:val="clear" w:color="auto" w:fill="E7E6E6" w:themeFill="background2"/>
            <w:hideMark/>
          </w:tcPr>
          <w:p w14:paraId="55626A81" w14:textId="77777777" w:rsidR="005E2BB1" w:rsidRPr="00F45F11" w:rsidRDefault="005E2BB1" w:rsidP="0093234E">
            <w:pPr>
              <w:pStyle w:val="ARtabletextright"/>
              <w:rPr>
                <w:lang w:eastAsia="en-AU"/>
              </w:rPr>
            </w:pPr>
            <w:r w:rsidRPr="00F45F11">
              <w:rPr>
                <w:lang w:eastAsia="en-AU"/>
              </w:rPr>
              <w:t>24</w:t>
            </w:r>
          </w:p>
        </w:tc>
        <w:tc>
          <w:tcPr>
            <w:tcW w:w="926" w:type="dxa"/>
            <w:shd w:val="clear" w:color="auto" w:fill="E7E6E6" w:themeFill="background2"/>
            <w:hideMark/>
          </w:tcPr>
          <w:p w14:paraId="3B9CBE91" w14:textId="77777777" w:rsidR="005E2BB1" w:rsidRPr="00F45F11" w:rsidRDefault="005E2BB1" w:rsidP="0093234E">
            <w:pPr>
              <w:pStyle w:val="ARtabletextright"/>
              <w:rPr>
                <w:lang w:eastAsia="en-AU"/>
              </w:rPr>
            </w:pPr>
            <w:r w:rsidRPr="00F45F11">
              <w:rPr>
                <w:lang w:eastAsia="en-AU"/>
              </w:rPr>
              <w:t>8</w:t>
            </w:r>
          </w:p>
        </w:tc>
        <w:tc>
          <w:tcPr>
            <w:tcW w:w="927" w:type="dxa"/>
            <w:shd w:val="clear" w:color="auto" w:fill="E7E6E6" w:themeFill="background2"/>
            <w:hideMark/>
          </w:tcPr>
          <w:p w14:paraId="07478324" w14:textId="77777777" w:rsidR="005E2BB1" w:rsidRPr="00F45F11" w:rsidRDefault="005E2BB1" w:rsidP="0093234E">
            <w:pPr>
              <w:pStyle w:val="ARtabletextright"/>
              <w:rPr>
                <w:lang w:eastAsia="en-AU"/>
              </w:rPr>
            </w:pPr>
            <w:r w:rsidRPr="00F45F11">
              <w:rPr>
                <w:lang w:eastAsia="en-AU"/>
              </w:rPr>
              <w:t>29.5</w:t>
            </w:r>
          </w:p>
        </w:tc>
        <w:tc>
          <w:tcPr>
            <w:tcW w:w="1057" w:type="dxa"/>
            <w:hideMark/>
          </w:tcPr>
          <w:p w14:paraId="5D7EB3F9" w14:textId="77777777" w:rsidR="005E2BB1" w:rsidRPr="00F45F11" w:rsidRDefault="005E2BB1" w:rsidP="0093234E">
            <w:pPr>
              <w:pStyle w:val="ARtabletextright"/>
              <w:rPr>
                <w:lang w:eastAsia="en-AU"/>
              </w:rPr>
            </w:pPr>
            <w:r w:rsidRPr="00F45F11">
              <w:rPr>
                <w:lang w:eastAsia="en-AU"/>
              </w:rPr>
              <w:t>3</w:t>
            </w:r>
          </w:p>
        </w:tc>
        <w:tc>
          <w:tcPr>
            <w:tcW w:w="927" w:type="dxa"/>
            <w:hideMark/>
          </w:tcPr>
          <w:p w14:paraId="60CB44A0" w14:textId="77777777" w:rsidR="005E2BB1" w:rsidRPr="00F45F11" w:rsidRDefault="005E2BB1" w:rsidP="0093234E">
            <w:pPr>
              <w:pStyle w:val="ARtabletextright"/>
              <w:rPr>
                <w:lang w:eastAsia="en-AU"/>
              </w:rPr>
            </w:pPr>
            <w:r w:rsidRPr="00F45F11">
              <w:rPr>
                <w:lang w:eastAsia="en-AU"/>
              </w:rPr>
              <w:t>3.0</w:t>
            </w:r>
          </w:p>
        </w:tc>
      </w:tr>
      <w:tr w:rsidR="005E2BB1" w:rsidRPr="00F45F11" w14:paraId="5D76DEFB"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hideMark/>
          </w:tcPr>
          <w:p w14:paraId="3F6E1556" w14:textId="77777777" w:rsidR="005E2BB1" w:rsidRPr="00F45F11" w:rsidRDefault="005E2BB1" w:rsidP="0093234E">
            <w:pPr>
              <w:pStyle w:val="ARTabletext"/>
              <w:rPr>
                <w:lang w:eastAsia="en-AU"/>
              </w:rPr>
            </w:pPr>
            <w:r w:rsidRPr="00F45F11">
              <w:rPr>
                <w:lang w:eastAsia="en-AU"/>
              </w:rPr>
              <w:t>CYF 4</w:t>
            </w:r>
          </w:p>
        </w:tc>
        <w:tc>
          <w:tcPr>
            <w:tcW w:w="992" w:type="dxa"/>
            <w:shd w:val="clear" w:color="auto" w:fill="E7E6E6" w:themeFill="background2"/>
            <w:hideMark/>
          </w:tcPr>
          <w:p w14:paraId="7D356678" w14:textId="77777777" w:rsidR="005E2BB1" w:rsidRPr="00F45F11" w:rsidRDefault="005E2BB1" w:rsidP="0093234E">
            <w:pPr>
              <w:pStyle w:val="ARtabletextright"/>
              <w:rPr>
                <w:lang w:eastAsia="en-AU"/>
              </w:rPr>
            </w:pPr>
            <w:r w:rsidRPr="00F45F11">
              <w:rPr>
                <w:lang w:eastAsia="en-AU"/>
              </w:rPr>
              <w:t>102</w:t>
            </w:r>
          </w:p>
        </w:tc>
        <w:tc>
          <w:tcPr>
            <w:tcW w:w="992" w:type="dxa"/>
            <w:shd w:val="clear" w:color="auto" w:fill="E7E6E6" w:themeFill="background2"/>
            <w:hideMark/>
          </w:tcPr>
          <w:p w14:paraId="04A90ED2" w14:textId="77777777" w:rsidR="005E2BB1" w:rsidRPr="00F45F11" w:rsidRDefault="005E2BB1" w:rsidP="0093234E">
            <w:pPr>
              <w:pStyle w:val="ARtabletextright"/>
              <w:rPr>
                <w:lang w:eastAsia="en-AU"/>
              </w:rPr>
            </w:pPr>
            <w:r w:rsidRPr="00F45F11">
              <w:rPr>
                <w:lang w:eastAsia="en-AU"/>
              </w:rPr>
              <w:t>97.6</w:t>
            </w:r>
          </w:p>
        </w:tc>
        <w:tc>
          <w:tcPr>
            <w:tcW w:w="926" w:type="dxa"/>
            <w:hideMark/>
          </w:tcPr>
          <w:p w14:paraId="64AA4044" w14:textId="77777777" w:rsidR="005E2BB1" w:rsidRPr="00F45F11" w:rsidRDefault="005E2BB1" w:rsidP="0093234E">
            <w:pPr>
              <w:pStyle w:val="ARtabletextright"/>
              <w:rPr>
                <w:lang w:eastAsia="en-AU"/>
              </w:rPr>
            </w:pPr>
            <w:r w:rsidRPr="00F45F11">
              <w:rPr>
                <w:lang w:eastAsia="en-AU"/>
              </w:rPr>
              <w:t>69</w:t>
            </w:r>
          </w:p>
        </w:tc>
        <w:tc>
          <w:tcPr>
            <w:tcW w:w="926" w:type="dxa"/>
            <w:hideMark/>
          </w:tcPr>
          <w:p w14:paraId="72705075" w14:textId="77777777" w:rsidR="005E2BB1" w:rsidRPr="00F45F11" w:rsidRDefault="005E2BB1" w:rsidP="0093234E">
            <w:pPr>
              <w:pStyle w:val="ARtabletextright"/>
              <w:rPr>
                <w:lang w:eastAsia="en-AU"/>
              </w:rPr>
            </w:pPr>
            <w:r w:rsidRPr="00F45F11">
              <w:rPr>
                <w:lang w:eastAsia="en-AU"/>
              </w:rPr>
              <w:t>13</w:t>
            </w:r>
          </w:p>
        </w:tc>
        <w:tc>
          <w:tcPr>
            <w:tcW w:w="927" w:type="dxa"/>
            <w:hideMark/>
          </w:tcPr>
          <w:p w14:paraId="59CB9DF3" w14:textId="77777777" w:rsidR="005E2BB1" w:rsidRPr="00F45F11" w:rsidRDefault="005E2BB1" w:rsidP="0093234E">
            <w:pPr>
              <w:pStyle w:val="ARtabletextright"/>
              <w:rPr>
                <w:lang w:eastAsia="en-AU"/>
              </w:rPr>
            </w:pPr>
            <w:r w:rsidRPr="00F45F11">
              <w:rPr>
                <w:lang w:eastAsia="en-AU"/>
              </w:rPr>
              <w:t>77.9</w:t>
            </w:r>
          </w:p>
        </w:tc>
        <w:tc>
          <w:tcPr>
            <w:tcW w:w="1057" w:type="dxa"/>
            <w:shd w:val="clear" w:color="auto" w:fill="E7E6E6" w:themeFill="background2"/>
            <w:hideMark/>
          </w:tcPr>
          <w:p w14:paraId="73776072" w14:textId="77777777" w:rsidR="005E2BB1" w:rsidRPr="00F45F11" w:rsidRDefault="005E2BB1" w:rsidP="0093234E">
            <w:pPr>
              <w:pStyle w:val="ARtabletextright"/>
              <w:rPr>
                <w:lang w:eastAsia="en-AU"/>
              </w:rPr>
            </w:pPr>
            <w:r w:rsidRPr="00F45F11">
              <w:rPr>
                <w:lang w:eastAsia="en-AU"/>
              </w:rPr>
              <w:t>20</w:t>
            </w:r>
          </w:p>
        </w:tc>
        <w:tc>
          <w:tcPr>
            <w:tcW w:w="927" w:type="dxa"/>
            <w:shd w:val="clear" w:color="auto" w:fill="E7E6E6" w:themeFill="background2"/>
            <w:hideMark/>
          </w:tcPr>
          <w:p w14:paraId="45BBE834" w14:textId="77777777" w:rsidR="005E2BB1" w:rsidRPr="00F45F11" w:rsidRDefault="005E2BB1" w:rsidP="0093234E">
            <w:pPr>
              <w:pStyle w:val="ARtabletextright"/>
              <w:rPr>
                <w:lang w:eastAsia="en-AU"/>
              </w:rPr>
            </w:pPr>
            <w:r w:rsidRPr="00F45F11">
              <w:rPr>
                <w:lang w:eastAsia="en-AU"/>
              </w:rPr>
              <w:t>19.7</w:t>
            </w:r>
          </w:p>
        </w:tc>
        <w:tc>
          <w:tcPr>
            <w:tcW w:w="1057" w:type="dxa"/>
            <w:hideMark/>
          </w:tcPr>
          <w:p w14:paraId="54C7F738" w14:textId="77777777" w:rsidR="005E2BB1" w:rsidRPr="00F45F11" w:rsidRDefault="005E2BB1" w:rsidP="0093234E">
            <w:pPr>
              <w:pStyle w:val="ARtabletextright"/>
              <w:rPr>
                <w:lang w:eastAsia="en-AU"/>
              </w:rPr>
            </w:pPr>
            <w:r w:rsidRPr="00F45F11">
              <w:rPr>
                <w:lang w:eastAsia="en-AU"/>
              </w:rPr>
              <w:t>100</w:t>
            </w:r>
          </w:p>
        </w:tc>
        <w:tc>
          <w:tcPr>
            <w:tcW w:w="927" w:type="dxa"/>
            <w:hideMark/>
          </w:tcPr>
          <w:p w14:paraId="16640181" w14:textId="77777777" w:rsidR="005E2BB1" w:rsidRPr="00F45F11" w:rsidRDefault="005E2BB1" w:rsidP="0093234E">
            <w:pPr>
              <w:pStyle w:val="ARtabletextright"/>
              <w:rPr>
                <w:lang w:eastAsia="en-AU"/>
              </w:rPr>
            </w:pPr>
            <w:r w:rsidRPr="00F45F11">
              <w:rPr>
                <w:lang w:eastAsia="en-AU"/>
              </w:rPr>
              <w:t>94.9</w:t>
            </w:r>
          </w:p>
        </w:tc>
        <w:tc>
          <w:tcPr>
            <w:tcW w:w="926" w:type="dxa"/>
            <w:shd w:val="clear" w:color="auto" w:fill="E7E6E6" w:themeFill="background2"/>
            <w:hideMark/>
          </w:tcPr>
          <w:p w14:paraId="159A6365" w14:textId="77777777" w:rsidR="005E2BB1" w:rsidRPr="00F45F11" w:rsidRDefault="005E2BB1" w:rsidP="0093234E">
            <w:pPr>
              <w:pStyle w:val="ARtabletextright"/>
              <w:rPr>
                <w:lang w:eastAsia="en-AU"/>
              </w:rPr>
            </w:pPr>
            <w:r w:rsidRPr="00F45F11">
              <w:rPr>
                <w:lang w:eastAsia="en-AU"/>
              </w:rPr>
              <w:t>71</w:t>
            </w:r>
          </w:p>
        </w:tc>
        <w:tc>
          <w:tcPr>
            <w:tcW w:w="926" w:type="dxa"/>
            <w:shd w:val="clear" w:color="auto" w:fill="E7E6E6" w:themeFill="background2"/>
            <w:hideMark/>
          </w:tcPr>
          <w:p w14:paraId="5EE3CFA3" w14:textId="77777777" w:rsidR="005E2BB1" w:rsidRPr="00F45F11" w:rsidRDefault="005E2BB1" w:rsidP="0093234E">
            <w:pPr>
              <w:pStyle w:val="ARtabletextright"/>
              <w:rPr>
                <w:lang w:eastAsia="en-AU"/>
              </w:rPr>
            </w:pPr>
            <w:r w:rsidRPr="00F45F11">
              <w:rPr>
                <w:lang w:eastAsia="en-AU"/>
              </w:rPr>
              <w:t>12</w:t>
            </w:r>
          </w:p>
        </w:tc>
        <w:tc>
          <w:tcPr>
            <w:tcW w:w="927" w:type="dxa"/>
            <w:shd w:val="clear" w:color="auto" w:fill="E7E6E6" w:themeFill="background2"/>
            <w:hideMark/>
          </w:tcPr>
          <w:p w14:paraId="64A19806" w14:textId="77777777" w:rsidR="005E2BB1" w:rsidRPr="00F45F11" w:rsidRDefault="005E2BB1" w:rsidP="0093234E">
            <w:pPr>
              <w:pStyle w:val="ARtabletextright"/>
              <w:rPr>
                <w:lang w:eastAsia="en-AU"/>
              </w:rPr>
            </w:pPr>
            <w:r w:rsidRPr="00F45F11">
              <w:rPr>
                <w:lang w:eastAsia="en-AU"/>
              </w:rPr>
              <w:t>78.6</w:t>
            </w:r>
          </w:p>
        </w:tc>
        <w:tc>
          <w:tcPr>
            <w:tcW w:w="1057" w:type="dxa"/>
            <w:hideMark/>
          </w:tcPr>
          <w:p w14:paraId="26520908" w14:textId="77777777" w:rsidR="005E2BB1" w:rsidRPr="00F45F11" w:rsidRDefault="005E2BB1" w:rsidP="0093234E">
            <w:pPr>
              <w:pStyle w:val="ARtabletextright"/>
              <w:rPr>
                <w:lang w:eastAsia="en-AU"/>
              </w:rPr>
            </w:pPr>
            <w:r w:rsidRPr="00F45F11">
              <w:rPr>
                <w:lang w:eastAsia="en-AU"/>
              </w:rPr>
              <w:t>17</w:t>
            </w:r>
          </w:p>
        </w:tc>
        <w:tc>
          <w:tcPr>
            <w:tcW w:w="927" w:type="dxa"/>
            <w:hideMark/>
          </w:tcPr>
          <w:p w14:paraId="34312C22" w14:textId="77777777" w:rsidR="005E2BB1" w:rsidRPr="00F45F11" w:rsidRDefault="005E2BB1" w:rsidP="0093234E">
            <w:pPr>
              <w:pStyle w:val="ARtabletextright"/>
              <w:rPr>
                <w:lang w:eastAsia="en-AU"/>
              </w:rPr>
            </w:pPr>
            <w:r w:rsidRPr="00F45F11">
              <w:rPr>
                <w:lang w:eastAsia="en-AU"/>
              </w:rPr>
              <w:t>16.3</w:t>
            </w:r>
          </w:p>
        </w:tc>
      </w:tr>
      <w:tr w:rsidR="005E2BB1" w:rsidRPr="00F45F11" w14:paraId="2C04F3EB"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tcBorders>
              <w:bottom w:val="single" w:sz="4" w:space="0" w:color="BFBFBF" w:themeColor="accent2"/>
            </w:tcBorders>
            <w:hideMark/>
          </w:tcPr>
          <w:p w14:paraId="345519BA" w14:textId="77777777" w:rsidR="005E2BB1" w:rsidRPr="00F45F11" w:rsidRDefault="005E2BB1" w:rsidP="0093234E">
            <w:pPr>
              <w:pStyle w:val="ARTabletext"/>
              <w:rPr>
                <w:lang w:eastAsia="en-AU"/>
              </w:rPr>
            </w:pPr>
            <w:r w:rsidRPr="00F45F11">
              <w:rPr>
                <w:lang w:eastAsia="en-AU"/>
              </w:rPr>
              <w:t>CYF 5</w:t>
            </w:r>
          </w:p>
        </w:tc>
        <w:tc>
          <w:tcPr>
            <w:tcW w:w="992" w:type="dxa"/>
            <w:tcBorders>
              <w:bottom w:val="single" w:sz="4" w:space="0" w:color="BFBFBF" w:themeColor="accent2"/>
            </w:tcBorders>
            <w:shd w:val="clear" w:color="auto" w:fill="E7E6E6" w:themeFill="background2"/>
            <w:hideMark/>
          </w:tcPr>
          <w:p w14:paraId="3FC8C68B" w14:textId="77777777" w:rsidR="005E2BB1" w:rsidRPr="00F45F11" w:rsidRDefault="005E2BB1" w:rsidP="0093234E">
            <w:pPr>
              <w:pStyle w:val="ARtabletextright"/>
              <w:rPr>
                <w:lang w:eastAsia="en-AU"/>
              </w:rPr>
            </w:pPr>
            <w:r w:rsidRPr="00F45F11">
              <w:rPr>
                <w:lang w:eastAsia="en-AU"/>
              </w:rPr>
              <w:t>92</w:t>
            </w:r>
          </w:p>
        </w:tc>
        <w:tc>
          <w:tcPr>
            <w:tcW w:w="992" w:type="dxa"/>
            <w:tcBorders>
              <w:bottom w:val="single" w:sz="4" w:space="0" w:color="BFBFBF" w:themeColor="accent2"/>
            </w:tcBorders>
            <w:shd w:val="clear" w:color="auto" w:fill="E7E6E6" w:themeFill="background2"/>
            <w:hideMark/>
          </w:tcPr>
          <w:p w14:paraId="14759166" w14:textId="77777777" w:rsidR="005E2BB1" w:rsidRPr="00F45F11" w:rsidRDefault="005E2BB1" w:rsidP="0093234E">
            <w:pPr>
              <w:pStyle w:val="ARtabletextright"/>
              <w:rPr>
                <w:lang w:eastAsia="en-AU"/>
              </w:rPr>
            </w:pPr>
            <w:r w:rsidRPr="00F45F11">
              <w:rPr>
                <w:lang w:eastAsia="en-AU"/>
              </w:rPr>
              <w:t>87.6</w:t>
            </w:r>
          </w:p>
        </w:tc>
        <w:tc>
          <w:tcPr>
            <w:tcW w:w="926" w:type="dxa"/>
            <w:tcBorders>
              <w:bottom w:val="single" w:sz="4" w:space="0" w:color="BFBFBF" w:themeColor="accent2"/>
            </w:tcBorders>
            <w:hideMark/>
          </w:tcPr>
          <w:p w14:paraId="7D57B3CB" w14:textId="77777777" w:rsidR="005E2BB1" w:rsidRPr="00F45F11" w:rsidRDefault="005E2BB1" w:rsidP="0093234E">
            <w:pPr>
              <w:pStyle w:val="ARtabletextright"/>
              <w:rPr>
                <w:lang w:eastAsia="en-AU"/>
              </w:rPr>
            </w:pPr>
            <w:r w:rsidRPr="00F45F11">
              <w:rPr>
                <w:lang w:eastAsia="en-AU"/>
              </w:rPr>
              <w:t>61</w:t>
            </w:r>
          </w:p>
        </w:tc>
        <w:tc>
          <w:tcPr>
            <w:tcW w:w="926" w:type="dxa"/>
            <w:tcBorders>
              <w:bottom w:val="single" w:sz="4" w:space="0" w:color="BFBFBF" w:themeColor="accent2"/>
            </w:tcBorders>
            <w:hideMark/>
          </w:tcPr>
          <w:p w14:paraId="2899665D" w14:textId="77777777" w:rsidR="005E2BB1" w:rsidRPr="00F45F11" w:rsidRDefault="005E2BB1" w:rsidP="0093234E">
            <w:pPr>
              <w:pStyle w:val="ARtabletextright"/>
              <w:rPr>
                <w:lang w:eastAsia="en-AU"/>
              </w:rPr>
            </w:pPr>
            <w:r w:rsidRPr="00F45F11">
              <w:rPr>
                <w:lang w:eastAsia="en-AU"/>
              </w:rPr>
              <w:t>11</w:t>
            </w:r>
          </w:p>
        </w:tc>
        <w:tc>
          <w:tcPr>
            <w:tcW w:w="927" w:type="dxa"/>
            <w:tcBorders>
              <w:bottom w:val="single" w:sz="4" w:space="0" w:color="BFBFBF" w:themeColor="accent2"/>
            </w:tcBorders>
            <w:hideMark/>
          </w:tcPr>
          <w:p w14:paraId="1FF8BBC1" w14:textId="77777777" w:rsidR="005E2BB1" w:rsidRPr="00F45F11" w:rsidRDefault="005E2BB1" w:rsidP="0093234E">
            <w:pPr>
              <w:pStyle w:val="ARtabletextright"/>
              <w:rPr>
                <w:lang w:eastAsia="en-AU"/>
              </w:rPr>
            </w:pPr>
            <w:r w:rsidRPr="00F45F11">
              <w:rPr>
                <w:lang w:eastAsia="en-AU"/>
              </w:rPr>
              <w:t>68.4</w:t>
            </w:r>
          </w:p>
        </w:tc>
        <w:tc>
          <w:tcPr>
            <w:tcW w:w="1057" w:type="dxa"/>
            <w:tcBorders>
              <w:bottom w:val="single" w:sz="4" w:space="0" w:color="BFBFBF" w:themeColor="accent2"/>
            </w:tcBorders>
            <w:shd w:val="clear" w:color="auto" w:fill="E7E6E6" w:themeFill="background2"/>
            <w:hideMark/>
          </w:tcPr>
          <w:p w14:paraId="244796E8" w14:textId="77777777" w:rsidR="005E2BB1" w:rsidRPr="00F45F11" w:rsidRDefault="005E2BB1" w:rsidP="0093234E">
            <w:pPr>
              <w:pStyle w:val="ARtabletextright"/>
              <w:rPr>
                <w:lang w:eastAsia="en-AU"/>
              </w:rPr>
            </w:pPr>
            <w:r w:rsidRPr="00F45F11">
              <w:rPr>
                <w:lang w:eastAsia="en-AU"/>
              </w:rPr>
              <w:t>20</w:t>
            </w:r>
          </w:p>
        </w:tc>
        <w:tc>
          <w:tcPr>
            <w:tcW w:w="927" w:type="dxa"/>
            <w:tcBorders>
              <w:bottom w:val="single" w:sz="4" w:space="0" w:color="BFBFBF" w:themeColor="accent2"/>
            </w:tcBorders>
            <w:shd w:val="clear" w:color="auto" w:fill="E7E6E6" w:themeFill="background2"/>
            <w:hideMark/>
          </w:tcPr>
          <w:p w14:paraId="69751A2C" w14:textId="77777777" w:rsidR="005E2BB1" w:rsidRPr="00F45F11" w:rsidRDefault="005E2BB1" w:rsidP="0093234E">
            <w:pPr>
              <w:pStyle w:val="ARtabletextright"/>
              <w:rPr>
                <w:lang w:eastAsia="en-AU"/>
              </w:rPr>
            </w:pPr>
            <w:r w:rsidRPr="00F45F11">
              <w:rPr>
                <w:lang w:eastAsia="en-AU"/>
              </w:rPr>
              <w:t>19.2</w:t>
            </w:r>
          </w:p>
        </w:tc>
        <w:tc>
          <w:tcPr>
            <w:tcW w:w="1057" w:type="dxa"/>
            <w:tcBorders>
              <w:bottom w:val="single" w:sz="4" w:space="0" w:color="BFBFBF" w:themeColor="accent2"/>
            </w:tcBorders>
            <w:hideMark/>
          </w:tcPr>
          <w:p w14:paraId="4C79E64C" w14:textId="77777777" w:rsidR="005E2BB1" w:rsidRPr="00F45F11" w:rsidRDefault="005E2BB1" w:rsidP="0093234E">
            <w:pPr>
              <w:pStyle w:val="ARtabletextright"/>
              <w:rPr>
                <w:lang w:eastAsia="en-AU"/>
              </w:rPr>
            </w:pPr>
            <w:r w:rsidRPr="00F45F11">
              <w:rPr>
                <w:lang w:eastAsia="en-AU"/>
              </w:rPr>
              <w:t>102</w:t>
            </w:r>
          </w:p>
        </w:tc>
        <w:tc>
          <w:tcPr>
            <w:tcW w:w="927" w:type="dxa"/>
            <w:tcBorders>
              <w:bottom w:val="single" w:sz="4" w:space="0" w:color="BFBFBF" w:themeColor="accent2"/>
            </w:tcBorders>
            <w:hideMark/>
          </w:tcPr>
          <w:p w14:paraId="7B84C30E" w14:textId="77777777" w:rsidR="005E2BB1" w:rsidRPr="00F45F11" w:rsidRDefault="005E2BB1" w:rsidP="0093234E">
            <w:pPr>
              <w:pStyle w:val="ARtabletextright"/>
              <w:rPr>
                <w:lang w:eastAsia="en-AU"/>
              </w:rPr>
            </w:pPr>
            <w:r w:rsidRPr="00F45F11">
              <w:rPr>
                <w:lang w:eastAsia="en-AU"/>
              </w:rPr>
              <w:t>97.1</w:t>
            </w:r>
          </w:p>
        </w:tc>
        <w:tc>
          <w:tcPr>
            <w:tcW w:w="926" w:type="dxa"/>
            <w:tcBorders>
              <w:bottom w:val="single" w:sz="4" w:space="0" w:color="BFBFBF" w:themeColor="accent2"/>
            </w:tcBorders>
            <w:shd w:val="clear" w:color="auto" w:fill="E7E6E6" w:themeFill="background2"/>
            <w:hideMark/>
          </w:tcPr>
          <w:p w14:paraId="2F3BDAEF" w14:textId="77777777" w:rsidR="005E2BB1" w:rsidRPr="00F45F11" w:rsidRDefault="005E2BB1" w:rsidP="0093234E">
            <w:pPr>
              <w:pStyle w:val="ARtabletextright"/>
              <w:rPr>
                <w:lang w:eastAsia="en-AU"/>
              </w:rPr>
            </w:pPr>
            <w:r w:rsidRPr="00F45F11">
              <w:rPr>
                <w:lang w:eastAsia="en-AU"/>
              </w:rPr>
              <w:t>62</w:t>
            </w:r>
          </w:p>
        </w:tc>
        <w:tc>
          <w:tcPr>
            <w:tcW w:w="926" w:type="dxa"/>
            <w:tcBorders>
              <w:bottom w:val="single" w:sz="4" w:space="0" w:color="BFBFBF" w:themeColor="accent2"/>
            </w:tcBorders>
            <w:shd w:val="clear" w:color="auto" w:fill="E7E6E6" w:themeFill="background2"/>
            <w:hideMark/>
          </w:tcPr>
          <w:p w14:paraId="264ADD90" w14:textId="77777777" w:rsidR="005E2BB1" w:rsidRPr="00F45F11" w:rsidRDefault="005E2BB1" w:rsidP="0093234E">
            <w:pPr>
              <w:pStyle w:val="ARtabletextright"/>
              <w:rPr>
                <w:lang w:eastAsia="en-AU"/>
              </w:rPr>
            </w:pPr>
            <w:r w:rsidRPr="00F45F11">
              <w:rPr>
                <w:lang w:eastAsia="en-AU"/>
              </w:rPr>
              <w:t>12</w:t>
            </w:r>
          </w:p>
        </w:tc>
        <w:tc>
          <w:tcPr>
            <w:tcW w:w="927" w:type="dxa"/>
            <w:tcBorders>
              <w:bottom w:val="single" w:sz="4" w:space="0" w:color="BFBFBF" w:themeColor="accent2"/>
            </w:tcBorders>
            <w:shd w:val="clear" w:color="auto" w:fill="E7E6E6" w:themeFill="background2"/>
            <w:hideMark/>
          </w:tcPr>
          <w:p w14:paraId="2122B5E1" w14:textId="77777777" w:rsidR="005E2BB1" w:rsidRPr="00F45F11" w:rsidRDefault="005E2BB1" w:rsidP="0093234E">
            <w:pPr>
              <w:pStyle w:val="ARtabletextright"/>
              <w:rPr>
                <w:lang w:eastAsia="en-AU"/>
              </w:rPr>
            </w:pPr>
            <w:r w:rsidRPr="00F45F11">
              <w:rPr>
                <w:lang w:eastAsia="en-AU"/>
              </w:rPr>
              <w:t>70.8</w:t>
            </w:r>
          </w:p>
        </w:tc>
        <w:tc>
          <w:tcPr>
            <w:tcW w:w="1057" w:type="dxa"/>
            <w:tcBorders>
              <w:bottom w:val="single" w:sz="4" w:space="0" w:color="BFBFBF" w:themeColor="accent2"/>
            </w:tcBorders>
            <w:hideMark/>
          </w:tcPr>
          <w:p w14:paraId="4BA8470A" w14:textId="77777777" w:rsidR="005E2BB1" w:rsidRPr="00F45F11" w:rsidRDefault="005E2BB1" w:rsidP="0093234E">
            <w:pPr>
              <w:pStyle w:val="ARtabletextright"/>
              <w:rPr>
                <w:lang w:eastAsia="en-AU"/>
              </w:rPr>
            </w:pPr>
            <w:r w:rsidRPr="00F45F11">
              <w:rPr>
                <w:lang w:eastAsia="en-AU"/>
              </w:rPr>
              <w:t>28</w:t>
            </w:r>
          </w:p>
        </w:tc>
        <w:tc>
          <w:tcPr>
            <w:tcW w:w="927" w:type="dxa"/>
            <w:tcBorders>
              <w:bottom w:val="single" w:sz="4" w:space="0" w:color="BFBFBF" w:themeColor="accent2"/>
            </w:tcBorders>
            <w:hideMark/>
          </w:tcPr>
          <w:p w14:paraId="11BA1D5B" w14:textId="77777777" w:rsidR="005E2BB1" w:rsidRPr="00F45F11" w:rsidRDefault="005E2BB1" w:rsidP="0093234E">
            <w:pPr>
              <w:pStyle w:val="ARtabletextright"/>
              <w:rPr>
                <w:lang w:eastAsia="en-AU"/>
              </w:rPr>
            </w:pPr>
            <w:r w:rsidRPr="00F45F11">
              <w:rPr>
                <w:lang w:eastAsia="en-AU"/>
              </w:rPr>
              <w:t>26.3</w:t>
            </w:r>
          </w:p>
        </w:tc>
      </w:tr>
      <w:tr w:rsidR="005E2BB1" w:rsidRPr="00F45F11" w14:paraId="1E5B9614"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tcBorders>
              <w:top w:val="single" w:sz="4" w:space="0" w:color="BFBFBF" w:themeColor="accent2"/>
              <w:bottom w:val="single" w:sz="4" w:space="0" w:color="auto"/>
            </w:tcBorders>
            <w:hideMark/>
          </w:tcPr>
          <w:p w14:paraId="550E3944" w14:textId="77777777" w:rsidR="005E2BB1" w:rsidRPr="00F45F11" w:rsidRDefault="005E2BB1" w:rsidP="0093234E">
            <w:pPr>
              <w:pStyle w:val="ARTabletext"/>
              <w:rPr>
                <w:lang w:eastAsia="en-AU"/>
              </w:rPr>
            </w:pPr>
            <w:r w:rsidRPr="00F45F11">
              <w:rPr>
                <w:lang w:eastAsia="en-AU"/>
              </w:rPr>
              <w:t>CYF 6</w:t>
            </w:r>
          </w:p>
        </w:tc>
        <w:tc>
          <w:tcPr>
            <w:tcW w:w="992" w:type="dxa"/>
            <w:tcBorders>
              <w:top w:val="single" w:sz="4" w:space="0" w:color="BFBFBF" w:themeColor="accent2"/>
              <w:bottom w:val="single" w:sz="4" w:space="0" w:color="auto"/>
            </w:tcBorders>
            <w:shd w:val="clear" w:color="auto" w:fill="E7E6E6" w:themeFill="background2"/>
            <w:hideMark/>
          </w:tcPr>
          <w:p w14:paraId="1DB7B6B4" w14:textId="77777777" w:rsidR="005E2BB1" w:rsidRPr="00F45F11" w:rsidRDefault="005E2BB1" w:rsidP="0093234E">
            <w:pPr>
              <w:pStyle w:val="ARtabletextright"/>
              <w:rPr>
                <w:lang w:eastAsia="en-AU"/>
              </w:rPr>
            </w:pPr>
            <w:r w:rsidRPr="00F45F11">
              <w:rPr>
                <w:lang w:eastAsia="en-AU"/>
              </w:rPr>
              <w:t>18</w:t>
            </w:r>
          </w:p>
        </w:tc>
        <w:tc>
          <w:tcPr>
            <w:tcW w:w="992" w:type="dxa"/>
            <w:tcBorders>
              <w:top w:val="single" w:sz="4" w:space="0" w:color="BFBFBF" w:themeColor="accent2"/>
              <w:bottom w:val="single" w:sz="4" w:space="0" w:color="auto"/>
            </w:tcBorders>
            <w:shd w:val="clear" w:color="auto" w:fill="E7E6E6" w:themeFill="background2"/>
            <w:hideMark/>
          </w:tcPr>
          <w:p w14:paraId="2BE8D86E" w14:textId="77777777" w:rsidR="005E2BB1" w:rsidRPr="00F45F11" w:rsidRDefault="005E2BB1" w:rsidP="0093234E">
            <w:pPr>
              <w:pStyle w:val="ARtabletextright"/>
              <w:rPr>
                <w:lang w:eastAsia="en-AU"/>
              </w:rPr>
            </w:pPr>
            <w:r w:rsidRPr="00F45F11">
              <w:rPr>
                <w:lang w:eastAsia="en-AU"/>
              </w:rPr>
              <w:t>18.0</w:t>
            </w:r>
          </w:p>
        </w:tc>
        <w:tc>
          <w:tcPr>
            <w:tcW w:w="926" w:type="dxa"/>
            <w:tcBorders>
              <w:top w:val="single" w:sz="4" w:space="0" w:color="BFBFBF" w:themeColor="accent2"/>
              <w:bottom w:val="single" w:sz="4" w:space="0" w:color="auto"/>
            </w:tcBorders>
            <w:hideMark/>
          </w:tcPr>
          <w:p w14:paraId="1EC3C0EA" w14:textId="77777777" w:rsidR="005E2BB1" w:rsidRPr="00F45F11" w:rsidRDefault="005E2BB1" w:rsidP="0093234E">
            <w:pPr>
              <w:pStyle w:val="ARtabletextright"/>
              <w:rPr>
                <w:lang w:eastAsia="en-AU"/>
              </w:rPr>
            </w:pPr>
            <w:r w:rsidRPr="00F45F11">
              <w:rPr>
                <w:lang w:eastAsia="en-AU"/>
              </w:rPr>
              <w:t>18</w:t>
            </w:r>
          </w:p>
        </w:tc>
        <w:tc>
          <w:tcPr>
            <w:tcW w:w="926" w:type="dxa"/>
            <w:tcBorders>
              <w:top w:val="single" w:sz="4" w:space="0" w:color="BFBFBF" w:themeColor="accent2"/>
              <w:bottom w:val="single" w:sz="4" w:space="0" w:color="auto"/>
            </w:tcBorders>
            <w:hideMark/>
          </w:tcPr>
          <w:p w14:paraId="56CC9963" w14:textId="77777777" w:rsidR="005E2BB1" w:rsidRPr="00F45F11" w:rsidRDefault="005E2BB1" w:rsidP="0093234E">
            <w:pPr>
              <w:pStyle w:val="ARtabletextright"/>
              <w:rPr>
                <w:lang w:eastAsia="en-AU"/>
              </w:rPr>
            </w:pPr>
            <w:r w:rsidRPr="00F45F11">
              <w:rPr>
                <w:lang w:eastAsia="en-AU"/>
              </w:rPr>
              <w:t>0</w:t>
            </w:r>
          </w:p>
        </w:tc>
        <w:tc>
          <w:tcPr>
            <w:tcW w:w="927" w:type="dxa"/>
            <w:tcBorders>
              <w:top w:val="single" w:sz="4" w:space="0" w:color="BFBFBF" w:themeColor="accent2"/>
              <w:bottom w:val="single" w:sz="4" w:space="0" w:color="auto"/>
            </w:tcBorders>
            <w:hideMark/>
          </w:tcPr>
          <w:p w14:paraId="022556A4" w14:textId="77777777" w:rsidR="005E2BB1" w:rsidRPr="00F45F11" w:rsidRDefault="005E2BB1" w:rsidP="0093234E">
            <w:pPr>
              <w:pStyle w:val="ARtabletextright"/>
              <w:rPr>
                <w:lang w:eastAsia="en-AU"/>
              </w:rPr>
            </w:pPr>
            <w:r w:rsidRPr="00F45F11">
              <w:rPr>
                <w:lang w:eastAsia="en-AU"/>
              </w:rPr>
              <w:t>18.0</w:t>
            </w:r>
          </w:p>
        </w:tc>
        <w:tc>
          <w:tcPr>
            <w:tcW w:w="1057" w:type="dxa"/>
            <w:tcBorders>
              <w:top w:val="single" w:sz="4" w:space="0" w:color="BFBFBF" w:themeColor="accent2"/>
              <w:bottom w:val="single" w:sz="4" w:space="0" w:color="auto"/>
            </w:tcBorders>
            <w:shd w:val="clear" w:color="auto" w:fill="E7E6E6" w:themeFill="background2"/>
            <w:hideMark/>
          </w:tcPr>
          <w:p w14:paraId="6D7985BA" w14:textId="77777777" w:rsidR="005E2BB1" w:rsidRPr="00F45F11" w:rsidRDefault="005E2BB1" w:rsidP="0093234E">
            <w:pPr>
              <w:pStyle w:val="ARtabletextright"/>
              <w:rPr>
                <w:lang w:eastAsia="en-AU"/>
              </w:rPr>
            </w:pPr>
            <w:r w:rsidRPr="00F45F11">
              <w:rPr>
                <w:lang w:eastAsia="en-AU"/>
              </w:rPr>
              <w:t>0</w:t>
            </w:r>
          </w:p>
        </w:tc>
        <w:tc>
          <w:tcPr>
            <w:tcW w:w="927" w:type="dxa"/>
            <w:tcBorders>
              <w:top w:val="single" w:sz="4" w:space="0" w:color="BFBFBF" w:themeColor="accent2"/>
              <w:bottom w:val="single" w:sz="4" w:space="0" w:color="auto"/>
            </w:tcBorders>
            <w:shd w:val="clear" w:color="auto" w:fill="E7E6E6" w:themeFill="background2"/>
            <w:hideMark/>
          </w:tcPr>
          <w:p w14:paraId="6A0C1A98" w14:textId="77777777" w:rsidR="005E2BB1" w:rsidRPr="00F45F11" w:rsidRDefault="005E2BB1" w:rsidP="0093234E">
            <w:pPr>
              <w:pStyle w:val="ARtabletextright"/>
              <w:rPr>
                <w:lang w:eastAsia="en-AU"/>
              </w:rPr>
            </w:pPr>
            <w:r w:rsidRPr="00F45F11">
              <w:rPr>
                <w:lang w:eastAsia="en-AU"/>
              </w:rPr>
              <w:t>0.0</w:t>
            </w:r>
          </w:p>
        </w:tc>
        <w:tc>
          <w:tcPr>
            <w:tcW w:w="1057" w:type="dxa"/>
            <w:tcBorders>
              <w:top w:val="single" w:sz="4" w:space="0" w:color="BFBFBF" w:themeColor="accent2"/>
              <w:bottom w:val="single" w:sz="4" w:space="0" w:color="auto"/>
            </w:tcBorders>
            <w:hideMark/>
          </w:tcPr>
          <w:p w14:paraId="6D652AE2" w14:textId="77777777" w:rsidR="005E2BB1" w:rsidRPr="00F45F11" w:rsidRDefault="005E2BB1" w:rsidP="0093234E">
            <w:pPr>
              <w:pStyle w:val="ARtabletextright"/>
              <w:rPr>
                <w:lang w:eastAsia="en-AU"/>
              </w:rPr>
            </w:pPr>
            <w:r w:rsidRPr="00F45F11">
              <w:rPr>
                <w:lang w:eastAsia="en-AU"/>
              </w:rPr>
              <w:t>12</w:t>
            </w:r>
          </w:p>
        </w:tc>
        <w:tc>
          <w:tcPr>
            <w:tcW w:w="927" w:type="dxa"/>
            <w:tcBorders>
              <w:top w:val="single" w:sz="4" w:space="0" w:color="BFBFBF" w:themeColor="accent2"/>
              <w:bottom w:val="single" w:sz="4" w:space="0" w:color="auto"/>
            </w:tcBorders>
            <w:hideMark/>
          </w:tcPr>
          <w:p w14:paraId="5D2B0EFE" w14:textId="77777777" w:rsidR="005E2BB1" w:rsidRPr="00F45F11" w:rsidRDefault="005E2BB1" w:rsidP="0093234E">
            <w:pPr>
              <w:pStyle w:val="ARtabletextright"/>
              <w:rPr>
                <w:lang w:eastAsia="en-AU"/>
              </w:rPr>
            </w:pPr>
            <w:r w:rsidRPr="00F45F11">
              <w:rPr>
                <w:lang w:eastAsia="en-AU"/>
              </w:rPr>
              <w:t>12.0</w:t>
            </w:r>
          </w:p>
        </w:tc>
        <w:tc>
          <w:tcPr>
            <w:tcW w:w="926" w:type="dxa"/>
            <w:tcBorders>
              <w:top w:val="single" w:sz="4" w:space="0" w:color="BFBFBF" w:themeColor="accent2"/>
              <w:bottom w:val="single" w:sz="4" w:space="0" w:color="auto"/>
            </w:tcBorders>
            <w:shd w:val="clear" w:color="auto" w:fill="E7E6E6" w:themeFill="background2"/>
            <w:hideMark/>
          </w:tcPr>
          <w:p w14:paraId="57EB1FE2" w14:textId="77777777" w:rsidR="005E2BB1" w:rsidRPr="00F45F11" w:rsidRDefault="005E2BB1" w:rsidP="0093234E">
            <w:pPr>
              <w:pStyle w:val="ARtabletextright"/>
              <w:rPr>
                <w:lang w:eastAsia="en-AU"/>
              </w:rPr>
            </w:pPr>
            <w:r w:rsidRPr="00F45F11">
              <w:rPr>
                <w:lang w:eastAsia="en-AU"/>
              </w:rPr>
              <w:t>12</w:t>
            </w:r>
          </w:p>
        </w:tc>
        <w:tc>
          <w:tcPr>
            <w:tcW w:w="926" w:type="dxa"/>
            <w:tcBorders>
              <w:top w:val="single" w:sz="4" w:space="0" w:color="BFBFBF" w:themeColor="accent2"/>
              <w:bottom w:val="single" w:sz="4" w:space="0" w:color="auto"/>
            </w:tcBorders>
            <w:shd w:val="clear" w:color="auto" w:fill="E7E6E6" w:themeFill="background2"/>
            <w:hideMark/>
          </w:tcPr>
          <w:p w14:paraId="7232F35F" w14:textId="77777777" w:rsidR="005E2BB1" w:rsidRPr="00F45F11" w:rsidRDefault="005E2BB1" w:rsidP="0093234E">
            <w:pPr>
              <w:pStyle w:val="ARtabletextright"/>
              <w:rPr>
                <w:lang w:eastAsia="en-AU"/>
              </w:rPr>
            </w:pPr>
            <w:r w:rsidRPr="00F45F11">
              <w:rPr>
                <w:lang w:eastAsia="en-AU"/>
              </w:rPr>
              <w:t>0</w:t>
            </w:r>
          </w:p>
        </w:tc>
        <w:tc>
          <w:tcPr>
            <w:tcW w:w="927" w:type="dxa"/>
            <w:tcBorders>
              <w:top w:val="single" w:sz="4" w:space="0" w:color="BFBFBF" w:themeColor="accent2"/>
              <w:bottom w:val="single" w:sz="4" w:space="0" w:color="auto"/>
            </w:tcBorders>
            <w:shd w:val="clear" w:color="auto" w:fill="E7E6E6" w:themeFill="background2"/>
            <w:hideMark/>
          </w:tcPr>
          <w:p w14:paraId="27AF6E49" w14:textId="77777777" w:rsidR="005E2BB1" w:rsidRPr="00F45F11" w:rsidRDefault="005E2BB1" w:rsidP="0093234E">
            <w:pPr>
              <w:pStyle w:val="ARtabletextright"/>
              <w:rPr>
                <w:lang w:eastAsia="en-AU"/>
              </w:rPr>
            </w:pPr>
            <w:r w:rsidRPr="00F45F11">
              <w:rPr>
                <w:lang w:eastAsia="en-AU"/>
              </w:rPr>
              <w:t>12.0</w:t>
            </w:r>
          </w:p>
        </w:tc>
        <w:tc>
          <w:tcPr>
            <w:tcW w:w="1057" w:type="dxa"/>
            <w:tcBorders>
              <w:top w:val="single" w:sz="4" w:space="0" w:color="BFBFBF" w:themeColor="accent2"/>
              <w:bottom w:val="single" w:sz="4" w:space="0" w:color="auto"/>
            </w:tcBorders>
            <w:hideMark/>
          </w:tcPr>
          <w:p w14:paraId="1026BA38" w14:textId="77777777" w:rsidR="005E2BB1" w:rsidRPr="00F45F11" w:rsidRDefault="005E2BB1" w:rsidP="0093234E">
            <w:pPr>
              <w:pStyle w:val="ARtabletextright"/>
              <w:rPr>
                <w:lang w:eastAsia="en-AU"/>
              </w:rPr>
            </w:pPr>
            <w:r w:rsidRPr="00F45F11">
              <w:rPr>
                <w:lang w:eastAsia="en-AU"/>
              </w:rPr>
              <w:t>0</w:t>
            </w:r>
          </w:p>
        </w:tc>
        <w:tc>
          <w:tcPr>
            <w:tcW w:w="927" w:type="dxa"/>
            <w:tcBorders>
              <w:top w:val="single" w:sz="4" w:space="0" w:color="BFBFBF" w:themeColor="accent2"/>
              <w:bottom w:val="single" w:sz="4" w:space="0" w:color="auto"/>
            </w:tcBorders>
            <w:hideMark/>
          </w:tcPr>
          <w:p w14:paraId="38C2A5B3" w14:textId="77777777" w:rsidR="005E2BB1" w:rsidRPr="00F45F11" w:rsidRDefault="005E2BB1" w:rsidP="0093234E">
            <w:pPr>
              <w:pStyle w:val="ARtabletextright"/>
              <w:rPr>
                <w:lang w:eastAsia="en-AU"/>
              </w:rPr>
            </w:pPr>
            <w:r w:rsidRPr="00F45F11">
              <w:rPr>
                <w:lang w:eastAsia="en-AU"/>
              </w:rPr>
              <w:t>0.0</w:t>
            </w:r>
          </w:p>
        </w:tc>
      </w:tr>
      <w:tr w:rsidR="005E2BB1" w:rsidRPr="00F45F11" w14:paraId="54B8D811"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tcBorders>
              <w:top w:val="single" w:sz="4" w:space="0" w:color="auto"/>
              <w:bottom w:val="single" w:sz="4" w:space="0" w:color="auto"/>
            </w:tcBorders>
            <w:hideMark/>
          </w:tcPr>
          <w:p w14:paraId="3A992CC5" w14:textId="77777777" w:rsidR="005E2BB1" w:rsidRPr="00F45F11" w:rsidRDefault="005E2BB1" w:rsidP="0072004C">
            <w:pPr>
              <w:pStyle w:val="ARtabletextbold"/>
              <w:rPr>
                <w:lang w:eastAsia="en-AU"/>
              </w:rPr>
            </w:pPr>
            <w:r w:rsidRPr="00F45F11">
              <w:rPr>
                <w:lang w:eastAsia="en-AU"/>
              </w:rPr>
              <w:t>Total</w:t>
            </w:r>
          </w:p>
        </w:tc>
        <w:tc>
          <w:tcPr>
            <w:tcW w:w="992" w:type="dxa"/>
            <w:tcBorders>
              <w:top w:val="single" w:sz="4" w:space="0" w:color="auto"/>
              <w:bottom w:val="single" w:sz="4" w:space="0" w:color="auto"/>
            </w:tcBorders>
            <w:shd w:val="clear" w:color="auto" w:fill="E7E6E6" w:themeFill="background2"/>
            <w:hideMark/>
          </w:tcPr>
          <w:p w14:paraId="2157618D" w14:textId="77777777" w:rsidR="005E2BB1" w:rsidRPr="00F45F11" w:rsidRDefault="005E2BB1" w:rsidP="0072004C">
            <w:pPr>
              <w:pStyle w:val="ARtabletextrightbold"/>
              <w:rPr>
                <w:lang w:eastAsia="en-AU"/>
              </w:rPr>
            </w:pPr>
            <w:r w:rsidRPr="00F45F11">
              <w:rPr>
                <w:lang w:eastAsia="en-AU"/>
              </w:rPr>
              <w:t>335</w:t>
            </w:r>
          </w:p>
        </w:tc>
        <w:tc>
          <w:tcPr>
            <w:tcW w:w="992" w:type="dxa"/>
            <w:tcBorders>
              <w:top w:val="single" w:sz="4" w:space="0" w:color="auto"/>
              <w:bottom w:val="single" w:sz="4" w:space="0" w:color="auto"/>
            </w:tcBorders>
            <w:shd w:val="clear" w:color="auto" w:fill="E7E6E6" w:themeFill="background2"/>
            <w:hideMark/>
          </w:tcPr>
          <w:p w14:paraId="30462BDA" w14:textId="77777777" w:rsidR="005E2BB1" w:rsidRPr="00F45F11" w:rsidRDefault="005E2BB1" w:rsidP="0072004C">
            <w:pPr>
              <w:pStyle w:val="ARtabletextrightbold"/>
              <w:rPr>
                <w:lang w:eastAsia="en-AU"/>
              </w:rPr>
            </w:pPr>
            <w:r w:rsidRPr="00F45F11">
              <w:rPr>
                <w:lang w:eastAsia="en-AU"/>
              </w:rPr>
              <w:t>307.3</w:t>
            </w:r>
          </w:p>
        </w:tc>
        <w:tc>
          <w:tcPr>
            <w:tcW w:w="926" w:type="dxa"/>
            <w:tcBorders>
              <w:top w:val="single" w:sz="4" w:space="0" w:color="auto"/>
              <w:bottom w:val="single" w:sz="4" w:space="0" w:color="auto"/>
            </w:tcBorders>
            <w:hideMark/>
          </w:tcPr>
          <w:p w14:paraId="0F0D0491" w14:textId="77777777" w:rsidR="005E2BB1" w:rsidRPr="00F45F11" w:rsidRDefault="005E2BB1" w:rsidP="0072004C">
            <w:pPr>
              <w:pStyle w:val="ARtabletextrightbold"/>
              <w:rPr>
                <w:lang w:eastAsia="en-AU"/>
              </w:rPr>
            </w:pPr>
            <w:r w:rsidRPr="00F45F11">
              <w:rPr>
                <w:lang w:eastAsia="en-AU"/>
              </w:rPr>
              <w:t>214</w:t>
            </w:r>
          </w:p>
        </w:tc>
        <w:tc>
          <w:tcPr>
            <w:tcW w:w="926" w:type="dxa"/>
            <w:tcBorders>
              <w:top w:val="single" w:sz="4" w:space="0" w:color="auto"/>
              <w:bottom w:val="single" w:sz="4" w:space="0" w:color="auto"/>
            </w:tcBorders>
            <w:hideMark/>
          </w:tcPr>
          <w:p w14:paraId="0174F543" w14:textId="77777777" w:rsidR="005E2BB1" w:rsidRPr="00F45F11" w:rsidRDefault="005E2BB1" w:rsidP="0072004C">
            <w:pPr>
              <w:pStyle w:val="ARtabletextrightbold"/>
              <w:rPr>
                <w:lang w:eastAsia="en-AU"/>
              </w:rPr>
            </w:pPr>
            <w:r w:rsidRPr="00F45F11">
              <w:rPr>
                <w:lang w:eastAsia="en-AU"/>
              </w:rPr>
              <w:t>44</w:t>
            </w:r>
          </w:p>
        </w:tc>
        <w:tc>
          <w:tcPr>
            <w:tcW w:w="927" w:type="dxa"/>
            <w:tcBorders>
              <w:top w:val="single" w:sz="4" w:space="0" w:color="auto"/>
              <w:bottom w:val="single" w:sz="4" w:space="0" w:color="auto"/>
            </w:tcBorders>
            <w:hideMark/>
          </w:tcPr>
          <w:p w14:paraId="7EF1C2DC" w14:textId="77777777" w:rsidR="005E2BB1" w:rsidRPr="00F45F11" w:rsidRDefault="005E2BB1" w:rsidP="0072004C">
            <w:pPr>
              <w:pStyle w:val="ARtabletextrightbold"/>
              <w:rPr>
                <w:lang w:eastAsia="en-AU"/>
              </w:rPr>
            </w:pPr>
            <w:r w:rsidRPr="00F45F11">
              <w:rPr>
                <w:lang w:eastAsia="en-AU"/>
              </w:rPr>
              <w:t>243.8</w:t>
            </w:r>
          </w:p>
        </w:tc>
        <w:tc>
          <w:tcPr>
            <w:tcW w:w="1057" w:type="dxa"/>
            <w:tcBorders>
              <w:top w:val="single" w:sz="4" w:space="0" w:color="auto"/>
              <w:bottom w:val="single" w:sz="4" w:space="0" w:color="auto"/>
            </w:tcBorders>
            <w:shd w:val="clear" w:color="auto" w:fill="E7E6E6" w:themeFill="background2"/>
            <w:hideMark/>
          </w:tcPr>
          <w:p w14:paraId="1BCD629E" w14:textId="77777777" w:rsidR="005E2BB1" w:rsidRPr="00F45F11" w:rsidRDefault="005E2BB1" w:rsidP="0072004C">
            <w:pPr>
              <w:pStyle w:val="ARtabletextrightbold"/>
              <w:rPr>
                <w:lang w:eastAsia="en-AU"/>
              </w:rPr>
            </w:pPr>
            <w:r w:rsidRPr="00F45F11">
              <w:rPr>
                <w:lang w:eastAsia="en-AU"/>
              </w:rPr>
              <w:t>77</w:t>
            </w:r>
          </w:p>
        </w:tc>
        <w:tc>
          <w:tcPr>
            <w:tcW w:w="927" w:type="dxa"/>
            <w:tcBorders>
              <w:top w:val="single" w:sz="4" w:space="0" w:color="auto"/>
              <w:bottom w:val="single" w:sz="4" w:space="0" w:color="auto"/>
            </w:tcBorders>
            <w:shd w:val="clear" w:color="auto" w:fill="E7E6E6" w:themeFill="background2"/>
            <w:hideMark/>
          </w:tcPr>
          <w:p w14:paraId="314D0D9C" w14:textId="77777777" w:rsidR="005E2BB1" w:rsidRPr="00F45F11" w:rsidRDefault="005E2BB1" w:rsidP="0072004C">
            <w:pPr>
              <w:pStyle w:val="ARtabletextrightbold"/>
              <w:rPr>
                <w:lang w:eastAsia="en-AU"/>
              </w:rPr>
            </w:pPr>
            <w:r w:rsidRPr="00F45F11">
              <w:rPr>
                <w:lang w:eastAsia="en-AU"/>
              </w:rPr>
              <w:t>63.5</w:t>
            </w:r>
          </w:p>
        </w:tc>
        <w:tc>
          <w:tcPr>
            <w:tcW w:w="1057" w:type="dxa"/>
            <w:tcBorders>
              <w:top w:val="single" w:sz="4" w:space="0" w:color="auto"/>
              <w:bottom w:val="single" w:sz="4" w:space="0" w:color="auto"/>
            </w:tcBorders>
            <w:hideMark/>
          </w:tcPr>
          <w:p w14:paraId="740FD4B6" w14:textId="77777777" w:rsidR="005E2BB1" w:rsidRPr="00F45F11" w:rsidRDefault="005E2BB1" w:rsidP="0072004C">
            <w:pPr>
              <w:pStyle w:val="ARtabletextrightbold"/>
              <w:rPr>
                <w:lang w:eastAsia="en-AU"/>
              </w:rPr>
            </w:pPr>
            <w:r w:rsidRPr="00F45F11">
              <w:rPr>
                <w:lang w:eastAsia="en-AU"/>
              </w:rPr>
              <w:t>341</w:t>
            </w:r>
          </w:p>
        </w:tc>
        <w:tc>
          <w:tcPr>
            <w:tcW w:w="927" w:type="dxa"/>
            <w:tcBorders>
              <w:top w:val="single" w:sz="4" w:space="0" w:color="auto"/>
              <w:bottom w:val="single" w:sz="4" w:space="0" w:color="auto"/>
            </w:tcBorders>
            <w:hideMark/>
          </w:tcPr>
          <w:p w14:paraId="1E604F6B" w14:textId="77777777" w:rsidR="005E2BB1" w:rsidRPr="00F45F11" w:rsidRDefault="005E2BB1" w:rsidP="0072004C">
            <w:pPr>
              <w:pStyle w:val="ARtabletextrightbold"/>
              <w:rPr>
                <w:lang w:eastAsia="en-AU"/>
              </w:rPr>
            </w:pPr>
            <w:r w:rsidRPr="00F45F11">
              <w:rPr>
                <w:lang w:eastAsia="en-AU"/>
              </w:rPr>
              <w:t>311.4</w:t>
            </w:r>
          </w:p>
        </w:tc>
        <w:tc>
          <w:tcPr>
            <w:tcW w:w="926" w:type="dxa"/>
            <w:tcBorders>
              <w:top w:val="single" w:sz="4" w:space="0" w:color="auto"/>
              <w:bottom w:val="single" w:sz="4" w:space="0" w:color="auto"/>
            </w:tcBorders>
            <w:shd w:val="clear" w:color="auto" w:fill="E7E6E6" w:themeFill="background2"/>
            <w:hideMark/>
          </w:tcPr>
          <w:p w14:paraId="6FD374BD" w14:textId="77777777" w:rsidR="005E2BB1" w:rsidRPr="00F45F11" w:rsidRDefault="005E2BB1" w:rsidP="0072004C">
            <w:pPr>
              <w:pStyle w:val="ARtabletextrightbold"/>
              <w:rPr>
                <w:lang w:eastAsia="en-AU"/>
              </w:rPr>
            </w:pPr>
            <w:r w:rsidRPr="00F45F11">
              <w:rPr>
                <w:lang w:eastAsia="en-AU"/>
              </w:rPr>
              <w:t>215</w:t>
            </w:r>
          </w:p>
        </w:tc>
        <w:tc>
          <w:tcPr>
            <w:tcW w:w="926" w:type="dxa"/>
            <w:tcBorders>
              <w:top w:val="single" w:sz="4" w:space="0" w:color="auto"/>
              <w:bottom w:val="single" w:sz="4" w:space="0" w:color="auto"/>
            </w:tcBorders>
            <w:shd w:val="clear" w:color="auto" w:fill="E7E6E6" w:themeFill="background2"/>
            <w:hideMark/>
          </w:tcPr>
          <w:p w14:paraId="1E3271B2" w14:textId="77777777" w:rsidR="005E2BB1" w:rsidRPr="00F45F11" w:rsidRDefault="005E2BB1" w:rsidP="0072004C">
            <w:pPr>
              <w:pStyle w:val="ARtabletextrightbold"/>
              <w:rPr>
                <w:lang w:eastAsia="en-AU"/>
              </w:rPr>
            </w:pPr>
            <w:r w:rsidRPr="00F45F11">
              <w:rPr>
                <w:lang w:eastAsia="en-AU"/>
              </w:rPr>
              <w:t>42</w:t>
            </w:r>
          </w:p>
        </w:tc>
        <w:tc>
          <w:tcPr>
            <w:tcW w:w="927" w:type="dxa"/>
            <w:tcBorders>
              <w:top w:val="single" w:sz="4" w:space="0" w:color="auto"/>
              <w:bottom w:val="single" w:sz="4" w:space="0" w:color="auto"/>
            </w:tcBorders>
            <w:shd w:val="clear" w:color="auto" w:fill="E7E6E6" w:themeFill="background2"/>
            <w:hideMark/>
          </w:tcPr>
          <w:p w14:paraId="10407709" w14:textId="77777777" w:rsidR="005E2BB1" w:rsidRPr="00F45F11" w:rsidRDefault="005E2BB1" w:rsidP="0072004C">
            <w:pPr>
              <w:pStyle w:val="ARtabletextrightbold"/>
              <w:rPr>
                <w:lang w:eastAsia="en-AU"/>
              </w:rPr>
            </w:pPr>
            <w:r w:rsidRPr="00F45F11">
              <w:rPr>
                <w:lang w:eastAsia="en-AU"/>
              </w:rPr>
              <w:t>243.3</w:t>
            </w:r>
          </w:p>
        </w:tc>
        <w:tc>
          <w:tcPr>
            <w:tcW w:w="1057" w:type="dxa"/>
            <w:tcBorders>
              <w:top w:val="single" w:sz="4" w:space="0" w:color="auto"/>
              <w:bottom w:val="single" w:sz="4" w:space="0" w:color="auto"/>
            </w:tcBorders>
            <w:hideMark/>
          </w:tcPr>
          <w:p w14:paraId="14233EAF" w14:textId="77777777" w:rsidR="005E2BB1" w:rsidRPr="00F45F11" w:rsidRDefault="005E2BB1" w:rsidP="0072004C">
            <w:pPr>
              <w:pStyle w:val="ARtabletextrightbold"/>
              <w:rPr>
                <w:lang w:eastAsia="en-AU"/>
              </w:rPr>
            </w:pPr>
            <w:r w:rsidRPr="00F45F11">
              <w:rPr>
                <w:lang w:eastAsia="en-AU"/>
              </w:rPr>
              <w:t>84</w:t>
            </w:r>
          </w:p>
        </w:tc>
        <w:tc>
          <w:tcPr>
            <w:tcW w:w="927" w:type="dxa"/>
            <w:tcBorders>
              <w:top w:val="single" w:sz="4" w:space="0" w:color="auto"/>
              <w:bottom w:val="single" w:sz="4" w:space="0" w:color="auto"/>
            </w:tcBorders>
            <w:hideMark/>
          </w:tcPr>
          <w:p w14:paraId="27286BB5" w14:textId="77777777" w:rsidR="005E2BB1" w:rsidRPr="00F45F11" w:rsidRDefault="005E2BB1" w:rsidP="0072004C">
            <w:pPr>
              <w:pStyle w:val="ARtabletextrightbold"/>
              <w:rPr>
                <w:lang w:eastAsia="en-AU"/>
              </w:rPr>
            </w:pPr>
            <w:r w:rsidRPr="00F45F11">
              <w:rPr>
                <w:lang w:eastAsia="en-AU"/>
              </w:rPr>
              <w:t>68.1</w:t>
            </w:r>
          </w:p>
        </w:tc>
      </w:tr>
      <w:tr w:rsidR="00F659C1" w:rsidRPr="00F45F11" w14:paraId="59E08000"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tcPr>
          <w:p w14:paraId="053B1842" w14:textId="217CCBDF" w:rsidR="00F659C1" w:rsidRPr="00F45F11" w:rsidRDefault="00F659C1" w:rsidP="00F659C1">
            <w:pPr>
              <w:pStyle w:val="ARTabletextboldcoloured"/>
              <w:rPr>
                <w:lang w:eastAsia="en-AU"/>
              </w:rPr>
            </w:pPr>
            <w:r w:rsidRPr="00F45F11">
              <w:rPr>
                <w:lang w:eastAsia="en-AU"/>
              </w:rPr>
              <w:t>Allied Health</w:t>
            </w:r>
          </w:p>
        </w:tc>
        <w:tc>
          <w:tcPr>
            <w:tcW w:w="992" w:type="dxa"/>
          </w:tcPr>
          <w:p w14:paraId="471E3E98" w14:textId="77777777" w:rsidR="00F659C1" w:rsidRPr="00F45F11" w:rsidRDefault="00F659C1" w:rsidP="0093234E">
            <w:pPr>
              <w:pStyle w:val="ARtabletextright"/>
              <w:rPr>
                <w:lang w:eastAsia="en-AU"/>
              </w:rPr>
            </w:pPr>
          </w:p>
        </w:tc>
        <w:tc>
          <w:tcPr>
            <w:tcW w:w="992" w:type="dxa"/>
          </w:tcPr>
          <w:p w14:paraId="6E5423E9" w14:textId="77777777" w:rsidR="00F659C1" w:rsidRPr="00F45F11" w:rsidRDefault="00F659C1" w:rsidP="0093234E">
            <w:pPr>
              <w:pStyle w:val="ARtabletextright"/>
              <w:rPr>
                <w:lang w:eastAsia="en-AU"/>
              </w:rPr>
            </w:pPr>
          </w:p>
        </w:tc>
        <w:tc>
          <w:tcPr>
            <w:tcW w:w="926" w:type="dxa"/>
          </w:tcPr>
          <w:p w14:paraId="2CF2818E" w14:textId="77777777" w:rsidR="00F659C1" w:rsidRPr="00F45F11" w:rsidRDefault="00F659C1" w:rsidP="0093234E">
            <w:pPr>
              <w:pStyle w:val="ARtabletextright"/>
              <w:rPr>
                <w:lang w:eastAsia="en-AU"/>
              </w:rPr>
            </w:pPr>
          </w:p>
        </w:tc>
        <w:tc>
          <w:tcPr>
            <w:tcW w:w="926" w:type="dxa"/>
          </w:tcPr>
          <w:p w14:paraId="6E60EB3E" w14:textId="77777777" w:rsidR="00F659C1" w:rsidRPr="00F45F11" w:rsidRDefault="00F659C1" w:rsidP="0093234E">
            <w:pPr>
              <w:pStyle w:val="ARtabletextright"/>
              <w:rPr>
                <w:lang w:eastAsia="en-AU"/>
              </w:rPr>
            </w:pPr>
          </w:p>
        </w:tc>
        <w:tc>
          <w:tcPr>
            <w:tcW w:w="927" w:type="dxa"/>
          </w:tcPr>
          <w:p w14:paraId="172D8E61" w14:textId="77777777" w:rsidR="00F659C1" w:rsidRPr="00F45F11" w:rsidRDefault="00F659C1" w:rsidP="0093234E">
            <w:pPr>
              <w:pStyle w:val="ARtabletextright"/>
              <w:rPr>
                <w:lang w:eastAsia="en-AU"/>
              </w:rPr>
            </w:pPr>
          </w:p>
        </w:tc>
        <w:tc>
          <w:tcPr>
            <w:tcW w:w="1057" w:type="dxa"/>
          </w:tcPr>
          <w:p w14:paraId="49BBE598" w14:textId="77777777" w:rsidR="00F659C1" w:rsidRPr="00F45F11" w:rsidRDefault="00F659C1" w:rsidP="0093234E">
            <w:pPr>
              <w:pStyle w:val="ARtabletextright"/>
              <w:rPr>
                <w:lang w:eastAsia="en-AU"/>
              </w:rPr>
            </w:pPr>
          </w:p>
        </w:tc>
        <w:tc>
          <w:tcPr>
            <w:tcW w:w="927" w:type="dxa"/>
          </w:tcPr>
          <w:p w14:paraId="4863E790" w14:textId="77777777" w:rsidR="00F659C1" w:rsidRPr="00F45F11" w:rsidRDefault="00F659C1" w:rsidP="0093234E">
            <w:pPr>
              <w:pStyle w:val="ARtabletextright"/>
              <w:rPr>
                <w:lang w:eastAsia="en-AU"/>
              </w:rPr>
            </w:pPr>
          </w:p>
        </w:tc>
        <w:tc>
          <w:tcPr>
            <w:tcW w:w="1057" w:type="dxa"/>
          </w:tcPr>
          <w:p w14:paraId="3BB75601" w14:textId="77777777" w:rsidR="00F659C1" w:rsidRPr="00F45F11" w:rsidRDefault="00F659C1" w:rsidP="0093234E">
            <w:pPr>
              <w:pStyle w:val="ARtabletextright"/>
              <w:rPr>
                <w:lang w:eastAsia="en-AU"/>
              </w:rPr>
            </w:pPr>
          </w:p>
        </w:tc>
        <w:tc>
          <w:tcPr>
            <w:tcW w:w="927" w:type="dxa"/>
          </w:tcPr>
          <w:p w14:paraId="036B4447" w14:textId="77777777" w:rsidR="00F659C1" w:rsidRPr="00F45F11" w:rsidRDefault="00F659C1" w:rsidP="0093234E">
            <w:pPr>
              <w:pStyle w:val="ARtabletextright"/>
              <w:rPr>
                <w:lang w:eastAsia="en-AU"/>
              </w:rPr>
            </w:pPr>
          </w:p>
        </w:tc>
        <w:tc>
          <w:tcPr>
            <w:tcW w:w="926" w:type="dxa"/>
          </w:tcPr>
          <w:p w14:paraId="4526F816" w14:textId="77777777" w:rsidR="00F659C1" w:rsidRPr="00F45F11" w:rsidRDefault="00F659C1" w:rsidP="0093234E">
            <w:pPr>
              <w:pStyle w:val="ARtabletextright"/>
              <w:rPr>
                <w:lang w:eastAsia="en-AU"/>
              </w:rPr>
            </w:pPr>
          </w:p>
        </w:tc>
        <w:tc>
          <w:tcPr>
            <w:tcW w:w="926" w:type="dxa"/>
          </w:tcPr>
          <w:p w14:paraId="030848DA" w14:textId="77777777" w:rsidR="00F659C1" w:rsidRPr="00F45F11" w:rsidRDefault="00F659C1" w:rsidP="0093234E">
            <w:pPr>
              <w:pStyle w:val="ARtabletextright"/>
              <w:rPr>
                <w:lang w:eastAsia="en-AU"/>
              </w:rPr>
            </w:pPr>
          </w:p>
        </w:tc>
        <w:tc>
          <w:tcPr>
            <w:tcW w:w="927" w:type="dxa"/>
          </w:tcPr>
          <w:p w14:paraId="6FDF730A" w14:textId="77777777" w:rsidR="00F659C1" w:rsidRPr="00F45F11" w:rsidRDefault="00F659C1" w:rsidP="0093234E">
            <w:pPr>
              <w:pStyle w:val="ARtabletextright"/>
              <w:rPr>
                <w:lang w:eastAsia="en-AU"/>
              </w:rPr>
            </w:pPr>
          </w:p>
        </w:tc>
        <w:tc>
          <w:tcPr>
            <w:tcW w:w="1057" w:type="dxa"/>
          </w:tcPr>
          <w:p w14:paraId="6A4D280A" w14:textId="77777777" w:rsidR="00F659C1" w:rsidRPr="00F45F11" w:rsidRDefault="00F659C1" w:rsidP="0093234E">
            <w:pPr>
              <w:pStyle w:val="ARtabletextright"/>
              <w:rPr>
                <w:lang w:eastAsia="en-AU"/>
              </w:rPr>
            </w:pPr>
          </w:p>
        </w:tc>
        <w:tc>
          <w:tcPr>
            <w:tcW w:w="927" w:type="dxa"/>
          </w:tcPr>
          <w:p w14:paraId="2D05FDA5" w14:textId="77777777" w:rsidR="00F659C1" w:rsidRPr="00F45F11" w:rsidRDefault="00F659C1" w:rsidP="0093234E">
            <w:pPr>
              <w:pStyle w:val="ARtabletextright"/>
              <w:rPr>
                <w:lang w:eastAsia="en-AU"/>
              </w:rPr>
            </w:pPr>
          </w:p>
        </w:tc>
      </w:tr>
      <w:tr w:rsidR="005E2BB1" w:rsidRPr="00F45F11" w14:paraId="53420C3B"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hideMark/>
          </w:tcPr>
          <w:p w14:paraId="75320526" w14:textId="77777777" w:rsidR="005E2BB1" w:rsidRPr="00F45F11" w:rsidRDefault="005E2BB1" w:rsidP="0093234E">
            <w:pPr>
              <w:pStyle w:val="ARTabletext"/>
              <w:rPr>
                <w:lang w:eastAsia="en-AU"/>
              </w:rPr>
            </w:pPr>
            <w:r w:rsidRPr="00F45F11">
              <w:rPr>
                <w:lang w:eastAsia="en-AU"/>
              </w:rPr>
              <w:t>AH 2</w:t>
            </w:r>
          </w:p>
        </w:tc>
        <w:tc>
          <w:tcPr>
            <w:tcW w:w="992" w:type="dxa"/>
            <w:shd w:val="clear" w:color="auto" w:fill="E7E6E6" w:themeFill="background2"/>
            <w:hideMark/>
          </w:tcPr>
          <w:p w14:paraId="1AFC6736" w14:textId="77777777" w:rsidR="005E2BB1" w:rsidRPr="00F45F11" w:rsidRDefault="005E2BB1" w:rsidP="0093234E">
            <w:pPr>
              <w:pStyle w:val="ARtabletextright"/>
              <w:rPr>
                <w:lang w:eastAsia="en-AU"/>
              </w:rPr>
            </w:pPr>
            <w:r w:rsidRPr="00F45F11">
              <w:rPr>
                <w:lang w:eastAsia="en-AU"/>
              </w:rPr>
              <w:t>4</w:t>
            </w:r>
          </w:p>
        </w:tc>
        <w:tc>
          <w:tcPr>
            <w:tcW w:w="992" w:type="dxa"/>
            <w:shd w:val="clear" w:color="auto" w:fill="E7E6E6" w:themeFill="background2"/>
            <w:hideMark/>
          </w:tcPr>
          <w:p w14:paraId="60104560" w14:textId="77777777" w:rsidR="005E2BB1" w:rsidRPr="00F45F11" w:rsidRDefault="005E2BB1" w:rsidP="0093234E">
            <w:pPr>
              <w:pStyle w:val="ARtabletextright"/>
              <w:rPr>
                <w:lang w:eastAsia="en-AU"/>
              </w:rPr>
            </w:pPr>
            <w:r w:rsidRPr="00F45F11">
              <w:rPr>
                <w:lang w:eastAsia="en-AU"/>
              </w:rPr>
              <w:t>3.6</w:t>
            </w:r>
          </w:p>
        </w:tc>
        <w:tc>
          <w:tcPr>
            <w:tcW w:w="926" w:type="dxa"/>
            <w:hideMark/>
          </w:tcPr>
          <w:p w14:paraId="6B426E01" w14:textId="77777777" w:rsidR="005E2BB1" w:rsidRPr="00F45F11" w:rsidRDefault="005E2BB1" w:rsidP="0093234E">
            <w:pPr>
              <w:pStyle w:val="ARtabletextright"/>
              <w:rPr>
                <w:lang w:eastAsia="en-AU"/>
              </w:rPr>
            </w:pPr>
            <w:r w:rsidRPr="00F45F11">
              <w:rPr>
                <w:lang w:eastAsia="en-AU"/>
              </w:rPr>
              <w:t>3</w:t>
            </w:r>
          </w:p>
        </w:tc>
        <w:tc>
          <w:tcPr>
            <w:tcW w:w="926" w:type="dxa"/>
            <w:hideMark/>
          </w:tcPr>
          <w:p w14:paraId="6E831F69" w14:textId="77777777" w:rsidR="005E2BB1" w:rsidRPr="00F45F11" w:rsidRDefault="005E2BB1" w:rsidP="0093234E">
            <w:pPr>
              <w:pStyle w:val="ARtabletextright"/>
              <w:rPr>
                <w:lang w:eastAsia="en-AU"/>
              </w:rPr>
            </w:pPr>
            <w:r w:rsidRPr="00F45F11">
              <w:rPr>
                <w:lang w:eastAsia="en-AU"/>
              </w:rPr>
              <w:t>1</w:t>
            </w:r>
          </w:p>
        </w:tc>
        <w:tc>
          <w:tcPr>
            <w:tcW w:w="927" w:type="dxa"/>
            <w:hideMark/>
          </w:tcPr>
          <w:p w14:paraId="3758F382" w14:textId="77777777" w:rsidR="005E2BB1" w:rsidRPr="00F45F11" w:rsidRDefault="005E2BB1" w:rsidP="0093234E">
            <w:pPr>
              <w:pStyle w:val="ARtabletextright"/>
              <w:rPr>
                <w:lang w:eastAsia="en-AU"/>
              </w:rPr>
            </w:pPr>
            <w:r w:rsidRPr="00F45F11">
              <w:rPr>
                <w:lang w:eastAsia="en-AU"/>
              </w:rPr>
              <w:t>3.6</w:t>
            </w:r>
          </w:p>
        </w:tc>
        <w:tc>
          <w:tcPr>
            <w:tcW w:w="1057" w:type="dxa"/>
            <w:shd w:val="clear" w:color="auto" w:fill="E7E6E6" w:themeFill="background2"/>
            <w:hideMark/>
          </w:tcPr>
          <w:p w14:paraId="6A829F83" w14:textId="77777777" w:rsidR="005E2BB1" w:rsidRPr="00F45F11" w:rsidRDefault="005E2BB1" w:rsidP="0093234E">
            <w:pPr>
              <w:pStyle w:val="ARtabletextright"/>
              <w:rPr>
                <w:lang w:eastAsia="en-AU"/>
              </w:rPr>
            </w:pPr>
            <w:r w:rsidRPr="00F45F11">
              <w:rPr>
                <w:lang w:eastAsia="en-AU"/>
              </w:rPr>
              <w:t>0</w:t>
            </w:r>
          </w:p>
        </w:tc>
        <w:tc>
          <w:tcPr>
            <w:tcW w:w="927" w:type="dxa"/>
            <w:shd w:val="clear" w:color="auto" w:fill="E7E6E6" w:themeFill="background2"/>
            <w:hideMark/>
          </w:tcPr>
          <w:p w14:paraId="302E43E6" w14:textId="77777777" w:rsidR="005E2BB1" w:rsidRPr="00F45F11" w:rsidRDefault="005E2BB1" w:rsidP="0093234E">
            <w:pPr>
              <w:pStyle w:val="ARtabletextright"/>
              <w:rPr>
                <w:lang w:eastAsia="en-AU"/>
              </w:rPr>
            </w:pPr>
            <w:r w:rsidRPr="00F45F11">
              <w:rPr>
                <w:lang w:eastAsia="en-AU"/>
              </w:rPr>
              <w:t>0.0</w:t>
            </w:r>
          </w:p>
        </w:tc>
        <w:tc>
          <w:tcPr>
            <w:tcW w:w="1057" w:type="dxa"/>
            <w:hideMark/>
          </w:tcPr>
          <w:p w14:paraId="79EFAA30" w14:textId="77777777" w:rsidR="005E2BB1" w:rsidRPr="00F45F11" w:rsidRDefault="005E2BB1" w:rsidP="0093234E">
            <w:pPr>
              <w:pStyle w:val="ARtabletextright"/>
              <w:rPr>
                <w:lang w:eastAsia="en-AU"/>
              </w:rPr>
            </w:pPr>
            <w:r w:rsidRPr="00F45F11">
              <w:rPr>
                <w:lang w:eastAsia="en-AU"/>
              </w:rPr>
              <w:t>8</w:t>
            </w:r>
          </w:p>
        </w:tc>
        <w:tc>
          <w:tcPr>
            <w:tcW w:w="927" w:type="dxa"/>
            <w:hideMark/>
          </w:tcPr>
          <w:p w14:paraId="7A60F942" w14:textId="77777777" w:rsidR="005E2BB1" w:rsidRPr="00F45F11" w:rsidRDefault="005E2BB1" w:rsidP="0093234E">
            <w:pPr>
              <w:pStyle w:val="ARtabletextright"/>
              <w:rPr>
                <w:lang w:eastAsia="en-AU"/>
              </w:rPr>
            </w:pPr>
            <w:r w:rsidRPr="00F45F11">
              <w:rPr>
                <w:lang w:eastAsia="en-AU"/>
              </w:rPr>
              <w:t>7.6</w:t>
            </w:r>
          </w:p>
        </w:tc>
        <w:tc>
          <w:tcPr>
            <w:tcW w:w="926" w:type="dxa"/>
            <w:shd w:val="clear" w:color="auto" w:fill="E7E6E6" w:themeFill="background2"/>
            <w:hideMark/>
          </w:tcPr>
          <w:p w14:paraId="754742B3" w14:textId="77777777" w:rsidR="005E2BB1" w:rsidRPr="00F45F11" w:rsidRDefault="005E2BB1" w:rsidP="0093234E">
            <w:pPr>
              <w:pStyle w:val="ARtabletextright"/>
              <w:rPr>
                <w:lang w:eastAsia="en-AU"/>
              </w:rPr>
            </w:pPr>
            <w:r w:rsidRPr="00F45F11">
              <w:rPr>
                <w:lang w:eastAsia="en-AU"/>
              </w:rPr>
              <w:t>5</w:t>
            </w:r>
          </w:p>
        </w:tc>
        <w:tc>
          <w:tcPr>
            <w:tcW w:w="926" w:type="dxa"/>
            <w:shd w:val="clear" w:color="auto" w:fill="E7E6E6" w:themeFill="background2"/>
            <w:hideMark/>
          </w:tcPr>
          <w:p w14:paraId="49D6B241" w14:textId="77777777" w:rsidR="005E2BB1" w:rsidRPr="00F45F11" w:rsidRDefault="005E2BB1" w:rsidP="0093234E">
            <w:pPr>
              <w:pStyle w:val="ARtabletextright"/>
              <w:rPr>
                <w:lang w:eastAsia="en-AU"/>
              </w:rPr>
            </w:pPr>
            <w:r w:rsidRPr="00F45F11">
              <w:rPr>
                <w:lang w:eastAsia="en-AU"/>
              </w:rPr>
              <w:t>1</w:t>
            </w:r>
          </w:p>
        </w:tc>
        <w:tc>
          <w:tcPr>
            <w:tcW w:w="927" w:type="dxa"/>
            <w:shd w:val="clear" w:color="auto" w:fill="E7E6E6" w:themeFill="background2"/>
            <w:hideMark/>
          </w:tcPr>
          <w:p w14:paraId="4C8150BD" w14:textId="77777777" w:rsidR="005E2BB1" w:rsidRPr="00F45F11" w:rsidRDefault="005E2BB1" w:rsidP="0093234E">
            <w:pPr>
              <w:pStyle w:val="ARtabletextright"/>
              <w:rPr>
                <w:lang w:eastAsia="en-AU"/>
              </w:rPr>
            </w:pPr>
            <w:r w:rsidRPr="00F45F11">
              <w:rPr>
                <w:lang w:eastAsia="en-AU"/>
              </w:rPr>
              <w:t>5.6</w:t>
            </w:r>
          </w:p>
        </w:tc>
        <w:tc>
          <w:tcPr>
            <w:tcW w:w="1057" w:type="dxa"/>
            <w:hideMark/>
          </w:tcPr>
          <w:p w14:paraId="1803366F" w14:textId="77777777" w:rsidR="005E2BB1" w:rsidRPr="00F45F11" w:rsidRDefault="005E2BB1" w:rsidP="0093234E">
            <w:pPr>
              <w:pStyle w:val="ARtabletextright"/>
              <w:rPr>
                <w:lang w:eastAsia="en-AU"/>
              </w:rPr>
            </w:pPr>
            <w:r w:rsidRPr="00F45F11">
              <w:rPr>
                <w:lang w:eastAsia="en-AU"/>
              </w:rPr>
              <w:t>2</w:t>
            </w:r>
          </w:p>
        </w:tc>
        <w:tc>
          <w:tcPr>
            <w:tcW w:w="927" w:type="dxa"/>
            <w:hideMark/>
          </w:tcPr>
          <w:p w14:paraId="4E4BF6A6" w14:textId="77777777" w:rsidR="005E2BB1" w:rsidRPr="00F45F11" w:rsidRDefault="005E2BB1" w:rsidP="0093234E">
            <w:pPr>
              <w:pStyle w:val="ARtabletextright"/>
              <w:rPr>
                <w:lang w:eastAsia="en-AU"/>
              </w:rPr>
            </w:pPr>
            <w:r w:rsidRPr="00F45F11">
              <w:rPr>
                <w:lang w:eastAsia="en-AU"/>
              </w:rPr>
              <w:t>2.0</w:t>
            </w:r>
          </w:p>
        </w:tc>
      </w:tr>
      <w:tr w:rsidR="005E2BB1" w:rsidRPr="00F45F11" w14:paraId="1EB22542"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tcBorders>
              <w:bottom w:val="single" w:sz="4" w:space="0" w:color="BFBFBF" w:themeColor="accent2"/>
            </w:tcBorders>
            <w:hideMark/>
          </w:tcPr>
          <w:p w14:paraId="27DC09AE" w14:textId="77777777" w:rsidR="005E2BB1" w:rsidRPr="00F45F11" w:rsidRDefault="005E2BB1" w:rsidP="0093234E">
            <w:pPr>
              <w:pStyle w:val="ARTabletext"/>
              <w:rPr>
                <w:lang w:eastAsia="en-AU"/>
              </w:rPr>
            </w:pPr>
            <w:r w:rsidRPr="00F45F11">
              <w:rPr>
                <w:lang w:eastAsia="en-AU"/>
              </w:rPr>
              <w:t>AH 3</w:t>
            </w:r>
          </w:p>
        </w:tc>
        <w:tc>
          <w:tcPr>
            <w:tcW w:w="992" w:type="dxa"/>
            <w:tcBorders>
              <w:bottom w:val="single" w:sz="4" w:space="0" w:color="BFBFBF" w:themeColor="accent2"/>
            </w:tcBorders>
            <w:shd w:val="clear" w:color="auto" w:fill="E7E6E6" w:themeFill="background2"/>
            <w:hideMark/>
          </w:tcPr>
          <w:p w14:paraId="3F6C0E4F" w14:textId="77777777" w:rsidR="005E2BB1" w:rsidRPr="00F45F11" w:rsidRDefault="005E2BB1" w:rsidP="0093234E">
            <w:pPr>
              <w:pStyle w:val="ARtabletextright"/>
              <w:rPr>
                <w:lang w:eastAsia="en-AU"/>
              </w:rPr>
            </w:pPr>
            <w:r w:rsidRPr="00F45F11">
              <w:rPr>
                <w:lang w:eastAsia="en-AU"/>
              </w:rPr>
              <w:t>22</w:t>
            </w:r>
          </w:p>
        </w:tc>
        <w:tc>
          <w:tcPr>
            <w:tcW w:w="992" w:type="dxa"/>
            <w:tcBorders>
              <w:bottom w:val="single" w:sz="4" w:space="0" w:color="BFBFBF" w:themeColor="accent2"/>
            </w:tcBorders>
            <w:shd w:val="clear" w:color="auto" w:fill="E7E6E6" w:themeFill="background2"/>
            <w:hideMark/>
          </w:tcPr>
          <w:p w14:paraId="2F6DCC16" w14:textId="77777777" w:rsidR="005E2BB1" w:rsidRPr="00F45F11" w:rsidRDefault="005E2BB1" w:rsidP="0093234E">
            <w:pPr>
              <w:pStyle w:val="ARtabletextright"/>
              <w:rPr>
                <w:lang w:eastAsia="en-AU"/>
              </w:rPr>
            </w:pPr>
            <w:r w:rsidRPr="00F45F11">
              <w:rPr>
                <w:lang w:eastAsia="en-AU"/>
              </w:rPr>
              <w:t>19.5</w:t>
            </w:r>
          </w:p>
        </w:tc>
        <w:tc>
          <w:tcPr>
            <w:tcW w:w="926" w:type="dxa"/>
            <w:tcBorders>
              <w:bottom w:val="single" w:sz="4" w:space="0" w:color="BFBFBF" w:themeColor="accent2"/>
            </w:tcBorders>
            <w:hideMark/>
          </w:tcPr>
          <w:p w14:paraId="223B243D" w14:textId="77777777" w:rsidR="005E2BB1" w:rsidRPr="00F45F11" w:rsidRDefault="005E2BB1" w:rsidP="0093234E">
            <w:pPr>
              <w:pStyle w:val="ARtabletextright"/>
              <w:rPr>
                <w:lang w:eastAsia="en-AU"/>
              </w:rPr>
            </w:pPr>
            <w:r w:rsidRPr="00F45F11">
              <w:rPr>
                <w:lang w:eastAsia="en-AU"/>
              </w:rPr>
              <w:t>9</w:t>
            </w:r>
          </w:p>
        </w:tc>
        <w:tc>
          <w:tcPr>
            <w:tcW w:w="926" w:type="dxa"/>
            <w:tcBorders>
              <w:bottom w:val="single" w:sz="4" w:space="0" w:color="BFBFBF" w:themeColor="accent2"/>
            </w:tcBorders>
            <w:hideMark/>
          </w:tcPr>
          <w:p w14:paraId="51E9ED22" w14:textId="77777777" w:rsidR="005E2BB1" w:rsidRPr="00F45F11" w:rsidRDefault="005E2BB1" w:rsidP="0093234E">
            <w:pPr>
              <w:pStyle w:val="ARtabletextright"/>
              <w:rPr>
                <w:lang w:eastAsia="en-AU"/>
              </w:rPr>
            </w:pPr>
            <w:r w:rsidRPr="00F45F11">
              <w:rPr>
                <w:lang w:eastAsia="en-AU"/>
              </w:rPr>
              <w:t>5</w:t>
            </w:r>
          </w:p>
        </w:tc>
        <w:tc>
          <w:tcPr>
            <w:tcW w:w="927" w:type="dxa"/>
            <w:tcBorders>
              <w:bottom w:val="single" w:sz="4" w:space="0" w:color="BFBFBF" w:themeColor="accent2"/>
            </w:tcBorders>
            <w:hideMark/>
          </w:tcPr>
          <w:p w14:paraId="163B1B4E" w14:textId="77777777" w:rsidR="005E2BB1" w:rsidRPr="00F45F11" w:rsidRDefault="005E2BB1" w:rsidP="0093234E">
            <w:pPr>
              <w:pStyle w:val="ARtabletextright"/>
              <w:rPr>
                <w:lang w:eastAsia="en-AU"/>
              </w:rPr>
            </w:pPr>
            <w:r w:rsidRPr="00F45F11">
              <w:rPr>
                <w:lang w:eastAsia="en-AU"/>
              </w:rPr>
              <w:t>12.5</w:t>
            </w:r>
          </w:p>
        </w:tc>
        <w:tc>
          <w:tcPr>
            <w:tcW w:w="1057" w:type="dxa"/>
            <w:tcBorders>
              <w:bottom w:val="single" w:sz="4" w:space="0" w:color="BFBFBF" w:themeColor="accent2"/>
            </w:tcBorders>
            <w:shd w:val="clear" w:color="auto" w:fill="E7E6E6" w:themeFill="background2"/>
            <w:hideMark/>
          </w:tcPr>
          <w:p w14:paraId="74932CAA" w14:textId="77777777" w:rsidR="005E2BB1" w:rsidRPr="00F45F11" w:rsidRDefault="005E2BB1" w:rsidP="0093234E">
            <w:pPr>
              <w:pStyle w:val="ARtabletextright"/>
              <w:rPr>
                <w:lang w:eastAsia="en-AU"/>
              </w:rPr>
            </w:pPr>
            <w:r w:rsidRPr="00F45F11">
              <w:rPr>
                <w:lang w:eastAsia="en-AU"/>
              </w:rPr>
              <w:t>8</w:t>
            </w:r>
          </w:p>
        </w:tc>
        <w:tc>
          <w:tcPr>
            <w:tcW w:w="927" w:type="dxa"/>
            <w:tcBorders>
              <w:bottom w:val="single" w:sz="4" w:space="0" w:color="BFBFBF" w:themeColor="accent2"/>
            </w:tcBorders>
            <w:shd w:val="clear" w:color="auto" w:fill="E7E6E6" w:themeFill="background2"/>
            <w:hideMark/>
          </w:tcPr>
          <w:p w14:paraId="4D2571D7" w14:textId="77777777" w:rsidR="005E2BB1" w:rsidRPr="00F45F11" w:rsidRDefault="005E2BB1" w:rsidP="0093234E">
            <w:pPr>
              <w:pStyle w:val="ARtabletextright"/>
              <w:rPr>
                <w:lang w:eastAsia="en-AU"/>
              </w:rPr>
            </w:pPr>
            <w:r w:rsidRPr="00F45F11">
              <w:rPr>
                <w:lang w:eastAsia="en-AU"/>
              </w:rPr>
              <w:t>7.0</w:t>
            </w:r>
          </w:p>
        </w:tc>
        <w:tc>
          <w:tcPr>
            <w:tcW w:w="1057" w:type="dxa"/>
            <w:tcBorders>
              <w:bottom w:val="single" w:sz="4" w:space="0" w:color="BFBFBF" w:themeColor="accent2"/>
            </w:tcBorders>
            <w:hideMark/>
          </w:tcPr>
          <w:p w14:paraId="308D1727" w14:textId="77777777" w:rsidR="005E2BB1" w:rsidRPr="00F45F11" w:rsidRDefault="005E2BB1" w:rsidP="0093234E">
            <w:pPr>
              <w:pStyle w:val="ARtabletextright"/>
              <w:rPr>
                <w:lang w:eastAsia="en-AU"/>
              </w:rPr>
            </w:pPr>
            <w:r w:rsidRPr="00F45F11">
              <w:rPr>
                <w:lang w:eastAsia="en-AU"/>
              </w:rPr>
              <w:t>37</w:t>
            </w:r>
          </w:p>
        </w:tc>
        <w:tc>
          <w:tcPr>
            <w:tcW w:w="927" w:type="dxa"/>
            <w:tcBorders>
              <w:bottom w:val="single" w:sz="4" w:space="0" w:color="BFBFBF" w:themeColor="accent2"/>
            </w:tcBorders>
            <w:hideMark/>
          </w:tcPr>
          <w:p w14:paraId="2FBE090A" w14:textId="77777777" w:rsidR="005E2BB1" w:rsidRPr="00F45F11" w:rsidRDefault="005E2BB1" w:rsidP="0093234E">
            <w:pPr>
              <w:pStyle w:val="ARtabletextright"/>
              <w:rPr>
                <w:lang w:eastAsia="en-AU"/>
              </w:rPr>
            </w:pPr>
            <w:r w:rsidRPr="00F45F11">
              <w:rPr>
                <w:lang w:eastAsia="en-AU"/>
              </w:rPr>
              <w:t>25.8</w:t>
            </w:r>
          </w:p>
        </w:tc>
        <w:tc>
          <w:tcPr>
            <w:tcW w:w="926" w:type="dxa"/>
            <w:tcBorders>
              <w:bottom w:val="single" w:sz="4" w:space="0" w:color="BFBFBF" w:themeColor="accent2"/>
            </w:tcBorders>
            <w:shd w:val="clear" w:color="auto" w:fill="E7E6E6" w:themeFill="background2"/>
            <w:hideMark/>
          </w:tcPr>
          <w:p w14:paraId="286D7E41" w14:textId="77777777" w:rsidR="005E2BB1" w:rsidRPr="00F45F11" w:rsidRDefault="005E2BB1" w:rsidP="0093234E">
            <w:pPr>
              <w:pStyle w:val="ARtabletextright"/>
              <w:rPr>
                <w:lang w:eastAsia="en-AU"/>
              </w:rPr>
            </w:pPr>
            <w:r w:rsidRPr="00F45F11">
              <w:rPr>
                <w:lang w:eastAsia="en-AU"/>
              </w:rPr>
              <w:t>10</w:t>
            </w:r>
          </w:p>
        </w:tc>
        <w:tc>
          <w:tcPr>
            <w:tcW w:w="926" w:type="dxa"/>
            <w:tcBorders>
              <w:bottom w:val="single" w:sz="4" w:space="0" w:color="BFBFBF" w:themeColor="accent2"/>
            </w:tcBorders>
            <w:shd w:val="clear" w:color="auto" w:fill="E7E6E6" w:themeFill="background2"/>
            <w:hideMark/>
          </w:tcPr>
          <w:p w14:paraId="0B91513E" w14:textId="77777777" w:rsidR="005E2BB1" w:rsidRPr="00F45F11" w:rsidRDefault="005E2BB1" w:rsidP="0093234E">
            <w:pPr>
              <w:pStyle w:val="ARtabletextright"/>
              <w:rPr>
                <w:lang w:eastAsia="en-AU"/>
              </w:rPr>
            </w:pPr>
            <w:r w:rsidRPr="00F45F11">
              <w:rPr>
                <w:lang w:eastAsia="en-AU"/>
              </w:rPr>
              <w:t>16</w:t>
            </w:r>
          </w:p>
        </w:tc>
        <w:tc>
          <w:tcPr>
            <w:tcW w:w="927" w:type="dxa"/>
            <w:tcBorders>
              <w:bottom w:val="single" w:sz="4" w:space="0" w:color="BFBFBF" w:themeColor="accent2"/>
            </w:tcBorders>
            <w:shd w:val="clear" w:color="auto" w:fill="E7E6E6" w:themeFill="background2"/>
            <w:hideMark/>
          </w:tcPr>
          <w:p w14:paraId="60E671E4" w14:textId="77777777" w:rsidR="005E2BB1" w:rsidRPr="00F45F11" w:rsidRDefault="005E2BB1" w:rsidP="0093234E">
            <w:pPr>
              <w:pStyle w:val="ARtabletextright"/>
              <w:rPr>
                <w:lang w:eastAsia="en-AU"/>
              </w:rPr>
            </w:pPr>
            <w:r w:rsidRPr="00F45F11">
              <w:rPr>
                <w:lang w:eastAsia="en-AU"/>
              </w:rPr>
              <w:t>18.3</w:t>
            </w:r>
          </w:p>
        </w:tc>
        <w:tc>
          <w:tcPr>
            <w:tcW w:w="1057" w:type="dxa"/>
            <w:tcBorders>
              <w:bottom w:val="single" w:sz="4" w:space="0" w:color="BFBFBF" w:themeColor="accent2"/>
            </w:tcBorders>
            <w:hideMark/>
          </w:tcPr>
          <w:p w14:paraId="03AC24C7" w14:textId="77777777" w:rsidR="005E2BB1" w:rsidRPr="00F45F11" w:rsidRDefault="005E2BB1" w:rsidP="0093234E">
            <w:pPr>
              <w:pStyle w:val="ARtabletextright"/>
              <w:rPr>
                <w:lang w:eastAsia="en-AU"/>
              </w:rPr>
            </w:pPr>
            <w:r w:rsidRPr="00F45F11">
              <w:rPr>
                <w:lang w:eastAsia="en-AU"/>
              </w:rPr>
              <w:t>11</w:t>
            </w:r>
          </w:p>
        </w:tc>
        <w:tc>
          <w:tcPr>
            <w:tcW w:w="927" w:type="dxa"/>
            <w:tcBorders>
              <w:bottom w:val="single" w:sz="4" w:space="0" w:color="BFBFBF" w:themeColor="accent2"/>
            </w:tcBorders>
            <w:hideMark/>
          </w:tcPr>
          <w:p w14:paraId="7E0B9DD0" w14:textId="77777777" w:rsidR="005E2BB1" w:rsidRPr="00F45F11" w:rsidRDefault="005E2BB1" w:rsidP="0093234E">
            <w:pPr>
              <w:pStyle w:val="ARtabletextright"/>
              <w:rPr>
                <w:lang w:eastAsia="en-AU"/>
              </w:rPr>
            </w:pPr>
            <w:r w:rsidRPr="00F45F11">
              <w:rPr>
                <w:lang w:eastAsia="en-AU"/>
              </w:rPr>
              <w:t>7.6</w:t>
            </w:r>
          </w:p>
        </w:tc>
      </w:tr>
      <w:tr w:rsidR="005E2BB1" w:rsidRPr="00F45F11" w14:paraId="5D3796D1"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tcBorders>
              <w:top w:val="single" w:sz="4" w:space="0" w:color="BFBFBF" w:themeColor="accent2"/>
              <w:bottom w:val="single" w:sz="4" w:space="0" w:color="auto"/>
            </w:tcBorders>
            <w:hideMark/>
          </w:tcPr>
          <w:p w14:paraId="334C0FA6" w14:textId="77777777" w:rsidR="005E2BB1" w:rsidRPr="00F45F11" w:rsidRDefault="005E2BB1" w:rsidP="0093234E">
            <w:pPr>
              <w:pStyle w:val="ARTabletext"/>
              <w:rPr>
                <w:lang w:eastAsia="en-AU"/>
              </w:rPr>
            </w:pPr>
            <w:r w:rsidRPr="00F45F11">
              <w:rPr>
                <w:lang w:eastAsia="en-AU"/>
              </w:rPr>
              <w:t>AH 4</w:t>
            </w:r>
          </w:p>
        </w:tc>
        <w:tc>
          <w:tcPr>
            <w:tcW w:w="992" w:type="dxa"/>
            <w:tcBorders>
              <w:top w:val="single" w:sz="4" w:space="0" w:color="BFBFBF" w:themeColor="accent2"/>
              <w:bottom w:val="single" w:sz="4" w:space="0" w:color="auto"/>
            </w:tcBorders>
            <w:shd w:val="clear" w:color="auto" w:fill="E7E6E6" w:themeFill="background2"/>
            <w:hideMark/>
          </w:tcPr>
          <w:p w14:paraId="08010F67" w14:textId="77777777" w:rsidR="005E2BB1" w:rsidRPr="00F45F11" w:rsidRDefault="005E2BB1" w:rsidP="0093234E">
            <w:pPr>
              <w:pStyle w:val="ARtabletextright"/>
              <w:rPr>
                <w:lang w:eastAsia="en-AU"/>
              </w:rPr>
            </w:pPr>
            <w:r w:rsidRPr="00F45F11">
              <w:rPr>
                <w:lang w:eastAsia="en-AU"/>
              </w:rPr>
              <w:t>3</w:t>
            </w:r>
          </w:p>
        </w:tc>
        <w:tc>
          <w:tcPr>
            <w:tcW w:w="992" w:type="dxa"/>
            <w:tcBorders>
              <w:top w:val="single" w:sz="4" w:space="0" w:color="BFBFBF" w:themeColor="accent2"/>
              <w:bottom w:val="single" w:sz="4" w:space="0" w:color="auto"/>
            </w:tcBorders>
            <w:shd w:val="clear" w:color="auto" w:fill="E7E6E6" w:themeFill="background2"/>
            <w:hideMark/>
          </w:tcPr>
          <w:p w14:paraId="2BB88975" w14:textId="77777777" w:rsidR="005E2BB1" w:rsidRPr="00F45F11" w:rsidRDefault="005E2BB1" w:rsidP="0093234E">
            <w:pPr>
              <w:pStyle w:val="ARtabletextright"/>
              <w:rPr>
                <w:lang w:eastAsia="en-AU"/>
              </w:rPr>
            </w:pPr>
            <w:r w:rsidRPr="00F45F11">
              <w:rPr>
                <w:lang w:eastAsia="en-AU"/>
              </w:rPr>
              <w:t>2.8</w:t>
            </w:r>
          </w:p>
        </w:tc>
        <w:tc>
          <w:tcPr>
            <w:tcW w:w="926" w:type="dxa"/>
            <w:tcBorders>
              <w:top w:val="single" w:sz="4" w:space="0" w:color="BFBFBF" w:themeColor="accent2"/>
              <w:bottom w:val="single" w:sz="4" w:space="0" w:color="auto"/>
            </w:tcBorders>
            <w:hideMark/>
          </w:tcPr>
          <w:p w14:paraId="617E1954" w14:textId="77777777" w:rsidR="005E2BB1" w:rsidRPr="00F45F11" w:rsidRDefault="005E2BB1" w:rsidP="0093234E">
            <w:pPr>
              <w:pStyle w:val="ARtabletextright"/>
              <w:rPr>
                <w:lang w:eastAsia="en-AU"/>
              </w:rPr>
            </w:pPr>
            <w:r w:rsidRPr="00F45F11">
              <w:rPr>
                <w:lang w:eastAsia="en-AU"/>
              </w:rPr>
              <w:t>1</w:t>
            </w:r>
          </w:p>
        </w:tc>
        <w:tc>
          <w:tcPr>
            <w:tcW w:w="926" w:type="dxa"/>
            <w:tcBorders>
              <w:top w:val="single" w:sz="4" w:space="0" w:color="BFBFBF" w:themeColor="accent2"/>
              <w:bottom w:val="single" w:sz="4" w:space="0" w:color="auto"/>
            </w:tcBorders>
            <w:hideMark/>
          </w:tcPr>
          <w:p w14:paraId="3D9EA4D3" w14:textId="77777777" w:rsidR="005E2BB1" w:rsidRPr="00F45F11" w:rsidRDefault="005E2BB1" w:rsidP="0093234E">
            <w:pPr>
              <w:pStyle w:val="ARtabletextright"/>
              <w:rPr>
                <w:lang w:eastAsia="en-AU"/>
              </w:rPr>
            </w:pPr>
            <w:r w:rsidRPr="00F45F11">
              <w:rPr>
                <w:lang w:eastAsia="en-AU"/>
              </w:rPr>
              <w:t>1</w:t>
            </w:r>
          </w:p>
        </w:tc>
        <w:tc>
          <w:tcPr>
            <w:tcW w:w="927" w:type="dxa"/>
            <w:tcBorders>
              <w:top w:val="single" w:sz="4" w:space="0" w:color="BFBFBF" w:themeColor="accent2"/>
              <w:bottom w:val="single" w:sz="4" w:space="0" w:color="auto"/>
            </w:tcBorders>
            <w:hideMark/>
          </w:tcPr>
          <w:p w14:paraId="0A260F6B" w14:textId="77777777" w:rsidR="005E2BB1" w:rsidRPr="00F45F11" w:rsidRDefault="005E2BB1" w:rsidP="0093234E">
            <w:pPr>
              <w:pStyle w:val="ARtabletextright"/>
              <w:rPr>
                <w:lang w:eastAsia="en-AU"/>
              </w:rPr>
            </w:pPr>
            <w:r w:rsidRPr="00F45F11">
              <w:rPr>
                <w:lang w:eastAsia="en-AU"/>
              </w:rPr>
              <w:t>1.8</w:t>
            </w:r>
          </w:p>
        </w:tc>
        <w:tc>
          <w:tcPr>
            <w:tcW w:w="1057" w:type="dxa"/>
            <w:tcBorders>
              <w:top w:val="single" w:sz="4" w:space="0" w:color="BFBFBF" w:themeColor="accent2"/>
              <w:bottom w:val="single" w:sz="4" w:space="0" w:color="auto"/>
            </w:tcBorders>
            <w:shd w:val="clear" w:color="auto" w:fill="E7E6E6" w:themeFill="background2"/>
            <w:hideMark/>
          </w:tcPr>
          <w:p w14:paraId="712A2A66" w14:textId="77777777" w:rsidR="005E2BB1" w:rsidRPr="00F45F11" w:rsidRDefault="005E2BB1" w:rsidP="0093234E">
            <w:pPr>
              <w:pStyle w:val="ARtabletextright"/>
              <w:rPr>
                <w:lang w:eastAsia="en-AU"/>
              </w:rPr>
            </w:pPr>
            <w:r w:rsidRPr="00F45F11">
              <w:rPr>
                <w:lang w:eastAsia="en-AU"/>
              </w:rPr>
              <w:t>1</w:t>
            </w:r>
          </w:p>
        </w:tc>
        <w:tc>
          <w:tcPr>
            <w:tcW w:w="927" w:type="dxa"/>
            <w:tcBorders>
              <w:top w:val="single" w:sz="4" w:space="0" w:color="BFBFBF" w:themeColor="accent2"/>
              <w:bottom w:val="single" w:sz="4" w:space="0" w:color="auto"/>
            </w:tcBorders>
            <w:shd w:val="clear" w:color="auto" w:fill="E7E6E6" w:themeFill="background2"/>
            <w:hideMark/>
          </w:tcPr>
          <w:p w14:paraId="79A98389" w14:textId="77777777" w:rsidR="005E2BB1" w:rsidRPr="00F45F11" w:rsidRDefault="005E2BB1" w:rsidP="0093234E">
            <w:pPr>
              <w:pStyle w:val="ARtabletextright"/>
              <w:rPr>
                <w:lang w:eastAsia="en-AU"/>
              </w:rPr>
            </w:pPr>
            <w:r w:rsidRPr="00F45F11">
              <w:rPr>
                <w:lang w:eastAsia="en-AU"/>
              </w:rPr>
              <w:t>1.0</w:t>
            </w:r>
          </w:p>
        </w:tc>
        <w:tc>
          <w:tcPr>
            <w:tcW w:w="1057" w:type="dxa"/>
            <w:tcBorders>
              <w:top w:val="single" w:sz="4" w:space="0" w:color="BFBFBF" w:themeColor="accent2"/>
              <w:bottom w:val="single" w:sz="4" w:space="0" w:color="auto"/>
            </w:tcBorders>
            <w:hideMark/>
          </w:tcPr>
          <w:p w14:paraId="772821F7" w14:textId="77777777" w:rsidR="005E2BB1" w:rsidRPr="00F45F11" w:rsidRDefault="005E2BB1" w:rsidP="0093234E">
            <w:pPr>
              <w:pStyle w:val="ARtabletextright"/>
              <w:rPr>
                <w:lang w:eastAsia="en-AU"/>
              </w:rPr>
            </w:pPr>
            <w:r w:rsidRPr="00F45F11">
              <w:rPr>
                <w:lang w:eastAsia="en-AU"/>
              </w:rPr>
              <w:t>4</w:t>
            </w:r>
          </w:p>
        </w:tc>
        <w:tc>
          <w:tcPr>
            <w:tcW w:w="927" w:type="dxa"/>
            <w:tcBorders>
              <w:top w:val="single" w:sz="4" w:space="0" w:color="BFBFBF" w:themeColor="accent2"/>
              <w:bottom w:val="single" w:sz="4" w:space="0" w:color="auto"/>
            </w:tcBorders>
            <w:hideMark/>
          </w:tcPr>
          <w:p w14:paraId="59AC0308" w14:textId="77777777" w:rsidR="005E2BB1" w:rsidRPr="00F45F11" w:rsidRDefault="005E2BB1" w:rsidP="0093234E">
            <w:pPr>
              <w:pStyle w:val="ARtabletextright"/>
              <w:rPr>
                <w:lang w:eastAsia="en-AU"/>
              </w:rPr>
            </w:pPr>
            <w:r w:rsidRPr="00F45F11">
              <w:rPr>
                <w:lang w:eastAsia="en-AU"/>
              </w:rPr>
              <w:t>4.0</w:t>
            </w:r>
          </w:p>
        </w:tc>
        <w:tc>
          <w:tcPr>
            <w:tcW w:w="926" w:type="dxa"/>
            <w:tcBorders>
              <w:top w:val="single" w:sz="4" w:space="0" w:color="BFBFBF" w:themeColor="accent2"/>
              <w:bottom w:val="single" w:sz="4" w:space="0" w:color="auto"/>
            </w:tcBorders>
            <w:shd w:val="clear" w:color="auto" w:fill="E7E6E6" w:themeFill="background2"/>
            <w:hideMark/>
          </w:tcPr>
          <w:p w14:paraId="36FD1EF3" w14:textId="77777777" w:rsidR="005E2BB1" w:rsidRPr="00F45F11" w:rsidRDefault="005E2BB1" w:rsidP="0093234E">
            <w:pPr>
              <w:pStyle w:val="ARtabletextright"/>
              <w:rPr>
                <w:lang w:eastAsia="en-AU"/>
              </w:rPr>
            </w:pPr>
            <w:r w:rsidRPr="00F45F11">
              <w:rPr>
                <w:lang w:eastAsia="en-AU"/>
              </w:rPr>
              <w:t>3</w:t>
            </w:r>
          </w:p>
        </w:tc>
        <w:tc>
          <w:tcPr>
            <w:tcW w:w="926" w:type="dxa"/>
            <w:tcBorders>
              <w:top w:val="single" w:sz="4" w:space="0" w:color="BFBFBF" w:themeColor="accent2"/>
              <w:bottom w:val="single" w:sz="4" w:space="0" w:color="auto"/>
            </w:tcBorders>
            <w:shd w:val="clear" w:color="auto" w:fill="E7E6E6" w:themeFill="background2"/>
            <w:hideMark/>
          </w:tcPr>
          <w:p w14:paraId="27993056" w14:textId="77777777" w:rsidR="005E2BB1" w:rsidRPr="00F45F11" w:rsidRDefault="005E2BB1" w:rsidP="0093234E">
            <w:pPr>
              <w:pStyle w:val="ARtabletextright"/>
              <w:rPr>
                <w:lang w:eastAsia="en-AU"/>
              </w:rPr>
            </w:pPr>
            <w:r w:rsidRPr="00F45F11">
              <w:rPr>
                <w:lang w:eastAsia="en-AU"/>
              </w:rPr>
              <w:t>0</w:t>
            </w:r>
          </w:p>
        </w:tc>
        <w:tc>
          <w:tcPr>
            <w:tcW w:w="927" w:type="dxa"/>
            <w:tcBorders>
              <w:top w:val="single" w:sz="4" w:space="0" w:color="BFBFBF" w:themeColor="accent2"/>
              <w:bottom w:val="single" w:sz="4" w:space="0" w:color="auto"/>
            </w:tcBorders>
            <w:shd w:val="clear" w:color="auto" w:fill="E7E6E6" w:themeFill="background2"/>
            <w:hideMark/>
          </w:tcPr>
          <w:p w14:paraId="3AE027D6" w14:textId="77777777" w:rsidR="005E2BB1" w:rsidRPr="00F45F11" w:rsidRDefault="005E2BB1" w:rsidP="0093234E">
            <w:pPr>
              <w:pStyle w:val="ARtabletextright"/>
              <w:rPr>
                <w:lang w:eastAsia="en-AU"/>
              </w:rPr>
            </w:pPr>
            <w:r w:rsidRPr="00F45F11">
              <w:rPr>
                <w:lang w:eastAsia="en-AU"/>
              </w:rPr>
              <w:t>3.0</w:t>
            </w:r>
          </w:p>
        </w:tc>
        <w:tc>
          <w:tcPr>
            <w:tcW w:w="1057" w:type="dxa"/>
            <w:tcBorders>
              <w:top w:val="single" w:sz="4" w:space="0" w:color="BFBFBF" w:themeColor="accent2"/>
              <w:bottom w:val="single" w:sz="4" w:space="0" w:color="auto"/>
            </w:tcBorders>
            <w:hideMark/>
          </w:tcPr>
          <w:p w14:paraId="4465195B" w14:textId="77777777" w:rsidR="005E2BB1" w:rsidRPr="00F45F11" w:rsidRDefault="005E2BB1" w:rsidP="0093234E">
            <w:pPr>
              <w:pStyle w:val="ARtabletextright"/>
              <w:rPr>
                <w:lang w:eastAsia="en-AU"/>
              </w:rPr>
            </w:pPr>
            <w:r w:rsidRPr="00F45F11">
              <w:rPr>
                <w:lang w:eastAsia="en-AU"/>
              </w:rPr>
              <w:t>1</w:t>
            </w:r>
          </w:p>
        </w:tc>
        <w:tc>
          <w:tcPr>
            <w:tcW w:w="927" w:type="dxa"/>
            <w:tcBorders>
              <w:top w:val="single" w:sz="4" w:space="0" w:color="BFBFBF" w:themeColor="accent2"/>
              <w:bottom w:val="single" w:sz="4" w:space="0" w:color="auto"/>
            </w:tcBorders>
            <w:hideMark/>
          </w:tcPr>
          <w:p w14:paraId="758A7F03" w14:textId="77777777" w:rsidR="005E2BB1" w:rsidRPr="00F45F11" w:rsidRDefault="005E2BB1" w:rsidP="0093234E">
            <w:pPr>
              <w:pStyle w:val="ARtabletextright"/>
              <w:rPr>
                <w:lang w:eastAsia="en-AU"/>
              </w:rPr>
            </w:pPr>
            <w:r w:rsidRPr="00F45F11">
              <w:rPr>
                <w:lang w:eastAsia="en-AU"/>
              </w:rPr>
              <w:t>1.0</w:t>
            </w:r>
          </w:p>
        </w:tc>
      </w:tr>
      <w:tr w:rsidR="005E2BB1" w:rsidRPr="00F45F11" w14:paraId="1866F6BD"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tcBorders>
              <w:top w:val="single" w:sz="4" w:space="0" w:color="auto"/>
              <w:bottom w:val="single" w:sz="4" w:space="0" w:color="auto"/>
            </w:tcBorders>
            <w:hideMark/>
          </w:tcPr>
          <w:p w14:paraId="38A1AC2A" w14:textId="77777777" w:rsidR="005E2BB1" w:rsidRPr="00F45F11" w:rsidRDefault="005E2BB1" w:rsidP="0072004C">
            <w:pPr>
              <w:pStyle w:val="ARtabletextbold"/>
              <w:rPr>
                <w:lang w:eastAsia="en-AU"/>
              </w:rPr>
            </w:pPr>
            <w:r w:rsidRPr="00F45F11">
              <w:rPr>
                <w:lang w:eastAsia="en-AU"/>
              </w:rPr>
              <w:t>Total</w:t>
            </w:r>
          </w:p>
        </w:tc>
        <w:tc>
          <w:tcPr>
            <w:tcW w:w="992" w:type="dxa"/>
            <w:tcBorders>
              <w:top w:val="single" w:sz="4" w:space="0" w:color="auto"/>
              <w:bottom w:val="single" w:sz="4" w:space="0" w:color="auto"/>
            </w:tcBorders>
            <w:shd w:val="clear" w:color="auto" w:fill="E7E6E6" w:themeFill="background2"/>
            <w:hideMark/>
          </w:tcPr>
          <w:p w14:paraId="2D5691BD" w14:textId="77777777" w:rsidR="005E2BB1" w:rsidRPr="00F45F11" w:rsidRDefault="005E2BB1" w:rsidP="0072004C">
            <w:pPr>
              <w:pStyle w:val="ARtabletextrightbold"/>
              <w:rPr>
                <w:lang w:eastAsia="en-AU"/>
              </w:rPr>
            </w:pPr>
            <w:r w:rsidRPr="00F45F11">
              <w:rPr>
                <w:lang w:eastAsia="en-AU"/>
              </w:rPr>
              <w:t>29</w:t>
            </w:r>
          </w:p>
        </w:tc>
        <w:tc>
          <w:tcPr>
            <w:tcW w:w="992" w:type="dxa"/>
            <w:tcBorders>
              <w:top w:val="single" w:sz="4" w:space="0" w:color="auto"/>
              <w:bottom w:val="single" w:sz="4" w:space="0" w:color="auto"/>
            </w:tcBorders>
            <w:shd w:val="clear" w:color="auto" w:fill="E7E6E6" w:themeFill="background2"/>
            <w:hideMark/>
          </w:tcPr>
          <w:p w14:paraId="6D21C843" w14:textId="77777777" w:rsidR="005E2BB1" w:rsidRPr="00F45F11" w:rsidRDefault="005E2BB1" w:rsidP="0072004C">
            <w:pPr>
              <w:pStyle w:val="ARtabletextrightbold"/>
              <w:rPr>
                <w:lang w:eastAsia="en-AU"/>
              </w:rPr>
            </w:pPr>
            <w:r w:rsidRPr="00F45F11">
              <w:rPr>
                <w:lang w:eastAsia="en-AU"/>
              </w:rPr>
              <w:t>25.9</w:t>
            </w:r>
          </w:p>
        </w:tc>
        <w:tc>
          <w:tcPr>
            <w:tcW w:w="926" w:type="dxa"/>
            <w:tcBorders>
              <w:top w:val="single" w:sz="4" w:space="0" w:color="auto"/>
              <w:bottom w:val="single" w:sz="4" w:space="0" w:color="auto"/>
            </w:tcBorders>
            <w:hideMark/>
          </w:tcPr>
          <w:p w14:paraId="440CB2EB" w14:textId="77777777" w:rsidR="005E2BB1" w:rsidRPr="00F45F11" w:rsidRDefault="005E2BB1" w:rsidP="0072004C">
            <w:pPr>
              <w:pStyle w:val="ARtabletextrightbold"/>
              <w:rPr>
                <w:lang w:eastAsia="en-AU"/>
              </w:rPr>
            </w:pPr>
            <w:r w:rsidRPr="00F45F11">
              <w:rPr>
                <w:lang w:eastAsia="en-AU"/>
              </w:rPr>
              <w:t>13</w:t>
            </w:r>
          </w:p>
        </w:tc>
        <w:tc>
          <w:tcPr>
            <w:tcW w:w="926" w:type="dxa"/>
            <w:tcBorders>
              <w:top w:val="single" w:sz="4" w:space="0" w:color="auto"/>
              <w:bottom w:val="single" w:sz="4" w:space="0" w:color="auto"/>
            </w:tcBorders>
            <w:hideMark/>
          </w:tcPr>
          <w:p w14:paraId="3638AF86" w14:textId="77777777" w:rsidR="005E2BB1" w:rsidRPr="00F45F11" w:rsidRDefault="005E2BB1" w:rsidP="0072004C">
            <w:pPr>
              <w:pStyle w:val="ARtabletextrightbold"/>
              <w:rPr>
                <w:lang w:eastAsia="en-AU"/>
              </w:rPr>
            </w:pPr>
            <w:r w:rsidRPr="00F45F11">
              <w:rPr>
                <w:lang w:eastAsia="en-AU"/>
              </w:rPr>
              <w:t>7</w:t>
            </w:r>
          </w:p>
        </w:tc>
        <w:tc>
          <w:tcPr>
            <w:tcW w:w="927" w:type="dxa"/>
            <w:tcBorders>
              <w:top w:val="single" w:sz="4" w:space="0" w:color="auto"/>
              <w:bottom w:val="single" w:sz="4" w:space="0" w:color="auto"/>
            </w:tcBorders>
            <w:hideMark/>
          </w:tcPr>
          <w:p w14:paraId="37B26C77" w14:textId="77777777" w:rsidR="005E2BB1" w:rsidRPr="00F45F11" w:rsidRDefault="005E2BB1" w:rsidP="0072004C">
            <w:pPr>
              <w:pStyle w:val="ARtabletextrightbold"/>
              <w:rPr>
                <w:lang w:eastAsia="en-AU"/>
              </w:rPr>
            </w:pPr>
            <w:r w:rsidRPr="00F45F11">
              <w:rPr>
                <w:lang w:eastAsia="en-AU"/>
              </w:rPr>
              <w:t>17.9</w:t>
            </w:r>
          </w:p>
        </w:tc>
        <w:tc>
          <w:tcPr>
            <w:tcW w:w="1057" w:type="dxa"/>
            <w:tcBorders>
              <w:top w:val="single" w:sz="4" w:space="0" w:color="auto"/>
              <w:bottom w:val="single" w:sz="4" w:space="0" w:color="auto"/>
            </w:tcBorders>
            <w:shd w:val="clear" w:color="auto" w:fill="E7E6E6" w:themeFill="background2"/>
            <w:hideMark/>
          </w:tcPr>
          <w:p w14:paraId="52F7E154" w14:textId="77777777" w:rsidR="005E2BB1" w:rsidRPr="00F45F11" w:rsidRDefault="005E2BB1" w:rsidP="0072004C">
            <w:pPr>
              <w:pStyle w:val="ARtabletextrightbold"/>
              <w:rPr>
                <w:lang w:eastAsia="en-AU"/>
              </w:rPr>
            </w:pPr>
            <w:r w:rsidRPr="00F45F11">
              <w:rPr>
                <w:lang w:eastAsia="en-AU"/>
              </w:rPr>
              <w:t>9</w:t>
            </w:r>
          </w:p>
        </w:tc>
        <w:tc>
          <w:tcPr>
            <w:tcW w:w="927" w:type="dxa"/>
            <w:tcBorders>
              <w:top w:val="single" w:sz="4" w:space="0" w:color="auto"/>
              <w:bottom w:val="single" w:sz="4" w:space="0" w:color="auto"/>
            </w:tcBorders>
            <w:shd w:val="clear" w:color="auto" w:fill="E7E6E6" w:themeFill="background2"/>
            <w:hideMark/>
          </w:tcPr>
          <w:p w14:paraId="0A8C3407" w14:textId="77777777" w:rsidR="005E2BB1" w:rsidRPr="00F45F11" w:rsidRDefault="005E2BB1" w:rsidP="0072004C">
            <w:pPr>
              <w:pStyle w:val="ARtabletextrightbold"/>
              <w:rPr>
                <w:lang w:eastAsia="en-AU"/>
              </w:rPr>
            </w:pPr>
            <w:r w:rsidRPr="00F45F11">
              <w:rPr>
                <w:lang w:eastAsia="en-AU"/>
              </w:rPr>
              <w:t>8.0</w:t>
            </w:r>
          </w:p>
        </w:tc>
        <w:tc>
          <w:tcPr>
            <w:tcW w:w="1057" w:type="dxa"/>
            <w:tcBorders>
              <w:top w:val="single" w:sz="4" w:space="0" w:color="auto"/>
              <w:bottom w:val="single" w:sz="4" w:space="0" w:color="auto"/>
            </w:tcBorders>
            <w:hideMark/>
          </w:tcPr>
          <w:p w14:paraId="3FB4A239" w14:textId="77777777" w:rsidR="005E2BB1" w:rsidRPr="00F45F11" w:rsidRDefault="005E2BB1" w:rsidP="0072004C">
            <w:pPr>
              <w:pStyle w:val="ARtabletextrightbold"/>
              <w:rPr>
                <w:lang w:eastAsia="en-AU"/>
              </w:rPr>
            </w:pPr>
            <w:r w:rsidRPr="00F45F11">
              <w:rPr>
                <w:lang w:eastAsia="en-AU"/>
              </w:rPr>
              <w:t>49</w:t>
            </w:r>
          </w:p>
        </w:tc>
        <w:tc>
          <w:tcPr>
            <w:tcW w:w="927" w:type="dxa"/>
            <w:tcBorders>
              <w:top w:val="single" w:sz="4" w:space="0" w:color="auto"/>
              <w:bottom w:val="single" w:sz="4" w:space="0" w:color="auto"/>
            </w:tcBorders>
            <w:hideMark/>
          </w:tcPr>
          <w:p w14:paraId="0FC02898" w14:textId="77777777" w:rsidR="005E2BB1" w:rsidRPr="00F45F11" w:rsidRDefault="005E2BB1" w:rsidP="0072004C">
            <w:pPr>
              <w:pStyle w:val="ARtabletextrightbold"/>
              <w:rPr>
                <w:lang w:eastAsia="en-AU"/>
              </w:rPr>
            </w:pPr>
            <w:r w:rsidRPr="00F45F11">
              <w:rPr>
                <w:lang w:eastAsia="en-AU"/>
              </w:rPr>
              <w:t>37.4</w:t>
            </w:r>
          </w:p>
        </w:tc>
        <w:tc>
          <w:tcPr>
            <w:tcW w:w="926" w:type="dxa"/>
            <w:tcBorders>
              <w:top w:val="single" w:sz="4" w:space="0" w:color="auto"/>
              <w:bottom w:val="single" w:sz="4" w:space="0" w:color="auto"/>
            </w:tcBorders>
            <w:shd w:val="clear" w:color="auto" w:fill="E7E6E6" w:themeFill="background2"/>
            <w:hideMark/>
          </w:tcPr>
          <w:p w14:paraId="59E2186C" w14:textId="77777777" w:rsidR="005E2BB1" w:rsidRPr="00F45F11" w:rsidRDefault="005E2BB1" w:rsidP="0072004C">
            <w:pPr>
              <w:pStyle w:val="ARtabletextrightbold"/>
              <w:rPr>
                <w:lang w:eastAsia="en-AU"/>
              </w:rPr>
            </w:pPr>
            <w:r w:rsidRPr="00F45F11">
              <w:rPr>
                <w:lang w:eastAsia="en-AU"/>
              </w:rPr>
              <w:t>18</w:t>
            </w:r>
          </w:p>
        </w:tc>
        <w:tc>
          <w:tcPr>
            <w:tcW w:w="926" w:type="dxa"/>
            <w:tcBorders>
              <w:top w:val="single" w:sz="4" w:space="0" w:color="auto"/>
              <w:bottom w:val="single" w:sz="4" w:space="0" w:color="auto"/>
            </w:tcBorders>
            <w:shd w:val="clear" w:color="auto" w:fill="E7E6E6" w:themeFill="background2"/>
            <w:hideMark/>
          </w:tcPr>
          <w:p w14:paraId="51CFD2D5" w14:textId="77777777" w:rsidR="005E2BB1" w:rsidRPr="00F45F11" w:rsidRDefault="005E2BB1" w:rsidP="0072004C">
            <w:pPr>
              <w:pStyle w:val="ARtabletextrightbold"/>
              <w:rPr>
                <w:lang w:eastAsia="en-AU"/>
              </w:rPr>
            </w:pPr>
            <w:r w:rsidRPr="00F45F11">
              <w:rPr>
                <w:lang w:eastAsia="en-AU"/>
              </w:rPr>
              <w:t>17</w:t>
            </w:r>
          </w:p>
        </w:tc>
        <w:tc>
          <w:tcPr>
            <w:tcW w:w="927" w:type="dxa"/>
            <w:tcBorders>
              <w:top w:val="single" w:sz="4" w:space="0" w:color="auto"/>
              <w:bottom w:val="single" w:sz="4" w:space="0" w:color="auto"/>
            </w:tcBorders>
            <w:shd w:val="clear" w:color="auto" w:fill="E7E6E6" w:themeFill="background2"/>
            <w:hideMark/>
          </w:tcPr>
          <w:p w14:paraId="2CD808ED" w14:textId="77777777" w:rsidR="005E2BB1" w:rsidRPr="00F45F11" w:rsidRDefault="005E2BB1" w:rsidP="0072004C">
            <w:pPr>
              <w:pStyle w:val="ARtabletextrightbold"/>
              <w:rPr>
                <w:lang w:eastAsia="en-AU"/>
              </w:rPr>
            </w:pPr>
            <w:r w:rsidRPr="00F45F11">
              <w:rPr>
                <w:lang w:eastAsia="en-AU"/>
              </w:rPr>
              <w:t>26.9</w:t>
            </w:r>
          </w:p>
        </w:tc>
        <w:tc>
          <w:tcPr>
            <w:tcW w:w="1057" w:type="dxa"/>
            <w:tcBorders>
              <w:top w:val="single" w:sz="4" w:space="0" w:color="auto"/>
              <w:bottom w:val="single" w:sz="4" w:space="0" w:color="auto"/>
            </w:tcBorders>
            <w:hideMark/>
          </w:tcPr>
          <w:p w14:paraId="76DB33E0" w14:textId="77777777" w:rsidR="005E2BB1" w:rsidRPr="00F45F11" w:rsidRDefault="005E2BB1" w:rsidP="0072004C">
            <w:pPr>
              <w:pStyle w:val="ARtabletextrightbold"/>
              <w:rPr>
                <w:lang w:eastAsia="en-AU"/>
              </w:rPr>
            </w:pPr>
            <w:r w:rsidRPr="00F45F11">
              <w:rPr>
                <w:lang w:eastAsia="en-AU"/>
              </w:rPr>
              <w:t>14</w:t>
            </w:r>
          </w:p>
        </w:tc>
        <w:tc>
          <w:tcPr>
            <w:tcW w:w="927" w:type="dxa"/>
            <w:tcBorders>
              <w:top w:val="single" w:sz="4" w:space="0" w:color="auto"/>
              <w:bottom w:val="single" w:sz="4" w:space="0" w:color="auto"/>
            </w:tcBorders>
            <w:hideMark/>
          </w:tcPr>
          <w:p w14:paraId="52621907" w14:textId="77777777" w:rsidR="005E2BB1" w:rsidRPr="00F45F11" w:rsidRDefault="005E2BB1" w:rsidP="0072004C">
            <w:pPr>
              <w:pStyle w:val="ARtabletextrightbold"/>
              <w:rPr>
                <w:lang w:eastAsia="en-AU"/>
              </w:rPr>
            </w:pPr>
            <w:r w:rsidRPr="00F45F11">
              <w:rPr>
                <w:lang w:eastAsia="en-AU"/>
              </w:rPr>
              <w:t>10.6</w:t>
            </w:r>
          </w:p>
        </w:tc>
      </w:tr>
      <w:tr w:rsidR="00F659C1" w:rsidRPr="00F45F11" w14:paraId="63D60DB2"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tcPr>
          <w:p w14:paraId="67570F1E" w14:textId="1FD2B09F" w:rsidR="00F659C1" w:rsidRPr="00F45F11" w:rsidRDefault="00F659C1" w:rsidP="00F659C1">
            <w:pPr>
              <w:pStyle w:val="ARTabletextboldcoloured"/>
              <w:rPr>
                <w:lang w:eastAsia="en-AU"/>
              </w:rPr>
            </w:pPr>
            <w:r w:rsidRPr="00F45F11">
              <w:rPr>
                <w:lang w:eastAsia="en-AU"/>
              </w:rPr>
              <w:t>Disability Services</w:t>
            </w:r>
          </w:p>
        </w:tc>
        <w:tc>
          <w:tcPr>
            <w:tcW w:w="992" w:type="dxa"/>
          </w:tcPr>
          <w:p w14:paraId="11EBE331" w14:textId="77777777" w:rsidR="00F659C1" w:rsidRPr="00F45F11" w:rsidRDefault="00F659C1" w:rsidP="0093234E">
            <w:pPr>
              <w:pStyle w:val="ARtabletextright"/>
              <w:rPr>
                <w:lang w:eastAsia="en-AU"/>
              </w:rPr>
            </w:pPr>
          </w:p>
        </w:tc>
        <w:tc>
          <w:tcPr>
            <w:tcW w:w="992" w:type="dxa"/>
          </w:tcPr>
          <w:p w14:paraId="21779ADB" w14:textId="77777777" w:rsidR="00F659C1" w:rsidRPr="00F45F11" w:rsidRDefault="00F659C1" w:rsidP="0093234E">
            <w:pPr>
              <w:pStyle w:val="ARtabletextright"/>
              <w:rPr>
                <w:lang w:eastAsia="en-AU"/>
              </w:rPr>
            </w:pPr>
          </w:p>
        </w:tc>
        <w:tc>
          <w:tcPr>
            <w:tcW w:w="926" w:type="dxa"/>
          </w:tcPr>
          <w:p w14:paraId="047C850D" w14:textId="77777777" w:rsidR="00F659C1" w:rsidRPr="00F45F11" w:rsidRDefault="00F659C1" w:rsidP="0093234E">
            <w:pPr>
              <w:pStyle w:val="ARtabletextright"/>
              <w:rPr>
                <w:lang w:eastAsia="en-AU"/>
              </w:rPr>
            </w:pPr>
          </w:p>
        </w:tc>
        <w:tc>
          <w:tcPr>
            <w:tcW w:w="926" w:type="dxa"/>
          </w:tcPr>
          <w:p w14:paraId="3808EDC2" w14:textId="77777777" w:rsidR="00F659C1" w:rsidRPr="00F45F11" w:rsidRDefault="00F659C1" w:rsidP="0093234E">
            <w:pPr>
              <w:pStyle w:val="ARtabletextright"/>
              <w:rPr>
                <w:lang w:eastAsia="en-AU"/>
              </w:rPr>
            </w:pPr>
          </w:p>
        </w:tc>
        <w:tc>
          <w:tcPr>
            <w:tcW w:w="927" w:type="dxa"/>
          </w:tcPr>
          <w:p w14:paraId="4996017E" w14:textId="77777777" w:rsidR="00F659C1" w:rsidRPr="00F45F11" w:rsidRDefault="00F659C1" w:rsidP="0093234E">
            <w:pPr>
              <w:pStyle w:val="ARtabletextright"/>
              <w:rPr>
                <w:lang w:eastAsia="en-AU"/>
              </w:rPr>
            </w:pPr>
          </w:p>
        </w:tc>
        <w:tc>
          <w:tcPr>
            <w:tcW w:w="1057" w:type="dxa"/>
          </w:tcPr>
          <w:p w14:paraId="1AC42CB2" w14:textId="77777777" w:rsidR="00F659C1" w:rsidRPr="00F45F11" w:rsidRDefault="00F659C1" w:rsidP="0093234E">
            <w:pPr>
              <w:pStyle w:val="ARtabletextright"/>
              <w:rPr>
                <w:lang w:eastAsia="en-AU"/>
              </w:rPr>
            </w:pPr>
          </w:p>
        </w:tc>
        <w:tc>
          <w:tcPr>
            <w:tcW w:w="927" w:type="dxa"/>
          </w:tcPr>
          <w:p w14:paraId="72F36E0B" w14:textId="77777777" w:rsidR="00F659C1" w:rsidRPr="00F45F11" w:rsidRDefault="00F659C1" w:rsidP="0093234E">
            <w:pPr>
              <w:pStyle w:val="ARtabletextright"/>
              <w:rPr>
                <w:lang w:eastAsia="en-AU"/>
              </w:rPr>
            </w:pPr>
          </w:p>
        </w:tc>
        <w:tc>
          <w:tcPr>
            <w:tcW w:w="1057" w:type="dxa"/>
          </w:tcPr>
          <w:p w14:paraId="7FD1A3D6" w14:textId="77777777" w:rsidR="00F659C1" w:rsidRPr="00F45F11" w:rsidRDefault="00F659C1" w:rsidP="0093234E">
            <w:pPr>
              <w:pStyle w:val="ARtabletextright"/>
              <w:rPr>
                <w:lang w:eastAsia="en-AU"/>
              </w:rPr>
            </w:pPr>
          </w:p>
        </w:tc>
        <w:tc>
          <w:tcPr>
            <w:tcW w:w="927" w:type="dxa"/>
          </w:tcPr>
          <w:p w14:paraId="28875516" w14:textId="77777777" w:rsidR="00F659C1" w:rsidRPr="00F45F11" w:rsidRDefault="00F659C1" w:rsidP="0093234E">
            <w:pPr>
              <w:pStyle w:val="ARtabletextright"/>
              <w:rPr>
                <w:lang w:eastAsia="en-AU"/>
              </w:rPr>
            </w:pPr>
          </w:p>
        </w:tc>
        <w:tc>
          <w:tcPr>
            <w:tcW w:w="926" w:type="dxa"/>
          </w:tcPr>
          <w:p w14:paraId="6AD7E8B5" w14:textId="77777777" w:rsidR="00F659C1" w:rsidRPr="00F45F11" w:rsidRDefault="00F659C1" w:rsidP="0093234E">
            <w:pPr>
              <w:pStyle w:val="ARtabletextright"/>
              <w:rPr>
                <w:lang w:eastAsia="en-AU"/>
              </w:rPr>
            </w:pPr>
          </w:p>
        </w:tc>
        <w:tc>
          <w:tcPr>
            <w:tcW w:w="926" w:type="dxa"/>
          </w:tcPr>
          <w:p w14:paraId="78075F09" w14:textId="77777777" w:rsidR="00F659C1" w:rsidRPr="00F45F11" w:rsidRDefault="00F659C1" w:rsidP="0093234E">
            <w:pPr>
              <w:pStyle w:val="ARtabletextright"/>
              <w:rPr>
                <w:lang w:eastAsia="en-AU"/>
              </w:rPr>
            </w:pPr>
          </w:p>
        </w:tc>
        <w:tc>
          <w:tcPr>
            <w:tcW w:w="927" w:type="dxa"/>
          </w:tcPr>
          <w:p w14:paraId="4DD5E311" w14:textId="77777777" w:rsidR="00F659C1" w:rsidRPr="00F45F11" w:rsidRDefault="00F659C1" w:rsidP="0093234E">
            <w:pPr>
              <w:pStyle w:val="ARtabletextright"/>
              <w:rPr>
                <w:lang w:eastAsia="en-AU"/>
              </w:rPr>
            </w:pPr>
          </w:p>
        </w:tc>
        <w:tc>
          <w:tcPr>
            <w:tcW w:w="1057" w:type="dxa"/>
          </w:tcPr>
          <w:p w14:paraId="2174D453" w14:textId="77777777" w:rsidR="00F659C1" w:rsidRPr="00F45F11" w:rsidRDefault="00F659C1" w:rsidP="0093234E">
            <w:pPr>
              <w:pStyle w:val="ARtabletextright"/>
              <w:rPr>
                <w:lang w:eastAsia="en-AU"/>
              </w:rPr>
            </w:pPr>
          </w:p>
        </w:tc>
        <w:tc>
          <w:tcPr>
            <w:tcW w:w="927" w:type="dxa"/>
          </w:tcPr>
          <w:p w14:paraId="1A024321" w14:textId="77777777" w:rsidR="00F659C1" w:rsidRPr="00F45F11" w:rsidRDefault="00F659C1" w:rsidP="0093234E">
            <w:pPr>
              <w:pStyle w:val="ARtabletextright"/>
              <w:rPr>
                <w:lang w:eastAsia="en-AU"/>
              </w:rPr>
            </w:pPr>
          </w:p>
        </w:tc>
      </w:tr>
      <w:tr w:rsidR="005E2BB1" w:rsidRPr="00F45F11" w14:paraId="58250B60"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hideMark/>
          </w:tcPr>
          <w:p w14:paraId="41DF47F1" w14:textId="77777777" w:rsidR="005E2BB1" w:rsidRPr="00F45F11" w:rsidRDefault="005E2BB1" w:rsidP="0093234E">
            <w:pPr>
              <w:pStyle w:val="ARTabletext"/>
              <w:rPr>
                <w:lang w:eastAsia="en-AU"/>
              </w:rPr>
            </w:pPr>
            <w:r w:rsidRPr="00F45F11">
              <w:rPr>
                <w:lang w:eastAsia="en-AU"/>
              </w:rPr>
              <w:t>DDSO-1</w:t>
            </w:r>
          </w:p>
        </w:tc>
        <w:tc>
          <w:tcPr>
            <w:tcW w:w="992" w:type="dxa"/>
            <w:shd w:val="clear" w:color="auto" w:fill="E7E6E6" w:themeFill="background2"/>
            <w:hideMark/>
          </w:tcPr>
          <w:p w14:paraId="2DD7CED4" w14:textId="77777777" w:rsidR="005E2BB1" w:rsidRPr="00F45F11" w:rsidRDefault="005E2BB1" w:rsidP="0093234E">
            <w:pPr>
              <w:pStyle w:val="ARtabletextright"/>
              <w:rPr>
                <w:lang w:eastAsia="en-AU"/>
              </w:rPr>
            </w:pPr>
            <w:r w:rsidRPr="00F45F11">
              <w:rPr>
                <w:lang w:eastAsia="en-AU"/>
              </w:rPr>
              <w:t>3</w:t>
            </w:r>
          </w:p>
        </w:tc>
        <w:tc>
          <w:tcPr>
            <w:tcW w:w="992" w:type="dxa"/>
            <w:shd w:val="clear" w:color="auto" w:fill="E7E6E6" w:themeFill="background2"/>
            <w:hideMark/>
          </w:tcPr>
          <w:p w14:paraId="4B267288" w14:textId="77777777" w:rsidR="005E2BB1" w:rsidRPr="00F45F11" w:rsidRDefault="005E2BB1" w:rsidP="0093234E">
            <w:pPr>
              <w:pStyle w:val="ARtabletextright"/>
              <w:rPr>
                <w:lang w:eastAsia="en-AU"/>
              </w:rPr>
            </w:pPr>
            <w:r w:rsidRPr="00F45F11">
              <w:rPr>
                <w:lang w:eastAsia="en-AU"/>
              </w:rPr>
              <w:t>1.9</w:t>
            </w:r>
          </w:p>
        </w:tc>
        <w:tc>
          <w:tcPr>
            <w:tcW w:w="926" w:type="dxa"/>
            <w:hideMark/>
          </w:tcPr>
          <w:p w14:paraId="1D04AB3E" w14:textId="77777777" w:rsidR="005E2BB1" w:rsidRPr="00F45F11" w:rsidRDefault="005E2BB1" w:rsidP="0093234E">
            <w:pPr>
              <w:pStyle w:val="ARtabletextright"/>
              <w:rPr>
                <w:lang w:eastAsia="en-AU"/>
              </w:rPr>
            </w:pPr>
            <w:r w:rsidRPr="00F45F11">
              <w:rPr>
                <w:lang w:eastAsia="en-AU"/>
              </w:rPr>
              <w:t>1</w:t>
            </w:r>
          </w:p>
        </w:tc>
        <w:tc>
          <w:tcPr>
            <w:tcW w:w="926" w:type="dxa"/>
            <w:hideMark/>
          </w:tcPr>
          <w:p w14:paraId="572A2936" w14:textId="77777777" w:rsidR="005E2BB1" w:rsidRPr="00F45F11" w:rsidRDefault="005E2BB1" w:rsidP="0093234E">
            <w:pPr>
              <w:pStyle w:val="ARtabletextright"/>
              <w:rPr>
                <w:lang w:eastAsia="en-AU"/>
              </w:rPr>
            </w:pPr>
            <w:r w:rsidRPr="00F45F11">
              <w:rPr>
                <w:lang w:eastAsia="en-AU"/>
              </w:rPr>
              <w:t>0</w:t>
            </w:r>
          </w:p>
        </w:tc>
        <w:tc>
          <w:tcPr>
            <w:tcW w:w="927" w:type="dxa"/>
            <w:hideMark/>
          </w:tcPr>
          <w:p w14:paraId="077BE598" w14:textId="77777777" w:rsidR="005E2BB1" w:rsidRPr="00F45F11" w:rsidRDefault="005E2BB1" w:rsidP="0093234E">
            <w:pPr>
              <w:pStyle w:val="ARtabletextright"/>
              <w:rPr>
                <w:lang w:eastAsia="en-AU"/>
              </w:rPr>
            </w:pPr>
            <w:r w:rsidRPr="00F45F11">
              <w:rPr>
                <w:lang w:eastAsia="en-AU"/>
              </w:rPr>
              <w:t>1.0</w:t>
            </w:r>
          </w:p>
        </w:tc>
        <w:tc>
          <w:tcPr>
            <w:tcW w:w="1057" w:type="dxa"/>
            <w:shd w:val="clear" w:color="auto" w:fill="E7E6E6" w:themeFill="background2"/>
            <w:hideMark/>
          </w:tcPr>
          <w:p w14:paraId="3723BE0E" w14:textId="77777777" w:rsidR="005E2BB1" w:rsidRPr="00F45F11" w:rsidRDefault="005E2BB1" w:rsidP="0093234E">
            <w:pPr>
              <w:pStyle w:val="ARtabletextright"/>
              <w:rPr>
                <w:lang w:eastAsia="en-AU"/>
              </w:rPr>
            </w:pPr>
            <w:r w:rsidRPr="00F45F11">
              <w:rPr>
                <w:lang w:eastAsia="en-AU"/>
              </w:rPr>
              <w:t>2</w:t>
            </w:r>
          </w:p>
        </w:tc>
        <w:tc>
          <w:tcPr>
            <w:tcW w:w="927" w:type="dxa"/>
            <w:shd w:val="clear" w:color="auto" w:fill="E7E6E6" w:themeFill="background2"/>
            <w:hideMark/>
          </w:tcPr>
          <w:p w14:paraId="713EDDA6" w14:textId="77777777" w:rsidR="005E2BB1" w:rsidRPr="00F45F11" w:rsidRDefault="005E2BB1" w:rsidP="0093234E">
            <w:pPr>
              <w:pStyle w:val="ARtabletextright"/>
              <w:rPr>
                <w:lang w:eastAsia="en-AU"/>
              </w:rPr>
            </w:pPr>
            <w:r w:rsidRPr="00F45F11">
              <w:rPr>
                <w:lang w:eastAsia="en-AU"/>
              </w:rPr>
              <w:t>0.9</w:t>
            </w:r>
          </w:p>
        </w:tc>
        <w:tc>
          <w:tcPr>
            <w:tcW w:w="1057" w:type="dxa"/>
            <w:hideMark/>
          </w:tcPr>
          <w:p w14:paraId="13CA1CD9" w14:textId="77777777" w:rsidR="005E2BB1" w:rsidRPr="00F45F11" w:rsidRDefault="005E2BB1" w:rsidP="0093234E">
            <w:pPr>
              <w:pStyle w:val="ARtabletextright"/>
              <w:rPr>
                <w:lang w:eastAsia="en-AU"/>
              </w:rPr>
            </w:pPr>
            <w:r w:rsidRPr="00F45F11">
              <w:rPr>
                <w:lang w:eastAsia="en-AU"/>
              </w:rPr>
              <w:t>8</w:t>
            </w:r>
          </w:p>
        </w:tc>
        <w:tc>
          <w:tcPr>
            <w:tcW w:w="927" w:type="dxa"/>
            <w:hideMark/>
          </w:tcPr>
          <w:p w14:paraId="4BC167E7" w14:textId="77777777" w:rsidR="005E2BB1" w:rsidRPr="00F45F11" w:rsidRDefault="005E2BB1" w:rsidP="0093234E">
            <w:pPr>
              <w:pStyle w:val="ARtabletextright"/>
              <w:rPr>
                <w:lang w:eastAsia="en-AU"/>
              </w:rPr>
            </w:pPr>
            <w:r w:rsidRPr="00F45F11">
              <w:rPr>
                <w:lang w:eastAsia="en-AU"/>
              </w:rPr>
              <w:t>6.0</w:t>
            </w:r>
          </w:p>
        </w:tc>
        <w:tc>
          <w:tcPr>
            <w:tcW w:w="926" w:type="dxa"/>
            <w:shd w:val="clear" w:color="auto" w:fill="E7E6E6" w:themeFill="background2"/>
            <w:hideMark/>
          </w:tcPr>
          <w:p w14:paraId="55BBF62A" w14:textId="77777777" w:rsidR="005E2BB1" w:rsidRPr="00F45F11" w:rsidRDefault="005E2BB1" w:rsidP="0093234E">
            <w:pPr>
              <w:pStyle w:val="ARtabletextright"/>
              <w:rPr>
                <w:lang w:eastAsia="en-AU"/>
              </w:rPr>
            </w:pPr>
            <w:r w:rsidRPr="00F45F11">
              <w:rPr>
                <w:lang w:eastAsia="en-AU"/>
              </w:rPr>
              <w:t>3</w:t>
            </w:r>
          </w:p>
        </w:tc>
        <w:tc>
          <w:tcPr>
            <w:tcW w:w="926" w:type="dxa"/>
            <w:shd w:val="clear" w:color="auto" w:fill="E7E6E6" w:themeFill="background2"/>
            <w:hideMark/>
          </w:tcPr>
          <w:p w14:paraId="26DF7CA8" w14:textId="77777777" w:rsidR="005E2BB1" w:rsidRPr="00F45F11" w:rsidRDefault="005E2BB1" w:rsidP="0093234E">
            <w:pPr>
              <w:pStyle w:val="ARtabletextright"/>
              <w:rPr>
                <w:lang w:eastAsia="en-AU"/>
              </w:rPr>
            </w:pPr>
            <w:r w:rsidRPr="00F45F11">
              <w:rPr>
                <w:lang w:eastAsia="en-AU"/>
              </w:rPr>
              <w:t>2</w:t>
            </w:r>
          </w:p>
        </w:tc>
        <w:tc>
          <w:tcPr>
            <w:tcW w:w="927" w:type="dxa"/>
            <w:shd w:val="clear" w:color="auto" w:fill="E7E6E6" w:themeFill="background2"/>
            <w:hideMark/>
          </w:tcPr>
          <w:p w14:paraId="66BDF2E0" w14:textId="77777777" w:rsidR="005E2BB1" w:rsidRPr="00F45F11" w:rsidRDefault="005E2BB1" w:rsidP="0093234E">
            <w:pPr>
              <w:pStyle w:val="ARtabletextright"/>
              <w:rPr>
                <w:lang w:eastAsia="en-AU"/>
              </w:rPr>
            </w:pPr>
            <w:r w:rsidRPr="00F45F11">
              <w:rPr>
                <w:lang w:eastAsia="en-AU"/>
              </w:rPr>
              <w:t>4.6</w:t>
            </w:r>
          </w:p>
        </w:tc>
        <w:tc>
          <w:tcPr>
            <w:tcW w:w="1057" w:type="dxa"/>
            <w:hideMark/>
          </w:tcPr>
          <w:p w14:paraId="201B5DE8" w14:textId="77777777" w:rsidR="005E2BB1" w:rsidRPr="00F45F11" w:rsidRDefault="005E2BB1" w:rsidP="0093234E">
            <w:pPr>
              <w:pStyle w:val="ARtabletextright"/>
              <w:rPr>
                <w:lang w:eastAsia="en-AU"/>
              </w:rPr>
            </w:pPr>
            <w:r w:rsidRPr="00F45F11">
              <w:rPr>
                <w:lang w:eastAsia="en-AU"/>
              </w:rPr>
              <w:t>3</w:t>
            </w:r>
          </w:p>
        </w:tc>
        <w:tc>
          <w:tcPr>
            <w:tcW w:w="927" w:type="dxa"/>
            <w:hideMark/>
          </w:tcPr>
          <w:p w14:paraId="54EE61A6" w14:textId="77777777" w:rsidR="005E2BB1" w:rsidRPr="00F45F11" w:rsidRDefault="005E2BB1" w:rsidP="0093234E">
            <w:pPr>
              <w:pStyle w:val="ARtabletextright"/>
              <w:rPr>
                <w:lang w:eastAsia="en-AU"/>
              </w:rPr>
            </w:pPr>
            <w:r w:rsidRPr="00F45F11">
              <w:rPr>
                <w:lang w:eastAsia="en-AU"/>
              </w:rPr>
              <w:t>1.4</w:t>
            </w:r>
          </w:p>
        </w:tc>
      </w:tr>
      <w:tr w:rsidR="005E2BB1" w:rsidRPr="00F45F11" w14:paraId="029ACD6D"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hideMark/>
          </w:tcPr>
          <w:p w14:paraId="20323533" w14:textId="77777777" w:rsidR="005E2BB1" w:rsidRPr="00F45F11" w:rsidRDefault="005E2BB1" w:rsidP="0093234E">
            <w:pPr>
              <w:pStyle w:val="ARTabletext"/>
              <w:rPr>
                <w:lang w:eastAsia="en-AU"/>
              </w:rPr>
            </w:pPr>
            <w:r w:rsidRPr="00F45F11">
              <w:rPr>
                <w:lang w:eastAsia="en-AU"/>
              </w:rPr>
              <w:t>DDSO-2</w:t>
            </w:r>
          </w:p>
        </w:tc>
        <w:tc>
          <w:tcPr>
            <w:tcW w:w="992" w:type="dxa"/>
            <w:shd w:val="clear" w:color="auto" w:fill="E7E6E6" w:themeFill="background2"/>
            <w:hideMark/>
          </w:tcPr>
          <w:p w14:paraId="412F9867" w14:textId="77777777" w:rsidR="005E2BB1" w:rsidRPr="00F45F11" w:rsidRDefault="005E2BB1" w:rsidP="0093234E">
            <w:pPr>
              <w:pStyle w:val="ARtabletextright"/>
              <w:rPr>
                <w:lang w:eastAsia="en-AU"/>
              </w:rPr>
            </w:pPr>
            <w:r w:rsidRPr="00F45F11">
              <w:rPr>
                <w:lang w:eastAsia="en-AU"/>
              </w:rPr>
              <w:t>96</w:t>
            </w:r>
          </w:p>
        </w:tc>
        <w:tc>
          <w:tcPr>
            <w:tcW w:w="992" w:type="dxa"/>
            <w:shd w:val="clear" w:color="auto" w:fill="E7E6E6" w:themeFill="background2"/>
            <w:hideMark/>
          </w:tcPr>
          <w:p w14:paraId="59F68E12" w14:textId="77777777" w:rsidR="005E2BB1" w:rsidRPr="00F45F11" w:rsidRDefault="005E2BB1" w:rsidP="0093234E">
            <w:pPr>
              <w:pStyle w:val="ARtabletextright"/>
              <w:rPr>
                <w:lang w:eastAsia="en-AU"/>
              </w:rPr>
            </w:pPr>
            <w:r w:rsidRPr="00F45F11">
              <w:rPr>
                <w:lang w:eastAsia="en-AU"/>
              </w:rPr>
              <w:t>78.5</w:t>
            </w:r>
          </w:p>
        </w:tc>
        <w:tc>
          <w:tcPr>
            <w:tcW w:w="926" w:type="dxa"/>
            <w:hideMark/>
          </w:tcPr>
          <w:p w14:paraId="62B51C88" w14:textId="77777777" w:rsidR="005E2BB1" w:rsidRPr="00F45F11" w:rsidRDefault="005E2BB1" w:rsidP="0093234E">
            <w:pPr>
              <w:pStyle w:val="ARtabletextright"/>
              <w:rPr>
                <w:lang w:eastAsia="en-AU"/>
              </w:rPr>
            </w:pPr>
            <w:r w:rsidRPr="00F45F11">
              <w:rPr>
                <w:lang w:eastAsia="en-AU"/>
              </w:rPr>
              <w:t>44</w:t>
            </w:r>
          </w:p>
        </w:tc>
        <w:tc>
          <w:tcPr>
            <w:tcW w:w="926" w:type="dxa"/>
            <w:hideMark/>
          </w:tcPr>
          <w:p w14:paraId="59147EFF" w14:textId="77777777" w:rsidR="005E2BB1" w:rsidRPr="00F45F11" w:rsidRDefault="005E2BB1" w:rsidP="0093234E">
            <w:pPr>
              <w:pStyle w:val="ARtabletextright"/>
              <w:rPr>
                <w:lang w:eastAsia="en-AU"/>
              </w:rPr>
            </w:pPr>
            <w:r w:rsidRPr="00F45F11">
              <w:rPr>
                <w:lang w:eastAsia="en-AU"/>
              </w:rPr>
              <w:t>5</w:t>
            </w:r>
          </w:p>
        </w:tc>
        <w:tc>
          <w:tcPr>
            <w:tcW w:w="927" w:type="dxa"/>
            <w:hideMark/>
          </w:tcPr>
          <w:p w14:paraId="0258E491" w14:textId="77777777" w:rsidR="005E2BB1" w:rsidRPr="00F45F11" w:rsidRDefault="005E2BB1" w:rsidP="0093234E">
            <w:pPr>
              <w:pStyle w:val="ARtabletextright"/>
              <w:rPr>
                <w:lang w:eastAsia="en-AU"/>
              </w:rPr>
            </w:pPr>
            <w:r w:rsidRPr="00F45F11">
              <w:rPr>
                <w:lang w:eastAsia="en-AU"/>
              </w:rPr>
              <w:t>46.8</w:t>
            </w:r>
          </w:p>
        </w:tc>
        <w:tc>
          <w:tcPr>
            <w:tcW w:w="1057" w:type="dxa"/>
            <w:shd w:val="clear" w:color="auto" w:fill="E7E6E6" w:themeFill="background2"/>
            <w:hideMark/>
          </w:tcPr>
          <w:p w14:paraId="27453FAE" w14:textId="77777777" w:rsidR="005E2BB1" w:rsidRPr="00F45F11" w:rsidRDefault="005E2BB1" w:rsidP="0093234E">
            <w:pPr>
              <w:pStyle w:val="ARtabletextright"/>
              <w:rPr>
                <w:lang w:eastAsia="en-AU"/>
              </w:rPr>
            </w:pPr>
            <w:r w:rsidRPr="00F45F11">
              <w:rPr>
                <w:lang w:eastAsia="en-AU"/>
              </w:rPr>
              <w:t>47</w:t>
            </w:r>
          </w:p>
        </w:tc>
        <w:tc>
          <w:tcPr>
            <w:tcW w:w="927" w:type="dxa"/>
            <w:shd w:val="clear" w:color="auto" w:fill="E7E6E6" w:themeFill="background2"/>
            <w:hideMark/>
          </w:tcPr>
          <w:p w14:paraId="26A8C81D" w14:textId="77777777" w:rsidR="005E2BB1" w:rsidRPr="00F45F11" w:rsidRDefault="005E2BB1" w:rsidP="0093234E">
            <w:pPr>
              <w:pStyle w:val="ARtabletextright"/>
              <w:rPr>
                <w:lang w:eastAsia="en-AU"/>
              </w:rPr>
            </w:pPr>
            <w:r w:rsidRPr="00F45F11">
              <w:rPr>
                <w:lang w:eastAsia="en-AU"/>
              </w:rPr>
              <w:t>31.6</w:t>
            </w:r>
          </w:p>
        </w:tc>
        <w:tc>
          <w:tcPr>
            <w:tcW w:w="1057" w:type="dxa"/>
            <w:hideMark/>
          </w:tcPr>
          <w:p w14:paraId="3411B91B" w14:textId="77777777" w:rsidR="005E2BB1" w:rsidRPr="00F45F11" w:rsidRDefault="005E2BB1" w:rsidP="0093234E">
            <w:pPr>
              <w:pStyle w:val="ARtabletextright"/>
              <w:rPr>
                <w:lang w:eastAsia="en-AU"/>
              </w:rPr>
            </w:pPr>
            <w:r w:rsidRPr="00F45F11">
              <w:rPr>
                <w:lang w:eastAsia="en-AU"/>
              </w:rPr>
              <w:t>93</w:t>
            </w:r>
          </w:p>
        </w:tc>
        <w:tc>
          <w:tcPr>
            <w:tcW w:w="927" w:type="dxa"/>
            <w:hideMark/>
          </w:tcPr>
          <w:p w14:paraId="26F71FF8" w14:textId="77777777" w:rsidR="005E2BB1" w:rsidRPr="00F45F11" w:rsidRDefault="005E2BB1" w:rsidP="0093234E">
            <w:pPr>
              <w:pStyle w:val="ARtabletextright"/>
              <w:rPr>
                <w:lang w:eastAsia="en-AU"/>
              </w:rPr>
            </w:pPr>
            <w:r w:rsidRPr="00F45F11">
              <w:rPr>
                <w:lang w:eastAsia="en-AU"/>
              </w:rPr>
              <w:t>78.4</w:t>
            </w:r>
          </w:p>
        </w:tc>
        <w:tc>
          <w:tcPr>
            <w:tcW w:w="926" w:type="dxa"/>
            <w:shd w:val="clear" w:color="auto" w:fill="E7E6E6" w:themeFill="background2"/>
            <w:hideMark/>
          </w:tcPr>
          <w:p w14:paraId="71923ACB" w14:textId="77777777" w:rsidR="005E2BB1" w:rsidRPr="00F45F11" w:rsidRDefault="005E2BB1" w:rsidP="0093234E">
            <w:pPr>
              <w:pStyle w:val="ARtabletextright"/>
              <w:rPr>
                <w:lang w:eastAsia="en-AU"/>
              </w:rPr>
            </w:pPr>
            <w:r w:rsidRPr="00F45F11">
              <w:rPr>
                <w:lang w:eastAsia="en-AU"/>
              </w:rPr>
              <w:t>40</w:t>
            </w:r>
          </w:p>
        </w:tc>
        <w:tc>
          <w:tcPr>
            <w:tcW w:w="926" w:type="dxa"/>
            <w:shd w:val="clear" w:color="auto" w:fill="E7E6E6" w:themeFill="background2"/>
            <w:hideMark/>
          </w:tcPr>
          <w:p w14:paraId="11E66573" w14:textId="77777777" w:rsidR="005E2BB1" w:rsidRPr="00F45F11" w:rsidRDefault="005E2BB1" w:rsidP="0093234E">
            <w:pPr>
              <w:pStyle w:val="ARtabletextright"/>
              <w:rPr>
                <w:lang w:eastAsia="en-AU"/>
              </w:rPr>
            </w:pPr>
            <w:r w:rsidRPr="00F45F11">
              <w:rPr>
                <w:lang w:eastAsia="en-AU"/>
              </w:rPr>
              <w:t>6</w:t>
            </w:r>
          </w:p>
        </w:tc>
        <w:tc>
          <w:tcPr>
            <w:tcW w:w="927" w:type="dxa"/>
            <w:shd w:val="clear" w:color="auto" w:fill="E7E6E6" w:themeFill="background2"/>
            <w:hideMark/>
          </w:tcPr>
          <w:p w14:paraId="4ECEAF3D" w14:textId="77777777" w:rsidR="005E2BB1" w:rsidRPr="00F45F11" w:rsidRDefault="005E2BB1" w:rsidP="0093234E">
            <w:pPr>
              <w:pStyle w:val="ARtabletextright"/>
              <w:rPr>
                <w:lang w:eastAsia="en-AU"/>
              </w:rPr>
            </w:pPr>
            <w:r w:rsidRPr="00F45F11">
              <w:rPr>
                <w:lang w:eastAsia="en-AU"/>
              </w:rPr>
              <w:t>43.3</w:t>
            </w:r>
          </w:p>
        </w:tc>
        <w:tc>
          <w:tcPr>
            <w:tcW w:w="1057" w:type="dxa"/>
            <w:hideMark/>
          </w:tcPr>
          <w:p w14:paraId="6A25956B" w14:textId="77777777" w:rsidR="005E2BB1" w:rsidRPr="00F45F11" w:rsidRDefault="005E2BB1" w:rsidP="0093234E">
            <w:pPr>
              <w:pStyle w:val="ARtabletextright"/>
              <w:rPr>
                <w:lang w:eastAsia="en-AU"/>
              </w:rPr>
            </w:pPr>
            <w:r w:rsidRPr="00F45F11">
              <w:rPr>
                <w:lang w:eastAsia="en-AU"/>
              </w:rPr>
              <w:t>47</w:t>
            </w:r>
          </w:p>
        </w:tc>
        <w:tc>
          <w:tcPr>
            <w:tcW w:w="927" w:type="dxa"/>
            <w:hideMark/>
          </w:tcPr>
          <w:p w14:paraId="3EE2170B" w14:textId="77777777" w:rsidR="005E2BB1" w:rsidRPr="00F45F11" w:rsidRDefault="005E2BB1" w:rsidP="0093234E">
            <w:pPr>
              <w:pStyle w:val="ARtabletextright"/>
              <w:rPr>
                <w:lang w:eastAsia="en-AU"/>
              </w:rPr>
            </w:pPr>
            <w:r w:rsidRPr="00F45F11">
              <w:rPr>
                <w:lang w:eastAsia="en-AU"/>
              </w:rPr>
              <w:t>35.2</w:t>
            </w:r>
          </w:p>
        </w:tc>
      </w:tr>
      <w:tr w:rsidR="005E2BB1" w:rsidRPr="00F45F11" w14:paraId="50363B7F"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hideMark/>
          </w:tcPr>
          <w:p w14:paraId="07C78C91" w14:textId="77777777" w:rsidR="005E2BB1" w:rsidRPr="00F45F11" w:rsidRDefault="005E2BB1" w:rsidP="0093234E">
            <w:pPr>
              <w:pStyle w:val="ARTabletext"/>
              <w:rPr>
                <w:lang w:eastAsia="en-AU"/>
              </w:rPr>
            </w:pPr>
            <w:r w:rsidRPr="00F45F11">
              <w:rPr>
                <w:lang w:eastAsia="en-AU"/>
              </w:rPr>
              <w:t>DDSO-3</w:t>
            </w:r>
          </w:p>
        </w:tc>
        <w:tc>
          <w:tcPr>
            <w:tcW w:w="992" w:type="dxa"/>
            <w:shd w:val="clear" w:color="auto" w:fill="E7E6E6" w:themeFill="background2"/>
            <w:hideMark/>
          </w:tcPr>
          <w:p w14:paraId="0D685279" w14:textId="77777777" w:rsidR="005E2BB1" w:rsidRPr="00F45F11" w:rsidRDefault="005E2BB1" w:rsidP="0093234E">
            <w:pPr>
              <w:pStyle w:val="ARtabletextright"/>
              <w:rPr>
                <w:lang w:eastAsia="en-AU"/>
              </w:rPr>
            </w:pPr>
            <w:r w:rsidRPr="00F45F11">
              <w:rPr>
                <w:lang w:eastAsia="en-AU"/>
              </w:rPr>
              <w:t>37</w:t>
            </w:r>
          </w:p>
        </w:tc>
        <w:tc>
          <w:tcPr>
            <w:tcW w:w="992" w:type="dxa"/>
            <w:shd w:val="clear" w:color="auto" w:fill="E7E6E6" w:themeFill="background2"/>
            <w:hideMark/>
          </w:tcPr>
          <w:p w14:paraId="7630B47A" w14:textId="77777777" w:rsidR="005E2BB1" w:rsidRPr="00F45F11" w:rsidRDefault="005E2BB1" w:rsidP="0093234E">
            <w:pPr>
              <w:pStyle w:val="ARtabletextright"/>
              <w:rPr>
                <w:lang w:eastAsia="en-AU"/>
              </w:rPr>
            </w:pPr>
            <w:r w:rsidRPr="00F45F11">
              <w:rPr>
                <w:lang w:eastAsia="en-AU"/>
              </w:rPr>
              <w:t>35.6</w:t>
            </w:r>
          </w:p>
        </w:tc>
        <w:tc>
          <w:tcPr>
            <w:tcW w:w="926" w:type="dxa"/>
            <w:hideMark/>
          </w:tcPr>
          <w:p w14:paraId="458896AE" w14:textId="77777777" w:rsidR="005E2BB1" w:rsidRPr="00F45F11" w:rsidRDefault="005E2BB1" w:rsidP="0093234E">
            <w:pPr>
              <w:pStyle w:val="ARtabletextright"/>
              <w:rPr>
                <w:lang w:eastAsia="en-AU"/>
              </w:rPr>
            </w:pPr>
            <w:r w:rsidRPr="00F45F11">
              <w:rPr>
                <w:lang w:eastAsia="en-AU"/>
              </w:rPr>
              <w:t>25</w:t>
            </w:r>
          </w:p>
        </w:tc>
        <w:tc>
          <w:tcPr>
            <w:tcW w:w="926" w:type="dxa"/>
            <w:hideMark/>
          </w:tcPr>
          <w:p w14:paraId="24097817" w14:textId="77777777" w:rsidR="005E2BB1" w:rsidRPr="00F45F11" w:rsidRDefault="005E2BB1" w:rsidP="0093234E">
            <w:pPr>
              <w:pStyle w:val="ARtabletextright"/>
              <w:rPr>
                <w:lang w:eastAsia="en-AU"/>
              </w:rPr>
            </w:pPr>
            <w:r w:rsidRPr="00F45F11">
              <w:rPr>
                <w:lang w:eastAsia="en-AU"/>
              </w:rPr>
              <w:t>5</w:t>
            </w:r>
          </w:p>
        </w:tc>
        <w:tc>
          <w:tcPr>
            <w:tcW w:w="927" w:type="dxa"/>
            <w:hideMark/>
          </w:tcPr>
          <w:p w14:paraId="1A50CCE5" w14:textId="77777777" w:rsidR="005E2BB1" w:rsidRPr="00F45F11" w:rsidRDefault="005E2BB1" w:rsidP="0093234E">
            <w:pPr>
              <w:pStyle w:val="ARtabletextright"/>
              <w:rPr>
                <w:lang w:eastAsia="en-AU"/>
              </w:rPr>
            </w:pPr>
            <w:r w:rsidRPr="00F45F11">
              <w:rPr>
                <w:lang w:eastAsia="en-AU"/>
              </w:rPr>
              <w:t>28.6</w:t>
            </w:r>
          </w:p>
        </w:tc>
        <w:tc>
          <w:tcPr>
            <w:tcW w:w="1057" w:type="dxa"/>
            <w:shd w:val="clear" w:color="auto" w:fill="E7E6E6" w:themeFill="background2"/>
            <w:hideMark/>
          </w:tcPr>
          <w:p w14:paraId="28D12C0F" w14:textId="77777777" w:rsidR="005E2BB1" w:rsidRPr="00F45F11" w:rsidRDefault="005E2BB1" w:rsidP="0093234E">
            <w:pPr>
              <w:pStyle w:val="ARtabletextright"/>
              <w:rPr>
                <w:lang w:eastAsia="en-AU"/>
              </w:rPr>
            </w:pPr>
            <w:r w:rsidRPr="00F45F11">
              <w:rPr>
                <w:lang w:eastAsia="en-AU"/>
              </w:rPr>
              <w:t>7</w:t>
            </w:r>
          </w:p>
        </w:tc>
        <w:tc>
          <w:tcPr>
            <w:tcW w:w="927" w:type="dxa"/>
            <w:shd w:val="clear" w:color="auto" w:fill="E7E6E6" w:themeFill="background2"/>
            <w:hideMark/>
          </w:tcPr>
          <w:p w14:paraId="7B93FE22" w14:textId="77777777" w:rsidR="005E2BB1" w:rsidRPr="00F45F11" w:rsidRDefault="005E2BB1" w:rsidP="0093234E">
            <w:pPr>
              <w:pStyle w:val="ARtabletextright"/>
              <w:rPr>
                <w:lang w:eastAsia="en-AU"/>
              </w:rPr>
            </w:pPr>
            <w:r w:rsidRPr="00F45F11">
              <w:rPr>
                <w:lang w:eastAsia="en-AU"/>
              </w:rPr>
              <w:t>7.0</w:t>
            </w:r>
          </w:p>
        </w:tc>
        <w:tc>
          <w:tcPr>
            <w:tcW w:w="1057" w:type="dxa"/>
            <w:hideMark/>
          </w:tcPr>
          <w:p w14:paraId="77895183" w14:textId="77777777" w:rsidR="005E2BB1" w:rsidRPr="00F45F11" w:rsidRDefault="005E2BB1" w:rsidP="0093234E">
            <w:pPr>
              <w:pStyle w:val="ARtabletextright"/>
              <w:rPr>
                <w:lang w:eastAsia="en-AU"/>
              </w:rPr>
            </w:pPr>
            <w:r w:rsidRPr="00F45F11">
              <w:rPr>
                <w:lang w:eastAsia="en-AU"/>
              </w:rPr>
              <w:t>35</w:t>
            </w:r>
          </w:p>
        </w:tc>
        <w:tc>
          <w:tcPr>
            <w:tcW w:w="927" w:type="dxa"/>
            <w:hideMark/>
          </w:tcPr>
          <w:p w14:paraId="6A0915D5" w14:textId="77777777" w:rsidR="005E2BB1" w:rsidRPr="00F45F11" w:rsidRDefault="005E2BB1" w:rsidP="0093234E">
            <w:pPr>
              <w:pStyle w:val="ARtabletextright"/>
              <w:rPr>
                <w:lang w:eastAsia="en-AU"/>
              </w:rPr>
            </w:pPr>
            <w:r w:rsidRPr="00F45F11">
              <w:rPr>
                <w:lang w:eastAsia="en-AU"/>
              </w:rPr>
              <w:t>31.9</w:t>
            </w:r>
          </w:p>
        </w:tc>
        <w:tc>
          <w:tcPr>
            <w:tcW w:w="926" w:type="dxa"/>
            <w:shd w:val="clear" w:color="auto" w:fill="E7E6E6" w:themeFill="background2"/>
            <w:hideMark/>
          </w:tcPr>
          <w:p w14:paraId="79978755" w14:textId="77777777" w:rsidR="005E2BB1" w:rsidRPr="00F45F11" w:rsidRDefault="005E2BB1" w:rsidP="0093234E">
            <w:pPr>
              <w:pStyle w:val="ARtabletextright"/>
              <w:rPr>
                <w:lang w:eastAsia="en-AU"/>
              </w:rPr>
            </w:pPr>
            <w:r w:rsidRPr="00F45F11">
              <w:rPr>
                <w:lang w:eastAsia="en-AU"/>
              </w:rPr>
              <w:t>21</w:t>
            </w:r>
          </w:p>
        </w:tc>
        <w:tc>
          <w:tcPr>
            <w:tcW w:w="926" w:type="dxa"/>
            <w:shd w:val="clear" w:color="auto" w:fill="E7E6E6" w:themeFill="background2"/>
            <w:hideMark/>
          </w:tcPr>
          <w:p w14:paraId="452FCADB" w14:textId="77777777" w:rsidR="005E2BB1" w:rsidRPr="00F45F11" w:rsidRDefault="005E2BB1" w:rsidP="0093234E">
            <w:pPr>
              <w:pStyle w:val="ARtabletextright"/>
              <w:rPr>
                <w:lang w:eastAsia="en-AU"/>
              </w:rPr>
            </w:pPr>
            <w:r w:rsidRPr="00F45F11">
              <w:rPr>
                <w:lang w:eastAsia="en-AU"/>
              </w:rPr>
              <w:t>7</w:t>
            </w:r>
          </w:p>
        </w:tc>
        <w:tc>
          <w:tcPr>
            <w:tcW w:w="927" w:type="dxa"/>
            <w:shd w:val="clear" w:color="auto" w:fill="E7E6E6" w:themeFill="background2"/>
            <w:hideMark/>
          </w:tcPr>
          <w:p w14:paraId="5585FA84" w14:textId="77777777" w:rsidR="005E2BB1" w:rsidRPr="00F45F11" w:rsidRDefault="005E2BB1" w:rsidP="0093234E">
            <w:pPr>
              <w:pStyle w:val="ARtabletextright"/>
              <w:rPr>
                <w:lang w:eastAsia="en-AU"/>
              </w:rPr>
            </w:pPr>
            <w:r w:rsidRPr="00F45F11">
              <w:rPr>
                <w:lang w:eastAsia="en-AU"/>
              </w:rPr>
              <w:t>26.3</w:t>
            </w:r>
          </w:p>
        </w:tc>
        <w:tc>
          <w:tcPr>
            <w:tcW w:w="1057" w:type="dxa"/>
            <w:hideMark/>
          </w:tcPr>
          <w:p w14:paraId="0FE87452" w14:textId="77777777" w:rsidR="005E2BB1" w:rsidRPr="00F45F11" w:rsidRDefault="005E2BB1" w:rsidP="0093234E">
            <w:pPr>
              <w:pStyle w:val="ARtabletextright"/>
              <w:rPr>
                <w:lang w:eastAsia="en-AU"/>
              </w:rPr>
            </w:pPr>
            <w:r w:rsidRPr="00F45F11">
              <w:rPr>
                <w:lang w:eastAsia="en-AU"/>
              </w:rPr>
              <w:t>7</w:t>
            </w:r>
          </w:p>
        </w:tc>
        <w:tc>
          <w:tcPr>
            <w:tcW w:w="927" w:type="dxa"/>
            <w:hideMark/>
          </w:tcPr>
          <w:p w14:paraId="63C32383" w14:textId="77777777" w:rsidR="005E2BB1" w:rsidRPr="00F45F11" w:rsidRDefault="005E2BB1" w:rsidP="0093234E">
            <w:pPr>
              <w:pStyle w:val="ARtabletextright"/>
              <w:rPr>
                <w:lang w:eastAsia="en-AU"/>
              </w:rPr>
            </w:pPr>
            <w:r w:rsidRPr="00F45F11">
              <w:rPr>
                <w:lang w:eastAsia="en-AU"/>
              </w:rPr>
              <w:t>5.6</w:t>
            </w:r>
          </w:p>
        </w:tc>
      </w:tr>
      <w:tr w:rsidR="005E2BB1" w:rsidRPr="00F45F11" w14:paraId="0E096E2E"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hideMark/>
          </w:tcPr>
          <w:p w14:paraId="4B9547FC" w14:textId="77777777" w:rsidR="005E2BB1" w:rsidRPr="00F45F11" w:rsidRDefault="005E2BB1" w:rsidP="0093234E">
            <w:pPr>
              <w:pStyle w:val="ARTabletext"/>
              <w:rPr>
                <w:lang w:eastAsia="en-AU"/>
              </w:rPr>
            </w:pPr>
            <w:r w:rsidRPr="00F45F11">
              <w:rPr>
                <w:lang w:eastAsia="en-AU"/>
              </w:rPr>
              <w:t>DDSO-4</w:t>
            </w:r>
          </w:p>
        </w:tc>
        <w:tc>
          <w:tcPr>
            <w:tcW w:w="992" w:type="dxa"/>
            <w:shd w:val="clear" w:color="auto" w:fill="E7E6E6" w:themeFill="background2"/>
            <w:hideMark/>
          </w:tcPr>
          <w:p w14:paraId="38F76803" w14:textId="77777777" w:rsidR="005E2BB1" w:rsidRPr="00F45F11" w:rsidRDefault="005E2BB1" w:rsidP="0093234E">
            <w:pPr>
              <w:pStyle w:val="ARtabletextright"/>
              <w:rPr>
                <w:lang w:eastAsia="en-AU"/>
              </w:rPr>
            </w:pPr>
            <w:r w:rsidRPr="00F45F11">
              <w:rPr>
                <w:lang w:eastAsia="en-AU"/>
              </w:rPr>
              <w:t>23</w:t>
            </w:r>
          </w:p>
        </w:tc>
        <w:tc>
          <w:tcPr>
            <w:tcW w:w="992" w:type="dxa"/>
            <w:shd w:val="clear" w:color="auto" w:fill="E7E6E6" w:themeFill="background2"/>
            <w:hideMark/>
          </w:tcPr>
          <w:p w14:paraId="065E104A" w14:textId="77777777" w:rsidR="005E2BB1" w:rsidRPr="00F45F11" w:rsidRDefault="005E2BB1" w:rsidP="0093234E">
            <w:pPr>
              <w:pStyle w:val="ARtabletextright"/>
              <w:rPr>
                <w:lang w:eastAsia="en-AU"/>
              </w:rPr>
            </w:pPr>
            <w:r w:rsidRPr="00F45F11">
              <w:rPr>
                <w:lang w:eastAsia="en-AU"/>
              </w:rPr>
              <w:t>22.1</w:t>
            </w:r>
          </w:p>
        </w:tc>
        <w:tc>
          <w:tcPr>
            <w:tcW w:w="926" w:type="dxa"/>
            <w:hideMark/>
          </w:tcPr>
          <w:p w14:paraId="61A38826" w14:textId="77777777" w:rsidR="005E2BB1" w:rsidRPr="00F45F11" w:rsidRDefault="005E2BB1" w:rsidP="0093234E">
            <w:pPr>
              <w:pStyle w:val="ARtabletextright"/>
              <w:rPr>
                <w:lang w:eastAsia="en-AU"/>
              </w:rPr>
            </w:pPr>
            <w:r w:rsidRPr="00F45F11">
              <w:rPr>
                <w:lang w:eastAsia="en-AU"/>
              </w:rPr>
              <w:t>17</w:t>
            </w:r>
          </w:p>
        </w:tc>
        <w:tc>
          <w:tcPr>
            <w:tcW w:w="926" w:type="dxa"/>
            <w:hideMark/>
          </w:tcPr>
          <w:p w14:paraId="59AB0C85" w14:textId="77777777" w:rsidR="005E2BB1" w:rsidRPr="00F45F11" w:rsidRDefault="005E2BB1" w:rsidP="0093234E">
            <w:pPr>
              <w:pStyle w:val="ARtabletextright"/>
              <w:rPr>
                <w:lang w:eastAsia="en-AU"/>
              </w:rPr>
            </w:pPr>
            <w:r w:rsidRPr="00F45F11">
              <w:rPr>
                <w:lang w:eastAsia="en-AU"/>
              </w:rPr>
              <w:t>4</w:t>
            </w:r>
          </w:p>
        </w:tc>
        <w:tc>
          <w:tcPr>
            <w:tcW w:w="927" w:type="dxa"/>
            <w:hideMark/>
          </w:tcPr>
          <w:p w14:paraId="120C27AE" w14:textId="77777777" w:rsidR="005E2BB1" w:rsidRPr="00F45F11" w:rsidRDefault="005E2BB1" w:rsidP="0093234E">
            <w:pPr>
              <w:pStyle w:val="ARtabletextright"/>
              <w:rPr>
                <w:lang w:eastAsia="en-AU"/>
              </w:rPr>
            </w:pPr>
            <w:r w:rsidRPr="00F45F11">
              <w:rPr>
                <w:lang w:eastAsia="en-AU"/>
              </w:rPr>
              <w:t>20.1</w:t>
            </w:r>
          </w:p>
        </w:tc>
        <w:tc>
          <w:tcPr>
            <w:tcW w:w="1057" w:type="dxa"/>
            <w:shd w:val="clear" w:color="auto" w:fill="E7E6E6" w:themeFill="background2"/>
            <w:hideMark/>
          </w:tcPr>
          <w:p w14:paraId="775AFE1F" w14:textId="77777777" w:rsidR="005E2BB1" w:rsidRPr="00F45F11" w:rsidRDefault="005E2BB1" w:rsidP="0093234E">
            <w:pPr>
              <w:pStyle w:val="ARtabletextright"/>
              <w:rPr>
                <w:lang w:eastAsia="en-AU"/>
              </w:rPr>
            </w:pPr>
            <w:r w:rsidRPr="00F45F11">
              <w:rPr>
                <w:lang w:eastAsia="en-AU"/>
              </w:rPr>
              <w:t>2</w:t>
            </w:r>
          </w:p>
        </w:tc>
        <w:tc>
          <w:tcPr>
            <w:tcW w:w="927" w:type="dxa"/>
            <w:shd w:val="clear" w:color="auto" w:fill="E7E6E6" w:themeFill="background2"/>
            <w:hideMark/>
          </w:tcPr>
          <w:p w14:paraId="78D3E923" w14:textId="77777777" w:rsidR="005E2BB1" w:rsidRPr="00F45F11" w:rsidRDefault="005E2BB1" w:rsidP="0093234E">
            <w:pPr>
              <w:pStyle w:val="ARtabletextright"/>
              <w:rPr>
                <w:lang w:eastAsia="en-AU"/>
              </w:rPr>
            </w:pPr>
            <w:r w:rsidRPr="00F45F11">
              <w:rPr>
                <w:lang w:eastAsia="en-AU"/>
              </w:rPr>
              <w:t>2.0</w:t>
            </w:r>
          </w:p>
        </w:tc>
        <w:tc>
          <w:tcPr>
            <w:tcW w:w="1057" w:type="dxa"/>
            <w:hideMark/>
          </w:tcPr>
          <w:p w14:paraId="74A3E9E9" w14:textId="77777777" w:rsidR="005E2BB1" w:rsidRPr="00F45F11" w:rsidRDefault="005E2BB1" w:rsidP="0093234E">
            <w:pPr>
              <w:pStyle w:val="ARtabletextright"/>
              <w:rPr>
                <w:lang w:eastAsia="en-AU"/>
              </w:rPr>
            </w:pPr>
            <w:r w:rsidRPr="00F45F11">
              <w:rPr>
                <w:lang w:eastAsia="en-AU"/>
              </w:rPr>
              <w:t>20</w:t>
            </w:r>
          </w:p>
        </w:tc>
        <w:tc>
          <w:tcPr>
            <w:tcW w:w="927" w:type="dxa"/>
            <w:hideMark/>
          </w:tcPr>
          <w:p w14:paraId="4F5175C5" w14:textId="77777777" w:rsidR="005E2BB1" w:rsidRPr="00F45F11" w:rsidRDefault="005E2BB1" w:rsidP="0093234E">
            <w:pPr>
              <w:pStyle w:val="ARtabletextright"/>
              <w:rPr>
                <w:lang w:eastAsia="en-AU"/>
              </w:rPr>
            </w:pPr>
            <w:r w:rsidRPr="00F45F11">
              <w:rPr>
                <w:lang w:eastAsia="en-AU"/>
              </w:rPr>
              <w:t>19.1</w:t>
            </w:r>
          </w:p>
        </w:tc>
        <w:tc>
          <w:tcPr>
            <w:tcW w:w="926" w:type="dxa"/>
            <w:shd w:val="clear" w:color="auto" w:fill="E7E6E6" w:themeFill="background2"/>
            <w:hideMark/>
          </w:tcPr>
          <w:p w14:paraId="031FF697" w14:textId="77777777" w:rsidR="005E2BB1" w:rsidRPr="00F45F11" w:rsidRDefault="005E2BB1" w:rsidP="0093234E">
            <w:pPr>
              <w:pStyle w:val="ARtabletextright"/>
              <w:rPr>
                <w:lang w:eastAsia="en-AU"/>
              </w:rPr>
            </w:pPr>
            <w:r w:rsidRPr="00F45F11">
              <w:rPr>
                <w:lang w:eastAsia="en-AU"/>
              </w:rPr>
              <w:t>14</w:t>
            </w:r>
          </w:p>
        </w:tc>
        <w:tc>
          <w:tcPr>
            <w:tcW w:w="926" w:type="dxa"/>
            <w:shd w:val="clear" w:color="auto" w:fill="E7E6E6" w:themeFill="background2"/>
            <w:hideMark/>
          </w:tcPr>
          <w:p w14:paraId="7C43A12B" w14:textId="77777777" w:rsidR="005E2BB1" w:rsidRPr="00F45F11" w:rsidRDefault="005E2BB1" w:rsidP="0093234E">
            <w:pPr>
              <w:pStyle w:val="ARtabletextright"/>
              <w:rPr>
                <w:lang w:eastAsia="en-AU"/>
              </w:rPr>
            </w:pPr>
            <w:r w:rsidRPr="00F45F11">
              <w:rPr>
                <w:lang w:eastAsia="en-AU"/>
              </w:rPr>
              <w:t>4</w:t>
            </w:r>
          </w:p>
        </w:tc>
        <w:tc>
          <w:tcPr>
            <w:tcW w:w="927" w:type="dxa"/>
            <w:shd w:val="clear" w:color="auto" w:fill="E7E6E6" w:themeFill="background2"/>
            <w:hideMark/>
          </w:tcPr>
          <w:p w14:paraId="498AF62B" w14:textId="77777777" w:rsidR="005E2BB1" w:rsidRPr="00F45F11" w:rsidRDefault="005E2BB1" w:rsidP="0093234E">
            <w:pPr>
              <w:pStyle w:val="ARtabletextright"/>
              <w:rPr>
                <w:lang w:eastAsia="en-AU"/>
              </w:rPr>
            </w:pPr>
            <w:r w:rsidRPr="00F45F11">
              <w:rPr>
                <w:lang w:eastAsia="en-AU"/>
              </w:rPr>
              <w:t>17.1</w:t>
            </w:r>
          </w:p>
        </w:tc>
        <w:tc>
          <w:tcPr>
            <w:tcW w:w="1057" w:type="dxa"/>
            <w:hideMark/>
          </w:tcPr>
          <w:p w14:paraId="7312B0A7" w14:textId="77777777" w:rsidR="005E2BB1" w:rsidRPr="00F45F11" w:rsidRDefault="005E2BB1" w:rsidP="0093234E">
            <w:pPr>
              <w:pStyle w:val="ARtabletextright"/>
              <w:rPr>
                <w:lang w:eastAsia="en-AU"/>
              </w:rPr>
            </w:pPr>
            <w:r w:rsidRPr="00F45F11">
              <w:rPr>
                <w:lang w:eastAsia="en-AU"/>
              </w:rPr>
              <w:t>2</w:t>
            </w:r>
          </w:p>
        </w:tc>
        <w:tc>
          <w:tcPr>
            <w:tcW w:w="927" w:type="dxa"/>
            <w:hideMark/>
          </w:tcPr>
          <w:p w14:paraId="2F0FD920" w14:textId="77777777" w:rsidR="005E2BB1" w:rsidRPr="00F45F11" w:rsidRDefault="005E2BB1" w:rsidP="0093234E">
            <w:pPr>
              <w:pStyle w:val="ARtabletextright"/>
              <w:rPr>
                <w:lang w:eastAsia="en-AU"/>
              </w:rPr>
            </w:pPr>
            <w:r w:rsidRPr="00F45F11">
              <w:rPr>
                <w:lang w:eastAsia="en-AU"/>
              </w:rPr>
              <w:t>2.0</w:t>
            </w:r>
          </w:p>
        </w:tc>
      </w:tr>
      <w:tr w:rsidR="005E2BB1" w:rsidRPr="00F45F11" w14:paraId="17EFFFF9"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tcBorders>
              <w:bottom w:val="single" w:sz="4" w:space="0" w:color="BFBFBF" w:themeColor="accent2"/>
            </w:tcBorders>
            <w:hideMark/>
          </w:tcPr>
          <w:p w14:paraId="1AD48E1D" w14:textId="77777777" w:rsidR="005E2BB1" w:rsidRPr="00F45F11" w:rsidRDefault="005E2BB1" w:rsidP="0093234E">
            <w:pPr>
              <w:pStyle w:val="ARTabletext"/>
              <w:rPr>
                <w:lang w:eastAsia="en-AU"/>
              </w:rPr>
            </w:pPr>
            <w:r w:rsidRPr="00F45F11">
              <w:rPr>
                <w:lang w:eastAsia="en-AU"/>
              </w:rPr>
              <w:t>DDSO-5</w:t>
            </w:r>
          </w:p>
        </w:tc>
        <w:tc>
          <w:tcPr>
            <w:tcW w:w="992" w:type="dxa"/>
            <w:tcBorders>
              <w:bottom w:val="single" w:sz="4" w:space="0" w:color="BFBFBF" w:themeColor="accent2"/>
            </w:tcBorders>
            <w:shd w:val="clear" w:color="auto" w:fill="E7E6E6" w:themeFill="background2"/>
            <w:hideMark/>
          </w:tcPr>
          <w:p w14:paraId="675CB93D" w14:textId="77777777" w:rsidR="005E2BB1" w:rsidRPr="00F45F11" w:rsidRDefault="005E2BB1" w:rsidP="0093234E">
            <w:pPr>
              <w:pStyle w:val="ARtabletextright"/>
              <w:rPr>
                <w:lang w:eastAsia="en-AU"/>
              </w:rPr>
            </w:pPr>
            <w:r w:rsidRPr="00F45F11">
              <w:rPr>
                <w:lang w:eastAsia="en-AU"/>
              </w:rPr>
              <w:t>5</w:t>
            </w:r>
          </w:p>
        </w:tc>
        <w:tc>
          <w:tcPr>
            <w:tcW w:w="992" w:type="dxa"/>
            <w:tcBorders>
              <w:bottom w:val="single" w:sz="4" w:space="0" w:color="BFBFBF" w:themeColor="accent2"/>
            </w:tcBorders>
            <w:shd w:val="clear" w:color="auto" w:fill="E7E6E6" w:themeFill="background2"/>
            <w:hideMark/>
          </w:tcPr>
          <w:p w14:paraId="6B3B36AB" w14:textId="77777777" w:rsidR="005E2BB1" w:rsidRPr="00F45F11" w:rsidRDefault="005E2BB1" w:rsidP="0093234E">
            <w:pPr>
              <w:pStyle w:val="ARtabletextright"/>
              <w:rPr>
                <w:lang w:eastAsia="en-AU"/>
              </w:rPr>
            </w:pPr>
            <w:r w:rsidRPr="00F45F11">
              <w:rPr>
                <w:lang w:eastAsia="en-AU"/>
              </w:rPr>
              <w:t>5.0</w:t>
            </w:r>
          </w:p>
        </w:tc>
        <w:tc>
          <w:tcPr>
            <w:tcW w:w="926" w:type="dxa"/>
            <w:tcBorders>
              <w:bottom w:val="single" w:sz="4" w:space="0" w:color="BFBFBF" w:themeColor="accent2"/>
            </w:tcBorders>
            <w:hideMark/>
          </w:tcPr>
          <w:p w14:paraId="59AD3255" w14:textId="77777777" w:rsidR="005E2BB1" w:rsidRPr="00F45F11" w:rsidRDefault="005E2BB1" w:rsidP="0093234E">
            <w:pPr>
              <w:pStyle w:val="ARtabletextright"/>
              <w:rPr>
                <w:lang w:eastAsia="en-AU"/>
              </w:rPr>
            </w:pPr>
            <w:r w:rsidRPr="00F45F11">
              <w:rPr>
                <w:lang w:eastAsia="en-AU"/>
              </w:rPr>
              <w:t>5</w:t>
            </w:r>
          </w:p>
        </w:tc>
        <w:tc>
          <w:tcPr>
            <w:tcW w:w="926" w:type="dxa"/>
            <w:tcBorders>
              <w:bottom w:val="single" w:sz="4" w:space="0" w:color="BFBFBF" w:themeColor="accent2"/>
            </w:tcBorders>
            <w:hideMark/>
          </w:tcPr>
          <w:p w14:paraId="6470DC97" w14:textId="77777777" w:rsidR="005E2BB1" w:rsidRPr="00F45F11" w:rsidRDefault="005E2BB1" w:rsidP="0093234E">
            <w:pPr>
              <w:pStyle w:val="ARtabletextright"/>
              <w:rPr>
                <w:lang w:eastAsia="en-AU"/>
              </w:rPr>
            </w:pPr>
            <w:r w:rsidRPr="00F45F11">
              <w:rPr>
                <w:lang w:eastAsia="en-AU"/>
              </w:rPr>
              <w:t>0</w:t>
            </w:r>
          </w:p>
        </w:tc>
        <w:tc>
          <w:tcPr>
            <w:tcW w:w="927" w:type="dxa"/>
            <w:tcBorders>
              <w:bottom w:val="single" w:sz="4" w:space="0" w:color="BFBFBF" w:themeColor="accent2"/>
            </w:tcBorders>
            <w:hideMark/>
          </w:tcPr>
          <w:p w14:paraId="58CB7468" w14:textId="77777777" w:rsidR="005E2BB1" w:rsidRPr="00F45F11" w:rsidRDefault="005E2BB1" w:rsidP="0093234E">
            <w:pPr>
              <w:pStyle w:val="ARtabletextright"/>
              <w:rPr>
                <w:lang w:eastAsia="en-AU"/>
              </w:rPr>
            </w:pPr>
            <w:r w:rsidRPr="00F45F11">
              <w:rPr>
                <w:lang w:eastAsia="en-AU"/>
              </w:rPr>
              <w:t>5.0</w:t>
            </w:r>
          </w:p>
        </w:tc>
        <w:tc>
          <w:tcPr>
            <w:tcW w:w="1057" w:type="dxa"/>
            <w:tcBorders>
              <w:bottom w:val="single" w:sz="4" w:space="0" w:color="BFBFBF" w:themeColor="accent2"/>
            </w:tcBorders>
            <w:shd w:val="clear" w:color="auto" w:fill="E7E6E6" w:themeFill="background2"/>
            <w:hideMark/>
          </w:tcPr>
          <w:p w14:paraId="103D94AC" w14:textId="77777777" w:rsidR="005E2BB1" w:rsidRPr="00F45F11" w:rsidRDefault="005E2BB1" w:rsidP="0093234E">
            <w:pPr>
              <w:pStyle w:val="ARtabletextright"/>
              <w:rPr>
                <w:lang w:eastAsia="en-AU"/>
              </w:rPr>
            </w:pPr>
            <w:r w:rsidRPr="00F45F11">
              <w:rPr>
                <w:lang w:eastAsia="en-AU"/>
              </w:rPr>
              <w:t>0</w:t>
            </w:r>
          </w:p>
        </w:tc>
        <w:tc>
          <w:tcPr>
            <w:tcW w:w="927" w:type="dxa"/>
            <w:tcBorders>
              <w:bottom w:val="single" w:sz="4" w:space="0" w:color="BFBFBF" w:themeColor="accent2"/>
            </w:tcBorders>
            <w:shd w:val="clear" w:color="auto" w:fill="E7E6E6" w:themeFill="background2"/>
            <w:hideMark/>
          </w:tcPr>
          <w:p w14:paraId="257D4AA0" w14:textId="77777777" w:rsidR="005E2BB1" w:rsidRPr="00F45F11" w:rsidRDefault="005E2BB1" w:rsidP="0093234E">
            <w:pPr>
              <w:pStyle w:val="ARtabletextright"/>
              <w:rPr>
                <w:lang w:eastAsia="en-AU"/>
              </w:rPr>
            </w:pPr>
            <w:r w:rsidRPr="00F45F11">
              <w:rPr>
                <w:lang w:eastAsia="en-AU"/>
              </w:rPr>
              <w:t>0.0</w:t>
            </w:r>
          </w:p>
        </w:tc>
        <w:tc>
          <w:tcPr>
            <w:tcW w:w="1057" w:type="dxa"/>
            <w:tcBorders>
              <w:bottom w:val="single" w:sz="4" w:space="0" w:color="BFBFBF" w:themeColor="accent2"/>
            </w:tcBorders>
            <w:hideMark/>
          </w:tcPr>
          <w:p w14:paraId="52A4A22F" w14:textId="77777777" w:rsidR="005E2BB1" w:rsidRPr="00F45F11" w:rsidRDefault="005E2BB1" w:rsidP="0093234E">
            <w:pPr>
              <w:pStyle w:val="ARtabletextright"/>
              <w:rPr>
                <w:lang w:eastAsia="en-AU"/>
              </w:rPr>
            </w:pPr>
            <w:r w:rsidRPr="00F45F11">
              <w:rPr>
                <w:lang w:eastAsia="en-AU"/>
              </w:rPr>
              <w:t>4</w:t>
            </w:r>
          </w:p>
        </w:tc>
        <w:tc>
          <w:tcPr>
            <w:tcW w:w="927" w:type="dxa"/>
            <w:tcBorders>
              <w:bottom w:val="single" w:sz="4" w:space="0" w:color="BFBFBF" w:themeColor="accent2"/>
            </w:tcBorders>
            <w:hideMark/>
          </w:tcPr>
          <w:p w14:paraId="10EEB88C" w14:textId="77777777" w:rsidR="005E2BB1" w:rsidRPr="00F45F11" w:rsidRDefault="005E2BB1" w:rsidP="0093234E">
            <w:pPr>
              <w:pStyle w:val="ARtabletextright"/>
              <w:rPr>
                <w:lang w:eastAsia="en-AU"/>
              </w:rPr>
            </w:pPr>
            <w:r w:rsidRPr="00F45F11">
              <w:rPr>
                <w:lang w:eastAsia="en-AU"/>
              </w:rPr>
              <w:t>4.0</w:t>
            </w:r>
          </w:p>
        </w:tc>
        <w:tc>
          <w:tcPr>
            <w:tcW w:w="926" w:type="dxa"/>
            <w:tcBorders>
              <w:bottom w:val="single" w:sz="4" w:space="0" w:color="BFBFBF" w:themeColor="accent2"/>
            </w:tcBorders>
            <w:shd w:val="clear" w:color="auto" w:fill="E7E6E6" w:themeFill="background2"/>
            <w:hideMark/>
          </w:tcPr>
          <w:p w14:paraId="312A93AC" w14:textId="77777777" w:rsidR="005E2BB1" w:rsidRPr="00F45F11" w:rsidRDefault="005E2BB1" w:rsidP="0093234E">
            <w:pPr>
              <w:pStyle w:val="ARtabletextright"/>
              <w:rPr>
                <w:lang w:eastAsia="en-AU"/>
              </w:rPr>
            </w:pPr>
            <w:r w:rsidRPr="00F45F11">
              <w:rPr>
                <w:lang w:eastAsia="en-AU"/>
              </w:rPr>
              <w:t>4</w:t>
            </w:r>
          </w:p>
        </w:tc>
        <w:tc>
          <w:tcPr>
            <w:tcW w:w="926" w:type="dxa"/>
            <w:tcBorders>
              <w:bottom w:val="single" w:sz="4" w:space="0" w:color="BFBFBF" w:themeColor="accent2"/>
            </w:tcBorders>
            <w:shd w:val="clear" w:color="auto" w:fill="E7E6E6" w:themeFill="background2"/>
            <w:hideMark/>
          </w:tcPr>
          <w:p w14:paraId="49700BE5" w14:textId="77777777" w:rsidR="005E2BB1" w:rsidRPr="00F45F11" w:rsidRDefault="005E2BB1" w:rsidP="0093234E">
            <w:pPr>
              <w:pStyle w:val="ARtabletextright"/>
              <w:rPr>
                <w:lang w:eastAsia="en-AU"/>
              </w:rPr>
            </w:pPr>
            <w:r w:rsidRPr="00F45F11">
              <w:rPr>
                <w:lang w:eastAsia="en-AU"/>
              </w:rPr>
              <w:t>0</w:t>
            </w:r>
          </w:p>
        </w:tc>
        <w:tc>
          <w:tcPr>
            <w:tcW w:w="927" w:type="dxa"/>
            <w:tcBorders>
              <w:bottom w:val="single" w:sz="4" w:space="0" w:color="BFBFBF" w:themeColor="accent2"/>
            </w:tcBorders>
            <w:shd w:val="clear" w:color="auto" w:fill="E7E6E6" w:themeFill="background2"/>
            <w:hideMark/>
          </w:tcPr>
          <w:p w14:paraId="6A8524EF" w14:textId="77777777" w:rsidR="005E2BB1" w:rsidRPr="00F45F11" w:rsidRDefault="005E2BB1" w:rsidP="0093234E">
            <w:pPr>
              <w:pStyle w:val="ARtabletextright"/>
              <w:rPr>
                <w:lang w:eastAsia="en-AU"/>
              </w:rPr>
            </w:pPr>
            <w:r w:rsidRPr="00F45F11">
              <w:rPr>
                <w:lang w:eastAsia="en-AU"/>
              </w:rPr>
              <w:t>4.0</w:t>
            </w:r>
          </w:p>
        </w:tc>
        <w:tc>
          <w:tcPr>
            <w:tcW w:w="1057" w:type="dxa"/>
            <w:tcBorders>
              <w:bottom w:val="single" w:sz="4" w:space="0" w:color="BFBFBF" w:themeColor="accent2"/>
            </w:tcBorders>
            <w:hideMark/>
          </w:tcPr>
          <w:p w14:paraId="10E6CF60" w14:textId="77777777" w:rsidR="005E2BB1" w:rsidRPr="00F45F11" w:rsidRDefault="005E2BB1" w:rsidP="0093234E">
            <w:pPr>
              <w:pStyle w:val="ARtabletextright"/>
              <w:rPr>
                <w:lang w:eastAsia="en-AU"/>
              </w:rPr>
            </w:pPr>
            <w:r w:rsidRPr="00F45F11">
              <w:rPr>
                <w:lang w:eastAsia="en-AU"/>
              </w:rPr>
              <w:t>0</w:t>
            </w:r>
          </w:p>
        </w:tc>
        <w:tc>
          <w:tcPr>
            <w:tcW w:w="927" w:type="dxa"/>
            <w:tcBorders>
              <w:bottom w:val="single" w:sz="4" w:space="0" w:color="BFBFBF" w:themeColor="accent2"/>
            </w:tcBorders>
            <w:hideMark/>
          </w:tcPr>
          <w:p w14:paraId="01AE5498" w14:textId="77777777" w:rsidR="005E2BB1" w:rsidRPr="00F45F11" w:rsidRDefault="005E2BB1" w:rsidP="0093234E">
            <w:pPr>
              <w:pStyle w:val="ARtabletextright"/>
              <w:rPr>
                <w:lang w:eastAsia="en-AU"/>
              </w:rPr>
            </w:pPr>
            <w:r w:rsidRPr="00F45F11">
              <w:rPr>
                <w:lang w:eastAsia="en-AU"/>
              </w:rPr>
              <w:t>0.0</w:t>
            </w:r>
          </w:p>
        </w:tc>
      </w:tr>
      <w:tr w:rsidR="005E2BB1" w:rsidRPr="00F45F11" w14:paraId="5F5D493D"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tcBorders>
              <w:top w:val="single" w:sz="4" w:space="0" w:color="BFBFBF" w:themeColor="accent2"/>
              <w:bottom w:val="single" w:sz="4" w:space="0" w:color="auto"/>
            </w:tcBorders>
            <w:hideMark/>
          </w:tcPr>
          <w:p w14:paraId="6D3BA223" w14:textId="77777777" w:rsidR="005E2BB1" w:rsidRPr="00F45F11" w:rsidRDefault="005E2BB1" w:rsidP="0093234E">
            <w:pPr>
              <w:pStyle w:val="ARTabletext"/>
              <w:rPr>
                <w:lang w:eastAsia="en-AU"/>
              </w:rPr>
            </w:pPr>
            <w:r w:rsidRPr="00F45F11">
              <w:rPr>
                <w:lang w:eastAsia="en-AU"/>
              </w:rPr>
              <w:t>DDSO-6</w:t>
            </w:r>
          </w:p>
        </w:tc>
        <w:tc>
          <w:tcPr>
            <w:tcW w:w="992" w:type="dxa"/>
            <w:tcBorders>
              <w:top w:val="single" w:sz="4" w:space="0" w:color="BFBFBF" w:themeColor="accent2"/>
              <w:bottom w:val="single" w:sz="4" w:space="0" w:color="auto"/>
            </w:tcBorders>
            <w:shd w:val="clear" w:color="auto" w:fill="E7E6E6" w:themeFill="background2"/>
            <w:hideMark/>
          </w:tcPr>
          <w:p w14:paraId="23C80FC7" w14:textId="77777777" w:rsidR="005E2BB1" w:rsidRPr="00F45F11" w:rsidRDefault="005E2BB1" w:rsidP="0093234E">
            <w:pPr>
              <w:pStyle w:val="ARtabletextright"/>
              <w:rPr>
                <w:lang w:eastAsia="en-AU"/>
              </w:rPr>
            </w:pPr>
            <w:r w:rsidRPr="00F45F11">
              <w:rPr>
                <w:lang w:eastAsia="en-AU"/>
              </w:rPr>
              <w:t>0</w:t>
            </w:r>
          </w:p>
        </w:tc>
        <w:tc>
          <w:tcPr>
            <w:tcW w:w="992" w:type="dxa"/>
            <w:tcBorders>
              <w:top w:val="single" w:sz="4" w:space="0" w:color="BFBFBF" w:themeColor="accent2"/>
              <w:bottom w:val="single" w:sz="4" w:space="0" w:color="auto"/>
            </w:tcBorders>
            <w:shd w:val="clear" w:color="auto" w:fill="E7E6E6" w:themeFill="background2"/>
            <w:hideMark/>
          </w:tcPr>
          <w:p w14:paraId="4D1210E5" w14:textId="77777777" w:rsidR="005E2BB1" w:rsidRPr="00F45F11" w:rsidRDefault="005E2BB1" w:rsidP="0093234E">
            <w:pPr>
              <w:pStyle w:val="ARtabletextright"/>
              <w:rPr>
                <w:lang w:eastAsia="en-AU"/>
              </w:rPr>
            </w:pPr>
            <w:r w:rsidRPr="00F45F11">
              <w:rPr>
                <w:lang w:eastAsia="en-AU"/>
              </w:rPr>
              <w:t>0.0</w:t>
            </w:r>
          </w:p>
        </w:tc>
        <w:tc>
          <w:tcPr>
            <w:tcW w:w="926" w:type="dxa"/>
            <w:tcBorders>
              <w:top w:val="single" w:sz="4" w:space="0" w:color="BFBFBF" w:themeColor="accent2"/>
              <w:bottom w:val="single" w:sz="4" w:space="0" w:color="auto"/>
            </w:tcBorders>
            <w:hideMark/>
          </w:tcPr>
          <w:p w14:paraId="491F0598" w14:textId="77777777" w:rsidR="005E2BB1" w:rsidRPr="00F45F11" w:rsidRDefault="005E2BB1" w:rsidP="0093234E">
            <w:pPr>
              <w:pStyle w:val="ARtabletextright"/>
              <w:rPr>
                <w:lang w:eastAsia="en-AU"/>
              </w:rPr>
            </w:pPr>
            <w:r w:rsidRPr="00F45F11">
              <w:rPr>
                <w:lang w:eastAsia="en-AU"/>
              </w:rPr>
              <w:t>0</w:t>
            </w:r>
          </w:p>
        </w:tc>
        <w:tc>
          <w:tcPr>
            <w:tcW w:w="926" w:type="dxa"/>
            <w:tcBorders>
              <w:top w:val="single" w:sz="4" w:space="0" w:color="BFBFBF" w:themeColor="accent2"/>
              <w:bottom w:val="single" w:sz="4" w:space="0" w:color="auto"/>
            </w:tcBorders>
            <w:hideMark/>
          </w:tcPr>
          <w:p w14:paraId="46268158" w14:textId="77777777" w:rsidR="005E2BB1" w:rsidRPr="00F45F11" w:rsidRDefault="005E2BB1" w:rsidP="0093234E">
            <w:pPr>
              <w:pStyle w:val="ARtabletextright"/>
              <w:rPr>
                <w:lang w:eastAsia="en-AU"/>
              </w:rPr>
            </w:pPr>
            <w:r w:rsidRPr="00F45F11">
              <w:rPr>
                <w:lang w:eastAsia="en-AU"/>
              </w:rPr>
              <w:t>0</w:t>
            </w:r>
          </w:p>
        </w:tc>
        <w:tc>
          <w:tcPr>
            <w:tcW w:w="927" w:type="dxa"/>
            <w:tcBorders>
              <w:top w:val="single" w:sz="4" w:space="0" w:color="BFBFBF" w:themeColor="accent2"/>
              <w:bottom w:val="single" w:sz="4" w:space="0" w:color="auto"/>
            </w:tcBorders>
            <w:hideMark/>
          </w:tcPr>
          <w:p w14:paraId="4E3CE0BD" w14:textId="77777777" w:rsidR="005E2BB1" w:rsidRPr="00F45F11" w:rsidRDefault="005E2BB1" w:rsidP="0093234E">
            <w:pPr>
              <w:pStyle w:val="ARtabletextright"/>
              <w:rPr>
                <w:lang w:eastAsia="en-AU"/>
              </w:rPr>
            </w:pPr>
            <w:r w:rsidRPr="00F45F11">
              <w:rPr>
                <w:lang w:eastAsia="en-AU"/>
              </w:rPr>
              <w:t>0.0</w:t>
            </w:r>
          </w:p>
        </w:tc>
        <w:tc>
          <w:tcPr>
            <w:tcW w:w="1057" w:type="dxa"/>
            <w:tcBorders>
              <w:top w:val="single" w:sz="4" w:space="0" w:color="BFBFBF" w:themeColor="accent2"/>
              <w:bottom w:val="single" w:sz="4" w:space="0" w:color="auto"/>
            </w:tcBorders>
            <w:shd w:val="clear" w:color="auto" w:fill="E7E6E6" w:themeFill="background2"/>
            <w:hideMark/>
          </w:tcPr>
          <w:p w14:paraId="10868F5A" w14:textId="77777777" w:rsidR="005E2BB1" w:rsidRPr="00F45F11" w:rsidRDefault="005E2BB1" w:rsidP="0093234E">
            <w:pPr>
              <w:pStyle w:val="ARtabletextright"/>
              <w:rPr>
                <w:lang w:eastAsia="en-AU"/>
              </w:rPr>
            </w:pPr>
            <w:r w:rsidRPr="00F45F11">
              <w:rPr>
                <w:lang w:eastAsia="en-AU"/>
              </w:rPr>
              <w:t>0</w:t>
            </w:r>
          </w:p>
        </w:tc>
        <w:tc>
          <w:tcPr>
            <w:tcW w:w="927" w:type="dxa"/>
            <w:tcBorders>
              <w:top w:val="single" w:sz="4" w:space="0" w:color="BFBFBF" w:themeColor="accent2"/>
              <w:bottom w:val="single" w:sz="4" w:space="0" w:color="auto"/>
            </w:tcBorders>
            <w:shd w:val="clear" w:color="auto" w:fill="E7E6E6" w:themeFill="background2"/>
            <w:hideMark/>
          </w:tcPr>
          <w:p w14:paraId="15361743" w14:textId="77777777" w:rsidR="005E2BB1" w:rsidRPr="00F45F11" w:rsidRDefault="005E2BB1" w:rsidP="0093234E">
            <w:pPr>
              <w:pStyle w:val="ARtabletextright"/>
              <w:rPr>
                <w:lang w:eastAsia="en-AU"/>
              </w:rPr>
            </w:pPr>
            <w:r w:rsidRPr="00F45F11">
              <w:rPr>
                <w:lang w:eastAsia="en-AU"/>
              </w:rPr>
              <w:t>0.0</w:t>
            </w:r>
          </w:p>
        </w:tc>
        <w:tc>
          <w:tcPr>
            <w:tcW w:w="1057" w:type="dxa"/>
            <w:tcBorders>
              <w:top w:val="single" w:sz="4" w:space="0" w:color="BFBFBF" w:themeColor="accent2"/>
              <w:bottom w:val="single" w:sz="4" w:space="0" w:color="auto"/>
            </w:tcBorders>
            <w:hideMark/>
          </w:tcPr>
          <w:p w14:paraId="57271538" w14:textId="77777777" w:rsidR="005E2BB1" w:rsidRPr="00F45F11" w:rsidRDefault="005E2BB1" w:rsidP="0093234E">
            <w:pPr>
              <w:pStyle w:val="ARtabletextright"/>
              <w:rPr>
                <w:lang w:eastAsia="en-AU"/>
              </w:rPr>
            </w:pPr>
            <w:r w:rsidRPr="00F45F11">
              <w:rPr>
                <w:lang w:eastAsia="en-AU"/>
              </w:rPr>
              <w:t>0</w:t>
            </w:r>
          </w:p>
        </w:tc>
        <w:tc>
          <w:tcPr>
            <w:tcW w:w="927" w:type="dxa"/>
            <w:tcBorders>
              <w:top w:val="single" w:sz="4" w:space="0" w:color="BFBFBF" w:themeColor="accent2"/>
              <w:bottom w:val="single" w:sz="4" w:space="0" w:color="auto"/>
            </w:tcBorders>
            <w:hideMark/>
          </w:tcPr>
          <w:p w14:paraId="1165E1CF" w14:textId="77777777" w:rsidR="005E2BB1" w:rsidRPr="00F45F11" w:rsidRDefault="005E2BB1" w:rsidP="0093234E">
            <w:pPr>
              <w:pStyle w:val="ARtabletextright"/>
              <w:rPr>
                <w:lang w:eastAsia="en-AU"/>
              </w:rPr>
            </w:pPr>
            <w:r w:rsidRPr="00F45F11">
              <w:rPr>
                <w:lang w:eastAsia="en-AU"/>
              </w:rPr>
              <w:t>0.0</w:t>
            </w:r>
          </w:p>
        </w:tc>
        <w:tc>
          <w:tcPr>
            <w:tcW w:w="926" w:type="dxa"/>
            <w:tcBorders>
              <w:top w:val="single" w:sz="4" w:space="0" w:color="BFBFBF" w:themeColor="accent2"/>
              <w:bottom w:val="single" w:sz="4" w:space="0" w:color="auto"/>
            </w:tcBorders>
            <w:shd w:val="clear" w:color="auto" w:fill="E7E6E6" w:themeFill="background2"/>
            <w:hideMark/>
          </w:tcPr>
          <w:p w14:paraId="0C947B39" w14:textId="77777777" w:rsidR="005E2BB1" w:rsidRPr="00F45F11" w:rsidRDefault="005E2BB1" w:rsidP="0093234E">
            <w:pPr>
              <w:pStyle w:val="ARtabletextright"/>
              <w:rPr>
                <w:lang w:eastAsia="en-AU"/>
              </w:rPr>
            </w:pPr>
            <w:r w:rsidRPr="00F45F11">
              <w:rPr>
                <w:lang w:eastAsia="en-AU"/>
              </w:rPr>
              <w:t>0</w:t>
            </w:r>
          </w:p>
        </w:tc>
        <w:tc>
          <w:tcPr>
            <w:tcW w:w="926" w:type="dxa"/>
            <w:tcBorders>
              <w:top w:val="single" w:sz="4" w:space="0" w:color="BFBFBF" w:themeColor="accent2"/>
              <w:bottom w:val="single" w:sz="4" w:space="0" w:color="auto"/>
            </w:tcBorders>
            <w:shd w:val="clear" w:color="auto" w:fill="E7E6E6" w:themeFill="background2"/>
            <w:hideMark/>
          </w:tcPr>
          <w:p w14:paraId="3747F5F3" w14:textId="77777777" w:rsidR="005E2BB1" w:rsidRPr="00F45F11" w:rsidRDefault="005E2BB1" w:rsidP="0093234E">
            <w:pPr>
              <w:pStyle w:val="ARtabletextright"/>
              <w:rPr>
                <w:lang w:eastAsia="en-AU"/>
              </w:rPr>
            </w:pPr>
            <w:r w:rsidRPr="00F45F11">
              <w:rPr>
                <w:lang w:eastAsia="en-AU"/>
              </w:rPr>
              <w:t>0</w:t>
            </w:r>
          </w:p>
        </w:tc>
        <w:tc>
          <w:tcPr>
            <w:tcW w:w="927" w:type="dxa"/>
            <w:tcBorders>
              <w:top w:val="single" w:sz="4" w:space="0" w:color="BFBFBF" w:themeColor="accent2"/>
              <w:bottom w:val="single" w:sz="4" w:space="0" w:color="auto"/>
            </w:tcBorders>
            <w:shd w:val="clear" w:color="auto" w:fill="E7E6E6" w:themeFill="background2"/>
            <w:hideMark/>
          </w:tcPr>
          <w:p w14:paraId="5EB3469D" w14:textId="77777777" w:rsidR="005E2BB1" w:rsidRPr="00F45F11" w:rsidRDefault="005E2BB1" w:rsidP="0093234E">
            <w:pPr>
              <w:pStyle w:val="ARtabletextright"/>
              <w:rPr>
                <w:lang w:eastAsia="en-AU"/>
              </w:rPr>
            </w:pPr>
            <w:r w:rsidRPr="00F45F11">
              <w:rPr>
                <w:lang w:eastAsia="en-AU"/>
              </w:rPr>
              <w:t>0.0</w:t>
            </w:r>
          </w:p>
        </w:tc>
        <w:tc>
          <w:tcPr>
            <w:tcW w:w="1057" w:type="dxa"/>
            <w:tcBorders>
              <w:top w:val="single" w:sz="4" w:space="0" w:color="BFBFBF" w:themeColor="accent2"/>
              <w:bottom w:val="single" w:sz="4" w:space="0" w:color="auto"/>
            </w:tcBorders>
            <w:hideMark/>
          </w:tcPr>
          <w:p w14:paraId="1EA8DEFC" w14:textId="77777777" w:rsidR="005E2BB1" w:rsidRPr="00F45F11" w:rsidRDefault="005E2BB1" w:rsidP="0093234E">
            <w:pPr>
              <w:pStyle w:val="ARtabletextright"/>
              <w:rPr>
                <w:lang w:eastAsia="en-AU"/>
              </w:rPr>
            </w:pPr>
            <w:r w:rsidRPr="00F45F11">
              <w:rPr>
                <w:lang w:eastAsia="en-AU"/>
              </w:rPr>
              <w:t>0</w:t>
            </w:r>
          </w:p>
        </w:tc>
        <w:tc>
          <w:tcPr>
            <w:tcW w:w="927" w:type="dxa"/>
            <w:tcBorders>
              <w:top w:val="single" w:sz="4" w:space="0" w:color="BFBFBF" w:themeColor="accent2"/>
              <w:bottom w:val="single" w:sz="4" w:space="0" w:color="auto"/>
            </w:tcBorders>
            <w:hideMark/>
          </w:tcPr>
          <w:p w14:paraId="4F7F3D3E" w14:textId="77777777" w:rsidR="005E2BB1" w:rsidRPr="00F45F11" w:rsidRDefault="005E2BB1" w:rsidP="0093234E">
            <w:pPr>
              <w:pStyle w:val="ARtabletextright"/>
              <w:rPr>
                <w:lang w:eastAsia="en-AU"/>
              </w:rPr>
            </w:pPr>
            <w:r w:rsidRPr="00F45F11">
              <w:rPr>
                <w:lang w:eastAsia="en-AU"/>
              </w:rPr>
              <w:t>0.0</w:t>
            </w:r>
          </w:p>
        </w:tc>
      </w:tr>
      <w:tr w:rsidR="005E2BB1" w:rsidRPr="00F45F11" w14:paraId="135514D8"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tcBorders>
              <w:top w:val="single" w:sz="4" w:space="0" w:color="auto"/>
              <w:bottom w:val="single" w:sz="4" w:space="0" w:color="auto"/>
            </w:tcBorders>
            <w:hideMark/>
          </w:tcPr>
          <w:p w14:paraId="18CFA193" w14:textId="77777777" w:rsidR="005E2BB1" w:rsidRPr="00F45F11" w:rsidRDefault="005E2BB1" w:rsidP="0072004C">
            <w:pPr>
              <w:pStyle w:val="ARtabletextbold"/>
              <w:rPr>
                <w:lang w:eastAsia="en-AU"/>
              </w:rPr>
            </w:pPr>
            <w:r w:rsidRPr="00F45F11">
              <w:rPr>
                <w:lang w:eastAsia="en-AU"/>
              </w:rPr>
              <w:t>Total</w:t>
            </w:r>
          </w:p>
        </w:tc>
        <w:tc>
          <w:tcPr>
            <w:tcW w:w="992" w:type="dxa"/>
            <w:tcBorders>
              <w:top w:val="single" w:sz="4" w:space="0" w:color="auto"/>
              <w:bottom w:val="single" w:sz="4" w:space="0" w:color="auto"/>
            </w:tcBorders>
            <w:shd w:val="clear" w:color="auto" w:fill="E7E6E6" w:themeFill="background2"/>
            <w:hideMark/>
          </w:tcPr>
          <w:p w14:paraId="707633E7" w14:textId="77777777" w:rsidR="005E2BB1" w:rsidRPr="00F45F11" w:rsidRDefault="005E2BB1" w:rsidP="0072004C">
            <w:pPr>
              <w:pStyle w:val="ARtabletextrightbold"/>
              <w:rPr>
                <w:lang w:eastAsia="en-AU"/>
              </w:rPr>
            </w:pPr>
            <w:r w:rsidRPr="00F45F11">
              <w:rPr>
                <w:lang w:eastAsia="en-AU"/>
              </w:rPr>
              <w:t>164</w:t>
            </w:r>
          </w:p>
        </w:tc>
        <w:tc>
          <w:tcPr>
            <w:tcW w:w="992" w:type="dxa"/>
            <w:tcBorders>
              <w:top w:val="single" w:sz="4" w:space="0" w:color="auto"/>
              <w:bottom w:val="single" w:sz="4" w:space="0" w:color="auto"/>
            </w:tcBorders>
            <w:shd w:val="clear" w:color="auto" w:fill="E7E6E6" w:themeFill="background2"/>
            <w:hideMark/>
          </w:tcPr>
          <w:p w14:paraId="01B22B45" w14:textId="77777777" w:rsidR="005E2BB1" w:rsidRPr="00F45F11" w:rsidRDefault="005E2BB1" w:rsidP="0072004C">
            <w:pPr>
              <w:pStyle w:val="ARtabletextrightbold"/>
              <w:rPr>
                <w:lang w:eastAsia="en-AU"/>
              </w:rPr>
            </w:pPr>
            <w:r w:rsidRPr="00F45F11">
              <w:rPr>
                <w:lang w:eastAsia="en-AU"/>
              </w:rPr>
              <w:t>143.1</w:t>
            </w:r>
          </w:p>
        </w:tc>
        <w:tc>
          <w:tcPr>
            <w:tcW w:w="926" w:type="dxa"/>
            <w:tcBorders>
              <w:top w:val="single" w:sz="4" w:space="0" w:color="auto"/>
              <w:bottom w:val="single" w:sz="4" w:space="0" w:color="auto"/>
            </w:tcBorders>
            <w:hideMark/>
          </w:tcPr>
          <w:p w14:paraId="2B329D68" w14:textId="77777777" w:rsidR="005E2BB1" w:rsidRPr="00F45F11" w:rsidRDefault="005E2BB1" w:rsidP="0072004C">
            <w:pPr>
              <w:pStyle w:val="ARtabletextrightbold"/>
              <w:rPr>
                <w:lang w:eastAsia="en-AU"/>
              </w:rPr>
            </w:pPr>
            <w:r w:rsidRPr="00F45F11">
              <w:rPr>
                <w:lang w:eastAsia="en-AU"/>
              </w:rPr>
              <w:t>92</w:t>
            </w:r>
          </w:p>
        </w:tc>
        <w:tc>
          <w:tcPr>
            <w:tcW w:w="926" w:type="dxa"/>
            <w:tcBorders>
              <w:top w:val="single" w:sz="4" w:space="0" w:color="auto"/>
              <w:bottom w:val="single" w:sz="4" w:space="0" w:color="auto"/>
            </w:tcBorders>
            <w:hideMark/>
          </w:tcPr>
          <w:p w14:paraId="4FCD601F" w14:textId="77777777" w:rsidR="005E2BB1" w:rsidRPr="00F45F11" w:rsidRDefault="005E2BB1" w:rsidP="0072004C">
            <w:pPr>
              <w:pStyle w:val="ARtabletextrightbold"/>
              <w:rPr>
                <w:lang w:eastAsia="en-AU"/>
              </w:rPr>
            </w:pPr>
            <w:r w:rsidRPr="00F45F11">
              <w:rPr>
                <w:lang w:eastAsia="en-AU"/>
              </w:rPr>
              <w:t>14</w:t>
            </w:r>
          </w:p>
        </w:tc>
        <w:tc>
          <w:tcPr>
            <w:tcW w:w="927" w:type="dxa"/>
            <w:tcBorders>
              <w:top w:val="single" w:sz="4" w:space="0" w:color="auto"/>
              <w:bottom w:val="single" w:sz="4" w:space="0" w:color="auto"/>
            </w:tcBorders>
            <w:hideMark/>
          </w:tcPr>
          <w:p w14:paraId="14ED5EBB" w14:textId="77777777" w:rsidR="005E2BB1" w:rsidRPr="00F45F11" w:rsidRDefault="005E2BB1" w:rsidP="0072004C">
            <w:pPr>
              <w:pStyle w:val="ARtabletextrightbold"/>
              <w:rPr>
                <w:lang w:eastAsia="en-AU"/>
              </w:rPr>
            </w:pPr>
            <w:r w:rsidRPr="00F45F11">
              <w:rPr>
                <w:lang w:eastAsia="en-AU"/>
              </w:rPr>
              <w:t>101.5</w:t>
            </w:r>
          </w:p>
        </w:tc>
        <w:tc>
          <w:tcPr>
            <w:tcW w:w="1057" w:type="dxa"/>
            <w:tcBorders>
              <w:top w:val="single" w:sz="4" w:space="0" w:color="auto"/>
              <w:bottom w:val="single" w:sz="4" w:space="0" w:color="auto"/>
            </w:tcBorders>
            <w:shd w:val="clear" w:color="auto" w:fill="E7E6E6" w:themeFill="background2"/>
            <w:hideMark/>
          </w:tcPr>
          <w:p w14:paraId="7157DAC3" w14:textId="77777777" w:rsidR="005E2BB1" w:rsidRPr="00F45F11" w:rsidRDefault="005E2BB1" w:rsidP="0072004C">
            <w:pPr>
              <w:pStyle w:val="ARtabletextrightbold"/>
              <w:rPr>
                <w:lang w:eastAsia="en-AU"/>
              </w:rPr>
            </w:pPr>
            <w:r w:rsidRPr="00F45F11">
              <w:rPr>
                <w:lang w:eastAsia="en-AU"/>
              </w:rPr>
              <w:t>58</w:t>
            </w:r>
          </w:p>
        </w:tc>
        <w:tc>
          <w:tcPr>
            <w:tcW w:w="927" w:type="dxa"/>
            <w:tcBorders>
              <w:top w:val="single" w:sz="4" w:space="0" w:color="auto"/>
              <w:bottom w:val="single" w:sz="4" w:space="0" w:color="auto"/>
            </w:tcBorders>
            <w:shd w:val="clear" w:color="auto" w:fill="E7E6E6" w:themeFill="background2"/>
            <w:hideMark/>
          </w:tcPr>
          <w:p w14:paraId="527058D5" w14:textId="77777777" w:rsidR="005E2BB1" w:rsidRPr="00F45F11" w:rsidRDefault="005E2BB1" w:rsidP="0072004C">
            <w:pPr>
              <w:pStyle w:val="ARtabletextrightbold"/>
              <w:rPr>
                <w:lang w:eastAsia="en-AU"/>
              </w:rPr>
            </w:pPr>
            <w:r w:rsidRPr="00F45F11">
              <w:rPr>
                <w:lang w:eastAsia="en-AU"/>
              </w:rPr>
              <w:t>41.5</w:t>
            </w:r>
          </w:p>
        </w:tc>
        <w:tc>
          <w:tcPr>
            <w:tcW w:w="1057" w:type="dxa"/>
            <w:tcBorders>
              <w:top w:val="single" w:sz="4" w:space="0" w:color="auto"/>
              <w:bottom w:val="single" w:sz="4" w:space="0" w:color="auto"/>
            </w:tcBorders>
            <w:hideMark/>
          </w:tcPr>
          <w:p w14:paraId="3B0CD618" w14:textId="77777777" w:rsidR="005E2BB1" w:rsidRPr="00F45F11" w:rsidRDefault="005E2BB1" w:rsidP="0072004C">
            <w:pPr>
              <w:pStyle w:val="ARtabletextrightbold"/>
              <w:rPr>
                <w:lang w:eastAsia="en-AU"/>
              </w:rPr>
            </w:pPr>
            <w:r w:rsidRPr="00F45F11">
              <w:rPr>
                <w:lang w:eastAsia="en-AU"/>
              </w:rPr>
              <w:t>160</w:t>
            </w:r>
          </w:p>
        </w:tc>
        <w:tc>
          <w:tcPr>
            <w:tcW w:w="927" w:type="dxa"/>
            <w:tcBorders>
              <w:top w:val="single" w:sz="4" w:space="0" w:color="auto"/>
              <w:bottom w:val="single" w:sz="4" w:space="0" w:color="auto"/>
            </w:tcBorders>
            <w:hideMark/>
          </w:tcPr>
          <w:p w14:paraId="767E3414" w14:textId="77777777" w:rsidR="005E2BB1" w:rsidRPr="00F45F11" w:rsidRDefault="005E2BB1" w:rsidP="0072004C">
            <w:pPr>
              <w:pStyle w:val="ARtabletextrightbold"/>
              <w:rPr>
                <w:lang w:eastAsia="en-AU"/>
              </w:rPr>
            </w:pPr>
            <w:r w:rsidRPr="00F45F11">
              <w:rPr>
                <w:lang w:eastAsia="en-AU"/>
              </w:rPr>
              <w:t>139.4</w:t>
            </w:r>
          </w:p>
        </w:tc>
        <w:tc>
          <w:tcPr>
            <w:tcW w:w="926" w:type="dxa"/>
            <w:tcBorders>
              <w:top w:val="single" w:sz="4" w:space="0" w:color="auto"/>
              <w:bottom w:val="single" w:sz="4" w:space="0" w:color="auto"/>
            </w:tcBorders>
            <w:shd w:val="clear" w:color="auto" w:fill="E7E6E6" w:themeFill="background2"/>
            <w:hideMark/>
          </w:tcPr>
          <w:p w14:paraId="62A0C98A" w14:textId="77777777" w:rsidR="005E2BB1" w:rsidRPr="00F45F11" w:rsidRDefault="005E2BB1" w:rsidP="0072004C">
            <w:pPr>
              <w:pStyle w:val="ARtabletextrightbold"/>
              <w:rPr>
                <w:lang w:eastAsia="en-AU"/>
              </w:rPr>
            </w:pPr>
            <w:r w:rsidRPr="00F45F11">
              <w:rPr>
                <w:lang w:eastAsia="en-AU"/>
              </w:rPr>
              <w:t>82</w:t>
            </w:r>
          </w:p>
        </w:tc>
        <w:tc>
          <w:tcPr>
            <w:tcW w:w="926" w:type="dxa"/>
            <w:tcBorders>
              <w:top w:val="single" w:sz="4" w:space="0" w:color="auto"/>
              <w:bottom w:val="single" w:sz="4" w:space="0" w:color="auto"/>
            </w:tcBorders>
            <w:shd w:val="clear" w:color="auto" w:fill="E7E6E6" w:themeFill="background2"/>
            <w:hideMark/>
          </w:tcPr>
          <w:p w14:paraId="4D60B116" w14:textId="77777777" w:rsidR="005E2BB1" w:rsidRPr="00F45F11" w:rsidRDefault="005E2BB1" w:rsidP="0072004C">
            <w:pPr>
              <w:pStyle w:val="ARtabletextrightbold"/>
              <w:rPr>
                <w:lang w:eastAsia="en-AU"/>
              </w:rPr>
            </w:pPr>
            <w:r w:rsidRPr="00F45F11">
              <w:rPr>
                <w:lang w:eastAsia="en-AU"/>
              </w:rPr>
              <w:t>19</w:t>
            </w:r>
          </w:p>
        </w:tc>
        <w:tc>
          <w:tcPr>
            <w:tcW w:w="927" w:type="dxa"/>
            <w:tcBorders>
              <w:top w:val="single" w:sz="4" w:space="0" w:color="auto"/>
              <w:bottom w:val="single" w:sz="4" w:space="0" w:color="auto"/>
            </w:tcBorders>
            <w:shd w:val="clear" w:color="auto" w:fill="E7E6E6" w:themeFill="background2"/>
            <w:hideMark/>
          </w:tcPr>
          <w:p w14:paraId="11767FCC" w14:textId="77777777" w:rsidR="005E2BB1" w:rsidRPr="00F45F11" w:rsidRDefault="005E2BB1" w:rsidP="0072004C">
            <w:pPr>
              <w:pStyle w:val="ARtabletextrightbold"/>
              <w:rPr>
                <w:lang w:eastAsia="en-AU"/>
              </w:rPr>
            </w:pPr>
            <w:r w:rsidRPr="00F45F11">
              <w:rPr>
                <w:lang w:eastAsia="en-AU"/>
              </w:rPr>
              <w:t>95.3</w:t>
            </w:r>
          </w:p>
        </w:tc>
        <w:tc>
          <w:tcPr>
            <w:tcW w:w="1057" w:type="dxa"/>
            <w:tcBorders>
              <w:top w:val="single" w:sz="4" w:space="0" w:color="auto"/>
              <w:bottom w:val="single" w:sz="4" w:space="0" w:color="auto"/>
            </w:tcBorders>
            <w:hideMark/>
          </w:tcPr>
          <w:p w14:paraId="0A1170AE" w14:textId="77777777" w:rsidR="005E2BB1" w:rsidRPr="00F45F11" w:rsidRDefault="005E2BB1" w:rsidP="0072004C">
            <w:pPr>
              <w:pStyle w:val="ARtabletextrightbold"/>
              <w:rPr>
                <w:lang w:eastAsia="en-AU"/>
              </w:rPr>
            </w:pPr>
            <w:r w:rsidRPr="00F45F11">
              <w:rPr>
                <w:lang w:eastAsia="en-AU"/>
              </w:rPr>
              <w:t>59</w:t>
            </w:r>
          </w:p>
        </w:tc>
        <w:tc>
          <w:tcPr>
            <w:tcW w:w="927" w:type="dxa"/>
            <w:tcBorders>
              <w:top w:val="single" w:sz="4" w:space="0" w:color="auto"/>
              <w:bottom w:val="single" w:sz="4" w:space="0" w:color="auto"/>
            </w:tcBorders>
            <w:hideMark/>
          </w:tcPr>
          <w:p w14:paraId="5A1C8632" w14:textId="77777777" w:rsidR="005E2BB1" w:rsidRPr="00F45F11" w:rsidRDefault="005E2BB1" w:rsidP="0072004C">
            <w:pPr>
              <w:pStyle w:val="ARtabletextrightbold"/>
              <w:rPr>
                <w:lang w:eastAsia="en-AU"/>
              </w:rPr>
            </w:pPr>
            <w:r w:rsidRPr="00F45F11">
              <w:rPr>
                <w:lang w:eastAsia="en-AU"/>
              </w:rPr>
              <w:t>44.1</w:t>
            </w:r>
          </w:p>
        </w:tc>
      </w:tr>
      <w:tr w:rsidR="00F659C1" w:rsidRPr="00F45F11" w14:paraId="47AC6DE1"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tcPr>
          <w:p w14:paraId="2BEEF8DA" w14:textId="1DC13CB8" w:rsidR="00F659C1" w:rsidRPr="00F45F11" w:rsidRDefault="00F659C1" w:rsidP="00F659C1">
            <w:pPr>
              <w:pStyle w:val="ARTabletextboldcoloured"/>
              <w:rPr>
                <w:lang w:eastAsia="en-AU"/>
              </w:rPr>
            </w:pPr>
            <w:r w:rsidRPr="00F45F11">
              <w:rPr>
                <w:lang w:eastAsia="en-AU"/>
              </w:rPr>
              <w:t>Housing Services </w:t>
            </w:r>
          </w:p>
        </w:tc>
        <w:tc>
          <w:tcPr>
            <w:tcW w:w="992" w:type="dxa"/>
          </w:tcPr>
          <w:p w14:paraId="09CD9D1D" w14:textId="77777777" w:rsidR="00F659C1" w:rsidRPr="00F45F11" w:rsidRDefault="00F659C1" w:rsidP="0093234E">
            <w:pPr>
              <w:pStyle w:val="ARtabletextright"/>
              <w:rPr>
                <w:lang w:eastAsia="en-AU"/>
              </w:rPr>
            </w:pPr>
          </w:p>
        </w:tc>
        <w:tc>
          <w:tcPr>
            <w:tcW w:w="992" w:type="dxa"/>
          </w:tcPr>
          <w:p w14:paraId="301113D0" w14:textId="77777777" w:rsidR="00F659C1" w:rsidRPr="00F45F11" w:rsidRDefault="00F659C1" w:rsidP="0093234E">
            <w:pPr>
              <w:pStyle w:val="ARtabletextright"/>
              <w:rPr>
                <w:lang w:eastAsia="en-AU"/>
              </w:rPr>
            </w:pPr>
          </w:p>
        </w:tc>
        <w:tc>
          <w:tcPr>
            <w:tcW w:w="926" w:type="dxa"/>
          </w:tcPr>
          <w:p w14:paraId="1A31E7D5" w14:textId="77777777" w:rsidR="00F659C1" w:rsidRPr="00F45F11" w:rsidRDefault="00F659C1" w:rsidP="0093234E">
            <w:pPr>
              <w:pStyle w:val="ARtabletextright"/>
              <w:rPr>
                <w:lang w:eastAsia="en-AU"/>
              </w:rPr>
            </w:pPr>
          </w:p>
        </w:tc>
        <w:tc>
          <w:tcPr>
            <w:tcW w:w="926" w:type="dxa"/>
          </w:tcPr>
          <w:p w14:paraId="0797A4FC" w14:textId="77777777" w:rsidR="00F659C1" w:rsidRPr="00F45F11" w:rsidRDefault="00F659C1" w:rsidP="0093234E">
            <w:pPr>
              <w:pStyle w:val="ARtabletextright"/>
              <w:rPr>
                <w:lang w:eastAsia="en-AU"/>
              </w:rPr>
            </w:pPr>
          </w:p>
        </w:tc>
        <w:tc>
          <w:tcPr>
            <w:tcW w:w="927" w:type="dxa"/>
          </w:tcPr>
          <w:p w14:paraId="5FA0F96A" w14:textId="77777777" w:rsidR="00F659C1" w:rsidRPr="00F45F11" w:rsidRDefault="00F659C1" w:rsidP="0093234E">
            <w:pPr>
              <w:pStyle w:val="ARtabletextright"/>
              <w:rPr>
                <w:lang w:eastAsia="en-AU"/>
              </w:rPr>
            </w:pPr>
          </w:p>
        </w:tc>
        <w:tc>
          <w:tcPr>
            <w:tcW w:w="1057" w:type="dxa"/>
          </w:tcPr>
          <w:p w14:paraId="3D8D353E" w14:textId="77777777" w:rsidR="00F659C1" w:rsidRPr="00F45F11" w:rsidRDefault="00F659C1" w:rsidP="0093234E">
            <w:pPr>
              <w:pStyle w:val="ARtabletextright"/>
              <w:rPr>
                <w:lang w:eastAsia="en-AU"/>
              </w:rPr>
            </w:pPr>
          </w:p>
        </w:tc>
        <w:tc>
          <w:tcPr>
            <w:tcW w:w="927" w:type="dxa"/>
          </w:tcPr>
          <w:p w14:paraId="6D406E47" w14:textId="77777777" w:rsidR="00F659C1" w:rsidRPr="00F45F11" w:rsidRDefault="00F659C1" w:rsidP="0093234E">
            <w:pPr>
              <w:pStyle w:val="ARtabletextright"/>
              <w:rPr>
                <w:lang w:eastAsia="en-AU"/>
              </w:rPr>
            </w:pPr>
          </w:p>
        </w:tc>
        <w:tc>
          <w:tcPr>
            <w:tcW w:w="1057" w:type="dxa"/>
          </w:tcPr>
          <w:p w14:paraId="5BD38311" w14:textId="77777777" w:rsidR="00F659C1" w:rsidRPr="00F45F11" w:rsidRDefault="00F659C1" w:rsidP="0093234E">
            <w:pPr>
              <w:pStyle w:val="ARtabletextright"/>
              <w:rPr>
                <w:lang w:eastAsia="en-AU"/>
              </w:rPr>
            </w:pPr>
          </w:p>
        </w:tc>
        <w:tc>
          <w:tcPr>
            <w:tcW w:w="927" w:type="dxa"/>
          </w:tcPr>
          <w:p w14:paraId="5C5804F5" w14:textId="77777777" w:rsidR="00F659C1" w:rsidRPr="00F45F11" w:rsidRDefault="00F659C1" w:rsidP="0093234E">
            <w:pPr>
              <w:pStyle w:val="ARtabletextright"/>
              <w:rPr>
                <w:lang w:eastAsia="en-AU"/>
              </w:rPr>
            </w:pPr>
          </w:p>
        </w:tc>
        <w:tc>
          <w:tcPr>
            <w:tcW w:w="926" w:type="dxa"/>
          </w:tcPr>
          <w:p w14:paraId="37C3066B" w14:textId="77777777" w:rsidR="00F659C1" w:rsidRPr="00F45F11" w:rsidRDefault="00F659C1" w:rsidP="0093234E">
            <w:pPr>
              <w:pStyle w:val="ARtabletextright"/>
              <w:rPr>
                <w:lang w:eastAsia="en-AU"/>
              </w:rPr>
            </w:pPr>
          </w:p>
        </w:tc>
        <w:tc>
          <w:tcPr>
            <w:tcW w:w="926" w:type="dxa"/>
          </w:tcPr>
          <w:p w14:paraId="4FDA016D" w14:textId="77777777" w:rsidR="00F659C1" w:rsidRPr="00F45F11" w:rsidRDefault="00F659C1" w:rsidP="0093234E">
            <w:pPr>
              <w:pStyle w:val="ARtabletextright"/>
              <w:rPr>
                <w:lang w:eastAsia="en-AU"/>
              </w:rPr>
            </w:pPr>
          </w:p>
        </w:tc>
        <w:tc>
          <w:tcPr>
            <w:tcW w:w="927" w:type="dxa"/>
          </w:tcPr>
          <w:p w14:paraId="7975822B" w14:textId="77777777" w:rsidR="00F659C1" w:rsidRPr="00F45F11" w:rsidRDefault="00F659C1" w:rsidP="0093234E">
            <w:pPr>
              <w:pStyle w:val="ARtabletextright"/>
              <w:rPr>
                <w:lang w:eastAsia="en-AU"/>
              </w:rPr>
            </w:pPr>
          </w:p>
        </w:tc>
        <w:tc>
          <w:tcPr>
            <w:tcW w:w="1057" w:type="dxa"/>
          </w:tcPr>
          <w:p w14:paraId="2C0FA814" w14:textId="77777777" w:rsidR="00F659C1" w:rsidRPr="00F45F11" w:rsidRDefault="00F659C1" w:rsidP="0093234E">
            <w:pPr>
              <w:pStyle w:val="ARtabletextright"/>
              <w:rPr>
                <w:lang w:eastAsia="en-AU"/>
              </w:rPr>
            </w:pPr>
          </w:p>
        </w:tc>
        <w:tc>
          <w:tcPr>
            <w:tcW w:w="927" w:type="dxa"/>
          </w:tcPr>
          <w:p w14:paraId="6FAFD5DD" w14:textId="77777777" w:rsidR="00F659C1" w:rsidRPr="00F45F11" w:rsidRDefault="00F659C1" w:rsidP="0093234E">
            <w:pPr>
              <w:pStyle w:val="ARtabletextright"/>
              <w:rPr>
                <w:lang w:eastAsia="en-AU"/>
              </w:rPr>
            </w:pPr>
          </w:p>
        </w:tc>
      </w:tr>
      <w:tr w:rsidR="005E2BB1" w:rsidRPr="00F45F11" w14:paraId="5228672F"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hideMark/>
          </w:tcPr>
          <w:p w14:paraId="2F6029C5" w14:textId="77777777" w:rsidR="005E2BB1" w:rsidRPr="00F45F11" w:rsidRDefault="005E2BB1" w:rsidP="0093234E">
            <w:pPr>
              <w:pStyle w:val="ARTabletext"/>
              <w:rPr>
                <w:lang w:eastAsia="en-AU"/>
              </w:rPr>
            </w:pPr>
            <w:r w:rsidRPr="00F45F11">
              <w:rPr>
                <w:lang w:eastAsia="en-AU"/>
              </w:rPr>
              <w:t>HCSOQ1</w:t>
            </w:r>
          </w:p>
        </w:tc>
        <w:tc>
          <w:tcPr>
            <w:tcW w:w="992" w:type="dxa"/>
            <w:shd w:val="clear" w:color="auto" w:fill="E7E6E6" w:themeFill="background2"/>
            <w:hideMark/>
          </w:tcPr>
          <w:p w14:paraId="172F2F94" w14:textId="77777777" w:rsidR="005E2BB1" w:rsidRPr="00F45F11" w:rsidRDefault="005E2BB1" w:rsidP="0093234E">
            <w:pPr>
              <w:pStyle w:val="ARtabletextright"/>
              <w:rPr>
                <w:lang w:eastAsia="en-AU"/>
              </w:rPr>
            </w:pPr>
            <w:r w:rsidRPr="00F45F11">
              <w:rPr>
                <w:lang w:eastAsia="en-AU"/>
              </w:rPr>
              <w:t>0</w:t>
            </w:r>
          </w:p>
        </w:tc>
        <w:tc>
          <w:tcPr>
            <w:tcW w:w="992" w:type="dxa"/>
            <w:shd w:val="clear" w:color="auto" w:fill="E7E6E6" w:themeFill="background2"/>
            <w:hideMark/>
          </w:tcPr>
          <w:p w14:paraId="0840FF69" w14:textId="77777777" w:rsidR="005E2BB1" w:rsidRPr="00F45F11" w:rsidRDefault="005E2BB1" w:rsidP="0093234E">
            <w:pPr>
              <w:pStyle w:val="ARtabletextright"/>
              <w:rPr>
                <w:lang w:eastAsia="en-AU"/>
              </w:rPr>
            </w:pPr>
            <w:r w:rsidRPr="00F45F11">
              <w:rPr>
                <w:lang w:eastAsia="en-AU"/>
              </w:rPr>
              <w:t>0.0</w:t>
            </w:r>
          </w:p>
        </w:tc>
        <w:tc>
          <w:tcPr>
            <w:tcW w:w="926" w:type="dxa"/>
            <w:hideMark/>
          </w:tcPr>
          <w:p w14:paraId="40930CED" w14:textId="77777777" w:rsidR="005E2BB1" w:rsidRPr="00F45F11" w:rsidRDefault="005E2BB1" w:rsidP="0093234E">
            <w:pPr>
              <w:pStyle w:val="ARtabletextright"/>
              <w:rPr>
                <w:lang w:eastAsia="en-AU"/>
              </w:rPr>
            </w:pPr>
            <w:r w:rsidRPr="00F45F11">
              <w:rPr>
                <w:lang w:eastAsia="en-AU"/>
              </w:rPr>
              <w:t>0</w:t>
            </w:r>
          </w:p>
        </w:tc>
        <w:tc>
          <w:tcPr>
            <w:tcW w:w="926" w:type="dxa"/>
            <w:hideMark/>
          </w:tcPr>
          <w:p w14:paraId="6463B943" w14:textId="77777777" w:rsidR="005E2BB1" w:rsidRPr="00F45F11" w:rsidRDefault="005E2BB1" w:rsidP="0093234E">
            <w:pPr>
              <w:pStyle w:val="ARtabletextright"/>
              <w:rPr>
                <w:lang w:eastAsia="en-AU"/>
              </w:rPr>
            </w:pPr>
            <w:r w:rsidRPr="00F45F11">
              <w:rPr>
                <w:lang w:eastAsia="en-AU"/>
              </w:rPr>
              <w:t>0</w:t>
            </w:r>
          </w:p>
        </w:tc>
        <w:tc>
          <w:tcPr>
            <w:tcW w:w="927" w:type="dxa"/>
            <w:hideMark/>
          </w:tcPr>
          <w:p w14:paraId="60C71F06" w14:textId="77777777" w:rsidR="005E2BB1" w:rsidRPr="00F45F11" w:rsidRDefault="005E2BB1" w:rsidP="0093234E">
            <w:pPr>
              <w:pStyle w:val="ARtabletextright"/>
              <w:rPr>
                <w:lang w:eastAsia="en-AU"/>
              </w:rPr>
            </w:pPr>
            <w:r w:rsidRPr="00F45F11">
              <w:rPr>
                <w:lang w:eastAsia="en-AU"/>
              </w:rPr>
              <w:t>0.0</w:t>
            </w:r>
          </w:p>
        </w:tc>
        <w:tc>
          <w:tcPr>
            <w:tcW w:w="1057" w:type="dxa"/>
            <w:shd w:val="clear" w:color="auto" w:fill="E7E6E6" w:themeFill="background2"/>
            <w:hideMark/>
          </w:tcPr>
          <w:p w14:paraId="51FE014B" w14:textId="77777777" w:rsidR="005E2BB1" w:rsidRPr="00F45F11" w:rsidRDefault="005E2BB1" w:rsidP="0093234E">
            <w:pPr>
              <w:pStyle w:val="ARtabletextright"/>
              <w:rPr>
                <w:lang w:eastAsia="en-AU"/>
              </w:rPr>
            </w:pPr>
            <w:r w:rsidRPr="00F45F11">
              <w:rPr>
                <w:lang w:eastAsia="en-AU"/>
              </w:rPr>
              <w:t>0</w:t>
            </w:r>
          </w:p>
        </w:tc>
        <w:tc>
          <w:tcPr>
            <w:tcW w:w="927" w:type="dxa"/>
            <w:shd w:val="clear" w:color="auto" w:fill="E7E6E6" w:themeFill="background2"/>
            <w:hideMark/>
          </w:tcPr>
          <w:p w14:paraId="18848B77" w14:textId="77777777" w:rsidR="005E2BB1" w:rsidRPr="00F45F11" w:rsidRDefault="005E2BB1" w:rsidP="0093234E">
            <w:pPr>
              <w:pStyle w:val="ARtabletextright"/>
              <w:rPr>
                <w:lang w:eastAsia="en-AU"/>
              </w:rPr>
            </w:pPr>
            <w:r w:rsidRPr="00F45F11">
              <w:rPr>
                <w:lang w:eastAsia="en-AU"/>
              </w:rPr>
              <w:t>0.0</w:t>
            </w:r>
          </w:p>
        </w:tc>
        <w:tc>
          <w:tcPr>
            <w:tcW w:w="1057" w:type="dxa"/>
            <w:hideMark/>
          </w:tcPr>
          <w:p w14:paraId="2FE71951" w14:textId="77777777" w:rsidR="005E2BB1" w:rsidRPr="00F45F11" w:rsidRDefault="005E2BB1" w:rsidP="0093234E">
            <w:pPr>
              <w:pStyle w:val="ARtabletextright"/>
              <w:rPr>
                <w:lang w:eastAsia="en-AU"/>
              </w:rPr>
            </w:pPr>
            <w:r w:rsidRPr="00F45F11">
              <w:rPr>
                <w:lang w:eastAsia="en-AU"/>
              </w:rPr>
              <w:t>0</w:t>
            </w:r>
          </w:p>
        </w:tc>
        <w:tc>
          <w:tcPr>
            <w:tcW w:w="927" w:type="dxa"/>
            <w:hideMark/>
          </w:tcPr>
          <w:p w14:paraId="4FC2FE09" w14:textId="77777777" w:rsidR="005E2BB1" w:rsidRPr="00F45F11" w:rsidRDefault="005E2BB1" w:rsidP="0093234E">
            <w:pPr>
              <w:pStyle w:val="ARtabletextright"/>
              <w:rPr>
                <w:lang w:eastAsia="en-AU"/>
              </w:rPr>
            </w:pPr>
            <w:r w:rsidRPr="00F45F11">
              <w:rPr>
                <w:lang w:eastAsia="en-AU"/>
              </w:rPr>
              <w:t>0.0</w:t>
            </w:r>
          </w:p>
        </w:tc>
        <w:tc>
          <w:tcPr>
            <w:tcW w:w="926" w:type="dxa"/>
            <w:shd w:val="clear" w:color="auto" w:fill="E7E6E6" w:themeFill="background2"/>
            <w:hideMark/>
          </w:tcPr>
          <w:p w14:paraId="06986F4C" w14:textId="77777777" w:rsidR="005E2BB1" w:rsidRPr="00F45F11" w:rsidRDefault="005E2BB1" w:rsidP="0093234E">
            <w:pPr>
              <w:pStyle w:val="ARtabletextright"/>
              <w:rPr>
                <w:lang w:eastAsia="en-AU"/>
              </w:rPr>
            </w:pPr>
            <w:r w:rsidRPr="00F45F11">
              <w:rPr>
                <w:lang w:eastAsia="en-AU"/>
              </w:rPr>
              <w:t>0</w:t>
            </w:r>
          </w:p>
        </w:tc>
        <w:tc>
          <w:tcPr>
            <w:tcW w:w="926" w:type="dxa"/>
            <w:shd w:val="clear" w:color="auto" w:fill="E7E6E6" w:themeFill="background2"/>
            <w:hideMark/>
          </w:tcPr>
          <w:p w14:paraId="20F269CA" w14:textId="77777777" w:rsidR="005E2BB1" w:rsidRPr="00F45F11" w:rsidRDefault="005E2BB1" w:rsidP="0093234E">
            <w:pPr>
              <w:pStyle w:val="ARtabletextright"/>
              <w:rPr>
                <w:lang w:eastAsia="en-AU"/>
              </w:rPr>
            </w:pPr>
            <w:r w:rsidRPr="00F45F11">
              <w:rPr>
                <w:lang w:eastAsia="en-AU"/>
              </w:rPr>
              <w:t>0</w:t>
            </w:r>
          </w:p>
        </w:tc>
        <w:tc>
          <w:tcPr>
            <w:tcW w:w="927" w:type="dxa"/>
            <w:shd w:val="clear" w:color="auto" w:fill="E7E6E6" w:themeFill="background2"/>
            <w:hideMark/>
          </w:tcPr>
          <w:p w14:paraId="0ED1202F" w14:textId="77777777" w:rsidR="005E2BB1" w:rsidRPr="00F45F11" w:rsidRDefault="005E2BB1" w:rsidP="0093234E">
            <w:pPr>
              <w:pStyle w:val="ARtabletextright"/>
              <w:rPr>
                <w:lang w:eastAsia="en-AU"/>
              </w:rPr>
            </w:pPr>
            <w:r w:rsidRPr="00F45F11">
              <w:rPr>
                <w:lang w:eastAsia="en-AU"/>
              </w:rPr>
              <w:t>0.0</w:t>
            </w:r>
          </w:p>
        </w:tc>
        <w:tc>
          <w:tcPr>
            <w:tcW w:w="1057" w:type="dxa"/>
            <w:hideMark/>
          </w:tcPr>
          <w:p w14:paraId="07CC6E97" w14:textId="77777777" w:rsidR="005E2BB1" w:rsidRPr="00F45F11" w:rsidRDefault="005E2BB1" w:rsidP="0093234E">
            <w:pPr>
              <w:pStyle w:val="ARtabletextright"/>
              <w:rPr>
                <w:lang w:eastAsia="en-AU"/>
              </w:rPr>
            </w:pPr>
            <w:r w:rsidRPr="00F45F11">
              <w:rPr>
                <w:lang w:eastAsia="en-AU"/>
              </w:rPr>
              <w:t>0</w:t>
            </w:r>
          </w:p>
        </w:tc>
        <w:tc>
          <w:tcPr>
            <w:tcW w:w="927" w:type="dxa"/>
            <w:hideMark/>
          </w:tcPr>
          <w:p w14:paraId="48BB3D38" w14:textId="77777777" w:rsidR="005E2BB1" w:rsidRPr="00F45F11" w:rsidRDefault="005E2BB1" w:rsidP="0093234E">
            <w:pPr>
              <w:pStyle w:val="ARtabletextright"/>
              <w:rPr>
                <w:lang w:eastAsia="en-AU"/>
              </w:rPr>
            </w:pPr>
            <w:r w:rsidRPr="00F45F11">
              <w:rPr>
                <w:lang w:eastAsia="en-AU"/>
              </w:rPr>
              <w:t>0.0</w:t>
            </w:r>
          </w:p>
        </w:tc>
      </w:tr>
      <w:tr w:rsidR="005E2BB1" w:rsidRPr="00F45F11" w14:paraId="49D898A9"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hideMark/>
          </w:tcPr>
          <w:p w14:paraId="730B47BE" w14:textId="77777777" w:rsidR="005E2BB1" w:rsidRPr="00F45F11" w:rsidRDefault="005E2BB1" w:rsidP="0093234E">
            <w:pPr>
              <w:pStyle w:val="ARTabletext"/>
              <w:rPr>
                <w:lang w:eastAsia="en-AU"/>
              </w:rPr>
            </w:pPr>
            <w:r w:rsidRPr="00F45F11">
              <w:rPr>
                <w:lang w:eastAsia="en-AU"/>
              </w:rPr>
              <w:t>HCSOQ2</w:t>
            </w:r>
          </w:p>
        </w:tc>
        <w:tc>
          <w:tcPr>
            <w:tcW w:w="992" w:type="dxa"/>
            <w:shd w:val="clear" w:color="auto" w:fill="E7E6E6" w:themeFill="background2"/>
            <w:hideMark/>
          </w:tcPr>
          <w:p w14:paraId="12CC43C7" w14:textId="77777777" w:rsidR="005E2BB1" w:rsidRPr="00F45F11" w:rsidRDefault="005E2BB1" w:rsidP="0093234E">
            <w:pPr>
              <w:pStyle w:val="ARtabletextright"/>
              <w:rPr>
                <w:lang w:eastAsia="en-AU"/>
              </w:rPr>
            </w:pPr>
            <w:r w:rsidRPr="00F45F11">
              <w:rPr>
                <w:lang w:eastAsia="en-AU"/>
              </w:rPr>
              <w:t>0</w:t>
            </w:r>
          </w:p>
        </w:tc>
        <w:tc>
          <w:tcPr>
            <w:tcW w:w="992" w:type="dxa"/>
            <w:shd w:val="clear" w:color="auto" w:fill="E7E6E6" w:themeFill="background2"/>
            <w:hideMark/>
          </w:tcPr>
          <w:p w14:paraId="4150F798" w14:textId="77777777" w:rsidR="005E2BB1" w:rsidRPr="00F45F11" w:rsidRDefault="005E2BB1" w:rsidP="0093234E">
            <w:pPr>
              <w:pStyle w:val="ARtabletextright"/>
              <w:rPr>
                <w:lang w:eastAsia="en-AU"/>
              </w:rPr>
            </w:pPr>
            <w:r w:rsidRPr="00F45F11">
              <w:rPr>
                <w:lang w:eastAsia="en-AU"/>
              </w:rPr>
              <w:t>0.0</w:t>
            </w:r>
          </w:p>
        </w:tc>
        <w:tc>
          <w:tcPr>
            <w:tcW w:w="926" w:type="dxa"/>
            <w:hideMark/>
          </w:tcPr>
          <w:p w14:paraId="5A3754F0" w14:textId="77777777" w:rsidR="005E2BB1" w:rsidRPr="00F45F11" w:rsidRDefault="005E2BB1" w:rsidP="0093234E">
            <w:pPr>
              <w:pStyle w:val="ARtabletextright"/>
              <w:rPr>
                <w:lang w:eastAsia="en-AU"/>
              </w:rPr>
            </w:pPr>
            <w:r w:rsidRPr="00F45F11">
              <w:rPr>
                <w:lang w:eastAsia="en-AU"/>
              </w:rPr>
              <w:t>0</w:t>
            </w:r>
          </w:p>
        </w:tc>
        <w:tc>
          <w:tcPr>
            <w:tcW w:w="926" w:type="dxa"/>
            <w:hideMark/>
          </w:tcPr>
          <w:p w14:paraId="17C26969" w14:textId="77777777" w:rsidR="005E2BB1" w:rsidRPr="00F45F11" w:rsidRDefault="005E2BB1" w:rsidP="0093234E">
            <w:pPr>
              <w:pStyle w:val="ARtabletextright"/>
              <w:rPr>
                <w:lang w:eastAsia="en-AU"/>
              </w:rPr>
            </w:pPr>
            <w:r w:rsidRPr="00F45F11">
              <w:rPr>
                <w:lang w:eastAsia="en-AU"/>
              </w:rPr>
              <w:t>0</w:t>
            </w:r>
          </w:p>
        </w:tc>
        <w:tc>
          <w:tcPr>
            <w:tcW w:w="927" w:type="dxa"/>
            <w:hideMark/>
          </w:tcPr>
          <w:p w14:paraId="18529C0A" w14:textId="77777777" w:rsidR="005E2BB1" w:rsidRPr="00F45F11" w:rsidRDefault="005E2BB1" w:rsidP="0093234E">
            <w:pPr>
              <w:pStyle w:val="ARtabletextright"/>
              <w:rPr>
                <w:lang w:eastAsia="en-AU"/>
              </w:rPr>
            </w:pPr>
            <w:r w:rsidRPr="00F45F11">
              <w:rPr>
                <w:lang w:eastAsia="en-AU"/>
              </w:rPr>
              <w:t>0.0</w:t>
            </w:r>
          </w:p>
        </w:tc>
        <w:tc>
          <w:tcPr>
            <w:tcW w:w="1057" w:type="dxa"/>
            <w:shd w:val="clear" w:color="auto" w:fill="E7E6E6" w:themeFill="background2"/>
            <w:hideMark/>
          </w:tcPr>
          <w:p w14:paraId="3438FCA2" w14:textId="77777777" w:rsidR="005E2BB1" w:rsidRPr="00F45F11" w:rsidRDefault="005E2BB1" w:rsidP="0093234E">
            <w:pPr>
              <w:pStyle w:val="ARtabletextright"/>
              <w:rPr>
                <w:lang w:eastAsia="en-AU"/>
              </w:rPr>
            </w:pPr>
            <w:r w:rsidRPr="00F45F11">
              <w:rPr>
                <w:lang w:eastAsia="en-AU"/>
              </w:rPr>
              <w:t>0</w:t>
            </w:r>
          </w:p>
        </w:tc>
        <w:tc>
          <w:tcPr>
            <w:tcW w:w="927" w:type="dxa"/>
            <w:shd w:val="clear" w:color="auto" w:fill="E7E6E6" w:themeFill="background2"/>
            <w:hideMark/>
          </w:tcPr>
          <w:p w14:paraId="094093E5" w14:textId="77777777" w:rsidR="005E2BB1" w:rsidRPr="00F45F11" w:rsidRDefault="005E2BB1" w:rsidP="0093234E">
            <w:pPr>
              <w:pStyle w:val="ARtabletextright"/>
              <w:rPr>
                <w:lang w:eastAsia="en-AU"/>
              </w:rPr>
            </w:pPr>
            <w:r w:rsidRPr="00F45F11">
              <w:rPr>
                <w:lang w:eastAsia="en-AU"/>
              </w:rPr>
              <w:t>0.0</w:t>
            </w:r>
          </w:p>
        </w:tc>
        <w:tc>
          <w:tcPr>
            <w:tcW w:w="1057" w:type="dxa"/>
            <w:hideMark/>
          </w:tcPr>
          <w:p w14:paraId="0D765EC8" w14:textId="77777777" w:rsidR="005E2BB1" w:rsidRPr="00F45F11" w:rsidRDefault="005E2BB1" w:rsidP="0093234E">
            <w:pPr>
              <w:pStyle w:val="ARtabletextright"/>
              <w:rPr>
                <w:lang w:eastAsia="en-AU"/>
              </w:rPr>
            </w:pPr>
            <w:r w:rsidRPr="00F45F11">
              <w:rPr>
                <w:lang w:eastAsia="en-AU"/>
              </w:rPr>
              <w:t>0</w:t>
            </w:r>
          </w:p>
        </w:tc>
        <w:tc>
          <w:tcPr>
            <w:tcW w:w="927" w:type="dxa"/>
            <w:hideMark/>
          </w:tcPr>
          <w:p w14:paraId="111EE70A" w14:textId="77777777" w:rsidR="005E2BB1" w:rsidRPr="00F45F11" w:rsidRDefault="005E2BB1" w:rsidP="0093234E">
            <w:pPr>
              <w:pStyle w:val="ARtabletextright"/>
              <w:rPr>
                <w:lang w:eastAsia="en-AU"/>
              </w:rPr>
            </w:pPr>
            <w:r w:rsidRPr="00F45F11">
              <w:rPr>
                <w:lang w:eastAsia="en-AU"/>
              </w:rPr>
              <w:t>0.0</w:t>
            </w:r>
          </w:p>
        </w:tc>
        <w:tc>
          <w:tcPr>
            <w:tcW w:w="926" w:type="dxa"/>
            <w:shd w:val="clear" w:color="auto" w:fill="E7E6E6" w:themeFill="background2"/>
            <w:hideMark/>
          </w:tcPr>
          <w:p w14:paraId="69922FF0" w14:textId="77777777" w:rsidR="005E2BB1" w:rsidRPr="00F45F11" w:rsidRDefault="005E2BB1" w:rsidP="0093234E">
            <w:pPr>
              <w:pStyle w:val="ARtabletextright"/>
              <w:rPr>
                <w:lang w:eastAsia="en-AU"/>
              </w:rPr>
            </w:pPr>
            <w:r w:rsidRPr="00F45F11">
              <w:rPr>
                <w:lang w:eastAsia="en-AU"/>
              </w:rPr>
              <w:t>0</w:t>
            </w:r>
          </w:p>
        </w:tc>
        <w:tc>
          <w:tcPr>
            <w:tcW w:w="926" w:type="dxa"/>
            <w:shd w:val="clear" w:color="auto" w:fill="E7E6E6" w:themeFill="background2"/>
            <w:hideMark/>
          </w:tcPr>
          <w:p w14:paraId="28460B11" w14:textId="77777777" w:rsidR="005E2BB1" w:rsidRPr="00F45F11" w:rsidRDefault="005E2BB1" w:rsidP="0093234E">
            <w:pPr>
              <w:pStyle w:val="ARtabletextright"/>
              <w:rPr>
                <w:lang w:eastAsia="en-AU"/>
              </w:rPr>
            </w:pPr>
            <w:r w:rsidRPr="00F45F11">
              <w:rPr>
                <w:lang w:eastAsia="en-AU"/>
              </w:rPr>
              <w:t>0</w:t>
            </w:r>
          </w:p>
        </w:tc>
        <w:tc>
          <w:tcPr>
            <w:tcW w:w="927" w:type="dxa"/>
            <w:shd w:val="clear" w:color="auto" w:fill="E7E6E6" w:themeFill="background2"/>
            <w:hideMark/>
          </w:tcPr>
          <w:p w14:paraId="22234ED7" w14:textId="77777777" w:rsidR="005E2BB1" w:rsidRPr="00F45F11" w:rsidRDefault="005E2BB1" w:rsidP="0093234E">
            <w:pPr>
              <w:pStyle w:val="ARtabletextright"/>
              <w:rPr>
                <w:lang w:eastAsia="en-AU"/>
              </w:rPr>
            </w:pPr>
            <w:r w:rsidRPr="00F45F11">
              <w:rPr>
                <w:lang w:eastAsia="en-AU"/>
              </w:rPr>
              <w:t>0.0</w:t>
            </w:r>
          </w:p>
        </w:tc>
        <w:tc>
          <w:tcPr>
            <w:tcW w:w="1057" w:type="dxa"/>
            <w:hideMark/>
          </w:tcPr>
          <w:p w14:paraId="3F944268" w14:textId="77777777" w:rsidR="005E2BB1" w:rsidRPr="00F45F11" w:rsidRDefault="005E2BB1" w:rsidP="0093234E">
            <w:pPr>
              <w:pStyle w:val="ARtabletextright"/>
              <w:rPr>
                <w:lang w:eastAsia="en-AU"/>
              </w:rPr>
            </w:pPr>
            <w:r w:rsidRPr="00F45F11">
              <w:rPr>
                <w:lang w:eastAsia="en-AU"/>
              </w:rPr>
              <w:t>0</w:t>
            </w:r>
          </w:p>
        </w:tc>
        <w:tc>
          <w:tcPr>
            <w:tcW w:w="927" w:type="dxa"/>
            <w:hideMark/>
          </w:tcPr>
          <w:p w14:paraId="35C46161" w14:textId="77777777" w:rsidR="005E2BB1" w:rsidRPr="00F45F11" w:rsidRDefault="005E2BB1" w:rsidP="0093234E">
            <w:pPr>
              <w:pStyle w:val="ARtabletextright"/>
              <w:rPr>
                <w:lang w:eastAsia="en-AU"/>
              </w:rPr>
            </w:pPr>
            <w:r w:rsidRPr="00F45F11">
              <w:rPr>
                <w:lang w:eastAsia="en-AU"/>
              </w:rPr>
              <w:t>0.0</w:t>
            </w:r>
          </w:p>
        </w:tc>
      </w:tr>
      <w:tr w:rsidR="005E2BB1" w:rsidRPr="00F45F11" w14:paraId="59E47A36"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hideMark/>
          </w:tcPr>
          <w:p w14:paraId="15655DBE" w14:textId="77777777" w:rsidR="005E2BB1" w:rsidRPr="00F45F11" w:rsidRDefault="005E2BB1" w:rsidP="0093234E">
            <w:pPr>
              <w:pStyle w:val="ARTabletext"/>
              <w:rPr>
                <w:lang w:eastAsia="en-AU"/>
              </w:rPr>
            </w:pPr>
            <w:r w:rsidRPr="00F45F11">
              <w:rPr>
                <w:lang w:eastAsia="en-AU"/>
              </w:rPr>
              <w:t>HCSOQU</w:t>
            </w:r>
          </w:p>
        </w:tc>
        <w:tc>
          <w:tcPr>
            <w:tcW w:w="992" w:type="dxa"/>
            <w:shd w:val="clear" w:color="auto" w:fill="E7E6E6" w:themeFill="background2"/>
            <w:hideMark/>
          </w:tcPr>
          <w:p w14:paraId="6CCA0D66" w14:textId="77777777" w:rsidR="005E2BB1" w:rsidRPr="00F45F11" w:rsidRDefault="005E2BB1" w:rsidP="0093234E">
            <w:pPr>
              <w:pStyle w:val="ARtabletextright"/>
              <w:rPr>
                <w:lang w:eastAsia="en-AU"/>
              </w:rPr>
            </w:pPr>
            <w:r w:rsidRPr="00F45F11">
              <w:rPr>
                <w:lang w:eastAsia="en-AU"/>
              </w:rPr>
              <w:t>0</w:t>
            </w:r>
          </w:p>
        </w:tc>
        <w:tc>
          <w:tcPr>
            <w:tcW w:w="992" w:type="dxa"/>
            <w:shd w:val="clear" w:color="auto" w:fill="E7E6E6" w:themeFill="background2"/>
            <w:hideMark/>
          </w:tcPr>
          <w:p w14:paraId="1E70F7EB" w14:textId="77777777" w:rsidR="005E2BB1" w:rsidRPr="00F45F11" w:rsidRDefault="005E2BB1" w:rsidP="0093234E">
            <w:pPr>
              <w:pStyle w:val="ARtabletextright"/>
              <w:rPr>
                <w:lang w:eastAsia="en-AU"/>
              </w:rPr>
            </w:pPr>
            <w:r w:rsidRPr="00F45F11">
              <w:rPr>
                <w:lang w:eastAsia="en-AU"/>
              </w:rPr>
              <w:t>0.0</w:t>
            </w:r>
          </w:p>
        </w:tc>
        <w:tc>
          <w:tcPr>
            <w:tcW w:w="926" w:type="dxa"/>
            <w:hideMark/>
          </w:tcPr>
          <w:p w14:paraId="6EE3C191" w14:textId="77777777" w:rsidR="005E2BB1" w:rsidRPr="00F45F11" w:rsidRDefault="005E2BB1" w:rsidP="0093234E">
            <w:pPr>
              <w:pStyle w:val="ARtabletextright"/>
              <w:rPr>
                <w:lang w:eastAsia="en-AU"/>
              </w:rPr>
            </w:pPr>
            <w:r w:rsidRPr="00F45F11">
              <w:rPr>
                <w:lang w:eastAsia="en-AU"/>
              </w:rPr>
              <w:t>0</w:t>
            </w:r>
          </w:p>
        </w:tc>
        <w:tc>
          <w:tcPr>
            <w:tcW w:w="926" w:type="dxa"/>
            <w:hideMark/>
          </w:tcPr>
          <w:p w14:paraId="3285D7A8" w14:textId="77777777" w:rsidR="005E2BB1" w:rsidRPr="00F45F11" w:rsidRDefault="005E2BB1" w:rsidP="0093234E">
            <w:pPr>
              <w:pStyle w:val="ARtabletextright"/>
              <w:rPr>
                <w:lang w:eastAsia="en-AU"/>
              </w:rPr>
            </w:pPr>
            <w:r w:rsidRPr="00F45F11">
              <w:rPr>
                <w:lang w:eastAsia="en-AU"/>
              </w:rPr>
              <w:t>0</w:t>
            </w:r>
          </w:p>
        </w:tc>
        <w:tc>
          <w:tcPr>
            <w:tcW w:w="927" w:type="dxa"/>
            <w:hideMark/>
          </w:tcPr>
          <w:p w14:paraId="53AF04CC" w14:textId="77777777" w:rsidR="005E2BB1" w:rsidRPr="00F45F11" w:rsidRDefault="005E2BB1" w:rsidP="0093234E">
            <w:pPr>
              <w:pStyle w:val="ARtabletextright"/>
              <w:rPr>
                <w:lang w:eastAsia="en-AU"/>
              </w:rPr>
            </w:pPr>
            <w:r w:rsidRPr="00F45F11">
              <w:rPr>
                <w:lang w:eastAsia="en-AU"/>
              </w:rPr>
              <w:t>0.0</w:t>
            </w:r>
          </w:p>
        </w:tc>
        <w:tc>
          <w:tcPr>
            <w:tcW w:w="1057" w:type="dxa"/>
            <w:shd w:val="clear" w:color="auto" w:fill="E7E6E6" w:themeFill="background2"/>
            <w:hideMark/>
          </w:tcPr>
          <w:p w14:paraId="7C57EBDC" w14:textId="77777777" w:rsidR="005E2BB1" w:rsidRPr="00F45F11" w:rsidRDefault="005E2BB1" w:rsidP="0093234E">
            <w:pPr>
              <w:pStyle w:val="ARtabletextright"/>
              <w:rPr>
                <w:lang w:eastAsia="en-AU"/>
              </w:rPr>
            </w:pPr>
            <w:r w:rsidRPr="00F45F11">
              <w:rPr>
                <w:lang w:eastAsia="en-AU"/>
              </w:rPr>
              <w:t>0</w:t>
            </w:r>
          </w:p>
        </w:tc>
        <w:tc>
          <w:tcPr>
            <w:tcW w:w="927" w:type="dxa"/>
            <w:shd w:val="clear" w:color="auto" w:fill="E7E6E6" w:themeFill="background2"/>
            <w:hideMark/>
          </w:tcPr>
          <w:p w14:paraId="54004A63" w14:textId="77777777" w:rsidR="005E2BB1" w:rsidRPr="00F45F11" w:rsidRDefault="005E2BB1" w:rsidP="0093234E">
            <w:pPr>
              <w:pStyle w:val="ARtabletextright"/>
              <w:rPr>
                <w:lang w:eastAsia="en-AU"/>
              </w:rPr>
            </w:pPr>
            <w:r w:rsidRPr="00F45F11">
              <w:rPr>
                <w:lang w:eastAsia="en-AU"/>
              </w:rPr>
              <w:t>0.0</w:t>
            </w:r>
          </w:p>
        </w:tc>
        <w:tc>
          <w:tcPr>
            <w:tcW w:w="1057" w:type="dxa"/>
            <w:hideMark/>
          </w:tcPr>
          <w:p w14:paraId="2A328E5C" w14:textId="77777777" w:rsidR="005E2BB1" w:rsidRPr="00F45F11" w:rsidRDefault="005E2BB1" w:rsidP="0093234E">
            <w:pPr>
              <w:pStyle w:val="ARtabletextright"/>
              <w:rPr>
                <w:lang w:eastAsia="en-AU"/>
              </w:rPr>
            </w:pPr>
            <w:r w:rsidRPr="00F45F11">
              <w:rPr>
                <w:lang w:eastAsia="en-AU"/>
              </w:rPr>
              <w:t>0</w:t>
            </w:r>
          </w:p>
        </w:tc>
        <w:tc>
          <w:tcPr>
            <w:tcW w:w="927" w:type="dxa"/>
            <w:hideMark/>
          </w:tcPr>
          <w:p w14:paraId="708C2374" w14:textId="77777777" w:rsidR="005E2BB1" w:rsidRPr="00F45F11" w:rsidRDefault="005E2BB1" w:rsidP="0093234E">
            <w:pPr>
              <w:pStyle w:val="ARtabletextright"/>
              <w:rPr>
                <w:lang w:eastAsia="en-AU"/>
              </w:rPr>
            </w:pPr>
            <w:r w:rsidRPr="00F45F11">
              <w:rPr>
                <w:lang w:eastAsia="en-AU"/>
              </w:rPr>
              <w:t>0.0</w:t>
            </w:r>
          </w:p>
        </w:tc>
        <w:tc>
          <w:tcPr>
            <w:tcW w:w="926" w:type="dxa"/>
            <w:shd w:val="clear" w:color="auto" w:fill="E7E6E6" w:themeFill="background2"/>
            <w:hideMark/>
          </w:tcPr>
          <w:p w14:paraId="4B3916A5" w14:textId="77777777" w:rsidR="005E2BB1" w:rsidRPr="00F45F11" w:rsidRDefault="005E2BB1" w:rsidP="0093234E">
            <w:pPr>
              <w:pStyle w:val="ARtabletextright"/>
              <w:rPr>
                <w:lang w:eastAsia="en-AU"/>
              </w:rPr>
            </w:pPr>
            <w:r w:rsidRPr="00F45F11">
              <w:rPr>
                <w:lang w:eastAsia="en-AU"/>
              </w:rPr>
              <w:t>0</w:t>
            </w:r>
          </w:p>
        </w:tc>
        <w:tc>
          <w:tcPr>
            <w:tcW w:w="926" w:type="dxa"/>
            <w:shd w:val="clear" w:color="auto" w:fill="E7E6E6" w:themeFill="background2"/>
            <w:hideMark/>
          </w:tcPr>
          <w:p w14:paraId="68269B5E" w14:textId="77777777" w:rsidR="005E2BB1" w:rsidRPr="00F45F11" w:rsidRDefault="005E2BB1" w:rsidP="0093234E">
            <w:pPr>
              <w:pStyle w:val="ARtabletextright"/>
              <w:rPr>
                <w:lang w:eastAsia="en-AU"/>
              </w:rPr>
            </w:pPr>
            <w:r w:rsidRPr="00F45F11">
              <w:rPr>
                <w:lang w:eastAsia="en-AU"/>
              </w:rPr>
              <w:t>0</w:t>
            </w:r>
          </w:p>
        </w:tc>
        <w:tc>
          <w:tcPr>
            <w:tcW w:w="927" w:type="dxa"/>
            <w:shd w:val="clear" w:color="auto" w:fill="E7E6E6" w:themeFill="background2"/>
            <w:hideMark/>
          </w:tcPr>
          <w:p w14:paraId="2C2366C7" w14:textId="77777777" w:rsidR="005E2BB1" w:rsidRPr="00F45F11" w:rsidRDefault="005E2BB1" w:rsidP="0093234E">
            <w:pPr>
              <w:pStyle w:val="ARtabletextright"/>
              <w:rPr>
                <w:lang w:eastAsia="en-AU"/>
              </w:rPr>
            </w:pPr>
            <w:r w:rsidRPr="00F45F11">
              <w:rPr>
                <w:lang w:eastAsia="en-AU"/>
              </w:rPr>
              <w:t>0.0</w:t>
            </w:r>
          </w:p>
        </w:tc>
        <w:tc>
          <w:tcPr>
            <w:tcW w:w="1057" w:type="dxa"/>
            <w:hideMark/>
          </w:tcPr>
          <w:p w14:paraId="652A9CE8" w14:textId="77777777" w:rsidR="005E2BB1" w:rsidRPr="00F45F11" w:rsidRDefault="005E2BB1" w:rsidP="0093234E">
            <w:pPr>
              <w:pStyle w:val="ARtabletextright"/>
              <w:rPr>
                <w:lang w:eastAsia="en-AU"/>
              </w:rPr>
            </w:pPr>
            <w:r w:rsidRPr="00F45F11">
              <w:rPr>
                <w:lang w:eastAsia="en-AU"/>
              </w:rPr>
              <w:t>0</w:t>
            </w:r>
          </w:p>
        </w:tc>
        <w:tc>
          <w:tcPr>
            <w:tcW w:w="927" w:type="dxa"/>
            <w:hideMark/>
          </w:tcPr>
          <w:p w14:paraId="2ED26E76" w14:textId="77777777" w:rsidR="005E2BB1" w:rsidRPr="00F45F11" w:rsidRDefault="005E2BB1" w:rsidP="0093234E">
            <w:pPr>
              <w:pStyle w:val="ARtabletextright"/>
              <w:rPr>
                <w:lang w:eastAsia="en-AU"/>
              </w:rPr>
            </w:pPr>
            <w:r w:rsidRPr="00F45F11">
              <w:rPr>
                <w:lang w:eastAsia="en-AU"/>
              </w:rPr>
              <w:t>0.0</w:t>
            </w:r>
          </w:p>
        </w:tc>
      </w:tr>
      <w:tr w:rsidR="005E2BB1" w:rsidRPr="00F45F11" w14:paraId="7387CC16"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hideMark/>
          </w:tcPr>
          <w:p w14:paraId="2D313F30" w14:textId="77777777" w:rsidR="005E2BB1" w:rsidRPr="00F45F11" w:rsidRDefault="005E2BB1" w:rsidP="0093234E">
            <w:pPr>
              <w:pStyle w:val="ARTabletext"/>
              <w:rPr>
                <w:lang w:eastAsia="en-AU"/>
              </w:rPr>
            </w:pPr>
            <w:r w:rsidRPr="00F45F11">
              <w:rPr>
                <w:lang w:eastAsia="en-AU"/>
              </w:rPr>
              <w:t>HCSO</w:t>
            </w:r>
          </w:p>
        </w:tc>
        <w:tc>
          <w:tcPr>
            <w:tcW w:w="992" w:type="dxa"/>
            <w:shd w:val="clear" w:color="auto" w:fill="E7E6E6" w:themeFill="background2"/>
            <w:hideMark/>
          </w:tcPr>
          <w:p w14:paraId="5551D88C" w14:textId="77777777" w:rsidR="005E2BB1" w:rsidRPr="00F45F11" w:rsidRDefault="005E2BB1" w:rsidP="0093234E">
            <w:pPr>
              <w:pStyle w:val="ARtabletextright"/>
              <w:rPr>
                <w:lang w:eastAsia="en-AU"/>
              </w:rPr>
            </w:pPr>
            <w:r w:rsidRPr="00F45F11">
              <w:rPr>
                <w:lang w:eastAsia="en-AU"/>
              </w:rPr>
              <w:t>97</w:t>
            </w:r>
          </w:p>
        </w:tc>
        <w:tc>
          <w:tcPr>
            <w:tcW w:w="992" w:type="dxa"/>
            <w:shd w:val="clear" w:color="auto" w:fill="E7E6E6" w:themeFill="background2"/>
            <w:hideMark/>
          </w:tcPr>
          <w:p w14:paraId="3FED50F8" w14:textId="77777777" w:rsidR="005E2BB1" w:rsidRPr="00F45F11" w:rsidRDefault="005E2BB1" w:rsidP="0093234E">
            <w:pPr>
              <w:pStyle w:val="ARtabletextright"/>
              <w:rPr>
                <w:lang w:eastAsia="en-AU"/>
              </w:rPr>
            </w:pPr>
            <w:r w:rsidRPr="00F45F11">
              <w:rPr>
                <w:lang w:eastAsia="en-AU"/>
              </w:rPr>
              <w:t>86.1</w:t>
            </w:r>
          </w:p>
        </w:tc>
        <w:tc>
          <w:tcPr>
            <w:tcW w:w="926" w:type="dxa"/>
            <w:hideMark/>
          </w:tcPr>
          <w:p w14:paraId="0E481955" w14:textId="77777777" w:rsidR="005E2BB1" w:rsidRPr="00F45F11" w:rsidRDefault="005E2BB1" w:rsidP="0093234E">
            <w:pPr>
              <w:pStyle w:val="ARtabletextright"/>
              <w:rPr>
                <w:lang w:eastAsia="en-AU"/>
              </w:rPr>
            </w:pPr>
            <w:r w:rsidRPr="00F45F11">
              <w:rPr>
                <w:lang w:eastAsia="en-AU"/>
              </w:rPr>
              <w:t>57</w:t>
            </w:r>
          </w:p>
        </w:tc>
        <w:tc>
          <w:tcPr>
            <w:tcW w:w="926" w:type="dxa"/>
            <w:hideMark/>
          </w:tcPr>
          <w:p w14:paraId="7F00802E" w14:textId="77777777" w:rsidR="005E2BB1" w:rsidRPr="00F45F11" w:rsidRDefault="005E2BB1" w:rsidP="0093234E">
            <w:pPr>
              <w:pStyle w:val="ARtabletextright"/>
              <w:rPr>
                <w:lang w:eastAsia="en-AU"/>
              </w:rPr>
            </w:pPr>
            <w:r w:rsidRPr="00F45F11">
              <w:rPr>
                <w:lang w:eastAsia="en-AU"/>
              </w:rPr>
              <w:t>27</w:t>
            </w:r>
          </w:p>
        </w:tc>
        <w:tc>
          <w:tcPr>
            <w:tcW w:w="927" w:type="dxa"/>
            <w:hideMark/>
          </w:tcPr>
          <w:p w14:paraId="51426EA7" w14:textId="77777777" w:rsidR="005E2BB1" w:rsidRPr="00F45F11" w:rsidRDefault="005E2BB1" w:rsidP="0093234E">
            <w:pPr>
              <w:pStyle w:val="ARtabletextright"/>
              <w:rPr>
                <w:lang w:eastAsia="en-AU"/>
              </w:rPr>
            </w:pPr>
            <w:r w:rsidRPr="00F45F11">
              <w:rPr>
                <w:lang w:eastAsia="en-AU"/>
              </w:rPr>
              <w:t>76.0</w:t>
            </w:r>
          </w:p>
        </w:tc>
        <w:tc>
          <w:tcPr>
            <w:tcW w:w="1057" w:type="dxa"/>
            <w:shd w:val="clear" w:color="auto" w:fill="E7E6E6" w:themeFill="background2"/>
            <w:hideMark/>
          </w:tcPr>
          <w:p w14:paraId="7C9BE5F0" w14:textId="77777777" w:rsidR="005E2BB1" w:rsidRPr="00F45F11" w:rsidRDefault="005E2BB1" w:rsidP="0093234E">
            <w:pPr>
              <w:pStyle w:val="ARtabletextright"/>
              <w:rPr>
                <w:lang w:eastAsia="en-AU"/>
              </w:rPr>
            </w:pPr>
            <w:r w:rsidRPr="00F45F11">
              <w:rPr>
                <w:lang w:eastAsia="en-AU"/>
              </w:rPr>
              <w:t>13</w:t>
            </w:r>
          </w:p>
        </w:tc>
        <w:tc>
          <w:tcPr>
            <w:tcW w:w="927" w:type="dxa"/>
            <w:shd w:val="clear" w:color="auto" w:fill="E7E6E6" w:themeFill="background2"/>
            <w:hideMark/>
          </w:tcPr>
          <w:p w14:paraId="03D13043" w14:textId="77777777" w:rsidR="005E2BB1" w:rsidRPr="00F45F11" w:rsidRDefault="005E2BB1" w:rsidP="0093234E">
            <w:pPr>
              <w:pStyle w:val="ARtabletextright"/>
              <w:rPr>
                <w:lang w:eastAsia="en-AU"/>
              </w:rPr>
            </w:pPr>
            <w:r w:rsidRPr="00F45F11">
              <w:rPr>
                <w:lang w:eastAsia="en-AU"/>
              </w:rPr>
              <w:t>10.1</w:t>
            </w:r>
          </w:p>
        </w:tc>
        <w:tc>
          <w:tcPr>
            <w:tcW w:w="1057" w:type="dxa"/>
            <w:hideMark/>
          </w:tcPr>
          <w:p w14:paraId="0B35286D" w14:textId="77777777" w:rsidR="005E2BB1" w:rsidRPr="00F45F11" w:rsidRDefault="005E2BB1" w:rsidP="0093234E">
            <w:pPr>
              <w:pStyle w:val="ARtabletextright"/>
              <w:rPr>
                <w:lang w:eastAsia="en-AU"/>
              </w:rPr>
            </w:pPr>
            <w:r w:rsidRPr="00F45F11">
              <w:rPr>
                <w:lang w:eastAsia="en-AU"/>
              </w:rPr>
              <w:t>105</w:t>
            </w:r>
          </w:p>
        </w:tc>
        <w:tc>
          <w:tcPr>
            <w:tcW w:w="927" w:type="dxa"/>
            <w:hideMark/>
          </w:tcPr>
          <w:p w14:paraId="115C85EA" w14:textId="77777777" w:rsidR="005E2BB1" w:rsidRPr="00F45F11" w:rsidRDefault="005E2BB1" w:rsidP="0093234E">
            <w:pPr>
              <w:pStyle w:val="ARtabletextright"/>
              <w:rPr>
                <w:lang w:eastAsia="en-AU"/>
              </w:rPr>
            </w:pPr>
            <w:r w:rsidRPr="00F45F11">
              <w:rPr>
                <w:lang w:eastAsia="en-AU"/>
              </w:rPr>
              <w:t>97.0</w:t>
            </w:r>
          </w:p>
        </w:tc>
        <w:tc>
          <w:tcPr>
            <w:tcW w:w="926" w:type="dxa"/>
            <w:shd w:val="clear" w:color="auto" w:fill="E7E6E6" w:themeFill="background2"/>
            <w:hideMark/>
          </w:tcPr>
          <w:p w14:paraId="258A0AD8" w14:textId="77777777" w:rsidR="005E2BB1" w:rsidRPr="00F45F11" w:rsidRDefault="005E2BB1" w:rsidP="0093234E">
            <w:pPr>
              <w:pStyle w:val="ARtabletextright"/>
              <w:rPr>
                <w:lang w:eastAsia="en-AU"/>
              </w:rPr>
            </w:pPr>
            <w:r w:rsidRPr="00F45F11">
              <w:rPr>
                <w:lang w:eastAsia="en-AU"/>
              </w:rPr>
              <w:t>54</w:t>
            </w:r>
          </w:p>
        </w:tc>
        <w:tc>
          <w:tcPr>
            <w:tcW w:w="926" w:type="dxa"/>
            <w:shd w:val="clear" w:color="auto" w:fill="E7E6E6" w:themeFill="background2"/>
            <w:hideMark/>
          </w:tcPr>
          <w:p w14:paraId="3BCEDA15" w14:textId="77777777" w:rsidR="005E2BB1" w:rsidRPr="00F45F11" w:rsidRDefault="005E2BB1" w:rsidP="0093234E">
            <w:pPr>
              <w:pStyle w:val="ARtabletextright"/>
              <w:rPr>
                <w:lang w:eastAsia="en-AU"/>
              </w:rPr>
            </w:pPr>
            <w:r w:rsidRPr="00F45F11">
              <w:rPr>
                <w:lang w:eastAsia="en-AU"/>
              </w:rPr>
              <w:t>25</w:t>
            </w:r>
          </w:p>
        </w:tc>
        <w:tc>
          <w:tcPr>
            <w:tcW w:w="927" w:type="dxa"/>
            <w:shd w:val="clear" w:color="auto" w:fill="E7E6E6" w:themeFill="background2"/>
            <w:hideMark/>
          </w:tcPr>
          <w:p w14:paraId="09913AC3" w14:textId="77777777" w:rsidR="005E2BB1" w:rsidRPr="00F45F11" w:rsidRDefault="005E2BB1" w:rsidP="0093234E">
            <w:pPr>
              <w:pStyle w:val="ARtabletextright"/>
              <w:rPr>
                <w:lang w:eastAsia="en-AU"/>
              </w:rPr>
            </w:pPr>
            <w:r w:rsidRPr="00F45F11">
              <w:rPr>
                <w:lang w:eastAsia="en-AU"/>
              </w:rPr>
              <w:t>71.8</w:t>
            </w:r>
          </w:p>
        </w:tc>
        <w:tc>
          <w:tcPr>
            <w:tcW w:w="1057" w:type="dxa"/>
            <w:hideMark/>
          </w:tcPr>
          <w:p w14:paraId="23880A3B" w14:textId="77777777" w:rsidR="005E2BB1" w:rsidRPr="00F45F11" w:rsidRDefault="005E2BB1" w:rsidP="0093234E">
            <w:pPr>
              <w:pStyle w:val="ARtabletextright"/>
              <w:rPr>
                <w:lang w:eastAsia="en-AU"/>
              </w:rPr>
            </w:pPr>
            <w:r w:rsidRPr="00F45F11">
              <w:rPr>
                <w:lang w:eastAsia="en-AU"/>
              </w:rPr>
              <w:t>26</w:t>
            </w:r>
          </w:p>
        </w:tc>
        <w:tc>
          <w:tcPr>
            <w:tcW w:w="927" w:type="dxa"/>
            <w:hideMark/>
          </w:tcPr>
          <w:p w14:paraId="34FD4689" w14:textId="77777777" w:rsidR="005E2BB1" w:rsidRPr="00F45F11" w:rsidRDefault="005E2BB1" w:rsidP="0093234E">
            <w:pPr>
              <w:pStyle w:val="ARtabletextright"/>
              <w:rPr>
                <w:lang w:eastAsia="en-AU"/>
              </w:rPr>
            </w:pPr>
            <w:r w:rsidRPr="00F45F11">
              <w:rPr>
                <w:lang w:eastAsia="en-AU"/>
              </w:rPr>
              <w:t>25.2</w:t>
            </w:r>
          </w:p>
        </w:tc>
      </w:tr>
      <w:tr w:rsidR="005E2BB1" w:rsidRPr="00F45F11" w14:paraId="1C7AD6C7"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hideMark/>
          </w:tcPr>
          <w:p w14:paraId="3BAD4B6C" w14:textId="77777777" w:rsidR="005E2BB1" w:rsidRPr="00F45F11" w:rsidRDefault="005E2BB1" w:rsidP="0093234E">
            <w:pPr>
              <w:pStyle w:val="ARTabletext"/>
              <w:rPr>
                <w:lang w:eastAsia="en-AU"/>
              </w:rPr>
            </w:pPr>
            <w:r w:rsidRPr="00F45F11">
              <w:rPr>
                <w:lang w:eastAsia="en-AU"/>
              </w:rPr>
              <w:t>HSO-1</w:t>
            </w:r>
          </w:p>
        </w:tc>
        <w:tc>
          <w:tcPr>
            <w:tcW w:w="992" w:type="dxa"/>
            <w:shd w:val="clear" w:color="auto" w:fill="E7E6E6" w:themeFill="background2"/>
            <w:hideMark/>
          </w:tcPr>
          <w:p w14:paraId="02334993" w14:textId="77777777" w:rsidR="005E2BB1" w:rsidRPr="00F45F11" w:rsidRDefault="005E2BB1" w:rsidP="0093234E">
            <w:pPr>
              <w:pStyle w:val="ARtabletextright"/>
              <w:rPr>
                <w:lang w:eastAsia="en-AU"/>
              </w:rPr>
            </w:pPr>
            <w:r w:rsidRPr="00F45F11">
              <w:rPr>
                <w:lang w:eastAsia="en-AU"/>
              </w:rPr>
              <w:t>4</w:t>
            </w:r>
          </w:p>
        </w:tc>
        <w:tc>
          <w:tcPr>
            <w:tcW w:w="992" w:type="dxa"/>
            <w:shd w:val="clear" w:color="auto" w:fill="E7E6E6" w:themeFill="background2"/>
            <w:hideMark/>
          </w:tcPr>
          <w:p w14:paraId="049A4FFE" w14:textId="77777777" w:rsidR="005E2BB1" w:rsidRPr="00F45F11" w:rsidRDefault="005E2BB1" w:rsidP="0093234E">
            <w:pPr>
              <w:pStyle w:val="ARtabletextright"/>
              <w:rPr>
                <w:lang w:eastAsia="en-AU"/>
              </w:rPr>
            </w:pPr>
            <w:r w:rsidRPr="00F45F11">
              <w:rPr>
                <w:lang w:eastAsia="en-AU"/>
              </w:rPr>
              <w:t>3.8</w:t>
            </w:r>
          </w:p>
        </w:tc>
        <w:tc>
          <w:tcPr>
            <w:tcW w:w="926" w:type="dxa"/>
            <w:hideMark/>
          </w:tcPr>
          <w:p w14:paraId="2EFB709C" w14:textId="77777777" w:rsidR="005E2BB1" w:rsidRPr="00F45F11" w:rsidRDefault="005E2BB1" w:rsidP="0093234E">
            <w:pPr>
              <w:pStyle w:val="ARtabletextright"/>
              <w:rPr>
                <w:lang w:eastAsia="en-AU"/>
              </w:rPr>
            </w:pPr>
            <w:r w:rsidRPr="00F45F11">
              <w:rPr>
                <w:lang w:eastAsia="en-AU"/>
              </w:rPr>
              <w:t>1</w:t>
            </w:r>
          </w:p>
        </w:tc>
        <w:tc>
          <w:tcPr>
            <w:tcW w:w="926" w:type="dxa"/>
            <w:hideMark/>
          </w:tcPr>
          <w:p w14:paraId="7F1BD704" w14:textId="77777777" w:rsidR="005E2BB1" w:rsidRPr="00F45F11" w:rsidRDefault="005E2BB1" w:rsidP="0093234E">
            <w:pPr>
              <w:pStyle w:val="ARtabletextright"/>
              <w:rPr>
                <w:lang w:eastAsia="en-AU"/>
              </w:rPr>
            </w:pPr>
            <w:r w:rsidRPr="00F45F11">
              <w:rPr>
                <w:lang w:eastAsia="en-AU"/>
              </w:rPr>
              <w:t>0</w:t>
            </w:r>
          </w:p>
        </w:tc>
        <w:tc>
          <w:tcPr>
            <w:tcW w:w="927" w:type="dxa"/>
            <w:hideMark/>
          </w:tcPr>
          <w:p w14:paraId="6A14BAE9" w14:textId="77777777" w:rsidR="005E2BB1" w:rsidRPr="00F45F11" w:rsidRDefault="005E2BB1" w:rsidP="0093234E">
            <w:pPr>
              <w:pStyle w:val="ARtabletextright"/>
              <w:rPr>
                <w:lang w:eastAsia="en-AU"/>
              </w:rPr>
            </w:pPr>
            <w:r w:rsidRPr="00F45F11">
              <w:rPr>
                <w:lang w:eastAsia="en-AU"/>
              </w:rPr>
              <w:t>1.0</w:t>
            </w:r>
          </w:p>
        </w:tc>
        <w:tc>
          <w:tcPr>
            <w:tcW w:w="1057" w:type="dxa"/>
            <w:shd w:val="clear" w:color="auto" w:fill="E7E6E6" w:themeFill="background2"/>
            <w:hideMark/>
          </w:tcPr>
          <w:p w14:paraId="38536804" w14:textId="77777777" w:rsidR="005E2BB1" w:rsidRPr="00F45F11" w:rsidRDefault="005E2BB1" w:rsidP="0093234E">
            <w:pPr>
              <w:pStyle w:val="ARtabletextright"/>
              <w:rPr>
                <w:lang w:eastAsia="en-AU"/>
              </w:rPr>
            </w:pPr>
            <w:r w:rsidRPr="00F45F11">
              <w:rPr>
                <w:lang w:eastAsia="en-AU"/>
              </w:rPr>
              <w:t>3</w:t>
            </w:r>
          </w:p>
        </w:tc>
        <w:tc>
          <w:tcPr>
            <w:tcW w:w="927" w:type="dxa"/>
            <w:shd w:val="clear" w:color="auto" w:fill="E7E6E6" w:themeFill="background2"/>
            <w:hideMark/>
          </w:tcPr>
          <w:p w14:paraId="72CA4674" w14:textId="77777777" w:rsidR="005E2BB1" w:rsidRPr="00F45F11" w:rsidRDefault="005E2BB1" w:rsidP="0093234E">
            <w:pPr>
              <w:pStyle w:val="ARtabletextright"/>
              <w:rPr>
                <w:lang w:eastAsia="en-AU"/>
              </w:rPr>
            </w:pPr>
            <w:r w:rsidRPr="00F45F11">
              <w:rPr>
                <w:lang w:eastAsia="en-AU"/>
              </w:rPr>
              <w:t>2.8</w:t>
            </w:r>
          </w:p>
        </w:tc>
        <w:tc>
          <w:tcPr>
            <w:tcW w:w="1057" w:type="dxa"/>
            <w:hideMark/>
          </w:tcPr>
          <w:p w14:paraId="54FDCAA6" w14:textId="77777777" w:rsidR="005E2BB1" w:rsidRPr="00F45F11" w:rsidRDefault="005E2BB1" w:rsidP="0093234E">
            <w:pPr>
              <w:pStyle w:val="ARtabletextright"/>
              <w:rPr>
                <w:lang w:eastAsia="en-AU"/>
              </w:rPr>
            </w:pPr>
            <w:r w:rsidRPr="00F45F11">
              <w:rPr>
                <w:lang w:eastAsia="en-AU"/>
              </w:rPr>
              <w:t>5</w:t>
            </w:r>
          </w:p>
        </w:tc>
        <w:tc>
          <w:tcPr>
            <w:tcW w:w="927" w:type="dxa"/>
            <w:hideMark/>
          </w:tcPr>
          <w:p w14:paraId="27541B8C" w14:textId="77777777" w:rsidR="005E2BB1" w:rsidRPr="00F45F11" w:rsidRDefault="005E2BB1" w:rsidP="0093234E">
            <w:pPr>
              <w:pStyle w:val="ARtabletextright"/>
              <w:rPr>
                <w:lang w:eastAsia="en-AU"/>
              </w:rPr>
            </w:pPr>
            <w:r w:rsidRPr="00F45F11">
              <w:rPr>
                <w:lang w:eastAsia="en-AU"/>
              </w:rPr>
              <w:t>5.0</w:t>
            </w:r>
          </w:p>
        </w:tc>
        <w:tc>
          <w:tcPr>
            <w:tcW w:w="926" w:type="dxa"/>
            <w:shd w:val="clear" w:color="auto" w:fill="E7E6E6" w:themeFill="background2"/>
            <w:hideMark/>
          </w:tcPr>
          <w:p w14:paraId="60B18A25" w14:textId="77777777" w:rsidR="005E2BB1" w:rsidRPr="00F45F11" w:rsidRDefault="005E2BB1" w:rsidP="0093234E">
            <w:pPr>
              <w:pStyle w:val="ARtabletextright"/>
              <w:rPr>
                <w:lang w:eastAsia="en-AU"/>
              </w:rPr>
            </w:pPr>
            <w:r w:rsidRPr="00F45F11">
              <w:rPr>
                <w:lang w:eastAsia="en-AU"/>
              </w:rPr>
              <w:t>2</w:t>
            </w:r>
          </w:p>
        </w:tc>
        <w:tc>
          <w:tcPr>
            <w:tcW w:w="926" w:type="dxa"/>
            <w:shd w:val="clear" w:color="auto" w:fill="E7E6E6" w:themeFill="background2"/>
            <w:hideMark/>
          </w:tcPr>
          <w:p w14:paraId="160DA7CD" w14:textId="77777777" w:rsidR="005E2BB1" w:rsidRPr="00F45F11" w:rsidRDefault="005E2BB1" w:rsidP="0093234E">
            <w:pPr>
              <w:pStyle w:val="ARtabletextright"/>
              <w:rPr>
                <w:lang w:eastAsia="en-AU"/>
              </w:rPr>
            </w:pPr>
            <w:r w:rsidRPr="00F45F11">
              <w:rPr>
                <w:lang w:eastAsia="en-AU"/>
              </w:rPr>
              <w:t>0</w:t>
            </w:r>
          </w:p>
        </w:tc>
        <w:tc>
          <w:tcPr>
            <w:tcW w:w="927" w:type="dxa"/>
            <w:shd w:val="clear" w:color="auto" w:fill="E7E6E6" w:themeFill="background2"/>
            <w:hideMark/>
          </w:tcPr>
          <w:p w14:paraId="24EB2EB4" w14:textId="77777777" w:rsidR="005E2BB1" w:rsidRPr="00F45F11" w:rsidRDefault="005E2BB1" w:rsidP="0093234E">
            <w:pPr>
              <w:pStyle w:val="ARtabletextright"/>
              <w:rPr>
                <w:lang w:eastAsia="en-AU"/>
              </w:rPr>
            </w:pPr>
            <w:r w:rsidRPr="00F45F11">
              <w:rPr>
                <w:lang w:eastAsia="en-AU"/>
              </w:rPr>
              <w:t>2.0</w:t>
            </w:r>
          </w:p>
        </w:tc>
        <w:tc>
          <w:tcPr>
            <w:tcW w:w="1057" w:type="dxa"/>
            <w:hideMark/>
          </w:tcPr>
          <w:p w14:paraId="6D6B70F3" w14:textId="77777777" w:rsidR="005E2BB1" w:rsidRPr="00F45F11" w:rsidRDefault="005E2BB1" w:rsidP="0093234E">
            <w:pPr>
              <w:pStyle w:val="ARtabletextright"/>
              <w:rPr>
                <w:lang w:eastAsia="en-AU"/>
              </w:rPr>
            </w:pPr>
            <w:r w:rsidRPr="00F45F11">
              <w:rPr>
                <w:lang w:eastAsia="en-AU"/>
              </w:rPr>
              <w:t>3</w:t>
            </w:r>
          </w:p>
        </w:tc>
        <w:tc>
          <w:tcPr>
            <w:tcW w:w="927" w:type="dxa"/>
            <w:hideMark/>
          </w:tcPr>
          <w:p w14:paraId="4DD91802" w14:textId="77777777" w:rsidR="005E2BB1" w:rsidRPr="00F45F11" w:rsidRDefault="005E2BB1" w:rsidP="0093234E">
            <w:pPr>
              <w:pStyle w:val="ARtabletextright"/>
              <w:rPr>
                <w:lang w:eastAsia="en-AU"/>
              </w:rPr>
            </w:pPr>
            <w:r w:rsidRPr="00F45F11">
              <w:rPr>
                <w:lang w:eastAsia="en-AU"/>
              </w:rPr>
              <w:t>3.0</w:t>
            </w:r>
          </w:p>
        </w:tc>
      </w:tr>
      <w:tr w:rsidR="005E2BB1" w:rsidRPr="00F45F11" w14:paraId="6DCB87FD"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tcBorders>
              <w:bottom w:val="single" w:sz="4" w:space="0" w:color="BFBFBF" w:themeColor="accent2"/>
            </w:tcBorders>
            <w:hideMark/>
          </w:tcPr>
          <w:p w14:paraId="2F8E3FCD" w14:textId="77777777" w:rsidR="005E2BB1" w:rsidRPr="00F45F11" w:rsidRDefault="005E2BB1" w:rsidP="0093234E">
            <w:pPr>
              <w:pStyle w:val="ARTabletext"/>
              <w:rPr>
                <w:lang w:eastAsia="en-AU"/>
              </w:rPr>
            </w:pPr>
            <w:r w:rsidRPr="00F45F11">
              <w:rPr>
                <w:lang w:eastAsia="en-AU"/>
              </w:rPr>
              <w:t>HSO-2</w:t>
            </w:r>
          </w:p>
        </w:tc>
        <w:tc>
          <w:tcPr>
            <w:tcW w:w="992" w:type="dxa"/>
            <w:tcBorders>
              <w:bottom w:val="single" w:sz="4" w:space="0" w:color="BFBFBF" w:themeColor="accent2"/>
            </w:tcBorders>
            <w:shd w:val="clear" w:color="auto" w:fill="E7E6E6" w:themeFill="background2"/>
            <w:hideMark/>
          </w:tcPr>
          <w:p w14:paraId="7F325517" w14:textId="77777777" w:rsidR="005E2BB1" w:rsidRPr="00F45F11" w:rsidRDefault="005E2BB1" w:rsidP="0093234E">
            <w:pPr>
              <w:pStyle w:val="ARtabletextright"/>
              <w:rPr>
                <w:lang w:eastAsia="en-AU"/>
              </w:rPr>
            </w:pPr>
            <w:r w:rsidRPr="00F45F11">
              <w:rPr>
                <w:lang w:eastAsia="en-AU"/>
              </w:rPr>
              <w:t>366</w:t>
            </w:r>
          </w:p>
        </w:tc>
        <w:tc>
          <w:tcPr>
            <w:tcW w:w="992" w:type="dxa"/>
            <w:tcBorders>
              <w:bottom w:val="single" w:sz="4" w:space="0" w:color="BFBFBF" w:themeColor="accent2"/>
            </w:tcBorders>
            <w:shd w:val="clear" w:color="auto" w:fill="E7E6E6" w:themeFill="background2"/>
            <w:hideMark/>
          </w:tcPr>
          <w:p w14:paraId="48F74758" w14:textId="77777777" w:rsidR="005E2BB1" w:rsidRPr="00F45F11" w:rsidRDefault="005E2BB1" w:rsidP="0093234E">
            <w:pPr>
              <w:pStyle w:val="ARtabletextright"/>
              <w:rPr>
                <w:lang w:eastAsia="en-AU"/>
              </w:rPr>
            </w:pPr>
            <w:r w:rsidRPr="00F45F11">
              <w:rPr>
                <w:lang w:eastAsia="en-AU"/>
              </w:rPr>
              <w:t>348.0</w:t>
            </w:r>
          </w:p>
        </w:tc>
        <w:tc>
          <w:tcPr>
            <w:tcW w:w="926" w:type="dxa"/>
            <w:tcBorders>
              <w:bottom w:val="single" w:sz="4" w:space="0" w:color="BFBFBF" w:themeColor="accent2"/>
            </w:tcBorders>
            <w:hideMark/>
          </w:tcPr>
          <w:p w14:paraId="5178DBB3" w14:textId="77777777" w:rsidR="005E2BB1" w:rsidRPr="00F45F11" w:rsidRDefault="005E2BB1" w:rsidP="0093234E">
            <w:pPr>
              <w:pStyle w:val="ARtabletextright"/>
              <w:rPr>
                <w:lang w:eastAsia="en-AU"/>
              </w:rPr>
            </w:pPr>
            <w:r w:rsidRPr="00F45F11">
              <w:rPr>
                <w:lang w:eastAsia="en-AU"/>
              </w:rPr>
              <w:t>287</w:t>
            </w:r>
          </w:p>
        </w:tc>
        <w:tc>
          <w:tcPr>
            <w:tcW w:w="926" w:type="dxa"/>
            <w:tcBorders>
              <w:bottom w:val="single" w:sz="4" w:space="0" w:color="BFBFBF" w:themeColor="accent2"/>
            </w:tcBorders>
            <w:hideMark/>
          </w:tcPr>
          <w:p w14:paraId="24914EFA" w14:textId="77777777" w:rsidR="005E2BB1" w:rsidRPr="00F45F11" w:rsidRDefault="005E2BB1" w:rsidP="0093234E">
            <w:pPr>
              <w:pStyle w:val="ARtabletextright"/>
              <w:rPr>
                <w:lang w:eastAsia="en-AU"/>
              </w:rPr>
            </w:pPr>
            <w:r w:rsidRPr="00F45F11">
              <w:rPr>
                <w:lang w:eastAsia="en-AU"/>
              </w:rPr>
              <w:t>48</w:t>
            </w:r>
          </w:p>
        </w:tc>
        <w:tc>
          <w:tcPr>
            <w:tcW w:w="927" w:type="dxa"/>
            <w:tcBorders>
              <w:bottom w:val="single" w:sz="4" w:space="0" w:color="BFBFBF" w:themeColor="accent2"/>
            </w:tcBorders>
            <w:hideMark/>
          </w:tcPr>
          <w:p w14:paraId="758F8457" w14:textId="77777777" w:rsidR="005E2BB1" w:rsidRPr="00F45F11" w:rsidRDefault="005E2BB1" w:rsidP="0093234E">
            <w:pPr>
              <w:pStyle w:val="ARtabletextright"/>
              <w:rPr>
                <w:lang w:eastAsia="en-AU"/>
              </w:rPr>
            </w:pPr>
            <w:r w:rsidRPr="00F45F11">
              <w:rPr>
                <w:lang w:eastAsia="en-AU"/>
              </w:rPr>
              <w:t>319.7</w:t>
            </w:r>
          </w:p>
        </w:tc>
        <w:tc>
          <w:tcPr>
            <w:tcW w:w="1057" w:type="dxa"/>
            <w:tcBorders>
              <w:bottom w:val="single" w:sz="4" w:space="0" w:color="BFBFBF" w:themeColor="accent2"/>
            </w:tcBorders>
            <w:shd w:val="clear" w:color="auto" w:fill="E7E6E6" w:themeFill="background2"/>
            <w:hideMark/>
          </w:tcPr>
          <w:p w14:paraId="1DD4EE4D" w14:textId="77777777" w:rsidR="005E2BB1" w:rsidRPr="00F45F11" w:rsidRDefault="005E2BB1" w:rsidP="0093234E">
            <w:pPr>
              <w:pStyle w:val="ARtabletextright"/>
              <w:rPr>
                <w:lang w:eastAsia="en-AU"/>
              </w:rPr>
            </w:pPr>
            <w:r w:rsidRPr="00F45F11">
              <w:rPr>
                <w:lang w:eastAsia="en-AU"/>
              </w:rPr>
              <w:t>31</w:t>
            </w:r>
          </w:p>
        </w:tc>
        <w:tc>
          <w:tcPr>
            <w:tcW w:w="927" w:type="dxa"/>
            <w:tcBorders>
              <w:bottom w:val="single" w:sz="4" w:space="0" w:color="BFBFBF" w:themeColor="accent2"/>
            </w:tcBorders>
            <w:shd w:val="clear" w:color="auto" w:fill="E7E6E6" w:themeFill="background2"/>
            <w:hideMark/>
          </w:tcPr>
          <w:p w14:paraId="0CC6BAA5" w14:textId="77777777" w:rsidR="005E2BB1" w:rsidRPr="00F45F11" w:rsidRDefault="005E2BB1" w:rsidP="0093234E">
            <w:pPr>
              <w:pStyle w:val="ARtabletextright"/>
              <w:rPr>
                <w:lang w:eastAsia="en-AU"/>
              </w:rPr>
            </w:pPr>
            <w:r w:rsidRPr="00F45F11">
              <w:rPr>
                <w:lang w:eastAsia="en-AU"/>
              </w:rPr>
              <w:t>28.3</w:t>
            </w:r>
          </w:p>
        </w:tc>
        <w:tc>
          <w:tcPr>
            <w:tcW w:w="1057" w:type="dxa"/>
            <w:tcBorders>
              <w:bottom w:val="single" w:sz="4" w:space="0" w:color="BFBFBF" w:themeColor="accent2"/>
            </w:tcBorders>
            <w:hideMark/>
          </w:tcPr>
          <w:p w14:paraId="3EF30809" w14:textId="77777777" w:rsidR="005E2BB1" w:rsidRPr="00F45F11" w:rsidRDefault="005E2BB1" w:rsidP="0093234E">
            <w:pPr>
              <w:pStyle w:val="ARtabletextright"/>
              <w:rPr>
                <w:lang w:eastAsia="en-AU"/>
              </w:rPr>
            </w:pPr>
            <w:r w:rsidRPr="00F45F11">
              <w:rPr>
                <w:lang w:eastAsia="en-AU"/>
              </w:rPr>
              <w:t>365</w:t>
            </w:r>
          </w:p>
        </w:tc>
        <w:tc>
          <w:tcPr>
            <w:tcW w:w="927" w:type="dxa"/>
            <w:tcBorders>
              <w:bottom w:val="single" w:sz="4" w:space="0" w:color="BFBFBF" w:themeColor="accent2"/>
            </w:tcBorders>
            <w:hideMark/>
          </w:tcPr>
          <w:p w14:paraId="0C880EAD" w14:textId="77777777" w:rsidR="005E2BB1" w:rsidRPr="00F45F11" w:rsidRDefault="005E2BB1" w:rsidP="0093234E">
            <w:pPr>
              <w:pStyle w:val="ARtabletextright"/>
              <w:rPr>
                <w:lang w:eastAsia="en-AU"/>
              </w:rPr>
            </w:pPr>
            <w:r w:rsidRPr="00F45F11">
              <w:rPr>
                <w:lang w:eastAsia="en-AU"/>
              </w:rPr>
              <w:t>349.0</w:t>
            </w:r>
          </w:p>
        </w:tc>
        <w:tc>
          <w:tcPr>
            <w:tcW w:w="926" w:type="dxa"/>
            <w:tcBorders>
              <w:bottom w:val="single" w:sz="4" w:space="0" w:color="BFBFBF" w:themeColor="accent2"/>
            </w:tcBorders>
            <w:shd w:val="clear" w:color="auto" w:fill="E7E6E6" w:themeFill="background2"/>
            <w:hideMark/>
          </w:tcPr>
          <w:p w14:paraId="5AA7A84F" w14:textId="77777777" w:rsidR="005E2BB1" w:rsidRPr="00F45F11" w:rsidRDefault="005E2BB1" w:rsidP="0093234E">
            <w:pPr>
              <w:pStyle w:val="ARtabletextright"/>
              <w:rPr>
                <w:lang w:eastAsia="en-AU"/>
              </w:rPr>
            </w:pPr>
            <w:r w:rsidRPr="00F45F11">
              <w:rPr>
                <w:lang w:eastAsia="en-AU"/>
              </w:rPr>
              <w:t>295</w:t>
            </w:r>
          </w:p>
        </w:tc>
        <w:tc>
          <w:tcPr>
            <w:tcW w:w="926" w:type="dxa"/>
            <w:tcBorders>
              <w:bottom w:val="single" w:sz="4" w:space="0" w:color="BFBFBF" w:themeColor="accent2"/>
            </w:tcBorders>
            <w:shd w:val="clear" w:color="auto" w:fill="E7E6E6" w:themeFill="background2"/>
            <w:hideMark/>
          </w:tcPr>
          <w:p w14:paraId="6CF0D801" w14:textId="77777777" w:rsidR="005E2BB1" w:rsidRPr="00F45F11" w:rsidRDefault="005E2BB1" w:rsidP="0093234E">
            <w:pPr>
              <w:pStyle w:val="ARtabletextright"/>
              <w:rPr>
                <w:lang w:eastAsia="en-AU"/>
              </w:rPr>
            </w:pPr>
            <w:r w:rsidRPr="00F45F11">
              <w:rPr>
                <w:lang w:eastAsia="en-AU"/>
              </w:rPr>
              <w:t>42</w:t>
            </w:r>
          </w:p>
        </w:tc>
        <w:tc>
          <w:tcPr>
            <w:tcW w:w="927" w:type="dxa"/>
            <w:tcBorders>
              <w:bottom w:val="single" w:sz="4" w:space="0" w:color="BFBFBF" w:themeColor="accent2"/>
            </w:tcBorders>
            <w:shd w:val="clear" w:color="auto" w:fill="E7E6E6" w:themeFill="background2"/>
            <w:hideMark/>
          </w:tcPr>
          <w:p w14:paraId="6E9BA17C" w14:textId="77777777" w:rsidR="005E2BB1" w:rsidRPr="00F45F11" w:rsidRDefault="005E2BB1" w:rsidP="0093234E">
            <w:pPr>
              <w:pStyle w:val="ARtabletextright"/>
              <w:rPr>
                <w:lang w:eastAsia="en-AU"/>
              </w:rPr>
            </w:pPr>
            <w:r w:rsidRPr="00F45F11">
              <w:rPr>
                <w:lang w:eastAsia="en-AU"/>
              </w:rPr>
              <w:t>322.0</w:t>
            </w:r>
          </w:p>
        </w:tc>
        <w:tc>
          <w:tcPr>
            <w:tcW w:w="1057" w:type="dxa"/>
            <w:tcBorders>
              <w:bottom w:val="single" w:sz="4" w:space="0" w:color="BFBFBF" w:themeColor="accent2"/>
            </w:tcBorders>
            <w:hideMark/>
          </w:tcPr>
          <w:p w14:paraId="638F0D74" w14:textId="77777777" w:rsidR="005E2BB1" w:rsidRPr="00F45F11" w:rsidRDefault="005E2BB1" w:rsidP="0093234E">
            <w:pPr>
              <w:pStyle w:val="ARtabletextright"/>
              <w:rPr>
                <w:lang w:eastAsia="en-AU"/>
              </w:rPr>
            </w:pPr>
            <w:r w:rsidRPr="00F45F11">
              <w:rPr>
                <w:lang w:eastAsia="en-AU"/>
              </w:rPr>
              <w:t>28</w:t>
            </w:r>
          </w:p>
        </w:tc>
        <w:tc>
          <w:tcPr>
            <w:tcW w:w="927" w:type="dxa"/>
            <w:tcBorders>
              <w:bottom w:val="single" w:sz="4" w:space="0" w:color="BFBFBF" w:themeColor="accent2"/>
            </w:tcBorders>
            <w:hideMark/>
          </w:tcPr>
          <w:p w14:paraId="0203FB47" w14:textId="77777777" w:rsidR="005E2BB1" w:rsidRPr="00F45F11" w:rsidRDefault="005E2BB1" w:rsidP="0093234E">
            <w:pPr>
              <w:pStyle w:val="ARtabletextright"/>
              <w:rPr>
                <w:lang w:eastAsia="en-AU"/>
              </w:rPr>
            </w:pPr>
            <w:r w:rsidRPr="00F45F11">
              <w:rPr>
                <w:lang w:eastAsia="en-AU"/>
              </w:rPr>
              <w:t>27.0</w:t>
            </w:r>
          </w:p>
        </w:tc>
      </w:tr>
      <w:tr w:rsidR="005E2BB1" w:rsidRPr="00F45F11" w14:paraId="009D8F03"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tcBorders>
              <w:top w:val="single" w:sz="4" w:space="0" w:color="BFBFBF" w:themeColor="accent2"/>
              <w:bottom w:val="single" w:sz="4" w:space="0" w:color="auto"/>
            </w:tcBorders>
            <w:hideMark/>
          </w:tcPr>
          <w:p w14:paraId="342CF3C4" w14:textId="77777777" w:rsidR="005E2BB1" w:rsidRPr="00F45F11" w:rsidRDefault="005E2BB1" w:rsidP="0093234E">
            <w:pPr>
              <w:pStyle w:val="ARTabletext"/>
              <w:rPr>
                <w:lang w:eastAsia="en-AU"/>
              </w:rPr>
            </w:pPr>
            <w:r w:rsidRPr="00F45F11">
              <w:rPr>
                <w:lang w:eastAsia="en-AU"/>
              </w:rPr>
              <w:t>HSO-3</w:t>
            </w:r>
          </w:p>
        </w:tc>
        <w:tc>
          <w:tcPr>
            <w:tcW w:w="992" w:type="dxa"/>
            <w:tcBorders>
              <w:top w:val="single" w:sz="4" w:space="0" w:color="BFBFBF" w:themeColor="accent2"/>
              <w:bottom w:val="single" w:sz="4" w:space="0" w:color="auto"/>
            </w:tcBorders>
            <w:shd w:val="clear" w:color="auto" w:fill="E7E6E6" w:themeFill="background2"/>
            <w:hideMark/>
          </w:tcPr>
          <w:p w14:paraId="3B90848A" w14:textId="77777777" w:rsidR="005E2BB1" w:rsidRPr="00F45F11" w:rsidRDefault="005E2BB1" w:rsidP="0093234E">
            <w:pPr>
              <w:pStyle w:val="ARtabletextright"/>
              <w:rPr>
                <w:lang w:eastAsia="en-AU"/>
              </w:rPr>
            </w:pPr>
            <w:r w:rsidRPr="00F45F11">
              <w:rPr>
                <w:lang w:eastAsia="en-AU"/>
              </w:rPr>
              <w:t>69</w:t>
            </w:r>
          </w:p>
        </w:tc>
        <w:tc>
          <w:tcPr>
            <w:tcW w:w="992" w:type="dxa"/>
            <w:tcBorders>
              <w:top w:val="single" w:sz="4" w:space="0" w:color="BFBFBF" w:themeColor="accent2"/>
              <w:bottom w:val="single" w:sz="4" w:space="0" w:color="auto"/>
            </w:tcBorders>
            <w:shd w:val="clear" w:color="auto" w:fill="E7E6E6" w:themeFill="background2"/>
            <w:hideMark/>
          </w:tcPr>
          <w:p w14:paraId="32396FE9" w14:textId="77777777" w:rsidR="005E2BB1" w:rsidRPr="00F45F11" w:rsidRDefault="005E2BB1" w:rsidP="0093234E">
            <w:pPr>
              <w:pStyle w:val="ARtabletextright"/>
              <w:rPr>
                <w:lang w:eastAsia="en-AU"/>
              </w:rPr>
            </w:pPr>
            <w:r w:rsidRPr="00F45F11">
              <w:rPr>
                <w:lang w:eastAsia="en-AU"/>
              </w:rPr>
              <w:t>67.3</w:t>
            </w:r>
          </w:p>
        </w:tc>
        <w:tc>
          <w:tcPr>
            <w:tcW w:w="926" w:type="dxa"/>
            <w:tcBorders>
              <w:top w:val="single" w:sz="4" w:space="0" w:color="BFBFBF" w:themeColor="accent2"/>
              <w:bottom w:val="single" w:sz="4" w:space="0" w:color="auto"/>
            </w:tcBorders>
            <w:hideMark/>
          </w:tcPr>
          <w:p w14:paraId="608705F3" w14:textId="77777777" w:rsidR="005E2BB1" w:rsidRPr="00F45F11" w:rsidRDefault="005E2BB1" w:rsidP="0093234E">
            <w:pPr>
              <w:pStyle w:val="ARtabletextright"/>
              <w:rPr>
                <w:lang w:eastAsia="en-AU"/>
              </w:rPr>
            </w:pPr>
            <w:r w:rsidRPr="00F45F11">
              <w:rPr>
                <w:lang w:eastAsia="en-AU"/>
              </w:rPr>
              <w:t>62</w:t>
            </w:r>
          </w:p>
        </w:tc>
        <w:tc>
          <w:tcPr>
            <w:tcW w:w="926" w:type="dxa"/>
            <w:tcBorders>
              <w:top w:val="single" w:sz="4" w:space="0" w:color="BFBFBF" w:themeColor="accent2"/>
              <w:bottom w:val="single" w:sz="4" w:space="0" w:color="auto"/>
            </w:tcBorders>
            <w:hideMark/>
          </w:tcPr>
          <w:p w14:paraId="36FC1FFB" w14:textId="77777777" w:rsidR="005E2BB1" w:rsidRPr="00F45F11" w:rsidRDefault="005E2BB1" w:rsidP="0093234E">
            <w:pPr>
              <w:pStyle w:val="ARtabletextright"/>
              <w:rPr>
                <w:lang w:eastAsia="en-AU"/>
              </w:rPr>
            </w:pPr>
            <w:r w:rsidRPr="00F45F11">
              <w:rPr>
                <w:lang w:eastAsia="en-AU"/>
              </w:rPr>
              <w:t>6</w:t>
            </w:r>
          </w:p>
        </w:tc>
        <w:tc>
          <w:tcPr>
            <w:tcW w:w="927" w:type="dxa"/>
            <w:tcBorders>
              <w:top w:val="single" w:sz="4" w:space="0" w:color="BFBFBF" w:themeColor="accent2"/>
              <w:bottom w:val="single" w:sz="4" w:space="0" w:color="auto"/>
            </w:tcBorders>
            <w:hideMark/>
          </w:tcPr>
          <w:p w14:paraId="0163BED2" w14:textId="77777777" w:rsidR="005E2BB1" w:rsidRPr="00F45F11" w:rsidRDefault="005E2BB1" w:rsidP="0093234E">
            <w:pPr>
              <w:pStyle w:val="ARtabletextright"/>
              <w:rPr>
                <w:lang w:eastAsia="en-AU"/>
              </w:rPr>
            </w:pPr>
            <w:r w:rsidRPr="00F45F11">
              <w:rPr>
                <w:lang w:eastAsia="en-AU"/>
              </w:rPr>
              <w:t>66.3</w:t>
            </w:r>
          </w:p>
        </w:tc>
        <w:tc>
          <w:tcPr>
            <w:tcW w:w="1057" w:type="dxa"/>
            <w:tcBorders>
              <w:top w:val="single" w:sz="4" w:space="0" w:color="BFBFBF" w:themeColor="accent2"/>
              <w:bottom w:val="single" w:sz="4" w:space="0" w:color="auto"/>
            </w:tcBorders>
            <w:shd w:val="clear" w:color="auto" w:fill="E7E6E6" w:themeFill="background2"/>
            <w:hideMark/>
          </w:tcPr>
          <w:p w14:paraId="6A9C4193" w14:textId="77777777" w:rsidR="005E2BB1" w:rsidRPr="00F45F11" w:rsidRDefault="005E2BB1" w:rsidP="0093234E">
            <w:pPr>
              <w:pStyle w:val="ARtabletextright"/>
              <w:rPr>
                <w:lang w:eastAsia="en-AU"/>
              </w:rPr>
            </w:pPr>
            <w:r w:rsidRPr="00F45F11">
              <w:rPr>
                <w:lang w:eastAsia="en-AU"/>
              </w:rPr>
              <w:t>1</w:t>
            </w:r>
          </w:p>
        </w:tc>
        <w:tc>
          <w:tcPr>
            <w:tcW w:w="927" w:type="dxa"/>
            <w:tcBorders>
              <w:top w:val="single" w:sz="4" w:space="0" w:color="BFBFBF" w:themeColor="accent2"/>
              <w:bottom w:val="single" w:sz="4" w:space="0" w:color="auto"/>
            </w:tcBorders>
            <w:shd w:val="clear" w:color="auto" w:fill="E7E6E6" w:themeFill="background2"/>
            <w:hideMark/>
          </w:tcPr>
          <w:p w14:paraId="078C8298" w14:textId="77777777" w:rsidR="005E2BB1" w:rsidRPr="00F45F11" w:rsidRDefault="005E2BB1" w:rsidP="0093234E">
            <w:pPr>
              <w:pStyle w:val="ARtabletextright"/>
              <w:rPr>
                <w:lang w:eastAsia="en-AU"/>
              </w:rPr>
            </w:pPr>
            <w:r w:rsidRPr="00F45F11">
              <w:rPr>
                <w:lang w:eastAsia="en-AU"/>
              </w:rPr>
              <w:t>1.0</w:t>
            </w:r>
          </w:p>
        </w:tc>
        <w:tc>
          <w:tcPr>
            <w:tcW w:w="1057" w:type="dxa"/>
            <w:tcBorders>
              <w:top w:val="single" w:sz="4" w:space="0" w:color="BFBFBF" w:themeColor="accent2"/>
              <w:bottom w:val="single" w:sz="4" w:space="0" w:color="auto"/>
            </w:tcBorders>
            <w:hideMark/>
          </w:tcPr>
          <w:p w14:paraId="347AA629" w14:textId="77777777" w:rsidR="005E2BB1" w:rsidRPr="00F45F11" w:rsidRDefault="005E2BB1" w:rsidP="0093234E">
            <w:pPr>
              <w:pStyle w:val="ARtabletextright"/>
              <w:rPr>
                <w:lang w:eastAsia="en-AU"/>
              </w:rPr>
            </w:pPr>
            <w:r w:rsidRPr="00F45F11">
              <w:rPr>
                <w:lang w:eastAsia="en-AU"/>
              </w:rPr>
              <w:t>66</w:t>
            </w:r>
          </w:p>
        </w:tc>
        <w:tc>
          <w:tcPr>
            <w:tcW w:w="927" w:type="dxa"/>
            <w:tcBorders>
              <w:top w:val="single" w:sz="4" w:space="0" w:color="BFBFBF" w:themeColor="accent2"/>
              <w:bottom w:val="single" w:sz="4" w:space="0" w:color="auto"/>
            </w:tcBorders>
            <w:hideMark/>
          </w:tcPr>
          <w:p w14:paraId="60453B6C" w14:textId="77777777" w:rsidR="005E2BB1" w:rsidRPr="00F45F11" w:rsidRDefault="005E2BB1" w:rsidP="0093234E">
            <w:pPr>
              <w:pStyle w:val="ARtabletextright"/>
              <w:rPr>
                <w:lang w:eastAsia="en-AU"/>
              </w:rPr>
            </w:pPr>
            <w:r w:rsidRPr="00F45F11">
              <w:rPr>
                <w:lang w:eastAsia="en-AU"/>
              </w:rPr>
              <w:t>64.3</w:t>
            </w:r>
          </w:p>
        </w:tc>
        <w:tc>
          <w:tcPr>
            <w:tcW w:w="926" w:type="dxa"/>
            <w:tcBorders>
              <w:top w:val="single" w:sz="4" w:space="0" w:color="BFBFBF" w:themeColor="accent2"/>
              <w:bottom w:val="single" w:sz="4" w:space="0" w:color="auto"/>
            </w:tcBorders>
            <w:shd w:val="clear" w:color="auto" w:fill="E7E6E6" w:themeFill="background2"/>
            <w:hideMark/>
          </w:tcPr>
          <w:p w14:paraId="5B0597D7" w14:textId="77777777" w:rsidR="005E2BB1" w:rsidRPr="00F45F11" w:rsidRDefault="005E2BB1" w:rsidP="0093234E">
            <w:pPr>
              <w:pStyle w:val="ARtabletextright"/>
              <w:rPr>
                <w:lang w:eastAsia="en-AU"/>
              </w:rPr>
            </w:pPr>
            <w:r w:rsidRPr="00F45F11">
              <w:rPr>
                <w:lang w:eastAsia="en-AU"/>
              </w:rPr>
              <w:t>59</w:t>
            </w:r>
          </w:p>
        </w:tc>
        <w:tc>
          <w:tcPr>
            <w:tcW w:w="926" w:type="dxa"/>
            <w:tcBorders>
              <w:top w:val="single" w:sz="4" w:space="0" w:color="BFBFBF" w:themeColor="accent2"/>
              <w:bottom w:val="single" w:sz="4" w:space="0" w:color="auto"/>
            </w:tcBorders>
            <w:shd w:val="clear" w:color="auto" w:fill="E7E6E6" w:themeFill="background2"/>
            <w:hideMark/>
          </w:tcPr>
          <w:p w14:paraId="009F0BBF" w14:textId="77777777" w:rsidR="005E2BB1" w:rsidRPr="00F45F11" w:rsidRDefault="005E2BB1" w:rsidP="0093234E">
            <w:pPr>
              <w:pStyle w:val="ARtabletextright"/>
              <w:rPr>
                <w:lang w:eastAsia="en-AU"/>
              </w:rPr>
            </w:pPr>
            <w:r w:rsidRPr="00F45F11">
              <w:rPr>
                <w:lang w:eastAsia="en-AU"/>
              </w:rPr>
              <w:t>7</w:t>
            </w:r>
          </w:p>
        </w:tc>
        <w:tc>
          <w:tcPr>
            <w:tcW w:w="927" w:type="dxa"/>
            <w:tcBorders>
              <w:top w:val="single" w:sz="4" w:space="0" w:color="BFBFBF" w:themeColor="accent2"/>
              <w:bottom w:val="single" w:sz="4" w:space="0" w:color="auto"/>
            </w:tcBorders>
            <w:shd w:val="clear" w:color="auto" w:fill="E7E6E6" w:themeFill="background2"/>
            <w:hideMark/>
          </w:tcPr>
          <w:p w14:paraId="70923C6E" w14:textId="77777777" w:rsidR="005E2BB1" w:rsidRPr="00F45F11" w:rsidRDefault="005E2BB1" w:rsidP="0093234E">
            <w:pPr>
              <w:pStyle w:val="ARtabletextright"/>
              <w:rPr>
                <w:lang w:eastAsia="en-AU"/>
              </w:rPr>
            </w:pPr>
            <w:r w:rsidRPr="00F45F11">
              <w:rPr>
                <w:lang w:eastAsia="en-AU"/>
              </w:rPr>
              <w:t>64.3</w:t>
            </w:r>
          </w:p>
        </w:tc>
        <w:tc>
          <w:tcPr>
            <w:tcW w:w="1057" w:type="dxa"/>
            <w:tcBorders>
              <w:top w:val="single" w:sz="4" w:space="0" w:color="BFBFBF" w:themeColor="accent2"/>
              <w:bottom w:val="single" w:sz="4" w:space="0" w:color="auto"/>
            </w:tcBorders>
            <w:hideMark/>
          </w:tcPr>
          <w:p w14:paraId="352541F2" w14:textId="77777777" w:rsidR="005E2BB1" w:rsidRPr="00F45F11" w:rsidRDefault="005E2BB1" w:rsidP="0093234E">
            <w:pPr>
              <w:pStyle w:val="ARtabletextright"/>
              <w:rPr>
                <w:lang w:eastAsia="en-AU"/>
              </w:rPr>
            </w:pPr>
            <w:r w:rsidRPr="00F45F11">
              <w:rPr>
                <w:lang w:eastAsia="en-AU"/>
              </w:rPr>
              <w:t>0</w:t>
            </w:r>
          </w:p>
        </w:tc>
        <w:tc>
          <w:tcPr>
            <w:tcW w:w="927" w:type="dxa"/>
            <w:tcBorders>
              <w:top w:val="single" w:sz="4" w:space="0" w:color="BFBFBF" w:themeColor="accent2"/>
              <w:bottom w:val="single" w:sz="4" w:space="0" w:color="auto"/>
            </w:tcBorders>
            <w:hideMark/>
          </w:tcPr>
          <w:p w14:paraId="715FBB33" w14:textId="77777777" w:rsidR="005E2BB1" w:rsidRPr="00F45F11" w:rsidRDefault="005E2BB1" w:rsidP="0093234E">
            <w:pPr>
              <w:pStyle w:val="ARtabletextright"/>
              <w:rPr>
                <w:lang w:eastAsia="en-AU"/>
              </w:rPr>
            </w:pPr>
            <w:r w:rsidRPr="00F45F11">
              <w:rPr>
                <w:lang w:eastAsia="en-AU"/>
              </w:rPr>
              <w:t>0.0</w:t>
            </w:r>
          </w:p>
        </w:tc>
      </w:tr>
      <w:tr w:rsidR="005E2BB1" w:rsidRPr="00F45F11" w14:paraId="5CEBF29B"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tcBorders>
              <w:top w:val="single" w:sz="4" w:space="0" w:color="auto"/>
              <w:bottom w:val="single" w:sz="4" w:space="0" w:color="auto"/>
            </w:tcBorders>
            <w:hideMark/>
          </w:tcPr>
          <w:p w14:paraId="378426C1" w14:textId="77777777" w:rsidR="005E2BB1" w:rsidRPr="00F45F11" w:rsidRDefault="005E2BB1" w:rsidP="0072004C">
            <w:pPr>
              <w:pStyle w:val="ARtabletextbold"/>
              <w:rPr>
                <w:lang w:eastAsia="en-AU"/>
              </w:rPr>
            </w:pPr>
            <w:r w:rsidRPr="00F45F11">
              <w:rPr>
                <w:lang w:eastAsia="en-AU"/>
              </w:rPr>
              <w:t>Total</w:t>
            </w:r>
          </w:p>
        </w:tc>
        <w:tc>
          <w:tcPr>
            <w:tcW w:w="992" w:type="dxa"/>
            <w:tcBorders>
              <w:top w:val="single" w:sz="4" w:space="0" w:color="auto"/>
              <w:bottom w:val="single" w:sz="4" w:space="0" w:color="auto"/>
            </w:tcBorders>
            <w:shd w:val="clear" w:color="auto" w:fill="E7E6E6" w:themeFill="background2"/>
            <w:hideMark/>
          </w:tcPr>
          <w:p w14:paraId="63CF8A96" w14:textId="77777777" w:rsidR="005E2BB1" w:rsidRPr="00F45F11" w:rsidRDefault="005E2BB1" w:rsidP="0072004C">
            <w:pPr>
              <w:pStyle w:val="ARtabletextrightbold"/>
              <w:rPr>
                <w:lang w:eastAsia="en-AU"/>
              </w:rPr>
            </w:pPr>
            <w:r w:rsidRPr="00F45F11">
              <w:rPr>
                <w:lang w:eastAsia="en-AU"/>
              </w:rPr>
              <w:t>536</w:t>
            </w:r>
          </w:p>
        </w:tc>
        <w:tc>
          <w:tcPr>
            <w:tcW w:w="992" w:type="dxa"/>
            <w:tcBorders>
              <w:top w:val="single" w:sz="4" w:space="0" w:color="auto"/>
              <w:bottom w:val="single" w:sz="4" w:space="0" w:color="auto"/>
            </w:tcBorders>
            <w:shd w:val="clear" w:color="auto" w:fill="E7E6E6" w:themeFill="background2"/>
            <w:hideMark/>
          </w:tcPr>
          <w:p w14:paraId="2C0484F2" w14:textId="77777777" w:rsidR="005E2BB1" w:rsidRPr="00F45F11" w:rsidRDefault="005E2BB1" w:rsidP="0072004C">
            <w:pPr>
              <w:pStyle w:val="ARtabletextrightbold"/>
              <w:rPr>
                <w:lang w:eastAsia="en-AU"/>
              </w:rPr>
            </w:pPr>
            <w:r w:rsidRPr="00F45F11">
              <w:rPr>
                <w:lang w:eastAsia="en-AU"/>
              </w:rPr>
              <w:t>505.2</w:t>
            </w:r>
          </w:p>
        </w:tc>
        <w:tc>
          <w:tcPr>
            <w:tcW w:w="926" w:type="dxa"/>
            <w:tcBorders>
              <w:top w:val="single" w:sz="4" w:space="0" w:color="auto"/>
              <w:bottom w:val="single" w:sz="4" w:space="0" w:color="auto"/>
            </w:tcBorders>
            <w:hideMark/>
          </w:tcPr>
          <w:p w14:paraId="446CF355" w14:textId="77777777" w:rsidR="005E2BB1" w:rsidRPr="00F45F11" w:rsidRDefault="005E2BB1" w:rsidP="0072004C">
            <w:pPr>
              <w:pStyle w:val="ARtabletextrightbold"/>
              <w:rPr>
                <w:lang w:eastAsia="en-AU"/>
              </w:rPr>
            </w:pPr>
            <w:r w:rsidRPr="00F45F11">
              <w:rPr>
                <w:lang w:eastAsia="en-AU"/>
              </w:rPr>
              <w:t>407</w:t>
            </w:r>
          </w:p>
        </w:tc>
        <w:tc>
          <w:tcPr>
            <w:tcW w:w="926" w:type="dxa"/>
            <w:tcBorders>
              <w:top w:val="single" w:sz="4" w:space="0" w:color="auto"/>
              <w:bottom w:val="single" w:sz="4" w:space="0" w:color="auto"/>
            </w:tcBorders>
            <w:hideMark/>
          </w:tcPr>
          <w:p w14:paraId="22BFDF4B" w14:textId="77777777" w:rsidR="005E2BB1" w:rsidRPr="00F45F11" w:rsidRDefault="005E2BB1" w:rsidP="0072004C">
            <w:pPr>
              <w:pStyle w:val="ARtabletextrightbold"/>
              <w:rPr>
                <w:lang w:eastAsia="en-AU"/>
              </w:rPr>
            </w:pPr>
            <w:r w:rsidRPr="00F45F11">
              <w:rPr>
                <w:lang w:eastAsia="en-AU"/>
              </w:rPr>
              <w:t>81</w:t>
            </w:r>
          </w:p>
        </w:tc>
        <w:tc>
          <w:tcPr>
            <w:tcW w:w="927" w:type="dxa"/>
            <w:tcBorders>
              <w:top w:val="single" w:sz="4" w:space="0" w:color="auto"/>
              <w:bottom w:val="single" w:sz="4" w:space="0" w:color="auto"/>
            </w:tcBorders>
            <w:hideMark/>
          </w:tcPr>
          <w:p w14:paraId="35E60ACD" w14:textId="77777777" w:rsidR="005E2BB1" w:rsidRPr="00F45F11" w:rsidRDefault="005E2BB1" w:rsidP="0072004C">
            <w:pPr>
              <w:pStyle w:val="ARtabletextrightbold"/>
              <w:rPr>
                <w:lang w:eastAsia="en-AU"/>
              </w:rPr>
            </w:pPr>
            <w:r w:rsidRPr="00F45F11">
              <w:rPr>
                <w:lang w:eastAsia="en-AU"/>
              </w:rPr>
              <w:t>463.0</w:t>
            </w:r>
          </w:p>
        </w:tc>
        <w:tc>
          <w:tcPr>
            <w:tcW w:w="1057" w:type="dxa"/>
            <w:tcBorders>
              <w:top w:val="single" w:sz="4" w:space="0" w:color="auto"/>
              <w:bottom w:val="single" w:sz="4" w:space="0" w:color="auto"/>
            </w:tcBorders>
            <w:shd w:val="clear" w:color="auto" w:fill="E7E6E6" w:themeFill="background2"/>
            <w:hideMark/>
          </w:tcPr>
          <w:p w14:paraId="55392A0C" w14:textId="77777777" w:rsidR="005E2BB1" w:rsidRPr="00F45F11" w:rsidRDefault="005E2BB1" w:rsidP="0072004C">
            <w:pPr>
              <w:pStyle w:val="ARtabletextrightbold"/>
              <w:rPr>
                <w:lang w:eastAsia="en-AU"/>
              </w:rPr>
            </w:pPr>
            <w:r w:rsidRPr="00F45F11">
              <w:rPr>
                <w:lang w:eastAsia="en-AU"/>
              </w:rPr>
              <w:t>48</w:t>
            </w:r>
          </w:p>
        </w:tc>
        <w:tc>
          <w:tcPr>
            <w:tcW w:w="927" w:type="dxa"/>
            <w:tcBorders>
              <w:top w:val="single" w:sz="4" w:space="0" w:color="auto"/>
              <w:bottom w:val="single" w:sz="4" w:space="0" w:color="auto"/>
            </w:tcBorders>
            <w:shd w:val="clear" w:color="auto" w:fill="E7E6E6" w:themeFill="background2"/>
            <w:hideMark/>
          </w:tcPr>
          <w:p w14:paraId="0D0EE475" w14:textId="77777777" w:rsidR="005E2BB1" w:rsidRPr="00F45F11" w:rsidRDefault="005E2BB1" w:rsidP="0072004C">
            <w:pPr>
              <w:pStyle w:val="ARtabletextrightbold"/>
              <w:rPr>
                <w:lang w:eastAsia="en-AU"/>
              </w:rPr>
            </w:pPr>
            <w:r w:rsidRPr="00F45F11">
              <w:rPr>
                <w:lang w:eastAsia="en-AU"/>
              </w:rPr>
              <w:t>42.2</w:t>
            </w:r>
          </w:p>
        </w:tc>
        <w:tc>
          <w:tcPr>
            <w:tcW w:w="1057" w:type="dxa"/>
            <w:tcBorders>
              <w:top w:val="single" w:sz="4" w:space="0" w:color="auto"/>
              <w:bottom w:val="single" w:sz="4" w:space="0" w:color="auto"/>
            </w:tcBorders>
            <w:hideMark/>
          </w:tcPr>
          <w:p w14:paraId="0F5F04AB" w14:textId="77777777" w:rsidR="005E2BB1" w:rsidRPr="00F45F11" w:rsidRDefault="005E2BB1" w:rsidP="0072004C">
            <w:pPr>
              <w:pStyle w:val="ARtabletextrightbold"/>
              <w:rPr>
                <w:lang w:eastAsia="en-AU"/>
              </w:rPr>
            </w:pPr>
            <w:r w:rsidRPr="00F45F11">
              <w:rPr>
                <w:lang w:eastAsia="en-AU"/>
              </w:rPr>
              <w:t>541</w:t>
            </w:r>
          </w:p>
        </w:tc>
        <w:tc>
          <w:tcPr>
            <w:tcW w:w="927" w:type="dxa"/>
            <w:tcBorders>
              <w:top w:val="single" w:sz="4" w:space="0" w:color="auto"/>
              <w:bottom w:val="single" w:sz="4" w:space="0" w:color="auto"/>
            </w:tcBorders>
            <w:hideMark/>
          </w:tcPr>
          <w:p w14:paraId="4B42D562" w14:textId="77777777" w:rsidR="005E2BB1" w:rsidRPr="00F45F11" w:rsidRDefault="005E2BB1" w:rsidP="0072004C">
            <w:pPr>
              <w:pStyle w:val="ARtabletextrightbold"/>
              <w:rPr>
                <w:lang w:eastAsia="en-AU"/>
              </w:rPr>
            </w:pPr>
            <w:r w:rsidRPr="00F45F11">
              <w:rPr>
                <w:lang w:eastAsia="en-AU"/>
              </w:rPr>
              <w:t>515.4</w:t>
            </w:r>
          </w:p>
        </w:tc>
        <w:tc>
          <w:tcPr>
            <w:tcW w:w="926" w:type="dxa"/>
            <w:tcBorders>
              <w:top w:val="single" w:sz="4" w:space="0" w:color="auto"/>
              <w:bottom w:val="single" w:sz="4" w:space="0" w:color="auto"/>
            </w:tcBorders>
            <w:shd w:val="clear" w:color="auto" w:fill="E7E6E6" w:themeFill="background2"/>
            <w:hideMark/>
          </w:tcPr>
          <w:p w14:paraId="5E00F275" w14:textId="77777777" w:rsidR="005E2BB1" w:rsidRPr="00F45F11" w:rsidRDefault="005E2BB1" w:rsidP="0072004C">
            <w:pPr>
              <w:pStyle w:val="ARtabletextrightbold"/>
              <w:rPr>
                <w:lang w:eastAsia="en-AU"/>
              </w:rPr>
            </w:pPr>
            <w:r w:rsidRPr="00F45F11">
              <w:rPr>
                <w:lang w:eastAsia="en-AU"/>
              </w:rPr>
              <w:t>410</w:t>
            </w:r>
          </w:p>
        </w:tc>
        <w:tc>
          <w:tcPr>
            <w:tcW w:w="926" w:type="dxa"/>
            <w:tcBorders>
              <w:top w:val="single" w:sz="4" w:space="0" w:color="auto"/>
              <w:bottom w:val="single" w:sz="4" w:space="0" w:color="auto"/>
            </w:tcBorders>
            <w:shd w:val="clear" w:color="auto" w:fill="E7E6E6" w:themeFill="background2"/>
            <w:hideMark/>
          </w:tcPr>
          <w:p w14:paraId="656254E2" w14:textId="77777777" w:rsidR="005E2BB1" w:rsidRPr="00F45F11" w:rsidRDefault="005E2BB1" w:rsidP="0072004C">
            <w:pPr>
              <w:pStyle w:val="ARtabletextrightbold"/>
              <w:rPr>
                <w:lang w:eastAsia="en-AU"/>
              </w:rPr>
            </w:pPr>
            <w:r w:rsidRPr="00F45F11">
              <w:rPr>
                <w:lang w:eastAsia="en-AU"/>
              </w:rPr>
              <w:t>74</w:t>
            </w:r>
          </w:p>
        </w:tc>
        <w:tc>
          <w:tcPr>
            <w:tcW w:w="927" w:type="dxa"/>
            <w:tcBorders>
              <w:top w:val="single" w:sz="4" w:space="0" w:color="auto"/>
              <w:bottom w:val="single" w:sz="4" w:space="0" w:color="auto"/>
            </w:tcBorders>
            <w:shd w:val="clear" w:color="auto" w:fill="E7E6E6" w:themeFill="background2"/>
            <w:hideMark/>
          </w:tcPr>
          <w:p w14:paraId="085F4EE7" w14:textId="77777777" w:rsidR="005E2BB1" w:rsidRPr="00F45F11" w:rsidRDefault="005E2BB1" w:rsidP="0072004C">
            <w:pPr>
              <w:pStyle w:val="ARtabletextrightbold"/>
              <w:rPr>
                <w:lang w:eastAsia="en-AU"/>
              </w:rPr>
            </w:pPr>
            <w:r w:rsidRPr="00F45F11">
              <w:rPr>
                <w:lang w:eastAsia="en-AU"/>
              </w:rPr>
              <w:t>460.2</w:t>
            </w:r>
          </w:p>
        </w:tc>
        <w:tc>
          <w:tcPr>
            <w:tcW w:w="1057" w:type="dxa"/>
            <w:tcBorders>
              <w:top w:val="single" w:sz="4" w:space="0" w:color="auto"/>
              <w:bottom w:val="single" w:sz="4" w:space="0" w:color="auto"/>
            </w:tcBorders>
            <w:hideMark/>
          </w:tcPr>
          <w:p w14:paraId="4B629D81" w14:textId="77777777" w:rsidR="005E2BB1" w:rsidRPr="00F45F11" w:rsidRDefault="005E2BB1" w:rsidP="0072004C">
            <w:pPr>
              <w:pStyle w:val="ARtabletextrightbold"/>
              <w:rPr>
                <w:lang w:eastAsia="en-AU"/>
              </w:rPr>
            </w:pPr>
            <w:r w:rsidRPr="00F45F11">
              <w:rPr>
                <w:lang w:eastAsia="en-AU"/>
              </w:rPr>
              <w:t>57</w:t>
            </w:r>
          </w:p>
        </w:tc>
        <w:tc>
          <w:tcPr>
            <w:tcW w:w="927" w:type="dxa"/>
            <w:tcBorders>
              <w:top w:val="single" w:sz="4" w:space="0" w:color="auto"/>
              <w:bottom w:val="single" w:sz="4" w:space="0" w:color="auto"/>
            </w:tcBorders>
            <w:hideMark/>
          </w:tcPr>
          <w:p w14:paraId="21413070" w14:textId="77777777" w:rsidR="005E2BB1" w:rsidRPr="00F45F11" w:rsidRDefault="005E2BB1" w:rsidP="0072004C">
            <w:pPr>
              <w:pStyle w:val="ARtabletextrightbold"/>
              <w:rPr>
                <w:lang w:eastAsia="en-AU"/>
              </w:rPr>
            </w:pPr>
            <w:r w:rsidRPr="00F45F11">
              <w:rPr>
                <w:lang w:eastAsia="en-AU"/>
              </w:rPr>
              <w:t>55.2</w:t>
            </w:r>
          </w:p>
        </w:tc>
      </w:tr>
      <w:tr w:rsidR="005E2BB1" w:rsidRPr="00F45F11" w14:paraId="7883DAC3"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tcBorders>
              <w:top w:val="single" w:sz="4" w:space="0" w:color="auto"/>
              <w:bottom w:val="single" w:sz="4" w:space="0" w:color="201547" w:themeColor="text2"/>
            </w:tcBorders>
            <w:hideMark/>
          </w:tcPr>
          <w:p w14:paraId="62C70DCE" w14:textId="77777777" w:rsidR="005E2BB1" w:rsidRPr="00F45F11" w:rsidRDefault="005E2BB1" w:rsidP="0093234E">
            <w:pPr>
              <w:pStyle w:val="ARTabletext"/>
              <w:rPr>
                <w:lang w:eastAsia="en-AU"/>
              </w:rPr>
            </w:pPr>
            <w:r w:rsidRPr="00F45F11">
              <w:rPr>
                <w:lang w:eastAsia="en-AU"/>
              </w:rPr>
              <w:t>Other</w:t>
            </w:r>
          </w:p>
        </w:tc>
        <w:tc>
          <w:tcPr>
            <w:tcW w:w="992" w:type="dxa"/>
            <w:tcBorders>
              <w:top w:val="single" w:sz="4" w:space="0" w:color="auto"/>
              <w:bottom w:val="single" w:sz="4" w:space="0" w:color="201547" w:themeColor="text2"/>
            </w:tcBorders>
            <w:shd w:val="clear" w:color="auto" w:fill="E7E6E6" w:themeFill="background2"/>
            <w:hideMark/>
          </w:tcPr>
          <w:p w14:paraId="09698E73" w14:textId="77777777" w:rsidR="005E2BB1" w:rsidRPr="00F45F11" w:rsidRDefault="005E2BB1" w:rsidP="0093234E">
            <w:pPr>
              <w:pStyle w:val="ARtabletextright"/>
              <w:rPr>
                <w:lang w:eastAsia="en-AU"/>
              </w:rPr>
            </w:pPr>
            <w:r w:rsidRPr="00F45F11">
              <w:rPr>
                <w:lang w:eastAsia="en-AU"/>
              </w:rPr>
              <w:t>116</w:t>
            </w:r>
          </w:p>
        </w:tc>
        <w:tc>
          <w:tcPr>
            <w:tcW w:w="992" w:type="dxa"/>
            <w:tcBorders>
              <w:top w:val="single" w:sz="4" w:space="0" w:color="auto"/>
              <w:bottom w:val="single" w:sz="4" w:space="0" w:color="201547" w:themeColor="text2"/>
            </w:tcBorders>
            <w:shd w:val="clear" w:color="auto" w:fill="E7E6E6" w:themeFill="background2"/>
            <w:hideMark/>
          </w:tcPr>
          <w:p w14:paraId="318A99DC" w14:textId="77777777" w:rsidR="005E2BB1" w:rsidRPr="00F45F11" w:rsidRDefault="005E2BB1" w:rsidP="0093234E">
            <w:pPr>
              <w:pStyle w:val="ARtabletextright"/>
              <w:rPr>
                <w:lang w:eastAsia="en-AU"/>
              </w:rPr>
            </w:pPr>
            <w:r w:rsidRPr="00F45F11">
              <w:rPr>
                <w:lang w:eastAsia="en-AU"/>
              </w:rPr>
              <w:t>111.7</w:t>
            </w:r>
          </w:p>
        </w:tc>
        <w:tc>
          <w:tcPr>
            <w:tcW w:w="926" w:type="dxa"/>
            <w:tcBorders>
              <w:top w:val="single" w:sz="4" w:space="0" w:color="auto"/>
              <w:bottom w:val="single" w:sz="4" w:space="0" w:color="201547" w:themeColor="text2"/>
            </w:tcBorders>
            <w:hideMark/>
          </w:tcPr>
          <w:p w14:paraId="2D3D5CB9" w14:textId="77777777" w:rsidR="005E2BB1" w:rsidRPr="00F45F11" w:rsidRDefault="005E2BB1" w:rsidP="0093234E">
            <w:pPr>
              <w:pStyle w:val="ARtabletextright"/>
              <w:rPr>
                <w:lang w:eastAsia="en-AU"/>
              </w:rPr>
            </w:pPr>
            <w:r w:rsidRPr="00F45F11">
              <w:rPr>
                <w:lang w:eastAsia="en-AU"/>
              </w:rPr>
              <w:t>89</w:t>
            </w:r>
          </w:p>
        </w:tc>
        <w:tc>
          <w:tcPr>
            <w:tcW w:w="926" w:type="dxa"/>
            <w:tcBorders>
              <w:top w:val="single" w:sz="4" w:space="0" w:color="auto"/>
              <w:bottom w:val="single" w:sz="4" w:space="0" w:color="201547" w:themeColor="text2"/>
            </w:tcBorders>
            <w:hideMark/>
          </w:tcPr>
          <w:p w14:paraId="261AE9D8" w14:textId="77777777" w:rsidR="005E2BB1" w:rsidRPr="00F45F11" w:rsidRDefault="005E2BB1" w:rsidP="0093234E">
            <w:pPr>
              <w:pStyle w:val="ARtabletextright"/>
              <w:rPr>
                <w:lang w:eastAsia="en-AU"/>
              </w:rPr>
            </w:pPr>
            <w:r w:rsidRPr="00F45F11">
              <w:rPr>
                <w:lang w:eastAsia="en-AU"/>
              </w:rPr>
              <w:t>15</w:t>
            </w:r>
          </w:p>
        </w:tc>
        <w:tc>
          <w:tcPr>
            <w:tcW w:w="927" w:type="dxa"/>
            <w:tcBorders>
              <w:top w:val="single" w:sz="4" w:space="0" w:color="auto"/>
              <w:bottom w:val="single" w:sz="4" w:space="0" w:color="201547" w:themeColor="text2"/>
            </w:tcBorders>
            <w:hideMark/>
          </w:tcPr>
          <w:p w14:paraId="7189C5A1" w14:textId="77777777" w:rsidR="005E2BB1" w:rsidRPr="00F45F11" w:rsidRDefault="005E2BB1" w:rsidP="0093234E">
            <w:pPr>
              <w:pStyle w:val="ARtabletextright"/>
              <w:rPr>
                <w:lang w:eastAsia="en-AU"/>
              </w:rPr>
            </w:pPr>
            <w:r w:rsidRPr="00F45F11">
              <w:rPr>
                <w:lang w:eastAsia="en-AU"/>
              </w:rPr>
              <w:t>100.1</w:t>
            </w:r>
          </w:p>
        </w:tc>
        <w:tc>
          <w:tcPr>
            <w:tcW w:w="1057" w:type="dxa"/>
            <w:tcBorders>
              <w:top w:val="single" w:sz="4" w:space="0" w:color="auto"/>
              <w:bottom w:val="single" w:sz="4" w:space="0" w:color="201547" w:themeColor="text2"/>
            </w:tcBorders>
            <w:shd w:val="clear" w:color="auto" w:fill="E7E6E6" w:themeFill="background2"/>
            <w:hideMark/>
          </w:tcPr>
          <w:p w14:paraId="4D6F9A3D" w14:textId="77777777" w:rsidR="005E2BB1" w:rsidRPr="00F45F11" w:rsidRDefault="005E2BB1" w:rsidP="0093234E">
            <w:pPr>
              <w:pStyle w:val="ARtabletextright"/>
              <w:rPr>
                <w:lang w:eastAsia="en-AU"/>
              </w:rPr>
            </w:pPr>
            <w:r w:rsidRPr="00F45F11">
              <w:rPr>
                <w:lang w:eastAsia="en-AU"/>
              </w:rPr>
              <w:t>12</w:t>
            </w:r>
          </w:p>
        </w:tc>
        <w:tc>
          <w:tcPr>
            <w:tcW w:w="927" w:type="dxa"/>
            <w:tcBorders>
              <w:top w:val="single" w:sz="4" w:space="0" w:color="auto"/>
              <w:bottom w:val="single" w:sz="4" w:space="0" w:color="201547" w:themeColor="text2"/>
            </w:tcBorders>
            <w:shd w:val="clear" w:color="auto" w:fill="E7E6E6" w:themeFill="background2"/>
            <w:hideMark/>
          </w:tcPr>
          <w:p w14:paraId="4D7CED9A" w14:textId="77777777" w:rsidR="005E2BB1" w:rsidRPr="00F45F11" w:rsidRDefault="005E2BB1" w:rsidP="0093234E">
            <w:pPr>
              <w:pStyle w:val="ARtabletextright"/>
              <w:rPr>
                <w:lang w:eastAsia="en-AU"/>
              </w:rPr>
            </w:pPr>
            <w:r w:rsidRPr="00F45F11">
              <w:rPr>
                <w:lang w:eastAsia="en-AU"/>
              </w:rPr>
              <w:t>11.6</w:t>
            </w:r>
          </w:p>
        </w:tc>
        <w:tc>
          <w:tcPr>
            <w:tcW w:w="1057" w:type="dxa"/>
            <w:tcBorders>
              <w:top w:val="single" w:sz="4" w:space="0" w:color="auto"/>
              <w:bottom w:val="single" w:sz="4" w:space="0" w:color="201547" w:themeColor="text2"/>
            </w:tcBorders>
            <w:hideMark/>
          </w:tcPr>
          <w:p w14:paraId="4CB405CF" w14:textId="77777777" w:rsidR="005E2BB1" w:rsidRPr="00F45F11" w:rsidRDefault="005E2BB1" w:rsidP="0093234E">
            <w:pPr>
              <w:pStyle w:val="ARtabletextright"/>
              <w:rPr>
                <w:lang w:eastAsia="en-AU"/>
              </w:rPr>
            </w:pPr>
            <w:r w:rsidRPr="00F45F11">
              <w:rPr>
                <w:lang w:eastAsia="en-AU"/>
              </w:rPr>
              <w:t>114</w:t>
            </w:r>
          </w:p>
        </w:tc>
        <w:tc>
          <w:tcPr>
            <w:tcW w:w="927" w:type="dxa"/>
            <w:tcBorders>
              <w:top w:val="single" w:sz="4" w:space="0" w:color="auto"/>
              <w:bottom w:val="single" w:sz="4" w:space="0" w:color="201547" w:themeColor="text2"/>
            </w:tcBorders>
            <w:hideMark/>
          </w:tcPr>
          <w:p w14:paraId="314FC060" w14:textId="77777777" w:rsidR="005E2BB1" w:rsidRPr="00F45F11" w:rsidRDefault="005E2BB1" w:rsidP="0093234E">
            <w:pPr>
              <w:pStyle w:val="ARtabletextright"/>
              <w:rPr>
                <w:lang w:eastAsia="en-AU"/>
              </w:rPr>
            </w:pPr>
            <w:r w:rsidRPr="00F45F11">
              <w:rPr>
                <w:lang w:eastAsia="en-AU"/>
              </w:rPr>
              <w:t>108.1</w:t>
            </w:r>
          </w:p>
        </w:tc>
        <w:tc>
          <w:tcPr>
            <w:tcW w:w="926" w:type="dxa"/>
            <w:tcBorders>
              <w:top w:val="single" w:sz="4" w:space="0" w:color="auto"/>
              <w:bottom w:val="single" w:sz="4" w:space="0" w:color="201547" w:themeColor="text2"/>
            </w:tcBorders>
            <w:shd w:val="clear" w:color="auto" w:fill="E7E6E6" w:themeFill="background2"/>
            <w:hideMark/>
          </w:tcPr>
          <w:p w14:paraId="5B93E51C" w14:textId="77777777" w:rsidR="005E2BB1" w:rsidRPr="00F45F11" w:rsidRDefault="005E2BB1" w:rsidP="0093234E">
            <w:pPr>
              <w:pStyle w:val="ARtabletextright"/>
              <w:rPr>
                <w:lang w:eastAsia="en-AU"/>
              </w:rPr>
            </w:pPr>
            <w:r w:rsidRPr="00F45F11">
              <w:rPr>
                <w:lang w:eastAsia="en-AU"/>
              </w:rPr>
              <w:t>86</w:t>
            </w:r>
          </w:p>
        </w:tc>
        <w:tc>
          <w:tcPr>
            <w:tcW w:w="926" w:type="dxa"/>
            <w:tcBorders>
              <w:top w:val="single" w:sz="4" w:space="0" w:color="auto"/>
              <w:bottom w:val="single" w:sz="4" w:space="0" w:color="201547" w:themeColor="text2"/>
            </w:tcBorders>
            <w:shd w:val="clear" w:color="auto" w:fill="E7E6E6" w:themeFill="background2"/>
            <w:hideMark/>
          </w:tcPr>
          <w:p w14:paraId="53C952E4" w14:textId="77777777" w:rsidR="005E2BB1" w:rsidRPr="00F45F11" w:rsidRDefault="005E2BB1" w:rsidP="0093234E">
            <w:pPr>
              <w:pStyle w:val="ARtabletextright"/>
              <w:rPr>
                <w:lang w:eastAsia="en-AU"/>
              </w:rPr>
            </w:pPr>
            <w:r w:rsidRPr="00F45F11">
              <w:rPr>
                <w:lang w:eastAsia="en-AU"/>
              </w:rPr>
              <w:t>9</w:t>
            </w:r>
          </w:p>
        </w:tc>
        <w:tc>
          <w:tcPr>
            <w:tcW w:w="927" w:type="dxa"/>
            <w:tcBorders>
              <w:top w:val="single" w:sz="4" w:space="0" w:color="auto"/>
              <w:bottom w:val="single" w:sz="4" w:space="0" w:color="201547" w:themeColor="text2"/>
            </w:tcBorders>
            <w:shd w:val="clear" w:color="auto" w:fill="E7E6E6" w:themeFill="background2"/>
            <w:hideMark/>
          </w:tcPr>
          <w:p w14:paraId="6D7DC7FF" w14:textId="77777777" w:rsidR="005E2BB1" w:rsidRPr="00F45F11" w:rsidRDefault="005E2BB1" w:rsidP="0093234E">
            <w:pPr>
              <w:pStyle w:val="ARtabletextright"/>
              <w:rPr>
                <w:lang w:eastAsia="en-AU"/>
              </w:rPr>
            </w:pPr>
            <w:r w:rsidRPr="00F45F11">
              <w:rPr>
                <w:lang w:eastAsia="en-AU"/>
              </w:rPr>
              <w:t>91.3</w:t>
            </w:r>
          </w:p>
        </w:tc>
        <w:tc>
          <w:tcPr>
            <w:tcW w:w="1057" w:type="dxa"/>
            <w:tcBorders>
              <w:top w:val="single" w:sz="4" w:space="0" w:color="auto"/>
              <w:bottom w:val="single" w:sz="4" w:space="0" w:color="201547" w:themeColor="text2"/>
            </w:tcBorders>
            <w:hideMark/>
          </w:tcPr>
          <w:p w14:paraId="0D6E734E" w14:textId="77777777" w:rsidR="005E2BB1" w:rsidRPr="00F45F11" w:rsidRDefault="005E2BB1" w:rsidP="0093234E">
            <w:pPr>
              <w:pStyle w:val="ARtabletextright"/>
              <w:rPr>
                <w:lang w:eastAsia="en-AU"/>
              </w:rPr>
            </w:pPr>
            <w:r w:rsidRPr="00F45F11">
              <w:rPr>
                <w:lang w:eastAsia="en-AU"/>
              </w:rPr>
              <w:t>19</w:t>
            </w:r>
          </w:p>
        </w:tc>
        <w:tc>
          <w:tcPr>
            <w:tcW w:w="927" w:type="dxa"/>
            <w:tcBorders>
              <w:top w:val="single" w:sz="4" w:space="0" w:color="auto"/>
              <w:bottom w:val="single" w:sz="4" w:space="0" w:color="201547" w:themeColor="text2"/>
            </w:tcBorders>
            <w:hideMark/>
          </w:tcPr>
          <w:p w14:paraId="614A3FF1" w14:textId="77777777" w:rsidR="005E2BB1" w:rsidRPr="00F45F11" w:rsidRDefault="005E2BB1" w:rsidP="0093234E">
            <w:pPr>
              <w:pStyle w:val="ARtabletextright"/>
              <w:rPr>
                <w:lang w:eastAsia="en-AU"/>
              </w:rPr>
            </w:pPr>
            <w:r w:rsidRPr="00F45F11">
              <w:rPr>
                <w:lang w:eastAsia="en-AU"/>
              </w:rPr>
              <w:t>16.8</w:t>
            </w:r>
          </w:p>
        </w:tc>
      </w:tr>
      <w:tr w:rsidR="00F659C1" w:rsidRPr="00F45F11" w14:paraId="518A29E1"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tcPr>
          <w:p w14:paraId="2930364C" w14:textId="3EBC481B" w:rsidR="00F659C1" w:rsidRPr="00F45F11" w:rsidRDefault="00F659C1" w:rsidP="00F659C1">
            <w:pPr>
              <w:pStyle w:val="ARTabletextboldcoloured"/>
              <w:rPr>
                <w:lang w:eastAsia="en-AU"/>
              </w:rPr>
            </w:pPr>
            <w:r w:rsidRPr="00F45F11">
              <w:rPr>
                <w:lang w:eastAsia="en-AU"/>
              </w:rPr>
              <w:t>Senior employees</w:t>
            </w:r>
          </w:p>
        </w:tc>
        <w:tc>
          <w:tcPr>
            <w:tcW w:w="992" w:type="dxa"/>
          </w:tcPr>
          <w:p w14:paraId="399FCEB6" w14:textId="77777777" w:rsidR="00F659C1" w:rsidRPr="00F45F11" w:rsidRDefault="00F659C1" w:rsidP="0093234E">
            <w:pPr>
              <w:pStyle w:val="ARtabletextright"/>
              <w:rPr>
                <w:lang w:eastAsia="en-AU"/>
              </w:rPr>
            </w:pPr>
          </w:p>
        </w:tc>
        <w:tc>
          <w:tcPr>
            <w:tcW w:w="992" w:type="dxa"/>
          </w:tcPr>
          <w:p w14:paraId="42C9F26F" w14:textId="77777777" w:rsidR="00F659C1" w:rsidRPr="00F45F11" w:rsidRDefault="00F659C1" w:rsidP="0093234E">
            <w:pPr>
              <w:pStyle w:val="ARtabletextright"/>
              <w:rPr>
                <w:lang w:eastAsia="en-AU"/>
              </w:rPr>
            </w:pPr>
          </w:p>
        </w:tc>
        <w:tc>
          <w:tcPr>
            <w:tcW w:w="926" w:type="dxa"/>
          </w:tcPr>
          <w:p w14:paraId="58666FC1" w14:textId="77777777" w:rsidR="00F659C1" w:rsidRPr="00F45F11" w:rsidRDefault="00F659C1" w:rsidP="0093234E">
            <w:pPr>
              <w:pStyle w:val="ARtabletextright"/>
              <w:rPr>
                <w:lang w:eastAsia="en-AU"/>
              </w:rPr>
            </w:pPr>
          </w:p>
        </w:tc>
        <w:tc>
          <w:tcPr>
            <w:tcW w:w="926" w:type="dxa"/>
          </w:tcPr>
          <w:p w14:paraId="6CDA1A60" w14:textId="77777777" w:rsidR="00F659C1" w:rsidRPr="00F45F11" w:rsidRDefault="00F659C1" w:rsidP="0093234E">
            <w:pPr>
              <w:pStyle w:val="ARtabletextright"/>
              <w:rPr>
                <w:lang w:eastAsia="en-AU"/>
              </w:rPr>
            </w:pPr>
          </w:p>
        </w:tc>
        <w:tc>
          <w:tcPr>
            <w:tcW w:w="927" w:type="dxa"/>
          </w:tcPr>
          <w:p w14:paraId="0632B7DC" w14:textId="77777777" w:rsidR="00F659C1" w:rsidRPr="00F45F11" w:rsidRDefault="00F659C1" w:rsidP="0093234E">
            <w:pPr>
              <w:pStyle w:val="ARtabletextright"/>
              <w:rPr>
                <w:lang w:eastAsia="en-AU"/>
              </w:rPr>
            </w:pPr>
          </w:p>
        </w:tc>
        <w:tc>
          <w:tcPr>
            <w:tcW w:w="1057" w:type="dxa"/>
          </w:tcPr>
          <w:p w14:paraId="62C42473" w14:textId="77777777" w:rsidR="00F659C1" w:rsidRPr="00F45F11" w:rsidRDefault="00F659C1" w:rsidP="0093234E">
            <w:pPr>
              <w:pStyle w:val="ARtabletextright"/>
              <w:rPr>
                <w:lang w:eastAsia="en-AU"/>
              </w:rPr>
            </w:pPr>
          </w:p>
        </w:tc>
        <w:tc>
          <w:tcPr>
            <w:tcW w:w="927" w:type="dxa"/>
          </w:tcPr>
          <w:p w14:paraId="19B72C17" w14:textId="77777777" w:rsidR="00F659C1" w:rsidRPr="00F45F11" w:rsidRDefault="00F659C1" w:rsidP="0093234E">
            <w:pPr>
              <w:pStyle w:val="ARtabletextright"/>
              <w:rPr>
                <w:lang w:eastAsia="en-AU"/>
              </w:rPr>
            </w:pPr>
          </w:p>
        </w:tc>
        <w:tc>
          <w:tcPr>
            <w:tcW w:w="1057" w:type="dxa"/>
          </w:tcPr>
          <w:p w14:paraId="23233FCE" w14:textId="77777777" w:rsidR="00F659C1" w:rsidRPr="00F45F11" w:rsidRDefault="00F659C1" w:rsidP="0093234E">
            <w:pPr>
              <w:pStyle w:val="ARtabletextright"/>
              <w:rPr>
                <w:lang w:eastAsia="en-AU"/>
              </w:rPr>
            </w:pPr>
          </w:p>
        </w:tc>
        <w:tc>
          <w:tcPr>
            <w:tcW w:w="927" w:type="dxa"/>
          </w:tcPr>
          <w:p w14:paraId="1A538653" w14:textId="77777777" w:rsidR="00F659C1" w:rsidRPr="00F45F11" w:rsidRDefault="00F659C1" w:rsidP="0093234E">
            <w:pPr>
              <w:pStyle w:val="ARtabletextright"/>
              <w:rPr>
                <w:lang w:eastAsia="en-AU"/>
              </w:rPr>
            </w:pPr>
          </w:p>
        </w:tc>
        <w:tc>
          <w:tcPr>
            <w:tcW w:w="926" w:type="dxa"/>
          </w:tcPr>
          <w:p w14:paraId="1154D261" w14:textId="77777777" w:rsidR="00F659C1" w:rsidRPr="00F45F11" w:rsidRDefault="00F659C1" w:rsidP="0093234E">
            <w:pPr>
              <w:pStyle w:val="ARtabletextright"/>
              <w:rPr>
                <w:lang w:eastAsia="en-AU"/>
              </w:rPr>
            </w:pPr>
          </w:p>
        </w:tc>
        <w:tc>
          <w:tcPr>
            <w:tcW w:w="926" w:type="dxa"/>
          </w:tcPr>
          <w:p w14:paraId="7E179DDD" w14:textId="77777777" w:rsidR="00F659C1" w:rsidRPr="00F45F11" w:rsidRDefault="00F659C1" w:rsidP="0093234E">
            <w:pPr>
              <w:pStyle w:val="ARtabletextright"/>
              <w:rPr>
                <w:lang w:eastAsia="en-AU"/>
              </w:rPr>
            </w:pPr>
          </w:p>
        </w:tc>
        <w:tc>
          <w:tcPr>
            <w:tcW w:w="927" w:type="dxa"/>
          </w:tcPr>
          <w:p w14:paraId="6B102430" w14:textId="77777777" w:rsidR="00F659C1" w:rsidRPr="00F45F11" w:rsidRDefault="00F659C1" w:rsidP="0093234E">
            <w:pPr>
              <w:pStyle w:val="ARtabletextright"/>
              <w:rPr>
                <w:lang w:eastAsia="en-AU"/>
              </w:rPr>
            </w:pPr>
          </w:p>
        </w:tc>
        <w:tc>
          <w:tcPr>
            <w:tcW w:w="1057" w:type="dxa"/>
          </w:tcPr>
          <w:p w14:paraId="65493DD8" w14:textId="77777777" w:rsidR="00F659C1" w:rsidRPr="00F45F11" w:rsidRDefault="00F659C1" w:rsidP="0093234E">
            <w:pPr>
              <w:pStyle w:val="ARtabletextright"/>
              <w:rPr>
                <w:lang w:eastAsia="en-AU"/>
              </w:rPr>
            </w:pPr>
          </w:p>
        </w:tc>
        <w:tc>
          <w:tcPr>
            <w:tcW w:w="927" w:type="dxa"/>
          </w:tcPr>
          <w:p w14:paraId="45D683C6" w14:textId="77777777" w:rsidR="00F659C1" w:rsidRPr="00F45F11" w:rsidRDefault="00F659C1" w:rsidP="0093234E">
            <w:pPr>
              <w:pStyle w:val="ARtabletextright"/>
              <w:rPr>
                <w:lang w:eastAsia="en-AU"/>
              </w:rPr>
            </w:pPr>
          </w:p>
        </w:tc>
      </w:tr>
      <w:tr w:rsidR="005E2BB1" w:rsidRPr="00F45F11" w14:paraId="46800A6E"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hideMark/>
          </w:tcPr>
          <w:p w14:paraId="744B1083" w14:textId="77777777" w:rsidR="005E2BB1" w:rsidRPr="00F45F11" w:rsidRDefault="005E2BB1" w:rsidP="0093234E">
            <w:pPr>
              <w:pStyle w:val="ARTabletext"/>
              <w:rPr>
                <w:lang w:eastAsia="en-AU"/>
              </w:rPr>
            </w:pPr>
            <w:r w:rsidRPr="00F45F11">
              <w:rPr>
                <w:lang w:eastAsia="en-AU"/>
              </w:rPr>
              <w:t>Executives</w:t>
            </w:r>
          </w:p>
        </w:tc>
        <w:tc>
          <w:tcPr>
            <w:tcW w:w="992" w:type="dxa"/>
            <w:shd w:val="clear" w:color="auto" w:fill="E7E6E6" w:themeFill="background2"/>
            <w:hideMark/>
          </w:tcPr>
          <w:p w14:paraId="7EC554F1" w14:textId="77777777" w:rsidR="005E2BB1" w:rsidRPr="00F45F11" w:rsidRDefault="005E2BB1" w:rsidP="0093234E">
            <w:pPr>
              <w:pStyle w:val="ARtabletextright"/>
              <w:rPr>
                <w:lang w:eastAsia="en-AU"/>
              </w:rPr>
            </w:pPr>
            <w:r w:rsidRPr="00F45F11">
              <w:rPr>
                <w:lang w:eastAsia="en-AU"/>
              </w:rPr>
              <w:t>175</w:t>
            </w:r>
          </w:p>
        </w:tc>
        <w:tc>
          <w:tcPr>
            <w:tcW w:w="992" w:type="dxa"/>
            <w:shd w:val="clear" w:color="auto" w:fill="E7E6E6" w:themeFill="background2"/>
            <w:hideMark/>
          </w:tcPr>
          <w:p w14:paraId="73589C5B" w14:textId="77777777" w:rsidR="005E2BB1" w:rsidRPr="00F45F11" w:rsidRDefault="005E2BB1" w:rsidP="0093234E">
            <w:pPr>
              <w:pStyle w:val="ARtabletextright"/>
              <w:rPr>
                <w:lang w:eastAsia="en-AU"/>
              </w:rPr>
            </w:pPr>
            <w:r w:rsidRPr="00F45F11">
              <w:rPr>
                <w:lang w:eastAsia="en-AU"/>
              </w:rPr>
              <w:t>173.1</w:t>
            </w:r>
          </w:p>
        </w:tc>
        <w:tc>
          <w:tcPr>
            <w:tcW w:w="926" w:type="dxa"/>
            <w:hideMark/>
          </w:tcPr>
          <w:p w14:paraId="2973442C" w14:textId="77777777" w:rsidR="005E2BB1" w:rsidRPr="00F45F11" w:rsidRDefault="005E2BB1" w:rsidP="0093234E">
            <w:pPr>
              <w:pStyle w:val="ARtabletextright"/>
              <w:rPr>
                <w:lang w:eastAsia="en-AU"/>
              </w:rPr>
            </w:pPr>
            <w:r w:rsidRPr="00F45F11">
              <w:rPr>
                <w:lang w:eastAsia="en-AU"/>
              </w:rPr>
              <w:t>0</w:t>
            </w:r>
          </w:p>
        </w:tc>
        <w:tc>
          <w:tcPr>
            <w:tcW w:w="926" w:type="dxa"/>
            <w:hideMark/>
          </w:tcPr>
          <w:p w14:paraId="460B223A" w14:textId="77777777" w:rsidR="005E2BB1" w:rsidRPr="00F45F11" w:rsidRDefault="005E2BB1" w:rsidP="0093234E">
            <w:pPr>
              <w:pStyle w:val="ARtabletextright"/>
              <w:rPr>
                <w:lang w:eastAsia="en-AU"/>
              </w:rPr>
            </w:pPr>
            <w:r w:rsidRPr="00F45F11">
              <w:rPr>
                <w:lang w:eastAsia="en-AU"/>
              </w:rPr>
              <w:t>0</w:t>
            </w:r>
          </w:p>
        </w:tc>
        <w:tc>
          <w:tcPr>
            <w:tcW w:w="927" w:type="dxa"/>
            <w:hideMark/>
          </w:tcPr>
          <w:p w14:paraId="342CE788" w14:textId="77777777" w:rsidR="005E2BB1" w:rsidRPr="00F45F11" w:rsidRDefault="005E2BB1" w:rsidP="0093234E">
            <w:pPr>
              <w:pStyle w:val="ARtabletextright"/>
              <w:rPr>
                <w:lang w:eastAsia="en-AU"/>
              </w:rPr>
            </w:pPr>
            <w:r w:rsidRPr="00F45F11">
              <w:rPr>
                <w:lang w:eastAsia="en-AU"/>
              </w:rPr>
              <w:t>0.0</w:t>
            </w:r>
          </w:p>
        </w:tc>
        <w:tc>
          <w:tcPr>
            <w:tcW w:w="1057" w:type="dxa"/>
            <w:shd w:val="clear" w:color="auto" w:fill="E7E6E6" w:themeFill="background2"/>
            <w:hideMark/>
          </w:tcPr>
          <w:p w14:paraId="39BB2BCA" w14:textId="07B70EED" w:rsidR="005E2BB1" w:rsidRPr="00F45F11" w:rsidRDefault="005E2BB1" w:rsidP="0093234E">
            <w:pPr>
              <w:pStyle w:val="ARtabletextright"/>
              <w:rPr>
                <w:lang w:eastAsia="en-AU"/>
              </w:rPr>
            </w:pPr>
            <w:r w:rsidRPr="00F45F11">
              <w:rPr>
                <w:lang w:eastAsia="en-AU"/>
              </w:rPr>
              <w:t>17</w:t>
            </w:r>
            <w:r w:rsidR="00A91EA7">
              <w:rPr>
                <w:lang w:eastAsia="en-AU"/>
              </w:rPr>
              <w:t>5</w:t>
            </w:r>
          </w:p>
        </w:tc>
        <w:tc>
          <w:tcPr>
            <w:tcW w:w="927" w:type="dxa"/>
            <w:shd w:val="clear" w:color="auto" w:fill="E7E6E6" w:themeFill="background2"/>
            <w:hideMark/>
          </w:tcPr>
          <w:p w14:paraId="5C8BC6FD" w14:textId="77777777" w:rsidR="005E2BB1" w:rsidRPr="00F45F11" w:rsidRDefault="005E2BB1" w:rsidP="0093234E">
            <w:pPr>
              <w:pStyle w:val="ARtabletextright"/>
              <w:rPr>
                <w:lang w:eastAsia="en-AU"/>
              </w:rPr>
            </w:pPr>
            <w:r w:rsidRPr="00F45F11">
              <w:rPr>
                <w:lang w:eastAsia="en-AU"/>
              </w:rPr>
              <w:t>173.1</w:t>
            </w:r>
          </w:p>
        </w:tc>
        <w:tc>
          <w:tcPr>
            <w:tcW w:w="1057" w:type="dxa"/>
            <w:hideMark/>
          </w:tcPr>
          <w:p w14:paraId="795DB33F" w14:textId="77777777" w:rsidR="005E2BB1" w:rsidRPr="00F45F11" w:rsidRDefault="005E2BB1" w:rsidP="0093234E">
            <w:pPr>
              <w:pStyle w:val="ARtabletextright"/>
              <w:rPr>
                <w:lang w:eastAsia="en-AU"/>
              </w:rPr>
            </w:pPr>
            <w:r w:rsidRPr="00F45F11">
              <w:rPr>
                <w:lang w:eastAsia="en-AU"/>
              </w:rPr>
              <w:t>186</w:t>
            </w:r>
          </w:p>
        </w:tc>
        <w:tc>
          <w:tcPr>
            <w:tcW w:w="927" w:type="dxa"/>
            <w:hideMark/>
          </w:tcPr>
          <w:p w14:paraId="1AB261D7" w14:textId="77777777" w:rsidR="005E2BB1" w:rsidRPr="00F45F11" w:rsidRDefault="005E2BB1" w:rsidP="0093234E">
            <w:pPr>
              <w:pStyle w:val="ARtabletextright"/>
              <w:rPr>
                <w:lang w:eastAsia="en-AU"/>
              </w:rPr>
            </w:pPr>
            <w:r w:rsidRPr="00F45F11">
              <w:rPr>
                <w:lang w:eastAsia="en-AU"/>
              </w:rPr>
              <w:t>183.6</w:t>
            </w:r>
          </w:p>
        </w:tc>
        <w:tc>
          <w:tcPr>
            <w:tcW w:w="926" w:type="dxa"/>
            <w:shd w:val="clear" w:color="auto" w:fill="E7E6E6" w:themeFill="background2"/>
            <w:hideMark/>
          </w:tcPr>
          <w:p w14:paraId="48602296" w14:textId="77777777" w:rsidR="005E2BB1" w:rsidRPr="00F45F11" w:rsidRDefault="005E2BB1" w:rsidP="0093234E">
            <w:pPr>
              <w:pStyle w:val="ARtabletextright"/>
              <w:rPr>
                <w:lang w:eastAsia="en-AU"/>
              </w:rPr>
            </w:pPr>
            <w:r w:rsidRPr="00F45F11">
              <w:rPr>
                <w:lang w:eastAsia="en-AU"/>
              </w:rPr>
              <w:t>1</w:t>
            </w:r>
          </w:p>
        </w:tc>
        <w:tc>
          <w:tcPr>
            <w:tcW w:w="926" w:type="dxa"/>
            <w:shd w:val="clear" w:color="auto" w:fill="E7E6E6" w:themeFill="background2"/>
            <w:hideMark/>
          </w:tcPr>
          <w:p w14:paraId="2B1BB826" w14:textId="77777777" w:rsidR="005E2BB1" w:rsidRPr="00F45F11" w:rsidRDefault="005E2BB1" w:rsidP="0093234E">
            <w:pPr>
              <w:pStyle w:val="ARtabletextright"/>
              <w:rPr>
                <w:lang w:eastAsia="en-AU"/>
              </w:rPr>
            </w:pPr>
            <w:r w:rsidRPr="00F45F11">
              <w:rPr>
                <w:lang w:eastAsia="en-AU"/>
              </w:rPr>
              <w:t>0</w:t>
            </w:r>
          </w:p>
        </w:tc>
        <w:tc>
          <w:tcPr>
            <w:tcW w:w="927" w:type="dxa"/>
            <w:shd w:val="clear" w:color="auto" w:fill="E7E6E6" w:themeFill="background2"/>
            <w:hideMark/>
          </w:tcPr>
          <w:p w14:paraId="6174539B" w14:textId="77777777" w:rsidR="005E2BB1" w:rsidRPr="00F45F11" w:rsidRDefault="005E2BB1" w:rsidP="0093234E">
            <w:pPr>
              <w:pStyle w:val="ARtabletextright"/>
              <w:rPr>
                <w:lang w:eastAsia="en-AU"/>
              </w:rPr>
            </w:pPr>
            <w:r w:rsidRPr="00F45F11">
              <w:rPr>
                <w:lang w:eastAsia="en-AU"/>
              </w:rPr>
              <w:t>1.0</w:t>
            </w:r>
          </w:p>
        </w:tc>
        <w:tc>
          <w:tcPr>
            <w:tcW w:w="1057" w:type="dxa"/>
            <w:hideMark/>
          </w:tcPr>
          <w:p w14:paraId="46B85E4A" w14:textId="77777777" w:rsidR="005E2BB1" w:rsidRPr="00F45F11" w:rsidRDefault="005E2BB1" w:rsidP="0093234E">
            <w:pPr>
              <w:pStyle w:val="ARtabletextright"/>
              <w:rPr>
                <w:lang w:eastAsia="en-AU"/>
              </w:rPr>
            </w:pPr>
            <w:r w:rsidRPr="00F45F11">
              <w:rPr>
                <w:lang w:eastAsia="en-AU"/>
              </w:rPr>
              <w:t>185</w:t>
            </w:r>
          </w:p>
        </w:tc>
        <w:tc>
          <w:tcPr>
            <w:tcW w:w="927" w:type="dxa"/>
            <w:hideMark/>
          </w:tcPr>
          <w:p w14:paraId="2A0615D3" w14:textId="77777777" w:rsidR="005E2BB1" w:rsidRPr="00F45F11" w:rsidRDefault="005E2BB1" w:rsidP="0093234E">
            <w:pPr>
              <w:pStyle w:val="ARtabletextright"/>
              <w:rPr>
                <w:lang w:eastAsia="en-AU"/>
              </w:rPr>
            </w:pPr>
            <w:r w:rsidRPr="00F45F11">
              <w:rPr>
                <w:lang w:eastAsia="en-AU"/>
              </w:rPr>
              <w:t>182.6</w:t>
            </w:r>
          </w:p>
        </w:tc>
      </w:tr>
      <w:tr w:rsidR="005E2BB1" w:rsidRPr="00F45F11" w14:paraId="04136518" w14:textId="77777777" w:rsidTr="004E5FC5">
        <w:trPr>
          <w:cnfStyle w:val="000000010000" w:firstRow="0" w:lastRow="0" w:firstColumn="0" w:lastColumn="0" w:oddVBand="0" w:evenVBand="0" w:oddHBand="0" w:evenHBand="1" w:firstRowFirstColumn="0" w:firstRowLastColumn="0" w:lastRowFirstColumn="0" w:lastRowLastColumn="0"/>
          <w:trHeight w:val="20"/>
        </w:trPr>
        <w:tc>
          <w:tcPr>
            <w:tcW w:w="1186" w:type="dxa"/>
            <w:hideMark/>
          </w:tcPr>
          <w:p w14:paraId="391D0271" w14:textId="77777777" w:rsidR="005E2BB1" w:rsidRPr="00F45F11" w:rsidRDefault="005E2BB1" w:rsidP="0093234E">
            <w:pPr>
              <w:pStyle w:val="ARTabletext"/>
              <w:rPr>
                <w:lang w:eastAsia="en-AU"/>
              </w:rPr>
            </w:pPr>
            <w:r w:rsidRPr="00F45F11">
              <w:rPr>
                <w:lang w:eastAsia="en-AU"/>
              </w:rPr>
              <w:t>STS</w:t>
            </w:r>
          </w:p>
        </w:tc>
        <w:tc>
          <w:tcPr>
            <w:tcW w:w="992" w:type="dxa"/>
            <w:shd w:val="clear" w:color="auto" w:fill="E7E6E6" w:themeFill="background2"/>
            <w:hideMark/>
          </w:tcPr>
          <w:p w14:paraId="28F372C8" w14:textId="77777777" w:rsidR="005E2BB1" w:rsidRPr="00F45F11" w:rsidRDefault="005E2BB1" w:rsidP="0093234E">
            <w:pPr>
              <w:pStyle w:val="ARtabletextright"/>
              <w:rPr>
                <w:lang w:eastAsia="en-AU"/>
              </w:rPr>
            </w:pPr>
            <w:r w:rsidRPr="00F45F11">
              <w:rPr>
                <w:lang w:eastAsia="en-AU"/>
              </w:rPr>
              <w:t>20</w:t>
            </w:r>
          </w:p>
        </w:tc>
        <w:tc>
          <w:tcPr>
            <w:tcW w:w="992" w:type="dxa"/>
            <w:shd w:val="clear" w:color="auto" w:fill="E7E6E6" w:themeFill="background2"/>
            <w:hideMark/>
          </w:tcPr>
          <w:p w14:paraId="1E87324F" w14:textId="77777777" w:rsidR="005E2BB1" w:rsidRPr="00F45F11" w:rsidRDefault="005E2BB1" w:rsidP="0093234E">
            <w:pPr>
              <w:pStyle w:val="ARtabletextright"/>
              <w:rPr>
                <w:lang w:eastAsia="en-AU"/>
              </w:rPr>
            </w:pPr>
            <w:r w:rsidRPr="00F45F11">
              <w:rPr>
                <w:lang w:eastAsia="en-AU"/>
              </w:rPr>
              <w:t>19.7</w:t>
            </w:r>
          </w:p>
        </w:tc>
        <w:tc>
          <w:tcPr>
            <w:tcW w:w="926" w:type="dxa"/>
            <w:hideMark/>
          </w:tcPr>
          <w:p w14:paraId="43A1B766" w14:textId="77777777" w:rsidR="005E2BB1" w:rsidRPr="00F45F11" w:rsidRDefault="005E2BB1" w:rsidP="0093234E">
            <w:pPr>
              <w:pStyle w:val="ARtabletextright"/>
              <w:rPr>
                <w:lang w:eastAsia="en-AU"/>
              </w:rPr>
            </w:pPr>
            <w:r w:rsidRPr="00F45F11">
              <w:rPr>
                <w:lang w:eastAsia="en-AU"/>
              </w:rPr>
              <w:t>9</w:t>
            </w:r>
          </w:p>
        </w:tc>
        <w:tc>
          <w:tcPr>
            <w:tcW w:w="926" w:type="dxa"/>
            <w:hideMark/>
          </w:tcPr>
          <w:p w14:paraId="2E058E76" w14:textId="77777777" w:rsidR="005E2BB1" w:rsidRPr="00F45F11" w:rsidRDefault="005E2BB1" w:rsidP="0093234E">
            <w:pPr>
              <w:pStyle w:val="ARtabletextright"/>
              <w:rPr>
                <w:lang w:eastAsia="en-AU"/>
              </w:rPr>
            </w:pPr>
            <w:r w:rsidRPr="00F45F11">
              <w:rPr>
                <w:lang w:eastAsia="en-AU"/>
              </w:rPr>
              <w:t>2</w:t>
            </w:r>
          </w:p>
        </w:tc>
        <w:tc>
          <w:tcPr>
            <w:tcW w:w="927" w:type="dxa"/>
            <w:hideMark/>
          </w:tcPr>
          <w:p w14:paraId="26370682" w14:textId="77777777" w:rsidR="005E2BB1" w:rsidRPr="00F45F11" w:rsidRDefault="005E2BB1" w:rsidP="0093234E">
            <w:pPr>
              <w:pStyle w:val="ARtabletextright"/>
              <w:rPr>
                <w:lang w:eastAsia="en-AU"/>
              </w:rPr>
            </w:pPr>
            <w:r w:rsidRPr="00F45F11">
              <w:rPr>
                <w:lang w:eastAsia="en-AU"/>
              </w:rPr>
              <w:t>10.8</w:t>
            </w:r>
          </w:p>
        </w:tc>
        <w:tc>
          <w:tcPr>
            <w:tcW w:w="1057" w:type="dxa"/>
            <w:shd w:val="clear" w:color="auto" w:fill="E7E6E6" w:themeFill="background2"/>
            <w:hideMark/>
          </w:tcPr>
          <w:p w14:paraId="28016133" w14:textId="77777777" w:rsidR="005E2BB1" w:rsidRPr="00F45F11" w:rsidRDefault="005E2BB1" w:rsidP="0093234E">
            <w:pPr>
              <w:pStyle w:val="ARtabletextright"/>
              <w:rPr>
                <w:lang w:eastAsia="en-AU"/>
              </w:rPr>
            </w:pPr>
            <w:r w:rsidRPr="00F45F11">
              <w:rPr>
                <w:lang w:eastAsia="en-AU"/>
              </w:rPr>
              <w:t>9</w:t>
            </w:r>
          </w:p>
        </w:tc>
        <w:tc>
          <w:tcPr>
            <w:tcW w:w="927" w:type="dxa"/>
            <w:shd w:val="clear" w:color="auto" w:fill="E7E6E6" w:themeFill="background2"/>
            <w:hideMark/>
          </w:tcPr>
          <w:p w14:paraId="57FAAF4D" w14:textId="77777777" w:rsidR="005E2BB1" w:rsidRPr="00F45F11" w:rsidRDefault="005E2BB1" w:rsidP="0093234E">
            <w:pPr>
              <w:pStyle w:val="ARtabletextright"/>
              <w:rPr>
                <w:lang w:eastAsia="en-AU"/>
              </w:rPr>
            </w:pPr>
            <w:r w:rsidRPr="00F45F11">
              <w:rPr>
                <w:lang w:eastAsia="en-AU"/>
              </w:rPr>
              <w:t>8.9</w:t>
            </w:r>
          </w:p>
        </w:tc>
        <w:tc>
          <w:tcPr>
            <w:tcW w:w="1057" w:type="dxa"/>
            <w:hideMark/>
          </w:tcPr>
          <w:p w14:paraId="47240BA4" w14:textId="77777777" w:rsidR="005E2BB1" w:rsidRPr="00F45F11" w:rsidRDefault="005E2BB1" w:rsidP="0093234E">
            <w:pPr>
              <w:pStyle w:val="ARtabletextright"/>
              <w:rPr>
                <w:lang w:eastAsia="en-AU"/>
              </w:rPr>
            </w:pPr>
            <w:r w:rsidRPr="00F45F11">
              <w:rPr>
                <w:lang w:eastAsia="en-AU"/>
              </w:rPr>
              <w:t>23</w:t>
            </w:r>
          </w:p>
        </w:tc>
        <w:tc>
          <w:tcPr>
            <w:tcW w:w="927" w:type="dxa"/>
            <w:hideMark/>
          </w:tcPr>
          <w:p w14:paraId="4CDF7748" w14:textId="77777777" w:rsidR="005E2BB1" w:rsidRPr="00F45F11" w:rsidRDefault="005E2BB1" w:rsidP="0093234E">
            <w:pPr>
              <w:pStyle w:val="ARtabletextright"/>
              <w:rPr>
                <w:lang w:eastAsia="en-AU"/>
              </w:rPr>
            </w:pPr>
            <w:r w:rsidRPr="00F45F11">
              <w:rPr>
                <w:lang w:eastAsia="en-AU"/>
              </w:rPr>
              <w:t>22.5</w:t>
            </w:r>
          </w:p>
        </w:tc>
        <w:tc>
          <w:tcPr>
            <w:tcW w:w="926" w:type="dxa"/>
            <w:shd w:val="clear" w:color="auto" w:fill="E7E6E6" w:themeFill="background2"/>
            <w:hideMark/>
          </w:tcPr>
          <w:p w14:paraId="33EFE3CB" w14:textId="77777777" w:rsidR="005E2BB1" w:rsidRPr="00F45F11" w:rsidRDefault="005E2BB1" w:rsidP="0093234E">
            <w:pPr>
              <w:pStyle w:val="ARtabletextright"/>
              <w:rPr>
                <w:lang w:eastAsia="en-AU"/>
              </w:rPr>
            </w:pPr>
            <w:r w:rsidRPr="00F45F11">
              <w:rPr>
                <w:lang w:eastAsia="en-AU"/>
              </w:rPr>
              <w:t>12</w:t>
            </w:r>
          </w:p>
        </w:tc>
        <w:tc>
          <w:tcPr>
            <w:tcW w:w="926" w:type="dxa"/>
            <w:shd w:val="clear" w:color="auto" w:fill="E7E6E6" w:themeFill="background2"/>
            <w:hideMark/>
          </w:tcPr>
          <w:p w14:paraId="1502A609" w14:textId="77777777" w:rsidR="005E2BB1" w:rsidRPr="00F45F11" w:rsidRDefault="005E2BB1" w:rsidP="0093234E">
            <w:pPr>
              <w:pStyle w:val="ARtabletextright"/>
              <w:rPr>
                <w:lang w:eastAsia="en-AU"/>
              </w:rPr>
            </w:pPr>
            <w:r w:rsidRPr="00F45F11">
              <w:rPr>
                <w:lang w:eastAsia="en-AU"/>
              </w:rPr>
              <w:t>2</w:t>
            </w:r>
          </w:p>
        </w:tc>
        <w:tc>
          <w:tcPr>
            <w:tcW w:w="927" w:type="dxa"/>
            <w:shd w:val="clear" w:color="auto" w:fill="E7E6E6" w:themeFill="background2"/>
            <w:hideMark/>
          </w:tcPr>
          <w:p w14:paraId="21A85F18" w14:textId="77777777" w:rsidR="005E2BB1" w:rsidRPr="00F45F11" w:rsidRDefault="005E2BB1" w:rsidP="0093234E">
            <w:pPr>
              <w:pStyle w:val="ARtabletextright"/>
              <w:rPr>
                <w:lang w:eastAsia="en-AU"/>
              </w:rPr>
            </w:pPr>
            <w:r w:rsidRPr="00F45F11">
              <w:rPr>
                <w:lang w:eastAsia="en-AU"/>
              </w:rPr>
              <w:t>13.7</w:t>
            </w:r>
          </w:p>
        </w:tc>
        <w:tc>
          <w:tcPr>
            <w:tcW w:w="1057" w:type="dxa"/>
            <w:hideMark/>
          </w:tcPr>
          <w:p w14:paraId="5354DB8F" w14:textId="77777777" w:rsidR="005E2BB1" w:rsidRPr="00F45F11" w:rsidRDefault="005E2BB1" w:rsidP="0093234E">
            <w:pPr>
              <w:pStyle w:val="ARtabletextright"/>
              <w:rPr>
                <w:lang w:eastAsia="en-AU"/>
              </w:rPr>
            </w:pPr>
            <w:r w:rsidRPr="00F45F11">
              <w:rPr>
                <w:lang w:eastAsia="en-AU"/>
              </w:rPr>
              <w:t>9</w:t>
            </w:r>
          </w:p>
        </w:tc>
        <w:tc>
          <w:tcPr>
            <w:tcW w:w="927" w:type="dxa"/>
            <w:hideMark/>
          </w:tcPr>
          <w:p w14:paraId="7977CD7E" w14:textId="77777777" w:rsidR="005E2BB1" w:rsidRPr="00F45F11" w:rsidRDefault="005E2BB1" w:rsidP="0093234E">
            <w:pPr>
              <w:pStyle w:val="ARtabletextright"/>
              <w:rPr>
                <w:lang w:eastAsia="en-AU"/>
              </w:rPr>
            </w:pPr>
            <w:r w:rsidRPr="00F45F11">
              <w:rPr>
                <w:lang w:eastAsia="en-AU"/>
              </w:rPr>
              <w:t>8.8</w:t>
            </w:r>
          </w:p>
        </w:tc>
      </w:tr>
      <w:tr w:rsidR="005E2BB1" w:rsidRPr="00F45F11" w14:paraId="3F6607B7" w14:textId="77777777" w:rsidTr="004E5FC5">
        <w:trPr>
          <w:cnfStyle w:val="000000100000" w:firstRow="0" w:lastRow="0" w:firstColumn="0" w:lastColumn="0" w:oddVBand="0" w:evenVBand="0" w:oddHBand="1" w:evenHBand="0" w:firstRowFirstColumn="0" w:firstRowLastColumn="0" w:lastRowFirstColumn="0" w:lastRowLastColumn="0"/>
          <w:trHeight w:val="20"/>
        </w:trPr>
        <w:tc>
          <w:tcPr>
            <w:tcW w:w="1186" w:type="dxa"/>
            <w:hideMark/>
          </w:tcPr>
          <w:p w14:paraId="771A092E" w14:textId="77777777" w:rsidR="005E2BB1" w:rsidRPr="00F45F11" w:rsidRDefault="005E2BB1" w:rsidP="0093234E">
            <w:pPr>
              <w:pStyle w:val="ARTabletext"/>
              <w:rPr>
                <w:lang w:eastAsia="en-AU"/>
              </w:rPr>
            </w:pPr>
            <w:r w:rsidRPr="00F45F11">
              <w:rPr>
                <w:lang w:eastAsia="en-AU"/>
              </w:rPr>
              <w:t>SMA</w:t>
            </w:r>
          </w:p>
        </w:tc>
        <w:tc>
          <w:tcPr>
            <w:tcW w:w="992" w:type="dxa"/>
            <w:shd w:val="clear" w:color="auto" w:fill="E7E6E6" w:themeFill="background2"/>
            <w:hideMark/>
          </w:tcPr>
          <w:p w14:paraId="3CDF2425" w14:textId="77777777" w:rsidR="005E2BB1" w:rsidRPr="00F45F11" w:rsidRDefault="005E2BB1" w:rsidP="0093234E">
            <w:pPr>
              <w:pStyle w:val="ARtabletextright"/>
              <w:rPr>
                <w:lang w:eastAsia="en-AU"/>
              </w:rPr>
            </w:pPr>
            <w:r w:rsidRPr="00F45F11">
              <w:rPr>
                <w:lang w:eastAsia="en-AU"/>
              </w:rPr>
              <w:t>0</w:t>
            </w:r>
          </w:p>
        </w:tc>
        <w:tc>
          <w:tcPr>
            <w:tcW w:w="992" w:type="dxa"/>
            <w:shd w:val="clear" w:color="auto" w:fill="E7E6E6" w:themeFill="background2"/>
            <w:hideMark/>
          </w:tcPr>
          <w:p w14:paraId="577A71C9" w14:textId="77777777" w:rsidR="005E2BB1" w:rsidRPr="00F45F11" w:rsidRDefault="005E2BB1" w:rsidP="0093234E">
            <w:pPr>
              <w:pStyle w:val="ARtabletextright"/>
              <w:rPr>
                <w:lang w:eastAsia="en-AU"/>
              </w:rPr>
            </w:pPr>
            <w:r w:rsidRPr="00F45F11">
              <w:rPr>
                <w:lang w:eastAsia="en-AU"/>
              </w:rPr>
              <w:t>0.0</w:t>
            </w:r>
          </w:p>
        </w:tc>
        <w:tc>
          <w:tcPr>
            <w:tcW w:w="926" w:type="dxa"/>
            <w:hideMark/>
          </w:tcPr>
          <w:p w14:paraId="0F6C1DC4" w14:textId="77777777" w:rsidR="005E2BB1" w:rsidRPr="00F45F11" w:rsidRDefault="005E2BB1" w:rsidP="0093234E">
            <w:pPr>
              <w:pStyle w:val="ARtabletextright"/>
              <w:rPr>
                <w:lang w:eastAsia="en-AU"/>
              </w:rPr>
            </w:pPr>
            <w:r w:rsidRPr="00F45F11">
              <w:rPr>
                <w:lang w:eastAsia="en-AU"/>
              </w:rPr>
              <w:t>0</w:t>
            </w:r>
          </w:p>
        </w:tc>
        <w:tc>
          <w:tcPr>
            <w:tcW w:w="926" w:type="dxa"/>
            <w:hideMark/>
          </w:tcPr>
          <w:p w14:paraId="41BE9157" w14:textId="77777777" w:rsidR="005E2BB1" w:rsidRPr="00F45F11" w:rsidRDefault="005E2BB1" w:rsidP="0093234E">
            <w:pPr>
              <w:pStyle w:val="ARtabletextright"/>
              <w:rPr>
                <w:lang w:eastAsia="en-AU"/>
              </w:rPr>
            </w:pPr>
            <w:r w:rsidRPr="00F45F11">
              <w:rPr>
                <w:lang w:eastAsia="en-AU"/>
              </w:rPr>
              <w:t>0</w:t>
            </w:r>
          </w:p>
        </w:tc>
        <w:tc>
          <w:tcPr>
            <w:tcW w:w="927" w:type="dxa"/>
            <w:hideMark/>
          </w:tcPr>
          <w:p w14:paraId="46DA85BB" w14:textId="77777777" w:rsidR="005E2BB1" w:rsidRPr="00F45F11" w:rsidRDefault="005E2BB1" w:rsidP="0093234E">
            <w:pPr>
              <w:pStyle w:val="ARtabletextright"/>
              <w:rPr>
                <w:lang w:eastAsia="en-AU"/>
              </w:rPr>
            </w:pPr>
            <w:r w:rsidRPr="00F45F11">
              <w:rPr>
                <w:lang w:eastAsia="en-AU"/>
              </w:rPr>
              <w:t>0.0</w:t>
            </w:r>
          </w:p>
        </w:tc>
        <w:tc>
          <w:tcPr>
            <w:tcW w:w="1057" w:type="dxa"/>
            <w:shd w:val="clear" w:color="auto" w:fill="E7E6E6" w:themeFill="background2"/>
            <w:hideMark/>
          </w:tcPr>
          <w:p w14:paraId="48492994" w14:textId="77777777" w:rsidR="005E2BB1" w:rsidRPr="00F45F11" w:rsidRDefault="005E2BB1" w:rsidP="0093234E">
            <w:pPr>
              <w:pStyle w:val="ARtabletextright"/>
              <w:rPr>
                <w:lang w:eastAsia="en-AU"/>
              </w:rPr>
            </w:pPr>
            <w:r w:rsidRPr="00F45F11">
              <w:rPr>
                <w:lang w:eastAsia="en-AU"/>
              </w:rPr>
              <w:t>0</w:t>
            </w:r>
          </w:p>
        </w:tc>
        <w:tc>
          <w:tcPr>
            <w:tcW w:w="927" w:type="dxa"/>
            <w:shd w:val="clear" w:color="auto" w:fill="E7E6E6" w:themeFill="background2"/>
            <w:hideMark/>
          </w:tcPr>
          <w:p w14:paraId="39CCFA04" w14:textId="77777777" w:rsidR="005E2BB1" w:rsidRPr="00F45F11" w:rsidRDefault="005E2BB1" w:rsidP="0093234E">
            <w:pPr>
              <w:pStyle w:val="ARtabletextright"/>
              <w:rPr>
                <w:lang w:eastAsia="en-AU"/>
              </w:rPr>
            </w:pPr>
            <w:r w:rsidRPr="00F45F11">
              <w:rPr>
                <w:lang w:eastAsia="en-AU"/>
              </w:rPr>
              <w:t>0.0</w:t>
            </w:r>
          </w:p>
        </w:tc>
        <w:tc>
          <w:tcPr>
            <w:tcW w:w="1057" w:type="dxa"/>
            <w:hideMark/>
          </w:tcPr>
          <w:p w14:paraId="07A050D6" w14:textId="77777777" w:rsidR="005E2BB1" w:rsidRPr="00F45F11" w:rsidRDefault="005E2BB1" w:rsidP="0093234E">
            <w:pPr>
              <w:pStyle w:val="ARtabletextright"/>
              <w:rPr>
                <w:lang w:eastAsia="en-AU"/>
              </w:rPr>
            </w:pPr>
            <w:r w:rsidRPr="00F45F11">
              <w:rPr>
                <w:lang w:eastAsia="en-AU"/>
              </w:rPr>
              <w:t>0</w:t>
            </w:r>
          </w:p>
        </w:tc>
        <w:tc>
          <w:tcPr>
            <w:tcW w:w="927" w:type="dxa"/>
            <w:hideMark/>
          </w:tcPr>
          <w:p w14:paraId="2C49CC01" w14:textId="77777777" w:rsidR="005E2BB1" w:rsidRPr="00F45F11" w:rsidRDefault="005E2BB1" w:rsidP="0093234E">
            <w:pPr>
              <w:pStyle w:val="ARtabletextright"/>
              <w:rPr>
                <w:lang w:eastAsia="en-AU"/>
              </w:rPr>
            </w:pPr>
            <w:r w:rsidRPr="00F45F11">
              <w:rPr>
                <w:lang w:eastAsia="en-AU"/>
              </w:rPr>
              <w:t>0.0</w:t>
            </w:r>
          </w:p>
        </w:tc>
        <w:tc>
          <w:tcPr>
            <w:tcW w:w="926" w:type="dxa"/>
            <w:shd w:val="clear" w:color="auto" w:fill="E7E6E6" w:themeFill="background2"/>
            <w:hideMark/>
          </w:tcPr>
          <w:p w14:paraId="262406ED" w14:textId="77777777" w:rsidR="005E2BB1" w:rsidRPr="00F45F11" w:rsidRDefault="005E2BB1" w:rsidP="0093234E">
            <w:pPr>
              <w:pStyle w:val="ARtabletextright"/>
              <w:rPr>
                <w:lang w:eastAsia="en-AU"/>
              </w:rPr>
            </w:pPr>
            <w:r w:rsidRPr="00F45F11">
              <w:rPr>
                <w:lang w:eastAsia="en-AU"/>
              </w:rPr>
              <w:t>0</w:t>
            </w:r>
          </w:p>
        </w:tc>
        <w:tc>
          <w:tcPr>
            <w:tcW w:w="926" w:type="dxa"/>
            <w:shd w:val="clear" w:color="auto" w:fill="E7E6E6" w:themeFill="background2"/>
            <w:hideMark/>
          </w:tcPr>
          <w:p w14:paraId="4F2A6D4A" w14:textId="77777777" w:rsidR="005E2BB1" w:rsidRPr="00F45F11" w:rsidRDefault="005E2BB1" w:rsidP="0093234E">
            <w:pPr>
              <w:pStyle w:val="ARtabletextright"/>
              <w:rPr>
                <w:lang w:eastAsia="en-AU"/>
              </w:rPr>
            </w:pPr>
            <w:r w:rsidRPr="00F45F11">
              <w:rPr>
                <w:lang w:eastAsia="en-AU"/>
              </w:rPr>
              <w:t>0</w:t>
            </w:r>
          </w:p>
        </w:tc>
        <w:tc>
          <w:tcPr>
            <w:tcW w:w="927" w:type="dxa"/>
            <w:shd w:val="clear" w:color="auto" w:fill="E7E6E6" w:themeFill="background2"/>
            <w:hideMark/>
          </w:tcPr>
          <w:p w14:paraId="29AF9CC1" w14:textId="77777777" w:rsidR="005E2BB1" w:rsidRPr="00F45F11" w:rsidRDefault="005E2BB1" w:rsidP="0093234E">
            <w:pPr>
              <w:pStyle w:val="ARtabletextright"/>
              <w:rPr>
                <w:lang w:eastAsia="en-AU"/>
              </w:rPr>
            </w:pPr>
            <w:r w:rsidRPr="00F45F11">
              <w:rPr>
                <w:lang w:eastAsia="en-AU"/>
              </w:rPr>
              <w:t>0.0</w:t>
            </w:r>
          </w:p>
        </w:tc>
        <w:tc>
          <w:tcPr>
            <w:tcW w:w="1057" w:type="dxa"/>
            <w:hideMark/>
          </w:tcPr>
          <w:p w14:paraId="511D6F08" w14:textId="77777777" w:rsidR="005E2BB1" w:rsidRPr="00F45F11" w:rsidRDefault="005E2BB1" w:rsidP="0093234E">
            <w:pPr>
              <w:pStyle w:val="ARtabletextright"/>
              <w:rPr>
                <w:lang w:eastAsia="en-AU"/>
              </w:rPr>
            </w:pPr>
            <w:r w:rsidRPr="00F45F11">
              <w:rPr>
                <w:lang w:eastAsia="en-AU"/>
              </w:rPr>
              <w:t>0</w:t>
            </w:r>
          </w:p>
        </w:tc>
        <w:tc>
          <w:tcPr>
            <w:tcW w:w="927" w:type="dxa"/>
            <w:hideMark/>
          </w:tcPr>
          <w:p w14:paraId="7139545A" w14:textId="77777777" w:rsidR="005E2BB1" w:rsidRPr="00F45F11" w:rsidRDefault="005E2BB1" w:rsidP="0093234E">
            <w:pPr>
              <w:pStyle w:val="ARtabletextright"/>
              <w:rPr>
                <w:lang w:eastAsia="en-AU"/>
              </w:rPr>
            </w:pPr>
            <w:r w:rsidRPr="00F45F11">
              <w:rPr>
                <w:lang w:eastAsia="en-AU"/>
              </w:rPr>
              <w:t>0.0</w:t>
            </w:r>
          </w:p>
        </w:tc>
      </w:tr>
      <w:tr w:rsidR="005E2BB1" w:rsidRPr="00F45F11" w14:paraId="5B44F85C" w14:textId="77777777" w:rsidTr="004E5FC5">
        <w:trPr>
          <w:cnfStyle w:val="010000000000" w:firstRow="0" w:lastRow="1" w:firstColumn="0" w:lastColumn="0" w:oddVBand="0" w:evenVBand="0" w:oddHBand="0" w:evenHBand="0" w:firstRowFirstColumn="0" w:firstRowLastColumn="0" w:lastRowFirstColumn="0" w:lastRowLastColumn="0"/>
          <w:trHeight w:val="20"/>
        </w:trPr>
        <w:tc>
          <w:tcPr>
            <w:tcW w:w="1186" w:type="dxa"/>
            <w:hideMark/>
          </w:tcPr>
          <w:p w14:paraId="4842DD9C" w14:textId="77777777" w:rsidR="005E2BB1" w:rsidRPr="00F45F11" w:rsidRDefault="005E2BB1" w:rsidP="0093234E">
            <w:pPr>
              <w:pStyle w:val="ARtabletextbold"/>
              <w:rPr>
                <w:lang w:eastAsia="en-AU"/>
              </w:rPr>
            </w:pPr>
            <w:hyperlink r:id="rId54" w:anchor="Sheet1!_ftn5" w:history="1">
              <w:r w:rsidRPr="00F45F11">
                <w:rPr>
                  <w:lang w:eastAsia="en-AU"/>
                </w:rPr>
                <w:t>Total employees</w:t>
              </w:r>
            </w:hyperlink>
          </w:p>
        </w:tc>
        <w:tc>
          <w:tcPr>
            <w:tcW w:w="992" w:type="dxa"/>
            <w:shd w:val="clear" w:color="auto" w:fill="E7E6E6" w:themeFill="background2"/>
            <w:hideMark/>
          </w:tcPr>
          <w:p w14:paraId="483C7340" w14:textId="054488B5" w:rsidR="005E2BB1" w:rsidRPr="00F45F11" w:rsidRDefault="005E2BB1" w:rsidP="0093234E">
            <w:pPr>
              <w:pStyle w:val="ARtabletextrightbold"/>
              <w:rPr>
                <w:lang w:eastAsia="en-AU"/>
              </w:rPr>
            </w:pPr>
            <w:r w:rsidRPr="00F45F11">
              <w:rPr>
                <w:lang w:eastAsia="en-AU"/>
              </w:rPr>
              <w:t>7</w:t>
            </w:r>
            <w:r w:rsidR="00333488" w:rsidRPr="00F45F11">
              <w:rPr>
                <w:lang w:eastAsia="en-AU"/>
              </w:rPr>
              <w:t>,</w:t>
            </w:r>
            <w:r w:rsidRPr="00F45F11">
              <w:rPr>
                <w:lang w:eastAsia="en-AU"/>
              </w:rPr>
              <w:t>282</w:t>
            </w:r>
          </w:p>
        </w:tc>
        <w:tc>
          <w:tcPr>
            <w:tcW w:w="992" w:type="dxa"/>
            <w:shd w:val="clear" w:color="auto" w:fill="E7E6E6" w:themeFill="background2"/>
            <w:hideMark/>
          </w:tcPr>
          <w:p w14:paraId="521E4653" w14:textId="313D2BF2" w:rsidR="005E2BB1" w:rsidRPr="00F45F11" w:rsidRDefault="005E2BB1" w:rsidP="0093234E">
            <w:pPr>
              <w:pStyle w:val="ARtabletextrightbold"/>
              <w:rPr>
                <w:lang w:eastAsia="en-AU"/>
              </w:rPr>
            </w:pPr>
            <w:r w:rsidRPr="00F45F11">
              <w:rPr>
                <w:lang w:eastAsia="en-AU"/>
              </w:rPr>
              <w:t>6</w:t>
            </w:r>
            <w:r w:rsidR="00333488" w:rsidRPr="00F45F11">
              <w:rPr>
                <w:lang w:eastAsia="en-AU"/>
              </w:rPr>
              <w:t>,</w:t>
            </w:r>
            <w:r w:rsidRPr="00F45F11">
              <w:rPr>
                <w:lang w:eastAsia="en-AU"/>
              </w:rPr>
              <w:t>850.4</w:t>
            </w:r>
          </w:p>
        </w:tc>
        <w:tc>
          <w:tcPr>
            <w:tcW w:w="926" w:type="dxa"/>
            <w:hideMark/>
          </w:tcPr>
          <w:p w14:paraId="6E7CC374" w14:textId="12CBB27E" w:rsidR="005E2BB1" w:rsidRPr="00F45F11" w:rsidRDefault="005E2BB1" w:rsidP="0093234E">
            <w:pPr>
              <w:pStyle w:val="ARtabletextrightbold"/>
              <w:rPr>
                <w:lang w:eastAsia="en-AU"/>
              </w:rPr>
            </w:pPr>
            <w:r w:rsidRPr="00F45F11">
              <w:rPr>
                <w:lang w:eastAsia="en-AU"/>
              </w:rPr>
              <w:t>5</w:t>
            </w:r>
            <w:r w:rsidR="00333488" w:rsidRPr="00F45F11">
              <w:rPr>
                <w:lang w:eastAsia="en-AU"/>
              </w:rPr>
              <w:t>,</w:t>
            </w:r>
            <w:r w:rsidRPr="00F45F11">
              <w:rPr>
                <w:lang w:eastAsia="en-AU"/>
              </w:rPr>
              <w:t>042</w:t>
            </w:r>
          </w:p>
        </w:tc>
        <w:tc>
          <w:tcPr>
            <w:tcW w:w="926" w:type="dxa"/>
            <w:hideMark/>
          </w:tcPr>
          <w:p w14:paraId="43632929" w14:textId="77777777" w:rsidR="005E2BB1" w:rsidRPr="00F45F11" w:rsidRDefault="005E2BB1" w:rsidP="0093234E">
            <w:pPr>
              <w:pStyle w:val="ARtabletextrightbold"/>
              <w:rPr>
                <w:lang w:eastAsia="en-AU"/>
              </w:rPr>
            </w:pPr>
            <w:r w:rsidRPr="00F45F11">
              <w:rPr>
                <w:lang w:eastAsia="en-AU"/>
              </w:rPr>
              <w:t>898</w:t>
            </w:r>
          </w:p>
        </w:tc>
        <w:tc>
          <w:tcPr>
            <w:tcW w:w="927" w:type="dxa"/>
            <w:hideMark/>
          </w:tcPr>
          <w:p w14:paraId="4E2ED2A6" w14:textId="2B8B3B81" w:rsidR="005E2BB1" w:rsidRPr="00F45F11" w:rsidRDefault="005E2BB1" w:rsidP="0093234E">
            <w:pPr>
              <w:pStyle w:val="ARtabletextrightbold"/>
              <w:rPr>
                <w:lang w:eastAsia="en-AU"/>
              </w:rPr>
            </w:pPr>
            <w:r w:rsidRPr="00F45F11">
              <w:rPr>
                <w:lang w:eastAsia="en-AU"/>
              </w:rPr>
              <w:t>5</w:t>
            </w:r>
            <w:r w:rsidR="00333488" w:rsidRPr="00F45F11">
              <w:rPr>
                <w:lang w:eastAsia="en-AU"/>
              </w:rPr>
              <w:t>,</w:t>
            </w:r>
            <w:r w:rsidRPr="00F45F11">
              <w:rPr>
                <w:lang w:eastAsia="en-AU"/>
              </w:rPr>
              <w:t>632.8</w:t>
            </w:r>
          </w:p>
        </w:tc>
        <w:tc>
          <w:tcPr>
            <w:tcW w:w="1057" w:type="dxa"/>
            <w:shd w:val="clear" w:color="auto" w:fill="E7E6E6" w:themeFill="background2"/>
            <w:hideMark/>
          </w:tcPr>
          <w:p w14:paraId="75541274" w14:textId="40FB4C03" w:rsidR="005E2BB1" w:rsidRPr="00F45F11" w:rsidRDefault="005E2BB1" w:rsidP="0093234E">
            <w:pPr>
              <w:pStyle w:val="ARtabletextrightbold"/>
              <w:rPr>
                <w:lang w:eastAsia="en-AU"/>
              </w:rPr>
            </w:pPr>
            <w:r w:rsidRPr="00F45F11">
              <w:rPr>
                <w:lang w:eastAsia="en-AU"/>
              </w:rPr>
              <w:t>134</w:t>
            </w:r>
            <w:r w:rsidR="00A91EA7">
              <w:rPr>
                <w:lang w:eastAsia="en-AU"/>
              </w:rPr>
              <w:t>2</w:t>
            </w:r>
          </w:p>
        </w:tc>
        <w:tc>
          <w:tcPr>
            <w:tcW w:w="927" w:type="dxa"/>
            <w:shd w:val="clear" w:color="auto" w:fill="E7E6E6" w:themeFill="background2"/>
            <w:hideMark/>
          </w:tcPr>
          <w:p w14:paraId="3554D86A" w14:textId="093F7203" w:rsidR="005E2BB1" w:rsidRPr="00F45F11" w:rsidRDefault="005E2BB1" w:rsidP="0093234E">
            <w:pPr>
              <w:pStyle w:val="ARtabletextrightbold"/>
              <w:rPr>
                <w:lang w:eastAsia="en-AU"/>
              </w:rPr>
            </w:pPr>
            <w:r w:rsidRPr="00F45F11">
              <w:rPr>
                <w:lang w:eastAsia="en-AU"/>
              </w:rPr>
              <w:t>1</w:t>
            </w:r>
            <w:r w:rsidR="00333488" w:rsidRPr="00F45F11">
              <w:rPr>
                <w:lang w:eastAsia="en-AU"/>
              </w:rPr>
              <w:t>,</w:t>
            </w:r>
            <w:r w:rsidRPr="00F45F11">
              <w:rPr>
                <w:lang w:eastAsia="en-AU"/>
              </w:rPr>
              <w:t>217.6</w:t>
            </w:r>
          </w:p>
        </w:tc>
        <w:tc>
          <w:tcPr>
            <w:tcW w:w="1057" w:type="dxa"/>
            <w:hideMark/>
          </w:tcPr>
          <w:p w14:paraId="12FF201F" w14:textId="77777777" w:rsidR="005E2BB1" w:rsidRPr="00F45F11" w:rsidRDefault="005E2BB1" w:rsidP="0093234E">
            <w:pPr>
              <w:pStyle w:val="ARtabletextrightbold"/>
              <w:rPr>
                <w:lang w:eastAsia="en-AU"/>
              </w:rPr>
            </w:pPr>
            <w:r w:rsidRPr="00F45F11">
              <w:rPr>
                <w:lang w:eastAsia="en-AU"/>
              </w:rPr>
              <w:t>7213</w:t>
            </w:r>
          </w:p>
        </w:tc>
        <w:tc>
          <w:tcPr>
            <w:tcW w:w="927" w:type="dxa"/>
            <w:hideMark/>
          </w:tcPr>
          <w:p w14:paraId="607FEEEC" w14:textId="62058DB7" w:rsidR="005E2BB1" w:rsidRPr="00F45F11" w:rsidRDefault="005E2BB1" w:rsidP="0093234E">
            <w:pPr>
              <w:pStyle w:val="ARtabletextrightbold"/>
              <w:rPr>
                <w:lang w:eastAsia="en-AU"/>
              </w:rPr>
            </w:pPr>
            <w:r w:rsidRPr="00F45F11">
              <w:rPr>
                <w:lang w:eastAsia="en-AU"/>
              </w:rPr>
              <w:t>6</w:t>
            </w:r>
            <w:r w:rsidR="00333488" w:rsidRPr="00F45F11">
              <w:rPr>
                <w:lang w:eastAsia="en-AU"/>
              </w:rPr>
              <w:t>,</w:t>
            </w:r>
            <w:r w:rsidRPr="00F45F11">
              <w:rPr>
                <w:lang w:eastAsia="en-AU"/>
              </w:rPr>
              <w:t>772.3</w:t>
            </w:r>
          </w:p>
        </w:tc>
        <w:tc>
          <w:tcPr>
            <w:tcW w:w="926" w:type="dxa"/>
            <w:shd w:val="clear" w:color="auto" w:fill="E7E6E6" w:themeFill="background2"/>
            <w:hideMark/>
          </w:tcPr>
          <w:p w14:paraId="26FDAD47" w14:textId="17769264" w:rsidR="005E2BB1" w:rsidRPr="00F45F11" w:rsidRDefault="005E2BB1" w:rsidP="0093234E">
            <w:pPr>
              <w:pStyle w:val="ARtabletextrightbold"/>
              <w:rPr>
                <w:lang w:eastAsia="en-AU"/>
              </w:rPr>
            </w:pPr>
            <w:r w:rsidRPr="00F45F11">
              <w:rPr>
                <w:lang w:eastAsia="en-AU"/>
              </w:rPr>
              <w:t>5</w:t>
            </w:r>
            <w:r w:rsidR="00333488" w:rsidRPr="00F45F11">
              <w:rPr>
                <w:lang w:eastAsia="en-AU"/>
              </w:rPr>
              <w:t>,</w:t>
            </w:r>
            <w:r w:rsidRPr="00F45F11">
              <w:rPr>
                <w:lang w:eastAsia="en-AU"/>
              </w:rPr>
              <w:t>022</w:t>
            </w:r>
          </w:p>
        </w:tc>
        <w:tc>
          <w:tcPr>
            <w:tcW w:w="926" w:type="dxa"/>
            <w:shd w:val="clear" w:color="auto" w:fill="E7E6E6" w:themeFill="background2"/>
            <w:hideMark/>
          </w:tcPr>
          <w:p w14:paraId="6CED3297" w14:textId="77777777" w:rsidR="005E2BB1" w:rsidRPr="00F45F11" w:rsidRDefault="005E2BB1" w:rsidP="0093234E">
            <w:pPr>
              <w:pStyle w:val="ARtabletextrightbold"/>
              <w:rPr>
                <w:lang w:eastAsia="en-AU"/>
              </w:rPr>
            </w:pPr>
            <w:r w:rsidRPr="00F45F11">
              <w:rPr>
                <w:lang w:eastAsia="en-AU"/>
              </w:rPr>
              <w:t>888</w:t>
            </w:r>
          </w:p>
        </w:tc>
        <w:tc>
          <w:tcPr>
            <w:tcW w:w="927" w:type="dxa"/>
            <w:shd w:val="clear" w:color="auto" w:fill="E7E6E6" w:themeFill="background2"/>
            <w:hideMark/>
          </w:tcPr>
          <w:p w14:paraId="62BAB4BA" w14:textId="3ADAC797" w:rsidR="005E2BB1" w:rsidRPr="00F45F11" w:rsidRDefault="005E2BB1" w:rsidP="0093234E">
            <w:pPr>
              <w:pStyle w:val="ARtabletextrightbold"/>
              <w:rPr>
                <w:lang w:eastAsia="en-AU"/>
              </w:rPr>
            </w:pPr>
            <w:r w:rsidRPr="00F45F11">
              <w:rPr>
                <w:lang w:eastAsia="en-AU"/>
              </w:rPr>
              <w:t>5</w:t>
            </w:r>
            <w:r w:rsidR="00333488" w:rsidRPr="00F45F11">
              <w:rPr>
                <w:lang w:eastAsia="en-AU"/>
              </w:rPr>
              <w:t>,</w:t>
            </w:r>
            <w:r w:rsidRPr="00F45F11">
              <w:rPr>
                <w:lang w:eastAsia="en-AU"/>
              </w:rPr>
              <w:t>596.2</w:t>
            </w:r>
          </w:p>
        </w:tc>
        <w:tc>
          <w:tcPr>
            <w:tcW w:w="1057" w:type="dxa"/>
            <w:hideMark/>
          </w:tcPr>
          <w:p w14:paraId="2FB436BD" w14:textId="7627CDB5" w:rsidR="005E2BB1" w:rsidRPr="00F45F11" w:rsidRDefault="005E2BB1" w:rsidP="0093234E">
            <w:pPr>
              <w:pStyle w:val="ARtabletextrightbold"/>
              <w:rPr>
                <w:lang w:eastAsia="en-AU"/>
              </w:rPr>
            </w:pPr>
            <w:r w:rsidRPr="00F45F11">
              <w:rPr>
                <w:lang w:eastAsia="en-AU"/>
              </w:rPr>
              <w:t>1</w:t>
            </w:r>
            <w:r w:rsidR="00333488" w:rsidRPr="00F45F11">
              <w:rPr>
                <w:lang w:eastAsia="en-AU"/>
              </w:rPr>
              <w:t>,</w:t>
            </w:r>
            <w:r w:rsidRPr="00F45F11">
              <w:rPr>
                <w:lang w:eastAsia="en-AU"/>
              </w:rPr>
              <w:t>303</w:t>
            </w:r>
          </w:p>
        </w:tc>
        <w:tc>
          <w:tcPr>
            <w:tcW w:w="927" w:type="dxa"/>
            <w:hideMark/>
          </w:tcPr>
          <w:p w14:paraId="2FA4AB1B" w14:textId="700BA17F" w:rsidR="005E2BB1" w:rsidRPr="00F45F11" w:rsidRDefault="005E2BB1" w:rsidP="0093234E">
            <w:pPr>
              <w:pStyle w:val="ARtabletextrightbold"/>
              <w:rPr>
                <w:lang w:eastAsia="en-AU"/>
              </w:rPr>
            </w:pPr>
            <w:r w:rsidRPr="00F45F11">
              <w:rPr>
                <w:lang w:eastAsia="en-AU"/>
              </w:rPr>
              <w:t>1</w:t>
            </w:r>
            <w:r w:rsidR="00333488" w:rsidRPr="00F45F11">
              <w:rPr>
                <w:lang w:eastAsia="en-AU"/>
              </w:rPr>
              <w:t>,</w:t>
            </w:r>
            <w:r w:rsidRPr="00F45F11">
              <w:rPr>
                <w:lang w:eastAsia="en-AU"/>
              </w:rPr>
              <w:t>176.0</w:t>
            </w:r>
          </w:p>
        </w:tc>
      </w:tr>
    </w:tbl>
    <w:p w14:paraId="7FF8BB2F" w14:textId="77777777" w:rsidR="005E2BB1" w:rsidRPr="00F45F11" w:rsidRDefault="005E2BB1" w:rsidP="0072004C">
      <w:pPr>
        <w:pStyle w:val="ARTablefigurenote"/>
      </w:pPr>
      <w:r w:rsidRPr="00F45F11">
        <w:t>The data source for the table above is Common Corporate Support Branch. A similar data cut is used for the Victorian Public Sector Commission submission.</w:t>
      </w:r>
    </w:p>
    <w:p w14:paraId="0431EB25" w14:textId="77777777" w:rsidR="005E2BB1" w:rsidRPr="00F45F11" w:rsidRDefault="005E2BB1" w:rsidP="0072004C">
      <w:pPr>
        <w:pStyle w:val="ARTablefigurenote"/>
        <w:rPr>
          <w:highlight w:val="cyan"/>
        </w:rPr>
        <w:sectPr w:rsidR="005E2BB1" w:rsidRPr="00F45F11" w:rsidSect="00E7077C">
          <w:headerReference w:type="even" r:id="rId55"/>
          <w:headerReference w:type="default" r:id="rId56"/>
          <w:footerReference w:type="even" r:id="rId57"/>
          <w:footerReference w:type="default" r:id="rId58"/>
          <w:headerReference w:type="first" r:id="rId59"/>
          <w:footerReference w:type="first" r:id="rId60"/>
          <w:endnotePr>
            <w:numFmt w:val="decimal"/>
          </w:endnotePr>
          <w:pgSz w:w="16838" w:h="11906" w:orient="landscape" w:code="9"/>
          <w:pgMar w:top="1588" w:right="1134" w:bottom="851" w:left="1134" w:header="680" w:footer="340" w:gutter="0"/>
          <w:cols w:space="454"/>
          <w:docGrid w:linePitch="360"/>
        </w:sectPr>
      </w:pPr>
      <w:r w:rsidRPr="00F45F11">
        <w:t>Executive figures include Accountable Officers, namely the Secretary and CEO of Homes Victoria.</w:t>
      </w:r>
    </w:p>
    <w:p w14:paraId="0A16A1AB" w14:textId="77777777" w:rsidR="005E2BB1" w:rsidRPr="00F45F11" w:rsidRDefault="005E2BB1" w:rsidP="0072004C">
      <w:pPr>
        <w:pStyle w:val="ARBody"/>
      </w:pPr>
      <w:r w:rsidRPr="00F45F11">
        <w:t>The following table discloses the total salary for senior employees of the department, categorised by classification. The salary amount is reported as the full-time annualised salary.</w:t>
      </w:r>
    </w:p>
    <w:p w14:paraId="2144CB94" w14:textId="6A0896C5" w:rsidR="005E2BB1" w:rsidRPr="00F45F11" w:rsidRDefault="005E2BB1" w:rsidP="00FA2A9E">
      <w:pPr>
        <w:pStyle w:val="ARTablecaption"/>
      </w:pPr>
      <w:r w:rsidRPr="00F45F11">
        <w:t xml:space="preserve">Table 2: Annualised total salary, by $20,000 bands, for executives and other senior </w:t>
      </w:r>
      <w:r w:rsidRPr="00F45F11">
        <w:br/>
        <w:t xml:space="preserve">non-executive staff </w:t>
      </w:r>
    </w:p>
    <w:tbl>
      <w:tblPr>
        <w:tblStyle w:val="ARtable1"/>
        <w:tblW w:w="5000" w:type="pct"/>
        <w:tblLook w:val="00E0" w:firstRow="1" w:lastRow="1" w:firstColumn="1" w:lastColumn="0" w:noHBand="0" w:noVBand="0"/>
      </w:tblPr>
      <w:tblGrid>
        <w:gridCol w:w="3119"/>
        <w:gridCol w:w="2042"/>
        <w:gridCol w:w="2244"/>
        <w:gridCol w:w="2217"/>
      </w:tblGrid>
      <w:tr w:rsidR="005E2BB1" w:rsidRPr="00F45F11" w14:paraId="617BEBEA" w14:textId="77777777" w:rsidTr="0072004C">
        <w:trPr>
          <w:cnfStyle w:val="100000000000" w:firstRow="1" w:lastRow="0" w:firstColumn="0" w:lastColumn="0" w:oddVBand="0" w:evenVBand="0" w:oddHBand="0" w:evenHBand="0" w:firstRowFirstColumn="0" w:firstRowLastColumn="0" w:lastRowFirstColumn="0" w:lastRowLastColumn="0"/>
          <w:trHeight w:val="20"/>
          <w:tblHeader/>
        </w:trPr>
        <w:tc>
          <w:tcPr>
            <w:tcW w:w="1621" w:type="pct"/>
            <w:hideMark/>
          </w:tcPr>
          <w:p w14:paraId="6742B7EB" w14:textId="77777777" w:rsidR="005E2BB1" w:rsidRPr="00F45F11" w:rsidRDefault="005E2BB1" w:rsidP="0072004C">
            <w:pPr>
              <w:pStyle w:val="ARtablecolhead"/>
              <w:rPr>
                <w:lang w:eastAsia="en-AU"/>
              </w:rPr>
            </w:pPr>
            <w:r w:rsidRPr="00F45F11">
              <w:rPr>
                <w:lang w:eastAsia="en-AU"/>
              </w:rPr>
              <w:t>Income band (salary)</w:t>
            </w:r>
          </w:p>
        </w:tc>
        <w:tc>
          <w:tcPr>
            <w:cnfStyle w:val="000001000000" w:firstRow="0" w:lastRow="0" w:firstColumn="0" w:lastColumn="0" w:oddVBand="0" w:evenVBand="1" w:oddHBand="0" w:evenHBand="0" w:firstRowFirstColumn="0" w:firstRowLastColumn="0" w:lastRowFirstColumn="0" w:lastRowLastColumn="0"/>
            <w:tcW w:w="1061" w:type="pct"/>
            <w:hideMark/>
          </w:tcPr>
          <w:p w14:paraId="05969355" w14:textId="77777777" w:rsidR="005E2BB1" w:rsidRPr="00F45F11" w:rsidRDefault="005E2BB1" w:rsidP="0072004C">
            <w:pPr>
              <w:pStyle w:val="ARtablecolheadright"/>
              <w:rPr>
                <w:lang w:eastAsia="en-AU"/>
              </w:rPr>
            </w:pPr>
            <w:r w:rsidRPr="00F45F11">
              <w:rPr>
                <w:lang w:eastAsia="en-AU"/>
              </w:rPr>
              <w:t>Executives</w:t>
            </w:r>
          </w:p>
        </w:tc>
        <w:tc>
          <w:tcPr>
            <w:tcW w:w="1166" w:type="pct"/>
            <w:hideMark/>
          </w:tcPr>
          <w:p w14:paraId="7C9ED900" w14:textId="77777777" w:rsidR="005E2BB1" w:rsidRPr="00F45F11" w:rsidRDefault="005E2BB1" w:rsidP="0072004C">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F45F11">
              <w:rPr>
                <w:lang w:eastAsia="en-AU"/>
              </w:rPr>
              <w:t>STS</w:t>
            </w:r>
          </w:p>
        </w:tc>
        <w:tc>
          <w:tcPr>
            <w:cnfStyle w:val="000001000000" w:firstRow="0" w:lastRow="0" w:firstColumn="0" w:lastColumn="0" w:oddVBand="0" w:evenVBand="1" w:oddHBand="0" w:evenHBand="0" w:firstRowFirstColumn="0" w:firstRowLastColumn="0" w:lastRowFirstColumn="0" w:lastRowLastColumn="0"/>
            <w:tcW w:w="1152" w:type="pct"/>
            <w:hideMark/>
          </w:tcPr>
          <w:p w14:paraId="74F7CCE2" w14:textId="77777777" w:rsidR="005E2BB1" w:rsidRPr="00F45F11" w:rsidRDefault="005E2BB1" w:rsidP="0072004C">
            <w:pPr>
              <w:pStyle w:val="ARtablecolheadright"/>
              <w:rPr>
                <w:lang w:eastAsia="en-AU"/>
              </w:rPr>
            </w:pPr>
            <w:r w:rsidRPr="00F45F11">
              <w:rPr>
                <w:lang w:eastAsia="en-AU"/>
              </w:rPr>
              <w:t>SMA</w:t>
            </w:r>
          </w:p>
        </w:tc>
      </w:tr>
      <w:tr w:rsidR="005E2BB1" w:rsidRPr="00F45F11" w14:paraId="51E9806B" w14:textId="77777777" w:rsidTr="0072004C">
        <w:trPr>
          <w:cnfStyle w:val="000000100000" w:firstRow="0" w:lastRow="0" w:firstColumn="0" w:lastColumn="0" w:oddVBand="0" w:evenVBand="0" w:oddHBand="1" w:evenHBand="0" w:firstRowFirstColumn="0" w:firstRowLastColumn="0" w:lastRowFirstColumn="0" w:lastRowLastColumn="0"/>
          <w:trHeight w:val="20"/>
        </w:trPr>
        <w:tc>
          <w:tcPr>
            <w:tcW w:w="1621" w:type="pct"/>
            <w:hideMark/>
          </w:tcPr>
          <w:p w14:paraId="6A166CE9" w14:textId="77777777" w:rsidR="005E2BB1" w:rsidRPr="00F45F11" w:rsidRDefault="005E2BB1" w:rsidP="0072004C">
            <w:pPr>
              <w:pStyle w:val="ARTabletext"/>
              <w:rPr>
                <w:lang w:eastAsia="en-AU"/>
              </w:rPr>
            </w:pPr>
            <w:r w:rsidRPr="00F45F11">
              <w:rPr>
                <w:lang w:eastAsia="en-AU"/>
              </w:rPr>
              <w:t>$160,000–$179,999</w:t>
            </w:r>
          </w:p>
        </w:tc>
        <w:tc>
          <w:tcPr>
            <w:cnfStyle w:val="000001000000" w:firstRow="0" w:lastRow="0" w:firstColumn="0" w:lastColumn="0" w:oddVBand="0" w:evenVBand="1" w:oddHBand="0" w:evenHBand="0" w:firstRowFirstColumn="0" w:firstRowLastColumn="0" w:lastRowFirstColumn="0" w:lastRowLastColumn="0"/>
            <w:tcW w:w="1061" w:type="pct"/>
            <w:hideMark/>
          </w:tcPr>
          <w:p w14:paraId="795D1EFA" w14:textId="77777777" w:rsidR="005E2BB1" w:rsidRPr="00F45F11" w:rsidRDefault="005E2BB1" w:rsidP="0072004C">
            <w:pPr>
              <w:pStyle w:val="ARtabletextright"/>
            </w:pPr>
            <w:r w:rsidRPr="00F45F11">
              <w:t>0</w:t>
            </w:r>
          </w:p>
        </w:tc>
        <w:tc>
          <w:tcPr>
            <w:tcW w:w="1166" w:type="pct"/>
            <w:hideMark/>
          </w:tcPr>
          <w:p w14:paraId="047A5216" w14:textId="77777777" w:rsidR="005E2BB1" w:rsidRPr="00F45F11" w:rsidRDefault="005E2BB1" w:rsidP="0072004C">
            <w:pPr>
              <w:pStyle w:val="ARtabletextright"/>
              <w:cnfStyle w:val="000000100000" w:firstRow="0" w:lastRow="0" w:firstColumn="0" w:lastColumn="0" w:oddVBand="0" w:evenVBand="0" w:oddHBand="1" w:evenHBand="0" w:firstRowFirstColumn="0" w:firstRowLastColumn="0" w:lastRowFirstColumn="0" w:lastRowLastColumn="0"/>
            </w:pPr>
            <w:r w:rsidRPr="00F45F11">
              <w:t>0</w:t>
            </w:r>
          </w:p>
        </w:tc>
        <w:tc>
          <w:tcPr>
            <w:cnfStyle w:val="000001000000" w:firstRow="0" w:lastRow="0" w:firstColumn="0" w:lastColumn="0" w:oddVBand="0" w:evenVBand="1" w:oddHBand="0" w:evenHBand="0" w:firstRowFirstColumn="0" w:firstRowLastColumn="0" w:lastRowFirstColumn="0" w:lastRowLastColumn="0"/>
            <w:tcW w:w="1152" w:type="pct"/>
            <w:hideMark/>
          </w:tcPr>
          <w:p w14:paraId="63ABD3CE" w14:textId="77777777" w:rsidR="005E2BB1" w:rsidRPr="00F45F11" w:rsidRDefault="005E2BB1" w:rsidP="0072004C">
            <w:pPr>
              <w:pStyle w:val="ARtabletextright"/>
            </w:pPr>
            <w:r w:rsidRPr="00F45F11">
              <w:t>0</w:t>
            </w:r>
          </w:p>
        </w:tc>
      </w:tr>
      <w:tr w:rsidR="005E2BB1" w:rsidRPr="00F45F11" w14:paraId="1FD5AA27" w14:textId="77777777" w:rsidTr="0072004C">
        <w:trPr>
          <w:cnfStyle w:val="000000010000" w:firstRow="0" w:lastRow="0" w:firstColumn="0" w:lastColumn="0" w:oddVBand="0" w:evenVBand="0" w:oddHBand="0" w:evenHBand="1" w:firstRowFirstColumn="0" w:firstRowLastColumn="0" w:lastRowFirstColumn="0" w:lastRowLastColumn="0"/>
          <w:trHeight w:val="20"/>
        </w:trPr>
        <w:tc>
          <w:tcPr>
            <w:tcW w:w="1621" w:type="pct"/>
            <w:hideMark/>
          </w:tcPr>
          <w:p w14:paraId="05F06902" w14:textId="77777777" w:rsidR="005E2BB1" w:rsidRPr="00F45F11" w:rsidRDefault="005E2BB1" w:rsidP="0072004C">
            <w:pPr>
              <w:pStyle w:val="ARTabletext"/>
              <w:rPr>
                <w:lang w:eastAsia="en-AU"/>
              </w:rPr>
            </w:pPr>
            <w:r w:rsidRPr="00F45F11">
              <w:rPr>
                <w:lang w:eastAsia="en-AU"/>
              </w:rPr>
              <w:t>$180,000–$199,999</w:t>
            </w:r>
          </w:p>
        </w:tc>
        <w:tc>
          <w:tcPr>
            <w:cnfStyle w:val="000001000000" w:firstRow="0" w:lastRow="0" w:firstColumn="0" w:lastColumn="0" w:oddVBand="0" w:evenVBand="1" w:oddHBand="0" w:evenHBand="0" w:firstRowFirstColumn="0" w:firstRowLastColumn="0" w:lastRowFirstColumn="0" w:lastRowLastColumn="0"/>
            <w:tcW w:w="1061" w:type="pct"/>
            <w:hideMark/>
          </w:tcPr>
          <w:p w14:paraId="72F926EC" w14:textId="77777777" w:rsidR="005E2BB1" w:rsidRPr="00F45F11" w:rsidRDefault="005E2BB1" w:rsidP="0072004C">
            <w:pPr>
              <w:pStyle w:val="ARtabletextright"/>
            </w:pPr>
            <w:r w:rsidRPr="00F45F11">
              <w:t>0</w:t>
            </w:r>
          </w:p>
        </w:tc>
        <w:tc>
          <w:tcPr>
            <w:tcW w:w="1166" w:type="pct"/>
            <w:hideMark/>
          </w:tcPr>
          <w:p w14:paraId="5B572A96" w14:textId="77777777" w:rsidR="005E2BB1" w:rsidRPr="00F45F11" w:rsidRDefault="005E2BB1" w:rsidP="0072004C">
            <w:pPr>
              <w:pStyle w:val="ARtabletextright"/>
              <w:cnfStyle w:val="000000010000" w:firstRow="0" w:lastRow="0" w:firstColumn="0" w:lastColumn="0" w:oddVBand="0" w:evenVBand="0" w:oddHBand="0" w:evenHBand="1" w:firstRowFirstColumn="0" w:firstRowLastColumn="0" w:lastRowFirstColumn="0" w:lastRowLastColumn="0"/>
            </w:pPr>
            <w:r w:rsidRPr="00F45F11">
              <w:t>1</w:t>
            </w:r>
          </w:p>
        </w:tc>
        <w:tc>
          <w:tcPr>
            <w:cnfStyle w:val="000001000000" w:firstRow="0" w:lastRow="0" w:firstColumn="0" w:lastColumn="0" w:oddVBand="0" w:evenVBand="1" w:oddHBand="0" w:evenHBand="0" w:firstRowFirstColumn="0" w:firstRowLastColumn="0" w:lastRowFirstColumn="0" w:lastRowLastColumn="0"/>
            <w:tcW w:w="1152" w:type="pct"/>
            <w:hideMark/>
          </w:tcPr>
          <w:p w14:paraId="3A09AA43" w14:textId="77777777" w:rsidR="005E2BB1" w:rsidRPr="00F45F11" w:rsidRDefault="005E2BB1" w:rsidP="0072004C">
            <w:pPr>
              <w:pStyle w:val="ARtabletextright"/>
            </w:pPr>
            <w:r w:rsidRPr="00F45F11">
              <w:t>0</w:t>
            </w:r>
          </w:p>
        </w:tc>
      </w:tr>
      <w:tr w:rsidR="005E2BB1" w:rsidRPr="00F45F11" w14:paraId="5AA06FA1" w14:textId="77777777" w:rsidTr="0072004C">
        <w:trPr>
          <w:cnfStyle w:val="000000100000" w:firstRow="0" w:lastRow="0" w:firstColumn="0" w:lastColumn="0" w:oddVBand="0" w:evenVBand="0" w:oddHBand="1" w:evenHBand="0" w:firstRowFirstColumn="0" w:firstRowLastColumn="0" w:lastRowFirstColumn="0" w:lastRowLastColumn="0"/>
          <w:trHeight w:val="20"/>
        </w:trPr>
        <w:tc>
          <w:tcPr>
            <w:tcW w:w="1621" w:type="pct"/>
            <w:hideMark/>
          </w:tcPr>
          <w:p w14:paraId="62ED5D87" w14:textId="77777777" w:rsidR="005E2BB1" w:rsidRPr="00F45F11" w:rsidRDefault="005E2BB1" w:rsidP="0072004C">
            <w:pPr>
              <w:pStyle w:val="ARTabletext"/>
              <w:rPr>
                <w:lang w:eastAsia="en-AU"/>
              </w:rPr>
            </w:pPr>
            <w:r w:rsidRPr="00F45F11">
              <w:rPr>
                <w:lang w:eastAsia="en-AU"/>
              </w:rPr>
              <w:t>$200,000–$219,999</w:t>
            </w:r>
          </w:p>
        </w:tc>
        <w:tc>
          <w:tcPr>
            <w:cnfStyle w:val="000001000000" w:firstRow="0" w:lastRow="0" w:firstColumn="0" w:lastColumn="0" w:oddVBand="0" w:evenVBand="1" w:oddHBand="0" w:evenHBand="0" w:firstRowFirstColumn="0" w:firstRowLastColumn="0" w:lastRowFirstColumn="0" w:lastRowLastColumn="0"/>
            <w:tcW w:w="1061" w:type="pct"/>
            <w:hideMark/>
          </w:tcPr>
          <w:p w14:paraId="4729E932" w14:textId="77777777" w:rsidR="005E2BB1" w:rsidRPr="00F45F11" w:rsidRDefault="005E2BB1" w:rsidP="0072004C">
            <w:pPr>
              <w:pStyle w:val="ARtabletextright"/>
            </w:pPr>
            <w:r w:rsidRPr="00F45F11">
              <w:t>0</w:t>
            </w:r>
          </w:p>
        </w:tc>
        <w:tc>
          <w:tcPr>
            <w:tcW w:w="1166" w:type="pct"/>
            <w:hideMark/>
          </w:tcPr>
          <w:p w14:paraId="2DE4053F" w14:textId="77777777" w:rsidR="005E2BB1" w:rsidRPr="00F45F11" w:rsidRDefault="005E2BB1" w:rsidP="0072004C">
            <w:pPr>
              <w:pStyle w:val="ARtabletextright"/>
              <w:cnfStyle w:val="000000100000" w:firstRow="0" w:lastRow="0" w:firstColumn="0" w:lastColumn="0" w:oddVBand="0" w:evenVBand="0" w:oddHBand="1" w:evenHBand="0" w:firstRowFirstColumn="0" w:firstRowLastColumn="0" w:lastRowFirstColumn="0" w:lastRowLastColumn="0"/>
            </w:pPr>
            <w:r w:rsidRPr="00F45F11">
              <w:t>10</w:t>
            </w:r>
          </w:p>
        </w:tc>
        <w:tc>
          <w:tcPr>
            <w:cnfStyle w:val="000001000000" w:firstRow="0" w:lastRow="0" w:firstColumn="0" w:lastColumn="0" w:oddVBand="0" w:evenVBand="1" w:oddHBand="0" w:evenHBand="0" w:firstRowFirstColumn="0" w:firstRowLastColumn="0" w:lastRowFirstColumn="0" w:lastRowLastColumn="0"/>
            <w:tcW w:w="1152" w:type="pct"/>
            <w:hideMark/>
          </w:tcPr>
          <w:p w14:paraId="1FAA12D0" w14:textId="77777777" w:rsidR="005E2BB1" w:rsidRPr="00F45F11" w:rsidRDefault="005E2BB1" w:rsidP="0072004C">
            <w:pPr>
              <w:pStyle w:val="ARtabletextright"/>
            </w:pPr>
            <w:r w:rsidRPr="00F45F11">
              <w:t>0</w:t>
            </w:r>
          </w:p>
        </w:tc>
      </w:tr>
      <w:tr w:rsidR="005E2BB1" w:rsidRPr="00F45F11" w14:paraId="62F38B07" w14:textId="77777777" w:rsidTr="0072004C">
        <w:trPr>
          <w:cnfStyle w:val="000000010000" w:firstRow="0" w:lastRow="0" w:firstColumn="0" w:lastColumn="0" w:oddVBand="0" w:evenVBand="0" w:oddHBand="0" w:evenHBand="1" w:firstRowFirstColumn="0" w:firstRowLastColumn="0" w:lastRowFirstColumn="0" w:lastRowLastColumn="0"/>
          <w:trHeight w:val="20"/>
        </w:trPr>
        <w:tc>
          <w:tcPr>
            <w:tcW w:w="1621" w:type="pct"/>
            <w:hideMark/>
          </w:tcPr>
          <w:p w14:paraId="57E76AEC" w14:textId="77777777" w:rsidR="005E2BB1" w:rsidRPr="00F45F11" w:rsidRDefault="005E2BB1" w:rsidP="0072004C">
            <w:pPr>
              <w:pStyle w:val="ARTabletext"/>
              <w:rPr>
                <w:lang w:eastAsia="en-AU"/>
              </w:rPr>
            </w:pPr>
            <w:r w:rsidRPr="00F45F11">
              <w:rPr>
                <w:lang w:eastAsia="en-AU"/>
              </w:rPr>
              <w:t>$220,000–$239,999</w:t>
            </w:r>
          </w:p>
        </w:tc>
        <w:tc>
          <w:tcPr>
            <w:cnfStyle w:val="000001000000" w:firstRow="0" w:lastRow="0" w:firstColumn="0" w:lastColumn="0" w:oddVBand="0" w:evenVBand="1" w:oddHBand="0" w:evenHBand="0" w:firstRowFirstColumn="0" w:firstRowLastColumn="0" w:lastRowFirstColumn="0" w:lastRowLastColumn="0"/>
            <w:tcW w:w="1061" w:type="pct"/>
            <w:hideMark/>
          </w:tcPr>
          <w:p w14:paraId="63FDCE1A" w14:textId="77777777" w:rsidR="005E2BB1" w:rsidRPr="00F45F11" w:rsidRDefault="005E2BB1" w:rsidP="0072004C">
            <w:pPr>
              <w:pStyle w:val="ARtabletextright"/>
            </w:pPr>
            <w:r w:rsidRPr="00F45F11">
              <w:t>59</w:t>
            </w:r>
          </w:p>
        </w:tc>
        <w:tc>
          <w:tcPr>
            <w:tcW w:w="1166" w:type="pct"/>
            <w:hideMark/>
          </w:tcPr>
          <w:p w14:paraId="1AD8AAA4" w14:textId="77777777" w:rsidR="005E2BB1" w:rsidRPr="00F45F11" w:rsidRDefault="005E2BB1" w:rsidP="0072004C">
            <w:pPr>
              <w:pStyle w:val="ARtabletextright"/>
              <w:cnfStyle w:val="000000010000" w:firstRow="0" w:lastRow="0" w:firstColumn="0" w:lastColumn="0" w:oddVBand="0" w:evenVBand="0" w:oddHBand="0" w:evenHBand="1" w:firstRowFirstColumn="0" w:firstRowLastColumn="0" w:lastRowFirstColumn="0" w:lastRowLastColumn="0"/>
            </w:pPr>
            <w:r w:rsidRPr="00F45F11">
              <w:t>5</w:t>
            </w:r>
          </w:p>
        </w:tc>
        <w:tc>
          <w:tcPr>
            <w:cnfStyle w:val="000001000000" w:firstRow="0" w:lastRow="0" w:firstColumn="0" w:lastColumn="0" w:oddVBand="0" w:evenVBand="1" w:oddHBand="0" w:evenHBand="0" w:firstRowFirstColumn="0" w:firstRowLastColumn="0" w:lastRowFirstColumn="0" w:lastRowLastColumn="0"/>
            <w:tcW w:w="1152" w:type="pct"/>
            <w:hideMark/>
          </w:tcPr>
          <w:p w14:paraId="05171E56" w14:textId="77777777" w:rsidR="005E2BB1" w:rsidRPr="00F45F11" w:rsidRDefault="005E2BB1" w:rsidP="0072004C">
            <w:pPr>
              <w:pStyle w:val="ARtabletextright"/>
            </w:pPr>
            <w:r w:rsidRPr="00F45F11">
              <w:t>0</w:t>
            </w:r>
          </w:p>
        </w:tc>
      </w:tr>
      <w:tr w:rsidR="005E2BB1" w:rsidRPr="00F45F11" w14:paraId="49B9767A" w14:textId="77777777" w:rsidTr="0072004C">
        <w:trPr>
          <w:cnfStyle w:val="000000100000" w:firstRow="0" w:lastRow="0" w:firstColumn="0" w:lastColumn="0" w:oddVBand="0" w:evenVBand="0" w:oddHBand="1" w:evenHBand="0" w:firstRowFirstColumn="0" w:firstRowLastColumn="0" w:lastRowFirstColumn="0" w:lastRowLastColumn="0"/>
          <w:trHeight w:val="20"/>
        </w:trPr>
        <w:tc>
          <w:tcPr>
            <w:tcW w:w="1621" w:type="pct"/>
            <w:hideMark/>
          </w:tcPr>
          <w:p w14:paraId="342977D1" w14:textId="77777777" w:rsidR="005E2BB1" w:rsidRPr="00F45F11" w:rsidRDefault="005E2BB1" w:rsidP="0072004C">
            <w:pPr>
              <w:pStyle w:val="ARTabletext"/>
              <w:rPr>
                <w:lang w:eastAsia="en-AU"/>
              </w:rPr>
            </w:pPr>
            <w:r w:rsidRPr="00F45F11">
              <w:rPr>
                <w:lang w:eastAsia="en-AU"/>
              </w:rPr>
              <w:t>$240,000–$259,999</w:t>
            </w:r>
          </w:p>
        </w:tc>
        <w:tc>
          <w:tcPr>
            <w:cnfStyle w:val="000001000000" w:firstRow="0" w:lastRow="0" w:firstColumn="0" w:lastColumn="0" w:oddVBand="0" w:evenVBand="1" w:oddHBand="0" w:evenHBand="0" w:firstRowFirstColumn="0" w:firstRowLastColumn="0" w:lastRowFirstColumn="0" w:lastRowLastColumn="0"/>
            <w:tcW w:w="1061" w:type="pct"/>
            <w:hideMark/>
          </w:tcPr>
          <w:p w14:paraId="35E65276" w14:textId="77777777" w:rsidR="005E2BB1" w:rsidRPr="00F45F11" w:rsidRDefault="005E2BB1" w:rsidP="0072004C">
            <w:pPr>
              <w:pStyle w:val="ARtabletextright"/>
            </w:pPr>
            <w:r w:rsidRPr="00F45F11">
              <w:t>28</w:t>
            </w:r>
          </w:p>
        </w:tc>
        <w:tc>
          <w:tcPr>
            <w:tcW w:w="1166" w:type="pct"/>
            <w:hideMark/>
          </w:tcPr>
          <w:p w14:paraId="5FF641EC" w14:textId="77777777" w:rsidR="005E2BB1" w:rsidRPr="00F45F11" w:rsidRDefault="005E2BB1" w:rsidP="0072004C">
            <w:pPr>
              <w:pStyle w:val="ARtabletextright"/>
              <w:cnfStyle w:val="000000100000" w:firstRow="0" w:lastRow="0" w:firstColumn="0" w:lastColumn="0" w:oddVBand="0" w:evenVBand="0" w:oddHBand="1" w:evenHBand="0" w:firstRowFirstColumn="0" w:firstRowLastColumn="0" w:lastRowFirstColumn="0" w:lastRowLastColumn="0"/>
            </w:pPr>
            <w:r w:rsidRPr="00F45F11">
              <w:t>2</w:t>
            </w:r>
          </w:p>
        </w:tc>
        <w:tc>
          <w:tcPr>
            <w:cnfStyle w:val="000001000000" w:firstRow="0" w:lastRow="0" w:firstColumn="0" w:lastColumn="0" w:oddVBand="0" w:evenVBand="1" w:oddHBand="0" w:evenHBand="0" w:firstRowFirstColumn="0" w:firstRowLastColumn="0" w:lastRowFirstColumn="0" w:lastRowLastColumn="0"/>
            <w:tcW w:w="1152" w:type="pct"/>
            <w:hideMark/>
          </w:tcPr>
          <w:p w14:paraId="054BD866" w14:textId="77777777" w:rsidR="005E2BB1" w:rsidRPr="00F45F11" w:rsidRDefault="005E2BB1" w:rsidP="0072004C">
            <w:pPr>
              <w:pStyle w:val="ARtabletextright"/>
            </w:pPr>
            <w:r w:rsidRPr="00F45F11">
              <w:t>0</w:t>
            </w:r>
          </w:p>
        </w:tc>
      </w:tr>
      <w:tr w:rsidR="005E2BB1" w:rsidRPr="00F45F11" w14:paraId="54BCCC50" w14:textId="77777777" w:rsidTr="0072004C">
        <w:trPr>
          <w:cnfStyle w:val="000000010000" w:firstRow="0" w:lastRow="0" w:firstColumn="0" w:lastColumn="0" w:oddVBand="0" w:evenVBand="0" w:oddHBand="0" w:evenHBand="1" w:firstRowFirstColumn="0" w:firstRowLastColumn="0" w:lastRowFirstColumn="0" w:lastRowLastColumn="0"/>
          <w:trHeight w:val="20"/>
        </w:trPr>
        <w:tc>
          <w:tcPr>
            <w:tcW w:w="1621" w:type="pct"/>
            <w:hideMark/>
          </w:tcPr>
          <w:p w14:paraId="6B0313B7" w14:textId="77777777" w:rsidR="005E2BB1" w:rsidRPr="00F45F11" w:rsidRDefault="005E2BB1" w:rsidP="0072004C">
            <w:pPr>
              <w:pStyle w:val="ARTabletext"/>
              <w:rPr>
                <w:lang w:eastAsia="en-AU"/>
              </w:rPr>
            </w:pPr>
            <w:r w:rsidRPr="00F45F11">
              <w:rPr>
                <w:lang w:eastAsia="en-AU"/>
              </w:rPr>
              <w:t>$260,000–$279,999</w:t>
            </w:r>
          </w:p>
        </w:tc>
        <w:tc>
          <w:tcPr>
            <w:cnfStyle w:val="000001000000" w:firstRow="0" w:lastRow="0" w:firstColumn="0" w:lastColumn="0" w:oddVBand="0" w:evenVBand="1" w:oddHBand="0" w:evenHBand="0" w:firstRowFirstColumn="0" w:firstRowLastColumn="0" w:lastRowFirstColumn="0" w:lastRowLastColumn="0"/>
            <w:tcW w:w="1061" w:type="pct"/>
            <w:hideMark/>
          </w:tcPr>
          <w:p w14:paraId="701834CF" w14:textId="77777777" w:rsidR="005E2BB1" w:rsidRPr="00F45F11" w:rsidRDefault="005E2BB1" w:rsidP="0072004C">
            <w:pPr>
              <w:pStyle w:val="ARtabletextright"/>
            </w:pPr>
            <w:r w:rsidRPr="00F45F11">
              <w:t>14</w:t>
            </w:r>
          </w:p>
        </w:tc>
        <w:tc>
          <w:tcPr>
            <w:tcW w:w="1166" w:type="pct"/>
            <w:hideMark/>
          </w:tcPr>
          <w:p w14:paraId="6BAEE79A" w14:textId="77777777" w:rsidR="005E2BB1" w:rsidRPr="00F45F11" w:rsidRDefault="005E2BB1" w:rsidP="0072004C">
            <w:pPr>
              <w:pStyle w:val="ARtabletextright"/>
              <w:cnfStyle w:val="000000010000" w:firstRow="0" w:lastRow="0" w:firstColumn="0" w:lastColumn="0" w:oddVBand="0" w:evenVBand="0" w:oddHBand="0" w:evenHBand="1" w:firstRowFirstColumn="0" w:firstRowLastColumn="0" w:lastRowFirstColumn="0" w:lastRowLastColumn="0"/>
            </w:pPr>
            <w:r w:rsidRPr="00F45F11">
              <w:t>2</w:t>
            </w:r>
          </w:p>
        </w:tc>
        <w:tc>
          <w:tcPr>
            <w:cnfStyle w:val="000001000000" w:firstRow="0" w:lastRow="0" w:firstColumn="0" w:lastColumn="0" w:oddVBand="0" w:evenVBand="1" w:oddHBand="0" w:evenHBand="0" w:firstRowFirstColumn="0" w:firstRowLastColumn="0" w:lastRowFirstColumn="0" w:lastRowLastColumn="0"/>
            <w:tcW w:w="1152" w:type="pct"/>
            <w:hideMark/>
          </w:tcPr>
          <w:p w14:paraId="2FF7E945" w14:textId="77777777" w:rsidR="005E2BB1" w:rsidRPr="00F45F11" w:rsidRDefault="005E2BB1" w:rsidP="0072004C">
            <w:pPr>
              <w:pStyle w:val="ARtabletextright"/>
            </w:pPr>
            <w:r w:rsidRPr="00F45F11">
              <w:t>0</w:t>
            </w:r>
          </w:p>
        </w:tc>
      </w:tr>
      <w:tr w:rsidR="005E2BB1" w:rsidRPr="00F45F11" w14:paraId="15D2E8C4" w14:textId="77777777" w:rsidTr="0072004C">
        <w:trPr>
          <w:cnfStyle w:val="000000100000" w:firstRow="0" w:lastRow="0" w:firstColumn="0" w:lastColumn="0" w:oddVBand="0" w:evenVBand="0" w:oddHBand="1" w:evenHBand="0" w:firstRowFirstColumn="0" w:firstRowLastColumn="0" w:lastRowFirstColumn="0" w:lastRowLastColumn="0"/>
          <w:trHeight w:val="20"/>
        </w:trPr>
        <w:tc>
          <w:tcPr>
            <w:tcW w:w="1621" w:type="pct"/>
            <w:hideMark/>
          </w:tcPr>
          <w:p w14:paraId="69F70781" w14:textId="77777777" w:rsidR="005E2BB1" w:rsidRPr="00F45F11" w:rsidRDefault="005E2BB1" w:rsidP="0072004C">
            <w:pPr>
              <w:pStyle w:val="ARTabletext"/>
              <w:rPr>
                <w:lang w:eastAsia="en-AU"/>
              </w:rPr>
            </w:pPr>
            <w:r w:rsidRPr="00F45F11">
              <w:rPr>
                <w:lang w:eastAsia="en-AU"/>
              </w:rPr>
              <w:t>$280,000–$299,999</w:t>
            </w:r>
          </w:p>
        </w:tc>
        <w:tc>
          <w:tcPr>
            <w:cnfStyle w:val="000001000000" w:firstRow="0" w:lastRow="0" w:firstColumn="0" w:lastColumn="0" w:oddVBand="0" w:evenVBand="1" w:oddHBand="0" w:evenHBand="0" w:firstRowFirstColumn="0" w:firstRowLastColumn="0" w:lastRowFirstColumn="0" w:lastRowLastColumn="0"/>
            <w:tcW w:w="1061" w:type="pct"/>
            <w:hideMark/>
          </w:tcPr>
          <w:p w14:paraId="44E7D606" w14:textId="77777777" w:rsidR="005E2BB1" w:rsidRPr="00F45F11" w:rsidRDefault="005E2BB1" w:rsidP="0072004C">
            <w:pPr>
              <w:pStyle w:val="ARtabletextright"/>
            </w:pPr>
            <w:r w:rsidRPr="00F45F11">
              <w:t>28</w:t>
            </w:r>
          </w:p>
        </w:tc>
        <w:tc>
          <w:tcPr>
            <w:tcW w:w="1166" w:type="pct"/>
            <w:hideMark/>
          </w:tcPr>
          <w:p w14:paraId="0D0A8F2E" w14:textId="77777777" w:rsidR="005E2BB1" w:rsidRPr="00F45F11" w:rsidRDefault="005E2BB1" w:rsidP="0072004C">
            <w:pPr>
              <w:pStyle w:val="ARtabletextright"/>
              <w:cnfStyle w:val="000000100000" w:firstRow="0" w:lastRow="0" w:firstColumn="0" w:lastColumn="0" w:oddVBand="0" w:evenVBand="0" w:oddHBand="1" w:evenHBand="0" w:firstRowFirstColumn="0" w:firstRowLastColumn="0" w:lastRowFirstColumn="0" w:lastRowLastColumn="0"/>
            </w:pPr>
            <w:r w:rsidRPr="00F45F11">
              <w:t>0</w:t>
            </w:r>
          </w:p>
        </w:tc>
        <w:tc>
          <w:tcPr>
            <w:cnfStyle w:val="000001000000" w:firstRow="0" w:lastRow="0" w:firstColumn="0" w:lastColumn="0" w:oddVBand="0" w:evenVBand="1" w:oddHBand="0" w:evenHBand="0" w:firstRowFirstColumn="0" w:firstRowLastColumn="0" w:lastRowFirstColumn="0" w:lastRowLastColumn="0"/>
            <w:tcW w:w="1152" w:type="pct"/>
            <w:hideMark/>
          </w:tcPr>
          <w:p w14:paraId="692399DF" w14:textId="77777777" w:rsidR="005E2BB1" w:rsidRPr="00F45F11" w:rsidRDefault="005E2BB1" w:rsidP="0072004C">
            <w:pPr>
              <w:pStyle w:val="ARtabletextright"/>
            </w:pPr>
            <w:r w:rsidRPr="00F45F11">
              <w:t>0</w:t>
            </w:r>
          </w:p>
        </w:tc>
      </w:tr>
      <w:tr w:rsidR="005E2BB1" w:rsidRPr="00F45F11" w14:paraId="1D35BE36" w14:textId="77777777" w:rsidTr="0072004C">
        <w:trPr>
          <w:cnfStyle w:val="000000010000" w:firstRow="0" w:lastRow="0" w:firstColumn="0" w:lastColumn="0" w:oddVBand="0" w:evenVBand="0" w:oddHBand="0" w:evenHBand="1" w:firstRowFirstColumn="0" w:firstRowLastColumn="0" w:lastRowFirstColumn="0" w:lastRowLastColumn="0"/>
          <w:trHeight w:val="20"/>
        </w:trPr>
        <w:tc>
          <w:tcPr>
            <w:tcW w:w="1621" w:type="pct"/>
            <w:hideMark/>
          </w:tcPr>
          <w:p w14:paraId="57385821" w14:textId="77777777" w:rsidR="005E2BB1" w:rsidRPr="00F45F11" w:rsidRDefault="005E2BB1" w:rsidP="0072004C">
            <w:pPr>
              <w:pStyle w:val="ARTabletext"/>
              <w:rPr>
                <w:lang w:eastAsia="en-AU"/>
              </w:rPr>
            </w:pPr>
            <w:r w:rsidRPr="00F45F11">
              <w:rPr>
                <w:lang w:eastAsia="en-AU"/>
              </w:rPr>
              <w:t>$300,000–$319,999</w:t>
            </w:r>
          </w:p>
        </w:tc>
        <w:tc>
          <w:tcPr>
            <w:cnfStyle w:val="000001000000" w:firstRow="0" w:lastRow="0" w:firstColumn="0" w:lastColumn="0" w:oddVBand="0" w:evenVBand="1" w:oddHBand="0" w:evenHBand="0" w:firstRowFirstColumn="0" w:firstRowLastColumn="0" w:lastRowFirstColumn="0" w:lastRowLastColumn="0"/>
            <w:tcW w:w="1061" w:type="pct"/>
            <w:hideMark/>
          </w:tcPr>
          <w:p w14:paraId="2799DB48" w14:textId="77777777" w:rsidR="005E2BB1" w:rsidRPr="00F45F11" w:rsidRDefault="005E2BB1" w:rsidP="0072004C">
            <w:pPr>
              <w:pStyle w:val="ARtabletextright"/>
            </w:pPr>
            <w:r w:rsidRPr="00F45F11">
              <w:t>16</w:t>
            </w:r>
          </w:p>
        </w:tc>
        <w:tc>
          <w:tcPr>
            <w:tcW w:w="1166" w:type="pct"/>
            <w:hideMark/>
          </w:tcPr>
          <w:p w14:paraId="547E2535" w14:textId="77777777" w:rsidR="005E2BB1" w:rsidRPr="00F45F11" w:rsidRDefault="005E2BB1" w:rsidP="0072004C">
            <w:pPr>
              <w:pStyle w:val="ARtabletextright"/>
              <w:cnfStyle w:val="000000010000" w:firstRow="0" w:lastRow="0" w:firstColumn="0" w:lastColumn="0" w:oddVBand="0" w:evenVBand="0" w:oddHBand="0" w:evenHBand="1" w:firstRowFirstColumn="0" w:firstRowLastColumn="0" w:lastRowFirstColumn="0" w:lastRowLastColumn="0"/>
            </w:pPr>
            <w:r w:rsidRPr="00F45F11">
              <w:t>0</w:t>
            </w:r>
          </w:p>
        </w:tc>
        <w:tc>
          <w:tcPr>
            <w:cnfStyle w:val="000001000000" w:firstRow="0" w:lastRow="0" w:firstColumn="0" w:lastColumn="0" w:oddVBand="0" w:evenVBand="1" w:oddHBand="0" w:evenHBand="0" w:firstRowFirstColumn="0" w:firstRowLastColumn="0" w:lastRowFirstColumn="0" w:lastRowLastColumn="0"/>
            <w:tcW w:w="1152" w:type="pct"/>
            <w:hideMark/>
          </w:tcPr>
          <w:p w14:paraId="06664A1C" w14:textId="77777777" w:rsidR="005E2BB1" w:rsidRPr="00F45F11" w:rsidRDefault="005E2BB1" w:rsidP="0072004C">
            <w:pPr>
              <w:pStyle w:val="ARtabletextright"/>
            </w:pPr>
            <w:r w:rsidRPr="00F45F11">
              <w:t>0</w:t>
            </w:r>
          </w:p>
        </w:tc>
      </w:tr>
      <w:tr w:rsidR="005E2BB1" w:rsidRPr="00F45F11" w14:paraId="1D42C37A" w14:textId="77777777" w:rsidTr="0072004C">
        <w:trPr>
          <w:cnfStyle w:val="000000100000" w:firstRow="0" w:lastRow="0" w:firstColumn="0" w:lastColumn="0" w:oddVBand="0" w:evenVBand="0" w:oddHBand="1" w:evenHBand="0" w:firstRowFirstColumn="0" w:firstRowLastColumn="0" w:lastRowFirstColumn="0" w:lastRowLastColumn="0"/>
          <w:trHeight w:val="20"/>
        </w:trPr>
        <w:tc>
          <w:tcPr>
            <w:tcW w:w="1621" w:type="pct"/>
            <w:hideMark/>
          </w:tcPr>
          <w:p w14:paraId="31CECD46" w14:textId="77777777" w:rsidR="005E2BB1" w:rsidRPr="00F45F11" w:rsidRDefault="005E2BB1" w:rsidP="0072004C">
            <w:pPr>
              <w:pStyle w:val="ARTabletext"/>
              <w:rPr>
                <w:lang w:eastAsia="en-AU"/>
              </w:rPr>
            </w:pPr>
            <w:r w:rsidRPr="00F45F11">
              <w:rPr>
                <w:lang w:eastAsia="en-AU"/>
              </w:rPr>
              <w:t>$320,000–$339,999</w:t>
            </w:r>
          </w:p>
        </w:tc>
        <w:tc>
          <w:tcPr>
            <w:cnfStyle w:val="000001000000" w:firstRow="0" w:lastRow="0" w:firstColumn="0" w:lastColumn="0" w:oddVBand="0" w:evenVBand="1" w:oddHBand="0" w:evenHBand="0" w:firstRowFirstColumn="0" w:firstRowLastColumn="0" w:lastRowFirstColumn="0" w:lastRowLastColumn="0"/>
            <w:tcW w:w="1061" w:type="pct"/>
            <w:hideMark/>
          </w:tcPr>
          <w:p w14:paraId="65A5BDFC" w14:textId="77777777" w:rsidR="005E2BB1" w:rsidRPr="00F45F11" w:rsidRDefault="005E2BB1" w:rsidP="0072004C">
            <w:pPr>
              <w:pStyle w:val="ARtabletextright"/>
            </w:pPr>
            <w:r w:rsidRPr="00F45F11">
              <w:t>8</w:t>
            </w:r>
          </w:p>
        </w:tc>
        <w:tc>
          <w:tcPr>
            <w:tcW w:w="1166" w:type="pct"/>
            <w:hideMark/>
          </w:tcPr>
          <w:p w14:paraId="2276584C" w14:textId="77777777" w:rsidR="005E2BB1" w:rsidRPr="00F45F11" w:rsidRDefault="005E2BB1" w:rsidP="0072004C">
            <w:pPr>
              <w:pStyle w:val="ARtabletextright"/>
              <w:cnfStyle w:val="000000100000" w:firstRow="0" w:lastRow="0" w:firstColumn="0" w:lastColumn="0" w:oddVBand="0" w:evenVBand="0" w:oddHBand="1" w:evenHBand="0" w:firstRowFirstColumn="0" w:firstRowLastColumn="0" w:lastRowFirstColumn="0" w:lastRowLastColumn="0"/>
            </w:pPr>
            <w:r w:rsidRPr="00F45F11">
              <w:t>0</w:t>
            </w:r>
          </w:p>
        </w:tc>
        <w:tc>
          <w:tcPr>
            <w:cnfStyle w:val="000001000000" w:firstRow="0" w:lastRow="0" w:firstColumn="0" w:lastColumn="0" w:oddVBand="0" w:evenVBand="1" w:oddHBand="0" w:evenHBand="0" w:firstRowFirstColumn="0" w:firstRowLastColumn="0" w:lastRowFirstColumn="0" w:lastRowLastColumn="0"/>
            <w:tcW w:w="1152" w:type="pct"/>
            <w:hideMark/>
          </w:tcPr>
          <w:p w14:paraId="312616BB" w14:textId="77777777" w:rsidR="005E2BB1" w:rsidRPr="00F45F11" w:rsidRDefault="005E2BB1" w:rsidP="0072004C">
            <w:pPr>
              <w:pStyle w:val="ARtabletextright"/>
            </w:pPr>
            <w:r w:rsidRPr="00F45F11">
              <w:t>0</w:t>
            </w:r>
          </w:p>
        </w:tc>
      </w:tr>
      <w:tr w:rsidR="005E2BB1" w:rsidRPr="00F45F11" w14:paraId="4D7EF126" w14:textId="77777777" w:rsidTr="0072004C">
        <w:trPr>
          <w:cnfStyle w:val="000000010000" w:firstRow="0" w:lastRow="0" w:firstColumn="0" w:lastColumn="0" w:oddVBand="0" w:evenVBand="0" w:oddHBand="0" w:evenHBand="1" w:firstRowFirstColumn="0" w:firstRowLastColumn="0" w:lastRowFirstColumn="0" w:lastRowLastColumn="0"/>
          <w:trHeight w:val="20"/>
        </w:trPr>
        <w:tc>
          <w:tcPr>
            <w:tcW w:w="1621" w:type="pct"/>
            <w:hideMark/>
          </w:tcPr>
          <w:p w14:paraId="2551D3FF" w14:textId="77777777" w:rsidR="005E2BB1" w:rsidRPr="00F45F11" w:rsidRDefault="005E2BB1" w:rsidP="0072004C">
            <w:pPr>
              <w:pStyle w:val="ARTabletext"/>
              <w:rPr>
                <w:lang w:eastAsia="en-AU"/>
              </w:rPr>
            </w:pPr>
            <w:r w:rsidRPr="00F45F11">
              <w:rPr>
                <w:lang w:eastAsia="en-AU"/>
              </w:rPr>
              <w:t>$340,000–$359,999</w:t>
            </w:r>
          </w:p>
        </w:tc>
        <w:tc>
          <w:tcPr>
            <w:cnfStyle w:val="000001000000" w:firstRow="0" w:lastRow="0" w:firstColumn="0" w:lastColumn="0" w:oddVBand="0" w:evenVBand="1" w:oddHBand="0" w:evenHBand="0" w:firstRowFirstColumn="0" w:firstRowLastColumn="0" w:lastRowFirstColumn="0" w:lastRowLastColumn="0"/>
            <w:tcW w:w="1061" w:type="pct"/>
            <w:hideMark/>
          </w:tcPr>
          <w:p w14:paraId="4F3EABB6" w14:textId="77777777" w:rsidR="005E2BB1" w:rsidRPr="00F45F11" w:rsidRDefault="005E2BB1" w:rsidP="0072004C">
            <w:pPr>
              <w:pStyle w:val="ARtabletextright"/>
            </w:pPr>
            <w:r w:rsidRPr="00F45F11">
              <w:t>5</w:t>
            </w:r>
          </w:p>
        </w:tc>
        <w:tc>
          <w:tcPr>
            <w:tcW w:w="1166" w:type="pct"/>
            <w:hideMark/>
          </w:tcPr>
          <w:p w14:paraId="324E494C" w14:textId="77777777" w:rsidR="005E2BB1" w:rsidRPr="00F45F11" w:rsidRDefault="005E2BB1" w:rsidP="0072004C">
            <w:pPr>
              <w:pStyle w:val="ARtabletextright"/>
              <w:cnfStyle w:val="000000010000" w:firstRow="0" w:lastRow="0" w:firstColumn="0" w:lastColumn="0" w:oddVBand="0" w:evenVBand="0" w:oddHBand="0" w:evenHBand="1" w:firstRowFirstColumn="0" w:firstRowLastColumn="0" w:lastRowFirstColumn="0" w:lastRowLastColumn="0"/>
            </w:pPr>
            <w:r w:rsidRPr="00F45F11">
              <w:t>0</w:t>
            </w:r>
          </w:p>
        </w:tc>
        <w:tc>
          <w:tcPr>
            <w:cnfStyle w:val="000001000000" w:firstRow="0" w:lastRow="0" w:firstColumn="0" w:lastColumn="0" w:oddVBand="0" w:evenVBand="1" w:oddHBand="0" w:evenHBand="0" w:firstRowFirstColumn="0" w:firstRowLastColumn="0" w:lastRowFirstColumn="0" w:lastRowLastColumn="0"/>
            <w:tcW w:w="1152" w:type="pct"/>
            <w:hideMark/>
          </w:tcPr>
          <w:p w14:paraId="005EBCD5" w14:textId="77777777" w:rsidR="005E2BB1" w:rsidRPr="00F45F11" w:rsidRDefault="005E2BB1" w:rsidP="0072004C">
            <w:pPr>
              <w:pStyle w:val="ARtabletextright"/>
            </w:pPr>
            <w:r w:rsidRPr="00F45F11">
              <w:t>0</w:t>
            </w:r>
          </w:p>
        </w:tc>
      </w:tr>
      <w:tr w:rsidR="005E2BB1" w:rsidRPr="00F45F11" w14:paraId="46F850E6" w14:textId="77777777" w:rsidTr="0072004C">
        <w:trPr>
          <w:cnfStyle w:val="000000100000" w:firstRow="0" w:lastRow="0" w:firstColumn="0" w:lastColumn="0" w:oddVBand="0" w:evenVBand="0" w:oddHBand="1" w:evenHBand="0" w:firstRowFirstColumn="0" w:firstRowLastColumn="0" w:lastRowFirstColumn="0" w:lastRowLastColumn="0"/>
          <w:trHeight w:val="20"/>
        </w:trPr>
        <w:tc>
          <w:tcPr>
            <w:tcW w:w="1621" w:type="pct"/>
            <w:hideMark/>
          </w:tcPr>
          <w:p w14:paraId="19F61A5F" w14:textId="77777777" w:rsidR="005E2BB1" w:rsidRPr="00F45F11" w:rsidRDefault="005E2BB1" w:rsidP="0072004C">
            <w:pPr>
              <w:pStyle w:val="ARTabletext"/>
              <w:rPr>
                <w:lang w:eastAsia="en-AU"/>
              </w:rPr>
            </w:pPr>
            <w:r w:rsidRPr="00F45F11">
              <w:rPr>
                <w:lang w:eastAsia="en-AU"/>
              </w:rPr>
              <w:t>$360,000–$379,999</w:t>
            </w:r>
          </w:p>
        </w:tc>
        <w:tc>
          <w:tcPr>
            <w:cnfStyle w:val="000001000000" w:firstRow="0" w:lastRow="0" w:firstColumn="0" w:lastColumn="0" w:oddVBand="0" w:evenVBand="1" w:oddHBand="0" w:evenHBand="0" w:firstRowFirstColumn="0" w:firstRowLastColumn="0" w:lastRowFirstColumn="0" w:lastRowLastColumn="0"/>
            <w:tcW w:w="1061" w:type="pct"/>
            <w:hideMark/>
          </w:tcPr>
          <w:p w14:paraId="115E6F07" w14:textId="1BFAA3C7" w:rsidR="005E2BB1" w:rsidRPr="00F45F11" w:rsidRDefault="00305E2E" w:rsidP="0072004C">
            <w:pPr>
              <w:pStyle w:val="ARtabletextright"/>
            </w:pPr>
            <w:r>
              <w:t>7</w:t>
            </w:r>
          </w:p>
        </w:tc>
        <w:tc>
          <w:tcPr>
            <w:tcW w:w="1166" w:type="pct"/>
            <w:hideMark/>
          </w:tcPr>
          <w:p w14:paraId="6ED62214" w14:textId="77777777" w:rsidR="005E2BB1" w:rsidRPr="00F45F11" w:rsidRDefault="005E2BB1" w:rsidP="0072004C">
            <w:pPr>
              <w:pStyle w:val="ARtabletextright"/>
              <w:cnfStyle w:val="000000100000" w:firstRow="0" w:lastRow="0" w:firstColumn="0" w:lastColumn="0" w:oddVBand="0" w:evenVBand="0" w:oddHBand="1" w:evenHBand="0" w:firstRowFirstColumn="0" w:firstRowLastColumn="0" w:lastRowFirstColumn="0" w:lastRowLastColumn="0"/>
            </w:pPr>
            <w:r w:rsidRPr="00F45F11">
              <w:t>0</w:t>
            </w:r>
          </w:p>
        </w:tc>
        <w:tc>
          <w:tcPr>
            <w:cnfStyle w:val="000001000000" w:firstRow="0" w:lastRow="0" w:firstColumn="0" w:lastColumn="0" w:oddVBand="0" w:evenVBand="1" w:oddHBand="0" w:evenHBand="0" w:firstRowFirstColumn="0" w:firstRowLastColumn="0" w:lastRowFirstColumn="0" w:lastRowLastColumn="0"/>
            <w:tcW w:w="1152" w:type="pct"/>
            <w:hideMark/>
          </w:tcPr>
          <w:p w14:paraId="27E63E7F" w14:textId="77777777" w:rsidR="005E2BB1" w:rsidRPr="00F45F11" w:rsidRDefault="005E2BB1" w:rsidP="0072004C">
            <w:pPr>
              <w:pStyle w:val="ARtabletextright"/>
            </w:pPr>
            <w:r w:rsidRPr="00F45F11">
              <w:t>0</w:t>
            </w:r>
          </w:p>
        </w:tc>
      </w:tr>
      <w:tr w:rsidR="00FA2A9E" w:rsidRPr="00F45F11" w14:paraId="08935045" w14:textId="77777777" w:rsidTr="0072004C">
        <w:trPr>
          <w:cnfStyle w:val="000000010000" w:firstRow="0" w:lastRow="0" w:firstColumn="0" w:lastColumn="0" w:oddVBand="0" w:evenVBand="0" w:oddHBand="0" w:evenHBand="1" w:firstRowFirstColumn="0" w:firstRowLastColumn="0" w:lastRowFirstColumn="0" w:lastRowLastColumn="0"/>
          <w:trHeight w:val="20"/>
        </w:trPr>
        <w:tc>
          <w:tcPr>
            <w:tcW w:w="1621" w:type="pct"/>
          </w:tcPr>
          <w:p w14:paraId="3F445B53" w14:textId="7969D3EB" w:rsidR="00FA2A9E" w:rsidRPr="00F45F11" w:rsidRDefault="00FA2A9E" w:rsidP="00FA2A9E">
            <w:pPr>
              <w:pStyle w:val="ARTabletext"/>
              <w:rPr>
                <w:lang w:eastAsia="en-AU"/>
              </w:rPr>
            </w:pPr>
            <w:r w:rsidRPr="00F45F11">
              <w:rPr>
                <w:lang w:eastAsia="en-AU"/>
              </w:rPr>
              <w:t>$380,000</w:t>
            </w:r>
            <w:r w:rsidR="00195635" w:rsidRPr="00F45F11">
              <w:rPr>
                <w:lang w:eastAsia="en-AU"/>
              </w:rPr>
              <w:t>–</w:t>
            </w:r>
            <w:r w:rsidRPr="00F45F11">
              <w:rPr>
                <w:lang w:eastAsia="en-AU"/>
              </w:rPr>
              <w:t>$399,999</w:t>
            </w:r>
          </w:p>
        </w:tc>
        <w:tc>
          <w:tcPr>
            <w:cnfStyle w:val="000001000000" w:firstRow="0" w:lastRow="0" w:firstColumn="0" w:lastColumn="0" w:oddVBand="0" w:evenVBand="1" w:oddHBand="0" w:evenHBand="0" w:firstRowFirstColumn="0" w:firstRowLastColumn="0" w:lastRowFirstColumn="0" w:lastRowLastColumn="0"/>
            <w:tcW w:w="1061" w:type="pct"/>
          </w:tcPr>
          <w:p w14:paraId="3C705BD7" w14:textId="6BF3DB46" w:rsidR="00FA2A9E" w:rsidRPr="00F45F11" w:rsidRDefault="00305E2E" w:rsidP="00FA2A9E">
            <w:pPr>
              <w:pStyle w:val="ARtabletextright"/>
            </w:pPr>
            <w:r>
              <w:t>1</w:t>
            </w:r>
          </w:p>
        </w:tc>
        <w:tc>
          <w:tcPr>
            <w:tcW w:w="1166" w:type="pct"/>
          </w:tcPr>
          <w:p w14:paraId="3D801508" w14:textId="093DDBAA" w:rsidR="00FA2A9E" w:rsidRPr="00F45F11" w:rsidRDefault="00FA2A9E" w:rsidP="00FA2A9E">
            <w:pPr>
              <w:pStyle w:val="ARtabletextright"/>
              <w:cnfStyle w:val="000000010000" w:firstRow="0" w:lastRow="0" w:firstColumn="0" w:lastColumn="0" w:oddVBand="0" w:evenVBand="0" w:oddHBand="0" w:evenHBand="1" w:firstRowFirstColumn="0" w:firstRowLastColumn="0" w:lastRowFirstColumn="0" w:lastRowLastColumn="0"/>
            </w:pPr>
            <w:r w:rsidRPr="00F45F11">
              <w:t>0</w:t>
            </w:r>
          </w:p>
        </w:tc>
        <w:tc>
          <w:tcPr>
            <w:cnfStyle w:val="000001000000" w:firstRow="0" w:lastRow="0" w:firstColumn="0" w:lastColumn="0" w:oddVBand="0" w:evenVBand="1" w:oddHBand="0" w:evenHBand="0" w:firstRowFirstColumn="0" w:firstRowLastColumn="0" w:lastRowFirstColumn="0" w:lastRowLastColumn="0"/>
            <w:tcW w:w="1152" w:type="pct"/>
          </w:tcPr>
          <w:p w14:paraId="75B3AA25" w14:textId="2520B20C" w:rsidR="00FA2A9E" w:rsidRPr="00F45F11" w:rsidRDefault="00FA2A9E" w:rsidP="00FA2A9E">
            <w:pPr>
              <w:pStyle w:val="ARtabletextright"/>
            </w:pPr>
            <w:r w:rsidRPr="00F45F11">
              <w:t>0</w:t>
            </w:r>
          </w:p>
        </w:tc>
      </w:tr>
      <w:tr w:rsidR="005E2BB1" w:rsidRPr="00F45F11" w14:paraId="1922D73A" w14:textId="77777777" w:rsidTr="0072004C">
        <w:trPr>
          <w:cnfStyle w:val="000000100000" w:firstRow="0" w:lastRow="0" w:firstColumn="0" w:lastColumn="0" w:oddVBand="0" w:evenVBand="0" w:oddHBand="1" w:evenHBand="0" w:firstRowFirstColumn="0" w:firstRowLastColumn="0" w:lastRowFirstColumn="0" w:lastRowLastColumn="0"/>
          <w:trHeight w:val="20"/>
        </w:trPr>
        <w:tc>
          <w:tcPr>
            <w:tcW w:w="1621" w:type="pct"/>
            <w:hideMark/>
          </w:tcPr>
          <w:p w14:paraId="167B203D" w14:textId="77777777" w:rsidR="005E2BB1" w:rsidRPr="00F45F11" w:rsidRDefault="005E2BB1" w:rsidP="0072004C">
            <w:pPr>
              <w:pStyle w:val="ARTabletext"/>
              <w:rPr>
                <w:lang w:eastAsia="en-AU"/>
              </w:rPr>
            </w:pPr>
            <w:r w:rsidRPr="00F45F11">
              <w:rPr>
                <w:lang w:eastAsia="en-AU"/>
              </w:rPr>
              <w:t>$400,000–$419,999</w:t>
            </w:r>
          </w:p>
        </w:tc>
        <w:tc>
          <w:tcPr>
            <w:cnfStyle w:val="000001000000" w:firstRow="0" w:lastRow="0" w:firstColumn="0" w:lastColumn="0" w:oddVBand="0" w:evenVBand="1" w:oddHBand="0" w:evenHBand="0" w:firstRowFirstColumn="0" w:firstRowLastColumn="0" w:lastRowFirstColumn="0" w:lastRowLastColumn="0"/>
            <w:tcW w:w="1061" w:type="pct"/>
            <w:hideMark/>
          </w:tcPr>
          <w:p w14:paraId="0C908E58" w14:textId="77777777" w:rsidR="005E2BB1" w:rsidRPr="00F45F11" w:rsidRDefault="005E2BB1" w:rsidP="0072004C">
            <w:pPr>
              <w:pStyle w:val="ARtabletextright"/>
            </w:pPr>
            <w:r w:rsidRPr="00F45F11">
              <w:t>0</w:t>
            </w:r>
          </w:p>
        </w:tc>
        <w:tc>
          <w:tcPr>
            <w:tcW w:w="1166" w:type="pct"/>
            <w:hideMark/>
          </w:tcPr>
          <w:p w14:paraId="20B172B4" w14:textId="77777777" w:rsidR="005E2BB1" w:rsidRPr="00F45F11" w:rsidRDefault="005E2BB1" w:rsidP="0072004C">
            <w:pPr>
              <w:pStyle w:val="ARtabletextright"/>
              <w:cnfStyle w:val="000000100000" w:firstRow="0" w:lastRow="0" w:firstColumn="0" w:lastColumn="0" w:oddVBand="0" w:evenVBand="0" w:oddHBand="1" w:evenHBand="0" w:firstRowFirstColumn="0" w:firstRowLastColumn="0" w:lastRowFirstColumn="0" w:lastRowLastColumn="0"/>
            </w:pPr>
            <w:r w:rsidRPr="00F45F11">
              <w:t>0</w:t>
            </w:r>
          </w:p>
        </w:tc>
        <w:tc>
          <w:tcPr>
            <w:cnfStyle w:val="000001000000" w:firstRow="0" w:lastRow="0" w:firstColumn="0" w:lastColumn="0" w:oddVBand="0" w:evenVBand="1" w:oddHBand="0" w:evenHBand="0" w:firstRowFirstColumn="0" w:firstRowLastColumn="0" w:lastRowFirstColumn="0" w:lastRowLastColumn="0"/>
            <w:tcW w:w="1152" w:type="pct"/>
            <w:hideMark/>
          </w:tcPr>
          <w:p w14:paraId="528A27B9" w14:textId="77777777" w:rsidR="005E2BB1" w:rsidRPr="00F45F11" w:rsidRDefault="005E2BB1" w:rsidP="0072004C">
            <w:pPr>
              <w:pStyle w:val="ARtabletextright"/>
            </w:pPr>
            <w:r w:rsidRPr="00F45F11">
              <w:t>0</w:t>
            </w:r>
          </w:p>
        </w:tc>
      </w:tr>
      <w:tr w:rsidR="005E2BB1" w:rsidRPr="00F45F11" w14:paraId="647686AD" w14:textId="77777777" w:rsidTr="0072004C">
        <w:trPr>
          <w:cnfStyle w:val="000000010000" w:firstRow="0" w:lastRow="0" w:firstColumn="0" w:lastColumn="0" w:oddVBand="0" w:evenVBand="0" w:oddHBand="0" w:evenHBand="1" w:firstRowFirstColumn="0" w:firstRowLastColumn="0" w:lastRowFirstColumn="0" w:lastRowLastColumn="0"/>
          <w:trHeight w:val="20"/>
        </w:trPr>
        <w:tc>
          <w:tcPr>
            <w:tcW w:w="1621" w:type="pct"/>
            <w:hideMark/>
          </w:tcPr>
          <w:p w14:paraId="68A77893" w14:textId="77777777" w:rsidR="005E2BB1" w:rsidRPr="00F45F11" w:rsidRDefault="005E2BB1" w:rsidP="0072004C">
            <w:pPr>
              <w:pStyle w:val="ARTabletext"/>
              <w:rPr>
                <w:lang w:eastAsia="en-AU"/>
              </w:rPr>
            </w:pPr>
            <w:r w:rsidRPr="00F45F11">
              <w:rPr>
                <w:lang w:eastAsia="en-AU"/>
              </w:rPr>
              <w:t>$420,000–$439,999</w:t>
            </w:r>
          </w:p>
        </w:tc>
        <w:tc>
          <w:tcPr>
            <w:cnfStyle w:val="000001000000" w:firstRow="0" w:lastRow="0" w:firstColumn="0" w:lastColumn="0" w:oddVBand="0" w:evenVBand="1" w:oddHBand="0" w:evenHBand="0" w:firstRowFirstColumn="0" w:firstRowLastColumn="0" w:lastRowFirstColumn="0" w:lastRowLastColumn="0"/>
            <w:tcW w:w="1061" w:type="pct"/>
            <w:hideMark/>
          </w:tcPr>
          <w:p w14:paraId="7BC99B8E" w14:textId="77777777" w:rsidR="005E2BB1" w:rsidRPr="00F45F11" w:rsidRDefault="005E2BB1" w:rsidP="0072004C">
            <w:pPr>
              <w:pStyle w:val="ARtabletextright"/>
            </w:pPr>
            <w:r w:rsidRPr="00F45F11">
              <w:t>1</w:t>
            </w:r>
          </w:p>
        </w:tc>
        <w:tc>
          <w:tcPr>
            <w:tcW w:w="1166" w:type="pct"/>
            <w:hideMark/>
          </w:tcPr>
          <w:p w14:paraId="006195F8" w14:textId="77777777" w:rsidR="005E2BB1" w:rsidRPr="00F45F11" w:rsidRDefault="005E2BB1" w:rsidP="0072004C">
            <w:pPr>
              <w:pStyle w:val="ARtabletextright"/>
              <w:cnfStyle w:val="000000010000" w:firstRow="0" w:lastRow="0" w:firstColumn="0" w:lastColumn="0" w:oddVBand="0" w:evenVBand="0" w:oddHBand="0" w:evenHBand="1" w:firstRowFirstColumn="0" w:firstRowLastColumn="0" w:lastRowFirstColumn="0" w:lastRowLastColumn="0"/>
            </w:pPr>
            <w:r w:rsidRPr="00F45F11">
              <w:t>0</w:t>
            </w:r>
          </w:p>
        </w:tc>
        <w:tc>
          <w:tcPr>
            <w:cnfStyle w:val="000001000000" w:firstRow="0" w:lastRow="0" w:firstColumn="0" w:lastColumn="0" w:oddVBand="0" w:evenVBand="1" w:oddHBand="0" w:evenHBand="0" w:firstRowFirstColumn="0" w:firstRowLastColumn="0" w:lastRowFirstColumn="0" w:lastRowLastColumn="0"/>
            <w:tcW w:w="1152" w:type="pct"/>
            <w:hideMark/>
          </w:tcPr>
          <w:p w14:paraId="3AC2F67A" w14:textId="77777777" w:rsidR="005E2BB1" w:rsidRPr="00F45F11" w:rsidRDefault="005E2BB1" w:rsidP="0072004C">
            <w:pPr>
              <w:pStyle w:val="ARtabletextright"/>
            </w:pPr>
            <w:r w:rsidRPr="00F45F11">
              <w:t>0</w:t>
            </w:r>
          </w:p>
        </w:tc>
      </w:tr>
      <w:tr w:rsidR="005E2BB1" w:rsidRPr="00F45F11" w14:paraId="7D6EFAAA" w14:textId="77777777" w:rsidTr="0072004C">
        <w:trPr>
          <w:cnfStyle w:val="000000100000" w:firstRow="0" w:lastRow="0" w:firstColumn="0" w:lastColumn="0" w:oddVBand="0" w:evenVBand="0" w:oddHBand="1" w:evenHBand="0" w:firstRowFirstColumn="0" w:firstRowLastColumn="0" w:lastRowFirstColumn="0" w:lastRowLastColumn="0"/>
          <w:trHeight w:val="20"/>
        </w:trPr>
        <w:tc>
          <w:tcPr>
            <w:tcW w:w="1621" w:type="pct"/>
            <w:hideMark/>
          </w:tcPr>
          <w:p w14:paraId="321999B4" w14:textId="77777777" w:rsidR="005E2BB1" w:rsidRPr="00F45F11" w:rsidRDefault="005E2BB1" w:rsidP="0072004C">
            <w:pPr>
              <w:pStyle w:val="ARTabletext"/>
              <w:rPr>
                <w:lang w:eastAsia="en-AU"/>
              </w:rPr>
            </w:pPr>
            <w:r w:rsidRPr="00F45F11">
              <w:rPr>
                <w:lang w:eastAsia="en-AU"/>
              </w:rPr>
              <w:t>$440,000–$459,999</w:t>
            </w:r>
          </w:p>
        </w:tc>
        <w:tc>
          <w:tcPr>
            <w:cnfStyle w:val="000001000000" w:firstRow="0" w:lastRow="0" w:firstColumn="0" w:lastColumn="0" w:oddVBand="0" w:evenVBand="1" w:oddHBand="0" w:evenHBand="0" w:firstRowFirstColumn="0" w:firstRowLastColumn="0" w:lastRowFirstColumn="0" w:lastRowLastColumn="0"/>
            <w:tcW w:w="1061" w:type="pct"/>
            <w:hideMark/>
          </w:tcPr>
          <w:p w14:paraId="1B2A55BA" w14:textId="77777777" w:rsidR="005E2BB1" w:rsidRPr="00F45F11" w:rsidRDefault="005E2BB1" w:rsidP="0072004C">
            <w:pPr>
              <w:pStyle w:val="ARtabletextright"/>
            </w:pPr>
            <w:r w:rsidRPr="00F45F11">
              <w:t>3</w:t>
            </w:r>
          </w:p>
        </w:tc>
        <w:tc>
          <w:tcPr>
            <w:tcW w:w="1166" w:type="pct"/>
            <w:hideMark/>
          </w:tcPr>
          <w:p w14:paraId="4227710D" w14:textId="77777777" w:rsidR="005E2BB1" w:rsidRPr="00F45F11" w:rsidRDefault="005E2BB1" w:rsidP="0072004C">
            <w:pPr>
              <w:pStyle w:val="ARtabletextright"/>
              <w:cnfStyle w:val="000000100000" w:firstRow="0" w:lastRow="0" w:firstColumn="0" w:lastColumn="0" w:oddVBand="0" w:evenVBand="0" w:oddHBand="1" w:evenHBand="0" w:firstRowFirstColumn="0" w:firstRowLastColumn="0" w:lastRowFirstColumn="0" w:lastRowLastColumn="0"/>
            </w:pPr>
            <w:r w:rsidRPr="00F45F11">
              <w:t>0</w:t>
            </w:r>
          </w:p>
        </w:tc>
        <w:tc>
          <w:tcPr>
            <w:cnfStyle w:val="000001000000" w:firstRow="0" w:lastRow="0" w:firstColumn="0" w:lastColumn="0" w:oddVBand="0" w:evenVBand="1" w:oddHBand="0" w:evenHBand="0" w:firstRowFirstColumn="0" w:firstRowLastColumn="0" w:lastRowFirstColumn="0" w:lastRowLastColumn="0"/>
            <w:tcW w:w="1152" w:type="pct"/>
            <w:hideMark/>
          </w:tcPr>
          <w:p w14:paraId="7E28C733" w14:textId="77777777" w:rsidR="005E2BB1" w:rsidRPr="00F45F11" w:rsidRDefault="005E2BB1" w:rsidP="0072004C">
            <w:pPr>
              <w:pStyle w:val="ARtabletextright"/>
            </w:pPr>
            <w:r w:rsidRPr="00F45F11">
              <w:t>0</w:t>
            </w:r>
          </w:p>
        </w:tc>
      </w:tr>
      <w:tr w:rsidR="005E2BB1" w:rsidRPr="00F45F11" w14:paraId="3576890A" w14:textId="77777777" w:rsidTr="0072004C">
        <w:trPr>
          <w:cnfStyle w:val="000000010000" w:firstRow="0" w:lastRow="0" w:firstColumn="0" w:lastColumn="0" w:oddVBand="0" w:evenVBand="0" w:oddHBand="0" w:evenHBand="1" w:firstRowFirstColumn="0" w:firstRowLastColumn="0" w:lastRowFirstColumn="0" w:lastRowLastColumn="0"/>
          <w:trHeight w:val="20"/>
        </w:trPr>
        <w:tc>
          <w:tcPr>
            <w:tcW w:w="1621" w:type="pct"/>
            <w:hideMark/>
          </w:tcPr>
          <w:p w14:paraId="259357CD" w14:textId="77777777" w:rsidR="005E2BB1" w:rsidRPr="00F45F11" w:rsidRDefault="005E2BB1" w:rsidP="0072004C">
            <w:pPr>
              <w:pStyle w:val="ARTabletext"/>
              <w:rPr>
                <w:lang w:eastAsia="en-AU"/>
              </w:rPr>
            </w:pPr>
            <w:r w:rsidRPr="00F45F11">
              <w:rPr>
                <w:lang w:eastAsia="en-AU"/>
              </w:rPr>
              <w:t>$460,000–$479,999</w:t>
            </w:r>
          </w:p>
        </w:tc>
        <w:tc>
          <w:tcPr>
            <w:cnfStyle w:val="000001000000" w:firstRow="0" w:lastRow="0" w:firstColumn="0" w:lastColumn="0" w:oddVBand="0" w:evenVBand="1" w:oddHBand="0" w:evenHBand="0" w:firstRowFirstColumn="0" w:firstRowLastColumn="0" w:lastRowFirstColumn="0" w:lastRowLastColumn="0"/>
            <w:tcW w:w="1061" w:type="pct"/>
            <w:hideMark/>
          </w:tcPr>
          <w:p w14:paraId="209C19AF" w14:textId="77777777" w:rsidR="005E2BB1" w:rsidRPr="00F45F11" w:rsidRDefault="005E2BB1" w:rsidP="0072004C">
            <w:pPr>
              <w:pStyle w:val="ARtabletextright"/>
            </w:pPr>
            <w:r w:rsidRPr="00F45F11">
              <w:t>2</w:t>
            </w:r>
          </w:p>
        </w:tc>
        <w:tc>
          <w:tcPr>
            <w:tcW w:w="1166" w:type="pct"/>
            <w:hideMark/>
          </w:tcPr>
          <w:p w14:paraId="1F92099F" w14:textId="77777777" w:rsidR="005E2BB1" w:rsidRPr="00F45F11" w:rsidRDefault="005E2BB1" w:rsidP="0072004C">
            <w:pPr>
              <w:pStyle w:val="ARtabletextright"/>
              <w:cnfStyle w:val="000000010000" w:firstRow="0" w:lastRow="0" w:firstColumn="0" w:lastColumn="0" w:oddVBand="0" w:evenVBand="0" w:oddHBand="0" w:evenHBand="1" w:firstRowFirstColumn="0" w:firstRowLastColumn="0" w:lastRowFirstColumn="0" w:lastRowLastColumn="0"/>
            </w:pPr>
            <w:r w:rsidRPr="00F45F11">
              <w:t>0</w:t>
            </w:r>
          </w:p>
        </w:tc>
        <w:tc>
          <w:tcPr>
            <w:cnfStyle w:val="000001000000" w:firstRow="0" w:lastRow="0" w:firstColumn="0" w:lastColumn="0" w:oddVBand="0" w:evenVBand="1" w:oddHBand="0" w:evenHBand="0" w:firstRowFirstColumn="0" w:firstRowLastColumn="0" w:lastRowFirstColumn="0" w:lastRowLastColumn="0"/>
            <w:tcW w:w="1152" w:type="pct"/>
            <w:hideMark/>
          </w:tcPr>
          <w:p w14:paraId="4087D155" w14:textId="77777777" w:rsidR="005E2BB1" w:rsidRPr="00F45F11" w:rsidRDefault="005E2BB1" w:rsidP="0072004C">
            <w:pPr>
              <w:pStyle w:val="ARtabletextright"/>
            </w:pPr>
            <w:r w:rsidRPr="00F45F11">
              <w:t>0</w:t>
            </w:r>
          </w:p>
        </w:tc>
      </w:tr>
      <w:tr w:rsidR="00FA2A9E" w:rsidRPr="00F45F11" w14:paraId="383B94B5" w14:textId="77777777" w:rsidTr="0072004C">
        <w:trPr>
          <w:cnfStyle w:val="000000100000" w:firstRow="0" w:lastRow="0" w:firstColumn="0" w:lastColumn="0" w:oddVBand="0" w:evenVBand="0" w:oddHBand="1" w:evenHBand="0" w:firstRowFirstColumn="0" w:firstRowLastColumn="0" w:lastRowFirstColumn="0" w:lastRowLastColumn="0"/>
          <w:trHeight w:val="20"/>
        </w:trPr>
        <w:tc>
          <w:tcPr>
            <w:tcW w:w="1621" w:type="pct"/>
          </w:tcPr>
          <w:p w14:paraId="1F741256" w14:textId="053004D8" w:rsidR="00FA2A9E" w:rsidRPr="00F45F11" w:rsidRDefault="00FA2A9E" w:rsidP="00FA2A9E">
            <w:pPr>
              <w:pStyle w:val="ARTabletext"/>
              <w:rPr>
                <w:lang w:eastAsia="en-AU"/>
              </w:rPr>
            </w:pPr>
            <w:r w:rsidRPr="00F45F11">
              <w:rPr>
                <w:lang w:eastAsia="en-AU"/>
              </w:rPr>
              <w:t>$480,000</w:t>
            </w:r>
            <w:r w:rsidR="00DC3271" w:rsidRPr="00F45F11">
              <w:rPr>
                <w:lang w:eastAsia="en-AU"/>
              </w:rPr>
              <w:t>–$519,999</w:t>
            </w:r>
          </w:p>
        </w:tc>
        <w:tc>
          <w:tcPr>
            <w:cnfStyle w:val="000001000000" w:firstRow="0" w:lastRow="0" w:firstColumn="0" w:lastColumn="0" w:oddVBand="0" w:evenVBand="1" w:oddHBand="0" w:evenHBand="0" w:firstRowFirstColumn="0" w:firstRowLastColumn="0" w:lastRowFirstColumn="0" w:lastRowLastColumn="0"/>
            <w:tcW w:w="1061" w:type="pct"/>
          </w:tcPr>
          <w:p w14:paraId="42F02E94" w14:textId="4AA9A465" w:rsidR="00FA2A9E" w:rsidRPr="00F45F11" w:rsidRDefault="00FA2A9E" w:rsidP="00FA2A9E">
            <w:pPr>
              <w:pStyle w:val="ARtabletextright"/>
            </w:pPr>
            <w:r w:rsidRPr="00F45F11">
              <w:t>0</w:t>
            </w:r>
          </w:p>
        </w:tc>
        <w:tc>
          <w:tcPr>
            <w:tcW w:w="1166" w:type="pct"/>
          </w:tcPr>
          <w:p w14:paraId="1337CC98" w14:textId="69148118" w:rsidR="00FA2A9E" w:rsidRPr="00F45F11" w:rsidRDefault="00FA2A9E" w:rsidP="00FA2A9E">
            <w:pPr>
              <w:pStyle w:val="ARtabletextright"/>
              <w:cnfStyle w:val="000000100000" w:firstRow="0" w:lastRow="0" w:firstColumn="0" w:lastColumn="0" w:oddVBand="0" w:evenVBand="0" w:oddHBand="1" w:evenHBand="0" w:firstRowFirstColumn="0" w:firstRowLastColumn="0" w:lastRowFirstColumn="0" w:lastRowLastColumn="0"/>
            </w:pPr>
            <w:r w:rsidRPr="00F45F11">
              <w:t>0</w:t>
            </w:r>
          </w:p>
        </w:tc>
        <w:tc>
          <w:tcPr>
            <w:cnfStyle w:val="000001000000" w:firstRow="0" w:lastRow="0" w:firstColumn="0" w:lastColumn="0" w:oddVBand="0" w:evenVBand="1" w:oddHBand="0" w:evenHBand="0" w:firstRowFirstColumn="0" w:firstRowLastColumn="0" w:lastRowFirstColumn="0" w:lastRowLastColumn="0"/>
            <w:tcW w:w="1152" w:type="pct"/>
          </w:tcPr>
          <w:p w14:paraId="5EB09B1D" w14:textId="52A95DB8" w:rsidR="00FA2A9E" w:rsidRPr="00F45F11" w:rsidRDefault="00FA2A9E" w:rsidP="00FA2A9E">
            <w:pPr>
              <w:pStyle w:val="ARtabletextright"/>
            </w:pPr>
            <w:r w:rsidRPr="00F45F11">
              <w:t>0</w:t>
            </w:r>
          </w:p>
        </w:tc>
      </w:tr>
      <w:tr w:rsidR="00FA2A9E" w:rsidRPr="00F45F11" w14:paraId="51C2AF1B" w14:textId="77777777" w:rsidTr="0072004C">
        <w:trPr>
          <w:cnfStyle w:val="000000010000" w:firstRow="0" w:lastRow="0" w:firstColumn="0" w:lastColumn="0" w:oddVBand="0" w:evenVBand="0" w:oddHBand="0" w:evenHBand="1" w:firstRowFirstColumn="0" w:firstRowLastColumn="0" w:lastRowFirstColumn="0" w:lastRowLastColumn="0"/>
          <w:trHeight w:val="20"/>
        </w:trPr>
        <w:tc>
          <w:tcPr>
            <w:tcW w:w="1621" w:type="pct"/>
          </w:tcPr>
          <w:p w14:paraId="21172641" w14:textId="1E36820D" w:rsidR="00FA2A9E" w:rsidRPr="00F45F11" w:rsidRDefault="00FA2A9E" w:rsidP="00FA2A9E">
            <w:pPr>
              <w:pStyle w:val="ARTabletext"/>
              <w:rPr>
                <w:lang w:eastAsia="en-AU"/>
              </w:rPr>
            </w:pPr>
            <w:r w:rsidRPr="00F45F11">
              <w:rPr>
                <w:lang w:eastAsia="en-AU"/>
              </w:rPr>
              <w:t>$520,000</w:t>
            </w:r>
            <w:r w:rsidR="00195635" w:rsidRPr="00F45F11">
              <w:rPr>
                <w:lang w:eastAsia="en-AU"/>
              </w:rPr>
              <w:t>–</w:t>
            </w:r>
            <w:r w:rsidRPr="00F45F11">
              <w:rPr>
                <w:lang w:eastAsia="en-AU"/>
              </w:rPr>
              <w:t>$539,999</w:t>
            </w:r>
          </w:p>
        </w:tc>
        <w:tc>
          <w:tcPr>
            <w:cnfStyle w:val="000001000000" w:firstRow="0" w:lastRow="0" w:firstColumn="0" w:lastColumn="0" w:oddVBand="0" w:evenVBand="1" w:oddHBand="0" w:evenHBand="0" w:firstRowFirstColumn="0" w:firstRowLastColumn="0" w:lastRowFirstColumn="0" w:lastRowLastColumn="0"/>
            <w:tcW w:w="1061" w:type="pct"/>
          </w:tcPr>
          <w:p w14:paraId="102350DA" w14:textId="2C27ED50" w:rsidR="00FA2A9E" w:rsidRPr="00F45F11" w:rsidRDefault="00195635" w:rsidP="00FA2A9E">
            <w:pPr>
              <w:pStyle w:val="ARtabletextright"/>
            </w:pPr>
            <w:r>
              <w:t>1</w:t>
            </w:r>
          </w:p>
        </w:tc>
        <w:tc>
          <w:tcPr>
            <w:tcW w:w="1166" w:type="pct"/>
          </w:tcPr>
          <w:p w14:paraId="35E16861" w14:textId="192165B3" w:rsidR="00FA2A9E" w:rsidRPr="00F45F11" w:rsidRDefault="00FA2A9E" w:rsidP="00FA2A9E">
            <w:pPr>
              <w:pStyle w:val="ARtabletextright"/>
              <w:cnfStyle w:val="000000010000" w:firstRow="0" w:lastRow="0" w:firstColumn="0" w:lastColumn="0" w:oddVBand="0" w:evenVBand="0" w:oddHBand="0" w:evenHBand="1" w:firstRowFirstColumn="0" w:firstRowLastColumn="0" w:lastRowFirstColumn="0" w:lastRowLastColumn="0"/>
            </w:pPr>
            <w:r w:rsidRPr="00F45F11">
              <w:t>0</w:t>
            </w:r>
          </w:p>
        </w:tc>
        <w:tc>
          <w:tcPr>
            <w:cnfStyle w:val="000001000000" w:firstRow="0" w:lastRow="0" w:firstColumn="0" w:lastColumn="0" w:oddVBand="0" w:evenVBand="1" w:oddHBand="0" w:evenHBand="0" w:firstRowFirstColumn="0" w:firstRowLastColumn="0" w:lastRowFirstColumn="0" w:lastRowLastColumn="0"/>
            <w:tcW w:w="1152" w:type="pct"/>
          </w:tcPr>
          <w:p w14:paraId="236E1906" w14:textId="13D5C54A" w:rsidR="00FA2A9E" w:rsidRPr="00F45F11" w:rsidRDefault="00FA2A9E" w:rsidP="00FA2A9E">
            <w:pPr>
              <w:pStyle w:val="ARtabletextright"/>
            </w:pPr>
            <w:r w:rsidRPr="00F45F11">
              <w:t>0</w:t>
            </w:r>
          </w:p>
        </w:tc>
      </w:tr>
      <w:tr w:rsidR="00FA2A9E" w:rsidRPr="00F45F11" w14:paraId="177657CB" w14:textId="77777777" w:rsidTr="0072004C">
        <w:trPr>
          <w:cnfStyle w:val="000000100000" w:firstRow="0" w:lastRow="0" w:firstColumn="0" w:lastColumn="0" w:oddVBand="0" w:evenVBand="0" w:oddHBand="1" w:evenHBand="0" w:firstRowFirstColumn="0" w:firstRowLastColumn="0" w:lastRowFirstColumn="0" w:lastRowLastColumn="0"/>
          <w:trHeight w:val="20"/>
        </w:trPr>
        <w:tc>
          <w:tcPr>
            <w:tcW w:w="1621" w:type="pct"/>
          </w:tcPr>
          <w:p w14:paraId="34C473EE" w14:textId="18D89EC9" w:rsidR="00FA2A9E" w:rsidRPr="00F45F11" w:rsidRDefault="00FA2A9E" w:rsidP="00FA2A9E">
            <w:pPr>
              <w:pStyle w:val="ARTabletext"/>
              <w:rPr>
                <w:lang w:eastAsia="en-AU"/>
              </w:rPr>
            </w:pPr>
            <w:r w:rsidRPr="00F45F11">
              <w:rPr>
                <w:lang w:eastAsia="en-AU"/>
              </w:rPr>
              <w:t>$540,000</w:t>
            </w:r>
            <w:r w:rsidR="00195635" w:rsidRPr="00F45F11">
              <w:rPr>
                <w:lang w:eastAsia="en-AU"/>
              </w:rPr>
              <w:t>–</w:t>
            </w:r>
            <w:r w:rsidRPr="00F45F11">
              <w:rPr>
                <w:lang w:eastAsia="en-AU"/>
              </w:rPr>
              <w:t>$</w:t>
            </w:r>
            <w:r w:rsidR="00195635" w:rsidRPr="00F45F11">
              <w:rPr>
                <w:lang w:eastAsia="en-AU"/>
              </w:rPr>
              <w:t>5</w:t>
            </w:r>
            <w:r w:rsidR="00195635">
              <w:rPr>
                <w:lang w:eastAsia="en-AU"/>
              </w:rPr>
              <w:t>7</w:t>
            </w:r>
            <w:r w:rsidR="00195635" w:rsidRPr="00F45F11">
              <w:rPr>
                <w:lang w:eastAsia="en-AU"/>
              </w:rPr>
              <w:t>9</w:t>
            </w:r>
            <w:r w:rsidRPr="00F45F11">
              <w:rPr>
                <w:lang w:eastAsia="en-AU"/>
              </w:rPr>
              <w:t>,999</w:t>
            </w:r>
          </w:p>
        </w:tc>
        <w:tc>
          <w:tcPr>
            <w:cnfStyle w:val="000001000000" w:firstRow="0" w:lastRow="0" w:firstColumn="0" w:lastColumn="0" w:oddVBand="0" w:evenVBand="1" w:oddHBand="0" w:evenHBand="0" w:firstRowFirstColumn="0" w:firstRowLastColumn="0" w:lastRowFirstColumn="0" w:lastRowLastColumn="0"/>
            <w:tcW w:w="1061" w:type="pct"/>
          </w:tcPr>
          <w:p w14:paraId="6FA0321F" w14:textId="4FFC3245" w:rsidR="00FA2A9E" w:rsidRPr="00F45F11" w:rsidRDefault="00FA2A9E" w:rsidP="00FA2A9E">
            <w:pPr>
              <w:pStyle w:val="ARtabletextright"/>
            </w:pPr>
            <w:r w:rsidRPr="00F45F11">
              <w:t>0</w:t>
            </w:r>
          </w:p>
        </w:tc>
        <w:tc>
          <w:tcPr>
            <w:tcW w:w="1166" w:type="pct"/>
          </w:tcPr>
          <w:p w14:paraId="6FAFC618" w14:textId="31473555" w:rsidR="00FA2A9E" w:rsidRPr="00F45F11" w:rsidRDefault="00FA2A9E" w:rsidP="00FA2A9E">
            <w:pPr>
              <w:pStyle w:val="ARtabletextright"/>
              <w:cnfStyle w:val="000000100000" w:firstRow="0" w:lastRow="0" w:firstColumn="0" w:lastColumn="0" w:oddVBand="0" w:evenVBand="0" w:oddHBand="1" w:evenHBand="0" w:firstRowFirstColumn="0" w:firstRowLastColumn="0" w:lastRowFirstColumn="0" w:lastRowLastColumn="0"/>
            </w:pPr>
            <w:r w:rsidRPr="00F45F11">
              <w:t>0</w:t>
            </w:r>
          </w:p>
        </w:tc>
        <w:tc>
          <w:tcPr>
            <w:cnfStyle w:val="000001000000" w:firstRow="0" w:lastRow="0" w:firstColumn="0" w:lastColumn="0" w:oddVBand="0" w:evenVBand="1" w:oddHBand="0" w:evenHBand="0" w:firstRowFirstColumn="0" w:firstRowLastColumn="0" w:lastRowFirstColumn="0" w:lastRowLastColumn="0"/>
            <w:tcW w:w="1152" w:type="pct"/>
          </w:tcPr>
          <w:p w14:paraId="454F8A38" w14:textId="0AFE5F55" w:rsidR="00FA2A9E" w:rsidRPr="00F45F11" w:rsidRDefault="00FA2A9E" w:rsidP="00FA2A9E">
            <w:pPr>
              <w:pStyle w:val="ARtabletextright"/>
            </w:pPr>
            <w:r w:rsidRPr="00F45F11">
              <w:t>0</w:t>
            </w:r>
          </w:p>
        </w:tc>
      </w:tr>
      <w:tr w:rsidR="00FA2A9E" w:rsidRPr="00F45F11" w14:paraId="67EE6A6D" w14:textId="77777777" w:rsidTr="0072004C">
        <w:trPr>
          <w:cnfStyle w:val="000000010000" w:firstRow="0" w:lastRow="0" w:firstColumn="0" w:lastColumn="0" w:oddVBand="0" w:evenVBand="0" w:oddHBand="0" w:evenHBand="1" w:firstRowFirstColumn="0" w:firstRowLastColumn="0" w:lastRowFirstColumn="0" w:lastRowLastColumn="0"/>
          <w:trHeight w:val="20"/>
        </w:trPr>
        <w:tc>
          <w:tcPr>
            <w:tcW w:w="1621" w:type="pct"/>
          </w:tcPr>
          <w:p w14:paraId="37DF8B89" w14:textId="49504815" w:rsidR="00FA2A9E" w:rsidRPr="00F45F11" w:rsidRDefault="00FA2A9E" w:rsidP="00FA2A9E">
            <w:pPr>
              <w:pStyle w:val="ARTabletext"/>
              <w:rPr>
                <w:lang w:eastAsia="en-AU"/>
              </w:rPr>
            </w:pPr>
            <w:r w:rsidRPr="00F45F11">
              <w:rPr>
                <w:lang w:eastAsia="en-AU"/>
              </w:rPr>
              <w:t>$580,000</w:t>
            </w:r>
            <w:r w:rsidR="00195635" w:rsidRPr="00F45F11">
              <w:rPr>
                <w:lang w:eastAsia="en-AU"/>
              </w:rPr>
              <w:t>–</w:t>
            </w:r>
            <w:r w:rsidRPr="00F45F11">
              <w:rPr>
                <w:lang w:eastAsia="en-AU"/>
              </w:rPr>
              <w:t>$599,999</w:t>
            </w:r>
          </w:p>
        </w:tc>
        <w:tc>
          <w:tcPr>
            <w:cnfStyle w:val="000001000000" w:firstRow="0" w:lastRow="0" w:firstColumn="0" w:lastColumn="0" w:oddVBand="0" w:evenVBand="1" w:oddHBand="0" w:evenHBand="0" w:firstRowFirstColumn="0" w:firstRowLastColumn="0" w:lastRowFirstColumn="0" w:lastRowLastColumn="0"/>
            <w:tcW w:w="1061" w:type="pct"/>
          </w:tcPr>
          <w:p w14:paraId="15F8EAE0" w14:textId="27EA16E9" w:rsidR="00FA2A9E" w:rsidRPr="00F45F11" w:rsidRDefault="00F70081" w:rsidP="00FA2A9E">
            <w:pPr>
              <w:pStyle w:val="ARtabletextright"/>
            </w:pPr>
            <w:r>
              <w:t>1</w:t>
            </w:r>
          </w:p>
        </w:tc>
        <w:tc>
          <w:tcPr>
            <w:tcW w:w="1166" w:type="pct"/>
          </w:tcPr>
          <w:p w14:paraId="095760A1" w14:textId="71527444" w:rsidR="00FA2A9E" w:rsidRPr="00F45F11" w:rsidRDefault="00FA2A9E" w:rsidP="00FA2A9E">
            <w:pPr>
              <w:pStyle w:val="ARtabletextright"/>
              <w:cnfStyle w:val="000000010000" w:firstRow="0" w:lastRow="0" w:firstColumn="0" w:lastColumn="0" w:oddVBand="0" w:evenVBand="0" w:oddHBand="0" w:evenHBand="1" w:firstRowFirstColumn="0" w:firstRowLastColumn="0" w:lastRowFirstColumn="0" w:lastRowLastColumn="0"/>
            </w:pPr>
            <w:r w:rsidRPr="00F45F11">
              <w:t>0</w:t>
            </w:r>
          </w:p>
        </w:tc>
        <w:tc>
          <w:tcPr>
            <w:cnfStyle w:val="000001000000" w:firstRow="0" w:lastRow="0" w:firstColumn="0" w:lastColumn="0" w:oddVBand="0" w:evenVBand="1" w:oddHBand="0" w:evenHBand="0" w:firstRowFirstColumn="0" w:firstRowLastColumn="0" w:lastRowFirstColumn="0" w:lastRowLastColumn="0"/>
            <w:tcW w:w="1152" w:type="pct"/>
          </w:tcPr>
          <w:p w14:paraId="7822BE60" w14:textId="03434A58" w:rsidR="00FA2A9E" w:rsidRPr="00F45F11" w:rsidRDefault="00FA2A9E" w:rsidP="00FA2A9E">
            <w:pPr>
              <w:pStyle w:val="ARtabletextright"/>
            </w:pPr>
            <w:r w:rsidRPr="00F45F11">
              <w:t>0</w:t>
            </w:r>
          </w:p>
        </w:tc>
      </w:tr>
      <w:tr w:rsidR="005E2BB1" w:rsidRPr="00F45F11" w14:paraId="47AA5813" w14:textId="77777777" w:rsidTr="0072004C">
        <w:trPr>
          <w:cnfStyle w:val="000000100000" w:firstRow="0" w:lastRow="0" w:firstColumn="0" w:lastColumn="0" w:oddVBand="0" w:evenVBand="0" w:oddHBand="1" w:evenHBand="0" w:firstRowFirstColumn="0" w:firstRowLastColumn="0" w:lastRowFirstColumn="0" w:lastRowLastColumn="0"/>
          <w:trHeight w:val="20"/>
        </w:trPr>
        <w:tc>
          <w:tcPr>
            <w:tcW w:w="1621" w:type="pct"/>
            <w:hideMark/>
          </w:tcPr>
          <w:p w14:paraId="4075B3AF" w14:textId="77777777" w:rsidR="005E2BB1" w:rsidRPr="00F45F11" w:rsidRDefault="005E2BB1" w:rsidP="0072004C">
            <w:pPr>
              <w:pStyle w:val="ARTabletext"/>
              <w:rPr>
                <w:lang w:eastAsia="en-AU"/>
              </w:rPr>
            </w:pPr>
            <w:r w:rsidRPr="00F45F11">
              <w:rPr>
                <w:lang w:eastAsia="en-AU"/>
              </w:rPr>
              <w:t>$600,000–$619,999</w:t>
            </w:r>
          </w:p>
        </w:tc>
        <w:tc>
          <w:tcPr>
            <w:cnfStyle w:val="000001000000" w:firstRow="0" w:lastRow="0" w:firstColumn="0" w:lastColumn="0" w:oddVBand="0" w:evenVBand="1" w:oddHBand="0" w:evenHBand="0" w:firstRowFirstColumn="0" w:firstRowLastColumn="0" w:lastRowFirstColumn="0" w:lastRowLastColumn="0"/>
            <w:tcW w:w="1061" w:type="pct"/>
            <w:hideMark/>
          </w:tcPr>
          <w:p w14:paraId="7E7B237A" w14:textId="5A7DB4D8" w:rsidR="005E2BB1" w:rsidRPr="00F45F11" w:rsidRDefault="00F70081" w:rsidP="0072004C">
            <w:pPr>
              <w:pStyle w:val="ARtabletextright"/>
            </w:pPr>
            <w:r>
              <w:t>0</w:t>
            </w:r>
          </w:p>
        </w:tc>
        <w:tc>
          <w:tcPr>
            <w:tcW w:w="1166" w:type="pct"/>
            <w:hideMark/>
          </w:tcPr>
          <w:p w14:paraId="550CF688" w14:textId="77777777" w:rsidR="005E2BB1" w:rsidRPr="00F45F11" w:rsidRDefault="005E2BB1" w:rsidP="0072004C">
            <w:pPr>
              <w:pStyle w:val="ARtabletextright"/>
              <w:cnfStyle w:val="000000100000" w:firstRow="0" w:lastRow="0" w:firstColumn="0" w:lastColumn="0" w:oddVBand="0" w:evenVBand="0" w:oddHBand="1" w:evenHBand="0" w:firstRowFirstColumn="0" w:firstRowLastColumn="0" w:lastRowFirstColumn="0" w:lastRowLastColumn="0"/>
            </w:pPr>
            <w:r w:rsidRPr="00F45F11">
              <w:t>0</w:t>
            </w:r>
          </w:p>
        </w:tc>
        <w:tc>
          <w:tcPr>
            <w:cnfStyle w:val="000001000000" w:firstRow="0" w:lastRow="0" w:firstColumn="0" w:lastColumn="0" w:oddVBand="0" w:evenVBand="1" w:oddHBand="0" w:evenHBand="0" w:firstRowFirstColumn="0" w:firstRowLastColumn="0" w:lastRowFirstColumn="0" w:lastRowLastColumn="0"/>
            <w:tcW w:w="1152" w:type="pct"/>
            <w:hideMark/>
          </w:tcPr>
          <w:p w14:paraId="6D5A98F1" w14:textId="77777777" w:rsidR="005E2BB1" w:rsidRPr="00F45F11" w:rsidRDefault="005E2BB1" w:rsidP="0072004C">
            <w:pPr>
              <w:pStyle w:val="ARtabletextright"/>
            </w:pPr>
            <w:r w:rsidRPr="00F45F11">
              <w:t>0</w:t>
            </w:r>
          </w:p>
        </w:tc>
      </w:tr>
      <w:tr w:rsidR="00FA2A9E" w:rsidRPr="00F45F11" w14:paraId="4568912C" w14:textId="77777777" w:rsidTr="0072004C">
        <w:trPr>
          <w:cnfStyle w:val="000000010000" w:firstRow="0" w:lastRow="0" w:firstColumn="0" w:lastColumn="0" w:oddVBand="0" w:evenVBand="0" w:oddHBand="0" w:evenHBand="1" w:firstRowFirstColumn="0" w:firstRowLastColumn="0" w:lastRowFirstColumn="0" w:lastRowLastColumn="0"/>
          <w:trHeight w:val="20"/>
        </w:trPr>
        <w:tc>
          <w:tcPr>
            <w:tcW w:w="1621" w:type="pct"/>
          </w:tcPr>
          <w:p w14:paraId="6D01BAEC" w14:textId="238FB842" w:rsidR="00FA2A9E" w:rsidRPr="00F45F11" w:rsidRDefault="00FA2A9E" w:rsidP="00FA2A9E">
            <w:pPr>
              <w:pStyle w:val="ARTabletext"/>
              <w:rPr>
                <w:lang w:eastAsia="en-AU"/>
              </w:rPr>
            </w:pPr>
            <w:r w:rsidRPr="00F45F11">
              <w:rPr>
                <w:lang w:eastAsia="en-AU"/>
              </w:rPr>
              <w:t>$620,000</w:t>
            </w:r>
            <w:r w:rsidR="00195635" w:rsidRPr="00F45F11">
              <w:rPr>
                <w:lang w:eastAsia="en-AU"/>
              </w:rPr>
              <w:t>–</w:t>
            </w:r>
            <w:r w:rsidRPr="00F45F11">
              <w:rPr>
                <w:lang w:eastAsia="en-AU"/>
              </w:rPr>
              <w:t>$639,999</w:t>
            </w:r>
          </w:p>
        </w:tc>
        <w:tc>
          <w:tcPr>
            <w:cnfStyle w:val="000001000000" w:firstRow="0" w:lastRow="0" w:firstColumn="0" w:lastColumn="0" w:oddVBand="0" w:evenVBand="1" w:oddHBand="0" w:evenHBand="0" w:firstRowFirstColumn="0" w:firstRowLastColumn="0" w:lastRowFirstColumn="0" w:lastRowLastColumn="0"/>
            <w:tcW w:w="1061" w:type="pct"/>
          </w:tcPr>
          <w:p w14:paraId="766CF0C2" w14:textId="5B9C8422" w:rsidR="00FA2A9E" w:rsidRPr="00F45F11" w:rsidRDefault="00F70081" w:rsidP="00FA2A9E">
            <w:pPr>
              <w:pStyle w:val="ARtabletextright"/>
            </w:pPr>
            <w:r>
              <w:t>1</w:t>
            </w:r>
          </w:p>
        </w:tc>
        <w:tc>
          <w:tcPr>
            <w:tcW w:w="1166" w:type="pct"/>
          </w:tcPr>
          <w:p w14:paraId="4C5D3A96" w14:textId="7E753708" w:rsidR="00FA2A9E" w:rsidRPr="00F45F11" w:rsidRDefault="00FA2A9E" w:rsidP="00FA2A9E">
            <w:pPr>
              <w:pStyle w:val="ARtabletextright"/>
              <w:cnfStyle w:val="000000010000" w:firstRow="0" w:lastRow="0" w:firstColumn="0" w:lastColumn="0" w:oddVBand="0" w:evenVBand="0" w:oddHBand="0" w:evenHBand="1" w:firstRowFirstColumn="0" w:firstRowLastColumn="0" w:lastRowFirstColumn="0" w:lastRowLastColumn="0"/>
            </w:pPr>
            <w:r w:rsidRPr="00F45F11">
              <w:t>0</w:t>
            </w:r>
          </w:p>
        </w:tc>
        <w:tc>
          <w:tcPr>
            <w:cnfStyle w:val="000001000000" w:firstRow="0" w:lastRow="0" w:firstColumn="0" w:lastColumn="0" w:oddVBand="0" w:evenVBand="1" w:oddHBand="0" w:evenHBand="0" w:firstRowFirstColumn="0" w:firstRowLastColumn="0" w:lastRowFirstColumn="0" w:lastRowLastColumn="0"/>
            <w:tcW w:w="1152" w:type="pct"/>
          </w:tcPr>
          <w:p w14:paraId="2F9D6CED" w14:textId="71CD1D9F" w:rsidR="00FA2A9E" w:rsidRPr="00F45F11" w:rsidRDefault="00FA2A9E" w:rsidP="00FA2A9E">
            <w:pPr>
              <w:pStyle w:val="ARtabletextright"/>
            </w:pPr>
            <w:r w:rsidRPr="00F45F11">
              <w:t>0</w:t>
            </w:r>
          </w:p>
        </w:tc>
      </w:tr>
      <w:tr w:rsidR="005E2BB1" w:rsidRPr="00F45F11" w14:paraId="6AA22423" w14:textId="77777777" w:rsidTr="0072004C">
        <w:trPr>
          <w:cnfStyle w:val="010000000000" w:firstRow="0" w:lastRow="1" w:firstColumn="0" w:lastColumn="0" w:oddVBand="0" w:evenVBand="0" w:oddHBand="0" w:evenHBand="0" w:firstRowFirstColumn="0" w:firstRowLastColumn="0" w:lastRowFirstColumn="0" w:lastRowLastColumn="0"/>
          <w:trHeight w:val="20"/>
        </w:trPr>
        <w:tc>
          <w:tcPr>
            <w:tcW w:w="1621" w:type="pct"/>
            <w:hideMark/>
          </w:tcPr>
          <w:p w14:paraId="57960CFD" w14:textId="77777777" w:rsidR="005E2BB1" w:rsidRPr="00F45F11" w:rsidRDefault="005E2BB1" w:rsidP="0072004C">
            <w:pPr>
              <w:pStyle w:val="ARtabletextbold"/>
              <w:rPr>
                <w:lang w:eastAsia="en-AU"/>
              </w:rPr>
            </w:pPr>
            <w:r w:rsidRPr="00F45F11">
              <w:rPr>
                <w:lang w:eastAsia="en-AU"/>
              </w:rPr>
              <w:t>Total</w:t>
            </w:r>
          </w:p>
        </w:tc>
        <w:tc>
          <w:tcPr>
            <w:cnfStyle w:val="000001000000" w:firstRow="0" w:lastRow="0" w:firstColumn="0" w:lastColumn="0" w:oddVBand="0" w:evenVBand="1" w:oddHBand="0" w:evenHBand="0" w:firstRowFirstColumn="0" w:firstRowLastColumn="0" w:lastRowFirstColumn="0" w:lastRowLastColumn="0"/>
            <w:tcW w:w="1061" w:type="pct"/>
            <w:hideMark/>
          </w:tcPr>
          <w:p w14:paraId="327D351B" w14:textId="77777777" w:rsidR="005E2BB1" w:rsidRPr="00F45F11" w:rsidRDefault="005E2BB1" w:rsidP="0072004C">
            <w:pPr>
              <w:pStyle w:val="ARtabletextrightbold"/>
            </w:pPr>
            <w:r w:rsidRPr="00F45F11">
              <w:t>175</w:t>
            </w:r>
          </w:p>
        </w:tc>
        <w:tc>
          <w:tcPr>
            <w:tcW w:w="1166" w:type="pct"/>
            <w:hideMark/>
          </w:tcPr>
          <w:p w14:paraId="086B1591" w14:textId="77777777" w:rsidR="005E2BB1" w:rsidRPr="00F45F11" w:rsidRDefault="005E2BB1" w:rsidP="0072004C">
            <w:pPr>
              <w:pStyle w:val="ARtabletextrightbold"/>
              <w:cnfStyle w:val="010000000000" w:firstRow="0" w:lastRow="1" w:firstColumn="0" w:lastColumn="0" w:oddVBand="0" w:evenVBand="0" w:oddHBand="0" w:evenHBand="0" w:firstRowFirstColumn="0" w:firstRowLastColumn="0" w:lastRowFirstColumn="0" w:lastRowLastColumn="0"/>
            </w:pPr>
            <w:r w:rsidRPr="00F45F11">
              <w:t>20</w:t>
            </w:r>
          </w:p>
        </w:tc>
        <w:tc>
          <w:tcPr>
            <w:cnfStyle w:val="000001000000" w:firstRow="0" w:lastRow="0" w:firstColumn="0" w:lastColumn="0" w:oddVBand="0" w:evenVBand="1" w:oddHBand="0" w:evenHBand="0" w:firstRowFirstColumn="0" w:firstRowLastColumn="0" w:lastRowFirstColumn="0" w:lastRowLastColumn="0"/>
            <w:tcW w:w="1152" w:type="pct"/>
            <w:hideMark/>
          </w:tcPr>
          <w:p w14:paraId="0F271D77" w14:textId="77777777" w:rsidR="005E2BB1" w:rsidRPr="00F45F11" w:rsidRDefault="005E2BB1" w:rsidP="0072004C">
            <w:pPr>
              <w:pStyle w:val="ARtabletextrightbold"/>
            </w:pPr>
            <w:r w:rsidRPr="00F45F11">
              <w:t>0</w:t>
            </w:r>
          </w:p>
        </w:tc>
      </w:tr>
    </w:tbl>
    <w:p w14:paraId="6CDBD616" w14:textId="626EB0CB" w:rsidR="005E2BB1" w:rsidRPr="00F45F11" w:rsidRDefault="005E2BB1" w:rsidP="0072004C">
      <w:pPr>
        <w:pStyle w:val="Heading3"/>
      </w:pPr>
      <w:r w:rsidRPr="00F45F11">
        <w:t>Workforce data for the department’s portfolio entities</w:t>
      </w:r>
    </w:p>
    <w:p w14:paraId="48B10E04" w14:textId="26D6CAAF" w:rsidR="005E2BB1" w:rsidRPr="00F45F11" w:rsidRDefault="005E2BB1" w:rsidP="00434684">
      <w:pPr>
        <w:pStyle w:val="ARBody"/>
      </w:pPr>
      <w:r w:rsidRPr="00F45F11">
        <w:t>The department includes the following entities that employ public service employees independently of</w:t>
      </w:r>
      <w:r w:rsidR="0072004C" w:rsidRPr="00F45F11">
        <w:t> </w:t>
      </w:r>
      <w:r w:rsidRPr="00F45F11">
        <w:t>the department’s Secretary:</w:t>
      </w:r>
    </w:p>
    <w:p w14:paraId="4B738B64" w14:textId="77777777" w:rsidR="005E2BB1" w:rsidRPr="00F45F11" w:rsidRDefault="005E2BB1" w:rsidP="0072004C">
      <w:pPr>
        <w:pStyle w:val="ARBullet1"/>
      </w:pPr>
      <w:r w:rsidRPr="00F45F11">
        <w:t>Commission for Children and Young People</w:t>
      </w:r>
    </w:p>
    <w:p w14:paraId="2AB7504C" w14:textId="77777777" w:rsidR="005E2BB1" w:rsidRPr="00F45F11" w:rsidRDefault="005E2BB1" w:rsidP="0072004C">
      <w:pPr>
        <w:pStyle w:val="ARBullet1"/>
      </w:pPr>
      <w:r w:rsidRPr="00F45F11">
        <w:t>Queen Victoria Women’s Centre Trust</w:t>
      </w:r>
    </w:p>
    <w:p w14:paraId="55904CB3" w14:textId="77777777" w:rsidR="005E2BB1" w:rsidRPr="00F45F11" w:rsidRDefault="005E2BB1" w:rsidP="0072004C">
      <w:pPr>
        <w:pStyle w:val="ARBullet1"/>
      </w:pPr>
      <w:r w:rsidRPr="00F45F11">
        <w:t>Respect Victoria</w:t>
      </w:r>
    </w:p>
    <w:p w14:paraId="1BDB47BF" w14:textId="77777777" w:rsidR="005E2BB1" w:rsidRPr="00F45F11" w:rsidRDefault="005E2BB1" w:rsidP="0072004C">
      <w:pPr>
        <w:pStyle w:val="ARBullet1"/>
      </w:pPr>
      <w:r w:rsidRPr="00F45F11">
        <w:t>Social Service Regulator</w:t>
      </w:r>
    </w:p>
    <w:p w14:paraId="465C2043" w14:textId="77777777" w:rsidR="005E2BB1" w:rsidRPr="00F45F11" w:rsidRDefault="005E2BB1" w:rsidP="0072004C">
      <w:pPr>
        <w:pStyle w:val="ARBullet1"/>
      </w:pPr>
      <w:r w:rsidRPr="00F45F11">
        <w:t>Shrine of Remembrance Trustees</w:t>
      </w:r>
    </w:p>
    <w:p w14:paraId="574E74D1" w14:textId="77777777" w:rsidR="005E2BB1" w:rsidRPr="00F45F11" w:rsidRDefault="005E2BB1" w:rsidP="0072004C">
      <w:pPr>
        <w:pStyle w:val="ARBullet1"/>
      </w:pPr>
      <w:r w:rsidRPr="00F45F11">
        <w:t>Victorian Disability Worker Commission.</w:t>
      </w:r>
    </w:p>
    <w:p w14:paraId="77E464E4" w14:textId="32EE3DEF" w:rsidR="005E2BB1" w:rsidRPr="00F45F11" w:rsidRDefault="005E2BB1" w:rsidP="00D056EA">
      <w:pPr>
        <w:pStyle w:val="ARBodyafterbullets"/>
      </w:pPr>
      <w:r w:rsidRPr="00F45F11">
        <w:t>These portfolio entities produce their own annual reports. Therefore, comparative workforce data for these</w:t>
      </w:r>
      <w:r w:rsidR="005C31BC">
        <w:t> </w:t>
      </w:r>
      <w:r w:rsidRPr="00F45F11">
        <w:t>entities are included in their annual reports. The department does, however, disclose the number of</w:t>
      </w:r>
      <w:r w:rsidR="005C31BC">
        <w:t> </w:t>
      </w:r>
      <w:r w:rsidRPr="00F45F11">
        <w:t>executives for these portfolio entities in the ‘Executive data’ section of this report.</w:t>
      </w:r>
    </w:p>
    <w:p w14:paraId="368DA3BE" w14:textId="77777777" w:rsidR="005D1667" w:rsidRPr="00F45F11" w:rsidRDefault="005D1667" w:rsidP="005E2BB1">
      <w:pPr>
        <w:pStyle w:val="Heading2"/>
        <w:spacing w:before="0"/>
        <w:rPr>
          <w:rFonts w:eastAsia="Times"/>
        </w:rPr>
      </w:pPr>
      <w:bookmarkStart w:id="135" w:name="_Executive_data"/>
      <w:bookmarkStart w:id="136" w:name="_Toc241131708"/>
      <w:bookmarkStart w:id="137" w:name="Executivedata"/>
      <w:bookmarkEnd w:id="135"/>
      <w:r w:rsidRPr="00F45F11">
        <w:rPr>
          <w:rFonts w:eastAsia="Times"/>
        </w:rPr>
        <w:t>Executive data</w:t>
      </w:r>
      <w:bookmarkEnd w:id="133"/>
      <w:bookmarkEnd w:id="134"/>
      <w:bookmarkEnd w:id="136"/>
    </w:p>
    <w:bookmarkEnd w:id="137"/>
    <w:p w14:paraId="72CF8B22" w14:textId="1181F848" w:rsidR="005D1667" w:rsidRPr="00F45F11" w:rsidRDefault="005D1667" w:rsidP="00FA562B">
      <w:pPr>
        <w:pStyle w:val="ARBody"/>
      </w:pPr>
      <w:r w:rsidRPr="00F45F11">
        <w:t>The following tables disclose the Senior Executive Service (SES) numbers for the department and</w:t>
      </w:r>
      <w:r w:rsidR="00D056EA">
        <w:t> </w:t>
      </w:r>
      <w:r w:rsidRPr="00F45F11">
        <w:t>its portfolio entities for 30 June 2026.</w:t>
      </w:r>
    </w:p>
    <w:p w14:paraId="1F1992C3" w14:textId="421EAB49" w:rsidR="005D1667" w:rsidRPr="00F45F11" w:rsidRDefault="005D1667" w:rsidP="00384ED3">
      <w:pPr>
        <w:pStyle w:val="ARBullet1"/>
      </w:pPr>
      <w:r w:rsidRPr="00F45F11">
        <w:t xml:space="preserve">For the department, a member of the SES is defined as a person employed as an executive under </w:t>
      </w:r>
      <w:r w:rsidR="00D056EA">
        <w:br/>
      </w:r>
      <w:r w:rsidRPr="00F45F11">
        <w:t xml:space="preserve">part 3 of the </w:t>
      </w:r>
      <w:bookmarkStart w:id="138" w:name="PAA91"/>
      <w:r w:rsidRPr="00A124D1">
        <w:rPr>
          <w:rStyle w:val="Emphasis"/>
        </w:rPr>
        <w:t>Public Administration Act 2004</w:t>
      </w:r>
      <w:bookmarkEnd w:id="138"/>
      <w:r w:rsidRPr="00A124D1">
        <w:rPr>
          <w:rStyle w:val="Emphasis"/>
        </w:rPr>
        <w:t xml:space="preserve"> (PAA)</w:t>
      </w:r>
      <w:r w:rsidRPr="00F45F11">
        <w:t>.</w:t>
      </w:r>
    </w:p>
    <w:p w14:paraId="331FFC9C" w14:textId="77777777" w:rsidR="005D1667" w:rsidRPr="00F45F11" w:rsidRDefault="005D1667" w:rsidP="00384ED3">
      <w:pPr>
        <w:pStyle w:val="ARBullet1"/>
      </w:pPr>
      <w:r w:rsidRPr="00F45F11">
        <w:t xml:space="preserve">For a public body, an executive is defined under part 3 of the PAA or a person to whom the Victorian Government’s </w:t>
      </w:r>
      <w:r w:rsidRPr="00A124D1">
        <w:rPr>
          <w:rStyle w:val="Emphasis"/>
        </w:rPr>
        <w:t xml:space="preserve">Public Entity Executive Remuneration Policy </w:t>
      </w:r>
      <w:r w:rsidRPr="00F45F11">
        <w:t>applies.</w:t>
      </w:r>
    </w:p>
    <w:p w14:paraId="6D2AC83B" w14:textId="77777777" w:rsidR="005D1667" w:rsidRPr="00F45F11" w:rsidRDefault="005D1667" w:rsidP="00384ED3">
      <w:pPr>
        <w:pStyle w:val="ARBullet1"/>
      </w:pPr>
      <w:r w:rsidRPr="00F45F11">
        <w:t>All figures reflect employment levels at the last full pay period in June of the current and corresponding previous reporting year.</w:t>
      </w:r>
    </w:p>
    <w:p w14:paraId="1D507E4A" w14:textId="77777777" w:rsidR="005D1667" w:rsidRPr="00F45F11" w:rsidRDefault="005D1667" w:rsidP="00384ED3">
      <w:pPr>
        <w:pStyle w:val="ARBullet1"/>
      </w:pPr>
      <w:r w:rsidRPr="00F45F11">
        <w:t>The definition of an SES does not include a statutory office holder or an Accountable Officer.</w:t>
      </w:r>
    </w:p>
    <w:p w14:paraId="3409A44A" w14:textId="77777777" w:rsidR="005D1667" w:rsidRPr="00F45F11" w:rsidRDefault="005D1667" w:rsidP="005E2BB1">
      <w:pPr>
        <w:pStyle w:val="ARBodyafterbullets"/>
      </w:pPr>
      <w:r w:rsidRPr="00F45F11">
        <w:t>The following table discloses the variations between the currenting reporting period (2026) and previous reporting period (2025).</w:t>
      </w:r>
    </w:p>
    <w:p w14:paraId="70F088B1" w14:textId="77777777" w:rsidR="005D1667" w:rsidRPr="00F45F11" w:rsidRDefault="005D1667" w:rsidP="005E2BB1">
      <w:pPr>
        <w:pStyle w:val="ARTablecaption"/>
        <w:rPr>
          <w:rFonts w:eastAsia="Times"/>
        </w:rPr>
      </w:pPr>
      <w:r w:rsidRPr="00F45F11">
        <w:rPr>
          <w:rFonts w:eastAsia="Times"/>
        </w:rPr>
        <w:t>Table 3: Number of SES for the department broken down by gender</w:t>
      </w:r>
    </w:p>
    <w:tbl>
      <w:tblPr>
        <w:tblStyle w:val="ARtable1"/>
        <w:tblW w:w="5000" w:type="pct"/>
        <w:tblLook w:val="01E0" w:firstRow="1" w:lastRow="1" w:firstColumn="1" w:lastColumn="1" w:noHBand="0" w:noVBand="0"/>
      </w:tblPr>
      <w:tblGrid>
        <w:gridCol w:w="1229"/>
        <w:gridCol w:w="1033"/>
        <w:gridCol w:w="1033"/>
        <w:gridCol w:w="1032"/>
        <w:gridCol w:w="1032"/>
        <w:gridCol w:w="1030"/>
        <w:gridCol w:w="1031"/>
        <w:gridCol w:w="1101"/>
        <w:gridCol w:w="1101"/>
      </w:tblGrid>
      <w:tr w:rsidR="005D1667" w:rsidRPr="00F45F11" w14:paraId="66106802" w14:textId="77777777" w:rsidTr="001607CD">
        <w:trPr>
          <w:cnfStyle w:val="100000000000" w:firstRow="1" w:lastRow="0" w:firstColumn="0" w:lastColumn="0" w:oddVBand="0" w:evenVBand="0" w:oddHBand="0" w:evenHBand="0" w:firstRowFirstColumn="0" w:firstRowLastColumn="0" w:lastRowFirstColumn="0" w:lastRowLastColumn="0"/>
          <w:trHeight w:val="300"/>
          <w:tblHeader/>
        </w:trPr>
        <w:tc>
          <w:tcPr>
            <w:tcW w:w="1229" w:type="dxa"/>
            <w:hideMark/>
          </w:tcPr>
          <w:p w14:paraId="26C5376A" w14:textId="1298F331" w:rsidR="005D1667" w:rsidRPr="00F45F11" w:rsidRDefault="001607CD" w:rsidP="005E2BB1">
            <w:pPr>
              <w:pStyle w:val="ARtablecolhead"/>
              <w:rPr>
                <w:rFonts w:eastAsia="Times"/>
              </w:rPr>
            </w:pPr>
            <w:r w:rsidRPr="00F45F11">
              <w:rPr>
                <w:rFonts w:eastAsia="Times"/>
              </w:rPr>
              <w:t>Class</w:t>
            </w:r>
          </w:p>
        </w:tc>
        <w:tc>
          <w:tcPr>
            <w:cnfStyle w:val="000001000000" w:firstRow="0" w:lastRow="0" w:firstColumn="0" w:lastColumn="0" w:oddVBand="0" w:evenVBand="1" w:oddHBand="0" w:evenHBand="0" w:firstRowFirstColumn="0" w:firstRowLastColumn="0" w:lastRowFirstColumn="0" w:lastRowLastColumn="0"/>
            <w:tcW w:w="1033" w:type="dxa"/>
            <w:tcBorders>
              <w:top w:val="single" w:sz="4" w:space="0" w:color="201547" w:themeColor="text2"/>
            </w:tcBorders>
            <w:shd w:val="clear" w:color="auto" w:fill="E7E6E6" w:themeFill="background2"/>
            <w:hideMark/>
          </w:tcPr>
          <w:p w14:paraId="24167DCF" w14:textId="0DE54532" w:rsidR="001607CD" w:rsidRDefault="001607CD" w:rsidP="005E2BB1">
            <w:pPr>
              <w:pStyle w:val="ARtablecolheadright"/>
              <w:rPr>
                <w:rFonts w:eastAsia="Times"/>
              </w:rPr>
            </w:pPr>
            <w:r w:rsidRPr="00F45F11">
              <w:t>Total</w:t>
            </w:r>
          </w:p>
          <w:p w14:paraId="76EBA836" w14:textId="3E60D6A0" w:rsidR="005D1667" w:rsidRPr="00F45F11" w:rsidRDefault="005D1667" w:rsidP="005E2BB1">
            <w:pPr>
              <w:pStyle w:val="ARtablecolheadright"/>
              <w:rPr>
                <w:rFonts w:eastAsia="Times"/>
              </w:rPr>
            </w:pPr>
            <w:r w:rsidRPr="00F45F11">
              <w:rPr>
                <w:rFonts w:eastAsia="Times"/>
              </w:rPr>
              <w:t>No.</w:t>
            </w:r>
          </w:p>
        </w:tc>
        <w:tc>
          <w:tcPr>
            <w:tcW w:w="1033" w:type="dxa"/>
            <w:tcBorders>
              <w:top w:val="single" w:sz="4" w:space="0" w:color="201547" w:themeColor="text2"/>
            </w:tcBorders>
            <w:shd w:val="clear" w:color="auto" w:fill="E7E6E6" w:themeFill="background2"/>
            <w:hideMark/>
          </w:tcPr>
          <w:p w14:paraId="32E02CD7" w14:textId="3A614499" w:rsidR="001607CD" w:rsidRDefault="001607CD" w:rsidP="005E2BB1">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t>Total</w:t>
            </w:r>
          </w:p>
          <w:p w14:paraId="49A108A1" w14:textId="16D98C18" w:rsidR="005D1667" w:rsidRPr="00F45F11" w:rsidRDefault="005D1667" w:rsidP="005E2BB1">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Var.</w:t>
            </w:r>
          </w:p>
        </w:tc>
        <w:tc>
          <w:tcPr>
            <w:cnfStyle w:val="000001000000" w:firstRow="0" w:lastRow="0" w:firstColumn="0" w:lastColumn="0" w:oddVBand="0" w:evenVBand="1" w:oddHBand="0" w:evenHBand="0" w:firstRowFirstColumn="0" w:firstRowLastColumn="0" w:lastRowFirstColumn="0" w:lastRowLastColumn="0"/>
            <w:tcW w:w="1032" w:type="dxa"/>
            <w:tcBorders>
              <w:top w:val="single" w:sz="4" w:space="0" w:color="201547" w:themeColor="text2"/>
            </w:tcBorders>
            <w:shd w:val="clear" w:color="auto" w:fill="auto"/>
            <w:hideMark/>
          </w:tcPr>
          <w:p w14:paraId="180BC6E2" w14:textId="04BD5F4A" w:rsidR="001607CD" w:rsidRDefault="001607CD" w:rsidP="005E2BB1">
            <w:pPr>
              <w:pStyle w:val="ARtablecolheadright"/>
              <w:rPr>
                <w:rFonts w:eastAsia="Times"/>
              </w:rPr>
            </w:pPr>
            <w:r w:rsidRPr="00F45F11">
              <w:t>Women</w:t>
            </w:r>
          </w:p>
          <w:p w14:paraId="41D4E506" w14:textId="2F9C3E38" w:rsidR="005D1667" w:rsidRPr="00F45F11" w:rsidRDefault="005D1667" w:rsidP="005E2BB1">
            <w:pPr>
              <w:pStyle w:val="ARtablecolheadright"/>
              <w:rPr>
                <w:rFonts w:eastAsia="Times"/>
              </w:rPr>
            </w:pPr>
            <w:r w:rsidRPr="00F45F11">
              <w:rPr>
                <w:rFonts w:eastAsia="Times"/>
              </w:rPr>
              <w:t>No.</w:t>
            </w:r>
          </w:p>
        </w:tc>
        <w:tc>
          <w:tcPr>
            <w:tcW w:w="1032" w:type="dxa"/>
            <w:tcBorders>
              <w:top w:val="single" w:sz="4" w:space="0" w:color="201547" w:themeColor="text2"/>
            </w:tcBorders>
            <w:hideMark/>
          </w:tcPr>
          <w:p w14:paraId="71DCAB5A" w14:textId="4F4CEAAA" w:rsidR="001607CD" w:rsidRDefault="001607CD" w:rsidP="005E2BB1">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t>Women</w:t>
            </w:r>
          </w:p>
          <w:p w14:paraId="1F62FD89" w14:textId="5D250FD1" w:rsidR="005D1667" w:rsidRPr="00F45F11" w:rsidRDefault="005D1667" w:rsidP="005E2BB1">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Var.</w:t>
            </w:r>
          </w:p>
        </w:tc>
        <w:tc>
          <w:tcPr>
            <w:cnfStyle w:val="000001000000" w:firstRow="0" w:lastRow="0" w:firstColumn="0" w:lastColumn="0" w:oddVBand="0" w:evenVBand="1" w:oddHBand="0" w:evenHBand="0" w:firstRowFirstColumn="0" w:firstRowLastColumn="0" w:lastRowFirstColumn="0" w:lastRowLastColumn="0"/>
            <w:tcW w:w="1030" w:type="dxa"/>
            <w:tcBorders>
              <w:top w:val="single" w:sz="4" w:space="0" w:color="201547" w:themeColor="text2"/>
            </w:tcBorders>
            <w:shd w:val="clear" w:color="auto" w:fill="E7E6E6" w:themeFill="background2"/>
            <w:hideMark/>
          </w:tcPr>
          <w:p w14:paraId="43B5668C" w14:textId="1A3D5A43" w:rsidR="001607CD" w:rsidRDefault="001607CD" w:rsidP="005E2BB1">
            <w:pPr>
              <w:pStyle w:val="ARtablecolheadright"/>
              <w:rPr>
                <w:rFonts w:eastAsia="Times"/>
              </w:rPr>
            </w:pPr>
            <w:r w:rsidRPr="00F45F11">
              <w:t>Men</w:t>
            </w:r>
          </w:p>
          <w:p w14:paraId="33A528E4" w14:textId="39A68126" w:rsidR="005D1667" w:rsidRPr="00F45F11" w:rsidRDefault="005D1667" w:rsidP="005E2BB1">
            <w:pPr>
              <w:pStyle w:val="ARtablecolheadright"/>
              <w:rPr>
                <w:rFonts w:eastAsia="Times"/>
              </w:rPr>
            </w:pPr>
            <w:r w:rsidRPr="00F45F11">
              <w:rPr>
                <w:rFonts w:eastAsia="Times"/>
              </w:rPr>
              <w:t>No.</w:t>
            </w:r>
          </w:p>
        </w:tc>
        <w:tc>
          <w:tcPr>
            <w:tcW w:w="1031" w:type="dxa"/>
            <w:tcBorders>
              <w:top w:val="single" w:sz="4" w:space="0" w:color="201547" w:themeColor="text2"/>
            </w:tcBorders>
            <w:shd w:val="clear" w:color="auto" w:fill="E7E6E6" w:themeFill="background2"/>
            <w:hideMark/>
          </w:tcPr>
          <w:p w14:paraId="29ECF27D" w14:textId="3EBC8A6A" w:rsidR="001607CD" w:rsidRDefault="001607CD" w:rsidP="005E2BB1">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t>Men</w:t>
            </w:r>
          </w:p>
          <w:p w14:paraId="621E8E8A" w14:textId="212BD73D" w:rsidR="005D1667" w:rsidRPr="00F45F11" w:rsidRDefault="005D1667" w:rsidP="005E2BB1">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Var.</w:t>
            </w:r>
          </w:p>
        </w:tc>
        <w:tc>
          <w:tcPr>
            <w:cnfStyle w:val="000001000000" w:firstRow="0" w:lastRow="0" w:firstColumn="0" w:lastColumn="0" w:oddVBand="0" w:evenVBand="1" w:oddHBand="0" w:evenHBand="0" w:firstRowFirstColumn="0" w:firstRowLastColumn="0" w:lastRowFirstColumn="0" w:lastRowLastColumn="0"/>
            <w:tcW w:w="1101" w:type="dxa"/>
            <w:tcBorders>
              <w:top w:val="single" w:sz="4" w:space="0" w:color="201547" w:themeColor="text2"/>
            </w:tcBorders>
            <w:shd w:val="clear" w:color="auto" w:fill="auto"/>
            <w:hideMark/>
          </w:tcPr>
          <w:p w14:paraId="0A119214" w14:textId="386F3A7D" w:rsidR="001607CD" w:rsidRDefault="001607CD" w:rsidP="005E2BB1">
            <w:pPr>
              <w:pStyle w:val="ARtablecolheadright"/>
              <w:rPr>
                <w:rFonts w:eastAsia="Times"/>
              </w:rPr>
            </w:pPr>
            <w:r w:rsidRPr="00F45F11">
              <w:t>Self-described</w:t>
            </w:r>
          </w:p>
          <w:p w14:paraId="494F2A8F" w14:textId="021F6926" w:rsidR="005D1667" w:rsidRPr="00F45F11" w:rsidRDefault="005D1667" w:rsidP="005E2BB1">
            <w:pPr>
              <w:pStyle w:val="ARtablecolheadright"/>
              <w:rPr>
                <w:rFonts w:eastAsia="Times"/>
              </w:rPr>
            </w:pPr>
            <w:r w:rsidRPr="00F45F11">
              <w:rPr>
                <w:rFonts w:eastAsia="Times"/>
              </w:rPr>
              <w:t>No.</w:t>
            </w:r>
          </w:p>
        </w:tc>
        <w:tc>
          <w:tcPr>
            <w:tcW w:w="1101" w:type="dxa"/>
            <w:tcBorders>
              <w:top w:val="single" w:sz="4" w:space="0" w:color="201547" w:themeColor="text2"/>
            </w:tcBorders>
            <w:hideMark/>
          </w:tcPr>
          <w:p w14:paraId="11046308" w14:textId="1E23A441" w:rsidR="001607CD" w:rsidRDefault="001607CD" w:rsidP="005E2BB1">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t>Self-described</w:t>
            </w:r>
          </w:p>
          <w:p w14:paraId="7D209566" w14:textId="5F1DB061" w:rsidR="005D1667" w:rsidRPr="00F45F11" w:rsidRDefault="005D1667" w:rsidP="005E2BB1">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Var.</w:t>
            </w:r>
          </w:p>
        </w:tc>
      </w:tr>
      <w:tr w:rsidR="005D1667" w:rsidRPr="00F45F11" w14:paraId="1F42E433" w14:textId="77777777" w:rsidTr="001607CD">
        <w:trPr>
          <w:cnfStyle w:val="000000100000" w:firstRow="0" w:lastRow="0" w:firstColumn="0" w:lastColumn="0" w:oddVBand="0" w:evenVBand="0" w:oddHBand="1" w:evenHBand="0" w:firstRowFirstColumn="0" w:firstRowLastColumn="0" w:lastRowFirstColumn="0" w:lastRowLastColumn="0"/>
          <w:trHeight w:val="300"/>
        </w:trPr>
        <w:tc>
          <w:tcPr>
            <w:tcW w:w="1229" w:type="dxa"/>
            <w:hideMark/>
          </w:tcPr>
          <w:p w14:paraId="1E72FB9B" w14:textId="77777777" w:rsidR="005D1667" w:rsidRPr="00F45F11" w:rsidRDefault="005D1667" w:rsidP="005E2BB1">
            <w:pPr>
              <w:pStyle w:val="ARTabletext"/>
              <w:rPr>
                <w:rFonts w:eastAsia="Times"/>
              </w:rPr>
            </w:pPr>
            <w:r w:rsidRPr="00F45F11">
              <w:rPr>
                <w:rFonts w:eastAsia="Times"/>
              </w:rPr>
              <w:t>SES-3</w:t>
            </w:r>
          </w:p>
        </w:tc>
        <w:tc>
          <w:tcPr>
            <w:cnfStyle w:val="000001000000" w:firstRow="0" w:lastRow="0" w:firstColumn="0" w:lastColumn="0" w:oddVBand="0" w:evenVBand="1" w:oddHBand="0" w:evenHBand="0" w:firstRowFirstColumn="0" w:firstRowLastColumn="0" w:lastRowFirstColumn="0" w:lastRowLastColumn="0"/>
            <w:tcW w:w="1033" w:type="dxa"/>
            <w:shd w:val="clear" w:color="auto" w:fill="E7E6E6" w:themeFill="background2"/>
            <w:hideMark/>
          </w:tcPr>
          <w:p w14:paraId="3C2B2BD8" w14:textId="77777777" w:rsidR="005D1667" w:rsidRPr="00F45F11" w:rsidRDefault="005D1667" w:rsidP="005E2BB1">
            <w:pPr>
              <w:pStyle w:val="ARtabletextright"/>
              <w:rPr>
                <w:rFonts w:eastAsia="Times"/>
              </w:rPr>
            </w:pPr>
            <w:r w:rsidRPr="00F45F11">
              <w:rPr>
                <w:rFonts w:eastAsia="Times"/>
              </w:rPr>
              <w:t>7</w:t>
            </w:r>
          </w:p>
        </w:tc>
        <w:tc>
          <w:tcPr>
            <w:tcW w:w="1033" w:type="dxa"/>
            <w:shd w:val="clear" w:color="auto" w:fill="E7E6E6" w:themeFill="background2"/>
            <w:hideMark/>
          </w:tcPr>
          <w:p w14:paraId="5F3DE2B2" w14:textId="785E9B1B" w:rsidR="005D1667" w:rsidRPr="00F45F11" w:rsidRDefault="001A7218"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w:t>
            </w:r>
            <w:r w:rsidR="005D1667" w:rsidRPr="00F45F11">
              <w:rPr>
                <w:rFonts w:eastAsia="Times"/>
              </w:rPr>
              <w:t>2</w:t>
            </w:r>
          </w:p>
        </w:tc>
        <w:tc>
          <w:tcPr>
            <w:cnfStyle w:val="000001000000" w:firstRow="0" w:lastRow="0" w:firstColumn="0" w:lastColumn="0" w:oddVBand="0" w:evenVBand="1" w:oddHBand="0" w:evenHBand="0" w:firstRowFirstColumn="0" w:firstRowLastColumn="0" w:lastRowFirstColumn="0" w:lastRowLastColumn="0"/>
            <w:tcW w:w="1032" w:type="dxa"/>
            <w:shd w:val="clear" w:color="auto" w:fill="auto"/>
            <w:hideMark/>
          </w:tcPr>
          <w:p w14:paraId="642EAFB6" w14:textId="77777777" w:rsidR="005D1667" w:rsidRPr="00F45F11" w:rsidRDefault="005D1667" w:rsidP="005E2BB1">
            <w:pPr>
              <w:pStyle w:val="ARtabletextright"/>
              <w:rPr>
                <w:rFonts w:eastAsia="Times"/>
              </w:rPr>
            </w:pPr>
            <w:r w:rsidRPr="00F45F11">
              <w:rPr>
                <w:rFonts w:eastAsia="Times"/>
              </w:rPr>
              <w:t>4</w:t>
            </w:r>
          </w:p>
        </w:tc>
        <w:tc>
          <w:tcPr>
            <w:tcW w:w="1032" w:type="dxa"/>
            <w:hideMark/>
          </w:tcPr>
          <w:p w14:paraId="6E17CC48"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−2</w:t>
            </w:r>
          </w:p>
        </w:tc>
        <w:tc>
          <w:tcPr>
            <w:cnfStyle w:val="000001000000" w:firstRow="0" w:lastRow="0" w:firstColumn="0" w:lastColumn="0" w:oddVBand="0" w:evenVBand="1" w:oddHBand="0" w:evenHBand="0" w:firstRowFirstColumn="0" w:firstRowLastColumn="0" w:lastRowFirstColumn="0" w:lastRowLastColumn="0"/>
            <w:tcW w:w="1030" w:type="dxa"/>
            <w:shd w:val="clear" w:color="auto" w:fill="E7E6E6" w:themeFill="background2"/>
            <w:hideMark/>
          </w:tcPr>
          <w:p w14:paraId="2204C6F7" w14:textId="77777777" w:rsidR="005D1667" w:rsidRPr="00F45F11" w:rsidRDefault="005D1667" w:rsidP="005E2BB1">
            <w:pPr>
              <w:pStyle w:val="ARtabletextright"/>
              <w:rPr>
                <w:rFonts w:eastAsia="Times"/>
              </w:rPr>
            </w:pPr>
            <w:r w:rsidRPr="00F45F11">
              <w:rPr>
                <w:rFonts w:eastAsia="Times"/>
              </w:rPr>
              <w:t>3</w:t>
            </w:r>
          </w:p>
        </w:tc>
        <w:tc>
          <w:tcPr>
            <w:tcW w:w="1031" w:type="dxa"/>
            <w:shd w:val="clear" w:color="auto" w:fill="E7E6E6" w:themeFill="background2"/>
            <w:hideMark/>
          </w:tcPr>
          <w:p w14:paraId="2C51BF48"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0</w:t>
            </w:r>
          </w:p>
        </w:tc>
        <w:tc>
          <w:tcPr>
            <w:cnfStyle w:val="000001000000" w:firstRow="0" w:lastRow="0" w:firstColumn="0" w:lastColumn="0" w:oddVBand="0" w:evenVBand="1" w:oddHBand="0" w:evenHBand="0" w:firstRowFirstColumn="0" w:firstRowLastColumn="0" w:lastRowFirstColumn="0" w:lastRowLastColumn="0"/>
            <w:tcW w:w="1101" w:type="dxa"/>
            <w:shd w:val="clear" w:color="auto" w:fill="auto"/>
            <w:hideMark/>
          </w:tcPr>
          <w:p w14:paraId="572406EB" w14:textId="77777777" w:rsidR="005D1667" w:rsidRPr="00F45F11" w:rsidRDefault="005D1667" w:rsidP="005E2BB1">
            <w:pPr>
              <w:pStyle w:val="ARtabletextright"/>
              <w:rPr>
                <w:rFonts w:eastAsia="Times"/>
              </w:rPr>
            </w:pPr>
            <w:r w:rsidRPr="00F45F11">
              <w:rPr>
                <w:rFonts w:eastAsia="Times"/>
              </w:rPr>
              <w:t>0</w:t>
            </w:r>
          </w:p>
        </w:tc>
        <w:tc>
          <w:tcPr>
            <w:tcW w:w="1101" w:type="dxa"/>
            <w:hideMark/>
          </w:tcPr>
          <w:p w14:paraId="1C2A5671"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0</w:t>
            </w:r>
          </w:p>
        </w:tc>
      </w:tr>
      <w:tr w:rsidR="005D1667" w:rsidRPr="00F45F11" w14:paraId="7C2D9081" w14:textId="77777777" w:rsidTr="001607CD">
        <w:trPr>
          <w:cnfStyle w:val="000000010000" w:firstRow="0" w:lastRow="0" w:firstColumn="0" w:lastColumn="0" w:oddVBand="0" w:evenVBand="0" w:oddHBand="0" w:evenHBand="1" w:firstRowFirstColumn="0" w:firstRowLastColumn="0" w:lastRowFirstColumn="0" w:lastRowLastColumn="0"/>
          <w:trHeight w:val="300"/>
        </w:trPr>
        <w:tc>
          <w:tcPr>
            <w:tcW w:w="1229" w:type="dxa"/>
            <w:hideMark/>
          </w:tcPr>
          <w:p w14:paraId="64394660" w14:textId="77777777" w:rsidR="005D1667" w:rsidRPr="00F45F11" w:rsidRDefault="005D1667" w:rsidP="005E2BB1">
            <w:pPr>
              <w:pStyle w:val="ARTabletext"/>
              <w:rPr>
                <w:rFonts w:eastAsia="Times"/>
              </w:rPr>
            </w:pPr>
            <w:r w:rsidRPr="00F45F11">
              <w:rPr>
                <w:rFonts w:eastAsia="Times"/>
              </w:rPr>
              <w:t>SES-2</w:t>
            </w:r>
          </w:p>
        </w:tc>
        <w:tc>
          <w:tcPr>
            <w:cnfStyle w:val="000001000000" w:firstRow="0" w:lastRow="0" w:firstColumn="0" w:lastColumn="0" w:oddVBand="0" w:evenVBand="1" w:oddHBand="0" w:evenHBand="0" w:firstRowFirstColumn="0" w:firstRowLastColumn="0" w:lastRowFirstColumn="0" w:lastRowLastColumn="0"/>
            <w:tcW w:w="1033" w:type="dxa"/>
            <w:shd w:val="clear" w:color="auto" w:fill="E7E6E6" w:themeFill="background2"/>
            <w:hideMark/>
          </w:tcPr>
          <w:p w14:paraId="044DC684" w14:textId="77777777" w:rsidR="005D1667" w:rsidRPr="00F45F11" w:rsidRDefault="005D1667" w:rsidP="005E2BB1">
            <w:pPr>
              <w:pStyle w:val="ARtabletextright"/>
              <w:rPr>
                <w:rFonts w:eastAsia="Times"/>
              </w:rPr>
            </w:pPr>
            <w:r w:rsidRPr="00F45F11">
              <w:rPr>
                <w:rFonts w:eastAsia="Times"/>
              </w:rPr>
              <w:t>54</w:t>
            </w:r>
          </w:p>
        </w:tc>
        <w:tc>
          <w:tcPr>
            <w:tcW w:w="1033" w:type="dxa"/>
            <w:shd w:val="clear" w:color="auto" w:fill="E7E6E6" w:themeFill="background2"/>
            <w:hideMark/>
          </w:tcPr>
          <w:p w14:paraId="36C5702C" w14:textId="77777777" w:rsidR="005D1667" w:rsidRPr="00F45F11" w:rsidRDefault="005D1667" w:rsidP="005E2BB1">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-7</w:t>
            </w:r>
          </w:p>
        </w:tc>
        <w:tc>
          <w:tcPr>
            <w:cnfStyle w:val="000001000000" w:firstRow="0" w:lastRow="0" w:firstColumn="0" w:lastColumn="0" w:oddVBand="0" w:evenVBand="1" w:oddHBand="0" w:evenHBand="0" w:firstRowFirstColumn="0" w:firstRowLastColumn="0" w:lastRowFirstColumn="0" w:lastRowLastColumn="0"/>
            <w:tcW w:w="1032" w:type="dxa"/>
            <w:shd w:val="clear" w:color="auto" w:fill="auto"/>
            <w:hideMark/>
          </w:tcPr>
          <w:p w14:paraId="4F6D26FE" w14:textId="77777777" w:rsidR="005D1667" w:rsidRPr="00F45F11" w:rsidRDefault="005D1667" w:rsidP="005E2BB1">
            <w:pPr>
              <w:pStyle w:val="ARtabletextright"/>
              <w:rPr>
                <w:rFonts w:eastAsia="Times"/>
              </w:rPr>
            </w:pPr>
            <w:r w:rsidRPr="00F45F11">
              <w:rPr>
                <w:rFonts w:eastAsia="Times"/>
              </w:rPr>
              <w:t>41</w:t>
            </w:r>
          </w:p>
        </w:tc>
        <w:tc>
          <w:tcPr>
            <w:tcW w:w="1032" w:type="dxa"/>
            <w:hideMark/>
          </w:tcPr>
          <w:p w14:paraId="297DC467" w14:textId="77777777" w:rsidR="005D1667" w:rsidRPr="00F45F11" w:rsidRDefault="005D1667" w:rsidP="005E2BB1">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-5</w:t>
            </w:r>
          </w:p>
        </w:tc>
        <w:tc>
          <w:tcPr>
            <w:cnfStyle w:val="000001000000" w:firstRow="0" w:lastRow="0" w:firstColumn="0" w:lastColumn="0" w:oddVBand="0" w:evenVBand="1" w:oddHBand="0" w:evenHBand="0" w:firstRowFirstColumn="0" w:firstRowLastColumn="0" w:lastRowFirstColumn="0" w:lastRowLastColumn="0"/>
            <w:tcW w:w="1030" w:type="dxa"/>
            <w:shd w:val="clear" w:color="auto" w:fill="E7E6E6" w:themeFill="background2"/>
            <w:hideMark/>
          </w:tcPr>
          <w:p w14:paraId="58E46CFF" w14:textId="77777777" w:rsidR="005D1667" w:rsidRPr="00F45F11" w:rsidRDefault="005D1667" w:rsidP="005E2BB1">
            <w:pPr>
              <w:pStyle w:val="ARtabletextright"/>
              <w:rPr>
                <w:rFonts w:eastAsia="Times"/>
              </w:rPr>
            </w:pPr>
            <w:r w:rsidRPr="00F45F11">
              <w:rPr>
                <w:rFonts w:eastAsia="Times"/>
              </w:rPr>
              <w:t>13</w:t>
            </w:r>
          </w:p>
        </w:tc>
        <w:tc>
          <w:tcPr>
            <w:tcW w:w="1031" w:type="dxa"/>
            <w:shd w:val="clear" w:color="auto" w:fill="E7E6E6" w:themeFill="background2"/>
            <w:hideMark/>
          </w:tcPr>
          <w:p w14:paraId="4E365AB6" w14:textId="17BE87E4" w:rsidR="005D1667" w:rsidRPr="00F45F11" w:rsidRDefault="001A7218" w:rsidP="005E2BB1">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w:t>
            </w:r>
            <w:r w:rsidR="005D1667" w:rsidRPr="00F45F11">
              <w:rPr>
                <w:rFonts w:eastAsia="Times"/>
              </w:rPr>
              <w:t>2</w:t>
            </w:r>
          </w:p>
        </w:tc>
        <w:tc>
          <w:tcPr>
            <w:cnfStyle w:val="000001000000" w:firstRow="0" w:lastRow="0" w:firstColumn="0" w:lastColumn="0" w:oddVBand="0" w:evenVBand="1" w:oddHBand="0" w:evenHBand="0" w:firstRowFirstColumn="0" w:firstRowLastColumn="0" w:lastRowFirstColumn="0" w:lastRowLastColumn="0"/>
            <w:tcW w:w="1101" w:type="dxa"/>
            <w:shd w:val="clear" w:color="auto" w:fill="auto"/>
            <w:hideMark/>
          </w:tcPr>
          <w:p w14:paraId="1642DD6C" w14:textId="77777777" w:rsidR="005D1667" w:rsidRPr="00F45F11" w:rsidRDefault="005D1667" w:rsidP="005E2BB1">
            <w:pPr>
              <w:pStyle w:val="ARtabletextright"/>
              <w:rPr>
                <w:rFonts w:eastAsia="Times"/>
              </w:rPr>
            </w:pPr>
            <w:r w:rsidRPr="00F45F11">
              <w:rPr>
                <w:rFonts w:eastAsia="Times"/>
              </w:rPr>
              <w:t>0</w:t>
            </w:r>
          </w:p>
        </w:tc>
        <w:tc>
          <w:tcPr>
            <w:tcW w:w="1101" w:type="dxa"/>
            <w:hideMark/>
          </w:tcPr>
          <w:p w14:paraId="1E3541E4" w14:textId="77777777" w:rsidR="005D1667" w:rsidRPr="00F45F11" w:rsidRDefault="005D1667" w:rsidP="005E2BB1">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0</w:t>
            </w:r>
          </w:p>
        </w:tc>
      </w:tr>
      <w:tr w:rsidR="005D1667" w:rsidRPr="00F45F11" w14:paraId="2F76C21F" w14:textId="77777777" w:rsidTr="001607CD">
        <w:trPr>
          <w:cnfStyle w:val="000000100000" w:firstRow="0" w:lastRow="0" w:firstColumn="0" w:lastColumn="0" w:oddVBand="0" w:evenVBand="0" w:oddHBand="1" w:evenHBand="0" w:firstRowFirstColumn="0" w:firstRowLastColumn="0" w:lastRowFirstColumn="0" w:lastRowLastColumn="0"/>
          <w:trHeight w:val="300"/>
        </w:trPr>
        <w:tc>
          <w:tcPr>
            <w:tcW w:w="1229" w:type="dxa"/>
            <w:hideMark/>
          </w:tcPr>
          <w:p w14:paraId="7B0DAC68" w14:textId="77777777" w:rsidR="005D1667" w:rsidRPr="00F45F11" w:rsidRDefault="005D1667" w:rsidP="005E2BB1">
            <w:pPr>
              <w:pStyle w:val="ARTabletext"/>
              <w:rPr>
                <w:rFonts w:eastAsia="Times"/>
              </w:rPr>
            </w:pPr>
            <w:r w:rsidRPr="00F45F11">
              <w:rPr>
                <w:rFonts w:eastAsia="Times"/>
              </w:rPr>
              <w:t>SES-1</w:t>
            </w:r>
          </w:p>
        </w:tc>
        <w:tc>
          <w:tcPr>
            <w:cnfStyle w:val="000001000000" w:firstRow="0" w:lastRow="0" w:firstColumn="0" w:lastColumn="0" w:oddVBand="0" w:evenVBand="1" w:oddHBand="0" w:evenHBand="0" w:firstRowFirstColumn="0" w:firstRowLastColumn="0" w:lastRowFirstColumn="0" w:lastRowLastColumn="0"/>
            <w:tcW w:w="1033" w:type="dxa"/>
            <w:shd w:val="clear" w:color="auto" w:fill="E7E6E6" w:themeFill="background2"/>
            <w:hideMark/>
          </w:tcPr>
          <w:p w14:paraId="569C023F" w14:textId="77777777" w:rsidR="005D1667" w:rsidRPr="00F45F11" w:rsidRDefault="005D1667" w:rsidP="005E2BB1">
            <w:pPr>
              <w:pStyle w:val="ARtabletextright"/>
              <w:rPr>
                <w:rFonts w:eastAsia="Times"/>
              </w:rPr>
            </w:pPr>
            <w:r w:rsidRPr="00F45F11">
              <w:rPr>
                <w:rFonts w:eastAsia="Times"/>
              </w:rPr>
              <w:t>112</w:t>
            </w:r>
          </w:p>
        </w:tc>
        <w:tc>
          <w:tcPr>
            <w:tcW w:w="1033" w:type="dxa"/>
            <w:shd w:val="clear" w:color="auto" w:fill="E7E6E6" w:themeFill="background2"/>
            <w:hideMark/>
          </w:tcPr>
          <w:p w14:paraId="3A0F1D74"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-2</w:t>
            </w:r>
          </w:p>
        </w:tc>
        <w:tc>
          <w:tcPr>
            <w:cnfStyle w:val="000001000000" w:firstRow="0" w:lastRow="0" w:firstColumn="0" w:lastColumn="0" w:oddVBand="0" w:evenVBand="1" w:oddHBand="0" w:evenHBand="0" w:firstRowFirstColumn="0" w:firstRowLastColumn="0" w:lastRowFirstColumn="0" w:lastRowLastColumn="0"/>
            <w:tcW w:w="1032" w:type="dxa"/>
            <w:shd w:val="clear" w:color="auto" w:fill="auto"/>
            <w:hideMark/>
          </w:tcPr>
          <w:p w14:paraId="70E9BA90" w14:textId="77777777" w:rsidR="005D1667" w:rsidRPr="00F45F11" w:rsidRDefault="005D1667" w:rsidP="005E2BB1">
            <w:pPr>
              <w:pStyle w:val="ARtabletextright"/>
              <w:rPr>
                <w:rFonts w:eastAsia="Times"/>
              </w:rPr>
            </w:pPr>
            <w:r w:rsidRPr="00F45F11">
              <w:rPr>
                <w:rFonts w:eastAsia="Times"/>
              </w:rPr>
              <w:t>81</w:t>
            </w:r>
          </w:p>
        </w:tc>
        <w:tc>
          <w:tcPr>
            <w:tcW w:w="1032" w:type="dxa"/>
            <w:hideMark/>
          </w:tcPr>
          <w:p w14:paraId="51A714D5"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7</w:t>
            </w:r>
          </w:p>
        </w:tc>
        <w:tc>
          <w:tcPr>
            <w:cnfStyle w:val="000001000000" w:firstRow="0" w:lastRow="0" w:firstColumn="0" w:lastColumn="0" w:oddVBand="0" w:evenVBand="1" w:oddHBand="0" w:evenHBand="0" w:firstRowFirstColumn="0" w:firstRowLastColumn="0" w:lastRowFirstColumn="0" w:lastRowLastColumn="0"/>
            <w:tcW w:w="1030" w:type="dxa"/>
            <w:shd w:val="clear" w:color="auto" w:fill="E7E6E6" w:themeFill="background2"/>
            <w:hideMark/>
          </w:tcPr>
          <w:p w14:paraId="11D70639" w14:textId="77777777" w:rsidR="005D1667" w:rsidRPr="00F45F11" w:rsidRDefault="005D1667" w:rsidP="005E2BB1">
            <w:pPr>
              <w:pStyle w:val="ARtabletextright"/>
              <w:rPr>
                <w:rFonts w:eastAsia="Times"/>
              </w:rPr>
            </w:pPr>
            <w:r w:rsidRPr="00F45F11">
              <w:rPr>
                <w:rFonts w:eastAsia="Times"/>
              </w:rPr>
              <w:t>28</w:t>
            </w:r>
          </w:p>
        </w:tc>
        <w:tc>
          <w:tcPr>
            <w:tcW w:w="1031" w:type="dxa"/>
            <w:shd w:val="clear" w:color="auto" w:fill="E7E6E6" w:themeFill="background2"/>
            <w:hideMark/>
          </w:tcPr>
          <w:p w14:paraId="01168031"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C0062A">
              <w:rPr>
                <w:rStyle w:val="ARtablefootnotenumberedChar"/>
              </w:rPr>
              <w:t>-</w:t>
            </w:r>
            <w:r w:rsidRPr="00F45F11">
              <w:rPr>
                <w:rFonts w:eastAsia="Times"/>
              </w:rPr>
              <w:t>9</w:t>
            </w:r>
          </w:p>
        </w:tc>
        <w:tc>
          <w:tcPr>
            <w:cnfStyle w:val="000001000000" w:firstRow="0" w:lastRow="0" w:firstColumn="0" w:lastColumn="0" w:oddVBand="0" w:evenVBand="1" w:oddHBand="0" w:evenHBand="0" w:firstRowFirstColumn="0" w:firstRowLastColumn="0" w:lastRowFirstColumn="0" w:lastRowLastColumn="0"/>
            <w:tcW w:w="1101" w:type="dxa"/>
            <w:shd w:val="clear" w:color="auto" w:fill="auto"/>
            <w:hideMark/>
          </w:tcPr>
          <w:p w14:paraId="57409637" w14:textId="77777777" w:rsidR="005D1667" w:rsidRPr="00F45F11" w:rsidRDefault="005D1667" w:rsidP="005E2BB1">
            <w:pPr>
              <w:pStyle w:val="ARtabletextright"/>
              <w:rPr>
                <w:rFonts w:eastAsia="Times"/>
              </w:rPr>
            </w:pPr>
            <w:r w:rsidRPr="00F45F11">
              <w:rPr>
                <w:rFonts w:eastAsia="Times"/>
              </w:rPr>
              <w:t>3</w:t>
            </w:r>
          </w:p>
        </w:tc>
        <w:tc>
          <w:tcPr>
            <w:tcW w:w="1101" w:type="dxa"/>
            <w:hideMark/>
          </w:tcPr>
          <w:p w14:paraId="63CFA195"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0</w:t>
            </w:r>
          </w:p>
        </w:tc>
      </w:tr>
      <w:tr w:rsidR="005D1667" w:rsidRPr="00F45F11" w14:paraId="3BBF211D" w14:textId="77777777" w:rsidTr="001607CD">
        <w:trPr>
          <w:cnfStyle w:val="010000000000" w:firstRow="0" w:lastRow="1" w:firstColumn="0" w:lastColumn="0" w:oddVBand="0" w:evenVBand="0" w:oddHBand="0" w:evenHBand="0" w:firstRowFirstColumn="0" w:firstRowLastColumn="0" w:lastRowFirstColumn="0" w:lastRowLastColumn="0"/>
          <w:trHeight w:val="300"/>
        </w:trPr>
        <w:tc>
          <w:tcPr>
            <w:tcW w:w="1229" w:type="dxa"/>
            <w:hideMark/>
          </w:tcPr>
          <w:p w14:paraId="7A01F5CD" w14:textId="77777777" w:rsidR="005D1667" w:rsidRPr="00F45F11" w:rsidRDefault="005D1667" w:rsidP="005E2BB1">
            <w:pPr>
              <w:pStyle w:val="ARtabletextbold"/>
              <w:rPr>
                <w:rFonts w:eastAsia="Times"/>
              </w:rPr>
            </w:pPr>
            <w:r w:rsidRPr="00F45F11">
              <w:rPr>
                <w:rFonts w:eastAsia="Times"/>
              </w:rPr>
              <w:t>Total</w:t>
            </w:r>
          </w:p>
        </w:tc>
        <w:tc>
          <w:tcPr>
            <w:cnfStyle w:val="000001000000" w:firstRow="0" w:lastRow="0" w:firstColumn="0" w:lastColumn="0" w:oddVBand="0" w:evenVBand="1" w:oddHBand="0" w:evenHBand="0" w:firstRowFirstColumn="0" w:firstRowLastColumn="0" w:lastRowFirstColumn="0" w:lastRowLastColumn="0"/>
            <w:tcW w:w="1033" w:type="dxa"/>
            <w:shd w:val="clear" w:color="auto" w:fill="E7E6E6" w:themeFill="background2"/>
            <w:hideMark/>
          </w:tcPr>
          <w:p w14:paraId="383FB1CF" w14:textId="77777777" w:rsidR="005D1667" w:rsidRPr="00F45F11" w:rsidRDefault="005D1667" w:rsidP="005E2BB1">
            <w:pPr>
              <w:pStyle w:val="ARtabletextrightbold"/>
              <w:rPr>
                <w:rFonts w:eastAsia="Times"/>
              </w:rPr>
            </w:pPr>
            <w:r w:rsidRPr="00F45F11">
              <w:rPr>
                <w:rFonts w:eastAsia="Times"/>
              </w:rPr>
              <w:t>173</w:t>
            </w:r>
          </w:p>
        </w:tc>
        <w:tc>
          <w:tcPr>
            <w:tcW w:w="1033" w:type="dxa"/>
            <w:shd w:val="clear" w:color="auto" w:fill="E7E6E6" w:themeFill="background2"/>
            <w:hideMark/>
          </w:tcPr>
          <w:p w14:paraId="7E95213F" w14:textId="77777777" w:rsidR="005D1667" w:rsidRPr="00F45F11" w:rsidRDefault="005D1667" w:rsidP="005E2BB1">
            <w:pPr>
              <w:pStyle w:val="ARtabletextrightbold"/>
              <w:cnfStyle w:val="010000000000" w:firstRow="0" w:lastRow="1" w:firstColumn="0" w:lastColumn="0" w:oddVBand="0" w:evenVBand="0" w:oddHBand="0" w:evenHBand="0" w:firstRowFirstColumn="0" w:firstRowLastColumn="0" w:lastRowFirstColumn="0" w:lastRowLastColumn="0"/>
              <w:rPr>
                <w:rFonts w:eastAsia="Times"/>
              </w:rPr>
            </w:pPr>
            <w:r w:rsidRPr="00F45F11">
              <w:rPr>
                <w:rFonts w:eastAsia="Times"/>
              </w:rPr>
              <w:t>-11</w:t>
            </w:r>
          </w:p>
        </w:tc>
        <w:tc>
          <w:tcPr>
            <w:cnfStyle w:val="000001000000" w:firstRow="0" w:lastRow="0" w:firstColumn="0" w:lastColumn="0" w:oddVBand="0" w:evenVBand="1" w:oddHBand="0" w:evenHBand="0" w:firstRowFirstColumn="0" w:firstRowLastColumn="0" w:lastRowFirstColumn="0" w:lastRowLastColumn="0"/>
            <w:tcW w:w="1032" w:type="dxa"/>
            <w:shd w:val="clear" w:color="auto" w:fill="auto"/>
            <w:hideMark/>
          </w:tcPr>
          <w:p w14:paraId="3A295FEE" w14:textId="77777777" w:rsidR="005D1667" w:rsidRPr="00F45F11" w:rsidRDefault="005D1667" w:rsidP="005E2BB1">
            <w:pPr>
              <w:pStyle w:val="ARtabletextrightbold"/>
              <w:rPr>
                <w:rFonts w:eastAsia="Times"/>
              </w:rPr>
            </w:pPr>
            <w:r w:rsidRPr="00F45F11">
              <w:rPr>
                <w:rFonts w:eastAsia="Times"/>
              </w:rPr>
              <w:t>126</w:t>
            </w:r>
          </w:p>
        </w:tc>
        <w:tc>
          <w:tcPr>
            <w:tcW w:w="1032" w:type="dxa"/>
            <w:hideMark/>
          </w:tcPr>
          <w:p w14:paraId="6051F29E" w14:textId="77777777" w:rsidR="005D1667" w:rsidRPr="00F45F11" w:rsidRDefault="005D1667" w:rsidP="005E2BB1">
            <w:pPr>
              <w:pStyle w:val="ARtabletextrightbold"/>
              <w:cnfStyle w:val="010000000000" w:firstRow="0" w:lastRow="1" w:firstColumn="0" w:lastColumn="0" w:oddVBand="0" w:evenVBand="0" w:oddHBand="0" w:evenHBand="0" w:firstRowFirstColumn="0" w:firstRowLastColumn="0" w:lastRowFirstColumn="0" w:lastRowLastColumn="0"/>
              <w:rPr>
                <w:rFonts w:eastAsia="Times"/>
              </w:rPr>
            </w:pPr>
            <w:r w:rsidRPr="00F45F11">
              <w:rPr>
                <w:rFonts w:eastAsia="Times"/>
              </w:rPr>
              <w:t>0</w:t>
            </w:r>
          </w:p>
        </w:tc>
        <w:tc>
          <w:tcPr>
            <w:cnfStyle w:val="000001000000" w:firstRow="0" w:lastRow="0" w:firstColumn="0" w:lastColumn="0" w:oddVBand="0" w:evenVBand="1" w:oddHBand="0" w:evenHBand="0" w:firstRowFirstColumn="0" w:firstRowLastColumn="0" w:lastRowFirstColumn="0" w:lastRowLastColumn="0"/>
            <w:tcW w:w="1030" w:type="dxa"/>
            <w:shd w:val="clear" w:color="auto" w:fill="E7E6E6" w:themeFill="background2"/>
            <w:hideMark/>
          </w:tcPr>
          <w:p w14:paraId="42D58A57" w14:textId="77777777" w:rsidR="005D1667" w:rsidRPr="00F45F11" w:rsidRDefault="005D1667" w:rsidP="005E2BB1">
            <w:pPr>
              <w:pStyle w:val="ARtabletextrightbold"/>
              <w:rPr>
                <w:rFonts w:eastAsia="Times"/>
              </w:rPr>
            </w:pPr>
            <w:r w:rsidRPr="00F45F11">
              <w:rPr>
                <w:rFonts w:eastAsia="Times"/>
              </w:rPr>
              <w:t>44</w:t>
            </w:r>
          </w:p>
        </w:tc>
        <w:tc>
          <w:tcPr>
            <w:tcW w:w="1031" w:type="dxa"/>
            <w:shd w:val="clear" w:color="auto" w:fill="E7E6E6" w:themeFill="background2"/>
            <w:hideMark/>
          </w:tcPr>
          <w:p w14:paraId="1528F783" w14:textId="77777777" w:rsidR="005D1667" w:rsidRPr="00F45F11" w:rsidRDefault="005D1667" w:rsidP="005E2BB1">
            <w:pPr>
              <w:pStyle w:val="ARtabletextrightbold"/>
              <w:cnfStyle w:val="010000000000" w:firstRow="0" w:lastRow="1" w:firstColumn="0" w:lastColumn="0" w:oddVBand="0" w:evenVBand="0" w:oddHBand="0" w:evenHBand="0" w:firstRowFirstColumn="0" w:firstRowLastColumn="0" w:lastRowFirstColumn="0" w:lastRowLastColumn="0"/>
              <w:rPr>
                <w:rFonts w:eastAsia="Times"/>
              </w:rPr>
            </w:pPr>
            <w:r w:rsidRPr="00F45F11">
              <w:rPr>
                <w:rFonts w:eastAsia="Times"/>
              </w:rPr>
              <w:t>-11</w:t>
            </w:r>
          </w:p>
        </w:tc>
        <w:tc>
          <w:tcPr>
            <w:cnfStyle w:val="000001000000" w:firstRow="0" w:lastRow="0" w:firstColumn="0" w:lastColumn="0" w:oddVBand="0" w:evenVBand="1" w:oddHBand="0" w:evenHBand="0" w:firstRowFirstColumn="0" w:firstRowLastColumn="0" w:lastRowFirstColumn="0" w:lastRowLastColumn="0"/>
            <w:tcW w:w="1101" w:type="dxa"/>
            <w:shd w:val="clear" w:color="auto" w:fill="auto"/>
            <w:hideMark/>
          </w:tcPr>
          <w:p w14:paraId="5FAC1024" w14:textId="77777777" w:rsidR="005D1667" w:rsidRPr="00F45F11" w:rsidRDefault="005D1667" w:rsidP="005E2BB1">
            <w:pPr>
              <w:pStyle w:val="ARtabletextrightbold"/>
              <w:rPr>
                <w:rFonts w:eastAsia="Times"/>
              </w:rPr>
            </w:pPr>
            <w:r w:rsidRPr="00F45F11">
              <w:rPr>
                <w:rFonts w:eastAsia="Times"/>
              </w:rPr>
              <w:t>3</w:t>
            </w:r>
          </w:p>
        </w:tc>
        <w:tc>
          <w:tcPr>
            <w:tcW w:w="1101" w:type="dxa"/>
            <w:hideMark/>
          </w:tcPr>
          <w:p w14:paraId="66F40DB7" w14:textId="77777777" w:rsidR="005D1667" w:rsidRPr="00F45F11" w:rsidRDefault="005D1667" w:rsidP="005E2BB1">
            <w:pPr>
              <w:pStyle w:val="ARtabletextrightbold"/>
              <w:cnfStyle w:val="010000000000" w:firstRow="0" w:lastRow="1" w:firstColumn="0" w:lastColumn="0" w:oddVBand="0" w:evenVBand="0" w:oddHBand="0" w:evenHBand="0" w:firstRowFirstColumn="0" w:firstRowLastColumn="0" w:lastRowFirstColumn="0" w:lastRowLastColumn="0"/>
              <w:rPr>
                <w:rFonts w:eastAsia="Times"/>
              </w:rPr>
            </w:pPr>
            <w:r w:rsidRPr="00F45F11">
              <w:rPr>
                <w:rFonts w:eastAsia="Times"/>
              </w:rPr>
              <w:t>0</w:t>
            </w:r>
          </w:p>
        </w:tc>
      </w:tr>
    </w:tbl>
    <w:p w14:paraId="2E662423" w14:textId="77777777" w:rsidR="005D1667" w:rsidRPr="00F45F11" w:rsidRDefault="005D1667" w:rsidP="005E2BB1">
      <w:pPr>
        <w:pStyle w:val="ARBodyaftertablefigure"/>
      </w:pPr>
      <w:r w:rsidRPr="00F45F11">
        <w:t>The number of executives in Table 4 below is based on the number of executive positions that are substantively occupied at the end of the financial year. Note 9.7 in the financial statements lists the actual number of SES and the total remuneration paid to SES over the course of the reporting period. The financial statements note does not include the Accountable Officer, nor does it distinguish between executive levels or disclose separations. Separations are executives who have left the department during the relevant reporting period. To assist readers, these 2 disclosures are reconciled below.</w:t>
      </w:r>
    </w:p>
    <w:p w14:paraId="1F851AF3" w14:textId="77777777" w:rsidR="005D1667" w:rsidRPr="00F45F11" w:rsidRDefault="005D1667" w:rsidP="005E2BB1">
      <w:pPr>
        <w:pStyle w:val="ARTablecaption"/>
        <w:rPr>
          <w:rFonts w:eastAsia="Times"/>
        </w:rPr>
      </w:pPr>
      <w:r w:rsidRPr="00F45F11">
        <w:rPr>
          <w:rFonts w:eastAsia="Times"/>
        </w:rPr>
        <w:t>Table 4: Reconciliation of executive numbers for the department</w:t>
      </w:r>
    </w:p>
    <w:tbl>
      <w:tblPr>
        <w:tblStyle w:val="ARtable1"/>
        <w:tblW w:w="5000" w:type="pct"/>
        <w:tblLook w:val="01E0" w:firstRow="1" w:lastRow="1" w:firstColumn="1" w:lastColumn="1" w:noHBand="0" w:noVBand="0"/>
      </w:tblPr>
      <w:tblGrid>
        <w:gridCol w:w="4585"/>
        <w:gridCol w:w="1679"/>
        <w:gridCol w:w="1679"/>
        <w:gridCol w:w="1679"/>
      </w:tblGrid>
      <w:tr w:rsidR="005D1667" w:rsidRPr="00F45F11" w14:paraId="39031174" w14:textId="77777777" w:rsidTr="005E2BB1">
        <w:trPr>
          <w:cnfStyle w:val="100000000000" w:firstRow="1" w:lastRow="0" w:firstColumn="0" w:lastColumn="0" w:oddVBand="0" w:evenVBand="0" w:oddHBand="0" w:evenHBand="0" w:firstRowFirstColumn="0" w:firstRowLastColumn="0" w:lastRowFirstColumn="0" w:lastRowLastColumn="0"/>
          <w:trHeight w:val="300"/>
          <w:tblHeader/>
        </w:trPr>
        <w:tc>
          <w:tcPr>
            <w:tcW w:w="4589" w:type="dxa"/>
            <w:hideMark/>
          </w:tcPr>
          <w:p w14:paraId="506793A6" w14:textId="3738315E" w:rsidR="005D1667" w:rsidRPr="00F45F11" w:rsidRDefault="005D1667" w:rsidP="005E2BB1">
            <w:pPr>
              <w:pStyle w:val="ARtablecolheadright"/>
            </w:pPr>
          </w:p>
        </w:tc>
        <w:tc>
          <w:tcPr>
            <w:cnfStyle w:val="000001000000" w:firstRow="0" w:lastRow="0" w:firstColumn="0" w:lastColumn="0" w:oddVBand="0" w:evenVBand="1" w:oddHBand="0" w:evenHBand="0" w:firstRowFirstColumn="0" w:firstRowLastColumn="0" w:lastRowFirstColumn="0" w:lastRowLastColumn="0"/>
            <w:tcW w:w="1681" w:type="dxa"/>
            <w:hideMark/>
          </w:tcPr>
          <w:p w14:paraId="30982A10" w14:textId="77777777" w:rsidR="005D1667" w:rsidRPr="00F45F11" w:rsidRDefault="005D1667" w:rsidP="005E2BB1">
            <w:pPr>
              <w:pStyle w:val="ARtablecolheadright"/>
            </w:pPr>
            <w:r w:rsidRPr="00F45F11">
              <w:t>2026</w:t>
            </w:r>
          </w:p>
        </w:tc>
        <w:tc>
          <w:tcPr>
            <w:tcW w:w="1681" w:type="dxa"/>
            <w:hideMark/>
          </w:tcPr>
          <w:p w14:paraId="58926AB9" w14:textId="77777777" w:rsidR="005D1667" w:rsidRPr="00F45F11" w:rsidRDefault="005D1667" w:rsidP="005E2BB1">
            <w:pPr>
              <w:pStyle w:val="ARtablecolheadright"/>
              <w:cnfStyle w:val="100000000000" w:firstRow="1" w:lastRow="0" w:firstColumn="0" w:lastColumn="0" w:oddVBand="0" w:evenVBand="0" w:oddHBand="0" w:evenHBand="0" w:firstRowFirstColumn="0" w:firstRowLastColumn="0" w:lastRowFirstColumn="0" w:lastRowLastColumn="0"/>
            </w:pPr>
            <w:r w:rsidRPr="00F45F11">
              <w:t>2025</w:t>
            </w:r>
          </w:p>
        </w:tc>
        <w:tc>
          <w:tcPr>
            <w:cnfStyle w:val="000001000000" w:firstRow="0" w:lastRow="0" w:firstColumn="0" w:lastColumn="0" w:oddVBand="0" w:evenVBand="1" w:oddHBand="0" w:evenHBand="0" w:firstRowFirstColumn="0" w:firstRowLastColumn="0" w:lastRowFirstColumn="0" w:lastRowLastColumn="0"/>
            <w:tcW w:w="1681" w:type="dxa"/>
            <w:hideMark/>
          </w:tcPr>
          <w:p w14:paraId="04151CEB" w14:textId="77777777" w:rsidR="005D1667" w:rsidRPr="00F45F11" w:rsidRDefault="005D1667" w:rsidP="005E2BB1">
            <w:pPr>
              <w:pStyle w:val="ARtablecolheadright"/>
            </w:pPr>
            <w:r w:rsidRPr="00F45F11">
              <w:t>Var.</w:t>
            </w:r>
          </w:p>
        </w:tc>
      </w:tr>
      <w:tr w:rsidR="005D1667" w:rsidRPr="00F45F11" w14:paraId="2DBAA6B6" w14:textId="77777777" w:rsidTr="005E2BB1">
        <w:trPr>
          <w:cnfStyle w:val="000000100000" w:firstRow="0" w:lastRow="0" w:firstColumn="0" w:lastColumn="0" w:oddVBand="0" w:evenVBand="0" w:oddHBand="1" w:evenHBand="0" w:firstRowFirstColumn="0" w:firstRowLastColumn="0" w:lastRowFirstColumn="0" w:lastRowLastColumn="0"/>
          <w:trHeight w:val="20"/>
        </w:trPr>
        <w:tc>
          <w:tcPr>
            <w:tcW w:w="4589" w:type="dxa"/>
            <w:hideMark/>
          </w:tcPr>
          <w:p w14:paraId="45C15DD1" w14:textId="77777777" w:rsidR="005D1667" w:rsidRPr="00F45F11" w:rsidRDefault="005D1667" w:rsidP="005E2BB1">
            <w:pPr>
              <w:pStyle w:val="ARTabletext"/>
              <w:rPr>
                <w:rFonts w:eastAsia="Times"/>
              </w:rPr>
            </w:pPr>
            <w:r w:rsidRPr="00F45F11">
              <w:rPr>
                <w:rFonts w:eastAsia="Times"/>
              </w:rPr>
              <w:t>Executives</w:t>
            </w:r>
          </w:p>
        </w:tc>
        <w:tc>
          <w:tcPr>
            <w:cnfStyle w:val="000001000000" w:firstRow="0" w:lastRow="0" w:firstColumn="0" w:lastColumn="0" w:oddVBand="0" w:evenVBand="1" w:oddHBand="0" w:evenHBand="0" w:firstRowFirstColumn="0" w:firstRowLastColumn="0" w:lastRowFirstColumn="0" w:lastRowLastColumn="0"/>
            <w:tcW w:w="1681" w:type="dxa"/>
          </w:tcPr>
          <w:p w14:paraId="2638EA20" w14:textId="77777777" w:rsidR="005D1667" w:rsidRPr="00F45F11" w:rsidRDefault="005D1667" w:rsidP="005E2BB1">
            <w:pPr>
              <w:pStyle w:val="ARtabletextright"/>
              <w:rPr>
                <w:rFonts w:eastAsia="Times"/>
              </w:rPr>
            </w:pPr>
            <w:r w:rsidRPr="00F45F11">
              <w:rPr>
                <w:rFonts w:eastAsia="Times"/>
              </w:rPr>
              <w:t>175</w:t>
            </w:r>
          </w:p>
        </w:tc>
        <w:tc>
          <w:tcPr>
            <w:tcW w:w="1681" w:type="dxa"/>
            <w:hideMark/>
          </w:tcPr>
          <w:p w14:paraId="707AA73D"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184</w:t>
            </w:r>
          </w:p>
        </w:tc>
        <w:tc>
          <w:tcPr>
            <w:cnfStyle w:val="000001000000" w:firstRow="0" w:lastRow="0" w:firstColumn="0" w:lastColumn="0" w:oddVBand="0" w:evenVBand="1" w:oddHBand="0" w:evenHBand="0" w:firstRowFirstColumn="0" w:firstRowLastColumn="0" w:lastRowFirstColumn="0" w:lastRowLastColumn="0"/>
            <w:tcW w:w="1681" w:type="dxa"/>
            <w:hideMark/>
          </w:tcPr>
          <w:p w14:paraId="2C6EB24B" w14:textId="77777777" w:rsidR="005D1667" w:rsidRPr="00F45F11" w:rsidRDefault="005D1667" w:rsidP="005E2BB1">
            <w:pPr>
              <w:pStyle w:val="ARtabletextright"/>
              <w:rPr>
                <w:rFonts w:eastAsia="Times"/>
              </w:rPr>
            </w:pPr>
            <w:r w:rsidRPr="00F45F11">
              <w:rPr>
                <w:rFonts w:eastAsia="Times"/>
              </w:rPr>
              <w:t>-9</w:t>
            </w:r>
          </w:p>
        </w:tc>
      </w:tr>
      <w:tr w:rsidR="005D1667" w:rsidRPr="00F45F11" w14:paraId="0DAE2912" w14:textId="77777777" w:rsidTr="005E2BB1">
        <w:trPr>
          <w:cnfStyle w:val="000000010000" w:firstRow="0" w:lastRow="0" w:firstColumn="0" w:lastColumn="0" w:oddVBand="0" w:evenVBand="0" w:oddHBand="0" w:evenHBand="1" w:firstRowFirstColumn="0" w:firstRowLastColumn="0" w:lastRowFirstColumn="0" w:lastRowLastColumn="0"/>
          <w:trHeight w:val="20"/>
        </w:trPr>
        <w:tc>
          <w:tcPr>
            <w:tcW w:w="4589" w:type="dxa"/>
            <w:hideMark/>
          </w:tcPr>
          <w:p w14:paraId="6C9A682F" w14:textId="77777777" w:rsidR="005D1667" w:rsidRPr="00F45F11" w:rsidRDefault="005D1667" w:rsidP="005E2BB1">
            <w:pPr>
              <w:pStyle w:val="ARTabletext"/>
              <w:rPr>
                <w:rFonts w:eastAsia="Times"/>
              </w:rPr>
            </w:pPr>
            <w:r w:rsidRPr="00F45F11">
              <w:rPr>
                <w:rFonts w:eastAsia="Times"/>
              </w:rPr>
              <w:t>Accountable Officer (Secretary)</w:t>
            </w:r>
          </w:p>
        </w:tc>
        <w:tc>
          <w:tcPr>
            <w:cnfStyle w:val="000001000000" w:firstRow="0" w:lastRow="0" w:firstColumn="0" w:lastColumn="0" w:oddVBand="0" w:evenVBand="1" w:oddHBand="0" w:evenHBand="0" w:firstRowFirstColumn="0" w:firstRowLastColumn="0" w:lastRowFirstColumn="0" w:lastRowLastColumn="0"/>
            <w:tcW w:w="1681" w:type="dxa"/>
          </w:tcPr>
          <w:p w14:paraId="7A9BCBA1" w14:textId="77777777" w:rsidR="005D1667" w:rsidRPr="00F45F11" w:rsidRDefault="005D1667" w:rsidP="005E2BB1">
            <w:pPr>
              <w:pStyle w:val="ARtabletextright"/>
              <w:rPr>
                <w:rFonts w:eastAsia="Times"/>
              </w:rPr>
            </w:pPr>
            <w:r w:rsidRPr="00F45F11">
              <w:rPr>
                <w:rFonts w:eastAsia="Times"/>
              </w:rPr>
              <w:t>1</w:t>
            </w:r>
          </w:p>
        </w:tc>
        <w:tc>
          <w:tcPr>
            <w:tcW w:w="1681" w:type="dxa"/>
            <w:hideMark/>
          </w:tcPr>
          <w:p w14:paraId="45DFE9BB" w14:textId="77777777" w:rsidR="005D1667" w:rsidRPr="00F45F11" w:rsidRDefault="005D1667" w:rsidP="005E2BB1">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1</w:t>
            </w:r>
          </w:p>
        </w:tc>
        <w:tc>
          <w:tcPr>
            <w:cnfStyle w:val="000001000000" w:firstRow="0" w:lastRow="0" w:firstColumn="0" w:lastColumn="0" w:oddVBand="0" w:evenVBand="1" w:oddHBand="0" w:evenHBand="0" w:firstRowFirstColumn="0" w:firstRowLastColumn="0" w:lastRowFirstColumn="0" w:lastRowLastColumn="0"/>
            <w:tcW w:w="1681" w:type="dxa"/>
            <w:hideMark/>
          </w:tcPr>
          <w:p w14:paraId="3A1689B8" w14:textId="77777777" w:rsidR="005D1667" w:rsidRPr="00F45F11" w:rsidRDefault="005D1667" w:rsidP="005E2BB1">
            <w:pPr>
              <w:pStyle w:val="ARtabletextright"/>
              <w:rPr>
                <w:rFonts w:eastAsia="Times"/>
              </w:rPr>
            </w:pPr>
            <w:r w:rsidRPr="00F45F11">
              <w:rPr>
                <w:rFonts w:eastAsia="Times"/>
              </w:rPr>
              <w:t>0</w:t>
            </w:r>
          </w:p>
        </w:tc>
      </w:tr>
      <w:tr w:rsidR="005D1667" w:rsidRPr="00F45F11" w14:paraId="7EAB3D8E" w14:textId="77777777" w:rsidTr="005E2BB1">
        <w:trPr>
          <w:cnfStyle w:val="000000100000" w:firstRow="0" w:lastRow="0" w:firstColumn="0" w:lastColumn="0" w:oddVBand="0" w:evenVBand="0" w:oddHBand="1" w:evenHBand="0" w:firstRowFirstColumn="0" w:firstRowLastColumn="0" w:lastRowFirstColumn="0" w:lastRowLastColumn="0"/>
          <w:trHeight w:val="20"/>
        </w:trPr>
        <w:tc>
          <w:tcPr>
            <w:tcW w:w="4589" w:type="dxa"/>
            <w:hideMark/>
          </w:tcPr>
          <w:p w14:paraId="6D6A471E" w14:textId="77777777" w:rsidR="005D1667" w:rsidRPr="00F45F11" w:rsidRDefault="005D1667" w:rsidP="005E2BB1">
            <w:pPr>
              <w:pStyle w:val="ARTabletext"/>
              <w:rPr>
                <w:rFonts w:eastAsia="Times"/>
              </w:rPr>
            </w:pPr>
            <w:r w:rsidRPr="00F45F11">
              <w:rPr>
                <w:rFonts w:eastAsia="Times"/>
              </w:rPr>
              <w:t>Accountable Officer (CEO, Homes Victoria)</w:t>
            </w:r>
          </w:p>
        </w:tc>
        <w:tc>
          <w:tcPr>
            <w:cnfStyle w:val="000001000000" w:firstRow="0" w:lastRow="0" w:firstColumn="0" w:lastColumn="0" w:oddVBand="0" w:evenVBand="1" w:oddHBand="0" w:evenHBand="0" w:firstRowFirstColumn="0" w:firstRowLastColumn="0" w:lastRowFirstColumn="0" w:lastRowLastColumn="0"/>
            <w:tcW w:w="1681" w:type="dxa"/>
          </w:tcPr>
          <w:p w14:paraId="213730DA" w14:textId="77777777" w:rsidR="005D1667" w:rsidRPr="00F45F11" w:rsidRDefault="005D1667" w:rsidP="005E2BB1">
            <w:pPr>
              <w:pStyle w:val="ARtabletextright"/>
              <w:rPr>
                <w:rFonts w:eastAsia="Times"/>
              </w:rPr>
            </w:pPr>
            <w:r w:rsidRPr="00F45F11">
              <w:rPr>
                <w:rFonts w:eastAsia="Times"/>
              </w:rPr>
              <w:t>1</w:t>
            </w:r>
          </w:p>
        </w:tc>
        <w:tc>
          <w:tcPr>
            <w:tcW w:w="1681" w:type="dxa"/>
            <w:hideMark/>
          </w:tcPr>
          <w:p w14:paraId="5D59E4D9"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1</w:t>
            </w:r>
          </w:p>
        </w:tc>
        <w:tc>
          <w:tcPr>
            <w:cnfStyle w:val="000001000000" w:firstRow="0" w:lastRow="0" w:firstColumn="0" w:lastColumn="0" w:oddVBand="0" w:evenVBand="1" w:oddHBand="0" w:evenHBand="0" w:firstRowFirstColumn="0" w:firstRowLastColumn="0" w:lastRowFirstColumn="0" w:lastRowLastColumn="0"/>
            <w:tcW w:w="1681" w:type="dxa"/>
            <w:hideMark/>
          </w:tcPr>
          <w:p w14:paraId="5CAD47E0" w14:textId="77777777" w:rsidR="005D1667" w:rsidRPr="00F45F11" w:rsidRDefault="005D1667" w:rsidP="005E2BB1">
            <w:pPr>
              <w:pStyle w:val="ARtabletextright"/>
              <w:rPr>
                <w:rFonts w:eastAsia="Times"/>
              </w:rPr>
            </w:pPr>
            <w:r w:rsidRPr="00F45F11">
              <w:rPr>
                <w:rFonts w:eastAsia="Times"/>
              </w:rPr>
              <w:t>0</w:t>
            </w:r>
          </w:p>
        </w:tc>
      </w:tr>
      <w:tr w:rsidR="005D1667" w:rsidRPr="00F45F11" w14:paraId="653AE67E" w14:textId="77777777" w:rsidTr="005E2BB1">
        <w:trPr>
          <w:cnfStyle w:val="000000010000" w:firstRow="0" w:lastRow="0" w:firstColumn="0" w:lastColumn="0" w:oddVBand="0" w:evenVBand="0" w:oddHBand="0" w:evenHBand="1" w:firstRowFirstColumn="0" w:firstRowLastColumn="0" w:lastRowFirstColumn="0" w:lastRowLastColumn="0"/>
          <w:trHeight w:val="20"/>
        </w:trPr>
        <w:tc>
          <w:tcPr>
            <w:tcW w:w="4589" w:type="dxa"/>
            <w:hideMark/>
          </w:tcPr>
          <w:p w14:paraId="0A6560FB" w14:textId="77777777" w:rsidR="005D1667" w:rsidRPr="00F45F11" w:rsidRDefault="005D1667" w:rsidP="005E2BB1">
            <w:pPr>
              <w:pStyle w:val="ARTabletext"/>
              <w:rPr>
                <w:rFonts w:eastAsia="Times"/>
              </w:rPr>
            </w:pPr>
            <w:r w:rsidRPr="00F45F11">
              <w:rPr>
                <w:rFonts w:eastAsia="Times"/>
              </w:rPr>
              <w:t>Less separations</w:t>
            </w:r>
          </w:p>
        </w:tc>
        <w:tc>
          <w:tcPr>
            <w:cnfStyle w:val="000001000000" w:firstRow="0" w:lastRow="0" w:firstColumn="0" w:lastColumn="0" w:oddVBand="0" w:evenVBand="1" w:oddHBand="0" w:evenHBand="0" w:firstRowFirstColumn="0" w:firstRowLastColumn="0" w:lastRowFirstColumn="0" w:lastRowLastColumn="0"/>
            <w:tcW w:w="1681" w:type="dxa"/>
          </w:tcPr>
          <w:p w14:paraId="6E464257" w14:textId="77777777" w:rsidR="005D1667" w:rsidRPr="00F45F11" w:rsidRDefault="005D1667" w:rsidP="005E2BB1">
            <w:pPr>
              <w:pStyle w:val="ARtabletextright"/>
              <w:rPr>
                <w:rFonts w:eastAsia="Times"/>
              </w:rPr>
            </w:pPr>
            <w:r w:rsidRPr="00F45F11">
              <w:rPr>
                <w:rFonts w:eastAsia="Times"/>
              </w:rPr>
              <w:t>28</w:t>
            </w:r>
          </w:p>
        </w:tc>
        <w:tc>
          <w:tcPr>
            <w:tcW w:w="1681" w:type="dxa"/>
            <w:hideMark/>
          </w:tcPr>
          <w:p w14:paraId="186BF68C" w14:textId="77777777" w:rsidR="005D1667" w:rsidRPr="00F45F11" w:rsidRDefault="005D1667" w:rsidP="005E2BB1">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14</w:t>
            </w:r>
          </w:p>
        </w:tc>
        <w:tc>
          <w:tcPr>
            <w:cnfStyle w:val="000001000000" w:firstRow="0" w:lastRow="0" w:firstColumn="0" w:lastColumn="0" w:oddVBand="0" w:evenVBand="1" w:oddHBand="0" w:evenHBand="0" w:firstRowFirstColumn="0" w:firstRowLastColumn="0" w:lastRowFirstColumn="0" w:lastRowLastColumn="0"/>
            <w:tcW w:w="1681" w:type="dxa"/>
            <w:hideMark/>
          </w:tcPr>
          <w:p w14:paraId="00DE24EA" w14:textId="77777777" w:rsidR="005D1667" w:rsidRPr="00F45F11" w:rsidRDefault="005D1667" w:rsidP="005E2BB1">
            <w:pPr>
              <w:pStyle w:val="ARtabletextright"/>
              <w:rPr>
                <w:rFonts w:eastAsia="Times"/>
              </w:rPr>
            </w:pPr>
            <w:r w:rsidRPr="00F45F11">
              <w:rPr>
                <w:rFonts w:eastAsia="Times"/>
              </w:rPr>
              <w:t>14</w:t>
            </w:r>
          </w:p>
        </w:tc>
      </w:tr>
      <w:tr w:rsidR="005D1667" w:rsidRPr="00F45F11" w14:paraId="47683E67" w14:textId="77777777" w:rsidTr="005E2BB1">
        <w:trPr>
          <w:cnfStyle w:val="000000100000" w:firstRow="0" w:lastRow="0" w:firstColumn="0" w:lastColumn="0" w:oddVBand="0" w:evenVBand="0" w:oddHBand="1" w:evenHBand="0" w:firstRowFirstColumn="0" w:firstRowLastColumn="0" w:lastRowFirstColumn="0" w:lastRowLastColumn="0"/>
          <w:trHeight w:val="20"/>
        </w:trPr>
        <w:tc>
          <w:tcPr>
            <w:tcW w:w="4589" w:type="dxa"/>
            <w:hideMark/>
          </w:tcPr>
          <w:p w14:paraId="1FA9668A" w14:textId="77777777" w:rsidR="005D1667" w:rsidRPr="00F45F11" w:rsidRDefault="005D1667" w:rsidP="005E2BB1">
            <w:pPr>
              <w:pStyle w:val="ARTabletext"/>
              <w:rPr>
                <w:rFonts w:eastAsia="Times"/>
              </w:rPr>
            </w:pPr>
            <w:r w:rsidRPr="00F45F11">
              <w:rPr>
                <w:rFonts w:eastAsia="Times"/>
              </w:rPr>
              <w:t>Leave without pay</w:t>
            </w:r>
          </w:p>
        </w:tc>
        <w:tc>
          <w:tcPr>
            <w:cnfStyle w:val="000001000000" w:firstRow="0" w:lastRow="0" w:firstColumn="0" w:lastColumn="0" w:oddVBand="0" w:evenVBand="1" w:oddHBand="0" w:evenHBand="0" w:firstRowFirstColumn="0" w:firstRowLastColumn="0" w:lastRowFirstColumn="0" w:lastRowLastColumn="0"/>
            <w:tcW w:w="1681" w:type="dxa"/>
          </w:tcPr>
          <w:p w14:paraId="40CF7740" w14:textId="77777777" w:rsidR="005D1667" w:rsidRPr="00F45F11" w:rsidRDefault="005D1667" w:rsidP="005E2BB1">
            <w:pPr>
              <w:pStyle w:val="ARtabletextright"/>
              <w:rPr>
                <w:rFonts w:eastAsia="Times"/>
              </w:rPr>
            </w:pPr>
            <w:r w:rsidRPr="00F45F11">
              <w:rPr>
                <w:rFonts w:eastAsia="Times"/>
              </w:rPr>
              <w:t>0</w:t>
            </w:r>
          </w:p>
        </w:tc>
        <w:tc>
          <w:tcPr>
            <w:tcW w:w="1681" w:type="dxa"/>
            <w:hideMark/>
          </w:tcPr>
          <w:p w14:paraId="721EB826"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5</w:t>
            </w:r>
          </w:p>
        </w:tc>
        <w:tc>
          <w:tcPr>
            <w:cnfStyle w:val="000001000000" w:firstRow="0" w:lastRow="0" w:firstColumn="0" w:lastColumn="0" w:oddVBand="0" w:evenVBand="1" w:oddHBand="0" w:evenHBand="0" w:firstRowFirstColumn="0" w:firstRowLastColumn="0" w:lastRowFirstColumn="0" w:lastRowLastColumn="0"/>
            <w:tcW w:w="1681" w:type="dxa"/>
            <w:hideMark/>
          </w:tcPr>
          <w:p w14:paraId="1F8B8B35" w14:textId="77777777" w:rsidR="005D1667" w:rsidRPr="00F45F11" w:rsidRDefault="005D1667" w:rsidP="005E2BB1">
            <w:pPr>
              <w:pStyle w:val="ARtabletextright"/>
              <w:rPr>
                <w:rFonts w:eastAsia="Times"/>
              </w:rPr>
            </w:pPr>
            <w:r w:rsidRPr="00F45F11">
              <w:rPr>
                <w:rFonts w:eastAsia="Times"/>
              </w:rPr>
              <w:t>-5</w:t>
            </w:r>
          </w:p>
        </w:tc>
      </w:tr>
      <w:tr w:rsidR="005D1667" w:rsidRPr="00F45F11" w14:paraId="655167D1" w14:textId="77777777" w:rsidTr="005E2BB1">
        <w:trPr>
          <w:cnfStyle w:val="000000010000" w:firstRow="0" w:lastRow="0" w:firstColumn="0" w:lastColumn="0" w:oddVBand="0" w:evenVBand="0" w:oddHBand="0" w:evenHBand="1" w:firstRowFirstColumn="0" w:firstRowLastColumn="0" w:lastRowFirstColumn="0" w:lastRowLastColumn="0"/>
          <w:trHeight w:val="20"/>
        </w:trPr>
        <w:tc>
          <w:tcPr>
            <w:tcW w:w="4589" w:type="dxa"/>
            <w:hideMark/>
          </w:tcPr>
          <w:p w14:paraId="052EE092" w14:textId="77777777" w:rsidR="005D1667" w:rsidRPr="00F45F11" w:rsidRDefault="005D1667" w:rsidP="005E2BB1">
            <w:pPr>
              <w:pStyle w:val="ARTabletext"/>
              <w:rPr>
                <w:rFonts w:eastAsia="Times"/>
              </w:rPr>
            </w:pPr>
            <w:r w:rsidRPr="00F45F11">
              <w:rPr>
                <w:rFonts w:eastAsia="Times"/>
              </w:rPr>
              <w:t>Less executives paid by other departments</w:t>
            </w:r>
          </w:p>
        </w:tc>
        <w:tc>
          <w:tcPr>
            <w:cnfStyle w:val="000001000000" w:firstRow="0" w:lastRow="0" w:firstColumn="0" w:lastColumn="0" w:oddVBand="0" w:evenVBand="1" w:oddHBand="0" w:evenHBand="0" w:firstRowFirstColumn="0" w:firstRowLastColumn="0" w:lastRowFirstColumn="0" w:lastRowLastColumn="0"/>
            <w:tcW w:w="1681" w:type="dxa"/>
          </w:tcPr>
          <w:p w14:paraId="7269EAC5" w14:textId="77777777" w:rsidR="005D1667" w:rsidRPr="00F45F11" w:rsidRDefault="005D1667" w:rsidP="005E2BB1">
            <w:pPr>
              <w:pStyle w:val="ARtabletextright"/>
              <w:rPr>
                <w:rFonts w:eastAsia="Times"/>
              </w:rPr>
            </w:pPr>
            <w:r w:rsidRPr="00F45F11">
              <w:rPr>
                <w:rFonts w:eastAsia="Times"/>
              </w:rPr>
              <w:t>2</w:t>
            </w:r>
          </w:p>
        </w:tc>
        <w:tc>
          <w:tcPr>
            <w:tcW w:w="1681" w:type="dxa"/>
            <w:hideMark/>
          </w:tcPr>
          <w:p w14:paraId="64608E6F" w14:textId="77777777" w:rsidR="005D1667" w:rsidRPr="00F45F11" w:rsidRDefault="005D1667" w:rsidP="005E2BB1">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0</w:t>
            </w:r>
          </w:p>
        </w:tc>
        <w:tc>
          <w:tcPr>
            <w:cnfStyle w:val="000001000000" w:firstRow="0" w:lastRow="0" w:firstColumn="0" w:lastColumn="0" w:oddVBand="0" w:evenVBand="1" w:oddHBand="0" w:evenHBand="0" w:firstRowFirstColumn="0" w:firstRowLastColumn="0" w:lastRowFirstColumn="0" w:lastRowLastColumn="0"/>
            <w:tcW w:w="1681" w:type="dxa"/>
            <w:hideMark/>
          </w:tcPr>
          <w:p w14:paraId="674536BA" w14:textId="77777777" w:rsidR="005D1667" w:rsidRPr="00F45F11" w:rsidRDefault="005D1667" w:rsidP="005E2BB1">
            <w:pPr>
              <w:pStyle w:val="ARtabletextright"/>
              <w:rPr>
                <w:rFonts w:eastAsia="Times"/>
              </w:rPr>
            </w:pPr>
            <w:r w:rsidRPr="00F45F11">
              <w:rPr>
                <w:rFonts w:eastAsia="Times"/>
              </w:rPr>
              <w:t>2</w:t>
            </w:r>
          </w:p>
        </w:tc>
      </w:tr>
      <w:tr w:rsidR="005D1667" w:rsidRPr="00F45F11" w14:paraId="67B439B8" w14:textId="77777777" w:rsidTr="005E2BB1">
        <w:trPr>
          <w:cnfStyle w:val="010000000000" w:firstRow="0" w:lastRow="1" w:firstColumn="0" w:lastColumn="0" w:oddVBand="0" w:evenVBand="0" w:oddHBand="0" w:evenHBand="0" w:firstRowFirstColumn="0" w:firstRowLastColumn="0" w:lastRowFirstColumn="0" w:lastRowLastColumn="0"/>
          <w:trHeight w:val="20"/>
        </w:trPr>
        <w:tc>
          <w:tcPr>
            <w:tcW w:w="4589" w:type="dxa"/>
            <w:hideMark/>
          </w:tcPr>
          <w:p w14:paraId="7F08AC7E" w14:textId="77777777" w:rsidR="005D1667" w:rsidRPr="00F45F11" w:rsidRDefault="005D1667" w:rsidP="005E2BB1">
            <w:pPr>
              <w:pStyle w:val="ARtabletextbold"/>
              <w:rPr>
                <w:rFonts w:eastAsia="Times"/>
              </w:rPr>
            </w:pPr>
            <w:r w:rsidRPr="00F45F11">
              <w:rPr>
                <w:rFonts w:eastAsia="Times"/>
              </w:rPr>
              <w:t xml:space="preserve">Total executive numbers </w:t>
            </w:r>
            <w:proofErr w:type="gramStart"/>
            <w:r w:rsidRPr="00F45F11">
              <w:rPr>
                <w:rFonts w:eastAsia="Times"/>
              </w:rPr>
              <w:t>at</w:t>
            </w:r>
            <w:proofErr w:type="gramEnd"/>
            <w:r w:rsidRPr="00F45F11">
              <w:rPr>
                <w:rFonts w:eastAsia="Times"/>
              </w:rPr>
              <w:t xml:space="preserve"> 30 June</w:t>
            </w:r>
          </w:p>
        </w:tc>
        <w:tc>
          <w:tcPr>
            <w:cnfStyle w:val="000001000000" w:firstRow="0" w:lastRow="0" w:firstColumn="0" w:lastColumn="0" w:oddVBand="0" w:evenVBand="1" w:oddHBand="0" w:evenHBand="0" w:firstRowFirstColumn="0" w:firstRowLastColumn="0" w:lastRowFirstColumn="0" w:lastRowLastColumn="0"/>
            <w:tcW w:w="1681" w:type="dxa"/>
          </w:tcPr>
          <w:p w14:paraId="0ACE4960" w14:textId="77777777" w:rsidR="005D1667" w:rsidRPr="00F45F11" w:rsidRDefault="005D1667" w:rsidP="005E2BB1">
            <w:pPr>
              <w:pStyle w:val="ARtabletextrightbold"/>
              <w:rPr>
                <w:rFonts w:eastAsia="Times"/>
              </w:rPr>
            </w:pPr>
            <w:r w:rsidRPr="00F45F11">
              <w:rPr>
                <w:rFonts w:eastAsia="Times"/>
              </w:rPr>
              <w:t>173</w:t>
            </w:r>
          </w:p>
        </w:tc>
        <w:tc>
          <w:tcPr>
            <w:tcW w:w="1681" w:type="dxa"/>
            <w:hideMark/>
          </w:tcPr>
          <w:p w14:paraId="26E1950F" w14:textId="77777777" w:rsidR="005D1667" w:rsidRPr="00F45F11" w:rsidRDefault="005D1667" w:rsidP="005E2BB1">
            <w:pPr>
              <w:pStyle w:val="ARtabletextrightbold"/>
              <w:cnfStyle w:val="010000000000" w:firstRow="0" w:lastRow="1" w:firstColumn="0" w:lastColumn="0" w:oddVBand="0" w:evenVBand="0" w:oddHBand="0" w:evenHBand="0" w:firstRowFirstColumn="0" w:firstRowLastColumn="0" w:lastRowFirstColumn="0" w:lastRowLastColumn="0"/>
              <w:rPr>
                <w:rFonts w:eastAsia="Times"/>
              </w:rPr>
            </w:pPr>
            <w:r w:rsidRPr="00F45F11">
              <w:rPr>
                <w:rFonts w:eastAsia="Times"/>
              </w:rPr>
              <w:t>184</w:t>
            </w:r>
          </w:p>
        </w:tc>
        <w:tc>
          <w:tcPr>
            <w:cnfStyle w:val="000001000000" w:firstRow="0" w:lastRow="0" w:firstColumn="0" w:lastColumn="0" w:oddVBand="0" w:evenVBand="1" w:oddHBand="0" w:evenHBand="0" w:firstRowFirstColumn="0" w:firstRowLastColumn="0" w:lastRowFirstColumn="0" w:lastRowLastColumn="0"/>
            <w:tcW w:w="1681" w:type="dxa"/>
            <w:hideMark/>
          </w:tcPr>
          <w:p w14:paraId="3720283B" w14:textId="77777777" w:rsidR="005D1667" w:rsidRPr="00F45F11" w:rsidRDefault="005D1667" w:rsidP="005E2BB1">
            <w:pPr>
              <w:pStyle w:val="ARtabletextrightbold"/>
              <w:rPr>
                <w:rFonts w:eastAsia="Times"/>
              </w:rPr>
            </w:pPr>
            <w:r w:rsidRPr="00F45F11">
              <w:rPr>
                <w:rFonts w:eastAsia="Times"/>
              </w:rPr>
              <w:t>-11</w:t>
            </w:r>
          </w:p>
        </w:tc>
      </w:tr>
    </w:tbl>
    <w:p w14:paraId="08174354" w14:textId="77777777" w:rsidR="005D1667" w:rsidRPr="00F45F11" w:rsidRDefault="005D1667" w:rsidP="005D1667">
      <w:pPr>
        <w:pStyle w:val="ARBody"/>
        <w:numPr>
          <w:ilvl w:val="0"/>
          <w:numId w:val="37"/>
        </w:numPr>
      </w:pPr>
      <w:r w:rsidRPr="00F45F11">
        <w:br w:type="page"/>
      </w:r>
    </w:p>
    <w:p w14:paraId="7F7EAE2D" w14:textId="6CD370A6" w:rsidR="005D1667" w:rsidRPr="00F45F11" w:rsidRDefault="005D1667" w:rsidP="005E2BB1">
      <w:pPr>
        <w:pStyle w:val="ARTablecaption"/>
        <w:rPr>
          <w:rFonts w:eastAsia="Times"/>
        </w:rPr>
      </w:pPr>
      <w:r w:rsidRPr="00F45F11">
        <w:rPr>
          <w:rFonts w:eastAsia="Times"/>
        </w:rPr>
        <w:t>Table 5: Number of executives for the department’s portfolio entities broken down by gender</w:t>
      </w:r>
      <w:r w:rsidR="00594883">
        <w:rPr>
          <w:rFonts w:eastAsia="Times"/>
        </w:rPr>
        <w:t>-+</w:t>
      </w:r>
    </w:p>
    <w:tbl>
      <w:tblPr>
        <w:tblStyle w:val="ARtable1"/>
        <w:tblW w:w="5000" w:type="pct"/>
        <w:tblLook w:val="01E0" w:firstRow="1" w:lastRow="1" w:firstColumn="1" w:lastColumn="1" w:noHBand="0" w:noVBand="0"/>
      </w:tblPr>
      <w:tblGrid>
        <w:gridCol w:w="3230"/>
        <w:gridCol w:w="656"/>
        <w:gridCol w:w="656"/>
        <w:gridCol w:w="876"/>
        <w:gridCol w:w="876"/>
        <w:gridCol w:w="586"/>
        <w:gridCol w:w="587"/>
        <w:gridCol w:w="1078"/>
        <w:gridCol w:w="1077"/>
      </w:tblGrid>
      <w:tr w:rsidR="005D1667" w:rsidRPr="00F45F11" w14:paraId="50197B5C" w14:textId="77777777" w:rsidTr="001607CD">
        <w:trPr>
          <w:cnfStyle w:val="100000000000" w:firstRow="1" w:lastRow="0" w:firstColumn="0" w:lastColumn="0" w:oddVBand="0" w:evenVBand="0" w:oddHBand="0" w:evenHBand="0" w:firstRowFirstColumn="0" w:firstRowLastColumn="0" w:lastRowFirstColumn="0" w:lastRowLastColumn="0"/>
          <w:trHeight w:val="300"/>
          <w:tblHeader/>
        </w:trPr>
        <w:tc>
          <w:tcPr>
            <w:tcW w:w="1679" w:type="pct"/>
            <w:hideMark/>
          </w:tcPr>
          <w:p w14:paraId="3B952C85" w14:textId="42CAC6A2" w:rsidR="005D1667" w:rsidRPr="00F45F11" w:rsidRDefault="001607CD" w:rsidP="001607CD">
            <w:pPr>
              <w:pStyle w:val="ARtablecolhead"/>
              <w:rPr>
                <w:rFonts w:eastAsia="Times"/>
              </w:rPr>
            </w:pPr>
            <w:r w:rsidRPr="00F45F11">
              <w:rPr>
                <w:rFonts w:eastAsia="Times"/>
              </w:rPr>
              <w:t>Portfolio entities</w:t>
            </w:r>
          </w:p>
        </w:tc>
        <w:tc>
          <w:tcPr>
            <w:cnfStyle w:val="000001000000" w:firstRow="0" w:lastRow="0" w:firstColumn="0" w:lastColumn="0" w:oddVBand="0" w:evenVBand="1" w:oddHBand="0" w:evenHBand="0" w:firstRowFirstColumn="0" w:firstRowLastColumn="0" w:lastRowFirstColumn="0" w:lastRowLastColumn="0"/>
            <w:tcW w:w="341" w:type="pct"/>
            <w:tcBorders>
              <w:top w:val="single" w:sz="4" w:space="0" w:color="201547" w:themeColor="text2"/>
            </w:tcBorders>
            <w:shd w:val="clear" w:color="auto" w:fill="E7E6E6" w:themeFill="background2"/>
            <w:hideMark/>
          </w:tcPr>
          <w:p w14:paraId="4F72B19C" w14:textId="67BA26F5" w:rsidR="001607CD" w:rsidRDefault="001607CD" w:rsidP="005E2BB1">
            <w:pPr>
              <w:pStyle w:val="ARtablecolheadright"/>
              <w:rPr>
                <w:rFonts w:eastAsia="Times"/>
              </w:rPr>
            </w:pPr>
            <w:r w:rsidRPr="00F45F11">
              <w:t>Total</w:t>
            </w:r>
          </w:p>
          <w:p w14:paraId="64D9D0E4" w14:textId="25F552B5" w:rsidR="005D1667" w:rsidRPr="00F45F11" w:rsidRDefault="005D1667" w:rsidP="005E2BB1">
            <w:pPr>
              <w:pStyle w:val="ARtablecolheadright"/>
              <w:rPr>
                <w:rFonts w:eastAsia="Times"/>
              </w:rPr>
            </w:pPr>
            <w:r w:rsidRPr="00F45F11">
              <w:rPr>
                <w:rFonts w:eastAsia="Times"/>
              </w:rPr>
              <w:t>No.</w:t>
            </w:r>
          </w:p>
        </w:tc>
        <w:tc>
          <w:tcPr>
            <w:tcW w:w="341" w:type="pct"/>
            <w:tcBorders>
              <w:top w:val="single" w:sz="4" w:space="0" w:color="201547" w:themeColor="text2"/>
            </w:tcBorders>
            <w:shd w:val="clear" w:color="auto" w:fill="E7E6E6" w:themeFill="background2"/>
            <w:hideMark/>
          </w:tcPr>
          <w:p w14:paraId="75BC1175" w14:textId="6B7578EA" w:rsidR="001607CD" w:rsidRDefault="001607CD" w:rsidP="005E2BB1">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t>Total</w:t>
            </w:r>
          </w:p>
          <w:p w14:paraId="132FAE39" w14:textId="7E148EED" w:rsidR="005D1667" w:rsidRPr="00F45F11" w:rsidRDefault="005D1667" w:rsidP="005E2BB1">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Var.</w:t>
            </w:r>
          </w:p>
        </w:tc>
        <w:tc>
          <w:tcPr>
            <w:cnfStyle w:val="000001000000" w:firstRow="0" w:lastRow="0" w:firstColumn="0" w:lastColumn="0" w:oddVBand="0" w:evenVBand="1" w:oddHBand="0" w:evenHBand="0" w:firstRowFirstColumn="0" w:firstRowLastColumn="0" w:lastRowFirstColumn="0" w:lastRowLastColumn="0"/>
            <w:tcW w:w="455" w:type="pct"/>
            <w:tcBorders>
              <w:top w:val="single" w:sz="4" w:space="0" w:color="201547" w:themeColor="text2"/>
            </w:tcBorders>
            <w:shd w:val="clear" w:color="auto" w:fill="auto"/>
            <w:hideMark/>
          </w:tcPr>
          <w:p w14:paraId="71F11D2D" w14:textId="695B9C1F" w:rsidR="001607CD" w:rsidRDefault="001607CD" w:rsidP="005E2BB1">
            <w:pPr>
              <w:pStyle w:val="ARtablecolheadright"/>
              <w:rPr>
                <w:rFonts w:eastAsia="Times"/>
              </w:rPr>
            </w:pPr>
            <w:r w:rsidRPr="00F45F11">
              <w:t>Women</w:t>
            </w:r>
          </w:p>
          <w:p w14:paraId="273B69B2" w14:textId="4AF69CFB" w:rsidR="005D1667" w:rsidRPr="00F45F11" w:rsidRDefault="005D1667" w:rsidP="005E2BB1">
            <w:pPr>
              <w:pStyle w:val="ARtablecolheadright"/>
              <w:rPr>
                <w:rFonts w:eastAsia="Times"/>
              </w:rPr>
            </w:pPr>
            <w:r w:rsidRPr="00F45F11">
              <w:rPr>
                <w:rFonts w:eastAsia="Times"/>
              </w:rPr>
              <w:t>No.</w:t>
            </w:r>
          </w:p>
        </w:tc>
        <w:tc>
          <w:tcPr>
            <w:tcW w:w="455" w:type="pct"/>
            <w:tcBorders>
              <w:top w:val="single" w:sz="4" w:space="0" w:color="201547" w:themeColor="text2"/>
            </w:tcBorders>
            <w:hideMark/>
          </w:tcPr>
          <w:p w14:paraId="790A371C" w14:textId="7A813D3B" w:rsidR="001607CD" w:rsidRDefault="001607CD" w:rsidP="005E2BB1">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t>Women</w:t>
            </w:r>
          </w:p>
          <w:p w14:paraId="2D5292DA" w14:textId="49F938F0" w:rsidR="005D1667" w:rsidRPr="00F45F11" w:rsidRDefault="005D1667" w:rsidP="005E2BB1">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Var.</w:t>
            </w:r>
          </w:p>
        </w:tc>
        <w:tc>
          <w:tcPr>
            <w:cnfStyle w:val="000001000000" w:firstRow="0" w:lastRow="0" w:firstColumn="0" w:lastColumn="0" w:oddVBand="0" w:evenVBand="1" w:oddHBand="0" w:evenHBand="0" w:firstRowFirstColumn="0" w:firstRowLastColumn="0" w:lastRowFirstColumn="0" w:lastRowLastColumn="0"/>
            <w:tcW w:w="305" w:type="pct"/>
            <w:tcBorders>
              <w:top w:val="single" w:sz="4" w:space="0" w:color="201547" w:themeColor="text2"/>
            </w:tcBorders>
            <w:shd w:val="clear" w:color="auto" w:fill="E7E6E6" w:themeFill="background2"/>
            <w:hideMark/>
          </w:tcPr>
          <w:p w14:paraId="1A07B1F8" w14:textId="0CD64B77" w:rsidR="001607CD" w:rsidRDefault="001607CD" w:rsidP="005E2BB1">
            <w:pPr>
              <w:pStyle w:val="ARtablecolheadright"/>
              <w:rPr>
                <w:rFonts w:eastAsia="Times"/>
              </w:rPr>
            </w:pPr>
            <w:r w:rsidRPr="00F45F11">
              <w:t>Men</w:t>
            </w:r>
          </w:p>
          <w:p w14:paraId="53D89015" w14:textId="17F12AE8" w:rsidR="005D1667" w:rsidRPr="00F45F11" w:rsidRDefault="005D1667" w:rsidP="005E2BB1">
            <w:pPr>
              <w:pStyle w:val="ARtablecolheadright"/>
              <w:rPr>
                <w:rFonts w:eastAsia="Times"/>
              </w:rPr>
            </w:pPr>
            <w:r w:rsidRPr="00F45F11">
              <w:rPr>
                <w:rFonts w:eastAsia="Times"/>
              </w:rPr>
              <w:t>No.</w:t>
            </w:r>
          </w:p>
        </w:tc>
        <w:tc>
          <w:tcPr>
            <w:tcW w:w="305" w:type="pct"/>
            <w:tcBorders>
              <w:top w:val="single" w:sz="4" w:space="0" w:color="201547" w:themeColor="text2"/>
            </w:tcBorders>
            <w:shd w:val="clear" w:color="auto" w:fill="E7E6E6" w:themeFill="background2"/>
            <w:hideMark/>
          </w:tcPr>
          <w:p w14:paraId="0F2C9B92" w14:textId="1419B9C6" w:rsidR="001607CD" w:rsidRDefault="001607CD" w:rsidP="005E2BB1">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t>Men</w:t>
            </w:r>
          </w:p>
          <w:p w14:paraId="361C5C22" w14:textId="34432699" w:rsidR="005D1667" w:rsidRPr="00F45F11" w:rsidRDefault="005D1667" w:rsidP="005E2BB1">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Var.</w:t>
            </w:r>
          </w:p>
        </w:tc>
        <w:tc>
          <w:tcPr>
            <w:cnfStyle w:val="000001000000" w:firstRow="0" w:lastRow="0" w:firstColumn="0" w:lastColumn="0" w:oddVBand="0" w:evenVBand="1" w:oddHBand="0" w:evenHBand="0" w:firstRowFirstColumn="0" w:firstRowLastColumn="0" w:lastRowFirstColumn="0" w:lastRowLastColumn="0"/>
            <w:tcW w:w="560" w:type="pct"/>
            <w:tcBorders>
              <w:top w:val="single" w:sz="4" w:space="0" w:color="201547" w:themeColor="text2"/>
            </w:tcBorders>
            <w:shd w:val="clear" w:color="auto" w:fill="auto"/>
            <w:hideMark/>
          </w:tcPr>
          <w:p w14:paraId="144885B5" w14:textId="0F70446D" w:rsidR="001607CD" w:rsidRDefault="001607CD" w:rsidP="005E2BB1">
            <w:pPr>
              <w:pStyle w:val="ARtablecolheadright"/>
              <w:rPr>
                <w:rFonts w:eastAsia="Times"/>
              </w:rPr>
            </w:pPr>
            <w:r w:rsidRPr="00F45F11">
              <w:t>Self-described</w:t>
            </w:r>
          </w:p>
          <w:p w14:paraId="79074A68" w14:textId="3D58D74D" w:rsidR="005D1667" w:rsidRPr="00F45F11" w:rsidRDefault="005D1667" w:rsidP="005E2BB1">
            <w:pPr>
              <w:pStyle w:val="ARtablecolheadright"/>
              <w:rPr>
                <w:rFonts w:eastAsia="Times"/>
              </w:rPr>
            </w:pPr>
            <w:r w:rsidRPr="00F45F11">
              <w:rPr>
                <w:rFonts w:eastAsia="Times"/>
              </w:rPr>
              <w:t>No.</w:t>
            </w:r>
          </w:p>
        </w:tc>
        <w:tc>
          <w:tcPr>
            <w:tcW w:w="560" w:type="pct"/>
            <w:tcBorders>
              <w:top w:val="single" w:sz="4" w:space="0" w:color="201547" w:themeColor="text2"/>
            </w:tcBorders>
            <w:hideMark/>
          </w:tcPr>
          <w:p w14:paraId="16DDBC21" w14:textId="60FDB1D5" w:rsidR="001607CD" w:rsidRDefault="001607CD" w:rsidP="005E2BB1">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t>Self-described</w:t>
            </w:r>
          </w:p>
          <w:p w14:paraId="27BE719E" w14:textId="3D3E3756" w:rsidR="005D1667" w:rsidRPr="00F45F11" w:rsidRDefault="005D1667" w:rsidP="005E2BB1">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Var.</w:t>
            </w:r>
          </w:p>
        </w:tc>
      </w:tr>
      <w:tr w:rsidR="005D1667" w:rsidRPr="00F45F11" w14:paraId="12873DD1" w14:textId="77777777" w:rsidTr="001607CD">
        <w:trPr>
          <w:cnfStyle w:val="000000100000" w:firstRow="0" w:lastRow="0" w:firstColumn="0" w:lastColumn="0" w:oddVBand="0" w:evenVBand="0" w:oddHBand="1" w:evenHBand="0" w:firstRowFirstColumn="0" w:firstRowLastColumn="0" w:lastRowFirstColumn="0" w:lastRowLastColumn="0"/>
          <w:trHeight w:val="300"/>
        </w:trPr>
        <w:tc>
          <w:tcPr>
            <w:tcW w:w="1679" w:type="pct"/>
            <w:hideMark/>
          </w:tcPr>
          <w:p w14:paraId="7C9E64C4" w14:textId="77777777" w:rsidR="005D1667" w:rsidRPr="00F45F11" w:rsidRDefault="005D1667" w:rsidP="005E2BB1">
            <w:pPr>
              <w:pStyle w:val="ARTabletext"/>
            </w:pPr>
            <w:r w:rsidRPr="00F45F11">
              <w:t>Commission for Children and Young People</w:t>
            </w:r>
          </w:p>
        </w:tc>
        <w:tc>
          <w:tcPr>
            <w:cnfStyle w:val="000001000000" w:firstRow="0" w:lastRow="0" w:firstColumn="0" w:lastColumn="0" w:oddVBand="0" w:evenVBand="1" w:oddHBand="0" w:evenHBand="0" w:firstRowFirstColumn="0" w:firstRowLastColumn="0" w:lastRowFirstColumn="0" w:lastRowLastColumn="0"/>
            <w:tcW w:w="341" w:type="pct"/>
            <w:shd w:val="clear" w:color="auto" w:fill="E7E6E6" w:themeFill="background2"/>
            <w:hideMark/>
          </w:tcPr>
          <w:p w14:paraId="638CA611" w14:textId="77777777" w:rsidR="005D1667" w:rsidRPr="00F45F11" w:rsidRDefault="005D1667" w:rsidP="005E2BB1">
            <w:pPr>
              <w:pStyle w:val="ARtabletextright"/>
              <w:rPr>
                <w:rFonts w:eastAsia="Times"/>
              </w:rPr>
            </w:pPr>
            <w:r w:rsidRPr="00F45F11">
              <w:rPr>
                <w:rFonts w:eastAsia="Times"/>
              </w:rPr>
              <w:t>2</w:t>
            </w:r>
          </w:p>
        </w:tc>
        <w:tc>
          <w:tcPr>
            <w:tcW w:w="341" w:type="pct"/>
            <w:shd w:val="clear" w:color="auto" w:fill="E7E6E6" w:themeFill="background2"/>
            <w:hideMark/>
          </w:tcPr>
          <w:p w14:paraId="25CBC58D"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-1</w:t>
            </w:r>
          </w:p>
        </w:tc>
        <w:tc>
          <w:tcPr>
            <w:cnfStyle w:val="000001000000" w:firstRow="0" w:lastRow="0" w:firstColumn="0" w:lastColumn="0" w:oddVBand="0" w:evenVBand="1" w:oddHBand="0" w:evenHBand="0" w:firstRowFirstColumn="0" w:firstRowLastColumn="0" w:lastRowFirstColumn="0" w:lastRowLastColumn="0"/>
            <w:tcW w:w="455" w:type="pct"/>
            <w:shd w:val="clear" w:color="auto" w:fill="auto"/>
            <w:hideMark/>
          </w:tcPr>
          <w:p w14:paraId="156670DE" w14:textId="77777777" w:rsidR="005D1667" w:rsidRPr="00F45F11" w:rsidRDefault="005D1667" w:rsidP="005E2BB1">
            <w:pPr>
              <w:pStyle w:val="ARtabletextright"/>
              <w:rPr>
                <w:rFonts w:eastAsia="Times"/>
              </w:rPr>
            </w:pPr>
            <w:r w:rsidRPr="00F45F11">
              <w:rPr>
                <w:rFonts w:eastAsia="Times"/>
              </w:rPr>
              <w:t>2</w:t>
            </w:r>
          </w:p>
        </w:tc>
        <w:tc>
          <w:tcPr>
            <w:tcW w:w="455" w:type="pct"/>
            <w:hideMark/>
          </w:tcPr>
          <w:p w14:paraId="1604A26F"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-1</w:t>
            </w:r>
          </w:p>
        </w:tc>
        <w:tc>
          <w:tcPr>
            <w:cnfStyle w:val="000001000000" w:firstRow="0" w:lastRow="0" w:firstColumn="0" w:lastColumn="0" w:oddVBand="0" w:evenVBand="1" w:oddHBand="0" w:evenHBand="0" w:firstRowFirstColumn="0" w:firstRowLastColumn="0" w:lastRowFirstColumn="0" w:lastRowLastColumn="0"/>
            <w:tcW w:w="305" w:type="pct"/>
            <w:shd w:val="clear" w:color="auto" w:fill="E7E6E6" w:themeFill="background2"/>
            <w:hideMark/>
          </w:tcPr>
          <w:p w14:paraId="4AD82F20" w14:textId="77777777" w:rsidR="005D1667" w:rsidRPr="00F45F11" w:rsidRDefault="005D1667" w:rsidP="005E2BB1">
            <w:pPr>
              <w:pStyle w:val="ARtabletextright"/>
              <w:rPr>
                <w:rFonts w:eastAsia="Times"/>
              </w:rPr>
            </w:pPr>
            <w:r w:rsidRPr="00F45F11">
              <w:rPr>
                <w:rFonts w:eastAsia="Times"/>
              </w:rPr>
              <w:t>0</w:t>
            </w:r>
          </w:p>
        </w:tc>
        <w:tc>
          <w:tcPr>
            <w:tcW w:w="305" w:type="pct"/>
            <w:shd w:val="clear" w:color="auto" w:fill="E7E6E6" w:themeFill="background2"/>
            <w:hideMark/>
          </w:tcPr>
          <w:p w14:paraId="6294BE4F"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0</w:t>
            </w:r>
          </w:p>
        </w:tc>
        <w:tc>
          <w:tcPr>
            <w:cnfStyle w:val="000001000000" w:firstRow="0" w:lastRow="0" w:firstColumn="0" w:lastColumn="0" w:oddVBand="0" w:evenVBand="1" w:oddHBand="0" w:evenHBand="0" w:firstRowFirstColumn="0" w:firstRowLastColumn="0" w:lastRowFirstColumn="0" w:lastRowLastColumn="0"/>
            <w:tcW w:w="560" w:type="pct"/>
            <w:shd w:val="clear" w:color="auto" w:fill="auto"/>
            <w:hideMark/>
          </w:tcPr>
          <w:p w14:paraId="7F55B4D0" w14:textId="77777777" w:rsidR="005D1667" w:rsidRPr="00F45F11" w:rsidRDefault="005D1667" w:rsidP="005E2BB1">
            <w:pPr>
              <w:pStyle w:val="ARtabletextright"/>
              <w:rPr>
                <w:rFonts w:eastAsia="Times"/>
              </w:rPr>
            </w:pPr>
            <w:r w:rsidRPr="00F45F11">
              <w:rPr>
                <w:rFonts w:eastAsia="Times"/>
              </w:rPr>
              <w:t>0</w:t>
            </w:r>
          </w:p>
        </w:tc>
        <w:tc>
          <w:tcPr>
            <w:tcW w:w="560" w:type="pct"/>
            <w:hideMark/>
          </w:tcPr>
          <w:p w14:paraId="160680C8"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0</w:t>
            </w:r>
          </w:p>
        </w:tc>
      </w:tr>
      <w:tr w:rsidR="005D1667" w:rsidRPr="00F45F11" w14:paraId="6A7EB83B" w14:textId="77777777" w:rsidTr="001607CD">
        <w:trPr>
          <w:cnfStyle w:val="000000010000" w:firstRow="0" w:lastRow="0" w:firstColumn="0" w:lastColumn="0" w:oddVBand="0" w:evenVBand="0" w:oddHBand="0" w:evenHBand="1" w:firstRowFirstColumn="0" w:firstRowLastColumn="0" w:lastRowFirstColumn="0" w:lastRowLastColumn="0"/>
          <w:trHeight w:val="300"/>
        </w:trPr>
        <w:tc>
          <w:tcPr>
            <w:tcW w:w="1679" w:type="pct"/>
            <w:hideMark/>
          </w:tcPr>
          <w:p w14:paraId="695B4780" w14:textId="77777777" w:rsidR="005D1667" w:rsidRPr="00F45F11" w:rsidRDefault="005D1667" w:rsidP="005E2BB1">
            <w:pPr>
              <w:pStyle w:val="ARTabletext"/>
            </w:pPr>
            <w:r w:rsidRPr="00F45F11">
              <w:t xml:space="preserve">Disability Services Commissioner </w:t>
            </w:r>
          </w:p>
        </w:tc>
        <w:tc>
          <w:tcPr>
            <w:cnfStyle w:val="000001000000" w:firstRow="0" w:lastRow="0" w:firstColumn="0" w:lastColumn="0" w:oddVBand="0" w:evenVBand="1" w:oddHBand="0" w:evenHBand="0" w:firstRowFirstColumn="0" w:firstRowLastColumn="0" w:lastRowFirstColumn="0" w:lastRowLastColumn="0"/>
            <w:tcW w:w="341" w:type="pct"/>
            <w:shd w:val="clear" w:color="auto" w:fill="E7E6E6" w:themeFill="background2"/>
            <w:hideMark/>
          </w:tcPr>
          <w:p w14:paraId="6DD2EBC3" w14:textId="77777777" w:rsidR="005D1667" w:rsidRPr="00F45F11" w:rsidRDefault="005D1667" w:rsidP="005E2BB1">
            <w:pPr>
              <w:pStyle w:val="ARtabletextright"/>
              <w:rPr>
                <w:rFonts w:eastAsia="Times"/>
              </w:rPr>
            </w:pPr>
            <w:r w:rsidRPr="00F45F11">
              <w:rPr>
                <w:rFonts w:eastAsia="Times"/>
              </w:rPr>
              <w:t>0</w:t>
            </w:r>
          </w:p>
        </w:tc>
        <w:tc>
          <w:tcPr>
            <w:tcW w:w="341" w:type="pct"/>
            <w:shd w:val="clear" w:color="auto" w:fill="E7E6E6" w:themeFill="background2"/>
            <w:hideMark/>
          </w:tcPr>
          <w:p w14:paraId="4FAB981E" w14:textId="77777777" w:rsidR="005D1667" w:rsidRPr="00F45F11" w:rsidRDefault="005D1667" w:rsidP="005E2BB1">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-1</w:t>
            </w:r>
          </w:p>
        </w:tc>
        <w:tc>
          <w:tcPr>
            <w:cnfStyle w:val="000001000000" w:firstRow="0" w:lastRow="0" w:firstColumn="0" w:lastColumn="0" w:oddVBand="0" w:evenVBand="1" w:oddHBand="0" w:evenHBand="0" w:firstRowFirstColumn="0" w:firstRowLastColumn="0" w:lastRowFirstColumn="0" w:lastRowLastColumn="0"/>
            <w:tcW w:w="455" w:type="pct"/>
            <w:shd w:val="clear" w:color="auto" w:fill="auto"/>
            <w:hideMark/>
          </w:tcPr>
          <w:p w14:paraId="04F78F8B" w14:textId="77777777" w:rsidR="005D1667" w:rsidRPr="00F45F11" w:rsidRDefault="005D1667" w:rsidP="005E2BB1">
            <w:pPr>
              <w:pStyle w:val="ARtabletextright"/>
              <w:rPr>
                <w:rFonts w:eastAsia="Times"/>
              </w:rPr>
            </w:pPr>
            <w:r w:rsidRPr="00F45F11">
              <w:rPr>
                <w:rFonts w:eastAsia="Times"/>
              </w:rPr>
              <w:t>0</w:t>
            </w:r>
          </w:p>
        </w:tc>
        <w:tc>
          <w:tcPr>
            <w:tcW w:w="455" w:type="pct"/>
            <w:hideMark/>
          </w:tcPr>
          <w:p w14:paraId="284A7667" w14:textId="77777777" w:rsidR="005D1667" w:rsidRPr="00F45F11" w:rsidRDefault="005D1667" w:rsidP="005E2BB1">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-1</w:t>
            </w:r>
          </w:p>
        </w:tc>
        <w:tc>
          <w:tcPr>
            <w:cnfStyle w:val="000001000000" w:firstRow="0" w:lastRow="0" w:firstColumn="0" w:lastColumn="0" w:oddVBand="0" w:evenVBand="1" w:oddHBand="0" w:evenHBand="0" w:firstRowFirstColumn="0" w:firstRowLastColumn="0" w:lastRowFirstColumn="0" w:lastRowLastColumn="0"/>
            <w:tcW w:w="305" w:type="pct"/>
            <w:shd w:val="clear" w:color="auto" w:fill="E7E6E6" w:themeFill="background2"/>
            <w:hideMark/>
          </w:tcPr>
          <w:p w14:paraId="4BAD1C04" w14:textId="77777777" w:rsidR="005D1667" w:rsidRPr="00F45F11" w:rsidRDefault="005D1667" w:rsidP="005E2BB1">
            <w:pPr>
              <w:pStyle w:val="ARtabletextright"/>
              <w:rPr>
                <w:rFonts w:eastAsia="Times"/>
              </w:rPr>
            </w:pPr>
            <w:r w:rsidRPr="00F45F11">
              <w:rPr>
                <w:rFonts w:eastAsia="Times"/>
              </w:rPr>
              <w:t>0</w:t>
            </w:r>
          </w:p>
        </w:tc>
        <w:tc>
          <w:tcPr>
            <w:tcW w:w="305" w:type="pct"/>
            <w:shd w:val="clear" w:color="auto" w:fill="E7E6E6" w:themeFill="background2"/>
            <w:hideMark/>
          </w:tcPr>
          <w:p w14:paraId="4B18B40C" w14:textId="77777777" w:rsidR="005D1667" w:rsidRPr="00F45F11" w:rsidRDefault="005D1667" w:rsidP="005E2BB1">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0</w:t>
            </w:r>
          </w:p>
        </w:tc>
        <w:tc>
          <w:tcPr>
            <w:cnfStyle w:val="000001000000" w:firstRow="0" w:lastRow="0" w:firstColumn="0" w:lastColumn="0" w:oddVBand="0" w:evenVBand="1" w:oddHBand="0" w:evenHBand="0" w:firstRowFirstColumn="0" w:firstRowLastColumn="0" w:lastRowFirstColumn="0" w:lastRowLastColumn="0"/>
            <w:tcW w:w="560" w:type="pct"/>
            <w:shd w:val="clear" w:color="auto" w:fill="auto"/>
            <w:hideMark/>
          </w:tcPr>
          <w:p w14:paraId="0DC00E19" w14:textId="77777777" w:rsidR="005D1667" w:rsidRPr="00F45F11" w:rsidRDefault="005D1667" w:rsidP="005E2BB1">
            <w:pPr>
              <w:pStyle w:val="ARtabletextright"/>
              <w:rPr>
                <w:rFonts w:eastAsia="Times"/>
              </w:rPr>
            </w:pPr>
            <w:r w:rsidRPr="00F45F11">
              <w:rPr>
                <w:rFonts w:eastAsia="Times"/>
              </w:rPr>
              <w:t>0</w:t>
            </w:r>
          </w:p>
        </w:tc>
        <w:tc>
          <w:tcPr>
            <w:tcW w:w="560" w:type="pct"/>
            <w:hideMark/>
          </w:tcPr>
          <w:p w14:paraId="1BE9917A" w14:textId="77777777" w:rsidR="005D1667" w:rsidRPr="00F45F11" w:rsidRDefault="005D1667" w:rsidP="005E2BB1">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0</w:t>
            </w:r>
          </w:p>
        </w:tc>
      </w:tr>
      <w:tr w:rsidR="005D1667" w:rsidRPr="00F45F11" w14:paraId="5D41C9C6" w14:textId="77777777" w:rsidTr="001607CD">
        <w:trPr>
          <w:cnfStyle w:val="000000100000" w:firstRow="0" w:lastRow="0" w:firstColumn="0" w:lastColumn="0" w:oddVBand="0" w:evenVBand="0" w:oddHBand="1" w:evenHBand="0" w:firstRowFirstColumn="0" w:firstRowLastColumn="0" w:lastRowFirstColumn="0" w:lastRowLastColumn="0"/>
          <w:trHeight w:val="300"/>
        </w:trPr>
        <w:tc>
          <w:tcPr>
            <w:tcW w:w="1679" w:type="pct"/>
            <w:hideMark/>
          </w:tcPr>
          <w:p w14:paraId="1A6E9125" w14:textId="77777777" w:rsidR="005D1667" w:rsidRPr="00F45F11" w:rsidRDefault="005D1667" w:rsidP="005E2BB1">
            <w:pPr>
              <w:pStyle w:val="ARTabletext"/>
            </w:pPr>
            <w:r w:rsidRPr="00F45F11">
              <w:t>Queen Victoria Women’s Centre Trust</w:t>
            </w:r>
          </w:p>
        </w:tc>
        <w:tc>
          <w:tcPr>
            <w:cnfStyle w:val="000001000000" w:firstRow="0" w:lastRow="0" w:firstColumn="0" w:lastColumn="0" w:oddVBand="0" w:evenVBand="1" w:oddHBand="0" w:evenHBand="0" w:firstRowFirstColumn="0" w:firstRowLastColumn="0" w:lastRowFirstColumn="0" w:lastRowLastColumn="0"/>
            <w:tcW w:w="341" w:type="pct"/>
            <w:shd w:val="clear" w:color="auto" w:fill="E7E6E6" w:themeFill="background2"/>
            <w:hideMark/>
          </w:tcPr>
          <w:p w14:paraId="1EC2E686" w14:textId="77777777" w:rsidR="005D1667" w:rsidRPr="00F45F11" w:rsidRDefault="005D1667" w:rsidP="005E2BB1">
            <w:pPr>
              <w:pStyle w:val="ARtabletextright"/>
              <w:rPr>
                <w:rFonts w:eastAsia="Times"/>
              </w:rPr>
            </w:pPr>
            <w:r w:rsidRPr="00F45F11">
              <w:rPr>
                <w:rFonts w:eastAsia="Times"/>
              </w:rPr>
              <w:t>1</w:t>
            </w:r>
          </w:p>
        </w:tc>
        <w:tc>
          <w:tcPr>
            <w:tcW w:w="341" w:type="pct"/>
            <w:shd w:val="clear" w:color="auto" w:fill="E7E6E6" w:themeFill="background2"/>
            <w:hideMark/>
          </w:tcPr>
          <w:p w14:paraId="3612715B"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0</w:t>
            </w:r>
          </w:p>
        </w:tc>
        <w:tc>
          <w:tcPr>
            <w:cnfStyle w:val="000001000000" w:firstRow="0" w:lastRow="0" w:firstColumn="0" w:lastColumn="0" w:oddVBand="0" w:evenVBand="1" w:oddHBand="0" w:evenHBand="0" w:firstRowFirstColumn="0" w:firstRowLastColumn="0" w:lastRowFirstColumn="0" w:lastRowLastColumn="0"/>
            <w:tcW w:w="455" w:type="pct"/>
            <w:shd w:val="clear" w:color="auto" w:fill="auto"/>
            <w:hideMark/>
          </w:tcPr>
          <w:p w14:paraId="7C937F41" w14:textId="77777777" w:rsidR="005D1667" w:rsidRPr="00F45F11" w:rsidRDefault="005D1667" w:rsidP="005E2BB1">
            <w:pPr>
              <w:pStyle w:val="ARtabletextright"/>
              <w:rPr>
                <w:rFonts w:eastAsia="Times"/>
              </w:rPr>
            </w:pPr>
            <w:r w:rsidRPr="00F45F11">
              <w:rPr>
                <w:rFonts w:eastAsia="Times"/>
              </w:rPr>
              <w:t>1</w:t>
            </w:r>
          </w:p>
        </w:tc>
        <w:tc>
          <w:tcPr>
            <w:tcW w:w="455" w:type="pct"/>
            <w:hideMark/>
          </w:tcPr>
          <w:p w14:paraId="4185E097"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0</w:t>
            </w:r>
          </w:p>
        </w:tc>
        <w:tc>
          <w:tcPr>
            <w:cnfStyle w:val="000001000000" w:firstRow="0" w:lastRow="0" w:firstColumn="0" w:lastColumn="0" w:oddVBand="0" w:evenVBand="1" w:oddHBand="0" w:evenHBand="0" w:firstRowFirstColumn="0" w:firstRowLastColumn="0" w:lastRowFirstColumn="0" w:lastRowLastColumn="0"/>
            <w:tcW w:w="305" w:type="pct"/>
            <w:shd w:val="clear" w:color="auto" w:fill="E7E6E6" w:themeFill="background2"/>
            <w:hideMark/>
          </w:tcPr>
          <w:p w14:paraId="4805E3FC" w14:textId="77777777" w:rsidR="005D1667" w:rsidRPr="00F45F11" w:rsidRDefault="005D1667" w:rsidP="005E2BB1">
            <w:pPr>
              <w:pStyle w:val="ARtabletextright"/>
              <w:rPr>
                <w:rFonts w:eastAsia="Times"/>
              </w:rPr>
            </w:pPr>
            <w:r w:rsidRPr="00F45F11">
              <w:rPr>
                <w:rFonts w:eastAsia="Times"/>
              </w:rPr>
              <w:t>0</w:t>
            </w:r>
          </w:p>
        </w:tc>
        <w:tc>
          <w:tcPr>
            <w:tcW w:w="305" w:type="pct"/>
            <w:shd w:val="clear" w:color="auto" w:fill="E7E6E6" w:themeFill="background2"/>
            <w:hideMark/>
          </w:tcPr>
          <w:p w14:paraId="2508204D"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0</w:t>
            </w:r>
          </w:p>
        </w:tc>
        <w:tc>
          <w:tcPr>
            <w:cnfStyle w:val="000001000000" w:firstRow="0" w:lastRow="0" w:firstColumn="0" w:lastColumn="0" w:oddVBand="0" w:evenVBand="1" w:oddHBand="0" w:evenHBand="0" w:firstRowFirstColumn="0" w:firstRowLastColumn="0" w:lastRowFirstColumn="0" w:lastRowLastColumn="0"/>
            <w:tcW w:w="560" w:type="pct"/>
            <w:shd w:val="clear" w:color="auto" w:fill="auto"/>
            <w:hideMark/>
          </w:tcPr>
          <w:p w14:paraId="43CBF713" w14:textId="77777777" w:rsidR="005D1667" w:rsidRPr="00F45F11" w:rsidRDefault="005D1667" w:rsidP="005E2BB1">
            <w:pPr>
              <w:pStyle w:val="ARtabletextright"/>
              <w:rPr>
                <w:rFonts w:eastAsia="Times"/>
              </w:rPr>
            </w:pPr>
            <w:r w:rsidRPr="00F45F11">
              <w:rPr>
                <w:rFonts w:eastAsia="Times"/>
              </w:rPr>
              <w:t>0</w:t>
            </w:r>
          </w:p>
        </w:tc>
        <w:tc>
          <w:tcPr>
            <w:tcW w:w="560" w:type="pct"/>
            <w:hideMark/>
          </w:tcPr>
          <w:p w14:paraId="02D26A39"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0</w:t>
            </w:r>
          </w:p>
        </w:tc>
      </w:tr>
      <w:tr w:rsidR="005D1667" w:rsidRPr="00F45F11" w14:paraId="7A4A39B9" w14:textId="77777777" w:rsidTr="001607CD">
        <w:trPr>
          <w:cnfStyle w:val="000000010000" w:firstRow="0" w:lastRow="0" w:firstColumn="0" w:lastColumn="0" w:oddVBand="0" w:evenVBand="0" w:oddHBand="0" w:evenHBand="1" w:firstRowFirstColumn="0" w:firstRowLastColumn="0" w:lastRowFirstColumn="0" w:lastRowLastColumn="0"/>
          <w:trHeight w:val="300"/>
        </w:trPr>
        <w:tc>
          <w:tcPr>
            <w:tcW w:w="1679" w:type="pct"/>
            <w:hideMark/>
          </w:tcPr>
          <w:p w14:paraId="3FE68C32" w14:textId="77777777" w:rsidR="005D1667" w:rsidRPr="00F45F11" w:rsidRDefault="005D1667" w:rsidP="005E2BB1">
            <w:pPr>
              <w:pStyle w:val="ARTabletext"/>
            </w:pPr>
            <w:r w:rsidRPr="00F45F11">
              <w:t>Respect Victoria</w:t>
            </w:r>
          </w:p>
        </w:tc>
        <w:tc>
          <w:tcPr>
            <w:cnfStyle w:val="000001000000" w:firstRow="0" w:lastRow="0" w:firstColumn="0" w:lastColumn="0" w:oddVBand="0" w:evenVBand="1" w:oddHBand="0" w:evenHBand="0" w:firstRowFirstColumn="0" w:firstRowLastColumn="0" w:lastRowFirstColumn="0" w:lastRowLastColumn="0"/>
            <w:tcW w:w="341" w:type="pct"/>
            <w:shd w:val="clear" w:color="auto" w:fill="E7E6E6" w:themeFill="background2"/>
            <w:hideMark/>
          </w:tcPr>
          <w:p w14:paraId="0A9D2DCA" w14:textId="77777777" w:rsidR="005D1667" w:rsidRPr="00F45F11" w:rsidRDefault="005D1667" w:rsidP="005E2BB1">
            <w:pPr>
              <w:pStyle w:val="ARtabletextright"/>
              <w:rPr>
                <w:rFonts w:eastAsia="Times"/>
              </w:rPr>
            </w:pPr>
            <w:r w:rsidRPr="00F45F11">
              <w:rPr>
                <w:rFonts w:eastAsia="Times"/>
              </w:rPr>
              <w:t>2</w:t>
            </w:r>
          </w:p>
        </w:tc>
        <w:tc>
          <w:tcPr>
            <w:tcW w:w="341" w:type="pct"/>
            <w:shd w:val="clear" w:color="auto" w:fill="E7E6E6" w:themeFill="background2"/>
            <w:hideMark/>
          </w:tcPr>
          <w:p w14:paraId="4AF246C5" w14:textId="77777777" w:rsidR="005D1667" w:rsidRPr="00F45F11" w:rsidRDefault="005D1667" w:rsidP="005E2BB1">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-1</w:t>
            </w:r>
          </w:p>
        </w:tc>
        <w:tc>
          <w:tcPr>
            <w:cnfStyle w:val="000001000000" w:firstRow="0" w:lastRow="0" w:firstColumn="0" w:lastColumn="0" w:oddVBand="0" w:evenVBand="1" w:oddHBand="0" w:evenHBand="0" w:firstRowFirstColumn="0" w:firstRowLastColumn="0" w:lastRowFirstColumn="0" w:lastRowLastColumn="0"/>
            <w:tcW w:w="455" w:type="pct"/>
            <w:shd w:val="clear" w:color="auto" w:fill="auto"/>
            <w:hideMark/>
          </w:tcPr>
          <w:p w14:paraId="4B91C9BC" w14:textId="77777777" w:rsidR="005D1667" w:rsidRPr="00F45F11" w:rsidRDefault="005D1667" w:rsidP="005E2BB1">
            <w:pPr>
              <w:pStyle w:val="ARtabletextright"/>
              <w:rPr>
                <w:rFonts w:eastAsia="Times"/>
              </w:rPr>
            </w:pPr>
            <w:r w:rsidRPr="00F45F11">
              <w:rPr>
                <w:rFonts w:eastAsia="Times"/>
              </w:rPr>
              <w:t>2</w:t>
            </w:r>
          </w:p>
        </w:tc>
        <w:tc>
          <w:tcPr>
            <w:tcW w:w="455" w:type="pct"/>
            <w:hideMark/>
          </w:tcPr>
          <w:p w14:paraId="32F506CB" w14:textId="77777777" w:rsidR="005D1667" w:rsidRPr="00F45F11" w:rsidRDefault="005D1667" w:rsidP="005E2BB1">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-1</w:t>
            </w:r>
          </w:p>
        </w:tc>
        <w:tc>
          <w:tcPr>
            <w:cnfStyle w:val="000001000000" w:firstRow="0" w:lastRow="0" w:firstColumn="0" w:lastColumn="0" w:oddVBand="0" w:evenVBand="1" w:oddHBand="0" w:evenHBand="0" w:firstRowFirstColumn="0" w:firstRowLastColumn="0" w:lastRowFirstColumn="0" w:lastRowLastColumn="0"/>
            <w:tcW w:w="305" w:type="pct"/>
            <w:shd w:val="clear" w:color="auto" w:fill="E7E6E6" w:themeFill="background2"/>
            <w:hideMark/>
          </w:tcPr>
          <w:p w14:paraId="7D1256E2" w14:textId="77777777" w:rsidR="005D1667" w:rsidRPr="00F45F11" w:rsidRDefault="005D1667" w:rsidP="005E2BB1">
            <w:pPr>
              <w:pStyle w:val="ARtabletextright"/>
              <w:rPr>
                <w:rFonts w:eastAsia="Times"/>
              </w:rPr>
            </w:pPr>
            <w:r w:rsidRPr="00F45F11">
              <w:rPr>
                <w:rFonts w:eastAsia="Times"/>
              </w:rPr>
              <w:t>0</w:t>
            </w:r>
          </w:p>
        </w:tc>
        <w:tc>
          <w:tcPr>
            <w:tcW w:w="305" w:type="pct"/>
            <w:shd w:val="clear" w:color="auto" w:fill="E7E6E6" w:themeFill="background2"/>
            <w:hideMark/>
          </w:tcPr>
          <w:p w14:paraId="439C24B2" w14:textId="77777777" w:rsidR="005D1667" w:rsidRPr="00F45F11" w:rsidRDefault="005D1667" w:rsidP="005E2BB1">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0</w:t>
            </w:r>
          </w:p>
        </w:tc>
        <w:tc>
          <w:tcPr>
            <w:cnfStyle w:val="000001000000" w:firstRow="0" w:lastRow="0" w:firstColumn="0" w:lastColumn="0" w:oddVBand="0" w:evenVBand="1" w:oddHBand="0" w:evenHBand="0" w:firstRowFirstColumn="0" w:firstRowLastColumn="0" w:lastRowFirstColumn="0" w:lastRowLastColumn="0"/>
            <w:tcW w:w="560" w:type="pct"/>
            <w:shd w:val="clear" w:color="auto" w:fill="auto"/>
            <w:hideMark/>
          </w:tcPr>
          <w:p w14:paraId="58389F99" w14:textId="77777777" w:rsidR="005D1667" w:rsidRPr="00F45F11" w:rsidRDefault="005D1667" w:rsidP="005E2BB1">
            <w:pPr>
              <w:pStyle w:val="ARtabletextright"/>
              <w:rPr>
                <w:rFonts w:eastAsia="Times"/>
              </w:rPr>
            </w:pPr>
            <w:r w:rsidRPr="00F45F11">
              <w:rPr>
                <w:rFonts w:eastAsia="Times"/>
              </w:rPr>
              <w:t>0</w:t>
            </w:r>
          </w:p>
        </w:tc>
        <w:tc>
          <w:tcPr>
            <w:tcW w:w="560" w:type="pct"/>
            <w:hideMark/>
          </w:tcPr>
          <w:p w14:paraId="0F4F8FBF" w14:textId="77777777" w:rsidR="005D1667" w:rsidRPr="00F45F11" w:rsidRDefault="005D1667" w:rsidP="005E2BB1">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0</w:t>
            </w:r>
          </w:p>
        </w:tc>
      </w:tr>
      <w:tr w:rsidR="005D1667" w:rsidRPr="00F45F11" w14:paraId="09B13A45" w14:textId="77777777" w:rsidTr="001607CD">
        <w:trPr>
          <w:cnfStyle w:val="000000100000" w:firstRow="0" w:lastRow="0" w:firstColumn="0" w:lastColumn="0" w:oddVBand="0" w:evenVBand="0" w:oddHBand="1" w:evenHBand="0" w:firstRowFirstColumn="0" w:firstRowLastColumn="0" w:lastRowFirstColumn="0" w:lastRowLastColumn="0"/>
          <w:trHeight w:val="300"/>
        </w:trPr>
        <w:tc>
          <w:tcPr>
            <w:tcW w:w="1679" w:type="pct"/>
            <w:hideMark/>
          </w:tcPr>
          <w:p w14:paraId="0C9555E9" w14:textId="77777777" w:rsidR="005D1667" w:rsidRPr="00F45F11" w:rsidRDefault="005D1667" w:rsidP="005E2BB1">
            <w:pPr>
              <w:pStyle w:val="ARTabletext"/>
            </w:pPr>
            <w:r w:rsidRPr="00F45F11">
              <w:t>Shrine of Remembrance Trustees</w:t>
            </w:r>
          </w:p>
        </w:tc>
        <w:tc>
          <w:tcPr>
            <w:cnfStyle w:val="000001000000" w:firstRow="0" w:lastRow="0" w:firstColumn="0" w:lastColumn="0" w:oddVBand="0" w:evenVBand="1" w:oddHBand="0" w:evenHBand="0" w:firstRowFirstColumn="0" w:firstRowLastColumn="0" w:lastRowFirstColumn="0" w:lastRowLastColumn="0"/>
            <w:tcW w:w="341" w:type="pct"/>
            <w:shd w:val="clear" w:color="auto" w:fill="E7E6E6" w:themeFill="background2"/>
            <w:hideMark/>
          </w:tcPr>
          <w:p w14:paraId="580D8E1B" w14:textId="77777777" w:rsidR="005D1667" w:rsidRPr="00F45F11" w:rsidRDefault="005D1667" w:rsidP="005E2BB1">
            <w:pPr>
              <w:pStyle w:val="ARtabletextright"/>
              <w:rPr>
                <w:rFonts w:eastAsia="Times"/>
              </w:rPr>
            </w:pPr>
            <w:r w:rsidRPr="00F45F11">
              <w:rPr>
                <w:rFonts w:eastAsia="Times"/>
              </w:rPr>
              <w:t>4</w:t>
            </w:r>
          </w:p>
        </w:tc>
        <w:tc>
          <w:tcPr>
            <w:tcW w:w="341" w:type="pct"/>
            <w:shd w:val="clear" w:color="auto" w:fill="E7E6E6" w:themeFill="background2"/>
            <w:hideMark/>
          </w:tcPr>
          <w:p w14:paraId="1B118012"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0</w:t>
            </w:r>
          </w:p>
        </w:tc>
        <w:tc>
          <w:tcPr>
            <w:cnfStyle w:val="000001000000" w:firstRow="0" w:lastRow="0" w:firstColumn="0" w:lastColumn="0" w:oddVBand="0" w:evenVBand="1" w:oddHBand="0" w:evenHBand="0" w:firstRowFirstColumn="0" w:firstRowLastColumn="0" w:lastRowFirstColumn="0" w:lastRowLastColumn="0"/>
            <w:tcW w:w="455" w:type="pct"/>
            <w:shd w:val="clear" w:color="auto" w:fill="auto"/>
            <w:hideMark/>
          </w:tcPr>
          <w:p w14:paraId="096AF95A" w14:textId="77777777" w:rsidR="005D1667" w:rsidRPr="00F45F11" w:rsidRDefault="005D1667" w:rsidP="005E2BB1">
            <w:pPr>
              <w:pStyle w:val="ARtabletextright"/>
              <w:rPr>
                <w:rFonts w:eastAsia="Times"/>
              </w:rPr>
            </w:pPr>
            <w:r w:rsidRPr="00F45F11">
              <w:rPr>
                <w:rFonts w:eastAsia="Times"/>
              </w:rPr>
              <w:t>3</w:t>
            </w:r>
          </w:p>
        </w:tc>
        <w:tc>
          <w:tcPr>
            <w:tcW w:w="455" w:type="pct"/>
            <w:hideMark/>
          </w:tcPr>
          <w:p w14:paraId="67EC97C2"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2</w:t>
            </w:r>
          </w:p>
        </w:tc>
        <w:tc>
          <w:tcPr>
            <w:cnfStyle w:val="000001000000" w:firstRow="0" w:lastRow="0" w:firstColumn="0" w:lastColumn="0" w:oddVBand="0" w:evenVBand="1" w:oddHBand="0" w:evenHBand="0" w:firstRowFirstColumn="0" w:firstRowLastColumn="0" w:lastRowFirstColumn="0" w:lastRowLastColumn="0"/>
            <w:tcW w:w="305" w:type="pct"/>
            <w:shd w:val="clear" w:color="auto" w:fill="E7E6E6" w:themeFill="background2"/>
            <w:hideMark/>
          </w:tcPr>
          <w:p w14:paraId="7A86D1CD" w14:textId="77777777" w:rsidR="005D1667" w:rsidRPr="00F45F11" w:rsidRDefault="005D1667" w:rsidP="005E2BB1">
            <w:pPr>
              <w:pStyle w:val="ARtabletextright"/>
              <w:rPr>
                <w:rFonts w:eastAsia="Times"/>
              </w:rPr>
            </w:pPr>
            <w:r w:rsidRPr="00F45F11">
              <w:rPr>
                <w:rFonts w:eastAsia="Times"/>
              </w:rPr>
              <w:t>1</w:t>
            </w:r>
          </w:p>
        </w:tc>
        <w:tc>
          <w:tcPr>
            <w:tcW w:w="305" w:type="pct"/>
            <w:shd w:val="clear" w:color="auto" w:fill="E7E6E6" w:themeFill="background2"/>
            <w:hideMark/>
          </w:tcPr>
          <w:p w14:paraId="212BADFF"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-2</w:t>
            </w:r>
          </w:p>
        </w:tc>
        <w:tc>
          <w:tcPr>
            <w:cnfStyle w:val="000001000000" w:firstRow="0" w:lastRow="0" w:firstColumn="0" w:lastColumn="0" w:oddVBand="0" w:evenVBand="1" w:oddHBand="0" w:evenHBand="0" w:firstRowFirstColumn="0" w:firstRowLastColumn="0" w:lastRowFirstColumn="0" w:lastRowLastColumn="0"/>
            <w:tcW w:w="560" w:type="pct"/>
            <w:shd w:val="clear" w:color="auto" w:fill="auto"/>
            <w:hideMark/>
          </w:tcPr>
          <w:p w14:paraId="23BEC151" w14:textId="77777777" w:rsidR="005D1667" w:rsidRPr="00F45F11" w:rsidRDefault="005D1667" w:rsidP="005E2BB1">
            <w:pPr>
              <w:pStyle w:val="ARtabletextright"/>
              <w:rPr>
                <w:rFonts w:eastAsia="Times"/>
              </w:rPr>
            </w:pPr>
            <w:r w:rsidRPr="00F45F11">
              <w:rPr>
                <w:rFonts w:eastAsia="Times"/>
              </w:rPr>
              <w:t>0</w:t>
            </w:r>
          </w:p>
        </w:tc>
        <w:tc>
          <w:tcPr>
            <w:tcW w:w="560" w:type="pct"/>
            <w:hideMark/>
          </w:tcPr>
          <w:p w14:paraId="680B044F"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0</w:t>
            </w:r>
          </w:p>
        </w:tc>
      </w:tr>
      <w:tr w:rsidR="005D1667" w:rsidRPr="00F45F11" w14:paraId="756B3008" w14:textId="77777777" w:rsidTr="001607CD">
        <w:trPr>
          <w:cnfStyle w:val="000000010000" w:firstRow="0" w:lastRow="0" w:firstColumn="0" w:lastColumn="0" w:oddVBand="0" w:evenVBand="0" w:oddHBand="0" w:evenHBand="1" w:firstRowFirstColumn="0" w:firstRowLastColumn="0" w:lastRowFirstColumn="0" w:lastRowLastColumn="0"/>
          <w:trHeight w:val="300"/>
        </w:trPr>
        <w:tc>
          <w:tcPr>
            <w:tcW w:w="1679" w:type="pct"/>
          </w:tcPr>
          <w:p w14:paraId="6F152E4C" w14:textId="77777777" w:rsidR="005D1667" w:rsidRPr="00F45F11" w:rsidRDefault="005D1667" w:rsidP="005E2BB1">
            <w:pPr>
              <w:pStyle w:val="ARTabletext"/>
            </w:pPr>
            <w:r w:rsidRPr="00F45F11">
              <w:t>Social Services Regulator</w:t>
            </w:r>
          </w:p>
        </w:tc>
        <w:tc>
          <w:tcPr>
            <w:cnfStyle w:val="000001000000" w:firstRow="0" w:lastRow="0" w:firstColumn="0" w:lastColumn="0" w:oddVBand="0" w:evenVBand="1" w:oddHBand="0" w:evenHBand="0" w:firstRowFirstColumn="0" w:firstRowLastColumn="0" w:lastRowFirstColumn="0" w:lastRowLastColumn="0"/>
            <w:tcW w:w="341" w:type="pct"/>
            <w:shd w:val="clear" w:color="auto" w:fill="E7E6E6" w:themeFill="background2"/>
          </w:tcPr>
          <w:p w14:paraId="1A9E1385" w14:textId="77777777" w:rsidR="005D1667" w:rsidRPr="00F45F11" w:rsidRDefault="005D1667" w:rsidP="005E2BB1">
            <w:pPr>
              <w:pStyle w:val="ARtabletextright"/>
              <w:rPr>
                <w:rFonts w:eastAsia="Times"/>
              </w:rPr>
            </w:pPr>
            <w:r w:rsidRPr="00F45F11">
              <w:rPr>
                <w:rFonts w:eastAsia="Times"/>
              </w:rPr>
              <w:t>9</w:t>
            </w:r>
          </w:p>
        </w:tc>
        <w:tc>
          <w:tcPr>
            <w:tcW w:w="341" w:type="pct"/>
            <w:shd w:val="clear" w:color="auto" w:fill="E7E6E6" w:themeFill="background2"/>
          </w:tcPr>
          <w:p w14:paraId="3D5F9D2C" w14:textId="77777777" w:rsidR="005D1667" w:rsidRPr="00F45F11" w:rsidRDefault="005D1667" w:rsidP="005E2BB1">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7</w:t>
            </w:r>
          </w:p>
        </w:tc>
        <w:tc>
          <w:tcPr>
            <w:cnfStyle w:val="000001000000" w:firstRow="0" w:lastRow="0" w:firstColumn="0" w:lastColumn="0" w:oddVBand="0" w:evenVBand="1" w:oddHBand="0" w:evenHBand="0" w:firstRowFirstColumn="0" w:firstRowLastColumn="0" w:lastRowFirstColumn="0" w:lastRowLastColumn="0"/>
            <w:tcW w:w="455" w:type="pct"/>
            <w:shd w:val="clear" w:color="auto" w:fill="auto"/>
          </w:tcPr>
          <w:p w14:paraId="181D823E" w14:textId="77777777" w:rsidR="005D1667" w:rsidRPr="00F45F11" w:rsidRDefault="005D1667" w:rsidP="005E2BB1">
            <w:pPr>
              <w:pStyle w:val="ARtabletextright"/>
              <w:rPr>
                <w:rFonts w:eastAsia="Times"/>
              </w:rPr>
            </w:pPr>
            <w:r w:rsidRPr="00F45F11">
              <w:rPr>
                <w:rFonts w:eastAsia="Times"/>
              </w:rPr>
              <w:t>7</w:t>
            </w:r>
          </w:p>
        </w:tc>
        <w:tc>
          <w:tcPr>
            <w:tcW w:w="455" w:type="pct"/>
          </w:tcPr>
          <w:p w14:paraId="3F1A5585" w14:textId="77777777" w:rsidR="005D1667" w:rsidRPr="00F45F11" w:rsidRDefault="005D1667" w:rsidP="005E2BB1">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7</w:t>
            </w:r>
          </w:p>
        </w:tc>
        <w:tc>
          <w:tcPr>
            <w:cnfStyle w:val="000001000000" w:firstRow="0" w:lastRow="0" w:firstColumn="0" w:lastColumn="0" w:oddVBand="0" w:evenVBand="1" w:oddHBand="0" w:evenHBand="0" w:firstRowFirstColumn="0" w:firstRowLastColumn="0" w:lastRowFirstColumn="0" w:lastRowLastColumn="0"/>
            <w:tcW w:w="305" w:type="pct"/>
            <w:shd w:val="clear" w:color="auto" w:fill="E7E6E6" w:themeFill="background2"/>
          </w:tcPr>
          <w:p w14:paraId="704FB6B7" w14:textId="77777777" w:rsidR="005D1667" w:rsidRPr="00F45F11" w:rsidRDefault="005D1667" w:rsidP="005E2BB1">
            <w:pPr>
              <w:pStyle w:val="ARtabletextright"/>
              <w:rPr>
                <w:rFonts w:eastAsia="Times"/>
              </w:rPr>
            </w:pPr>
            <w:r w:rsidRPr="00F45F11">
              <w:rPr>
                <w:rFonts w:eastAsia="Times"/>
              </w:rPr>
              <w:t>2</w:t>
            </w:r>
          </w:p>
        </w:tc>
        <w:tc>
          <w:tcPr>
            <w:tcW w:w="305" w:type="pct"/>
            <w:shd w:val="clear" w:color="auto" w:fill="E7E6E6" w:themeFill="background2"/>
          </w:tcPr>
          <w:p w14:paraId="3D217DCC" w14:textId="77777777" w:rsidR="005D1667" w:rsidRPr="00F45F11" w:rsidRDefault="005D1667" w:rsidP="005E2BB1">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0</w:t>
            </w:r>
          </w:p>
        </w:tc>
        <w:tc>
          <w:tcPr>
            <w:cnfStyle w:val="000001000000" w:firstRow="0" w:lastRow="0" w:firstColumn="0" w:lastColumn="0" w:oddVBand="0" w:evenVBand="1" w:oddHBand="0" w:evenHBand="0" w:firstRowFirstColumn="0" w:firstRowLastColumn="0" w:lastRowFirstColumn="0" w:lastRowLastColumn="0"/>
            <w:tcW w:w="560" w:type="pct"/>
            <w:shd w:val="clear" w:color="auto" w:fill="auto"/>
          </w:tcPr>
          <w:p w14:paraId="48E3C391" w14:textId="77777777" w:rsidR="005D1667" w:rsidRPr="00F45F11" w:rsidRDefault="005D1667" w:rsidP="005E2BB1">
            <w:pPr>
              <w:pStyle w:val="ARtabletextright"/>
              <w:rPr>
                <w:rFonts w:eastAsia="Times"/>
              </w:rPr>
            </w:pPr>
            <w:r w:rsidRPr="00F45F11">
              <w:rPr>
                <w:rFonts w:eastAsia="Times"/>
              </w:rPr>
              <w:t>0</w:t>
            </w:r>
          </w:p>
        </w:tc>
        <w:tc>
          <w:tcPr>
            <w:tcW w:w="560" w:type="pct"/>
          </w:tcPr>
          <w:p w14:paraId="64D25DF3" w14:textId="77777777" w:rsidR="005D1667" w:rsidRPr="00F45F11" w:rsidRDefault="005D1667" w:rsidP="005E2BB1">
            <w:pPr>
              <w:pStyle w:val="ARtabletextrigh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0</w:t>
            </w:r>
          </w:p>
        </w:tc>
      </w:tr>
      <w:tr w:rsidR="005D1667" w:rsidRPr="00F45F11" w14:paraId="6AC5970D" w14:textId="77777777" w:rsidTr="001607CD">
        <w:trPr>
          <w:cnfStyle w:val="000000100000" w:firstRow="0" w:lastRow="0" w:firstColumn="0" w:lastColumn="0" w:oddVBand="0" w:evenVBand="0" w:oddHBand="1" w:evenHBand="0" w:firstRowFirstColumn="0" w:firstRowLastColumn="0" w:lastRowFirstColumn="0" w:lastRowLastColumn="0"/>
          <w:trHeight w:val="300"/>
        </w:trPr>
        <w:tc>
          <w:tcPr>
            <w:tcW w:w="1679" w:type="pct"/>
            <w:hideMark/>
          </w:tcPr>
          <w:p w14:paraId="2C1E8D4E" w14:textId="77777777" w:rsidR="005D1667" w:rsidRPr="00F45F11" w:rsidRDefault="005D1667" w:rsidP="005E2BB1">
            <w:pPr>
              <w:pStyle w:val="ARTabletext"/>
            </w:pPr>
            <w:r w:rsidRPr="00F45F11">
              <w:t>Victorian Disability Worker Commission</w:t>
            </w:r>
          </w:p>
        </w:tc>
        <w:tc>
          <w:tcPr>
            <w:cnfStyle w:val="000001000000" w:firstRow="0" w:lastRow="0" w:firstColumn="0" w:lastColumn="0" w:oddVBand="0" w:evenVBand="1" w:oddHBand="0" w:evenHBand="0" w:firstRowFirstColumn="0" w:firstRowLastColumn="0" w:lastRowFirstColumn="0" w:lastRowLastColumn="0"/>
            <w:tcW w:w="341" w:type="pct"/>
            <w:shd w:val="clear" w:color="auto" w:fill="E7E6E6" w:themeFill="background2"/>
            <w:hideMark/>
          </w:tcPr>
          <w:p w14:paraId="2B1FC07B" w14:textId="77777777" w:rsidR="005D1667" w:rsidRPr="00F45F11" w:rsidRDefault="005D1667" w:rsidP="005E2BB1">
            <w:pPr>
              <w:pStyle w:val="ARtabletextright"/>
              <w:rPr>
                <w:rFonts w:eastAsia="Times"/>
              </w:rPr>
            </w:pPr>
            <w:r w:rsidRPr="00F45F11">
              <w:rPr>
                <w:rFonts w:eastAsia="Times"/>
              </w:rPr>
              <w:t>1</w:t>
            </w:r>
          </w:p>
        </w:tc>
        <w:tc>
          <w:tcPr>
            <w:tcW w:w="341" w:type="pct"/>
            <w:shd w:val="clear" w:color="auto" w:fill="E7E6E6" w:themeFill="background2"/>
            <w:hideMark/>
          </w:tcPr>
          <w:p w14:paraId="7C27EBAC"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0</w:t>
            </w:r>
          </w:p>
        </w:tc>
        <w:tc>
          <w:tcPr>
            <w:cnfStyle w:val="000001000000" w:firstRow="0" w:lastRow="0" w:firstColumn="0" w:lastColumn="0" w:oddVBand="0" w:evenVBand="1" w:oddHBand="0" w:evenHBand="0" w:firstRowFirstColumn="0" w:firstRowLastColumn="0" w:lastRowFirstColumn="0" w:lastRowLastColumn="0"/>
            <w:tcW w:w="455" w:type="pct"/>
            <w:shd w:val="clear" w:color="auto" w:fill="auto"/>
            <w:hideMark/>
          </w:tcPr>
          <w:p w14:paraId="22892025" w14:textId="77777777" w:rsidR="005D1667" w:rsidRPr="00F45F11" w:rsidRDefault="005D1667" w:rsidP="005E2BB1">
            <w:pPr>
              <w:pStyle w:val="ARtabletextright"/>
              <w:rPr>
                <w:rFonts w:eastAsia="Times"/>
              </w:rPr>
            </w:pPr>
            <w:r w:rsidRPr="00F45F11">
              <w:rPr>
                <w:rFonts w:eastAsia="Times"/>
              </w:rPr>
              <w:t>1</w:t>
            </w:r>
          </w:p>
        </w:tc>
        <w:tc>
          <w:tcPr>
            <w:tcW w:w="455" w:type="pct"/>
            <w:hideMark/>
          </w:tcPr>
          <w:p w14:paraId="01A2EC42"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0</w:t>
            </w:r>
          </w:p>
        </w:tc>
        <w:tc>
          <w:tcPr>
            <w:cnfStyle w:val="000001000000" w:firstRow="0" w:lastRow="0" w:firstColumn="0" w:lastColumn="0" w:oddVBand="0" w:evenVBand="1" w:oddHBand="0" w:evenHBand="0" w:firstRowFirstColumn="0" w:firstRowLastColumn="0" w:lastRowFirstColumn="0" w:lastRowLastColumn="0"/>
            <w:tcW w:w="305" w:type="pct"/>
            <w:shd w:val="clear" w:color="auto" w:fill="E7E6E6" w:themeFill="background2"/>
            <w:hideMark/>
          </w:tcPr>
          <w:p w14:paraId="624E5805" w14:textId="77777777" w:rsidR="005D1667" w:rsidRPr="00F45F11" w:rsidRDefault="005D1667" w:rsidP="005E2BB1">
            <w:pPr>
              <w:pStyle w:val="ARtabletextright"/>
              <w:rPr>
                <w:rFonts w:eastAsia="Times"/>
              </w:rPr>
            </w:pPr>
            <w:r w:rsidRPr="00F45F11">
              <w:rPr>
                <w:rFonts w:eastAsia="Times"/>
              </w:rPr>
              <w:t>0</w:t>
            </w:r>
          </w:p>
        </w:tc>
        <w:tc>
          <w:tcPr>
            <w:tcW w:w="305" w:type="pct"/>
            <w:shd w:val="clear" w:color="auto" w:fill="E7E6E6" w:themeFill="background2"/>
            <w:hideMark/>
          </w:tcPr>
          <w:p w14:paraId="7293B2EC"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0</w:t>
            </w:r>
          </w:p>
        </w:tc>
        <w:tc>
          <w:tcPr>
            <w:cnfStyle w:val="000001000000" w:firstRow="0" w:lastRow="0" w:firstColumn="0" w:lastColumn="0" w:oddVBand="0" w:evenVBand="1" w:oddHBand="0" w:evenHBand="0" w:firstRowFirstColumn="0" w:firstRowLastColumn="0" w:lastRowFirstColumn="0" w:lastRowLastColumn="0"/>
            <w:tcW w:w="560" w:type="pct"/>
            <w:shd w:val="clear" w:color="auto" w:fill="auto"/>
            <w:hideMark/>
          </w:tcPr>
          <w:p w14:paraId="2743FDC0" w14:textId="77777777" w:rsidR="005D1667" w:rsidRPr="00F45F11" w:rsidRDefault="005D1667" w:rsidP="005E2BB1">
            <w:pPr>
              <w:pStyle w:val="ARtabletextright"/>
              <w:rPr>
                <w:rFonts w:eastAsia="Times"/>
              </w:rPr>
            </w:pPr>
            <w:r w:rsidRPr="00F45F11">
              <w:rPr>
                <w:rFonts w:eastAsia="Times"/>
              </w:rPr>
              <w:t>0</w:t>
            </w:r>
          </w:p>
        </w:tc>
        <w:tc>
          <w:tcPr>
            <w:tcW w:w="560" w:type="pct"/>
            <w:hideMark/>
          </w:tcPr>
          <w:p w14:paraId="766A6585" w14:textId="77777777" w:rsidR="005D1667" w:rsidRPr="00F45F11" w:rsidRDefault="005D1667" w:rsidP="005E2BB1">
            <w:pPr>
              <w:pStyle w:val="ARtabletextrigh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0</w:t>
            </w:r>
          </w:p>
        </w:tc>
      </w:tr>
      <w:tr w:rsidR="005D1667" w:rsidRPr="00F45F11" w14:paraId="61A5ADF8" w14:textId="77777777" w:rsidTr="001607CD">
        <w:trPr>
          <w:cnfStyle w:val="010000000000" w:firstRow="0" w:lastRow="1" w:firstColumn="0" w:lastColumn="0" w:oddVBand="0" w:evenVBand="0" w:oddHBand="0" w:evenHBand="0" w:firstRowFirstColumn="0" w:firstRowLastColumn="0" w:lastRowFirstColumn="0" w:lastRowLastColumn="0"/>
          <w:trHeight w:val="300"/>
        </w:trPr>
        <w:tc>
          <w:tcPr>
            <w:tcW w:w="1679" w:type="pct"/>
            <w:hideMark/>
          </w:tcPr>
          <w:p w14:paraId="3940B1C1" w14:textId="77777777" w:rsidR="005D1667" w:rsidRPr="00F45F11" w:rsidRDefault="005D1667" w:rsidP="005E2BB1">
            <w:pPr>
              <w:pStyle w:val="ARtabletextbold"/>
              <w:rPr>
                <w:rFonts w:eastAsia="Times"/>
              </w:rPr>
            </w:pPr>
            <w:r w:rsidRPr="00F45F11">
              <w:rPr>
                <w:rFonts w:eastAsia="Times"/>
              </w:rPr>
              <w:t>Total</w:t>
            </w:r>
          </w:p>
        </w:tc>
        <w:tc>
          <w:tcPr>
            <w:cnfStyle w:val="000001000000" w:firstRow="0" w:lastRow="0" w:firstColumn="0" w:lastColumn="0" w:oddVBand="0" w:evenVBand="1" w:oddHBand="0" w:evenHBand="0" w:firstRowFirstColumn="0" w:firstRowLastColumn="0" w:lastRowFirstColumn="0" w:lastRowLastColumn="0"/>
            <w:tcW w:w="341" w:type="pct"/>
            <w:shd w:val="clear" w:color="auto" w:fill="E7E6E6" w:themeFill="background2"/>
            <w:hideMark/>
          </w:tcPr>
          <w:p w14:paraId="01EFFF7A" w14:textId="77777777" w:rsidR="005D1667" w:rsidRPr="00F45F11" w:rsidRDefault="005D1667" w:rsidP="00333488">
            <w:pPr>
              <w:pStyle w:val="ARtabletextrightbold"/>
              <w:rPr>
                <w:rFonts w:eastAsia="Times"/>
              </w:rPr>
            </w:pPr>
            <w:r w:rsidRPr="00F45F11">
              <w:rPr>
                <w:rFonts w:eastAsia="Times"/>
              </w:rPr>
              <w:t>19</w:t>
            </w:r>
          </w:p>
        </w:tc>
        <w:tc>
          <w:tcPr>
            <w:tcW w:w="341" w:type="pct"/>
            <w:shd w:val="clear" w:color="auto" w:fill="E7E6E6" w:themeFill="background2"/>
            <w:hideMark/>
          </w:tcPr>
          <w:p w14:paraId="6F288DEF" w14:textId="77777777" w:rsidR="005D1667" w:rsidRPr="00F45F11" w:rsidRDefault="005D1667" w:rsidP="00333488">
            <w:pPr>
              <w:pStyle w:val="ARtabletextrightbold"/>
              <w:cnfStyle w:val="010000000000" w:firstRow="0" w:lastRow="1" w:firstColumn="0" w:lastColumn="0" w:oddVBand="0" w:evenVBand="0" w:oddHBand="0" w:evenHBand="0" w:firstRowFirstColumn="0" w:firstRowLastColumn="0" w:lastRowFirstColumn="0" w:lastRowLastColumn="0"/>
              <w:rPr>
                <w:rFonts w:eastAsia="Times"/>
              </w:rPr>
            </w:pPr>
            <w:r w:rsidRPr="00F45F11">
              <w:rPr>
                <w:rFonts w:eastAsia="Times"/>
              </w:rPr>
              <w:t>4</w:t>
            </w:r>
          </w:p>
        </w:tc>
        <w:tc>
          <w:tcPr>
            <w:cnfStyle w:val="000001000000" w:firstRow="0" w:lastRow="0" w:firstColumn="0" w:lastColumn="0" w:oddVBand="0" w:evenVBand="1" w:oddHBand="0" w:evenHBand="0" w:firstRowFirstColumn="0" w:firstRowLastColumn="0" w:lastRowFirstColumn="0" w:lastRowLastColumn="0"/>
            <w:tcW w:w="455" w:type="pct"/>
            <w:shd w:val="clear" w:color="auto" w:fill="auto"/>
            <w:hideMark/>
          </w:tcPr>
          <w:p w14:paraId="01DA06E3" w14:textId="77777777" w:rsidR="005D1667" w:rsidRPr="00F45F11" w:rsidRDefault="005D1667" w:rsidP="00333488">
            <w:pPr>
              <w:pStyle w:val="ARtabletextrightbold"/>
              <w:rPr>
                <w:rFonts w:eastAsia="Times"/>
              </w:rPr>
            </w:pPr>
            <w:r w:rsidRPr="00F45F11">
              <w:rPr>
                <w:rFonts w:eastAsia="Times"/>
              </w:rPr>
              <w:t>16</w:t>
            </w:r>
          </w:p>
        </w:tc>
        <w:tc>
          <w:tcPr>
            <w:tcW w:w="455" w:type="pct"/>
            <w:hideMark/>
          </w:tcPr>
          <w:p w14:paraId="2446DCA7" w14:textId="77777777" w:rsidR="005D1667" w:rsidRPr="00F45F11" w:rsidRDefault="005D1667" w:rsidP="00333488">
            <w:pPr>
              <w:pStyle w:val="ARtabletextrightbold"/>
              <w:cnfStyle w:val="010000000000" w:firstRow="0" w:lastRow="1" w:firstColumn="0" w:lastColumn="0" w:oddVBand="0" w:evenVBand="0" w:oddHBand="0" w:evenHBand="0" w:firstRowFirstColumn="0" w:firstRowLastColumn="0" w:lastRowFirstColumn="0" w:lastRowLastColumn="0"/>
              <w:rPr>
                <w:rFonts w:eastAsia="Times"/>
              </w:rPr>
            </w:pPr>
            <w:r w:rsidRPr="00F45F11">
              <w:rPr>
                <w:rFonts w:eastAsia="Times"/>
              </w:rPr>
              <w:t>6</w:t>
            </w:r>
          </w:p>
        </w:tc>
        <w:tc>
          <w:tcPr>
            <w:cnfStyle w:val="000001000000" w:firstRow="0" w:lastRow="0" w:firstColumn="0" w:lastColumn="0" w:oddVBand="0" w:evenVBand="1" w:oddHBand="0" w:evenHBand="0" w:firstRowFirstColumn="0" w:firstRowLastColumn="0" w:lastRowFirstColumn="0" w:lastRowLastColumn="0"/>
            <w:tcW w:w="305" w:type="pct"/>
            <w:shd w:val="clear" w:color="auto" w:fill="E7E6E6" w:themeFill="background2"/>
            <w:hideMark/>
          </w:tcPr>
          <w:p w14:paraId="4D8BB043" w14:textId="77777777" w:rsidR="005D1667" w:rsidRPr="00F45F11" w:rsidRDefault="005D1667" w:rsidP="00333488">
            <w:pPr>
              <w:pStyle w:val="ARtabletextrightbold"/>
              <w:rPr>
                <w:rFonts w:eastAsia="Times"/>
              </w:rPr>
            </w:pPr>
            <w:r w:rsidRPr="00F45F11">
              <w:rPr>
                <w:rFonts w:eastAsia="Times"/>
              </w:rPr>
              <w:t>3</w:t>
            </w:r>
          </w:p>
        </w:tc>
        <w:tc>
          <w:tcPr>
            <w:tcW w:w="305" w:type="pct"/>
            <w:shd w:val="clear" w:color="auto" w:fill="E7E6E6" w:themeFill="background2"/>
            <w:hideMark/>
          </w:tcPr>
          <w:p w14:paraId="02F5D0A9" w14:textId="77777777" w:rsidR="005D1667" w:rsidRPr="00F45F11" w:rsidRDefault="005D1667" w:rsidP="00333488">
            <w:pPr>
              <w:pStyle w:val="ARtabletextrightbold"/>
              <w:cnfStyle w:val="010000000000" w:firstRow="0" w:lastRow="1" w:firstColumn="0" w:lastColumn="0" w:oddVBand="0" w:evenVBand="0" w:oddHBand="0" w:evenHBand="0" w:firstRowFirstColumn="0" w:firstRowLastColumn="0" w:lastRowFirstColumn="0" w:lastRowLastColumn="0"/>
              <w:rPr>
                <w:rFonts w:eastAsia="Times"/>
              </w:rPr>
            </w:pPr>
            <w:r w:rsidRPr="00F45F11">
              <w:rPr>
                <w:rFonts w:eastAsia="Times"/>
              </w:rPr>
              <w:t>-2</w:t>
            </w:r>
          </w:p>
        </w:tc>
        <w:tc>
          <w:tcPr>
            <w:cnfStyle w:val="000001000000" w:firstRow="0" w:lastRow="0" w:firstColumn="0" w:lastColumn="0" w:oddVBand="0" w:evenVBand="1" w:oddHBand="0" w:evenHBand="0" w:firstRowFirstColumn="0" w:firstRowLastColumn="0" w:lastRowFirstColumn="0" w:lastRowLastColumn="0"/>
            <w:tcW w:w="560" w:type="pct"/>
            <w:shd w:val="clear" w:color="auto" w:fill="auto"/>
            <w:hideMark/>
          </w:tcPr>
          <w:p w14:paraId="2B52A076" w14:textId="77777777" w:rsidR="005D1667" w:rsidRPr="00F45F11" w:rsidRDefault="005D1667" w:rsidP="00333488">
            <w:pPr>
              <w:pStyle w:val="ARtabletextrightbold"/>
              <w:rPr>
                <w:rFonts w:eastAsia="Times"/>
              </w:rPr>
            </w:pPr>
            <w:r w:rsidRPr="00F45F11">
              <w:rPr>
                <w:rFonts w:eastAsia="Times"/>
              </w:rPr>
              <w:t>0</w:t>
            </w:r>
          </w:p>
        </w:tc>
        <w:tc>
          <w:tcPr>
            <w:tcW w:w="560" w:type="pct"/>
            <w:hideMark/>
          </w:tcPr>
          <w:p w14:paraId="1BE2AA22" w14:textId="77777777" w:rsidR="005D1667" w:rsidRPr="00F45F11" w:rsidRDefault="005D1667" w:rsidP="00333488">
            <w:pPr>
              <w:pStyle w:val="ARtabletextrightbold"/>
              <w:cnfStyle w:val="010000000000" w:firstRow="0" w:lastRow="1" w:firstColumn="0" w:lastColumn="0" w:oddVBand="0" w:evenVBand="0" w:oddHBand="0" w:evenHBand="0" w:firstRowFirstColumn="0" w:firstRowLastColumn="0" w:lastRowFirstColumn="0" w:lastRowLastColumn="0"/>
              <w:rPr>
                <w:rFonts w:eastAsia="Times"/>
              </w:rPr>
            </w:pPr>
            <w:r w:rsidRPr="00F45F11">
              <w:rPr>
                <w:rFonts w:eastAsia="Times"/>
              </w:rPr>
              <w:t>0</w:t>
            </w:r>
          </w:p>
        </w:tc>
      </w:tr>
    </w:tbl>
    <w:p w14:paraId="2C0FF835" w14:textId="77777777" w:rsidR="005D1667" w:rsidRPr="00F45F11" w:rsidRDefault="005D1667" w:rsidP="005E2BB1">
      <w:pPr>
        <w:pStyle w:val="ARTablefigurenote"/>
        <w:rPr>
          <w:rFonts w:eastAsia="Times"/>
        </w:rPr>
      </w:pPr>
      <w:r w:rsidRPr="00F45F11">
        <w:rPr>
          <w:rFonts w:eastAsia="Times"/>
        </w:rPr>
        <w:t>Notes:</w:t>
      </w:r>
    </w:p>
    <w:p w14:paraId="7BB1DF6B" w14:textId="77777777" w:rsidR="005D1667" w:rsidRPr="00F45F11" w:rsidRDefault="005D1667" w:rsidP="005E2BB1">
      <w:pPr>
        <w:pStyle w:val="ARTablefigurenote"/>
        <w:rPr>
          <w:rFonts w:eastAsia="Times"/>
        </w:rPr>
      </w:pPr>
      <w:r w:rsidRPr="00F45F11">
        <w:rPr>
          <w:rFonts w:eastAsia="Times"/>
        </w:rPr>
        <w:t>All figures reflect employment levels as at the final pay period in June 2026, and variance is compared with June 2025.</w:t>
      </w:r>
    </w:p>
    <w:p w14:paraId="71D507BA" w14:textId="28832562" w:rsidR="005D1667" w:rsidRPr="00F45F11" w:rsidRDefault="005D1667" w:rsidP="005E2BB1">
      <w:pPr>
        <w:pStyle w:val="ARTablefigurenote"/>
        <w:rPr>
          <w:rFonts w:eastAsia="Times"/>
        </w:rPr>
      </w:pPr>
      <w:r w:rsidRPr="00F45F11">
        <w:rPr>
          <w:rFonts w:eastAsia="Times"/>
        </w:rPr>
        <w:t>Excluded are those on leave without pay or absent on secondment, external contractors / consultants and temporary staff employed by</w:t>
      </w:r>
      <w:r w:rsidR="00566B8E">
        <w:rPr>
          <w:rFonts w:eastAsia="Times"/>
        </w:rPr>
        <w:t> </w:t>
      </w:r>
      <w:r w:rsidRPr="00F45F11">
        <w:rPr>
          <w:rFonts w:eastAsia="Times"/>
        </w:rPr>
        <w:t>employment agencies.</w:t>
      </w:r>
    </w:p>
    <w:p w14:paraId="01C4836B" w14:textId="77777777" w:rsidR="00611072" w:rsidRPr="00F45F11" w:rsidRDefault="00611072" w:rsidP="00611072">
      <w:pPr>
        <w:pStyle w:val="Heading2"/>
        <w:rPr>
          <w:rFonts w:eastAsia="Times"/>
        </w:rPr>
        <w:sectPr w:rsidR="00611072" w:rsidRPr="00F45F11" w:rsidSect="00E7077C">
          <w:headerReference w:type="even" r:id="rId61"/>
          <w:headerReference w:type="default" r:id="rId62"/>
          <w:footerReference w:type="default" r:id="rId63"/>
          <w:headerReference w:type="first" r:id="rId64"/>
          <w:endnotePr>
            <w:numFmt w:val="decimal"/>
          </w:endnotePr>
          <w:pgSz w:w="11900" w:h="16840" w:code="9"/>
          <w:pgMar w:top="1588" w:right="1134" w:bottom="851" w:left="1134" w:header="680" w:footer="340" w:gutter="0"/>
          <w:cols w:space="448"/>
          <w:docGrid w:linePitch="299"/>
        </w:sectPr>
      </w:pPr>
      <w:bookmarkStart w:id="139" w:name="_Employee_health,_safety"/>
      <w:bookmarkStart w:id="140" w:name="_Toc212039534"/>
      <w:bookmarkStart w:id="141" w:name="_Toc241131709"/>
      <w:bookmarkStart w:id="142" w:name="_Ref85113300"/>
      <w:bookmarkStart w:id="143" w:name="_Toc114491201"/>
      <w:bookmarkEnd w:id="139"/>
      <w:r w:rsidRPr="00F45F11">
        <w:rPr>
          <w:rFonts w:eastAsia="Times"/>
        </w:rPr>
        <w:t>Employee health, safety and wellbeing</w:t>
      </w:r>
      <w:bookmarkEnd w:id="140"/>
      <w:bookmarkEnd w:id="141"/>
    </w:p>
    <w:p w14:paraId="6AF25D89" w14:textId="16997B34" w:rsidR="00611072" w:rsidRPr="00F45F11" w:rsidRDefault="00611072" w:rsidP="00440E4F">
      <w:pPr>
        <w:pStyle w:val="ARBody"/>
      </w:pPr>
      <w:r w:rsidRPr="00F45F11">
        <w:t>The department is committed to safeguarding the</w:t>
      </w:r>
      <w:r w:rsidR="004F257F" w:rsidRPr="00F45F11">
        <w:t> </w:t>
      </w:r>
      <w:r w:rsidRPr="00F45F11">
        <w:t>health, safety and wellbeing (HSW) of all employees and others when conducting work on</w:t>
      </w:r>
      <w:r w:rsidR="00566B8E">
        <w:t> </w:t>
      </w:r>
      <w:r w:rsidRPr="00F45F11">
        <w:t>behalf of the department or in a department workplace. The department has expressed this</w:t>
      </w:r>
      <w:r w:rsidR="00566B8E">
        <w:t> </w:t>
      </w:r>
      <w:r w:rsidRPr="00F45F11">
        <w:t xml:space="preserve">commitment in its </w:t>
      </w:r>
      <w:r w:rsidRPr="00A124D1">
        <w:rPr>
          <w:rStyle w:val="Emphasis"/>
        </w:rPr>
        <w:t>Health, safety and wellbeing</w:t>
      </w:r>
      <w:r w:rsidR="004F257F" w:rsidRPr="00A124D1">
        <w:rPr>
          <w:rStyle w:val="Emphasis"/>
        </w:rPr>
        <w:t> </w:t>
      </w:r>
      <w:r w:rsidRPr="00A124D1">
        <w:rPr>
          <w:rStyle w:val="Emphasis"/>
        </w:rPr>
        <w:t>policy</w:t>
      </w:r>
      <w:r w:rsidRPr="00F45F11">
        <w:t>.</w:t>
      </w:r>
    </w:p>
    <w:p w14:paraId="6EFB3D6A" w14:textId="77777777" w:rsidR="00611072" w:rsidRPr="00F45F11" w:rsidRDefault="00611072" w:rsidP="004F257F">
      <w:pPr>
        <w:pStyle w:val="Heading3"/>
      </w:pPr>
      <w:r w:rsidRPr="00F45F11">
        <w:t>Employee health and safety</w:t>
      </w:r>
    </w:p>
    <w:p w14:paraId="37700AF6" w14:textId="77777777" w:rsidR="00611072" w:rsidRPr="00F45F11" w:rsidRDefault="00611072" w:rsidP="004F257F">
      <w:pPr>
        <w:pStyle w:val="ARBody"/>
      </w:pPr>
      <w:r w:rsidRPr="00F45F11">
        <w:t xml:space="preserve">During 2025–26, the department continued implementation of its </w:t>
      </w:r>
      <w:r w:rsidRPr="00A124D1">
        <w:rPr>
          <w:rStyle w:val="Emphasis"/>
        </w:rPr>
        <w:t xml:space="preserve">Health, safety and wellbeing strategy 2024 to 2027 </w:t>
      </w:r>
      <w:r w:rsidRPr="00F45F11">
        <w:t>(HSW strategy). The strategy aims to create a safe and psychologically healthy workplace. This includes preventing injury and illness in the workplace.</w:t>
      </w:r>
    </w:p>
    <w:p w14:paraId="60615828" w14:textId="77777777" w:rsidR="00611072" w:rsidRPr="00F45F11" w:rsidRDefault="00611072" w:rsidP="004F257F">
      <w:pPr>
        <w:pStyle w:val="ARBody"/>
      </w:pPr>
      <w:r w:rsidRPr="00F45F11">
        <w:t>Supporting the HSW strategy is a program of work that focuses the department’s resources on key priority areas to achieve the strategic objectives to:</w:t>
      </w:r>
    </w:p>
    <w:p w14:paraId="117FD9BD" w14:textId="77777777" w:rsidR="00611072" w:rsidRPr="00F45F11" w:rsidRDefault="00611072" w:rsidP="004F257F">
      <w:pPr>
        <w:pStyle w:val="ARBullet1"/>
      </w:pPr>
      <w:r w:rsidRPr="00F45F11">
        <w:t>promote employee health, safety and wellbeing</w:t>
      </w:r>
    </w:p>
    <w:p w14:paraId="70D0EE04" w14:textId="77777777" w:rsidR="00611072" w:rsidRPr="00F45F11" w:rsidRDefault="00611072" w:rsidP="004F257F">
      <w:pPr>
        <w:pStyle w:val="ARBullet1"/>
      </w:pPr>
      <w:r w:rsidRPr="00F45F11">
        <w:t>prevent work-related injury and illness</w:t>
      </w:r>
    </w:p>
    <w:p w14:paraId="1A47FECD" w14:textId="14D543D8" w:rsidR="00611072" w:rsidRPr="00F45F11" w:rsidRDefault="00611072" w:rsidP="004F257F">
      <w:pPr>
        <w:pStyle w:val="ARBullet1"/>
      </w:pPr>
      <w:r w:rsidRPr="00F45F11">
        <w:t>support employees with an injury or illness to recover at work or to return to work early, safely and</w:t>
      </w:r>
      <w:r w:rsidR="00641545">
        <w:t> </w:t>
      </w:r>
      <w:r w:rsidRPr="00F45F11">
        <w:t>sustainably.</w:t>
      </w:r>
    </w:p>
    <w:p w14:paraId="5706AEF3" w14:textId="3FDF302D" w:rsidR="00611072" w:rsidRPr="00F45F11" w:rsidRDefault="00611072" w:rsidP="004F257F">
      <w:pPr>
        <w:pStyle w:val="ARBodyafterbullets"/>
      </w:pPr>
      <w:r w:rsidRPr="00F45F11">
        <w:t>The department’s Health and Safety Management System provides information to support employee health and safety at work and prevent or reduce the likelihood of injury and illness related to workplace</w:t>
      </w:r>
      <w:r w:rsidR="004F257F" w:rsidRPr="00F45F11">
        <w:t> </w:t>
      </w:r>
      <w:r w:rsidRPr="00F45F11">
        <w:t>operations.</w:t>
      </w:r>
    </w:p>
    <w:p w14:paraId="36728E20" w14:textId="1A53C799" w:rsidR="00611072" w:rsidRPr="00F45F11" w:rsidRDefault="00611072" w:rsidP="00611072">
      <w:pPr>
        <w:pStyle w:val="ARBody"/>
      </w:pPr>
      <w:r w:rsidRPr="00F45F11">
        <w:t>HSW representation gives employees a voice on</w:t>
      </w:r>
      <w:r w:rsidR="00D056EA">
        <w:t> </w:t>
      </w:r>
      <w:r w:rsidRPr="00F45F11">
        <w:t>health and safety. The department has an extensive network of HSW representatives and designated management representatives who participate in health and safety committees and work collaboratively to improve HSW outcomes and</w:t>
      </w:r>
      <w:r w:rsidR="00D056EA">
        <w:t> </w:t>
      </w:r>
      <w:r w:rsidRPr="00F45F11">
        <w:t>resolve issues.</w:t>
      </w:r>
    </w:p>
    <w:p w14:paraId="63C3200A" w14:textId="77777777" w:rsidR="00611072" w:rsidRPr="00F45F11" w:rsidRDefault="00611072" w:rsidP="00611072">
      <w:pPr>
        <w:pStyle w:val="ARBody"/>
        <w:rPr>
          <w:rStyle w:val="Strong"/>
        </w:rPr>
      </w:pPr>
      <w:r w:rsidRPr="00F45F11">
        <w:rPr>
          <w:rStyle w:val="Strong"/>
        </w:rPr>
        <w:t>Improvement measures in 2025–26 included:</w:t>
      </w:r>
    </w:p>
    <w:p w14:paraId="4FB1053C" w14:textId="756D8354" w:rsidR="00611072" w:rsidRPr="00F45F11" w:rsidRDefault="00611072" w:rsidP="00176927">
      <w:pPr>
        <w:pStyle w:val="ARBullet1"/>
      </w:pPr>
      <w:r w:rsidRPr="00F45F11">
        <w:t>implementation of an upgraded health and safety incident and hazard reporting system (</w:t>
      </w:r>
      <w:proofErr w:type="spellStart"/>
      <w:r w:rsidRPr="00F45F11">
        <w:t>OurSafety</w:t>
      </w:r>
      <w:proofErr w:type="spellEnd"/>
      <w:r w:rsidRPr="00F45F11">
        <w:t xml:space="preserve">) </w:t>
      </w:r>
      <w:r w:rsidR="00967641" w:rsidRPr="00F45F11">
        <w:t xml:space="preserve">that </w:t>
      </w:r>
      <w:r w:rsidRPr="00F45F11">
        <w:t>has improved the end</w:t>
      </w:r>
      <w:r w:rsidR="00967641" w:rsidRPr="00F45F11">
        <w:t>-</w:t>
      </w:r>
      <w:r w:rsidRPr="00F45F11">
        <w:t xml:space="preserve">user experience and enabled </w:t>
      </w:r>
      <w:r w:rsidR="00967641" w:rsidRPr="00F45F11">
        <w:t>better</w:t>
      </w:r>
      <w:r w:rsidRPr="00F45F11">
        <w:t xml:space="preserve"> data, particularly in relation to psychosocial</w:t>
      </w:r>
      <w:r w:rsidR="00641545">
        <w:t> </w:t>
      </w:r>
      <w:r w:rsidRPr="00F45F11">
        <w:t>hazards</w:t>
      </w:r>
    </w:p>
    <w:p w14:paraId="5522B453" w14:textId="50EFCF89" w:rsidR="00611072" w:rsidRPr="00F45F11" w:rsidRDefault="00611072" w:rsidP="00176927">
      <w:pPr>
        <w:pStyle w:val="ARBullet1"/>
      </w:pPr>
      <w:r w:rsidRPr="00F45F11">
        <w:t>improvement of HSW risk management materials to more comprehensively incorporate psychosocial</w:t>
      </w:r>
      <w:r w:rsidR="00641545">
        <w:t> </w:t>
      </w:r>
      <w:r w:rsidRPr="00F45F11">
        <w:t>risks</w:t>
      </w:r>
    </w:p>
    <w:p w14:paraId="2F6CB2B7" w14:textId="749D4D7D" w:rsidR="00611072" w:rsidRPr="00F45F11" w:rsidRDefault="00611072" w:rsidP="00176927">
      <w:pPr>
        <w:pStyle w:val="ARBullet1"/>
      </w:pPr>
      <w:r w:rsidRPr="00F45F11">
        <w:t>development of enterprise-level risk assessments for key psychosocial hazards to inform operational risk</w:t>
      </w:r>
      <w:r w:rsidR="00641545">
        <w:t> </w:t>
      </w:r>
      <w:r w:rsidRPr="00F45F11">
        <w:t>assessments</w:t>
      </w:r>
    </w:p>
    <w:p w14:paraId="7810D2CB" w14:textId="77777777" w:rsidR="00611072" w:rsidRPr="00F45F11" w:rsidRDefault="00611072" w:rsidP="00176927">
      <w:pPr>
        <w:pStyle w:val="ARBullet1"/>
      </w:pPr>
      <w:r w:rsidRPr="00F45F11">
        <w:t>successful completion of</w:t>
      </w:r>
      <w:r w:rsidRPr="00F45F11" w:rsidDel="004904BD">
        <w:t xml:space="preserve"> </w:t>
      </w:r>
      <w:r w:rsidRPr="00F45F11">
        <w:t>a pilot de-escalation training program to support frontline employees facing the risk of aggression or violence at work. Planning has commenced to broaden this out across all frontline roles</w:t>
      </w:r>
    </w:p>
    <w:p w14:paraId="3873BE6B" w14:textId="77777777" w:rsidR="00611072" w:rsidRPr="00F45F11" w:rsidRDefault="00611072" w:rsidP="00176927">
      <w:pPr>
        <w:pStyle w:val="ARBullet1"/>
      </w:pPr>
      <w:r w:rsidRPr="00F45F11">
        <w:t>continued implementation of HSW accountabilities through performance development plans for VPS and executive employees</w:t>
      </w:r>
    </w:p>
    <w:p w14:paraId="4B5CCE56" w14:textId="77777777" w:rsidR="00611072" w:rsidRPr="00F45F11" w:rsidRDefault="00611072" w:rsidP="00176927">
      <w:pPr>
        <w:pStyle w:val="ARBullet1"/>
      </w:pPr>
      <w:r w:rsidRPr="00F45F11">
        <w:t>continued improvement of the HSW SharePoint site to provide employees better access to current HSW information</w:t>
      </w:r>
    </w:p>
    <w:p w14:paraId="42648D50" w14:textId="55C12EC7" w:rsidR="00611072" w:rsidRPr="00F45F11" w:rsidRDefault="00611072" w:rsidP="00176927">
      <w:pPr>
        <w:pStyle w:val="ARBullet1"/>
      </w:pPr>
      <w:r w:rsidRPr="00F45F11">
        <w:t xml:space="preserve">provision of specialist ergonomic assessments to </w:t>
      </w:r>
      <w:r w:rsidRPr="00F45F11" w:rsidDel="00815251">
        <w:t>1</w:t>
      </w:r>
      <w:r w:rsidRPr="00F45F11">
        <w:t>39</w:t>
      </w:r>
      <w:r w:rsidRPr="00F45F11" w:rsidDel="00815251">
        <w:t xml:space="preserve"> </w:t>
      </w:r>
      <w:r w:rsidRPr="00F45F11">
        <w:t>employees who needed additional support to set up their workstation to prevent</w:t>
      </w:r>
      <w:r w:rsidR="006B2225">
        <w:t> </w:t>
      </w:r>
      <w:r w:rsidRPr="00F45F11">
        <w:t>injury</w:t>
      </w:r>
    </w:p>
    <w:p w14:paraId="268E0843" w14:textId="17108941" w:rsidR="00611072" w:rsidRPr="00F45F11" w:rsidRDefault="00611072" w:rsidP="00176927">
      <w:pPr>
        <w:pStyle w:val="ARBullet1"/>
      </w:pPr>
      <w:r w:rsidRPr="00F45F11">
        <w:t>provision of influenza vaccines to 2,792 employees through the annual vaccination</w:t>
      </w:r>
      <w:r w:rsidR="006B2225">
        <w:t> </w:t>
      </w:r>
      <w:r w:rsidRPr="00F45F11">
        <w:t>program</w:t>
      </w:r>
    </w:p>
    <w:p w14:paraId="31DFAFC8" w14:textId="3722E4FB" w:rsidR="00611072" w:rsidRPr="00F45F11" w:rsidRDefault="00611072" w:rsidP="00176927">
      <w:pPr>
        <w:pStyle w:val="ARBullet1"/>
        <w:rPr>
          <w:b/>
          <w:bCs/>
        </w:rPr>
      </w:pPr>
      <w:r w:rsidRPr="00F45F11">
        <w:t>provision of a series of information sessions and</w:t>
      </w:r>
      <w:r w:rsidR="002377E3">
        <w:t> </w:t>
      </w:r>
      <w:r w:rsidRPr="00F45F11">
        <w:t>briefings across the department related to the Occupational Health and Safety (Psychological Health) Regulations.</w:t>
      </w:r>
    </w:p>
    <w:p w14:paraId="6D676365" w14:textId="449C3051" w:rsidR="00611072" w:rsidRPr="00F45F11" w:rsidRDefault="00611072" w:rsidP="00176927">
      <w:pPr>
        <w:pStyle w:val="Heading3"/>
      </w:pPr>
      <w:r w:rsidRPr="00F45F11">
        <w:t>Employee wellbeing and</w:t>
      </w:r>
      <w:r w:rsidR="006B2225">
        <w:t> </w:t>
      </w:r>
      <w:r w:rsidRPr="00F45F11">
        <w:t>support</w:t>
      </w:r>
    </w:p>
    <w:p w14:paraId="325D0E6E" w14:textId="308E6C62" w:rsidR="00611072" w:rsidRPr="00F45F11" w:rsidRDefault="00611072" w:rsidP="00176927">
      <w:pPr>
        <w:pStyle w:val="ARBody"/>
      </w:pPr>
      <w:r w:rsidRPr="00F45F11">
        <w:t>The department continues to focus on providing a psychologically healthy workplace. We recognise that everyone benefits from a workplace where the wellbeing of employees is</w:t>
      </w:r>
      <w:r w:rsidR="00176927" w:rsidRPr="00F45F11">
        <w:t> </w:t>
      </w:r>
      <w:r w:rsidRPr="00F45F11">
        <w:t>a</w:t>
      </w:r>
      <w:r w:rsidR="00176927" w:rsidRPr="00F45F11">
        <w:t> </w:t>
      </w:r>
      <w:r w:rsidRPr="00F45F11">
        <w:t>priority.</w:t>
      </w:r>
    </w:p>
    <w:p w14:paraId="36FF6BCD" w14:textId="1E6C62E6" w:rsidR="00611072" w:rsidRPr="00F45F11" w:rsidRDefault="00611072" w:rsidP="00176927">
      <w:pPr>
        <w:pStyle w:val="ARBody"/>
      </w:pPr>
      <w:r w:rsidRPr="00F45F11">
        <w:t>The department provides employee supports</w:t>
      </w:r>
      <w:r w:rsidR="00176927" w:rsidRPr="00F45F11">
        <w:t> </w:t>
      </w:r>
      <w:r w:rsidRPr="00F45F11">
        <w:t>including:</w:t>
      </w:r>
    </w:p>
    <w:p w14:paraId="7FD76924" w14:textId="77777777" w:rsidR="00611072" w:rsidRPr="00F45F11" w:rsidRDefault="00611072" w:rsidP="00176927">
      <w:pPr>
        <w:pStyle w:val="ARBullet1"/>
      </w:pPr>
      <w:r w:rsidRPr="00F45F11">
        <w:t>Employee Wellbeing and Support Program</w:t>
      </w:r>
    </w:p>
    <w:p w14:paraId="05E989D6" w14:textId="77777777" w:rsidR="00611072" w:rsidRPr="00F45F11" w:rsidRDefault="00611072" w:rsidP="00176927">
      <w:pPr>
        <w:pStyle w:val="ARBullet1"/>
      </w:pPr>
      <w:r w:rsidRPr="00F45F11">
        <w:t>Aboriginal Social and Emotional Wellbeing Program</w:t>
      </w:r>
    </w:p>
    <w:p w14:paraId="6B597EAD" w14:textId="77777777" w:rsidR="00611072" w:rsidRPr="00F45F11" w:rsidRDefault="00611072" w:rsidP="00176927">
      <w:pPr>
        <w:pStyle w:val="ARBullet1"/>
      </w:pPr>
      <w:r w:rsidRPr="00F45F11">
        <w:t>Child Protection Wellbeing Program</w:t>
      </w:r>
    </w:p>
    <w:p w14:paraId="635DABEE" w14:textId="77777777" w:rsidR="00611072" w:rsidRPr="00F45F11" w:rsidRDefault="00611072" w:rsidP="00176927">
      <w:pPr>
        <w:pStyle w:val="ARBullet1"/>
      </w:pPr>
      <w:r w:rsidRPr="00F45F11">
        <w:t>Peer Support Network</w:t>
      </w:r>
    </w:p>
    <w:p w14:paraId="1B99B7AF" w14:textId="77777777" w:rsidR="00611072" w:rsidRPr="00F45F11" w:rsidRDefault="00611072" w:rsidP="00176927">
      <w:pPr>
        <w:pStyle w:val="ARBullet1"/>
      </w:pPr>
      <w:r w:rsidRPr="00F45F11">
        <w:t>Critical Incident Support</w:t>
      </w:r>
    </w:p>
    <w:p w14:paraId="73286F77" w14:textId="77777777" w:rsidR="00611072" w:rsidRPr="00F45F11" w:rsidRDefault="00611072" w:rsidP="00176927">
      <w:pPr>
        <w:pStyle w:val="ARBullet1"/>
      </w:pPr>
      <w:r w:rsidRPr="00F45F11">
        <w:t>Fitness Passport.</w:t>
      </w:r>
    </w:p>
    <w:p w14:paraId="71491F97" w14:textId="77777777" w:rsidR="00611072" w:rsidRPr="00F45F11" w:rsidRDefault="00611072" w:rsidP="00176927">
      <w:pPr>
        <w:pStyle w:val="ARBodyafterbullets"/>
      </w:pPr>
      <w:r w:rsidRPr="00F45F11">
        <w:t>The department has high workforce engagement with its Employee Wellbeing and Support Program. This saw an annual utilisation rate of 28.4%. This shows positive employee engagement in wellbeing.</w:t>
      </w:r>
    </w:p>
    <w:p w14:paraId="1D4DCB55" w14:textId="77777777" w:rsidR="00611072" w:rsidRPr="00F45F11" w:rsidRDefault="00611072" w:rsidP="00693924">
      <w:pPr>
        <w:pStyle w:val="ARBody"/>
      </w:pPr>
      <w:r w:rsidRPr="00F45F11">
        <w:t xml:space="preserve">The department is delivering the </w:t>
      </w:r>
      <w:r w:rsidRPr="00A124D1">
        <w:rPr>
          <w:rStyle w:val="Emphasis"/>
        </w:rPr>
        <w:t>Child protection mental health and wellbeing plan 2024–26</w:t>
      </w:r>
      <w:r w:rsidRPr="00F45F11">
        <w:t>. This promotes wellbeing services to child protection employees. It also supports workplace safety activities using the 4 pillars of leadership, learning, systems and supports.</w:t>
      </w:r>
    </w:p>
    <w:p w14:paraId="7F38DBFA" w14:textId="77777777" w:rsidR="00F65DCC" w:rsidRDefault="00611072" w:rsidP="00693924">
      <w:pPr>
        <w:pStyle w:val="ARBody"/>
      </w:pPr>
      <w:r w:rsidRPr="00F45F11">
        <w:t>The department continues to support and strengthen the Peer Support Network (PSN). This</w:t>
      </w:r>
      <w:r w:rsidR="00566B8E">
        <w:t> </w:t>
      </w:r>
      <w:r w:rsidRPr="00F45F11">
        <w:t>year saw a 112% increase in recorded employee contacts with peer supporters.</w:t>
      </w:r>
    </w:p>
    <w:p w14:paraId="24CB0F9B" w14:textId="435BF58A" w:rsidR="00611072" w:rsidRPr="00F45F11" w:rsidRDefault="00611072" w:rsidP="00693924">
      <w:pPr>
        <w:pStyle w:val="ARBody"/>
      </w:pPr>
      <w:r w:rsidRPr="00F45F11">
        <w:t>Critical Incident Support assists employees who have witnessed or have been involved in a critical incident in the course of their work. The model of support is based on psychological first aid. This provides support and care to meet an employee’s immediate needs and minimise negative reactions following exposure to a critical incident.</w:t>
      </w:r>
    </w:p>
    <w:p w14:paraId="1D226EE0" w14:textId="0DE93598" w:rsidR="00611072" w:rsidRPr="00F45F11" w:rsidRDefault="00611072" w:rsidP="00693924">
      <w:pPr>
        <w:pStyle w:val="ARBody"/>
      </w:pPr>
      <w:r w:rsidRPr="00F45F11">
        <w:t>In 2025</w:t>
      </w:r>
      <w:r w:rsidR="007B62D7" w:rsidRPr="00F45F11">
        <w:t>–</w:t>
      </w:r>
      <w:r w:rsidRPr="00F45F11">
        <w:t>26, 95 critical incident support sessions were delivered indicating employees are being offered and receiving support when needed.</w:t>
      </w:r>
    </w:p>
    <w:p w14:paraId="4D043861" w14:textId="77777777" w:rsidR="00611072" w:rsidRPr="00F45F11" w:rsidRDefault="00611072" w:rsidP="00611072">
      <w:pPr>
        <w:pStyle w:val="ARBody"/>
        <w:rPr>
          <w:rStyle w:val="Strong"/>
        </w:rPr>
      </w:pPr>
      <w:r w:rsidRPr="00F45F11">
        <w:rPr>
          <w:rStyle w:val="Strong"/>
        </w:rPr>
        <w:t>Improvement measures in 2025–26 included:</w:t>
      </w:r>
    </w:p>
    <w:p w14:paraId="35F3B323" w14:textId="41FA31B4" w:rsidR="00611072" w:rsidRPr="00F45F11" w:rsidRDefault="00611072" w:rsidP="00693924">
      <w:pPr>
        <w:pStyle w:val="ARBullet1"/>
      </w:pPr>
      <w:r w:rsidRPr="00F45F11">
        <w:t>enhancements to the Employee Wellbeing and</w:t>
      </w:r>
      <w:r w:rsidR="00D056EA">
        <w:t> </w:t>
      </w:r>
      <w:r w:rsidRPr="00F45F11">
        <w:t>Support Program, including the launch of neurodiversity supports for neurodiverse staff and their managers</w:t>
      </w:r>
    </w:p>
    <w:p w14:paraId="612C0DA5" w14:textId="77777777" w:rsidR="00611072" w:rsidRPr="00F45F11" w:rsidRDefault="00611072" w:rsidP="00693924">
      <w:pPr>
        <w:pStyle w:val="ARBullet1"/>
      </w:pPr>
      <w:r w:rsidRPr="00F45F11">
        <w:t>extended the Aboriginal Social and Emotional Wellbeing Program contract</w:t>
      </w:r>
    </w:p>
    <w:p w14:paraId="72145B2A" w14:textId="46B9B89F" w:rsidR="00611072" w:rsidRPr="00F45F11" w:rsidRDefault="00611072" w:rsidP="00693924">
      <w:pPr>
        <w:pStyle w:val="ARBullet1"/>
      </w:pPr>
      <w:r w:rsidRPr="00F45F11">
        <w:t>evaluated the department’s Peer Support</w:t>
      </w:r>
      <w:r w:rsidR="00693924" w:rsidRPr="00F45F11">
        <w:t> </w:t>
      </w:r>
      <w:r w:rsidRPr="00F45F11">
        <w:t>Network</w:t>
      </w:r>
    </w:p>
    <w:p w14:paraId="11FA4D80" w14:textId="1F679DA7" w:rsidR="00611072" w:rsidRPr="00F45F11" w:rsidRDefault="00611072" w:rsidP="00693924">
      <w:pPr>
        <w:pStyle w:val="ARBullet1"/>
      </w:pPr>
      <w:r w:rsidRPr="00F45F11">
        <w:t>continued to provide training on the impact of</w:t>
      </w:r>
      <w:r w:rsidR="002377E3">
        <w:t> </w:t>
      </w:r>
      <w:r w:rsidRPr="00F45F11">
        <w:t>traumatic events and content (including vicarious trauma). This included how to manage this hazard proactively in the workplace</w:t>
      </w:r>
    </w:p>
    <w:p w14:paraId="4A7BE910" w14:textId="77777777" w:rsidR="00611072" w:rsidRPr="00F45F11" w:rsidRDefault="00611072" w:rsidP="00693924">
      <w:pPr>
        <w:pStyle w:val="ARBullet1"/>
      </w:pPr>
      <w:r w:rsidRPr="00F45F11">
        <w:t>re-engaged Fitness Passport, which gives employees and their family discounted membership and access to fitness and lifestyle facilities across Victoria</w:t>
      </w:r>
    </w:p>
    <w:p w14:paraId="0EA8E22F" w14:textId="77777777" w:rsidR="00611072" w:rsidRPr="00F45F11" w:rsidRDefault="00611072" w:rsidP="00693924">
      <w:pPr>
        <w:pStyle w:val="ARBullet1"/>
      </w:pPr>
      <w:r w:rsidRPr="00F45F11">
        <w:t>increased promotion and utilisation of career coaching services as part of managing and supporting employees impacted by organisational change.</w:t>
      </w:r>
    </w:p>
    <w:p w14:paraId="7FF9D09B" w14:textId="4CE67770" w:rsidR="00611072" w:rsidRPr="00F45F11" w:rsidRDefault="00611072" w:rsidP="00A42A6B">
      <w:pPr>
        <w:pStyle w:val="Heading3"/>
      </w:pPr>
      <w:r w:rsidRPr="00F45F11">
        <w:t>Incident and injury management</w:t>
      </w:r>
    </w:p>
    <w:p w14:paraId="2DC4B89B" w14:textId="01819584" w:rsidR="00611072" w:rsidRPr="00F45F11" w:rsidRDefault="00611072" w:rsidP="00693924">
      <w:pPr>
        <w:pStyle w:val="ARBody"/>
      </w:pPr>
      <w:r w:rsidRPr="00F45F11">
        <w:t>The department strongly encourages employees to report HSW hazards and incidents which allows the identification and implementation of appropriate actions to prevent re</w:t>
      </w:r>
      <w:r w:rsidRPr="00C0062A">
        <w:t>-</w:t>
      </w:r>
      <w:r w:rsidRPr="00F45F11">
        <w:t>occurrence and reduce risk where possible. It also assists us to identify employees at risk of injury and to intervene early to</w:t>
      </w:r>
      <w:r w:rsidR="00693924" w:rsidRPr="00F45F11">
        <w:t> </w:t>
      </w:r>
      <w:r w:rsidRPr="00F45F11">
        <w:t>prevent injury or</w:t>
      </w:r>
      <w:r w:rsidR="00F65DCC">
        <w:t> </w:t>
      </w:r>
      <w:r w:rsidRPr="00F45F11">
        <w:t xml:space="preserve">illness. </w:t>
      </w:r>
    </w:p>
    <w:p w14:paraId="6EEAD42B" w14:textId="26CEBC34" w:rsidR="00611072" w:rsidRPr="00F45F11" w:rsidRDefault="00611072" w:rsidP="00693924">
      <w:pPr>
        <w:pStyle w:val="ARBody"/>
      </w:pPr>
      <w:r w:rsidRPr="00F45F11">
        <w:t>From 1 July 2025, the department moved to a new safety reporting system that more clearly discerned between incidents and hazards. The outcome of which was a greater number of hazards being reported with a corresponding reduction in incident</w:t>
      </w:r>
      <w:r w:rsidR="00693924" w:rsidRPr="00F45F11">
        <w:t> </w:t>
      </w:r>
      <w:r w:rsidRPr="00F45F11">
        <w:t>reporting.</w:t>
      </w:r>
    </w:p>
    <w:p w14:paraId="41DA68DC" w14:textId="77777777" w:rsidR="00611072" w:rsidRPr="00F45F11" w:rsidRDefault="00611072" w:rsidP="00693924">
      <w:pPr>
        <w:pStyle w:val="ARBody"/>
      </w:pPr>
      <w:r w:rsidRPr="00F45F11">
        <w:t xml:space="preserve">There was a 73% increase in the number of hazards reported and a 41% decrease in incidents reported in 2025–26 compared with the prior year. </w:t>
      </w:r>
    </w:p>
    <w:p w14:paraId="72F5A7D8" w14:textId="6E3B18D5" w:rsidR="00611072" w:rsidRPr="00F45F11" w:rsidRDefault="00611072" w:rsidP="00693924">
      <w:pPr>
        <w:pStyle w:val="ARBody"/>
      </w:pPr>
      <w:r w:rsidRPr="00F45F11">
        <w:t xml:space="preserve">The department has a defined procedure for incident reporting and investigation. This requires assessing the risk and developing corrective actions for all incidents reported. Some incidents require further investigation. During 2025–26, the department introduced a new investigation method (5-Whys) for incidents and hazards risk rated high or critical which resulted in an increase in investigations undertaken. </w:t>
      </w:r>
      <w:r w:rsidR="001B1002" w:rsidRPr="00F45F11">
        <w:t>Four-hundred and fifty-five</w:t>
      </w:r>
      <w:r w:rsidRPr="00F45F11">
        <w:t xml:space="preserve"> reported incidents or hazards (15.7%) required further investigation. The</w:t>
      </w:r>
      <w:r w:rsidR="00693924" w:rsidRPr="00F45F11">
        <w:t> </w:t>
      </w:r>
      <w:r w:rsidRPr="00F45F11">
        <w:t>department notified WorkSafe Victoria of 7</w:t>
      </w:r>
      <w:r w:rsidR="00693924" w:rsidRPr="00F45F11">
        <w:t> </w:t>
      </w:r>
      <w:r w:rsidRPr="00F45F11">
        <w:t>notifiable incidents</w:t>
      </w:r>
      <w:r w:rsidR="007B62D7" w:rsidRPr="00F45F11">
        <w:t>.</w:t>
      </w:r>
      <w:r w:rsidRPr="00F45F11">
        <w:rPr>
          <w:vertAlign w:val="superscript"/>
        </w:rPr>
        <w:footnoteReference w:id="9"/>
      </w:r>
    </w:p>
    <w:p w14:paraId="55350733" w14:textId="373766A8" w:rsidR="00611072" w:rsidRPr="00F45F11" w:rsidRDefault="00611072" w:rsidP="00693924">
      <w:pPr>
        <w:pStyle w:val="ARBody"/>
      </w:pPr>
      <w:r w:rsidRPr="00F45F11">
        <w:t>The department has experienced a 17.1% decrease</w:t>
      </w:r>
      <w:r w:rsidRPr="00F45F11" w:rsidDel="00B5101F">
        <w:t xml:space="preserve"> </w:t>
      </w:r>
      <w:r w:rsidRPr="00F45F11">
        <w:t>in the rate of standard claims per 100</w:t>
      </w:r>
      <w:r w:rsidR="00693924" w:rsidRPr="00F45F11">
        <w:t> </w:t>
      </w:r>
      <w:r w:rsidRPr="00F45F11">
        <w:t>FTE, with:</w:t>
      </w:r>
    </w:p>
    <w:p w14:paraId="6E620192" w14:textId="77777777" w:rsidR="00611072" w:rsidRPr="00F45F11" w:rsidRDefault="00611072" w:rsidP="00693924">
      <w:pPr>
        <w:pStyle w:val="ARBullet1"/>
      </w:pPr>
      <w:r w:rsidRPr="00F45F11">
        <w:t>a 37.2% decrease in stress-related standard claims per 100 FTE</w:t>
      </w:r>
    </w:p>
    <w:p w14:paraId="40E33A45" w14:textId="77777777" w:rsidR="00611072" w:rsidRPr="00F45F11" w:rsidRDefault="00611072" w:rsidP="00693924">
      <w:pPr>
        <w:pStyle w:val="ARBullet1"/>
      </w:pPr>
      <w:r w:rsidRPr="00F45F11">
        <w:t>58.2% increase in musculoskeletal disorder-related standard claims per 100 FTE</w:t>
      </w:r>
    </w:p>
    <w:p w14:paraId="683F4933" w14:textId="776A83C9" w:rsidR="00611072" w:rsidRPr="00F45F11" w:rsidRDefault="00611072" w:rsidP="00693924">
      <w:pPr>
        <w:pStyle w:val="ARBullet1"/>
      </w:pPr>
      <w:r w:rsidRPr="00F45F11">
        <w:t>27.2% decrease in lost time standard claims per</w:t>
      </w:r>
      <w:r w:rsidR="00693924" w:rsidRPr="00F45F11">
        <w:t> </w:t>
      </w:r>
      <w:r w:rsidRPr="00F45F11">
        <w:t>100 FTE</w:t>
      </w:r>
    </w:p>
    <w:p w14:paraId="5EE80517" w14:textId="0033572B" w:rsidR="00611072" w:rsidRDefault="00611072" w:rsidP="00693924">
      <w:pPr>
        <w:pStyle w:val="ARBullet1"/>
      </w:pPr>
      <w:r w:rsidRPr="00F45F11">
        <w:t>14.9% decrease in 13-week standard claims per</w:t>
      </w:r>
      <w:r w:rsidR="00693924" w:rsidRPr="00F45F11">
        <w:t> </w:t>
      </w:r>
      <w:r w:rsidRPr="00F45F11">
        <w:t>100 FTE.</w:t>
      </w:r>
    </w:p>
    <w:p w14:paraId="06181BDA" w14:textId="28467482" w:rsidR="00611072" w:rsidRPr="00F45F11" w:rsidRDefault="00611072" w:rsidP="00F65DCC">
      <w:pPr>
        <w:pStyle w:val="ARBodyafterbullets"/>
        <w:rPr>
          <w:rStyle w:val="Strong"/>
        </w:rPr>
      </w:pPr>
      <w:r w:rsidRPr="00F45F11">
        <w:rPr>
          <w:rStyle w:val="Strong"/>
        </w:rPr>
        <w:t>Improvement measures in 2025–26 included:</w:t>
      </w:r>
    </w:p>
    <w:p w14:paraId="65F11B29" w14:textId="1101BDDD" w:rsidR="00611072" w:rsidRPr="00F45F11" w:rsidRDefault="00611072" w:rsidP="00693924">
      <w:pPr>
        <w:pStyle w:val="ARBullet1"/>
      </w:pPr>
      <w:r w:rsidRPr="00F45F11">
        <w:t>developing and implementing an employee capacity support framework to outline the responsibilities of managers and employees to</w:t>
      </w:r>
      <w:r w:rsidR="006B2225">
        <w:t> </w:t>
      </w:r>
      <w:r w:rsidRPr="00F45F11">
        <w:t>support employees to undertake the inherent requirements of their role</w:t>
      </w:r>
    </w:p>
    <w:p w14:paraId="6DABF119" w14:textId="6155FC97" w:rsidR="00611072" w:rsidRPr="00F45F11" w:rsidRDefault="00611072" w:rsidP="00693924">
      <w:pPr>
        <w:pStyle w:val="ARBullet1"/>
      </w:pPr>
      <w:r w:rsidRPr="00F45F11">
        <w:t>analysing workers compensation, return</w:t>
      </w:r>
      <w:r w:rsidR="00967641" w:rsidRPr="00F45F11">
        <w:t>-</w:t>
      </w:r>
      <w:r w:rsidRPr="00F45F11">
        <w:t>to</w:t>
      </w:r>
      <w:r w:rsidR="00967641" w:rsidRPr="00F45F11">
        <w:t>-</w:t>
      </w:r>
      <w:r w:rsidRPr="00F45F11">
        <w:t xml:space="preserve">work and employee support data </w:t>
      </w:r>
      <w:r w:rsidR="00967641" w:rsidRPr="00F45F11">
        <w:t xml:space="preserve">to </w:t>
      </w:r>
      <w:r w:rsidRPr="00F45F11">
        <w:t>help identify trends, provide insights and inform decision</w:t>
      </w:r>
      <w:r w:rsidR="00967641" w:rsidRPr="00F45F11">
        <w:t>-</w:t>
      </w:r>
      <w:r w:rsidRPr="00F45F11">
        <w:t>making</w:t>
      </w:r>
      <w:r w:rsidR="00967641" w:rsidRPr="00F45F11">
        <w:t xml:space="preserve">. This included </w:t>
      </w:r>
      <w:r w:rsidRPr="00F45F11">
        <w:t xml:space="preserve">projects to </w:t>
      </w:r>
      <w:r w:rsidR="00967641" w:rsidRPr="00F45F11">
        <w:t xml:space="preserve">improve </w:t>
      </w:r>
      <w:r w:rsidRPr="00F45F11">
        <w:t>risk</w:t>
      </w:r>
      <w:r w:rsidR="00566B8E">
        <w:t> </w:t>
      </w:r>
      <w:r w:rsidRPr="00F45F11">
        <w:t>control</w:t>
      </w:r>
      <w:r w:rsidR="00967641" w:rsidRPr="00F45F11">
        <w:t>s</w:t>
      </w:r>
      <w:r w:rsidRPr="00F45F11">
        <w:t xml:space="preserve"> and prevent future injury. The department</w:t>
      </w:r>
      <w:r w:rsidR="00967641" w:rsidRPr="00F45F11">
        <w:t xml:space="preserve"> also</w:t>
      </w:r>
      <w:r w:rsidRPr="00F45F11">
        <w:t xml:space="preserve"> focused on </w:t>
      </w:r>
      <w:r w:rsidR="00967641" w:rsidRPr="00F45F11">
        <w:t>preventing</w:t>
      </w:r>
      <w:r w:rsidRPr="00F45F11">
        <w:t xml:space="preserve"> harm, including injury or illness arising from exposure to traumatic content or exposure to aggression or violence</w:t>
      </w:r>
    </w:p>
    <w:p w14:paraId="784D39EC" w14:textId="57C2601D" w:rsidR="00611072" w:rsidRPr="00F45F11" w:rsidRDefault="00611072" w:rsidP="00693924">
      <w:pPr>
        <w:pStyle w:val="ARBullet1"/>
      </w:pPr>
      <w:r w:rsidRPr="00F45F11">
        <w:t>increased promotion of Max Health and Employee Wellbeing supports to provide early support for employees who are injured at work. This helps injured workers to recover and return to work. The department has seen improvement in Back at Work results within 16 weeks (</w:t>
      </w:r>
      <w:r w:rsidR="000D4CE5">
        <w:t>+</w:t>
      </w:r>
      <w:r w:rsidRPr="00F45F11">
        <w:t>7.55%), 26 weeks (</w:t>
      </w:r>
      <w:r w:rsidR="000D4CE5">
        <w:t>+</w:t>
      </w:r>
      <w:r w:rsidRPr="00F45F11">
        <w:t>5.45%), and 52 weeks</w:t>
      </w:r>
      <w:r w:rsidR="001A7218" w:rsidRPr="00F45F11">
        <w:t> </w:t>
      </w:r>
      <w:r w:rsidRPr="00F45F11">
        <w:t>(</w:t>
      </w:r>
      <w:r w:rsidR="000D4CE5">
        <w:t>+</w:t>
      </w:r>
      <w:r w:rsidRPr="00F45F11">
        <w:t>7.86%)</w:t>
      </w:r>
    </w:p>
    <w:p w14:paraId="45B41E07" w14:textId="68E627B8" w:rsidR="00611072" w:rsidRPr="00F45F11" w:rsidRDefault="00611072" w:rsidP="00693924">
      <w:pPr>
        <w:pStyle w:val="ARBullet1"/>
      </w:pPr>
      <w:r w:rsidRPr="00F45F11">
        <w:t xml:space="preserve">tailored advice and support for managers managing staff with complex injuries and claims and injuries or illnesses not compensable under the </w:t>
      </w:r>
      <w:proofErr w:type="spellStart"/>
      <w:r w:rsidRPr="00F45F11">
        <w:t>WorkCover</w:t>
      </w:r>
      <w:proofErr w:type="spellEnd"/>
      <w:r w:rsidRPr="00F45F11">
        <w:t xml:space="preserve"> scheme</w:t>
      </w:r>
    </w:p>
    <w:p w14:paraId="29F0BFCC" w14:textId="1C856B89" w:rsidR="00611072" w:rsidRPr="00F45F11" w:rsidRDefault="00611072" w:rsidP="00693924">
      <w:pPr>
        <w:pStyle w:val="ARBullet1"/>
      </w:pPr>
      <w:r w:rsidRPr="00F45F11">
        <w:t xml:space="preserve">early intervention services in the pending phase of a compensation claim through the department’s </w:t>
      </w:r>
      <w:proofErr w:type="spellStart"/>
      <w:r w:rsidRPr="00F45F11">
        <w:t>WorkCover</w:t>
      </w:r>
      <w:proofErr w:type="spellEnd"/>
      <w:r w:rsidRPr="00F45F11">
        <w:t xml:space="preserve"> insurer, including increased use of face-to-face treater conferences, effective case management and</w:t>
      </w:r>
      <w:r w:rsidR="006B2225">
        <w:t> </w:t>
      </w:r>
      <w:r w:rsidRPr="00F45F11">
        <w:t>provision of suitable duties</w:t>
      </w:r>
    </w:p>
    <w:p w14:paraId="13FAB301" w14:textId="0AFB670F" w:rsidR="00611072" w:rsidRPr="00F45F11" w:rsidRDefault="00611072" w:rsidP="00693924">
      <w:pPr>
        <w:pStyle w:val="ARBullet1"/>
      </w:pPr>
      <w:r w:rsidRPr="00F45F11">
        <w:t>commenced a project to review and update inherent requirements checklist for various roles across the department and develop a library of</w:t>
      </w:r>
      <w:r w:rsidR="006B2225">
        <w:t> </w:t>
      </w:r>
      <w:r w:rsidRPr="00F45F11">
        <w:t>inherent requirements by role type.</w:t>
      </w:r>
    </w:p>
    <w:p w14:paraId="13B1E231" w14:textId="77777777" w:rsidR="00611072" w:rsidRPr="00F45F11" w:rsidRDefault="00611072" w:rsidP="00611072">
      <w:pPr>
        <w:pStyle w:val="ARBody"/>
      </w:pPr>
    </w:p>
    <w:p w14:paraId="2A3F2773" w14:textId="77777777" w:rsidR="00611072" w:rsidRPr="00F45F11" w:rsidRDefault="00611072" w:rsidP="00611072">
      <w:pPr>
        <w:pStyle w:val="ARBody"/>
        <w:sectPr w:rsidR="00611072" w:rsidRPr="00F45F11" w:rsidSect="00E7077C">
          <w:endnotePr>
            <w:numFmt w:val="decimal"/>
          </w:endnotePr>
          <w:type w:val="continuous"/>
          <w:pgSz w:w="11900" w:h="16840" w:code="9"/>
          <w:pgMar w:top="1588" w:right="1134" w:bottom="851" w:left="1134" w:header="680" w:footer="340" w:gutter="0"/>
          <w:cols w:space="448"/>
          <w:docGrid w:linePitch="299"/>
        </w:sectPr>
      </w:pPr>
    </w:p>
    <w:p w14:paraId="53D942B7" w14:textId="77777777" w:rsidR="00611072" w:rsidRPr="00F45F11" w:rsidRDefault="00611072" w:rsidP="00693924">
      <w:pPr>
        <w:pStyle w:val="ARTablecaption"/>
        <w:spacing w:before="0"/>
        <w:rPr>
          <w:rFonts w:eastAsia="Times"/>
        </w:rPr>
      </w:pPr>
      <w:r w:rsidRPr="00F45F11">
        <w:rPr>
          <w:rFonts w:eastAsia="Times"/>
        </w:rPr>
        <w:t>Table 6: The department’s performance against health and safety management measures</w:t>
      </w:r>
    </w:p>
    <w:tbl>
      <w:tblPr>
        <w:tblStyle w:val="ARtable1"/>
        <w:tblW w:w="5000" w:type="pct"/>
        <w:tblLayout w:type="fixed"/>
        <w:tblLook w:val="02A0" w:firstRow="1" w:lastRow="0" w:firstColumn="1" w:lastColumn="0" w:noHBand="1" w:noVBand="0"/>
      </w:tblPr>
      <w:tblGrid>
        <w:gridCol w:w="1285"/>
        <w:gridCol w:w="4467"/>
        <w:gridCol w:w="1292"/>
        <w:gridCol w:w="1292"/>
        <w:gridCol w:w="1292"/>
      </w:tblGrid>
      <w:tr w:rsidR="00611072" w:rsidRPr="00F45F11" w14:paraId="50E5BC00" w14:textId="77777777" w:rsidTr="00440E4F">
        <w:trPr>
          <w:cnfStyle w:val="100000000000" w:firstRow="1" w:lastRow="0" w:firstColumn="0" w:lastColumn="0" w:oddVBand="0" w:evenVBand="0" w:oddHBand="0" w:evenHBand="0" w:firstRowFirstColumn="0" w:firstRowLastColumn="0" w:lastRowFirstColumn="0" w:lastRowLastColumn="0"/>
          <w:tblHeader/>
        </w:trPr>
        <w:tc>
          <w:tcPr>
            <w:tcW w:w="667" w:type="pct"/>
          </w:tcPr>
          <w:p w14:paraId="50E13B73" w14:textId="77777777" w:rsidR="00611072" w:rsidRPr="00F45F11" w:rsidRDefault="00611072" w:rsidP="00693924">
            <w:pPr>
              <w:pStyle w:val="ARtablecolhead"/>
              <w:rPr>
                <w:rFonts w:eastAsia="Times"/>
              </w:rPr>
            </w:pPr>
            <w:r w:rsidRPr="00F45F11">
              <w:rPr>
                <w:rFonts w:eastAsia="Times"/>
              </w:rPr>
              <w:t>Measure</w:t>
            </w:r>
          </w:p>
        </w:tc>
        <w:tc>
          <w:tcPr>
            <w:cnfStyle w:val="000001000000" w:firstRow="0" w:lastRow="0" w:firstColumn="0" w:lastColumn="0" w:oddVBand="0" w:evenVBand="1" w:oddHBand="0" w:evenHBand="0" w:firstRowFirstColumn="0" w:firstRowLastColumn="0" w:lastRowFirstColumn="0" w:lastRowLastColumn="0"/>
            <w:tcW w:w="2320" w:type="pct"/>
            <w:tcMar>
              <w:left w:w="113" w:type="dxa"/>
            </w:tcMar>
          </w:tcPr>
          <w:p w14:paraId="6BB283DD" w14:textId="77777777" w:rsidR="00611072" w:rsidRPr="00F45F11" w:rsidRDefault="00611072" w:rsidP="00693924">
            <w:pPr>
              <w:pStyle w:val="ARtablecolhead"/>
              <w:rPr>
                <w:rFonts w:eastAsia="Times"/>
              </w:rPr>
            </w:pPr>
            <w:r w:rsidRPr="00F45F11">
              <w:rPr>
                <w:rFonts w:eastAsia="Times"/>
              </w:rPr>
              <w:t>Key performance indicator</w:t>
            </w:r>
          </w:p>
        </w:tc>
        <w:tc>
          <w:tcPr>
            <w:tcW w:w="671" w:type="pct"/>
          </w:tcPr>
          <w:p w14:paraId="3A79B45D" w14:textId="77777777" w:rsidR="00611072" w:rsidRPr="00F45F11" w:rsidRDefault="00611072" w:rsidP="00693924">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2023–24</w:t>
            </w:r>
          </w:p>
        </w:tc>
        <w:tc>
          <w:tcPr>
            <w:cnfStyle w:val="000001000000" w:firstRow="0" w:lastRow="0" w:firstColumn="0" w:lastColumn="0" w:oddVBand="0" w:evenVBand="1" w:oddHBand="0" w:evenHBand="0" w:firstRowFirstColumn="0" w:firstRowLastColumn="0" w:lastRowFirstColumn="0" w:lastRowLastColumn="0"/>
            <w:tcW w:w="671" w:type="pct"/>
          </w:tcPr>
          <w:p w14:paraId="6A093005" w14:textId="77777777" w:rsidR="00611072" w:rsidRPr="00F45F11" w:rsidRDefault="00611072" w:rsidP="00693924">
            <w:pPr>
              <w:pStyle w:val="ARtablecolheadright"/>
              <w:rPr>
                <w:rFonts w:eastAsia="Times"/>
              </w:rPr>
            </w:pPr>
            <w:r w:rsidRPr="00F45F11">
              <w:rPr>
                <w:rFonts w:eastAsia="Times"/>
              </w:rPr>
              <w:t>2024–25</w:t>
            </w:r>
          </w:p>
        </w:tc>
        <w:tc>
          <w:tcPr>
            <w:tcW w:w="671" w:type="pct"/>
          </w:tcPr>
          <w:p w14:paraId="7D8420A8" w14:textId="78588CDA" w:rsidR="00611072" w:rsidRPr="00F45F11" w:rsidRDefault="00611072" w:rsidP="00693924">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2025</w:t>
            </w:r>
            <w:r w:rsidR="001A7218" w:rsidRPr="00F45F11">
              <w:rPr>
                <w:rFonts w:eastAsia="Times"/>
              </w:rPr>
              <w:t>–</w:t>
            </w:r>
            <w:r w:rsidRPr="00F45F11">
              <w:rPr>
                <w:rFonts w:eastAsia="Times"/>
              </w:rPr>
              <w:t>26</w:t>
            </w:r>
          </w:p>
        </w:tc>
      </w:tr>
      <w:tr w:rsidR="00611072" w:rsidRPr="00F45F11" w14:paraId="6CF2727C" w14:textId="77777777" w:rsidTr="00693924">
        <w:tc>
          <w:tcPr>
            <w:tcW w:w="667" w:type="pct"/>
            <w:vMerge w:val="restart"/>
          </w:tcPr>
          <w:p w14:paraId="186A264B" w14:textId="77777777" w:rsidR="00611072" w:rsidRPr="00F45F11" w:rsidRDefault="00611072" w:rsidP="00693924">
            <w:pPr>
              <w:pStyle w:val="ARTabletext"/>
              <w:rPr>
                <w:rFonts w:eastAsia="Times"/>
              </w:rPr>
            </w:pPr>
            <w:r w:rsidRPr="00F45F11">
              <w:rPr>
                <w:rFonts w:eastAsia="Times"/>
              </w:rPr>
              <w:t>Hazards</w:t>
            </w:r>
          </w:p>
        </w:tc>
        <w:tc>
          <w:tcPr>
            <w:cnfStyle w:val="000001000000" w:firstRow="0" w:lastRow="0" w:firstColumn="0" w:lastColumn="0" w:oddVBand="0" w:evenVBand="1" w:oddHBand="0" w:evenHBand="0" w:firstRowFirstColumn="0" w:firstRowLastColumn="0" w:lastRowFirstColumn="0" w:lastRowLastColumn="0"/>
            <w:tcW w:w="2320" w:type="pct"/>
            <w:tcMar>
              <w:left w:w="113" w:type="dxa"/>
            </w:tcMar>
          </w:tcPr>
          <w:p w14:paraId="3B4BBA01" w14:textId="77777777" w:rsidR="00611072" w:rsidRPr="00F45F11" w:rsidRDefault="00611072" w:rsidP="00693924">
            <w:pPr>
              <w:pStyle w:val="ARTabletext"/>
              <w:rPr>
                <w:rFonts w:eastAsia="Times"/>
              </w:rPr>
            </w:pPr>
            <w:r w:rsidRPr="00F45F11">
              <w:rPr>
                <w:rFonts w:eastAsia="Times"/>
              </w:rPr>
              <w:t>Number of hazards</w:t>
            </w:r>
          </w:p>
        </w:tc>
        <w:tc>
          <w:tcPr>
            <w:tcW w:w="671" w:type="pct"/>
          </w:tcPr>
          <w:p w14:paraId="632B7906"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774</w:t>
            </w:r>
          </w:p>
        </w:tc>
        <w:tc>
          <w:tcPr>
            <w:cnfStyle w:val="000001000000" w:firstRow="0" w:lastRow="0" w:firstColumn="0" w:lastColumn="0" w:oddVBand="0" w:evenVBand="1" w:oddHBand="0" w:evenHBand="0" w:firstRowFirstColumn="0" w:firstRowLastColumn="0" w:lastRowFirstColumn="0" w:lastRowLastColumn="0"/>
            <w:tcW w:w="671" w:type="pct"/>
          </w:tcPr>
          <w:p w14:paraId="15CED205" w14:textId="77777777" w:rsidR="00611072" w:rsidRPr="00F45F11" w:rsidRDefault="00611072" w:rsidP="00693924">
            <w:pPr>
              <w:pStyle w:val="ARtabletextright"/>
              <w:rPr>
                <w:rFonts w:eastAsia="Times"/>
              </w:rPr>
            </w:pPr>
            <w:r w:rsidRPr="00F45F11">
              <w:rPr>
                <w:rFonts w:eastAsia="Times"/>
              </w:rPr>
              <w:t>812</w:t>
            </w:r>
          </w:p>
        </w:tc>
        <w:tc>
          <w:tcPr>
            <w:tcW w:w="671" w:type="pct"/>
          </w:tcPr>
          <w:p w14:paraId="3A5BC071"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1,405</w:t>
            </w:r>
          </w:p>
        </w:tc>
      </w:tr>
      <w:tr w:rsidR="00611072" w:rsidRPr="00F45F11" w14:paraId="72940FB2" w14:textId="77777777" w:rsidTr="00693924">
        <w:tc>
          <w:tcPr>
            <w:tcW w:w="667" w:type="pct"/>
            <w:vMerge/>
          </w:tcPr>
          <w:p w14:paraId="2C1EEB2C" w14:textId="77777777" w:rsidR="00611072" w:rsidRPr="00F45F11" w:rsidRDefault="00611072" w:rsidP="00693924">
            <w:pPr>
              <w:pStyle w:val="ARTabletext"/>
              <w:rPr>
                <w:rFonts w:eastAsia="Times"/>
              </w:rPr>
            </w:pPr>
          </w:p>
        </w:tc>
        <w:tc>
          <w:tcPr>
            <w:cnfStyle w:val="000001000000" w:firstRow="0" w:lastRow="0" w:firstColumn="0" w:lastColumn="0" w:oddVBand="0" w:evenVBand="1" w:oddHBand="0" w:evenHBand="0" w:firstRowFirstColumn="0" w:firstRowLastColumn="0" w:lastRowFirstColumn="0" w:lastRowLastColumn="0"/>
            <w:tcW w:w="2320" w:type="pct"/>
            <w:tcMar>
              <w:left w:w="113" w:type="dxa"/>
            </w:tcMar>
          </w:tcPr>
          <w:p w14:paraId="3930AEA8" w14:textId="77777777" w:rsidR="00611072" w:rsidRPr="00F45F11" w:rsidRDefault="00611072" w:rsidP="00693924">
            <w:pPr>
              <w:pStyle w:val="ARTabletext"/>
              <w:rPr>
                <w:rFonts w:eastAsia="Times"/>
              </w:rPr>
            </w:pPr>
            <w:r w:rsidRPr="00F45F11">
              <w:rPr>
                <w:rFonts w:eastAsia="Times"/>
              </w:rPr>
              <w:t>Rate per 100 FTE</w:t>
            </w:r>
          </w:p>
        </w:tc>
        <w:tc>
          <w:tcPr>
            <w:tcW w:w="671" w:type="pct"/>
          </w:tcPr>
          <w:p w14:paraId="1BA93B4D"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11.59</w:t>
            </w:r>
          </w:p>
        </w:tc>
        <w:tc>
          <w:tcPr>
            <w:cnfStyle w:val="000001000000" w:firstRow="0" w:lastRow="0" w:firstColumn="0" w:lastColumn="0" w:oddVBand="0" w:evenVBand="1" w:oddHBand="0" w:evenHBand="0" w:firstRowFirstColumn="0" w:firstRowLastColumn="0" w:lastRowFirstColumn="0" w:lastRowLastColumn="0"/>
            <w:tcW w:w="671" w:type="pct"/>
          </w:tcPr>
          <w:p w14:paraId="4654AB66" w14:textId="77777777" w:rsidR="00611072" w:rsidRPr="00F45F11" w:rsidRDefault="00611072" w:rsidP="00693924">
            <w:pPr>
              <w:pStyle w:val="ARtabletextright"/>
              <w:rPr>
                <w:rFonts w:eastAsia="Times"/>
              </w:rPr>
            </w:pPr>
            <w:r w:rsidRPr="00F45F11">
              <w:rPr>
                <w:rFonts w:eastAsia="Times"/>
              </w:rPr>
              <w:t>12.10</w:t>
            </w:r>
          </w:p>
        </w:tc>
        <w:tc>
          <w:tcPr>
            <w:tcW w:w="671" w:type="pct"/>
          </w:tcPr>
          <w:p w14:paraId="39404B43"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20.51</w:t>
            </w:r>
          </w:p>
        </w:tc>
      </w:tr>
      <w:tr w:rsidR="00611072" w:rsidRPr="00F45F11" w14:paraId="33F45E51" w14:textId="77777777" w:rsidTr="00693924">
        <w:tc>
          <w:tcPr>
            <w:tcW w:w="667" w:type="pct"/>
            <w:vMerge w:val="restart"/>
          </w:tcPr>
          <w:p w14:paraId="352B0F02" w14:textId="77777777" w:rsidR="00611072" w:rsidRPr="00F45F11" w:rsidRDefault="00611072" w:rsidP="00693924">
            <w:pPr>
              <w:pStyle w:val="ARTabletext"/>
              <w:rPr>
                <w:rFonts w:eastAsia="Times"/>
              </w:rPr>
            </w:pPr>
            <w:r w:rsidRPr="00F45F11">
              <w:rPr>
                <w:rFonts w:eastAsia="Times"/>
              </w:rPr>
              <w:t>Incidents</w:t>
            </w:r>
          </w:p>
        </w:tc>
        <w:tc>
          <w:tcPr>
            <w:cnfStyle w:val="000001000000" w:firstRow="0" w:lastRow="0" w:firstColumn="0" w:lastColumn="0" w:oddVBand="0" w:evenVBand="1" w:oddHBand="0" w:evenHBand="0" w:firstRowFirstColumn="0" w:firstRowLastColumn="0" w:lastRowFirstColumn="0" w:lastRowLastColumn="0"/>
            <w:tcW w:w="2320" w:type="pct"/>
            <w:tcMar>
              <w:left w:w="113" w:type="dxa"/>
            </w:tcMar>
          </w:tcPr>
          <w:p w14:paraId="4FEB9691" w14:textId="77777777" w:rsidR="00611072" w:rsidRPr="00F45F11" w:rsidRDefault="00611072" w:rsidP="00693924">
            <w:pPr>
              <w:pStyle w:val="ARTabletext"/>
              <w:rPr>
                <w:rFonts w:eastAsia="Times"/>
              </w:rPr>
            </w:pPr>
            <w:r w:rsidRPr="00F45F11">
              <w:rPr>
                <w:rFonts w:eastAsia="Times"/>
              </w:rPr>
              <w:t>Number of incidents</w:t>
            </w:r>
          </w:p>
        </w:tc>
        <w:tc>
          <w:tcPr>
            <w:tcW w:w="671" w:type="pct"/>
          </w:tcPr>
          <w:p w14:paraId="1BFC2686"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2,302</w:t>
            </w:r>
          </w:p>
        </w:tc>
        <w:tc>
          <w:tcPr>
            <w:cnfStyle w:val="000001000000" w:firstRow="0" w:lastRow="0" w:firstColumn="0" w:lastColumn="0" w:oddVBand="0" w:evenVBand="1" w:oddHBand="0" w:evenHBand="0" w:firstRowFirstColumn="0" w:firstRowLastColumn="0" w:lastRowFirstColumn="0" w:lastRowLastColumn="0"/>
            <w:tcW w:w="671" w:type="pct"/>
          </w:tcPr>
          <w:p w14:paraId="335EA119" w14:textId="77777777" w:rsidR="00611072" w:rsidRPr="00F45F11" w:rsidRDefault="00611072" w:rsidP="00693924">
            <w:pPr>
              <w:pStyle w:val="ARtabletextright"/>
              <w:rPr>
                <w:rFonts w:eastAsia="Times"/>
              </w:rPr>
            </w:pPr>
            <w:r w:rsidRPr="00F45F11">
              <w:rPr>
                <w:rFonts w:eastAsia="Times"/>
              </w:rPr>
              <w:t>2,569</w:t>
            </w:r>
          </w:p>
        </w:tc>
        <w:tc>
          <w:tcPr>
            <w:tcW w:w="671" w:type="pct"/>
          </w:tcPr>
          <w:p w14:paraId="5056FB52"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1497</w:t>
            </w:r>
          </w:p>
        </w:tc>
      </w:tr>
      <w:tr w:rsidR="00611072" w:rsidRPr="00F45F11" w14:paraId="7C1C020F" w14:textId="77777777" w:rsidTr="00693924">
        <w:tc>
          <w:tcPr>
            <w:tcW w:w="667" w:type="pct"/>
            <w:vMerge/>
          </w:tcPr>
          <w:p w14:paraId="40D327FC" w14:textId="77777777" w:rsidR="00611072" w:rsidRPr="00F45F11" w:rsidRDefault="00611072" w:rsidP="00693924">
            <w:pPr>
              <w:pStyle w:val="ARTabletext"/>
              <w:rPr>
                <w:rFonts w:eastAsia="Times"/>
              </w:rPr>
            </w:pPr>
          </w:p>
        </w:tc>
        <w:tc>
          <w:tcPr>
            <w:cnfStyle w:val="000001000000" w:firstRow="0" w:lastRow="0" w:firstColumn="0" w:lastColumn="0" w:oddVBand="0" w:evenVBand="1" w:oddHBand="0" w:evenHBand="0" w:firstRowFirstColumn="0" w:firstRowLastColumn="0" w:lastRowFirstColumn="0" w:lastRowLastColumn="0"/>
            <w:tcW w:w="2320" w:type="pct"/>
            <w:tcMar>
              <w:left w:w="113" w:type="dxa"/>
            </w:tcMar>
          </w:tcPr>
          <w:p w14:paraId="7FB1D139" w14:textId="77777777" w:rsidR="00611072" w:rsidRPr="00F45F11" w:rsidRDefault="00611072" w:rsidP="00693924">
            <w:pPr>
              <w:pStyle w:val="ARTabletext"/>
              <w:rPr>
                <w:rFonts w:eastAsia="Times"/>
              </w:rPr>
            </w:pPr>
            <w:r w:rsidRPr="00F45F11">
              <w:rPr>
                <w:rFonts w:eastAsia="Times"/>
              </w:rPr>
              <w:t>Rate per 100 FTE</w:t>
            </w:r>
          </w:p>
        </w:tc>
        <w:tc>
          <w:tcPr>
            <w:tcW w:w="671" w:type="pct"/>
          </w:tcPr>
          <w:p w14:paraId="63B48060"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34.49</w:t>
            </w:r>
          </w:p>
        </w:tc>
        <w:tc>
          <w:tcPr>
            <w:cnfStyle w:val="000001000000" w:firstRow="0" w:lastRow="0" w:firstColumn="0" w:lastColumn="0" w:oddVBand="0" w:evenVBand="1" w:oddHBand="0" w:evenHBand="0" w:firstRowFirstColumn="0" w:firstRowLastColumn="0" w:lastRowFirstColumn="0" w:lastRowLastColumn="0"/>
            <w:tcW w:w="671" w:type="pct"/>
          </w:tcPr>
          <w:p w14:paraId="1EADC8B4" w14:textId="77777777" w:rsidR="00611072" w:rsidRPr="00F45F11" w:rsidRDefault="00611072" w:rsidP="00693924">
            <w:pPr>
              <w:pStyle w:val="ARtabletextright"/>
              <w:rPr>
                <w:rFonts w:eastAsia="Times"/>
              </w:rPr>
            </w:pPr>
            <w:r w:rsidRPr="00F45F11">
              <w:rPr>
                <w:rFonts w:eastAsia="Times"/>
              </w:rPr>
              <w:t>38.29</w:t>
            </w:r>
          </w:p>
        </w:tc>
        <w:tc>
          <w:tcPr>
            <w:tcW w:w="671" w:type="pct"/>
          </w:tcPr>
          <w:p w14:paraId="0BF97577"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21.85</w:t>
            </w:r>
          </w:p>
        </w:tc>
      </w:tr>
      <w:tr w:rsidR="00611072" w:rsidRPr="00F45F11" w14:paraId="4F377B2B" w14:textId="77777777" w:rsidTr="00693924">
        <w:tc>
          <w:tcPr>
            <w:tcW w:w="667" w:type="pct"/>
            <w:vMerge/>
          </w:tcPr>
          <w:p w14:paraId="5988039E" w14:textId="77777777" w:rsidR="00611072" w:rsidRPr="00F45F11" w:rsidRDefault="00611072" w:rsidP="00693924">
            <w:pPr>
              <w:pStyle w:val="ARTabletext"/>
              <w:rPr>
                <w:rFonts w:eastAsia="Times"/>
              </w:rPr>
            </w:pPr>
          </w:p>
        </w:tc>
        <w:tc>
          <w:tcPr>
            <w:cnfStyle w:val="000001000000" w:firstRow="0" w:lastRow="0" w:firstColumn="0" w:lastColumn="0" w:oddVBand="0" w:evenVBand="1" w:oddHBand="0" w:evenHBand="0" w:firstRowFirstColumn="0" w:firstRowLastColumn="0" w:lastRowFirstColumn="0" w:lastRowLastColumn="0"/>
            <w:tcW w:w="2320" w:type="pct"/>
            <w:tcMar>
              <w:left w:w="113" w:type="dxa"/>
            </w:tcMar>
          </w:tcPr>
          <w:p w14:paraId="51FF9C24" w14:textId="77777777" w:rsidR="00611072" w:rsidRPr="00F45F11" w:rsidRDefault="00611072" w:rsidP="00693924">
            <w:pPr>
              <w:pStyle w:val="ARTabletext"/>
              <w:rPr>
                <w:rFonts w:eastAsia="Times"/>
                <w:vertAlign w:val="superscript"/>
              </w:rPr>
            </w:pPr>
            <w:r w:rsidRPr="00F45F11">
              <w:rPr>
                <w:rFonts w:eastAsia="Times"/>
              </w:rPr>
              <w:t>Number of incidents requiring first aid and/or further medical treatment</w:t>
            </w:r>
          </w:p>
        </w:tc>
        <w:tc>
          <w:tcPr>
            <w:tcW w:w="671" w:type="pct"/>
          </w:tcPr>
          <w:p w14:paraId="5615DF74"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234</w:t>
            </w:r>
          </w:p>
        </w:tc>
        <w:tc>
          <w:tcPr>
            <w:cnfStyle w:val="000001000000" w:firstRow="0" w:lastRow="0" w:firstColumn="0" w:lastColumn="0" w:oddVBand="0" w:evenVBand="1" w:oddHBand="0" w:evenHBand="0" w:firstRowFirstColumn="0" w:firstRowLastColumn="0" w:lastRowFirstColumn="0" w:lastRowLastColumn="0"/>
            <w:tcW w:w="671" w:type="pct"/>
          </w:tcPr>
          <w:p w14:paraId="202A3ED5" w14:textId="77777777" w:rsidR="00611072" w:rsidRPr="00F45F11" w:rsidRDefault="00611072" w:rsidP="00693924">
            <w:pPr>
              <w:pStyle w:val="ARtabletextright"/>
              <w:rPr>
                <w:rFonts w:eastAsia="Times"/>
              </w:rPr>
            </w:pPr>
            <w:r w:rsidRPr="00F45F11">
              <w:rPr>
                <w:rFonts w:eastAsia="Times"/>
              </w:rPr>
              <w:t>394</w:t>
            </w:r>
          </w:p>
        </w:tc>
        <w:tc>
          <w:tcPr>
            <w:tcW w:w="671" w:type="pct"/>
          </w:tcPr>
          <w:p w14:paraId="0FB9351E"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97</w:t>
            </w:r>
          </w:p>
        </w:tc>
      </w:tr>
      <w:tr w:rsidR="00611072" w:rsidRPr="00F45F11" w14:paraId="67495CAF" w14:textId="77777777" w:rsidTr="00693924">
        <w:tc>
          <w:tcPr>
            <w:tcW w:w="667" w:type="pct"/>
            <w:vMerge w:val="restart"/>
          </w:tcPr>
          <w:p w14:paraId="1E7CEE19" w14:textId="77777777" w:rsidR="00611072" w:rsidRPr="00F45F11" w:rsidRDefault="00611072" w:rsidP="00693924">
            <w:pPr>
              <w:pStyle w:val="ARTabletext"/>
              <w:rPr>
                <w:rFonts w:eastAsia="Times"/>
              </w:rPr>
            </w:pPr>
            <w:r w:rsidRPr="00F45F11">
              <w:rPr>
                <w:rFonts w:eastAsia="Times"/>
              </w:rPr>
              <w:t>Claims</w:t>
            </w:r>
          </w:p>
        </w:tc>
        <w:tc>
          <w:tcPr>
            <w:cnfStyle w:val="000001000000" w:firstRow="0" w:lastRow="0" w:firstColumn="0" w:lastColumn="0" w:oddVBand="0" w:evenVBand="1" w:oddHBand="0" w:evenHBand="0" w:firstRowFirstColumn="0" w:firstRowLastColumn="0" w:lastRowFirstColumn="0" w:lastRowLastColumn="0"/>
            <w:tcW w:w="2320" w:type="pct"/>
            <w:tcMar>
              <w:left w:w="113" w:type="dxa"/>
            </w:tcMar>
          </w:tcPr>
          <w:p w14:paraId="39C707E1" w14:textId="29261199" w:rsidR="00611072" w:rsidRPr="00F45F11" w:rsidRDefault="00611072" w:rsidP="00693924">
            <w:pPr>
              <w:pStyle w:val="ARTabletext"/>
              <w:rPr>
                <w:rFonts w:eastAsia="Times"/>
              </w:rPr>
            </w:pPr>
            <w:r w:rsidRPr="00F45F11">
              <w:rPr>
                <w:rFonts w:eastAsia="Times"/>
              </w:rPr>
              <w:t>Number of standard claims</w:t>
            </w:r>
            <w:r w:rsidRPr="00F45F11">
              <w:rPr>
                <w:rFonts w:eastAsia="Times"/>
                <w:vertAlign w:val="superscript"/>
              </w:rPr>
              <w:footnoteReference w:id="10"/>
            </w:r>
          </w:p>
        </w:tc>
        <w:tc>
          <w:tcPr>
            <w:tcW w:w="671" w:type="pct"/>
          </w:tcPr>
          <w:p w14:paraId="23861191"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92</w:t>
            </w:r>
          </w:p>
        </w:tc>
        <w:tc>
          <w:tcPr>
            <w:cnfStyle w:val="000001000000" w:firstRow="0" w:lastRow="0" w:firstColumn="0" w:lastColumn="0" w:oddVBand="0" w:evenVBand="1" w:oddHBand="0" w:evenHBand="0" w:firstRowFirstColumn="0" w:firstRowLastColumn="0" w:lastRowFirstColumn="0" w:lastRowLastColumn="0"/>
            <w:tcW w:w="671" w:type="pct"/>
          </w:tcPr>
          <w:p w14:paraId="695C9E72" w14:textId="77777777" w:rsidR="00611072" w:rsidRPr="00F45F11" w:rsidRDefault="00611072" w:rsidP="00693924">
            <w:pPr>
              <w:pStyle w:val="ARtabletextright"/>
              <w:rPr>
                <w:rFonts w:eastAsia="Times"/>
              </w:rPr>
            </w:pPr>
            <w:r w:rsidRPr="00F45F11">
              <w:rPr>
                <w:rFonts w:eastAsia="Times"/>
              </w:rPr>
              <w:t>91</w:t>
            </w:r>
          </w:p>
        </w:tc>
        <w:tc>
          <w:tcPr>
            <w:tcW w:w="671" w:type="pct"/>
          </w:tcPr>
          <w:p w14:paraId="21377327"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77</w:t>
            </w:r>
          </w:p>
        </w:tc>
      </w:tr>
      <w:tr w:rsidR="00611072" w:rsidRPr="00F45F11" w14:paraId="2DB7BF0F" w14:textId="77777777" w:rsidTr="00693924">
        <w:tc>
          <w:tcPr>
            <w:tcW w:w="667" w:type="pct"/>
            <w:vMerge/>
          </w:tcPr>
          <w:p w14:paraId="0475844A" w14:textId="77777777" w:rsidR="00611072" w:rsidRPr="00F45F11" w:rsidRDefault="00611072" w:rsidP="00693924">
            <w:pPr>
              <w:pStyle w:val="ARTabletext"/>
              <w:rPr>
                <w:rFonts w:eastAsia="Times"/>
              </w:rPr>
            </w:pPr>
          </w:p>
        </w:tc>
        <w:tc>
          <w:tcPr>
            <w:cnfStyle w:val="000001000000" w:firstRow="0" w:lastRow="0" w:firstColumn="0" w:lastColumn="0" w:oddVBand="0" w:evenVBand="1" w:oddHBand="0" w:evenHBand="0" w:firstRowFirstColumn="0" w:firstRowLastColumn="0" w:lastRowFirstColumn="0" w:lastRowLastColumn="0"/>
            <w:tcW w:w="2320" w:type="pct"/>
            <w:tcMar>
              <w:left w:w="113" w:type="dxa"/>
            </w:tcMar>
          </w:tcPr>
          <w:p w14:paraId="2B60AEC6" w14:textId="77777777" w:rsidR="00611072" w:rsidRPr="00F45F11" w:rsidRDefault="00611072" w:rsidP="00693924">
            <w:pPr>
              <w:pStyle w:val="ARTabletext"/>
              <w:rPr>
                <w:rFonts w:eastAsia="Times"/>
              </w:rPr>
            </w:pPr>
            <w:r w:rsidRPr="00F45F11">
              <w:rPr>
                <w:rFonts w:eastAsia="Times"/>
              </w:rPr>
              <w:t>Rate per 100 FTE</w:t>
            </w:r>
          </w:p>
        </w:tc>
        <w:tc>
          <w:tcPr>
            <w:tcW w:w="671" w:type="pct"/>
          </w:tcPr>
          <w:p w14:paraId="371DBBFF"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1.38</w:t>
            </w:r>
          </w:p>
        </w:tc>
        <w:tc>
          <w:tcPr>
            <w:cnfStyle w:val="000001000000" w:firstRow="0" w:lastRow="0" w:firstColumn="0" w:lastColumn="0" w:oddVBand="0" w:evenVBand="1" w:oddHBand="0" w:evenHBand="0" w:firstRowFirstColumn="0" w:firstRowLastColumn="0" w:lastRowFirstColumn="0" w:lastRowLastColumn="0"/>
            <w:tcW w:w="671" w:type="pct"/>
          </w:tcPr>
          <w:p w14:paraId="0AC1E5DB" w14:textId="77777777" w:rsidR="00611072" w:rsidRPr="00F45F11" w:rsidRDefault="00611072" w:rsidP="00693924">
            <w:pPr>
              <w:pStyle w:val="ARtabletextright"/>
              <w:rPr>
                <w:rFonts w:eastAsia="Times"/>
              </w:rPr>
            </w:pPr>
            <w:r w:rsidRPr="00F45F11">
              <w:rPr>
                <w:rFonts w:eastAsia="Times"/>
              </w:rPr>
              <w:t>1.36</w:t>
            </w:r>
          </w:p>
        </w:tc>
        <w:tc>
          <w:tcPr>
            <w:tcW w:w="671" w:type="pct"/>
          </w:tcPr>
          <w:p w14:paraId="4B9BA939"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1.12</w:t>
            </w:r>
          </w:p>
        </w:tc>
      </w:tr>
      <w:tr w:rsidR="00611072" w:rsidRPr="00F45F11" w14:paraId="7036B17E" w14:textId="77777777" w:rsidTr="00693924">
        <w:tc>
          <w:tcPr>
            <w:tcW w:w="667" w:type="pct"/>
            <w:vMerge/>
          </w:tcPr>
          <w:p w14:paraId="7D2963A2" w14:textId="77777777" w:rsidR="00611072" w:rsidRPr="00F45F11" w:rsidRDefault="00611072" w:rsidP="00693924">
            <w:pPr>
              <w:pStyle w:val="ARTabletext"/>
              <w:rPr>
                <w:rFonts w:eastAsia="Times"/>
              </w:rPr>
            </w:pPr>
          </w:p>
        </w:tc>
        <w:tc>
          <w:tcPr>
            <w:cnfStyle w:val="000001000000" w:firstRow="0" w:lastRow="0" w:firstColumn="0" w:lastColumn="0" w:oddVBand="0" w:evenVBand="1" w:oddHBand="0" w:evenHBand="0" w:firstRowFirstColumn="0" w:firstRowLastColumn="0" w:lastRowFirstColumn="0" w:lastRowLastColumn="0"/>
            <w:tcW w:w="2320" w:type="pct"/>
            <w:tcMar>
              <w:left w:w="113" w:type="dxa"/>
            </w:tcMar>
          </w:tcPr>
          <w:p w14:paraId="37E03F1B" w14:textId="77777777" w:rsidR="00611072" w:rsidRPr="00F45F11" w:rsidRDefault="00611072" w:rsidP="00693924">
            <w:pPr>
              <w:pStyle w:val="ARTabletext"/>
              <w:rPr>
                <w:rFonts w:eastAsia="Times"/>
              </w:rPr>
            </w:pPr>
            <w:r w:rsidRPr="00F45F11">
              <w:rPr>
                <w:rFonts w:eastAsia="Times"/>
              </w:rPr>
              <w:t>Number of lost time claims</w:t>
            </w:r>
          </w:p>
        </w:tc>
        <w:tc>
          <w:tcPr>
            <w:tcW w:w="671" w:type="pct"/>
          </w:tcPr>
          <w:p w14:paraId="30E1AF06"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52</w:t>
            </w:r>
          </w:p>
        </w:tc>
        <w:tc>
          <w:tcPr>
            <w:cnfStyle w:val="000001000000" w:firstRow="0" w:lastRow="0" w:firstColumn="0" w:lastColumn="0" w:oddVBand="0" w:evenVBand="1" w:oddHBand="0" w:evenHBand="0" w:firstRowFirstColumn="0" w:firstRowLastColumn="0" w:lastRowFirstColumn="0" w:lastRowLastColumn="0"/>
            <w:tcW w:w="671" w:type="pct"/>
          </w:tcPr>
          <w:p w14:paraId="5D044634" w14:textId="77777777" w:rsidR="00611072" w:rsidRPr="00F45F11" w:rsidRDefault="00611072" w:rsidP="00693924">
            <w:pPr>
              <w:pStyle w:val="ARtabletextright"/>
              <w:rPr>
                <w:rFonts w:eastAsia="Times"/>
              </w:rPr>
            </w:pPr>
            <w:r w:rsidRPr="00F45F11">
              <w:rPr>
                <w:rFonts w:eastAsia="Times"/>
              </w:rPr>
              <w:t>39</w:t>
            </w:r>
          </w:p>
        </w:tc>
        <w:tc>
          <w:tcPr>
            <w:tcW w:w="671" w:type="pct"/>
          </w:tcPr>
          <w:p w14:paraId="08062E9B"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29</w:t>
            </w:r>
          </w:p>
        </w:tc>
      </w:tr>
      <w:tr w:rsidR="00611072" w:rsidRPr="00F45F11" w14:paraId="4F6BDAB6" w14:textId="77777777" w:rsidTr="00693924">
        <w:tc>
          <w:tcPr>
            <w:tcW w:w="667" w:type="pct"/>
            <w:vMerge/>
          </w:tcPr>
          <w:p w14:paraId="7D443005" w14:textId="77777777" w:rsidR="00611072" w:rsidRPr="00F45F11" w:rsidRDefault="00611072" w:rsidP="00693924">
            <w:pPr>
              <w:pStyle w:val="ARTabletext"/>
              <w:rPr>
                <w:rFonts w:eastAsia="Times"/>
              </w:rPr>
            </w:pPr>
          </w:p>
        </w:tc>
        <w:tc>
          <w:tcPr>
            <w:cnfStyle w:val="000001000000" w:firstRow="0" w:lastRow="0" w:firstColumn="0" w:lastColumn="0" w:oddVBand="0" w:evenVBand="1" w:oddHBand="0" w:evenHBand="0" w:firstRowFirstColumn="0" w:firstRowLastColumn="0" w:lastRowFirstColumn="0" w:lastRowLastColumn="0"/>
            <w:tcW w:w="2320" w:type="pct"/>
            <w:tcMar>
              <w:left w:w="113" w:type="dxa"/>
            </w:tcMar>
          </w:tcPr>
          <w:p w14:paraId="3BF33CC2" w14:textId="77777777" w:rsidR="00611072" w:rsidRPr="00F45F11" w:rsidRDefault="00611072" w:rsidP="00693924">
            <w:pPr>
              <w:pStyle w:val="ARTabletext"/>
              <w:rPr>
                <w:rFonts w:eastAsia="Times"/>
              </w:rPr>
            </w:pPr>
            <w:r w:rsidRPr="00F45F11">
              <w:rPr>
                <w:rFonts w:eastAsia="Times"/>
              </w:rPr>
              <w:t>Rate per 100 FTE</w:t>
            </w:r>
          </w:p>
        </w:tc>
        <w:tc>
          <w:tcPr>
            <w:tcW w:w="671" w:type="pct"/>
          </w:tcPr>
          <w:p w14:paraId="7D6EAB93"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0.78</w:t>
            </w:r>
          </w:p>
        </w:tc>
        <w:tc>
          <w:tcPr>
            <w:cnfStyle w:val="000001000000" w:firstRow="0" w:lastRow="0" w:firstColumn="0" w:lastColumn="0" w:oddVBand="0" w:evenVBand="1" w:oddHBand="0" w:evenHBand="0" w:firstRowFirstColumn="0" w:firstRowLastColumn="0" w:lastRowFirstColumn="0" w:lastRowLastColumn="0"/>
            <w:tcW w:w="671" w:type="pct"/>
          </w:tcPr>
          <w:p w14:paraId="19B92316" w14:textId="77777777" w:rsidR="00611072" w:rsidRPr="00F45F11" w:rsidRDefault="00611072" w:rsidP="00693924">
            <w:pPr>
              <w:pStyle w:val="ARtabletextright"/>
              <w:rPr>
                <w:rFonts w:eastAsia="Times"/>
              </w:rPr>
            </w:pPr>
            <w:r w:rsidRPr="00F45F11">
              <w:rPr>
                <w:rFonts w:eastAsia="Times"/>
              </w:rPr>
              <w:t>0.58</w:t>
            </w:r>
          </w:p>
        </w:tc>
        <w:tc>
          <w:tcPr>
            <w:tcW w:w="671" w:type="pct"/>
          </w:tcPr>
          <w:p w14:paraId="6E83C00E"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0.42</w:t>
            </w:r>
          </w:p>
        </w:tc>
      </w:tr>
      <w:tr w:rsidR="00611072" w:rsidRPr="00F45F11" w14:paraId="2348C9A1" w14:textId="77777777" w:rsidTr="00693924">
        <w:tc>
          <w:tcPr>
            <w:tcW w:w="667" w:type="pct"/>
            <w:vMerge/>
          </w:tcPr>
          <w:p w14:paraId="77B25B3F" w14:textId="77777777" w:rsidR="00611072" w:rsidRPr="00F45F11" w:rsidRDefault="00611072" w:rsidP="00693924">
            <w:pPr>
              <w:pStyle w:val="ARTabletext"/>
              <w:rPr>
                <w:rFonts w:eastAsia="Times"/>
              </w:rPr>
            </w:pPr>
          </w:p>
        </w:tc>
        <w:tc>
          <w:tcPr>
            <w:cnfStyle w:val="000001000000" w:firstRow="0" w:lastRow="0" w:firstColumn="0" w:lastColumn="0" w:oddVBand="0" w:evenVBand="1" w:oddHBand="0" w:evenHBand="0" w:firstRowFirstColumn="0" w:firstRowLastColumn="0" w:lastRowFirstColumn="0" w:lastRowLastColumn="0"/>
            <w:tcW w:w="2320" w:type="pct"/>
            <w:tcMar>
              <w:left w:w="113" w:type="dxa"/>
            </w:tcMar>
          </w:tcPr>
          <w:p w14:paraId="106365A5" w14:textId="347DDB65" w:rsidR="00611072" w:rsidRPr="00F45F11" w:rsidRDefault="00611072" w:rsidP="00693924">
            <w:pPr>
              <w:pStyle w:val="ARTabletext"/>
              <w:rPr>
                <w:rFonts w:eastAsia="Times"/>
              </w:rPr>
            </w:pPr>
            <w:r w:rsidRPr="00F45F11">
              <w:rPr>
                <w:rFonts w:eastAsia="Times"/>
              </w:rPr>
              <w:t>Number of claims exceeding 13 weeks</w:t>
            </w:r>
            <w:r w:rsidRPr="00F45F11">
              <w:rPr>
                <w:rFonts w:eastAsia="Times"/>
                <w:vertAlign w:val="superscript"/>
              </w:rPr>
              <w:footnoteReference w:id="11"/>
            </w:r>
          </w:p>
        </w:tc>
        <w:tc>
          <w:tcPr>
            <w:tcW w:w="671" w:type="pct"/>
          </w:tcPr>
          <w:p w14:paraId="503F11D4"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43</w:t>
            </w:r>
          </w:p>
        </w:tc>
        <w:tc>
          <w:tcPr>
            <w:cnfStyle w:val="000001000000" w:firstRow="0" w:lastRow="0" w:firstColumn="0" w:lastColumn="0" w:oddVBand="0" w:evenVBand="1" w:oddHBand="0" w:evenHBand="0" w:firstRowFirstColumn="0" w:firstRowLastColumn="0" w:lastRowFirstColumn="0" w:lastRowLastColumn="0"/>
            <w:tcW w:w="671" w:type="pct"/>
          </w:tcPr>
          <w:p w14:paraId="1E9BD646" w14:textId="77777777" w:rsidR="00611072" w:rsidRPr="00F45F11" w:rsidRDefault="00611072" w:rsidP="00693924">
            <w:pPr>
              <w:pStyle w:val="ARtabletextright"/>
              <w:rPr>
                <w:rFonts w:eastAsia="Times"/>
              </w:rPr>
            </w:pPr>
            <w:r w:rsidRPr="00F45F11">
              <w:rPr>
                <w:rFonts w:eastAsia="Times"/>
              </w:rPr>
              <w:t>38</w:t>
            </w:r>
          </w:p>
        </w:tc>
        <w:tc>
          <w:tcPr>
            <w:tcW w:w="671" w:type="pct"/>
          </w:tcPr>
          <w:p w14:paraId="5B77F041"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33</w:t>
            </w:r>
          </w:p>
        </w:tc>
      </w:tr>
      <w:tr w:rsidR="00611072" w:rsidRPr="00F45F11" w14:paraId="409A8721" w14:textId="77777777" w:rsidTr="00693924">
        <w:tc>
          <w:tcPr>
            <w:tcW w:w="667" w:type="pct"/>
            <w:vMerge/>
          </w:tcPr>
          <w:p w14:paraId="3A6BDB10" w14:textId="77777777" w:rsidR="00611072" w:rsidRPr="00F45F11" w:rsidRDefault="00611072" w:rsidP="00693924">
            <w:pPr>
              <w:pStyle w:val="ARTabletext"/>
              <w:rPr>
                <w:rFonts w:eastAsia="Times"/>
              </w:rPr>
            </w:pPr>
          </w:p>
        </w:tc>
        <w:tc>
          <w:tcPr>
            <w:cnfStyle w:val="000001000000" w:firstRow="0" w:lastRow="0" w:firstColumn="0" w:lastColumn="0" w:oddVBand="0" w:evenVBand="1" w:oddHBand="0" w:evenHBand="0" w:firstRowFirstColumn="0" w:firstRowLastColumn="0" w:lastRowFirstColumn="0" w:lastRowLastColumn="0"/>
            <w:tcW w:w="2320" w:type="pct"/>
            <w:tcMar>
              <w:left w:w="113" w:type="dxa"/>
            </w:tcMar>
          </w:tcPr>
          <w:p w14:paraId="56BFC9C8" w14:textId="77777777" w:rsidR="00611072" w:rsidRPr="00F45F11" w:rsidRDefault="00611072" w:rsidP="00693924">
            <w:pPr>
              <w:pStyle w:val="ARTabletext"/>
              <w:rPr>
                <w:rFonts w:eastAsia="Times"/>
              </w:rPr>
            </w:pPr>
            <w:r w:rsidRPr="00F45F11">
              <w:rPr>
                <w:rFonts w:eastAsia="Times"/>
              </w:rPr>
              <w:t>Rate per 100 FTE</w:t>
            </w:r>
          </w:p>
        </w:tc>
        <w:tc>
          <w:tcPr>
            <w:tcW w:w="671" w:type="pct"/>
          </w:tcPr>
          <w:p w14:paraId="16ACD6C0"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0.64</w:t>
            </w:r>
          </w:p>
        </w:tc>
        <w:tc>
          <w:tcPr>
            <w:cnfStyle w:val="000001000000" w:firstRow="0" w:lastRow="0" w:firstColumn="0" w:lastColumn="0" w:oddVBand="0" w:evenVBand="1" w:oddHBand="0" w:evenHBand="0" w:firstRowFirstColumn="0" w:firstRowLastColumn="0" w:lastRowFirstColumn="0" w:lastRowLastColumn="0"/>
            <w:tcW w:w="671" w:type="pct"/>
          </w:tcPr>
          <w:p w14:paraId="7FB73619" w14:textId="77777777" w:rsidR="00611072" w:rsidRPr="00F45F11" w:rsidRDefault="00611072" w:rsidP="00693924">
            <w:pPr>
              <w:pStyle w:val="ARtabletextright"/>
              <w:rPr>
                <w:rFonts w:eastAsia="Times"/>
              </w:rPr>
            </w:pPr>
            <w:r w:rsidRPr="00F45F11">
              <w:rPr>
                <w:rFonts w:eastAsia="Times"/>
              </w:rPr>
              <w:t>0.57</w:t>
            </w:r>
          </w:p>
        </w:tc>
        <w:tc>
          <w:tcPr>
            <w:tcW w:w="671" w:type="pct"/>
          </w:tcPr>
          <w:p w14:paraId="32A35FAF"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0.48</w:t>
            </w:r>
          </w:p>
        </w:tc>
      </w:tr>
      <w:tr w:rsidR="00611072" w:rsidRPr="00F45F11" w14:paraId="5C1BB585" w14:textId="77777777" w:rsidTr="00693924">
        <w:tc>
          <w:tcPr>
            <w:tcW w:w="667" w:type="pct"/>
            <w:vMerge w:val="restart"/>
          </w:tcPr>
          <w:p w14:paraId="033ECC91" w14:textId="3AC821F8" w:rsidR="00611072" w:rsidRPr="00F45F11" w:rsidRDefault="00611072" w:rsidP="00693924">
            <w:pPr>
              <w:pStyle w:val="ARTabletext"/>
              <w:rPr>
                <w:rFonts w:eastAsia="Times"/>
              </w:rPr>
            </w:pPr>
            <w:r w:rsidRPr="00F45F11">
              <w:rPr>
                <w:rFonts w:eastAsia="Times"/>
              </w:rPr>
              <w:t>Absenteeism</w:t>
            </w:r>
            <w:r w:rsidRPr="00F45F11">
              <w:rPr>
                <w:rFonts w:eastAsia="Times"/>
                <w:vertAlign w:val="superscript"/>
              </w:rPr>
              <w:footnoteReference w:id="12"/>
            </w:r>
          </w:p>
        </w:tc>
        <w:tc>
          <w:tcPr>
            <w:cnfStyle w:val="000001000000" w:firstRow="0" w:lastRow="0" w:firstColumn="0" w:lastColumn="0" w:oddVBand="0" w:evenVBand="1" w:oddHBand="0" w:evenHBand="0" w:firstRowFirstColumn="0" w:firstRowLastColumn="0" w:lastRowFirstColumn="0" w:lastRowLastColumn="0"/>
            <w:tcW w:w="2320" w:type="pct"/>
            <w:tcMar>
              <w:left w:w="113" w:type="dxa"/>
            </w:tcMar>
          </w:tcPr>
          <w:p w14:paraId="1B3A8668" w14:textId="77777777" w:rsidR="00611072" w:rsidRPr="00F45F11" w:rsidRDefault="00611072" w:rsidP="00693924">
            <w:pPr>
              <w:pStyle w:val="ARTabletext"/>
              <w:rPr>
                <w:rFonts w:eastAsia="Times"/>
              </w:rPr>
            </w:pPr>
            <w:r w:rsidRPr="00F45F11">
              <w:rPr>
                <w:rFonts w:eastAsia="Times"/>
              </w:rPr>
              <w:t>Total number of days absence due to injury or illness</w:t>
            </w:r>
          </w:p>
        </w:tc>
        <w:tc>
          <w:tcPr>
            <w:tcW w:w="671" w:type="pct"/>
          </w:tcPr>
          <w:p w14:paraId="2F43124F"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59,524.87</w:t>
            </w:r>
          </w:p>
        </w:tc>
        <w:tc>
          <w:tcPr>
            <w:cnfStyle w:val="000001000000" w:firstRow="0" w:lastRow="0" w:firstColumn="0" w:lastColumn="0" w:oddVBand="0" w:evenVBand="1" w:oddHBand="0" w:evenHBand="0" w:firstRowFirstColumn="0" w:firstRowLastColumn="0" w:lastRowFirstColumn="0" w:lastRowLastColumn="0"/>
            <w:tcW w:w="671" w:type="pct"/>
          </w:tcPr>
          <w:p w14:paraId="3B2238F7" w14:textId="77777777" w:rsidR="00611072" w:rsidRPr="00F45F11" w:rsidRDefault="00611072" w:rsidP="00693924">
            <w:pPr>
              <w:pStyle w:val="ARtabletextright"/>
              <w:rPr>
                <w:rFonts w:eastAsia="Times"/>
              </w:rPr>
            </w:pPr>
            <w:r w:rsidRPr="00F45F11">
              <w:rPr>
                <w:rFonts w:eastAsia="Times"/>
              </w:rPr>
              <w:t>69,778</w:t>
            </w:r>
          </w:p>
        </w:tc>
        <w:tc>
          <w:tcPr>
            <w:tcW w:w="671" w:type="pct"/>
          </w:tcPr>
          <w:p w14:paraId="2AF03486"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67,121</w:t>
            </w:r>
          </w:p>
        </w:tc>
      </w:tr>
      <w:tr w:rsidR="00611072" w:rsidRPr="00F45F11" w14:paraId="10512B76" w14:textId="77777777" w:rsidTr="00693924">
        <w:tc>
          <w:tcPr>
            <w:tcW w:w="667" w:type="pct"/>
            <w:vMerge/>
          </w:tcPr>
          <w:p w14:paraId="2E0F9C0A" w14:textId="77777777" w:rsidR="00611072" w:rsidRPr="00F45F11" w:rsidRDefault="00611072" w:rsidP="00693924">
            <w:pPr>
              <w:pStyle w:val="ARTabletext"/>
              <w:rPr>
                <w:rFonts w:eastAsia="Times"/>
              </w:rPr>
            </w:pPr>
          </w:p>
        </w:tc>
        <w:tc>
          <w:tcPr>
            <w:cnfStyle w:val="000001000000" w:firstRow="0" w:lastRow="0" w:firstColumn="0" w:lastColumn="0" w:oddVBand="0" w:evenVBand="1" w:oddHBand="0" w:evenHBand="0" w:firstRowFirstColumn="0" w:firstRowLastColumn="0" w:lastRowFirstColumn="0" w:lastRowLastColumn="0"/>
            <w:tcW w:w="2320" w:type="pct"/>
            <w:tcMar>
              <w:left w:w="113" w:type="dxa"/>
            </w:tcMar>
          </w:tcPr>
          <w:p w14:paraId="27E1F49D" w14:textId="77777777" w:rsidR="00611072" w:rsidRPr="00F45F11" w:rsidRDefault="00611072" w:rsidP="00693924">
            <w:pPr>
              <w:pStyle w:val="ARTabletext"/>
              <w:rPr>
                <w:rFonts w:eastAsia="Times"/>
              </w:rPr>
            </w:pPr>
            <w:r w:rsidRPr="00F45F11">
              <w:rPr>
                <w:rFonts w:eastAsia="Times"/>
              </w:rPr>
              <w:t>Rate per 100 FTE</w:t>
            </w:r>
          </w:p>
        </w:tc>
        <w:tc>
          <w:tcPr>
            <w:tcW w:w="671" w:type="pct"/>
          </w:tcPr>
          <w:p w14:paraId="227201BB"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892.03</w:t>
            </w:r>
          </w:p>
        </w:tc>
        <w:tc>
          <w:tcPr>
            <w:cnfStyle w:val="000001000000" w:firstRow="0" w:lastRow="0" w:firstColumn="0" w:lastColumn="0" w:oddVBand="0" w:evenVBand="1" w:oddHBand="0" w:evenHBand="0" w:firstRowFirstColumn="0" w:firstRowLastColumn="0" w:lastRowFirstColumn="0" w:lastRowLastColumn="0"/>
            <w:tcW w:w="671" w:type="pct"/>
          </w:tcPr>
          <w:p w14:paraId="0AB91C7B" w14:textId="77777777" w:rsidR="00611072" w:rsidRPr="00F45F11" w:rsidRDefault="00611072" w:rsidP="00693924">
            <w:pPr>
              <w:pStyle w:val="ARtabletextright"/>
              <w:rPr>
                <w:rFonts w:eastAsia="Times"/>
              </w:rPr>
            </w:pPr>
            <w:r w:rsidRPr="00F45F11">
              <w:rPr>
                <w:rFonts w:eastAsia="Times"/>
              </w:rPr>
              <w:t>1,039.91</w:t>
            </w:r>
          </w:p>
        </w:tc>
        <w:tc>
          <w:tcPr>
            <w:tcW w:w="671" w:type="pct"/>
          </w:tcPr>
          <w:p w14:paraId="7A866156"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979.87</w:t>
            </w:r>
          </w:p>
        </w:tc>
      </w:tr>
      <w:tr w:rsidR="00611072" w:rsidRPr="00F45F11" w14:paraId="1F0CAFE6" w14:textId="77777777" w:rsidTr="00693924">
        <w:tc>
          <w:tcPr>
            <w:tcW w:w="667" w:type="pct"/>
          </w:tcPr>
          <w:p w14:paraId="14FD143A" w14:textId="77777777" w:rsidR="00611072" w:rsidRPr="00F45F11" w:rsidRDefault="00611072" w:rsidP="00693924">
            <w:pPr>
              <w:pStyle w:val="ARTabletext"/>
              <w:rPr>
                <w:rFonts w:eastAsia="Times"/>
              </w:rPr>
            </w:pPr>
            <w:r w:rsidRPr="00F45F11">
              <w:rPr>
                <w:rFonts w:eastAsia="Times"/>
              </w:rPr>
              <w:t>Fatalities</w:t>
            </w:r>
          </w:p>
        </w:tc>
        <w:tc>
          <w:tcPr>
            <w:cnfStyle w:val="000001000000" w:firstRow="0" w:lastRow="0" w:firstColumn="0" w:lastColumn="0" w:oddVBand="0" w:evenVBand="1" w:oddHBand="0" w:evenHBand="0" w:firstRowFirstColumn="0" w:firstRowLastColumn="0" w:lastRowFirstColumn="0" w:lastRowLastColumn="0"/>
            <w:tcW w:w="2320" w:type="pct"/>
            <w:tcMar>
              <w:left w:w="113" w:type="dxa"/>
            </w:tcMar>
          </w:tcPr>
          <w:p w14:paraId="4BFDBE0D" w14:textId="77777777" w:rsidR="00611072" w:rsidRPr="00F45F11" w:rsidRDefault="00611072" w:rsidP="00693924">
            <w:pPr>
              <w:pStyle w:val="ARTabletext"/>
              <w:rPr>
                <w:rFonts w:eastAsia="Times"/>
              </w:rPr>
            </w:pPr>
            <w:r w:rsidRPr="00F45F11">
              <w:rPr>
                <w:rFonts w:eastAsia="Times"/>
              </w:rPr>
              <w:t>Number of fatalities</w:t>
            </w:r>
          </w:p>
        </w:tc>
        <w:tc>
          <w:tcPr>
            <w:tcW w:w="671" w:type="pct"/>
          </w:tcPr>
          <w:p w14:paraId="6070CF6A"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0</w:t>
            </w:r>
          </w:p>
        </w:tc>
        <w:tc>
          <w:tcPr>
            <w:cnfStyle w:val="000001000000" w:firstRow="0" w:lastRow="0" w:firstColumn="0" w:lastColumn="0" w:oddVBand="0" w:evenVBand="1" w:oddHBand="0" w:evenHBand="0" w:firstRowFirstColumn="0" w:firstRowLastColumn="0" w:lastRowFirstColumn="0" w:lastRowLastColumn="0"/>
            <w:tcW w:w="671" w:type="pct"/>
          </w:tcPr>
          <w:p w14:paraId="62D1F56A" w14:textId="77777777" w:rsidR="00611072" w:rsidRPr="00F45F11" w:rsidRDefault="00611072" w:rsidP="00693924">
            <w:pPr>
              <w:pStyle w:val="ARtabletextright"/>
              <w:rPr>
                <w:rFonts w:eastAsia="Times"/>
              </w:rPr>
            </w:pPr>
            <w:r w:rsidRPr="00F45F11">
              <w:rPr>
                <w:rFonts w:eastAsia="Times"/>
              </w:rPr>
              <w:t>0</w:t>
            </w:r>
          </w:p>
        </w:tc>
        <w:tc>
          <w:tcPr>
            <w:tcW w:w="671" w:type="pct"/>
          </w:tcPr>
          <w:p w14:paraId="2BC0D088"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0</w:t>
            </w:r>
          </w:p>
        </w:tc>
      </w:tr>
      <w:tr w:rsidR="00611072" w:rsidRPr="00F45F11" w14:paraId="685B1905" w14:textId="77777777" w:rsidTr="00693924">
        <w:tc>
          <w:tcPr>
            <w:tcW w:w="667" w:type="pct"/>
          </w:tcPr>
          <w:p w14:paraId="44C4D0C3" w14:textId="77777777" w:rsidR="00611072" w:rsidRPr="00F45F11" w:rsidRDefault="00611072" w:rsidP="00693924">
            <w:pPr>
              <w:pStyle w:val="ARTabletext"/>
              <w:rPr>
                <w:rFonts w:eastAsia="Times"/>
              </w:rPr>
            </w:pPr>
            <w:r w:rsidRPr="00F45F11">
              <w:rPr>
                <w:rFonts w:eastAsia="Times"/>
              </w:rPr>
              <w:t>Prosecutions</w:t>
            </w:r>
          </w:p>
        </w:tc>
        <w:tc>
          <w:tcPr>
            <w:cnfStyle w:val="000001000000" w:firstRow="0" w:lastRow="0" w:firstColumn="0" w:lastColumn="0" w:oddVBand="0" w:evenVBand="1" w:oddHBand="0" w:evenHBand="0" w:firstRowFirstColumn="0" w:firstRowLastColumn="0" w:lastRowFirstColumn="0" w:lastRowLastColumn="0"/>
            <w:tcW w:w="2320" w:type="pct"/>
            <w:tcMar>
              <w:left w:w="113" w:type="dxa"/>
            </w:tcMar>
          </w:tcPr>
          <w:p w14:paraId="4D89AA3F" w14:textId="5B56901A" w:rsidR="00611072" w:rsidRPr="00F45F11" w:rsidRDefault="00611072" w:rsidP="00693924">
            <w:pPr>
              <w:pStyle w:val="ARTabletext"/>
              <w:rPr>
                <w:rFonts w:eastAsia="Times"/>
              </w:rPr>
            </w:pPr>
            <w:r w:rsidRPr="00F45F11">
              <w:rPr>
                <w:rFonts w:eastAsia="Times"/>
              </w:rPr>
              <w:t>Total number of prosecutions</w:t>
            </w:r>
            <w:r w:rsidRPr="00F45F11">
              <w:rPr>
                <w:rFonts w:eastAsia="Times"/>
                <w:vertAlign w:val="superscript"/>
              </w:rPr>
              <w:footnoteReference w:id="13"/>
            </w:r>
          </w:p>
        </w:tc>
        <w:tc>
          <w:tcPr>
            <w:tcW w:w="671" w:type="pct"/>
          </w:tcPr>
          <w:p w14:paraId="355511D2"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0</w:t>
            </w:r>
          </w:p>
        </w:tc>
        <w:tc>
          <w:tcPr>
            <w:cnfStyle w:val="000001000000" w:firstRow="0" w:lastRow="0" w:firstColumn="0" w:lastColumn="0" w:oddVBand="0" w:evenVBand="1" w:oddHBand="0" w:evenHBand="0" w:firstRowFirstColumn="0" w:firstRowLastColumn="0" w:lastRowFirstColumn="0" w:lastRowLastColumn="0"/>
            <w:tcW w:w="671" w:type="pct"/>
          </w:tcPr>
          <w:p w14:paraId="1B998473" w14:textId="77777777" w:rsidR="00611072" w:rsidRPr="00F45F11" w:rsidRDefault="00611072" w:rsidP="00693924">
            <w:pPr>
              <w:pStyle w:val="ARtabletextright"/>
              <w:rPr>
                <w:rFonts w:eastAsia="Times"/>
              </w:rPr>
            </w:pPr>
            <w:r w:rsidRPr="00F45F11">
              <w:rPr>
                <w:rFonts w:eastAsia="Times"/>
              </w:rPr>
              <w:t>0</w:t>
            </w:r>
          </w:p>
        </w:tc>
        <w:tc>
          <w:tcPr>
            <w:tcW w:w="671" w:type="pct"/>
          </w:tcPr>
          <w:p w14:paraId="6B7AFD7A"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0</w:t>
            </w:r>
          </w:p>
        </w:tc>
      </w:tr>
      <w:tr w:rsidR="00611072" w:rsidRPr="00F45F11" w14:paraId="40145753" w14:textId="77777777" w:rsidTr="00693924">
        <w:tc>
          <w:tcPr>
            <w:tcW w:w="667" w:type="pct"/>
            <w:tcBorders>
              <w:bottom w:val="single" w:sz="4" w:space="0" w:color="BFBFBF" w:themeColor="accent2"/>
            </w:tcBorders>
          </w:tcPr>
          <w:p w14:paraId="09DBBDA5" w14:textId="77777777" w:rsidR="00611072" w:rsidRPr="00F45F11" w:rsidRDefault="00611072" w:rsidP="00693924">
            <w:pPr>
              <w:pStyle w:val="ARTabletext"/>
              <w:rPr>
                <w:rFonts w:eastAsia="Times"/>
              </w:rPr>
            </w:pPr>
            <w:r w:rsidRPr="00F45F11">
              <w:rPr>
                <w:rFonts w:eastAsia="Times"/>
              </w:rPr>
              <w:t xml:space="preserve">Claims costs </w:t>
            </w:r>
          </w:p>
        </w:tc>
        <w:tc>
          <w:tcPr>
            <w:cnfStyle w:val="000001000000" w:firstRow="0" w:lastRow="0" w:firstColumn="0" w:lastColumn="0" w:oddVBand="0" w:evenVBand="1" w:oddHBand="0" w:evenHBand="0" w:firstRowFirstColumn="0" w:firstRowLastColumn="0" w:lastRowFirstColumn="0" w:lastRowLastColumn="0"/>
            <w:tcW w:w="2320" w:type="pct"/>
            <w:tcBorders>
              <w:bottom w:val="single" w:sz="4" w:space="0" w:color="BFBFBF" w:themeColor="accent2"/>
            </w:tcBorders>
            <w:tcMar>
              <w:left w:w="113" w:type="dxa"/>
            </w:tcMar>
          </w:tcPr>
          <w:p w14:paraId="4E071AD6" w14:textId="22E30A31" w:rsidR="00611072" w:rsidRPr="00F45F11" w:rsidRDefault="00611072" w:rsidP="00693924">
            <w:pPr>
              <w:pStyle w:val="ARTabletext"/>
              <w:rPr>
                <w:rFonts w:eastAsia="Times"/>
              </w:rPr>
            </w:pPr>
            <w:r w:rsidRPr="00F45F11">
              <w:rPr>
                <w:rFonts w:eastAsia="Times"/>
              </w:rPr>
              <w:t>Average cost per standard claim</w:t>
            </w:r>
            <w:r w:rsidRPr="00F45F11">
              <w:rPr>
                <w:rFonts w:eastAsia="Times"/>
                <w:vertAlign w:val="superscript"/>
              </w:rPr>
              <w:footnoteReference w:id="14"/>
            </w:r>
          </w:p>
        </w:tc>
        <w:tc>
          <w:tcPr>
            <w:tcW w:w="671" w:type="pct"/>
            <w:tcBorders>
              <w:bottom w:val="single" w:sz="4" w:space="0" w:color="BFBFBF" w:themeColor="accent2"/>
            </w:tcBorders>
          </w:tcPr>
          <w:p w14:paraId="019D70EB"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$178,851</w:t>
            </w:r>
          </w:p>
        </w:tc>
        <w:tc>
          <w:tcPr>
            <w:cnfStyle w:val="000001000000" w:firstRow="0" w:lastRow="0" w:firstColumn="0" w:lastColumn="0" w:oddVBand="0" w:evenVBand="1" w:oddHBand="0" w:evenHBand="0" w:firstRowFirstColumn="0" w:firstRowLastColumn="0" w:lastRowFirstColumn="0" w:lastRowLastColumn="0"/>
            <w:tcW w:w="671" w:type="pct"/>
            <w:tcBorders>
              <w:bottom w:val="single" w:sz="4" w:space="0" w:color="BFBFBF" w:themeColor="accent2"/>
            </w:tcBorders>
          </w:tcPr>
          <w:p w14:paraId="10018D70" w14:textId="77777777" w:rsidR="00611072" w:rsidRPr="00F45F11" w:rsidRDefault="00611072" w:rsidP="00693924">
            <w:pPr>
              <w:pStyle w:val="ARtabletextright"/>
              <w:rPr>
                <w:rFonts w:eastAsia="Times"/>
              </w:rPr>
            </w:pPr>
            <w:r w:rsidRPr="00F45F11">
              <w:rPr>
                <w:rFonts w:eastAsia="Times"/>
              </w:rPr>
              <w:t>$245,114</w:t>
            </w:r>
          </w:p>
        </w:tc>
        <w:tc>
          <w:tcPr>
            <w:tcW w:w="671" w:type="pct"/>
            <w:tcBorders>
              <w:bottom w:val="single" w:sz="4" w:space="0" w:color="BFBFBF" w:themeColor="accent2"/>
            </w:tcBorders>
          </w:tcPr>
          <w:p w14:paraId="269BBFA8"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$152,146</w:t>
            </w:r>
          </w:p>
        </w:tc>
      </w:tr>
      <w:tr w:rsidR="00611072" w:rsidRPr="00F45F11" w14:paraId="2BB89E5F" w14:textId="77777777" w:rsidTr="00693924">
        <w:tc>
          <w:tcPr>
            <w:tcW w:w="667" w:type="pct"/>
            <w:vMerge w:val="restart"/>
          </w:tcPr>
          <w:p w14:paraId="6766F1B1" w14:textId="77777777" w:rsidR="00611072" w:rsidRPr="00F45F11" w:rsidRDefault="00611072" w:rsidP="00693924">
            <w:pPr>
              <w:pStyle w:val="ARTabletext"/>
              <w:rPr>
                <w:rFonts w:eastAsia="Times"/>
              </w:rPr>
            </w:pPr>
            <w:r w:rsidRPr="00F45F11">
              <w:rPr>
                <w:rFonts w:eastAsia="Times"/>
              </w:rPr>
              <w:t>Consultation and participation</w:t>
            </w:r>
          </w:p>
        </w:tc>
        <w:tc>
          <w:tcPr>
            <w:cnfStyle w:val="000001000000" w:firstRow="0" w:lastRow="0" w:firstColumn="0" w:lastColumn="0" w:oddVBand="0" w:evenVBand="1" w:oddHBand="0" w:evenHBand="0" w:firstRowFirstColumn="0" w:firstRowLastColumn="0" w:lastRowFirstColumn="0" w:lastRowLastColumn="0"/>
            <w:tcW w:w="2320" w:type="pct"/>
            <w:tcMar>
              <w:left w:w="113" w:type="dxa"/>
            </w:tcMar>
          </w:tcPr>
          <w:p w14:paraId="7352F00F" w14:textId="77777777" w:rsidR="00611072" w:rsidRPr="00F45F11" w:rsidRDefault="00611072" w:rsidP="00693924">
            <w:pPr>
              <w:pStyle w:val="ARTabletext"/>
              <w:rPr>
                <w:rFonts w:eastAsia="Times"/>
              </w:rPr>
            </w:pPr>
            <w:r w:rsidRPr="00F45F11">
              <w:rPr>
                <w:rFonts w:eastAsia="Times"/>
              </w:rPr>
              <w:t xml:space="preserve">Number of People and Culture Committee meetings </w:t>
            </w:r>
          </w:p>
        </w:tc>
        <w:tc>
          <w:tcPr>
            <w:tcW w:w="671" w:type="pct"/>
          </w:tcPr>
          <w:p w14:paraId="4FD06AB5"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11</w:t>
            </w:r>
          </w:p>
        </w:tc>
        <w:tc>
          <w:tcPr>
            <w:cnfStyle w:val="000001000000" w:firstRow="0" w:lastRow="0" w:firstColumn="0" w:lastColumn="0" w:oddVBand="0" w:evenVBand="1" w:oddHBand="0" w:evenHBand="0" w:firstRowFirstColumn="0" w:firstRowLastColumn="0" w:lastRowFirstColumn="0" w:lastRowLastColumn="0"/>
            <w:tcW w:w="671" w:type="pct"/>
          </w:tcPr>
          <w:p w14:paraId="099A73F4" w14:textId="77777777" w:rsidR="00611072" w:rsidRPr="00F45F11" w:rsidRDefault="00611072" w:rsidP="00693924">
            <w:pPr>
              <w:pStyle w:val="ARtabletextright"/>
              <w:rPr>
                <w:rFonts w:eastAsia="Times"/>
              </w:rPr>
            </w:pPr>
            <w:r w:rsidRPr="00F45F11">
              <w:rPr>
                <w:rFonts w:eastAsia="Times"/>
              </w:rPr>
              <w:t>9</w:t>
            </w:r>
          </w:p>
        </w:tc>
        <w:tc>
          <w:tcPr>
            <w:tcW w:w="671" w:type="pct"/>
          </w:tcPr>
          <w:p w14:paraId="055F1516"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9</w:t>
            </w:r>
          </w:p>
        </w:tc>
      </w:tr>
      <w:tr w:rsidR="00611072" w:rsidRPr="00F45F11" w14:paraId="7B520F95" w14:textId="77777777" w:rsidTr="00693924">
        <w:trPr>
          <w:trHeight w:val="70"/>
        </w:trPr>
        <w:tc>
          <w:tcPr>
            <w:tcW w:w="667" w:type="pct"/>
            <w:vMerge/>
            <w:tcBorders>
              <w:bottom w:val="single" w:sz="4" w:space="0" w:color="201547" w:themeColor="text2"/>
            </w:tcBorders>
          </w:tcPr>
          <w:p w14:paraId="64A070E3" w14:textId="77777777" w:rsidR="00611072" w:rsidRPr="00F45F11" w:rsidRDefault="00611072" w:rsidP="00693924">
            <w:pPr>
              <w:pStyle w:val="ARTabletext"/>
              <w:rPr>
                <w:rFonts w:eastAsia="Times"/>
              </w:rPr>
            </w:pPr>
          </w:p>
        </w:tc>
        <w:tc>
          <w:tcPr>
            <w:cnfStyle w:val="000001000000" w:firstRow="0" w:lastRow="0" w:firstColumn="0" w:lastColumn="0" w:oddVBand="0" w:evenVBand="1" w:oddHBand="0" w:evenHBand="0" w:firstRowFirstColumn="0" w:firstRowLastColumn="0" w:lastRowFirstColumn="0" w:lastRowLastColumn="0"/>
            <w:tcW w:w="2320" w:type="pct"/>
            <w:tcBorders>
              <w:bottom w:val="single" w:sz="4" w:space="0" w:color="201547" w:themeColor="text2"/>
            </w:tcBorders>
            <w:tcMar>
              <w:left w:w="113" w:type="dxa"/>
            </w:tcMar>
          </w:tcPr>
          <w:p w14:paraId="7A178E27" w14:textId="77777777" w:rsidR="00611072" w:rsidRPr="00F45F11" w:rsidRDefault="00611072" w:rsidP="00693924">
            <w:pPr>
              <w:pStyle w:val="ARTabletext"/>
              <w:rPr>
                <w:rFonts w:eastAsia="Times"/>
              </w:rPr>
            </w:pPr>
            <w:r w:rsidRPr="00F45F11">
              <w:rPr>
                <w:rFonts w:eastAsia="Times"/>
              </w:rPr>
              <w:t>Number of quarterly divisional and area HSW committee meetings</w:t>
            </w:r>
          </w:p>
        </w:tc>
        <w:tc>
          <w:tcPr>
            <w:tcW w:w="671" w:type="pct"/>
            <w:tcBorders>
              <w:bottom w:val="single" w:sz="4" w:space="0" w:color="201547" w:themeColor="text2"/>
            </w:tcBorders>
          </w:tcPr>
          <w:p w14:paraId="74B55843"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111</w:t>
            </w:r>
          </w:p>
        </w:tc>
        <w:tc>
          <w:tcPr>
            <w:cnfStyle w:val="000001000000" w:firstRow="0" w:lastRow="0" w:firstColumn="0" w:lastColumn="0" w:oddVBand="0" w:evenVBand="1" w:oddHBand="0" w:evenHBand="0" w:firstRowFirstColumn="0" w:firstRowLastColumn="0" w:lastRowFirstColumn="0" w:lastRowLastColumn="0"/>
            <w:tcW w:w="671" w:type="pct"/>
            <w:tcBorders>
              <w:bottom w:val="single" w:sz="4" w:space="0" w:color="201547" w:themeColor="text2"/>
            </w:tcBorders>
          </w:tcPr>
          <w:p w14:paraId="6C080A55" w14:textId="77777777" w:rsidR="00611072" w:rsidRPr="00F45F11" w:rsidRDefault="00611072" w:rsidP="00693924">
            <w:pPr>
              <w:pStyle w:val="ARtabletextright"/>
              <w:rPr>
                <w:rFonts w:eastAsia="Times"/>
              </w:rPr>
            </w:pPr>
            <w:r w:rsidRPr="00F45F11">
              <w:rPr>
                <w:rFonts w:eastAsia="Times"/>
              </w:rPr>
              <w:t>114</w:t>
            </w:r>
          </w:p>
        </w:tc>
        <w:tc>
          <w:tcPr>
            <w:tcW w:w="671" w:type="pct"/>
            <w:tcBorders>
              <w:bottom w:val="single" w:sz="4" w:space="0" w:color="201547" w:themeColor="text2"/>
            </w:tcBorders>
          </w:tcPr>
          <w:p w14:paraId="0B8152CC" w14:textId="77777777" w:rsidR="00611072" w:rsidRPr="00F45F11" w:rsidRDefault="00611072" w:rsidP="00693924">
            <w:pPr>
              <w:pStyle w:val="ARtabletextrigh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116</w:t>
            </w:r>
          </w:p>
        </w:tc>
      </w:tr>
    </w:tbl>
    <w:p w14:paraId="162CBF2B" w14:textId="77777777" w:rsidR="00611072" w:rsidRPr="00F45F11" w:rsidRDefault="00611072" w:rsidP="00611072">
      <w:pPr>
        <w:pStyle w:val="ARBody"/>
      </w:pPr>
      <w:r w:rsidRPr="00F45F11">
        <w:br w:type="page"/>
      </w:r>
    </w:p>
    <w:p w14:paraId="4DAE87CC" w14:textId="77777777" w:rsidR="00611072" w:rsidRPr="00F45F11" w:rsidRDefault="00611072" w:rsidP="001A7218">
      <w:pPr>
        <w:pStyle w:val="ARTablecaption"/>
        <w:rPr>
          <w:rFonts w:eastAsia="Times"/>
        </w:rPr>
      </w:pPr>
      <w:r w:rsidRPr="00F45F11">
        <w:rPr>
          <w:rFonts w:eastAsia="Times"/>
        </w:rPr>
        <w:t>Table 7: The department’s performance against health and safety management measures</w:t>
      </w:r>
    </w:p>
    <w:tbl>
      <w:tblPr>
        <w:tblStyle w:val="ARtable1"/>
        <w:tblW w:w="5000" w:type="pct"/>
        <w:tblLook w:val="01A0" w:firstRow="1" w:lastRow="0" w:firstColumn="1" w:lastColumn="1" w:noHBand="0" w:noVBand="0"/>
      </w:tblPr>
      <w:tblGrid>
        <w:gridCol w:w="1337"/>
        <w:gridCol w:w="2532"/>
        <w:gridCol w:w="5759"/>
      </w:tblGrid>
      <w:tr w:rsidR="00611072" w:rsidRPr="00F45F11" w14:paraId="11B01CA3" w14:textId="77777777" w:rsidTr="00440E4F">
        <w:trPr>
          <w:cnfStyle w:val="100000000000" w:firstRow="1" w:lastRow="0" w:firstColumn="0" w:lastColumn="0" w:oddVBand="0" w:evenVBand="0" w:oddHBand="0" w:evenHBand="0" w:firstRowFirstColumn="0" w:firstRowLastColumn="0" w:lastRowFirstColumn="0" w:lastRowLastColumn="0"/>
          <w:tblHeader/>
        </w:trPr>
        <w:tc>
          <w:tcPr>
            <w:tcW w:w="1276" w:type="dxa"/>
          </w:tcPr>
          <w:p w14:paraId="3B9C7946" w14:textId="77777777" w:rsidR="00611072" w:rsidRPr="00F45F11" w:rsidRDefault="00611072" w:rsidP="001A7218">
            <w:pPr>
              <w:pStyle w:val="ARfintablecolhead"/>
              <w:rPr>
                <w:rFonts w:eastAsia="Times"/>
              </w:rPr>
            </w:pPr>
            <w:r w:rsidRPr="00F45F11">
              <w:rPr>
                <w:rFonts w:eastAsia="Times"/>
              </w:rPr>
              <w:t>Measure</w:t>
            </w:r>
          </w:p>
        </w:tc>
        <w:tc>
          <w:tcPr>
            <w:cnfStyle w:val="000001000000" w:firstRow="0" w:lastRow="0" w:firstColumn="0" w:lastColumn="0" w:oddVBand="0" w:evenVBand="1" w:oddHBand="0" w:evenHBand="0" w:firstRowFirstColumn="0" w:firstRowLastColumn="0" w:lastRowFirstColumn="0" w:lastRowLastColumn="0"/>
            <w:tcW w:w="2547" w:type="dxa"/>
            <w:tcMar>
              <w:left w:w="113" w:type="dxa"/>
            </w:tcMar>
          </w:tcPr>
          <w:p w14:paraId="7CE535F0" w14:textId="77777777" w:rsidR="00611072" w:rsidRPr="00F45F11" w:rsidRDefault="00611072" w:rsidP="001A7218">
            <w:pPr>
              <w:pStyle w:val="ARfintablecolhead"/>
              <w:rPr>
                <w:rFonts w:eastAsia="Times"/>
              </w:rPr>
            </w:pPr>
            <w:r w:rsidRPr="00F45F11">
              <w:rPr>
                <w:rFonts w:eastAsia="Times"/>
              </w:rPr>
              <w:t>Key performance indicator</w:t>
            </w:r>
          </w:p>
        </w:tc>
        <w:tc>
          <w:tcPr>
            <w:tcW w:w="5809" w:type="dxa"/>
            <w:tcMar>
              <w:left w:w="113" w:type="dxa"/>
            </w:tcMar>
          </w:tcPr>
          <w:p w14:paraId="00532B48" w14:textId="77777777" w:rsidR="00611072" w:rsidRPr="00F45F11" w:rsidRDefault="00611072" w:rsidP="001A7218">
            <w:pPr>
              <w:pStyle w:val="ARfintablecolhead"/>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Performance</w:t>
            </w:r>
          </w:p>
        </w:tc>
      </w:tr>
      <w:tr w:rsidR="00611072" w:rsidRPr="00F45F11" w14:paraId="257957D9" w14:textId="77777777" w:rsidTr="001A7218">
        <w:trPr>
          <w:cnfStyle w:val="000000100000" w:firstRow="0" w:lastRow="0" w:firstColumn="0" w:lastColumn="0" w:oddVBand="0" w:evenVBand="0" w:oddHBand="1" w:evenHBand="0" w:firstRowFirstColumn="0" w:firstRowLastColumn="0" w:lastRowFirstColumn="0" w:lastRowLastColumn="0"/>
          <w:trHeight w:val="220"/>
        </w:trPr>
        <w:tc>
          <w:tcPr>
            <w:tcW w:w="1276" w:type="dxa"/>
          </w:tcPr>
          <w:p w14:paraId="2C474487" w14:textId="77777777" w:rsidR="00611072" w:rsidRPr="00F45F11" w:rsidRDefault="00611072" w:rsidP="001A7218">
            <w:pPr>
              <w:pStyle w:val="ARtabletextbold"/>
              <w:rPr>
                <w:rFonts w:eastAsia="Times"/>
              </w:rPr>
            </w:pPr>
            <w:r w:rsidRPr="00F45F11">
              <w:rPr>
                <w:rFonts w:eastAsia="Times"/>
              </w:rPr>
              <w:t>Management commitment</w:t>
            </w:r>
          </w:p>
        </w:tc>
        <w:tc>
          <w:tcPr>
            <w:cnfStyle w:val="000001000000" w:firstRow="0" w:lastRow="0" w:firstColumn="0" w:lastColumn="0" w:oddVBand="0" w:evenVBand="1" w:oddHBand="0" w:evenHBand="0" w:firstRowFirstColumn="0" w:firstRowLastColumn="0" w:lastRowFirstColumn="0" w:lastRowLastColumn="0"/>
            <w:tcW w:w="2547" w:type="dxa"/>
            <w:tcMar>
              <w:left w:w="113" w:type="dxa"/>
            </w:tcMar>
          </w:tcPr>
          <w:p w14:paraId="451CB070" w14:textId="5A1839E8" w:rsidR="00611072" w:rsidRPr="00F45F11" w:rsidRDefault="00611072" w:rsidP="001A7218">
            <w:pPr>
              <w:pStyle w:val="ARTabletext"/>
              <w:rPr>
                <w:rFonts w:eastAsia="Times"/>
              </w:rPr>
            </w:pPr>
            <w:r w:rsidRPr="00F45F11">
              <w:rPr>
                <w:rFonts w:eastAsia="Times"/>
              </w:rPr>
              <w:t>OHS policy statement and</w:t>
            </w:r>
            <w:r w:rsidR="00B1003A">
              <w:rPr>
                <w:rFonts w:eastAsia="Times"/>
              </w:rPr>
              <w:t> </w:t>
            </w:r>
            <w:r w:rsidRPr="00F45F11">
              <w:rPr>
                <w:rFonts w:eastAsia="Times"/>
              </w:rPr>
              <w:t>OHS criteria</w:t>
            </w:r>
          </w:p>
        </w:tc>
        <w:tc>
          <w:tcPr>
            <w:tcW w:w="5809" w:type="dxa"/>
            <w:tcMar>
              <w:left w:w="113" w:type="dxa"/>
            </w:tcMar>
          </w:tcPr>
          <w:p w14:paraId="78A989FB" w14:textId="77777777" w:rsidR="00611072" w:rsidRPr="00F45F11" w:rsidRDefault="00611072" w:rsidP="001A7218">
            <w:pPr>
              <w:pStyle w:val="ARTabletex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 xml:space="preserve">The department’s </w:t>
            </w:r>
            <w:r w:rsidRPr="00A124D1">
              <w:rPr>
                <w:rStyle w:val="Emphasis"/>
              </w:rPr>
              <w:t>Health, safety and wellbeing policy</w:t>
            </w:r>
            <w:r w:rsidRPr="00F45F11">
              <w:rPr>
                <w:rFonts w:eastAsia="Times"/>
              </w:rPr>
              <w:t xml:space="preserve"> details its commitment to providing employees with a work environment and experience that is safe and supports and promotes optimum health, safety and wellbeing.</w:t>
            </w:r>
          </w:p>
          <w:p w14:paraId="1B1F6576" w14:textId="77777777" w:rsidR="00611072" w:rsidRPr="00F45F11" w:rsidRDefault="00611072" w:rsidP="001A7218">
            <w:pPr>
              <w:pStyle w:val="ARTabletex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 xml:space="preserve">Responsibility for health, safety and wellbeing is an inherent part of every employee’s role. Specific accountabilities for all employees and additional accountabilities for managers and leaders are defined and documented to provide and maintain a healthy and safe workplace. </w:t>
            </w:r>
          </w:p>
          <w:p w14:paraId="1E841C56" w14:textId="5F8156CC" w:rsidR="00611072" w:rsidRPr="00F45F11" w:rsidRDefault="00611072" w:rsidP="001A7218">
            <w:pPr>
              <w:pStyle w:val="ARTabletex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 xml:space="preserve">The department monitors its HSW performance against a defined </w:t>
            </w:r>
            <w:r w:rsidR="001B1002" w:rsidRPr="00F45F11">
              <w:rPr>
                <w:rFonts w:eastAsia="Times"/>
              </w:rPr>
              <w:t>o</w:t>
            </w:r>
            <w:r w:rsidRPr="00F45F11">
              <w:rPr>
                <w:rFonts w:eastAsia="Times"/>
              </w:rPr>
              <w:t xml:space="preserve">utcomes </w:t>
            </w:r>
            <w:r w:rsidR="001B1002" w:rsidRPr="00F45F11">
              <w:rPr>
                <w:rFonts w:eastAsia="Times"/>
              </w:rPr>
              <w:t>f</w:t>
            </w:r>
            <w:r w:rsidRPr="00F45F11">
              <w:rPr>
                <w:rFonts w:eastAsia="Times"/>
              </w:rPr>
              <w:t>ramework and reports performance results to a range of</w:t>
            </w:r>
            <w:r w:rsidRPr="00F45F11">
              <w:rPr>
                <w:rFonts w:eastAsia="Times"/>
                <w:iCs/>
              </w:rPr>
              <w:t xml:space="preserve"> </w:t>
            </w:r>
            <w:r w:rsidRPr="00F45F11">
              <w:rPr>
                <w:rFonts w:eastAsia="Times"/>
              </w:rPr>
              <w:t>governance and consultative committees.</w:t>
            </w:r>
          </w:p>
          <w:p w14:paraId="4D3FD91F" w14:textId="69C0B9A1" w:rsidR="00611072" w:rsidRPr="00F45F11" w:rsidRDefault="00611072" w:rsidP="001A7218">
            <w:pPr>
              <w:pStyle w:val="ARTabletex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The department actively participates in Victorian Public Service HSW governance bodies including the OHS Leadership Group and the OHS Executive Group. The department is actively involved in the Public Sector Psychological Health Initiative.</w:t>
            </w:r>
          </w:p>
        </w:tc>
      </w:tr>
      <w:tr w:rsidR="00611072" w:rsidRPr="00F45F11" w14:paraId="5C90E682" w14:textId="77777777" w:rsidTr="001A7218">
        <w:trPr>
          <w:cnfStyle w:val="000000010000" w:firstRow="0" w:lastRow="0" w:firstColumn="0" w:lastColumn="0" w:oddVBand="0" w:evenVBand="0" w:oddHBand="0" w:evenHBand="1" w:firstRowFirstColumn="0" w:firstRowLastColumn="0" w:lastRowFirstColumn="0" w:lastRowLastColumn="0"/>
          <w:trHeight w:val="130"/>
        </w:trPr>
        <w:tc>
          <w:tcPr>
            <w:tcW w:w="1276" w:type="dxa"/>
          </w:tcPr>
          <w:p w14:paraId="3B2BF4A7" w14:textId="77777777" w:rsidR="00611072" w:rsidRPr="00F45F11" w:rsidRDefault="00611072" w:rsidP="001A7218">
            <w:pPr>
              <w:pStyle w:val="ARtabletextbold"/>
              <w:rPr>
                <w:rFonts w:eastAsia="Times"/>
              </w:rPr>
            </w:pPr>
            <w:r w:rsidRPr="00F45F11">
              <w:rPr>
                <w:rFonts w:eastAsia="Times"/>
              </w:rPr>
              <w:t>Consultation and participation</w:t>
            </w:r>
          </w:p>
        </w:tc>
        <w:tc>
          <w:tcPr>
            <w:cnfStyle w:val="000001000000" w:firstRow="0" w:lastRow="0" w:firstColumn="0" w:lastColumn="0" w:oddVBand="0" w:evenVBand="1" w:oddHBand="0" w:evenHBand="0" w:firstRowFirstColumn="0" w:firstRowLastColumn="0" w:lastRowFirstColumn="0" w:lastRowLastColumn="0"/>
            <w:tcW w:w="2547" w:type="dxa"/>
            <w:tcMar>
              <w:left w:w="113" w:type="dxa"/>
            </w:tcMar>
          </w:tcPr>
          <w:p w14:paraId="205575D3" w14:textId="77777777" w:rsidR="00611072" w:rsidRPr="00F45F11" w:rsidRDefault="00611072" w:rsidP="001A7218">
            <w:pPr>
              <w:pStyle w:val="ARTabletext"/>
              <w:rPr>
                <w:rFonts w:eastAsia="Times"/>
              </w:rPr>
            </w:pPr>
            <w:r w:rsidRPr="00F45F11">
              <w:rPr>
                <w:rFonts w:eastAsia="Times"/>
              </w:rPr>
              <w:t>Designated work group structures and issue resolution procedures</w:t>
            </w:r>
          </w:p>
        </w:tc>
        <w:tc>
          <w:tcPr>
            <w:tcW w:w="5809" w:type="dxa"/>
            <w:tcMar>
              <w:left w:w="113" w:type="dxa"/>
            </w:tcMar>
          </w:tcPr>
          <w:p w14:paraId="0995DA40" w14:textId="77777777" w:rsidR="00611072" w:rsidRPr="00F45F11" w:rsidRDefault="00611072" w:rsidP="001A7218">
            <w:pPr>
              <w:pStyle w:val="ARTabletex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The department’s extensive network of 134 designated work groups, 201 health and safety representatives (HSRs) (including deputy HSRs) and 137 designated management representatives (DMRs) provide</w:t>
            </w:r>
            <w:r w:rsidRPr="00F45F11" w:rsidDel="00396579">
              <w:rPr>
                <w:rFonts w:eastAsia="Times"/>
              </w:rPr>
              <w:t xml:space="preserve"> </w:t>
            </w:r>
            <w:r w:rsidRPr="00F45F11">
              <w:rPr>
                <w:rFonts w:eastAsia="Times"/>
              </w:rPr>
              <w:t>an avenue for employees to be heard on health and safety matters in the workplace.</w:t>
            </w:r>
          </w:p>
          <w:p w14:paraId="54E27E60" w14:textId="77777777" w:rsidR="00611072" w:rsidRPr="00F45F11" w:rsidRDefault="00611072" w:rsidP="001A7218">
            <w:pPr>
              <w:pStyle w:val="ARTabletex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The department has a comprehensive health and safety consultation structure in place comprising committees at the area and divisional level. The People and Culture Committee is a subcommittee of the board. It monitors the HSW performance of the department. This committee met 9 times during 2025–26.</w:t>
            </w:r>
          </w:p>
          <w:p w14:paraId="1016FA66" w14:textId="0E262034" w:rsidR="00611072" w:rsidRPr="00F45F11" w:rsidRDefault="00611072" w:rsidP="001A7218">
            <w:pPr>
              <w:pStyle w:val="ARTabletext"/>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Divisional and area HSW committees play a key consultative role in improving health and safety</w:t>
            </w:r>
            <w:r w:rsidRPr="00F45F11" w:rsidDel="00694A90">
              <w:rPr>
                <w:rFonts w:eastAsia="Times"/>
              </w:rPr>
              <w:t xml:space="preserve"> </w:t>
            </w:r>
            <w:r w:rsidRPr="00F45F11">
              <w:rPr>
                <w:rFonts w:eastAsia="Times"/>
              </w:rPr>
              <w:t>by providing a forum for HSRs and DMRs to meet regularly and work collaboratively to plan and develop solutions to improve HSW outcomes. There were 116 divisional and area HSW</w:t>
            </w:r>
            <w:r w:rsidR="003C0C30">
              <w:rPr>
                <w:rFonts w:eastAsia="Times"/>
              </w:rPr>
              <w:t> </w:t>
            </w:r>
            <w:r w:rsidRPr="00F45F11">
              <w:rPr>
                <w:rFonts w:eastAsia="Times"/>
              </w:rPr>
              <w:t>committee meetings during 2025–26. The issue resolution guide outlines the department’s process for managers and employees to follow to resolve health and safety issues identified in department</w:t>
            </w:r>
            <w:r w:rsidR="001A7218" w:rsidRPr="00F45F11">
              <w:rPr>
                <w:rFonts w:eastAsia="Times"/>
              </w:rPr>
              <w:t> </w:t>
            </w:r>
            <w:r w:rsidRPr="00F45F11">
              <w:rPr>
                <w:rFonts w:eastAsia="Times"/>
              </w:rPr>
              <w:t>workplaces.</w:t>
            </w:r>
          </w:p>
        </w:tc>
      </w:tr>
      <w:tr w:rsidR="00611072" w:rsidRPr="00F45F11" w14:paraId="6460C4D2" w14:textId="77777777" w:rsidTr="00440E4F">
        <w:trPr>
          <w:cnfStyle w:val="000000100000" w:firstRow="0" w:lastRow="0" w:firstColumn="0" w:lastColumn="0" w:oddVBand="0" w:evenVBand="0" w:oddHBand="1" w:evenHBand="0" w:firstRowFirstColumn="0" w:firstRowLastColumn="0" w:lastRowFirstColumn="0" w:lastRowLastColumn="0"/>
          <w:trHeight w:val="340"/>
        </w:trPr>
        <w:tc>
          <w:tcPr>
            <w:tcW w:w="1276" w:type="dxa"/>
            <w:tcBorders>
              <w:bottom w:val="single" w:sz="4" w:space="0" w:color="BFBFBF" w:themeColor="accent2"/>
            </w:tcBorders>
          </w:tcPr>
          <w:p w14:paraId="3DE7DFB2" w14:textId="77777777" w:rsidR="00611072" w:rsidRPr="00F45F11" w:rsidRDefault="00611072" w:rsidP="001A7218">
            <w:pPr>
              <w:pStyle w:val="ARtabletextbold"/>
              <w:rPr>
                <w:rFonts w:eastAsia="Times"/>
              </w:rPr>
            </w:pPr>
            <w:r w:rsidRPr="00F45F11">
              <w:rPr>
                <w:rFonts w:eastAsia="Times"/>
              </w:rPr>
              <w:t>Risk management</w:t>
            </w:r>
          </w:p>
        </w:tc>
        <w:tc>
          <w:tcPr>
            <w:cnfStyle w:val="000001000000" w:firstRow="0" w:lastRow="0" w:firstColumn="0" w:lastColumn="0" w:oddVBand="0" w:evenVBand="1" w:oddHBand="0" w:evenHBand="0" w:firstRowFirstColumn="0" w:firstRowLastColumn="0" w:lastRowFirstColumn="0" w:lastRowLastColumn="0"/>
            <w:tcW w:w="2547" w:type="dxa"/>
            <w:tcBorders>
              <w:bottom w:val="single" w:sz="4" w:space="0" w:color="BFBFBF" w:themeColor="accent2"/>
            </w:tcBorders>
            <w:tcMar>
              <w:left w:w="113" w:type="dxa"/>
            </w:tcMar>
          </w:tcPr>
          <w:p w14:paraId="037D7AAC" w14:textId="464F848B" w:rsidR="00611072" w:rsidRPr="00F45F11" w:rsidRDefault="00611072" w:rsidP="001A7218">
            <w:pPr>
              <w:pStyle w:val="ARTabletext"/>
              <w:rPr>
                <w:rFonts w:eastAsia="Times"/>
              </w:rPr>
            </w:pPr>
            <w:r w:rsidRPr="00F45F11">
              <w:rPr>
                <w:rFonts w:eastAsia="Times"/>
              </w:rPr>
              <w:t xml:space="preserve">Regular risk assessments </w:t>
            </w:r>
            <w:r w:rsidR="00B1003A">
              <w:rPr>
                <w:rFonts w:eastAsia="Times"/>
              </w:rPr>
              <w:br/>
            </w:r>
            <w:r w:rsidRPr="00F45F11">
              <w:rPr>
                <w:rFonts w:eastAsia="Times"/>
              </w:rPr>
              <w:t>and internal audits conducted. Issues identified and actioned</w:t>
            </w:r>
          </w:p>
        </w:tc>
        <w:tc>
          <w:tcPr>
            <w:tcW w:w="5809" w:type="dxa"/>
            <w:tcBorders>
              <w:bottom w:val="single" w:sz="4" w:space="0" w:color="BFBFBF" w:themeColor="accent2"/>
            </w:tcBorders>
            <w:tcMar>
              <w:left w:w="113" w:type="dxa"/>
            </w:tcMar>
          </w:tcPr>
          <w:p w14:paraId="7FD7C523" w14:textId="77777777" w:rsidR="00611072" w:rsidRPr="00F45F11" w:rsidRDefault="00611072" w:rsidP="001A7218">
            <w:pPr>
              <w:pStyle w:val="ARTabletext"/>
              <w:cnfStyle w:val="000000100000" w:firstRow="0" w:lastRow="0" w:firstColumn="0" w:lastColumn="0" w:oddVBand="0" w:evenVBand="0" w:oddHBand="1" w:evenHBand="0" w:firstRowFirstColumn="0" w:firstRowLastColumn="0" w:lastRowFirstColumn="0" w:lastRowLastColumn="0"/>
              <w:rPr>
                <w:rFonts w:eastAsia="Times"/>
              </w:rPr>
            </w:pPr>
            <w:proofErr w:type="spellStart"/>
            <w:r w:rsidRPr="00F45F11">
              <w:rPr>
                <w:rFonts w:eastAsia="Times"/>
              </w:rPr>
              <w:t>OurSafety</w:t>
            </w:r>
            <w:proofErr w:type="spellEnd"/>
            <w:r w:rsidRPr="00F45F11">
              <w:rPr>
                <w:rFonts w:eastAsia="Times"/>
              </w:rPr>
              <w:t xml:space="preserve"> is the department’s online health and safety hazard and incident reporting system. All employees are encouraged to report work-related incidents and hazards. This helps the department to understand risks and respond quickly and effectively (including incident investigation and implementation of controls).</w:t>
            </w:r>
          </w:p>
          <w:p w14:paraId="13B2D9D0" w14:textId="77777777" w:rsidR="00611072" w:rsidRPr="00F45F11" w:rsidRDefault="00611072" w:rsidP="001A7218">
            <w:pPr>
              <w:pStyle w:val="ARTabletex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The department has comprehensive procedures and tools for assessing and managing key HSW hazards and risks and for undertaking workplace inspections.</w:t>
            </w:r>
          </w:p>
          <w:p w14:paraId="4F5AAB0C" w14:textId="64459E55" w:rsidR="00611072" w:rsidRPr="00F45F11" w:rsidRDefault="00611072" w:rsidP="001A7218">
            <w:pPr>
              <w:pStyle w:val="ARTabletext"/>
              <w:cnfStyle w:val="000000100000" w:firstRow="0" w:lastRow="0" w:firstColumn="0" w:lastColumn="0" w:oddVBand="0" w:evenVBand="0" w:oddHBand="1" w:evenHBand="0" w:firstRowFirstColumn="0" w:firstRowLastColumn="0" w:lastRowFirstColumn="0" w:lastRowLastColumn="0"/>
              <w:rPr>
                <w:rFonts w:eastAsia="Times"/>
              </w:rPr>
            </w:pPr>
            <w:r w:rsidRPr="00F45F11">
              <w:rPr>
                <w:rFonts w:eastAsia="Times"/>
              </w:rPr>
              <w:t>WorkSafe made 38 visits to department workplaces and issued 3</w:t>
            </w:r>
            <w:r w:rsidR="00566B8E">
              <w:rPr>
                <w:rFonts w:eastAsia="Times"/>
              </w:rPr>
              <w:t> </w:t>
            </w:r>
            <w:r w:rsidRPr="00F45F11">
              <w:rPr>
                <w:rFonts w:eastAsia="Times"/>
              </w:rPr>
              <w:t>improvement notices between 1 July 2025 and 30 June 2026.</w:t>
            </w:r>
            <w:r w:rsidRPr="00F45F11">
              <w:rPr>
                <w:rFonts w:eastAsia="Times"/>
                <w:vertAlign w:val="superscript"/>
              </w:rPr>
              <w:footnoteReference w:id="15"/>
            </w:r>
            <w:r w:rsidRPr="00F45F11">
              <w:rPr>
                <w:rFonts w:eastAsia="Times"/>
              </w:rPr>
              <w:t xml:space="preserve"> </w:t>
            </w:r>
            <w:r w:rsidR="003C0C30">
              <w:rPr>
                <w:rFonts w:eastAsia="Times"/>
              </w:rPr>
              <w:br/>
            </w:r>
            <w:r w:rsidRPr="00F45F11">
              <w:rPr>
                <w:rFonts w:eastAsia="Times"/>
              </w:rPr>
              <w:t>There was 1 provisional improvement notice issued by an HSR.</w:t>
            </w:r>
          </w:p>
        </w:tc>
      </w:tr>
      <w:tr w:rsidR="00611072" w:rsidRPr="00F45F11" w14:paraId="3FECB6F9" w14:textId="77777777" w:rsidTr="00440E4F">
        <w:trPr>
          <w:cnfStyle w:val="000000010000" w:firstRow="0" w:lastRow="0" w:firstColumn="0" w:lastColumn="0" w:oddVBand="0" w:evenVBand="0" w:oddHBand="0" w:evenHBand="1" w:firstRowFirstColumn="0" w:firstRowLastColumn="0" w:lastRowFirstColumn="0" w:lastRowLastColumn="0"/>
          <w:trHeight w:val="402"/>
        </w:trPr>
        <w:tc>
          <w:tcPr>
            <w:tcW w:w="1276" w:type="dxa"/>
            <w:tcBorders>
              <w:top w:val="single" w:sz="4" w:space="0" w:color="BFBFBF" w:themeColor="accent2"/>
              <w:bottom w:val="single" w:sz="4" w:space="0" w:color="201547" w:themeColor="text2"/>
            </w:tcBorders>
          </w:tcPr>
          <w:p w14:paraId="6F6BA7D8" w14:textId="77777777" w:rsidR="00611072" w:rsidRPr="00F45F11" w:rsidRDefault="00611072" w:rsidP="001A7218">
            <w:pPr>
              <w:pStyle w:val="ARtabletextbold"/>
              <w:pageBreakBefore/>
              <w:rPr>
                <w:rFonts w:eastAsia="Times"/>
              </w:rPr>
            </w:pPr>
            <w:r w:rsidRPr="00F45F11">
              <w:rPr>
                <w:rFonts w:eastAsia="Times"/>
              </w:rPr>
              <w:t>Training</w:t>
            </w:r>
          </w:p>
        </w:tc>
        <w:tc>
          <w:tcPr>
            <w:cnfStyle w:val="000001000000" w:firstRow="0" w:lastRow="0" w:firstColumn="0" w:lastColumn="0" w:oddVBand="0" w:evenVBand="1" w:oddHBand="0" w:evenHBand="0" w:firstRowFirstColumn="0" w:firstRowLastColumn="0" w:lastRowFirstColumn="0" w:lastRowLastColumn="0"/>
            <w:tcW w:w="2547" w:type="dxa"/>
            <w:tcBorders>
              <w:top w:val="single" w:sz="4" w:space="0" w:color="BFBFBF" w:themeColor="accent2"/>
              <w:bottom w:val="single" w:sz="4" w:space="0" w:color="201547" w:themeColor="text2"/>
            </w:tcBorders>
            <w:tcMar>
              <w:left w:w="113" w:type="dxa"/>
            </w:tcMar>
          </w:tcPr>
          <w:p w14:paraId="1012F777" w14:textId="244D58AC" w:rsidR="00611072" w:rsidRPr="00F45F11" w:rsidRDefault="00611072" w:rsidP="001A7218">
            <w:pPr>
              <w:pStyle w:val="ARTabletext"/>
              <w:pageBreakBefore/>
              <w:rPr>
                <w:rFonts w:eastAsia="Times"/>
              </w:rPr>
            </w:pPr>
            <w:r w:rsidRPr="00F45F11">
              <w:rPr>
                <w:rFonts w:eastAsia="Times"/>
              </w:rPr>
              <w:t xml:space="preserve">Managers, health and safety representatives and other </w:t>
            </w:r>
            <w:r w:rsidR="00B1003A">
              <w:rPr>
                <w:rFonts w:eastAsia="Times"/>
              </w:rPr>
              <w:br/>
            </w:r>
            <w:r w:rsidRPr="00F45F11">
              <w:rPr>
                <w:rFonts w:eastAsia="Times"/>
              </w:rPr>
              <w:t>staff trained</w:t>
            </w:r>
          </w:p>
        </w:tc>
        <w:tc>
          <w:tcPr>
            <w:tcW w:w="5809" w:type="dxa"/>
            <w:tcBorders>
              <w:top w:val="single" w:sz="4" w:space="0" w:color="BFBFBF" w:themeColor="accent2"/>
              <w:bottom w:val="single" w:sz="4" w:space="0" w:color="201547" w:themeColor="text2"/>
            </w:tcBorders>
            <w:tcMar>
              <w:left w:w="113" w:type="dxa"/>
            </w:tcMar>
          </w:tcPr>
          <w:p w14:paraId="42AC5C95" w14:textId="557E0045" w:rsidR="00611072" w:rsidRPr="00F45F11" w:rsidRDefault="00611072" w:rsidP="001A7218">
            <w:pPr>
              <w:pStyle w:val="ARTabletext"/>
              <w:pageBreakBefore/>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 xml:space="preserve">HSW-related training and information sessions were available to managers and employees. These covered topics including psychosocial hazard risk management, psychological first aid, exposure to traumatic content and vicarious trauma, work-related aggression and violence and injury support and wellbeing. Training occurred face-to-face, virtually and via </w:t>
            </w:r>
            <w:proofErr w:type="spellStart"/>
            <w:r w:rsidRPr="00F45F11">
              <w:rPr>
                <w:rFonts w:eastAsia="Times"/>
              </w:rPr>
              <w:t>eLearns</w:t>
            </w:r>
            <w:proofErr w:type="spellEnd"/>
            <w:r w:rsidRPr="00F45F11">
              <w:rPr>
                <w:rFonts w:eastAsia="Times"/>
              </w:rPr>
              <w:t xml:space="preserve">. Some programs were available to all employees, some for managers specifically, whereas others were tailored to frontline employee groups. </w:t>
            </w:r>
          </w:p>
          <w:p w14:paraId="69689D7D" w14:textId="1440FDEE" w:rsidR="00611072" w:rsidRPr="00F45F11" w:rsidRDefault="00611072" w:rsidP="001A7218">
            <w:pPr>
              <w:pStyle w:val="ARTabletext"/>
              <w:pageBreakBefore/>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Approximately 1,000 employees participated in HSW-related training specific to frontline roles. Approximately 5,000 employees completed</w:t>
            </w:r>
            <w:r w:rsidRPr="00F45F11" w:rsidDel="0041272F">
              <w:rPr>
                <w:rFonts w:eastAsia="Times"/>
              </w:rPr>
              <w:t xml:space="preserve"> </w:t>
            </w:r>
            <w:r w:rsidRPr="00F45F11">
              <w:rPr>
                <w:rFonts w:eastAsia="Times"/>
              </w:rPr>
              <w:t xml:space="preserve">mandatory HSW-related </w:t>
            </w:r>
            <w:proofErr w:type="spellStart"/>
            <w:r w:rsidRPr="00F45F11">
              <w:rPr>
                <w:rFonts w:eastAsia="Times"/>
              </w:rPr>
              <w:t>eLearns</w:t>
            </w:r>
            <w:proofErr w:type="spellEnd"/>
            <w:r w:rsidRPr="00F45F11">
              <w:rPr>
                <w:rFonts w:eastAsia="Times"/>
              </w:rPr>
              <w:t>. Approximately 1,000 employees participated in department-wide HSW-related training</w:t>
            </w:r>
            <w:r w:rsidRPr="00F45F11" w:rsidDel="00353F27">
              <w:rPr>
                <w:rFonts w:eastAsia="Times"/>
              </w:rPr>
              <w:t xml:space="preserve"> </w:t>
            </w:r>
            <w:r w:rsidRPr="00F45F11">
              <w:rPr>
                <w:rFonts w:eastAsia="Times"/>
              </w:rPr>
              <w:t>during the</w:t>
            </w:r>
            <w:r w:rsidR="001A7218" w:rsidRPr="00F45F11">
              <w:rPr>
                <w:rFonts w:eastAsia="Times"/>
              </w:rPr>
              <w:t> </w:t>
            </w:r>
            <w:r w:rsidRPr="00F45F11">
              <w:rPr>
                <w:rFonts w:eastAsia="Times"/>
              </w:rPr>
              <w:t>year.</w:t>
            </w:r>
            <w:r w:rsidRPr="00F45F11">
              <w:rPr>
                <w:rFonts w:eastAsia="Times"/>
                <w:vertAlign w:val="superscript"/>
              </w:rPr>
              <w:footnoteReference w:id="16"/>
            </w:r>
          </w:p>
          <w:p w14:paraId="6D6EAAAF" w14:textId="42C787DA" w:rsidR="00611072" w:rsidRPr="00F45F11" w:rsidRDefault="00611072" w:rsidP="001A7218">
            <w:pPr>
              <w:pStyle w:val="ARTabletext"/>
              <w:pageBreakBefore/>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HSRs elected during the year were encouraged and supported by the</w:t>
            </w:r>
            <w:r w:rsidR="001A7218" w:rsidRPr="00F45F11">
              <w:rPr>
                <w:rFonts w:eastAsia="Times"/>
              </w:rPr>
              <w:t> </w:t>
            </w:r>
            <w:r w:rsidRPr="00F45F11">
              <w:rPr>
                <w:rFonts w:eastAsia="Times"/>
              </w:rPr>
              <w:t>department to undertake a WorkSafe approved 5-day HSR training</w:t>
            </w:r>
            <w:r w:rsidR="00566B8E">
              <w:rPr>
                <w:rFonts w:eastAsia="Times"/>
              </w:rPr>
              <w:t> </w:t>
            </w:r>
            <w:r w:rsidRPr="00F45F11">
              <w:rPr>
                <w:rFonts w:eastAsia="Times"/>
              </w:rPr>
              <w:t>program.</w:t>
            </w:r>
          </w:p>
          <w:p w14:paraId="4996F974" w14:textId="7B3E8BD5" w:rsidR="00611072" w:rsidRPr="00F45F11" w:rsidRDefault="00611072" w:rsidP="001A7218">
            <w:pPr>
              <w:pStyle w:val="ARTabletext"/>
              <w:pageBreakBefore/>
              <w:cnfStyle w:val="000000010000" w:firstRow="0" w:lastRow="0" w:firstColumn="0" w:lastColumn="0" w:oddVBand="0" w:evenVBand="0" w:oddHBand="0" w:evenHBand="1" w:firstRowFirstColumn="0" w:firstRowLastColumn="0" w:lastRowFirstColumn="0" w:lastRowLastColumn="0"/>
              <w:rPr>
                <w:rFonts w:eastAsia="Times"/>
              </w:rPr>
            </w:pPr>
            <w:r w:rsidRPr="00F45F11">
              <w:rPr>
                <w:rFonts w:eastAsia="Times"/>
              </w:rPr>
              <w:t>The department delivered a range of information sessions during HSW month held in October 2025. Online events were offered, including a three-part series on the psychosocial risk management process. The opening event, on mentally healthy work, had over 1,100 attendees. The closing event, on resilience, had approximately 480 attendees. In</w:t>
            </w:r>
            <w:r w:rsidR="003C0C30">
              <w:rPr>
                <w:rFonts w:eastAsia="Times"/>
              </w:rPr>
              <w:t> </w:t>
            </w:r>
            <w:r w:rsidRPr="00F45F11">
              <w:rPr>
                <w:rFonts w:eastAsia="Times"/>
              </w:rPr>
              <w:t>person sessions were held for HSRs across 4</w:t>
            </w:r>
            <w:r w:rsidR="001A7218" w:rsidRPr="00F45F11">
              <w:rPr>
                <w:rFonts w:eastAsia="Times"/>
              </w:rPr>
              <w:t> </w:t>
            </w:r>
            <w:r w:rsidRPr="00F45F11">
              <w:rPr>
                <w:rFonts w:eastAsia="Times"/>
              </w:rPr>
              <w:t>divisional offices.</w:t>
            </w:r>
          </w:p>
        </w:tc>
      </w:tr>
    </w:tbl>
    <w:p w14:paraId="7086F432" w14:textId="77777777" w:rsidR="00F65DCC" w:rsidRPr="00F65DCC" w:rsidRDefault="00F65DCC" w:rsidP="00F65DCC">
      <w:pPr>
        <w:pStyle w:val="ARBody"/>
      </w:pPr>
      <w:bookmarkStart w:id="144" w:name="_Toc241131710"/>
      <w:bookmarkEnd w:id="142"/>
      <w:bookmarkEnd w:id="143"/>
      <w:r w:rsidRPr="00F65DCC">
        <w:br w:type="page"/>
      </w:r>
    </w:p>
    <w:p w14:paraId="6CB887B7" w14:textId="41058B87" w:rsidR="00F65DCC" w:rsidRDefault="004C20E2" w:rsidP="00F65DCC">
      <w:pPr>
        <w:pStyle w:val="Heading1"/>
        <w:spacing w:before="0"/>
      </w:pPr>
      <w:r w:rsidRPr="00F45F11">
        <w:t>Section 4:</w:t>
      </w:r>
      <w:r w:rsidR="00F7288B" w:rsidRPr="00F45F11">
        <w:t xml:space="preserve"> Other disclosures</w:t>
      </w:r>
      <w:bookmarkEnd w:id="144"/>
    </w:p>
    <w:p w14:paraId="34DCAF04" w14:textId="56A33EAE" w:rsidR="00F65DCC" w:rsidRPr="00F65DCC" w:rsidRDefault="0093198F" w:rsidP="00F65DCC">
      <w:pPr>
        <w:pStyle w:val="Heading2"/>
        <w:rPr>
          <w:rFonts w:eastAsia="Times"/>
        </w:rPr>
      </w:pPr>
      <w:bookmarkStart w:id="145" w:name="_Local_Jobs_First"/>
      <w:bookmarkStart w:id="146" w:name="_Toc82006203"/>
      <w:bookmarkStart w:id="147" w:name="_Ref85114030"/>
      <w:bookmarkStart w:id="148" w:name="_Ref85118306"/>
      <w:bookmarkStart w:id="149" w:name="_Toc114491203"/>
      <w:bookmarkStart w:id="150" w:name="_Toc149587050"/>
      <w:bookmarkStart w:id="151" w:name="_Toc212039536"/>
      <w:bookmarkStart w:id="152" w:name="_Toc241131711"/>
      <w:bookmarkEnd w:id="145"/>
      <w:r w:rsidRPr="00F45F11">
        <w:rPr>
          <w:rFonts w:eastAsia="Times"/>
        </w:rPr>
        <w:t>Local Jobs First</w:t>
      </w:r>
      <w:bookmarkEnd w:id="146"/>
      <w:bookmarkEnd w:id="147"/>
      <w:bookmarkEnd w:id="148"/>
      <w:bookmarkEnd w:id="149"/>
      <w:bookmarkEnd w:id="150"/>
      <w:bookmarkEnd w:id="151"/>
      <w:bookmarkEnd w:id="152"/>
    </w:p>
    <w:p w14:paraId="5F6A8815" w14:textId="60C491DF" w:rsidR="0093198F" w:rsidRPr="00F45F11" w:rsidRDefault="0093198F" w:rsidP="0093198F">
      <w:pPr>
        <w:pStyle w:val="ARBody"/>
      </w:pPr>
      <w:bookmarkStart w:id="153" w:name="_Toc82006210"/>
      <w:bookmarkStart w:id="154" w:name="_Ref85113823"/>
      <w:bookmarkStart w:id="155" w:name="_Toc114491204"/>
      <w:bookmarkStart w:id="156" w:name="_Ref178664003"/>
      <w:bookmarkEnd w:id="153"/>
      <w:bookmarkEnd w:id="154"/>
      <w:bookmarkEnd w:id="155"/>
      <w:r w:rsidRPr="00F45F11">
        <w:t xml:space="preserve">The Local </w:t>
      </w:r>
      <w:r w:rsidRPr="00A124D1">
        <w:rPr>
          <w:rStyle w:val="Emphasis"/>
        </w:rPr>
        <w:t>Jobs First Act 2003</w:t>
      </w:r>
      <w:r w:rsidRPr="00F45F11">
        <w:t xml:space="preserve"> (the Act) establishes the Local Jobs First scheme</w:t>
      </w:r>
      <w:r w:rsidR="00945D9E" w:rsidRPr="00F45F11">
        <w:t>,</w:t>
      </w:r>
      <w:r w:rsidRPr="00F45F11">
        <w:t xml:space="preserve"> which is set out in the Act, the regulations and the Local Jobs First Policy. The Local Jobs First Policy comprises the Victorian Industry Participation Policy (VIPP) and Major Project Skills Guarantee (MPSG).</w:t>
      </w:r>
    </w:p>
    <w:p w14:paraId="14F38332" w14:textId="4FFEB739" w:rsidR="0093198F" w:rsidRPr="00F45F11" w:rsidRDefault="0093198F" w:rsidP="0093198F">
      <w:pPr>
        <w:pStyle w:val="ARBody"/>
      </w:pPr>
      <w:r w:rsidRPr="00F45F11">
        <w:t xml:space="preserve">Departments and public bodies within the meaning of the </w:t>
      </w:r>
      <w:r w:rsidRPr="00A124D1">
        <w:rPr>
          <w:rStyle w:val="Emphasis"/>
        </w:rPr>
        <w:t>Financial Management Act 1994</w:t>
      </w:r>
      <w:r w:rsidRPr="00F45F11">
        <w:t xml:space="preserve"> must apply Local Jobs First as required to regional projects worth more than $1 million, statewide or metro Melbourne projects worth at least $3 million, or other</w:t>
      </w:r>
      <w:r w:rsidR="003C0C30">
        <w:t> </w:t>
      </w:r>
      <w:r w:rsidRPr="00F45F11">
        <w:t>projects with a lower budget declared by the</w:t>
      </w:r>
      <w:r w:rsidR="003C0C30">
        <w:t> </w:t>
      </w:r>
      <w:r w:rsidRPr="00F45F11">
        <w:t>Minister as a standard or strategic project.</w:t>
      </w:r>
    </w:p>
    <w:p w14:paraId="5CFCC86A" w14:textId="77777777" w:rsidR="0093198F" w:rsidRPr="00F45F11" w:rsidRDefault="0093198F" w:rsidP="0093198F">
      <w:pPr>
        <w:pStyle w:val="ARBody"/>
      </w:pPr>
      <w:r w:rsidRPr="00F45F11">
        <w:t>The MPSG guidelines and VIPP guidelines will continue to apply to MPSG-applicable and VIPP-applicable projects respectively where contracts have been entered prior to 15 August 2018.</w:t>
      </w:r>
    </w:p>
    <w:p w14:paraId="68A16DA3" w14:textId="77777777" w:rsidR="0093198F" w:rsidRPr="00F45F11" w:rsidRDefault="0093198F" w:rsidP="00280C27">
      <w:pPr>
        <w:pStyle w:val="Heading3"/>
      </w:pPr>
      <w:r w:rsidRPr="00F45F11">
        <w:t>Projects commenced – Local Jobs First Standard</w:t>
      </w:r>
      <w:bookmarkEnd w:id="156"/>
    </w:p>
    <w:p w14:paraId="13F7EBF8" w14:textId="038A3307" w:rsidR="0093198F" w:rsidRPr="00F45F11" w:rsidRDefault="0093198F" w:rsidP="00333488">
      <w:pPr>
        <w:pStyle w:val="ARBody"/>
      </w:pPr>
      <w:r w:rsidRPr="00F45F11">
        <w:t xml:space="preserve">During 2025–26, </w:t>
      </w:r>
      <w:r w:rsidRPr="00F45F11">
        <w:rPr>
          <w:rStyle w:val="ARBodyChar"/>
        </w:rPr>
        <w:t>the</w:t>
      </w:r>
      <w:r w:rsidRPr="00F45F11">
        <w:t xml:space="preserve"> department commenced 39</w:t>
      </w:r>
      <w:r w:rsidR="003C0C30">
        <w:t> </w:t>
      </w:r>
      <w:r w:rsidRPr="00F45F11">
        <w:t>Local Jobs First Standard projects totalling $116.06 million. Of those projects:</w:t>
      </w:r>
    </w:p>
    <w:p w14:paraId="29245632" w14:textId="77777777" w:rsidR="0093198F" w:rsidRPr="00F45F11" w:rsidRDefault="0093198F" w:rsidP="00280C27">
      <w:pPr>
        <w:pStyle w:val="ARBullet1"/>
      </w:pPr>
      <w:r w:rsidRPr="00F45F11">
        <w:t>25 were in regional Victoria. These had an average commitment of 92% of local content</w:t>
      </w:r>
    </w:p>
    <w:p w14:paraId="720B927B" w14:textId="77777777" w:rsidR="0093198F" w:rsidRPr="00F45F11" w:rsidRDefault="0093198F" w:rsidP="00280C27">
      <w:pPr>
        <w:pStyle w:val="ARBullet1"/>
      </w:pPr>
      <w:r w:rsidRPr="00F45F11">
        <w:t>12 were in metropolitan Melbourne. These had an average commitment of 89% local content</w:t>
      </w:r>
    </w:p>
    <w:p w14:paraId="40FF5C1D" w14:textId="77777777" w:rsidR="0093198F" w:rsidRPr="00F45F11" w:rsidRDefault="0093198F" w:rsidP="00280C27">
      <w:pPr>
        <w:pStyle w:val="ARBullet1"/>
      </w:pPr>
      <w:r w:rsidRPr="00F45F11">
        <w:t>2 were statewide projects. These had an average commitment of 97% local content.</w:t>
      </w:r>
    </w:p>
    <w:p w14:paraId="1F7D9FE0" w14:textId="77777777" w:rsidR="0093198F" w:rsidRPr="00F45F11" w:rsidRDefault="0093198F" w:rsidP="00280C27">
      <w:pPr>
        <w:pStyle w:val="ARBodyafterbullets"/>
      </w:pPr>
      <w:r w:rsidRPr="00F45F11">
        <w:t>The MPSG applied to 4 of these projects.</w:t>
      </w:r>
    </w:p>
    <w:p w14:paraId="316B17F6" w14:textId="5790C60F" w:rsidR="0093198F" w:rsidRPr="00F45F11" w:rsidRDefault="0093198F" w:rsidP="0093198F">
      <w:pPr>
        <w:pStyle w:val="ARBody"/>
      </w:pPr>
      <w:r w:rsidRPr="00F45F11">
        <w:t>The outcomes expected from these projects in</w:t>
      </w:r>
      <w:r w:rsidR="0048706E">
        <w:t> </w:t>
      </w:r>
      <w:r w:rsidRPr="00F45F11">
        <w:t xml:space="preserve">relation to Local Jobs First are: </w:t>
      </w:r>
    </w:p>
    <w:p w14:paraId="74830C0F" w14:textId="77777777" w:rsidR="0093198F" w:rsidRPr="00F45F11" w:rsidRDefault="0093198F" w:rsidP="00280C27">
      <w:pPr>
        <w:pStyle w:val="ARBullet1"/>
      </w:pPr>
      <w:r w:rsidRPr="00F45F11">
        <w:t>an average of 92% of local content commitment was made</w:t>
      </w:r>
    </w:p>
    <w:p w14:paraId="62729787" w14:textId="77777777" w:rsidR="0093198F" w:rsidRDefault="0093198F" w:rsidP="00280C27">
      <w:pPr>
        <w:pStyle w:val="ARBullet1"/>
      </w:pPr>
      <w:r w:rsidRPr="00F45F11">
        <w:t>a total of 300.31 annualised employee equivalent jobs (AEE) were committed, including the creation of 146.65 new jobs and the retention of 153.66 existing jobs (AEE)</w:t>
      </w:r>
    </w:p>
    <w:p w14:paraId="612C0E73" w14:textId="4FA88B07" w:rsidR="0093198F" w:rsidRPr="00F45F11" w:rsidRDefault="0093198F">
      <w:pPr>
        <w:pStyle w:val="ARBullet1"/>
      </w:pPr>
      <w:r w:rsidRPr="00F45F11">
        <w:t>a total of 32.80 positions for apprentices, trainees and cadets were committed, including the creation of 3.76 new apprenticeships, traineeships, and cadets and the retention of the remaining 29.04 existing apprenticeships, traineeships and cadets</w:t>
      </w:r>
    </w:p>
    <w:p w14:paraId="72334E01" w14:textId="77777777" w:rsidR="0093198F" w:rsidRPr="00F45F11" w:rsidRDefault="0093198F" w:rsidP="00280C27">
      <w:pPr>
        <w:pStyle w:val="ARBullet1"/>
      </w:pPr>
      <w:r w:rsidRPr="00F45F11">
        <w:t>MPSG-applicable projects committed to engaging 0.85 apprentices, trainees and cadets</w:t>
      </w:r>
    </w:p>
    <w:p w14:paraId="354482B6" w14:textId="77777777" w:rsidR="0093198F" w:rsidRPr="00F45F11" w:rsidRDefault="0093198F" w:rsidP="00280C27">
      <w:pPr>
        <w:pStyle w:val="ARBullet1"/>
      </w:pPr>
      <w:r w:rsidRPr="00F45F11">
        <w:t>15,948 small to medium-sized businesses were engaged through the supply chain on Local Jobs First projects.</w:t>
      </w:r>
    </w:p>
    <w:p w14:paraId="20574DD2" w14:textId="0FEA6203" w:rsidR="0093198F" w:rsidRPr="00F45F11" w:rsidRDefault="0093198F" w:rsidP="00280C27">
      <w:pPr>
        <w:pStyle w:val="Heading3"/>
      </w:pPr>
      <w:r w:rsidRPr="00F45F11">
        <w:t>Projects completed – Local</w:t>
      </w:r>
      <w:r w:rsidR="00333488" w:rsidRPr="00F45F11">
        <w:t xml:space="preserve"> </w:t>
      </w:r>
      <w:r w:rsidRPr="00F45F11">
        <w:t>Jobs First Standard</w:t>
      </w:r>
    </w:p>
    <w:p w14:paraId="505132A0" w14:textId="0D74E3BE" w:rsidR="0093198F" w:rsidRPr="00F45F11" w:rsidRDefault="0093198F" w:rsidP="00280C27">
      <w:pPr>
        <w:pStyle w:val="ARBody"/>
      </w:pPr>
      <w:r w:rsidRPr="00F45F11">
        <w:t xml:space="preserve">During 2025–26, the department completed </w:t>
      </w:r>
      <w:r w:rsidR="00945D9E" w:rsidRPr="00F45F11">
        <w:t>4 </w:t>
      </w:r>
      <w:r w:rsidRPr="00F45F11">
        <w:t>Local Jobs First Standard projects, totalling $5.16 million. The</w:t>
      </w:r>
      <w:r w:rsidR="00F65DCC">
        <w:t> </w:t>
      </w:r>
      <w:r w:rsidRPr="00F45F11">
        <w:t>projects were in regional Victoria. The MSPG did not apply to these projects.</w:t>
      </w:r>
    </w:p>
    <w:p w14:paraId="56100CF3" w14:textId="77777777" w:rsidR="0093198F" w:rsidRPr="00F45F11" w:rsidRDefault="0093198F" w:rsidP="00280C27">
      <w:pPr>
        <w:pStyle w:val="ARBody"/>
      </w:pPr>
      <w:r w:rsidRPr="00F45F11">
        <w:t>Where information was provided, the outcomes expected from the implementation of the Local Jobs First policy to these projects include:</w:t>
      </w:r>
    </w:p>
    <w:p w14:paraId="40CDA48A" w14:textId="77777777" w:rsidR="0093198F" w:rsidRPr="00F45F11" w:rsidRDefault="0093198F" w:rsidP="00280C27">
      <w:pPr>
        <w:pStyle w:val="ARBullet1"/>
      </w:pPr>
      <w:r w:rsidRPr="00F45F11">
        <w:t xml:space="preserve">96.99% local content </w:t>
      </w:r>
    </w:p>
    <w:p w14:paraId="2C2E08F1" w14:textId="5075A61A" w:rsidR="0093198F" w:rsidRPr="00F45F11" w:rsidRDefault="0093198F" w:rsidP="00280C27">
      <w:pPr>
        <w:pStyle w:val="ARBullet1"/>
      </w:pPr>
      <w:r w:rsidRPr="00F45F11">
        <w:t>400 small to medium-sized businesses were engaged through the supply chain on completed</w:t>
      </w:r>
      <w:r w:rsidR="00566B8E">
        <w:t> </w:t>
      </w:r>
      <w:r w:rsidRPr="00F45F11">
        <w:t>Standard</w:t>
      </w:r>
      <w:r w:rsidR="00F65DCC">
        <w:t> </w:t>
      </w:r>
      <w:r w:rsidRPr="00F45F11">
        <w:t>projects.</w:t>
      </w:r>
    </w:p>
    <w:p w14:paraId="7D19D1F9" w14:textId="77777777" w:rsidR="0093198F" w:rsidRPr="00F45F11" w:rsidRDefault="0093198F" w:rsidP="00280C27">
      <w:pPr>
        <w:pStyle w:val="Heading3"/>
      </w:pPr>
      <w:r w:rsidRPr="00F45F11">
        <w:t>Projects commenced – Local Jobs First Strategic</w:t>
      </w:r>
    </w:p>
    <w:p w14:paraId="62994826" w14:textId="09AB15E3" w:rsidR="0093198F" w:rsidRPr="00F45F11" w:rsidRDefault="0093198F" w:rsidP="00280C27">
      <w:pPr>
        <w:pStyle w:val="ARBody"/>
      </w:pPr>
      <w:r w:rsidRPr="00F45F11">
        <w:t>During 2025–26, the department commenced 12 Local Jobs First Strategic Projects, valued at</w:t>
      </w:r>
      <w:r w:rsidR="0048706E">
        <w:t> </w:t>
      </w:r>
      <w:r w:rsidRPr="00F45F11">
        <w:t xml:space="preserve">$464.05 million. </w:t>
      </w:r>
    </w:p>
    <w:p w14:paraId="2D71BC0A" w14:textId="4BBE6DF3" w:rsidR="0093198F" w:rsidRPr="00F45F11" w:rsidRDefault="0093198F" w:rsidP="00280C27">
      <w:pPr>
        <w:pStyle w:val="ARBody"/>
      </w:pPr>
      <w:r w:rsidRPr="00F45F11">
        <w:t>Of these projects, 2 were in regional Victoria, 6</w:t>
      </w:r>
      <w:r w:rsidR="0048706E">
        <w:t> </w:t>
      </w:r>
      <w:r w:rsidRPr="00F45F11">
        <w:t>were</w:t>
      </w:r>
      <w:r w:rsidR="0048706E">
        <w:t> </w:t>
      </w:r>
      <w:r w:rsidRPr="00F45F11">
        <w:t>in metropolitan Melbourne and 4 were statewide</w:t>
      </w:r>
      <w:r w:rsidR="00945D9E" w:rsidRPr="00F45F11">
        <w:t>. They had</w:t>
      </w:r>
      <w:r w:rsidRPr="00F45F11">
        <w:t xml:space="preserve"> an average commitment of</w:t>
      </w:r>
      <w:r w:rsidR="003C0C30">
        <w:t> </w:t>
      </w:r>
      <w:r w:rsidRPr="00F45F11">
        <w:t>96% local content. The MPSG applied to 6</w:t>
      </w:r>
      <w:r w:rsidR="00566B8E">
        <w:t> </w:t>
      </w:r>
      <w:r w:rsidRPr="00F45F11">
        <w:t>of</w:t>
      </w:r>
      <w:r w:rsidR="003C0C30">
        <w:t> </w:t>
      </w:r>
      <w:r w:rsidRPr="00F45F11">
        <w:t>these</w:t>
      </w:r>
      <w:r w:rsidR="0048706E">
        <w:t> </w:t>
      </w:r>
      <w:r w:rsidRPr="00F45F11">
        <w:t xml:space="preserve">projects. </w:t>
      </w:r>
    </w:p>
    <w:p w14:paraId="7F478420" w14:textId="77777777" w:rsidR="0093198F" w:rsidRPr="00F45F11" w:rsidRDefault="0093198F" w:rsidP="00280C27">
      <w:pPr>
        <w:pStyle w:val="ARBody"/>
      </w:pPr>
      <w:r w:rsidRPr="00F45F11">
        <w:t>The outcomes expected from the implementation of the policy where information was provided, were as follows:</w:t>
      </w:r>
    </w:p>
    <w:p w14:paraId="75A4BE2D" w14:textId="77777777" w:rsidR="0093198F" w:rsidRPr="00F45F11" w:rsidRDefault="0093198F" w:rsidP="00280C27">
      <w:pPr>
        <w:pStyle w:val="ARBullet1"/>
      </w:pPr>
      <w:r w:rsidRPr="00F45F11">
        <w:t>a total of 812.89 annualised employee equivalent jobs (AEE) were committed, including the creation of 223.69 new jobs and the retention of 589.21 existing jobs (AEE)</w:t>
      </w:r>
    </w:p>
    <w:p w14:paraId="4C20BC9B" w14:textId="362CA2E5" w:rsidR="0093198F" w:rsidRPr="00F45F11" w:rsidRDefault="0093198F" w:rsidP="00280C27">
      <w:pPr>
        <w:pStyle w:val="ARBullet1"/>
      </w:pPr>
      <w:r w:rsidRPr="00F45F11">
        <w:t>a total of 100.35 positions for apprentices, trainees and cadets were committed, including the creation of 39.59 new apprenticeships, traineeships and cadets, and the retention of the</w:t>
      </w:r>
      <w:r w:rsidR="0048706E">
        <w:t> </w:t>
      </w:r>
      <w:r w:rsidRPr="00F45F11">
        <w:t>remaining 60.44 existing apprenticeships, traineeships and cadets</w:t>
      </w:r>
    </w:p>
    <w:p w14:paraId="1EF074AE" w14:textId="77777777" w:rsidR="0093198F" w:rsidRPr="00F45F11" w:rsidRDefault="0093198F" w:rsidP="00280C27">
      <w:pPr>
        <w:pStyle w:val="ARBullet1"/>
      </w:pPr>
      <w:r w:rsidRPr="00F45F11">
        <w:t>MPSG-applicable projects committed to engaging 24.91 apprentices, trainees and cadets</w:t>
      </w:r>
    </w:p>
    <w:p w14:paraId="09B9000B" w14:textId="7CA2F278" w:rsidR="0093198F" w:rsidRDefault="0093198F" w:rsidP="00280C27">
      <w:pPr>
        <w:pStyle w:val="ARBullet1"/>
      </w:pPr>
      <w:r w:rsidRPr="00F45F11">
        <w:t>586 small to medium-sized businesses were engaged through the supply chain on Local Jobs</w:t>
      </w:r>
      <w:r w:rsidR="00566B8E">
        <w:t> </w:t>
      </w:r>
      <w:r w:rsidRPr="00F45F11">
        <w:t>First</w:t>
      </w:r>
      <w:r w:rsidR="009E6907">
        <w:t> </w:t>
      </w:r>
      <w:r w:rsidRPr="00F45F11">
        <w:t>projects.</w:t>
      </w:r>
    </w:p>
    <w:p w14:paraId="19436EC1" w14:textId="4D5AC7DD" w:rsidR="0093198F" w:rsidRPr="00F45F11" w:rsidRDefault="0093198F" w:rsidP="00695AC7">
      <w:pPr>
        <w:pStyle w:val="Heading3"/>
      </w:pPr>
      <w:r w:rsidRPr="00F45F11">
        <w:t xml:space="preserve">Projects </w:t>
      </w:r>
      <w:r w:rsidRPr="00695AC7">
        <w:t>completed</w:t>
      </w:r>
      <w:r w:rsidRPr="00F45F11">
        <w:t xml:space="preserve"> – Local Jobs First Strategic</w:t>
      </w:r>
    </w:p>
    <w:p w14:paraId="4AFCA3E6" w14:textId="77777777" w:rsidR="0093198F" w:rsidRDefault="0093198F" w:rsidP="0093198F">
      <w:pPr>
        <w:pStyle w:val="ARBody"/>
      </w:pPr>
      <w:r w:rsidRPr="00F45F11">
        <w:t>No Local Jobs First Strategic projects were completed during 2025–26.</w:t>
      </w:r>
    </w:p>
    <w:p w14:paraId="59289AD3" w14:textId="2EB256E8" w:rsidR="0093198F" w:rsidRPr="00F45F11" w:rsidRDefault="0093198F" w:rsidP="00A42A6B">
      <w:pPr>
        <w:pStyle w:val="Heading3"/>
        <w:spacing w:before="0"/>
      </w:pPr>
      <w:r w:rsidRPr="00F45F11">
        <w:t>Reporting requirements – grants</w:t>
      </w:r>
    </w:p>
    <w:p w14:paraId="5F973F7E" w14:textId="486BA9DA" w:rsidR="00695AC7" w:rsidRDefault="0093198F" w:rsidP="008E70EB">
      <w:pPr>
        <w:pStyle w:val="ARBody"/>
      </w:pPr>
      <w:bookmarkStart w:id="157" w:name="_Competitive_neutrality_policy"/>
      <w:bookmarkEnd w:id="157"/>
      <w:r w:rsidRPr="00F45F11">
        <w:t>For grants provided during 2025–26, no interaction reference numbers were required.</w:t>
      </w:r>
    </w:p>
    <w:p w14:paraId="42BD153D" w14:textId="6AE498ED" w:rsidR="00F65DCC" w:rsidRDefault="00DB4DB8" w:rsidP="00F65DCC">
      <w:pPr>
        <w:pStyle w:val="Heading2"/>
      </w:pPr>
      <w:bookmarkStart w:id="158" w:name="_Competitive_neutrality_policy_1"/>
      <w:bookmarkStart w:id="159" w:name="_Toc149587051"/>
      <w:bookmarkStart w:id="160" w:name="_Toc212039537"/>
      <w:bookmarkStart w:id="161" w:name="_Toc241131712"/>
      <w:bookmarkStart w:id="162" w:name="_Toc212039541"/>
      <w:bookmarkEnd w:id="158"/>
      <w:r w:rsidRPr="00F45F11">
        <w:t>Competitive neutrality policy</w:t>
      </w:r>
      <w:bookmarkEnd w:id="159"/>
      <w:bookmarkEnd w:id="160"/>
      <w:bookmarkEnd w:id="161"/>
    </w:p>
    <w:p w14:paraId="4970E2CE" w14:textId="77777777" w:rsidR="00F65DCC" w:rsidRDefault="00DB4DB8" w:rsidP="00DB4DB8">
      <w:pPr>
        <w:pStyle w:val="ARBody"/>
      </w:pPr>
      <w:r w:rsidRPr="00F45F11">
        <w:t>Competitive neutrality requires government businesses to ensure that where services compete, or potentially compete, with the private sector, any net advantage arising from government ownership is</w:t>
      </w:r>
      <w:r w:rsidR="0048706E">
        <w:t> </w:t>
      </w:r>
      <w:r w:rsidRPr="00F45F11">
        <w:t>accounted for if it is not in the public interest. Government businesses that undertake significant business activities are required to implement competitive neutrality measures (such as setting competitive neutral prices), which removes any net</w:t>
      </w:r>
      <w:r w:rsidR="0048706E">
        <w:t> </w:t>
      </w:r>
      <w:r w:rsidRPr="00F45F11">
        <w:t>advantage that comes from public ownership. Competitive neutrality policy supports fair competition between public and private businesses and provides government businesses with a tool to enhance decisions on resource allocation. This policy does not override other policy objectives of government and focuses on removing resource allocation distortions.</w:t>
      </w:r>
    </w:p>
    <w:p w14:paraId="7E2C030F" w14:textId="0AB9D60D" w:rsidR="00DB4DB8" w:rsidRPr="00F45F11" w:rsidRDefault="00DB4DB8" w:rsidP="00DB4DB8">
      <w:pPr>
        <w:pStyle w:val="ARBody"/>
        <w:rPr>
          <w:highlight w:val="green"/>
        </w:rPr>
      </w:pPr>
      <w:r w:rsidRPr="00F45F11">
        <w:t>The department ensures Victoria fulfils its requirements on competitive neutrality reporting as required under the Intergovernmental Agreement on National Competition Policy and Competition and Infrastructure Reform</w:t>
      </w:r>
      <w:r w:rsidR="00611072" w:rsidRPr="00F45F11">
        <w:t> </w:t>
      </w:r>
      <w:r w:rsidRPr="00F45F11">
        <w:t>Agreement.</w:t>
      </w:r>
      <w:bookmarkStart w:id="163" w:name="_Government_advertising_expenditure"/>
      <w:bookmarkEnd w:id="163"/>
    </w:p>
    <w:p w14:paraId="5C1034D0" w14:textId="77777777" w:rsidR="00A42A6B" w:rsidRDefault="00A42A6B" w:rsidP="009636FC">
      <w:pPr>
        <w:pStyle w:val="ARBody"/>
      </w:pPr>
    </w:p>
    <w:p w14:paraId="6767422F" w14:textId="77777777" w:rsidR="00A42A6B" w:rsidRPr="00F45F11" w:rsidRDefault="00A42A6B" w:rsidP="009636FC">
      <w:pPr>
        <w:pStyle w:val="ARBody"/>
        <w:sectPr w:rsidR="00A42A6B" w:rsidRPr="00F45F11" w:rsidSect="00E7077C">
          <w:headerReference w:type="even" r:id="rId65"/>
          <w:headerReference w:type="default" r:id="rId66"/>
          <w:footerReference w:type="even" r:id="rId67"/>
          <w:footerReference w:type="default" r:id="rId68"/>
          <w:headerReference w:type="first" r:id="rId69"/>
          <w:footerReference w:type="first" r:id="rId70"/>
          <w:type w:val="continuous"/>
          <w:pgSz w:w="11906" w:h="16838" w:code="9"/>
          <w:pgMar w:top="1588" w:right="1134" w:bottom="851" w:left="1134" w:header="680" w:footer="567" w:gutter="0"/>
          <w:cols w:space="340"/>
          <w:docGrid w:linePitch="360"/>
        </w:sectPr>
      </w:pPr>
    </w:p>
    <w:p w14:paraId="7588E870" w14:textId="77777777" w:rsidR="004752E5" w:rsidRPr="00F45F11" w:rsidRDefault="004752E5" w:rsidP="005C31BC">
      <w:pPr>
        <w:pStyle w:val="Heading2"/>
        <w:spacing w:before="0"/>
        <w:rPr>
          <w:rFonts w:eastAsia="Times"/>
        </w:rPr>
      </w:pPr>
      <w:bookmarkStart w:id="164" w:name="_Government_advertising_expenditure_1"/>
      <w:bookmarkStart w:id="165" w:name="_Toc114491207"/>
      <w:bookmarkStart w:id="166" w:name="_Toc149587056"/>
      <w:bookmarkStart w:id="167" w:name="_Toc212039538"/>
      <w:bookmarkStart w:id="168" w:name="_Toc241131713"/>
      <w:bookmarkEnd w:id="164"/>
      <w:r w:rsidRPr="00F45F11">
        <w:rPr>
          <w:rFonts w:eastAsia="Times"/>
        </w:rPr>
        <w:t>Government advertising expenditure</w:t>
      </w:r>
      <w:bookmarkEnd w:id="165"/>
      <w:bookmarkEnd w:id="166"/>
      <w:bookmarkEnd w:id="167"/>
      <w:bookmarkEnd w:id="168"/>
    </w:p>
    <w:p w14:paraId="204A09A0" w14:textId="0F56AF81" w:rsidR="004752E5" w:rsidRPr="00F45F11" w:rsidRDefault="004752E5" w:rsidP="00FE0AAE">
      <w:pPr>
        <w:pStyle w:val="ARBody"/>
      </w:pPr>
      <w:r w:rsidRPr="00F45F11">
        <w:t>For the 2025</w:t>
      </w:r>
      <w:r w:rsidR="001A7218" w:rsidRPr="00F45F11">
        <w:t>–</w:t>
      </w:r>
      <w:r w:rsidRPr="00F45F11">
        <w:t>26 reporting period, there were 3 government advertising campaigns with planned total media spend of $100,000 or greater (exclusive of GST). Table</w:t>
      </w:r>
      <w:r w:rsidR="00611072" w:rsidRPr="00F45F11">
        <w:t> </w:t>
      </w:r>
      <w:r w:rsidRPr="00F45F11">
        <w:t>8 sets out details of the campaigns.</w:t>
      </w:r>
    </w:p>
    <w:p w14:paraId="535FF932" w14:textId="77777777" w:rsidR="004752E5" w:rsidRPr="00F45F11" w:rsidRDefault="004752E5" w:rsidP="00F3337E">
      <w:pPr>
        <w:pStyle w:val="ARTablecaption"/>
        <w:rPr>
          <w:rFonts w:eastAsia="Times"/>
        </w:rPr>
      </w:pPr>
      <w:r w:rsidRPr="00F45F11">
        <w:rPr>
          <w:rFonts w:eastAsia="Times"/>
        </w:rPr>
        <w:t>Table 8: Details of government advertising expenditure</w:t>
      </w:r>
    </w:p>
    <w:tbl>
      <w:tblPr>
        <w:tblStyle w:val="ARtable1"/>
        <w:tblW w:w="5000" w:type="pct"/>
        <w:tblLook w:val="00A0" w:firstRow="1" w:lastRow="0" w:firstColumn="1" w:lastColumn="0" w:noHBand="0" w:noVBand="0"/>
      </w:tblPr>
      <w:tblGrid>
        <w:gridCol w:w="1427"/>
        <w:gridCol w:w="3392"/>
        <w:gridCol w:w="1254"/>
        <w:gridCol w:w="1677"/>
        <w:gridCol w:w="1473"/>
        <w:gridCol w:w="1340"/>
        <w:gridCol w:w="1340"/>
        <w:gridCol w:w="1340"/>
        <w:gridCol w:w="1317"/>
      </w:tblGrid>
      <w:tr w:rsidR="004752E5" w:rsidRPr="00F45F11" w14:paraId="1E6F0AFA" w14:textId="77777777" w:rsidTr="00644402">
        <w:trPr>
          <w:cnfStyle w:val="100000000000" w:firstRow="1" w:lastRow="0" w:firstColumn="0" w:lastColumn="0" w:oddVBand="0" w:evenVBand="0" w:oddHBand="0" w:evenHBand="0" w:firstRowFirstColumn="0" w:firstRowLastColumn="0" w:lastRowFirstColumn="0" w:lastRowLastColumn="0"/>
          <w:trHeight w:val="300"/>
          <w:tblHeader/>
        </w:trPr>
        <w:tc>
          <w:tcPr>
            <w:tcW w:w="434" w:type="pct"/>
          </w:tcPr>
          <w:p w14:paraId="23E7C43D" w14:textId="77777777" w:rsidR="004752E5" w:rsidRPr="00F45F11" w:rsidRDefault="004752E5" w:rsidP="00F3337E">
            <w:pPr>
              <w:pStyle w:val="ARtablecolhead"/>
              <w:rPr>
                <w:rFonts w:eastAsia="Times"/>
              </w:rPr>
            </w:pPr>
            <w:r w:rsidRPr="00F45F11">
              <w:rPr>
                <w:rFonts w:eastAsia="Times"/>
              </w:rPr>
              <w:t>Name of campaign</w:t>
            </w:r>
          </w:p>
        </w:tc>
        <w:tc>
          <w:tcPr>
            <w:cnfStyle w:val="000001000000" w:firstRow="0" w:lastRow="0" w:firstColumn="0" w:lastColumn="0" w:oddVBand="0" w:evenVBand="1" w:oddHBand="0" w:evenHBand="0" w:firstRowFirstColumn="0" w:firstRowLastColumn="0" w:lastRowFirstColumn="0" w:lastRowLastColumn="0"/>
            <w:tcW w:w="1172" w:type="pct"/>
          </w:tcPr>
          <w:p w14:paraId="0D60202B" w14:textId="77777777" w:rsidR="004752E5" w:rsidRPr="00F45F11" w:rsidRDefault="004752E5" w:rsidP="00F3337E">
            <w:pPr>
              <w:pStyle w:val="ARtablecolhead"/>
              <w:rPr>
                <w:rFonts w:eastAsia="Times"/>
              </w:rPr>
            </w:pPr>
            <w:r w:rsidRPr="00F45F11">
              <w:rPr>
                <w:rFonts w:eastAsia="Times"/>
              </w:rPr>
              <w:t>Campaign summary</w:t>
            </w:r>
          </w:p>
        </w:tc>
        <w:tc>
          <w:tcPr>
            <w:tcW w:w="438" w:type="pct"/>
          </w:tcPr>
          <w:p w14:paraId="3BBEDA74" w14:textId="77777777" w:rsidR="004752E5" w:rsidRPr="00F45F11" w:rsidRDefault="004752E5" w:rsidP="00354ADE">
            <w:pPr>
              <w:pStyle w:val="ARtablecolhead"/>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Start/end date</w:t>
            </w:r>
          </w:p>
        </w:tc>
        <w:tc>
          <w:tcPr>
            <w:cnfStyle w:val="000001000000" w:firstRow="0" w:lastRow="0" w:firstColumn="0" w:lastColumn="0" w:oddVBand="0" w:evenVBand="1" w:oddHBand="0" w:evenHBand="0" w:firstRowFirstColumn="0" w:firstRowLastColumn="0" w:lastRowFirstColumn="0" w:lastRowLastColumn="0"/>
            <w:tcW w:w="583" w:type="pct"/>
          </w:tcPr>
          <w:p w14:paraId="23CF5CE6" w14:textId="19298CBF" w:rsidR="004752E5" w:rsidRPr="00F45F11" w:rsidRDefault="004752E5" w:rsidP="009D5CE3">
            <w:pPr>
              <w:pStyle w:val="ARtablecolheadright"/>
              <w:rPr>
                <w:rFonts w:eastAsia="Times"/>
              </w:rPr>
            </w:pPr>
            <w:r w:rsidRPr="00F45F11">
              <w:rPr>
                <w:rFonts w:eastAsia="Times"/>
              </w:rPr>
              <w:t>Advertising (media) expenditure</w:t>
            </w:r>
            <w:r w:rsidRPr="00F45F11">
              <w:rPr>
                <w:rFonts w:eastAsia="Times"/>
                <w:vertAlign w:val="superscript"/>
              </w:rPr>
              <w:t>(a)</w:t>
            </w:r>
            <w:r w:rsidR="00153C18">
              <w:rPr>
                <w:rFonts w:eastAsia="Times"/>
                <w:vertAlign w:val="superscript"/>
              </w:rPr>
              <w:t>(b)</w:t>
            </w:r>
          </w:p>
          <w:p w14:paraId="652BA557" w14:textId="77777777" w:rsidR="004752E5" w:rsidRPr="00F45F11" w:rsidRDefault="004752E5" w:rsidP="009D5CE3">
            <w:pPr>
              <w:pStyle w:val="ARtablecolheadright"/>
              <w:rPr>
                <w:rFonts w:eastAsia="Times"/>
              </w:rPr>
            </w:pPr>
            <w:r w:rsidRPr="00F45F11">
              <w:rPr>
                <w:rFonts w:eastAsia="Times"/>
              </w:rPr>
              <w:t>($ excl. GST)</w:t>
            </w:r>
          </w:p>
        </w:tc>
        <w:tc>
          <w:tcPr>
            <w:tcW w:w="513" w:type="pct"/>
          </w:tcPr>
          <w:p w14:paraId="5672E6E0" w14:textId="77777777" w:rsidR="004752E5" w:rsidRPr="00F45F11" w:rsidRDefault="004752E5" w:rsidP="009D5CE3">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Creative and campaign development expenditure</w:t>
            </w:r>
          </w:p>
          <w:p w14:paraId="11100B46" w14:textId="77777777" w:rsidR="004752E5" w:rsidRPr="00F45F11" w:rsidRDefault="004752E5" w:rsidP="009D5CE3">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 excl. GST)</w:t>
            </w:r>
          </w:p>
        </w:tc>
        <w:tc>
          <w:tcPr>
            <w:cnfStyle w:val="000001000000" w:firstRow="0" w:lastRow="0" w:firstColumn="0" w:lastColumn="0" w:oddVBand="0" w:evenVBand="1" w:oddHBand="0" w:evenHBand="0" w:firstRowFirstColumn="0" w:firstRowLastColumn="0" w:lastRowFirstColumn="0" w:lastRowLastColumn="0"/>
            <w:tcW w:w="467" w:type="pct"/>
          </w:tcPr>
          <w:p w14:paraId="2F8D457C" w14:textId="77777777" w:rsidR="004752E5" w:rsidRPr="00F45F11" w:rsidRDefault="004752E5" w:rsidP="009D5CE3">
            <w:pPr>
              <w:pStyle w:val="ARtablecolheadright"/>
              <w:rPr>
                <w:rFonts w:eastAsia="Times"/>
              </w:rPr>
            </w:pPr>
            <w:r w:rsidRPr="00F45F11">
              <w:rPr>
                <w:rFonts w:eastAsia="Times"/>
              </w:rPr>
              <w:t>Research and evaluation expenditure</w:t>
            </w:r>
          </w:p>
          <w:p w14:paraId="59AF83B5" w14:textId="77777777" w:rsidR="004752E5" w:rsidRPr="00F45F11" w:rsidRDefault="004752E5" w:rsidP="009D5CE3">
            <w:pPr>
              <w:pStyle w:val="ARtablecolheadright"/>
              <w:rPr>
                <w:rFonts w:eastAsia="Times"/>
              </w:rPr>
            </w:pPr>
            <w:r w:rsidRPr="00F45F11">
              <w:rPr>
                <w:rFonts w:eastAsia="Times"/>
              </w:rPr>
              <w:t>($ excl. GST)</w:t>
            </w:r>
          </w:p>
        </w:tc>
        <w:tc>
          <w:tcPr>
            <w:tcW w:w="467" w:type="pct"/>
          </w:tcPr>
          <w:p w14:paraId="3D5C928B" w14:textId="77777777" w:rsidR="004752E5" w:rsidRPr="00F45F11" w:rsidRDefault="004752E5" w:rsidP="009D5CE3">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Print and collateral expenditure</w:t>
            </w:r>
          </w:p>
          <w:p w14:paraId="236EA588" w14:textId="77777777" w:rsidR="004752E5" w:rsidRPr="00F45F11" w:rsidRDefault="004752E5" w:rsidP="009D5CE3">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 excl. GST)</w:t>
            </w:r>
          </w:p>
        </w:tc>
        <w:tc>
          <w:tcPr>
            <w:cnfStyle w:val="000001000000" w:firstRow="0" w:lastRow="0" w:firstColumn="0" w:lastColumn="0" w:oddVBand="0" w:evenVBand="1" w:oddHBand="0" w:evenHBand="0" w:firstRowFirstColumn="0" w:firstRowLastColumn="0" w:lastRowFirstColumn="0" w:lastRowLastColumn="0"/>
            <w:tcW w:w="467" w:type="pct"/>
          </w:tcPr>
          <w:p w14:paraId="66D10D5F" w14:textId="77777777" w:rsidR="004752E5" w:rsidRPr="00F45F11" w:rsidRDefault="004752E5" w:rsidP="009D5CE3">
            <w:pPr>
              <w:pStyle w:val="ARtablecolheadright"/>
              <w:rPr>
                <w:rFonts w:eastAsia="Times"/>
              </w:rPr>
            </w:pPr>
            <w:r w:rsidRPr="00F45F11">
              <w:rPr>
                <w:rFonts w:eastAsia="Times"/>
              </w:rPr>
              <w:t>Other campaign expenditure</w:t>
            </w:r>
          </w:p>
          <w:p w14:paraId="7CFAF3D6" w14:textId="77777777" w:rsidR="004752E5" w:rsidRPr="00F45F11" w:rsidRDefault="004752E5" w:rsidP="009D5CE3">
            <w:pPr>
              <w:pStyle w:val="ARtablecolheadright"/>
              <w:rPr>
                <w:rFonts w:eastAsia="Times"/>
              </w:rPr>
            </w:pPr>
            <w:r w:rsidRPr="00F45F11">
              <w:rPr>
                <w:rFonts w:eastAsia="Times"/>
              </w:rPr>
              <w:t>($ excl. GST)</w:t>
            </w:r>
          </w:p>
        </w:tc>
        <w:tc>
          <w:tcPr>
            <w:tcW w:w="460" w:type="pct"/>
          </w:tcPr>
          <w:p w14:paraId="42696263" w14:textId="77777777" w:rsidR="004752E5" w:rsidRPr="00F45F11" w:rsidRDefault="004752E5" w:rsidP="009D5CE3">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Total</w:t>
            </w:r>
          </w:p>
          <w:p w14:paraId="5FF03D5D" w14:textId="77777777" w:rsidR="004752E5" w:rsidRPr="00F45F11" w:rsidRDefault="004752E5" w:rsidP="009D5CE3">
            <w:pPr>
              <w:pStyle w:val="ARtablecolhead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 excl. GST)</w:t>
            </w:r>
          </w:p>
        </w:tc>
      </w:tr>
      <w:tr w:rsidR="007B026A" w:rsidRPr="00F45F11" w:rsidDel="007B026A" w14:paraId="29484275" w14:textId="77777777" w:rsidTr="009D5CE3">
        <w:trPr>
          <w:cnfStyle w:val="000000100000" w:firstRow="0" w:lastRow="0" w:firstColumn="0" w:lastColumn="0" w:oddVBand="0" w:evenVBand="0" w:oddHBand="1" w:evenHBand="0" w:firstRowFirstColumn="0" w:firstRowLastColumn="0" w:lastRowFirstColumn="0" w:lastRowLastColumn="0"/>
          <w:trHeight w:val="300"/>
        </w:trPr>
        <w:tc>
          <w:tcPr>
            <w:tcW w:w="434" w:type="pct"/>
          </w:tcPr>
          <w:p w14:paraId="470710C2" w14:textId="44E4A273" w:rsidR="007B026A" w:rsidRPr="00F45F11" w:rsidDel="00BA0778" w:rsidRDefault="0008767E" w:rsidP="00354ADE">
            <w:pPr>
              <w:pStyle w:val="ARTabletext"/>
            </w:pPr>
            <w:r>
              <w:t>Big Housing Build</w:t>
            </w:r>
          </w:p>
        </w:tc>
        <w:tc>
          <w:tcPr>
            <w:cnfStyle w:val="000001000000" w:firstRow="0" w:lastRow="0" w:firstColumn="0" w:lastColumn="0" w:oddVBand="0" w:evenVBand="1" w:oddHBand="0" w:evenHBand="0" w:firstRowFirstColumn="0" w:firstRowLastColumn="0" w:lastRowFirstColumn="0" w:lastRowLastColumn="0"/>
            <w:tcW w:w="1172" w:type="pct"/>
          </w:tcPr>
          <w:p w14:paraId="751AB246" w14:textId="39D190C5" w:rsidR="007B026A" w:rsidDel="007B026A" w:rsidRDefault="00B47E5E" w:rsidP="00354ADE">
            <w:pPr>
              <w:pStyle w:val="ARTabletext"/>
            </w:pPr>
            <w:r w:rsidRPr="00B47E5E">
              <w:t>This campaign aimed to improve localised understanding of nearby social housing redevelopment projects across Victoria. Expenditure was weighted to communities surrounding older high-rise to provide information regarding redeveloping older high-rise estates. This was supported by a secondary spend on necessary information updates to improve localised understanding of nearby social/affordable developments and community impacts during delivery across other areas of Victoria.</w:t>
            </w:r>
          </w:p>
        </w:tc>
        <w:tc>
          <w:tcPr>
            <w:tcW w:w="438" w:type="pct"/>
          </w:tcPr>
          <w:p w14:paraId="6E5B6DC9" w14:textId="77777777" w:rsidR="0008767E" w:rsidRDefault="0008767E" w:rsidP="00354ADE">
            <w:pPr>
              <w:pStyle w:val="ARTabletext"/>
              <w:cnfStyle w:val="000000100000" w:firstRow="0" w:lastRow="0" w:firstColumn="0" w:lastColumn="0" w:oddVBand="0" w:evenVBand="0" w:oddHBand="1" w:evenHBand="0" w:firstRowFirstColumn="0" w:firstRowLastColumn="0" w:lastRowFirstColumn="0" w:lastRowLastColumn="0"/>
            </w:pPr>
            <w:r>
              <w:t>14/09/25 – 28/12/25</w:t>
            </w:r>
          </w:p>
          <w:p w14:paraId="448FB66C" w14:textId="77777777" w:rsidR="0008767E" w:rsidRDefault="0008767E" w:rsidP="00354ADE">
            <w:pPr>
              <w:pStyle w:val="ARTabletext"/>
              <w:cnfStyle w:val="000000100000" w:firstRow="0" w:lastRow="0" w:firstColumn="0" w:lastColumn="0" w:oddVBand="0" w:evenVBand="0" w:oddHBand="1" w:evenHBand="0" w:firstRowFirstColumn="0" w:firstRowLastColumn="0" w:lastRowFirstColumn="0" w:lastRowLastColumn="0"/>
            </w:pPr>
            <w:r>
              <w:t>(Burst 2)</w:t>
            </w:r>
          </w:p>
          <w:p w14:paraId="5856378E" w14:textId="77777777" w:rsidR="0008767E" w:rsidRDefault="0008767E" w:rsidP="00354ADE">
            <w:pPr>
              <w:pStyle w:val="ARTabletext"/>
              <w:cnfStyle w:val="000000100000" w:firstRow="0" w:lastRow="0" w:firstColumn="0" w:lastColumn="0" w:oddVBand="0" w:evenVBand="0" w:oddHBand="1" w:evenHBand="0" w:firstRowFirstColumn="0" w:firstRowLastColumn="0" w:lastRowFirstColumn="0" w:lastRowLastColumn="0"/>
            </w:pPr>
            <w:r>
              <w:t>3/5/26 – 27/6/26</w:t>
            </w:r>
          </w:p>
          <w:p w14:paraId="1C36126E" w14:textId="7E9E391E" w:rsidR="007B026A" w:rsidRPr="00F45F11" w:rsidDel="00BA0778" w:rsidRDefault="0008767E" w:rsidP="00354ADE">
            <w:pPr>
              <w:pStyle w:val="ARTabletext"/>
              <w:cnfStyle w:val="000000100000" w:firstRow="0" w:lastRow="0" w:firstColumn="0" w:lastColumn="0" w:oddVBand="0" w:evenVBand="0" w:oddHBand="1" w:evenHBand="0" w:firstRowFirstColumn="0" w:firstRowLastColumn="0" w:lastRowFirstColumn="0" w:lastRowLastColumn="0"/>
            </w:pPr>
            <w:r>
              <w:t>(Burst 3)</w:t>
            </w:r>
          </w:p>
        </w:tc>
        <w:tc>
          <w:tcPr>
            <w:cnfStyle w:val="000001000000" w:firstRow="0" w:lastRow="0" w:firstColumn="0" w:lastColumn="0" w:oddVBand="0" w:evenVBand="1" w:oddHBand="0" w:evenHBand="0" w:firstRowFirstColumn="0" w:firstRowLastColumn="0" w:lastRowFirstColumn="0" w:lastRowLastColumn="0"/>
            <w:tcW w:w="583" w:type="pct"/>
          </w:tcPr>
          <w:p w14:paraId="170241BE" w14:textId="77777777" w:rsidR="0008767E" w:rsidRDefault="0008767E" w:rsidP="00354ADE">
            <w:pPr>
              <w:pStyle w:val="ARTabletext"/>
              <w:jc w:val="right"/>
            </w:pPr>
            <w:r>
              <w:t>Approved $700,000</w:t>
            </w:r>
          </w:p>
          <w:p w14:paraId="4CA0C3A8" w14:textId="77777777" w:rsidR="0008767E" w:rsidRDefault="0008767E" w:rsidP="00354ADE">
            <w:pPr>
              <w:pStyle w:val="ARTabletext"/>
              <w:jc w:val="right"/>
            </w:pPr>
            <w:r>
              <w:t>Actual:</w:t>
            </w:r>
          </w:p>
          <w:p w14:paraId="616DC81F" w14:textId="4E7ECF42" w:rsidR="007B026A" w:rsidDel="007B026A" w:rsidRDefault="0008767E" w:rsidP="00354ADE">
            <w:pPr>
              <w:pStyle w:val="ARTabletext"/>
              <w:jc w:val="right"/>
            </w:pPr>
            <w:r>
              <w:t>$595,652.71</w:t>
            </w:r>
          </w:p>
        </w:tc>
        <w:tc>
          <w:tcPr>
            <w:tcW w:w="513" w:type="pct"/>
          </w:tcPr>
          <w:p w14:paraId="71E1FEE6" w14:textId="77777777" w:rsidR="0008767E" w:rsidRDefault="0008767E" w:rsidP="00354ADE">
            <w:pPr>
              <w:pStyle w:val="ARTabletext"/>
              <w:jc w:val="right"/>
              <w:cnfStyle w:val="000000100000" w:firstRow="0" w:lastRow="0" w:firstColumn="0" w:lastColumn="0" w:oddVBand="0" w:evenVBand="0" w:oddHBand="1" w:evenHBand="0" w:firstRowFirstColumn="0" w:firstRowLastColumn="0" w:lastRowFirstColumn="0" w:lastRowLastColumn="0"/>
            </w:pPr>
            <w:r>
              <w:t xml:space="preserve">Planned: $300,000 </w:t>
            </w:r>
          </w:p>
          <w:p w14:paraId="4BA33603" w14:textId="05FCBB4A" w:rsidR="007B026A" w:rsidRPr="00F45F11" w:rsidDel="00BA0778" w:rsidRDefault="0008767E" w:rsidP="00354ADE">
            <w:pPr>
              <w:pStyle w:val="ARTabletext"/>
              <w:jc w:val="right"/>
              <w:cnfStyle w:val="000000100000" w:firstRow="0" w:lastRow="0" w:firstColumn="0" w:lastColumn="0" w:oddVBand="0" w:evenVBand="0" w:oddHBand="1" w:evenHBand="0" w:firstRowFirstColumn="0" w:firstRowLastColumn="0" w:lastRowFirstColumn="0" w:lastRowLastColumn="0"/>
            </w:pPr>
            <w:r>
              <w:t>Actual: $285,679.56</w:t>
            </w:r>
          </w:p>
        </w:tc>
        <w:tc>
          <w:tcPr>
            <w:cnfStyle w:val="000001000000" w:firstRow="0" w:lastRow="0" w:firstColumn="0" w:lastColumn="0" w:oddVBand="0" w:evenVBand="1" w:oddHBand="0" w:evenHBand="0" w:firstRowFirstColumn="0" w:firstRowLastColumn="0" w:lastRowFirstColumn="0" w:lastRowLastColumn="0"/>
            <w:tcW w:w="467" w:type="pct"/>
          </w:tcPr>
          <w:p w14:paraId="4BA9B191" w14:textId="77777777" w:rsidR="0008767E" w:rsidRDefault="0008767E" w:rsidP="00354ADE">
            <w:pPr>
              <w:pStyle w:val="ARTabletext"/>
              <w:jc w:val="right"/>
            </w:pPr>
            <w:r>
              <w:t>Planned: $35,000</w:t>
            </w:r>
          </w:p>
          <w:p w14:paraId="480DDD8B" w14:textId="77777777" w:rsidR="0008767E" w:rsidRDefault="0008767E" w:rsidP="00354ADE">
            <w:pPr>
              <w:pStyle w:val="ARTabletext"/>
              <w:jc w:val="right"/>
            </w:pPr>
            <w:r>
              <w:t>Actual:</w:t>
            </w:r>
          </w:p>
          <w:p w14:paraId="4F5BE861" w14:textId="56F8FD7A" w:rsidR="007B026A" w:rsidRPr="00F45F11" w:rsidDel="00BA0778" w:rsidRDefault="0008767E" w:rsidP="00354ADE">
            <w:pPr>
              <w:pStyle w:val="ARTabletext"/>
              <w:jc w:val="right"/>
            </w:pPr>
            <w:r>
              <w:t>$46,980</w:t>
            </w:r>
          </w:p>
        </w:tc>
        <w:tc>
          <w:tcPr>
            <w:tcW w:w="467" w:type="pct"/>
          </w:tcPr>
          <w:p w14:paraId="29212550" w14:textId="77777777" w:rsidR="0008767E" w:rsidRDefault="0008767E" w:rsidP="00354ADE">
            <w:pPr>
              <w:pStyle w:val="ARTabletext"/>
              <w:jc w:val="right"/>
              <w:cnfStyle w:val="000000100000" w:firstRow="0" w:lastRow="0" w:firstColumn="0" w:lastColumn="0" w:oddVBand="0" w:evenVBand="0" w:oddHBand="1" w:evenHBand="0" w:firstRowFirstColumn="0" w:firstRowLastColumn="0" w:lastRowFirstColumn="0" w:lastRowLastColumn="0"/>
            </w:pPr>
            <w:r>
              <w:t>Planned: $0</w:t>
            </w:r>
          </w:p>
          <w:p w14:paraId="13EEC288" w14:textId="77A1286E" w:rsidR="007B026A" w:rsidRPr="00F45F11" w:rsidDel="00BA0778" w:rsidRDefault="0008767E" w:rsidP="00354ADE">
            <w:pPr>
              <w:pStyle w:val="ARTabletext"/>
              <w:jc w:val="right"/>
              <w:cnfStyle w:val="000000100000" w:firstRow="0" w:lastRow="0" w:firstColumn="0" w:lastColumn="0" w:oddVBand="0" w:evenVBand="0" w:oddHBand="1" w:evenHBand="0" w:firstRowFirstColumn="0" w:firstRowLastColumn="0" w:lastRowFirstColumn="0" w:lastRowLastColumn="0"/>
            </w:pPr>
            <w:r>
              <w:t>Actual: $0</w:t>
            </w:r>
          </w:p>
        </w:tc>
        <w:tc>
          <w:tcPr>
            <w:cnfStyle w:val="000001000000" w:firstRow="0" w:lastRow="0" w:firstColumn="0" w:lastColumn="0" w:oddVBand="0" w:evenVBand="1" w:oddHBand="0" w:evenHBand="0" w:firstRowFirstColumn="0" w:firstRowLastColumn="0" w:lastRowFirstColumn="0" w:lastRowLastColumn="0"/>
            <w:tcW w:w="467" w:type="pct"/>
          </w:tcPr>
          <w:p w14:paraId="7C98F0E7" w14:textId="77777777" w:rsidR="0008767E" w:rsidRDefault="0008767E" w:rsidP="00354ADE">
            <w:pPr>
              <w:pStyle w:val="ARTabletext"/>
              <w:jc w:val="right"/>
            </w:pPr>
            <w:r>
              <w:t>Planned: $0</w:t>
            </w:r>
          </w:p>
          <w:p w14:paraId="49A9A775" w14:textId="125ED252" w:rsidR="007B026A" w:rsidRPr="00F45F11" w:rsidDel="00BA0778" w:rsidRDefault="0008767E" w:rsidP="00354ADE">
            <w:pPr>
              <w:pStyle w:val="ARTabletext"/>
              <w:jc w:val="right"/>
            </w:pPr>
            <w:r>
              <w:t>Actual: $0</w:t>
            </w:r>
          </w:p>
        </w:tc>
        <w:tc>
          <w:tcPr>
            <w:tcW w:w="460" w:type="pct"/>
          </w:tcPr>
          <w:p w14:paraId="5AB745C4" w14:textId="77777777" w:rsidR="0008767E" w:rsidRDefault="0008767E" w:rsidP="00354ADE">
            <w:pPr>
              <w:pStyle w:val="ARTabletext"/>
              <w:jc w:val="right"/>
              <w:cnfStyle w:val="000000100000" w:firstRow="0" w:lastRow="0" w:firstColumn="0" w:lastColumn="0" w:oddVBand="0" w:evenVBand="0" w:oddHBand="1" w:evenHBand="0" w:firstRowFirstColumn="0" w:firstRowLastColumn="0" w:lastRowFirstColumn="0" w:lastRowLastColumn="0"/>
            </w:pPr>
            <w:r>
              <w:t>Planned: $1,035,000</w:t>
            </w:r>
          </w:p>
          <w:p w14:paraId="0C8A1B5C" w14:textId="52B30422" w:rsidR="007B026A" w:rsidDel="007B026A" w:rsidRDefault="0008767E" w:rsidP="00354ADE">
            <w:pPr>
              <w:pStyle w:val="ARTabletext"/>
              <w:jc w:val="right"/>
              <w:cnfStyle w:val="000000100000" w:firstRow="0" w:lastRow="0" w:firstColumn="0" w:lastColumn="0" w:oddVBand="0" w:evenVBand="0" w:oddHBand="1" w:evenHBand="0" w:firstRowFirstColumn="0" w:firstRowLastColumn="0" w:lastRowFirstColumn="0" w:lastRowLastColumn="0"/>
            </w:pPr>
            <w:r>
              <w:t xml:space="preserve">Actual: $928,312.27 </w:t>
            </w:r>
          </w:p>
        </w:tc>
      </w:tr>
      <w:tr w:rsidR="004752E5" w:rsidRPr="00F45F11" w14:paraId="754BAEA1" w14:textId="77777777" w:rsidTr="009D5CE3">
        <w:trPr>
          <w:cnfStyle w:val="000000010000" w:firstRow="0" w:lastRow="0" w:firstColumn="0" w:lastColumn="0" w:oddVBand="0" w:evenVBand="0" w:oddHBand="0" w:evenHBand="1" w:firstRowFirstColumn="0" w:firstRowLastColumn="0" w:lastRowFirstColumn="0" w:lastRowLastColumn="0"/>
          <w:trHeight w:val="300"/>
        </w:trPr>
        <w:tc>
          <w:tcPr>
            <w:tcW w:w="434" w:type="pct"/>
          </w:tcPr>
          <w:p w14:paraId="3EA496A5" w14:textId="456DCF7F" w:rsidR="004752E5" w:rsidRPr="00F45F11" w:rsidRDefault="004752E5" w:rsidP="00354ADE">
            <w:pPr>
              <w:pStyle w:val="ARTabletext"/>
            </w:pPr>
            <w:r w:rsidRPr="00F45F11">
              <w:t>Fostering Connections</w:t>
            </w:r>
          </w:p>
        </w:tc>
        <w:tc>
          <w:tcPr>
            <w:cnfStyle w:val="000001000000" w:firstRow="0" w:lastRow="0" w:firstColumn="0" w:lastColumn="0" w:oddVBand="0" w:evenVBand="1" w:oddHBand="0" w:evenHBand="0" w:firstRowFirstColumn="0" w:firstRowLastColumn="0" w:lastRowFirstColumn="0" w:lastRowLastColumn="0"/>
            <w:tcW w:w="1172" w:type="pct"/>
          </w:tcPr>
          <w:p w14:paraId="4B340D5C" w14:textId="3832EB19" w:rsidR="004752E5" w:rsidRPr="00F45F11" w:rsidRDefault="004752E5" w:rsidP="00354ADE">
            <w:pPr>
              <w:pStyle w:val="ARTabletext"/>
            </w:pPr>
            <w:r w:rsidRPr="00F45F11">
              <w:t xml:space="preserve">The </w:t>
            </w:r>
            <w:r w:rsidRPr="00F45F11">
              <w:rPr>
                <w:bCs/>
              </w:rPr>
              <w:t xml:space="preserve">Fostering Connections </w:t>
            </w:r>
            <w:r w:rsidR="00B85712" w:rsidRPr="00F45F11">
              <w:rPr>
                <w:bCs/>
              </w:rPr>
              <w:t>‘</w:t>
            </w:r>
            <w:r w:rsidRPr="00F45F11">
              <w:rPr>
                <w:bCs/>
              </w:rPr>
              <w:t>Play a</w:t>
            </w:r>
            <w:r w:rsidR="00B62B38" w:rsidRPr="00F45F11">
              <w:rPr>
                <w:bCs/>
              </w:rPr>
              <w:t> </w:t>
            </w:r>
            <w:r w:rsidRPr="00F45F11">
              <w:rPr>
                <w:bCs/>
              </w:rPr>
              <w:t>Part</w:t>
            </w:r>
            <w:r w:rsidR="00B85712" w:rsidRPr="00F45F11">
              <w:rPr>
                <w:bCs/>
              </w:rPr>
              <w:t>’</w:t>
            </w:r>
            <w:r w:rsidRPr="00F45F11">
              <w:rPr>
                <w:bCs/>
              </w:rPr>
              <w:t xml:space="preserve"> campaign</w:t>
            </w:r>
            <w:r w:rsidRPr="00F45F11">
              <w:t xml:space="preserve"> is a statewide recruitment initiative designed to raise awareness of the need for more foster carers in Victoria and encourage people to take the first step towards fostering. Paid advertising across digital, social, radio and regional media channels was supported by an</w:t>
            </w:r>
            <w:r w:rsidR="00B62B38" w:rsidRPr="00F45F11">
              <w:t> </w:t>
            </w:r>
            <w:r w:rsidRPr="00F45F11">
              <w:t>unpaid communications plan. The</w:t>
            </w:r>
            <w:r w:rsidR="00B62B38" w:rsidRPr="00F45F11">
              <w:t> </w:t>
            </w:r>
            <w:r w:rsidRPr="00F45F11">
              <w:t>campaign seeks to increase awareness, drive enquiries through the Fostering Connections website and phone hotline and contribute to Victoria's efforts to recruit a more diverse and sustainable foster carer</w:t>
            </w:r>
            <w:r w:rsidR="00B62B38" w:rsidRPr="00F45F11">
              <w:t> </w:t>
            </w:r>
            <w:r w:rsidRPr="00F45F11">
              <w:t>workforce.</w:t>
            </w:r>
          </w:p>
        </w:tc>
        <w:tc>
          <w:tcPr>
            <w:tcW w:w="438" w:type="pct"/>
          </w:tcPr>
          <w:p w14:paraId="26F15EF6" w14:textId="4A03BACD" w:rsidR="004752E5" w:rsidRPr="00F45F11" w:rsidRDefault="004752E5" w:rsidP="00354ADE">
            <w:pPr>
              <w:pStyle w:val="ARTabletext"/>
              <w:cnfStyle w:val="000000010000" w:firstRow="0" w:lastRow="0" w:firstColumn="0" w:lastColumn="0" w:oddVBand="0" w:evenVBand="0" w:oddHBand="0" w:evenHBand="1" w:firstRowFirstColumn="0" w:firstRowLastColumn="0" w:lastRowFirstColumn="0" w:lastRowLastColumn="0"/>
            </w:pPr>
            <w:r w:rsidRPr="00F45F11">
              <w:t>1/09/2025 – 30/06/2026</w:t>
            </w:r>
          </w:p>
        </w:tc>
        <w:tc>
          <w:tcPr>
            <w:cnfStyle w:val="000001000000" w:firstRow="0" w:lastRow="0" w:firstColumn="0" w:lastColumn="0" w:oddVBand="0" w:evenVBand="1" w:oddHBand="0" w:evenHBand="0" w:firstRowFirstColumn="0" w:firstRowLastColumn="0" w:lastRowFirstColumn="0" w:lastRowLastColumn="0"/>
            <w:tcW w:w="583" w:type="pct"/>
          </w:tcPr>
          <w:p w14:paraId="14D4C35C" w14:textId="77777777" w:rsidR="004752E5" w:rsidRPr="00F45F11" w:rsidRDefault="004752E5" w:rsidP="00354ADE">
            <w:pPr>
              <w:pStyle w:val="ARTabletext"/>
              <w:jc w:val="right"/>
            </w:pPr>
            <w:r w:rsidRPr="00F45F11">
              <w:t>Approved $900,000</w:t>
            </w:r>
          </w:p>
          <w:p w14:paraId="4EECA835" w14:textId="6B910C27" w:rsidR="004752E5" w:rsidRPr="00F45F11" w:rsidRDefault="004752E5" w:rsidP="00354ADE">
            <w:pPr>
              <w:pStyle w:val="ARTabletext"/>
              <w:jc w:val="right"/>
            </w:pPr>
            <w:r w:rsidRPr="00F45F11">
              <w:t>Actual</w:t>
            </w:r>
            <w:r w:rsidR="001F770B" w:rsidRPr="00F45F11">
              <w:t>:</w:t>
            </w:r>
            <w:r w:rsidR="001F770B" w:rsidRPr="00F45F11">
              <w:br/>
            </w:r>
            <w:r w:rsidRPr="00F45F11">
              <w:t>$727,72</w:t>
            </w:r>
            <w:r w:rsidR="005B2C14">
              <w:t>6</w:t>
            </w:r>
            <w:r w:rsidRPr="00F45F11">
              <w:t>.</w:t>
            </w:r>
            <w:r w:rsidR="005B2C14">
              <w:t>56</w:t>
            </w:r>
          </w:p>
        </w:tc>
        <w:tc>
          <w:tcPr>
            <w:tcW w:w="513" w:type="pct"/>
          </w:tcPr>
          <w:p w14:paraId="67FDDFAE" w14:textId="77777777" w:rsidR="004752E5" w:rsidRPr="00F45F11" w:rsidRDefault="004752E5" w:rsidP="00354ADE">
            <w:pPr>
              <w:pStyle w:val="ARTabletext"/>
              <w:jc w:val="right"/>
              <w:cnfStyle w:val="000000010000" w:firstRow="0" w:lastRow="0" w:firstColumn="0" w:lastColumn="0" w:oddVBand="0" w:evenVBand="0" w:oddHBand="0" w:evenHBand="1" w:firstRowFirstColumn="0" w:firstRowLastColumn="0" w:lastRowFirstColumn="0" w:lastRowLastColumn="0"/>
            </w:pPr>
            <w:r w:rsidRPr="00F45F11">
              <w:t>Planned: $0</w:t>
            </w:r>
          </w:p>
          <w:p w14:paraId="117AFBAB" w14:textId="4EEEA8E5" w:rsidR="004752E5" w:rsidRPr="00F45F11" w:rsidRDefault="004752E5" w:rsidP="00354ADE">
            <w:pPr>
              <w:pStyle w:val="ARTabletext"/>
              <w:jc w:val="right"/>
              <w:cnfStyle w:val="000000010000" w:firstRow="0" w:lastRow="0" w:firstColumn="0" w:lastColumn="0" w:oddVBand="0" w:evenVBand="0" w:oddHBand="0" w:evenHBand="1" w:firstRowFirstColumn="0" w:firstRowLastColumn="0" w:lastRowFirstColumn="0" w:lastRowLastColumn="0"/>
            </w:pPr>
            <w:r w:rsidRPr="00F45F11">
              <w:t xml:space="preserve">Actual: </w:t>
            </w:r>
            <w:r w:rsidR="001F770B" w:rsidRPr="00F45F11">
              <w:br/>
            </w:r>
            <w:r w:rsidRPr="00F45F11">
              <w:t>$25,000</w:t>
            </w:r>
            <w:r w:rsidR="008A367D" w:rsidRPr="00067149">
              <w:rPr>
                <w:vertAlign w:val="superscript"/>
              </w:rPr>
              <w:t>(c)</w:t>
            </w:r>
            <w:r w:rsidRPr="00F45F11">
              <w:t xml:space="preserve"> </w:t>
            </w:r>
          </w:p>
        </w:tc>
        <w:tc>
          <w:tcPr>
            <w:cnfStyle w:val="000001000000" w:firstRow="0" w:lastRow="0" w:firstColumn="0" w:lastColumn="0" w:oddVBand="0" w:evenVBand="1" w:oddHBand="0" w:evenHBand="0" w:firstRowFirstColumn="0" w:firstRowLastColumn="0" w:lastRowFirstColumn="0" w:lastRowLastColumn="0"/>
            <w:tcW w:w="467" w:type="pct"/>
          </w:tcPr>
          <w:p w14:paraId="3615805A" w14:textId="77777777" w:rsidR="004752E5" w:rsidRPr="00F45F11" w:rsidRDefault="004752E5" w:rsidP="00354ADE">
            <w:pPr>
              <w:pStyle w:val="ARTabletext"/>
              <w:jc w:val="right"/>
            </w:pPr>
            <w:r w:rsidRPr="00F45F11">
              <w:t xml:space="preserve">Planned: $0 </w:t>
            </w:r>
          </w:p>
          <w:p w14:paraId="71E9BD22" w14:textId="513B3A5D" w:rsidR="004752E5" w:rsidRPr="00F45F11" w:rsidRDefault="004752E5" w:rsidP="00354ADE">
            <w:pPr>
              <w:pStyle w:val="ARTabletext"/>
              <w:jc w:val="right"/>
            </w:pPr>
            <w:r w:rsidRPr="00F45F11">
              <w:t>Actual: $47,135</w:t>
            </w:r>
            <w:r w:rsidR="008A367D" w:rsidRPr="00067149">
              <w:rPr>
                <w:vertAlign w:val="superscript"/>
              </w:rPr>
              <w:t>(d)</w:t>
            </w:r>
          </w:p>
        </w:tc>
        <w:tc>
          <w:tcPr>
            <w:tcW w:w="467" w:type="pct"/>
          </w:tcPr>
          <w:p w14:paraId="2F09A349" w14:textId="77777777" w:rsidR="004752E5" w:rsidRPr="00F45F11" w:rsidRDefault="004752E5" w:rsidP="00354ADE">
            <w:pPr>
              <w:pStyle w:val="ARTabletext"/>
              <w:jc w:val="right"/>
              <w:cnfStyle w:val="000000010000" w:firstRow="0" w:lastRow="0" w:firstColumn="0" w:lastColumn="0" w:oddVBand="0" w:evenVBand="0" w:oddHBand="0" w:evenHBand="1" w:firstRowFirstColumn="0" w:firstRowLastColumn="0" w:lastRowFirstColumn="0" w:lastRowLastColumn="0"/>
            </w:pPr>
            <w:r w:rsidRPr="00F45F11">
              <w:t>Planned: $0</w:t>
            </w:r>
          </w:p>
          <w:p w14:paraId="1FC9EA95" w14:textId="785D39B3" w:rsidR="004752E5" w:rsidRPr="00F45F11" w:rsidRDefault="004752E5" w:rsidP="00354ADE">
            <w:pPr>
              <w:pStyle w:val="ARTabletext"/>
              <w:jc w:val="right"/>
              <w:cnfStyle w:val="000000010000" w:firstRow="0" w:lastRow="0" w:firstColumn="0" w:lastColumn="0" w:oddVBand="0" w:evenVBand="0" w:oddHBand="0" w:evenHBand="1" w:firstRowFirstColumn="0" w:firstRowLastColumn="0" w:lastRowFirstColumn="0" w:lastRowLastColumn="0"/>
            </w:pPr>
            <w:r w:rsidRPr="00F45F11">
              <w:t xml:space="preserve">Actual: </w:t>
            </w:r>
            <w:r w:rsidR="001F770B" w:rsidRPr="00F45F11">
              <w:br/>
            </w:r>
            <w:r w:rsidRPr="00F45F11">
              <w:t>$5,000</w:t>
            </w:r>
          </w:p>
        </w:tc>
        <w:tc>
          <w:tcPr>
            <w:cnfStyle w:val="000001000000" w:firstRow="0" w:lastRow="0" w:firstColumn="0" w:lastColumn="0" w:oddVBand="0" w:evenVBand="1" w:oddHBand="0" w:evenHBand="0" w:firstRowFirstColumn="0" w:firstRowLastColumn="0" w:lastRowFirstColumn="0" w:lastRowLastColumn="0"/>
            <w:tcW w:w="467" w:type="pct"/>
          </w:tcPr>
          <w:p w14:paraId="20391F69" w14:textId="5B544B3C" w:rsidR="004752E5" w:rsidRPr="00F45F11" w:rsidRDefault="004752E5" w:rsidP="009D5CE3">
            <w:pPr>
              <w:pStyle w:val="ARTabletext"/>
              <w:jc w:val="right"/>
            </w:pPr>
            <w:r w:rsidRPr="00F45F11">
              <w:t>Planned: $0 Actual: $30,000</w:t>
            </w:r>
          </w:p>
        </w:tc>
        <w:tc>
          <w:tcPr>
            <w:tcW w:w="460" w:type="pct"/>
          </w:tcPr>
          <w:p w14:paraId="4A76CB59" w14:textId="77777777" w:rsidR="004752E5" w:rsidRPr="00F45F11" w:rsidRDefault="004752E5" w:rsidP="00354ADE">
            <w:pPr>
              <w:pStyle w:val="ARTabletext"/>
              <w:jc w:val="right"/>
              <w:cnfStyle w:val="000000010000" w:firstRow="0" w:lastRow="0" w:firstColumn="0" w:lastColumn="0" w:oddVBand="0" w:evenVBand="0" w:oddHBand="0" w:evenHBand="1" w:firstRowFirstColumn="0" w:firstRowLastColumn="0" w:lastRowFirstColumn="0" w:lastRowLastColumn="0"/>
            </w:pPr>
            <w:r w:rsidRPr="00F45F11">
              <w:t>Planned: $900,000</w:t>
            </w:r>
          </w:p>
          <w:p w14:paraId="4A63E4C1" w14:textId="71E6E288" w:rsidR="004752E5" w:rsidRPr="00F45F11" w:rsidRDefault="004752E5" w:rsidP="00354ADE">
            <w:pPr>
              <w:pStyle w:val="ARTabletext"/>
              <w:jc w:val="right"/>
              <w:cnfStyle w:val="000000010000" w:firstRow="0" w:lastRow="0" w:firstColumn="0" w:lastColumn="0" w:oddVBand="0" w:evenVBand="0" w:oddHBand="0" w:evenHBand="1" w:firstRowFirstColumn="0" w:firstRowLastColumn="0" w:lastRowFirstColumn="0" w:lastRowLastColumn="0"/>
            </w:pPr>
            <w:r w:rsidRPr="00F45F11">
              <w:t>Actual: $834,8</w:t>
            </w:r>
            <w:r w:rsidR="00447B13">
              <w:t>61.56</w:t>
            </w:r>
          </w:p>
        </w:tc>
      </w:tr>
      <w:tr w:rsidR="004752E5" w:rsidRPr="00F45F11" w14:paraId="364F1507" w14:textId="77777777" w:rsidTr="009D5CE3">
        <w:trPr>
          <w:cnfStyle w:val="000000100000" w:firstRow="0" w:lastRow="0" w:firstColumn="0" w:lastColumn="0" w:oddVBand="0" w:evenVBand="0" w:oddHBand="1" w:evenHBand="0" w:firstRowFirstColumn="0" w:firstRowLastColumn="0" w:lastRowFirstColumn="0" w:lastRowLastColumn="0"/>
          <w:trHeight w:val="300"/>
        </w:trPr>
        <w:tc>
          <w:tcPr>
            <w:tcW w:w="434" w:type="pct"/>
          </w:tcPr>
          <w:p w14:paraId="7377539E" w14:textId="1471FB98" w:rsidR="004752E5" w:rsidRPr="00F45F11" w:rsidRDefault="004752E5" w:rsidP="00C23792">
            <w:pPr>
              <w:pStyle w:val="ARTabletext"/>
            </w:pPr>
            <w:r w:rsidRPr="00F45F11">
              <w:t>Go Where You’re</w:t>
            </w:r>
            <w:r w:rsidR="00611072" w:rsidRPr="00F45F11">
              <w:t> </w:t>
            </w:r>
            <w:r w:rsidRPr="00F45F11">
              <w:t>Needed</w:t>
            </w:r>
          </w:p>
        </w:tc>
        <w:tc>
          <w:tcPr>
            <w:cnfStyle w:val="000001000000" w:firstRow="0" w:lastRow="0" w:firstColumn="0" w:lastColumn="0" w:oddVBand="0" w:evenVBand="1" w:oddHBand="0" w:evenHBand="0" w:firstRowFirstColumn="0" w:firstRowLastColumn="0" w:lastRowFirstColumn="0" w:lastRowLastColumn="0"/>
            <w:tcW w:w="1172" w:type="pct"/>
          </w:tcPr>
          <w:p w14:paraId="08A90DC8" w14:textId="413CF751" w:rsidR="00F33AE5" w:rsidRPr="00F45F11" w:rsidRDefault="004752E5" w:rsidP="00C23792">
            <w:pPr>
              <w:pStyle w:val="ARTabletext"/>
            </w:pPr>
            <w:r w:rsidRPr="00F45F11">
              <w:t>Child protection recruitment</w:t>
            </w:r>
            <w:r w:rsidR="00F33AE5" w:rsidRPr="00F45F11">
              <w:t> </w:t>
            </w:r>
            <w:r w:rsidRPr="00F45F11">
              <w:t xml:space="preserve">campaign. </w:t>
            </w:r>
          </w:p>
          <w:p w14:paraId="43CFBB6D" w14:textId="58825F23" w:rsidR="004752E5" w:rsidRPr="00F45F11" w:rsidRDefault="004752E5" w:rsidP="00C23792">
            <w:pPr>
              <w:pStyle w:val="ARTabletext"/>
            </w:pPr>
            <w:r w:rsidRPr="00F45F11">
              <w:t>The campaign aims to fill current vacancies and motivate Victorians to consider a career in child protection. We want people studying or with relevant qualifications, or work experience, to think about child protection as a viable career option.</w:t>
            </w:r>
          </w:p>
        </w:tc>
        <w:tc>
          <w:tcPr>
            <w:tcW w:w="438" w:type="pct"/>
          </w:tcPr>
          <w:p w14:paraId="13561526" w14:textId="6243D196" w:rsidR="004752E5" w:rsidRPr="00F45F11" w:rsidRDefault="004752E5" w:rsidP="00C23792">
            <w:pPr>
              <w:pStyle w:val="ARtabletextright"/>
              <w:jc w:val="left"/>
              <w:cnfStyle w:val="000000100000" w:firstRow="0" w:lastRow="0" w:firstColumn="0" w:lastColumn="0" w:oddVBand="0" w:evenVBand="0" w:oddHBand="1" w:evenHBand="0" w:firstRowFirstColumn="0" w:firstRowLastColumn="0" w:lastRowFirstColumn="0" w:lastRowLastColumn="0"/>
            </w:pPr>
            <w:r w:rsidRPr="00F45F11">
              <w:t>19/01/2026 – 06/02/2026</w:t>
            </w:r>
          </w:p>
        </w:tc>
        <w:tc>
          <w:tcPr>
            <w:cnfStyle w:val="000001000000" w:firstRow="0" w:lastRow="0" w:firstColumn="0" w:lastColumn="0" w:oddVBand="0" w:evenVBand="1" w:oddHBand="0" w:evenHBand="0" w:firstRowFirstColumn="0" w:firstRowLastColumn="0" w:lastRowFirstColumn="0" w:lastRowLastColumn="0"/>
            <w:tcW w:w="583" w:type="pct"/>
          </w:tcPr>
          <w:p w14:paraId="68761065" w14:textId="77777777" w:rsidR="004752E5" w:rsidRPr="00F45F11" w:rsidRDefault="004752E5" w:rsidP="00C23792">
            <w:pPr>
              <w:pStyle w:val="ARtabletextright"/>
            </w:pPr>
            <w:r w:rsidRPr="00F45F11">
              <w:t xml:space="preserve">Approved </w:t>
            </w:r>
          </w:p>
          <w:p w14:paraId="145FD85F" w14:textId="77777777" w:rsidR="004752E5" w:rsidRPr="00F45F11" w:rsidRDefault="004752E5" w:rsidP="00C23792">
            <w:pPr>
              <w:pStyle w:val="ARtabletextright"/>
            </w:pPr>
            <w:r w:rsidRPr="00F45F11">
              <w:t>$100,000</w:t>
            </w:r>
          </w:p>
          <w:p w14:paraId="3BFC7AA5" w14:textId="77777777" w:rsidR="004752E5" w:rsidRPr="00F45F11" w:rsidRDefault="004752E5" w:rsidP="00C23792">
            <w:pPr>
              <w:pStyle w:val="ARtabletextright"/>
            </w:pPr>
            <w:r w:rsidRPr="00F45F11">
              <w:t>Actual $88,954.45</w:t>
            </w:r>
          </w:p>
        </w:tc>
        <w:tc>
          <w:tcPr>
            <w:tcW w:w="513" w:type="pct"/>
          </w:tcPr>
          <w:p w14:paraId="5FF9E661" w14:textId="77777777" w:rsidR="004752E5" w:rsidRPr="00F45F11" w:rsidRDefault="004752E5" w:rsidP="00C23792">
            <w:pPr>
              <w:pStyle w:val="ARtabletextright"/>
              <w:cnfStyle w:val="000000100000" w:firstRow="0" w:lastRow="0" w:firstColumn="0" w:lastColumn="0" w:oddVBand="0" w:evenVBand="0" w:oddHBand="1" w:evenHBand="0" w:firstRowFirstColumn="0" w:firstRowLastColumn="0" w:lastRowFirstColumn="0" w:lastRowLastColumn="0"/>
            </w:pPr>
            <w:r w:rsidRPr="00F45F11">
              <w:t>Planned: $0</w:t>
            </w:r>
          </w:p>
          <w:p w14:paraId="1107FA4C" w14:textId="7B188889" w:rsidR="004752E5" w:rsidRPr="00F45F11" w:rsidRDefault="004752E5" w:rsidP="00C23792">
            <w:pPr>
              <w:pStyle w:val="ARtabletextright"/>
              <w:cnfStyle w:val="000000100000" w:firstRow="0" w:lastRow="0" w:firstColumn="0" w:lastColumn="0" w:oddVBand="0" w:evenVBand="0" w:oddHBand="1" w:evenHBand="0" w:firstRowFirstColumn="0" w:firstRowLastColumn="0" w:lastRowFirstColumn="0" w:lastRowLastColumn="0"/>
            </w:pPr>
            <w:r w:rsidRPr="00F45F11">
              <w:t>Actual: $15,358.64</w:t>
            </w:r>
            <w:r w:rsidR="00714D22" w:rsidRPr="00067149">
              <w:rPr>
                <w:vertAlign w:val="superscript"/>
              </w:rPr>
              <w:t>(e)</w:t>
            </w:r>
          </w:p>
        </w:tc>
        <w:tc>
          <w:tcPr>
            <w:cnfStyle w:val="000001000000" w:firstRow="0" w:lastRow="0" w:firstColumn="0" w:lastColumn="0" w:oddVBand="0" w:evenVBand="1" w:oddHBand="0" w:evenHBand="0" w:firstRowFirstColumn="0" w:firstRowLastColumn="0" w:lastRowFirstColumn="0" w:lastRowLastColumn="0"/>
            <w:tcW w:w="467" w:type="pct"/>
          </w:tcPr>
          <w:p w14:paraId="7A19EE07" w14:textId="77777777" w:rsidR="004752E5" w:rsidRPr="00F45F11" w:rsidRDefault="004752E5" w:rsidP="00C23792">
            <w:pPr>
              <w:pStyle w:val="ARtabletextright"/>
            </w:pPr>
            <w:r w:rsidRPr="00F45F11">
              <w:t xml:space="preserve">Planned: $0 </w:t>
            </w:r>
          </w:p>
          <w:p w14:paraId="4FCD7A21" w14:textId="77777777" w:rsidR="004752E5" w:rsidRPr="00F45F11" w:rsidRDefault="004752E5" w:rsidP="00C23792">
            <w:pPr>
              <w:pStyle w:val="ARtabletextright"/>
            </w:pPr>
            <w:r w:rsidRPr="00F45F11">
              <w:t>Actual: $0</w:t>
            </w:r>
          </w:p>
        </w:tc>
        <w:tc>
          <w:tcPr>
            <w:tcW w:w="467" w:type="pct"/>
          </w:tcPr>
          <w:p w14:paraId="18D319EF" w14:textId="77777777" w:rsidR="004752E5" w:rsidRPr="00F45F11" w:rsidRDefault="004752E5" w:rsidP="00C23792">
            <w:pPr>
              <w:pStyle w:val="ARtabletextright"/>
              <w:cnfStyle w:val="000000100000" w:firstRow="0" w:lastRow="0" w:firstColumn="0" w:lastColumn="0" w:oddVBand="0" w:evenVBand="0" w:oddHBand="1" w:evenHBand="0" w:firstRowFirstColumn="0" w:firstRowLastColumn="0" w:lastRowFirstColumn="0" w:lastRowLastColumn="0"/>
            </w:pPr>
            <w:r w:rsidRPr="00F45F11">
              <w:t>Planned: $0 Actual: $0</w:t>
            </w:r>
          </w:p>
        </w:tc>
        <w:tc>
          <w:tcPr>
            <w:cnfStyle w:val="000001000000" w:firstRow="0" w:lastRow="0" w:firstColumn="0" w:lastColumn="0" w:oddVBand="0" w:evenVBand="1" w:oddHBand="0" w:evenHBand="0" w:firstRowFirstColumn="0" w:firstRowLastColumn="0" w:lastRowFirstColumn="0" w:lastRowLastColumn="0"/>
            <w:tcW w:w="467" w:type="pct"/>
          </w:tcPr>
          <w:p w14:paraId="2F7AFA04" w14:textId="4BD723E6" w:rsidR="004752E5" w:rsidRPr="00F45F11" w:rsidRDefault="004752E5" w:rsidP="00C23792">
            <w:pPr>
              <w:pStyle w:val="ARtabletextright"/>
            </w:pPr>
            <w:r w:rsidRPr="00F45F11">
              <w:t>Planned: $0 Actual: $ 3,547.50</w:t>
            </w:r>
          </w:p>
        </w:tc>
        <w:tc>
          <w:tcPr>
            <w:tcW w:w="460" w:type="pct"/>
          </w:tcPr>
          <w:p w14:paraId="01871577" w14:textId="17890600" w:rsidR="004752E5" w:rsidRPr="00F45F11" w:rsidRDefault="004752E5" w:rsidP="00C23792">
            <w:pPr>
              <w:pStyle w:val="ARtabletextright"/>
              <w:cnfStyle w:val="000000100000" w:firstRow="0" w:lastRow="0" w:firstColumn="0" w:lastColumn="0" w:oddVBand="0" w:evenVBand="0" w:oddHBand="1" w:evenHBand="0" w:firstRowFirstColumn="0" w:firstRowLastColumn="0" w:lastRowFirstColumn="0" w:lastRowLastColumn="0"/>
            </w:pPr>
            <w:r w:rsidRPr="00F45F11">
              <w:t>Planned: $100,000 Actual: $107,860.59</w:t>
            </w:r>
          </w:p>
        </w:tc>
      </w:tr>
    </w:tbl>
    <w:p w14:paraId="2EE7CEA1" w14:textId="77777777" w:rsidR="004752E5" w:rsidRPr="00F45F11" w:rsidRDefault="004752E5" w:rsidP="009B5FEE">
      <w:pPr>
        <w:pStyle w:val="ARTablefigurenote"/>
        <w:rPr>
          <w:rFonts w:eastAsia="Times"/>
        </w:rPr>
      </w:pPr>
      <w:r w:rsidRPr="00F45F11">
        <w:rPr>
          <w:rFonts w:eastAsia="Times"/>
        </w:rPr>
        <w:t xml:space="preserve">Notes: </w:t>
      </w:r>
    </w:p>
    <w:p w14:paraId="37108D3F" w14:textId="77777777" w:rsidR="00C55C57" w:rsidRDefault="00C55C57" w:rsidP="00C55C57">
      <w:pPr>
        <w:pStyle w:val="ARtablefootnotealpha"/>
        <w:numPr>
          <w:ilvl w:val="0"/>
          <w:numId w:val="114"/>
        </w:numPr>
      </w:pPr>
      <w:r>
        <w:t>Approved ‘Advertising (media) expenditure’ is the amount approved for each campaign by the Advertising Approval Group (AAG). Approved ‘advertising media expenditure’ only relates to advertising. It is separate to creative and campaign expenditure, research and evaluation, print and collateral and other.’</w:t>
      </w:r>
    </w:p>
    <w:p w14:paraId="44CB5E88" w14:textId="47F0A148" w:rsidR="00714D22" w:rsidRPr="00F45F11" w:rsidRDefault="00C55C57" w:rsidP="00C55C57">
      <w:pPr>
        <w:pStyle w:val="ARtablefootnotealpha"/>
        <w:numPr>
          <w:ilvl w:val="0"/>
          <w:numId w:val="114"/>
        </w:numPr>
      </w:pPr>
      <w:r>
        <w:t xml:space="preserve">Planned campaign expenditure amounts are the amounts included in the Campaign Strategy form submitted to the AAG for </w:t>
      </w:r>
      <w:r w:rsidR="000D1EDD">
        <w:t>review.</w:t>
      </w:r>
    </w:p>
    <w:p w14:paraId="49603885" w14:textId="77777777" w:rsidR="00DC25DC" w:rsidRPr="00F63DEB" w:rsidRDefault="00DC25DC" w:rsidP="00434684">
      <w:pPr>
        <w:pStyle w:val="ARBody"/>
      </w:pPr>
      <w:bookmarkStart w:id="169" w:name="_Consultancies_(valued_at"/>
      <w:bookmarkStart w:id="170" w:name="_Details_of_consultancies"/>
      <w:bookmarkStart w:id="171" w:name="_Ref52285882"/>
      <w:bookmarkStart w:id="172" w:name="_Toc54690787"/>
      <w:bookmarkStart w:id="173" w:name="_Toc212039539"/>
      <w:bookmarkStart w:id="174" w:name="_Toc149587052"/>
      <w:bookmarkStart w:id="175" w:name="_Toc114491205"/>
      <w:bookmarkStart w:id="176" w:name="_Toc82006205"/>
      <w:bookmarkStart w:id="177" w:name="_Ref21862226"/>
      <w:bookmarkEnd w:id="169"/>
      <w:bookmarkEnd w:id="170"/>
      <w:r w:rsidRPr="00F45F11">
        <w:br w:type="page"/>
      </w:r>
    </w:p>
    <w:p w14:paraId="5DFE97C2" w14:textId="0C04CFD9" w:rsidR="00DC25DC" w:rsidRPr="00F45F11" w:rsidRDefault="00DC25DC" w:rsidP="00DC25DC">
      <w:pPr>
        <w:pStyle w:val="Heading2"/>
        <w:spacing w:before="0"/>
      </w:pPr>
      <w:bookmarkStart w:id="178" w:name="_Toc241131714"/>
      <w:r w:rsidRPr="00F45F11">
        <w:t>Consultanc</w:t>
      </w:r>
      <w:bookmarkEnd w:id="171"/>
      <w:bookmarkEnd w:id="172"/>
      <w:r w:rsidRPr="00F45F11">
        <w:t xml:space="preserve">y </w:t>
      </w:r>
      <w:bookmarkEnd w:id="173"/>
      <w:bookmarkEnd w:id="174"/>
      <w:bookmarkEnd w:id="175"/>
      <w:bookmarkEnd w:id="176"/>
      <w:bookmarkEnd w:id="178"/>
      <w:r w:rsidRPr="00F45F11">
        <w:t>expenditure</w:t>
      </w:r>
    </w:p>
    <w:p w14:paraId="0B10CD63" w14:textId="77777777" w:rsidR="00DC25DC" w:rsidRPr="00F45F11" w:rsidRDefault="00DC25DC" w:rsidP="00DC25DC">
      <w:pPr>
        <w:pStyle w:val="Heading3"/>
      </w:pPr>
      <w:bookmarkStart w:id="179" w:name="_Consultancies_(valued_at_1"/>
      <w:bookmarkStart w:id="180" w:name="_Ref178179920"/>
      <w:bookmarkEnd w:id="179"/>
      <w:r w:rsidRPr="00F45F11">
        <w:t>Consultancies (valued at $10,000 or greater)</w:t>
      </w:r>
      <w:bookmarkEnd w:id="180"/>
    </w:p>
    <w:p w14:paraId="1EA415A0" w14:textId="42D222BE" w:rsidR="00DC25DC" w:rsidRPr="00F45F11" w:rsidRDefault="00DC25DC" w:rsidP="00DC25DC">
      <w:pPr>
        <w:pStyle w:val="ARBody"/>
      </w:pPr>
      <w:r w:rsidRPr="00F45F11">
        <w:t>In 2025–26, the department engaged 50 consultancies valued at $10,000 or more. The department spent $</w:t>
      </w:r>
      <w:r w:rsidRPr="00F45F11">
        <w:rPr>
          <w:color w:val="000000" w:themeColor="text1"/>
        </w:rPr>
        <w:t>8.</w:t>
      </w:r>
      <w:r w:rsidR="00E5291A" w:rsidRPr="00F45F11">
        <w:rPr>
          <w:color w:val="000000" w:themeColor="text1"/>
        </w:rPr>
        <w:t>6</w:t>
      </w:r>
      <w:r w:rsidR="00E5291A">
        <w:rPr>
          <w:color w:val="000000" w:themeColor="text1"/>
        </w:rPr>
        <w:t>0</w:t>
      </w:r>
      <w:r w:rsidRPr="00F45F11">
        <w:rPr>
          <w:color w:val="000000" w:themeColor="text1"/>
        </w:rPr>
        <w:t xml:space="preserve"> </w:t>
      </w:r>
      <w:r w:rsidRPr="00F45F11">
        <w:t xml:space="preserve">million (excluding GST) on these consultancies. Table 9 sets out the details of these consultancies. </w:t>
      </w:r>
    </w:p>
    <w:p w14:paraId="17DE599E" w14:textId="77777777" w:rsidR="00DC25DC" w:rsidRPr="00F45F11" w:rsidRDefault="00DC25DC" w:rsidP="00DC25DC">
      <w:pPr>
        <w:pStyle w:val="ARTablecaption"/>
      </w:pPr>
      <w:bookmarkStart w:id="181" w:name="_Ref178180184"/>
      <w:r w:rsidRPr="00F45F11">
        <w:t>Table 9: Details of consultancies (value of $10,000 or greater)</w:t>
      </w:r>
    </w:p>
    <w:tbl>
      <w:tblPr>
        <w:tblStyle w:val="ARtable2"/>
        <w:tblW w:w="5000" w:type="pct"/>
        <w:tblLook w:val="02E0" w:firstRow="1" w:lastRow="1" w:firstColumn="1" w:lastColumn="0" w:noHBand="1" w:noVBand="0"/>
      </w:tblPr>
      <w:tblGrid>
        <w:gridCol w:w="2911"/>
        <w:gridCol w:w="6864"/>
        <w:gridCol w:w="1596"/>
        <w:gridCol w:w="1596"/>
        <w:gridCol w:w="1593"/>
      </w:tblGrid>
      <w:tr w:rsidR="00DC25DC" w:rsidRPr="00F45F11" w14:paraId="0CF6E00A" w14:textId="77777777" w:rsidTr="00457FAF">
        <w:trPr>
          <w:cnfStyle w:val="100000000000" w:firstRow="1" w:lastRow="0" w:firstColumn="0" w:lastColumn="0" w:oddVBand="0" w:evenVBand="0" w:oddHBand="0" w:evenHBand="0" w:firstRowFirstColumn="0" w:firstRowLastColumn="0" w:lastRowFirstColumn="0" w:lastRowLastColumn="0"/>
          <w:trHeight w:val="20"/>
          <w:tblHeader/>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bookmarkEnd w:id="177"/>
          <w:bookmarkEnd w:id="181"/>
          <w:p w14:paraId="4820C89B" w14:textId="77777777" w:rsidR="00DC25DC" w:rsidRPr="00F45F11" w:rsidRDefault="00DC25DC" w:rsidP="009817E6">
            <w:pPr>
              <w:pStyle w:val="ARtablecolhead"/>
            </w:pPr>
            <w:r w:rsidRPr="00F45F11">
              <w:t>Consultant</w:t>
            </w:r>
          </w:p>
        </w:tc>
        <w:tc>
          <w:tcPr>
            <w:tcW w:w="2357" w:type="pct"/>
          </w:tcPr>
          <w:p w14:paraId="2CBCC3B8" w14:textId="77777777" w:rsidR="00DC25DC" w:rsidRPr="00F45F11" w:rsidRDefault="00DC25DC" w:rsidP="009817E6">
            <w:pPr>
              <w:pStyle w:val="ARtablecolhead"/>
              <w:cnfStyle w:val="100000000000" w:firstRow="1" w:lastRow="0" w:firstColumn="0" w:lastColumn="0" w:oddVBand="0" w:evenVBand="0" w:oddHBand="0" w:evenHBand="0" w:firstRowFirstColumn="0" w:firstRowLastColumn="0" w:lastRowFirstColumn="0" w:lastRowLastColumn="0"/>
            </w:pPr>
            <w:r w:rsidRPr="00F45F11">
              <w:t>Purpose of consultancy</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60AD226A" w14:textId="77777777" w:rsidR="00DC25DC" w:rsidRPr="00F45F11" w:rsidRDefault="00DC25DC" w:rsidP="009817E6">
            <w:pPr>
              <w:pStyle w:val="ARtablecolheadright"/>
            </w:pPr>
            <w:r w:rsidRPr="00F45F11">
              <w:t>Total approved project fee</w:t>
            </w:r>
          </w:p>
          <w:p w14:paraId="6D0E1BAA" w14:textId="77777777" w:rsidR="00DC25DC" w:rsidRPr="00F45F11" w:rsidRDefault="00DC25DC" w:rsidP="00644402">
            <w:pPr>
              <w:pStyle w:val="ARtablecolheadright"/>
            </w:pPr>
            <w:r w:rsidRPr="00F45F11">
              <w:t xml:space="preserve">($ </w:t>
            </w:r>
            <w:r w:rsidRPr="00644402">
              <w:t>excl</w:t>
            </w:r>
            <w:r w:rsidRPr="00F45F11">
              <w:t>. GST)</w:t>
            </w:r>
          </w:p>
        </w:tc>
        <w:tc>
          <w:tcPr>
            <w:tcW w:w="548" w:type="pct"/>
            <w:tcMar>
              <w:left w:w="0" w:type="nil"/>
              <w:right w:w="0" w:type="nil"/>
            </w:tcMar>
          </w:tcPr>
          <w:p w14:paraId="51483CD2" w14:textId="77777777" w:rsidR="00DC25DC" w:rsidRPr="00F45F11" w:rsidRDefault="00DC25DC" w:rsidP="009817E6">
            <w:pPr>
              <w:pStyle w:val="ARtablecolheadright"/>
              <w:cnfStyle w:val="100000000000" w:firstRow="1" w:lastRow="0" w:firstColumn="0" w:lastColumn="0" w:oddVBand="0" w:evenVBand="0" w:oddHBand="0" w:evenHBand="0" w:firstRowFirstColumn="0" w:firstRowLastColumn="0" w:lastRowFirstColumn="0" w:lastRowLastColumn="0"/>
            </w:pPr>
            <w:r w:rsidRPr="00F45F11">
              <w:t>Expenditure</w:t>
            </w:r>
          </w:p>
          <w:p w14:paraId="5B522C10" w14:textId="77777777" w:rsidR="00DC25DC" w:rsidRPr="00F45F11" w:rsidRDefault="00DC25DC" w:rsidP="009817E6">
            <w:pPr>
              <w:pStyle w:val="ARtablecolheadright"/>
              <w:cnfStyle w:val="100000000000" w:firstRow="1" w:lastRow="0" w:firstColumn="0" w:lastColumn="0" w:oddVBand="0" w:evenVBand="0" w:oddHBand="0" w:evenHBand="0" w:firstRowFirstColumn="0" w:firstRowLastColumn="0" w:lastRowFirstColumn="0" w:lastRowLastColumn="0"/>
            </w:pPr>
            <w:r w:rsidRPr="00F45F11">
              <w:t>($ excl. GST)</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7A71519A" w14:textId="77777777" w:rsidR="00DC25DC" w:rsidRPr="00F45F11" w:rsidRDefault="00DC25DC" w:rsidP="009817E6">
            <w:pPr>
              <w:pStyle w:val="ARtablecolheadright"/>
            </w:pPr>
            <w:r w:rsidRPr="00F45F11">
              <w:t xml:space="preserve">Future </w:t>
            </w:r>
            <w:r w:rsidRPr="00F45F11">
              <w:br/>
              <w:t>expenditure</w:t>
            </w:r>
          </w:p>
          <w:p w14:paraId="68548172" w14:textId="77777777" w:rsidR="00DC25DC" w:rsidRPr="00F45F11" w:rsidRDefault="00DC25DC" w:rsidP="009817E6">
            <w:pPr>
              <w:pStyle w:val="ARtablecolheadright"/>
            </w:pPr>
            <w:r w:rsidRPr="00F45F11">
              <w:t>($ excl. GST)</w:t>
            </w:r>
          </w:p>
        </w:tc>
      </w:tr>
      <w:tr w:rsidR="00DC25DC" w:rsidRPr="00F45F11" w14:paraId="50594392"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75FD8924" w14:textId="77777777" w:rsidR="00DC25DC" w:rsidRPr="00F45F11" w:rsidRDefault="00DC25DC" w:rsidP="009817E6">
            <w:pPr>
              <w:pStyle w:val="ARtabletextbold"/>
              <w:rPr>
                <w:highlight w:val="cyan"/>
              </w:rPr>
            </w:pPr>
            <w:proofErr w:type="spellStart"/>
            <w:r w:rsidRPr="00F45F11">
              <w:t>Ontoit</w:t>
            </w:r>
            <w:proofErr w:type="spellEnd"/>
          </w:p>
        </w:tc>
        <w:tc>
          <w:tcPr>
            <w:tcW w:w="2357" w:type="pct"/>
          </w:tcPr>
          <w:p w14:paraId="1A831C0C"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Transaction services for Towers Revitalisation Program</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32D7B67A" w14:textId="77777777" w:rsidR="00DC25DC" w:rsidRPr="00F45F11" w:rsidRDefault="00DC25DC" w:rsidP="009817E6">
            <w:pPr>
              <w:pStyle w:val="ARtabletextright"/>
              <w:rPr>
                <w:highlight w:val="cyan"/>
              </w:rPr>
            </w:pPr>
            <w:r w:rsidRPr="00F45F11">
              <w:t>$14,601,453</w:t>
            </w:r>
          </w:p>
        </w:tc>
        <w:tc>
          <w:tcPr>
            <w:tcW w:w="548" w:type="pct"/>
            <w:tcMar>
              <w:left w:w="0" w:type="nil"/>
              <w:right w:w="0" w:type="nil"/>
            </w:tcMar>
          </w:tcPr>
          <w:p w14:paraId="1880300D"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$3,977,696</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08C03260" w14:textId="77777777" w:rsidR="00DC25DC" w:rsidRPr="00F45F11" w:rsidRDefault="00DC25DC" w:rsidP="009817E6">
            <w:pPr>
              <w:pStyle w:val="ARtabletextright"/>
              <w:rPr>
                <w:rFonts w:eastAsia="MS Mincho"/>
                <w:szCs w:val="16"/>
                <w:highlight w:val="cyan"/>
              </w:rPr>
            </w:pPr>
            <w:r w:rsidRPr="00F45F11">
              <w:t>$5,630,548</w:t>
            </w:r>
          </w:p>
        </w:tc>
      </w:tr>
      <w:tr w:rsidR="00DC25DC" w:rsidRPr="00F45F11" w14:paraId="5C17776B"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0B8228CF" w14:textId="77777777" w:rsidR="00DC25DC" w:rsidRPr="00F45F11" w:rsidRDefault="00DC25DC" w:rsidP="009817E6">
            <w:pPr>
              <w:pStyle w:val="ARtabletextbold"/>
              <w:rPr>
                <w:highlight w:val="cyan"/>
              </w:rPr>
            </w:pPr>
            <w:r w:rsidRPr="00F45F11">
              <w:t>The University of Melbourne</w:t>
            </w:r>
          </w:p>
        </w:tc>
        <w:tc>
          <w:tcPr>
            <w:tcW w:w="2357" w:type="pct"/>
          </w:tcPr>
          <w:p w14:paraId="1B644ED7"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 xml:space="preserve">Community Protecting </w:t>
            </w:r>
            <w:proofErr w:type="spellStart"/>
            <w:r w:rsidRPr="00F45F11">
              <w:t>Boorais</w:t>
            </w:r>
            <w:proofErr w:type="spellEnd"/>
            <w:r w:rsidRPr="00F45F11">
              <w:t xml:space="preserve"> Pilot evaluation</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72314613" w14:textId="77777777" w:rsidR="00DC25DC" w:rsidRPr="00F45F11" w:rsidRDefault="00DC25DC" w:rsidP="009817E6">
            <w:pPr>
              <w:pStyle w:val="ARtabletextright"/>
              <w:rPr>
                <w:highlight w:val="cyan"/>
              </w:rPr>
            </w:pPr>
            <w:r w:rsidRPr="00F45F11">
              <w:t>$712,405</w:t>
            </w:r>
          </w:p>
        </w:tc>
        <w:tc>
          <w:tcPr>
            <w:tcW w:w="548" w:type="pct"/>
            <w:tcMar>
              <w:left w:w="0" w:type="nil"/>
              <w:right w:w="0" w:type="nil"/>
            </w:tcMar>
          </w:tcPr>
          <w:p w14:paraId="675A3B0A"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$452,562</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0B97DD75" w14:textId="77777777" w:rsidR="00DC25DC" w:rsidRPr="00F45F11" w:rsidRDefault="00DC25DC" w:rsidP="009817E6">
            <w:pPr>
              <w:pStyle w:val="ARtabletextright"/>
              <w:rPr>
                <w:highlight w:val="cyan"/>
              </w:rPr>
            </w:pPr>
            <w:r w:rsidRPr="00F45F11">
              <w:t>$186,723</w:t>
            </w:r>
          </w:p>
        </w:tc>
      </w:tr>
      <w:tr w:rsidR="00DC25DC" w:rsidRPr="00F45F11" w14:paraId="5AE618CD"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0B4D1A44" w14:textId="77777777" w:rsidR="00DC25DC" w:rsidRPr="00F45F11" w:rsidRDefault="00DC25DC" w:rsidP="009817E6">
            <w:pPr>
              <w:pStyle w:val="ARtabletextbold"/>
              <w:rPr>
                <w:highlight w:val="cyan"/>
              </w:rPr>
            </w:pPr>
            <w:proofErr w:type="spellStart"/>
            <w:r w:rsidRPr="00F45F11">
              <w:t>Yamagigu</w:t>
            </w:r>
            <w:proofErr w:type="spellEnd"/>
            <w:r w:rsidRPr="00F45F11">
              <w:t xml:space="preserve"> Consulting Pty Ltd</w:t>
            </w:r>
          </w:p>
        </w:tc>
        <w:tc>
          <w:tcPr>
            <w:tcW w:w="2357" w:type="pct"/>
          </w:tcPr>
          <w:p w14:paraId="27F566BD"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Aboriginal Private Rental Assistance Program evaluation</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0C7337CE" w14:textId="77777777" w:rsidR="00DC25DC" w:rsidRPr="00F45F11" w:rsidRDefault="00DC25DC" w:rsidP="009817E6">
            <w:pPr>
              <w:pStyle w:val="ARtabletextright"/>
              <w:rPr>
                <w:highlight w:val="cyan"/>
              </w:rPr>
            </w:pPr>
            <w:r w:rsidRPr="00F45F11">
              <w:t>$390,475</w:t>
            </w:r>
          </w:p>
        </w:tc>
        <w:tc>
          <w:tcPr>
            <w:tcW w:w="548" w:type="pct"/>
            <w:tcMar>
              <w:left w:w="0" w:type="nil"/>
              <w:right w:w="0" w:type="nil"/>
            </w:tcMar>
          </w:tcPr>
          <w:p w14:paraId="3B3096D4"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$390,475</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5217174F" w14:textId="77777777" w:rsidR="00DC25DC" w:rsidRPr="00F45F11" w:rsidRDefault="00DC25DC" w:rsidP="009817E6">
            <w:pPr>
              <w:pStyle w:val="ARtabletextright"/>
              <w:rPr>
                <w:highlight w:val="cyan"/>
              </w:rPr>
            </w:pPr>
            <w:r w:rsidRPr="00F45F11">
              <w:t>–</w:t>
            </w:r>
          </w:p>
        </w:tc>
      </w:tr>
      <w:tr w:rsidR="00DC25DC" w:rsidRPr="00F45F11" w14:paraId="05B52411"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485247EA" w14:textId="77777777" w:rsidR="00DC25DC" w:rsidRPr="00F45F11" w:rsidRDefault="00DC25DC" w:rsidP="009817E6">
            <w:pPr>
              <w:pStyle w:val="ARtabletextbold"/>
              <w:rPr>
                <w:highlight w:val="cyan"/>
              </w:rPr>
            </w:pPr>
            <w:r w:rsidRPr="00F45F11">
              <w:t>Ernst &amp; Young Services Pty Ltd</w:t>
            </w:r>
          </w:p>
        </w:tc>
        <w:tc>
          <w:tcPr>
            <w:tcW w:w="2357" w:type="pct"/>
          </w:tcPr>
          <w:p w14:paraId="179DB4E0"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Community and Social Services Graduate Program evaluation</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1830B930" w14:textId="77777777" w:rsidR="00DC25DC" w:rsidRPr="00F45F11" w:rsidRDefault="00DC25DC" w:rsidP="009817E6">
            <w:pPr>
              <w:pStyle w:val="ARtabletextright"/>
              <w:rPr>
                <w:highlight w:val="cyan"/>
              </w:rPr>
            </w:pPr>
            <w:r w:rsidRPr="00F45F11">
              <w:t>$433,522</w:t>
            </w:r>
          </w:p>
        </w:tc>
        <w:tc>
          <w:tcPr>
            <w:tcW w:w="548" w:type="pct"/>
            <w:tcMar>
              <w:left w:w="0" w:type="nil"/>
              <w:right w:w="0" w:type="nil"/>
            </w:tcMar>
          </w:tcPr>
          <w:p w14:paraId="203D28AD"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$216,761</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654E3E33" w14:textId="77777777" w:rsidR="00DC25DC" w:rsidRPr="00F45F11" w:rsidRDefault="00DC25DC" w:rsidP="009817E6">
            <w:pPr>
              <w:pStyle w:val="ARtabletextright"/>
              <w:rPr>
                <w:highlight w:val="cyan"/>
              </w:rPr>
            </w:pPr>
            <w:r w:rsidRPr="00F45F11">
              <w:t>$216,761</w:t>
            </w:r>
          </w:p>
        </w:tc>
      </w:tr>
      <w:tr w:rsidR="00DC25DC" w:rsidRPr="00F45F11" w14:paraId="5A2C56C2"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1135451E" w14:textId="77777777" w:rsidR="00DC25DC" w:rsidRPr="00F45F11" w:rsidRDefault="00DC25DC" w:rsidP="009817E6">
            <w:pPr>
              <w:pStyle w:val="ARtabletextbold"/>
              <w:rPr>
                <w:highlight w:val="cyan"/>
              </w:rPr>
            </w:pPr>
            <w:proofErr w:type="spellStart"/>
            <w:r w:rsidRPr="00F45F11">
              <w:t>Yamagigu</w:t>
            </w:r>
            <w:proofErr w:type="spellEnd"/>
            <w:r w:rsidRPr="00F45F11">
              <w:t xml:space="preserve"> Consulting Pty Ltd</w:t>
            </w:r>
          </w:p>
        </w:tc>
        <w:tc>
          <w:tcPr>
            <w:tcW w:w="2357" w:type="pct"/>
          </w:tcPr>
          <w:p w14:paraId="43A9586E" w14:textId="73CDC411"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Evaluation of lapsing Aboriginal Family Services Funded 2023</w:t>
            </w:r>
            <w:r w:rsidR="00377ADA" w:rsidRPr="00F45F11">
              <w:t>–</w:t>
            </w:r>
            <w:r w:rsidRPr="00F45F11">
              <w:t xml:space="preserve">24 Budget Outcome Stronger Families </w:t>
            </w:r>
            <w:r w:rsidR="00377ADA" w:rsidRPr="00F45F11">
              <w:t>–</w:t>
            </w:r>
            <w:r w:rsidRPr="00F45F11">
              <w:t xml:space="preserve"> Closing the Gap</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52B24735" w14:textId="77777777" w:rsidR="00DC25DC" w:rsidRPr="00F45F11" w:rsidRDefault="00DC25DC" w:rsidP="009817E6">
            <w:pPr>
              <w:pStyle w:val="ARtabletextright"/>
              <w:rPr>
                <w:highlight w:val="cyan"/>
              </w:rPr>
            </w:pPr>
            <w:r w:rsidRPr="00F45F11">
              <w:t>$664,170</w:t>
            </w:r>
          </w:p>
        </w:tc>
        <w:tc>
          <w:tcPr>
            <w:tcW w:w="548" w:type="pct"/>
            <w:tcMar>
              <w:left w:w="0" w:type="nil"/>
              <w:right w:w="0" w:type="nil"/>
            </w:tcMar>
          </w:tcPr>
          <w:p w14:paraId="1C628E87"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$211,818</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0C029575" w14:textId="77777777" w:rsidR="00DC25DC" w:rsidRPr="00F45F11" w:rsidRDefault="00DC25DC" w:rsidP="009817E6">
            <w:pPr>
              <w:pStyle w:val="ARtabletextright"/>
              <w:rPr>
                <w:highlight w:val="cyan"/>
              </w:rPr>
            </w:pPr>
            <w:r w:rsidRPr="00F45F11">
              <w:t>$452,352</w:t>
            </w:r>
          </w:p>
        </w:tc>
      </w:tr>
      <w:tr w:rsidR="00DC25DC" w:rsidRPr="00F45F11" w14:paraId="76F96057"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72094596" w14:textId="77777777" w:rsidR="00DC25DC" w:rsidRPr="00F45F11" w:rsidRDefault="00DC25DC" w:rsidP="009817E6">
            <w:pPr>
              <w:pStyle w:val="ARtabletextbold"/>
              <w:rPr>
                <w:highlight w:val="cyan"/>
              </w:rPr>
            </w:pPr>
            <w:r w:rsidRPr="00F45F11">
              <w:t>Karen Milward Consulting</w:t>
            </w:r>
          </w:p>
        </w:tc>
        <w:tc>
          <w:tcPr>
            <w:tcW w:w="2357" w:type="pct"/>
          </w:tcPr>
          <w:p w14:paraId="68BF8805" w14:textId="3901B12A"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 xml:space="preserve">Strengthening </w:t>
            </w:r>
            <w:r w:rsidR="008B23F2" w:rsidRPr="00F45F11">
              <w:t>C</w:t>
            </w:r>
            <w:r w:rsidRPr="00F45F11">
              <w:t xml:space="preserve">ultural </w:t>
            </w:r>
            <w:r w:rsidR="008B23F2" w:rsidRPr="00F45F11">
              <w:t>S</w:t>
            </w:r>
            <w:r w:rsidRPr="00F45F11">
              <w:t xml:space="preserve">afety in The Orange Door </w:t>
            </w:r>
            <w:r w:rsidR="00377ADA" w:rsidRPr="00F45F11">
              <w:t>e</w:t>
            </w:r>
            <w:r w:rsidRPr="00F45F11">
              <w:t xml:space="preserve">valuation and </w:t>
            </w:r>
            <w:r w:rsidR="00377ADA" w:rsidRPr="00F45F11">
              <w:t>r</w:t>
            </w:r>
            <w:r w:rsidRPr="00F45F11">
              <w:t>ecommendations</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16D223D3" w14:textId="77777777" w:rsidR="00DC25DC" w:rsidRPr="00F45F11" w:rsidRDefault="00DC25DC" w:rsidP="009817E6">
            <w:pPr>
              <w:pStyle w:val="ARtabletextright"/>
              <w:rPr>
                <w:highlight w:val="cyan"/>
              </w:rPr>
            </w:pPr>
            <w:r w:rsidRPr="00F45F11">
              <w:t>$196,207</w:t>
            </w:r>
          </w:p>
        </w:tc>
        <w:tc>
          <w:tcPr>
            <w:tcW w:w="548" w:type="pct"/>
            <w:tcMar>
              <w:left w:w="0" w:type="nil"/>
              <w:right w:w="0" w:type="nil"/>
            </w:tcMar>
          </w:tcPr>
          <w:p w14:paraId="16B520BC"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$196,206</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3DB57FEC" w14:textId="77777777" w:rsidR="00DC25DC" w:rsidRPr="00F45F11" w:rsidRDefault="00DC25DC" w:rsidP="009817E6">
            <w:pPr>
              <w:pStyle w:val="ARtabletextright"/>
              <w:rPr>
                <w:highlight w:val="cyan"/>
              </w:rPr>
            </w:pPr>
            <w:r w:rsidRPr="00F45F11">
              <w:t>–</w:t>
            </w:r>
          </w:p>
        </w:tc>
      </w:tr>
      <w:tr w:rsidR="00DC25DC" w:rsidRPr="00F45F11" w14:paraId="7E8ED31B"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57F1E11D" w14:textId="77777777" w:rsidR="00DC25DC" w:rsidRPr="00F45F11" w:rsidRDefault="00DC25DC" w:rsidP="009817E6">
            <w:pPr>
              <w:pStyle w:val="ARtabletextbold"/>
              <w:rPr>
                <w:highlight w:val="cyan"/>
              </w:rPr>
            </w:pPr>
            <w:proofErr w:type="spellStart"/>
            <w:r w:rsidRPr="00F45F11">
              <w:t>KordaMentha</w:t>
            </w:r>
            <w:proofErr w:type="spellEnd"/>
            <w:r w:rsidRPr="00F45F11">
              <w:t xml:space="preserve"> Pty Ltd</w:t>
            </w:r>
          </w:p>
        </w:tc>
        <w:tc>
          <w:tcPr>
            <w:tcW w:w="2357" w:type="pct"/>
          </w:tcPr>
          <w:p w14:paraId="75560AF2" w14:textId="5F436633"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Development of D</w:t>
            </w:r>
            <w:r w:rsidR="00377ADA" w:rsidRPr="00F45F11">
              <w:t xml:space="preserve">epartment of </w:t>
            </w:r>
            <w:r w:rsidRPr="00F45F11">
              <w:t>F</w:t>
            </w:r>
            <w:r w:rsidR="00377ADA" w:rsidRPr="00F45F11">
              <w:t xml:space="preserve">amilies, </w:t>
            </w:r>
            <w:r w:rsidRPr="00F45F11">
              <w:t>F</w:t>
            </w:r>
            <w:r w:rsidR="00377ADA" w:rsidRPr="00F45F11">
              <w:t xml:space="preserve">airness and </w:t>
            </w:r>
            <w:r w:rsidRPr="00F45F11">
              <w:t>H</w:t>
            </w:r>
            <w:r w:rsidR="00377ADA" w:rsidRPr="00F45F11">
              <w:t>ousing</w:t>
            </w:r>
            <w:r w:rsidRPr="00F45F11">
              <w:t xml:space="preserve"> </w:t>
            </w:r>
            <w:r w:rsidR="00377ADA" w:rsidRPr="00F45F11">
              <w:t>f</w:t>
            </w:r>
            <w:r w:rsidRPr="00F45F11">
              <w:t xml:space="preserve">uture </w:t>
            </w:r>
            <w:r w:rsidR="00377ADA" w:rsidRPr="00F45F11">
              <w:t>s</w:t>
            </w:r>
            <w:r w:rsidRPr="00F45F11">
              <w:t xml:space="preserve">tate </w:t>
            </w:r>
            <w:r w:rsidR="00377ADA" w:rsidRPr="00F45F11">
              <w:t>e</w:t>
            </w:r>
            <w:r w:rsidRPr="00F45F11">
              <w:t xml:space="preserve">nterprise </w:t>
            </w:r>
            <w:r w:rsidR="00377ADA" w:rsidRPr="00F45F11">
              <w:t>a</w:t>
            </w:r>
            <w:r w:rsidRPr="00F45F11">
              <w:t xml:space="preserve">rchitecture </w:t>
            </w:r>
            <w:r w:rsidR="00377ADA" w:rsidRPr="00F45F11">
              <w:t>f</w:t>
            </w:r>
            <w:r w:rsidRPr="00F45F11">
              <w:t xml:space="preserve">ramework and </w:t>
            </w:r>
            <w:r w:rsidR="00377ADA" w:rsidRPr="00F45F11">
              <w:t>i</w:t>
            </w:r>
            <w:r w:rsidRPr="00F45F11">
              <w:t xml:space="preserve">mplementation </w:t>
            </w:r>
            <w:r w:rsidR="00377ADA" w:rsidRPr="00F45F11">
              <w:t>s</w:t>
            </w:r>
            <w:r w:rsidRPr="00F45F11">
              <w:t>trategy</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00EED7F6" w14:textId="77777777" w:rsidR="00DC25DC" w:rsidRPr="00F45F11" w:rsidRDefault="00DC25DC" w:rsidP="009817E6">
            <w:pPr>
              <w:pStyle w:val="ARtabletextright"/>
              <w:rPr>
                <w:highlight w:val="cyan"/>
              </w:rPr>
            </w:pPr>
            <w:r w:rsidRPr="00F45F11">
              <w:t>$184,879</w:t>
            </w:r>
          </w:p>
        </w:tc>
        <w:tc>
          <w:tcPr>
            <w:tcW w:w="548" w:type="pct"/>
            <w:tcMar>
              <w:left w:w="0" w:type="nil"/>
              <w:right w:w="0" w:type="nil"/>
            </w:tcMar>
          </w:tcPr>
          <w:p w14:paraId="65DF9729"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$184,879</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4DB6F2D6" w14:textId="77777777" w:rsidR="00DC25DC" w:rsidRPr="00F45F11" w:rsidRDefault="00DC25DC" w:rsidP="009817E6">
            <w:pPr>
              <w:pStyle w:val="ARtabletextright"/>
              <w:rPr>
                <w:highlight w:val="cyan"/>
              </w:rPr>
            </w:pPr>
            <w:r w:rsidRPr="00F45F11">
              <w:t>–</w:t>
            </w:r>
          </w:p>
        </w:tc>
      </w:tr>
      <w:tr w:rsidR="00DC25DC" w:rsidRPr="00F45F11" w14:paraId="70AEE603"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4845AB11" w14:textId="77777777" w:rsidR="00DC25DC" w:rsidRPr="00F45F11" w:rsidRDefault="00DC25DC" w:rsidP="009817E6">
            <w:pPr>
              <w:pStyle w:val="ARtabletextbold"/>
              <w:rPr>
                <w:highlight w:val="cyan"/>
              </w:rPr>
            </w:pPr>
            <w:r w:rsidRPr="00F45F11">
              <w:t>Nous Group Pty Ltd</w:t>
            </w:r>
          </w:p>
        </w:tc>
        <w:tc>
          <w:tcPr>
            <w:tcW w:w="2357" w:type="pct"/>
          </w:tcPr>
          <w:p w14:paraId="33C0998C" w14:textId="167BD4CD"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 xml:space="preserve">Evaluation of the Multiple and Complex Needs Initiative and the Support for </w:t>
            </w:r>
            <w:r w:rsidR="00566B8E">
              <w:br/>
            </w:r>
            <w:r w:rsidRPr="00F45F11">
              <w:t>High</w:t>
            </w:r>
            <w:r w:rsidR="00377ADA" w:rsidRPr="00F45F11">
              <w:t>-</w:t>
            </w:r>
            <w:r w:rsidRPr="00F45F11">
              <w:t>Risk Tenancies program</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7ECF58B0" w14:textId="77777777" w:rsidR="00DC25DC" w:rsidRPr="00F45F11" w:rsidRDefault="00DC25DC" w:rsidP="009817E6">
            <w:pPr>
              <w:pStyle w:val="ARtabletextright"/>
              <w:rPr>
                <w:highlight w:val="cyan"/>
              </w:rPr>
            </w:pPr>
            <w:r w:rsidRPr="00F45F11">
              <w:t>$288,000</w:t>
            </w:r>
          </w:p>
        </w:tc>
        <w:tc>
          <w:tcPr>
            <w:tcW w:w="548" w:type="pct"/>
            <w:tcMar>
              <w:left w:w="0" w:type="nil"/>
              <w:right w:w="0" w:type="nil"/>
            </w:tcMar>
          </w:tcPr>
          <w:p w14:paraId="738A470E"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$184,738</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1AD4CC50" w14:textId="77777777" w:rsidR="00DC25DC" w:rsidRPr="00F45F11" w:rsidRDefault="00DC25DC" w:rsidP="009817E6">
            <w:pPr>
              <w:pStyle w:val="ARtabletextright"/>
              <w:rPr>
                <w:highlight w:val="cyan"/>
              </w:rPr>
            </w:pPr>
            <w:r w:rsidRPr="00F45F11">
              <w:t>–</w:t>
            </w:r>
          </w:p>
        </w:tc>
      </w:tr>
      <w:tr w:rsidR="00DC25DC" w:rsidRPr="00F45F11" w14:paraId="12D08328"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00BAEFD7" w14:textId="58B13A16" w:rsidR="00DC25DC" w:rsidRPr="00F45F11" w:rsidRDefault="00DC25DC" w:rsidP="009817E6">
            <w:pPr>
              <w:pStyle w:val="ARtabletextbold"/>
              <w:rPr>
                <w:highlight w:val="cyan"/>
              </w:rPr>
            </w:pPr>
            <w:r w:rsidRPr="00F45F11">
              <w:t>Allen and Clarke Consulting Pty</w:t>
            </w:r>
            <w:r w:rsidR="00A635D3">
              <w:t> </w:t>
            </w:r>
            <w:r w:rsidRPr="00F45F11">
              <w:t>Ltd</w:t>
            </w:r>
          </w:p>
        </w:tc>
        <w:tc>
          <w:tcPr>
            <w:tcW w:w="2357" w:type="pct"/>
          </w:tcPr>
          <w:p w14:paraId="1E8FAA34"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Evaluation of the Workforce Vacancies Demonstration Program and other past workforce development programs</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08814EFB" w14:textId="77777777" w:rsidR="00DC25DC" w:rsidRPr="00F45F11" w:rsidRDefault="00DC25DC" w:rsidP="009817E6">
            <w:pPr>
              <w:pStyle w:val="ARtabletextright"/>
              <w:rPr>
                <w:highlight w:val="cyan"/>
              </w:rPr>
            </w:pPr>
            <w:r w:rsidRPr="00F45F11">
              <w:t>$201,191</w:t>
            </w:r>
          </w:p>
        </w:tc>
        <w:tc>
          <w:tcPr>
            <w:tcW w:w="548" w:type="pct"/>
            <w:tcMar>
              <w:left w:w="0" w:type="nil"/>
              <w:right w:w="0" w:type="nil"/>
            </w:tcMar>
          </w:tcPr>
          <w:p w14:paraId="63BFBA1A"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$145,455</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4D536181" w14:textId="77777777" w:rsidR="00DC25DC" w:rsidRPr="00F45F11" w:rsidRDefault="00DC25DC" w:rsidP="009817E6">
            <w:pPr>
              <w:pStyle w:val="ARtabletextright"/>
              <w:rPr>
                <w:highlight w:val="cyan"/>
              </w:rPr>
            </w:pPr>
            <w:r w:rsidRPr="00F45F11">
              <w:t>$37,554</w:t>
            </w:r>
          </w:p>
        </w:tc>
      </w:tr>
      <w:tr w:rsidR="00DC25DC" w:rsidRPr="00F45F11" w14:paraId="3A92BD2B"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64446195" w14:textId="77777777" w:rsidR="00DC25DC" w:rsidRPr="00F45F11" w:rsidRDefault="00DC25DC" w:rsidP="009817E6">
            <w:pPr>
              <w:pStyle w:val="ARtabletextbold"/>
              <w:rPr>
                <w:highlight w:val="cyan"/>
              </w:rPr>
            </w:pPr>
            <w:proofErr w:type="spellStart"/>
            <w:r w:rsidRPr="00F45F11">
              <w:t>Scyne</w:t>
            </w:r>
            <w:proofErr w:type="spellEnd"/>
            <w:r w:rsidRPr="00F45F11">
              <w:t xml:space="preserve"> Advisory Pty Ltd</w:t>
            </w:r>
          </w:p>
        </w:tc>
        <w:tc>
          <w:tcPr>
            <w:tcW w:w="2357" w:type="pct"/>
          </w:tcPr>
          <w:p w14:paraId="2E6078FB" w14:textId="37916644"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 xml:space="preserve">Program assurance for </w:t>
            </w:r>
            <w:r w:rsidR="00377ADA" w:rsidRPr="00F45F11">
              <w:t>p</w:t>
            </w:r>
            <w:r w:rsidRPr="00F45F11">
              <w:t xml:space="preserve">ublic </w:t>
            </w:r>
            <w:r w:rsidR="00377ADA" w:rsidRPr="00F45F11">
              <w:t>h</w:t>
            </w:r>
            <w:r w:rsidRPr="00F45F11">
              <w:t xml:space="preserve">ousing </w:t>
            </w:r>
            <w:r w:rsidR="00377ADA" w:rsidRPr="00F45F11">
              <w:t>m</w:t>
            </w:r>
            <w:r w:rsidRPr="00F45F11">
              <w:t xml:space="preserve">aintenance </w:t>
            </w:r>
            <w:r w:rsidR="00377ADA" w:rsidRPr="00F45F11">
              <w:t>m</w:t>
            </w:r>
            <w:r w:rsidRPr="00F45F11">
              <w:t>odernisation</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460E0595" w14:textId="77777777" w:rsidR="00DC25DC" w:rsidRPr="00F45F11" w:rsidRDefault="00DC25DC" w:rsidP="009817E6">
            <w:pPr>
              <w:pStyle w:val="ARtabletextright"/>
              <w:rPr>
                <w:highlight w:val="cyan"/>
              </w:rPr>
            </w:pPr>
            <w:r w:rsidRPr="00F45F11">
              <w:t>$310,850</w:t>
            </w:r>
          </w:p>
        </w:tc>
        <w:tc>
          <w:tcPr>
            <w:tcW w:w="548" w:type="pct"/>
            <w:tcMar>
              <w:left w:w="0" w:type="nil"/>
              <w:right w:w="0" w:type="nil"/>
            </w:tcMar>
          </w:tcPr>
          <w:p w14:paraId="22F8FB26"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$137,505</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44C7A85C" w14:textId="77777777" w:rsidR="00DC25DC" w:rsidRPr="00F45F11" w:rsidRDefault="00DC25DC" w:rsidP="009817E6">
            <w:pPr>
              <w:pStyle w:val="ARtabletextright"/>
              <w:rPr>
                <w:highlight w:val="cyan"/>
              </w:rPr>
            </w:pPr>
            <w:r w:rsidRPr="00F45F11">
              <w:t>$173,344</w:t>
            </w:r>
          </w:p>
        </w:tc>
      </w:tr>
      <w:tr w:rsidR="00DC25DC" w:rsidRPr="00F45F11" w14:paraId="55805685"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2A6FFC1B" w14:textId="77777777" w:rsidR="00DC25DC" w:rsidRPr="00F45F11" w:rsidRDefault="00DC25DC" w:rsidP="009817E6">
            <w:pPr>
              <w:pStyle w:val="ARtabletextbold"/>
              <w:rPr>
                <w:highlight w:val="cyan"/>
              </w:rPr>
            </w:pPr>
            <w:r w:rsidRPr="00F45F11">
              <w:t xml:space="preserve">Allen and Clarke Consulting </w:t>
            </w:r>
            <w:r w:rsidRPr="00F45F11">
              <w:br/>
              <w:t>Pty Ltd</w:t>
            </w:r>
          </w:p>
        </w:tc>
        <w:tc>
          <w:tcPr>
            <w:tcW w:w="2357" w:type="pct"/>
          </w:tcPr>
          <w:p w14:paraId="2527575A"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Evaluation of the Crisis Response Model, including core and cluster refuges</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714ECC5E" w14:textId="77777777" w:rsidR="00DC25DC" w:rsidRPr="00F45F11" w:rsidRDefault="00DC25DC" w:rsidP="009817E6">
            <w:pPr>
              <w:pStyle w:val="ARtabletextright"/>
              <w:rPr>
                <w:highlight w:val="cyan"/>
              </w:rPr>
            </w:pPr>
            <w:r w:rsidRPr="00F45F11">
              <w:t>$628,343</w:t>
            </w:r>
          </w:p>
        </w:tc>
        <w:tc>
          <w:tcPr>
            <w:tcW w:w="548" w:type="pct"/>
            <w:tcMar>
              <w:left w:w="0" w:type="nil"/>
              <w:right w:w="0" w:type="nil"/>
            </w:tcMar>
          </w:tcPr>
          <w:p w14:paraId="77032695"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$134,467</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4EEC2CD2" w14:textId="77777777" w:rsidR="00DC25DC" w:rsidRPr="00F45F11" w:rsidRDefault="00DC25DC" w:rsidP="009817E6">
            <w:pPr>
              <w:pStyle w:val="ARtabletextright"/>
              <w:rPr>
                <w:highlight w:val="cyan"/>
              </w:rPr>
            </w:pPr>
            <w:r w:rsidRPr="00F45F11">
              <w:t>$190,097</w:t>
            </w:r>
          </w:p>
        </w:tc>
      </w:tr>
      <w:tr w:rsidR="00DC25DC" w:rsidRPr="00F45F11" w14:paraId="010E8AC6"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37840B2D" w14:textId="77777777" w:rsidR="00DC25DC" w:rsidRPr="00F45F11" w:rsidRDefault="00DC25DC" w:rsidP="009817E6">
            <w:pPr>
              <w:pStyle w:val="ARtabletextbold"/>
              <w:rPr>
                <w:highlight w:val="cyan"/>
              </w:rPr>
            </w:pPr>
            <w:r w:rsidRPr="00F45F11">
              <w:t>KPMG</w:t>
            </w:r>
          </w:p>
        </w:tc>
        <w:tc>
          <w:tcPr>
            <w:tcW w:w="2357" w:type="pct"/>
          </w:tcPr>
          <w:p w14:paraId="5FAD9589"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Child Safety Program Management Office support</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214EA0F5" w14:textId="77777777" w:rsidR="00DC25DC" w:rsidRPr="00F45F11" w:rsidRDefault="00DC25DC" w:rsidP="009817E6">
            <w:pPr>
              <w:pStyle w:val="ARtabletextright"/>
              <w:rPr>
                <w:highlight w:val="cyan"/>
              </w:rPr>
            </w:pPr>
            <w:r w:rsidRPr="00F45F11">
              <w:t>$181,818</w:t>
            </w:r>
          </w:p>
        </w:tc>
        <w:tc>
          <w:tcPr>
            <w:tcW w:w="548" w:type="pct"/>
            <w:tcMar>
              <w:left w:w="0" w:type="nil"/>
              <w:right w:w="0" w:type="nil"/>
            </w:tcMar>
          </w:tcPr>
          <w:p w14:paraId="608197F7"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$129,960</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66AFCB13" w14:textId="77777777" w:rsidR="00DC25DC" w:rsidRPr="00F45F11" w:rsidRDefault="00DC25DC" w:rsidP="009817E6">
            <w:pPr>
              <w:pStyle w:val="ARtabletextright"/>
              <w:rPr>
                <w:highlight w:val="cyan"/>
              </w:rPr>
            </w:pPr>
            <w:r w:rsidRPr="00F45F11">
              <w:t>–</w:t>
            </w:r>
          </w:p>
        </w:tc>
      </w:tr>
      <w:tr w:rsidR="00DC25DC" w:rsidRPr="00F45F11" w14:paraId="1A8E1992"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25EE6C81" w14:textId="77777777" w:rsidR="00DC25DC" w:rsidRPr="00F45F11" w:rsidRDefault="00DC25DC" w:rsidP="009817E6">
            <w:pPr>
              <w:pStyle w:val="ARtabletextbold"/>
              <w:rPr>
                <w:highlight w:val="cyan"/>
              </w:rPr>
            </w:pPr>
            <w:proofErr w:type="spellStart"/>
            <w:r w:rsidRPr="00F45F11">
              <w:t>Abstarr</w:t>
            </w:r>
            <w:proofErr w:type="spellEnd"/>
            <w:r w:rsidRPr="00F45F11">
              <w:t xml:space="preserve"> Consulting Pty Ltd</w:t>
            </w:r>
          </w:p>
        </w:tc>
        <w:tc>
          <w:tcPr>
            <w:tcW w:w="2357" w:type="pct"/>
          </w:tcPr>
          <w:p w14:paraId="46C54889"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Strengthening cultural safety in counselling and restorative engagement services through redress programs</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197C938A" w14:textId="77777777" w:rsidR="00DC25DC" w:rsidRPr="00F45F11" w:rsidRDefault="00DC25DC" w:rsidP="009817E6">
            <w:pPr>
              <w:pStyle w:val="ARtabletextright"/>
              <w:rPr>
                <w:highlight w:val="cyan"/>
              </w:rPr>
            </w:pPr>
            <w:r w:rsidRPr="00F45F11">
              <w:t>$125,375</w:t>
            </w:r>
          </w:p>
        </w:tc>
        <w:tc>
          <w:tcPr>
            <w:tcW w:w="548" w:type="pct"/>
            <w:tcMar>
              <w:left w:w="0" w:type="nil"/>
              <w:right w:w="0" w:type="nil"/>
            </w:tcMar>
          </w:tcPr>
          <w:p w14:paraId="5B34D62B"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$125,375</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150922F0" w14:textId="77777777" w:rsidR="00DC25DC" w:rsidRPr="00F45F11" w:rsidRDefault="00DC25DC" w:rsidP="009817E6">
            <w:pPr>
              <w:pStyle w:val="ARtabletextright"/>
              <w:rPr>
                <w:highlight w:val="cyan"/>
              </w:rPr>
            </w:pPr>
            <w:r w:rsidRPr="00F45F11">
              <w:t>–</w:t>
            </w:r>
          </w:p>
        </w:tc>
      </w:tr>
      <w:tr w:rsidR="00DC25DC" w:rsidRPr="00F45F11" w14:paraId="2F6B07F1"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5877BB59" w14:textId="77777777" w:rsidR="00DC25DC" w:rsidRPr="00F45F11" w:rsidRDefault="00DC25DC" w:rsidP="009817E6">
            <w:pPr>
              <w:pStyle w:val="ARtabletextbold"/>
            </w:pPr>
            <w:proofErr w:type="spellStart"/>
            <w:r w:rsidRPr="00F45F11">
              <w:t>Scyne</w:t>
            </w:r>
            <w:proofErr w:type="spellEnd"/>
            <w:r w:rsidRPr="00F45F11">
              <w:t xml:space="preserve"> Advisory Pty Ltd</w:t>
            </w:r>
          </w:p>
        </w:tc>
        <w:tc>
          <w:tcPr>
            <w:tcW w:w="2357" w:type="pct"/>
          </w:tcPr>
          <w:p w14:paraId="045B1FD9" w14:textId="168FDC9A"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pPr>
            <w:r w:rsidRPr="00F45F11">
              <w:t>D</w:t>
            </w:r>
            <w:r w:rsidR="00377ADA" w:rsidRPr="00F45F11">
              <w:t xml:space="preserve">epartment of </w:t>
            </w:r>
            <w:r w:rsidRPr="00F45F11">
              <w:t>F</w:t>
            </w:r>
            <w:r w:rsidR="00377ADA" w:rsidRPr="00F45F11">
              <w:t xml:space="preserve">amilies, Fairness and </w:t>
            </w:r>
            <w:r w:rsidRPr="00F45F11">
              <w:t>H</w:t>
            </w:r>
            <w:r w:rsidR="00377ADA" w:rsidRPr="00F45F11">
              <w:t xml:space="preserve">ousing </w:t>
            </w:r>
            <w:proofErr w:type="spellStart"/>
            <w:r w:rsidR="00377ADA" w:rsidRPr="00F45F11">
              <w:t>housing</w:t>
            </w:r>
            <w:proofErr w:type="spellEnd"/>
            <w:r w:rsidR="00377ADA" w:rsidRPr="00F45F11">
              <w:t xml:space="preserve"> w</w:t>
            </w:r>
            <w:r w:rsidRPr="00F45F11">
              <w:t xml:space="preserve">orkload </w:t>
            </w:r>
            <w:r w:rsidR="00377ADA" w:rsidRPr="00F45F11">
              <w:t>r</w:t>
            </w:r>
            <w:r w:rsidRPr="00F45F11">
              <w:t>eview</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36E18B7E" w14:textId="77777777" w:rsidR="00DC25DC" w:rsidRPr="00F45F11" w:rsidRDefault="00DC25DC" w:rsidP="009817E6">
            <w:pPr>
              <w:pStyle w:val="ARtabletextright"/>
            </w:pPr>
            <w:r w:rsidRPr="00F45F11">
              <w:t>$123,894</w:t>
            </w:r>
          </w:p>
        </w:tc>
        <w:tc>
          <w:tcPr>
            <w:tcW w:w="548" w:type="pct"/>
            <w:tcMar>
              <w:left w:w="0" w:type="nil"/>
              <w:right w:w="0" w:type="nil"/>
            </w:tcMar>
          </w:tcPr>
          <w:p w14:paraId="05B13B71"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pPr>
            <w:r w:rsidRPr="00F45F11">
              <w:t>$123,894</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7B420948" w14:textId="77777777" w:rsidR="00DC25DC" w:rsidRPr="00F45F11" w:rsidRDefault="00DC25DC" w:rsidP="009817E6">
            <w:pPr>
              <w:pStyle w:val="ARtabletextright"/>
            </w:pPr>
            <w:r w:rsidRPr="00F45F11">
              <w:t>–</w:t>
            </w:r>
          </w:p>
        </w:tc>
      </w:tr>
      <w:tr w:rsidR="00DC25DC" w:rsidRPr="00F45F11" w14:paraId="7B87F8EF"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381C7AE6" w14:textId="77777777" w:rsidR="00DC25DC" w:rsidRPr="00F45F11" w:rsidRDefault="00DC25DC" w:rsidP="009817E6">
            <w:pPr>
              <w:pStyle w:val="ARtabletextbold"/>
              <w:rPr>
                <w:highlight w:val="cyan"/>
              </w:rPr>
            </w:pPr>
            <w:r w:rsidRPr="00F45F11">
              <w:t>Lionheart Consulting Australia</w:t>
            </w:r>
          </w:p>
        </w:tc>
        <w:tc>
          <w:tcPr>
            <w:tcW w:w="2357" w:type="pct"/>
          </w:tcPr>
          <w:p w14:paraId="37A394EF" w14:textId="5D1A6C49"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 xml:space="preserve">Drafting the third family violence Rolling Action Plan and project support for </w:t>
            </w:r>
            <w:r w:rsidR="003F6786">
              <w:br/>
            </w:r>
            <w:r w:rsidRPr="00F45F11">
              <w:t>The Orange Door governance project</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19956453" w14:textId="77777777" w:rsidR="00DC25DC" w:rsidRPr="00F45F11" w:rsidRDefault="00DC25DC" w:rsidP="009817E6">
            <w:pPr>
              <w:pStyle w:val="ARtabletextright"/>
              <w:rPr>
                <w:highlight w:val="cyan"/>
              </w:rPr>
            </w:pPr>
            <w:r w:rsidRPr="00F45F11">
              <w:t>$386,650</w:t>
            </w:r>
          </w:p>
        </w:tc>
        <w:tc>
          <w:tcPr>
            <w:tcW w:w="548" w:type="pct"/>
            <w:tcMar>
              <w:left w:w="0" w:type="nil"/>
              <w:right w:w="0" w:type="nil"/>
            </w:tcMar>
          </w:tcPr>
          <w:p w14:paraId="13369348"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$122,862</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2FBCDD71" w14:textId="77777777" w:rsidR="00DC25DC" w:rsidRPr="00F45F11" w:rsidRDefault="00DC25DC" w:rsidP="009817E6">
            <w:pPr>
              <w:pStyle w:val="ARtabletextright"/>
              <w:rPr>
                <w:highlight w:val="cyan"/>
              </w:rPr>
            </w:pPr>
            <w:r w:rsidRPr="00F45F11">
              <w:t>–</w:t>
            </w:r>
          </w:p>
        </w:tc>
      </w:tr>
      <w:tr w:rsidR="00DC25DC" w:rsidRPr="00F45F11" w14:paraId="32BCEB72"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2A65F491" w14:textId="77777777" w:rsidR="00DC25DC" w:rsidRPr="00F45F11" w:rsidRDefault="00DC25DC" w:rsidP="009817E6">
            <w:pPr>
              <w:pStyle w:val="ARtabletextbold"/>
              <w:rPr>
                <w:highlight w:val="cyan"/>
              </w:rPr>
            </w:pPr>
            <w:r w:rsidRPr="00F45F11">
              <w:t>RMIT University</w:t>
            </w:r>
          </w:p>
        </w:tc>
        <w:tc>
          <w:tcPr>
            <w:tcW w:w="2357" w:type="pct"/>
          </w:tcPr>
          <w:p w14:paraId="24642F60"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Serious-risk Adults Using Family Violence Program evaluation</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327A4167" w14:textId="77777777" w:rsidR="00DC25DC" w:rsidRPr="00F45F11" w:rsidRDefault="00DC25DC" w:rsidP="009817E6">
            <w:pPr>
              <w:pStyle w:val="ARtabletextright"/>
              <w:rPr>
                <w:highlight w:val="cyan"/>
              </w:rPr>
            </w:pPr>
            <w:r w:rsidRPr="00F45F11">
              <w:t>$456,700</w:t>
            </w:r>
          </w:p>
        </w:tc>
        <w:tc>
          <w:tcPr>
            <w:tcW w:w="548" w:type="pct"/>
            <w:tcMar>
              <w:left w:w="0" w:type="nil"/>
              <w:right w:w="0" w:type="nil"/>
            </w:tcMar>
          </w:tcPr>
          <w:p w14:paraId="172BE9DB"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$103,769</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0AB73D72" w14:textId="77777777" w:rsidR="00DC25DC" w:rsidRPr="00F45F11" w:rsidRDefault="00DC25DC" w:rsidP="009817E6">
            <w:pPr>
              <w:pStyle w:val="ARtabletextright"/>
            </w:pPr>
            <w:r w:rsidRPr="00F45F11">
              <w:t>$174,231</w:t>
            </w:r>
          </w:p>
        </w:tc>
      </w:tr>
      <w:tr w:rsidR="00DC25DC" w:rsidRPr="00F45F11" w14:paraId="274B5A3B"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14A154A0" w14:textId="77777777" w:rsidR="00DC25DC" w:rsidRPr="00F45F11" w:rsidRDefault="00DC25DC" w:rsidP="009817E6">
            <w:pPr>
              <w:pStyle w:val="ARtabletextbold"/>
              <w:rPr>
                <w:highlight w:val="cyan"/>
              </w:rPr>
            </w:pPr>
            <w:r w:rsidRPr="00F45F11">
              <w:t>Impact Collaborative Pty Ltd</w:t>
            </w:r>
          </w:p>
        </w:tc>
        <w:tc>
          <w:tcPr>
            <w:tcW w:w="2357" w:type="pct"/>
          </w:tcPr>
          <w:p w14:paraId="0C383A4C" w14:textId="600D1FBC"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Review the Men’s Behaviour Change Program minimum standards and </w:t>
            </w:r>
            <w:r w:rsidR="008B76E1" w:rsidRPr="00F45F11">
              <w:t>i</w:t>
            </w:r>
            <w:r w:rsidRPr="00F45F11">
              <w:t>mplementation</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6421239D" w14:textId="77777777" w:rsidR="00DC25DC" w:rsidRPr="00F45F11" w:rsidRDefault="00DC25DC" w:rsidP="009817E6">
            <w:pPr>
              <w:pStyle w:val="ARtabletextright"/>
              <w:rPr>
                <w:highlight w:val="cyan"/>
              </w:rPr>
            </w:pPr>
            <w:r w:rsidRPr="00F45F11">
              <w:t>$221,895</w:t>
            </w:r>
          </w:p>
        </w:tc>
        <w:tc>
          <w:tcPr>
            <w:tcW w:w="548" w:type="pct"/>
            <w:tcMar>
              <w:left w:w="0" w:type="nil"/>
              <w:right w:w="0" w:type="nil"/>
            </w:tcMar>
          </w:tcPr>
          <w:p w14:paraId="66602C1A"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$102,003</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1288DB22" w14:textId="77777777" w:rsidR="00DC25DC" w:rsidRPr="00F45F11" w:rsidRDefault="00DC25DC" w:rsidP="009817E6">
            <w:pPr>
              <w:pStyle w:val="ARtabletextright"/>
              <w:rPr>
                <w:highlight w:val="cyan"/>
              </w:rPr>
            </w:pPr>
            <w:r w:rsidRPr="00F45F11">
              <w:t>$119,892</w:t>
            </w:r>
          </w:p>
        </w:tc>
      </w:tr>
      <w:tr w:rsidR="00DC25DC" w:rsidRPr="00F45F11" w14:paraId="037925DE"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10D149BA" w14:textId="77777777" w:rsidR="00DC25DC" w:rsidRPr="00F45F11" w:rsidRDefault="00DC25DC" w:rsidP="009817E6">
            <w:pPr>
              <w:pStyle w:val="ARtabletextbold"/>
              <w:rPr>
                <w:highlight w:val="cyan"/>
              </w:rPr>
            </w:pPr>
            <w:r w:rsidRPr="00F45F11">
              <w:t>Urbis</w:t>
            </w:r>
          </w:p>
        </w:tc>
        <w:tc>
          <w:tcPr>
            <w:tcW w:w="2357" w:type="pct"/>
          </w:tcPr>
          <w:p w14:paraId="48061234" w14:textId="57F14122"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Evaluations of career switch programs (Switch to Social Work and Switch to</w:t>
            </w:r>
            <w:r w:rsidR="002C2ED3">
              <w:t> </w:t>
            </w:r>
            <w:r w:rsidRPr="00F45F11">
              <w:t>Child Protection)</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2BF5201F" w14:textId="77777777" w:rsidR="00DC25DC" w:rsidRPr="00F45F11" w:rsidRDefault="00DC25DC" w:rsidP="009817E6">
            <w:pPr>
              <w:pStyle w:val="ARtabletextright"/>
              <w:rPr>
                <w:highlight w:val="cyan"/>
              </w:rPr>
            </w:pPr>
            <w:r w:rsidRPr="00F45F11">
              <w:t>$473,965</w:t>
            </w:r>
          </w:p>
        </w:tc>
        <w:tc>
          <w:tcPr>
            <w:tcW w:w="548" w:type="pct"/>
            <w:tcMar>
              <w:left w:w="0" w:type="nil"/>
              <w:right w:w="0" w:type="nil"/>
            </w:tcMar>
          </w:tcPr>
          <w:p w14:paraId="75DE06D2"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$94,717</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61B8A404" w14:textId="77777777" w:rsidR="00DC25DC" w:rsidRPr="00F45F11" w:rsidRDefault="00DC25DC" w:rsidP="009817E6">
            <w:pPr>
              <w:pStyle w:val="ARtabletextright"/>
              <w:rPr>
                <w:highlight w:val="cyan"/>
              </w:rPr>
            </w:pPr>
            <w:r w:rsidRPr="00F45F11">
              <w:t>–</w:t>
            </w:r>
          </w:p>
        </w:tc>
      </w:tr>
      <w:tr w:rsidR="00DC25DC" w:rsidRPr="00F45F11" w14:paraId="0F9AED97"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59AE6527" w14:textId="77777777" w:rsidR="00DC25DC" w:rsidRPr="00F45F11" w:rsidRDefault="00DC25DC" w:rsidP="009817E6">
            <w:pPr>
              <w:pStyle w:val="ARtabletextbold"/>
              <w:rPr>
                <w:highlight w:val="cyan"/>
              </w:rPr>
            </w:pPr>
            <w:r w:rsidRPr="00F45F11">
              <w:t>Impact Collaborative Pty Ltd</w:t>
            </w:r>
          </w:p>
        </w:tc>
        <w:tc>
          <w:tcPr>
            <w:tcW w:w="2357" w:type="pct"/>
          </w:tcPr>
          <w:p w14:paraId="126B6927"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24/7 family violence crisis response service model</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3DADCACB" w14:textId="77777777" w:rsidR="00DC25DC" w:rsidRPr="00F45F11" w:rsidRDefault="00DC25DC" w:rsidP="009817E6">
            <w:pPr>
              <w:pStyle w:val="ARtabletextright"/>
              <w:rPr>
                <w:highlight w:val="cyan"/>
              </w:rPr>
            </w:pPr>
            <w:r w:rsidRPr="00F45F11">
              <w:t>$223,646</w:t>
            </w:r>
          </w:p>
        </w:tc>
        <w:tc>
          <w:tcPr>
            <w:tcW w:w="548" w:type="pct"/>
            <w:tcMar>
              <w:left w:w="0" w:type="nil"/>
              <w:right w:w="0" w:type="nil"/>
            </w:tcMar>
          </w:tcPr>
          <w:p w14:paraId="4F49AE7A"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$93,748</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58B76B44" w14:textId="77777777" w:rsidR="00DC25DC" w:rsidRPr="00F45F11" w:rsidRDefault="00DC25DC" w:rsidP="009817E6">
            <w:pPr>
              <w:pStyle w:val="ARtabletextright"/>
              <w:rPr>
                <w:highlight w:val="cyan"/>
              </w:rPr>
            </w:pPr>
            <w:r w:rsidRPr="00F45F11">
              <w:t>$129,898</w:t>
            </w:r>
          </w:p>
        </w:tc>
      </w:tr>
      <w:tr w:rsidR="00DC25DC" w:rsidRPr="00F45F11" w14:paraId="1F4C4F2A"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4599842F" w14:textId="77777777" w:rsidR="00DC25DC" w:rsidRPr="00F45F11" w:rsidRDefault="00DC25DC" w:rsidP="009817E6">
            <w:pPr>
              <w:pStyle w:val="ARtabletextbold"/>
              <w:rPr>
                <w:highlight w:val="cyan"/>
              </w:rPr>
            </w:pPr>
            <w:r w:rsidRPr="00F45F11">
              <w:t>Accenture</w:t>
            </w:r>
          </w:p>
        </w:tc>
        <w:tc>
          <w:tcPr>
            <w:tcW w:w="2357" w:type="pct"/>
          </w:tcPr>
          <w:p w14:paraId="2D70E01C" w14:textId="37E739F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 xml:space="preserve">Identity and </w:t>
            </w:r>
            <w:r w:rsidR="008B76E1" w:rsidRPr="00F45F11">
              <w:t>a</w:t>
            </w:r>
            <w:r w:rsidRPr="00F45F11">
              <w:t xml:space="preserve">ccess </w:t>
            </w:r>
            <w:r w:rsidR="008B76E1" w:rsidRPr="00F45F11">
              <w:t>m</w:t>
            </w:r>
            <w:r w:rsidRPr="00F45F11">
              <w:t>anagement current</w:t>
            </w:r>
            <w:r w:rsidR="008B76E1" w:rsidRPr="00F45F11">
              <w:t>-</w:t>
            </w:r>
            <w:r w:rsidRPr="00F45F11">
              <w:t>state assessment evaluation</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5E524E43" w14:textId="77777777" w:rsidR="00DC25DC" w:rsidRPr="00F45F11" w:rsidRDefault="00DC25DC" w:rsidP="009817E6">
            <w:pPr>
              <w:pStyle w:val="ARtabletextright"/>
              <w:rPr>
                <w:highlight w:val="cyan"/>
              </w:rPr>
            </w:pPr>
            <w:r w:rsidRPr="00F45F11">
              <w:t>$180,900</w:t>
            </w:r>
          </w:p>
        </w:tc>
        <w:tc>
          <w:tcPr>
            <w:tcW w:w="548" w:type="pct"/>
            <w:tcMar>
              <w:left w:w="0" w:type="nil"/>
              <w:right w:w="0" w:type="nil"/>
            </w:tcMar>
          </w:tcPr>
          <w:p w14:paraId="1691541B"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$92,394</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60545BA2" w14:textId="77777777" w:rsidR="00DC25DC" w:rsidRPr="00F45F11" w:rsidRDefault="00DC25DC" w:rsidP="009817E6">
            <w:pPr>
              <w:pStyle w:val="ARtabletextright"/>
              <w:rPr>
                <w:highlight w:val="cyan"/>
              </w:rPr>
            </w:pPr>
            <w:r w:rsidRPr="00F45F11">
              <w:t>–</w:t>
            </w:r>
          </w:p>
        </w:tc>
      </w:tr>
      <w:tr w:rsidR="00DC25DC" w:rsidRPr="00F45F11" w14:paraId="6206A146"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4D85B4A8" w14:textId="77777777" w:rsidR="00DC25DC" w:rsidRPr="00F45F11" w:rsidRDefault="00DC25DC" w:rsidP="009817E6">
            <w:pPr>
              <w:pStyle w:val="ARtabletextbold"/>
              <w:rPr>
                <w:highlight w:val="cyan"/>
              </w:rPr>
            </w:pPr>
            <w:r w:rsidRPr="00F45F11">
              <w:t>Morgan &amp; Collective Pty Ltd</w:t>
            </w:r>
          </w:p>
        </w:tc>
        <w:tc>
          <w:tcPr>
            <w:tcW w:w="2357" w:type="pct"/>
          </w:tcPr>
          <w:p w14:paraId="1D7065ED"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rStyle w:val="Emphasis"/>
                <w:highlight w:val="cyan"/>
              </w:rPr>
            </w:pPr>
            <w:r w:rsidRPr="00F45F11">
              <w:t>Workers with lived experience consultations and resource development</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7C030737" w14:textId="77777777" w:rsidR="00DC25DC" w:rsidRPr="00F45F11" w:rsidRDefault="00DC25DC" w:rsidP="009817E6">
            <w:pPr>
              <w:pStyle w:val="ARtabletextright"/>
              <w:rPr>
                <w:highlight w:val="cyan"/>
              </w:rPr>
            </w:pPr>
            <w:r w:rsidRPr="00F45F11">
              <w:t>$153,345</w:t>
            </w:r>
          </w:p>
        </w:tc>
        <w:tc>
          <w:tcPr>
            <w:tcW w:w="548" w:type="pct"/>
            <w:tcMar>
              <w:left w:w="0" w:type="nil"/>
              <w:right w:w="0" w:type="nil"/>
            </w:tcMar>
          </w:tcPr>
          <w:p w14:paraId="1B38CC2F"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$86,491</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6CFDDCA5" w14:textId="77777777" w:rsidR="00DC25DC" w:rsidRPr="00F45F11" w:rsidRDefault="00DC25DC" w:rsidP="009817E6">
            <w:pPr>
              <w:pStyle w:val="ARtabletextright"/>
              <w:rPr>
                <w:highlight w:val="cyan"/>
              </w:rPr>
            </w:pPr>
            <w:r w:rsidRPr="00F45F11">
              <w:t>$58,727</w:t>
            </w:r>
          </w:p>
        </w:tc>
      </w:tr>
      <w:tr w:rsidR="00DC25DC" w:rsidRPr="00F45F11" w14:paraId="43380DB5"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3365D3AC" w14:textId="77777777" w:rsidR="00DC25DC" w:rsidRPr="00F45F11" w:rsidRDefault="00DC25DC" w:rsidP="009817E6">
            <w:pPr>
              <w:pStyle w:val="ARtabletextbold"/>
              <w:rPr>
                <w:highlight w:val="cyan"/>
              </w:rPr>
            </w:pPr>
            <w:proofErr w:type="spellStart"/>
            <w:r w:rsidRPr="00F45F11">
              <w:rPr>
                <w:color w:val="000000"/>
              </w:rPr>
              <w:t>Accufind</w:t>
            </w:r>
            <w:proofErr w:type="spellEnd"/>
            <w:r w:rsidRPr="00F45F11">
              <w:rPr>
                <w:color w:val="000000"/>
              </w:rPr>
              <w:t xml:space="preserve"> Pty Ltd</w:t>
            </w:r>
          </w:p>
        </w:tc>
        <w:tc>
          <w:tcPr>
            <w:tcW w:w="2357" w:type="pct"/>
          </w:tcPr>
          <w:p w14:paraId="64762DC5" w14:textId="728751C0"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MARAM virtual assistant proof of value</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24C6D8ED" w14:textId="77777777" w:rsidR="00DC25DC" w:rsidRPr="00F45F11" w:rsidRDefault="00DC25DC" w:rsidP="009817E6">
            <w:pPr>
              <w:pStyle w:val="ARtabletextright"/>
              <w:rPr>
                <w:highlight w:val="cyan"/>
              </w:rPr>
            </w:pPr>
            <w:r w:rsidRPr="00F45F11">
              <w:t>$106,545</w:t>
            </w:r>
          </w:p>
        </w:tc>
        <w:tc>
          <w:tcPr>
            <w:tcW w:w="548" w:type="pct"/>
            <w:tcMar>
              <w:left w:w="0" w:type="nil"/>
              <w:right w:w="0" w:type="nil"/>
            </w:tcMar>
          </w:tcPr>
          <w:p w14:paraId="7B7CC753"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rPr>
                <w:color w:val="000000"/>
              </w:rPr>
              <w:t>$76,545</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7CF7A313" w14:textId="77777777" w:rsidR="00DC25DC" w:rsidRPr="00F45F11" w:rsidRDefault="00DC25DC" w:rsidP="009817E6">
            <w:pPr>
              <w:pStyle w:val="ARtabletextright"/>
              <w:rPr>
                <w:highlight w:val="cyan"/>
              </w:rPr>
            </w:pPr>
            <w:r w:rsidRPr="00F45F11">
              <w:t>$30,000</w:t>
            </w:r>
          </w:p>
        </w:tc>
      </w:tr>
      <w:tr w:rsidR="00DC25DC" w:rsidRPr="00F45F11" w14:paraId="5E2A9D3B"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5872B1B1" w14:textId="77777777" w:rsidR="00DC25DC" w:rsidRPr="00F45F11" w:rsidRDefault="00DC25DC" w:rsidP="009817E6">
            <w:pPr>
              <w:pStyle w:val="ARtabletextbold"/>
              <w:rPr>
                <w:color w:val="000000"/>
              </w:rPr>
            </w:pPr>
            <w:r w:rsidRPr="00F45F11">
              <w:t>Social Research Centre</w:t>
            </w:r>
          </w:p>
        </w:tc>
        <w:tc>
          <w:tcPr>
            <w:tcW w:w="2357" w:type="pct"/>
          </w:tcPr>
          <w:p w14:paraId="4317C471" w14:textId="1B56CC86"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color w:val="000000"/>
              </w:rPr>
            </w:pPr>
            <w:r w:rsidRPr="00F45F11">
              <w:t xml:space="preserve">Sentiment analysis for evaluation of lapsing program Free </w:t>
            </w:r>
            <w:r w:rsidR="008B76E1" w:rsidRPr="00F45F11">
              <w:t>P</w:t>
            </w:r>
            <w:r w:rsidRPr="00F45F11">
              <w:t xml:space="preserve">ads and </w:t>
            </w:r>
            <w:r w:rsidR="008B76E1" w:rsidRPr="00F45F11">
              <w:t>T</w:t>
            </w:r>
            <w:r w:rsidRPr="00F45F11">
              <w:t>ampons in </w:t>
            </w:r>
            <w:r w:rsidR="008B76E1" w:rsidRPr="00F45F11">
              <w:t>P</w:t>
            </w:r>
            <w:r w:rsidRPr="00F45F11">
              <w:t xml:space="preserve">ublic </w:t>
            </w:r>
            <w:r w:rsidR="008B76E1" w:rsidRPr="00F45F11">
              <w:t>P</w:t>
            </w:r>
            <w:r w:rsidRPr="00F45F11">
              <w:t>laces</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01D80789" w14:textId="77777777" w:rsidR="00DC25DC" w:rsidRPr="00F45F11" w:rsidRDefault="00DC25DC" w:rsidP="009817E6">
            <w:pPr>
              <w:pStyle w:val="ARtabletextright"/>
              <w:rPr>
                <w:highlight w:val="yellow"/>
              </w:rPr>
            </w:pPr>
            <w:r w:rsidRPr="00F45F11">
              <w:t>$74,541</w:t>
            </w:r>
          </w:p>
          <w:p w14:paraId="57A5B622" w14:textId="77777777" w:rsidR="00DC25DC" w:rsidRPr="00F45F11" w:rsidRDefault="00DC25DC" w:rsidP="009817E6">
            <w:pPr>
              <w:pStyle w:val="ARtabletextright"/>
            </w:pPr>
          </w:p>
        </w:tc>
        <w:tc>
          <w:tcPr>
            <w:tcW w:w="548" w:type="pct"/>
            <w:tcMar>
              <w:left w:w="0" w:type="nil"/>
              <w:right w:w="0" w:type="nil"/>
            </w:tcMar>
          </w:tcPr>
          <w:p w14:paraId="0B492C5F"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pPr>
            <w:r w:rsidRPr="00F45F11">
              <w:t>$74,541</w:t>
            </w:r>
          </w:p>
          <w:p w14:paraId="1137DFDA"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rPr>
            </w:pP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27936F89" w14:textId="40CD0BC9" w:rsidR="00DC25DC" w:rsidRPr="00F45F11" w:rsidRDefault="00C0062A" w:rsidP="009817E6">
            <w:pPr>
              <w:pStyle w:val="ARtabletextright"/>
            </w:pPr>
            <w:r>
              <w:t>–</w:t>
            </w:r>
          </w:p>
        </w:tc>
      </w:tr>
      <w:tr w:rsidR="00DC25DC" w:rsidRPr="00F45F11" w14:paraId="347F3B4A"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23DEBEB2" w14:textId="77777777" w:rsidR="00DC25DC" w:rsidRPr="00F45F11" w:rsidRDefault="00DC25DC" w:rsidP="009817E6">
            <w:pPr>
              <w:pStyle w:val="ARtabletextbold"/>
              <w:rPr>
                <w:highlight w:val="cyan"/>
              </w:rPr>
            </w:pPr>
            <w:proofErr w:type="spellStart"/>
            <w:r w:rsidRPr="00F45F11">
              <w:rPr>
                <w:color w:val="000000"/>
              </w:rPr>
              <w:t>Abstarr</w:t>
            </w:r>
            <w:proofErr w:type="spellEnd"/>
            <w:r w:rsidRPr="00F45F11">
              <w:rPr>
                <w:color w:val="000000"/>
              </w:rPr>
              <w:t xml:space="preserve"> Consulting Pty Ltd</w:t>
            </w:r>
          </w:p>
        </w:tc>
        <w:tc>
          <w:tcPr>
            <w:tcW w:w="2357" w:type="pct"/>
          </w:tcPr>
          <w:p w14:paraId="33467979" w14:textId="67FEAF38"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D</w:t>
            </w:r>
            <w:r w:rsidR="008B76E1" w:rsidRPr="00F45F11">
              <w:t xml:space="preserve">epartment of </w:t>
            </w:r>
            <w:r w:rsidRPr="00F45F11">
              <w:t>F</w:t>
            </w:r>
            <w:r w:rsidR="008B76E1" w:rsidRPr="00F45F11">
              <w:t xml:space="preserve">amilies, </w:t>
            </w:r>
            <w:r w:rsidRPr="00F45F11">
              <w:t>F</w:t>
            </w:r>
            <w:r w:rsidR="008B76E1" w:rsidRPr="00F45F11">
              <w:t xml:space="preserve">airness and </w:t>
            </w:r>
            <w:r w:rsidRPr="00F45F11">
              <w:t>H</w:t>
            </w:r>
            <w:r w:rsidR="008B76E1" w:rsidRPr="00F45F11">
              <w:t>ousing</w:t>
            </w:r>
            <w:r w:rsidRPr="00F45F11">
              <w:t xml:space="preserve"> Aboriginal sector workforce strategy</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31AEE363" w14:textId="77777777" w:rsidR="00DC25DC" w:rsidRPr="00F45F11" w:rsidRDefault="00DC25DC" w:rsidP="009817E6">
            <w:pPr>
              <w:pStyle w:val="ARtabletextright"/>
              <w:rPr>
                <w:highlight w:val="cyan"/>
              </w:rPr>
            </w:pPr>
            <w:r w:rsidRPr="00F45F11">
              <w:t>$338,920</w:t>
            </w:r>
          </w:p>
        </w:tc>
        <w:tc>
          <w:tcPr>
            <w:tcW w:w="548" w:type="pct"/>
            <w:tcMar>
              <w:left w:w="0" w:type="nil"/>
              <w:right w:w="0" w:type="nil"/>
            </w:tcMar>
          </w:tcPr>
          <w:p w14:paraId="1D560AEF"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rPr>
                <w:color w:val="000000"/>
              </w:rPr>
              <w:t>$71,676</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08EE2E9F" w14:textId="77777777" w:rsidR="00DC25DC" w:rsidRPr="00F45F11" w:rsidRDefault="00DC25DC" w:rsidP="009817E6">
            <w:pPr>
              <w:pStyle w:val="ARtabletextright"/>
              <w:rPr>
                <w:highlight w:val="cyan"/>
              </w:rPr>
            </w:pPr>
            <w:r w:rsidRPr="00F45F11">
              <w:t>–</w:t>
            </w:r>
          </w:p>
        </w:tc>
      </w:tr>
      <w:tr w:rsidR="00DC25DC" w:rsidRPr="00F45F11" w14:paraId="1A970F30"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10126233" w14:textId="2B5B0DED" w:rsidR="00DC25DC" w:rsidRPr="00F45F11" w:rsidRDefault="00DC25DC" w:rsidP="009817E6">
            <w:pPr>
              <w:pStyle w:val="ARtabletextbold"/>
            </w:pPr>
            <w:r w:rsidRPr="00F45F11">
              <w:t>Egis Oceana Pty Ltd</w:t>
            </w:r>
          </w:p>
        </w:tc>
        <w:tc>
          <w:tcPr>
            <w:tcW w:w="2357" w:type="pct"/>
          </w:tcPr>
          <w:p w14:paraId="2C4DE99D" w14:textId="04A241E0"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color w:val="000000"/>
              </w:rPr>
            </w:pPr>
            <w:r w:rsidRPr="00F45F11">
              <w:t xml:space="preserve">Diagnostic </w:t>
            </w:r>
            <w:r w:rsidR="008B76E1" w:rsidRPr="00F45F11">
              <w:t>r</w:t>
            </w:r>
            <w:r w:rsidRPr="00F45F11">
              <w:t xml:space="preserve">eview of </w:t>
            </w:r>
            <w:r w:rsidR="00CB3695">
              <w:t xml:space="preserve">housing </w:t>
            </w:r>
            <w:r w:rsidR="008B76E1" w:rsidRPr="00F45F11">
              <w:t>p</w:t>
            </w:r>
            <w:r w:rsidRPr="00F45F11">
              <w:t xml:space="preserve">rogram </w:t>
            </w:r>
            <w:r w:rsidR="008B76E1" w:rsidRPr="00F45F11">
              <w:t>m</w:t>
            </w:r>
            <w:r w:rsidRPr="00F45F11">
              <w:t xml:space="preserve">anagement </w:t>
            </w:r>
            <w:r w:rsidR="008B76E1" w:rsidRPr="00F45F11">
              <w:t>s</w:t>
            </w:r>
            <w:r w:rsidRPr="00F45F11">
              <w:t>ystem</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4407F085" w14:textId="5FC5E466" w:rsidR="00DC25DC" w:rsidRPr="00F45F11" w:rsidRDefault="00DC25DC" w:rsidP="009817E6">
            <w:pPr>
              <w:pStyle w:val="ARtabletextright"/>
            </w:pPr>
            <w:r w:rsidRPr="00F45F11">
              <w:t>$68,532</w:t>
            </w:r>
          </w:p>
        </w:tc>
        <w:tc>
          <w:tcPr>
            <w:tcW w:w="548" w:type="pct"/>
            <w:tcMar>
              <w:left w:w="0" w:type="nil"/>
              <w:right w:w="0" w:type="nil"/>
            </w:tcMar>
          </w:tcPr>
          <w:p w14:paraId="7FA2F8E7"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rPr>
            </w:pPr>
            <w:r w:rsidRPr="00F45F11">
              <w:t>$68,532</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2A33A6E9" w14:textId="77777777" w:rsidR="00DC25DC" w:rsidRPr="00F45F11" w:rsidRDefault="00DC25DC" w:rsidP="009817E6">
            <w:pPr>
              <w:pStyle w:val="ARtabletextright"/>
            </w:pPr>
          </w:p>
        </w:tc>
      </w:tr>
      <w:tr w:rsidR="00DC25DC" w:rsidRPr="00F45F11" w14:paraId="482B5BC6"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302E7669" w14:textId="77777777" w:rsidR="00DC25DC" w:rsidRPr="00F45F11" w:rsidRDefault="00DC25DC" w:rsidP="009817E6">
            <w:pPr>
              <w:pStyle w:val="ARtabletextbold"/>
              <w:rPr>
                <w:i/>
                <w:iCs/>
                <w:highlight w:val="cyan"/>
              </w:rPr>
            </w:pPr>
            <w:proofErr w:type="spellStart"/>
            <w:r w:rsidRPr="00F45F11">
              <w:rPr>
                <w:color w:val="000000"/>
              </w:rPr>
              <w:t>Fromhereon</w:t>
            </w:r>
            <w:proofErr w:type="spellEnd"/>
            <w:r w:rsidRPr="00F45F11">
              <w:rPr>
                <w:color w:val="000000"/>
              </w:rPr>
              <w:t xml:space="preserve"> Pty Ltd</w:t>
            </w:r>
          </w:p>
        </w:tc>
        <w:tc>
          <w:tcPr>
            <w:tcW w:w="2357" w:type="pct"/>
          </w:tcPr>
          <w:p w14:paraId="0181690C"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Advisory services for information management roadmap</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5CA7AF19" w14:textId="77777777" w:rsidR="00DC25DC" w:rsidRPr="00F45F11" w:rsidRDefault="00DC25DC" w:rsidP="009817E6">
            <w:pPr>
              <w:pStyle w:val="ARtabletextright"/>
              <w:rPr>
                <w:highlight w:val="cyan"/>
              </w:rPr>
            </w:pPr>
            <w:r w:rsidRPr="00F45F11">
              <w:t>$134,500</w:t>
            </w:r>
          </w:p>
        </w:tc>
        <w:tc>
          <w:tcPr>
            <w:tcW w:w="548" w:type="pct"/>
            <w:tcMar>
              <w:left w:w="0" w:type="nil"/>
              <w:right w:w="0" w:type="nil"/>
            </w:tcMar>
          </w:tcPr>
          <w:p w14:paraId="27F545B3"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rPr>
                <w:color w:val="000000"/>
              </w:rPr>
              <w:t>$68,356</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077FAD63" w14:textId="77777777" w:rsidR="00DC25DC" w:rsidRPr="00F45F11" w:rsidRDefault="00DC25DC" w:rsidP="009817E6">
            <w:pPr>
              <w:pStyle w:val="ARtabletextright"/>
              <w:rPr>
                <w:highlight w:val="cyan"/>
              </w:rPr>
            </w:pPr>
            <w:r w:rsidRPr="00F45F11">
              <w:t>–</w:t>
            </w:r>
          </w:p>
        </w:tc>
      </w:tr>
      <w:tr w:rsidR="00DC25DC" w:rsidRPr="00F45F11" w14:paraId="5E8F6746"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426C863C" w14:textId="77777777" w:rsidR="00DC25DC" w:rsidRPr="00F45F11" w:rsidRDefault="00DC25DC" w:rsidP="009817E6">
            <w:pPr>
              <w:pStyle w:val="ARtabletextbold"/>
              <w:rPr>
                <w:highlight w:val="cyan"/>
              </w:rPr>
            </w:pPr>
            <w:r w:rsidRPr="00F45F11">
              <w:rPr>
                <w:color w:val="000000"/>
              </w:rPr>
              <w:t>Stratagem Enterprises Pty Ltd</w:t>
            </w:r>
          </w:p>
        </w:tc>
        <w:tc>
          <w:tcPr>
            <w:tcW w:w="2357" w:type="pct"/>
          </w:tcPr>
          <w:p w14:paraId="58667454" w14:textId="075684E9"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 xml:space="preserve">Risk Management Fund Project </w:t>
            </w:r>
            <w:r w:rsidR="008B76E1" w:rsidRPr="00F45F11">
              <w:t>p</w:t>
            </w:r>
            <w:r w:rsidRPr="00F45F11">
              <w:t xml:space="preserve">hase 1 </w:t>
            </w:r>
            <w:r w:rsidR="008B76E1" w:rsidRPr="00F45F11">
              <w:t>and</w:t>
            </w:r>
            <w:r w:rsidRPr="00F45F11">
              <w:t xml:space="preserve"> 2 work</w:t>
            </w:r>
            <w:r w:rsidR="008B76E1" w:rsidRPr="00F45F11">
              <w:t>-</w:t>
            </w:r>
            <w:r w:rsidRPr="00F45F11">
              <w:t>related violence risk management documentation review</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6D898DC2" w14:textId="77777777" w:rsidR="00DC25DC" w:rsidRPr="00F45F11" w:rsidRDefault="00DC25DC" w:rsidP="009817E6">
            <w:pPr>
              <w:pStyle w:val="ARtabletextright"/>
              <w:rPr>
                <w:highlight w:val="cyan"/>
              </w:rPr>
            </w:pPr>
            <w:r w:rsidRPr="00F45F11">
              <w:t>$</w:t>
            </w:r>
            <w:r w:rsidRPr="00F45F11">
              <w:rPr>
                <w:color w:val="000000"/>
              </w:rPr>
              <w:t>66,022</w:t>
            </w:r>
          </w:p>
        </w:tc>
        <w:tc>
          <w:tcPr>
            <w:tcW w:w="548" w:type="pct"/>
            <w:tcMar>
              <w:left w:w="0" w:type="nil"/>
              <w:right w:w="0" w:type="nil"/>
            </w:tcMar>
          </w:tcPr>
          <w:p w14:paraId="5110441C"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rPr>
                <w:color w:val="000000"/>
              </w:rPr>
              <w:t>$66,022</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7811D117" w14:textId="77777777" w:rsidR="00DC25DC" w:rsidRPr="00F45F11" w:rsidRDefault="00DC25DC" w:rsidP="009817E6">
            <w:pPr>
              <w:pStyle w:val="ARtabletextright"/>
              <w:rPr>
                <w:highlight w:val="cyan"/>
              </w:rPr>
            </w:pPr>
            <w:r w:rsidRPr="00F45F11">
              <w:t>–</w:t>
            </w:r>
          </w:p>
        </w:tc>
      </w:tr>
      <w:tr w:rsidR="00DC25DC" w:rsidRPr="00F45F11" w14:paraId="14E862EF"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3E79D573" w14:textId="77777777" w:rsidR="00DC25DC" w:rsidRPr="00F45F11" w:rsidRDefault="00DC25DC" w:rsidP="009817E6">
            <w:pPr>
              <w:pStyle w:val="ARtabletextbold"/>
              <w:rPr>
                <w:highlight w:val="cyan"/>
              </w:rPr>
            </w:pPr>
            <w:r w:rsidRPr="00F45F11">
              <w:rPr>
                <w:color w:val="000000"/>
              </w:rPr>
              <w:t>Ernst &amp; Young Services Pty Ltd</w:t>
            </w:r>
          </w:p>
        </w:tc>
        <w:tc>
          <w:tcPr>
            <w:tcW w:w="2357" w:type="pct"/>
          </w:tcPr>
          <w:p w14:paraId="62FE81A1" w14:textId="45D7F578"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Advisor for facilitated placements modification for Ground Lease Model 1 towers redevelopment</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58BFEA0F" w14:textId="77777777" w:rsidR="00DC25DC" w:rsidRPr="00F45F11" w:rsidRDefault="00DC25DC" w:rsidP="009817E6">
            <w:pPr>
              <w:pStyle w:val="ARtabletextright"/>
              <w:rPr>
                <w:highlight w:val="cyan"/>
              </w:rPr>
            </w:pPr>
            <w:r w:rsidRPr="00F45F11">
              <w:t>$228,125</w:t>
            </w:r>
          </w:p>
        </w:tc>
        <w:tc>
          <w:tcPr>
            <w:tcW w:w="548" w:type="pct"/>
            <w:tcMar>
              <w:left w:w="0" w:type="nil"/>
              <w:right w:w="0" w:type="nil"/>
            </w:tcMar>
          </w:tcPr>
          <w:p w14:paraId="558322DB"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rPr>
                <w:color w:val="000000"/>
              </w:rPr>
              <w:t>$62,975</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22DD0A7F" w14:textId="77777777" w:rsidR="00DC25DC" w:rsidRPr="00F45F11" w:rsidRDefault="00DC25DC" w:rsidP="009817E6">
            <w:pPr>
              <w:pStyle w:val="ARtabletextright"/>
              <w:rPr>
                <w:highlight w:val="cyan"/>
              </w:rPr>
            </w:pPr>
            <w:r w:rsidRPr="00F45F11">
              <w:t>$145,304</w:t>
            </w:r>
          </w:p>
        </w:tc>
      </w:tr>
      <w:tr w:rsidR="00DC25DC" w:rsidRPr="00F45F11" w14:paraId="63E6078B"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32283887" w14:textId="77777777" w:rsidR="00DC25DC" w:rsidRPr="00F45F11" w:rsidRDefault="00DC25DC" w:rsidP="009817E6">
            <w:pPr>
              <w:pStyle w:val="ARtabletextbold"/>
              <w:rPr>
                <w:highlight w:val="cyan"/>
              </w:rPr>
            </w:pPr>
            <w:proofErr w:type="spellStart"/>
            <w:r w:rsidRPr="00F45F11">
              <w:rPr>
                <w:color w:val="000000"/>
              </w:rPr>
              <w:t>Matryx</w:t>
            </w:r>
            <w:proofErr w:type="spellEnd"/>
            <w:r w:rsidRPr="00F45F11">
              <w:rPr>
                <w:color w:val="000000"/>
              </w:rPr>
              <w:t xml:space="preserve"> Consulting</w:t>
            </w:r>
          </w:p>
        </w:tc>
        <w:tc>
          <w:tcPr>
            <w:tcW w:w="2357" w:type="pct"/>
          </w:tcPr>
          <w:p w14:paraId="4C0D5461"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Security review engagement of consultant</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366AF610" w14:textId="77777777" w:rsidR="00DC25DC" w:rsidRPr="00F45F11" w:rsidRDefault="00DC25DC" w:rsidP="009817E6">
            <w:pPr>
              <w:pStyle w:val="ARtabletextright"/>
              <w:rPr>
                <w:highlight w:val="cyan"/>
              </w:rPr>
            </w:pPr>
            <w:r w:rsidRPr="00F45F11">
              <w:t>$118,740</w:t>
            </w:r>
          </w:p>
        </w:tc>
        <w:tc>
          <w:tcPr>
            <w:tcW w:w="548" w:type="pct"/>
            <w:tcMar>
              <w:left w:w="0" w:type="nil"/>
              <w:right w:w="0" w:type="nil"/>
            </w:tcMar>
          </w:tcPr>
          <w:p w14:paraId="406EA213"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rPr>
                <w:color w:val="000000"/>
              </w:rPr>
              <w:t>$60,030</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6F4C79B5" w14:textId="77777777" w:rsidR="00DC25DC" w:rsidRPr="00F45F11" w:rsidRDefault="00DC25DC" w:rsidP="009817E6">
            <w:pPr>
              <w:pStyle w:val="ARtabletextright"/>
              <w:rPr>
                <w:highlight w:val="cyan"/>
              </w:rPr>
            </w:pPr>
            <w:r w:rsidRPr="00F45F11">
              <w:t>–</w:t>
            </w:r>
          </w:p>
        </w:tc>
      </w:tr>
      <w:tr w:rsidR="00DC25DC" w:rsidRPr="00F45F11" w14:paraId="5C621249"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0ABC43D4" w14:textId="77777777" w:rsidR="00DC25DC" w:rsidRPr="00F45F11" w:rsidRDefault="00DC25DC" w:rsidP="009817E6">
            <w:pPr>
              <w:pStyle w:val="ARtabletextbold"/>
              <w:rPr>
                <w:highlight w:val="cyan"/>
              </w:rPr>
            </w:pPr>
            <w:r w:rsidRPr="00F45F11">
              <w:rPr>
                <w:color w:val="000000"/>
              </w:rPr>
              <w:t>Social Research Centre</w:t>
            </w:r>
          </w:p>
        </w:tc>
        <w:tc>
          <w:tcPr>
            <w:tcW w:w="2357" w:type="pct"/>
          </w:tcPr>
          <w:p w14:paraId="7382D7CE"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Supporting young people to understand affirmative consent program evaluation</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7D9DF816" w14:textId="77777777" w:rsidR="00DC25DC" w:rsidRPr="00F45F11" w:rsidRDefault="00DC25DC" w:rsidP="009817E6">
            <w:pPr>
              <w:pStyle w:val="ARtabletextright"/>
              <w:rPr>
                <w:highlight w:val="cyan"/>
              </w:rPr>
            </w:pPr>
            <w:r w:rsidRPr="00F45F11">
              <w:t>$531,009</w:t>
            </w:r>
          </w:p>
        </w:tc>
        <w:tc>
          <w:tcPr>
            <w:tcW w:w="548" w:type="pct"/>
            <w:tcMar>
              <w:left w:w="0" w:type="nil"/>
              <w:right w:w="0" w:type="nil"/>
            </w:tcMar>
          </w:tcPr>
          <w:p w14:paraId="304366BE"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rPr>
                <w:color w:val="000000"/>
              </w:rPr>
              <w:t>$56,588</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24C95F84" w14:textId="77777777" w:rsidR="00DC25DC" w:rsidRPr="00F45F11" w:rsidRDefault="00DC25DC" w:rsidP="009817E6">
            <w:pPr>
              <w:pStyle w:val="ARtabletextright"/>
              <w:rPr>
                <w:highlight w:val="cyan"/>
              </w:rPr>
            </w:pPr>
            <w:r w:rsidRPr="00F45F11">
              <w:t>–</w:t>
            </w:r>
          </w:p>
        </w:tc>
      </w:tr>
      <w:tr w:rsidR="00DC25DC" w:rsidRPr="00F45F11" w14:paraId="0FBF29EC"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3964515D" w14:textId="77777777" w:rsidR="00DC25DC" w:rsidRPr="00F45F11" w:rsidRDefault="00DC25DC" w:rsidP="009817E6">
            <w:pPr>
              <w:pStyle w:val="ARtabletextbold"/>
              <w:rPr>
                <w:highlight w:val="cyan"/>
              </w:rPr>
            </w:pPr>
            <w:r w:rsidRPr="00F45F11">
              <w:rPr>
                <w:color w:val="000000"/>
              </w:rPr>
              <w:t>La Trobe University</w:t>
            </w:r>
          </w:p>
        </w:tc>
        <w:tc>
          <w:tcPr>
            <w:tcW w:w="2357" w:type="pct"/>
          </w:tcPr>
          <w:p w14:paraId="58922444"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Client voice project</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7986297A" w14:textId="77777777" w:rsidR="00DC25DC" w:rsidRPr="00F45F11" w:rsidRDefault="00DC25DC" w:rsidP="009817E6">
            <w:pPr>
              <w:pStyle w:val="ARtabletextright"/>
              <w:rPr>
                <w:highlight w:val="cyan"/>
              </w:rPr>
            </w:pPr>
            <w:r w:rsidRPr="00F45F11">
              <w:t>$282,864</w:t>
            </w:r>
          </w:p>
        </w:tc>
        <w:tc>
          <w:tcPr>
            <w:tcW w:w="548" w:type="pct"/>
            <w:tcMar>
              <w:left w:w="0" w:type="nil"/>
              <w:right w:w="0" w:type="nil"/>
            </w:tcMar>
          </w:tcPr>
          <w:p w14:paraId="2AF2394A"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rPr>
                <w:color w:val="000000"/>
              </w:rPr>
              <w:t>$56,573</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298C8B0D" w14:textId="77777777" w:rsidR="00DC25DC" w:rsidRPr="00F45F11" w:rsidRDefault="00DC25DC" w:rsidP="009817E6">
            <w:pPr>
              <w:pStyle w:val="ARtabletextright"/>
              <w:rPr>
                <w:highlight w:val="cyan"/>
              </w:rPr>
            </w:pPr>
            <w:r w:rsidRPr="00F45F11">
              <w:t>–</w:t>
            </w:r>
          </w:p>
        </w:tc>
      </w:tr>
      <w:tr w:rsidR="00DC25DC" w:rsidRPr="00F45F11" w14:paraId="455163F5"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33B7FF0D" w14:textId="77777777" w:rsidR="00DC25DC" w:rsidRPr="00F45F11" w:rsidRDefault="00DC25DC" w:rsidP="009817E6">
            <w:pPr>
              <w:pStyle w:val="ARtabletextbold"/>
              <w:rPr>
                <w:highlight w:val="cyan"/>
              </w:rPr>
            </w:pPr>
            <w:r w:rsidRPr="00F45F11">
              <w:rPr>
                <w:color w:val="000000"/>
              </w:rPr>
              <w:t>Anne Dalton &amp; Associates</w:t>
            </w:r>
          </w:p>
        </w:tc>
        <w:tc>
          <w:tcPr>
            <w:tcW w:w="2357" w:type="pct"/>
          </w:tcPr>
          <w:p w14:paraId="34C07808"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Probity consultant, towers redevelopment project tranche 1 and 2</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56C98A5F" w14:textId="77777777" w:rsidR="00DC25DC" w:rsidRPr="00F45F11" w:rsidRDefault="00DC25DC" w:rsidP="009817E6">
            <w:pPr>
              <w:pStyle w:val="ARtabletextright"/>
              <w:rPr>
                <w:highlight w:val="cyan"/>
              </w:rPr>
            </w:pPr>
            <w:r w:rsidRPr="00F45F11">
              <w:t>$272,727</w:t>
            </w:r>
          </w:p>
        </w:tc>
        <w:tc>
          <w:tcPr>
            <w:tcW w:w="548" w:type="pct"/>
            <w:tcMar>
              <w:left w:w="0" w:type="nil"/>
              <w:right w:w="0" w:type="nil"/>
            </w:tcMar>
          </w:tcPr>
          <w:p w14:paraId="0CCE3296"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rPr>
                <w:color w:val="000000"/>
              </w:rPr>
              <w:t>$51,409</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5D775053" w14:textId="77777777" w:rsidR="00DC25DC" w:rsidRPr="00F45F11" w:rsidRDefault="00DC25DC" w:rsidP="009817E6">
            <w:pPr>
              <w:pStyle w:val="ARtabletextright"/>
              <w:rPr>
                <w:highlight w:val="cyan"/>
              </w:rPr>
            </w:pPr>
            <w:r w:rsidRPr="00F45F11">
              <w:t>$182,290</w:t>
            </w:r>
          </w:p>
        </w:tc>
      </w:tr>
      <w:tr w:rsidR="00DC25DC" w:rsidRPr="00F45F11" w14:paraId="24A106AC"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5E7485BE" w14:textId="77777777" w:rsidR="00DC25DC" w:rsidRPr="00F45F11" w:rsidRDefault="00DC25DC" w:rsidP="009817E6">
            <w:pPr>
              <w:pStyle w:val="ARtabletextbold"/>
              <w:rPr>
                <w:highlight w:val="cyan"/>
              </w:rPr>
            </w:pPr>
            <w:r w:rsidRPr="00F45F11">
              <w:rPr>
                <w:color w:val="000000"/>
              </w:rPr>
              <w:t>Grosvenor Performance Group</w:t>
            </w:r>
          </w:p>
        </w:tc>
        <w:tc>
          <w:tcPr>
            <w:tcW w:w="2357" w:type="pct"/>
          </w:tcPr>
          <w:p w14:paraId="373BBEC3"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 xml:space="preserve">Recognition of prior learning for </w:t>
            </w:r>
            <w:proofErr w:type="gramStart"/>
            <w:r w:rsidRPr="00F45F11">
              <w:t>veterans</w:t>
            </w:r>
            <w:proofErr w:type="gramEnd"/>
            <w:r w:rsidRPr="00F45F11">
              <w:t xml:space="preserve"> evaluation</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0A121888" w14:textId="77777777" w:rsidR="00DC25DC" w:rsidRPr="00F45F11" w:rsidRDefault="00DC25DC" w:rsidP="009817E6">
            <w:pPr>
              <w:pStyle w:val="ARtabletextright"/>
              <w:rPr>
                <w:highlight w:val="cyan"/>
              </w:rPr>
            </w:pPr>
            <w:r w:rsidRPr="00F45F11">
              <w:t>$49,585</w:t>
            </w:r>
          </w:p>
        </w:tc>
        <w:tc>
          <w:tcPr>
            <w:tcW w:w="548" w:type="pct"/>
            <w:tcMar>
              <w:left w:w="0" w:type="nil"/>
              <w:right w:w="0" w:type="nil"/>
            </w:tcMar>
          </w:tcPr>
          <w:p w14:paraId="7343DD23"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rPr>
                <w:color w:val="000000"/>
              </w:rPr>
              <w:t>$49,585</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0D878FB7" w14:textId="77777777" w:rsidR="00DC25DC" w:rsidRPr="00F45F11" w:rsidRDefault="00DC25DC" w:rsidP="009817E6">
            <w:pPr>
              <w:pStyle w:val="ARtabletextright"/>
              <w:rPr>
                <w:highlight w:val="cyan"/>
              </w:rPr>
            </w:pPr>
            <w:r w:rsidRPr="00F45F11">
              <w:t>–</w:t>
            </w:r>
          </w:p>
        </w:tc>
      </w:tr>
      <w:tr w:rsidR="00DC25DC" w:rsidRPr="00F45F11" w14:paraId="5AF2D8D7"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5089A7E2" w14:textId="77777777" w:rsidR="00DC25DC" w:rsidRPr="00F45F11" w:rsidRDefault="00DC25DC" w:rsidP="009817E6">
            <w:pPr>
              <w:pStyle w:val="ARtabletextbold"/>
              <w:rPr>
                <w:highlight w:val="cyan"/>
              </w:rPr>
            </w:pPr>
            <w:r w:rsidRPr="00F45F11">
              <w:t>Cube Group</w:t>
            </w:r>
          </w:p>
        </w:tc>
        <w:tc>
          <w:tcPr>
            <w:tcW w:w="2357" w:type="pct"/>
          </w:tcPr>
          <w:p w14:paraId="4BFA7A2B"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 xml:space="preserve">Statutory review of the </w:t>
            </w:r>
            <w:r w:rsidRPr="00A124D1">
              <w:rPr>
                <w:rStyle w:val="Emphasis"/>
              </w:rPr>
              <w:t>Gender Equality Act 2020</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632DA121" w14:textId="77777777" w:rsidR="00DC25DC" w:rsidRPr="00F45F11" w:rsidRDefault="00DC25DC" w:rsidP="009817E6">
            <w:pPr>
              <w:pStyle w:val="ARtabletextright"/>
              <w:rPr>
                <w:highlight w:val="cyan"/>
              </w:rPr>
            </w:pPr>
            <w:r w:rsidRPr="00F45F11">
              <w:t>$148,087</w:t>
            </w:r>
          </w:p>
        </w:tc>
        <w:tc>
          <w:tcPr>
            <w:tcW w:w="548" w:type="pct"/>
            <w:tcMar>
              <w:left w:w="0" w:type="nil"/>
              <w:right w:w="0" w:type="nil"/>
            </w:tcMar>
          </w:tcPr>
          <w:p w14:paraId="688B6333"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$48,087</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4669912A" w14:textId="77777777" w:rsidR="00DC25DC" w:rsidRPr="00F45F11" w:rsidRDefault="00DC25DC" w:rsidP="009817E6">
            <w:pPr>
              <w:pStyle w:val="ARtabletextright"/>
              <w:rPr>
                <w:highlight w:val="cyan"/>
              </w:rPr>
            </w:pPr>
            <w:r w:rsidRPr="00F45F11">
              <w:t>–</w:t>
            </w:r>
          </w:p>
        </w:tc>
      </w:tr>
      <w:tr w:rsidR="00DC25DC" w:rsidRPr="00F45F11" w14:paraId="30866A97"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31758F1E" w14:textId="77777777" w:rsidR="00DC25DC" w:rsidRPr="00F45F11" w:rsidRDefault="00DC25DC" w:rsidP="009817E6">
            <w:pPr>
              <w:pStyle w:val="ARtabletextbold"/>
              <w:rPr>
                <w:highlight w:val="cyan"/>
              </w:rPr>
            </w:pPr>
            <w:r w:rsidRPr="00F45F11">
              <w:t>Pearce Sheehan Management</w:t>
            </w:r>
          </w:p>
        </w:tc>
        <w:tc>
          <w:tcPr>
            <w:tcW w:w="2357" w:type="pct"/>
          </w:tcPr>
          <w:p w14:paraId="060031AB" w14:textId="08CB7E68"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 xml:space="preserve">Independent </w:t>
            </w:r>
            <w:r w:rsidR="008B76E1" w:rsidRPr="00F45F11">
              <w:t>r</w:t>
            </w:r>
            <w:r w:rsidRPr="00F45F11">
              <w:t xml:space="preserve">eview of </w:t>
            </w:r>
            <w:r w:rsidR="008B76E1" w:rsidRPr="00F45F11">
              <w:t>r</w:t>
            </w:r>
            <w:r w:rsidRPr="00F45F11">
              <w:t xml:space="preserve">esidential </w:t>
            </w:r>
            <w:r w:rsidR="008B76E1" w:rsidRPr="00F45F11">
              <w:t>c</w:t>
            </w:r>
            <w:r w:rsidRPr="00F45F11">
              <w:t>are</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507E1056" w14:textId="77777777" w:rsidR="00DC25DC" w:rsidRPr="00F45F11" w:rsidRDefault="00DC25DC" w:rsidP="009817E6">
            <w:pPr>
              <w:pStyle w:val="ARtabletextright"/>
            </w:pPr>
            <w:r w:rsidRPr="00F45F11">
              <w:t>$43,761</w:t>
            </w:r>
          </w:p>
        </w:tc>
        <w:tc>
          <w:tcPr>
            <w:tcW w:w="548" w:type="pct"/>
            <w:tcMar>
              <w:left w:w="0" w:type="nil"/>
              <w:right w:w="0" w:type="nil"/>
            </w:tcMar>
          </w:tcPr>
          <w:p w14:paraId="0F459B52"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$43,761</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7C6457BA" w14:textId="77777777" w:rsidR="00DC25DC" w:rsidRPr="00F45F11" w:rsidRDefault="00DC25DC" w:rsidP="009817E6">
            <w:pPr>
              <w:pStyle w:val="ARtabletextright"/>
              <w:rPr>
                <w:highlight w:val="cyan"/>
              </w:rPr>
            </w:pPr>
            <w:r w:rsidRPr="00F45F11">
              <w:t>–</w:t>
            </w:r>
          </w:p>
        </w:tc>
      </w:tr>
      <w:tr w:rsidR="00DC25DC" w:rsidRPr="00F45F11" w14:paraId="2C780720"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2FB3EB9D" w14:textId="442C04EC" w:rsidR="00DC25DC" w:rsidRPr="00F45F11" w:rsidRDefault="00DC25DC" w:rsidP="009817E6">
            <w:pPr>
              <w:pStyle w:val="ARtabletextbold"/>
              <w:rPr>
                <w:highlight w:val="cyan"/>
              </w:rPr>
            </w:pPr>
            <w:r w:rsidRPr="00F45F11">
              <w:t>SGS Economics &amp; Planning Pty</w:t>
            </w:r>
            <w:r w:rsidR="00434684">
              <w:t> </w:t>
            </w:r>
            <w:r w:rsidRPr="00F45F11">
              <w:t>Ltd</w:t>
            </w:r>
          </w:p>
        </w:tc>
        <w:tc>
          <w:tcPr>
            <w:tcW w:w="2357" w:type="pct"/>
          </w:tcPr>
          <w:p w14:paraId="2462A7D3"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Portfolio optimisation model for Aboriginal Victorians</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77CD0F8F" w14:textId="77777777" w:rsidR="00DC25DC" w:rsidRPr="00F45F11" w:rsidRDefault="00DC25DC" w:rsidP="009817E6">
            <w:pPr>
              <w:pStyle w:val="ARtabletextright"/>
              <w:rPr>
                <w:highlight w:val="cyan"/>
              </w:rPr>
            </w:pPr>
            <w:r w:rsidRPr="00F45F11">
              <w:t>$42,930</w:t>
            </w:r>
          </w:p>
        </w:tc>
        <w:tc>
          <w:tcPr>
            <w:tcW w:w="548" w:type="pct"/>
            <w:tcMar>
              <w:left w:w="0" w:type="nil"/>
              <w:right w:w="0" w:type="nil"/>
            </w:tcMar>
          </w:tcPr>
          <w:p w14:paraId="10DACCD9"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$42,930</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34F169E3" w14:textId="77777777" w:rsidR="00DC25DC" w:rsidRPr="00F45F11" w:rsidRDefault="00DC25DC" w:rsidP="009817E6">
            <w:pPr>
              <w:pStyle w:val="ARtabletextright"/>
              <w:rPr>
                <w:highlight w:val="cyan"/>
              </w:rPr>
            </w:pPr>
            <w:r w:rsidRPr="00F45F11">
              <w:t>–</w:t>
            </w:r>
          </w:p>
        </w:tc>
      </w:tr>
      <w:tr w:rsidR="00DC25DC" w:rsidRPr="00F45F11" w14:paraId="6AE30E34"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13B6326A" w14:textId="77777777" w:rsidR="00DC25DC" w:rsidRPr="00F45F11" w:rsidRDefault="00DC25DC" w:rsidP="009817E6">
            <w:pPr>
              <w:pStyle w:val="ARtabletextbold"/>
              <w:rPr>
                <w:highlight w:val="cyan"/>
              </w:rPr>
            </w:pPr>
            <w:r w:rsidRPr="00F45F11">
              <w:t>Dandolo Partners</w:t>
            </w:r>
          </w:p>
        </w:tc>
        <w:tc>
          <w:tcPr>
            <w:tcW w:w="2357" w:type="pct"/>
          </w:tcPr>
          <w:p w14:paraId="4FB8D38A"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Scoping national child and family service worker accreditation</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00983678" w14:textId="77777777" w:rsidR="00DC25DC" w:rsidRPr="00F45F11" w:rsidRDefault="00DC25DC" w:rsidP="009817E6">
            <w:pPr>
              <w:pStyle w:val="ARtabletextright"/>
              <w:rPr>
                <w:highlight w:val="cyan"/>
              </w:rPr>
            </w:pPr>
            <w:r w:rsidRPr="00F45F11">
              <w:t>$40,000</w:t>
            </w:r>
          </w:p>
        </w:tc>
        <w:tc>
          <w:tcPr>
            <w:tcW w:w="548" w:type="pct"/>
            <w:tcMar>
              <w:left w:w="0" w:type="nil"/>
              <w:right w:w="0" w:type="nil"/>
            </w:tcMar>
          </w:tcPr>
          <w:p w14:paraId="6A6E4B32"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$40,000</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2447A072" w14:textId="77777777" w:rsidR="00DC25DC" w:rsidRPr="00F45F11" w:rsidRDefault="00DC25DC" w:rsidP="009817E6">
            <w:pPr>
              <w:pStyle w:val="ARtabletextright"/>
              <w:rPr>
                <w:highlight w:val="cyan"/>
              </w:rPr>
            </w:pPr>
            <w:r w:rsidRPr="00F45F11">
              <w:t>–</w:t>
            </w:r>
          </w:p>
        </w:tc>
      </w:tr>
      <w:tr w:rsidR="00DC25DC" w:rsidRPr="00F45F11" w14:paraId="19794BBC"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23A4C419" w14:textId="77777777" w:rsidR="00DC25DC" w:rsidRPr="00F45F11" w:rsidRDefault="00DC25DC" w:rsidP="009817E6">
            <w:pPr>
              <w:pStyle w:val="ARtabletextbold"/>
              <w:rPr>
                <w:highlight w:val="cyan"/>
              </w:rPr>
            </w:pPr>
            <w:proofErr w:type="spellStart"/>
            <w:r w:rsidRPr="00F45F11">
              <w:t>Courtheath</w:t>
            </w:r>
            <w:proofErr w:type="spellEnd"/>
            <w:r w:rsidRPr="00F45F11">
              <w:t xml:space="preserve"> Consulting Pty Ltd</w:t>
            </w:r>
          </w:p>
        </w:tc>
        <w:tc>
          <w:tcPr>
            <w:tcW w:w="2357" w:type="pct"/>
          </w:tcPr>
          <w:p w14:paraId="0303B972"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Probity advisor for carer support networks, foster care reform</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40EDED08" w14:textId="77777777" w:rsidR="00DC25DC" w:rsidRPr="00F45F11" w:rsidRDefault="00DC25DC" w:rsidP="009817E6">
            <w:pPr>
              <w:pStyle w:val="ARtabletextright"/>
              <w:rPr>
                <w:highlight w:val="cyan"/>
              </w:rPr>
            </w:pPr>
            <w:r w:rsidRPr="00F45F11">
              <w:t>$44,500</w:t>
            </w:r>
          </w:p>
        </w:tc>
        <w:tc>
          <w:tcPr>
            <w:tcW w:w="548" w:type="pct"/>
            <w:tcMar>
              <w:left w:w="0" w:type="nil"/>
              <w:right w:w="0" w:type="nil"/>
            </w:tcMar>
          </w:tcPr>
          <w:p w14:paraId="02AB229B"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$38,340</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7A5B3E7D" w14:textId="77777777" w:rsidR="00DC25DC" w:rsidRPr="00F45F11" w:rsidRDefault="00DC25DC" w:rsidP="009817E6">
            <w:pPr>
              <w:pStyle w:val="ARtabletextright"/>
              <w:rPr>
                <w:highlight w:val="cyan"/>
              </w:rPr>
            </w:pPr>
            <w:r w:rsidRPr="00F45F11">
              <w:t>–</w:t>
            </w:r>
          </w:p>
        </w:tc>
      </w:tr>
      <w:tr w:rsidR="00DC25DC" w:rsidRPr="00F45F11" w14:paraId="638A945A"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5D5B1B53" w14:textId="77777777" w:rsidR="00DC25DC" w:rsidRPr="00F45F11" w:rsidRDefault="00DC25DC" w:rsidP="009817E6">
            <w:pPr>
              <w:pStyle w:val="ARtabletextbold"/>
              <w:rPr>
                <w:highlight w:val="cyan"/>
              </w:rPr>
            </w:pPr>
            <w:r w:rsidRPr="00F45F11">
              <w:t>Lighthouse Advisory Pty Ltd</w:t>
            </w:r>
          </w:p>
        </w:tc>
        <w:tc>
          <w:tcPr>
            <w:tcW w:w="2357" w:type="pct"/>
          </w:tcPr>
          <w:p w14:paraId="0B34298E" w14:textId="16447DBF"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 xml:space="preserve">Board of </w:t>
            </w:r>
            <w:r w:rsidR="00365599">
              <w:t>M</w:t>
            </w:r>
            <w:r w:rsidRPr="00F45F11">
              <w:t>anagement risk workshop</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6B2ADD5D" w14:textId="77777777" w:rsidR="00DC25DC" w:rsidRPr="00F45F11" w:rsidRDefault="00DC25DC" w:rsidP="009817E6">
            <w:pPr>
              <w:pStyle w:val="ARtabletextright"/>
              <w:rPr>
                <w:highlight w:val="cyan"/>
              </w:rPr>
            </w:pPr>
            <w:r w:rsidRPr="00F45F11">
              <w:t>$106,109</w:t>
            </w:r>
          </w:p>
        </w:tc>
        <w:tc>
          <w:tcPr>
            <w:tcW w:w="548" w:type="pct"/>
            <w:tcMar>
              <w:left w:w="0" w:type="nil"/>
              <w:right w:w="0" w:type="nil"/>
            </w:tcMar>
          </w:tcPr>
          <w:p w14:paraId="667B1C23"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$38,070</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1BF36586" w14:textId="77777777" w:rsidR="00DC25DC" w:rsidRPr="00F45F11" w:rsidRDefault="00DC25DC" w:rsidP="009817E6">
            <w:pPr>
              <w:pStyle w:val="ARtabletextright"/>
              <w:rPr>
                <w:highlight w:val="cyan"/>
              </w:rPr>
            </w:pPr>
            <w:r w:rsidRPr="00F45F11">
              <w:t>–</w:t>
            </w:r>
          </w:p>
        </w:tc>
      </w:tr>
      <w:tr w:rsidR="00DC25DC" w:rsidRPr="00F45F11" w14:paraId="3EFDD54C"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566A3642" w14:textId="77777777" w:rsidR="00DC25DC" w:rsidRPr="00F45F11" w:rsidRDefault="00DC25DC" w:rsidP="009817E6">
            <w:pPr>
              <w:pStyle w:val="ARtabletextbold"/>
              <w:rPr>
                <w:highlight w:val="cyan"/>
              </w:rPr>
            </w:pPr>
            <w:r w:rsidRPr="00F45F11">
              <w:t>Rapid Impact Pty Ltd</w:t>
            </w:r>
          </w:p>
        </w:tc>
        <w:tc>
          <w:tcPr>
            <w:tcW w:w="2357" w:type="pct"/>
          </w:tcPr>
          <w:p w14:paraId="43B05B97" w14:textId="4C582684"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Aboriginal Children</w:t>
            </w:r>
            <w:r w:rsidR="008B76E1" w:rsidRPr="00F45F11">
              <w:t>’</w:t>
            </w:r>
            <w:r w:rsidRPr="00F45F11">
              <w:t xml:space="preserve">s Forum and </w:t>
            </w:r>
            <w:proofErr w:type="spellStart"/>
            <w:r w:rsidRPr="00F45F11">
              <w:t>Wungurilwil</w:t>
            </w:r>
            <w:proofErr w:type="spellEnd"/>
            <w:r w:rsidRPr="00F45F11">
              <w:t xml:space="preserve"> </w:t>
            </w:r>
            <w:proofErr w:type="spellStart"/>
            <w:r w:rsidRPr="00F45F11">
              <w:t>Gapgapduir</w:t>
            </w:r>
            <w:proofErr w:type="spellEnd"/>
            <w:r w:rsidRPr="00F45F11">
              <w:t xml:space="preserve"> facilitator</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5FB692FC" w14:textId="77777777" w:rsidR="00DC25DC" w:rsidRPr="00F45F11" w:rsidRDefault="00DC25DC" w:rsidP="009817E6">
            <w:pPr>
              <w:pStyle w:val="ARtabletextright"/>
              <w:rPr>
                <w:highlight w:val="cyan"/>
              </w:rPr>
            </w:pPr>
            <w:r w:rsidRPr="00F45F11">
              <w:t>$58,500</w:t>
            </w:r>
          </w:p>
        </w:tc>
        <w:tc>
          <w:tcPr>
            <w:tcW w:w="548" w:type="pct"/>
            <w:tcMar>
              <w:left w:w="0" w:type="nil"/>
              <w:right w:w="0" w:type="nil"/>
            </w:tcMar>
          </w:tcPr>
          <w:p w14:paraId="7A31B34C"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$36,645</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5FB85E13" w14:textId="77777777" w:rsidR="00DC25DC" w:rsidRPr="00F45F11" w:rsidRDefault="00DC25DC" w:rsidP="009817E6">
            <w:pPr>
              <w:pStyle w:val="ARtabletextright"/>
              <w:rPr>
                <w:highlight w:val="cyan"/>
              </w:rPr>
            </w:pPr>
            <w:r w:rsidRPr="00F45F11">
              <w:t>$21,855</w:t>
            </w:r>
          </w:p>
        </w:tc>
      </w:tr>
      <w:tr w:rsidR="00DC25DC" w:rsidRPr="00F45F11" w14:paraId="77B30BB1"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2AEC88A5" w14:textId="77777777" w:rsidR="00DC25DC" w:rsidRPr="00F45F11" w:rsidRDefault="00DC25DC" w:rsidP="009817E6">
            <w:pPr>
              <w:pStyle w:val="ARtabletextbold"/>
              <w:rPr>
                <w:highlight w:val="cyan"/>
              </w:rPr>
            </w:pPr>
            <w:r w:rsidRPr="00F45F11">
              <w:t>Catherine Zissermann</w:t>
            </w:r>
          </w:p>
        </w:tc>
        <w:tc>
          <w:tcPr>
            <w:tcW w:w="2357" w:type="pct"/>
          </w:tcPr>
          <w:p w14:paraId="4F42F915" w14:textId="6687B3F3" w:rsidR="00DC25DC" w:rsidRPr="00F45F11" w:rsidRDefault="00787169"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t>Assistance and support for drafting of Parliamentary materials supporting passage of</w:t>
            </w:r>
            <w:r w:rsidR="00D1151F">
              <w:t> </w:t>
            </w:r>
            <w:r w:rsidR="00CB228D">
              <w:t>c</w:t>
            </w:r>
            <w:r w:rsidR="00DC25DC" w:rsidRPr="00F45F11">
              <w:t xml:space="preserve">hild safety reform legislation </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575A7DFC" w14:textId="77777777" w:rsidR="00DC25DC" w:rsidRPr="00F45F11" w:rsidRDefault="00DC25DC" w:rsidP="009817E6">
            <w:pPr>
              <w:pStyle w:val="ARtabletextright"/>
              <w:rPr>
                <w:highlight w:val="cyan"/>
              </w:rPr>
            </w:pPr>
            <w:r w:rsidRPr="00F45F11">
              <w:t>$36,364</w:t>
            </w:r>
          </w:p>
        </w:tc>
        <w:tc>
          <w:tcPr>
            <w:tcW w:w="548" w:type="pct"/>
            <w:tcMar>
              <w:left w:w="0" w:type="nil"/>
              <w:right w:w="0" w:type="nil"/>
            </w:tcMar>
          </w:tcPr>
          <w:p w14:paraId="45A000D7"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$35,200</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264D1F35" w14:textId="77777777" w:rsidR="00DC25DC" w:rsidRPr="00F45F11" w:rsidRDefault="00DC25DC" w:rsidP="009817E6">
            <w:pPr>
              <w:pStyle w:val="ARtabletextright"/>
              <w:rPr>
                <w:highlight w:val="cyan"/>
              </w:rPr>
            </w:pPr>
            <w:r w:rsidRPr="00F45F11">
              <w:t>–</w:t>
            </w:r>
          </w:p>
        </w:tc>
      </w:tr>
      <w:tr w:rsidR="00654318" w:rsidRPr="00F45F11" w14:paraId="7D105EEF"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1D675B0A" w14:textId="4CB643A6" w:rsidR="00654318" w:rsidRPr="00F45F11" w:rsidRDefault="00B412B9" w:rsidP="00654318">
            <w:pPr>
              <w:pStyle w:val="ARtabletextbold"/>
            </w:pPr>
            <w:proofErr w:type="spellStart"/>
            <w:r>
              <w:t>MO</w:t>
            </w:r>
            <w:r w:rsidR="00654318" w:rsidRPr="008F4BFB">
              <w:t>Edu.Au</w:t>
            </w:r>
            <w:proofErr w:type="spellEnd"/>
            <w:r w:rsidR="00654318" w:rsidRPr="008F4BFB">
              <w:t xml:space="preserve"> Pty Ltd</w:t>
            </w:r>
          </w:p>
        </w:tc>
        <w:tc>
          <w:tcPr>
            <w:tcW w:w="2357" w:type="pct"/>
          </w:tcPr>
          <w:p w14:paraId="211C439C" w14:textId="36E1CE78" w:rsidR="00654318" w:rsidRPr="00F45F11" w:rsidRDefault="00654318" w:rsidP="00434684">
            <w:pPr>
              <w:pStyle w:val="ARTabletext"/>
              <w:cnfStyle w:val="000000000000" w:firstRow="0" w:lastRow="0" w:firstColumn="0" w:lastColumn="0" w:oddVBand="0" w:evenVBand="0" w:oddHBand="0" w:evenHBand="0" w:firstRowFirstColumn="0" w:firstRowLastColumn="0" w:lastRowFirstColumn="0" w:lastRowLastColumn="0"/>
            </w:pPr>
            <w:r w:rsidRPr="008F4BFB">
              <w:t>Independent review of new rosters for After Hours Services rural-based teams</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545A7B42" w14:textId="0FBAA7EA" w:rsidR="00654318" w:rsidRPr="00F45F11" w:rsidRDefault="00654318" w:rsidP="00654318">
            <w:pPr>
              <w:pStyle w:val="ARtabletextright"/>
            </w:pPr>
            <w:r w:rsidRPr="008F4BFB">
              <w:t>$44,545</w:t>
            </w:r>
          </w:p>
        </w:tc>
        <w:tc>
          <w:tcPr>
            <w:tcW w:w="548" w:type="pct"/>
            <w:tcMar>
              <w:left w:w="0" w:type="nil"/>
              <w:right w:w="0" w:type="nil"/>
            </w:tcMar>
          </w:tcPr>
          <w:p w14:paraId="2E3766AC" w14:textId="06C87914" w:rsidR="00654318" w:rsidRPr="00F45F11" w:rsidRDefault="00654318" w:rsidP="00654318">
            <w:pPr>
              <w:pStyle w:val="ARtabletextright"/>
              <w:cnfStyle w:val="000000000000" w:firstRow="0" w:lastRow="0" w:firstColumn="0" w:lastColumn="0" w:oddVBand="0" w:evenVBand="0" w:oddHBand="0" w:evenHBand="0" w:firstRowFirstColumn="0" w:firstRowLastColumn="0" w:lastRowFirstColumn="0" w:lastRowLastColumn="0"/>
            </w:pPr>
            <w:r w:rsidRPr="008F4BFB">
              <w:t>$30,000</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1E6AAA34" w14:textId="53D9A92A" w:rsidR="00654318" w:rsidRPr="00F45F11" w:rsidRDefault="00654318" w:rsidP="00654318">
            <w:pPr>
              <w:pStyle w:val="ARtabletextright"/>
            </w:pPr>
            <w:r w:rsidRPr="008F4BFB">
              <w:t>–</w:t>
            </w:r>
          </w:p>
        </w:tc>
      </w:tr>
      <w:tr w:rsidR="00DC25DC" w:rsidRPr="00F45F11" w14:paraId="74E49262"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2AD48488" w14:textId="77777777" w:rsidR="00DC25DC" w:rsidRPr="00F45F11" w:rsidRDefault="00DC25DC" w:rsidP="009817E6">
            <w:pPr>
              <w:pStyle w:val="ARtabletextbold"/>
              <w:rPr>
                <w:highlight w:val="cyan"/>
              </w:rPr>
            </w:pPr>
            <w:r w:rsidRPr="00F45F11">
              <w:t>AFS &amp; Associates</w:t>
            </w:r>
          </w:p>
        </w:tc>
        <w:tc>
          <w:tcPr>
            <w:tcW w:w="2357" w:type="pct"/>
          </w:tcPr>
          <w:p w14:paraId="35ED195E" w14:textId="6CCA61DA"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Audit and advice for a medium</w:t>
            </w:r>
            <w:r w:rsidR="008B76E1" w:rsidRPr="00F45F11">
              <w:t>-</w:t>
            </w:r>
            <w:r w:rsidRPr="00F45F11">
              <w:t>sized not for profit</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63F2FB52" w14:textId="77777777" w:rsidR="00DC25DC" w:rsidRPr="00F45F11" w:rsidRDefault="00DC25DC" w:rsidP="009817E6">
            <w:pPr>
              <w:pStyle w:val="ARtabletextright"/>
              <w:rPr>
                <w:highlight w:val="cyan"/>
              </w:rPr>
            </w:pPr>
            <w:r w:rsidRPr="00F45F11">
              <w:t>$27,182</w:t>
            </w:r>
          </w:p>
        </w:tc>
        <w:tc>
          <w:tcPr>
            <w:tcW w:w="548" w:type="pct"/>
            <w:tcMar>
              <w:left w:w="0" w:type="nil"/>
              <w:right w:w="0" w:type="nil"/>
            </w:tcMar>
          </w:tcPr>
          <w:p w14:paraId="7BA06043"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$27,182</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5299E49F" w14:textId="77777777" w:rsidR="00DC25DC" w:rsidRPr="00F45F11" w:rsidRDefault="00DC25DC" w:rsidP="009817E6">
            <w:pPr>
              <w:pStyle w:val="ARtabletextright"/>
              <w:rPr>
                <w:highlight w:val="cyan"/>
              </w:rPr>
            </w:pPr>
            <w:r w:rsidRPr="00F45F11">
              <w:t>–</w:t>
            </w:r>
          </w:p>
        </w:tc>
      </w:tr>
      <w:tr w:rsidR="00DC25DC" w:rsidRPr="00F45F11" w14:paraId="129B6A20"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7FD0A5A5" w14:textId="77777777" w:rsidR="00DC25DC" w:rsidRPr="00F45F11" w:rsidRDefault="00DC25DC" w:rsidP="009817E6">
            <w:pPr>
              <w:pStyle w:val="ARtabletextbold"/>
              <w:rPr>
                <w:highlight w:val="cyan"/>
              </w:rPr>
            </w:pPr>
            <w:r w:rsidRPr="00F45F11">
              <w:t>AFS &amp; Associates</w:t>
            </w:r>
          </w:p>
        </w:tc>
        <w:tc>
          <w:tcPr>
            <w:tcW w:w="2357" w:type="pct"/>
          </w:tcPr>
          <w:p w14:paraId="026FA873"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Auditing services for funded neighbourhood houses</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109E00D9" w14:textId="77777777" w:rsidR="00DC25DC" w:rsidRPr="00F45F11" w:rsidRDefault="00DC25DC" w:rsidP="009817E6">
            <w:pPr>
              <w:pStyle w:val="ARtabletextright"/>
              <w:rPr>
                <w:highlight w:val="cyan"/>
              </w:rPr>
            </w:pPr>
            <w:r w:rsidRPr="00F45F11">
              <w:t>$27,182</w:t>
            </w:r>
          </w:p>
        </w:tc>
        <w:tc>
          <w:tcPr>
            <w:tcW w:w="548" w:type="pct"/>
            <w:tcMar>
              <w:left w:w="0" w:type="nil"/>
              <w:right w:w="0" w:type="nil"/>
            </w:tcMar>
          </w:tcPr>
          <w:p w14:paraId="189339BD"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$27,182</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631AB4EA" w14:textId="77777777" w:rsidR="00DC25DC" w:rsidRPr="00F45F11" w:rsidRDefault="00DC25DC" w:rsidP="009817E6">
            <w:pPr>
              <w:pStyle w:val="ARtabletextright"/>
              <w:rPr>
                <w:highlight w:val="cyan"/>
              </w:rPr>
            </w:pPr>
            <w:r w:rsidRPr="00F45F11">
              <w:t>–</w:t>
            </w:r>
          </w:p>
        </w:tc>
      </w:tr>
      <w:tr w:rsidR="00DC25DC" w:rsidRPr="00F45F11" w14:paraId="02DEFDC2"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6F42FD6D" w14:textId="77777777" w:rsidR="00DC25DC" w:rsidRPr="00F45F11" w:rsidRDefault="00DC25DC" w:rsidP="009817E6">
            <w:pPr>
              <w:pStyle w:val="ARtabletextbold"/>
              <w:rPr>
                <w:highlight w:val="cyan"/>
              </w:rPr>
            </w:pPr>
            <w:r w:rsidRPr="00F45F11">
              <w:t>AFS &amp; Associates</w:t>
            </w:r>
          </w:p>
        </w:tc>
        <w:tc>
          <w:tcPr>
            <w:tcW w:w="2357" w:type="pct"/>
          </w:tcPr>
          <w:p w14:paraId="78013A73"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Audit of a funded neighbourhood house</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622C57B8" w14:textId="77777777" w:rsidR="00DC25DC" w:rsidRPr="00F45F11" w:rsidRDefault="00DC25DC" w:rsidP="009817E6">
            <w:pPr>
              <w:pStyle w:val="ARtabletextright"/>
              <w:rPr>
                <w:highlight w:val="cyan"/>
              </w:rPr>
            </w:pPr>
            <w:r w:rsidRPr="00F45F11">
              <w:t>$27,182</w:t>
            </w:r>
          </w:p>
        </w:tc>
        <w:tc>
          <w:tcPr>
            <w:tcW w:w="548" w:type="pct"/>
            <w:tcMar>
              <w:left w:w="0" w:type="nil"/>
              <w:right w:w="0" w:type="nil"/>
            </w:tcMar>
          </w:tcPr>
          <w:p w14:paraId="5A2E171E"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$27,182</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3539BB9B" w14:textId="77777777" w:rsidR="00DC25DC" w:rsidRPr="00F45F11" w:rsidRDefault="00DC25DC" w:rsidP="009817E6">
            <w:pPr>
              <w:pStyle w:val="ARtabletextright"/>
              <w:rPr>
                <w:highlight w:val="cyan"/>
              </w:rPr>
            </w:pPr>
            <w:r w:rsidRPr="00F45F11">
              <w:t>–</w:t>
            </w:r>
          </w:p>
        </w:tc>
      </w:tr>
      <w:tr w:rsidR="00DC25DC" w:rsidRPr="00F45F11" w14:paraId="33A69A4C"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67ADCD57" w14:textId="77777777" w:rsidR="00DC25DC" w:rsidRPr="00F45F11" w:rsidRDefault="00DC25DC" w:rsidP="009817E6">
            <w:pPr>
              <w:pStyle w:val="ARtabletextbold"/>
              <w:rPr>
                <w:highlight w:val="cyan"/>
              </w:rPr>
            </w:pPr>
            <w:r w:rsidRPr="00F45F11">
              <w:t>Acil Allen Consulting Pty Ltd</w:t>
            </w:r>
          </w:p>
        </w:tc>
        <w:tc>
          <w:tcPr>
            <w:tcW w:w="2357" w:type="pct"/>
          </w:tcPr>
          <w:p w14:paraId="11AB6A29"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Evaluation of the Civil Claims Restorative Engagement Program Pilot</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78145B6B" w14:textId="77777777" w:rsidR="00DC25DC" w:rsidRPr="00F45F11" w:rsidRDefault="00DC25DC" w:rsidP="009817E6">
            <w:pPr>
              <w:pStyle w:val="ARtabletextright"/>
              <w:rPr>
                <w:highlight w:val="cyan"/>
              </w:rPr>
            </w:pPr>
            <w:r w:rsidRPr="00F45F11">
              <w:t>$130,157</w:t>
            </w:r>
          </w:p>
        </w:tc>
        <w:tc>
          <w:tcPr>
            <w:tcW w:w="548" w:type="pct"/>
            <w:tcMar>
              <w:left w:w="0" w:type="nil"/>
              <w:right w:w="0" w:type="nil"/>
            </w:tcMar>
          </w:tcPr>
          <w:p w14:paraId="4003FE60"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$25,031</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74426EEE" w14:textId="77777777" w:rsidR="00DC25DC" w:rsidRPr="00F45F11" w:rsidRDefault="00DC25DC" w:rsidP="009817E6">
            <w:pPr>
              <w:pStyle w:val="ARtabletextright"/>
              <w:rPr>
                <w:highlight w:val="cyan"/>
              </w:rPr>
            </w:pPr>
            <w:r w:rsidRPr="00F45F11">
              <w:t>$105,126</w:t>
            </w:r>
          </w:p>
        </w:tc>
      </w:tr>
      <w:tr w:rsidR="00654318" w:rsidRPr="00F45F11" w14:paraId="0589C188"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519C90E8" w14:textId="1161273A" w:rsidR="00654318" w:rsidRPr="00F45F11" w:rsidRDefault="00654318" w:rsidP="00654318">
            <w:pPr>
              <w:pStyle w:val="ARtabletextbold"/>
            </w:pPr>
            <w:r w:rsidRPr="00F00AAC">
              <w:t>Zing &amp; Co Pty Ltd</w:t>
            </w:r>
          </w:p>
        </w:tc>
        <w:tc>
          <w:tcPr>
            <w:tcW w:w="2357" w:type="pct"/>
          </w:tcPr>
          <w:p w14:paraId="7E6FEE0B" w14:textId="572AA4AD" w:rsidR="00654318" w:rsidRPr="00F45F11" w:rsidRDefault="00654318" w:rsidP="00434684">
            <w:pPr>
              <w:pStyle w:val="ARTabletext"/>
              <w:cnfStyle w:val="000000000000" w:firstRow="0" w:lastRow="0" w:firstColumn="0" w:lastColumn="0" w:oddVBand="0" w:evenVBand="0" w:oddHBand="0" w:evenHBand="0" w:firstRowFirstColumn="0" w:firstRowLastColumn="0" w:lastRowFirstColumn="0" w:lastRowLastColumn="0"/>
            </w:pPr>
            <w:r w:rsidRPr="00F00AAC">
              <w:t xml:space="preserve">Family Safety Victoria governance </w:t>
            </w:r>
            <w:proofErr w:type="gramStart"/>
            <w:r w:rsidRPr="00F00AAC">
              <w:t>review</w:t>
            </w:r>
            <w:proofErr w:type="gramEnd"/>
            <w:r w:rsidRPr="00F00AAC">
              <w:t xml:space="preserve"> executive workshops</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270C0D11" w14:textId="19FC5B10" w:rsidR="00654318" w:rsidRPr="00F45F11" w:rsidRDefault="00654318" w:rsidP="00654318">
            <w:pPr>
              <w:pStyle w:val="ARtabletextright"/>
            </w:pPr>
            <w:r w:rsidRPr="00F00AAC">
              <w:t>$46,573</w:t>
            </w:r>
          </w:p>
        </w:tc>
        <w:tc>
          <w:tcPr>
            <w:tcW w:w="548" w:type="pct"/>
            <w:tcMar>
              <w:left w:w="0" w:type="nil"/>
              <w:right w:w="0" w:type="nil"/>
            </w:tcMar>
          </w:tcPr>
          <w:p w14:paraId="145DFC67" w14:textId="013E42F8" w:rsidR="00654318" w:rsidRPr="00F45F11" w:rsidRDefault="00654318" w:rsidP="00654318">
            <w:pPr>
              <w:pStyle w:val="ARtabletextright"/>
              <w:cnfStyle w:val="000000000000" w:firstRow="0" w:lastRow="0" w:firstColumn="0" w:lastColumn="0" w:oddVBand="0" w:evenVBand="0" w:oddHBand="0" w:evenHBand="0" w:firstRowFirstColumn="0" w:firstRowLastColumn="0" w:lastRowFirstColumn="0" w:lastRowLastColumn="0"/>
            </w:pPr>
            <w:r w:rsidRPr="00F00AAC">
              <w:t>$22,985</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74A8A9DF" w14:textId="4C9BC284" w:rsidR="00654318" w:rsidRPr="00F45F11" w:rsidRDefault="00654318" w:rsidP="00654318">
            <w:pPr>
              <w:pStyle w:val="ARtabletextright"/>
            </w:pPr>
            <w:r w:rsidRPr="00F00AAC">
              <w:t>–</w:t>
            </w:r>
          </w:p>
        </w:tc>
      </w:tr>
      <w:tr w:rsidR="00DC25DC" w:rsidRPr="00F45F11" w14:paraId="4C59253C"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1E71377A" w14:textId="77777777" w:rsidR="00DC25DC" w:rsidRPr="00F45F11" w:rsidRDefault="00DC25DC" w:rsidP="009817E6">
            <w:pPr>
              <w:pStyle w:val="ARtabletextbold"/>
              <w:rPr>
                <w:highlight w:val="cyan"/>
              </w:rPr>
            </w:pPr>
            <w:r w:rsidRPr="00F45F11">
              <w:t>Monash University</w:t>
            </w:r>
          </w:p>
        </w:tc>
        <w:tc>
          <w:tcPr>
            <w:tcW w:w="2357" w:type="pct"/>
          </w:tcPr>
          <w:p w14:paraId="786A039B"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MARAM five-year evidence review of risk factors</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16194BAB" w14:textId="77777777" w:rsidR="00DC25DC" w:rsidRPr="00F45F11" w:rsidRDefault="00DC25DC" w:rsidP="009817E6">
            <w:pPr>
              <w:pStyle w:val="ARtabletextright"/>
              <w:rPr>
                <w:highlight w:val="cyan"/>
              </w:rPr>
            </w:pPr>
            <w:r w:rsidRPr="00F45F11">
              <w:t>$58,182</w:t>
            </w:r>
          </w:p>
        </w:tc>
        <w:tc>
          <w:tcPr>
            <w:tcW w:w="548" w:type="pct"/>
            <w:tcMar>
              <w:left w:w="0" w:type="nil"/>
              <w:right w:w="0" w:type="nil"/>
            </w:tcMar>
          </w:tcPr>
          <w:p w14:paraId="6378AA6C"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$18,565</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272EE021" w14:textId="77777777" w:rsidR="00DC25DC" w:rsidRPr="00F45F11" w:rsidRDefault="00DC25DC" w:rsidP="009817E6">
            <w:pPr>
              <w:pStyle w:val="ARtabletextright"/>
              <w:rPr>
                <w:highlight w:val="cyan"/>
              </w:rPr>
            </w:pPr>
            <w:r w:rsidRPr="00F45F11">
              <w:t>–</w:t>
            </w:r>
          </w:p>
        </w:tc>
      </w:tr>
      <w:tr w:rsidR="00DC25DC" w:rsidRPr="00F45F11" w14:paraId="7A296239" w14:textId="77777777" w:rsidTr="00457FAF">
        <w:trPr>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12F64112" w14:textId="77777777" w:rsidR="00DC25DC" w:rsidRPr="00F45F11" w:rsidRDefault="00DC25DC" w:rsidP="009817E6">
            <w:pPr>
              <w:pStyle w:val="ARtabletextbold"/>
              <w:rPr>
                <w:highlight w:val="cyan"/>
              </w:rPr>
            </w:pPr>
            <w:r w:rsidRPr="00F45F11">
              <w:t>Nous Group Pty Ltd</w:t>
            </w:r>
          </w:p>
        </w:tc>
        <w:tc>
          <w:tcPr>
            <w:tcW w:w="2357" w:type="pct"/>
          </w:tcPr>
          <w:p w14:paraId="0C2B13F4" w14:textId="77777777" w:rsidR="00DC25DC" w:rsidRPr="00F45F11" w:rsidRDefault="00DC25DC" w:rsidP="00434684">
            <w:pPr>
              <w:pStyle w:val="ARTabletext"/>
              <w:cnfStyle w:val="000000000000" w:firstRow="0" w:lastRow="0" w:firstColumn="0" w:lastColumn="0" w:oddVBand="0" w:evenVBand="0" w:oddHBand="0" w:evenHBand="0" w:firstRowFirstColumn="0" w:firstRowLastColumn="0" w:lastRowFirstColumn="0" w:lastRowLastColumn="0"/>
              <w:rPr>
                <w:highlight w:val="cyan"/>
              </w:rPr>
            </w:pPr>
            <w:r w:rsidRPr="00F45F11">
              <w:t xml:space="preserve">Supporting stable and strong </w:t>
            </w:r>
            <w:proofErr w:type="gramStart"/>
            <w:r w:rsidRPr="00F45F11">
              <w:t>families</w:t>
            </w:r>
            <w:proofErr w:type="gramEnd"/>
            <w:r w:rsidRPr="00F45F11">
              <w:t xml:space="preserve"> outcomes framework development</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6BA924E5" w14:textId="77777777" w:rsidR="00DC25DC" w:rsidRPr="00F45F11" w:rsidRDefault="00DC25DC" w:rsidP="009817E6">
            <w:pPr>
              <w:pStyle w:val="ARtabletextright"/>
              <w:rPr>
                <w:highlight w:val="cyan"/>
              </w:rPr>
            </w:pPr>
            <w:r w:rsidRPr="00F45F11">
              <w:t>$183,070</w:t>
            </w:r>
          </w:p>
        </w:tc>
        <w:tc>
          <w:tcPr>
            <w:tcW w:w="548" w:type="pct"/>
            <w:tcMar>
              <w:left w:w="0" w:type="nil"/>
              <w:right w:w="0" w:type="nil"/>
            </w:tcMar>
          </w:tcPr>
          <w:p w14:paraId="52F95A4E"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highlight w:val="cyan"/>
              </w:rPr>
            </w:pPr>
            <w:r w:rsidRPr="00F45F11">
              <w:t>$18,182</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430A3894" w14:textId="77777777" w:rsidR="00DC25DC" w:rsidRPr="00F45F11" w:rsidRDefault="00DC25DC" w:rsidP="009817E6">
            <w:pPr>
              <w:pStyle w:val="ARtabletextright"/>
              <w:rPr>
                <w:highlight w:val="cyan"/>
              </w:rPr>
            </w:pPr>
            <w:r w:rsidRPr="00F45F11">
              <w:t>$164,888</w:t>
            </w:r>
          </w:p>
        </w:tc>
      </w:tr>
      <w:tr w:rsidR="00DC25DC" w:rsidRPr="00F45F11" w14:paraId="41896B28" w14:textId="77777777" w:rsidTr="00457FAF">
        <w:trPr>
          <w:cnfStyle w:val="010000000000" w:firstRow="0" w:lastRow="1" w:firstColumn="0" w:lastColumn="0" w:oddVBand="0" w:evenVBand="0" w:oddHBand="0"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000" w:type="pct"/>
            <w:shd w:val="clear" w:color="auto" w:fill="auto"/>
          </w:tcPr>
          <w:p w14:paraId="20AA2A75" w14:textId="77777777" w:rsidR="00DC25DC" w:rsidRPr="00F45F11" w:rsidRDefault="00DC25DC" w:rsidP="009817E6">
            <w:pPr>
              <w:pStyle w:val="ARtabletextbold"/>
              <w:rPr>
                <w:highlight w:val="cyan"/>
              </w:rPr>
            </w:pPr>
            <w:proofErr w:type="spellStart"/>
            <w:r w:rsidRPr="00F45F11">
              <w:t>Karabena</w:t>
            </w:r>
            <w:proofErr w:type="spellEnd"/>
            <w:r w:rsidRPr="00F45F11">
              <w:t xml:space="preserve"> Consulting</w:t>
            </w:r>
          </w:p>
        </w:tc>
        <w:tc>
          <w:tcPr>
            <w:tcW w:w="2357" w:type="pct"/>
          </w:tcPr>
          <w:p w14:paraId="3B2B86D2" w14:textId="36A9399D" w:rsidR="00DC25DC" w:rsidRPr="00F45F11" w:rsidRDefault="00DC25DC" w:rsidP="00434684">
            <w:pPr>
              <w:pStyle w:val="ARTabletext"/>
              <w:cnfStyle w:val="010000000000" w:firstRow="0" w:lastRow="1" w:firstColumn="0" w:lastColumn="0" w:oddVBand="0" w:evenVBand="0" w:oddHBand="0" w:evenHBand="0" w:firstRowFirstColumn="0" w:firstRowLastColumn="0" w:lastRowFirstColumn="0" w:lastRowLastColumn="0"/>
              <w:rPr>
                <w:highlight w:val="cyan"/>
              </w:rPr>
            </w:pPr>
            <w:r w:rsidRPr="00F45F11">
              <w:t xml:space="preserve">SAFER Children Framework </w:t>
            </w:r>
            <w:r w:rsidR="008B76E1" w:rsidRPr="00F45F11">
              <w:t>–</w:t>
            </w:r>
            <w:r w:rsidRPr="00F45F11">
              <w:t xml:space="preserve"> First Peoples evaluation</w:t>
            </w:r>
          </w:p>
        </w:tc>
        <w:tc>
          <w:tcPr>
            <w:cnfStyle w:val="000010000000" w:firstRow="0" w:lastRow="0" w:firstColumn="0" w:lastColumn="0" w:oddVBand="1" w:evenVBand="0" w:oddHBand="0" w:evenHBand="0" w:firstRowFirstColumn="0" w:firstRowLastColumn="0" w:lastRowFirstColumn="0" w:lastRowLastColumn="0"/>
            <w:tcW w:w="548" w:type="pct"/>
            <w:tcMar>
              <w:left w:w="0" w:type="nil"/>
              <w:right w:w="0" w:type="nil"/>
            </w:tcMar>
          </w:tcPr>
          <w:p w14:paraId="0FE00899" w14:textId="77777777" w:rsidR="00DC25DC" w:rsidRPr="00F45F11" w:rsidRDefault="00DC25DC" w:rsidP="009817E6">
            <w:pPr>
              <w:pStyle w:val="ARtabletextright"/>
              <w:rPr>
                <w:highlight w:val="cyan"/>
              </w:rPr>
            </w:pPr>
            <w:r w:rsidRPr="00F45F11">
              <w:t>$178,013</w:t>
            </w:r>
          </w:p>
        </w:tc>
        <w:tc>
          <w:tcPr>
            <w:tcW w:w="548" w:type="pct"/>
            <w:tcMar>
              <w:left w:w="0" w:type="nil"/>
              <w:right w:w="0" w:type="nil"/>
            </w:tcMar>
          </w:tcPr>
          <w:p w14:paraId="20B6950C" w14:textId="77777777" w:rsidR="00DC25DC" w:rsidRPr="00F45F11" w:rsidRDefault="00DC25DC" w:rsidP="009817E6">
            <w:pPr>
              <w:pStyle w:val="ARtabletextright"/>
              <w:cnfStyle w:val="010000000000" w:firstRow="0" w:lastRow="1" w:firstColumn="0" w:lastColumn="0" w:oddVBand="0" w:evenVBand="0" w:oddHBand="0" w:evenHBand="0" w:firstRowFirstColumn="0" w:firstRowLastColumn="0" w:lastRowFirstColumn="0" w:lastRowLastColumn="0"/>
              <w:rPr>
                <w:highlight w:val="cyan"/>
              </w:rPr>
            </w:pPr>
            <w:r w:rsidRPr="00F45F11">
              <w:t>$13,428</w:t>
            </w:r>
          </w:p>
        </w:tc>
        <w:tc>
          <w:tcPr>
            <w:cnfStyle w:val="000010000000" w:firstRow="0" w:lastRow="0" w:firstColumn="0" w:lastColumn="0" w:oddVBand="1" w:evenVBand="0" w:oddHBand="0" w:evenHBand="0" w:firstRowFirstColumn="0" w:firstRowLastColumn="0" w:lastRowFirstColumn="0" w:lastRowLastColumn="0"/>
            <w:tcW w:w="547" w:type="pct"/>
            <w:tcMar>
              <w:left w:w="0" w:type="nil"/>
              <w:right w:w="0" w:type="nil"/>
            </w:tcMar>
          </w:tcPr>
          <w:p w14:paraId="1780C16F" w14:textId="77777777" w:rsidR="00DC25DC" w:rsidRPr="00F45F11" w:rsidRDefault="00DC25DC" w:rsidP="009817E6">
            <w:pPr>
              <w:pStyle w:val="ARtabletextright"/>
              <w:rPr>
                <w:highlight w:val="cyan"/>
              </w:rPr>
            </w:pPr>
            <w:r w:rsidRPr="00F45F11">
              <w:t>–</w:t>
            </w:r>
          </w:p>
        </w:tc>
      </w:tr>
    </w:tbl>
    <w:p w14:paraId="7E7D9578" w14:textId="77777777" w:rsidR="00DC25DC" w:rsidRPr="00F45F11" w:rsidRDefault="00DC25DC" w:rsidP="00DC25DC">
      <w:pPr>
        <w:pStyle w:val="Heading3"/>
      </w:pPr>
      <w:bookmarkStart w:id="182" w:name="_Details_of_consultancies_1"/>
      <w:bookmarkEnd w:id="182"/>
      <w:r w:rsidRPr="00F45F11">
        <w:t>Details of consultancies (value under $10,000)</w:t>
      </w:r>
    </w:p>
    <w:p w14:paraId="32DC0EB6" w14:textId="77777777" w:rsidR="00DC25DC" w:rsidRPr="00F45F11" w:rsidRDefault="00DC25DC" w:rsidP="00DC25DC">
      <w:pPr>
        <w:pStyle w:val="ARBody"/>
        <w:rPr>
          <w:highlight w:val="green"/>
        </w:rPr>
      </w:pPr>
      <w:r w:rsidRPr="00F45F11">
        <w:t>In 2025–26, the department engaged 4 consultancies</w:t>
      </w:r>
      <w:r w:rsidRPr="00F45F11">
        <w:rPr>
          <w:color w:val="FF0000"/>
        </w:rPr>
        <w:t xml:space="preserve"> </w:t>
      </w:r>
      <w:r w:rsidRPr="00F45F11">
        <w:t>valued at less than $10,000. The department spent $23,585 (excluding GST) on these consultancies</w:t>
      </w:r>
      <w:bookmarkStart w:id="183" w:name="_Review_and_study"/>
      <w:bookmarkEnd w:id="183"/>
      <w:r w:rsidRPr="00F45F11">
        <w:t>.</w:t>
      </w:r>
    </w:p>
    <w:p w14:paraId="52FCCBD9" w14:textId="5C022C52" w:rsidR="00DC25DC" w:rsidRPr="00F45F11" w:rsidRDefault="00DC25DC" w:rsidP="00434684">
      <w:pPr>
        <w:pStyle w:val="ARBody"/>
      </w:pPr>
      <w:r w:rsidRPr="00F45F11">
        <w:br w:type="page"/>
      </w:r>
    </w:p>
    <w:p w14:paraId="3D72E8D9" w14:textId="77777777" w:rsidR="00DC25DC" w:rsidRPr="00F45F11" w:rsidRDefault="00DC25DC" w:rsidP="00DC25DC">
      <w:pPr>
        <w:pStyle w:val="Heading2"/>
        <w:spacing w:before="0"/>
      </w:pPr>
      <w:bookmarkStart w:id="184" w:name="_Review_and_study_1"/>
      <w:bookmarkStart w:id="185" w:name="_Toc212039540"/>
      <w:bookmarkStart w:id="186" w:name="_Toc241131715"/>
      <w:bookmarkEnd w:id="184"/>
      <w:r w:rsidRPr="00F45F11">
        <w:t>Review and study expenditure</w:t>
      </w:r>
      <w:bookmarkEnd w:id="185"/>
      <w:bookmarkEnd w:id="186"/>
    </w:p>
    <w:p w14:paraId="7C5B968F" w14:textId="04764C48" w:rsidR="00DC25DC" w:rsidRPr="00F71FD9" w:rsidRDefault="00DC25DC" w:rsidP="00DC25DC">
      <w:pPr>
        <w:pStyle w:val="ARBody"/>
        <w:rPr>
          <w:b/>
          <w:i/>
        </w:rPr>
      </w:pPr>
      <w:r w:rsidRPr="00F45F11">
        <w:t>During 2025–26, there were 52 reviews and studies undertaken with a total cost of $5,</w:t>
      </w:r>
      <w:r w:rsidR="00C862CD">
        <w:t>482</w:t>
      </w:r>
      <w:r w:rsidRPr="00F45F11">
        <w:t xml:space="preserve">,500. Table 10 sets out details of reviews and studies. </w:t>
      </w:r>
    </w:p>
    <w:p w14:paraId="60ABE1F6" w14:textId="77777777" w:rsidR="00DC25DC" w:rsidRPr="00F45F11" w:rsidRDefault="00DC25DC" w:rsidP="00DC25DC">
      <w:pPr>
        <w:pStyle w:val="ARTablecaption"/>
      </w:pPr>
      <w:r w:rsidRPr="00F45F11">
        <w:t>Table 10: Review and study expenditure</w:t>
      </w:r>
    </w:p>
    <w:tbl>
      <w:tblPr>
        <w:tblStyle w:val="ARtable1"/>
        <w:tblW w:w="5000" w:type="pct"/>
        <w:tblLayout w:type="fixed"/>
        <w:tblLook w:val="02A0" w:firstRow="1" w:lastRow="0" w:firstColumn="1" w:lastColumn="0" w:noHBand="1" w:noVBand="0"/>
      </w:tblPr>
      <w:tblGrid>
        <w:gridCol w:w="1700"/>
        <w:gridCol w:w="2621"/>
        <w:gridCol w:w="2621"/>
        <w:gridCol w:w="1273"/>
        <w:gridCol w:w="2268"/>
        <w:gridCol w:w="1275"/>
        <w:gridCol w:w="1273"/>
        <w:gridCol w:w="1529"/>
      </w:tblGrid>
      <w:tr w:rsidR="00DC25DC" w:rsidRPr="00F45F11" w14:paraId="771F20CD" w14:textId="77777777" w:rsidTr="00566B8E">
        <w:trPr>
          <w:cnfStyle w:val="100000000000" w:firstRow="1" w:lastRow="0" w:firstColumn="0" w:lastColumn="0" w:oddVBand="0" w:evenVBand="0" w:oddHBand="0" w:evenHBand="0" w:firstRowFirstColumn="0" w:firstRowLastColumn="0" w:lastRowFirstColumn="0" w:lastRowLastColumn="0"/>
          <w:trHeight w:val="20"/>
          <w:tblHeader/>
        </w:trPr>
        <w:tc>
          <w:tcPr>
            <w:tcW w:w="584" w:type="pct"/>
          </w:tcPr>
          <w:p w14:paraId="3D087781" w14:textId="279F7BCA" w:rsidR="00DC25DC" w:rsidRPr="00F45F11" w:rsidRDefault="00DC25DC" w:rsidP="009817E6">
            <w:pPr>
              <w:pStyle w:val="ARtablecolhead"/>
            </w:pPr>
            <w:r w:rsidRPr="00F45F11">
              <w:t xml:space="preserve">Name of the </w:t>
            </w:r>
            <w:r w:rsidR="00566B8E">
              <w:br/>
            </w:r>
            <w:r w:rsidRPr="00F45F11">
              <w:t xml:space="preserve">review </w:t>
            </w:r>
            <w:r w:rsidRPr="002C2ED3">
              <w:rPr>
                <w:spacing w:val="-4"/>
              </w:rPr>
              <w:t>(portfolio(s)</w:t>
            </w:r>
            <w:r w:rsidRPr="00F45F11">
              <w:t xml:space="preserve"> and output(s)/</w:t>
            </w:r>
            <w:r w:rsidR="002C2ED3">
              <w:br/>
            </w:r>
            <w:r w:rsidRPr="00F45F11">
              <w:t>agency responsible)</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08DD613D" w14:textId="77777777" w:rsidR="00DC25DC" w:rsidRPr="00F45F11" w:rsidRDefault="00DC25DC" w:rsidP="009817E6">
            <w:pPr>
              <w:pStyle w:val="ARtablecolhead"/>
            </w:pPr>
            <w:r w:rsidRPr="00F45F11">
              <w:t>Reasons for review/study</w:t>
            </w:r>
          </w:p>
        </w:tc>
        <w:tc>
          <w:tcPr>
            <w:tcW w:w="900" w:type="pct"/>
            <w:tcMar>
              <w:left w:w="113" w:type="dxa"/>
            </w:tcMar>
          </w:tcPr>
          <w:p w14:paraId="2FE81EAD" w14:textId="77777777" w:rsidR="00DC25DC" w:rsidRPr="00F45F11" w:rsidRDefault="00DC25DC" w:rsidP="009817E6">
            <w:pPr>
              <w:pStyle w:val="ARtablecolhead"/>
              <w:cnfStyle w:val="100000000000" w:firstRow="1" w:lastRow="0" w:firstColumn="0" w:lastColumn="0" w:oddVBand="0" w:evenVBand="0" w:oddHBand="0" w:evenHBand="0" w:firstRowFirstColumn="0" w:firstRowLastColumn="0" w:lastRowFirstColumn="0" w:lastRowLastColumn="0"/>
            </w:pPr>
            <w:r w:rsidRPr="00F45F11">
              <w:t>Terms of reference/scope</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76EDB18E" w14:textId="77777777" w:rsidR="00DC25DC" w:rsidRPr="00F45F11" w:rsidRDefault="00DC25DC" w:rsidP="009817E6">
            <w:pPr>
              <w:pStyle w:val="ARtablecolhead"/>
            </w:pPr>
            <w:r w:rsidRPr="00F45F11">
              <w:t xml:space="preserve">Timeline </w:t>
            </w:r>
          </w:p>
        </w:tc>
        <w:tc>
          <w:tcPr>
            <w:tcW w:w="779" w:type="pct"/>
            <w:tcMar>
              <w:left w:w="113" w:type="dxa"/>
            </w:tcMar>
          </w:tcPr>
          <w:p w14:paraId="17C18535" w14:textId="77777777" w:rsidR="00DC25DC" w:rsidRPr="00F45F11" w:rsidRDefault="00DC25DC" w:rsidP="009817E6">
            <w:pPr>
              <w:pStyle w:val="ARtablecolhead"/>
              <w:cnfStyle w:val="100000000000" w:firstRow="1" w:lastRow="0" w:firstColumn="0" w:lastColumn="0" w:oddVBand="0" w:evenVBand="0" w:oddHBand="0" w:evenHBand="0" w:firstRowFirstColumn="0" w:firstRowLastColumn="0" w:lastRowFirstColumn="0" w:lastRowLastColumn="0"/>
            </w:pPr>
            <w:r w:rsidRPr="00F45F11">
              <w:t>Anticipated outcomes</w:t>
            </w:r>
          </w:p>
        </w:tc>
        <w:tc>
          <w:tcPr>
            <w:cnfStyle w:val="000001000000" w:firstRow="0" w:lastRow="0" w:firstColumn="0" w:lastColumn="0" w:oddVBand="0" w:evenVBand="1" w:oddHBand="0" w:evenHBand="0" w:firstRowFirstColumn="0" w:firstRowLastColumn="0" w:lastRowFirstColumn="0" w:lastRowLastColumn="0"/>
            <w:tcW w:w="438" w:type="pct"/>
          </w:tcPr>
          <w:p w14:paraId="761FF607" w14:textId="77777777" w:rsidR="00DC25DC" w:rsidRPr="00F45F11" w:rsidRDefault="00DC25DC" w:rsidP="009817E6">
            <w:pPr>
              <w:pStyle w:val="ARtablecolheadright"/>
              <w:rPr>
                <w:color w:val="000000" w:themeColor="text1"/>
              </w:rPr>
            </w:pPr>
            <w:r w:rsidRPr="00F45F11">
              <w:t xml:space="preserve">Estimated cost for </w:t>
            </w:r>
            <w:r w:rsidRPr="00F45F11">
              <w:br/>
              <w:t xml:space="preserve">the year </w:t>
            </w:r>
            <w:r w:rsidRPr="00F45F11">
              <w:br/>
              <w:t>(excl. GST) $ thousand</w:t>
            </w:r>
          </w:p>
        </w:tc>
        <w:tc>
          <w:tcPr>
            <w:tcW w:w="437" w:type="pct"/>
          </w:tcPr>
          <w:p w14:paraId="432E5817" w14:textId="77777777" w:rsidR="00DC25DC" w:rsidRPr="00F45F11" w:rsidRDefault="00DC25DC" w:rsidP="009817E6">
            <w:pPr>
              <w:pStyle w:val="ARtablecolheadright"/>
              <w:cnfStyle w:val="100000000000" w:firstRow="1" w:lastRow="0" w:firstColumn="0" w:lastColumn="0" w:oddVBand="0" w:evenVBand="0" w:oddHBand="0" w:evenHBand="0" w:firstRowFirstColumn="0" w:firstRowLastColumn="0" w:lastRowFirstColumn="0" w:lastRowLastColumn="0"/>
              <w:rPr>
                <w:color w:val="000000" w:themeColor="text1"/>
              </w:rPr>
            </w:pPr>
            <w:r w:rsidRPr="00F45F11">
              <w:t>Final cost if completed (excl. GST) $ thousand</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63F63369" w14:textId="3EC657E3" w:rsidR="00DC25DC" w:rsidRPr="00F45F11" w:rsidRDefault="00DC25DC" w:rsidP="00F8411B">
            <w:pPr>
              <w:pStyle w:val="ARtablecolhead"/>
              <w:jc w:val="right"/>
              <w:rPr>
                <w:color w:val="000000" w:themeColor="text1"/>
              </w:rPr>
            </w:pPr>
            <w:r w:rsidRPr="00F45F11">
              <w:t>Publicly</w:t>
            </w:r>
            <w:r w:rsidR="00F8411B">
              <w:br/>
            </w:r>
            <w:r w:rsidRPr="00F45F11">
              <w:t xml:space="preserve"> available (Y/N) and URL.</w:t>
            </w:r>
            <w:r w:rsidRPr="00F45F11">
              <w:br/>
              <w:t>If no, why</w:t>
            </w:r>
          </w:p>
        </w:tc>
      </w:tr>
      <w:tr w:rsidR="00DC25DC" w:rsidRPr="00F45F11" w14:paraId="51B1211D" w14:textId="77777777" w:rsidTr="00566B8E">
        <w:trPr>
          <w:trHeight w:val="20"/>
        </w:trPr>
        <w:tc>
          <w:tcPr>
            <w:tcW w:w="584" w:type="pct"/>
          </w:tcPr>
          <w:p w14:paraId="003A5AA1" w14:textId="4145815D" w:rsidR="00DC25DC" w:rsidRPr="00F45F11" w:rsidRDefault="00DC25DC" w:rsidP="009817E6">
            <w:pPr>
              <w:pStyle w:val="ARTabletext"/>
            </w:pPr>
            <w:r w:rsidRPr="00F45F11">
              <w:t xml:space="preserve">CGEPS Targets </w:t>
            </w:r>
            <w:r w:rsidR="003F6786">
              <w:br/>
            </w:r>
            <w:r w:rsidRPr="00F45F11">
              <w:t>Pilot Research Funding 2024 (Commission for Gender Equality in the Public</w:t>
            </w:r>
            <w:r w:rsidR="00E27FA2">
              <w:t xml:space="preserve"> </w:t>
            </w:r>
            <w:r w:rsidRPr="00F45F11">
              <w:t>Sector)</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59B3733B" w14:textId="77777777" w:rsidR="00DC25DC" w:rsidRPr="00F45F11" w:rsidRDefault="00DC25DC" w:rsidP="009817E6">
            <w:pPr>
              <w:pStyle w:val="ARTabletext"/>
            </w:pPr>
            <w:r w:rsidRPr="00F45F11">
              <w:t>To improve gender equality outcomes in public sector organisations</w:t>
            </w:r>
          </w:p>
        </w:tc>
        <w:tc>
          <w:tcPr>
            <w:tcW w:w="900" w:type="pct"/>
            <w:tcMar>
              <w:left w:w="113" w:type="dxa"/>
            </w:tcMar>
          </w:tcPr>
          <w:p w14:paraId="545886BC"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 xml:space="preserve">Research to determine effective strategies and methods to drive progress towards meeting 3 public sector workforce gender equality targets in </w:t>
            </w:r>
            <w:r w:rsidRPr="00A124D1">
              <w:rPr>
                <w:rStyle w:val="Emphasis"/>
              </w:rPr>
              <w:t xml:space="preserve">Our equal state </w:t>
            </w:r>
            <w:r w:rsidRPr="00F45F11">
              <w:t>(action 94, action 96 and action 97) within public sector organisations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6335BC87" w14:textId="78B37416" w:rsidR="00DC25DC" w:rsidRPr="00F45F11" w:rsidRDefault="00DC25DC" w:rsidP="009817E6">
            <w:pPr>
              <w:pStyle w:val="ARTabletext"/>
            </w:pPr>
            <w:r w:rsidRPr="00F45F11">
              <w:t xml:space="preserve">June 2024 </w:t>
            </w:r>
            <w:r w:rsidR="00F8411B">
              <w:br/>
            </w:r>
            <w:r w:rsidRPr="00F45F11">
              <w:t>to December 2026</w:t>
            </w:r>
          </w:p>
        </w:tc>
        <w:tc>
          <w:tcPr>
            <w:tcW w:w="779" w:type="pct"/>
            <w:tcMar>
              <w:left w:w="113" w:type="dxa"/>
            </w:tcMar>
          </w:tcPr>
          <w:p w14:paraId="1F8E65E8"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 xml:space="preserve">Evidence to support public sector organisations to improve gender equality outcomes in their workplaces, to meet the goals of </w:t>
            </w:r>
            <w:r w:rsidRPr="00A124D1">
              <w:rPr>
                <w:rStyle w:val="Emphasis"/>
              </w:rPr>
              <w:t xml:space="preserve">Our equal state </w:t>
            </w:r>
            <w:r w:rsidRPr="00F45F11">
              <w:t xml:space="preserve">and legislative obligations under the </w:t>
            </w:r>
            <w:r w:rsidRPr="00A124D1">
              <w:rPr>
                <w:rStyle w:val="Emphasis"/>
              </w:rPr>
              <w:t>Gender Equality Act 2020</w:t>
            </w:r>
          </w:p>
        </w:tc>
        <w:tc>
          <w:tcPr>
            <w:cnfStyle w:val="000001000000" w:firstRow="0" w:lastRow="0" w:firstColumn="0" w:lastColumn="0" w:oddVBand="0" w:evenVBand="1" w:oddHBand="0" w:evenHBand="0" w:firstRowFirstColumn="0" w:firstRowLastColumn="0" w:lastRowFirstColumn="0" w:lastRowLastColumn="0"/>
            <w:tcW w:w="438" w:type="pct"/>
          </w:tcPr>
          <w:p w14:paraId="34E8271C" w14:textId="77777777" w:rsidR="00DC25DC" w:rsidRPr="00F45F11" w:rsidRDefault="00DC25DC" w:rsidP="009817E6">
            <w:pPr>
              <w:pStyle w:val="ARtabletextright"/>
              <w:rPr>
                <w:color w:val="000000" w:themeColor="text1"/>
              </w:rPr>
            </w:pPr>
            <w:r w:rsidRPr="00F45F11">
              <w:rPr>
                <w:color w:val="000000" w:themeColor="text1"/>
              </w:rPr>
              <w:t>159</w:t>
            </w:r>
          </w:p>
        </w:tc>
        <w:tc>
          <w:tcPr>
            <w:tcW w:w="437" w:type="pct"/>
          </w:tcPr>
          <w:p w14:paraId="49312EFE"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N/A</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25E4B2EE" w14:textId="444D6732" w:rsidR="00DC25DC" w:rsidRPr="00F45F11" w:rsidRDefault="00DC25DC" w:rsidP="00F8411B">
            <w:pPr>
              <w:pStyle w:val="ARTabletext"/>
              <w:jc w:val="right"/>
              <w:rPr>
                <w:color w:val="000000" w:themeColor="text1"/>
              </w:rPr>
            </w:pPr>
            <w:r w:rsidRPr="00F45F11">
              <w:rPr>
                <w:color w:val="000000" w:themeColor="text1"/>
              </w:rPr>
              <w:t>N</w:t>
            </w:r>
            <w:r w:rsidR="00840BF9" w:rsidRPr="00F45F11">
              <w:rPr>
                <w:color w:val="000000" w:themeColor="text1"/>
              </w:rPr>
              <w:t xml:space="preserve"> – t</w:t>
            </w:r>
            <w:r w:rsidRPr="00F45F11">
              <w:rPr>
                <w:color w:val="000000" w:themeColor="text1"/>
              </w:rPr>
              <w:t xml:space="preserve">he project is still in progress. Preliminary findings have been released: </w:t>
            </w:r>
            <w:hyperlink r:id="rId71" w:history="1">
              <w:r w:rsidRPr="00F45F11">
                <w:rPr>
                  <w:rStyle w:val="Hyperlink"/>
                  <w:rFonts w:asciiTheme="majorHAnsi" w:hAnsiTheme="majorHAnsi" w:cstheme="majorHAnsi"/>
                  <w:sz w:val="16"/>
                  <w:szCs w:val="16"/>
                </w:rPr>
                <w:t>Funded research project 2024: targets pilot | genderequalitycommission.vic.gov.au</w:t>
              </w:r>
            </w:hyperlink>
            <w:r w:rsidRPr="00F45F11">
              <w:rPr>
                <w:rStyle w:val="FootnoteReference"/>
              </w:rPr>
              <w:footnoteReference w:id="17"/>
            </w:r>
          </w:p>
        </w:tc>
      </w:tr>
      <w:tr w:rsidR="00DC25DC" w:rsidRPr="00F45F11" w14:paraId="68DD4374" w14:textId="77777777" w:rsidTr="00566B8E">
        <w:trPr>
          <w:trHeight w:val="20"/>
        </w:trPr>
        <w:tc>
          <w:tcPr>
            <w:tcW w:w="584" w:type="pct"/>
          </w:tcPr>
          <w:p w14:paraId="13502869" w14:textId="0A59BD36" w:rsidR="00DC25DC" w:rsidRPr="00F45F11" w:rsidRDefault="00DC25DC" w:rsidP="009817E6">
            <w:pPr>
              <w:pStyle w:val="ARTabletext"/>
            </w:pPr>
            <w:r w:rsidRPr="00F45F11">
              <w:t>Statutory review of</w:t>
            </w:r>
            <w:r w:rsidR="00D1151F">
              <w:t> </w:t>
            </w:r>
            <w:r w:rsidRPr="00F45F11">
              <w:t xml:space="preserve">the </w:t>
            </w:r>
            <w:r w:rsidRPr="00A124D1">
              <w:rPr>
                <w:rStyle w:val="Emphasis"/>
              </w:rPr>
              <w:t xml:space="preserve">Gender Equality Act 2020 </w:t>
            </w:r>
            <w:r w:rsidRPr="00F45F11">
              <w:t>(Women and Girls portfolio)</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052AF394" w14:textId="6662F1E3" w:rsidR="00DC25DC" w:rsidRPr="00F45F11" w:rsidRDefault="00DC25DC" w:rsidP="009817E6">
            <w:pPr>
              <w:pStyle w:val="ARTabletext"/>
            </w:pPr>
            <w:r w:rsidRPr="00F45F11">
              <w:t xml:space="preserve">Review of operation of Act after 4 years as required by </w:t>
            </w:r>
            <w:r w:rsidR="008B76E1" w:rsidRPr="00F45F11">
              <w:t>s. </w:t>
            </w:r>
            <w:r w:rsidRPr="00F45F11">
              <w:t>52 of the Gender Equality</w:t>
            </w:r>
            <w:r w:rsidR="00F8411B">
              <w:t> </w:t>
            </w:r>
            <w:r w:rsidRPr="00F45F11">
              <w:t>Act</w:t>
            </w:r>
          </w:p>
        </w:tc>
        <w:tc>
          <w:tcPr>
            <w:tcW w:w="900" w:type="pct"/>
            <w:tcMar>
              <w:left w:w="113" w:type="dxa"/>
            </w:tcMar>
          </w:tcPr>
          <w:p w14:paraId="5BCF276A" w14:textId="1334F708"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 xml:space="preserve">Assessment of effectiveness </w:t>
            </w:r>
            <w:r w:rsidR="003F6786">
              <w:br/>
            </w:r>
            <w:r w:rsidRPr="00F45F11">
              <w:t xml:space="preserve">of the Act in contributing to gender equality and whether </w:t>
            </w:r>
            <w:r w:rsidR="003F6786">
              <w:br/>
            </w:r>
            <w:r w:rsidRPr="00F45F11">
              <w:t>it has been implemented as intended</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3528059E" w14:textId="177964BC" w:rsidR="00DC25DC" w:rsidRPr="00F45F11" w:rsidRDefault="00DC25DC" w:rsidP="009817E6">
            <w:pPr>
              <w:pStyle w:val="ARTabletext"/>
            </w:pPr>
            <w:r w:rsidRPr="00F45F11">
              <w:t xml:space="preserve">June </w:t>
            </w:r>
            <w:r w:rsidR="008B23F2" w:rsidRPr="00F45F11">
              <w:t xml:space="preserve">2025 </w:t>
            </w:r>
            <w:r w:rsidR="00F8411B">
              <w:br/>
            </w:r>
            <w:r w:rsidR="008B76E1" w:rsidRPr="00F45F11">
              <w:t>to</w:t>
            </w:r>
            <w:r w:rsidRPr="00F45F11">
              <w:t xml:space="preserve"> October 2025</w:t>
            </w:r>
          </w:p>
        </w:tc>
        <w:tc>
          <w:tcPr>
            <w:tcW w:w="779" w:type="pct"/>
            <w:tcMar>
              <w:left w:w="113" w:type="dxa"/>
            </w:tcMar>
          </w:tcPr>
          <w:p w14:paraId="5B6C5EC1" w14:textId="339A685D"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The review found the Act</w:t>
            </w:r>
            <w:r w:rsidR="002C2ED3">
              <w:t> </w:t>
            </w:r>
            <w:r w:rsidRPr="00F45F11">
              <w:t>is contributing to workplace gender equality, is being implemented broadly as</w:t>
            </w:r>
            <w:r w:rsidR="00F8411B">
              <w:t> </w:t>
            </w:r>
            <w:r w:rsidRPr="00F45F11">
              <w:t>intended, and has established strong foundations for long-term systemic change.</w:t>
            </w:r>
          </w:p>
          <w:p w14:paraId="677C0294"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The government response supports all review recommendations in full or in part.</w:t>
            </w:r>
          </w:p>
        </w:tc>
        <w:tc>
          <w:tcPr>
            <w:cnfStyle w:val="000001000000" w:firstRow="0" w:lastRow="0" w:firstColumn="0" w:lastColumn="0" w:oddVBand="0" w:evenVBand="1" w:oddHBand="0" w:evenHBand="0" w:firstRowFirstColumn="0" w:firstRowLastColumn="0" w:lastRowFirstColumn="0" w:lastRowLastColumn="0"/>
            <w:tcW w:w="438" w:type="pct"/>
          </w:tcPr>
          <w:p w14:paraId="1B7BDA42" w14:textId="77777777" w:rsidR="00DC25DC" w:rsidRPr="00F45F11" w:rsidRDefault="00DC25DC" w:rsidP="009817E6">
            <w:pPr>
              <w:pStyle w:val="ARtabletextright"/>
              <w:rPr>
                <w:color w:val="000000" w:themeColor="text1"/>
              </w:rPr>
            </w:pPr>
            <w:r w:rsidRPr="00F45F11">
              <w:rPr>
                <w:color w:val="000000"/>
              </w:rPr>
              <w:t>48</w:t>
            </w:r>
          </w:p>
        </w:tc>
        <w:tc>
          <w:tcPr>
            <w:tcW w:w="437" w:type="pct"/>
          </w:tcPr>
          <w:p w14:paraId="7970DE6E"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148</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22AD2E7D" w14:textId="085D7CF0" w:rsidR="00DC25DC" w:rsidRPr="00F45F11" w:rsidRDefault="00840BF9" w:rsidP="00F8411B">
            <w:pPr>
              <w:pStyle w:val="ARTabletext"/>
              <w:jc w:val="right"/>
              <w:rPr>
                <w:color w:val="000000" w:themeColor="text1"/>
              </w:rPr>
            </w:pPr>
            <w:r w:rsidRPr="00F45F11">
              <w:rPr>
                <w:color w:val="000000" w:themeColor="text1"/>
              </w:rPr>
              <w:t>Y – t</w:t>
            </w:r>
            <w:r w:rsidR="00DC25DC" w:rsidRPr="00F45F11">
              <w:rPr>
                <w:color w:val="000000" w:themeColor="text1"/>
              </w:rPr>
              <w:t>he report was tabled in Parliament in line with legislative requirements on 27 August 2026.</w:t>
            </w:r>
            <w:r w:rsidR="008B76E1" w:rsidRPr="00F45F11">
              <w:rPr>
                <w:color w:val="000000" w:themeColor="text1"/>
              </w:rPr>
              <w:t xml:space="preserve"> </w:t>
            </w:r>
            <w:r w:rsidR="00DC25DC" w:rsidRPr="00F45F11">
              <w:rPr>
                <w:color w:val="000000" w:themeColor="text1"/>
              </w:rPr>
              <w:t xml:space="preserve">The government response was published </w:t>
            </w:r>
            <w:r w:rsidR="00F8411B">
              <w:rPr>
                <w:color w:val="000000" w:themeColor="text1"/>
              </w:rPr>
              <w:br/>
            </w:r>
            <w:r w:rsidR="00DC25DC" w:rsidRPr="00F45F11">
              <w:rPr>
                <w:color w:val="000000" w:themeColor="text1"/>
              </w:rPr>
              <w:t xml:space="preserve">on the </w:t>
            </w:r>
            <w:r w:rsidR="008B76E1" w:rsidRPr="00F45F11">
              <w:rPr>
                <w:color w:val="000000" w:themeColor="text1"/>
              </w:rPr>
              <w:t>department’s</w:t>
            </w:r>
            <w:r w:rsidR="00DC25DC" w:rsidRPr="00F45F11">
              <w:rPr>
                <w:color w:val="000000" w:themeColor="text1"/>
              </w:rPr>
              <w:t xml:space="preserve"> website.</w:t>
            </w:r>
          </w:p>
        </w:tc>
      </w:tr>
      <w:tr w:rsidR="00DC25DC" w:rsidRPr="00F45F11" w14:paraId="3DF7A2C3" w14:textId="77777777" w:rsidTr="00566B8E">
        <w:trPr>
          <w:trHeight w:val="20"/>
        </w:trPr>
        <w:tc>
          <w:tcPr>
            <w:tcW w:w="584" w:type="pct"/>
          </w:tcPr>
          <w:p w14:paraId="0B71B560" w14:textId="77777777" w:rsidR="00DC25DC" w:rsidRPr="00F45F11" w:rsidRDefault="00DC25DC" w:rsidP="009817E6">
            <w:pPr>
              <w:pStyle w:val="ARTabletext"/>
            </w:pPr>
            <w:r w:rsidRPr="00F45F11">
              <w:t>Free pads and tampons in public places election commitment (Women and Girls portfolio)</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2447DD7F" w14:textId="77777777" w:rsidR="00DC25DC" w:rsidRPr="00F45F11" w:rsidRDefault="00DC25DC" w:rsidP="009817E6">
            <w:pPr>
              <w:pStyle w:val="ARTabletext"/>
            </w:pPr>
            <w:r w:rsidRPr="00F45F11">
              <w:t>To meet lapsing program evaluation requirements</w:t>
            </w:r>
          </w:p>
        </w:tc>
        <w:tc>
          <w:tcPr>
            <w:tcW w:w="900" w:type="pct"/>
            <w:tcMar>
              <w:left w:w="113" w:type="dxa"/>
            </w:tcMar>
          </w:tcPr>
          <w:p w14:paraId="74091EC2" w14:textId="5090E73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rFonts w:eastAsia="Times"/>
              </w:rPr>
            </w:pPr>
            <w:r w:rsidRPr="00F45F11">
              <w:rPr>
                <w:rFonts w:eastAsia="Times"/>
              </w:rPr>
              <w:t>Lapsing program evaluation to meet the requirements of the Department of Treasury and Finance Resource Management Framework</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1CEDFF93" w14:textId="62030896" w:rsidR="00DC25DC" w:rsidRPr="00F45F11" w:rsidRDefault="00DC25DC" w:rsidP="009817E6">
            <w:pPr>
              <w:pStyle w:val="ARTabletext"/>
            </w:pPr>
            <w:r w:rsidRPr="00F45F11">
              <w:t xml:space="preserve">August 2025 </w:t>
            </w:r>
            <w:r w:rsidR="008B76E1" w:rsidRPr="00F45F11">
              <w:t>to</w:t>
            </w:r>
            <w:r w:rsidRPr="00F45F11">
              <w:t xml:space="preserve"> August 2026</w:t>
            </w:r>
          </w:p>
        </w:tc>
        <w:tc>
          <w:tcPr>
            <w:tcW w:w="779" w:type="pct"/>
            <w:tcMar>
              <w:left w:w="113" w:type="dxa"/>
            </w:tcMar>
          </w:tcPr>
          <w:p w14:paraId="7172710F" w14:textId="296D5A01"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Evaluation report containing findings and recommendations to support future program investment and improvements</w:t>
            </w:r>
          </w:p>
        </w:tc>
        <w:tc>
          <w:tcPr>
            <w:cnfStyle w:val="000001000000" w:firstRow="0" w:lastRow="0" w:firstColumn="0" w:lastColumn="0" w:oddVBand="0" w:evenVBand="1" w:oddHBand="0" w:evenHBand="0" w:firstRowFirstColumn="0" w:firstRowLastColumn="0" w:lastRowFirstColumn="0" w:lastRowLastColumn="0"/>
            <w:tcW w:w="438" w:type="pct"/>
          </w:tcPr>
          <w:p w14:paraId="4E68314D" w14:textId="77777777" w:rsidR="00DC25DC" w:rsidRPr="00F45F11" w:rsidRDefault="00DC25DC" w:rsidP="009817E6">
            <w:pPr>
              <w:pStyle w:val="ARtabletextright"/>
              <w:rPr>
                <w:color w:val="000000" w:themeColor="text1"/>
              </w:rPr>
            </w:pPr>
            <w:r w:rsidRPr="00F45F11">
              <w:rPr>
                <w:color w:val="000000" w:themeColor="text1"/>
              </w:rPr>
              <w:t>167</w:t>
            </w:r>
          </w:p>
        </w:tc>
        <w:tc>
          <w:tcPr>
            <w:tcW w:w="437" w:type="pct"/>
          </w:tcPr>
          <w:p w14:paraId="0E3843B2"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N/A</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047CACA3" w14:textId="5943D8ED" w:rsidR="00DC25DC" w:rsidRPr="00F45F11" w:rsidRDefault="00DC25DC" w:rsidP="00F8411B">
            <w:pPr>
              <w:pStyle w:val="ARTabletext"/>
              <w:jc w:val="right"/>
              <w:rPr>
                <w:color w:val="000000" w:themeColor="text1"/>
              </w:rPr>
            </w:pPr>
            <w:r w:rsidRPr="00F45F11">
              <w:rPr>
                <w:color w:val="000000" w:themeColor="text1"/>
              </w:rPr>
              <w:t>N</w:t>
            </w:r>
            <w:r w:rsidR="00840BF9" w:rsidRPr="00F45F11">
              <w:rPr>
                <w:color w:val="000000" w:themeColor="text1"/>
              </w:rPr>
              <w:t xml:space="preserve"> – t</w:t>
            </w:r>
            <w:r w:rsidRPr="00F45F11">
              <w:rPr>
                <w:color w:val="000000" w:themeColor="text1"/>
              </w:rPr>
              <w:t>he project is still in progress. Cabinet</w:t>
            </w:r>
            <w:r w:rsidR="00840BF9" w:rsidRPr="00F45F11">
              <w:rPr>
                <w:color w:val="000000" w:themeColor="text1"/>
              </w:rPr>
              <w:t>-</w:t>
            </w:r>
            <w:r w:rsidRPr="00F45F11">
              <w:rPr>
                <w:color w:val="000000" w:themeColor="text1"/>
              </w:rPr>
              <w:t>in</w:t>
            </w:r>
            <w:r w:rsidR="00840BF9" w:rsidRPr="00F45F11">
              <w:rPr>
                <w:color w:val="000000" w:themeColor="text1"/>
              </w:rPr>
              <w:t>-c</w:t>
            </w:r>
            <w:r w:rsidRPr="00F45F11">
              <w:rPr>
                <w:color w:val="000000" w:themeColor="text1"/>
              </w:rPr>
              <w:t>onfidence.</w:t>
            </w:r>
          </w:p>
        </w:tc>
      </w:tr>
      <w:tr w:rsidR="00DC25DC" w:rsidRPr="00F45F11" w14:paraId="054EA0E9" w14:textId="77777777" w:rsidTr="00566B8E">
        <w:trPr>
          <w:trHeight w:val="20"/>
        </w:trPr>
        <w:tc>
          <w:tcPr>
            <w:tcW w:w="584" w:type="pct"/>
          </w:tcPr>
          <w:p w14:paraId="602BD97F" w14:textId="77777777" w:rsidR="00DC25DC" w:rsidRPr="00F45F11" w:rsidRDefault="00DC25DC" w:rsidP="009817E6">
            <w:pPr>
              <w:pStyle w:val="ARTabletext"/>
            </w:pPr>
            <w:r w:rsidRPr="00F45F11">
              <w:t>Review of Neighbourhood House Coordination Program (Carers and Volunteers portfolio)</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0D43C1FE" w14:textId="77777777" w:rsidR="00DC25DC" w:rsidRPr="00F45F11" w:rsidRDefault="00DC25DC" w:rsidP="009817E6">
            <w:pPr>
              <w:pStyle w:val="ARTabletext"/>
            </w:pPr>
            <w:r w:rsidRPr="00F45F11">
              <w:t>To review the Neighbourhood House Coordination Program (NHCP) and recommend updates to program guidelines and internal program management approaches</w:t>
            </w:r>
          </w:p>
        </w:tc>
        <w:tc>
          <w:tcPr>
            <w:tcW w:w="900" w:type="pct"/>
            <w:tcMar>
              <w:left w:w="113" w:type="dxa"/>
            </w:tcMar>
          </w:tcPr>
          <w:p w14:paraId="7B75F37A"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Departmental review of NHCP within existing funding parameters to identify opportunities for programmatic reform and improvement</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770A9716" w14:textId="0F7DFD2A" w:rsidR="00DC25DC" w:rsidRPr="00F45F11" w:rsidRDefault="00DC25DC" w:rsidP="009817E6">
            <w:pPr>
              <w:pStyle w:val="ARTabletext"/>
            </w:pPr>
            <w:r w:rsidRPr="00F45F11">
              <w:t>Jan</w:t>
            </w:r>
            <w:r w:rsidR="008B76E1" w:rsidRPr="00F45F11">
              <w:t>uary</w:t>
            </w:r>
            <w:r w:rsidRPr="00F45F11">
              <w:t xml:space="preserve"> 2025 </w:t>
            </w:r>
            <w:r w:rsidR="008B76E1" w:rsidRPr="00F45F11">
              <w:t>to</w:t>
            </w:r>
            <w:r w:rsidRPr="00F45F11">
              <w:t xml:space="preserve"> Jun</w:t>
            </w:r>
            <w:r w:rsidR="008B76E1" w:rsidRPr="00F45F11">
              <w:t>e</w:t>
            </w:r>
            <w:r w:rsidRPr="00F45F11">
              <w:t xml:space="preserve"> 2026</w:t>
            </w:r>
          </w:p>
        </w:tc>
        <w:tc>
          <w:tcPr>
            <w:tcW w:w="779" w:type="pct"/>
            <w:tcMar>
              <w:left w:w="113" w:type="dxa"/>
            </w:tcMar>
          </w:tcPr>
          <w:p w14:paraId="6C532C4A"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Improved program monitoring and management approaches, updated program guidelines and reporting requirements to support sector innovation and flexibility</w:t>
            </w:r>
          </w:p>
        </w:tc>
        <w:tc>
          <w:tcPr>
            <w:cnfStyle w:val="000001000000" w:firstRow="0" w:lastRow="0" w:firstColumn="0" w:lastColumn="0" w:oddVBand="0" w:evenVBand="1" w:oddHBand="0" w:evenHBand="0" w:firstRowFirstColumn="0" w:firstRowLastColumn="0" w:lastRowFirstColumn="0" w:lastRowLastColumn="0"/>
            <w:tcW w:w="438" w:type="pct"/>
          </w:tcPr>
          <w:p w14:paraId="4DD6F21E" w14:textId="77777777" w:rsidR="00DC25DC" w:rsidRPr="00F45F11" w:rsidRDefault="00DC25DC" w:rsidP="009817E6">
            <w:pPr>
              <w:pStyle w:val="ARtabletextright"/>
              <w:rPr>
                <w:color w:val="000000" w:themeColor="text1"/>
              </w:rPr>
            </w:pPr>
            <w:r w:rsidRPr="00F45F11">
              <w:rPr>
                <w:color w:val="000000"/>
              </w:rPr>
              <w:t>135</w:t>
            </w:r>
          </w:p>
        </w:tc>
        <w:tc>
          <w:tcPr>
            <w:tcW w:w="437" w:type="pct"/>
          </w:tcPr>
          <w:p w14:paraId="4A133DA4"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135</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68885BB3" w14:textId="5CC67892" w:rsidR="00DC25DC" w:rsidRPr="00F45F11" w:rsidRDefault="00DC25DC" w:rsidP="00F8411B">
            <w:pPr>
              <w:pStyle w:val="ARTabletext"/>
              <w:jc w:val="right"/>
              <w:rPr>
                <w:color w:val="000000"/>
              </w:rPr>
            </w:pPr>
            <w:r w:rsidRPr="00F45F11">
              <w:rPr>
                <w:color w:val="000000"/>
              </w:rPr>
              <w:t>N</w:t>
            </w:r>
            <w:r w:rsidR="00840BF9" w:rsidRPr="00F45F11">
              <w:rPr>
                <w:color w:val="000000"/>
              </w:rPr>
              <w:t xml:space="preserve"> – i</w:t>
            </w:r>
            <w:r w:rsidRPr="00F45F11">
              <w:rPr>
                <w:color w:val="000000"/>
              </w:rPr>
              <w:t>nternal government review</w:t>
            </w:r>
          </w:p>
          <w:p w14:paraId="5232E381" w14:textId="07CB995C" w:rsidR="00DC25DC" w:rsidRPr="00F45F11" w:rsidRDefault="00DC25DC" w:rsidP="00F8411B">
            <w:pPr>
              <w:pStyle w:val="ARTabletext"/>
              <w:jc w:val="right"/>
              <w:rPr>
                <w:color w:val="000000" w:themeColor="text1"/>
              </w:rPr>
            </w:pPr>
            <w:r w:rsidRPr="00F45F11">
              <w:rPr>
                <w:color w:val="000000"/>
              </w:rPr>
              <w:t xml:space="preserve">Updated program guidelines informed by review published 1 July 2026: </w:t>
            </w:r>
            <w:hyperlink r:id="rId72" w:history="1">
              <w:r w:rsidRPr="00F45F11">
                <w:rPr>
                  <w:rStyle w:val="Hyperlink"/>
                  <w:rFonts w:asciiTheme="majorHAnsi" w:hAnsiTheme="majorHAnsi" w:cstheme="majorHAnsi"/>
                  <w:sz w:val="16"/>
                  <w:szCs w:val="16"/>
                </w:rPr>
                <w:t>Neighbourhood House Coordination Program</w:t>
              </w:r>
            </w:hyperlink>
            <w:r w:rsidRPr="00F45F11">
              <w:rPr>
                <w:rStyle w:val="FootnoteReference"/>
              </w:rPr>
              <w:footnoteReference w:id="18"/>
            </w:r>
          </w:p>
        </w:tc>
      </w:tr>
      <w:tr w:rsidR="00DC25DC" w:rsidRPr="00F45F11" w14:paraId="733BBD37" w14:textId="77777777" w:rsidTr="00566B8E">
        <w:trPr>
          <w:trHeight w:val="20"/>
        </w:trPr>
        <w:tc>
          <w:tcPr>
            <w:tcW w:w="584" w:type="pct"/>
          </w:tcPr>
          <w:p w14:paraId="347FC457" w14:textId="45584B27" w:rsidR="00DC25DC" w:rsidRPr="00F45F11" w:rsidRDefault="00DC25DC" w:rsidP="009817E6">
            <w:pPr>
              <w:pStyle w:val="ARTabletext"/>
            </w:pPr>
            <w:r w:rsidRPr="00F45F11">
              <w:t xml:space="preserve">Review of Additional Respite for Carers </w:t>
            </w:r>
            <w:r w:rsidR="00BF63E7" w:rsidRPr="00F45F11">
              <w:t>P</w:t>
            </w:r>
            <w:r w:rsidRPr="00F45F11">
              <w:t>rogram (Carers and Volunteers portfolio)</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249C1234" w14:textId="77777777" w:rsidR="00DC25DC" w:rsidRPr="00F45F11" w:rsidRDefault="00DC25DC" w:rsidP="009817E6">
            <w:pPr>
              <w:pStyle w:val="ARTabletext"/>
            </w:pPr>
            <w:r w:rsidRPr="00F45F11">
              <w:t>To meet lapsing program evaluation requirements</w:t>
            </w:r>
          </w:p>
        </w:tc>
        <w:tc>
          <w:tcPr>
            <w:tcW w:w="900" w:type="pct"/>
            <w:tcMar>
              <w:left w:w="113" w:type="dxa"/>
            </w:tcMar>
          </w:tcPr>
          <w:p w14:paraId="12730B24" w14:textId="450C56B3"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rPr>
                <w:rFonts w:eastAsia="Times"/>
              </w:rPr>
              <w:t>Lapsing program evaluation to meet the requirements of the Department of Treasury and Finance Resource Management Framework</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627F2B09" w14:textId="6D2FE303" w:rsidR="00DC25DC" w:rsidRPr="00F45F11" w:rsidRDefault="00DC25DC" w:rsidP="009817E6">
            <w:pPr>
              <w:pStyle w:val="ARTabletext"/>
            </w:pPr>
            <w:r w:rsidRPr="00F45F11">
              <w:rPr>
                <w:color w:val="000000"/>
              </w:rPr>
              <w:t xml:space="preserve">March </w:t>
            </w:r>
            <w:r w:rsidR="008B23F2" w:rsidRPr="00F45F11">
              <w:rPr>
                <w:color w:val="000000"/>
              </w:rPr>
              <w:t xml:space="preserve">2026 </w:t>
            </w:r>
            <w:r w:rsidR="00BF63E7" w:rsidRPr="00F45F11">
              <w:rPr>
                <w:color w:val="000000"/>
              </w:rPr>
              <w:t>to</w:t>
            </w:r>
            <w:r w:rsidRPr="00F45F11">
              <w:rPr>
                <w:color w:val="000000"/>
              </w:rPr>
              <w:t xml:space="preserve"> July 2026</w:t>
            </w:r>
          </w:p>
        </w:tc>
        <w:tc>
          <w:tcPr>
            <w:tcW w:w="779" w:type="pct"/>
            <w:tcMar>
              <w:left w:w="113" w:type="dxa"/>
            </w:tcMar>
          </w:tcPr>
          <w:p w14:paraId="43A2D2A2"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Evaluation report containing findings and recommendations to support future program investment and improvements.</w:t>
            </w:r>
          </w:p>
        </w:tc>
        <w:tc>
          <w:tcPr>
            <w:cnfStyle w:val="000001000000" w:firstRow="0" w:lastRow="0" w:firstColumn="0" w:lastColumn="0" w:oddVBand="0" w:evenVBand="1" w:oddHBand="0" w:evenHBand="0" w:firstRowFirstColumn="0" w:firstRowLastColumn="0" w:lastRowFirstColumn="0" w:lastRowLastColumn="0"/>
            <w:tcW w:w="438" w:type="pct"/>
          </w:tcPr>
          <w:p w14:paraId="58776CF0" w14:textId="77777777" w:rsidR="00DC25DC" w:rsidRPr="00F45F11" w:rsidRDefault="00DC25DC" w:rsidP="009817E6">
            <w:pPr>
              <w:pStyle w:val="ARtabletextright"/>
              <w:rPr>
                <w:color w:val="000000" w:themeColor="text1"/>
              </w:rPr>
            </w:pPr>
            <w:r w:rsidRPr="00F45F11">
              <w:rPr>
                <w:color w:val="000000"/>
              </w:rPr>
              <w:t>153.5</w:t>
            </w:r>
          </w:p>
        </w:tc>
        <w:tc>
          <w:tcPr>
            <w:tcW w:w="437" w:type="pct"/>
          </w:tcPr>
          <w:p w14:paraId="789B1617"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153.5</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7AB0FF36" w14:textId="6AAC35F1" w:rsidR="00DC25DC" w:rsidRPr="00F45F11" w:rsidRDefault="00DC25DC" w:rsidP="00F8411B">
            <w:pPr>
              <w:pStyle w:val="ARTabletext"/>
              <w:jc w:val="right"/>
              <w:rPr>
                <w:color w:val="000000" w:themeColor="text1"/>
              </w:rPr>
            </w:pPr>
            <w:r w:rsidRPr="00F45F11">
              <w:rPr>
                <w:color w:val="000000"/>
              </w:rPr>
              <w:t>N</w:t>
            </w:r>
            <w:r w:rsidR="00840BF9" w:rsidRPr="00F45F11">
              <w:rPr>
                <w:color w:val="000000"/>
              </w:rPr>
              <w:t xml:space="preserve"> – </w:t>
            </w:r>
            <w:r w:rsidRPr="00F45F11">
              <w:rPr>
                <w:color w:val="000000" w:themeColor="text1"/>
              </w:rPr>
              <w:t>Cabinet</w:t>
            </w:r>
            <w:r w:rsidR="00840BF9" w:rsidRPr="00F45F11">
              <w:rPr>
                <w:color w:val="000000" w:themeColor="text1"/>
              </w:rPr>
              <w:t>-</w:t>
            </w:r>
            <w:r w:rsidRPr="00F45F11">
              <w:rPr>
                <w:color w:val="000000" w:themeColor="text1"/>
              </w:rPr>
              <w:t>in</w:t>
            </w:r>
            <w:r w:rsidR="00840BF9" w:rsidRPr="00F45F11">
              <w:rPr>
                <w:color w:val="000000" w:themeColor="text1"/>
              </w:rPr>
              <w:t>-c</w:t>
            </w:r>
            <w:r w:rsidRPr="00F45F11">
              <w:rPr>
                <w:color w:val="000000" w:themeColor="text1"/>
              </w:rPr>
              <w:t>onfidence.</w:t>
            </w:r>
          </w:p>
        </w:tc>
      </w:tr>
      <w:tr w:rsidR="00DC25DC" w:rsidRPr="00F45F11" w14:paraId="4ED32DDD" w14:textId="77777777" w:rsidTr="00566B8E">
        <w:trPr>
          <w:trHeight w:val="20"/>
        </w:trPr>
        <w:tc>
          <w:tcPr>
            <w:tcW w:w="584" w:type="pct"/>
          </w:tcPr>
          <w:p w14:paraId="55D6D7E5" w14:textId="77777777" w:rsidR="00DC25DC" w:rsidRPr="00F45F11" w:rsidRDefault="00DC25DC" w:rsidP="009817E6">
            <w:pPr>
              <w:pStyle w:val="ARTabletext"/>
            </w:pPr>
            <w:r w:rsidRPr="00F45F11">
              <w:rPr>
                <w:color w:val="000000" w:themeColor="text1"/>
              </w:rPr>
              <w:t>Evaluation of Switch to Social Work</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2E256234" w14:textId="77777777" w:rsidR="00DC25DC" w:rsidRPr="00F45F11" w:rsidRDefault="00DC25DC" w:rsidP="009817E6">
            <w:pPr>
              <w:pStyle w:val="ARTabletext"/>
            </w:pPr>
            <w:r w:rsidRPr="00F45F11">
              <w:t>To meet lapsing program evaluation requirements</w:t>
            </w:r>
          </w:p>
        </w:tc>
        <w:tc>
          <w:tcPr>
            <w:tcW w:w="900" w:type="pct"/>
            <w:tcMar>
              <w:left w:w="113" w:type="dxa"/>
            </w:tcMar>
          </w:tcPr>
          <w:p w14:paraId="6B3541F3" w14:textId="0566ECD2"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rFonts w:eastAsia="Times"/>
              </w:rPr>
            </w:pPr>
            <w:r w:rsidRPr="00F45F11">
              <w:t xml:space="preserve">Assess the effectiveness, efficiency and sustainability of the Switch to Social Work model </w:t>
            </w:r>
            <w:r w:rsidRPr="00F45F11">
              <w:rPr>
                <w:rFonts w:eastAsia="Times"/>
              </w:rPr>
              <w:t>to meet the requirements of the Department of Treasury and Finance Resource Management Framework</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752FF80B" w14:textId="271A33C6" w:rsidR="00DC25DC" w:rsidRPr="00F45F11" w:rsidRDefault="00DC25DC" w:rsidP="009817E6">
            <w:pPr>
              <w:pStyle w:val="ARTabletext"/>
            </w:pPr>
            <w:r w:rsidRPr="00F45F11">
              <w:t>June 2023</w:t>
            </w:r>
            <w:r w:rsidR="00BF63E7" w:rsidRPr="00F45F11">
              <w:t xml:space="preserve"> </w:t>
            </w:r>
            <w:r w:rsidR="00F8411B">
              <w:br/>
            </w:r>
            <w:r w:rsidR="00BF63E7" w:rsidRPr="00F45F11">
              <w:t xml:space="preserve">to </w:t>
            </w:r>
            <w:r w:rsidRPr="00F45F11">
              <w:t>May 2026</w:t>
            </w:r>
          </w:p>
        </w:tc>
        <w:tc>
          <w:tcPr>
            <w:tcW w:w="779" w:type="pct"/>
            <w:tcMar>
              <w:left w:w="113" w:type="dxa"/>
            </w:tcMar>
          </w:tcPr>
          <w:p w14:paraId="4C4BA612" w14:textId="5BD69ABE"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 xml:space="preserve">Evaluation report containing findings and recommendations to support future </w:t>
            </w:r>
            <w:r w:rsidR="008A07CE">
              <w:t xml:space="preserve">funding considerations </w:t>
            </w:r>
            <w:r w:rsidRPr="00F45F11">
              <w:t>and improvements</w:t>
            </w:r>
          </w:p>
        </w:tc>
        <w:tc>
          <w:tcPr>
            <w:cnfStyle w:val="000001000000" w:firstRow="0" w:lastRow="0" w:firstColumn="0" w:lastColumn="0" w:oddVBand="0" w:evenVBand="1" w:oddHBand="0" w:evenHBand="0" w:firstRowFirstColumn="0" w:firstRowLastColumn="0" w:lastRowFirstColumn="0" w:lastRowLastColumn="0"/>
            <w:tcW w:w="438" w:type="pct"/>
          </w:tcPr>
          <w:p w14:paraId="0D2EE5EC" w14:textId="77777777" w:rsidR="00DC25DC" w:rsidRPr="00F45F11" w:rsidRDefault="00DC25DC" w:rsidP="009817E6">
            <w:pPr>
              <w:pStyle w:val="ARtabletextright"/>
              <w:rPr>
                <w:color w:val="000000" w:themeColor="text1"/>
              </w:rPr>
            </w:pPr>
            <w:r w:rsidRPr="00F45F11">
              <w:t>78</w:t>
            </w:r>
          </w:p>
        </w:tc>
        <w:tc>
          <w:tcPr>
            <w:tcW w:w="437" w:type="pct"/>
          </w:tcPr>
          <w:p w14:paraId="5B3738FE"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t>78</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388E86B9" w14:textId="7CCB4456" w:rsidR="00DC25DC" w:rsidRPr="00F45F11" w:rsidRDefault="00DC25DC" w:rsidP="00F8411B">
            <w:pPr>
              <w:pStyle w:val="ARTabletext"/>
              <w:jc w:val="right"/>
              <w:rPr>
                <w:color w:val="000000" w:themeColor="text1"/>
              </w:rPr>
            </w:pPr>
            <w:r w:rsidRPr="00F45F11">
              <w:t>N</w:t>
            </w:r>
            <w:r w:rsidR="00840BF9" w:rsidRPr="00F45F11">
              <w:t xml:space="preserve"> – </w:t>
            </w:r>
            <w:r w:rsidRPr="00F45F11">
              <w:rPr>
                <w:color w:val="000000" w:themeColor="text1"/>
              </w:rPr>
              <w:t>Cabinet</w:t>
            </w:r>
            <w:r w:rsidR="00840BF9" w:rsidRPr="00F45F11">
              <w:rPr>
                <w:color w:val="000000" w:themeColor="text1"/>
              </w:rPr>
              <w:t>-</w:t>
            </w:r>
            <w:r w:rsidRPr="00F45F11">
              <w:rPr>
                <w:color w:val="000000" w:themeColor="text1"/>
              </w:rPr>
              <w:t>in</w:t>
            </w:r>
            <w:r w:rsidR="00840BF9" w:rsidRPr="00F45F11">
              <w:rPr>
                <w:color w:val="000000" w:themeColor="text1"/>
              </w:rPr>
              <w:t>-</w:t>
            </w:r>
            <w:r w:rsidRPr="00F45F11">
              <w:rPr>
                <w:color w:val="000000" w:themeColor="text1"/>
              </w:rPr>
              <w:t>confidence</w:t>
            </w:r>
          </w:p>
        </w:tc>
      </w:tr>
      <w:tr w:rsidR="00DC25DC" w:rsidRPr="00F45F11" w14:paraId="37CE5B56" w14:textId="77777777" w:rsidTr="00566B8E">
        <w:trPr>
          <w:trHeight w:val="20"/>
        </w:trPr>
        <w:tc>
          <w:tcPr>
            <w:tcW w:w="584" w:type="pct"/>
          </w:tcPr>
          <w:p w14:paraId="16935C24" w14:textId="77777777" w:rsidR="00DC25DC" w:rsidRPr="00F45F11" w:rsidRDefault="00DC25DC" w:rsidP="009817E6">
            <w:pPr>
              <w:pStyle w:val="ARTabletext"/>
            </w:pPr>
            <w:r w:rsidRPr="00F45F11">
              <w:rPr>
                <w:color w:val="000000" w:themeColor="text1"/>
              </w:rPr>
              <w:t>Evaluation of Switch to Child Protection</w:t>
            </w:r>
            <w:r w:rsidRPr="00F45F11">
              <w:t xml:space="preserve"> </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2E42974A" w14:textId="77777777" w:rsidR="00DC25DC" w:rsidRPr="00F45F11" w:rsidRDefault="00DC25DC" w:rsidP="009817E6">
            <w:pPr>
              <w:pStyle w:val="ARTabletext"/>
            </w:pPr>
            <w:r w:rsidRPr="00F45F11">
              <w:t>To meet lapsing program evaluation requirements</w:t>
            </w:r>
          </w:p>
        </w:tc>
        <w:tc>
          <w:tcPr>
            <w:tcW w:w="900" w:type="pct"/>
            <w:tcMar>
              <w:left w:w="113" w:type="dxa"/>
            </w:tcMar>
          </w:tcPr>
          <w:p w14:paraId="4BB2ACED" w14:textId="53D19C56"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An evaluation of the Switch to Child Protection 2024 program against its stated objectives and outcomes to meet the requirements of the Department of Treasury and Finance Resource Management Framework</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20A0DF09" w14:textId="3341049A" w:rsidR="00DC25DC" w:rsidRPr="00F45F11" w:rsidRDefault="00DC25DC" w:rsidP="009817E6">
            <w:pPr>
              <w:pStyle w:val="ARTabletext"/>
            </w:pPr>
            <w:r w:rsidRPr="00F45F11">
              <w:t xml:space="preserve">April 2024 </w:t>
            </w:r>
            <w:r w:rsidR="00F8411B">
              <w:br/>
            </w:r>
            <w:r w:rsidR="00BF63E7" w:rsidRPr="00F45F11">
              <w:t>to</w:t>
            </w:r>
            <w:r w:rsidRPr="00F45F11">
              <w:t xml:space="preserve"> December 2025</w:t>
            </w:r>
          </w:p>
        </w:tc>
        <w:tc>
          <w:tcPr>
            <w:tcW w:w="779" w:type="pct"/>
            <w:tcMar>
              <w:left w:w="113" w:type="dxa"/>
            </w:tcMar>
          </w:tcPr>
          <w:p w14:paraId="56991510" w14:textId="52FB45C3"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 xml:space="preserve">Evaluation report containing findings and recommendations to support future </w:t>
            </w:r>
            <w:r w:rsidR="008A07CE">
              <w:t xml:space="preserve">funding considerations </w:t>
            </w:r>
            <w:r w:rsidRPr="00F45F11">
              <w:t>and improvements</w:t>
            </w:r>
          </w:p>
        </w:tc>
        <w:tc>
          <w:tcPr>
            <w:cnfStyle w:val="000001000000" w:firstRow="0" w:lastRow="0" w:firstColumn="0" w:lastColumn="0" w:oddVBand="0" w:evenVBand="1" w:oddHBand="0" w:evenHBand="0" w:firstRowFirstColumn="0" w:firstRowLastColumn="0" w:lastRowFirstColumn="0" w:lastRowLastColumn="0"/>
            <w:tcW w:w="438" w:type="pct"/>
          </w:tcPr>
          <w:p w14:paraId="49C9FAE0" w14:textId="77777777" w:rsidR="00DC25DC" w:rsidRPr="00F45F11" w:rsidRDefault="00DC25DC" w:rsidP="009817E6">
            <w:pPr>
              <w:pStyle w:val="ARtabletextright"/>
              <w:rPr>
                <w:color w:val="000000" w:themeColor="text1"/>
              </w:rPr>
            </w:pPr>
            <w:r w:rsidRPr="00F45F11">
              <w:t>16</w:t>
            </w:r>
          </w:p>
        </w:tc>
        <w:tc>
          <w:tcPr>
            <w:tcW w:w="437" w:type="pct"/>
          </w:tcPr>
          <w:p w14:paraId="64AA4B13"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t>16</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7E9BBDD4" w14:textId="3F25DBF1" w:rsidR="00DC25DC" w:rsidRPr="00F45F11" w:rsidRDefault="00DC25DC" w:rsidP="00F8411B">
            <w:pPr>
              <w:pStyle w:val="ARTabletext"/>
              <w:jc w:val="right"/>
              <w:rPr>
                <w:color w:val="000000" w:themeColor="text1"/>
              </w:rPr>
            </w:pPr>
            <w:r w:rsidRPr="00F45F11">
              <w:t>N</w:t>
            </w:r>
            <w:r w:rsidR="00840BF9" w:rsidRPr="00F45F11">
              <w:rPr>
                <w:color w:val="000000" w:themeColor="text1"/>
              </w:rPr>
              <w:t xml:space="preserve"> – </w:t>
            </w:r>
            <w:r w:rsidRPr="00F45F11">
              <w:rPr>
                <w:color w:val="000000" w:themeColor="text1"/>
              </w:rPr>
              <w:t>Cabinet</w:t>
            </w:r>
            <w:r w:rsidR="00840BF9" w:rsidRPr="00F45F11">
              <w:rPr>
                <w:color w:val="000000" w:themeColor="text1"/>
              </w:rPr>
              <w:t>-</w:t>
            </w:r>
            <w:r w:rsidRPr="00F45F11">
              <w:rPr>
                <w:color w:val="000000" w:themeColor="text1"/>
              </w:rPr>
              <w:t>in</w:t>
            </w:r>
            <w:r w:rsidR="00840BF9" w:rsidRPr="00F45F11">
              <w:rPr>
                <w:color w:val="000000" w:themeColor="text1"/>
              </w:rPr>
              <w:t>-</w:t>
            </w:r>
            <w:r w:rsidRPr="00F45F11">
              <w:rPr>
                <w:color w:val="000000" w:themeColor="text1"/>
              </w:rPr>
              <w:t>confidence</w:t>
            </w:r>
          </w:p>
        </w:tc>
      </w:tr>
      <w:tr w:rsidR="00DC25DC" w:rsidRPr="00F45F11" w14:paraId="53604627" w14:textId="77777777" w:rsidTr="00566B8E">
        <w:trPr>
          <w:trHeight w:val="20"/>
        </w:trPr>
        <w:tc>
          <w:tcPr>
            <w:tcW w:w="584" w:type="pct"/>
          </w:tcPr>
          <w:p w14:paraId="0292CCAF" w14:textId="77777777" w:rsidR="00DC25DC" w:rsidRPr="00F45F11" w:rsidRDefault="00DC25DC" w:rsidP="009817E6">
            <w:pPr>
              <w:pStyle w:val="ARTabletext"/>
              <w:rPr>
                <w:color w:val="000000" w:themeColor="text1"/>
              </w:rPr>
            </w:pPr>
            <w:r w:rsidRPr="00F45F11">
              <w:rPr>
                <w:color w:val="000000" w:themeColor="text1"/>
              </w:rPr>
              <w:t>Community and Social Services Graduate Program evaluation</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54C31244" w14:textId="77777777" w:rsidR="00DC25DC" w:rsidRPr="00F45F11" w:rsidRDefault="00DC25DC" w:rsidP="009817E6">
            <w:pPr>
              <w:pStyle w:val="ARTabletext"/>
            </w:pPr>
            <w:r w:rsidRPr="00F45F11">
              <w:t>To meet lapsing program evaluation requirements</w:t>
            </w:r>
          </w:p>
        </w:tc>
        <w:tc>
          <w:tcPr>
            <w:tcW w:w="900" w:type="pct"/>
            <w:tcMar>
              <w:left w:w="113" w:type="dxa"/>
            </w:tcMar>
          </w:tcPr>
          <w:p w14:paraId="5AA0997D" w14:textId="2C8D20C9"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An evaluation of the pilot program against its stated short</w:t>
            </w:r>
            <w:r w:rsidR="00016DFC" w:rsidRPr="00F45F11">
              <w:t>-</w:t>
            </w:r>
            <w:r w:rsidRPr="00F45F11">
              <w:t>, medium</w:t>
            </w:r>
            <w:r w:rsidR="00016DFC" w:rsidRPr="00F45F11">
              <w:t>-</w:t>
            </w:r>
            <w:r w:rsidRPr="00F45F11">
              <w:t xml:space="preserve"> and long</w:t>
            </w:r>
            <w:r w:rsidR="00016DFC" w:rsidRPr="00F45F11">
              <w:t>-</w:t>
            </w:r>
            <w:r w:rsidRPr="00F45F11">
              <w:t>term objectives and outcomes to meet the requirements of the Department of Treasury and Finance Resource Management Framework</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5E2D38A2" w14:textId="605A6155" w:rsidR="00DC25DC" w:rsidRPr="00F45F11" w:rsidRDefault="00DC25DC" w:rsidP="009817E6">
            <w:pPr>
              <w:pStyle w:val="ARTabletext"/>
            </w:pPr>
            <w:r w:rsidRPr="00F45F11">
              <w:t xml:space="preserve">July 2025 </w:t>
            </w:r>
            <w:r w:rsidR="00F8411B">
              <w:br/>
            </w:r>
            <w:r w:rsidR="00016DFC" w:rsidRPr="00F45F11">
              <w:t>to</w:t>
            </w:r>
            <w:r w:rsidRPr="00F45F11">
              <w:t xml:space="preserve"> October 2027</w:t>
            </w:r>
          </w:p>
        </w:tc>
        <w:tc>
          <w:tcPr>
            <w:tcW w:w="779" w:type="pct"/>
            <w:tcMar>
              <w:left w:w="113" w:type="dxa"/>
            </w:tcMar>
          </w:tcPr>
          <w:p w14:paraId="07E29218" w14:textId="3D2F976F"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Interim evaluation report and a final evaluation report to provide considerations to inform future program improvements</w:t>
            </w:r>
          </w:p>
        </w:tc>
        <w:tc>
          <w:tcPr>
            <w:cnfStyle w:val="000001000000" w:firstRow="0" w:lastRow="0" w:firstColumn="0" w:lastColumn="0" w:oddVBand="0" w:evenVBand="1" w:oddHBand="0" w:evenHBand="0" w:firstRowFirstColumn="0" w:firstRowLastColumn="0" w:lastRowFirstColumn="0" w:lastRowLastColumn="0"/>
            <w:tcW w:w="438" w:type="pct"/>
          </w:tcPr>
          <w:p w14:paraId="1A0B6422" w14:textId="77777777" w:rsidR="00DC25DC" w:rsidRPr="00F45F11" w:rsidRDefault="00DC25DC" w:rsidP="009817E6">
            <w:pPr>
              <w:pStyle w:val="ARtabletextright"/>
            </w:pPr>
            <w:r w:rsidRPr="00F45F11">
              <w:t>216</w:t>
            </w:r>
          </w:p>
        </w:tc>
        <w:tc>
          <w:tcPr>
            <w:tcW w:w="437" w:type="pct"/>
          </w:tcPr>
          <w:p w14:paraId="420D35C8"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pPr>
            <w:r w:rsidRPr="00F45F11">
              <w:t>433</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7C65404A" w14:textId="4631240B" w:rsidR="00DC25DC" w:rsidRPr="00F45F11" w:rsidRDefault="00DC25DC" w:rsidP="00F8411B">
            <w:pPr>
              <w:pStyle w:val="ARTabletext"/>
              <w:jc w:val="right"/>
            </w:pPr>
            <w:r w:rsidRPr="00F45F11">
              <w:t>N</w:t>
            </w:r>
            <w:r w:rsidR="00840BF9" w:rsidRPr="00F45F11">
              <w:rPr>
                <w:color w:val="000000" w:themeColor="text1"/>
              </w:rPr>
              <w:t xml:space="preserve"> – </w:t>
            </w:r>
            <w:r w:rsidRPr="00F45F11">
              <w:rPr>
                <w:color w:val="000000" w:themeColor="text1"/>
              </w:rPr>
              <w:t>Cabinet</w:t>
            </w:r>
            <w:r w:rsidR="00840BF9" w:rsidRPr="00F45F11">
              <w:rPr>
                <w:color w:val="000000" w:themeColor="text1"/>
              </w:rPr>
              <w:t>-</w:t>
            </w:r>
            <w:r w:rsidRPr="00F45F11">
              <w:rPr>
                <w:color w:val="000000" w:themeColor="text1"/>
              </w:rPr>
              <w:t>in</w:t>
            </w:r>
            <w:r w:rsidR="00840BF9" w:rsidRPr="00F45F11">
              <w:rPr>
                <w:color w:val="000000" w:themeColor="text1"/>
              </w:rPr>
              <w:t>-</w:t>
            </w:r>
            <w:r w:rsidRPr="00F45F11">
              <w:rPr>
                <w:color w:val="000000" w:themeColor="text1"/>
              </w:rPr>
              <w:t>confidence</w:t>
            </w:r>
          </w:p>
        </w:tc>
      </w:tr>
      <w:tr w:rsidR="00DC25DC" w:rsidRPr="00F45F11" w14:paraId="747CDE19" w14:textId="77777777" w:rsidTr="00566B8E">
        <w:trPr>
          <w:trHeight w:val="20"/>
        </w:trPr>
        <w:tc>
          <w:tcPr>
            <w:tcW w:w="584" w:type="pct"/>
          </w:tcPr>
          <w:p w14:paraId="2F7015F8" w14:textId="77777777" w:rsidR="00DC25DC" w:rsidRPr="00F45F11" w:rsidRDefault="00DC25DC" w:rsidP="009817E6">
            <w:pPr>
              <w:pStyle w:val="ARTabletext"/>
              <w:rPr>
                <w:color w:val="000000" w:themeColor="text1"/>
              </w:rPr>
            </w:pPr>
            <w:r w:rsidRPr="00F45F11">
              <w:rPr>
                <w:color w:val="000000" w:themeColor="text1"/>
              </w:rPr>
              <w:t>Evaluation of the Workforce Vacancies Demonstration Program and other past workforce development programs</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7A078FBA" w14:textId="6640A24B" w:rsidR="00DC25DC" w:rsidRPr="00F45F11" w:rsidRDefault="00DC25DC" w:rsidP="009817E6">
            <w:pPr>
              <w:pStyle w:val="ARTabletext"/>
            </w:pPr>
            <w:r w:rsidRPr="00F45F11">
              <w:t>To understand the benefits of workforce development activities to inform design of future initiatives</w:t>
            </w:r>
          </w:p>
        </w:tc>
        <w:tc>
          <w:tcPr>
            <w:tcW w:w="900" w:type="pct"/>
            <w:tcMar>
              <w:left w:w="113" w:type="dxa"/>
            </w:tcMar>
          </w:tcPr>
          <w:p w14:paraId="0F21BB19" w14:textId="589F1174"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Evaluate the Workforce Vacancies Demonstration Program and other past workforce development programs’ appropriateness, effectiveness, impact and sustainability</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1C13708C" w14:textId="0654EE79" w:rsidR="00DC25DC" w:rsidRPr="00F45F11" w:rsidRDefault="00DC25DC" w:rsidP="009817E6">
            <w:pPr>
              <w:pStyle w:val="ARTabletext"/>
            </w:pPr>
            <w:r w:rsidRPr="00F45F11">
              <w:t xml:space="preserve">June 2025 </w:t>
            </w:r>
            <w:r w:rsidR="00F8411B">
              <w:br/>
            </w:r>
            <w:r w:rsidR="00016DFC" w:rsidRPr="00F45F11">
              <w:t>to</w:t>
            </w:r>
            <w:r w:rsidRPr="00F45F11">
              <w:t xml:space="preserve"> July 2026</w:t>
            </w:r>
          </w:p>
        </w:tc>
        <w:tc>
          <w:tcPr>
            <w:tcW w:w="779" w:type="pct"/>
            <w:tcMar>
              <w:left w:w="113" w:type="dxa"/>
            </w:tcMar>
          </w:tcPr>
          <w:p w14:paraId="30D162C2" w14:textId="696D72CB"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 xml:space="preserve">Final report that brings together the findings from the Workforce Vacancies Demonstration Program and four past programs and </w:t>
            </w:r>
            <w:proofErr w:type="gramStart"/>
            <w:r w:rsidRPr="00F45F11">
              <w:t>provide</w:t>
            </w:r>
            <w:proofErr w:type="gramEnd"/>
            <w:r w:rsidRPr="00F45F11">
              <w:t xml:space="preserve"> considerations for future workforce policy, program design and delivery</w:t>
            </w:r>
          </w:p>
        </w:tc>
        <w:tc>
          <w:tcPr>
            <w:cnfStyle w:val="000001000000" w:firstRow="0" w:lastRow="0" w:firstColumn="0" w:lastColumn="0" w:oddVBand="0" w:evenVBand="1" w:oddHBand="0" w:evenHBand="0" w:firstRowFirstColumn="0" w:firstRowLastColumn="0" w:lastRowFirstColumn="0" w:lastRowLastColumn="0"/>
            <w:tcW w:w="438" w:type="pct"/>
          </w:tcPr>
          <w:p w14:paraId="6BC67348" w14:textId="77777777" w:rsidR="00DC25DC" w:rsidRPr="00F45F11" w:rsidRDefault="00DC25DC" w:rsidP="009817E6">
            <w:pPr>
              <w:pStyle w:val="ARtabletextright"/>
            </w:pPr>
            <w:r w:rsidRPr="00F45F11">
              <w:t>145</w:t>
            </w:r>
          </w:p>
        </w:tc>
        <w:tc>
          <w:tcPr>
            <w:tcW w:w="437" w:type="pct"/>
          </w:tcPr>
          <w:p w14:paraId="374183F2"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pPr>
            <w:r w:rsidRPr="00F45F11">
              <w:t>201</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45088FAE" w14:textId="5A426B10" w:rsidR="00DC25DC" w:rsidRPr="00F45F11" w:rsidRDefault="00DC25DC" w:rsidP="00F8411B">
            <w:pPr>
              <w:pStyle w:val="ARTabletext"/>
              <w:jc w:val="right"/>
            </w:pPr>
            <w:r w:rsidRPr="00F45F11">
              <w:t>N</w:t>
            </w:r>
            <w:r w:rsidR="00840BF9" w:rsidRPr="00F45F11">
              <w:rPr>
                <w:color w:val="000000"/>
              </w:rPr>
              <w:t xml:space="preserve"> – i</w:t>
            </w:r>
            <w:r w:rsidRPr="00F45F11">
              <w:rPr>
                <w:color w:val="000000"/>
              </w:rPr>
              <w:t>nternal government review</w:t>
            </w:r>
          </w:p>
        </w:tc>
      </w:tr>
      <w:tr w:rsidR="00DC25DC" w:rsidRPr="00F45F11" w14:paraId="4F1DE9AC" w14:textId="77777777" w:rsidTr="00566B8E">
        <w:trPr>
          <w:trHeight w:val="20"/>
        </w:trPr>
        <w:tc>
          <w:tcPr>
            <w:tcW w:w="584" w:type="pct"/>
          </w:tcPr>
          <w:p w14:paraId="756167C1" w14:textId="1ED2691D" w:rsidR="00DC25DC" w:rsidRPr="00F45F11" w:rsidRDefault="00DC25DC" w:rsidP="009817E6">
            <w:pPr>
              <w:pStyle w:val="ARTabletext"/>
              <w:rPr>
                <w:rFonts w:cstheme="majorBidi"/>
                <w:color w:val="000000" w:themeColor="text1"/>
              </w:rPr>
            </w:pPr>
            <w:r w:rsidRPr="00F45F11">
              <w:rPr>
                <w:rFonts w:cstheme="majorBidi"/>
                <w:color w:val="000000" w:themeColor="text1"/>
              </w:rPr>
              <w:t xml:space="preserve">Exploring </w:t>
            </w:r>
            <w:r w:rsidR="008B23F2" w:rsidRPr="00F45F11">
              <w:rPr>
                <w:rFonts w:cstheme="majorBidi"/>
                <w:color w:val="000000" w:themeColor="text1"/>
              </w:rPr>
              <w:t>c</w:t>
            </w:r>
            <w:r w:rsidRPr="00F45F11">
              <w:rPr>
                <w:rFonts w:cstheme="majorBidi"/>
                <w:color w:val="000000" w:themeColor="text1"/>
              </w:rPr>
              <w:t xml:space="preserve">ommunity </w:t>
            </w:r>
            <w:r w:rsidR="008B23F2" w:rsidRPr="00F45F11">
              <w:rPr>
                <w:rFonts w:cstheme="majorBidi"/>
                <w:color w:val="000000" w:themeColor="text1"/>
              </w:rPr>
              <w:t>s</w:t>
            </w:r>
            <w:r w:rsidRPr="00F45F11">
              <w:rPr>
                <w:rFonts w:cstheme="majorBidi"/>
                <w:color w:val="000000" w:themeColor="text1"/>
              </w:rPr>
              <w:t xml:space="preserve">ervices </w:t>
            </w:r>
            <w:r w:rsidR="008B23F2" w:rsidRPr="00F45F11">
              <w:rPr>
                <w:rFonts w:cstheme="majorBidi"/>
                <w:color w:val="000000" w:themeColor="text1"/>
              </w:rPr>
              <w:t>w</w:t>
            </w:r>
            <w:r w:rsidRPr="00F45F11">
              <w:rPr>
                <w:rFonts w:cstheme="majorBidi"/>
                <w:color w:val="000000" w:themeColor="text1"/>
              </w:rPr>
              <w:t xml:space="preserve">orkforce </w:t>
            </w:r>
            <w:r w:rsidR="008B23F2" w:rsidRPr="00F45F11">
              <w:rPr>
                <w:rFonts w:cstheme="majorBidi"/>
                <w:color w:val="000000" w:themeColor="text1"/>
              </w:rPr>
              <w:t>d</w:t>
            </w:r>
            <w:r w:rsidRPr="00F45F11">
              <w:rPr>
                <w:rFonts w:cstheme="majorBidi"/>
                <w:color w:val="000000" w:themeColor="text1"/>
              </w:rPr>
              <w:t xml:space="preserve">ata </w:t>
            </w:r>
            <w:r w:rsidR="008B23F2" w:rsidRPr="00F45F11">
              <w:rPr>
                <w:rFonts w:cstheme="majorBidi"/>
                <w:color w:val="000000" w:themeColor="text1"/>
              </w:rPr>
              <w:t>i</w:t>
            </w:r>
            <w:r w:rsidRPr="00F45F11">
              <w:rPr>
                <w:rFonts w:cstheme="majorBidi"/>
                <w:color w:val="000000" w:themeColor="text1"/>
              </w:rPr>
              <w:t>nsights</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34D64EED" w14:textId="411235F4" w:rsidR="00DC25DC" w:rsidRPr="00F45F11" w:rsidRDefault="00DC25DC" w:rsidP="009817E6">
            <w:pPr>
              <w:pStyle w:val="ARTabletext"/>
              <w:rPr>
                <w:rFonts w:cstheme="majorBidi"/>
              </w:rPr>
            </w:pPr>
            <w:r w:rsidRPr="00F45F11">
              <w:rPr>
                <w:rFonts w:cstheme="majorBidi"/>
              </w:rPr>
              <w:t xml:space="preserve">To build our understanding of the community services workforce </w:t>
            </w:r>
            <w:r w:rsidRPr="00F45F11">
              <w:t>to inform design of future initiatives</w:t>
            </w:r>
          </w:p>
        </w:tc>
        <w:tc>
          <w:tcPr>
            <w:tcW w:w="900" w:type="pct"/>
            <w:tcMar>
              <w:left w:w="113" w:type="dxa"/>
            </w:tcMar>
          </w:tcPr>
          <w:p w14:paraId="1C9E9EA9" w14:textId="66D38CFD"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rFonts w:cstheme="majorBidi"/>
              </w:rPr>
            </w:pPr>
            <w:r w:rsidRPr="00F45F11">
              <w:rPr>
                <w:rFonts w:cstheme="majorBidi"/>
              </w:rPr>
              <w:t>Delivered a proof-of-concept data asset and analysis of the size, characteristics and changes over time of the Victorian community services workforce, utilising the Australian Bureau of Statistics’ Person Level Integrated Data Asset (PLIDA) dataset</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0C397497" w14:textId="27841E37" w:rsidR="00DC25DC" w:rsidRPr="00F45F11" w:rsidRDefault="00DC25DC" w:rsidP="009817E6">
            <w:pPr>
              <w:pStyle w:val="ARTabletext"/>
              <w:rPr>
                <w:rFonts w:cstheme="majorBidi"/>
              </w:rPr>
            </w:pPr>
            <w:r w:rsidRPr="00F45F11">
              <w:rPr>
                <w:rFonts w:cstheme="majorBidi"/>
              </w:rPr>
              <w:t xml:space="preserve">June 2024 </w:t>
            </w:r>
            <w:r w:rsidR="008B23F2" w:rsidRPr="00F45F11">
              <w:rPr>
                <w:rFonts w:cstheme="majorBidi"/>
              </w:rPr>
              <w:t>to</w:t>
            </w:r>
            <w:r w:rsidRPr="00F45F11">
              <w:rPr>
                <w:rFonts w:cstheme="majorBidi"/>
              </w:rPr>
              <w:t xml:space="preserve"> Mar</w:t>
            </w:r>
            <w:r w:rsidR="008B23F2" w:rsidRPr="00F45F11">
              <w:rPr>
                <w:rFonts w:cstheme="majorBidi"/>
              </w:rPr>
              <w:t>ch</w:t>
            </w:r>
            <w:r w:rsidRPr="00F45F11">
              <w:rPr>
                <w:rFonts w:cstheme="majorBidi"/>
              </w:rPr>
              <w:t xml:space="preserve"> 2026</w:t>
            </w:r>
          </w:p>
        </w:tc>
        <w:tc>
          <w:tcPr>
            <w:tcW w:w="779" w:type="pct"/>
            <w:tcMar>
              <w:left w:w="113" w:type="dxa"/>
            </w:tcMar>
          </w:tcPr>
          <w:p w14:paraId="133A8B5E" w14:textId="5CD4BBEC"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rFonts w:cstheme="majorBidi"/>
              </w:rPr>
            </w:pPr>
            <w:r w:rsidRPr="00F45F11">
              <w:rPr>
                <w:rFonts w:cstheme="majorBidi"/>
              </w:rPr>
              <w:t>Final report on the community services workforce in Victoria, including themed data analysis and figures</w:t>
            </w:r>
          </w:p>
        </w:tc>
        <w:tc>
          <w:tcPr>
            <w:cnfStyle w:val="000001000000" w:firstRow="0" w:lastRow="0" w:firstColumn="0" w:lastColumn="0" w:oddVBand="0" w:evenVBand="1" w:oddHBand="0" w:evenHBand="0" w:firstRowFirstColumn="0" w:firstRowLastColumn="0" w:lastRowFirstColumn="0" w:lastRowLastColumn="0"/>
            <w:tcW w:w="438" w:type="pct"/>
          </w:tcPr>
          <w:p w14:paraId="480145B4" w14:textId="77777777" w:rsidR="00DC25DC" w:rsidRPr="00F45F11" w:rsidRDefault="00DC25DC" w:rsidP="009817E6">
            <w:pPr>
              <w:pStyle w:val="ARtabletextright"/>
              <w:rPr>
                <w:rFonts w:cstheme="majorBidi"/>
              </w:rPr>
            </w:pPr>
            <w:r w:rsidRPr="00F45F11">
              <w:rPr>
                <w:rFonts w:cstheme="majorBidi"/>
              </w:rPr>
              <w:t>22</w:t>
            </w:r>
          </w:p>
        </w:tc>
        <w:tc>
          <w:tcPr>
            <w:tcW w:w="437" w:type="pct"/>
          </w:tcPr>
          <w:p w14:paraId="73DBD8D6"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rFonts w:cstheme="majorBidi"/>
              </w:rPr>
            </w:pPr>
            <w:r w:rsidRPr="00F45F11">
              <w:rPr>
                <w:rFonts w:cstheme="majorBidi"/>
              </w:rPr>
              <w:t>65</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1A306EF8" w14:textId="0A6D4D32" w:rsidR="00DC25DC" w:rsidRPr="00F45F11" w:rsidRDefault="00DC25DC" w:rsidP="00F8411B">
            <w:pPr>
              <w:pStyle w:val="ARTabletext"/>
              <w:jc w:val="right"/>
              <w:rPr>
                <w:rFonts w:cstheme="majorBidi"/>
              </w:rPr>
            </w:pPr>
            <w:r w:rsidRPr="00F45F11">
              <w:rPr>
                <w:rFonts w:cstheme="majorBidi"/>
              </w:rPr>
              <w:t>N</w:t>
            </w:r>
            <w:r w:rsidR="00840BF9" w:rsidRPr="00F45F11">
              <w:rPr>
                <w:rFonts w:cstheme="majorBidi"/>
              </w:rPr>
              <w:t xml:space="preserve"> – t</w:t>
            </w:r>
            <w:r w:rsidRPr="00F45F11">
              <w:rPr>
                <w:rFonts w:cstheme="majorBidi"/>
              </w:rPr>
              <w:t>he report is not currently published. It may be released to stakeholders or the public in the future</w:t>
            </w:r>
          </w:p>
        </w:tc>
      </w:tr>
      <w:tr w:rsidR="00DC25DC" w:rsidRPr="00F45F11" w14:paraId="488E3888" w14:textId="77777777" w:rsidTr="00566B8E">
        <w:trPr>
          <w:trHeight w:val="20"/>
        </w:trPr>
        <w:tc>
          <w:tcPr>
            <w:tcW w:w="584" w:type="pct"/>
          </w:tcPr>
          <w:p w14:paraId="499A538F" w14:textId="45CB4888" w:rsidR="00DC25DC" w:rsidRPr="00F45F11" w:rsidRDefault="00DC25DC" w:rsidP="009817E6">
            <w:pPr>
              <w:pStyle w:val="ARTabletext"/>
            </w:pPr>
            <w:r w:rsidRPr="00F45F11">
              <w:t>Evaluation of programs funded through</w:t>
            </w:r>
            <w:r w:rsidR="008B23F2" w:rsidRPr="00F45F11">
              <w:t xml:space="preserve"> the</w:t>
            </w:r>
            <w:r w:rsidRPr="00F45F11">
              <w:t xml:space="preserve"> </w:t>
            </w:r>
            <w:r w:rsidRPr="00A124D1">
              <w:rPr>
                <w:rStyle w:val="Emphasis"/>
              </w:rPr>
              <w:t xml:space="preserve">Investing </w:t>
            </w:r>
            <w:r w:rsidR="008B23F2" w:rsidRPr="00A124D1">
              <w:rPr>
                <w:rStyle w:val="Emphasis"/>
              </w:rPr>
              <w:t>E</w:t>
            </w:r>
            <w:r w:rsidRPr="00A124D1">
              <w:rPr>
                <w:rStyle w:val="Emphasis"/>
              </w:rPr>
              <w:t xml:space="preserve">arly in </w:t>
            </w:r>
            <w:r w:rsidR="008B23F2" w:rsidRPr="00A124D1">
              <w:rPr>
                <w:rStyle w:val="Emphasis"/>
              </w:rPr>
              <w:t>Y</w:t>
            </w:r>
            <w:r w:rsidRPr="00A124D1">
              <w:rPr>
                <w:rStyle w:val="Emphasis"/>
              </w:rPr>
              <w:t>oung Victorians</w:t>
            </w:r>
            <w:r w:rsidRPr="00353B33">
              <w:rPr>
                <w:rStyle w:val="Emphasis"/>
                <w:i w:val="0"/>
              </w:rPr>
              <w:t xml:space="preserve"> package</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40847A41" w14:textId="185C282B" w:rsidR="00DC25DC" w:rsidRPr="00F45F11" w:rsidRDefault="00DC25DC" w:rsidP="009817E6">
            <w:pPr>
              <w:pStyle w:val="ARTabletext"/>
            </w:pPr>
            <w:r w:rsidRPr="00F45F11">
              <w:t>To meet lapsing program evaluation requirements and inform future funding</w:t>
            </w:r>
            <w:r w:rsidR="003F6786">
              <w:t> </w:t>
            </w:r>
            <w:r w:rsidRPr="00F45F11">
              <w:t>consideration</w:t>
            </w:r>
          </w:p>
        </w:tc>
        <w:tc>
          <w:tcPr>
            <w:tcW w:w="900" w:type="pct"/>
            <w:tcMar>
              <w:left w:w="113" w:type="dxa"/>
            </w:tcMar>
          </w:tcPr>
          <w:p w14:paraId="3552D945" w14:textId="1E371E94"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Evaluate programs’ appropriateness, effectiveness, efficiency and impacts, and identify continuous improvement opportunities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4665F4BF" w14:textId="39322B96" w:rsidR="00DC25DC" w:rsidRPr="00F45F11" w:rsidRDefault="00DC25DC" w:rsidP="009817E6">
            <w:pPr>
              <w:pStyle w:val="ARTabletext"/>
            </w:pPr>
            <w:r w:rsidRPr="00F45F11">
              <w:t>Dec</w:t>
            </w:r>
            <w:r w:rsidR="008B23F2" w:rsidRPr="00F45F11">
              <w:t>ember</w:t>
            </w:r>
            <w:r w:rsidRPr="00F45F11">
              <w:t xml:space="preserve"> 2025 </w:t>
            </w:r>
            <w:r w:rsidR="008B23F2" w:rsidRPr="00F45F11">
              <w:t>to</w:t>
            </w:r>
            <w:r w:rsidRPr="00F45F11">
              <w:t xml:space="preserve"> Aug</w:t>
            </w:r>
            <w:r w:rsidR="008B23F2" w:rsidRPr="00F45F11">
              <w:t>ust</w:t>
            </w:r>
            <w:r w:rsidRPr="00F45F11">
              <w:t xml:space="preserve"> 2026</w:t>
            </w:r>
          </w:p>
        </w:tc>
        <w:tc>
          <w:tcPr>
            <w:tcW w:w="779" w:type="pct"/>
            <w:tcMar>
              <w:left w:w="113" w:type="dxa"/>
            </w:tcMar>
          </w:tcPr>
          <w:p w14:paraId="506B2491"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 xml:space="preserve">Data and insights summaries and evaluation reports, consisting of key findings, cost–benefit analysis of investment and recommendations for improvements </w:t>
            </w:r>
          </w:p>
        </w:tc>
        <w:tc>
          <w:tcPr>
            <w:cnfStyle w:val="000001000000" w:firstRow="0" w:lastRow="0" w:firstColumn="0" w:lastColumn="0" w:oddVBand="0" w:evenVBand="1" w:oddHBand="0" w:evenHBand="0" w:firstRowFirstColumn="0" w:firstRowLastColumn="0" w:lastRowFirstColumn="0" w:lastRowLastColumn="0"/>
            <w:tcW w:w="438" w:type="pct"/>
          </w:tcPr>
          <w:p w14:paraId="3966BF12" w14:textId="77777777" w:rsidR="00DC25DC" w:rsidRPr="00F45F11" w:rsidRDefault="00DC25DC" w:rsidP="009817E6">
            <w:pPr>
              <w:pStyle w:val="ARtabletextright"/>
              <w:rPr>
                <w:color w:val="000000" w:themeColor="text1"/>
              </w:rPr>
            </w:pPr>
            <w:r w:rsidRPr="00F45F11">
              <w:rPr>
                <w:color w:val="000000"/>
              </w:rPr>
              <w:t>155</w:t>
            </w:r>
          </w:p>
        </w:tc>
        <w:tc>
          <w:tcPr>
            <w:tcW w:w="437" w:type="pct"/>
          </w:tcPr>
          <w:p w14:paraId="35BCDAB3"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233</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1E5BF337" w14:textId="48BEC028" w:rsidR="00DC25DC" w:rsidRPr="00F45F11" w:rsidRDefault="00DC25DC" w:rsidP="00F8411B">
            <w:pPr>
              <w:pStyle w:val="ARTabletext"/>
              <w:jc w:val="right"/>
              <w:rPr>
                <w:color w:val="000000" w:themeColor="text1"/>
              </w:rPr>
            </w:pPr>
            <w:r w:rsidRPr="00F45F11">
              <w:rPr>
                <w:color w:val="000000" w:themeColor="text1"/>
              </w:rPr>
              <w:t>N</w:t>
            </w:r>
            <w:r w:rsidR="00840BF9" w:rsidRPr="00F45F11">
              <w:rPr>
                <w:color w:val="000000" w:themeColor="text1"/>
              </w:rPr>
              <w:t xml:space="preserve"> – </w:t>
            </w:r>
            <w:r w:rsidRPr="00F45F11">
              <w:rPr>
                <w:color w:val="000000" w:themeColor="text1"/>
              </w:rPr>
              <w:t>Cabinet</w:t>
            </w:r>
            <w:r w:rsidR="00840BF9" w:rsidRPr="00F45F11">
              <w:rPr>
                <w:color w:val="000000" w:themeColor="text1"/>
              </w:rPr>
              <w:t>-</w:t>
            </w:r>
            <w:r w:rsidRPr="00F45F11">
              <w:rPr>
                <w:color w:val="000000" w:themeColor="text1"/>
              </w:rPr>
              <w:t>in</w:t>
            </w:r>
            <w:r w:rsidR="00840BF9" w:rsidRPr="00F45F11">
              <w:rPr>
                <w:color w:val="000000" w:themeColor="text1"/>
              </w:rPr>
              <w:t>-</w:t>
            </w:r>
            <w:r w:rsidRPr="00F45F11">
              <w:rPr>
                <w:color w:val="000000" w:themeColor="text1"/>
              </w:rPr>
              <w:t>confidence</w:t>
            </w:r>
          </w:p>
        </w:tc>
      </w:tr>
      <w:tr w:rsidR="00DC25DC" w:rsidRPr="00F45F11" w14:paraId="6E3ADAE7" w14:textId="77777777" w:rsidTr="00566B8E">
        <w:trPr>
          <w:trHeight w:val="20"/>
        </w:trPr>
        <w:tc>
          <w:tcPr>
            <w:tcW w:w="584" w:type="pct"/>
          </w:tcPr>
          <w:p w14:paraId="131B920D" w14:textId="77777777" w:rsidR="00DC25DC" w:rsidRPr="00F45F11" w:rsidRDefault="00DC25DC" w:rsidP="009817E6">
            <w:pPr>
              <w:pStyle w:val="ARTabletext"/>
            </w:pPr>
            <w:r w:rsidRPr="00F45F11">
              <w:t>Evaluation of the Multiple and Complex Needs Initiative (MACNI) and Support for High-Risk Tenancies (</w:t>
            </w:r>
            <w:proofErr w:type="spellStart"/>
            <w:r w:rsidRPr="00F45F11">
              <w:t>SfHRT</w:t>
            </w:r>
            <w:proofErr w:type="spellEnd"/>
            <w:r w:rsidRPr="00F45F11">
              <w:t>) programs</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23BEABA1" w14:textId="55543040" w:rsidR="00DC25DC" w:rsidRPr="00F45F11" w:rsidRDefault="00DC25DC" w:rsidP="009817E6">
            <w:pPr>
              <w:pStyle w:val="ARTabletext"/>
            </w:pPr>
            <w:r w:rsidRPr="00F45F11">
              <w:t xml:space="preserve">Evaluating the MACNI and </w:t>
            </w:r>
            <w:proofErr w:type="spellStart"/>
            <w:r w:rsidRPr="00F45F11">
              <w:t>SfHRT</w:t>
            </w:r>
            <w:proofErr w:type="spellEnd"/>
            <w:r w:rsidRPr="00F45F11">
              <w:t xml:space="preserve"> programs is required due to considerable changes since these programs’ inception. The complexity and demand for services have increased amid tighter fiscal conditions</w:t>
            </w:r>
            <w:r w:rsidR="008B23F2" w:rsidRPr="00F45F11">
              <w:t>.</w:t>
            </w:r>
          </w:p>
        </w:tc>
        <w:tc>
          <w:tcPr>
            <w:tcW w:w="900" w:type="pct"/>
            <w:tcMar>
              <w:left w:w="113" w:type="dxa"/>
            </w:tcMar>
          </w:tcPr>
          <w:p w14:paraId="64CB0E16" w14:textId="58DEA841"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 xml:space="preserve">A holistic assessment of the effectiveness of MACNI and </w:t>
            </w:r>
            <w:proofErr w:type="spellStart"/>
            <w:r w:rsidRPr="00F45F11">
              <w:t>SfHRT</w:t>
            </w:r>
            <w:proofErr w:type="spellEnd"/>
            <w:r w:rsidRPr="00F45F11">
              <w:t>, determining if the programs are delivering on their intended outcomes and how they could be improved, an assessment of program efficiency, including through a cost–benefit assessment that can support future business cases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5CE85096" w14:textId="783848AB" w:rsidR="00DC25DC" w:rsidRPr="00F45F11" w:rsidRDefault="00DC25DC" w:rsidP="009817E6">
            <w:pPr>
              <w:pStyle w:val="ARTabletext"/>
            </w:pPr>
            <w:r w:rsidRPr="00F45F11">
              <w:rPr>
                <w:color w:val="000000" w:themeColor="text1"/>
              </w:rPr>
              <w:t>Dec</w:t>
            </w:r>
            <w:r w:rsidR="008B23F2" w:rsidRPr="00F45F11">
              <w:rPr>
                <w:color w:val="000000" w:themeColor="text1"/>
              </w:rPr>
              <w:t>ember</w:t>
            </w:r>
            <w:r w:rsidRPr="00F45F11">
              <w:rPr>
                <w:color w:val="000000" w:themeColor="text1"/>
              </w:rPr>
              <w:t xml:space="preserve"> 2024 </w:t>
            </w:r>
            <w:r w:rsidR="008B23F2" w:rsidRPr="00F45F11">
              <w:rPr>
                <w:color w:val="000000" w:themeColor="text1"/>
              </w:rPr>
              <w:t>to</w:t>
            </w:r>
            <w:r w:rsidRPr="00F45F11">
              <w:rPr>
                <w:color w:val="000000" w:themeColor="text1"/>
              </w:rPr>
              <w:t xml:space="preserve"> Dec</w:t>
            </w:r>
            <w:r w:rsidR="008B23F2" w:rsidRPr="00F45F11">
              <w:rPr>
                <w:color w:val="000000" w:themeColor="text1"/>
              </w:rPr>
              <w:t>ember</w:t>
            </w:r>
            <w:r w:rsidRPr="00F45F11">
              <w:rPr>
                <w:color w:val="000000" w:themeColor="text1"/>
              </w:rPr>
              <w:t xml:space="preserve"> 2025 </w:t>
            </w:r>
          </w:p>
        </w:tc>
        <w:tc>
          <w:tcPr>
            <w:tcW w:w="779" w:type="pct"/>
            <w:tcMar>
              <w:left w:w="113" w:type="dxa"/>
            </w:tcMar>
          </w:tcPr>
          <w:p w14:paraId="5768683A"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 xml:space="preserve">Two progress reports and one final report on the appropriateness and effectiveness of MACNI and </w:t>
            </w:r>
            <w:proofErr w:type="spellStart"/>
            <w:r w:rsidRPr="00F45F11">
              <w:t>SfHRT</w:t>
            </w:r>
            <w:proofErr w:type="spellEnd"/>
            <w:r w:rsidRPr="00F45F11">
              <w:t>, with recommendations on how the programs could be improved to align with the current/future operating environment</w:t>
            </w:r>
          </w:p>
        </w:tc>
        <w:tc>
          <w:tcPr>
            <w:cnfStyle w:val="000001000000" w:firstRow="0" w:lastRow="0" w:firstColumn="0" w:lastColumn="0" w:oddVBand="0" w:evenVBand="1" w:oddHBand="0" w:evenHBand="0" w:firstRowFirstColumn="0" w:firstRowLastColumn="0" w:lastRowFirstColumn="0" w:lastRowLastColumn="0"/>
            <w:tcW w:w="438" w:type="pct"/>
          </w:tcPr>
          <w:p w14:paraId="5B735BD3" w14:textId="77777777" w:rsidR="00DC25DC" w:rsidRPr="00F45F11" w:rsidRDefault="00DC25DC" w:rsidP="009817E6">
            <w:pPr>
              <w:pStyle w:val="ARtabletextright"/>
              <w:rPr>
                <w:color w:val="000000" w:themeColor="text1"/>
              </w:rPr>
            </w:pPr>
            <w:r w:rsidRPr="00F45F11">
              <w:rPr>
                <w:color w:val="000000"/>
              </w:rPr>
              <w:t>185</w:t>
            </w:r>
          </w:p>
        </w:tc>
        <w:tc>
          <w:tcPr>
            <w:tcW w:w="437" w:type="pct"/>
          </w:tcPr>
          <w:p w14:paraId="739696EC"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288</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02B82A49" w14:textId="3F0FD884" w:rsidR="00DC25DC" w:rsidRPr="00F45F11" w:rsidRDefault="00DC25DC" w:rsidP="00F8411B">
            <w:pPr>
              <w:pStyle w:val="ARTabletext"/>
              <w:jc w:val="right"/>
              <w:rPr>
                <w:color w:val="000000" w:themeColor="text1"/>
              </w:rPr>
            </w:pPr>
            <w:r w:rsidRPr="00F45F11">
              <w:rPr>
                <w:color w:val="000000"/>
              </w:rPr>
              <w:t>N</w:t>
            </w:r>
            <w:r w:rsidR="00840BF9" w:rsidRPr="00F45F11">
              <w:rPr>
                <w:color w:val="000000"/>
              </w:rPr>
              <w:t xml:space="preserve"> – d</w:t>
            </w:r>
            <w:r w:rsidRPr="00F45F11">
              <w:rPr>
                <w:color w:val="000000"/>
              </w:rPr>
              <w:t>ue to use of linked data</w:t>
            </w:r>
            <w:r w:rsidR="008B23F2" w:rsidRPr="00F45F11">
              <w:rPr>
                <w:color w:val="000000"/>
              </w:rPr>
              <w:t>,</w:t>
            </w:r>
            <w:r w:rsidRPr="00F45F11">
              <w:rPr>
                <w:color w:val="000000"/>
              </w:rPr>
              <w:t xml:space="preserve"> multiple ethics thresholds need to be met prior to publishing</w:t>
            </w:r>
          </w:p>
        </w:tc>
      </w:tr>
      <w:tr w:rsidR="00DC25DC" w:rsidRPr="00F45F11" w14:paraId="7999B23F" w14:textId="77777777" w:rsidTr="00566B8E">
        <w:trPr>
          <w:trHeight w:val="20"/>
        </w:trPr>
        <w:tc>
          <w:tcPr>
            <w:tcW w:w="584" w:type="pct"/>
          </w:tcPr>
          <w:p w14:paraId="62ECCC73" w14:textId="77777777" w:rsidR="00DC25DC" w:rsidRPr="00F45F11" w:rsidRDefault="00DC25DC" w:rsidP="009817E6">
            <w:pPr>
              <w:pStyle w:val="ARTabletext"/>
            </w:pPr>
            <w:r w:rsidRPr="00F45F11">
              <w:t>Evaluation of Forensic Disability Services</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316C445A" w14:textId="6A379FFA" w:rsidR="00DC25DC" w:rsidRPr="00F45F11" w:rsidRDefault="00DC25DC" w:rsidP="009817E6">
            <w:pPr>
              <w:pStyle w:val="ARTabletext"/>
            </w:pPr>
            <w:r w:rsidRPr="00F45F11">
              <w:t>To review the appropriateness, effectiveness and efficiency</w:t>
            </w:r>
            <w:r w:rsidR="00D1151F">
              <w:t> </w:t>
            </w:r>
            <w:r w:rsidRPr="00F45F11">
              <w:t>of Forensic Disability</w:t>
            </w:r>
            <w:r w:rsidR="003F6786">
              <w:t> </w:t>
            </w:r>
            <w:r w:rsidRPr="00F45F11">
              <w:t>Services</w:t>
            </w:r>
          </w:p>
        </w:tc>
        <w:tc>
          <w:tcPr>
            <w:tcW w:w="900" w:type="pct"/>
            <w:tcMar>
              <w:left w:w="113" w:type="dxa"/>
            </w:tcMar>
          </w:tcPr>
          <w:p w14:paraId="2186EBBE"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Forensic Disability Services delivered in Victoria</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500E9098" w14:textId="2BF352C4" w:rsidR="00DC25DC" w:rsidRPr="00F45F11" w:rsidRDefault="00DC25DC" w:rsidP="009817E6">
            <w:pPr>
              <w:pStyle w:val="ARTabletext"/>
            </w:pPr>
            <w:r w:rsidRPr="00F45F11">
              <w:t>May 2025</w:t>
            </w:r>
            <w:r w:rsidR="008B23F2" w:rsidRPr="00F45F11">
              <w:t xml:space="preserve"> </w:t>
            </w:r>
            <w:r w:rsidR="00F8411B">
              <w:br/>
            </w:r>
            <w:r w:rsidR="008B23F2" w:rsidRPr="00F45F11">
              <w:t xml:space="preserve">to </w:t>
            </w:r>
            <w:r w:rsidRPr="00F45F11">
              <w:t xml:space="preserve">April 2026 </w:t>
            </w:r>
          </w:p>
        </w:tc>
        <w:tc>
          <w:tcPr>
            <w:tcW w:w="779" w:type="pct"/>
            <w:tcMar>
              <w:left w:w="113" w:type="dxa"/>
            </w:tcMar>
          </w:tcPr>
          <w:p w14:paraId="59CDF660"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A final report outlining what is working well within Forensic Disability Services and identifying future opportunities for improvement</w:t>
            </w:r>
          </w:p>
        </w:tc>
        <w:tc>
          <w:tcPr>
            <w:cnfStyle w:val="000001000000" w:firstRow="0" w:lastRow="0" w:firstColumn="0" w:lastColumn="0" w:oddVBand="0" w:evenVBand="1" w:oddHBand="0" w:evenHBand="0" w:firstRowFirstColumn="0" w:firstRowLastColumn="0" w:lastRowFirstColumn="0" w:lastRowLastColumn="0"/>
            <w:tcW w:w="438" w:type="pct"/>
          </w:tcPr>
          <w:p w14:paraId="4D71B4F0" w14:textId="77777777" w:rsidR="00DC25DC" w:rsidRPr="00F45F11" w:rsidRDefault="00DC25DC" w:rsidP="009817E6">
            <w:pPr>
              <w:pStyle w:val="ARtabletextright"/>
              <w:rPr>
                <w:color w:val="000000" w:themeColor="text1"/>
              </w:rPr>
            </w:pPr>
            <w:r w:rsidRPr="00F45F11">
              <w:rPr>
                <w:color w:val="000000"/>
              </w:rPr>
              <w:t>110</w:t>
            </w:r>
          </w:p>
        </w:tc>
        <w:tc>
          <w:tcPr>
            <w:tcW w:w="437" w:type="pct"/>
          </w:tcPr>
          <w:p w14:paraId="1E3742E4"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210</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356EE025" w14:textId="4FB05D21" w:rsidR="00DC25DC" w:rsidRPr="00F45F11" w:rsidRDefault="00DC25DC" w:rsidP="00F8411B">
            <w:pPr>
              <w:pStyle w:val="ARTabletext"/>
              <w:jc w:val="right"/>
              <w:rPr>
                <w:color w:val="000000" w:themeColor="text1"/>
              </w:rPr>
            </w:pPr>
            <w:r w:rsidRPr="00F45F11">
              <w:rPr>
                <w:color w:val="000000"/>
              </w:rPr>
              <w:t>N</w:t>
            </w:r>
            <w:r w:rsidR="00840BF9" w:rsidRPr="00F45F11">
              <w:rPr>
                <w:color w:val="000000"/>
              </w:rPr>
              <w:t xml:space="preserve"> – c</w:t>
            </w:r>
            <w:r w:rsidR="008B23F2" w:rsidRPr="00F45F11">
              <w:rPr>
                <w:color w:val="000000"/>
              </w:rPr>
              <w:t>ontains s</w:t>
            </w:r>
            <w:r w:rsidRPr="00F45F11">
              <w:rPr>
                <w:color w:val="000000"/>
              </w:rPr>
              <w:t>ensitive client information that cannot be made</w:t>
            </w:r>
            <w:r w:rsidR="003F6786">
              <w:rPr>
                <w:color w:val="000000"/>
              </w:rPr>
              <w:t> </w:t>
            </w:r>
            <w:r w:rsidRPr="00F45F11">
              <w:rPr>
                <w:color w:val="000000"/>
              </w:rPr>
              <w:t>public</w:t>
            </w:r>
          </w:p>
        </w:tc>
      </w:tr>
      <w:tr w:rsidR="00DC25DC" w:rsidRPr="00F45F11" w14:paraId="68C91DAD" w14:textId="77777777" w:rsidTr="00566B8E">
        <w:trPr>
          <w:trHeight w:val="20"/>
        </w:trPr>
        <w:tc>
          <w:tcPr>
            <w:tcW w:w="584" w:type="pct"/>
          </w:tcPr>
          <w:p w14:paraId="18580DAE" w14:textId="368E9911" w:rsidR="00DC25DC" w:rsidRPr="00F45F11" w:rsidRDefault="00DC25DC" w:rsidP="009817E6">
            <w:pPr>
              <w:pStyle w:val="ARTabletext"/>
            </w:pPr>
            <w:r w:rsidRPr="00F45F11">
              <w:t xml:space="preserve">Strengthening </w:t>
            </w:r>
            <w:r w:rsidR="008B23F2" w:rsidRPr="00F45F11">
              <w:t>C</w:t>
            </w:r>
            <w:r w:rsidRPr="00F45F11">
              <w:t xml:space="preserve">ultural </w:t>
            </w:r>
            <w:r w:rsidR="008B23F2" w:rsidRPr="00F45F11">
              <w:t>S</w:t>
            </w:r>
            <w:r w:rsidRPr="00F45F11">
              <w:t xml:space="preserve">afety in The Orange Door </w:t>
            </w:r>
            <w:r w:rsidR="008B23F2" w:rsidRPr="00F45F11">
              <w:t>e</w:t>
            </w:r>
            <w:r w:rsidRPr="00F45F11">
              <w:t xml:space="preserve">valuation and </w:t>
            </w:r>
            <w:r w:rsidR="008B23F2" w:rsidRPr="00F45F11">
              <w:t>r</w:t>
            </w:r>
            <w:r w:rsidRPr="00F45F11">
              <w:t xml:space="preserve">ecommendations: </w:t>
            </w:r>
            <w:r w:rsidR="008B23F2" w:rsidRPr="00F45F11">
              <w:t>f</w:t>
            </w:r>
            <w:r w:rsidRPr="00F45F11">
              <w:t xml:space="preserve">inal </w:t>
            </w:r>
            <w:r w:rsidR="008B23F2" w:rsidRPr="00F45F11">
              <w:t>r</w:t>
            </w:r>
            <w:r w:rsidRPr="00F45F11">
              <w:t>eport</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05118A2E" w14:textId="77777777" w:rsidR="00DC25DC" w:rsidRPr="00F45F11" w:rsidRDefault="00DC25DC" w:rsidP="009817E6">
            <w:pPr>
              <w:pStyle w:val="ARTabletext"/>
            </w:pPr>
            <w:r w:rsidRPr="00F45F11">
              <w:t>To evaluate the impact of the Strengthening Cultural Safety in The Orange Door project</w:t>
            </w:r>
          </w:p>
        </w:tc>
        <w:tc>
          <w:tcPr>
            <w:tcW w:w="900" w:type="pct"/>
            <w:tcMar>
              <w:left w:w="113" w:type="dxa"/>
            </w:tcMar>
          </w:tcPr>
          <w:p w14:paraId="5A60DDC1" w14:textId="77777777" w:rsidR="00D14C50"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Assess how cultural safety has been strengthened in The Orange Door network since the project’s inception in 2021</w:t>
            </w:r>
          </w:p>
          <w:p w14:paraId="0CEEC282" w14:textId="64B64F14"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Identify opportunities to embed cultural safety more deeply and sustainably across all sites and partner organisations and consider alternative or complementary models for delivering and maintaining cultural safety in the future</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3EA8A6C1" w14:textId="30BAF57B" w:rsidR="00DC25DC" w:rsidRPr="00F45F11" w:rsidRDefault="00DC25DC" w:rsidP="009817E6">
            <w:pPr>
              <w:pStyle w:val="ARTabletext"/>
            </w:pPr>
            <w:r w:rsidRPr="00F45F11">
              <w:t xml:space="preserve">November 2025 </w:t>
            </w:r>
            <w:r w:rsidR="009E6E55" w:rsidRPr="00F45F11">
              <w:t>to</w:t>
            </w:r>
            <w:r w:rsidRPr="00F45F11">
              <w:t xml:space="preserve"> </w:t>
            </w:r>
            <w:r w:rsidR="00F8411B">
              <w:br/>
            </w:r>
            <w:r w:rsidRPr="00F45F11">
              <w:t>June 2026</w:t>
            </w:r>
          </w:p>
        </w:tc>
        <w:tc>
          <w:tcPr>
            <w:tcW w:w="779" w:type="pct"/>
            <w:tcMar>
              <w:left w:w="113" w:type="dxa"/>
            </w:tcMar>
          </w:tcPr>
          <w:p w14:paraId="6712166C" w14:textId="6C0E9976"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Embed cultural safety as core business within The Orange Door, strengthening governance and accountability, improving consistency and efficiency of delivery, and supporting sustained practice change over time</w:t>
            </w:r>
          </w:p>
        </w:tc>
        <w:tc>
          <w:tcPr>
            <w:cnfStyle w:val="000001000000" w:firstRow="0" w:lastRow="0" w:firstColumn="0" w:lastColumn="0" w:oddVBand="0" w:evenVBand="1" w:oddHBand="0" w:evenHBand="0" w:firstRowFirstColumn="0" w:firstRowLastColumn="0" w:lastRowFirstColumn="0" w:lastRowLastColumn="0"/>
            <w:tcW w:w="438" w:type="pct"/>
          </w:tcPr>
          <w:p w14:paraId="3BF3250C" w14:textId="77777777" w:rsidR="00DC25DC" w:rsidRPr="00F45F11" w:rsidRDefault="00DC25DC" w:rsidP="009817E6">
            <w:pPr>
              <w:pStyle w:val="ARtabletextright"/>
              <w:rPr>
                <w:color w:val="000000" w:themeColor="text1"/>
              </w:rPr>
            </w:pPr>
            <w:r w:rsidRPr="00F45F11">
              <w:rPr>
                <w:color w:val="000000"/>
              </w:rPr>
              <w:t>196</w:t>
            </w:r>
          </w:p>
        </w:tc>
        <w:tc>
          <w:tcPr>
            <w:tcW w:w="437" w:type="pct"/>
          </w:tcPr>
          <w:p w14:paraId="79E101D7"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196</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3F598827" w14:textId="40CEFDC2" w:rsidR="00DC25DC" w:rsidRPr="00F45F11" w:rsidRDefault="00DC25DC" w:rsidP="00F8411B">
            <w:pPr>
              <w:pStyle w:val="ARTabletext"/>
              <w:jc w:val="right"/>
              <w:rPr>
                <w:color w:val="000000" w:themeColor="text1"/>
              </w:rPr>
            </w:pPr>
            <w:r w:rsidRPr="00F45F11">
              <w:rPr>
                <w:color w:val="000000"/>
              </w:rPr>
              <w:t>Y</w:t>
            </w:r>
            <w:r w:rsidR="00840BF9" w:rsidRPr="00F45F11">
              <w:rPr>
                <w:color w:val="000000"/>
              </w:rPr>
              <w:t xml:space="preserve"> – r</w:t>
            </w:r>
            <w:r w:rsidRPr="00F45F11">
              <w:rPr>
                <w:color w:val="000000"/>
              </w:rPr>
              <w:t xml:space="preserve">eleased to The Orange Door partner agencies in Aug 2026 </w:t>
            </w:r>
          </w:p>
        </w:tc>
      </w:tr>
      <w:tr w:rsidR="00DC25DC" w:rsidRPr="00F45F11" w14:paraId="09194EDA" w14:textId="77777777" w:rsidTr="00566B8E">
        <w:trPr>
          <w:trHeight w:val="20"/>
        </w:trPr>
        <w:tc>
          <w:tcPr>
            <w:tcW w:w="584" w:type="pct"/>
          </w:tcPr>
          <w:p w14:paraId="06846A11" w14:textId="77777777" w:rsidR="00DC25DC" w:rsidRPr="00F45F11" w:rsidRDefault="00DC25DC" w:rsidP="009817E6">
            <w:pPr>
              <w:pStyle w:val="ARTabletext"/>
            </w:pPr>
            <w:r w:rsidRPr="00F45F11">
              <w:t>Child and young person-focused MARAM tool development</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20E5B717" w14:textId="77777777" w:rsidR="00DC25DC" w:rsidRPr="00F45F11" w:rsidRDefault="00DC25DC" w:rsidP="009817E6">
            <w:pPr>
              <w:pStyle w:val="ARTabletext"/>
            </w:pPr>
            <w:r w:rsidRPr="00F45F11">
              <w:t xml:space="preserve">Development of new family violence risk and wellbeing identification and assessment tools to complement new practice guidance </w:t>
            </w:r>
          </w:p>
        </w:tc>
        <w:tc>
          <w:tcPr>
            <w:tcW w:w="900" w:type="pct"/>
            <w:tcMar>
              <w:left w:w="113" w:type="dxa"/>
            </w:tcMar>
          </w:tcPr>
          <w:p w14:paraId="27ADA794" w14:textId="11623021"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Undertake a literature review of current evidence base. Undertake a Delphi study to reach consensus on wellbeing and family violence risk factors to include across the range of tools developed, as well as design of tools. Provide Family Safety Victoria with a final report documenting the research and findings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4C029169" w14:textId="0F684614" w:rsidR="00DC25DC" w:rsidRPr="00F45F11" w:rsidRDefault="00DC25DC" w:rsidP="009817E6">
            <w:pPr>
              <w:pStyle w:val="ARTabletext"/>
            </w:pPr>
            <w:r w:rsidRPr="00F45F11">
              <w:t xml:space="preserve">May 2023 </w:t>
            </w:r>
            <w:r w:rsidR="00F8411B">
              <w:br/>
            </w:r>
            <w:r w:rsidRPr="00F45F11">
              <w:t>to May 2026 (completed)</w:t>
            </w:r>
          </w:p>
        </w:tc>
        <w:tc>
          <w:tcPr>
            <w:tcW w:w="779" w:type="pct"/>
            <w:tcMar>
              <w:left w:w="113" w:type="dxa"/>
            </w:tcMar>
          </w:tcPr>
          <w:p w14:paraId="19914F46" w14:textId="7E1183F2"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Final family violence risk and wellbeing tools for working with children and</w:t>
            </w:r>
            <w:r w:rsidR="00D1151F">
              <w:t> </w:t>
            </w:r>
            <w:r w:rsidRPr="00F45F11">
              <w:t>young people to be</w:t>
            </w:r>
            <w:r w:rsidR="00D1151F">
              <w:t> </w:t>
            </w:r>
            <w:r w:rsidRPr="00F45F11">
              <w:t>published under the MARAM Framework</w:t>
            </w:r>
          </w:p>
        </w:tc>
        <w:tc>
          <w:tcPr>
            <w:cnfStyle w:val="000001000000" w:firstRow="0" w:lastRow="0" w:firstColumn="0" w:lastColumn="0" w:oddVBand="0" w:evenVBand="1" w:oddHBand="0" w:evenHBand="0" w:firstRowFirstColumn="0" w:firstRowLastColumn="0" w:lastRowFirstColumn="0" w:lastRowLastColumn="0"/>
            <w:tcW w:w="438" w:type="pct"/>
          </w:tcPr>
          <w:p w14:paraId="769AFA02" w14:textId="77777777" w:rsidR="00DC25DC" w:rsidRPr="00F45F11" w:rsidRDefault="00DC25DC" w:rsidP="009817E6">
            <w:pPr>
              <w:pStyle w:val="ARtabletextright"/>
              <w:rPr>
                <w:color w:val="000000" w:themeColor="text1"/>
              </w:rPr>
            </w:pPr>
            <w:r w:rsidRPr="00F45F11">
              <w:rPr>
                <w:color w:val="000000"/>
              </w:rPr>
              <w:t>32</w:t>
            </w:r>
          </w:p>
        </w:tc>
        <w:tc>
          <w:tcPr>
            <w:tcW w:w="437" w:type="pct"/>
          </w:tcPr>
          <w:p w14:paraId="327606CE"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224</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2E6C3AD2" w14:textId="7349FD64" w:rsidR="00DC25DC" w:rsidRPr="00F45F11" w:rsidRDefault="00DC25DC" w:rsidP="00F8411B">
            <w:pPr>
              <w:pStyle w:val="ARTabletext"/>
              <w:jc w:val="right"/>
              <w:rPr>
                <w:color w:val="000000" w:themeColor="text1"/>
              </w:rPr>
            </w:pPr>
            <w:r w:rsidRPr="00F45F11">
              <w:rPr>
                <w:color w:val="000000"/>
              </w:rPr>
              <w:t>N</w:t>
            </w:r>
            <w:r w:rsidR="00840BF9" w:rsidRPr="00F45F11">
              <w:rPr>
                <w:color w:val="000000"/>
              </w:rPr>
              <w:t xml:space="preserve"> – t</w:t>
            </w:r>
            <w:r w:rsidRPr="00F45F11">
              <w:rPr>
                <w:color w:val="000000"/>
              </w:rPr>
              <w:t>he report is not currently published. Swinburne may choose to publish in future</w:t>
            </w:r>
          </w:p>
        </w:tc>
      </w:tr>
      <w:tr w:rsidR="00DC25DC" w:rsidRPr="00F45F11" w14:paraId="4FDB6852" w14:textId="77777777" w:rsidTr="00566B8E">
        <w:trPr>
          <w:trHeight w:val="20"/>
        </w:trPr>
        <w:tc>
          <w:tcPr>
            <w:tcW w:w="584" w:type="pct"/>
          </w:tcPr>
          <w:p w14:paraId="2AF2BC64" w14:textId="77777777" w:rsidR="00DC25DC" w:rsidRPr="00F45F11" w:rsidRDefault="00DC25DC" w:rsidP="009817E6">
            <w:pPr>
              <w:pStyle w:val="ARTabletext"/>
            </w:pPr>
            <w:r w:rsidRPr="00F45F11">
              <w:t>Evaluation of the Supporting Young People to Understand Affirmative Consent Program</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3D320ED6" w14:textId="4FD46566" w:rsidR="00DC25DC" w:rsidRPr="00F45F11" w:rsidRDefault="00DC25DC" w:rsidP="009817E6">
            <w:pPr>
              <w:pStyle w:val="ARTabletext"/>
            </w:pPr>
            <w:r w:rsidRPr="00F45F11">
              <w:t>Seeking insights to understand the impact of the</w:t>
            </w:r>
            <w:r w:rsidR="00566B8E">
              <w:t> </w:t>
            </w:r>
            <w:r w:rsidRPr="00F45F11">
              <w:t>program and support decision making about future programs to engage young people and their key influencers in affirmative consent education</w:t>
            </w:r>
          </w:p>
        </w:tc>
        <w:tc>
          <w:tcPr>
            <w:tcW w:w="900" w:type="pct"/>
            <w:tcMar>
              <w:left w:w="113" w:type="dxa"/>
            </w:tcMar>
          </w:tcPr>
          <w:p w14:paraId="446FFEA9" w14:textId="788ADCB0"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To evaluate the appropriateness, efficiency, effectiveness and value for money of the program</w:t>
            </w:r>
          </w:p>
          <w:p w14:paraId="178967D9"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Make recommendations to government on the future of this work</w:t>
            </w:r>
          </w:p>
          <w:p w14:paraId="0D61AA21"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Strengthen the monitoring and evaluation capabilities of funded organisations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76C87399" w14:textId="2E55314D" w:rsidR="00DC25DC" w:rsidRPr="00F45F11" w:rsidRDefault="00DC25DC" w:rsidP="009817E6">
            <w:pPr>
              <w:pStyle w:val="ARTabletext"/>
            </w:pPr>
            <w:r w:rsidRPr="00F45F11">
              <w:t xml:space="preserve">April 2023 </w:t>
            </w:r>
            <w:r w:rsidR="00F8411B">
              <w:br/>
            </w:r>
            <w:r w:rsidR="009E6E55" w:rsidRPr="00F45F11">
              <w:t>to</w:t>
            </w:r>
            <w:r w:rsidRPr="00F45F11">
              <w:t xml:space="preserve"> February 2026 (completed)</w:t>
            </w:r>
          </w:p>
        </w:tc>
        <w:tc>
          <w:tcPr>
            <w:tcW w:w="779" w:type="pct"/>
            <w:tcMar>
              <w:left w:w="113" w:type="dxa"/>
            </w:tcMar>
          </w:tcPr>
          <w:p w14:paraId="75DBE6AC" w14:textId="77777777" w:rsidR="00D14C50"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Strengthened evidence base about what works</w:t>
            </w:r>
          </w:p>
          <w:p w14:paraId="0307BCF5" w14:textId="0241336B"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Findings used to inform future strategic and programmatic directions</w:t>
            </w:r>
          </w:p>
        </w:tc>
        <w:tc>
          <w:tcPr>
            <w:cnfStyle w:val="000001000000" w:firstRow="0" w:lastRow="0" w:firstColumn="0" w:lastColumn="0" w:oddVBand="0" w:evenVBand="1" w:oddHBand="0" w:evenHBand="0" w:firstRowFirstColumn="0" w:firstRowLastColumn="0" w:lastRowFirstColumn="0" w:lastRowLastColumn="0"/>
            <w:tcW w:w="438" w:type="pct"/>
          </w:tcPr>
          <w:p w14:paraId="5AE8A698" w14:textId="77777777" w:rsidR="00DC25DC" w:rsidRPr="00F45F11" w:rsidRDefault="00DC25DC" w:rsidP="009817E6">
            <w:pPr>
              <w:pStyle w:val="ARtabletextright"/>
              <w:rPr>
                <w:color w:val="000000" w:themeColor="text1"/>
              </w:rPr>
            </w:pPr>
            <w:r w:rsidRPr="00F45F11">
              <w:rPr>
                <w:color w:val="000000"/>
              </w:rPr>
              <w:t>57</w:t>
            </w:r>
          </w:p>
        </w:tc>
        <w:tc>
          <w:tcPr>
            <w:tcW w:w="437" w:type="pct"/>
          </w:tcPr>
          <w:p w14:paraId="2A4BF9C7"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531</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5EE9F150" w14:textId="0482F64A" w:rsidR="00DC25DC" w:rsidRPr="00F45F11" w:rsidRDefault="00DC25DC" w:rsidP="00F8411B">
            <w:pPr>
              <w:pStyle w:val="ARTabletext"/>
              <w:jc w:val="right"/>
              <w:rPr>
                <w:color w:val="000000" w:themeColor="text1"/>
              </w:rPr>
            </w:pPr>
            <w:r w:rsidRPr="00F45F11">
              <w:rPr>
                <w:color w:val="000000"/>
              </w:rPr>
              <w:t xml:space="preserve">N </w:t>
            </w:r>
            <w:r w:rsidR="00840BF9" w:rsidRPr="00F45F11">
              <w:rPr>
                <w:color w:val="000000"/>
              </w:rPr>
              <w:t>– a</w:t>
            </w:r>
            <w:r w:rsidRPr="00F45F11">
              <w:rPr>
                <w:color w:val="000000"/>
              </w:rPr>
              <w:t xml:space="preserve"> dissemination plan to key stakeholders only is being developed</w:t>
            </w:r>
          </w:p>
        </w:tc>
      </w:tr>
      <w:tr w:rsidR="00DC25DC" w:rsidRPr="00F45F11" w14:paraId="553D9950" w14:textId="77777777" w:rsidTr="00566B8E">
        <w:trPr>
          <w:trHeight w:val="20"/>
        </w:trPr>
        <w:tc>
          <w:tcPr>
            <w:tcW w:w="584" w:type="pct"/>
          </w:tcPr>
          <w:p w14:paraId="2F3DFEF6" w14:textId="77777777" w:rsidR="00DC25DC" w:rsidRPr="00F45F11" w:rsidRDefault="00DC25DC" w:rsidP="009817E6">
            <w:pPr>
              <w:pStyle w:val="ARTabletext"/>
            </w:pPr>
            <w:r w:rsidRPr="00F45F11">
              <w:t xml:space="preserve">Family Violence Multi Agency Risk Assessment and Management (MARAM) 5-year evidence review – date review </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786AEFCA" w14:textId="63FE9B2A" w:rsidR="00DC25DC" w:rsidRPr="00F45F11" w:rsidRDefault="00DC25DC" w:rsidP="009817E6">
            <w:pPr>
              <w:pStyle w:val="ARTabletext"/>
            </w:pPr>
            <w:r w:rsidRPr="00F45F11">
              <w:t xml:space="preserve">Part </w:t>
            </w:r>
            <w:r w:rsidR="008842E3">
              <w:t>2</w:t>
            </w:r>
            <w:r w:rsidR="008842E3" w:rsidRPr="00F45F11">
              <w:t xml:space="preserve"> </w:t>
            </w:r>
            <w:r w:rsidRPr="00F45F11">
              <w:t xml:space="preserve">of 5-year evidence review of MARAM required under the </w:t>
            </w:r>
            <w:r w:rsidRPr="00A124D1">
              <w:rPr>
                <w:rStyle w:val="Emphasis"/>
              </w:rPr>
              <w:t>Family Violence Protection Act 2008</w:t>
            </w:r>
          </w:p>
        </w:tc>
        <w:tc>
          <w:tcPr>
            <w:tcW w:w="900" w:type="pct"/>
            <w:tcMar>
              <w:left w:w="113" w:type="dxa"/>
            </w:tcMar>
          </w:tcPr>
          <w:p w14:paraId="397E2313"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Using identified data sources, review MARAM evidence-based risk factors for their alignment to seriousness of family violence risk</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37147222" w14:textId="77777777" w:rsidR="00DC25DC" w:rsidRPr="00F45F11" w:rsidRDefault="00DC25DC" w:rsidP="009817E6">
            <w:pPr>
              <w:pStyle w:val="ARTabletext"/>
            </w:pPr>
            <w:r w:rsidRPr="00F45F11">
              <w:t>May 2023 to June 2026 (completed)</w:t>
            </w:r>
          </w:p>
        </w:tc>
        <w:tc>
          <w:tcPr>
            <w:tcW w:w="779" w:type="pct"/>
            <w:tcMar>
              <w:left w:w="113" w:type="dxa"/>
            </w:tcMar>
          </w:tcPr>
          <w:p w14:paraId="266B6136" w14:textId="24A795DB"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 xml:space="preserve">Findings seek to validate the data and evidence underpinning the MARAM family </w:t>
            </w:r>
            <w:r w:rsidRPr="00566B8E">
              <w:t>violence</w:t>
            </w:r>
            <w:r w:rsidR="00566B8E">
              <w:t> </w:t>
            </w:r>
            <w:r w:rsidRPr="00566B8E">
              <w:t>risk</w:t>
            </w:r>
            <w:r w:rsidRPr="00F45F11">
              <w:t xml:space="preserve"> factors and contribute to updating legislated MARAM Framework</w:t>
            </w:r>
          </w:p>
        </w:tc>
        <w:tc>
          <w:tcPr>
            <w:cnfStyle w:val="000001000000" w:firstRow="0" w:lastRow="0" w:firstColumn="0" w:lastColumn="0" w:oddVBand="0" w:evenVBand="1" w:oddHBand="0" w:evenHBand="0" w:firstRowFirstColumn="0" w:firstRowLastColumn="0" w:lastRowFirstColumn="0" w:lastRowLastColumn="0"/>
            <w:tcW w:w="438" w:type="pct"/>
          </w:tcPr>
          <w:p w14:paraId="007D2CD0" w14:textId="77777777" w:rsidR="00DC25DC" w:rsidRPr="00F45F11" w:rsidRDefault="00DC25DC" w:rsidP="009817E6">
            <w:pPr>
              <w:pStyle w:val="ARtabletextright"/>
              <w:rPr>
                <w:color w:val="000000" w:themeColor="text1"/>
              </w:rPr>
            </w:pPr>
            <w:r w:rsidRPr="00F45F11">
              <w:rPr>
                <w:color w:val="000000"/>
              </w:rPr>
              <w:t>19</w:t>
            </w:r>
          </w:p>
        </w:tc>
        <w:tc>
          <w:tcPr>
            <w:tcW w:w="437" w:type="pct"/>
          </w:tcPr>
          <w:p w14:paraId="5D2CD305"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58</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22CAB2E4" w14:textId="44EF75F2" w:rsidR="00DC25DC" w:rsidRPr="00F45F11" w:rsidRDefault="00DC25DC" w:rsidP="00F8411B">
            <w:pPr>
              <w:pStyle w:val="ARTabletext"/>
              <w:jc w:val="right"/>
              <w:rPr>
                <w:color w:val="000000" w:themeColor="text1"/>
              </w:rPr>
            </w:pPr>
            <w:r w:rsidRPr="00F45F11">
              <w:rPr>
                <w:color w:val="000000"/>
              </w:rPr>
              <w:t>N</w:t>
            </w:r>
            <w:r w:rsidR="00840BF9" w:rsidRPr="00F45F11">
              <w:rPr>
                <w:color w:val="000000"/>
              </w:rPr>
              <w:t xml:space="preserve"> – p</w:t>
            </w:r>
            <w:r w:rsidRPr="00F45F11">
              <w:rPr>
                <w:color w:val="000000"/>
              </w:rPr>
              <w:t>ending publication approval in 2026</w:t>
            </w:r>
          </w:p>
        </w:tc>
      </w:tr>
      <w:tr w:rsidR="00DC25DC" w:rsidRPr="00F45F11" w14:paraId="3EE6AF1C" w14:textId="77777777" w:rsidTr="00566B8E">
        <w:trPr>
          <w:trHeight w:val="20"/>
        </w:trPr>
        <w:tc>
          <w:tcPr>
            <w:tcW w:w="584" w:type="pct"/>
          </w:tcPr>
          <w:p w14:paraId="372F6CA7" w14:textId="77777777" w:rsidR="00DC25DC" w:rsidRPr="00F45F11" w:rsidRDefault="00DC25DC" w:rsidP="009817E6">
            <w:pPr>
              <w:pStyle w:val="ARTabletext"/>
            </w:pPr>
            <w:r w:rsidRPr="00F45F11">
              <w:t>Compliance review for prevention learning resources</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31680D4C" w14:textId="77777777" w:rsidR="00DC25DC" w:rsidRPr="00F45F11" w:rsidRDefault="00DC25DC" w:rsidP="009817E6">
            <w:pPr>
              <w:pStyle w:val="ARTabletext"/>
            </w:pPr>
            <w:r w:rsidRPr="00F45F11">
              <w:t xml:space="preserve">To review and ensure compliance of learning resources to support delivery of the Course in Contributing to Primary Prevention of Family Violence and Violence against Women </w:t>
            </w:r>
          </w:p>
        </w:tc>
        <w:tc>
          <w:tcPr>
            <w:tcW w:w="900" w:type="pct"/>
            <w:tcMar>
              <w:left w:w="113" w:type="dxa"/>
            </w:tcMar>
          </w:tcPr>
          <w:p w14:paraId="7FD2F326"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Review and edit learning resources to ensure compliance with the standards outlined in the TAFE Victoria Shared Courseware (TVSC) Hub</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5AC6F123" w14:textId="27348FCE" w:rsidR="00DC25DC" w:rsidRPr="00F45F11" w:rsidRDefault="00DC25DC" w:rsidP="009817E6">
            <w:pPr>
              <w:pStyle w:val="ARTabletext"/>
            </w:pPr>
            <w:r w:rsidRPr="00F45F11">
              <w:t>September 2025</w:t>
            </w:r>
            <w:r w:rsidR="009E6E55" w:rsidRPr="00F45F11">
              <w:t xml:space="preserve"> to </w:t>
            </w:r>
            <w:r w:rsidRPr="00F45F11">
              <w:t>October 2025 (completed)</w:t>
            </w:r>
          </w:p>
        </w:tc>
        <w:tc>
          <w:tcPr>
            <w:tcW w:w="779" w:type="pct"/>
            <w:tcMar>
              <w:left w:w="113" w:type="dxa"/>
            </w:tcMar>
          </w:tcPr>
          <w:p w14:paraId="1D1DC121"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Finalised learning resources to support delivery of the Course in Contributing to Primary Prevention of Family Violence and Violence against Women</w:t>
            </w:r>
          </w:p>
        </w:tc>
        <w:tc>
          <w:tcPr>
            <w:cnfStyle w:val="000001000000" w:firstRow="0" w:lastRow="0" w:firstColumn="0" w:lastColumn="0" w:oddVBand="0" w:evenVBand="1" w:oddHBand="0" w:evenHBand="0" w:firstRowFirstColumn="0" w:firstRowLastColumn="0" w:lastRowFirstColumn="0" w:lastRowLastColumn="0"/>
            <w:tcW w:w="438" w:type="pct"/>
          </w:tcPr>
          <w:p w14:paraId="1986DAAB" w14:textId="77777777" w:rsidR="00DC25DC" w:rsidRPr="00F45F11" w:rsidRDefault="00DC25DC" w:rsidP="009817E6">
            <w:pPr>
              <w:pStyle w:val="ARtabletextright"/>
              <w:rPr>
                <w:color w:val="000000" w:themeColor="text1"/>
              </w:rPr>
            </w:pPr>
            <w:r w:rsidRPr="00F45F11">
              <w:rPr>
                <w:color w:val="000000"/>
              </w:rPr>
              <w:t>9</w:t>
            </w:r>
          </w:p>
        </w:tc>
        <w:tc>
          <w:tcPr>
            <w:tcW w:w="437" w:type="pct"/>
          </w:tcPr>
          <w:p w14:paraId="657F9721"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9</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231A316C" w14:textId="6AABA295" w:rsidR="00DC25DC" w:rsidRPr="00F45F11" w:rsidRDefault="00DC25DC" w:rsidP="00F8411B">
            <w:pPr>
              <w:pStyle w:val="ARTabletext"/>
              <w:jc w:val="right"/>
              <w:rPr>
                <w:color w:val="000000" w:themeColor="text1"/>
              </w:rPr>
            </w:pPr>
            <w:r w:rsidRPr="00F45F11">
              <w:rPr>
                <w:color w:val="000000"/>
              </w:rPr>
              <w:t>N</w:t>
            </w:r>
            <w:r w:rsidR="00840BF9" w:rsidRPr="00F45F11">
              <w:rPr>
                <w:color w:val="000000"/>
              </w:rPr>
              <w:t xml:space="preserve"> – t</w:t>
            </w:r>
            <w:r w:rsidRPr="00F45F11">
              <w:rPr>
                <w:color w:val="000000"/>
              </w:rPr>
              <w:t>he final learning resources are not available to the public but are available to Vocational Education and Training providers on the TAFE Victoria Shared Courseware (TVSC) Hub</w:t>
            </w:r>
          </w:p>
        </w:tc>
      </w:tr>
      <w:tr w:rsidR="00DC25DC" w:rsidRPr="00F45F11" w14:paraId="63C2052C" w14:textId="77777777" w:rsidTr="00566B8E">
        <w:trPr>
          <w:trHeight w:val="20"/>
        </w:trPr>
        <w:tc>
          <w:tcPr>
            <w:tcW w:w="584" w:type="pct"/>
          </w:tcPr>
          <w:p w14:paraId="32D8ABD3" w14:textId="77777777" w:rsidR="00DC25DC" w:rsidRPr="00F45F11" w:rsidRDefault="00DC25DC" w:rsidP="009817E6">
            <w:pPr>
              <w:pStyle w:val="ARTabletext"/>
            </w:pPr>
            <w:r w:rsidRPr="00F45F11">
              <w:t>Review of the 24/7 Family Violence Crisis Response Service Model</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3D4491A6" w14:textId="55892171" w:rsidR="00DC25DC" w:rsidRPr="00F45F11" w:rsidRDefault="00DC25DC" w:rsidP="009817E6">
            <w:pPr>
              <w:pStyle w:val="ARTabletext"/>
            </w:pPr>
            <w:r w:rsidRPr="00F45F11">
              <w:t>The review seeks independent advice on the optimal 24/7 family violence crisis response service model, in the context of the contemporary family violence service system</w:t>
            </w:r>
          </w:p>
        </w:tc>
        <w:tc>
          <w:tcPr>
            <w:tcW w:w="900" w:type="pct"/>
            <w:tcMar>
              <w:left w:w="113" w:type="dxa"/>
            </w:tcMar>
          </w:tcPr>
          <w:p w14:paraId="0A945889"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Review of the 24/7 family violence crisis response service model</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78154154" w14:textId="014F242A" w:rsidR="00DC25DC" w:rsidRPr="00F45F11" w:rsidRDefault="00DC25DC" w:rsidP="009817E6">
            <w:pPr>
              <w:pStyle w:val="ARTabletext"/>
            </w:pPr>
            <w:r w:rsidRPr="00F45F11">
              <w:t xml:space="preserve">February </w:t>
            </w:r>
            <w:r w:rsidR="00D14C50" w:rsidRPr="00F45F11">
              <w:t xml:space="preserve">2026 </w:t>
            </w:r>
            <w:r w:rsidR="009E6E55" w:rsidRPr="00F45F11">
              <w:t>to</w:t>
            </w:r>
            <w:r w:rsidRPr="00F45F11">
              <w:t xml:space="preserve"> September 2026</w:t>
            </w:r>
          </w:p>
        </w:tc>
        <w:tc>
          <w:tcPr>
            <w:tcW w:w="779" w:type="pct"/>
            <w:tcMar>
              <w:left w:w="113" w:type="dxa"/>
            </w:tcMar>
          </w:tcPr>
          <w:p w14:paraId="6278313E" w14:textId="0AE8CF8A"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rPr>
                <w:color w:val="000000" w:themeColor="text1"/>
              </w:rPr>
              <w:t>Provide advice on the optimal service model for victim survivors of family violence to be able</w:t>
            </w:r>
            <w:r w:rsidR="002C2ED3">
              <w:rPr>
                <w:color w:val="000000" w:themeColor="text1"/>
              </w:rPr>
              <w:t> </w:t>
            </w:r>
            <w:r w:rsidRPr="00F45F11">
              <w:rPr>
                <w:color w:val="000000" w:themeColor="text1"/>
              </w:rPr>
              <w:t xml:space="preserve">to readily access </w:t>
            </w:r>
            <w:r w:rsidRPr="00F45F11">
              <w:t>the</w:t>
            </w:r>
            <w:r w:rsidR="002C2ED3">
              <w:t> </w:t>
            </w:r>
            <w:r w:rsidRPr="00F45F11">
              <w:t>highest quality specialised support at times of crisis, at any time of the day or night</w:t>
            </w:r>
          </w:p>
        </w:tc>
        <w:tc>
          <w:tcPr>
            <w:cnfStyle w:val="000001000000" w:firstRow="0" w:lastRow="0" w:firstColumn="0" w:lastColumn="0" w:oddVBand="0" w:evenVBand="1" w:oddHBand="0" w:evenHBand="0" w:firstRowFirstColumn="0" w:firstRowLastColumn="0" w:lastRowFirstColumn="0" w:lastRowLastColumn="0"/>
            <w:tcW w:w="438" w:type="pct"/>
          </w:tcPr>
          <w:p w14:paraId="38060FEF" w14:textId="77777777" w:rsidR="00DC25DC" w:rsidRPr="00F45F11" w:rsidRDefault="00DC25DC" w:rsidP="009817E6">
            <w:pPr>
              <w:pStyle w:val="ARtabletextright"/>
              <w:rPr>
                <w:color w:val="000000" w:themeColor="text1"/>
              </w:rPr>
            </w:pPr>
            <w:r w:rsidRPr="00F45F11">
              <w:t>94</w:t>
            </w:r>
          </w:p>
        </w:tc>
        <w:tc>
          <w:tcPr>
            <w:tcW w:w="437" w:type="pct"/>
          </w:tcPr>
          <w:p w14:paraId="5B9E19B1"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NA</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20226D26" w14:textId="2006A1A1" w:rsidR="00DC25DC" w:rsidRPr="00F45F11" w:rsidRDefault="00DC25DC" w:rsidP="00F8411B">
            <w:pPr>
              <w:pStyle w:val="ARTabletext"/>
              <w:jc w:val="right"/>
              <w:rPr>
                <w:color w:val="000000" w:themeColor="text1"/>
              </w:rPr>
            </w:pPr>
            <w:r w:rsidRPr="00F45F11">
              <w:rPr>
                <w:color w:val="000000"/>
              </w:rPr>
              <w:t>N</w:t>
            </w:r>
            <w:r w:rsidR="00840BF9" w:rsidRPr="00F45F11">
              <w:rPr>
                <w:color w:val="000000"/>
              </w:rPr>
              <w:t xml:space="preserve"> – p</w:t>
            </w:r>
            <w:r w:rsidRPr="00F45F11">
              <w:rPr>
                <w:color w:val="000000"/>
              </w:rPr>
              <w:t>roject is still underway</w:t>
            </w:r>
          </w:p>
        </w:tc>
      </w:tr>
      <w:tr w:rsidR="00DC25DC" w:rsidRPr="00F45F11" w14:paraId="1FE761AD" w14:textId="77777777" w:rsidTr="00566B8E">
        <w:trPr>
          <w:trHeight w:val="20"/>
        </w:trPr>
        <w:tc>
          <w:tcPr>
            <w:tcW w:w="584" w:type="pct"/>
          </w:tcPr>
          <w:p w14:paraId="254D55EF" w14:textId="77777777" w:rsidR="00DC25DC" w:rsidRPr="00F45F11" w:rsidRDefault="00DC25DC" w:rsidP="009817E6">
            <w:pPr>
              <w:pStyle w:val="ARTabletext"/>
            </w:pPr>
            <w:r w:rsidRPr="00F45F11">
              <w:t xml:space="preserve">Serious-risk adults using family violence (Changing Ways) program evaluation </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22E66959" w14:textId="07FFFA80" w:rsidR="00DC25DC" w:rsidRPr="00F45F11" w:rsidRDefault="00DC25DC" w:rsidP="009817E6">
            <w:pPr>
              <w:pStyle w:val="ARTabletext"/>
            </w:pPr>
            <w:r w:rsidRPr="00F45F11">
              <w:t>Seeking insights to inform program delivery and decision making about the</w:t>
            </w:r>
            <w:r w:rsidR="00566B8E">
              <w:t> </w:t>
            </w:r>
            <w:r w:rsidRPr="00F45F11">
              <w:t>future of the program</w:t>
            </w:r>
          </w:p>
        </w:tc>
        <w:tc>
          <w:tcPr>
            <w:tcW w:w="900" w:type="pct"/>
            <w:tcMar>
              <w:left w:w="113" w:type="dxa"/>
            </w:tcMar>
          </w:tcPr>
          <w:p w14:paraId="7C6445A8"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Assess and articulate the effectiveness of the program</w:t>
            </w:r>
          </w:p>
          <w:p w14:paraId="2DD1456E"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Strengthen the design and delivery of the program</w:t>
            </w:r>
          </w:p>
          <w:p w14:paraId="50614921"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Contribute to the wider evidence base</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3F3F4B5C" w14:textId="68661361" w:rsidR="00DC25DC" w:rsidRPr="00F45F11" w:rsidRDefault="00DC25DC" w:rsidP="009817E6">
            <w:pPr>
              <w:pStyle w:val="ARTabletext"/>
            </w:pPr>
            <w:r w:rsidRPr="00F45F11">
              <w:t xml:space="preserve">May 2023 </w:t>
            </w:r>
            <w:r w:rsidR="009E6E55" w:rsidRPr="00F45F11">
              <w:t>to</w:t>
            </w:r>
            <w:r w:rsidR="00566B8E">
              <w:t> </w:t>
            </w:r>
            <w:r w:rsidRPr="00F45F11">
              <w:t>October 2026</w:t>
            </w:r>
          </w:p>
        </w:tc>
        <w:tc>
          <w:tcPr>
            <w:tcW w:w="779" w:type="pct"/>
            <w:tcMar>
              <w:left w:w="113" w:type="dxa"/>
            </w:tcMar>
          </w:tcPr>
          <w:p w14:paraId="7A3AD020"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Improved understanding of the effectiveness, impact and outcomes achieved through the implementation of the program</w:t>
            </w:r>
          </w:p>
        </w:tc>
        <w:tc>
          <w:tcPr>
            <w:cnfStyle w:val="000001000000" w:firstRow="0" w:lastRow="0" w:firstColumn="0" w:lastColumn="0" w:oddVBand="0" w:evenVBand="1" w:oddHBand="0" w:evenHBand="0" w:firstRowFirstColumn="0" w:firstRowLastColumn="0" w:lastRowFirstColumn="0" w:lastRowLastColumn="0"/>
            <w:tcW w:w="438" w:type="pct"/>
          </w:tcPr>
          <w:p w14:paraId="3D4F554F" w14:textId="77777777" w:rsidR="00DC25DC" w:rsidRPr="00F45F11" w:rsidRDefault="00DC25DC" w:rsidP="009817E6">
            <w:pPr>
              <w:pStyle w:val="ARtabletextright"/>
            </w:pPr>
            <w:r w:rsidRPr="00F45F11">
              <w:rPr>
                <w:color w:val="000000" w:themeColor="text1"/>
              </w:rPr>
              <w:t>104</w:t>
            </w:r>
          </w:p>
        </w:tc>
        <w:tc>
          <w:tcPr>
            <w:tcW w:w="437" w:type="pct"/>
          </w:tcPr>
          <w:p w14:paraId="278890F1"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NA</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0944651B" w14:textId="78560A68" w:rsidR="00DC25DC" w:rsidRPr="00F45F11" w:rsidRDefault="00DC25DC" w:rsidP="00F8411B">
            <w:pPr>
              <w:pStyle w:val="ARTabletext"/>
              <w:jc w:val="right"/>
              <w:rPr>
                <w:color w:val="000000"/>
              </w:rPr>
            </w:pPr>
            <w:r w:rsidRPr="00F45F11">
              <w:rPr>
                <w:color w:val="000000" w:themeColor="text1"/>
              </w:rPr>
              <w:t>N</w:t>
            </w:r>
            <w:r w:rsidR="00840BF9" w:rsidRPr="00F45F11">
              <w:rPr>
                <w:color w:val="000000" w:themeColor="text1"/>
              </w:rPr>
              <w:t xml:space="preserve"> – a</w:t>
            </w:r>
            <w:r w:rsidRPr="00F45F11">
              <w:rPr>
                <w:color w:val="000000" w:themeColor="text1"/>
              </w:rPr>
              <w:t>pproved for limited release only due to sensitivity of program operating details in the context of people who use family violence</w:t>
            </w:r>
          </w:p>
        </w:tc>
      </w:tr>
      <w:tr w:rsidR="00DC25DC" w:rsidRPr="00F45F11" w14:paraId="094AE509" w14:textId="77777777" w:rsidTr="00566B8E">
        <w:trPr>
          <w:trHeight w:val="20"/>
        </w:trPr>
        <w:tc>
          <w:tcPr>
            <w:tcW w:w="584" w:type="pct"/>
          </w:tcPr>
          <w:p w14:paraId="0A9AEB6A" w14:textId="77777777" w:rsidR="00DC25DC" w:rsidRPr="00F45F11" w:rsidRDefault="00DC25DC" w:rsidP="009817E6">
            <w:pPr>
              <w:pStyle w:val="ARTabletext"/>
            </w:pPr>
            <w:r w:rsidRPr="00F45F11">
              <w:t>Evaluation of the Crisis Response Model, including core and cluster refuges</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7445F282" w14:textId="77777777" w:rsidR="00DC25DC" w:rsidRPr="00F45F11" w:rsidRDefault="00DC25DC" w:rsidP="009817E6">
            <w:pPr>
              <w:pStyle w:val="ARTabletext"/>
            </w:pPr>
            <w:r w:rsidRPr="00F45F11">
              <w:t xml:space="preserve">To evaluate the extent to which the crisis response model is effectively achieving its stated objectives by assessing progress against short to </w:t>
            </w:r>
            <w:r w:rsidRPr="00F45F11">
              <w:br/>
              <w:t>medium-term outcomes</w:t>
            </w:r>
          </w:p>
        </w:tc>
        <w:tc>
          <w:tcPr>
            <w:tcW w:w="900" w:type="pct"/>
            <w:tcMar>
              <w:left w:w="113" w:type="dxa"/>
            </w:tcMar>
          </w:tcPr>
          <w:p w14:paraId="3A755D7D"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System-level evaluation of the crisis response model as well as lapsing program evaluations (initial plus updated) of services/ programs delivered under the model: core and cluster refuges, family violence crisis brokerage and case management</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43904C6B" w14:textId="17DA2DA6" w:rsidR="00DC25DC" w:rsidRPr="00F45F11" w:rsidRDefault="00DC25DC" w:rsidP="009817E6">
            <w:pPr>
              <w:pStyle w:val="ARTabletext"/>
            </w:pPr>
            <w:r w:rsidRPr="00F45F11">
              <w:t xml:space="preserve">July 2023 </w:t>
            </w:r>
            <w:r w:rsidR="009E6E55" w:rsidRPr="00F45F11">
              <w:t>to</w:t>
            </w:r>
            <w:r w:rsidRPr="00F45F11">
              <w:t xml:space="preserve"> September 2026</w:t>
            </w:r>
          </w:p>
        </w:tc>
        <w:tc>
          <w:tcPr>
            <w:tcW w:w="779" w:type="pct"/>
            <w:tcMar>
              <w:left w:w="113" w:type="dxa"/>
            </w:tcMar>
          </w:tcPr>
          <w:p w14:paraId="11D06DB4" w14:textId="2815EDAE"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 xml:space="preserve">Evidence of each service/program component’s efficacy and efficiency, including </w:t>
            </w:r>
            <w:r w:rsidRPr="00F45F11">
              <w:br/>
              <w:t>cost–benefit analysis</w:t>
            </w:r>
          </w:p>
          <w:p w14:paraId="040D5B26"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Inform an overall understanding of the operation of the crisis response model for family violence victim survivors</w:t>
            </w:r>
          </w:p>
        </w:tc>
        <w:tc>
          <w:tcPr>
            <w:cnfStyle w:val="000001000000" w:firstRow="0" w:lastRow="0" w:firstColumn="0" w:lastColumn="0" w:oddVBand="0" w:evenVBand="1" w:oddHBand="0" w:evenHBand="0" w:firstRowFirstColumn="0" w:firstRowLastColumn="0" w:lastRowFirstColumn="0" w:lastRowLastColumn="0"/>
            <w:tcW w:w="438" w:type="pct"/>
          </w:tcPr>
          <w:p w14:paraId="0F6E8298" w14:textId="77777777" w:rsidR="00DC25DC" w:rsidRPr="00F45F11" w:rsidRDefault="00DC25DC" w:rsidP="009817E6">
            <w:pPr>
              <w:pStyle w:val="ARtabletextright"/>
            </w:pPr>
            <w:r w:rsidRPr="00F45F11">
              <w:rPr>
                <w:rFonts w:cstheme="majorBidi"/>
                <w:color w:val="000000" w:themeColor="text1"/>
              </w:rPr>
              <w:t>134</w:t>
            </w:r>
          </w:p>
        </w:tc>
        <w:tc>
          <w:tcPr>
            <w:tcW w:w="437" w:type="pct"/>
          </w:tcPr>
          <w:p w14:paraId="1D94C721"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 xml:space="preserve"> NA</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1B7597BD" w14:textId="390C0E47" w:rsidR="00DC25DC" w:rsidRPr="00F45F11" w:rsidRDefault="00DC25DC" w:rsidP="00F8411B">
            <w:pPr>
              <w:pStyle w:val="ARTabletext"/>
              <w:jc w:val="right"/>
              <w:rPr>
                <w:color w:val="000000"/>
              </w:rPr>
            </w:pPr>
            <w:r w:rsidRPr="00F45F11">
              <w:rPr>
                <w:color w:val="000000"/>
              </w:rPr>
              <w:t>N</w:t>
            </w:r>
            <w:r w:rsidR="00840BF9" w:rsidRPr="00F45F11">
              <w:rPr>
                <w:color w:val="000000"/>
              </w:rPr>
              <w:t xml:space="preserve"> – p</w:t>
            </w:r>
            <w:r w:rsidRPr="00F45F11">
              <w:rPr>
                <w:color w:val="000000"/>
              </w:rPr>
              <w:t>roject is still underway</w:t>
            </w:r>
            <w:r w:rsidR="00D14C50" w:rsidRPr="00F45F11">
              <w:rPr>
                <w:color w:val="000000"/>
              </w:rPr>
              <w:t>.</w:t>
            </w:r>
          </w:p>
        </w:tc>
      </w:tr>
      <w:tr w:rsidR="00DC25DC" w:rsidRPr="00F45F11" w14:paraId="6843EF82" w14:textId="77777777" w:rsidTr="00566B8E">
        <w:trPr>
          <w:trHeight w:val="20"/>
        </w:trPr>
        <w:tc>
          <w:tcPr>
            <w:tcW w:w="584" w:type="pct"/>
          </w:tcPr>
          <w:p w14:paraId="194146AA" w14:textId="7CBB20D8" w:rsidR="00DC25DC" w:rsidRPr="00F45F11" w:rsidRDefault="00DC25DC" w:rsidP="009817E6">
            <w:pPr>
              <w:pStyle w:val="ARTabletext"/>
            </w:pPr>
            <w:r w:rsidRPr="00F45F11">
              <w:t>Action</w:t>
            </w:r>
            <w:r w:rsidR="00D14C50" w:rsidRPr="00F45F11">
              <w:t>-l</w:t>
            </w:r>
            <w:r w:rsidRPr="00F45F11">
              <w:t xml:space="preserve">earning </w:t>
            </w:r>
            <w:r w:rsidR="00D14C50" w:rsidRPr="00F45F11">
              <w:t>r</w:t>
            </w:r>
            <w:r w:rsidRPr="00F45F11">
              <w:t>eview of the Immediate Personal Safety Initiative Response trial.</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7840AAAA" w14:textId="78EB844F" w:rsidR="00DC25DC" w:rsidRPr="00F45F11" w:rsidRDefault="00DC25DC" w:rsidP="009817E6">
            <w:pPr>
              <w:pStyle w:val="ARTabletext"/>
            </w:pPr>
            <w:r w:rsidRPr="00F45F11">
              <w:t xml:space="preserve">The Women’s Safety Package is funding a </w:t>
            </w:r>
            <w:r w:rsidR="00D14C50" w:rsidRPr="00F45F11">
              <w:t>4</w:t>
            </w:r>
            <w:r w:rsidRPr="00F45F11">
              <w:t xml:space="preserve">-year trial (2024–28) of the Immediate PSI Response (IPSIR), which seeks to expedite PSI technology responses for victim survivors at high risk in </w:t>
            </w:r>
            <w:r w:rsidR="00D14C50" w:rsidRPr="00F45F11">
              <w:t>6</w:t>
            </w:r>
            <w:r w:rsidRPr="00F45F11">
              <w:t xml:space="preserve"> </w:t>
            </w:r>
            <w:r w:rsidR="00D14C50" w:rsidRPr="00F45F11">
              <w:t>departmental</w:t>
            </w:r>
            <w:r w:rsidRPr="00F45F11">
              <w:t xml:space="preserve"> areas. Safe and Equal are funded to undertake an Action Learning Review of the IPSIR trial in 2025–26 to determine its impact for victim survivors in response to a coronial recommendation around expanding access to</w:t>
            </w:r>
            <w:r w:rsidR="00566B8E">
              <w:t> </w:t>
            </w:r>
            <w:r w:rsidRPr="00F45F11">
              <w:t xml:space="preserve">technology during </w:t>
            </w:r>
            <w:r w:rsidRPr="00F45F11">
              <w:br/>
              <w:t>high-risk periods</w:t>
            </w:r>
          </w:p>
        </w:tc>
        <w:tc>
          <w:tcPr>
            <w:tcW w:w="900" w:type="pct"/>
            <w:tcMar>
              <w:left w:w="113" w:type="dxa"/>
            </w:tcMar>
          </w:tcPr>
          <w:p w14:paraId="63E043D3" w14:textId="1286F9D6"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Quantitative and qualitative data analysis to determine the impact of the trial for victim survivors, key stakeholders delivering the ISPIR and other learnings to strengthen future implementation</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2D96F076" w14:textId="6F5DABCD" w:rsidR="00DC25DC" w:rsidRPr="00F45F11" w:rsidRDefault="00DC25DC" w:rsidP="009817E6">
            <w:pPr>
              <w:pStyle w:val="ARTabletext"/>
            </w:pPr>
            <w:r w:rsidRPr="00F45F11">
              <w:t xml:space="preserve">August 2025 </w:t>
            </w:r>
            <w:r w:rsidR="009E6E55" w:rsidRPr="00F45F11">
              <w:t>to</w:t>
            </w:r>
            <w:r w:rsidRPr="00F45F11">
              <w:t xml:space="preserve"> June 2026</w:t>
            </w:r>
          </w:p>
        </w:tc>
        <w:tc>
          <w:tcPr>
            <w:tcW w:w="779" w:type="pct"/>
            <w:tcMar>
              <w:left w:w="113" w:type="dxa"/>
            </w:tcMar>
          </w:tcPr>
          <w:p w14:paraId="1293AD8C" w14:textId="5F2B4442"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Intent is to build evidence and show level of impact on the timeliness of immediate security and technology responses and inform the future implementation of the trial</w:t>
            </w:r>
          </w:p>
        </w:tc>
        <w:tc>
          <w:tcPr>
            <w:cnfStyle w:val="000001000000" w:firstRow="0" w:lastRow="0" w:firstColumn="0" w:lastColumn="0" w:oddVBand="0" w:evenVBand="1" w:oddHBand="0" w:evenHBand="0" w:firstRowFirstColumn="0" w:firstRowLastColumn="0" w:lastRowFirstColumn="0" w:lastRowLastColumn="0"/>
            <w:tcW w:w="438" w:type="pct"/>
          </w:tcPr>
          <w:p w14:paraId="46757CB2" w14:textId="77777777" w:rsidR="00DC25DC" w:rsidRPr="00F45F11" w:rsidRDefault="00DC25DC" w:rsidP="009817E6">
            <w:pPr>
              <w:pStyle w:val="ARtabletextright"/>
            </w:pPr>
            <w:r w:rsidRPr="00F45F11">
              <w:rPr>
                <w:color w:val="000000"/>
              </w:rPr>
              <w:t>50</w:t>
            </w:r>
          </w:p>
        </w:tc>
        <w:tc>
          <w:tcPr>
            <w:tcW w:w="437" w:type="pct"/>
          </w:tcPr>
          <w:p w14:paraId="243D9248"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50</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47C1937D" w14:textId="4D9B19DD" w:rsidR="00DC25DC" w:rsidRPr="00F45F11" w:rsidRDefault="00DC25DC" w:rsidP="00F8411B">
            <w:pPr>
              <w:pStyle w:val="ARTabletext"/>
              <w:jc w:val="right"/>
              <w:rPr>
                <w:color w:val="000000"/>
              </w:rPr>
            </w:pPr>
            <w:r w:rsidRPr="00F45F11">
              <w:rPr>
                <w:color w:val="000000"/>
              </w:rPr>
              <w:t>N</w:t>
            </w:r>
            <w:r w:rsidR="00840BF9" w:rsidRPr="00F45F11">
              <w:rPr>
                <w:color w:val="000000"/>
              </w:rPr>
              <w:t xml:space="preserve"> – r</w:t>
            </w:r>
            <w:r w:rsidRPr="00F45F11">
              <w:rPr>
                <w:color w:val="000000"/>
              </w:rPr>
              <w:t>eview is being drafted</w:t>
            </w:r>
          </w:p>
        </w:tc>
      </w:tr>
      <w:tr w:rsidR="00DC25DC" w:rsidRPr="00F45F11" w14:paraId="2A29B63F" w14:textId="77777777" w:rsidTr="00566B8E">
        <w:trPr>
          <w:trHeight w:val="20"/>
        </w:trPr>
        <w:tc>
          <w:tcPr>
            <w:tcW w:w="584" w:type="pct"/>
          </w:tcPr>
          <w:p w14:paraId="11484AE9" w14:textId="0040001B" w:rsidR="00DC25DC" w:rsidRPr="00F45F11" w:rsidRDefault="00DC25DC" w:rsidP="009817E6">
            <w:pPr>
              <w:pStyle w:val="ARTabletext"/>
            </w:pPr>
            <w:r w:rsidRPr="00F45F11">
              <w:t xml:space="preserve">Review of the Men’s Behaviour Change Minimum Standards and </w:t>
            </w:r>
            <w:r w:rsidR="00D14C50" w:rsidRPr="00F45F11">
              <w:t>i</w:t>
            </w:r>
            <w:r w:rsidRPr="00F45F11">
              <w:t xml:space="preserve">mplementation </w:t>
            </w:r>
            <w:r w:rsidR="00D14C50" w:rsidRPr="00F45F11">
              <w:t>g</w:t>
            </w:r>
            <w:r w:rsidRPr="00F45F11">
              <w:t>uide</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1D6E89B7" w14:textId="27AE820A" w:rsidR="00DC25DC" w:rsidRPr="00F45F11" w:rsidRDefault="00DC25DC" w:rsidP="009817E6">
            <w:pPr>
              <w:pStyle w:val="ARTabletext"/>
            </w:pPr>
            <w:r w:rsidRPr="00F45F11">
              <w:t xml:space="preserve">The </w:t>
            </w:r>
            <w:r w:rsidR="00D14C50" w:rsidRPr="00F45F11">
              <w:t>s</w:t>
            </w:r>
            <w:r w:rsidRPr="00F45F11">
              <w:t>tandards were developed in 2017, and the </w:t>
            </w:r>
            <w:r w:rsidR="00D14C50" w:rsidRPr="00F45F11">
              <w:t>g</w:t>
            </w:r>
            <w:r w:rsidRPr="00F45F11">
              <w:t>uide in 2018. Both documents require updating to reflect contemporary evidence, best practice and operational feedback</w:t>
            </w:r>
          </w:p>
        </w:tc>
        <w:tc>
          <w:tcPr>
            <w:tcW w:w="900" w:type="pct"/>
            <w:tcMar>
              <w:left w:w="113" w:type="dxa"/>
            </w:tcMar>
          </w:tcPr>
          <w:p w14:paraId="34A5E662" w14:textId="71F8B5EA"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 xml:space="preserve">To update the Minimum Standards and </w:t>
            </w:r>
            <w:r w:rsidR="00D14C50" w:rsidRPr="00F45F11">
              <w:t>i</w:t>
            </w:r>
            <w:r w:rsidRPr="00F45F11">
              <w:t xml:space="preserve">mplementation </w:t>
            </w:r>
            <w:r w:rsidR="00D14C50" w:rsidRPr="00F45F11">
              <w:t>g</w:t>
            </w:r>
            <w:r w:rsidRPr="00F45F11">
              <w:t>uide to align</w:t>
            </w:r>
            <w:r w:rsidR="00566B8E">
              <w:t> </w:t>
            </w:r>
            <w:r w:rsidRPr="00F45F11">
              <w:t>with contemporary evidence and practice</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5B83FA38" w14:textId="77777777" w:rsidR="00DC25DC" w:rsidRPr="00F45F11" w:rsidRDefault="00DC25DC" w:rsidP="009817E6">
            <w:pPr>
              <w:pStyle w:val="ARTabletext"/>
            </w:pPr>
            <w:r w:rsidRPr="00F45F11">
              <w:t>August 2025 to December 2026</w:t>
            </w:r>
          </w:p>
        </w:tc>
        <w:tc>
          <w:tcPr>
            <w:tcW w:w="779" w:type="pct"/>
            <w:tcMar>
              <w:left w:w="113" w:type="dxa"/>
            </w:tcMar>
          </w:tcPr>
          <w:p w14:paraId="71230E28" w14:textId="05B3C27D"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 xml:space="preserve">Updated Minimum Standards and </w:t>
            </w:r>
            <w:r w:rsidR="00D14C50" w:rsidRPr="00F45F11">
              <w:t>i</w:t>
            </w:r>
            <w:r w:rsidRPr="00F45F11">
              <w:t xml:space="preserve">mplementation </w:t>
            </w:r>
            <w:r w:rsidR="00D14C50" w:rsidRPr="00F45F11">
              <w:t>g</w:t>
            </w:r>
            <w:r w:rsidRPr="00F45F11">
              <w:t xml:space="preserve">uide for </w:t>
            </w:r>
            <w:r w:rsidR="00D14C50" w:rsidRPr="00F45F11">
              <w:t>m</w:t>
            </w:r>
            <w:r w:rsidRPr="00F45F11">
              <w:t>en</w:t>
            </w:r>
            <w:r w:rsidR="00D14C50" w:rsidRPr="00F45F11">
              <w:t>’</w:t>
            </w:r>
            <w:r w:rsidRPr="00F45F11">
              <w:t xml:space="preserve">s </w:t>
            </w:r>
            <w:r w:rsidR="00D14C50" w:rsidRPr="00F45F11">
              <w:t>b</w:t>
            </w:r>
            <w:r w:rsidRPr="00F45F11">
              <w:t xml:space="preserve">ehaviour </w:t>
            </w:r>
            <w:r w:rsidR="00D14C50" w:rsidRPr="00F45F11">
              <w:t>c</w:t>
            </w:r>
            <w:r w:rsidRPr="00F45F11">
              <w:t xml:space="preserve">hange </w:t>
            </w:r>
            <w:r w:rsidR="00D14C50" w:rsidRPr="00F45F11">
              <w:t>p</w:t>
            </w:r>
            <w:r w:rsidRPr="00F45F11">
              <w:t>rograms</w:t>
            </w:r>
          </w:p>
        </w:tc>
        <w:tc>
          <w:tcPr>
            <w:cnfStyle w:val="000001000000" w:firstRow="0" w:lastRow="0" w:firstColumn="0" w:lastColumn="0" w:oddVBand="0" w:evenVBand="1" w:oddHBand="0" w:evenHBand="0" w:firstRowFirstColumn="0" w:firstRowLastColumn="0" w:lastRowFirstColumn="0" w:lastRowLastColumn="0"/>
            <w:tcW w:w="438" w:type="pct"/>
          </w:tcPr>
          <w:p w14:paraId="68E3103C" w14:textId="77777777" w:rsidR="00DC25DC" w:rsidRPr="00F45F11" w:rsidRDefault="00DC25DC" w:rsidP="009817E6">
            <w:pPr>
              <w:pStyle w:val="ARtabletextright"/>
            </w:pPr>
            <w:r w:rsidRPr="00F45F11">
              <w:rPr>
                <w:color w:val="000000" w:themeColor="text1"/>
              </w:rPr>
              <w:t>102</w:t>
            </w:r>
          </w:p>
        </w:tc>
        <w:tc>
          <w:tcPr>
            <w:tcW w:w="437" w:type="pct"/>
          </w:tcPr>
          <w:p w14:paraId="69F2C9CD"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NA</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5A2720FF" w14:textId="04F41DE4" w:rsidR="00DC25DC" w:rsidRPr="00F45F11" w:rsidRDefault="00DC25DC" w:rsidP="00F8411B">
            <w:pPr>
              <w:pStyle w:val="ARTabletext"/>
              <w:jc w:val="right"/>
              <w:rPr>
                <w:color w:val="000000"/>
              </w:rPr>
            </w:pPr>
            <w:r w:rsidRPr="00F45F11">
              <w:rPr>
                <w:color w:val="000000" w:themeColor="text1"/>
              </w:rPr>
              <w:t>N</w:t>
            </w:r>
            <w:r w:rsidR="00840BF9" w:rsidRPr="00F45F11">
              <w:rPr>
                <w:color w:val="000000" w:themeColor="text1"/>
              </w:rPr>
              <w:t xml:space="preserve"> – i</w:t>
            </w:r>
            <w:r w:rsidRPr="00F45F11">
              <w:rPr>
                <w:color w:val="000000" w:themeColor="text1"/>
              </w:rPr>
              <w:t>n progress</w:t>
            </w:r>
          </w:p>
        </w:tc>
      </w:tr>
      <w:tr w:rsidR="00DC25DC" w:rsidRPr="00F45F11" w14:paraId="7E370080" w14:textId="77777777" w:rsidTr="00566B8E">
        <w:trPr>
          <w:trHeight w:val="20"/>
        </w:trPr>
        <w:tc>
          <w:tcPr>
            <w:tcW w:w="584" w:type="pct"/>
          </w:tcPr>
          <w:p w14:paraId="1D416009" w14:textId="77777777" w:rsidR="00DC25DC" w:rsidRPr="00F45F11" w:rsidRDefault="00DC25DC" w:rsidP="009817E6">
            <w:pPr>
              <w:pStyle w:val="ARTabletext"/>
            </w:pPr>
            <w:r w:rsidRPr="00F45F11">
              <w:t>Client Voice Project</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700E083E" w14:textId="77777777" w:rsidR="00DC25DC" w:rsidRPr="00F45F11" w:rsidRDefault="00DC25DC" w:rsidP="009817E6">
            <w:pPr>
              <w:pStyle w:val="ARTabletext"/>
            </w:pPr>
            <w:r w:rsidRPr="00F45F11">
              <w:t xml:space="preserve">Review role of Independent Person and develop a client voice framework for the Victorian Senior Practitioner </w:t>
            </w:r>
          </w:p>
        </w:tc>
        <w:tc>
          <w:tcPr>
            <w:tcW w:w="900" w:type="pct"/>
            <w:tcMar>
              <w:left w:w="113" w:type="dxa"/>
            </w:tcMar>
          </w:tcPr>
          <w:p w14:paraId="655F1D98"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Literature review, qualitative and quantitative data analysis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0CFF3FCA" w14:textId="3F495DC9" w:rsidR="00DC25DC" w:rsidRPr="00F45F11" w:rsidRDefault="00DC25DC" w:rsidP="009817E6">
            <w:pPr>
              <w:pStyle w:val="ARTabletext"/>
            </w:pPr>
            <w:r w:rsidRPr="00F45F11">
              <w:t xml:space="preserve">June 2023 </w:t>
            </w:r>
            <w:r w:rsidR="009E6E55" w:rsidRPr="00F45F11">
              <w:t>to</w:t>
            </w:r>
            <w:r w:rsidR="00566B8E">
              <w:t> </w:t>
            </w:r>
            <w:r w:rsidRPr="00F45F11">
              <w:t>October 2025</w:t>
            </w:r>
          </w:p>
        </w:tc>
        <w:tc>
          <w:tcPr>
            <w:tcW w:w="779" w:type="pct"/>
            <w:tcMar>
              <w:left w:w="113" w:type="dxa"/>
            </w:tcMar>
          </w:tcPr>
          <w:p w14:paraId="373EED9E" w14:textId="6FE53DE8"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Review of Independent Person</w:t>
            </w:r>
            <w:r w:rsidR="00D14C50" w:rsidRPr="00F45F11">
              <w:t xml:space="preserve"> role</w:t>
            </w:r>
            <w:r w:rsidRPr="00F45F11">
              <w:t xml:space="preserve"> to understand if it is fit for</w:t>
            </w:r>
            <w:r w:rsidR="00D1151F">
              <w:t> </w:t>
            </w:r>
            <w:r w:rsidRPr="00F45F11">
              <w:t>purpose. Identify strategies to ensure lived experience informs work of the Victorian Senior Practitioner.</w:t>
            </w:r>
          </w:p>
        </w:tc>
        <w:tc>
          <w:tcPr>
            <w:cnfStyle w:val="000001000000" w:firstRow="0" w:lastRow="0" w:firstColumn="0" w:lastColumn="0" w:oddVBand="0" w:evenVBand="1" w:oddHBand="0" w:evenHBand="0" w:firstRowFirstColumn="0" w:firstRowLastColumn="0" w:lastRowFirstColumn="0" w:lastRowLastColumn="0"/>
            <w:tcW w:w="438" w:type="pct"/>
          </w:tcPr>
          <w:p w14:paraId="042E99F3" w14:textId="77777777" w:rsidR="00DC25DC" w:rsidRPr="00F45F11" w:rsidRDefault="00DC25DC" w:rsidP="009817E6">
            <w:pPr>
              <w:pStyle w:val="ARtabletextright"/>
            </w:pPr>
            <w:r w:rsidRPr="00F45F11">
              <w:rPr>
                <w:color w:val="000000"/>
              </w:rPr>
              <w:t>57</w:t>
            </w:r>
          </w:p>
        </w:tc>
        <w:tc>
          <w:tcPr>
            <w:tcW w:w="437" w:type="pct"/>
          </w:tcPr>
          <w:p w14:paraId="0AD4A0B3"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283</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3182B3C3" w14:textId="624DCC69" w:rsidR="00DC25DC" w:rsidRPr="00F45F11" w:rsidRDefault="00DC25DC" w:rsidP="00F8411B">
            <w:pPr>
              <w:pStyle w:val="ARTabletext"/>
              <w:jc w:val="right"/>
              <w:rPr>
                <w:color w:val="000000"/>
              </w:rPr>
            </w:pPr>
            <w:r w:rsidRPr="00F45F11">
              <w:rPr>
                <w:color w:val="000000"/>
              </w:rPr>
              <w:t>N</w:t>
            </w:r>
            <w:r w:rsidR="00840BF9" w:rsidRPr="00F45F11">
              <w:rPr>
                <w:color w:val="000000"/>
              </w:rPr>
              <w:t xml:space="preserve"> – i</w:t>
            </w:r>
            <w:r w:rsidRPr="00F45F11">
              <w:rPr>
                <w:color w:val="000000"/>
              </w:rPr>
              <w:t>n progress</w:t>
            </w:r>
          </w:p>
        </w:tc>
      </w:tr>
      <w:tr w:rsidR="00DC25DC" w:rsidRPr="00F45F11" w14:paraId="436E56EA" w14:textId="77777777" w:rsidTr="00566B8E">
        <w:trPr>
          <w:trHeight w:val="20"/>
        </w:trPr>
        <w:tc>
          <w:tcPr>
            <w:tcW w:w="584" w:type="pct"/>
          </w:tcPr>
          <w:p w14:paraId="1F1B2557" w14:textId="77777777" w:rsidR="00DC25DC" w:rsidRPr="00F45F11" w:rsidRDefault="00DC25DC" w:rsidP="009817E6">
            <w:pPr>
              <w:pStyle w:val="ARTabletext"/>
            </w:pPr>
            <w:r w:rsidRPr="00F45F11">
              <w:t xml:space="preserve">Review of the physical restraint direction paper </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6F743160" w14:textId="77777777" w:rsidR="00DC25DC" w:rsidRPr="00F45F11" w:rsidRDefault="00DC25DC" w:rsidP="009817E6">
            <w:pPr>
              <w:pStyle w:val="ARTabletext"/>
            </w:pPr>
            <w:r w:rsidRPr="00F45F11">
              <w:t xml:space="preserve">A comprehensive 10-year review of the physical restraint direction paper </w:t>
            </w:r>
          </w:p>
        </w:tc>
        <w:tc>
          <w:tcPr>
            <w:tcW w:w="900" w:type="pct"/>
            <w:tcMar>
              <w:left w:w="113" w:type="dxa"/>
            </w:tcMar>
          </w:tcPr>
          <w:p w14:paraId="5797279C"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Literature review, qualitative and quantitative data analysis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5CD76FB3" w14:textId="14730DE9" w:rsidR="00DC25DC" w:rsidRPr="00F45F11" w:rsidRDefault="00DC25DC" w:rsidP="009817E6">
            <w:pPr>
              <w:pStyle w:val="ARTabletext"/>
            </w:pPr>
            <w:r w:rsidRPr="00F45F11">
              <w:t xml:space="preserve">June 2023 </w:t>
            </w:r>
            <w:r w:rsidR="009E6E55" w:rsidRPr="00F45F11">
              <w:t>to</w:t>
            </w:r>
            <w:r w:rsidR="00566B8E">
              <w:t> </w:t>
            </w:r>
            <w:r w:rsidRPr="00F45F11">
              <w:t>October 2025</w:t>
            </w:r>
          </w:p>
        </w:tc>
        <w:tc>
          <w:tcPr>
            <w:tcW w:w="779" w:type="pct"/>
            <w:tcMar>
              <w:left w:w="113" w:type="dxa"/>
            </w:tcMar>
          </w:tcPr>
          <w:p w14:paraId="4FE512AC"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A stronger framework for the oversight and use of physical restraint in the disability sector.</w:t>
            </w:r>
          </w:p>
        </w:tc>
        <w:tc>
          <w:tcPr>
            <w:cnfStyle w:val="000001000000" w:firstRow="0" w:lastRow="0" w:firstColumn="0" w:lastColumn="0" w:oddVBand="0" w:evenVBand="1" w:oddHBand="0" w:evenHBand="0" w:firstRowFirstColumn="0" w:firstRowLastColumn="0" w:lastRowFirstColumn="0" w:lastRowLastColumn="0"/>
            <w:tcW w:w="438" w:type="pct"/>
          </w:tcPr>
          <w:p w14:paraId="220A38DD" w14:textId="77777777" w:rsidR="00DC25DC" w:rsidRPr="00F45F11" w:rsidRDefault="00DC25DC" w:rsidP="009817E6">
            <w:pPr>
              <w:pStyle w:val="ARtabletextright"/>
            </w:pPr>
            <w:r w:rsidRPr="00F45F11">
              <w:rPr>
                <w:color w:val="000000"/>
              </w:rPr>
              <w:t>6</w:t>
            </w:r>
          </w:p>
        </w:tc>
        <w:tc>
          <w:tcPr>
            <w:tcW w:w="437" w:type="pct"/>
          </w:tcPr>
          <w:p w14:paraId="7D342ABB"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314</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37AEAEA2" w14:textId="384009BA" w:rsidR="00DC25DC" w:rsidRPr="00F45F11" w:rsidRDefault="00DC25DC" w:rsidP="00F8411B">
            <w:pPr>
              <w:pStyle w:val="ARTabletext"/>
              <w:jc w:val="right"/>
              <w:rPr>
                <w:color w:val="000000"/>
              </w:rPr>
            </w:pPr>
            <w:r w:rsidRPr="00F45F11">
              <w:rPr>
                <w:color w:val="000000"/>
              </w:rPr>
              <w:t>N</w:t>
            </w:r>
            <w:r w:rsidR="00840BF9" w:rsidRPr="00F45F11">
              <w:rPr>
                <w:color w:val="000000"/>
              </w:rPr>
              <w:t xml:space="preserve"> – in</w:t>
            </w:r>
            <w:r w:rsidRPr="00F45F11">
              <w:rPr>
                <w:color w:val="000000"/>
              </w:rPr>
              <w:t xml:space="preserve"> progress</w:t>
            </w:r>
          </w:p>
        </w:tc>
      </w:tr>
      <w:tr w:rsidR="00DC25DC" w:rsidRPr="00F45F11" w14:paraId="3D81CA49" w14:textId="77777777" w:rsidTr="00566B8E">
        <w:trPr>
          <w:trHeight w:val="20"/>
        </w:trPr>
        <w:tc>
          <w:tcPr>
            <w:tcW w:w="584" w:type="pct"/>
          </w:tcPr>
          <w:p w14:paraId="7B093595" w14:textId="77777777" w:rsidR="00DC25DC" w:rsidRPr="00F45F11" w:rsidRDefault="00DC25DC" w:rsidP="009817E6">
            <w:pPr>
              <w:pStyle w:val="ARTabletext"/>
            </w:pPr>
            <w:r w:rsidRPr="00F45F11">
              <w:t>Building foundations for rights-based behaviour support in the disability sector</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2B598885" w14:textId="1671C662" w:rsidR="00DC25DC" w:rsidRPr="00F45F11" w:rsidRDefault="00DC25DC" w:rsidP="009817E6">
            <w:pPr>
              <w:pStyle w:val="ARTabletext"/>
            </w:pPr>
            <w:r w:rsidRPr="00F45F11">
              <w:t>Build the capacity of service</w:t>
            </w:r>
            <w:r w:rsidR="002C2ED3">
              <w:t> </w:t>
            </w:r>
            <w:r w:rsidRPr="00F45F11">
              <w:t>provider to create environments that respect a person’s rights and dignity and ultimately improve the quality of life for people with disability</w:t>
            </w:r>
          </w:p>
        </w:tc>
        <w:tc>
          <w:tcPr>
            <w:tcW w:w="900" w:type="pct"/>
            <w:tcMar>
              <w:left w:w="113" w:type="dxa"/>
            </w:tcMar>
          </w:tcPr>
          <w:p w14:paraId="24D725AB"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Literature review, qualitative and quantitative data analysis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6CCCD24E" w14:textId="0BC1EAA2" w:rsidR="00DC25DC" w:rsidRPr="00F45F11" w:rsidRDefault="00DC25DC" w:rsidP="009817E6">
            <w:pPr>
              <w:pStyle w:val="ARTabletext"/>
            </w:pPr>
            <w:r w:rsidRPr="00F45F11">
              <w:t xml:space="preserve">June 2024 </w:t>
            </w:r>
            <w:r w:rsidR="009E6E55" w:rsidRPr="00F45F11">
              <w:t>to</w:t>
            </w:r>
            <w:r w:rsidRPr="00F45F11">
              <w:t xml:space="preserve"> December 2025</w:t>
            </w:r>
          </w:p>
        </w:tc>
        <w:tc>
          <w:tcPr>
            <w:tcW w:w="779" w:type="pct"/>
            <w:tcMar>
              <w:left w:w="113" w:type="dxa"/>
            </w:tcMar>
          </w:tcPr>
          <w:p w14:paraId="08ACFB97" w14:textId="2B35CDB3"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Develop evidence-based service guidelines (minimum expectations) for rights-based behaviour support for</w:t>
            </w:r>
            <w:r w:rsidR="00C86A97">
              <w:t> </w:t>
            </w:r>
            <w:r w:rsidRPr="00F45F11">
              <w:t>disabled people in</w:t>
            </w:r>
            <w:r w:rsidR="00C86A97">
              <w:t> </w:t>
            </w:r>
            <w:r w:rsidRPr="00F45F11">
              <w:t>supported independent</w:t>
            </w:r>
            <w:r w:rsidR="002C2ED3">
              <w:t> </w:t>
            </w:r>
            <w:r w:rsidRPr="00F45F11">
              <w:t>living</w:t>
            </w:r>
          </w:p>
        </w:tc>
        <w:tc>
          <w:tcPr>
            <w:cnfStyle w:val="000001000000" w:firstRow="0" w:lastRow="0" w:firstColumn="0" w:lastColumn="0" w:oddVBand="0" w:evenVBand="1" w:oddHBand="0" w:evenHBand="0" w:firstRowFirstColumn="0" w:firstRowLastColumn="0" w:lastRowFirstColumn="0" w:lastRowLastColumn="0"/>
            <w:tcW w:w="438" w:type="pct"/>
          </w:tcPr>
          <w:p w14:paraId="6F3C9011" w14:textId="77777777" w:rsidR="00DC25DC" w:rsidRPr="00F45F11" w:rsidRDefault="00DC25DC" w:rsidP="009817E6">
            <w:pPr>
              <w:pStyle w:val="ARtabletextright"/>
            </w:pPr>
            <w:r w:rsidRPr="00F45F11">
              <w:rPr>
                <w:color w:val="000000"/>
              </w:rPr>
              <w:t>20</w:t>
            </w:r>
          </w:p>
        </w:tc>
        <w:tc>
          <w:tcPr>
            <w:tcW w:w="437" w:type="pct"/>
          </w:tcPr>
          <w:p w14:paraId="016FCF92"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75</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34B276BC" w14:textId="5591861F" w:rsidR="00DC25DC" w:rsidRPr="00F45F11" w:rsidRDefault="00DC25DC" w:rsidP="00F8411B">
            <w:pPr>
              <w:pStyle w:val="ARTabletext"/>
              <w:jc w:val="right"/>
              <w:rPr>
                <w:color w:val="000000"/>
              </w:rPr>
            </w:pPr>
            <w:r w:rsidRPr="00F45F11">
              <w:rPr>
                <w:color w:val="000000" w:themeColor="text1"/>
              </w:rPr>
              <w:t>Y</w:t>
            </w:r>
            <w:r w:rsidR="00840BF9" w:rsidRPr="00F45F11">
              <w:rPr>
                <w:color w:val="000000" w:themeColor="text1"/>
              </w:rPr>
              <w:t xml:space="preserve"> – </w:t>
            </w:r>
            <w:hyperlink r:id="rId73">
              <w:r w:rsidRPr="00F45F11">
                <w:rPr>
                  <w:rStyle w:val="Hyperlink"/>
                  <w:rFonts w:asciiTheme="majorHAnsi" w:hAnsiTheme="majorHAnsi" w:cstheme="majorHAnsi"/>
                  <w:sz w:val="16"/>
                  <w:szCs w:val="16"/>
                </w:rPr>
                <w:t>The department's Research into restrictive practices and compulsory treatment webpage</w:t>
              </w:r>
            </w:hyperlink>
            <w:r w:rsidRPr="00F45F11">
              <w:rPr>
                <w:rStyle w:val="FootnoteReference"/>
              </w:rPr>
              <w:footnoteReference w:id="19"/>
            </w:r>
          </w:p>
        </w:tc>
      </w:tr>
      <w:tr w:rsidR="00DC25DC" w:rsidRPr="00F45F11" w14:paraId="0811E2E5" w14:textId="77777777" w:rsidTr="00566B8E">
        <w:trPr>
          <w:trHeight w:val="20"/>
        </w:trPr>
        <w:tc>
          <w:tcPr>
            <w:tcW w:w="584" w:type="pct"/>
          </w:tcPr>
          <w:p w14:paraId="373A3101" w14:textId="77777777" w:rsidR="00DC25DC" w:rsidRPr="00F45F11" w:rsidRDefault="00DC25DC" w:rsidP="009817E6">
            <w:pPr>
              <w:pStyle w:val="ARTabletext"/>
            </w:pPr>
            <w:r w:rsidRPr="00F45F11">
              <w:t>Monitoring of psychotropic medications in children and adolescents with developmental disorders</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4E76CF13" w14:textId="2478AF30" w:rsidR="00DC25DC" w:rsidRPr="00F45F11" w:rsidRDefault="00DC25DC" w:rsidP="009817E6">
            <w:pPr>
              <w:pStyle w:val="ARTabletext"/>
            </w:pPr>
            <w:r w:rsidRPr="00F45F11">
              <w:t xml:space="preserve">Examine whether adolescents with intellectual disabilities who are treated with psychotropic medications at </w:t>
            </w:r>
            <w:r w:rsidR="00D14C50" w:rsidRPr="00F45F11">
              <w:t>T</w:t>
            </w:r>
            <w:r w:rsidRPr="00F45F11">
              <w:t>he Royal Children’s Hospital receive appropriate monitoring for effectiveness and adverse effects</w:t>
            </w:r>
          </w:p>
        </w:tc>
        <w:tc>
          <w:tcPr>
            <w:tcW w:w="900" w:type="pct"/>
            <w:tcMar>
              <w:left w:w="113" w:type="dxa"/>
            </w:tcMar>
          </w:tcPr>
          <w:p w14:paraId="3EF2F254"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Literature review, quantitative data analysis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094765F9" w14:textId="4AD32801" w:rsidR="00DC25DC" w:rsidRPr="00F45F11" w:rsidRDefault="00DC25DC" w:rsidP="009817E6">
            <w:pPr>
              <w:pStyle w:val="ARTabletext"/>
            </w:pPr>
            <w:r w:rsidRPr="00F45F11">
              <w:t xml:space="preserve">April 2025 </w:t>
            </w:r>
            <w:r w:rsidR="009E6E55" w:rsidRPr="00F45F11">
              <w:t>to</w:t>
            </w:r>
            <w:r w:rsidRPr="00F45F11">
              <w:t xml:space="preserve"> December 2026</w:t>
            </w:r>
          </w:p>
        </w:tc>
        <w:tc>
          <w:tcPr>
            <w:tcW w:w="779" w:type="pct"/>
            <w:tcMar>
              <w:left w:w="113" w:type="dxa"/>
            </w:tcMar>
          </w:tcPr>
          <w:p w14:paraId="131FB2B0" w14:textId="21B298EA"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Improved understanding of quality of monitoring relative to best practice standards and identification of effective interventions that can be applied</w:t>
            </w:r>
          </w:p>
        </w:tc>
        <w:tc>
          <w:tcPr>
            <w:cnfStyle w:val="000001000000" w:firstRow="0" w:lastRow="0" w:firstColumn="0" w:lastColumn="0" w:oddVBand="0" w:evenVBand="1" w:oddHBand="0" w:evenHBand="0" w:firstRowFirstColumn="0" w:firstRowLastColumn="0" w:lastRowFirstColumn="0" w:lastRowLastColumn="0"/>
            <w:tcW w:w="438" w:type="pct"/>
          </w:tcPr>
          <w:p w14:paraId="4216CA60" w14:textId="77777777" w:rsidR="00DC25DC" w:rsidRPr="00F45F11" w:rsidRDefault="00DC25DC" w:rsidP="009817E6">
            <w:pPr>
              <w:pStyle w:val="ARtabletextright"/>
            </w:pPr>
            <w:r w:rsidRPr="00F45F11">
              <w:rPr>
                <w:color w:val="000000"/>
              </w:rPr>
              <w:t>8</w:t>
            </w:r>
          </w:p>
        </w:tc>
        <w:tc>
          <w:tcPr>
            <w:tcW w:w="437" w:type="pct"/>
          </w:tcPr>
          <w:p w14:paraId="7F5EA6CE"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N/A</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3589F1E6" w14:textId="0B6861D6" w:rsidR="00DC25DC" w:rsidRPr="00F45F11" w:rsidRDefault="00DC25DC" w:rsidP="00F8411B">
            <w:pPr>
              <w:pStyle w:val="ARTabletext"/>
              <w:jc w:val="right"/>
              <w:rPr>
                <w:color w:val="000000"/>
              </w:rPr>
            </w:pPr>
            <w:r w:rsidRPr="00F45F11">
              <w:rPr>
                <w:color w:val="000000"/>
              </w:rPr>
              <w:t>N</w:t>
            </w:r>
            <w:r w:rsidR="00840BF9" w:rsidRPr="00F45F11">
              <w:rPr>
                <w:color w:val="000000"/>
              </w:rPr>
              <w:t xml:space="preserve"> – i</w:t>
            </w:r>
            <w:r w:rsidRPr="00F45F11">
              <w:rPr>
                <w:color w:val="000000"/>
              </w:rPr>
              <w:t>n progress</w:t>
            </w:r>
          </w:p>
        </w:tc>
      </w:tr>
      <w:tr w:rsidR="00DC25DC" w:rsidRPr="00F45F11" w14:paraId="1E56CC3E" w14:textId="77777777" w:rsidTr="00566B8E">
        <w:trPr>
          <w:trHeight w:val="20"/>
        </w:trPr>
        <w:tc>
          <w:tcPr>
            <w:tcW w:w="584" w:type="pct"/>
          </w:tcPr>
          <w:p w14:paraId="313A129B" w14:textId="77777777" w:rsidR="00DC25DC" w:rsidRPr="00F45F11" w:rsidRDefault="00DC25DC" w:rsidP="009817E6">
            <w:pPr>
              <w:pStyle w:val="ARTabletext"/>
            </w:pPr>
            <w:r w:rsidRPr="00F45F11">
              <w:t>Clinical practice review framework project</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1BE88C9E" w14:textId="51CD624E" w:rsidR="00DC25DC" w:rsidRPr="00F45F11" w:rsidRDefault="00DC25DC" w:rsidP="009817E6">
            <w:pPr>
              <w:pStyle w:val="ARTabletext"/>
            </w:pPr>
            <w:r w:rsidRPr="00F45F11">
              <w:t>Develop a clinical practice review framework for the Victorian Senior Practitioner to oversee people subject to Supervised Treatment Orders</w:t>
            </w:r>
          </w:p>
        </w:tc>
        <w:tc>
          <w:tcPr>
            <w:tcW w:w="900" w:type="pct"/>
            <w:tcMar>
              <w:left w:w="113" w:type="dxa"/>
            </w:tcMar>
          </w:tcPr>
          <w:p w14:paraId="05BEECED" w14:textId="77777777" w:rsidR="00D14C50"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Analysis of current practice</w:t>
            </w:r>
          </w:p>
          <w:p w14:paraId="436747BD" w14:textId="04168549"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Pilot testing of evidence-based approaches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6C37FC4B" w14:textId="6F03F7C4" w:rsidR="00DC25DC" w:rsidRPr="00F45F11" w:rsidRDefault="00DC25DC" w:rsidP="009817E6">
            <w:pPr>
              <w:pStyle w:val="ARTabletext"/>
            </w:pPr>
            <w:r w:rsidRPr="00F45F11">
              <w:t xml:space="preserve">April 2026 </w:t>
            </w:r>
            <w:r w:rsidR="009E6E55" w:rsidRPr="00F45F11">
              <w:t>to</w:t>
            </w:r>
            <w:r w:rsidRPr="00F45F11">
              <w:t xml:space="preserve"> December 2026</w:t>
            </w:r>
          </w:p>
        </w:tc>
        <w:tc>
          <w:tcPr>
            <w:tcW w:w="779" w:type="pct"/>
            <w:tcMar>
              <w:left w:w="113" w:type="dxa"/>
            </w:tcMar>
          </w:tcPr>
          <w:p w14:paraId="3AD6B2E5"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Development of a framework to guide practice</w:t>
            </w:r>
          </w:p>
        </w:tc>
        <w:tc>
          <w:tcPr>
            <w:cnfStyle w:val="000001000000" w:firstRow="0" w:lastRow="0" w:firstColumn="0" w:lastColumn="0" w:oddVBand="0" w:evenVBand="1" w:oddHBand="0" w:evenHBand="0" w:firstRowFirstColumn="0" w:firstRowLastColumn="0" w:lastRowFirstColumn="0" w:lastRowLastColumn="0"/>
            <w:tcW w:w="438" w:type="pct"/>
          </w:tcPr>
          <w:p w14:paraId="5999D986" w14:textId="77777777" w:rsidR="00DC25DC" w:rsidRPr="00F45F11" w:rsidRDefault="00DC25DC" w:rsidP="009817E6">
            <w:pPr>
              <w:pStyle w:val="ARtabletextright"/>
            </w:pPr>
            <w:r w:rsidRPr="00F45F11">
              <w:rPr>
                <w:color w:val="000000"/>
              </w:rPr>
              <w:t>6</w:t>
            </w:r>
          </w:p>
        </w:tc>
        <w:tc>
          <w:tcPr>
            <w:tcW w:w="437" w:type="pct"/>
          </w:tcPr>
          <w:p w14:paraId="7E3ADDD1"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N/A</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00177100" w14:textId="74DFB3F3" w:rsidR="00DC25DC" w:rsidRPr="00F45F11" w:rsidRDefault="00DC25DC" w:rsidP="00F8411B">
            <w:pPr>
              <w:pStyle w:val="ARTabletext"/>
              <w:jc w:val="right"/>
              <w:rPr>
                <w:color w:val="000000"/>
              </w:rPr>
            </w:pPr>
            <w:r w:rsidRPr="00F45F11">
              <w:rPr>
                <w:color w:val="000000"/>
              </w:rPr>
              <w:t>N</w:t>
            </w:r>
            <w:r w:rsidR="00840BF9" w:rsidRPr="00F45F11">
              <w:rPr>
                <w:color w:val="000000"/>
              </w:rPr>
              <w:t xml:space="preserve"> – i</w:t>
            </w:r>
            <w:r w:rsidRPr="00F45F11">
              <w:rPr>
                <w:color w:val="000000"/>
              </w:rPr>
              <w:t>n progress</w:t>
            </w:r>
          </w:p>
        </w:tc>
      </w:tr>
      <w:tr w:rsidR="00DC25DC" w:rsidRPr="00F45F11" w14:paraId="1BC76F77" w14:textId="77777777" w:rsidTr="00566B8E">
        <w:trPr>
          <w:trHeight w:val="20"/>
        </w:trPr>
        <w:tc>
          <w:tcPr>
            <w:tcW w:w="584" w:type="pct"/>
          </w:tcPr>
          <w:p w14:paraId="02E625B2" w14:textId="77777777" w:rsidR="00DC25DC" w:rsidRPr="00F45F11" w:rsidRDefault="00DC25DC" w:rsidP="009817E6">
            <w:pPr>
              <w:pStyle w:val="ARTabletext"/>
            </w:pPr>
            <w:r w:rsidRPr="00F45F11">
              <w:t>Housing workload review</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5240BD22" w14:textId="4507766D" w:rsidR="00DC25DC" w:rsidRPr="00F45F11" w:rsidRDefault="00DC25DC" w:rsidP="009817E6">
            <w:pPr>
              <w:pStyle w:val="ARTabletext"/>
            </w:pPr>
            <w:r w:rsidRPr="00F45F11">
              <w:t xml:space="preserve">Meet commitment in the </w:t>
            </w:r>
            <w:r w:rsidRPr="00A124D1">
              <w:rPr>
                <w:rStyle w:val="Emphasis"/>
              </w:rPr>
              <w:t>Victorian Public Service Enterprise Agreement 2024</w:t>
            </w:r>
            <w:r w:rsidRPr="00F45F11">
              <w:t> to undertake a comprehensive housing workload review</w:t>
            </w:r>
          </w:p>
        </w:tc>
        <w:tc>
          <w:tcPr>
            <w:tcW w:w="900" w:type="pct"/>
            <w:tcMar>
              <w:left w:w="113" w:type="dxa"/>
            </w:tcMar>
          </w:tcPr>
          <w:p w14:paraId="18A4A649" w14:textId="4A5704E5"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Analysis of operational, performance and financial data, comparison with housing programs in other Australian jurisdictions, and analysis of functions and responsibilities of housing staff and the time required to complete tasks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7F8BFC55" w14:textId="0763A21B" w:rsidR="00DC25DC" w:rsidRPr="00F45F11" w:rsidRDefault="00DC25DC" w:rsidP="009817E6">
            <w:pPr>
              <w:pStyle w:val="ARTabletext"/>
            </w:pPr>
            <w:r w:rsidRPr="00F45F11">
              <w:t xml:space="preserve">August 2025 </w:t>
            </w:r>
            <w:r w:rsidR="009E6E55" w:rsidRPr="00F45F11">
              <w:t>to</w:t>
            </w:r>
            <w:r w:rsidRPr="00F45F11">
              <w:t xml:space="preserve"> December 2025</w:t>
            </w:r>
          </w:p>
        </w:tc>
        <w:tc>
          <w:tcPr>
            <w:tcW w:w="779" w:type="pct"/>
            <w:tcMar>
              <w:left w:w="113" w:type="dxa"/>
            </w:tcMar>
          </w:tcPr>
          <w:p w14:paraId="385C4376" w14:textId="144EA24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Implementation of opportunities to support management of workload as identified in final report</w:t>
            </w:r>
          </w:p>
        </w:tc>
        <w:tc>
          <w:tcPr>
            <w:cnfStyle w:val="000001000000" w:firstRow="0" w:lastRow="0" w:firstColumn="0" w:lastColumn="0" w:oddVBand="0" w:evenVBand="1" w:oddHBand="0" w:evenHBand="0" w:firstRowFirstColumn="0" w:firstRowLastColumn="0" w:lastRowFirstColumn="0" w:lastRowLastColumn="0"/>
            <w:tcW w:w="438" w:type="pct"/>
          </w:tcPr>
          <w:p w14:paraId="4694E600" w14:textId="77777777" w:rsidR="00DC25DC" w:rsidRPr="00F45F11" w:rsidRDefault="00DC25DC" w:rsidP="009817E6">
            <w:pPr>
              <w:pStyle w:val="ARtabletextright"/>
            </w:pPr>
            <w:r w:rsidRPr="00F45F11">
              <w:rPr>
                <w:color w:val="000000"/>
              </w:rPr>
              <w:t>124</w:t>
            </w:r>
          </w:p>
        </w:tc>
        <w:tc>
          <w:tcPr>
            <w:tcW w:w="437" w:type="pct"/>
          </w:tcPr>
          <w:p w14:paraId="59486990"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124</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7914532A" w14:textId="239CFF98" w:rsidR="00DC25DC" w:rsidRPr="00F45F11" w:rsidRDefault="00DC25DC" w:rsidP="00F8411B">
            <w:pPr>
              <w:pStyle w:val="ARTabletext"/>
              <w:jc w:val="right"/>
              <w:rPr>
                <w:color w:val="000000"/>
              </w:rPr>
            </w:pPr>
            <w:r w:rsidRPr="00F45F11">
              <w:rPr>
                <w:color w:val="000000" w:themeColor="text1"/>
              </w:rPr>
              <w:t>N</w:t>
            </w:r>
            <w:r w:rsidR="00840BF9" w:rsidRPr="00F45F11">
              <w:rPr>
                <w:color w:val="000000" w:themeColor="text1"/>
              </w:rPr>
              <w:t xml:space="preserve"> – i</w:t>
            </w:r>
            <w:r w:rsidRPr="00F45F11">
              <w:rPr>
                <w:color w:val="000000" w:themeColor="text1"/>
              </w:rPr>
              <w:t>nternal document only. Final report made available to housing operations staff</w:t>
            </w:r>
            <w:r w:rsidR="002C2ED3">
              <w:rPr>
                <w:color w:val="000000" w:themeColor="text1"/>
              </w:rPr>
              <w:t> </w:t>
            </w:r>
            <w:r w:rsidRPr="00F45F11">
              <w:rPr>
                <w:color w:val="000000" w:themeColor="text1"/>
              </w:rPr>
              <w:t xml:space="preserve">and the </w:t>
            </w:r>
            <w:r w:rsidRPr="00F45F11">
              <w:t>Community and</w:t>
            </w:r>
            <w:r w:rsidR="002C2ED3">
              <w:t> </w:t>
            </w:r>
            <w:r w:rsidRPr="00F45F11">
              <w:t>Public Sector Union</w:t>
            </w:r>
            <w:r w:rsidRPr="00F45F11">
              <w:rPr>
                <w:color w:val="000000" w:themeColor="text1"/>
              </w:rPr>
              <w:t>.</w:t>
            </w:r>
          </w:p>
        </w:tc>
      </w:tr>
      <w:tr w:rsidR="00DC25DC" w:rsidRPr="00F45F11" w14:paraId="55438D5B" w14:textId="77777777" w:rsidTr="00566B8E">
        <w:trPr>
          <w:trHeight w:val="20"/>
        </w:trPr>
        <w:tc>
          <w:tcPr>
            <w:tcW w:w="584" w:type="pct"/>
          </w:tcPr>
          <w:p w14:paraId="4D0BEFC9" w14:textId="77777777" w:rsidR="00DC25DC" w:rsidRPr="00F45F11" w:rsidRDefault="00DC25DC" w:rsidP="009817E6">
            <w:pPr>
              <w:pStyle w:val="ARTabletext"/>
            </w:pPr>
            <w:r w:rsidRPr="00F45F11">
              <w:t>Review of the new After-Hours Service model and roster</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5DFADDC4" w14:textId="09D68A8E" w:rsidR="00DC25DC" w:rsidRPr="00F45F11" w:rsidRDefault="00DC25DC" w:rsidP="009817E6">
            <w:pPr>
              <w:pStyle w:val="ARTabletext"/>
            </w:pPr>
            <w:r w:rsidRPr="00F45F11">
              <w:t xml:space="preserve">Independent review of new rosters for After Hours Services rural based teams. </w:t>
            </w:r>
          </w:p>
        </w:tc>
        <w:tc>
          <w:tcPr>
            <w:tcW w:w="900" w:type="pct"/>
            <w:tcMar>
              <w:left w:w="113" w:type="dxa"/>
            </w:tcMar>
          </w:tcPr>
          <w:p w14:paraId="7C1A89AE" w14:textId="77777777" w:rsidR="00DC25DC" w:rsidRPr="00376783" w:rsidRDefault="00DC25DC" w:rsidP="00376783">
            <w:pPr>
              <w:pStyle w:val="ARTabletext"/>
              <w:cnfStyle w:val="000000000000" w:firstRow="0" w:lastRow="0" w:firstColumn="0" w:lastColumn="0" w:oddVBand="0" w:evenVBand="0" w:oddHBand="0" w:evenHBand="0" w:firstRowFirstColumn="0" w:firstRowLastColumn="0" w:lastRowFirstColumn="0" w:lastRowLastColumn="0"/>
            </w:pPr>
            <w:r w:rsidRPr="00376783">
              <w:t xml:space="preserve">Desktop review of the Child Protection After Hours Services rural rosters, including distance driving, length of shifts and night shifts </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2120E47B" w14:textId="427A66FF" w:rsidR="00DC25DC" w:rsidRPr="00F45F11" w:rsidRDefault="00DC25DC" w:rsidP="009817E6">
            <w:pPr>
              <w:pStyle w:val="ARTabletext"/>
            </w:pPr>
            <w:r w:rsidRPr="00F45F11">
              <w:t xml:space="preserve">July 2025 </w:t>
            </w:r>
            <w:r w:rsidR="009E6E55" w:rsidRPr="00F45F11">
              <w:t>to</w:t>
            </w:r>
            <w:r w:rsidR="00566B8E">
              <w:t> </w:t>
            </w:r>
            <w:r w:rsidRPr="00F45F11">
              <w:t>October 2025</w:t>
            </w:r>
          </w:p>
        </w:tc>
        <w:tc>
          <w:tcPr>
            <w:tcW w:w="779" w:type="pct"/>
            <w:tcMar>
              <w:left w:w="113" w:type="dxa"/>
            </w:tcMar>
          </w:tcPr>
          <w:p w14:paraId="05E9F75D" w14:textId="04B542C9"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Fatigue management strategies in place with oversight from senior people managers aimed at improving worker safety for both planned and unplanned outreaches when staff are rostered on a shift</w:t>
            </w:r>
          </w:p>
        </w:tc>
        <w:tc>
          <w:tcPr>
            <w:cnfStyle w:val="000001000000" w:firstRow="0" w:lastRow="0" w:firstColumn="0" w:lastColumn="0" w:oddVBand="0" w:evenVBand="1" w:oddHBand="0" w:evenHBand="0" w:firstRowFirstColumn="0" w:firstRowLastColumn="0" w:lastRowFirstColumn="0" w:lastRowLastColumn="0"/>
            <w:tcW w:w="438" w:type="pct"/>
          </w:tcPr>
          <w:p w14:paraId="7BC3527E" w14:textId="77777777" w:rsidR="00DC25DC" w:rsidRPr="00F45F11" w:rsidRDefault="00DC25DC" w:rsidP="009817E6">
            <w:pPr>
              <w:pStyle w:val="ARtabletextright"/>
            </w:pPr>
            <w:r w:rsidRPr="00F45F11">
              <w:rPr>
                <w:color w:val="000000"/>
              </w:rPr>
              <w:t>30</w:t>
            </w:r>
          </w:p>
        </w:tc>
        <w:tc>
          <w:tcPr>
            <w:tcW w:w="437" w:type="pct"/>
          </w:tcPr>
          <w:p w14:paraId="0F40B652"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30</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32111AF2" w14:textId="670E35BD" w:rsidR="00DC25DC" w:rsidRPr="00F45F11" w:rsidRDefault="00DC25DC" w:rsidP="00F8411B">
            <w:pPr>
              <w:pStyle w:val="ARTabletext"/>
              <w:jc w:val="right"/>
              <w:rPr>
                <w:color w:val="000000"/>
              </w:rPr>
            </w:pPr>
            <w:r w:rsidRPr="00F45F11">
              <w:rPr>
                <w:color w:val="000000"/>
              </w:rPr>
              <w:t>N</w:t>
            </w:r>
            <w:r w:rsidR="00840BF9" w:rsidRPr="00F45F11">
              <w:rPr>
                <w:color w:val="000000"/>
              </w:rPr>
              <w:t xml:space="preserve"> – i</w:t>
            </w:r>
            <w:r w:rsidRPr="00F45F11">
              <w:rPr>
                <w:color w:val="000000"/>
              </w:rPr>
              <w:t xml:space="preserve">nternal document only </w:t>
            </w:r>
          </w:p>
        </w:tc>
      </w:tr>
      <w:tr w:rsidR="00DC25DC" w:rsidRPr="00F45F11" w14:paraId="61FA53CC" w14:textId="77777777" w:rsidTr="00566B8E">
        <w:trPr>
          <w:trHeight w:val="20"/>
        </w:trPr>
        <w:tc>
          <w:tcPr>
            <w:tcW w:w="584" w:type="pct"/>
          </w:tcPr>
          <w:p w14:paraId="1B92B4ED" w14:textId="77777777" w:rsidR="00DC25DC" w:rsidRPr="00F45F11" w:rsidRDefault="00DC25DC" w:rsidP="009817E6">
            <w:pPr>
              <w:pStyle w:val="ARTabletext"/>
            </w:pPr>
            <w:r w:rsidRPr="00F45F11">
              <w:t>Independent review of residential care</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6633ABE8" w14:textId="780D25A4" w:rsidR="00DC25DC" w:rsidRPr="00F45F11" w:rsidRDefault="00DC25DC" w:rsidP="009817E6">
            <w:pPr>
              <w:pStyle w:val="ARTabletext"/>
            </w:pPr>
            <w:r w:rsidRPr="00F45F11">
              <w:rPr>
                <w:rFonts w:eastAsia="Times"/>
                <w:lang w:eastAsia="en-AU"/>
              </w:rPr>
              <w:t>To identify the current oversight and assurance mechanisms that the Department of Families, Fairness and Housing has in</w:t>
            </w:r>
            <w:r w:rsidR="00566B8E">
              <w:rPr>
                <w:rFonts w:eastAsia="Times"/>
                <w:lang w:eastAsia="en-AU"/>
              </w:rPr>
              <w:t> </w:t>
            </w:r>
            <w:r w:rsidRPr="00F45F11">
              <w:rPr>
                <w:rFonts w:eastAsia="Times"/>
                <w:lang w:eastAsia="en-AU"/>
              </w:rPr>
              <w:t>relation to residential care</w:t>
            </w:r>
          </w:p>
        </w:tc>
        <w:tc>
          <w:tcPr>
            <w:tcW w:w="900" w:type="pct"/>
            <w:tcMar>
              <w:left w:w="113" w:type="dxa"/>
            </w:tcMar>
          </w:tcPr>
          <w:p w14:paraId="6756CBE1" w14:textId="0855B422"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Review of policy and procedural documents and consultation with key subject matter experts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07D86676" w14:textId="5AEC281C" w:rsidR="00DC25DC" w:rsidRPr="00F45F11" w:rsidRDefault="00DC25DC" w:rsidP="009817E6">
            <w:pPr>
              <w:pStyle w:val="ARTabletext"/>
            </w:pPr>
            <w:r w:rsidRPr="00F45F11">
              <w:t xml:space="preserve">July 2025 </w:t>
            </w:r>
            <w:r w:rsidR="009E6E55" w:rsidRPr="00F45F11">
              <w:t>to</w:t>
            </w:r>
            <w:r w:rsidRPr="00F45F11">
              <w:t xml:space="preserve"> August 2025</w:t>
            </w:r>
          </w:p>
        </w:tc>
        <w:tc>
          <w:tcPr>
            <w:tcW w:w="779" w:type="pct"/>
            <w:tcMar>
              <w:left w:w="113" w:type="dxa"/>
            </w:tcMar>
          </w:tcPr>
          <w:p w14:paraId="13DF69AD" w14:textId="30CB9702"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To provide advice on whether the quality of oversight is appropriate and identify improvements for consideration</w:t>
            </w:r>
          </w:p>
        </w:tc>
        <w:tc>
          <w:tcPr>
            <w:cnfStyle w:val="000001000000" w:firstRow="0" w:lastRow="0" w:firstColumn="0" w:lastColumn="0" w:oddVBand="0" w:evenVBand="1" w:oddHBand="0" w:evenHBand="0" w:firstRowFirstColumn="0" w:firstRowLastColumn="0" w:lastRowFirstColumn="0" w:lastRowLastColumn="0"/>
            <w:tcW w:w="438" w:type="pct"/>
          </w:tcPr>
          <w:p w14:paraId="7CE5DD26" w14:textId="77777777" w:rsidR="00DC25DC" w:rsidRPr="00F45F11" w:rsidRDefault="00DC25DC" w:rsidP="009817E6">
            <w:pPr>
              <w:pStyle w:val="ARtabletextright"/>
            </w:pPr>
            <w:r w:rsidRPr="00F45F11">
              <w:rPr>
                <w:color w:val="000000"/>
              </w:rPr>
              <w:t>44</w:t>
            </w:r>
          </w:p>
        </w:tc>
        <w:tc>
          <w:tcPr>
            <w:tcW w:w="437" w:type="pct"/>
          </w:tcPr>
          <w:p w14:paraId="1961E9B4"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44</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69078EB3" w14:textId="7C2EFFC4" w:rsidR="00DC25DC" w:rsidRPr="00F45F11" w:rsidRDefault="00DC25DC" w:rsidP="00F8411B">
            <w:pPr>
              <w:pStyle w:val="ARTabletext"/>
              <w:jc w:val="right"/>
              <w:rPr>
                <w:color w:val="000000"/>
              </w:rPr>
            </w:pPr>
            <w:r w:rsidRPr="00F45F11">
              <w:rPr>
                <w:color w:val="000000"/>
              </w:rPr>
              <w:t>N</w:t>
            </w:r>
            <w:r w:rsidR="00840BF9" w:rsidRPr="00F45F11">
              <w:rPr>
                <w:color w:val="000000"/>
              </w:rPr>
              <w:t xml:space="preserve"> – in</w:t>
            </w:r>
            <w:r w:rsidRPr="00F45F11">
              <w:rPr>
                <w:color w:val="000000"/>
              </w:rPr>
              <w:t>ternal document only</w:t>
            </w:r>
          </w:p>
        </w:tc>
      </w:tr>
      <w:tr w:rsidR="00DC25DC" w:rsidRPr="00F45F11" w14:paraId="1AE60548" w14:textId="77777777" w:rsidTr="00566B8E">
        <w:trPr>
          <w:trHeight w:val="20"/>
        </w:trPr>
        <w:tc>
          <w:tcPr>
            <w:tcW w:w="584" w:type="pct"/>
          </w:tcPr>
          <w:p w14:paraId="5B6DB317" w14:textId="43A746B6" w:rsidR="00DC25DC" w:rsidRPr="00F45F11" w:rsidRDefault="00DC25DC" w:rsidP="009817E6">
            <w:pPr>
              <w:pStyle w:val="ARTabletext"/>
            </w:pPr>
            <w:r w:rsidRPr="00F45F11">
              <w:t xml:space="preserve">Diagnostic </w:t>
            </w:r>
            <w:r w:rsidR="00D14C50" w:rsidRPr="00F45F11">
              <w:t>r</w:t>
            </w:r>
            <w:r w:rsidRPr="00F45F11">
              <w:t xml:space="preserve">eview of </w:t>
            </w:r>
            <w:r w:rsidR="00C34021">
              <w:t>housing</w:t>
            </w:r>
            <w:r w:rsidRPr="00F45F11">
              <w:t xml:space="preserve"> </w:t>
            </w:r>
            <w:r w:rsidR="00D14C50" w:rsidRPr="00F45F11">
              <w:t>p</w:t>
            </w:r>
            <w:r w:rsidRPr="00F45F11">
              <w:t xml:space="preserve">rogram </w:t>
            </w:r>
            <w:r w:rsidR="00D14C50" w:rsidRPr="00F45F11">
              <w:t>m</w:t>
            </w:r>
            <w:r w:rsidRPr="00F45F11">
              <w:t xml:space="preserve">anagement </w:t>
            </w:r>
            <w:r w:rsidR="00D14C50" w:rsidRPr="00F45F11">
              <w:t>s</w:t>
            </w:r>
            <w:r w:rsidRPr="00F45F11">
              <w:t xml:space="preserve">ystem </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1A7C6E79" w14:textId="339DD5EB" w:rsidR="00DC25DC" w:rsidRPr="00F45F11" w:rsidRDefault="0071462B" w:rsidP="009817E6">
            <w:pPr>
              <w:pStyle w:val="ARTabletext"/>
            </w:pPr>
            <w:r>
              <w:rPr>
                <w:rFonts w:eastAsiaTheme="minorEastAsia"/>
              </w:rPr>
              <w:t>To</w:t>
            </w:r>
            <w:r w:rsidR="00DC25DC" w:rsidRPr="00F45F11">
              <w:rPr>
                <w:rFonts w:eastAsiaTheme="minorEastAsia"/>
              </w:rPr>
              <w:t xml:space="preserve"> assess and provide recommendations to support ongoing enhancement to the </w:t>
            </w:r>
            <w:r>
              <w:rPr>
                <w:rFonts w:eastAsiaTheme="minorEastAsia"/>
              </w:rPr>
              <w:t>housing program management</w:t>
            </w:r>
            <w:r w:rsidR="00B1003A">
              <w:rPr>
                <w:rFonts w:eastAsiaTheme="minorEastAsia"/>
              </w:rPr>
              <w:t> </w:t>
            </w:r>
            <w:r>
              <w:rPr>
                <w:rFonts w:eastAsiaTheme="minorEastAsia"/>
              </w:rPr>
              <w:t>system</w:t>
            </w:r>
          </w:p>
        </w:tc>
        <w:tc>
          <w:tcPr>
            <w:tcW w:w="900" w:type="pct"/>
            <w:tcMar>
              <w:left w:w="113" w:type="dxa"/>
            </w:tcMar>
          </w:tcPr>
          <w:p w14:paraId="32A6C7C3" w14:textId="47A0CC9B"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rPr>
                <w:rFonts w:eastAsiaTheme="minorEastAsia"/>
              </w:rPr>
              <w:t xml:space="preserve">To assess the current and future viability of the </w:t>
            </w:r>
            <w:r w:rsidR="0071462B">
              <w:rPr>
                <w:rFonts w:eastAsiaTheme="minorEastAsia"/>
              </w:rPr>
              <w:t>system</w:t>
            </w:r>
            <w:r w:rsidR="0071462B" w:rsidRPr="00F45F11">
              <w:rPr>
                <w:rFonts w:eastAsiaTheme="minorEastAsia"/>
              </w:rPr>
              <w:t xml:space="preserve"> </w:t>
            </w:r>
            <w:r w:rsidRPr="00F45F11">
              <w:rPr>
                <w:rFonts w:eastAsiaTheme="minorEastAsia"/>
              </w:rPr>
              <w:t>to support the project management for the large</w:t>
            </w:r>
            <w:r w:rsidR="00D14C50" w:rsidRPr="00F45F11">
              <w:rPr>
                <w:rFonts w:eastAsiaTheme="minorEastAsia"/>
              </w:rPr>
              <w:t>-</w:t>
            </w:r>
            <w:r w:rsidRPr="00F45F11">
              <w:rPr>
                <w:rFonts w:eastAsiaTheme="minorEastAsia"/>
              </w:rPr>
              <w:t>scale housing program</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434A5955" w14:textId="5289AD77" w:rsidR="00DC25DC" w:rsidRPr="00F45F11" w:rsidRDefault="00DC25DC" w:rsidP="009817E6">
            <w:pPr>
              <w:pStyle w:val="ARTabletext"/>
            </w:pPr>
            <w:r w:rsidRPr="00F45F11">
              <w:t xml:space="preserve">November 2025 </w:t>
            </w:r>
            <w:r w:rsidR="009E6E55" w:rsidRPr="00F45F11">
              <w:t>to</w:t>
            </w:r>
            <w:r w:rsidRPr="00F45F11">
              <w:t xml:space="preserve"> January 2026</w:t>
            </w:r>
          </w:p>
        </w:tc>
        <w:tc>
          <w:tcPr>
            <w:tcW w:w="779" w:type="pct"/>
            <w:tcMar>
              <w:left w:w="113" w:type="dxa"/>
            </w:tcMar>
          </w:tcPr>
          <w:p w14:paraId="1651F563" w14:textId="0BC12C88"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Enhanced system performance to support project governance and management of the large</w:t>
            </w:r>
            <w:r w:rsidR="00D14C50" w:rsidRPr="00F45F11">
              <w:t>-</w:t>
            </w:r>
            <w:r w:rsidRPr="00F45F11">
              <w:t>scale housing program</w:t>
            </w:r>
          </w:p>
        </w:tc>
        <w:tc>
          <w:tcPr>
            <w:cnfStyle w:val="000001000000" w:firstRow="0" w:lastRow="0" w:firstColumn="0" w:lastColumn="0" w:oddVBand="0" w:evenVBand="1" w:oddHBand="0" w:evenHBand="0" w:firstRowFirstColumn="0" w:firstRowLastColumn="0" w:lastRowFirstColumn="0" w:lastRowLastColumn="0"/>
            <w:tcW w:w="438" w:type="pct"/>
          </w:tcPr>
          <w:p w14:paraId="613F92D5" w14:textId="77777777" w:rsidR="00DC25DC" w:rsidRPr="00F45F11" w:rsidRDefault="00DC25DC" w:rsidP="009817E6">
            <w:pPr>
              <w:pStyle w:val="ARtabletextright"/>
            </w:pPr>
            <w:r w:rsidRPr="00F45F11">
              <w:rPr>
                <w:color w:val="000000"/>
              </w:rPr>
              <w:t>69</w:t>
            </w:r>
          </w:p>
        </w:tc>
        <w:tc>
          <w:tcPr>
            <w:tcW w:w="437" w:type="pct"/>
          </w:tcPr>
          <w:p w14:paraId="5EF0D43D"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69</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39194E85" w14:textId="2A80C0CC" w:rsidR="00DC25DC" w:rsidRPr="00F45F11" w:rsidRDefault="00DC25DC" w:rsidP="00F8411B">
            <w:pPr>
              <w:pStyle w:val="ARTabletext"/>
              <w:jc w:val="right"/>
              <w:rPr>
                <w:color w:val="000000"/>
              </w:rPr>
            </w:pPr>
            <w:r w:rsidRPr="00F45F11">
              <w:rPr>
                <w:color w:val="000000"/>
              </w:rPr>
              <w:t>N</w:t>
            </w:r>
            <w:r w:rsidR="00840BF9" w:rsidRPr="00F45F11">
              <w:rPr>
                <w:color w:val="000000"/>
              </w:rPr>
              <w:t xml:space="preserve"> – i</w:t>
            </w:r>
            <w:r w:rsidRPr="00F45F11">
              <w:rPr>
                <w:color w:val="000000"/>
              </w:rPr>
              <w:t>nternal review</w:t>
            </w:r>
          </w:p>
        </w:tc>
      </w:tr>
      <w:tr w:rsidR="00DC25DC" w:rsidRPr="00F45F11" w14:paraId="7CCE3333" w14:textId="77777777" w:rsidTr="00566B8E">
        <w:trPr>
          <w:trHeight w:val="20"/>
        </w:trPr>
        <w:tc>
          <w:tcPr>
            <w:tcW w:w="584" w:type="pct"/>
          </w:tcPr>
          <w:p w14:paraId="05656125" w14:textId="7ED63550" w:rsidR="00DC25DC" w:rsidRPr="00F45F11" w:rsidRDefault="00DC25DC" w:rsidP="009817E6">
            <w:pPr>
              <w:pStyle w:val="ARTabletext"/>
            </w:pPr>
            <w:r w:rsidRPr="00F45F11">
              <w:t>Aboriginal Private Rental Assistance Program (APRAP) Evaluation</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1D4C6E95" w14:textId="19CB267F" w:rsidR="00DC25DC" w:rsidRPr="00F45F11" w:rsidRDefault="00DC25DC" w:rsidP="009817E6">
            <w:pPr>
              <w:pStyle w:val="ARTabletext"/>
            </w:pPr>
            <w:r w:rsidRPr="00F45F11">
              <w:t>Evaluation to inform program</w:t>
            </w:r>
            <w:r w:rsidR="00566B8E">
              <w:t> </w:t>
            </w:r>
            <w:r w:rsidRPr="00F45F11">
              <w:t>improvement and decisions about potential program expansion</w:t>
            </w:r>
          </w:p>
        </w:tc>
        <w:tc>
          <w:tcPr>
            <w:tcW w:w="900" w:type="pct"/>
            <w:tcMar>
              <w:left w:w="113" w:type="dxa"/>
            </w:tcMar>
          </w:tcPr>
          <w:p w14:paraId="183B0F11" w14:textId="18F4D7D9"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Review of efficiency, appropriateness and effectiveness of the program through interviews and yarning sessions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2CBDB6D9" w14:textId="3C512A86" w:rsidR="00DC25DC" w:rsidRPr="00F45F11" w:rsidRDefault="00DC25DC" w:rsidP="009817E6">
            <w:pPr>
              <w:pStyle w:val="ARTabletext"/>
            </w:pPr>
            <w:r w:rsidRPr="00F45F11">
              <w:t xml:space="preserve">June 2025 </w:t>
            </w:r>
            <w:r w:rsidR="009E6E55" w:rsidRPr="00F45F11">
              <w:t>to</w:t>
            </w:r>
            <w:r w:rsidR="00566B8E">
              <w:t> </w:t>
            </w:r>
            <w:r w:rsidRPr="00F45F11">
              <w:t>June 2026</w:t>
            </w:r>
          </w:p>
        </w:tc>
        <w:tc>
          <w:tcPr>
            <w:tcW w:w="779" w:type="pct"/>
            <w:tcMar>
              <w:left w:w="113" w:type="dxa"/>
            </w:tcMar>
          </w:tcPr>
          <w:p w14:paraId="051C7B1A" w14:textId="5C4B538B"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Inform on opportunities to</w:t>
            </w:r>
            <w:r w:rsidR="002C2ED3">
              <w:t> </w:t>
            </w:r>
            <w:r w:rsidRPr="00F45F11">
              <w:t>work with Aboriginal Community Controlled Organisations and program stakeholders and to ensure APRAP better meets the needs of</w:t>
            </w:r>
            <w:r w:rsidR="002C2ED3">
              <w:t> </w:t>
            </w:r>
            <w:r w:rsidRPr="00F45F11">
              <w:t>First Nations renters</w:t>
            </w:r>
          </w:p>
        </w:tc>
        <w:tc>
          <w:tcPr>
            <w:cnfStyle w:val="000001000000" w:firstRow="0" w:lastRow="0" w:firstColumn="0" w:lastColumn="0" w:oddVBand="0" w:evenVBand="1" w:oddHBand="0" w:evenHBand="0" w:firstRowFirstColumn="0" w:firstRowLastColumn="0" w:lastRowFirstColumn="0" w:lastRowLastColumn="0"/>
            <w:tcW w:w="438" w:type="pct"/>
          </w:tcPr>
          <w:p w14:paraId="30AB46E0" w14:textId="77777777" w:rsidR="00DC25DC" w:rsidRPr="00F45F11" w:rsidRDefault="00DC25DC" w:rsidP="009817E6">
            <w:pPr>
              <w:pStyle w:val="ARtabletextright"/>
            </w:pPr>
            <w:r w:rsidRPr="00F45F11">
              <w:rPr>
                <w:color w:val="000000" w:themeColor="text1"/>
              </w:rPr>
              <w:t>384</w:t>
            </w:r>
          </w:p>
        </w:tc>
        <w:tc>
          <w:tcPr>
            <w:tcW w:w="437" w:type="pct"/>
          </w:tcPr>
          <w:p w14:paraId="35CABC38"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390</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430DA05F" w14:textId="15C9A68E" w:rsidR="00DC25DC" w:rsidRPr="00F45F11" w:rsidRDefault="00DC25DC" w:rsidP="00F8411B">
            <w:pPr>
              <w:pStyle w:val="ARTabletext"/>
              <w:jc w:val="right"/>
              <w:rPr>
                <w:color w:val="000000"/>
              </w:rPr>
            </w:pPr>
            <w:r w:rsidRPr="00F45F11">
              <w:rPr>
                <w:color w:val="000000" w:themeColor="text1"/>
              </w:rPr>
              <w:t>N</w:t>
            </w:r>
            <w:r w:rsidR="00840BF9" w:rsidRPr="00F45F11">
              <w:rPr>
                <w:color w:val="000000" w:themeColor="text1"/>
              </w:rPr>
              <w:t xml:space="preserve"> – i</w:t>
            </w:r>
            <w:r w:rsidRPr="00F45F11">
              <w:rPr>
                <w:color w:val="000000" w:themeColor="text1"/>
              </w:rPr>
              <w:t>nternal review</w:t>
            </w:r>
          </w:p>
        </w:tc>
      </w:tr>
      <w:tr w:rsidR="00DC25DC" w:rsidRPr="00F45F11" w14:paraId="60310D7F" w14:textId="77777777" w:rsidTr="00566B8E">
        <w:trPr>
          <w:trHeight w:val="20"/>
        </w:trPr>
        <w:tc>
          <w:tcPr>
            <w:tcW w:w="584" w:type="pct"/>
          </w:tcPr>
          <w:p w14:paraId="0D8F31CD" w14:textId="77777777" w:rsidR="00DC25DC" w:rsidRPr="00F45F11" w:rsidRDefault="00DC25DC" w:rsidP="009817E6">
            <w:pPr>
              <w:pStyle w:val="ARTabletext"/>
            </w:pPr>
            <w:r w:rsidRPr="00F45F11">
              <w:t>Evaluation of the Aboriginal-specific entry points and multidisciplinary team pilot sites </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49764C21" w14:textId="77777777" w:rsidR="00DC25DC" w:rsidRPr="00F45F11" w:rsidRDefault="00DC25DC" w:rsidP="009817E6">
            <w:pPr>
              <w:pStyle w:val="ARTabletext"/>
            </w:pPr>
            <w:r w:rsidRPr="00F45F11">
              <w:t>Longer term monitoring and evaluation to ensure that medium-to-long-term outcomes could be meaningfully incorporated.</w:t>
            </w:r>
          </w:p>
          <w:p w14:paraId="5A5372D7" w14:textId="77777777" w:rsidR="00DC25DC" w:rsidRPr="00F45F11" w:rsidRDefault="00DC25DC" w:rsidP="009817E6">
            <w:pPr>
              <w:pStyle w:val="ARTabletext"/>
            </w:pPr>
            <w:r w:rsidRPr="00F45F11">
              <w:t>The extended evaluation will integrate with the existing evaluation frameworks and governance structures while incorporating the insights and findings identified through the previous evaluation in 2024.</w:t>
            </w:r>
          </w:p>
        </w:tc>
        <w:tc>
          <w:tcPr>
            <w:tcW w:w="900" w:type="pct"/>
            <w:tcMar>
              <w:left w:w="113" w:type="dxa"/>
            </w:tcMar>
          </w:tcPr>
          <w:p w14:paraId="4E698EAD" w14:textId="74076562"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Examine how the Entry Points respond to the unique housing and homelessness needs of First Peoples in Victoria, including the program’s structure, operational delivery, cultural responsiveness, and the outcomes experienced by clients and communities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42936441" w14:textId="5AC94B99" w:rsidR="00DC25DC" w:rsidRPr="00F45F11" w:rsidRDefault="00DC25DC" w:rsidP="009817E6">
            <w:pPr>
              <w:pStyle w:val="ARTabletext"/>
            </w:pPr>
            <w:r w:rsidRPr="00F45F11">
              <w:t xml:space="preserve">July 2024 </w:t>
            </w:r>
            <w:r w:rsidR="009E6E55" w:rsidRPr="00F45F11">
              <w:t>to</w:t>
            </w:r>
            <w:r w:rsidRPr="00F45F11">
              <w:t xml:space="preserve"> August 2027</w:t>
            </w:r>
          </w:p>
        </w:tc>
        <w:tc>
          <w:tcPr>
            <w:tcW w:w="779" w:type="pct"/>
            <w:tcMar>
              <w:left w:w="113" w:type="dxa"/>
            </w:tcMar>
          </w:tcPr>
          <w:p w14:paraId="2B79F08D" w14:textId="12617FC8"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More informed decision making on future program</w:t>
            </w:r>
            <w:r w:rsidR="00B1003A">
              <w:t> </w:t>
            </w:r>
            <w:r w:rsidRPr="00F45F11">
              <w:t>funding</w:t>
            </w:r>
          </w:p>
        </w:tc>
        <w:tc>
          <w:tcPr>
            <w:cnfStyle w:val="000001000000" w:firstRow="0" w:lastRow="0" w:firstColumn="0" w:lastColumn="0" w:oddVBand="0" w:evenVBand="1" w:oddHBand="0" w:evenHBand="0" w:firstRowFirstColumn="0" w:firstRowLastColumn="0" w:lastRowFirstColumn="0" w:lastRowLastColumn="0"/>
            <w:tcW w:w="438" w:type="pct"/>
          </w:tcPr>
          <w:p w14:paraId="000E0A06" w14:textId="77777777" w:rsidR="00DC25DC" w:rsidRPr="00F45F11" w:rsidRDefault="00DC25DC" w:rsidP="009817E6">
            <w:pPr>
              <w:pStyle w:val="ARtabletextright"/>
            </w:pPr>
            <w:r w:rsidRPr="00F45F11">
              <w:rPr>
                <w:color w:val="000000" w:themeColor="text1"/>
              </w:rPr>
              <w:t>220</w:t>
            </w:r>
          </w:p>
        </w:tc>
        <w:tc>
          <w:tcPr>
            <w:tcW w:w="437" w:type="pct"/>
          </w:tcPr>
          <w:p w14:paraId="35A32F85"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312</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77D27720" w14:textId="41A6E331" w:rsidR="00DC25DC" w:rsidRPr="00F45F11" w:rsidRDefault="00DC25DC" w:rsidP="00F8411B">
            <w:pPr>
              <w:pStyle w:val="ARTabletext"/>
              <w:jc w:val="right"/>
              <w:rPr>
                <w:color w:val="000000"/>
              </w:rPr>
            </w:pPr>
            <w:r w:rsidRPr="00F45F11">
              <w:rPr>
                <w:color w:val="000000" w:themeColor="text1"/>
              </w:rPr>
              <w:t>N</w:t>
            </w:r>
            <w:r w:rsidR="00840BF9" w:rsidRPr="00F45F11">
              <w:rPr>
                <w:color w:val="000000" w:themeColor="text1"/>
              </w:rPr>
              <w:t xml:space="preserve"> – i</w:t>
            </w:r>
            <w:r w:rsidRPr="00F45F11">
              <w:rPr>
                <w:color w:val="000000" w:themeColor="text1"/>
              </w:rPr>
              <w:t>nternal review</w:t>
            </w:r>
          </w:p>
        </w:tc>
      </w:tr>
      <w:tr w:rsidR="00DC25DC" w:rsidRPr="00F45F11" w14:paraId="14F44557" w14:textId="77777777" w:rsidTr="00566B8E">
        <w:trPr>
          <w:trHeight w:val="20"/>
        </w:trPr>
        <w:tc>
          <w:tcPr>
            <w:tcW w:w="584" w:type="pct"/>
          </w:tcPr>
          <w:p w14:paraId="54DF992D" w14:textId="77777777" w:rsidR="00DC25DC" w:rsidRPr="00F45F11" w:rsidRDefault="00DC25DC" w:rsidP="009817E6">
            <w:pPr>
              <w:pStyle w:val="ARTabletext"/>
            </w:pPr>
            <w:r w:rsidRPr="00F45F11">
              <w:t>CCTV enhancement study in North Richmond</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21043D99" w14:textId="77777777" w:rsidR="00DC25DC" w:rsidRPr="00F45F11" w:rsidRDefault="00DC25DC" w:rsidP="009817E6">
            <w:pPr>
              <w:pStyle w:val="ARTabletext"/>
            </w:pPr>
            <w:r w:rsidRPr="00F45F11">
              <w:t>Rise in anti-social behaviour on the estate has led to requests for enhanced surveillance by local housing office and police</w:t>
            </w:r>
          </w:p>
        </w:tc>
        <w:tc>
          <w:tcPr>
            <w:tcW w:w="900" w:type="pct"/>
            <w:tcMar>
              <w:left w:w="113" w:type="dxa"/>
            </w:tcMar>
          </w:tcPr>
          <w:p w14:paraId="3ABBDFCA" w14:textId="6B0B3A33"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Assess existing network and</w:t>
            </w:r>
            <w:r w:rsidR="00D1151F">
              <w:t> </w:t>
            </w:r>
            <w:r w:rsidRPr="00F45F11">
              <w:t>expand surveillance to</w:t>
            </w:r>
            <w:r w:rsidR="00D1151F">
              <w:t> </w:t>
            </w:r>
            <w:r w:rsidRPr="00F45F11">
              <w:t>minimise blind spots and increase visibility to evidence gathering for reporting</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54850D9E" w14:textId="338C7555" w:rsidR="00DC25DC" w:rsidRPr="00F45F11" w:rsidRDefault="00DC25DC" w:rsidP="009817E6">
            <w:pPr>
              <w:pStyle w:val="ARTabletext"/>
            </w:pPr>
            <w:r w:rsidRPr="00F45F11">
              <w:t>June 2025 to</w:t>
            </w:r>
            <w:r w:rsidR="00566B8E">
              <w:t> </w:t>
            </w:r>
            <w:r w:rsidRPr="00F45F11">
              <w:t>April 2026</w:t>
            </w:r>
          </w:p>
        </w:tc>
        <w:tc>
          <w:tcPr>
            <w:tcW w:w="779" w:type="pct"/>
            <w:tcMar>
              <w:left w:w="113" w:type="dxa"/>
            </w:tcMar>
          </w:tcPr>
          <w:p w14:paraId="0F6839F2"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Develop a plan to improve surveillance</w:t>
            </w:r>
          </w:p>
        </w:tc>
        <w:tc>
          <w:tcPr>
            <w:cnfStyle w:val="000001000000" w:firstRow="0" w:lastRow="0" w:firstColumn="0" w:lastColumn="0" w:oddVBand="0" w:evenVBand="1" w:oddHBand="0" w:evenHBand="0" w:firstRowFirstColumn="0" w:firstRowLastColumn="0" w:lastRowFirstColumn="0" w:lastRowLastColumn="0"/>
            <w:tcW w:w="438" w:type="pct"/>
          </w:tcPr>
          <w:p w14:paraId="2C83C0B2" w14:textId="77777777" w:rsidR="00DC25DC" w:rsidRPr="00F45F11" w:rsidRDefault="00DC25DC" w:rsidP="009817E6">
            <w:pPr>
              <w:pStyle w:val="ARtabletextright"/>
            </w:pPr>
            <w:r w:rsidRPr="00F45F11">
              <w:rPr>
                <w:color w:val="000000"/>
              </w:rPr>
              <w:t>25</w:t>
            </w:r>
          </w:p>
        </w:tc>
        <w:tc>
          <w:tcPr>
            <w:tcW w:w="437" w:type="pct"/>
          </w:tcPr>
          <w:p w14:paraId="558446F4"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25</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57A2A080" w14:textId="694235CD" w:rsidR="00DC25DC" w:rsidRPr="00F45F11" w:rsidRDefault="00DC25DC" w:rsidP="00F8411B">
            <w:pPr>
              <w:pStyle w:val="ARTabletext"/>
              <w:jc w:val="right"/>
              <w:rPr>
                <w:color w:val="000000"/>
              </w:rPr>
            </w:pPr>
            <w:r w:rsidRPr="00F45F11">
              <w:rPr>
                <w:color w:val="000000" w:themeColor="text1"/>
              </w:rPr>
              <w:t>N</w:t>
            </w:r>
            <w:r w:rsidR="00D14C50" w:rsidRPr="00F45F11">
              <w:rPr>
                <w:color w:val="000000" w:themeColor="text1"/>
              </w:rPr>
              <w:t xml:space="preserve"> – i</w:t>
            </w:r>
            <w:r w:rsidRPr="00F45F11">
              <w:rPr>
                <w:color w:val="000000" w:themeColor="text1"/>
              </w:rPr>
              <w:t>nternal review</w:t>
            </w:r>
          </w:p>
        </w:tc>
      </w:tr>
      <w:tr w:rsidR="00DC25DC" w:rsidRPr="00F45F11" w14:paraId="0CA342AA" w14:textId="77777777" w:rsidTr="00566B8E">
        <w:trPr>
          <w:trHeight w:val="20"/>
        </w:trPr>
        <w:tc>
          <w:tcPr>
            <w:tcW w:w="584" w:type="pct"/>
          </w:tcPr>
          <w:p w14:paraId="7A14D13A" w14:textId="77777777" w:rsidR="00DC25DC" w:rsidRPr="00F45F11" w:rsidRDefault="00DC25DC" w:rsidP="009817E6">
            <w:pPr>
              <w:pStyle w:val="ARTabletext"/>
            </w:pPr>
            <w:r w:rsidRPr="00F45F11">
              <w:t>High-rise fire engineering brief update</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0BAB87DF" w14:textId="77777777" w:rsidR="00DC25DC" w:rsidRPr="00F45F11" w:rsidRDefault="00DC25DC" w:rsidP="009817E6">
            <w:pPr>
              <w:pStyle w:val="ARTabletext"/>
            </w:pPr>
            <w:r w:rsidRPr="00F45F11">
              <w:t>5-yearly audit of fire strategy for high-rise public housing</w:t>
            </w:r>
          </w:p>
        </w:tc>
        <w:tc>
          <w:tcPr>
            <w:tcW w:w="900" w:type="pct"/>
            <w:tcMar>
              <w:left w:w="113" w:type="dxa"/>
            </w:tcMar>
          </w:tcPr>
          <w:p w14:paraId="4E883BC5"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 xml:space="preserve">Requirement of the </w:t>
            </w:r>
            <w:r w:rsidRPr="00A124D1">
              <w:rPr>
                <w:rStyle w:val="Emphasis"/>
              </w:rPr>
              <w:t>Capital development guidelines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5B69D286" w14:textId="77777777" w:rsidR="00DC25DC" w:rsidRPr="00F45F11" w:rsidRDefault="00DC25DC" w:rsidP="009817E6">
            <w:pPr>
              <w:pStyle w:val="ARTabletext"/>
            </w:pPr>
            <w:r w:rsidRPr="00F45F11">
              <w:t>In progress</w:t>
            </w:r>
          </w:p>
        </w:tc>
        <w:tc>
          <w:tcPr>
            <w:tcW w:w="779" w:type="pct"/>
            <w:tcMar>
              <w:left w:w="113" w:type="dxa"/>
            </w:tcMar>
          </w:tcPr>
          <w:p w14:paraId="05BE5658" w14:textId="7913E0E6"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Review fire safety strategy</w:t>
            </w:r>
            <w:r w:rsidR="00B1003A">
              <w:t> </w:t>
            </w:r>
            <w:r w:rsidRPr="00F45F11">
              <w:t xml:space="preserve">for </w:t>
            </w:r>
            <w:r w:rsidRPr="00F45F11">
              <w:br/>
              <w:t>high-rise towers</w:t>
            </w:r>
          </w:p>
        </w:tc>
        <w:tc>
          <w:tcPr>
            <w:cnfStyle w:val="000001000000" w:firstRow="0" w:lastRow="0" w:firstColumn="0" w:lastColumn="0" w:oddVBand="0" w:evenVBand="1" w:oddHBand="0" w:evenHBand="0" w:firstRowFirstColumn="0" w:firstRowLastColumn="0" w:lastRowFirstColumn="0" w:lastRowLastColumn="0"/>
            <w:tcW w:w="438" w:type="pct"/>
          </w:tcPr>
          <w:p w14:paraId="72032484" w14:textId="77777777" w:rsidR="00DC25DC" w:rsidRPr="00F45F11" w:rsidRDefault="00DC25DC" w:rsidP="009817E6">
            <w:pPr>
              <w:pStyle w:val="ARtabletextright"/>
            </w:pPr>
            <w:r w:rsidRPr="00F45F11">
              <w:rPr>
                <w:color w:val="000000" w:themeColor="text1"/>
              </w:rPr>
              <w:t>64</w:t>
            </w:r>
          </w:p>
        </w:tc>
        <w:tc>
          <w:tcPr>
            <w:tcW w:w="437" w:type="pct"/>
          </w:tcPr>
          <w:p w14:paraId="7D9CBEC8"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64</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728FAB15" w14:textId="3CCB7E70" w:rsidR="00DC25DC" w:rsidRPr="00F45F11" w:rsidRDefault="00DC25DC" w:rsidP="00F8411B">
            <w:pPr>
              <w:pStyle w:val="ARTabletext"/>
              <w:jc w:val="right"/>
              <w:rPr>
                <w:color w:val="000000"/>
              </w:rPr>
            </w:pPr>
            <w:r w:rsidRPr="00F45F11">
              <w:rPr>
                <w:color w:val="000000" w:themeColor="text1"/>
              </w:rPr>
              <w:t>N</w:t>
            </w:r>
            <w:r w:rsidR="00D14C50" w:rsidRPr="00F45F11">
              <w:rPr>
                <w:color w:val="000000" w:themeColor="text1"/>
              </w:rPr>
              <w:t xml:space="preserve"> – i</w:t>
            </w:r>
            <w:r w:rsidRPr="00F45F11">
              <w:rPr>
                <w:color w:val="000000" w:themeColor="text1"/>
              </w:rPr>
              <w:t>nternal review</w:t>
            </w:r>
          </w:p>
        </w:tc>
      </w:tr>
      <w:tr w:rsidR="00DC25DC" w:rsidRPr="00F45F11" w14:paraId="5EEFFB14" w14:textId="77777777" w:rsidTr="00566B8E">
        <w:trPr>
          <w:trHeight w:val="20"/>
        </w:trPr>
        <w:tc>
          <w:tcPr>
            <w:tcW w:w="584" w:type="pct"/>
          </w:tcPr>
          <w:p w14:paraId="6E412056" w14:textId="7839963C" w:rsidR="00DC25DC" w:rsidRPr="00F45F11" w:rsidRDefault="00DC25DC" w:rsidP="009817E6">
            <w:pPr>
              <w:pStyle w:val="ARTabletext"/>
            </w:pPr>
            <w:r w:rsidRPr="00F45F11">
              <w:t>Concrete Spalling study for high rise</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5382865E" w14:textId="77777777" w:rsidR="00DC25DC" w:rsidRPr="00F45F11" w:rsidRDefault="00DC25DC" w:rsidP="009817E6">
            <w:pPr>
              <w:pStyle w:val="ARTabletext"/>
            </w:pPr>
            <w:r w:rsidRPr="00F45F11">
              <w:t>Assess concrete spalling in high-rise buildings due to the age of the assets</w:t>
            </w:r>
          </w:p>
        </w:tc>
        <w:tc>
          <w:tcPr>
            <w:tcW w:w="900" w:type="pct"/>
            <w:tcMar>
              <w:left w:w="113" w:type="dxa"/>
            </w:tcMar>
          </w:tcPr>
          <w:p w14:paraId="51699931" w14:textId="65BE61EE"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Assess spalling concerns and rank in terms of safety risk factor</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5B26CCDC" w14:textId="77777777" w:rsidR="00DC25DC" w:rsidRPr="00F45F11" w:rsidRDefault="00DC25DC" w:rsidP="009817E6">
            <w:pPr>
              <w:pStyle w:val="ARTabletext"/>
            </w:pPr>
            <w:r w:rsidRPr="00F45F11">
              <w:t xml:space="preserve">In progress </w:t>
            </w:r>
          </w:p>
        </w:tc>
        <w:tc>
          <w:tcPr>
            <w:tcW w:w="779" w:type="pct"/>
            <w:tcMar>
              <w:left w:w="113" w:type="dxa"/>
            </w:tcMar>
          </w:tcPr>
          <w:p w14:paraId="7A8DE883"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Develop a plan to address immediate safety requirements</w:t>
            </w:r>
          </w:p>
        </w:tc>
        <w:tc>
          <w:tcPr>
            <w:cnfStyle w:val="000001000000" w:firstRow="0" w:lastRow="0" w:firstColumn="0" w:lastColumn="0" w:oddVBand="0" w:evenVBand="1" w:oddHBand="0" w:evenHBand="0" w:firstRowFirstColumn="0" w:firstRowLastColumn="0" w:lastRowFirstColumn="0" w:lastRowLastColumn="0"/>
            <w:tcW w:w="438" w:type="pct"/>
          </w:tcPr>
          <w:p w14:paraId="311DEC91" w14:textId="77777777" w:rsidR="00DC25DC" w:rsidRPr="00F45F11" w:rsidRDefault="00DC25DC" w:rsidP="009817E6">
            <w:pPr>
              <w:pStyle w:val="ARtabletextright"/>
            </w:pPr>
            <w:r w:rsidRPr="00F45F11">
              <w:rPr>
                <w:color w:val="000000" w:themeColor="text1"/>
              </w:rPr>
              <w:t>75</w:t>
            </w:r>
          </w:p>
        </w:tc>
        <w:tc>
          <w:tcPr>
            <w:tcW w:w="437" w:type="pct"/>
          </w:tcPr>
          <w:p w14:paraId="64093DA2"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75</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5AC1FC11" w14:textId="52EDBE3B" w:rsidR="00DC25DC" w:rsidRPr="00F45F11" w:rsidRDefault="00DC25DC" w:rsidP="00F8411B">
            <w:pPr>
              <w:pStyle w:val="ARTabletext"/>
              <w:jc w:val="right"/>
              <w:rPr>
                <w:color w:val="000000"/>
              </w:rPr>
            </w:pPr>
            <w:r w:rsidRPr="00F45F11">
              <w:rPr>
                <w:color w:val="000000" w:themeColor="text1"/>
              </w:rPr>
              <w:t>N</w:t>
            </w:r>
            <w:r w:rsidR="00D14C50" w:rsidRPr="00F45F11">
              <w:rPr>
                <w:color w:val="000000" w:themeColor="text1"/>
              </w:rPr>
              <w:t xml:space="preserve"> – i</w:t>
            </w:r>
            <w:r w:rsidRPr="00F45F11">
              <w:rPr>
                <w:color w:val="000000" w:themeColor="text1"/>
              </w:rPr>
              <w:t>nternal review</w:t>
            </w:r>
          </w:p>
        </w:tc>
      </w:tr>
      <w:tr w:rsidR="00DC25DC" w:rsidRPr="00F45F11" w14:paraId="445B9619" w14:textId="77777777" w:rsidTr="00566B8E">
        <w:trPr>
          <w:trHeight w:val="20"/>
        </w:trPr>
        <w:tc>
          <w:tcPr>
            <w:tcW w:w="584" w:type="pct"/>
          </w:tcPr>
          <w:p w14:paraId="3780257A" w14:textId="77777777" w:rsidR="00DC25DC" w:rsidRPr="00F45F11" w:rsidRDefault="00DC25DC" w:rsidP="009817E6">
            <w:pPr>
              <w:pStyle w:val="ARTabletext"/>
            </w:pPr>
            <w:r w:rsidRPr="00F45F11">
              <w:t>High-rise redevelopment resident and community understanding survey 2025</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4A2A92C9" w14:textId="53BFE018" w:rsidR="00DC25DC" w:rsidRPr="00F45F11" w:rsidRDefault="00DC25DC" w:rsidP="009817E6">
            <w:pPr>
              <w:pStyle w:val="ARTabletext"/>
            </w:pPr>
            <w:r w:rsidRPr="00F45F11">
              <w:t>To ensure residents and surrounding communities remain informed at different stages of program delivery</w:t>
            </w:r>
          </w:p>
        </w:tc>
        <w:tc>
          <w:tcPr>
            <w:tcW w:w="900" w:type="pct"/>
            <w:tcMar>
              <w:left w:w="113" w:type="dxa"/>
            </w:tcMar>
          </w:tcPr>
          <w:p w14:paraId="5E4DFE36"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 xml:space="preserve">To measure levels of understanding of the </w:t>
            </w:r>
            <w:r w:rsidRPr="00F45F11">
              <w:br/>
              <w:t>high-rise program across residents and surrounding community to continually improve communications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711E4B9C" w14:textId="3308260E" w:rsidR="00DC25DC" w:rsidRPr="00F45F11" w:rsidRDefault="00DC25DC" w:rsidP="009817E6">
            <w:pPr>
              <w:pStyle w:val="ARTabletext"/>
            </w:pPr>
            <w:r w:rsidRPr="00F45F11">
              <w:t xml:space="preserve">June 2025 </w:t>
            </w:r>
            <w:r w:rsidR="009E6E55" w:rsidRPr="00F45F11">
              <w:t>to</w:t>
            </w:r>
            <w:r w:rsidR="00566B8E">
              <w:t> </w:t>
            </w:r>
            <w:r w:rsidRPr="00F45F11">
              <w:t>October 2025</w:t>
            </w:r>
          </w:p>
        </w:tc>
        <w:tc>
          <w:tcPr>
            <w:tcW w:w="779" w:type="pct"/>
            <w:tcMar>
              <w:left w:w="113" w:type="dxa"/>
            </w:tcMar>
          </w:tcPr>
          <w:p w14:paraId="32479263" w14:textId="6D982C64"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Ensure communities remain informed by collating feedback from the residents and surrounding community and to continually improve communications</w:t>
            </w:r>
          </w:p>
        </w:tc>
        <w:tc>
          <w:tcPr>
            <w:cnfStyle w:val="000001000000" w:firstRow="0" w:lastRow="0" w:firstColumn="0" w:lastColumn="0" w:oddVBand="0" w:evenVBand="1" w:oddHBand="0" w:evenHBand="0" w:firstRowFirstColumn="0" w:firstRowLastColumn="0" w:lastRowFirstColumn="0" w:lastRowLastColumn="0"/>
            <w:tcW w:w="438" w:type="pct"/>
          </w:tcPr>
          <w:p w14:paraId="7EC7BD66" w14:textId="77777777" w:rsidR="00DC25DC" w:rsidRPr="00F45F11" w:rsidRDefault="00DC25DC" w:rsidP="009817E6">
            <w:pPr>
              <w:pStyle w:val="ARtabletextright"/>
            </w:pPr>
            <w:r w:rsidRPr="00F45F11">
              <w:rPr>
                <w:color w:val="000000" w:themeColor="text1"/>
              </w:rPr>
              <w:t>170</w:t>
            </w:r>
          </w:p>
        </w:tc>
        <w:tc>
          <w:tcPr>
            <w:tcW w:w="437" w:type="pct"/>
          </w:tcPr>
          <w:p w14:paraId="4FB9DF4D"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170</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28B86085" w14:textId="77777777" w:rsidR="00DC25DC" w:rsidRPr="00F45F11" w:rsidRDefault="00DC25DC" w:rsidP="00F8411B">
            <w:pPr>
              <w:pStyle w:val="ARTabletext"/>
              <w:jc w:val="right"/>
            </w:pPr>
            <w:r w:rsidRPr="00F45F11">
              <w:rPr>
                <w:color w:val="000000" w:themeColor="text1"/>
              </w:rPr>
              <w:t xml:space="preserve">N – private and sensitive resident information </w:t>
            </w:r>
          </w:p>
        </w:tc>
      </w:tr>
      <w:tr w:rsidR="00DC25DC" w:rsidRPr="00F45F11" w14:paraId="7BD001D5" w14:textId="77777777" w:rsidTr="00566B8E">
        <w:trPr>
          <w:trHeight w:val="20"/>
        </w:trPr>
        <w:tc>
          <w:tcPr>
            <w:tcW w:w="584" w:type="pct"/>
          </w:tcPr>
          <w:p w14:paraId="089A1760" w14:textId="77777777" w:rsidR="00DC25DC" w:rsidRPr="00F45F11" w:rsidRDefault="00DC25DC" w:rsidP="009817E6">
            <w:pPr>
              <w:pStyle w:val="ARTabletext"/>
            </w:pPr>
            <w:r w:rsidRPr="00F45F11">
              <w:t xml:space="preserve">Relocated residents research </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1A7F6CA2" w14:textId="77777777" w:rsidR="00DC25DC" w:rsidRPr="00F45F11" w:rsidRDefault="00DC25DC" w:rsidP="009817E6">
            <w:pPr>
              <w:pStyle w:val="ARTabletext"/>
            </w:pPr>
            <w:r w:rsidRPr="00F45F11">
              <w:t>To understand and best support residents relocating through the high-rise redevelopment program</w:t>
            </w:r>
          </w:p>
        </w:tc>
        <w:tc>
          <w:tcPr>
            <w:tcW w:w="900" w:type="pct"/>
            <w:tcMar>
              <w:left w:w="113" w:type="dxa"/>
            </w:tcMar>
          </w:tcPr>
          <w:p w14:paraId="25774384" w14:textId="01EBED73"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To undertake discussion groups and surveys to improve the information and experiences of the relocated residents and understand the needs of the upcoming relocating residents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6B65EF6C" w14:textId="62E3E86F" w:rsidR="00DC25DC" w:rsidRPr="00F45F11" w:rsidRDefault="00DC25DC" w:rsidP="009817E6">
            <w:pPr>
              <w:pStyle w:val="ARTabletext"/>
            </w:pPr>
            <w:r w:rsidRPr="00F45F11">
              <w:t>March 2026</w:t>
            </w:r>
            <w:r w:rsidR="009E6E55" w:rsidRPr="00F45F11">
              <w:t xml:space="preserve"> to</w:t>
            </w:r>
            <w:r w:rsidRPr="00F45F11">
              <w:t xml:space="preserve"> April 2026</w:t>
            </w:r>
          </w:p>
        </w:tc>
        <w:tc>
          <w:tcPr>
            <w:tcW w:w="779" w:type="pct"/>
            <w:tcMar>
              <w:left w:w="113" w:type="dxa"/>
            </w:tcMar>
          </w:tcPr>
          <w:p w14:paraId="409F0595"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 xml:space="preserve">Ensure continuous improvement of communications and engagement approach to support residents to relocate as part of the high-rise redevelopment </w:t>
            </w:r>
          </w:p>
        </w:tc>
        <w:tc>
          <w:tcPr>
            <w:cnfStyle w:val="000001000000" w:firstRow="0" w:lastRow="0" w:firstColumn="0" w:lastColumn="0" w:oddVBand="0" w:evenVBand="1" w:oddHBand="0" w:evenHBand="0" w:firstRowFirstColumn="0" w:firstRowLastColumn="0" w:lastRowFirstColumn="0" w:lastRowLastColumn="0"/>
            <w:tcW w:w="438" w:type="pct"/>
          </w:tcPr>
          <w:p w14:paraId="2FA60F01" w14:textId="77777777" w:rsidR="00DC25DC" w:rsidRPr="00F45F11" w:rsidRDefault="00DC25DC" w:rsidP="009817E6">
            <w:pPr>
              <w:pStyle w:val="ARtabletextright"/>
            </w:pPr>
            <w:r w:rsidRPr="00F45F11">
              <w:rPr>
                <w:color w:val="000000" w:themeColor="text1"/>
              </w:rPr>
              <w:t>191</w:t>
            </w:r>
          </w:p>
        </w:tc>
        <w:tc>
          <w:tcPr>
            <w:tcW w:w="437" w:type="pct"/>
          </w:tcPr>
          <w:p w14:paraId="109A6618"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192</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0E4B5A33" w14:textId="77777777" w:rsidR="00DC25DC" w:rsidRPr="00F45F11" w:rsidRDefault="00DC25DC" w:rsidP="00F8411B">
            <w:pPr>
              <w:pStyle w:val="ARTabletext"/>
              <w:jc w:val="right"/>
              <w:rPr>
                <w:color w:val="000000"/>
              </w:rPr>
            </w:pPr>
            <w:r w:rsidRPr="00F45F11">
              <w:rPr>
                <w:color w:val="000000" w:themeColor="text1"/>
              </w:rPr>
              <w:t>N – private and sensitive resident information</w:t>
            </w:r>
          </w:p>
        </w:tc>
      </w:tr>
      <w:tr w:rsidR="00DC25DC" w:rsidRPr="00F45F11" w14:paraId="2E8CE013" w14:textId="77777777" w:rsidTr="00566B8E">
        <w:trPr>
          <w:trHeight w:val="20"/>
        </w:trPr>
        <w:tc>
          <w:tcPr>
            <w:tcW w:w="584" w:type="pct"/>
          </w:tcPr>
          <w:p w14:paraId="75E34821" w14:textId="0D813A6B" w:rsidR="00DC25DC" w:rsidRPr="00F45F11" w:rsidRDefault="00DC25DC" w:rsidP="009817E6">
            <w:pPr>
              <w:pStyle w:val="ARTabletext"/>
            </w:pPr>
            <w:r w:rsidRPr="00F45F11">
              <w:t xml:space="preserve">Campaign </w:t>
            </w:r>
            <w:r w:rsidR="00D14C50" w:rsidRPr="00F45F11">
              <w:t>a</w:t>
            </w:r>
            <w:r w:rsidRPr="00F45F11">
              <w:t xml:space="preserve">wareness research </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2B530EA7" w14:textId="5300F538" w:rsidR="00DC25DC" w:rsidRPr="00F45F11" w:rsidRDefault="00DC25DC" w:rsidP="009817E6">
            <w:pPr>
              <w:pStyle w:val="ARTabletext"/>
            </w:pPr>
            <w:r w:rsidRPr="00F45F11">
              <w:t>In line with Victorian Government requirements to determine effectiveness of campaign advertising</w:t>
            </w:r>
          </w:p>
        </w:tc>
        <w:tc>
          <w:tcPr>
            <w:tcW w:w="900" w:type="pct"/>
            <w:tcMar>
              <w:left w:w="113" w:type="dxa"/>
            </w:tcMar>
          </w:tcPr>
          <w:p w14:paraId="2C65EF77" w14:textId="6B62422D"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Measure awareness and effectiveness of community understanding in broad metropolitan area including Bendigo, Ballarat and</w:t>
            </w:r>
            <w:r w:rsidR="00B1003A">
              <w:t> </w:t>
            </w:r>
            <w:r w:rsidRPr="00F45F11">
              <w:t>Geelong</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5DA0770E" w14:textId="6EF14F3F" w:rsidR="00DC25DC" w:rsidRPr="00F45F11" w:rsidRDefault="00DC25DC" w:rsidP="009817E6">
            <w:pPr>
              <w:pStyle w:val="ARTabletext"/>
            </w:pPr>
            <w:r w:rsidRPr="00F45F11">
              <w:t>December 2025</w:t>
            </w:r>
            <w:r w:rsidR="009E6E55" w:rsidRPr="00F45F11">
              <w:t xml:space="preserve"> to</w:t>
            </w:r>
            <w:r w:rsidRPr="00F45F11">
              <w:t xml:space="preserve"> June</w:t>
            </w:r>
            <w:r w:rsidR="00526307">
              <w:t> </w:t>
            </w:r>
            <w:r w:rsidRPr="00F45F11">
              <w:t>2026</w:t>
            </w:r>
          </w:p>
        </w:tc>
        <w:tc>
          <w:tcPr>
            <w:tcW w:w="779" w:type="pct"/>
            <w:tcMar>
              <w:left w:w="113" w:type="dxa"/>
            </w:tcMar>
          </w:tcPr>
          <w:p w14:paraId="70043138" w14:textId="66CC5822"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Homes Victoria to determine levels of community understanding and feedback of what the community wants to know more about in relation to major developments</w:t>
            </w:r>
          </w:p>
        </w:tc>
        <w:tc>
          <w:tcPr>
            <w:cnfStyle w:val="000001000000" w:firstRow="0" w:lastRow="0" w:firstColumn="0" w:lastColumn="0" w:oddVBand="0" w:evenVBand="1" w:oddHBand="0" w:evenHBand="0" w:firstRowFirstColumn="0" w:firstRowLastColumn="0" w:lastRowFirstColumn="0" w:lastRowLastColumn="0"/>
            <w:tcW w:w="438" w:type="pct"/>
          </w:tcPr>
          <w:p w14:paraId="6BE12914" w14:textId="77777777" w:rsidR="00DC25DC" w:rsidRPr="00F45F11" w:rsidRDefault="00DC25DC" w:rsidP="009817E6">
            <w:pPr>
              <w:pStyle w:val="ARtabletextright"/>
            </w:pPr>
            <w:r w:rsidRPr="00F45F11">
              <w:rPr>
                <w:color w:val="000000" w:themeColor="text1"/>
              </w:rPr>
              <w:t>47</w:t>
            </w:r>
          </w:p>
        </w:tc>
        <w:tc>
          <w:tcPr>
            <w:tcW w:w="437" w:type="pct"/>
          </w:tcPr>
          <w:p w14:paraId="37F1C84C"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47</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519DD1F7" w14:textId="77777777" w:rsidR="00DC25DC" w:rsidRPr="00F45F11" w:rsidRDefault="00DC25DC" w:rsidP="00F8411B">
            <w:pPr>
              <w:pStyle w:val="ARTabletext"/>
              <w:jc w:val="right"/>
              <w:rPr>
                <w:color w:val="000000"/>
              </w:rPr>
            </w:pPr>
            <w:r w:rsidRPr="00F45F11">
              <w:rPr>
                <w:color w:val="000000" w:themeColor="text1"/>
              </w:rPr>
              <w:t xml:space="preserve">N – private and sensitive resident information </w:t>
            </w:r>
          </w:p>
        </w:tc>
      </w:tr>
      <w:tr w:rsidR="00DC25DC" w:rsidRPr="00F45F11" w14:paraId="243F8684" w14:textId="77777777" w:rsidTr="00566B8E">
        <w:trPr>
          <w:trHeight w:val="20"/>
        </w:trPr>
        <w:tc>
          <w:tcPr>
            <w:tcW w:w="584" w:type="pct"/>
          </w:tcPr>
          <w:p w14:paraId="6D7D0F98" w14:textId="1729757A" w:rsidR="00DC25DC" w:rsidRPr="00F45F11" w:rsidRDefault="00DC25DC" w:rsidP="009817E6">
            <w:pPr>
              <w:pStyle w:val="ARTabletext"/>
            </w:pPr>
            <w:r w:rsidRPr="00F45F11">
              <w:t xml:space="preserve">High-rise and Redevelopment Program (HRP) </w:t>
            </w:r>
            <w:r w:rsidR="00D14C50" w:rsidRPr="00F45F11">
              <w:t>t</w:t>
            </w:r>
            <w:r w:rsidRPr="00F45F11">
              <w:t xml:space="preserve">owers </w:t>
            </w:r>
            <w:r w:rsidR="00D14C50" w:rsidRPr="00F45F11">
              <w:t>h</w:t>
            </w:r>
            <w:r w:rsidRPr="00F45F11">
              <w:t xml:space="preserve">eritage </w:t>
            </w:r>
            <w:r w:rsidR="00D14C50" w:rsidRPr="00F45F11">
              <w:t>r</w:t>
            </w:r>
            <w:r w:rsidRPr="00F45F11">
              <w:t>eview</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71CC1A20" w14:textId="47A370AE" w:rsidR="00DC25DC" w:rsidRPr="00F45F11" w:rsidRDefault="00DC25DC" w:rsidP="009817E6">
            <w:pPr>
              <w:pStyle w:val="ARTabletext"/>
            </w:pPr>
            <w:r w:rsidRPr="00F45F11">
              <w:t xml:space="preserve">To develop a </w:t>
            </w:r>
            <w:r w:rsidR="00D14C50" w:rsidRPr="00F45F11">
              <w:t>h</w:t>
            </w:r>
            <w:r w:rsidRPr="00F45F11">
              <w:t xml:space="preserve">eritage </w:t>
            </w:r>
            <w:r w:rsidR="00D14C50" w:rsidRPr="00F45F11">
              <w:t>i</w:t>
            </w:r>
            <w:r w:rsidRPr="00F45F11">
              <w:t xml:space="preserve">nterpretation </w:t>
            </w:r>
            <w:r w:rsidR="00D14C50" w:rsidRPr="00F45F11">
              <w:t>p</w:t>
            </w:r>
            <w:r w:rsidRPr="00F45F11">
              <w:t>rogram</w:t>
            </w:r>
          </w:p>
        </w:tc>
        <w:tc>
          <w:tcPr>
            <w:tcW w:w="900" w:type="pct"/>
            <w:tcMar>
              <w:left w:w="113" w:type="dxa"/>
            </w:tcMar>
          </w:tcPr>
          <w:p w14:paraId="3E132AA5" w14:textId="76D23CDE"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Develop briefs that outline how</w:t>
            </w:r>
            <w:r w:rsidR="00B1003A">
              <w:t> </w:t>
            </w:r>
            <w:r w:rsidRPr="00F45F11">
              <w:t>the physical and social heritage of the program will be documented along with the general history of the towers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0057E0E0" w14:textId="7785BD9B" w:rsidR="00DC25DC" w:rsidRPr="00F45F11" w:rsidRDefault="00DC25DC" w:rsidP="009817E6">
            <w:pPr>
              <w:pStyle w:val="ARTabletext"/>
            </w:pPr>
            <w:r w:rsidRPr="00F45F11">
              <w:t xml:space="preserve">September 2025 </w:t>
            </w:r>
            <w:r w:rsidR="009E6E55" w:rsidRPr="00F45F11">
              <w:t>to</w:t>
            </w:r>
            <w:r w:rsidRPr="00F45F11">
              <w:t xml:space="preserve"> June</w:t>
            </w:r>
            <w:r w:rsidR="00526307">
              <w:t> </w:t>
            </w:r>
            <w:r w:rsidRPr="00F45F11">
              <w:t xml:space="preserve">2026 </w:t>
            </w:r>
          </w:p>
        </w:tc>
        <w:tc>
          <w:tcPr>
            <w:tcW w:w="779" w:type="pct"/>
            <w:tcMar>
              <w:left w:w="113" w:type="dxa"/>
            </w:tcMar>
          </w:tcPr>
          <w:p w14:paraId="465A9830" w14:textId="0573D195"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 xml:space="preserve">A </w:t>
            </w:r>
            <w:r w:rsidR="00D14C50" w:rsidRPr="00F45F11">
              <w:t>h</w:t>
            </w:r>
            <w:r w:rsidRPr="00F45F11">
              <w:t xml:space="preserve">eritage </w:t>
            </w:r>
            <w:r w:rsidR="00D14C50" w:rsidRPr="00F45F11">
              <w:t>i</w:t>
            </w:r>
            <w:r w:rsidRPr="00F45F11">
              <w:t>nterpretation </w:t>
            </w:r>
            <w:r w:rsidR="00D14C50" w:rsidRPr="00F45F11">
              <w:t>p</w:t>
            </w:r>
            <w:r w:rsidRPr="00F45F11">
              <w:t>rogram</w:t>
            </w:r>
          </w:p>
        </w:tc>
        <w:tc>
          <w:tcPr>
            <w:cnfStyle w:val="000001000000" w:firstRow="0" w:lastRow="0" w:firstColumn="0" w:lastColumn="0" w:oddVBand="0" w:evenVBand="1" w:oddHBand="0" w:evenHBand="0" w:firstRowFirstColumn="0" w:firstRowLastColumn="0" w:lastRowFirstColumn="0" w:lastRowLastColumn="0"/>
            <w:tcW w:w="438" w:type="pct"/>
          </w:tcPr>
          <w:p w14:paraId="1C8D46BA" w14:textId="70E0F33D" w:rsidR="00DC25DC" w:rsidRPr="00F45F11" w:rsidRDefault="00DC25DC" w:rsidP="009817E6">
            <w:pPr>
              <w:pStyle w:val="ARtabletextright"/>
            </w:pPr>
            <w:r w:rsidRPr="00F45F11">
              <w:rPr>
                <w:color w:val="000000" w:themeColor="text1"/>
              </w:rPr>
              <w:t>93</w:t>
            </w:r>
          </w:p>
        </w:tc>
        <w:tc>
          <w:tcPr>
            <w:tcW w:w="437" w:type="pct"/>
          </w:tcPr>
          <w:p w14:paraId="72DF14E6" w14:textId="00E05A48"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199</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5589D865" w14:textId="339C2132" w:rsidR="00DC25DC" w:rsidRPr="00F45F11" w:rsidRDefault="00DC25DC" w:rsidP="00F8411B">
            <w:pPr>
              <w:pStyle w:val="ARTabletext"/>
              <w:jc w:val="right"/>
              <w:rPr>
                <w:color w:val="000000"/>
              </w:rPr>
            </w:pPr>
            <w:r w:rsidRPr="00F45F11">
              <w:rPr>
                <w:color w:val="000000" w:themeColor="text1"/>
              </w:rPr>
              <w:t>N</w:t>
            </w:r>
            <w:r w:rsidR="00840BF9" w:rsidRPr="00F45F11">
              <w:rPr>
                <w:color w:val="000000" w:themeColor="text1"/>
              </w:rPr>
              <w:t xml:space="preserve"> – a</w:t>
            </w:r>
            <w:r w:rsidRPr="00F45F11">
              <w:rPr>
                <w:color w:val="000000" w:themeColor="text1"/>
              </w:rPr>
              <w:t xml:space="preserve">dvice to </w:t>
            </w:r>
            <w:r w:rsidR="00D14C50" w:rsidRPr="00F45F11">
              <w:rPr>
                <w:color w:val="000000" w:themeColor="text1"/>
              </w:rPr>
              <w:t>d</w:t>
            </w:r>
            <w:r w:rsidRPr="00F45F11">
              <w:rPr>
                <w:color w:val="000000" w:themeColor="text1"/>
              </w:rPr>
              <w:t>epartment</w:t>
            </w:r>
          </w:p>
        </w:tc>
      </w:tr>
      <w:tr w:rsidR="00DC25DC" w:rsidRPr="00F45F11" w14:paraId="5C32AD2E" w14:textId="77777777" w:rsidTr="00566B8E">
        <w:trPr>
          <w:trHeight w:val="20"/>
        </w:trPr>
        <w:tc>
          <w:tcPr>
            <w:tcW w:w="584" w:type="pct"/>
          </w:tcPr>
          <w:p w14:paraId="3418380A" w14:textId="77777777" w:rsidR="00DC25DC" w:rsidRPr="00F45F11" w:rsidRDefault="00DC25DC" w:rsidP="009817E6">
            <w:pPr>
              <w:pStyle w:val="ARTabletext"/>
            </w:pPr>
            <w:r w:rsidRPr="00F45F11">
              <w:t>2025 Public Housing Renter Survey</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202AB96B" w14:textId="07B245A6" w:rsidR="00DC25DC" w:rsidRPr="00F45F11" w:rsidRDefault="00DC25DC" w:rsidP="009817E6">
            <w:pPr>
              <w:pStyle w:val="ARTabletext"/>
            </w:pPr>
            <w:r w:rsidRPr="00F45F11">
              <w:t>To understand renters in public housings opinions about their home and housing services</w:t>
            </w:r>
          </w:p>
        </w:tc>
        <w:tc>
          <w:tcPr>
            <w:tcW w:w="900" w:type="pct"/>
            <w:tcMar>
              <w:left w:w="113" w:type="dxa"/>
            </w:tcMar>
          </w:tcPr>
          <w:p w14:paraId="79B420C2" w14:textId="329042BB" w:rsidR="00D14C50"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An annual survey of ~3,500 renters aged 18 and over who are living in public housing across Victoria</w:t>
            </w:r>
            <w:r w:rsidR="00A94FD8">
              <w:t>.</w:t>
            </w:r>
          </w:p>
          <w:p w14:paraId="2217F2EC" w14:textId="1DFB7252"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The survey asks questions about satisfaction with housing services, suitability and stability</w:t>
            </w:r>
            <w:r w:rsidR="00B1003A">
              <w:t> </w:t>
            </w:r>
            <w:r w:rsidRPr="00F45F11">
              <w:t xml:space="preserve">of housing, feelings of safety and security, and community connection and involvement </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0BCF124B" w14:textId="6B8A7723" w:rsidR="00DC25DC" w:rsidRPr="00F45F11" w:rsidRDefault="00DC25DC" w:rsidP="009817E6">
            <w:pPr>
              <w:pStyle w:val="ARTabletext"/>
            </w:pPr>
            <w:r w:rsidRPr="00F45F11">
              <w:t xml:space="preserve">December 2025 </w:t>
            </w:r>
            <w:r w:rsidR="00D14C50" w:rsidRPr="00F45F11">
              <w:t>to</w:t>
            </w:r>
            <w:r w:rsidRPr="00F45F11">
              <w:t xml:space="preserve"> May</w:t>
            </w:r>
            <w:r w:rsidR="00526307">
              <w:t> </w:t>
            </w:r>
            <w:r w:rsidRPr="00F45F11">
              <w:t>2026</w:t>
            </w:r>
          </w:p>
        </w:tc>
        <w:tc>
          <w:tcPr>
            <w:tcW w:w="779" w:type="pct"/>
            <w:tcMar>
              <w:left w:w="113" w:type="dxa"/>
            </w:tcMar>
          </w:tcPr>
          <w:p w14:paraId="21FD7075" w14:textId="39F43E05"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Results provide information to help improve public housing services and better meet the needs of people living in public housing</w:t>
            </w:r>
          </w:p>
        </w:tc>
        <w:tc>
          <w:tcPr>
            <w:cnfStyle w:val="000001000000" w:firstRow="0" w:lastRow="0" w:firstColumn="0" w:lastColumn="0" w:oddVBand="0" w:evenVBand="1" w:oddHBand="0" w:evenHBand="0" w:firstRowFirstColumn="0" w:firstRowLastColumn="0" w:lastRowFirstColumn="0" w:lastRowLastColumn="0"/>
            <w:tcW w:w="438" w:type="pct"/>
          </w:tcPr>
          <w:p w14:paraId="12D00E99" w14:textId="77777777" w:rsidR="00DC25DC" w:rsidRPr="00F45F11" w:rsidRDefault="00DC25DC" w:rsidP="009817E6">
            <w:pPr>
              <w:pStyle w:val="ARtabletextright"/>
            </w:pPr>
            <w:r w:rsidRPr="00F45F11">
              <w:rPr>
                <w:color w:val="000000"/>
              </w:rPr>
              <w:t>282</w:t>
            </w:r>
          </w:p>
        </w:tc>
        <w:tc>
          <w:tcPr>
            <w:tcW w:w="437" w:type="pct"/>
          </w:tcPr>
          <w:p w14:paraId="52CCD21B"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rPr>
              <w:t>226</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16A53D70" w14:textId="77777777" w:rsidR="00DC25DC" w:rsidRPr="00F45F11" w:rsidRDefault="00DC25DC" w:rsidP="00F8411B">
            <w:pPr>
              <w:pStyle w:val="ARTabletext"/>
              <w:jc w:val="right"/>
              <w:rPr>
                <w:color w:val="000000"/>
              </w:rPr>
            </w:pPr>
            <w:r w:rsidRPr="00F45F11">
              <w:rPr>
                <w:color w:val="000000"/>
              </w:rPr>
              <w:t xml:space="preserve">N – analysis of 2025 survey results </w:t>
            </w:r>
            <w:proofErr w:type="gramStart"/>
            <w:r w:rsidRPr="00F45F11">
              <w:rPr>
                <w:color w:val="000000"/>
              </w:rPr>
              <w:t>is</w:t>
            </w:r>
            <w:proofErr w:type="gramEnd"/>
            <w:r w:rsidRPr="00F45F11">
              <w:rPr>
                <w:color w:val="000000"/>
              </w:rPr>
              <w:t xml:space="preserve"> being finalised</w:t>
            </w:r>
          </w:p>
        </w:tc>
      </w:tr>
      <w:tr w:rsidR="00DC25DC" w:rsidRPr="00F45F11" w14:paraId="39961AB9" w14:textId="77777777" w:rsidTr="00566B8E">
        <w:trPr>
          <w:trHeight w:val="20"/>
        </w:trPr>
        <w:tc>
          <w:tcPr>
            <w:tcW w:w="584" w:type="pct"/>
          </w:tcPr>
          <w:p w14:paraId="1F2AA018" w14:textId="4CA36235" w:rsidR="00DC25DC" w:rsidRPr="00F45F11" w:rsidRDefault="00DC25DC" w:rsidP="009817E6">
            <w:pPr>
              <w:pStyle w:val="ARTabletext"/>
            </w:pPr>
            <w:r w:rsidRPr="00F45F11">
              <w:t xml:space="preserve">Youth – Evaluation of </w:t>
            </w:r>
            <w:r w:rsidR="00D14C50" w:rsidRPr="00F45F11">
              <w:t>i</w:t>
            </w:r>
            <w:r w:rsidRPr="00F45F11">
              <w:t>nvesting early in young Victorians programs (Community Support Groups, Le Mana Pasifika Project, Regional Presence Project and CALD AOD program)</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414C7F27" w14:textId="77777777" w:rsidR="00DC25DC" w:rsidRPr="00F45F11" w:rsidRDefault="00DC25DC" w:rsidP="009817E6">
            <w:pPr>
              <w:pStyle w:val="ARTabletext"/>
            </w:pPr>
            <w:r w:rsidRPr="00F45F11">
              <w:t>To meet lapsing program evaluation requirements and inform future funding consideration</w:t>
            </w:r>
          </w:p>
        </w:tc>
        <w:tc>
          <w:tcPr>
            <w:tcW w:w="900" w:type="pct"/>
            <w:tcMar>
              <w:left w:w="113" w:type="dxa"/>
            </w:tcMar>
          </w:tcPr>
          <w:p w14:paraId="2EB6CB1E"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Evaluate the programs’ effectiveness, efficiency and impacts, and identify continuous improvement opportunities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359B1078" w14:textId="7DFDA3D7" w:rsidR="00DC25DC" w:rsidRPr="00F45F11" w:rsidRDefault="00DC25DC" w:rsidP="009817E6">
            <w:pPr>
              <w:pStyle w:val="ARTabletext"/>
            </w:pPr>
            <w:r w:rsidRPr="00F45F11">
              <w:t xml:space="preserve">December 2025 </w:t>
            </w:r>
            <w:r w:rsidR="00D14C50" w:rsidRPr="00F45F11">
              <w:t>to</w:t>
            </w:r>
            <w:r w:rsidRPr="00F45F11">
              <w:t xml:space="preserve"> August 2026</w:t>
            </w:r>
          </w:p>
        </w:tc>
        <w:tc>
          <w:tcPr>
            <w:tcW w:w="779" w:type="pct"/>
            <w:tcMar>
              <w:left w:w="113" w:type="dxa"/>
            </w:tcMar>
          </w:tcPr>
          <w:p w14:paraId="18D3ABE1" w14:textId="12F2A4E0"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Four evaluation reports (one for each program) consisting of data and stakeholder insights summaries (RPP and AOD program reports) and key findings, lessons learned and recommendations for improvements (CSG and Le Mana Pasifika program reports)</w:t>
            </w:r>
          </w:p>
        </w:tc>
        <w:tc>
          <w:tcPr>
            <w:cnfStyle w:val="000001000000" w:firstRow="0" w:lastRow="0" w:firstColumn="0" w:lastColumn="0" w:oddVBand="0" w:evenVBand="1" w:oddHBand="0" w:evenHBand="0" w:firstRowFirstColumn="0" w:firstRowLastColumn="0" w:lastRowFirstColumn="0" w:lastRowLastColumn="0"/>
            <w:tcW w:w="438" w:type="pct"/>
          </w:tcPr>
          <w:p w14:paraId="0B7599E1" w14:textId="77777777" w:rsidR="00DC25DC" w:rsidRPr="00F45F11" w:rsidRDefault="00DC25DC" w:rsidP="009817E6">
            <w:pPr>
              <w:pStyle w:val="ARtabletextright"/>
            </w:pPr>
            <w:r w:rsidRPr="00F45F11">
              <w:rPr>
                <w:color w:val="000000" w:themeColor="text1"/>
              </w:rPr>
              <w:t>155</w:t>
            </w:r>
          </w:p>
        </w:tc>
        <w:tc>
          <w:tcPr>
            <w:tcW w:w="437" w:type="pct"/>
          </w:tcPr>
          <w:p w14:paraId="399CF6A0"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233</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1416610E" w14:textId="11BEFC42" w:rsidR="00DC25DC" w:rsidRPr="00F45F11" w:rsidRDefault="00DC25DC" w:rsidP="00F8411B">
            <w:pPr>
              <w:pStyle w:val="ARTabletext"/>
              <w:jc w:val="right"/>
              <w:rPr>
                <w:color w:val="000000"/>
              </w:rPr>
            </w:pPr>
            <w:r w:rsidRPr="00F45F11">
              <w:rPr>
                <w:color w:val="000000" w:themeColor="text1"/>
              </w:rPr>
              <w:t xml:space="preserve">N </w:t>
            </w:r>
            <w:r w:rsidR="00D14C50" w:rsidRPr="00F45F11">
              <w:rPr>
                <w:color w:val="000000" w:themeColor="text1"/>
              </w:rPr>
              <w:t xml:space="preserve">– </w:t>
            </w:r>
            <w:r w:rsidR="00840BF9" w:rsidRPr="00F45F11">
              <w:rPr>
                <w:color w:val="000000" w:themeColor="text1"/>
              </w:rPr>
              <w:t>C</w:t>
            </w:r>
            <w:r w:rsidRPr="00F45F11">
              <w:rPr>
                <w:color w:val="000000" w:themeColor="text1"/>
              </w:rPr>
              <w:t>abinet</w:t>
            </w:r>
            <w:r w:rsidR="00840BF9" w:rsidRPr="00F45F11">
              <w:rPr>
                <w:color w:val="000000" w:themeColor="text1"/>
              </w:rPr>
              <w:t>-</w:t>
            </w:r>
            <w:r w:rsidRPr="00F45F11">
              <w:rPr>
                <w:color w:val="000000" w:themeColor="text1"/>
              </w:rPr>
              <w:t>in</w:t>
            </w:r>
            <w:r w:rsidR="00840BF9" w:rsidRPr="00F45F11">
              <w:rPr>
                <w:color w:val="000000" w:themeColor="text1"/>
              </w:rPr>
              <w:t>-</w:t>
            </w:r>
            <w:r w:rsidR="00B12EF1" w:rsidRPr="00F45F11">
              <w:rPr>
                <w:color w:val="000000" w:themeColor="text1"/>
              </w:rPr>
              <w:t>c</w:t>
            </w:r>
            <w:r w:rsidRPr="00F45F11">
              <w:rPr>
                <w:color w:val="000000" w:themeColor="text1"/>
              </w:rPr>
              <w:t>onfidence</w:t>
            </w:r>
          </w:p>
        </w:tc>
      </w:tr>
      <w:tr w:rsidR="00DC25DC" w:rsidRPr="00F45F11" w14:paraId="2C99E2D2" w14:textId="77777777" w:rsidTr="00566B8E">
        <w:trPr>
          <w:trHeight w:val="20"/>
        </w:trPr>
        <w:tc>
          <w:tcPr>
            <w:tcW w:w="584" w:type="pct"/>
          </w:tcPr>
          <w:p w14:paraId="4E8BED5E" w14:textId="77777777" w:rsidR="00DC25DC" w:rsidRPr="00F45F11" w:rsidRDefault="00DC25DC" w:rsidP="009817E6">
            <w:pPr>
              <w:pStyle w:val="ARTabletext"/>
            </w:pPr>
            <w:r w:rsidRPr="00F45F11">
              <w:t>Evaluation of the Specialist Disability Accommodation (SDA) Capital Pilot Program (CPP)</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691E17E5" w14:textId="66E02480" w:rsidR="00DC25DC" w:rsidRPr="00F45F11" w:rsidRDefault="00DC25DC" w:rsidP="009817E6">
            <w:pPr>
              <w:pStyle w:val="ARTabletext"/>
            </w:pPr>
            <w:r w:rsidRPr="00F45F11">
              <w:t>To assess whether the pilot program improved resident outcomes to inform future SDA capital investment</w:t>
            </w:r>
          </w:p>
        </w:tc>
        <w:tc>
          <w:tcPr>
            <w:tcW w:w="900" w:type="pct"/>
            <w:tcMar>
              <w:left w:w="113" w:type="dxa"/>
            </w:tcMar>
          </w:tcPr>
          <w:p w14:paraId="4287A9D9" w14:textId="3762EE9A"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Evaluate the effectiveness, efficiency and scalability of the</w:t>
            </w:r>
            <w:r w:rsidR="00B1003A">
              <w:t> </w:t>
            </w:r>
            <w:r w:rsidRPr="00F45F11">
              <w:t>SDA Capital Pilot program by examining delivery</w:t>
            </w:r>
            <w:r w:rsidR="00B1003A">
              <w:t> </w:t>
            </w:r>
            <w:r w:rsidRPr="00F45F11">
              <w:t>performance, resident outcomes, and performance against objectives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2FA268E5" w14:textId="40ABFE76" w:rsidR="00DC25DC" w:rsidRPr="00F45F11" w:rsidRDefault="00DC25DC" w:rsidP="00D14C50">
            <w:pPr>
              <w:pStyle w:val="ARTabletext"/>
            </w:pPr>
            <w:r w:rsidRPr="00F45F11">
              <w:t xml:space="preserve">October 2025 </w:t>
            </w:r>
            <w:r w:rsidR="00D14C50" w:rsidRPr="00F45F11">
              <w:t xml:space="preserve">to </w:t>
            </w:r>
            <w:r w:rsidRPr="00F45F11">
              <w:t>August 2026</w:t>
            </w:r>
          </w:p>
        </w:tc>
        <w:tc>
          <w:tcPr>
            <w:tcW w:w="779" w:type="pct"/>
            <w:tcMar>
              <w:left w:w="113" w:type="dxa"/>
            </w:tcMar>
          </w:tcPr>
          <w:p w14:paraId="049EDAAF" w14:textId="6603D279" w:rsidR="00DC25DC" w:rsidRPr="00F45F11" w:rsidRDefault="00FA6D6D"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t>An</w:t>
            </w:r>
            <w:r w:rsidRPr="00F45F11">
              <w:t xml:space="preserve"> </w:t>
            </w:r>
            <w:r w:rsidR="00DC25DC" w:rsidRPr="00F45F11">
              <w:t xml:space="preserve">evaluation report </w:t>
            </w:r>
            <w:r>
              <w:t>of the SDA pilot</w:t>
            </w:r>
            <w:r w:rsidR="00C436D3">
              <w:t xml:space="preserve"> new build</w:t>
            </w:r>
            <w:r>
              <w:t xml:space="preserve"> program,</w:t>
            </w:r>
            <w:r w:rsidR="007123F5">
              <w:t xml:space="preserve"> </w:t>
            </w:r>
            <w:r w:rsidR="00CB18A0">
              <w:t>including</w:t>
            </w:r>
            <w:r w:rsidR="007123F5">
              <w:t xml:space="preserve"> recommendations to</w:t>
            </w:r>
            <w:r w:rsidR="00DC25DC" w:rsidRPr="00F45F11">
              <w:t xml:space="preserve"> </w:t>
            </w:r>
            <w:r w:rsidR="009F79E1">
              <w:t>improve</w:t>
            </w:r>
            <w:r w:rsidR="00DC25DC" w:rsidRPr="00F45F11">
              <w:t xml:space="preserve"> </w:t>
            </w:r>
            <w:r w:rsidR="007123F5">
              <w:t>design of</w:t>
            </w:r>
            <w:r w:rsidR="00DC25DC" w:rsidRPr="00F45F11">
              <w:t xml:space="preserve"> future </w:t>
            </w:r>
            <w:r w:rsidR="00BE2F5C">
              <w:t xml:space="preserve">department-owned </w:t>
            </w:r>
            <w:r w:rsidR="00DC25DC" w:rsidRPr="00F45F11">
              <w:t>SDA</w:t>
            </w:r>
            <w:r w:rsidR="00BE2F5C">
              <w:t xml:space="preserve"> </w:t>
            </w:r>
            <w:r w:rsidR="00CB18A0">
              <w:t xml:space="preserve">homes </w:t>
            </w:r>
            <w:r w:rsidR="00A31419">
              <w:t xml:space="preserve">and resident transition </w:t>
            </w:r>
            <w:r w:rsidR="00CB18A0">
              <w:t>supports</w:t>
            </w:r>
            <w:r w:rsidR="007123F5">
              <w:t xml:space="preserve"> </w:t>
            </w:r>
          </w:p>
        </w:tc>
        <w:tc>
          <w:tcPr>
            <w:cnfStyle w:val="000001000000" w:firstRow="0" w:lastRow="0" w:firstColumn="0" w:lastColumn="0" w:oddVBand="0" w:evenVBand="1" w:oddHBand="0" w:evenHBand="0" w:firstRowFirstColumn="0" w:firstRowLastColumn="0" w:lastRowFirstColumn="0" w:lastRowLastColumn="0"/>
            <w:tcW w:w="438" w:type="pct"/>
          </w:tcPr>
          <w:p w14:paraId="5D38159C" w14:textId="77777777" w:rsidR="00DC25DC" w:rsidRPr="00F45F11" w:rsidRDefault="00DC25DC" w:rsidP="009817E6">
            <w:pPr>
              <w:pStyle w:val="ARtabletextright"/>
            </w:pPr>
            <w:r w:rsidRPr="00F45F11">
              <w:rPr>
                <w:color w:val="000000" w:themeColor="text1"/>
              </w:rPr>
              <w:t>200</w:t>
            </w:r>
          </w:p>
        </w:tc>
        <w:tc>
          <w:tcPr>
            <w:tcW w:w="437" w:type="pct"/>
          </w:tcPr>
          <w:p w14:paraId="4BA1D7B0"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N/A</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14AF854F" w14:textId="3755A016" w:rsidR="00DC25DC" w:rsidRPr="00F45F11" w:rsidRDefault="00DC25DC" w:rsidP="00F8411B">
            <w:pPr>
              <w:pStyle w:val="ARTabletext"/>
              <w:jc w:val="right"/>
              <w:rPr>
                <w:color w:val="000000"/>
              </w:rPr>
            </w:pPr>
            <w:r w:rsidRPr="00F45F11">
              <w:rPr>
                <w:color w:val="000000" w:themeColor="text1"/>
              </w:rPr>
              <w:t>N</w:t>
            </w:r>
            <w:r w:rsidR="00D14C50" w:rsidRPr="00F45F11">
              <w:rPr>
                <w:color w:val="000000" w:themeColor="text1"/>
              </w:rPr>
              <w:t xml:space="preserve"> – i</w:t>
            </w:r>
            <w:r w:rsidRPr="00F45F11">
              <w:rPr>
                <w:color w:val="000000" w:themeColor="text1"/>
              </w:rPr>
              <w:t>nternal program evaluation, sensitive resident information</w:t>
            </w:r>
          </w:p>
        </w:tc>
      </w:tr>
      <w:tr w:rsidR="00DC25DC" w:rsidRPr="00F45F11" w14:paraId="675DA0D3" w14:textId="77777777" w:rsidTr="00566B8E">
        <w:trPr>
          <w:trHeight w:val="20"/>
        </w:trPr>
        <w:tc>
          <w:tcPr>
            <w:tcW w:w="584" w:type="pct"/>
          </w:tcPr>
          <w:p w14:paraId="269F51D5" w14:textId="77777777" w:rsidR="00DC25DC" w:rsidRPr="00F45F11" w:rsidRDefault="00DC25DC" w:rsidP="009817E6">
            <w:pPr>
              <w:pStyle w:val="ARTabletext"/>
            </w:pPr>
            <w:r w:rsidRPr="00F45F11">
              <w:t>Evaluation of the Veterans Card – Victoria</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49130D0E" w14:textId="6AEB40BC" w:rsidR="00DC25DC" w:rsidRPr="00F45F11" w:rsidRDefault="00DC25DC" w:rsidP="009817E6">
            <w:pPr>
              <w:pStyle w:val="ARTabletext"/>
            </w:pPr>
            <w:r w:rsidRPr="00F45F11">
              <w:t>To meet lapsing program evaluation requirements and inform future funding consideration</w:t>
            </w:r>
          </w:p>
        </w:tc>
        <w:tc>
          <w:tcPr>
            <w:tcW w:w="900" w:type="pct"/>
            <w:tcMar>
              <w:left w:w="113" w:type="dxa"/>
            </w:tcMar>
          </w:tcPr>
          <w:p w14:paraId="7AE8A028" w14:textId="5E1F56D8"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Evaluation assesses program justification, delivery, effectiveness, efficiency and sustainability</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49552913" w14:textId="6F947E03" w:rsidR="00DC25DC" w:rsidRPr="00F45F11" w:rsidRDefault="00DC25DC" w:rsidP="009817E6">
            <w:pPr>
              <w:pStyle w:val="ARTabletext"/>
            </w:pPr>
            <w:r w:rsidRPr="00F45F11">
              <w:t xml:space="preserve">November 2025 </w:t>
            </w:r>
            <w:r w:rsidR="00D14C50" w:rsidRPr="00F45F11">
              <w:t xml:space="preserve">to </w:t>
            </w:r>
            <w:r w:rsidRPr="00F45F11">
              <w:t>September 2026</w:t>
            </w:r>
          </w:p>
        </w:tc>
        <w:tc>
          <w:tcPr>
            <w:tcW w:w="779" w:type="pct"/>
            <w:tcMar>
              <w:left w:w="113" w:type="dxa"/>
            </w:tcMar>
          </w:tcPr>
          <w:p w14:paraId="63159232" w14:textId="735381B2"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Evaluation report containing findings and recommendations to support future program investment and improvements</w:t>
            </w:r>
          </w:p>
        </w:tc>
        <w:tc>
          <w:tcPr>
            <w:cnfStyle w:val="000001000000" w:firstRow="0" w:lastRow="0" w:firstColumn="0" w:lastColumn="0" w:oddVBand="0" w:evenVBand="1" w:oddHBand="0" w:evenHBand="0" w:firstRowFirstColumn="0" w:firstRowLastColumn="0" w:lastRowFirstColumn="0" w:lastRowLastColumn="0"/>
            <w:tcW w:w="438" w:type="pct"/>
          </w:tcPr>
          <w:p w14:paraId="4D966F44" w14:textId="77777777" w:rsidR="00DC25DC" w:rsidRPr="00F45F11" w:rsidRDefault="00DC25DC" w:rsidP="009817E6">
            <w:pPr>
              <w:pStyle w:val="ARtabletextright"/>
            </w:pPr>
            <w:r w:rsidRPr="00F45F11">
              <w:rPr>
                <w:color w:val="000000" w:themeColor="text1"/>
              </w:rPr>
              <w:t>109</w:t>
            </w:r>
          </w:p>
        </w:tc>
        <w:tc>
          <w:tcPr>
            <w:tcW w:w="437" w:type="pct"/>
          </w:tcPr>
          <w:p w14:paraId="1F375B26"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N/A</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71446182" w14:textId="77AEA1B4" w:rsidR="00DC25DC" w:rsidRPr="00F45F11" w:rsidRDefault="00DC25DC" w:rsidP="00F8411B">
            <w:pPr>
              <w:pStyle w:val="ARTabletext"/>
              <w:jc w:val="right"/>
              <w:rPr>
                <w:color w:val="000000"/>
              </w:rPr>
            </w:pPr>
            <w:r w:rsidRPr="00F45F11">
              <w:rPr>
                <w:color w:val="000000" w:themeColor="text1"/>
              </w:rPr>
              <w:t xml:space="preserve">N </w:t>
            </w:r>
            <w:r w:rsidR="00D14C50" w:rsidRPr="00F45F11">
              <w:rPr>
                <w:color w:val="000000" w:themeColor="text1"/>
              </w:rPr>
              <w:t xml:space="preserve">– </w:t>
            </w:r>
            <w:r w:rsidR="00840BF9" w:rsidRPr="00F45F11">
              <w:rPr>
                <w:color w:val="000000" w:themeColor="text1"/>
              </w:rPr>
              <w:t>C</w:t>
            </w:r>
            <w:r w:rsidRPr="00F45F11">
              <w:rPr>
                <w:color w:val="000000" w:themeColor="text1"/>
              </w:rPr>
              <w:t>abinet</w:t>
            </w:r>
            <w:r w:rsidR="00840BF9" w:rsidRPr="00F45F11">
              <w:rPr>
                <w:color w:val="000000" w:themeColor="text1"/>
              </w:rPr>
              <w:t>-</w:t>
            </w:r>
            <w:r w:rsidRPr="00F45F11">
              <w:rPr>
                <w:color w:val="000000" w:themeColor="text1"/>
              </w:rPr>
              <w:t>in</w:t>
            </w:r>
            <w:r w:rsidR="00840BF9" w:rsidRPr="00F45F11">
              <w:rPr>
                <w:color w:val="000000" w:themeColor="text1"/>
              </w:rPr>
              <w:t>-</w:t>
            </w:r>
            <w:r w:rsidR="00B12EF1" w:rsidRPr="00F45F11">
              <w:rPr>
                <w:color w:val="000000" w:themeColor="text1"/>
              </w:rPr>
              <w:t>c</w:t>
            </w:r>
            <w:r w:rsidR="00D14C50" w:rsidRPr="00F45F11">
              <w:rPr>
                <w:color w:val="000000" w:themeColor="text1"/>
              </w:rPr>
              <w:t>o</w:t>
            </w:r>
            <w:r w:rsidRPr="00F45F11">
              <w:rPr>
                <w:color w:val="000000" w:themeColor="text1"/>
              </w:rPr>
              <w:t>nfidence</w:t>
            </w:r>
          </w:p>
        </w:tc>
      </w:tr>
      <w:tr w:rsidR="00DC25DC" w:rsidRPr="00F45F11" w14:paraId="0D8C3EEA" w14:textId="77777777" w:rsidTr="00566B8E">
        <w:trPr>
          <w:trHeight w:val="20"/>
        </w:trPr>
        <w:tc>
          <w:tcPr>
            <w:tcW w:w="584" w:type="pct"/>
          </w:tcPr>
          <w:p w14:paraId="0DEFAE60" w14:textId="626EA4B3" w:rsidR="00DC25DC" w:rsidRPr="00F45F11" w:rsidRDefault="00DC25DC" w:rsidP="009817E6">
            <w:pPr>
              <w:pStyle w:val="ARTabletext"/>
            </w:pPr>
            <w:r w:rsidRPr="00F45F11">
              <w:t>Evaluation of Recognition of Prior Learning (RPL) for</w:t>
            </w:r>
            <w:r w:rsidR="00B1003A">
              <w:t> </w:t>
            </w:r>
            <w:proofErr w:type="gramStart"/>
            <w:r w:rsidRPr="00F45F11">
              <w:t>veterans</w:t>
            </w:r>
            <w:proofErr w:type="gramEnd"/>
            <w:r w:rsidRPr="00F45F11">
              <w:t xml:space="preserve"> pilot</w:t>
            </w:r>
            <w:r w:rsidR="00B1003A">
              <w:t> </w:t>
            </w:r>
            <w:r w:rsidRPr="00F45F11">
              <w:t xml:space="preserve">program </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3F0145AF" w14:textId="017E6211" w:rsidR="00DC25DC" w:rsidRPr="00F45F11" w:rsidRDefault="00DC25DC" w:rsidP="009817E6">
            <w:pPr>
              <w:pStyle w:val="ARTabletext"/>
            </w:pPr>
            <w:r w:rsidRPr="00F45F11">
              <w:t>To meet lapsing program evaluation requirements, assess the service model and inform future funding consideration</w:t>
            </w:r>
          </w:p>
        </w:tc>
        <w:tc>
          <w:tcPr>
            <w:tcW w:w="900" w:type="pct"/>
            <w:tcMar>
              <w:left w:w="113" w:type="dxa"/>
            </w:tcMar>
          </w:tcPr>
          <w:p w14:paraId="2EDB15E1" w14:textId="6884DA66"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Evaluate the pilot program implementation and assess its effectiveness with a focus on the process, program design, and how it was established to provide support to veterans seeking an RPL certificate</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25E32145" w14:textId="6B52D15A" w:rsidR="00DC25DC" w:rsidRPr="00F45F11" w:rsidRDefault="00DC25DC" w:rsidP="009817E6">
            <w:pPr>
              <w:pStyle w:val="ARTabletext"/>
            </w:pPr>
            <w:r w:rsidRPr="00F45F11">
              <w:t xml:space="preserve">September 2025 </w:t>
            </w:r>
            <w:r w:rsidR="00D14C50" w:rsidRPr="00F45F11">
              <w:t xml:space="preserve">to </w:t>
            </w:r>
            <w:r w:rsidRPr="00F45F11">
              <w:t>November 2025</w:t>
            </w:r>
          </w:p>
        </w:tc>
        <w:tc>
          <w:tcPr>
            <w:tcW w:w="779" w:type="pct"/>
            <w:tcMar>
              <w:left w:w="113" w:type="dxa"/>
            </w:tcMar>
          </w:tcPr>
          <w:p w14:paraId="15802751" w14:textId="4BBB6C0C"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Evaluation report containing findings and recommendations to support future program investment and improvements</w:t>
            </w:r>
          </w:p>
        </w:tc>
        <w:tc>
          <w:tcPr>
            <w:cnfStyle w:val="000001000000" w:firstRow="0" w:lastRow="0" w:firstColumn="0" w:lastColumn="0" w:oddVBand="0" w:evenVBand="1" w:oddHBand="0" w:evenHBand="0" w:firstRowFirstColumn="0" w:firstRowLastColumn="0" w:lastRowFirstColumn="0" w:lastRowLastColumn="0"/>
            <w:tcW w:w="438" w:type="pct"/>
          </w:tcPr>
          <w:p w14:paraId="7070FA55" w14:textId="77777777" w:rsidR="00DC25DC" w:rsidRPr="00F45F11" w:rsidRDefault="00DC25DC" w:rsidP="009817E6">
            <w:pPr>
              <w:pStyle w:val="ARtabletextright"/>
            </w:pPr>
            <w:r w:rsidRPr="00F45F11">
              <w:rPr>
                <w:color w:val="000000" w:themeColor="text1"/>
              </w:rPr>
              <w:t>50</w:t>
            </w:r>
          </w:p>
        </w:tc>
        <w:tc>
          <w:tcPr>
            <w:tcW w:w="437" w:type="pct"/>
          </w:tcPr>
          <w:p w14:paraId="394079A7"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50</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6A2AF880" w14:textId="4319E413" w:rsidR="00DC25DC" w:rsidRPr="00F45F11" w:rsidRDefault="00DC25DC" w:rsidP="00F8411B">
            <w:pPr>
              <w:pStyle w:val="ARTabletext"/>
              <w:jc w:val="right"/>
              <w:rPr>
                <w:color w:val="000000"/>
              </w:rPr>
            </w:pPr>
            <w:r w:rsidRPr="00F45F11">
              <w:rPr>
                <w:color w:val="000000" w:themeColor="text1"/>
              </w:rPr>
              <w:t>N</w:t>
            </w:r>
            <w:r w:rsidR="00D14C50" w:rsidRPr="00F45F11">
              <w:rPr>
                <w:color w:val="000000" w:themeColor="text1"/>
              </w:rPr>
              <w:t xml:space="preserve"> – i</w:t>
            </w:r>
            <w:r w:rsidRPr="00F45F11">
              <w:rPr>
                <w:color w:val="000000" w:themeColor="text1"/>
              </w:rPr>
              <w:t>nternal program evaluation</w:t>
            </w:r>
          </w:p>
        </w:tc>
      </w:tr>
      <w:tr w:rsidR="00DC25DC" w:rsidRPr="00F45F11" w14:paraId="38EE87DA" w14:textId="77777777" w:rsidTr="00566B8E">
        <w:trPr>
          <w:trHeight w:val="20"/>
        </w:trPr>
        <w:tc>
          <w:tcPr>
            <w:tcW w:w="584" w:type="pct"/>
          </w:tcPr>
          <w:p w14:paraId="58564683" w14:textId="77777777" w:rsidR="00DC25DC" w:rsidRPr="00F45F11" w:rsidRDefault="00DC25DC" w:rsidP="009817E6">
            <w:pPr>
              <w:pStyle w:val="ARTabletext"/>
            </w:pPr>
            <w:r w:rsidRPr="00F45F11">
              <w:t xml:space="preserve">Shrine of Remembrance Review </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00DBEF94" w14:textId="534F8491" w:rsidR="00DC25DC" w:rsidRPr="00F45F11" w:rsidRDefault="00DC25DC" w:rsidP="009817E6">
            <w:pPr>
              <w:pStyle w:val="ARTabletext"/>
            </w:pPr>
            <w:r w:rsidRPr="009913ED">
              <w:t>Identify strengths and opportunities relating to service delivery to ensure that the Shrine is best placed to continue to deliver its mission and legislated functions into the future</w:t>
            </w:r>
          </w:p>
        </w:tc>
        <w:tc>
          <w:tcPr>
            <w:tcW w:w="900" w:type="pct"/>
            <w:tcMar>
              <w:left w:w="113" w:type="dxa"/>
            </w:tcMar>
          </w:tcPr>
          <w:p w14:paraId="1082A808" w14:textId="2C9D9C72"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Performance against the Shrine Service Agreement which administers funding provided by the department</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7F74F546" w14:textId="77777777" w:rsidR="00DC25DC" w:rsidRPr="00F45F11" w:rsidRDefault="00DC25DC" w:rsidP="009817E6">
            <w:pPr>
              <w:pStyle w:val="ARTabletext"/>
            </w:pPr>
            <w:r w:rsidRPr="00F45F11">
              <w:t xml:space="preserve">June 2026 – September 2026 </w:t>
            </w:r>
          </w:p>
        </w:tc>
        <w:tc>
          <w:tcPr>
            <w:tcW w:w="779" w:type="pct"/>
            <w:tcMar>
              <w:left w:w="113" w:type="dxa"/>
            </w:tcMar>
          </w:tcPr>
          <w:p w14:paraId="44F276E0" w14:textId="35879F3A"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Report containing key findings which may inform decisions relating to service delivery</w:t>
            </w:r>
          </w:p>
        </w:tc>
        <w:tc>
          <w:tcPr>
            <w:cnfStyle w:val="000001000000" w:firstRow="0" w:lastRow="0" w:firstColumn="0" w:lastColumn="0" w:oddVBand="0" w:evenVBand="1" w:oddHBand="0" w:evenHBand="0" w:firstRowFirstColumn="0" w:firstRowLastColumn="0" w:lastRowFirstColumn="0" w:lastRowLastColumn="0"/>
            <w:tcW w:w="438" w:type="pct"/>
          </w:tcPr>
          <w:p w14:paraId="24C75BF3" w14:textId="77777777" w:rsidR="00DC25DC" w:rsidRPr="00F45F11" w:rsidRDefault="00DC25DC" w:rsidP="009817E6">
            <w:pPr>
              <w:pStyle w:val="ARtabletextright"/>
            </w:pPr>
            <w:r w:rsidRPr="00F45F11">
              <w:rPr>
                <w:color w:val="000000" w:themeColor="text1"/>
              </w:rPr>
              <w:t>150</w:t>
            </w:r>
          </w:p>
        </w:tc>
        <w:tc>
          <w:tcPr>
            <w:tcW w:w="437" w:type="pct"/>
          </w:tcPr>
          <w:p w14:paraId="0F1F3453"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N/A</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641FF45D" w14:textId="047DA69F" w:rsidR="00DC25DC" w:rsidRPr="00F45F11" w:rsidRDefault="00DC25DC" w:rsidP="00F8411B">
            <w:pPr>
              <w:pStyle w:val="ARTabletext"/>
              <w:jc w:val="right"/>
              <w:rPr>
                <w:color w:val="000000"/>
              </w:rPr>
            </w:pPr>
            <w:r w:rsidRPr="00F45F11">
              <w:rPr>
                <w:color w:val="000000" w:themeColor="text1"/>
              </w:rPr>
              <w:t>N</w:t>
            </w:r>
            <w:r w:rsidR="00D14C50" w:rsidRPr="00F45F11">
              <w:rPr>
                <w:color w:val="000000" w:themeColor="text1"/>
              </w:rPr>
              <w:t xml:space="preserve"> – i</w:t>
            </w:r>
            <w:r w:rsidRPr="00F45F11">
              <w:rPr>
                <w:color w:val="000000" w:themeColor="text1"/>
              </w:rPr>
              <w:t>nternal review</w:t>
            </w:r>
          </w:p>
        </w:tc>
      </w:tr>
      <w:tr w:rsidR="00DC25DC" w:rsidRPr="00F45F11" w14:paraId="17B0D19D" w14:textId="77777777" w:rsidTr="00566B8E">
        <w:trPr>
          <w:trHeight w:val="20"/>
        </w:trPr>
        <w:tc>
          <w:tcPr>
            <w:tcW w:w="584" w:type="pct"/>
          </w:tcPr>
          <w:p w14:paraId="31DE7789" w14:textId="77777777" w:rsidR="00DC25DC" w:rsidRPr="00F45F11" w:rsidRDefault="00DC25DC" w:rsidP="009817E6">
            <w:pPr>
              <w:pStyle w:val="ARTabletext"/>
            </w:pPr>
            <w:r w:rsidRPr="00F45F11">
              <w:t xml:space="preserve">Community Protecting </w:t>
            </w:r>
            <w:proofErr w:type="spellStart"/>
            <w:r w:rsidRPr="00F45F11">
              <w:t>Boorais</w:t>
            </w:r>
            <w:proofErr w:type="spellEnd"/>
            <w:r w:rsidRPr="00F45F11">
              <w:t xml:space="preserve"> Pilot evaluation</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3E9C853B" w14:textId="77777777" w:rsidR="00DC25DC" w:rsidRPr="00F45F11" w:rsidRDefault="00DC25DC" w:rsidP="009817E6">
            <w:pPr>
              <w:pStyle w:val="ARTabletext"/>
            </w:pPr>
            <w:r w:rsidRPr="00F45F11">
              <w:t>To meet lapsing program evaluation requirements and inform future funding considerations</w:t>
            </w:r>
          </w:p>
        </w:tc>
        <w:tc>
          <w:tcPr>
            <w:tcW w:w="900" w:type="pct"/>
            <w:tcMar>
              <w:left w:w="113" w:type="dxa"/>
            </w:tcMar>
          </w:tcPr>
          <w:p w14:paraId="15B006B2" w14:textId="636DCC52"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Evaluation assesses program delivery, effectiveness, and outcomes of authorised ACCOs delivering statutory child protection services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1CFDA179" w14:textId="77777777" w:rsidR="00DC25DC" w:rsidRPr="00F45F11" w:rsidRDefault="00DC25DC" w:rsidP="009817E6">
            <w:pPr>
              <w:pStyle w:val="ARTabletext"/>
            </w:pPr>
            <w:r w:rsidRPr="00F45F11">
              <w:t xml:space="preserve">September 2025 – September 2026 </w:t>
            </w:r>
          </w:p>
        </w:tc>
        <w:tc>
          <w:tcPr>
            <w:tcW w:w="779" w:type="pct"/>
            <w:tcMar>
              <w:left w:w="113" w:type="dxa"/>
            </w:tcMar>
          </w:tcPr>
          <w:p w14:paraId="49286B62" w14:textId="0644463A"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Evaluation report responding to the lapsing program evaluation requirements to support potential future development of the program and decisions by Government about continuing funding for the program</w:t>
            </w:r>
          </w:p>
        </w:tc>
        <w:tc>
          <w:tcPr>
            <w:cnfStyle w:val="000001000000" w:firstRow="0" w:lastRow="0" w:firstColumn="0" w:lastColumn="0" w:oddVBand="0" w:evenVBand="1" w:oddHBand="0" w:evenHBand="0" w:firstRowFirstColumn="0" w:firstRowLastColumn="0" w:lastRowFirstColumn="0" w:lastRowLastColumn="0"/>
            <w:tcW w:w="438" w:type="pct"/>
          </w:tcPr>
          <w:p w14:paraId="2EAC72EF" w14:textId="77777777" w:rsidR="00DC25DC" w:rsidRPr="00F45F11" w:rsidRDefault="00DC25DC" w:rsidP="009817E6">
            <w:pPr>
              <w:pStyle w:val="ARtabletextright"/>
            </w:pPr>
            <w:r w:rsidRPr="00F45F11">
              <w:rPr>
                <w:color w:val="000000" w:themeColor="text1"/>
              </w:rPr>
              <w:t>453</w:t>
            </w:r>
          </w:p>
        </w:tc>
        <w:tc>
          <w:tcPr>
            <w:tcW w:w="437" w:type="pct"/>
          </w:tcPr>
          <w:p w14:paraId="28C1F69E"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712</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20026A32" w14:textId="7513DD0C" w:rsidR="00DC25DC" w:rsidRPr="00F45F11" w:rsidRDefault="00DC25DC" w:rsidP="00F8411B">
            <w:pPr>
              <w:pStyle w:val="ARTabletext"/>
              <w:jc w:val="right"/>
              <w:rPr>
                <w:color w:val="000000"/>
              </w:rPr>
            </w:pPr>
            <w:r w:rsidRPr="00F45F11">
              <w:rPr>
                <w:color w:val="000000" w:themeColor="text1"/>
              </w:rPr>
              <w:t>N</w:t>
            </w:r>
            <w:r w:rsidR="00D14C50" w:rsidRPr="00F45F11">
              <w:rPr>
                <w:color w:val="000000" w:themeColor="text1"/>
              </w:rPr>
              <w:t xml:space="preserve"> – r</w:t>
            </w:r>
            <w:r w:rsidRPr="00F45F11">
              <w:rPr>
                <w:color w:val="000000" w:themeColor="text1"/>
              </w:rPr>
              <w:t>eview still in progress</w:t>
            </w:r>
          </w:p>
        </w:tc>
      </w:tr>
      <w:tr w:rsidR="00DC25DC" w:rsidRPr="00F45F11" w14:paraId="3A6124A3" w14:textId="77777777" w:rsidTr="00566B8E">
        <w:trPr>
          <w:trHeight w:val="20"/>
        </w:trPr>
        <w:tc>
          <w:tcPr>
            <w:tcW w:w="584" w:type="pct"/>
          </w:tcPr>
          <w:p w14:paraId="75663884" w14:textId="77777777" w:rsidR="00DC25DC" w:rsidRPr="00F45F11" w:rsidRDefault="00DC25DC" w:rsidP="009817E6">
            <w:pPr>
              <w:pStyle w:val="ARTabletext"/>
            </w:pPr>
            <w:r w:rsidRPr="00F45F11">
              <w:t>Evaluation of lapsing Aboriginal Family Services Funded 2023–24 Budget Outcome Stronger Families – Closing the Gap</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6D9320E7" w14:textId="77777777" w:rsidR="00DC25DC" w:rsidRPr="00F45F11" w:rsidRDefault="00DC25DC" w:rsidP="009817E6">
            <w:pPr>
              <w:pStyle w:val="ARTabletext"/>
            </w:pPr>
            <w:r w:rsidRPr="00F45F11">
              <w:t>To meet lapsing program evaluation requirements and inform future funding considerations</w:t>
            </w:r>
          </w:p>
        </w:tc>
        <w:tc>
          <w:tcPr>
            <w:tcW w:w="900" w:type="pct"/>
            <w:tcMar>
              <w:left w:w="113" w:type="dxa"/>
            </w:tcMar>
          </w:tcPr>
          <w:p w14:paraId="40622EFC" w14:textId="7721EF93"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Evaluation assesses program</w:t>
            </w:r>
            <w:r w:rsidR="002C2ED3">
              <w:t> </w:t>
            </w:r>
            <w:r w:rsidRPr="00F45F11">
              <w:t>effectiveness, appropriateness, efficiencies and impact</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11B15723" w14:textId="145B4EF4" w:rsidR="00DC25DC" w:rsidRPr="00F45F11" w:rsidRDefault="00DC25DC" w:rsidP="009817E6">
            <w:pPr>
              <w:pStyle w:val="ARTabletext"/>
            </w:pPr>
            <w:r w:rsidRPr="00F45F11">
              <w:t>January 2026 – July</w:t>
            </w:r>
            <w:r w:rsidR="00526307">
              <w:t> </w:t>
            </w:r>
            <w:r w:rsidRPr="00F45F11">
              <w:t>2027</w:t>
            </w:r>
          </w:p>
        </w:tc>
        <w:tc>
          <w:tcPr>
            <w:tcW w:w="779" w:type="pct"/>
            <w:tcMar>
              <w:left w:w="113" w:type="dxa"/>
            </w:tcMar>
          </w:tcPr>
          <w:p w14:paraId="5B68882B" w14:textId="2AB7C5AA"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rFonts w:cstheme="majorBidi"/>
              </w:rPr>
              <w:t>Evaluation report responding to the lapsing program evaluation requirements to support potential future development of the program and decisions by Government about continuing funding for the program</w:t>
            </w:r>
          </w:p>
        </w:tc>
        <w:tc>
          <w:tcPr>
            <w:cnfStyle w:val="000001000000" w:firstRow="0" w:lastRow="0" w:firstColumn="0" w:lastColumn="0" w:oddVBand="0" w:evenVBand="1" w:oddHBand="0" w:evenHBand="0" w:firstRowFirstColumn="0" w:firstRowLastColumn="0" w:lastRowFirstColumn="0" w:lastRowLastColumn="0"/>
            <w:tcW w:w="438" w:type="pct"/>
          </w:tcPr>
          <w:p w14:paraId="543CCB23" w14:textId="77777777" w:rsidR="00DC25DC" w:rsidRPr="00F45F11" w:rsidRDefault="00DC25DC" w:rsidP="009817E6">
            <w:pPr>
              <w:pStyle w:val="ARtabletextright"/>
            </w:pPr>
            <w:r w:rsidRPr="00F45F11">
              <w:rPr>
                <w:color w:val="000000" w:themeColor="text1"/>
              </w:rPr>
              <w:t>212</w:t>
            </w:r>
          </w:p>
        </w:tc>
        <w:tc>
          <w:tcPr>
            <w:tcW w:w="437" w:type="pct"/>
          </w:tcPr>
          <w:p w14:paraId="3B49DEAC"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6C05ECFA" w14:textId="4CDA18D2" w:rsidR="00DC25DC" w:rsidRPr="00F45F11" w:rsidRDefault="00DC25DC" w:rsidP="00F8411B">
            <w:pPr>
              <w:pStyle w:val="ARTabletext"/>
              <w:jc w:val="right"/>
              <w:rPr>
                <w:color w:val="000000"/>
              </w:rPr>
            </w:pPr>
            <w:r w:rsidRPr="00F45F11">
              <w:rPr>
                <w:color w:val="000000" w:themeColor="text1"/>
              </w:rPr>
              <w:t>N</w:t>
            </w:r>
            <w:r w:rsidR="00D14C50" w:rsidRPr="00F45F11">
              <w:rPr>
                <w:color w:val="000000" w:themeColor="text1"/>
              </w:rPr>
              <w:t xml:space="preserve"> – r</w:t>
            </w:r>
            <w:r w:rsidRPr="00F45F11">
              <w:rPr>
                <w:color w:val="000000" w:themeColor="text1"/>
              </w:rPr>
              <w:t>eview still in progress</w:t>
            </w:r>
          </w:p>
        </w:tc>
      </w:tr>
      <w:tr w:rsidR="00DC25DC" w:rsidRPr="00F45F11" w14:paraId="64D8F597" w14:textId="77777777" w:rsidTr="00566B8E">
        <w:trPr>
          <w:trHeight w:val="20"/>
        </w:trPr>
        <w:tc>
          <w:tcPr>
            <w:tcW w:w="584" w:type="pct"/>
          </w:tcPr>
          <w:p w14:paraId="3BC757C2" w14:textId="77777777" w:rsidR="00DC25DC" w:rsidRPr="00F45F11" w:rsidRDefault="00DC25DC" w:rsidP="009817E6">
            <w:pPr>
              <w:pStyle w:val="ARTabletext"/>
            </w:pPr>
            <w:r w:rsidRPr="00F45F11">
              <w:t>Evaluation of the Civil Claims Restorative Engagement Program Pilot</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697E7F72" w14:textId="77777777" w:rsidR="00DC25DC" w:rsidRPr="00F45F11" w:rsidRDefault="00DC25DC" w:rsidP="009817E6">
            <w:pPr>
              <w:pStyle w:val="ARTabletext"/>
            </w:pPr>
            <w:r w:rsidRPr="00F45F11">
              <w:t xml:space="preserve">To evaluate whether the pilot has been implanted as intended and identify areas for improvement to inform ongoing service delivery </w:t>
            </w:r>
          </w:p>
        </w:tc>
        <w:tc>
          <w:tcPr>
            <w:tcW w:w="900" w:type="pct"/>
            <w:tcMar>
              <w:left w:w="113" w:type="dxa"/>
            </w:tcMar>
          </w:tcPr>
          <w:p w14:paraId="34EC2DAE" w14:textId="1069F05E"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Evaluation assesses program</w:t>
            </w:r>
            <w:r w:rsidR="002C2ED3">
              <w:t> </w:t>
            </w:r>
            <w:r w:rsidRPr="00F45F11">
              <w:t>effectiveness, appropriateness, efficiencies and impact</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63A129F3" w14:textId="77777777" w:rsidR="00DC25DC" w:rsidRPr="00F45F11" w:rsidRDefault="00DC25DC" w:rsidP="009817E6">
            <w:pPr>
              <w:pStyle w:val="ARTabletext"/>
            </w:pPr>
            <w:r w:rsidRPr="00F45F11">
              <w:t>May 2026 – March 2027</w:t>
            </w:r>
          </w:p>
        </w:tc>
        <w:tc>
          <w:tcPr>
            <w:tcW w:w="779" w:type="pct"/>
            <w:tcMar>
              <w:left w:w="113" w:type="dxa"/>
            </w:tcMar>
          </w:tcPr>
          <w:p w14:paraId="38D342E4"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Evaluation report containing findings and recommendations to support future program improvements</w:t>
            </w:r>
          </w:p>
        </w:tc>
        <w:tc>
          <w:tcPr>
            <w:cnfStyle w:val="000001000000" w:firstRow="0" w:lastRow="0" w:firstColumn="0" w:lastColumn="0" w:oddVBand="0" w:evenVBand="1" w:oddHBand="0" w:evenHBand="0" w:firstRowFirstColumn="0" w:firstRowLastColumn="0" w:lastRowFirstColumn="0" w:lastRowLastColumn="0"/>
            <w:tcW w:w="438" w:type="pct"/>
          </w:tcPr>
          <w:p w14:paraId="1BBA0916" w14:textId="77777777" w:rsidR="00DC25DC" w:rsidRPr="00F45F11" w:rsidRDefault="00DC25DC" w:rsidP="009817E6">
            <w:pPr>
              <w:pStyle w:val="ARtabletextright"/>
            </w:pPr>
            <w:r w:rsidRPr="00F45F11">
              <w:rPr>
                <w:color w:val="000000" w:themeColor="text1"/>
              </w:rPr>
              <w:t>25</w:t>
            </w:r>
          </w:p>
        </w:tc>
        <w:tc>
          <w:tcPr>
            <w:tcW w:w="437" w:type="pct"/>
          </w:tcPr>
          <w:p w14:paraId="4AFB45D1"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6525591F" w14:textId="64724820" w:rsidR="00DC25DC" w:rsidRPr="00F45F11" w:rsidRDefault="00DC25DC" w:rsidP="00F8411B">
            <w:pPr>
              <w:pStyle w:val="ARTabletext"/>
              <w:jc w:val="right"/>
              <w:rPr>
                <w:color w:val="000000"/>
              </w:rPr>
            </w:pPr>
            <w:r w:rsidRPr="00F45F11">
              <w:rPr>
                <w:color w:val="000000" w:themeColor="text1"/>
              </w:rPr>
              <w:t>N</w:t>
            </w:r>
            <w:r w:rsidR="00D14C50" w:rsidRPr="00F45F11">
              <w:rPr>
                <w:color w:val="000000" w:themeColor="text1"/>
              </w:rPr>
              <w:t xml:space="preserve"> – r</w:t>
            </w:r>
            <w:r w:rsidRPr="00F45F11">
              <w:rPr>
                <w:color w:val="000000" w:themeColor="text1"/>
              </w:rPr>
              <w:t>eview still in progress</w:t>
            </w:r>
          </w:p>
        </w:tc>
      </w:tr>
      <w:tr w:rsidR="00DC25DC" w:rsidRPr="00F45F11" w14:paraId="4E970C9E" w14:textId="77777777" w:rsidTr="00566B8E">
        <w:trPr>
          <w:trHeight w:val="20"/>
        </w:trPr>
        <w:tc>
          <w:tcPr>
            <w:tcW w:w="584" w:type="pct"/>
          </w:tcPr>
          <w:p w14:paraId="7252A14E" w14:textId="19F31FB1" w:rsidR="00DC25DC" w:rsidRPr="00F45F11" w:rsidRDefault="00DC25DC" w:rsidP="009817E6">
            <w:pPr>
              <w:pStyle w:val="ARTabletext"/>
            </w:pPr>
            <w:r w:rsidRPr="00F45F11">
              <w:t xml:space="preserve">Supporting stable and strong </w:t>
            </w:r>
            <w:proofErr w:type="gramStart"/>
            <w:r w:rsidRPr="00F45F11">
              <w:t>families</w:t>
            </w:r>
            <w:proofErr w:type="gramEnd"/>
            <w:r w:rsidR="002C2ED3">
              <w:t> </w:t>
            </w:r>
            <w:r w:rsidRPr="00F45F11">
              <w:t>outcomes framework development</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67032C6A" w14:textId="0F45CF91" w:rsidR="00DC25DC" w:rsidRPr="00F45F11" w:rsidRDefault="00DC25DC" w:rsidP="009817E6">
            <w:pPr>
              <w:pStyle w:val="ARTabletext"/>
            </w:pPr>
            <w:r w:rsidRPr="00F45F11">
              <w:t>To support the development of an initial outcomes framework ready for scheme commencement to inform development of Ministers’ Supporting Stable and Strong Families plans</w:t>
            </w:r>
          </w:p>
        </w:tc>
        <w:tc>
          <w:tcPr>
            <w:tcW w:w="900" w:type="pct"/>
            <w:tcMar>
              <w:left w:w="113" w:type="dxa"/>
            </w:tcMar>
          </w:tcPr>
          <w:p w14:paraId="7FCBBABE" w14:textId="1C0DA7FE"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Development of outcomes, indicators and measures, including consultation, for the legislated outcomes areas</w:t>
            </w:r>
            <w:r w:rsidR="00D1151F">
              <w:t> </w:t>
            </w:r>
            <w:r w:rsidRPr="00F45F11">
              <w:t>of health, education, justice, housing, Aboriginal self-determination and employment</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45C7FBDE" w14:textId="77777777" w:rsidR="00DC25DC" w:rsidRPr="00F45F11" w:rsidRDefault="00DC25DC" w:rsidP="009817E6">
            <w:pPr>
              <w:pStyle w:val="ARTabletext"/>
            </w:pPr>
            <w:r w:rsidRPr="00F45F11">
              <w:t>May – September 2026</w:t>
            </w:r>
          </w:p>
        </w:tc>
        <w:tc>
          <w:tcPr>
            <w:tcW w:w="779" w:type="pct"/>
            <w:tcMar>
              <w:left w:w="113" w:type="dxa"/>
            </w:tcMar>
          </w:tcPr>
          <w:p w14:paraId="24163C68" w14:textId="0AD04F40"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Initial outcomes framework to inform Supporting Stable and Strong Families plans development across government</w:t>
            </w:r>
          </w:p>
        </w:tc>
        <w:tc>
          <w:tcPr>
            <w:cnfStyle w:val="000001000000" w:firstRow="0" w:lastRow="0" w:firstColumn="0" w:lastColumn="0" w:oddVBand="0" w:evenVBand="1" w:oddHBand="0" w:evenHBand="0" w:firstRowFirstColumn="0" w:firstRowLastColumn="0" w:lastRowFirstColumn="0" w:lastRowLastColumn="0"/>
            <w:tcW w:w="438" w:type="pct"/>
          </w:tcPr>
          <w:p w14:paraId="04182393" w14:textId="77777777" w:rsidR="00DC25DC" w:rsidRPr="00F45F11" w:rsidRDefault="00DC25DC" w:rsidP="009817E6">
            <w:pPr>
              <w:pStyle w:val="ARtabletextright"/>
            </w:pPr>
            <w:r w:rsidRPr="00F45F11">
              <w:rPr>
                <w:color w:val="000000" w:themeColor="text1"/>
              </w:rPr>
              <w:t>18</w:t>
            </w:r>
          </w:p>
        </w:tc>
        <w:tc>
          <w:tcPr>
            <w:tcW w:w="437" w:type="pct"/>
          </w:tcPr>
          <w:p w14:paraId="2D195DF3"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4135F8D0" w14:textId="77777777" w:rsidR="00DC25DC" w:rsidRPr="00F45F11" w:rsidRDefault="00DC25DC" w:rsidP="00F8411B">
            <w:pPr>
              <w:pStyle w:val="ARTabletext"/>
              <w:jc w:val="right"/>
              <w:rPr>
                <w:color w:val="000000"/>
              </w:rPr>
            </w:pPr>
            <w:r w:rsidRPr="00F45F11">
              <w:rPr>
                <w:color w:val="000000" w:themeColor="text1"/>
              </w:rPr>
              <w:t>N – in progress</w:t>
            </w:r>
          </w:p>
        </w:tc>
      </w:tr>
      <w:tr w:rsidR="00DC25DC" w:rsidRPr="00F45F11" w14:paraId="52C41D94" w14:textId="77777777" w:rsidTr="00566B8E">
        <w:trPr>
          <w:trHeight w:val="20"/>
        </w:trPr>
        <w:tc>
          <w:tcPr>
            <w:tcW w:w="584" w:type="pct"/>
          </w:tcPr>
          <w:p w14:paraId="13CBE710" w14:textId="77777777" w:rsidR="00DC25DC" w:rsidRPr="00F45F11" w:rsidRDefault="00DC25DC" w:rsidP="009817E6">
            <w:pPr>
              <w:pStyle w:val="ARTabletext"/>
            </w:pPr>
            <w:r w:rsidRPr="00F45F11">
              <w:t>Lapsing evaluation of Education Supports for Children in Care (ESCC)</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106C063D" w14:textId="77777777" w:rsidR="00DC25DC" w:rsidRPr="00F45F11" w:rsidRDefault="00DC25DC" w:rsidP="009817E6">
            <w:pPr>
              <w:pStyle w:val="ARTabletext"/>
            </w:pPr>
            <w:r w:rsidRPr="00F45F11">
              <w:t>To meet lapsing program evaluation requirements and inform future funding consideration</w:t>
            </w:r>
          </w:p>
        </w:tc>
        <w:tc>
          <w:tcPr>
            <w:tcW w:w="900" w:type="pct"/>
            <w:tcMar>
              <w:left w:w="113" w:type="dxa"/>
            </w:tcMar>
          </w:tcPr>
          <w:p w14:paraId="1B381932" w14:textId="747CFC99"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A lapsing program evaluation of Education Supports for Children in Care (ESCC) to understand appropriateness, effectiveness and efficiency including adequacy in addressing the needs of the target cohort</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522B4E22" w14:textId="77777777" w:rsidR="00DC25DC" w:rsidRPr="00F45F11" w:rsidRDefault="00DC25DC" w:rsidP="009817E6">
            <w:pPr>
              <w:pStyle w:val="ARTabletext"/>
            </w:pPr>
            <w:r w:rsidRPr="00F45F11">
              <w:t>Phase 1: formative evaluation April – September 2025</w:t>
            </w:r>
          </w:p>
          <w:p w14:paraId="62614651" w14:textId="77777777" w:rsidR="00DC25DC" w:rsidRPr="00F45F11" w:rsidRDefault="00DC25DC" w:rsidP="009817E6">
            <w:pPr>
              <w:pStyle w:val="ARTabletext"/>
            </w:pPr>
            <w:r w:rsidRPr="00F45F11">
              <w:t>Phase 2: summative evaluation March–September 2026</w:t>
            </w:r>
          </w:p>
        </w:tc>
        <w:tc>
          <w:tcPr>
            <w:tcW w:w="779" w:type="pct"/>
            <w:tcMar>
              <w:left w:w="113" w:type="dxa"/>
            </w:tcMar>
          </w:tcPr>
          <w:p w14:paraId="48D374B5" w14:textId="79F37C2E"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rPr>
                <w:color w:val="000000" w:themeColor="text1"/>
              </w:rPr>
            </w:pPr>
            <w:r w:rsidRPr="00F45F11">
              <w:t>Evaluation report responding to the lapsing program evaluation requirements to support future development of the program and decisions by Government about continuing funding for the program</w:t>
            </w:r>
          </w:p>
        </w:tc>
        <w:tc>
          <w:tcPr>
            <w:cnfStyle w:val="000001000000" w:firstRow="0" w:lastRow="0" w:firstColumn="0" w:lastColumn="0" w:oddVBand="0" w:evenVBand="1" w:oddHBand="0" w:evenHBand="0" w:firstRowFirstColumn="0" w:firstRowLastColumn="0" w:lastRowFirstColumn="0" w:lastRowLastColumn="0"/>
            <w:tcW w:w="438" w:type="pct"/>
          </w:tcPr>
          <w:p w14:paraId="73311114" w14:textId="77777777" w:rsidR="00DC25DC" w:rsidRPr="00F45F11" w:rsidRDefault="00DC25DC" w:rsidP="009817E6">
            <w:pPr>
              <w:pStyle w:val="ARtabletextright"/>
            </w:pPr>
            <w:r w:rsidRPr="00F45F11">
              <w:rPr>
                <w:color w:val="000000" w:themeColor="text1"/>
              </w:rPr>
              <w:t>132</w:t>
            </w:r>
          </w:p>
        </w:tc>
        <w:tc>
          <w:tcPr>
            <w:tcW w:w="437" w:type="pct"/>
          </w:tcPr>
          <w:p w14:paraId="3C69177D"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26B6ED8E" w14:textId="4A5ACFC5" w:rsidR="00DC25DC" w:rsidRPr="00F45F11" w:rsidRDefault="00DC25DC" w:rsidP="00F8411B">
            <w:pPr>
              <w:pStyle w:val="ARTabletext"/>
              <w:jc w:val="right"/>
              <w:rPr>
                <w:color w:val="000000"/>
              </w:rPr>
            </w:pPr>
            <w:r w:rsidRPr="00F45F11">
              <w:rPr>
                <w:color w:val="000000" w:themeColor="text1"/>
              </w:rPr>
              <w:t xml:space="preserve">N – </w:t>
            </w:r>
            <w:r w:rsidR="00B12EF1" w:rsidRPr="00F45F11">
              <w:rPr>
                <w:color w:val="000000" w:themeColor="text1"/>
              </w:rPr>
              <w:t>C</w:t>
            </w:r>
            <w:r w:rsidRPr="00F45F11">
              <w:rPr>
                <w:color w:val="000000" w:themeColor="text1"/>
              </w:rPr>
              <w:t>abinet</w:t>
            </w:r>
            <w:r w:rsidR="00840BF9" w:rsidRPr="00F45F11">
              <w:rPr>
                <w:color w:val="000000" w:themeColor="text1"/>
              </w:rPr>
              <w:t>-</w:t>
            </w:r>
            <w:r w:rsidRPr="00F45F11">
              <w:rPr>
                <w:color w:val="000000" w:themeColor="text1"/>
              </w:rPr>
              <w:t>in</w:t>
            </w:r>
            <w:r w:rsidR="00840BF9" w:rsidRPr="00F45F11">
              <w:rPr>
                <w:color w:val="000000" w:themeColor="text1"/>
              </w:rPr>
              <w:t>-C</w:t>
            </w:r>
            <w:r w:rsidRPr="00F45F11">
              <w:rPr>
                <w:color w:val="000000" w:themeColor="text1"/>
              </w:rPr>
              <w:t xml:space="preserve">onfidence </w:t>
            </w:r>
          </w:p>
        </w:tc>
      </w:tr>
      <w:tr w:rsidR="00DC25DC" w:rsidRPr="00F45F11" w14:paraId="46801104" w14:textId="77777777" w:rsidTr="00566B8E">
        <w:trPr>
          <w:trHeight w:val="20"/>
        </w:trPr>
        <w:tc>
          <w:tcPr>
            <w:tcW w:w="584" w:type="pct"/>
          </w:tcPr>
          <w:p w14:paraId="48AF8B0F" w14:textId="77777777" w:rsidR="00DC25DC" w:rsidRPr="00F45F11" w:rsidRDefault="00DC25DC" w:rsidP="009817E6">
            <w:pPr>
              <w:pStyle w:val="ARTabletext"/>
            </w:pPr>
            <w:r w:rsidRPr="00F45F11">
              <w:t>Strengthening Cultural Safety in Counselling and Restorative Engagement Services through Redress Programs</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1176A58E" w14:textId="77777777" w:rsidR="00DC25DC" w:rsidRPr="00F45F11" w:rsidRDefault="00DC25DC" w:rsidP="009817E6">
            <w:pPr>
              <w:pStyle w:val="ARTabletext"/>
            </w:pPr>
            <w:r w:rsidRPr="00F45F11">
              <w:t>To provide advice and recommendations to strengthen cultural safety in the delivery of counselling and psychological care and personal acknowledgements and apologies</w:t>
            </w:r>
          </w:p>
        </w:tc>
        <w:tc>
          <w:tcPr>
            <w:tcW w:w="900" w:type="pct"/>
            <w:tcMar>
              <w:left w:w="113" w:type="dxa"/>
            </w:tcMar>
          </w:tcPr>
          <w:p w14:paraId="0FB9E9AB"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 xml:space="preserve">To inform activities to improve cultural safety in service delivery </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6A45F79F" w14:textId="77777777" w:rsidR="00DC25DC" w:rsidRPr="00F45F11" w:rsidRDefault="00DC25DC" w:rsidP="009817E6">
            <w:pPr>
              <w:pStyle w:val="ARTabletext"/>
            </w:pPr>
            <w:r w:rsidRPr="00F45F11">
              <w:t>April 2025 – September 2025</w:t>
            </w:r>
          </w:p>
        </w:tc>
        <w:tc>
          <w:tcPr>
            <w:tcW w:w="779" w:type="pct"/>
            <w:tcMar>
              <w:left w:w="113" w:type="dxa"/>
            </w:tcMar>
          </w:tcPr>
          <w:p w14:paraId="193978F0" w14:textId="77777777" w:rsidR="00DC25DC" w:rsidRPr="00F45F11" w:rsidRDefault="00DC25DC" w:rsidP="009817E6">
            <w:pPr>
              <w:pStyle w:val="ARTabletext"/>
              <w:cnfStyle w:val="000000000000" w:firstRow="0" w:lastRow="0" w:firstColumn="0" w:lastColumn="0" w:oddVBand="0" w:evenVBand="0" w:oddHBand="0" w:evenHBand="0" w:firstRowFirstColumn="0" w:firstRowLastColumn="0" w:lastRowFirstColumn="0" w:lastRowLastColumn="0"/>
            </w:pPr>
            <w:r w:rsidRPr="00F45F11">
              <w:t xml:space="preserve">A report providing recommendations to improve cultural safety </w:t>
            </w:r>
          </w:p>
        </w:tc>
        <w:tc>
          <w:tcPr>
            <w:cnfStyle w:val="000001000000" w:firstRow="0" w:lastRow="0" w:firstColumn="0" w:lastColumn="0" w:oddVBand="0" w:evenVBand="1" w:oddHBand="0" w:evenHBand="0" w:firstRowFirstColumn="0" w:firstRowLastColumn="0" w:lastRowFirstColumn="0" w:lastRowLastColumn="0"/>
            <w:tcW w:w="438" w:type="pct"/>
          </w:tcPr>
          <w:p w14:paraId="4CE1516C" w14:textId="77777777" w:rsidR="00DC25DC" w:rsidRPr="00F45F11" w:rsidRDefault="00DC25DC" w:rsidP="009817E6">
            <w:pPr>
              <w:pStyle w:val="ARtabletextright"/>
              <w:rPr>
                <w:color w:val="000000" w:themeColor="text1"/>
              </w:rPr>
            </w:pPr>
            <w:r w:rsidRPr="00F45F11">
              <w:rPr>
                <w:color w:val="000000" w:themeColor="text1"/>
              </w:rPr>
              <w:t>125</w:t>
            </w:r>
          </w:p>
        </w:tc>
        <w:tc>
          <w:tcPr>
            <w:tcW w:w="437" w:type="pct"/>
          </w:tcPr>
          <w:p w14:paraId="7AFD8BF3" w14:textId="77777777" w:rsidR="00DC25DC" w:rsidRPr="00F45F11" w:rsidRDefault="00DC25DC" w:rsidP="009817E6">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r w:rsidRPr="00F45F11">
              <w:rPr>
                <w:color w:val="000000" w:themeColor="text1"/>
              </w:rPr>
              <w:t>125</w:t>
            </w: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6BEEE2CF" w14:textId="77777777" w:rsidR="00DC25DC" w:rsidRPr="00F45F11" w:rsidRDefault="00DC25DC" w:rsidP="00F8411B">
            <w:pPr>
              <w:pStyle w:val="ARTabletext"/>
              <w:jc w:val="right"/>
              <w:rPr>
                <w:color w:val="000000" w:themeColor="text1"/>
              </w:rPr>
            </w:pPr>
            <w:r w:rsidRPr="00F45F11">
              <w:rPr>
                <w:color w:val="000000" w:themeColor="text1"/>
              </w:rPr>
              <w:t>N – internal report</w:t>
            </w:r>
          </w:p>
        </w:tc>
      </w:tr>
      <w:tr w:rsidR="007B513E" w:rsidRPr="00A06118" w14:paraId="4944C23D" w14:textId="77777777" w:rsidTr="00566B8E">
        <w:trPr>
          <w:trHeight w:val="20"/>
        </w:trPr>
        <w:tc>
          <w:tcPr>
            <w:tcW w:w="584" w:type="pct"/>
          </w:tcPr>
          <w:p w14:paraId="3A5E9820" w14:textId="32422AC5" w:rsidR="007B513E" w:rsidRPr="00F45F11" w:rsidRDefault="007B513E" w:rsidP="007B513E">
            <w:pPr>
              <w:pStyle w:val="ARTabletext"/>
            </w:pPr>
            <w:r w:rsidRPr="00DB6D2E">
              <w:t>Program assurance for Public Housing Maintenance Modernisation</w:t>
            </w:r>
            <w:r>
              <w:t xml:space="preserve"> (PHMM)</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59FEDE83" w14:textId="05D03014" w:rsidR="007B513E" w:rsidRPr="00F45F11" w:rsidRDefault="00A32A49" w:rsidP="007B513E">
            <w:pPr>
              <w:pStyle w:val="ARTabletext"/>
            </w:pPr>
            <w:r>
              <w:t>P</w:t>
            </w:r>
            <w:r w:rsidR="007B513E" w:rsidRPr="00DB6D2E">
              <w:t>rovide assurance activities over the technology components of the PHMM</w:t>
            </w:r>
            <w:r w:rsidR="007B513E">
              <w:t>.</w:t>
            </w:r>
          </w:p>
        </w:tc>
        <w:tc>
          <w:tcPr>
            <w:tcW w:w="900" w:type="pct"/>
            <w:tcMar>
              <w:left w:w="113" w:type="dxa"/>
            </w:tcMar>
          </w:tcPr>
          <w:p w14:paraId="21AB2E18" w14:textId="7739B29A" w:rsidR="007B513E" w:rsidRPr="00F45F11" w:rsidRDefault="00A32A49" w:rsidP="007B513E">
            <w:pPr>
              <w:pStyle w:val="ARTabletext"/>
              <w:cnfStyle w:val="000000000000" w:firstRow="0" w:lastRow="0" w:firstColumn="0" w:lastColumn="0" w:oddVBand="0" w:evenVBand="0" w:oddHBand="0" w:evenHBand="0" w:firstRowFirstColumn="0" w:firstRowLastColumn="0" w:lastRowFirstColumn="0" w:lastRowLastColumn="0"/>
            </w:pPr>
            <w:r>
              <w:t>These</w:t>
            </w:r>
            <w:r w:rsidR="007B513E" w:rsidRPr="00DB6D2E">
              <w:t xml:space="preserve"> Assurance Services comply with the minimum requirements of the Victorian Government ICT Project Quality Assurance Framework.</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3F1414C7" w14:textId="1F3CD6AF" w:rsidR="007B513E" w:rsidRPr="00F45F11" w:rsidRDefault="007B513E" w:rsidP="007B513E">
            <w:pPr>
              <w:pStyle w:val="ARTabletext"/>
            </w:pPr>
            <w:r w:rsidRPr="0045467B">
              <w:t>Quarterly Reviews from Jan 2026 to Apr 2027</w:t>
            </w:r>
          </w:p>
        </w:tc>
        <w:tc>
          <w:tcPr>
            <w:tcW w:w="779" w:type="pct"/>
            <w:tcMar>
              <w:left w:w="113" w:type="dxa"/>
            </w:tcMar>
          </w:tcPr>
          <w:p w14:paraId="006DE9C4" w14:textId="7B85AD49" w:rsidR="007B513E" w:rsidRPr="00F45F11" w:rsidRDefault="007B513E" w:rsidP="007B513E">
            <w:pPr>
              <w:pStyle w:val="ARTabletext"/>
              <w:cnfStyle w:val="000000000000" w:firstRow="0" w:lastRow="0" w:firstColumn="0" w:lastColumn="0" w:oddVBand="0" w:evenVBand="0" w:oddHBand="0" w:evenHBand="0" w:firstRowFirstColumn="0" w:firstRowLastColumn="0" w:lastRowFirstColumn="0" w:lastRowLastColumn="0"/>
            </w:pPr>
            <w:r w:rsidRPr="00DB6D2E">
              <w:t>Utilise Project Assurance Framework for conduct of assurance services</w:t>
            </w:r>
            <w:r>
              <w:t>.</w:t>
            </w:r>
          </w:p>
        </w:tc>
        <w:tc>
          <w:tcPr>
            <w:cnfStyle w:val="000001000000" w:firstRow="0" w:lastRow="0" w:firstColumn="0" w:lastColumn="0" w:oddVBand="0" w:evenVBand="1" w:oddHBand="0" w:evenHBand="0" w:firstRowFirstColumn="0" w:firstRowLastColumn="0" w:lastRowFirstColumn="0" w:lastRowLastColumn="0"/>
            <w:tcW w:w="438" w:type="pct"/>
          </w:tcPr>
          <w:p w14:paraId="13ADC505" w14:textId="2D3A47FC" w:rsidR="007B513E" w:rsidRPr="007B513E" w:rsidRDefault="007B513E" w:rsidP="007B513E">
            <w:pPr>
              <w:pStyle w:val="ARtabletextright"/>
              <w:rPr>
                <w:color w:val="000000" w:themeColor="text1"/>
              </w:rPr>
            </w:pPr>
            <w:r w:rsidRPr="00CC051D">
              <w:rPr>
                <w:color w:val="000000" w:themeColor="text1"/>
              </w:rPr>
              <w:t>137.5</w:t>
            </w:r>
          </w:p>
        </w:tc>
        <w:tc>
          <w:tcPr>
            <w:tcW w:w="437" w:type="pct"/>
          </w:tcPr>
          <w:p w14:paraId="0C6C08DE" w14:textId="207AFE27" w:rsidR="007B513E" w:rsidRPr="007B513E" w:rsidRDefault="007B513E" w:rsidP="007B513E">
            <w:pPr>
              <w:pStyle w:val="ARtabletextright"/>
              <w:cnfStyle w:val="000000000000" w:firstRow="0" w:lastRow="0" w:firstColumn="0" w:lastColumn="0" w:oddVBand="0" w:evenVBand="0" w:oddHBand="0" w:evenHBand="0" w:firstRowFirstColumn="0" w:firstRowLastColumn="0" w:lastRowFirstColumn="0" w:lastRowLastColumn="0"/>
              <w:rPr>
                <w:color w:val="000000" w:themeColor="text1"/>
              </w:rPr>
            </w:pP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279CE688" w14:textId="3778517C" w:rsidR="007B513E" w:rsidRPr="007B513E" w:rsidRDefault="007B513E" w:rsidP="00F8411B">
            <w:pPr>
              <w:pStyle w:val="ARTabletext"/>
              <w:jc w:val="right"/>
            </w:pPr>
            <w:r>
              <w:t>N – internal report</w:t>
            </w:r>
          </w:p>
        </w:tc>
      </w:tr>
      <w:tr w:rsidR="00A06118" w:rsidRPr="00A06118" w14:paraId="3ECEA923" w14:textId="77777777" w:rsidTr="00566B8E">
        <w:trPr>
          <w:trHeight w:val="20"/>
        </w:trPr>
        <w:tc>
          <w:tcPr>
            <w:tcW w:w="584" w:type="pct"/>
          </w:tcPr>
          <w:p w14:paraId="03499908" w14:textId="665F836A" w:rsidR="00A06118" w:rsidRPr="00F45F11" w:rsidRDefault="000B3102" w:rsidP="009817E6">
            <w:pPr>
              <w:pStyle w:val="ARTabletext"/>
            </w:pPr>
            <w:r w:rsidRPr="004F24DC">
              <w:t xml:space="preserve">Development of DFFH Future State Enterprise Architecture (FSA) Framework and Implementation Strategy </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3980691A" w14:textId="7941700B" w:rsidR="00A06118" w:rsidRPr="00F45F11" w:rsidRDefault="000B3102" w:rsidP="009817E6">
            <w:pPr>
              <w:pStyle w:val="ARTabletext"/>
            </w:pPr>
            <w:r w:rsidRPr="004F24DC">
              <w:t>The FSA resets the overarching direction for the department’s technology investment to overcome known barriers in current architecture and deliver better outcomes for the services that the department delivers.</w:t>
            </w:r>
          </w:p>
        </w:tc>
        <w:tc>
          <w:tcPr>
            <w:tcW w:w="900" w:type="pct"/>
            <w:tcMar>
              <w:left w:w="113" w:type="dxa"/>
            </w:tcMar>
          </w:tcPr>
          <w:p w14:paraId="0E4CCFD6" w14:textId="15A2DB8D" w:rsidR="00A06118" w:rsidRPr="00F45F11" w:rsidRDefault="000B3102" w:rsidP="009817E6">
            <w:pPr>
              <w:pStyle w:val="ARTabletext"/>
              <w:cnfStyle w:val="000000000000" w:firstRow="0" w:lastRow="0" w:firstColumn="0" w:lastColumn="0" w:oddVBand="0" w:evenVBand="0" w:oddHBand="0" w:evenHBand="0" w:firstRowFirstColumn="0" w:firstRowLastColumn="0" w:lastRowFirstColumn="0" w:lastRowLastColumn="0"/>
            </w:pPr>
            <w:r w:rsidRPr="004F24DC">
              <w:t>Undertake assessment of the</w:t>
            </w:r>
            <w:r w:rsidR="008B603B">
              <w:t> </w:t>
            </w:r>
            <w:r w:rsidRPr="004F24DC">
              <w:t>current state of the department’s enterprise architecture, develop a conceptual ‘future state enterprise architecture’ design with accompanying implementation strategy, viability and risk assessments and executive stakeholder communication pack.</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33CDF080" w14:textId="058EC700" w:rsidR="00A06118" w:rsidRPr="00F45F11" w:rsidRDefault="000B3102" w:rsidP="009817E6">
            <w:pPr>
              <w:pStyle w:val="ARTabletext"/>
            </w:pPr>
            <w:r w:rsidRPr="004F24DC">
              <w:t>12</w:t>
            </w:r>
            <w:r w:rsidR="007B6935">
              <w:t xml:space="preserve"> January </w:t>
            </w:r>
            <w:r w:rsidRPr="004F24DC">
              <w:t xml:space="preserve">2026 </w:t>
            </w:r>
            <w:r w:rsidR="007B6935">
              <w:t xml:space="preserve">to </w:t>
            </w:r>
            <w:r w:rsidR="00F8411B">
              <w:br/>
            </w:r>
            <w:r w:rsidR="007B6935">
              <w:t xml:space="preserve">1 May </w:t>
            </w:r>
            <w:r w:rsidRPr="004F24DC">
              <w:t>2026</w:t>
            </w:r>
          </w:p>
        </w:tc>
        <w:tc>
          <w:tcPr>
            <w:tcW w:w="779" w:type="pct"/>
            <w:tcMar>
              <w:left w:w="113" w:type="dxa"/>
            </w:tcMar>
          </w:tcPr>
          <w:p w14:paraId="7E903B55" w14:textId="0B1B41DF" w:rsidR="00A06118" w:rsidRPr="00F45F11" w:rsidRDefault="000B3102" w:rsidP="009817E6">
            <w:pPr>
              <w:pStyle w:val="ARTabletext"/>
              <w:cnfStyle w:val="000000000000" w:firstRow="0" w:lastRow="0" w:firstColumn="0" w:lastColumn="0" w:oddVBand="0" w:evenVBand="0" w:oddHBand="0" w:evenHBand="0" w:firstRowFirstColumn="0" w:firstRowLastColumn="0" w:lastRowFirstColumn="0" w:lastRowLastColumn="0"/>
            </w:pPr>
            <w:r w:rsidRPr="004F24DC">
              <w:t>Development of conceptual FSA framework.</w:t>
            </w:r>
          </w:p>
        </w:tc>
        <w:tc>
          <w:tcPr>
            <w:cnfStyle w:val="000001000000" w:firstRow="0" w:lastRow="0" w:firstColumn="0" w:lastColumn="0" w:oddVBand="0" w:evenVBand="1" w:oddHBand="0" w:evenHBand="0" w:firstRowFirstColumn="0" w:firstRowLastColumn="0" w:lastRowFirstColumn="0" w:lastRowLastColumn="0"/>
            <w:tcW w:w="438" w:type="pct"/>
          </w:tcPr>
          <w:p w14:paraId="7E412E1A" w14:textId="74A00FDE" w:rsidR="00A06118" w:rsidRPr="00B72EF1" w:rsidRDefault="007B6935" w:rsidP="00B72EF1">
            <w:pPr>
              <w:pStyle w:val="ARTabletext"/>
              <w:jc w:val="right"/>
            </w:pPr>
            <w:r w:rsidRPr="00B72EF1">
              <w:t xml:space="preserve">184.9 </w:t>
            </w:r>
          </w:p>
        </w:tc>
        <w:tc>
          <w:tcPr>
            <w:tcW w:w="437" w:type="pct"/>
          </w:tcPr>
          <w:p w14:paraId="25928FF6" w14:textId="77777777" w:rsidR="00A06118" w:rsidRPr="00CC051D" w:rsidRDefault="00A06118" w:rsidP="000D1EDD">
            <w:pPr>
              <w:pStyle w:val="ARTabletext"/>
              <w:jc w:val="right"/>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02A9953B" w14:textId="791AFD24" w:rsidR="00A06118" w:rsidRPr="00CC051D" w:rsidRDefault="00A07E12" w:rsidP="00F8411B">
            <w:pPr>
              <w:pStyle w:val="ARTabletext"/>
              <w:jc w:val="right"/>
            </w:pPr>
            <w:r>
              <w:t>N – internal report</w:t>
            </w:r>
          </w:p>
        </w:tc>
      </w:tr>
      <w:tr w:rsidR="00A06118" w:rsidRPr="00A06118" w14:paraId="7C07BD81" w14:textId="77777777" w:rsidTr="00566B8E">
        <w:trPr>
          <w:trHeight w:val="20"/>
        </w:trPr>
        <w:tc>
          <w:tcPr>
            <w:tcW w:w="584" w:type="pct"/>
          </w:tcPr>
          <w:p w14:paraId="21DB2786" w14:textId="7028E4A1" w:rsidR="00A06118" w:rsidRPr="00F45F11" w:rsidRDefault="006E622E" w:rsidP="002025E2">
            <w:pPr>
              <w:pStyle w:val="ARTabletext"/>
              <w:pageBreakBefore/>
            </w:pPr>
            <w:r w:rsidRPr="008B3F79">
              <w:t>Identity and Access Management (IDAM) current state assessment evaluation</w:t>
            </w:r>
          </w:p>
        </w:tc>
        <w:tc>
          <w:tcPr>
            <w:cnfStyle w:val="000001000000" w:firstRow="0" w:lastRow="0" w:firstColumn="0" w:lastColumn="0" w:oddVBand="0" w:evenVBand="1" w:oddHBand="0" w:evenHBand="0" w:firstRowFirstColumn="0" w:firstRowLastColumn="0" w:lastRowFirstColumn="0" w:lastRowLastColumn="0"/>
            <w:tcW w:w="900" w:type="pct"/>
            <w:tcMar>
              <w:left w:w="113" w:type="dxa"/>
            </w:tcMar>
          </w:tcPr>
          <w:p w14:paraId="6F880A88" w14:textId="6BD7E182" w:rsidR="00A06118" w:rsidRPr="00F45F11" w:rsidRDefault="006E622E" w:rsidP="002025E2">
            <w:pPr>
              <w:pStyle w:val="ARTabletext"/>
              <w:pageBreakBefore/>
            </w:pPr>
            <w:r w:rsidRPr="008B3F79">
              <w:t>This project focused on evaluating DFFH’s current IDAM environment, especially for external access, including third-party community partners, contractors and collaborators.</w:t>
            </w:r>
          </w:p>
        </w:tc>
        <w:tc>
          <w:tcPr>
            <w:tcW w:w="900" w:type="pct"/>
            <w:tcMar>
              <w:left w:w="113" w:type="dxa"/>
            </w:tcMar>
          </w:tcPr>
          <w:p w14:paraId="5108EEDA" w14:textId="507270E0" w:rsidR="00A06118" w:rsidRPr="00F45F11" w:rsidRDefault="006E622E" w:rsidP="002025E2">
            <w:pPr>
              <w:pStyle w:val="ARTabletext"/>
              <w:pageBreakBefore/>
              <w:cnfStyle w:val="000000000000" w:firstRow="0" w:lastRow="0" w:firstColumn="0" w:lastColumn="0" w:oddVBand="0" w:evenVBand="0" w:oddHBand="0" w:evenHBand="0" w:firstRowFirstColumn="0" w:firstRowLastColumn="0" w:lastRowFirstColumn="0" w:lastRowLastColumn="0"/>
            </w:pPr>
            <w:r w:rsidRPr="008B3F79">
              <w:t>The project sought to assess the current IDAM infrastructure, policies, procedures, and governance framework; identify security risks, inefficiencies, and areas for optimisation; and provide recommendations for</w:t>
            </w:r>
            <w:r w:rsidR="008B603B">
              <w:t> </w:t>
            </w:r>
            <w:r w:rsidRPr="008B3F79">
              <w:t>enhancing IDAM maturity and</w:t>
            </w:r>
            <w:r w:rsidR="00B1003A">
              <w:t> </w:t>
            </w:r>
            <w:r w:rsidRPr="008B3F79">
              <w:t>aligned with business</w:t>
            </w:r>
            <w:r w:rsidR="00B1003A">
              <w:t> </w:t>
            </w:r>
            <w:r w:rsidRPr="008B3F79">
              <w:t>objectives.</w:t>
            </w:r>
          </w:p>
        </w:tc>
        <w:tc>
          <w:tcPr>
            <w:cnfStyle w:val="000001000000" w:firstRow="0" w:lastRow="0" w:firstColumn="0" w:lastColumn="0" w:oddVBand="0" w:evenVBand="1" w:oddHBand="0" w:evenHBand="0" w:firstRowFirstColumn="0" w:firstRowLastColumn="0" w:lastRowFirstColumn="0" w:lastRowLastColumn="0"/>
            <w:tcW w:w="437" w:type="pct"/>
            <w:tcMar>
              <w:left w:w="113" w:type="dxa"/>
            </w:tcMar>
          </w:tcPr>
          <w:p w14:paraId="5EC00D51" w14:textId="4BF15820" w:rsidR="00A06118" w:rsidRPr="00F45F11" w:rsidRDefault="007B6935" w:rsidP="002025E2">
            <w:pPr>
              <w:pStyle w:val="ARTabletext"/>
              <w:pageBreakBefore/>
            </w:pPr>
            <w:r w:rsidRPr="008B3F79">
              <w:t>19</w:t>
            </w:r>
            <w:r>
              <w:t xml:space="preserve"> May 20</w:t>
            </w:r>
            <w:r w:rsidRPr="008B3F79">
              <w:t>25</w:t>
            </w:r>
            <w:r>
              <w:t xml:space="preserve"> to </w:t>
            </w:r>
            <w:r w:rsidRPr="008B3F79">
              <w:t>31</w:t>
            </w:r>
            <w:r>
              <w:t xml:space="preserve"> July 2</w:t>
            </w:r>
            <w:r w:rsidRPr="008B3F79">
              <w:t>025</w:t>
            </w:r>
          </w:p>
        </w:tc>
        <w:tc>
          <w:tcPr>
            <w:tcW w:w="779" w:type="pct"/>
            <w:tcMar>
              <w:left w:w="113" w:type="dxa"/>
            </w:tcMar>
          </w:tcPr>
          <w:p w14:paraId="08CBBA64" w14:textId="446B60E9" w:rsidR="00A06118" w:rsidRPr="00F45F11" w:rsidRDefault="006E622E" w:rsidP="002025E2">
            <w:pPr>
              <w:pStyle w:val="ARTabletext"/>
              <w:pageBreakBefore/>
              <w:cnfStyle w:val="000000000000" w:firstRow="0" w:lastRow="0" w:firstColumn="0" w:lastColumn="0" w:oddVBand="0" w:evenVBand="0" w:oddHBand="0" w:evenHBand="0" w:firstRowFirstColumn="0" w:firstRowLastColumn="0" w:lastRowFirstColumn="0" w:lastRowLastColumn="0"/>
            </w:pPr>
            <w:r w:rsidRPr="008B3F79">
              <w:t>Provision of a current state assessment report, gap analysis, recommendations, roadmap and executive summary presentation.</w:t>
            </w:r>
          </w:p>
        </w:tc>
        <w:tc>
          <w:tcPr>
            <w:cnfStyle w:val="000001000000" w:firstRow="0" w:lastRow="0" w:firstColumn="0" w:lastColumn="0" w:oddVBand="0" w:evenVBand="1" w:oddHBand="0" w:evenHBand="0" w:firstRowFirstColumn="0" w:firstRowLastColumn="0" w:lastRowFirstColumn="0" w:lastRowLastColumn="0"/>
            <w:tcW w:w="438" w:type="pct"/>
          </w:tcPr>
          <w:p w14:paraId="0ABA3944" w14:textId="3B8DBB13" w:rsidR="00A06118" w:rsidRPr="00B72EF1" w:rsidRDefault="007B6935" w:rsidP="002025E2">
            <w:pPr>
              <w:pStyle w:val="ARTabletext"/>
              <w:pageBreakBefore/>
              <w:jc w:val="right"/>
            </w:pPr>
            <w:r w:rsidRPr="00B72EF1">
              <w:t>92.4</w:t>
            </w:r>
          </w:p>
        </w:tc>
        <w:tc>
          <w:tcPr>
            <w:tcW w:w="437" w:type="pct"/>
          </w:tcPr>
          <w:p w14:paraId="25339C41" w14:textId="77777777" w:rsidR="00A06118" w:rsidRPr="00CC051D" w:rsidRDefault="00A06118" w:rsidP="000D1EDD">
            <w:pPr>
              <w:pStyle w:val="ARTabletext"/>
              <w:pageBreakBefore/>
              <w:jc w:val="right"/>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525" w:type="pct"/>
            <w:tcMar>
              <w:left w:w="113" w:type="dxa"/>
            </w:tcMar>
          </w:tcPr>
          <w:p w14:paraId="47FE2615" w14:textId="0B643F37" w:rsidR="00A06118" w:rsidRPr="00CC051D" w:rsidRDefault="00A07E12" w:rsidP="002025E2">
            <w:pPr>
              <w:pStyle w:val="ARTabletext"/>
              <w:pageBreakBefore/>
              <w:jc w:val="right"/>
            </w:pPr>
            <w:r>
              <w:t>N – internal report</w:t>
            </w:r>
          </w:p>
        </w:tc>
      </w:tr>
    </w:tbl>
    <w:p w14:paraId="4A422467" w14:textId="77777777" w:rsidR="00DB4DB8" w:rsidRPr="00F45F11" w:rsidRDefault="00DB4DB8" w:rsidP="009636FC">
      <w:pPr>
        <w:pStyle w:val="ARBody"/>
      </w:pPr>
    </w:p>
    <w:p w14:paraId="20DF637E" w14:textId="77777777" w:rsidR="00DC25DC" w:rsidRPr="00F45F11" w:rsidRDefault="00DC25DC" w:rsidP="009636FC">
      <w:pPr>
        <w:pStyle w:val="ARBody"/>
        <w:sectPr w:rsidR="00DC25DC" w:rsidRPr="00F45F11" w:rsidSect="00E7077C">
          <w:pgSz w:w="16838" w:h="11906" w:orient="landscape" w:code="9"/>
          <w:pgMar w:top="1588" w:right="1134" w:bottom="851" w:left="1134" w:header="680" w:footer="567" w:gutter="0"/>
          <w:cols w:space="340"/>
          <w:docGrid w:linePitch="360"/>
        </w:sectPr>
      </w:pPr>
    </w:p>
    <w:p w14:paraId="1C18D94A" w14:textId="0054B11F" w:rsidR="000D720E" w:rsidRDefault="00C779A1" w:rsidP="000D720E">
      <w:pPr>
        <w:pStyle w:val="Heading2"/>
        <w:spacing w:before="0"/>
      </w:pPr>
      <w:bookmarkStart w:id="187" w:name="_Information_and_communication"/>
      <w:bookmarkStart w:id="188" w:name="_Toc241131716"/>
      <w:bookmarkEnd w:id="187"/>
      <w:r w:rsidRPr="00F45F11">
        <w:t>Information and communication technology expenditure</w:t>
      </w:r>
      <w:bookmarkEnd w:id="162"/>
      <w:bookmarkEnd w:id="188"/>
    </w:p>
    <w:p w14:paraId="5CE7D0E9" w14:textId="44E02B07" w:rsidR="00C779A1" w:rsidRPr="00F45F11" w:rsidRDefault="00C779A1" w:rsidP="006F2530">
      <w:pPr>
        <w:pStyle w:val="ARBody"/>
        <w:rPr>
          <w:highlight w:val="cyan"/>
        </w:rPr>
      </w:pPr>
      <w:r w:rsidRPr="00F45F11">
        <w:t>For the 2025</w:t>
      </w:r>
      <w:r w:rsidR="00E23AAF" w:rsidRPr="00F45F11">
        <w:t>–</w:t>
      </w:r>
      <w:r w:rsidRPr="00F45F11">
        <w:t>26 reporting period, the department’s total ICT expenditure was $60,972,026.</w:t>
      </w:r>
    </w:p>
    <w:p w14:paraId="444665B8" w14:textId="77777777" w:rsidR="00C779A1" w:rsidRPr="00F45F11" w:rsidRDefault="00C779A1" w:rsidP="008E70EB">
      <w:pPr>
        <w:pStyle w:val="ARTablecaption"/>
      </w:pPr>
      <w:r w:rsidRPr="00F45F11">
        <w:t>Table 11: ICT expenditure 2025–26</w:t>
      </w:r>
    </w:p>
    <w:tbl>
      <w:tblPr>
        <w:tblStyle w:val="ARtable1"/>
        <w:tblW w:w="5000" w:type="pct"/>
        <w:tblLook w:val="00E0" w:firstRow="1" w:lastRow="1" w:firstColumn="1" w:lastColumn="0" w:noHBand="0" w:noVBand="0"/>
      </w:tblPr>
      <w:tblGrid>
        <w:gridCol w:w="7924"/>
        <w:gridCol w:w="1698"/>
      </w:tblGrid>
      <w:tr w:rsidR="00C779A1" w:rsidRPr="00F45F11" w14:paraId="0651D0AA" w14:textId="77777777" w:rsidTr="002025E2">
        <w:trPr>
          <w:cnfStyle w:val="100000000000" w:firstRow="1" w:lastRow="0" w:firstColumn="0" w:lastColumn="0" w:oddVBand="0" w:evenVBand="0" w:oddHBand="0" w:evenHBand="0" w:firstRowFirstColumn="0" w:firstRowLastColumn="0" w:lastRowFirstColumn="0" w:lastRowLastColumn="0"/>
        </w:trPr>
        <w:tc>
          <w:tcPr>
            <w:tcW w:w="7924" w:type="dxa"/>
          </w:tcPr>
          <w:p w14:paraId="5BB90CF9" w14:textId="77777777" w:rsidR="00C779A1" w:rsidRPr="00F45F11" w:rsidRDefault="00C779A1" w:rsidP="008E70EB">
            <w:pPr>
              <w:pStyle w:val="ARtablecolhead"/>
            </w:pPr>
            <w:r w:rsidRPr="00F45F11">
              <w:t>Expenditure</w:t>
            </w:r>
          </w:p>
        </w:tc>
        <w:tc>
          <w:tcPr>
            <w:cnfStyle w:val="000001000000" w:firstRow="0" w:lastRow="0" w:firstColumn="0" w:lastColumn="0" w:oddVBand="0" w:evenVBand="1" w:oddHBand="0" w:evenHBand="0" w:firstRowFirstColumn="0" w:firstRowLastColumn="0" w:lastRowFirstColumn="0" w:lastRowLastColumn="0"/>
            <w:tcW w:w="1698" w:type="dxa"/>
          </w:tcPr>
          <w:p w14:paraId="65339115" w14:textId="77777777" w:rsidR="00C779A1" w:rsidRPr="00F45F11" w:rsidRDefault="00C779A1" w:rsidP="008E70EB">
            <w:pPr>
              <w:pStyle w:val="ARtablecolheadright"/>
            </w:pPr>
            <w:r w:rsidRPr="00F45F11">
              <w:t>($’000)</w:t>
            </w:r>
          </w:p>
        </w:tc>
      </w:tr>
      <w:tr w:rsidR="002025E2" w:rsidRPr="00F45F11" w14:paraId="32B93A77" w14:textId="77777777" w:rsidTr="002025E2">
        <w:trPr>
          <w:cnfStyle w:val="000000100000" w:firstRow="0" w:lastRow="0" w:firstColumn="0" w:lastColumn="0" w:oddVBand="0" w:evenVBand="0" w:oddHBand="1" w:evenHBand="0" w:firstRowFirstColumn="0" w:firstRowLastColumn="0" w:lastRowFirstColumn="0" w:lastRowLastColumn="0"/>
        </w:trPr>
        <w:tc>
          <w:tcPr>
            <w:tcW w:w="7924" w:type="dxa"/>
          </w:tcPr>
          <w:p w14:paraId="11646D22" w14:textId="72668A6A" w:rsidR="002025E2" w:rsidRPr="00F45F11" w:rsidRDefault="002025E2" w:rsidP="002025E2">
            <w:pPr>
              <w:pStyle w:val="ARTabletextboldcoloured"/>
            </w:pPr>
            <w:r w:rsidRPr="00F45F11">
              <w:t>Non-BAU ICT expenditure</w:t>
            </w:r>
          </w:p>
        </w:tc>
        <w:tc>
          <w:tcPr>
            <w:cnfStyle w:val="000001000000" w:firstRow="0" w:lastRow="0" w:firstColumn="0" w:lastColumn="0" w:oddVBand="0" w:evenVBand="1" w:oddHBand="0" w:evenHBand="0" w:firstRowFirstColumn="0" w:firstRowLastColumn="0" w:lastRowFirstColumn="0" w:lastRowLastColumn="0"/>
            <w:tcW w:w="1698" w:type="dxa"/>
            <w:shd w:val="clear" w:color="auto" w:fill="auto"/>
          </w:tcPr>
          <w:p w14:paraId="54BB5BAF" w14:textId="77777777" w:rsidR="002025E2" w:rsidRPr="00F45F11" w:rsidRDefault="002025E2" w:rsidP="008E70EB">
            <w:pPr>
              <w:pStyle w:val="ARtabletextright"/>
            </w:pPr>
          </w:p>
        </w:tc>
      </w:tr>
      <w:tr w:rsidR="00C779A1" w:rsidRPr="00F45F11" w14:paraId="7C20FBE8" w14:textId="77777777" w:rsidTr="002025E2">
        <w:trPr>
          <w:cnfStyle w:val="000000010000" w:firstRow="0" w:lastRow="0" w:firstColumn="0" w:lastColumn="0" w:oddVBand="0" w:evenVBand="0" w:oddHBand="0" w:evenHBand="1" w:firstRowFirstColumn="0" w:firstRowLastColumn="0" w:lastRowFirstColumn="0" w:lastRowLastColumn="0"/>
        </w:trPr>
        <w:tc>
          <w:tcPr>
            <w:tcW w:w="7924" w:type="dxa"/>
          </w:tcPr>
          <w:p w14:paraId="4466ABE1" w14:textId="77777777" w:rsidR="00C779A1" w:rsidRPr="00F45F11" w:rsidRDefault="00C779A1" w:rsidP="008E70EB">
            <w:pPr>
              <w:pStyle w:val="ARTabletext"/>
            </w:pPr>
            <w:r w:rsidRPr="00F45F11">
              <w:t>Operational expenditure</w:t>
            </w:r>
          </w:p>
        </w:tc>
        <w:tc>
          <w:tcPr>
            <w:cnfStyle w:val="000001000000" w:firstRow="0" w:lastRow="0" w:firstColumn="0" w:lastColumn="0" w:oddVBand="0" w:evenVBand="1" w:oddHBand="0" w:evenHBand="0" w:firstRowFirstColumn="0" w:firstRowLastColumn="0" w:lastRowFirstColumn="0" w:lastRowLastColumn="0"/>
            <w:tcW w:w="1698" w:type="dxa"/>
          </w:tcPr>
          <w:p w14:paraId="31DCBBE5" w14:textId="77777777" w:rsidR="00C779A1" w:rsidRPr="00F45F11" w:rsidRDefault="00C779A1" w:rsidP="008E70EB">
            <w:pPr>
              <w:pStyle w:val="ARtabletextright"/>
            </w:pPr>
            <w:r w:rsidRPr="00F45F11">
              <w:t>15,963</w:t>
            </w:r>
          </w:p>
        </w:tc>
      </w:tr>
      <w:tr w:rsidR="00C779A1" w:rsidRPr="00F45F11" w14:paraId="45EB0C3F" w14:textId="77777777" w:rsidTr="002025E2">
        <w:trPr>
          <w:cnfStyle w:val="000000100000" w:firstRow="0" w:lastRow="0" w:firstColumn="0" w:lastColumn="0" w:oddVBand="0" w:evenVBand="0" w:oddHBand="1" w:evenHBand="0" w:firstRowFirstColumn="0" w:firstRowLastColumn="0" w:lastRowFirstColumn="0" w:lastRowLastColumn="0"/>
        </w:trPr>
        <w:tc>
          <w:tcPr>
            <w:tcW w:w="7924" w:type="dxa"/>
          </w:tcPr>
          <w:p w14:paraId="186CEA92" w14:textId="77777777" w:rsidR="00C779A1" w:rsidRPr="00F45F11" w:rsidRDefault="00C779A1" w:rsidP="008E70EB">
            <w:pPr>
              <w:pStyle w:val="ARTabletext"/>
            </w:pPr>
            <w:r w:rsidRPr="00F45F11">
              <w:t>Capital expenditure</w:t>
            </w:r>
          </w:p>
        </w:tc>
        <w:tc>
          <w:tcPr>
            <w:cnfStyle w:val="000001000000" w:firstRow="0" w:lastRow="0" w:firstColumn="0" w:lastColumn="0" w:oddVBand="0" w:evenVBand="1" w:oddHBand="0" w:evenHBand="0" w:firstRowFirstColumn="0" w:firstRowLastColumn="0" w:lastRowFirstColumn="0" w:lastRowLastColumn="0"/>
            <w:tcW w:w="1698" w:type="dxa"/>
          </w:tcPr>
          <w:p w14:paraId="256F9D1C" w14:textId="77777777" w:rsidR="00C779A1" w:rsidRPr="00F45F11" w:rsidRDefault="00C779A1" w:rsidP="008E70EB">
            <w:pPr>
              <w:pStyle w:val="ARtabletextright"/>
            </w:pPr>
            <w:r w:rsidRPr="00F45F11">
              <w:t>26,263</w:t>
            </w:r>
          </w:p>
        </w:tc>
      </w:tr>
      <w:tr w:rsidR="00C779A1" w:rsidRPr="00F45F11" w14:paraId="4FC754EF" w14:textId="77777777" w:rsidTr="002025E2">
        <w:trPr>
          <w:cnfStyle w:val="000000010000" w:firstRow="0" w:lastRow="0" w:firstColumn="0" w:lastColumn="0" w:oddVBand="0" w:evenVBand="0" w:oddHBand="0" w:evenHBand="1" w:firstRowFirstColumn="0" w:firstRowLastColumn="0" w:lastRowFirstColumn="0" w:lastRowLastColumn="0"/>
        </w:trPr>
        <w:tc>
          <w:tcPr>
            <w:tcW w:w="7924" w:type="dxa"/>
          </w:tcPr>
          <w:p w14:paraId="654194E4" w14:textId="77777777" w:rsidR="00C779A1" w:rsidRPr="00F45F11" w:rsidRDefault="00C779A1" w:rsidP="008E70EB">
            <w:pPr>
              <w:pStyle w:val="ARtabletextbold"/>
            </w:pPr>
            <w:r w:rsidRPr="00F45F11">
              <w:t>Non-BAU ICT expenditure total (A)</w:t>
            </w:r>
          </w:p>
        </w:tc>
        <w:tc>
          <w:tcPr>
            <w:cnfStyle w:val="000001000000" w:firstRow="0" w:lastRow="0" w:firstColumn="0" w:lastColumn="0" w:oddVBand="0" w:evenVBand="1" w:oddHBand="0" w:evenHBand="0" w:firstRowFirstColumn="0" w:firstRowLastColumn="0" w:lastRowFirstColumn="0" w:lastRowLastColumn="0"/>
            <w:tcW w:w="1698" w:type="dxa"/>
          </w:tcPr>
          <w:p w14:paraId="1FF9DE06" w14:textId="77777777" w:rsidR="00C779A1" w:rsidRPr="00F45F11" w:rsidRDefault="00C779A1" w:rsidP="008E70EB">
            <w:pPr>
              <w:pStyle w:val="ARtabletextrightbold"/>
            </w:pPr>
            <w:r w:rsidRPr="00F45F11">
              <w:t>42,226</w:t>
            </w:r>
          </w:p>
        </w:tc>
      </w:tr>
      <w:tr w:rsidR="00C779A1" w:rsidRPr="00F45F11" w14:paraId="0EEDB378" w14:textId="77777777" w:rsidTr="002025E2">
        <w:trPr>
          <w:cnfStyle w:val="000000100000" w:firstRow="0" w:lastRow="0" w:firstColumn="0" w:lastColumn="0" w:oddVBand="0" w:evenVBand="0" w:oddHBand="1" w:evenHBand="0" w:firstRowFirstColumn="0" w:firstRowLastColumn="0" w:lastRowFirstColumn="0" w:lastRowLastColumn="0"/>
        </w:trPr>
        <w:tc>
          <w:tcPr>
            <w:tcW w:w="7924" w:type="dxa"/>
          </w:tcPr>
          <w:p w14:paraId="2D123CFA" w14:textId="77777777" w:rsidR="00C779A1" w:rsidRPr="00F45F11" w:rsidRDefault="00C779A1" w:rsidP="008E70EB">
            <w:pPr>
              <w:pStyle w:val="ARtabletextbold"/>
            </w:pPr>
            <w:r w:rsidRPr="00F45F11">
              <w:t>BAU ICT expenditure (B)</w:t>
            </w:r>
          </w:p>
        </w:tc>
        <w:tc>
          <w:tcPr>
            <w:cnfStyle w:val="000001000000" w:firstRow="0" w:lastRow="0" w:firstColumn="0" w:lastColumn="0" w:oddVBand="0" w:evenVBand="1" w:oddHBand="0" w:evenHBand="0" w:firstRowFirstColumn="0" w:firstRowLastColumn="0" w:lastRowFirstColumn="0" w:lastRowLastColumn="0"/>
            <w:tcW w:w="1698" w:type="dxa"/>
          </w:tcPr>
          <w:p w14:paraId="2FBA08BB" w14:textId="77777777" w:rsidR="00C779A1" w:rsidRPr="00F45F11" w:rsidRDefault="00C779A1" w:rsidP="008E70EB">
            <w:pPr>
              <w:pStyle w:val="ARtabletextrightbold"/>
            </w:pPr>
            <w:r w:rsidRPr="00F45F11">
              <w:t>18,746</w:t>
            </w:r>
          </w:p>
        </w:tc>
      </w:tr>
      <w:tr w:rsidR="00C779A1" w:rsidRPr="00F45F11" w14:paraId="574DEB84" w14:textId="77777777" w:rsidTr="002025E2">
        <w:trPr>
          <w:cnfStyle w:val="010000000000" w:firstRow="0" w:lastRow="1" w:firstColumn="0" w:lastColumn="0" w:oddVBand="0" w:evenVBand="0" w:oddHBand="0" w:evenHBand="0" w:firstRowFirstColumn="0" w:firstRowLastColumn="0" w:lastRowFirstColumn="0" w:lastRowLastColumn="0"/>
        </w:trPr>
        <w:tc>
          <w:tcPr>
            <w:tcW w:w="7924" w:type="dxa"/>
          </w:tcPr>
          <w:p w14:paraId="500ACBA6" w14:textId="77777777" w:rsidR="00C779A1" w:rsidRPr="00F45F11" w:rsidRDefault="00C779A1" w:rsidP="008E70EB">
            <w:pPr>
              <w:pStyle w:val="ARtabletextbold"/>
            </w:pPr>
            <w:r w:rsidRPr="00F45F11">
              <w:t>TOTAL (A + B)</w:t>
            </w:r>
          </w:p>
        </w:tc>
        <w:tc>
          <w:tcPr>
            <w:cnfStyle w:val="000001000000" w:firstRow="0" w:lastRow="0" w:firstColumn="0" w:lastColumn="0" w:oddVBand="0" w:evenVBand="1" w:oddHBand="0" w:evenHBand="0" w:firstRowFirstColumn="0" w:firstRowLastColumn="0" w:lastRowFirstColumn="0" w:lastRowLastColumn="0"/>
            <w:tcW w:w="1698" w:type="dxa"/>
          </w:tcPr>
          <w:p w14:paraId="49337CF7" w14:textId="77777777" w:rsidR="00C779A1" w:rsidRPr="00F45F11" w:rsidRDefault="00C779A1" w:rsidP="008E70EB">
            <w:pPr>
              <w:pStyle w:val="ARtabletextrightbold"/>
            </w:pPr>
            <w:r w:rsidRPr="00F45F11">
              <w:t>60,972</w:t>
            </w:r>
          </w:p>
        </w:tc>
      </w:tr>
    </w:tbl>
    <w:p w14:paraId="63511459" w14:textId="19D0C14D" w:rsidR="00C779A1" w:rsidRPr="00F45F11" w:rsidRDefault="00C779A1" w:rsidP="0069649A">
      <w:pPr>
        <w:pStyle w:val="ARTablefigurenote"/>
        <w:spacing w:before="0"/>
      </w:pPr>
      <w:r w:rsidRPr="00F45F11">
        <w:t>Notes:</w:t>
      </w:r>
    </w:p>
    <w:p w14:paraId="38867BAA" w14:textId="77777777" w:rsidR="00C779A1" w:rsidRPr="00F45F11" w:rsidRDefault="00C779A1" w:rsidP="006E53AA">
      <w:pPr>
        <w:pStyle w:val="ARtablefigurenotebullet"/>
      </w:pPr>
      <w:r w:rsidRPr="00F45F11">
        <w:t>ICT expenditure refers to the department’s costs in providing business-enabling ICT services within the current reporting period.</w:t>
      </w:r>
    </w:p>
    <w:p w14:paraId="1A4300BA" w14:textId="77777777" w:rsidR="00C779A1" w:rsidRPr="00F45F11" w:rsidRDefault="00C779A1" w:rsidP="006E53AA">
      <w:pPr>
        <w:pStyle w:val="ARtablefigurenotebullet"/>
      </w:pPr>
      <w:r w:rsidRPr="00F45F11">
        <w:t>It comprises business-as-usual (BAU) ICT expenditure and non-business-as-usual (non-BAU) ICT expenditure.</w:t>
      </w:r>
    </w:p>
    <w:p w14:paraId="177F9C7D" w14:textId="77777777" w:rsidR="00C779A1" w:rsidRPr="00F45F11" w:rsidRDefault="00C779A1" w:rsidP="006E53AA">
      <w:pPr>
        <w:pStyle w:val="ARtablefigurenotebullet"/>
      </w:pPr>
      <w:r w:rsidRPr="00F45F11">
        <w:t>Non-BAU ICT expenditure relates to projects to create or enhance the department’s current ICT capabilities.</w:t>
      </w:r>
    </w:p>
    <w:p w14:paraId="15A334BD" w14:textId="77777777" w:rsidR="00C779A1" w:rsidRPr="00F45F11" w:rsidRDefault="00C779A1" w:rsidP="006E53AA">
      <w:pPr>
        <w:pStyle w:val="ARtablefigurenotebullet"/>
      </w:pPr>
      <w:r w:rsidRPr="00F45F11">
        <w:t>BAU ICT expenditure is all remaining ICT expenditure, which primarily relates to ongoing activities to operate and maintain the current ICT capability.</w:t>
      </w:r>
    </w:p>
    <w:p w14:paraId="5AC0A032" w14:textId="77777777" w:rsidR="0069649A" w:rsidRDefault="00C779A1" w:rsidP="006E53AA">
      <w:pPr>
        <w:pStyle w:val="ARTablefigurenote"/>
      </w:pPr>
      <w:r w:rsidRPr="00F45F11">
        <w:t>The total BAU and non-BAU ICT expenditure incurred within the reporting period is $162.3 million. For reporting purposes, all ICT expenditure relating to shared services for the Department of Families, Fairness and Housing (the department) and Department of Health is only reported in the Department of Health’s 2025</w:t>
      </w:r>
      <w:r w:rsidR="00E23AAF" w:rsidRPr="00F45F11">
        <w:t>–</w:t>
      </w:r>
      <w:r w:rsidRPr="00F45F11">
        <w:t>26 annual report disclosure. The department’s component related to shared services is $101.3 million.</w:t>
      </w:r>
    </w:p>
    <w:p w14:paraId="54E67FDA" w14:textId="29C3ABA2" w:rsidR="000D720E" w:rsidRDefault="006F2530" w:rsidP="000D720E">
      <w:pPr>
        <w:pStyle w:val="Heading2"/>
      </w:pPr>
      <w:bookmarkStart w:id="189" w:name="_Disclosure_of_major"/>
      <w:bookmarkStart w:id="190" w:name="_Toc82006204"/>
      <w:bookmarkStart w:id="191" w:name="_Toc112791117"/>
      <w:bookmarkStart w:id="192" w:name="_Toc149587053"/>
      <w:bookmarkStart w:id="193" w:name="_Toc212039542"/>
      <w:bookmarkStart w:id="194" w:name="_Toc241131717"/>
      <w:bookmarkEnd w:id="189"/>
      <w:r w:rsidRPr="00F45F11">
        <w:t>Disclosure of major</w:t>
      </w:r>
      <w:r w:rsidR="004C584E">
        <w:t> </w:t>
      </w:r>
      <w:r w:rsidRPr="00F45F11">
        <w:t>contracts</w:t>
      </w:r>
      <w:bookmarkEnd w:id="190"/>
      <w:bookmarkEnd w:id="191"/>
      <w:bookmarkEnd w:id="192"/>
      <w:bookmarkEnd w:id="193"/>
      <w:bookmarkEnd w:id="194"/>
    </w:p>
    <w:p w14:paraId="4DD1359D" w14:textId="77777777" w:rsidR="006F2530" w:rsidRDefault="006F2530" w:rsidP="006E53AA">
      <w:pPr>
        <w:pStyle w:val="ARBody"/>
      </w:pPr>
      <w:r w:rsidRPr="00F45F11">
        <w:t xml:space="preserve">In accordance with the requirements of government policy and accompanying guidelines, the department disclosed all contracts greater than $10 million in value </w:t>
      </w:r>
      <w:proofErr w:type="gramStart"/>
      <w:r w:rsidRPr="00F45F11">
        <w:t>entered into</w:t>
      </w:r>
      <w:proofErr w:type="gramEnd"/>
      <w:r w:rsidRPr="00F45F11">
        <w:t xml:space="preserve"> during the year ending 30 June 2026. </w:t>
      </w:r>
    </w:p>
    <w:p w14:paraId="6E02B235" w14:textId="529C2CBC" w:rsidR="006F2530" w:rsidRPr="00F45F11" w:rsidRDefault="006F2530" w:rsidP="006E53AA">
      <w:pPr>
        <w:pStyle w:val="ARBody"/>
      </w:pPr>
      <w:r w:rsidRPr="00F45F11">
        <w:t xml:space="preserve">Details of contracts disclosed in the Victorian Government contracts publishing system can be viewed at the government’s </w:t>
      </w:r>
      <w:hyperlink r:id="rId74" w:history="1">
        <w:r w:rsidRPr="00F45F11">
          <w:rPr>
            <w:rStyle w:val="Hyperlink"/>
          </w:rPr>
          <w:t>Buying for Victoria Tenders Portal</w:t>
        </w:r>
      </w:hyperlink>
      <w:r w:rsidRPr="00F45F11">
        <w:t>.</w:t>
      </w:r>
      <w:r w:rsidRPr="00F45F11">
        <w:rPr>
          <w:rStyle w:val="FootnoteReference"/>
        </w:rPr>
        <w:footnoteReference w:id="20"/>
      </w:r>
    </w:p>
    <w:p w14:paraId="492FACD8" w14:textId="699A1BE5" w:rsidR="000D720E" w:rsidRDefault="006F2530" w:rsidP="006E53AA">
      <w:pPr>
        <w:pStyle w:val="ARBody"/>
      </w:pPr>
      <w:r w:rsidRPr="00F45F11">
        <w:t>Contractual details are not disclosed for contracts where disclosure is exempt under the </w:t>
      </w:r>
      <w:r w:rsidRPr="00A124D1">
        <w:rPr>
          <w:rStyle w:val="Emphasis"/>
        </w:rPr>
        <w:t xml:space="preserve">Freedom of Information Act 1982 </w:t>
      </w:r>
      <w:r w:rsidRPr="00F45F11">
        <w:t>or government guidelines.</w:t>
      </w:r>
    </w:p>
    <w:p w14:paraId="050A9280" w14:textId="01A2D953" w:rsidR="000D720E" w:rsidRDefault="006F2530" w:rsidP="000D720E">
      <w:pPr>
        <w:pStyle w:val="Heading2"/>
        <w:spacing w:after="160"/>
      </w:pPr>
      <w:bookmarkStart w:id="195" w:name="_Toc212039543"/>
      <w:bookmarkStart w:id="196" w:name="_Toc241131718"/>
      <w:r w:rsidRPr="00F45F11">
        <w:t>Disclosure of grants and transfer payments</w:t>
      </w:r>
      <w:bookmarkEnd w:id="195"/>
      <w:bookmarkEnd w:id="196"/>
    </w:p>
    <w:p w14:paraId="710800CC" w14:textId="77777777" w:rsidR="001F53D0" w:rsidRDefault="006F2530" w:rsidP="006E53AA">
      <w:pPr>
        <w:pStyle w:val="ARBody"/>
      </w:pPr>
      <w:r w:rsidRPr="00F45F11">
        <w:t>The department supported many not-for-profit community organisations,</w:t>
      </w:r>
      <w:r w:rsidRPr="00F45F11" w:rsidDel="00F91A0E">
        <w:t xml:space="preserve"> </w:t>
      </w:r>
      <w:r w:rsidRPr="00F45F11">
        <w:t>local governments and schools to deliver services, supports and projects across Victoria.</w:t>
      </w:r>
    </w:p>
    <w:p w14:paraId="17B9758C" w14:textId="77777777" w:rsidR="000D720E" w:rsidRDefault="006F2530" w:rsidP="006E53AA">
      <w:pPr>
        <w:pStyle w:val="ARBody"/>
      </w:pPr>
      <w:r w:rsidRPr="00F45F11">
        <w:t xml:space="preserve">The department uses the following definition of a grant: money given to organisations for a specified purpose directed at achieving goals and objectives consistent with government policy. </w:t>
      </w:r>
    </w:p>
    <w:p w14:paraId="22AD1064" w14:textId="40DF4810" w:rsidR="006F2530" w:rsidRPr="00F45F11" w:rsidRDefault="006F2530" w:rsidP="006E53AA">
      <w:pPr>
        <w:pStyle w:val="ARBody"/>
      </w:pPr>
      <w:r w:rsidRPr="00F45F11">
        <w:t>The department delivered grants using the standard Victorian Common Funding Agreement. This is the required contract for Victorian Government grant delivery.</w:t>
      </w:r>
    </w:p>
    <w:p w14:paraId="30F1B551" w14:textId="2F4C0242" w:rsidR="0069649A" w:rsidRDefault="006F2530" w:rsidP="006E53AA">
      <w:pPr>
        <w:pStyle w:val="ARBody"/>
      </w:pPr>
      <w:r w:rsidRPr="00F45F11">
        <w:t xml:space="preserve">Grants paid in 2025–26 </w:t>
      </w:r>
      <w:proofErr w:type="gramStart"/>
      <w:r w:rsidRPr="00F45F11">
        <w:t>are</w:t>
      </w:r>
      <w:proofErr w:type="gramEnd"/>
      <w:r w:rsidRPr="00F45F11">
        <w:t xml:space="preserve"> listed in Appendix 3: Grants and transfer payments.</w:t>
      </w:r>
    </w:p>
    <w:p w14:paraId="6E794C1B" w14:textId="3E69A6BD" w:rsidR="000D720E" w:rsidRDefault="006F2530" w:rsidP="000D720E">
      <w:pPr>
        <w:pStyle w:val="Heading2"/>
        <w:spacing w:before="0"/>
      </w:pPr>
      <w:bookmarkStart w:id="197" w:name="_Social_procurement_framework_1"/>
      <w:bookmarkStart w:id="198" w:name="_Toc114491206"/>
      <w:bookmarkStart w:id="199" w:name="_Toc149587055"/>
      <w:bookmarkStart w:id="200" w:name="_Toc212039544"/>
      <w:bookmarkStart w:id="201" w:name="_Toc241131719"/>
      <w:bookmarkEnd w:id="197"/>
      <w:r w:rsidRPr="00F45F11">
        <w:t xml:space="preserve">Social procurement </w:t>
      </w:r>
      <w:bookmarkEnd w:id="198"/>
      <w:r w:rsidRPr="00F45F11">
        <w:t>framework</w:t>
      </w:r>
      <w:bookmarkEnd w:id="199"/>
      <w:bookmarkEnd w:id="200"/>
      <w:bookmarkEnd w:id="201"/>
    </w:p>
    <w:p w14:paraId="0AFC52CD" w14:textId="77777777" w:rsidR="0069649A" w:rsidRDefault="006F2530" w:rsidP="006E53AA">
      <w:pPr>
        <w:pStyle w:val="ARBody"/>
      </w:pPr>
      <w:r w:rsidRPr="00F45F11">
        <w:t>The department leverages its buying power to deliver social, economic and environmental outcomes that benefit the Victorian community, the economy and the environment – above and beyond the goods, services and construction works procured.</w:t>
      </w:r>
    </w:p>
    <w:p w14:paraId="04CE16D4" w14:textId="3D0A6BE5" w:rsidR="006F2530" w:rsidRPr="00F45F11" w:rsidRDefault="006F2530" w:rsidP="006E53AA">
      <w:pPr>
        <w:pStyle w:val="ARBody"/>
      </w:pPr>
      <w:r w:rsidRPr="00F45F11">
        <w:t xml:space="preserve">It is guided by the Victorian Government’s </w:t>
      </w:r>
      <w:r w:rsidRPr="00A124D1">
        <w:rPr>
          <w:rStyle w:val="Emphasis"/>
        </w:rPr>
        <w:t>Social procurement framework</w:t>
      </w:r>
      <w:r w:rsidRPr="00F45F11">
        <w:t>, released in April 2018. This</w:t>
      </w:r>
      <w:r w:rsidR="006E53AA" w:rsidRPr="00F45F11">
        <w:t> </w:t>
      </w:r>
      <w:r w:rsidRPr="00F45F11">
        <w:t>framework applies to the procurement of all goods, services and construction undertaken by, or on behalf of, the department. It is defined by 10 objectives, with the following 4 priority objectives</w:t>
      </w:r>
      <w:r w:rsidR="006E53AA" w:rsidRPr="00F45F11">
        <w:t> </w:t>
      </w:r>
      <w:r w:rsidRPr="00F45F11">
        <w:t>chosen for both Goods and Services and Public</w:t>
      </w:r>
      <w:r w:rsidR="006E53AA" w:rsidRPr="00F45F11">
        <w:t> </w:t>
      </w:r>
      <w:r w:rsidRPr="00F45F11">
        <w:t>Construction:</w:t>
      </w:r>
    </w:p>
    <w:p w14:paraId="714E6DA6" w14:textId="77777777" w:rsidR="006F2530" w:rsidRPr="00F45F11" w:rsidRDefault="006F2530" w:rsidP="00F15878">
      <w:pPr>
        <w:pStyle w:val="ARBullet1"/>
      </w:pPr>
      <w:r w:rsidRPr="00F45F11">
        <w:t>opportunities for Victorian Aboriginal people</w:t>
      </w:r>
    </w:p>
    <w:p w14:paraId="68D160B4" w14:textId="77777777" w:rsidR="006F2530" w:rsidRPr="00F45F11" w:rsidRDefault="006F2530" w:rsidP="00F15878">
      <w:pPr>
        <w:pStyle w:val="ARBullet1"/>
      </w:pPr>
      <w:r w:rsidRPr="00F45F11">
        <w:t>opportunities for Victorians with disability</w:t>
      </w:r>
    </w:p>
    <w:p w14:paraId="4377CCB5" w14:textId="77777777" w:rsidR="006F2530" w:rsidRPr="00F45F11" w:rsidRDefault="006F2530" w:rsidP="00F15878">
      <w:pPr>
        <w:pStyle w:val="ARBullet1"/>
      </w:pPr>
      <w:r w:rsidRPr="00F45F11">
        <w:t>women’s equality and safety</w:t>
      </w:r>
    </w:p>
    <w:p w14:paraId="65F50422" w14:textId="77777777" w:rsidR="006F2530" w:rsidRPr="00F45F11" w:rsidRDefault="006F2530" w:rsidP="00F15878">
      <w:pPr>
        <w:pStyle w:val="ARBullet1"/>
      </w:pPr>
      <w:r w:rsidRPr="00F45F11">
        <w:t>opportunities for Victorian priority jobseekers.</w:t>
      </w:r>
    </w:p>
    <w:p w14:paraId="03AC7807" w14:textId="77777777" w:rsidR="006F2530" w:rsidRPr="00F45F11" w:rsidRDefault="006F2530">
      <w:pPr>
        <w:pStyle w:val="Heading3"/>
      </w:pPr>
      <w:r w:rsidRPr="00F45F11">
        <w:t>Social procurement initiatives</w:t>
      </w:r>
    </w:p>
    <w:p w14:paraId="0A8558B2" w14:textId="5FBC2E3C" w:rsidR="006F2530" w:rsidRPr="00F45F11" w:rsidRDefault="006F2530" w:rsidP="006E53AA">
      <w:pPr>
        <w:pStyle w:val="ARBody"/>
      </w:pPr>
      <w:r w:rsidRPr="00F45F11">
        <w:t>During 2025–26, social value requirements were applied to a variety of procurement activities, including the procurement of goods, services and</w:t>
      </w:r>
      <w:r w:rsidR="00611072" w:rsidRPr="00F45F11">
        <w:t> </w:t>
      </w:r>
      <w:r w:rsidRPr="00F45F11">
        <w:t>construction works</w:t>
      </w:r>
      <w:r w:rsidR="00611072" w:rsidRPr="00F45F11">
        <w:t>.</w:t>
      </w:r>
    </w:p>
    <w:p w14:paraId="38A86853" w14:textId="697BA74A" w:rsidR="006F2530" w:rsidRPr="00F45F11" w:rsidRDefault="006F2530" w:rsidP="00611072">
      <w:pPr>
        <w:pStyle w:val="ARBody"/>
      </w:pPr>
      <w:r w:rsidRPr="00F45F11">
        <w:t>The department undertook several activities to</w:t>
      </w:r>
      <w:r w:rsidR="006E53AA" w:rsidRPr="00F45F11">
        <w:t> </w:t>
      </w:r>
      <w:r w:rsidRPr="00F45F11">
        <w:t>support s</w:t>
      </w:r>
      <w:r w:rsidRPr="00F45F11">
        <w:rPr>
          <w:rStyle w:val="Emphasis"/>
          <w:i w:val="0"/>
          <w:iCs w:val="0"/>
        </w:rPr>
        <w:t xml:space="preserve">ocial procurement </w:t>
      </w:r>
      <w:r w:rsidRPr="00F45F11">
        <w:t>including:</w:t>
      </w:r>
    </w:p>
    <w:p w14:paraId="2FB712D1" w14:textId="3FD681C2" w:rsidR="006F2530" w:rsidRDefault="006F2530" w:rsidP="00F15878">
      <w:pPr>
        <w:pStyle w:val="ARBullet1"/>
      </w:pPr>
      <w:r w:rsidRPr="00F45F11">
        <w:t xml:space="preserve">a continued relationship with </w:t>
      </w:r>
      <w:proofErr w:type="spellStart"/>
      <w:r w:rsidRPr="00F45F11">
        <w:t>Kinaway</w:t>
      </w:r>
      <w:proofErr w:type="spellEnd"/>
      <w:r w:rsidRPr="00F45F11">
        <w:t xml:space="preserve"> Chamber of Commerce through regular meetings and</w:t>
      </w:r>
      <w:r w:rsidR="00CD1611">
        <w:t> </w:t>
      </w:r>
      <w:r w:rsidRPr="00F45F11">
        <w:t>other communications</w:t>
      </w:r>
    </w:p>
    <w:p w14:paraId="1D59AD86" w14:textId="762E6F1B" w:rsidR="006F2530" w:rsidRPr="00F45F11" w:rsidRDefault="006F2530" w:rsidP="002A4AAC">
      <w:pPr>
        <w:pStyle w:val="ARBullet1"/>
      </w:pPr>
      <w:r w:rsidRPr="00F45F11">
        <w:t xml:space="preserve">goods and services and construction procurement teams prioritise partnering with project and contract managers to optimise opportunities for effective delivery of social procurement outcomes </w:t>
      </w:r>
    </w:p>
    <w:p w14:paraId="1462C01B" w14:textId="3F7AD4D9" w:rsidR="006F2530" w:rsidRPr="00F45F11" w:rsidRDefault="006F2530" w:rsidP="00F15878">
      <w:pPr>
        <w:pStyle w:val="ARBullet1"/>
      </w:pPr>
      <w:r w:rsidRPr="00F45F11">
        <w:t>providing education and training to staff on social</w:t>
      </w:r>
      <w:r w:rsidR="006E53AA" w:rsidRPr="00F45F11">
        <w:t> </w:t>
      </w:r>
      <w:r w:rsidRPr="00F45F11">
        <w:t>procurement on an as needs basis</w:t>
      </w:r>
    </w:p>
    <w:p w14:paraId="2B7077CB" w14:textId="5D2CA213" w:rsidR="006F2530" w:rsidRPr="00F45F11" w:rsidRDefault="006F2530" w:rsidP="00F15878">
      <w:pPr>
        <w:pStyle w:val="ARBullet1"/>
      </w:pPr>
      <w:r w:rsidRPr="00F45F11">
        <w:t>the maintenance of procurement policies, processes, templates and contracts to continue</w:t>
      </w:r>
      <w:r w:rsidR="006E53AA" w:rsidRPr="00F45F11">
        <w:t> </w:t>
      </w:r>
      <w:r w:rsidRPr="00F45F11">
        <w:t>to support the implementation of</w:t>
      </w:r>
      <w:r w:rsidR="006E53AA" w:rsidRPr="00F45F11">
        <w:t> </w:t>
      </w:r>
      <w:r w:rsidRPr="00F45F11">
        <w:t>social</w:t>
      </w:r>
      <w:r w:rsidR="006E53AA" w:rsidRPr="00F45F11">
        <w:t> </w:t>
      </w:r>
      <w:r w:rsidRPr="00F45F11">
        <w:t>procurement.</w:t>
      </w:r>
    </w:p>
    <w:p w14:paraId="14B07220" w14:textId="3C5858B7" w:rsidR="006F2530" w:rsidRPr="00F45F11" w:rsidRDefault="006F2530" w:rsidP="002A4AAC">
      <w:pPr>
        <w:pStyle w:val="Heading3"/>
      </w:pPr>
      <w:r w:rsidRPr="00F45F11">
        <w:t>Social procurement achievements 2025–26</w:t>
      </w:r>
    </w:p>
    <w:p w14:paraId="50170520" w14:textId="77777777" w:rsidR="006F2530" w:rsidRPr="00F45F11" w:rsidRDefault="006F2530" w:rsidP="006E53AA">
      <w:pPr>
        <w:pStyle w:val="ARBody"/>
      </w:pPr>
      <w:r w:rsidRPr="00F45F11">
        <w:t>During 2025–26, the department:</w:t>
      </w:r>
    </w:p>
    <w:p w14:paraId="1E2C6BC0" w14:textId="77777777" w:rsidR="006F2530" w:rsidRPr="00F45F11" w:rsidRDefault="006F2530" w:rsidP="00F15878">
      <w:pPr>
        <w:pStyle w:val="ARBullet1"/>
      </w:pPr>
      <w:r w:rsidRPr="00F45F11">
        <w:t>engaged 99 social benefit suppliers</w:t>
      </w:r>
    </w:p>
    <w:p w14:paraId="292E7766" w14:textId="77777777" w:rsidR="006F2530" w:rsidRPr="00F45F11" w:rsidRDefault="006F2530" w:rsidP="00F15878">
      <w:pPr>
        <w:pStyle w:val="ARBullet1"/>
      </w:pPr>
      <w:r w:rsidRPr="00F45F11">
        <w:t>spent a total of $8.65 million with certified social enterprises, Aboriginal businesses and traditional owner corporations and disability enterprises.</w:t>
      </w:r>
    </w:p>
    <w:p w14:paraId="76A744F1" w14:textId="77777777" w:rsidR="006F2530" w:rsidRPr="00F45F11" w:rsidRDefault="006F2530">
      <w:pPr>
        <w:pStyle w:val="Heading3"/>
      </w:pPr>
      <w:r w:rsidRPr="00F45F11">
        <w:t>Aboriginal business engagement</w:t>
      </w:r>
    </w:p>
    <w:p w14:paraId="0A0CB6EF" w14:textId="1C7C59F1" w:rsidR="006F2530" w:rsidRPr="00F45F11" w:rsidRDefault="006F2530" w:rsidP="006E53AA">
      <w:pPr>
        <w:pStyle w:val="ARBody"/>
      </w:pPr>
      <w:r w:rsidRPr="00F45F11">
        <w:t>During 2025–26</w:t>
      </w:r>
      <w:r w:rsidR="00840BF9" w:rsidRPr="00F45F11">
        <w:t>,</w:t>
      </w:r>
      <w:r w:rsidRPr="00F45F11">
        <w:t xml:space="preserve"> the department:</w:t>
      </w:r>
    </w:p>
    <w:p w14:paraId="24D29929" w14:textId="55D5DF41" w:rsidR="006F2530" w:rsidRPr="00F45F11" w:rsidRDefault="006F2530" w:rsidP="00F15878">
      <w:pPr>
        <w:pStyle w:val="ARBullet1"/>
      </w:pPr>
      <w:r w:rsidRPr="00F45F11">
        <w:t>engaged 47 Aboriginal businesses and</w:t>
      </w:r>
      <w:r w:rsidR="002C2ED3">
        <w:t> </w:t>
      </w:r>
      <w:r w:rsidRPr="00F45F11">
        <w:t>Traditional owner corporations</w:t>
      </w:r>
    </w:p>
    <w:p w14:paraId="5C745C24" w14:textId="2B8FCF81" w:rsidR="000D67BA" w:rsidRDefault="006F2530" w:rsidP="000D720E">
      <w:pPr>
        <w:pStyle w:val="ARBullet1"/>
      </w:pPr>
      <w:r w:rsidRPr="00F45F11">
        <w:t>spent a total of $1.94 million with Aboriginal businesses and traditional owner corporations.</w:t>
      </w:r>
    </w:p>
    <w:p w14:paraId="44E70DC1" w14:textId="0A66713F" w:rsidR="000D720E" w:rsidRPr="000D720E" w:rsidRDefault="005C5DB9" w:rsidP="000D720E">
      <w:pPr>
        <w:pStyle w:val="Heading2"/>
        <w:rPr>
          <w:rFonts w:eastAsia="Times"/>
        </w:rPr>
      </w:pPr>
      <w:bookmarkStart w:id="202" w:name="_Compliance_with_the"/>
      <w:bookmarkStart w:id="203" w:name="_Ref112752621"/>
      <w:bookmarkStart w:id="204" w:name="_Toc114491209"/>
      <w:bookmarkStart w:id="205" w:name="_Toc241131720"/>
      <w:bookmarkStart w:id="206" w:name="_Toc149587058"/>
      <w:bookmarkStart w:id="207" w:name="_Toc212039546"/>
      <w:bookmarkEnd w:id="202"/>
      <w:bookmarkEnd w:id="203"/>
      <w:bookmarkEnd w:id="204"/>
      <w:r w:rsidRPr="00F45F11">
        <w:rPr>
          <w:rFonts w:eastAsia="Times"/>
        </w:rPr>
        <w:t xml:space="preserve">Compliance with </w:t>
      </w:r>
      <w:r w:rsidRPr="002A4AAC">
        <w:t>the</w:t>
      </w:r>
      <w:r w:rsidRPr="00F45F11">
        <w:rPr>
          <w:rFonts w:eastAsia="Times"/>
        </w:rPr>
        <w:t xml:space="preserve"> Building Act</w:t>
      </w:r>
      <w:bookmarkEnd w:id="205"/>
    </w:p>
    <w:p w14:paraId="552E7984" w14:textId="77777777" w:rsidR="005C5DB9" w:rsidRPr="00F45F11" w:rsidRDefault="005C5DB9" w:rsidP="00F544BA">
      <w:pPr>
        <w:pStyle w:val="ARBody"/>
        <w:spacing w:line="250" w:lineRule="atLeast"/>
      </w:pPr>
      <w:r w:rsidRPr="00F45F11">
        <w:t xml:space="preserve">The </w:t>
      </w:r>
      <w:r w:rsidRPr="00A124D1">
        <w:rPr>
          <w:rStyle w:val="Emphasis"/>
        </w:rPr>
        <w:t xml:space="preserve">Building Act 1993 </w:t>
      </w:r>
      <w:r w:rsidRPr="00F45F11">
        <w:t>(the Act) regulates building and plumbing work, practitioners, and standards in Victoria. This includes building construction, building standards and the maintenance of specific building safety features. The Act also provides for an accreditation and permit scheme across the building and plumbing industries.</w:t>
      </w:r>
    </w:p>
    <w:p w14:paraId="55B5B5D4" w14:textId="77777777" w:rsidR="000D720E" w:rsidRDefault="005C5DB9" w:rsidP="00F544BA">
      <w:pPr>
        <w:pStyle w:val="ARBody"/>
        <w:spacing w:line="250" w:lineRule="atLeast"/>
      </w:pPr>
      <w:r w:rsidRPr="00F45F11">
        <w:t>The department complies with its obligations under the Act. We ensure those who build on our behalf also follow the Act. This ensures the health and safety of the thousands of Victorians who live and work in the department’s buildings.</w:t>
      </w:r>
    </w:p>
    <w:p w14:paraId="49137502" w14:textId="370D6420" w:rsidR="005C5DB9" w:rsidRPr="00F45F11" w:rsidRDefault="005C5DB9" w:rsidP="00F544BA">
      <w:pPr>
        <w:pStyle w:val="ARBody"/>
        <w:spacing w:line="250" w:lineRule="atLeast"/>
      </w:pPr>
      <w:r w:rsidRPr="00F45F11">
        <w:t>The department requires that all new projects and maintenance work on its land engage appropriately qualified consultants and contractors. Consultants and contractors must comply with the current state and Commonwealth building regulations, codes, and standards. All engaged consultants and contractors are expected to have appropriate mechanisms in place to ensure compliance with the building and maintenance provisions of the Act.</w:t>
      </w:r>
    </w:p>
    <w:p w14:paraId="482C1297" w14:textId="77777777" w:rsidR="000D720E" w:rsidRDefault="005C5DB9" w:rsidP="00F544BA">
      <w:pPr>
        <w:pStyle w:val="ARBody"/>
        <w:spacing w:line="250" w:lineRule="atLeast"/>
      </w:pPr>
      <w:r w:rsidRPr="00F45F11">
        <w:t>For new projects, the department assesses consultants’ and contractors’ adherence to compliance obligations. This includes the Act. The</w:t>
      </w:r>
      <w:r w:rsidR="002A4AAC">
        <w:t> </w:t>
      </w:r>
      <w:r w:rsidRPr="00F45F11">
        <w:t>department engages them using whole-of-Victorian-Government approved tendering</w:t>
      </w:r>
      <w:r w:rsidR="002A4AAC">
        <w:t> </w:t>
      </w:r>
      <w:r w:rsidRPr="00F45F11">
        <w:t xml:space="preserve">processes. </w:t>
      </w:r>
    </w:p>
    <w:p w14:paraId="67402195" w14:textId="6F0F4E11" w:rsidR="002A4AAC" w:rsidRDefault="005C5DB9" w:rsidP="005C31BC">
      <w:pPr>
        <w:pStyle w:val="ARBody"/>
        <w:spacing w:line="250" w:lineRule="atLeast"/>
      </w:pPr>
      <w:r w:rsidRPr="00F45F11">
        <w:t>The department manages these projects in line with</w:t>
      </w:r>
      <w:r w:rsidR="00CD1611">
        <w:t> </w:t>
      </w:r>
      <w:r w:rsidRPr="00F45F11">
        <w:t>a program management framework. This provides a</w:t>
      </w:r>
      <w:r w:rsidR="002A4AAC">
        <w:t> </w:t>
      </w:r>
      <w:r w:rsidRPr="00F45F11">
        <w:t>defined approach to managing projects. It ensures adherence to whole-of-government policies and</w:t>
      </w:r>
      <w:r w:rsidR="002A4AAC">
        <w:t> </w:t>
      </w:r>
      <w:r w:rsidRPr="00F45F11">
        <w:t xml:space="preserve">procedures. </w:t>
      </w:r>
    </w:p>
    <w:p w14:paraId="67B35DE9" w14:textId="167A4C3B" w:rsidR="005C5DB9" w:rsidRPr="00F45F11" w:rsidRDefault="005C5DB9" w:rsidP="005C31BC">
      <w:pPr>
        <w:pStyle w:val="ARBody"/>
        <w:spacing w:line="250" w:lineRule="atLeast"/>
      </w:pPr>
      <w:r w:rsidRPr="00F45F11">
        <w:t>In relation to existing buildings, the department is</w:t>
      </w:r>
      <w:r w:rsidR="002A4AAC">
        <w:t> </w:t>
      </w:r>
      <w:r w:rsidRPr="00F45F11">
        <w:t xml:space="preserve">responsible for the mandatory testing of all essential safety measures to comply with the requirements of </w:t>
      </w:r>
      <w:r w:rsidRPr="00A124D1">
        <w:rPr>
          <w:rStyle w:val="Emphasis"/>
        </w:rPr>
        <w:t>Australian Standard AS1851</w:t>
      </w:r>
      <w:r w:rsidRPr="00F45F11">
        <w:t xml:space="preserve"> and</w:t>
      </w:r>
      <w:r w:rsidR="002C2ED3">
        <w:t> </w:t>
      </w:r>
      <w:r w:rsidRPr="00F45F11">
        <w:t xml:space="preserve">for ensuring compliance with the </w:t>
      </w:r>
      <w:r w:rsidRPr="00A124D1">
        <w:rPr>
          <w:rStyle w:val="Emphasis"/>
        </w:rPr>
        <w:t>Residential Tenancies Regulations 2021.</w:t>
      </w:r>
      <w:r w:rsidRPr="00F45F11">
        <w:t xml:space="preserve"> This includes testing of emergency and </w:t>
      </w:r>
      <w:proofErr w:type="gramStart"/>
      <w:r w:rsidRPr="00F45F11">
        <w:t>exit</w:t>
      </w:r>
      <w:proofErr w:type="gramEnd"/>
      <w:r w:rsidRPr="00F45F11">
        <w:t xml:space="preserve"> lights, sprinklers, fire detection and other essential safety measures. The department actions responsive works through</w:t>
      </w:r>
      <w:r w:rsidR="002C2ED3">
        <w:t> </w:t>
      </w:r>
      <w:r w:rsidRPr="00F45F11">
        <w:t xml:space="preserve">existing maintenance contracts. </w:t>
      </w:r>
    </w:p>
    <w:p w14:paraId="6726926D" w14:textId="1FB6DDDE" w:rsidR="005C5DB9" w:rsidRPr="00F45F11" w:rsidRDefault="005C5DB9" w:rsidP="005C31BC">
      <w:pPr>
        <w:pStyle w:val="ARBody"/>
        <w:spacing w:line="250" w:lineRule="atLeast"/>
      </w:pPr>
      <w:r w:rsidRPr="00F45F11">
        <w:t xml:space="preserve">The department liaised with and contributed to progress and outcomes of Cladding Safety Victoria for department-owned buildings. Relevant buildings owned by the department have been audited against the risk framework developed by the Victorian Cladding Taskforce. Remediation of the final </w:t>
      </w:r>
      <w:r w:rsidR="00B30B85">
        <w:t>2</w:t>
      </w:r>
      <w:r w:rsidR="00B30B85" w:rsidRPr="00F45F11">
        <w:t xml:space="preserve"> </w:t>
      </w:r>
      <w:r w:rsidRPr="00F45F11">
        <w:t xml:space="preserve">buildings requiring cladding replacement has been completed. </w:t>
      </w:r>
    </w:p>
    <w:p w14:paraId="3F30AD0B" w14:textId="3DA32EBB" w:rsidR="004F6E1E" w:rsidRDefault="004F6E1E" w:rsidP="005C31BC">
      <w:pPr>
        <w:pStyle w:val="ARBody"/>
        <w:spacing w:line="250" w:lineRule="atLeast"/>
      </w:pPr>
      <w:r w:rsidRPr="00CC051D">
        <w:t>The department undertook 553 major works projects in 2025–26, was issued with 15</w:t>
      </w:r>
      <w:r>
        <w:t xml:space="preserve"> </w:t>
      </w:r>
      <w:r w:rsidRPr="00CC051D">
        <w:t>building-related emergency orders, secured 381</w:t>
      </w:r>
      <w:r>
        <w:t xml:space="preserve"> </w:t>
      </w:r>
      <w:r w:rsidRPr="00CC051D">
        <w:t>building permits and 296 certificates of final inspection.</w:t>
      </w:r>
    </w:p>
    <w:p w14:paraId="359B1FFD" w14:textId="77777777" w:rsidR="000D67BA" w:rsidRDefault="005C5DB9" w:rsidP="005C31BC">
      <w:pPr>
        <w:pStyle w:val="ARBody"/>
        <w:spacing w:line="250" w:lineRule="atLeast"/>
      </w:pPr>
      <w:r w:rsidRPr="00F45F11">
        <w:t>Local councils issued 15 emergency orders related</w:t>
      </w:r>
      <w:r w:rsidR="002C2ED3">
        <w:t> </w:t>
      </w:r>
      <w:r w:rsidRPr="00F45F11">
        <w:t xml:space="preserve">to building structure. </w:t>
      </w:r>
    </w:p>
    <w:p w14:paraId="3C1B6311" w14:textId="01B45048" w:rsidR="000D720E" w:rsidRDefault="00823A50" w:rsidP="000D720E">
      <w:pPr>
        <w:pStyle w:val="Heading2"/>
      </w:pPr>
      <w:bookmarkStart w:id="208" w:name="_Compliance_with_the_3"/>
      <w:bookmarkStart w:id="209" w:name="_Toc241131721"/>
      <w:bookmarkEnd w:id="208"/>
      <w:r w:rsidRPr="00D91592">
        <w:t>Compliance</w:t>
      </w:r>
      <w:r w:rsidRPr="00F45F11">
        <w:t xml:space="preserve"> with the Public Interest Disclosures Act</w:t>
      </w:r>
      <w:bookmarkEnd w:id="206"/>
      <w:bookmarkEnd w:id="207"/>
      <w:bookmarkEnd w:id="209"/>
    </w:p>
    <w:p w14:paraId="1656F67C" w14:textId="43B53A17" w:rsidR="00823A50" w:rsidRPr="00F45F11" w:rsidRDefault="00823A50" w:rsidP="005C31BC">
      <w:pPr>
        <w:pStyle w:val="ARBody"/>
        <w:spacing w:line="250" w:lineRule="atLeast"/>
      </w:pPr>
      <w:r w:rsidRPr="00F45F11">
        <w:t xml:space="preserve">The </w:t>
      </w:r>
      <w:r w:rsidRPr="00A124D1">
        <w:rPr>
          <w:rStyle w:val="Emphasis"/>
        </w:rPr>
        <w:t xml:space="preserve">Public Interest Disclosures Act 2012 </w:t>
      </w:r>
      <w:r w:rsidRPr="00F45F11">
        <w:t>encourages and assists people to make disclosures of improper conduct by public officers and public bodies. The Act provides protection to people who make disclosures in accordance with the Act. It</w:t>
      </w:r>
      <w:r w:rsidR="003B156F" w:rsidRPr="00F45F11">
        <w:t> </w:t>
      </w:r>
      <w:r w:rsidRPr="00F45F11">
        <w:t>establishes a system to investigate and rectify matters disclosed.</w:t>
      </w:r>
    </w:p>
    <w:p w14:paraId="213AA9F9" w14:textId="00FCB4D1" w:rsidR="00823A50" w:rsidRPr="00F45F11" w:rsidRDefault="00823A50" w:rsidP="005C31BC">
      <w:pPr>
        <w:pStyle w:val="ARBody"/>
        <w:spacing w:line="250" w:lineRule="atLeast"/>
      </w:pPr>
      <w:r w:rsidRPr="00F45F11">
        <w:t>The department has a strong ethical culture and expects the highest levels of integrity from its staff. We support disclosures of improper conduct. This includes corrupt conduct and conduct involving substantial mismanagement of public resources and</w:t>
      </w:r>
      <w:r w:rsidR="00611072" w:rsidRPr="00F45F11">
        <w:t> </w:t>
      </w:r>
      <w:r w:rsidRPr="00F45F11">
        <w:t>detrimental action.</w:t>
      </w:r>
    </w:p>
    <w:p w14:paraId="62976E67" w14:textId="77777777" w:rsidR="00823A50" w:rsidRDefault="00823A50" w:rsidP="005C31BC">
      <w:pPr>
        <w:pStyle w:val="ARBody"/>
        <w:spacing w:line="250" w:lineRule="atLeast"/>
      </w:pPr>
      <w:r w:rsidRPr="00F45F11">
        <w:t>The department takes all reasonable steps to protect people who make such disclosures from reprisals. We also afford natural justice to the person who is the subject of the disclosure to the extent it is legally possible.</w:t>
      </w:r>
    </w:p>
    <w:p w14:paraId="6673410E" w14:textId="76F41D54" w:rsidR="00823A50" w:rsidRPr="00F45F11" w:rsidRDefault="00823A50" w:rsidP="00591336">
      <w:pPr>
        <w:pStyle w:val="Heading3"/>
        <w:spacing w:before="0"/>
      </w:pPr>
      <w:r w:rsidRPr="00F45F11">
        <w:t>Reporting procedures</w:t>
      </w:r>
    </w:p>
    <w:p w14:paraId="6E93958B" w14:textId="77777777" w:rsidR="00823A50" w:rsidRPr="00F45F11" w:rsidRDefault="00823A50" w:rsidP="006E53AA">
      <w:pPr>
        <w:pStyle w:val="ARBody"/>
      </w:pPr>
      <w:r w:rsidRPr="00F45F11">
        <w:t>Disclosures of improper conduct or detrimental action by the department or any of our employees may be made to any of the following department personnel:</w:t>
      </w:r>
    </w:p>
    <w:p w14:paraId="2EDCDF12" w14:textId="77777777" w:rsidR="00823A50" w:rsidRPr="00F45F11" w:rsidRDefault="00823A50" w:rsidP="00F15878">
      <w:pPr>
        <w:pStyle w:val="ARBullet1"/>
      </w:pPr>
      <w:r w:rsidRPr="00F45F11">
        <w:t>the Secretary</w:t>
      </w:r>
    </w:p>
    <w:p w14:paraId="6A668CD4" w14:textId="7D788A1B" w:rsidR="00823A50" w:rsidRPr="00F45F11" w:rsidRDefault="00823A50" w:rsidP="00F15878">
      <w:pPr>
        <w:pStyle w:val="ARBullet1"/>
      </w:pPr>
      <w:r w:rsidRPr="00F45F11">
        <w:t>public interest disclosure coordinators (as listed on the intranet)</w:t>
      </w:r>
    </w:p>
    <w:p w14:paraId="7B35924E" w14:textId="77777777" w:rsidR="00823A50" w:rsidRPr="00F45F11" w:rsidRDefault="00823A50" w:rsidP="00F15878">
      <w:pPr>
        <w:pStyle w:val="ARBullet1"/>
      </w:pPr>
      <w:r w:rsidRPr="00F45F11">
        <w:t>manager or supervisor of the discloser</w:t>
      </w:r>
    </w:p>
    <w:p w14:paraId="513AACC0" w14:textId="70209530" w:rsidR="00823A50" w:rsidRPr="00F45F11" w:rsidRDefault="00823A50" w:rsidP="00F15878">
      <w:pPr>
        <w:pStyle w:val="ARBullet1"/>
      </w:pPr>
      <w:r w:rsidRPr="00F45F11">
        <w:t>manager or supervisor of the person who</w:t>
      </w:r>
      <w:r w:rsidR="00CD1611">
        <w:t> </w:t>
      </w:r>
      <w:r w:rsidRPr="00F45F11">
        <w:t>is the subject of the disclosure</w:t>
      </w:r>
    </w:p>
    <w:p w14:paraId="530229AD" w14:textId="77777777" w:rsidR="00823A50" w:rsidRPr="00F45F11" w:rsidRDefault="00823A50" w:rsidP="00F15878">
      <w:pPr>
        <w:pStyle w:val="ARBullet1"/>
      </w:pPr>
      <w:r w:rsidRPr="00F45F11">
        <w:t>a person acting in any of the above roles.</w:t>
      </w:r>
    </w:p>
    <w:p w14:paraId="70FD0135" w14:textId="77777777" w:rsidR="000D720E" w:rsidRDefault="000D720E">
      <w:pPr>
        <w:spacing w:after="0" w:line="240" w:lineRule="auto"/>
        <w:rPr>
          <w:rFonts w:eastAsia="Times"/>
          <w:sz w:val="20"/>
        </w:rPr>
      </w:pPr>
      <w:r>
        <w:br w:type="page"/>
      </w:r>
    </w:p>
    <w:p w14:paraId="1505A938" w14:textId="1457379B" w:rsidR="00823A50" w:rsidRPr="00F45F11" w:rsidRDefault="00823A50" w:rsidP="00611072">
      <w:pPr>
        <w:pStyle w:val="ARBodyafterbullets"/>
      </w:pPr>
      <w:r w:rsidRPr="00F45F11">
        <w:t>Alternatively, disclosures can be made directly to the Independent Broad-based Anti-Corruption Commission (IBAC):</w:t>
      </w:r>
    </w:p>
    <w:p w14:paraId="153974E1" w14:textId="77777777" w:rsidR="00823A50" w:rsidRPr="00F45F11" w:rsidRDefault="00823A50" w:rsidP="00BD3A5A">
      <w:pPr>
        <w:pStyle w:val="ARBodynospace"/>
      </w:pPr>
      <w:r w:rsidRPr="00F45F11">
        <w:t>Level 1, North Tower, 459 Collins Street</w:t>
      </w:r>
    </w:p>
    <w:p w14:paraId="5845A3AB" w14:textId="77777777" w:rsidR="00823A50" w:rsidRPr="00F45F11" w:rsidRDefault="00823A50" w:rsidP="00BD3A5A">
      <w:pPr>
        <w:pStyle w:val="ARBodynospace"/>
      </w:pPr>
      <w:r w:rsidRPr="00F45F11">
        <w:t>Melbourne VIC 3000</w:t>
      </w:r>
    </w:p>
    <w:p w14:paraId="02A4BF5A" w14:textId="77777777" w:rsidR="00823A50" w:rsidRPr="00F45F11" w:rsidRDefault="00823A50" w:rsidP="00BD3A5A">
      <w:pPr>
        <w:pStyle w:val="ARBodynospace"/>
      </w:pPr>
      <w:r w:rsidRPr="00F45F11">
        <w:t>Phone: 1300 735 135</w:t>
      </w:r>
    </w:p>
    <w:p w14:paraId="054D8636" w14:textId="14CBBD13" w:rsidR="00823A50" w:rsidRPr="00F45F11" w:rsidRDefault="00823A50" w:rsidP="00BD3A5A">
      <w:pPr>
        <w:pStyle w:val="ARBody"/>
      </w:pPr>
      <w:hyperlink r:id="rId75" w:history="1">
        <w:r w:rsidRPr="00F45F11">
          <w:rPr>
            <w:rStyle w:val="Hyperlink"/>
          </w:rPr>
          <w:t>IBAC website</w:t>
        </w:r>
      </w:hyperlink>
      <w:r w:rsidRPr="00F45F11">
        <w:rPr>
          <w:rStyle w:val="FootnoteReference"/>
        </w:rPr>
        <w:footnoteReference w:id="21"/>
      </w:r>
      <w:r w:rsidRPr="00F45F11">
        <w:t xml:space="preserve"> </w:t>
      </w:r>
    </w:p>
    <w:p w14:paraId="0A228709" w14:textId="61227CDA" w:rsidR="00823A50" w:rsidRPr="00F45F11" w:rsidRDefault="00823A50" w:rsidP="00102A55">
      <w:pPr>
        <w:pStyle w:val="Heading4"/>
        <w:spacing w:before="0"/>
      </w:pPr>
      <w:r w:rsidRPr="00F45F11">
        <w:t>Further information</w:t>
      </w:r>
    </w:p>
    <w:p w14:paraId="69A31E54" w14:textId="77777777" w:rsidR="00823A50" w:rsidRPr="00F45F11" w:rsidRDefault="00823A50" w:rsidP="006E53AA">
      <w:pPr>
        <w:pStyle w:val="ARBody"/>
      </w:pPr>
      <w:r w:rsidRPr="00F45F11">
        <w:t>The department’s public interest disclosures procedures outline the system for reporting disclosures. Access the procedures:</w:t>
      </w:r>
    </w:p>
    <w:p w14:paraId="31CF64B2" w14:textId="77777777" w:rsidR="00823A50" w:rsidRPr="00F45F11" w:rsidRDefault="00823A50" w:rsidP="00F15878">
      <w:pPr>
        <w:pStyle w:val="ARBullet1"/>
      </w:pPr>
      <w:r w:rsidRPr="00F45F11">
        <w:t xml:space="preserve">on the department’s </w:t>
      </w:r>
      <w:hyperlink r:id="rId76" w:history="1">
        <w:r w:rsidRPr="00F45F11">
          <w:rPr>
            <w:rStyle w:val="Hyperlink"/>
          </w:rPr>
          <w:t>public interest disclosures webpage</w:t>
        </w:r>
      </w:hyperlink>
      <w:r w:rsidRPr="00F45F11">
        <w:rPr>
          <w:rStyle w:val="FootnoteReference"/>
        </w:rPr>
        <w:footnoteReference w:id="22"/>
      </w:r>
      <w:r w:rsidRPr="00F45F11">
        <w:t xml:space="preserve"> </w:t>
      </w:r>
    </w:p>
    <w:p w14:paraId="7C56CDFD" w14:textId="7D1129AB" w:rsidR="00823A50" w:rsidRPr="00F45F11" w:rsidRDefault="00823A50" w:rsidP="00F15878">
      <w:pPr>
        <w:pStyle w:val="ARBullet1"/>
        <w:rPr>
          <w:lang w:eastAsia="en-AU"/>
        </w:rPr>
      </w:pPr>
      <w:r w:rsidRPr="00F45F11">
        <w:t xml:space="preserve">by emailing </w:t>
      </w:r>
      <w:hyperlink r:id="rId77" w:history="1">
        <w:r w:rsidRPr="00F45F11">
          <w:rPr>
            <w:rStyle w:val="Hyperlink"/>
          </w:rPr>
          <w:t>public.interest.disclosures@dffh.vic.gov.au</w:t>
        </w:r>
      </w:hyperlink>
      <w:r w:rsidR="00F95754" w:rsidRPr="00F45F11">
        <w:rPr>
          <w:rStyle w:val="FootnoteReference"/>
        </w:rPr>
        <w:footnoteReference w:id="23"/>
      </w:r>
    </w:p>
    <w:p w14:paraId="4CE5900C" w14:textId="77777777" w:rsidR="000D720E" w:rsidRDefault="00823A50" w:rsidP="00F15878">
      <w:pPr>
        <w:pStyle w:val="ARBullet1"/>
      </w:pPr>
      <w:r w:rsidRPr="00F45F11">
        <w:t>by telephoning our integrity phoneline on 1300</w:t>
      </w:r>
      <w:r w:rsidR="00CD1611">
        <w:t> </w:t>
      </w:r>
      <w:r w:rsidRPr="00F45F11">
        <w:t>131 431 (option 1).</w:t>
      </w:r>
    </w:p>
    <w:p w14:paraId="30A7457F" w14:textId="77777777" w:rsidR="00823A50" w:rsidRPr="00F45F11" w:rsidRDefault="00823A50" w:rsidP="000D720E">
      <w:pPr>
        <w:pStyle w:val="Heading3"/>
      </w:pPr>
      <w:bookmarkStart w:id="210" w:name="_Disclosures_under_the"/>
      <w:bookmarkStart w:id="211" w:name="_Ref178241128"/>
      <w:bookmarkStart w:id="212" w:name="Publicinterest121"/>
      <w:bookmarkEnd w:id="210"/>
      <w:r w:rsidRPr="00F45F11">
        <w:t>Disclosures under the Public Interest Disclosures Act</w:t>
      </w:r>
      <w:bookmarkEnd w:id="211"/>
      <w:bookmarkEnd w:id="212"/>
    </w:p>
    <w:p w14:paraId="1C21D622" w14:textId="77777777" w:rsidR="00823A50" w:rsidRPr="00F45F11" w:rsidRDefault="00823A50">
      <w:pPr>
        <w:pStyle w:val="ARbodybeforetable"/>
        <w:rPr>
          <w:bCs/>
        </w:rPr>
      </w:pPr>
      <w:r w:rsidRPr="00F45F11">
        <w:t>The number of disclosures made by an individual to the department and notified to IBAC are:</w:t>
      </w:r>
    </w:p>
    <w:tbl>
      <w:tblPr>
        <w:tblW w:w="5000" w:type="pct"/>
        <w:jc w:val="center"/>
        <w:tblBorders>
          <w:bottom w:val="single" w:sz="4" w:space="0" w:color="auto"/>
          <w:insideH w:val="single" w:sz="4" w:space="0" w:color="auto"/>
        </w:tblBorders>
        <w:tblCellMar>
          <w:left w:w="0" w:type="dxa"/>
        </w:tblCellMar>
        <w:tblLook w:val="0620" w:firstRow="1" w:lastRow="0" w:firstColumn="0" w:lastColumn="0" w:noHBand="1" w:noVBand="1"/>
      </w:tblPr>
      <w:tblGrid>
        <w:gridCol w:w="3210"/>
        <w:gridCol w:w="3211"/>
        <w:gridCol w:w="3211"/>
      </w:tblGrid>
      <w:tr w:rsidR="00823A50" w:rsidRPr="00F45F11" w14:paraId="152A5DBD" w14:textId="77777777">
        <w:trPr>
          <w:cantSplit/>
          <w:tblHeader/>
          <w:jc w:val="center"/>
        </w:trPr>
        <w:tc>
          <w:tcPr>
            <w:tcW w:w="1666" w:type="pct"/>
            <w:vAlign w:val="bottom"/>
          </w:tcPr>
          <w:p w14:paraId="59208448" w14:textId="77777777" w:rsidR="00823A50" w:rsidRPr="00F45F11" w:rsidRDefault="00823A50" w:rsidP="00AD115B">
            <w:pPr>
              <w:pStyle w:val="ARtablecolheadcentre"/>
            </w:pPr>
            <w:r w:rsidRPr="00F45F11">
              <w:t>2023–24</w:t>
            </w:r>
          </w:p>
        </w:tc>
        <w:tc>
          <w:tcPr>
            <w:tcW w:w="1667" w:type="pct"/>
            <w:shd w:val="clear" w:color="auto" w:fill="E7E6E6" w:themeFill="background2"/>
            <w:vAlign w:val="bottom"/>
          </w:tcPr>
          <w:p w14:paraId="4F7FA542" w14:textId="77777777" w:rsidR="00823A50" w:rsidRPr="00F45F11" w:rsidRDefault="00823A50" w:rsidP="00AD115B">
            <w:pPr>
              <w:pStyle w:val="ARtablecolheadcentre"/>
            </w:pPr>
            <w:r w:rsidRPr="00F45F11">
              <w:t>2024–25</w:t>
            </w:r>
          </w:p>
        </w:tc>
        <w:tc>
          <w:tcPr>
            <w:tcW w:w="1667" w:type="pct"/>
            <w:vAlign w:val="bottom"/>
          </w:tcPr>
          <w:p w14:paraId="6EF3AC6A" w14:textId="77777777" w:rsidR="00823A50" w:rsidRPr="00F45F11" w:rsidRDefault="00823A50" w:rsidP="00AD115B">
            <w:pPr>
              <w:pStyle w:val="ARtablecolheadcentre"/>
            </w:pPr>
            <w:r w:rsidRPr="00F45F11">
              <w:t>2025–26</w:t>
            </w:r>
          </w:p>
        </w:tc>
      </w:tr>
      <w:tr w:rsidR="00823A50" w:rsidRPr="00F45F11" w14:paraId="66348BE4" w14:textId="77777777">
        <w:trPr>
          <w:cantSplit/>
          <w:jc w:val="center"/>
        </w:trPr>
        <w:tc>
          <w:tcPr>
            <w:tcW w:w="1666" w:type="pct"/>
            <w:vAlign w:val="center"/>
          </w:tcPr>
          <w:p w14:paraId="155ADFA0" w14:textId="77777777" w:rsidR="00823A50" w:rsidRPr="00F45F11" w:rsidRDefault="00823A50" w:rsidP="00AD115B">
            <w:pPr>
              <w:pStyle w:val="ARtabletextcentre"/>
            </w:pPr>
            <w:r w:rsidRPr="00F45F11">
              <w:t>2</w:t>
            </w:r>
          </w:p>
        </w:tc>
        <w:tc>
          <w:tcPr>
            <w:tcW w:w="1667" w:type="pct"/>
            <w:shd w:val="clear" w:color="auto" w:fill="E7E6E6" w:themeFill="background2"/>
            <w:vAlign w:val="center"/>
          </w:tcPr>
          <w:p w14:paraId="5A41A6EF" w14:textId="77777777" w:rsidR="00823A50" w:rsidRPr="00F45F11" w:rsidRDefault="00823A50" w:rsidP="00AD115B">
            <w:pPr>
              <w:pStyle w:val="ARtabletextcentre"/>
            </w:pPr>
            <w:r w:rsidRPr="00F45F11">
              <w:t>0</w:t>
            </w:r>
          </w:p>
        </w:tc>
        <w:tc>
          <w:tcPr>
            <w:tcW w:w="1667" w:type="pct"/>
            <w:vAlign w:val="center"/>
          </w:tcPr>
          <w:p w14:paraId="23AE064D" w14:textId="77777777" w:rsidR="00823A50" w:rsidRPr="00F45F11" w:rsidRDefault="00823A50" w:rsidP="00AD115B">
            <w:pPr>
              <w:pStyle w:val="ARtabletextcentre"/>
            </w:pPr>
            <w:r w:rsidRPr="00F45F11">
              <w:t>2</w:t>
            </w:r>
          </w:p>
        </w:tc>
      </w:tr>
    </w:tbl>
    <w:p w14:paraId="08E79474" w14:textId="537566B2" w:rsidR="00823A50" w:rsidRPr="00F45F11" w:rsidRDefault="00823A50" w:rsidP="000D720E">
      <w:pPr>
        <w:pStyle w:val="ARBodyaftertablefigure"/>
        <w:rPr>
          <w:highlight w:val="green"/>
        </w:rPr>
      </w:pPr>
      <w:r w:rsidRPr="00F45F11">
        <w:t>In addition to the 2 public interest disclosures the department received during the 2025–26 reporting period, the department also received other reports</w:t>
      </w:r>
      <w:r w:rsidR="00CD1611">
        <w:t> </w:t>
      </w:r>
      <w:r w:rsidRPr="00F45F11">
        <w:t xml:space="preserve">of wrongdoing from individuals including department staff members. For various reasons, these individuals did not elect to make a formal public interest disclosure. The department took action to address the concerns raised. This included referral to IBAC where appropriate. </w:t>
      </w:r>
      <w:bookmarkStart w:id="213" w:name="_Compliance_with_the_1"/>
      <w:bookmarkEnd w:id="213"/>
    </w:p>
    <w:p w14:paraId="31171422" w14:textId="77777777" w:rsidR="002A4AAC" w:rsidRDefault="009E24D2" w:rsidP="000D720E">
      <w:pPr>
        <w:pStyle w:val="Heading2"/>
        <w:rPr>
          <w:rFonts w:eastAsia="Times"/>
        </w:rPr>
      </w:pPr>
      <w:bookmarkStart w:id="214" w:name="_Compliance_with_the_4"/>
      <w:bookmarkStart w:id="215" w:name="_Ref112752959"/>
      <w:bookmarkStart w:id="216" w:name="_Toc114491210"/>
      <w:bookmarkStart w:id="217" w:name="_Toc149587059"/>
      <w:bookmarkStart w:id="218" w:name="_Toc212039547"/>
      <w:bookmarkStart w:id="219" w:name="_Toc241131722"/>
      <w:bookmarkStart w:id="220" w:name="_Toc114491211"/>
      <w:bookmarkStart w:id="221" w:name="_Toc149587060"/>
      <w:bookmarkStart w:id="222" w:name="_Toc212039548"/>
      <w:bookmarkEnd w:id="214"/>
      <w:r w:rsidRPr="000D720E">
        <w:t>Compliance</w:t>
      </w:r>
      <w:r w:rsidRPr="00F45F11">
        <w:rPr>
          <w:rFonts w:eastAsia="Times"/>
        </w:rPr>
        <w:t xml:space="preserve"> with the Carers Recognition Act</w:t>
      </w:r>
      <w:bookmarkEnd w:id="215"/>
      <w:bookmarkEnd w:id="216"/>
      <w:bookmarkEnd w:id="217"/>
      <w:bookmarkEnd w:id="218"/>
      <w:bookmarkEnd w:id="219"/>
    </w:p>
    <w:p w14:paraId="6C61E05D" w14:textId="30D4307D" w:rsidR="009E24D2" w:rsidRPr="00F45F11" w:rsidRDefault="009E24D2" w:rsidP="009E24D2">
      <w:pPr>
        <w:pStyle w:val="ARBody"/>
      </w:pPr>
      <w:r w:rsidRPr="00F45F11">
        <w:t>The department has taken all practical measures to</w:t>
      </w:r>
      <w:r w:rsidR="00CD1611">
        <w:t> </w:t>
      </w:r>
      <w:r w:rsidRPr="00F45F11">
        <w:t xml:space="preserve">comply with our obligations under the </w:t>
      </w:r>
      <w:r w:rsidRPr="00A124D1">
        <w:rPr>
          <w:rStyle w:val="Emphasis"/>
        </w:rPr>
        <w:t>Carers Recognition Act 2012 (</w:t>
      </w:r>
      <w:r w:rsidRPr="00F45F11">
        <w:rPr>
          <w:iCs/>
        </w:rPr>
        <w:t>the Act)</w:t>
      </w:r>
      <w:r w:rsidRPr="00F45F11">
        <w:t>. These include promoting the principles of the Act to people in care relationships who receive the department’s services and to the wider community. We do this by:</w:t>
      </w:r>
    </w:p>
    <w:p w14:paraId="01E951F1" w14:textId="77777777" w:rsidR="009E24D2" w:rsidRPr="00F45F11" w:rsidRDefault="009E24D2" w:rsidP="009E24D2">
      <w:pPr>
        <w:pStyle w:val="ARBullet1"/>
      </w:pPr>
      <w:r w:rsidRPr="00F45F11">
        <w:t xml:space="preserve">providing access to information and resource materials on the department’s website </w:t>
      </w:r>
    </w:p>
    <w:p w14:paraId="6EF92B4B" w14:textId="77777777" w:rsidR="009E24D2" w:rsidRPr="00F45F11" w:rsidRDefault="009E24D2" w:rsidP="009E24D2">
      <w:pPr>
        <w:pStyle w:val="ARBullet1"/>
      </w:pPr>
      <w:r w:rsidRPr="00F45F11">
        <w:t>supporting departmental staff to have an awareness and understanding of the care relationship principles set out in the Act</w:t>
      </w:r>
    </w:p>
    <w:p w14:paraId="67FEC48C" w14:textId="54602A36" w:rsidR="009E24D2" w:rsidRPr="00F45F11" w:rsidRDefault="009E24D2" w:rsidP="009E24D2">
      <w:pPr>
        <w:pStyle w:val="ARBullet1"/>
      </w:pPr>
      <w:r w:rsidRPr="00F45F11">
        <w:t>ensuring departmental employment policies on</w:t>
      </w:r>
      <w:r w:rsidR="00C76F63" w:rsidRPr="00F45F11">
        <w:t> </w:t>
      </w:r>
      <w:r w:rsidRPr="00F45F11">
        <w:t>personal/carer leave and flexible working arrangements comply with the Act</w:t>
      </w:r>
    </w:p>
    <w:p w14:paraId="33C719C8" w14:textId="77777777" w:rsidR="009E24D2" w:rsidRPr="00F45F11" w:rsidRDefault="009E24D2" w:rsidP="009E24D2">
      <w:pPr>
        <w:pStyle w:val="ARBullet1"/>
      </w:pPr>
      <w:r w:rsidRPr="00F45F11">
        <w:t>considering the care relationships principles set out in the Act when setting policies, delivering grants programs and providing services</w:t>
      </w:r>
    </w:p>
    <w:p w14:paraId="7834EF36" w14:textId="237B703C" w:rsidR="009E24D2" w:rsidRPr="00F45F11" w:rsidRDefault="009E24D2" w:rsidP="009E24D2">
      <w:pPr>
        <w:pStyle w:val="ARBullet1"/>
      </w:pPr>
      <w:r w:rsidRPr="00F45F11">
        <w:t>supporting carers’ awareness and understanding of the care relationship principles</w:t>
      </w:r>
      <w:r w:rsidR="00C76F63" w:rsidRPr="00F45F11">
        <w:t> </w:t>
      </w:r>
      <w:r w:rsidRPr="00F45F11">
        <w:t xml:space="preserve">set out in the Act </w:t>
      </w:r>
    </w:p>
    <w:p w14:paraId="21C9D77D" w14:textId="77777777" w:rsidR="009E24D2" w:rsidRPr="00F45F11" w:rsidRDefault="009E24D2" w:rsidP="009E24D2">
      <w:pPr>
        <w:pStyle w:val="ARBullet1"/>
      </w:pPr>
      <w:r w:rsidRPr="00F45F11">
        <w:t xml:space="preserve">providing opportunities for carers from all identities, ages and circumstances to provide lived and living experience feedback </w:t>
      </w:r>
    </w:p>
    <w:p w14:paraId="575CAD67" w14:textId="30B42820" w:rsidR="009E24D2" w:rsidRPr="00F45F11" w:rsidRDefault="009E24D2" w:rsidP="009E24D2">
      <w:pPr>
        <w:pStyle w:val="ARBullet1"/>
      </w:pPr>
      <w:r w:rsidRPr="00F45F11">
        <w:t>providing opportunities for input on improving policies, processes, systems and services to</w:t>
      </w:r>
      <w:r w:rsidR="00C76F63" w:rsidRPr="00F45F11">
        <w:t> </w:t>
      </w:r>
      <w:r w:rsidRPr="00F45F11">
        <w:t xml:space="preserve">better support them, including the Victorian Carer Card and </w:t>
      </w:r>
      <w:r w:rsidRPr="00A124D1">
        <w:rPr>
          <w:rStyle w:val="Emphasis"/>
        </w:rPr>
        <w:t>Victorian Carer Strategy 2025–35.</w:t>
      </w:r>
    </w:p>
    <w:p w14:paraId="19751DD7" w14:textId="1F4F3886" w:rsidR="009E24D2" w:rsidRPr="00F45F11" w:rsidRDefault="009E24D2" w:rsidP="009E24D2">
      <w:pPr>
        <w:pStyle w:val="ARBodyafterbullets"/>
      </w:pPr>
      <w:r w:rsidRPr="00F45F11">
        <w:t xml:space="preserve">In 2025–26, the department launched the </w:t>
      </w:r>
      <w:r w:rsidRPr="00A124D1">
        <w:rPr>
          <w:rStyle w:val="Emphasis"/>
        </w:rPr>
        <w:t>Victorian Carer Strategy 2025–</w:t>
      </w:r>
      <w:r w:rsidR="00BD7A88" w:rsidRPr="00A124D1">
        <w:rPr>
          <w:rStyle w:val="Emphasis"/>
        </w:rPr>
        <w:t>20</w:t>
      </w:r>
      <w:r w:rsidRPr="00A124D1">
        <w:rPr>
          <w:rStyle w:val="Emphasis"/>
        </w:rPr>
        <w:t>35</w:t>
      </w:r>
      <w:r w:rsidRPr="00F45F11">
        <w:t xml:space="preserve">. The refreshed strategy focuses on four key areas to help guide how we support carers: </w:t>
      </w:r>
    </w:p>
    <w:p w14:paraId="3D067747" w14:textId="77777777" w:rsidR="009E24D2" w:rsidRPr="00F45F11" w:rsidRDefault="009E24D2" w:rsidP="009E24D2">
      <w:pPr>
        <w:pStyle w:val="ARBullet1"/>
      </w:pPr>
      <w:r w:rsidRPr="00F45F11">
        <w:t xml:space="preserve">awareness, recognition and respect </w:t>
      </w:r>
    </w:p>
    <w:p w14:paraId="3C1AC525" w14:textId="0A741903" w:rsidR="009E24D2" w:rsidRPr="00F45F11" w:rsidRDefault="009E24D2" w:rsidP="009E24D2">
      <w:pPr>
        <w:pStyle w:val="ARBullet1"/>
      </w:pPr>
      <w:r w:rsidRPr="00F45F11">
        <w:t>quality services in the right place, at the right</w:t>
      </w:r>
      <w:r w:rsidR="00C76F63" w:rsidRPr="00F45F11">
        <w:t> </w:t>
      </w:r>
      <w:r w:rsidRPr="00F45F11">
        <w:t xml:space="preserve">time </w:t>
      </w:r>
    </w:p>
    <w:p w14:paraId="6A09FAEC" w14:textId="77777777" w:rsidR="009E24D2" w:rsidRPr="00F45F11" w:rsidRDefault="009E24D2" w:rsidP="009E24D2">
      <w:pPr>
        <w:pStyle w:val="ARBullet1"/>
      </w:pPr>
      <w:r w:rsidRPr="00F45F11">
        <w:t xml:space="preserve">participation, connection and opportunity </w:t>
      </w:r>
    </w:p>
    <w:p w14:paraId="1BEC31D0" w14:textId="75D2BECE" w:rsidR="009E24D2" w:rsidRPr="00F45F11" w:rsidRDefault="009E24D2" w:rsidP="009E24D2">
      <w:pPr>
        <w:pStyle w:val="ARBullet1"/>
      </w:pPr>
      <w:r w:rsidRPr="00F45F11">
        <w:t>recognition and support for First Nations care</w:t>
      </w:r>
      <w:r w:rsidR="00C76F63" w:rsidRPr="00F45F11">
        <w:t> </w:t>
      </w:r>
      <w:r w:rsidRPr="00F45F11">
        <w:t>relationships.</w:t>
      </w:r>
    </w:p>
    <w:p w14:paraId="4F3FB8A0" w14:textId="77777777" w:rsidR="009E24D2" w:rsidRPr="00F45F11" w:rsidRDefault="009E24D2" w:rsidP="009E24D2">
      <w:pPr>
        <w:pStyle w:val="ARBodyafterbullets"/>
      </w:pPr>
      <w:r w:rsidRPr="00F45F11">
        <w:t xml:space="preserve">The goal of the strategy is to improve carer health and wellbeing. </w:t>
      </w:r>
    </w:p>
    <w:p w14:paraId="5A9AB794" w14:textId="20FA2A1E" w:rsidR="009E24D2" w:rsidRPr="00F45F11" w:rsidRDefault="009E24D2" w:rsidP="009E24D2">
      <w:pPr>
        <w:pStyle w:val="ARBodyafterbullets"/>
      </w:pPr>
      <w:r w:rsidRPr="00F45F11">
        <w:t>The department’s actions in 2025–26 to deliver and support these priorities included:</w:t>
      </w:r>
    </w:p>
    <w:p w14:paraId="7C81805A" w14:textId="7152F577" w:rsidR="009E24D2" w:rsidRPr="00F45F11" w:rsidRDefault="009E24D2" w:rsidP="009E24D2">
      <w:pPr>
        <w:pStyle w:val="ARBullet1"/>
      </w:pPr>
      <w:r w:rsidRPr="00F45F11">
        <w:t>delivering flexible tailored supports through the</w:t>
      </w:r>
      <w:r w:rsidR="00CD1611">
        <w:t> </w:t>
      </w:r>
      <w:r w:rsidRPr="00F45F11">
        <w:t>Victorian Support for Carers Program and Additional Respite for Carers. This included funding for 3 Aboriginal Community Controlled Organisations delivering self-determined supports for First Nations carers and families These programs meet the needs of thousands of Victorian carers from diverse identities, ages and circumstances, including regional and rural carers</w:t>
      </w:r>
    </w:p>
    <w:p w14:paraId="0F2609DD" w14:textId="0C319AAA" w:rsidR="009E24D2" w:rsidRPr="00F45F11" w:rsidRDefault="009E24D2" w:rsidP="009E24D2">
      <w:pPr>
        <w:pStyle w:val="ARBullet1"/>
      </w:pPr>
      <w:r w:rsidRPr="00F45F11">
        <w:t>funding a third round of the Connecting Carers</w:t>
      </w:r>
      <w:r w:rsidR="00CD1611">
        <w:t> </w:t>
      </w:r>
      <w:r w:rsidRPr="00F45F11">
        <w:t>in their Community grants program, administered by Carers Victoria and the Victorian Aboriginal Community Controlled Health Organisation. The program provided 34</w:t>
      </w:r>
      <w:r w:rsidR="00C76F63" w:rsidRPr="00F45F11">
        <w:t> </w:t>
      </w:r>
      <w:r w:rsidRPr="00F45F11">
        <w:t>grants to increase local support for carers</w:t>
      </w:r>
    </w:p>
    <w:p w14:paraId="41551EDA" w14:textId="0CB485B2" w:rsidR="009E24D2" w:rsidRPr="00F45F11" w:rsidRDefault="009E24D2" w:rsidP="009E24D2">
      <w:pPr>
        <w:pStyle w:val="ARBullet1"/>
      </w:pPr>
      <w:r w:rsidRPr="00F45F11">
        <w:t>launching proof of eligibility changes to make it</w:t>
      </w:r>
      <w:r w:rsidR="00C76F63" w:rsidRPr="00F45F11">
        <w:t> </w:t>
      </w:r>
      <w:r w:rsidRPr="00F45F11">
        <w:t>easier for all carers, particularly young, foster and kinship carers to apply for a Victorian Carer</w:t>
      </w:r>
      <w:r w:rsidR="00C76F63" w:rsidRPr="00F45F11">
        <w:t> </w:t>
      </w:r>
      <w:r w:rsidRPr="00F45F11">
        <w:t>Card</w:t>
      </w:r>
    </w:p>
    <w:p w14:paraId="798D7A8B" w14:textId="0F6E1FDA" w:rsidR="009E24D2" w:rsidRPr="00F45F11" w:rsidRDefault="009E24D2" w:rsidP="009E24D2">
      <w:pPr>
        <w:pStyle w:val="ARBullet1"/>
      </w:pPr>
      <w:r w:rsidRPr="00F45F11">
        <w:t>refreshing the Victorian Carer Card website to</w:t>
      </w:r>
      <w:r w:rsidR="00C76F63" w:rsidRPr="00F45F11">
        <w:t> </w:t>
      </w:r>
      <w:r w:rsidRPr="00F45F11">
        <w:t>make it easier for carers to find information on</w:t>
      </w:r>
      <w:r w:rsidR="00C76F63" w:rsidRPr="00F45F11">
        <w:t> </w:t>
      </w:r>
      <w:r w:rsidRPr="00F45F11">
        <w:t>who is eligible, how to apply, discounts and benefits and support and services available to</w:t>
      </w:r>
      <w:r w:rsidR="00C76F63" w:rsidRPr="00F45F11">
        <w:t> </w:t>
      </w:r>
      <w:r w:rsidRPr="00F45F11">
        <w:t>unpaid primary carers</w:t>
      </w:r>
    </w:p>
    <w:p w14:paraId="43A30F2C" w14:textId="044E9E7E" w:rsidR="009E24D2" w:rsidRDefault="009E24D2" w:rsidP="009E24D2">
      <w:pPr>
        <w:pStyle w:val="ARBullet1"/>
      </w:pPr>
      <w:r w:rsidRPr="00F45F11">
        <w:t>partnering with the Department of Transport and</w:t>
      </w:r>
      <w:r w:rsidR="00C76F63" w:rsidRPr="00F45F11">
        <w:t> </w:t>
      </w:r>
      <w:r w:rsidRPr="00F45F11">
        <w:t>Planning, to extend free weekend public transport to all Victorian Carer Card holders using a Carers myki from 1 January 2026</w:t>
      </w:r>
    </w:p>
    <w:p w14:paraId="6189DB61" w14:textId="77777777" w:rsidR="009E24D2" w:rsidRPr="00F45F11" w:rsidRDefault="009E24D2" w:rsidP="009E24D2">
      <w:pPr>
        <w:pStyle w:val="ARBullet1"/>
      </w:pPr>
      <w:r w:rsidRPr="00F45F11">
        <w:t>funding peak body Carers Victoria to provide carers with support. This includes system navigation and linkage to services. Carers Victoria also delivers education and training for the sector and provides government with advice, research and insights to better understand and meet carers’ needs</w:t>
      </w:r>
    </w:p>
    <w:p w14:paraId="56AA8F91" w14:textId="715911ED" w:rsidR="002A4AAC" w:rsidRDefault="009E24D2" w:rsidP="007974FA">
      <w:pPr>
        <w:pStyle w:val="ARBullet1"/>
      </w:pPr>
      <w:r w:rsidRPr="00F45F11">
        <w:t>working in partnership across the Victorian Government, local and federal government, with sector partners, carers and the community to respond to the needs of Victorian carers. This</w:t>
      </w:r>
      <w:r w:rsidR="00C76F63" w:rsidRPr="00F45F11">
        <w:t> </w:t>
      </w:r>
      <w:r w:rsidRPr="00F45F11">
        <w:t xml:space="preserve">includes collaborating with the Commonwealth Government on opportunities for alignment with the </w:t>
      </w:r>
      <w:r w:rsidRPr="00A124D1">
        <w:rPr>
          <w:rStyle w:val="Emphasis"/>
        </w:rPr>
        <w:t>National Carer Strategy 2024–2034</w:t>
      </w:r>
      <w:r w:rsidRPr="00F45F11">
        <w:t>.</w:t>
      </w:r>
    </w:p>
    <w:p w14:paraId="1B3C71CB" w14:textId="77777777" w:rsidR="00F95754" w:rsidRDefault="00823A50" w:rsidP="00F95754">
      <w:pPr>
        <w:pStyle w:val="Heading2"/>
      </w:pPr>
      <w:bookmarkStart w:id="223" w:name="_Compliance_with_the_5"/>
      <w:bookmarkStart w:id="224" w:name="_Toc241131723"/>
      <w:bookmarkEnd w:id="223"/>
      <w:r w:rsidRPr="00F45F11">
        <w:t xml:space="preserve">Compliance with the </w:t>
      </w:r>
      <w:bookmarkStart w:id="225" w:name="_Ref21960035"/>
      <w:bookmarkStart w:id="226" w:name="_Ref52279042"/>
      <w:bookmarkStart w:id="227" w:name="_Toc54690795"/>
      <w:bookmarkStart w:id="228" w:name="_Toc82006213"/>
      <w:bookmarkStart w:id="229" w:name="_Ref85117905"/>
      <w:r w:rsidRPr="00F45F11">
        <w:t>Disability Act</w:t>
      </w:r>
      <w:bookmarkEnd w:id="224"/>
      <w:bookmarkEnd w:id="225"/>
      <w:bookmarkEnd w:id="226"/>
      <w:bookmarkEnd w:id="227"/>
      <w:bookmarkEnd w:id="228"/>
      <w:bookmarkEnd w:id="229"/>
      <w:r w:rsidRPr="00F45F11">
        <w:t xml:space="preserve"> </w:t>
      </w:r>
      <w:bookmarkEnd w:id="220"/>
      <w:bookmarkEnd w:id="221"/>
      <w:bookmarkEnd w:id="222"/>
    </w:p>
    <w:p w14:paraId="7AEBFEA9" w14:textId="77777777" w:rsidR="00823A50" w:rsidRPr="00F45F11" w:rsidRDefault="00823A50" w:rsidP="00F95754">
      <w:pPr>
        <w:pStyle w:val="ARBody"/>
      </w:pPr>
      <w:r w:rsidRPr="00F45F11">
        <w:t xml:space="preserve">The </w:t>
      </w:r>
      <w:r w:rsidRPr="00A124D1">
        <w:rPr>
          <w:rStyle w:val="Emphasis"/>
        </w:rPr>
        <w:t xml:space="preserve">Disability Act 2006 </w:t>
      </w:r>
      <w:r w:rsidRPr="00F45F11">
        <w:t xml:space="preserve">requires Victorian public sector bodies to develop a disability action plan. </w:t>
      </w:r>
    </w:p>
    <w:p w14:paraId="4A958AFC" w14:textId="77777777" w:rsidR="00823A50" w:rsidRPr="00F45F11" w:rsidRDefault="00823A50" w:rsidP="006E53AA">
      <w:pPr>
        <w:pStyle w:val="ARBody"/>
      </w:pPr>
      <w:r w:rsidRPr="00F45F11">
        <w:t>Disability action plans aim to:</w:t>
      </w:r>
    </w:p>
    <w:p w14:paraId="6601CD78" w14:textId="77777777" w:rsidR="00823A50" w:rsidRPr="00F45F11" w:rsidRDefault="00823A50" w:rsidP="00F15878">
      <w:pPr>
        <w:pStyle w:val="ARBullet1"/>
      </w:pPr>
      <w:r w:rsidRPr="00F45F11">
        <w:t>reduce barriers to people with disability accessing goods, services and facilities</w:t>
      </w:r>
    </w:p>
    <w:p w14:paraId="6E347252" w14:textId="4DDDFB10" w:rsidR="00823A50" w:rsidRDefault="00823A50" w:rsidP="00F15878">
      <w:pPr>
        <w:pStyle w:val="ARBullet1"/>
      </w:pPr>
      <w:r w:rsidRPr="00F45F11">
        <w:t>reduce barriers to people with disability obtaining and maintain employment</w:t>
      </w:r>
    </w:p>
    <w:p w14:paraId="6D12AC0C" w14:textId="77777777" w:rsidR="00823A50" w:rsidRPr="00F45F11" w:rsidRDefault="00823A50" w:rsidP="00F15878">
      <w:pPr>
        <w:pStyle w:val="ARBullet1"/>
      </w:pPr>
      <w:r w:rsidRPr="00F45F11">
        <w:t>promote inclusion and participation in the community of people with disability</w:t>
      </w:r>
    </w:p>
    <w:p w14:paraId="005F36BC" w14:textId="77777777" w:rsidR="00823A50" w:rsidRPr="00F45F11" w:rsidRDefault="00823A50" w:rsidP="00F15878">
      <w:pPr>
        <w:pStyle w:val="ARBullet1"/>
      </w:pPr>
      <w:r w:rsidRPr="00F45F11">
        <w:t>achieve tangible changes in attitudes and practices which discriminate against people with disability.</w:t>
      </w:r>
    </w:p>
    <w:p w14:paraId="5FC36CD6" w14:textId="75697FCA" w:rsidR="00823A50" w:rsidRPr="00F45F11" w:rsidRDefault="00823A50" w:rsidP="00C76F63">
      <w:pPr>
        <w:pStyle w:val="ARBodyafterbullets"/>
      </w:pPr>
      <w:r w:rsidRPr="00F45F11">
        <w:t xml:space="preserve">The department’s </w:t>
      </w:r>
      <w:r w:rsidRPr="00A124D1">
        <w:rPr>
          <w:rStyle w:val="Emphasis"/>
        </w:rPr>
        <w:t xml:space="preserve">Disability action plan 2026–29 </w:t>
      </w:r>
      <w:r w:rsidRPr="00F45F11">
        <w:t>(the plan) outlines how we work to increase inclusion and access for people with disability. This</w:t>
      </w:r>
      <w:r w:rsidR="007974FA" w:rsidRPr="00F45F11">
        <w:t> </w:t>
      </w:r>
      <w:r w:rsidRPr="00F45F11">
        <w:t xml:space="preserve">includes actions that will make us a better organisation to interact with and to work for. </w:t>
      </w:r>
    </w:p>
    <w:p w14:paraId="6E2548B5" w14:textId="77777777" w:rsidR="000D720E" w:rsidRDefault="00823A50" w:rsidP="00601704">
      <w:pPr>
        <w:pStyle w:val="ARBody"/>
      </w:pPr>
      <w:r w:rsidRPr="00F45F11">
        <w:t>The plan aligns with the department’s vision, strategic priorities and legal obligations and continues our commitment to a more inclusive and</w:t>
      </w:r>
      <w:r w:rsidR="00C76F63" w:rsidRPr="00F45F11">
        <w:t> </w:t>
      </w:r>
      <w:r w:rsidRPr="00F45F11">
        <w:t xml:space="preserve">accessible Victoria. </w:t>
      </w:r>
    </w:p>
    <w:p w14:paraId="5CE54AD9" w14:textId="77777777" w:rsidR="000D720E" w:rsidRDefault="000D720E">
      <w:pPr>
        <w:spacing w:after="0" w:line="240" w:lineRule="auto"/>
        <w:rPr>
          <w:rFonts w:eastAsia="Times"/>
          <w:sz w:val="20"/>
        </w:rPr>
      </w:pPr>
      <w:r>
        <w:br w:type="page"/>
      </w:r>
    </w:p>
    <w:p w14:paraId="673343D4" w14:textId="23BE76EE" w:rsidR="00823A50" w:rsidRPr="00F45F11" w:rsidRDefault="00823A50" w:rsidP="00601704">
      <w:pPr>
        <w:pStyle w:val="ARBody"/>
      </w:pPr>
      <w:r w:rsidRPr="00F45F11">
        <w:t>The plan is a roadmap that helps us:</w:t>
      </w:r>
    </w:p>
    <w:p w14:paraId="34BE0E6F" w14:textId="4CD505CA" w:rsidR="00823A50" w:rsidRPr="00F45F11" w:rsidRDefault="00823A50" w:rsidP="00F15878">
      <w:pPr>
        <w:pStyle w:val="ARBullet1"/>
      </w:pPr>
      <w:r w:rsidRPr="00F45F11">
        <w:t>identify the priority areas we will focus on</w:t>
      </w:r>
      <w:r w:rsidR="00C76F63" w:rsidRPr="00F45F11">
        <w:t> </w:t>
      </w:r>
      <w:r w:rsidRPr="00F45F11">
        <w:t>to</w:t>
      </w:r>
      <w:r w:rsidR="00C76F63" w:rsidRPr="00F45F11">
        <w:t> </w:t>
      </w:r>
      <w:r w:rsidRPr="00F45F11">
        <w:t>create lasting change</w:t>
      </w:r>
    </w:p>
    <w:p w14:paraId="7A3C79CF" w14:textId="77777777" w:rsidR="00823A50" w:rsidRPr="00F45F11" w:rsidRDefault="00823A50" w:rsidP="00F15878">
      <w:pPr>
        <w:pStyle w:val="ARBullet1"/>
      </w:pPr>
      <w:r w:rsidRPr="00F45F11">
        <w:t>explain how we will address barriers and challenges faced by people with disability</w:t>
      </w:r>
    </w:p>
    <w:p w14:paraId="7D19F0F5" w14:textId="3BE77C9A" w:rsidR="00823A50" w:rsidRPr="00F45F11" w:rsidRDefault="00823A50" w:rsidP="00F15878">
      <w:pPr>
        <w:pStyle w:val="ARBullet1"/>
      </w:pPr>
      <w:r w:rsidRPr="00F45F11">
        <w:t>commit to giving people with disability more opportunities to work for the department. This</w:t>
      </w:r>
      <w:r w:rsidR="007974FA" w:rsidRPr="00F45F11">
        <w:t> </w:t>
      </w:r>
      <w:r w:rsidRPr="00F45F11">
        <w:t>includes providing accessible work</w:t>
      </w:r>
      <w:r w:rsidR="005C31BC">
        <w:t> </w:t>
      </w:r>
      <w:r w:rsidRPr="00F45F11">
        <w:t>environments.</w:t>
      </w:r>
    </w:p>
    <w:p w14:paraId="673DE375" w14:textId="77777777" w:rsidR="00823A50" w:rsidRPr="00F45F11" w:rsidRDefault="00823A50" w:rsidP="00C76F63">
      <w:pPr>
        <w:pStyle w:val="ARBodyafterbullets"/>
      </w:pPr>
      <w:r w:rsidRPr="00F45F11">
        <w:t>The action areas include:</w:t>
      </w:r>
    </w:p>
    <w:p w14:paraId="4C4BF477" w14:textId="77777777" w:rsidR="00823A50" w:rsidRPr="00F45F11" w:rsidRDefault="00823A50" w:rsidP="00F15878">
      <w:pPr>
        <w:pStyle w:val="ARBullet1"/>
      </w:pPr>
      <w:r w:rsidRPr="00F45F11">
        <w:t>housing</w:t>
      </w:r>
    </w:p>
    <w:p w14:paraId="18EE67D4" w14:textId="77777777" w:rsidR="00823A50" w:rsidRPr="00F45F11" w:rsidRDefault="00823A50" w:rsidP="00F15878">
      <w:pPr>
        <w:pStyle w:val="ARBullet1"/>
      </w:pPr>
      <w:r w:rsidRPr="00F45F11">
        <w:t>changing attitudes</w:t>
      </w:r>
    </w:p>
    <w:p w14:paraId="0D11E764" w14:textId="77777777" w:rsidR="00823A50" w:rsidRPr="00F45F11" w:rsidRDefault="00823A50" w:rsidP="00F15878">
      <w:pPr>
        <w:pStyle w:val="ARBullet1"/>
      </w:pPr>
      <w:r w:rsidRPr="00F45F11">
        <w:t>digital inclusion</w:t>
      </w:r>
    </w:p>
    <w:p w14:paraId="02E6A3B9" w14:textId="77777777" w:rsidR="00823A50" w:rsidRPr="00F45F11" w:rsidRDefault="00823A50" w:rsidP="00F15878">
      <w:pPr>
        <w:pStyle w:val="ARBullet1"/>
      </w:pPr>
      <w:r w:rsidRPr="00F45F11">
        <w:t>supporting a high-quality NDIS</w:t>
      </w:r>
    </w:p>
    <w:p w14:paraId="6523B31E" w14:textId="77777777" w:rsidR="00823A50" w:rsidRPr="00F45F11" w:rsidRDefault="00823A50" w:rsidP="00F15878">
      <w:pPr>
        <w:pStyle w:val="ARBullet1"/>
      </w:pPr>
      <w:r w:rsidRPr="00F45F11">
        <w:t>children and families</w:t>
      </w:r>
    </w:p>
    <w:p w14:paraId="259B679C" w14:textId="77777777" w:rsidR="00823A50" w:rsidRPr="00F45F11" w:rsidRDefault="00823A50" w:rsidP="00F15878">
      <w:pPr>
        <w:pStyle w:val="ARBullet1"/>
      </w:pPr>
      <w:r w:rsidRPr="00F45F11">
        <w:t>preventing abuse and neglect</w:t>
      </w:r>
    </w:p>
    <w:p w14:paraId="55E290C1" w14:textId="77777777" w:rsidR="00823A50" w:rsidRPr="00F45F11" w:rsidRDefault="00823A50" w:rsidP="00F15878">
      <w:pPr>
        <w:pStyle w:val="ARBullet1"/>
      </w:pPr>
      <w:r w:rsidRPr="00F45F11">
        <w:t>intersecting and/or multiple needs</w:t>
      </w:r>
    </w:p>
    <w:p w14:paraId="6FD82815" w14:textId="77777777" w:rsidR="00823A50" w:rsidRPr="00F45F11" w:rsidRDefault="00823A50" w:rsidP="00F15878">
      <w:pPr>
        <w:pStyle w:val="ARBullet1"/>
      </w:pPr>
      <w:r w:rsidRPr="00F45F11">
        <w:t>voice and leadership</w:t>
      </w:r>
    </w:p>
    <w:p w14:paraId="5286A404" w14:textId="77777777" w:rsidR="00823A50" w:rsidRPr="00F45F11" w:rsidRDefault="00823A50" w:rsidP="00F15878">
      <w:pPr>
        <w:pStyle w:val="ARBullet1"/>
      </w:pPr>
      <w:r w:rsidRPr="00F45F11">
        <w:t>family and sexual violence.</w:t>
      </w:r>
    </w:p>
    <w:p w14:paraId="23DD1C8E" w14:textId="0FC0012A" w:rsidR="00F87DDC" w:rsidRDefault="00823A50" w:rsidP="00C76F63">
      <w:pPr>
        <w:pStyle w:val="ARBodyafterbullets"/>
      </w:pPr>
      <w:r w:rsidRPr="00F45F11">
        <w:t>As our second disability action plan, it aligns with Inclusive Victoria: state disability plan 2022–2026, which has been extended to 2027. A final report on</w:t>
      </w:r>
      <w:r w:rsidR="00C76F63" w:rsidRPr="00F45F11">
        <w:t> </w:t>
      </w:r>
      <w:r w:rsidRPr="00F45F11">
        <w:t>the implementation of Inclusive Victoria will be</w:t>
      </w:r>
      <w:r w:rsidR="00C76F63" w:rsidRPr="00F45F11">
        <w:t> </w:t>
      </w:r>
      <w:r w:rsidRPr="00F45F11">
        <w:t>published in</w:t>
      </w:r>
      <w:r w:rsidR="000D720E">
        <w:t> </w:t>
      </w:r>
      <w:r w:rsidRPr="00F45F11">
        <w:t>2027.</w:t>
      </w:r>
    </w:p>
    <w:p w14:paraId="59281715" w14:textId="6082D56F" w:rsidR="001F2BA3" w:rsidRPr="00F45F11" w:rsidRDefault="001F2BA3" w:rsidP="000D720E">
      <w:pPr>
        <w:pStyle w:val="Heading2"/>
      </w:pPr>
      <w:bookmarkStart w:id="230" w:name="_Disclosure_of_emergency"/>
      <w:bookmarkStart w:id="231" w:name="_Toc149587061"/>
      <w:bookmarkStart w:id="232" w:name="_Toc212039549"/>
      <w:bookmarkStart w:id="233" w:name="_Toc241131724"/>
      <w:bookmarkStart w:id="234" w:name="_Toc212039550"/>
      <w:bookmarkEnd w:id="230"/>
      <w:r w:rsidRPr="00F45F11">
        <w:rPr>
          <w:rFonts w:eastAsia="Times"/>
        </w:rPr>
        <w:t xml:space="preserve">Disclosure of emergency </w:t>
      </w:r>
      <w:bookmarkEnd w:id="231"/>
      <w:r w:rsidRPr="00F45F11">
        <w:rPr>
          <w:rFonts w:eastAsia="Times"/>
        </w:rPr>
        <w:t>procurement</w:t>
      </w:r>
      <w:bookmarkEnd w:id="232"/>
      <w:bookmarkEnd w:id="233"/>
    </w:p>
    <w:p w14:paraId="74D39322" w14:textId="418410BE" w:rsidR="001F2BA3" w:rsidRPr="00F45F11" w:rsidRDefault="001F2BA3" w:rsidP="001F2BA3">
      <w:pPr>
        <w:pStyle w:val="ARbodybeforetable"/>
      </w:pPr>
      <w:r w:rsidRPr="00F45F11">
        <w:t xml:space="preserve">In 2025–26, the department activated </w:t>
      </w:r>
      <w:r w:rsidR="00840BF9" w:rsidRPr="00F45F11">
        <w:t>e</w:t>
      </w:r>
      <w:r w:rsidRPr="00F45F11">
        <w:t xml:space="preserve">mergency </w:t>
      </w:r>
      <w:r w:rsidR="00840BF9" w:rsidRPr="00F45F11">
        <w:t>p</w:t>
      </w:r>
      <w:r w:rsidRPr="00F45F11">
        <w:t>rocurement on one occasion in accordance with the requirements of government policy and accompanying guidelines. Two new contracts, each valued at or more than $100</w:t>
      </w:r>
      <w:r w:rsidR="00840BF9" w:rsidRPr="00F45F11">
        <w:t>,</w:t>
      </w:r>
      <w:r w:rsidRPr="00F45F11">
        <w:t>000 (GST inclusive), were awarded in 2025</w:t>
      </w:r>
      <w:r w:rsidR="001A7218" w:rsidRPr="00F45F11">
        <w:t>–</w:t>
      </w:r>
      <w:r w:rsidRPr="00F45F11">
        <w:t>26 in connection with the emergency. Details of</w:t>
      </w:r>
      <w:r w:rsidR="005C31BC">
        <w:t> </w:t>
      </w:r>
      <w:r w:rsidRPr="00F45F11">
        <w:t>the department’s emergency procurements are shown below.</w:t>
      </w:r>
    </w:p>
    <w:tbl>
      <w:tblPr>
        <w:tblStyle w:val="ARtable1"/>
        <w:tblW w:w="9639" w:type="dxa"/>
        <w:tblLayout w:type="fixed"/>
        <w:tblLook w:val="00E0" w:firstRow="1" w:lastRow="1" w:firstColumn="1" w:lastColumn="0" w:noHBand="0" w:noVBand="0"/>
      </w:tblPr>
      <w:tblGrid>
        <w:gridCol w:w="1128"/>
        <w:gridCol w:w="1419"/>
        <w:gridCol w:w="3120"/>
        <w:gridCol w:w="1986"/>
        <w:gridCol w:w="1986"/>
      </w:tblGrid>
      <w:tr w:rsidR="001F2BA3" w:rsidRPr="00F45F11" w14:paraId="22137BF9" w14:textId="77777777" w:rsidTr="002025E2">
        <w:trPr>
          <w:cnfStyle w:val="100000000000" w:firstRow="1" w:lastRow="0" w:firstColumn="0" w:lastColumn="0" w:oddVBand="0" w:evenVBand="0" w:oddHBand="0" w:evenHBand="0" w:firstRowFirstColumn="0" w:firstRowLastColumn="0" w:lastRowFirstColumn="0" w:lastRowLastColumn="0"/>
          <w:trHeight w:val="747"/>
        </w:trPr>
        <w:tc>
          <w:tcPr>
            <w:tcW w:w="1128" w:type="dxa"/>
            <w:hideMark/>
          </w:tcPr>
          <w:p w14:paraId="73C0652D" w14:textId="77777777" w:rsidR="001F2BA3" w:rsidRPr="00F45F11" w:rsidRDefault="001F2BA3" w:rsidP="001F2BA3">
            <w:pPr>
              <w:pStyle w:val="ARtablecolhead"/>
              <w:rPr>
                <w:rFonts w:eastAsia="Times"/>
              </w:rPr>
            </w:pPr>
            <w:r w:rsidRPr="00F45F11">
              <w:rPr>
                <w:rFonts w:eastAsia="Times"/>
              </w:rPr>
              <w:t>Nature of emergency</w:t>
            </w:r>
          </w:p>
        </w:tc>
        <w:tc>
          <w:tcPr>
            <w:cnfStyle w:val="000001000000" w:firstRow="0" w:lastRow="0" w:firstColumn="0" w:lastColumn="0" w:oddVBand="0" w:evenVBand="1" w:oddHBand="0" w:evenHBand="0" w:firstRowFirstColumn="0" w:firstRowLastColumn="0" w:lastRowFirstColumn="0" w:lastRowLastColumn="0"/>
            <w:tcW w:w="1419" w:type="dxa"/>
            <w:hideMark/>
          </w:tcPr>
          <w:p w14:paraId="36F669DB" w14:textId="77777777" w:rsidR="001F2BA3" w:rsidRPr="00F45F11" w:rsidRDefault="001F2BA3" w:rsidP="001F2BA3">
            <w:pPr>
              <w:pStyle w:val="ARtablecolhead"/>
              <w:rPr>
                <w:rFonts w:eastAsia="Times"/>
              </w:rPr>
            </w:pPr>
            <w:r w:rsidRPr="00F45F11">
              <w:rPr>
                <w:rFonts w:eastAsia="Times"/>
              </w:rPr>
              <w:t>Date of activation</w:t>
            </w:r>
          </w:p>
        </w:tc>
        <w:tc>
          <w:tcPr>
            <w:tcW w:w="3120" w:type="dxa"/>
            <w:hideMark/>
          </w:tcPr>
          <w:p w14:paraId="2647CFCD" w14:textId="77777777" w:rsidR="001F2BA3" w:rsidRPr="00F45F11" w:rsidRDefault="001F2BA3" w:rsidP="001F2BA3">
            <w:pPr>
              <w:pStyle w:val="ARtablecolhead"/>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Summary of goods and services procured under new contracts</w:t>
            </w:r>
          </w:p>
        </w:tc>
        <w:tc>
          <w:tcPr>
            <w:cnfStyle w:val="000001000000" w:firstRow="0" w:lastRow="0" w:firstColumn="0" w:lastColumn="0" w:oddVBand="0" w:evenVBand="1" w:oddHBand="0" w:evenHBand="0" w:firstRowFirstColumn="0" w:firstRowLastColumn="0" w:lastRowFirstColumn="0" w:lastRowLastColumn="0"/>
            <w:tcW w:w="1986" w:type="dxa"/>
            <w:hideMark/>
          </w:tcPr>
          <w:p w14:paraId="2BFBABC3" w14:textId="67213AD9" w:rsidR="001F2BA3" w:rsidRPr="00F45F11" w:rsidRDefault="001F2BA3" w:rsidP="001F2BA3">
            <w:pPr>
              <w:pStyle w:val="ARtablecolhead"/>
              <w:jc w:val="right"/>
              <w:rPr>
                <w:rFonts w:eastAsia="Times"/>
              </w:rPr>
            </w:pPr>
            <w:proofErr w:type="gramStart"/>
            <w:r w:rsidRPr="00F45F11">
              <w:rPr>
                <w:rFonts w:eastAsia="Times"/>
              </w:rPr>
              <w:t>Total</w:t>
            </w:r>
            <w:proofErr w:type="gramEnd"/>
            <w:r w:rsidRPr="00F45F11">
              <w:rPr>
                <w:rFonts w:eastAsia="Times"/>
              </w:rPr>
              <w:t xml:space="preserve"> spend on goods and services in response to the emergency</w:t>
            </w:r>
            <w:r w:rsidRPr="00F45F11">
              <w:rPr>
                <w:rFonts w:eastAsia="Times"/>
                <w:vertAlign w:val="superscript"/>
              </w:rPr>
              <w:t>(a)</w:t>
            </w:r>
          </w:p>
        </w:tc>
        <w:tc>
          <w:tcPr>
            <w:tcW w:w="1986" w:type="dxa"/>
            <w:hideMark/>
          </w:tcPr>
          <w:p w14:paraId="70F92BD5" w14:textId="77777777" w:rsidR="001F2BA3" w:rsidRPr="00F45F11" w:rsidRDefault="001F2BA3" w:rsidP="001F2BA3">
            <w:pPr>
              <w:pStyle w:val="ARtablecolhead"/>
              <w:jc w:val="right"/>
              <w:cnfStyle w:val="100000000000" w:firstRow="1" w:lastRow="0" w:firstColumn="0" w:lastColumn="0" w:oddVBand="0" w:evenVBand="0" w:oddHBand="0" w:evenHBand="0" w:firstRowFirstColumn="0" w:firstRowLastColumn="0" w:lastRowFirstColumn="0" w:lastRowLastColumn="0"/>
              <w:rPr>
                <w:rFonts w:eastAsia="Times"/>
              </w:rPr>
            </w:pPr>
            <w:r w:rsidRPr="00F45F11">
              <w:rPr>
                <w:rFonts w:eastAsia="Times"/>
              </w:rPr>
              <w:t>Number of new contracts awarded valued at $100,000 (inc. GST) or more</w:t>
            </w:r>
          </w:p>
        </w:tc>
      </w:tr>
      <w:tr w:rsidR="001F2BA3" w:rsidRPr="00F45F11" w14:paraId="528DC4C1" w14:textId="77777777" w:rsidTr="002025E2">
        <w:trPr>
          <w:cnfStyle w:val="010000000000" w:firstRow="0" w:lastRow="1" w:firstColumn="0" w:lastColumn="0" w:oddVBand="0" w:evenVBand="0" w:oddHBand="0" w:evenHBand="0" w:firstRowFirstColumn="0" w:firstRowLastColumn="0" w:lastRowFirstColumn="0" w:lastRowLastColumn="0"/>
          <w:trHeight w:val="747"/>
        </w:trPr>
        <w:tc>
          <w:tcPr>
            <w:tcW w:w="1128" w:type="dxa"/>
          </w:tcPr>
          <w:p w14:paraId="6087C105" w14:textId="77777777" w:rsidR="001F2BA3" w:rsidRPr="00F45F11" w:rsidRDefault="001F2BA3" w:rsidP="003A344F">
            <w:pPr>
              <w:pStyle w:val="ARTabletext"/>
            </w:pPr>
            <w:r w:rsidRPr="00F45F11">
              <w:t>Early childhood centres</w:t>
            </w:r>
          </w:p>
        </w:tc>
        <w:tc>
          <w:tcPr>
            <w:cnfStyle w:val="000001000000" w:firstRow="0" w:lastRow="0" w:firstColumn="0" w:lastColumn="0" w:oddVBand="0" w:evenVBand="1" w:oddHBand="0" w:evenHBand="0" w:firstRowFirstColumn="0" w:firstRowLastColumn="0" w:lastRowFirstColumn="0" w:lastRowLastColumn="0"/>
            <w:tcW w:w="1419" w:type="dxa"/>
          </w:tcPr>
          <w:p w14:paraId="5304B42F" w14:textId="222D55A0" w:rsidR="001F2BA3" w:rsidRPr="00F45F11" w:rsidRDefault="001F2BA3" w:rsidP="003A344F">
            <w:pPr>
              <w:pStyle w:val="ARTabletext"/>
            </w:pPr>
            <w:r w:rsidRPr="00F45F11">
              <w:t>25 June 2025</w:t>
            </w:r>
            <w:r w:rsidR="000C0F09" w:rsidRPr="00F45F11">
              <w:rPr>
                <w:rFonts w:eastAsia="Times"/>
                <w:vertAlign w:val="superscript"/>
              </w:rPr>
              <w:t>(</w:t>
            </w:r>
            <w:r w:rsidR="000C0F09">
              <w:rPr>
                <w:rFonts w:eastAsia="Times"/>
                <w:vertAlign w:val="superscript"/>
              </w:rPr>
              <w:t>b</w:t>
            </w:r>
            <w:r w:rsidR="000C0F09" w:rsidRPr="00F45F11">
              <w:rPr>
                <w:rFonts w:eastAsia="Times"/>
                <w:vertAlign w:val="superscript"/>
              </w:rPr>
              <w:t>)</w:t>
            </w:r>
          </w:p>
        </w:tc>
        <w:tc>
          <w:tcPr>
            <w:tcW w:w="3120" w:type="dxa"/>
          </w:tcPr>
          <w:p w14:paraId="768140F8" w14:textId="24AF9CDE" w:rsidR="001F2BA3" w:rsidRPr="00F45F11" w:rsidRDefault="001F2BA3" w:rsidP="003A344F">
            <w:pPr>
              <w:pStyle w:val="ARTabletext"/>
              <w:cnfStyle w:val="010000000000" w:firstRow="0" w:lastRow="1" w:firstColumn="0" w:lastColumn="0" w:oddVBand="0" w:evenVBand="0" w:oddHBand="0" w:evenHBand="0" w:firstRowFirstColumn="0" w:firstRowLastColumn="0" w:lastRowFirstColumn="0" w:lastRowLastColumn="0"/>
            </w:pPr>
            <w:r w:rsidRPr="00F45F11">
              <w:t>Specialist support services to provide trauma</w:t>
            </w:r>
            <w:r w:rsidR="00840BF9" w:rsidRPr="00F45F11">
              <w:t>-</w:t>
            </w:r>
            <w:r w:rsidRPr="00F45F11">
              <w:t>informed services to support the health and wellbeing of staff involved in the childcare centre investigation and response and establishment of a Project Management Office.</w:t>
            </w:r>
          </w:p>
        </w:tc>
        <w:tc>
          <w:tcPr>
            <w:cnfStyle w:val="000001000000" w:firstRow="0" w:lastRow="0" w:firstColumn="0" w:lastColumn="0" w:oddVBand="0" w:evenVBand="1" w:oddHBand="0" w:evenHBand="0" w:firstRowFirstColumn="0" w:firstRowLastColumn="0" w:lastRowFirstColumn="0" w:lastRowLastColumn="0"/>
            <w:tcW w:w="1986" w:type="dxa"/>
          </w:tcPr>
          <w:p w14:paraId="5AEF42AD" w14:textId="2F9162FC" w:rsidR="001F2BA3" w:rsidRPr="00F45F11" w:rsidRDefault="001F2BA3" w:rsidP="003A344F">
            <w:pPr>
              <w:pStyle w:val="ARTabletext"/>
              <w:jc w:val="right"/>
            </w:pPr>
            <w:r w:rsidRPr="00F45F11">
              <w:t>$131,512.50</w:t>
            </w:r>
          </w:p>
        </w:tc>
        <w:tc>
          <w:tcPr>
            <w:tcW w:w="1986" w:type="dxa"/>
          </w:tcPr>
          <w:p w14:paraId="2CABB6BA" w14:textId="4647021A" w:rsidR="001F2BA3" w:rsidRPr="00F45F11" w:rsidRDefault="001F2BA3" w:rsidP="003A344F">
            <w:pPr>
              <w:pStyle w:val="ARTabletext"/>
              <w:jc w:val="right"/>
              <w:cnfStyle w:val="010000000000" w:firstRow="0" w:lastRow="1" w:firstColumn="0" w:lastColumn="0" w:oddVBand="0" w:evenVBand="0" w:oddHBand="0" w:evenHBand="0" w:firstRowFirstColumn="0" w:firstRowLastColumn="0" w:lastRowFirstColumn="0" w:lastRowLastColumn="0"/>
            </w:pPr>
            <w:r w:rsidRPr="00F45F11">
              <w:t>2</w:t>
            </w:r>
          </w:p>
        </w:tc>
      </w:tr>
    </w:tbl>
    <w:p w14:paraId="23C20006" w14:textId="77777777" w:rsidR="001F2BA3" w:rsidRDefault="001F2BA3" w:rsidP="00B1003A">
      <w:pPr>
        <w:pStyle w:val="ARtablefootnotealpha"/>
        <w:numPr>
          <w:ilvl w:val="0"/>
          <w:numId w:val="115"/>
        </w:numPr>
      </w:pPr>
      <w:r w:rsidRPr="00F45F11">
        <w:t>This is the total of all expenditure, including contracts under and over $100,000 (GST inclusive).</w:t>
      </w:r>
    </w:p>
    <w:p w14:paraId="3BD57DE7" w14:textId="458236EE" w:rsidR="000C0F09" w:rsidRPr="00F45F11" w:rsidRDefault="00E60CA0" w:rsidP="00B1003A">
      <w:pPr>
        <w:pStyle w:val="ARtablefootnotealpha"/>
        <w:numPr>
          <w:ilvl w:val="0"/>
          <w:numId w:val="115"/>
        </w:numPr>
      </w:pPr>
      <w:r w:rsidRPr="00E60CA0">
        <w:t>While the emergency procurement plan was activated at the end of 2024-25 financial year, the associated expenditure falls within the current reporting period.</w:t>
      </w:r>
    </w:p>
    <w:p w14:paraId="723CB016" w14:textId="0614A2C7" w:rsidR="00F87DDC" w:rsidRPr="00F45F11" w:rsidRDefault="00F87DDC" w:rsidP="00F87DDC">
      <w:pPr>
        <w:pStyle w:val="Heading2"/>
      </w:pPr>
      <w:bookmarkStart w:id="235" w:name="_Disclosure_of_procurement_1"/>
      <w:bookmarkStart w:id="236" w:name="_Toc241131725"/>
      <w:bookmarkEnd w:id="235"/>
      <w:r w:rsidRPr="00F45F11">
        <w:t xml:space="preserve">Disclosure of procurement </w:t>
      </w:r>
      <w:bookmarkEnd w:id="234"/>
      <w:r w:rsidRPr="00F45F11">
        <w:t>complaints</w:t>
      </w:r>
      <w:bookmarkEnd w:id="236"/>
    </w:p>
    <w:p w14:paraId="1D3C4005" w14:textId="77777777" w:rsidR="00F87DDC" w:rsidRPr="00F45F11" w:rsidRDefault="00F87DDC" w:rsidP="00F87DDC">
      <w:pPr>
        <w:pStyle w:val="ARBody"/>
      </w:pPr>
      <w:r w:rsidRPr="00F45F11">
        <w:t xml:space="preserve">Under the Victorian Government Purchasing Board’s governance policy, the department must disclose any formal complaints relating to the procurement of goods and services received through its procurement complaints management system. </w:t>
      </w:r>
    </w:p>
    <w:p w14:paraId="2B70B564" w14:textId="77777777" w:rsidR="00F87DDC" w:rsidRPr="00F45F11" w:rsidRDefault="00F87DDC" w:rsidP="00F87DDC">
      <w:pPr>
        <w:pStyle w:val="ARBody"/>
      </w:pPr>
      <w:r w:rsidRPr="00F45F11">
        <w:t>The department received no procurement complaints through its procurement complaints management system in 2025–26 relating to the procurement of goods and services.</w:t>
      </w:r>
    </w:p>
    <w:p w14:paraId="37EF04F9" w14:textId="77777777" w:rsidR="00F87DDC" w:rsidRPr="00F45F11" w:rsidRDefault="00F87DDC" w:rsidP="00F87DDC">
      <w:pPr>
        <w:pStyle w:val="Heading2"/>
      </w:pPr>
      <w:bookmarkStart w:id="237" w:name="_Toc212039551"/>
      <w:bookmarkStart w:id="238" w:name="_Toc241131726"/>
      <w:r w:rsidRPr="00F45F11">
        <w:t xml:space="preserve">Compliance with </w:t>
      </w:r>
      <w:proofErr w:type="spellStart"/>
      <w:r w:rsidRPr="00F45F11">
        <w:t>DataVic</w:t>
      </w:r>
      <w:proofErr w:type="spellEnd"/>
      <w:r w:rsidRPr="00F45F11">
        <w:t xml:space="preserve"> access policy</w:t>
      </w:r>
      <w:bookmarkEnd w:id="237"/>
      <w:bookmarkEnd w:id="238"/>
    </w:p>
    <w:p w14:paraId="679E9E85" w14:textId="77777777" w:rsidR="00F87DDC" w:rsidRPr="00F45F11" w:rsidRDefault="00F87DDC" w:rsidP="00F87DDC">
      <w:pPr>
        <w:pStyle w:val="ARBody"/>
      </w:pPr>
      <w:r w:rsidRPr="00F45F11">
        <w:t xml:space="preserve">Consistent with the </w:t>
      </w:r>
      <w:proofErr w:type="spellStart"/>
      <w:r w:rsidRPr="00A124D1">
        <w:rPr>
          <w:rStyle w:val="Emphasis"/>
        </w:rPr>
        <w:t>DataVic</w:t>
      </w:r>
      <w:proofErr w:type="spellEnd"/>
      <w:r w:rsidRPr="00A124D1">
        <w:rPr>
          <w:rStyle w:val="Emphasis"/>
        </w:rPr>
        <w:t xml:space="preserve"> access policy </w:t>
      </w:r>
      <w:r w:rsidRPr="00F45F11">
        <w:t xml:space="preserve">issued by the Victorian Government in 2012, the information included in this annual report will be available in machine-readable format from the </w:t>
      </w:r>
      <w:hyperlink r:id="rId78" w:history="1">
        <w:proofErr w:type="spellStart"/>
        <w:r w:rsidRPr="00F45F11">
          <w:rPr>
            <w:rStyle w:val="Hyperlink"/>
          </w:rPr>
          <w:t>DataVic</w:t>
        </w:r>
        <w:proofErr w:type="spellEnd"/>
        <w:r w:rsidRPr="00F45F11">
          <w:rPr>
            <w:rStyle w:val="Hyperlink"/>
          </w:rPr>
          <w:t xml:space="preserve"> website</w:t>
        </w:r>
      </w:hyperlink>
      <w:r w:rsidRPr="00F45F11">
        <w:t>.</w:t>
      </w:r>
      <w:r w:rsidRPr="00F45F11">
        <w:rPr>
          <w:rStyle w:val="FootnoteReference"/>
        </w:rPr>
        <w:footnoteReference w:id="24"/>
      </w:r>
      <w:r w:rsidRPr="00F45F11">
        <w:t xml:space="preserve"> </w:t>
      </w:r>
    </w:p>
    <w:p w14:paraId="4B343AE5" w14:textId="77777777" w:rsidR="00F87DDC" w:rsidRPr="00F45F11" w:rsidRDefault="00F87DDC" w:rsidP="00F87DDC">
      <w:pPr>
        <w:pStyle w:val="ARBody"/>
      </w:pPr>
      <w:r w:rsidRPr="00F45F11">
        <w:t xml:space="preserve">The department maintains information to support better understanding of Victoria’s human services. The </w:t>
      </w:r>
      <w:hyperlink r:id="rId79" w:history="1">
        <w:r w:rsidRPr="00F45F11">
          <w:rPr>
            <w:rStyle w:val="Hyperlink"/>
          </w:rPr>
          <w:t>department’s website</w:t>
        </w:r>
      </w:hyperlink>
      <w:r w:rsidRPr="00F45F11">
        <w:rPr>
          <w:rStyle w:val="FootnoteReference"/>
        </w:rPr>
        <w:footnoteReference w:id="25"/>
      </w:r>
      <w:r w:rsidRPr="00F45F11">
        <w:t xml:space="preserve"> provides machine-readable annual report data, additional service delivery data about the department’s human services operations (including social housing and homelessness and child protection and family services).</w:t>
      </w:r>
    </w:p>
    <w:p w14:paraId="1A29826C" w14:textId="77777777" w:rsidR="00611072" w:rsidRDefault="00611072" w:rsidP="000D720E">
      <w:pPr>
        <w:pStyle w:val="Heading2"/>
        <w:rPr>
          <w:rFonts w:eastAsia="Times"/>
        </w:rPr>
      </w:pPr>
      <w:bookmarkStart w:id="239" w:name="_Disclosure_of_procurement"/>
      <w:bookmarkStart w:id="240" w:name="_Toc114491214"/>
      <w:bookmarkStart w:id="241" w:name="_Toc149587063"/>
      <w:bookmarkStart w:id="242" w:name="_Toc212039552"/>
      <w:bookmarkStart w:id="243" w:name="_Toc241131727"/>
      <w:bookmarkStart w:id="244" w:name="_Ref492905722"/>
      <w:bookmarkStart w:id="245" w:name="_Toc114491216"/>
      <w:bookmarkStart w:id="246" w:name="_Ref146703931"/>
      <w:bookmarkStart w:id="247" w:name="_Ref146704973"/>
      <w:bookmarkStart w:id="248" w:name="_Toc149587065"/>
      <w:bookmarkStart w:id="249" w:name="_Toc212039553"/>
      <w:bookmarkEnd w:id="239"/>
      <w:r w:rsidRPr="00F45F11">
        <w:rPr>
          <w:rFonts w:eastAsia="Times"/>
        </w:rPr>
        <w:t>Social housing dwelling stock</w:t>
      </w:r>
      <w:bookmarkEnd w:id="240"/>
      <w:bookmarkEnd w:id="241"/>
      <w:bookmarkEnd w:id="242"/>
      <w:bookmarkEnd w:id="243"/>
    </w:p>
    <w:p w14:paraId="2C0A7B99" w14:textId="77777777" w:rsidR="00611072" w:rsidRPr="009913ED" w:rsidRDefault="00611072" w:rsidP="00611072">
      <w:pPr>
        <w:pStyle w:val="ARTablecaption"/>
        <w:rPr>
          <w:rFonts w:eastAsia="Times"/>
        </w:rPr>
      </w:pPr>
      <w:bookmarkStart w:id="250" w:name="_Toc114491215"/>
      <w:bookmarkEnd w:id="244"/>
      <w:r w:rsidRPr="00F45F11">
        <w:rPr>
          <w:rFonts w:eastAsia="Times"/>
        </w:rPr>
        <w:t>Table 12: Summary of changes to social housing dwellings for 2025–26</w:t>
      </w:r>
    </w:p>
    <w:tbl>
      <w:tblPr>
        <w:tblStyle w:val="ARtable1"/>
        <w:tblW w:w="5000" w:type="pct"/>
        <w:tblLook w:val="02E0" w:firstRow="1" w:lastRow="1" w:firstColumn="1" w:lastColumn="0" w:noHBand="1" w:noVBand="0"/>
      </w:tblPr>
      <w:tblGrid>
        <w:gridCol w:w="7930"/>
        <w:gridCol w:w="1692"/>
      </w:tblGrid>
      <w:tr w:rsidR="00611072" w:rsidRPr="00F45F11" w14:paraId="2B31D77F" w14:textId="77777777" w:rsidTr="00440E4F">
        <w:trPr>
          <w:cnfStyle w:val="100000000000" w:firstRow="1" w:lastRow="0" w:firstColumn="0" w:lastColumn="0" w:oddVBand="0" w:evenVBand="0" w:oddHBand="0" w:evenHBand="0" w:firstRowFirstColumn="0" w:firstRowLastColumn="0" w:lastRowFirstColumn="0" w:lastRowLastColumn="0"/>
          <w:tblHeader/>
        </w:trPr>
        <w:tc>
          <w:tcPr>
            <w:tcW w:w="4121" w:type="pct"/>
          </w:tcPr>
          <w:p w14:paraId="29346A36" w14:textId="77777777" w:rsidR="00611072" w:rsidRPr="00F45F11" w:rsidRDefault="00611072">
            <w:pPr>
              <w:pStyle w:val="ARfintablecolhead"/>
              <w:rPr>
                <w:rFonts w:eastAsia="Times"/>
              </w:rPr>
            </w:pPr>
            <w:r w:rsidRPr="009913ED">
              <w:rPr>
                <w:rFonts w:eastAsia="Times"/>
              </w:rPr>
              <w:t>Description</w:t>
            </w:r>
          </w:p>
        </w:tc>
        <w:tc>
          <w:tcPr>
            <w:cnfStyle w:val="000001000000" w:firstRow="0" w:lastRow="0" w:firstColumn="0" w:lastColumn="0" w:oddVBand="0" w:evenVBand="1" w:oddHBand="0" w:evenHBand="0" w:firstRowFirstColumn="0" w:firstRowLastColumn="0" w:lastRowFirstColumn="0" w:lastRowLastColumn="0"/>
            <w:tcW w:w="879" w:type="pct"/>
          </w:tcPr>
          <w:p w14:paraId="5ADB53FC" w14:textId="77777777" w:rsidR="00611072" w:rsidRPr="00F45F11" w:rsidRDefault="00611072" w:rsidP="006B2225">
            <w:pPr>
              <w:pStyle w:val="ARtablecolheadright"/>
              <w:rPr>
                <w:rFonts w:eastAsia="Times"/>
              </w:rPr>
            </w:pPr>
            <w:r w:rsidRPr="009913ED">
              <w:rPr>
                <w:rFonts w:eastAsia="Times"/>
              </w:rPr>
              <w:t>Units</w:t>
            </w:r>
          </w:p>
        </w:tc>
      </w:tr>
      <w:tr w:rsidR="00611072" w:rsidRPr="00F45F11" w14:paraId="5A304D3D" w14:textId="77777777">
        <w:tc>
          <w:tcPr>
            <w:tcW w:w="4121" w:type="pct"/>
            <w:tcBorders>
              <w:top w:val="single" w:sz="4" w:space="0" w:color="000000" w:themeColor="text1"/>
              <w:bottom w:val="single" w:sz="4" w:space="0" w:color="auto"/>
            </w:tcBorders>
          </w:tcPr>
          <w:p w14:paraId="3224DAA9" w14:textId="77777777" w:rsidR="00611072" w:rsidRPr="00F45F11" w:rsidRDefault="00611072">
            <w:pPr>
              <w:pStyle w:val="ARtabletextbold"/>
              <w:rPr>
                <w:rFonts w:eastAsia="Times"/>
              </w:rPr>
            </w:pPr>
            <w:r w:rsidRPr="00F45F11">
              <w:rPr>
                <w:rFonts w:eastAsia="Times"/>
              </w:rPr>
              <w:t xml:space="preserve">Stock </w:t>
            </w:r>
            <w:proofErr w:type="gramStart"/>
            <w:r w:rsidRPr="00F45F11">
              <w:rPr>
                <w:rFonts w:eastAsia="Times"/>
              </w:rPr>
              <w:t>at</w:t>
            </w:r>
            <w:proofErr w:type="gramEnd"/>
            <w:r w:rsidRPr="00F45F11">
              <w:rPr>
                <w:rFonts w:eastAsia="Times"/>
              </w:rPr>
              <w:t xml:space="preserve"> 30 June 2025</w:t>
            </w:r>
          </w:p>
        </w:tc>
        <w:tc>
          <w:tcPr>
            <w:cnfStyle w:val="000001000000" w:firstRow="0" w:lastRow="0" w:firstColumn="0" w:lastColumn="0" w:oddVBand="0" w:evenVBand="1" w:oddHBand="0" w:evenHBand="0" w:firstRowFirstColumn="0" w:firstRowLastColumn="0" w:lastRowFirstColumn="0" w:lastRowLastColumn="0"/>
            <w:tcW w:w="879" w:type="pct"/>
            <w:tcBorders>
              <w:top w:val="single" w:sz="4" w:space="0" w:color="000000" w:themeColor="text1"/>
              <w:bottom w:val="single" w:sz="4" w:space="0" w:color="auto"/>
            </w:tcBorders>
          </w:tcPr>
          <w:p w14:paraId="4AE54FB9" w14:textId="77777777" w:rsidR="00611072" w:rsidRPr="00F45F11" w:rsidRDefault="00611072" w:rsidP="00434684">
            <w:pPr>
              <w:pStyle w:val="ARtabletextrightbold"/>
              <w:rPr>
                <w:rFonts w:eastAsia="Times"/>
              </w:rPr>
            </w:pPr>
            <w:r w:rsidRPr="00F45F11">
              <w:rPr>
                <w:rFonts w:eastAsia="Times"/>
              </w:rPr>
              <w:t>91,068</w:t>
            </w:r>
          </w:p>
        </w:tc>
      </w:tr>
      <w:tr w:rsidR="00611072" w:rsidRPr="00F45F11" w14:paraId="585A0D4D" w14:textId="77777777">
        <w:tc>
          <w:tcPr>
            <w:tcW w:w="4121" w:type="pct"/>
            <w:tcBorders>
              <w:top w:val="single" w:sz="4" w:space="0" w:color="auto"/>
              <w:bottom w:val="single" w:sz="4" w:space="0" w:color="auto"/>
            </w:tcBorders>
          </w:tcPr>
          <w:p w14:paraId="0A0FFF9F" w14:textId="77777777" w:rsidR="00611072" w:rsidRPr="00F45F11" w:rsidRDefault="00611072">
            <w:pPr>
              <w:pStyle w:val="ARtabletextbold"/>
              <w:rPr>
                <w:rFonts w:eastAsia="Times"/>
              </w:rPr>
            </w:pPr>
            <w:r w:rsidRPr="00F45F11">
              <w:rPr>
                <w:rFonts w:eastAsia="Times"/>
              </w:rPr>
              <w:t>Additions total</w:t>
            </w:r>
          </w:p>
        </w:tc>
        <w:tc>
          <w:tcPr>
            <w:cnfStyle w:val="000001000000" w:firstRow="0" w:lastRow="0" w:firstColumn="0" w:lastColumn="0" w:oddVBand="0" w:evenVBand="1" w:oddHBand="0" w:evenHBand="0" w:firstRowFirstColumn="0" w:firstRowLastColumn="0" w:lastRowFirstColumn="0" w:lastRowLastColumn="0"/>
            <w:tcW w:w="879" w:type="pct"/>
            <w:tcBorders>
              <w:top w:val="single" w:sz="4" w:space="0" w:color="auto"/>
              <w:bottom w:val="single" w:sz="4" w:space="0" w:color="auto"/>
            </w:tcBorders>
          </w:tcPr>
          <w:p w14:paraId="22CE1DCD" w14:textId="77777777" w:rsidR="00611072" w:rsidRPr="00F45F11" w:rsidRDefault="00611072" w:rsidP="00434684">
            <w:pPr>
              <w:pStyle w:val="ARtabletextrightbold"/>
              <w:rPr>
                <w:rFonts w:eastAsia="Times"/>
              </w:rPr>
            </w:pPr>
            <w:r w:rsidRPr="00F45F11">
              <w:rPr>
                <w:rFonts w:eastAsia="Times"/>
              </w:rPr>
              <w:t>2,311</w:t>
            </w:r>
          </w:p>
        </w:tc>
      </w:tr>
      <w:tr w:rsidR="00611072" w:rsidRPr="00F45F11" w14:paraId="4F77AE3F" w14:textId="77777777">
        <w:tc>
          <w:tcPr>
            <w:tcW w:w="4121" w:type="pct"/>
            <w:tcBorders>
              <w:top w:val="single" w:sz="4" w:space="0" w:color="auto"/>
            </w:tcBorders>
          </w:tcPr>
          <w:p w14:paraId="11BD15EC" w14:textId="77777777" w:rsidR="00611072" w:rsidRPr="00F45F11" w:rsidRDefault="00611072">
            <w:pPr>
              <w:pStyle w:val="ARTabletext"/>
              <w:rPr>
                <w:rFonts w:eastAsia="Times"/>
              </w:rPr>
            </w:pPr>
            <w:r w:rsidRPr="00F45F11">
              <w:rPr>
                <w:rFonts w:eastAsia="Times"/>
              </w:rPr>
              <w:t>New handovers</w:t>
            </w:r>
          </w:p>
        </w:tc>
        <w:tc>
          <w:tcPr>
            <w:cnfStyle w:val="000001000000" w:firstRow="0" w:lastRow="0" w:firstColumn="0" w:lastColumn="0" w:oddVBand="0" w:evenVBand="1" w:oddHBand="0" w:evenHBand="0" w:firstRowFirstColumn="0" w:firstRowLastColumn="0" w:lastRowFirstColumn="0" w:lastRowLastColumn="0"/>
            <w:tcW w:w="879" w:type="pct"/>
            <w:tcBorders>
              <w:top w:val="single" w:sz="4" w:space="0" w:color="auto"/>
            </w:tcBorders>
          </w:tcPr>
          <w:p w14:paraId="1DFEB522" w14:textId="77777777" w:rsidR="00611072" w:rsidRPr="00F45F11" w:rsidRDefault="00611072" w:rsidP="006B2225">
            <w:pPr>
              <w:pStyle w:val="ARtabletextright"/>
              <w:rPr>
                <w:rFonts w:eastAsia="Times"/>
              </w:rPr>
            </w:pPr>
            <w:r w:rsidRPr="00F45F11">
              <w:rPr>
                <w:rFonts w:eastAsia="Times"/>
              </w:rPr>
              <w:t>1,921</w:t>
            </w:r>
          </w:p>
        </w:tc>
      </w:tr>
      <w:tr w:rsidR="00611072" w:rsidRPr="00F45F11" w14:paraId="0B38562E" w14:textId="77777777">
        <w:tc>
          <w:tcPr>
            <w:tcW w:w="4121" w:type="pct"/>
          </w:tcPr>
          <w:p w14:paraId="3D647902" w14:textId="77777777" w:rsidR="00611072" w:rsidRPr="00F45F11" w:rsidRDefault="00611072">
            <w:pPr>
              <w:pStyle w:val="ARTabletext"/>
              <w:rPr>
                <w:rFonts w:eastAsia="Times"/>
              </w:rPr>
            </w:pPr>
            <w:r w:rsidRPr="00F45F11">
              <w:rPr>
                <w:rFonts w:eastAsia="Times"/>
              </w:rPr>
              <w:t>Acquisition</w:t>
            </w:r>
          </w:p>
        </w:tc>
        <w:tc>
          <w:tcPr>
            <w:cnfStyle w:val="000001000000" w:firstRow="0" w:lastRow="0" w:firstColumn="0" w:lastColumn="0" w:oddVBand="0" w:evenVBand="1" w:oddHBand="0" w:evenHBand="0" w:firstRowFirstColumn="0" w:firstRowLastColumn="0" w:lastRowFirstColumn="0" w:lastRowLastColumn="0"/>
            <w:tcW w:w="879" w:type="pct"/>
          </w:tcPr>
          <w:p w14:paraId="52831E90" w14:textId="77777777" w:rsidR="00611072" w:rsidRPr="00F45F11" w:rsidRDefault="00611072" w:rsidP="006B2225">
            <w:pPr>
              <w:pStyle w:val="ARtabletextright"/>
              <w:rPr>
                <w:rFonts w:eastAsia="Times"/>
              </w:rPr>
            </w:pPr>
            <w:r w:rsidRPr="00F45F11">
              <w:rPr>
                <w:rFonts w:eastAsia="Times"/>
              </w:rPr>
              <w:t>306</w:t>
            </w:r>
          </w:p>
        </w:tc>
      </w:tr>
      <w:tr w:rsidR="00611072" w:rsidRPr="00F45F11" w14:paraId="1936CDD7" w14:textId="77777777">
        <w:tc>
          <w:tcPr>
            <w:tcW w:w="4121" w:type="pct"/>
          </w:tcPr>
          <w:p w14:paraId="0B4ECA5A" w14:textId="77777777" w:rsidR="00611072" w:rsidRPr="00F45F11" w:rsidRDefault="00611072">
            <w:pPr>
              <w:pStyle w:val="ARTabletext"/>
              <w:rPr>
                <w:rFonts w:eastAsia="Times"/>
              </w:rPr>
            </w:pPr>
            <w:r w:rsidRPr="00F45F11">
              <w:rPr>
                <w:rFonts w:eastAsia="Times"/>
              </w:rPr>
              <w:t>New short-term leases</w:t>
            </w:r>
          </w:p>
        </w:tc>
        <w:tc>
          <w:tcPr>
            <w:cnfStyle w:val="000001000000" w:firstRow="0" w:lastRow="0" w:firstColumn="0" w:lastColumn="0" w:oddVBand="0" w:evenVBand="1" w:oddHBand="0" w:evenHBand="0" w:firstRowFirstColumn="0" w:firstRowLastColumn="0" w:lastRowFirstColumn="0" w:lastRowLastColumn="0"/>
            <w:tcW w:w="879" w:type="pct"/>
          </w:tcPr>
          <w:p w14:paraId="68B5958A" w14:textId="77777777" w:rsidR="00611072" w:rsidRPr="00F45F11" w:rsidRDefault="00611072" w:rsidP="006B2225">
            <w:pPr>
              <w:pStyle w:val="ARtabletextright"/>
              <w:rPr>
                <w:rFonts w:eastAsia="Times"/>
              </w:rPr>
            </w:pPr>
            <w:r w:rsidRPr="00F45F11">
              <w:rPr>
                <w:rFonts w:eastAsia="Times"/>
              </w:rPr>
              <w:t>50</w:t>
            </w:r>
          </w:p>
        </w:tc>
      </w:tr>
      <w:tr w:rsidR="00611072" w:rsidRPr="00F45F11" w14:paraId="50263439" w14:textId="77777777">
        <w:tc>
          <w:tcPr>
            <w:tcW w:w="4121" w:type="pct"/>
            <w:tcBorders>
              <w:bottom w:val="single" w:sz="4" w:space="0" w:color="BFBFBF" w:themeColor="accent2"/>
            </w:tcBorders>
          </w:tcPr>
          <w:p w14:paraId="66836A80" w14:textId="77777777" w:rsidR="00611072" w:rsidRPr="00F45F11" w:rsidRDefault="00611072">
            <w:pPr>
              <w:pStyle w:val="ARTabletext"/>
              <w:rPr>
                <w:rFonts w:eastAsia="Times"/>
              </w:rPr>
            </w:pPr>
            <w:r w:rsidRPr="00F45F11">
              <w:rPr>
                <w:rFonts w:eastAsia="Times"/>
              </w:rPr>
              <w:t>Stock online</w:t>
            </w:r>
          </w:p>
        </w:tc>
        <w:tc>
          <w:tcPr>
            <w:cnfStyle w:val="000001000000" w:firstRow="0" w:lastRow="0" w:firstColumn="0" w:lastColumn="0" w:oddVBand="0" w:evenVBand="1" w:oddHBand="0" w:evenHBand="0" w:firstRowFirstColumn="0" w:firstRowLastColumn="0" w:lastRowFirstColumn="0" w:lastRowLastColumn="0"/>
            <w:tcW w:w="879" w:type="pct"/>
            <w:tcBorders>
              <w:bottom w:val="single" w:sz="4" w:space="0" w:color="BFBFBF" w:themeColor="accent2"/>
            </w:tcBorders>
          </w:tcPr>
          <w:p w14:paraId="5A998F95" w14:textId="77777777" w:rsidR="00611072" w:rsidRPr="00F45F11" w:rsidRDefault="00611072" w:rsidP="006B2225">
            <w:pPr>
              <w:pStyle w:val="ARtabletextright"/>
              <w:rPr>
                <w:rFonts w:eastAsia="Times"/>
              </w:rPr>
            </w:pPr>
            <w:r w:rsidRPr="00F45F11">
              <w:rPr>
                <w:rFonts w:eastAsia="Times"/>
              </w:rPr>
              <w:t>0</w:t>
            </w:r>
          </w:p>
        </w:tc>
      </w:tr>
      <w:tr w:rsidR="00611072" w:rsidRPr="00F45F11" w14:paraId="4CB2248E" w14:textId="77777777">
        <w:tc>
          <w:tcPr>
            <w:tcW w:w="4121" w:type="pct"/>
            <w:tcBorders>
              <w:bottom w:val="single" w:sz="4" w:space="0" w:color="auto"/>
            </w:tcBorders>
          </w:tcPr>
          <w:p w14:paraId="64AE5A87" w14:textId="77777777" w:rsidR="00611072" w:rsidRPr="00F45F11" w:rsidRDefault="00611072">
            <w:pPr>
              <w:pStyle w:val="ARTabletext"/>
              <w:rPr>
                <w:rFonts w:eastAsia="Times"/>
              </w:rPr>
            </w:pPr>
            <w:r w:rsidRPr="00F45F11">
              <w:rPr>
                <w:rFonts w:eastAsia="Times"/>
              </w:rPr>
              <w:t>Transferred</w:t>
            </w:r>
          </w:p>
        </w:tc>
        <w:tc>
          <w:tcPr>
            <w:cnfStyle w:val="000001000000" w:firstRow="0" w:lastRow="0" w:firstColumn="0" w:lastColumn="0" w:oddVBand="0" w:evenVBand="1" w:oddHBand="0" w:evenHBand="0" w:firstRowFirstColumn="0" w:firstRowLastColumn="0" w:lastRowFirstColumn="0" w:lastRowLastColumn="0"/>
            <w:tcW w:w="879" w:type="pct"/>
            <w:tcBorders>
              <w:bottom w:val="single" w:sz="4" w:space="0" w:color="auto"/>
            </w:tcBorders>
          </w:tcPr>
          <w:p w14:paraId="0FD3D57F" w14:textId="77777777" w:rsidR="00611072" w:rsidRPr="00F45F11" w:rsidRDefault="00611072" w:rsidP="006B2225">
            <w:pPr>
              <w:pStyle w:val="ARtabletextright"/>
              <w:rPr>
                <w:rFonts w:eastAsia="Times"/>
              </w:rPr>
            </w:pPr>
            <w:r w:rsidRPr="00F45F11">
              <w:rPr>
                <w:rFonts w:eastAsia="Times"/>
              </w:rPr>
              <w:t>34</w:t>
            </w:r>
          </w:p>
        </w:tc>
      </w:tr>
      <w:tr w:rsidR="00611072" w:rsidRPr="00F45F11" w14:paraId="4B02A829" w14:textId="77777777">
        <w:tc>
          <w:tcPr>
            <w:tcW w:w="4121" w:type="pct"/>
            <w:tcBorders>
              <w:top w:val="single" w:sz="4" w:space="0" w:color="auto"/>
              <w:bottom w:val="single" w:sz="4" w:space="0" w:color="auto"/>
            </w:tcBorders>
          </w:tcPr>
          <w:p w14:paraId="693136FF" w14:textId="77777777" w:rsidR="00611072" w:rsidRPr="00F45F11" w:rsidRDefault="00611072">
            <w:pPr>
              <w:pStyle w:val="ARtabletextbold"/>
              <w:rPr>
                <w:rFonts w:eastAsia="Times"/>
              </w:rPr>
            </w:pPr>
            <w:r w:rsidRPr="00F45F11">
              <w:rPr>
                <w:rFonts w:eastAsia="Times"/>
              </w:rPr>
              <w:t>Subtractions total</w:t>
            </w:r>
          </w:p>
        </w:tc>
        <w:tc>
          <w:tcPr>
            <w:cnfStyle w:val="000001000000" w:firstRow="0" w:lastRow="0" w:firstColumn="0" w:lastColumn="0" w:oddVBand="0" w:evenVBand="1" w:oddHBand="0" w:evenHBand="0" w:firstRowFirstColumn="0" w:firstRowLastColumn="0" w:lastRowFirstColumn="0" w:lastRowLastColumn="0"/>
            <w:tcW w:w="879" w:type="pct"/>
            <w:tcBorders>
              <w:top w:val="single" w:sz="4" w:space="0" w:color="auto"/>
              <w:bottom w:val="single" w:sz="4" w:space="0" w:color="auto"/>
            </w:tcBorders>
          </w:tcPr>
          <w:p w14:paraId="2017C58E" w14:textId="77777777" w:rsidR="00611072" w:rsidRPr="00F45F11" w:rsidRDefault="00611072" w:rsidP="00434684">
            <w:pPr>
              <w:pStyle w:val="ARtabletextrightbold"/>
              <w:rPr>
                <w:rFonts w:eastAsia="Times"/>
              </w:rPr>
            </w:pPr>
            <w:r w:rsidRPr="00F45F11">
              <w:rPr>
                <w:rFonts w:eastAsia="Times"/>
              </w:rPr>
              <w:t>895</w:t>
            </w:r>
          </w:p>
        </w:tc>
      </w:tr>
      <w:tr w:rsidR="00611072" w:rsidRPr="00F45F11" w14:paraId="509FF3F3" w14:textId="77777777">
        <w:tc>
          <w:tcPr>
            <w:tcW w:w="4121" w:type="pct"/>
            <w:tcBorders>
              <w:top w:val="single" w:sz="4" w:space="0" w:color="auto"/>
            </w:tcBorders>
          </w:tcPr>
          <w:p w14:paraId="3FFA02FD" w14:textId="77777777" w:rsidR="00611072" w:rsidRPr="00F45F11" w:rsidRDefault="00611072">
            <w:pPr>
              <w:pStyle w:val="ARTabletext"/>
              <w:rPr>
                <w:rFonts w:eastAsia="Times"/>
              </w:rPr>
            </w:pPr>
            <w:r w:rsidRPr="00F45F11">
              <w:rPr>
                <w:rFonts w:eastAsia="Times"/>
              </w:rPr>
              <w:t>Sales</w:t>
            </w:r>
          </w:p>
        </w:tc>
        <w:tc>
          <w:tcPr>
            <w:cnfStyle w:val="000001000000" w:firstRow="0" w:lastRow="0" w:firstColumn="0" w:lastColumn="0" w:oddVBand="0" w:evenVBand="1" w:oddHBand="0" w:evenHBand="0" w:firstRowFirstColumn="0" w:firstRowLastColumn="0" w:lastRowFirstColumn="0" w:lastRowLastColumn="0"/>
            <w:tcW w:w="879" w:type="pct"/>
            <w:tcBorders>
              <w:top w:val="single" w:sz="4" w:space="0" w:color="auto"/>
            </w:tcBorders>
          </w:tcPr>
          <w:p w14:paraId="7551726F" w14:textId="77777777" w:rsidR="00611072" w:rsidRPr="00F45F11" w:rsidRDefault="00611072" w:rsidP="006B2225">
            <w:pPr>
              <w:pStyle w:val="ARtabletextright"/>
              <w:rPr>
                <w:rFonts w:eastAsia="Times"/>
              </w:rPr>
            </w:pPr>
            <w:r w:rsidRPr="00F45F11">
              <w:rPr>
                <w:rFonts w:eastAsia="Times"/>
              </w:rPr>
              <w:t>152</w:t>
            </w:r>
          </w:p>
        </w:tc>
      </w:tr>
      <w:tr w:rsidR="00611072" w:rsidRPr="00F45F11" w14:paraId="4EDB999F" w14:textId="77777777">
        <w:tc>
          <w:tcPr>
            <w:tcW w:w="4121" w:type="pct"/>
          </w:tcPr>
          <w:p w14:paraId="235E9336" w14:textId="77777777" w:rsidR="00611072" w:rsidRPr="00F45F11" w:rsidRDefault="00611072">
            <w:pPr>
              <w:pStyle w:val="ARTabletext"/>
              <w:rPr>
                <w:rFonts w:eastAsia="Times"/>
              </w:rPr>
            </w:pPr>
            <w:r w:rsidRPr="00F45F11">
              <w:rPr>
                <w:rFonts w:eastAsia="Times"/>
              </w:rPr>
              <w:t>Demolitions</w:t>
            </w:r>
          </w:p>
        </w:tc>
        <w:tc>
          <w:tcPr>
            <w:cnfStyle w:val="000001000000" w:firstRow="0" w:lastRow="0" w:firstColumn="0" w:lastColumn="0" w:oddVBand="0" w:evenVBand="1" w:oddHBand="0" w:evenHBand="0" w:firstRowFirstColumn="0" w:firstRowLastColumn="0" w:lastRowFirstColumn="0" w:lastRowLastColumn="0"/>
            <w:tcW w:w="879" w:type="pct"/>
          </w:tcPr>
          <w:p w14:paraId="7E424199" w14:textId="77777777" w:rsidR="00611072" w:rsidRPr="00F45F11" w:rsidRDefault="00611072" w:rsidP="006B2225">
            <w:pPr>
              <w:pStyle w:val="ARtabletextright"/>
              <w:rPr>
                <w:rFonts w:eastAsia="Times"/>
              </w:rPr>
            </w:pPr>
            <w:r w:rsidRPr="00F45F11">
              <w:rPr>
                <w:rFonts w:eastAsia="Times"/>
              </w:rPr>
              <w:t>322</w:t>
            </w:r>
          </w:p>
        </w:tc>
      </w:tr>
      <w:tr w:rsidR="00611072" w:rsidRPr="00F45F11" w14:paraId="2FDB6B91" w14:textId="77777777">
        <w:tc>
          <w:tcPr>
            <w:tcW w:w="4121" w:type="pct"/>
          </w:tcPr>
          <w:p w14:paraId="59A13929" w14:textId="77777777" w:rsidR="00611072" w:rsidRPr="00F45F11" w:rsidRDefault="00611072">
            <w:pPr>
              <w:pStyle w:val="ARTabletext"/>
              <w:rPr>
                <w:rFonts w:eastAsia="Times"/>
              </w:rPr>
            </w:pPr>
            <w:r w:rsidRPr="00F45F11">
              <w:rPr>
                <w:rFonts w:eastAsia="Times"/>
              </w:rPr>
              <w:t>Short-term lease hand backs</w:t>
            </w:r>
          </w:p>
        </w:tc>
        <w:tc>
          <w:tcPr>
            <w:cnfStyle w:val="000001000000" w:firstRow="0" w:lastRow="0" w:firstColumn="0" w:lastColumn="0" w:oddVBand="0" w:evenVBand="1" w:oddHBand="0" w:evenHBand="0" w:firstRowFirstColumn="0" w:firstRowLastColumn="0" w:lastRowFirstColumn="0" w:lastRowLastColumn="0"/>
            <w:tcW w:w="879" w:type="pct"/>
          </w:tcPr>
          <w:p w14:paraId="191AAFEA" w14:textId="77777777" w:rsidR="00611072" w:rsidRPr="00F45F11" w:rsidRDefault="00611072" w:rsidP="006B2225">
            <w:pPr>
              <w:pStyle w:val="ARtabletextright"/>
              <w:rPr>
                <w:rFonts w:eastAsia="Times"/>
              </w:rPr>
            </w:pPr>
            <w:r w:rsidRPr="00F45F11">
              <w:rPr>
                <w:rFonts w:eastAsia="Times"/>
              </w:rPr>
              <w:t>74</w:t>
            </w:r>
          </w:p>
        </w:tc>
      </w:tr>
      <w:tr w:rsidR="00611072" w:rsidRPr="00F45F11" w14:paraId="00E6C75E" w14:textId="77777777">
        <w:tc>
          <w:tcPr>
            <w:tcW w:w="4121" w:type="pct"/>
          </w:tcPr>
          <w:p w14:paraId="0FBA5F10" w14:textId="77777777" w:rsidR="00611072" w:rsidRPr="00F45F11" w:rsidRDefault="00611072">
            <w:pPr>
              <w:pStyle w:val="ARTabletext"/>
              <w:rPr>
                <w:rFonts w:eastAsia="Times"/>
              </w:rPr>
            </w:pPr>
            <w:r w:rsidRPr="00F45F11">
              <w:rPr>
                <w:rFonts w:eastAsia="Times"/>
              </w:rPr>
              <w:t>Stock offline</w:t>
            </w:r>
          </w:p>
        </w:tc>
        <w:tc>
          <w:tcPr>
            <w:cnfStyle w:val="000001000000" w:firstRow="0" w:lastRow="0" w:firstColumn="0" w:lastColumn="0" w:oddVBand="0" w:evenVBand="1" w:oddHBand="0" w:evenHBand="0" w:firstRowFirstColumn="0" w:firstRowLastColumn="0" w:lastRowFirstColumn="0" w:lastRowLastColumn="0"/>
            <w:tcW w:w="879" w:type="pct"/>
          </w:tcPr>
          <w:p w14:paraId="7BDDA3ED" w14:textId="77777777" w:rsidR="00611072" w:rsidRPr="00F45F11" w:rsidRDefault="00611072" w:rsidP="006B2225">
            <w:pPr>
              <w:pStyle w:val="ARtabletextright"/>
              <w:rPr>
                <w:rFonts w:eastAsia="Times"/>
              </w:rPr>
            </w:pPr>
            <w:r w:rsidRPr="00F45F11">
              <w:rPr>
                <w:rFonts w:eastAsia="Times"/>
              </w:rPr>
              <w:t>0</w:t>
            </w:r>
          </w:p>
        </w:tc>
      </w:tr>
      <w:tr w:rsidR="00611072" w:rsidRPr="00F45F11" w14:paraId="2C788841" w14:textId="77777777">
        <w:tc>
          <w:tcPr>
            <w:tcW w:w="4121" w:type="pct"/>
          </w:tcPr>
          <w:p w14:paraId="307B15D3" w14:textId="77777777" w:rsidR="00611072" w:rsidRPr="00F45F11" w:rsidRDefault="00611072">
            <w:pPr>
              <w:pStyle w:val="ARTabletext"/>
              <w:rPr>
                <w:rFonts w:eastAsia="Times"/>
              </w:rPr>
            </w:pPr>
            <w:r w:rsidRPr="00F45F11">
              <w:rPr>
                <w:rFonts w:eastAsia="Times"/>
              </w:rPr>
              <w:t>Stock conversion reductions</w:t>
            </w:r>
          </w:p>
        </w:tc>
        <w:tc>
          <w:tcPr>
            <w:cnfStyle w:val="000001000000" w:firstRow="0" w:lastRow="0" w:firstColumn="0" w:lastColumn="0" w:oddVBand="0" w:evenVBand="1" w:oddHBand="0" w:evenHBand="0" w:firstRowFirstColumn="0" w:firstRowLastColumn="0" w:lastRowFirstColumn="0" w:lastRowLastColumn="0"/>
            <w:tcW w:w="879" w:type="pct"/>
          </w:tcPr>
          <w:p w14:paraId="7D010DBA" w14:textId="77777777" w:rsidR="00611072" w:rsidRPr="00F45F11" w:rsidRDefault="00611072" w:rsidP="006B2225">
            <w:pPr>
              <w:pStyle w:val="ARtabletextright"/>
              <w:rPr>
                <w:rFonts w:eastAsia="Times"/>
              </w:rPr>
            </w:pPr>
            <w:r w:rsidRPr="00F45F11">
              <w:rPr>
                <w:rFonts w:eastAsia="Times"/>
              </w:rPr>
              <w:t>4</w:t>
            </w:r>
          </w:p>
        </w:tc>
      </w:tr>
      <w:tr w:rsidR="00611072" w:rsidRPr="00F45F11" w14:paraId="2D437198" w14:textId="77777777">
        <w:tc>
          <w:tcPr>
            <w:tcW w:w="4121" w:type="pct"/>
          </w:tcPr>
          <w:p w14:paraId="270FE23B" w14:textId="77777777" w:rsidR="00611072" w:rsidRPr="00F45F11" w:rsidRDefault="00611072">
            <w:pPr>
              <w:pStyle w:val="ARTabletext"/>
              <w:rPr>
                <w:rFonts w:eastAsia="Times"/>
              </w:rPr>
            </w:pPr>
            <w:r w:rsidRPr="00F45F11">
              <w:rPr>
                <w:rFonts w:eastAsia="Times"/>
              </w:rPr>
              <w:t>Transferred</w:t>
            </w:r>
          </w:p>
        </w:tc>
        <w:tc>
          <w:tcPr>
            <w:cnfStyle w:val="000001000000" w:firstRow="0" w:lastRow="0" w:firstColumn="0" w:lastColumn="0" w:oddVBand="0" w:evenVBand="1" w:oddHBand="0" w:evenHBand="0" w:firstRowFirstColumn="0" w:firstRowLastColumn="0" w:lastRowFirstColumn="0" w:lastRowLastColumn="0"/>
            <w:tcW w:w="879" w:type="pct"/>
          </w:tcPr>
          <w:p w14:paraId="2766C940" w14:textId="77777777" w:rsidR="00611072" w:rsidRPr="00F45F11" w:rsidRDefault="00611072" w:rsidP="006B2225">
            <w:pPr>
              <w:pStyle w:val="ARtabletextright"/>
              <w:rPr>
                <w:rFonts w:eastAsia="Times"/>
              </w:rPr>
            </w:pPr>
            <w:r w:rsidRPr="00F45F11">
              <w:rPr>
                <w:rFonts w:eastAsia="Times"/>
              </w:rPr>
              <w:t>261</w:t>
            </w:r>
          </w:p>
        </w:tc>
      </w:tr>
      <w:tr w:rsidR="00611072" w:rsidRPr="00F45F11" w14:paraId="0FD2B5E3" w14:textId="77777777">
        <w:tc>
          <w:tcPr>
            <w:tcW w:w="4121" w:type="pct"/>
          </w:tcPr>
          <w:p w14:paraId="0F69A9CA" w14:textId="77777777" w:rsidR="00611072" w:rsidRPr="00F45F11" w:rsidRDefault="00611072">
            <w:pPr>
              <w:pStyle w:val="ARTabletext"/>
              <w:rPr>
                <w:rFonts w:eastAsia="Times"/>
              </w:rPr>
            </w:pPr>
            <w:r w:rsidRPr="00F45F11">
              <w:rPr>
                <w:rFonts w:eastAsia="Times"/>
              </w:rPr>
              <w:t>Other community housing disposals</w:t>
            </w:r>
          </w:p>
        </w:tc>
        <w:tc>
          <w:tcPr>
            <w:cnfStyle w:val="000001000000" w:firstRow="0" w:lastRow="0" w:firstColumn="0" w:lastColumn="0" w:oddVBand="0" w:evenVBand="1" w:oddHBand="0" w:evenHBand="0" w:firstRowFirstColumn="0" w:firstRowLastColumn="0" w:lastRowFirstColumn="0" w:lastRowLastColumn="0"/>
            <w:tcW w:w="879" w:type="pct"/>
          </w:tcPr>
          <w:p w14:paraId="63A36E7E" w14:textId="77777777" w:rsidR="00611072" w:rsidRPr="00F45F11" w:rsidRDefault="00611072" w:rsidP="006B2225">
            <w:pPr>
              <w:pStyle w:val="ARtabletextright"/>
              <w:rPr>
                <w:rFonts w:eastAsia="Times"/>
              </w:rPr>
            </w:pPr>
            <w:r w:rsidRPr="00F45F11">
              <w:rPr>
                <w:rFonts w:eastAsia="Times"/>
              </w:rPr>
              <w:t>82</w:t>
            </w:r>
          </w:p>
        </w:tc>
      </w:tr>
      <w:tr w:rsidR="00611072" w:rsidRPr="00F45F11" w14:paraId="3C72373A" w14:textId="77777777">
        <w:trPr>
          <w:cnfStyle w:val="010000000000" w:firstRow="0" w:lastRow="1" w:firstColumn="0" w:lastColumn="0" w:oddVBand="0" w:evenVBand="0" w:oddHBand="0" w:evenHBand="0" w:firstRowFirstColumn="0" w:firstRowLastColumn="0" w:lastRowFirstColumn="0" w:lastRowLastColumn="0"/>
        </w:trPr>
        <w:tc>
          <w:tcPr>
            <w:tcW w:w="4121" w:type="pct"/>
          </w:tcPr>
          <w:p w14:paraId="21987E56" w14:textId="77777777" w:rsidR="00611072" w:rsidRPr="00F45F11" w:rsidRDefault="00611072">
            <w:pPr>
              <w:pStyle w:val="ARtabletextbold"/>
              <w:rPr>
                <w:rFonts w:eastAsia="Times"/>
              </w:rPr>
            </w:pPr>
            <w:r w:rsidRPr="00F45F11">
              <w:rPr>
                <w:rFonts w:eastAsia="Times"/>
              </w:rPr>
              <w:t xml:space="preserve">Stock </w:t>
            </w:r>
            <w:proofErr w:type="gramStart"/>
            <w:r w:rsidRPr="00F45F11">
              <w:rPr>
                <w:rFonts w:eastAsia="Times"/>
              </w:rPr>
              <w:t>at</w:t>
            </w:r>
            <w:proofErr w:type="gramEnd"/>
            <w:r w:rsidRPr="00F45F11">
              <w:rPr>
                <w:rFonts w:eastAsia="Times"/>
              </w:rPr>
              <w:t xml:space="preserve"> 30 June 2026</w:t>
            </w:r>
          </w:p>
        </w:tc>
        <w:tc>
          <w:tcPr>
            <w:cnfStyle w:val="000001000000" w:firstRow="0" w:lastRow="0" w:firstColumn="0" w:lastColumn="0" w:oddVBand="0" w:evenVBand="1" w:oddHBand="0" w:evenHBand="0" w:firstRowFirstColumn="0" w:firstRowLastColumn="0" w:lastRowFirstColumn="0" w:lastRowLastColumn="0"/>
            <w:tcW w:w="879" w:type="pct"/>
          </w:tcPr>
          <w:p w14:paraId="72337DE9" w14:textId="77777777" w:rsidR="00611072" w:rsidRPr="00F45F11" w:rsidRDefault="00611072" w:rsidP="006B2225">
            <w:pPr>
              <w:pStyle w:val="ARtabletextrightbold"/>
              <w:rPr>
                <w:rFonts w:eastAsia="Times"/>
              </w:rPr>
            </w:pPr>
            <w:r w:rsidRPr="00F45F11">
              <w:rPr>
                <w:rFonts w:eastAsia="Times"/>
              </w:rPr>
              <w:t>92,484</w:t>
            </w:r>
          </w:p>
        </w:tc>
      </w:tr>
    </w:tbl>
    <w:p w14:paraId="04BD6EFC" w14:textId="77777777" w:rsidR="00611072" w:rsidRPr="00F45F11" w:rsidRDefault="00611072" w:rsidP="00611072">
      <w:pPr>
        <w:pStyle w:val="ARTablefigurenote"/>
        <w:rPr>
          <w:rFonts w:eastAsia="Times"/>
        </w:rPr>
      </w:pPr>
      <w:r w:rsidRPr="00F45F11">
        <w:rPr>
          <w:rFonts w:eastAsia="Times"/>
        </w:rPr>
        <w:t>Notes:</w:t>
      </w:r>
    </w:p>
    <w:p w14:paraId="725774E3" w14:textId="77777777" w:rsidR="00611072" w:rsidRPr="00F45F11" w:rsidRDefault="00611072" w:rsidP="00611072">
      <w:pPr>
        <w:pStyle w:val="ARtablefigurenotebullet"/>
        <w:rPr>
          <w:rFonts w:eastAsia="Times"/>
        </w:rPr>
      </w:pPr>
      <w:r w:rsidRPr="00F45F11">
        <w:rPr>
          <w:rFonts w:eastAsia="Times"/>
        </w:rPr>
        <w:t>Data includes Homes Victoria owned units (including leases and other Homes Victoria managed units) and community-owned units.</w:t>
      </w:r>
    </w:p>
    <w:p w14:paraId="202C2346" w14:textId="77777777" w:rsidR="00611072" w:rsidRPr="00F45F11" w:rsidRDefault="00611072" w:rsidP="00611072">
      <w:pPr>
        <w:pStyle w:val="ARtablefigurenotebullet"/>
        <w:rPr>
          <w:rFonts w:eastAsia="Times"/>
        </w:rPr>
      </w:pPr>
      <w:r w:rsidRPr="00F45F11">
        <w:rPr>
          <w:rFonts w:eastAsia="Times"/>
        </w:rPr>
        <w:t>Transferred (additions) relates to homes previously used for other government or social enterprise programs transferred to social housing.</w:t>
      </w:r>
    </w:p>
    <w:p w14:paraId="74470238" w14:textId="1E38144C" w:rsidR="000D720E" w:rsidRPr="000D720E" w:rsidRDefault="00611072" w:rsidP="000D720E">
      <w:pPr>
        <w:pStyle w:val="ARtablefigurenotebullet"/>
        <w:rPr>
          <w:rFonts w:eastAsia="Times"/>
        </w:rPr>
      </w:pPr>
      <w:r w:rsidRPr="00F45F11">
        <w:rPr>
          <w:rFonts w:eastAsia="Times"/>
        </w:rPr>
        <w:t>Transferred (subtractions) relates to homes previously used for social housing transferred to other government programs, including out-of-home care for children and mental health youth residential programs</w:t>
      </w:r>
    </w:p>
    <w:p w14:paraId="129BD174" w14:textId="77777777" w:rsidR="00C01322" w:rsidRDefault="00823A50" w:rsidP="002A4AAC">
      <w:pPr>
        <w:pStyle w:val="Heading2"/>
      </w:pPr>
      <w:bookmarkStart w:id="251" w:name="_Freedom_of_information_1"/>
      <w:bookmarkStart w:id="252" w:name="_Toc241131728"/>
      <w:bookmarkEnd w:id="250"/>
      <w:bookmarkEnd w:id="251"/>
      <w:r w:rsidRPr="00F45F11">
        <w:t>Freedom of information</w:t>
      </w:r>
      <w:bookmarkEnd w:id="245"/>
      <w:bookmarkEnd w:id="246"/>
      <w:bookmarkEnd w:id="247"/>
      <w:bookmarkEnd w:id="248"/>
      <w:bookmarkEnd w:id="249"/>
      <w:bookmarkEnd w:id="252"/>
    </w:p>
    <w:p w14:paraId="56C6254F" w14:textId="77777777" w:rsidR="00823A50" w:rsidRPr="00F45F11" w:rsidRDefault="00823A50" w:rsidP="006E53AA">
      <w:pPr>
        <w:pStyle w:val="ARBody"/>
      </w:pPr>
      <w:r w:rsidRPr="00F45F11">
        <w:t xml:space="preserve">The </w:t>
      </w:r>
      <w:r w:rsidRPr="00A124D1">
        <w:rPr>
          <w:rStyle w:val="Emphasis"/>
        </w:rPr>
        <w:t xml:space="preserve">Freedom of Information Act 1982 </w:t>
      </w:r>
      <w:r w:rsidRPr="00F45F11">
        <w:t>aims to extend as far as possible the right of the community to access information held by the Victorian Government and other bodies subject to the Act.</w:t>
      </w:r>
    </w:p>
    <w:p w14:paraId="0A9223DD" w14:textId="0961AB08" w:rsidR="00823A50" w:rsidRPr="00F45F11" w:rsidRDefault="00823A50" w:rsidP="006E53AA">
      <w:pPr>
        <w:pStyle w:val="ARBody"/>
      </w:pPr>
      <w:r w:rsidRPr="00F45F11">
        <w:t>The Act allows the department to refuse access, either fully or partially, to certain documents or information.</w:t>
      </w:r>
    </w:p>
    <w:p w14:paraId="5B86A4B4" w14:textId="77777777" w:rsidR="000D720E" w:rsidRDefault="00823A50" w:rsidP="006E53AA">
      <w:pPr>
        <w:pStyle w:val="ARBody"/>
      </w:pPr>
      <w:r w:rsidRPr="00F45F11">
        <w:t>Examples of documents that may not be accessed include Cabinet documents, some internal working documents, law enforcement documents, documents covered by legal professional privilege, such as legal advice, personal information about other people and documents relating to trade</w:t>
      </w:r>
      <w:r w:rsidR="00C01322">
        <w:t> </w:t>
      </w:r>
      <w:r w:rsidRPr="00F45F11">
        <w:t xml:space="preserve">secrets. </w:t>
      </w:r>
    </w:p>
    <w:p w14:paraId="237698CC" w14:textId="57697D08" w:rsidR="00823A50" w:rsidRPr="00F45F11" w:rsidRDefault="00823A50" w:rsidP="006E53AA">
      <w:pPr>
        <w:pStyle w:val="ARBody"/>
      </w:pPr>
      <w:r w:rsidRPr="00F45F11">
        <w:t>The Act provides a 30-day period for processing requests. This time may be extended where consultation is required and by agreement with the applicant.</w:t>
      </w:r>
    </w:p>
    <w:p w14:paraId="4EDC8761" w14:textId="77777777" w:rsidR="000D720E" w:rsidRDefault="00823A50" w:rsidP="006E53AA">
      <w:pPr>
        <w:pStyle w:val="ARBody"/>
      </w:pPr>
      <w:r w:rsidRPr="00F45F11">
        <w:t>If an applicant is not satisfied with a decision made by the department, including a decision about whether the application fee is to be waived, the applicant has the right to seek a review by the Office of the Victorian Information Commissioner within 28 days of receiving a decision letter.</w:t>
      </w:r>
    </w:p>
    <w:p w14:paraId="38376995" w14:textId="77777777" w:rsidR="00823A50" w:rsidRPr="00F45F11" w:rsidRDefault="00823A50" w:rsidP="000D720E">
      <w:pPr>
        <w:pStyle w:val="Heading3"/>
      </w:pPr>
      <w:bookmarkStart w:id="253" w:name="_Ref178661069"/>
      <w:r w:rsidRPr="00F45F11">
        <w:t>Making a request</w:t>
      </w:r>
      <w:bookmarkEnd w:id="253"/>
    </w:p>
    <w:p w14:paraId="40DA4ACD" w14:textId="77777777" w:rsidR="00823A50" w:rsidRPr="00F45F11" w:rsidRDefault="00823A50" w:rsidP="006E53AA">
      <w:pPr>
        <w:pStyle w:val="ARBody"/>
        <w:rPr>
          <w:highlight w:val="cyan"/>
          <w:lang w:eastAsia="en-AU"/>
        </w:rPr>
      </w:pPr>
      <w:r w:rsidRPr="00F45F11">
        <w:rPr>
          <w:lang w:eastAsia="en-AU"/>
        </w:rPr>
        <w:t>Access to documents may be obtained through written request to the department’s Freedom of Information Unit, pursuant to s. 17 of the Act.</w:t>
      </w:r>
    </w:p>
    <w:p w14:paraId="117473DE" w14:textId="77777777" w:rsidR="00823A50" w:rsidRPr="00F45F11" w:rsidRDefault="00823A50" w:rsidP="006E53AA">
      <w:pPr>
        <w:pStyle w:val="ARBody"/>
        <w:rPr>
          <w:lang w:eastAsia="en-AU"/>
        </w:rPr>
      </w:pPr>
      <w:r w:rsidRPr="00F45F11">
        <w:rPr>
          <w:lang w:eastAsia="en-AU"/>
        </w:rPr>
        <w:t>In summary, the requirements for making a request are:</w:t>
      </w:r>
    </w:p>
    <w:p w14:paraId="3B8DB383" w14:textId="77777777" w:rsidR="00823A50" w:rsidRPr="00F45F11" w:rsidRDefault="00823A50" w:rsidP="00F15878">
      <w:pPr>
        <w:pStyle w:val="ARBullet1"/>
        <w:rPr>
          <w:lang w:eastAsia="en-AU"/>
        </w:rPr>
      </w:pPr>
      <w:r w:rsidRPr="00F45F11">
        <w:rPr>
          <w:lang w:eastAsia="en-AU"/>
        </w:rPr>
        <w:t>it must be in writing</w:t>
      </w:r>
    </w:p>
    <w:p w14:paraId="462C7458" w14:textId="77777777" w:rsidR="00823A50" w:rsidRPr="00F45F11" w:rsidRDefault="00823A50" w:rsidP="00F15878">
      <w:pPr>
        <w:pStyle w:val="ARBullet1"/>
        <w:rPr>
          <w:lang w:eastAsia="en-AU"/>
        </w:rPr>
      </w:pPr>
      <w:r w:rsidRPr="00F45F11">
        <w:rPr>
          <w:lang w:eastAsia="en-AU"/>
        </w:rPr>
        <w:t>it should provide such information concerning the document as is reasonably necessary to enable identification of the document</w:t>
      </w:r>
    </w:p>
    <w:p w14:paraId="2252FB9B" w14:textId="578C143A" w:rsidR="00985837" w:rsidRPr="00F45F11" w:rsidRDefault="00823A50" w:rsidP="00F15878">
      <w:pPr>
        <w:pStyle w:val="ARBullet1"/>
        <w:rPr>
          <w:lang w:eastAsia="en-AU"/>
        </w:rPr>
      </w:pPr>
      <w:r w:rsidRPr="00F45F11">
        <w:rPr>
          <w:lang w:eastAsia="en-AU"/>
        </w:rPr>
        <w:t>it should be accompanied by the application fee of $33.60 (the fee may be waived in certain circumstances).</w:t>
      </w:r>
    </w:p>
    <w:p w14:paraId="456E67CC" w14:textId="0869A314" w:rsidR="00823A50" w:rsidRPr="00F45F11" w:rsidRDefault="00823A50" w:rsidP="00C01322">
      <w:pPr>
        <w:pStyle w:val="ARBodyafterbullets"/>
        <w:rPr>
          <w:lang w:eastAsia="en-AU"/>
        </w:rPr>
      </w:pPr>
      <w:r w:rsidRPr="00F45F11">
        <w:rPr>
          <w:lang w:eastAsia="en-AU"/>
        </w:rPr>
        <w:t>Requests for documents in the department’s possession should be addressed to:</w:t>
      </w:r>
    </w:p>
    <w:p w14:paraId="3790D1A1" w14:textId="77777777" w:rsidR="00823A50" w:rsidRPr="00F45F11" w:rsidRDefault="00823A50" w:rsidP="0098152E">
      <w:pPr>
        <w:pStyle w:val="ARBodynospace"/>
      </w:pPr>
      <w:r w:rsidRPr="00F45F11">
        <w:t>Freedom of Information Unit</w:t>
      </w:r>
    </w:p>
    <w:p w14:paraId="49C6E322" w14:textId="77777777" w:rsidR="00823A50" w:rsidRPr="00F45F11" w:rsidRDefault="00823A50" w:rsidP="0098152E">
      <w:pPr>
        <w:pStyle w:val="ARBodynospace"/>
      </w:pPr>
      <w:r w:rsidRPr="00F45F11">
        <w:t>Department of Families, Fairness and Housing</w:t>
      </w:r>
    </w:p>
    <w:p w14:paraId="6E045A6D" w14:textId="77777777" w:rsidR="00823A50" w:rsidRPr="00F45F11" w:rsidRDefault="00823A50" w:rsidP="0098152E">
      <w:pPr>
        <w:pStyle w:val="ARBodynospace"/>
      </w:pPr>
      <w:r w:rsidRPr="00F45F11">
        <w:t>GPO Box 1774</w:t>
      </w:r>
    </w:p>
    <w:p w14:paraId="380E07F3" w14:textId="77777777" w:rsidR="00823A50" w:rsidRDefault="00823A50" w:rsidP="006E53AA">
      <w:pPr>
        <w:pStyle w:val="ARBody"/>
      </w:pPr>
      <w:r w:rsidRPr="00F45F11">
        <w:t>Melbourne VIC 3001</w:t>
      </w:r>
    </w:p>
    <w:p w14:paraId="0D53D4F7" w14:textId="6D80E2B2" w:rsidR="00823A50" w:rsidRPr="00F45F11" w:rsidRDefault="00823A50" w:rsidP="006E53AA">
      <w:pPr>
        <w:pStyle w:val="ARBody"/>
      </w:pPr>
      <w:r w:rsidRPr="00F45F11">
        <w:t>Requests and payment of the application fee</w:t>
      </w:r>
      <w:r w:rsidR="00063D19" w:rsidRPr="00F45F11">
        <w:t xml:space="preserve"> </w:t>
      </w:r>
      <w:r w:rsidRPr="00F45F11">
        <w:t xml:space="preserve">can also be lodged online with the </w:t>
      </w:r>
      <w:hyperlink r:id="rId80" w:history="1">
        <w:r w:rsidRPr="00F45F11">
          <w:rPr>
            <w:rStyle w:val="Hyperlink"/>
          </w:rPr>
          <w:t>Office of the</w:t>
        </w:r>
        <w:r w:rsidR="002D2726" w:rsidRPr="00F45F11">
          <w:rPr>
            <w:rStyle w:val="Hyperlink"/>
          </w:rPr>
          <w:t> </w:t>
        </w:r>
        <w:r w:rsidRPr="00F45F11">
          <w:rPr>
            <w:rStyle w:val="Hyperlink"/>
          </w:rPr>
          <w:t>Victorian Information Commissioner</w:t>
        </w:r>
      </w:hyperlink>
      <w:r w:rsidRPr="00F45F11">
        <w:t>.</w:t>
      </w:r>
      <w:r w:rsidRPr="00F45F11">
        <w:rPr>
          <w:rStyle w:val="FootnoteReference"/>
        </w:rPr>
        <w:footnoteReference w:id="26"/>
      </w:r>
      <w:r w:rsidRPr="00F45F11">
        <w:t xml:space="preserve"> </w:t>
      </w:r>
    </w:p>
    <w:p w14:paraId="641DB97B" w14:textId="77777777" w:rsidR="00823A50" w:rsidRPr="00F45F11" w:rsidRDefault="00823A50" w:rsidP="006E53AA">
      <w:pPr>
        <w:pStyle w:val="ARBody"/>
      </w:pPr>
      <w:r w:rsidRPr="00F45F11">
        <w:t>Telephone enquiries can be made by calling 1300 151 883.</w:t>
      </w:r>
    </w:p>
    <w:p w14:paraId="36E7E3D5" w14:textId="77777777" w:rsidR="00C01322" w:rsidRDefault="00823A50" w:rsidP="00C01322">
      <w:pPr>
        <w:pStyle w:val="ARBody"/>
      </w:pPr>
      <w:r w:rsidRPr="00F45F11">
        <w:t>Access charges for photocopying and search retrieval may also apply once the request has been finalised.</w:t>
      </w:r>
    </w:p>
    <w:p w14:paraId="319A2701" w14:textId="26CE91B9" w:rsidR="00823A50" w:rsidRPr="00F45F11" w:rsidRDefault="00823A50" w:rsidP="00C01322">
      <w:pPr>
        <w:pStyle w:val="Heading3"/>
      </w:pPr>
      <w:r w:rsidRPr="00F45F11">
        <w:t>FOI statistics/timeliness</w:t>
      </w:r>
    </w:p>
    <w:p w14:paraId="01D716FA" w14:textId="2EF88368" w:rsidR="00823A50" w:rsidRPr="00F45F11" w:rsidRDefault="00823A50" w:rsidP="006E53AA">
      <w:pPr>
        <w:pStyle w:val="ARBody"/>
      </w:pPr>
      <w:r w:rsidRPr="00F45F11">
        <w:t>During 2025–2026, 3,132 applications were received. Of these, 25 were from Members of</w:t>
      </w:r>
      <w:r w:rsidR="0098152E" w:rsidRPr="00F45F11">
        <w:t> </w:t>
      </w:r>
      <w:r w:rsidRPr="00F45F11">
        <w:t>Parliament, 4 were from the media, and the remainder were from the public.</w:t>
      </w:r>
    </w:p>
    <w:p w14:paraId="33991E7B" w14:textId="77777777" w:rsidR="00823A50" w:rsidRPr="00F45F11" w:rsidRDefault="00823A50" w:rsidP="006E53AA">
      <w:pPr>
        <w:pStyle w:val="ARBody"/>
      </w:pPr>
      <w:bookmarkStart w:id="254" w:name="_Ref52282040"/>
      <w:r w:rsidRPr="00F45F11">
        <w:t>The department made 1,242 FOI decisions and processed 38% of requests within the statutory period. Of the requests finalised, 31% were granted in full or in part.</w:t>
      </w:r>
    </w:p>
    <w:p w14:paraId="6ED8F187" w14:textId="13B6BE22" w:rsidR="000D720E" w:rsidRDefault="00823A50" w:rsidP="006E53AA">
      <w:pPr>
        <w:pStyle w:val="ARBody"/>
      </w:pPr>
      <w:r w:rsidRPr="00F45F11">
        <w:t>Fifty-nine decisions were subject to review by the Office of the Victorian Information Commissioner, and 11 appeals were made to the Victorian Civil and</w:t>
      </w:r>
      <w:r w:rsidR="00E067EB" w:rsidRPr="00F45F11">
        <w:t> </w:t>
      </w:r>
      <w:r w:rsidRPr="00F45F11">
        <w:t>Administrative Tribunal</w:t>
      </w:r>
      <w:bookmarkEnd w:id="254"/>
      <w:r w:rsidRPr="00F45F11">
        <w:t>.</w:t>
      </w:r>
    </w:p>
    <w:p w14:paraId="3D0D721A" w14:textId="77777777" w:rsidR="006D7571" w:rsidRDefault="006D7571" w:rsidP="00C01322">
      <w:pPr>
        <w:pStyle w:val="Heading2"/>
        <w:rPr>
          <w:rFonts w:eastAsia="MS Gothic"/>
        </w:rPr>
      </w:pPr>
      <w:bookmarkStart w:id="255" w:name="_Freedom_of_information"/>
      <w:bookmarkStart w:id="256" w:name="_Compliance_with_the_2"/>
      <w:bookmarkStart w:id="257" w:name="_Social_procurement_framework"/>
      <w:bookmarkStart w:id="258" w:name="_Environmental_performance_and"/>
      <w:bookmarkStart w:id="259" w:name="_Ref178663877"/>
      <w:bookmarkStart w:id="260" w:name="_Toc212039554"/>
      <w:bookmarkStart w:id="261" w:name="_Toc241131729"/>
      <w:bookmarkStart w:id="262" w:name="_Ref85114455"/>
      <w:bookmarkStart w:id="263" w:name="_Toc114491218"/>
      <w:bookmarkEnd w:id="255"/>
      <w:bookmarkEnd w:id="256"/>
      <w:bookmarkEnd w:id="257"/>
      <w:bookmarkEnd w:id="258"/>
      <w:r w:rsidRPr="000557CC">
        <w:rPr>
          <w:rFonts w:eastAsia="MS Gothic"/>
        </w:rPr>
        <w:t xml:space="preserve">Environmental </w:t>
      </w:r>
      <w:r w:rsidRPr="00C01322">
        <w:t>performance</w:t>
      </w:r>
      <w:r w:rsidRPr="000557CC">
        <w:rPr>
          <w:rFonts w:eastAsia="MS Gothic"/>
        </w:rPr>
        <w:t xml:space="preserve"> and impacts</w:t>
      </w:r>
      <w:bookmarkEnd w:id="259"/>
      <w:bookmarkEnd w:id="260"/>
      <w:bookmarkEnd w:id="261"/>
    </w:p>
    <w:p w14:paraId="6C183180" w14:textId="53162046" w:rsidR="00C01322" w:rsidRPr="00C01322" w:rsidRDefault="006D7571" w:rsidP="00434684">
      <w:pPr>
        <w:pStyle w:val="ARBody"/>
        <w:rPr>
          <w:rFonts w:cs="Arial"/>
          <w:szCs w:val="24"/>
        </w:rPr>
      </w:pPr>
      <w:r w:rsidRPr="000557CC">
        <w:rPr>
          <w:rFonts w:cs="Arial"/>
          <w:szCs w:val="24"/>
        </w:rPr>
        <w:t>The department aims for environmentally sustainable operations. Our corporate strategy includes sustainability and climate risk mitigation. We support the Victorian public sector in adopting new technology that reduces emissions and delivers environmental sustainability.</w:t>
      </w:r>
    </w:p>
    <w:p w14:paraId="69E608F8" w14:textId="77777777" w:rsidR="006D7571" w:rsidRPr="000557CC" w:rsidRDefault="006D7571" w:rsidP="00434684">
      <w:pPr>
        <w:pStyle w:val="Heading3"/>
        <w:rPr>
          <w:lang w:eastAsia="en-AU"/>
        </w:rPr>
      </w:pPr>
      <w:r w:rsidRPr="000557CC">
        <w:rPr>
          <w:lang w:eastAsia="en-AU"/>
        </w:rPr>
        <w:t>Highlights</w:t>
      </w:r>
    </w:p>
    <w:p w14:paraId="38F2EEA2" w14:textId="77777777" w:rsidR="006D7571" w:rsidRPr="000557CC" w:rsidRDefault="006D7571" w:rsidP="00434684">
      <w:pPr>
        <w:pStyle w:val="ARBody"/>
      </w:pPr>
      <w:r w:rsidRPr="000557CC">
        <w:rPr>
          <w:rFonts w:cs="Arial"/>
          <w:szCs w:val="24"/>
        </w:rPr>
        <w:t>Highlights for the period included:</w:t>
      </w:r>
    </w:p>
    <w:p w14:paraId="7029718B" w14:textId="77777777" w:rsidR="000D720E" w:rsidRPr="000D720E" w:rsidRDefault="006D7571" w:rsidP="00230825">
      <w:pPr>
        <w:pStyle w:val="ARBullet1"/>
        <w:rPr>
          <w:rFonts w:cs="Arial"/>
          <w:color w:val="000000"/>
          <w:szCs w:val="24"/>
        </w:rPr>
      </w:pPr>
      <w:r w:rsidRPr="000557CC">
        <w:t>continuing to deliver the Energy Efficiency in Social Housing Program. This program upgrades homes to improve thermal comfort and reduce greenhouse gas emissions.</w:t>
      </w:r>
      <w:r w:rsidR="00D91592">
        <w:t xml:space="preserve"> </w:t>
      </w:r>
      <w:r w:rsidRPr="000557CC">
        <w:t>This</w:t>
      </w:r>
      <w:r w:rsidR="00D91592">
        <w:t> </w:t>
      </w:r>
      <w:r w:rsidRPr="000557CC">
        <w:t>program</w:t>
      </w:r>
      <w:r w:rsidRPr="006D7571">
        <w:rPr>
          <w:rFonts w:cs="Arial"/>
          <w:szCs w:val="24"/>
        </w:rPr>
        <w:t xml:space="preserve"> was expanded in 2025</w:t>
      </w:r>
      <w:r w:rsidRPr="006D7571">
        <w:rPr>
          <w:rFonts w:cs="Arial"/>
          <w:szCs w:val="24"/>
          <w:vertAlign w:val="subscript"/>
        </w:rPr>
        <w:softHyphen/>
      </w:r>
      <w:r w:rsidRPr="006D7571">
        <w:rPr>
          <w:rFonts w:cs="Arial"/>
          <w:szCs w:val="24"/>
        </w:rPr>
        <w:t>–26 with an additional $120.3 million in federal funding that will broaden delivery and develop a new stream of energy</w:t>
      </w:r>
      <w:r w:rsidR="00D91592">
        <w:rPr>
          <w:rFonts w:cs="Arial"/>
          <w:szCs w:val="24"/>
        </w:rPr>
        <w:t xml:space="preserve"> </w:t>
      </w:r>
      <w:r w:rsidRPr="006D7571">
        <w:rPr>
          <w:rFonts w:cs="Arial"/>
          <w:szCs w:val="24"/>
        </w:rPr>
        <w:t>innovation</w:t>
      </w:r>
      <w:r w:rsidR="00D91592">
        <w:rPr>
          <w:rFonts w:cs="Arial"/>
          <w:szCs w:val="24"/>
        </w:rPr>
        <w:t> </w:t>
      </w:r>
      <w:r w:rsidRPr="006D7571">
        <w:rPr>
          <w:rFonts w:cs="Arial"/>
          <w:szCs w:val="24"/>
        </w:rPr>
        <w:t>pilot projects.</w:t>
      </w:r>
      <w:r w:rsidR="00D91592">
        <w:rPr>
          <w:rFonts w:cs="Arial"/>
          <w:szCs w:val="24"/>
        </w:rPr>
        <w:t xml:space="preserve"> </w:t>
      </w:r>
    </w:p>
    <w:p w14:paraId="5AB97CD7" w14:textId="00F5DAF6" w:rsidR="006D7571" w:rsidRPr="006D7571" w:rsidRDefault="006D7571" w:rsidP="00230825">
      <w:pPr>
        <w:pStyle w:val="ARBullet1"/>
        <w:rPr>
          <w:rFonts w:cs="Arial"/>
          <w:color w:val="000000"/>
          <w:szCs w:val="24"/>
        </w:rPr>
      </w:pPr>
      <w:r w:rsidRPr="006D7571">
        <w:rPr>
          <w:rFonts w:cs="Arial"/>
          <w:szCs w:val="24"/>
        </w:rPr>
        <w:t>The program will deliver </w:t>
      </w:r>
      <w:r w:rsidR="00DB5055">
        <w:rPr>
          <w:rFonts w:cs="Arial"/>
          <w:szCs w:val="24"/>
        </w:rPr>
        <w:t>5</w:t>
      </w:r>
      <w:r w:rsidRPr="006D7571">
        <w:rPr>
          <w:rFonts w:cs="Arial"/>
          <w:szCs w:val="24"/>
        </w:rPr>
        <w:t>0,000 individual upgrades</w:t>
      </w:r>
      <w:r w:rsidR="00CD1611">
        <w:rPr>
          <w:rFonts w:cs="Arial"/>
          <w:szCs w:val="24"/>
        </w:rPr>
        <w:t xml:space="preserve"> </w:t>
      </w:r>
      <w:r w:rsidRPr="006D7571">
        <w:rPr>
          <w:rFonts w:cs="Arial"/>
          <w:szCs w:val="24"/>
        </w:rPr>
        <w:t>including thermal shell improvements, efficient electric appliances and solar photovoltaic systems, with 5,000 homes to be fully electrified. By the end of 2025</w:t>
      </w:r>
      <w:r w:rsidR="00D345A1">
        <w:rPr>
          <w:rFonts w:cs="Arial"/>
          <w:szCs w:val="24"/>
        </w:rPr>
        <w:t>–</w:t>
      </w:r>
      <w:r w:rsidRPr="006D7571">
        <w:rPr>
          <w:rFonts w:cs="Arial"/>
          <w:szCs w:val="24"/>
        </w:rPr>
        <w:t xml:space="preserve">26, the program </w:t>
      </w:r>
      <w:r w:rsidR="006C5BBC">
        <w:rPr>
          <w:rFonts w:cs="Arial"/>
          <w:szCs w:val="24"/>
        </w:rPr>
        <w:t xml:space="preserve">reached over 21,000 homes and </w:t>
      </w:r>
      <w:r w:rsidRPr="006D7571">
        <w:rPr>
          <w:rFonts w:cs="Arial"/>
          <w:szCs w:val="24"/>
        </w:rPr>
        <w:t xml:space="preserve">had </w:t>
      </w:r>
      <w:r w:rsidR="00DB5055" w:rsidRPr="00DB5055">
        <w:rPr>
          <w:rFonts w:cs="Arial"/>
          <w:szCs w:val="24"/>
        </w:rPr>
        <w:t>delivered 36,000 energy-efficient upgrades and have fully electrified more than 2,700 propertie</w:t>
      </w:r>
      <w:r w:rsidR="00DB5055">
        <w:rPr>
          <w:rFonts w:cs="Arial"/>
          <w:szCs w:val="24"/>
        </w:rPr>
        <w:t>s</w:t>
      </w:r>
      <w:r w:rsidR="008A74BE">
        <w:rPr>
          <w:rFonts w:cs="Arial"/>
          <w:szCs w:val="24"/>
        </w:rPr>
        <w:t>.</w:t>
      </w:r>
    </w:p>
    <w:p w14:paraId="18F72298" w14:textId="167060AC" w:rsidR="006D7571" w:rsidRPr="006D7571" w:rsidRDefault="006D7571" w:rsidP="00230825">
      <w:pPr>
        <w:pStyle w:val="ARBullet1"/>
        <w:rPr>
          <w:rFonts w:cs="Arial"/>
          <w:szCs w:val="24"/>
        </w:rPr>
      </w:pPr>
      <w:r w:rsidRPr="000557CC">
        <w:t>cont</w:t>
      </w:r>
      <w:r w:rsidRPr="006D7571">
        <w:rPr>
          <w:rFonts w:cs="Arial"/>
          <w:szCs w:val="24"/>
        </w:rPr>
        <w:t>inuing the roll-out of the Cooling our Public Housing Towers program. By the end of 2025–26, this program had installed 1,729</w:t>
      </w:r>
      <w:r w:rsidR="00D345A1">
        <w:rPr>
          <w:rFonts w:cs="Arial"/>
          <w:szCs w:val="24"/>
        </w:rPr>
        <w:t> </w:t>
      </w:r>
      <w:r w:rsidRPr="006D7571">
        <w:rPr>
          <w:rFonts w:cs="Arial"/>
          <w:szCs w:val="24"/>
        </w:rPr>
        <w:t xml:space="preserve">relocatable air conditioners across 16 high-rise towers </w:t>
      </w:r>
    </w:p>
    <w:p w14:paraId="3D528F21" w14:textId="77777777" w:rsidR="000D720E" w:rsidRDefault="006D7571" w:rsidP="00230825">
      <w:pPr>
        <w:pStyle w:val="ARBullet1"/>
      </w:pPr>
      <w:r w:rsidRPr="000557CC">
        <w:t xml:space="preserve">continuing to supply 100% renewable energy at best-in-market pricing to public, community and affordable housing renters through our Local Energy Networks program. This program now covers 1,034 homes across 7 recently developed apartment sites. </w:t>
      </w:r>
    </w:p>
    <w:p w14:paraId="27925F1B" w14:textId="5840013A" w:rsidR="006D7571" w:rsidRPr="006D7571" w:rsidRDefault="006D7571" w:rsidP="00F77D48">
      <w:pPr>
        <w:pStyle w:val="ARBullet1"/>
        <w:spacing w:line="250" w:lineRule="atLeast"/>
        <w:rPr>
          <w:rFonts w:cs="Arial"/>
          <w:szCs w:val="24"/>
        </w:rPr>
      </w:pPr>
      <w:r w:rsidRPr="000557CC">
        <w:t xml:space="preserve">progressing the </w:t>
      </w:r>
      <w:proofErr w:type="gramStart"/>
      <w:r w:rsidRPr="00A124D1">
        <w:rPr>
          <w:rStyle w:val="Emphasis"/>
        </w:rPr>
        <w:t>Health</w:t>
      </w:r>
      <w:proofErr w:type="gramEnd"/>
      <w:r w:rsidRPr="00A124D1">
        <w:rPr>
          <w:rStyle w:val="Emphasis"/>
        </w:rPr>
        <w:t xml:space="preserve"> and human services climate change adaptation action plan </w:t>
      </w:r>
      <w:r w:rsidRPr="00A124D1">
        <w:rPr>
          <w:rStyle w:val="Emphasis"/>
        </w:rPr>
        <w:br/>
        <w:t>2022–26</w:t>
      </w:r>
      <w:r w:rsidRPr="006D7571">
        <w:rPr>
          <w:rFonts w:cs="Arial"/>
          <w:szCs w:val="24"/>
        </w:rPr>
        <w:t>. The plan focuses on actions spanning health and social housing infrastructure, public health programs and services. Activities</w:t>
      </w:r>
      <w:r w:rsidR="00C01322">
        <w:rPr>
          <w:rFonts w:cs="Arial"/>
          <w:szCs w:val="24"/>
        </w:rPr>
        <w:t> </w:t>
      </w:r>
      <w:r w:rsidRPr="006D7571">
        <w:rPr>
          <w:rFonts w:cs="Arial"/>
          <w:szCs w:val="24"/>
        </w:rPr>
        <w:t>included:</w:t>
      </w:r>
    </w:p>
    <w:p w14:paraId="35574DE6" w14:textId="0086D5A8" w:rsidR="006D7571" w:rsidRPr="000557CC" w:rsidRDefault="006D7571" w:rsidP="00F77D48">
      <w:pPr>
        <w:pStyle w:val="ARBullet2"/>
        <w:spacing w:line="250" w:lineRule="atLeast"/>
      </w:pPr>
      <w:r w:rsidRPr="000557CC">
        <w:t>improving the department’s climate risk maturity and disclosure via whole of government workstreams and participation in</w:t>
      </w:r>
      <w:r w:rsidR="006B2225">
        <w:t> </w:t>
      </w:r>
      <w:r w:rsidRPr="000557CC">
        <w:t>climate risk communities of practice</w:t>
      </w:r>
    </w:p>
    <w:p w14:paraId="71544825" w14:textId="11FF7AD1" w:rsidR="006D7571" w:rsidRPr="006D7571" w:rsidRDefault="006D7571" w:rsidP="00F77D48">
      <w:pPr>
        <w:pStyle w:val="ARBullet2"/>
        <w:spacing w:line="250" w:lineRule="atLeast"/>
        <w:rPr>
          <w:rFonts w:cs="Arial"/>
          <w:szCs w:val="24"/>
        </w:rPr>
      </w:pPr>
      <w:r w:rsidRPr="000557CC">
        <w:t xml:space="preserve">evaluating the 2022–26 </w:t>
      </w:r>
      <w:r w:rsidRPr="006D7571">
        <w:rPr>
          <w:rFonts w:cs="Arial"/>
          <w:iCs/>
          <w:szCs w:val="24"/>
        </w:rPr>
        <w:t xml:space="preserve">Health and </w:t>
      </w:r>
      <w:r w:rsidRPr="006D7571">
        <w:rPr>
          <w:rFonts w:cs="Arial"/>
          <w:szCs w:val="24"/>
        </w:rPr>
        <w:t>Human Services Adaptation Action Plan</w:t>
      </w:r>
      <w:r w:rsidRPr="006D7571">
        <w:rPr>
          <w:rFonts w:cs="Arial"/>
          <w:iCs/>
          <w:szCs w:val="24"/>
        </w:rPr>
        <w:t xml:space="preserve"> and preparing the new draft plan for the 2027</w:t>
      </w:r>
      <w:r w:rsidRPr="006D7571">
        <w:rPr>
          <w:rFonts w:cs="Arial"/>
          <w:szCs w:val="24"/>
        </w:rPr>
        <w:t>–</w:t>
      </w:r>
      <w:r w:rsidRPr="006D7571">
        <w:rPr>
          <w:rFonts w:cs="Arial"/>
          <w:iCs/>
          <w:szCs w:val="24"/>
        </w:rPr>
        <w:t xml:space="preserve">31 period for public </w:t>
      </w:r>
      <w:r w:rsidRPr="006D7571">
        <w:rPr>
          <w:rFonts w:cs="Arial"/>
          <w:szCs w:val="24"/>
        </w:rPr>
        <w:t>as required by the</w:t>
      </w:r>
      <w:r w:rsidR="00610A6F">
        <w:rPr>
          <w:rFonts w:cs="Arial"/>
          <w:szCs w:val="24"/>
        </w:rPr>
        <w:t> </w:t>
      </w:r>
      <w:r w:rsidRPr="00A124D1">
        <w:rPr>
          <w:rStyle w:val="Emphasis"/>
        </w:rPr>
        <w:t>Climate Action Act 2017</w:t>
      </w:r>
    </w:p>
    <w:p w14:paraId="49609A3E" w14:textId="1BCC9BC8" w:rsidR="006D7571" w:rsidRPr="006D7571" w:rsidRDefault="006D7571" w:rsidP="00F77D48">
      <w:pPr>
        <w:pStyle w:val="ARBullet2"/>
        <w:spacing w:line="250" w:lineRule="atLeast"/>
        <w:rPr>
          <w:rFonts w:cs="Arial"/>
          <w:szCs w:val="24"/>
        </w:rPr>
      </w:pPr>
      <w:r w:rsidRPr="000557CC">
        <w:t>completing a physical clima</w:t>
      </w:r>
      <w:r w:rsidRPr="006D7571">
        <w:rPr>
          <w:rFonts w:cs="Arial"/>
          <w:szCs w:val="24"/>
        </w:rPr>
        <w:t>te risk assessment to identify key hazards and evaluate their likelihood and consequences for assets within the portfolio. This work will inform asset management practices that improve the climate resilience of social</w:t>
      </w:r>
      <w:r w:rsidR="00C01322">
        <w:rPr>
          <w:rFonts w:cs="Arial"/>
          <w:szCs w:val="24"/>
        </w:rPr>
        <w:t> </w:t>
      </w:r>
      <w:r w:rsidRPr="006D7571">
        <w:rPr>
          <w:rFonts w:cs="Arial"/>
          <w:szCs w:val="24"/>
        </w:rPr>
        <w:t>housing.</w:t>
      </w:r>
    </w:p>
    <w:p w14:paraId="1A0A1E75" w14:textId="77777777" w:rsidR="006D7571" w:rsidRPr="000557CC" w:rsidRDefault="006D7571" w:rsidP="00434684">
      <w:pPr>
        <w:pStyle w:val="Heading3"/>
        <w:rPr>
          <w:lang w:eastAsia="en-AU"/>
        </w:rPr>
      </w:pPr>
      <w:r w:rsidRPr="000557CC">
        <w:rPr>
          <w:lang w:eastAsia="en-AU"/>
        </w:rPr>
        <w:t>Environmental management system</w:t>
      </w:r>
    </w:p>
    <w:p w14:paraId="113F317E" w14:textId="2A6429C9" w:rsidR="006D7571" w:rsidRPr="006D7571" w:rsidRDefault="006D7571" w:rsidP="00F77D48">
      <w:pPr>
        <w:pStyle w:val="ARBody"/>
        <w:spacing w:line="250" w:lineRule="atLeast"/>
      </w:pPr>
      <w:r w:rsidRPr="000557CC">
        <w:rPr>
          <w:rFonts w:cs="Arial"/>
          <w:szCs w:val="24"/>
        </w:rPr>
        <w:t>The department’s environmental management system (EMS) was developed by the Department of</w:t>
      </w:r>
      <w:r w:rsidR="006B2225">
        <w:rPr>
          <w:rFonts w:cs="Arial"/>
          <w:szCs w:val="24"/>
        </w:rPr>
        <w:t> </w:t>
      </w:r>
      <w:r w:rsidRPr="000557CC">
        <w:rPr>
          <w:rFonts w:cs="Arial"/>
          <w:szCs w:val="24"/>
        </w:rPr>
        <w:t>Health and Human Services. The EMS is a structured approach to managing the department’s environmental impacts and improving its environmental performance. It is b</w:t>
      </w:r>
      <w:r w:rsidRPr="006D7571">
        <w:rPr>
          <w:rFonts w:cs="Arial"/>
          <w:szCs w:val="24"/>
        </w:rPr>
        <w:t xml:space="preserve">ased on the national standard </w:t>
      </w:r>
      <w:r w:rsidRPr="00A124D1">
        <w:rPr>
          <w:rStyle w:val="Emphasis"/>
        </w:rPr>
        <w:t>AS/NZS ISO 14001:2016: Environmental Management Systems</w:t>
      </w:r>
      <w:r w:rsidRPr="006D7571">
        <w:rPr>
          <w:rFonts w:cs="Arial"/>
          <w:szCs w:val="24"/>
        </w:rPr>
        <w:t xml:space="preserve"> and provides a framework for the department to improve its environmental sustainability.</w:t>
      </w:r>
    </w:p>
    <w:p w14:paraId="405A7116" w14:textId="3BD507E9" w:rsidR="006D7571" w:rsidRPr="000557CC" w:rsidRDefault="006D7571" w:rsidP="00F77D48">
      <w:pPr>
        <w:pStyle w:val="ARBody"/>
        <w:spacing w:line="250" w:lineRule="atLeast"/>
      </w:pPr>
      <w:r w:rsidRPr="000557CC">
        <w:rPr>
          <w:rFonts w:cs="Arial"/>
          <w:szCs w:val="24"/>
        </w:rPr>
        <w:t>The EMS was last externally audited in 2020 and</w:t>
      </w:r>
      <w:r w:rsidR="006B2225">
        <w:rPr>
          <w:rFonts w:cs="Arial"/>
          <w:szCs w:val="24"/>
        </w:rPr>
        <w:t> </w:t>
      </w:r>
      <w:r w:rsidRPr="000557CC">
        <w:rPr>
          <w:rFonts w:cs="Arial"/>
          <w:szCs w:val="24"/>
        </w:rPr>
        <w:t>was reported to have no significant findings. An</w:t>
      </w:r>
      <w:r w:rsidR="006B2225">
        <w:rPr>
          <w:rFonts w:cs="Arial"/>
          <w:szCs w:val="24"/>
        </w:rPr>
        <w:t> </w:t>
      </w:r>
      <w:r w:rsidRPr="000557CC">
        <w:rPr>
          <w:rFonts w:cs="Arial"/>
          <w:szCs w:val="24"/>
        </w:rPr>
        <w:t>internal review of the EMS’s continued suitability</w:t>
      </w:r>
      <w:r w:rsidR="00610A6F">
        <w:rPr>
          <w:rFonts w:cs="Arial"/>
          <w:szCs w:val="24"/>
        </w:rPr>
        <w:t> </w:t>
      </w:r>
      <w:r w:rsidRPr="000557CC">
        <w:rPr>
          <w:rFonts w:cs="Arial"/>
          <w:szCs w:val="24"/>
        </w:rPr>
        <w:t>is now underway.</w:t>
      </w:r>
    </w:p>
    <w:p w14:paraId="68B12950" w14:textId="77777777" w:rsidR="006D7571" w:rsidRPr="000557CC" w:rsidRDefault="006D7571" w:rsidP="00F77D48">
      <w:pPr>
        <w:pStyle w:val="ARBody"/>
        <w:spacing w:line="250" w:lineRule="atLeast"/>
      </w:pPr>
      <w:r w:rsidRPr="000557CC">
        <w:rPr>
          <w:rFonts w:cs="Arial"/>
          <w:szCs w:val="24"/>
        </w:rPr>
        <w:t>The EMS objectives include:</w:t>
      </w:r>
    </w:p>
    <w:p w14:paraId="6F8AD779" w14:textId="77777777" w:rsidR="006D7571" w:rsidRPr="000557CC" w:rsidRDefault="006D7571" w:rsidP="00F77D48">
      <w:pPr>
        <w:pStyle w:val="ARBullet1"/>
        <w:spacing w:line="250" w:lineRule="atLeast"/>
      </w:pPr>
      <w:r w:rsidRPr="000557CC">
        <w:t>reducing greenhouse gas emissions resulting from the department’s operational activities</w:t>
      </w:r>
    </w:p>
    <w:p w14:paraId="3C792F00" w14:textId="77777777" w:rsidR="006D7571" w:rsidRPr="006D7571" w:rsidRDefault="006D7571" w:rsidP="00F77D48">
      <w:pPr>
        <w:pStyle w:val="ARBullet1"/>
        <w:spacing w:line="250" w:lineRule="atLeast"/>
        <w:rPr>
          <w:rFonts w:cs="Arial"/>
          <w:szCs w:val="24"/>
        </w:rPr>
      </w:pPr>
      <w:r w:rsidRPr="000557CC">
        <w:t xml:space="preserve">reducing the amount of waste and maximising the amount </w:t>
      </w:r>
      <w:r w:rsidRPr="006D7571">
        <w:rPr>
          <w:rFonts w:cs="Arial"/>
          <w:szCs w:val="24"/>
        </w:rPr>
        <w:t>of reused and recycled resources in procurement</w:t>
      </w:r>
    </w:p>
    <w:p w14:paraId="100CD829" w14:textId="77777777" w:rsidR="006D7571" w:rsidRPr="000557CC" w:rsidRDefault="006D7571" w:rsidP="00F77D48">
      <w:pPr>
        <w:pStyle w:val="ARBullet1"/>
        <w:spacing w:line="250" w:lineRule="atLeast"/>
      </w:pPr>
      <w:r w:rsidRPr="000557CC">
        <w:t>ensuring new capital works incorporate environmentally sustainable principles in design, construction and operation</w:t>
      </w:r>
    </w:p>
    <w:p w14:paraId="57CD6978" w14:textId="77777777" w:rsidR="006D7571" w:rsidRPr="000557CC" w:rsidRDefault="006D7571" w:rsidP="00F77D48">
      <w:pPr>
        <w:pStyle w:val="ARBullet1"/>
        <w:spacing w:line="250" w:lineRule="atLeast"/>
      </w:pPr>
      <w:r w:rsidRPr="000557CC">
        <w:t>encouraging staff to reduce environmental impacts through behaviour change</w:t>
      </w:r>
    </w:p>
    <w:p w14:paraId="7E5412DB" w14:textId="77777777" w:rsidR="006D7571" w:rsidRPr="000557CC" w:rsidRDefault="006D7571" w:rsidP="00F77D48">
      <w:pPr>
        <w:pStyle w:val="ARBullet1"/>
        <w:spacing w:line="250" w:lineRule="atLeast"/>
      </w:pPr>
      <w:r w:rsidRPr="000557CC">
        <w:t>communicating environmental performance through regular internal and public reporting.</w:t>
      </w:r>
    </w:p>
    <w:p w14:paraId="7723F961" w14:textId="77777777" w:rsidR="006D7571" w:rsidRPr="000557CC" w:rsidRDefault="006D7571" w:rsidP="00434684">
      <w:pPr>
        <w:pStyle w:val="Heading3"/>
        <w:rPr>
          <w:lang w:eastAsia="en-AU"/>
        </w:rPr>
      </w:pPr>
      <w:bookmarkStart w:id="264" w:name="_Reporting_boundary_for"/>
      <w:bookmarkEnd w:id="264"/>
      <w:r w:rsidRPr="000557CC">
        <w:rPr>
          <w:lang w:eastAsia="en-AU"/>
        </w:rPr>
        <w:t>Reporting boundary for environmental data</w:t>
      </w:r>
    </w:p>
    <w:p w14:paraId="3A22F9F2" w14:textId="3B933AF4" w:rsidR="006D7571" w:rsidRPr="006D7571" w:rsidRDefault="006D7571" w:rsidP="00434684">
      <w:pPr>
        <w:pStyle w:val="ARBody"/>
      </w:pPr>
      <w:r w:rsidRPr="000557CC">
        <w:rPr>
          <w:rFonts w:cs="Arial"/>
          <w:szCs w:val="24"/>
        </w:rPr>
        <w:t>All the operations and activities of the department are included within the organisational boundary for</w:t>
      </w:r>
      <w:r w:rsidR="006B2225">
        <w:rPr>
          <w:rFonts w:cs="Arial"/>
          <w:szCs w:val="24"/>
        </w:rPr>
        <w:t> </w:t>
      </w:r>
      <w:r w:rsidRPr="000557CC">
        <w:rPr>
          <w:rFonts w:cs="Arial"/>
          <w:szCs w:val="24"/>
        </w:rPr>
        <w:t>the 2025–26 Financial Year reporting pe</w:t>
      </w:r>
      <w:r w:rsidRPr="006D7571">
        <w:rPr>
          <w:rFonts w:cs="Arial"/>
          <w:szCs w:val="24"/>
        </w:rPr>
        <w:t>riod. The department continues to evaluate its office footprint and consider co-location and consolidation opportunities where possible.</w:t>
      </w:r>
    </w:p>
    <w:p w14:paraId="6ADB8E8E" w14:textId="77777777" w:rsidR="006D7571" w:rsidRPr="006D7571" w:rsidRDefault="006D7571" w:rsidP="00501233">
      <w:pPr>
        <w:pStyle w:val="ARTablecaption"/>
        <w:rPr>
          <w:rFonts w:eastAsia="MS PGothic"/>
          <w:bCs/>
          <w:highlight w:val="red"/>
        </w:rPr>
      </w:pPr>
      <w:r w:rsidRPr="000557CC">
        <w:rPr>
          <w:rFonts w:eastAsia="MS PGothic"/>
        </w:rPr>
        <w:t>Table 13: Staff and building reference data</w:t>
      </w:r>
    </w:p>
    <w:tbl>
      <w:tblPr>
        <w:tblStyle w:val="ARtable1"/>
        <w:tblW w:w="5000" w:type="pct"/>
        <w:tblLook w:val="02A0" w:firstRow="1" w:lastRow="0" w:firstColumn="1" w:lastColumn="0" w:noHBand="1" w:noVBand="0"/>
      </w:tblPr>
      <w:tblGrid>
        <w:gridCol w:w="3089"/>
        <w:gridCol w:w="2806"/>
        <w:gridCol w:w="2005"/>
        <w:gridCol w:w="1722"/>
      </w:tblGrid>
      <w:tr w:rsidR="006D7571" w:rsidRPr="000557CC" w14:paraId="7AD64B10" w14:textId="77777777" w:rsidTr="006B2225">
        <w:trPr>
          <w:cnfStyle w:val="100000000000" w:firstRow="1" w:lastRow="0" w:firstColumn="0" w:lastColumn="0" w:oddVBand="0" w:evenVBand="0" w:oddHBand="0" w:evenHBand="0" w:firstRowFirstColumn="0" w:firstRowLastColumn="0" w:lastRowFirstColumn="0" w:lastRowLastColumn="0"/>
          <w:trHeight w:val="332"/>
        </w:trPr>
        <w:tc>
          <w:tcPr>
            <w:tcW w:w="1605" w:type="pct"/>
          </w:tcPr>
          <w:p w14:paraId="03F8CF08" w14:textId="77777777" w:rsidR="006D7571" w:rsidRPr="000557CC" w:rsidRDefault="006D7571" w:rsidP="00434684">
            <w:pPr>
              <w:pStyle w:val="ARtablecolhead"/>
              <w:rPr>
                <w:rFonts w:eastAsia="Times"/>
                <w:lang w:eastAsia="en-AU"/>
              </w:rPr>
            </w:pPr>
            <w:r w:rsidRPr="000557CC">
              <w:rPr>
                <w:rFonts w:eastAsia="Times"/>
                <w:lang w:eastAsia="en-AU"/>
              </w:rPr>
              <w:t>Description</w:t>
            </w:r>
          </w:p>
        </w:tc>
        <w:tc>
          <w:tcPr>
            <w:cnfStyle w:val="000001000000" w:firstRow="0" w:lastRow="0" w:firstColumn="0" w:lastColumn="0" w:oddVBand="0" w:evenVBand="1" w:oddHBand="0" w:evenHBand="0" w:firstRowFirstColumn="0" w:firstRowLastColumn="0" w:lastRowFirstColumn="0" w:lastRowLastColumn="0"/>
            <w:tcW w:w="1458" w:type="pct"/>
          </w:tcPr>
          <w:p w14:paraId="7B2B19AE" w14:textId="77777777" w:rsidR="006D7571" w:rsidRPr="006B2225" w:rsidRDefault="006D7571" w:rsidP="006B2225">
            <w:pPr>
              <w:pStyle w:val="ARtablecolheadright"/>
            </w:pPr>
            <w:r w:rsidRPr="006B2225">
              <w:t>Government-owned buildings</w:t>
            </w:r>
            <w:r w:rsidRPr="0096630E">
              <w:rPr>
                <w:vertAlign w:val="superscript"/>
              </w:rPr>
              <w:t>(ii)</w:t>
            </w:r>
          </w:p>
        </w:tc>
        <w:tc>
          <w:tcPr>
            <w:tcW w:w="1042" w:type="pct"/>
          </w:tcPr>
          <w:p w14:paraId="3F8515C2" w14:textId="77777777" w:rsidR="006D7571" w:rsidRPr="006B2225" w:rsidRDefault="006D7571" w:rsidP="006B2225">
            <w:pPr>
              <w:pStyle w:val="ARtablecolheadright"/>
              <w:cnfStyle w:val="100000000000" w:firstRow="1" w:lastRow="0" w:firstColumn="0" w:lastColumn="0" w:oddVBand="0" w:evenVBand="0" w:oddHBand="0" w:evenHBand="0" w:firstRowFirstColumn="0" w:firstRowLastColumn="0" w:lastRowFirstColumn="0" w:lastRowLastColumn="0"/>
            </w:pPr>
            <w:r w:rsidRPr="006B2225">
              <w:t>Leased</w:t>
            </w:r>
            <w:r w:rsidRPr="006B2225">
              <w:br/>
              <w:t>buildings</w:t>
            </w:r>
          </w:p>
        </w:tc>
        <w:tc>
          <w:tcPr>
            <w:cnfStyle w:val="000001000000" w:firstRow="0" w:lastRow="0" w:firstColumn="0" w:lastColumn="0" w:oddVBand="0" w:evenVBand="1" w:oddHBand="0" w:evenHBand="0" w:firstRowFirstColumn="0" w:firstRowLastColumn="0" w:lastRowFirstColumn="0" w:lastRowLastColumn="0"/>
            <w:tcW w:w="896" w:type="pct"/>
          </w:tcPr>
          <w:p w14:paraId="6FA07C87" w14:textId="77777777" w:rsidR="006D7571" w:rsidRPr="006B2225" w:rsidRDefault="006D7571" w:rsidP="006B2225">
            <w:pPr>
              <w:pStyle w:val="ARtablecolheadright"/>
            </w:pPr>
            <w:r w:rsidRPr="006B2225">
              <w:t>Total</w:t>
            </w:r>
          </w:p>
        </w:tc>
      </w:tr>
      <w:tr w:rsidR="006D7571" w:rsidRPr="000557CC" w14:paraId="5ACD817F" w14:textId="77777777" w:rsidTr="006B2225">
        <w:trPr>
          <w:trHeight w:val="171"/>
        </w:trPr>
        <w:tc>
          <w:tcPr>
            <w:tcW w:w="1605" w:type="pct"/>
            <w:tcBorders>
              <w:bottom w:val="single" w:sz="4" w:space="0" w:color="BFBFBF" w:themeColor="accent2"/>
            </w:tcBorders>
          </w:tcPr>
          <w:p w14:paraId="0A0AA71E" w14:textId="77777777" w:rsidR="006D7571" w:rsidRPr="000557CC" w:rsidRDefault="006D7571" w:rsidP="00434684">
            <w:pPr>
              <w:pStyle w:val="ARTabletext"/>
              <w:rPr>
                <w:rFonts w:eastAsia="Times"/>
                <w:highlight w:val="red"/>
                <w:lang w:eastAsia="en-AU"/>
              </w:rPr>
            </w:pPr>
            <w:r w:rsidRPr="000557CC">
              <w:rPr>
                <w:rFonts w:eastAsia="Times"/>
                <w:lang w:eastAsia="en-AU"/>
              </w:rPr>
              <w:t>Office-based FTE</w:t>
            </w:r>
            <w:r w:rsidRPr="000557CC">
              <w:rPr>
                <w:rFonts w:eastAsia="Times"/>
                <w:vertAlign w:val="superscript"/>
                <w:lang w:eastAsia="en-AU"/>
              </w:rPr>
              <w:t>(</w:t>
            </w:r>
            <w:proofErr w:type="spellStart"/>
            <w:r w:rsidRPr="000557CC">
              <w:rPr>
                <w:rFonts w:eastAsia="Times"/>
                <w:vertAlign w:val="superscript"/>
                <w:lang w:eastAsia="en-AU"/>
              </w:rPr>
              <w:t>i</w:t>
            </w:r>
            <w:proofErr w:type="spellEnd"/>
            <w:r w:rsidRPr="000557CC">
              <w:rPr>
                <w:rFonts w:eastAsia="Times"/>
                <w:vertAlign w:val="superscript"/>
                <w:lang w:eastAsia="en-AU"/>
              </w:rPr>
              <w:t>)(iv)</w:t>
            </w:r>
            <w:r w:rsidRPr="000557CC">
              <w:rPr>
                <w:rFonts w:eastAsia="Times"/>
                <w:lang w:eastAsia="en-AU"/>
              </w:rPr>
              <w:t xml:space="preserve"> – DFFH</w:t>
            </w:r>
          </w:p>
        </w:tc>
        <w:tc>
          <w:tcPr>
            <w:cnfStyle w:val="000001000000" w:firstRow="0" w:lastRow="0" w:firstColumn="0" w:lastColumn="0" w:oddVBand="0" w:evenVBand="1" w:oddHBand="0" w:evenHBand="0" w:firstRowFirstColumn="0" w:firstRowLastColumn="0" w:lastRowFirstColumn="0" w:lastRowLastColumn="0"/>
            <w:tcW w:w="1458" w:type="pct"/>
            <w:tcBorders>
              <w:bottom w:val="single" w:sz="4" w:space="0" w:color="BFBFBF" w:themeColor="accent2"/>
            </w:tcBorders>
          </w:tcPr>
          <w:p w14:paraId="55B9D894" w14:textId="77777777" w:rsidR="006D7571" w:rsidRPr="000557CC" w:rsidRDefault="006D7571" w:rsidP="00434684">
            <w:pPr>
              <w:pStyle w:val="ARtabletextright"/>
              <w:rPr>
                <w:rFonts w:eastAsia="Times"/>
                <w:highlight w:val="red"/>
                <w:lang w:eastAsia="en-AU"/>
              </w:rPr>
            </w:pPr>
            <w:r w:rsidRPr="000557CC">
              <w:rPr>
                <w:rFonts w:eastAsia="Times"/>
                <w:lang w:eastAsia="en-AU"/>
              </w:rPr>
              <w:t>1,175</w:t>
            </w:r>
          </w:p>
        </w:tc>
        <w:tc>
          <w:tcPr>
            <w:tcW w:w="1042" w:type="pct"/>
            <w:tcBorders>
              <w:bottom w:val="single" w:sz="4" w:space="0" w:color="BFBFBF" w:themeColor="accent2"/>
            </w:tcBorders>
          </w:tcPr>
          <w:p w14:paraId="55B685D3" w14:textId="77777777" w:rsidR="006D7571" w:rsidRPr="000557CC" w:rsidRDefault="006D7571" w:rsidP="00434684">
            <w:pPr>
              <w:pStyle w:val="ARtabletextright"/>
              <w:cnfStyle w:val="000000000000" w:firstRow="0" w:lastRow="0" w:firstColumn="0" w:lastColumn="0" w:oddVBand="0" w:evenVBand="0" w:oddHBand="0" w:evenHBand="0" w:firstRowFirstColumn="0" w:firstRowLastColumn="0" w:lastRowFirstColumn="0" w:lastRowLastColumn="0"/>
              <w:rPr>
                <w:rFonts w:eastAsia="Times"/>
                <w:highlight w:val="red"/>
                <w:lang w:eastAsia="en-AU"/>
              </w:rPr>
            </w:pPr>
            <w:r w:rsidRPr="000557CC">
              <w:rPr>
                <w:rFonts w:eastAsia="Times"/>
                <w:lang w:eastAsia="en-AU"/>
              </w:rPr>
              <w:t>6,107</w:t>
            </w:r>
          </w:p>
        </w:tc>
        <w:tc>
          <w:tcPr>
            <w:cnfStyle w:val="000001000000" w:firstRow="0" w:lastRow="0" w:firstColumn="0" w:lastColumn="0" w:oddVBand="0" w:evenVBand="1" w:oddHBand="0" w:evenHBand="0" w:firstRowFirstColumn="0" w:firstRowLastColumn="0" w:lastRowFirstColumn="0" w:lastRowLastColumn="0"/>
            <w:tcW w:w="896" w:type="pct"/>
            <w:tcBorders>
              <w:bottom w:val="single" w:sz="4" w:space="0" w:color="BFBFBF" w:themeColor="accent2"/>
            </w:tcBorders>
          </w:tcPr>
          <w:p w14:paraId="5638C43F" w14:textId="77777777" w:rsidR="006D7571" w:rsidRPr="000557CC" w:rsidRDefault="006D7571" w:rsidP="00434684">
            <w:pPr>
              <w:pStyle w:val="ARtabletextright"/>
              <w:rPr>
                <w:rFonts w:eastAsia="Times"/>
                <w:highlight w:val="cyan"/>
                <w:lang w:eastAsia="en-AU"/>
              </w:rPr>
            </w:pPr>
            <w:r w:rsidRPr="000557CC">
              <w:rPr>
                <w:rFonts w:eastAsia="Times"/>
                <w:lang w:eastAsia="en-AU"/>
              </w:rPr>
              <w:t>7,282</w:t>
            </w:r>
          </w:p>
        </w:tc>
      </w:tr>
      <w:tr w:rsidR="006D7571" w:rsidRPr="000557CC" w14:paraId="29E16A9C" w14:textId="77777777" w:rsidTr="006B2225">
        <w:trPr>
          <w:trHeight w:val="171"/>
        </w:trPr>
        <w:tc>
          <w:tcPr>
            <w:tcW w:w="1605" w:type="pct"/>
            <w:tcBorders>
              <w:bottom w:val="single" w:sz="4" w:space="0" w:color="000000" w:themeColor="text1"/>
            </w:tcBorders>
          </w:tcPr>
          <w:p w14:paraId="18EDD276" w14:textId="77777777" w:rsidR="006D7571" w:rsidRPr="000557CC" w:rsidRDefault="006D7571" w:rsidP="00434684">
            <w:pPr>
              <w:pStyle w:val="ARTabletext"/>
              <w:rPr>
                <w:rFonts w:eastAsia="Times"/>
                <w:lang w:eastAsia="en-AU"/>
              </w:rPr>
            </w:pPr>
            <w:r w:rsidRPr="000557CC">
              <w:rPr>
                <w:rFonts w:eastAsia="Times"/>
                <w:lang w:eastAsia="en-AU"/>
              </w:rPr>
              <w:t>Statutory-based FTE</w:t>
            </w:r>
            <w:r w:rsidRPr="000557CC">
              <w:rPr>
                <w:rFonts w:eastAsia="Times"/>
                <w:vertAlign w:val="superscript"/>
                <w:lang w:eastAsia="en-AU"/>
              </w:rPr>
              <w:t>(</w:t>
            </w:r>
            <w:proofErr w:type="spellStart"/>
            <w:r w:rsidRPr="000557CC">
              <w:rPr>
                <w:rFonts w:eastAsia="Times"/>
                <w:vertAlign w:val="superscript"/>
                <w:lang w:eastAsia="en-AU"/>
              </w:rPr>
              <w:t>i</w:t>
            </w:r>
            <w:proofErr w:type="spellEnd"/>
            <w:r w:rsidRPr="000557CC">
              <w:rPr>
                <w:rFonts w:eastAsia="Times"/>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1458" w:type="pct"/>
            <w:tcBorders>
              <w:bottom w:val="single" w:sz="4" w:space="0" w:color="000000" w:themeColor="text1"/>
            </w:tcBorders>
          </w:tcPr>
          <w:p w14:paraId="76AFACDD" w14:textId="14038CE4" w:rsidR="006D7571" w:rsidRPr="000557CC" w:rsidRDefault="00D345A1" w:rsidP="00434684">
            <w:pPr>
              <w:pStyle w:val="ARtabletextright"/>
              <w:rPr>
                <w:rFonts w:eastAsia="Times"/>
                <w:lang w:eastAsia="en-AU"/>
              </w:rPr>
            </w:pPr>
            <w:r>
              <w:rPr>
                <w:rFonts w:eastAsia="Times"/>
                <w:lang w:eastAsia="en-AU"/>
              </w:rPr>
              <w:t>–</w:t>
            </w:r>
          </w:p>
        </w:tc>
        <w:tc>
          <w:tcPr>
            <w:tcW w:w="1042" w:type="pct"/>
            <w:tcBorders>
              <w:bottom w:val="single" w:sz="4" w:space="0" w:color="000000" w:themeColor="text1"/>
            </w:tcBorders>
          </w:tcPr>
          <w:p w14:paraId="4C879CBC" w14:textId="77777777" w:rsidR="006D7571" w:rsidRPr="000557CC" w:rsidRDefault="006D7571" w:rsidP="00434684">
            <w:pPr>
              <w:pStyle w:val="ARtabletextright"/>
              <w:cnfStyle w:val="000000000000" w:firstRow="0" w:lastRow="0" w:firstColumn="0" w:lastColumn="0" w:oddVBand="0" w:evenVBand="0" w:oddHBand="0" w:evenHBand="0" w:firstRowFirstColumn="0" w:firstRowLastColumn="0" w:lastRowFirstColumn="0" w:lastRowLastColumn="0"/>
              <w:rPr>
                <w:rFonts w:eastAsia="Times"/>
                <w:lang w:eastAsia="en-AU"/>
              </w:rPr>
            </w:pPr>
            <w:r w:rsidRPr="000557CC">
              <w:rPr>
                <w:rFonts w:eastAsia="Times"/>
                <w:lang w:eastAsia="en-AU"/>
              </w:rPr>
              <w:t>285</w:t>
            </w:r>
          </w:p>
        </w:tc>
        <w:tc>
          <w:tcPr>
            <w:cnfStyle w:val="000001000000" w:firstRow="0" w:lastRow="0" w:firstColumn="0" w:lastColumn="0" w:oddVBand="0" w:evenVBand="1" w:oddHBand="0" w:evenHBand="0" w:firstRowFirstColumn="0" w:firstRowLastColumn="0" w:lastRowFirstColumn="0" w:lastRowLastColumn="0"/>
            <w:tcW w:w="896" w:type="pct"/>
            <w:tcBorders>
              <w:bottom w:val="single" w:sz="4" w:space="0" w:color="000000" w:themeColor="text1"/>
            </w:tcBorders>
          </w:tcPr>
          <w:p w14:paraId="0994BB48" w14:textId="77777777" w:rsidR="006D7571" w:rsidRPr="000557CC" w:rsidRDefault="006D7571" w:rsidP="00434684">
            <w:pPr>
              <w:pStyle w:val="ARtabletextright"/>
              <w:rPr>
                <w:rFonts w:eastAsia="Times"/>
                <w:lang w:eastAsia="en-AU"/>
              </w:rPr>
            </w:pPr>
            <w:r w:rsidRPr="000557CC">
              <w:rPr>
                <w:rFonts w:eastAsia="Times"/>
                <w:lang w:eastAsia="en-AU"/>
              </w:rPr>
              <w:t>285</w:t>
            </w:r>
          </w:p>
        </w:tc>
      </w:tr>
      <w:tr w:rsidR="006D7571" w:rsidRPr="000557CC" w14:paraId="04277083" w14:textId="77777777" w:rsidTr="006B2225">
        <w:trPr>
          <w:trHeight w:val="171"/>
        </w:trPr>
        <w:tc>
          <w:tcPr>
            <w:tcW w:w="1605" w:type="pct"/>
            <w:tcBorders>
              <w:top w:val="single" w:sz="4" w:space="0" w:color="000000" w:themeColor="text1"/>
              <w:bottom w:val="single" w:sz="4" w:space="0" w:color="000000" w:themeColor="text1"/>
            </w:tcBorders>
          </w:tcPr>
          <w:p w14:paraId="47C3B804" w14:textId="77777777" w:rsidR="006D7571" w:rsidRPr="000557CC" w:rsidRDefault="006D7571" w:rsidP="00434684">
            <w:pPr>
              <w:pStyle w:val="ARTabletext"/>
              <w:rPr>
                <w:rFonts w:eastAsia="Times"/>
                <w:b/>
                <w:lang w:eastAsia="en-AU"/>
              </w:rPr>
            </w:pPr>
            <w:r w:rsidRPr="000557CC">
              <w:rPr>
                <w:rFonts w:eastAsia="Times"/>
                <w:b/>
                <w:lang w:eastAsia="en-AU"/>
              </w:rPr>
              <w:t>Total FTE</w:t>
            </w:r>
            <w:r w:rsidRPr="000557CC">
              <w:rPr>
                <w:rFonts w:eastAsia="Times"/>
                <w:b/>
                <w:vertAlign w:val="superscript"/>
                <w:lang w:eastAsia="en-AU"/>
              </w:rPr>
              <w:t>(</w:t>
            </w:r>
            <w:proofErr w:type="spellStart"/>
            <w:r w:rsidRPr="000557CC">
              <w:rPr>
                <w:rFonts w:eastAsia="Times"/>
                <w:b/>
                <w:vertAlign w:val="superscript"/>
                <w:lang w:eastAsia="en-AU"/>
              </w:rPr>
              <w:t>i</w:t>
            </w:r>
            <w:proofErr w:type="spellEnd"/>
            <w:r w:rsidRPr="000557CC">
              <w:rPr>
                <w:rFonts w:eastAsia="Times"/>
                <w:b/>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1458" w:type="pct"/>
            <w:tcBorders>
              <w:top w:val="single" w:sz="4" w:space="0" w:color="000000" w:themeColor="text1"/>
              <w:bottom w:val="single" w:sz="4" w:space="0" w:color="000000" w:themeColor="text1"/>
            </w:tcBorders>
          </w:tcPr>
          <w:p w14:paraId="3A774706" w14:textId="77777777" w:rsidR="006D7571" w:rsidRPr="000557CC" w:rsidRDefault="006D7571" w:rsidP="00434684">
            <w:pPr>
              <w:pStyle w:val="ARtabletextright"/>
              <w:rPr>
                <w:rFonts w:eastAsia="Times"/>
                <w:b/>
                <w:lang w:eastAsia="en-AU"/>
              </w:rPr>
            </w:pPr>
          </w:p>
        </w:tc>
        <w:tc>
          <w:tcPr>
            <w:tcW w:w="1042" w:type="pct"/>
            <w:tcBorders>
              <w:top w:val="single" w:sz="4" w:space="0" w:color="000000" w:themeColor="text1"/>
              <w:bottom w:val="single" w:sz="4" w:space="0" w:color="000000" w:themeColor="text1"/>
            </w:tcBorders>
          </w:tcPr>
          <w:p w14:paraId="0CEC754B" w14:textId="77777777" w:rsidR="006D7571" w:rsidRPr="000557CC" w:rsidRDefault="006D7571" w:rsidP="00434684">
            <w:pPr>
              <w:pStyle w:val="ARtabletextright"/>
              <w:cnfStyle w:val="000000000000" w:firstRow="0" w:lastRow="0" w:firstColumn="0" w:lastColumn="0" w:oddVBand="0" w:evenVBand="0" w:oddHBand="0" w:evenHBand="0" w:firstRowFirstColumn="0" w:firstRowLastColumn="0" w:lastRowFirstColumn="0" w:lastRowLastColumn="0"/>
              <w:rPr>
                <w:rFonts w:eastAsia="Times"/>
                <w:b/>
                <w:lang w:eastAsia="en-AU"/>
              </w:rPr>
            </w:pPr>
          </w:p>
        </w:tc>
        <w:tc>
          <w:tcPr>
            <w:cnfStyle w:val="000001000000" w:firstRow="0" w:lastRow="0" w:firstColumn="0" w:lastColumn="0" w:oddVBand="0" w:evenVBand="1" w:oddHBand="0" w:evenHBand="0" w:firstRowFirstColumn="0" w:firstRowLastColumn="0" w:lastRowFirstColumn="0" w:lastRowLastColumn="0"/>
            <w:tcW w:w="896" w:type="pct"/>
            <w:tcBorders>
              <w:top w:val="single" w:sz="4" w:space="0" w:color="000000" w:themeColor="text1"/>
              <w:bottom w:val="single" w:sz="4" w:space="0" w:color="000000" w:themeColor="text1"/>
            </w:tcBorders>
          </w:tcPr>
          <w:p w14:paraId="665C75FE" w14:textId="77777777" w:rsidR="006D7571" w:rsidRPr="000557CC" w:rsidRDefault="006D7571" w:rsidP="00434684">
            <w:pPr>
              <w:pStyle w:val="ARtabletextright"/>
              <w:rPr>
                <w:rFonts w:eastAsia="Times"/>
                <w:b/>
                <w:lang w:eastAsia="en-AU"/>
              </w:rPr>
            </w:pPr>
            <w:r w:rsidRPr="000557CC">
              <w:rPr>
                <w:rFonts w:eastAsia="Times"/>
                <w:b/>
                <w:lang w:eastAsia="en-AU"/>
              </w:rPr>
              <w:t>7,567</w:t>
            </w:r>
          </w:p>
        </w:tc>
      </w:tr>
      <w:tr w:rsidR="006D7571" w:rsidRPr="000557CC" w14:paraId="1E42A602" w14:textId="77777777" w:rsidTr="006B2225">
        <w:trPr>
          <w:trHeight w:val="171"/>
        </w:trPr>
        <w:tc>
          <w:tcPr>
            <w:tcW w:w="1605" w:type="pct"/>
            <w:tcBorders>
              <w:top w:val="single" w:sz="4" w:space="0" w:color="000000" w:themeColor="text1"/>
            </w:tcBorders>
          </w:tcPr>
          <w:p w14:paraId="7813FFE4" w14:textId="77777777" w:rsidR="006D7571" w:rsidRPr="000557CC" w:rsidRDefault="006D7571" w:rsidP="00434684">
            <w:pPr>
              <w:pStyle w:val="ARTabletext"/>
              <w:rPr>
                <w:rFonts w:eastAsia="Times"/>
                <w:lang w:eastAsia="en-AU"/>
              </w:rPr>
            </w:pPr>
            <w:r w:rsidRPr="000557CC">
              <w:rPr>
                <w:rFonts w:eastAsia="Times"/>
                <w:lang w:eastAsia="en-AU"/>
              </w:rPr>
              <w:t>Number of office-based sites</w:t>
            </w:r>
            <w:r w:rsidRPr="000557CC">
              <w:rPr>
                <w:rFonts w:eastAsia="Times"/>
                <w:vertAlign w:val="superscript"/>
                <w:lang w:eastAsia="en-AU"/>
              </w:rPr>
              <w:t>(iii)</w:t>
            </w:r>
          </w:p>
        </w:tc>
        <w:tc>
          <w:tcPr>
            <w:cnfStyle w:val="000001000000" w:firstRow="0" w:lastRow="0" w:firstColumn="0" w:lastColumn="0" w:oddVBand="0" w:evenVBand="1" w:oddHBand="0" w:evenHBand="0" w:firstRowFirstColumn="0" w:firstRowLastColumn="0" w:lastRowFirstColumn="0" w:lastRowLastColumn="0"/>
            <w:tcW w:w="1458" w:type="pct"/>
            <w:tcBorders>
              <w:top w:val="single" w:sz="4" w:space="0" w:color="000000" w:themeColor="text1"/>
            </w:tcBorders>
          </w:tcPr>
          <w:p w14:paraId="324CD7C6" w14:textId="77777777" w:rsidR="006D7571" w:rsidRPr="000557CC" w:rsidRDefault="006D7571" w:rsidP="00434684">
            <w:pPr>
              <w:pStyle w:val="ARtabletextright"/>
              <w:rPr>
                <w:rFonts w:eastAsia="Times"/>
                <w:lang w:eastAsia="en-AU"/>
              </w:rPr>
            </w:pPr>
            <w:r w:rsidRPr="000557CC">
              <w:rPr>
                <w:rFonts w:eastAsia="Times"/>
                <w:lang w:eastAsia="en-AU"/>
              </w:rPr>
              <w:t>23</w:t>
            </w:r>
          </w:p>
        </w:tc>
        <w:tc>
          <w:tcPr>
            <w:tcW w:w="1042" w:type="pct"/>
            <w:tcBorders>
              <w:top w:val="single" w:sz="4" w:space="0" w:color="000000" w:themeColor="text1"/>
            </w:tcBorders>
          </w:tcPr>
          <w:p w14:paraId="48FE89D7" w14:textId="77777777" w:rsidR="006D7571" w:rsidRPr="000557CC" w:rsidRDefault="006D7571" w:rsidP="00434684">
            <w:pPr>
              <w:pStyle w:val="ARtabletextright"/>
              <w:cnfStyle w:val="000000000000" w:firstRow="0" w:lastRow="0" w:firstColumn="0" w:lastColumn="0" w:oddVBand="0" w:evenVBand="0" w:oddHBand="0" w:evenHBand="0" w:firstRowFirstColumn="0" w:firstRowLastColumn="0" w:lastRowFirstColumn="0" w:lastRowLastColumn="0"/>
              <w:rPr>
                <w:rFonts w:eastAsia="Times"/>
                <w:lang w:eastAsia="en-AU"/>
              </w:rPr>
            </w:pPr>
            <w:r w:rsidRPr="000557CC">
              <w:rPr>
                <w:rFonts w:eastAsia="Times"/>
                <w:lang w:eastAsia="en-AU"/>
              </w:rPr>
              <w:t>44</w:t>
            </w:r>
          </w:p>
        </w:tc>
        <w:tc>
          <w:tcPr>
            <w:cnfStyle w:val="000001000000" w:firstRow="0" w:lastRow="0" w:firstColumn="0" w:lastColumn="0" w:oddVBand="0" w:evenVBand="1" w:oddHBand="0" w:evenHBand="0" w:firstRowFirstColumn="0" w:firstRowLastColumn="0" w:lastRowFirstColumn="0" w:lastRowLastColumn="0"/>
            <w:tcW w:w="896" w:type="pct"/>
            <w:tcBorders>
              <w:top w:val="single" w:sz="4" w:space="0" w:color="000000" w:themeColor="text1"/>
            </w:tcBorders>
          </w:tcPr>
          <w:p w14:paraId="67FADECF" w14:textId="77777777" w:rsidR="006D7571" w:rsidRPr="000557CC" w:rsidRDefault="006D7571" w:rsidP="00434684">
            <w:pPr>
              <w:pStyle w:val="ARtabletextright"/>
              <w:rPr>
                <w:rFonts w:eastAsia="Times"/>
                <w:lang w:eastAsia="en-AU"/>
              </w:rPr>
            </w:pPr>
            <w:r w:rsidRPr="000557CC">
              <w:rPr>
                <w:rFonts w:eastAsia="Times"/>
                <w:lang w:eastAsia="en-AU"/>
              </w:rPr>
              <w:t>67</w:t>
            </w:r>
          </w:p>
        </w:tc>
      </w:tr>
      <w:tr w:rsidR="006D7571" w:rsidRPr="000557CC" w14:paraId="0F79DFFE" w14:textId="77777777" w:rsidTr="006B2225">
        <w:trPr>
          <w:trHeight w:val="171"/>
        </w:trPr>
        <w:tc>
          <w:tcPr>
            <w:tcW w:w="1605" w:type="pct"/>
          </w:tcPr>
          <w:p w14:paraId="7DE76966" w14:textId="77777777" w:rsidR="006D7571" w:rsidRPr="000557CC" w:rsidRDefault="006D7571" w:rsidP="00434684">
            <w:pPr>
              <w:pStyle w:val="ARTabletext"/>
              <w:rPr>
                <w:rFonts w:eastAsia="Times"/>
                <w:lang w:eastAsia="en-AU"/>
              </w:rPr>
            </w:pPr>
            <w:r w:rsidRPr="000557CC">
              <w:rPr>
                <w:rFonts w:eastAsia="Times"/>
                <w:lang w:eastAsia="en-AU"/>
              </w:rPr>
              <w:t>Number of high-rise public housing towers</w:t>
            </w:r>
            <w:r w:rsidRPr="000557CC">
              <w:rPr>
                <w:rFonts w:eastAsia="Times"/>
                <w:vertAlign w:val="superscript"/>
                <w:lang w:eastAsia="en-AU"/>
              </w:rPr>
              <w:t>(v)</w:t>
            </w:r>
          </w:p>
        </w:tc>
        <w:tc>
          <w:tcPr>
            <w:cnfStyle w:val="000001000000" w:firstRow="0" w:lastRow="0" w:firstColumn="0" w:lastColumn="0" w:oddVBand="0" w:evenVBand="1" w:oddHBand="0" w:evenHBand="0" w:firstRowFirstColumn="0" w:firstRowLastColumn="0" w:lastRowFirstColumn="0" w:lastRowLastColumn="0"/>
            <w:tcW w:w="1458" w:type="pct"/>
          </w:tcPr>
          <w:p w14:paraId="31C3639E" w14:textId="77777777" w:rsidR="006D7571" w:rsidRPr="000557CC" w:rsidRDefault="006D7571" w:rsidP="00434684">
            <w:pPr>
              <w:pStyle w:val="ARtabletextright"/>
              <w:rPr>
                <w:rFonts w:eastAsia="Times"/>
                <w:lang w:eastAsia="en-AU"/>
              </w:rPr>
            </w:pPr>
            <w:r w:rsidRPr="000557CC">
              <w:rPr>
                <w:rFonts w:eastAsia="Times"/>
                <w:lang w:eastAsia="en-AU"/>
              </w:rPr>
              <w:t>42</w:t>
            </w:r>
          </w:p>
        </w:tc>
        <w:tc>
          <w:tcPr>
            <w:tcW w:w="1042" w:type="pct"/>
          </w:tcPr>
          <w:p w14:paraId="2FD17E17" w14:textId="39FB8B37" w:rsidR="006D7571" w:rsidRPr="000557CC" w:rsidRDefault="00D345A1" w:rsidP="00434684">
            <w:pPr>
              <w:pStyle w:val="ARtabletextright"/>
              <w:cnfStyle w:val="000000000000" w:firstRow="0" w:lastRow="0" w:firstColumn="0" w:lastColumn="0" w:oddVBand="0" w:evenVBand="0" w:oddHBand="0" w:evenHBand="0" w:firstRowFirstColumn="0" w:firstRowLastColumn="0" w:lastRowFirstColumn="0" w:lastRowLastColumn="0"/>
              <w:rPr>
                <w:rFonts w:eastAsia="Times"/>
                <w:lang w:eastAsia="en-AU"/>
              </w:rPr>
            </w:pPr>
            <w:r>
              <w:rPr>
                <w:rFonts w:eastAsia="Times"/>
                <w:lang w:eastAsia="en-AU"/>
              </w:rPr>
              <w:t>–</w:t>
            </w:r>
          </w:p>
        </w:tc>
        <w:tc>
          <w:tcPr>
            <w:cnfStyle w:val="000001000000" w:firstRow="0" w:lastRow="0" w:firstColumn="0" w:lastColumn="0" w:oddVBand="0" w:evenVBand="1" w:oddHBand="0" w:evenHBand="0" w:firstRowFirstColumn="0" w:firstRowLastColumn="0" w:lastRowFirstColumn="0" w:lastRowLastColumn="0"/>
            <w:tcW w:w="896" w:type="pct"/>
          </w:tcPr>
          <w:p w14:paraId="12DEFC18" w14:textId="77777777" w:rsidR="006D7571" w:rsidRPr="000557CC" w:rsidRDefault="006D7571" w:rsidP="00434684">
            <w:pPr>
              <w:pStyle w:val="ARtabletextright"/>
              <w:rPr>
                <w:rFonts w:eastAsia="Times"/>
                <w:lang w:eastAsia="en-AU"/>
              </w:rPr>
            </w:pPr>
            <w:r w:rsidRPr="000557CC">
              <w:rPr>
                <w:rFonts w:eastAsia="Times"/>
                <w:lang w:eastAsia="en-AU"/>
              </w:rPr>
              <w:t>42</w:t>
            </w:r>
          </w:p>
        </w:tc>
      </w:tr>
      <w:tr w:rsidR="006D7571" w:rsidRPr="000557CC" w14:paraId="39750190" w14:textId="77777777" w:rsidTr="006B2225">
        <w:trPr>
          <w:trHeight w:val="171"/>
        </w:trPr>
        <w:tc>
          <w:tcPr>
            <w:tcW w:w="1605" w:type="pct"/>
          </w:tcPr>
          <w:p w14:paraId="5192BA63" w14:textId="3C6C8C72" w:rsidR="006D7571" w:rsidRPr="000557CC" w:rsidRDefault="006D7571" w:rsidP="00434684">
            <w:pPr>
              <w:pStyle w:val="ARTabletext"/>
              <w:rPr>
                <w:rFonts w:eastAsia="Times"/>
                <w:lang w:eastAsia="en-AU"/>
              </w:rPr>
            </w:pPr>
            <w:r w:rsidRPr="000557CC">
              <w:rPr>
                <w:rFonts w:eastAsia="Times"/>
                <w:lang w:eastAsia="en-AU"/>
              </w:rPr>
              <w:t>Office-based area</w:t>
            </w:r>
            <w:r w:rsidR="00D1151F">
              <w:rPr>
                <w:rFonts w:eastAsia="Times"/>
                <w:lang w:eastAsia="en-AU"/>
              </w:rPr>
              <w:t> </w:t>
            </w:r>
            <w:r w:rsidRPr="000557CC">
              <w:rPr>
                <w:rFonts w:eastAsia="Times"/>
                <w:lang w:eastAsia="en-AU"/>
              </w:rPr>
              <w:t>(m</w:t>
            </w:r>
            <w:r w:rsidRPr="000557CC">
              <w:rPr>
                <w:rFonts w:eastAsia="Times"/>
                <w:vertAlign w:val="superscript"/>
                <w:lang w:eastAsia="en-AU"/>
              </w:rPr>
              <w:t>2</w:t>
            </w:r>
            <w:r w:rsidRPr="000557CC">
              <w:rPr>
                <w:rFonts w:eastAsia="Times"/>
                <w:lang w:eastAsia="en-AU"/>
              </w:rPr>
              <w:t>)</w:t>
            </w:r>
          </w:p>
        </w:tc>
        <w:tc>
          <w:tcPr>
            <w:cnfStyle w:val="000001000000" w:firstRow="0" w:lastRow="0" w:firstColumn="0" w:lastColumn="0" w:oddVBand="0" w:evenVBand="1" w:oddHBand="0" w:evenHBand="0" w:firstRowFirstColumn="0" w:firstRowLastColumn="0" w:lastRowFirstColumn="0" w:lastRowLastColumn="0"/>
            <w:tcW w:w="1458" w:type="pct"/>
          </w:tcPr>
          <w:p w14:paraId="05053AC4" w14:textId="77777777" w:rsidR="006D7571" w:rsidRPr="000557CC" w:rsidRDefault="006D7571" w:rsidP="00434684">
            <w:pPr>
              <w:pStyle w:val="ARtabletextright"/>
              <w:rPr>
                <w:rFonts w:eastAsia="Times"/>
                <w:lang w:eastAsia="en-AU"/>
              </w:rPr>
            </w:pPr>
            <w:r w:rsidRPr="000557CC">
              <w:rPr>
                <w:rFonts w:eastAsia="Times"/>
                <w:lang w:eastAsia="en-AU"/>
              </w:rPr>
              <w:t>52,145</w:t>
            </w:r>
          </w:p>
        </w:tc>
        <w:tc>
          <w:tcPr>
            <w:tcW w:w="1042" w:type="pct"/>
          </w:tcPr>
          <w:p w14:paraId="34AC19AA" w14:textId="77777777" w:rsidR="006D7571" w:rsidRPr="000557CC" w:rsidRDefault="006D7571" w:rsidP="00434684">
            <w:pPr>
              <w:pStyle w:val="ARtabletextright"/>
              <w:cnfStyle w:val="000000000000" w:firstRow="0" w:lastRow="0" w:firstColumn="0" w:lastColumn="0" w:oddVBand="0" w:evenVBand="0" w:oddHBand="0" w:evenHBand="0" w:firstRowFirstColumn="0" w:firstRowLastColumn="0" w:lastRowFirstColumn="0" w:lastRowLastColumn="0"/>
              <w:rPr>
                <w:rFonts w:eastAsia="Times"/>
                <w:lang w:eastAsia="en-AU"/>
              </w:rPr>
            </w:pPr>
            <w:r w:rsidRPr="000557CC">
              <w:rPr>
                <w:rFonts w:eastAsia="Times"/>
                <w:lang w:eastAsia="en-AU"/>
              </w:rPr>
              <w:t>76,827</w:t>
            </w:r>
          </w:p>
        </w:tc>
        <w:tc>
          <w:tcPr>
            <w:cnfStyle w:val="000001000000" w:firstRow="0" w:lastRow="0" w:firstColumn="0" w:lastColumn="0" w:oddVBand="0" w:evenVBand="1" w:oddHBand="0" w:evenHBand="0" w:firstRowFirstColumn="0" w:firstRowLastColumn="0" w:lastRowFirstColumn="0" w:lastRowLastColumn="0"/>
            <w:tcW w:w="896" w:type="pct"/>
          </w:tcPr>
          <w:p w14:paraId="49616BE5" w14:textId="77777777" w:rsidR="006D7571" w:rsidRPr="000557CC" w:rsidRDefault="006D7571" w:rsidP="00434684">
            <w:pPr>
              <w:pStyle w:val="ARtabletextright"/>
              <w:rPr>
                <w:rFonts w:eastAsia="Times"/>
                <w:lang w:eastAsia="en-AU"/>
              </w:rPr>
            </w:pPr>
            <w:r w:rsidRPr="000557CC">
              <w:rPr>
                <w:rFonts w:eastAsia="Times"/>
                <w:lang w:eastAsia="en-AU"/>
              </w:rPr>
              <w:t>128,972</w:t>
            </w:r>
          </w:p>
        </w:tc>
      </w:tr>
    </w:tbl>
    <w:p w14:paraId="58C9D531" w14:textId="77777777" w:rsidR="006D7571" w:rsidRPr="000557CC" w:rsidRDefault="006D7571" w:rsidP="00434684">
      <w:pPr>
        <w:pStyle w:val="ARtablefootnote"/>
      </w:pPr>
      <w:r w:rsidRPr="000557CC">
        <w:t>Notes:</w:t>
      </w:r>
    </w:p>
    <w:p w14:paraId="52049782" w14:textId="77777777" w:rsidR="006D7571" w:rsidRPr="000557CC" w:rsidRDefault="006D7571" w:rsidP="00434684">
      <w:pPr>
        <w:pStyle w:val="ARtablefootnoteroman"/>
      </w:pPr>
      <w:r w:rsidRPr="000557CC">
        <w:t>FTE (full-time equivalent staff member as of 28 June 2026, the last day of the full pay cycle in this reporting period).</w:t>
      </w:r>
    </w:p>
    <w:p w14:paraId="153546D9" w14:textId="77777777" w:rsidR="006D7571" w:rsidRPr="000557CC" w:rsidRDefault="006D7571" w:rsidP="00434684">
      <w:pPr>
        <w:pStyle w:val="ARtablefootnoteroman"/>
      </w:pPr>
      <w:r w:rsidRPr="000557CC">
        <w:t>Government-owned sites include those owned by the Department of Transport and Planning and sites owned by Homes Victoria.</w:t>
      </w:r>
    </w:p>
    <w:p w14:paraId="37EBA689" w14:textId="77777777" w:rsidR="006D7571" w:rsidRPr="000557CC" w:rsidRDefault="006D7571" w:rsidP="00434684">
      <w:pPr>
        <w:pStyle w:val="ARtablefootnoteroman"/>
      </w:pPr>
      <w:r w:rsidRPr="000557CC">
        <w:t>Department offices are all managed by the Department of Government Services and their service delivery partner, Jones Lang Lasalle.</w:t>
      </w:r>
    </w:p>
    <w:p w14:paraId="666095FB" w14:textId="77777777" w:rsidR="006D7571" w:rsidRPr="000557CC" w:rsidRDefault="006D7571" w:rsidP="00434684">
      <w:pPr>
        <w:pStyle w:val="ARtablefootnoteroman"/>
      </w:pPr>
      <w:r w:rsidRPr="000557CC">
        <w:t>Homes Victoria is included as a tier 2 entity.</w:t>
      </w:r>
    </w:p>
    <w:p w14:paraId="2266B193" w14:textId="77777777" w:rsidR="006D7571" w:rsidRPr="000557CC" w:rsidRDefault="006D7571" w:rsidP="00434684">
      <w:pPr>
        <w:pStyle w:val="ARtablefootnoteroman"/>
      </w:pPr>
      <w:r w:rsidRPr="000557CC">
        <w:t>Homes Victoria’s housing services portfolio includes high-rise public housing, other public housing, disability accommodation and youth and family welfare services.</w:t>
      </w:r>
    </w:p>
    <w:p w14:paraId="58B723C0" w14:textId="77777777" w:rsidR="006D7571" w:rsidRPr="000557CC" w:rsidRDefault="006D7571" w:rsidP="00434684">
      <w:pPr>
        <w:pStyle w:val="Heading3"/>
        <w:rPr>
          <w:lang w:eastAsia="en-AU"/>
        </w:rPr>
      </w:pPr>
      <w:r w:rsidRPr="000557CC">
        <w:rPr>
          <w:lang w:eastAsia="en-AU"/>
        </w:rPr>
        <w:t>Climate-related risk disclosure statement</w:t>
      </w:r>
    </w:p>
    <w:p w14:paraId="679571FD" w14:textId="77777777" w:rsidR="000D720E" w:rsidRDefault="006D7571" w:rsidP="00434684">
      <w:pPr>
        <w:pStyle w:val="ARBody"/>
        <w:rPr>
          <w:rFonts w:cs="Arial"/>
          <w:szCs w:val="24"/>
        </w:rPr>
      </w:pPr>
      <w:r w:rsidRPr="000557CC">
        <w:rPr>
          <w:rFonts w:cs="Arial"/>
          <w:szCs w:val="24"/>
        </w:rPr>
        <w:t>Climate change has the potential to directly and indirectly affect the services and programs that the department delivers on behalf of the Victorian Government. This requires ongoing effort to understand and respond to risks, develop opportunities, and build resilience to climate impacts.</w:t>
      </w:r>
    </w:p>
    <w:p w14:paraId="228BB8DD" w14:textId="77777777" w:rsidR="006D7571" w:rsidRPr="006D7571" w:rsidRDefault="006D7571" w:rsidP="00434684">
      <w:pPr>
        <w:pStyle w:val="ARBody"/>
      </w:pPr>
      <w:r w:rsidRPr="000557CC">
        <w:rPr>
          <w:rFonts w:cs="Arial"/>
          <w:szCs w:val="24"/>
        </w:rPr>
        <w:t xml:space="preserve">The department seeks to lead the Victorian public sector in adopting new technology to delivery services to the </w:t>
      </w:r>
      <w:r w:rsidRPr="006D7571">
        <w:rPr>
          <w:rFonts w:cs="Arial"/>
          <w:szCs w:val="24"/>
        </w:rPr>
        <w:t xml:space="preserve">community in ways that support Victoria’s transition to net zero emissions and a climate resilient state. The department aims to: </w:t>
      </w:r>
    </w:p>
    <w:p w14:paraId="653FB66C" w14:textId="77777777" w:rsidR="006D7571" w:rsidRPr="000557CC" w:rsidRDefault="006D7571" w:rsidP="00A538AD">
      <w:pPr>
        <w:pStyle w:val="ARBullet1"/>
      </w:pPr>
      <w:r w:rsidRPr="000557CC">
        <w:t>communicate its actions to understand the impact of climate change on its assets, operations and services</w:t>
      </w:r>
    </w:p>
    <w:p w14:paraId="584639A8" w14:textId="77777777" w:rsidR="006D7571" w:rsidRPr="000557CC" w:rsidRDefault="006D7571" w:rsidP="00A538AD">
      <w:pPr>
        <w:pStyle w:val="ARBullet1"/>
      </w:pPr>
      <w:r w:rsidRPr="000557CC">
        <w:t>demonstrate that its environmental impacts are responsibly managed and mitigated</w:t>
      </w:r>
    </w:p>
    <w:p w14:paraId="191EB581" w14:textId="77777777" w:rsidR="006D7571" w:rsidRPr="000557CC" w:rsidRDefault="006D7571" w:rsidP="00A538AD">
      <w:pPr>
        <w:pStyle w:val="ARBullet1"/>
      </w:pPr>
      <w:r w:rsidRPr="000557CC">
        <w:t>support the efficient allocation of resources to transition operations to net zero emissions and improve environmental performance over time</w:t>
      </w:r>
    </w:p>
    <w:p w14:paraId="4A25D6AD" w14:textId="77777777" w:rsidR="006D7571" w:rsidRPr="006D7571" w:rsidRDefault="006D7571" w:rsidP="00A538AD">
      <w:pPr>
        <w:pStyle w:val="ARBullet1"/>
        <w:rPr>
          <w:rFonts w:cs="Arial"/>
          <w:szCs w:val="24"/>
        </w:rPr>
      </w:pPr>
      <w:r w:rsidRPr="000557CC">
        <w:t xml:space="preserve">deliver infrastructure that is resilient and adapted </w:t>
      </w:r>
      <w:r w:rsidRPr="006D7571">
        <w:rPr>
          <w:rFonts w:cs="Arial"/>
          <w:szCs w:val="24"/>
        </w:rPr>
        <w:t>to climate risks by ensuring that new developments are all-electric, energy efficient, thermally comfortable and include the capability for on-site renewable energy generation.</w:t>
      </w:r>
    </w:p>
    <w:p w14:paraId="28A98942" w14:textId="77777777" w:rsidR="006D7571" w:rsidRPr="000557CC" w:rsidRDefault="006D7571" w:rsidP="00501233">
      <w:pPr>
        <w:pStyle w:val="Heading3"/>
        <w:rPr>
          <w:lang w:eastAsia="en-AU"/>
        </w:rPr>
      </w:pPr>
      <w:r w:rsidRPr="000557CC">
        <w:rPr>
          <w:lang w:eastAsia="en-AU"/>
        </w:rPr>
        <w:t>Climate-related risk governance</w:t>
      </w:r>
    </w:p>
    <w:p w14:paraId="0B037DB9" w14:textId="77777777" w:rsidR="006D7571" w:rsidRPr="000557CC" w:rsidRDefault="006D7571" w:rsidP="00501233">
      <w:pPr>
        <w:pStyle w:val="ARBody"/>
      </w:pPr>
      <w:r w:rsidRPr="000557CC">
        <w:rPr>
          <w:rFonts w:cs="Arial"/>
          <w:szCs w:val="24"/>
        </w:rPr>
        <w:t>The department’s executive board oversees its risk management framework and is the collective owner of the department’s strategic risks. The board monitors risk mitigation activities through quarterly risk management reporting.</w:t>
      </w:r>
    </w:p>
    <w:p w14:paraId="1FFAE665" w14:textId="77777777" w:rsidR="006D7571" w:rsidRPr="006D7571" w:rsidRDefault="006D7571" w:rsidP="00501233">
      <w:pPr>
        <w:pStyle w:val="ARBody"/>
      </w:pPr>
      <w:r w:rsidRPr="000557CC">
        <w:rPr>
          <w:rFonts w:cs="Arial"/>
          <w:szCs w:val="24"/>
        </w:rPr>
        <w:t>The department’s Audit and Risk Management Committee provides independent a</w:t>
      </w:r>
      <w:r w:rsidRPr="006D7571">
        <w:rPr>
          <w:rFonts w:cs="Arial"/>
          <w:szCs w:val="24"/>
        </w:rPr>
        <w:t xml:space="preserve">ssurance to the Secretary regarding risks and controls. The committee actively monitors the department’s risk profile, including climate-related risks and management strategies. </w:t>
      </w:r>
    </w:p>
    <w:p w14:paraId="77656F67" w14:textId="093639CC" w:rsidR="006D7571" w:rsidRPr="000557CC" w:rsidRDefault="006D7571" w:rsidP="00501233">
      <w:pPr>
        <w:pStyle w:val="ARBody"/>
      </w:pPr>
      <w:r w:rsidRPr="000557CC">
        <w:rPr>
          <w:rFonts w:cs="Arial"/>
          <w:szCs w:val="24"/>
        </w:rPr>
        <w:t>Additionally, the department routinely carries out climate risk maturity assessments which are reviewed by the Victorian Secretaries Board. These</w:t>
      </w:r>
      <w:r w:rsidR="00D91592">
        <w:rPr>
          <w:rFonts w:cs="Arial"/>
          <w:szCs w:val="24"/>
        </w:rPr>
        <w:t> </w:t>
      </w:r>
      <w:r w:rsidRPr="000557CC">
        <w:rPr>
          <w:rFonts w:cs="Arial"/>
          <w:szCs w:val="24"/>
        </w:rPr>
        <w:t>assessments identify internal capability and</w:t>
      </w:r>
      <w:r w:rsidR="00610A6F">
        <w:rPr>
          <w:rFonts w:cs="Arial"/>
          <w:szCs w:val="24"/>
        </w:rPr>
        <w:t> </w:t>
      </w:r>
      <w:r w:rsidRPr="000557CC">
        <w:rPr>
          <w:rFonts w:cs="Arial"/>
          <w:szCs w:val="24"/>
        </w:rPr>
        <w:t>capacity (processes, people, systems) related to climate-related risk management.</w:t>
      </w:r>
    </w:p>
    <w:p w14:paraId="096FC3E6" w14:textId="77777777" w:rsidR="006D7571" w:rsidRPr="000557CC" w:rsidRDefault="006D7571" w:rsidP="00501233">
      <w:pPr>
        <w:pStyle w:val="Heading3"/>
        <w:rPr>
          <w:lang w:eastAsia="en-AU"/>
        </w:rPr>
      </w:pPr>
      <w:r w:rsidRPr="000557CC">
        <w:rPr>
          <w:lang w:eastAsia="en-AU"/>
        </w:rPr>
        <w:t>Climate-related risk strategy</w:t>
      </w:r>
    </w:p>
    <w:p w14:paraId="0F84B83B" w14:textId="77777777" w:rsidR="000D720E" w:rsidRDefault="006D7571" w:rsidP="00501233">
      <w:pPr>
        <w:pStyle w:val="ARBody"/>
        <w:rPr>
          <w:rFonts w:cs="Arial"/>
          <w:szCs w:val="24"/>
        </w:rPr>
      </w:pPr>
      <w:r w:rsidRPr="000557CC">
        <w:rPr>
          <w:rFonts w:cs="Arial"/>
          <w:szCs w:val="24"/>
        </w:rPr>
        <w:t>The department considers the p</w:t>
      </w:r>
      <w:r w:rsidRPr="006D7571">
        <w:rPr>
          <w:rFonts w:cs="Arial"/>
          <w:szCs w:val="24"/>
        </w:rPr>
        <w:t>otential impacts of climate-related risks as part of environmental scanning activities. This includes housing needs and supply, population health and wellbeing, the frequency and severity of disaster events and impacts on existing zero emissions commitments</w:t>
      </w:r>
      <w:r w:rsidR="00D91592">
        <w:rPr>
          <w:rFonts w:cs="Arial"/>
          <w:szCs w:val="24"/>
        </w:rPr>
        <w:t> </w:t>
      </w:r>
      <w:r w:rsidRPr="006D7571">
        <w:rPr>
          <w:rFonts w:cs="Arial"/>
          <w:szCs w:val="24"/>
        </w:rPr>
        <w:t>in</w:t>
      </w:r>
      <w:r w:rsidR="00D91592">
        <w:rPr>
          <w:rFonts w:cs="Arial"/>
          <w:szCs w:val="24"/>
        </w:rPr>
        <w:t> </w:t>
      </w:r>
      <w:r w:rsidRPr="006D7571">
        <w:rPr>
          <w:rFonts w:cs="Arial"/>
          <w:szCs w:val="24"/>
        </w:rPr>
        <w:t>strategic and corporate plans.</w:t>
      </w:r>
    </w:p>
    <w:p w14:paraId="6391C6DA" w14:textId="719C5AD0" w:rsidR="006D7571" w:rsidRPr="006D7571" w:rsidRDefault="006D7571" w:rsidP="00501233">
      <w:pPr>
        <w:pStyle w:val="ARBody"/>
      </w:pPr>
      <w:r w:rsidRPr="000557CC">
        <w:rPr>
          <w:rFonts w:cs="Arial"/>
          <w:szCs w:val="24"/>
        </w:rPr>
        <w:t xml:space="preserve">The </w:t>
      </w:r>
      <w:r w:rsidRPr="00A124D1">
        <w:rPr>
          <w:rStyle w:val="Emphasis"/>
        </w:rPr>
        <w:t xml:space="preserve">Health and Human Services Climate Change Adaptation Action Plan </w:t>
      </w:r>
      <w:r w:rsidRPr="006D7571">
        <w:rPr>
          <w:rFonts w:cs="Arial"/>
          <w:szCs w:val="24"/>
        </w:rPr>
        <w:t>2022–2026 (HHSASAP), and the next plan for the 2027–2031 period, are</w:t>
      </w:r>
      <w:r w:rsidRPr="006D7571">
        <w:rPr>
          <w:rFonts w:cs="Arial"/>
          <w:i/>
          <w:iCs/>
          <w:szCs w:val="24"/>
        </w:rPr>
        <w:t xml:space="preserve"> </w:t>
      </w:r>
      <w:r w:rsidRPr="006D7571">
        <w:rPr>
          <w:rFonts w:cs="Arial"/>
          <w:szCs w:val="24"/>
        </w:rPr>
        <w:t xml:space="preserve">prepared in line with the requirements of the </w:t>
      </w:r>
      <w:r w:rsidRPr="00A124D1">
        <w:rPr>
          <w:rStyle w:val="Emphasis"/>
        </w:rPr>
        <w:t>Climate Action Act 2017.</w:t>
      </w:r>
      <w:r w:rsidRPr="006D7571">
        <w:rPr>
          <w:rFonts w:cs="Arial"/>
          <w:szCs w:val="24"/>
        </w:rPr>
        <w:t xml:space="preserve"> The HHSAAP sets out how the department will manage climate risk, in collaboration with its entities and industry sectors. During 2025–26, the department progressed on all</w:t>
      </w:r>
      <w:r w:rsidR="00D91592">
        <w:rPr>
          <w:rFonts w:cs="Arial"/>
          <w:szCs w:val="24"/>
        </w:rPr>
        <w:t> </w:t>
      </w:r>
      <w:r w:rsidRPr="006D7571">
        <w:rPr>
          <w:rFonts w:cs="Arial"/>
          <w:szCs w:val="24"/>
        </w:rPr>
        <w:t>actions under the HHSAAP and is actively participating in whole-of-Victorian-Government processes to integrate and progress climate change more broadly.</w:t>
      </w:r>
    </w:p>
    <w:p w14:paraId="6A869426" w14:textId="77777777" w:rsidR="006D7571" w:rsidRPr="006D7571" w:rsidRDefault="006D7571" w:rsidP="00501233">
      <w:pPr>
        <w:pStyle w:val="ARBody"/>
      </w:pPr>
      <w:r w:rsidRPr="000557CC">
        <w:rPr>
          <w:rFonts w:cs="Arial"/>
          <w:szCs w:val="24"/>
        </w:rPr>
        <w:t xml:space="preserve">The department is currently monitoring and managing several climate-related physical </w:t>
      </w:r>
      <w:r w:rsidRPr="006D7571">
        <w:rPr>
          <w:rFonts w:cs="Arial"/>
        </w:rPr>
        <w:t>risks and opportunities. These include:</w:t>
      </w:r>
    </w:p>
    <w:p w14:paraId="47EE78C7" w14:textId="77777777" w:rsidR="006D7571" w:rsidRPr="006D7571" w:rsidRDefault="006D7571" w:rsidP="00A2553F">
      <w:pPr>
        <w:pStyle w:val="ARBullet1"/>
        <w:rPr>
          <w:rFonts w:cs="Arial"/>
          <w:szCs w:val="24"/>
        </w:rPr>
      </w:pPr>
      <w:r w:rsidRPr="000557CC">
        <w:t>the impact of increased temperatures and extreme heat on department operati</w:t>
      </w:r>
      <w:r w:rsidRPr="006D7571">
        <w:rPr>
          <w:rFonts w:cs="Arial"/>
          <w:szCs w:val="24"/>
        </w:rPr>
        <w:t xml:space="preserve">ons </w:t>
      </w:r>
    </w:p>
    <w:p w14:paraId="229C579E" w14:textId="77777777" w:rsidR="006D7571" w:rsidRPr="000557CC" w:rsidRDefault="006D7571" w:rsidP="00A2553F">
      <w:pPr>
        <w:pStyle w:val="ARBullet1"/>
      </w:pPr>
      <w:r w:rsidRPr="000557CC">
        <w:t>the impact of bushfires and extreme weather events on departmental assets</w:t>
      </w:r>
    </w:p>
    <w:p w14:paraId="62D9FC66" w14:textId="77777777" w:rsidR="006D7571" w:rsidRPr="000557CC" w:rsidRDefault="006D7571" w:rsidP="00A2553F">
      <w:pPr>
        <w:pStyle w:val="ARBullet1"/>
      </w:pPr>
      <w:r w:rsidRPr="000557CC">
        <w:t>reducing greenhouse gas emissions resulting from the department’s operations in line with Victorian Government commitments</w:t>
      </w:r>
    </w:p>
    <w:p w14:paraId="5FB4B124" w14:textId="77777777" w:rsidR="006D7571" w:rsidRPr="000557CC" w:rsidRDefault="006D7571" w:rsidP="00A2553F">
      <w:pPr>
        <w:pStyle w:val="ARBullet1"/>
      </w:pPr>
      <w:r w:rsidRPr="000557CC">
        <w:t>aligning procurement to circular economy principles</w:t>
      </w:r>
    </w:p>
    <w:p w14:paraId="31FC94FC" w14:textId="77777777" w:rsidR="006D7571" w:rsidRPr="000557CC" w:rsidRDefault="006D7571" w:rsidP="00A2553F">
      <w:pPr>
        <w:pStyle w:val="ARBullet1"/>
      </w:pPr>
      <w:r w:rsidRPr="000557CC">
        <w:t>improving environmental performance monitoring, evaluation and reporting</w:t>
      </w:r>
    </w:p>
    <w:p w14:paraId="41EC5865" w14:textId="77777777" w:rsidR="006D7571" w:rsidRPr="000557CC" w:rsidRDefault="006D7571" w:rsidP="00A2553F">
      <w:pPr>
        <w:pStyle w:val="ARBullet1"/>
      </w:pPr>
      <w:r w:rsidRPr="000557CC">
        <w:t>supporting the continuing uptake of renewable energy and other low emissions technologies across Victoria.</w:t>
      </w:r>
    </w:p>
    <w:p w14:paraId="2307F428" w14:textId="77777777" w:rsidR="006D7571" w:rsidRPr="000557CC" w:rsidRDefault="006D7571" w:rsidP="00501233">
      <w:pPr>
        <w:pStyle w:val="Heading3"/>
        <w:rPr>
          <w:lang w:eastAsia="en-AU"/>
        </w:rPr>
      </w:pPr>
      <w:r w:rsidRPr="000557CC">
        <w:rPr>
          <w:lang w:eastAsia="en-AU"/>
        </w:rPr>
        <w:t>Climate-related risk management</w:t>
      </w:r>
    </w:p>
    <w:p w14:paraId="51C68EC6" w14:textId="77777777" w:rsidR="000D720E" w:rsidRDefault="006D7571" w:rsidP="00501233">
      <w:pPr>
        <w:pStyle w:val="ARBody"/>
        <w:rPr>
          <w:rFonts w:cs="Arial"/>
          <w:szCs w:val="24"/>
        </w:rPr>
      </w:pPr>
      <w:r w:rsidRPr="000557CC">
        <w:rPr>
          <w:rFonts w:cs="Arial"/>
          <w:szCs w:val="24"/>
        </w:rPr>
        <w:t>The department’s risk management framework req</w:t>
      </w:r>
      <w:r w:rsidRPr="006D7571">
        <w:rPr>
          <w:rFonts w:cs="Arial"/>
          <w:szCs w:val="24"/>
        </w:rPr>
        <w:t xml:space="preserve">uires it to identify, assess and manage climate risks and opportunities. The framework is aligned with the </w:t>
      </w:r>
      <w:r w:rsidRPr="00A124D1">
        <w:rPr>
          <w:rStyle w:val="Emphasis"/>
        </w:rPr>
        <w:t>Victorian Government risk management framework</w:t>
      </w:r>
      <w:r w:rsidRPr="006D7571">
        <w:rPr>
          <w:rFonts w:cs="Arial"/>
          <w:szCs w:val="24"/>
        </w:rPr>
        <w:t>. It provides guidance for designing, implementing, monitoring, reviewing and continually improving risk management throughout the department. Controls and treatments are progressively being refined to address climate change as a risk for the department.</w:t>
      </w:r>
    </w:p>
    <w:p w14:paraId="28B3E234" w14:textId="77777777" w:rsidR="006D7571" w:rsidRPr="000557CC" w:rsidRDefault="006D7571" w:rsidP="00501233">
      <w:pPr>
        <w:pStyle w:val="Heading3"/>
        <w:rPr>
          <w:lang w:eastAsia="en-AU"/>
        </w:rPr>
      </w:pPr>
      <w:r w:rsidRPr="000557CC">
        <w:rPr>
          <w:lang w:eastAsia="en-AU"/>
        </w:rPr>
        <w:t>Climate-related metrics and targets</w:t>
      </w:r>
    </w:p>
    <w:p w14:paraId="17F9B13F" w14:textId="77777777" w:rsidR="006D7571" w:rsidRPr="006D7571" w:rsidRDefault="006D7571" w:rsidP="00501233">
      <w:pPr>
        <w:pStyle w:val="ARBody"/>
      </w:pPr>
      <w:r w:rsidRPr="000557CC">
        <w:rPr>
          <w:rFonts w:cs="Arial"/>
          <w:szCs w:val="24"/>
        </w:rPr>
        <w:t>The department reports climate-related metrics in line with requirem</w:t>
      </w:r>
      <w:r w:rsidRPr="006D7571">
        <w:rPr>
          <w:rFonts w:cs="Arial"/>
          <w:szCs w:val="24"/>
        </w:rPr>
        <w:t xml:space="preserve">ents under Financial Reporting Direction 24 (FRD 24) </w:t>
      </w:r>
      <w:r w:rsidRPr="00A124D1">
        <w:rPr>
          <w:rStyle w:val="Emphasis"/>
        </w:rPr>
        <w:t>Reporting of environmental data by government entities</w:t>
      </w:r>
      <w:r w:rsidRPr="006D7571">
        <w:rPr>
          <w:rFonts w:cs="Arial"/>
          <w:szCs w:val="24"/>
        </w:rPr>
        <w:t>. The environmental data in this report has been sourced from suppliers, equipment metering and reports.</w:t>
      </w:r>
    </w:p>
    <w:p w14:paraId="61118BE3" w14:textId="77777777" w:rsidR="006D7571" w:rsidRPr="000557CC" w:rsidRDefault="006D7571" w:rsidP="00501233">
      <w:pPr>
        <w:pStyle w:val="ARBody"/>
      </w:pPr>
      <w:r w:rsidRPr="000557CC">
        <w:rPr>
          <w:rFonts w:cs="Arial"/>
          <w:szCs w:val="24"/>
        </w:rPr>
        <w:t>The department continually aims to reduce portfolio emissions to contribute to the Victorian Government’s long-term emissions target of net zero emissions by 2045. The department will continue working with relevant stakeholders to achieve this objective.</w:t>
      </w:r>
    </w:p>
    <w:p w14:paraId="793060AC" w14:textId="77777777" w:rsidR="006D7571" w:rsidRPr="000557CC" w:rsidRDefault="006D7571" w:rsidP="00501233">
      <w:pPr>
        <w:pStyle w:val="Heading3"/>
        <w:rPr>
          <w:lang w:eastAsia="en-AU"/>
        </w:rPr>
      </w:pPr>
      <w:r w:rsidRPr="000557CC">
        <w:rPr>
          <w:lang w:eastAsia="en-AU"/>
        </w:rPr>
        <w:t>Greenhouse gas emissions</w:t>
      </w:r>
    </w:p>
    <w:p w14:paraId="4FF9A530" w14:textId="77777777" w:rsidR="006D7571" w:rsidRPr="006D7571" w:rsidRDefault="006D7571" w:rsidP="00501233">
      <w:pPr>
        <w:pStyle w:val="ARBody"/>
      </w:pPr>
      <w:r w:rsidRPr="000557CC">
        <w:rPr>
          <w:rFonts w:cs="Arial"/>
          <w:szCs w:val="24"/>
        </w:rPr>
        <w:t>The department repor</w:t>
      </w:r>
      <w:r w:rsidRPr="006D7571">
        <w:rPr>
          <w:rFonts w:cs="Arial"/>
          <w:szCs w:val="24"/>
        </w:rPr>
        <w:t>ts its greenhouse gas emissions broken down into emissions ‘scopes’ consistent with national and international reporting standards.</w:t>
      </w:r>
    </w:p>
    <w:p w14:paraId="37430246" w14:textId="09322076" w:rsidR="006D7571" w:rsidRPr="000557CC" w:rsidRDefault="006D7571" w:rsidP="00501233">
      <w:pPr>
        <w:pStyle w:val="ARBody"/>
      </w:pPr>
      <w:r w:rsidRPr="000557CC">
        <w:rPr>
          <w:rFonts w:cs="Arial"/>
          <w:szCs w:val="24"/>
        </w:rPr>
        <w:t>Scope 1 emissions are from sources that the department owns or controls, such as burning fossil</w:t>
      </w:r>
      <w:r w:rsidR="00D91592">
        <w:rPr>
          <w:rFonts w:cs="Arial"/>
          <w:szCs w:val="24"/>
        </w:rPr>
        <w:t> </w:t>
      </w:r>
      <w:r w:rsidRPr="000557CC">
        <w:rPr>
          <w:rFonts w:cs="Arial"/>
          <w:szCs w:val="24"/>
        </w:rPr>
        <w:t>fuels in its vehicles or machinery.</w:t>
      </w:r>
    </w:p>
    <w:p w14:paraId="20BAF71F" w14:textId="77777777" w:rsidR="006D7571" w:rsidRPr="000557CC" w:rsidRDefault="006D7571" w:rsidP="00501233">
      <w:pPr>
        <w:pStyle w:val="ARBody"/>
      </w:pPr>
      <w:r w:rsidRPr="000557CC">
        <w:rPr>
          <w:rFonts w:cs="Arial"/>
          <w:szCs w:val="24"/>
        </w:rPr>
        <w:t xml:space="preserve">Scope 2 emissions are indirect emissions from the department’s use of electricity from the grid, which still uses coal and gas-fired power generation. </w:t>
      </w:r>
    </w:p>
    <w:p w14:paraId="42990939" w14:textId="77777777" w:rsidR="000D720E" w:rsidRDefault="006D7571" w:rsidP="00501233">
      <w:pPr>
        <w:pStyle w:val="ARBody"/>
        <w:rPr>
          <w:rFonts w:cs="Arial"/>
          <w:szCs w:val="24"/>
        </w:rPr>
      </w:pPr>
      <w:r w:rsidRPr="000557CC">
        <w:rPr>
          <w:rFonts w:cs="Arial"/>
          <w:szCs w:val="24"/>
        </w:rPr>
        <w:t>Scope 3 emissions are indirect emissions from sources the department does not control but does i</w:t>
      </w:r>
      <w:r w:rsidRPr="006D7571">
        <w:rPr>
          <w:rFonts w:cs="Arial"/>
          <w:szCs w:val="24"/>
        </w:rPr>
        <w:t>nfluence. The department currently reports scope 3</w:t>
      </w:r>
      <w:r w:rsidR="00610A6F">
        <w:rPr>
          <w:rFonts w:cs="Arial"/>
          <w:szCs w:val="24"/>
        </w:rPr>
        <w:t> </w:t>
      </w:r>
      <w:r w:rsidRPr="006D7571">
        <w:rPr>
          <w:rFonts w:cs="Arial"/>
          <w:szCs w:val="24"/>
        </w:rPr>
        <w:t>emissions from corporate air travel and waste disposal as required by FRD 24 and is investigating</w:t>
      </w:r>
      <w:r w:rsidR="00610A6F">
        <w:rPr>
          <w:rFonts w:cs="Arial"/>
          <w:szCs w:val="24"/>
        </w:rPr>
        <w:t> </w:t>
      </w:r>
      <w:r w:rsidRPr="006D7571">
        <w:rPr>
          <w:rFonts w:cs="Arial"/>
          <w:szCs w:val="24"/>
        </w:rPr>
        <w:t>options to expand this reporting to include significant procurement and investments. The department does not capture data on scope 3</w:t>
      </w:r>
      <w:r w:rsidR="00610A6F">
        <w:rPr>
          <w:rFonts w:cs="Arial"/>
          <w:szCs w:val="24"/>
        </w:rPr>
        <w:t> </w:t>
      </w:r>
      <w:r w:rsidRPr="006D7571">
        <w:rPr>
          <w:rFonts w:cs="Arial"/>
          <w:szCs w:val="24"/>
        </w:rPr>
        <w:t>waste and recycling in Housing Services.</w:t>
      </w:r>
    </w:p>
    <w:p w14:paraId="09F1B136" w14:textId="2280B264" w:rsidR="006D7571" w:rsidRPr="006D7571" w:rsidRDefault="006D7571" w:rsidP="00501233">
      <w:pPr>
        <w:pStyle w:val="ARBody"/>
        <w:rPr>
          <w:highlight w:val="cyan"/>
        </w:rPr>
      </w:pPr>
      <w:r w:rsidRPr="000557CC">
        <w:rPr>
          <w:rFonts w:cs="Arial"/>
          <w:szCs w:val="24"/>
        </w:rPr>
        <w:t>The department’s scope 1 greenhouse gas emissions decreased by 35% from 2024–25 to 2025–26. This was driven by a dramatic shift in the department’s fleet to move away from internal combust</w:t>
      </w:r>
      <w:r w:rsidRPr="006D7571">
        <w:rPr>
          <w:rFonts w:cs="Arial"/>
          <w:szCs w:val="24"/>
        </w:rPr>
        <w:t>ion vehicles reliant on fossil-fuels and acquire new plug-in and hybrid electric vehicles. The department has also aligned its accommodation strategy to office sites that use less, and more efficient, natural gas. All new builds are compliant with being electrified only with zero new sites utilising natural gas.</w:t>
      </w:r>
    </w:p>
    <w:p w14:paraId="1828232F" w14:textId="77777777" w:rsidR="006D7571" w:rsidRPr="006D7571" w:rsidRDefault="006D7571" w:rsidP="00501233">
      <w:pPr>
        <w:pStyle w:val="ARBody"/>
      </w:pPr>
      <w:r w:rsidRPr="000557CC">
        <w:rPr>
          <w:rFonts w:cs="Arial"/>
          <w:szCs w:val="24"/>
        </w:rPr>
        <w:t>Scope 1 emissions from Housing Services reduced by 5%. This was driven by a reduction in Housing Services gas consumption from the ongoing redevelopment of older gas-intensive public housing estates</w:t>
      </w:r>
      <w:r w:rsidRPr="006D7571">
        <w:rPr>
          <w:rFonts w:cs="Arial"/>
          <w:szCs w:val="24"/>
        </w:rPr>
        <w:t xml:space="preserve"> and their replacement with either new all-electric public housing apartment buildings, or community and affordable housing buildings which are outside of the department’s emissions reporting boundary.</w:t>
      </w:r>
    </w:p>
    <w:p w14:paraId="56DA8F40" w14:textId="3E48657E" w:rsidR="006D7571" w:rsidRPr="006D7571" w:rsidRDefault="006D7571" w:rsidP="00501233">
      <w:pPr>
        <w:pStyle w:val="ARBody"/>
        <w:rPr>
          <w:highlight w:val="yellow"/>
        </w:rPr>
      </w:pPr>
      <w:r w:rsidRPr="000557CC">
        <w:rPr>
          <w:rFonts w:cs="Arial"/>
          <w:szCs w:val="24"/>
        </w:rPr>
        <w:t>The department’s scope 2 greenhouse gas emissions slightly decreased by 1% from 2024–25 to 2025–26 with a small drop in purchased electricity across its sites.</w:t>
      </w:r>
    </w:p>
    <w:p w14:paraId="19B6678A" w14:textId="77777777" w:rsidR="006D7571" w:rsidRPr="006D7571" w:rsidRDefault="006D7571" w:rsidP="00501233">
      <w:pPr>
        <w:pStyle w:val="ARBody"/>
      </w:pPr>
      <w:r w:rsidRPr="000557CC">
        <w:rPr>
          <w:rFonts w:cs="Arial"/>
          <w:szCs w:val="24"/>
        </w:rPr>
        <w:t xml:space="preserve">The department’s scope 3 greenhouse gas emissions from corporate air travel and waste increased by 11% due to 506,422 more kilometres travelled than </w:t>
      </w:r>
      <w:r w:rsidRPr="006D7571">
        <w:rPr>
          <w:rFonts w:cs="Arial"/>
          <w:szCs w:val="24"/>
        </w:rPr>
        <w:t>the previous reporting period coupled with an increased in short-haul domestic flights which are less efficient per kilometre.</w:t>
      </w:r>
    </w:p>
    <w:p w14:paraId="7F9A9160" w14:textId="77777777" w:rsidR="006D7571" w:rsidRPr="000557CC" w:rsidRDefault="006D7571" w:rsidP="000D720E">
      <w:pPr>
        <w:pStyle w:val="Heading4"/>
      </w:pPr>
      <w:r w:rsidRPr="000557CC">
        <w:t>Department offices</w:t>
      </w:r>
    </w:p>
    <w:p w14:paraId="67C7F972" w14:textId="77777777" w:rsidR="006D7571" w:rsidRPr="006D7571" w:rsidRDefault="006D7571" w:rsidP="00965115">
      <w:pPr>
        <w:pStyle w:val="ARTablecaption"/>
        <w:spacing w:before="0"/>
        <w:rPr>
          <w:rFonts w:eastAsia="MS PGothic"/>
          <w:bCs/>
        </w:rPr>
      </w:pPr>
      <w:r w:rsidRPr="000557CC">
        <w:rPr>
          <w:rFonts w:eastAsia="MS PGothic"/>
        </w:rPr>
        <w:t>Greenhouse gas emissions</w:t>
      </w:r>
      <w:r w:rsidRPr="006D7571">
        <w:rPr>
          <w:rFonts w:eastAsia="MS PGothic"/>
          <w:bCs/>
          <w:vertAlign w:val="superscript"/>
        </w:rPr>
        <w:footnoteReference w:id="27"/>
      </w:r>
    </w:p>
    <w:tbl>
      <w:tblPr>
        <w:tblStyle w:val="ARtable1"/>
        <w:tblW w:w="5000" w:type="pct"/>
        <w:tblLook w:val="02A0" w:firstRow="1" w:lastRow="0" w:firstColumn="1" w:lastColumn="0" w:noHBand="1" w:noVBand="0"/>
      </w:tblPr>
      <w:tblGrid>
        <w:gridCol w:w="4529"/>
        <w:gridCol w:w="1698"/>
        <w:gridCol w:w="1698"/>
        <w:gridCol w:w="1697"/>
      </w:tblGrid>
      <w:tr w:rsidR="006D7571" w:rsidRPr="000557CC" w14:paraId="7F23A0BD" w14:textId="77777777" w:rsidTr="009F3BE7">
        <w:trPr>
          <w:cnfStyle w:val="100000000000" w:firstRow="1" w:lastRow="0" w:firstColumn="0" w:lastColumn="0" w:oddVBand="0" w:evenVBand="0" w:oddHBand="0" w:evenHBand="0" w:firstRowFirstColumn="0" w:firstRowLastColumn="0" w:lastRowFirstColumn="0" w:lastRowLastColumn="0"/>
          <w:tblHeader/>
        </w:trPr>
        <w:tc>
          <w:tcPr>
            <w:tcW w:w="2353" w:type="pct"/>
          </w:tcPr>
          <w:p w14:paraId="7DB98811" w14:textId="77777777" w:rsidR="006D7571" w:rsidRPr="000557CC" w:rsidRDefault="006D7571" w:rsidP="00501233">
            <w:pPr>
              <w:pStyle w:val="ARtablecolhead"/>
              <w:rPr>
                <w:lang w:eastAsia="en-AU"/>
              </w:rPr>
            </w:pPr>
            <w:r w:rsidRPr="000557CC">
              <w:rPr>
                <w:lang w:eastAsia="en-AU"/>
              </w:rPr>
              <w:t>Indicator</w:t>
            </w:r>
          </w:p>
        </w:tc>
        <w:tc>
          <w:tcPr>
            <w:cnfStyle w:val="000001000000" w:firstRow="0" w:lastRow="0" w:firstColumn="0" w:lastColumn="0" w:oddVBand="0" w:evenVBand="1" w:oddHBand="0" w:evenHBand="0" w:firstRowFirstColumn="0" w:firstRowLastColumn="0" w:lastRowFirstColumn="0" w:lastRowLastColumn="0"/>
            <w:tcW w:w="882" w:type="pct"/>
          </w:tcPr>
          <w:p w14:paraId="51A5E577" w14:textId="77777777" w:rsidR="006D7571" w:rsidRPr="000557CC" w:rsidRDefault="006D7571" w:rsidP="00501233">
            <w:pPr>
              <w:pStyle w:val="ARtablecolheadright"/>
              <w:rPr>
                <w:lang w:eastAsia="en-AU"/>
              </w:rPr>
            </w:pPr>
            <w:r w:rsidRPr="000557CC">
              <w:rPr>
                <w:lang w:eastAsia="en-AU"/>
              </w:rPr>
              <w:t>2025–26 estimate</w:t>
            </w:r>
          </w:p>
          <w:p w14:paraId="6460F8A5" w14:textId="77777777" w:rsidR="006D7571" w:rsidRPr="000557CC" w:rsidRDefault="006D7571" w:rsidP="00501233">
            <w:pPr>
              <w:pStyle w:val="ARtablecolheadright"/>
              <w:rPr>
                <w:lang w:eastAsia="en-AU"/>
              </w:rPr>
            </w:pPr>
            <w:r w:rsidRPr="000557CC">
              <w:rPr>
                <w:lang w:eastAsia="en-AU"/>
              </w:rPr>
              <w:t>Tonnes CO</w:t>
            </w:r>
            <w:r w:rsidRPr="000557CC">
              <w:rPr>
                <w:vertAlign w:val="subscript"/>
                <w:lang w:eastAsia="en-AU"/>
              </w:rPr>
              <w:t>2</w:t>
            </w:r>
            <w:r w:rsidRPr="000557CC">
              <w:rPr>
                <w:lang w:eastAsia="en-AU"/>
              </w:rPr>
              <w:t>-e</w:t>
            </w:r>
          </w:p>
        </w:tc>
        <w:tc>
          <w:tcPr>
            <w:tcW w:w="882" w:type="pct"/>
          </w:tcPr>
          <w:p w14:paraId="772FB9CA" w14:textId="77777777" w:rsidR="006D7571" w:rsidRPr="000557CC" w:rsidRDefault="006D7571" w:rsidP="00501233">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 estimate</w:t>
            </w:r>
          </w:p>
          <w:p w14:paraId="7CF77124" w14:textId="77777777" w:rsidR="006D7571" w:rsidRPr="000557CC" w:rsidRDefault="006D7571" w:rsidP="00501233">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Tonnes CO</w:t>
            </w:r>
            <w:r w:rsidRPr="000557CC">
              <w:rPr>
                <w:vertAlign w:val="subscript"/>
                <w:lang w:eastAsia="en-AU"/>
              </w:rPr>
              <w:t>2</w:t>
            </w:r>
            <w:r w:rsidRPr="000557CC">
              <w:rPr>
                <w:lang w:eastAsia="en-AU"/>
              </w:rPr>
              <w:t>-e</w:t>
            </w:r>
          </w:p>
        </w:tc>
        <w:tc>
          <w:tcPr>
            <w:cnfStyle w:val="000001000000" w:firstRow="0" w:lastRow="0" w:firstColumn="0" w:lastColumn="0" w:oddVBand="0" w:evenVBand="1" w:oddHBand="0" w:evenHBand="0" w:firstRowFirstColumn="0" w:firstRowLastColumn="0" w:lastRowFirstColumn="0" w:lastRowLastColumn="0"/>
            <w:tcW w:w="882" w:type="pct"/>
          </w:tcPr>
          <w:p w14:paraId="3BBC6E89" w14:textId="77777777" w:rsidR="006D7571" w:rsidRPr="000557CC" w:rsidRDefault="006D7571" w:rsidP="00501233">
            <w:pPr>
              <w:pStyle w:val="ARtablecolheadright"/>
              <w:rPr>
                <w:lang w:eastAsia="en-AU"/>
              </w:rPr>
            </w:pPr>
            <w:r w:rsidRPr="000557CC">
              <w:rPr>
                <w:lang w:eastAsia="en-AU"/>
              </w:rPr>
              <w:t>2023–24 estimate</w:t>
            </w:r>
          </w:p>
          <w:p w14:paraId="46E94C5F" w14:textId="77777777" w:rsidR="006D7571" w:rsidRPr="000557CC" w:rsidRDefault="006D7571" w:rsidP="00501233">
            <w:pPr>
              <w:pStyle w:val="ARtablecolheadright"/>
              <w:rPr>
                <w:lang w:eastAsia="en-AU"/>
              </w:rPr>
            </w:pPr>
            <w:r w:rsidRPr="000557CC">
              <w:rPr>
                <w:lang w:eastAsia="en-AU"/>
              </w:rPr>
              <w:t>Tonnes CO</w:t>
            </w:r>
            <w:r w:rsidRPr="000557CC">
              <w:rPr>
                <w:vertAlign w:val="subscript"/>
                <w:lang w:eastAsia="en-AU"/>
              </w:rPr>
              <w:t>2</w:t>
            </w:r>
            <w:r w:rsidRPr="000557CC">
              <w:rPr>
                <w:lang w:eastAsia="en-AU"/>
              </w:rPr>
              <w:t>-e</w:t>
            </w:r>
          </w:p>
        </w:tc>
      </w:tr>
      <w:tr w:rsidR="006D7571" w:rsidRPr="000557CC" w14:paraId="68FB0F83" w14:textId="77777777" w:rsidTr="009F3BE7">
        <w:tc>
          <w:tcPr>
            <w:tcW w:w="2353" w:type="pct"/>
          </w:tcPr>
          <w:p w14:paraId="14DA76C3" w14:textId="77777777" w:rsidR="006D7571" w:rsidRPr="000557CC" w:rsidRDefault="006D7571" w:rsidP="00501233">
            <w:pPr>
              <w:pStyle w:val="ARTabletext"/>
              <w:rPr>
                <w:lang w:eastAsia="en-AU"/>
              </w:rPr>
            </w:pPr>
            <w:r w:rsidRPr="000557CC">
              <w:rPr>
                <w:lang w:eastAsia="en-AU"/>
              </w:rPr>
              <w:t xml:space="preserve">G1 Total Scope 1 greenhouse gas emissions </w:t>
            </w:r>
            <w:r w:rsidRPr="000557CC">
              <w:rPr>
                <w:lang w:eastAsia="en-AU"/>
              </w:rPr>
              <w:br/>
              <w:t>(Direct)</w:t>
            </w:r>
          </w:p>
        </w:tc>
        <w:tc>
          <w:tcPr>
            <w:cnfStyle w:val="000001000000" w:firstRow="0" w:lastRow="0" w:firstColumn="0" w:lastColumn="0" w:oddVBand="0" w:evenVBand="1" w:oddHBand="0" w:evenHBand="0" w:firstRowFirstColumn="0" w:firstRowLastColumn="0" w:lastRowFirstColumn="0" w:lastRowLastColumn="0"/>
            <w:tcW w:w="882" w:type="pct"/>
          </w:tcPr>
          <w:p w14:paraId="1C0AD34F" w14:textId="77777777" w:rsidR="006D7571" w:rsidRPr="000557CC" w:rsidRDefault="006D7571" w:rsidP="00501233">
            <w:pPr>
              <w:pStyle w:val="ARtabletextright"/>
              <w:rPr>
                <w:highlight w:val="yellow"/>
                <w:lang w:eastAsia="en-AU"/>
              </w:rPr>
            </w:pPr>
            <w:r w:rsidRPr="000557CC">
              <w:rPr>
                <w:lang w:eastAsia="en-AU"/>
              </w:rPr>
              <w:t>4,070</w:t>
            </w:r>
          </w:p>
        </w:tc>
        <w:tc>
          <w:tcPr>
            <w:tcW w:w="882" w:type="pct"/>
          </w:tcPr>
          <w:p w14:paraId="66594794" w14:textId="77777777" w:rsidR="006D7571" w:rsidRPr="000557CC" w:rsidRDefault="006D7571" w:rsidP="00501233">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5,829</w:t>
            </w:r>
          </w:p>
        </w:tc>
        <w:tc>
          <w:tcPr>
            <w:cnfStyle w:val="000001000000" w:firstRow="0" w:lastRow="0" w:firstColumn="0" w:lastColumn="0" w:oddVBand="0" w:evenVBand="1" w:oddHBand="0" w:evenHBand="0" w:firstRowFirstColumn="0" w:firstRowLastColumn="0" w:lastRowFirstColumn="0" w:lastRowLastColumn="0"/>
            <w:tcW w:w="882" w:type="pct"/>
          </w:tcPr>
          <w:p w14:paraId="0A1BD65B" w14:textId="77777777" w:rsidR="006D7571" w:rsidRPr="000557CC" w:rsidRDefault="006D7571" w:rsidP="00501233">
            <w:pPr>
              <w:pStyle w:val="ARtabletextright"/>
              <w:rPr>
                <w:lang w:eastAsia="en-AU"/>
              </w:rPr>
            </w:pPr>
            <w:r w:rsidRPr="000557CC">
              <w:rPr>
                <w:lang w:eastAsia="en-AU"/>
              </w:rPr>
              <w:t>4,763</w:t>
            </w:r>
          </w:p>
        </w:tc>
      </w:tr>
      <w:tr w:rsidR="006D7571" w:rsidRPr="000557CC" w14:paraId="3FAF8967" w14:textId="77777777" w:rsidTr="009F3BE7">
        <w:tc>
          <w:tcPr>
            <w:tcW w:w="2353" w:type="pct"/>
            <w:tcBorders>
              <w:bottom w:val="single" w:sz="4" w:space="0" w:color="BFBFBF" w:themeColor="accent2"/>
            </w:tcBorders>
          </w:tcPr>
          <w:p w14:paraId="028F061C" w14:textId="77777777" w:rsidR="006D7571" w:rsidRPr="000557CC" w:rsidRDefault="006D7571" w:rsidP="00501233">
            <w:pPr>
              <w:pStyle w:val="ARTabletext"/>
              <w:rPr>
                <w:lang w:eastAsia="en-AU"/>
              </w:rPr>
            </w:pPr>
            <w:r w:rsidRPr="000557CC">
              <w:rPr>
                <w:lang w:eastAsia="en-AU"/>
              </w:rPr>
              <w:t xml:space="preserve">G2 Total Scope 2 greenhouse gas emissions </w:t>
            </w:r>
            <w:r w:rsidRPr="000557CC">
              <w:rPr>
                <w:lang w:eastAsia="en-AU"/>
              </w:rPr>
              <w:br/>
              <w:t>(Indirect electricity)</w:t>
            </w:r>
          </w:p>
        </w:tc>
        <w:tc>
          <w:tcPr>
            <w:cnfStyle w:val="000001000000" w:firstRow="0" w:lastRow="0" w:firstColumn="0" w:lastColumn="0" w:oddVBand="0" w:evenVBand="1" w:oddHBand="0" w:evenHBand="0" w:firstRowFirstColumn="0" w:firstRowLastColumn="0" w:lastRowFirstColumn="0" w:lastRowLastColumn="0"/>
            <w:tcW w:w="882" w:type="pct"/>
            <w:tcBorders>
              <w:bottom w:val="single" w:sz="4" w:space="0" w:color="BFBFBF" w:themeColor="accent2"/>
            </w:tcBorders>
          </w:tcPr>
          <w:p w14:paraId="43EA1AC4" w14:textId="77777777" w:rsidR="006D7571" w:rsidRPr="000557CC" w:rsidRDefault="006D7571" w:rsidP="00501233">
            <w:pPr>
              <w:pStyle w:val="ARtabletextright"/>
              <w:rPr>
                <w:lang w:eastAsia="en-AU"/>
              </w:rPr>
            </w:pPr>
            <w:r w:rsidRPr="000557CC">
              <w:rPr>
                <w:lang w:eastAsia="en-AU"/>
              </w:rPr>
              <w:t>7,435</w:t>
            </w:r>
          </w:p>
        </w:tc>
        <w:tc>
          <w:tcPr>
            <w:tcW w:w="882" w:type="pct"/>
            <w:tcBorders>
              <w:bottom w:val="single" w:sz="4" w:space="0" w:color="BFBFBF" w:themeColor="accent2"/>
            </w:tcBorders>
          </w:tcPr>
          <w:p w14:paraId="0711ACB2" w14:textId="77777777" w:rsidR="006D7571" w:rsidRPr="000557CC" w:rsidRDefault="006D7571" w:rsidP="00501233">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7,538</w:t>
            </w:r>
          </w:p>
        </w:tc>
        <w:tc>
          <w:tcPr>
            <w:cnfStyle w:val="000001000000" w:firstRow="0" w:lastRow="0" w:firstColumn="0" w:lastColumn="0" w:oddVBand="0" w:evenVBand="1" w:oddHBand="0" w:evenHBand="0" w:firstRowFirstColumn="0" w:firstRowLastColumn="0" w:lastRowFirstColumn="0" w:lastRowLastColumn="0"/>
            <w:tcW w:w="882" w:type="pct"/>
            <w:tcBorders>
              <w:bottom w:val="single" w:sz="4" w:space="0" w:color="BFBFBF" w:themeColor="accent2"/>
            </w:tcBorders>
          </w:tcPr>
          <w:p w14:paraId="4C1AEAD3" w14:textId="77777777" w:rsidR="006D7571" w:rsidRPr="000557CC" w:rsidRDefault="006D7571" w:rsidP="00501233">
            <w:pPr>
              <w:pStyle w:val="ARtabletextright"/>
              <w:rPr>
                <w:lang w:eastAsia="en-AU"/>
              </w:rPr>
            </w:pPr>
            <w:r w:rsidRPr="000557CC">
              <w:rPr>
                <w:lang w:eastAsia="en-AU"/>
              </w:rPr>
              <w:t>7,216</w:t>
            </w:r>
          </w:p>
        </w:tc>
      </w:tr>
      <w:tr w:rsidR="006D7571" w:rsidRPr="000557CC" w14:paraId="37E9C5E8" w14:textId="77777777" w:rsidTr="009F3BE7">
        <w:tc>
          <w:tcPr>
            <w:tcW w:w="2353" w:type="pct"/>
            <w:tcBorders>
              <w:bottom w:val="single" w:sz="4" w:space="0" w:color="000000" w:themeColor="text1"/>
            </w:tcBorders>
          </w:tcPr>
          <w:p w14:paraId="4C370BB6" w14:textId="77777777" w:rsidR="006D7571" w:rsidRPr="000557CC" w:rsidRDefault="006D7571" w:rsidP="00501233">
            <w:pPr>
              <w:pStyle w:val="ARTabletext"/>
              <w:rPr>
                <w:lang w:eastAsia="en-AU"/>
              </w:rPr>
            </w:pPr>
            <w:r w:rsidRPr="000557CC">
              <w:rPr>
                <w:lang w:eastAsia="en-AU"/>
              </w:rPr>
              <w:t>G3 Total Scope 3 greenhouse gas emissions</w:t>
            </w:r>
            <w:r w:rsidRPr="000557CC">
              <w:rPr>
                <w:lang w:eastAsia="en-AU"/>
              </w:rPr>
              <w:br/>
              <w:t>(Other indirect)</w:t>
            </w:r>
            <w:r w:rsidRPr="000557CC">
              <w:rPr>
                <w:vertAlign w:val="superscript"/>
                <w:lang w:eastAsia="en-AU"/>
              </w:rPr>
              <w:footnoteReference w:id="28"/>
            </w:r>
          </w:p>
        </w:tc>
        <w:tc>
          <w:tcPr>
            <w:cnfStyle w:val="000001000000" w:firstRow="0" w:lastRow="0" w:firstColumn="0" w:lastColumn="0" w:oddVBand="0" w:evenVBand="1" w:oddHBand="0" w:evenHBand="0" w:firstRowFirstColumn="0" w:firstRowLastColumn="0" w:lastRowFirstColumn="0" w:lastRowLastColumn="0"/>
            <w:tcW w:w="882" w:type="pct"/>
            <w:tcBorders>
              <w:bottom w:val="single" w:sz="4" w:space="0" w:color="000000" w:themeColor="text1"/>
            </w:tcBorders>
          </w:tcPr>
          <w:p w14:paraId="76C9100B" w14:textId="77777777" w:rsidR="006D7571" w:rsidRPr="000557CC" w:rsidRDefault="006D7571" w:rsidP="00501233">
            <w:pPr>
              <w:pStyle w:val="ARtabletextright"/>
              <w:rPr>
                <w:highlight w:val="yellow"/>
                <w:lang w:eastAsia="en-AU"/>
              </w:rPr>
            </w:pPr>
            <w:r w:rsidRPr="000557CC">
              <w:rPr>
                <w:lang w:eastAsia="en-AU"/>
              </w:rPr>
              <w:t>578</w:t>
            </w:r>
          </w:p>
        </w:tc>
        <w:tc>
          <w:tcPr>
            <w:tcW w:w="882" w:type="pct"/>
            <w:tcBorders>
              <w:bottom w:val="single" w:sz="4" w:space="0" w:color="000000" w:themeColor="text1"/>
            </w:tcBorders>
          </w:tcPr>
          <w:p w14:paraId="1A79686A" w14:textId="77777777" w:rsidR="006D7571" w:rsidRPr="000557CC" w:rsidRDefault="006D7571" w:rsidP="00501233">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517</w:t>
            </w:r>
          </w:p>
        </w:tc>
        <w:tc>
          <w:tcPr>
            <w:cnfStyle w:val="000001000000" w:firstRow="0" w:lastRow="0" w:firstColumn="0" w:lastColumn="0" w:oddVBand="0" w:evenVBand="1" w:oddHBand="0" w:evenHBand="0" w:firstRowFirstColumn="0" w:firstRowLastColumn="0" w:lastRowFirstColumn="0" w:lastRowLastColumn="0"/>
            <w:tcW w:w="882" w:type="pct"/>
            <w:tcBorders>
              <w:bottom w:val="single" w:sz="4" w:space="0" w:color="000000" w:themeColor="text1"/>
            </w:tcBorders>
          </w:tcPr>
          <w:p w14:paraId="3EA76C12" w14:textId="77777777" w:rsidR="006D7571" w:rsidRPr="000557CC" w:rsidRDefault="006D7571" w:rsidP="00501233">
            <w:pPr>
              <w:pStyle w:val="ARtabletextright"/>
              <w:rPr>
                <w:lang w:eastAsia="en-AU"/>
              </w:rPr>
            </w:pPr>
            <w:r w:rsidRPr="000557CC">
              <w:rPr>
                <w:lang w:eastAsia="en-AU"/>
              </w:rPr>
              <w:t>657</w:t>
            </w:r>
          </w:p>
        </w:tc>
      </w:tr>
    </w:tbl>
    <w:p w14:paraId="1E5A272E" w14:textId="77777777" w:rsidR="006D7571" w:rsidRPr="000557CC" w:rsidRDefault="006D7571" w:rsidP="00501233">
      <w:pPr>
        <w:pStyle w:val="Heading4"/>
      </w:pPr>
      <w:r w:rsidRPr="000557CC">
        <w:t>Housing Services</w:t>
      </w:r>
    </w:p>
    <w:p w14:paraId="039DD7A5" w14:textId="77777777" w:rsidR="006D7571" w:rsidRPr="000557CC" w:rsidRDefault="006D7571" w:rsidP="00965115">
      <w:pPr>
        <w:pStyle w:val="ARTablecaption"/>
        <w:spacing w:before="0"/>
        <w:rPr>
          <w:rFonts w:eastAsia="MS PGothic"/>
        </w:rPr>
      </w:pPr>
      <w:r w:rsidRPr="000557CC">
        <w:rPr>
          <w:rFonts w:eastAsia="MS PGothic"/>
        </w:rPr>
        <w:t>Greenhouse gas emissions</w:t>
      </w:r>
    </w:p>
    <w:tbl>
      <w:tblPr>
        <w:tblStyle w:val="ARtable1"/>
        <w:tblW w:w="5000" w:type="pct"/>
        <w:tblLook w:val="02A0" w:firstRow="1" w:lastRow="0" w:firstColumn="1" w:lastColumn="0" w:noHBand="1" w:noVBand="0"/>
      </w:tblPr>
      <w:tblGrid>
        <w:gridCol w:w="4529"/>
        <w:gridCol w:w="1698"/>
        <w:gridCol w:w="1698"/>
        <w:gridCol w:w="1697"/>
      </w:tblGrid>
      <w:tr w:rsidR="006D7571" w:rsidRPr="000557CC" w14:paraId="77B4146A" w14:textId="77777777" w:rsidTr="009F3BE7">
        <w:trPr>
          <w:cnfStyle w:val="100000000000" w:firstRow="1" w:lastRow="0" w:firstColumn="0" w:lastColumn="0" w:oddVBand="0" w:evenVBand="0" w:oddHBand="0" w:evenHBand="0" w:firstRowFirstColumn="0" w:firstRowLastColumn="0" w:lastRowFirstColumn="0" w:lastRowLastColumn="0"/>
          <w:tblHeader/>
        </w:trPr>
        <w:tc>
          <w:tcPr>
            <w:tcW w:w="2353" w:type="pct"/>
          </w:tcPr>
          <w:p w14:paraId="596696CD" w14:textId="77777777" w:rsidR="006D7571" w:rsidRPr="000557CC" w:rsidRDefault="006D7571" w:rsidP="00501233">
            <w:pPr>
              <w:pStyle w:val="ARtablecolhead"/>
              <w:rPr>
                <w:lang w:eastAsia="en-AU"/>
              </w:rPr>
            </w:pPr>
            <w:r w:rsidRPr="000557CC">
              <w:rPr>
                <w:lang w:eastAsia="en-AU"/>
              </w:rPr>
              <w:t>Indicator</w:t>
            </w:r>
          </w:p>
        </w:tc>
        <w:tc>
          <w:tcPr>
            <w:cnfStyle w:val="000001000000" w:firstRow="0" w:lastRow="0" w:firstColumn="0" w:lastColumn="0" w:oddVBand="0" w:evenVBand="1" w:oddHBand="0" w:evenHBand="0" w:firstRowFirstColumn="0" w:firstRowLastColumn="0" w:lastRowFirstColumn="0" w:lastRowLastColumn="0"/>
            <w:tcW w:w="882" w:type="pct"/>
          </w:tcPr>
          <w:p w14:paraId="4FB429B6" w14:textId="77777777" w:rsidR="006D7571" w:rsidRPr="000557CC" w:rsidRDefault="006D7571" w:rsidP="00501233">
            <w:pPr>
              <w:pStyle w:val="ARtablecolheadright"/>
              <w:rPr>
                <w:lang w:eastAsia="en-AU"/>
              </w:rPr>
            </w:pPr>
            <w:r w:rsidRPr="000557CC">
              <w:rPr>
                <w:lang w:eastAsia="en-AU"/>
              </w:rPr>
              <w:t>2025–26 estimate</w:t>
            </w:r>
          </w:p>
          <w:p w14:paraId="4DB112E4" w14:textId="77777777" w:rsidR="006D7571" w:rsidRPr="000557CC" w:rsidRDefault="006D7571" w:rsidP="00501233">
            <w:pPr>
              <w:pStyle w:val="ARtablecolheadright"/>
              <w:rPr>
                <w:lang w:eastAsia="en-AU"/>
              </w:rPr>
            </w:pPr>
            <w:r w:rsidRPr="000557CC">
              <w:rPr>
                <w:lang w:eastAsia="en-AU"/>
              </w:rPr>
              <w:t>Tonnes CO</w:t>
            </w:r>
            <w:r w:rsidRPr="000557CC">
              <w:rPr>
                <w:vertAlign w:val="subscript"/>
                <w:lang w:eastAsia="en-AU"/>
              </w:rPr>
              <w:t>2</w:t>
            </w:r>
            <w:r w:rsidRPr="000557CC">
              <w:rPr>
                <w:lang w:eastAsia="en-AU"/>
              </w:rPr>
              <w:t>-e</w:t>
            </w:r>
          </w:p>
        </w:tc>
        <w:tc>
          <w:tcPr>
            <w:tcW w:w="882" w:type="pct"/>
          </w:tcPr>
          <w:p w14:paraId="1D2EA4A0" w14:textId="77777777" w:rsidR="006D7571" w:rsidRPr="000557CC" w:rsidRDefault="006D7571" w:rsidP="00501233">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 estimate</w:t>
            </w:r>
          </w:p>
          <w:p w14:paraId="216E41E7" w14:textId="77777777" w:rsidR="006D7571" w:rsidRPr="000557CC" w:rsidRDefault="006D7571" w:rsidP="00501233">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Tonnes CO</w:t>
            </w:r>
            <w:r w:rsidRPr="000557CC">
              <w:rPr>
                <w:vertAlign w:val="subscript"/>
                <w:lang w:eastAsia="en-AU"/>
              </w:rPr>
              <w:t>2</w:t>
            </w:r>
            <w:r w:rsidRPr="000557CC">
              <w:rPr>
                <w:lang w:eastAsia="en-AU"/>
              </w:rPr>
              <w:t>-e</w:t>
            </w:r>
          </w:p>
        </w:tc>
        <w:tc>
          <w:tcPr>
            <w:cnfStyle w:val="000001000000" w:firstRow="0" w:lastRow="0" w:firstColumn="0" w:lastColumn="0" w:oddVBand="0" w:evenVBand="1" w:oddHBand="0" w:evenHBand="0" w:firstRowFirstColumn="0" w:firstRowLastColumn="0" w:lastRowFirstColumn="0" w:lastRowLastColumn="0"/>
            <w:tcW w:w="882" w:type="pct"/>
          </w:tcPr>
          <w:p w14:paraId="1DE3021A" w14:textId="77777777" w:rsidR="006D7571" w:rsidRPr="000557CC" w:rsidRDefault="006D7571" w:rsidP="00501233">
            <w:pPr>
              <w:pStyle w:val="ARtablecolheadright"/>
              <w:rPr>
                <w:lang w:eastAsia="en-AU"/>
              </w:rPr>
            </w:pPr>
            <w:r w:rsidRPr="000557CC">
              <w:rPr>
                <w:lang w:eastAsia="en-AU"/>
              </w:rPr>
              <w:t>2023–24 estimate</w:t>
            </w:r>
          </w:p>
          <w:p w14:paraId="28D4685A" w14:textId="77777777" w:rsidR="006D7571" w:rsidRPr="000557CC" w:rsidRDefault="006D7571" w:rsidP="00501233">
            <w:pPr>
              <w:pStyle w:val="ARtablecolheadright"/>
              <w:rPr>
                <w:lang w:eastAsia="en-AU"/>
              </w:rPr>
            </w:pPr>
            <w:r w:rsidRPr="000557CC">
              <w:rPr>
                <w:lang w:eastAsia="en-AU"/>
              </w:rPr>
              <w:t>Tonnes CO</w:t>
            </w:r>
            <w:r w:rsidRPr="000557CC">
              <w:rPr>
                <w:vertAlign w:val="subscript"/>
                <w:lang w:eastAsia="en-AU"/>
              </w:rPr>
              <w:t>2</w:t>
            </w:r>
            <w:r w:rsidRPr="000557CC">
              <w:rPr>
                <w:lang w:eastAsia="en-AU"/>
              </w:rPr>
              <w:t>-e</w:t>
            </w:r>
          </w:p>
        </w:tc>
      </w:tr>
      <w:tr w:rsidR="006D7571" w:rsidRPr="000557CC" w14:paraId="5505DDAB" w14:textId="77777777" w:rsidTr="009F3BE7">
        <w:tc>
          <w:tcPr>
            <w:tcW w:w="2353" w:type="pct"/>
          </w:tcPr>
          <w:p w14:paraId="528030E6" w14:textId="77777777" w:rsidR="006D7571" w:rsidRPr="000557CC" w:rsidRDefault="006D7571" w:rsidP="00501233">
            <w:pPr>
              <w:pStyle w:val="ARTabletext"/>
              <w:rPr>
                <w:lang w:eastAsia="en-AU"/>
              </w:rPr>
            </w:pPr>
            <w:r w:rsidRPr="000557CC">
              <w:rPr>
                <w:lang w:eastAsia="en-AU"/>
              </w:rPr>
              <w:t xml:space="preserve">G1 Total Scope 1 greenhouse gas emissions </w:t>
            </w:r>
            <w:r w:rsidRPr="000557CC">
              <w:rPr>
                <w:lang w:eastAsia="en-AU"/>
              </w:rPr>
              <w:br/>
              <w:t>(Direct)</w:t>
            </w:r>
          </w:p>
        </w:tc>
        <w:tc>
          <w:tcPr>
            <w:cnfStyle w:val="000001000000" w:firstRow="0" w:lastRow="0" w:firstColumn="0" w:lastColumn="0" w:oddVBand="0" w:evenVBand="1" w:oddHBand="0" w:evenHBand="0" w:firstRowFirstColumn="0" w:firstRowLastColumn="0" w:lastRowFirstColumn="0" w:lastRowLastColumn="0"/>
            <w:tcW w:w="882" w:type="pct"/>
          </w:tcPr>
          <w:p w14:paraId="1AE0D447" w14:textId="77777777" w:rsidR="006D7571" w:rsidRPr="000557CC" w:rsidRDefault="006D7571" w:rsidP="00501233">
            <w:pPr>
              <w:pStyle w:val="ARtabletextright"/>
              <w:rPr>
                <w:lang w:eastAsia="en-AU"/>
              </w:rPr>
            </w:pPr>
            <w:r w:rsidRPr="000557CC">
              <w:rPr>
                <w:lang w:eastAsia="en-AU"/>
              </w:rPr>
              <w:t>16,620</w:t>
            </w:r>
          </w:p>
        </w:tc>
        <w:tc>
          <w:tcPr>
            <w:tcW w:w="882" w:type="pct"/>
          </w:tcPr>
          <w:p w14:paraId="3E3C70C6" w14:textId="77777777" w:rsidR="006D7571" w:rsidRPr="000557CC" w:rsidRDefault="006D7571" w:rsidP="00501233">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17,415</w:t>
            </w:r>
          </w:p>
        </w:tc>
        <w:tc>
          <w:tcPr>
            <w:cnfStyle w:val="000001000000" w:firstRow="0" w:lastRow="0" w:firstColumn="0" w:lastColumn="0" w:oddVBand="0" w:evenVBand="1" w:oddHBand="0" w:evenHBand="0" w:firstRowFirstColumn="0" w:firstRowLastColumn="0" w:lastRowFirstColumn="0" w:lastRowLastColumn="0"/>
            <w:tcW w:w="882" w:type="pct"/>
          </w:tcPr>
          <w:p w14:paraId="2FBF329F" w14:textId="77777777" w:rsidR="006D7571" w:rsidRPr="000557CC" w:rsidRDefault="006D7571" w:rsidP="00501233">
            <w:pPr>
              <w:pStyle w:val="ARtabletextright"/>
              <w:rPr>
                <w:lang w:eastAsia="en-AU"/>
              </w:rPr>
            </w:pPr>
            <w:r w:rsidRPr="000557CC">
              <w:rPr>
                <w:lang w:eastAsia="en-AU"/>
              </w:rPr>
              <w:t>20,119</w:t>
            </w:r>
          </w:p>
        </w:tc>
      </w:tr>
      <w:tr w:rsidR="006D7571" w:rsidRPr="000557CC" w14:paraId="6B20D1FF" w14:textId="77777777" w:rsidTr="009F3BE7">
        <w:tc>
          <w:tcPr>
            <w:tcW w:w="2353" w:type="pct"/>
            <w:tcBorders>
              <w:bottom w:val="single" w:sz="4" w:space="0" w:color="BFBFBF" w:themeColor="accent2"/>
            </w:tcBorders>
          </w:tcPr>
          <w:p w14:paraId="5D15D624" w14:textId="77777777" w:rsidR="006D7571" w:rsidRPr="000557CC" w:rsidRDefault="006D7571" w:rsidP="00501233">
            <w:pPr>
              <w:pStyle w:val="ARTabletext"/>
              <w:rPr>
                <w:lang w:eastAsia="en-AU"/>
              </w:rPr>
            </w:pPr>
            <w:r w:rsidRPr="000557CC">
              <w:rPr>
                <w:lang w:eastAsia="en-AU"/>
              </w:rPr>
              <w:t xml:space="preserve">G2 Total Scope 2 greenhouse gas emissions </w:t>
            </w:r>
            <w:r w:rsidRPr="000557CC">
              <w:rPr>
                <w:lang w:eastAsia="en-AU"/>
              </w:rPr>
              <w:br/>
              <w:t>(Indirect electricity)</w:t>
            </w:r>
          </w:p>
        </w:tc>
        <w:tc>
          <w:tcPr>
            <w:cnfStyle w:val="000001000000" w:firstRow="0" w:lastRow="0" w:firstColumn="0" w:lastColumn="0" w:oddVBand="0" w:evenVBand="1" w:oddHBand="0" w:evenHBand="0" w:firstRowFirstColumn="0" w:firstRowLastColumn="0" w:lastRowFirstColumn="0" w:lastRowLastColumn="0"/>
            <w:tcW w:w="882" w:type="pct"/>
            <w:tcBorders>
              <w:bottom w:val="single" w:sz="4" w:space="0" w:color="BFBFBF" w:themeColor="accent2"/>
            </w:tcBorders>
          </w:tcPr>
          <w:p w14:paraId="29C507EF" w14:textId="77777777" w:rsidR="006D7571" w:rsidRPr="000557CC" w:rsidRDefault="006D7571" w:rsidP="00501233">
            <w:pPr>
              <w:pStyle w:val="ARtabletextright"/>
              <w:rPr>
                <w:lang w:eastAsia="en-AU"/>
              </w:rPr>
            </w:pPr>
            <w:r w:rsidRPr="000557CC">
              <w:rPr>
                <w:lang w:eastAsia="en-AU"/>
              </w:rPr>
              <w:t>14,004</w:t>
            </w:r>
          </w:p>
        </w:tc>
        <w:tc>
          <w:tcPr>
            <w:tcW w:w="882" w:type="pct"/>
            <w:tcBorders>
              <w:bottom w:val="single" w:sz="4" w:space="0" w:color="BFBFBF" w:themeColor="accent2"/>
            </w:tcBorders>
          </w:tcPr>
          <w:p w14:paraId="06CE2209" w14:textId="77777777" w:rsidR="006D7571" w:rsidRPr="000557CC" w:rsidRDefault="006D7571" w:rsidP="00501233">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13,172</w:t>
            </w:r>
          </w:p>
        </w:tc>
        <w:tc>
          <w:tcPr>
            <w:cnfStyle w:val="000001000000" w:firstRow="0" w:lastRow="0" w:firstColumn="0" w:lastColumn="0" w:oddVBand="0" w:evenVBand="1" w:oddHBand="0" w:evenHBand="0" w:firstRowFirstColumn="0" w:firstRowLastColumn="0" w:lastRowFirstColumn="0" w:lastRowLastColumn="0"/>
            <w:tcW w:w="882" w:type="pct"/>
            <w:tcBorders>
              <w:bottom w:val="single" w:sz="4" w:space="0" w:color="BFBFBF" w:themeColor="accent2"/>
            </w:tcBorders>
          </w:tcPr>
          <w:p w14:paraId="2CFC6E51" w14:textId="77777777" w:rsidR="006D7571" w:rsidRPr="000557CC" w:rsidRDefault="006D7571" w:rsidP="00501233">
            <w:pPr>
              <w:pStyle w:val="ARtabletextright"/>
              <w:rPr>
                <w:lang w:eastAsia="en-AU"/>
              </w:rPr>
            </w:pPr>
            <w:r w:rsidRPr="000557CC">
              <w:rPr>
                <w:lang w:eastAsia="en-AU"/>
              </w:rPr>
              <w:t>17,914</w:t>
            </w:r>
          </w:p>
        </w:tc>
      </w:tr>
      <w:tr w:rsidR="006D7571" w:rsidRPr="000557CC" w14:paraId="4EF7B0E7" w14:textId="77777777" w:rsidTr="009F3BE7">
        <w:tc>
          <w:tcPr>
            <w:tcW w:w="2353" w:type="pct"/>
            <w:tcBorders>
              <w:bottom w:val="single" w:sz="4" w:space="0" w:color="000000" w:themeColor="text1"/>
            </w:tcBorders>
          </w:tcPr>
          <w:p w14:paraId="652502CB" w14:textId="77777777" w:rsidR="006D7571" w:rsidRPr="000557CC" w:rsidRDefault="006D7571" w:rsidP="00501233">
            <w:pPr>
              <w:pStyle w:val="ARTabletext"/>
              <w:rPr>
                <w:lang w:eastAsia="en-AU"/>
              </w:rPr>
            </w:pPr>
            <w:r w:rsidRPr="000557CC">
              <w:rPr>
                <w:lang w:eastAsia="en-AU"/>
              </w:rPr>
              <w:t>G3 Total Scope 3 greenhouse gas emissions</w:t>
            </w:r>
            <w:r w:rsidRPr="000557CC">
              <w:rPr>
                <w:lang w:eastAsia="en-AU"/>
              </w:rPr>
              <w:br/>
              <w:t>(Other indirect)</w:t>
            </w:r>
          </w:p>
        </w:tc>
        <w:tc>
          <w:tcPr>
            <w:cnfStyle w:val="000001000000" w:firstRow="0" w:lastRow="0" w:firstColumn="0" w:lastColumn="0" w:oddVBand="0" w:evenVBand="1" w:oddHBand="0" w:evenHBand="0" w:firstRowFirstColumn="0" w:firstRowLastColumn="0" w:lastRowFirstColumn="0" w:lastRowLastColumn="0"/>
            <w:tcW w:w="882" w:type="pct"/>
            <w:tcBorders>
              <w:bottom w:val="single" w:sz="4" w:space="0" w:color="000000" w:themeColor="text1"/>
            </w:tcBorders>
          </w:tcPr>
          <w:p w14:paraId="57E919F5" w14:textId="77777777" w:rsidR="006D7571" w:rsidRPr="000557CC" w:rsidRDefault="006D7571" w:rsidP="00501233">
            <w:pPr>
              <w:pStyle w:val="ARtabletextright"/>
              <w:rPr>
                <w:lang w:eastAsia="en-AU"/>
              </w:rPr>
            </w:pPr>
            <w:r w:rsidRPr="000557CC">
              <w:rPr>
                <w:lang w:eastAsia="en-AU"/>
              </w:rPr>
              <w:t>4,345</w:t>
            </w:r>
          </w:p>
        </w:tc>
        <w:tc>
          <w:tcPr>
            <w:tcW w:w="882" w:type="pct"/>
            <w:tcBorders>
              <w:bottom w:val="single" w:sz="4" w:space="0" w:color="000000" w:themeColor="text1"/>
            </w:tcBorders>
          </w:tcPr>
          <w:p w14:paraId="2495C1A5" w14:textId="77777777" w:rsidR="006D7571" w:rsidRPr="000557CC" w:rsidRDefault="006D7571" w:rsidP="00501233">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4,686</w:t>
            </w:r>
          </w:p>
        </w:tc>
        <w:tc>
          <w:tcPr>
            <w:cnfStyle w:val="000001000000" w:firstRow="0" w:lastRow="0" w:firstColumn="0" w:lastColumn="0" w:oddVBand="0" w:evenVBand="1" w:oddHBand="0" w:evenHBand="0" w:firstRowFirstColumn="0" w:firstRowLastColumn="0" w:lastRowFirstColumn="0" w:lastRowLastColumn="0"/>
            <w:tcW w:w="882" w:type="pct"/>
            <w:tcBorders>
              <w:bottom w:val="single" w:sz="4" w:space="0" w:color="000000" w:themeColor="text1"/>
            </w:tcBorders>
          </w:tcPr>
          <w:p w14:paraId="2032912A" w14:textId="77777777" w:rsidR="006D7571" w:rsidRPr="000557CC" w:rsidRDefault="006D7571" w:rsidP="00501233">
            <w:pPr>
              <w:pStyle w:val="ARtabletextright"/>
              <w:rPr>
                <w:lang w:eastAsia="en-AU"/>
              </w:rPr>
            </w:pPr>
            <w:r w:rsidRPr="000557CC">
              <w:rPr>
                <w:lang w:eastAsia="en-AU"/>
              </w:rPr>
              <w:t>–</w:t>
            </w:r>
          </w:p>
        </w:tc>
      </w:tr>
    </w:tbl>
    <w:p w14:paraId="0F4A740C" w14:textId="77777777" w:rsidR="006D7571" w:rsidRPr="000557CC" w:rsidRDefault="006D7571" w:rsidP="000557CC">
      <w:pPr>
        <w:numPr>
          <w:ilvl w:val="0"/>
          <w:numId w:val="26"/>
        </w:numPr>
        <w:spacing w:after="160" w:line="260" w:lineRule="atLeast"/>
        <w:rPr>
          <w:rFonts w:eastAsia="Times" w:cs="Arial"/>
          <w:sz w:val="20"/>
          <w:szCs w:val="24"/>
          <w:highlight w:val="cyan"/>
        </w:rPr>
        <w:sectPr w:rsidR="006D7571" w:rsidRPr="000557CC" w:rsidSect="00E7077C">
          <w:headerReference w:type="even" r:id="rId81"/>
          <w:headerReference w:type="default" r:id="rId82"/>
          <w:headerReference w:type="first" r:id="rId83"/>
          <w:endnotePr>
            <w:numFmt w:val="decimal"/>
          </w:endnotePr>
          <w:pgSz w:w="11900" w:h="16840" w:code="9"/>
          <w:pgMar w:top="1588" w:right="1134" w:bottom="851" w:left="1134" w:header="680" w:footer="340" w:gutter="0"/>
          <w:cols w:space="454"/>
          <w:docGrid w:linePitch="326"/>
        </w:sectPr>
      </w:pPr>
    </w:p>
    <w:p w14:paraId="3652B9F1" w14:textId="77777777" w:rsidR="006D7571" w:rsidRPr="000557CC" w:rsidRDefault="006D7571" w:rsidP="00501233">
      <w:pPr>
        <w:pStyle w:val="Heading3"/>
        <w:rPr>
          <w:lang w:eastAsia="en-AU"/>
        </w:rPr>
      </w:pPr>
      <w:r w:rsidRPr="000557CC">
        <w:rPr>
          <w:lang w:eastAsia="en-AU"/>
        </w:rPr>
        <w:t>Electricity production and consumption</w:t>
      </w:r>
    </w:p>
    <w:p w14:paraId="1EB41444" w14:textId="77777777" w:rsidR="006D7571" w:rsidRPr="006D7571" w:rsidRDefault="006D7571" w:rsidP="00501233">
      <w:pPr>
        <w:pStyle w:val="ARBody"/>
      </w:pPr>
      <w:r w:rsidRPr="000557CC">
        <w:rPr>
          <w:rFonts w:cs="Arial"/>
          <w:szCs w:val="24"/>
        </w:rPr>
        <w:t xml:space="preserve">The </w:t>
      </w:r>
      <w:r w:rsidRPr="006D7571">
        <w:rPr>
          <w:rFonts w:cs="Arial"/>
        </w:rPr>
        <w:t>department continues to implement energy efficiency policies across its sites to reduce electricity use. These measures include:</w:t>
      </w:r>
    </w:p>
    <w:p w14:paraId="7D7A33A4" w14:textId="77777777" w:rsidR="006D7571" w:rsidRPr="000557CC" w:rsidRDefault="006D7571" w:rsidP="00D56833">
      <w:pPr>
        <w:pStyle w:val="ARBullet1"/>
      </w:pPr>
      <w:r w:rsidRPr="000557CC">
        <w:t>installing LED lighting</w:t>
      </w:r>
    </w:p>
    <w:p w14:paraId="541C0A98" w14:textId="77777777" w:rsidR="006D7571" w:rsidRPr="000557CC" w:rsidRDefault="006D7571" w:rsidP="00D56833">
      <w:pPr>
        <w:pStyle w:val="ARBullet1"/>
      </w:pPr>
      <w:r w:rsidRPr="000557CC">
        <w:t>switching to efficient electric appliances, for example, minimum 7-star energy-efficient refrigerators when they are replaced</w:t>
      </w:r>
    </w:p>
    <w:p w14:paraId="52CF5856" w14:textId="77777777" w:rsidR="006D7571" w:rsidRPr="000557CC" w:rsidRDefault="006D7571" w:rsidP="00D56833">
      <w:pPr>
        <w:pStyle w:val="ARBullet1"/>
      </w:pPr>
      <w:r w:rsidRPr="000557CC">
        <w:t>no gas in newly acquired buildings</w:t>
      </w:r>
    </w:p>
    <w:p w14:paraId="777CC364" w14:textId="77777777" w:rsidR="006D7571" w:rsidRPr="000557CC" w:rsidRDefault="006D7571" w:rsidP="00D56833">
      <w:pPr>
        <w:pStyle w:val="ARBullet1"/>
      </w:pPr>
      <w:r w:rsidRPr="000557CC">
        <w:t>adjustments to heating and cooling systems to optimise electricity savings.</w:t>
      </w:r>
    </w:p>
    <w:p w14:paraId="0860BF9A" w14:textId="53495C71" w:rsidR="006D7571" w:rsidRPr="006D7571" w:rsidRDefault="006D7571" w:rsidP="000D720E">
      <w:pPr>
        <w:pStyle w:val="ARBodyafterbullets"/>
      </w:pPr>
      <w:r w:rsidRPr="006D7571">
        <w:t xml:space="preserve">Housing services electricity consumption increased by 9% due to the ongoing development of new </w:t>
      </w:r>
      <w:r w:rsidR="00D1151F">
        <w:br/>
      </w:r>
      <w:r w:rsidRPr="006D7571">
        <w:t>all-electric housing sites and the substitution of existing gas plant and equipment in some older sites. Indirect emissions from electricity consumption increased by a lesser 6% due to the</w:t>
      </w:r>
      <w:r w:rsidR="00DC2218">
        <w:t> </w:t>
      </w:r>
      <w:r w:rsidRPr="006D7571">
        <w:t>continued decrease in the emissions factor for</w:t>
      </w:r>
      <w:r w:rsidR="00DC2218">
        <w:t> </w:t>
      </w:r>
      <w:r w:rsidRPr="006D7571">
        <w:t xml:space="preserve">electricity consumption in Victoria. </w:t>
      </w:r>
    </w:p>
    <w:p w14:paraId="2ED4FB6D" w14:textId="430ACC55" w:rsidR="006B2225" w:rsidRDefault="006D7571" w:rsidP="00501233">
      <w:pPr>
        <w:pStyle w:val="ARBody"/>
        <w:rPr>
          <w:rFonts w:cs="Arial"/>
          <w:szCs w:val="24"/>
        </w:rPr>
      </w:pPr>
      <w:r w:rsidRPr="000557CC">
        <w:rPr>
          <w:rFonts w:cs="Arial"/>
          <w:szCs w:val="24"/>
        </w:rPr>
        <w:t>Department office electricity use from 2024–25 to 2025–26 has decreased by 17%. This is due to</w:t>
      </w:r>
      <w:r w:rsidR="00E27FA2">
        <w:rPr>
          <w:rFonts w:cs="Arial"/>
          <w:szCs w:val="24"/>
        </w:rPr>
        <w:t xml:space="preserve"> </w:t>
      </w:r>
      <w:r w:rsidRPr="000557CC">
        <w:rPr>
          <w:rFonts w:cs="Arial"/>
          <w:szCs w:val="24"/>
        </w:rPr>
        <w:t>implementing a more accurate reporting methodology of aggregated then apportioned data. Also, all new department buildings must meet 5-star NABERS ratings which use energy more</w:t>
      </w:r>
      <w:r w:rsidR="006B2225">
        <w:rPr>
          <w:rFonts w:cs="Arial"/>
          <w:szCs w:val="24"/>
        </w:rPr>
        <w:t> </w:t>
      </w:r>
      <w:r w:rsidRPr="000557CC">
        <w:rPr>
          <w:rFonts w:cs="Arial"/>
          <w:szCs w:val="24"/>
        </w:rPr>
        <w:t>efficiently.</w:t>
      </w:r>
    </w:p>
    <w:p w14:paraId="53C5A328" w14:textId="0CF159DF" w:rsidR="000D720E" w:rsidRDefault="006D7571" w:rsidP="00501233">
      <w:pPr>
        <w:pStyle w:val="ARBody"/>
        <w:rPr>
          <w:rFonts w:cs="Arial"/>
          <w:szCs w:val="24"/>
        </w:rPr>
      </w:pPr>
      <w:r w:rsidRPr="000557CC">
        <w:rPr>
          <w:rFonts w:cs="Arial"/>
          <w:szCs w:val="24"/>
        </w:rPr>
        <w:t>Total emissions offsets for electricity consumed by Homes Victoria increased</w:t>
      </w:r>
      <w:r w:rsidRPr="006D7571">
        <w:rPr>
          <w:rFonts w:cs="Arial"/>
          <w:szCs w:val="24"/>
        </w:rPr>
        <w:t xml:space="preserve"> by 332% due to the introduction of 100% renewable energy purchasing to the State Purchase Contract for large-market electricity sites.</w:t>
      </w:r>
    </w:p>
    <w:p w14:paraId="5F66B136" w14:textId="77777777" w:rsidR="006D7571" w:rsidRPr="000557CC" w:rsidRDefault="006D7571" w:rsidP="00501233">
      <w:pPr>
        <w:pStyle w:val="Heading4"/>
      </w:pPr>
      <w:r w:rsidRPr="000557CC">
        <w:t>Department offices</w:t>
      </w:r>
    </w:p>
    <w:p w14:paraId="01A957C9" w14:textId="77777777" w:rsidR="006D7571" w:rsidRPr="006D7571" w:rsidRDefault="006D7571" w:rsidP="00965115">
      <w:pPr>
        <w:pStyle w:val="ARTablecaption"/>
        <w:spacing w:before="0"/>
        <w:rPr>
          <w:rFonts w:eastAsia="MS PGothic"/>
          <w:bCs/>
        </w:rPr>
      </w:pPr>
      <w:r w:rsidRPr="000557CC">
        <w:rPr>
          <w:rFonts w:eastAsia="MS PGothic"/>
          <w:lang w:eastAsia="en-AU"/>
        </w:rPr>
        <w:t>EL1 Total electricity consumption</w:t>
      </w:r>
    </w:p>
    <w:tbl>
      <w:tblPr>
        <w:tblStyle w:val="ARtable1"/>
        <w:tblW w:w="5000" w:type="pct"/>
        <w:tblLook w:val="02E0" w:firstRow="1" w:lastRow="1" w:firstColumn="1" w:lastColumn="0" w:noHBand="1" w:noVBand="0"/>
      </w:tblPr>
      <w:tblGrid>
        <w:gridCol w:w="4818"/>
        <w:gridCol w:w="1604"/>
        <w:gridCol w:w="1604"/>
        <w:gridCol w:w="1602"/>
      </w:tblGrid>
      <w:tr w:rsidR="006D7571" w:rsidRPr="000557CC" w14:paraId="17A0285D" w14:textId="77777777" w:rsidTr="009F3BE7">
        <w:trPr>
          <w:cnfStyle w:val="100000000000" w:firstRow="1" w:lastRow="0" w:firstColumn="0" w:lastColumn="0" w:oddVBand="0" w:evenVBand="0" w:oddHBand="0" w:evenHBand="0" w:firstRowFirstColumn="0" w:firstRowLastColumn="0" w:lastRowFirstColumn="0" w:lastRowLastColumn="0"/>
          <w:tblHeader/>
        </w:trPr>
        <w:tc>
          <w:tcPr>
            <w:tcW w:w="2502" w:type="pct"/>
            <w:noWrap/>
            <w:hideMark/>
          </w:tcPr>
          <w:p w14:paraId="58997476" w14:textId="77777777" w:rsidR="006D7571" w:rsidRPr="000557CC" w:rsidRDefault="006D7571" w:rsidP="00501233">
            <w:pPr>
              <w:pStyle w:val="ARtablecolhead"/>
              <w:rPr>
                <w:lang w:eastAsia="en-AU"/>
              </w:rPr>
            </w:pPr>
            <w:r w:rsidRPr="000557CC">
              <w:rPr>
                <w:lang w:eastAsia="en-AU"/>
              </w:rPr>
              <w:t>Indicator</w:t>
            </w:r>
          </w:p>
        </w:tc>
        <w:tc>
          <w:tcPr>
            <w:cnfStyle w:val="000001000000" w:firstRow="0" w:lastRow="0" w:firstColumn="0" w:lastColumn="0" w:oddVBand="0" w:evenVBand="1" w:oddHBand="0" w:evenHBand="0" w:firstRowFirstColumn="0" w:firstRowLastColumn="0" w:lastRowFirstColumn="0" w:lastRowLastColumn="0"/>
            <w:tcW w:w="833" w:type="pct"/>
            <w:noWrap/>
            <w:hideMark/>
          </w:tcPr>
          <w:p w14:paraId="1215C6C9" w14:textId="77777777" w:rsidR="006D7571" w:rsidRPr="000557CC" w:rsidRDefault="006D7571" w:rsidP="00501233">
            <w:pPr>
              <w:pStyle w:val="ARtablecolheadright"/>
              <w:rPr>
                <w:lang w:eastAsia="en-AU"/>
              </w:rPr>
            </w:pPr>
            <w:r w:rsidRPr="000557CC">
              <w:rPr>
                <w:lang w:eastAsia="en-AU"/>
              </w:rPr>
              <w:t>2025–26</w:t>
            </w:r>
          </w:p>
          <w:p w14:paraId="6877CBE2" w14:textId="77777777" w:rsidR="006D7571" w:rsidRPr="000557CC" w:rsidRDefault="006D7571" w:rsidP="00501233">
            <w:pPr>
              <w:pStyle w:val="ARtablecolheadright"/>
              <w:rPr>
                <w:lang w:eastAsia="en-AU"/>
              </w:rPr>
            </w:pPr>
            <w:r w:rsidRPr="000557CC">
              <w:rPr>
                <w:lang w:eastAsia="en-AU"/>
              </w:rPr>
              <w:t>MWh</w:t>
            </w:r>
          </w:p>
        </w:tc>
        <w:tc>
          <w:tcPr>
            <w:tcW w:w="833" w:type="pct"/>
            <w:noWrap/>
            <w:hideMark/>
          </w:tcPr>
          <w:p w14:paraId="56D58626" w14:textId="77777777" w:rsidR="006D7571" w:rsidRPr="000557CC" w:rsidRDefault="006D7571" w:rsidP="00501233">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588852F8" w14:textId="77777777" w:rsidR="006D7571" w:rsidRPr="000557CC" w:rsidRDefault="006D7571" w:rsidP="00501233">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MWh</w:t>
            </w:r>
          </w:p>
        </w:tc>
        <w:tc>
          <w:tcPr>
            <w:cnfStyle w:val="000001000000" w:firstRow="0" w:lastRow="0" w:firstColumn="0" w:lastColumn="0" w:oddVBand="0" w:evenVBand="1" w:oddHBand="0" w:evenHBand="0" w:firstRowFirstColumn="0" w:firstRowLastColumn="0" w:lastRowFirstColumn="0" w:lastRowLastColumn="0"/>
            <w:tcW w:w="833" w:type="pct"/>
            <w:noWrap/>
            <w:hideMark/>
          </w:tcPr>
          <w:p w14:paraId="00E3D4E8" w14:textId="77777777" w:rsidR="006D7571" w:rsidRPr="000557CC" w:rsidRDefault="006D7571" w:rsidP="00501233">
            <w:pPr>
              <w:pStyle w:val="ARtablecolheadright"/>
              <w:rPr>
                <w:lang w:eastAsia="en-AU"/>
              </w:rPr>
            </w:pPr>
            <w:r w:rsidRPr="000557CC">
              <w:rPr>
                <w:lang w:eastAsia="en-AU"/>
              </w:rPr>
              <w:t>2023–24</w:t>
            </w:r>
          </w:p>
          <w:p w14:paraId="3F6B6F78" w14:textId="77777777" w:rsidR="006D7571" w:rsidRPr="000557CC" w:rsidRDefault="006D7571" w:rsidP="00501233">
            <w:pPr>
              <w:pStyle w:val="ARtablecolheadright"/>
              <w:rPr>
                <w:lang w:eastAsia="en-AU"/>
              </w:rPr>
            </w:pPr>
            <w:r w:rsidRPr="000557CC" w:rsidDel="00F8163C">
              <w:rPr>
                <w:lang w:eastAsia="en-AU"/>
              </w:rPr>
              <w:t>MWh</w:t>
            </w:r>
          </w:p>
        </w:tc>
      </w:tr>
      <w:tr w:rsidR="006D7571" w:rsidRPr="000557CC" w14:paraId="20C5C636" w14:textId="77777777" w:rsidTr="009F3BE7">
        <w:tc>
          <w:tcPr>
            <w:tcW w:w="2502" w:type="pct"/>
            <w:noWrap/>
            <w:hideMark/>
          </w:tcPr>
          <w:p w14:paraId="76392796" w14:textId="77777777" w:rsidR="006D7571" w:rsidRPr="000557CC" w:rsidRDefault="006D7571" w:rsidP="00501233">
            <w:pPr>
              <w:pStyle w:val="ARTabletext"/>
              <w:rPr>
                <w:color w:val="000000"/>
                <w:lang w:eastAsia="en-AU"/>
              </w:rPr>
            </w:pPr>
            <w:r w:rsidRPr="000557CC">
              <w:rPr>
                <w:lang w:eastAsia="en-AU"/>
              </w:rPr>
              <w:t>Purchased electricity – consolidated</w:t>
            </w:r>
          </w:p>
        </w:tc>
        <w:tc>
          <w:tcPr>
            <w:cnfStyle w:val="000001000000" w:firstRow="0" w:lastRow="0" w:firstColumn="0" w:lastColumn="0" w:oddVBand="0" w:evenVBand="1" w:oddHBand="0" w:evenHBand="0" w:firstRowFirstColumn="0" w:firstRowLastColumn="0" w:lastRowFirstColumn="0" w:lastRowLastColumn="0"/>
            <w:tcW w:w="833" w:type="pct"/>
            <w:noWrap/>
          </w:tcPr>
          <w:p w14:paraId="09B0A15A" w14:textId="77777777" w:rsidR="006D7571" w:rsidRPr="000557CC" w:rsidRDefault="006D7571" w:rsidP="00501233">
            <w:pPr>
              <w:pStyle w:val="ARtabletextright"/>
              <w:rPr>
                <w:color w:val="000000"/>
                <w:lang w:eastAsia="en-AU"/>
              </w:rPr>
            </w:pPr>
            <w:r w:rsidRPr="000557CC">
              <w:rPr>
                <w:lang w:eastAsia="en-AU"/>
              </w:rPr>
              <w:t>9,532.1</w:t>
            </w:r>
          </w:p>
        </w:tc>
        <w:tc>
          <w:tcPr>
            <w:tcW w:w="833" w:type="pct"/>
            <w:noWrap/>
            <w:hideMark/>
          </w:tcPr>
          <w:p w14:paraId="582AB6E9" w14:textId="77777777" w:rsidR="006D7571" w:rsidRPr="000557CC" w:rsidRDefault="006D7571" w:rsidP="00501233">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11,415.7</w:t>
            </w:r>
          </w:p>
        </w:tc>
        <w:tc>
          <w:tcPr>
            <w:cnfStyle w:val="000001000000" w:firstRow="0" w:lastRow="0" w:firstColumn="0" w:lastColumn="0" w:oddVBand="0" w:evenVBand="1" w:oddHBand="0" w:evenHBand="0" w:firstRowFirstColumn="0" w:firstRowLastColumn="0" w:lastRowFirstColumn="0" w:lastRowLastColumn="0"/>
            <w:tcW w:w="833" w:type="pct"/>
            <w:noWrap/>
            <w:hideMark/>
          </w:tcPr>
          <w:p w14:paraId="79B7F1D7" w14:textId="77777777" w:rsidR="006D7571" w:rsidRPr="000557CC" w:rsidRDefault="006D7571" w:rsidP="00501233">
            <w:pPr>
              <w:pStyle w:val="ARtabletextright"/>
              <w:rPr>
                <w:lang w:eastAsia="en-AU"/>
              </w:rPr>
            </w:pPr>
            <w:r w:rsidRPr="000557CC">
              <w:rPr>
                <w:lang w:eastAsia="en-AU"/>
              </w:rPr>
              <w:t>11,874.9</w:t>
            </w:r>
          </w:p>
        </w:tc>
      </w:tr>
      <w:tr w:rsidR="006D7571" w:rsidRPr="000557CC" w14:paraId="0777AB07" w14:textId="77777777" w:rsidTr="009F3BE7">
        <w:trPr>
          <w:trHeight w:val="288"/>
        </w:trPr>
        <w:tc>
          <w:tcPr>
            <w:tcW w:w="2502" w:type="pct"/>
            <w:noWrap/>
            <w:hideMark/>
          </w:tcPr>
          <w:p w14:paraId="5E51B7E4" w14:textId="77777777" w:rsidR="006D7571" w:rsidRPr="000557CC" w:rsidRDefault="006D7571" w:rsidP="00501233">
            <w:pPr>
              <w:pStyle w:val="ARTabletext"/>
              <w:rPr>
                <w:color w:val="000000"/>
                <w:lang w:eastAsia="en-AU"/>
              </w:rPr>
            </w:pPr>
            <w:r w:rsidRPr="000557CC">
              <w:rPr>
                <w:lang w:eastAsia="en-AU"/>
              </w:rPr>
              <w:t>Self-generated</w:t>
            </w:r>
          </w:p>
        </w:tc>
        <w:tc>
          <w:tcPr>
            <w:cnfStyle w:val="000001000000" w:firstRow="0" w:lastRow="0" w:firstColumn="0" w:lastColumn="0" w:oddVBand="0" w:evenVBand="1" w:oddHBand="0" w:evenHBand="0" w:firstRowFirstColumn="0" w:firstRowLastColumn="0" w:lastRowFirstColumn="0" w:lastRowLastColumn="0"/>
            <w:tcW w:w="833" w:type="pct"/>
            <w:noWrap/>
          </w:tcPr>
          <w:p w14:paraId="0008A177" w14:textId="77777777" w:rsidR="006D7571" w:rsidRPr="000557CC" w:rsidRDefault="006D7571" w:rsidP="00501233">
            <w:pPr>
              <w:pStyle w:val="ARtabletextright"/>
              <w:rPr>
                <w:color w:val="000000"/>
                <w:lang w:eastAsia="en-AU"/>
              </w:rPr>
            </w:pPr>
            <w:r w:rsidRPr="000557CC">
              <w:rPr>
                <w:lang w:eastAsia="en-AU"/>
              </w:rPr>
              <w:t>–</w:t>
            </w:r>
          </w:p>
        </w:tc>
        <w:tc>
          <w:tcPr>
            <w:tcW w:w="833" w:type="pct"/>
            <w:noWrap/>
            <w:hideMark/>
          </w:tcPr>
          <w:p w14:paraId="6626FA77" w14:textId="77777777" w:rsidR="006D7571" w:rsidRPr="000557CC" w:rsidRDefault="006D7571" w:rsidP="00501233">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833" w:type="pct"/>
            <w:noWrap/>
            <w:hideMark/>
          </w:tcPr>
          <w:p w14:paraId="006395D5" w14:textId="77777777" w:rsidR="006D7571" w:rsidRPr="000557CC" w:rsidRDefault="006D7571" w:rsidP="00501233">
            <w:pPr>
              <w:pStyle w:val="ARtabletextright"/>
              <w:rPr>
                <w:lang w:eastAsia="en-AU"/>
              </w:rPr>
            </w:pPr>
            <w:r w:rsidRPr="000557CC" w:rsidDel="00803A42">
              <w:rPr>
                <w:lang w:eastAsia="en-AU"/>
              </w:rPr>
              <w:t>–</w:t>
            </w:r>
          </w:p>
        </w:tc>
      </w:tr>
      <w:tr w:rsidR="006D7571" w:rsidRPr="000557CC" w14:paraId="518798D6" w14:textId="77777777" w:rsidTr="009F3BE7">
        <w:trPr>
          <w:cnfStyle w:val="010000000000" w:firstRow="0" w:lastRow="1" w:firstColumn="0" w:lastColumn="0" w:oddVBand="0" w:evenVBand="0" w:oddHBand="0" w:evenHBand="0" w:firstRowFirstColumn="0" w:firstRowLastColumn="0" w:lastRowFirstColumn="0" w:lastRowLastColumn="0"/>
          <w:trHeight w:val="288"/>
        </w:trPr>
        <w:tc>
          <w:tcPr>
            <w:tcW w:w="2502" w:type="pct"/>
            <w:noWrap/>
            <w:hideMark/>
          </w:tcPr>
          <w:p w14:paraId="14E8EA30" w14:textId="77777777" w:rsidR="006D7571" w:rsidRPr="000557CC" w:rsidRDefault="006D7571" w:rsidP="00501233">
            <w:pPr>
              <w:pStyle w:val="ARtabletextbold"/>
              <w:rPr>
                <w:lang w:eastAsia="en-AU"/>
              </w:rPr>
            </w:pPr>
            <w:r w:rsidRPr="000557CC">
              <w:rPr>
                <w:lang w:eastAsia="en-AU"/>
              </w:rPr>
              <w:t>EL1 Total electricity consumption</w:t>
            </w:r>
          </w:p>
        </w:tc>
        <w:tc>
          <w:tcPr>
            <w:cnfStyle w:val="000001000000" w:firstRow="0" w:lastRow="0" w:firstColumn="0" w:lastColumn="0" w:oddVBand="0" w:evenVBand="1" w:oddHBand="0" w:evenHBand="0" w:firstRowFirstColumn="0" w:firstRowLastColumn="0" w:lastRowFirstColumn="0" w:lastRowLastColumn="0"/>
            <w:tcW w:w="833" w:type="pct"/>
            <w:noWrap/>
          </w:tcPr>
          <w:p w14:paraId="466CEF98" w14:textId="77777777" w:rsidR="006D7571" w:rsidRPr="000557CC" w:rsidRDefault="006D7571" w:rsidP="00501233">
            <w:pPr>
              <w:pStyle w:val="ARtabletextrightbold"/>
              <w:rPr>
                <w:lang w:eastAsia="en-AU"/>
              </w:rPr>
            </w:pPr>
            <w:r w:rsidRPr="000557CC">
              <w:rPr>
                <w:lang w:eastAsia="en-AU"/>
              </w:rPr>
              <w:t>9,532.1</w:t>
            </w:r>
          </w:p>
        </w:tc>
        <w:tc>
          <w:tcPr>
            <w:tcW w:w="833" w:type="pct"/>
            <w:noWrap/>
            <w:hideMark/>
          </w:tcPr>
          <w:p w14:paraId="5C3085B4" w14:textId="77777777" w:rsidR="006D7571" w:rsidRPr="000557CC" w:rsidRDefault="006D7571" w:rsidP="00501233">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11,415.7</w:t>
            </w:r>
          </w:p>
        </w:tc>
        <w:tc>
          <w:tcPr>
            <w:cnfStyle w:val="000001000000" w:firstRow="0" w:lastRow="0" w:firstColumn="0" w:lastColumn="0" w:oddVBand="0" w:evenVBand="1" w:oddHBand="0" w:evenHBand="0" w:firstRowFirstColumn="0" w:firstRowLastColumn="0" w:lastRowFirstColumn="0" w:lastRowLastColumn="0"/>
            <w:tcW w:w="833" w:type="pct"/>
            <w:noWrap/>
            <w:hideMark/>
          </w:tcPr>
          <w:p w14:paraId="4C8626B4" w14:textId="77777777" w:rsidR="006D7571" w:rsidRPr="000557CC" w:rsidRDefault="006D7571" w:rsidP="00501233">
            <w:pPr>
              <w:pStyle w:val="ARtabletextrightbold"/>
              <w:rPr>
                <w:lang w:eastAsia="en-AU"/>
              </w:rPr>
            </w:pPr>
            <w:r w:rsidRPr="000557CC">
              <w:rPr>
                <w:lang w:eastAsia="en-AU"/>
              </w:rPr>
              <w:t>11,874.9</w:t>
            </w:r>
          </w:p>
        </w:tc>
      </w:tr>
    </w:tbl>
    <w:p w14:paraId="59FF3497" w14:textId="77777777" w:rsidR="006D7571" w:rsidRPr="000557CC" w:rsidRDefault="006D7571" w:rsidP="00501233">
      <w:pPr>
        <w:pStyle w:val="ARTablecaption"/>
        <w:rPr>
          <w:rFonts w:eastAsia="MS PGothic"/>
        </w:rPr>
      </w:pPr>
      <w:r w:rsidRPr="000557CC">
        <w:rPr>
          <w:rFonts w:eastAsia="MS PGothic"/>
        </w:rPr>
        <w:t>EL2 On-site electricity generated</w:t>
      </w:r>
    </w:p>
    <w:tbl>
      <w:tblPr>
        <w:tblStyle w:val="ARtable1"/>
        <w:tblW w:w="5000" w:type="pct"/>
        <w:tblLook w:val="02E0" w:firstRow="1" w:lastRow="1" w:firstColumn="1" w:lastColumn="0" w:noHBand="1" w:noVBand="0"/>
      </w:tblPr>
      <w:tblGrid>
        <w:gridCol w:w="4818"/>
        <w:gridCol w:w="1604"/>
        <w:gridCol w:w="1604"/>
        <w:gridCol w:w="1602"/>
      </w:tblGrid>
      <w:tr w:rsidR="006D7571" w:rsidRPr="000557CC" w14:paraId="51B2A13D" w14:textId="77777777" w:rsidTr="004D01FA">
        <w:trPr>
          <w:cnfStyle w:val="100000000000" w:firstRow="1" w:lastRow="0" w:firstColumn="0" w:lastColumn="0" w:oddVBand="0" w:evenVBand="0" w:oddHBand="0" w:evenHBand="0" w:firstRowFirstColumn="0" w:firstRowLastColumn="0" w:lastRowFirstColumn="0" w:lastRowLastColumn="0"/>
          <w:trHeight w:val="288"/>
          <w:tblHeader/>
        </w:trPr>
        <w:tc>
          <w:tcPr>
            <w:tcW w:w="2502" w:type="pct"/>
            <w:noWrap/>
          </w:tcPr>
          <w:p w14:paraId="2E915F72" w14:textId="77777777" w:rsidR="006D7571" w:rsidRPr="000557CC" w:rsidRDefault="006D7571" w:rsidP="00501233">
            <w:pPr>
              <w:pStyle w:val="ARtablecolhead"/>
              <w:rPr>
                <w:lang w:eastAsia="en-AU"/>
              </w:rPr>
            </w:pPr>
            <w:r w:rsidRPr="000557CC">
              <w:rPr>
                <w:lang w:eastAsia="en-AU"/>
              </w:rPr>
              <w:t>Indicator</w:t>
            </w:r>
          </w:p>
        </w:tc>
        <w:tc>
          <w:tcPr>
            <w:cnfStyle w:val="000001000000" w:firstRow="0" w:lastRow="0" w:firstColumn="0" w:lastColumn="0" w:oddVBand="0" w:evenVBand="1" w:oddHBand="0" w:evenHBand="0" w:firstRowFirstColumn="0" w:firstRowLastColumn="0" w:lastRowFirstColumn="0" w:lastRowLastColumn="0"/>
            <w:tcW w:w="833" w:type="pct"/>
            <w:noWrap/>
          </w:tcPr>
          <w:p w14:paraId="1A07630C" w14:textId="77777777" w:rsidR="006D7571" w:rsidRPr="000557CC" w:rsidRDefault="006D7571" w:rsidP="00501233">
            <w:pPr>
              <w:pStyle w:val="ARtablecolheadright"/>
              <w:rPr>
                <w:lang w:eastAsia="en-AU"/>
              </w:rPr>
            </w:pPr>
            <w:r w:rsidRPr="000557CC">
              <w:rPr>
                <w:lang w:eastAsia="en-AU"/>
              </w:rPr>
              <w:t>2025–26</w:t>
            </w:r>
          </w:p>
          <w:p w14:paraId="286F738A" w14:textId="77777777" w:rsidR="006D7571" w:rsidRPr="000557CC" w:rsidRDefault="006D7571" w:rsidP="00501233">
            <w:pPr>
              <w:pStyle w:val="ARtablecolheadright"/>
              <w:rPr>
                <w:lang w:eastAsia="en-AU"/>
              </w:rPr>
            </w:pPr>
            <w:r w:rsidRPr="000557CC" w:rsidDel="00F25725">
              <w:rPr>
                <w:lang w:eastAsia="en-AU"/>
              </w:rPr>
              <w:t>MWh</w:t>
            </w:r>
          </w:p>
        </w:tc>
        <w:tc>
          <w:tcPr>
            <w:tcW w:w="833" w:type="pct"/>
            <w:noWrap/>
          </w:tcPr>
          <w:p w14:paraId="56B0471A" w14:textId="77777777" w:rsidR="006D7571" w:rsidRPr="000557CC" w:rsidRDefault="006D7571" w:rsidP="00501233">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43A4A5B5" w14:textId="77777777" w:rsidR="006D7571" w:rsidRPr="000557CC" w:rsidRDefault="006D7571" w:rsidP="00501233">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sidDel="00F25725">
              <w:rPr>
                <w:lang w:eastAsia="en-AU"/>
              </w:rPr>
              <w:t>MWh</w:t>
            </w:r>
          </w:p>
        </w:tc>
        <w:tc>
          <w:tcPr>
            <w:cnfStyle w:val="000001000000" w:firstRow="0" w:lastRow="0" w:firstColumn="0" w:lastColumn="0" w:oddVBand="0" w:evenVBand="1" w:oddHBand="0" w:evenHBand="0" w:firstRowFirstColumn="0" w:firstRowLastColumn="0" w:lastRowFirstColumn="0" w:lastRowLastColumn="0"/>
            <w:tcW w:w="832" w:type="pct"/>
            <w:noWrap/>
          </w:tcPr>
          <w:p w14:paraId="1E75F4DC" w14:textId="77777777" w:rsidR="006D7571" w:rsidRPr="000557CC" w:rsidRDefault="006D7571" w:rsidP="00501233">
            <w:pPr>
              <w:pStyle w:val="ARtablecolheadright"/>
              <w:rPr>
                <w:lang w:eastAsia="en-AU"/>
              </w:rPr>
            </w:pPr>
            <w:r w:rsidRPr="000557CC">
              <w:rPr>
                <w:lang w:eastAsia="en-AU"/>
              </w:rPr>
              <w:t>2023–24</w:t>
            </w:r>
          </w:p>
          <w:p w14:paraId="2E3F692D" w14:textId="77777777" w:rsidR="006D7571" w:rsidRPr="000557CC" w:rsidRDefault="006D7571" w:rsidP="00501233">
            <w:pPr>
              <w:pStyle w:val="ARtablecolheadright"/>
              <w:rPr>
                <w:lang w:eastAsia="en-AU"/>
              </w:rPr>
            </w:pPr>
            <w:r w:rsidRPr="000557CC" w:rsidDel="00F25725">
              <w:rPr>
                <w:lang w:eastAsia="en-AU"/>
              </w:rPr>
              <w:t>MWh</w:t>
            </w:r>
          </w:p>
        </w:tc>
      </w:tr>
      <w:tr w:rsidR="004D01FA" w:rsidRPr="000557CC" w14:paraId="4609A416" w14:textId="77777777" w:rsidTr="004D01FA">
        <w:trPr>
          <w:trHeight w:val="288"/>
        </w:trPr>
        <w:tc>
          <w:tcPr>
            <w:tcW w:w="2502" w:type="pct"/>
            <w:noWrap/>
          </w:tcPr>
          <w:p w14:paraId="2263503B" w14:textId="31B1691B" w:rsidR="004D01FA" w:rsidRPr="000557CC" w:rsidRDefault="004D01FA" w:rsidP="004D01FA">
            <w:pPr>
              <w:pStyle w:val="ARTabletextboldcoloured"/>
              <w:rPr>
                <w:lang w:eastAsia="en-AU"/>
              </w:rPr>
            </w:pPr>
            <w:r w:rsidRPr="000557CC">
              <w:t>Solar PV</w:t>
            </w:r>
          </w:p>
        </w:tc>
        <w:tc>
          <w:tcPr>
            <w:cnfStyle w:val="000001000000" w:firstRow="0" w:lastRow="0" w:firstColumn="0" w:lastColumn="0" w:oddVBand="0" w:evenVBand="1" w:oddHBand="0" w:evenHBand="0" w:firstRowFirstColumn="0" w:firstRowLastColumn="0" w:lastRowFirstColumn="0" w:lastRowLastColumn="0"/>
            <w:tcW w:w="833" w:type="pct"/>
            <w:shd w:val="clear" w:color="auto" w:fill="auto"/>
            <w:noWrap/>
          </w:tcPr>
          <w:p w14:paraId="57099E94" w14:textId="77777777" w:rsidR="004D01FA" w:rsidRPr="000557CC" w:rsidRDefault="004D01FA" w:rsidP="00501233">
            <w:pPr>
              <w:pStyle w:val="ARtabletextright"/>
              <w:rPr>
                <w:lang w:eastAsia="en-AU"/>
              </w:rPr>
            </w:pPr>
          </w:p>
        </w:tc>
        <w:tc>
          <w:tcPr>
            <w:tcW w:w="833" w:type="pct"/>
            <w:noWrap/>
          </w:tcPr>
          <w:p w14:paraId="271587FB" w14:textId="77777777" w:rsidR="004D01FA" w:rsidRPr="000557CC" w:rsidRDefault="004D01FA" w:rsidP="00501233">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832" w:type="pct"/>
            <w:shd w:val="clear" w:color="auto" w:fill="auto"/>
            <w:noWrap/>
          </w:tcPr>
          <w:p w14:paraId="000E7776" w14:textId="77777777" w:rsidR="004D01FA" w:rsidRPr="000557CC" w:rsidRDefault="004D01FA" w:rsidP="00501233">
            <w:pPr>
              <w:pStyle w:val="ARtabletextright"/>
              <w:rPr>
                <w:lang w:eastAsia="en-AU"/>
              </w:rPr>
            </w:pPr>
          </w:p>
        </w:tc>
      </w:tr>
      <w:tr w:rsidR="006D7571" w:rsidRPr="000557CC" w14:paraId="7CB161CE" w14:textId="77777777" w:rsidTr="004D01FA">
        <w:trPr>
          <w:trHeight w:val="288"/>
        </w:trPr>
        <w:tc>
          <w:tcPr>
            <w:tcW w:w="2502" w:type="pct"/>
            <w:noWrap/>
            <w:hideMark/>
          </w:tcPr>
          <w:p w14:paraId="72D791E7" w14:textId="77777777" w:rsidR="006D7571" w:rsidRPr="000557CC" w:rsidRDefault="006D7571" w:rsidP="00E90058">
            <w:pPr>
              <w:pStyle w:val="ARTabletext"/>
              <w:rPr>
                <w:color w:val="000000"/>
                <w:lang w:eastAsia="en-AU"/>
              </w:rPr>
            </w:pPr>
            <w:r w:rsidRPr="000557CC">
              <w:rPr>
                <w:lang w:eastAsia="en-AU"/>
              </w:rPr>
              <w:t>Consumption behind-the-meter</w:t>
            </w:r>
          </w:p>
        </w:tc>
        <w:tc>
          <w:tcPr>
            <w:cnfStyle w:val="000001000000" w:firstRow="0" w:lastRow="0" w:firstColumn="0" w:lastColumn="0" w:oddVBand="0" w:evenVBand="1" w:oddHBand="0" w:evenHBand="0" w:firstRowFirstColumn="0" w:firstRowLastColumn="0" w:lastRowFirstColumn="0" w:lastRowLastColumn="0"/>
            <w:tcW w:w="833" w:type="pct"/>
            <w:noWrap/>
          </w:tcPr>
          <w:p w14:paraId="53054640" w14:textId="77777777" w:rsidR="006D7571" w:rsidRPr="000557CC" w:rsidRDefault="006D7571" w:rsidP="00501233">
            <w:pPr>
              <w:pStyle w:val="ARtabletextright"/>
              <w:rPr>
                <w:color w:val="000000"/>
                <w:lang w:eastAsia="en-AU"/>
              </w:rPr>
            </w:pPr>
            <w:r w:rsidRPr="000557CC">
              <w:rPr>
                <w:lang w:eastAsia="en-AU"/>
              </w:rPr>
              <w:t>–</w:t>
            </w:r>
          </w:p>
        </w:tc>
        <w:tc>
          <w:tcPr>
            <w:tcW w:w="833" w:type="pct"/>
            <w:noWrap/>
            <w:hideMark/>
          </w:tcPr>
          <w:p w14:paraId="0C64DE7E" w14:textId="77777777" w:rsidR="006D7571" w:rsidRPr="000557CC" w:rsidRDefault="006D7571" w:rsidP="00501233">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832" w:type="pct"/>
            <w:noWrap/>
            <w:hideMark/>
          </w:tcPr>
          <w:p w14:paraId="14B84811" w14:textId="77777777" w:rsidR="006D7571" w:rsidRPr="000557CC" w:rsidRDefault="006D7571" w:rsidP="00501233">
            <w:pPr>
              <w:pStyle w:val="ARtabletextright"/>
              <w:rPr>
                <w:lang w:eastAsia="en-AU"/>
              </w:rPr>
            </w:pPr>
            <w:r w:rsidRPr="000557CC">
              <w:rPr>
                <w:lang w:eastAsia="en-AU"/>
              </w:rPr>
              <w:t>–</w:t>
            </w:r>
          </w:p>
        </w:tc>
      </w:tr>
      <w:tr w:rsidR="006D7571" w:rsidRPr="000557CC" w14:paraId="61112BE8" w14:textId="77777777" w:rsidTr="004D01FA">
        <w:trPr>
          <w:trHeight w:val="288"/>
        </w:trPr>
        <w:tc>
          <w:tcPr>
            <w:tcW w:w="2502" w:type="pct"/>
            <w:noWrap/>
            <w:hideMark/>
          </w:tcPr>
          <w:p w14:paraId="3C020D6E" w14:textId="77777777" w:rsidR="006D7571" w:rsidRPr="000557CC" w:rsidRDefault="006D7571" w:rsidP="00E90058">
            <w:pPr>
              <w:pStyle w:val="ARTabletext"/>
              <w:rPr>
                <w:lang w:eastAsia="en-AU"/>
              </w:rPr>
            </w:pPr>
            <w:r w:rsidRPr="000557CC">
              <w:rPr>
                <w:lang w:eastAsia="en-AU"/>
              </w:rPr>
              <w:t>Exports</w:t>
            </w:r>
          </w:p>
        </w:tc>
        <w:tc>
          <w:tcPr>
            <w:cnfStyle w:val="000001000000" w:firstRow="0" w:lastRow="0" w:firstColumn="0" w:lastColumn="0" w:oddVBand="0" w:evenVBand="1" w:oddHBand="0" w:evenHBand="0" w:firstRowFirstColumn="0" w:firstRowLastColumn="0" w:lastRowFirstColumn="0" w:lastRowLastColumn="0"/>
            <w:tcW w:w="833" w:type="pct"/>
            <w:noWrap/>
          </w:tcPr>
          <w:p w14:paraId="35C9F686" w14:textId="77777777" w:rsidR="006D7571" w:rsidRPr="000557CC" w:rsidRDefault="006D7571" w:rsidP="00501233">
            <w:pPr>
              <w:pStyle w:val="ARtabletextright"/>
              <w:rPr>
                <w:color w:val="000000"/>
                <w:lang w:eastAsia="en-AU"/>
              </w:rPr>
            </w:pPr>
            <w:r w:rsidRPr="000557CC">
              <w:rPr>
                <w:lang w:eastAsia="en-AU"/>
              </w:rPr>
              <w:t>–</w:t>
            </w:r>
          </w:p>
        </w:tc>
        <w:tc>
          <w:tcPr>
            <w:tcW w:w="833" w:type="pct"/>
            <w:noWrap/>
            <w:hideMark/>
          </w:tcPr>
          <w:p w14:paraId="20034A0C" w14:textId="77777777" w:rsidR="006D7571" w:rsidRPr="000557CC" w:rsidRDefault="006D7571" w:rsidP="00501233">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832" w:type="pct"/>
            <w:noWrap/>
            <w:hideMark/>
          </w:tcPr>
          <w:p w14:paraId="393C8042" w14:textId="77777777" w:rsidR="006D7571" w:rsidRPr="000557CC" w:rsidRDefault="006D7571" w:rsidP="00501233">
            <w:pPr>
              <w:pStyle w:val="ARtabletextright"/>
              <w:rPr>
                <w:lang w:eastAsia="en-AU"/>
              </w:rPr>
            </w:pPr>
            <w:r w:rsidRPr="000557CC">
              <w:rPr>
                <w:lang w:eastAsia="en-AU"/>
              </w:rPr>
              <w:t>–</w:t>
            </w:r>
          </w:p>
        </w:tc>
      </w:tr>
      <w:tr w:rsidR="006D7571" w:rsidRPr="000557CC" w14:paraId="3DDA08A3" w14:textId="77777777" w:rsidTr="004D01FA">
        <w:trPr>
          <w:trHeight w:val="288"/>
        </w:trPr>
        <w:tc>
          <w:tcPr>
            <w:tcW w:w="2502" w:type="pct"/>
            <w:noWrap/>
            <w:hideMark/>
          </w:tcPr>
          <w:p w14:paraId="6ACE4B81" w14:textId="77777777" w:rsidR="006D7571" w:rsidRPr="000557CC" w:rsidRDefault="006D7571" w:rsidP="00E90058">
            <w:pPr>
              <w:pStyle w:val="ARtabletextbold"/>
              <w:rPr>
                <w:lang w:eastAsia="en-AU"/>
              </w:rPr>
            </w:pPr>
            <w:r w:rsidRPr="000557CC">
              <w:rPr>
                <w:lang w:eastAsia="en-AU"/>
              </w:rPr>
              <w:t>Total solar PV</w:t>
            </w:r>
          </w:p>
        </w:tc>
        <w:tc>
          <w:tcPr>
            <w:cnfStyle w:val="000001000000" w:firstRow="0" w:lastRow="0" w:firstColumn="0" w:lastColumn="0" w:oddVBand="0" w:evenVBand="1" w:oddHBand="0" w:evenHBand="0" w:firstRowFirstColumn="0" w:firstRowLastColumn="0" w:lastRowFirstColumn="0" w:lastRowLastColumn="0"/>
            <w:tcW w:w="833" w:type="pct"/>
            <w:noWrap/>
          </w:tcPr>
          <w:p w14:paraId="0733871B" w14:textId="77777777" w:rsidR="006D7571" w:rsidRPr="000557CC" w:rsidRDefault="006D7571" w:rsidP="00E90058">
            <w:pPr>
              <w:pStyle w:val="ARtabletextrightbold"/>
              <w:rPr>
                <w:lang w:eastAsia="en-AU"/>
              </w:rPr>
            </w:pPr>
            <w:r w:rsidRPr="000557CC">
              <w:rPr>
                <w:lang w:eastAsia="en-AU"/>
              </w:rPr>
              <w:t>–</w:t>
            </w:r>
          </w:p>
        </w:tc>
        <w:tc>
          <w:tcPr>
            <w:tcW w:w="833" w:type="pct"/>
            <w:noWrap/>
            <w:hideMark/>
          </w:tcPr>
          <w:p w14:paraId="5ED2D85F" w14:textId="77777777" w:rsidR="006D7571" w:rsidRPr="000557CC" w:rsidRDefault="006D7571" w:rsidP="00E90058">
            <w:pPr>
              <w:pStyle w:val="ARtabletextrightbold"/>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832" w:type="pct"/>
            <w:noWrap/>
            <w:hideMark/>
          </w:tcPr>
          <w:p w14:paraId="59C38BE0" w14:textId="77777777" w:rsidR="006D7571" w:rsidRPr="000557CC" w:rsidRDefault="006D7571" w:rsidP="00E90058">
            <w:pPr>
              <w:pStyle w:val="ARtabletextrightbold"/>
              <w:rPr>
                <w:lang w:eastAsia="en-AU"/>
              </w:rPr>
            </w:pPr>
            <w:r w:rsidRPr="000557CC">
              <w:rPr>
                <w:lang w:eastAsia="en-AU"/>
              </w:rPr>
              <w:t>–</w:t>
            </w:r>
          </w:p>
        </w:tc>
      </w:tr>
      <w:tr w:rsidR="006D7571" w:rsidRPr="000557CC" w14:paraId="10F393B4" w14:textId="77777777" w:rsidTr="004D01FA">
        <w:trPr>
          <w:trHeight w:val="288"/>
        </w:trPr>
        <w:tc>
          <w:tcPr>
            <w:tcW w:w="2502" w:type="pct"/>
            <w:noWrap/>
            <w:hideMark/>
          </w:tcPr>
          <w:p w14:paraId="708A1D25" w14:textId="77777777" w:rsidR="006D7571" w:rsidRPr="000557CC" w:rsidRDefault="006D7571" w:rsidP="00E90058">
            <w:pPr>
              <w:pStyle w:val="ARTabletext"/>
              <w:rPr>
                <w:lang w:eastAsia="en-AU"/>
              </w:rPr>
            </w:pPr>
            <w:r w:rsidRPr="000557CC">
              <w:rPr>
                <w:lang w:eastAsia="en-AU"/>
              </w:rPr>
              <w:t>Other non-renewable (diesel backup generator)</w:t>
            </w:r>
          </w:p>
        </w:tc>
        <w:tc>
          <w:tcPr>
            <w:cnfStyle w:val="000001000000" w:firstRow="0" w:lastRow="0" w:firstColumn="0" w:lastColumn="0" w:oddVBand="0" w:evenVBand="1" w:oddHBand="0" w:evenHBand="0" w:firstRowFirstColumn="0" w:firstRowLastColumn="0" w:lastRowFirstColumn="0" w:lastRowLastColumn="0"/>
            <w:tcW w:w="833" w:type="pct"/>
            <w:noWrap/>
          </w:tcPr>
          <w:p w14:paraId="7D8CFCAA" w14:textId="77777777" w:rsidR="006D7571" w:rsidRPr="000557CC" w:rsidRDefault="006D7571" w:rsidP="00501233">
            <w:pPr>
              <w:pStyle w:val="ARtabletextright"/>
              <w:rPr>
                <w:rFonts w:eastAsia="Times"/>
                <w:szCs w:val="18"/>
                <w:lang w:eastAsia="en-AU"/>
              </w:rPr>
            </w:pPr>
            <w:r w:rsidRPr="000557CC">
              <w:rPr>
                <w:rFonts w:eastAsia="Times"/>
                <w:szCs w:val="18"/>
                <w:lang w:eastAsia="en-AU"/>
              </w:rPr>
              <w:t>–</w:t>
            </w:r>
          </w:p>
        </w:tc>
        <w:tc>
          <w:tcPr>
            <w:tcW w:w="833" w:type="pct"/>
            <w:noWrap/>
          </w:tcPr>
          <w:p w14:paraId="24C5F913" w14:textId="77777777" w:rsidR="006D7571" w:rsidRPr="000557CC" w:rsidRDefault="006D7571" w:rsidP="00501233">
            <w:pPr>
              <w:pStyle w:val="ARtabletextright"/>
              <w:cnfStyle w:val="000000000000" w:firstRow="0" w:lastRow="0" w:firstColumn="0" w:lastColumn="0" w:oddVBand="0" w:evenVBand="0" w:oddHBand="0" w:evenHBand="0" w:firstRowFirstColumn="0" w:firstRowLastColumn="0" w:lastRowFirstColumn="0" w:lastRowLastColumn="0"/>
              <w:rPr>
                <w:rFonts w:eastAsia="Times"/>
                <w:szCs w:val="18"/>
                <w:lang w:eastAsia="en-AU"/>
              </w:rPr>
            </w:pPr>
            <w:r w:rsidRPr="000557CC">
              <w:rPr>
                <w:rFonts w:eastAsia="Times"/>
                <w:szCs w:val="18"/>
                <w:lang w:eastAsia="en-AU"/>
              </w:rPr>
              <w:t>–</w:t>
            </w:r>
          </w:p>
        </w:tc>
        <w:tc>
          <w:tcPr>
            <w:cnfStyle w:val="000001000000" w:firstRow="0" w:lastRow="0" w:firstColumn="0" w:lastColumn="0" w:oddVBand="0" w:evenVBand="1" w:oddHBand="0" w:evenHBand="0" w:firstRowFirstColumn="0" w:firstRowLastColumn="0" w:lastRowFirstColumn="0" w:lastRowLastColumn="0"/>
            <w:tcW w:w="832" w:type="pct"/>
            <w:noWrap/>
          </w:tcPr>
          <w:p w14:paraId="59F1165B" w14:textId="77777777" w:rsidR="006D7571" w:rsidRPr="000557CC" w:rsidRDefault="006D7571" w:rsidP="00501233">
            <w:pPr>
              <w:pStyle w:val="ARtabletextright"/>
              <w:rPr>
                <w:rFonts w:eastAsia="Times"/>
                <w:szCs w:val="18"/>
                <w:lang w:eastAsia="en-AU"/>
              </w:rPr>
            </w:pPr>
            <w:r w:rsidRPr="000557CC">
              <w:rPr>
                <w:rFonts w:eastAsia="Times"/>
                <w:szCs w:val="18"/>
                <w:lang w:eastAsia="en-AU"/>
              </w:rPr>
              <w:t>–</w:t>
            </w:r>
          </w:p>
        </w:tc>
      </w:tr>
      <w:tr w:rsidR="006D7571" w:rsidRPr="000557CC" w14:paraId="679225F7" w14:textId="77777777" w:rsidTr="004D01FA">
        <w:trPr>
          <w:cnfStyle w:val="010000000000" w:firstRow="0" w:lastRow="1" w:firstColumn="0" w:lastColumn="0" w:oddVBand="0" w:evenVBand="0" w:oddHBand="0" w:evenHBand="0" w:firstRowFirstColumn="0" w:firstRowLastColumn="0" w:lastRowFirstColumn="0" w:lastRowLastColumn="0"/>
          <w:trHeight w:val="288"/>
        </w:trPr>
        <w:tc>
          <w:tcPr>
            <w:tcW w:w="2502" w:type="pct"/>
            <w:noWrap/>
            <w:hideMark/>
          </w:tcPr>
          <w:p w14:paraId="6B76106B" w14:textId="77777777" w:rsidR="006D7571" w:rsidRPr="000557CC" w:rsidRDefault="006D7571" w:rsidP="00E90058">
            <w:pPr>
              <w:pStyle w:val="ARtabletextbold"/>
              <w:rPr>
                <w:lang w:eastAsia="en-AU"/>
              </w:rPr>
            </w:pPr>
            <w:r w:rsidRPr="000557CC">
              <w:rPr>
                <w:lang w:eastAsia="en-AU"/>
              </w:rPr>
              <w:t>EL2 Total on-site electricity generated</w:t>
            </w:r>
          </w:p>
        </w:tc>
        <w:tc>
          <w:tcPr>
            <w:cnfStyle w:val="000001000000" w:firstRow="0" w:lastRow="0" w:firstColumn="0" w:lastColumn="0" w:oddVBand="0" w:evenVBand="1" w:oddHBand="0" w:evenHBand="0" w:firstRowFirstColumn="0" w:firstRowLastColumn="0" w:lastRowFirstColumn="0" w:lastRowLastColumn="0"/>
            <w:tcW w:w="833" w:type="pct"/>
            <w:noWrap/>
          </w:tcPr>
          <w:p w14:paraId="2B60C345" w14:textId="77777777" w:rsidR="006D7571" w:rsidRPr="00E90058" w:rsidRDefault="006D7571" w:rsidP="00E90058">
            <w:pPr>
              <w:pStyle w:val="ARtabletextrightbold"/>
            </w:pPr>
            <w:r w:rsidRPr="00E90058">
              <w:t>–</w:t>
            </w:r>
          </w:p>
        </w:tc>
        <w:tc>
          <w:tcPr>
            <w:tcW w:w="833" w:type="pct"/>
            <w:noWrap/>
            <w:hideMark/>
          </w:tcPr>
          <w:p w14:paraId="3A300535" w14:textId="77777777" w:rsidR="006D7571" w:rsidRPr="00E90058" w:rsidRDefault="006D7571" w:rsidP="00E90058">
            <w:pPr>
              <w:pStyle w:val="ARtabletextrightbold"/>
              <w:cnfStyle w:val="010000000000" w:firstRow="0" w:lastRow="1" w:firstColumn="0" w:lastColumn="0" w:oddVBand="0" w:evenVBand="0" w:oddHBand="0" w:evenHBand="0" w:firstRowFirstColumn="0" w:firstRowLastColumn="0" w:lastRowFirstColumn="0" w:lastRowLastColumn="0"/>
            </w:pPr>
            <w:r w:rsidRPr="00E90058">
              <w:t>–</w:t>
            </w:r>
          </w:p>
        </w:tc>
        <w:tc>
          <w:tcPr>
            <w:cnfStyle w:val="000001000000" w:firstRow="0" w:lastRow="0" w:firstColumn="0" w:lastColumn="0" w:oddVBand="0" w:evenVBand="1" w:oddHBand="0" w:evenHBand="0" w:firstRowFirstColumn="0" w:firstRowLastColumn="0" w:lastRowFirstColumn="0" w:lastRowLastColumn="0"/>
            <w:tcW w:w="832" w:type="pct"/>
            <w:noWrap/>
            <w:hideMark/>
          </w:tcPr>
          <w:p w14:paraId="5F44A59B" w14:textId="77777777" w:rsidR="006D7571" w:rsidRPr="00E90058" w:rsidRDefault="006D7571" w:rsidP="00E90058">
            <w:pPr>
              <w:pStyle w:val="ARtabletextrightbold"/>
            </w:pPr>
            <w:r w:rsidRPr="00E90058">
              <w:t>–</w:t>
            </w:r>
          </w:p>
        </w:tc>
      </w:tr>
    </w:tbl>
    <w:p w14:paraId="6CC75BD4" w14:textId="77777777" w:rsidR="006D7571" w:rsidRPr="000557CC" w:rsidRDefault="006D7571" w:rsidP="00E90058">
      <w:pPr>
        <w:pStyle w:val="ARTablecaption"/>
        <w:rPr>
          <w:rFonts w:eastAsia="MS PGothic"/>
        </w:rPr>
      </w:pPr>
      <w:r w:rsidRPr="000557CC">
        <w:rPr>
          <w:rFonts w:eastAsia="MS PGothic"/>
        </w:rPr>
        <w:t>EL3 On-site installed generation capacity</w:t>
      </w:r>
    </w:p>
    <w:tbl>
      <w:tblPr>
        <w:tblStyle w:val="ARtable1"/>
        <w:tblW w:w="5000" w:type="pct"/>
        <w:tblLook w:val="02E0" w:firstRow="1" w:lastRow="1" w:firstColumn="1" w:lastColumn="0" w:noHBand="1" w:noVBand="0"/>
      </w:tblPr>
      <w:tblGrid>
        <w:gridCol w:w="4818"/>
        <w:gridCol w:w="1604"/>
        <w:gridCol w:w="1604"/>
        <w:gridCol w:w="1602"/>
      </w:tblGrid>
      <w:tr w:rsidR="006D7571" w:rsidRPr="000557CC" w14:paraId="53C2E07C" w14:textId="77777777" w:rsidTr="009F3BE7">
        <w:trPr>
          <w:cnfStyle w:val="100000000000" w:firstRow="1" w:lastRow="0" w:firstColumn="0" w:lastColumn="0" w:oddVBand="0" w:evenVBand="0" w:oddHBand="0" w:evenHBand="0" w:firstRowFirstColumn="0" w:firstRowLastColumn="0" w:lastRowFirstColumn="0" w:lastRowLastColumn="0"/>
          <w:trHeight w:val="288"/>
          <w:tblHeader/>
        </w:trPr>
        <w:tc>
          <w:tcPr>
            <w:tcW w:w="2502" w:type="pct"/>
            <w:noWrap/>
          </w:tcPr>
          <w:p w14:paraId="371AD1D2" w14:textId="77777777" w:rsidR="006D7571" w:rsidRPr="000557CC" w:rsidRDefault="006D7571" w:rsidP="00E90058">
            <w:pPr>
              <w:pStyle w:val="ARtablecolhead"/>
              <w:rPr>
                <w:color w:val="000000"/>
                <w:lang w:eastAsia="en-AU"/>
              </w:rPr>
            </w:pPr>
            <w:r w:rsidRPr="000557CC">
              <w:rPr>
                <w:lang w:eastAsia="en-AU"/>
              </w:rPr>
              <w:t>Indicator</w:t>
            </w:r>
          </w:p>
        </w:tc>
        <w:tc>
          <w:tcPr>
            <w:cnfStyle w:val="000001000000" w:firstRow="0" w:lastRow="0" w:firstColumn="0" w:lastColumn="0" w:oddVBand="0" w:evenVBand="1" w:oddHBand="0" w:evenHBand="0" w:firstRowFirstColumn="0" w:firstRowLastColumn="0" w:lastRowFirstColumn="0" w:lastRowLastColumn="0"/>
            <w:tcW w:w="833" w:type="pct"/>
            <w:noWrap/>
          </w:tcPr>
          <w:p w14:paraId="1AF03E3B" w14:textId="77777777" w:rsidR="006D7571" w:rsidRPr="000557CC" w:rsidRDefault="006D7571" w:rsidP="00E90058">
            <w:pPr>
              <w:pStyle w:val="ARtablecolheadright"/>
              <w:rPr>
                <w:lang w:eastAsia="en-AU"/>
              </w:rPr>
            </w:pPr>
            <w:r w:rsidRPr="000557CC">
              <w:rPr>
                <w:lang w:eastAsia="en-AU"/>
              </w:rPr>
              <w:t>2025–26</w:t>
            </w:r>
          </w:p>
          <w:p w14:paraId="0D902837" w14:textId="77777777" w:rsidR="006D7571" w:rsidRPr="000557CC" w:rsidRDefault="006D7571" w:rsidP="00E90058">
            <w:pPr>
              <w:pStyle w:val="ARtablecolheadright"/>
              <w:rPr>
                <w:lang w:eastAsia="en-AU"/>
              </w:rPr>
            </w:pPr>
            <w:r w:rsidRPr="000557CC">
              <w:rPr>
                <w:lang w:eastAsia="en-AU"/>
              </w:rPr>
              <w:t>MWh</w:t>
            </w:r>
          </w:p>
        </w:tc>
        <w:tc>
          <w:tcPr>
            <w:tcW w:w="833" w:type="pct"/>
            <w:noWrap/>
          </w:tcPr>
          <w:p w14:paraId="6E638418" w14:textId="77777777" w:rsidR="006D7571" w:rsidRPr="000557CC" w:rsidRDefault="006D7571" w:rsidP="00E90058">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7ACF7CCF" w14:textId="77777777" w:rsidR="006D7571" w:rsidRPr="000557CC" w:rsidRDefault="006D7571" w:rsidP="00E90058">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MWh</w:t>
            </w:r>
          </w:p>
        </w:tc>
        <w:tc>
          <w:tcPr>
            <w:cnfStyle w:val="000001000000" w:firstRow="0" w:lastRow="0" w:firstColumn="0" w:lastColumn="0" w:oddVBand="0" w:evenVBand="1" w:oddHBand="0" w:evenHBand="0" w:firstRowFirstColumn="0" w:firstRowLastColumn="0" w:lastRowFirstColumn="0" w:lastRowLastColumn="0"/>
            <w:tcW w:w="833" w:type="pct"/>
            <w:noWrap/>
          </w:tcPr>
          <w:p w14:paraId="04F40737" w14:textId="77777777" w:rsidR="006D7571" w:rsidRPr="000557CC" w:rsidRDefault="006D7571" w:rsidP="00E90058">
            <w:pPr>
              <w:pStyle w:val="ARtablecolheadright"/>
              <w:rPr>
                <w:lang w:eastAsia="en-AU"/>
              </w:rPr>
            </w:pPr>
            <w:r w:rsidRPr="000557CC">
              <w:rPr>
                <w:lang w:eastAsia="en-AU"/>
              </w:rPr>
              <w:t>2023–24</w:t>
            </w:r>
          </w:p>
          <w:p w14:paraId="20C57FC1" w14:textId="77777777" w:rsidR="006D7571" w:rsidRPr="000557CC" w:rsidRDefault="006D7571" w:rsidP="00E90058">
            <w:pPr>
              <w:pStyle w:val="ARtablecolheadright"/>
              <w:rPr>
                <w:lang w:eastAsia="en-AU"/>
              </w:rPr>
            </w:pPr>
            <w:r w:rsidRPr="000557CC">
              <w:rPr>
                <w:lang w:eastAsia="en-AU"/>
              </w:rPr>
              <w:t>MWh</w:t>
            </w:r>
          </w:p>
        </w:tc>
      </w:tr>
      <w:tr w:rsidR="006D7571" w:rsidRPr="000557CC" w14:paraId="60954677" w14:textId="77777777" w:rsidTr="009F3BE7">
        <w:trPr>
          <w:trHeight w:val="288"/>
        </w:trPr>
        <w:tc>
          <w:tcPr>
            <w:tcW w:w="2502" w:type="pct"/>
            <w:noWrap/>
            <w:hideMark/>
          </w:tcPr>
          <w:p w14:paraId="762AD8EC" w14:textId="77777777" w:rsidR="006D7571" w:rsidRPr="000557CC" w:rsidRDefault="006D7571" w:rsidP="00E90058">
            <w:pPr>
              <w:pStyle w:val="ARTabletext"/>
              <w:rPr>
                <w:color w:val="000000"/>
                <w:lang w:eastAsia="en-AU"/>
              </w:rPr>
            </w:pPr>
            <w:r w:rsidRPr="000557CC">
              <w:rPr>
                <w:lang w:eastAsia="en-AU"/>
              </w:rPr>
              <w:t>Solar PV</w:t>
            </w:r>
          </w:p>
        </w:tc>
        <w:tc>
          <w:tcPr>
            <w:cnfStyle w:val="000001000000" w:firstRow="0" w:lastRow="0" w:firstColumn="0" w:lastColumn="0" w:oddVBand="0" w:evenVBand="1" w:oddHBand="0" w:evenHBand="0" w:firstRowFirstColumn="0" w:firstRowLastColumn="0" w:lastRowFirstColumn="0" w:lastRowLastColumn="0"/>
            <w:tcW w:w="833" w:type="pct"/>
            <w:noWrap/>
          </w:tcPr>
          <w:p w14:paraId="64D0DACE" w14:textId="77777777" w:rsidR="006D7571" w:rsidRPr="000557CC" w:rsidRDefault="006D7571" w:rsidP="00E90058">
            <w:pPr>
              <w:pStyle w:val="ARtabletextright"/>
              <w:rPr>
                <w:lang w:eastAsia="en-AU"/>
              </w:rPr>
            </w:pPr>
            <w:r w:rsidRPr="000557CC">
              <w:rPr>
                <w:lang w:eastAsia="en-AU"/>
              </w:rPr>
              <w:t>–</w:t>
            </w:r>
          </w:p>
        </w:tc>
        <w:tc>
          <w:tcPr>
            <w:tcW w:w="833" w:type="pct"/>
            <w:noWrap/>
            <w:hideMark/>
          </w:tcPr>
          <w:p w14:paraId="3B670174" w14:textId="77777777" w:rsidR="006D7571" w:rsidRPr="000557CC" w:rsidRDefault="006D7571" w:rsidP="00E90058">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833" w:type="pct"/>
            <w:noWrap/>
            <w:hideMark/>
          </w:tcPr>
          <w:p w14:paraId="79AF9934" w14:textId="77777777" w:rsidR="006D7571" w:rsidRPr="000557CC" w:rsidRDefault="006D7571" w:rsidP="00E90058">
            <w:pPr>
              <w:pStyle w:val="ARtabletextright"/>
              <w:rPr>
                <w:lang w:eastAsia="en-AU"/>
              </w:rPr>
            </w:pPr>
            <w:r w:rsidRPr="000557CC">
              <w:rPr>
                <w:lang w:eastAsia="en-AU"/>
              </w:rPr>
              <w:t>–</w:t>
            </w:r>
          </w:p>
        </w:tc>
      </w:tr>
      <w:tr w:rsidR="006D7571" w:rsidRPr="000557CC" w14:paraId="308B0097" w14:textId="77777777" w:rsidTr="009F3BE7">
        <w:trPr>
          <w:trHeight w:val="288"/>
        </w:trPr>
        <w:tc>
          <w:tcPr>
            <w:tcW w:w="2502" w:type="pct"/>
            <w:noWrap/>
            <w:hideMark/>
          </w:tcPr>
          <w:p w14:paraId="59BD36B2" w14:textId="77777777" w:rsidR="006D7571" w:rsidRPr="000557CC" w:rsidRDefault="006D7571" w:rsidP="00E90058">
            <w:pPr>
              <w:pStyle w:val="ARTabletext"/>
              <w:rPr>
                <w:color w:val="000000"/>
                <w:lang w:eastAsia="en-AU"/>
              </w:rPr>
            </w:pPr>
            <w:r w:rsidRPr="000557CC">
              <w:rPr>
                <w:lang w:eastAsia="en-AU"/>
              </w:rPr>
              <w:t>Diesel backup generator</w:t>
            </w:r>
          </w:p>
        </w:tc>
        <w:tc>
          <w:tcPr>
            <w:cnfStyle w:val="000001000000" w:firstRow="0" w:lastRow="0" w:firstColumn="0" w:lastColumn="0" w:oddVBand="0" w:evenVBand="1" w:oddHBand="0" w:evenHBand="0" w:firstRowFirstColumn="0" w:firstRowLastColumn="0" w:lastRowFirstColumn="0" w:lastRowLastColumn="0"/>
            <w:tcW w:w="833" w:type="pct"/>
            <w:noWrap/>
          </w:tcPr>
          <w:p w14:paraId="4AE820FB" w14:textId="77777777" w:rsidR="006D7571" w:rsidRPr="000557CC" w:rsidRDefault="006D7571" w:rsidP="00E90058">
            <w:pPr>
              <w:pStyle w:val="ARtabletextright"/>
              <w:rPr>
                <w:lang w:eastAsia="en-AU"/>
              </w:rPr>
            </w:pPr>
            <w:r w:rsidRPr="000557CC">
              <w:rPr>
                <w:lang w:eastAsia="en-AU"/>
              </w:rPr>
              <w:t>–</w:t>
            </w:r>
          </w:p>
        </w:tc>
        <w:tc>
          <w:tcPr>
            <w:tcW w:w="833" w:type="pct"/>
            <w:noWrap/>
            <w:hideMark/>
          </w:tcPr>
          <w:p w14:paraId="4646209D" w14:textId="77777777" w:rsidR="006D7571" w:rsidRPr="000557CC" w:rsidRDefault="006D7571" w:rsidP="00E90058">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833" w:type="pct"/>
            <w:noWrap/>
            <w:hideMark/>
          </w:tcPr>
          <w:p w14:paraId="0B5E024D" w14:textId="77777777" w:rsidR="006D7571" w:rsidRPr="000557CC" w:rsidRDefault="006D7571" w:rsidP="00E90058">
            <w:pPr>
              <w:pStyle w:val="ARtabletextright"/>
              <w:rPr>
                <w:lang w:eastAsia="en-AU"/>
              </w:rPr>
            </w:pPr>
            <w:r w:rsidRPr="000557CC">
              <w:rPr>
                <w:lang w:eastAsia="en-AU"/>
              </w:rPr>
              <w:t>–</w:t>
            </w:r>
          </w:p>
        </w:tc>
      </w:tr>
      <w:tr w:rsidR="006D7571" w:rsidRPr="000557CC" w14:paraId="3FA720CC" w14:textId="77777777" w:rsidTr="009F3BE7">
        <w:trPr>
          <w:cnfStyle w:val="010000000000" w:firstRow="0" w:lastRow="1" w:firstColumn="0" w:lastColumn="0" w:oddVBand="0" w:evenVBand="0" w:oddHBand="0" w:evenHBand="0" w:firstRowFirstColumn="0" w:firstRowLastColumn="0" w:lastRowFirstColumn="0" w:lastRowLastColumn="0"/>
          <w:trHeight w:val="288"/>
        </w:trPr>
        <w:tc>
          <w:tcPr>
            <w:tcW w:w="2502" w:type="pct"/>
            <w:noWrap/>
            <w:hideMark/>
          </w:tcPr>
          <w:p w14:paraId="5FA278AB" w14:textId="77777777" w:rsidR="006D7571" w:rsidRPr="000557CC" w:rsidRDefault="006D7571" w:rsidP="00E90058">
            <w:pPr>
              <w:pStyle w:val="ARtabletextbold"/>
              <w:rPr>
                <w:lang w:eastAsia="en-AU"/>
              </w:rPr>
            </w:pPr>
            <w:r w:rsidRPr="000557CC">
              <w:rPr>
                <w:lang w:eastAsia="en-AU"/>
              </w:rPr>
              <w:t>EL3 Total on-site installed generation capacity</w:t>
            </w:r>
          </w:p>
        </w:tc>
        <w:tc>
          <w:tcPr>
            <w:cnfStyle w:val="000001000000" w:firstRow="0" w:lastRow="0" w:firstColumn="0" w:lastColumn="0" w:oddVBand="0" w:evenVBand="1" w:oddHBand="0" w:evenHBand="0" w:firstRowFirstColumn="0" w:firstRowLastColumn="0" w:lastRowFirstColumn="0" w:lastRowLastColumn="0"/>
            <w:tcW w:w="833" w:type="pct"/>
            <w:noWrap/>
          </w:tcPr>
          <w:p w14:paraId="76FC33D3" w14:textId="77777777" w:rsidR="006D7571" w:rsidRPr="000557CC" w:rsidRDefault="006D7571" w:rsidP="00E90058">
            <w:pPr>
              <w:pStyle w:val="ARtabletextrightbold"/>
              <w:rPr>
                <w:lang w:eastAsia="en-AU"/>
              </w:rPr>
            </w:pPr>
            <w:r w:rsidRPr="000557CC">
              <w:rPr>
                <w:lang w:eastAsia="en-AU"/>
              </w:rPr>
              <w:t>–</w:t>
            </w:r>
          </w:p>
        </w:tc>
        <w:tc>
          <w:tcPr>
            <w:tcW w:w="833" w:type="pct"/>
            <w:noWrap/>
            <w:hideMark/>
          </w:tcPr>
          <w:p w14:paraId="445D2195" w14:textId="77777777" w:rsidR="006D7571" w:rsidRPr="000557CC" w:rsidRDefault="006D7571" w:rsidP="00E90058">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833" w:type="pct"/>
            <w:noWrap/>
            <w:hideMark/>
          </w:tcPr>
          <w:p w14:paraId="43DE3BC1" w14:textId="77777777" w:rsidR="006D7571" w:rsidRPr="000557CC" w:rsidRDefault="006D7571" w:rsidP="00E90058">
            <w:pPr>
              <w:pStyle w:val="ARtabletextrightbold"/>
              <w:rPr>
                <w:lang w:eastAsia="en-AU"/>
              </w:rPr>
            </w:pPr>
            <w:r w:rsidRPr="000557CC">
              <w:rPr>
                <w:lang w:eastAsia="en-AU"/>
              </w:rPr>
              <w:t>–</w:t>
            </w:r>
          </w:p>
        </w:tc>
      </w:tr>
    </w:tbl>
    <w:p w14:paraId="09A2091B" w14:textId="77777777" w:rsidR="006D7571" w:rsidRPr="000557CC" w:rsidRDefault="006D7571" w:rsidP="00E90058">
      <w:pPr>
        <w:pStyle w:val="ARTablecaption"/>
        <w:rPr>
          <w:rFonts w:eastAsia="MS PGothic"/>
        </w:rPr>
      </w:pPr>
      <w:r w:rsidRPr="000557CC">
        <w:rPr>
          <w:rFonts w:eastAsia="MS PGothic"/>
        </w:rPr>
        <w:t>EL4 Total electricity offsets</w:t>
      </w:r>
    </w:p>
    <w:tbl>
      <w:tblPr>
        <w:tblStyle w:val="ARtable1"/>
        <w:tblW w:w="5000" w:type="pct"/>
        <w:tblLook w:val="02E0" w:firstRow="1" w:lastRow="1" w:firstColumn="1" w:lastColumn="0" w:noHBand="1" w:noVBand="0"/>
      </w:tblPr>
      <w:tblGrid>
        <w:gridCol w:w="4929"/>
        <w:gridCol w:w="1566"/>
        <w:gridCol w:w="1566"/>
        <w:gridCol w:w="1567"/>
      </w:tblGrid>
      <w:tr w:rsidR="006D7571" w:rsidRPr="000557CC" w14:paraId="2DBA33EF" w14:textId="77777777" w:rsidTr="009F3BE7">
        <w:trPr>
          <w:cnfStyle w:val="100000000000" w:firstRow="1" w:lastRow="0" w:firstColumn="0" w:lastColumn="0" w:oddVBand="0" w:evenVBand="0" w:oddHBand="0" w:evenHBand="0" w:firstRowFirstColumn="0" w:firstRowLastColumn="0" w:lastRowFirstColumn="0" w:lastRowLastColumn="0"/>
          <w:trHeight w:val="288"/>
          <w:tblHeader/>
        </w:trPr>
        <w:tc>
          <w:tcPr>
            <w:tcW w:w="2497" w:type="pct"/>
            <w:noWrap/>
          </w:tcPr>
          <w:p w14:paraId="2843FFDE" w14:textId="77777777" w:rsidR="006D7571" w:rsidRPr="000557CC" w:rsidRDefault="006D7571" w:rsidP="00E90058">
            <w:pPr>
              <w:pStyle w:val="ARtablecolhead"/>
              <w:rPr>
                <w:color w:val="000000"/>
                <w:lang w:eastAsia="en-AU"/>
              </w:rPr>
            </w:pPr>
            <w:r w:rsidRPr="000557CC">
              <w:rPr>
                <w:lang w:eastAsia="en-AU"/>
              </w:rPr>
              <w:t>Indicator</w:t>
            </w:r>
          </w:p>
        </w:tc>
        <w:tc>
          <w:tcPr>
            <w:cnfStyle w:val="000001000000" w:firstRow="0" w:lastRow="0" w:firstColumn="0" w:lastColumn="0" w:oddVBand="0" w:evenVBand="1" w:oddHBand="0" w:evenHBand="0" w:firstRowFirstColumn="0" w:firstRowLastColumn="0" w:lastRowFirstColumn="0" w:lastRowLastColumn="0"/>
            <w:tcW w:w="834" w:type="pct"/>
            <w:noWrap/>
          </w:tcPr>
          <w:p w14:paraId="53BB9DD2" w14:textId="77777777" w:rsidR="006D7571" w:rsidRPr="000557CC" w:rsidRDefault="006D7571" w:rsidP="00E90058">
            <w:pPr>
              <w:pStyle w:val="ARtablecolheadright"/>
              <w:rPr>
                <w:lang w:eastAsia="en-AU"/>
              </w:rPr>
            </w:pPr>
            <w:r w:rsidRPr="000557CC">
              <w:rPr>
                <w:lang w:eastAsia="en-AU"/>
              </w:rPr>
              <w:t>2025–26</w:t>
            </w:r>
          </w:p>
          <w:p w14:paraId="5FA267A4" w14:textId="77777777" w:rsidR="006D7571" w:rsidRPr="000557CC" w:rsidRDefault="006D7571" w:rsidP="00E90058">
            <w:pPr>
              <w:pStyle w:val="ARtablecolheadright"/>
              <w:rPr>
                <w:lang w:eastAsia="en-AU"/>
              </w:rPr>
            </w:pPr>
            <w:r w:rsidRPr="000557CC" w:rsidDel="00153B6C">
              <w:rPr>
                <w:lang w:eastAsia="en-AU"/>
              </w:rPr>
              <w:t>MWh</w:t>
            </w:r>
          </w:p>
        </w:tc>
        <w:tc>
          <w:tcPr>
            <w:tcW w:w="834" w:type="pct"/>
            <w:noWrap/>
          </w:tcPr>
          <w:p w14:paraId="746EDD0F" w14:textId="77777777" w:rsidR="006D7571" w:rsidRPr="000557CC" w:rsidRDefault="006D7571" w:rsidP="00E90058">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5C238A86" w14:textId="77777777" w:rsidR="006D7571" w:rsidRPr="000557CC" w:rsidRDefault="006D7571" w:rsidP="00E90058">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sidDel="00153B6C">
              <w:rPr>
                <w:lang w:eastAsia="en-AU"/>
              </w:rPr>
              <w:t>MWh</w:t>
            </w:r>
          </w:p>
        </w:tc>
        <w:tc>
          <w:tcPr>
            <w:cnfStyle w:val="000001000000" w:firstRow="0" w:lastRow="0" w:firstColumn="0" w:lastColumn="0" w:oddVBand="0" w:evenVBand="1" w:oddHBand="0" w:evenHBand="0" w:firstRowFirstColumn="0" w:firstRowLastColumn="0" w:lastRowFirstColumn="0" w:lastRowLastColumn="0"/>
            <w:tcW w:w="834" w:type="pct"/>
            <w:noWrap/>
          </w:tcPr>
          <w:p w14:paraId="5A861D1B" w14:textId="77777777" w:rsidR="006D7571" w:rsidRPr="000557CC" w:rsidRDefault="006D7571" w:rsidP="00E90058">
            <w:pPr>
              <w:pStyle w:val="ARtablecolheadright"/>
              <w:rPr>
                <w:lang w:eastAsia="en-AU"/>
              </w:rPr>
            </w:pPr>
            <w:r w:rsidRPr="000557CC">
              <w:rPr>
                <w:lang w:eastAsia="en-AU"/>
              </w:rPr>
              <w:t>2023–24</w:t>
            </w:r>
          </w:p>
          <w:p w14:paraId="66177A42" w14:textId="77777777" w:rsidR="006D7571" w:rsidRPr="000557CC" w:rsidRDefault="006D7571" w:rsidP="00E90058">
            <w:pPr>
              <w:pStyle w:val="ARtablecolheadright"/>
              <w:rPr>
                <w:lang w:eastAsia="en-AU"/>
              </w:rPr>
            </w:pPr>
            <w:r w:rsidRPr="000557CC" w:rsidDel="00153B6C">
              <w:rPr>
                <w:lang w:eastAsia="en-AU"/>
              </w:rPr>
              <w:t>MWh</w:t>
            </w:r>
          </w:p>
        </w:tc>
      </w:tr>
      <w:tr w:rsidR="006D7571" w:rsidRPr="000557CC" w14:paraId="77D20E65" w14:textId="77777777" w:rsidTr="009F3BE7">
        <w:trPr>
          <w:trHeight w:val="288"/>
        </w:trPr>
        <w:tc>
          <w:tcPr>
            <w:tcW w:w="2497" w:type="pct"/>
            <w:noWrap/>
            <w:hideMark/>
          </w:tcPr>
          <w:p w14:paraId="5B671843" w14:textId="77777777" w:rsidR="006D7571" w:rsidRPr="000557CC" w:rsidRDefault="006D7571" w:rsidP="00E90058">
            <w:pPr>
              <w:pStyle w:val="ARTabletext"/>
              <w:rPr>
                <w:color w:val="000000"/>
                <w:lang w:eastAsia="en-AU"/>
              </w:rPr>
            </w:pPr>
            <w:r w:rsidRPr="000557CC">
              <w:rPr>
                <w:lang w:eastAsia="en-AU"/>
              </w:rPr>
              <w:t>LGC’s voluntarily retired by the entity</w:t>
            </w:r>
          </w:p>
        </w:tc>
        <w:tc>
          <w:tcPr>
            <w:cnfStyle w:val="000001000000" w:firstRow="0" w:lastRow="0" w:firstColumn="0" w:lastColumn="0" w:oddVBand="0" w:evenVBand="1" w:oddHBand="0" w:evenHBand="0" w:firstRowFirstColumn="0" w:firstRowLastColumn="0" w:lastRowFirstColumn="0" w:lastRowLastColumn="0"/>
            <w:tcW w:w="834" w:type="pct"/>
            <w:noWrap/>
          </w:tcPr>
          <w:p w14:paraId="1D1AA446" w14:textId="77777777" w:rsidR="006D7571" w:rsidRPr="000557CC" w:rsidRDefault="006D7571" w:rsidP="00E90058">
            <w:pPr>
              <w:pStyle w:val="ARtabletextright"/>
              <w:rPr>
                <w:color w:val="000000"/>
                <w:lang w:eastAsia="en-AU"/>
              </w:rPr>
            </w:pPr>
            <w:r w:rsidRPr="000557CC">
              <w:rPr>
                <w:lang w:eastAsia="en-AU"/>
              </w:rPr>
              <w:t>–</w:t>
            </w:r>
          </w:p>
        </w:tc>
        <w:tc>
          <w:tcPr>
            <w:tcW w:w="834" w:type="pct"/>
            <w:noWrap/>
            <w:hideMark/>
          </w:tcPr>
          <w:p w14:paraId="221CD46B" w14:textId="77777777" w:rsidR="006D7571" w:rsidRPr="000557CC" w:rsidRDefault="006D7571" w:rsidP="00E90058">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834" w:type="pct"/>
            <w:noWrap/>
            <w:hideMark/>
          </w:tcPr>
          <w:p w14:paraId="470DCF2F" w14:textId="77777777" w:rsidR="006D7571" w:rsidRPr="000557CC" w:rsidRDefault="006D7571" w:rsidP="00E90058">
            <w:pPr>
              <w:pStyle w:val="ARtabletextright"/>
              <w:rPr>
                <w:lang w:eastAsia="en-AU"/>
              </w:rPr>
            </w:pPr>
            <w:r w:rsidRPr="000557CC" w:rsidDel="00DC5470">
              <w:rPr>
                <w:lang w:eastAsia="en-AU"/>
              </w:rPr>
              <w:t>–</w:t>
            </w:r>
          </w:p>
        </w:tc>
      </w:tr>
      <w:tr w:rsidR="006D7571" w:rsidRPr="000557CC" w14:paraId="6EAD01D9" w14:textId="77777777" w:rsidTr="009F3BE7">
        <w:trPr>
          <w:trHeight w:val="288"/>
        </w:trPr>
        <w:tc>
          <w:tcPr>
            <w:tcW w:w="2497" w:type="pct"/>
            <w:noWrap/>
          </w:tcPr>
          <w:p w14:paraId="3A188D90" w14:textId="6313FA66" w:rsidR="006D7571" w:rsidRPr="000557CC" w:rsidRDefault="006D7571" w:rsidP="00E90058">
            <w:pPr>
              <w:pStyle w:val="ARTabletext"/>
              <w:rPr>
                <w:color w:val="000000"/>
                <w:lang w:eastAsia="en-AU"/>
              </w:rPr>
            </w:pPr>
            <w:proofErr w:type="spellStart"/>
            <w:r w:rsidRPr="000557CC">
              <w:rPr>
                <w:lang w:eastAsia="en-AU"/>
              </w:rPr>
              <w:t>GreenPower</w:t>
            </w:r>
            <w:proofErr w:type="spellEnd"/>
            <w:r w:rsidRPr="000557CC">
              <w:rPr>
                <w:vertAlign w:val="superscript"/>
                <w:lang w:eastAsia="en-AU"/>
              </w:rPr>
              <w:footnoteReference w:id="29"/>
            </w:r>
          </w:p>
        </w:tc>
        <w:tc>
          <w:tcPr>
            <w:cnfStyle w:val="000001000000" w:firstRow="0" w:lastRow="0" w:firstColumn="0" w:lastColumn="0" w:oddVBand="0" w:evenVBand="1" w:oddHBand="0" w:evenHBand="0" w:firstRowFirstColumn="0" w:firstRowLastColumn="0" w:lastRowFirstColumn="0" w:lastRowLastColumn="0"/>
            <w:tcW w:w="834" w:type="pct"/>
            <w:noWrap/>
          </w:tcPr>
          <w:p w14:paraId="5AFB994A" w14:textId="77777777" w:rsidR="006D7571" w:rsidRPr="000557CC" w:rsidRDefault="006D7571" w:rsidP="00E90058">
            <w:pPr>
              <w:pStyle w:val="ARtabletextright"/>
              <w:rPr>
                <w:lang w:eastAsia="en-AU"/>
              </w:rPr>
            </w:pPr>
            <w:r w:rsidRPr="000557CC">
              <w:rPr>
                <w:lang w:eastAsia="en-AU"/>
              </w:rPr>
              <w:t>Not yet available</w:t>
            </w:r>
          </w:p>
        </w:tc>
        <w:tc>
          <w:tcPr>
            <w:tcW w:w="834" w:type="pct"/>
            <w:noWrap/>
          </w:tcPr>
          <w:p w14:paraId="01348CC5" w14:textId="77777777" w:rsidR="006D7571" w:rsidRPr="000557CC" w:rsidRDefault="006D7571" w:rsidP="00E90058">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933</w:t>
            </w:r>
          </w:p>
        </w:tc>
        <w:tc>
          <w:tcPr>
            <w:cnfStyle w:val="000001000000" w:firstRow="0" w:lastRow="0" w:firstColumn="0" w:lastColumn="0" w:oddVBand="0" w:evenVBand="1" w:oddHBand="0" w:evenHBand="0" w:firstRowFirstColumn="0" w:firstRowLastColumn="0" w:lastRowFirstColumn="0" w:lastRowLastColumn="0"/>
            <w:tcW w:w="834" w:type="pct"/>
            <w:noWrap/>
          </w:tcPr>
          <w:p w14:paraId="58090FB9" w14:textId="77777777" w:rsidR="006D7571" w:rsidRPr="000557CC" w:rsidRDefault="006D7571" w:rsidP="00E90058">
            <w:pPr>
              <w:pStyle w:val="ARtabletextright"/>
              <w:rPr>
                <w:lang w:eastAsia="en-AU"/>
              </w:rPr>
            </w:pPr>
            <w:r w:rsidRPr="000557CC">
              <w:rPr>
                <w:lang w:eastAsia="en-AU"/>
              </w:rPr>
              <w:t>714.8</w:t>
            </w:r>
          </w:p>
        </w:tc>
      </w:tr>
      <w:tr w:rsidR="006D7571" w:rsidRPr="000557CC" w14:paraId="1D782CE8" w14:textId="77777777" w:rsidTr="009F3BE7">
        <w:trPr>
          <w:trHeight w:val="288"/>
        </w:trPr>
        <w:tc>
          <w:tcPr>
            <w:tcW w:w="2497" w:type="pct"/>
            <w:noWrap/>
          </w:tcPr>
          <w:p w14:paraId="7E2CDEBC" w14:textId="77777777" w:rsidR="006D7571" w:rsidRPr="000557CC" w:rsidRDefault="006D7571" w:rsidP="00E90058">
            <w:pPr>
              <w:pStyle w:val="ARTabletext"/>
              <w:rPr>
                <w:color w:val="000000"/>
                <w:lang w:eastAsia="en-AU"/>
              </w:rPr>
            </w:pPr>
            <w:r w:rsidRPr="000557CC">
              <w:rPr>
                <w:lang w:eastAsia="en-AU"/>
              </w:rPr>
              <w:t>Renewable power percentage in the grid</w:t>
            </w:r>
          </w:p>
        </w:tc>
        <w:tc>
          <w:tcPr>
            <w:cnfStyle w:val="000001000000" w:firstRow="0" w:lastRow="0" w:firstColumn="0" w:lastColumn="0" w:oddVBand="0" w:evenVBand="1" w:oddHBand="0" w:evenHBand="0" w:firstRowFirstColumn="0" w:firstRowLastColumn="0" w:lastRowFirstColumn="0" w:lastRowLastColumn="0"/>
            <w:tcW w:w="834" w:type="pct"/>
            <w:noWrap/>
          </w:tcPr>
          <w:p w14:paraId="1A69CAB6" w14:textId="77777777" w:rsidR="006D7571" w:rsidRPr="000557CC" w:rsidRDefault="006D7571" w:rsidP="00E90058">
            <w:pPr>
              <w:pStyle w:val="ARtabletextright"/>
              <w:rPr>
                <w:lang w:eastAsia="en-AU"/>
              </w:rPr>
            </w:pPr>
            <w:r w:rsidRPr="000557CC">
              <w:rPr>
                <w:lang w:eastAsia="en-AU"/>
              </w:rPr>
              <w:t>–</w:t>
            </w:r>
          </w:p>
        </w:tc>
        <w:tc>
          <w:tcPr>
            <w:tcW w:w="834" w:type="pct"/>
            <w:noWrap/>
          </w:tcPr>
          <w:p w14:paraId="679257B2" w14:textId="77777777" w:rsidR="006D7571" w:rsidRPr="000557CC" w:rsidRDefault="006D7571" w:rsidP="00E90058">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834" w:type="pct"/>
            <w:noWrap/>
          </w:tcPr>
          <w:p w14:paraId="743B2E9D" w14:textId="77777777" w:rsidR="006D7571" w:rsidRPr="000557CC" w:rsidRDefault="006D7571" w:rsidP="00E90058">
            <w:pPr>
              <w:pStyle w:val="ARtabletextright"/>
              <w:rPr>
                <w:lang w:eastAsia="en-AU"/>
              </w:rPr>
            </w:pPr>
          </w:p>
        </w:tc>
      </w:tr>
      <w:tr w:rsidR="006D7571" w:rsidRPr="000557CC" w14:paraId="6EA7503D" w14:textId="77777777" w:rsidTr="009F3BE7">
        <w:trPr>
          <w:trHeight w:val="288"/>
        </w:trPr>
        <w:tc>
          <w:tcPr>
            <w:tcW w:w="2497" w:type="pct"/>
            <w:noWrap/>
          </w:tcPr>
          <w:p w14:paraId="265F7B1A" w14:textId="77777777" w:rsidR="006D7571" w:rsidRPr="000557CC" w:rsidRDefault="006D7571" w:rsidP="00E90058">
            <w:pPr>
              <w:pStyle w:val="ARTabletext"/>
              <w:rPr>
                <w:color w:val="000000"/>
                <w:lang w:eastAsia="en-AU"/>
              </w:rPr>
            </w:pPr>
            <w:r w:rsidRPr="000557CC">
              <w:rPr>
                <w:lang w:eastAsia="en-AU"/>
              </w:rPr>
              <w:t>Certified climate active carbon neutral electricity purchased</w:t>
            </w:r>
          </w:p>
        </w:tc>
        <w:tc>
          <w:tcPr>
            <w:cnfStyle w:val="000001000000" w:firstRow="0" w:lastRow="0" w:firstColumn="0" w:lastColumn="0" w:oddVBand="0" w:evenVBand="1" w:oddHBand="0" w:evenHBand="0" w:firstRowFirstColumn="0" w:firstRowLastColumn="0" w:lastRowFirstColumn="0" w:lastRowLastColumn="0"/>
            <w:tcW w:w="834" w:type="pct"/>
            <w:noWrap/>
          </w:tcPr>
          <w:p w14:paraId="38025E7A" w14:textId="77777777" w:rsidR="006D7571" w:rsidRPr="000557CC" w:rsidRDefault="006D7571" w:rsidP="00E90058">
            <w:pPr>
              <w:pStyle w:val="ARtabletextright"/>
              <w:rPr>
                <w:lang w:eastAsia="en-AU"/>
              </w:rPr>
            </w:pPr>
            <w:r w:rsidRPr="000557CC">
              <w:rPr>
                <w:lang w:eastAsia="en-AU"/>
              </w:rPr>
              <w:t>–</w:t>
            </w:r>
          </w:p>
        </w:tc>
        <w:tc>
          <w:tcPr>
            <w:tcW w:w="834" w:type="pct"/>
            <w:noWrap/>
          </w:tcPr>
          <w:p w14:paraId="4DEF337B" w14:textId="77777777" w:rsidR="006D7571" w:rsidRPr="000557CC" w:rsidRDefault="006D7571" w:rsidP="00E90058">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834" w:type="pct"/>
            <w:noWrap/>
          </w:tcPr>
          <w:p w14:paraId="6C96C242" w14:textId="77777777" w:rsidR="006D7571" w:rsidRPr="000557CC" w:rsidRDefault="006D7571" w:rsidP="00E90058">
            <w:pPr>
              <w:pStyle w:val="ARtabletextright"/>
              <w:rPr>
                <w:lang w:eastAsia="en-AU"/>
              </w:rPr>
            </w:pPr>
            <w:r w:rsidRPr="000557CC">
              <w:rPr>
                <w:lang w:eastAsia="en-AU"/>
              </w:rPr>
              <w:t>–</w:t>
            </w:r>
          </w:p>
        </w:tc>
      </w:tr>
      <w:tr w:rsidR="006D7571" w:rsidRPr="000557CC" w14:paraId="585C7890" w14:textId="77777777" w:rsidTr="009F3BE7">
        <w:trPr>
          <w:cnfStyle w:val="010000000000" w:firstRow="0" w:lastRow="1" w:firstColumn="0" w:lastColumn="0" w:oddVBand="0" w:evenVBand="0" w:oddHBand="0" w:evenHBand="0" w:firstRowFirstColumn="0" w:firstRowLastColumn="0" w:lastRowFirstColumn="0" w:lastRowLastColumn="0"/>
          <w:trHeight w:val="288"/>
        </w:trPr>
        <w:tc>
          <w:tcPr>
            <w:tcW w:w="2497" w:type="pct"/>
            <w:noWrap/>
            <w:hideMark/>
          </w:tcPr>
          <w:p w14:paraId="23BE3484" w14:textId="77777777" w:rsidR="006D7571" w:rsidRPr="000557CC" w:rsidRDefault="006D7571" w:rsidP="00E90058">
            <w:pPr>
              <w:pStyle w:val="ARtabletextbold"/>
              <w:rPr>
                <w:lang w:eastAsia="en-AU"/>
              </w:rPr>
            </w:pPr>
            <w:r w:rsidRPr="000557CC">
              <w:rPr>
                <w:lang w:eastAsia="en-AU"/>
              </w:rPr>
              <w:t>EL4 Total electricity offsets</w:t>
            </w:r>
          </w:p>
        </w:tc>
        <w:tc>
          <w:tcPr>
            <w:cnfStyle w:val="000001000000" w:firstRow="0" w:lastRow="0" w:firstColumn="0" w:lastColumn="0" w:oddVBand="0" w:evenVBand="1" w:oddHBand="0" w:evenHBand="0" w:firstRowFirstColumn="0" w:firstRowLastColumn="0" w:lastRowFirstColumn="0" w:lastRowLastColumn="0"/>
            <w:tcW w:w="834" w:type="pct"/>
            <w:noWrap/>
          </w:tcPr>
          <w:p w14:paraId="52F16546" w14:textId="77777777" w:rsidR="006D7571" w:rsidRPr="000557CC" w:rsidRDefault="006D7571" w:rsidP="00E90058">
            <w:pPr>
              <w:pStyle w:val="ARtabletextrightbold"/>
              <w:rPr>
                <w:lang w:eastAsia="en-AU"/>
              </w:rPr>
            </w:pPr>
            <w:r w:rsidRPr="000557CC">
              <w:rPr>
                <w:lang w:eastAsia="en-AU"/>
              </w:rPr>
              <w:t>–</w:t>
            </w:r>
          </w:p>
        </w:tc>
        <w:tc>
          <w:tcPr>
            <w:tcW w:w="834" w:type="pct"/>
            <w:noWrap/>
            <w:hideMark/>
          </w:tcPr>
          <w:p w14:paraId="11C7068C" w14:textId="77777777" w:rsidR="006D7571" w:rsidRPr="000557CC" w:rsidRDefault="006D7571" w:rsidP="00E90058">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933</w:t>
            </w:r>
          </w:p>
        </w:tc>
        <w:tc>
          <w:tcPr>
            <w:cnfStyle w:val="000001000000" w:firstRow="0" w:lastRow="0" w:firstColumn="0" w:lastColumn="0" w:oddVBand="0" w:evenVBand="1" w:oddHBand="0" w:evenHBand="0" w:firstRowFirstColumn="0" w:firstRowLastColumn="0" w:lastRowFirstColumn="0" w:lastRowLastColumn="0"/>
            <w:tcW w:w="834" w:type="pct"/>
            <w:noWrap/>
            <w:hideMark/>
          </w:tcPr>
          <w:p w14:paraId="1B52F3B7" w14:textId="77777777" w:rsidR="006D7571" w:rsidRPr="000557CC" w:rsidRDefault="006D7571" w:rsidP="00E90058">
            <w:pPr>
              <w:pStyle w:val="ARtabletextrightbold"/>
              <w:rPr>
                <w:lang w:eastAsia="en-AU"/>
              </w:rPr>
            </w:pPr>
            <w:r w:rsidRPr="000557CC">
              <w:rPr>
                <w:lang w:eastAsia="en-AU"/>
              </w:rPr>
              <w:t>714.8</w:t>
            </w:r>
          </w:p>
        </w:tc>
      </w:tr>
    </w:tbl>
    <w:p w14:paraId="6E8A1848" w14:textId="77777777" w:rsidR="006D7571" w:rsidRPr="000557CC" w:rsidRDefault="006D7571" w:rsidP="00E90058">
      <w:pPr>
        <w:pStyle w:val="Heading4"/>
      </w:pPr>
      <w:r w:rsidRPr="000557CC">
        <w:t>Housing Services</w:t>
      </w:r>
    </w:p>
    <w:p w14:paraId="42D2788B" w14:textId="77777777" w:rsidR="006D7571" w:rsidRPr="006D7571" w:rsidRDefault="006D7571" w:rsidP="00965115">
      <w:pPr>
        <w:pStyle w:val="ARTablecaption"/>
        <w:spacing w:before="0"/>
        <w:rPr>
          <w:rFonts w:eastAsia="MS PGothic"/>
          <w:bCs/>
        </w:rPr>
      </w:pPr>
      <w:r w:rsidRPr="000557CC">
        <w:rPr>
          <w:rFonts w:eastAsia="MS PGothic"/>
          <w:lang w:eastAsia="en-AU"/>
        </w:rPr>
        <w:t>EL1 Total electricity consumption</w:t>
      </w:r>
    </w:p>
    <w:tbl>
      <w:tblPr>
        <w:tblStyle w:val="ARtable1"/>
        <w:tblW w:w="5000" w:type="pct"/>
        <w:tblLook w:val="02E0" w:firstRow="1" w:lastRow="1" w:firstColumn="1" w:lastColumn="0" w:noHBand="1" w:noVBand="0"/>
      </w:tblPr>
      <w:tblGrid>
        <w:gridCol w:w="4818"/>
        <w:gridCol w:w="1604"/>
        <w:gridCol w:w="1604"/>
        <w:gridCol w:w="1602"/>
      </w:tblGrid>
      <w:tr w:rsidR="006D7571" w:rsidRPr="000557CC" w14:paraId="10DEC8C5" w14:textId="77777777" w:rsidTr="009F3BE7">
        <w:trPr>
          <w:cnfStyle w:val="100000000000" w:firstRow="1" w:lastRow="0" w:firstColumn="0" w:lastColumn="0" w:oddVBand="0" w:evenVBand="0" w:oddHBand="0" w:evenHBand="0" w:firstRowFirstColumn="0" w:firstRowLastColumn="0" w:lastRowFirstColumn="0" w:lastRowLastColumn="0"/>
          <w:tblHeader/>
        </w:trPr>
        <w:tc>
          <w:tcPr>
            <w:tcW w:w="2502" w:type="pct"/>
            <w:noWrap/>
            <w:hideMark/>
          </w:tcPr>
          <w:p w14:paraId="1F67460A" w14:textId="77777777" w:rsidR="006D7571" w:rsidRPr="000557CC" w:rsidRDefault="006D7571" w:rsidP="00E90058">
            <w:pPr>
              <w:pStyle w:val="ARtablecolhead"/>
              <w:rPr>
                <w:lang w:eastAsia="en-AU"/>
              </w:rPr>
            </w:pPr>
            <w:r w:rsidRPr="000557CC">
              <w:rPr>
                <w:lang w:eastAsia="en-AU"/>
              </w:rPr>
              <w:t>Indicator</w:t>
            </w:r>
          </w:p>
        </w:tc>
        <w:tc>
          <w:tcPr>
            <w:cnfStyle w:val="000001000000" w:firstRow="0" w:lastRow="0" w:firstColumn="0" w:lastColumn="0" w:oddVBand="0" w:evenVBand="1" w:oddHBand="0" w:evenHBand="0" w:firstRowFirstColumn="0" w:firstRowLastColumn="0" w:lastRowFirstColumn="0" w:lastRowLastColumn="0"/>
            <w:tcW w:w="833" w:type="pct"/>
            <w:noWrap/>
            <w:hideMark/>
          </w:tcPr>
          <w:p w14:paraId="57F6A36E" w14:textId="77777777" w:rsidR="006D7571" w:rsidRPr="000557CC" w:rsidRDefault="006D7571" w:rsidP="00E90058">
            <w:pPr>
              <w:pStyle w:val="ARtablecolheadright"/>
              <w:rPr>
                <w:lang w:eastAsia="en-AU"/>
              </w:rPr>
            </w:pPr>
            <w:r w:rsidRPr="000557CC">
              <w:rPr>
                <w:lang w:eastAsia="en-AU"/>
              </w:rPr>
              <w:t>2025–26</w:t>
            </w:r>
          </w:p>
          <w:p w14:paraId="2BE89CD6" w14:textId="77777777" w:rsidR="006D7571" w:rsidRPr="000557CC" w:rsidRDefault="006D7571" w:rsidP="00E90058">
            <w:pPr>
              <w:pStyle w:val="ARtablecolheadright"/>
              <w:rPr>
                <w:lang w:eastAsia="en-AU"/>
              </w:rPr>
            </w:pPr>
            <w:r w:rsidRPr="000557CC">
              <w:rPr>
                <w:lang w:eastAsia="en-AU"/>
              </w:rPr>
              <w:t>MWh</w:t>
            </w:r>
          </w:p>
        </w:tc>
        <w:tc>
          <w:tcPr>
            <w:tcW w:w="833" w:type="pct"/>
            <w:noWrap/>
            <w:hideMark/>
          </w:tcPr>
          <w:p w14:paraId="15D58A79" w14:textId="77777777" w:rsidR="006D7571" w:rsidRPr="000557CC" w:rsidRDefault="006D7571" w:rsidP="00E90058">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3C2DF76F" w14:textId="77777777" w:rsidR="006D7571" w:rsidRPr="000557CC" w:rsidRDefault="006D7571" w:rsidP="00E90058">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MWh</w:t>
            </w:r>
          </w:p>
        </w:tc>
        <w:tc>
          <w:tcPr>
            <w:cnfStyle w:val="000001000000" w:firstRow="0" w:lastRow="0" w:firstColumn="0" w:lastColumn="0" w:oddVBand="0" w:evenVBand="1" w:oddHBand="0" w:evenHBand="0" w:firstRowFirstColumn="0" w:firstRowLastColumn="0" w:lastRowFirstColumn="0" w:lastRowLastColumn="0"/>
            <w:tcW w:w="833" w:type="pct"/>
            <w:noWrap/>
            <w:hideMark/>
          </w:tcPr>
          <w:p w14:paraId="4A7A2EFF" w14:textId="77777777" w:rsidR="006D7571" w:rsidRPr="000557CC" w:rsidRDefault="006D7571" w:rsidP="00E90058">
            <w:pPr>
              <w:pStyle w:val="ARtablecolheadright"/>
              <w:rPr>
                <w:lang w:eastAsia="en-AU"/>
              </w:rPr>
            </w:pPr>
            <w:r w:rsidRPr="000557CC">
              <w:rPr>
                <w:lang w:eastAsia="en-AU"/>
              </w:rPr>
              <w:t>2023–24</w:t>
            </w:r>
          </w:p>
          <w:p w14:paraId="4C69C607" w14:textId="77777777" w:rsidR="006D7571" w:rsidRPr="000557CC" w:rsidRDefault="006D7571" w:rsidP="00E90058">
            <w:pPr>
              <w:pStyle w:val="ARtablecolheadright"/>
              <w:rPr>
                <w:lang w:eastAsia="en-AU"/>
              </w:rPr>
            </w:pPr>
            <w:r w:rsidRPr="000557CC">
              <w:rPr>
                <w:lang w:eastAsia="en-AU"/>
              </w:rPr>
              <w:t>MWh</w:t>
            </w:r>
          </w:p>
        </w:tc>
      </w:tr>
      <w:tr w:rsidR="006D7571" w:rsidRPr="000557CC" w14:paraId="0650093D" w14:textId="77777777" w:rsidTr="009F3BE7">
        <w:tc>
          <w:tcPr>
            <w:tcW w:w="2502" w:type="pct"/>
            <w:noWrap/>
            <w:hideMark/>
          </w:tcPr>
          <w:p w14:paraId="4DC8F952" w14:textId="107A095A" w:rsidR="006D7571" w:rsidRPr="000557CC" w:rsidRDefault="006D7571" w:rsidP="00E90058">
            <w:pPr>
              <w:pStyle w:val="ARTabletext"/>
              <w:rPr>
                <w:color w:val="000000"/>
                <w:lang w:eastAsia="en-AU"/>
              </w:rPr>
            </w:pPr>
            <w:r w:rsidRPr="000557CC">
              <w:rPr>
                <w:lang w:eastAsia="en-AU"/>
              </w:rPr>
              <w:t>Purchased electricity – consolidated</w:t>
            </w:r>
            <w:r w:rsidRPr="000557CC">
              <w:rPr>
                <w:vertAlign w:val="superscript"/>
                <w:lang w:eastAsia="en-AU"/>
              </w:rPr>
              <w:footnoteReference w:id="30"/>
            </w:r>
          </w:p>
        </w:tc>
        <w:tc>
          <w:tcPr>
            <w:cnfStyle w:val="000001000000" w:firstRow="0" w:lastRow="0" w:firstColumn="0" w:lastColumn="0" w:oddVBand="0" w:evenVBand="1" w:oddHBand="0" w:evenHBand="0" w:firstRowFirstColumn="0" w:firstRowLastColumn="0" w:lastRowFirstColumn="0" w:lastRowLastColumn="0"/>
            <w:tcW w:w="833" w:type="pct"/>
            <w:noWrap/>
          </w:tcPr>
          <w:p w14:paraId="32118AC4" w14:textId="77777777" w:rsidR="006D7571" w:rsidRPr="000557CC" w:rsidRDefault="006D7571" w:rsidP="00E90058">
            <w:pPr>
              <w:pStyle w:val="ARtabletextright"/>
              <w:rPr>
                <w:lang w:eastAsia="en-AU"/>
              </w:rPr>
            </w:pPr>
            <w:r w:rsidRPr="000557CC">
              <w:rPr>
                <w:lang w:eastAsia="en-AU"/>
              </w:rPr>
              <w:t>21,061.3</w:t>
            </w:r>
          </w:p>
        </w:tc>
        <w:tc>
          <w:tcPr>
            <w:tcW w:w="833" w:type="pct"/>
            <w:noWrap/>
          </w:tcPr>
          <w:p w14:paraId="66056215" w14:textId="77777777" w:rsidR="006D7571" w:rsidRPr="000557CC" w:rsidRDefault="006D7571" w:rsidP="00E90058">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19,909.7</w:t>
            </w:r>
          </w:p>
        </w:tc>
        <w:tc>
          <w:tcPr>
            <w:cnfStyle w:val="000001000000" w:firstRow="0" w:lastRow="0" w:firstColumn="0" w:lastColumn="0" w:oddVBand="0" w:evenVBand="1" w:oddHBand="0" w:evenHBand="0" w:firstRowFirstColumn="0" w:firstRowLastColumn="0" w:lastRowFirstColumn="0" w:lastRowLastColumn="0"/>
            <w:tcW w:w="833" w:type="pct"/>
            <w:noWrap/>
            <w:hideMark/>
          </w:tcPr>
          <w:p w14:paraId="7790BA82" w14:textId="77777777" w:rsidR="006D7571" w:rsidRPr="000557CC" w:rsidRDefault="006D7571" w:rsidP="00E90058">
            <w:pPr>
              <w:pStyle w:val="ARtabletextright"/>
              <w:rPr>
                <w:lang w:eastAsia="en-AU"/>
              </w:rPr>
            </w:pPr>
            <w:r w:rsidRPr="000557CC">
              <w:rPr>
                <w:lang w:eastAsia="en-AU"/>
              </w:rPr>
              <w:t>22,676.2</w:t>
            </w:r>
          </w:p>
        </w:tc>
      </w:tr>
      <w:tr w:rsidR="006D7571" w:rsidRPr="000557CC" w14:paraId="3E5E4065" w14:textId="77777777" w:rsidTr="009F3BE7">
        <w:trPr>
          <w:trHeight w:val="288"/>
        </w:trPr>
        <w:tc>
          <w:tcPr>
            <w:tcW w:w="2502" w:type="pct"/>
            <w:noWrap/>
            <w:hideMark/>
          </w:tcPr>
          <w:p w14:paraId="477F0DF3" w14:textId="77777777" w:rsidR="006D7571" w:rsidRPr="000557CC" w:rsidRDefault="006D7571" w:rsidP="00E90058">
            <w:pPr>
              <w:pStyle w:val="ARTabletext"/>
              <w:rPr>
                <w:color w:val="000000"/>
                <w:lang w:eastAsia="en-AU"/>
              </w:rPr>
            </w:pPr>
            <w:r w:rsidRPr="000557CC">
              <w:rPr>
                <w:lang w:eastAsia="en-AU"/>
              </w:rPr>
              <w:t>Self-generated</w:t>
            </w:r>
          </w:p>
        </w:tc>
        <w:tc>
          <w:tcPr>
            <w:cnfStyle w:val="000001000000" w:firstRow="0" w:lastRow="0" w:firstColumn="0" w:lastColumn="0" w:oddVBand="0" w:evenVBand="1" w:oddHBand="0" w:evenHBand="0" w:firstRowFirstColumn="0" w:firstRowLastColumn="0" w:lastRowFirstColumn="0" w:lastRowLastColumn="0"/>
            <w:tcW w:w="833" w:type="pct"/>
            <w:noWrap/>
          </w:tcPr>
          <w:p w14:paraId="7047043B" w14:textId="77777777" w:rsidR="006D7571" w:rsidRPr="000557CC" w:rsidRDefault="006D7571" w:rsidP="00E90058">
            <w:pPr>
              <w:pStyle w:val="ARtabletextright"/>
              <w:rPr>
                <w:lang w:eastAsia="en-AU"/>
              </w:rPr>
            </w:pPr>
            <w:r w:rsidRPr="000557CC">
              <w:rPr>
                <w:lang w:eastAsia="en-AU"/>
              </w:rPr>
              <w:t>975.9</w:t>
            </w:r>
          </w:p>
        </w:tc>
        <w:tc>
          <w:tcPr>
            <w:tcW w:w="833" w:type="pct"/>
            <w:noWrap/>
          </w:tcPr>
          <w:p w14:paraId="6F7A4D48" w14:textId="77777777" w:rsidR="006D7571" w:rsidRPr="000557CC" w:rsidRDefault="006D7571" w:rsidP="00E90058">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344.2</w:t>
            </w:r>
          </w:p>
        </w:tc>
        <w:tc>
          <w:tcPr>
            <w:cnfStyle w:val="000001000000" w:firstRow="0" w:lastRow="0" w:firstColumn="0" w:lastColumn="0" w:oddVBand="0" w:evenVBand="1" w:oddHBand="0" w:evenHBand="0" w:firstRowFirstColumn="0" w:firstRowLastColumn="0" w:lastRowFirstColumn="0" w:lastRowLastColumn="0"/>
            <w:tcW w:w="833" w:type="pct"/>
            <w:noWrap/>
            <w:hideMark/>
          </w:tcPr>
          <w:p w14:paraId="41F3BB1E" w14:textId="77777777" w:rsidR="006D7571" w:rsidRPr="000557CC" w:rsidRDefault="006D7571" w:rsidP="00E90058">
            <w:pPr>
              <w:pStyle w:val="ARtabletextright"/>
              <w:rPr>
                <w:lang w:eastAsia="en-AU"/>
              </w:rPr>
            </w:pPr>
            <w:r w:rsidRPr="000557CC">
              <w:rPr>
                <w:lang w:eastAsia="en-AU"/>
              </w:rPr>
              <w:t>220.0</w:t>
            </w:r>
          </w:p>
        </w:tc>
      </w:tr>
      <w:tr w:rsidR="006D7571" w:rsidRPr="000557CC" w14:paraId="5FA38E38" w14:textId="77777777" w:rsidTr="009F3BE7">
        <w:trPr>
          <w:cnfStyle w:val="010000000000" w:firstRow="0" w:lastRow="1" w:firstColumn="0" w:lastColumn="0" w:oddVBand="0" w:evenVBand="0" w:oddHBand="0" w:evenHBand="0" w:firstRowFirstColumn="0" w:firstRowLastColumn="0" w:lastRowFirstColumn="0" w:lastRowLastColumn="0"/>
          <w:trHeight w:val="288"/>
        </w:trPr>
        <w:tc>
          <w:tcPr>
            <w:tcW w:w="2502" w:type="pct"/>
            <w:noWrap/>
            <w:hideMark/>
          </w:tcPr>
          <w:p w14:paraId="40D93C02" w14:textId="77777777" w:rsidR="006D7571" w:rsidRPr="000557CC" w:rsidRDefault="006D7571" w:rsidP="00E90058">
            <w:pPr>
              <w:pStyle w:val="ARtabletextbold"/>
              <w:rPr>
                <w:lang w:eastAsia="en-AU"/>
              </w:rPr>
            </w:pPr>
            <w:r w:rsidRPr="000557CC">
              <w:rPr>
                <w:lang w:eastAsia="en-AU"/>
              </w:rPr>
              <w:t>EL1 Total electricity consumption</w:t>
            </w:r>
          </w:p>
        </w:tc>
        <w:tc>
          <w:tcPr>
            <w:cnfStyle w:val="000001000000" w:firstRow="0" w:lastRow="0" w:firstColumn="0" w:lastColumn="0" w:oddVBand="0" w:evenVBand="1" w:oddHBand="0" w:evenHBand="0" w:firstRowFirstColumn="0" w:firstRowLastColumn="0" w:lastRowFirstColumn="0" w:lastRowLastColumn="0"/>
            <w:tcW w:w="833" w:type="pct"/>
            <w:noWrap/>
          </w:tcPr>
          <w:p w14:paraId="68DFDFFB" w14:textId="3BAE6019" w:rsidR="006D7571" w:rsidRPr="000557CC" w:rsidRDefault="00A55630" w:rsidP="00E90058">
            <w:pPr>
              <w:pStyle w:val="ARtabletextrightbold"/>
              <w:rPr>
                <w:lang w:eastAsia="en-AU"/>
              </w:rPr>
            </w:pPr>
            <w:r>
              <w:rPr>
                <w:lang w:eastAsia="en-AU"/>
              </w:rPr>
              <w:t>2</w:t>
            </w:r>
            <w:r w:rsidR="000557CC" w:rsidRPr="000557CC">
              <w:rPr>
                <w:lang w:eastAsia="en-AU"/>
              </w:rPr>
              <w:t>2</w:t>
            </w:r>
            <w:r w:rsidR="006D7571" w:rsidRPr="000557CC">
              <w:rPr>
                <w:lang w:eastAsia="en-AU"/>
              </w:rPr>
              <w:t>,037.2</w:t>
            </w:r>
          </w:p>
        </w:tc>
        <w:tc>
          <w:tcPr>
            <w:tcW w:w="833" w:type="pct"/>
            <w:noWrap/>
          </w:tcPr>
          <w:p w14:paraId="6FA0966B" w14:textId="77777777" w:rsidR="006D7571" w:rsidRPr="000557CC" w:rsidRDefault="006D7571" w:rsidP="00E90058">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20,253.9</w:t>
            </w:r>
          </w:p>
        </w:tc>
        <w:tc>
          <w:tcPr>
            <w:cnfStyle w:val="000001000000" w:firstRow="0" w:lastRow="0" w:firstColumn="0" w:lastColumn="0" w:oddVBand="0" w:evenVBand="1" w:oddHBand="0" w:evenHBand="0" w:firstRowFirstColumn="0" w:firstRowLastColumn="0" w:lastRowFirstColumn="0" w:lastRowLastColumn="0"/>
            <w:tcW w:w="833" w:type="pct"/>
            <w:noWrap/>
            <w:hideMark/>
          </w:tcPr>
          <w:p w14:paraId="7EB778D5" w14:textId="77777777" w:rsidR="006D7571" w:rsidRPr="000557CC" w:rsidRDefault="006D7571" w:rsidP="00E90058">
            <w:pPr>
              <w:pStyle w:val="ARtabletextrightbold"/>
              <w:rPr>
                <w:lang w:eastAsia="en-AU"/>
              </w:rPr>
            </w:pPr>
            <w:r w:rsidRPr="000557CC">
              <w:rPr>
                <w:lang w:eastAsia="en-AU"/>
              </w:rPr>
              <w:t>22,896.2</w:t>
            </w:r>
          </w:p>
        </w:tc>
      </w:tr>
    </w:tbl>
    <w:p w14:paraId="2093EA83" w14:textId="77777777" w:rsidR="006D7571" w:rsidRPr="000557CC" w:rsidRDefault="006D7571" w:rsidP="00E90058">
      <w:pPr>
        <w:pStyle w:val="ARTablecaption"/>
        <w:rPr>
          <w:rFonts w:eastAsia="MS PGothic"/>
        </w:rPr>
      </w:pPr>
      <w:r w:rsidRPr="000557CC">
        <w:rPr>
          <w:rFonts w:eastAsia="MS PGothic"/>
        </w:rPr>
        <w:t>EL2 On-site electricity generated</w:t>
      </w:r>
    </w:p>
    <w:tbl>
      <w:tblPr>
        <w:tblStyle w:val="ARtable1"/>
        <w:tblW w:w="5000" w:type="pct"/>
        <w:tblLook w:val="02E0" w:firstRow="1" w:lastRow="1" w:firstColumn="1" w:lastColumn="0" w:noHBand="1" w:noVBand="0"/>
      </w:tblPr>
      <w:tblGrid>
        <w:gridCol w:w="4818"/>
        <w:gridCol w:w="1604"/>
        <w:gridCol w:w="1604"/>
        <w:gridCol w:w="1602"/>
      </w:tblGrid>
      <w:tr w:rsidR="006D7571" w:rsidRPr="000557CC" w14:paraId="77855DE2" w14:textId="77777777" w:rsidTr="009F3BE7">
        <w:trPr>
          <w:cnfStyle w:val="100000000000" w:firstRow="1" w:lastRow="0" w:firstColumn="0" w:lastColumn="0" w:oddVBand="0" w:evenVBand="0" w:oddHBand="0" w:evenHBand="0" w:firstRowFirstColumn="0" w:firstRowLastColumn="0" w:lastRowFirstColumn="0" w:lastRowLastColumn="0"/>
          <w:trHeight w:val="288"/>
          <w:tblHeader/>
        </w:trPr>
        <w:tc>
          <w:tcPr>
            <w:tcW w:w="2502" w:type="pct"/>
            <w:noWrap/>
          </w:tcPr>
          <w:p w14:paraId="65987A34" w14:textId="77777777" w:rsidR="006D7571" w:rsidRPr="000557CC" w:rsidRDefault="006D7571" w:rsidP="00E90058">
            <w:pPr>
              <w:pStyle w:val="ARtablecolhead"/>
              <w:rPr>
                <w:lang w:eastAsia="en-AU"/>
              </w:rPr>
            </w:pPr>
            <w:r w:rsidRPr="000557CC">
              <w:rPr>
                <w:lang w:eastAsia="en-AU"/>
              </w:rPr>
              <w:t>Indicator</w:t>
            </w:r>
          </w:p>
        </w:tc>
        <w:tc>
          <w:tcPr>
            <w:cnfStyle w:val="000001000000" w:firstRow="0" w:lastRow="0" w:firstColumn="0" w:lastColumn="0" w:oddVBand="0" w:evenVBand="1" w:oddHBand="0" w:evenHBand="0" w:firstRowFirstColumn="0" w:firstRowLastColumn="0" w:lastRowFirstColumn="0" w:lastRowLastColumn="0"/>
            <w:tcW w:w="833" w:type="pct"/>
            <w:noWrap/>
          </w:tcPr>
          <w:p w14:paraId="25951C32" w14:textId="77777777" w:rsidR="006D7571" w:rsidRPr="000557CC" w:rsidRDefault="006D7571" w:rsidP="00E90058">
            <w:pPr>
              <w:pStyle w:val="ARtablecolheadright"/>
              <w:rPr>
                <w:lang w:eastAsia="en-AU"/>
              </w:rPr>
            </w:pPr>
            <w:r w:rsidRPr="000557CC">
              <w:rPr>
                <w:lang w:eastAsia="en-AU"/>
              </w:rPr>
              <w:t>2025–26</w:t>
            </w:r>
          </w:p>
          <w:p w14:paraId="646774F1" w14:textId="77777777" w:rsidR="006D7571" w:rsidRPr="000557CC" w:rsidRDefault="006D7571" w:rsidP="00E90058">
            <w:pPr>
              <w:pStyle w:val="ARtablecolheadright"/>
              <w:rPr>
                <w:lang w:eastAsia="en-AU"/>
              </w:rPr>
            </w:pPr>
            <w:r w:rsidRPr="000557CC">
              <w:rPr>
                <w:lang w:eastAsia="en-AU"/>
              </w:rPr>
              <w:t>MWh</w:t>
            </w:r>
          </w:p>
        </w:tc>
        <w:tc>
          <w:tcPr>
            <w:tcW w:w="833" w:type="pct"/>
            <w:noWrap/>
          </w:tcPr>
          <w:p w14:paraId="6FFE2607" w14:textId="77777777" w:rsidR="006D7571" w:rsidRPr="000557CC" w:rsidRDefault="006D7571" w:rsidP="00E90058">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0405CAA4" w14:textId="77777777" w:rsidR="006D7571" w:rsidRPr="000557CC" w:rsidRDefault="006D7571" w:rsidP="00E90058">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MWh</w:t>
            </w:r>
          </w:p>
        </w:tc>
        <w:tc>
          <w:tcPr>
            <w:cnfStyle w:val="000001000000" w:firstRow="0" w:lastRow="0" w:firstColumn="0" w:lastColumn="0" w:oddVBand="0" w:evenVBand="1" w:oddHBand="0" w:evenHBand="0" w:firstRowFirstColumn="0" w:firstRowLastColumn="0" w:lastRowFirstColumn="0" w:lastRowLastColumn="0"/>
            <w:tcW w:w="832" w:type="pct"/>
            <w:noWrap/>
          </w:tcPr>
          <w:p w14:paraId="6D3B9EDC" w14:textId="77777777" w:rsidR="006D7571" w:rsidRPr="000557CC" w:rsidRDefault="006D7571" w:rsidP="00E90058">
            <w:pPr>
              <w:pStyle w:val="ARtablecolheadright"/>
              <w:rPr>
                <w:lang w:eastAsia="en-AU"/>
              </w:rPr>
            </w:pPr>
            <w:r w:rsidRPr="000557CC">
              <w:rPr>
                <w:lang w:eastAsia="en-AU"/>
              </w:rPr>
              <w:t>2023–24</w:t>
            </w:r>
          </w:p>
          <w:p w14:paraId="234A6159" w14:textId="77777777" w:rsidR="006D7571" w:rsidRPr="000557CC" w:rsidRDefault="006D7571" w:rsidP="00E90058">
            <w:pPr>
              <w:pStyle w:val="ARtablecolheadright"/>
              <w:rPr>
                <w:lang w:eastAsia="en-AU"/>
              </w:rPr>
            </w:pPr>
            <w:r w:rsidRPr="000557CC">
              <w:rPr>
                <w:lang w:eastAsia="en-AU"/>
              </w:rPr>
              <w:t>MWh</w:t>
            </w:r>
          </w:p>
        </w:tc>
      </w:tr>
      <w:tr w:rsidR="004D01FA" w:rsidRPr="000557CC" w14:paraId="647B438B" w14:textId="77777777" w:rsidTr="004D01FA">
        <w:trPr>
          <w:trHeight w:val="288"/>
        </w:trPr>
        <w:tc>
          <w:tcPr>
            <w:tcW w:w="2502" w:type="pct"/>
            <w:noWrap/>
          </w:tcPr>
          <w:p w14:paraId="152CDCB0" w14:textId="67DB1D2A" w:rsidR="004D01FA" w:rsidRPr="000557CC" w:rsidRDefault="004D01FA" w:rsidP="004D01FA">
            <w:pPr>
              <w:pStyle w:val="ARTabletextboldcoloured"/>
              <w:rPr>
                <w:lang w:eastAsia="en-AU"/>
              </w:rPr>
            </w:pPr>
            <w:r w:rsidRPr="000557CC">
              <w:rPr>
                <w:lang w:eastAsia="en-AU"/>
              </w:rPr>
              <w:t>Solar PV</w:t>
            </w:r>
          </w:p>
        </w:tc>
        <w:tc>
          <w:tcPr>
            <w:cnfStyle w:val="000001000000" w:firstRow="0" w:lastRow="0" w:firstColumn="0" w:lastColumn="0" w:oddVBand="0" w:evenVBand="1" w:oddHBand="0" w:evenHBand="0" w:firstRowFirstColumn="0" w:firstRowLastColumn="0" w:lastRowFirstColumn="0" w:lastRowLastColumn="0"/>
            <w:tcW w:w="833" w:type="pct"/>
            <w:shd w:val="clear" w:color="auto" w:fill="auto"/>
            <w:noWrap/>
          </w:tcPr>
          <w:p w14:paraId="751AFD9D" w14:textId="77777777" w:rsidR="004D01FA" w:rsidRPr="000557CC" w:rsidRDefault="004D01FA" w:rsidP="00E90058">
            <w:pPr>
              <w:pStyle w:val="ARtabletextright"/>
              <w:rPr>
                <w:lang w:eastAsia="en-AU"/>
              </w:rPr>
            </w:pPr>
          </w:p>
        </w:tc>
        <w:tc>
          <w:tcPr>
            <w:tcW w:w="833" w:type="pct"/>
            <w:noWrap/>
          </w:tcPr>
          <w:p w14:paraId="27805A49" w14:textId="77777777" w:rsidR="004D01FA" w:rsidRPr="000557CC" w:rsidRDefault="004D01FA" w:rsidP="00E90058">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832" w:type="pct"/>
            <w:shd w:val="clear" w:color="auto" w:fill="auto"/>
            <w:noWrap/>
          </w:tcPr>
          <w:p w14:paraId="02146BE1" w14:textId="77777777" w:rsidR="004D01FA" w:rsidRPr="000557CC" w:rsidRDefault="004D01FA" w:rsidP="00E90058">
            <w:pPr>
              <w:pStyle w:val="ARtabletextright"/>
              <w:rPr>
                <w:szCs w:val="17"/>
                <w:lang w:eastAsia="en-AU"/>
              </w:rPr>
            </w:pPr>
          </w:p>
        </w:tc>
      </w:tr>
      <w:tr w:rsidR="006D7571" w:rsidRPr="000557CC" w14:paraId="36E16F84" w14:textId="77777777" w:rsidTr="004D01FA">
        <w:trPr>
          <w:trHeight w:val="288"/>
        </w:trPr>
        <w:tc>
          <w:tcPr>
            <w:tcW w:w="2502" w:type="pct"/>
            <w:noWrap/>
            <w:hideMark/>
          </w:tcPr>
          <w:p w14:paraId="538C93D6" w14:textId="34C5838F" w:rsidR="006D7571" w:rsidRPr="000557CC" w:rsidRDefault="006D7571" w:rsidP="00E90058">
            <w:pPr>
              <w:pStyle w:val="ARTabletext"/>
              <w:rPr>
                <w:vertAlign w:val="superscript"/>
                <w:lang w:eastAsia="en-AU"/>
              </w:rPr>
            </w:pPr>
            <w:r w:rsidRPr="000557CC">
              <w:rPr>
                <w:lang w:eastAsia="en-AU"/>
              </w:rPr>
              <w:t>Consumption behind-the-meter</w:t>
            </w:r>
            <w:r w:rsidRPr="000557CC">
              <w:rPr>
                <w:vertAlign w:val="superscript"/>
                <w:lang w:eastAsia="en-AU"/>
              </w:rPr>
              <w:footnoteReference w:id="31"/>
            </w:r>
          </w:p>
        </w:tc>
        <w:tc>
          <w:tcPr>
            <w:cnfStyle w:val="000001000000" w:firstRow="0" w:lastRow="0" w:firstColumn="0" w:lastColumn="0" w:oddVBand="0" w:evenVBand="1" w:oddHBand="0" w:evenHBand="0" w:firstRowFirstColumn="0" w:firstRowLastColumn="0" w:lastRowFirstColumn="0" w:lastRowLastColumn="0"/>
            <w:tcW w:w="833" w:type="pct"/>
            <w:noWrap/>
          </w:tcPr>
          <w:p w14:paraId="53105820" w14:textId="77777777" w:rsidR="006D7571" w:rsidRPr="000557CC" w:rsidRDefault="006D7571" w:rsidP="00E90058">
            <w:pPr>
              <w:pStyle w:val="ARtabletextright"/>
              <w:rPr>
                <w:lang w:eastAsia="en-AU"/>
              </w:rPr>
            </w:pPr>
            <w:r w:rsidRPr="000557CC">
              <w:rPr>
                <w:lang w:eastAsia="en-AU"/>
              </w:rPr>
              <w:t>975.9</w:t>
            </w:r>
          </w:p>
        </w:tc>
        <w:tc>
          <w:tcPr>
            <w:tcW w:w="833" w:type="pct"/>
            <w:noWrap/>
          </w:tcPr>
          <w:p w14:paraId="3511A63B" w14:textId="77777777" w:rsidR="006D7571" w:rsidRPr="000557CC" w:rsidRDefault="006D7571" w:rsidP="00E90058">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344.2</w:t>
            </w:r>
          </w:p>
        </w:tc>
        <w:tc>
          <w:tcPr>
            <w:cnfStyle w:val="000001000000" w:firstRow="0" w:lastRow="0" w:firstColumn="0" w:lastColumn="0" w:oddVBand="0" w:evenVBand="1" w:oddHBand="0" w:evenHBand="0" w:firstRowFirstColumn="0" w:firstRowLastColumn="0" w:lastRowFirstColumn="0" w:lastRowLastColumn="0"/>
            <w:tcW w:w="832" w:type="pct"/>
            <w:noWrap/>
            <w:hideMark/>
          </w:tcPr>
          <w:p w14:paraId="012300C6" w14:textId="77777777" w:rsidR="006D7571" w:rsidRPr="000557CC" w:rsidRDefault="006D7571" w:rsidP="00E90058">
            <w:pPr>
              <w:pStyle w:val="ARtabletextright"/>
              <w:rPr>
                <w:lang w:eastAsia="en-AU"/>
              </w:rPr>
            </w:pPr>
            <w:r w:rsidRPr="000557CC">
              <w:rPr>
                <w:szCs w:val="17"/>
                <w:lang w:eastAsia="en-AU"/>
              </w:rPr>
              <w:t>220.0</w:t>
            </w:r>
          </w:p>
        </w:tc>
      </w:tr>
      <w:tr w:rsidR="006D7571" w:rsidRPr="000557CC" w14:paraId="36F90461" w14:textId="77777777" w:rsidTr="004D01FA">
        <w:trPr>
          <w:trHeight w:val="288"/>
        </w:trPr>
        <w:tc>
          <w:tcPr>
            <w:tcW w:w="2502" w:type="pct"/>
            <w:noWrap/>
            <w:hideMark/>
          </w:tcPr>
          <w:p w14:paraId="017FEEA7" w14:textId="77777777" w:rsidR="006D7571" w:rsidRPr="000557CC" w:rsidRDefault="006D7571" w:rsidP="00E90058">
            <w:pPr>
              <w:pStyle w:val="ARTabletext"/>
              <w:rPr>
                <w:lang w:eastAsia="en-AU"/>
              </w:rPr>
            </w:pPr>
            <w:r w:rsidRPr="000557CC">
              <w:rPr>
                <w:lang w:eastAsia="en-AU"/>
              </w:rPr>
              <w:t>Exports</w:t>
            </w:r>
          </w:p>
        </w:tc>
        <w:tc>
          <w:tcPr>
            <w:cnfStyle w:val="000001000000" w:firstRow="0" w:lastRow="0" w:firstColumn="0" w:lastColumn="0" w:oddVBand="0" w:evenVBand="1" w:oddHBand="0" w:evenHBand="0" w:firstRowFirstColumn="0" w:firstRowLastColumn="0" w:lastRowFirstColumn="0" w:lastRowLastColumn="0"/>
            <w:tcW w:w="833" w:type="pct"/>
            <w:noWrap/>
          </w:tcPr>
          <w:p w14:paraId="23F3377D" w14:textId="77777777" w:rsidR="006D7571" w:rsidRPr="000557CC" w:rsidRDefault="006D7571" w:rsidP="00E90058">
            <w:pPr>
              <w:pStyle w:val="ARtabletextright"/>
              <w:rPr>
                <w:lang w:eastAsia="en-AU"/>
              </w:rPr>
            </w:pPr>
            <w:r w:rsidRPr="000557CC">
              <w:rPr>
                <w:lang w:eastAsia="en-AU"/>
              </w:rPr>
              <w:t>55.0</w:t>
            </w:r>
          </w:p>
        </w:tc>
        <w:tc>
          <w:tcPr>
            <w:tcW w:w="833" w:type="pct"/>
            <w:noWrap/>
          </w:tcPr>
          <w:p w14:paraId="44A48071" w14:textId="77777777" w:rsidR="006D7571" w:rsidRPr="000557CC" w:rsidRDefault="006D7571" w:rsidP="00E90058">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66.8</w:t>
            </w:r>
          </w:p>
        </w:tc>
        <w:tc>
          <w:tcPr>
            <w:cnfStyle w:val="000001000000" w:firstRow="0" w:lastRow="0" w:firstColumn="0" w:lastColumn="0" w:oddVBand="0" w:evenVBand="1" w:oddHBand="0" w:evenHBand="0" w:firstRowFirstColumn="0" w:firstRowLastColumn="0" w:lastRowFirstColumn="0" w:lastRowLastColumn="0"/>
            <w:tcW w:w="832" w:type="pct"/>
            <w:noWrap/>
            <w:hideMark/>
          </w:tcPr>
          <w:p w14:paraId="75E03FB5" w14:textId="77777777" w:rsidR="006D7571" w:rsidRPr="000557CC" w:rsidRDefault="006D7571" w:rsidP="00E90058">
            <w:pPr>
              <w:pStyle w:val="ARtabletextright"/>
              <w:rPr>
                <w:lang w:eastAsia="en-AU"/>
              </w:rPr>
            </w:pPr>
            <w:r w:rsidRPr="000557CC">
              <w:rPr>
                <w:lang w:eastAsia="en-AU"/>
              </w:rPr>
              <w:t>0.1</w:t>
            </w:r>
          </w:p>
        </w:tc>
      </w:tr>
      <w:tr w:rsidR="006D7571" w:rsidRPr="000557CC" w14:paraId="446E43C8" w14:textId="77777777" w:rsidTr="004D01FA">
        <w:trPr>
          <w:trHeight w:val="288"/>
        </w:trPr>
        <w:tc>
          <w:tcPr>
            <w:tcW w:w="2502" w:type="pct"/>
            <w:noWrap/>
            <w:hideMark/>
          </w:tcPr>
          <w:p w14:paraId="0A29E05F" w14:textId="77777777" w:rsidR="006D7571" w:rsidRPr="000557CC" w:rsidRDefault="006D7571" w:rsidP="00E90058">
            <w:pPr>
              <w:pStyle w:val="ARtabletextbold"/>
              <w:rPr>
                <w:lang w:eastAsia="en-AU"/>
              </w:rPr>
            </w:pPr>
            <w:r w:rsidRPr="000557CC">
              <w:rPr>
                <w:lang w:eastAsia="en-AU"/>
              </w:rPr>
              <w:t>Total solar PV</w:t>
            </w:r>
          </w:p>
        </w:tc>
        <w:tc>
          <w:tcPr>
            <w:cnfStyle w:val="000001000000" w:firstRow="0" w:lastRow="0" w:firstColumn="0" w:lastColumn="0" w:oddVBand="0" w:evenVBand="1" w:oddHBand="0" w:evenHBand="0" w:firstRowFirstColumn="0" w:firstRowLastColumn="0" w:lastRowFirstColumn="0" w:lastRowLastColumn="0"/>
            <w:tcW w:w="833" w:type="pct"/>
            <w:noWrap/>
          </w:tcPr>
          <w:p w14:paraId="03915BE8" w14:textId="77777777" w:rsidR="006D7571" w:rsidRPr="000557CC" w:rsidRDefault="006D7571" w:rsidP="00E90058">
            <w:pPr>
              <w:pStyle w:val="ARtabletextrightbold"/>
              <w:rPr>
                <w:lang w:eastAsia="en-AU"/>
              </w:rPr>
            </w:pPr>
            <w:r w:rsidRPr="000557CC">
              <w:rPr>
                <w:lang w:eastAsia="en-AU"/>
              </w:rPr>
              <w:t>1,030.9</w:t>
            </w:r>
          </w:p>
        </w:tc>
        <w:tc>
          <w:tcPr>
            <w:tcW w:w="833" w:type="pct"/>
            <w:noWrap/>
          </w:tcPr>
          <w:p w14:paraId="7A7F7A04" w14:textId="77777777" w:rsidR="006D7571" w:rsidRPr="000557CC" w:rsidRDefault="006D7571" w:rsidP="00E90058">
            <w:pPr>
              <w:pStyle w:val="ARtabletextrightbold"/>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411.0</w:t>
            </w:r>
          </w:p>
        </w:tc>
        <w:tc>
          <w:tcPr>
            <w:cnfStyle w:val="000001000000" w:firstRow="0" w:lastRow="0" w:firstColumn="0" w:lastColumn="0" w:oddVBand="0" w:evenVBand="1" w:oddHBand="0" w:evenHBand="0" w:firstRowFirstColumn="0" w:firstRowLastColumn="0" w:lastRowFirstColumn="0" w:lastRowLastColumn="0"/>
            <w:tcW w:w="832" w:type="pct"/>
            <w:noWrap/>
            <w:hideMark/>
          </w:tcPr>
          <w:p w14:paraId="0778E823" w14:textId="77777777" w:rsidR="006D7571" w:rsidRPr="000557CC" w:rsidRDefault="006D7571" w:rsidP="00E90058">
            <w:pPr>
              <w:pStyle w:val="ARtabletextrightbold"/>
              <w:rPr>
                <w:lang w:eastAsia="en-AU"/>
              </w:rPr>
            </w:pPr>
            <w:r w:rsidRPr="000557CC">
              <w:rPr>
                <w:lang w:eastAsia="en-AU"/>
              </w:rPr>
              <w:t>220.1</w:t>
            </w:r>
          </w:p>
        </w:tc>
      </w:tr>
      <w:tr w:rsidR="006D7571" w:rsidRPr="000557CC" w14:paraId="5B934464" w14:textId="77777777" w:rsidTr="004D01FA">
        <w:trPr>
          <w:trHeight w:val="288"/>
        </w:trPr>
        <w:tc>
          <w:tcPr>
            <w:tcW w:w="2502" w:type="pct"/>
            <w:noWrap/>
            <w:hideMark/>
          </w:tcPr>
          <w:p w14:paraId="552B2AEB" w14:textId="77777777" w:rsidR="006D7571" w:rsidRPr="000557CC" w:rsidRDefault="006D7571" w:rsidP="00E90058">
            <w:pPr>
              <w:pStyle w:val="ARTabletext"/>
              <w:rPr>
                <w:lang w:eastAsia="en-AU"/>
              </w:rPr>
            </w:pPr>
            <w:r w:rsidRPr="000557CC">
              <w:rPr>
                <w:lang w:eastAsia="en-AU"/>
              </w:rPr>
              <w:t>Other non-renewable (diesel backup generator)</w:t>
            </w:r>
          </w:p>
        </w:tc>
        <w:tc>
          <w:tcPr>
            <w:cnfStyle w:val="000001000000" w:firstRow="0" w:lastRow="0" w:firstColumn="0" w:lastColumn="0" w:oddVBand="0" w:evenVBand="1" w:oddHBand="0" w:evenHBand="0" w:firstRowFirstColumn="0" w:firstRowLastColumn="0" w:lastRowFirstColumn="0" w:lastRowLastColumn="0"/>
            <w:tcW w:w="833" w:type="pct"/>
            <w:noWrap/>
          </w:tcPr>
          <w:p w14:paraId="741A5C59" w14:textId="77777777" w:rsidR="006D7571" w:rsidRPr="000557CC" w:rsidRDefault="006D7571" w:rsidP="00E90058">
            <w:pPr>
              <w:pStyle w:val="ARtabletextright"/>
              <w:rPr>
                <w:lang w:eastAsia="en-AU"/>
              </w:rPr>
            </w:pPr>
            <w:r w:rsidRPr="000557CC">
              <w:rPr>
                <w:lang w:eastAsia="en-AU"/>
              </w:rPr>
              <w:t>–</w:t>
            </w:r>
          </w:p>
        </w:tc>
        <w:tc>
          <w:tcPr>
            <w:tcW w:w="833" w:type="pct"/>
            <w:noWrap/>
          </w:tcPr>
          <w:p w14:paraId="3255C083" w14:textId="77777777" w:rsidR="006D7571" w:rsidRPr="000557CC" w:rsidRDefault="006D7571" w:rsidP="00E90058">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832" w:type="pct"/>
            <w:noWrap/>
          </w:tcPr>
          <w:p w14:paraId="1EC736EF" w14:textId="77777777" w:rsidR="006D7571" w:rsidRPr="000557CC" w:rsidRDefault="006D7571" w:rsidP="00E90058">
            <w:pPr>
              <w:pStyle w:val="ARtabletextright"/>
              <w:rPr>
                <w:lang w:eastAsia="en-AU"/>
              </w:rPr>
            </w:pPr>
            <w:r w:rsidRPr="000557CC">
              <w:rPr>
                <w:lang w:eastAsia="en-AU"/>
              </w:rPr>
              <w:t>–</w:t>
            </w:r>
          </w:p>
        </w:tc>
      </w:tr>
      <w:tr w:rsidR="006D7571" w:rsidRPr="000557CC" w14:paraId="3CDD0C97" w14:textId="77777777" w:rsidTr="004D01FA">
        <w:trPr>
          <w:cnfStyle w:val="010000000000" w:firstRow="0" w:lastRow="1" w:firstColumn="0" w:lastColumn="0" w:oddVBand="0" w:evenVBand="0" w:oddHBand="0" w:evenHBand="0" w:firstRowFirstColumn="0" w:firstRowLastColumn="0" w:lastRowFirstColumn="0" w:lastRowLastColumn="0"/>
          <w:trHeight w:val="288"/>
        </w:trPr>
        <w:tc>
          <w:tcPr>
            <w:tcW w:w="2502" w:type="pct"/>
            <w:noWrap/>
            <w:hideMark/>
          </w:tcPr>
          <w:p w14:paraId="3BB39ACD" w14:textId="77777777" w:rsidR="006D7571" w:rsidRPr="000557CC" w:rsidRDefault="006D7571" w:rsidP="00E90058">
            <w:pPr>
              <w:pStyle w:val="ARtabletextbold"/>
              <w:rPr>
                <w:lang w:eastAsia="en-AU"/>
              </w:rPr>
            </w:pPr>
            <w:r w:rsidRPr="000557CC">
              <w:rPr>
                <w:lang w:eastAsia="en-AU"/>
              </w:rPr>
              <w:t>EL2 Total on-site electricity generated</w:t>
            </w:r>
          </w:p>
        </w:tc>
        <w:tc>
          <w:tcPr>
            <w:cnfStyle w:val="000001000000" w:firstRow="0" w:lastRow="0" w:firstColumn="0" w:lastColumn="0" w:oddVBand="0" w:evenVBand="1" w:oddHBand="0" w:evenHBand="0" w:firstRowFirstColumn="0" w:firstRowLastColumn="0" w:lastRowFirstColumn="0" w:lastRowLastColumn="0"/>
            <w:tcW w:w="833" w:type="pct"/>
            <w:noWrap/>
          </w:tcPr>
          <w:p w14:paraId="74468894" w14:textId="77777777" w:rsidR="006D7571" w:rsidRPr="000557CC" w:rsidRDefault="006D7571" w:rsidP="00E90058">
            <w:pPr>
              <w:pStyle w:val="ARtabletextrightbold"/>
              <w:rPr>
                <w:lang w:eastAsia="en-AU"/>
              </w:rPr>
            </w:pPr>
            <w:r w:rsidRPr="000557CC">
              <w:rPr>
                <w:lang w:eastAsia="en-AU"/>
              </w:rPr>
              <w:t>1,030.9</w:t>
            </w:r>
          </w:p>
        </w:tc>
        <w:tc>
          <w:tcPr>
            <w:tcW w:w="833" w:type="pct"/>
            <w:noWrap/>
          </w:tcPr>
          <w:p w14:paraId="50F29B5D" w14:textId="77777777" w:rsidR="006D7571" w:rsidRPr="000557CC" w:rsidRDefault="006D7571" w:rsidP="00E90058">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411.0</w:t>
            </w:r>
          </w:p>
        </w:tc>
        <w:tc>
          <w:tcPr>
            <w:cnfStyle w:val="000001000000" w:firstRow="0" w:lastRow="0" w:firstColumn="0" w:lastColumn="0" w:oddVBand="0" w:evenVBand="1" w:oddHBand="0" w:evenHBand="0" w:firstRowFirstColumn="0" w:firstRowLastColumn="0" w:lastRowFirstColumn="0" w:lastRowLastColumn="0"/>
            <w:tcW w:w="832" w:type="pct"/>
            <w:noWrap/>
            <w:hideMark/>
          </w:tcPr>
          <w:p w14:paraId="063F1388" w14:textId="77777777" w:rsidR="006D7571" w:rsidRPr="000557CC" w:rsidRDefault="006D7571" w:rsidP="00E90058">
            <w:pPr>
              <w:pStyle w:val="ARtabletextrightbold"/>
              <w:rPr>
                <w:lang w:eastAsia="en-AU"/>
              </w:rPr>
            </w:pPr>
            <w:r w:rsidRPr="000557CC">
              <w:rPr>
                <w:lang w:eastAsia="en-AU"/>
              </w:rPr>
              <w:t>220.1</w:t>
            </w:r>
          </w:p>
        </w:tc>
      </w:tr>
    </w:tbl>
    <w:p w14:paraId="0738E1F0" w14:textId="77777777" w:rsidR="006D7571" w:rsidRPr="000557CC" w:rsidRDefault="006D7571" w:rsidP="00E90058">
      <w:pPr>
        <w:pStyle w:val="ARTablecaption"/>
        <w:rPr>
          <w:rFonts w:eastAsia="MS PGothic"/>
        </w:rPr>
      </w:pPr>
      <w:r w:rsidRPr="000557CC">
        <w:rPr>
          <w:rFonts w:eastAsia="MS PGothic"/>
        </w:rPr>
        <w:t>EL3 On-site installed generation capacity</w:t>
      </w:r>
    </w:p>
    <w:tbl>
      <w:tblPr>
        <w:tblStyle w:val="ARtable1"/>
        <w:tblW w:w="5000" w:type="pct"/>
        <w:tblLook w:val="02E0" w:firstRow="1" w:lastRow="1" w:firstColumn="1" w:lastColumn="0" w:noHBand="1" w:noVBand="0"/>
      </w:tblPr>
      <w:tblGrid>
        <w:gridCol w:w="4818"/>
        <w:gridCol w:w="1604"/>
        <w:gridCol w:w="1604"/>
        <w:gridCol w:w="1602"/>
      </w:tblGrid>
      <w:tr w:rsidR="006D7571" w:rsidRPr="000557CC" w14:paraId="6640A00B" w14:textId="77777777" w:rsidTr="009F3BE7">
        <w:trPr>
          <w:cnfStyle w:val="100000000000" w:firstRow="1" w:lastRow="0" w:firstColumn="0" w:lastColumn="0" w:oddVBand="0" w:evenVBand="0" w:oddHBand="0" w:evenHBand="0" w:firstRowFirstColumn="0" w:firstRowLastColumn="0" w:lastRowFirstColumn="0" w:lastRowLastColumn="0"/>
          <w:trHeight w:val="288"/>
          <w:tblHeader/>
        </w:trPr>
        <w:tc>
          <w:tcPr>
            <w:tcW w:w="2502" w:type="pct"/>
            <w:noWrap/>
          </w:tcPr>
          <w:p w14:paraId="2C4068F0" w14:textId="77777777" w:rsidR="006D7571" w:rsidRPr="000557CC" w:rsidRDefault="006D7571" w:rsidP="00E90058">
            <w:pPr>
              <w:pStyle w:val="ARtablecolhead"/>
              <w:rPr>
                <w:color w:val="000000"/>
                <w:lang w:eastAsia="en-AU"/>
              </w:rPr>
            </w:pPr>
            <w:r w:rsidRPr="000557CC">
              <w:rPr>
                <w:lang w:eastAsia="en-AU"/>
              </w:rPr>
              <w:t>Indicator</w:t>
            </w:r>
          </w:p>
        </w:tc>
        <w:tc>
          <w:tcPr>
            <w:cnfStyle w:val="000001000000" w:firstRow="0" w:lastRow="0" w:firstColumn="0" w:lastColumn="0" w:oddVBand="0" w:evenVBand="1" w:oddHBand="0" w:evenHBand="0" w:firstRowFirstColumn="0" w:firstRowLastColumn="0" w:lastRowFirstColumn="0" w:lastRowLastColumn="0"/>
            <w:tcW w:w="833" w:type="pct"/>
            <w:noWrap/>
          </w:tcPr>
          <w:p w14:paraId="3E06943B" w14:textId="77777777" w:rsidR="006D7571" w:rsidRPr="000557CC" w:rsidRDefault="006D7571" w:rsidP="00E90058">
            <w:pPr>
              <w:pStyle w:val="ARtablecolheadright"/>
              <w:rPr>
                <w:lang w:eastAsia="en-AU"/>
              </w:rPr>
            </w:pPr>
            <w:r w:rsidRPr="000557CC">
              <w:rPr>
                <w:lang w:eastAsia="en-AU"/>
              </w:rPr>
              <w:t>2025–26</w:t>
            </w:r>
          </w:p>
          <w:p w14:paraId="1D717B7E" w14:textId="77777777" w:rsidR="006D7571" w:rsidRPr="000557CC" w:rsidRDefault="006D7571" w:rsidP="00E90058">
            <w:pPr>
              <w:pStyle w:val="ARtablecolheadright"/>
              <w:rPr>
                <w:lang w:eastAsia="en-AU"/>
              </w:rPr>
            </w:pPr>
            <w:r w:rsidRPr="000557CC">
              <w:rPr>
                <w:lang w:eastAsia="en-AU"/>
              </w:rPr>
              <w:t>MW</w:t>
            </w:r>
          </w:p>
        </w:tc>
        <w:tc>
          <w:tcPr>
            <w:tcW w:w="833" w:type="pct"/>
            <w:noWrap/>
          </w:tcPr>
          <w:p w14:paraId="259B655F" w14:textId="77777777" w:rsidR="006D7571" w:rsidRPr="000557CC" w:rsidRDefault="006D7571" w:rsidP="00E90058">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558CA3C2" w14:textId="77777777" w:rsidR="006D7571" w:rsidRPr="000557CC" w:rsidRDefault="006D7571" w:rsidP="00E90058">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MW</w:t>
            </w:r>
          </w:p>
        </w:tc>
        <w:tc>
          <w:tcPr>
            <w:cnfStyle w:val="000001000000" w:firstRow="0" w:lastRow="0" w:firstColumn="0" w:lastColumn="0" w:oddVBand="0" w:evenVBand="1" w:oddHBand="0" w:evenHBand="0" w:firstRowFirstColumn="0" w:firstRowLastColumn="0" w:lastRowFirstColumn="0" w:lastRowLastColumn="0"/>
            <w:tcW w:w="833" w:type="pct"/>
            <w:noWrap/>
          </w:tcPr>
          <w:p w14:paraId="0F7336CD" w14:textId="77777777" w:rsidR="006D7571" w:rsidRPr="000557CC" w:rsidRDefault="006D7571" w:rsidP="00E90058">
            <w:pPr>
              <w:pStyle w:val="ARtablecolheadright"/>
              <w:rPr>
                <w:lang w:eastAsia="en-AU"/>
              </w:rPr>
            </w:pPr>
            <w:r w:rsidRPr="000557CC">
              <w:rPr>
                <w:lang w:eastAsia="en-AU"/>
              </w:rPr>
              <w:t>2023–24</w:t>
            </w:r>
          </w:p>
          <w:p w14:paraId="520A0A79" w14:textId="77777777" w:rsidR="006D7571" w:rsidRPr="000557CC" w:rsidRDefault="006D7571" w:rsidP="00E90058">
            <w:pPr>
              <w:pStyle w:val="ARtablecolheadright"/>
              <w:rPr>
                <w:lang w:eastAsia="en-AU"/>
              </w:rPr>
            </w:pPr>
            <w:r w:rsidRPr="000557CC">
              <w:rPr>
                <w:lang w:eastAsia="en-AU"/>
              </w:rPr>
              <w:t>MW</w:t>
            </w:r>
          </w:p>
        </w:tc>
      </w:tr>
      <w:tr w:rsidR="006D7571" w:rsidRPr="000557CC" w14:paraId="03B971CD" w14:textId="77777777" w:rsidTr="009F3BE7">
        <w:trPr>
          <w:trHeight w:val="288"/>
        </w:trPr>
        <w:tc>
          <w:tcPr>
            <w:tcW w:w="2502" w:type="pct"/>
            <w:noWrap/>
            <w:hideMark/>
          </w:tcPr>
          <w:p w14:paraId="5848A8E6" w14:textId="77777777" w:rsidR="006D7571" w:rsidRPr="000557CC" w:rsidRDefault="006D7571" w:rsidP="00E90058">
            <w:pPr>
              <w:pStyle w:val="ARTabletext"/>
              <w:rPr>
                <w:color w:val="000000"/>
                <w:lang w:eastAsia="en-AU"/>
              </w:rPr>
            </w:pPr>
            <w:r w:rsidRPr="000557CC">
              <w:rPr>
                <w:lang w:eastAsia="en-AU"/>
              </w:rPr>
              <w:t>Solar PV</w:t>
            </w:r>
          </w:p>
        </w:tc>
        <w:tc>
          <w:tcPr>
            <w:cnfStyle w:val="000001000000" w:firstRow="0" w:lastRow="0" w:firstColumn="0" w:lastColumn="0" w:oddVBand="0" w:evenVBand="1" w:oddHBand="0" w:evenHBand="0" w:firstRowFirstColumn="0" w:firstRowLastColumn="0" w:lastRowFirstColumn="0" w:lastRowLastColumn="0"/>
            <w:tcW w:w="833" w:type="pct"/>
            <w:noWrap/>
          </w:tcPr>
          <w:p w14:paraId="768476C3" w14:textId="77777777" w:rsidR="006D7571" w:rsidRPr="000557CC" w:rsidRDefault="006D7571" w:rsidP="00E90058">
            <w:pPr>
              <w:pStyle w:val="ARtabletextright"/>
              <w:rPr>
                <w:lang w:eastAsia="en-AU"/>
              </w:rPr>
            </w:pPr>
            <w:r w:rsidRPr="000557CC">
              <w:rPr>
                <w:lang w:eastAsia="en-AU"/>
              </w:rPr>
              <w:t>0.8</w:t>
            </w:r>
          </w:p>
        </w:tc>
        <w:tc>
          <w:tcPr>
            <w:tcW w:w="833" w:type="pct"/>
            <w:noWrap/>
          </w:tcPr>
          <w:p w14:paraId="52CD16AB" w14:textId="77777777" w:rsidR="006D7571" w:rsidRPr="000557CC" w:rsidRDefault="006D7571" w:rsidP="00E90058">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0.4</w:t>
            </w:r>
          </w:p>
        </w:tc>
        <w:tc>
          <w:tcPr>
            <w:cnfStyle w:val="000001000000" w:firstRow="0" w:lastRow="0" w:firstColumn="0" w:lastColumn="0" w:oddVBand="0" w:evenVBand="1" w:oddHBand="0" w:evenHBand="0" w:firstRowFirstColumn="0" w:firstRowLastColumn="0" w:lastRowFirstColumn="0" w:lastRowLastColumn="0"/>
            <w:tcW w:w="833" w:type="pct"/>
            <w:noWrap/>
            <w:hideMark/>
          </w:tcPr>
          <w:p w14:paraId="20EB7377" w14:textId="77777777" w:rsidR="006D7571" w:rsidRPr="000557CC" w:rsidRDefault="006D7571" w:rsidP="00E90058">
            <w:pPr>
              <w:pStyle w:val="ARtabletextright"/>
              <w:rPr>
                <w:lang w:eastAsia="en-AU"/>
              </w:rPr>
            </w:pPr>
            <w:r w:rsidRPr="000557CC">
              <w:rPr>
                <w:szCs w:val="17"/>
                <w:lang w:eastAsia="en-AU"/>
              </w:rPr>
              <w:t>0.4</w:t>
            </w:r>
          </w:p>
        </w:tc>
      </w:tr>
      <w:tr w:rsidR="006D7571" w:rsidRPr="000557CC" w14:paraId="363A9601" w14:textId="77777777" w:rsidTr="009F3BE7">
        <w:trPr>
          <w:trHeight w:val="288"/>
        </w:trPr>
        <w:tc>
          <w:tcPr>
            <w:tcW w:w="2502" w:type="pct"/>
            <w:noWrap/>
            <w:hideMark/>
          </w:tcPr>
          <w:p w14:paraId="7C4F8994" w14:textId="77777777" w:rsidR="006D7571" w:rsidRPr="000557CC" w:rsidRDefault="006D7571" w:rsidP="00E90058">
            <w:pPr>
              <w:pStyle w:val="ARTabletext"/>
              <w:rPr>
                <w:color w:val="000000"/>
                <w:lang w:eastAsia="en-AU"/>
              </w:rPr>
            </w:pPr>
            <w:r w:rsidRPr="000557CC">
              <w:rPr>
                <w:lang w:eastAsia="en-AU"/>
              </w:rPr>
              <w:t>Diesel backup generator</w:t>
            </w:r>
          </w:p>
        </w:tc>
        <w:tc>
          <w:tcPr>
            <w:cnfStyle w:val="000001000000" w:firstRow="0" w:lastRow="0" w:firstColumn="0" w:lastColumn="0" w:oddVBand="0" w:evenVBand="1" w:oddHBand="0" w:evenHBand="0" w:firstRowFirstColumn="0" w:firstRowLastColumn="0" w:lastRowFirstColumn="0" w:lastRowLastColumn="0"/>
            <w:tcW w:w="833" w:type="pct"/>
            <w:noWrap/>
          </w:tcPr>
          <w:p w14:paraId="125DF73E" w14:textId="77777777" w:rsidR="006D7571" w:rsidRPr="000557CC" w:rsidRDefault="006D7571" w:rsidP="00E90058">
            <w:pPr>
              <w:pStyle w:val="ARtabletextright"/>
              <w:rPr>
                <w:lang w:eastAsia="en-AU"/>
              </w:rPr>
            </w:pPr>
            <w:r w:rsidRPr="000557CC">
              <w:rPr>
                <w:lang w:eastAsia="en-AU"/>
              </w:rPr>
              <w:t>–</w:t>
            </w:r>
          </w:p>
        </w:tc>
        <w:tc>
          <w:tcPr>
            <w:tcW w:w="833" w:type="pct"/>
            <w:noWrap/>
          </w:tcPr>
          <w:p w14:paraId="39E2BE65" w14:textId="77777777" w:rsidR="006D7571" w:rsidRPr="000557CC" w:rsidRDefault="006D7571" w:rsidP="00E90058">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833" w:type="pct"/>
            <w:noWrap/>
            <w:hideMark/>
          </w:tcPr>
          <w:p w14:paraId="4AAEFD5C" w14:textId="77777777" w:rsidR="006D7571" w:rsidRPr="000557CC" w:rsidRDefault="006D7571" w:rsidP="00E90058">
            <w:pPr>
              <w:pStyle w:val="ARtabletextright"/>
              <w:rPr>
                <w:lang w:eastAsia="en-AU"/>
              </w:rPr>
            </w:pPr>
            <w:r w:rsidRPr="000557CC">
              <w:rPr>
                <w:szCs w:val="17"/>
                <w:lang w:eastAsia="en-AU"/>
              </w:rPr>
              <w:t>–</w:t>
            </w:r>
          </w:p>
        </w:tc>
      </w:tr>
      <w:tr w:rsidR="006D7571" w:rsidRPr="000557CC" w14:paraId="2EC23905" w14:textId="77777777" w:rsidTr="009F3BE7">
        <w:trPr>
          <w:cnfStyle w:val="010000000000" w:firstRow="0" w:lastRow="1" w:firstColumn="0" w:lastColumn="0" w:oddVBand="0" w:evenVBand="0" w:oddHBand="0" w:evenHBand="0" w:firstRowFirstColumn="0" w:firstRowLastColumn="0" w:lastRowFirstColumn="0" w:lastRowLastColumn="0"/>
          <w:trHeight w:val="288"/>
        </w:trPr>
        <w:tc>
          <w:tcPr>
            <w:tcW w:w="2502" w:type="pct"/>
            <w:noWrap/>
            <w:hideMark/>
          </w:tcPr>
          <w:p w14:paraId="00996734" w14:textId="77777777" w:rsidR="006D7571" w:rsidRPr="000557CC" w:rsidRDefault="006D7571" w:rsidP="00E90058">
            <w:pPr>
              <w:pStyle w:val="ARtabletextbold"/>
              <w:rPr>
                <w:lang w:eastAsia="en-AU"/>
              </w:rPr>
            </w:pPr>
            <w:r w:rsidRPr="000557CC">
              <w:rPr>
                <w:lang w:eastAsia="en-AU"/>
              </w:rPr>
              <w:t>EL3 Total on-site installed generation capacity</w:t>
            </w:r>
          </w:p>
        </w:tc>
        <w:tc>
          <w:tcPr>
            <w:cnfStyle w:val="000001000000" w:firstRow="0" w:lastRow="0" w:firstColumn="0" w:lastColumn="0" w:oddVBand="0" w:evenVBand="1" w:oddHBand="0" w:evenHBand="0" w:firstRowFirstColumn="0" w:firstRowLastColumn="0" w:lastRowFirstColumn="0" w:lastRowLastColumn="0"/>
            <w:tcW w:w="833" w:type="pct"/>
            <w:noWrap/>
          </w:tcPr>
          <w:p w14:paraId="1818EA45" w14:textId="77777777" w:rsidR="006D7571" w:rsidRPr="000557CC" w:rsidRDefault="006D7571" w:rsidP="00E90058">
            <w:pPr>
              <w:pStyle w:val="ARtabletextrightbold"/>
              <w:rPr>
                <w:lang w:eastAsia="en-AU"/>
              </w:rPr>
            </w:pPr>
            <w:r w:rsidRPr="000557CC">
              <w:rPr>
                <w:lang w:eastAsia="en-AU"/>
              </w:rPr>
              <w:t>0.8</w:t>
            </w:r>
          </w:p>
        </w:tc>
        <w:tc>
          <w:tcPr>
            <w:tcW w:w="833" w:type="pct"/>
            <w:noWrap/>
          </w:tcPr>
          <w:p w14:paraId="0EE00B46" w14:textId="77777777" w:rsidR="006D7571" w:rsidRPr="000557CC" w:rsidRDefault="006D7571" w:rsidP="00E90058">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0.4</w:t>
            </w:r>
          </w:p>
        </w:tc>
        <w:tc>
          <w:tcPr>
            <w:cnfStyle w:val="000001000000" w:firstRow="0" w:lastRow="0" w:firstColumn="0" w:lastColumn="0" w:oddVBand="0" w:evenVBand="1" w:oddHBand="0" w:evenHBand="0" w:firstRowFirstColumn="0" w:firstRowLastColumn="0" w:lastRowFirstColumn="0" w:lastRowLastColumn="0"/>
            <w:tcW w:w="833" w:type="pct"/>
            <w:noWrap/>
            <w:hideMark/>
          </w:tcPr>
          <w:p w14:paraId="441D2FDE" w14:textId="77777777" w:rsidR="006D7571" w:rsidRPr="000557CC" w:rsidRDefault="006D7571" w:rsidP="00E90058">
            <w:pPr>
              <w:pStyle w:val="ARtabletextrightbold"/>
              <w:rPr>
                <w:lang w:eastAsia="en-AU"/>
              </w:rPr>
            </w:pPr>
            <w:r w:rsidRPr="000557CC">
              <w:rPr>
                <w:lang w:eastAsia="en-AU"/>
              </w:rPr>
              <w:t>0.4</w:t>
            </w:r>
          </w:p>
        </w:tc>
      </w:tr>
    </w:tbl>
    <w:p w14:paraId="6C123D0B" w14:textId="77777777" w:rsidR="006D7571" w:rsidRPr="000557CC" w:rsidRDefault="006D7571" w:rsidP="00E90058">
      <w:pPr>
        <w:pStyle w:val="ARTablecaption"/>
        <w:rPr>
          <w:rFonts w:eastAsia="MS PGothic"/>
        </w:rPr>
      </w:pPr>
      <w:r w:rsidRPr="000557CC">
        <w:rPr>
          <w:rFonts w:eastAsia="MS PGothic"/>
        </w:rPr>
        <w:t>EL4 Total electricity offsets</w:t>
      </w:r>
    </w:p>
    <w:tbl>
      <w:tblPr>
        <w:tblStyle w:val="ARtable1"/>
        <w:tblW w:w="5000" w:type="pct"/>
        <w:tblLook w:val="02E0" w:firstRow="1" w:lastRow="1" w:firstColumn="1" w:lastColumn="0" w:noHBand="1" w:noVBand="0"/>
      </w:tblPr>
      <w:tblGrid>
        <w:gridCol w:w="4929"/>
        <w:gridCol w:w="1566"/>
        <w:gridCol w:w="1566"/>
        <w:gridCol w:w="1567"/>
      </w:tblGrid>
      <w:tr w:rsidR="006D7571" w:rsidRPr="000557CC" w14:paraId="24F63294" w14:textId="77777777" w:rsidTr="009F3BE7">
        <w:trPr>
          <w:cnfStyle w:val="100000000000" w:firstRow="1" w:lastRow="0" w:firstColumn="0" w:lastColumn="0" w:oddVBand="0" w:evenVBand="0" w:oddHBand="0" w:evenHBand="0" w:firstRowFirstColumn="0" w:firstRowLastColumn="0" w:lastRowFirstColumn="0" w:lastRowLastColumn="0"/>
          <w:trHeight w:val="288"/>
          <w:tblHeader/>
        </w:trPr>
        <w:tc>
          <w:tcPr>
            <w:tcW w:w="2497" w:type="pct"/>
            <w:noWrap/>
          </w:tcPr>
          <w:p w14:paraId="12BCD319" w14:textId="77777777" w:rsidR="006D7571" w:rsidRPr="000557CC" w:rsidRDefault="006D7571" w:rsidP="00E90058">
            <w:pPr>
              <w:pStyle w:val="ARtablecolhead"/>
              <w:rPr>
                <w:color w:val="000000"/>
                <w:lang w:eastAsia="en-AU"/>
              </w:rPr>
            </w:pPr>
            <w:r w:rsidRPr="000557CC">
              <w:rPr>
                <w:lang w:eastAsia="en-AU"/>
              </w:rPr>
              <w:t>Indicator</w:t>
            </w:r>
          </w:p>
        </w:tc>
        <w:tc>
          <w:tcPr>
            <w:cnfStyle w:val="000001000000" w:firstRow="0" w:lastRow="0" w:firstColumn="0" w:lastColumn="0" w:oddVBand="0" w:evenVBand="1" w:oddHBand="0" w:evenHBand="0" w:firstRowFirstColumn="0" w:firstRowLastColumn="0" w:lastRowFirstColumn="0" w:lastRowLastColumn="0"/>
            <w:tcW w:w="834" w:type="pct"/>
            <w:noWrap/>
          </w:tcPr>
          <w:p w14:paraId="70FB228C" w14:textId="77777777" w:rsidR="006D7571" w:rsidRPr="000557CC" w:rsidRDefault="006D7571" w:rsidP="00E90058">
            <w:pPr>
              <w:pStyle w:val="ARtablecolheadright"/>
              <w:rPr>
                <w:lang w:eastAsia="en-AU"/>
              </w:rPr>
            </w:pPr>
            <w:r w:rsidRPr="000557CC">
              <w:rPr>
                <w:lang w:eastAsia="en-AU"/>
              </w:rPr>
              <w:t>2025–26</w:t>
            </w:r>
          </w:p>
          <w:p w14:paraId="6D694519" w14:textId="77777777" w:rsidR="006D7571" w:rsidRPr="000557CC" w:rsidRDefault="006D7571" w:rsidP="00E90058">
            <w:pPr>
              <w:pStyle w:val="ARtablecolheadright"/>
              <w:rPr>
                <w:lang w:eastAsia="en-AU"/>
              </w:rPr>
            </w:pPr>
            <w:r w:rsidRPr="000557CC">
              <w:rPr>
                <w:lang w:eastAsia="en-AU"/>
              </w:rPr>
              <w:t>MWh</w:t>
            </w:r>
          </w:p>
        </w:tc>
        <w:tc>
          <w:tcPr>
            <w:tcW w:w="834" w:type="pct"/>
            <w:noWrap/>
          </w:tcPr>
          <w:p w14:paraId="7A8CD42D" w14:textId="77777777" w:rsidR="006D7571" w:rsidRPr="000557CC" w:rsidRDefault="006D7571" w:rsidP="00E90058">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07B4CB8C" w14:textId="77777777" w:rsidR="006D7571" w:rsidRPr="000557CC" w:rsidRDefault="006D7571" w:rsidP="00E90058">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MWh</w:t>
            </w:r>
          </w:p>
        </w:tc>
        <w:tc>
          <w:tcPr>
            <w:cnfStyle w:val="000001000000" w:firstRow="0" w:lastRow="0" w:firstColumn="0" w:lastColumn="0" w:oddVBand="0" w:evenVBand="1" w:oddHBand="0" w:evenHBand="0" w:firstRowFirstColumn="0" w:firstRowLastColumn="0" w:lastRowFirstColumn="0" w:lastRowLastColumn="0"/>
            <w:tcW w:w="834" w:type="pct"/>
            <w:noWrap/>
          </w:tcPr>
          <w:p w14:paraId="3DF15D73" w14:textId="77777777" w:rsidR="006D7571" w:rsidRPr="000557CC" w:rsidRDefault="006D7571" w:rsidP="00E90058">
            <w:pPr>
              <w:pStyle w:val="ARtablecolheadright"/>
              <w:rPr>
                <w:lang w:eastAsia="en-AU"/>
              </w:rPr>
            </w:pPr>
            <w:r w:rsidRPr="000557CC">
              <w:rPr>
                <w:lang w:eastAsia="en-AU"/>
              </w:rPr>
              <w:t>2023–24</w:t>
            </w:r>
          </w:p>
          <w:p w14:paraId="6F9AE954" w14:textId="77777777" w:rsidR="006D7571" w:rsidRPr="000557CC" w:rsidRDefault="006D7571" w:rsidP="00E90058">
            <w:pPr>
              <w:pStyle w:val="ARtablecolheadright"/>
              <w:rPr>
                <w:lang w:eastAsia="en-AU"/>
              </w:rPr>
            </w:pPr>
            <w:r w:rsidRPr="000557CC">
              <w:rPr>
                <w:lang w:eastAsia="en-AU"/>
              </w:rPr>
              <w:t>MWh</w:t>
            </w:r>
          </w:p>
        </w:tc>
      </w:tr>
      <w:tr w:rsidR="006D7571" w:rsidRPr="000557CC" w14:paraId="3E215322" w14:textId="77777777" w:rsidTr="009F3BE7">
        <w:trPr>
          <w:trHeight w:val="288"/>
        </w:trPr>
        <w:tc>
          <w:tcPr>
            <w:tcW w:w="2497" w:type="pct"/>
            <w:noWrap/>
            <w:hideMark/>
          </w:tcPr>
          <w:p w14:paraId="13FF235F" w14:textId="77777777" w:rsidR="006D7571" w:rsidRPr="000557CC" w:rsidRDefault="006D7571" w:rsidP="00E90058">
            <w:pPr>
              <w:pStyle w:val="ARTabletext"/>
              <w:rPr>
                <w:color w:val="000000"/>
                <w:lang w:eastAsia="en-AU"/>
              </w:rPr>
            </w:pPr>
            <w:r w:rsidRPr="000557CC">
              <w:rPr>
                <w:lang w:eastAsia="en-AU"/>
              </w:rPr>
              <w:t>LGC’s voluntarily retired by the entity</w:t>
            </w:r>
          </w:p>
        </w:tc>
        <w:tc>
          <w:tcPr>
            <w:cnfStyle w:val="000001000000" w:firstRow="0" w:lastRow="0" w:firstColumn="0" w:lastColumn="0" w:oddVBand="0" w:evenVBand="1" w:oddHBand="0" w:evenHBand="0" w:firstRowFirstColumn="0" w:firstRowLastColumn="0" w:lastRowFirstColumn="0" w:lastRowLastColumn="0"/>
            <w:tcW w:w="834" w:type="pct"/>
            <w:noWrap/>
          </w:tcPr>
          <w:p w14:paraId="3DFCB18E" w14:textId="77777777" w:rsidR="006D7571" w:rsidRPr="000557CC" w:rsidRDefault="006D7571" w:rsidP="00E90058">
            <w:pPr>
              <w:pStyle w:val="ARtabletextright"/>
              <w:rPr>
                <w:lang w:eastAsia="en-AU"/>
              </w:rPr>
            </w:pPr>
            <w:r w:rsidRPr="000557CC">
              <w:rPr>
                <w:lang w:eastAsia="en-AU"/>
              </w:rPr>
              <w:t>13,655.3</w:t>
            </w:r>
          </w:p>
        </w:tc>
        <w:tc>
          <w:tcPr>
            <w:tcW w:w="834" w:type="pct"/>
            <w:noWrap/>
          </w:tcPr>
          <w:p w14:paraId="22345759" w14:textId="77777777" w:rsidR="006D7571" w:rsidRPr="000557CC" w:rsidRDefault="006D7571" w:rsidP="00E90058">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834" w:type="pct"/>
            <w:noWrap/>
            <w:hideMark/>
          </w:tcPr>
          <w:p w14:paraId="4D07C51A" w14:textId="77777777" w:rsidR="006D7571" w:rsidRPr="000557CC" w:rsidRDefault="006D7571" w:rsidP="00E90058">
            <w:pPr>
              <w:pStyle w:val="ARtabletextright"/>
              <w:rPr>
                <w:lang w:eastAsia="en-AU"/>
              </w:rPr>
            </w:pPr>
            <w:r w:rsidRPr="000557CC">
              <w:rPr>
                <w:lang w:eastAsia="en-AU"/>
              </w:rPr>
              <w:t>–</w:t>
            </w:r>
          </w:p>
        </w:tc>
      </w:tr>
      <w:tr w:rsidR="006D7571" w:rsidRPr="000557CC" w14:paraId="32F4D308" w14:textId="77777777" w:rsidTr="009F3BE7">
        <w:trPr>
          <w:trHeight w:val="288"/>
        </w:trPr>
        <w:tc>
          <w:tcPr>
            <w:tcW w:w="2497" w:type="pct"/>
            <w:noWrap/>
          </w:tcPr>
          <w:p w14:paraId="1F7F0D48" w14:textId="77777777" w:rsidR="006D7571" w:rsidRPr="000557CC" w:rsidRDefault="006D7571" w:rsidP="00E90058">
            <w:pPr>
              <w:pStyle w:val="ARTabletext"/>
              <w:rPr>
                <w:color w:val="000000"/>
                <w:lang w:eastAsia="en-AU"/>
              </w:rPr>
            </w:pPr>
            <w:proofErr w:type="spellStart"/>
            <w:r w:rsidRPr="000557CC">
              <w:rPr>
                <w:lang w:eastAsia="en-AU"/>
              </w:rPr>
              <w:t>GreenPower</w:t>
            </w:r>
            <w:proofErr w:type="spellEnd"/>
          </w:p>
        </w:tc>
        <w:tc>
          <w:tcPr>
            <w:cnfStyle w:val="000001000000" w:firstRow="0" w:lastRow="0" w:firstColumn="0" w:lastColumn="0" w:oddVBand="0" w:evenVBand="1" w:oddHBand="0" w:evenHBand="0" w:firstRowFirstColumn="0" w:firstRowLastColumn="0" w:lastRowFirstColumn="0" w:lastRowLastColumn="0"/>
            <w:tcW w:w="834" w:type="pct"/>
            <w:noWrap/>
          </w:tcPr>
          <w:p w14:paraId="682D3309" w14:textId="77777777" w:rsidR="006D7571" w:rsidRPr="000557CC" w:rsidRDefault="006D7571" w:rsidP="00E90058">
            <w:pPr>
              <w:pStyle w:val="ARtabletextright"/>
              <w:rPr>
                <w:lang w:eastAsia="en-AU"/>
              </w:rPr>
            </w:pPr>
            <w:r w:rsidRPr="000557CC">
              <w:rPr>
                <w:lang w:eastAsia="en-AU"/>
              </w:rPr>
              <w:t>456.3</w:t>
            </w:r>
          </w:p>
        </w:tc>
        <w:tc>
          <w:tcPr>
            <w:tcW w:w="834" w:type="pct"/>
            <w:noWrap/>
          </w:tcPr>
          <w:p w14:paraId="290BBCBC" w14:textId="77777777" w:rsidR="006D7571" w:rsidRPr="000557CC" w:rsidRDefault="006D7571" w:rsidP="00E90058">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1,744.3</w:t>
            </w:r>
          </w:p>
        </w:tc>
        <w:tc>
          <w:tcPr>
            <w:cnfStyle w:val="000001000000" w:firstRow="0" w:lastRow="0" w:firstColumn="0" w:lastColumn="0" w:oddVBand="0" w:evenVBand="1" w:oddHBand="0" w:evenHBand="0" w:firstRowFirstColumn="0" w:firstRowLastColumn="0" w:lastRowFirstColumn="0" w:lastRowLastColumn="0"/>
            <w:tcW w:w="834" w:type="pct"/>
            <w:noWrap/>
          </w:tcPr>
          <w:p w14:paraId="42543151" w14:textId="77777777" w:rsidR="006D7571" w:rsidRPr="000557CC" w:rsidRDefault="006D7571" w:rsidP="00E90058">
            <w:pPr>
              <w:pStyle w:val="ARtabletextright"/>
              <w:rPr>
                <w:lang w:eastAsia="en-AU"/>
              </w:rPr>
            </w:pPr>
            <w:r w:rsidRPr="000557CC">
              <w:rPr>
                <w:lang w:eastAsia="en-AU"/>
              </w:rPr>
              <w:t>1,552.9</w:t>
            </w:r>
          </w:p>
        </w:tc>
      </w:tr>
      <w:tr w:rsidR="006D7571" w:rsidRPr="000557CC" w14:paraId="00068DF2" w14:textId="77777777" w:rsidTr="009F3BE7">
        <w:trPr>
          <w:trHeight w:val="288"/>
        </w:trPr>
        <w:tc>
          <w:tcPr>
            <w:tcW w:w="2497" w:type="pct"/>
            <w:noWrap/>
          </w:tcPr>
          <w:p w14:paraId="7550B53E" w14:textId="77777777" w:rsidR="006D7571" w:rsidRPr="000557CC" w:rsidRDefault="006D7571" w:rsidP="00E90058">
            <w:pPr>
              <w:pStyle w:val="ARTabletext"/>
              <w:rPr>
                <w:color w:val="000000"/>
                <w:lang w:eastAsia="en-AU"/>
              </w:rPr>
            </w:pPr>
            <w:r w:rsidRPr="000557CC">
              <w:rPr>
                <w:lang w:eastAsia="en-AU"/>
              </w:rPr>
              <w:t>Renewable power percentage in the grid</w:t>
            </w:r>
            <w:r w:rsidRPr="000557CC">
              <w:rPr>
                <w:vertAlign w:val="superscript"/>
                <w:lang w:eastAsia="en-AU"/>
              </w:rPr>
              <w:footnoteReference w:id="32"/>
            </w:r>
          </w:p>
        </w:tc>
        <w:tc>
          <w:tcPr>
            <w:cnfStyle w:val="000001000000" w:firstRow="0" w:lastRow="0" w:firstColumn="0" w:lastColumn="0" w:oddVBand="0" w:evenVBand="1" w:oddHBand="0" w:evenHBand="0" w:firstRowFirstColumn="0" w:firstRowLastColumn="0" w:lastRowFirstColumn="0" w:lastRowLastColumn="0"/>
            <w:tcW w:w="834" w:type="pct"/>
            <w:noWrap/>
          </w:tcPr>
          <w:p w14:paraId="3445F579" w14:textId="77777777" w:rsidR="006D7571" w:rsidRPr="000557CC" w:rsidRDefault="006D7571" w:rsidP="00E90058">
            <w:pPr>
              <w:pStyle w:val="ARtabletextright"/>
              <w:rPr>
                <w:lang w:eastAsia="en-AU"/>
              </w:rPr>
            </w:pPr>
            <w:r w:rsidRPr="000557CC">
              <w:rPr>
                <w:lang w:eastAsia="en-AU"/>
              </w:rPr>
              <w:t>3,772.1</w:t>
            </w:r>
          </w:p>
        </w:tc>
        <w:tc>
          <w:tcPr>
            <w:tcW w:w="834" w:type="pct"/>
            <w:noWrap/>
          </w:tcPr>
          <w:p w14:paraId="7AE6F6CC" w14:textId="77777777" w:rsidR="006D7571" w:rsidRPr="000557CC" w:rsidRDefault="006D7571" w:rsidP="00E90058">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3,648.3</w:t>
            </w:r>
          </w:p>
        </w:tc>
        <w:tc>
          <w:tcPr>
            <w:cnfStyle w:val="000001000000" w:firstRow="0" w:lastRow="0" w:firstColumn="0" w:lastColumn="0" w:oddVBand="0" w:evenVBand="1" w:oddHBand="0" w:evenHBand="0" w:firstRowFirstColumn="0" w:firstRowLastColumn="0" w:lastRowFirstColumn="0" w:lastRowLastColumn="0"/>
            <w:tcW w:w="834" w:type="pct"/>
            <w:noWrap/>
          </w:tcPr>
          <w:p w14:paraId="0996FA22" w14:textId="77777777" w:rsidR="006D7571" w:rsidRPr="000557CC" w:rsidRDefault="006D7571" w:rsidP="00E90058">
            <w:pPr>
              <w:pStyle w:val="ARtabletextright"/>
              <w:rPr>
                <w:lang w:eastAsia="en-AU"/>
              </w:rPr>
            </w:pPr>
            <w:r w:rsidRPr="000557CC">
              <w:rPr>
                <w:lang w:eastAsia="en-AU"/>
              </w:rPr>
              <w:t>–</w:t>
            </w:r>
          </w:p>
        </w:tc>
      </w:tr>
      <w:tr w:rsidR="006D7571" w:rsidRPr="000557CC" w14:paraId="666C84B5" w14:textId="77777777" w:rsidTr="009F3BE7">
        <w:trPr>
          <w:trHeight w:val="288"/>
        </w:trPr>
        <w:tc>
          <w:tcPr>
            <w:tcW w:w="2497" w:type="pct"/>
            <w:noWrap/>
          </w:tcPr>
          <w:p w14:paraId="16803B1B" w14:textId="77777777" w:rsidR="006D7571" w:rsidRPr="000557CC" w:rsidRDefault="006D7571" w:rsidP="00E90058">
            <w:pPr>
              <w:pStyle w:val="ARTabletext"/>
              <w:rPr>
                <w:color w:val="000000"/>
                <w:lang w:eastAsia="en-AU"/>
              </w:rPr>
            </w:pPr>
            <w:r w:rsidRPr="000557CC">
              <w:rPr>
                <w:lang w:eastAsia="en-AU"/>
              </w:rPr>
              <w:t>Certified climate active carbon neutral electricity purchased</w:t>
            </w:r>
          </w:p>
        </w:tc>
        <w:tc>
          <w:tcPr>
            <w:cnfStyle w:val="000001000000" w:firstRow="0" w:lastRow="0" w:firstColumn="0" w:lastColumn="0" w:oddVBand="0" w:evenVBand="1" w:oddHBand="0" w:evenHBand="0" w:firstRowFirstColumn="0" w:firstRowLastColumn="0" w:lastRowFirstColumn="0" w:lastRowLastColumn="0"/>
            <w:tcW w:w="834" w:type="pct"/>
            <w:noWrap/>
          </w:tcPr>
          <w:p w14:paraId="50684B82" w14:textId="77777777" w:rsidR="006D7571" w:rsidRPr="000557CC" w:rsidRDefault="006D7571" w:rsidP="00E90058">
            <w:pPr>
              <w:pStyle w:val="ARtabletextright"/>
              <w:rPr>
                <w:lang w:eastAsia="en-AU"/>
              </w:rPr>
            </w:pPr>
            <w:r w:rsidRPr="000557CC">
              <w:rPr>
                <w:lang w:eastAsia="en-AU"/>
              </w:rPr>
              <w:t>–</w:t>
            </w:r>
          </w:p>
        </w:tc>
        <w:tc>
          <w:tcPr>
            <w:tcW w:w="834" w:type="pct"/>
            <w:noWrap/>
          </w:tcPr>
          <w:p w14:paraId="4C259369" w14:textId="77777777" w:rsidR="006D7571" w:rsidRPr="000557CC" w:rsidRDefault="006D7571" w:rsidP="00E90058">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834" w:type="pct"/>
            <w:noWrap/>
          </w:tcPr>
          <w:p w14:paraId="5894FAF6" w14:textId="77777777" w:rsidR="006D7571" w:rsidRPr="000557CC" w:rsidRDefault="006D7571" w:rsidP="00E90058">
            <w:pPr>
              <w:pStyle w:val="ARtabletextright"/>
              <w:rPr>
                <w:lang w:eastAsia="en-AU"/>
              </w:rPr>
            </w:pPr>
            <w:r w:rsidRPr="000557CC">
              <w:rPr>
                <w:lang w:eastAsia="en-AU"/>
              </w:rPr>
              <w:t>–</w:t>
            </w:r>
          </w:p>
        </w:tc>
      </w:tr>
      <w:tr w:rsidR="006D7571" w:rsidRPr="000557CC" w14:paraId="11F18286" w14:textId="77777777" w:rsidTr="009F3BE7">
        <w:trPr>
          <w:cnfStyle w:val="010000000000" w:firstRow="0" w:lastRow="1" w:firstColumn="0" w:lastColumn="0" w:oddVBand="0" w:evenVBand="0" w:oddHBand="0" w:evenHBand="0" w:firstRowFirstColumn="0" w:firstRowLastColumn="0" w:lastRowFirstColumn="0" w:lastRowLastColumn="0"/>
          <w:trHeight w:val="288"/>
        </w:trPr>
        <w:tc>
          <w:tcPr>
            <w:tcW w:w="2497" w:type="pct"/>
            <w:noWrap/>
            <w:hideMark/>
          </w:tcPr>
          <w:p w14:paraId="6C2C0FAF" w14:textId="77777777" w:rsidR="006D7571" w:rsidRPr="000557CC" w:rsidRDefault="006D7571" w:rsidP="00E90058">
            <w:pPr>
              <w:pStyle w:val="ARtabletextbold"/>
              <w:rPr>
                <w:lang w:eastAsia="en-AU"/>
              </w:rPr>
            </w:pPr>
            <w:r w:rsidRPr="000557CC">
              <w:rPr>
                <w:lang w:eastAsia="en-AU"/>
              </w:rPr>
              <w:t>EL4 Total electricity offsets</w:t>
            </w:r>
          </w:p>
        </w:tc>
        <w:tc>
          <w:tcPr>
            <w:cnfStyle w:val="000001000000" w:firstRow="0" w:lastRow="0" w:firstColumn="0" w:lastColumn="0" w:oddVBand="0" w:evenVBand="1" w:oddHBand="0" w:evenHBand="0" w:firstRowFirstColumn="0" w:firstRowLastColumn="0" w:lastRowFirstColumn="0" w:lastRowLastColumn="0"/>
            <w:tcW w:w="834" w:type="pct"/>
            <w:noWrap/>
          </w:tcPr>
          <w:p w14:paraId="7162970B" w14:textId="77777777" w:rsidR="006D7571" w:rsidRPr="000557CC" w:rsidRDefault="006D7571" w:rsidP="00E90058">
            <w:pPr>
              <w:pStyle w:val="ARtabletextrightbold"/>
              <w:rPr>
                <w:lang w:eastAsia="en-AU"/>
              </w:rPr>
            </w:pPr>
            <w:r w:rsidRPr="000557CC">
              <w:rPr>
                <w:lang w:eastAsia="en-AU"/>
              </w:rPr>
              <w:t>17,883.7</w:t>
            </w:r>
          </w:p>
        </w:tc>
        <w:tc>
          <w:tcPr>
            <w:tcW w:w="834" w:type="pct"/>
            <w:noWrap/>
          </w:tcPr>
          <w:p w14:paraId="6E49858B" w14:textId="77777777" w:rsidR="006D7571" w:rsidRPr="000557CC" w:rsidRDefault="006D7571" w:rsidP="00E90058">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5,392.6</w:t>
            </w:r>
          </w:p>
        </w:tc>
        <w:tc>
          <w:tcPr>
            <w:cnfStyle w:val="000001000000" w:firstRow="0" w:lastRow="0" w:firstColumn="0" w:lastColumn="0" w:oddVBand="0" w:evenVBand="1" w:oddHBand="0" w:evenHBand="0" w:firstRowFirstColumn="0" w:firstRowLastColumn="0" w:lastRowFirstColumn="0" w:lastRowLastColumn="0"/>
            <w:tcW w:w="834" w:type="pct"/>
            <w:noWrap/>
            <w:hideMark/>
          </w:tcPr>
          <w:p w14:paraId="15950BC7" w14:textId="77777777" w:rsidR="006D7571" w:rsidRPr="000557CC" w:rsidRDefault="006D7571" w:rsidP="00E90058">
            <w:pPr>
              <w:pStyle w:val="ARtabletextrightbold"/>
              <w:rPr>
                <w:lang w:eastAsia="en-AU"/>
              </w:rPr>
            </w:pPr>
            <w:r w:rsidRPr="000557CC">
              <w:rPr>
                <w:lang w:eastAsia="en-AU"/>
              </w:rPr>
              <w:t>1,552.9</w:t>
            </w:r>
          </w:p>
        </w:tc>
      </w:tr>
    </w:tbl>
    <w:p w14:paraId="79290F1D" w14:textId="77777777" w:rsidR="006D7571" w:rsidRPr="000557CC" w:rsidRDefault="006D7571" w:rsidP="00E90058">
      <w:pPr>
        <w:pStyle w:val="Heading3"/>
        <w:rPr>
          <w:lang w:eastAsia="en-AU"/>
        </w:rPr>
      </w:pPr>
      <w:r w:rsidRPr="000557CC">
        <w:rPr>
          <w:lang w:eastAsia="en-AU"/>
        </w:rPr>
        <w:t>Stationary fuel use</w:t>
      </w:r>
    </w:p>
    <w:p w14:paraId="3735D3D5" w14:textId="63C300D6" w:rsidR="006D7571" w:rsidRPr="000557CC" w:rsidRDefault="006D7571" w:rsidP="00E90058">
      <w:pPr>
        <w:pStyle w:val="ARBody"/>
      </w:pPr>
      <w:r w:rsidRPr="000557CC">
        <w:t>Sources of emissions from stationary fuel include natural gas used in some buildings’ heating systems. The</w:t>
      </w:r>
      <w:r w:rsidR="00773441">
        <w:t> </w:t>
      </w:r>
      <w:r w:rsidRPr="000557CC">
        <w:t>department collected data primarily through billing information from fuel suppliers.</w:t>
      </w:r>
    </w:p>
    <w:p w14:paraId="270C5571" w14:textId="77777777" w:rsidR="006D7571" w:rsidRPr="006D7571" w:rsidRDefault="006D7571" w:rsidP="00E90058">
      <w:pPr>
        <w:pStyle w:val="ARBody"/>
      </w:pPr>
      <w:r w:rsidRPr="000557CC">
        <w:t>There has been a 17% decrease in natural gas use from 2024–25 t</w:t>
      </w:r>
      <w:r w:rsidRPr="006D7571">
        <w:t>o 2025–26 as more sites that are reliant on gas become vacated and all new builds are regulated to use electricity. Consumption and emissions data is from the 18 sites that use natural gas.</w:t>
      </w:r>
    </w:p>
    <w:p w14:paraId="1F369955" w14:textId="77777777" w:rsidR="006D7571" w:rsidRPr="000557CC" w:rsidRDefault="006D7571" w:rsidP="00E90058">
      <w:pPr>
        <w:pStyle w:val="Heading4"/>
      </w:pPr>
      <w:r w:rsidRPr="000557CC">
        <w:t>Department offices</w:t>
      </w:r>
    </w:p>
    <w:p w14:paraId="0CA51E16" w14:textId="77777777" w:rsidR="006D7571" w:rsidRPr="000557CC" w:rsidRDefault="006D7571" w:rsidP="00965115">
      <w:pPr>
        <w:pStyle w:val="ARTablecaption"/>
        <w:spacing w:before="0"/>
        <w:rPr>
          <w:rFonts w:eastAsia="MS PGothic"/>
        </w:rPr>
      </w:pPr>
      <w:r w:rsidRPr="000557CC">
        <w:rPr>
          <w:rFonts w:eastAsia="MS PGothic"/>
        </w:rPr>
        <w:t>F1 Total Fuels used in buildings and machinery</w:t>
      </w:r>
    </w:p>
    <w:tbl>
      <w:tblPr>
        <w:tblStyle w:val="ARtable1"/>
        <w:tblW w:w="5000" w:type="pct"/>
        <w:tblLook w:val="02E0" w:firstRow="1" w:lastRow="1" w:firstColumn="1" w:lastColumn="0" w:noHBand="1" w:noVBand="0"/>
      </w:tblPr>
      <w:tblGrid>
        <w:gridCol w:w="4818"/>
        <w:gridCol w:w="1604"/>
        <w:gridCol w:w="1604"/>
        <w:gridCol w:w="1602"/>
      </w:tblGrid>
      <w:tr w:rsidR="006D7571" w:rsidRPr="000557CC" w14:paraId="6B077437" w14:textId="77777777" w:rsidTr="004D01FA">
        <w:trPr>
          <w:cnfStyle w:val="100000000000" w:firstRow="1" w:lastRow="0" w:firstColumn="0" w:lastColumn="0" w:oddVBand="0" w:evenVBand="0" w:oddHBand="0" w:evenHBand="0" w:firstRowFirstColumn="0" w:firstRowLastColumn="0" w:lastRowFirstColumn="0" w:lastRowLastColumn="0"/>
          <w:tblHeader/>
        </w:trPr>
        <w:tc>
          <w:tcPr>
            <w:tcW w:w="2502" w:type="pct"/>
            <w:noWrap/>
            <w:hideMark/>
          </w:tcPr>
          <w:p w14:paraId="357FDB0E" w14:textId="77777777" w:rsidR="006D7571" w:rsidRPr="000557CC" w:rsidRDefault="006D7571" w:rsidP="001E6F2C">
            <w:pPr>
              <w:pStyle w:val="ARtablecolhead"/>
              <w:rPr>
                <w:lang w:eastAsia="en-AU"/>
              </w:rPr>
            </w:pPr>
            <w:r w:rsidRPr="000557CC">
              <w:rPr>
                <w:lang w:eastAsia="en-AU"/>
              </w:rPr>
              <w:t>Indicator</w:t>
            </w:r>
          </w:p>
        </w:tc>
        <w:tc>
          <w:tcPr>
            <w:cnfStyle w:val="000001000000" w:firstRow="0" w:lastRow="0" w:firstColumn="0" w:lastColumn="0" w:oddVBand="0" w:evenVBand="1" w:oddHBand="0" w:evenHBand="0" w:firstRowFirstColumn="0" w:firstRowLastColumn="0" w:lastRowFirstColumn="0" w:lastRowLastColumn="0"/>
            <w:tcW w:w="833" w:type="pct"/>
            <w:noWrap/>
            <w:hideMark/>
          </w:tcPr>
          <w:p w14:paraId="0503703F" w14:textId="77777777" w:rsidR="006D7571" w:rsidRPr="000557CC" w:rsidRDefault="006D7571" w:rsidP="001E6F2C">
            <w:pPr>
              <w:pStyle w:val="ARtablecolheadright"/>
              <w:rPr>
                <w:lang w:eastAsia="en-AU"/>
              </w:rPr>
            </w:pPr>
            <w:r w:rsidRPr="000557CC">
              <w:rPr>
                <w:lang w:eastAsia="en-AU"/>
              </w:rPr>
              <w:t>2025–26</w:t>
            </w:r>
          </w:p>
          <w:p w14:paraId="6FF5D14A" w14:textId="77777777" w:rsidR="006D7571" w:rsidRPr="000557CC" w:rsidRDefault="006D7571" w:rsidP="001E6F2C">
            <w:pPr>
              <w:pStyle w:val="ARtablecolheadright"/>
              <w:rPr>
                <w:lang w:eastAsia="en-AU"/>
              </w:rPr>
            </w:pPr>
            <w:r w:rsidRPr="000557CC">
              <w:rPr>
                <w:lang w:eastAsia="en-AU"/>
              </w:rPr>
              <w:t>MJ</w:t>
            </w:r>
          </w:p>
        </w:tc>
        <w:tc>
          <w:tcPr>
            <w:tcW w:w="833" w:type="pct"/>
            <w:noWrap/>
            <w:hideMark/>
          </w:tcPr>
          <w:p w14:paraId="446AEAC2" w14:textId="77777777" w:rsidR="006D7571" w:rsidRPr="000557CC" w:rsidRDefault="006D7571" w:rsidP="001E6F2C">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54BCFD73" w14:textId="77777777" w:rsidR="006D7571" w:rsidRPr="000557CC" w:rsidRDefault="006D7571" w:rsidP="001E6F2C">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MJ</w:t>
            </w:r>
          </w:p>
        </w:tc>
        <w:tc>
          <w:tcPr>
            <w:cnfStyle w:val="000001000000" w:firstRow="0" w:lastRow="0" w:firstColumn="0" w:lastColumn="0" w:oddVBand="0" w:evenVBand="1" w:oddHBand="0" w:evenHBand="0" w:firstRowFirstColumn="0" w:firstRowLastColumn="0" w:lastRowFirstColumn="0" w:lastRowLastColumn="0"/>
            <w:tcW w:w="832" w:type="pct"/>
            <w:noWrap/>
            <w:hideMark/>
          </w:tcPr>
          <w:p w14:paraId="715410F9" w14:textId="77777777" w:rsidR="006D7571" w:rsidRPr="000557CC" w:rsidRDefault="006D7571" w:rsidP="001E6F2C">
            <w:pPr>
              <w:pStyle w:val="ARtablecolheadright"/>
              <w:rPr>
                <w:lang w:eastAsia="en-AU"/>
              </w:rPr>
            </w:pPr>
            <w:r w:rsidRPr="000557CC">
              <w:rPr>
                <w:lang w:eastAsia="en-AU"/>
              </w:rPr>
              <w:t>2023–24</w:t>
            </w:r>
          </w:p>
          <w:p w14:paraId="411C0563" w14:textId="04EE5D9B" w:rsidR="006D7571" w:rsidRPr="000557CC" w:rsidRDefault="00CF24D4" w:rsidP="001E6F2C">
            <w:pPr>
              <w:pStyle w:val="ARtablecolheadright"/>
              <w:rPr>
                <w:lang w:eastAsia="en-AU"/>
              </w:rPr>
            </w:pPr>
            <w:r>
              <w:rPr>
                <w:lang w:eastAsia="en-AU"/>
              </w:rPr>
              <w:t>M</w:t>
            </w:r>
            <w:r w:rsidR="000557CC" w:rsidRPr="000557CC" w:rsidDel="0005797E">
              <w:rPr>
                <w:lang w:eastAsia="en-AU"/>
              </w:rPr>
              <w:t>J</w:t>
            </w:r>
          </w:p>
        </w:tc>
      </w:tr>
      <w:tr w:rsidR="004D01FA" w:rsidRPr="000557CC" w14:paraId="52582440" w14:textId="77777777" w:rsidTr="004D01FA">
        <w:trPr>
          <w:trHeight w:val="288"/>
        </w:trPr>
        <w:tc>
          <w:tcPr>
            <w:tcW w:w="2502" w:type="pct"/>
            <w:noWrap/>
          </w:tcPr>
          <w:p w14:paraId="481B1EA9" w14:textId="6648ECE0" w:rsidR="004D01FA" w:rsidRPr="000557CC" w:rsidRDefault="004D01FA" w:rsidP="004D01FA">
            <w:pPr>
              <w:pStyle w:val="ARTabletextboldcoloured"/>
              <w:rPr>
                <w:lang w:eastAsia="en-AU"/>
              </w:rPr>
            </w:pPr>
            <w:r w:rsidRPr="000557CC">
              <w:rPr>
                <w:lang w:eastAsia="en-AU"/>
              </w:rPr>
              <w:t>Buildings</w:t>
            </w:r>
          </w:p>
        </w:tc>
        <w:tc>
          <w:tcPr>
            <w:cnfStyle w:val="000001000000" w:firstRow="0" w:lastRow="0" w:firstColumn="0" w:lastColumn="0" w:oddVBand="0" w:evenVBand="1" w:oddHBand="0" w:evenHBand="0" w:firstRowFirstColumn="0" w:firstRowLastColumn="0" w:lastRowFirstColumn="0" w:lastRowLastColumn="0"/>
            <w:tcW w:w="833" w:type="pct"/>
            <w:shd w:val="clear" w:color="auto" w:fill="auto"/>
            <w:noWrap/>
          </w:tcPr>
          <w:p w14:paraId="53740A8A" w14:textId="77777777" w:rsidR="004D01FA" w:rsidRPr="000557CC" w:rsidRDefault="004D01FA" w:rsidP="001E6F2C">
            <w:pPr>
              <w:pStyle w:val="ARtabletextright"/>
              <w:rPr>
                <w:lang w:eastAsia="en-AU"/>
              </w:rPr>
            </w:pPr>
          </w:p>
        </w:tc>
        <w:tc>
          <w:tcPr>
            <w:tcW w:w="833" w:type="pct"/>
            <w:noWrap/>
          </w:tcPr>
          <w:p w14:paraId="25C54579" w14:textId="77777777" w:rsidR="004D01FA" w:rsidRPr="000557CC" w:rsidRDefault="004D01FA"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832" w:type="pct"/>
            <w:shd w:val="clear" w:color="auto" w:fill="auto"/>
            <w:noWrap/>
          </w:tcPr>
          <w:p w14:paraId="1C06F7AB" w14:textId="77777777" w:rsidR="004D01FA" w:rsidRPr="000557CC" w:rsidRDefault="004D01FA" w:rsidP="001E6F2C">
            <w:pPr>
              <w:pStyle w:val="ARtabletextright"/>
              <w:rPr>
                <w:lang w:eastAsia="en-AU"/>
              </w:rPr>
            </w:pPr>
          </w:p>
        </w:tc>
      </w:tr>
      <w:tr w:rsidR="006D7571" w:rsidRPr="000557CC" w14:paraId="1416C4EE" w14:textId="77777777" w:rsidTr="004D01FA">
        <w:trPr>
          <w:trHeight w:val="288"/>
        </w:trPr>
        <w:tc>
          <w:tcPr>
            <w:tcW w:w="2502" w:type="pct"/>
            <w:noWrap/>
            <w:hideMark/>
          </w:tcPr>
          <w:p w14:paraId="71AECD4C" w14:textId="77777777" w:rsidR="006D7571" w:rsidRPr="000557CC" w:rsidRDefault="006D7571" w:rsidP="001E6F2C">
            <w:pPr>
              <w:pStyle w:val="ARTabletext"/>
              <w:rPr>
                <w:color w:val="000000"/>
                <w:lang w:eastAsia="en-AU"/>
              </w:rPr>
            </w:pPr>
            <w:r w:rsidRPr="000557CC">
              <w:rPr>
                <w:lang w:eastAsia="en-AU"/>
              </w:rPr>
              <w:t>Natural gas</w:t>
            </w:r>
          </w:p>
        </w:tc>
        <w:tc>
          <w:tcPr>
            <w:cnfStyle w:val="000001000000" w:firstRow="0" w:lastRow="0" w:firstColumn="0" w:lastColumn="0" w:oddVBand="0" w:evenVBand="1" w:oddHBand="0" w:evenHBand="0" w:firstRowFirstColumn="0" w:firstRowLastColumn="0" w:lastRowFirstColumn="0" w:lastRowLastColumn="0"/>
            <w:tcW w:w="833" w:type="pct"/>
            <w:noWrap/>
          </w:tcPr>
          <w:p w14:paraId="5A06D6AB" w14:textId="77777777" w:rsidR="006D7571" w:rsidRPr="000557CC" w:rsidRDefault="006D7571" w:rsidP="001E6F2C">
            <w:pPr>
              <w:pStyle w:val="ARtabletextright"/>
              <w:rPr>
                <w:lang w:eastAsia="en-AU"/>
              </w:rPr>
            </w:pPr>
            <w:r w:rsidRPr="000557CC">
              <w:rPr>
                <w:lang w:eastAsia="en-AU"/>
              </w:rPr>
              <w:t>13,460,454</w:t>
            </w:r>
          </w:p>
        </w:tc>
        <w:tc>
          <w:tcPr>
            <w:tcW w:w="833" w:type="pct"/>
            <w:noWrap/>
          </w:tcPr>
          <w:p w14:paraId="536633EA"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15,871,876</w:t>
            </w:r>
          </w:p>
        </w:tc>
        <w:tc>
          <w:tcPr>
            <w:cnfStyle w:val="000001000000" w:firstRow="0" w:lastRow="0" w:firstColumn="0" w:lastColumn="0" w:oddVBand="0" w:evenVBand="1" w:oddHBand="0" w:evenHBand="0" w:firstRowFirstColumn="0" w:firstRowLastColumn="0" w:lastRowFirstColumn="0" w:lastRowLastColumn="0"/>
            <w:tcW w:w="832" w:type="pct"/>
            <w:noWrap/>
          </w:tcPr>
          <w:p w14:paraId="12E27107" w14:textId="77777777" w:rsidR="006D7571" w:rsidRPr="000557CC" w:rsidRDefault="006D7571" w:rsidP="001E6F2C">
            <w:pPr>
              <w:pStyle w:val="ARtabletextright"/>
              <w:rPr>
                <w:lang w:eastAsia="en-AU"/>
              </w:rPr>
            </w:pPr>
            <w:r w:rsidRPr="000557CC">
              <w:rPr>
                <w:lang w:eastAsia="en-AU"/>
              </w:rPr>
              <w:t>16,744,636</w:t>
            </w:r>
          </w:p>
        </w:tc>
      </w:tr>
      <w:tr w:rsidR="006D7571" w:rsidRPr="000557CC" w14:paraId="484934BD" w14:textId="77777777" w:rsidTr="004D01FA">
        <w:trPr>
          <w:cnfStyle w:val="010000000000" w:firstRow="0" w:lastRow="1" w:firstColumn="0" w:lastColumn="0" w:oddVBand="0" w:evenVBand="0" w:oddHBand="0" w:evenHBand="0" w:firstRowFirstColumn="0" w:firstRowLastColumn="0" w:lastRowFirstColumn="0" w:lastRowLastColumn="0"/>
          <w:trHeight w:val="288"/>
        </w:trPr>
        <w:tc>
          <w:tcPr>
            <w:tcW w:w="2502" w:type="pct"/>
            <w:noWrap/>
          </w:tcPr>
          <w:p w14:paraId="488D9875" w14:textId="77777777" w:rsidR="006D7571" w:rsidRPr="000557CC" w:rsidRDefault="006D7571" w:rsidP="001E6F2C">
            <w:pPr>
              <w:pStyle w:val="ARtabletextbold"/>
              <w:rPr>
                <w:lang w:eastAsia="en-AU"/>
              </w:rPr>
            </w:pPr>
            <w:r w:rsidRPr="000557CC">
              <w:rPr>
                <w:lang w:eastAsia="en-AU"/>
              </w:rPr>
              <w:t>F1 Total fuels used in buildings and machinery</w:t>
            </w:r>
          </w:p>
        </w:tc>
        <w:tc>
          <w:tcPr>
            <w:cnfStyle w:val="000001000000" w:firstRow="0" w:lastRow="0" w:firstColumn="0" w:lastColumn="0" w:oddVBand="0" w:evenVBand="1" w:oddHBand="0" w:evenHBand="0" w:firstRowFirstColumn="0" w:firstRowLastColumn="0" w:lastRowFirstColumn="0" w:lastRowLastColumn="0"/>
            <w:tcW w:w="833" w:type="pct"/>
            <w:noWrap/>
          </w:tcPr>
          <w:p w14:paraId="7B1E8A9B" w14:textId="77777777" w:rsidR="006D7571" w:rsidRPr="000557CC" w:rsidRDefault="006D7571" w:rsidP="001E6F2C">
            <w:pPr>
              <w:pStyle w:val="ARtabletextrightbold"/>
              <w:rPr>
                <w:lang w:eastAsia="en-AU"/>
              </w:rPr>
            </w:pPr>
            <w:r w:rsidRPr="000557CC">
              <w:rPr>
                <w:lang w:eastAsia="en-AU"/>
              </w:rPr>
              <w:t>13,460,454</w:t>
            </w:r>
          </w:p>
        </w:tc>
        <w:tc>
          <w:tcPr>
            <w:tcW w:w="833" w:type="pct"/>
            <w:noWrap/>
          </w:tcPr>
          <w:p w14:paraId="5DB84ECC" w14:textId="77777777" w:rsidR="006D7571" w:rsidRPr="000557CC" w:rsidRDefault="006D7571" w:rsidP="001E6F2C">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15,871,876</w:t>
            </w:r>
          </w:p>
        </w:tc>
        <w:tc>
          <w:tcPr>
            <w:cnfStyle w:val="000001000000" w:firstRow="0" w:lastRow="0" w:firstColumn="0" w:lastColumn="0" w:oddVBand="0" w:evenVBand="1" w:oddHBand="0" w:evenHBand="0" w:firstRowFirstColumn="0" w:firstRowLastColumn="0" w:lastRowFirstColumn="0" w:lastRowLastColumn="0"/>
            <w:tcW w:w="832" w:type="pct"/>
            <w:noWrap/>
          </w:tcPr>
          <w:p w14:paraId="02B3D6EF" w14:textId="77777777" w:rsidR="006D7571" w:rsidRPr="000557CC" w:rsidRDefault="006D7571" w:rsidP="001E6F2C">
            <w:pPr>
              <w:pStyle w:val="ARtabletextrightbold"/>
              <w:rPr>
                <w:lang w:eastAsia="en-AU"/>
              </w:rPr>
            </w:pPr>
            <w:r w:rsidRPr="000557CC">
              <w:rPr>
                <w:lang w:eastAsia="en-AU"/>
              </w:rPr>
              <w:t>16,744,636</w:t>
            </w:r>
          </w:p>
        </w:tc>
      </w:tr>
    </w:tbl>
    <w:p w14:paraId="3B790D0E" w14:textId="77777777" w:rsidR="006D7571" w:rsidRPr="000557CC" w:rsidRDefault="006D7571" w:rsidP="00E90058">
      <w:pPr>
        <w:pStyle w:val="ARTablecaption"/>
        <w:rPr>
          <w:rFonts w:eastAsia="MS PGothic"/>
        </w:rPr>
      </w:pPr>
      <w:r w:rsidRPr="000557CC">
        <w:rPr>
          <w:rFonts w:eastAsia="MS PGothic"/>
        </w:rPr>
        <w:t>F2 Greenhouse gas emissions stationary fuel consumption</w:t>
      </w:r>
    </w:p>
    <w:tbl>
      <w:tblPr>
        <w:tblStyle w:val="ARtable1"/>
        <w:tblW w:w="5000" w:type="pct"/>
        <w:tblLook w:val="00E0" w:firstRow="1" w:lastRow="1" w:firstColumn="1" w:lastColumn="0" w:noHBand="0" w:noVBand="0"/>
      </w:tblPr>
      <w:tblGrid>
        <w:gridCol w:w="4909"/>
        <w:gridCol w:w="1571"/>
        <w:gridCol w:w="1574"/>
        <w:gridCol w:w="1574"/>
      </w:tblGrid>
      <w:tr w:rsidR="006D7571" w:rsidRPr="000557CC" w14:paraId="7C135BF5" w14:textId="77777777" w:rsidTr="009F3BE7">
        <w:trPr>
          <w:cnfStyle w:val="100000000000" w:firstRow="1" w:lastRow="0" w:firstColumn="0" w:lastColumn="0" w:oddVBand="0" w:evenVBand="0" w:oddHBand="0" w:evenHBand="0" w:firstRowFirstColumn="0" w:firstRowLastColumn="0" w:lastRowFirstColumn="0" w:lastRowLastColumn="0"/>
          <w:tblHeader/>
        </w:trPr>
        <w:tc>
          <w:tcPr>
            <w:tcW w:w="2487" w:type="pct"/>
            <w:noWrap/>
            <w:hideMark/>
          </w:tcPr>
          <w:p w14:paraId="2DF6AD20" w14:textId="77777777" w:rsidR="006D7571" w:rsidRPr="000557CC" w:rsidRDefault="006D7571" w:rsidP="001E6F2C">
            <w:pPr>
              <w:pStyle w:val="ARtablecolhead"/>
              <w:rPr>
                <w:lang w:eastAsia="en-AU"/>
              </w:rPr>
            </w:pPr>
          </w:p>
        </w:tc>
        <w:tc>
          <w:tcPr>
            <w:cnfStyle w:val="000001000000" w:firstRow="0" w:lastRow="0" w:firstColumn="0" w:lastColumn="0" w:oddVBand="0" w:evenVBand="1" w:oddHBand="0" w:evenHBand="0" w:firstRowFirstColumn="0" w:firstRowLastColumn="0" w:lastRowFirstColumn="0" w:lastRowLastColumn="0"/>
            <w:tcW w:w="837" w:type="pct"/>
            <w:noWrap/>
            <w:hideMark/>
          </w:tcPr>
          <w:p w14:paraId="6B5C72B3" w14:textId="77777777" w:rsidR="006D7571" w:rsidRPr="000557CC" w:rsidRDefault="006D7571" w:rsidP="001E6F2C">
            <w:pPr>
              <w:pStyle w:val="ARtablecolheadright"/>
              <w:rPr>
                <w:lang w:eastAsia="en-AU"/>
              </w:rPr>
            </w:pPr>
            <w:r w:rsidRPr="000557CC">
              <w:rPr>
                <w:lang w:eastAsia="en-AU"/>
              </w:rPr>
              <w:t>2025–26</w:t>
            </w:r>
            <w:r w:rsidRPr="000557CC">
              <w:rPr>
                <w:lang w:eastAsia="en-AU"/>
              </w:rPr>
              <w:br/>
              <w:t>Tonnes CO</w:t>
            </w:r>
            <w:r w:rsidRPr="000557CC">
              <w:rPr>
                <w:vertAlign w:val="subscript"/>
                <w:lang w:eastAsia="en-AU"/>
              </w:rPr>
              <w:t>2</w:t>
            </w:r>
            <w:r w:rsidRPr="000557CC">
              <w:rPr>
                <w:lang w:eastAsia="en-AU"/>
              </w:rPr>
              <w:t>-e</w:t>
            </w:r>
          </w:p>
        </w:tc>
        <w:tc>
          <w:tcPr>
            <w:tcW w:w="838" w:type="pct"/>
            <w:noWrap/>
            <w:hideMark/>
          </w:tcPr>
          <w:p w14:paraId="54A92135" w14:textId="77777777" w:rsidR="006D7571" w:rsidRPr="000557CC" w:rsidRDefault="006D7571" w:rsidP="001E6F2C">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r w:rsidRPr="000557CC">
              <w:rPr>
                <w:lang w:eastAsia="en-AU"/>
              </w:rPr>
              <w:br/>
              <w:t>Tonnes CO</w:t>
            </w:r>
            <w:r w:rsidRPr="000557CC">
              <w:rPr>
                <w:vertAlign w:val="subscript"/>
                <w:lang w:eastAsia="en-AU"/>
              </w:rPr>
              <w:t>2</w:t>
            </w:r>
            <w:r w:rsidRPr="000557CC">
              <w:rPr>
                <w:lang w:eastAsia="en-AU"/>
              </w:rPr>
              <w:t>-e</w:t>
            </w:r>
          </w:p>
        </w:tc>
        <w:tc>
          <w:tcPr>
            <w:cnfStyle w:val="000001000000" w:firstRow="0" w:lastRow="0" w:firstColumn="0" w:lastColumn="0" w:oddVBand="0" w:evenVBand="1" w:oddHBand="0" w:evenHBand="0" w:firstRowFirstColumn="0" w:firstRowLastColumn="0" w:lastRowFirstColumn="0" w:lastRowLastColumn="0"/>
            <w:tcW w:w="838" w:type="pct"/>
            <w:noWrap/>
            <w:hideMark/>
          </w:tcPr>
          <w:p w14:paraId="776BC28C" w14:textId="77777777" w:rsidR="006D7571" w:rsidRPr="000557CC" w:rsidRDefault="006D7571" w:rsidP="001E6F2C">
            <w:pPr>
              <w:pStyle w:val="ARtablecolheadright"/>
              <w:rPr>
                <w:lang w:eastAsia="en-AU"/>
              </w:rPr>
            </w:pPr>
            <w:r w:rsidRPr="000557CC">
              <w:rPr>
                <w:lang w:eastAsia="en-AU"/>
              </w:rPr>
              <w:t>2023–24</w:t>
            </w:r>
            <w:r w:rsidRPr="000557CC">
              <w:rPr>
                <w:lang w:eastAsia="en-AU"/>
              </w:rPr>
              <w:br/>
              <w:t>Tonnes CO</w:t>
            </w:r>
            <w:r w:rsidRPr="000557CC">
              <w:rPr>
                <w:vertAlign w:val="subscript"/>
                <w:lang w:eastAsia="en-AU"/>
              </w:rPr>
              <w:t>2</w:t>
            </w:r>
            <w:r w:rsidRPr="000557CC">
              <w:rPr>
                <w:lang w:eastAsia="en-AU"/>
              </w:rPr>
              <w:t>-e</w:t>
            </w:r>
          </w:p>
        </w:tc>
      </w:tr>
      <w:tr w:rsidR="006D7571" w:rsidRPr="000557CC" w14:paraId="6BB7971A" w14:textId="77777777" w:rsidTr="009F3BE7">
        <w:trPr>
          <w:cnfStyle w:val="010000000000" w:firstRow="0" w:lastRow="1" w:firstColumn="0" w:lastColumn="0" w:oddVBand="0" w:evenVBand="0" w:oddHBand="0" w:evenHBand="0" w:firstRowFirstColumn="0" w:firstRowLastColumn="0" w:lastRowFirstColumn="0" w:lastRowLastColumn="0"/>
          <w:trHeight w:val="311"/>
        </w:trPr>
        <w:tc>
          <w:tcPr>
            <w:tcW w:w="2487" w:type="pct"/>
            <w:noWrap/>
            <w:hideMark/>
          </w:tcPr>
          <w:p w14:paraId="0DBBC3D0" w14:textId="77777777" w:rsidR="006D7571" w:rsidRPr="000557CC" w:rsidRDefault="006D7571" w:rsidP="001E6F2C">
            <w:pPr>
              <w:pStyle w:val="ARTabletext"/>
              <w:rPr>
                <w:lang w:eastAsia="en-AU"/>
              </w:rPr>
            </w:pPr>
            <w:r w:rsidRPr="000557CC">
              <w:rPr>
                <w:lang w:eastAsia="en-AU"/>
              </w:rPr>
              <w:t>F2 Greenhouse gas emissions stationary fuel consumption</w:t>
            </w:r>
          </w:p>
        </w:tc>
        <w:tc>
          <w:tcPr>
            <w:cnfStyle w:val="000001000000" w:firstRow="0" w:lastRow="0" w:firstColumn="0" w:lastColumn="0" w:oddVBand="0" w:evenVBand="1" w:oddHBand="0" w:evenHBand="0" w:firstRowFirstColumn="0" w:firstRowLastColumn="0" w:lastRowFirstColumn="0" w:lastRowLastColumn="0"/>
            <w:tcW w:w="837" w:type="pct"/>
            <w:noWrap/>
            <w:hideMark/>
          </w:tcPr>
          <w:p w14:paraId="7753B523" w14:textId="77777777" w:rsidR="006D7571" w:rsidRPr="000557CC" w:rsidRDefault="006D7571" w:rsidP="001E6F2C">
            <w:pPr>
              <w:pStyle w:val="ARtabletextright"/>
              <w:rPr>
                <w:lang w:eastAsia="en-AU"/>
              </w:rPr>
            </w:pPr>
            <w:r w:rsidRPr="000557CC">
              <w:rPr>
                <w:lang w:eastAsia="en-AU"/>
              </w:rPr>
              <w:t>604</w:t>
            </w:r>
          </w:p>
        </w:tc>
        <w:tc>
          <w:tcPr>
            <w:tcW w:w="838" w:type="pct"/>
            <w:noWrap/>
            <w:hideMark/>
          </w:tcPr>
          <w:p w14:paraId="6158F0DB" w14:textId="77777777" w:rsidR="006D7571" w:rsidRPr="000557CC" w:rsidRDefault="006D7571" w:rsidP="001E6F2C">
            <w:pPr>
              <w:pStyle w:val="ARtabletextright"/>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818</w:t>
            </w:r>
          </w:p>
        </w:tc>
        <w:tc>
          <w:tcPr>
            <w:cnfStyle w:val="000001000000" w:firstRow="0" w:lastRow="0" w:firstColumn="0" w:lastColumn="0" w:oddVBand="0" w:evenVBand="1" w:oddHBand="0" w:evenHBand="0" w:firstRowFirstColumn="0" w:firstRowLastColumn="0" w:lastRowFirstColumn="0" w:lastRowLastColumn="0"/>
            <w:tcW w:w="838" w:type="pct"/>
            <w:noWrap/>
            <w:hideMark/>
          </w:tcPr>
          <w:p w14:paraId="2C1CE630" w14:textId="77777777" w:rsidR="006D7571" w:rsidRPr="000557CC" w:rsidRDefault="006D7571" w:rsidP="001E6F2C">
            <w:pPr>
              <w:pStyle w:val="ARtabletextright"/>
              <w:rPr>
                <w:lang w:eastAsia="en-AU"/>
              </w:rPr>
            </w:pPr>
            <w:r w:rsidRPr="000557CC">
              <w:rPr>
                <w:lang w:eastAsia="en-AU"/>
              </w:rPr>
              <w:t>863</w:t>
            </w:r>
          </w:p>
        </w:tc>
      </w:tr>
    </w:tbl>
    <w:p w14:paraId="362451DE" w14:textId="77777777" w:rsidR="006D7571" w:rsidRPr="000557CC" w:rsidRDefault="006D7571" w:rsidP="00E90058">
      <w:pPr>
        <w:pStyle w:val="Heading4"/>
      </w:pPr>
      <w:r w:rsidRPr="000557CC">
        <w:t>Housing Services</w:t>
      </w:r>
    </w:p>
    <w:p w14:paraId="2A657C0E" w14:textId="77777777" w:rsidR="006D7571" w:rsidRPr="000557CC" w:rsidRDefault="006D7571" w:rsidP="00965115">
      <w:pPr>
        <w:pStyle w:val="ARTablecaption"/>
        <w:spacing w:before="0"/>
        <w:rPr>
          <w:rFonts w:eastAsia="MS PGothic"/>
        </w:rPr>
      </w:pPr>
      <w:r w:rsidRPr="000557CC">
        <w:rPr>
          <w:rFonts w:eastAsia="MS PGothic"/>
        </w:rPr>
        <w:t>F1 Total Fuels used in buildings and machinery</w:t>
      </w:r>
    </w:p>
    <w:tbl>
      <w:tblPr>
        <w:tblStyle w:val="ARtable1"/>
        <w:tblW w:w="5000" w:type="pct"/>
        <w:tblLook w:val="02E0" w:firstRow="1" w:lastRow="1" w:firstColumn="1" w:lastColumn="0" w:noHBand="1" w:noVBand="0"/>
      </w:tblPr>
      <w:tblGrid>
        <w:gridCol w:w="4818"/>
        <w:gridCol w:w="1604"/>
        <w:gridCol w:w="1604"/>
        <w:gridCol w:w="1602"/>
      </w:tblGrid>
      <w:tr w:rsidR="006D7571" w:rsidRPr="000557CC" w14:paraId="4C4FEB8E" w14:textId="77777777" w:rsidTr="004D01FA">
        <w:trPr>
          <w:cnfStyle w:val="100000000000" w:firstRow="1" w:lastRow="0" w:firstColumn="0" w:lastColumn="0" w:oddVBand="0" w:evenVBand="0" w:oddHBand="0" w:evenHBand="0" w:firstRowFirstColumn="0" w:firstRowLastColumn="0" w:lastRowFirstColumn="0" w:lastRowLastColumn="0"/>
          <w:tblHeader/>
        </w:trPr>
        <w:tc>
          <w:tcPr>
            <w:tcW w:w="2502" w:type="pct"/>
            <w:noWrap/>
            <w:hideMark/>
          </w:tcPr>
          <w:p w14:paraId="1254E6BA" w14:textId="77777777" w:rsidR="006D7571" w:rsidRPr="000557CC" w:rsidRDefault="006D7571" w:rsidP="001E6F2C">
            <w:pPr>
              <w:pStyle w:val="ARtablecolhead"/>
              <w:rPr>
                <w:lang w:eastAsia="en-AU"/>
              </w:rPr>
            </w:pPr>
            <w:r w:rsidRPr="000557CC">
              <w:rPr>
                <w:lang w:eastAsia="en-AU"/>
              </w:rPr>
              <w:t>Indicator</w:t>
            </w:r>
          </w:p>
        </w:tc>
        <w:tc>
          <w:tcPr>
            <w:cnfStyle w:val="000001000000" w:firstRow="0" w:lastRow="0" w:firstColumn="0" w:lastColumn="0" w:oddVBand="0" w:evenVBand="1" w:oddHBand="0" w:evenHBand="0" w:firstRowFirstColumn="0" w:firstRowLastColumn="0" w:lastRowFirstColumn="0" w:lastRowLastColumn="0"/>
            <w:tcW w:w="833" w:type="pct"/>
            <w:noWrap/>
            <w:hideMark/>
          </w:tcPr>
          <w:p w14:paraId="5E24258A" w14:textId="77777777" w:rsidR="006D7571" w:rsidRPr="000557CC" w:rsidRDefault="006D7571" w:rsidP="001E6F2C">
            <w:pPr>
              <w:pStyle w:val="ARtablecolheadright"/>
              <w:rPr>
                <w:lang w:eastAsia="en-AU"/>
              </w:rPr>
            </w:pPr>
            <w:r w:rsidRPr="000557CC">
              <w:rPr>
                <w:lang w:eastAsia="en-AU"/>
              </w:rPr>
              <w:t>2025–26</w:t>
            </w:r>
          </w:p>
          <w:p w14:paraId="2BC11346" w14:textId="77777777" w:rsidR="006D7571" w:rsidRPr="000557CC" w:rsidRDefault="006D7571" w:rsidP="001E6F2C">
            <w:pPr>
              <w:pStyle w:val="ARtablecolheadright"/>
              <w:rPr>
                <w:lang w:eastAsia="en-AU"/>
              </w:rPr>
            </w:pPr>
            <w:r w:rsidRPr="000557CC">
              <w:rPr>
                <w:lang w:eastAsia="en-AU"/>
              </w:rPr>
              <w:t>MJ</w:t>
            </w:r>
          </w:p>
        </w:tc>
        <w:tc>
          <w:tcPr>
            <w:tcW w:w="833" w:type="pct"/>
            <w:noWrap/>
            <w:hideMark/>
          </w:tcPr>
          <w:p w14:paraId="290D2CBD" w14:textId="77777777" w:rsidR="006D7571" w:rsidRPr="000557CC" w:rsidRDefault="006D7571" w:rsidP="001E6F2C">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797A0CFF" w14:textId="77777777" w:rsidR="006D7571" w:rsidRPr="000557CC" w:rsidRDefault="006D7571" w:rsidP="001E6F2C">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MJ</w:t>
            </w:r>
          </w:p>
        </w:tc>
        <w:tc>
          <w:tcPr>
            <w:cnfStyle w:val="000001000000" w:firstRow="0" w:lastRow="0" w:firstColumn="0" w:lastColumn="0" w:oddVBand="0" w:evenVBand="1" w:oddHBand="0" w:evenHBand="0" w:firstRowFirstColumn="0" w:firstRowLastColumn="0" w:lastRowFirstColumn="0" w:lastRowLastColumn="0"/>
            <w:tcW w:w="832" w:type="pct"/>
            <w:noWrap/>
            <w:hideMark/>
          </w:tcPr>
          <w:p w14:paraId="5A5197A2" w14:textId="77777777" w:rsidR="006D7571" w:rsidRPr="000557CC" w:rsidRDefault="006D7571" w:rsidP="001E6F2C">
            <w:pPr>
              <w:pStyle w:val="ARtablecolheadright"/>
              <w:rPr>
                <w:lang w:eastAsia="en-AU"/>
              </w:rPr>
            </w:pPr>
            <w:r w:rsidRPr="000557CC">
              <w:rPr>
                <w:lang w:eastAsia="en-AU"/>
              </w:rPr>
              <w:t>2023–24</w:t>
            </w:r>
          </w:p>
          <w:p w14:paraId="07330B94" w14:textId="77777777" w:rsidR="006D7571" w:rsidRPr="000557CC" w:rsidRDefault="006D7571" w:rsidP="001E6F2C">
            <w:pPr>
              <w:pStyle w:val="ARtablecolheadright"/>
              <w:rPr>
                <w:lang w:eastAsia="en-AU"/>
              </w:rPr>
            </w:pPr>
            <w:r w:rsidRPr="000557CC">
              <w:rPr>
                <w:lang w:eastAsia="en-AU"/>
              </w:rPr>
              <w:t>MJ</w:t>
            </w:r>
          </w:p>
        </w:tc>
      </w:tr>
      <w:tr w:rsidR="004D01FA" w:rsidRPr="000557CC" w14:paraId="20AD6D6A" w14:textId="77777777" w:rsidTr="004D01FA">
        <w:trPr>
          <w:trHeight w:val="288"/>
        </w:trPr>
        <w:tc>
          <w:tcPr>
            <w:tcW w:w="2502" w:type="pct"/>
            <w:noWrap/>
          </w:tcPr>
          <w:p w14:paraId="5074409A" w14:textId="45E88489" w:rsidR="004D01FA" w:rsidRPr="000557CC" w:rsidRDefault="004D01FA" w:rsidP="004D01FA">
            <w:pPr>
              <w:pStyle w:val="ARTabletextboldcoloured"/>
              <w:rPr>
                <w:lang w:eastAsia="en-AU"/>
              </w:rPr>
            </w:pPr>
            <w:r w:rsidRPr="000557CC">
              <w:rPr>
                <w:lang w:eastAsia="en-AU"/>
              </w:rPr>
              <w:t>Buildings</w:t>
            </w:r>
          </w:p>
        </w:tc>
        <w:tc>
          <w:tcPr>
            <w:cnfStyle w:val="000001000000" w:firstRow="0" w:lastRow="0" w:firstColumn="0" w:lastColumn="0" w:oddVBand="0" w:evenVBand="1" w:oddHBand="0" w:evenHBand="0" w:firstRowFirstColumn="0" w:firstRowLastColumn="0" w:lastRowFirstColumn="0" w:lastRowLastColumn="0"/>
            <w:tcW w:w="833" w:type="pct"/>
            <w:shd w:val="clear" w:color="auto" w:fill="auto"/>
            <w:noWrap/>
          </w:tcPr>
          <w:p w14:paraId="16DF3581" w14:textId="77777777" w:rsidR="004D01FA" w:rsidRPr="000557CC" w:rsidRDefault="004D01FA" w:rsidP="001E6F2C">
            <w:pPr>
              <w:pStyle w:val="ARtabletextright"/>
              <w:rPr>
                <w:lang w:eastAsia="en-AU"/>
              </w:rPr>
            </w:pPr>
          </w:p>
        </w:tc>
        <w:tc>
          <w:tcPr>
            <w:tcW w:w="833" w:type="pct"/>
            <w:noWrap/>
          </w:tcPr>
          <w:p w14:paraId="0C145C60" w14:textId="77777777" w:rsidR="004D01FA" w:rsidRPr="000557CC" w:rsidRDefault="004D01FA"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832" w:type="pct"/>
            <w:shd w:val="clear" w:color="auto" w:fill="auto"/>
            <w:noWrap/>
          </w:tcPr>
          <w:p w14:paraId="04287F6F" w14:textId="77777777" w:rsidR="004D01FA" w:rsidRPr="000557CC" w:rsidRDefault="004D01FA" w:rsidP="001E6F2C">
            <w:pPr>
              <w:pStyle w:val="ARtabletextright"/>
              <w:rPr>
                <w:lang w:eastAsia="en-AU"/>
              </w:rPr>
            </w:pPr>
          </w:p>
        </w:tc>
      </w:tr>
      <w:tr w:rsidR="006D7571" w:rsidRPr="000557CC" w14:paraId="15F293C1" w14:textId="77777777" w:rsidTr="004D01FA">
        <w:trPr>
          <w:trHeight w:val="288"/>
        </w:trPr>
        <w:tc>
          <w:tcPr>
            <w:tcW w:w="2502" w:type="pct"/>
            <w:noWrap/>
            <w:hideMark/>
          </w:tcPr>
          <w:p w14:paraId="680A5B6D" w14:textId="4B03EE5A" w:rsidR="006D7571" w:rsidRPr="000557CC" w:rsidRDefault="006D7571" w:rsidP="001E6F2C">
            <w:pPr>
              <w:pStyle w:val="ARTabletext"/>
              <w:rPr>
                <w:color w:val="000000"/>
                <w:lang w:eastAsia="en-AU"/>
              </w:rPr>
            </w:pPr>
            <w:r w:rsidRPr="000557CC">
              <w:rPr>
                <w:lang w:eastAsia="en-AU"/>
              </w:rPr>
              <w:t>Natural gas</w:t>
            </w:r>
            <w:r w:rsidRPr="000557CC">
              <w:rPr>
                <w:vertAlign w:val="superscript"/>
                <w:lang w:eastAsia="en-AU"/>
              </w:rPr>
              <w:footnoteReference w:id="33"/>
            </w:r>
          </w:p>
        </w:tc>
        <w:tc>
          <w:tcPr>
            <w:cnfStyle w:val="000001000000" w:firstRow="0" w:lastRow="0" w:firstColumn="0" w:lastColumn="0" w:oddVBand="0" w:evenVBand="1" w:oddHBand="0" w:evenHBand="0" w:firstRowFirstColumn="0" w:firstRowLastColumn="0" w:lastRowFirstColumn="0" w:lastRowLastColumn="0"/>
            <w:tcW w:w="833" w:type="pct"/>
            <w:noWrap/>
          </w:tcPr>
          <w:p w14:paraId="70625C08" w14:textId="77777777" w:rsidR="006D7571" w:rsidRPr="000557CC" w:rsidRDefault="006D7571" w:rsidP="001E6F2C">
            <w:pPr>
              <w:pStyle w:val="ARtabletextright"/>
              <w:rPr>
                <w:lang w:eastAsia="en-AU"/>
              </w:rPr>
            </w:pPr>
            <w:r w:rsidRPr="000557CC">
              <w:rPr>
                <w:lang w:eastAsia="en-AU"/>
              </w:rPr>
              <w:t>322,528,902</w:t>
            </w:r>
          </w:p>
        </w:tc>
        <w:tc>
          <w:tcPr>
            <w:tcW w:w="833" w:type="pct"/>
            <w:noWrap/>
          </w:tcPr>
          <w:p w14:paraId="08718D48"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337,965,783</w:t>
            </w:r>
          </w:p>
        </w:tc>
        <w:tc>
          <w:tcPr>
            <w:cnfStyle w:val="000001000000" w:firstRow="0" w:lastRow="0" w:firstColumn="0" w:lastColumn="0" w:oddVBand="0" w:evenVBand="1" w:oddHBand="0" w:evenHBand="0" w:firstRowFirstColumn="0" w:firstRowLastColumn="0" w:lastRowFirstColumn="0" w:lastRowLastColumn="0"/>
            <w:tcW w:w="832" w:type="pct"/>
            <w:noWrap/>
          </w:tcPr>
          <w:p w14:paraId="0745A5B4" w14:textId="77777777" w:rsidR="006D7571" w:rsidRPr="000557CC" w:rsidRDefault="006D7571" w:rsidP="001E6F2C">
            <w:pPr>
              <w:pStyle w:val="ARtabletextright"/>
              <w:rPr>
                <w:lang w:eastAsia="en-AU"/>
              </w:rPr>
            </w:pPr>
            <w:r w:rsidRPr="000557CC">
              <w:rPr>
                <w:lang w:eastAsia="en-AU"/>
              </w:rPr>
              <w:t>390,431,401</w:t>
            </w:r>
          </w:p>
        </w:tc>
      </w:tr>
      <w:tr w:rsidR="006D7571" w:rsidRPr="000557CC" w14:paraId="57DDDB28" w14:textId="77777777" w:rsidTr="004D01FA">
        <w:trPr>
          <w:cnfStyle w:val="010000000000" w:firstRow="0" w:lastRow="1" w:firstColumn="0" w:lastColumn="0" w:oddVBand="0" w:evenVBand="0" w:oddHBand="0" w:evenHBand="0" w:firstRowFirstColumn="0" w:firstRowLastColumn="0" w:lastRowFirstColumn="0" w:lastRowLastColumn="0"/>
          <w:trHeight w:val="288"/>
        </w:trPr>
        <w:tc>
          <w:tcPr>
            <w:tcW w:w="2502" w:type="pct"/>
            <w:noWrap/>
          </w:tcPr>
          <w:p w14:paraId="161B10C8" w14:textId="77777777" w:rsidR="006D7571" w:rsidRPr="000557CC" w:rsidRDefault="006D7571" w:rsidP="001E6F2C">
            <w:pPr>
              <w:pStyle w:val="ARtabletextbold"/>
              <w:rPr>
                <w:lang w:eastAsia="en-AU"/>
              </w:rPr>
            </w:pPr>
            <w:r w:rsidRPr="000557CC">
              <w:rPr>
                <w:lang w:eastAsia="en-AU"/>
              </w:rPr>
              <w:t>F1 Total fuels used in buildings and machinery</w:t>
            </w:r>
          </w:p>
        </w:tc>
        <w:tc>
          <w:tcPr>
            <w:cnfStyle w:val="000001000000" w:firstRow="0" w:lastRow="0" w:firstColumn="0" w:lastColumn="0" w:oddVBand="0" w:evenVBand="1" w:oddHBand="0" w:evenHBand="0" w:firstRowFirstColumn="0" w:firstRowLastColumn="0" w:lastRowFirstColumn="0" w:lastRowLastColumn="0"/>
            <w:tcW w:w="833" w:type="pct"/>
            <w:noWrap/>
          </w:tcPr>
          <w:p w14:paraId="275F8EF1" w14:textId="77777777" w:rsidR="006D7571" w:rsidRPr="000557CC" w:rsidRDefault="006D7571" w:rsidP="001E6F2C">
            <w:pPr>
              <w:pStyle w:val="ARtabletextrightbold"/>
              <w:rPr>
                <w:lang w:eastAsia="en-AU"/>
              </w:rPr>
            </w:pPr>
            <w:r w:rsidRPr="000557CC">
              <w:rPr>
                <w:lang w:eastAsia="en-AU"/>
              </w:rPr>
              <w:t>322,528,902</w:t>
            </w:r>
          </w:p>
        </w:tc>
        <w:tc>
          <w:tcPr>
            <w:tcW w:w="833" w:type="pct"/>
            <w:noWrap/>
          </w:tcPr>
          <w:p w14:paraId="17FB7591" w14:textId="77777777" w:rsidR="006D7571" w:rsidRPr="000557CC" w:rsidRDefault="006D7571" w:rsidP="001E6F2C">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337,965,783</w:t>
            </w:r>
          </w:p>
        </w:tc>
        <w:tc>
          <w:tcPr>
            <w:cnfStyle w:val="000001000000" w:firstRow="0" w:lastRow="0" w:firstColumn="0" w:lastColumn="0" w:oddVBand="0" w:evenVBand="1" w:oddHBand="0" w:evenHBand="0" w:firstRowFirstColumn="0" w:firstRowLastColumn="0" w:lastRowFirstColumn="0" w:lastRowLastColumn="0"/>
            <w:tcW w:w="832" w:type="pct"/>
            <w:noWrap/>
          </w:tcPr>
          <w:p w14:paraId="24D9F021" w14:textId="77777777" w:rsidR="006D7571" w:rsidRPr="000557CC" w:rsidRDefault="006D7571" w:rsidP="001E6F2C">
            <w:pPr>
              <w:pStyle w:val="ARtabletextrightbold"/>
              <w:rPr>
                <w:lang w:eastAsia="en-AU"/>
              </w:rPr>
            </w:pPr>
            <w:r w:rsidRPr="000557CC">
              <w:rPr>
                <w:lang w:eastAsia="en-AU"/>
              </w:rPr>
              <w:t>390,431,401</w:t>
            </w:r>
          </w:p>
        </w:tc>
      </w:tr>
    </w:tbl>
    <w:p w14:paraId="752D7E12" w14:textId="77777777" w:rsidR="006D7571" w:rsidRPr="000557CC" w:rsidRDefault="006D7571" w:rsidP="001E6F2C">
      <w:pPr>
        <w:pStyle w:val="ARTablecaption"/>
        <w:rPr>
          <w:rFonts w:eastAsia="MS PGothic"/>
        </w:rPr>
      </w:pPr>
      <w:r w:rsidRPr="000557CC">
        <w:rPr>
          <w:rFonts w:eastAsia="MS PGothic"/>
        </w:rPr>
        <w:t>F2 Greenhouse gas emissions stationary fuel consumption</w:t>
      </w:r>
    </w:p>
    <w:tbl>
      <w:tblPr>
        <w:tblStyle w:val="ARtable1"/>
        <w:tblW w:w="5000" w:type="pct"/>
        <w:tblLook w:val="00E0" w:firstRow="1" w:lastRow="1" w:firstColumn="1" w:lastColumn="0" w:noHBand="0" w:noVBand="0"/>
      </w:tblPr>
      <w:tblGrid>
        <w:gridCol w:w="4909"/>
        <w:gridCol w:w="1571"/>
        <w:gridCol w:w="1574"/>
        <w:gridCol w:w="1574"/>
      </w:tblGrid>
      <w:tr w:rsidR="006D7571" w:rsidRPr="000557CC" w14:paraId="347C56B3" w14:textId="77777777" w:rsidTr="009F3BE7">
        <w:trPr>
          <w:cnfStyle w:val="100000000000" w:firstRow="1" w:lastRow="0" w:firstColumn="0" w:lastColumn="0" w:oddVBand="0" w:evenVBand="0" w:oddHBand="0" w:evenHBand="0" w:firstRowFirstColumn="0" w:firstRowLastColumn="0" w:lastRowFirstColumn="0" w:lastRowLastColumn="0"/>
          <w:tblHeader/>
        </w:trPr>
        <w:tc>
          <w:tcPr>
            <w:tcW w:w="2487" w:type="pct"/>
            <w:noWrap/>
            <w:hideMark/>
          </w:tcPr>
          <w:p w14:paraId="6D4A71FF" w14:textId="77777777" w:rsidR="006D7571" w:rsidRPr="000557CC" w:rsidRDefault="006D7571" w:rsidP="001E6F2C">
            <w:pPr>
              <w:pStyle w:val="ARtablecolhead"/>
              <w:rPr>
                <w:lang w:eastAsia="en-AU"/>
              </w:rPr>
            </w:pPr>
          </w:p>
        </w:tc>
        <w:tc>
          <w:tcPr>
            <w:cnfStyle w:val="000001000000" w:firstRow="0" w:lastRow="0" w:firstColumn="0" w:lastColumn="0" w:oddVBand="0" w:evenVBand="1" w:oddHBand="0" w:evenHBand="0" w:firstRowFirstColumn="0" w:firstRowLastColumn="0" w:lastRowFirstColumn="0" w:lastRowLastColumn="0"/>
            <w:tcW w:w="837" w:type="pct"/>
            <w:noWrap/>
            <w:hideMark/>
          </w:tcPr>
          <w:p w14:paraId="5C042E68" w14:textId="77777777" w:rsidR="006D7571" w:rsidRPr="000557CC" w:rsidRDefault="006D7571" w:rsidP="001E6F2C">
            <w:pPr>
              <w:pStyle w:val="ARtablecolheadright"/>
              <w:rPr>
                <w:lang w:eastAsia="en-AU"/>
              </w:rPr>
            </w:pPr>
            <w:r w:rsidRPr="000557CC">
              <w:rPr>
                <w:lang w:eastAsia="en-AU"/>
              </w:rPr>
              <w:t>2025–26</w:t>
            </w:r>
            <w:r w:rsidRPr="000557CC">
              <w:rPr>
                <w:lang w:eastAsia="en-AU"/>
              </w:rPr>
              <w:br/>
              <w:t>Tonnes CO</w:t>
            </w:r>
            <w:r w:rsidRPr="000557CC">
              <w:rPr>
                <w:vertAlign w:val="subscript"/>
                <w:lang w:eastAsia="en-AU"/>
              </w:rPr>
              <w:t>2</w:t>
            </w:r>
            <w:r w:rsidRPr="000557CC">
              <w:rPr>
                <w:lang w:eastAsia="en-AU"/>
              </w:rPr>
              <w:t>-e</w:t>
            </w:r>
          </w:p>
        </w:tc>
        <w:tc>
          <w:tcPr>
            <w:tcW w:w="838" w:type="pct"/>
            <w:noWrap/>
            <w:hideMark/>
          </w:tcPr>
          <w:p w14:paraId="277545D7" w14:textId="77777777" w:rsidR="006D7571" w:rsidRPr="000557CC" w:rsidRDefault="006D7571" w:rsidP="001E6F2C">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r w:rsidRPr="000557CC">
              <w:rPr>
                <w:lang w:eastAsia="en-AU"/>
              </w:rPr>
              <w:br/>
              <w:t>Tonnes CO</w:t>
            </w:r>
            <w:r w:rsidRPr="000557CC">
              <w:rPr>
                <w:vertAlign w:val="subscript"/>
                <w:lang w:eastAsia="en-AU"/>
              </w:rPr>
              <w:t>2</w:t>
            </w:r>
            <w:r w:rsidRPr="000557CC">
              <w:rPr>
                <w:lang w:eastAsia="en-AU"/>
              </w:rPr>
              <w:t>-e</w:t>
            </w:r>
          </w:p>
        </w:tc>
        <w:tc>
          <w:tcPr>
            <w:cnfStyle w:val="000001000000" w:firstRow="0" w:lastRow="0" w:firstColumn="0" w:lastColumn="0" w:oddVBand="0" w:evenVBand="1" w:oddHBand="0" w:evenHBand="0" w:firstRowFirstColumn="0" w:firstRowLastColumn="0" w:lastRowFirstColumn="0" w:lastRowLastColumn="0"/>
            <w:tcW w:w="838" w:type="pct"/>
            <w:noWrap/>
            <w:hideMark/>
          </w:tcPr>
          <w:p w14:paraId="59051ED2" w14:textId="77777777" w:rsidR="006D7571" w:rsidRPr="000557CC" w:rsidRDefault="006D7571" w:rsidP="001E6F2C">
            <w:pPr>
              <w:pStyle w:val="ARtablecolheadright"/>
              <w:rPr>
                <w:lang w:eastAsia="en-AU"/>
              </w:rPr>
            </w:pPr>
            <w:r w:rsidRPr="000557CC">
              <w:rPr>
                <w:lang w:eastAsia="en-AU"/>
              </w:rPr>
              <w:t>2023–24</w:t>
            </w:r>
            <w:r w:rsidRPr="000557CC">
              <w:rPr>
                <w:lang w:eastAsia="en-AU"/>
              </w:rPr>
              <w:br/>
              <w:t>Tonnes CO</w:t>
            </w:r>
            <w:r w:rsidRPr="000557CC">
              <w:rPr>
                <w:vertAlign w:val="subscript"/>
                <w:lang w:eastAsia="en-AU"/>
              </w:rPr>
              <w:t>2</w:t>
            </w:r>
            <w:r w:rsidRPr="000557CC">
              <w:rPr>
                <w:lang w:eastAsia="en-AU"/>
              </w:rPr>
              <w:t>-e</w:t>
            </w:r>
          </w:p>
        </w:tc>
      </w:tr>
      <w:tr w:rsidR="006D7571" w:rsidRPr="000557CC" w14:paraId="17FCC976" w14:textId="77777777" w:rsidTr="009F3BE7">
        <w:trPr>
          <w:cnfStyle w:val="010000000000" w:firstRow="0" w:lastRow="1" w:firstColumn="0" w:lastColumn="0" w:oddVBand="0" w:evenVBand="0" w:oddHBand="0" w:evenHBand="0" w:firstRowFirstColumn="0" w:firstRowLastColumn="0" w:lastRowFirstColumn="0" w:lastRowLastColumn="0"/>
          <w:trHeight w:val="288"/>
        </w:trPr>
        <w:tc>
          <w:tcPr>
            <w:tcW w:w="2487" w:type="pct"/>
            <w:noWrap/>
            <w:hideMark/>
          </w:tcPr>
          <w:p w14:paraId="2116E6E6" w14:textId="77777777" w:rsidR="006D7571" w:rsidRPr="000557CC" w:rsidRDefault="006D7571" w:rsidP="001E6F2C">
            <w:pPr>
              <w:pStyle w:val="ARTabletext"/>
              <w:rPr>
                <w:lang w:eastAsia="en-AU"/>
              </w:rPr>
            </w:pPr>
            <w:r w:rsidRPr="000557CC">
              <w:rPr>
                <w:lang w:eastAsia="en-AU"/>
              </w:rPr>
              <w:t>F2 Greenhouse gas emissions stationary fuel consumption</w:t>
            </w:r>
          </w:p>
        </w:tc>
        <w:tc>
          <w:tcPr>
            <w:cnfStyle w:val="000001000000" w:firstRow="0" w:lastRow="0" w:firstColumn="0" w:lastColumn="0" w:oddVBand="0" w:evenVBand="1" w:oddHBand="0" w:evenHBand="0" w:firstRowFirstColumn="0" w:firstRowLastColumn="0" w:lastRowFirstColumn="0" w:lastRowLastColumn="0"/>
            <w:tcW w:w="837" w:type="pct"/>
            <w:noWrap/>
          </w:tcPr>
          <w:p w14:paraId="06A4BF2E" w14:textId="77777777" w:rsidR="006D7571" w:rsidRPr="000557CC" w:rsidRDefault="006D7571" w:rsidP="001E6F2C">
            <w:pPr>
              <w:pStyle w:val="ARtabletextright"/>
              <w:rPr>
                <w:lang w:eastAsia="en-AU"/>
              </w:rPr>
            </w:pPr>
            <w:r w:rsidRPr="000557CC">
              <w:rPr>
                <w:lang w:eastAsia="en-AU"/>
              </w:rPr>
              <w:t>16,620</w:t>
            </w:r>
          </w:p>
        </w:tc>
        <w:tc>
          <w:tcPr>
            <w:tcW w:w="838" w:type="pct"/>
            <w:noWrap/>
          </w:tcPr>
          <w:p w14:paraId="7946EEF8" w14:textId="77777777" w:rsidR="006D7571" w:rsidRPr="000557CC" w:rsidRDefault="006D7571" w:rsidP="001E6F2C">
            <w:pPr>
              <w:pStyle w:val="ARtabletextright"/>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17,415</w:t>
            </w:r>
          </w:p>
        </w:tc>
        <w:tc>
          <w:tcPr>
            <w:cnfStyle w:val="000001000000" w:firstRow="0" w:lastRow="0" w:firstColumn="0" w:lastColumn="0" w:oddVBand="0" w:evenVBand="1" w:oddHBand="0" w:evenHBand="0" w:firstRowFirstColumn="0" w:firstRowLastColumn="0" w:lastRowFirstColumn="0" w:lastRowLastColumn="0"/>
            <w:tcW w:w="838" w:type="pct"/>
            <w:noWrap/>
            <w:hideMark/>
          </w:tcPr>
          <w:p w14:paraId="314AA731" w14:textId="77777777" w:rsidR="006D7571" w:rsidRPr="000557CC" w:rsidRDefault="006D7571" w:rsidP="001E6F2C">
            <w:pPr>
              <w:pStyle w:val="ARtabletextright"/>
              <w:rPr>
                <w:lang w:eastAsia="en-AU"/>
              </w:rPr>
            </w:pPr>
            <w:r w:rsidRPr="000557CC">
              <w:rPr>
                <w:lang w:eastAsia="en-AU"/>
              </w:rPr>
              <w:t>20,119</w:t>
            </w:r>
          </w:p>
        </w:tc>
      </w:tr>
    </w:tbl>
    <w:p w14:paraId="57C9725B" w14:textId="4DA1A9B6" w:rsidR="006D7571" w:rsidRPr="000557CC" w:rsidRDefault="006D7571" w:rsidP="001E6F2C">
      <w:pPr>
        <w:pStyle w:val="Heading3"/>
        <w:rPr>
          <w:lang w:eastAsia="en-AU"/>
        </w:rPr>
      </w:pPr>
      <w:r w:rsidRPr="000557CC">
        <w:rPr>
          <w:lang w:eastAsia="en-AU"/>
        </w:rPr>
        <w:t>Transportation</w:t>
      </w:r>
    </w:p>
    <w:p w14:paraId="6634F9A1" w14:textId="0CE59004" w:rsidR="006D7571" w:rsidRPr="000557CC" w:rsidRDefault="006D7571" w:rsidP="001E6F2C">
      <w:pPr>
        <w:pStyle w:val="ARBody"/>
      </w:pPr>
      <w:r w:rsidRPr="000557CC">
        <w:t>The data has been exported from the department’s vehicle management system (</w:t>
      </w:r>
      <w:proofErr w:type="spellStart"/>
      <w:r w:rsidRPr="000557CC">
        <w:t>FleetWave</w:t>
      </w:r>
      <w:proofErr w:type="spellEnd"/>
      <w:r w:rsidRPr="000557CC">
        <w:t>). This includes fuel transactions and kilometres travelled for the period 1 April 2025 to 31 March 2026 (FBT annual</w:t>
      </w:r>
      <w:r w:rsidR="00E27FA2">
        <w:t xml:space="preserve"> </w:t>
      </w:r>
      <w:r w:rsidRPr="000557CC">
        <w:t>reporting). The data indicates a reduction in Co</w:t>
      </w:r>
      <w:r w:rsidRPr="00610A6F">
        <w:rPr>
          <w:vertAlign w:val="subscript"/>
        </w:rPr>
        <w:t>2</w:t>
      </w:r>
      <w:r w:rsidRPr="000557CC">
        <w:t xml:space="preserve"> emissions for T1 (MJ) and T3 (Tonnes CO</w:t>
      </w:r>
      <w:r w:rsidRPr="00610A6F">
        <w:rPr>
          <w:vertAlign w:val="subscript"/>
        </w:rPr>
        <w:t>2</w:t>
      </w:r>
      <w:r w:rsidRPr="000557CC">
        <w:t>-e).</w:t>
      </w:r>
    </w:p>
    <w:p w14:paraId="195976E6" w14:textId="77777777" w:rsidR="006D7571" w:rsidRPr="006D7571" w:rsidRDefault="006D7571" w:rsidP="001E6F2C">
      <w:pPr>
        <w:pStyle w:val="ARBody"/>
      </w:pPr>
      <w:r w:rsidRPr="000557CC">
        <w:rPr>
          <w:rFonts w:cs="Arial"/>
          <w:szCs w:val="24"/>
        </w:rPr>
        <w:t>The department’s fleet comprises 1,258 vehicles in total. Of the 1,182 are internal combustion engine (ICE) vehicles, 40% were hybrid unleaded</w:t>
      </w:r>
      <w:r w:rsidRPr="006D7571">
        <w:rPr>
          <w:rFonts w:cs="Arial"/>
          <w:szCs w:val="24"/>
        </w:rPr>
        <w:t xml:space="preserve"> or hybrid electric vehicles (EV). The department’s EV fleet has increased 62% since the last reporting period.</w:t>
      </w:r>
    </w:p>
    <w:p w14:paraId="18330E21" w14:textId="77777777" w:rsidR="006D7571" w:rsidRPr="000557CC" w:rsidRDefault="006D7571" w:rsidP="001E6F2C">
      <w:pPr>
        <w:pStyle w:val="ARBody"/>
      </w:pPr>
      <w:r w:rsidRPr="000557CC">
        <w:rPr>
          <w:rFonts w:cs="Arial"/>
          <w:szCs w:val="24"/>
        </w:rPr>
        <w:t>This reporting period had reduced travel across all fuel categories (9% diesel; 11% petrol and hybrid) except for EV which had a 128% increase in travel. This is in part due to the increased transition of ICE to Zero Emission Vehicles (ZEV), in line with government policy.</w:t>
      </w:r>
    </w:p>
    <w:p w14:paraId="79B1C0C8" w14:textId="77777777" w:rsidR="006D7571" w:rsidRPr="006D7571" w:rsidRDefault="006D7571" w:rsidP="001E6F2C">
      <w:pPr>
        <w:pStyle w:val="ARBody"/>
      </w:pPr>
      <w:r w:rsidRPr="000557CC">
        <w:rPr>
          <w:rFonts w:cs="Arial"/>
          <w:szCs w:val="24"/>
        </w:rPr>
        <w:t>The department is committed to the Victorian Government transport sector pledge and a Zero Emissions Vehicle Roadmap as part o</w:t>
      </w:r>
      <w:r w:rsidRPr="006D7571">
        <w:rPr>
          <w:rFonts w:cs="Arial"/>
          <w:szCs w:val="24"/>
        </w:rPr>
        <w:t xml:space="preserve">f our </w:t>
      </w:r>
      <w:r w:rsidRPr="00A124D1">
        <w:rPr>
          <w:rStyle w:val="Emphasis"/>
        </w:rPr>
        <w:t xml:space="preserve">Climate change strategy. </w:t>
      </w:r>
      <w:r w:rsidRPr="006D7571">
        <w:rPr>
          <w:rFonts w:cs="Arial"/>
          <w:szCs w:val="24"/>
        </w:rPr>
        <w:t>Reductions in emissions are expected to increase as further internal combustion engine vehicles are replaced with electric vehicles. In addition, procurement of more fuel-efficient vehicles due to the increased standards in car manufacture, has resulted in reduced emissions overall from transportation.</w:t>
      </w:r>
    </w:p>
    <w:p w14:paraId="333DACB9" w14:textId="77777777" w:rsidR="006D7571" w:rsidRPr="000557CC" w:rsidRDefault="006D7571" w:rsidP="001E6F2C">
      <w:pPr>
        <w:pStyle w:val="ARTablecaption"/>
        <w:rPr>
          <w:rFonts w:eastAsia="MS PGothic"/>
        </w:rPr>
      </w:pPr>
      <w:r w:rsidRPr="000557CC">
        <w:rPr>
          <w:rFonts w:eastAsia="MS PGothic"/>
        </w:rPr>
        <w:t>Total energy used in transportation – department fleet</w:t>
      </w:r>
    </w:p>
    <w:tbl>
      <w:tblPr>
        <w:tblStyle w:val="ARtable1"/>
        <w:tblW w:w="9639" w:type="dxa"/>
        <w:tblLayout w:type="fixed"/>
        <w:tblLook w:val="02E0" w:firstRow="1" w:lastRow="1" w:firstColumn="1" w:lastColumn="0" w:noHBand="1" w:noVBand="0"/>
      </w:tblPr>
      <w:tblGrid>
        <w:gridCol w:w="5103"/>
        <w:gridCol w:w="1512"/>
        <w:gridCol w:w="1512"/>
        <w:gridCol w:w="1512"/>
      </w:tblGrid>
      <w:tr w:rsidR="006D7571" w:rsidRPr="000557CC" w14:paraId="0497E876" w14:textId="77777777" w:rsidTr="009F3BE7">
        <w:trPr>
          <w:cnfStyle w:val="100000000000" w:firstRow="1" w:lastRow="0" w:firstColumn="0" w:lastColumn="0" w:oddVBand="0" w:evenVBand="0" w:oddHBand="0" w:evenHBand="0" w:firstRowFirstColumn="0" w:firstRowLastColumn="0" w:lastRowFirstColumn="0" w:lastRowLastColumn="0"/>
          <w:trHeight w:val="225"/>
          <w:tblHeader/>
        </w:trPr>
        <w:tc>
          <w:tcPr>
            <w:tcW w:w="5103" w:type="dxa"/>
          </w:tcPr>
          <w:p w14:paraId="6017F69E" w14:textId="77777777" w:rsidR="006D7571" w:rsidRPr="000557CC" w:rsidRDefault="006D7571" w:rsidP="001E6F2C">
            <w:pPr>
              <w:pStyle w:val="ARtablecolhead"/>
              <w:rPr>
                <w:i/>
                <w:lang w:eastAsia="en-AU"/>
              </w:rPr>
            </w:pPr>
            <w:r w:rsidRPr="000557CC">
              <w:rPr>
                <w:lang w:eastAsia="en-AU"/>
              </w:rPr>
              <w:t>Indicator</w:t>
            </w:r>
          </w:p>
        </w:tc>
        <w:tc>
          <w:tcPr>
            <w:cnfStyle w:val="000001000000" w:firstRow="0" w:lastRow="0" w:firstColumn="0" w:lastColumn="0" w:oddVBand="0" w:evenVBand="1" w:oddHBand="0" w:evenHBand="0" w:firstRowFirstColumn="0" w:firstRowLastColumn="0" w:lastRowFirstColumn="0" w:lastRowLastColumn="0"/>
            <w:tcW w:w="1512" w:type="dxa"/>
          </w:tcPr>
          <w:p w14:paraId="125CFB32" w14:textId="77777777" w:rsidR="006D7571" w:rsidRPr="000557CC" w:rsidRDefault="006D7571" w:rsidP="001E6F2C">
            <w:pPr>
              <w:pStyle w:val="ARtablecolheadright"/>
              <w:rPr>
                <w:lang w:eastAsia="en-AU"/>
              </w:rPr>
            </w:pPr>
            <w:r w:rsidRPr="000557CC">
              <w:rPr>
                <w:lang w:eastAsia="en-AU"/>
              </w:rPr>
              <w:t>2025–26</w:t>
            </w:r>
          </w:p>
          <w:p w14:paraId="141D60F1" w14:textId="77777777" w:rsidR="006D7571" w:rsidRPr="000557CC" w:rsidRDefault="006D7571" w:rsidP="001E6F2C">
            <w:pPr>
              <w:pStyle w:val="ARtablecolheadright"/>
              <w:rPr>
                <w:i/>
                <w:lang w:eastAsia="en-AU"/>
              </w:rPr>
            </w:pPr>
            <w:r w:rsidRPr="000557CC">
              <w:rPr>
                <w:lang w:eastAsia="en-AU"/>
              </w:rPr>
              <w:t>MJ</w:t>
            </w:r>
          </w:p>
        </w:tc>
        <w:tc>
          <w:tcPr>
            <w:tcW w:w="1512" w:type="dxa"/>
          </w:tcPr>
          <w:p w14:paraId="461CC4BC" w14:textId="77777777" w:rsidR="006D7571" w:rsidRPr="000557CC" w:rsidRDefault="006D7571" w:rsidP="001E6F2C">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58B42933" w14:textId="77777777" w:rsidR="006D7571" w:rsidRPr="000557CC" w:rsidRDefault="006D7571" w:rsidP="001E6F2C">
            <w:pPr>
              <w:pStyle w:val="ARtablecolheadright"/>
              <w:cnfStyle w:val="100000000000" w:firstRow="1" w:lastRow="0" w:firstColumn="0" w:lastColumn="0" w:oddVBand="0" w:evenVBand="0" w:oddHBand="0" w:evenHBand="0" w:firstRowFirstColumn="0" w:firstRowLastColumn="0" w:lastRowFirstColumn="0" w:lastRowLastColumn="0"/>
              <w:rPr>
                <w:i/>
                <w:lang w:eastAsia="en-AU"/>
              </w:rPr>
            </w:pPr>
            <w:r w:rsidRPr="000557CC">
              <w:rPr>
                <w:lang w:eastAsia="en-AU"/>
              </w:rPr>
              <w:t>MJ</w:t>
            </w:r>
          </w:p>
        </w:tc>
        <w:tc>
          <w:tcPr>
            <w:cnfStyle w:val="000001000000" w:firstRow="0" w:lastRow="0" w:firstColumn="0" w:lastColumn="0" w:oddVBand="0" w:evenVBand="1" w:oddHBand="0" w:evenHBand="0" w:firstRowFirstColumn="0" w:firstRowLastColumn="0" w:lastRowFirstColumn="0" w:lastRowLastColumn="0"/>
            <w:tcW w:w="1512" w:type="dxa"/>
          </w:tcPr>
          <w:p w14:paraId="129D7F9E" w14:textId="77777777" w:rsidR="006D7571" w:rsidRPr="000557CC" w:rsidRDefault="006D7571" w:rsidP="001E6F2C">
            <w:pPr>
              <w:pStyle w:val="ARtablecolheadright"/>
              <w:rPr>
                <w:lang w:eastAsia="en-AU"/>
              </w:rPr>
            </w:pPr>
            <w:r w:rsidRPr="000557CC">
              <w:rPr>
                <w:lang w:eastAsia="en-AU"/>
              </w:rPr>
              <w:t>2023–24</w:t>
            </w:r>
          </w:p>
          <w:p w14:paraId="3F358E11" w14:textId="77777777" w:rsidR="006D7571" w:rsidRPr="000557CC" w:rsidRDefault="006D7571" w:rsidP="001E6F2C">
            <w:pPr>
              <w:pStyle w:val="ARtablecolheadright"/>
              <w:rPr>
                <w:i/>
                <w:lang w:eastAsia="en-AU"/>
              </w:rPr>
            </w:pPr>
            <w:r w:rsidRPr="000557CC">
              <w:rPr>
                <w:lang w:eastAsia="en-AU"/>
              </w:rPr>
              <w:t>MJ</w:t>
            </w:r>
          </w:p>
        </w:tc>
      </w:tr>
      <w:tr w:rsidR="004D01FA" w:rsidRPr="000557CC" w14:paraId="1767813A" w14:textId="77777777" w:rsidTr="004D01FA">
        <w:trPr>
          <w:trHeight w:val="225"/>
        </w:trPr>
        <w:tc>
          <w:tcPr>
            <w:tcW w:w="5103" w:type="dxa"/>
          </w:tcPr>
          <w:p w14:paraId="633010C7" w14:textId="0245ACD0" w:rsidR="004D01FA" w:rsidRPr="000557CC" w:rsidRDefault="004D01FA" w:rsidP="004D01FA">
            <w:pPr>
              <w:pStyle w:val="ARTabletextboldcoloured"/>
              <w:rPr>
                <w:lang w:eastAsia="en-AU"/>
              </w:rPr>
            </w:pPr>
            <w:r w:rsidRPr="000557CC">
              <w:rPr>
                <w:lang w:eastAsia="en-AU"/>
              </w:rPr>
              <w:t>Passenger vehicles</w:t>
            </w:r>
          </w:p>
        </w:tc>
        <w:tc>
          <w:tcPr>
            <w:cnfStyle w:val="000001000000" w:firstRow="0" w:lastRow="0" w:firstColumn="0" w:lastColumn="0" w:oddVBand="0" w:evenVBand="1" w:oddHBand="0" w:evenHBand="0" w:firstRowFirstColumn="0" w:firstRowLastColumn="0" w:lastRowFirstColumn="0" w:lastRowLastColumn="0"/>
            <w:tcW w:w="1512" w:type="dxa"/>
            <w:shd w:val="clear" w:color="auto" w:fill="auto"/>
          </w:tcPr>
          <w:p w14:paraId="46008B44" w14:textId="77777777" w:rsidR="004D01FA" w:rsidRPr="000557CC" w:rsidRDefault="004D01FA" w:rsidP="001E6F2C">
            <w:pPr>
              <w:pStyle w:val="ARtabletextright"/>
              <w:rPr>
                <w:lang w:eastAsia="en-AU"/>
              </w:rPr>
            </w:pPr>
          </w:p>
        </w:tc>
        <w:tc>
          <w:tcPr>
            <w:tcW w:w="1512" w:type="dxa"/>
          </w:tcPr>
          <w:p w14:paraId="1DEB9BE7" w14:textId="77777777" w:rsidR="004D01FA" w:rsidRPr="000557CC" w:rsidRDefault="004D01FA"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1512" w:type="dxa"/>
            <w:shd w:val="clear" w:color="auto" w:fill="auto"/>
          </w:tcPr>
          <w:p w14:paraId="72C8AB7B" w14:textId="77777777" w:rsidR="004D01FA" w:rsidRPr="000557CC" w:rsidRDefault="004D01FA" w:rsidP="001E6F2C">
            <w:pPr>
              <w:pStyle w:val="ARtabletextright"/>
              <w:rPr>
                <w:lang w:eastAsia="en-AU"/>
              </w:rPr>
            </w:pPr>
          </w:p>
        </w:tc>
      </w:tr>
      <w:tr w:rsidR="006D7571" w:rsidRPr="000557CC" w14:paraId="4031C8CE" w14:textId="77777777" w:rsidTr="009F3BE7">
        <w:trPr>
          <w:trHeight w:val="225"/>
        </w:trPr>
        <w:tc>
          <w:tcPr>
            <w:tcW w:w="5103" w:type="dxa"/>
          </w:tcPr>
          <w:p w14:paraId="348682C2" w14:textId="77777777" w:rsidR="006D7571" w:rsidRPr="000557CC" w:rsidRDefault="006D7571" w:rsidP="001E6F2C">
            <w:pPr>
              <w:pStyle w:val="ARTabletext"/>
              <w:rPr>
                <w:lang w:eastAsia="en-AU"/>
              </w:rPr>
            </w:pPr>
            <w:r w:rsidRPr="000557CC">
              <w:rPr>
                <w:lang w:eastAsia="en-AU"/>
              </w:rPr>
              <w:t>Petrol</w:t>
            </w:r>
          </w:p>
        </w:tc>
        <w:tc>
          <w:tcPr>
            <w:cnfStyle w:val="000001000000" w:firstRow="0" w:lastRow="0" w:firstColumn="0" w:lastColumn="0" w:oddVBand="0" w:evenVBand="1" w:oddHBand="0" w:evenHBand="0" w:firstRowFirstColumn="0" w:firstRowLastColumn="0" w:lastRowFirstColumn="0" w:lastRowLastColumn="0"/>
            <w:tcW w:w="1512" w:type="dxa"/>
          </w:tcPr>
          <w:p w14:paraId="275316A8" w14:textId="77777777" w:rsidR="006D7571" w:rsidRPr="000557CC" w:rsidRDefault="006D7571" w:rsidP="001E6F2C">
            <w:pPr>
              <w:pStyle w:val="ARtabletextright"/>
              <w:rPr>
                <w:lang w:eastAsia="en-AU"/>
              </w:rPr>
            </w:pPr>
            <w:r w:rsidRPr="000557CC">
              <w:rPr>
                <w:lang w:eastAsia="en-AU"/>
              </w:rPr>
              <w:t>15,629,161</w:t>
            </w:r>
          </w:p>
        </w:tc>
        <w:tc>
          <w:tcPr>
            <w:tcW w:w="1512" w:type="dxa"/>
          </w:tcPr>
          <w:p w14:paraId="3998FE21"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19,499,677</w:t>
            </w:r>
          </w:p>
        </w:tc>
        <w:tc>
          <w:tcPr>
            <w:cnfStyle w:val="000001000000" w:firstRow="0" w:lastRow="0" w:firstColumn="0" w:lastColumn="0" w:oddVBand="0" w:evenVBand="1" w:oddHBand="0" w:evenHBand="0" w:firstRowFirstColumn="0" w:firstRowLastColumn="0" w:lastRowFirstColumn="0" w:lastRowLastColumn="0"/>
            <w:tcW w:w="1512" w:type="dxa"/>
          </w:tcPr>
          <w:p w14:paraId="3D59FC53" w14:textId="77777777" w:rsidR="006D7571" w:rsidRPr="000557CC" w:rsidRDefault="006D7571" w:rsidP="001E6F2C">
            <w:pPr>
              <w:pStyle w:val="ARtabletextright"/>
              <w:rPr>
                <w:lang w:eastAsia="en-AU"/>
              </w:rPr>
            </w:pPr>
            <w:r w:rsidRPr="000557CC">
              <w:rPr>
                <w:lang w:eastAsia="en-AU"/>
              </w:rPr>
              <w:t>22,926,315</w:t>
            </w:r>
          </w:p>
        </w:tc>
      </w:tr>
      <w:tr w:rsidR="006D7571" w:rsidRPr="000557CC" w14:paraId="0EFB999F" w14:textId="77777777" w:rsidTr="009F3BE7">
        <w:trPr>
          <w:trHeight w:val="225"/>
        </w:trPr>
        <w:tc>
          <w:tcPr>
            <w:tcW w:w="5103" w:type="dxa"/>
          </w:tcPr>
          <w:p w14:paraId="50F159B5" w14:textId="77777777" w:rsidR="006D7571" w:rsidRPr="000557CC" w:rsidRDefault="006D7571" w:rsidP="001E6F2C">
            <w:pPr>
              <w:pStyle w:val="ARTabletext"/>
              <w:rPr>
                <w:lang w:eastAsia="en-AU"/>
              </w:rPr>
            </w:pPr>
            <w:r w:rsidRPr="000557CC">
              <w:rPr>
                <w:lang w:eastAsia="en-AU"/>
              </w:rPr>
              <w:t>Diesel</w:t>
            </w:r>
          </w:p>
        </w:tc>
        <w:tc>
          <w:tcPr>
            <w:cnfStyle w:val="000001000000" w:firstRow="0" w:lastRow="0" w:firstColumn="0" w:lastColumn="0" w:oddVBand="0" w:evenVBand="1" w:oddHBand="0" w:evenHBand="0" w:firstRowFirstColumn="0" w:firstRowLastColumn="0" w:lastRowFirstColumn="0" w:lastRowLastColumn="0"/>
            <w:tcW w:w="1512" w:type="dxa"/>
          </w:tcPr>
          <w:p w14:paraId="560B4A8C" w14:textId="77777777" w:rsidR="006D7571" w:rsidRPr="000557CC" w:rsidRDefault="006D7571" w:rsidP="001E6F2C">
            <w:pPr>
              <w:pStyle w:val="ARtabletextright"/>
              <w:rPr>
                <w:lang w:eastAsia="en-AU"/>
              </w:rPr>
            </w:pPr>
            <w:r w:rsidRPr="000557CC">
              <w:rPr>
                <w:lang w:eastAsia="en-AU"/>
              </w:rPr>
              <w:t>18,742,732</w:t>
            </w:r>
          </w:p>
        </w:tc>
        <w:tc>
          <w:tcPr>
            <w:tcW w:w="1512" w:type="dxa"/>
          </w:tcPr>
          <w:p w14:paraId="0A37B5E1"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21,264,277</w:t>
            </w:r>
          </w:p>
        </w:tc>
        <w:tc>
          <w:tcPr>
            <w:cnfStyle w:val="000001000000" w:firstRow="0" w:lastRow="0" w:firstColumn="0" w:lastColumn="0" w:oddVBand="0" w:evenVBand="1" w:oddHBand="0" w:evenHBand="0" w:firstRowFirstColumn="0" w:firstRowLastColumn="0" w:lastRowFirstColumn="0" w:lastRowLastColumn="0"/>
            <w:tcW w:w="1512" w:type="dxa"/>
          </w:tcPr>
          <w:p w14:paraId="16492420" w14:textId="77777777" w:rsidR="006D7571" w:rsidRPr="000557CC" w:rsidRDefault="006D7571" w:rsidP="001E6F2C">
            <w:pPr>
              <w:pStyle w:val="ARtabletextright"/>
              <w:rPr>
                <w:lang w:eastAsia="en-AU"/>
              </w:rPr>
            </w:pPr>
            <w:r w:rsidRPr="000557CC">
              <w:rPr>
                <w:lang w:eastAsia="en-AU"/>
              </w:rPr>
              <w:t>19,135,277</w:t>
            </w:r>
          </w:p>
        </w:tc>
      </w:tr>
      <w:tr w:rsidR="006D7571" w:rsidRPr="000557CC" w14:paraId="2CB6F8F0" w14:textId="77777777" w:rsidTr="009F3BE7">
        <w:trPr>
          <w:trHeight w:val="225"/>
        </w:trPr>
        <w:tc>
          <w:tcPr>
            <w:tcW w:w="5103" w:type="dxa"/>
          </w:tcPr>
          <w:p w14:paraId="654132DD" w14:textId="77777777" w:rsidR="006D7571" w:rsidRPr="000557CC" w:rsidRDefault="006D7571" w:rsidP="001E6F2C">
            <w:pPr>
              <w:pStyle w:val="ARTabletext"/>
              <w:rPr>
                <w:lang w:eastAsia="en-AU"/>
              </w:rPr>
            </w:pPr>
            <w:r w:rsidRPr="000557CC">
              <w:rPr>
                <w:lang w:eastAsia="en-AU"/>
              </w:rPr>
              <w:t>Hybrid/unleaded</w:t>
            </w:r>
          </w:p>
        </w:tc>
        <w:tc>
          <w:tcPr>
            <w:cnfStyle w:val="000001000000" w:firstRow="0" w:lastRow="0" w:firstColumn="0" w:lastColumn="0" w:oddVBand="0" w:evenVBand="1" w:oddHBand="0" w:evenHBand="0" w:firstRowFirstColumn="0" w:firstRowLastColumn="0" w:lastRowFirstColumn="0" w:lastRowLastColumn="0"/>
            <w:tcW w:w="1512" w:type="dxa"/>
          </w:tcPr>
          <w:p w14:paraId="11493AC7" w14:textId="77777777" w:rsidR="006D7571" w:rsidRPr="000557CC" w:rsidRDefault="006D7571" w:rsidP="001E6F2C">
            <w:pPr>
              <w:pStyle w:val="ARtabletextright"/>
              <w:rPr>
                <w:lang w:eastAsia="en-AU"/>
              </w:rPr>
            </w:pPr>
            <w:r w:rsidRPr="000557CC">
              <w:rPr>
                <w:lang w:eastAsia="en-AU"/>
              </w:rPr>
              <w:t>13,315,360</w:t>
            </w:r>
          </w:p>
        </w:tc>
        <w:tc>
          <w:tcPr>
            <w:tcW w:w="1512" w:type="dxa"/>
          </w:tcPr>
          <w:p w14:paraId="4160ACC0"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13,293,164</w:t>
            </w:r>
          </w:p>
        </w:tc>
        <w:tc>
          <w:tcPr>
            <w:cnfStyle w:val="000001000000" w:firstRow="0" w:lastRow="0" w:firstColumn="0" w:lastColumn="0" w:oddVBand="0" w:evenVBand="1" w:oddHBand="0" w:evenHBand="0" w:firstRowFirstColumn="0" w:firstRowLastColumn="0" w:lastRowFirstColumn="0" w:lastRowLastColumn="0"/>
            <w:tcW w:w="1512" w:type="dxa"/>
          </w:tcPr>
          <w:p w14:paraId="34D00E07" w14:textId="77777777" w:rsidR="006D7571" w:rsidRPr="000557CC" w:rsidRDefault="006D7571" w:rsidP="001E6F2C">
            <w:pPr>
              <w:pStyle w:val="ARtabletextright"/>
              <w:rPr>
                <w:lang w:eastAsia="en-AU"/>
              </w:rPr>
            </w:pPr>
            <w:r w:rsidRPr="000557CC">
              <w:rPr>
                <w:lang w:eastAsia="en-AU"/>
              </w:rPr>
              <w:t>14,828,101</w:t>
            </w:r>
          </w:p>
        </w:tc>
      </w:tr>
      <w:tr w:rsidR="006D7571" w:rsidRPr="000557CC" w14:paraId="11CCE635" w14:textId="77777777" w:rsidTr="009F3BE7">
        <w:trPr>
          <w:trHeight w:val="240"/>
        </w:trPr>
        <w:tc>
          <w:tcPr>
            <w:tcW w:w="5103" w:type="dxa"/>
          </w:tcPr>
          <w:p w14:paraId="0278D33A" w14:textId="77777777" w:rsidR="006D7571" w:rsidRPr="000557CC" w:rsidRDefault="006D7571" w:rsidP="001E6F2C">
            <w:pPr>
              <w:pStyle w:val="ARTabletext"/>
              <w:rPr>
                <w:lang w:eastAsia="en-AU"/>
              </w:rPr>
            </w:pPr>
            <w:r w:rsidRPr="000557CC">
              <w:rPr>
                <w:lang w:eastAsia="en-AU"/>
              </w:rPr>
              <w:t>Electricity (MWh)</w:t>
            </w:r>
          </w:p>
        </w:tc>
        <w:tc>
          <w:tcPr>
            <w:cnfStyle w:val="000001000000" w:firstRow="0" w:lastRow="0" w:firstColumn="0" w:lastColumn="0" w:oddVBand="0" w:evenVBand="1" w:oddHBand="0" w:evenHBand="0" w:firstRowFirstColumn="0" w:firstRowLastColumn="0" w:lastRowFirstColumn="0" w:lastRowLastColumn="0"/>
            <w:tcW w:w="1512" w:type="dxa"/>
          </w:tcPr>
          <w:p w14:paraId="704C08D9" w14:textId="77777777" w:rsidR="006D7571" w:rsidRPr="000557CC" w:rsidRDefault="006D7571" w:rsidP="001E6F2C">
            <w:pPr>
              <w:pStyle w:val="ARtabletextright"/>
              <w:rPr>
                <w:lang w:eastAsia="en-AU"/>
              </w:rPr>
            </w:pPr>
            <w:r w:rsidRPr="000557CC">
              <w:rPr>
                <w:lang w:eastAsia="en-AU"/>
              </w:rPr>
              <w:t>116</w:t>
            </w:r>
          </w:p>
        </w:tc>
        <w:tc>
          <w:tcPr>
            <w:tcW w:w="1512" w:type="dxa"/>
          </w:tcPr>
          <w:p w14:paraId="2FFC5031"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87</w:t>
            </w:r>
          </w:p>
        </w:tc>
        <w:tc>
          <w:tcPr>
            <w:cnfStyle w:val="000001000000" w:firstRow="0" w:lastRow="0" w:firstColumn="0" w:lastColumn="0" w:oddVBand="0" w:evenVBand="1" w:oddHBand="0" w:evenHBand="0" w:firstRowFirstColumn="0" w:firstRowLastColumn="0" w:lastRowFirstColumn="0" w:lastRowLastColumn="0"/>
            <w:tcW w:w="1512" w:type="dxa"/>
          </w:tcPr>
          <w:p w14:paraId="7D9D2CCE" w14:textId="77777777" w:rsidR="006D7571" w:rsidRPr="000557CC" w:rsidRDefault="006D7571" w:rsidP="001E6F2C">
            <w:pPr>
              <w:pStyle w:val="ARtabletextright"/>
              <w:rPr>
                <w:lang w:eastAsia="en-AU"/>
              </w:rPr>
            </w:pPr>
            <w:r w:rsidRPr="000557CC">
              <w:rPr>
                <w:lang w:eastAsia="en-AU"/>
              </w:rPr>
              <w:t>–</w:t>
            </w:r>
          </w:p>
        </w:tc>
      </w:tr>
      <w:tr w:rsidR="006D7571" w:rsidRPr="000557CC" w14:paraId="33BBDA1B" w14:textId="77777777" w:rsidTr="009F3BE7">
        <w:trPr>
          <w:trHeight w:val="225"/>
        </w:trPr>
        <w:tc>
          <w:tcPr>
            <w:tcW w:w="5103" w:type="dxa"/>
          </w:tcPr>
          <w:p w14:paraId="7CA82D08" w14:textId="77777777" w:rsidR="006D7571" w:rsidRPr="000557CC" w:rsidRDefault="006D7571" w:rsidP="001E6F2C">
            <w:pPr>
              <w:pStyle w:val="ARtabletextbold"/>
              <w:rPr>
                <w:rFonts w:eastAsia="Times"/>
                <w:lang w:eastAsia="en-AU"/>
              </w:rPr>
            </w:pPr>
            <w:r w:rsidRPr="000557CC">
              <w:rPr>
                <w:lang w:eastAsia="en-AU"/>
              </w:rPr>
              <w:t>Total passenger vehicles</w:t>
            </w:r>
          </w:p>
        </w:tc>
        <w:tc>
          <w:tcPr>
            <w:cnfStyle w:val="000001000000" w:firstRow="0" w:lastRow="0" w:firstColumn="0" w:lastColumn="0" w:oddVBand="0" w:evenVBand="1" w:oddHBand="0" w:evenHBand="0" w:firstRowFirstColumn="0" w:firstRowLastColumn="0" w:lastRowFirstColumn="0" w:lastRowLastColumn="0"/>
            <w:tcW w:w="1512" w:type="dxa"/>
          </w:tcPr>
          <w:p w14:paraId="5AD48B6F" w14:textId="77777777" w:rsidR="006D7571" w:rsidRPr="000557CC" w:rsidRDefault="006D7571" w:rsidP="001E6F2C">
            <w:pPr>
              <w:pStyle w:val="ARtabletextrightbold"/>
              <w:rPr>
                <w:lang w:eastAsia="en-AU"/>
              </w:rPr>
            </w:pPr>
            <w:r w:rsidRPr="000557CC">
              <w:rPr>
                <w:lang w:eastAsia="en-AU"/>
              </w:rPr>
              <w:t>47,687,369</w:t>
            </w:r>
          </w:p>
        </w:tc>
        <w:tc>
          <w:tcPr>
            <w:tcW w:w="1512" w:type="dxa"/>
          </w:tcPr>
          <w:p w14:paraId="26F60129" w14:textId="77777777" w:rsidR="006D7571" w:rsidRPr="000557CC" w:rsidRDefault="006D7571" w:rsidP="001E6F2C">
            <w:pPr>
              <w:pStyle w:val="ARtabletextrightbold"/>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54,057,118</w:t>
            </w:r>
          </w:p>
        </w:tc>
        <w:tc>
          <w:tcPr>
            <w:cnfStyle w:val="000001000000" w:firstRow="0" w:lastRow="0" w:firstColumn="0" w:lastColumn="0" w:oddVBand="0" w:evenVBand="1" w:oddHBand="0" w:evenHBand="0" w:firstRowFirstColumn="0" w:firstRowLastColumn="0" w:lastRowFirstColumn="0" w:lastRowLastColumn="0"/>
            <w:tcW w:w="1512" w:type="dxa"/>
          </w:tcPr>
          <w:p w14:paraId="46974195" w14:textId="77777777" w:rsidR="006D7571" w:rsidRPr="000557CC" w:rsidRDefault="006D7571" w:rsidP="001E6F2C">
            <w:pPr>
              <w:pStyle w:val="ARtabletextrightbold"/>
              <w:rPr>
                <w:lang w:eastAsia="en-AU"/>
              </w:rPr>
            </w:pPr>
            <w:r w:rsidRPr="000557CC">
              <w:rPr>
                <w:lang w:eastAsia="en-AU"/>
              </w:rPr>
              <w:t>57,008,622</w:t>
            </w:r>
          </w:p>
        </w:tc>
      </w:tr>
      <w:tr w:rsidR="004D01FA" w:rsidRPr="000557CC" w14:paraId="3E0D5883" w14:textId="77777777" w:rsidTr="004D01FA">
        <w:trPr>
          <w:trHeight w:val="225"/>
        </w:trPr>
        <w:tc>
          <w:tcPr>
            <w:tcW w:w="5103" w:type="dxa"/>
          </w:tcPr>
          <w:p w14:paraId="031FB57D" w14:textId="19824C4F" w:rsidR="004D01FA" w:rsidRPr="000557CC" w:rsidRDefault="004D01FA" w:rsidP="004D01FA">
            <w:pPr>
              <w:pStyle w:val="ARTabletextboldcoloured"/>
              <w:rPr>
                <w:lang w:eastAsia="en-AU"/>
              </w:rPr>
            </w:pPr>
            <w:r w:rsidRPr="000557CC">
              <w:rPr>
                <w:lang w:eastAsia="en-AU"/>
              </w:rPr>
              <w:t>Goods vehicles</w:t>
            </w:r>
          </w:p>
        </w:tc>
        <w:tc>
          <w:tcPr>
            <w:cnfStyle w:val="000001000000" w:firstRow="0" w:lastRow="0" w:firstColumn="0" w:lastColumn="0" w:oddVBand="0" w:evenVBand="1" w:oddHBand="0" w:evenHBand="0" w:firstRowFirstColumn="0" w:firstRowLastColumn="0" w:lastRowFirstColumn="0" w:lastRowLastColumn="0"/>
            <w:tcW w:w="1512" w:type="dxa"/>
            <w:shd w:val="clear" w:color="auto" w:fill="auto"/>
          </w:tcPr>
          <w:p w14:paraId="728234C1" w14:textId="77777777" w:rsidR="004D01FA" w:rsidRDefault="004D01FA" w:rsidP="001E6F2C">
            <w:pPr>
              <w:pStyle w:val="ARtabletextright"/>
              <w:rPr>
                <w:lang w:eastAsia="en-AU"/>
              </w:rPr>
            </w:pPr>
          </w:p>
        </w:tc>
        <w:tc>
          <w:tcPr>
            <w:tcW w:w="1512" w:type="dxa"/>
          </w:tcPr>
          <w:p w14:paraId="082EC0BD" w14:textId="77777777" w:rsidR="004D01FA" w:rsidRPr="000557CC" w:rsidRDefault="004D01FA"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1512" w:type="dxa"/>
            <w:shd w:val="clear" w:color="auto" w:fill="auto"/>
          </w:tcPr>
          <w:p w14:paraId="04A4B701" w14:textId="77777777" w:rsidR="004D01FA" w:rsidRPr="000557CC" w:rsidRDefault="004D01FA" w:rsidP="001E6F2C">
            <w:pPr>
              <w:pStyle w:val="ARtabletextright"/>
              <w:rPr>
                <w:lang w:eastAsia="en-AU"/>
              </w:rPr>
            </w:pPr>
          </w:p>
        </w:tc>
      </w:tr>
      <w:tr w:rsidR="006D7571" w:rsidRPr="000557CC" w14:paraId="7A58CE37" w14:textId="77777777" w:rsidTr="009F3BE7">
        <w:trPr>
          <w:trHeight w:val="225"/>
        </w:trPr>
        <w:tc>
          <w:tcPr>
            <w:tcW w:w="5103" w:type="dxa"/>
          </w:tcPr>
          <w:p w14:paraId="14093B68" w14:textId="77777777" w:rsidR="006D7571" w:rsidRPr="000557CC" w:rsidRDefault="006D7571" w:rsidP="001E6F2C">
            <w:pPr>
              <w:pStyle w:val="ARTabletext"/>
              <w:rPr>
                <w:lang w:eastAsia="en-AU"/>
              </w:rPr>
            </w:pPr>
            <w:r w:rsidRPr="000557CC">
              <w:rPr>
                <w:lang w:eastAsia="en-AU"/>
              </w:rPr>
              <w:t>Petrol</w:t>
            </w:r>
          </w:p>
        </w:tc>
        <w:tc>
          <w:tcPr>
            <w:cnfStyle w:val="000001000000" w:firstRow="0" w:lastRow="0" w:firstColumn="0" w:lastColumn="0" w:oddVBand="0" w:evenVBand="1" w:oddHBand="0" w:evenHBand="0" w:firstRowFirstColumn="0" w:firstRowLastColumn="0" w:lastRowFirstColumn="0" w:lastRowLastColumn="0"/>
            <w:tcW w:w="1512" w:type="dxa"/>
          </w:tcPr>
          <w:p w14:paraId="4138BBB4" w14:textId="028D1CEA" w:rsidR="006D7571" w:rsidRPr="000557CC" w:rsidRDefault="00D345A1" w:rsidP="001E6F2C">
            <w:pPr>
              <w:pStyle w:val="ARtabletextright"/>
              <w:rPr>
                <w:lang w:eastAsia="en-AU"/>
              </w:rPr>
            </w:pPr>
            <w:r>
              <w:rPr>
                <w:lang w:eastAsia="en-AU"/>
              </w:rPr>
              <w:t>–</w:t>
            </w:r>
          </w:p>
        </w:tc>
        <w:tc>
          <w:tcPr>
            <w:tcW w:w="1512" w:type="dxa"/>
          </w:tcPr>
          <w:p w14:paraId="3885C7B3"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1512" w:type="dxa"/>
          </w:tcPr>
          <w:p w14:paraId="7F4AF9A9" w14:textId="77777777" w:rsidR="006D7571" w:rsidRPr="000557CC" w:rsidRDefault="006D7571" w:rsidP="001E6F2C">
            <w:pPr>
              <w:pStyle w:val="ARtabletextright"/>
              <w:rPr>
                <w:lang w:eastAsia="en-AU"/>
              </w:rPr>
            </w:pPr>
            <w:r w:rsidRPr="000557CC">
              <w:rPr>
                <w:lang w:eastAsia="en-AU"/>
              </w:rPr>
              <w:t>–</w:t>
            </w:r>
          </w:p>
        </w:tc>
      </w:tr>
      <w:tr w:rsidR="006D7571" w:rsidRPr="000557CC" w14:paraId="4C5F9FA6" w14:textId="77777777" w:rsidTr="009F3BE7">
        <w:trPr>
          <w:trHeight w:val="225"/>
        </w:trPr>
        <w:tc>
          <w:tcPr>
            <w:tcW w:w="5103" w:type="dxa"/>
          </w:tcPr>
          <w:p w14:paraId="3BEBFDB4" w14:textId="77777777" w:rsidR="006D7571" w:rsidRPr="000557CC" w:rsidRDefault="006D7571" w:rsidP="001E6F2C">
            <w:pPr>
              <w:pStyle w:val="ARTabletext"/>
              <w:rPr>
                <w:lang w:eastAsia="en-AU"/>
              </w:rPr>
            </w:pPr>
            <w:r w:rsidRPr="000557CC">
              <w:rPr>
                <w:lang w:eastAsia="en-AU"/>
              </w:rPr>
              <w:t>Diesel</w:t>
            </w:r>
            <w:r w:rsidRPr="000557CC">
              <w:rPr>
                <w:vertAlign w:val="superscript"/>
                <w:lang w:eastAsia="en-AU"/>
              </w:rPr>
              <w:footnoteReference w:id="34"/>
            </w:r>
          </w:p>
        </w:tc>
        <w:tc>
          <w:tcPr>
            <w:cnfStyle w:val="000001000000" w:firstRow="0" w:lastRow="0" w:firstColumn="0" w:lastColumn="0" w:oddVBand="0" w:evenVBand="1" w:oddHBand="0" w:evenHBand="0" w:firstRowFirstColumn="0" w:firstRowLastColumn="0" w:lastRowFirstColumn="0" w:lastRowLastColumn="0"/>
            <w:tcW w:w="1512" w:type="dxa"/>
          </w:tcPr>
          <w:p w14:paraId="6770C79E" w14:textId="77777777" w:rsidR="006D7571" w:rsidRPr="000557CC" w:rsidRDefault="006D7571" w:rsidP="001E6F2C">
            <w:pPr>
              <w:pStyle w:val="ARtabletextright"/>
              <w:rPr>
                <w:lang w:eastAsia="en-AU"/>
              </w:rPr>
            </w:pPr>
            <w:r w:rsidRPr="000557CC">
              <w:rPr>
                <w:lang w:eastAsia="en-AU"/>
              </w:rPr>
              <w:t>0</w:t>
            </w:r>
          </w:p>
        </w:tc>
        <w:tc>
          <w:tcPr>
            <w:tcW w:w="1512" w:type="dxa"/>
          </w:tcPr>
          <w:p w14:paraId="6CA6E172"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115,656</w:t>
            </w:r>
          </w:p>
        </w:tc>
        <w:tc>
          <w:tcPr>
            <w:cnfStyle w:val="000001000000" w:firstRow="0" w:lastRow="0" w:firstColumn="0" w:lastColumn="0" w:oddVBand="0" w:evenVBand="1" w:oddHBand="0" w:evenHBand="0" w:firstRowFirstColumn="0" w:firstRowLastColumn="0" w:lastRowFirstColumn="0" w:lastRowLastColumn="0"/>
            <w:tcW w:w="1512" w:type="dxa"/>
          </w:tcPr>
          <w:p w14:paraId="5923C594" w14:textId="77777777" w:rsidR="006D7571" w:rsidRPr="000557CC" w:rsidRDefault="006D7571" w:rsidP="001E6F2C">
            <w:pPr>
              <w:pStyle w:val="ARtabletextright"/>
              <w:rPr>
                <w:lang w:eastAsia="en-AU"/>
              </w:rPr>
            </w:pPr>
            <w:r w:rsidRPr="000557CC">
              <w:rPr>
                <w:lang w:eastAsia="en-AU"/>
              </w:rPr>
              <w:t>143,164</w:t>
            </w:r>
          </w:p>
        </w:tc>
      </w:tr>
      <w:tr w:rsidR="006D7571" w:rsidRPr="000557CC" w14:paraId="6FD4A1B4" w14:textId="77777777" w:rsidTr="009F3BE7">
        <w:trPr>
          <w:trHeight w:val="240"/>
        </w:trPr>
        <w:tc>
          <w:tcPr>
            <w:tcW w:w="5103" w:type="dxa"/>
          </w:tcPr>
          <w:p w14:paraId="0B7C77D4" w14:textId="77777777" w:rsidR="006D7571" w:rsidRPr="000557CC" w:rsidRDefault="006D7571" w:rsidP="001E6F2C">
            <w:pPr>
              <w:pStyle w:val="ARTabletext"/>
              <w:rPr>
                <w:lang w:eastAsia="en-AU"/>
              </w:rPr>
            </w:pPr>
            <w:r w:rsidRPr="000557CC">
              <w:rPr>
                <w:lang w:eastAsia="en-AU"/>
              </w:rPr>
              <w:t>Electricity (MWh)</w:t>
            </w:r>
          </w:p>
        </w:tc>
        <w:tc>
          <w:tcPr>
            <w:cnfStyle w:val="000001000000" w:firstRow="0" w:lastRow="0" w:firstColumn="0" w:lastColumn="0" w:oddVBand="0" w:evenVBand="1" w:oddHBand="0" w:evenHBand="0" w:firstRowFirstColumn="0" w:firstRowLastColumn="0" w:lastRowFirstColumn="0" w:lastRowLastColumn="0"/>
            <w:tcW w:w="1512" w:type="dxa"/>
          </w:tcPr>
          <w:p w14:paraId="410DAF4C" w14:textId="274793DB" w:rsidR="006D7571" w:rsidRPr="000557CC" w:rsidRDefault="00D345A1" w:rsidP="001E6F2C">
            <w:pPr>
              <w:pStyle w:val="ARtabletextright"/>
              <w:rPr>
                <w:lang w:eastAsia="en-AU"/>
              </w:rPr>
            </w:pPr>
            <w:r>
              <w:rPr>
                <w:lang w:eastAsia="en-AU"/>
              </w:rPr>
              <w:t>–</w:t>
            </w:r>
          </w:p>
        </w:tc>
        <w:tc>
          <w:tcPr>
            <w:tcW w:w="1512" w:type="dxa"/>
          </w:tcPr>
          <w:p w14:paraId="450AC1B0"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1512" w:type="dxa"/>
          </w:tcPr>
          <w:p w14:paraId="48B556ED" w14:textId="77777777" w:rsidR="006D7571" w:rsidRPr="000557CC" w:rsidRDefault="006D7571" w:rsidP="001E6F2C">
            <w:pPr>
              <w:pStyle w:val="ARtabletextright"/>
              <w:rPr>
                <w:lang w:eastAsia="en-AU"/>
              </w:rPr>
            </w:pPr>
            <w:r w:rsidRPr="000557CC">
              <w:rPr>
                <w:lang w:eastAsia="en-AU"/>
              </w:rPr>
              <w:t>–</w:t>
            </w:r>
          </w:p>
        </w:tc>
      </w:tr>
      <w:tr w:rsidR="006D7571" w:rsidRPr="000557CC" w14:paraId="3EE30231" w14:textId="77777777" w:rsidTr="009F3BE7">
        <w:trPr>
          <w:trHeight w:val="240"/>
        </w:trPr>
        <w:tc>
          <w:tcPr>
            <w:tcW w:w="5103" w:type="dxa"/>
          </w:tcPr>
          <w:p w14:paraId="4B4C6DE7" w14:textId="77777777" w:rsidR="006D7571" w:rsidRPr="000557CC" w:rsidRDefault="006D7571" w:rsidP="001E6F2C">
            <w:pPr>
              <w:pStyle w:val="ARtabletextbold"/>
              <w:rPr>
                <w:lang w:eastAsia="en-AU"/>
              </w:rPr>
            </w:pPr>
            <w:r w:rsidRPr="000557CC">
              <w:rPr>
                <w:lang w:eastAsia="en-AU"/>
              </w:rPr>
              <w:t>Total goods vehicles</w:t>
            </w:r>
          </w:p>
        </w:tc>
        <w:tc>
          <w:tcPr>
            <w:cnfStyle w:val="000001000000" w:firstRow="0" w:lastRow="0" w:firstColumn="0" w:lastColumn="0" w:oddVBand="0" w:evenVBand="1" w:oddHBand="0" w:evenHBand="0" w:firstRowFirstColumn="0" w:firstRowLastColumn="0" w:lastRowFirstColumn="0" w:lastRowLastColumn="0"/>
            <w:tcW w:w="1512" w:type="dxa"/>
          </w:tcPr>
          <w:p w14:paraId="4E2105F7" w14:textId="77777777" w:rsidR="006D7571" w:rsidRPr="000557CC" w:rsidRDefault="006D7571" w:rsidP="001E6F2C">
            <w:pPr>
              <w:pStyle w:val="ARtabletextrightbold"/>
              <w:rPr>
                <w:lang w:eastAsia="en-AU"/>
              </w:rPr>
            </w:pPr>
            <w:r w:rsidRPr="000557CC">
              <w:rPr>
                <w:lang w:eastAsia="en-AU"/>
              </w:rPr>
              <w:t>0</w:t>
            </w:r>
          </w:p>
        </w:tc>
        <w:tc>
          <w:tcPr>
            <w:tcW w:w="1512" w:type="dxa"/>
          </w:tcPr>
          <w:p w14:paraId="63EEC6C5" w14:textId="77777777" w:rsidR="006D7571" w:rsidRPr="000557CC" w:rsidRDefault="006D7571" w:rsidP="001E6F2C">
            <w:pPr>
              <w:pStyle w:val="ARtabletextrightbold"/>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115,656</w:t>
            </w:r>
          </w:p>
        </w:tc>
        <w:tc>
          <w:tcPr>
            <w:cnfStyle w:val="000001000000" w:firstRow="0" w:lastRow="0" w:firstColumn="0" w:lastColumn="0" w:oddVBand="0" w:evenVBand="1" w:oddHBand="0" w:evenHBand="0" w:firstRowFirstColumn="0" w:firstRowLastColumn="0" w:lastRowFirstColumn="0" w:lastRowLastColumn="0"/>
            <w:tcW w:w="1512" w:type="dxa"/>
          </w:tcPr>
          <w:p w14:paraId="5A4C5EF0" w14:textId="77777777" w:rsidR="006D7571" w:rsidRPr="000557CC" w:rsidRDefault="006D7571" w:rsidP="001E6F2C">
            <w:pPr>
              <w:pStyle w:val="ARtabletextrightbold"/>
              <w:rPr>
                <w:lang w:eastAsia="en-AU"/>
              </w:rPr>
            </w:pPr>
            <w:r w:rsidRPr="000557CC">
              <w:rPr>
                <w:lang w:eastAsia="en-AU"/>
              </w:rPr>
              <w:t>143,164</w:t>
            </w:r>
          </w:p>
        </w:tc>
      </w:tr>
      <w:tr w:rsidR="006D7571" w:rsidRPr="000557CC" w14:paraId="142ABB8C" w14:textId="77777777" w:rsidTr="009F3BE7">
        <w:trPr>
          <w:trHeight w:val="240"/>
        </w:trPr>
        <w:tc>
          <w:tcPr>
            <w:tcW w:w="5103" w:type="dxa"/>
          </w:tcPr>
          <w:p w14:paraId="25D7E5F2" w14:textId="77777777" w:rsidR="006D7571" w:rsidRPr="000557CC" w:rsidRDefault="006D7571" w:rsidP="001E6F2C">
            <w:pPr>
              <w:pStyle w:val="ARTabletext"/>
              <w:rPr>
                <w:rFonts w:eastAsia="Calibri"/>
                <w:lang w:eastAsia="en-AU"/>
              </w:rPr>
            </w:pPr>
            <w:r w:rsidRPr="000557CC">
              <w:rPr>
                <w:lang w:eastAsia="en-AU"/>
              </w:rPr>
              <w:t>State government vehicle pool</w:t>
            </w:r>
          </w:p>
        </w:tc>
        <w:tc>
          <w:tcPr>
            <w:cnfStyle w:val="000001000000" w:firstRow="0" w:lastRow="0" w:firstColumn="0" w:lastColumn="0" w:oddVBand="0" w:evenVBand="1" w:oddHBand="0" w:evenHBand="0" w:firstRowFirstColumn="0" w:firstRowLastColumn="0" w:lastRowFirstColumn="0" w:lastRowLastColumn="0"/>
            <w:tcW w:w="1512" w:type="dxa"/>
          </w:tcPr>
          <w:p w14:paraId="669D4E14" w14:textId="77777777" w:rsidR="006D7571" w:rsidRPr="000557CC" w:rsidRDefault="006D7571" w:rsidP="001E6F2C">
            <w:pPr>
              <w:pStyle w:val="ARtabletextright"/>
              <w:rPr>
                <w:lang w:eastAsia="en-AU"/>
              </w:rPr>
            </w:pPr>
            <w:r w:rsidRPr="000557CC">
              <w:rPr>
                <w:lang w:eastAsia="en-AU"/>
              </w:rPr>
              <w:t>600,655</w:t>
            </w:r>
          </w:p>
        </w:tc>
        <w:tc>
          <w:tcPr>
            <w:tcW w:w="1512" w:type="dxa"/>
          </w:tcPr>
          <w:p w14:paraId="3BC934F3"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577,262</w:t>
            </w:r>
          </w:p>
        </w:tc>
        <w:tc>
          <w:tcPr>
            <w:cnfStyle w:val="000001000000" w:firstRow="0" w:lastRow="0" w:firstColumn="0" w:lastColumn="0" w:oddVBand="0" w:evenVBand="1" w:oddHBand="0" w:evenHBand="0" w:firstRowFirstColumn="0" w:firstRowLastColumn="0" w:lastRowFirstColumn="0" w:lastRowLastColumn="0"/>
            <w:tcW w:w="1512" w:type="dxa"/>
          </w:tcPr>
          <w:p w14:paraId="31012665" w14:textId="77777777" w:rsidR="006D7571" w:rsidRPr="000557CC" w:rsidRDefault="006D7571" w:rsidP="001E6F2C">
            <w:pPr>
              <w:pStyle w:val="ARtabletextright"/>
              <w:rPr>
                <w:lang w:eastAsia="en-AU"/>
              </w:rPr>
            </w:pPr>
            <w:r w:rsidRPr="000557CC">
              <w:rPr>
                <w:lang w:eastAsia="en-AU"/>
              </w:rPr>
              <w:t>649,315</w:t>
            </w:r>
          </w:p>
        </w:tc>
      </w:tr>
      <w:tr w:rsidR="006D7571" w:rsidRPr="000557CC" w14:paraId="16410FA0" w14:textId="77777777" w:rsidTr="009F3BE7">
        <w:trPr>
          <w:cnfStyle w:val="010000000000" w:firstRow="0" w:lastRow="1" w:firstColumn="0" w:lastColumn="0" w:oddVBand="0" w:evenVBand="0" w:oddHBand="0" w:evenHBand="0" w:firstRowFirstColumn="0" w:firstRowLastColumn="0" w:lastRowFirstColumn="0" w:lastRowLastColumn="0"/>
          <w:trHeight w:val="240"/>
        </w:trPr>
        <w:tc>
          <w:tcPr>
            <w:tcW w:w="5103" w:type="dxa"/>
          </w:tcPr>
          <w:p w14:paraId="4669AEF1" w14:textId="77777777" w:rsidR="006D7571" w:rsidRPr="000557CC" w:rsidRDefault="006D7571" w:rsidP="001E6F2C">
            <w:pPr>
              <w:pStyle w:val="ARtabletextbold"/>
              <w:rPr>
                <w:lang w:eastAsia="en-AU"/>
              </w:rPr>
            </w:pPr>
            <w:r w:rsidRPr="000557CC">
              <w:rPr>
                <w:lang w:eastAsia="en-AU"/>
              </w:rPr>
              <w:t>T1 Total energy used in transportation</w:t>
            </w:r>
          </w:p>
        </w:tc>
        <w:tc>
          <w:tcPr>
            <w:cnfStyle w:val="000001000000" w:firstRow="0" w:lastRow="0" w:firstColumn="0" w:lastColumn="0" w:oddVBand="0" w:evenVBand="1" w:oddHBand="0" w:evenHBand="0" w:firstRowFirstColumn="0" w:firstRowLastColumn="0" w:lastRowFirstColumn="0" w:lastRowLastColumn="0"/>
            <w:tcW w:w="1512" w:type="dxa"/>
          </w:tcPr>
          <w:p w14:paraId="5F693F85" w14:textId="77777777" w:rsidR="006D7571" w:rsidRPr="000557CC" w:rsidRDefault="006D7571" w:rsidP="001E6F2C">
            <w:pPr>
              <w:pStyle w:val="ARtabletextrightbold"/>
              <w:rPr>
                <w:lang w:eastAsia="en-AU"/>
              </w:rPr>
            </w:pPr>
            <w:r w:rsidRPr="000557CC">
              <w:rPr>
                <w:lang w:eastAsia="en-AU"/>
              </w:rPr>
              <w:t>48,288,024</w:t>
            </w:r>
          </w:p>
        </w:tc>
        <w:tc>
          <w:tcPr>
            <w:tcW w:w="1512" w:type="dxa"/>
          </w:tcPr>
          <w:p w14:paraId="63B6C7B4" w14:textId="77777777" w:rsidR="006D7571" w:rsidRPr="000557CC" w:rsidRDefault="006D7571" w:rsidP="001E6F2C">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54,634,380</w:t>
            </w:r>
          </w:p>
        </w:tc>
        <w:tc>
          <w:tcPr>
            <w:cnfStyle w:val="000001000000" w:firstRow="0" w:lastRow="0" w:firstColumn="0" w:lastColumn="0" w:oddVBand="0" w:evenVBand="1" w:oddHBand="0" w:evenHBand="0" w:firstRowFirstColumn="0" w:firstRowLastColumn="0" w:lastRowFirstColumn="0" w:lastRowLastColumn="0"/>
            <w:tcW w:w="1512" w:type="dxa"/>
          </w:tcPr>
          <w:p w14:paraId="76181DED" w14:textId="77777777" w:rsidR="006D7571" w:rsidRPr="000557CC" w:rsidRDefault="006D7571" w:rsidP="001E6F2C">
            <w:pPr>
              <w:pStyle w:val="ARtabletextrightbold"/>
              <w:rPr>
                <w:lang w:eastAsia="en-AU"/>
              </w:rPr>
            </w:pPr>
            <w:r w:rsidRPr="000557CC">
              <w:rPr>
                <w:lang w:eastAsia="en-AU"/>
              </w:rPr>
              <w:t>57,801,100</w:t>
            </w:r>
          </w:p>
        </w:tc>
      </w:tr>
    </w:tbl>
    <w:p w14:paraId="42F9E77A" w14:textId="77777777" w:rsidR="000D720E" w:rsidRDefault="000D720E" w:rsidP="000D720E">
      <w:pPr>
        <w:pStyle w:val="ARBody"/>
        <w:rPr>
          <w:color w:val="201547" w:themeColor="text2"/>
        </w:rPr>
      </w:pPr>
      <w:r>
        <w:br w:type="page"/>
      </w:r>
    </w:p>
    <w:p w14:paraId="1DB969AF" w14:textId="5F726783" w:rsidR="006D7571" w:rsidRPr="000557CC" w:rsidRDefault="006D7571" w:rsidP="001E6F2C">
      <w:pPr>
        <w:pStyle w:val="ARTablecaption"/>
        <w:rPr>
          <w:rFonts w:eastAsia="MS PGothic"/>
        </w:rPr>
      </w:pPr>
      <w:r w:rsidRPr="000557CC">
        <w:rPr>
          <w:rFonts w:eastAsia="MS PGothic"/>
        </w:rPr>
        <w:t>Number and proportion of vehicles – department fleet</w:t>
      </w:r>
    </w:p>
    <w:tbl>
      <w:tblPr>
        <w:tblStyle w:val="ARtable1"/>
        <w:tblW w:w="5000" w:type="pct"/>
        <w:tblLook w:val="02E0" w:firstRow="1" w:lastRow="1" w:firstColumn="1" w:lastColumn="0" w:noHBand="1" w:noVBand="0"/>
      </w:tblPr>
      <w:tblGrid>
        <w:gridCol w:w="2835"/>
        <w:gridCol w:w="1133"/>
        <w:gridCol w:w="1132"/>
        <w:gridCol w:w="1132"/>
        <w:gridCol w:w="1132"/>
        <w:gridCol w:w="1132"/>
        <w:gridCol w:w="1132"/>
      </w:tblGrid>
      <w:tr w:rsidR="006D7571" w:rsidRPr="000557CC" w14:paraId="14207E9C" w14:textId="77777777" w:rsidTr="004535D4">
        <w:trPr>
          <w:cnfStyle w:val="100000000000" w:firstRow="1" w:lastRow="0" w:firstColumn="0" w:lastColumn="0" w:oddVBand="0" w:evenVBand="0" w:oddHBand="0" w:evenHBand="0" w:firstRowFirstColumn="0" w:firstRowLastColumn="0" w:lastRowFirstColumn="0" w:lastRowLastColumn="0"/>
          <w:trHeight w:val="225"/>
          <w:tblHeader/>
        </w:trPr>
        <w:tc>
          <w:tcPr>
            <w:tcW w:w="1472" w:type="pct"/>
          </w:tcPr>
          <w:p w14:paraId="6D18302B" w14:textId="77777777" w:rsidR="006D7571" w:rsidRPr="000557CC" w:rsidRDefault="006D7571" w:rsidP="001E6F2C">
            <w:pPr>
              <w:pStyle w:val="ARtablecolhead"/>
              <w:rPr>
                <w:i/>
                <w:lang w:eastAsia="en-AU"/>
              </w:rPr>
            </w:pPr>
            <w:r w:rsidRPr="000557CC">
              <w:rPr>
                <w:lang w:eastAsia="en-AU"/>
              </w:rPr>
              <w:t>Indicator</w:t>
            </w:r>
          </w:p>
        </w:tc>
        <w:tc>
          <w:tcPr>
            <w:cnfStyle w:val="000001000000" w:firstRow="0" w:lastRow="0" w:firstColumn="0" w:lastColumn="0" w:oddVBand="0" w:evenVBand="1" w:oddHBand="0" w:evenHBand="0" w:firstRowFirstColumn="0" w:firstRowLastColumn="0" w:lastRowFirstColumn="0" w:lastRowLastColumn="0"/>
            <w:tcW w:w="588" w:type="pct"/>
          </w:tcPr>
          <w:p w14:paraId="53FCDA68" w14:textId="77777777" w:rsidR="006D7571" w:rsidRPr="000557CC" w:rsidRDefault="006D7571" w:rsidP="001E6F2C">
            <w:pPr>
              <w:pStyle w:val="ARtablecolheadright"/>
              <w:rPr>
                <w:lang w:eastAsia="en-AU"/>
              </w:rPr>
            </w:pPr>
            <w:r w:rsidRPr="000557CC">
              <w:rPr>
                <w:lang w:eastAsia="en-AU"/>
              </w:rPr>
              <w:t>2025–26</w:t>
            </w:r>
          </w:p>
          <w:p w14:paraId="26539A21" w14:textId="77777777" w:rsidR="006D7571" w:rsidRPr="000557CC" w:rsidRDefault="006D7571" w:rsidP="001E6F2C">
            <w:pPr>
              <w:pStyle w:val="ARtablecolheadright"/>
              <w:rPr>
                <w:lang w:eastAsia="en-AU"/>
              </w:rPr>
            </w:pPr>
            <w:r w:rsidRPr="000557CC">
              <w:rPr>
                <w:lang w:eastAsia="en-AU"/>
              </w:rPr>
              <w:t>No.</w:t>
            </w:r>
          </w:p>
        </w:tc>
        <w:tc>
          <w:tcPr>
            <w:tcW w:w="588" w:type="pct"/>
          </w:tcPr>
          <w:p w14:paraId="704CAF5D" w14:textId="77777777" w:rsidR="006D7571" w:rsidRPr="000557CC" w:rsidRDefault="006D7571" w:rsidP="001E6F2C">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2025–26</w:t>
            </w:r>
          </w:p>
          <w:p w14:paraId="48F078A6" w14:textId="77777777" w:rsidR="006D7571" w:rsidRPr="000557CC" w:rsidRDefault="006D7571" w:rsidP="001E6F2C">
            <w:pPr>
              <w:pStyle w:val="ARtablecolheadright"/>
              <w:cnfStyle w:val="100000000000" w:firstRow="1" w:lastRow="0" w:firstColumn="0" w:lastColumn="0" w:oddVBand="0" w:evenVBand="0" w:oddHBand="0" w:evenHBand="0" w:firstRowFirstColumn="0" w:firstRowLastColumn="0" w:lastRowFirstColumn="0" w:lastRowLastColumn="0"/>
              <w:rPr>
                <w:i/>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588" w:type="pct"/>
          </w:tcPr>
          <w:p w14:paraId="4C514781" w14:textId="77777777" w:rsidR="006D7571" w:rsidRPr="000557CC" w:rsidRDefault="006D7571" w:rsidP="001E6F2C">
            <w:pPr>
              <w:pStyle w:val="ARtablecolheadright"/>
              <w:rPr>
                <w:lang w:eastAsia="en-AU"/>
              </w:rPr>
            </w:pPr>
            <w:r w:rsidRPr="000557CC">
              <w:rPr>
                <w:lang w:eastAsia="en-AU"/>
              </w:rPr>
              <w:t>2024–25</w:t>
            </w:r>
          </w:p>
          <w:p w14:paraId="6530F97A" w14:textId="77777777" w:rsidR="006D7571" w:rsidRPr="000557CC" w:rsidRDefault="006D7571" w:rsidP="001E6F2C">
            <w:pPr>
              <w:pStyle w:val="ARtablecolheadright"/>
              <w:rPr>
                <w:i/>
                <w:lang w:eastAsia="en-AU"/>
              </w:rPr>
            </w:pPr>
            <w:r w:rsidRPr="000557CC">
              <w:rPr>
                <w:lang w:eastAsia="en-AU"/>
              </w:rPr>
              <w:t>No.</w:t>
            </w:r>
          </w:p>
        </w:tc>
        <w:tc>
          <w:tcPr>
            <w:tcW w:w="588" w:type="pct"/>
          </w:tcPr>
          <w:p w14:paraId="22DFA074" w14:textId="77777777" w:rsidR="006D7571" w:rsidRPr="000557CC" w:rsidRDefault="006D7571" w:rsidP="001E6F2C">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781B4187" w14:textId="77777777" w:rsidR="006D7571" w:rsidRPr="000557CC" w:rsidRDefault="006D7571" w:rsidP="001E6F2C">
            <w:pPr>
              <w:pStyle w:val="ARtablecolheadright"/>
              <w:cnfStyle w:val="100000000000" w:firstRow="1" w:lastRow="0" w:firstColumn="0" w:lastColumn="0" w:oddVBand="0" w:evenVBand="0" w:oddHBand="0" w:evenHBand="0" w:firstRowFirstColumn="0" w:firstRowLastColumn="0" w:lastRowFirstColumn="0" w:lastRowLastColumn="0"/>
              <w:rPr>
                <w:i/>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588" w:type="pct"/>
          </w:tcPr>
          <w:p w14:paraId="48ADCB82" w14:textId="77777777" w:rsidR="006D7571" w:rsidRPr="000557CC" w:rsidRDefault="006D7571" w:rsidP="001E6F2C">
            <w:pPr>
              <w:pStyle w:val="ARtablecolheadright"/>
              <w:rPr>
                <w:lang w:eastAsia="en-AU"/>
              </w:rPr>
            </w:pPr>
            <w:r w:rsidRPr="000557CC">
              <w:rPr>
                <w:lang w:eastAsia="en-AU"/>
              </w:rPr>
              <w:t>2023–24</w:t>
            </w:r>
          </w:p>
          <w:p w14:paraId="4E65109E" w14:textId="77777777" w:rsidR="006D7571" w:rsidRPr="000557CC" w:rsidRDefault="006D7571" w:rsidP="001E6F2C">
            <w:pPr>
              <w:pStyle w:val="ARtablecolheadright"/>
              <w:rPr>
                <w:i/>
                <w:lang w:eastAsia="en-AU"/>
              </w:rPr>
            </w:pPr>
            <w:r w:rsidRPr="000557CC">
              <w:rPr>
                <w:lang w:eastAsia="en-AU"/>
              </w:rPr>
              <w:t>No.</w:t>
            </w:r>
          </w:p>
        </w:tc>
        <w:tc>
          <w:tcPr>
            <w:tcW w:w="588" w:type="pct"/>
          </w:tcPr>
          <w:p w14:paraId="163B67CD" w14:textId="77777777" w:rsidR="006D7571" w:rsidRPr="000557CC" w:rsidRDefault="006D7571" w:rsidP="001E6F2C">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2023–24</w:t>
            </w:r>
          </w:p>
          <w:p w14:paraId="0009D441" w14:textId="77777777" w:rsidR="006D7571" w:rsidRPr="000557CC" w:rsidRDefault="006D7571" w:rsidP="001E6F2C">
            <w:pPr>
              <w:pStyle w:val="ARtablecolheadright"/>
              <w:cnfStyle w:val="100000000000" w:firstRow="1" w:lastRow="0" w:firstColumn="0" w:lastColumn="0" w:oddVBand="0" w:evenVBand="0" w:oddHBand="0" w:evenHBand="0" w:firstRowFirstColumn="0" w:firstRowLastColumn="0" w:lastRowFirstColumn="0" w:lastRowLastColumn="0"/>
              <w:rPr>
                <w:i/>
                <w:lang w:eastAsia="en-AU"/>
              </w:rPr>
            </w:pPr>
            <w:r w:rsidRPr="000557CC">
              <w:rPr>
                <w:lang w:eastAsia="en-AU"/>
              </w:rPr>
              <w:t>%</w:t>
            </w:r>
          </w:p>
        </w:tc>
      </w:tr>
      <w:tr w:rsidR="004535D4" w:rsidRPr="000557CC" w14:paraId="556B89B1" w14:textId="77777777" w:rsidTr="004535D4">
        <w:trPr>
          <w:trHeight w:val="225"/>
        </w:trPr>
        <w:tc>
          <w:tcPr>
            <w:tcW w:w="1472" w:type="pct"/>
          </w:tcPr>
          <w:p w14:paraId="4789FB04" w14:textId="5F276B51" w:rsidR="004535D4" w:rsidRPr="000557CC" w:rsidRDefault="004535D4" w:rsidP="004535D4">
            <w:pPr>
              <w:pStyle w:val="ARTabletextboldcoloured"/>
              <w:rPr>
                <w:lang w:eastAsia="en-AU"/>
              </w:rPr>
            </w:pPr>
            <w:r w:rsidRPr="000557CC">
              <w:rPr>
                <w:lang w:eastAsia="en-AU"/>
              </w:rPr>
              <w:t>Passenger vehicles</w:t>
            </w:r>
          </w:p>
        </w:tc>
        <w:tc>
          <w:tcPr>
            <w:cnfStyle w:val="000001000000" w:firstRow="0" w:lastRow="0" w:firstColumn="0" w:lastColumn="0" w:oddVBand="0" w:evenVBand="1" w:oddHBand="0" w:evenHBand="0" w:firstRowFirstColumn="0" w:firstRowLastColumn="0" w:lastRowFirstColumn="0" w:lastRowLastColumn="0"/>
            <w:tcW w:w="588" w:type="pct"/>
            <w:shd w:val="clear" w:color="auto" w:fill="auto"/>
          </w:tcPr>
          <w:p w14:paraId="136F9E79" w14:textId="77777777" w:rsidR="004535D4" w:rsidRPr="000557CC" w:rsidRDefault="004535D4" w:rsidP="004535D4">
            <w:pPr>
              <w:pStyle w:val="ARtabletextright"/>
              <w:rPr>
                <w:lang w:eastAsia="en-AU"/>
              </w:rPr>
            </w:pPr>
          </w:p>
        </w:tc>
        <w:tc>
          <w:tcPr>
            <w:tcW w:w="588" w:type="pct"/>
          </w:tcPr>
          <w:p w14:paraId="3C1F4F84" w14:textId="77777777" w:rsidR="004535D4" w:rsidRPr="000557CC" w:rsidRDefault="004535D4" w:rsidP="004535D4">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588" w:type="pct"/>
            <w:shd w:val="clear" w:color="auto" w:fill="auto"/>
          </w:tcPr>
          <w:p w14:paraId="183A4057" w14:textId="77777777" w:rsidR="004535D4" w:rsidRPr="000557CC" w:rsidRDefault="004535D4" w:rsidP="004535D4">
            <w:pPr>
              <w:pStyle w:val="ARtabletextright"/>
              <w:rPr>
                <w:lang w:eastAsia="en-AU"/>
              </w:rPr>
            </w:pPr>
          </w:p>
        </w:tc>
        <w:tc>
          <w:tcPr>
            <w:tcW w:w="588" w:type="pct"/>
          </w:tcPr>
          <w:p w14:paraId="0DC304BA" w14:textId="77777777" w:rsidR="004535D4" w:rsidRPr="000557CC" w:rsidRDefault="004535D4" w:rsidP="004535D4">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588" w:type="pct"/>
            <w:shd w:val="clear" w:color="auto" w:fill="auto"/>
          </w:tcPr>
          <w:p w14:paraId="0D99131D" w14:textId="77777777" w:rsidR="004535D4" w:rsidRPr="000557CC" w:rsidRDefault="004535D4" w:rsidP="004535D4">
            <w:pPr>
              <w:pStyle w:val="ARtabletextright"/>
              <w:rPr>
                <w:lang w:eastAsia="en-AU"/>
              </w:rPr>
            </w:pPr>
          </w:p>
        </w:tc>
        <w:tc>
          <w:tcPr>
            <w:tcW w:w="588" w:type="pct"/>
          </w:tcPr>
          <w:p w14:paraId="447EF436" w14:textId="77777777" w:rsidR="004535D4" w:rsidRPr="000557CC" w:rsidRDefault="004535D4" w:rsidP="004535D4">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r>
      <w:tr w:rsidR="004535D4" w:rsidRPr="000557CC" w14:paraId="1C5C0710" w14:textId="77777777" w:rsidTr="004535D4">
        <w:trPr>
          <w:trHeight w:val="225"/>
        </w:trPr>
        <w:tc>
          <w:tcPr>
            <w:tcW w:w="1472" w:type="pct"/>
          </w:tcPr>
          <w:p w14:paraId="27A8FFD7" w14:textId="064CF3CC" w:rsidR="004535D4" w:rsidRPr="000557CC" w:rsidRDefault="004535D4" w:rsidP="004535D4">
            <w:pPr>
              <w:pStyle w:val="ARTabletextboldcoloured"/>
              <w:rPr>
                <w:lang w:eastAsia="en-AU"/>
              </w:rPr>
            </w:pPr>
            <w:r w:rsidRPr="000557CC">
              <w:rPr>
                <w:lang w:eastAsia="en-AU"/>
              </w:rPr>
              <w:t>Internal combustion engines</w:t>
            </w:r>
          </w:p>
        </w:tc>
        <w:tc>
          <w:tcPr>
            <w:cnfStyle w:val="000001000000" w:firstRow="0" w:lastRow="0" w:firstColumn="0" w:lastColumn="0" w:oddVBand="0" w:evenVBand="1" w:oddHBand="0" w:evenHBand="0" w:firstRowFirstColumn="0" w:firstRowLastColumn="0" w:lastRowFirstColumn="0" w:lastRowLastColumn="0"/>
            <w:tcW w:w="588" w:type="pct"/>
            <w:shd w:val="clear" w:color="auto" w:fill="auto"/>
          </w:tcPr>
          <w:p w14:paraId="196BAEBA" w14:textId="77777777" w:rsidR="004535D4" w:rsidRPr="000557CC" w:rsidRDefault="004535D4" w:rsidP="004535D4">
            <w:pPr>
              <w:pStyle w:val="ARtabletextright"/>
              <w:rPr>
                <w:lang w:eastAsia="en-AU"/>
              </w:rPr>
            </w:pPr>
          </w:p>
        </w:tc>
        <w:tc>
          <w:tcPr>
            <w:tcW w:w="588" w:type="pct"/>
          </w:tcPr>
          <w:p w14:paraId="531AE452" w14:textId="77777777" w:rsidR="004535D4" w:rsidRPr="000557CC" w:rsidRDefault="004535D4" w:rsidP="004535D4">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588" w:type="pct"/>
            <w:shd w:val="clear" w:color="auto" w:fill="auto"/>
          </w:tcPr>
          <w:p w14:paraId="49B5F3F5" w14:textId="77777777" w:rsidR="004535D4" w:rsidRPr="000557CC" w:rsidRDefault="004535D4" w:rsidP="004535D4">
            <w:pPr>
              <w:pStyle w:val="ARtabletextright"/>
              <w:rPr>
                <w:lang w:eastAsia="en-AU"/>
              </w:rPr>
            </w:pPr>
          </w:p>
        </w:tc>
        <w:tc>
          <w:tcPr>
            <w:tcW w:w="588" w:type="pct"/>
          </w:tcPr>
          <w:p w14:paraId="645CD37F" w14:textId="77777777" w:rsidR="004535D4" w:rsidRPr="000557CC" w:rsidRDefault="004535D4" w:rsidP="004535D4">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588" w:type="pct"/>
            <w:shd w:val="clear" w:color="auto" w:fill="auto"/>
          </w:tcPr>
          <w:p w14:paraId="582A92A4" w14:textId="77777777" w:rsidR="004535D4" w:rsidRPr="000557CC" w:rsidRDefault="004535D4" w:rsidP="004535D4">
            <w:pPr>
              <w:pStyle w:val="ARtabletextright"/>
              <w:rPr>
                <w:lang w:eastAsia="en-AU"/>
              </w:rPr>
            </w:pPr>
          </w:p>
        </w:tc>
        <w:tc>
          <w:tcPr>
            <w:tcW w:w="588" w:type="pct"/>
          </w:tcPr>
          <w:p w14:paraId="74487FCE" w14:textId="77777777" w:rsidR="004535D4" w:rsidRPr="000557CC" w:rsidRDefault="004535D4" w:rsidP="004535D4">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r>
      <w:tr w:rsidR="006D7571" w:rsidRPr="000557CC" w14:paraId="13B8F59E" w14:textId="77777777" w:rsidTr="004535D4">
        <w:trPr>
          <w:trHeight w:val="225"/>
        </w:trPr>
        <w:tc>
          <w:tcPr>
            <w:tcW w:w="1472" w:type="pct"/>
          </w:tcPr>
          <w:p w14:paraId="0A44EEE7" w14:textId="77777777" w:rsidR="006D7571" w:rsidRPr="000557CC" w:rsidRDefault="006D7571" w:rsidP="001E6F2C">
            <w:pPr>
              <w:pStyle w:val="ARTabletext"/>
              <w:rPr>
                <w:rFonts w:eastAsia="Times"/>
                <w:lang w:eastAsia="en-AU"/>
              </w:rPr>
            </w:pPr>
            <w:r w:rsidRPr="000557CC">
              <w:rPr>
                <w:lang w:eastAsia="en-AU"/>
              </w:rPr>
              <w:t>Petrol</w:t>
            </w:r>
          </w:p>
        </w:tc>
        <w:tc>
          <w:tcPr>
            <w:cnfStyle w:val="000001000000" w:firstRow="0" w:lastRow="0" w:firstColumn="0" w:lastColumn="0" w:oddVBand="0" w:evenVBand="1" w:oddHBand="0" w:evenHBand="0" w:firstRowFirstColumn="0" w:firstRowLastColumn="0" w:lastRowFirstColumn="0" w:lastRowLastColumn="0"/>
            <w:tcW w:w="588" w:type="pct"/>
          </w:tcPr>
          <w:p w14:paraId="118DBA0F" w14:textId="77777777" w:rsidR="006D7571" w:rsidRPr="000557CC" w:rsidRDefault="006D7571" w:rsidP="001E6F2C">
            <w:pPr>
              <w:pStyle w:val="ARtabletextright"/>
              <w:rPr>
                <w:lang w:eastAsia="en-AU"/>
              </w:rPr>
            </w:pPr>
            <w:r w:rsidRPr="000557CC">
              <w:rPr>
                <w:lang w:eastAsia="en-AU"/>
              </w:rPr>
              <w:t>364</w:t>
            </w:r>
          </w:p>
        </w:tc>
        <w:tc>
          <w:tcPr>
            <w:tcW w:w="588" w:type="pct"/>
          </w:tcPr>
          <w:p w14:paraId="05279663"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29</w:t>
            </w:r>
          </w:p>
        </w:tc>
        <w:tc>
          <w:tcPr>
            <w:cnfStyle w:val="000001000000" w:firstRow="0" w:lastRow="0" w:firstColumn="0" w:lastColumn="0" w:oddVBand="0" w:evenVBand="1" w:oddHBand="0" w:evenHBand="0" w:firstRowFirstColumn="0" w:firstRowLastColumn="0" w:lastRowFirstColumn="0" w:lastRowLastColumn="0"/>
            <w:tcW w:w="588" w:type="pct"/>
          </w:tcPr>
          <w:p w14:paraId="5AC10BA3" w14:textId="77777777" w:rsidR="006D7571" w:rsidRPr="000557CC" w:rsidRDefault="006D7571" w:rsidP="001E6F2C">
            <w:pPr>
              <w:pStyle w:val="ARtabletextright"/>
              <w:rPr>
                <w:lang w:eastAsia="en-AU"/>
              </w:rPr>
            </w:pPr>
            <w:r w:rsidRPr="000557CC">
              <w:rPr>
                <w:lang w:eastAsia="en-AU"/>
              </w:rPr>
              <w:t>340</w:t>
            </w:r>
          </w:p>
        </w:tc>
        <w:tc>
          <w:tcPr>
            <w:tcW w:w="588" w:type="pct"/>
          </w:tcPr>
          <w:p w14:paraId="3AE8447B"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27</w:t>
            </w:r>
          </w:p>
        </w:tc>
        <w:tc>
          <w:tcPr>
            <w:cnfStyle w:val="000001000000" w:firstRow="0" w:lastRow="0" w:firstColumn="0" w:lastColumn="0" w:oddVBand="0" w:evenVBand="1" w:oddHBand="0" w:evenHBand="0" w:firstRowFirstColumn="0" w:firstRowLastColumn="0" w:lastRowFirstColumn="0" w:lastRowLastColumn="0"/>
            <w:tcW w:w="588" w:type="pct"/>
          </w:tcPr>
          <w:p w14:paraId="7B97FB78" w14:textId="77777777" w:rsidR="006D7571" w:rsidRPr="000557CC" w:rsidRDefault="006D7571" w:rsidP="001E6F2C">
            <w:pPr>
              <w:pStyle w:val="ARtabletextright"/>
              <w:rPr>
                <w:lang w:eastAsia="en-AU"/>
              </w:rPr>
            </w:pPr>
            <w:r w:rsidRPr="000557CC">
              <w:rPr>
                <w:lang w:eastAsia="en-AU"/>
              </w:rPr>
              <w:t>390</w:t>
            </w:r>
          </w:p>
        </w:tc>
        <w:tc>
          <w:tcPr>
            <w:tcW w:w="588" w:type="pct"/>
          </w:tcPr>
          <w:p w14:paraId="1097342A"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31</w:t>
            </w:r>
          </w:p>
        </w:tc>
      </w:tr>
      <w:tr w:rsidR="006D7571" w:rsidRPr="000557CC" w14:paraId="43FB1C7F" w14:textId="77777777" w:rsidTr="004535D4">
        <w:trPr>
          <w:trHeight w:val="225"/>
        </w:trPr>
        <w:tc>
          <w:tcPr>
            <w:tcW w:w="1472" w:type="pct"/>
          </w:tcPr>
          <w:p w14:paraId="39B37761" w14:textId="77777777" w:rsidR="006D7571" w:rsidRPr="000557CC" w:rsidRDefault="006D7571" w:rsidP="001E6F2C">
            <w:pPr>
              <w:pStyle w:val="ARTabletext"/>
              <w:rPr>
                <w:rFonts w:eastAsia="Times"/>
                <w:lang w:eastAsia="en-AU"/>
              </w:rPr>
            </w:pPr>
            <w:r w:rsidRPr="000557CC">
              <w:rPr>
                <w:lang w:eastAsia="en-AU"/>
              </w:rPr>
              <w:t>Diesel/biodiesel</w:t>
            </w:r>
          </w:p>
        </w:tc>
        <w:tc>
          <w:tcPr>
            <w:cnfStyle w:val="000001000000" w:firstRow="0" w:lastRow="0" w:firstColumn="0" w:lastColumn="0" w:oddVBand="0" w:evenVBand="1" w:oddHBand="0" w:evenHBand="0" w:firstRowFirstColumn="0" w:firstRowLastColumn="0" w:lastRowFirstColumn="0" w:lastRowLastColumn="0"/>
            <w:tcW w:w="588" w:type="pct"/>
          </w:tcPr>
          <w:p w14:paraId="34F79AEE" w14:textId="77777777" w:rsidR="006D7571" w:rsidRPr="000557CC" w:rsidRDefault="006D7571" w:rsidP="001E6F2C">
            <w:pPr>
              <w:pStyle w:val="ARtabletextright"/>
              <w:rPr>
                <w:lang w:eastAsia="en-AU"/>
              </w:rPr>
            </w:pPr>
            <w:r w:rsidRPr="000557CC">
              <w:rPr>
                <w:lang w:eastAsia="en-AU"/>
              </w:rPr>
              <w:t>334</w:t>
            </w:r>
          </w:p>
        </w:tc>
        <w:tc>
          <w:tcPr>
            <w:tcW w:w="588" w:type="pct"/>
          </w:tcPr>
          <w:p w14:paraId="19FF7C5F"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27</w:t>
            </w:r>
          </w:p>
        </w:tc>
        <w:tc>
          <w:tcPr>
            <w:cnfStyle w:val="000001000000" w:firstRow="0" w:lastRow="0" w:firstColumn="0" w:lastColumn="0" w:oddVBand="0" w:evenVBand="1" w:oddHBand="0" w:evenHBand="0" w:firstRowFirstColumn="0" w:firstRowLastColumn="0" w:lastRowFirstColumn="0" w:lastRowLastColumn="0"/>
            <w:tcW w:w="588" w:type="pct"/>
          </w:tcPr>
          <w:p w14:paraId="79530F2A" w14:textId="77777777" w:rsidR="006D7571" w:rsidRPr="000557CC" w:rsidRDefault="006D7571" w:rsidP="001E6F2C">
            <w:pPr>
              <w:pStyle w:val="ARtabletextright"/>
              <w:rPr>
                <w:lang w:eastAsia="en-AU"/>
              </w:rPr>
            </w:pPr>
            <w:r w:rsidRPr="000557CC">
              <w:rPr>
                <w:lang w:eastAsia="en-AU"/>
              </w:rPr>
              <w:t>393</w:t>
            </w:r>
          </w:p>
        </w:tc>
        <w:tc>
          <w:tcPr>
            <w:tcW w:w="588" w:type="pct"/>
          </w:tcPr>
          <w:p w14:paraId="0279C97B"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31</w:t>
            </w:r>
          </w:p>
        </w:tc>
        <w:tc>
          <w:tcPr>
            <w:cnfStyle w:val="000001000000" w:firstRow="0" w:lastRow="0" w:firstColumn="0" w:lastColumn="0" w:oddVBand="0" w:evenVBand="1" w:oddHBand="0" w:evenHBand="0" w:firstRowFirstColumn="0" w:firstRowLastColumn="0" w:lastRowFirstColumn="0" w:lastRowLastColumn="0"/>
            <w:tcW w:w="588" w:type="pct"/>
          </w:tcPr>
          <w:p w14:paraId="153313AE" w14:textId="77777777" w:rsidR="006D7571" w:rsidRPr="000557CC" w:rsidRDefault="006D7571" w:rsidP="001E6F2C">
            <w:pPr>
              <w:pStyle w:val="ARtabletextright"/>
              <w:rPr>
                <w:lang w:eastAsia="en-AU"/>
              </w:rPr>
            </w:pPr>
            <w:r w:rsidRPr="000557CC">
              <w:rPr>
                <w:lang w:eastAsia="en-AU"/>
              </w:rPr>
              <w:t>354</w:t>
            </w:r>
          </w:p>
        </w:tc>
        <w:tc>
          <w:tcPr>
            <w:tcW w:w="588" w:type="pct"/>
          </w:tcPr>
          <w:p w14:paraId="6386C331"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29</w:t>
            </w:r>
          </w:p>
        </w:tc>
      </w:tr>
      <w:tr w:rsidR="006D7571" w:rsidRPr="000557CC" w14:paraId="51D4706C" w14:textId="77777777" w:rsidTr="004535D4">
        <w:trPr>
          <w:trHeight w:val="225"/>
        </w:trPr>
        <w:tc>
          <w:tcPr>
            <w:tcW w:w="1472" w:type="pct"/>
          </w:tcPr>
          <w:p w14:paraId="13810AFB" w14:textId="77777777" w:rsidR="006D7571" w:rsidRPr="000557CC" w:rsidRDefault="006D7571" w:rsidP="001E6F2C">
            <w:pPr>
              <w:pStyle w:val="ARTabletext"/>
              <w:rPr>
                <w:rFonts w:eastAsia="Times"/>
                <w:lang w:eastAsia="en-AU"/>
              </w:rPr>
            </w:pPr>
            <w:r w:rsidRPr="000557CC">
              <w:rPr>
                <w:lang w:eastAsia="en-AU"/>
              </w:rPr>
              <w:t>Hybrid/unleaded</w:t>
            </w:r>
          </w:p>
        </w:tc>
        <w:tc>
          <w:tcPr>
            <w:cnfStyle w:val="000001000000" w:firstRow="0" w:lastRow="0" w:firstColumn="0" w:lastColumn="0" w:oddVBand="0" w:evenVBand="1" w:oddHBand="0" w:evenHBand="0" w:firstRowFirstColumn="0" w:firstRowLastColumn="0" w:lastRowFirstColumn="0" w:lastRowLastColumn="0"/>
            <w:tcW w:w="588" w:type="pct"/>
          </w:tcPr>
          <w:p w14:paraId="588F06AA" w14:textId="77777777" w:rsidR="006D7571" w:rsidRPr="000557CC" w:rsidRDefault="006D7571" w:rsidP="001E6F2C">
            <w:pPr>
              <w:pStyle w:val="ARtabletextright"/>
              <w:rPr>
                <w:lang w:eastAsia="en-AU"/>
              </w:rPr>
            </w:pPr>
            <w:r w:rsidRPr="000557CC">
              <w:rPr>
                <w:lang w:eastAsia="en-AU"/>
              </w:rPr>
              <w:t>484</w:t>
            </w:r>
          </w:p>
        </w:tc>
        <w:tc>
          <w:tcPr>
            <w:tcW w:w="588" w:type="pct"/>
          </w:tcPr>
          <w:p w14:paraId="01FF8C8A"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39</w:t>
            </w:r>
          </w:p>
        </w:tc>
        <w:tc>
          <w:tcPr>
            <w:cnfStyle w:val="000001000000" w:firstRow="0" w:lastRow="0" w:firstColumn="0" w:lastColumn="0" w:oddVBand="0" w:evenVBand="1" w:oddHBand="0" w:evenHBand="0" w:firstRowFirstColumn="0" w:firstRowLastColumn="0" w:lastRowFirstColumn="0" w:lastRowLastColumn="0"/>
            <w:tcW w:w="588" w:type="pct"/>
          </w:tcPr>
          <w:p w14:paraId="43BF495F" w14:textId="77777777" w:rsidR="006D7571" w:rsidRPr="000557CC" w:rsidRDefault="006D7571" w:rsidP="001E6F2C">
            <w:pPr>
              <w:pStyle w:val="ARtabletextright"/>
              <w:rPr>
                <w:lang w:eastAsia="en-AU"/>
              </w:rPr>
            </w:pPr>
            <w:r w:rsidRPr="000557CC">
              <w:rPr>
                <w:lang w:eastAsia="en-AU"/>
              </w:rPr>
              <w:t>470</w:t>
            </w:r>
          </w:p>
        </w:tc>
        <w:tc>
          <w:tcPr>
            <w:tcW w:w="588" w:type="pct"/>
          </w:tcPr>
          <w:p w14:paraId="1C6EA70B"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37</w:t>
            </w:r>
          </w:p>
        </w:tc>
        <w:tc>
          <w:tcPr>
            <w:cnfStyle w:val="000001000000" w:firstRow="0" w:lastRow="0" w:firstColumn="0" w:lastColumn="0" w:oddVBand="0" w:evenVBand="1" w:oddHBand="0" w:evenHBand="0" w:firstRowFirstColumn="0" w:firstRowLastColumn="0" w:lastRowFirstColumn="0" w:lastRowLastColumn="0"/>
            <w:tcW w:w="588" w:type="pct"/>
          </w:tcPr>
          <w:p w14:paraId="5C0B2032" w14:textId="77777777" w:rsidR="006D7571" w:rsidRPr="000557CC" w:rsidRDefault="006D7571" w:rsidP="001E6F2C">
            <w:pPr>
              <w:pStyle w:val="ARtabletextright"/>
              <w:rPr>
                <w:lang w:eastAsia="en-AU"/>
              </w:rPr>
            </w:pPr>
            <w:r w:rsidRPr="000557CC">
              <w:rPr>
                <w:lang w:eastAsia="en-AU"/>
              </w:rPr>
              <w:t>468</w:t>
            </w:r>
          </w:p>
        </w:tc>
        <w:tc>
          <w:tcPr>
            <w:tcW w:w="588" w:type="pct"/>
          </w:tcPr>
          <w:p w14:paraId="31DEF7C8"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38</w:t>
            </w:r>
          </w:p>
        </w:tc>
      </w:tr>
      <w:tr w:rsidR="006D7571" w:rsidRPr="000557CC" w14:paraId="61759FBC" w14:textId="77777777" w:rsidTr="004535D4">
        <w:trPr>
          <w:trHeight w:val="225"/>
        </w:trPr>
        <w:tc>
          <w:tcPr>
            <w:tcW w:w="1472" w:type="pct"/>
          </w:tcPr>
          <w:p w14:paraId="5DE9C4FC" w14:textId="77777777" w:rsidR="006D7571" w:rsidRPr="000557CC" w:rsidRDefault="006D7571" w:rsidP="001E6F2C">
            <w:pPr>
              <w:pStyle w:val="ARTabletext"/>
              <w:rPr>
                <w:rFonts w:eastAsia="Times"/>
                <w:lang w:eastAsia="en-AU"/>
              </w:rPr>
            </w:pPr>
            <w:r w:rsidRPr="000557CC">
              <w:rPr>
                <w:lang w:eastAsia="en-AU"/>
              </w:rPr>
              <w:t>Plug-in hybrid electric vehicle (PHEV)</w:t>
            </w:r>
          </w:p>
        </w:tc>
        <w:tc>
          <w:tcPr>
            <w:cnfStyle w:val="000001000000" w:firstRow="0" w:lastRow="0" w:firstColumn="0" w:lastColumn="0" w:oddVBand="0" w:evenVBand="1" w:oddHBand="0" w:evenHBand="0" w:firstRowFirstColumn="0" w:firstRowLastColumn="0" w:lastRowFirstColumn="0" w:lastRowLastColumn="0"/>
            <w:tcW w:w="588" w:type="pct"/>
          </w:tcPr>
          <w:p w14:paraId="6C36EB02" w14:textId="77777777" w:rsidR="006D7571" w:rsidRPr="000557CC" w:rsidRDefault="006D7571" w:rsidP="001E6F2C">
            <w:pPr>
              <w:pStyle w:val="ARtabletextright"/>
              <w:rPr>
                <w:lang w:eastAsia="en-AU"/>
              </w:rPr>
            </w:pPr>
            <w:r w:rsidRPr="000557CC">
              <w:rPr>
                <w:lang w:eastAsia="en-AU"/>
              </w:rPr>
              <w:t>7</w:t>
            </w:r>
          </w:p>
        </w:tc>
        <w:tc>
          <w:tcPr>
            <w:tcW w:w="588" w:type="pct"/>
          </w:tcPr>
          <w:p w14:paraId="11E2A869"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w:t>
            </w:r>
          </w:p>
        </w:tc>
        <w:tc>
          <w:tcPr>
            <w:cnfStyle w:val="000001000000" w:firstRow="0" w:lastRow="0" w:firstColumn="0" w:lastColumn="0" w:oddVBand="0" w:evenVBand="1" w:oddHBand="0" w:evenHBand="0" w:firstRowFirstColumn="0" w:firstRowLastColumn="0" w:lastRowFirstColumn="0" w:lastRowLastColumn="0"/>
            <w:tcW w:w="588" w:type="pct"/>
          </w:tcPr>
          <w:p w14:paraId="3F638136" w14:textId="77777777" w:rsidR="006D7571" w:rsidRPr="000557CC" w:rsidRDefault="006D7571" w:rsidP="001E6F2C">
            <w:pPr>
              <w:pStyle w:val="ARtabletextright"/>
              <w:rPr>
                <w:lang w:eastAsia="en-AU"/>
              </w:rPr>
            </w:pPr>
            <w:r w:rsidRPr="000557CC">
              <w:rPr>
                <w:lang w:eastAsia="en-AU"/>
              </w:rPr>
              <w:t>10</w:t>
            </w:r>
          </w:p>
        </w:tc>
        <w:tc>
          <w:tcPr>
            <w:tcW w:w="588" w:type="pct"/>
          </w:tcPr>
          <w:p w14:paraId="6760CFE1"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w:t>
            </w:r>
          </w:p>
        </w:tc>
        <w:tc>
          <w:tcPr>
            <w:cnfStyle w:val="000001000000" w:firstRow="0" w:lastRow="0" w:firstColumn="0" w:lastColumn="0" w:oddVBand="0" w:evenVBand="1" w:oddHBand="0" w:evenHBand="0" w:firstRowFirstColumn="0" w:firstRowLastColumn="0" w:lastRowFirstColumn="0" w:lastRowLastColumn="0"/>
            <w:tcW w:w="588" w:type="pct"/>
          </w:tcPr>
          <w:p w14:paraId="0813CDB9" w14:textId="77777777" w:rsidR="006D7571" w:rsidRPr="000557CC" w:rsidRDefault="006D7571" w:rsidP="001E6F2C">
            <w:pPr>
              <w:pStyle w:val="ARtabletextright"/>
              <w:rPr>
                <w:lang w:eastAsia="en-AU"/>
              </w:rPr>
            </w:pPr>
            <w:r w:rsidRPr="000557CC">
              <w:rPr>
                <w:lang w:eastAsia="en-AU"/>
              </w:rPr>
              <w:t>4</w:t>
            </w:r>
          </w:p>
        </w:tc>
        <w:tc>
          <w:tcPr>
            <w:tcW w:w="588" w:type="pct"/>
          </w:tcPr>
          <w:p w14:paraId="7AC7E3A8"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r>
      <w:tr w:rsidR="006D7571" w:rsidRPr="000557CC" w14:paraId="0524A56F" w14:textId="77777777" w:rsidTr="004535D4">
        <w:trPr>
          <w:trHeight w:val="240"/>
        </w:trPr>
        <w:tc>
          <w:tcPr>
            <w:tcW w:w="1472" w:type="pct"/>
          </w:tcPr>
          <w:p w14:paraId="787DEB4D" w14:textId="77777777" w:rsidR="006D7571" w:rsidRPr="000557CC" w:rsidRDefault="006D7571" w:rsidP="001E6F2C">
            <w:pPr>
              <w:pStyle w:val="ARTabletext"/>
              <w:rPr>
                <w:rFonts w:eastAsia="Times"/>
                <w:lang w:eastAsia="en-AU"/>
              </w:rPr>
            </w:pPr>
            <w:r w:rsidRPr="000557CC">
              <w:rPr>
                <w:lang w:eastAsia="en-AU"/>
              </w:rPr>
              <w:t>Range-extended electric vehicle</w:t>
            </w:r>
          </w:p>
        </w:tc>
        <w:tc>
          <w:tcPr>
            <w:cnfStyle w:val="000001000000" w:firstRow="0" w:lastRow="0" w:firstColumn="0" w:lastColumn="0" w:oddVBand="0" w:evenVBand="1" w:oddHBand="0" w:evenHBand="0" w:firstRowFirstColumn="0" w:firstRowLastColumn="0" w:lastRowFirstColumn="0" w:lastRowLastColumn="0"/>
            <w:tcW w:w="588" w:type="pct"/>
          </w:tcPr>
          <w:p w14:paraId="11B8DA6B" w14:textId="77777777" w:rsidR="006D7571" w:rsidRPr="000557CC" w:rsidRDefault="006D7571" w:rsidP="001E6F2C">
            <w:pPr>
              <w:pStyle w:val="ARtabletextright"/>
              <w:rPr>
                <w:lang w:eastAsia="en-AU"/>
              </w:rPr>
            </w:pPr>
            <w:r w:rsidRPr="000557CC">
              <w:rPr>
                <w:lang w:eastAsia="en-AU"/>
              </w:rPr>
              <w:t>68</w:t>
            </w:r>
          </w:p>
        </w:tc>
        <w:tc>
          <w:tcPr>
            <w:tcW w:w="588" w:type="pct"/>
          </w:tcPr>
          <w:p w14:paraId="7B9FEEA5"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5</w:t>
            </w:r>
          </w:p>
        </w:tc>
        <w:tc>
          <w:tcPr>
            <w:cnfStyle w:val="000001000000" w:firstRow="0" w:lastRow="0" w:firstColumn="0" w:lastColumn="0" w:oddVBand="0" w:evenVBand="1" w:oddHBand="0" w:evenHBand="0" w:firstRowFirstColumn="0" w:firstRowLastColumn="0" w:lastRowFirstColumn="0" w:lastRowLastColumn="0"/>
            <w:tcW w:w="588" w:type="pct"/>
          </w:tcPr>
          <w:p w14:paraId="41931D7D" w14:textId="77777777" w:rsidR="006D7571" w:rsidRPr="000557CC" w:rsidRDefault="006D7571" w:rsidP="001E6F2C">
            <w:pPr>
              <w:pStyle w:val="ARtabletextright"/>
              <w:rPr>
                <w:lang w:eastAsia="en-AU"/>
              </w:rPr>
            </w:pPr>
            <w:r w:rsidRPr="000557CC">
              <w:rPr>
                <w:lang w:eastAsia="en-AU"/>
              </w:rPr>
              <w:t>42</w:t>
            </w:r>
          </w:p>
        </w:tc>
        <w:tc>
          <w:tcPr>
            <w:tcW w:w="588" w:type="pct"/>
          </w:tcPr>
          <w:p w14:paraId="43DF0D77"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3</w:t>
            </w:r>
          </w:p>
        </w:tc>
        <w:tc>
          <w:tcPr>
            <w:cnfStyle w:val="000001000000" w:firstRow="0" w:lastRow="0" w:firstColumn="0" w:lastColumn="0" w:oddVBand="0" w:evenVBand="1" w:oddHBand="0" w:evenHBand="0" w:firstRowFirstColumn="0" w:firstRowLastColumn="0" w:lastRowFirstColumn="0" w:lastRowLastColumn="0"/>
            <w:tcW w:w="588" w:type="pct"/>
          </w:tcPr>
          <w:p w14:paraId="5F146BE4" w14:textId="77777777" w:rsidR="006D7571" w:rsidRPr="000557CC" w:rsidRDefault="006D7571" w:rsidP="001E6F2C">
            <w:pPr>
              <w:pStyle w:val="ARtabletextright"/>
              <w:rPr>
                <w:lang w:eastAsia="en-AU"/>
              </w:rPr>
            </w:pPr>
            <w:r w:rsidRPr="000557CC">
              <w:rPr>
                <w:lang w:eastAsia="en-AU"/>
              </w:rPr>
              <w:t>18</w:t>
            </w:r>
          </w:p>
        </w:tc>
        <w:tc>
          <w:tcPr>
            <w:tcW w:w="588" w:type="pct"/>
          </w:tcPr>
          <w:p w14:paraId="2D7BE59E"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w:t>
            </w:r>
          </w:p>
        </w:tc>
      </w:tr>
      <w:tr w:rsidR="006D7571" w:rsidRPr="000557CC" w14:paraId="03C6CD91" w14:textId="77777777" w:rsidTr="004535D4">
        <w:trPr>
          <w:trHeight w:val="225"/>
        </w:trPr>
        <w:tc>
          <w:tcPr>
            <w:tcW w:w="1472" w:type="pct"/>
          </w:tcPr>
          <w:p w14:paraId="69EB4E4A" w14:textId="77777777" w:rsidR="006D7571" w:rsidRPr="000557CC" w:rsidRDefault="006D7571" w:rsidP="00153C5C">
            <w:pPr>
              <w:pStyle w:val="ARtabletextbold"/>
              <w:rPr>
                <w:rFonts w:eastAsia="Times"/>
                <w:lang w:eastAsia="en-AU"/>
              </w:rPr>
            </w:pPr>
            <w:r w:rsidRPr="000557CC">
              <w:rPr>
                <w:lang w:eastAsia="en-AU"/>
              </w:rPr>
              <w:t>Total passenger vehicles</w:t>
            </w:r>
          </w:p>
        </w:tc>
        <w:tc>
          <w:tcPr>
            <w:cnfStyle w:val="000001000000" w:firstRow="0" w:lastRow="0" w:firstColumn="0" w:lastColumn="0" w:oddVBand="0" w:evenVBand="1" w:oddHBand="0" w:evenHBand="0" w:firstRowFirstColumn="0" w:firstRowLastColumn="0" w:lastRowFirstColumn="0" w:lastRowLastColumn="0"/>
            <w:tcW w:w="588" w:type="pct"/>
          </w:tcPr>
          <w:p w14:paraId="03276B37" w14:textId="77777777" w:rsidR="006D7571" w:rsidRPr="000557CC" w:rsidRDefault="006D7571" w:rsidP="00153C5C">
            <w:pPr>
              <w:pStyle w:val="ARtabletextrightbold"/>
              <w:rPr>
                <w:lang w:eastAsia="en-AU"/>
              </w:rPr>
            </w:pPr>
            <w:r w:rsidRPr="000557CC">
              <w:rPr>
                <w:lang w:eastAsia="en-AU"/>
              </w:rPr>
              <w:t>1257</w:t>
            </w:r>
          </w:p>
        </w:tc>
        <w:tc>
          <w:tcPr>
            <w:tcW w:w="588" w:type="pct"/>
          </w:tcPr>
          <w:p w14:paraId="1A48D9E6" w14:textId="77777777" w:rsidR="006D7571" w:rsidRPr="000557CC" w:rsidRDefault="006D7571" w:rsidP="00153C5C">
            <w:pPr>
              <w:pStyle w:val="ARtabletextrightbold"/>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100</w:t>
            </w:r>
          </w:p>
        </w:tc>
        <w:tc>
          <w:tcPr>
            <w:cnfStyle w:val="000001000000" w:firstRow="0" w:lastRow="0" w:firstColumn="0" w:lastColumn="0" w:oddVBand="0" w:evenVBand="1" w:oddHBand="0" w:evenHBand="0" w:firstRowFirstColumn="0" w:firstRowLastColumn="0" w:lastRowFirstColumn="0" w:lastRowLastColumn="0"/>
            <w:tcW w:w="588" w:type="pct"/>
          </w:tcPr>
          <w:p w14:paraId="77DC19E1" w14:textId="77777777" w:rsidR="006D7571" w:rsidRPr="000557CC" w:rsidRDefault="006D7571" w:rsidP="00153C5C">
            <w:pPr>
              <w:pStyle w:val="ARtabletextrightbold"/>
              <w:rPr>
                <w:lang w:eastAsia="en-AU"/>
              </w:rPr>
            </w:pPr>
            <w:r w:rsidRPr="000557CC">
              <w:rPr>
                <w:lang w:eastAsia="en-AU"/>
              </w:rPr>
              <w:t>1,255</w:t>
            </w:r>
          </w:p>
        </w:tc>
        <w:tc>
          <w:tcPr>
            <w:tcW w:w="588" w:type="pct"/>
          </w:tcPr>
          <w:p w14:paraId="51D9CEF7" w14:textId="77777777" w:rsidR="006D7571" w:rsidRPr="000557CC" w:rsidRDefault="006D7571" w:rsidP="00153C5C">
            <w:pPr>
              <w:pStyle w:val="ARtabletextrightbold"/>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99</w:t>
            </w:r>
          </w:p>
        </w:tc>
        <w:tc>
          <w:tcPr>
            <w:cnfStyle w:val="000001000000" w:firstRow="0" w:lastRow="0" w:firstColumn="0" w:lastColumn="0" w:oddVBand="0" w:evenVBand="1" w:oddHBand="0" w:evenHBand="0" w:firstRowFirstColumn="0" w:firstRowLastColumn="0" w:lastRowFirstColumn="0" w:lastRowLastColumn="0"/>
            <w:tcW w:w="588" w:type="pct"/>
          </w:tcPr>
          <w:p w14:paraId="2BE5A7E2" w14:textId="77777777" w:rsidR="006D7571" w:rsidRPr="000557CC" w:rsidRDefault="006D7571" w:rsidP="00153C5C">
            <w:pPr>
              <w:pStyle w:val="ARtabletextrightbold"/>
              <w:rPr>
                <w:lang w:eastAsia="en-AU"/>
              </w:rPr>
            </w:pPr>
            <w:r w:rsidRPr="000557CC">
              <w:rPr>
                <w:lang w:eastAsia="en-AU"/>
              </w:rPr>
              <w:t>1,234</w:t>
            </w:r>
          </w:p>
        </w:tc>
        <w:tc>
          <w:tcPr>
            <w:tcW w:w="588" w:type="pct"/>
          </w:tcPr>
          <w:p w14:paraId="24664DE3" w14:textId="77777777" w:rsidR="006D7571" w:rsidRPr="000557CC" w:rsidRDefault="006D7571" w:rsidP="00153C5C">
            <w:pPr>
              <w:pStyle w:val="ARtabletextrightbold"/>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99</w:t>
            </w:r>
          </w:p>
        </w:tc>
      </w:tr>
      <w:tr w:rsidR="004535D4" w:rsidRPr="000557CC" w14:paraId="1536DB18" w14:textId="77777777" w:rsidTr="004535D4">
        <w:trPr>
          <w:trHeight w:val="225"/>
        </w:trPr>
        <w:tc>
          <w:tcPr>
            <w:tcW w:w="1472" w:type="pct"/>
          </w:tcPr>
          <w:p w14:paraId="4199D2DA" w14:textId="47998E95" w:rsidR="004535D4" w:rsidRPr="000557CC" w:rsidRDefault="004535D4" w:rsidP="004535D4">
            <w:pPr>
              <w:pStyle w:val="ARTabletextboldcoloured"/>
              <w:rPr>
                <w:lang w:eastAsia="en-AU"/>
              </w:rPr>
            </w:pPr>
            <w:r w:rsidRPr="000557CC">
              <w:rPr>
                <w:lang w:eastAsia="en-AU"/>
              </w:rPr>
              <w:t>Goods vehicles</w:t>
            </w:r>
          </w:p>
        </w:tc>
        <w:tc>
          <w:tcPr>
            <w:cnfStyle w:val="000001000000" w:firstRow="0" w:lastRow="0" w:firstColumn="0" w:lastColumn="0" w:oddVBand="0" w:evenVBand="1" w:oddHBand="0" w:evenHBand="0" w:firstRowFirstColumn="0" w:firstRowLastColumn="0" w:lastRowFirstColumn="0" w:lastRowLastColumn="0"/>
            <w:tcW w:w="588" w:type="pct"/>
            <w:shd w:val="clear" w:color="auto" w:fill="auto"/>
          </w:tcPr>
          <w:p w14:paraId="453AD45B" w14:textId="77777777" w:rsidR="004535D4" w:rsidRPr="000557CC" w:rsidRDefault="004535D4" w:rsidP="004535D4">
            <w:pPr>
              <w:pStyle w:val="ARtabletextright"/>
              <w:rPr>
                <w:lang w:eastAsia="en-AU"/>
              </w:rPr>
            </w:pPr>
          </w:p>
        </w:tc>
        <w:tc>
          <w:tcPr>
            <w:tcW w:w="588" w:type="pct"/>
          </w:tcPr>
          <w:p w14:paraId="7CF174C1" w14:textId="77777777" w:rsidR="004535D4" w:rsidRPr="000557CC" w:rsidRDefault="004535D4" w:rsidP="004535D4">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588" w:type="pct"/>
            <w:shd w:val="clear" w:color="auto" w:fill="auto"/>
          </w:tcPr>
          <w:p w14:paraId="56191E2D" w14:textId="77777777" w:rsidR="004535D4" w:rsidRPr="000557CC" w:rsidRDefault="004535D4" w:rsidP="004535D4">
            <w:pPr>
              <w:pStyle w:val="ARtabletextright"/>
              <w:rPr>
                <w:lang w:eastAsia="en-AU"/>
              </w:rPr>
            </w:pPr>
          </w:p>
        </w:tc>
        <w:tc>
          <w:tcPr>
            <w:tcW w:w="588" w:type="pct"/>
          </w:tcPr>
          <w:p w14:paraId="1CA78D2D" w14:textId="77777777" w:rsidR="004535D4" w:rsidRPr="000557CC" w:rsidRDefault="004535D4" w:rsidP="004535D4">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588" w:type="pct"/>
            <w:shd w:val="clear" w:color="auto" w:fill="auto"/>
          </w:tcPr>
          <w:p w14:paraId="62DFAF3E" w14:textId="77777777" w:rsidR="004535D4" w:rsidRPr="000557CC" w:rsidRDefault="004535D4" w:rsidP="004535D4">
            <w:pPr>
              <w:pStyle w:val="ARtabletextright"/>
              <w:rPr>
                <w:lang w:eastAsia="en-AU"/>
              </w:rPr>
            </w:pPr>
          </w:p>
        </w:tc>
        <w:tc>
          <w:tcPr>
            <w:tcW w:w="588" w:type="pct"/>
          </w:tcPr>
          <w:p w14:paraId="3A52CAB2" w14:textId="77777777" w:rsidR="004535D4" w:rsidRPr="000557CC" w:rsidRDefault="004535D4" w:rsidP="004535D4">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r>
      <w:tr w:rsidR="004535D4" w:rsidRPr="000557CC" w14:paraId="5EE82338" w14:textId="77777777" w:rsidTr="004535D4">
        <w:trPr>
          <w:trHeight w:val="225"/>
        </w:trPr>
        <w:tc>
          <w:tcPr>
            <w:tcW w:w="1472" w:type="pct"/>
          </w:tcPr>
          <w:p w14:paraId="7CDA6C45" w14:textId="68FFB402" w:rsidR="004535D4" w:rsidRPr="000557CC" w:rsidRDefault="004535D4" w:rsidP="004535D4">
            <w:pPr>
              <w:pStyle w:val="ARTabletextboldcoloured"/>
              <w:rPr>
                <w:lang w:eastAsia="en-AU"/>
              </w:rPr>
            </w:pPr>
            <w:r w:rsidRPr="000557CC">
              <w:rPr>
                <w:lang w:eastAsia="en-AU"/>
              </w:rPr>
              <w:t>Internal combustion engines</w:t>
            </w:r>
          </w:p>
        </w:tc>
        <w:tc>
          <w:tcPr>
            <w:cnfStyle w:val="000001000000" w:firstRow="0" w:lastRow="0" w:firstColumn="0" w:lastColumn="0" w:oddVBand="0" w:evenVBand="1" w:oddHBand="0" w:evenHBand="0" w:firstRowFirstColumn="0" w:firstRowLastColumn="0" w:lastRowFirstColumn="0" w:lastRowLastColumn="0"/>
            <w:tcW w:w="588" w:type="pct"/>
            <w:shd w:val="clear" w:color="auto" w:fill="auto"/>
          </w:tcPr>
          <w:p w14:paraId="62788568" w14:textId="77777777" w:rsidR="004535D4" w:rsidRPr="000557CC" w:rsidRDefault="004535D4" w:rsidP="004535D4">
            <w:pPr>
              <w:pStyle w:val="ARtabletextright"/>
              <w:rPr>
                <w:lang w:eastAsia="en-AU"/>
              </w:rPr>
            </w:pPr>
          </w:p>
        </w:tc>
        <w:tc>
          <w:tcPr>
            <w:tcW w:w="588" w:type="pct"/>
          </w:tcPr>
          <w:p w14:paraId="44A2C7D0" w14:textId="77777777" w:rsidR="004535D4" w:rsidRPr="000557CC" w:rsidRDefault="004535D4" w:rsidP="004535D4">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588" w:type="pct"/>
            <w:shd w:val="clear" w:color="auto" w:fill="auto"/>
          </w:tcPr>
          <w:p w14:paraId="33D85905" w14:textId="77777777" w:rsidR="004535D4" w:rsidRPr="000557CC" w:rsidRDefault="004535D4" w:rsidP="004535D4">
            <w:pPr>
              <w:pStyle w:val="ARtabletextright"/>
              <w:rPr>
                <w:lang w:eastAsia="en-AU"/>
              </w:rPr>
            </w:pPr>
          </w:p>
        </w:tc>
        <w:tc>
          <w:tcPr>
            <w:tcW w:w="588" w:type="pct"/>
          </w:tcPr>
          <w:p w14:paraId="0DDBE239" w14:textId="77777777" w:rsidR="004535D4" w:rsidRPr="000557CC" w:rsidRDefault="004535D4" w:rsidP="004535D4">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588" w:type="pct"/>
            <w:shd w:val="clear" w:color="auto" w:fill="auto"/>
          </w:tcPr>
          <w:p w14:paraId="47824A2C" w14:textId="77777777" w:rsidR="004535D4" w:rsidRPr="000557CC" w:rsidRDefault="004535D4" w:rsidP="004535D4">
            <w:pPr>
              <w:pStyle w:val="ARtabletextright"/>
              <w:rPr>
                <w:lang w:eastAsia="en-AU"/>
              </w:rPr>
            </w:pPr>
          </w:p>
        </w:tc>
        <w:tc>
          <w:tcPr>
            <w:tcW w:w="588" w:type="pct"/>
          </w:tcPr>
          <w:p w14:paraId="6C644CED" w14:textId="77777777" w:rsidR="004535D4" w:rsidRPr="000557CC" w:rsidRDefault="004535D4" w:rsidP="004535D4">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r>
      <w:tr w:rsidR="006D7571" w:rsidRPr="000557CC" w14:paraId="133B02B4" w14:textId="77777777" w:rsidTr="004535D4">
        <w:trPr>
          <w:trHeight w:val="225"/>
        </w:trPr>
        <w:tc>
          <w:tcPr>
            <w:tcW w:w="1472" w:type="pct"/>
          </w:tcPr>
          <w:p w14:paraId="31EB0045" w14:textId="77777777" w:rsidR="006D7571" w:rsidRPr="000557CC" w:rsidRDefault="006D7571" w:rsidP="001E6F2C">
            <w:pPr>
              <w:pStyle w:val="ARTabletext"/>
              <w:rPr>
                <w:rFonts w:eastAsia="Times"/>
                <w:lang w:eastAsia="en-AU"/>
              </w:rPr>
            </w:pPr>
            <w:r w:rsidRPr="000557CC">
              <w:rPr>
                <w:lang w:eastAsia="en-AU"/>
              </w:rPr>
              <w:t>Petrol</w:t>
            </w:r>
          </w:p>
        </w:tc>
        <w:tc>
          <w:tcPr>
            <w:cnfStyle w:val="000001000000" w:firstRow="0" w:lastRow="0" w:firstColumn="0" w:lastColumn="0" w:oddVBand="0" w:evenVBand="1" w:oddHBand="0" w:evenHBand="0" w:firstRowFirstColumn="0" w:firstRowLastColumn="0" w:lastRowFirstColumn="0" w:lastRowLastColumn="0"/>
            <w:tcW w:w="588" w:type="pct"/>
          </w:tcPr>
          <w:p w14:paraId="1F762AFD" w14:textId="77777777" w:rsidR="006D7571" w:rsidRPr="000557CC" w:rsidRDefault="006D7571" w:rsidP="001E6F2C">
            <w:pPr>
              <w:pStyle w:val="ARtabletextright"/>
              <w:rPr>
                <w:lang w:eastAsia="en-AU"/>
              </w:rPr>
            </w:pPr>
            <w:r w:rsidRPr="000557CC">
              <w:rPr>
                <w:lang w:eastAsia="en-AU"/>
              </w:rPr>
              <w:t>0</w:t>
            </w:r>
          </w:p>
        </w:tc>
        <w:tc>
          <w:tcPr>
            <w:tcW w:w="588" w:type="pct"/>
          </w:tcPr>
          <w:p w14:paraId="135BF02C"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588" w:type="pct"/>
          </w:tcPr>
          <w:p w14:paraId="49198DAB" w14:textId="77777777" w:rsidR="006D7571" w:rsidRPr="000557CC" w:rsidRDefault="006D7571" w:rsidP="001E6F2C">
            <w:pPr>
              <w:pStyle w:val="ARtabletextright"/>
              <w:rPr>
                <w:lang w:eastAsia="en-AU"/>
              </w:rPr>
            </w:pPr>
            <w:r w:rsidRPr="000557CC">
              <w:rPr>
                <w:lang w:eastAsia="en-AU"/>
              </w:rPr>
              <w:t>–</w:t>
            </w:r>
          </w:p>
        </w:tc>
        <w:tc>
          <w:tcPr>
            <w:tcW w:w="588" w:type="pct"/>
          </w:tcPr>
          <w:p w14:paraId="745CB01C"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588" w:type="pct"/>
          </w:tcPr>
          <w:p w14:paraId="22DD1DF5" w14:textId="77777777" w:rsidR="006D7571" w:rsidRPr="000557CC" w:rsidRDefault="006D7571" w:rsidP="001E6F2C">
            <w:pPr>
              <w:pStyle w:val="ARtabletextright"/>
              <w:rPr>
                <w:lang w:eastAsia="en-AU"/>
              </w:rPr>
            </w:pPr>
            <w:r w:rsidRPr="000557CC">
              <w:rPr>
                <w:lang w:eastAsia="en-AU"/>
              </w:rPr>
              <w:t>–</w:t>
            </w:r>
          </w:p>
        </w:tc>
        <w:tc>
          <w:tcPr>
            <w:tcW w:w="588" w:type="pct"/>
          </w:tcPr>
          <w:p w14:paraId="17D2F62E"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r>
      <w:tr w:rsidR="006D7571" w:rsidRPr="000557CC" w14:paraId="112200DA" w14:textId="77777777" w:rsidTr="004535D4">
        <w:trPr>
          <w:trHeight w:val="225"/>
        </w:trPr>
        <w:tc>
          <w:tcPr>
            <w:tcW w:w="1472" w:type="pct"/>
          </w:tcPr>
          <w:p w14:paraId="59E36B83" w14:textId="77777777" w:rsidR="006D7571" w:rsidRPr="000557CC" w:rsidRDefault="006D7571" w:rsidP="001E6F2C">
            <w:pPr>
              <w:pStyle w:val="ARTabletext"/>
              <w:rPr>
                <w:rFonts w:eastAsia="Times"/>
                <w:lang w:eastAsia="en-AU"/>
              </w:rPr>
            </w:pPr>
            <w:r w:rsidRPr="000557CC">
              <w:rPr>
                <w:lang w:eastAsia="en-AU"/>
              </w:rPr>
              <w:t>Diesel/biodiesel</w:t>
            </w:r>
          </w:p>
        </w:tc>
        <w:tc>
          <w:tcPr>
            <w:cnfStyle w:val="000001000000" w:firstRow="0" w:lastRow="0" w:firstColumn="0" w:lastColumn="0" w:oddVBand="0" w:evenVBand="1" w:oddHBand="0" w:evenHBand="0" w:firstRowFirstColumn="0" w:firstRowLastColumn="0" w:lastRowFirstColumn="0" w:lastRowLastColumn="0"/>
            <w:tcW w:w="588" w:type="pct"/>
          </w:tcPr>
          <w:p w14:paraId="04A05C4E" w14:textId="77777777" w:rsidR="006D7571" w:rsidRPr="000557CC" w:rsidRDefault="006D7571" w:rsidP="001E6F2C">
            <w:pPr>
              <w:pStyle w:val="ARtabletextright"/>
              <w:rPr>
                <w:lang w:eastAsia="en-AU"/>
              </w:rPr>
            </w:pPr>
            <w:r w:rsidRPr="000557CC">
              <w:rPr>
                <w:lang w:eastAsia="en-AU"/>
              </w:rPr>
              <w:t>1</w:t>
            </w:r>
          </w:p>
        </w:tc>
        <w:tc>
          <w:tcPr>
            <w:tcW w:w="588" w:type="pct"/>
          </w:tcPr>
          <w:p w14:paraId="1701DC67"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w:t>
            </w:r>
          </w:p>
        </w:tc>
        <w:tc>
          <w:tcPr>
            <w:cnfStyle w:val="000001000000" w:firstRow="0" w:lastRow="0" w:firstColumn="0" w:lastColumn="0" w:oddVBand="0" w:evenVBand="1" w:oddHBand="0" w:evenHBand="0" w:firstRowFirstColumn="0" w:firstRowLastColumn="0" w:lastRowFirstColumn="0" w:lastRowLastColumn="0"/>
            <w:tcW w:w="588" w:type="pct"/>
          </w:tcPr>
          <w:p w14:paraId="3D711A82" w14:textId="77777777" w:rsidR="006D7571" w:rsidRPr="000557CC" w:rsidRDefault="006D7571" w:rsidP="001E6F2C">
            <w:pPr>
              <w:pStyle w:val="ARtabletextright"/>
              <w:rPr>
                <w:lang w:eastAsia="en-AU"/>
              </w:rPr>
            </w:pPr>
            <w:r w:rsidRPr="000557CC">
              <w:rPr>
                <w:lang w:eastAsia="en-AU"/>
              </w:rPr>
              <w:t>4</w:t>
            </w:r>
          </w:p>
        </w:tc>
        <w:tc>
          <w:tcPr>
            <w:tcW w:w="588" w:type="pct"/>
          </w:tcPr>
          <w:p w14:paraId="3712C4D2"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w:t>
            </w:r>
          </w:p>
        </w:tc>
        <w:tc>
          <w:tcPr>
            <w:cnfStyle w:val="000001000000" w:firstRow="0" w:lastRow="0" w:firstColumn="0" w:lastColumn="0" w:oddVBand="0" w:evenVBand="1" w:oddHBand="0" w:evenHBand="0" w:firstRowFirstColumn="0" w:firstRowLastColumn="0" w:lastRowFirstColumn="0" w:lastRowLastColumn="0"/>
            <w:tcW w:w="588" w:type="pct"/>
          </w:tcPr>
          <w:p w14:paraId="66156CBA" w14:textId="77777777" w:rsidR="006D7571" w:rsidRPr="000557CC" w:rsidRDefault="006D7571" w:rsidP="001E6F2C">
            <w:pPr>
              <w:pStyle w:val="ARtabletextright"/>
              <w:rPr>
                <w:lang w:eastAsia="en-AU"/>
              </w:rPr>
            </w:pPr>
            <w:r w:rsidRPr="000557CC">
              <w:rPr>
                <w:lang w:eastAsia="en-AU"/>
              </w:rPr>
              <w:t>7</w:t>
            </w:r>
          </w:p>
        </w:tc>
        <w:tc>
          <w:tcPr>
            <w:tcW w:w="588" w:type="pct"/>
          </w:tcPr>
          <w:p w14:paraId="5EF8FD80"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w:t>
            </w:r>
          </w:p>
        </w:tc>
      </w:tr>
      <w:tr w:rsidR="006D7571" w:rsidRPr="000557CC" w14:paraId="7B61C449" w14:textId="77777777" w:rsidTr="004535D4">
        <w:trPr>
          <w:trHeight w:val="225"/>
        </w:trPr>
        <w:tc>
          <w:tcPr>
            <w:tcW w:w="1472" w:type="pct"/>
          </w:tcPr>
          <w:p w14:paraId="60876D81" w14:textId="77777777" w:rsidR="006D7571" w:rsidRPr="000557CC" w:rsidRDefault="006D7571" w:rsidP="001E6F2C">
            <w:pPr>
              <w:pStyle w:val="ARTabletext"/>
              <w:rPr>
                <w:lang w:eastAsia="en-AU"/>
              </w:rPr>
            </w:pPr>
            <w:r w:rsidRPr="000557CC">
              <w:rPr>
                <w:lang w:eastAsia="en-AU"/>
              </w:rPr>
              <w:t>Hybrid/unleaded</w:t>
            </w:r>
          </w:p>
        </w:tc>
        <w:tc>
          <w:tcPr>
            <w:cnfStyle w:val="000001000000" w:firstRow="0" w:lastRow="0" w:firstColumn="0" w:lastColumn="0" w:oddVBand="0" w:evenVBand="1" w:oddHBand="0" w:evenHBand="0" w:firstRowFirstColumn="0" w:firstRowLastColumn="0" w:lastRowFirstColumn="0" w:lastRowLastColumn="0"/>
            <w:tcW w:w="588" w:type="pct"/>
          </w:tcPr>
          <w:p w14:paraId="4680E48D" w14:textId="77777777" w:rsidR="006D7571" w:rsidRPr="000557CC" w:rsidRDefault="006D7571" w:rsidP="001E6F2C">
            <w:pPr>
              <w:pStyle w:val="ARtabletextright"/>
              <w:rPr>
                <w:lang w:eastAsia="en-AU"/>
              </w:rPr>
            </w:pPr>
            <w:r w:rsidRPr="000557CC">
              <w:rPr>
                <w:lang w:eastAsia="en-AU"/>
              </w:rPr>
              <w:t>0</w:t>
            </w:r>
          </w:p>
        </w:tc>
        <w:tc>
          <w:tcPr>
            <w:tcW w:w="588" w:type="pct"/>
          </w:tcPr>
          <w:p w14:paraId="59CCC445"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588" w:type="pct"/>
          </w:tcPr>
          <w:p w14:paraId="1F927D1C" w14:textId="77777777" w:rsidR="006D7571" w:rsidRPr="000557CC" w:rsidRDefault="006D7571" w:rsidP="001E6F2C">
            <w:pPr>
              <w:pStyle w:val="ARtabletextright"/>
              <w:rPr>
                <w:lang w:eastAsia="en-AU"/>
              </w:rPr>
            </w:pPr>
            <w:r w:rsidRPr="000557CC">
              <w:rPr>
                <w:lang w:eastAsia="en-AU"/>
              </w:rPr>
              <w:t>–</w:t>
            </w:r>
          </w:p>
        </w:tc>
        <w:tc>
          <w:tcPr>
            <w:tcW w:w="588" w:type="pct"/>
          </w:tcPr>
          <w:p w14:paraId="51D6602E"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588" w:type="pct"/>
          </w:tcPr>
          <w:p w14:paraId="2834A9B7" w14:textId="77777777" w:rsidR="006D7571" w:rsidRPr="000557CC" w:rsidRDefault="006D7571" w:rsidP="001E6F2C">
            <w:pPr>
              <w:pStyle w:val="ARtabletextright"/>
              <w:rPr>
                <w:lang w:eastAsia="en-AU"/>
              </w:rPr>
            </w:pPr>
            <w:r w:rsidRPr="000557CC">
              <w:rPr>
                <w:lang w:eastAsia="en-AU"/>
              </w:rPr>
              <w:t>–</w:t>
            </w:r>
          </w:p>
        </w:tc>
        <w:tc>
          <w:tcPr>
            <w:tcW w:w="588" w:type="pct"/>
          </w:tcPr>
          <w:p w14:paraId="075FA5A1"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r>
      <w:tr w:rsidR="006D7571" w:rsidRPr="000557CC" w14:paraId="4FCDFAA5" w14:textId="77777777" w:rsidTr="004535D4">
        <w:trPr>
          <w:trHeight w:val="225"/>
        </w:trPr>
        <w:tc>
          <w:tcPr>
            <w:tcW w:w="1472" w:type="pct"/>
          </w:tcPr>
          <w:p w14:paraId="70B42A90" w14:textId="77777777" w:rsidR="006D7571" w:rsidRPr="000557CC" w:rsidRDefault="006D7571" w:rsidP="001E6F2C">
            <w:pPr>
              <w:pStyle w:val="ARTabletext"/>
              <w:rPr>
                <w:rFonts w:eastAsia="Times"/>
                <w:lang w:eastAsia="en-AU"/>
              </w:rPr>
            </w:pPr>
            <w:r w:rsidRPr="000557CC">
              <w:rPr>
                <w:lang w:eastAsia="en-AU"/>
              </w:rPr>
              <w:t>Plug-in hybrid electric vehicle (PHEV)</w:t>
            </w:r>
          </w:p>
        </w:tc>
        <w:tc>
          <w:tcPr>
            <w:cnfStyle w:val="000001000000" w:firstRow="0" w:lastRow="0" w:firstColumn="0" w:lastColumn="0" w:oddVBand="0" w:evenVBand="1" w:oddHBand="0" w:evenHBand="0" w:firstRowFirstColumn="0" w:firstRowLastColumn="0" w:lastRowFirstColumn="0" w:lastRowLastColumn="0"/>
            <w:tcW w:w="588" w:type="pct"/>
          </w:tcPr>
          <w:p w14:paraId="4AD1D4DE" w14:textId="77777777" w:rsidR="006D7571" w:rsidRPr="000557CC" w:rsidRDefault="006D7571" w:rsidP="001E6F2C">
            <w:pPr>
              <w:pStyle w:val="ARtabletextright"/>
              <w:rPr>
                <w:lang w:eastAsia="en-AU"/>
              </w:rPr>
            </w:pPr>
            <w:r w:rsidRPr="000557CC">
              <w:rPr>
                <w:lang w:eastAsia="en-AU"/>
              </w:rPr>
              <w:t>0</w:t>
            </w:r>
          </w:p>
        </w:tc>
        <w:tc>
          <w:tcPr>
            <w:tcW w:w="588" w:type="pct"/>
          </w:tcPr>
          <w:p w14:paraId="6EE01A8B"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588" w:type="pct"/>
          </w:tcPr>
          <w:p w14:paraId="266734CB" w14:textId="77777777" w:rsidR="006D7571" w:rsidRPr="000557CC" w:rsidRDefault="006D7571" w:rsidP="001E6F2C">
            <w:pPr>
              <w:pStyle w:val="ARtabletextright"/>
              <w:rPr>
                <w:lang w:eastAsia="en-AU"/>
              </w:rPr>
            </w:pPr>
            <w:r w:rsidRPr="000557CC">
              <w:rPr>
                <w:lang w:eastAsia="en-AU"/>
              </w:rPr>
              <w:t>–</w:t>
            </w:r>
          </w:p>
        </w:tc>
        <w:tc>
          <w:tcPr>
            <w:tcW w:w="588" w:type="pct"/>
          </w:tcPr>
          <w:p w14:paraId="6061119B"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588" w:type="pct"/>
          </w:tcPr>
          <w:p w14:paraId="06ED5A8D" w14:textId="77777777" w:rsidR="006D7571" w:rsidRPr="000557CC" w:rsidRDefault="006D7571" w:rsidP="001E6F2C">
            <w:pPr>
              <w:pStyle w:val="ARtabletextright"/>
              <w:rPr>
                <w:lang w:eastAsia="en-AU"/>
              </w:rPr>
            </w:pPr>
            <w:r w:rsidRPr="000557CC">
              <w:rPr>
                <w:lang w:eastAsia="en-AU"/>
              </w:rPr>
              <w:t>–</w:t>
            </w:r>
          </w:p>
        </w:tc>
        <w:tc>
          <w:tcPr>
            <w:tcW w:w="588" w:type="pct"/>
          </w:tcPr>
          <w:p w14:paraId="5AB794A2"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r>
      <w:tr w:rsidR="006D7571" w:rsidRPr="000557CC" w14:paraId="2A58F295" w14:textId="77777777" w:rsidTr="004535D4">
        <w:trPr>
          <w:trHeight w:val="240"/>
        </w:trPr>
        <w:tc>
          <w:tcPr>
            <w:tcW w:w="1472" w:type="pct"/>
          </w:tcPr>
          <w:p w14:paraId="2C156615" w14:textId="77777777" w:rsidR="006D7571" w:rsidRPr="000557CC" w:rsidRDefault="006D7571" w:rsidP="001E6F2C">
            <w:pPr>
              <w:pStyle w:val="ARTabletext"/>
              <w:rPr>
                <w:rFonts w:eastAsia="Times"/>
                <w:lang w:eastAsia="en-AU"/>
              </w:rPr>
            </w:pPr>
            <w:r w:rsidRPr="000557CC">
              <w:rPr>
                <w:lang w:eastAsia="en-AU"/>
              </w:rPr>
              <w:t>Range-extended electric vehicle</w:t>
            </w:r>
          </w:p>
        </w:tc>
        <w:tc>
          <w:tcPr>
            <w:cnfStyle w:val="000001000000" w:firstRow="0" w:lastRow="0" w:firstColumn="0" w:lastColumn="0" w:oddVBand="0" w:evenVBand="1" w:oddHBand="0" w:evenHBand="0" w:firstRowFirstColumn="0" w:firstRowLastColumn="0" w:lastRowFirstColumn="0" w:lastRowLastColumn="0"/>
            <w:tcW w:w="588" w:type="pct"/>
          </w:tcPr>
          <w:p w14:paraId="4BF9FACF" w14:textId="77777777" w:rsidR="006D7571" w:rsidRPr="000557CC" w:rsidRDefault="006D7571" w:rsidP="001E6F2C">
            <w:pPr>
              <w:pStyle w:val="ARtabletextright"/>
              <w:rPr>
                <w:lang w:eastAsia="en-AU"/>
              </w:rPr>
            </w:pPr>
            <w:r w:rsidRPr="000557CC">
              <w:rPr>
                <w:lang w:eastAsia="en-AU"/>
              </w:rPr>
              <w:t>0</w:t>
            </w:r>
          </w:p>
        </w:tc>
        <w:tc>
          <w:tcPr>
            <w:tcW w:w="588" w:type="pct"/>
          </w:tcPr>
          <w:p w14:paraId="5017C678"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588" w:type="pct"/>
          </w:tcPr>
          <w:p w14:paraId="3B25B951" w14:textId="77777777" w:rsidR="006D7571" w:rsidRPr="000557CC" w:rsidRDefault="006D7571" w:rsidP="001E6F2C">
            <w:pPr>
              <w:pStyle w:val="ARtabletextright"/>
              <w:rPr>
                <w:lang w:eastAsia="en-AU"/>
              </w:rPr>
            </w:pPr>
            <w:r w:rsidRPr="000557CC">
              <w:rPr>
                <w:lang w:eastAsia="en-AU"/>
              </w:rPr>
              <w:t>–</w:t>
            </w:r>
          </w:p>
        </w:tc>
        <w:tc>
          <w:tcPr>
            <w:tcW w:w="588" w:type="pct"/>
          </w:tcPr>
          <w:p w14:paraId="31433C75"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588" w:type="pct"/>
          </w:tcPr>
          <w:p w14:paraId="7B731AC9" w14:textId="77777777" w:rsidR="006D7571" w:rsidRPr="000557CC" w:rsidRDefault="006D7571" w:rsidP="001E6F2C">
            <w:pPr>
              <w:pStyle w:val="ARtabletextright"/>
              <w:rPr>
                <w:lang w:eastAsia="en-AU"/>
              </w:rPr>
            </w:pPr>
            <w:r w:rsidRPr="000557CC">
              <w:rPr>
                <w:lang w:eastAsia="en-AU"/>
              </w:rPr>
              <w:t>–</w:t>
            </w:r>
          </w:p>
        </w:tc>
        <w:tc>
          <w:tcPr>
            <w:tcW w:w="588" w:type="pct"/>
          </w:tcPr>
          <w:p w14:paraId="09D77966"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r>
      <w:tr w:rsidR="006D7571" w:rsidRPr="000557CC" w14:paraId="6121FC20" w14:textId="77777777" w:rsidTr="004535D4">
        <w:trPr>
          <w:trHeight w:val="240"/>
        </w:trPr>
        <w:tc>
          <w:tcPr>
            <w:tcW w:w="1472" w:type="pct"/>
          </w:tcPr>
          <w:p w14:paraId="315EFE45" w14:textId="77777777" w:rsidR="006D7571" w:rsidRPr="000557CC" w:rsidRDefault="006D7571" w:rsidP="001E6F2C">
            <w:pPr>
              <w:pStyle w:val="ARtabletextbold"/>
              <w:rPr>
                <w:lang w:eastAsia="en-AU"/>
              </w:rPr>
            </w:pPr>
            <w:r w:rsidRPr="000557CC">
              <w:rPr>
                <w:lang w:eastAsia="en-AU"/>
              </w:rPr>
              <w:t>Total goods vehicles</w:t>
            </w:r>
          </w:p>
        </w:tc>
        <w:tc>
          <w:tcPr>
            <w:cnfStyle w:val="000001000000" w:firstRow="0" w:lastRow="0" w:firstColumn="0" w:lastColumn="0" w:oddVBand="0" w:evenVBand="1" w:oddHBand="0" w:evenHBand="0" w:firstRowFirstColumn="0" w:firstRowLastColumn="0" w:lastRowFirstColumn="0" w:lastRowLastColumn="0"/>
            <w:tcW w:w="588" w:type="pct"/>
          </w:tcPr>
          <w:p w14:paraId="244D6320" w14:textId="77777777" w:rsidR="006D7571" w:rsidRPr="000557CC" w:rsidRDefault="006D7571" w:rsidP="001E6F2C">
            <w:pPr>
              <w:pStyle w:val="ARtabletextrightbold"/>
              <w:rPr>
                <w:lang w:eastAsia="en-AU"/>
              </w:rPr>
            </w:pPr>
            <w:r w:rsidRPr="000557CC">
              <w:rPr>
                <w:lang w:eastAsia="en-AU"/>
              </w:rPr>
              <w:t>1</w:t>
            </w:r>
          </w:p>
        </w:tc>
        <w:tc>
          <w:tcPr>
            <w:tcW w:w="588" w:type="pct"/>
          </w:tcPr>
          <w:p w14:paraId="47E09618" w14:textId="77777777" w:rsidR="006D7571" w:rsidRPr="000557CC" w:rsidRDefault="006D7571" w:rsidP="001E6F2C">
            <w:pPr>
              <w:pStyle w:val="ARtabletextrightbold"/>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w:t>
            </w:r>
          </w:p>
        </w:tc>
        <w:tc>
          <w:tcPr>
            <w:cnfStyle w:val="000001000000" w:firstRow="0" w:lastRow="0" w:firstColumn="0" w:lastColumn="0" w:oddVBand="0" w:evenVBand="1" w:oddHBand="0" w:evenHBand="0" w:firstRowFirstColumn="0" w:firstRowLastColumn="0" w:lastRowFirstColumn="0" w:lastRowLastColumn="0"/>
            <w:tcW w:w="588" w:type="pct"/>
          </w:tcPr>
          <w:p w14:paraId="0DEAFDE6" w14:textId="77777777" w:rsidR="006D7571" w:rsidRPr="000557CC" w:rsidRDefault="006D7571" w:rsidP="001E6F2C">
            <w:pPr>
              <w:pStyle w:val="ARtabletextrightbold"/>
              <w:rPr>
                <w:lang w:eastAsia="en-AU"/>
              </w:rPr>
            </w:pPr>
            <w:r w:rsidRPr="000557CC">
              <w:rPr>
                <w:lang w:eastAsia="en-AU"/>
              </w:rPr>
              <w:t>4</w:t>
            </w:r>
          </w:p>
        </w:tc>
        <w:tc>
          <w:tcPr>
            <w:tcW w:w="588" w:type="pct"/>
          </w:tcPr>
          <w:p w14:paraId="0B1B189B" w14:textId="77777777" w:rsidR="006D7571" w:rsidRPr="000557CC" w:rsidRDefault="006D7571" w:rsidP="001E6F2C">
            <w:pPr>
              <w:pStyle w:val="ARtabletextrightbold"/>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w:t>
            </w:r>
          </w:p>
        </w:tc>
        <w:tc>
          <w:tcPr>
            <w:cnfStyle w:val="000001000000" w:firstRow="0" w:lastRow="0" w:firstColumn="0" w:lastColumn="0" w:oddVBand="0" w:evenVBand="1" w:oddHBand="0" w:evenHBand="0" w:firstRowFirstColumn="0" w:firstRowLastColumn="0" w:lastRowFirstColumn="0" w:lastRowLastColumn="0"/>
            <w:tcW w:w="588" w:type="pct"/>
          </w:tcPr>
          <w:p w14:paraId="298BA0B1" w14:textId="77777777" w:rsidR="006D7571" w:rsidRPr="000557CC" w:rsidRDefault="006D7571" w:rsidP="001E6F2C">
            <w:pPr>
              <w:pStyle w:val="ARtabletextrightbold"/>
              <w:rPr>
                <w:lang w:eastAsia="en-AU"/>
              </w:rPr>
            </w:pPr>
            <w:r w:rsidRPr="000557CC">
              <w:rPr>
                <w:lang w:eastAsia="en-AU"/>
              </w:rPr>
              <w:t>7</w:t>
            </w:r>
          </w:p>
        </w:tc>
        <w:tc>
          <w:tcPr>
            <w:tcW w:w="588" w:type="pct"/>
          </w:tcPr>
          <w:p w14:paraId="6CA06A7C" w14:textId="77777777" w:rsidR="006D7571" w:rsidRPr="000557CC" w:rsidRDefault="006D7571" w:rsidP="001E6F2C">
            <w:pPr>
              <w:pStyle w:val="ARtabletextrightbold"/>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w:t>
            </w:r>
          </w:p>
        </w:tc>
      </w:tr>
      <w:tr w:rsidR="006D7571" w:rsidRPr="000557CC" w14:paraId="7BACF526" w14:textId="77777777" w:rsidTr="004535D4">
        <w:trPr>
          <w:cnfStyle w:val="010000000000" w:firstRow="0" w:lastRow="1" w:firstColumn="0" w:lastColumn="0" w:oddVBand="0" w:evenVBand="0" w:oddHBand="0" w:evenHBand="0" w:firstRowFirstColumn="0" w:firstRowLastColumn="0" w:lastRowFirstColumn="0" w:lastRowLastColumn="0"/>
          <w:trHeight w:val="240"/>
        </w:trPr>
        <w:tc>
          <w:tcPr>
            <w:tcW w:w="1472" w:type="pct"/>
          </w:tcPr>
          <w:p w14:paraId="6FD232CF" w14:textId="77777777" w:rsidR="006D7571" w:rsidRPr="000557CC" w:rsidRDefault="006D7571" w:rsidP="001E6F2C">
            <w:pPr>
              <w:pStyle w:val="ARtabletextbold"/>
              <w:rPr>
                <w:lang w:eastAsia="en-AU"/>
              </w:rPr>
            </w:pPr>
            <w:r w:rsidRPr="000557CC">
              <w:rPr>
                <w:lang w:eastAsia="en-AU"/>
              </w:rPr>
              <w:t>T2 Number and proportion of vehicles – department fleet</w:t>
            </w:r>
          </w:p>
        </w:tc>
        <w:tc>
          <w:tcPr>
            <w:cnfStyle w:val="000001000000" w:firstRow="0" w:lastRow="0" w:firstColumn="0" w:lastColumn="0" w:oddVBand="0" w:evenVBand="1" w:oddHBand="0" w:evenHBand="0" w:firstRowFirstColumn="0" w:firstRowLastColumn="0" w:lastRowFirstColumn="0" w:lastRowLastColumn="0"/>
            <w:tcW w:w="588" w:type="pct"/>
          </w:tcPr>
          <w:p w14:paraId="6DF43192" w14:textId="77777777" w:rsidR="006D7571" w:rsidRPr="000557CC" w:rsidRDefault="006D7571" w:rsidP="001E6F2C">
            <w:pPr>
              <w:pStyle w:val="ARtabletextrightbold"/>
              <w:rPr>
                <w:lang w:eastAsia="en-AU"/>
              </w:rPr>
            </w:pPr>
            <w:r w:rsidRPr="000557CC">
              <w:rPr>
                <w:lang w:eastAsia="en-AU"/>
              </w:rPr>
              <w:t>1,258</w:t>
            </w:r>
          </w:p>
        </w:tc>
        <w:tc>
          <w:tcPr>
            <w:tcW w:w="588" w:type="pct"/>
          </w:tcPr>
          <w:p w14:paraId="4C1EB057" w14:textId="77777777" w:rsidR="006D7571" w:rsidRPr="000557CC" w:rsidRDefault="006D7571" w:rsidP="001E6F2C">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100</w:t>
            </w:r>
          </w:p>
        </w:tc>
        <w:tc>
          <w:tcPr>
            <w:cnfStyle w:val="000001000000" w:firstRow="0" w:lastRow="0" w:firstColumn="0" w:lastColumn="0" w:oddVBand="0" w:evenVBand="1" w:oddHBand="0" w:evenHBand="0" w:firstRowFirstColumn="0" w:firstRowLastColumn="0" w:lastRowFirstColumn="0" w:lastRowLastColumn="0"/>
            <w:tcW w:w="588" w:type="pct"/>
          </w:tcPr>
          <w:p w14:paraId="505FCEA6" w14:textId="77777777" w:rsidR="006D7571" w:rsidRPr="000557CC" w:rsidRDefault="006D7571" w:rsidP="001E6F2C">
            <w:pPr>
              <w:pStyle w:val="ARtabletextrightbold"/>
              <w:rPr>
                <w:lang w:eastAsia="en-AU"/>
              </w:rPr>
            </w:pPr>
            <w:r w:rsidRPr="000557CC">
              <w:rPr>
                <w:lang w:eastAsia="en-AU"/>
              </w:rPr>
              <w:t>1,259</w:t>
            </w:r>
          </w:p>
        </w:tc>
        <w:tc>
          <w:tcPr>
            <w:tcW w:w="588" w:type="pct"/>
          </w:tcPr>
          <w:p w14:paraId="0687965E" w14:textId="77777777" w:rsidR="006D7571" w:rsidRPr="000557CC" w:rsidRDefault="006D7571" w:rsidP="001E6F2C">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100</w:t>
            </w:r>
          </w:p>
        </w:tc>
        <w:tc>
          <w:tcPr>
            <w:cnfStyle w:val="000001000000" w:firstRow="0" w:lastRow="0" w:firstColumn="0" w:lastColumn="0" w:oddVBand="0" w:evenVBand="1" w:oddHBand="0" w:evenHBand="0" w:firstRowFirstColumn="0" w:firstRowLastColumn="0" w:lastRowFirstColumn="0" w:lastRowLastColumn="0"/>
            <w:tcW w:w="588" w:type="pct"/>
          </w:tcPr>
          <w:p w14:paraId="1AA04262" w14:textId="77777777" w:rsidR="006D7571" w:rsidRPr="000557CC" w:rsidRDefault="006D7571" w:rsidP="001E6F2C">
            <w:pPr>
              <w:pStyle w:val="ARtabletextrightbold"/>
              <w:rPr>
                <w:lang w:eastAsia="en-AU"/>
              </w:rPr>
            </w:pPr>
            <w:r w:rsidRPr="000557CC">
              <w:rPr>
                <w:lang w:eastAsia="en-AU"/>
              </w:rPr>
              <w:t>1,241</w:t>
            </w:r>
          </w:p>
        </w:tc>
        <w:tc>
          <w:tcPr>
            <w:tcW w:w="588" w:type="pct"/>
          </w:tcPr>
          <w:p w14:paraId="111F5FDA" w14:textId="77777777" w:rsidR="006D7571" w:rsidRPr="000557CC" w:rsidRDefault="006D7571" w:rsidP="001E6F2C">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100</w:t>
            </w:r>
          </w:p>
        </w:tc>
      </w:tr>
    </w:tbl>
    <w:p w14:paraId="3545B388" w14:textId="77777777" w:rsidR="006D7571" w:rsidRPr="000557CC" w:rsidRDefault="006D7571" w:rsidP="001E6F2C">
      <w:pPr>
        <w:pStyle w:val="ARTablecaption"/>
        <w:rPr>
          <w:rFonts w:eastAsia="MS PGothic"/>
        </w:rPr>
      </w:pPr>
      <w:r w:rsidRPr="000557CC">
        <w:rPr>
          <w:rFonts w:eastAsia="MS PGothic"/>
        </w:rPr>
        <w:t>Greenhouse gas emissions from vehicle fleet</w:t>
      </w:r>
    </w:p>
    <w:tbl>
      <w:tblPr>
        <w:tblStyle w:val="ARtable1"/>
        <w:tblW w:w="5000" w:type="pct"/>
        <w:tblLook w:val="02E0" w:firstRow="1" w:lastRow="1" w:firstColumn="1" w:lastColumn="0" w:noHBand="1" w:noVBand="0"/>
      </w:tblPr>
      <w:tblGrid>
        <w:gridCol w:w="4537"/>
        <w:gridCol w:w="1698"/>
        <w:gridCol w:w="1698"/>
        <w:gridCol w:w="1695"/>
      </w:tblGrid>
      <w:tr w:rsidR="006D7571" w:rsidRPr="000557CC" w14:paraId="13C1A8F1" w14:textId="77777777" w:rsidTr="004535D4">
        <w:trPr>
          <w:cnfStyle w:val="100000000000" w:firstRow="1" w:lastRow="0" w:firstColumn="0" w:lastColumn="0" w:oddVBand="0" w:evenVBand="0" w:oddHBand="0" w:evenHBand="0" w:firstRowFirstColumn="0" w:firstRowLastColumn="0" w:lastRowFirstColumn="0" w:lastRowLastColumn="0"/>
          <w:trHeight w:val="225"/>
          <w:tblHeader/>
        </w:trPr>
        <w:tc>
          <w:tcPr>
            <w:tcW w:w="2356" w:type="pct"/>
          </w:tcPr>
          <w:p w14:paraId="4E0544A4" w14:textId="77777777" w:rsidR="006D7571" w:rsidRPr="000557CC" w:rsidRDefault="006D7571" w:rsidP="001E6F2C">
            <w:pPr>
              <w:pStyle w:val="ARtablecolhead"/>
              <w:rPr>
                <w:i/>
                <w:lang w:eastAsia="en-AU"/>
              </w:rPr>
            </w:pPr>
            <w:r w:rsidRPr="000557CC">
              <w:rPr>
                <w:lang w:eastAsia="en-AU"/>
              </w:rPr>
              <w:t>Indicator</w:t>
            </w:r>
          </w:p>
        </w:tc>
        <w:tc>
          <w:tcPr>
            <w:cnfStyle w:val="000001000000" w:firstRow="0" w:lastRow="0" w:firstColumn="0" w:lastColumn="0" w:oddVBand="0" w:evenVBand="1" w:oddHBand="0" w:evenHBand="0" w:firstRowFirstColumn="0" w:firstRowLastColumn="0" w:lastRowFirstColumn="0" w:lastRowLastColumn="0"/>
            <w:tcW w:w="882" w:type="pct"/>
          </w:tcPr>
          <w:p w14:paraId="3B27386C" w14:textId="77777777" w:rsidR="006D7571" w:rsidRPr="000557CC" w:rsidRDefault="006D7571" w:rsidP="001E6F2C">
            <w:pPr>
              <w:pStyle w:val="ARtablecolheadright"/>
              <w:rPr>
                <w:i/>
                <w:lang w:eastAsia="en-AU"/>
              </w:rPr>
            </w:pPr>
            <w:r w:rsidRPr="000557CC">
              <w:rPr>
                <w:lang w:eastAsia="en-AU"/>
              </w:rPr>
              <w:t>2025–26</w:t>
            </w:r>
            <w:r w:rsidRPr="000557CC">
              <w:rPr>
                <w:lang w:eastAsia="en-AU"/>
              </w:rPr>
              <w:br/>
              <w:t>Tonnes CO</w:t>
            </w:r>
            <w:r w:rsidRPr="000557CC">
              <w:rPr>
                <w:vertAlign w:val="subscript"/>
                <w:lang w:eastAsia="en-AU"/>
              </w:rPr>
              <w:t>2</w:t>
            </w:r>
            <w:r w:rsidRPr="000557CC">
              <w:rPr>
                <w:lang w:eastAsia="en-AU"/>
              </w:rPr>
              <w:t>-e</w:t>
            </w:r>
          </w:p>
        </w:tc>
        <w:tc>
          <w:tcPr>
            <w:tcW w:w="882" w:type="pct"/>
          </w:tcPr>
          <w:p w14:paraId="6AAC4FD6" w14:textId="77777777" w:rsidR="006D7571" w:rsidRPr="000557CC" w:rsidRDefault="006D7571" w:rsidP="001E6F2C">
            <w:pPr>
              <w:pStyle w:val="ARtablecolheadright"/>
              <w:cnfStyle w:val="100000000000" w:firstRow="1" w:lastRow="0" w:firstColumn="0" w:lastColumn="0" w:oddVBand="0" w:evenVBand="0" w:oddHBand="0" w:evenHBand="0" w:firstRowFirstColumn="0" w:firstRowLastColumn="0" w:lastRowFirstColumn="0" w:lastRowLastColumn="0"/>
              <w:rPr>
                <w:i/>
                <w:lang w:eastAsia="en-AU"/>
              </w:rPr>
            </w:pPr>
            <w:r w:rsidRPr="000557CC">
              <w:rPr>
                <w:lang w:eastAsia="en-AU"/>
              </w:rPr>
              <w:t>2024–25</w:t>
            </w:r>
            <w:r w:rsidRPr="000557CC">
              <w:rPr>
                <w:lang w:eastAsia="en-AU"/>
              </w:rPr>
              <w:br/>
              <w:t>Tonnes CO</w:t>
            </w:r>
            <w:r w:rsidRPr="000557CC">
              <w:rPr>
                <w:vertAlign w:val="subscript"/>
                <w:lang w:eastAsia="en-AU"/>
              </w:rPr>
              <w:t>2</w:t>
            </w:r>
            <w:r w:rsidRPr="000557CC">
              <w:rPr>
                <w:lang w:eastAsia="en-AU"/>
              </w:rPr>
              <w:t>-e</w:t>
            </w:r>
          </w:p>
        </w:tc>
        <w:tc>
          <w:tcPr>
            <w:cnfStyle w:val="000001000000" w:firstRow="0" w:lastRow="0" w:firstColumn="0" w:lastColumn="0" w:oddVBand="0" w:evenVBand="1" w:oddHBand="0" w:evenHBand="0" w:firstRowFirstColumn="0" w:firstRowLastColumn="0" w:lastRowFirstColumn="0" w:lastRowLastColumn="0"/>
            <w:tcW w:w="880" w:type="pct"/>
          </w:tcPr>
          <w:p w14:paraId="6F7FC551" w14:textId="77777777" w:rsidR="006D7571" w:rsidRPr="000557CC" w:rsidRDefault="006D7571" w:rsidP="001E6F2C">
            <w:pPr>
              <w:pStyle w:val="ARtablecolheadright"/>
              <w:rPr>
                <w:i/>
                <w:lang w:eastAsia="en-AU"/>
              </w:rPr>
            </w:pPr>
            <w:r w:rsidRPr="000557CC">
              <w:rPr>
                <w:lang w:eastAsia="en-AU"/>
              </w:rPr>
              <w:t>2023–24</w:t>
            </w:r>
            <w:r w:rsidRPr="000557CC">
              <w:rPr>
                <w:lang w:eastAsia="en-AU"/>
              </w:rPr>
              <w:br/>
              <w:t>Tonnes CO</w:t>
            </w:r>
            <w:r w:rsidRPr="000557CC">
              <w:rPr>
                <w:vertAlign w:val="subscript"/>
                <w:lang w:eastAsia="en-AU"/>
              </w:rPr>
              <w:t>2</w:t>
            </w:r>
            <w:r w:rsidRPr="000557CC">
              <w:rPr>
                <w:lang w:eastAsia="en-AU"/>
              </w:rPr>
              <w:t>-e</w:t>
            </w:r>
          </w:p>
        </w:tc>
      </w:tr>
      <w:tr w:rsidR="004535D4" w:rsidRPr="000557CC" w14:paraId="5C89CBEB" w14:textId="77777777" w:rsidTr="004535D4">
        <w:trPr>
          <w:trHeight w:val="225"/>
        </w:trPr>
        <w:tc>
          <w:tcPr>
            <w:tcW w:w="2356" w:type="pct"/>
          </w:tcPr>
          <w:p w14:paraId="5DD60B57" w14:textId="603C0F4A" w:rsidR="004535D4" w:rsidRPr="000557CC" w:rsidRDefault="004535D4" w:rsidP="004535D4">
            <w:pPr>
              <w:pStyle w:val="ARTabletextboldcoloured"/>
              <w:rPr>
                <w:lang w:eastAsia="en-AU"/>
              </w:rPr>
            </w:pPr>
            <w:r w:rsidRPr="000557CC">
              <w:rPr>
                <w:lang w:eastAsia="en-AU"/>
              </w:rPr>
              <w:t>Passenger vehicles</w:t>
            </w:r>
          </w:p>
        </w:tc>
        <w:tc>
          <w:tcPr>
            <w:cnfStyle w:val="000001000000" w:firstRow="0" w:lastRow="0" w:firstColumn="0" w:lastColumn="0" w:oddVBand="0" w:evenVBand="1" w:oddHBand="0" w:evenHBand="0" w:firstRowFirstColumn="0" w:firstRowLastColumn="0" w:lastRowFirstColumn="0" w:lastRowLastColumn="0"/>
            <w:tcW w:w="882" w:type="pct"/>
            <w:shd w:val="clear" w:color="auto" w:fill="auto"/>
          </w:tcPr>
          <w:p w14:paraId="777E019D" w14:textId="77777777" w:rsidR="004535D4" w:rsidRPr="000557CC" w:rsidRDefault="004535D4" w:rsidP="001E6F2C">
            <w:pPr>
              <w:pStyle w:val="ARtabletextright"/>
              <w:rPr>
                <w:lang w:eastAsia="en-AU"/>
              </w:rPr>
            </w:pPr>
          </w:p>
        </w:tc>
        <w:tc>
          <w:tcPr>
            <w:tcW w:w="882" w:type="pct"/>
          </w:tcPr>
          <w:p w14:paraId="3810CB4A" w14:textId="77777777" w:rsidR="004535D4" w:rsidRPr="000557CC" w:rsidRDefault="004535D4"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880" w:type="pct"/>
            <w:shd w:val="clear" w:color="auto" w:fill="auto"/>
          </w:tcPr>
          <w:p w14:paraId="7753950B" w14:textId="77777777" w:rsidR="004535D4" w:rsidRPr="000557CC" w:rsidRDefault="004535D4" w:rsidP="001E6F2C">
            <w:pPr>
              <w:pStyle w:val="ARtabletextright"/>
              <w:rPr>
                <w:lang w:eastAsia="en-AU"/>
              </w:rPr>
            </w:pPr>
          </w:p>
        </w:tc>
      </w:tr>
      <w:tr w:rsidR="006D7571" w:rsidRPr="000557CC" w14:paraId="16990DEA" w14:textId="77777777" w:rsidTr="004535D4">
        <w:trPr>
          <w:trHeight w:val="225"/>
        </w:trPr>
        <w:tc>
          <w:tcPr>
            <w:tcW w:w="2356" w:type="pct"/>
          </w:tcPr>
          <w:p w14:paraId="668C1500" w14:textId="77777777" w:rsidR="006D7571" w:rsidRPr="000557CC" w:rsidRDefault="006D7571" w:rsidP="001E6F2C">
            <w:pPr>
              <w:pStyle w:val="ARTabletext"/>
              <w:rPr>
                <w:lang w:eastAsia="en-AU"/>
              </w:rPr>
            </w:pPr>
            <w:r w:rsidRPr="000557CC">
              <w:rPr>
                <w:lang w:eastAsia="en-AU"/>
              </w:rPr>
              <w:t>Petrol</w:t>
            </w:r>
          </w:p>
        </w:tc>
        <w:tc>
          <w:tcPr>
            <w:cnfStyle w:val="000001000000" w:firstRow="0" w:lastRow="0" w:firstColumn="0" w:lastColumn="0" w:oddVBand="0" w:evenVBand="1" w:oddHBand="0" w:evenHBand="0" w:firstRowFirstColumn="0" w:firstRowLastColumn="0" w:lastRowFirstColumn="0" w:lastRowLastColumn="0"/>
            <w:tcW w:w="882" w:type="pct"/>
          </w:tcPr>
          <w:p w14:paraId="270E9FC8" w14:textId="77777777" w:rsidR="006D7571" w:rsidRPr="000557CC" w:rsidRDefault="006D7571" w:rsidP="001E6F2C">
            <w:pPr>
              <w:pStyle w:val="ARtabletextright"/>
              <w:rPr>
                <w:lang w:eastAsia="en-AU"/>
              </w:rPr>
            </w:pPr>
            <w:r w:rsidRPr="000557CC">
              <w:rPr>
                <w:lang w:eastAsia="en-AU"/>
              </w:rPr>
              <w:t>1,056</w:t>
            </w:r>
          </w:p>
        </w:tc>
        <w:tc>
          <w:tcPr>
            <w:tcW w:w="882" w:type="pct"/>
          </w:tcPr>
          <w:p w14:paraId="77147C04"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1,319</w:t>
            </w:r>
          </w:p>
        </w:tc>
        <w:tc>
          <w:tcPr>
            <w:cnfStyle w:val="000001000000" w:firstRow="0" w:lastRow="0" w:firstColumn="0" w:lastColumn="0" w:oddVBand="0" w:evenVBand="1" w:oddHBand="0" w:evenHBand="0" w:firstRowFirstColumn="0" w:firstRowLastColumn="0" w:lastRowFirstColumn="0" w:lastRowLastColumn="0"/>
            <w:tcW w:w="880" w:type="pct"/>
          </w:tcPr>
          <w:p w14:paraId="67E6A6C7" w14:textId="77777777" w:rsidR="006D7571" w:rsidRPr="000557CC" w:rsidRDefault="006D7571" w:rsidP="001E6F2C">
            <w:pPr>
              <w:pStyle w:val="ARtabletextright"/>
              <w:rPr>
                <w:lang w:eastAsia="en-AU"/>
              </w:rPr>
            </w:pPr>
            <w:r w:rsidRPr="000557CC">
              <w:rPr>
                <w:lang w:eastAsia="en-AU"/>
              </w:rPr>
              <w:t>1,319</w:t>
            </w:r>
          </w:p>
        </w:tc>
      </w:tr>
      <w:tr w:rsidR="006D7571" w:rsidRPr="000557CC" w14:paraId="6F3D7DDB" w14:textId="77777777" w:rsidTr="004535D4">
        <w:trPr>
          <w:trHeight w:val="225"/>
        </w:trPr>
        <w:tc>
          <w:tcPr>
            <w:tcW w:w="2356" w:type="pct"/>
          </w:tcPr>
          <w:p w14:paraId="08B799E3" w14:textId="77777777" w:rsidR="006D7571" w:rsidRPr="000557CC" w:rsidRDefault="006D7571" w:rsidP="001E6F2C">
            <w:pPr>
              <w:pStyle w:val="ARTabletext"/>
              <w:rPr>
                <w:lang w:eastAsia="en-AU"/>
              </w:rPr>
            </w:pPr>
            <w:r w:rsidRPr="000557CC">
              <w:rPr>
                <w:lang w:eastAsia="en-AU"/>
              </w:rPr>
              <w:t>Diesel</w:t>
            </w:r>
          </w:p>
        </w:tc>
        <w:tc>
          <w:tcPr>
            <w:cnfStyle w:val="000001000000" w:firstRow="0" w:lastRow="0" w:firstColumn="0" w:lastColumn="0" w:oddVBand="0" w:evenVBand="1" w:oddHBand="0" w:evenHBand="0" w:firstRowFirstColumn="0" w:firstRowLastColumn="0" w:lastRowFirstColumn="0" w:lastRowLastColumn="0"/>
            <w:tcW w:w="882" w:type="pct"/>
          </w:tcPr>
          <w:p w14:paraId="06973EB5" w14:textId="77777777" w:rsidR="006D7571" w:rsidRPr="000557CC" w:rsidRDefault="006D7571" w:rsidP="001E6F2C">
            <w:pPr>
              <w:pStyle w:val="ARtabletextright"/>
              <w:rPr>
                <w:lang w:eastAsia="en-AU"/>
              </w:rPr>
            </w:pPr>
            <w:r w:rsidRPr="000557CC">
              <w:rPr>
                <w:lang w:eastAsia="en-AU"/>
              </w:rPr>
              <w:t>1,320</w:t>
            </w:r>
          </w:p>
        </w:tc>
        <w:tc>
          <w:tcPr>
            <w:tcW w:w="882" w:type="pct"/>
          </w:tcPr>
          <w:p w14:paraId="734D63CB"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1,497</w:t>
            </w:r>
          </w:p>
        </w:tc>
        <w:tc>
          <w:tcPr>
            <w:cnfStyle w:val="000001000000" w:firstRow="0" w:lastRow="0" w:firstColumn="0" w:lastColumn="0" w:oddVBand="0" w:evenVBand="1" w:oddHBand="0" w:evenHBand="0" w:firstRowFirstColumn="0" w:firstRowLastColumn="0" w:lastRowFirstColumn="0" w:lastRowLastColumn="0"/>
            <w:tcW w:w="880" w:type="pct"/>
          </w:tcPr>
          <w:p w14:paraId="7AFA4BDE" w14:textId="77777777" w:rsidR="006D7571" w:rsidRPr="000557CC" w:rsidRDefault="006D7571" w:rsidP="001E6F2C">
            <w:pPr>
              <w:pStyle w:val="ARtabletextright"/>
              <w:rPr>
                <w:lang w:eastAsia="en-AU"/>
              </w:rPr>
            </w:pPr>
            <w:r w:rsidRPr="000557CC">
              <w:rPr>
                <w:lang w:eastAsia="en-AU"/>
              </w:rPr>
              <w:t>1,294</w:t>
            </w:r>
          </w:p>
        </w:tc>
      </w:tr>
      <w:tr w:rsidR="006D7571" w:rsidRPr="000557CC" w14:paraId="68475CE1" w14:textId="77777777" w:rsidTr="004535D4">
        <w:trPr>
          <w:trHeight w:val="225"/>
        </w:trPr>
        <w:tc>
          <w:tcPr>
            <w:tcW w:w="2356" w:type="pct"/>
          </w:tcPr>
          <w:p w14:paraId="25121E4A" w14:textId="77777777" w:rsidR="006D7571" w:rsidRPr="000557CC" w:rsidRDefault="006D7571" w:rsidP="001E6F2C">
            <w:pPr>
              <w:pStyle w:val="ARTabletext"/>
              <w:rPr>
                <w:lang w:eastAsia="en-AU"/>
              </w:rPr>
            </w:pPr>
            <w:r w:rsidRPr="000557CC">
              <w:rPr>
                <w:lang w:eastAsia="en-AU"/>
              </w:rPr>
              <w:t>Hybrid/unleaded</w:t>
            </w:r>
          </w:p>
        </w:tc>
        <w:tc>
          <w:tcPr>
            <w:cnfStyle w:val="000001000000" w:firstRow="0" w:lastRow="0" w:firstColumn="0" w:lastColumn="0" w:oddVBand="0" w:evenVBand="1" w:oddHBand="0" w:evenHBand="0" w:firstRowFirstColumn="0" w:firstRowLastColumn="0" w:lastRowFirstColumn="0" w:lastRowLastColumn="0"/>
            <w:tcW w:w="882" w:type="pct"/>
          </w:tcPr>
          <w:p w14:paraId="4320CDBB" w14:textId="77777777" w:rsidR="006D7571" w:rsidRPr="000557CC" w:rsidRDefault="006D7571" w:rsidP="001E6F2C">
            <w:pPr>
              <w:pStyle w:val="ARtabletextright"/>
              <w:rPr>
                <w:lang w:eastAsia="en-AU"/>
              </w:rPr>
            </w:pPr>
            <w:r w:rsidRPr="000557CC">
              <w:rPr>
                <w:lang w:eastAsia="en-AU"/>
              </w:rPr>
              <w:t>900</w:t>
            </w:r>
          </w:p>
        </w:tc>
        <w:tc>
          <w:tcPr>
            <w:tcW w:w="882" w:type="pct"/>
          </w:tcPr>
          <w:p w14:paraId="5C815866"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890</w:t>
            </w:r>
          </w:p>
        </w:tc>
        <w:tc>
          <w:tcPr>
            <w:cnfStyle w:val="000001000000" w:firstRow="0" w:lastRow="0" w:firstColumn="0" w:lastColumn="0" w:oddVBand="0" w:evenVBand="1" w:oddHBand="0" w:evenHBand="0" w:firstRowFirstColumn="0" w:firstRowLastColumn="0" w:lastRowFirstColumn="0" w:lastRowLastColumn="0"/>
            <w:tcW w:w="880" w:type="pct"/>
          </w:tcPr>
          <w:p w14:paraId="6929163F" w14:textId="77777777" w:rsidR="006D7571" w:rsidRPr="000557CC" w:rsidRDefault="006D7571" w:rsidP="001E6F2C">
            <w:pPr>
              <w:pStyle w:val="ARtabletextright"/>
              <w:rPr>
                <w:lang w:eastAsia="en-AU"/>
              </w:rPr>
            </w:pPr>
            <w:r w:rsidRPr="000557CC">
              <w:rPr>
                <w:lang w:eastAsia="en-AU"/>
              </w:rPr>
              <w:t>853</w:t>
            </w:r>
          </w:p>
        </w:tc>
      </w:tr>
      <w:tr w:rsidR="006D7571" w:rsidRPr="000557CC" w14:paraId="7CA32F07" w14:textId="77777777" w:rsidTr="004535D4">
        <w:trPr>
          <w:trHeight w:val="240"/>
        </w:trPr>
        <w:tc>
          <w:tcPr>
            <w:tcW w:w="2356" w:type="pct"/>
          </w:tcPr>
          <w:p w14:paraId="14C31675" w14:textId="77777777" w:rsidR="006D7571" w:rsidRPr="000557CC" w:rsidRDefault="006D7571" w:rsidP="001E6F2C">
            <w:pPr>
              <w:pStyle w:val="ARTabletext"/>
              <w:rPr>
                <w:lang w:eastAsia="en-AU"/>
              </w:rPr>
            </w:pPr>
            <w:r w:rsidRPr="000557CC">
              <w:rPr>
                <w:lang w:eastAsia="en-AU"/>
              </w:rPr>
              <w:t>Electricity</w:t>
            </w:r>
          </w:p>
        </w:tc>
        <w:tc>
          <w:tcPr>
            <w:cnfStyle w:val="000001000000" w:firstRow="0" w:lastRow="0" w:firstColumn="0" w:lastColumn="0" w:oddVBand="0" w:evenVBand="1" w:oddHBand="0" w:evenHBand="0" w:firstRowFirstColumn="0" w:firstRowLastColumn="0" w:lastRowFirstColumn="0" w:lastRowLastColumn="0"/>
            <w:tcW w:w="882" w:type="pct"/>
          </w:tcPr>
          <w:p w14:paraId="1B413D81" w14:textId="77777777" w:rsidR="006D7571" w:rsidRPr="000557CC" w:rsidRDefault="006D7571" w:rsidP="001E6F2C">
            <w:pPr>
              <w:pStyle w:val="ARtabletextright"/>
              <w:rPr>
                <w:lang w:eastAsia="en-AU"/>
              </w:rPr>
            </w:pPr>
            <w:r w:rsidRPr="000557CC">
              <w:rPr>
                <w:lang w:eastAsia="en-AU"/>
              </w:rPr>
              <w:t>90</w:t>
            </w:r>
          </w:p>
        </w:tc>
        <w:tc>
          <w:tcPr>
            <w:tcW w:w="882" w:type="pct"/>
          </w:tcPr>
          <w:p w14:paraId="30E13DC7"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880" w:type="pct"/>
          </w:tcPr>
          <w:p w14:paraId="4C0BD2CF" w14:textId="77777777" w:rsidR="006D7571" w:rsidRPr="000557CC" w:rsidRDefault="006D7571" w:rsidP="001E6F2C">
            <w:pPr>
              <w:pStyle w:val="ARtabletextright"/>
              <w:rPr>
                <w:lang w:eastAsia="en-AU"/>
              </w:rPr>
            </w:pPr>
            <w:r w:rsidRPr="000557CC">
              <w:rPr>
                <w:lang w:eastAsia="en-AU"/>
              </w:rPr>
              <w:t>–</w:t>
            </w:r>
          </w:p>
        </w:tc>
      </w:tr>
      <w:tr w:rsidR="006D7571" w:rsidRPr="000557CC" w14:paraId="27EB93ED" w14:textId="77777777" w:rsidTr="004535D4">
        <w:trPr>
          <w:trHeight w:val="225"/>
        </w:trPr>
        <w:tc>
          <w:tcPr>
            <w:tcW w:w="2356" w:type="pct"/>
          </w:tcPr>
          <w:p w14:paraId="1B502BF6" w14:textId="77777777" w:rsidR="006D7571" w:rsidRPr="000557CC" w:rsidRDefault="006D7571" w:rsidP="001E6F2C">
            <w:pPr>
              <w:pStyle w:val="ARtabletextbold"/>
              <w:rPr>
                <w:rFonts w:eastAsia="Times"/>
                <w:lang w:eastAsia="en-AU"/>
              </w:rPr>
            </w:pPr>
            <w:r w:rsidRPr="000557CC">
              <w:rPr>
                <w:lang w:eastAsia="en-AU"/>
              </w:rPr>
              <w:t>Total passenger vehicles</w:t>
            </w:r>
          </w:p>
        </w:tc>
        <w:tc>
          <w:tcPr>
            <w:cnfStyle w:val="000001000000" w:firstRow="0" w:lastRow="0" w:firstColumn="0" w:lastColumn="0" w:oddVBand="0" w:evenVBand="1" w:oddHBand="0" w:evenHBand="0" w:firstRowFirstColumn="0" w:firstRowLastColumn="0" w:lastRowFirstColumn="0" w:lastRowLastColumn="0"/>
            <w:tcW w:w="882" w:type="pct"/>
          </w:tcPr>
          <w:p w14:paraId="6DB33F20" w14:textId="77777777" w:rsidR="006D7571" w:rsidRPr="000557CC" w:rsidRDefault="006D7571" w:rsidP="001E6F2C">
            <w:pPr>
              <w:pStyle w:val="ARtabletextrightbold"/>
              <w:rPr>
                <w:lang w:eastAsia="en-AU"/>
              </w:rPr>
            </w:pPr>
            <w:r w:rsidRPr="000557CC">
              <w:rPr>
                <w:lang w:eastAsia="en-AU"/>
              </w:rPr>
              <w:t>3,416</w:t>
            </w:r>
          </w:p>
        </w:tc>
        <w:tc>
          <w:tcPr>
            <w:tcW w:w="882" w:type="pct"/>
          </w:tcPr>
          <w:p w14:paraId="1089A8C3" w14:textId="77777777" w:rsidR="006D7571" w:rsidRPr="000557CC" w:rsidRDefault="006D7571" w:rsidP="001E6F2C">
            <w:pPr>
              <w:pStyle w:val="ARtabletextrightbold"/>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3,706</w:t>
            </w:r>
          </w:p>
        </w:tc>
        <w:tc>
          <w:tcPr>
            <w:cnfStyle w:val="000001000000" w:firstRow="0" w:lastRow="0" w:firstColumn="0" w:lastColumn="0" w:oddVBand="0" w:evenVBand="1" w:oddHBand="0" w:evenHBand="0" w:firstRowFirstColumn="0" w:firstRowLastColumn="0" w:lastRowFirstColumn="0" w:lastRowLastColumn="0"/>
            <w:tcW w:w="880" w:type="pct"/>
          </w:tcPr>
          <w:p w14:paraId="0C1BF751" w14:textId="77777777" w:rsidR="006D7571" w:rsidRPr="000557CC" w:rsidRDefault="006D7571" w:rsidP="001E6F2C">
            <w:pPr>
              <w:pStyle w:val="ARtabletextrightbold"/>
              <w:rPr>
                <w:lang w:eastAsia="en-AU"/>
              </w:rPr>
            </w:pPr>
            <w:r w:rsidRPr="000557CC">
              <w:rPr>
                <w:lang w:eastAsia="en-AU"/>
              </w:rPr>
              <w:t>3,472</w:t>
            </w:r>
          </w:p>
        </w:tc>
      </w:tr>
      <w:tr w:rsidR="004535D4" w:rsidRPr="000557CC" w14:paraId="3699AAEC" w14:textId="77777777" w:rsidTr="004535D4">
        <w:trPr>
          <w:trHeight w:val="225"/>
        </w:trPr>
        <w:tc>
          <w:tcPr>
            <w:tcW w:w="2356" w:type="pct"/>
          </w:tcPr>
          <w:p w14:paraId="6D4BD8EE" w14:textId="6314D3EE" w:rsidR="004535D4" w:rsidRPr="000557CC" w:rsidRDefault="004535D4" w:rsidP="004535D4">
            <w:pPr>
              <w:pStyle w:val="ARTabletextboldcoloured"/>
              <w:rPr>
                <w:lang w:eastAsia="en-AU"/>
              </w:rPr>
            </w:pPr>
            <w:r w:rsidRPr="000557CC">
              <w:rPr>
                <w:lang w:eastAsia="en-AU"/>
              </w:rPr>
              <w:t>Goods vehicles</w:t>
            </w:r>
          </w:p>
        </w:tc>
        <w:tc>
          <w:tcPr>
            <w:cnfStyle w:val="000001000000" w:firstRow="0" w:lastRow="0" w:firstColumn="0" w:lastColumn="0" w:oddVBand="0" w:evenVBand="1" w:oddHBand="0" w:evenHBand="0" w:firstRowFirstColumn="0" w:firstRowLastColumn="0" w:lastRowFirstColumn="0" w:lastRowLastColumn="0"/>
            <w:tcW w:w="882" w:type="pct"/>
            <w:shd w:val="clear" w:color="auto" w:fill="auto"/>
          </w:tcPr>
          <w:p w14:paraId="11CE25AA" w14:textId="77777777" w:rsidR="004535D4" w:rsidRPr="000557CC" w:rsidRDefault="004535D4" w:rsidP="001E6F2C">
            <w:pPr>
              <w:pStyle w:val="ARtabletextright"/>
              <w:rPr>
                <w:lang w:eastAsia="en-AU"/>
              </w:rPr>
            </w:pPr>
          </w:p>
        </w:tc>
        <w:tc>
          <w:tcPr>
            <w:tcW w:w="882" w:type="pct"/>
          </w:tcPr>
          <w:p w14:paraId="2C87A055" w14:textId="77777777" w:rsidR="004535D4" w:rsidRPr="000557CC" w:rsidRDefault="004535D4"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880" w:type="pct"/>
            <w:shd w:val="clear" w:color="auto" w:fill="auto"/>
          </w:tcPr>
          <w:p w14:paraId="6A1EB1D8" w14:textId="77777777" w:rsidR="004535D4" w:rsidRPr="000557CC" w:rsidRDefault="004535D4" w:rsidP="001E6F2C">
            <w:pPr>
              <w:pStyle w:val="ARtabletextright"/>
              <w:rPr>
                <w:lang w:eastAsia="en-AU"/>
              </w:rPr>
            </w:pPr>
          </w:p>
        </w:tc>
      </w:tr>
      <w:tr w:rsidR="006D7571" w:rsidRPr="000557CC" w14:paraId="2F70AB48" w14:textId="77777777" w:rsidTr="004535D4">
        <w:trPr>
          <w:trHeight w:val="225"/>
        </w:trPr>
        <w:tc>
          <w:tcPr>
            <w:tcW w:w="2356" w:type="pct"/>
          </w:tcPr>
          <w:p w14:paraId="16350297" w14:textId="77777777" w:rsidR="006D7571" w:rsidRPr="000557CC" w:rsidRDefault="006D7571" w:rsidP="001E6F2C">
            <w:pPr>
              <w:pStyle w:val="ARTabletext"/>
              <w:rPr>
                <w:lang w:eastAsia="en-AU"/>
              </w:rPr>
            </w:pPr>
            <w:r w:rsidRPr="000557CC">
              <w:rPr>
                <w:lang w:eastAsia="en-AU"/>
              </w:rPr>
              <w:t>Petrol</w:t>
            </w:r>
          </w:p>
        </w:tc>
        <w:tc>
          <w:tcPr>
            <w:cnfStyle w:val="000001000000" w:firstRow="0" w:lastRow="0" w:firstColumn="0" w:lastColumn="0" w:oddVBand="0" w:evenVBand="1" w:oddHBand="0" w:evenHBand="0" w:firstRowFirstColumn="0" w:firstRowLastColumn="0" w:lastRowFirstColumn="0" w:lastRowLastColumn="0"/>
            <w:tcW w:w="882" w:type="pct"/>
          </w:tcPr>
          <w:p w14:paraId="0AB11441" w14:textId="77777777" w:rsidR="006D7571" w:rsidRPr="000557CC" w:rsidRDefault="006D7571" w:rsidP="001E6F2C">
            <w:pPr>
              <w:pStyle w:val="ARtabletextright"/>
              <w:rPr>
                <w:lang w:eastAsia="en-AU"/>
              </w:rPr>
            </w:pPr>
            <w:r w:rsidRPr="000557CC">
              <w:rPr>
                <w:lang w:eastAsia="en-AU"/>
              </w:rPr>
              <w:t>–</w:t>
            </w:r>
          </w:p>
        </w:tc>
        <w:tc>
          <w:tcPr>
            <w:tcW w:w="882" w:type="pct"/>
          </w:tcPr>
          <w:p w14:paraId="4662BA55"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880" w:type="pct"/>
          </w:tcPr>
          <w:p w14:paraId="54933BF9" w14:textId="77777777" w:rsidR="006D7571" w:rsidRPr="000557CC" w:rsidRDefault="006D7571" w:rsidP="001E6F2C">
            <w:pPr>
              <w:pStyle w:val="ARtabletextright"/>
              <w:rPr>
                <w:lang w:eastAsia="en-AU"/>
              </w:rPr>
            </w:pPr>
            <w:r w:rsidRPr="000557CC">
              <w:rPr>
                <w:lang w:eastAsia="en-AU"/>
              </w:rPr>
              <w:t>–</w:t>
            </w:r>
          </w:p>
        </w:tc>
      </w:tr>
      <w:tr w:rsidR="006D7571" w:rsidRPr="000557CC" w14:paraId="56B469E9" w14:textId="77777777" w:rsidTr="004535D4">
        <w:trPr>
          <w:trHeight w:val="225"/>
        </w:trPr>
        <w:tc>
          <w:tcPr>
            <w:tcW w:w="2356" w:type="pct"/>
          </w:tcPr>
          <w:p w14:paraId="1067AB3F" w14:textId="77777777" w:rsidR="006D7571" w:rsidRPr="000557CC" w:rsidRDefault="006D7571" w:rsidP="001E6F2C">
            <w:pPr>
              <w:pStyle w:val="ARTabletext"/>
              <w:rPr>
                <w:lang w:eastAsia="en-AU"/>
              </w:rPr>
            </w:pPr>
            <w:r w:rsidRPr="000557CC">
              <w:rPr>
                <w:lang w:eastAsia="en-AU"/>
              </w:rPr>
              <w:t>Diesel</w:t>
            </w:r>
          </w:p>
        </w:tc>
        <w:tc>
          <w:tcPr>
            <w:cnfStyle w:val="000001000000" w:firstRow="0" w:lastRow="0" w:firstColumn="0" w:lastColumn="0" w:oddVBand="0" w:evenVBand="1" w:oddHBand="0" w:evenHBand="0" w:firstRowFirstColumn="0" w:firstRowLastColumn="0" w:lastRowFirstColumn="0" w:lastRowLastColumn="0"/>
            <w:tcW w:w="882" w:type="pct"/>
          </w:tcPr>
          <w:p w14:paraId="74214B4D" w14:textId="77777777" w:rsidR="006D7571" w:rsidRPr="000557CC" w:rsidRDefault="006D7571" w:rsidP="001E6F2C">
            <w:pPr>
              <w:pStyle w:val="ARtabletextright"/>
              <w:rPr>
                <w:lang w:eastAsia="en-AU"/>
              </w:rPr>
            </w:pPr>
            <w:r w:rsidRPr="000557CC">
              <w:rPr>
                <w:lang w:eastAsia="en-AU"/>
              </w:rPr>
              <w:t>–</w:t>
            </w:r>
          </w:p>
        </w:tc>
        <w:tc>
          <w:tcPr>
            <w:tcW w:w="882" w:type="pct"/>
          </w:tcPr>
          <w:p w14:paraId="3C52CAC0"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8</w:t>
            </w:r>
          </w:p>
        </w:tc>
        <w:tc>
          <w:tcPr>
            <w:cnfStyle w:val="000001000000" w:firstRow="0" w:lastRow="0" w:firstColumn="0" w:lastColumn="0" w:oddVBand="0" w:evenVBand="1" w:oddHBand="0" w:evenHBand="0" w:firstRowFirstColumn="0" w:firstRowLastColumn="0" w:lastRowFirstColumn="0" w:lastRowLastColumn="0"/>
            <w:tcW w:w="880" w:type="pct"/>
          </w:tcPr>
          <w:p w14:paraId="4F38F24E" w14:textId="77777777" w:rsidR="006D7571" w:rsidRPr="000557CC" w:rsidRDefault="006D7571" w:rsidP="001E6F2C">
            <w:pPr>
              <w:pStyle w:val="ARtabletextright"/>
              <w:rPr>
                <w:lang w:eastAsia="en-AU"/>
              </w:rPr>
            </w:pPr>
            <w:r w:rsidRPr="000557CC">
              <w:rPr>
                <w:lang w:eastAsia="en-AU"/>
              </w:rPr>
              <w:t>10</w:t>
            </w:r>
          </w:p>
        </w:tc>
      </w:tr>
      <w:tr w:rsidR="006D7571" w:rsidRPr="000557CC" w14:paraId="4C98C07B" w14:textId="77777777" w:rsidTr="004535D4">
        <w:trPr>
          <w:trHeight w:val="240"/>
        </w:trPr>
        <w:tc>
          <w:tcPr>
            <w:tcW w:w="2356" w:type="pct"/>
          </w:tcPr>
          <w:p w14:paraId="624FE5BC" w14:textId="77777777" w:rsidR="006D7571" w:rsidRPr="000557CC" w:rsidRDefault="006D7571" w:rsidP="001E6F2C">
            <w:pPr>
              <w:pStyle w:val="ARTabletext"/>
              <w:rPr>
                <w:lang w:eastAsia="en-AU"/>
              </w:rPr>
            </w:pPr>
            <w:r w:rsidRPr="000557CC">
              <w:rPr>
                <w:lang w:eastAsia="en-AU"/>
              </w:rPr>
              <w:t>Electricity</w:t>
            </w:r>
          </w:p>
        </w:tc>
        <w:tc>
          <w:tcPr>
            <w:cnfStyle w:val="000001000000" w:firstRow="0" w:lastRow="0" w:firstColumn="0" w:lastColumn="0" w:oddVBand="0" w:evenVBand="1" w:oddHBand="0" w:evenHBand="0" w:firstRowFirstColumn="0" w:firstRowLastColumn="0" w:lastRowFirstColumn="0" w:lastRowLastColumn="0"/>
            <w:tcW w:w="882" w:type="pct"/>
          </w:tcPr>
          <w:p w14:paraId="2E2D5230" w14:textId="77777777" w:rsidR="006D7571" w:rsidRPr="000557CC" w:rsidRDefault="006D7571" w:rsidP="001E6F2C">
            <w:pPr>
              <w:pStyle w:val="ARtabletextright"/>
              <w:rPr>
                <w:lang w:eastAsia="en-AU"/>
              </w:rPr>
            </w:pPr>
            <w:r w:rsidRPr="000557CC">
              <w:rPr>
                <w:lang w:eastAsia="en-AU"/>
              </w:rPr>
              <w:t>–</w:t>
            </w:r>
          </w:p>
        </w:tc>
        <w:tc>
          <w:tcPr>
            <w:tcW w:w="882" w:type="pct"/>
          </w:tcPr>
          <w:p w14:paraId="1BB6BCB4"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880" w:type="pct"/>
          </w:tcPr>
          <w:p w14:paraId="4C7200E2" w14:textId="77777777" w:rsidR="006D7571" w:rsidRPr="000557CC" w:rsidRDefault="006D7571" w:rsidP="001E6F2C">
            <w:pPr>
              <w:pStyle w:val="ARtabletextright"/>
              <w:rPr>
                <w:lang w:eastAsia="en-AU"/>
              </w:rPr>
            </w:pPr>
            <w:r w:rsidRPr="000557CC">
              <w:rPr>
                <w:lang w:eastAsia="en-AU"/>
              </w:rPr>
              <w:t>–</w:t>
            </w:r>
          </w:p>
        </w:tc>
      </w:tr>
      <w:tr w:rsidR="006D7571" w:rsidRPr="000557CC" w14:paraId="622B0673" w14:textId="77777777" w:rsidTr="004535D4">
        <w:trPr>
          <w:trHeight w:val="240"/>
        </w:trPr>
        <w:tc>
          <w:tcPr>
            <w:tcW w:w="2356" w:type="pct"/>
          </w:tcPr>
          <w:p w14:paraId="1B1D1B7B" w14:textId="77777777" w:rsidR="006D7571" w:rsidRPr="000557CC" w:rsidRDefault="006D7571" w:rsidP="001E6F2C">
            <w:pPr>
              <w:pStyle w:val="ARtabletextbold"/>
              <w:rPr>
                <w:lang w:eastAsia="en-AU"/>
              </w:rPr>
            </w:pPr>
            <w:r w:rsidRPr="000557CC">
              <w:rPr>
                <w:lang w:eastAsia="en-AU"/>
              </w:rPr>
              <w:t>Total goods vehicles</w:t>
            </w:r>
          </w:p>
        </w:tc>
        <w:tc>
          <w:tcPr>
            <w:cnfStyle w:val="000001000000" w:firstRow="0" w:lastRow="0" w:firstColumn="0" w:lastColumn="0" w:oddVBand="0" w:evenVBand="1" w:oddHBand="0" w:evenHBand="0" w:firstRowFirstColumn="0" w:firstRowLastColumn="0" w:lastRowFirstColumn="0" w:lastRowLastColumn="0"/>
            <w:tcW w:w="882" w:type="pct"/>
          </w:tcPr>
          <w:p w14:paraId="46B40DA2" w14:textId="77777777" w:rsidR="006D7571" w:rsidRPr="000557CC" w:rsidRDefault="006D7571" w:rsidP="001E6F2C">
            <w:pPr>
              <w:pStyle w:val="ARtabletextrightbold"/>
              <w:rPr>
                <w:lang w:eastAsia="en-AU"/>
              </w:rPr>
            </w:pPr>
            <w:r w:rsidRPr="000557CC">
              <w:rPr>
                <w:lang w:eastAsia="en-AU"/>
              </w:rPr>
              <w:t>–</w:t>
            </w:r>
          </w:p>
        </w:tc>
        <w:tc>
          <w:tcPr>
            <w:tcW w:w="882" w:type="pct"/>
          </w:tcPr>
          <w:p w14:paraId="047BD26D" w14:textId="77777777" w:rsidR="006D7571" w:rsidRPr="000557CC" w:rsidRDefault="006D7571" w:rsidP="001E6F2C">
            <w:pPr>
              <w:pStyle w:val="ARtabletextrightbold"/>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8</w:t>
            </w:r>
          </w:p>
        </w:tc>
        <w:tc>
          <w:tcPr>
            <w:cnfStyle w:val="000001000000" w:firstRow="0" w:lastRow="0" w:firstColumn="0" w:lastColumn="0" w:oddVBand="0" w:evenVBand="1" w:oddHBand="0" w:evenHBand="0" w:firstRowFirstColumn="0" w:firstRowLastColumn="0" w:lastRowFirstColumn="0" w:lastRowLastColumn="0"/>
            <w:tcW w:w="880" w:type="pct"/>
          </w:tcPr>
          <w:p w14:paraId="1D445985" w14:textId="77777777" w:rsidR="006D7571" w:rsidRPr="000557CC" w:rsidRDefault="006D7571" w:rsidP="001E6F2C">
            <w:pPr>
              <w:pStyle w:val="ARtabletextrightbold"/>
              <w:rPr>
                <w:lang w:eastAsia="en-AU"/>
              </w:rPr>
            </w:pPr>
            <w:r w:rsidRPr="000557CC">
              <w:rPr>
                <w:lang w:eastAsia="en-AU"/>
              </w:rPr>
              <w:t>10</w:t>
            </w:r>
          </w:p>
        </w:tc>
      </w:tr>
      <w:tr w:rsidR="006D7571" w:rsidRPr="000557CC" w14:paraId="30D62263" w14:textId="77777777" w:rsidTr="004535D4">
        <w:trPr>
          <w:trHeight w:val="240"/>
        </w:trPr>
        <w:tc>
          <w:tcPr>
            <w:tcW w:w="2356" w:type="pct"/>
          </w:tcPr>
          <w:p w14:paraId="27A36064" w14:textId="77777777" w:rsidR="006D7571" w:rsidRPr="000557CC" w:rsidRDefault="006D7571" w:rsidP="001E6F2C">
            <w:pPr>
              <w:pStyle w:val="ARTabletext"/>
              <w:rPr>
                <w:rFonts w:eastAsia="Calibri"/>
                <w:lang w:eastAsia="en-AU"/>
              </w:rPr>
            </w:pPr>
            <w:r w:rsidRPr="000557CC">
              <w:rPr>
                <w:lang w:eastAsia="en-AU"/>
              </w:rPr>
              <w:t>State government vehicle pool</w:t>
            </w:r>
          </w:p>
        </w:tc>
        <w:tc>
          <w:tcPr>
            <w:cnfStyle w:val="000001000000" w:firstRow="0" w:lastRow="0" w:firstColumn="0" w:lastColumn="0" w:oddVBand="0" w:evenVBand="1" w:oddHBand="0" w:evenHBand="0" w:firstRowFirstColumn="0" w:firstRowLastColumn="0" w:lastRowFirstColumn="0" w:lastRowLastColumn="0"/>
            <w:tcW w:w="882" w:type="pct"/>
          </w:tcPr>
          <w:p w14:paraId="41B5A469" w14:textId="77777777" w:rsidR="006D7571" w:rsidRPr="000557CC" w:rsidRDefault="006D7571" w:rsidP="001E6F2C">
            <w:pPr>
              <w:pStyle w:val="ARtabletextright"/>
              <w:rPr>
                <w:lang w:eastAsia="en-AU"/>
              </w:rPr>
            </w:pPr>
            <w:r w:rsidRPr="000557CC">
              <w:rPr>
                <w:lang w:eastAsia="en-AU"/>
              </w:rPr>
              <w:t>50</w:t>
            </w:r>
          </w:p>
        </w:tc>
        <w:tc>
          <w:tcPr>
            <w:tcW w:w="882" w:type="pct"/>
          </w:tcPr>
          <w:p w14:paraId="70711FF1"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49</w:t>
            </w:r>
          </w:p>
        </w:tc>
        <w:tc>
          <w:tcPr>
            <w:cnfStyle w:val="000001000000" w:firstRow="0" w:lastRow="0" w:firstColumn="0" w:lastColumn="0" w:oddVBand="0" w:evenVBand="1" w:oddHBand="0" w:evenHBand="0" w:firstRowFirstColumn="0" w:firstRowLastColumn="0" w:lastRowFirstColumn="0" w:lastRowLastColumn="0"/>
            <w:tcW w:w="880" w:type="pct"/>
          </w:tcPr>
          <w:p w14:paraId="3EE34B8C" w14:textId="77777777" w:rsidR="006D7571" w:rsidRPr="000557CC" w:rsidRDefault="006D7571" w:rsidP="001E6F2C">
            <w:pPr>
              <w:pStyle w:val="ARtabletextright"/>
              <w:rPr>
                <w:lang w:eastAsia="en-AU"/>
              </w:rPr>
            </w:pPr>
            <w:r w:rsidRPr="000557CC">
              <w:rPr>
                <w:lang w:eastAsia="en-AU"/>
              </w:rPr>
              <w:t>37</w:t>
            </w:r>
          </w:p>
        </w:tc>
      </w:tr>
      <w:tr w:rsidR="006D7571" w:rsidRPr="000557CC" w14:paraId="0EF8DF63" w14:textId="77777777" w:rsidTr="004535D4">
        <w:trPr>
          <w:cnfStyle w:val="010000000000" w:firstRow="0" w:lastRow="1" w:firstColumn="0" w:lastColumn="0" w:oddVBand="0" w:evenVBand="0" w:oddHBand="0" w:evenHBand="0" w:firstRowFirstColumn="0" w:firstRowLastColumn="0" w:lastRowFirstColumn="0" w:lastRowLastColumn="0"/>
          <w:trHeight w:val="240"/>
        </w:trPr>
        <w:tc>
          <w:tcPr>
            <w:tcW w:w="2356" w:type="pct"/>
          </w:tcPr>
          <w:p w14:paraId="21F1F25A" w14:textId="77777777" w:rsidR="006D7571" w:rsidRPr="000557CC" w:rsidRDefault="006D7571" w:rsidP="001E6F2C">
            <w:pPr>
              <w:pStyle w:val="ARtabletextbold"/>
              <w:rPr>
                <w:lang w:eastAsia="en-AU"/>
              </w:rPr>
            </w:pPr>
            <w:r w:rsidRPr="000557CC">
              <w:rPr>
                <w:lang w:eastAsia="en-AU"/>
              </w:rPr>
              <w:t>T3 Greenhouse gas emissions from vehicle fleet</w:t>
            </w:r>
          </w:p>
        </w:tc>
        <w:tc>
          <w:tcPr>
            <w:cnfStyle w:val="000001000000" w:firstRow="0" w:lastRow="0" w:firstColumn="0" w:lastColumn="0" w:oddVBand="0" w:evenVBand="1" w:oddHBand="0" w:evenHBand="0" w:firstRowFirstColumn="0" w:firstRowLastColumn="0" w:lastRowFirstColumn="0" w:lastRowLastColumn="0"/>
            <w:tcW w:w="882" w:type="pct"/>
          </w:tcPr>
          <w:p w14:paraId="59EB3DFC" w14:textId="77777777" w:rsidR="006D7571" w:rsidRPr="000557CC" w:rsidRDefault="006D7571" w:rsidP="001E6F2C">
            <w:pPr>
              <w:pStyle w:val="ARtabletextrightbold"/>
              <w:rPr>
                <w:lang w:eastAsia="en-AU"/>
              </w:rPr>
            </w:pPr>
            <w:r w:rsidRPr="000557CC">
              <w:rPr>
                <w:lang w:eastAsia="en-AU"/>
              </w:rPr>
              <w:t>3,466</w:t>
            </w:r>
          </w:p>
        </w:tc>
        <w:tc>
          <w:tcPr>
            <w:tcW w:w="882" w:type="pct"/>
          </w:tcPr>
          <w:p w14:paraId="30B5DDD7" w14:textId="77777777" w:rsidR="006D7571" w:rsidRPr="000557CC" w:rsidRDefault="006D7571" w:rsidP="001E6F2C">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3,763</w:t>
            </w:r>
          </w:p>
        </w:tc>
        <w:tc>
          <w:tcPr>
            <w:cnfStyle w:val="000001000000" w:firstRow="0" w:lastRow="0" w:firstColumn="0" w:lastColumn="0" w:oddVBand="0" w:evenVBand="1" w:oddHBand="0" w:evenHBand="0" w:firstRowFirstColumn="0" w:firstRowLastColumn="0" w:lastRowFirstColumn="0" w:lastRowLastColumn="0"/>
            <w:tcW w:w="880" w:type="pct"/>
          </w:tcPr>
          <w:p w14:paraId="4C0C4D28" w14:textId="77777777" w:rsidR="006D7571" w:rsidRPr="000557CC" w:rsidRDefault="006D7571" w:rsidP="001E6F2C">
            <w:pPr>
              <w:pStyle w:val="ARtabletextrightbold"/>
              <w:rPr>
                <w:lang w:eastAsia="en-AU"/>
              </w:rPr>
            </w:pPr>
            <w:r w:rsidRPr="000557CC">
              <w:rPr>
                <w:lang w:eastAsia="en-AU"/>
              </w:rPr>
              <w:t>3,520</w:t>
            </w:r>
          </w:p>
        </w:tc>
      </w:tr>
    </w:tbl>
    <w:p w14:paraId="7C9E82FF" w14:textId="77777777" w:rsidR="006D7571" w:rsidRPr="000557CC" w:rsidRDefault="006D7571" w:rsidP="001E6F2C">
      <w:pPr>
        <w:pStyle w:val="ARTablecaption"/>
        <w:rPr>
          <w:rFonts w:eastAsia="MS PGothic"/>
        </w:rPr>
      </w:pPr>
      <w:r w:rsidRPr="000557CC">
        <w:rPr>
          <w:rFonts w:eastAsia="MS PGothic"/>
        </w:rPr>
        <w:t>Total distance travelled commercial air travel</w:t>
      </w:r>
    </w:p>
    <w:tbl>
      <w:tblPr>
        <w:tblStyle w:val="ARtable1"/>
        <w:tblW w:w="9639" w:type="dxa"/>
        <w:tblLayout w:type="fixed"/>
        <w:tblLook w:val="02E0" w:firstRow="1" w:lastRow="1" w:firstColumn="1" w:lastColumn="0" w:noHBand="1" w:noVBand="0"/>
      </w:tblPr>
      <w:tblGrid>
        <w:gridCol w:w="4536"/>
        <w:gridCol w:w="1701"/>
        <w:gridCol w:w="1701"/>
        <w:gridCol w:w="1701"/>
      </w:tblGrid>
      <w:tr w:rsidR="006D7571" w:rsidRPr="000557CC" w14:paraId="261203B4" w14:textId="77777777" w:rsidTr="009F3BE7">
        <w:trPr>
          <w:cnfStyle w:val="100000000000" w:firstRow="1" w:lastRow="0" w:firstColumn="0" w:lastColumn="0" w:oddVBand="0" w:evenVBand="0" w:oddHBand="0" w:evenHBand="0" w:firstRowFirstColumn="0" w:firstRowLastColumn="0" w:lastRowFirstColumn="0" w:lastRowLastColumn="0"/>
          <w:trHeight w:val="225"/>
          <w:tblHeader/>
        </w:trPr>
        <w:tc>
          <w:tcPr>
            <w:tcW w:w="4536" w:type="dxa"/>
          </w:tcPr>
          <w:p w14:paraId="68146D04" w14:textId="77777777" w:rsidR="006D7571" w:rsidRPr="000557CC" w:rsidRDefault="006D7571" w:rsidP="001E6F2C">
            <w:pPr>
              <w:pStyle w:val="ARtablecolhead"/>
              <w:rPr>
                <w:lang w:eastAsia="en-AU"/>
              </w:rPr>
            </w:pPr>
          </w:p>
        </w:tc>
        <w:tc>
          <w:tcPr>
            <w:cnfStyle w:val="000001000000" w:firstRow="0" w:lastRow="0" w:firstColumn="0" w:lastColumn="0" w:oddVBand="0" w:evenVBand="1" w:oddHBand="0" w:evenHBand="0" w:firstRowFirstColumn="0" w:firstRowLastColumn="0" w:lastRowFirstColumn="0" w:lastRowLastColumn="0"/>
            <w:tcW w:w="1701" w:type="dxa"/>
          </w:tcPr>
          <w:p w14:paraId="72A7205F" w14:textId="77777777" w:rsidR="006D7571" w:rsidRPr="000557CC" w:rsidRDefault="006D7571" w:rsidP="001E6F2C">
            <w:pPr>
              <w:pStyle w:val="ARtablecolheadright"/>
              <w:rPr>
                <w:lang w:eastAsia="en-AU"/>
              </w:rPr>
            </w:pPr>
            <w:r w:rsidRPr="000557CC">
              <w:rPr>
                <w:lang w:eastAsia="en-AU"/>
              </w:rPr>
              <w:t>2025–26</w:t>
            </w:r>
          </w:p>
          <w:p w14:paraId="1091C843" w14:textId="77777777" w:rsidR="006D7571" w:rsidRPr="000557CC" w:rsidRDefault="006D7571" w:rsidP="001E6F2C">
            <w:pPr>
              <w:pStyle w:val="ARtablecolheadright"/>
              <w:rPr>
                <w:i/>
                <w:lang w:eastAsia="en-AU"/>
              </w:rPr>
            </w:pPr>
            <w:r w:rsidRPr="000557CC">
              <w:rPr>
                <w:lang w:eastAsia="en-AU"/>
              </w:rPr>
              <w:t>Passenger km</w:t>
            </w:r>
          </w:p>
        </w:tc>
        <w:tc>
          <w:tcPr>
            <w:tcW w:w="1701" w:type="dxa"/>
          </w:tcPr>
          <w:p w14:paraId="43BC6D9C" w14:textId="77777777" w:rsidR="006D7571" w:rsidRPr="000557CC" w:rsidRDefault="006D7571" w:rsidP="001E6F2C">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2EC5C726" w14:textId="77777777" w:rsidR="006D7571" w:rsidRPr="000557CC" w:rsidRDefault="006D7571" w:rsidP="001E6F2C">
            <w:pPr>
              <w:pStyle w:val="ARtablecolheadright"/>
              <w:cnfStyle w:val="100000000000" w:firstRow="1" w:lastRow="0" w:firstColumn="0" w:lastColumn="0" w:oddVBand="0" w:evenVBand="0" w:oddHBand="0" w:evenHBand="0" w:firstRowFirstColumn="0" w:firstRowLastColumn="0" w:lastRowFirstColumn="0" w:lastRowLastColumn="0"/>
              <w:rPr>
                <w:i/>
                <w:lang w:eastAsia="en-AU"/>
              </w:rPr>
            </w:pPr>
            <w:r w:rsidRPr="000557CC">
              <w:rPr>
                <w:lang w:eastAsia="en-AU"/>
              </w:rPr>
              <w:t>Passenger km</w:t>
            </w:r>
          </w:p>
        </w:tc>
        <w:tc>
          <w:tcPr>
            <w:cnfStyle w:val="000001000000" w:firstRow="0" w:lastRow="0" w:firstColumn="0" w:lastColumn="0" w:oddVBand="0" w:evenVBand="1" w:oddHBand="0" w:evenHBand="0" w:firstRowFirstColumn="0" w:firstRowLastColumn="0" w:lastRowFirstColumn="0" w:lastRowLastColumn="0"/>
            <w:tcW w:w="1701" w:type="dxa"/>
          </w:tcPr>
          <w:p w14:paraId="7475CF99" w14:textId="77777777" w:rsidR="006D7571" w:rsidRPr="000557CC" w:rsidRDefault="006D7571" w:rsidP="001E6F2C">
            <w:pPr>
              <w:pStyle w:val="ARtablecolheadright"/>
              <w:rPr>
                <w:lang w:eastAsia="en-AU"/>
              </w:rPr>
            </w:pPr>
            <w:r w:rsidRPr="000557CC">
              <w:rPr>
                <w:lang w:eastAsia="en-AU"/>
              </w:rPr>
              <w:t>2023–24</w:t>
            </w:r>
          </w:p>
          <w:p w14:paraId="66AA15C5" w14:textId="77777777" w:rsidR="006D7571" w:rsidRPr="000557CC" w:rsidRDefault="006D7571" w:rsidP="001E6F2C">
            <w:pPr>
              <w:pStyle w:val="ARtablecolheadright"/>
              <w:rPr>
                <w:i/>
                <w:lang w:eastAsia="en-AU"/>
              </w:rPr>
            </w:pPr>
            <w:r w:rsidRPr="000557CC">
              <w:rPr>
                <w:lang w:eastAsia="en-AU"/>
              </w:rPr>
              <w:t>Passenger km</w:t>
            </w:r>
          </w:p>
        </w:tc>
      </w:tr>
      <w:tr w:rsidR="006D7571" w:rsidRPr="000557CC" w14:paraId="7496353E" w14:textId="77777777" w:rsidTr="009F3BE7">
        <w:trPr>
          <w:cnfStyle w:val="010000000000" w:firstRow="0" w:lastRow="1" w:firstColumn="0" w:lastColumn="0" w:oddVBand="0" w:evenVBand="0" w:oddHBand="0" w:evenHBand="0" w:firstRowFirstColumn="0" w:firstRowLastColumn="0" w:lastRowFirstColumn="0" w:lastRowLastColumn="0"/>
          <w:trHeight w:val="300"/>
        </w:trPr>
        <w:tc>
          <w:tcPr>
            <w:tcW w:w="4536" w:type="dxa"/>
          </w:tcPr>
          <w:p w14:paraId="1C24E1C4" w14:textId="77777777" w:rsidR="006D7571" w:rsidRPr="007B370C" w:rsidRDefault="006D7571" w:rsidP="001E6F2C">
            <w:pPr>
              <w:pStyle w:val="ARtabletextbold"/>
              <w:rPr>
                <w:lang w:val="fr-FR" w:eastAsia="en-AU"/>
              </w:rPr>
            </w:pPr>
            <w:r w:rsidRPr="007B370C">
              <w:rPr>
                <w:lang w:val="fr-FR" w:eastAsia="en-AU"/>
              </w:rPr>
              <w:t xml:space="preserve">T4 Total distance </w:t>
            </w:r>
            <w:proofErr w:type="spellStart"/>
            <w:r w:rsidRPr="007B370C">
              <w:rPr>
                <w:lang w:val="fr-FR" w:eastAsia="en-AU"/>
              </w:rPr>
              <w:t>travelled</w:t>
            </w:r>
            <w:proofErr w:type="spellEnd"/>
            <w:r w:rsidRPr="007B370C">
              <w:rPr>
                <w:lang w:val="fr-FR" w:eastAsia="en-AU"/>
              </w:rPr>
              <w:t xml:space="preserve"> commercial air </w:t>
            </w:r>
            <w:proofErr w:type="spellStart"/>
            <w:r w:rsidRPr="007B370C">
              <w:rPr>
                <w:lang w:val="fr-FR" w:eastAsia="en-AU"/>
              </w:rPr>
              <w:t>travel</w:t>
            </w:r>
            <w:proofErr w:type="spellEnd"/>
          </w:p>
        </w:tc>
        <w:tc>
          <w:tcPr>
            <w:cnfStyle w:val="000001000000" w:firstRow="0" w:lastRow="0" w:firstColumn="0" w:lastColumn="0" w:oddVBand="0" w:evenVBand="1" w:oddHBand="0" w:evenHBand="0" w:firstRowFirstColumn="0" w:firstRowLastColumn="0" w:lastRowFirstColumn="0" w:lastRowLastColumn="0"/>
            <w:tcW w:w="1701" w:type="dxa"/>
          </w:tcPr>
          <w:p w14:paraId="4DF5D9B8" w14:textId="77777777" w:rsidR="006D7571" w:rsidRPr="000557CC" w:rsidRDefault="006D7571" w:rsidP="001E6F2C">
            <w:pPr>
              <w:pStyle w:val="ARtabletextrightbold"/>
              <w:rPr>
                <w:lang w:eastAsia="en-AU"/>
              </w:rPr>
            </w:pPr>
            <w:r w:rsidRPr="000557CC">
              <w:rPr>
                <w:lang w:eastAsia="en-AU"/>
              </w:rPr>
              <w:t>2,986,316</w:t>
            </w:r>
          </w:p>
        </w:tc>
        <w:tc>
          <w:tcPr>
            <w:tcW w:w="1701" w:type="dxa"/>
          </w:tcPr>
          <w:p w14:paraId="6BAE468D" w14:textId="77777777" w:rsidR="006D7571" w:rsidRPr="000557CC" w:rsidRDefault="006D7571" w:rsidP="001E6F2C">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2,479,894</w:t>
            </w:r>
          </w:p>
        </w:tc>
        <w:tc>
          <w:tcPr>
            <w:cnfStyle w:val="000001000000" w:firstRow="0" w:lastRow="0" w:firstColumn="0" w:lastColumn="0" w:oddVBand="0" w:evenVBand="1" w:oddHBand="0" w:evenHBand="0" w:firstRowFirstColumn="0" w:firstRowLastColumn="0" w:lastRowFirstColumn="0" w:lastRowLastColumn="0"/>
            <w:tcW w:w="1701" w:type="dxa"/>
          </w:tcPr>
          <w:p w14:paraId="17D57FD8" w14:textId="77777777" w:rsidR="006D7571" w:rsidRPr="000557CC" w:rsidRDefault="006D7571" w:rsidP="001E6F2C">
            <w:pPr>
              <w:pStyle w:val="ARtabletextrightbold"/>
              <w:rPr>
                <w:lang w:eastAsia="en-AU"/>
              </w:rPr>
            </w:pPr>
            <w:r w:rsidRPr="000557CC">
              <w:rPr>
                <w:lang w:eastAsia="en-AU"/>
              </w:rPr>
              <w:t>3,780,623</w:t>
            </w:r>
          </w:p>
        </w:tc>
      </w:tr>
    </w:tbl>
    <w:p w14:paraId="41857912" w14:textId="77777777" w:rsidR="006D7571" w:rsidRPr="000557CC" w:rsidRDefault="006D7571" w:rsidP="001E6F2C">
      <w:pPr>
        <w:pStyle w:val="ARBody"/>
        <w:rPr>
          <w:highlight w:val="cyan"/>
        </w:rPr>
      </w:pPr>
    </w:p>
    <w:p w14:paraId="38827098" w14:textId="77777777" w:rsidR="006D7571" w:rsidRPr="000557CC" w:rsidRDefault="006D7571" w:rsidP="00DC2218">
      <w:pPr>
        <w:pStyle w:val="Heading3"/>
        <w:spacing w:before="0"/>
        <w:rPr>
          <w:lang w:eastAsia="en-AU"/>
        </w:rPr>
      </w:pPr>
      <w:r w:rsidRPr="000557CC">
        <w:rPr>
          <w:lang w:eastAsia="en-AU"/>
        </w:rPr>
        <w:t>Total energy use</w:t>
      </w:r>
    </w:p>
    <w:p w14:paraId="7F2654E0" w14:textId="77777777" w:rsidR="006D7571" w:rsidRPr="000557CC" w:rsidRDefault="006D7571" w:rsidP="001E6F2C">
      <w:pPr>
        <w:pStyle w:val="Heading5"/>
        <w:rPr>
          <w:lang w:eastAsia="ja-JP"/>
        </w:rPr>
      </w:pPr>
      <w:r w:rsidRPr="000557CC">
        <w:rPr>
          <w:lang w:eastAsia="ja-JP"/>
        </w:rPr>
        <w:t>Department offices</w:t>
      </w:r>
    </w:p>
    <w:p w14:paraId="7C931786" w14:textId="77777777" w:rsidR="006D7571" w:rsidRPr="000557CC" w:rsidRDefault="006D7571" w:rsidP="00965115">
      <w:pPr>
        <w:pStyle w:val="ARTablecaption"/>
        <w:spacing w:before="0"/>
        <w:rPr>
          <w:rFonts w:eastAsia="MS PGothic"/>
        </w:rPr>
      </w:pPr>
      <w:r w:rsidRPr="000557CC">
        <w:rPr>
          <w:rFonts w:eastAsia="MS PGothic"/>
        </w:rPr>
        <w:t>Total energy use</w:t>
      </w:r>
    </w:p>
    <w:tbl>
      <w:tblPr>
        <w:tblStyle w:val="ARtable1"/>
        <w:tblW w:w="0" w:type="auto"/>
        <w:tblLayout w:type="fixed"/>
        <w:tblLook w:val="02E0" w:firstRow="1" w:lastRow="1" w:firstColumn="1" w:lastColumn="0" w:noHBand="1" w:noVBand="0"/>
      </w:tblPr>
      <w:tblGrid>
        <w:gridCol w:w="4496"/>
        <w:gridCol w:w="1710"/>
        <w:gridCol w:w="1710"/>
        <w:gridCol w:w="1712"/>
      </w:tblGrid>
      <w:tr w:rsidR="006D7571" w:rsidRPr="000557CC" w14:paraId="6954CE1A" w14:textId="77777777" w:rsidTr="002F1C0B">
        <w:trPr>
          <w:cnfStyle w:val="100000000000" w:firstRow="1" w:lastRow="0" w:firstColumn="0" w:lastColumn="0" w:oddVBand="0" w:evenVBand="0" w:oddHBand="0" w:evenHBand="0" w:firstRowFirstColumn="0" w:firstRowLastColumn="0" w:lastRowFirstColumn="0" w:lastRowLastColumn="0"/>
          <w:trHeight w:val="288"/>
          <w:tblHeader/>
        </w:trPr>
        <w:tc>
          <w:tcPr>
            <w:tcW w:w="4496" w:type="dxa"/>
            <w:noWrap/>
          </w:tcPr>
          <w:p w14:paraId="31FA5D27" w14:textId="77777777" w:rsidR="006D7571" w:rsidRPr="000557CC" w:rsidRDefault="006D7571" w:rsidP="001E6F2C">
            <w:pPr>
              <w:pStyle w:val="ARtablecolhead"/>
              <w:rPr>
                <w:color w:val="000000"/>
                <w:lang w:eastAsia="en-AU"/>
              </w:rPr>
            </w:pPr>
            <w:r w:rsidRPr="000557CC">
              <w:rPr>
                <w:lang w:eastAsia="en-AU"/>
              </w:rPr>
              <w:t>Indicator</w:t>
            </w:r>
          </w:p>
        </w:tc>
        <w:tc>
          <w:tcPr>
            <w:cnfStyle w:val="000001000000" w:firstRow="0" w:lastRow="0" w:firstColumn="0" w:lastColumn="0" w:oddVBand="0" w:evenVBand="1" w:oddHBand="0" w:evenHBand="0" w:firstRowFirstColumn="0" w:firstRowLastColumn="0" w:lastRowFirstColumn="0" w:lastRowLastColumn="0"/>
            <w:tcW w:w="1710" w:type="dxa"/>
            <w:noWrap/>
          </w:tcPr>
          <w:p w14:paraId="6CD4632D" w14:textId="77777777" w:rsidR="006D7571" w:rsidRPr="000557CC" w:rsidRDefault="006D7571" w:rsidP="001E6F2C">
            <w:pPr>
              <w:pStyle w:val="ARtablecolheadright"/>
              <w:rPr>
                <w:lang w:eastAsia="en-AU"/>
              </w:rPr>
            </w:pPr>
            <w:r w:rsidRPr="000557CC">
              <w:rPr>
                <w:lang w:eastAsia="en-AU"/>
              </w:rPr>
              <w:t>2025–26</w:t>
            </w:r>
          </w:p>
          <w:p w14:paraId="2AEDB687" w14:textId="77777777" w:rsidR="006D7571" w:rsidRPr="000557CC" w:rsidRDefault="006D7571" w:rsidP="001E6F2C">
            <w:pPr>
              <w:pStyle w:val="ARtablecolheadright"/>
              <w:rPr>
                <w:lang w:eastAsia="en-AU"/>
              </w:rPr>
            </w:pPr>
            <w:r w:rsidRPr="000557CC">
              <w:rPr>
                <w:lang w:eastAsia="en-AU"/>
              </w:rPr>
              <w:t>MJ</w:t>
            </w:r>
          </w:p>
        </w:tc>
        <w:tc>
          <w:tcPr>
            <w:tcW w:w="1710" w:type="dxa"/>
            <w:noWrap/>
          </w:tcPr>
          <w:p w14:paraId="7C801236" w14:textId="77777777" w:rsidR="006D7571" w:rsidRPr="000557CC" w:rsidRDefault="006D7571" w:rsidP="001E6F2C">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2023–24</w:t>
            </w:r>
          </w:p>
          <w:p w14:paraId="58479229" w14:textId="77777777" w:rsidR="006D7571" w:rsidRPr="000557CC" w:rsidRDefault="006D7571" w:rsidP="001E6F2C">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MJ</w:t>
            </w:r>
          </w:p>
        </w:tc>
        <w:tc>
          <w:tcPr>
            <w:cnfStyle w:val="000001000000" w:firstRow="0" w:lastRow="0" w:firstColumn="0" w:lastColumn="0" w:oddVBand="0" w:evenVBand="1" w:oddHBand="0" w:evenHBand="0" w:firstRowFirstColumn="0" w:firstRowLastColumn="0" w:lastRowFirstColumn="0" w:lastRowLastColumn="0"/>
            <w:tcW w:w="1712" w:type="dxa"/>
            <w:noWrap/>
          </w:tcPr>
          <w:p w14:paraId="4CBF0224" w14:textId="77777777" w:rsidR="006D7571" w:rsidRPr="000557CC" w:rsidRDefault="006D7571" w:rsidP="001E6F2C">
            <w:pPr>
              <w:pStyle w:val="ARtablecolheadright"/>
              <w:rPr>
                <w:lang w:eastAsia="en-AU"/>
              </w:rPr>
            </w:pPr>
            <w:r w:rsidRPr="000557CC">
              <w:rPr>
                <w:lang w:eastAsia="en-AU"/>
              </w:rPr>
              <w:t>2022–23</w:t>
            </w:r>
          </w:p>
          <w:p w14:paraId="56C1F159" w14:textId="77777777" w:rsidR="006D7571" w:rsidRPr="000557CC" w:rsidRDefault="006D7571" w:rsidP="001E6F2C">
            <w:pPr>
              <w:pStyle w:val="ARtablecolheadright"/>
              <w:rPr>
                <w:lang w:eastAsia="en-AU"/>
              </w:rPr>
            </w:pPr>
            <w:r w:rsidRPr="000557CC">
              <w:rPr>
                <w:lang w:eastAsia="en-AU"/>
              </w:rPr>
              <w:t>MJ</w:t>
            </w:r>
          </w:p>
        </w:tc>
      </w:tr>
      <w:tr w:rsidR="006D7571" w:rsidRPr="000557CC" w14:paraId="40907E7D" w14:textId="77777777" w:rsidTr="002F1C0B">
        <w:trPr>
          <w:trHeight w:val="288"/>
        </w:trPr>
        <w:tc>
          <w:tcPr>
            <w:tcW w:w="4496" w:type="dxa"/>
            <w:noWrap/>
            <w:hideMark/>
          </w:tcPr>
          <w:p w14:paraId="7573B56D" w14:textId="77777777" w:rsidR="006D7571" w:rsidRPr="000557CC" w:rsidRDefault="006D7571" w:rsidP="001E6F2C">
            <w:pPr>
              <w:pStyle w:val="ARtabletextbold"/>
              <w:rPr>
                <w:lang w:eastAsia="en-AU"/>
              </w:rPr>
            </w:pPr>
            <w:r w:rsidRPr="000557CC">
              <w:rPr>
                <w:lang w:eastAsia="en-AU"/>
              </w:rPr>
              <w:t xml:space="preserve">E1 Total energy usage from fuels </w:t>
            </w:r>
            <w:r w:rsidRPr="000557CC">
              <w:rPr>
                <w:lang w:eastAsia="en-AU"/>
              </w:rPr>
              <w:br/>
              <w:t>(</w:t>
            </w:r>
            <w:proofErr w:type="gramStart"/>
            <w:r w:rsidRPr="000557CC">
              <w:rPr>
                <w:lang w:eastAsia="en-AU"/>
              </w:rPr>
              <w:t>stationary</w:t>
            </w:r>
            <w:proofErr w:type="gramEnd"/>
            <w:r w:rsidRPr="000557CC">
              <w:rPr>
                <w:lang w:eastAsia="en-AU"/>
              </w:rPr>
              <w:t xml:space="preserve"> and transportation)</w:t>
            </w:r>
          </w:p>
        </w:tc>
        <w:tc>
          <w:tcPr>
            <w:cnfStyle w:val="000001000000" w:firstRow="0" w:lastRow="0" w:firstColumn="0" w:lastColumn="0" w:oddVBand="0" w:evenVBand="1" w:oddHBand="0" w:evenHBand="0" w:firstRowFirstColumn="0" w:firstRowLastColumn="0" w:lastRowFirstColumn="0" w:lastRowLastColumn="0"/>
            <w:tcW w:w="1710" w:type="dxa"/>
            <w:noWrap/>
          </w:tcPr>
          <w:p w14:paraId="73040BB5" w14:textId="77777777" w:rsidR="006D7571" w:rsidRPr="000557CC" w:rsidRDefault="006D7571" w:rsidP="001E6F2C">
            <w:pPr>
              <w:pStyle w:val="ARtabletextright"/>
              <w:rPr>
                <w:lang w:eastAsia="en-AU"/>
              </w:rPr>
            </w:pPr>
            <w:r w:rsidRPr="000557CC">
              <w:rPr>
                <w:lang w:eastAsia="en-AU"/>
              </w:rPr>
              <w:t>61,748,478</w:t>
            </w:r>
          </w:p>
        </w:tc>
        <w:tc>
          <w:tcPr>
            <w:tcW w:w="1710" w:type="dxa"/>
            <w:noWrap/>
            <w:hideMark/>
          </w:tcPr>
          <w:p w14:paraId="7D421B5B"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66,530,129</w:t>
            </w:r>
          </w:p>
          <w:p w14:paraId="6C2074F5"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1712" w:type="dxa"/>
            <w:noWrap/>
            <w:hideMark/>
          </w:tcPr>
          <w:p w14:paraId="3433C16F" w14:textId="77777777" w:rsidR="006D7571" w:rsidRPr="000557CC" w:rsidRDefault="006D7571" w:rsidP="001E6F2C">
            <w:pPr>
              <w:pStyle w:val="ARtabletextright"/>
              <w:rPr>
                <w:lang w:eastAsia="en-AU"/>
              </w:rPr>
            </w:pPr>
            <w:r w:rsidRPr="000557CC">
              <w:rPr>
                <w:lang w:eastAsia="en-AU"/>
              </w:rPr>
              <w:t>74,402,573</w:t>
            </w:r>
          </w:p>
        </w:tc>
      </w:tr>
      <w:tr w:rsidR="006D7571" w:rsidRPr="000557CC" w14:paraId="6D7DAA84" w14:textId="77777777" w:rsidTr="002F1C0B">
        <w:trPr>
          <w:trHeight w:val="288"/>
        </w:trPr>
        <w:tc>
          <w:tcPr>
            <w:tcW w:w="4496" w:type="dxa"/>
            <w:noWrap/>
          </w:tcPr>
          <w:p w14:paraId="02515FF9" w14:textId="77777777" w:rsidR="006D7571" w:rsidRPr="000557CC" w:rsidRDefault="006D7571" w:rsidP="00153C5C">
            <w:pPr>
              <w:pStyle w:val="ARtabletextbold"/>
              <w:rPr>
                <w:lang w:eastAsia="en-AU"/>
              </w:rPr>
            </w:pPr>
            <w:r w:rsidRPr="000557CC">
              <w:rPr>
                <w:lang w:eastAsia="en-AU"/>
              </w:rPr>
              <w:t>E2 Total energy used from electricity</w:t>
            </w:r>
          </w:p>
        </w:tc>
        <w:tc>
          <w:tcPr>
            <w:cnfStyle w:val="000001000000" w:firstRow="0" w:lastRow="0" w:firstColumn="0" w:lastColumn="0" w:oddVBand="0" w:evenVBand="1" w:oddHBand="0" w:evenHBand="0" w:firstRowFirstColumn="0" w:firstRowLastColumn="0" w:lastRowFirstColumn="0" w:lastRowLastColumn="0"/>
            <w:tcW w:w="1710" w:type="dxa"/>
            <w:noWrap/>
          </w:tcPr>
          <w:p w14:paraId="06DB8FC7" w14:textId="77777777" w:rsidR="006D7571" w:rsidRPr="000557CC" w:rsidRDefault="006D7571" w:rsidP="001E6F2C">
            <w:pPr>
              <w:pStyle w:val="ARtabletextright"/>
              <w:rPr>
                <w:lang w:eastAsia="en-AU"/>
              </w:rPr>
            </w:pPr>
            <w:r w:rsidRPr="000557CC">
              <w:rPr>
                <w:lang w:eastAsia="en-AU"/>
              </w:rPr>
              <w:t>34,315,560</w:t>
            </w:r>
          </w:p>
        </w:tc>
        <w:tc>
          <w:tcPr>
            <w:tcW w:w="1710" w:type="dxa"/>
            <w:noWrap/>
          </w:tcPr>
          <w:p w14:paraId="3027813D"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41,096,520</w:t>
            </w:r>
          </w:p>
        </w:tc>
        <w:tc>
          <w:tcPr>
            <w:cnfStyle w:val="000001000000" w:firstRow="0" w:lastRow="0" w:firstColumn="0" w:lastColumn="0" w:oddVBand="0" w:evenVBand="1" w:oddHBand="0" w:evenHBand="0" w:firstRowFirstColumn="0" w:firstRowLastColumn="0" w:lastRowFirstColumn="0" w:lastRowLastColumn="0"/>
            <w:tcW w:w="1712" w:type="dxa"/>
            <w:noWrap/>
          </w:tcPr>
          <w:p w14:paraId="7695D79D" w14:textId="77777777" w:rsidR="006D7571" w:rsidRPr="000557CC" w:rsidRDefault="006D7571" w:rsidP="001E6F2C">
            <w:pPr>
              <w:pStyle w:val="ARtabletextright"/>
              <w:rPr>
                <w:lang w:eastAsia="en-AU"/>
              </w:rPr>
            </w:pPr>
            <w:r w:rsidRPr="000557CC">
              <w:rPr>
                <w:lang w:eastAsia="en-AU"/>
              </w:rPr>
              <w:t>42,749,568</w:t>
            </w:r>
          </w:p>
        </w:tc>
      </w:tr>
      <w:tr w:rsidR="002F1C0B" w:rsidRPr="000557CC" w14:paraId="20BBFD11" w14:textId="77777777" w:rsidTr="002F1C0B">
        <w:trPr>
          <w:trHeight w:val="288"/>
        </w:trPr>
        <w:tc>
          <w:tcPr>
            <w:tcW w:w="4496" w:type="dxa"/>
            <w:noWrap/>
          </w:tcPr>
          <w:p w14:paraId="30F392AC" w14:textId="12247AEE" w:rsidR="002F1C0B" w:rsidRPr="000557CC" w:rsidRDefault="002F1C0B" w:rsidP="002F1C0B">
            <w:pPr>
              <w:pStyle w:val="ARTabletextboldcoloured"/>
              <w:rPr>
                <w:lang w:eastAsia="ja-JP"/>
              </w:rPr>
            </w:pPr>
            <w:r w:rsidRPr="000557CC">
              <w:rPr>
                <w:lang w:eastAsia="en-AU"/>
              </w:rPr>
              <w:t>E3 Total energy used segmented into renewable and non-renewable sources</w:t>
            </w:r>
          </w:p>
        </w:tc>
        <w:tc>
          <w:tcPr>
            <w:cnfStyle w:val="000001000000" w:firstRow="0" w:lastRow="0" w:firstColumn="0" w:lastColumn="0" w:oddVBand="0" w:evenVBand="1" w:oddHBand="0" w:evenHBand="0" w:firstRowFirstColumn="0" w:firstRowLastColumn="0" w:lastRowFirstColumn="0" w:lastRowLastColumn="0"/>
            <w:tcW w:w="1710" w:type="dxa"/>
            <w:shd w:val="clear" w:color="auto" w:fill="auto"/>
            <w:noWrap/>
          </w:tcPr>
          <w:p w14:paraId="0B4EA0A9" w14:textId="77777777" w:rsidR="002F1C0B" w:rsidRPr="000557CC" w:rsidRDefault="002F1C0B" w:rsidP="001E6F2C">
            <w:pPr>
              <w:pStyle w:val="ARtabletextright"/>
              <w:rPr>
                <w:lang w:eastAsia="ja-JP"/>
              </w:rPr>
            </w:pPr>
          </w:p>
        </w:tc>
        <w:tc>
          <w:tcPr>
            <w:tcW w:w="1710" w:type="dxa"/>
            <w:noWrap/>
          </w:tcPr>
          <w:p w14:paraId="62763481" w14:textId="77777777" w:rsidR="002F1C0B" w:rsidRPr="000557CC" w:rsidRDefault="002F1C0B" w:rsidP="001E6F2C">
            <w:pPr>
              <w:pStyle w:val="ARtabletextright"/>
              <w:cnfStyle w:val="000000000000" w:firstRow="0" w:lastRow="0" w:firstColumn="0" w:lastColumn="0" w:oddVBand="0" w:evenVBand="0" w:oddHBand="0" w:evenHBand="0" w:firstRowFirstColumn="0" w:firstRowLastColumn="0" w:lastRowFirstColumn="0" w:lastRowLastColumn="0"/>
              <w:rPr>
                <w:lang w:eastAsia="ja-JP"/>
              </w:rPr>
            </w:pPr>
          </w:p>
        </w:tc>
        <w:tc>
          <w:tcPr>
            <w:cnfStyle w:val="000001000000" w:firstRow="0" w:lastRow="0" w:firstColumn="0" w:lastColumn="0" w:oddVBand="0" w:evenVBand="1" w:oddHBand="0" w:evenHBand="0" w:firstRowFirstColumn="0" w:firstRowLastColumn="0" w:lastRowFirstColumn="0" w:lastRowLastColumn="0"/>
            <w:tcW w:w="1712" w:type="dxa"/>
            <w:shd w:val="clear" w:color="auto" w:fill="auto"/>
            <w:noWrap/>
          </w:tcPr>
          <w:p w14:paraId="6BC93325" w14:textId="77777777" w:rsidR="002F1C0B" w:rsidRPr="000557CC" w:rsidRDefault="002F1C0B" w:rsidP="001E6F2C">
            <w:pPr>
              <w:pStyle w:val="ARtabletextright"/>
              <w:rPr>
                <w:lang w:eastAsia="ja-JP"/>
              </w:rPr>
            </w:pPr>
          </w:p>
        </w:tc>
      </w:tr>
      <w:tr w:rsidR="006D7571" w:rsidRPr="000557CC" w14:paraId="2A041666" w14:textId="77777777" w:rsidTr="002F1C0B">
        <w:trPr>
          <w:trHeight w:val="288"/>
        </w:trPr>
        <w:tc>
          <w:tcPr>
            <w:tcW w:w="4496" w:type="dxa"/>
            <w:noWrap/>
          </w:tcPr>
          <w:p w14:paraId="183EC204" w14:textId="77777777" w:rsidR="006D7571" w:rsidRPr="000557CC" w:rsidRDefault="006D7571" w:rsidP="001E6F2C">
            <w:pPr>
              <w:pStyle w:val="ARTabletext"/>
              <w:rPr>
                <w:szCs w:val="18"/>
                <w:lang w:eastAsia="en-AU"/>
              </w:rPr>
            </w:pPr>
            <w:r w:rsidRPr="000557CC">
              <w:rPr>
                <w:lang w:eastAsia="ja-JP"/>
              </w:rPr>
              <w:t>Renewable</w:t>
            </w:r>
          </w:p>
        </w:tc>
        <w:tc>
          <w:tcPr>
            <w:cnfStyle w:val="000001000000" w:firstRow="0" w:lastRow="0" w:firstColumn="0" w:lastColumn="0" w:oddVBand="0" w:evenVBand="1" w:oddHBand="0" w:evenHBand="0" w:firstRowFirstColumn="0" w:firstRowLastColumn="0" w:lastRowFirstColumn="0" w:lastRowLastColumn="0"/>
            <w:tcW w:w="1710" w:type="dxa"/>
            <w:noWrap/>
          </w:tcPr>
          <w:p w14:paraId="3AA5D5C4" w14:textId="77777777" w:rsidR="006D7571" w:rsidRPr="000557CC" w:rsidRDefault="006D7571" w:rsidP="001E6F2C">
            <w:pPr>
              <w:pStyle w:val="ARtabletextright"/>
              <w:rPr>
                <w:szCs w:val="18"/>
                <w:lang w:eastAsia="en-AU"/>
              </w:rPr>
            </w:pPr>
            <w:r w:rsidRPr="000557CC">
              <w:rPr>
                <w:lang w:eastAsia="ja-JP"/>
              </w:rPr>
              <w:t>–</w:t>
            </w:r>
          </w:p>
        </w:tc>
        <w:tc>
          <w:tcPr>
            <w:tcW w:w="1710" w:type="dxa"/>
            <w:noWrap/>
          </w:tcPr>
          <w:p w14:paraId="07069088"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szCs w:val="18"/>
                <w:lang w:eastAsia="en-AU"/>
              </w:rPr>
            </w:pPr>
            <w:r w:rsidRPr="000557CC">
              <w:rPr>
                <w:lang w:eastAsia="ja-JP"/>
              </w:rPr>
              <w:t>–</w:t>
            </w:r>
          </w:p>
        </w:tc>
        <w:tc>
          <w:tcPr>
            <w:cnfStyle w:val="000001000000" w:firstRow="0" w:lastRow="0" w:firstColumn="0" w:lastColumn="0" w:oddVBand="0" w:evenVBand="1" w:oddHBand="0" w:evenHBand="0" w:firstRowFirstColumn="0" w:firstRowLastColumn="0" w:lastRowFirstColumn="0" w:lastRowLastColumn="0"/>
            <w:tcW w:w="1712" w:type="dxa"/>
            <w:noWrap/>
          </w:tcPr>
          <w:p w14:paraId="21E35A18" w14:textId="77777777" w:rsidR="006D7571" w:rsidRPr="000557CC" w:rsidRDefault="006D7571" w:rsidP="001E6F2C">
            <w:pPr>
              <w:pStyle w:val="ARtabletextright"/>
              <w:rPr>
                <w:szCs w:val="18"/>
                <w:lang w:eastAsia="en-AU"/>
              </w:rPr>
            </w:pPr>
            <w:r w:rsidRPr="000557CC">
              <w:rPr>
                <w:lang w:eastAsia="ja-JP"/>
              </w:rPr>
              <w:t>–</w:t>
            </w:r>
          </w:p>
        </w:tc>
      </w:tr>
      <w:tr w:rsidR="006D7571" w:rsidRPr="000557CC" w14:paraId="02BD6C14" w14:textId="77777777" w:rsidTr="002F1C0B">
        <w:trPr>
          <w:trHeight w:val="288"/>
        </w:trPr>
        <w:tc>
          <w:tcPr>
            <w:tcW w:w="4496" w:type="dxa"/>
            <w:noWrap/>
          </w:tcPr>
          <w:p w14:paraId="79DC0C0F" w14:textId="77777777" w:rsidR="006D7571" w:rsidRPr="000557CC" w:rsidRDefault="006D7571" w:rsidP="001E6F2C">
            <w:pPr>
              <w:pStyle w:val="ARTabletext"/>
              <w:rPr>
                <w:lang w:eastAsia="ja-JP"/>
              </w:rPr>
            </w:pPr>
            <w:r w:rsidRPr="000557CC">
              <w:rPr>
                <w:lang w:eastAsia="ja-JP"/>
              </w:rPr>
              <w:t>Non-renewable</w:t>
            </w:r>
          </w:p>
        </w:tc>
        <w:tc>
          <w:tcPr>
            <w:cnfStyle w:val="000001000000" w:firstRow="0" w:lastRow="0" w:firstColumn="0" w:lastColumn="0" w:oddVBand="0" w:evenVBand="1" w:oddHBand="0" w:evenHBand="0" w:firstRowFirstColumn="0" w:firstRowLastColumn="0" w:lastRowFirstColumn="0" w:lastRowLastColumn="0"/>
            <w:tcW w:w="1710" w:type="dxa"/>
            <w:noWrap/>
          </w:tcPr>
          <w:p w14:paraId="09C7A6D2" w14:textId="77777777" w:rsidR="006D7571" w:rsidRPr="000557CC" w:rsidRDefault="006D7571" w:rsidP="001E6F2C">
            <w:pPr>
              <w:pStyle w:val="ARtabletextright"/>
              <w:rPr>
                <w:lang w:eastAsia="ja-JP"/>
              </w:rPr>
            </w:pPr>
            <w:r w:rsidRPr="000557CC">
              <w:rPr>
                <w:lang w:eastAsia="ja-JP"/>
              </w:rPr>
              <w:t>–</w:t>
            </w:r>
          </w:p>
        </w:tc>
        <w:tc>
          <w:tcPr>
            <w:tcW w:w="1710" w:type="dxa"/>
            <w:noWrap/>
          </w:tcPr>
          <w:p w14:paraId="4B577412" w14:textId="77777777" w:rsidR="006D7571" w:rsidRPr="000557CC" w:rsidRDefault="006D7571" w:rsidP="001E6F2C">
            <w:pPr>
              <w:pStyle w:val="ARtabletextright"/>
              <w:cnfStyle w:val="000000000000" w:firstRow="0" w:lastRow="0" w:firstColumn="0" w:lastColumn="0" w:oddVBand="0" w:evenVBand="0" w:oddHBand="0" w:evenHBand="0" w:firstRowFirstColumn="0" w:firstRowLastColumn="0" w:lastRowFirstColumn="0" w:lastRowLastColumn="0"/>
              <w:rPr>
                <w:lang w:eastAsia="ja-JP"/>
              </w:rPr>
            </w:pPr>
            <w:r w:rsidRPr="000557CC">
              <w:rPr>
                <w:lang w:eastAsia="ja-JP"/>
              </w:rPr>
              <w:t>–</w:t>
            </w:r>
          </w:p>
        </w:tc>
        <w:tc>
          <w:tcPr>
            <w:cnfStyle w:val="000001000000" w:firstRow="0" w:lastRow="0" w:firstColumn="0" w:lastColumn="0" w:oddVBand="0" w:evenVBand="1" w:oddHBand="0" w:evenHBand="0" w:firstRowFirstColumn="0" w:firstRowLastColumn="0" w:lastRowFirstColumn="0" w:lastRowLastColumn="0"/>
            <w:tcW w:w="1712" w:type="dxa"/>
            <w:noWrap/>
          </w:tcPr>
          <w:p w14:paraId="750CAFB3" w14:textId="77777777" w:rsidR="006D7571" w:rsidRPr="000557CC" w:rsidRDefault="006D7571" w:rsidP="001E6F2C">
            <w:pPr>
              <w:pStyle w:val="ARtabletextright"/>
              <w:rPr>
                <w:lang w:eastAsia="ja-JP"/>
              </w:rPr>
            </w:pPr>
            <w:r w:rsidRPr="000557CC">
              <w:rPr>
                <w:lang w:eastAsia="ja-JP"/>
              </w:rPr>
              <w:t>–</w:t>
            </w:r>
          </w:p>
        </w:tc>
      </w:tr>
      <w:tr w:rsidR="006D7571" w:rsidRPr="000557CC" w14:paraId="491B2421" w14:textId="77777777" w:rsidTr="002F1C0B">
        <w:trPr>
          <w:cnfStyle w:val="010000000000" w:firstRow="0" w:lastRow="1" w:firstColumn="0" w:lastColumn="0" w:oddVBand="0" w:evenVBand="0" w:oddHBand="0" w:evenHBand="0" w:firstRowFirstColumn="0" w:firstRowLastColumn="0" w:lastRowFirstColumn="0" w:lastRowLastColumn="0"/>
          <w:trHeight w:val="288"/>
        </w:trPr>
        <w:tc>
          <w:tcPr>
            <w:tcW w:w="4496" w:type="dxa"/>
            <w:noWrap/>
          </w:tcPr>
          <w:p w14:paraId="37E7ED18" w14:textId="77777777" w:rsidR="006D7571" w:rsidRPr="000557CC" w:rsidRDefault="006D7571" w:rsidP="001E6F2C">
            <w:pPr>
              <w:pStyle w:val="ARtabletextbold"/>
              <w:rPr>
                <w:lang w:eastAsia="en-AU"/>
              </w:rPr>
            </w:pPr>
            <w:r w:rsidRPr="000557CC">
              <w:rPr>
                <w:lang w:eastAsia="en-AU"/>
              </w:rPr>
              <w:t xml:space="preserve">E4 Units of energy used </w:t>
            </w:r>
            <w:r w:rsidRPr="000557CC">
              <w:rPr>
                <w:lang w:eastAsia="en-AU"/>
              </w:rPr>
              <w:br/>
              <w:t>normalised by FTE (MJ/FTE)</w:t>
            </w:r>
          </w:p>
        </w:tc>
        <w:tc>
          <w:tcPr>
            <w:cnfStyle w:val="000001000000" w:firstRow="0" w:lastRow="0" w:firstColumn="0" w:lastColumn="0" w:oddVBand="0" w:evenVBand="1" w:oddHBand="0" w:evenHBand="0" w:firstRowFirstColumn="0" w:firstRowLastColumn="0" w:lastRowFirstColumn="0" w:lastRowLastColumn="0"/>
            <w:tcW w:w="1710" w:type="dxa"/>
            <w:noWrap/>
          </w:tcPr>
          <w:p w14:paraId="577F838B" w14:textId="77777777" w:rsidR="006D7571" w:rsidRPr="000557CC" w:rsidRDefault="006D7571" w:rsidP="001E6F2C">
            <w:pPr>
              <w:pStyle w:val="ARtabletextright"/>
              <w:rPr>
                <w:lang w:eastAsia="en-AU"/>
              </w:rPr>
            </w:pPr>
            <w:r w:rsidRPr="000557CC">
              <w:rPr>
                <w:lang w:eastAsia="en-AU"/>
              </w:rPr>
              <w:t>14,028</w:t>
            </w:r>
          </w:p>
        </w:tc>
        <w:tc>
          <w:tcPr>
            <w:tcW w:w="1710" w:type="dxa"/>
            <w:noWrap/>
          </w:tcPr>
          <w:p w14:paraId="51E64376" w14:textId="77777777" w:rsidR="006D7571" w:rsidRPr="000557CC" w:rsidRDefault="006D7571" w:rsidP="001E6F2C">
            <w:pPr>
              <w:pStyle w:val="ARtabletextright"/>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15,325</w:t>
            </w:r>
          </w:p>
        </w:tc>
        <w:tc>
          <w:tcPr>
            <w:cnfStyle w:val="000001000000" w:firstRow="0" w:lastRow="0" w:firstColumn="0" w:lastColumn="0" w:oddVBand="0" w:evenVBand="1" w:oddHBand="0" w:evenHBand="0" w:firstRowFirstColumn="0" w:firstRowLastColumn="0" w:lastRowFirstColumn="0" w:lastRowLastColumn="0"/>
            <w:tcW w:w="1712" w:type="dxa"/>
            <w:noWrap/>
          </w:tcPr>
          <w:p w14:paraId="09B6E927" w14:textId="77777777" w:rsidR="006D7571" w:rsidRPr="000557CC" w:rsidRDefault="006D7571" w:rsidP="001E6F2C">
            <w:pPr>
              <w:pStyle w:val="ARtabletextright"/>
              <w:rPr>
                <w:lang w:eastAsia="en-AU"/>
              </w:rPr>
            </w:pPr>
            <w:r w:rsidRPr="000557CC">
              <w:rPr>
                <w:szCs w:val="17"/>
                <w:lang w:eastAsia="ja-JP"/>
              </w:rPr>
              <w:t>17,125</w:t>
            </w:r>
          </w:p>
        </w:tc>
      </w:tr>
    </w:tbl>
    <w:p w14:paraId="3145F136" w14:textId="77777777" w:rsidR="006D7571" w:rsidRPr="000557CC" w:rsidRDefault="006D7571" w:rsidP="001E6F2C">
      <w:pPr>
        <w:pStyle w:val="Heading4"/>
        <w:rPr>
          <w:lang w:eastAsia="ja-JP"/>
        </w:rPr>
      </w:pPr>
      <w:r w:rsidRPr="000557CC">
        <w:rPr>
          <w:lang w:eastAsia="ja-JP"/>
        </w:rPr>
        <w:t>Housing Services</w:t>
      </w:r>
    </w:p>
    <w:p w14:paraId="63437BAF" w14:textId="77777777" w:rsidR="006D7571" w:rsidRPr="000557CC" w:rsidRDefault="006D7571" w:rsidP="00965115">
      <w:pPr>
        <w:pStyle w:val="ARTablecaption"/>
        <w:spacing w:before="0"/>
        <w:rPr>
          <w:rFonts w:eastAsia="MS PGothic"/>
        </w:rPr>
      </w:pPr>
      <w:r w:rsidRPr="000557CC">
        <w:rPr>
          <w:rFonts w:eastAsia="MS PGothic"/>
        </w:rPr>
        <w:t>Total energy use</w:t>
      </w:r>
    </w:p>
    <w:tbl>
      <w:tblPr>
        <w:tblStyle w:val="ARtable1"/>
        <w:tblW w:w="0" w:type="auto"/>
        <w:tblLayout w:type="fixed"/>
        <w:tblLook w:val="02E0" w:firstRow="1" w:lastRow="1" w:firstColumn="1" w:lastColumn="0" w:noHBand="1" w:noVBand="0"/>
      </w:tblPr>
      <w:tblGrid>
        <w:gridCol w:w="4510"/>
        <w:gridCol w:w="1706"/>
        <w:gridCol w:w="1706"/>
        <w:gridCol w:w="1706"/>
      </w:tblGrid>
      <w:tr w:rsidR="006D7571" w:rsidRPr="000557CC" w14:paraId="6A6FCD7C" w14:textId="77777777" w:rsidTr="002F1C0B">
        <w:trPr>
          <w:cnfStyle w:val="100000000000" w:firstRow="1" w:lastRow="0" w:firstColumn="0" w:lastColumn="0" w:oddVBand="0" w:evenVBand="0" w:oddHBand="0" w:evenHBand="0" w:firstRowFirstColumn="0" w:firstRowLastColumn="0" w:lastRowFirstColumn="0" w:lastRowLastColumn="0"/>
          <w:trHeight w:val="288"/>
          <w:tblHeader/>
        </w:trPr>
        <w:tc>
          <w:tcPr>
            <w:tcW w:w="4510" w:type="dxa"/>
            <w:noWrap/>
          </w:tcPr>
          <w:p w14:paraId="2EECC4F6" w14:textId="77777777" w:rsidR="006D7571" w:rsidRPr="000557CC" w:rsidRDefault="006D7571" w:rsidP="00784046">
            <w:pPr>
              <w:pStyle w:val="ARtablecolhead"/>
              <w:rPr>
                <w:color w:val="000000"/>
                <w:lang w:eastAsia="en-AU"/>
              </w:rPr>
            </w:pPr>
            <w:r w:rsidRPr="000557CC">
              <w:rPr>
                <w:lang w:eastAsia="en-AU"/>
              </w:rPr>
              <w:t>Indicator</w:t>
            </w:r>
          </w:p>
        </w:tc>
        <w:tc>
          <w:tcPr>
            <w:cnfStyle w:val="000001000000" w:firstRow="0" w:lastRow="0" w:firstColumn="0" w:lastColumn="0" w:oddVBand="0" w:evenVBand="1" w:oddHBand="0" w:evenHBand="0" w:firstRowFirstColumn="0" w:firstRowLastColumn="0" w:lastRowFirstColumn="0" w:lastRowLastColumn="0"/>
            <w:tcW w:w="1706" w:type="dxa"/>
            <w:noWrap/>
          </w:tcPr>
          <w:p w14:paraId="4C4CE9C8" w14:textId="77777777" w:rsidR="006D7571" w:rsidRPr="000557CC" w:rsidRDefault="006D7571" w:rsidP="00784046">
            <w:pPr>
              <w:pStyle w:val="ARtablecolheadright"/>
              <w:rPr>
                <w:lang w:eastAsia="en-AU"/>
              </w:rPr>
            </w:pPr>
            <w:r w:rsidRPr="000557CC">
              <w:rPr>
                <w:lang w:eastAsia="en-AU"/>
              </w:rPr>
              <w:t>2025–26</w:t>
            </w:r>
          </w:p>
          <w:p w14:paraId="3DB18462" w14:textId="77777777" w:rsidR="006D7571" w:rsidRPr="000557CC" w:rsidRDefault="006D7571" w:rsidP="00784046">
            <w:pPr>
              <w:pStyle w:val="ARtablecolheadright"/>
              <w:rPr>
                <w:lang w:eastAsia="en-AU"/>
              </w:rPr>
            </w:pPr>
            <w:r w:rsidRPr="000557CC">
              <w:rPr>
                <w:lang w:eastAsia="en-AU"/>
              </w:rPr>
              <w:t>MJ</w:t>
            </w:r>
          </w:p>
        </w:tc>
        <w:tc>
          <w:tcPr>
            <w:tcW w:w="1706" w:type="dxa"/>
            <w:noWrap/>
          </w:tcPr>
          <w:p w14:paraId="5E307E90"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057447C9"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MJ</w:t>
            </w:r>
          </w:p>
        </w:tc>
        <w:tc>
          <w:tcPr>
            <w:cnfStyle w:val="000001000000" w:firstRow="0" w:lastRow="0" w:firstColumn="0" w:lastColumn="0" w:oddVBand="0" w:evenVBand="1" w:oddHBand="0" w:evenHBand="0" w:firstRowFirstColumn="0" w:firstRowLastColumn="0" w:lastRowFirstColumn="0" w:lastRowLastColumn="0"/>
            <w:tcW w:w="1706" w:type="dxa"/>
            <w:noWrap/>
          </w:tcPr>
          <w:p w14:paraId="58F2ABF5" w14:textId="77777777" w:rsidR="006D7571" w:rsidRPr="000557CC" w:rsidRDefault="006D7571" w:rsidP="00784046">
            <w:pPr>
              <w:pStyle w:val="ARtablecolheadright"/>
              <w:rPr>
                <w:lang w:eastAsia="en-AU"/>
              </w:rPr>
            </w:pPr>
            <w:r w:rsidRPr="000557CC">
              <w:rPr>
                <w:lang w:eastAsia="en-AU"/>
              </w:rPr>
              <w:t>2023–24</w:t>
            </w:r>
          </w:p>
          <w:p w14:paraId="70BBA9D9" w14:textId="77777777" w:rsidR="006D7571" w:rsidRPr="000557CC" w:rsidRDefault="006D7571" w:rsidP="00784046">
            <w:pPr>
              <w:pStyle w:val="ARtablecolheadright"/>
              <w:rPr>
                <w:lang w:eastAsia="en-AU"/>
              </w:rPr>
            </w:pPr>
            <w:r w:rsidRPr="000557CC">
              <w:rPr>
                <w:lang w:eastAsia="en-AU"/>
              </w:rPr>
              <w:t>MJ</w:t>
            </w:r>
          </w:p>
        </w:tc>
      </w:tr>
      <w:tr w:rsidR="006D7571" w:rsidRPr="000557CC" w14:paraId="3F0456B9" w14:textId="77777777" w:rsidTr="002F1C0B">
        <w:trPr>
          <w:trHeight w:val="288"/>
        </w:trPr>
        <w:tc>
          <w:tcPr>
            <w:tcW w:w="4510" w:type="dxa"/>
            <w:noWrap/>
            <w:hideMark/>
          </w:tcPr>
          <w:p w14:paraId="5E2AFE5D" w14:textId="77777777" w:rsidR="006D7571" w:rsidRPr="000557CC" w:rsidRDefault="006D7571" w:rsidP="00784046">
            <w:pPr>
              <w:pStyle w:val="ARtabletextbold"/>
              <w:rPr>
                <w:lang w:eastAsia="en-AU"/>
              </w:rPr>
            </w:pPr>
            <w:r w:rsidRPr="000557CC">
              <w:rPr>
                <w:lang w:eastAsia="en-AU"/>
              </w:rPr>
              <w:t xml:space="preserve">E1 Total energy usage from fuels </w:t>
            </w:r>
            <w:r w:rsidRPr="000557CC">
              <w:rPr>
                <w:lang w:eastAsia="en-AU"/>
              </w:rPr>
              <w:br/>
              <w:t>(</w:t>
            </w:r>
            <w:proofErr w:type="gramStart"/>
            <w:r w:rsidRPr="000557CC">
              <w:rPr>
                <w:lang w:eastAsia="en-AU"/>
              </w:rPr>
              <w:t>stationary</w:t>
            </w:r>
            <w:proofErr w:type="gramEnd"/>
            <w:r w:rsidRPr="000557CC">
              <w:rPr>
                <w:lang w:eastAsia="en-AU"/>
              </w:rPr>
              <w:t xml:space="preserve"> and transportation)</w:t>
            </w:r>
          </w:p>
        </w:tc>
        <w:tc>
          <w:tcPr>
            <w:cnfStyle w:val="000001000000" w:firstRow="0" w:lastRow="0" w:firstColumn="0" w:lastColumn="0" w:oddVBand="0" w:evenVBand="1" w:oddHBand="0" w:evenHBand="0" w:firstRowFirstColumn="0" w:firstRowLastColumn="0" w:lastRowFirstColumn="0" w:lastRowLastColumn="0"/>
            <w:tcW w:w="1706" w:type="dxa"/>
            <w:noWrap/>
          </w:tcPr>
          <w:p w14:paraId="326D1A57" w14:textId="77777777" w:rsidR="006D7571" w:rsidRPr="000557CC" w:rsidRDefault="006D7571" w:rsidP="00784046">
            <w:pPr>
              <w:pStyle w:val="ARtabletextright"/>
              <w:rPr>
                <w:lang w:eastAsia="en-AU"/>
              </w:rPr>
            </w:pPr>
            <w:r w:rsidRPr="000557CC">
              <w:rPr>
                <w:lang w:eastAsia="en-AU"/>
              </w:rPr>
              <w:t>322,528,902</w:t>
            </w:r>
          </w:p>
        </w:tc>
        <w:tc>
          <w:tcPr>
            <w:tcW w:w="1706" w:type="dxa"/>
            <w:noWrap/>
          </w:tcPr>
          <w:p w14:paraId="1E984C4E" w14:textId="77777777"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337,965,783</w:t>
            </w:r>
          </w:p>
        </w:tc>
        <w:tc>
          <w:tcPr>
            <w:cnfStyle w:val="000001000000" w:firstRow="0" w:lastRow="0" w:firstColumn="0" w:lastColumn="0" w:oddVBand="0" w:evenVBand="1" w:oddHBand="0" w:evenHBand="0" w:firstRowFirstColumn="0" w:firstRowLastColumn="0" w:lastRowFirstColumn="0" w:lastRowLastColumn="0"/>
            <w:tcW w:w="1706" w:type="dxa"/>
            <w:noWrap/>
            <w:hideMark/>
          </w:tcPr>
          <w:p w14:paraId="53B417DD" w14:textId="77777777" w:rsidR="006D7571" w:rsidRPr="000557CC" w:rsidRDefault="006D7571" w:rsidP="00784046">
            <w:pPr>
              <w:pStyle w:val="ARtabletextright"/>
              <w:rPr>
                <w:lang w:eastAsia="en-AU"/>
              </w:rPr>
            </w:pPr>
            <w:r w:rsidRPr="000557CC">
              <w:rPr>
                <w:lang w:eastAsia="en-AU"/>
              </w:rPr>
              <w:t>390,431,401</w:t>
            </w:r>
          </w:p>
        </w:tc>
      </w:tr>
      <w:tr w:rsidR="006D7571" w:rsidRPr="000557CC" w14:paraId="1454F524" w14:textId="77777777" w:rsidTr="002F1C0B">
        <w:trPr>
          <w:trHeight w:val="288"/>
        </w:trPr>
        <w:tc>
          <w:tcPr>
            <w:tcW w:w="4510" w:type="dxa"/>
            <w:noWrap/>
          </w:tcPr>
          <w:p w14:paraId="247FBE17" w14:textId="77777777" w:rsidR="006D7571" w:rsidRPr="000557CC" w:rsidRDefault="006D7571" w:rsidP="00784046">
            <w:pPr>
              <w:pStyle w:val="ARtabletextbold"/>
              <w:rPr>
                <w:lang w:eastAsia="en-AU"/>
              </w:rPr>
            </w:pPr>
            <w:r w:rsidRPr="000557CC">
              <w:rPr>
                <w:lang w:eastAsia="en-AU"/>
              </w:rPr>
              <w:t>E2 Total energy used from electricity</w:t>
            </w:r>
          </w:p>
        </w:tc>
        <w:tc>
          <w:tcPr>
            <w:cnfStyle w:val="000001000000" w:firstRow="0" w:lastRow="0" w:firstColumn="0" w:lastColumn="0" w:oddVBand="0" w:evenVBand="1" w:oddHBand="0" w:evenHBand="0" w:firstRowFirstColumn="0" w:firstRowLastColumn="0" w:lastRowFirstColumn="0" w:lastRowLastColumn="0"/>
            <w:tcW w:w="1706" w:type="dxa"/>
            <w:noWrap/>
          </w:tcPr>
          <w:p w14:paraId="53AC4BC0" w14:textId="77777777" w:rsidR="006D7571" w:rsidRPr="000557CC" w:rsidRDefault="006D7571" w:rsidP="00784046">
            <w:pPr>
              <w:pStyle w:val="ARtabletextright"/>
              <w:rPr>
                <w:lang w:eastAsia="en-AU"/>
              </w:rPr>
            </w:pPr>
            <w:r w:rsidRPr="000557CC">
              <w:rPr>
                <w:lang w:eastAsia="en-AU"/>
              </w:rPr>
              <w:t>79,333,991</w:t>
            </w:r>
          </w:p>
        </w:tc>
        <w:tc>
          <w:tcPr>
            <w:tcW w:w="1706" w:type="dxa"/>
            <w:noWrap/>
          </w:tcPr>
          <w:p w14:paraId="13E2E4F6" w14:textId="77777777"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72,914,053</w:t>
            </w:r>
          </w:p>
        </w:tc>
        <w:tc>
          <w:tcPr>
            <w:cnfStyle w:val="000001000000" w:firstRow="0" w:lastRow="0" w:firstColumn="0" w:lastColumn="0" w:oddVBand="0" w:evenVBand="1" w:oddHBand="0" w:evenHBand="0" w:firstRowFirstColumn="0" w:firstRowLastColumn="0" w:lastRowFirstColumn="0" w:lastRowLastColumn="0"/>
            <w:tcW w:w="1706" w:type="dxa"/>
            <w:noWrap/>
          </w:tcPr>
          <w:p w14:paraId="02766D8A" w14:textId="77777777" w:rsidR="006D7571" w:rsidRPr="000557CC" w:rsidRDefault="006D7571" w:rsidP="00784046">
            <w:pPr>
              <w:pStyle w:val="ARtabletextright"/>
              <w:rPr>
                <w:lang w:eastAsia="en-AU"/>
              </w:rPr>
            </w:pPr>
            <w:r w:rsidRPr="000557CC">
              <w:rPr>
                <w:lang w:eastAsia="en-AU"/>
              </w:rPr>
              <w:t>82,426,464</w:t>
            </w:r>
          </w:p>
        </w:tc>
      </w:tr>
      <w:tr w:rsidR="002F1C0B" w:rsidRPr="000557CC" w14:paraId="262F5E97" w14:textId="77777777" w:rsidTr="002F1C0B">
        <w:trPr>
          <w:trHeight w:val="288"/>
        </w:trPr>
        <w:tc>
          <w:tcPr>
            <w:tcW w:w="4510" w:type="dxa"/>
            <w:noWrap/>
          </w:tcPr>
          <w:p w14:paraId="257BB3E8" w14:textId="33B86190" w:rsidR="002F1C0B" w:rsidRPr="000557CC" w:rsidRDefault="002F1C0B" w:rsidP="002F1C0B">
            <w:pPr>
              <w:pStyle w:val="ARTabletextboldcoloured"/>
              <w:rPr>
                <w:lang w:eastAsia="en-AU"/>
              </w:rPr>
            </w:pPr>
            <w:r w:rsidRPr="000557CC">
              <w:rPr>
                <w:lang w:eastAsia="en-AU"/>
              </w:rPr>
              <w:t>E3 Total energy used segmented into renewable and non-renewable sources</w:t>
            </w:r>
          </w:p>
        </w:tc>
        <w:tc>
          <w:tcPr>
            <w:cnfStyle w:val="000001000000" w:firstRow="0" w:lastRow="0" w:firstColumn="0" w:lastColumn="0" w:oddVBand="0" w:evenVBand="1" w:oddHBand="0" w:evenHBand="0" w:firstRowFirstColumn="0" w:firstRowLastColumn="0" w:lastRowFirstColumn="0" w:lastRowLastColumn="0"/>
            <w:tcW w:w="1706" w:type="dxa"/>
            <w:shd w:val="clear" w:color="auto" w:fill="auto"/>
            <w:noWrap/>
          </w:tcPr>
          <w:p w14:paraId="15B199CF" w14:textId="77777777" w:rsidR="002F1C0B" w:rsidRPr="000557CC" w:rsidRDefault="002F1C0B" w:rsidP="00784046">
            <w:pPr>
              <w:pStyle w:val="ARtabletextright"/>
              <w:rPr>
                <w:lang w:eastAsia="en-AU"/>
              </w:rPr>
            </w:pPr>
          </w:p>
        </w:tc>
        <w:tc>
          <w:tcPr>
            <w:tcW w:w="1706" w:type="dxa"/>
            <w:noWrap/>
          </w:tcPr>
          <w:p w14:paraId="59665B76" w14:textId="77777777" w:rsidR="002F1C0B" w:rsidRPr="000557CC" w:rsidRDefault="002F1C0B"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1706" w:type="dxa"/>
            <w:shd w:val="clear" w:color="auto" w:fill="auto"/>
            <w:noWrap/>
          </w:tcPr>
          <w:p w14:paraId="46CF9FB9" w14:textId="77777777" w:rsidR="002F1C0B" w:rsidRPr="000557CC" w:rsidRDefault="002F1C0B" w:rsidP="00784046">
            <w:pPr>
              <w:pStyle w:val="ARtabletextright"/>
              <w:rPr>
                <w:lang w:eastAsia="en-AU"/>
              </w:rPr>
            </w:pPr>
          </w:p>
        </w:tc>
      </w:tr>
      <w:tr w:rsidR="006D7571" w:rsidRPr="000557CC" w14:paraId="7368CD17" w14:textId="77777777" w:rsidTr="002F1C0B">
        <w:trPr>
          <w:trHeight w:val="288"/>
        </w:trPr>
        <w:tc>
          <w:tcPr>
            <w:tcW w:w="4510" w:type="dxa"/>
            <w:noWrap/>
          </w:tcPr>
          <w:p w14:paraId="10E39A25" w14:textId="77777777" w:rsidR="006D7571" w:rsidRPr="000557CC" w:rsidRDefault="006D7571" w:rsidP="00784046">
            <w:pPr>
              <w:pStyle w:val="ARTabletext"/>
              <w:rPr>
                <w:lang w:eastAsia="en-AU"/>
              </w:rPr>
            </w:pPr>
            <w:r w:rsidRPr="000557CC">
              <w:rPr>
                <w:lang w:eastAsia="en-AU"/>
              </w:rPr>
              <w:t>Renewable</w:t>
            </w:r>
          </w:p>
        </w:tc>
        <w:tc>
          <w:tcPr>
            <w:cnfStyle w:val="000001000000" w:firstRow="0" w:lastRow="0" w:firstColumn="0" w:lastColumn="0" w:oddVBand="0" w:evenVBand="1" w:oddHBand="0" w:evenHBand="0" w:firstRowFirstColumn="0" w:firstRowLastColumn="0" w:lastRowFirstColumn="0" w:lastRowLastColumn="0"/>
            <w:tcW w:w="1706" w:type="dxa"/>
            <w:noWrap/>
          </w:tcPr>
          <w:p w14:paraId="069D3E8F" w14:textId="77777777" w:rsidR="006D7571" w:rsidRPr="000557CC" w:rsidRDefault="006D7571" w:rsidP="00784046">
            <w:pPr>
              <w:pStyle w:val="ARtabletextright"/>
              <w:rPr>
                <w:lang w:eastAsia="en-AU"/>
              </w:rPr>
            </w:pPr>
            <w:r w:rsidRPr="000557CC">
              <w:rPr>
                <w:lang w:eastAsia="en-AU"/>
              </w:rPr>
              <w:t>17,092,841</w:t>
            </w:r>
          </w:p>
        </w:tc>
        <w:tc>
          <w:tcPr>
            <w:tcW w:w="1706" w:type="dxa"/>
            <w:noWrap/>
          </w:tcPr>
          <w:p w14:paraId="5975A181" w14:textId="77777777"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14,373,045</w:t>
            </w:r>
          </w:p>
        </w:tc>
        <w:tc>
          <w:tcPr>
            <w:cnfStyle w:val="000001000000" w:firstRow="0" w:lastRow="0" w:firstColumn="0" w:lastColumn="0" w:oddVBand="0" w:evenVBand="1" w:oddHBand="0" w:evenHBand="0" w:firstRowFirstColumn="0" w:firstRowLastColumn="0" w:lastRowFirstColumn="0" w:lastRowLastColumn="0"/>
            <w:tcW w:w="1706" w:type="dxa"/>
            <w:noWrap/>
          </w:tcPr>
          <w:p w14:paraId="10C1BC7D" w14:textId="77777777" w:rsidR="006D7571" w:rsidRPr="000557CC" w:rsidRDefault="006D7571" w:rsidP="00784046">
            <w:pPr>
              <w:pStyle w:val="ARtabletextright"/>
              <w:rPr>
                <w:lang w:eastAsia="en-AU"/>
              </w:rPr>
            </w:pPr>
            <w:r w:rsidRPr="000557CC">
              <w:rPr>
                <w:lang w:eastAsia="en-AU"/>
              </w:rPr>
              <w:t>6,382,276</w:t>
            </w:r>
          </w:p>
        </w:tc>
      </w:tr>
      <w:tr w:rsidR="006D7571" w:rsidRPr="000557CC" w14:paraId="04377FA1" w14:textId="77777777" w:rsidTr="002F1C0B">
        <w:trPr>
          <w:trHeight w:val="288"/>
        </w:trPr>
        <w:tc>
          <w:tcPr>
            <w:tcW w:w="4510" w:type="dxa"/>
            <w:noWrap/>
          </w:tcPr>
          <w:p w14:paraId="1690E8B7" w14:textId="77777777" w:rsidR="006D7571" w:rsidRPr="000557CC" w:rsidRDefault="006D7571" w:rsidP="00784046">
            <w:pPr>
              <w:pStyle w:val="ARTabletext"/>
              <w:rPr>
                <w:lang w:eastAsia="en-AU"/>
              </w:rPr>
            </w:pPr>
            <w:r w:rsidRPr="000557CC">
              <w:rPr>
                <w:lang w:eastAsia="en-AU"/>
              </w:rPr>
              <w:t>Non-renewable</w:t>
            </w:r>
          </w:p>
        </w:tc>
        <w:tc>
          <w:tcPr>
            <w:cnfStyle w:val="000001000000" w:firstRow="0" w:lastRow="0" w:firstColumn="0" w:lastColumn="0" w:oddVBand="0" w:evenVBand="1" w:oddHBand="0" w:evenHBand="0" w:firstRowFirstColumn="0" w:firstRowLastColumn="0" w:lastRowFirstColumn="0" w:lastRowLastColumn="0"/>
            <w:tcW w:w="1706" w:type="dxa"/>
            <w:noWrap/>
          </w:tcPr>
          <w:p w14:paraId="503C639C" w14:textId="77777777" w:rsidR="006D7571" w:rsidRPr="000557CC" w:rsidRDefault="006D7571" w:rsidP="00784046">
            <w:pPr>
              <w:pStyle w:val="ARtabletextright"/>
              <w:rPr>
                <w:lang w:eastAsia="en-AU"/>
              </w:rPr>
            </w:pPr>
            <w:r w:rsidRPr="000557CC">
              <w:rPr>
                <w:lang w:eastAsia="en-AU"/>
              </w:rPr>
              <w:t>384,770,052</w:t>
            </w:r>
          </w:p>
        </w:tc>
        <w:tc>
          <w:tcPr>
            <w:tcW w:w="1706" w:type="dxa"/>
            <w:noWrap/>
          </w:tcPr>
          <w:p w14:paraId="37C63B2D" w14:textId="77777777"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396,506,791</w:t>
            </w:r>
          </w:p>
        </w:tc>
        <w:tc>
          <w:tcPr>
            <w:cnfStyle w:val="000001000000" w:firstRow="0" w:lastRow="0" w:firstColumn="0" w:lastColumn="0" w:oddVBand="0" w:evenVBand="1" w:oddHBand="0" w:evenHBand="0" w:firstRowFirstColumn="0" w:firstRowLastColumn="0" w:lastRowFirstColumn="0" w:lastRowLastColumn="0"/>
            <w:tcW w:w="1706" w:type="dxa"/>
            <w:noWrap/>
          </w:tcPr>
          <w:p w14:paraId="4AD90F94" w14:textId="77777777" w:rsidR="006D7571" w:rsidRPr="000557CC" w:rsidRDefault="006D7571" w:rsidP="00784046">
            <w:pPr>
              <w:pStyle w:val="ARtabletextright"/>
              <w:rPr>
                <w:lang w:eastAsia="en-AU"/>
              </w:rPr>
            </w:pPr>
            <w:r w:rsidRPr="000557CC">
              <w:rPr>
                <w:lang w:eastAsia="en-AU"/>
              </w:rPr>
              <w:t xml:space="preserve">466,475,599 </w:t>
            </w:r>
          </w:p>
        </w:tc>
      </w:tr>
      <w:tr w:rsidR="006D7571" w:rsidRPr="000557CC" w14:paraId="25E2AD2E" w14:textId="77777777" w:rsidTr="002F1C0B">
        <w:trPr>
          <w:cnfStyle w:val="010000000000" w:firstRow="0" w:lastRow="1" w:firstColumn="0" w:lastColumn="0" w:oddVBand="0" w:evenVBand="0" w:oddHBand="0" w:evenHBand="0" w:firstRowFirstColumn="0" w:firstRowLastColumn="0" w:lastRowFirstColumn="0" w:lastRowLastColumn="0"/>
          <w:trHeight w:val="288"/>
        </w:trPr>
        <w:tc>
          <w:tcPr>
            <w:tcW w:w="4510" w:type="dxa"/>
            <w:noWrap/>
          </w:tcPr>
          <w:p w14:paraId="6027F550" w14:textId="77777777" w:rsidR="006D7571" w:rsidRPr="000557CC" w:rsidRDefault="006D7571" w:rsidP="00784046">
            <w:pPr>
              <w:pStyle w:val="ARtabletextbold"/>
              <w:rPr>
                <w:lang w:eastAsia="en-AU"/>
              </w:rPr>
            </w:pPr>
            <w:r w:rsidRPr="000557CC">
              <w:rPr>
                <w:lang w:eastAsia="en-AU"/>
              </w:rPr>
              <w:t xml:space="preserve">E4 Units of energy used </w:t>
            </w:r>
            <w:r w:rsidRPr="000557CC">
              <w:rPr>
                <w:lang w:eastAsia="en-AU"/>
              </w:rPr>
              <w:br/>
              <w:t>normalised by FTE (MJ/FTE)</w:t>
            </w:r>
            <w:r w:rsidRPr="000557CC">
              <w:rPr>
                <w:vertAlign w:val="superscript"/>
                <w:lang w:eastAsia="en-AU"/>
              </w:rPr>
              <w:footnoteReference w:id="35"/>
            </w:r>
          </w:p>
        </w:tc>
        <w:tc>
          <w:tcPr>
            <w:cnfStyle w:val="000001000000" w:firstRow="0" w:lastRow="0" w:firstColumn="0" w:lastColumn="0" w:oddVBand="0" w:evenVBand="1" w:oddHBand="0" w:evenHBand="0" w:firstRowFirstColumn="0" w:firstRowLastColumn="0" w:lastRowFirstColumn="0" w:lastRowLastColumn="0"/>
            <w:tcW w:w="1706" w:type="dxa"/>
            <w:noWrap/>
          </w:tcPr>
          <w:p w14:paraId="77FAF63F" w14:textId="77777777" w:rsidR="006D7571" w:rsidRPr="000557CC" w:rsidRDefault="006D7571" w:rsidP="00153C5C">
            <w:pPr>
              <w:pStyle w:val="ARtabletextright"/>
              <w:rPr>
                <w:lang w:eastAsia="en-AU"/>
              </w:rPr>
            </w:pPr>
            <w:r w:rsidRPr="000557CC">
              <w:rPr>
                <w:lang w:eastAsia="en-AU"/>
              </w:rPr>
              <w:t>NA</w:t>
            </w:r>
          </w:p>
        </w:tc>
        <w:tc>
          <w:tcPr>
            <w:tcW w:w="1706" w:type="dxa"/>
            <w:noWrap/>
          </w:tcPr>
          <w:p w14:paraId="71C5B636" w14:textId="77777777" w:rsidR="006D7571" w:rsidRPr="000557CC" w:rsidRDefault="006D7571" w:rsidP="00153C5C">
            <w:pPr>
              <w:pStyle w:val="ARtabletextright"/>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NA</w:t>
            </w:r>
          </w:p>
        </w:tc>
        <w:tc>
          <w:tcPr>
            <w:cnfStyle w:val="000001000000" w:firstRow="0" w:lastRow="0" w:firstColumn="0" w:lastColumn="0" w:oddVBand="0" w:evenVBand="1" w:oddHBand="0" w:evenHBand="0" w:firstRowFirstColumn="0" w:firstRowLastColumn="0" w:lastRowFirstColumn="0" w:lastRowLastColumn="0"/>
            <w:tcW w:w="1706" w:type="dxa"/>
            <w:noWrap/>
          </w:tcPr>
          <w:p w14:paraId="48EC220A" w14:textId="77777777" w:rsidR="006D7571" w:rsidRPr="000557CC" w:rsidRDefault="006D7571" w:rsidP="00153C5C">
            <w:pPr>
              <w:pStyle w:val="ARtabletextright"/>
              <w:rPr>
                <w:lang w:eastAsia="en-AU"/>
              </w:rPr>
            </w:pPr>
            <w:r w:rsidRPr="000557CC">
              <w:rPr>
                <w:lang w:eastAsia="en-AU"/>
              </w:rPr>
              <w:t>NA</w:t>
            </w:r>
          </w:p>
        </w:tc>
      </w:tr>
    </w:tbl>
    <w:p w14:paraId="01A5BFCD" w14:textId="77777777" w:rsidR="000D720E" w:rsidRPr="000D720E" w:rsidRDefault="000D720E" w:rsidP="000D720E">
      <w:pPr>
        <w:pStyle w:val="ARBody"/>
      </w:pPr>
      <w:r w:rsidRPr="000D720E">
        <w:br w:type="page"/>
      </w:r>
    </w:p>
    <w:p w14:paraId="041A857F" w14:textId="5EE13B1D" w:rsidR="006D7571" w:rsidRPr="000557CC" w:rsidRDefault="006D7571" w:rsidP="00784046">
      <w:pPr>
        <w:pStyle w:val="Heading3"/>
        <w:rPr>
          <w:sz w:val="22"/>
          <w:szCs w:val="22"/>
        </w:rPr>
      </w:pPr>
      <w:r w:rsidRPr="000557CC">
        <w:rPr>
          <w:lang w:eastAsia="en-AU"/>
        </w:rPr>
        <w:t>Sustainable buildings and infrastructure</w:t>
      </w:r>
    </w:p>
    <w:p w14:paraId="08800D11" w14:textId="77777777" w:rsidR="006D7571" w:rsidRPr="006D7571" w:rsidRDefault="006D7571" w:rsidP="00784046">
      <w:pPr>
        <w:pStyle w:val="ARBody"/>
      </w:pPr>
      <w:r w:rsidRPr="000557CC">
        <w:t xml:space="preserve">The development of sustainable buildings is an economic and environmental necessity. Victoria’s increasing experiences of extreme weather events demonstrate the importance of increasing climate resilience across the state. This includes via </w:t>
      </w:r>
      <w:r w:rsidRPr="006D7571">
        <w:t>the design and management of buildings and infrastructure assets. Registered environmental NABERS ratings that are higher than 5 stars are summarised in the table below.</w:t>
      </w:r>
    </w:p>
    <w:p w14:paraId="3381F3EF" w14:textId="77777777" w:rsidR="006D7571" w:rsidRPr="000557CC" w:rsidRDefault="006D7571" w:rsidP="00784046">
      <w:pPr>
        <w:pStyle w:val="ARTablecaption"/>
        <w:rPr>
          <w:rFonts w:eastAsia="MS PGothic"/>
        </w:rPr>
      </w:pPr>
      <w:r w:rsidRPr="000557CC">
        <w:rPr>
          <w:rFonts w:eastAsia="MS PGothic"/>
        </w:rPr>
        <w:t>B3 Sustainable buildings and infrastructure</w:t>
      </w:r>
    </w:p>
    <w:tbl>
      <w:tblPr>
        <w:tblStyle w:val="DFFHtable21"/>
        <w:tblW w:w="5000" w:type="pct"/>
        <w:tblLook w:val="0260" w:firstRow="1" w:lastRow="1" w:firstColumn="0" w:lastColumn="0" w:noHBand="1" w:noVBand="0"/>
      </w:tblPr>
      <w:tblGrid>
        <w:gridCol w:w="2972"/>
        <w:gridCol w:w="3307"/>
        <w:gridCol w:w="2513"/>
        <w:gridCol w:w="836"/>
      </w:tblGrid>
      <w:tr w:rsidR="006D7571" w:rsidRPr="000557CC" w14:paraId="16A15482" w14:textId="77777777" w:rsidTr="00457FAF">
        <w:trPr>
          <w:cnfStyle w:val="100000000000" w:firstRow="1" w:lastRow="0" w:firstColumn="0" w:lastColumn="0" w:oddVBand="0" w:evenVBand="0" w:oddHBand="0" w:evenHBand="0" w:firstRowFirstColumn="0" w:firstRowLastColumn="0" w:lastRowFirstColumn="0" w:lastRowLastColumn="0"/>
          <w:trHeight w:val="238"/>
          <w:tblHeader/>
        </w:trPr>
        <w:tc>
          <w:tcPr>
            <w:tcW w:w="1543" w:type="pct"/>
          </w:tcPr>
          <w:p w14:paraId="1B77D87D" w14:textId="77777777" w:rsidR="006D7571" w:rsidRPr="000557CC" w:rsidRDefault="006D7571" w:rsidP="00784046">
            <w:pPr>
              <w:pStyle w:val="ARtablecolhead"/>
              <w:rPr>
                <w:i/>
                <w:lang w:eastAsia="en-AU"/>
              </w:rPr>
            </w:pPr>
            <w:r w:rsidRPr="000557CC">
              <w:rPr>
                <w:lang w:eastAsia="en-AU"/>
              </w:rPr>
              <w:t>Name of building</w:t>
            </w:r>
          </w:p>
        </w:tc>
        <w:tc>
          <w:tcPr>
            <w:cnfStyle w:val="000001000000" w:firstRow="0" w:lastRow="0" w:firstColumn="0" w:lastColumn="0" w:oddVBand="0" w:evenVBand="1" w:oddHBand="0" w:evenHBand="0" w:firstRowFirstColumn="0" w:firstRowLastColumn="0" w:lastRowFirstColumn="0" w:lastRowLastColumn="0"/>
            <w:tcW w:w="1717" w:type="pct"/>
            <w:tcMar>
              <w:left w:w="113" w:type="dxa"/>
            </w:tcMar>
          </w:tcPr>
          <w:p w14:paraId="5FB903E2" w14:textId="77777777" w:rsidR="006D7571" w:rsidRPr="000557CC" w:rsidRDefault="006D7571" w:rsidP="00784046">
            <w:pPr>
              <w:pStyle w:val="ARtablecolhead"/>
              <w:rPr>
                <w:i/>
                <w:lang w:eastAsia="en-AU"/>
              </w:rPr>
            </w:pPr>
            <w:r w:rsidRPr="000557CC">
              <w:rPr>
                <w:lang w:eastAsia="en-AU"/>
              </w:rPr>
              <w:t>Building type</w:t>
            </w:r>
          </w:p>
        </w:tc>
        <w:tc>
          <w:tcPr>
            <w:tcW w:w="1305" w:type="pct"/>
            <w:tcMar>
              <w:left w:w="113" w:type="dxa"/>
            </w:tcMar>
          </w:tcPr>
          <w:p w14:paraId="57D6D216" w14:textId="77777777" w:rsidR="006D7571" w:rsidRPr="000557CC" w:rsidRDefault="006D7571" w:rsidP="00784046">
            <w:pPr>
              <w:pStyle w:val="ARtablecolhead"/>
              <w:cnfStyle w:val="100000000000" w:firstRow="1" w:lastRow="0" w:firstColumn="0" w:lastColumn="0" w:oddVBand="0" w:evenVBand="0" w:oddHBand="0" w:evenHBand="0" w:firstRowFirstColumn="0" w:firstRowLastColumn="0" w:lastRowFirstColumn="0" w:lastRowLastColumn="0"/>
              <w:rPr>
                <w:i/>
                <w:lang w:eastAsia="en-AU"/>
              </w:rPr>
            </w:pPr>
            <w:r w:rsidRPr="000557CC">
              <w:rPr>
                <w:lang w:eastAsia="en-AU"/>
              </w:rPr>
              <w:t>Rating scheme</w:t>
            </w:r>
          </w:p>
        </w:tc>
        <w:tc>
          <w:tcPr>
            <w:cnfStyle w:val="000001000000" w:firstRow="0" w:lastRow="0" w:firstColumn="0" w:lastColumn="0" w:oddVBand="0" w:evenVBand="1" w:oddHBand="0" w:evenHBand="0" w:firstRowFirstColumn="0" w:firstRowLastColumn="0" w:lastRowFirstColumn="0" w:lastRowLastColumn="0"/>
            <w:tcW w:w="434" w:type="pct"/>
            <w:tcMar>
              <w:left w:w="113" w:type="dxa"/>
            </w:tcMar>
          </w:tcPr>
          <w:p w14:paraId="67467FCA" w14:textId="57D13502" w:rsidR="006D7571" w:rsidRPr="000557CC" w:rsidRDefault="00EA6C9B" w:rsidP="006B2225">
            <w:pPr>
              <w:pStyle w:val="ARtablecolheadright"/>
              <w:rPr>
                <w:i/>
                <w:lang w:eastAsia="en-AU"/>
              </w:rPr>
            </w:pPr>
            <w:r>
              <w:rPr>
                <w:lang w:eastAsia="en-AU"/>
              </w:rPr>
              <w:t>R</w:t>
            </w:r>
            <w:r w:rsidR="000557CC" w:rsidRPr="000557CC">
              <w:rPr>
                <w:lang w:eastAsia="en-AU"/>
              </w:rPr>
              <w:t>ating</w:t>
            </w:r>
            <w:r w:rsidR="006D7571" w:rsidRPr="000557CC">
              <w:rPr>
                <w:lang w:eastAsia="en-AU"/>
              </w:rPr>
              <w:t xml:space="preserve"> (B4)</w:t>
            </w:r>
          </w:p>
        </w:tc>
      </w:tr>
      <w:tr w:rsidR="006D7571" w:rsidRPr="000557CC" w14:paraId="3A7DE4F2" w14:textId="77777777" w:rsidTr="00457FAF">
        <w:tblPrEx>
          <w:tblLook w:val="04A0" w:firstRow="1" w:lastRow="0" w:firstColumn="1" w:lastColumn="0" w:noHBand="0" w:noVBand="1"/>
        </w:tblPrEx>
        <w:trPr>
          <w:cantSplit w:val="0"/>
          <w:trHeight w:val="187"/>
        </w:trPr>
        <w:tc>
          <w:tcPr>
            <w:tcW w:w="1543" w:type="pct"/>
          </w:tcPr>
          <w:p w14:paraId="4633B6D3" w14:textId="77777777" w:rsidR="006D7571" w:rsidRPr="000557CC" w:rsidRDefault="006D7571" w:rsidP="00784046">
            <w:pPr>
              <w:pStyle w:val="ARTabletext"/>
              <w:rPr>
                <w:lang w:eastAsia="en-AU"/>
              </w:rPr>
            </w:pPr>
            <w:r w:rsidRPr="000557CC">
              <w:rPr>
                <w:lang w:eastAsia="en-AU"/>
              </w:rPr>
              <w:t>Bairnsdale – 7 Service St</w:t>
            </w:r>
          </w:p>
        </w:tc>
        <w:tc>
          <w:tcPr>
            <w:tcW w:w="1717" w:type="pct"/>
            <w:shd w:val="clear" w:color="auto" w:fill="E7E6E6"/>
            <w:tcMar>
              <w:left w:w="113" w:type="dxa"/>
            </w:tcMar>
          </w:tcPr>
          <w:p w14:paraId="48F98DF3" w14:textId="77777777" w:rsidR="006D7571" w:rsidRPr="000557CC" w:rsidRDefault="006D7571" w:rsidP="00784046">
            <w:pPr>
              <w:pStyle w:val="ARTabletext"/>
              <w:rPr>
                <w:lang w:eastAsia="en-AU"/>
              </w:rPr>
            </w:pPr>
            <w:r w:rsidRPr="000557CC">
              <w:rPr>
                <w:lang w:eastAsia="en-AU"/>
              </w:rPr>
              <w:t>General office building (base building)</w:t>
            </w:r>
          </w:p>
        </w:tc>
        <w:tc>
          <w:tcPr>
            <w:tcW w:w="1305" w:type="pct"/>
            <w:tcMar>
              <w:left w:w="113" w:type="dxa"/>
            </w:tcMar>
          </w:tcPr>
          <w:p w14:paraId="28C78031" w14:textId="77777777" w:rsidR="006D7571" w:rsidRPr="000557CC" w:rsidRDefault="006D7571" w:rsidP="00784046">
            <w:pPr>
              <w:pStyle w:val="ARTabletext"/>
              <w:rPr>
                <w:lang w:eastAsia="en-AU"/>
              </w:rPr>
            </w:pPr>
            <w:r w:rsidRPr="000557CC">
              <w:rPr>
                <w:lang w:eastAsia="en-AU"/>
              </w:rPr>
              <w:t>NABERS – Energy</w:t>
            </w:r>
          </w:p>
        </w:tc>
        <w:tc>
          <w:tcPr>
            <w:tcW w:w="434" w:type="pct"/>
            <w:shd w:val="clear" w:color="auto" w:fill="E7E6E6"/>
          </w:tcPr>
          <w:p w14:paraId="088D9446" w14:textId="77777777" w:rsidR="006D7571" w:rsidRPr="006B2225" w:rsidRDefault="006D7571" w:rsidP="006B2225">
            <w:pPr>
              <w:pStyle w:val="ARtabletextright"/>
            </w:pPr>
            <w:r w:rsidRPr="006B2225">
              <w:t>5.5</w:t>
            </w:r>
          </w:p>
        </w:tc>
      </w:tr>
      <w:tr w:rsidR="006D7571" w:rsidRPr="000557CC" w14:paraId="246C64B7" w14:textId="77777777" w:rsidTr="00457FAF">
        <w:tblPrEx>
          <w:tblLook w:val="04A0" w:firstRow="1" w:lastRow="0" w:firstColumn="1" w:lastColumn="0" w:noHBand="0" w:noVBand="1"/>
        </w:tblPrEx>
        <w:trPr>
          <w:cantSplit w:val="0"/>
          <w:trHeight w:val="187"/>
        </w:trPr>
        <w:tc>
          <w:tcPr>
            <w:tcW w:w="1543" w:type="pct"/>
          </w:tcPr>
          <w:p w14:paraId="0AC4F581" w14:textId="77777777" w:rsidR="006D7571" w:rsidRPr="000557CC" w:rsidRDefault="006D7571" w:rsidP="00784046">
            <w:pPr>
              <w:pStyle w:val="ARTabletext"/>
              <w:rPr>
                <w:lang w:eastAsia="en-AU"/>
              </w:rPr>
            </w:pPr>
            <w:r w:rsidRPr="000557CC">
              <w:rPr>
                <w:lang w:eastAsia="en-AU"/>
              </w:rPr>
              <w:t>Dandenong – 165-169 Thomas St</w:t>
            </w:r>
          </w:p>
        </w:tc>
        <w:tc>
          <w:tcPr>
            <w:tcW w:w="1717" w:type="pct"/>
            <w:shd w:val="clear" w:color="auto" w:fill="E7E6E6"/>
            <w:tcMar>
              <w:left w:w="113" w:type="dxa"/>
            </w:tcMar>
          </w:tcPr>
          <w:p w14:paraId="410B0452" w14:textId="77777777" w:rsidR="006D7571" w:rsidRPr="000557CC" w:rsidRDefault="006D7571" w:rsidP="00784046">
            <w:pPr>
              <w:pStyle w:val="ARTabletext"/>
              <w:rPr>
                <w:lang w:eastAsia="en-AU"/>
              </w:rPr>
            </w:pPr>
            <w:r w:rsidRPr="000557CC">
              <w:rPr>
                <w:lang w:eastAsia="en-AU"/>
              </w:rPr>
              <w:t>General office (base building)</w:t>
            </w:r>
          </w:p>
        </w:tc>
        <w:tc>
          <w:tcPr>
            <w:tcW w:w="1305" w:type="pct"/>
            <w:tcMar>
              <w:left w:w="113" w:type="dxa"/>
            </w:tcMar>
          </w:tcPr>
          <w:p w14:paraId="5EB188F1" w14:textId="77777777" w:rsidR="006D7571" w:rsidRPr="000557CC" w:rsidRDefault="006D7571" w:rsidP="00784046">
            <w:pPr>
              <w:pStyle w:val="ARTabletext"/>
              <w:rPr>
                <w:lang w:eastAsia="en-AU"/>
              </w:rPr>
            </w:pPr>
            <w:r w:rsidRPr="000557CC">
              <w:rPr>
                <w:lang w:eastAsia="en-AU"/>
              </w:rPr>
              <w:t>NABERS – Energy</w:t>
            </w:r>
          </w:p>
        </w:tc>
        <w:tc>
          <w:tcPr>
            <w:tcW w:w="434" w:type="pct"/>
            <w:shd w:val="clear" w:color="auto" w:fill="E7E6E6"/>
          </w:tcPr>
          <w:p w14:paraId="5BDF6682" w14:textId="77777777" w:rsidR="006D7571" w:rsidRPr="006B2225" w:rsidRDefault="006D7571" w:rsidP="006B2225">
            <w:pPr>
              <w:pStyle w:val="ARtabletextright"/>
            </w:pPr>
            <w:r w:rsidRPr="006B2225">
              <w:t>5.5</w:t>
            </w:r>
          </w:p>
        </w:tc>
      </w:tr>
      <w:tr w:rsidR="006D7571" w:rsidRPr="000557CC" w14:paraId="7C1251B9" w14:textId="77777777" w:rsidTr="00457FAF">
        <w:tblPrEx>
          <w:tblLook w:val="04A0" w:firstRow="1" w:lastRow="0" w:firstColumn="1" w:lastColumn="0" w:noHBand="0" w:noVBand="1"/>
        </w:tblPrEx>
        <w:trPr>
          <w:cantSplit w:val="0"/>
          <w:trHeight w:val="187"/>
        </w:trPr>
        <w:tc>
          <w:tcPr>
            <w:tcW w:w="1543" w:type="pct"/>
          </w:tcPr>
          <w:p w14:paraId="6D609200" w14:textId="77777777" w:rsidR="006D7571" w:rsidRPr="000557CC" w:rsidRDefault="006D7571" w:rsidP="00784046">
            <w:pPr>
              <w:pStyle w:val="ARTabletext"/>
              <w:rPr>
                <w:lang w:eastAsia="en-AU"/>
              </w:rPr>
            </w:pPr>
            <w:r w:rsidRPr="000557CC">
              <w:rPr>
                <w:lang w:eastAsia="en-AU"/>
              </w:rPr>
              <w:t>Dandenong – 165-169 Thomas St</w:t>
            </w:r>
          </w:p>
        </w:tc>
        <w:tc>
          <w:tcPr>
            <w:tcW w:w="1717" w:type="pct"/>
            <w:shd w:val="clear" w:color="auto" w:fill="E7E6E6"/>
            <w:tcMar>
              <w:left w:w="113" w:type="dxa"/>
            </w:tcMar>
          </w:tcPr>
          <w:p w14:paraId="2CCDFBD1" w14:textId="77777777" w:rsidR="006D7571" w:rsidRPr="000557CC" w:rsidRDefault="006D7571" w:rsidP="00784046">
            <w:pPr>
              <w:pStyle w:val="ARTabletext"/>
              <w:rPr>
                <w:lang w:eastAsia="en-AU"/>
              </w:rPr>
            </w:pPr>
            <w:r w:rsidRPr="000557CC">
              <w:rPr>
                <w:lang w:eastAsia="en-AU"/>
              </w:rPr>
              <w:t>General office (base building)</w:t>
            </w:r>
          </w:p>
        </w:tc>
        <w:tc>
          <w:tcPr>
            <w:tcW w:w="1305" w:type="pct"/>
            <w:tcMar>
              <w:left w:w="113" w:type="dxa"/>
            </w:tcMar>
          </w:tcPr>
          <w:p w14:paraId="75425777" w14:textId="77777777" w:rsidR="006D7571" w:rsidRPr="000557CC" w:rsidRDefault="006D7571" w:rsidP="00784046">
            <w:pPr>
              <w:pStyle w:val="ARTabletext"/>
              <w:rPr>
                <w:lang w:eastAsia="en-AU"/>
              </w:rPr>
            </w:pPr>
            <w:r w:rsidRPr="000557CC">
              <w:rPr>
                <w:lang w:eastAsia="en-AU"/>
              </w:rPr>
              <w:t>NABERS Tenancy</w:t>
            </w:r>
          </w:p>
        </w:tc>
        <w:tc>
          <w:tcPr>
            <w:tcW w:w="434" w:type="pct"/>
            <w:shd w:val="clear" w:color="auto" w:fill="E7E6E6"/>
          </w:tcPr>
          <w:p w14:paraId="0D226892" w14:textId="77777777" w:rsidR="006D7571" w:rsidRPr="006B2225" w:rsidRDefault="006D7571" w:rsidP="006B2225">
            <w:pPr>
              <w:pStyle w:val="ARtabletextright"/>
            </w:pPr>
            <w:r w:rsidRPr="006B2225">
              <w:t>6.0</w:t>
            </w:r>
          </w:p>
        </w:tc>
      </w:tr>
      <w:tr w:rsidR="006D7571" w:rsidRPr="000557CC" w14:paraId="69178915" w14:textId="77777777" w:rsidTr="00457FAF">
        <w:tblPrEx>
          <w:tblLook w:val="04A0" w:firstRow="1" w:lastRow="0" w:firstColumn="1" w:lastColumn="0" w:noHBand="0" w:noVBand="1"/>
        </w:tblPrEx>
        <w:trPr>
          <w:cantSplit w:val="0"/>
          <w:trHeight w:val="187"/>
        </w:trPr>
        <w:tc>
          <w:tcPr>
            <w:tcW w:w="1543" w:type="pct"/>
          </w:tcPr>
          <w:p w14:paraId="65D6183F" w14:textId="77777777" w:rsidR="006D7571" w:rsidRPr="000557CC" w:rsidRDefault="006D7571" w:rsidP="00784046">
            <w:pPr>
              <w:pStyle w:val="ARTabletext"/>
              <w:rPr>
                <w:lang w:eastAsia="en-AU"/>
              </w:rPr>
            </w:pPr>
            <w:r w:rsidRPr="000557CC">
              <w:rPr>
                <w:lang w:eastAsia="en-AU"/>
              </w:rPr>
              <w:t>Dandenong – 165-169 Thomas St</w:t>
            </w:r>
          </w:p>
        </w:tc>
        <w:tc>
          <w:tcPr>
            <w:tcW w:w="1717" w:type="pct"/>
            <w:shd w:val="clear" w:color="auto" w:fill="E7E6E6"/>
            <w:tcMar>
              <w:left w:w="113" w:type="dxa"/>
            </w:tcMar>
          </w:tcPr>
          <w:p w14:paraId="616D1468" w14:textId="77777777" w:rsidR="006D7571" w:rsidRPr="000557CC" w:rsidRDefault="006D7571" w:rsidP="00784046">
            <w:pPr>
              <w:pStyle w:val="ARTabletext"/>
              <w:rPr>
                <w:lang w:eastAsia="en-AU"/>
              </w:rPr>
            </w:pPr>
            <w:r w:rsidRPr="000557CC">
              <w:rPr>
                <w:lang w:eastAsia="en-AU"/>
              </w:rPr>
              <w:t>General office (base building)</w:t>
            </w:r>
          </w:p>
        </w:tc>
        <w:tc>
          <w:tcPr>
            <w:tcW w:w="1305" w:type="pct"/>
            <w:tcMar>
              <w:left w:w="113" w:type="dxa"/>
            </w:tcMar>
          </w:tcPr>
          <w:p w14:paraId="30B4CCB9" w14:textId="77777777" w:rsidR="006D7571" w:rsidRPr="000557CC" w:rsidRDefault="006D7571" w:rsidP="00784046">
            <w:pPr>
              <w:pStyle w:val="ARTabletext"/>
              <w:rPr>
                <w:lang w:eastAsia="en-AU"/>
              </w:rPr>
            </w:pPr>
            <w:r w:rsidRPr="000557CC">
              <w:rPr>
                <w:lang w:eastAsia="en-AU"/>
              </w:rPr>
              <w:t>NABERS – Water</w:t>
            </w:r>
          </w:p>
        </w:tc>
        <w:tc>
          <w:tcPr>
            <w:tcW w:w="434" w:type="pct"/>
            <w:shd w:val="clear" w:color="auto" w:fill="E7E6E6"/>
          </w:tcPr>
          <w:p w14:paraId="231EA11D" w14:textId="77777777" w:rsidR="006D7571" w:rsidRPr="006B2225" w:rsidRDefault="006D7571" w:rsidP="006B2225">
            <w:pPr>
              <w:pStyle w:val="ARtabletextright"/>
            </w:pPr>
            <w:r w:rsidRPr="006B2225">
              <w:t>5.5</w:t>
            </w:r>
          </w:p>
        </w:tc>
      </w:tr>
      <w:tr w:rsidR="006D7571" w:rsidRPr="000557CC" w14:paraId="1C372390" w14:textId="77777777" w:rsidTr="00457FAF">
        <w:tblPrEx>
          <w:tblLook w:val="04A0" w:firstRow="1" w:lastRow="0" w:firstColumn="1" w:lastColumn="0" w:noHBand="0" w:noVBand="1"/>
        </w:tblPrEx>
        <w:trPr>
          <w:cantSplit w:val="0"/>
          <w:trHeight w:val="187"/>
        </w:trPr>
        <w:tc>
          <w:tcPr>
            <w:tcW w:w="1543" w:type="pct"/>
          </w:tcPr>
          <w:p w14:paraId="46F2E9A2" w14:textId="77777777" w:rsidR="006D7571" w:rsidRPr="000557CC" w:rsidRDefault="006D7571" w:rsidP="00784046">
            <w:pPr>
              <w:pStyle w:val="ARTabletext"/>
              <w:rPr>
                <w:lang w:eastAsia="en-AU"/>
              </w:rPr>
            </w:pPr>
            <w:r w:rsidRPr="000557CC">
              <w:rPr>
                <w:lang w:eastAsia="en-AU"/>
              </w:rPr>
              <w:t>Footscray – 71 Moreland St</w:t>
            </w:r>
          </w:p>
        </w:tc>
        <w:tc>
          <w:tcPr>
            <w:tcW w:w="1717" w:type="pct"/>
            <w:shd w:val="clear" w:color="auto" w:fill="E7E6E6"/>
            <w:tcMar>
              <w:left w:w="113" w:type="dxa"/>
            </w:tcMar>
          </w:tcPr>
          <w:p w14:paraId="6FF9C11E" w14:textId="77777777" w:rsidR="006D7571" w:rsidRPr="000557CC" w:rsidRDefault="006D7571" w:rsidP="00784046">
            <w:pPr>
              <w:pStyle w:val="ARTabletext"/>
              <w:rPr>
                <w:lang w:eastAsia="en-AU"/>
              </w:rPr>
            </w:pPr>
            <w:r w:rsidRPr="000557CC">
              <w:rPr>
                <w:lang w:eastAsia="en-AU"/>
              </w:rPr>
              <w:t>General office building (whole building)</w:t>
            </w:r>
          </w:p>
        </w:tc>
        <w:tc>
          <w:tcPr>
            <w:tcW w:w="1305" w:type="pct"/>
            <w:tcMar>
              <w:left w:w="113" w:type="dxa"/>
            </w:tcMar>
          </w:tcPr>
          <w:p w14:paraId="5B7290DC" w14:textId="77777777" w:rsidR="006D7571" w:rsidRPr="000557CC" w:rsidRDefault="006D7571" w:rsidP="00784046">
            <w:pPr>
              <w:pStyle w:val="ARTabletext"/>
              <w:rPr>
                <w:lang w:eastAsia="en-AU"/>
              </w:rPr>
            </w:pPr>
            <w:r w:rsidRPr="000557CC">
              <w:rPr>
                <w:lang w:eastAsia="en-AU"/>
              </w:rPr>
              <w:t>NABERS – Energy</w:t>
            </w:r>
          </w:p>
        </w:tc>
        <w:tc>
          <w:tcPr>
            <w:tcW w:w="434" w:type="pct"/>
            <w:shd w:val="clear" w:color="auto" w:fill="E7E6E6"/>
          </w:tcPr>
          <w:p w14:paraId="552C3697" w14:textId="47CE7899" w:rsidR="006D7571" w:rsidRPr="006B2225" w:rsidRDefault="006D7571" w:rsidP="006B2225">
            <w:pPr>
              <w:pStyle w:val="ARtabletextright"/>
            </w:pPr>
            <w:r w:rsidRPr="006B2225">
              <w:t>6</w:t>
            </w:r>
            <w:r w:rsidR="000D1EDD">
              <w:t>.0</w:t>
            </w:r>
          </w:p>
        </w:tc>
      </w:tr>
      <w:tr w:rsidR="006D7571" w:rsidRPr="000557CC" w14:paraId="6F686F3A" w14:textId="77777777" w:rsidTr="00457FAF">
        <w:tblPrEx>
          <w:tblLook w:val="04A0" w:firstRow="1" w:lastRow="0" w:firstColumn="1" w:lastColumn="0" w:noHBand="0" w:noVBand="1"/>
        </w:tblPrEx>
        <w:trPr>
          <w:cantSplit w:val="0"/>
          <w:trHeight w:val="187"/>
        </w:trPr>
        <w:tc>
          <w:tcPr>
            <w:tcW w:w="1543" w:type="pct"/>
          </w:tcPr>
          <w:p w14:paraId="0A5C0396" w14:textId="77777777" w:rsidR="006D7571" w:rsidRPr="000557CC" w:rsidRDefault="006D7571" w:rsidP="00784046">
            <w:pPr>
              <w:pStyle w:val="ARTabletext"/>
              <w:rPr>
                <w:lang w:eastAsia="en-AU"/>
              </w:rPr>
            </w:pPr>
            <w:r w:rsidRPr="000557CC">
              <w:rPr>
                <w:lang w:eastAsia="en-AU"/>
              </w:rPr>
              <w:t>Footscray – 71 Moreland St</w:t>
            </w:r>
          </w:p>
        </w:tc>
        <w:tc>
          <w:tcPr>
            <w:tcW w:w="1717" w:type="pct"/>
            <w:shd w:val="clear" w:color="auto" w:fill="E7E6E6"/>
            <w:tcMar>
              <w:left w:w="113" w:type="dxa"/>
            </w:tcMar>
          </w:tcPr>
          <w:p w14:paraId="070254C8" w14:textId="48F88234" w:rsidR="006D7571" w:rsidRPr="000557CC" w:rsidRDefault="006D7571" w:rsidP="00784046">
            <w:pPr>
              <w:pStyle w:val="ARTabletext"/>
              <w:rPr>
                <w:lang w:eastAsia="en-AU"/>
              </w:rPr>
            </w:pPr>
            <w:r w:rsidRPr="000557CC">
              <w:rPr>
                <w:lang w:eastAsia="en-AU"/>
              </w:rPr>
              <w:t>General office (base building and</w:t>
            </w:r>
            <w:r w:rsidR="00784046">
              <w:rPr>
                <w:lang w:eastAsia="en-AU"/>
              </w:rPr>
              <w:t> </w:t>
            </w:r>
            <w:r w:rsidRPr="000557CC">
              <w:rPr>
                <w:lang w:eastAsia="en-AU"/>
              </w:rPr>
              <w:t>tenancy)</w:t>
            </w:r>
          </w:p>
        </w:tc>
        <w:tc>
          <w:tcPr>
            <w:tcW w:w="1305" w:type="pct"/>
            <w:tcMar>
              <w:left w:w="113" w:type="dxa"/>
            </w:tcMar>
          </w:tcPr>
          <w:p w14:paraId="7F7B3479" w14:textId="77777777" w:rsidR="006D7571" w:rsidRPr="000557CC" w:rsidRDefault="006D7571" w:rsidP="00784046">
            <w:pPr>
              <w:pStyle w:val="ARTabletext"/>
              <w:rPr>
                <w:lang w:eastAsia="en-AU"/>
              </w:rPr>
            </w:pPr>
            <w:r w:rsidRPr="000557CC">
              <w:rPr>
                <w:lang w:eastAsia="en-AU"/>
              </w:rPr>
              <w:t>NABERS – Water</w:t>
            </w:r>
          </w:p>
        </w:tc>
        <w:tc>
          <w:tcPr>
            <w:tcW w:w="434" w:type="pct"/>
            <w:shd w:val="clear" w:color="auto" w:fill="E7E6E6"/>
          </w:tcPr>
          <w:p w14:paraId="34991286" w14:textId="1EDBDE17" w:rsidR="006D7571" w:rsidRPr="006B2225" w:rsidRDefault="006D7571" w:rsidP="006B2225">
            <w:pPr>
              <w:pStyle w:val="ARtabletextright"/>
            </w:pPr>
            <w:r w:rsidRPr="006B2225">
              <w:t>6</w:t>
            </w:r>
            <w:r w:rsidR="000D1EDD">
              <w:t>.0</w:t>
            </w:r>
          </w:p>
        </w:tc>
      </w:tr>
      <w:tr w:rsidR="006D7571" w:rsidRPr="000557CC" w14:paraId="5E0B6C24" w14:textId="77777777" w:rsidTr="00457FAF">
        <w:tblPrEx>
          <w:tblLook w:val="04A0" w:firstRow="1" w:lastRow="0" w:firstColumn="1" w:lastColumn="0" w:noHBand="0" w:noVBand="1"/>
        </w:tblPrEx>
        <w:trPr>
          <w:cantSplit w:val="0"/>
          <w:trHeight w:val="187"/>
        </w:trPr>
        <w:tc>
          <w:tcPr>
            <w:tcW w:w="1543" w:type="pct"/>
          </w:tcPr>
          <w:p w14:paraId="147FE807" w14:textId="77777777" w:rsidR="006D7571" w:rsidRPr="000557CC" w:rsidRDefault="006D7571" w:rsidP="00784046">
            <w:pPr>
              <w:pStyle w:val="ARTabletext"/>
              <w:rPr>
                <w:lang w:eastAsia="en-AU"/>
              </w:rPr>
            </w:pPr>
            <w:r w:rsidRPr="000557CC">
              <w:rPr>
                <w:lang w:eastAsia="en-AU"/>
              </w:rPr>
              <w:t>Frankston – 383 Nepean Highway</w:t>
            </w:r>
          </w:p>
        </w:tc>
        <w:tc>
          <w:tcPr>
            <w:tcW w:w="1717" w:type="pct"/>
            <w:shd w:val="clear" w:color="auto" w:fill="E7E6E6"/>
            <w:tcMar>
              <w:left w:w="113" w:type="dxa"/>
            </w:tcMar>
          </w:tcPr>
          <w:p w14:paraId="09F51403" w14:textId="77777777" w:rsidR="006D7571" w:rsidRPr="000557CC" w:rsidRDefault="006D7571" w:rsidP="00784046">
            <w:pPr>
              <w:pStyle w:val="ARTabletext"/>
              <w:rPr>
                <w:lang w:eastAsia="en-AU"/>
              </w:rPr>
            </w:pPr>
            <w:r w:rsidRPr="000557CC">
              <w:rPr>
                <w:lang w:eastAsia="en-AU"/>
              </w:rPr>
              <w:t>General office building (base building)</w:t>
            </w:r>
          </w:p>
        </w:tc>
        <w:tc>
          <w:tcPr>
            <w:tcW w:w="1305" w:type="pct"/>
            <w:tcMar>
              <w:left w:w="113" w:type="dxa"/>
            </w:tcMar>
          </w:tcPr>
          <w:p w14:paraId="1A0D64CC" w14:textId="77777777" w:rsidR="006D7571" w:rsidRPr="000557CC" w:rsidRDefault="006D7571" w:rsidP="00784046">
            <w:pPr>
              <w:pStyle w:val="ARTabletext"/>
              <w:rPr>
                <w:lang w:eastAsia="en-AU"/>
              </w:rPr>
            </w:pPr>
            <w:r w:rsidRPr="000557CC">
              <w:rPr>
                <w:lang w:eastAsia="en-AU"/>
              </w:rPr>
              <w:t>NABERS – Energy</w:t>
            </w:r>
          </w:p>
        </w:tc>
        <w:tc>
          <w:tcPr>
            <w:tcW w:w="434" w:type="pct"/>
            <w:shd w:val="clear" w:color="auto" w:fill="E7E6E6"/>
          </w:tcPr>
          <w:p w14:paraId="0EE0B84F" w14:textId="77777777" w:rsidR="006D7571" w:rsidRPr="006B2225" w:rsidRDefault="006D7571" w:rsidP="006B2225">
            <w:pPr>
              <w:pStyle w:val="ARtabletextright"/>
            </w:pPr>
            <w:r w:rsidRPr="006B2225">
              <w:t>5.5</w:t>
            </w:r>
          </w:p>
        </w:tc>
      </w:tr>
      <w:tr w:rsidR="006D7571" w:rsidRPr="000557CC" w14:paraId="6B455ADF" w14:textId="77777777" w:rsidTr="00457FAF">
        <w:tblPrEx>
          <w:tblLook w:val="04A0" w:firstRow="1" w:lastRow="0" w:firstColumn="1" w:lastColumn="0" w:noHBand="0" w:noVBand="1"/>
        </w:tblPrEx>
        <w:trPr>
          <w:cantSplit w:val="0"/>
          <w:trHeight w:val="187"/>
        </w:trPr>
        <w:tc>
          <w:tcPr>
            <w:tcW w:w="1543" w:type="pct"/>
          </w:tcPr>
          <w:p w14:paraId="774078D1" w14:textId="77777777" w:rsidR="006D7571" w:rsidRPr="000557CC" w:rsidRDefault="006D7571" w:rsidP="00784046">
            <w:pPr>
              <w:pStyle w:val="ARTabletext"/>
              <w:rPr>
                <w:lang w:eastAsia="en-AU"/>
              </w:rPr>
            </w:pPr>
            <w:r w:rsidRPr="000557CC">
              <w:rPr>
                <w:lang w:eastAsia="en-AU"/>
              </w:rPr>
              <w:t>Melbourne – 121 Exhibition St</w:t>
            </w:r>
          </w:p>
        </w:tc>
        <w:tc>
          <w:tcPr>
            <w:tcW w:w="1717" w:type="pct"/>
            <w:shd w:val="clear" w:color="auto" w:fill="E7E6E6"/>
            <w:tcMar>
              <w:left w:w="113" w:type="dxa"/>
            </w:tcMar>
          </w:tcPr>
          <w:p w14:paraId="7F67DEA9" w14:textId="77777777" w:rsidR="006D7571" w:rsidRPr="000557CC" w:rsidRDefault="006D7571" w:rsidP="00784046">
            <w:pPr>
              <w:pStyle w:val="ARTabletext"/>
              <w:rPr>
                <w:lang w:eastAsia="en-AU"/>
              </w:rPr>
            </w:pPr>
            <w:r w:rsidRPr="000557CC">
              <w:rPr>
                <w:lang w:eastAsia="en-AU"/>
              </w:rPr>
              <w:t>General office building (base building)</w:t>
            </w:r>
          </w:p>
        </w:tc>
        <w:tc>
          <w:tcPr>
            <w:tcW w:w="1305" w:type="pct"/>
            <w:tcMar>
              <w:left w:w="113" w:type="dxa"/>
            </w:tcMar>
          </w:tcPr>
          <w:p w14:paraId="4ED5F999" w14:textId="77777777" w:rsidR="006D7571" w:rsidRPr="000557CC" w:rsidRDefault="006D7571" w:rsidP="00784046">
            <w:pPr>
              <w:pStyle w:val="ARTabletext"/>
              <w:rPr>
                <w:lang w:eastAsia="en-AU"/>
              </w:rPr>
            </w:pPr>
            <w:r w:rsidRPr="000557CC">
              <w:rPr>
                <w:lang w:eastAsia="en-AU"/>
              </w:rPr>
              <w:t>NABERS – Energy</w:t>
            </w:r>
          </w:p>
        </w:tc>
        <w:tc>
          <w:tcPr>
            <w:tcW w:w="434" w:type="pct"/>
            <w:shd w:val="clear" w:color="auto" w:fill="E7E6E6"/>
          </w:tcPr>
          <w:p w14:paraId="01D53455" w14:textId="77777777" w:rsidR="006D7571" w:rsidRPr="006B2225" w:rsidRDefault="006D7571" w:rsidP="006B2225">
            <w:pPr>
              <w:pStyle w:val="ARtabletextright"/>
            </w:pPr>
            <w:r w:rsidRPr="006B2225">
              <w:t>5.5</w:t>
            </w:r>
          </w:p>
        </w:tc>
      </w:tr>
      <w:tr w:rsidR="006D7571" w:rsidRPr="000557CC" w14:paraId="16A28C1B" w14:textId="77777777" w:rsidTr="00457FAF">
        <w:tblPrEx>
          <w:tblLook w:val="04A0" w:firstRow="1" w:lastRow="0" w:firstColumn="1" w:lastColumn="0" w:noHBand="0" w:noVBand="1"/>
        </w:tblPrEx>
        <w:trPr>
          <w:cantSplit w:val="0"/>
          <w:trHeight w:val="187"/>
        </w:trPr>
        <w:tc>
          <w:tcPr>
            <w:tcW w:w="1543" w:type="pct"/>
          </w:tcPr>
          <w:p w14:paraId="5EBC0D7B" w14:textId="77777777" w:rsidR="006D7571" w:rsidRPr="000557CC" w:rsidRDefault="006D7571" w:rsidP="00784046">
            <w:pPr>
              <w:pStyle w:val="ARTabletext"/>
              <w:rPr>
                <w:lang w:eastAsia="en-AU"/>
              </w:rPr>
            </w:pPr>
            <w:r w:rsidRPr="000557CC">
              <w:rPr>
                <w:lang w:eastAsia="en-AU"/>
              </w:rPr>
              <w:t>Melbourne – 50 Lonsdale St</w:t>
            </w:r>
          </w:p>
        </w:tc>
        <w:tc>
          <w:tcPr>
            <w:tcW w:w="1717" w:type="pct"/>
            <w:shd w:val="clear" w:color="auto" w:fill="E7E6E6"/>
            <w:tcMar>
              <w:left w:w="113" w:type="dxa"/>
            </w:tcMar>
          </w:tcPr>
          <w:p w14:paraId="6F5E0AD0" w14:textId="77777777" w:rsidR="006D7571" w:rsidRPr="000557CC" w:rsidRDefault="006D7571" w:rsidP="00784046">
            <w:pPr>
              <w:pStyle w:val="ARTabletext"/>
              <w:rPr>
                <w:lang w:eastAsia="en-AU"/>
              </w:rPr>
            </w:pPr>
            <w:r w:rsidRPr="000557CC">
              <w:rPr>
                <w:lang w:eastAsia="en-AU"/>
              </w:rPr>
              <w:t>General office building (whole building)</w:t>
            </w:r>
          </w:p>
        </w:tc>
        <w:tc>
          <w:tcPr>
            <w:tcW w:w="1305" w:type="pct"/>
            <w:tcMar>
              <w:left w:w="113" w:type="dxa"/>
            </w:tcMar>
          </w:tcPr>
          <w:p w14:paraId="05D1B352" w14:textId="77777777" w:rsidR="006D7571" w:rsidRPr="000557CC" w:rsidRDefault="006D7571" w:rsidP="00784046">
            <w:pPr>
              <w:pStyle w:val="ARTabletext"/>
              <w:rPr>
                <w:lang w:eastAsia="en-AU"/>
              </w:rPr>
            </w:pPr>
            <w:r w:rsidRPr="000557CC">
              <w:rPr>
                <w:lang w:eastAsia="en-AU"/>
              </w:rPr>
              <w:t>NABERS – Energy</w:t>
            </w:r>
          </w:p>
        </w:tc>
        <w:tc>
          <w:tcPr>
            <w:tcW w:w="434" w:type="pct"/>
            <w:shd w:val="clear" w:color="auto" w:fill="E7E6E6"/>
          </w:tcPr>
          <w:p w14:paraId="58D8F7AD" w14:textId="77777777" w:rsidR="006D7571" w:rsidRPr="006B2225" w:rsidRDefault="006D7571" w:rsidP="006B2225">
            <w:pPr>
              <w:pStyle w:val="ARtabletextright"/>
            </w:pPr>
            <w:r w:rsidRPr="006B2225">
              <w:t>5.5</w:t>
            </w:r>
          </w:p>
        </w:tc>
      </w:tr>
      <w:tr w:rsidR="006D7571" w:rsidRPr="000557CC" w14:paraId="4E3198F0" w14:textId="77777777" w:rsidTr="00457FAF">
        <w:tblPrEx>
          <w:tblLook w:val="04A0" w:firstRow="1" w:lastRow="0" w:firstColumn="1" w:lastColumn="0" w:noHBand="0" w:noVBand="1"/>
        </w:tblPrEx>
        <w:trPr>
          <w:cantSplit w:val="0"/>
          <w:trHeight w:val="187"/>
        </w:trPr>
        <w:tc>
          <w:tcPr>
            <w:tcW w:w="1543" w:type="pct"/>
          </w:tcPr>
          <w:p w14:paraId="74E59CA1" w14:textId="77777777" w:rsidR="006D7571" w:rsidRPr="000557CC" w:rsidRDefault="006D7571" w:rsidP="00784046">
            <w:pPr>
              <w:pStyle w:val="ARTabletext"/>
              <w:rPr>
                <w:lang w:eastAsia="en-AU"/>
              </w:rPr>
            </w:pPr>
            <w:r w:rsidRPr="000557CC">
              <w:rPr>
                <w:lang w:eastAsia="en-AU"/>
              </w:rPr>
              <w:t>Melbourne – 50 Lonsdale St</w:t>
            </w:r>
          </w:p>
        </w:tc>
        <w:tc>
          <w:tcPr>
            <w:tcW w:w="1717" w:type="pct"/>
            <w:shd w:val="clear" w:color="auto" w:fill="E7E6E6"/>
            <w:tcMar>
              <w:left w:w="113" w:type="dxa"/>
            </w:tcMar>
          </w:tcPr>
          <w:p w14:paraId="27B6CEDE" w14:textId="77777777" w:rsidR="006D7571" w:rsidRPr="000557CC" w:rsidRDefault="006D7571" w:rsidP="00784046">
            <w:pPr>
              <w:pStyle w:val="ARTabletext"/>
              <w:rPr>
                <w:lang w:eastAsia="en-AU"/>
              </w:rPr>
            </w:pPr>
            <w:r w:rsidRPr="000557CC">
              <w:rPr>
                <w:lang w:eastAsia="en-AU"/>
              </w:rPr>
              <w:t>General office building (base building)</w:t>
            </w:r>
          </w:p>
        </w:tc>
        <w:tc>
          <w:tcPr>
            <w:tcW w:w="1305" w:type="pct"/>
            <w:tcMar>
              <w:left w:w="113" w:type="dxa"/>
            </w:tcMar>
          </w:tcPr>
          <w:p w14:paraId="2B2AD039" w14:textId="1876624A" w:rsidR="006D7571" w:rsidRPr="000557CC" w:rsidRDefault="006D7571" w:rsidP="00784046">
            <w:pPr>
              <w:pStyle w:val="ARTabletext"/>
              <w:rPr>
                <w:lang w:eastAsia="en-AU"/>
              </w:rPr>
            </w:pPr>
            <w:r w:rsidRPr="000557CC">
              <w:rPr>
                <w:lang w:eastAsia="en-AU"/>
              </w:rPr>
              <w:t xml:space="preserve">NABERS </w:t>
            </w:r>
            <w:r w:rsidR="00D345A1">
              <w:rPr>
                <w:lang w:eastAsia="en-AU"/>
              </w:rPr>
              <w:t>–</w:t>
            </w:r>
            <w:r w:rsidRPr="000557CC">
              <w:rPr>
                <w:lang w:eastAsia="en-AU"/>
              </w:rPr>
              <w:t xml:space="preserve"> Water</w:t>
            </w:r>
          </w:p>
        </w:tc>
        <w:tc>
          <w:tcPr>
            <w:tcW w:w="434" w:type="pct"/>
            <w:shd w:val="clear" w:color="auto" w:fill="E7E6E6"/>
          </w:tcPr>
          <w:p w14:paraId="2482EFAD" w14:textId="77777777" w:rsidR="006D7571" w:rsidRPr="006B2225" w:rsidRDefault="006D7571" w:rsidP="006B2225">
            <w:pPr>
              <w:pStyle w:val="ARtabletextright"/>
            </w:pPr>
            <w:r w:rsidRPr="006B2225">
              <w:t>5.5</w:t>
            </w:r>
          </w:p>
        </w:tc>
      </w:tr>
      <w:tr w:rsidR="006D7571" w:rsidRPr="000557CC" w14:paraId="7FC5DFE0" w14:textId="77777777" w:rsidTr="00457FAF">
        <w:tblPrEx>
          <w:tblLook w:val="04A0" w:firstRow="1" w:lastRow="0" w:firstColumn="1" w:lastColumn="0" w:noHBand="0" w:noVBand="1"/>
        </w:tblPrEx>
        <w:trPr>
          <w:cantSplit w:val="0"/>
          <w:trHeight w:val="187"/>
        </w:trPr>
        <w:tc>
          <w:tcPr>
            <w:tcW w:w="1543" w:type="pct"/>
            <w:tcBorders>
              <w:bottom w:val="single" w:sz="4" w:space="0" w:color="A6A6A6"/>
            </w:tcBorders>
          </w:tcPr>
          <w:p w14:paraId="5FC507E7" w14:textId="77777777" w:rsidR="006D7571" w:rsidRPr="000557CC" w:rsidRDefault="006D7571" w:rsidP="00784046">
            <w:pPr>
              <w:pStyle w:val="ARTabletext"/>
              <w:rPr>
                <w:lang w:eastAsia="en-AU"/>
              </w:rPr>
            </w:pPr>
            <w:r w:rsidRPr="000557CC">
              <w:rPr>
                <w:lang w:eastAsia="en-AU"/>
              </w:rPr>
              <w:t>Melbourne – 50 Lonsdale St</w:t>
            </w:r>
          </w:p>
        </w:tc>
        <w:tc>
          <w:tcPr>
            <w:tcW w:w="1717" w:type="pct"/>
            <w:tcBorders>
              <w:bottom w:val="single" w:sz="4" w:space="0" w:color="A6A6A6"/>
            </w:tcBorders>
            <w:shd w:val="clear" w:color="auto" w:fill="E7E6E6"/>
            <w:tcMar>
              <w:left w:w="113" w:type="dxa"/>
            </w:tcMar>
          </w:tcPr>
          <w:p w14:paraId="24CD0528" w14:textId="77777777" w:rsidR="006D7571" w:rsidRPr="000557CC" w:rsidRDefault="006D7571" w:rsidP="00784046">
            <w:pPr>
              <w:pStyle w:val="ARTabletext"/>
              <w:rPr>
                <w:lang w:eastAsia="en-AU"/>
              </w:rPr>
            </w:pPr>
            <w:r w:rsidRPr="000557CC">
              <w:rPr>
                <w:lang w:eastAsia="en-AU"/>
              </w:rPr>
              <w:t>General office building (base building)</w:t>
            </w:r>
          </w:p>
        </w:tc>
        <w:tc>
          <w:tcPr>
            <w:tcW w:w="1305" w:type="pct"/>
            <w:tcBorders>
              <w:bottom w:val="single" w:sz="4" w:space="0" w:color="A6A6A6"/>
            </w:tcBorders>
            <w:tcMar>
              <w:left w:w="113" w:type="dxa"/>
            </w:tcMar>
          </w:tcPr>
          <w:p w14:paraId="684B9A02" w14:textId="77777777" w:rsidR="006D7571" w:rsidRPr="000557CC" w:rsidRDefault="006D7571" w:rsidP="00784046">
            <w:pPr>
              <w:pStyle w:val="ARTabletext"/>
              <w:rPr>
                <w:lang w:eastAsia="en-AU"/>
              </w:rPr>
            </w:pPr>
            <w:r w:rsidRPr="000557CC">
              <w:rPr>
                <w:lang w:eastAsia="en-AU"/>
              </w:rPr>
              <w:t>NABERS Indoor Environment</w:t>
            </w:r>
          </w:p>
        </w:tc>
        <w:tc>
          <w:tcPr>
            <w:tcW w:w="434" w:type="pct"/>
            <w:tcBorders>
              <w:bottom w:val="single" w:sz="4" w:space="0" w:color="A6A6A6"/>
            </w:tcBorders>
            <w:shd w:val="clear" w:color="auto" w:fill="E7E6E6"/>
          </w:tcPr>
          <w:p w14:paraId="37602DB2" w14:textId="77777777" w:rsidR="006D7571" w:rsidRPr="006B2225" w:rsidRDefault="006D7571" w:rsidP="006B2225">
            <w:pPr>
              <w:pStyle w:val="ARtabletextright"/>
            </w:pPr>
            <w:r w:rsidRPr="006B2225">
              <w:t>6.0</w:t>
            </w:r>
          </w:p>
        </w:tc>
      </w:tr>
      <w:tr w:rsidR="006D7571" w:rsidRPr="000557CC" w14:paraId="0FA83A2B" w14:textId="77777777" w:rsidTr="00457FAF">
        <w:tblPrEx>
          <w:tblLook w:val="04A0" w:firstRow="1" w:lastRow="0" w:firstColumn="1" w:lastColumn="0" w:noHBand="0" w:noVBand="1"/>
        </w:tblPrEx>
        <w:trPr>
          <w:cantSplit w:val="0"/>
          <w:trHeight w:val="187"/>
        </w:trPr>
        <w:tc>
          <w:tcPr>
            <w:tcW w:w="1543" w:type="pct"/>
            <w:tcBorders>
              <w:top w:val="single" w:sz="4" w:space="0" w:color="A6A6A6"/>
              <w:bottom w:val="single" w:sz="4" w:space="0" w:color="000000" w:themeColor="text1"/>
            </w:tcBorders>
          </w:tcPr>
          <w:p w14:paraId="652A88E3" w14:textId="77777777" w:rsidR="006D7571" w:rsidRPr="000557CC" w:rsidRDefault="006D7571" w:rsidP="00784046">
            <w:pPr>
              <w:pStyle w:val="ARTabletext"/>
              <w:rPr>
                <w:lang w:eastAsia="en-AU"/>
              </w:rPr>
            </w:pPr>
            <w:r w:rsidRPr="000557CC">
              <w:rPr>
                <w:lang w:eastAsia="en-AU"/>
              </w:rPr>
              <w:t>Morwell – 65 Church St</w:t>
            </w:r>
          </w:p>
        </w:tc>
        <w:tc>
          <w:tcPr>
            <w:tcW w:w="1717" w:type="pct"/>
            <w:tcBorders>
              <w:top w:val="single" w:sz="4" w:space="0" w:color="A6A6A6"/>
              <w:bottom w:val="single" w:sz="4" w:space="0" w:color="000000" w:themeColor="text1"/>
            </w:tcBorders>
            <w:shd w:val="clear" w:color="auto" w:fill="E7E6E6"/>
            <w:tcMar>
              <w:left w:w="113" w:type="dxa"/>
            </w:tcMar>
          </w:tcPr>
          <w:p w14:paraId="2BD257B0" w14:textId="77777777" w:rsidR="006D7571" w:rsidRPr="000557CC" w:rsidRDefault="006D7571" w:rsidP="00784046">
            <w:pPr>
              <w:pStyle w:val="ARTabletext"/>
              <w:rPr>
                <w:lang w:eastAsia="en-AU"/>
              </w:rPr>
            </w:pPr>
            <w:r w:rsidRPr="000557CC">
              <w:rPr>
                <w:lang w:eastAsia="en-AU"/>
              </w:rPr>
              <w:t>General office building (base building)</w:t>
            </w:r>
          </w:p>
        </w:tc>
        <w:tc>
          <w:tcPr>
            <w:tcW w:w="1305" w:type="pct"/>
            <w:tcBorders>
              <w:top w:val="single" w:sz="4" w:space="0" w:color="A6A6A6"/>
              <w:bottom w:val="single" w:sz="4" w:space="0" w:color="000000" w:themeColor="text1"/>
            </w:tcBorders>
            <w:tcMar>
              <w:left w:w="113" w:type="dxa"/>
            </w:tcMar>
          </w:tcPr>
          <w:p w14:paraId="3F7AD201" w14:textId="34BFE6D1" w:rsidR="006D7571" w:rsidRPr="000557CC" w:rsidRDefault="006D7571" w:rsidP="00784046">
            <w:pPr>
              <w:pStyle w:val="ARTabletext"/>
              <w:rPr>
                <w:lang w:eastAsia="en-AU"/>
              </w:rPr>
            </w:pPr>
            <w:r w:rsidRPr="000557CC">
              <w:rPr>
                <w:lang w:eastAsia="en-AU"/>
              </w:rPr>
              <w:t xml:space="preserve">NABERS </w:t>
            </w:r>
            <w:r w:rsidR="00D345A1">
              <w:rPr>
                <w:lang w:eastAsia="en-AU"/>
              </w:rPr>
              <w:t>–</w:t>
            </w:r>
            <w:r w:rsidRPr="000557CC">
              <w:rPr>
                <w:lang w:eastAsia="en-AU"/>
              </w:rPr>
              <w:t xml:space="preserve"> Water</w:t>
            </w:r>
          </w:p>
        </w:tc>
        <w:tc>
          <w:tcPr>
            <w:tcW w:w="434" w:type="pct"/>
            <w:tcBorders>
              <w:top w:val="single" w:sz="4" w:space="0" w:color="A6A6A6"/>
              <w:bottom w:val="single" w:sz="4" w:space="0" w:color="000000" w:themeColor="text1"/>
            </w:tcBorders>
            <w:shd w:val="clear" w:color="auto" w:fill="E7E6E6"/>
          </w:tcPr>
          <w:p w14:paraId="65D74CBF" w14:textId="77777777" w:rsidR="006D7571" w:rsidRPr="006B2225" w:rsidRDefault="006D7571" w:rsidP="006B2225">
            <w:pPr>
              <w:pStyle w:val="ARtabletextright"/>
            </w:pPr>
            <w:r w:rsidRPr="006B2225">
              <w:t>5.5</w:t>
            </w:r>
          </w:p>
        </w:tc>
      </w:tr>
    </w:tbl>
    <w:p w14:paraId="43CC43FC" w14:textId="77777777" w:rsidR="006D7571" w:rsidRPr="00541B81" w:rsidRDefault="006D7571" w:rsidP="00541B81">
      <w:pPr>
        <w:pStyle w:val="ARBodyaftertablefigure"/>
      </w:pPr>
      <w:r w:rsidRPr="00541B81">
        <w:t>The department has adjusted lighting levels, temperature and other building systems to avoid unnecessary consumption of energy while maintaining safety and comfort of occupants.</w:t>
      </w:r>
    </w:p>
    <w:p w14:paraId="0E58F583" w14:textId="77777777" w:rsidR="006D7571" w:rsidRPr="000557CC" w:rsidRDefault="006D7571" w:rsidP="00784046">
      <w:pPr>
        <w:pStyle w:val="Heading3"/>
        <w:rPr>
          <w:lang w:eastAsia="en-AU"/>
        </w:rPr>
      </w:pPr>
      <w:r w:rsidRPr="000557CC">
        <w:rPr>
          <w:lang w:eastAsia="en-AU"/>
        </w:rPr>
        <w:t>Sustainable procurement</w:t>
      </w:r>
    </w:p>
    <w:p w14:paraId="05CF69B3" w14:textId="77777777" w:rsidR="006D7571" w:rsidRPr="006D7571" w:rsidRDefault="006D7571" w:rsidP="00784046">
      <w:pPr>
        <w:pStyle w:val="ARBody"/>
      </w:pPr>
      <w:r w:rsidRPr="000557CC">
        <w:rPr>
          <w:rFonts w:cs="Arial"/>
          <w:szCs w:val="24"/>
        </w:rPr>
        <w:t>The department c</w:t>
      </w:r>
      <w:r w:rsidRPr="006D7571">
        <w:rPr>
          <w:rFonts w:cs="Arial"/>
          <w:szCs w:val="24"/>
        </w:rPr>
        <w:t xml:space="preserve">onsiders sustainable procurement objectives through its implementation of the </w:t>
      </w:r>
      <w:r w:rsidRPr="00A124D1">
        <w:rPr>
          <w:rStyle w:val="Emphasis"/>
        </w:rPr>
        <w:t>Social Procurement Framework.</w:t>
      </w:r>
      <w:r w:rsidRPr="006D7571">
        <w:rPr>
          <w:rFonts w:cs="Arial"/>
          <w:szCs w:val="24"/>
        </w:rPr>
        <w:t xml:space="preserve"> This sets out the requirements that apply to Victorian Government departments and agencies when they procure goods, services and construction. Refer to the ‘Social procurement framework’ section for more information.</w:t>
      </w:r>
    </w:p>
    <w:p w14:paraId="0116B9F8" w14:textId="77777777" w:rsidR="006D7571" w:rsidRPr="000557CC" w:rsidRDefault="006D7571" w:rsidP="00784046">
      <w:pPr>
        <w:pStyle w:val="Heading3"/>
        <w:rPr>
          <w:lang w:eastAsia="en-AU"/>
        </w:rPr>
      </w:pPr>
      <w:r w:rsidRPr="000557CC">
        <w:rPr>
          <w:lang w:eastAsia="en-AU"/>
        </w:rPr>
        <w:t>Water consumption</w:t>
      </w:r>
    </w:p>
    <w:p w14:paraId="5FE90C93" w14:textId="77777777" w:rsidR="006D7571" w:rsidRPr="006D7571" w:rsidRDefault="006D7571" w:rsidP="00784046">
      <w:pPr>
        <w:pStyle w:val="ARBody"/>
      </w:pPr>
      <w:r w:rsidRPr="000557CC">
        <w:rPr>
          <w:rFonts w:cs="Arial"/>
          <w:szCs w:val="24"/>
        </w:rPr>
        <w:t xml:space="preserve">The department monitors its water consumption across facilities and operations. We encourage clients to improve their own water efficiency. The department’s water usage </w:t>
      </w:r>
      <w:r w:rsidRPr="006D7571">
        <w:rPr>
          <w:rFonts w:cs="Arial"/>
          <w:szCs w:val="24"/>
        </w:rPr>
        <w:t>increased by 14% due to a combination of factors including unusually warm day peaks offset by increased cold snaps and winter frost; an increase in office attendance; and higher demand on office heating, ventilation and air-conditioning (HVAC) systems.</w:t>
      </w:r>
    </w:p>
    <w:p w14:paraId="0A944710" w14:textId="77777777" w:rsidR="006D7571" w:rsidRPr="006D7571" w:rsidRDefault="006D7571" w:rsidP="00784046">
      <w:pPr>
        <w:pStyle w:val="ARBody"/>
      </w:pPr>
      <w:r w:rsidRPr="000557CC">
        <w:rPr>
          <w:rFonts w:cs="Arial"/>
          <w:szCs w:val="24"/>
        </w:rPr>
        <w:t>Housing services potable water consumption decreased by 13%. This was attributable to the relocation of renters from high-rise public housing towers and the ongoing replacement of older low-rise public housing sites with new community and affordable housing s</w:t>
      </w:r>
      <w:r w:rsidRPr="006D7571">
        <w:rPr>
          <w:rFonts w:cs="Arial"/>
          <w:szCs w:val="24"/>
        </w:rPr>
        <w:t>ites outside of the department’s reporting boundary.</w:t>
      </w:r>
    </w:p>
    <w:p w14:paraId="7576DFB7" w14:textId="77777777" w:rsidR="006D7571" w:rsidRPr="000557CC" w:rsidRDefault="006D7571" w:rsidP="00784046">
      <w:pPr>
        <w:pStyle w:val="Heading4"/>
        <w:rPr>
          <w:lang w:eastAsia="ja-JP"/>
        </w:rPr>
      </w:pPr>
      <w:r w:rsidRPr="000557CC">
        <w:rPr>
          <w:lang w:eastAsia="ja-JP"/>
        </w:rPr>
        <w:t>Department offices</w:t>
      </w:r>
    </w:p>
    <w:p w14:paraId="6C716471" w14:textId="77777777" w:rsidR="006D7571" w:rsidRPr="000557CC" w:rsidRDefault="006D7571" w:rsidP="00965115">
      <w:pPr>
        <w:pStyle w:val="ARTablecaption"/>
        <w:spacing w:before="0"/>
        <w:rPr>
          <w:rFonts w:eastAsia="MS PGothic"/>
        </w:rPr>
      </w:pPr>
      <w:r w:rsidRPr="000557CC">
        <w:rPr>
          <w:rFonts w:eastAsia="MS PGothic"/>
        </w:rPr>
        <w:t>W1 Total water consumption by an entity</w:t>
      </w:r>
    </w:p>
    <w:tbl>
      <w:tblPr>
        <w:tblStyle w:val="ARtable1"/>
        <w:tblW w:w="5000" w:type="pct"/>
        <w:tblLook w:val="02E0" w:firstRow="1" w:lastRow="1" w:firstColumn="1" w:lastColumn="0" w:noHBand="1" w:noVBand="0"/>
      </w:tblPr>
      <w:tblGrid>
        <w:gridCol w:w="4503"/>
        <w:gridCol w:w="1709"/>
        <w:gridCol w:w="1708"/>
        <w:gridCol w:w="1708"/>
      </w:tblGrid>
      <w:tr w:rsidR="006D7571" w:rsidRPr="000557CC" w14:paraId="5C2A70E2" w14:textId="77777777" w:rsidTr="009F3BE7">
        <w:trPr>
          <w:cnfStyle w:val="100000000000" w:firstRow="1" w:lastRow="0" w:firstColumn="0" w:lastColumn="0" w:oddVBand="0" w:evenVBand="0" w:oddHBand="0" w:evenHBand="0" w:firstRowFirstColumn="0" w:firstRowLastColumn="0" w:lastRowFirstColumn="0" w:lastRowLastColumn="0"/>
          <w:trHeight w:val="288"/>
          <w:tblHeader/>
        </w:trPr>
        <w:tc>
          <w:tcPr>
            <w:tcW w:w="2338" w:type="pct"/>
            <w:noWrap/>
          </w:tcPr>
          <w:p w14:paraId="552731B8" w14:textId="77777777" w:rsidR="006D7571" w:rsidRPr="000557CC" w:rsidRDefault="006D7571" w:rsidP="00784046">
            <w:pPr>
              <w:pStyle w:val="ARtablecolhead"/>
              <w:rPr>
                <w:color w:val="000000"/>
                <w:lang w:eastAsia="en-AU"/>
              </w:rPr>
            </w:pPr>
            <w:r w:rsidRPr="000557CC">
              <w:rPr>
                <w:lang w:eastAsia="en-AU"/>
              </w:rPr>
              <w:t>Indicator</w:t>
            </w:r>
          </w:p>
        </w:tc>
        <w:tc>
          <w:tcPr>
            <w:cnfStyle w:val="000001000000" w:firstRow="0" w:lastRow="0" w:firstColumn="0" w:lastColumn="0" w:oddVBand="0" w:evenVBand="1" w:oddHBand="0" w:evenHBand="0" w:firstRowFirstColumn="0" w:firstRowLastColumn="0" w:lastRowFirstColumn="0" w:lastRowLastColumn="0"/>
            <w:tcW w:w="887" w:type="pct"/>
            <w:noWrap/>
          </w:tcPr>
          <w:p w14:paraId="5BAB449F" w14:textId="77777777" w:rsidR="006D7571" w:rsidRPr="00773441" w:rsidRDefault="006D7571" w:rsidP="00773441">
            <w:pPr>
              <w:pStyle w:val="ARtablecolheadright"/>
            </w:pPr>
            <w:r w:rsidRPr="00773441">
              <w:t>2025–26</w:t>
            </w:r>
          </w:p>
          <w:p w14:paraId="54746D5D" w14:textId="77777777" w:rsidR="006D7571" w:rsidRPr="00773441" w:rsidRDefault="006D7571" w:rsidP="00773441">
            <w:pPr>
              <w:pStyle w:val="ARtablecolheadright"/>
            </w:pPr>
            <w:proofErr w:type="spellStart"/>
            <w:r w:rsidRPr="00773441">
              <w:t>kL</w:t>
            </w:r>
            <w:proofErr w:type="spellEnd"/>
          </w:p>
        </w:tc>
        <w:tc>
          <w:tcPr>
            <w:tcW w:w="887" w:type="pct"/>
            <w:noWrap/>
          </w:tcPr>
          <w:p w14:paraId="11946E51" w14:textId="77777777" w:rsidR="006D7571" w:rsidRPr="00773441" w:rsidRDefault="006D7571" w:rsidP="00773441">
            <w:pPr>
              <w:pStyle w:val="ARtablecolheadright"/>
              <w:cnfStyle w:val="100000000000" w:firstRow="1" w:lastRow="0" w:firstColumn="0" w:lastColumn="0" w:oddVBand="0" w:evenVBand="0" w:oddHBand="0" w:evenHBand="0" w:firstRowFirstColumn="0" w:firstRowLastColumn="0" w:lastRowFirstColumn="0" w:lastRowLastColumn="0"/>
            </w:pPr>
            <w:r w:rsidRPr="00773441">
              <w:t>2024–25</w:t>
            </w:r>
          </w:p>
          <w:p w14:paraId="0658D1A0" w14:textId="77777777" w:rsidR="006D7571" w:rsidRPr="00773441" w:rsidRDefault="006D7571" w:rsidP="00773441">
            <w:pPr>
              <w:pStyle w:val="ARtablecolheadright"/>
              <w:cnfStyle w:val="100000000000" w:firstRow="1" w:lastRow="0" w:firstColumn="0" w:lastColumn="0" w:oddVBand="0" w:evenVBand="0" w:oddHBand="0" w:evenHBand="0" w:firstRowFirstColumn="0" w:firstRowLastColumn="0" w:lastRowFirstColumn="0" w:lastRowLastColumn="0"/>
            </w:pPr>
            <w:proofErr w:type="spellStart"/>
            <w:r w:rsidRPr="00773441">
              <w:t>kL</w:t>
            </w:r>
            <w:proofErr w:type="spellEnd"/>
          </w:p>
        </w:tc>
        <w:tc>
          <w:tcPr>
            <w:cnfStyle w:val="000001000000" w:firstRow="0" w:lastRow="0" w:firstColumn="0" w:lastColumn="0" w:oddVBand="0" w:evenVBand="1" w:oddHBand="0" w:evenHBand="0" w:firstRowFirstColumn="0" w:firstRowLastColumn="0" w:lastRowFirstColumn="0" w:lastRowLastColumn="0"/>
            <w:tcW w:w="887" w:type="pct"/>
            <w:noWrap/>
          </w:tcPr>
          <w:p w14:paraId="186EA372" w14:textId="77777777" w:rsidR="006D7571" w:rsidRPr="00773441" w:rsidRDefault="006D7571" w:rsidP="00773441">
            <w:pPr>
              <w:pStyle w:val="ARtablecolheadright"/>
            </w:pPr>
            <w:r w:rsidRPr="00773441">
              <w:t>2023–24</w:t>
            </w:r>
          </w:p>
          <w:p w14:paraId="6781085B" w14:textId="77777777" w:rsidR="006D7571" w:rsidRPr="00773441" w:rsidRDefault="006D7571" w:rsidP="00773441">
            <w:pPr>
              <w:pStyle w:val="ARtablecolheadright"/>
            </w:pPr>
            <w:proofErr w:type="spellStart"/>
            <w:r w:rsidRPr="00773441" w:rsidDel="00C766C2">
              <w:t>kL</w:t>
            </w:r>
            <w:proofErr w:type="spellEnd"/>
          </w:p>
        </w:tc>
      </w:tr>
      <w:tr w:rsidR="006D7571" w:rsidRPr="000557CC" w14:paraId="0CF216F8" w14:textId="77777777" w:rsidTr="009F3BE7">
        <w:trPr>
          <w:trHeight w:val="288"/>
        </w:trPr>
        <w:tc>
          <w:tcPr>
            <w:tcW w:w="2338" w:type="pct"/>
            <w:noWrap/>
            <w:hideMark/>
          </w:tcPr>
          <w:p w14:paraId="63398888" w14:textId="77777777" w:rsidR="006D7571" w:rsidRPr="000557CC" w:rsidRDefault="006D7571" w:rsidP="00784046">
            <w:pPr>
              <w:pStyle w:val="ARTabletext"/>
              <w:rPr>
                <w:lang w:eastAsia="en-AU"/>
              </w:rPr>
            </w:pPr>
            <w:r w:rsidRPr="000557CC">
              <w:rPr>
                <w:lang w:eastAsia="en-AU"/>
              </w:rPr>
              <w:t>Potable water consumption</w:t>
            </w:r>
          </w:p>
        </w:tc>
        <w:tc>
          <w:tcPr>
            <w:cnfStyle w:val="000001000000" w:firstRow="0" w:lastRow="0" w:firstColumn="0" w:lastColumn="0" w:oddVBand="0" w:evenVBand="1" w:oddHBand="0" w:evenHBand="0" w:firstRowFirstColumn="0" w:firstRowLastColumn="0" w:lastRowFirstColumn="0" w:lastRowLastColumn="0"/>
            <w:tcW w:w="887" w:type="pct"/>
            <w:noWrap/>
          </w:tcPr>
          <w:p w14:paraId="3137C1F8" w14:textId="77777777" w:rsidR="006D7571" w:rsidRPr="000557CC" w:rsidRDefault="006D7571" w:rsidP="00784046">
            <w:pPr>
              <w:pStyle w:val="ARtabletextright"/>
              <w:rPr>
                <w:highlight w:val="cyan"/>
                <w:lang w:eastAsia="en-AU"/>
              </w:rPr>
            </w:pPr>
            <w:r w:rsidRPr="000557CC">
              <w:rPr>
                <w:lang w:eastAsia="en-AU"/>
              </w:rPr>
              <w:t>33,388</w:t>
            </w:r>
          </w:p>
        </w:tc>
        <w:tc>
          <w:tcPr>
            <w:tcW w:w="887" w:type="pct"/>
            <w:noWrap/>
            <w:hideMark/>
          </w:tcPr>
          <w:p w14:paraId="43190489" w14:textId="77777777"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29,287</w:t>
            </w:r>
          </w:p>
        </w:tc>
        <w:tc>
          <w:tcPr>
            <w:cnfStyle w:val="000001000000" w:firstRow="0" w:lastRow="0" w:firstColumn="0" w:lastColumn="0" w:oddVBand="0" w:evenVBand="1" w:oddHBand="0" w:evenHBand="0" w:firstRowFirstColumn="0" w:firstRowLastColumn="0" w:lastRowFirstColumn="0" w:lastRowLastColumn="0"/>
            <w:tcW w:w="887" w:type="pct"/>
            <w:noWrap/>
            <w:hideMark/>
          </w:tcPr>
          <w:p w14:paraId="31CFD383" w14:textId="77777777" w:rsidR="006D7571" w:rsidRPr="000557CC" w:rsidRDefault="006D7571" w:rsidP="00784046">
            <w:pPr>
              <w:pStyle w:val="ARtabletextright"/>
              <w:rPr>
                <w:lang w:eastAsia="en-AU"/>
              </w:rPr>
            </w:pPr>
            <w:r w:rsidRPr="000557CC">
              <w:rPr>
                <w:lang w:eastAsia="en-AU"/>
              </w:rPr>
              <w:t>31,340</w:t>
            </w:r>
          </w:p>
        </w:tc>
      </w:tr>
      <w:tr w:rsidR="006D7571" w:rsidRPr="000557CC" w14:paraId="3A74A028" w14:textId="77777777" w:rsidTr="009F3BE7">
        <w:trPr>
          <w:cnfStyle w:val="010000000000" w:firstRow="0" w:lastRow="1" w:firstColumn="0" w:lastColumn="0" w:oddVBand="0" w:evenVBand="0" w:oddHBand="0" w:evenHBand="0" w:firstRowFirstColumn="0" w:firstRowLastColumn="0" w:lastRowFirstColumn="0" w:lastRowLastColumn="0"/>
          <w:trHeight w:val="288"/>
        </w:trPr>
        <w:tc>
          <w:tcPr>
            <w:tcW w:w="2338" w:type="pct"/>
            <w:noWrap/>
          </w:tcPr>
          <w:p w14:paraId="3E67DB6C" w14:textId="77777777" w:rsidR="006D7571" w:rsidRPr="000557CC" w:rsidRDefault="006D7571" w:rsidP="00784046">
            <w:pPr>
              <w:pStyle w:val="ARtabletextbold"/>
              <w:rPr>
                <w:lang w:eastAsia="en-AU"/>
              </w:rPr>
            </w:pPr>
            <w:r w:rsidRPr="000557CC">
              <w:rPr>
                <w:lang w:eastAsia="en-AU"/>
              </w:rPr>
              <w:t>W1 Total water consumption by an entity</w:t>
            </w:r>
          </w:p>
        </w:tc>
        <w:tc>
          <w:tcPr>
            <w:cnfStyle w:val="000001000000" w:firstRow="0" w:lastRow="0" w:firstColumn="0" w:lastColumn="0" w:oddVBand="0" w:evenVBand="1" w:oddHBand="0" w:evenHBand="0" w:firstRowFirstColumn="0" w:firstRowLastColumn="0" w:lastRowFirstColumn="0" w:lastRowLastColumn="0"/>
            <w:tcW w:w="887" w:type="pct"/>
            <w:noWrap/>
          </w:tcPr>
          <w:p w14:paraId="315981F9" w14:textId="77777777" w:rsidR="006D7571" w:rsidRPr="000557CC" w:rsidRDefault="006D7571" w:rsidP="00784046">
            <w:pPr>
              <w:pStyle w:val="ARtabletextrightbold"/>
              <w:rPr>
                <w:highlight w:val="cyan"/>
                <w:lang w:eastAsia="en-AU"/>
              </w:rPr>
            </w:pPr>
            <w:r w:rsidRPr="000557CC">
              <w:rPr>
                <w:lang w:eastAsia="en-AU"/>
              </w:rPr>
              <w:t>33,387</w:t>
            </w:r>
          </w:p>
        </w:tc>
        <w:tc>
          <w:tcPr>
            <w:tcW w:w="887" w:type="pct"/>
            <w:noWrap/>
          </w:tcPr>
          <w:p w14:paraId="51DBE8B9" w14:textId="77777777" w:rsidR="006D7571" w:rsidRPr="000557CC" w:rsidRDefault="006D7571" w:rsidP="00784046">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29,287</w:t>
            </w:r>
          </w:p>
        </w:tc>
        <w:tc>
          <w:tcPr>
            <w:cnfStyle w:val="000001000000" w:firstRow="0" w:lastRow="0" w:firstColumn="0" w:lastColumn="0" w:oddVBand="0" w:evenVBand="1" w:oddHBand="0" w:evenHBand="0" w:firstRowFirstColumn="0" w:firstRowLastColumn="0" w:lastRowFirstColumn="0" w:lastRowLastColumn="0"/>
            <w:tcW w:w="887" w:type="pct"/>
            <w:noWrap/>
          </w:tcPr>
          <w:p w14:paraId="7C7BF50B" w14:textId="77777777" w:rsidR="006D7571" w:rsidRPr="000557CC" w:rsidRDefault="006D7571" w:rsidP="00784046">
            <w:pPr>
              <w:pStyle w:val="ARtabletextrightbold"/>
              <w:rPr>
                <w:lang w:eastAsia="en-AU"/>
              </w:rPr>
            </w:pPr>
            <w:r w:rsidRPr="000557CC">
              <w:rPr>
                <w:lang w:eastAsia="en-AU"/>
              </w:rPr>
              <w:t>31,340</w:t>
            </w:r>
          </w:p>
        </w:tc>
      </w:tr>
    </w:tbl>
    <w:p w14:paraId="2730ED6F" w14:textId="77777777" w:rsidR="006D7571" w:rsidRPr="000557CC" w:rsidRDefault="006D7571" w:rsidP="00784046">
      <w:pPr>
        <w:pStyle w:val="ARTablecaption"/>
        <w:rPr>
          <w:rFonts w:eastAsia="MS PGothic"/>
        </w:rPr>
      </w:pPr>
      <w:r w:rsidRPr="000557CC">
        <w:rPr>
          <w:rFonts w:eastAsia="MS PGothic"/>
        </w:rPr>
        <w:t>W2 Units of metered water consumed normalised by FTE</w:t>
      </w:r>
    </w:p>
    <w:tbl>
      <w:tblPr>
        <w:tblStyle w:val="ARtable1"/>
        <w:tblW w:w="5000" w:type="pct"/>
        <w:tblLook w:val="02E0" w:firstRow="1" w:lastRow="1" w:firstColumn="1" w:lastColumn="0" w:noHBand="1" w:noVBand="0"/>
      </w:tblPr>
      <w:tblGrid>
        <w:gridCol w:w="4510"/>
        <w:gridCol w:w="1706"/>
        <w:gridCol w:w="1706"/>
        <w:gridCol w:w="1706"/>
      </w:tblGrid>
      <w:tr w:rsidR="006D7571" w:rsidRPr="000557CC" w14:paraId="5A7311B0" w14:textId="77777777" w:rsidTr="009F3BE7">
        <w:trPr>
          <w:cnfStyle w:val="100000000000" w:firstRow="1" w:lastRow="0" w:firstColumn="0" w:lastColumn="0" w:oddVBand="0" w:evenVBand="0" w:oddHBand="0" w:evenHBand="0" w:firstRowFirstColumn="0" w:firstRowLastColumn="0" w:lastRowFirstColumn="0" w:lastRowLastColumn="0"/>
          <w:trHeight w:val="288"/>
          <w:tblHeader/>
        </w:trPr>
        <w:tc>
          <w:tcPr>
            <w:tcW w:w="2342" w:type="pct"/>
            <w:noWrap/>
          </w:tcPr>
          <w:p w14:paraId="1B117911" w14:textId="77777777" w:rsidR="006D7571" w:rsidRPr="000557CC" w:rsidRDefault="006D7571" w:rsidP="00784046">
            <w:pPr>
              <w:pStyle w:val="ARtablecolhead"/>
              <w:rPr>
                <w:lang w:eastAsia="en-AU"/>
              </w:rPr>
            </w:pPr>
          </w:p>
        </w:tc>
        <w:tc>
          <w:tcPr>
            <w:cnfStyle w:val="000001000000" w:firstRow="0" w:lastRow="0" w:firstColumn="0" w:lastColumn="0" w:oddVBand="0" w:evenVBand="1" w:oddHBand="0" w:evenHBand="0" w:firstRowFirstColumn="0" w:firstRowLastColumn="0" w:lastRowFirstColumn="0" w:lastRowLastColumn="0"/>
            <w:tcW w:w="886" w:type="pct"/>
            <w:noWrap/>
          </w:tcPr>
          <w:p w14:paraId="085E4E6E" w14:textId="77777777" w:rsidR="006D7571" w:rsidRPr="000557CC" w:rsidRDefault="006D7571" w:rsidP="00784046">
            <w:pPr>
              <w:pStyle w:val="ARtablecolheadright"/>
              <w:rPr>
                <w:lang w:eastAsia="en-AU"/>
              </w:rPr>
            </w:pPr>
            <w:r w:rsidRPr="000557CC">
              <w:rPr>
                <w:lang w:eastAsia="en-AU"/>
              </w:rPr>
              <w:t>2025–26</w:t>
            </w:r>
          </w:p>
          <w:p w14:paraId="24F38FDB" w14:textId="77777777" w:rsidR="006D7571" w:rsidRPr="000557CC" w:rsidRDefault="006D7571" w:rsidP="00784046">
            <w:pPr>
              <w:pStyle w:val="ARtablecolheadright"/>
              <w:rPr>
                <w:lang w:eastAsia="en-AU"/>
              </w:rPr>
            </w:pPr>
            <w:proofErr w:type="spellStart"/>
            <w:r w:rsidRPr="000557CC">
              <w:rPr>
                <w:lang w:eastAsia="en-AU"/>
              </w:rPr>
              <w:t>kL</w:t>
            </w:r>
            <w:proofErr w:type="spellEnd"/>
            <w:r w:rsidRPr="000557CC">
              <w:rPr>
                <w:lang w:eastAsia="en-AU"/>
              </w:rPr>
              <w:t>/FTE</w:t>
            </w:r>
          </w:p>
        </w:tc>
        <w:tc>
          <w:tcPr>
            <w:tcW w:w="886" w:type="pct"/>
            <w:noWrap/>
          </w:tcPr>
          <w:p w14:paraId="2EE27962"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4157809D"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lang w:eastAsia="en-AU"/>
              </w:rPr>
            </w:pPr>
            <w:proofErr w:type="spellStart"/>
            <w:r w:rsidRPr="000557CC">
              <w:rPr>
                <w:lang w:eastAsia="en-AU"/>
              </w:rPr>
              <w:t>kL</w:t>
            </w:r>
            <w:proofErr w:type="spellEnd"/>
            <w:r w:rsidRPr="000557CC">
              <w:rPr>
                <w:lang w:eastAsia="en-AU"/>
              </w:rPr>
              <w:t>/FTE</w:t>
            </w:r>
          </w:p>
        </w:tc>
        <w:tc>
          <w:tcPr>
            <w:cnfStyle w:val="000001000000" w:firstRow="0" w:lastRow="0" w:firstColumn="0" w:lastColumn="0" w:oddVBand="0" w:evenVBand="1" w:oddHBand="0" w:evenHBand="0" w:firstRowFirstColumn="0" w:firstRowLastColumn="0" w:lastRowFirstColumn="0" w:lastRowLastColumn="0"/>
            <w:tcW w:w="886" w:type="pct"/>
            <w:noWrap/>
          </w:tcPr>
          <w:p w14:paraId="54EDE2F9" w14:textId="77777777" w:rsidR="006D7571" w:rsidRPr="000557CC" w:rsidRDefault="006D7571" w:rsidP="00784046">
            <w:pPr>
              <w:pStyle w:val="ARtablecolheadright"/>
              <w:rPr>
                <w:lang w:eastAsia="en-AU"/>
              </w:rPr>
            </w:pPr>
            <w:r w:rsidRPr="000557CC">
              <w:rPr>
                <w:lang w:eastAsia="en-AU"/>
              </w:rPr>
              <w:t>2023–24</w:t>
            </w:r>
          </w:p>
          <w:p w14:paraId="45293F6D" w14:textId="77777777" w:rsidR="006D7571" w:rsidRPr="000557CC" w:rsidRDefault="006D7571" w:rsidP="00784046">
            <w:pPr>
              <w:pStyle w:val="ARtablecolheadright"/>
              <w:rPr>
                <w:lang w:eastAsia="en-AU"/>
              </w:rPr>
            </w:pPr>
            <w:proofErr w:type="spellStart"/>
            <w:r w:rsidRPr="000557CC">
              <w:rPr>
                <w:lang w:eastAsia="en-AU"/>
              </w:rPr>
              <w:t>kL</w:t>
            </w:r>
            <w:proofErr w:type="spellEnd"/>
            <w:r w:rsidRPr="000557CC">
              <w:rPr>
                <w:lang w:eastAsia="en-AU"/>
              </w:rPr>
              <w:t>/FTE</w:t>
            </w:r>
          </w:p>
        </w:tc>
      </w:tr>
      <w:tr w:rsidR="006D7571" w:rsidRPr="000557CC" w14:paraId="3F95695F" w14:textId="77777777" w:rsidTr="009F3BE7">
        <w:trPr>
          <w:cnfStyle w:val="010000000000" w:firstRow="0" w:lastRow="1" w:firstColumn="0" w:lastColumn="0" w:oddVBand="0" w:evenVBand="0" w:oddHBand="0" w:evenHBand="0" w:firstRowFirstColumn="0" w:firstRowLastColumn="0" w:lastRowFirstColumn="0" w:lastRowLastColumn="0"/>
          <w:trHeight w:val="288"/>
        </w:trPr>
        <w:tc>
          <w:tcPr>
            <w:tcW w:w="2342" w:type="pct"/>
            <w:noWrap/>
          </w:tcPr>
          <w:p w14:paraId="0B7A65A8" w14:textId="77777777" w:rsidR="006D7571" w:rsidRPr="000557CC" w:rsidRDefault="006D7571" w:rsidP="00784046">
            <w:pPr>
              <w:pStyle w:val="ARtabletextbold"/>
              <w:rPr>
                <w:lang w:eastAsia="en-AU"/>
              </w:rPr>
            </w:pPr>
            <w:r w:rsidRPr="000557CC">
              <w:rPr>
                <w:lang w:eastAsia="en-AU"/>
              </w:rPr>
              <w:t xml:space="preserve">W2 Units of metered water </w:t>
            </w:r>
            <w:r w:rsidRPr="000557CC">
              <w:rPr>
                <w:lang w:eastAsia="en-AU"/>
              </w:rPr>
              <w:br/>
              <w:t>consumed normalised by FTE</w:t>
            </w:r>
          </w:p>
        </w:tc>
        <w:tc>
          <w:tcPr>
            <w:cnfStyle w:val="000001000000" w:firstRow="0" w:lastRow="0" w:firstColumn="0" w:lastColumn="0" w:oddVBand="0" w:evenVBand="1" w:oddHBand="0" w:evenHBand="0" w:firstRowFirstColumn="0" w:firstRowLastColumn="0" w:lastRowFirstColumn="0" w:lastRowLastColumn="0"/>
            <w:tcW w:w="886" w:type="pct"/>
            <w:noWrap/>
          </w:tcPr>
          <w:p w14:paraId="719A93E7" w14:textId="77777777" w:rsidR="006D7571" w:rsidRPr="000557CC" w:rsidRDefault="006D7571" w:rsidP="00784046">
            <w:pPr>
              <w:pStyle w:val="ARtabletextrightbold"/>
              <w:rPr>
                <w:lang w:eastAsia="en-AU"/>
              </w:rPr>
            </w:pPr>
            <w:r w:rsidRPr="000557CC">
              <w:rPr>
                <w:lang w:eastAsia="en-AU"/>
              </w:rPr>
              <w:t>4.4</w:t>
            </w:r>
          </w:p>
        </w:tc>
        <w:tc>
          <w:tcPr>
            <w:tcW w:w="886" w:type="pct"/>
            <w:noWrap/>
          </w:tcPr>
          <w:p w14:paraId="5228F5C2" w14:textId="77777777" w:rsidR="006D7571" w:rsidRPr="000557CC" w:rsidRDefault="006D7571" w:rsidP="00784046">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4.2</w:t>
            </w:r>
          </w:p>
        </w:tc>
        <w:tc>
          <w:tcPr>
            <w:cnfStyle w:val="000001000000" w:firstRow="0" w:lastRow="0" w:firstColumn="0" w:lastColumn="0" w:oddVBand="0" w:evenVBand="1" w:oddHBand="0" w:evenHBand="0" w:firstRowFirstColumn="0" w:firstRowLastColumn="0" w:lastRowFirstColumn="0" w:lastRowLastColumn="0"/>
            <w:tcW w:w="886" w:type="pct"/>
            <w:noWrap/>
          </w:tcPr>
          <w:p w14:paraId="08690299" w14:textId="77777777" w:rsidR="006D7571" w:rsidRPr="000557CC" w:rsidRDefault="006D7571" w:rsidP="00784046">
            <w:pPr>
              <w:pStyle w:val="ARtabletextrightbold"/>
              <w:rPr>
                <w:lang w:eastAsia="en-AU"/>
              </w:rPr>
            </w:pPr>
            <w:r w:rsidRPr="000557CC">
              <w:rPr>
                <w:lang w:eastAsia="en-AU"/>
              </w:rPr>
              <w:t>4.6</w:t>
            </w:r>
          </w:p>
        </w:tc>
      </w:tr>
    </w:tbl>
    <w:p w14:paraId="61F8276B" w14:textId="77777777" w:rsidR="006D7571" w:rsidRPr="000557CC" w:rsidRDefault="006D7571" w:rsidP="00784046">
      <w:pPr>
        <w:pStyle w:val="Heading4"/>
      </w:pPr>
      <w:r w:rsidRPr="000557CC">
        <w:t>Housing Services</w:t>
      </w:r>
    </w:p>
    <w:p w14:paraId="080D1FC6" w14:textId="77777777" w:rsidR="006D7571" w:rsidRPr="000557CC" w:rsidRDefault="006D7571" w:rsidP="00965115">
      <w:pPr>
        <w:pStyle w:val="ARTablecaption"/>
        <w:spacing w:before="120"/>
        <w:rPr>
          <w:rFonts w:eastAsia="MS PGothic"/>
        </w:rPr>
      </w:pPr>
      <w:r w:rsidRPr="000557CC">
        <w:rPr>
          <w:rFonts w:eastAsia="MS PGothic"/>
        </w:rPr>
        <w:t>W1 Total water consumption by an entity</w:t>
      </w:r>
    </w:p>
    <w:tbl>
      <w:tblPr>
        <w:tblStyle w:val="ARtable1"/>
        <w:tblW w:w="9703" w:type="dxa"/>
        <w:tblLook w:val="02E0" w:firstRow="1" w:lastRow="1" w:firstColumn="1" w:lastColumn="0" w:noHBand="1" w:noVBand="0"/>
      </w:tblPr>
      <w:tblGrid>
        <w:gridCol w:w="4552"/>
        <w:gridCol w:w="1717"/>
        <w:gridCol w:w="1717"/>
        <w:gridCol w:w="1717"/>
      </w:tblGrid>
      <w:tr w:rsidR="006D7571" w:rsidRPr="000557CC" w14:paraId="5058CEF9" w14:textId="77777777" w:rsidTr="009F3BE7">
        <w:trPr>
          <w:cnfStyle w:val="100000000000" w:firstRow="1" w:lastRow="0" w:firstColumn="0" w:lastColumn="0" w:oddVBand="0" w:evenVBand="0" w:oddHBand="0" w:evenHBand="0" w:firstRowFirstColumn="0" w:firstRowLastColumn="0" w:lastRowFirstColumn="0" w:lastRowLastColumn="0"/>
          <w:trHeight w:val="288"/>
          <w:tblHeader/>
        </w:trPr>
        <w:tc>
          <w:tcPr>
            <w:tcW w:w="4552" w:type="dxa"/>
            <w:noWrap/>
          </w:tcPr>
          <w:p w14:paraId="7A88919E" w14:textId="77777777" w:rsidR="006D7571" w:rsidRPr="000557CC" w:rsidRDefault="006D7571" w:rsidP="00784046">
            <w:pPr>
              <w:pStyle w:val="ARtablecolhead"/>
              <w:rPr>
                <w:lang w:eastAsia="en-AU"/>
              </w:rPr>
            </w:pPr>
          </w:p>
        </w:tc>
        <w:tc>
          <w:tcPr>
            <w:cnfStyle w:val="000001000000" w:firstRow="0" w:lastRow="0" w:firstColumn="0" w:lastColumn="0" w:oddVBand="0" w:evenVBand="1" w:oddHBand="0" w:evenHBand="0" w:firstRowFirstColumn="0" w:firstRowLastColumn="0" w:lastRowFirstColumn="0" w:lastRowLastColumn="0"/>
            <w:tcW w:w="1717" w:type="dxa"/>
            <w:noWrap/>
          </w:tcPr>
          <w:p w14:paraId="64475E6C" w14:textId="77777777" w:rsidR="006D7571" w:rsidRPr="000557CC" w:rsidRDefault="006D7571" w:rsidP="00784046">
            <w:pPr>
              <w:pStyle w:val="ARtablecolheadright"/>
              <w:rPr>
                <w:lang w:eastAsia="en-AU"/>
              </w:rPr>
            </w:pPr>
            <w:r w:rsidRPr="000557CC">
              <w:rPr>
                <w:lang w:eastAsia="en-AU"/>
              </w:rPr>
              <w:t>2025–26</w:t>
            </w:r>
          </w:p>
          <w:p w14:paraId="20FE312C" w14:textId="77777777" w:rsidR="006D7571" w:rsidRPr="000557CC" w:rsidRDefault="006D7571" w:rsidP="00784046">
            <w:pPr>
              <w:pStyle w:val="ARtablecolheadright"/>
              <w:rPr>
                <w:lang w:eastAsia="en-AU"/>
              </w:rPr>
            </w:pPr>
            <w:proofErr w:type="spellStart"/>
            <w:r w:rsidRPr="000557CC">
              <w:rPr>
                <w:lang w:eastAsia="en-AU"/>
              </w:rPr>
              <w:t>kL</w:t>
            </w:r>
            <w:proofErr w:type="spellEnd"/>
          </w:p>
        </w:tc>
        <w:tc>
          <w:tcPr>
            <w:tcW w:w="1717" w:type="dxa"/>
            <w:noWrap/>
          </w:tcPr>
          <w:p w14:paraId="52B139F4"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74091EBA"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lang w:eastAsia="en-AU"/>
              </w:rPr>
            </w:pPr>
            <w:proofErr w:type="spellStart"/>
            <w:r w:rsidRPr="000557CC">
              <w:rPr>
                <w:lang w:eastAsia="en-AU"/>
              </w:rPr>
              <w:t>kL</w:t>
            </w:r>
            <w:proofErr w:type="spellEnd"/>
          </w:p>
        </w:tc>
        <w:tc>
          <w:tcPr>
            <w:cnfStyle w:val="000001000000" w:firstRow="0" w:lastRow="0" w:firstColumn="0" w:lastColumn="0" w:oddVBand="0" w:evenVBand="1" w:oddHBand="0" w:evenHBand="0" w:firstRowFirstColumn="0" w:firstRowLastColumn="0" w:lastRowFirstColumn="0" w:lastRowLastColumn="0"/>
            <w:tcW w:w="1717" w:type="dxa"/>
            <w:noWrap/>
          </w:tcPr>
          <w:p w14:paraId="1CECC4A7" w14:textId="77777777" w:rsidR="006D7571" w:rsidRPr="000557CC" w:rsidRDefault="006D7571" w:rsidP="00784046">
            <w:pPr>
              <w:pStyle w:val="ARtablecolheadright"/>
              <w:rPr>
                <w:lang w:eastAsia="en-AU"/>
              </w:rPr>
            </w:pPr>
            <w:r w:rsidRPr="000557CC">
              <w:rPr>
                <w:lang w:eastAsia="en-AU"/>
              </w:rPr>
              <w:t>2023–24</w:t>
            </w:r>
          </w:p>
          <w:p w14:paraId="4240F08B" w14:textId="77777777" w:rsidR="006D7571" w:rsidRPr="000557CC" w:rsidRDefault="006D7571" w:rsidP="00784046">
            <w:pPr>
              <w:pStyle w:val="ARtablecolheadright"/>
              <w:rPr>
                <w:lang w:eastAsia="en-AU"/>
              </w:rPr>
            </w:pPr>
            <w:proofErr w:type="spellStart"/>
            <w:r w:rsidRPr="000557CC">
              <w:rPr>
                <w:lang w:eastAsia="en-AU"/>
              </w:rPr>
              <w:t>kL</w:t>
            </w:r>
            <w:proofErr w:type="spellEnd"/>
          </w:p>
        </w:tc>
      </w:tr>
      <w:tr w:rsidR="006D7571" w:rsidRPr="000557CC" w14:paraId="7D795EF3" w14:textId="77777777" w:rsidTr="009F3BE7">
        <w:trPr>
          <w:trHeight w:val="288"/>
        </w:trPr>
        <w:tc>
          <w:tcPr>
            <w:tcW w:w="4552" w:type="dxa"/>
            <w:noWrap/>
          </w:tcPr>
          <w:p w14:paraId="7A09156C" w14:textId="77777777" w:rsidR="006D7571" w:rsidRPr="000557CC" w:rsidRDefault="006D7571" w:rsidP="00784046">
            <w:pPr>
              <w:pStyle w:val="ARTabletext"/>
              <w:rPr>
                <w:lang w:eastAsia="en-AU"/>
              </w:rPr>
            </w:pPr>
            <w:r w:rsidRPr="000557CC">
              <w:rPr>
                <w:lang w:eastAsia="en-AU"/>
              </w:rPr>
              <w:t>Potable water consumption</w:t>
            </w:r>
            <w:r w:rsidRPr="000557CC">
              <w:rPr>
                <w:vertAlign w:val="superscript"/>
                <w:lang w:eastAsia="en-AU"/>
              </w:rPr>
              <w:footnoteReference w:id="36"/>
            </w:r>
          </w:p>
        </w:tc>
        <w:tc>
          <w:tcPr>
            <w:cnfStyle w:val="000001000000" w:firstRow="0" w:lastRow="0" w:firstColumn="0" w:lastColumn="0" w:oddVBand="0" w:evenVBand="1" w:oddHBand="0" w:evenHBand="0" w:firstRowFirstColumn="0" w:firstRowLastColumn="0" w:lastRowFirstColumn="0" w:lastRowLastColumn="0"/>
            <w:tcW w:w="1717" w:type="dxa"/>
            <w:noWrap/>
          </w:tcPr>
          <w:p w14:paraId="4987D0D0" w14:textId="77777777" w:rsidR="006D7571" w:rsidRPr="000557CC" w:rsidRDefault="006D7571" w:rsidP="00784046">
            <w:pPr>
              <w:pStyle w:val="ARtabletextright"/>
              <w:rPr>
                <w:lang w:eastAsia="en-AU"/>
              </w:rPr>
            </w:pPr>
            <w:r w:rsidRPr="000557CC">
              <w:rPr>
                <w:lang w:eastAsia="en-AU"/>
              </w:rPr>
              <w:t>822,258</w:t>
            </w:r>
          </w:p>
        </w:tc>
        <w:tc>
          <w:tcPr>
            <w:tcW w:w="1717" w:type="dxa"/>
            <w:noWrap/>
          </w:tcPr>
          <w:p w14:paraId="7A6289B6" w14:textId="77777777"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944,938</w:t>
            </w:r>
          </w:p>
        </w:tc>
        <w:tc>
          <w:tcPr>
            <w:cnfStyle w:val="000001000000" w:firstRow="0" w:lastRow="0" w:firstColumn="0" w:lastColumn="0" w:oddVBand="0" w:evenVBand="1" w:oddHBand="0" w:evenHBand="0" w:firstRowFirstColumn="0" w:firstRowLastColumn="0" w:lastRowFirstColumn="0" w:lastRowLastColumn="0"/>
            <w:tcW w:w="1717" w:type="dxa"/>
            <w:noWrap/>
          </w:tcPr>
          <w:p w14:paraId="3149F644" w14:textId="77777777" w:rsidR="006D7571" w:rsidRPr="000557CC" w:rsidRDefault="006D7571" w:rsidP="00784046">
            <w:pPr>
              <w:pStyle w:val="ARtabletextright"/>
              <w:rPr>
                <w:lang w:eastAsia="en-AU"/>
              </w:rPr>
            </w:pPr>
            <w:r w:rsidRPr="000557CC">
              <w:rPr>
                <w:lang w:eastAsia="en-AU"/>
              </w:rPr>
              <w:t>1,124,205</w:t>
            </w:r>
          </w:p>
        </w:tc>
      </w:tr>
      <w:tr w:rsidR="006D7571" w:rsidRPr="000557CC" w14:paraId="5C78FE11" w14:textId="77777777" w:rsidTr="009F3BE7">
        <w:trPr>
          <w:cnfStyle w:val="010000000000" w:firstRow="0" w:lastRow="1" w:firstColumn="0" w:lastColumn="0" w:oddVBand="0" w:evenVBand="0" w:oddHBand="0" w:evenHBand="0" w:firstRowFirstColumn="0" w:firstRowLastColumn="0" w:lastRowFirstColumn="0" w:lastRowLastColumn="0"/>
          <w:trHeight w:val="288"/>
        </w:trPr>
        <w:tc>
          <w:tcPr>
            <w:tcW w:w="4552" w:type="dxa"/>
            <w:noWrap/>
          </w:tcPr>
          <w:p w14:paraId="343C7EB9" w14:textId="77777777" w:rsidR="006D7571" w:rsidRPr="000557CC" w:rsidRDefault="006D7571" w:rsidP="00784046">
            <w:pPr>
              <w:pStyle w:val="ARtabletextbold"/>
              <w:rPr>
                <w:lang w:eastAsia="en-AU"/>
              </w:rPr>
            </w:pPr>
            <w:r w:rsidRPr="000557CC">
              <w:rPr>
                <w:lang w:eastAsia="en-AU"/>
              </w:rPr>
              <w:t>W1 Total water consumption by an entity</w:t>
            </w:r>
          </w:p>
        </w:tc>
        <w:tc>
          <w:tcPr>
            <w:cnfStyle w:val="000001000000" w:firstRow="0" w:lastRow="0" w:firstColumn="0" w:lastColumn="0" w:oddVBand="0" w:evenVBand="1" w:oddHBand="0" w:evenHBand="0" w:firstRowFirstColumn="0" w:firstRowLastColumn="0" w:lastRowFirstColumn="0" w:lastRowLastColumn="0"/>
            <w:tcW w:w="1717" w:type="dxa"/>
            <w:noWrap/>
          </w:tcPr>
          <w:p w14:paraId="0FD64F29" w14:textId="77777777" w:rsidR="006D7571" w:rsidRPr="000557CC" w:rsidRDefault="006D7571" w:rsidP="00784046">
            <w:pPr>
              <w:pStyle w:val="ARtabletextrightbold"/>
              <w:rPr>
                <w:lang w:eastAsia="en-AU"/>
              </w:rPr>
            </w:pPr>
            <w:r w:rsidRPr="000557CC">
              <w:rPr>
                <w:lang w:eastAsia="en-AU"/>
              </w:rPr>
              <w:t>822,258</w:t>
            </w:r>
          </w:p>
        </w:tc>
        <w:tc>
          <w:tcPr>
            <w:tcW w:w="1717" w:type="dxa"/>
            <w:noWrap/>
          </w:tcPr>
          <w:p w14:paraId="2BA7841B" w14:textId="77777777" w:rsidR="006D7571" w:rsidRPr="000557CC" w:rsidRDefault="006D7571" w:rsidP="00784046">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944,938</w:t>
            </w:r>
          </w:p>
        </w:tc>
        <w:tc>
          <w:tcPr>
            <w:cnfStyle w:val="000001000000" w:firstRow="0" w:lastRow="0" w:firstColumn="0" w:lastColumn="0" w:oddVBand="0" w:evenVBand="1" w:oddHBand="0" w:evenHBand="0" w:firstRowFirstColumn="0" w:firstRowLastColumn="0" w:lastRowFirstColumn="0" w:lastRowLastColumn="0"/>
            <w:tcW w:w="1717" w:type="dxa"/>
            <w:noWrap/>
          </w:tcPr>
          <w:p w14:paraId="5483B9BA" w14:textId="77777777" w:rsidR="006D7571" w:rsidRPr="000557CC" w:rsidRDefault="006D7571" w:rsidP="00784046">
            <w:pPr>
              <w:pStyle w:val="ARtabletextrightbold"/>
              <w:rPr>
                <w:lang w:eastAsia="en-AU"/>
              </w:rPr>
            </w:pPr>
            <w:r w:rsidRPr="000557CC">
              <w:rPr>
                <w:lang w:eastAsia="en-AU"/>
              </w:rPr>
              <w:t>1,124,205</w:t>
            </w:r>
          </w:p>
        </w:tc>
      </w:tr>
    </w:tbl>
    <w:p w14:paraId="28B7C8CA" w14:textId="77777777" w:rsidR="006D7571" w:rsidRPr="000557CC" w:rsidRDefault="006D7571" w:rsidP="00784046">
      <w:pPr>
        <w:pStyle w:val="ARTablecaption"/>
        <w:rPr>
          <w:rFonts w:eastAsia="MS PGothic"/>
        </w:rPr>
      </w:pPr>
      <w:r w:rsidRPr="000557CC">
        <w:rPr>
          <w:rFonts w:eastAsia="MS PGothic"/>
        </w:rPr>
        <w:t>W2 Units of metered water consumed normalised by FTE</w:t>
      </w:r>
    </w:p>
    <w:tbl>
      <w:tblPr>
        <w:tblStyle w:val="ARtable1"/>
        <w:tblW w:w="9703" w:type="dxa"/>
        <w:tblLook w:val="02E0" w:firstRow="1" w:lastRow="1" w:firstColumn="1" w:lastColumn="0" w:noHBand="1" w:noVBand="0"/>
      </w:tblPr>
      <w:tblGrid>
        <w:gridCol w:w="4552"/>
        <w:gridCol w:w="1717"/>
        <w:gridCol w:w="1717"/>
        <w:gridCol w:w="1717"/>
      </w:tblGrid>
      <w:tr w:rsidR="006D7571" w:rsidRPr="000557CC" w14:paraId="5770E52D" w14:textId="77777777" w:rsidTr="009F3BE7">
        <w:trPr>
          <w:cnfStyle w:val="100000000000" w:firstRow="1" w:lastRow="0" w:firstColumn="0" w:lastColumn="0" w:oddVBand="0" w:evenVBand="0" w:oddHBand="0" w:evenHBand="0" w:firstRowFirstColumn="0" w:firstRowLastColumn="0" w:lastRowFirstColumn="0" w:lastRowLastColumn="0"/>
          <w:trHeight w:val="288"/>
          <w:tblHeader/>
        </w:trPr>
        <w:tc>
          <w:tcPr>
            <w:tcW w:w="4552" w:type="dxa"/>
            <w:noWrap/>
          </w:tcPr>
          <w:p w14:paraId="2D9EB577" w14:textId="77777777" w:rsidR="006D7571" w:rsidRPr="000557CC" w:rsidRDefault="006D7571" w:rsidP="00784046">
            <w:pPr>
              <w:pStyle w:val="ARtablecolhead"/>
              <w:rPr>
                <w:lang w:eastAsia="en-AU"/>
              </w:rPr>
            </w:pPr>
          </w:p>
        </w:tc>
        <w:tc>
          <w:tcPr>
            <w:cnfStyle w:val="000001000000" w:firstRow="0" w:lastRow="0" w:firstColumn="0" w:lastColumn="0" w:oddVBand="0" w:evenVBand="1" w:oddHBand="0" w:evenHBand="0" w:firstRowFirstColumn="0" w:firstRowLastColumn="0" w:lastRowFirstColumn="0" w:lastRowLastColumn="0"/>
            <w:tcW w:w="1717" w:type="dxa"/>
            <w:noWrap/>
          </w:tcPr>
          <w:p w14:paraId="3CA46608" w14:textId="77777777" w:rsidR="006D7571" w:rsidRPr="000557CC" w:rsidRDefault="006D7571" w:rsidP="00784046">
            <w:pPr>
              <w:pStyle w:val="ARtablecolheadright"/>
              <w:rPr>
                <w:lang w:eastAsia="en-AU"/>
              </w:rPr>
            </w:pPr>
            <w:r w:rsidRPr="000557CC">
              <w:rPr>
                <w:lang w:eastAsia="en-AU"/>
              </w:rPr>
              <w:t>2025–26</w:t>
            </w:r>
          </w:p>
          <w:p w14:paraId="09EB058B" w14:textId="77777777" w:rsidR="006D7571" w:rsidRPr="000557CC" w:rsidRDefault="006D7571" w:rsidP="00784046">
            <w:pPr>
              <w:pStyle w:val="ARtablecolheadright"/>
              <w:rPr>
                <w:lang w:eastAsia="en-AU"/>
              </w:rPr>
            </w:pPr>
            <w:proofErr w:type="spellStart"/>
            <w:r w:rsidRPr="000557CC">
              <w:rPr>
                <w:lang w:eastAsia="en-AU"/>
              </w:rPr>
              <w:t>kL</w:t>
            </w:r>
            <w:proofErr w:type="spellEnd"/>
            <w:r w:rsidRPr="000557CC">
              <w:rPr>
                <w:lang w:eastAsia="en-AU"/>
              </w:rPr>
              <w:t>/FTE</w:t>
            </w:r>
          </w:p>
        </w:tc>
        <w:tc>
          <w:tcPr>
            <w:tcW w:w="1717" w:type="dxa"/>
            <w:noWrap/>
          </w:tcPr>
          <w:p w14:paraId="184067A9"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79D580C7"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lang w:eastAsia="en-AU"/>
              </w:rPr>
            </w:pPr>
            <w:proofErr w:type="spellStart"/>
            <w:r w:rsidRPr="000557CC">
              <w:rPr>
                <w:lang w:eastAsia="en-AU"/>
              </w:rPr>
              <w:t>kL</w:t>
            </w:r>
            <w:proofErr w:type="spellEnd"/>
            <w:r w:rsidRPr="000557CC">
              <w:rPr>
                <w:lang w:eastAsia="en-AU"/>
              </w:rPr>
              <w:t>/FTE</w:t>
            </w:r>
          </w:p>
        </w:tc>
        <w:tc>
          <w:tcPr>
            <w:cnfStyle w:val="000001000000" w:firstRow="0" w:lastRow="0" w:firstColumn="0" w:lastColumn="0" w:oddVBand="0" w:evenVBand="1" w:oddHBand="0" w:evenHBand="0" w:firstRowFirstColumn="0" w:firstRowLastColumn="0" w:lastRowFirstColumn="0" w:lastRowLastColumn="0"/>
            <w:tcW w:w="1717" w:type="dxa"/>
            <w:noWrap/>
          </w:tcPr>
          <w:p w14:paraId="0EBA4FF3" w14:textId="77777777" w:rsidR="006D7571" w:rsidRPr="000557CC" w:rsidRDefault="006D7571" w:rsidP="00784046">
            <w:pPr>
              <w:pStyle w:val="ARtablecolheadright"/>
              <w:rPr>
                <w:lang w:eastAsia="en-AU"/>
              </w:rPr>
            </w:pPr>
            <w:r w:rsidRPr="000557CC">
              <w:rPr>
                <w:lang w:eastAsia="en-AU"/>
              </w:rPr>
              <w:t>2023–24</w:t>
            </w:r>
          </w:p>
          <w:p w14:paraId="1C99E848" w14:textId="77777777" w:rsidR="006D7571" w:rsidRPr="000557CC" w:rsidRDefault="006D7571" w:rsidP="00784046">
            <w:pPr>
              <w:pStyle w:val="ARtablecolheadright"/>
              <w:rPr>
                <w:lang w:eastAsia="en-AU"/>
              </w:rPr>
            </w:pPr>
            <w:proofErr w:type="spellStart"/>
            <w:r w:rsidRPr="000557CC">
              <w:rPr>
                <w:lang w:eastAsia="en-AU"/>
              </w:rPr>
              <w:t>kL</w:t>
            </w:r>
            <w:proofErr w:type="spellEnd"/>
            <w:r w:rsidRPr="000557CC">
              <w:rPr>
                <w:lang w:eastAsia="en-AU"/>
              </w:rPr>
              <w:t>/FTE</w:t>
            </w:r>
          </w:p>
        </w:tc>
      </w:tr>
      <w:tr w:rsidR="006D7571" w:rsidRPr="000557CC" w14:paraId="282DEB98" w14:textId="77777777" w:rsidTr="009F3BE7">
        <w:trPr>
          <w:cnfStyle w:val="010000000000" w:firstRow="0" w:lastRow="1" w:firstColumn="0" w:lastColumn="0" w:oddVBand="0" w:evenVBand="0" w:oddHBand="0" w:evenHBand="0" w:firstRowFirstColumn="0" w:firstRowLastColumn="0" w:lastRowFirstColumn="0" w:lastRowLastColumn="0"/>
          <w:trHeight w:val="288"/>
        </w:trPr>
        <w:tc>
          <w:tcPr>
            <w:tcW w:w="4552" w:type="dxa"/>
            <w:noWrap/>
          </w:tcPr>
          <w:p w14:paraId="2114D314" w14:textId="77777777" w:rsidR="006D7571" w:rsidRPr="000557CC" w:rsidRDefault="006D7571" w:rsidP="00784046">
            <w:pPr>
              <w:pStyle w:val="ARtabletextbold"/>
              <w:rPr>
                <w:lang w:eastAsia="en-AU"/>
              </w:rPr>
            </w:pPr>
            <w:r w:rsidRPr="000557CC">
              <w:rPr>
                <w:lang w:eastAsia="en-AU"/>
              </w:rPr>
              <w:t xml:space="preserve">W2 Units of metered water </w:t>
            </w:r>
            <w:r w:rsidRPr="000557CC">
              <w:rPr>
                <w:lang w:eastAsia="en-AU"/>
              </w:rPr>
              <w:br/>
              <w:t>consumed normalised by FTE</w:t>
            </w:r>
            <w:r w:rsidRPr="000557CC">
              <w:rPr>
                <w:vertAlign w:val="superscript"/>
                <w:lang w:eastAsia="en-AU"/>
              </w:rPr>
              <w:footnoteReference w:id="37"/>
            </w:r>
          </w:p>
        </w:tc>
        <w:tc>
          <w:tcPr>
            <w:cnfStyle w:val="000001000000" w:firstRow="0" w:lastRow="0" w:firstColumn="0" w:lastColumn="0" w:oddVBand="0" w:evenVBand="1" w:oddHBand="0" w:evenHBand="0" w:firstRowFirstColumn="0" w:firstRowLastColumn="0" w:lastRowFirstColumn="0" w:lastRowLastColumn="0"/>
            <w:tcW w:w="1717" w:type="dxa"/>
            <w:noWrap/>
          </w:tcPr>
          <w:p w14:paraId="36F2770A" w14:textId="77777777" w:rsidR="006D7571" w:rsidRPr="000557CC" w:rsidRDefault="006D7571" w:rsidP="00784046">
            <w:pPr>
              <w:pStyle w:val="ARtabletextright"/>
              <w:rPr>
                <w:lang w:eastAsia="en-AU"/>
              </w:rPr>
            </w:pPr>
            <w:r w:rsidRPr="000557CC">
              <w:rPr>
                <w:lang w:eastAsia="en-AU"/>
              </w:rPr>
              <w:t>NA</w:t>
            </w:r>
          </w:p>
        </w:tc>
        <w:tc>
          <w:tcPr>
            <w:tcW w:w="1717" w:type="dxa"/>
            <w:noWrap/>
          </w:tcPr>
          <w:p w14:paraId="0ECD8D22" w14:textId="77777777" w:rsidR="006D7571" w:rsidRPr="000557CC" w:rsidRDefault="006D7571" w:rsidP="00784046">
            <w:pPr>
              <w:pStyle w:val="ARtabletextright"/>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NA</w:t>
            </w:r>
          </w:p>
        </w:tc>
        <w:tc>
          <w:tcPr>
            <w:cnfStyle w:val="000001000000" w:firstRow="0" w:lastRow="0" w:firstColumn="0" w:lastColumn="0" w:oddVBand="0" w:evenVBand="1" w:oddHBand="0" w:evenHBand="0" w:firstRowFirstColumn="0" w:firstRowLastColumn="0" w:lastRowFirstColumn="0" w:lastRowLastColumn="0"/>
            <w:tcW w:w="1717" w:type="dxa"/>
            <w:noWrap/>
          </w:tcPr>
          <w:p w14:paraId="7EAC044D" w14:textId="77777777" w:rsidR="006D7571" w:rsidRPr="000557CC" w:rsidRDefault="006D7571" w:rsidP="00784046">
            <w:pPr>
              <w:pStyle w:val="ARtabletextright"/>
              <w:rPr>
                <w:lang w:eastAsia="en-AU"/>
              </w:rPr>
            </w:pPr>
            <w:r w:rsidRPr="000557CC">
              <w:rPr>
                <w:lang w:eastAsia="en-AU"/>
              </w:rPr>
              <w:t>NA</w:t>
            </w:r>
          </w:p>
        </w:tc>
      </w:tr>
    </w:tbl>
    <w:p w14:paraId="04B3F62C" w14:textId="77777777" w:rsidR="006D7571" w:rsidRPr="000557CC" w:rsidRDefault="006D7571" w:rsidP="00784046">
      <w:pPr>
        <w:pStyle w:val="Heading3"/>
        <w:rPr>
          <w:lang w:eastAsia="en-AU"/>
        </w:rPr>
      </w:pPr>
      <w:bookmarkStart w:id="265" w:name="_Ref178663942"/>
      <w:r w:rsidRPr="000557CC">
        <w:rPr>
          <w:lang w:eastAsia="en-AU"/>
        </w:rPr>
        <w:t>Waste and recycling</w:t>
      </w:r>
      <w:bookmarkEnd w:id="265"/>
    </w:p>
    <w:p w14:paraId="06F7A232" w14:textId="79F6F315" w:rsidR="006D7571" w:rsidRPr="006D7571" w:rsidRDefault="006D7571" w:rsidP="00784046">
      <w:pPr>
        <w:pStyle w:val="ARBody"/>
      </w:pPr>
      <w:r w:rsidRPr="000557CC">
        <w:t>Waste management and recycling are key priorities for the department. This includes maximising recycling and minimising waste sent to landfill. The department does not currently collect data on</w:t>
      </w:r>
      <w:r w:rsidRPr="006D7571">
        <w:t xml:space="preserve"> waste disposal and</w:t>
      </w:r>
      <w:r w:rsidR="00610A6F">
        <w:t> </w:t>
      </w:r>
      <w:r w:rsidRPr="006D7571">
        <w:t>recycling and associated scope 3 emissions from Housing Services.</w:t>
      </w:r>
    </w:p>
    <w:p w14:paraId="65161215" w14:textId="77777777" w:rsidR="006D7571" w:rsidRPr="000557CC" w:rsidRDefault="006D7571" w:rsidP="00784046">
      <w:pPr>
        <w:pStyle w:val="ARTablecaption"/>
        <w:rPr>
          <w:rFonts w:eastAsia="MS PGothic"/>
        </w:rPr>
      </w:pPr>
      <w:r w:rsidRPr="000557CC">
        <w:rPr>
          <w:rFonts w:eastAsia="MS PGothic"/>
        </w:rPr>
        <w:t>Total units of waste disposed</w:t>
      </w:r>
    </w:p>
    <w:tbl>
      <w:tblPr>
        <w:tblStyle w:val="ARtable1"/>
        <w:tblW w:w="9639" w:type="dxa"/>
        <w:tblLayout w:type="fixed"/>
        <w:tblLook w:val="02E0" w:firstRow="1" w:lastRow="1" w:firstColumn="1" w:lastColumn="0" w:noHBand="1" w:noVBand="0"/>
      </w:tblPr>
      <w:tblGrid>
        <w:gridCol w:w="2835"/>
        <w:gridCol w:w="1134"/>
        <w:gridCol w:w="1134"/>
        <w:gridCol w:w="1134"/>
        <w:gridCol w:w="1134"/>
        <w:gridCol w:w="1134"/>
        <w:gridCol w:w="1134"/>
      </w:tblGrid>
      <w:tr w:rsidR="006D7571" w:rsidRPr="000557CC" w14:paraId="7814FC7F" w14:textId="77777777" w:rsidTr="009F3BE7">
        <w:trPr>
          <w:cnfStyle w:val="100000000000" w:firstRow="1" w:lastRow="0" w:firstColumn="0" w:lastColumn="0" w:oddVBand="0" w:evenVBand="0" w:oddHBand="0" w:evenHBand="0" w:firstRowFirstColumn="0" w:firstRowLastColumn="0" w:lastRowFirstColumn="0" w:lastRowLastColumn="0"/>
          <w:trHeight w:val="225"/>
          <w:tblHeader/>
        </w:trPr>
        <w:tc>
          <w:tcPr>
            <w:tcW w:w="2835" w:type="dxa"/>
          </w:tcPr>
          <w:p w14:paraId="1AC09921" w14:textId="77777777" w:rsidR="006D7571" w:rsidRPr="000557CC" w:rsidRDefault="006D7571" w:rsidP="00784046">
            <w:pPr>
              <w:pStyle w:val="ARtablecolhead"/>
              <w:rPr>
                <w:i/>
                <w:lang w:eastAsia="en-AU"/>
              </w:rPr>
            </w:pPr>
            <w:r w:rsidRPr="000557CC">
              <w:rPr>
                <w:lang w:eastAsia="en-AU"/>
              </w:rPr>
              <w:t>Indicator</w:t>
            </w:r>
          </w:p>
        </w:tc>
        <w:tc>
          <w:tcPr>
            <w:cnfStyle w:val="000001000000" w:firstRow="0" w:lastRow="0" w:firstColumn="0" w:lastColumn="0" w:oddVBand="0" w:evenVBand="1" w:oddHBand="0" w:evenHBand="0" w:firstRowFirstColumn="0" w:firstRowLastColumn="0" w:lastRowFirstColumn="0" w:lastRowLastColumn="0"/>
            <w:tcW w:w="1134" w:type="dxa"/>
          </w:tcPr>
          <w:p w14:paraId="69BF573C" w14:textId="77777777" w:rsidR="006D7571" w:rsidRPr="000557CC" w:rsidRDefault="006D7571" w:rsidP="00784046">
            <w:pPr>
              <w:pStyle w:val="ARtablecolheadright"/>
              <w:rPr>
                <w:lang w:eastAsia="en-AU"/>
              </w:rPr>
            </w:pPr>
            <w:r w:rsidRPr="000557CC">
              <w:rPr>
                <w:lang w:eastAsia="en-AU"/>
              </w:rPr>
              <w:t>2025–26</w:t>
            </w:r>
          </w:p>
          <w:p w14:paraId="6C82873D" w14:textId="77777777" w:rsidR="006D7571" w:rsidRPr="000557CC" w:rsidRDefault="006D7571" w:rsidP="00784046">
            <w:pPr>
              <w:pStyle w:val="ARtablecolheadright"/>
              <w:rPr>
                <w:i/>
                <w:lang w:eastAsia="en-AU"/>
              </w:rPr>
            </w:pPr>
            <w:r w:rsidRPr="000557CC">
              <w:rPr>
                <w:lang w:eastAsia="en-AU"/>
              </w:rPr>
              <w:t>kg</w:t>
            </w:r>
          </w:p>
        </w:tc>
        <w:tc>
          <w:tcPr>
            <w:tcW w:w="1134" w:type="dxa"/>
          </w:tcPr>
          <w:p w14:paraId="668B2552"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2025–26</w:t>
            </w:r>
          </w:p>
          <w:p w14:paraId="0323A5DE"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i/>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1134" w:type="dxa"/>
          </w:tcPr>
          <w:p w14:paraId="099ED86B" w14:textId="77777777" w:rsidR="006D7571" w:rsidRPr="000557CC" w:rsidRDefault="006D7571" w:rsidP="00784046">
            <w:pPr>
              <w:pStyle w:val="ARtablecolheadright"/>
              <w:rPr>
                <w:lang w:eastAsia="en-AU"/>
              </w:rPr>
            </w:pPr>
            <w:r w:rsidRPr="000557CC">
              <w:rPr>
                <w:lang w:eastAsia="en-AU"/>
              </w:rPr>
              <w:t>2024–25</w:t>
            </w:r>
          </w:p>
          <w:p w14:paraId="2DE13F24" w14:textId="77777777" w:rsidR="006D7571" w:rsidRPr="000557CC" w:rsidRDefault="006D7571" w:rsidP="00784046">
            <w:pPr>
              <w:pStyle w:val="ARtablecolheadright"/>
              <w:rPr>
                <w:i/>
                <w:lang w:eastAsia="en-AU"/>
              </w:rPr>
            </w:pPr>
            <w:r w:rsidRPr="000557CC">
              <w:rPr>
                <w:lang w:eastAsia="en-AU"/>
              </w:rPr>
              <w:t>kg</w:t>
            </w:r>
          </w:p>
        </w:tc>
        <w:tc>
          <w:tcPr>
            <w:tcW w:w="1134" w:type="dxa"/>
          </w:tcPr>
          <w:p w14:paraId="35401060"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75C10854"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i/>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1134" w:type="dxa"/>
          </w:tcPr>
          <w:p w14:paraId="096971B9" w14:textId="77777777" w:rsidR="006D7571" w:rsidRPr="000557CC" w:rsidRDefault="006D7571" w:rsidP="00784046">
            <w:pPr>
              <w:pStyle w:val="ARtablecolheadright"/>
              <w:rPr>
                <w:lang w:eastAsia="en-AU"/>
              </w:rPr>
            </w:pPr>
            <w:r w:rsidRPr="000557CC">
              <w:rPr>
                <w:lang w:eastAsia="en-AU"/>
              </w:rPr>
              <w:t>2023–24</w:t>
            </w:r>
          </w:p>
          <w:p w14:paraId="2D3C70FE" w14:textId="77777777" w:rsidR="006D7571" w:rsidRPr="000557CC" w:rsidRDefault="006D7571" w:rsidP="00784046">
            <w:pPr>
              <w:pStyle w:val="ARtablecolheadright"/>
              <w:rPr>
                <w:i/>
                <w:lang w:eastAsia="en-AU"/>
              </w:rPr>
            </w:pPr>
            <w:r w:rsidRPr="000557CC" w:rsidDel="009B7B01">
              <w:rPr>
                <w:lang w:eastAsia="en-AU"/>
              </w:rPr>
              <w:t>kg</w:t>
            </w:r>
          </w:p>
        </w:tc>
        <w:tc>
          <w:tcPr>
            <w:tcW w:w="1134" w:type="dxa"/>
          </w:tcPr>
          <w:p w14:paraId="02C78F40"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2023–24</w:t>
            </w:r>
          </w:p>
          <w:p w14:paraId="3CCF4EF6"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i/>
                <w:lang w:eastAsia="en-AU"/>
              </w:rPr>
            </w:pPr>
            <w:r w:rsidRPr="000557CC" w:rsidDel="009B7B01">
              <w:rPr>
                <w:lang w:eastAsia="en-AU"/>
              </w:rPr>
              <w:t>%</w:t>
            </w:r>
          </w:p>
        </w:tc>
      </w:tr>
      <w:tr w:rsidR="006D7571" w:rsidRPr="000557CC" w14:paraId="727F6C90" w14:textId="77777777" w:rsidTr="009F3BE7">
        <w:trPr>
          <w:trHeight w:val="225"/>
        </w:trPr>
        <w:tc>
          <w:tcPr>
            <w:tcW w:w="2835" w:type="dxa"/>
          </w:tcPr>
          <w:p w14:paraId="58278FC4" w14:textId="77777777" w:rsidR="006D7571" w:rsidRPr="000557CC" w:rsidRDefault="006D7571" w:rsidP="00784046">
            <w:pPr>
              <w:pStyle w:val="ARtabletextbold"/>
              <w:rPr>
                <w:lang w:eastAsia="en-AU"/>
              </w:rPr>
            </w:pPr>
            <w:r w:rsidRPr="000557CC">
              <w:rPr>
                <w:lang w:eastAsia="en-AU"/>
              </w:rPr>
              <w:t xml:space="preserve">Landfill general </w:t>
            </w:r>
            <w:r w:rsidRPr="00784046">
              <w:t>waste</w:t>
            </w:r>
          </w:p>
        </w:tc>
        <w:tc>
          <w:tcPr>
            <w:cnfStyle w:val="000001000000" w:firstRow="0" w:lastRow="0" w:firstColumn="0" w:lastColumn="0" w:oddVBand="0" w:evenVBand="1" w:oddHBand="0" w:evenHBand="0" w:firstRowFirstColumn="0" w:firstRowLastColumn="0" w:lastRowFirstColumn="0" w:lastRowLastColumn="0"/>
            <w:tcW w:w="1134" w:type="dxa"/>
          </w:tcPr>
          <w:p w14:paraId="00C34752" w14:textId="77777777" w:rsidR="006D7571" w:rsidRPr="000557CC" w:rsidRDefault="006D7571" w:rsidP="00784046">
            <w:pPr>
              <w:pStyle w:val="ARtabletextright"/>
              <w:rPr>
                <w:lang w:eastAsia="en-AU"/>
              </w:rPr>
            </w:pPr>
            <w:r w:rsidRPr="000557CC">
              <w:rPr>
                <w:lang w:eastAsia="en-AU"/>
              </w:rPr>
              <w:t>122,088.8</w:t>
            </w:r>
          </w:p>
        </w:tc>
        <w:tc>
          <w:tcPr>
            <w:tcW w:w="1134" w:type="dxa"/>
          </w:tcPr>
          <w:p w14:paraId="5E93C497" w14:textId="0F8B7EDC"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36.</w:t>
            </w:r>
            <w:r w:rsidR="002C2BBE">
              <w:rPr>
                <w:lang w:eastAsia="en-AU"/>
              </w:rPr>
              <w:t>2</w:t>
            </w:r>
          </w:p>
        </w:tc>
        <w:tc>
          <w:tcPr>
            <w:cnfStyle w:val="000001000000" w:firstRow="0" w:lastRow="0" w:firstColumn="0" w:lastColumn="0" w:oddVBand="0" w:evenVBand="1" w:oddHBand="0" w:evenHBand="0" w:firstRowFirstColumn="0" w:firstRowLastColumn="0" w:lastRowFirstColumn="0" w:lastRowLastColumn="0"/>
            <w:tcW w:w="1134" w:type="dxa"/>
          </w:tcPr>
          <w:p w14:paraId="65E9D0B6" w14:textId="77777777" w:rsidR="006D7571" w:rsidRPr="000557CC" w:rsidRDefault="006D7571" w:rsidP="00784046">
            <w:pPr>
              <w:pStyle w:val="ARtabletextright"/>
              <w:rPr>
                <w:lang w:eastAsia="en-AU"/>
              </w:rPr>
            </w:pPr>
            <w:r w:rsidRPr="000557CC">
              <w:rPr>
                <w:lang w:eastAsia="en-AU"/>
              </w:rPr>
              <w:t>113,048.7</w:t>
            </w:r>
          </w:p>
        </w:tc>
        <w:tc>
          <w:tcPr>
            <w:tcW w:w="1134" w:type="dxa"/>
          </w:tcPr>
          <w:p w14:paraId="55F8C516" w14:textId="758E6628" w:rsidR="006D7571" w:rsidRPr="000557CC" w:rsidRDefault="00D31934"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Pr>
                <w:lang w:eastAsia="en-AU"/>
              </w:rPr>
              <w:t>33.9</w:t>
            </w:r>
          </w:p>
        </w:tc>
        <w:tc>
          <w:tcPr>
            <w:cnfStyle w:val="000001000000" w:firstRow="0" w:lastRow="0" w:firstColumn="0" w:lastColumn="0" w:oddVBand="0" w:evenVBand="1" w:oddHBand="0" w:evenHBand="0" w:firstRowFirstColumn="0" w:firstRowLastColumn="0" w:lastRowFirstColumn="0" w:lastRowLastColumn="0"/>
            <w:tcW w:w="1134" w:type="dxa"/>
          </w:tcPr>
          <w:p w14:paraId="43ADB735" w14:textId="77777777" w:rsidR="006D7571" w:rsidRPr="000557CC" w:rsidRDefault="006D7571" w:rsidP="00784046">
            <w:pPr>
              <w:pStyle w:val="ARtabletextright"/>
              <w:rPr>
                <w:lang w:eastAsia="en-AU"/>
              </w:rPr>
            </w:pPr>
            <w:r w:rsidRPr="000557CC">
              <w:rPr>
                <w:lang w:eastAsia="en-AU"/>
              </w:rPr>
              <w:t>89,265.0</w:t>
            </w:r>
          </w:p>
        </w:tc>
        <w:tc>
          <w:tcPr>
            <w:tcW w:w="1134" w:type="dxa"/>
          </w:tcPr>
          <w:p w14:paraId="7A5A3A67" w14:textId="77777777"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23.5</w:t>
            </w:r>
          </w:p>
        </w:tc>
      </w:tr>
      <w:tr w:rsidR="00AC056E" w:rsidRPr="000557CC" w14:paraId="1F5E1F2F" w14:textId="77777777" w:rsidTr="00AC056E">
        <w:trPr>
          <w:trHeight w:val="225"/>
        </w:trPr>
        <w:tc>
          <w:tcPr>
            <w:tcW w:w="2835" w:type="dxa"/>
          </w:tcPr>
          <w:p w14:paraId="5AF0F100" w14:textId="284BA769" w:rsidR="00AC056E" w:rsidRPr="000557CC" w:rsidRDefault="00AC056E" w:rsidP="00AC056E">
            <w:pPr>
              <w:pStyle w:val="ARTabletextboldcoloured"/>
              <w:rPr>
                <w:lang w:eastAsia="en-AU"/>
              </w:rPr>
            </w:pPr>
            <w:r w:rsidRPr="000557CC">
              <w:rPr>
                <w:lang w:eastAsia="en-AU"/>
              </w:rPr>
              <w:t>Recycling/recovery (disposal)</w:t>
            </w:r>
          </w:p>
        </w:tc>
        <w:tc>
          <w:tcPr>
            <w:cnfStyle w:val="000001000000" w:firstRow="0" w:lastRow="0" w:firstColumn="0" w:lastColumn="0" w:oddVBand="0" w:evenVBand="1" w:oddHBand="0" w:evenHBand="0" w:firstRowFirstColumn="0" w:firstRowLastColumn="0" w:lastRowFirstColumn="0" w:lastRowLastColumn="0"/>
            <w:tcW w:w="1134" w:type="dxa"/>
            <w:shd w:val="clear" w:color="auto" w:fill="auto"/>
          </w:tcPr>
          <w:p w14:paraId="685A6C88" w14:textId="77777777" w:rsidR="00AC056E" w:rsidRPr="000557CC" w:rsidRDefault="00AC056E" w:rsidP="00784046">
            <w:pPr>
              <w:pStyle w:val="ARtabletextright"/>
              <w:rPr>
                <w:lang w:eastAsia="en-AU"/>
              </w:rPr>
            </w:pPr>
          </w:p>
        </w:tc>
        <w:tc>
          <w:tcPr>
            <w:tcW w:w="1134" w:type="dxa"/>
          </w:tcPr>
          <w:p w14:paraId="70028DF2" w14:textId="77777777" w:rsidR="00AC056E" w:rsidRDefault="00AC056E"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1134" w:type="dxa"/>
            <w:shd w:val="clear" w:color="auto" w:fill="auto"/>
          </w:tcPr>
          <w:p w14:paraId="2D0C7660" w14:textId="77777777" w:rsidR="00AC056E" w:rsidRPr="000557CC" w:rsidRDefault="00AC056E" w:rsidP="00784046">
            <w:pPr>
              <w:pStyle w:val="ARtabletextright"/>
              <w:rPr>
                <w:lang w:eastAsia="en-AU"/>
              </w:rPr>
            </w:pPr>
          </w:p>
        </w:tc>
        <w:tc>
          <w:tcPr>
            <w:tcW w:w="1134" w:type="dxa"/>
          </w:tcPr>
          <w:p w14:paraId="52260549" w14:textId="77777777" w:rsidR="00AC056E" w:rsidRDefault="00AC056E"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1134" w:type="dxa"/>
            <w:shd w:val="clear" w:color="auto" w:fill="auto"/>
          </w:tcPr>
          <w:p w14:paraId="17A59524" w14:textId="77777777" w:rsidR="00AC056E" w:rsidRPr="000557CC" w:rsidRDefault="00AC056E" w:rsidP="00784046">
            <w:pPr>
              <w:pStyle w:val="ARtabletextright"/>
              <w:rPr>
                <w:lang w:eastAsia="en-AU"/>
              </w:rPr>
            </w:pPr>
          </w:p>
        </w:tc>
        <w:tc>
          <w:tcPr>
            <w:tcW w:w="1134" w:type="dxa"/>
          </w:tcPr>
          <w:p w14:paraId="465754D4" w14:textId="77777777" w:rsidR="00AC056E" w:rsidRPr="000557CC" w:rsidRDefault="00AC056E"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p>
        </w:tc>
      </w:tr>
      <w:tr w:rsidR="006D7571" w:rsidRPr="000557CC" w14:paraId="447E7A25" w14:textId="77777777" w:rsidTr="009F3BE7">
        <w:trPr>
          <w:trHeight w:val="225"/>
        </w:trPr>
        <w:tc>
          <w:tcPr>
            <w:tcW w:w="2835" w:type="dxa"/>
          </w:tcPr>
          <w:p w14:paraId="37C7A662" w14:textId="77777777" w:rsidR="006D7571" w:rsidRPr="000557CC" w:rsidRDefault="006D7571" w:rsidP="00784046">
            <w:pPr>
              <w:pStyle w:val="ARTabletext"/>
              <w:rPr>
                <w:lang w:eastAsia="en-AU"/>
              </w:rPr>
            </w:pPr>
            <w:r w:rsidRPr="000557CC">
              <w:rPr>
                <w:lang w:eastAsia="en-AU"/>
              </w:rPr>
              <w:t>Commingled</w:t>
            </w:r>
          </w:p>
        </w:tc>
        <w:tc>
          <w:tcPr>
            <w:cnfStyle w:val="000001000000" w:firstRow="0" w:lastRow="0" w:firstColumn="0" w:lastColumn="0" w:oddVBand="0" w:evenVBand="1" w:oddHBand="0" w:evenHBand="0" w:firstRowFirstColumn="0" w:firstRowLastColumn="0" w:lastRowFirstColumn="0" w:lastRowLastColumn="0"/>
            <w:tcW w:w="1134" w:type="dxa"/>
          </w:tcPr>
          <w:p w14:paraId="0146BE1E" w14:textId="77777777" w:rsidR="006D7571" w:rsidRPr="000557CC" w:rsidRDefault="006D7571" w:rsidP="00784046">
            <w:pPr>
              <w:pStyle w:val="ARtabletextright"/>
              <w:rPr>
                <w:lang w:eastAsia="en-AU"/>
              </w:rPr>
            </w:pPr>
            <w:r w:rsidRPr="000557CC">
              <w:rPr>
                <w:lang w:eastAsia="en-AU"/>
              </w:rPr>
              <w:t>20,222.9</w:t>
            </w:r>
          </w:p>
        </w:tc>
        <w:tc>
          <w:tcPr>
            <w:tcW w:w="1134" w:type="dxa"/>
          </w:tcPr>
          <w:p w14:paraId="11F84770" w14:textId="72F1FB1F" w:rsidR="006D7571" w:rsidRPr="000557CC" w:rsidRDefault="002C2BBE"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Pr>
                <w:lang w:eastAsia="en-AU"/>
              </w:rPr>
              <w:t>6.0</w:t>
            </w:r>
          </w:p>
        </w:tc>
        <w:tc>
          <w:tcPr>
            <w:cnfStyle w:val="000001000000" w:firstRow="0" w:lastRow="0" w:firstColumn="0" w:lastColumn="0" w:oddVBand="0" w:evenVBand="1" w:oddHBand="0" w:evenHBand="0" w:firstRowFirstColumn="0" w:firstRowLastColumn="0" w:lastRowFirstColumn="0" w:lastRowLastColumn="0"/>
            <w:tcW w:w="1134" w:type="dxa"/>
          </w:tcPr>
          <w:p w14:paraId="7CD9528D" w14:textId="77777777" w:rsidR="006D7571" w:rsidRPr="000557CC" w:rsidRDefault="006D7571" w:rsidP="00784046">
            <w:pPr>
              <w:pStyle w:val="ARtabletextright"/>
              <w:rPr>
                <w:lang w:eastAsia="en-AU"/>
              </w:rPr>
            </w:pPr>
            <w:r w:rsidRPr="000557CC">
              <w:rPr>
                <w:lang w:eastAsia="en-AU"/>
              </w:rPr>
              <w:t>39,731.1</w:t>
            </w:r>
          </w:p>
        </w:tc>
        <w:tc>
          <w:tcPr>
            <w:tcW w:w="1134" w:type="dxa"/>
          </w:tcPr>
          <w:p w14:paraId="3840DFC6" w14:textId="483BD85C" w:rsidR="006D7571" w:rsidRPr="000557CC" w:rsidRDefault="00D31934"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Pr>
                <w:lang w:eastAsia="en-AU"/>
              </w:rPr>
              <w:t>11.9</w:t>
            </w:r>
          </w:p>
        </w:tc>
        <w:tc>
          <w:tcPr>
            <w:cnfStyle w:val="000001000000" w:firstRow="0" w:lastRow="0" w:firstColumn="0" w:lastColumn="0" w:oddVBand="0" w:evenVBand="1" w:oddHBand="0" w:evenHBand="0" w:firstRowFirstColumn="0" w:firstRowLastColumn="0" w:lastRowFirstColumn="0" w:lastRowLastColumn="0"/>
            <w:tcW w:w="1134" w:type="dxa"/>
          </w:tcPr>
          <w:p w14:paraId="2BD58A6B" w14:textId="77777777" w:rsidR="006D7571" w:rsidRPr="000557CC" w:rsidRDefault="006D7571" w:rsidP="00784046">
            <w:pPr>
              <w:pStyle w:val="ARtabletextright"/>
              <w:rPr>
                <w:lang w:eastAsia="en-AU"/>
              </w:rPr>
            </w:pPr>
            <w:r w:rsidRPr="000557CC">
              <w:rPr>
                <w:lang w:eastAsia="en-AU"/>
              </w:rPr>
              <w:t>8,984.7</w:t>
            </w:r>
          </w:p>
        </w:tc>
        <w:tc>
          <w:tcPr>
            <w:tcW w:w="1134" w:type="dxa"/>
          </w:tcPr>
          <w:p w14:paraId="3A2BFC65" w14:textId="77777777"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2.4</w:t>
            </w:r>
          </w:p>
        </w:tc>
      </w:tr>
      <w:tr w:rsidR="006D7571" w:rsidRPr="000557CC" w14:paraId="71B958F9" w14:textId="77777777" w:rsidTr="009F3BE7">
        <w:trPr>
          <w:trHeight w:val="225"/>
        </w:trPr>
        <w:tc>
          <w:tcPr>
            <w:tcW w:w="2835" w:type="dxa"/>
          </w:tcPr>
          <w:p w14:paraId="4320B3E9" w14:textId="77777777" w:rsidR="006D7571" w:rsidRPr="000557CC" w:rsidRDefault="006D7571" w:rsidP="00784046">
            <w:pPr>
              <w:pStyle w:val="ARTabletext"/>
              <w:rPr>
                <w:rFonts w:eastAsia="Calibri"/>
                <w:color w:val="000000"/>
                <w:lang w:eastAsia="en-AU"/>
              </w:rPr>
            </w:pPr>
            <w:r w:rsidRPr="000557CC">
              <w:rPr>
                <w:lang w:eastAsia="en-AU"/>
              </w:rPr>
              <w:t>Organics</w:t>
            </w:r>
          </w:p>
        </w:tc>
        <w:tc>
          <w:tcPr>
            <w:cnfStyle w:val="000001000000" w:firstRow="0" w:lastRow="0" w:firstColumn="0" w:lastColumn="0" w:oddVBand="0" w:evenVBand="1" w:oddHBand="0" w:evenHBand="0" w:firstRowFirstColumn="0" w:firstRowLastColumn="0" w:lastRowFirstColumn="0" w:lastRowLastColumn="0"/>
            <w:tcW w:w="1134" w:type="dxa"/>
          </w:tcPr>
          <w:p w14:paraId="58A2BCA6" w14:textId="77777777" w:rsidR="006D7571" w:rsidRPr="000557CC" w:rsidRDefault="006D7571" w:rsidP="00784046">
            <w:pPr>
              <w:pStyle w:val="ARtabletextright"/>
              <w:rPr>
                <w:lang w:eastAsia="en-AU"/>
              </w:rPr>
            </w:pPr>
            <w:r w:rsidRPr="000557CC">
              <w:rPr>
                <w:lang w:eastAsia="en-AU"/>
              </w:rPr>
              <w:t>2,252.1</w:t>
            </w:r>
          </w:p>
        </w:tc>
        <w:tc>
          <w:tcPr>
            <w:tcW w:w="1134" w:type="dxa"/>
          </w:tcPr>
          <w:p w14:paraId="762BFF52" w14:textId="77777777"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0.7</w:t>
            </w:r>
          </w:p>
        </w:tc>
        <w:tc>
          <w:tcPr>
            <w:cnfStyle w:val="000001000000" w:firstRow="0" w:lastRow="0" w:firstColumn="0" w:lastColumn="0" w:oddVBand="0" w:evenVBand="1" w:oddHBand="0" w:evenHBand="0" w:firstRowFirstColumn="0" w:firstRowLastColumn="0" w:lastRowFirstColumn="0" w:lastRowLastColumn="0"/>
            <w:tcW w:w="1134" w:type="dxa"/>
          </w:tcPr>
          <w:p w14:paraId="10EEF6E3" w14:textId="77777777" w:rsidR="006D7571" w:rsidRPr="000557CC" w:rsidRDefault="006D7571" w:rsidP="00784046">
            <w:pPr>
              <w:pStyle w:val="ARtabletextright"/>
              <w:rPr>
                <w:lang w:eastAsia="en-AU"/>
              </w:rPr>
            </w:pPr>
            <w:r w:rsidRPr="000557CC">
              <w:rPr>
                <w:lang w:eastAsia="en-AU"/>
              </w:rPr>
              <w:t>1,333.1</w:t>
            </w:r>
          </w:p>
        </w:tc>
        <w:tc>
          <w:tcPr>
            <w:tcW w:w="1134" w:type="dxa"/>
          </w:tcPr>
          <w:p w14:paraId="3A820CF3" w14:textId="77777777"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0.4</w:t>
            </w:r>
          </w:p>
        </w:tc>
        <w:tc>
          <w:tcPr>
            <w:cnfStyle w:val="000001000000" w:firstRow="0" w:lastRow="0" w:firstColumn="0" w:lastColumn="0" w:oddVBand="0" w:evenVBand="1" w:oddHBand="0" w:evenHBand="0" w:firstRowFirstColumn="0" w:firstRowLastColumn="0" w:lastRowFirstColumn="0" w:lastRowLastColumn="0"/>
            <w:tcW w:w="1134" w:type="dxa"/>
          </w:tcPr>
          <w:p w14:paraId="2A379FBE" w14:textId="77777777" w:rsidR="006D7571" w:rsidRPr="000557CC" w:rsidRDefault="006D7571" w:rsidP="00784046">
            <w:pPr>
              <w:pStyle w:val="ARtabletextright"/>
              <w:rPr>
                <w:lang w:eastAsia="en-AU"/>
              </w:rPr>
            </w:pPr>
            <w:r w:rsidRPr="000557CC">
              <w:rPr>
                <w:lang w:eastAsia="en-AU"/>
              </w:rPr>
              <w:t>1,148.9</w:t>
            </w:r>
          </w:p>
        </w:tc>
        <w:tc>
          <w:tcPr>
            <w:tcW w:w="1134" w:type="dxa"/>
          </w:tcPr>
          <w:p w14:paraId="32F81138" w14:textId="77777777"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0.3</w:t>
            </w:r>
          </w:p>
        </w:tc>
      </w:tr>
      <w:tr w:rsidR="006D7571" w:rsidRPr="000557CC" w14:paraId="7DBAB72B" w14:textId="77777777" w:rsidTr="009F3BE7">
        <w:trPr>
          <w:trHeight w:val="225"/>
        </w:trPr>
        <w:tc>
          <w:tcPr>
            <w:tcW w:w="2835" w:type="dxa"/>
          </w:tcPr>
          <w:p w14:paraId="6E973B2B" w14:textId="5FF641A6" w:rsidR="006D7571" w:rsidRPr="000557CC" w:rsidRDefault="006D7571" w:rsidP="00784046">
            <w:pPr>
              <w:pStyle w:val="ARTabletext"/>
              <w:rPr>
                <w:rFonts w:eastAsia="Calibri"/>
                <w:color w:val="000000"/>
                <w:lang w:eastAsia="en-AU"/>
              </w:rPr>
            </w:pPr>
            <w:r w:rsidRPr="000557CC">
              <w:rPr>
                <w:lang w:eastAsia="en-AU"/>
              </w:rPr>
              <w:t>Paper (confidential)</w:t>
            </w:r>
            <w:r w:rsidRPr="000557CC">
              <w:rPr>
                <w:vertAlign w:val="superscript"/>
                <w:lang w:eastAsia="en-AU"/>
              </w:rPr>
              <w:footnoteReference w:id="38"/>
            </w:r>
          </w:p>
        </w:tc>
        <w:tc>
          <w:tcPr>
            <w:cnfStyle w:val="000001000000" w:firstRow="0" w:lastRow="0" w:firstColumn="0" w:lastColumn="0" w:oddVBand="0" w:evenVBand="1" w:oddHBand="0" w:evenHBand="0" w:firstRowFirstColumn="0" w:firstRowLastColumn="0" w:lastRowFirstColumn="0" w:lastRowLastColumn="0"/>
            <w:tcW w:w="1134" w:type="dxa"/>
          </w:tcPr>
          <w:p w14:paraId="3AC5E46C" w14:textId="77777777" w:rsidR="006D7571" w:rsidRPr="000557CC" w:rsidRDefault="006D7571" w:rsidP="00784046">
            <w:pPr>
              <w:pStyle w:val="ARtabletextright"/>
              <w:rPr>
                <w:lang w:eastAsia="en-AU"/>
              </w:rPr>
            </w:pPr>
            <w:r w:rsidRPr="000557CC">
              <w:rPr>
                <w:lang w:eastAsia="en-AU"/>
              </w:rPr>
              <w:t>182,141.5</w:t>
            </w:r>
          </w:p>
        </w:tc>
        <w:tc>
          <w:tcPr>
            <w:tcW w:w="1134" w:type="dxa"/>
          </w:tcPr>
          <w:p w14:paraId="54D8CA31" w14:textId="3AE82441"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53.</w:t>
            </w:r>
            <w:r w:rsidR="002C2BBE">
              <w:rPr>
                <w:lang w:eastAsia="en-AU"/>
              </w:rPr>
              <w:t>9</w:t>
            </w:r>
          </w:p>
        </w:tc>
        <w:tc>
          <w:tcPr>
            <w:cnfStyle w:val="000001000000" w:firstRow="0" w:lastRow="0" w:firstColumn="0" w:lastColumn="0" w:oddVBand="0" w:evenVBand="1" w:oddHBand="0" w:evenHBand="0" w:firstRowFirstColumn="0" w:firstRowLastColumn="0" w:lastRowFirstColumn="0" w:lastRowLastColumn="0"/>
            <w:tcW w:w="1134" w:type="dxa"/>
          </w:tcPr>
          <w:p w14:paraId="1BD1942B" w14:textId="77777777" w:rsidR="006D7571" w:rsidRPr="000557CC" w:rsidRDefault="006D7571" w:rsidP="00784046">
            <w:pPr>
              <w:pStyle w:val="ARtabletextright"/>
              <w:rPr>
                <w:lang w:eastAsia="en-AU"/>
              </w:rPr>
            </w:pPr>
            <w:r w:rsidRPr="000557CC">
              <w:rPr>
                <w:lang w:eastAsia="en-AU"/>
              </w:rPr>
              <w:t>139,538.9</w:t>
            </w:r>
          </w:p>
        </w:tc>
        <w:tc>
          <w:tcPr>
            <w:tcW w:w="1134" w:type="dxa"/>
          </w:tcPr>
          <w:p w14:paraId="522DEB58" w14:textId="76C39B7D" w:rsidR="006D7571" w:rsidRPr="000557CC" w:rsidRDefault="00D31934"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Pr>
                <w:lang w:eastAsia="en-AU"/>
              </w:rPr>
              <w:t>41.9</w:t>
            </w:r>
          </w:p>
        </w:tc>
        <w:tc>
          <w:tcPr>
            <w:cnfStyle w:val="000001000000" w:firstRow="0" w:lastRow="0" w:firstColumn="0" w:lastColumn="0" w:oddVBand="0" w:evenVBand="1" w:oddHBand="0" w:evenHBand="0" w:firstRowFirstColumn="0" w:firstRowLastColumn="0" w:lastRowFirstColumn="0" w:lastRowLastColumn="0"/>
            <w:tcW w:w="1134" w:type="dxa"/>
          </w:tcPr>
          <w:p w14:paraId="46AA71E0" w14:textId="77777777" w:rsidR="006D7571" w:rsidRPr="000557CC" w:rsidRDefault="006D7571" w:rsidP="00784046">
            <w:pPr>
              <w:pStyle w:val="ARtabletextright"/>
              <w:rPr>
                <w:lang w:eastAsia="en-AU"/>
              </w:rPr>
            </w:pPr>
            <w:r w:rsidRPr="000557CC">
              <w:rPr>
                <w:lang w:eastAsia="en-AU"/>
              </w:rPr>
              <w:t>260,361</w:t>
            </w:r>
          </w:p>
        </w:tc>
        <w:tc>
          <w:tcPr>
            <w:tcW w:w="1134" w:type="dxa"/>
          </w:tcPr>
          <w:p w14:paraId="13DF6F3A" w14:textId="49310E5C"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68.</w:t>
            </w:r>
            <w:r w:rsidR="00D31934">
              <w:rPr>
                <w:lang w:eastAsia="en-AU"/>
              </w:rPr>
              <w:t>5</w:t>
            </w:r>
          </w:p>
        </w:tc>
      </w:tr>
      <w:tr w:rsidR="006D7571" w:rsidRPr="000557CC" w14:paraId="229A011E" w14:textId="77777777" w:rsidTr="009F3BE7">
        <w:trPr>
          <w:trHeight w:val="225"/>
        </w:trPr>
        <w:tc>
          <w:tcPr>
            <w:tcW w:w="2835" w:type="dxa"/>
          </w:tcPr>
          <w:p w14:paraId="7F11E82D" w14:textId="77777777" w:rsidR="006D7571" w:rsidRPr="000557CC" w:rsidRDefault="006D7571" w:rsidP="00784046">
            <w:pPr>
              <w:pStyle w:val="ARTabletext"/>
              <w:rPr>
                <w:lang w:eastAsia="en-AU"/>
              </w:rPr>
            </w:pPr>
            <w:r w:rsidRPr="000557CC">
              <w:rPr>
                <w:lang w:eastAsia="en-AU"/>
              </w:rPr>
              <w:t>Paper (recycling)</w:t>
            </w:r>
          </w:p>
        </w:tc>
        <w:tc>
          <w:tcPr>
            <w:cnfStyle w:val="000001000000" w:firstRow="0" w:lastRow="0" w:firstColumn="0" w:lastColumn="0" w:oddVBand="0" w:evenVBand="1" w:oddHBand="0" w:evenHBand="0" w:firstRowFirstColumn="0" w:firstRowLastColumn="0" w:lastRowFirstColumn="0" w:lastRowLastColumn="0"/>
            <w:tcW w:w="1134" w:type="dxa"/>
          </w:tcPr>
          <w:p w14:paraId="6D04F46A" w14:textId="77777777" w:rsidR="006D7571" w:rsidRPr="000557CC" w:rsidRDefault="006D7571" w:rsidP="00784046">
            <w:pPr>
              <w:pStyle w:val="ARtabletextright"/>
              <w:rPr>
                <w:lang w:eastAsia="en-AU"/>
              </w:rPr>
            </w:pPr>
            <w:r w:rsidRPr="000557CC">
              <w:rPr>
                <w:lang w:eastAsia="en-AU"/>
              </w:rPr>
              <w:t>10,243.2</w:t>
            </w:r>
          </w:p>
        </w:tc>
        <w:tc>
          <w:tcPr>
            <w:tcW w:w="1134" w:type="dxa"/>
          </w:tcPr>
          <w:p w14:paraId="72218043" w14:textId="7A00B450"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3.</w:t>
            </w:r>
            <w:r w:rsidR="002C2BBE">
              <w:rPr>
                <w:lang w:eastAsia="en-AU"/>
              </w:rPr>
              <w:t>0</w:t>
            </w:r>
          </w:p>
        </w:tc>
        <w:tc>
          <w:tcPr>
            <w:cnfStyle w:val="000001000000" w:firstRow="0" w:lastRow="0" w:firstColumn="0" w:lastColumn="0" w:oddVBand="0" w:evenVBand="1" w:oddHBand="0" w:evenHBand="0" w:firstRowFirstColumn="0" w:firstRowLastColumn="0" w:lastRowFirstColumn="0" w:lastRowLastColumn="0"/>
            <w:tcW w:w="1134" w:type="dxa"/>
          </w:tcPr>
          <w:p w14:paraId="0A4290FD" w14:textId="77777777" w:rsidR="006D7571" w:rsidRPr="000557CC" w:rsidRDefault="006D7571" w:rsidP="00784046">
            <w:pPr>
              <w:pStyle w:val="ARtabletextright"/>
              <w:rPr>
                <w:lang w:eastAsia="en-AU"/>
              </w:rPr>
            </w:pPr>
            <w:r w:rsidRPr="000557CC">
              <w:rPr>
                <w:lang w:eastAsia="en-AU"/>
              </w:rPr>
              <w:t>38,790.9</w:t>
            </w:r>
          </w:p>
        </w:tc>
        <w:tc>
          <w:tcPr>
            <w:tcW w:w="1134" w:type="dxa"/>
          </w:tcPr>
          <w:p w14:paraId="36C0FD1F" w14:textId="0812598D"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11.</w:t>
            </w:r>
            <w:r w:rsidR="00D31934">
              <w:rPr>
                <w:lang w:eastAsia="en-AU"/>
              </w:rPr>
              <w:t>6</w:t>
            </w:r>
          </w:p>
        </w:tc>
        <w:tc>
          <w:tcPr>
            <w:cnfStyle w:val="000001000000" w:firstRow="0" w:lastRow="0" w:firstColumn="0" w:lastColumn="0" w:oddVBand="0" w:evenVBand="1" w:oddHBand="0" w:evenHBand="0" w:firstRowFirstColumn="0" w:firstRowLastColumn="0" w:lastRowFirstColumn="0" w:lastRowLastColumn="0"/>
            <w:tcW w:w="1134" w:type="dxa"/>
          </w:tcPr>
          <w:p w14:paraId="24BB657B" w14:textId="77777777" w:rsidR="006D7571" w:rsidRPr="000557CC" w:rsidRDefault="006D7571" w:rsidP="00784046">
            <w:pPr>
              <w:pStyle w:val="ARtabletextright"/>
              <w:rPr>
                <w:lang w:eastAsia="en-AU"/>
              </w:rPr>
            </w:pPr>
            <w:r w:rsidRPr="000557CC">
              <w:rPr>
                <w:lang w:eastAsia="en-AU"/>
              </w:rPr>
              <w:t>19,372.5</w:t>
            </w:r>
          </w:p>
        </w:tc>
        <w:tc>
          <w:tcPr>
            <w:tcW w:w="1134" w:type="dxa"/>
          </w:tcPr>
          <w:p w14:paraId="4430E3A5" w14:textId="77777777"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5.1</w:t>
            </w:r>
          </w:p>
        </w:tc>
      </w:tr>
      <w:tr w:rsidR="006D7571" w:rsidRPr="000557CC" w14:paraId="637D07DC" w14:textId="77777777" w:rsidTr="009F3BE7">
        <w:trPr>
          <w:trHeight w:val="240"/>
        </w:trPr>
        <w:tc>
          <w:tcPr>
            <w:tcW w:w="2835" w:type="dxa"/>
          </w:tcPr>
          <w:p w14:paraId="09299D04" w14:textId="054172F2" w:rsidR="006D7571" w:rsidRPr="000557CC" w:rsidRDefault="006D7571" w:rsidP="00784046">
            <w:pPr>
              <w:pStyle w:val="ARTabletext"/>
              <w:rPr>
                <w:lang w:eastAsia="en-AU"/>
              </w:rPr>
            </w:pPr>
            <w:r w:rsidRPr="000557CC">
              <w:rPr>
                <w:lang w:eastAsia="en-AU"/>
              </w:rPr>
              <w:t>Toners and print cartridges</w:t>
            </w:r>
            <w:r w:rsidRPr="000557CC">
              <w:rPr>
                <w:vertAlign w:val="superscript"/>
                <w:lang w:eastAsia="en-AU"/>
              </w:rPr>
              <w:footnoteReference w:id="39"/>
            </w:r>
          </w:p>
        </w:tc>
        <w:tc>
          <w:tcPr>
            <w:cnfStyle w:val="000001000000" w:firstRow="0" w:lastRow="0" w:firstColumn="0" w:lastColumn="0" w:oddVBand="0" w:evenVBand="1" w:oddHBand="0" w:evenHBand="0" w:firstRowFirstColumn="0" w:firstRowLastColumn="0" w:lastRowFirstColumn="0" w:lastRowLastColumn="0"/>
            <w:tcW w:w="1134" w:type="dxa"/>
          </w:tcPr>
          <w:p w14:paraId="1C795003" w14:textId="43022CB2" w:rsidR="006D7571" w:rsidRPr="000557CC" w:rsidRDefault="00961C2C" w:rsidP="00784046">
            <w:pPr>
              <w:pStyle w:val="ARtabletextright"/>
              <w:rPr>
                <w:lang w:eastAsia="en-AU"/>
              </w:rPr>
            </w:pPr>
            <w:r>
              <w:rPr>
                <w:lang w:eastAsia="en-AU"/>
              </w:rPr>
              <w:t>700</w:t>
            </w:r>
          </w:p>
        </w:tc>
        <w:tc>
          <w:tcPr>
            <w:tcW w:w="1134" w:type="dxa"/>
          </w:tcPr>
          <w:p w14:paraId="74FF4759" w14:textId="45798487" w:rsidR="006D7571" w:rsidRPr="000557CC" w:rsidRDefault="002C2BBE"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Pr>
                <w:lang w:eastAsia="en-AU"/>
              </w:rPr>
              <w:t>0.2</w:t>
            </w:r>
          </w:p>
        </w:tc>
        <w:tc>
          <w:tcPr>
            <w:cnfStyle w:val="000001000000" w:firstRow="0" w:lastRow="0" w:firstColumn="0" w:lastColumn="0" w:oddVBand="0" w:evenVBand="1" w:oddHBand="0" w:evenHBand="0" w:firstRowFirstColumn="0" w:firstRowLastColumn="0" w:lastRowFirstColumn="0" w:lastRowLastColumn="0"/>
            <w:tcW w:w="1134" w:type="dxa"/>
          </w:tcPr>
          <w:p w14:paraId="00610D62" w14:textId="61DDFD0B" w:rsidR="006D7571" w:rsidRPr="000557CC" w:rsidRDefault="00D31934" w:rsidP="00784046">
            <w:pPr>
              <w:pStyle w:val="ARtabletextright"/>
              <w:rPr>
                <w:lang w:eastAsia="en-AU"/>
              </w:rPr>
            </w:pPr>
            <w:r>
              <w:rPr>
                <w:lang w:eastAsia="en-AU"/>
              </w:rPr>
              <w:t>896</w:t>
            </w:r>
          </w:p>
        </w:tc>
        <w:tc>
          <w:tcPr>
            <w:tcW w:w="1134" w:type="dxa"/>
          </w:tcPr>
          <w:p w14:paraId="264B1962" w14:textId="1C416C36" w:rsidR="006D7571" w:rsidRPr="000557CC" w:rsidRDefault="00D31934"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Pr>
                <w:lang w:eastAsia="en-AU"/>
              </w:rPr>
              <w:t>0.3</w:t>
            </w:r>
          </w:p>
        </w:tc>
        <w:tc>
          <w:tcPr>
            <w:cnfStyle w:val="000001000000" w:firstRow="0" w:lastRow="0" w:firstColumn="0" w:lastColumn="0" w:oddVBand="0" w:evenVBand="1" w:oddHBand="0" w:evenHBand="0" w:firstRowFirstColumn="0" w:firstRowLastColumn="0" w:lastRowFirstColumn="0" w:lastRowLastColumn="0"/>
            <w:tcW w:w="1134" w:type="dxa"/>
          </w:tcPr>
          <w:p w14:paraId="2A198199" w14:textId="14E10599" w:rsidR="006D7571" w:rsidRPr="000557CC" w:rsidRDefault="00D31934" w:rsidP="00784046">
            <w:pPr>
              <w:pStyle w:val="ARtabletextright"/>
              <w:rPr>
                <w:lang w:eastAsia="en-AU"/>
              </w:rPr>
            </w:pPr>
            <w:r>
              <w:rPr>
                <w:lang w:eastAsia="en-AU"/>
              </w:rPr>
              <w:t>1022</w:t>
            </w:r>
          </w:p>
        </w:tc>
        <w:tc>
          <w:tcPr>
            <w:tcW w:w="1134" w:type="dxa"/>
          </w:tcPr>
          <w:p w14:paraId="2F8D86E7" w14:textId="17A077FB" w:rsidR="006D7571" w:rsidRPr="000557CC" w:rsidRDefault="00D31934"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Pr>
                <w:lang w:eastAsia="en-AU"/>
              </w:rPr>
              <w:t>0.3</w:t>
            </w:r>
          </w:p>
        </w:tc>
      </w:tr>
      <w:tr w:rsidR="006D7571" w:rsidRPr="000557CC" w14:paraId="43E6C157" w14:textId="77777777" w:rsidTr="009F3BE7">
        <w:trPr>
          <w:trHeight w:val="240"/>
        </w:trPr>
        <w:tc>
          <w:tcPr>
            <w:tcW w:w="2835" w:type="dxa"/>
          </w:tcPr>
          <w:p w14:paraId="4EA368C0" w14:textId="77777777" w:rsidR="006D7571" w:rsidRPr="000557CC" w:rsidRDefault="006D7571" w:rsidP="00784046">
            <w:pPr>
              <w:pStyle w:val="ARTabletext"/>
              <w:rPr>
                <w:lang w:eastAsia="en-AU"/>
              </w:rPr>
            </w:pPr>
            <w:r w:rsidRPr="000557CC">
              <w:rPr>
                <w:lang w:eastAsia="en-AU"/>
              </w:rPr>
              <w:t>Soft Plastics</w:t>
            </w:r>
            <w:r w:rsidRPr="000557CC">
              <w:rPr>
                <w:vertAlign w:val="superscript"/>
                <w:lang w:eastAsia="en-AU"/>
              </w:rPr>
              <w:footnoteReference w:id="40"/>
            </w:r>
          </w:p>
        </w:tc>
        <w:tc>
          <w:tcPr>
            <w:cnfStyle w:val="000001000000" w:firstRow="0" w:lastRow="0" w:firstColumn="0" w:lastColumn="0" w:oddVBand="0" w:evenVBand="1" w:oddHBand="0" w:evenHBand="0" w:firstRowFirstColumn="0" w:firstRowLastColumn="0" w:lastRowFirstColumn="0" w:lastRowLastColumn="0"/>
            <w:tcW w:w="1134" w:type="dxa"/>
          </w:tcPr>
          <w:p w14:paraId="6DF661D1" w14:textId="77777777" w:rsidR="006D7571" w:rsidRPr="000557CC" w:rsidRDefault="006D7571" w:rsidP="00784046">
            <w:pPr>
              <w:pStyle w:val="ARtabletextright"/>
              <w:rPr>
                <w:lang w:eastAsia="en-AU"/>
              </w:rPr>
            </w:pPr>
            <w:r w:rsidRPr="000557CC">
              <w:rPr>
                <w:lang w:eastAsia="en-AU"/>
              </w:rPr>
              <w:t>5.9</w:t>
            </w:r>
          </w:p>
        </w:tc>
        <w:tc>
          <w:tcPr>
            <w:tcW w:w="1134" w:type="dxa"/>
          </w:tcPr>
          <w:p w14:paraId="2013877D" w14:textId="77777777"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&lt;0.1</w:t>
            </w:r>
          </w:p>
        </w:tc>
        <w:tc>
          <w:tcPr>
            <w:cnfStyle w:val="000001000000" w:firstRow="0" w:lastRow="0" w:firstColumn="0" w:lastColumn="0" w:oddVBand="0" w:evenVBand="1" w:oddHBand="0" w:evenHBand="0" w:firstRowFirstColumn="0" w:firstRowLastColumn="0" w:lastRowFirstColumn="0" w:lastRowLastColumn="0"/>
            <w:tcW w:w="1134" w:type="dxa"/>
          </w:tcPr>
          <w:p w14:paraId="284183EE" w14:textId="77777777" w:rsidR="006D7571" w:rsidRPr="000557CC" w:rsidRDefault="006D7571" w:rsidP="00784046">
            <w:pPr>
              <w:pStyle w:val="ARtabletextright"/>
              <w:rPr>
                <w:lang w:eastAsia="en-AU"/>
              </w:rPr>
            </w:pPr>
            <w:r w:rsidRPr="000557CC">
              <w:rPr>
                <w:lang w:eastAsia="en-AU"/>
              </w:rPr>
              <w:t>–</w:t>
            </w:r>
          </w:p>
        </w:tc>
        <w:tc>
          <w:tcPr>
            <w:tcW w:w="1134" w:type="dxa"/>
          </w:tcPr>
          <w:p w14:paraId="746EF9CE" w14:textId="77777777"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1134" w:type="dxa"/>
          </w:tcPr>
          <w:p w14:paraId="60724474" w14:textId="77777777" w:rsidR="006D7571" w:rsidRPr="000557CC" w:rsidRDefault="006D7571" w:rsidP="00784046">
            <w:pPr>
              <w:pStyle w:val="ARtabletextright"/>
              <w:rPr>
                <w:lang w:eastAsia="en-AU"/>
              </w:rPr>
            </w:pPr>
            <w:r w:rsidRPr="000557CC">
              <w:rPr>
                <w:lang w:eastAsia="en-AU"/>
              </w:rPr>
              <w:t>–</w:t>
            </w:r>
          </w:p>
        </w:tc>
        <w:tc>
          <w:tcPr>
            <w:tcW w:w="1134" w:type="dxa"/>
          </w:tcPr>
          <w:p w14:paraId="1AB8F048" w14:textId="77777777"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w:t>
            </w:r>
          </w:p>
        </w:tc>
      </w:tr>
      <w:tr w:rsidR="006D7571" w:rsidRPr="000557CC" w14:paraId="514DE3B5" w14:textId="77777777" w:rsidTr="009F3BE7">
        <w:trPr>
          <w:cnfStyle w:val="010000000000" w:firstRow="0" w:lastRow="1" w:firstColumn="0" w:lastColumn="0" w:oddVBand="0" w:evenVBand="0" w:oddHBand="0" w:evenHBand="0" w:firstRowFirstColumn="0" w:firstRowLastColumn="0" w:lastRowFirstColumn="0" w:lastRowLastColumn="0"/>
          <w:trHeight w:val="225"/>
        </w:trPr>
        <w:tc>
          <w:tcPr>
            <w:tcW w:w="2835" w:type="dxa"/>
          </w:tcPr>
          <w:p w14:paraId="0693EF84" w14:textId="77777777" w:rsidR="006D7571" w:rsidRPr="000557CC" w:rsidRDefault="006D7571" w:rsidP="00784046">
            <w:pPr>
              <w:pStyle w:val="ARtabletextbold"/>
              <w:rPr>
                <w:lang w:eastAsia="en-AU"/>
              </w:rPr>
            </w:pPr>
            <w:r w:rsidRPr="000557CC">
              <w:rPr>
                <w:lang w:eastAsia="en-AU"/>
              </w:rPr>
              <w:t xml:space="preserve">WR1 Total units </w:t>
            </w:r>
            <w:r w:rsidRPr="000557CC">
              <w:rPr>
                <w:lang w:eastAsia="en-AU"/>
              </w:rPr>
              <w:br/>
              <w:t>of waste disposed</w:t>
            </w:r>
          </w:p>
        </w:tc>
        <w:tc>
          <w:tcPr>
            <w:cnfStyle w:val="000001000000" w:firstRow="0" w:lastRow="0" w:firstColumn="0" w:lastColumn="0" w:oddVBand="0" w:evenVBand="1" w:oddHBand="0" w:evenHBand="0" w:firstRowFirstColumn="0" w:firstRowLastColumn="0" w:lastRowFirstColumn="0" w:lastRowLastColumn="0"/>
            <w:tcW w:w="1134" w:type="dxa"/>
          </w:tcPr>
          <w:p w14:paraId="74584450" w14:textId="022790E9" w:rsidR="006D7571" w:rsidRPr="000557CC" w:rsidRDefault="00F127D8" w:rsidP="00784046">
            <w:pPr>
              <w:pStyle w:val="ARtabletextrightbold"/>
              <w:rPr>
                <w:lang w:eastAsia="en-AU"/>
              </w:rPr>
            </w:pPr>
            <w:r>
              <w:rPr>
                <w:lang w:eastAsia="en-AU"/>
              </w:rPr>
              <w:t>337,654.40</w:t>
            </w:r>
          </w:p>
        </w:tc>
        <w:tc>
          <w:tcPr>
            <w:tcW w:w="1134" w:type="dxa"/>
          </w:tcPr>
          <w:p w14:paraId="79419517" w14:textId="77777777" w:rsidR="006D7571" w:rsidRPr="000557CC" w:rsidRDefault="006D7571" w:rsidP="00784046">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1134" w:type="dxa"/>
          </w:tcPr>
          <w:p w14:paraId="64018013" w14:textId="6054EDEA" w:rsidR="006D7571" w:rsidRPr="000557CC" w:rsidRDefault="006D7571" w:rsidP="00784046">
            <w:pPr>
              <w:pStyle w:val="ARtabletextrightbold"/>
              <w:rPr>
                <w:lang w:eastAsia="en-AU"/>
              </w:rPr>
            </w:pPr>
            <w:r w:rsidRPr="000557CC">
              <w:rPr>
                <w:lang w:eastAsia="en-AU"/>
              </w:rPr>
              <w:t>33</w:t>
            </w:r>
            <w:r w:rsidR="00D31934">
              <w:rPr>
                <w:lang w:eastAsia="en-AU"/>
              </w:rPr>
              <w:t>3</w:t>
            </w:r>
            <w:r w:rsidRPr="000557CC">
              <w:rPr>
                <w:lang w:eastAsia="en-AU"/>
              </w:rPr>
              <w:t>,</w:t>
            </w:r>
            <w:r w:rsidR="00A80945">
              <w:rPr>
                <w:lang w:eastAsia="en-AU"/>
              </w:rPr>
              <w:t>338.70</w:t>
            </w:r>
          </w:p>
        </w:tc>
        <w:tc>
          <w:tcPr>
            <w:tcW w:w="1134" w:type="dxa"/>
          </w:tcPr>
          <w:p w14:paraId="289B4853" w14:textId="77777777" w:rsidR="006D7571" w:rsidRPr="000557CC" w:rsidRDefault="006D7571" w:rsidP="00784046">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1134" w:type="dxa"/>
          </w:tcPr>
          <w:p w14:paraId="68324F73" w14:textId="35380319" w:rsidR="006D7571" w:rsidRPr="000557CC" w:rsidRDefault="00A80945" w:rsidP="00784046">
            <w:pPr>
              <w:pStyle w:val="ARtabletextrightbold"/>
              <w:rPr>
                <w:lang w:eastAsia="en-AU"/>
              </w:rPr>
            </w:pPr>
            <w:r>
              <w:rPr>
                <w:lang w:eastAsia="en-AU"/>
              </w:rPr>
              <w:t>380,154.1</w:t>
            </w:r>
          </w:p>
        </w:tc>
        <w:tc>
          <w:tcPr>
            <w:tcW w:w="1134" w:type="dxa"/>
          </w:tcPr>
          <w:p w14:paraId="6D1ECA90" w14:textId="77777777" w:rsidR="006D7571" w:rsidRPr="000557CC" w:rsidRDefault="006D7571" w:rsidP="00784046">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p>
        </w:tc>
      </w:tr>
    </w:tbl>
    <w:p w14:paraId="34257816" w14:textId="77777777" w:rsidR="006D7571" w:rsidRPr="000557CC" w:rsidRDefault="006D7571" w:rsidP="00784046">
      <w:pPr>
        <w:pStyle w:val="ARTablecaption"/>
        <w:rPr>
          <w:rFonts w:eastAsia="MS PGothic"/>
        </w:rPr>
      </w:pPr>
      <w:r w:rsidRPr="000557CC">
        <w:rPr>
          <w:rFonts w:eastAsia="MS PGothic"/>
        </w:rPr>
        <w:t>Percentage of office sites that are covered by dedicated collection services (Indicator WR2)</w:t>
      </w:r>
    </w:p>
    <w:tbl>
      <w:tblPr>
        <w:tblStyle w:val="DFFHtable21"/>
        <w:tblW w:w="5000" w:type="pct"/>
        <w:tblLook w:val="02A0" w:firstRow="1" w:lastRow="0" w:firstColumn="1" w:lastColumn="0" w:noHBand="1" w:noVBand="0"/>
      </w:tblPr>
      <w:tblGrid>
        <w:gridCol w:w="4532"/>
        <w:gridCol w:w="1699"/>
        <w:gridCol w:w="1699"/>
        <w:gridCol w:w="1698"/>
      </w:tblGrid>
      <w:tr w:rsidR="006D7571" w:rsidRPr="000557CC" w14:paraId="3E456B95" w14:textId="77777777" w:rsidTr="00773441">
        <w:trPr>
          <w:cnfStyle w:val="100000000000" w:firstRow="1" w:lastRow="0" w:firstColumn="0" w:lastColumn="0" w:oddVBand="0" w:evenVBand="0" w:oddHBand="0" w:evenHBand="0" w:firstRowFirstColumn="0" w:firstRowLastColumn="0" w:lastRowFirstColumn="0" w:lastRowLastColumn="0"/>
          <w:trHeight w:val="225"/>
          <w:tblHeader/>
        </w:trPr>
        <w:tc>
          <w:tcPr>
            <w:tcW w:w="2353" w:type="pct"/>
            <w:tcBorders>
              <w:bottom w:val="single" w:sz="4" w:space="0" w:color="auto"/>
            </w:tcBorders>
          </w:tcPr>
          <w:p w14:paraId="1C7CBBF6" w14:textId="77777777" w:rsidR="006D7571" w:rsidRPr="000557CC" w:rsidRDefault="006D7571" w:rsidP="00784046">
            <w:pPr>
              <w:pStyle w:val="ARtablecolhead"/>
              <w:rPr>
                <w:i/>
                <w:lang w:eastAsia="en-AU"/>
              </w:rPr>
            </w:pPr>
            <w:r w:rsidRPr="000557CC">
              <w:rPr>
                <w:lang w:eastAsia="en-AU"/>
              </w:rPr>
              <w:t>Waste type</w:t>
            </w:r>
          </w:p>
        </w:tc>
        <w:tc>
          <w:tcPr>
            <w:cnfStyle w:val="000001000000" w:firstRow="0" w:lastRow="0" w:firstColumn="0" w:lastColumn="0" w:oddVBand="0" w:evenVBand="1" w:oddHBand="0" w:evenHBand="0" w:firstRowFirstColumn="0" w:firstRowLastColumn="0" w:lastRowFirstColumn="0" w:lastRowLastColumn="0"/>
            <w:tcW w:w="882" w:type="pct"/>
            <w:tcBorders>
              <w:bottom w:val="single" w:sz="4" w:space="0" w:color="auto"/>
            </w:tcBorders>
          </w:tcPr>
          <w:p w14:paraId="78438948" w14:textId="77777777" w:rsidR="006D7571" w:rsidRPr="000557CC" w:rsidRDefault="006D7571" w:rsidP="00784046">
            <w:pPr>
              <w:pStyle w:val="ARtablecolheadright"/>
              <w:rPr>
                <w:lang w:eastAsia="en-AU"/>
              </w:rPr>
            </w:pPr>
            <w:r w:rsidRPr="000557CC">
              <w:rPr>
                <w:lang w:eastAsia="en-AU"/>
              </w:rPr>
              <w:t>2025–26</w:t>
            </w:r>
          </w:p>
          <w:p w14:paraId="51F682D8" w14:textId="77777777" w:rsidR="006D7571" w:rsidRPr="000557CC" w:rsidRDefault="006D7571" w:rsidP="00784046">
            <w:pPr>
              <w:pStyle w:val="ARtablecolheadright"/>
              <w:rPr>
                <w:i/>
                <w:lang w:eastAsia="en-AU"/>
              </w:rPr>
            </w:pPr>
            <w:r w:rsidRPr="000557CC">
              <w:rPr>
                <w:lang w:eastAsia="en-AU"/>
              </w:rPr>
              <w:t>%</w:t>
            </w:r>
          </w:p>
        </w:tc>
        <w:tc>
          <w:tcPr>
            <w:tcW w:w="882" w:type="pct"/>
            <w:tcBorders>
              <w:bottom w:val="single" w:sz="4" w:space="0" w:color="auto"/>
            </w:tcBorders>
          </w:tcPr>
          <w:p w14:paraId="790683B0"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09F6F45F"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i/>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882" w:type="pct"/>
            <w:tcBorders>
              <w:bottom w:val="single" w:sz="4" w:space="0" w:color="auto"/>
            </w:tcBorders>
          </w:tcPr>
          <w:p w14:paraId="620996AF" w14:textId="77777777" w:rsidR="006D7571" w:rsidRPr="000557CC" w:rsidRDefault="006D7571" w:rsidP="00784046">
            <w:pPr>
              <w:pStyle w:val="ARtablecolheadright"/>
              <w:rPr>
                <w:lang w:eastAsia="en-AU"/>
              </w:rPr>
            </w:pPr>
            <w:r w:rsidRPr="000557CC">
              <w:rPr>
                <w:lang w:eastAsia="en-AU"/>
              </w:rPr>
              <w:t>2023–24</w:t>
            </w:r>
          </w:p>
          <w:p w14:paraId="24E69DEE" w14:textId="77777777" w:rsidR="006D7571" w:rsidRPr="000557CC" w:rsidRDefault="006D7571" w:rsidP="00784046">
            <w:pPr>
              <w:pStyle w:val="ARtablecolheadright"/>
              <w:rPr>
                <w:i/>
                <w:lang w:eastAsia="en-AU"/>
              </w:rPr>
            </w:pPr>
            <w:r w:rsidRPr="000557CC" w:rsidDel="00B96BEF">
              <w:rPr>
                <w:lang w:eastAsia="en-AU"/>
              </w:rPr>
              <w:t>%</w:t>
            </w:r>
          </w:p>
        </w:tc>
      </w:tr>
      <w:tr w:rsidR="006D7571" w:rsidRPr="000557CC" w14:paraId="6B18B564" w14:textId="77777777" w:rsidTr="00773441">
        <w:trPr>
          <w:cantSplit w:val="0"/>
          <w:trHeight w:val="225"/>
        </w:trPr>
        <w:tc>
          <w:tcPr>
            <w:tcW w:w="2353" w:type="pct"/>
            <w:tcBorders>
              <w:top w:val="single" w:sz="4" w:space="0" w:color="BFBFBF"/>
              <w:bottom w:val="single" w:sz="4" w:space="0" w:color="BFBFBF"/>
            </w:tcBorders>
          </w:tcPr>
          <w:p w14:paraId="083D0ED8" w14:textId="77777777" w:rsidR="006D7571" w:rsidRPr="000557CC" w:rsidRDefault="006D7571" w:rsidP="00784046">
            <w:pPr>
              <w:pStyle w:val="ARTabletext"/>
              <w:rPr>
                <w:lang w:eastAsia="en-AU"/>
              </w:rPr>
            </w:pPr>
            <w:r w:rsidRPr="000557CC">
              <w:rPr>
                <w:lang w:eastAsia="en-AU"/>
              </w:rPr>
              <w:t>Printer cartridges</w:t>
            </w:r>
          </w:p>
        </w:tc>
        <w:tc>
          <w:tcPr>
            <w:cnfStyle w:val="000001000000" w:firstRow="0" w:lastRow="0" w:firstColumn="0" w:lastColumn="0" w:oddVBand="0" w:evenVBand="1" w:oddHBand="0" w:evenHBand="0" w:firstRowFirstColumn="0" w:firstRowLastColumn="0" w:lastRowFirstColumn="0" w:lastRowLastColumn="0"/>
            <w:tcW w:w="882" w:type="pct"/>
            <w:tcBorders>
              <w:top w:val="single" w:sz="4" w:space="0" w:color="BFBFBF"/>
              <w:bottom w:val="single" w:sz="4" w:space="0" w:color="BFBFBF"/>
            </w:tcBorders>
          </w:tcPr>
          <w:p w14:paraId="296F3489" w14:textId="77777777" w:rsidR="006D7571" w:rsidRPr="000557CC" w:rsidRDefault="006D7571" w:rsidP="00784046">
            <w:pPr>
              <w:pStyle w:val="ARtabletextright"/>
              <w:rPr>
                <w:lang w:eastAsia="en-AU"/>
              </w:rPr>
            </w:pPr>
            <w:r w:rsidRPr="000557CC">
              <w:rPr>
                <w:lang w:eastAsia="en-AU"/>
              </w:rPr>
              <w:t>100</w:t>
            </w:r>
          </w:p>
        </w:tc>
        <w:tc>
          <w:tcPr>
            <w:tcW w:w="882" w:type="pct"/>
            <w:tcBorders>
              <w:top w:val="single" w:sz="4" w:space="0" w:color="BFBFBF"/>
              <w:bottom w:val="single" w:sz="4" w:space="0" w:color="BFBFBF"/>
            </w:tcBorders>
          </w:tcPr>
          <w:p w14:paraId="2A3F2ADC" w14:textId="77777777"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100</w:t>
            </w:r>
          </w:p>
        </w:tc>
        <w:tc>
          <w:tcPr>
            <w:cnfStyle w:val="000001000000" w:firstRow="0" w:lastRow="0" w:firstColumn="0" w:lastColumn="0" w:oddVBand="0" w:evenVBand="1" w:oddHBand="0" w:evenHBand="0" w:firstRowFirstColumn="0" w:firstRowLastColumn="0" w:lastRowFirstColumn="0" w:lastRowLastColumn="0"/>
            <w:tcW w:w="882" w:type="pct"/>
            <w:tcBorders>
              <w:top w:val="single" w:sz="4" w:space="0" w:color="BFBFBF"/>
              <w:bottom w:val="single" w:sz="4" w:space="0" w:color="BFBFBF"/>
            </w:tcBorders>
          </w:tcPr>
          <w:p w14:paraId="545C1183" w14:textId="77777777" w:rsidR="006D7571" w:rsidRPr="000557CC" w:rsidRDefault="006D7571" w:rsidP="00784046">
            <w:pPr>
              <w:pStyle w:val="ARtabletextright"/>
              <w:rPr>
                <w:lang w:eastAsia="en-AU"/>
              </w:rPr>
            </w:pPr>
            <w:r w:rsidRPr="000557CC">
              <w:rPr>
                <w:lang w:eastAsia="en-AU"/>
              </w:rPr>
              <w:t>100</w:t>
            </w:r>
          </w:p>
        </w:tc>
      </w:tr>
      <w:tr w:rsidR="006D7571" w:rsidRPr="000557CC" w14:paraId="7811F199" w14:textId="77777777" w:rsidTr="00773441">
        <w:trPr>
          <w:cantSplit w:val="0"/>
          <w:trHeight w:val="225"/>
        </w:trPr>
        <w:tc>
          <w:tcPr>
            <w:tcW w:w="2353" w:type="pct"/>
            <w:tcBorders>
              <w:top w:val="single" w:sz="4" w:space="0" w:color="BFBFBF"/>
              <w:bottom w:val="single" w:sz="4" w:space="0" w:color="BFBFBF"/>
            </w:tcBorders>
          </w:tcPr>
          <w:p w14:paraId="2DF39F43" w14:textId="77777777" w:rsidR="006D7571" w:rsidRPr="000557CC" w:rsidRDefault="006D7571" w:rsidP="00784046">
            <w:pPr>
              <w:pStyle w:val="ARTabletext"/>
              <w:rPr>
                <w:lang w:eastAsia="en-AU"/>
              </w:rPr>
            </w:pPr>
            <w:r w:rsidRPr="000557CC">
              <w:rPr>
                <w:lang w:eastAsia="en-AU"/>
              </w:rPr>
              <w:t>Batteries</w:t>
            </w:r>
          </w:p>
        </w:tc>
        <w:tc>
          <w:tcPr>
            <w:cnfStyle w:val="000001000000" w:firstRow="0" w:lastRow="0" w:firstColumn="0" w:lastColumn="0" w:oddVBand="0" w:evenVBand="1" w:oddHBand="0" w:evenHBand="0" w:firstRowFirstColumn="0" w:firstRowLastColumn="0" w:lastRowFirstColumn="0" w:lastRowLastColumn="0"/>
            <w:tcW w:w="882" w:type="pct"/>
            <w:tcBorders>
              <w:top w:val="single" w:sz="4" w:space="0" w:color="BFBFBF"/>
              <w:bottom w:val="single" w:sz="4" w:space="0" w:color="BFBFBF"/>
            </w:tcBorders>
          </w:tcPr>
          <w:p w14:paraId="76319066" w14:textId="77777777" w:rsidR="006D7571" w:rsidRPr="000557CC" w:rsidRDefault="006D7571" w:rsidP="00784046">
            <w:pPr>
              <w:pStyle w:val="ARtabletextright"/>
              <w:rPr>
                <w:lang w:eastAsia="en-AU"/>
              </w:rPr>
            </w:pPr>
            <w:r w:rsidRPr="000557CC">
              <w:rPr>
                <w:lang w:eastAsia="en-AU"/>
              </w:rPr>
              <w:t>0</w:t>
            </w:r>
          </w:p>
        </w:tc>
        <w:tc>
          <w:tcPr>
            <w:tcW w:w="882" w:type="pct"/>
            <w:tcBorders>
              <w:top w:val="single" w:sz="4" w:space="0" w:color="BFBFBF"/>
              <w:bottom w:val="single" w:sz="4" w:space="0" w:color="BFBFBF"/>
            </w:tcBorders>
          </w:tcPr>
          <w:p w14:paraId="667D88B2" w14:textId="77777777"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0</w:t>
            </w:r>
          </w:p>
        </w:tc>
        <w:tc>
          <w:tcPr>
            <w:cnfStyle w:val="000001000000" w:firstRow="0" w:lastRow="0" w:firstColumn="0" w:lastColumn="0" w:oddVBand="0" w:evenVBand="1" w:oddHBand="0" w:evenHBand="0" w:firstRowFirstColumn="0" w:firstRowLastColumn="0" w:lastRowFirstColumn="0" w:lastRowLastColumn="0"/>
            <w:tcW w:w="882" w:type="pct"/>
            <w:tcBorders>
              <w:top w:val="single" w:sz="4" w:space="0" w:color="BFBFBF"/>
              <w:bottom w:val="single" w:sz="4" w:space="0" w:color="BFBFBF"/>
            </w:tcBorders>
          </w:tcPr>
          <w:p w14:paraId="78F20760" w14:textId="77777777" w:rsidR="006D7571" w:rsidRPr="000557CC" w:rsidRDefault="006D7571" w:rsidP="00784046">
            <w:pPr>
              <w:pStyle w:val="ARtabletextright"/>
              <w:rPr>
                <w:lang w:eastAsia="en-AU"/>
              </w:rPr>
            </w:pPr>
            <w:r w:rsidRPr="000557CC">
              <w:rPr>
                <w:lang w:eastAsia="en-AU"/>
              </w:rPr>
              <w:t>0</w:t>
            </w:r>
          </w:p>
        </w:tc>
      </w:tr>
      <w:tr w:rsidR="006D7571" w:rsidRPr="000557CC" w14:paraId="71B85510" w14:textId="77777777" w:rsidTr="00773441">
        <w:trPr>
          <w:cantSplit w:val="0"/>
          <w:trHeight w:val="225"/>
        </w:trPr>
        <w:tc>
          <w:tcPr>
            <w:tcW w:w="2353" w:type="pct"/>
            <w:tcBorders>
              <w:top w:val="single" w:sz="4" w:space="0" w:color="BFBFBF"/>
              <w:bottom w:val="single" w:sz="4" w:space="0" w:color="BFBFBF"/>
            </w:tcBorders>
          </w:tcPr>
          <w:p w14:paraId="636E6102" w14:textId="2F425B04" w:rsidR="006D7571" w:rsidRPr="000557CC" w:rsidRDefault="006D7571" w:rsidP="00784046">
            <w:pPr>
              <w:pStyle w:val="ARTabletext"/>
              <w:rPr>
                <w:lang w:eastAsia="en-AU"/>
              </w:rPr>
            </w:pPr>
            <w:r w:rsidRPr="000557CC">
              <w:rPr>
                <w:lang w:eastAsia="en-AU"/>
              </w:rPr>
              <w:t>E-waste</w:t>
            </w:r>
            <w:r w:rsidRPr="000557CC">
              <w:rPr>
                <w:vertAlign w:val="superscript"/>
                <w:lang w:eastAsia="en-AU"/>
              </w:rPr>
              <w:footnoteReference w:id="41"/>
            </w:r>
          </w:p>
        </w:tc>
        <w:tc>
          <w:tcPr>
            <w:cnfStyle w:val="000001000000" w:firstRow="0" w:lastRow="0" w:firstColumn="0" w:lastColumn="0" w:oddVBand="0" w:evenVBand="1" w:oddHBand="0" w:evenHBand="0" w:firstRowFirstColumn="0" w:firstRowLastColumn="0" w:lastRowFirstColumn="0" w:lastRowLastColumn="0"/>
            <w:tcW w:w="882" w:type="pct"/>
            <w:tcBorders>
              <w:top w:val="single" w:sz="4" w:space="0" w:color="BFBFBF"/>
              <w:bottom w:val="single" w:sz="4" w:space="0" w:color="BFBFBF"/>
            </w:tcBorders>
          </w:tcPr>
          <w:p w14:paraId="1C8C6F42" w14:textId="77777777" w:rsidR="006D7571" w:rsidRPr="000557CC" w:rsidRDefault="006D7571" w:rsidP="00784046">
            <w:pPr>
              <w:pStyle w:val="ARtabletextright"/>
              <w:rPr>
                <w:lang w:eastAsia="en-AU"/>
              </w:rPr>
            </w:pPr>
            <w:r w:rsidRPr="000557CC">
              <w:rPr>
                <w:lang w:eastAsia="en-AU"/>
              </w:rPr>
              <w:t>100</w:t>
            </w:r>
          </w:p>
        </w:tc>
        <w:tc>
          <w:tcPr>
            <w:tcW w:w="882" w:type="pct"/>
            <w:tcBorders>
              <w:top w:val="single" w:sz="4" w:space="0" w:color="BFBFBF"/>
              <w:bottom w:val="single" w:sz="4" w:space="0" w:color="BFBFBF"/>
            </w:tcBorders>
          </w:tcPr>
          <w:p w14:paraId="5294EF2C" w14:textId="77777777"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100</w:t>
            </w:r>
          </w:p>
        </w:tc>
        <w:tc>
          <w:tcPr>
            <w:cnfStyle w:val="000001000000" w:firstRow="0" w:lastRow="0" w:firstColumn="0" w:lastColumn="0" w:oddVBand="0" w:evenVBand="1" w:oddHBand="0" w:evenHBand="0" w:firstRowFirstColumn="0" w:firstRowLastColumn="0" w:lastRowFirstColumn="0" w:lastRowLastColumn="0"/>
            <w:tcW w:w="882" w:type="pct"/>
            <w:tcBorders>
              <w:top w:val="single" w:sz="4" w:space="0" w:color="BFBFBF"/>
              <w:bottom w:val="single" w:sz="4" w:space="0" w:color="BFBFBF"/>
            </w:tcBorders>
          </w:tcPr>
          <w:p w14:paraId="36A84DAA" w14:textId="77777777" w:rsidR="006D7571" w:rsidRPr="000557CC" w:rsidRDefault="006D7571" w:rsidP="00784046">
            <w:pPr>
              <w:pStyle w:val="ARtabletextright"/>
              <w:rPr>
                <w:lang w:eastAsia="en-AU"/>
              </w:rPr>
            </w:pPr>
            <w:r w:rsidRPr="000557CC">
              <w:rPr>
                <w:lang w:eastAsia="en-AU"/>
              </w:rPr>
              <w:t>100</w:t>
            </w:r>
          </w:p>
        </w:tc>
      </w:tr>
      <w:tr w:rsidR="006D7571" w:rsidRPr="000557CC" w14:paraId="5EA921AA" w14:textId="77777777" w:rsidTr="00773441">
        <w:trPr>
          <w:cantSplit w:val="0"/>
          <w:trHeight w:val="240"/>
        </w:trPr>
        <w:tc>
          <w:tcPr>
            <w:tcW w:w="2353" w:type="pct"/>
            <w:tcBorders>
              <w:top w:val="single" w:sz="4" w:space="0" w:color="BFBFBF"/>
              <w:bottom w:val="single" w:sz="4" w:space="0" w:color="000000" w:themeColor="text1"/>
            </w:tcBorders>
          </w:tcPr>
          <w:p w14:paraId="47A42CA4" w14:textId="77777777" w:rsidR="006D7571" w:rsidRPr="000557CC" w:rsidRDefault="006D7571" w:rsidP="00784046">
            <w:pPr>
              <w:pStyle w:val="ARTabletext"/>
              <w:rPr>
                <w:lang w:eastAsia="en-AU"/>
              </w:rPr>
            </w:pPr>
            <w:r w:rsidRPr="000557CC">
              <w:rPr>
                <w:lang w:eastAsia="en-AU"/>
              </w:rPr>
              <w:t>Soft plastics</w:t>
            </w:r>
          </w:p>
        </w:tc>
        <w:tc>
          <w:tcPr>
            <w:cnfStyle w:val="000001000000" w:firstRow="0" w:lastRow="0" w:firstColumn="0" w:lastColumn="0" w:oddVBand="0" w:evenVBand="1" w:oddHBand="0" w:evenHBand="0" w:firstRowFirstColumn="0" w:firstRowLastColumn="0" w:lastRowFirstColumn="0" w:lastRowLastColumn="0"/>
            <w:tcW w:w="882" w:type="pct"/>
            <w:tcBorders>
              <w:top w:val="single" w:sz="4" w:space="0" w:color="BFBFBF"/>
              <w:bottom w:val="single" w:sz="4" w:space="0" w:color="000000" w:themeColor="text1"/>
            </w:tcBorders>
          </w:tcPr>
          <w:p w14:paraId="005163BA" w14:textId="77777777" w:rsidR="006D7571" w:rsidRPr="000557CC" w:rsidRDefault="006D7571" w:rsidP="00784046">
            <w:pPr>
              <w:pStyle w:val="ARtabletextright"/>
              <w:rPr>
                <w:lang w:eastAsia="en-AU"/>
              </w:rPr>
            </w:pPr>
            <w:r w:rsidRPr="000557CC">
              <w:rPr>
                <w:lang w:eastAsia="en-AU"/>
              </w:rPr>
              <w:t>0</w:t>
            </w:r>
          </w:p>
        </w:tc>
        <w:tc>
          <w:tcPr>
            <w:tcW w:w="882" w:type="pct"/>
            <w:tcBorders>
              <w:top w:val="single" w:sz="4" w:space="0" w:color="BFBFBF"/>
              <w:bottom w:val="single" w:sz="4" w:space="0" w:color="000000" w:themeColor="text1"/>
            </w:tcBorders>
          </w:tcPr>
          <w:p w14:paraId="4D6B895F" w14:textId="77777777" w:rsidR="006D7571" w:rsidRPr="000557CC" w:rsidRDefault="006D7571" w:rsidP="00784046">
            <w:pPr>
              <w:pStyle w:val="ARtabletextright"/>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0</w:t>
            </w:r>
          </w:p>
        </w:tc>
        <w:tc>
          <w:tcPr>
            <w:cnfStyle w:val="000001000000" w:firstRow="0" w:lastRow="0" w:firstColumn="0" w:lastColumn="0" w:oddVBand="0" w:evenVBand="1" w:oddHBand="0" w:evenHBand="0" w:firstRowFirstColumn="0" w:firstRowLastColumn="0" w:lastRowFirstColumn="0" w:lastRowLastColumn="0"/>
            <w:tcW w:w="882" w:type="pct"/>
            <w:tcBorders>
              <w:top w:val="single" w:sz="4" w:space="0" w:color="BFBFBF"/>
              <w:bottom w:val="single" w:sz="4" w:space="0" w:color="000000" w:themeColor="text1"/>
            </w:tcBorders>
          </w:tcPr>
          <w:p w14:paraId="3181E133" w14:textId="77777777" w:rsidR="006D7571" w:rsidRPr="000557CC" w:rsidRDefault="006D7571" w:rsidP="00784046">
            <w:pPr>
              <w:pStyle w:val="ARtabletextright"/>
              <w:rPr>
                <w:lang w:eastAsia="en-AU"/>
              </w:rPr>
            </w:pPr>
            <w:r w:rsidRPr="000557CC">
              <w:rPr>
                <w:lang w:eastAsia="en-AU"/>
              </w:rPr>
              <w:t>0</w:t>
            </w:r>
          </w:p>
        </w:tc>
      </w:tr>
    </w:tbl>
    <w:p w14:paraId="2FE52957" w14:textId="77777777" w:rsidR="006D7571" w:rsidRPr="000557CC" w:rsidRDefault="006D7571" w:rsidP="00784046">
      <w:pPr>
        <w:pStyle w:val="ARTablecaption"/>
        <w:rPr>
          <w:rFonts w:eastAsia="MS PGothic"/>
        </w:rPr>
      </w:pPr>
      <w:r w:rsidRPr="000557CC">
        <w:rPr>
          <w:rFonts w:eastAsia="MS PGothic"/>
        </w:rPr>
        <w:t>Total units of waste disposed of normalised by FTE</w:t>
      </w:r>
    </w:p>
    <w:tbl>
      <w:tblPr>
        <w:tblStyle w:val="DFFHtable21"/>
        <w:tblW w:w="5000" w:type="pct"/>
        <w:tblLook w:val="02A0" w:firstRow="1" w:lastRow="0" w:firstColumn="1" w:lastColumn="0" w:noHBand="1" w:noVBand="0"/>
      </w:tblPr>
      <w:tblGrid>
        <w:gridCol w:w="4510"/>
        <w:gridCol w:w="1706"/>
        <w:gridCol w:w="1706"/>
        <w:gridCol w:w="1706"/>
      </w:tblGrid>
      <w:tr w:rsidR="006D7571" w:rsidRPr="000557CC" w14:paraId="642A5435" w14:textId="77777777" w:rsidTr="00773441">
        <w:trPr>
          <w:cnfStyle w:val="100000000000" w:firstRow="1" w:lastRow="0" w:firstColumn="0" w:lastColumn="0" w:oddVBand="0" w:evenVBand="0" w:oddHBand="0" w:evenHBand="0" w:firstRowFirstColumn="0" w:firstRowLastColumn="0" w:lastRowFirstColumn="0" w:lastRowLastColumn="0"/>
          <w:trHeight w:val="288"/>
          <w:tblHeader/>
        </w:trPr>
        <w:tc>
          <w:tcPr>
            <w:tcW w:w="2342" w:type="pct"/>
            <w:tcBorders>
              <w:bottom w:val="single" w:sz="4" w:space="0" w:color="auto"/>
            </w:tcBorders>
            <w:noWrap/>
          </w:tcPr>
          <w:p w14:paraId="056FADC6" w14:textId="77777777" w:rsidR="006D7571" w:rsidRPr="000557CC" w:rsidRDefault="006D7571" w:rsidP="00784046">
            <w:pPr>
              <w:pStyle w:val="ARtablecolhead"/>
              <w:rPr>
                <w:lang w:eastAsia="en-AU"/>
              </w:rPr>
            </w:pPr>
          </w:p>
        </w:tc>
        <w:tc>
          <w:tcPr>
            <w:cnfStyle w:val="000001000000" w:firstRow="0" w:lastRow="0" w:firstColumn="0" w:lastColumn="0" w:oddVBand="0" w:evenVBand="1" w:oddHBand="0" w:evenHBand="0" w:firstRowFirstColumn="0" w:firstRowLastColumn="0" w:lastRowFirstColumn="0" w:lastRowLastColumn="0"/>
            <w:tcW w:w="886" w:type="pct"/>
            <w:tcBorders>
              <w:bottom w:val="single" w:sz="4" w:space="0" w:color="auto"/>
            </w:tcBorders>
            <w:noWrap/>
          </w:tcPr>
          <w:p w14:paraId="286A3D21" w14:textId="77777777" w:rsidR="006D7571" w:rsidRPr="000557CC" w:rsidRDefault="006D7571" w:rsidP="00784046">
            <w:pPr>
              <w:pStyle w:val="ARtablecolheadright"/>
              <w:rPr>
                <w:lang w:eastAsia="en-AU"/>
              </w:rPr>
            </w:pPr>
            <w:r w:rsidRPr="000557CC">
              <w:rPr>
                <w:lang w:eastAsia="en-AU"/>
              </w:rPr>
              <w:t>2025–26</w:t>
            </w:r>
          </w:p>
          <w:p w14:paraId="0EB7D74F" w14:textId="77777777" w:rsidR="006D7571" w:rsidRPr="000557CC" w:rsidRDefault="006D7571" w:rsidP="00784046">
            <w:pPr>
              <w:pStyle w:val="ARtablecolheadright"/>
              <w:rPr>
                <w:lang w:eastAsia="en-AU"/>
              </w:rPr>
            </w:pPr>
            <w:r w:rsidRPr="000557CC">
              <w:rPr>
                <w:lang w:eastAsia="en-AU"/>
              </w:rPr>
              <w:t>kg/FTE</w:t>
            </w:r>
          </w:p>
        </w:tc>
        <w:tc>
          <w:tcPr>
            <w:tcW w:w="886" w:type="pct"/>
            <w:tcBorders>
              <w:bottom w:val="single" w:sz="4" w:space="0" w:color="auto"/>
            </w:tcBorders>
            <w:noWrap/>
          </w:tcPr>
          <w:p w14:paraId="3DCBADA4"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49D15268"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kg/FTE</w:t>
            </w:r>
          </w:p>
        </w:tc>
        <w:tc>
          <w:tcPr>
            <w:cnfStyle w:val="000001000000" w:firstRow="0" w:lastRow="0" w:firstColumn="0" w:lastColumn="0" w:oddVBand="0" w:evenVBand="1" w:oddHBand="0" w:evenHBand="0" w:firstRowFirstColumn="0" w:firstRowLastColumn="0" w:lastRowFirstColumn="0" w:lastRowLastColumn="0"/>
            <w:tcW w:w="886" w:type="pct"/>
            <w:tcBorders>
              <w:bottom w:val="single" w:sz="4" w:space="0" w:color="auto"/>
            </w:tcBorders>
            <w:noWrap/>
          </w:tcPr>
          <w:p w14:paraId="7E5333D9" w14:textId="77777777" w:rsidR="006D7571" w:rsidRPr="000557CC" w:rsidRDefault="006D7571" w:rsidP="00784046">
            <w:pPr>
              <w:pStyle w:val="ARtablecolheadright"/>
              <w:rPr>
                <w:lang w:eastAsia="en-AU"/>
              </w:rPr>
            </w:pPr>
            <w:r w:rsidRPr="000557CC">
              <w:rPr>
                <w:lang w:eastAsia="en-AU"/>
              </w:rPr>
              <w:t>2023–24</w:t>
            </w:r>
          </w:p>
          <w:p w14:paraId="58F90464" w14:textId="77777777" w:rsidR="006D7571" w:rsidRPr="000557CC" w:rsidRDefault="006D7571" w:rsidP="00784046">
            <w:pPr>
              <w:pStyle w:val="ARtablecolheadright"/>
              <w:rPr>
                <w:lang w:eastAsia="en-AU"/>
              </w:rPr>
            </w:pPr>
            <w:r w:rsidRPr="000557CC" w:rsidDel="004926DF">
              <w:rPr>
                <w:lang w:eastAsia="en-AU"/>
              </w:rPr>
              <w:t>kg/FTE</w:t>
            </w:r>
          </w:p>
        </w:tc>
      </w:tr>
      <w:tr w:rsidR="006D7571" w:rsidRPr="000557CC" w14:paraId="60BB3846" w14:textId="77777777" w:rsidTr="00773441">
        <w:trPr>
          <w:trHeight w:val="288"/>
        </w:trPr>
        <w:tc>
          <w:tcPr>
            <w:tcW w:w="2342" w:type="pct"/>
            <w:tcBorders>
              <w:top w:val="single" w:sz="4" w:space="0" w:color="000000"/>
              <w:bottom w:val="single" w:sz="4" w:space="0" w:color="000000"/>
            </w:tcBorders>
            <w:noWrap/>
          </w:tcPr>
          <w:p w14:paraId="46ED53F7" w14:textId="77777777" w:rsidR="006D7571" w:rsidRPr="000557CC" w:rsidRDefault="006D7571" w:rsidP="00784046">
            <w:pPr>
              <w:pStyle w:val="ARtabletextbold"/>
              <w:rPr>
                <w:lang w:eastAsia="en-AU"/>
              </w:rPr>
            </w:pPr>
            <w:r w:rsidRPr="000557CC">
              <w:rPr>
                <w:lang w:eastAsia="en-AU"/>
              </w:rPr>
              <w:t xml:space="preserve">WR3 Total units of waste </w:t>
            </w:r>
            <w:r w:rsidRPr="000557CC">
              <w:rPr>
                <w:lang w:eastAsia="en-AU"/>
              </w:rPr>
              <w:br/>
              <w:t>disposed of normalised by FTE</w:t>
            </w:r>
          </w:p>
        </w:tc>
        <w:tc>
          <w:tcPr>
            <w:cnfStyle w:val="000001000000" w:firstRow="0" w:lastRow="0" w:firstColumn="0" w:lastColumn="0" w:oddVBand="0" w:evenVBand="1" w:oddHBand="0" w:evenHBand="0" w:firstRowFirstColumn="0" w:firstRowLastColumn="0" w:lastRowFirstColumn="0" w:lastRowLastColumn="0"/>
            <w:tcW w:w="886" w:type="pct"/>
            <w:tcBorders>
              <w:top w:val="single" w:sz="4" w:space="0" w:color="000000"/>
              <w:bottom w:val="single" w:sz="4" w:space="0" w:color="000000"/>
            </w:tcBorders>
            <w:noWrap/>
          </w:tcPr>
          <w:p w14:paraId="19BAF4FD" w14:textId="77777777" w:rsidR="006D7571" w:rsidRPr="000557CC" w:rsidRDefault="006D7571" w:rsidP="00784046">
            <w:pPr>
              <w:pStyle w:val="ARtabletextrightbold"/>
              <w:rPr>
                <w:lang w:eastAsia="en-AU"/>
              </w:rPr>
            </w:pPr>
            <w:r w:rsidRPr="000557CC">
              <w:rPr>
                <w:lang w:eastAsia="en-AU"/>
              </w:rPr>
              <w:t>49</w:t>
            </w:r>
          </w:p>
        </w:tc>
        <w:tc>
          <w:tcPr>
            <w:tcW w:w="886" w:type="pct"/>
            <w:tcBorders>
              <w:top w:val="single" w:sz="4" w:space="0" w:color="000000"/>
              <w:bottom w:val="single" w:sz="4" w:space="0" w:color="000000"/>
            </w:tcBorders>
            <w:noWrap/>
          </w:tcPr>
          <w:p w14:paraId="3455419D" w14:textId="77777777" w:rsidR="006D7571" w:rsidRPr="000557CC" w:rsidRDefault="006D7571" w:rsidP="00784046">
            <w:pPr>
              <w:pStyle w:val="ARtabletextrightbold"/>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47</w:t>
            </w:r>
          </w:p>
        </w:tc>
        <w:tc>
          <w:tcPr>
            <w:cnfStyle w:val="000001000000" w:firstRow="0" w:lastRow="0" w:firstColumn="0" w:lastColumn="0" w:oddVBand="0" w:evenVBand="1" w:oddHBand="0" w:evenHBand="0" w:firstRowFirstColumn="0" w:firstRowLastColumn="0" w:lastRowFirstColumn="0" w:lastRowLastColumn="0"/>
            <w:tcW w:w="886" w:type="pct"/>
            <w:tcBorders>
              <w:top w:val="single" w:sz="4" w:space="0" w:color="000000"/>
              <w:bottom w:val="single" w:sz="4" w:space="0" w:color="000000"/>
            </w:tcBorders>
            <w:noWrap/>
          </w:tcPr>
          <w:p w14:paraId="45C2E440" w14:textId="77777777" w:rsidR="006D7571" w:rsidRPr="000557CC" w:rsidRDefault="006D7571" w:rsidP="00784046">
            <w:pPr>
              <w:pStyle w:val="ARtabletextrightbold"/>
              <w:rPr>
                <w:lang w:eastAsia="en-AU"/>
              </w:rPr>
            </w:pPr>
            <w:r w:rsidRPr="000557CC">
              <w:rPr>
                <w:lang w:eastAsia="en-AU"/>
              </w:rPr>
              <w:t>55</w:t>
            </w:r>
          </w:p>
        </w:tc>
      </w:tr>
    </w:tbl>
    <w:p w14:paraId="096ACB25" w14:textId="77777777" w:rsidR="006D7571" w:rsidRPr="000557CC" w:rsidRDefault="006D7571" w:rsidP="00784046">
      <w:pPr>
        <w:pStyle w:val="ARTablecaption"/>
        <w:rPr>
          <w:rFonts w:eastAsia="MS PGothic"/>
        </w:rPr>
      </w:pPr>
      <w:r w:rsidRPr="000557CC">
        <w:rPr>
          <w:rFonts w:eastAsia="MS PGothic"/>
        </w:rPr>
        <w:t>Recycling rate</w:t>
      </w:r>
    </w:p>
    <w:tbl>
      <w:tblPr>
        <w:tblStyle w:val="DFFHtable21"/>
        <w:tblW w:w="5000" w:type="pct"/>
        <w:tblLook w:val="02E0" w:firstRow="1" w:lastRow="1" w:firstColumn="1" w:lastColumn="0" w:noHBand="1" w:noVBand="0"/>
      </w:tblPr>
      <w:tblGrid>
        <w:gridCol w:w="4514"/>
        <w:gridCol w:w="1704"/>
        <w:gridCol w:w="1706"/>
        <w:gridCol w:w="1704"/>
      </w:tblGrid>
      <w:tr w:rsidR="006D7571" w:rsidRPr="000557CC" w14:paraId="0F00239D" w14:textId="77777777" w:rsidTr="009F3BE7">
        <w:trPr>
          <w:cnfStyle w:val="100000000000" w:firstRow="1" w:lastRow="0" w:firstColumn="0" w:lastColumn="0" w:oddVBand="0" w:evenVBand="0" w:oddHBand="0" w:evenHBand="0" w:firstRowFirstColumn="0" w:firstRowLastColumn="0" w:lastRowFirstColumn="0" w:lastRowLastColumn="0"/>
          <w:trHeight w:val="288"/>
          <w:tblHeader/>
        </w:trPr>
        <w:tc>
          <w:tcPr>
            <w:tcW w:w="2344" w:type="pct"/>
            <w:tcBorders>
              <w:bottom w:val="single" w:sz="4" w:space="0" w:color="auto"/>
            </w:tcBorders>
            <w:noWrap/>
          </w:tcPr>
          <w:p w14:paraId="61000BA1" w14:textId="77777777" w:rsidR="006D7571" w:rsidRPr="000557CC" w:rsidRDefault="006D7571" w:rsidP="00784046">
            <w:pPr>
              <w:pStyle w:val="ARtablecolhead"/>
              <w:rPr>
                <w:lang w:eastAsia="en-AU"/>
              </w:rPr>
            </w:pPr>
          </w:p>
        </w:tc>
        <w:tc>
          <w:tcPr>
            <w:cnfStyle w:val="000001000000" w:firstRow="0" w:lastRow="0" w:firstColumn="0" w:lastColumn="0" w:oddVBand="0" w:evenVBand="1" w:oddHBand="0" w:evenHBand="0" w:firstRowFirstColumn="0" w:firstRowLastColumn="0" w:lastRowFirstColumn="0" w:lastRowLastColumn="0"/>
            <w:tcW w:w="885" w:type="pct"/>
            <w:tcBorders>
              <w:bottom w:val="single" w:sz="4" w:space="0" w:color="auto"/>
            </w:tcBorders>
            <w:noWrap/>
          </w:tcPr>
          <w:p w14:paraId="59CAFA60" w14:textId="77777777" w:rsidR="006D7571" w:rsidRPr="000557CC" w:rsidRDefault="006D7571" w:rsidP="00784046">
            <w:pPr>
              <w:pStyle w:val="ARtablecolheadright"/>
              <w:rPr>
                <w:lang w:eastAsia="en-AU"/>
              </w:rPr>
            </w:pPr>
            <w:r w:rsidRPr="000557CC">
              <w:rPr>
                <w:lang w:eastAsia="en-AU"/>
              </w:rPr>
              <w:t>2025–26</w:t>
            </w:r>
          </w:p>
          <w:p w14:paraId="5AF41B60" w14:textId="77777777" w:rsidR="006D7571" w:rsidRPr="000557CC" w:rsidRDefault="006D7571" w:rsidP="00784046">
            <w:pPr>
              <w:pStyle w:val="ARtablecolheadright"/>
              <w:rPr>
                <w:lang w:eastAsia="en-AU"/>
              </w:rPr>
            </w:pPr>
            <w:r w:rsidRPr="000557CC">
              <w:rPr>
                <w:lang w:eastAsia="en-AU"/>
              </w:rPr>
              <w:t>%</w:t>
            </w:r>
          </w:p>
        </w:tc>
        <w:tc>
          <w:tcPr>
            <w:tcW w:w="886" w:type="pct"/>
            <w:tcBorders>
              <w:bottom w:val="single" w:sz="4" w:space="0" w:color="auto"/>
            </w:tcBorders>
            <w:noWrap/>
          </w:tcPr>
          <w:p w14:paraId="61CB1E4B"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2024–25</w:t>
            </w:r>
          </w:p>
          <w:p w14:paraId="48561D14"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w:t>
            </w:r>
          </w:p>
        </w:tc>
        <w:tc>
          <w:tcPr>
            <w:cnfStyle w:val="000001000000" w:firstRow="0" w:lastRow="0" w:firstColumn="0" w:lastColumn="0" w:oddVBand="0" w:evenVBand="1" w:oddHBand="0" w:evenHBand="0" w:firstRowFirstColumn="0" w:firstRowLastColumn="0" w:lastRowFirstColumn="0" w:lastRowLastColumn="0"/>
            <w:tcW w:w="886" w:type="pct"/>
            <w:tcBorders>
              <w:bottom w:val="single" w:sz="4" w:space="0" w:color="auto"/>
            </w:tcBorders>
            <w:noWrap/>
          </w:tcPr>
          <w:p w14:paraId="2AA66F72" w14:textId="77777777" w:rsidR="006D7571" w:rsidRPr="000557CC" w:rsidRDefault="006D7571" w:rsidP="00784046">
            <w:pPr>
              <w:pStyle w:val="ARtablecolheadright"/>
              <w:rPr>
                <w:lang w:eastAsia="en-AU"/>
              </w:rPr>
            </w:pPr>
            <w:r w:rsidRPr="000557CC">
              <w:rPr>
                <w:lang w:eastAsia="en-AU"/>
              </w:rPr>
              <w:t>2023–24</w:t>
            </w:r>
          </w:p>
          <w:p w14:paraId="4E0E2076" w14:textId="77777777" w:rsidR="006D7571" w:rsidRPr="000557CC" w:rsidRDefault="006D7571" w:rsidP="00784046">
            <w:pPr>
              <w:pStyle w:val="ARtablecolheadright"/>
              <w:rPr>
                <w:lang w:eastAsia="en-AU"/>
              </w:rPr>
            </w:pPr>
            <w:r w:rsidRPr="000557CC" w:rsidDel="004E1465">
              <w:rPr>
                <w:lang w:eastAsia="en-AU"/>
              </w:rPr>
              <w:t>%</w:t>
            </w:r>
          </w:p>
        </w:tc>
      </w:tr>
      <w:tr w:rsidR="006D7571" w:rsidRPr="000557CC" w14:paraId="4342CAEF" w14:textId="77777777" w:rsidTr="009F3BE7">
        <w:trPr>
          <w:cnfStyle w:val="010000000000" w:firstRow="0" w:lastRow="1" w:firstColumn="0" w:lastColumn="0" w:oddVBand="0" w:evenVBand="0" w:oddHBand="0" w:evenHBand="0" w:firstRowFirstColumn="0" w:firstRowLastColumn="0" w:lastRowFirstColumn="0" w:lastRowLastColumn="0"/>
          <w:trHeight w:val="288"/>
        </w:trPr>
        <w:tc>
          <w:tcPr>
            <w:tcW w:w="2344" w:type="pct"/>
            <w:noWrap/>
          </w:tcPr>
          <w:p w14:paraId="13630239" w14:textId="77777777" w:rsidR="006D7571" w:rsidRPr="000557CC" w:rsidRDefault="006D7571" w:rsidP="00784046">
            <w:pPr>
              <w:pStyle w:val="ARtabletextbold"/>
              <w:rPr>
                <w:lang w:eastAsia="en-AU"/>
              </w:rPr>
            </w:pPr>
            <w:r w:rsidRPr="000557CC">
              <w:rPr>
                <w:lang w:eastAsia="en-AU"/>
              </w:rPr>
              <w:t>WR4 Recycling rate</w:t>
            </w:r>
          </w:p>
        </w:tc>
        <w:tc>
          <w:tcPr>
            <w:cnfStyle w:val="000001000000" w:firstRow="0" w:lastRow="0" w:firstColumn="0" w:lastColumn="0" w:oddVBand="0" w:evenVBand="1" w:oddHBand="0" w:evenHBand="0" w:firstRowFirstColumn="0" w:firstRowLastColumn="0" w:lastRowFirstColumn="0" w:lastRowLastColumn="0"/>
            <w:tcW w:w="885" w:type="pct"/>
            <w:noWrap/>
          </w:tcPr>
          <w:p w14:paraId="5859036C" w14:textId="77777777" w:rsidR="006D7571" w:rsidRPr="000557CC" w:rsidRDefault="006D7571" w:rsidP="00784046">
            <w:pPr>
              <w:pStyle w:val="ARtabletextrightbold"/>
              <w:rPr>
                <w:lang w:eastAsia="en-AU"/>
              </w:rPr>
            </w:pPr>
            <w:r w:rsidRPr="000557CC">
              <w:rPr>
                <w:lang w:eastAsia="en-AU"/>
              </w:rPr>
              <w:t>64.6</w:t>
            </w:r>
          </w:p>
        </w:tc>
        <w:tc>
          <w:tcPr>
            <w:tcW w:w="886" w:type="pct"/>
            <w:noWrap/>
          </w:tcPr>
          <w:p w14:paraId="69E52158" w14:textId="77777777" w:rsidR="006D7571" w:rsidRPr="000557CC" w:rsidRDefault="006D7571" w:rsidP="00784046">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0557CC">
              <w:rPr>
                <w:lang w:eastAsia="en-AU"/>
              </w:rPr>
              <w:t>66</w:t>
            </w:r>
          </w:p>
        </w:tc>
        <w:tc>
          <w:tcPr>
            <w:cnfStyle w:val="000001000000" w:firstRow="0" w:lastRow="0" w:firstColumn="0" w:lastColumn="0" w:oddVBand="0" w:evenVBand="1" w:oddHBand="0" w:evenHBand="0" w:firstRowFirstColumn="0" w:firstRowLastColumn="0" w:lastRowFirstColumn="0" w:lastRowLastColumn="0"/>
            <w:tcW w:w="886" w:type="pct"/>
            <w:noWrap/>
          </w:tcPr>
          <w:p w14:paraId="163D2861" w14:textId="77777777" w:rsidR="006D7571" w:rsidRPr="000557CC" w:rsidRDefault="006D7571" w:rsidP="00784046">
            <w:pPr>
              <w:pStyle w:val="ARtabletextrightbold"/>
              <w:rPr>
                <w:lang w:eastAsia="en-AU"/>
              </w:rPr>
            </w:pPr>
            <w:r w:rsidRPr="000557CC">
              <w:rPr>
                <w:lang w:eastAsia="en-AU"/>
              </w:rPr>
              <w:t>76.5</w:t>
            </w:r>
          </w:p>
        </w:tc>
      </w:tr>
    </w:tbl>
    <w:p w14:paraId="7470076A" w14:textId="77777777" w:rsidR="006D7571" w:rsidRPr="000557CC" w:rsidRDefault="006D7571" w:rsidP="00784046">
      <w:pPr>
        <w:pStyle w:val="ARTablecaption"/>
        <w:rPr>
          <w:rFonts w:eastAsia="MS PGothic"/>
        </w:rPr>
      </w:pPr>
      <w:r w:rsidRPr="000557CC">
        <w:rPr>
          <w:rFonts w:eastAsia="MS PGothic"/>
        </w:rPr>
        <w:t>Greenhouse gas emissions associated with waste disposal</w:t>
      </w:r>
    </w:p>
    <w:tbl>
      <w:tblPr>
        <w:tblStyle w:val="DFFHtable21"/>
        <w:tblW w:w="5000" w:type="pct"/>
        <w:tblLook w:val="02A0" w:firstRow="1" w:lastRow="0" w:firstColumn="1" w:lastColumn="0" w:noHBand="1" w:noVBand="0"/>
      </w:tblPr>
      <w:tblGrid>
        <w:gridCol w:w="4510"/>
        <w:gridCol w:w="1706"/>
        <w:gridCol w:w="1706"/>
        <w:gridCol w:w="1706"/>
      </w:tblGrid>
      <w:tr w:rsidR="006D7571" w:rsidRPr="000557CC" w14:paraId="06E83571" w14:textId="77777777" w:rsidTr="00773441">
        <w:trPr>
          <w:cnfStyle w:val="100000000000" w:firstRow="1" w:lastRow="0" w:firstColumn="0" w:lastColumn="0" w:oddVBand="0" w:evenVBand="0" w:oddHBand="0" w:evenHBand="0" w:firstRowFirstColumn="0" w:firstRowLastColumn="0" w:lastRowFirstColumn="0" w:lastRowLastColumn="0"/>
          <w:trHeight w:val="288"/>
          <w:tblHeader/>
        </w:trPr>
        <w:tc>
          <w:tcPr>
            <w:tcW w:w="2342" w:type="pct"/>
            <w:tcBorders>
              <w:bottom w:val="single" w:sz="4" w:space="0" w:color="auto"/>
            </w:tcBorders>
            <w:noWrap/>
          </w:tcPr>
          <w:p w14:paraId="08D9707C" w14:textId="77777777" w:rsidR="006D7571" w:rsidRPr="000557CC" w:rsidRDefault="006D7571" w:rsidP="00784046">
            <w:pPr>
              <w:pStyle w:val="ARtablecolhead"/>
              <w:rPr>
                <w:lang w:eastAsia="en-AU"/>
              </w:rPr>
            </w:pPr>
          </w:p>
        </w:tc>
        <w:tc>
          <w:tcPr>
            <w:cnfStyle w:val="000001000000" w:firstRow="0" w:lastRow="0" w:firstColumn="0" w:lastColumn="0" w:oddVBand="0" w:evenVBand="1" w:oddHBand="0" w:evenHBand="0" w:firstRowFirstColumn="0" w:firstRowLastColumn="0" w:lastRowFirstColumn="0" w:lastRowLastColumn="0"/>
            <w:tcW w:w="886" w:type="pct"/>
            <w:tcBorders>
              <w:bottom w:val="single" w:sz="4" w:space="0" w:color="auto"/>
            </w:tcBorders>
            <w:noWrap/>
          </w:tcPr>
          <w:p w14:paraId="18BD0C02" w14:textId="105D65A8" w:rsidR="006D7571" w:rsidRPr="000557CC" w:rsidRDefault="000557CC" w:rsidP="00784046">
            <w:pPr>
              <w:pStyle w:val="ARtablecolheadright"/>
              <w:rPr>
                <w:lang w:eastAsia="en-AU"/>
              </w:rPr>
            </w:pPr>
            <w:r w:rsidRPr="000557CC">
              <w:rPr>
                <w:lang w:eastAsia="en-AU"/>
              </w:rPr>
              <w:t>202</w:t>
            </w:r>
            <w:r w:rsidR="009B0E65">
              <w:rPr>
                <w:lang w:eastAsia="en-AU"/>
              </w:rPr>
              <w:t>5</w:t>
            </w:r>
            <w:r w:rsidRPr="000557CC">
              <w:rPr>
                <w:lang w:eastAsia="en-AU"/>
              </w:rPr>
              <w:t>–2</w:t>
            </w:r>
            <w:r w:rsidR="009B0E65">
              <w:rPr>
                <w:lang w:eastAsia="en-AU"/>
              </w:rPr>
              <w:t>6</w:t>
            </w:r>
          </w:p>
          <w:p w14:paraId="27825CBB" w14:textId="77777777" w:rsidR="006D7571" w:rsidRPr="000557CC" w:rsidRDefault="006D7571" w:rsidP="00784046">
            <w:pPr>
              <w:pStyle w:val="ARtablecolheadright"/>
              <w:rPr>
                <w:lang w:eastAsia="en-AU"/>
              </w:rPr>
            </w:pPr>
            <w:r w:rsidRPr="000557CC">
              <w:rPr>
                <w:lang w:eastAsia="en-AU"/>
              </w:rPr>
              <w:t>Tonnes CO</w:t>
            </w:r>
            <w:r w:rsidRPr="000557CC">
              <w:rPr>
                <w:vertAlign w:val="subscript"/>
                <w:lang w:eastAsia="en-AU"/>
              </w:rPr>
              <w:t>2</w:t>
            </w:r>
            <w:r w:rsidRPr="000557CC">
              <w:rPr>
                <w:lang w:eastAsia="en-AU"/>
              </w:rPr>
              <w:t>-e</w:t>
            </w:r>
          </w:p>
        </w:tc>
        <w:tc>
          <w:tcPr>
            <w:tcW w:w="886" w:type="pct"/>
            <w:tcBorders>
              <w:bottom w:val="single" w:sz="4" w:space="0" w:color="auto"/>
            </w:tcBorders>
            <w:noWrap/>
          </w:tcPr>
          <w:p w14:paraId="4F2C27A8" w14:textId="319D5BD7" w:rsidR="006D7571" w:rsidRPr="000557CC" w:rsidRDefault="000557CC" w:rsidP="00784046">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202</w:t>
            </w:r>
            <w:r w:rsidR="009B0E65">
              <w:rPr>
                <w:lang w:eastAsia="en-AU"/>
              </w:rPr>
              <w:t>4</w:t>
            </w:r>
            <w:r w:rsidRPr="000557CC">
              <w:rPr>
                <w:lang w:eastAsia="en-AU"/>
              </w:rPr>
              <w:t>–2</w:t>
            </w:r>
            <w:r w:rsidR="009B0E65">
              <w:rPr>
                <w:lang w:eastAsia="en-AU"/>
              </w:rPr>
              <w:t>5</w:t>
            </w:r>
          </w:p>
          <w:p w14:paraId="6BFA3AEF" w14:textId="77777777" w:rsidR="006D7571" w:rsidRPr="000557CC" w:rsidRDefault="006D7571" w:rsidP="00784046">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0557CC">
              <w:rPr>
                <w:lang w:eastAsia="en-AU"/>
              </w:rPr>
              <w:t>Tonnes CO</w:t>
            </w:r>
            <w:r w:rsidRPr="000557CC">
              <w:rPr>
                <w:vertAlign w:val="subscript"/>
                <w:lang w:eastAsia="en-AU"/>
              </w:rPr>
              <w:t>2</w:t>
            </w:r>
            <w:r w:rsidRPr="000557CC">
              <w:rPr>
                <w:lang w:eastAsia="en-AU"/>
              </w:rPr>
              <w:t>-e</w:t>
            </w:r>
          </w:p>
        </w:tc>
        <w:tc>
          <w:tcPr>
            <w:cnfStyle w:val="000001000000" w:firstRow="0" w:lastRow="0" w:firstColumn="0" w:lastColumn="0" w:oddVBand="0" w:evenVBand="1" w:oddHBand="0" w:evenHBand="0" w:firstRowFirstColumn="0" w:firstRowLastColumn="0" w:lastRowFirstColumn="0" w:lastRowLastColumn="0"/>
            <w:tcW w:w="886" w:type="pct"/>
            <w:tcBorders>
              <w:bottom w:val="single" w:sz="4" w:space="0" w:color="auto"/>
            </w:tcBorders>
            <w:noWrap/>
          </w:tcPr>
          <w:p w14:paraId="79B3DA08" w14:textId="7E19A993" w:rsidR="006D7571" w:rsidRPr="000557CC" w:rsidRDefault="000557CC" w:rsidP="00784046">
            <w:pPr>
              <w:pStyle w:val="ARtablecolheadright"/>
              <w:rPr>
                <w:lang w:eastAsia="en-AU"/>
              </w:rPr>
            </w:pPr>
            <w:r w:rsidRPr="000557CC">
              <w:rPr>
                <w:lang w:eastAsia="en-AU"/>
              </w:rPr>
              <w:t>202</w:t>
            </w:r>
            <w:r w:rsidR="009B0E65">
              <w:rPr>
                <w:lang w:eastAsia="en-AU"/>
              </w:rPr>
              <w:t>3</w:t>
            </w:r>
            <w:r w:rsidRPr="000557CC">
              <w:rPr>
                <w:lang w:eastAsia="en-AU"/>
              </w:rPr>
              <w:t>–2</w:t>
            </w:r>
            <w:r w:rsidR="009B0E65">
              <w:rPr>
                <w:lang w:eastAsia="en-AU"/>
              </w:rPr>
              <w:t>4</w:t>
            </w:r>
          </w:p>
          <w:p w14:paraId="03C064D0" w14:textId="77777777" w:rsidR="006D7571" w:rsidRPr="000557CC" w:rsidRDefault="006D7571" w:rsidP="00784046">
            <w:pPr>
              <w:pStyle w:val="ARtablecolheadright"/>
              <w:rPr>
                <w:lang w:eastAsia="en-AU"/>
              </w:rPr>
            </w:pPr>
            <w:r w:rsidRPr="000557CC" w:rsidDel="001C1E70">
              <w:rPr>
                <w:lang w:eastAsia="en-AU"/>
              </w:rPr>
              <w:t>Tonnes CO</w:t>
            </w:r>
            <w:r w:rsidRPr="000557CC" w:rsidDel="001C1E70">
              <w:rPr>
                <w:vertAlign w:val="subscript"/>
                <w:lang w:eastAsia="en-AU"/>
              </w:rPr>
              <w:t>2</w:t>
            </w:r>
            <w:r w:rsidRPr="000557CC" w:rsidDel="001C1E70">
              <w:rPr>
                <w:lang w:eastAsia="en-AU"/>
              </w:rPr>
              <w:t>-e</w:t>
            </w:r>
          </w:p>
        </w:tc>
      </w:tr>
      <w:tr w:rsidR="006D7571" w:rsidRPr="000557CC" w14:paraId="0F62EA46" w14:textId="77777777" w:rsidTr="00773441">
        <w:trPr>
          <w:trHeight w:val="288"/>
        </w:trPr>
        <w:tc>
          <w:tcPr>
            <w:tcW w:w="2342" w:type="pct"/>
            <w:tcBorders>
              <w:top w:val="single" w:sz="4" w:space="0" w:color="000000"/>
              <w:bottom w:val="single" w:sz="4" w:space="0" w:color="000000"/>
            </w:tcBorders>
            <w:noWrap/>
          </w:tcPr>
          <w:p w14:paraId="1556D42B" w14:textId="5F67E17D" w:rsidR="006D7571" w:rsidRPr="000557CC" w:rsidRDefault="006D7571" w:rsidP="00153C5C">
            <w:pPr>
              <w:pStyle w:val="ARtabletextbold"/>
              <w:rPr>
                <w:lang w:eastAsia="en-AU"/>
              </w:rPr>
            </w:pPr>
            <w:r w:rsidRPr="000557CC">
              <w:rPr>
                <w:lang w:eastAsia="en-AU"/>
              </w:rPr>
              <w:t xml:space="preserve">WR5 Greenhouse gas emissions </w:t>
            </w:r>
            <w:r w:rsidRPr="000557CC">
              <w:rPr>
                <w:lang w:eastAsia="en-AU"/>
              </w:rPr>
              <w:br/>
              <w:t>associated with waste disposal</w:t>
            </w:r>
            <w:r w:rsidRPr="000557CC">
              <w:rPr>
                <w:vertAlign w:val="superscript"/>
                <w:lang w:eastAsia="en-AU"/>
              </w:rPr>
              <w:footnoteReference w:id="42"/>
            </w:r>
          </w:p>
        </w:tc>
        <w:tc>
          <w:tcPr>
            <w:cnfStyle w:val="000001000000" w:firstRow="0" w:lastRow="0" w:firstColumn="0" w:lastColumn="0" w:oddVBand="0" w:evenVBand="1" w:oddHBand="0" w:evenHBand="0" w:firstRowFirstColumn="0" w:firstRowLastColumn="0" w:lastRowFirstColumn="0" w:lastRowLastColumn="0"/>
            <w:tcW w:w="886" w:type="pct"/>
            <w:tcBorders>
              <w:top w:val="single" w:sz="4" w:space="0" w:color="000000"/>
              <w:bottom w:val="single" w:sz="4" w:space="0" w:color="000000"/>
            </w:tcBorders>
            <w:noWrap/>
          </w:tcPr>
          <w:p w14:paraId="3F163E3A" w14:textId="77777777" w:rsidR="006D7571" w:rsidRPr="000557CC" w:rsidRDefault="006D7571" w:rsidP="00153C5C">
            <w:pPr>
              <w:pStyle w:val="ARtabletextrightbold"/>
              <w:rPr>
                <w:lang w:eastAsia="en-AU"/>
              </w:rPr>
            </w:pPr>
            <w:r w:rsidRPr="000557CC">
              <w:rPr>
                <w:lang w:eastAsia="en-AU"/>
              </w:rPr>
              <w:t>150.5</w:t>
            </w:r>
          </w:p>
        </w:tc>
        <w:tc>
          <w:tcPr>
            <w:tcW w:w="886" w:type="pct"/>
            <w:tcBorders>
              <w:top w:val="single" w:sz="4" w:space="0" w:color="000000"/>
              <w:bottom w:val="single" w:sz="4" w:space="0" w:color="000000"/>
            </w:tcBorders>
            <w:noWrap/>
          </w:tcPr>
          <w:p w14:paraId="535E1148" w14:textId="77777777" w:rsidR="006D7571" w:rsidRPr="000557CC" w:rsidRDefault="006D7571" w:rsidP="00153C5C">
            <w:pPr>
              <w:pStyle w:val="ARtabletextrightbold"/>
              <w:cnfStyle w:val="000000000000" w:firstRow="0" w:lastRow="0" w:firstColumn="0" w:lastColumn="0" w:oddVBand="0" w:evenVBand="0" w:oddHBand="0" w:evenHBand="0" w:firstRowFirstColumn="0" w:firstRowLastColumn="0" w:lastRowFirstColumn="0" w:lastRowLastColumn="0"/>
              <w:rPr>
                <w:lang w:eastAsia="en-AU"/>
              </w:rPr>
            </w:pPr>
            <w:r w:rsidRPr="000557CC">
              <w:rPr>
                <w:lang w:eastAsia="en-AU"/>
              </w:rPr>
              <w:t>147</w:t>
            </w:r>
          </w:p>
        </w:tc>
        <w:tc>
          <w:tcPr>
            <w:cnfStyle w:val="000001000000" w:firstRow="0" w:lastRow="0" w:firstColumn="0" w:lastColumn="0" w:oddVBand="0" w:evenVBand="1" w:oddHBand="0" w:evenHBand="0" w:firstRowFirstColumn="0" w:firstRowLastColumn="0" w:lastRowFirstColumn="0" w:lastRowLastColumn="0"/>
            <w:tcW w:w="886" w:type="pct"/>
            <w:tcBorders>
              <w:top w:val="single" w:sz="4" w:space="0" w:color="000000"/>
              <w:bottom w:val="single" w:sz="4" w:space="0" w:color="000000"/>
            </w:tcBorders>
            <w:noWrap/>
          </w:tcPr>
          <w:p w14:paraId="5AC9EBAB" w14:textId="77777777" w:rsidR="006D7571" w:rsidRPr="000557CC" w:rsidRDefault="006D7571" w:rsidP="00153C5C">
            <w:pPr>
              <w:pStyle w:val="ARtabletextrightbold"/>
              <w:rPr>
                <w:lang w:eastAsia="en-AU"/>
              </w:rPr>
            </w:pPr>
            <w:r w:rsidRPr="000557CC">
              <w:rPr>
                <w:lang w:eastAsia="en-AU"/>
              </w:rPr>
              <w:t>116</w:t>
            </w:r>
          </w:p>
        </w:tc>
      </w:tr>
    </w:tbl>
    <w:p w14:paraId="511A21E6" w14:textId="77777777" w:rsidR="000D720E" w:rsidRPr="000D720E" w:rsidRDefault="000D720E" w:rsidP="000D720E">
      <w:pPr>
        <w:pStyle w:val="ARBody"/>
      </w:pPr>
      <w:bookmarkStart w:id="266" w:name="_Financial_management_compliance"/>
      <w:bookmarkStart w:id="267" w:name="_Toc212039555"/>
      <w:bookmarkStart w:id="268" w:name="_Toc241131730"/>
      <w:bookmarkEnd w:id="262"/>
      <w:bookmarkEnd w:id="263"/>
      <w:bookmarkEnd w:id="266"/>
      <w:r w:rsidRPr="000D720E">
        <w:br w:type="page"/>
      </w:r>
    </w:p>
    <w:p w14:paraId="462E8FBF" w14:textId="034D7106" w:rsidR="000D720E" w:rsidRPr="000D720E" w:rsidRDefault="00A269E2" w:rsidP="000D720E">
      <w:pPr>
        <w:pStyle w:val="Heading2"/>
        <w:rPr>
          <w:rFonts w:eastAsia="Times"/>
        </w:rPr>
      </w:pPr>
      <w:r w:rsidRPr="00F45F11">
        <w:rPr>
          <w:rFonts w:eastAsia="Times"/>
        </w:rPr>
        <w:t>Financial management compliance attestation statement</w:t>
      </w:r>
      <w:bookmarkEnd w:id="267"/>
      <w:bookmarkEnd w:id="268"/>
    </w:p>
    <w:p w14:paraId="1C12583E" w14:textId="3565AFDD" w:rsidR="00A269E2" w:rsidRPr="00F45F11" w:rsidRDefault="00A269E2" w:rsidP="00A269E2">
      <w:pPr>
        <w:pStyle w:val="ARBody"/>
      </w:pPr>
      <w:r w:rsidRPr="00F45F11">
        <w:t xml:space="preserve">I, Peta McCammon, as the Responsible Body, certify that the Department of Families, Fairness and Housing has no material compliance deficiency with respect to the applicable Standing Directions under the </w:t>
      </w:r>
      <w:bookmarkStart w:id="269" w:name="FinancialManagementAct1994137"/>
      <w:r w:rsidRPr="00A124D1">
        <w:rPr>
          <w:rStyle w:val="Emphasis"/>
        </w:rPr>
        <w:t>Financial Management Act 1994</w:t>
      </w:r>
      <w:bookmarkEnd w:id="269"/>
      <w:r w:rsidRPr="00F45F11">
        <w:t xml:space="preserve"> and</w:t>
      </w:r>
      <w:r w:rsidR="001A77E0" w:rsidRPr="00F45F11">
        <w:t> </w:t>
      </w:r>
      <w:r w:rsidRPr="00F45F11">
        <w:t>Instructions.</w:t>
      </w:r>
    </w:p>
    <w:p w14:paraId="06D008E3" w14:textId="65CE1477" w:rsidR="00A269E2" w:rsidRPr="00F45F11" w:rsidRDefault="00673E73" w:rsidP="00673E73">
      <w:pPr>
        <w:pStyle w:val="ARBody"/>
        <w:spacing w:before="720"/>
      </w:pPr>
      <w:r>
        <w:rPr>
          <w:noProof/>
        </w:rPr>
        <w:drawing>
          <wp:inline distT="0" distB="0" distL="0" distR="0" wp14:anchorId="2DF3F71E" wp14:editId="456796DE">
            <wp:extent cx="2087734" cy="659805"/>
            <wp:effectExtent l="0" t="0" r="8255" b="6985"/>
            <wp:docPr id="1004104015" name="Picture 11" descr="Signature&#10;Peta McCammon PSM&#10;Secretary&#10;Department of Families, Fairness and Hous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577177" name="Picture 11" descr="Signature&#10;Peta McCammon PSM&#10;Secretary&#10;Department of Families, Fairness and Housing&#10;"/>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2094553" cy="661960"/>
                    </a:xfrm>
                    <a:prstGeom prst="rect">
                      <a:avLst/>
                    </a:prstGeom>
                    <a:noFill/>
                    <a:ln>
                      <a:noFill/>
                    </a:ln>
                  </pic:spPr>
                </pic:pic>
              </a:graphicData>
            </a:graphic>
          </wp:inline>
        </w:drawing>
      </w:r>
    </w:p>
    <w:p w14:paraId="4F0AEF52" w14:textId="40CABFCC" w:rsidR="00A269E2" w:rsidRPr="00F45F11" w:rsidRDefault="00A269E2" w:rsidP="00A269E2">
      <w:pPr>
        <w:pStyle w:val="ARBodynospace"/>
        <w:rPr>
          <w:rStyle w:val="Strong"/>
        </w:rPr>
      </w:pPr>
      <w:r w:rsidRPr="00F45F11">
        <w:rPr>
          <w:rStyle w:val="Strong"/>
        </w:rPr>
        <w:t>Peta McCammon</w:t>
      </w:r>
      <w:r w:rsidR="00BD0980" w:rsidRPr="729F27F5">
        <w:rPr>
          <w:rStyle w:val="Strong"/>
        </w:rPr>
        <w:t xml:space="preserve"> PSM</w:t>
      </w:r>
    </w:p>
    <w:p w14:paraId="718BFCC5" w14:textId="77777777" w:rsidR="00A269E2" w:rsidRPr="00F45F11" w:rsidRDefault="00A269E2" w:rsidP="00A269E2">
      <w:pPr>
        <w:pStyle w:val="ARBodynospace"/>
      </w:pPr>
      <w:r w:rsidRPr="00F45F11">
        <w:t>Secretary</w:t>
      </w:r>
    </w:p>
    <w:p w14:paraId="226D058F" w14:textId="77777777" w:rsidR="00A269E2" w:rsidRPr="00F45F11" w:rsidRDefault="00A269E2" w:rsidP="00A269E2">
      <w:pPr>
        <w:pStyle w:val="ARBodynospace"/>
      </w:pPr>
      <w:r w:rsidRPr="00F45F11">
        <w:t>Department of Families, Fairness and Housing</w:t>
      </w:r>
    </w:p>
    <w:p w14:paraId="5B700E7C" w14:textId="30757A04" w:rsidR="000D720E" w:rsidRDefault="00573C2C" w:rsidP="00573C2C">
      <w:pPr>
        <w:pStyle w:val="ARBody"/>
        <w:rPr>
          <w:lang w:eastAsia="en-AU"/>
        </w:rPr>
      </w:pPr>
      <w:r>
        <w:rPr>
          <w:lang w:eastAsia="en-AU"/>
        </w:rPr>
        <w:t>8 September 2026</w:t>
      </w:r>
      <w:r w:rsidR="000D720E">
        <w:br w:type="page"/>
      </w:r>
    </w:p>
    <w:p w14:paraId="1A5266B4" w14:textId="77CAF1B9" w:rsidR="006E51BF" w:rsidRPr="00CC7361" w:rsidRDefault="006E51BF" w:rsidP="005C31BC">
      <w:pPr>
        <w:pStyle w:val="Heading1"/>
        <w:spacing w:before="0"/>
      </w:pPr>
      <w:bookmarkStart w:id="270" w:name="_Toc241131731"/>
      <w:r w:rsidRPr="006E51BF">
        <w:t>Section 5: Financial statements for the</w:t>
      </w:r>
      <w:r w:rsidR="004B6B51">
        <w:t> </w:t>
      </w:r>
      <w:r w:rsidRPr="006E51BF">
        <w:t>financial year ended 30 June 202</w:t>
      </w:r>
      <w:r>
        <w:t>6</w:t>
      </w:r>
      <w:bookmarkEnd w:id="270"/>
    </w:p>
    <w:bookmarkStart w:id="271" w:name="_Toc236655969"/>
    <w:p w14:paraId="30AB856D" w14:textId="0050A4C3" w:rsidR="004B6B51" w:rsidRDefault="006E51BF">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2 financials,1,Heading 3 financials,2" </w:instrText>
      </w:r>
      <w:r>
        <w:fldChar w:fldCharType="separate"/>
      </w:r>
      <w:hyperlink w:anchor="_Toc241068537" w:history="1">
        <w:r w:rsidR="004B6B51" w:rsidRPr="00AA141D">
          <w:rPr>
            <w:rStyle w:val="Hyperlink"/>
            <w:lang w:eastAsia="en-AU"/>
          </w:rPr>
          <w:t>Declaration in the financial statements</w:t>
        </w:r>
        <w:r w:rsidR="004B6B51">
          <w:rPr>
            <w:webHidden/>
          </w:rPr>
          <w:tab/>
        </w:r>
        <w:r w:rsidR="004B6B51">
          <w:rPr>
            <w:webHidden/>
          </w:rPr>
          <w:fldChar w:fldCharType="begin"/>
        </w:r>
        <w:r w:rsidR="004B6B51">
          <w:rPr>
            <w:webHidden/>
          </w:rPr>
          <w:instrText xml:space="preserve"> PAGEREF _Toc241068537 \h </w:instrText>
        </w:r>
        <w:r w:rsidR="004B6B51">
          <w:rPr>
            <w:webHidden/>
          </w:rPr>
        </w:r>
        <w:r w:rsidR="004B6B51">
          <w:rPr>
            <w:webHidden/>
          </w:rPr>
          <w:fldChar w:fldCharType="separate"/>
        </w:r>
        <w:r w:rsidR="00756D2C">
          <w:rPr>
            <w:webHidden/>
          </w:rPr>
          <w:t>151</w:t>
        </w:r>
        <w:r w:rsidR="004B6B51">
          <w:rPr>
            <w:webHidden/>
          </w:rPr>
          <w:fldChar w:fldCharType="end"/>
        </w:r>
      </w:hyperlink>
    </w:p>
    <w:p w14:paraId="3F2A6D7B" w14:textId="556A647D" w:rsidR="004B6B51" w:rsidRDefault="004B6B51">
      <w:pPr>
        <w:pStyle w:val="TOC1"/>
        <w:rPr>
          <w:rFonts w:asciiTheme="minorHAnsi" w:eastAsiaTheme="minorEastAsia" w:hAnsiTheme="minorHAnsi" w:cstheme="minorBidi"/>
          <w:b w:val="0"/>
          <w:kern w:val="2"/>
          <w:sz w:val="24"/>
          <w:szCs w:val="24"/>
          <w:lang w:eastAsia="en-AU"/>
          <w14:ligatures w14:val="standardContextual"/>
        </w:rPr>
      </w:pPr>
      <w:hyperlink w:anchor="_Toc241068538" w:history="1">
        <w:r w:rsidRPr="00AA141D">
          <w:rPr>
            <w:rStyle w:val="Hyperlink"/>
            <w:lang w:eastAsia="en-AU"/>
          </w:rPr>
          <w:t>Independent auditor’s report</w:t>
        </w:r>
        <w:r>
          <w:rPr>
            <w:webHidden/>
          </w:rPr>
          <w:tab/>
        </w:r>
        <w:r>
          <w:rPr>
            <w:webHidden/>
          </w:rPr>
          <w:fldChar w:fldCharType="begin"/>
        </w:r>
        <w:r>
          <w:rPr>
            <w:webHidden/>
          </w:rPr>
          <w:instrText xml:space="preserve"> PAGEREF _Toc241068538 \h </w:instrText>
        </w:r>
        <w:r>
          <w:rPr>
            <w:webHidden/>
          </w:rPr>
        </w:r>
        <w:r>
          <w:rPr>
            <w:webHidden/>
          </w:rPr>
          <w:fldChar w:fldCharType="separate"/>
        </w:r>
        <w:r w:rsidR="00756D2C">
          <w:rPr>
            <w:webHidden/>
          </w:rPr>
          <w:t>152</w:t>
        </w:r>
        <w:r>
          <w:rPr>
            <w:webHidden/>
          </w:rPr>
          <w:fldChar w:fldCharType="end"/>
        </w:r>
      </w:hyperlink>
    </w:p>
    <w:p w14:paraId="59B6DB14" w14:textId="5EE1A439" w:rsidR="004B6B51" w:rsidRDefault="004B6B51">
      <w:pPr>
        <w:pStyle w:val="TOC1"/>
        <w:rPr>
          <w:rFonts w:asciiTheme="minorHAnsi" w:eastAsiaTheme="minorEastAsia" w:hAnsiTheme="minorHAnsi" w:cstheme="minorBidi"/>
          <w:b w:val="0"/>
          <w:kern w:val="2"/>
          <w:sz w:val="24"/>
          <w:szCs w:val="24"/>
          <w:lang w:eastAsia="en-AU"/>
          <w14:ligatures w14:val="standardContextual"/>
        </w:rPr>
      </w:pPr>
      <w:hyperlink w:anchor="_Toc241068539" w:history="1">
        <w:r w:rsidRPr="00AA141D">
          <w:rPr>
            <w:rStyle w:val="Hyperlink"/>
          </w:rPr>
          <w:t>Comprehensive operating statement for the financial year ended 30 June 2026</w:t>
        </w:r>
        <w:r>
          <w:rPr>
            <w:webHidden/>
          </w:rPr>
          <w:tab/>
        </w:r>
        <w:r>
          <w:rPr>
            <w:webHidden/>
          </w:rPr>
          <w:fldChar w:fldCharType="begin"/>
        </w:r>
        <w:r>
          <w:rPr>
            <w:webHidden/>
          </w:rPr>
          <w:instrText xml:space="preserve"> PAGEREF _Toc241068539 \h </w:instrText>
        </w:r>
        <w:r>
          <w:rPr>
            <w:webHidden/>
          </w:rPr>
        </w:r>
        <w:r>
          <w:rPr>
            <w:webHidden/>
          </w:rPr>
          <w:fldChar w:fldCharType="separate"/>
        </w:r>
        <w:r w:rsidR="00756D2C">
          <w:rPr>
            <w:webHidden/>
          </w:rPr>
          <w:t>156</w:t>
        </w:r>
        <w:r>
          <w:rPr>
            <w:webHidden/>
          </w:rPr>
          <w:fldChar w:fldCharType="end"/>
        </w:r>
      </w:hyperlink>
    </w:p>
    <w:p w14:paraId="56FF6E79" w14:textId="0F9B28EE" w:rsidR="004B6B51" w:rsidRDefault="004B6B51">
      <w:pPr>
        <w:pStyle w:val="TOC1"/>
        <w:rPr>
          <w:rFonts w:asciiTheme="minorHAnsi" w:eastAsiaTheme="minorEastAsia" w:hAnsiTheme="minorHAnsi" w:cstheme="minorBidi"/>
          <w:b w:val="0"/>
          <w:kern w:val="2"/>
          <w:sz w:val="24"/>
          <w:szCs w:val="24"/>
          <w:lang w:eastAsia="en-AU"/>
          <w14:ligatures w14:val="standardContextual"/>
        </w:rPr>
      </w:pPr>
      <w:hyperlink w:anchor="_Toc241068540" w:history="1">
        <w:r w:rsidRPr="00AA141D">
          <w:rPr>
            <w:rStyle w:val="Hyperlink"/>
          </w:rPr>
          <w:t>Balance sheet as at 30 June 2026</w:t>
        </w:r>
        <w:r>
          <w:rPr>
            <w:webHidden/>
          </w:rPr>
          <w:tab/>
        </w:r>
        <w:r>
          <w:rPr>
            <w:webHidden/>
          </w:rPr>
          <w:fldChar w:fldCharType="begin"/>
        </w:r>
        <w:r>
          <w:rPr>
            <w:webHidden/>
          </w:rPr>
          <w:instrText xml:space="preserve"> PAGEREF _Toc241068540 \h </w:instrText>
        </w:r>
        <w:r>
          <w:rPr>
            <w:webHidden/>
          </w:rPr>
        </w:r>
        <w:r>
          <w:rPr>
            <w:webHidden/>
          </w:rPr>
          <w:fldChar w:fldCharType="separate"/>
        </w:r>
        <w:r w:rsidR="00756D2C">
          <w:rPr>
            <w:webHidden/>
          </w:rPr>
          <w:t>157</w:t>
        </w:r>
        <w:r>
          <w:rPr>
            <w:webHidden/>
          </w:rPr>
          <w:fldChar w:fldCharType="end"/>
        </w:r>
      </w:hyperlink>
    </w:p>
    <w:p w14:paraId="203DFA7D" w14:textId="5299CF71" w:rsidR="004B6B51" w:rsidRDefault="004B6B51">
      <w:pPr>
        <w:pStyle w:val="TOC1"/>
        <w:rPr>
          <w:rFonts w:asciiTheme="minorHAnsi" w:eastAsiaTheme="minorEastAsia" w:hAnsiTheme="minorHAnsi" w:cstheme="minorBidi"/>
          <w:b w:val="0"/>
          <w:kern w:val="2"/>
          <w:sz w:val="24"/>
          <w:szCs w:val="24"/>
          <w:lang w:eastAsia="en-AU"/>
          <w14:ligatures w14:val="standardContextual"/>
        </w:rPr>
      </w:pPr>
      <w:hyperlink w:anchor="_Toc241068541" w:history="1">
        <w:r w:rsidRPr="00AA141D">
          <w:rPr>
            <w:rStyle w:val="Hyperlink"/>
          </w:rPr>
          <w:t>Cash flow statement for the financial year ended 30 June 2026</w:t>
        </w:r>
        <w:r>
          <w:rPr>
            <w:webHidden/>
          </w:rPr>
          <w:tab/>
        </w:r>
        <w:r>
          <w:rPr>
            <w:webHidden/>
          </w:rPr>
          <w:fldChar w:fldCharType="begin"/>
        </w:r>
        <w:r>
          <w:rPr>
            <w:webHidden/>
          </w:rPr>
          <w:instrText xml:space="preserve"> PAGEREF _Toc241068541 \h </w:instrText>
        </w:r>
        <w:r>
          <w:rPr>
            <w:webHidden/>
          </w:rPr>
        </w:r>
        <w:r>
          <w:rPr>
            <w:webHidden/>
          </w:rPr>
          <w:fldChar w:fldCharType="separate"/>
        </w:r>
        <w:r w:rsidR="00756D2C">
          <w:rPr>
            <w:webHidden/>
          </w:rPr>
          <w:t>158</w:t>
        </w:r>
        <w:r>
          <w:rPr>
            <w:webHidden/>
          </w:rPr>
          <w:fldChar w:fldCharType="end"/>
        </w:r>
      </w:hyperlink>
    </w:p>
    <w:p w14:paraId="04BF61C9" w14:textId="38DCFBCC" w:rsidR="004B6B51" w:rsidRDefault="004B6B51">
      <w:pPr>
        <w:pStyle w:val="TOC1"/>
        <w:rPr>
          <w:rFonts w:asciiTheme="minorHAnsi" w:eastAsiaTheme="minorEastAsia" w:hAnsiTheme="minorHAnsi" w:cstheme="minorBidi"/>
          <w:b w:val="0"/>
          <w:kern w:val="2"/>
          <w:sz w:val="24"/>
          <w:szCs w:val="24"/>
          <w:lang w:eastAsia="en-AU"/>
          <w14:ligatures w14:val="standardContextual"/>
        </w:rPr>
      </w:pPr>
      <w:hyperlink w:anchor="_Toc241068542" w:history="1">
        <w:r w:rsidRPr="00AA141D">
          <w:rPr>
            <w:rStyle w:val="Hyperlink"/>
          </w:rPr>
          <w:t>Statement of changes in equity for the financial year ended 30 June 2026</w:t>
        </w:r>
        <w:r>
          <w:rPr>
            <w:webHidden/>
          </w:rPr>
          <w:tab/>
        </w:r>
        <w:r>
          <w:rPr>
            <w:webHidden/>
          </w:rPr>
          <w:fldChar w:fldCharType="begin"/>
        </w:r>
        <w:r>
          <w:rPr>
            <w:webHidden/>
          </w:rPr>
          <w:instrText xml:space="preserve"> PAGEREF _Toc241068542 \h </w:instrText>
        </w:r>
        <w:r>
          <w:rPr>
            <w:webHidden/>
          </w:rPr>
        </w:r>
        <w:r>
          <w:rPr>
            <w:webHidden/>
          </w:rPr>
          <w:fldChar w:fldCharType="separate"/>
        </w:r>
        <w:r w:rsidR="00756D2C">
          <w:rPr>
            <w:webHidden/>
          </w:rPr>
          <w:t>159</w:t>
        </w:r>
        <w:r>
          <w:rPr>
            <w:webHidden/>
          </w:rPr>
          <w:fldChar w:fldCharType="end"/>
        </w:r>
      </w:hyperlink>
    </w:p>
    <w:p w14:paraId="3D16FD5D" w14:textId="78EBCD80" w:rsidR="004B6B51" w:rsidRDefault="004B6B51">
      <w:pPr>
        <w:pStyle w:val="TOC1"/>
        <w:rPr>
          <w:rFonts w:asciiTheme="minorHAnsi" w:eastAsiaTheme="minorEastAsia" w:hAnsiTheme="minorHAnsi" w:cstheme="minorBidi"/>
          <w:b w:val="0"/>
          <w:kern w:val="2"/>
          <w:sz w:val="24"/>
          <w:szCs w:val="24"/>
          <w:lang w:eastAsia="en-AU"/>
          <w14:ligatures w14:val="standardContextual"/>
        </w:rPr>
      </w:pPr>
      <w:hyperlink w:anchor="_Toc241068543" w:history="1">
        <w:r w:rsidRPr="00AA141D">
          <w:rPr>
            <w:rStyle w:val="Hyperlink"/>
            <w:lang w:eastAsia="en-AU"/>
          </w:rPr>
          <w:t xml:space="preserve">Notes to and forming part of the financial statements for the financial year ended  </w:t>
        </w:r>
        <w:r>
          <w:rPr>
            <w:rStyle w:val="Hyperlink"/>
            <w:lang w:eastAsia="en-AU"/>
          </w:rPr>
          <w:br/>
        </w:r>
        <w:r w:rsidRPr="00AA141D">
          <w:rPr>
            <w:rStyle w:val="Hyperlink"/>
            <w:lang w:eastAsia="en-AU"/>
          </w:rPr>
          <w:t>30 June 2026</w:t>
        </w:r>
        <w:r>
          <w:rPr>
            <w:webHidden/>
          </w:rPr>
          <w:tab/>
        </w:r>
        <w:r>
          <w:rPr>
            <w:webHidden/>
          </w:rPr>
          <w:fldChar w:fldCharType="begin"/>
        </w:r>
        <w:r>
          <w:rPr>
            <w:webHidden/>
          </w:rPr>
          <w:instrText xml:space="preserve"> PAGEREF _Toc241068543 \h </w:instrText>
        </w:r>
        <w:r>
          <w:rPr>
            <w:webHidden/>
          </w:rPr>
        </w:r>
        <w:r>
          <w:rPr>
            <w:webHidden/>
          </w:rPr>
          <w:fldChar w:fldCharType="separate"/>
        </w:r>
        <w:r w:rsidR="00756D2C">
          <w:rPr>
            <w:webHidden/>
          </w:rPr>
          <w:t>160</w:t>
        </w:r>
        <w:r>
          <w:rPr>
            <w:webHidden/>
          </w:rPr>
          <w:fldChar w:fldCharType="end"/>
        </w:r>
      </w:hyperlink>
    </w:p>
    <w:p w14:paraId="3602AC1B" w14:textId="384EA8F2" w:rsidR="004B6B51" w:rsidRDefault="004B6B51">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1068544" w:history="1">
        <w:r w:rsidRPr="00AA141D">
          <w:rPr>
            <w:rStyle w:val="Hyperlink"/>
            <w:lang w:eastAsia="en-AU"/>
          </w:rPr>
          <w:t xml:space="preserve">1. </w:t>
        </w:r>
        <w:r>
          <w:rPr>
            <w:rFonts w:asciiTheme="minorHAnsi" w:eastAsiaTheme="minorEastAsia" w:hAnsiTheme="minorHAnsi" w:cstheme="minorBidi"/>
            <w:kern w:val="2"/>
            <w:sz w:val="24"/>
            <w:szCs w:val="24"/>
            <w:lang w:eastAsia="en-AU"/>
            <w14:ligatures w14:val="standardContextual"/>
          </w:rPr>
          <w:tab/>
        </w:r>
        <w:r w:rsidRPr="00AA141D">
          <w:rPr>
            <w:rStyle w:val="Hyperlink"/>
            <w:lang w:eastAsia="en-AU"/>
          </w:rPr>
          <w:t>About this report</w:t>
        </w:r>
        <w:r>
          <w:rPr>
            <w:webHidden/>
          </w:rPr>
          <w:tab/>
        </w:r>
        <w:r>
          <w:rPr>
            <w:webHidden/>
          </w:rPr>
          <w:fldChar w:fldCharType="begin"/>
        </w:r>
        <w:r>
          <w:rPr>
            <w:webHidden/>
          </w:rPr>
          <w:instrText xml:space="preserve"> PAGEREF _Toc241068544 \h </w:instrText>
        </w:r>
        <w:r>
          <w:rPr>
            <w:webHidden/>
          </w:rPr>
        </w:r>
        <w:r>
          <w:rPr>
            <w:webHidden/>
          </w:rPr>
          <w:fldChar w:fldCharType="separate"/>
        </w:r>
        <w:r w:rsidR="00756D2C">
          <w:rPr>
            <w:webHidden/>
          </w:rPr>
          <w:t>160</w:t>
        </w:r>
        <w:r>
          <w:rPr>
            <w:webHidden/>
          </w:rPr>
          <w:fldChar w:fldCharType="end"/>
        </w:r>
      </w:hyperlink>
    </w:p>
    <w:p w14:paraId="1F91610D" w14:textId="675280B0" w:rsidR="004B6B51" w:rsidRDefault="004B6B51">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1068545" w:history="1">
        <w:r w:rsidRPr="00AA141D">
          <w:rPr>
            <w:rStyle w:val="Hyperlink"/>
            <w:lang w:eastAsia="en-AU"/>
          </w:rPr>
          <w:t xml:space="preserve">2. </w:t>
        </w:r>
        <w:r>
          <w:rPr>
            <w:rFonts w:asciiTheme="minorHAnsi" w:eastAsiaTheme="minorEastAsia" w:hAnsiTheme="minorHAnsi" w:cstheme="minorBidi"/>
            <w:kern w:val="2"/>
            <w:sz w:val="24"/>
            <w:szCs w:val="24"/>
            <w:lang w:eastAsia="en-AU"/>
            <w14:ligatures w14:val="standardContextual"/>
          </w:rPr>
          <w:tab/>
        </w:r>
        <w:r w:rsidRPr="00AA141D">
          <w:rPr>
            <w:rStyle w:val="Hyperlink"/>
            <w:lang w:eastAsia="en-AU"/>
          </w:rPr>
          <w:t>Funding delivery of our services</w:t>
        </w:r>
        <w:r>
          <w:rPr>
            <w:webHidden/>
          </w:rPr>
          <w:tab/>
        </w:r>
        <w:r>
          <w:rPr>
            <w:webHidden/>
          </w:rPr>
          <w:fldChar w:fldCharType="begin"/>
        </w:r>
        <w:r>
          <w:rPr>
            <w:webHidden/>
          </w:rPr>
          <w:instrText xml:space="preserve"> PAGEREF _Toc241068545 \h </w:instrText>
        </w:r>
        <w:r>
          <w:rPr>
            <w:webHidden/>
          </w:rPr>
        </w:r>
        <w:r>
          <w:rPr>
            <w:webHidden/>
          </w:rPr>
          <w:fldChar w:fldCharType="separate"/>
        </w:r>
        <w:r w:rsidR="00756D2C">
          <w:rPr>
            <w:webHidden/>
          </w:rPr>
          <w:t>162</w:t>
        </w:r>
        <w:r>
          <w:rPr>
            <w:webHidden/>
          </w:rPr>
          <w:fldChar w:fldCharType="end"/>
        </w:r>
      </w:hyperlink>
    </w:p>
    <w:p w14:paraId="2744F003" w14:textId="54C1E678" w:rsidR="004B6B51" w:rsidRDefault="004B6B51">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1068546" w:history="1">
        <w:r w:rsidRPr="00AA141D">
          <w:rPr>
            <w:rStyle w:val="Hyperlink"/>
            <w:lang w:eastAsia="en-AU"/>
          </w:rPr>
          <w:t>3</w:t>
        </w:r>
        <w:r>
          <w:rPr>
            <w:rFonts w:asciiTheme="minorHAnsi" w:eastAsiaTheme="minorEastAsia" w:hAnsiTheme="minorHAnsi" w:cstheme="minorBidi"/>
            <w:kern w:val="2"/>
            <w:sz w:val="24"/>
            <w:szCs w:val="24"/>
            <w:lang w:eastAsia="en-AU"/>
            <w14:ligatures w14:val="standardContextual"/>
          </w:rPr>
          <w:tab/>
        </w:r>
        <w:r w:rsidRPr="00AA141D">
          <w:rPr>
            <w:rStyle w:val="Hyperlink"/>
            <w:lang w:eastAsia="en-AU"/>
          </w:rPr>
          <w:t>The cost of delivering services</w:t>
        </w:r>
        <w:r>
          <w:rPr>
            <w:webHidden/>
          </w:rPr>
          <w:tab/>
        </w:r>
        <w:r>
          <w:rPr>
            <w:webHidden/>
          </w:rPr>
          <w:fldChar w:fldCharType="begin"/>
        </w:r>
        <w:r>
          <w:rPr>
            <w:webHidden/>
          </w:rPr>
          <w:instrText xml:space="preserve"> PAGEREF _Toc241068546 \h </w:instrText>
        </w:r>
        <w:r>
          <w:rPr>
            <w:webHidden/>
          </w:rPr>
        </w:r>
        <w:r>
          <w:rPr>
            <w:webHidden/>
          </w:rPr>
          <w:fldChar w:fldCharType="separate"/>
        </w:r>
        <w:r w:rsidR="00756D2C">
          <w:rPr>
            <w:webHidden/>
          </w:rPr>
          <w:t>167</w:t>
        </w:r>
        <w:r>
          <w:rPr>
            <w:webHidden/>
          </w:rPr>
          <w:fldChar w:fldCharType="end"/>
        </w:r>
      </w:hyperlink>
    </w:p>
    <w:p w14:paraId="1AB87716" w14:textId="5995217B" w:rsidR="004B6B51" w:rsidRDefault="004B6B51">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1068547" w:history="1">
        <w:r w:rsidRPr="00AA141D">
          <w:rPr>
            <w:rStyle w:val="Hyperlink"/>
            <w:lang w:eastAsia="en-AU"/>
          </w:rPr>
          <w:t xml:space="preserve">4. </w:t>
        </w:r>
        <w:r>
          <w:rPr>
            <w:rFonts w:asciiTheme="minorHAnsi" w:eastAsiaTheme="minorEastAsia" w:hAnsiTheme="minorHAnsi" w:cstheme="minorBidi"/>
            <w:kern w:val="2"/>
            <w:sz w:val="24"/>
            <w:szCs w:val="24"/>
            <w:lang w:eastAsia="en-AU"/>
            <w14:ligatures w14:val="standardContextual"/>
          </w:rPr>
          <w:tab/>
        </w:r>
        <w:r w:rsidRPr="00AA141D">
          <w:rPr>
            <w:rStyle w:val="Hyperlink"/>
            <w:lang w:eastAsia="en-AU"/>
          </w:rPr>
          <w:t>Disaggregated financial information by output</w:t>
        </w:r>
        <w:r>
          <w:rPr>
            <w:webHidden/>
          </w:rPr>
          <w:tab/>
        </w:r>
        <w:r>
          <w:rPr>
            <w:webHidden/>
          </w:rPr>
          <w:fldChar w:fldCharType="begin"/>
        </w:r>
        <w:r>
          <w:rPr>
            <w:webHidden/>
          </w:rPr>
          <w:instrText xml:space="preserve"> PAGEREF _Toc241068547 \h </w:instrText>
        </w:r>
        <w:r>
          <w:rPr>
            <w:webHidden/>
          </w:rPr>
        </w:r>
        <w:r>
          <w:rPr>
            <w:webHidden/>
          </w:rPr>
          <w:fldChar w:fldCharType="separate"/>
        </w:r>
        <w:r w:rsidR="00756D2C">
          <w:rPr>
            <w:webHidden/>
          </w:rPr>
          <w:t>173</w:t>
        </w:r>
        <w:r>
          <w:rPr>
            <w:webHidden/>
          </w:rPr>
          <w:fldChar w:fldCharType="end"/>
        </w:r>
      </w:hyperlink>
    </w:p>
    <w:p w14:paraId="31BD5239" w14:textId="2B8A75DC" w:rsidR="004B6B51" w:rsidRDefault="004B6B51">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1068548" w:history="1">
        <w:r w:rsidRPr="00AA141D">
          <w:rPr>
            <w:rStyle w:val="Hyperlink"/>
            <w:lang w:eastAsia="en-AU"/>
          </w:rPr>
          <w:t xml:space="preserve">5. </w:t>
        </w:r>
        <w:r>
          <w:rPr>
            <w:rFonts w:asciiTheme="minorHAnsi" w:eastAsiaTheme="minorEastAsia" w:hAnsiTheme="minorHAnsi" w:cstheme="minorBidi"/>
            <w:kern w:val="2"/>
            <w:sz w:val="24"/>
            <w:szCs w:val="24"/>
            <w:lang w:eastAsia="en-AU"/>
            <w14:ligatures w14:val="standardContextual"/>
          </w:rPr>
          <w:tab/>
        </w:r>
        <w:r w:rsidRPr="00AA141D">
          <w:rPr>
            <w:rStyle w:val="Hyperlink"/>
            <w:lang w:eastAsia="en-AU"/>
          </w:rPr>
          <w:t>Key assets available to support output delivery</w:t>
        </w:r>
        <w:r>
          <w:rPr>
            <w:webHidden/>
          </w:rPr>
          <w:tab/>
        </w:r>
        <w:r>
          <w:rPr>
            <w:webHidden/>
          </w:rPr>
          <w:fldChar w:fldCharType="begin"/>
        </w:r>
        <w:r>
          <w:rPr>
            <w:webHidden/>
          </w:rPr>
          <w:instrText xml:space="preserve"> PAGEREF _Toc241068548 \h </w:instrText>
        </w:r>
        <w:r>
          <w:rPr>
            <w:webHidden/>
          </w:rPr>
        </w:r>
        <w:r>
          <w:rPr>
            <w:webHidden/>
          </w:rPr>
          <w:fldChar w:fldCharType="separate"/>
        </w:r>
        <w:r w:rsidR="00756D2C">
          <w:rPr>
            <w:webHidden/>
          </w:rPr>
          <w:t>183</w:t>
        </w:r>
        <w:r>
          <w:rPr>
            <w:webHidden/>
          </w:rPr>
          <w:fldChar w:fldCharType="end"/>
        </w:r>
      </w:hyperlink>
    </w:p>
    <w:p w14:paraId="47081645" w14:textId="76206BBB" w:rsidR="004B6B51" w:rsidRDefault="004B6B51">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1068549" w:history="1">
        <w:r w:rsidRPr="00AA141D">
          <w:rPr>
            <w:rStyle w:val="Hyperlink"/>
            <w:lang w:eastAsia="en-AU"/>
          </w:rPr>
          <w:t xml:space="preserve">6. </w:t>
        </w:r>
        <w:r>
          <w:rPr>
            <w:rFonts w:asciiTheme="minorHAnsi" w:eastAsiaTheme="minorEastAsia" w:hAnsiTheme="minorHAnsi" w:cstheme="minorBidi"/>
            <w:kern w:val="2"/>
            <w:sz w:val="24"/>
            <w:szCs w:val="24"/>
            <w:lang w:eastAsia="en-AU"/>
            <w14:ligatures w14:val="standardContextual"/>
          </w:rPr>
          <w:tab/>
        </w:r>
        <w:r w:rsidRPr="00AA141D">
          <w:rPr>
            <w:rStyle w:val="Hyperlink"/>
            <w:lang w:eastAsia="en-AU"/>
          </w:rPr>
          <w:t>Other assets and liabilities</w:t>
        </w:r>
        <w:r>
          <w:rPr>
            <w:webHidden/>
          </w:rPr>
          <w:tab/>
        </w:r>
        <w:r>
          <w:rPr>
            <w:webHidden/>
          </w:rPr>
          <w:fldChar w:fldCharType="begin"/>
        </w:r>
        <w:r>
          <w:rPr>
            <w:webHidden/>
          </w:rPr>
          <w:instrText xml:space="preserve"> PAGEREF _Toc241068549 \h </w:instrText>
        </w:r>
        <w:r>
          <w:rPr>
            <w:webHidden/>
          </w:rPr>
        </w:r>
        <w:r>
          <w:rPr>
            <w:webHidden/>
          </w:rPr>
          <w:fldChar w:fldCharType="separate"/>
        </w:r>
        <w:r w:rsidR="00756D2C">
          <w:rPr>
            <w:webHidden/>
          </w:rPr>
          <w:t>187</w:t>
        </w:r>
        <w:r>
          <w:rPr>
            <w:webHidden/>
          </w:rPr>
          <w:fldChar w:fldCharType="end"/>
        </w:r>
      </w:hyperlink>
    </w:p>
    <w:p w14:paraId="1C4B2C6F" w14:textId="12814AC7" w:rsidR="004B6B51" w:rsidRDefault="004B6B51">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1068550" w:history="1">
        <w:r w:rsidRPr="00AA141D">
          <w:rPr>
            <w:rStyle w:val="Hyperlink"/>
            <w:lang w:eastAsia="en-AU"/>
          </w:rPr>
          <w:t xml:space="preserve">7. </w:t>
        </w:r>
        <w:r>
          <w:rPr>
            <w:rFonts w:asciiTheme="minorHAnsi" w:eastAsiaTheme="minorEastAsia" w:hAnsiTheme="minorHAnsi" w:cstheme="minorBidi"/>
            <w:kern w:val="2"/>
            <w:sz w:val="24"/>
            <w:szCs w:val="24"/>
            <w:lang w:eastAsia="en-AU"/>
            <w14:ligatures w14:val="standardContextual"/>
          </w:rPr>
          <w:tab/>
        </w:r>
        <w:r w:rsidRPr="00AA141D">
          <w:rPr>
            <w:rStyle w:val="Hyperlink"/>
            <w:lang w:eastAsia="en-AU"/>
          </w:rPr>
          <w:t>How we financed our operations</w:t>
        </w:r>
        <w:r>
          <w:rPr>
            <w:webHidden/>
          </w:rPr>
          <w:tab/>
        </w:r>
        <w:r>
          <w:rPr>
            <w:webHidden/>
          </w:rPr>
          <w:fldChar w:fldCharType="begin"/>
        </w:r>
        <w:r>
          <w:rPr>
            <w:webHidden/>
          </w:rPr>
          <w:instrText xml:space="preserve"> PAGEREF _Toc241068550 \h </w:instrText>
        </w:r>
        <w:r>
          <w:rPr>
            <w:webHidden/>
          </w:rPr>
        </w:r>
        <w:r>
          <w:rPr>
            <w:webHidden/>
          </w:rPr>
          <w:fldChar w:fldCharType="separate"/>
        </w:r>
        <w:r w:rsidR="00756D2C">
          <w:rPr>
            <w:webHidden/>
          </w:rPr>
          <w:t>193</w:t>
        </w:r>
        <w:r>
          <w:rPr>
            <w:webHidden/>
          </w:rPr>
          <w:fldChar w:fldCharType="end"/>
        </w:r>
      </w:hyperlink>
    </w:p>
    <w:p w14:paraId="0AF47039" w14:textId="79F2E892" w:rsidR="004B6B51" w:rsidRDefault="004B6B51">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1068551" w:history="1">
        <w:r w:rsidRPr="00AA141D">
          <w:rPr>
            <w:rStyle w:val="Hyperlink"/>
            <w:lang w:eastAsia="en-AU"/>
          </w:rPr>
          <w:t xml:space="preserve">8. </w:t>
        </w:r>
        <w:r>
          <w:rPr>
            <w:rFonts w:asciiTheme="minorHAnsi" w:eastAsiaTheme="minorEastAsia" w:hAnsiTheme="minorHAnsi" w:cstheme="minorBidi"/>
            <w:kern w:val="2"/>
            <w:sz w:val="24"/>
            <w:szCs w:val="24"/>
            <w:lang w:eastAsia="en-AU"/>
            <w14:ligatures w14:val="standardContextual"/>
          </w:rPr>
          <w:tab/>
        </w:r>
        <w:r w:rsidRPr="00AA141D">
          <w:rPr>
            <w:rStyle w:val="Hyperlink"/>
            <w:lang w:eastAsia="en-AU"/>
          </w:rPr>
          <w:t>Risks, contingencies and valuation judgements</w:t>
        </w:r>
        <w:r>
          <w:rPr>
            <w:webHidden/>
          </w:rPr>
          <w:tab/>
        </w:r>
        <w:r>
          <w:rPr>
            <w:webHidden/>
          </w:rPr>
          <w:fldChar w:fldCharType="begin"/>
        </w:r>
        <w:r>
          <w:rPr>
            <w:webHidden/>
          </w:rPr>
          <w:instrText xml:space="preserve"> PAGEREF _Toc241068551 \h </w:instrText>
        </w:r>
        <w:r>
          <w:rPr>
            <w:webHidden/>
          </w:rPr>
        </w:r>
        <w:r>
          <w:rPr>
            <w:webHidden/>
          </w:rPr>
          <w:fldChar w:fldCharType="separate"/>
        </w:r>
        <w:r w:rsidR="00756D2C">
          <w:rPr>
            <w:webHidden/>
          </w:rPr>
          <w:t>203</w:t>
        </w:r>
        <w:r>
          <w:rPr>
            <w:webHidden/>
          </w:rPr>
          <w:fldChar w:fldCharType="end"/>
        </w:r>
      </w:hyperlink>
    </w:p>
    <w:p w14:paraId="5E8202A3" w14:textId="529AD083" w:rsidR="004B6B51" w:rsidRDefault="004B6B51">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1068552" w:history="1">
        <w:r w:rsidRPr="00AA141D">
          <w:rPr>
            <w:rStyle w:val="Hyperlink"/>
            <w:lang w:eastAsia="en-AU"/>
          </w:rPr>
          <w:t xml:space="preserve">9. </w:t>
        </w:r>
        <w:r>
          <w:rPr>
            <w:rFonts w:asciiTheme="minorHAnsi" w:eastAsiaTheme="minorEastAsia" w:hAnsiTheme="minorHAnsi" w:cstheme="minorBidi"/>
            <w:kern w:val="2"/>
            <w:sz w:val="24"/>
            <w:szCs w:val="24"/>
            <w:lang w:eastAsia="en-AU"/>
            <w14:ligatures w14:val="standardContextual"/>
          </w:rPr>
          <w:tab/>
        </w:r>
        <w:r w:rsidRPr="00AA141D">
          <w:rPr>
            <w:rStyle w:val="Hyperlink"/>
            <w:lang w:eastAsia="en-AU"/>
          </w:rPr>
          <w:t>Other disclosures</w:t>
        </w:r>
        <w:r>
          <w:rPr>
            <w:webHidden/>
          </w:rPr>
          <w:tab/>
        </w:r>
        <w:r>
          <w:rPr>
            <w:webHidden/>
          </w:rPr>
          <w:fldChar w:fldCharType="begin"/>
        </w:r>
        <w:r>
          <w:rPr>
            <w:webHidden/>
          </w:rPr>
          <w:instrText xml:space="preserve"> PAGEREF _Toc241068552 \h </w:instrText>
        </w:r>
        <w:r>
          <w:rPr>
            <w:webHidden/>
          </w:rPr>
        </w:r>
        <w:r>
          <w:rPr>
            <w:webHidden/>
          </w:rPr>
          <w:fldChar w:fldCharType="separate"/>
        </w:r>
        <w:r w:rsidR="00756D2C">
          <w:rPr>
            <w:webHidden/>
          </w:rPr>
          <w:t>216</w:t>
        </w:r>
        <w:r>
          <w:rPr>
            <w:webHidden/>
          </w:rPr>
          <w:fldChar w:fldCharType="end"/>
        </w:r>
      </w:hyperlink>
    </w:p>
    <w:p w14:paraId="1EE3BF37" w14:textId="3CAC0F71" w:rsidR="006E51BF" w:rsidRDefault="006E51BF" w:rsidP="006E51BF">
      <w:pPr>
        <w:pStyle w:val="ARBody"/>
      </w:pPr>
      <w:r>
        <w:fldChar w:fldCharType="end"/>
      </w:r>
      <w:bookmarkEnd w:id="271"/>
      <w:r>
        <w:br w:type="page"/>
      </w:r>
    </w:p>
    <w:p w14:paraId="222B5B94" w14:textId="77777777" w:rsidR="006E51BF" w:rsidRDefault="006E51BF" w:rsidP="006E51BF">
      <w:pPr>
        <w:pStyle w:val="Heading2financials"/>
        <w:rPr>
          <w:lang w:eastAsia="en-AU"/>
        </w:rPr>
      </w:pPr>
      <w:bookmarkStart w:id="272" w:name="_Toc241068537"/>
      <w:bookmarkStart w:id="273" w:name="Declarationinthefinancialstatements"/>
      <w:r>
        <w:rPr>
          <w:lang w:eastAsia="en-AU"/>
        </w:rPr>
        <w:t>Declaration in the financial statements</w:t>
      </w:r>
      <w:bookmarkEnd w:id="272"/>
    </w:p>
    <w:bookmarkEnd w:id="273"/>
    <w:p w14:paraId="7464F1E3" w14:textId="77777777" w:rsidR="006E51BF" w:rsidRDefault="006E51BF">
      <w:pPr>
        <w:pStyle w:val="ARBody"/>
        <w:rPr>
          <w:lang w:eastAsia="en-AU"/>
        </w:rPr>
      </w:pPr>
      <w:r>
        <w:rPr>
          <w:lang w:eastAsia="en-AU"/>
        </w:rPr>
        <w:t xml:space="preserve">The attached financial statements for the Department of Families, Fairness and Housing (the department) have been prepared in accordance with Direction 5.2 of the Standing Directions of the Minister for Finance under the </w:t>
      </w:r>
      <w:r w:rsidRPr="00105DB4">
        <w:rPr>
          <w:rStyle w:val="Emphasis"/>
          <w:lang w:eastAsia="en-AU"/>
        </w:rPr>
        <w:t>Financial Management Act 1994</w:t>
      </w:r>
      <w:r>
        <w:rPr>
          <w:lang w:eastAsia="en-AU"/>
        </w:rPr>
        <w:t>, applicable Financial Reporting Directions, Australian Accounting Standards including Interpretations, and other mandatory professional reporting requirements.</w:t>
      </w:r>
    </w:p>
    <w:p w14:paraId="5FA08959" w14:textId="77777777" w:rsidR="006E51BF" w:rsidRDefault="006E51BF">
      <w:pPr>
        <w:pStyle w:val="ARBody"/>
        <w:rPr>
          <w:lang w:eastAsia="en-AU"/>
        </w:rPr>
      </w:pPr>
      <w:r>
        <w:rPr>
          <w:lang w:eastAsia="en-AU"/>
        </w:rPr>
        <w:t xml:space="preserve">We further state that, in our opinion, the information set out in the Comprehensive Operating Statement, Balance Sheet, Cash Flow Statement, Statement of Changes in Equity and accompanying notes, presents fairly the financial transactions during the year ended 30 June 2026 and financial position of the department as </w:t>
      </w:r>
      <w:proofErr w:type="gramStart"/>
      <w:r>
        <w:rPr>
          <w:lang w:eastAsia="en-AU"/>
        </w:rPr>
        <w:t>at</w:t>
      </w:r>
      <w:proofErr w:type="gramEnd"/>
      <w:r>
        <w:rPr>
          <w:lang w:eastAsia="en-AU"/>
        </w:rPr>
        <w:t xml:space="preserve"> 30 June 2026.</w:t>
      </w:r>
    </w:p>
    <w:p w14:paraId="2CC20D26" w14:textId="77777777" w:rsidR="006E51BF" w:rsidRDefault="006E51BF">
      <w:pPr>
        <w:pStyle w:val="ARBody"/>
        <w:rPr>
          <w:lang w:eastAsia="en-AU"/>
        </w:rPr>
      </w:pPr>
      <w:r>
        <w:rPr>
          <w:lang w:eastAsia="en-AU"/>
        </w:rPr>
        <w:t>At the time of signing, we are not aware of any circumstance that would render any particulars included in the financial statements to be misleading or inaccurate.</w:t>
      </w:r>
    </w:p>
    <w:p w14:paraId="2B7F4146" w14:textId="77777777" w:rsidR="006E51BF" w:rsidRDefault="006E51BF">
      <w:pPr>
        <w:pStyle w:val="ARBody"/>
        <w:rPr>
          <w:lang w:eastAsia="en-AU"/>
        </w:rPr>
      </w:pPr>
      <w:r>
        <w:rPr>
          <w:lang w:eastAsia="en-AU"/>
        </w:rPr>
        <w:t>We authorise the attached financial statements for issue on 8 September 2026.</w:t>
      </w:r>
    </w:p>
    <w:p w14:paraId="4BF7E56F" w14:textId="46F56F34" w:rsidR="006E51BF" w:rsidRPr="006E51BF" w:rsidRDefault="00BD641A" w:rsidP="0081289C">
      <w:pPr>
        <w:pStyle w:val="ARBodynospace"/>
        <w:spacing w:before="720" w:after="120"/>
        <w:rPr>
          <w:rStyle w:val="Strong"/>
          <w:b w:val="0"/>
          <w:bCs w:val="0"/>
          <w:lang w:eastAsia="en-AU"/>
        </w:rPr>
      </w:pPr>
      <w:r>
        <w:rPr>
          <w:noProof/>
        </w:rPr>
        <w:drawing>
          <wp:inline distT="0" distB="0" distL="0" distR="0" wp14:anchorId="50B80A03" wp14:editId="7A55B758">
            <wp:extent cx="2087734" cy="659805"/>
            <wp:effectExtent l="0" t="0" r="8255" b="6985"/>
            <wp:docPr id="1349721033" name="Picture 11" descr="Signature&#10;Peta McCammon PSM&#10;Secretary&#10;Department of Families, Fairness and Hous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577177" name="Picture 11" descr="Signature&#10;Peta McCammon PSM&#10;Secretary&#10;Department of Families, Fairness and Housing&#10;"/>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2094553" cy="661960"/>
                    </a:xfrm>
                    <a:prstGeom prst="rect">
                      <a:avLst/>
                    </a:prstGeom>
                    <a:noFill/>
                    <a:ln>
                      <a:noFill/>
                    </a:ln>
                  </pic:spPr>
                </pic:pic>
              </a:graphicData>
            </a:graphic>
          </wp:inline>
        </w:drawing>
      </w:r>
    </w:p>
    <w:p w14:paraId="0029A659" w14:textId="46D4A2C1" w:rsidR="006E51BF" w:rsidRPr="005977CE" w:rsidRDefault="006E51BF">
      <w:pPr>
        <w:pStyle w:val="ARBodynospace"/>
        <w:rPr>
          <w:rStyle w:val="Strong"/>
        </w:rPr>
      </w:pPr>
      <w:r w:rsidRPr="005977CE">
        <w:rPr>
          <w:rStyle w:val="Strong"/>
        </w:rPr>
        <w:t>Peta McCammon</w:t>
      </w:r>
      <w:r w:rsidR="799C77E4" w:rsidRPr="729F27F5">
        <w:rPr>
          <w:rStyle w:val="Strong"/>
        </w:rPr>
        <w:t xml:space="preserve"> PSM</w:t>
      </w:r>
    </w:p>
    <w:p w14:paraId="58DF61B2" w14:textId="77777777" w:rsidR="006E51BF" w:rsidRDefault="006E51BF">
      <w:pPr>
        <w:pStyle w:val="ARBodynospace"/>
        <w:rPr>
          <w:lang w:eastAsia="en-AU"/>
        </w:rPr>
      </w:pPr>
      <w:r>
        <w:rPr>
          <w:lang w:eastAsia="en-AU"/>
        </w:rPr>
        <w:t>Secretary</w:t>
      </w:r>
    </w:p>
    <w:p w14:paraId="0CB3E0CE" w14:textId="77777777" w:rsidR="006E51BF" w:rsidRDefault="006E51BF">
      <w:pPr>
        <w:pStyle w:val="ARBody"/>
        <w:rPr>
          <w:lang w:eastAsia="en-AU"/>
        </w:rPr>
      </w:pPr>
      <w:r>
        <w:rPr>
          <w:lang w:eastAsia="en-AU"/>
        </w:rPr>
        <w:t>Department of Families, Fairness and Housing</w:t>
      </w:r>
    </w:p>
    <w:p w14:paraId="6BC3F95A" w14:textId="77777777" w:rsidR="006E51BF" w:rsidRDefault="006E51BF">
      <w:pPr>
        <w:pStyle w:val="ARBodynospace"/>
        <w:rPr>
          <w:lang w:eastAsia="en-AU"/>
        </w:rPr>
      </w:pPr>
      <w:r>
        <w:rPr>
          <w:lang w:eastAsia="en-AU"/>
        </w:rPr>
        <w:t>Melbourne</w:t>
      </w:r>
    </w:p>
    <w:p w14:paraId="5841EC94" w14:textId="77777777" w:rsidR="006E51BF" w:rsidRDefault="006E51BF">
      <w:pPr>
        <w:pStyle w:val="ARBody"/>
        <w:rPr>
          <w:lang w:eastAsia="en-AU"/>
        </w:rPr>
      </w:pPr>
      <w:r>
        <w:rPr>
          <w:lang w:eastAsia="en-AU"/>
        </w:rPr>
        <w:t>8 September 2026</w:t>
      </w:r>
    </w:p>
    <w:p w14:paraId="7B212852" w14:textId="77777777" w:rsidR="00423EE0" w:rsidRDefault="00423EE0" w:rsidP="00140197">
      <w:pPr>
        <w:spacing w:after="0" w:line="240" w:lineRule="auto"/>
        <w:rPr>
          <w:rFonts w:ascii="Times New Roman" w:hAnsi="Times New Roman"/>
          <w:sz w:val="24"/>
          <w:szCs w:val="24"/>
          <w:lang w:eastAsia="en-AU"/>
        </w:rPr>
      </w:pPr>
    </w:p>
    <w:p w14:paraId="0868058B" w14:textId="77777777" w:rsidR="00023275" w:rsidRDefault="00044757" w:rsidP="00BD641A">
      <w:pPr>
        <w:pStyle w:val="ARBody"/>
        <w:spacing w:before="720"/>
        <w:rPr>
          <w:rStyle w:val="Strong"/>
        </w:rPr>
      </w:pPr>
      <w:r w:rsidRPr="00140197">
        <w:rPr>
          <w:noProof/>
          <w:lang w:eastAsia="en-AU"/>
        </w:rPr>
        <w:drawing>
          <wp:inline distT="0" distB="0" distL="0" distR="0" wp14:anchorId="4E3FCB90" wp14:editId="2CACC030">
            <wp:extent cx="1371600" cy="400050"/>
            <wp:effectExtent l="0" t="0" r="0" b="0"/>
            <wp:docPr id="1414027777" name="Picture 11" descr="Signature &#10;Cynthia Lahiff&#10;Chief Finance Officer&#10;Department of Families, Fairness and Hous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027777" name="Picture 11" descr="Signature &#10;Cynthia Lahiff&#10;Chief Finance Officer&#10;Department of Families, Fairness and Housing&#10;"/>
                    <pic:cNvPicPr>
                      <a:picLocks noChangeAspect="1" noChangeArrowheads="1"/>
                    </pic:cNvPicPr>
                  </pic:nvPicPr>
                  <pic:blipFill>
                    <a:blip r:embed="rId84" cstate="screen">
                      <a:extLst>
                        <a:ext uri="{28A0092B-C50C-407E-A947-70E740481C1C}">
                          <a14:useLocalDpi xmlns:a14="http://schemas.microsoft.com/office/drawing/2010/main"/>
                        </a:ext>
                      </a:extLst>
                    </a:blip>
                    <a:srcRect/>
                    <a:stretch>
                      <a:fillRect/>
                    </a:stretch>
                  </pic:blipFill>
                  <pic:spPr bwMode="auto">
                    <a:xfrm>
                      <a:off x="0" y="0"/>
                      <a:ext cx="1371600" cy="400050"/>
                    </a:xfrm>
                    <a:prstGeom prst="rect">
                      <a:avLst/>
                    </a:prstGeom>
                    <a:noFill/>
                    <a:ln>
                      <a:noFill/>
                    </a:ln>
                  </pic:spPr>
                </pic:pic>
              </a:graphicData>
            </a:graphic>
          </wp:inline>
        </w:drawing>
      </w:r>
    </w:p>
    <w:p w14:paraId="3444EA39" w14:textId="6E4C83C5" w:rsidR="006E51BF" w:rsidRPr="005977CE" w:rsidRDefault="006E51BF">
      <w:pPr>
        <w:pStyle w:val="ARBodynospace"/>
        <w:rPr>
          <w:rStyle w:val="Strong"/>
        </w:rPr>
      </w:pPr>
      <w:r w:rsidRPr="005977CE">
        <w:rPr>
          <w:rStyle w:val="Strong"/>
        </w:rPr>
        <w:t>Cynthia Lahiff</w:t>
      </w:r>
    </w:p>
    <w:p w14:paraId="52DA66D8" w14:textId="77777777" w:rsidR="006E51BF" w:rsidRDefault="006E51BF">
      <w:pPr>
        <w:pStyle w:val="ARBodynospace"/>
        <w:rPr>
          <w:rFonts w:ascii="ArialMT" w:hAnsi="ArialMT" w:cs="ArialMT"/>
          <w:color w:val="000000"/>
          <w:lang w:eastAsia="en-AU"/>
        </w:rPr>
      </w:pPr>
      <w:r>
        <w:rPr>
          <w:rFonts w:ascii="ArialMT" w:hAnsi="ArialMT" w:cs="ArialMT"/>
          <w:color w:val="000000"/>
          <w:lang w:eastAsia="en-AU"/>
        </w:rPr>
        <w:t>Chief Finance Officer</w:t>
      </w:r>
    </w:p>
    <w:p w14:paraId="1FA85A04" w14:textId="77777777" w:rsidR="006E51BF" w:rsidRDefault="006E51BF">
      <w:pPr>
        <w:pStyle w:val="ARBody"/>
        <w:rPr>
          <w:lang w:eastAsia="en-AU"/>
        </w:rPr>
      </w:pPr>
      <w:r>
        <w:rPr>
          <w:lang w:eastAsia="en-AU"/>
        </w:rPr>
        <w:t>Department of Families</w:t>
      </w:r>
      <w:r w:rsidRPr="005977CE">
        <w:rPr>
          <w:rStyle w:val="ARBodyChar"/>
          <w:lang w:eastAsia="en-AU"/>
        </w:rPr>
        <w:t>,</w:t>
      </w:r>
      <w:r>
        <w:rPr>
          <w:lang w:eastAsia="en-AU"/>
        </w:rPr>
        <w:t xml:space="preserve"> Fairness and Housing</w:t>
      </w:r>
    </w:p>
    <w:p w14:paraId="1892145C" w14:textId="77777777" w:rsidR="006E51BF" w:rsidRDefault="006E51BF">
      <w:pPr>
        <w:pStyle w:val="ARBodynospace"/>
        <w:rPr>
          <w:lang w:eastAsia="en-AU"/>
        </w:rPr>
      </w:pPr>
      <w:r>
        <w:rPr>
          <w:lang w:eastAsia="en-AU"/>
        </w:rPr>
        <w:t>Melbourne</w:t>
      </w:r>
    </w:p>
    <w:p w14:paraId="3DB27D60" w14:textId="77777777" w:rsidR="00DF6138" w:rsidRDefault="006E51BF">
      <w:pPr>
        <w:pStyle w:val="ARBody"/>
        <w:rPr>
          <w:lang w:eastAsia="en-AU"/>
        </w:rPr>
      </w:pPr>
      <w:r>
        <w:rPr>
          <w:lang w:eastAsia="en-AU"/>
        </w:rPr>
        <w:t>8 September 2026</w:t>
      </w:r>
    </w:p>
    <w:p w14:paraId="3723DD25" w14:textId="6D8FB8D4" w:rsidR="006E51BF" w:rsidRDefault="006E51BF">
      <w:pPr>
        <w:pStyle w:val="ARBody"/>
      </w:pPr>
      <w:r>
        <w:br w:type="page"/>
      </w:r>
    </w:p>
    <w:p w14:paraId="57F06EDB" w14:textId="2E299067" w:rsidR="009F72BA" w:rsidRDefault="006E51BF" w:rsidP="006E51BF">
      <w:pPr>
        <w:pStyle w:val="Heading2financials"/>
        <w:rPr>
          <w:lang w:eastAsia="en-AU"/>
        </w:rPr>
      </w:pPr>
      <w:bookmarkStart w:id="274" w:name="_Toc241068538"/>
      <w:bookmarkStart w:id="275" w:name="Independentauditorsreport"/>
      <w:r>
        <w:rPr>
          <w:lang w:eastAsia="en-AU"/>
        </w:rPr>
        <w:t>Independent auditor’s report</w:t>
      </w:r>
      <w:bookmarkEnd w:id="274"/>
    </w:p>
    <w:bookmarkEnd w:id="275"/>
    <w:p w14:paraId="3EE2911B" w14:textId="1C9375C6" w:rsidR="00023275" w:rsidRDefault="00023275" w:rsidP="00023275">
      <w:pPr>
        <w:pStyle w:val="ARBody"/>
        <w:rPr>
          <w:lang w:eastAsia="en-AU"/>
        </w:rPr>
      </w:pPr>
      <w:r>
        <w:rPr>
          <w:noProof/>
        </w:rPr>
        <w:drawing>
          <wp:inline distT="0" distB="0" distL="0" distR="0" wp14:anchorId="6019F310" wp14:editId="2662859E">
            <wp:extent cx="6190682" cy="8011660"/>
            <wp:effectExtent l="19050" t="19050" r="19685" b="27940"/>
            <wp:docPr id="834047931" name="Picture 11" descr="Independent auditor’s report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047931" name="Picture 11" descr="Independent auditor’s report page 1"/>
                    <pic:cNvPicPr/>
                  </pic:nvPicPr>
                  <pic:blipFill>
                    <a:blip r:embed="rId85" cstate="screen">
                      <a:extLst>
                        <a:ext uri="{28A0092B-C50C-407E-A947-70E740481C1C}">
                          <a14:useLocalDpi xmlns:a14="http://schemas.microsoft.com/office/drawing/2010/main"/>
                        </a:ext>
                      </a:extLst>
                    </a:blip>
                    <a:stretch>
                      <a:fillRect/>
                    </a:stretch>
                  </pic:blipFill>
                  <pic:spPr>
                    <a:xfrm>
                      <a:off x="0" y="0"/>
                      <a:ext cx="6198524" cy="8021809"/>
                    </a:xfrm>
                    <a:prstGeom prst="rect">
                      <a:avLst/>
                    </a:prstGeom>
                    <a:ln w="3175">
                      <a:solidFill>
                        <a:schemeClr val="tx1"/>
                      </a:solidFill>
                    </a:ln>
                  </pic:spPr>
                </pic:pic>
              </a:graphicData>
            </a:graphic>
          </wp:inline>
        </w:drawing>
      </w:r>
    </w:p>
    <w:p w14:paraId="03E918E1" w14:textId="2DA8F2BF" w:rsidR="00023275" w:rsidRPr="00023275" w:rsidRDefault="00023275" w:rsidP="00023275">
      <w:pPr>
        <w:pStyle w:val="ARBody"/>
      </w:pPr>
      <w:r>
        <w:rPr>
          <w:noProof/>
        </w:rPr>
        <w:drawing>
          <wp:inline distT="0" distB="0" distL="0" distR="0" wp14:anchorId="1A8DD9D4" wp14:editId="2E73AA8C">
            <wp:extent cx="6120130" cy="7920355"/>
            <wp:effectExtent l="19050" t="19050" r="13970" b="23495"/>
            <wp:docPr id="750115830" name="Picture 12" descr="Independent auditor’s report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115830" name="Picture 12" descr="Independent auditor’s report page 2"/>
                    <pic:cNvPicPr/>
                  </pic:nvPicPr>
                  <pic:blipFill>
                    <a:blip r:embed="rId86" cstate="screen">
                      <a:extLst>
                        <a:ext uri="{28A0092B-C50C-407E-A947-70E740481C1C}">
                          <a14:useLocalDpi xmlns:a14="http://schemas.microsoft.com/office/drawing/2010/main"/>
                        </a:ext>
                      </a:extLst>
                    </a:blip>
                    <a:stretch>
                      <a:fillRect/>
                    </a:stretch>
                  </pic:blipFill>
                  <pic:spPr>
                    <a:xfrm>
                      <a:off x="0" y="0"/>
                      <a:ext cx="6120130" cy="7920355"/>
                    </a:xfrm>
                    <a:prstGeom prst="rect">
                      <a:avLst/>
                    </a:prstGeom>
                    <a:ln w="3175">
                      <a:solidFill>
                        <a:schemeClr val="tx1"/>
                      </a:solidFill>
                    </a:ln>
                  </pic:spPr>
                </pic:pic>
              </a:graphicData>
            </a:graphic>
          </wp:inline>
        </w:drawing>
      </w:r>
      <w:r>
        <w:rPr>
          <w:noProof/>
        </w:rPr>
        <w:drawing>
          <wp:inline distT="0" distB="0" distL="0" distR="0" wp14:anchorId="4AACA048" wp14:editId="1927FF23">
            <wp:extent cx="6120130" cy="7920355"/>
            <wp:effectExtent l="19050" t="19050" r="13970" b="23495"/>
            <wp:docPr id="185059552" name="Picture 13" descr="Independent auditor’s report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59552" name="Picture 13" descr="Independent auditor’s report page 3"/>
                    <pic:cNvPicPr/>
                  </pic:nvPicPr>
                  <pic:blipFill>
                    <a:blip r:embed="rId87" cstate="screen">
                      <a:extLst>
                        <a:ext uri="{28A0092B-C50C-407E-A947-70E740481C1C}">
                          <a14:useLocalDpi xmlns:a14="http://schemas.microsoft.com/office/drawing/2010/main"/>
                        </a:ext>
                      </a:extLst>
                    </a:blip>
                    <a:stretch>
                      <a:fillRect/>
                    </a:stretch>
                  </pic:blipFill>
                  <pic:spPr>
                    <a:xfrm>
                      <a:off x="0" y="0"/>
                      <a:ext cx="6120130" cy="7920355"/>
                    </a:xfrm>
                    <a:prstGeom prst="rect">
                      <a:avLst/>
                    </a:prstGeom>
                    <a:ln w="3175">
                      <a:solidFill>
                        <a:schemeClr val="tx1"/>
                      </a:solidFill>
                    </a:ln>
                  </pic:spPr>
                </pic:pic>
              </a:graphicData>
            </a:graphic>
          </wp:inline>
        </w:drawing>
      </w:r>
      <w:r>
        <w:rPr>
          <w:noProof/>
        </w:rPr>
        <w:drawing>
          <wp:inline distT="0" distB="0" distL="0" distR="0" wp14:anchorId="691C1161" wp14:editId="55A43F94">
            <wp:extent cx="6120130" cy="7920355"/>
            <wp:effectExtent l="19050" t="19050" r="13970" b="23495"/>
            <wp:docPr id="1361514263" name="Picture 14" descr="Independent auditor’s report p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514263" name="Picture 14" descr="Independent auditor’s report page 4"/>
                    <pic:cNvPicPr/>
                  </pic:nvPicPr>
                  <pic:blipFill>
                    <a:blip r:embed="rId88" cstate="screen">
                      <a:extLst>
                        <a:ext uri="{28A0092B-C50C-407E-A947-70E740481C1C}">
                          <a14:useLocalDpi xmlns:a14="http://schemas.microsoft.com/office/drawing/2010/main"/>
                        </a:ext>
                      </a:extLst>
                    </a:blip>
                    <a:stretch>
                      <a:fillRect/>
                    </a:stretch>
                  </pic:blipFill>
                  <pic:spPr>
                    <a:xfrm>
                      <a:off x="0" y="0"/>
                      <a:ext cx="6120130" cy="7920355"/>
                    </a:xfrm>
                    <a:prstGeom prst="rect">
                      <a:avLst/>
                    </a:prstGeom>
                    <a:ln w="3175">
                      <a:solidFill>
                        <a:schemeClr val="tx1"/>
                      </a:solidFill>
                    </a:ln>
                  </pic:spPr>
                </pic:pic>
              </a:graphicData>
            </a:graphic>
          </wp:inline>
        </w:drawing>
      </w:r>
    </w:p>
    <w:p w14:paraId="15600A0E" w14:textId="77777777" w:rsidR="006E51BF" w:rsidRDefault="006E51BF">
      <w:pPr>
        <w:spacing w:after="0" w:line="240" w:lineRule="auto"/>
      </w:pPr>
    </w:p>
    <w:p w14:paraId="48189609" w14:textId="77777777" w:rsidR="006E51BF" w:rsidRDefault="006E51BF">
      <w:pPr>
        <w:spacing w:after="0" w:line="240" w:lineRule="auto"/>
      </w:pPr>
    </w:p>
    <w:p w14:paraId="559CC03D" w14:textId="206E7203" w:rsidR="006E51BF" w:rsidRDefault="006E51BF">
      <w:pPr>
        <w:spacing w:after="0" w:line="240" w:lineRule="auto"/>
      </w:pPr>
      <w:r>
        <w:br w:type="page"/>
      </w:r>
    </w:p>
    <w:p w14:paraId="7987CCAF" w14:textId="77777777" w:rsidR="006E51BF" w:rsidRDefault="006E51BF">
      <w:pPr>
        <w:pStyle w:val="Heading2financials"/>
      </w:pPr>
      <w:bookmarkStart w:id="276" w:name="_Toc241068539"/>
      <w:r w:rsidRPr="00370E0A">
        <w:t>Comprehensive operating statement for the financial year ended 30 June 2026</w:t>
      </w:r>
      <w:bookmarkEnd w:id="276"/>
    </w:p>
    <w:tbl>
      <w:tblPr>
        <w:tblStyle w:val="ARtable2"/>
        <w:tblW w:w="5000" w:type="pct"/>
        <w:tblLook w:val="00E0" w:firstRow="1" w:lastRow="1" w:firstColumn="1" w:lastColumn="0" w:noHBand="0" w:noVBand="0"/>
      </w:tblPr>
      <w:tblGrid>
        <w:gridCol w:w="5312"/>
        <w:gridCol w:w="1202"/>
        <w:gridCol w:w="1556"/>
        <w:gridCol w:w="1558"/>
      </w:tblGrid>
      <w:tr w:rsidR="006E51BF" w:rsidRPr="00FE0023" w14:paraId="3E81AE26" w14:textId="77777777" w:rsidTr="00E1009E">
        <w:trPr>
          <w:cnfStyle w:val="100000000000" w:firstRow="1" w:lastRow="0" w:firstColumn="0" w:lastColumn="0" w:oddVBand="0" w:evenVBand="0" w:oddHBand="0"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2759" w:type="pct"/>
            <w:shd w:val="clear" w:color="auto" w:fill="auto"/>
            <w:noWrap/>
            <w:hideMark/>
          </w:tcPr>
          <w:p w14:paraId="69C43E52" w14:textId="77777777" w:rsidR="006E51BF" w:rsidRPr="00FE0023" w:rsidRDefault="006E51BF">
            <w:pPr>
              <w:pStyle w:val="ARfintablecolhead"/>
              <w:rPr>
                <w:lang w:eastAsia="en-AU"/>
              </w:rPr>
            </w:pPr>
          </w:p>
        </w:tc>
        <w:tc>
          <w:tcPr>
            <w:tcW w:w="624" w:type="pct"/>
            <w:noWrap/>
            <w:tcMar>
              <w:left w:w="0" w:type="nil"/>
              <w:right w:w="0" w:type="nil"/>
            </w:tcMar>
            <w:hideMark/>
          </w:tcPr>
          <w:p w14:paraId="2897CD98" w14:textId="77777777" w:rsidR="006E51BF" w:rsidRPr="00FE0023" w:rsidRDefault="006E51BF">
            <w:pPr>
              <w:pStyle w:val="ARfintablecolheadright"/>
              <w:cnfStyle w:val="100000000000" w:firstRow="1" w:lastRow="0" w:firstColumn="0" w:lastColumn="0" w:oddVBand="0" w:evenVBand="0" w:oddHBand="0" w:evenHBand="0" w:firstRowFirstColumn="0" w:firstRowLastColumn="0" w:lastRowFirstColumn="0" w:lastRowLastColumn="0"/>
              <w:rPr>
                <w:rFonts w:ascii="Times New Roman" w:hAnsi="Times New Roman"/>
                <w:lang w:eastAsia="en-AU"/>
              </w:rPr>
            </w:pPr>
            <w:r w:rsidRPr="00FE0023">
              <w:rPr>
                <w:lang w:eastAsia="en-AU"/>
              </w:rPr>
              <w:t>Note</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62B71915" w14:textId="77777777" w:rsidR="006E51BF" w:rsidRPr="00FE0023" w:rsidRDefault="006E51BF">
            <w:pPr>
              <w:pStyle w:val="ARfintablecolheadright"/>
              <w:rPr>
                <w:lang w:eastAsia="en-AU"/>
              </w:rPr>
            </w:pPr>
            <w:r w:rsidRPr="00FE0023">
              <w:rPr>
                <w:lang w:eastAsia="en-AU"/>
              </w:rPr>
              <w:t>2026</w:t>
            </w:r>
          </w:p>
          <w:p w14:paraId="254A24CE" w14:textId="77777777" w:rsidR="006E51BF" w:rsidRPr="00FE0023" w:rsidRDefault="006E51BF">
            <w:pPr>
              <w:pStyle w:val="ARfintablecolheadright"/>
              <w:rPr>
                <w:lang w:eastAsia="en-AU"/>
              </w:rPr>
            </w:pPr>
            <w:r w:rsidRPr="00FE0023">
              <w:rPr>
                <w:lang w:eastAsia="en-AU"/>
              </w:rPr>
              <w:t>$M</w:t>
            </w:r>
          </w:p>
        </w:tc>
        <w:tc>
          <w:tcPr>
            <w:tcW w:w="809" w:type="pct"/>
            <w:noWrap/>
            <w:tcMar>
              <w:left w:w="0" w:type="nil"/>
              <w:right w:w="0" w:type="nil"/>
            </w:tcMar>
            <w:hideMark/>
          </w:tcPr>
          <w:p w14:paraId="2872B513" w14:textId="77777777" w:rsidR="006E51BF" w:rsidRPr="00FE0023"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FE0023">
              <w:rPr>
                <w:lang w:eastAsia="en-AU"/>
              </w:rPr>
              <w:t>2025</w:t>
            </w:r>
          </w:p>
          <w:p w14:paraId="53996342" w14:textId="77777777" w:rsidR="006E51BF" w:rsidRPr="00FE0023"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FE0023">
              <w:rPr>
                <w:lang w:eastAsia="en-AU"/>
              </w:rPr>
              <w:t>$M</w:t>
            </w:r>
          </w:p>
        </w:tc>
      </w:tr>
      <w:tr w:rsidR="006E51BF" w:rsidRPr="00FE0023" w14:paraId="47BA93D2"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shd w:val="clear" w:color="auto" w:fill="auto"/>
            <w:hideMark/>
          </w:tcPr>
          <w:p w14:paraId="1002B31C" w14:textId="77777777" w:rsidR="006E51BF" w:rsidRPr="00FE0023" w:rsidRDefault="006E51BF">
            <w:pPr>
              <w:pStyle w:val="ARfintabletextboldcoloured"/>
              <w:rPr>
                <w:lang w:eastAsia="en-AU"/>
              </w:rPr>
            </w:pPr>
            <w:r w:rsidRPr="00FE0023">
              <w:rPr>
                <w:lang w:eastAsia="en-AU"/>
              </w:rPr>
              <w:t>Revenue and income from transactions</w:t>
            </w:r>
          </w:p>
        </w:tc>
        <w:tc>
          <w:tcPr>
            <w:tcW w:w="624" w:type="pct"/>
            <w:noWrap/>
            <w:tcMar>
              <w:left w:w="0" w:type="nil"/>
              <w:right w:w="0" w:type="nil"/>
            </w:tcMar>
            <w:hideMark/>
          </w:tcPr>
          <w:p w14:paraId="529E01B4"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8" w:type="pct"/>
            <w:shd w:val="clear" w:color="auto" w:fill="auto"/>
            <w:noWrap/>
            <w:tcMar>
              <w:left w:w="0" w:type="nil"/>
              <w:right w:w="0" w:type="nil"/>
            </w:tcMar>
            <w:hideMark/>
          </w:tcPr>
          <w:p w14:paraId="12B429A4" w14:textId="77777777" w:rsidR="006E51BF" w:rsidRPr="00FE0023" w:rsidRDefault="006E51BF">
            <w:pPr>
              <w:pStyle w:val="ARfintabletextright"/>
              <w:rPr>
                <w:rFonts w:ascii="Times New Roman" w:hAnsi="Times New Roman"/>
                <w:lang w:eastAsia="en-AU"/>
              </w:rPr>
            </w:pPr>
          </w:p>
        </w:tc>
        <w:tc>
          <w:tcPr>
            <w:tcW w:w="809" w:type="pct"/>
            <w:noWrap/>
            <w:tcMar>
              <w:left w:w="0" w:type="nil"/>
              <w:right w:w="0" w:type="nil"/>
            </w:tcMar>
            <w:hideMark/>
          </w:tcPr>
          <w:p w14:paraId="24AE247D"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rFonts w:ascii="Times New Roman" w:hAnsi="Times New Roman"/>
                <w:lang w:eastAsia="en-AU"/>
              </w:rPr>
            </w:pPr>
          </w:p>
        </w:tc>
      </w:tr>
      <w:tr w:rsidR="006E51BF" w:rsidRPr="00FE0023" w14:paraId="40B6E603"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shd w:val="clear" w:color="auto" w:fill="auto"/>
            <w:hideMark/>
          </w:tcPr>
          <w:p w14:paraId="5BC5B2E8" w14:textId="77777777" w:rsidR="006E51BF" w:rsidRPr="00FE0023" w:rsidRDefault="006E51BF">
            <w:pPr>
              <w:pStyle w:val="ARfintabletext"/>
              <w:rPr>
                <w:lang w:eastAsia="en-AU"/>
              </w:rPr>
            </w:pPr>
            <w:r w:rsidRPr="00FE0023">
              <w:rPr>
                <w:lang w:eastAsia="en-AU"/>
              </w:rPr>
              <w:t>Output appropriations</w:t>
            </w:r>
          </w:p>
        </w:tc>
        <w:tc>
          <w:tcPr>
            <w:tcW w:w="624" w:type="pct"/>
            <w:noWrap/>
            <w:tcMar>
              <w:left w:w="0" w:type="nil"/>
              <w:right w:w="0" w:type="nil"/>
            </w:tcMar>
            <w:hideMark/>
          </w:tcPr>
          <w:p w14:paraId="4A6D6365"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2.3</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618AEFDB" w14:textId="77777777" w:rsidR="006E51BF" w:rsidRPr="00FE0023" w:rsidRDefault="006E51BF">
            <w:pPr>
              <w:pStyle w:val="ARfintabletextright"/>
              <w:rPr>
                <w:lang w:eastAsia="en-AU"/>
              </w:rPr>
            </w:pPr>
            <w:r w:rsidRPr="00FE0023">
              <w:rPr>
                <w:lang w:eastAsia="en-AU"/>
              </w:rPr>
              <w:t>5,902.2</w:t>
            </w:r>
          </w:p>
        </w:tc>
        <w:tc>
          <w:tcPr>
            <w:tcW w:w="809" w:type="pct"/>
            <w:noWrap/>
            <w:tcMar>
              <w:left w:w="0" w:type="nil"/>
              <w:right w:w="0" w:type="nil"/>
            </w:tcMar>
            <w:hideMark/>
          </w:tcPr>
          <w:p w14:paraId="2A20A06B"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6,307.1</w:t>
            </w:r>
          </w:p>
        </w:tc>
      </w:tr>
      <w:tr w:rsidR="006E51BF" w:rsidRPr="00FE0023" w14:paraId="697D0654"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shd w:val="clear" w:color="auto" w:fill="auto"/>
            <w:hideMark/>
          </w:tcPr>
          <w:p w14:paraId="43A2E352" w14:textId="77777777" w:rsidR="006E51BF" w:rsidRPr="00FE0023" w:rsidRDefault="006E51BF">
            <w:pPr>
              <w:pStyle w:val="ARfintabletext"/>
              <w:rPr>
                <w:lang w:eastAsia="en-AU"/>
              </w:rPr>
            </w:pPr>
            <w:r w:rsidRPr="00FE0023">
              <w:rPr>
                <w:lang w:eastAsia="en-AU"/>
              </w:rPr>
              <w:t>Special appropriations</w:t>
            </w:r>
          </w:p>
        </w:tc>
        <w:tc>
          <w:tcPr>
            <w:tcW w:w="624" w:type="pct"/>
            <w:noWrap/>
            <w:tcMar>
              <w:left w:w="0" w:type="nil"/>
              <w:right w:w="0" w:type="nil"/>
            </w:tcMar>
            <w:hideMark/>
          </w:tcPr>
          <w:p w14:paraId="5AF79FA6"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2.3</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68B47B7E" w14:textId="77777777" w:rsidR="006E51BF" w:rsidRPr="00FE0023" w:rsidRDefault="006E51BF">
            <w:pPr>
              <w:pStyle w:val="ARfintabletextright"/>
              <w:rPr>
                <w:lang w:eastAsia="en-AU"/>
              </w:rPr>
            </w:pPr>
            <w:r w:rsidRPr="00FE0023">
              <w:rPr>
                <w:lang w:eastAsia="en-AU"/>
              </w:rPr>
              <w:t>79.6</w:t>
            </w:r>
          </w:p>
        </w:tc>
        <w:tc>
          <w:tcPr>
            <w:tcW w:w="809" w:type="pct"/>
            <w:noWrap/>
            <w:tcMar>
              <w:left w:w="0" w:type="nil"/>
              <w:right w:w="0" w:type="nil"/>
            </w:tcMar>
            <w:hideMark/>
          </w:tcPr>
          <w:p w14:paraId="6EF288F5"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100.6</w:t>
            </w:r>
          </w:p>
        </w:tc>
      </w:tr>
      <w:tr w:rsidR="006E51BF" w:rsidRPr="00FE0023" w14:paraId="12B1AB4A"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shd w:val="clear" w:color="auto" w:fill="auto"/>
            <w:hideMark/>
          </w:tcPr>
          <w:p w14:paraId="7C68B0EF" w14:textId="77777777" w:rsidR="006E51BF" w:rsidRPr="00FE0023" w:rsidRDefault="006E51BF">
            <w:pPr>
              <w:pStyle w:val="ARfintabletext"/>
              <w:rPr>
                <w:lang w:eastAsia="en-AU"/>
              </w:rPr>
            </w:pPr>
            <w:r w:rsidRPr="00FE0023">
              <w:rPr>
                <w:lang w:eastAsia="en-AU"/>
              </w:rPr>
              <w:t>Rental income</w:t>
            </w:r>
          </w:p>
        </w:tc>
        <w:tc>
          <w:tcPr>
            <w:tcW w:w="624" w:type="pct"/>
            <w:noWrap/>
            <w:tcMar>
              <w:left w:w="0" w:type="nil"/>
              <w:right w:w="0" w:type="nil"/>
            </w:tcMar>
            <w:hideMark/>
          </w:tcPr>
          <w:p w14:paraId="5758BAA8"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2.4.1</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01FDA65D" w14:textId="77777777" w:rsidR="006E51BF" w:rsidRPr="00FE0023" w:rsidRDefault="006E51BF">
            <w:pPr>
              <w:pStyle w:val="ARfintabletextright"/>
              <w:rPr>
                <w:lang w:eastAsia="en-AU"/>
              </w:rPr>
            </w:pPr>
            <w:r w:rsidRPr="00FE0023">
              <w:rPr>
                <w:lang w:eastAsia="en-AU"/>
              </w:rPr>
              <w:t>625.6</w:t>
            </w:r>
          </w:p>
        </w:tc>
        <w:tc>
          <w:tcPr>
            <w:tcW w:w="809" w:type="pct"/>
            <w:noWrap/>
            <w:tcMar>
              <w:left w:w="0" w:type="nil"/>
              <w:right w:w="0" w:type="nil"/>
            </w:tcMar>
            <w:hideMark/>
          </w:tcPr>
          <w:p w14:paraId="7AE3DD67"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594.6</w:t>
            </w:r>
          </w:p>
        </w:tc>
      </w:tr>
      <w:tr w:rsidR="006E51BF" w:rsidRPr="00FE0023" w14:paraId="26526524"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tcBorders>
              <w:bottom w:val="single" w:sz="4" w:space="0" w:color="BFBFBF" w:themeColor="accent2"/>
            </w:tcBorders>
            <w:shd w:val="clear" w:color="auto" w:fill="auto"/>
            <w:hideMark/>
          </w:tcPr>
          <w:p w14:paraId="4504EB75" w14:textId="77777777" w:rsidR="006E51BF" w:rsidRPr="00FE0023" w:rsidRDefault="006E51BF">
            <w:pPr>
              <w:pStyle w:val="ARfintabletext"/>
              <w:rPr>
                <w:lang w:eastAsia="en-AU"/>
              </w:rPr>
            </w:pPr>
            <w:r w:rsidRPr="00FE0023">
              <w:rPr>
                <w:lang w:eastAsia="en-AU"/>
              </w:rPr>
              <w:t>Grants</w:t>
            </w:r>
          </w:p>
        </w:tc>
        <w:tc>
          <w:tcPr>
            <w:tcW w:w="624" w:type="pct"/>
            <w:tcBorders>
              <w:bottom w:val="single" w:sz="4" w:space="0" w:color="BFBFBF" w:themeColor="accent2"/>
            </w:tcBorders>
            <w:noWrap/>
            <w:tcMar>
              <w:left w:w="0" w:type="nil"/>
              <w:right w:w="0" w:type="nil"/>
            </w:tcMar>
            <w:hideMark/>
          </w:tcPr>
          <w:p w14:paraId="68C9BC78"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2.4.2</w:t>
            </w:r>
          </w:p>
        </w:tc>
        <w:tc>
          <w:tcPr>
            <w:cnfStyle w:val="000010000000" w:firstRow="0" w:lastRow="0" w:firstColumn="0" w:lastColumn="0" w:oddVBand="1" w:evenVBand="0" w:oddHBand="0" w:evenHBand="0" w:firstRowFirstColumn="0" w:firstRowLastColumn="0" w:lastRowFirstColumn="0" w:lastRowLastColumn="0"/>
            <w:tcW w:w="808" w:type="pct"/>
            <w:tcBorders>
              <w:bottom w:val="single" w:sz="4" w:space="0" w:color="BFBFBF" w:themeColor="accent2"/>
            </w:tcBorders>
            <w:noWrap/>
            <w:tcMar>
              <w:left w:w="0" w:type="nil"/>
              <w:right w:w="0" w:type="nil"/>
            </w:tcMar>
            <w:hideMark/>
          </w:tcPr>
          <w:p w14:paraId="1E50470D" w14:textId="77777777" w:rsidR="006E51BF" w:rsidRPr="00FE0023" w:rsidRDefault="006E51BF">
            <w:pPr>
              <w:pStyle w:val="ARfintabletextright"/>
              <w:rPr>
                <w:lang w:eastAsia="en-AU"/>
              </w:rPr>
            </w:pPr>
            <w:r w:rsidRPr="00FE0023">
              <w:rPr>
                <w:lang w:eastAsia="en-AU"/>
              </w:rPr>
              <w:t>341.8</w:t>
            </w:r>
          </w:p>
        </w:tc>
        <w:tc>
          <w:tcPr>
            <w:tcW w:w="809" w:type="pct"/>
            <w:tcBorders>
              <w:bottom w:val="single" w:sz="4" w:space="0" w:color="BFBFBF" w:themeColor="accent2"/>
            </w:tcBorders>
            <w:noWrap/>
            <w:tcMar>
              <w:left w:w="0" w:type="nil"/>
              <w:right w:w="0" w:type="nil"/>
            </w:tcMar>
            <w:hideMark/>
          </w:tcPr>
          <w:p w14:paraId="08C27014"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285.3</w:t>
            </w:r>
          </w:p>
        </w:tc>
      </w:tr>
      <w:tr w:rsidR="006E51BF" w:rsidRPr="00FE0023" w14:paraId="401143E9"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tcBorders>
              <w:top w:val="single" w:sz="4" w:space="0" w:color="BFBFBF" w:themeColor="accent2"/>
              <w:bottom w:val="single" w:sz="4" w:space="0" w:color="000000" w:themeColor="text1"/>
            </w:tcBorders>
            <w:shd w:val="clear" w:color="auto" w:fill="auto"/>
            <w:hideMark/>
          </w:tcPr>
          <w:p w14:paraId="41FEE08F" w14:textId="77777777" w:rsidR="006E51BF" w:rsidRPr="00FE0023" w:rsidRDefault="006E51BF">
            <w:pPr>
              <w:pStyle w:val="ARfintabletext"/>
              <w:rPr>
                <w:lang w:eastAsia="en-AU"/>
              </w:rPr>
            </w:pPr>
            <w:r w:rsidRPr="00FE0023">
              <w:rPr>
                <w:lang w:eastAsia="en-AU"/>
              </w:rPr>
              <w:t>Other income</w:t>
            </w:r>
          </w:p>
        </w:tc>
        <w:tc>
          <w:tcPr>
            <w:tcW w:w="624" w:type="pct"/>
            <w:tcBorders>
              <w:top w:val="single" w:sz="4" w:space="0" w:color="BFBFBF" w:themeColor="accent2"/>
              <w:bottom w:val="single" w:sz="4" w:space="0" w:color="000000" w:themeColor="text1"/>
            </w:tcBorders>
            <w:noWrap/>
            <w:tcMar>
              <w:left w:w="0" w:type="nil"/>
              <w:right w:w="0" w:type="nil"/>
            </w:tcMar>
            <w:hideMark/>
          </w:tcPr>
          <w:p w14:paraId="69F9968D"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left w:w="0" w:type="nil"/>
              <w:right w:w="0" w:type="nil"/>
            </w:tcMar>
            <w:hideMark/>
          </w:tcPr>
          <w:p w14:paraId="27119FCD" w14:textId="77777777" w:rsidR="006E51BF" w:rsidRPr="00FE0023" w:rsidRDefault="006E51BF">
            <w:pPr>
              <w:pStyle w:val="ARfintabletextright"/>
              <w:rPr>
                <w:lang w:eastAsia="en-AU"/>
              </w:rPr>
            </w:pPr>
            <w:r w:rsidRPr="00FE0023">
              <w:rPr>
                <w:lang w:eastAsia="en-AU"/>
              </w:rPr>
              <w:t>114.2</w:t>
            </w:r>
          </w:p>
        </w:tc>
        <w:tc>
          <w:tcPr>
            <w:tcW w:w="809" w:type="pct"/>
            <w:tcBorders>
              <w:top w:val="single" w:sz="4" w:space="0" w:color="BFBFBF" w:themeColor="accent2"/>
              <w:bottom w:val="single" w:sz="4" w:space="0" w:color="000000" w:themeColor="text1"/>
            </w:tcBorders>
            <w:noWrap/>
            <w:tcMar>
              <w:left w:w="0" w:type="nil"/>
              <w:right w:w="0" w:type="nil"/>
            </w:tcMar>
            <w:hideMark/>
          </w:tcPr>
          <w:p w14:paraId="6A2C499F"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54.2</w:t>
            </w:r>
          </w:p>
        </w:tc>
      </w:tr>
      <w:tr w:rsidR="006E51BF" w:rsidRPr="00FE0023" w14:paraId="2163451D"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tcBorders>
              <w:top w:val="single" w:sz="4" w:space="0" w:color="000000" w:themeColor="text1"/>
              <w:bottom w:val="single" w:sz="4" w:space="0" w:color="000000" w:themeColor="text1"/>
            </w:tcBorders>
            <w:shd w:val="clear" w:color="auto" w:fill="auto"/>
            <w:hideMark/>
          </w:tcPr>
          <w:p w14:paraId="716711BD" w14:textId="77777777" w:rsidR="006E51BF" w:rsidRPr="00FE0023" w:rsidRDefault="006E51BF">
            <w:pPr>
              <w:pStyle w:val="ARfintabletextbold"/>
              <w:rPr>
                <w:lang w:eastAsia="en-AU"/>
              </w:rPr>
            </w:pPr>
            <w:r w:rsidRPr="00FE0023">
              <w:rPr>
                <w:lang w:eastAsia="en-AU"/>
              </w:rPr>
              <w:t>Total revenue and income from transactions</w:t>
            </w:r>
          </w:p>
        </w:tc>
        <w:tc>
          <w:tcPr>
            <w:tcW w:w="624" w:type="pct"/>
            <w:tcBorders>
              <w:top w:val="single" w:sz="4" w:space="0" w:color="000000" w:themeColor="text1"/>
              <w:bottom w:val="single" w:sz="4" w:space="0" w:color="000000" w:themeColor="text1"/>
            </w:tcBorders>
            <w:noWrap/>
            <w:tcMar>
              <w:left w:w="0" w:type="nil"/>
              <w:right w:w="0" w:type="nil"/>
            </w:tcMar>
            <w:hideMark/>
          </w:tcPr>
          <w:p w14:paraId="1A208689"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left w:w="0" w:type="nil"/>
              <w:right w:w="0" w:type="nil"/>
            </w:tcMar>
            <w:hideMark/>
          </w:tcPr>
          <w:p w14:paraId="6CD5E772" w14:textId="77777777" w:rsidR="006E51BF" w:rsidRPr="00FE0023" w:rsidRDefault="006E51BF">
            <w:pPr>
              <w:pStyle w:val="ARfintabletextboldright"/>
              <w:rPr>
                <w:lang w:eastAsia="en-AU"/>
              </w:rPr>
            </w:pPr>
            <w:r w:rsidRPr="00FE0023">
              <w:rPr>
                <w:lang w:eastAsia="en-AU"/>
              </w:rPr>
              <w:t>7,063.4</w:t>
            </w:r>
          </w:p>
        </w:tc>
        <w:tc>
          <w:tcPr>
            <w:tcW w:w="809" w:type="pct"/>
            <w:tcBorders>
              <w:top w:val="single" w:sz="4" w:space="0" w:color="000000" w:themeColor="text1"/>
              <w:bottom w:val="single" w:sz="4" w:space="0" w:color="000000" w:themeColor="text1"/>
            </w:tcBorders>
            <w:noWrap/>
            <w:tcMar>
              <w:left w:w="0" w:type="nil"/>
              <w:right w:w="0" w:type="nil"/>
            </w:tcMar>
            <w:hideMark/>
          </w:tcPr>
          <w:p w14:paraId="651CEAA9" w14:textId="77777777" w:rsidR="006E51BF" w:rsidRPr="00FE0023" w:rsidRDefault="006E51BF">
            <w:pPr>
              <w:pStyle w:val="ARfintabletextbold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7,341.8</w:t>
            </w:r>
          </w:p>
        </w:tc>
      </w:tr>
      <w:tr w:rsidR="006E51BF" w:rsidRPr="00FE0023" w14:paraId="76945A11"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tcBorders>
              <w:top w:val="single" w:sz="4" w:space="0" w:color="000000" w:themeColor="text1"/>
            </w:tcBorders>
            <w:shd w:val="clear" w:color="auto" w:fill="auto"/>
            <w:hideMark/>
          </w:tcPr>
          <w:p w14:paraId="785F3CB4" w14:textId="77777777" w:rsidR="006E51BF" w:rsidRPr="00FE0023" w:rsidRDefault="006E51BF">
            <w:pPr>
              <w:pStyle w:val="ARfintabletextboldcoloured"/>
              <w:rPr>
                <w:lang w:eastAsia="en-AU"/>
              </w:rPr>
            </w:pPr>
            <w:r w:rsidRPr="00FE0023">
              <w:rPr>
                <w:lang w:eastAsia="en-AU"/>
              </w:rPr>
              <w:t>Expenses from transactions</w:t>
            </w:r>
          </w:p>
        </w:tc>
        <w:tc>
          <w:tcPr>
            <w:tcW w:w="624" w:type="pct"/>
            <w:tcBorders>
              <w:top w:val="single" w:sz="4" w:space="0" w:color="000000" w:themeColor="text1"/>
            </w:tcBorders>
            <w:noWrap/>
            <w:tcMar>
              <w:left w:w="0" w:type="nil"/>
              <w:right w:w="0" w:type="nil"/>
            </w:tcMar>
            <w:hideMark/>
          </w:tcPr>
          <w:p w14:paraId="78A8B70E" w14:textId="77777777" w:rsidR="006E51BF" w:rsidRPr="00EA3E97"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000000" w:themeColor="text1"/>
            </w:tcBorders>
            <w:shd w:val="clear" w:color="auto" w:fill="auto"/>
            <w:noWrap/>
            <w:tcMar>
              <w:left w:w="0" w:type="nil"/>
              <w:right w:w="0" w:type="nil"/>
            </w:tcMar>
            <w:hideMark/>
          </w:tcPr>
          <w:p w14:paraId="7B83830D" w14:textId="77777777" w:rsidR="006E51BF" w:rsidRPr="00EA3E97" w:rsidRDefault="006E51BF">
            <w:pPr>
              <w:pStyle w:val="ARfintabletextright"/>
            </w:pPr>
          </w:p>
        </w:tc>
        <w:tc>
          <w:tcPr>
            <w:tcW w:w="809" w:type="pct"/>
            <w:tcBorders>
              <w:top w:val="single" w:sz="4" w:space="0" w:color="000000" w:themeColor="text1"/>
            </w:tcBorders>
            <w:noWrap/>
            <w:tcMar>
              <w:left w:w="0" w:type="nil"/>
              <w:right w:w="0" w:type="nil"/>
            </w:tcMar>
            <w:hideMark/>
          </w:tcPr>
          <w:p w14:paraId="7F478A5F" w14:textId="77777777" w:rsidR="006E51BF" w:rsidRPr="00EA3E97" w:rsidRDefault="006E51BF">
            <w:pPr>
              <w:pStyle w:val="ARfintabletextright"/>
              <w:cnfStyle w:val="000000000000" w:firstRow="0" w:lastRow="0" w:firstColumn="0" w:lastColumn="0" w:oddVBand="0" w:evenVBand="0" w:oddHBand="0" w:evenHBand="0" w:firstRowFirstColumn="0" w:firstRowLastColumn="0" w:lastRowFirstColumn="0" w:lastRowLastColumn="0"/>
            </w:pPr>
          </w:p>
        </w:tc>
      </w:tr>
      <w:tr w:rsidR="006E51BF" w:rsidRPr="00FE0023" w14:paraId="72D112CC"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shd w:val="clear" w:color="auto" w:fill="auto"/>
            <w:hideMark/>
          </w:tcPr>
          <w:p w14:paraId="34502C3F" w14:textId="77777777" w:rsidR="006E51BF" w:rsidRPr="00FE0023" w:rsidRDefault="006E51BF">
            <w:pPr>
              <w:pStyle w:val="ARfintabletext"/>
              <w:rPr>
                <w:lang w:eastAsia="en-AU"/>
              </w:rPr>
            </w:pPr>
            <w:r w:rsidRPr="00FE0023">
              <w:rPr>
                <w:lang w:eastAsia="en-AU"/>
              </w:rPr>
              <w:t>Employee benefits</w:t>
            </w:r>
          </w:p>
        </w:tc>
        <w:tc>
          <w:tcPr>
            <w:tcW w:w="624" w:type="pct"/>
            <w:noWrap/>
            <w:tcMar>
              <w:left w:w="0" w:type="nil"/>
              <w:right w:w="0" w:type="nil"/>
            </w:tcMar>
            <w:hideMark/>
          </w:tcPr>
          <w:p w14:paraId="02BE4049"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3.1.1(a)</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57B4EA5D" w14:textId="77777777" w:rsidR="006E51BF" w:rsidRPr="00FE0023" w:rsidRDefault="006E51BF">
            <w:pPr>
              <w:pStyle w:val="ARfintabletextright"/>
              <w:rPr>
                <w:lang w:eastAsia="en-AU"/>
              </w:rPr>
            </w:pPr>
            <w:r w:rsidRPr="00FE0023">
              <w:rPr>
                <w:lang w:eastAsia="en-AU"/>
              </w:rPr>
              <w:t>1,077.8</w:t>
            </w:r>
          </w:p>
        </w:tc>
        <w:tc>
          <w:tcPr>
            <w:tcW w:w="809" w:type="pct"/>
            <w:noWrap/>
            <w:tcMar>
              <w:left w:w="0" w:type="nil"/>
              <w:right w:w="0" w:type="nil"/>
            </w:tcMar>
            <w:hideMark/>
          </w:tcPr>
          <w:p w14:paraId="528FD451"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1,087.6</w:t>
            </w:r>
          </w:p>
        </w:tc>
      </w:tr>
      <w:tr w:rsidR="006E51BF" w:rsidRPr="00FE0023" w14:paraId="73793910"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shd w:val="clear" w:color="auto" w:fill="auto"/>
            <w:hideMark/>
          </w:tcPr>
          <w:p w14:paraId="59CB011D" w14:textId="77777777" w:rsidR="006E51BF" w:rsidRPr="00FE0023" w:rsidRDefault="006E51BF">
            <w:pPr>
              <w:pStyle w:val="ARfintabletext"/>
              <w:rPr>
                <w:lang w:eastAsia="en-AU"/>
              </w:rPr>
            </w:pPr>
            <w:r w:rsidRPr="00FE0023">
              <w:rPr>
                <w:lang w:eastAsia="en-AU"/>
              </w:rPr>
              <w:t>Depreciation and amortisation</w:t>
            </w:r>
          </w:p>
        </w:tc>
        <w:tc>
          <w:tcPr>
            <w:tcW w:w="624" w:type="pct"/>
            <w:noWrap/>
            <w:tcMar>
              <w:left w:w="0" w:type="nil"/>
              <w:right w:w="0" w:type="nil"/>
            </w:tcMar>
            <w:hideMark/>
          </w:tcPr>
          <w:p w14:paraId="5BF689AE"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5.1.2</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1C0CB161" w14:textId="77777777" w:rsidR="006E51BF" w:rsidRPr="00FE0023" w:rsidRDefault="006E51BF">
            <w:pPr>
              <w:pStyle w:val="ARfintabletextright"/>
              <w:rPr>
                <w:lang w:eastAsia="en-AU"/>
              </w:rPr>
            </w:pPr>
            <w:r w:rsidRPr="00FE0023">
              <w:rPr>
                <w:lang w:eastAsia="en-AU"/>
              </w:rPr>
              <w:t>646.6</w:t>
            </w:r>
          </w:p>
        </w:tc>
        <w:tc>
          <w:tcPr>
            <w:tcW w:w="809" w:type="pct"/>
            <w:noWrap/>
            <w:tcMar>
              <w:left w:w="0" w:type="nil"/>
              <w:right w:w="0" w:type="nil"/>
            </w:tcMar>
            <w:hideMark/>
          </w:tcPr>
          <w:p w14:paraId="2DFD8F8F"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535.4</w:t>
            </w:r>
          </w:p>
        </w:tc>
      </w:tr>
      <w:tr w:rsidR="006E51BF" w:rsidRPr="00FE0023" w14:paraId="0D2C0772"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shd w:val="clear" w:color="auto" w:fill="auto"/>
            <w:hideMark/>
          </w:tcPr>
          <w:p w14:paraId="0C8F0C08" w14:textId="77777777" w:rsidR="006E51BF" w:rsidRPr="00FE0023" w:rsidRDefault="006E51BF">
            <w:pPr>
              <w:pStyle w:val="ARfintabletext"/>
              <w:rPr>
                <w:lang w:eastAsia="en-AU"/>
              </w:rPr>
            </w:pPr>
            <w:r w:rsidRPr="00FE0023">
              <w:rPr>
                <w:lang w:eastAsia="en-AU"/>
              </w:rPr>
              <w:t>Grants and other transfers</w:t>
            </w:r>
          </w:p>
        </w:tc>
        <w:tc>
          <w:tcPr>
            <w:tcW w:w="624" w:type="pct"/>
            <w:noWrap/>
            <w:tcMar>
              <w:left w:w="0" w:type="nil"/>
              <w:right w:w="0" w:type="nil"/>
            </w:tcMar>
            <w:hideMark/>
          </w:tcPr>
          <w:p w14:paraId="66CD5410"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3.1.2</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6E1EDCC0" w14:textId="77777777" w:rsidR="006E51BF" w:rsidRPr="00FE0023" w:rsidRDefault="006E51BF">
            <w:pPr>
              <w:pStyle w:val="ARfintabletextright"/>
              <w:rPr>
                <w:lang w:eastAsia="en-AU"/>
              </w:rPr>
            </w:pPr>
            <w:r w:rsidRPr="00FE0023">
              <w:rPr>
                <w:lang w:eastAsia="en-AU"/>
              </w:rPr>
              <w:t>4,707.2</w:t>
            </w:r>
          </w:p>
        </w:tc>
        <w:tc>
          <w:tcPr>
            <w:tcW w:w="809" w:type="pct"/>
            <w:noWrap/>
            <w:tcMar>
              <w:left w:w="0" w:type="nil"/>
              <w:right w:w="0" w:type="nil"/>
            </w:tcMar>
            <w:hideMark/>
          </w:tcPr>
          <w:p w14:paraId="3107A404"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4,952.9</w:t>
            </w:r>
          </w:p>
        </w:tc>
      </w:tr>
      <w:tr w:rsidR="006E51BF" w:rsidRPr="00FE0023" w14:paraId="63899903"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tcBorders>
              <w:bottom w:val="single" w:sz="4" w:space="0" w:color="BFBFBF" w:themeColor="accent2"/>
            </w:tcBorders>
            <w:shd w:val="clear" w:color="auto" w:fill="auto"/>
            <w:hideMark/>
          </w:tcPr>
          <w:p w14:paraId="6D2659A8" w14:textId="77777777" w:rsidR="006E51BF" w:rsidRPr="00FE0023" w:rsidRDefault="006E51BF">
            <w:pPr>
              <w:pStyle w:val="ARfintabletext"/>
              <w:rPr>
                <w:lang w:eastAsia="en-AU"/>
              </w:rPr>
            </w:pPr>
            <w:r w:rsidRPr="00FE0023">
              <w:rPr>
                <w:lang w:eastAsia="en-AU"/>
              </w:rPr>
              <w:t>Other operating expenses</w:t>
            </w:r>
          </w:p>
        </w:tc>
        <w:tc>
          <w:tcPr>
            <w:tcW w:w="624" w:type="pct"/>
            <w:tcBorders>
              <w:bottom w:val="single" w:sz="4" w:space="0" w:color="BFBFBF" w:themeColor="accent2"/>
            </w:tcBorders>
            <w:noWrap/>
            <w:tcMar>
              <w:left w:w="0" w:type="nil"/>
              <w:right w:w="0" w:type="nil"/>
            </w:tcMar>
            <w:hideMark/>
          </w:tcPr>
          <w:p w14:paraId="734A798A"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3.1.3</w:t>
            </w:r>
          </w:p>
        </w:tc>
        <w:tc>
          <w:tcPr>
            <w:cnfStyle w:val="000010000000" w:firstRow="0" w:lastRow="0" w:firstColumn="0" w:lastColumn="0" w:oddVBand="1" w:evenVBand="0" w:oddHBand="0" w:evenHBand="0" w:firstRowFirstColumn="0" w:firstRowLastColumn="0" w:lastRowFirstColumn="0" w:lastRowLastColumn="0"/>
            <w:tcW w:w="808" w:type="pct"/>
            <w:tcBorders>
              <w:bottom w:val="single" w:sz="4" w:space="0" w:color="BFBFBF" w:themeColor="accent2"/>
            </w:tcBorders>
            <w:noWrap/>
            <w:tcMar>
              <w:left w:w="0" w:type="nil"/>
              <w:right w:w="0" w:type="nil"/>
            </w:tcMar>
            <w:hideMark/>
          </w:tcPr>
          <w:p w14:paraId="0B25988D" w14:textId="77777777" w:rsidR="006E51BF" w:rsidRPr="00FE0023" w:rsidRDefault="006E51BF">
            <w:pPr>
              <w:pStyle w:val="ARfintabletextright"/>
              <w:rPr>
                <w:lang w:eastAsia="en-AU"/>
              </w:rPr>
            </w:pPr>
            <w:r w:rsidRPr="00FE0023">
              <w:rPr>
                <w:lang w:eastAsia="en-AU"/>
              </w:rPr>
              <w:t>634.9</w:t>
            </w:r>
          </w:p>
        </w:tc>
        <w:tc>
          <w:tcPr>
            <w:tcW w:w="809" w:type="pct"/>
            <w:tcBorders>
              <w:bottom w:val="single" w:sz="4" w:space="0" w:color="BFBFBF" w:themeColor="accent2"/>
            </w:tcBorders>
            <w:noWrap/>
            <w:tcMar>
              <w:left w:w="0" w:type="nil"/>
              <w:right w:w="0" w:type="nil"/>
            </w:tcMar>
            <w:hideMark/>
          </w:tcPr>
          <w:p w14:paraId="3C59FE9D"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693.4</w:t>
            </w:r>
          </w:p>
        </w:tc>
      </w:tr>
      <w:tr w:rsidR="006E51BF" w:rsidRPr="00FE0023" w14:paraId="14B198D7"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tcBorders>
              <w:top w:val="single" w:sz="4" w:space="0" w:color="BFBFBF" w:themeColor="accent2"/>
              <w:bottom w:val="single" w:sz="4" w:space="0" w:color="000000" w:themeColor="text1"/>
            </w:tcBorders>
            <w:shd w:val="clear" w:color="auto" w:fill="auto"/>
            <w:hideMark/>
          </w:tcPr>
          <w:p w14:paraId="30BFE8F9" w14:textId="77777777" w:rsidR="006E51BF" w:rsidRPr="00FE0023" w:rsidRDefault="006E51BF">
            <w:pPr>
              <w:pStyle w:val="ARfintabletext"/>
              <w:rPr>
                <w:lang w:eastAsia="en-AU"/>
              </w:rPr>
            </w:pPr>
            <w:r w:rsidRPr="00FE0023">
              <w:rPr>
                <w:lang w:eastAsia="en-AU"/>
              </w:rPr>
              <w:t xml:space="preserve">Property management expenses </w:t>
            </w:r>
          </w:p>
        </w:tc>
        <w:tc>
          <w:tcPr>
            <w:tcW w:w="624" w:type="pct"/>
            <w:tcBorders>
              <w:top w:val="single" w:sz="4" w:space="0" w:color="BFBFBF" w:themeColor="accent2"/>
              <w:bottom w:val="single" w:sz="4" w:space="0" w:color="000000" w:themeColor="text1"/>
            </w:tcBorders>
            <w:noWrap/>
            <w:tcMar>
              <w:left w:w="0" w:type="nil"/>
              <w:right w:w="0" w:type="nil"/>
            </w:tcMar>
            <w:hideMark/>
          </w:tcPr>
          <w:p w14:paraId="4D596CFA"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3.1.4</w:t>
            </w: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left w:w="0" w:type="nil"/>
              <w:right w:w="0" w:type="nil"/>
            </w:tcMar>
            <w:hideMark/>
          </w:tcPr>
          <w:p w14:paraId="7AB68876" w14:textId="77777777" w:rsidR="006E51BF" w:rsidRPr="00FE0023" w:rsidRDefault="006E51BF">
            <w:pPr>
              <w:pStyle w:val="ARfintabletextright"/>
              <w:rPr>
                <w:lang w:eastAsia="en-AU"/>
              </w:rPr>
            </w:pPr>
            <w:r w:rsidRPr="00FE0023">
              <w:rPr>
                <w:lang w:eastAsia="en-AU"/>
              </w:rPr>
              <w:t>494.5</w:t>
            </w:r>
          </w:p>
        </w:tc>
        <w:tc>
          <w:tcPr>
            <w:tcW w:w="809" w:type="pct"/>
            <w:tcBorders>
              <w:top w:val="single" w:sz="4" w:space="0" w:color="BFBFBF" w:themeColor="accent2"/>
              <w:bottom w:val="single" w:sz="4" w:space="0" w:color="000000" w:themeColor="text1"/>
            </w:tcBorders>
            <w:noWrap/>
            <w:tcMar>
              <w:left w:w="0" w:type="nil"/>
              <w:right w:w="0" w:type="nil"/>
            </w:tcMar>
            <w:hideMark/>
          </w:tcPr>
          <w:p w14:paraId="479E084F"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542.2</w:t>
            </w:r>
          </w:p>
        </w:tc>
      </w:tr>
      <w:tr w:rsidR="006E51BF" w:rsidRPr="00FE0023" w14:paraId="3979DA26"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tcBorders>
              <w:top w:val="single" w:sz="4" w:space="0" w:color="000000" w:themeColor="text1"/>
              <w:bottom w:val="single" w:sz="4" w:space="0" w:color="000000" w:themeColor="text1"/>
            </w:tcBorders>
            <w:shd w:val="clear" w:color="auto" w:fill="auto"/>
            <w:hideMark/>
          </w:tcPr>
          <w:p w14:paraId="7C413749" w14:textId="77777777" w:rsidR="006E51BF" w:rsidRPr="00FE0023" w:rsidRDefault="006E51BF">
            <w:pPr>
              <w:pStyle w:val="ARfintabletextbold"/>
              <w:rPr>
                <w:lang w:eastAsia="en-AU"/>
              </w:rPr>
            </w:pPr>
            <w:r w:rsidRPr="00FE0023">
              <w:rPr>
                <w:lang w:eastAsia="en-AU"/>
              </w:rPr>
              <w:t>Total expenses from transactions</w:t>
            </w:r>
          </w:p>
        </w:tc>
        <w:tc>
          <w:tcPr>
            <w:tcW w:w="624" w:type="pct"/>
            <w:tcBorders>
              <w:top w:val="single" w:sz="4" w:space="0" w:color="000000" w:themeColor="text1"/>
              <w:bottom w:val="single" w:sz="4" w:space="0" w:color="000000" w:themeColor="text1"/>
            </w:tcBorders>
            <w:noWrap/>
            <w:tcMar>
              <w:left w:w="0" w:type="nil"/>
              <w:right w:w="0" w:type="nil"/>
            </w:tcMar>
            <w:hideMark/>
          </w:tcPr>
          <w:p w14:paraId="6CF2DAC9"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left w:w="0" w:type="nil"/>
              <w:right w:w="0" w:type="nil"/>
            </w:tcMar>
            <w:hideMark/>
          </w:tcPr>
          <w:p w14:paraId="3BC0472F" w14:textId="77777777" w:rsidR="006E51BF" w:rsidRPr="00FE0023" w:rsidRDefault="006E51BF">
            <w:pPr>
              <w:pStyle w:val="ARfintabletextboldright"/>
              <w:rPr>
                <w:lang w:eastAsia="en-AU"/>
              </w:rPr>
            </w:pPr>
            <w:r w:rsidRPr="00FE0023">
              <w:rPr>
                <w:lang w:eastAsia="en-AU"/>
              </w:rPr>
              <w:t>7,561.0</w:t>
            </w:r>
          </w:p>
        </w:tc>
        <w:tc>
          <w:tcPr>
            <w:tcW w:w="809" w:type="pct"/>
            <w:tcBorders>
              <w:top w:val="single" w:sz="4" w:space="0" w:color="000000" w:themeColor="text1"/>
              <w:bottom w:val="single" w:sz="4" w:space="0" w:color="000000" w:themeColor="text1"/>
            </w:tcBorders>
            <w:noWrap/>
            <w:tcMar>
              <w:left w:w="0" w:type="nil"/>
              <w:right w:w="0" w:type="nil"/>
            </w:tcMar>
            <w:hideMark/>
          </w:tcPr>
          <w:p w14:paraId="5A779AC8" w14:textId="77777777" w:rsidR="006E51BF" w:rsidRPr="00FE0023" w:rsidRDefault="006E51BF">
            <w:pPr>
              <w:pStyle w:val="ARfintabletextbold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7,811.5</w:t>
            </w:r>
          </w:p>
        </w:tc>
      </w:tr>
      <w:tr w:rsidR="006E51BF" w:rsidRPr="00FE0023" w14:paraId="082A8A6A"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tcBorders>
              <w:top w:val="single" w:sz="4" w:space="0" w:color="000000" w:themeColor="text1"/>
              <w:bottom w:val="single" w:sz="4" w:space="0" w:color="000000" w:themeColor="text1"/>
            </w:tcBorders>
            <w:shd w:val="clear" w:color="auto" w:fill="auto"/>
            <w:hideMark/>
          </w:tcPr>
          <w:p w14:paraId="12B2C870" w14:textId="77777777" w:rsidR="006E51BF" w:rsidRPr="00FE0023" w:rsidRDefault="006E51BF">
            <w:pPr>
              <w:pStyle w:val="ARfintabletextbold"/>
              <w:rPr>
                <w:lang w:eastAsia="en-AU"/>
              </w:rPr>
            </w:pPr>
            <w:r w:rsidRPr="00FE0023">
              <w:rPr>
                <w:lang w:eastAsia="en-AU"/>
              </w:rPr>
              <w:t>Net result from transactions (net operating balance)</w:t>
            </w:r>
          </w:p>
        </w:tc>
        <w:tc>
          <w:tcPr>
            <w:tcW w:w="624" w:type="pct"/>
            <w:tcBorders>
              <w:top w:val="single" w:sz="4" w:space="0" w:color="000000" w:themeColor="text1"/>
              <w:bottom w:val="single" w:sz="4" w:space="0" w:color="000000" w:themeColor="text1"/>
            </w:tcBorders>
            <w:noWrap/>
            <w:tcMar>
              <w:left w:w="0" w:type="nil"/>
              <w:right w:w="0" w:type="nil"/>
            </w:tcMar>
            <w:hideMark/>
          </w:tcPr>
          <w:p w14:paraId="6FC021FD"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left w:w="0" w:type="nil"/>
              <w:right w:w="0" w:type="nil"/>
            </w:tcMar>
            <w:hideMark/>
          </w:tcPr>
          <w:p w14:paraId="38E4D4AE" w14:textId="77777777" w:rsidR="006E51BF" w:rsidRPr="00FE0023" w:rsidRDefault="006E51BF">
            <w:pPr>
              <w:pStyle w:val="ARfintabletextboldright"/>
              <w:rPr>
                <w:lang w:eastAsia="en-AU"/>
              </w:rPr>
            </w:pPr>
            <w:r w:rsidRPr="00FE0023">
              <w:rPr>
                <w:lang w:eastAsia="en-AU"/>
              </w:rPr>
              <w:t>(497.6)</w:t>
            </w:r>
          </w:p>
        </w:tc>
        <w:tc>
          <w:tcPr>
            <w:tcW w:w="809" w:type="pct"/>
            <w:tcBorders>
              <w:top w:val="single" w:sz="4" w:space="0" w:color="000000" w:themeColor="text1"/>
              <w:bottom w:val="single" w:sz="4" w:space="0" w:color="000000" w:themeColor="text1"/>
            </w:tcBorders>
            <w:noWrap/>
            <w:tcMar>
              <w:left w:w="0" w:type="nil"/>
              <w:right w:w="0" w:type="nil"/>
            </w:tcMar>
            <w:hideMark/>
          </w:tcPr>
          <w:p w14:paraId="3DBFF519" w14:textId="77777777" w:rsidR="006E51BF" w:rsidRPr="00FE0023" w:rsidRDefault="006E51BF">
            <w:pPr>
              <w:pStyle w:val="ARfintabletextbold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(469.7)</w:t>
            </w:r>
          </w:p>
        </w:tc>
      </w:tr>
      <w:tr w:rsidR="006E51BF" w:rsidRPr="00FE0023" w14:paraId="35908ABA"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tcBorders>
              <w:top w:val="single" w:sz="4" w:space="0" w:color="000000" w:themeColor="text1"/>
            </w:tcBorders>
            <w:shd w:val="clear" w:color="auto" w:fill="auto"/>
            <w:hideMark/>
          </w:tcPr>
          <w:p w14:paraId="630CBF2D" w14:textId="77777777" w:rsidR="006E51BF" w:rsidRPr="00FE0023" w:rsidRDefault="006E51BF">
            <w:pPr>
              <w:pStyle w:val="ARfintabletextboldcoloured"/>
              <w:rPr>
                <w:lang w:eastAsia="en-AU"/>
              </w:rPr>
            </w:pPr>
            <w:r w:rsidRPr="00FE0023">
              <w:rPr>
                <w:lang w:eastAsia="en-AU"/>
              </w:rPr>
              <w:t>Other economic flows included in net result</w:t>
            </w:r>
          </w:p>
        </w:tc>
        <w:tc>
          <w:tcPr>
            <w:tcW w:w="624" w:type="pct"/>
            <w:tcBorders>
              <w:top w:val="single" w:sz="4" w:space="0" w:color="000000" w:themeColor="text1"/>
            </w:tcBorders>
            <w:noWrap/>
            <w:tcMar>
              <w:left w:w="0" w:type="nil"/>
              <w:right w:w="0" w:type="nil"/>
            </w:tcMar>
            <w:hideMark/>
          </w:tcPr>
          <w:p w14:paraId="7B0F03CD"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000000" w:themeColor="text1"/>
            </w:tcBorders>
            <w:noWrap/>
            <w:tcMar>
              <w:left w:w="0" w:type="nil"/>
              <w:right w:w="0" w:type="nil"/>
            </w:tcMar>
            <w:hideMark/>
          </w:tcPr>
          <w:p w14:paraId="0A11C33E" w14:textId="77777777" w:rsidR="006E51BF" w:rsidRPr="00FE0023" w:rsidRDefault="006E51BF">
            <w:pPr>
              <w:pStyle w:val="ARfintabletextright"/>
              <w:rPr>
                <w:rFonts w:ascii="Times New Roman" w:hAnsi="Times New Roman"/>
                <w:lang w:eastAsia="en-AU"/>
              </w:rPr>
            </w:pPr>
          </w:p>
        </w:tc>
        <w:tc>
          <w:tcPr>
            <w:tcW w:w="809" w:type="pct"/>
            <w:tcBorders>
              <w:top w:val="single" w:sz="4" w:space="0" w:color="000000" w:themeColor="text1"/>
            </w:tcBorders>
            <w:noWrap/>
            <w:tcMar>
              <w:left w:w="0" w:type="nil"/>
              <w:right w:w="0" w:type="nil"/>
            </w:tcMar>
            <w:hideMark/>
          </w:tcPr>
          <w:p w14:paraId="667BC70F"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rFonts w:ascii="Times New Roman" w:hAnsi="Times New Roman"/>
                <w:lang w:eastAsia="en-AU"/>
              </w:rPr>
            </w:pPr>
          </w:p>
        </w:tc>
      </w:tr>
      <w:tr w:rsidR="006E51BF" w:rsidRPr="00FE0023" w14:paraId="06E73885"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shd w:val="clear" w:color="auto" w:fill="auto"/>
            <w:hideMark/>
          </w:tcPr>
          <w:p w14:paraId="0526DA37" w14:textId="77777777" w:rsidR="006E51BF" w:rsidRPr="00FE0023" w:rsidRDefault="006E51BF">
            <w:pPr>
              <w:pStyle w:val="ARfintabletext"/>
              <w:rPr>
                <w:lang w:eastAsia="en-AU"/>
              </w:rPr>
            </w:pPr>
            <w:r w:rsidRPr="00FE0023">
              <w:rPr>
                <w:lang w:eastAsia="en-AU"/>
              </w:rPr>
              <w:t>Net gain/(loss) on non-financial assets</w:t>
            </w:r>
          </w:p>
        </w:tc>
        <w:tc>
          <w:tcPr>
            <w:tcW w:w="624" w:type="pct"/>
            <w:noWrap/>
            <w:tcMar>
              <w:left w:w="0" w:type="nil"/>
              <w:right w:w="0" w:type="nil"/>
            </w:tcMar>
            <w:hideMark/>
          </w:tcPr>
          <w:p w14:paraId="3E8E1EE3"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9.2(a)</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6D43B910" w14:textId="77777777" w:rsidR="006E51BF" w:rsidRPr="00FE0023" w:rsidRDefault="006E51BF">
            <w:pPr>
              <w:pStyle w:val="ARfintabletextright"/>
              <w:rPr>
                <w:lang w:eastAsia="en-AU"/>
              </w:rPr>
            </w:pPr>
            <w:r w:rsidRPr="00FE0023">
              <w:rPr>
                <w:lang w:eastAsia="en-AU"/>
              </w:rPr>
              <w:t>(3.6)</w:t>
            </w:r>
          </w:p>
        </w:tc>
        <w:tc>
          <w:tcPr>
            <w:tcW w:w="809" w:type="pct"/>
            <w:noWrap/>
            <w:tcMar>
              <w:left w:w="0" w:type="nil"/>
              <w:right w:w="0" w:type="nil"/>
            </w:tcMar>
            <w:hideMark/>
          </w:tcPr>
          <w:p w14:paraId="5A1F8968"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(6.5)</w:t>
            </w:r>
          </w:p>
        </w:tc>
      </w:tr>
      <w:tr w:rsidR="006E51BF" w:rsidRPr="00FE0023" w14:paraId="522A713B"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tcBorders>
              <w:bottom w:val="single" w:sz="4" w:space="0" w:color="BFBFBF" w:themeColor="accent2"/>
            </w:tcBorders>
            <w:shd w:val="clear" w:color="auto" w:fill="auto"/>
            <w:hideMark/>
          </w:tcPr>
          <w:p w14:paraId="6F7002B5" w14:textId="77777777" w:rsidR="006E51BF" w:rsidRPr="00FE0023" w:rsidRDefault="006E51BF">
            <w:pPr>
              <w:pStyle w:val="ARfintabletext"/>
              <w:rPr>
                <w:lang w:eastAsia="en-AU"/>
              </w:rPr>
            </w:pPr>
            <w:r w:rsidRPr="00FE0023">
              <w:rPr>
                <w:lang w:eastAsia="en-AU"/>
              </w:rPr>
              <w:t>Net gain/(loss) on financial instruments</w:t>
            </w:r>
          </w:p>
        </w:tc>
        <w:tc>
          <w:tcPr>
            <w:tcW w:w="624" w:type="pct"/>
            <w:tcBorders>
              <w:bottom w:val="single" w:sz="4" w:space="0" w:color="BFBFBF" w:themeColor="accent2"/>
            </w:tcBorders>
            <w:noWrap/>
            <w:tcMar>
              <w:left w:w="0" w:type="nil"/>
              <w:right w:w="0" w:type="nil"/>
            </w:tcMar>
            <w:hideMark/>
          </w:tcPr>
          <w:p w14:paraId="3724C307"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9.2(b)</w:t>
            </w:r>
          </w:p>
        </w:tc>
        <w:tc>
          <w:tcPr>
            <w:cnfStyle w:val="000010000000" w:firstRow="0" w:lastRow="0" w:firstColumn="0" w:lastColumn="0" w:oddVBand="1" w:evenVBand="0" w:oddHBand="0" w:evenHBand="0" w:firstRowFirstColumn="0" w:firstRowLastColumn="0" w:lastRowFirstColumn="0" w:lastRowLastColumn="0"/>
            <w:tcW w:w="808" w:type="pct"/>
            <w:tcBorders>
              <w:bottom w:val="single" w:sz="4" w:space="0" w:color="BFBFBF" w:themeColor="accent2"/>
            </w:tcBorders>
            <w:noWrap/>
            <w:tcMar>
              <w:left w:w="0" w:type="nil"/>
              <w:right w:w="0" w:type="nil"/>
            </w:tcMar>
            <w:hideMark/>
          </w:tcPr>
          <w:p w14:paraId="185AC554" w14:textId="77777777" w:rsidR="006E51BF" w:rsidRPr="00FE0023" w:rsidRDefault="006E51BF">
            <w:pPr>
              <w:pStyle w:val="ARfintabletextright"/>
              <w:rPr>
                <w:lang w:eastAsia="en-AU"/>
              </w:rPr>
            </w:pPr>
            <w:r w:rsidRPr="00FE0023">
              <w:rPr>
                <w:lang w:eastAsia="en-AU"/>
              </w:rPr>
              <w:t>1.2</w:t>
            </w:r>
          </w:p>
        </w:tc>
        <w:tc>
          <w:tcPr>
            <w:tcW w:w="809" w:type="pct"/>
            <w:tcBorders>
              <w:bottom w:val="single" w:sz="4" w:space="0" w:color="BFBFBF" w:themeColor="accent2"/>
            </w:tcBorders>
            <w:noWrap/>
            <w:tcMar>
              <w:left w:w="0" w:type="nil"/>
              <w:right w:w="0" w:type="nil"/>
            </w:tcMar>
            <w:hideMark/>
          </w:tcPr>
          <w:p w14:paraId="6D50DC90"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3.2</w:t>
            </w:r>
          </w:p>
        </w:tc>
      </w:tr>
      <w:tr w:rsidR="006E51BF" w:rsidRPr="00FE0023" w14:paraId="57F165A9"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tcBorders>
              <w:top w:val="single" w:sz="4" w:space="0" w:color="BFBFBF" w:themeColor="accent2"/>
              <w:bottom w:val="single" w:sz="4" w:space="0" w:color="000000" w:themeColor="text1"/>
            </w:tcBorders>
            <w:shd w:val="clear" w:color="auto" w:fill="auto"/>
            <w:hideMark/>
          </w:tcPr>
          <w:p w14:paraId="4146B415" w14:textId="77777777" w:rsidR="006E51BF" w:rsidRPr="00FE0023" w:rsidRDefault="006E51BF">
            <w:pPr>
              <w:pStyle w:val="ARfintabletext"/>
              <w:rPr>
                <w:lang w:eastAsia="en-AU"/>
              </w:rPr>
            </w:pPr>
            <w:r w:rsidRPr="00FE0023">
              <w:rPr>
                <w:lang w:eastAsia="en-AU"/>
              </w:rPr>
              <w:t>Other gains/(losses) from other economic flows</w:t>
            </w:r>
          </w:p>
        </w:tc>
        <w:tc>
          <w:tcPr>
            <w:tcW w:w="624" w:type="pct"/>
            <w:tcBorders>
              <w:top w:val="single" w:sz="4" w:space="0" w:color="BFBFBF" w:themeColor="accent2"/>
              <w:bottom w:val="single" w:sz="4" w:space="0" w:color="000000" w:themeColor="text1"/>
            </w:tcBorders>
            <w:noWrap/>
            <w:tcMar>
              <w:left w:w="0" w:type="nil"/>
              <w:right w:w="0" w:type="nil"/>
            </w:tcMar>
            <w:hideMark/>
          </w:tcPr>
          <w:p w14:paraId="507766B0"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9.2(c)</w:t>
            </w: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left w:w="0" w:type="nil"/>
              <w:right w:w="0" w:type="nil"/>
            </w:tcMar>
            <w:hideMark/>
          </w:tcPr>
          <w:p w14:paraId="0FAB5EB5" w14:textId="77777777" w:rsidR="006E51BF" w:rsidRPr="00FE0023" w:rsidRDefault="006E51BF">
            <w:pPr>
              <w:pStyle w:val="ARfintabletextright"/>
              <w:rPr>
                <w:lang w:eastAsia="en-AU"/>
              </w:rPr>
            </w:pPr>
            <w:r w:rsidRPr="00FE0023">
              <w:rPr>
                <w:lang w:eastAsia="en-AU"/>
              </w:rPr>
              <w:t>37.9</w:t>
            </w:r>
          </w:p>
        </w:tc>
        <w:tc>
          <w:tcPr>
            <w:tcW w:w="809" w:type="pct"/>
            <w:tcBorders>
              <w:top w:val="single" w:sz="4" w:space="0" w:color="BFBFBF" w:themeColor="accent2"/>
              <w:bottom w:val="single" w:sz="4" w:space="0" w:color="000000" w:themeColor="text1"/>
            </w:tcBorders>
            <w:noWrap/>
            <w:tcMar>
              <w:left w:w="0" w:type="nil"/>
              <w:right w:w="0" w:type="nil"/>
            </w:tcMar>
            <w:hideMark/>
          </w:tcPr>
          <w:p w14:paraId="3C5D0764"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(49.2)</w:t>
            </w:r>
          </w:p>
        </w:tc>
      </w:tr>
      <w:tr w:rsidR="006E51BF" w:rsidRPr="00FE0023" w14:paraId="79602C33"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tcBorders>
              <w:top w:val="single" w:sz="4" w:space="0" w:color="000000" w:themeColor="text1"/>
              <w:bottom w:val="single" w:sz="4" w:space="0" w:color="000000" w:themeColor="text1"/>
            </w:tcBorders>
            <w:shd w:val="clear" w:color="auto" w:fill="auto"/>
            <w:hideMark/>
          </w:tcPr>
          <w:p w14:paraId="62D5F888" w14:textId="77777777" w:rsidR="006E51BF" w:rsidRPr="00FE0023" w:rsidRDefault="006E51BF">
            <w:pPr>
              <w:pStyle w:val="ARfintabletextbold"/>
              <w:rPr>
                <w:lang w:eastAsia="en-AU"/>
              </w:rPr>
            </w:pPr>
            <w:r w:rsidRPr="00FE0023">
              <w:rPr>
                <w:lang w:eastAsia="en-AU"/>
              </w:rPr>
              <w:t>Total other economic flows included in net result</w:t>
            </w:r>
          </w:p>
        </w:tc>
        <w:tc>
          <w:tcPr>
            <w:tcW w:w="624" w:type="pct"/>
            <w:tcBorders>
              <w:top w:val="single" w:sz="4" w:space="0" w:color="000000" w:themeColor="text1"/>
              <w:bottom w:val="single" w:sz="4" w:space="0" w:color="000000" w:themeColor="text1"/>
            </w:tcBorders>
            <w:noWrap/>
            <w:tcMar>
              <w:left w:w="0" w:type="nil"/>
              <w:right w:w="0" w:type="nil"/>
            </w:tcMar>
            <w:hideMark/>
          </w:tcPr>
          <w:p w14:paraId="45AC6813"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left w:w="0" w:type="nil"/>
              <w:right w:w="0" w:type="nil"/>
            </w:tcMar>
            <w:hideMark/>
          </w:tcPr>
          <w:p w14:paraId="0221859C" w14:textId="77777777" w:rsidR="006E51BF" w:rsidRPr="00FE0023" w:rsidRDefault="006E51BF">
            <w:pPr>
              <w:pStyle w:val="ARfintabletextboldright"/>
              <w:rPr>
                <w:lang w:eastAsia="en-AU"/>
              </w:rPr>
            </w:pPr>
            <w:r w:rsidRPr="00FE0023">
              <w:rPr>
                <w:lang w:eastAsia="en-AU"/>
              </w:rPr>
              <w:t>35.5</w:t>
            </w:r>
          </w:p>
        </w:tc>
        <w:tc>
          <w:tcPr>
            <w:tcW w:w="809" w:type="pct"/>
            <w:tcBorders>
              <w:top w:val="single" w:sz="4" w:space="0" w:color="000000" w:themeColor="text1"/>
              <w:bottom w:val="single" w:sz="4" w:space="0" w:color="000000" w:themeColor="text1"/>
            </w:tcBorders>
            <w:noWrap/>
            <w:tcMar>
              <w:left w:w="0" w:type="nil"/>
              <w:right w:w="0" w:type="nil"/>
            </w:tcMar>
            <w:hideMark/>
          </w:tcPr>
          <w:p w14:paraId="5B0F69F1" w14:textId="77777777" w:rsidR="006E51BF" w:rsidRPr="00FE0023" w:rsidRDefault="006E51BF">
            <w:pPr>
              <w:pStyle w:val="ARfintabletextbold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(52.5)</w:t>
            </w:r>
          </w:p>
        </w:tc>
      </w:tr>
      <w:tr w:rsidR="006E51BF" w:rsidRPr="00FE0023" w14:paraId="0D998304"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tcBorders>
              <w:top w:val="single" w:sz="4" w:space="0" w:color="000000" w:themeColor="text1"/>
              <w:bottom w:val="single" w:sz="4" w:space="0" w:color="000000" w:themeColor="text1"/>
            </w:tcBorders>
            <w:shd w:val="clear" w:color="auto" w:fill="auto"/>
            <w:hideMark/>
          </w:tcPr>
          <w:p w14:paraId="798C95B6" w14:textId="77777777" w:rsidR="006E51BF" w:rsidRPr="00FE0023" w:rsidRDefault="006E51BF">
            <w:pPr>
              <w:pStyle w:val="ARfintabletextbold"/>
              <w:rPr>
                <w:lang w:eastAsia="en-AU"/>
              </w:rPr>
            </w:pPr>
            <w:r w:rsidRPr="00FE0023">
              <w:rPr>
                <w:lang w:eastAsia="en-AU"/>
              </w:rPr>
              <w:t>Net result</w:t>
            </w:r>
          </w:p>
        </w:tc>
        <w:tc>
          <w:tcPr>
            <w:tcW w:w="624" w:type="pct"/>
            <w:tcBorders>
              <w:top w:val="single" w:sz="4" w:space="0" w:color="000000" w:themeColor="text1"/>
              <w:bottom w:val="single" w:sz="4" w:space="0" w:color="000000" w:themeColor="text1"/>
            </w:tcBorders>
            <w:noWrap/>
            <w:tcMar>
              <w:left w:w="0" w:type="nil"/>
              <w:right w:w="0" w:type="nil"/>
            </w:tcMar>
            <w:hideMark/>
          </w:tcPr>
          <w:p w14:paraId="21586A9E"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left w:w="0" w:type="nil"/>
              <w:right w:w="0" w:type="nil"/>
            </w:tcMar>
            <w:hideMark/>
          </w:tcPr>
          <w:p w14:paraId="57FF00D8" w14:textId="77777777" w:rsidR="006E51BF" w:rsidRPr="00FE0023" w:rsidRDefault="006E51BF">
            <w:pPr>
              <w:pStyle w:val="ARfintabletextboldright"/>
              <w:rPr>
                <w:lang w:eastAsia="en-AU"/>
              </w:rPr>
            </w:pPr>
            <w:r w:rsidRPr="00FE0023">
              <w:rPr>
                <w:lang w:eastAsia="en-AU"/>
              </w:rPr>
              <w:t>(462.1)</w:t>
            </w:r>
          </w:p>
        </w:tc>
        <w:tc>
          <w:tcPr>
            <w:tcW w:w="809" w:type="pct"/>
            <w:tcBorders>
              <w:top w:val="single" w:sz="4" w:space="0" w:color="000000" w:themeColor="text1"/>
              <w:bottom w:val="single" w:sz="4" w:space="0" w:color="000000" w:themeColor="text1"/>
            </w:tcBorders>
            <w:noWrap/>
            <w:tcMar>
              <w:left w:w="0" w:type="nil"/>
              <w:right w:w="0" w:type="nil"/>
            </w:tcMar>
            <w:hideMark/>
          </w:tcPr>
          <w:p w14:paraId="6CD04950" w14:textId="77777777" w:rsidR="006E51BF" w:rsidRPr="00FE0023" w:rsidRDefault="006E51BF">
            <w:pPr>
              <w:pStyle w:val="ARfintabletextbold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(522.2)</w:t>
            </w:r>
          </w:p>
        </w:tc>
      </w:tr>
      <w:tr w:rsidR="006E51BF" w:rsidRPr="00FE0023" w14:paraId="58FAF264"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tcBorders>
              <w:top w:val="single" w:sz="4" w:space="0" w:color="000000" w:themeColor="text1"/>
            </w:tcBorders>
            <w:shd w:val="clear" w:color="auto" w:fill="auto"/>
            <w:hideMark/>
          </w:tcPr>
          <w:p w14:paraId="5543FB28" w14:textId="77777777" w:rsidR="006E51BF" w:rsidRPr="00FE0023" w:rsidRDefault="006E51BF">
            <w:pPr>
              <w:pStyle w:val="ARfintabletextbold"/>
              <w:rPr>
                <w:lang w:eastAsia="en-AU"/>
              </w:rPr>
            </w:pPr>
            <w:r w:rsidRPr="00FE0023">
              <w:rPr>
                <w:lang w:eastAsia="en-AU"/>
              </w:rPr>
              <w:t xml:space="preserve">Other economic flows </w:t>
            </w:r>
            <w:r w:rsidRPr="00D56104">
              <w:rPr>
                <w:bCs/>
                <w:lang w:eastAsia="en-AU"/>
              </w:rPr>
              <w:t>–</w:t>
            </w:r>
            <w:r w:rsidRPr="00FE0023">
              <w:rPr>
                <w:lang w:eastAsia="en-AU"/>
              </w:rPr>
              <w:t xml:space="preserve"> other comprehensive income</w:t>
            </w:r>
          </w:p>
        </w:tc>
        <w:tc>
          <w:tcPr>
            <w:tcW w:w="624" w:type="pct"/>
            <w:tcBorders>
              <w:top w:val="single" w:sz="4" w:space="0" w:color="000000" w:themeColor="text1"/>
            </w:tcBorders>
            <w:noWrap/>
            <w:tcMar>
              <w:left w:w="0" w:type="nil"/>
              <w:right w:w="0" w:type="nil"/>
            </w:tcMar>
            <w:hideMark/>
          </w:tcPr>
          <w:p w14:paraId="2C070B0B" w14:textId="77777777" w:rsidR="006E51BF" w:rsidRPr="00EA3E97"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000000" w:themeColor="text1"/>
            </w:tcBorders>
            <w:shd w:val="clear" w:color="auto" w:fill="auto"/>
            <w:noWrap/>
            <w:tcMar>
              <w:left w:w="0" w:type="nil"/>
              <w:right w:w="0" w:type="nil"/>
            </w:tcMar>
            <w:hideMark/>
          </w:tcPr>
          <w:p w14:paraId="253F72D9" w14:textId="77777777" w:rsidR="006E51BF" w:rsidRPr="00EA3E97" w:rsidRDefault="006E51BF">
            <w:pPr>
              <w:pStyle w:val="ARfintabletextright"/>
            </w:pPr>
          </w:p>
        </w:tc>
        <w:tc>
          <w:tcPr>
            <w:tcW w:w="809" w:type="pct"/>
            <w:tcBorders>
              <w:top w:val="single" w:sz="4" w:space="0" w:color="000000" w:themeColor="text1"/>
            </w:tcBorders>
            <w:noWrap/>
            <w:tcMar>
              <w:left w:w="0" w:type="nil"/>
              <w:right w:w="0" w:type="nil"/>
            </w:tcMar>
            <w:hideMark/>
          </w:tcPr>
          <w:p w14:paraId="0E25BE1C" w14:textId="77777777" w:rsidR="006E51BF" w:rsidRPr="00EA3E97" w:rsidRDefault="006E51BF">
            <w:pPr>
              <w:pStyle w:val="ARfintabletextright"/>
              <w:cnfStyle w:val="000000000000" w:firstRow="0" w:lastRow="0" w:firstColumn="0" w:lastColumn="0" w:oddVBand="0" w:evenVBand="0" w:oddHBand="0" w:evenHBand="0" w:firstRowFirstColumn="0" w:firstRowLastColumn="0" w:lastRowFirstColumn="0" w:lastRowLastColumn="0"/>
            </w:pPr>
          </w:p>
        </w:tc>
      </w:tr>
      <w:tr w:rsidR="006E51BF" w:rsidRPr="00FE0023" w14:paraId="477D8B44"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shd w:val="clear" w:color="auto" w:fill="auto"/>
            <w:hideMark/>
          </w:tcPr>
          <w:p w14:paraId="2E31C557" w14:textId="77777777" w:rsidR="006E51BF" w:rsidRPr="00FE0023" w:rsidRDefault="006E51BF">
            <w:pPr>
              <w:pStyle w:val="ARfintabletextboldcoloured"/>
              <w:rPr>
                <w:lang w:eastAsia="en-AU"/>
              </w:rPr>
            </w:pPr>
            <w:r w:rsidRPr="00FE0023">
              <w:rPr>
                <w:lang w:eastAsia="en-AU"/>
              </w:rPr>
              <w:t>Items that will not be reclassified to net result</w:t>
            </w:r>
          </w:p>
        </w:tc>
        <w:tc>
          <w:tcPr>
            <w:tcW w:w="624" w:type="pct"/>
            <w:noWrap/>
            <w:tcMar>
              <w:left w:w="0" w:type="nil"/>
              <w:right w:w="0" w:type="nil"/>
            </w:tcMar>
            <w:hideMark/>
          </w:tcPr>
          <w:p w14:paraId="466C5A5F" w14:textId="77777777" w:rsidR="006E51BF" w:rsidRPr="00EA3E97"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shd w:val="clear" w:color="auto" w:fill="auto"/>
            <w:noWrap/>
            <w:tcMar>
              <w:left w:w="0" w:type="nil"/>
              <w:right w:w="0" w:type="nil"/>
            </w:tcMar>
            <w:hideMark/>
          </w:tcPr>
          <w:p w14:paraId="45D3B817" w14:textId="77777777" w:rsidR="006E51BF" w:rsidRPr="00EA3E97" w:rsidRDefault="006E51BF">
            <w:pPr>
              <w:pStyle w:val="ARfintabletextright"/>
            </w:pPr>
          </w:p>
        </w:tc>
        <w:tc>
          <w:tcPr>
            <w:tcW w:w="809" w:type="pct"/>
            <w:noWrap/>
            <w:tcMar>
              <w:left w:w="0" w:type="nil"/>
              <w:right w:w="0" w:type="nil"/>
            </w:tcMar>
            <w:hideMark/>
          </w:tcPr>
          <w:p w14:paraId="664A326E" w14:textId="77777777" w:rsidR="006E51BF" w:rsidRPr="00EA3E97" w:rsidRDefault="006E51BF">
            <w:pPr>
              <w:pStyle w:val="ARfintabletextright"/>
              <w:cnfStyle w:val="000000000000" w:firstRow="0" w:lastRow="0" w:firstColumn="0" w:lastColumn="0" w:oddVBand="0" w:evenVBand="0" w:oddHBand="0" w:evenHBand="0" w:firstRowFirstColumn="0" w:firstRowLastColumn="0" w:lastRowFirstColumn="0" w:lastRowLastColumn="0"/>
            </w:pPr>
          </w:p>
        </w:tc>
      </w:tr>
      <w:tr w:rsidR="006E51BF" w:rsidRPr="00FE0023" w14:paraId="65D9CE79"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tcBorders>
              <w:bottom w:val="single" w:sz="4" w:space="0" w:color="BFBFBF" w:themeColor="accent2"/>
            </w:tcBorders>
            <w:shd w:val="clear" w:color="auto" w:fill="auto"/>
            <w:hideMark/>
          </w:tcPr>
          <w:p w14:paraId="3654795C" w14:textId="77777777" w:rsidR="006E51BF" w:rsidRPr="00FE0023" w:rsidRDefault="006E51BF">
            <w:pPr>
              <w:pStyle w:val="ARfintabletext"/>
              <w:rPr>
                <w:lang w:eastAsia="en-AU"/>
              </w:rPr>
            </w:pPr>
            <w:r w:rsidRPr="00FE0023">
              <w:rPr>
                <w:lang w:eastAsia="en-AU"/>
              </w:rPr>
              <w:t>Changes in physical asset revaluation surplus</w:t>
            </w:r>
          </w:p>
        </w:tc>
        <w:tc>
          <w:tcPr>
            <w:tcW w:w="624" w:type="pct"/>
            <w:tcBorders>
              <w:bottom w:val="single" w:sz="4" w:space="0" w:color="BFBFBF" w:themeColor="accent2"/>
            </w:tcBorders>
            <w:noWrap/>
            <w:tcMar>
              <w:left w:w="0" w:type="nil"/>
              <w:right w:w="0" w:type="nil"/>
            </w:tcMar>
            <w:hideMark/>
          </w:tcPr>
          <w:p w14:paraId="61C0871A" w14:textId="77777777" w:rsidR="006E51BF" w:rsidRPr="00EA3E97"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EA3E97">
              <w:t>9.3(b)</w:t>
            </w:r>
          </w:p>
        </w:tc>
        <w:tc>
          <w:tcPr>
            <w:cnfStyle w:val="000010000000" w:firstRow="0" w:lastRow="0" w:firstColumn="0" w:lastColumn="0" w:oddVBand="1" w:evenVBand="0" w:oddHBand="0" w:evenHBand="0" w:firstRowFirstColumn="0" w:firstRowLastColumn="0" w:lastRowFirstColumn="0" w:lastRowLastColumn="0"/>
            <w:tcW w:w="808" w:type="pct"/>
            <w:tcBorders>
              <w:bottom w:val="single" w:sz="4" w:space="0" w:color="BFBFBF" w:themeColor="accent2"/>
            </w:tcBorders>
            <w:noWrap/>
            <w:tcMar>
              <w:left w:w="0" w:type="nil"/>
              <w:right w:w="0" w:type="nil"/>
            </w:tcMar>
            <w:hideMark/>
          </w:tcPr>
          <w:p w14:paraId="320BD1A1" w14:textId="77777777" w:rsidR="006E51BF" w:rsidRPr="00EA3E97" w:rsidRDefault="006E51BF">
            <w:pPr>
              <w:pStyle w:val="ARfintabletextright"/>
            </w:pPr>
            <w:r w:rsidRPr="00EA3E97">
              <w:t>43.3</w:t>
            </w:r>
          </w:p>
        </w:tc>
        <w:tc>
          <w:tcPr>
            <w:tcW w:w="809" w:type="pct"/>
            <w:tcBorders>
              <w:bottom w:val="single" w:sz="4" w:space="0" w:color="BFBFBF" w:themeColor="accent2"/>
            </w:tcBorders>
            <w:noWrap/>
            <w:tcMar>
              <w:left w:w="0" w:type="nil"/>
              <w:right w:w="0" w:type="nil"/>
            </w:tcMar>
            <w:hideMark/>
          </w:tcPr>
          <w:p w14:paraId="0A75D785" w14:textId="77777777" w:rsidR="006E51BF" w:rsidRPr="00EA3E97"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EA3E97">
              <w:t>(1.7)</w:t>
            </w:r>
          </w:p>
        </w:tc>
      </w:tr>
      <w:tr w:rsidR="006E51BF" w:rsidRPr="00FE0023" w14:paraId="181AE8C0"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tcBorders>
              <w:top w:val="single" w:sz="4" w:space="0" w:color="BFBFBF" w:themeColor="accent2"/>
              <w:bottom w:val="single" w:sz="4" w:space="0" w:color="000000" w:themeColor="text1"/>
            </w:tcBorders>
            <w:shd w:val="clear" w:color="auto" w:fill="auto"/>
            <w:hideMark/>
          </w:tcPr>
          <w:p w14:paraId="6FD2EAE5" w14:textId="77777777" w:rsidR="006E51BF" w:rsidRPr="00FE0023" w:rsidRDefault="006E51BF">
            <w:pPr>
              <w:pStyle w:val="ARfintabletext"/>
              <w:rPr>
                <w:lang w:eastAsia="en-AU"/>
              </w:rPr>
            </w:pPr>
            <w:r w:rsidRPr="00FE0023">
              <w:rPr>
                <w:lang w:eastAsia="en-AU"/>
              </w:rPr>
              <w:t>Remeasurement of superannuation defined benefit plans</w:t>
            </w:r>
          </w:p>
        </w:tc>
        <w:tc>
          <w:tcPr>
            <w:tcW w:w="624" w:type="pct"/>
            <w:tcBorders>
              <w:top w:val="single" w:sz="4" w:space="0" w:color="BFBFBF" w:themeColor="accent2"/>
              <w:bottom w:val="single" w:sz="4" w:space="0" w:color="000000" w:themeColor="text1"/>
            </w:tcBorders>
            <w:noWrap/>
            <w:tcMar>
              <w:left w:w="0" w:type="nil"/>
              <w:right w:w="0" w:type="nil"/>
            </w:tcMar>
            <w:hideMark/>
          </w:tcPr>
          <w:p w14:paraId="098A4576"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9.3(a)</w:t>
            </w: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left w:w="0" w:type="nil"/>
              <w:right w:w="0" w:type="nil"/>
            </w:tcMar>
            <w:hideMark/>
          </w:tcPr>
          <w:p w14:paraId="1897737F" w14:textId="77777777" w:rsidR="006E51BF" w:rsidRPr="00FE0023" w:rsidRDefault="006E51BF">
            <w:pPr>
              <w:pStyle w:val="ARfintabletextright"/>
              <w:rPr>
                <w:lang w:eastAsia="en-AU"/>
              </w:rPr>
            </w:pPr>
            <w:r w:rsidRPr="00FE0023">
              <w:rPr>
                <w:lang w:eastAsia="en-AU"/>
              </w:rPr>
              <w:t>0.7</w:t>
            </w:r>
          </w:p>
        </w:tc>
        <w:tc>
          <w:tcPr>
            <w:tcW w:w="809" w:type="pct"/>
            <w:tcBorders>
              <w:top w:val="single" w:sz="4" w:space="0" w:color="BFBFBF" w:themeColor="accent2"/>
              <w:bottom w:val="single" w:sz="4" w:space="0" w:color="000000" w:themeColor="text1"/>
            </w:tcBorders>
            <w:noWrap/>
            <w:tcMar>
              <w:left w:w="0" w:type="nil"/>
              <w:right w:w="0" w:type="nil"/>
            </w:tcMar>
            <w:hideMark/>
          </w:tcPr>
          <w:p w14:paraId="05368863"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(1.2)</w:t>
            </w:r>
          </w:p>
        </w:tc>
      </w:tr>
      <w:tr w:rsidR="006E51BF" w:rsidRPr="00FE0023" w14:paraId="75142578"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59" w:type="pct"/>
            <w:tcBorders>
              <w:top w:val="single" w:sz="4" w:space="0" w:color="000000" w:themeColor="text1"/>
              <w:bottom w:val="single" w:sz="4" w:space="0" w:color="000000" w:themeColor="text1"/>
            </w:tcBorders>
            <w:shd w:val="clear" w:color="auto" w:fill="auto"/>
            <w:hideMark/>
          </w:tcPr>
          <w:p w14:paraId="5B5FDCB9" w14:textId="77777777" w:rsidR="006E51BF" w:rsidRPr="00FE0023" w:rsidRDefault="006E51BF">
            <w:pPr>
              <w:pStyle w:val="ARfintabletextbold"/>
              <w:rPr>
                <w:lang w:eastAsia="en-AU"/>
              </w:rPr>
            </w:pPr>
            <w:r w:rsidRPr="00FE0023">
              <w:rPr>
                <w:lang w:eastAsia="en-AU"/>
              </w:rPr>
              <w:t xml:space="preserve">Total other economic flows </w:t>
            </w:r>
            <w:r>
              <w:rPr>
                <w:lang w:eastAsia="en-AU"/>
              </w:rPr>
              <w:t>–</w:t>
            </w:r>
            <w:r w:rsidRPr="00FE0023">
              <w:rPr>
                <w:lang w:eastAsia="en-AU"/>
              </w:rPr>
              <w:t xml:space="preserve"> other comprehensive income</w:t>
            </w:r>
          </w:p>
        </w:tc>
        <w:tc>
          <w:tcPr>
            <w:tcW w:w="624" w:type="pct"/>
            <w:tcBorders>
              <w:top w:val="single" w:sz="4" w:space="0" w:color="000000" w:themeColor="text1"/>
              <w:bottom w:val="single" w:sz="4" w:space="0" w:color="000000" w:themeColor="text1"/>
            </w:tcBorders>
            <w:noWrap/>
            <w:tcMar>
              <w:left w:w="0" w:type="nil"/>
              <w:right w:w="0" w:type="nil"/>
            </w:tcMar>
            <w:hideMark/>
          </w:tcPr>
          <w:p w14:paraId="07A39049" w14:textId="77777777" w:rsidR="006E51BF" w:rsidRPr="00FE002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left w:w="0" w:type="nil"/>
              <w:right w:w="0" w:type="nil"/>
            </w:tcMar>
            <w:hideMark/>
          </w:tcPr>
          <w:p w14:paraId="28E2E34A" w14:textId="77777777" w:rsidR="006E51BF" w:rsidRPr="00FE0023" w:rsidRDefault="006E51BF">
            <w:pPr>
              <w:pStyle w:val="ARfintabletextboldright"/>
              <w:rPr>
                <w:lang w:eastAsia="en-AU"/>
              </w:rPr>
            </w:pPr>
            <w:r w:rsidRPr="00FE0023">
              <w:rPr>
                <w:lang w:eastAsia="en-AU"/>
              </w:rPr>
              <w:t>44.0</w:t>
            </w:r>
          </w:p>
        </w:tc>
        <w:tc>
          <w:tcPr>
            <w:tcW w:w="809" w:type="pct"/>
            <w:tcBorders>
              <w:top w:val="single" w:sz="4" w:space="0" w:color="000000" w:themeColor="text1"/>
              <w:bottom w:val="single" w:sz="4" w:space="0" w:color="000000" w:themeColor="text1"/>
            </w:tcBorders>
            <w:noWrap/>
            <w:tcMar>
              <w:left w:w="0" w:type="nil"/>
              <w:right w:w="0" w:type="nil"/>
            </w:tcMar>
            <w:hideMark/>
          </w:tcPr>
          <w:p w14:paraId="23364C26" w14:textId="77777777" w:rsidR="006E51BF" w:rsidRPr="00FE0023" w:rsidRDefault="006E51BF">
            <w:pPr>
              <w:pStyle w:val="ARfintabletextboldright"/>
              <w:cnfStyle w:val="000000000000" w:firstRow="0" w:lastRow="0" w:firstColumn="0" w:lastColumn="0" w:oddVBand="0" w:evenVBand="0" w:oddHBand="0" w:evenHBand="0" w:firstRowFirstColumn="0" w:firstRowLastColumn="0" w:lastRowFirstColumn="0" w:lastRowLastColumn="0"/>
              <w:rPr>
                <w:lang w:eastAsia="en-AU"/>
              </w:rPr>
            </w:pPr>
            <w:r w:rsidRPr="00FE0023">
              <w:rPr>
                <w:lang w:eastAsia="en-AU"/>
              </w:rPr>
              <w:t>(2.9)</w:t>
            </w:r>
          </w:p>
        </w:tc>
      </w:tr>
      <w:tr w:rsidR="006E51BF" w:rsidRPr="00FE0023" w14:paraId="34FE90AD" w14:textId="77777777" w:rsidTr="00E1009E">
        <w:tblPrEx>
          <w:tblCellMar>
            <w:left w:w="0" w:type="dxa"/>
          </w:tblCellMar>
        </w:tblPrEx>
        <w:trPr>
          <w:cnfStyle w:val="010000000000" w:firstRow="0" w:lastRow="1" w:firstColumn="0" w:lastColumn="0" w:oddVBand="0" w:evenVBand="0" w:oddHBand="0"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2759" w:type="pct"/>
            <w:shd w:val="clear" w:color="auto" w:fill="auto"/>
            <w:hideMark/>
          </w:tcPr>
          <w:p w14:paraId="20EE5A5E" w14:textId="77777777" w:rsidR="006E51BF" w:rsidRPr="00FE0023" w:rsidRDefault="006E51BF">
            <w:pPr>
              <w:pStyle w:val="ARfintabletextbold"/>
              <w:rPr>
                <w:lang w:eastAsia="en-AU"/>
              </w:rPr>
            </w:pPr>
            <w:r w:rsidRPr="00FE0023">
              <w:rPr>
                <w:lang w:eastAsia="en-AU"/>
              </w:rPr>
              <w:t>Comprehensive result</w:t>
            </w:r>
          </w:p>
        </w:tc>
        <w:tc>
          <w:tcPr>
            <w:tcW w:w="624" w:type="pct"/>
            <w:noWrap/>
            <w:tcMar>
              <w:left w:w="0" w:type="nil"/>
              <w:right w:w="0" w:type="nil"/>
            </w:tcMar>
            <w:hideMark/>
          </w:tcPr>
          <w:p w14:paraId="730D7FAB" w14:textId="77777777" w:rsidR="006E51BF" w:rsidRPr="00FE0023" w:rsidRDefault="006E51BF">
            <w:pPr>
              <w:pStyle w:val="ARfintabletextright"/>
              <w:cnfStyle w:val="010000000000" w:firstRow="0" w:lastRow="1"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67E7B3D0" w14:textId="77777777" w:rsidR="006E51BF" w:rsidRPr="00FE0023" w:rsidRDefault="006E51BF">
            <w:pPr>
              <w:pStyle w:val="ARfintabletextboldright"/>
              <w:rPr>
                <w:lang w:eastAsia="en-AU"/>
              </w:rPr>
            </w:pPr>
            <w:r w:rsidRPr="00FE0023">
              <w:rPr>
                <w:lang w:eastAsia="en-AU"/>
              </w:rPr>
              <w:t>(418.1)</w:t>
            </w:r>
          </w:p>
        </w:tc>
        <w:tc>
          <w:tcPr>
            <w:tcW w:w="809" w:type="pct"/>
            <w:noWrap/>
            <w:tcMar>
              <w:left w:w="0" w:type="nil"/>
              <w:right w:w="0" w:type="nil"/>
            </w:tcMar>
            <w:hideMark/>
          </w:tcPr>
          <w:p w14:paraId="3EEA1398" w14:textId="77777777" w:rsidR="006E51BF" w:rsidRPr="00FE0023"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FE0023">
              <w:rPr>
                <w:lang w:eastAsia="en-AU"/>
              </w:rPr>
              <w:t>(525.1)</w:t>
            </w:r>
          </w:p>
        </w:tc>
      </w:tr>
    </w:tbl>
    <w:p w14:paraId="25010A40" w14:textId="77777777" w:rsidR="006E51BF" w:rsidRDefault="006E51BF">
      <w:pPr>
        <w:pStyle w:val="ARfintablenote"/>
      </w:pPr>
      <w:r w:rsidRPr="00FE0023">
        <w:t>The comprehensive operating statement should be read in conjunction with the notes to the financial statements.</w:t>
      </w:r>
    </w:p>
    <w:p w14:paraId="33F30514" w14:textId="77777777" w:rsidR="006E51BF" w:rsidRDefault="006E51BF">
      <w:pPr>
        <w:pStyle w:val="ARfinbody"/>
        <w:rPr>
          <w:sz w:val="16"/>
        </w:rPr>
      </w:pPr>
      <w:r>
        <w:br w:type="page"/>
      </w:r>
    </w:p>
    <w:p w14:paraId="0D16A337" w14:textId="77777777" w:rsidR="006E51BF" w:rsidRDefault="006E51BF">
      <w:pPr>
        <w:pStyle w:val="Heading2financials"/>
      </w:pPr>
      <w:bookmarkStart w:id="277" w:name="_Toc241068540"/>
      <w:r w:rsidRPr="007D27D2">
        <w:t xml:space="preserve">Balance sheet as </w:t>
      </w:r>
      <w:proofErr w:type="gramStart"/>
      <w:r w:rsidRPr="007D27D2">
        <w:t>at</w:t>
      </w:r>
      <w:proofErr w:type="gramEnd"/>
      <w:r w:rsidRPr="007D27D2">
        <w:t xml:space="preserve"> 30 June 2026</w:t>
      </w:r>
      <w:bookmarkEnd w:id="277"/>
    </w:p>
    <w:tbl>
      <w:tblPr>
        <w:tblStyle w:val="ARtable2"/>
        <w:tblW w:w="5000" w:type="pct"/>
        <w:tblLook w:val="00E0" w:firstRow="1" w:lastRow="1" w:firstColumn="1" w:lastColumn="0" w:noHBand="0" w:noVBand="0"/>
      </w:tblPr>
      <w:tblGrid>
        <w:gridCol w:w="5076"/>
        <w:gridCol w:w="1438"/>
        <w:gridCol w:w="1556"/>
        <w:gridCol w:w="1558"/>
      </w:tblGrid>
      <w:tr w:rsidR="006E51BF" w:rsidRPr="00A2315F" w14:paraId="522851B2" w14:textId="77777777" w:rsidTr="00E1009E">
        <w:trPr>
          <w:cnfStyle w:val="100000000000" w:firstRow="1" w:lastRow="0" w:firstColumn="0" w:lastColumn="0" w:oddVBand="0" w:evenVBand="0" w:oddHBand="0" w:evenHBand="0" w:firstRowFirstColumn="0" w:firstRowLastColumn="0" w:lastRowFirstColumn="0" w:lastRowLastColumn="0"/>
          <w:trHeight w:val="20"/>
          <w:tblHeader/>
        </w:trPr>
        <w:tc>
          <w:tcPr>
            <w:cnfStyle w:val="000010000000" w:firstRow="0" w:lastRow="0" w:firstColumn="0" w:lastColumn="0" w:oddVBand="1" w:evenVBand="0" w:oddHBand="0" w:evenHBand="0" w:firstRowFirstColumn="0" w:firstRowLastColumn="0" w:lastRowFirstColumn="0" w:lastRowLastColumn="0"/>
            <w:tcW w:w="2636" w:type="pct"/>
            <w:shd w:val="clear" w:color="auto" w:fill="auto"/>
            <w:noWrap/>
            <w:hideMark/>
          </w:tcPr>
          <w:p w14:paraId="38802B61" w14:textId="77777777" w:rsidR="006E51BF" w:rsidRPr="00A2315F" w:rsidRDefault="006E51BF">
            <w:pPr>
              <w:pStyle w:val="ARfintablecolhead"/>
            </w:pPr>
          </w:p>
        </w:tc>
        <w:tc>
          <w:tcPr>
            <w:tcW w:w="747" w:type="pct"/>
            <w:noWrap/>
            <w:tcMar>
              <w:left w:w="0" w:type="nil"/>
              <w:right w:w="0" w:type="nil"/>
            </w:tcMar>
            <w:hideMark/>
          </w:tcPr>
          <w:p w14:paraId="280CFD22" w14:textId="77777777" w:rsidR="006E51BF" w:rsidRPr="00A2315F"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2315F">
              <w:rPr>
                <w:lang w:eastAsia="en-AU"/>
              </w:rPr>
              <w:t>Note</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1557D37A" w14:textId="77777777" w:rsidR="006E51BF" w:rsidRPr="00A2315F" w:rsidRDefault="006E51BF">
            <w:pPr>
              <w:pStyle w:val="ARfintablecolheadright"/>
              <w:rPr>
                <w:lang w:eastAsia="en-AU"/>
              </w:rPr>
            </w:pPr>
            <w:r w:rsidRPr="00A2315F">
              <w:rPr>
                <w:lang w:eastAsia="en-AU"/>
              </w:rPr>
              <w:t>2026</w:t>
            </w:r>
          </w:p>
          <w:p w14:paraId="6558A5CB" w14:textId="77777777" w:rsidR="006E51BF" w:rsidRPr="00A2315F" w:rsidRDefault="006E51BF">
            <w:pPr>
              <w:pStyle w:val="ARfintablecolheadright"/>
              <w:rPr>
                <w:lang w:eastAsia="en-AU"/>
              </w:rPr>
            </w:pPr>
            <w:r w:rsidRPr="00A2315F">
              <w:rPr>
                <w:lang w:eastAsia="en-AU"/>
              </w:rPr>
              <w:t>$M</w:t>
            </w:r>
          </w:p>
        </w:tc>
        <w:tc>
          <w:tcPr>
            <w:tcW w:w="809" w:type="pct"/>
            <w:noWrap/>
            <w:tcMar>
              <w:left w:w="0" w:type="nil"/>
              <w:right w:w="0" w:type="nil"/>
            </w:tcMar>
            <w:hideMark/>
          </w:tcPr>
          <w:p w14:paraId="14DD389C" w14:textId="77777777" w:rsidR="006E51BF" w:rsidRPr="00A2315F"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2315F">
              <w:rPr>
                <w:lang w:eastAsia="en-AU"/>
              </w:rPr>
              <w:t>2025</w:t>
            </w:r>
          </w:p>
          <w:p w14:paraId="05D186AD" w14:textId="77777777" w:rsidR="006E51BF" w:rsidRPr="00A2315F"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2315F">
              <w:rPr>
                <w:lang w:eastAsia="en-AU"/>
              </w:rPr>
              <w:t>$M</w:t>
            </w:r>
          </w:p>
        </w:tc>
      </w:tr>
      <w:tr w:rsidR="006E51BF" w:rsidRPr="00A2315F" w14:paraId="6C220290"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shd w:val="clear" w:color="auto" w:fill="auto"/>
            <w:noWrap/>
            <w:hideMark/>
          </w:tcPr>
          <w:p w14:paraId="6FD2F200" w14:textId="77777777" w:rsidR="006E51BF" w:rsidRPr="00A2315F" w:rsidRDefault="006E51BF">
            <w:pPr>
              <w:pStyle w:val="ARfintabletextboldcoloured"/>
              <w:rPr>
                <w:lang w:eastAsia="en-AU"/>
              </w:rPr>
            </w:pPr>
            <w:r w:rsidRPr="00A2315F">
              <w:rPr>
                <w:lang w:eastAsia="en-AU"/>
              </w:rPr>
              <w:t>Assets</w:t>
            </w:r>
          </w:p>
        </w:tc>
        <w:tc>
          <w:tcPr>
            <w:tcW w:w="747" w:type="pct"/>
            <w:noWrap/>
            <w:tcMar>
              <w:left w:w="0" w:type="nil"/>
              <w:right w:w="0" w:type="nil"/>
            </w:tcMar>
            <w:hideMark/>
          </w:tcPr>
          <w:p w14:paraId="0A9AF020"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shd w:val="clear" w:color="auto" w:fill="auto"/>
            <w:noWrap/>
            <w:tcMar>
              <w:left w:w="0" w:type="nil"/>
              <w:right w:w="0" w:type="nil"/>
            </w:tcMar>
            <w:hideMark/>
          </w:tcPr>
          <w:p w14:paraId="74FAB47E" w14:textId="77777777" w:rsidR="006E51BF" w:rsidRPr="00C705D9" w:rsidRDefault="006E51BF">
            <w:pPr>
              <w:pStyle w:val="ARfintabletextright"/>
            </w:pPr>
          </w:p>
        </w:tc>
        <w:tc>
          <w:tcPr>
            <w:tcW w:w="809" w:type="pct"/>
            <w:noWrap/>
            <w:tcMar>
              <w:left w:w="0" w:type="nil"/>
              <w:right w:w="0" w:type="nil"/>
            </w:tcMar>
            <w:hideMark/>
          </w:tcPr>
          <w:p w14:paraId="50EB40CE"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r>
      <w:tr w:rsidR="006E51BF" w:rsidRPr="00A2315F" w14:paraId="279DC31D"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shd w:val="clear" w:color="auto" w:fill="auto"/>
            <w:noWrap/>
            <w:hideMark/>
          </w:tcPr>
          <w:p w14:paraId="6FC94572" w14:textId="77777777" w:rsidR="006E51BF" w:rsidRPr="00A2315F" w:rsidRDefault="006E51BF">
            <w:pPr>
              <w:pStyle w:val="ARfintabletextbold"/>
              <w:rPr>
                <w:lang w:eastAsia="en-AU"/>
              </w:rPr>
            </w:pPr>
            <w:r w:rsidRPr="00A2315F">
              <w:rPr>
                <w:lang w:eastAsia="en-AU"/>
              </w:rPr>
              <w:t>Financial assets</w:t>
            </w:r>
          </w:p>
        </w:tc>
        <w:tc>
          <w:tcPr>
            <w:tcW w:w="747" w:type="pct"/>
            <w:noWrap/>
            <w:tcMar>
              <w:left w:w="0" w:type="nil"/>
              <w:right w:w="0" w:type="nil"/>
            </w:tcMar>
            <w:hideMark/>
          </w:tcPr>
          <w:p w14:paraId="177A1F6D"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shd w:val="clear" w:color="auto" w:fill="auto"/>
            <w:noWrap/>
            <w:tcMar>
              <w:left w:w="0" w:type="nil"/>
              <w:right w:w="0" w:type="nil"/>
            </w:tcMar>
            <w:hideMark/>
          </w:tcPr>
          <w:p w14:paraId="43145990" w14:textId="77777777" w:rsidR="006E51BF" w:rsidRPr="00C705D9" w:rsidRDefault="006E51BF">
            <w:pPr>
              <w:pStyle w:val="ARfintabletextright"/>
            </w:pPr>
          </w:p>
        </w:tc>
        <w:tc>
          <w:tcPr>
            <w:tcW w:w="809" w:type="pct"/>
            <w:noWrap/>
            <w:tcMar>
              <w:left w:w="0" w:type="nil"/>
              <w:right w:w="0" w:type="nil"/>
            </w:tcMar>
            <w:hideMark/>
          </w:tcPr>
          <w:p w14:paraId="7EBCAF4B"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r>
      <w:tr w:rsidR="006E51BF" w:rsidRPr="00A2315F" w14:paraId="003AB57F"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shd w:val="clear" w:color="auto" w:fill="auto"/>
            <w:noWrap/>
            <w:hideMark/>
          </w:tcPr>
          <w:p w14:paraId="6A52F48B" w14:textId="77777777" w:rsidR="006E51BF" w:rsidRPr="00C705D9" w:rsidRDefault="006E51BF">
            <w:pPr>
              <w:pStyle w:val="ARfintabletext"/>
            </w:pPr>
            <w:r w:rsidRPr="00C705D9">
              <w:t xml:space="preserve">Cash and deposits </w:t>
            </w:r>
            <w:r w:rsidRPr="00F72E75">
              <w:rPr>
                <w:vertAlign w:val="superscript"/>
              </w:rPr>
              <w:t>(</w:t>
            </w:r>
            <w:proofErr w:type="spellStart"/>
            <w:r w:rsidRPr="00F72E75">
              <w:rPr>
                <w:vertAlign w:val="superscript"/>
              </w:rPr>
              <w:t>i</w:t>
            </w:r>
            <w:proofErr w:type="spellEnd"/>
            <w:r w:rsidRPr="00F72E75">
              <w:rPr>
                <w:vertAlign w:val="superscript"/>
              </w:rPr>
              <w:t>)</w:t>
            </w:r>
          </w:p>
        </w:tc>
        <w:tc>
          <w:tcPr>
            <w:tcW w:w="747" w:type="pct"/>
            <w:noWrap/>
            <w:tcMar>
              <w:left w:w="0" w:type="nil"/>
              <w:right w:w="0" w:type="nil"/>
            </w:tcMar>
            <w:hideMark/>
          </w:tcPr>
          <w:p w14:paraId="0B7C5D81"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7.3</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3D1BCBA5" w14:textId="77777777" w:rsidR="006E51BF" w:rsidRPr="00C705D9" w:rsidRDefault="006E51BF">
            <w:pPr>
              <w:pStyle w:val="ARfintabletextright"/>
            </w:pPr>
            <w:r w:rsidRPr="00C705D9">
              <w:t>994.2</w:t>
            </w:r>
          </w:p>
        </w:tc>
        <w:tc>
          <w:tcPr>
            <w:tcW w:w="809" w:type="pct"/>
            <w:noWrap/>
            <w:tcMar>
              <w:left w:w="0" w:type="nil"/>
              <w:right w:w="0" w:type="nil"/>
            </w:tcMar>
            <w:hideMark/>
          </w:tcPr>
          <w:p w14:paraId="6E60521B"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1,312.2</w:t>
            </w:r>
          </w:p>
        </w:tc>
      </w:tr>
      <w:tr w:rsidR="006E51BF" w:rsidRPr="00A2315F" w14:paraId="001B1EC4"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tcBorders>
              <w:bottom w:val="single" w:sz="4" w:space="0" w:color="BFBFBF" w:themeColor="accent2"/>
            </w:tcBorders>
            <w:shd w:val="clear" w:color="auto" w:fill="auto"/>
            <w:noWrap/>
            <w:hideMark/>
          </w:tcPr>
          <w:p w14:paraId="67517AF6" w14:textId="77777777" w:rsidR="006E51BF" w:rsidRPr="00C705D9" w:rsidRDefault="006E51BF">
            <w:pPr>
              <w:pStyle w:val="ARfintabletext"/>
            </w:pPr>
            <w:r w:rsidRPr="00C705D9">
              <w:t>Receivables</w:t>
            </w:r>
          </w:p>
        </w:tc>
        <w:tc>
          <w:tcPr>
            <w:tcW w:w="747" w:type="pct"/>
            <w:tcBorders>
              <w:bottom w:val="single" w:sz="4" w:space="0" w:color="BFBFBF" w:themeColor="accent2"/>
            </w:tcBorders>
            <w:noWrap/>
            <w:tcMar>
              <w:left w:w="0" w:type="nil"/>
              <w:right w:w="0" w:type="nil"/>
            </w:tcMar>
            <w:hideMark/>
          </w:tcPr>
          <w:p w14:paraId="3BE7278E"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6.1</w:t>
            </w:r>
          </w:p>
        </w:tc>
        <w:tc>
          <w:tcPr>
            <w:cnfStyle w:val="000010000000" w:firstRow="0" w:lastRow="0" w:firstColumn="0" w:lastColumn="0" w:oddVBand="1" w:evenVBand="0" w:oddHBand="0" w:evenHBand="0" w:firstRowFirstColumn="0" w:firstRowLastColumn="0" w:lastRowFirstColumn="0" w:lastRowLastColumn="0"/>
            <w:tcW w:w="808" w:type="pct"/>
            <w:tcBorders>
              <w:bottom w:val="single" w:sz="4" w:space="0" w:color="BFBFBF" w:themeColor="accent2"/>
            </w:tcBorders>
            <w:noWrap/>
            <w:tcMar>
              <w:left w:w="0" w:type="nil"/>
              <w:right w:w="0" w:type="nil"/>
            </w:tcMar>
            <w:hideMark/>
          </w:tcPr>
          <w:p w14:paraId="2DE541F0" w14:textId="77777777" w:rsidR="006E51BF" w:rsidRPr="00C705D9" w:rsidRDefault="006E51BF">
            <w:pPr>
              <w:pStyle w:val="ARfintabletextright"/>
            </w:pPr>
            <w:r w:rsidRPr="00C705D9">
              <w:t>1,355.2</w:t>
            </w:r>
          </w:p>
        </w:tc>
        <w:tc>
          <w:tcPr>
            <w:tcW w:w="809" w:type="pct"/>
            <w:tcBorders>
              <w:bottom w:val="single" w:sz="4" w:space="0" w:color="BFBFBF" w:themeColor="accent2"/>
            </w:tcBorders>
            <w:noWrap/>
            <w:tcMar>
              <w:left w:w="0" w:type="nil"/>
              <w:right w:w="0" w:type="nil"/>
            </w:tcMar>
            <w:hideMark/>
          </w:tcPr>
          <w:p w14:paraId="4F1F5560"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1,074.6</w:t>
            </w:r>
          </w:p>
        </w:tc>
      </w:tr>
      <w:tr w:rsidR="006E51BF" w:rsidRPr="00A2315F" w14:paraId="3411EF1F"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tcBorders>
              <w:top w:val="single" w:sz="4" w:space="0" w:color="BFBFBF" w:themeColor="accent2"/>
              <w:bottom w:val="single" w:sz="4" w:space="0" w:color="000000" w:themeColor="text1"/>
            </w:tcBorders>
            <w:shd w:val="clear" w:color="auto" w:fill="auto"/>
            <w:noWrap/>
            <w:hideMark/>
          </w:tcPr>
          <w:p w14:paraId="2B780558" w14:textId="77777777" w:rsidR="006E51BF" w:rsidRPr="00C705D9" w:rsidRDefault="006E51BF">
            <w:pPr>
              <w:pStyle w:val="ARfintabletext"/>
            </w:pPr>
            <w:r w:rsidRPr="00C705D9">
              <w:t>Loans</w:t>
            </w:r>
          </w:p>
        </w:tc>
        <w:tc>
          <w:tcPr>
            <w:tcW w:w="747" w:type="pct"/>
            <w:tcBorders>
              <w:top w:val="single" w:sz="4" w:space="0" w:color="BFBFBF" w:themeColor="accent2"/>
              <w:bottom w:val="single" w:sz="4" w:space="0" w:color="000000" w:themeColor="text1"/>
            </w:tcBorders>
            <w:noWrap/>
            <w:tcMar>
              <w:left w:w="0" w:type="nil"/>
              <w:right w:w="0" w:type="nil"/>
            </w:tcMar>
            <w:hideMark/>
          </w:tcPr>
          <w:p w14:paraId="3671C707"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6.2</w:t>
            </w: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left w:w="0" w:type="nil"/>
              <w:right w:w="0" w:type="nil"/>
            </w:tcMar>
            <w:hideMark/>
          </w:tcPr>
          <w:p w14:paraId="45ED3966" w14:textId="77777777" w:rsidR="006E51BF" w:rsidRPr="00C705D9" w:rsidRDefault="006E51BF">
            <w:pPr>
              <w:pStyle w:val="ARfintabletextright"/>
            </w:pPr>
            <w:r w:rsidRPr="00C705D9">
              <w:t>26.2</w:t>
            </w:r>
          </w:p>
        </w:tc>
        <w:tc>
          <w:tcPr>
            <w:tcW w:w="809" w:type="pct"/>
            <w:tcBorders>
              <w:top w:val="single" w:sz="4" w:space="0" w:color="BFBFBF" w:themeColor="accent2"/>
              <w:bottom w:val="single" w:sz="4" w:space="0" w:color="000000" w:themeColor="text1"/>
            </w:tcBorders>
            <w:noWrap/>
            <w:tcMar>
              <w:left w:w="0" w:type="nil"/>
              <w:right w:w="0" w:type="nil"/>
            </w:tcMar>
            <w:hideMark/>
          </w:tcPr>
          <w:p w14:paraId="38BFE070"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66.7</w:t>
            </w:r>
          </w:p>
        </w:tc>
      </w:tr>
      <w:tr w:rsidR="006E51BF" w:rsidRPr="00A2315F" w14:paraId="0B329F2B"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tcBorders>
              <w:top w:val="single" w:sz="4" w:space="0" w:color="000000" w:themeColor="text1"/>
              <w:bottom w:val="single" w:sz="4" w:space="0" w:color="000000" w:themeColor="text1"/>
            </w:tcBorders>
            <w:shd w:val="clear" w:color="auto" w:fill="auto"/>
            <w:noWrap/>
            <w:hideMark/>
          </w:tcPr>
          <w:p w14:paraId="2F0F4836" w14:textId="77777777" w:rsidR="006E51BF" w:rsidRPr="00C705D9" w:rsidRDefault="006E51BF">
            <w:pPr>
              <w:pStyle w:val="ARfintabletextbold"/>
            </w:pPr>
            <w:r w:rsidRPr="00C705D9">
              <w:t>Total financial assets</w:t>
            </w:r>
          </w:p>
        </w:tc>
        <w:tc>
          <w:tcPr>
            <w:tcW w:w="747" w:type="pct"/>
            <w:tcBorders>
              <w:top w:val="single" w:sz="4" w:space="0" w:color="000000" w:themeColor="text1"/>
              <w:bottom w:val="single" w:sz="4" w:space="0" w:color="000000" w:themeColor="text1"/>
            </w:tcBorders>
            <w:noWrap/>
            <w:tcMar>
              <w:left w:w="0" w:type="nil"/>
              <w:right w:w="0" w:type="nil"/>
            </w:tcMar>
            <w:hideMark/>
          </w:tcPr>
          <w:p w14:paraId="7852122F"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left w:w="0" w:type="nil"/>
              <w:right w:w="0" w:type="nil"/>
            </w:tcMar>
            <w:hideMark/>
          </w:tcPr>
          <w:p w14:paraId="7F909BB8" w14:textId="77777777" w:rsidR="006E51BF" w:rsidRPr="001A5ED5" w:rsidRDefault="006E51BF">
            <w:pPr>
              <w:pStyle w:val="ARfintabletextboldright"/>
            </w:pPr>
            <w:r w:rsidRPr="001A5ED5">
              <w:t>2,375.6</w:t>
            </w:r>
          </w:p>
        </w:tc>
        <w:tc>
          <w:tcPr>
            <w:tcW w:w="809" w:type="pct"/>
            <w:tcBorders>
              <w:top w:val="single" w:sz="4" w:space="0" w:color="000000" w:themeColor="text1"/>
              <w:bottom w:val="single" w:sz="4" w:space="0" w:color="000000" w:themeColor="text1"/>
            </w:tcBorders>
            <w:noWrap/>
            <w:tcMar>
              <w:left w:w="0" w:type="nil"/>
              <w:right w:w="0" w:type="nil"/>
            </w:tcMar>
            <w:hideMark/>
          </w:tcPr>
          <w:p w14:paraId="69B2CB6A" w14:textId="77777777" w:rsidR="006E51BF" w:rsidRPr="001A5ED5" w:rsidRDefault="006E51BF">
            <w:pPr>
              <w:pStyle w:val="ARfintabletextboldright"/>
              <w:cnfStyle w:val="000000000000" w:firstRow="0" w:lastRow="0" w:firstColumn="0" w:lastColumn="0" w:oddVBand="0" w:evenVBand="0" w:oddHBand="0" w:evenHBand="0" w:firstRowFirstColumn="0" w:firstRowLastColumn="0" w:lastRowFirstColumn="0" w:lastRowLastColumn="0"/>
            </w:pPr>
            <w:r w:rsidRPr="001A5ED5">
              <w:t>2,453.5</w:t>
            </w:r>
          </w:p>
        </w:tc>
      </w:tr>
      <w:tr w:rsidR="006E51BF" w:rsidRPr="00A2315F" w14:paraId="6C1C6FC0"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tcBorders>
              <w:top w:val="single" w:sz="4" w:space="0" w:color="000000" w:themeColor="text1"/>
            </w:tcBorders>
            <w:shd w:val="clear" w:color="auto" w:fill="auto"/>
            <w:noWrap/>
            <w:hideMark/>
          </w:tcPr>
          <w:p w14:paraId="3010D930" w14:textId="77777777" w:rsidR="006E51BF" w:rsidRPr="00C705D9" w:rsidRDefault="006E51BF">
            <w:pPr>
              <w:pStyle w:val="ARfintabletextboldcoloured"/>
            </w:pPr>
            <w:r w:rsidRPr="00C705D9">
              <w:t xml:space="preserve">Non-financial </w:t>
            </w:r>
            <w:r w:rsidRPr="002D7CE7">
              <w:t>assets</w:t>
            </w:r>
          </w:p>
        </w:tc>
        <w:tc>
          <w:tcPr>
            <w:tcW w:w="747" w:type="pct"/>
            <w:tcBorders>
              <w:top w:val="single" w:sz="4" w:space="0" w:color="000000" w:themeColor="text1"/>
            </w:tcBorders>
            <w:noWrap/>
            <w:tcMar>
              <w:left w:w="0" w:type="nil"/>
              <w:right w:w="0" w:type="nil"/>
            </w:tcMar>
            <w:hideMark/>
          </w:tcPr>
          <w:p w14:paraId="1168D27E"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000000" w:themeColor="text1"/>
            </w:tcBorders>
            <w:noWrap/>
            <w:tcMar>
              <w:left w:w="0" w:type="nil"/>
              <w:right w:w="0" w:type="nil"/>
            </w:tcMar>
            <w:hideMark/>
          </w:tcPr>
          <w:p w14:paraId="7D5FED42" w14:textId="77777777" w:rsidR="006E51BF" w:rsidRPr="00C705D9" w:rsidRDefault="006E51BF">
            <w:pPr>
              <w:pStyle w:val="ARfintabletextright"/>
            </w:pPr>
          </w:p>
        </w:tc>
        <w:tc>
          <w:tcPr>
            <w:tcW w:w="809" w:type="pct"/>
            <w:tcBorders>
              <w:top w:val="single" w:sz="4" w:space="0" w:color="000000" w:themeColor="text1"/>
            </w:tcBorders>
            <w:noWrap/>
            <w:tcMar>
              <w:left w:w="0" w:type="nil"/>
              <w:right w:w="0" w:type="nil"/>
            </w:tcMar>
            <w:hideMark/>
          </w:tcPr>
          <w:p w14:paraId="641DF3BC"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r>
      <w:tr w:rsidR="006E51BF" w:rsidRPr="00A2315F" w14:paraId="358BD12F"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shd w:val="clear" w:color="auto" w:fill="auto"/>
            <w:noWrap/>
            <w:hideMark/>
          </w:tcPr>
          <w:p w14:paraId="19F80DA4" w14:textId="77777777" w:rsidR="006E51BF" w:rsidRPr="00C705D9" w:rsidRDefault="006E51BF">
            <w:pPr>
              <w:pStyle w:val="ARfintabletext"/>
            </w:pPr>
            <w:r w:rsidRPr="00C705D9">
              <w:t>Property, plant and equipment</w:t>
            </w:r>
          </w:p>
        </w:tc>
        <w:tc>
          <w:tcPr>
            <w:tcW w:w="747" w:type="pct"/>
            <w:noWrap/>
            <w:tcMar>
              <w:left w:w="0" w:type="nil"/>
              <w:right w:w="0" w:type="nil"/>
            </w:tcMar>
            <w:hideMark/>
          </w:tcPr>
          <w:p w14:paraId="5C300DD7"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5.1</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3A8FD2F6" w14:textId="77777777" w:rsidR="006E51BF" w:rsidRPr="00C705D9" w:rsidRDefault="006E51BF">
            <w:pPr>
              <w:pStyle w:val="ARfintabletextright"/>
            </w:pPr>
            <w:r w:rsidRPr="00C705D9">
              <w:t>39,534.9</w:t>
            </w:r>
          </w:p>
        </w:tc>
        <w:tc>
          <w:tcPr>
            <w:tcW w:w="809" w:type="pct"/>
            <w:noWrap/>
            <w:tcMar>
              <w:left w:w="0" w:type="nil"/>
              <w:right w:w="0" w:type="nil"/>
            </w:tcMar>
            <w:hideMark/>
          </w:tcPr>
          <w:p w14:paraId="3A9D09C0"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38,954.9</w:t>
            </w:r>
          </w:p>
        </w:tc>
      </w:tr>
      <w:tr w:rsidR="006E51BF" w:rsidRPr="00A2315F" w14:paraId="21E9C808"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shd w:val="clear" w:color="auto" w:fill="auto"/>
            <w:noWrap/>
            <w:hideMark/>
          </w:tcPr>
          <w:p w14:paraId="4FE4C806" w14:textId="77777777" w:rsidR="006E51BF" w:rsidRPr="00C705D9" w:rsidRDefault="006E51BF">
            <w:pPr>
              <w:pStyle w:val="ARfintabletext"/>
            </w:pPr>
            <w:r w:rsidRPr="00C705D9">
              <w:t>Intangible assets</w:t>
            </w:r>
          </w:p>
        </w:tc>
        <w:tc>
          <w:tcPr>
            <w:tcW w:w="747" w:type="pct"/>
            <w:noWrap/>
            <w:tcMar>
              <w:left w:w="0" w:type="nil"/>
              <w:right w:w="0" w:type="nil"/>
            </w:tcMar>
            <w:hideMark/>
          </w:tcPr>
          <w:p w14:paraId="16DA60C1"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52BE8608" w14:textId="77777777" w:rsidR="006E51BF" w:rsidRPr="00C705D9" w:rsidRDefault="006E51BF">
            <w:pPr>
              <w:pStyle w:val="ARfintabletextright"/>
            </w:pPr>
            <w:r w:rsidRPr="00C705D9">
              <w:t>59.0</w:t>
            </w:r>
          </w:p>
        </w:tc>
        <w:tc>
          <w:tcPr>
            <w:tcW w:w="809" w:type="pct"/>
            <w:noWrap/>
            <w:tcMar>
              <w:left w:w="0" w:type="nil"/>
              <w:right w:w="0" w:type="nil"/>
            </w:tcMar>
            <w:hideMark/>
          </w:tcPr>
          <w:p w14:paraId="7228CA67"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66.1</w:t>
            </w:r>
          </w:p>
        </w:tc>
      </w:tr>
      <w:tr w:rsidR="006E51BF" w:rsidRPr="00A2315F" w14:paraId="25580C6C"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tcBorders>
              <w:bottom w:val="single" w:sz="4" w:space="0" w:color="BFBFBF" w:themeColor="accent2"/>
            </w:tcBorders>
            <w:shd w:val="clear" w:color="auto" w:fill="auto"/>
            <w:noWrap/>
            <w:hideMark/>
          </w:tcPr>
          <w:p w14:paraId="20ABA310" w14:textId="77777777" w:rsidR="006E51BF" w:rsidRPr="00C705D9" w:rsidRDefault="006E51BF">
            <w:pPr>
              <w:pStyle w:val="ARfintabletext"/>
            </w:pPr>
            <w:r w:rsidRPr="00C705D9">
              <w:t>Prepayments</w:t>
            </w:r>
          </w:p>
        </w:tc>
        <w:tc>
          <w:tcPr>
            <w:tcW w:w="747" w:type="pct"/>
            <w:tcBorders>
              <w:bottom w:val="single" w:sz="4" w:space="0" w:color="BFBFBF" w:themeColor="accent2"/>
            </w:tcBorders>
            <w:noWrap/>
            <w:tcMar>
              <w:left w:w="0" w:type="nil"/>
              <w:right w:w="0" w:type="nil"/>
            </w:tcMar>
            <w:hideMark/>
          </w:tcPr>
          <w:p w14:paraId="739B7394"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tcBorders>
              <w:bottom w:val="single" w:sz="4" w:space="0" w:color="BFBFBF" w:themeColor="accent2"/>
            </w:tcBorders>
            <w:noWrap/>
            <w:tcMar>
              <w:left w:w="0" w:type="nil"/>
              <w:right w:w="0" w:type="nil"/>
            </w:tcMar>
            <w:hideMark/>
          </w:tcPr>
          <w:p w14:paraId="2DADDBA5" w14:textId="77777777" w:rsidR="006E51BF" w:rsidRPr="00C705D9" w:rsidRDefault="006E51BF">
            <w:pPr>
              <w:pStyle w:val="ARfintabletextright"/>
            </w:pPr>
            <w:r w:rsidRPr="00C705D9">
              <w:t>12.6</w:t>
            </w:r>
          </w:p>
        </w:tc>
        <w:tc>
          <w:tcPr>
            <w:tcW w:w="809" w:type="pct"/>
            <w:tcBorders>
              <w:bottom w:val="single" w:sz="4" w:space="0" w:color="BFBFBF" w:themeColor="accent2"/>
            </w:tcBorders>
            <w:noWrap/>
            <w:tcMar>
              <w:left w:w="0" w:type="nil"/>
              <w:right w:w="0" w:type="nil"/>
            </w:tcMar>
            <w:hideMark/>
          </w:tcPr>
          <w:p w14:paraId="01D00B8F"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12.6</w:t>
            </w:r>
          </w:p>
        </w:tc>
      </w:tr>
      <w:tr w:rsidR="006E51BF" w:rsidRPr="00A2315F" w14:paraId="50B46C25"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tcBorders>
              <w:top w:val="single" w:sz="4" w:space="0" w:color="BFBFBF" w:themeColor="accent2"/>
              <w:bottom w:val="single" w:sz="4" w:space="0" w:color="000000" w:themeColor="text1"/>
            </w:tcBorders>
            <w:shd w:val="clear" w:color="auto" w:fill="auto"/>
            <w:hideMark/>
          </w:tcPr>
          <w:p w14:paraId="3DE149CD" w14:textId="77777777" w:rsidR="006E51BF" w:rsidRPr="00C705D9" w:rsidRDefault="006E51BF">
            <w:pPr>
              <w:pStyle w:val="ARfintabletext"/>
            </w:pPr>
            <w:r w:rsidRPr="00C705D9">
              <w:t xml:space="preserve">Non-financial physical assets classified as held for sale </w:t>
            </w:r>
          </w:p>
        </w:tc>
        <w:tc>
          <w:tcPr>
            <w:tcW w:w="747" w:type="pct"/>
            <w:tcBorders>
              <w:top w:val="single" w:sz="4" w:space="0" w:color="BFBFBF" w:themeColor="accent2"/>
              <w:bottom w:val="single" w:sz="4" w:space="0" w:color="000000" w:themeColor="text1"/>
            </w:tcBorders>
            <w:noWrap/>
            <w:tcMar>
              <w:left w:w="0" w:type="nil"/>
              <w:right w:w="0" w:type="nil"/>
            </w:tcMar>
            <w:hideMark/>
          </w:tcPr>
          <w:p w14:paraId="06D921A8"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left w:w="0" w:type="nil"/>
              <w:right w:w="0" w:type="nil"/>
            </w:tcMar>
            <w:hideMark/>
          </w:tcPr>
          <w:p w14:paraId="52ECD7E3" w14:textId="77777777" w:rsidR="006E51BF" w:rsidRPr="00C705D9" w:rsidRDefault="006E51BF">
            <w:pPr>
              <w:pStyle w:val="ARfintabletextright"/>
            </w:pPr>
            <w:r w:rsidRPr="00C705D9">
              <w:t>4.5</w:t>
            </w:r>
          </w:p>
        </w:tc>
        <w:tc>
          <w:tcPr>
            <w:tcW w:w="809" w:type="pct"/>
            <w:tcBorders>
              <w:top w:val="single" w:sz="4" w:space="0" w:color="BFBFBF" w:themeColor="accent2"/>
              <w:bottom w:val="single" w:sz="4" w:space="0" w:color="000000" w:themeColor="text1"/>
            </w:tcBorders>
            <w:noWrap/>
            <w:tcMar>
              <w:left w:w="0" w:type="nil"/>
              <w:right w:w="0" w:type="nil"/>
            </w:tcMar>
            <w:hideMark/>
          </w:tcPr>
          <w:p w14:paraId="6322FF99"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8.7</w:t>
            </w:r>
          </w:p>
        </w:tc>
      </w:tr>
      <w:tr w:rsidR="006E51BF" w:rsidRPr="00A2315F" w14:paraId="5521CDFC"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tcBorders>
              <w:top w:val="single" w:sz="4" w:space="0" w:color="000000" w:themeColor="text1"/>
              <w:bottom w:val="single" w:sz="4" w:space="0" w:color="000000" w:themeColor="text1"/>
            </w:tcBorders>
            <w:shd w:val="clear" w:color="auto" w:fill="auto"/>
            <w:noWrap/>
            <w:hideMark/>
          </w:tcPr>
          <w:p w14:paraId="34A59FEF" w14:textId="77777777" w:rsidR="006E51BF" w:rsidRPr="00C705D9" w:rsidRDefault="006E51BF">
            <w:pPr>
              <w:pStyle w:val="ARfintabletextbold"/>
            </w:pPr>
            <w:r w:rsidRPr="00C705D9">
              <w:t>Total non-financial assets</w:t>
            </w:r>
          </w:p>
        </w:tc>
        <w:tc>
          <w:tcPr>
            <w:tcW w:w="747" w:type="pct"/>
            <w:tcBorders>
              <w:top w:val="single" w:sz="4" w:space="0" w:color="000000" w:themeColor="text1"/>
              <w:bottom w:val="single" w:sz="4" w:space="0" w:color="000000" w:themeColor="text1"/>
            </w:tcBorders>
            <w:noWrap/>
            <w:tcMar>
              <w:left w:w="0" w:type="nil"/>
              <w:right w:w="0" w:type="nil"/>
            </w:tcMar>
            <w:hideMark/>
          </w:tcPr>
          <w:p w14:paraId="50F55B28"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left w:w="0" w:type="nil"/>
              <w:right w:w="0" w:type="nil"/>
            </w:tcMar>
            <w:hideMark/>
          </w:tcPr>
          <w:p w14:paraId="6FB6E45F" w14:textId="77777777" w:rsidR="006E51BF" w:rsidRPr="00C705D9" w:rsidRDefault="006E51BF">
            <w:pPr>
              <w:pStyle w:val="ARfintabletextboldright"/>
            </w:pPr>
            <w:r w:rsidRPr="00C705D9">
              <w:t>39,611.0</w:t>
            </w:r>
          </w:p>
        </w:tc>
        <w:tc>
          <w:tcPr>
            <w:tcW w:w="809" w:type="pct"/>
            <w:tcBorders>
              <w:top w:val="single" w:sz="4" w:space="0" w:color="000000" w:themeColor="text1"/>
              <w:bottom w:val="single" w:sz="4" w:space="0" w:color="000000" w:themeColor="text1"/>
            </w:tcBorders>
            <w:noWrap/>
            <w:tcMar>
              <w:left w:w="0" w:type="nil"/>
              <w:right w:w="0" w:type="nil"/>
            </w:tcMar>
            <w:hideMark/>
          </w:tcPr>
          <w:p w14:paraId="5663FE5B" w14:textId="77777777" w:rsidR="006E51BF" w:rsidRPr="00C705D9" w:rsidRDefault="006E51BF">
            <w:pPr>
              <w:pStyle w:val="ARfintabletextboldright"/>
              <w:cnfStyle w:val="000000000000" w:firstRow="0" w:lastRow="0" w:firstColumn="0" w:lastColumn="0" w:oddVBand="0" w:evenVBand="0" w:oddHBand="0" w:evenHBand="0" w:firstRowFirstColumn="0" w:firstRowLastColumn="0" w:lastRowFirstColumn="0" w:lastRowLastColumn="0"/>
            </w:pPr>
            <w:r w:rsidRPr="00C705D9">
              <w:t>39,042.2</w:t>
            </w:r>
          </w:p>
        </w:tc>
      </w:tr>
      <w:tr w:rsidR="006E51BF" w:rsidRPr="00A2315F" w14:paraId="3230FA17"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tcBorders>
              <w:top w:val="single" w:sz="4" w:space="0" w:color="000000" w:themeColor="text1"/>
              <w:bottom w:val="single" w:sz="4" w:space="0" w:color="000000" w:themeColor="text1"/>
            </w:tcBorders>
            <w:shd w:val="clear" w:color="auto" w:fill="auto"/>
            <w:noWrap/>
            <w:hideMark/>
          </w:tcPr>
          <w:p w14:paraId="0CE83017" w14:textId="77777777" w:rsidR="006E51BF" w:rsidRPr="00C705D9" w:rsidRDefault="006E51BF">
            <w:pPr>
              <w:pStyle w:val="ARfintabletextbold"/>
            </w:pPr>
            <w:r w:rsidRPr="00C705D9">
              <w:t>Total assets</w:t>
            </w:r>
          </w:p>
        </w:tc>
        <w:tc>
          <w:tcPr>
            <w:tcW w:w="747" w:type="pct"/>
            <w:tcBorders>
              <w:top w:val="single" w:sz="4" w:space="0" w:color="000000" w:themeColor="text1"/>
              <w:bottom w:val="single" w:sz="4" w:space="0" w:color="000000" w:themeColor="text1"/>
            </w:tcBorders>
            <w:noWrap/>
            <w:tcMar>
              <w:left w:w="0" w:type="nil"/>
              <w:right w:w="0" w:type="nil"/>
            </w:tcMar>
            <w:hideMark/>
          </w:tcPr>
          <w:p w14:paraId="42899947"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left w:w="0" w:type="nil"/>
              <w:right w:w="0" w:type="nil"/>
            </w:tcMar>
            <w:hideMark/>
          </w:tcPr>
          <w:p w14:paraId="33CA181A" w14:textId="77777777" w:rsidR="006E51BF" w:rsidRPr="00C705D9" w:rsidRDefault="006E51BF">
            <w:pPr>
              <w:pStyle w:val="ARfintabletextboldright"/>
            </w:pPr>
            <w:r w:rsidRPr="00C705D9">
              <w:t>41,986.6</w:t>
            </w:r>
          </w:p>
        </w:tc>
        <w:tc>
          <w:tcPr>
            <w:tcW w:w="809" w:type="pct"/>
            <w:tcBorders>
              <w:top w:val="single" w:sz="4" w:space="0" w:color="000000" w:themeColor="text1"/>
              <w:bottom w:val="single" w:sz="4" w:space="0" w:color="000000" w:themeColor="text1"/>
            </w:tcBorders>
            <w:noWrap/>
            <w:tcMar>
              <w:left w:w="0" w:type="nil"/>
              <w:right w:w="0" w:type="nil"/>
            </w:tcMar>
            <w:hideMark/>
          </w:tcPr>
          <w:p w14:paraId="6B0B7915" w14:textId="77777777" w:rsidR="006E51BF" w:rsidRPr="00C705D9" w:rsidRDefault="006E51BF">
            <w:pPr>
              <w:pStyle w:val="ARfintabletextboldright"/>
              <w:cnfStyle w:val="000000000000" w:firstRow="0" w:lastRow="0" w:firstColumn="0" w:lastColumn="0" w:oddVBand="0" w:evenVBand="0" w:oddHBand="0" w:evenHBand="0" w:firstRowFirstColumn="0" w:firstRowLastColumn="0" w:lastRowFirstColumn="0" w:lastRowLastColumn="0"/>
            </w:pPr>
            <w:r w:rsidRPr="00C705D9">
              <w:t>41,495.7</w:t>
            </w:r>
          </w:p>
        </w:tc>
      </w:tr>
      <w:tr w:rsidR="006E51BF" w:rsidRPr="00A2315F" w14:paraId="2D0090B2"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tcBorders>
              <w:top w:val="single" w:sz="4" w:space="0" w:color="000000" w:themeColor="text1"/>
            </w:tcBorders>
            <w:shd w:val="clear" w:color="auto" w:fill="auto"/>
            <w:noWrap/>
            <w:hideMark/>
          </w:tcPr>
          <w:p w14:paraId="1BF707B8" w14:textId="77777777" w:rsidR="006E51BF" w:rsidRPr="00C705D9" w:rsidRDefault="006E51BF">
            <w:pPr>
              <w:pStyle w:val="ARfintabletextboldcoloured"/>
            </w:pPr>
            <w:r w:rsidRPr="00C705D9">
              <w:t>Liabilities</w:t>
            </w:r>
          </w:p>
        </w:tc>
        <w:tc>
          <w:tcPr>
            <w:tcW w:w="747" w:type="pct"/>
            <w:tcBorders>
              <w:top w:val="single" w:sz="4" w:space="0" w:color="000000" w:themeColor="text1"/>
            </w:tcBorders>
            <w:noWrap/>
            <w:tcMar>
              <w:left w:w="0" w:type="nil"/>
              <w:right w:w="0" w:type="nil"/>
            </w:tcMar>
            <w:hideMark/>
          </w:tcPr>
          <w:p w14:paraId="6EEFDCA2"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000000" w:themeColor="text1"/>
            </w:tcBorders>
            <w:shd w:val="clear" w:color="auto" w:fill="auto"/>
            <w:noWrap/>
            <w:tcMar>
              <w:left w:w="0" w:type="nil"/>
              <w:right w:w="0" w:type="nil"/>
            </w:tcMar>
            <w:hideMark/>
          </w:tcPr>
          <w:p w14:paraId="02F014F0" w14:textId="77777777" w:rsidR="006E51BF" w:rsidRPr="00C705D9" w:rsidRDefault="006E51BF">
            <w:pPr>
              <w:pStyle w:val="ARfintabletextright"/>
            </w:pPr>
          </w:p>
        </w:tc>
        <w:tc>
          <w:tcPr>
            <w:tcW w:w="809" w:type="pct"/>
            <w:tcBorders>
              <w:top w:val="single" w:sz="4" w:space="0" w:color="000000" w:themeColor="text1"/>
            </w:tcBorders>
            <w:noWrap/>
            <w:tcMar>
              <w:left w:w="0" w:type="nil"/>
              <w:right w:w="0" w:type="nil"/>
            </w:tcMar>
            <w:hideMark/>
          </w:tcPr>
          <w:p w14:paraId="4F5FE5D2"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r>
      <w:tr w:rsidR="006E51BF" w:rsidRPr="00A2315F" w14:paraId="0BBF41E9"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shd w:val="clear" w:color="auto" w:fill="auto"/>
            <w:noWrap/>
            <w:hideMark/>
          </w:tcPr>
          <w:p w14:paraId="09BBBA42" w14:textId="77777777" w:rsidR="006E51BF" w:rsidRPr="00C705D9" w:rsidRDefault="006E51BF">
            <w:pPr>
              <w:pStyle w:val="ARfintabletext"/>
            </w:pPr>
            <w:r w:rsidRPr="00C705D9">
              <w:t>Payables</w:t>
            </w:r>
          </w:p>
        </w:tc>
        <w:tc>
          <w:tcPr>
            <w:tcW w:w="747" w:type="pct"/>
            <w:noWrap/>
            <w:tcMar>
              <w:left w:w="0" w:type="nil"/>
              <w:right w:w="0" w:type="nil"/>
            </w:tcMar>
            <w:hideMark/>
          </w:tcPr>
          <w:p w14:paraId="01E5354C"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6.3</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513A4461" w14:textId="77777777" w:rsidR="006E51BF" w:rsidRPr="00C705D9" w:rsidRDefault="006E51BF">
            <w:pPr>
              <w:pStyle w:val="ARfintabletextright"/>
            </w:pPr>
            <w:r w:rsidRPr="00C705D9">
              <w:t>487.0</w:t>
            </w:r>
          </w:p>
        </w:tc>
        <w:tc>
          <w:tcPr>
            <w:tcW w:w="809" w:type="pct"/>
            <w:noWrap/>
            <w:tcMar>
              <w:left w:w="0" w:type="nil"/>
              <w:right w:w="0" w:type="nil"/>
            </w:tcMar>
            <w:hideMark/>
          </w:tcPr>
          <w:p w14:paraId="435E17AE"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450.6</w:t>
            </w:r>
          </w:p>
        </w:tc>
      </w:tr>
      <w:tr w:rsidR="006E51BF" w:rsidRPr="00A2315F" w14:paraId="4B758687"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shd w:val="clear" w:color="auto" w:fill="auto"/>
            <w:noWrap/>
            <w:hideMark/>
          </w:tcPr>
          <w:p w14:paraId="43503700" w14:textId="77777777" w:rsidR="006E51BF" w:rsidRPr="00C705D9" w:rsidRDefault="006E51BF">
            <w:pPr>
              <w:pStyle w:val="ARfintabletext"/>
            </w:pPr>
            <w:r w:rsidRPr="00C705D9">
              <w:t>Borrowings</w:t>
            </w:r>
          </w:p>
        </w:tc>
        <w:tc>
          <w:tcPr>
            <w:tcW w:w="747" w:type="pct"/>
            <w:noWrap/>
            <w:tcMar>
              <w:left w:w="0" w:type="nil"/>
              <w:right w:w="0" w:type="nil"/>
            </w:tcMar>
            <w:hideMark/>
          </w:tcPr>
          <w:p w14:paraId="775ACD0B"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7.1</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71791B39" w14:textId="77777777" w:rsidR="006E51BF" w:rsidRPr="00C705D9" w:rsidRDefault="006E51BF">
            <w:pPr>
              <w:pStyle w:val="ARfintabletextright"/>
            </w:pPr>
            <w:r w:rsidRPr="00C705D9">
              <w:t>905.4</w:t>
            </w:r>
          </w:p>
        </w:tc>
        <w:tc>
          <w:tcPr>
            <w:tcW w:w="809" w:type="pct"/>
            <w:noWrap/>
            <w:tcMar>
              <w:left w:w="0" w:type="nil"/>
              <w:right w:w="0" w:type="nil"/>
            </w:tcMar>
            <w:hideMark/>
          </w:tcPr>
          <w:p w14:paraId="4E166034"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768.5</w:t>
            </w:r>
          </w:p>
        </w:tc>
      </w:tr>
      <w:tr w:rsidR="006E51BF" w:rsidRPr="00A2315F" w14:paraId="7097D9C5"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shd w:val="clear" w:color="auto" w:fill="auto"/>
            <w:noWrap/>
            <w:hideMark/>
          </w:tcPr>
          <w:p w14:paraId="76B6C880" w14:textId="77777777" w:rsidR="006E51BF" w:rsidRPr="00C705D9" w:rsidRDefault="006E51BF">
            <w:pPr>
              <w:pStyle w:val="ARfintabletext"/>
            </w:pPr>
            <w:r w:rsidRPr="00C705D9">
              <w:t>Employee related provisions</w:t>
            </w:r>
          </w:p>
        </w:tc>
        <w:tc>
          <w:tcPr>
            <w:tcW w:w="747" w:type="pct"/>
            <w:noWrap/>
            <w:tcMar>
              <w:left w:w="0" w:type="nil"/>
              <w:right w:w="0" w:type="nil"/>
            </w:tcMar>
            <w:hideMark/>
          </w:tcPr>
          <w:p w14:paraId="5D36C013"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3.1.1(b)</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18737032" w14:textId="77777777" w:rsidR="006E51BF" w:rsidRPr="00C705D9" w:rsidRDefault="006E51BF">
            <w:pPr>
              <w:pStyle w:val="ARfintabletextright"/>
            </w:pPr>
            <w:r w:rsidRPr="00C705D9">
              <w:t>322.1</w:t>
            </w:r>
          </w:p>
        </w:tc>
        <w:tc>
          <w:tcPr>
            <w:tcW w:w="809" w:type="pct"/>
            <w:noWrap/>
            <w:tcMar>
              <w:left w:w="0" w:type="nil"/>
              <w:right w:w="0" w:type="nil"/>
            </w:tcMar>
            <w:hideMark/>
          </w:tcPr>
          <w:p w14:paraId="1FA3F918"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321.1</w:t>
            </w:r>
          </w:p>
        </w:tc>
      </w:tr>
      <w:tr w:rsidR="006E51BF" w:rsidRPr="00A2315F" w14:paraId="5754E203"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tcBorders>
              <w:bottom w:val="single" w:sz="4" w:space="0" w:color="BFBFBF" w:themeColor="accent2"/>
            </w:tcBorders>
            <w:shd w:val="clear" w:color="auto" w:fill="auto"/>
            <w:noWrap/>
            <w:hideMark/>
          </w:tcPr>
          <w:p w14:paraId="0C8A426C" w14:textId="77777777" w:rsidR="006E51BF" w:rsidRPr="00C705D9" w:rsidRDefault="006E51BF">
            <w:pPr>
              <w:pStyle w:val="ARfintabletext"/>
            </w:pPr>
            <w:r w:rsidRPr="00C705D9">
              <w:t>Other provisions</w:t>
            </w:r>
          </w:p>
        </w:tc>
        <w:tc>
          <w:tcPr>
            <w:tcW w:w="747" w:type="pct"/>
            <w:tcBorders>
              <w:bottom w:val="single" w:sz="4" w:space="0" w:color="BFBFBF" w:themeColor="accent2"/>
            </w:tcBorders>
            <w:noWrap/>
            <w:tcMar>
              <w:left w:w="0" w:type="nil"/>
              <w:right w:w="0" w:type="nil"/>
            </w:tcMar>
            <w:hideMark/>
          </w:tcPr>
          <w:p w14:paraId="2F22D36C"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6.4</w:t>
            </w:r>
          </w:p>
        </w:tc>
        <w:tc>
          <w:tcPr>
            <w:cnfStyle w:val="000010000000" w:firstRow="0" w:lastRow="0" w:firstColumn="0" w:lastColumn="0" w:oddVBand="1" w:evenVBand="0" w:oddHBand="0" w:evenHBand="0" w:firstRowFirstColumn="0" w:firstRowLastColumn="0" w:lastRowFirstColumn="0" w:lastRowLastColumn="0"/>
            <w:tcW w:w="808" w:type="pct"/>
            <w:tcBorders>
              <w:bottom w:val="single" w:sz="4" w:space="0" w:color="BFBFBF" w:themeColor="accent2"/>
            </w:tcBorders>
            <w:noWrap/>
            <w:tcMar>
              <w:left w:w="0" w:type="nil"/>
              <w:right w:w="0" w:type="nil"/>
            </w:tcMar>
            <w:hideMark/>
          </w:tcPr>
          <w:p w14:paraId="661593D3" w14:textId="77777777" w:rsidR="006E51BF" w:rsidRPr="00C705D9" w:rsidRDefault="006E51BF">
            <w:pPr>
              <w:pStyle w:val="ARfintabletextright"/>
            </w:pPr>
            <w:r w:rsidRPr="00C705D9">
              <w:t>758.1</w:t>
            </w:r>
          </w:p>
        </w:tc>
        <w:tc>
          <w:tcPr>
            <w:tcW w:w="809" w:type="pct"/>
            <w:tcBorders>
              <w:bottom w:val="single" w:sz="4" w:space="0" w:color="BFBFBF" w:themeColor="accent2"/>
            </w:tcBorders>
            <w:noWrap/>
            <w:tcMar>
              <w:left w:w="0" w:type="nil"/>
              <w:right w:w="0" w:type="nil"/>
            </w:tcMar>
            <w:hideMark/>
          </w:tcPr>
          <w:p w14:paraId="64D4EB54"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741.9</w:t>
            </w:r>
          </w:p>
        </w:tc>
      </w:tr>
      <w:tr w:rsidR="006E51BF" w:rsidRPr="00A2315F" w14:paraId="5204A7BC"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tcBorders>
              <w:top w:val="single" w:sz="4" w:space="0" w:color="BFBFBF" w:themeColor="accent2"/>
              <w:bottom w:val="single" w:sz="4" w:space="0" w:color="000000" w:themeColor="text1"/>
            </w:tcBorders>
            <w:shd w:val="clear" w:color="auto" w:fill="auto"/>
            <w:noWrap/>
            <w:hideMark/>
          </w:tcPr>
          <w:p w14:paraId="6E6F6787" w14:textId="77777777" w:rsidR="006E51BF" w:rsidRPr="00C705D9" w:rsidRDefault="006E51BF">
            <w:pPr>
              <w:pStyle w:val="ARfintabletext"/>
            </w:pPr>
            <w:r w:rsidRPr="00C705D9">
              <w:t>Other liabilities</w:t>
            </w:r>
          </w:p>
        </w:tc>
        <w:tc>
          <w:tcPr>
            <w:tcW w:w="747" w:type="pct"/>
            <w:tcBorders>
              <w:top w:val="single" w:sz="4" w:space="0" w:color="BFBFBF" w:themeColor="accent2"/>
              <w:bottom w:val="single" w:sz="4" w:space="0" w:color="000000" w:themeColor="text1"/>
            </w:tcBorders>
            <w:noWrap/>
            <w:tcMar>
              <w:left w:w="0" w:type="nil"/>
              <w:right w:w="0" w:type="nil"/>
            </w:tcMar>
            <w:hideMark/>
          </w:tcPr>
          <w:p w14:paraId="42E38919"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6.5</w:t>
            </w: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left w:w="0" w:type="nil"/>
              <w:right w:w="0" w:type="nil"/>
            </w:tcMar>
            <w:hideMark/>
          </w:tcPr>
          <w:p w14:paraId="2E0F6305" w14:textId="77777777" w:rsidR="006E51BF" w:rsidRPr="00C705D9" w:rsidRDefault="006E51BF">
            <w:pPr>
              <w:pStyle w:val="ARfintabletextright"/>
            </w:pPr>
            <w:r w:rsidRPr="00C705D9">
              <w:t>122.0</w:t>
            </w:r>
          </w:p>
        </w:tc>
        <w:tc>
          <w:tcPr>
            <w:tcW w:w="809" w:type="pct"/>
            <w:tcBorders>
              <w:top w:val="single" w:sz="4" w:space="0" w:color="BFBFBF" w:themeColor="accent2"/>
              <w:bottom w:val="single" w:sz="4" w:space="0" w:color="000000" w:themeColor="text1"/>
            </w:tcBorders>
            <w:noWrap/>
            <w:tcMar>
              <w:left w:w="0" w:type="nil"/>
              <w:right w:w="0" w:type="nil"/>
            </w:tcMar>
            <w:hideMark/>
          </w:tcPr>
          <w:p w14:paraId="1F566F9D"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119.8</w:t>
            </w:r>
          </w:p>
        </w:tc>
      </w:tr>
      <w:tr w:rsidR="006E51BF" w:rsidRPr="00A2315F" w14:paraId="115E6448"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tcBorders>
              <w:top w:val="single" w:sz="4" w:space="0" w:color="000000" w:themeColor="text1"/>
              <w:bottom w:val="single" w:sz="4" w:space="0" w:color="000000" w:themeColor="text1"/>
            </w:tcBorders>
            <w:shd w:val="clear" w:color="auto" w:fill="auto"/>
            <w:noWrap/>
            <w:hideMark/>
          </w:tcPr>
          <w:p w14:paraId="17A3BF00" w14:textId="77777777" w:rsidR="006E51BF" w:rsidRPr="00C705D9" w:rsidRDefault="006E51BF">
            <w:pPr>
              <w:pStyle w:val="ARfintabletextbold"/>
            </w:pPr>
            <w:r w:rsidRPr="00C705D9">
              <w:t>Total liabilities</w:t>
            </w:r>
          </w:p>
        </w:tc>
        <w:tc>
          <w:tcPr>
            <w:tcW w:w="747" w:type="pct"/>
            <w:tcBorders>
              <w:top w:val="single" w:sz="4" w:space="0" w:color="000000" w:themeColor="text1"/>
              <w:bottom w:val="single" w:sz="4" w:space="0" w:color="000000" w:themeColor="text1"/>
            </w:tcBorders>
            <w:noWrap/>
            <w:tcMar>
              <w:left w:w="0" w:type="nil"/>
              <w:right w:w="0" w:type="nil"/>
            </w:tcMar>
            <w:hideMark/>
          </w:tcPr>
          <w:p w14:paraId="7FE32575"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left w:w="0" w:type="nil"/>
              <w:right w:w="0" w:type="nil"/>
            </w:tcMar>
            <w:hideMark/>
          </w:tcPr>
          <w:p w14:paraId="4820FE20" w14:textId="77777777" w:rsidR="006E51BF" w:rsidRPr="00C705D9" w:rsidRDefault="006E51BF">
            <w:pPr>
              <w:pStyle w:val="ARfintabletextboldright"/>
            </w:pPr>
            <w:r w:rsidRPr="00C705D9">
              <w:t>2,594.6</w:t>
            </w:r>
          </w:p>
        </w:tc>
        <w:tc>
          <w:tcPr>
            <w:tcW w:w="809" w:type="pct"/>
            <w:tcBorders>
              <w:top w:val="single" w:sz="4" w:space="0" w:color="000000" w:themeColor="text1"/>
              <w:bottom w:val="single" w:sz="4" w:space="0" w:color="000000" w:themeColor="text1"/>
            </w:tcBorders>
            <w:noWrap/>
            <w:tcMar>
              <w:left w:w="0" w:type="nil"/>
              <w:right w:w="0" w:type="nil"/>
            </w:tcMar>
            <w:hideMark/>
          </w:tcPr>
          <w:p w14:paraId="34C1FEF2" w14:textId="77777777" w:rsidR="006E51BF" w:rsidRPr="00C705D9" w:rsidRDefault="006E51BF">
            <w:pPr>
              <w:pStyle w:val="ARfintabletextboldright"/>
              <w:cnfStyle w:val="000000000000" w:firstRow="0" w:lastRow="0" w:firstColumn="0" w:lastColumn="0" w:oddVBand="0" w:evenVBand="0" w:oddHBand="0" w:evenHBand="0" w:firstRowFirstColumn="0" w:firstRowLastColumn="0" w:lastRowFirstColumn="0" w:lastRowLastColumn="0"/>
            </w:pPr>
            <w:r w:rsidRPr="00C705D9">
              <w:t>2,401.9</w:t>
            </w:r>
          </w:p>
        </w:tc>
      </w:tr>
      <w:tr w:rsidR="006E51BF" w:rsidRPr="00A2315F" w14:paraId="0BF9DF07"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tcBorders>
              <w:top w:val="single" w:sz="4" w:space="0" w:color="000000" w:themeColor="text1"/>
              <w:bottom w:val="single" w:sz="4" w:space="0" w:color="000000" w:themeColor="text1"/>
            </w:tcBorders>
            <w:shd w:val="clear" w:color="auto" w:fill="auto"/>
            <w:noWrap/>
            <w:hideMark/>
          </w:tcPr>
          <w:p w14:paraId="6D39D3E1" w14:textId="77777777" w:rsidR="006E51BF" w:rsidRPr="00C705D9" w:rsidRDefault="006E51BF">
            <w:pPr>
              <w:pStyle w:val="ARfintabletextbold"/>
            </w:pPr>
            <w:r w:rsidRPr="00C705D9">
              <w:t>Net assets</w:t>
            </w:r>
          </w:p>
        </w:tc>
        <w:tc>
          <w:tcPr>
            <w:tcW w:w="747" w:type="pct"/>
            <w:tcBorders>
              <w:top w:val="single" w:sz="4" w:space="0" w:color="000000" w:themeColor="text1"/>
              <w:bottom w:val="single" w:sz="4" w:space="0" w:color="000000" w:themeColor="text1"/>
            </w:tcBorders>
            <w:noWrap/>
            <w:tcMar>
              <w:left w:w="0" w:type="nil"/>
              <w:right w:w="0" w:type="nil"/>
            </w:tcMar>
            <w:hideMark/>
          </w:tcPr>
          <w:p w14:paraId="5E8241A4"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left w:w="0" w:type="nil"/>
              <w:right w:w="0" w:type="nil"/>
            </w:tcMar>
            <w:hideMark/>
          </w:tcPr>
          <w:p w14:paraId="461D27CA" w14:textId="77777777" w:rsidR="006E51BF" w:rsidRPr="00C705D9" w:rsidRDefault="006E51BF">
            <w:pPr>
              <w:pStyle w:val="ARfintabletextboldright"/>
            </w:pPr>
            <w:r w:rsidRPr="00C705D9">
              <w:t>39,392.0</w:t>
            </w:r>
          </w:p>
        </w:tc>
        <w:tc>
          <w:tcPr>
            <w:tcW w:w="809" w:type="pct"/>
            <w:tcBorders>
              <w:top w:val="single" w:sz="4" w:space="0" w:color="000000" w:themeColor="text1"/>
              <w:bottom w:val="single" w:sz="4" w:space="0" w:color="000000" w:themeColor="text1"/>
            </w:tcBorders>
            <w:noWrap/>
            <w:tcMar>
              <w:left w:w="0" w:type="nil"/>
              <w:right w:w="0" w:type="nil"/>
            </w:tcMar>
            <w:hideMark/>
          </w:tcPr>
          <w:p w14:paraId="678C49D8" w14:textId="77777777" w:rsidR="006E51BF" w:rsidRPr="00C705D9" w:rsidRDefault="006E51BF">
            <w:pPr>
              <w:pStyle w:val="ARfintabletextboldright"/>
              <w:cnfStyle w:val="000000000000" w:firstRow="0" w:lastRow="0" w:firstColumn="0" w:lastColumn="0" w:oddVBand="0" w:evenVBand="0" w:oddHBand="0" w:evenHBand="0" w:firstRowFirstColumn="0" w:firstRowLastColumn="0" w:lastRowFirstColumn="0" w:lastRowLastColumn="0"/>
            </w:pPr>
            <w:r w:rsidRPr="00C705D9">
              <w:t>39,093.8</w:t>
            </w:r>
          </w:p>
        </w:tc>
      </w:tr>
      <w:tr w:rsidR="006E51BF" w:rsidRPr="00A2315F" w14:paraId="5909D70A"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tcBorders>
              <w:top w:val="single" w:sz="4" w:space="0" w:color="000000" w:themeColor="text1"/>
            </w:tcBorders>
            <w:shd w:val="clear" w:color="auto" w:fill="auto"/>
            <w:noWrap/>
            <w:hideMark/>
          </w:tcPr>
          <w:p w14:paraId="0BEDD72E" w14:textId="77777777" w:rsidR="006E51BF" w:rsidRPr="00C705D9" w:rsidRDefault="006E51BF">
            <w:pPr>
              <w:pStyle w:val="ARfintabletextboldcoloured"/>
            </w:pPr>
            <w:r w:rsidRPr="00C705D9">
              <w:t>Equity</w:t>
            </w:r>
          </w:p>
        </w:tc>
        <w:tc>
          <w:tcPr>
            <w:tcW w:w="747" w:type="pct"/>
            <w:tcBorders>
              <w:top w:val="single" w:sz="4" w:space="0" w:color="000000" w:themeColor="text1"/>
            </w:tcBorders>
            <w:noWrap/>
            <w:tcMar>
              <w:left w:w="0" w:type="nil"/>
              <w:right w:w="0" w:type="nil"/>
            </w:tcMar>
            <w:hideMark/>
          </w:tcPr>
          <w:p w14:paraId="3E64A5B3"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tcBorders>
              <w:top w:val="single" w:sz="4" w:space="0" w:color="000000" w:themeColor="text1"/>
            </w:tcBorders>
            <w:shd w:val="clear" w:color="auto" w:fill="auto"/>
            <w:noWrap/>
            <w:tcMar>
              <w:left w:w="0" w:type="nil"/>
              <w:right w:w="0" w:type="nil"/>
            </w:tcMar>
            <w:hideMark/>
          </w:tcPr>
          <w:p w14:paraId="3635A164" w14:textId="77777777" w:rsidR="006E51BF" w:rsidRPr="00C705D9" w:rsidRDefault="006E51BF">
            <w:pPr>
              <w:pStyle w:val="ARfintabletextright"/>
            </w:pPr>
          </w:p>
        </w:tc>
        <w:tc>
          <w:tcPr>
            <w:tcW w:w="809" w:type="pct"/>
            <w:tcBorders>
              <w:top w:val="single" w:sz="4" w:space="0" w:color="000000" w:themeColor="text1"/>
            </w:tcBorders>
            <w:noWrap/>
            <w:tcMar>
              <w:left w:w="0" w:type="nil"/>
              <w:right w:w="0" w:type="nil"/>
            </w:tcMar>
            <w:hideMark/>
          </w:tcPr>
          <w:p w14:paraId="427D393E"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r>
      <w:tr w:rsidR="006E51BF" w:rsidRPr="00A2315F" w14:paraId="1CEE6201"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shd w:val="clear" w:color="auto" w:fill="auto"/>
            <w:noWrap/>
            <w:hideMark/>
          </w:tcPr>
          <w:p w14:paraId="698B7A77" w14:textId="77777777" w:rsidR="006E51BF" w:rsidRPr="00C705D9" w:rsidRDefault="006E51BF">
            <w:pPr>
              <w:pStyle w:val="ARfintabletext"/>
            </w:pPr>
            <w:r w:rsidRPr="00C705D9">
              <w:t>Accumulated surplus/(deficit)</w:t>
            </w:r>
          </w:p>
        </w:tc>
        <w:tc>
          <w:tcPr>
            <w:tcW w:w="747" w:type="pct"/>
            <w:noWrap/>
            <w:tcMar>
              <w:left w:w="0" w:type="nil"/>
              <w:right w:w="0" w:type="nil"/>
            </w:tcMar>
            <w:hideMark/>
          </w:tcPr>
          <w:p w14:paraId="26E60D49"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62986C21" w14:textId="77777777" w:rsidR="006E51BF" w:rsidRPr="00C705D9" w:rsidRDefault="006E51BF">
            <w:pPr>
              <w:pStyle w:val="ARfintabletextright"/>
            </w:pPr>
            <w:r w:rsidRPr="00C705D9">
              <w:t>(1,385.5)</w:t>
            </w:r>
          </w:p>
        </w:tc>
        <w:tc>
          <w:tcPr>
            <w:tcW w:w="809" w:type="pct"/>
            <w:noWrap/>
            <w:tcMar>
              <w:left w:w="0" w:type="nil"/>
              <w:right w:w="0" w:type="nil"/>
            </w:tcMar>
            <w:hideMark/>
          </w:tcPr>
          <w:p w14:paraId="0C791A30"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(978.8)</w:t>
            </w:r>
          </w:p>
        </w:tc>
      </w:tr>
      <w:tr w:rsidR="006E51BF" w:rsidRPr="00A2315F" w14:paraId="0828D8F7"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shd w:val="clear" w:color="auto" w:fill="auto"/>
            <w:noWrap/>
            <w:hideMark/>
          </w:tcPr>
          <w:p w14:paraId="00328D8B" w14:textId="77777777" w:rsidR="006E51BF" w:rsidRPr="00C705D9" w:rsidRDefault="006E51BF">
            <w:pPr>
              <w:pStyle w:val="ARfintabletext"/>
            </w:pPr>
            <w:r w:rsidRPr="00C705D9">
              <w:t>Physical asset revaluation surplus</w:t>
            </w:r>
          </w:p>
        </w:tc>
        <w:tc>
          <w:tcPr>
            <w:tcW w:w="747" w:type="pct"/>
            <w:noWrap/>
            <w:tcMar>
              <w:left w:w="0" w:type="nil"/>
              <w:right w:w="0" w:type="nil"/>
            </w:tcMar>
            <w:hideMark/>
          </w:tcPr>
          <w:p w14:paraId="2E6CC46C"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9.3(b)</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1DB81C2F" w14:textId="77777777" w:rsidR="006E51BF" w:rsidRPr="00C705D9" w:rsidRDefault="006E51BF">
            <w:pPr>
              <w:pStyle w:val="ARfintabletextright"/>
            </w:pPr>
            <w:r w:rsidRPr="00C705D9">
              <w:t>8,797.8</w:t>
            </w:r>
          </w:p>
        </w:tc>
        <w:tc>
          <w:tcPr>
            <w:tcW w:w="809" w:type="pct"/>
            <w:noWrap/>
            <w:tcMar>
              <w:left w:w="0" w:type="nil"/>
              <w:right w:w="0" w:type="nil"/>
            </w:tcMar>
            <w:hideMark/>
          </w:tcPr>
          <w:p w14:paraId="3B1DFABC"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8,754.5</w:t>
            </w:r>
          </w:p>
        </w:tc>
      </w:tr>
      <w:tr w:rsidR="006E51BF" w:rsidRPr="00A2315F" w14:paraId="5114A161"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636" w:type="pct"/>
            <w:shd w:val="clear" w:color="auto" w:fill="auto"/>
            <w:noWrap/>
            <w:hideMark/>
          </w:tcPr>
          <w:p w14:paraId="221826F7" w14:textId="77777777" w:rsidR="006E51BF" w:rsidRPr="00C705D9" w:rsidRDefault="006E51BF">
            <w:pPr>
              <w:pStyle w:val="ARfintabletext"/>
            </w:pPr>
            <w:r w:rsidRPr="00C705D9">
              <w:t>Contributed capital</w:t>
            </w:r>
          </w:p>
        </w:tc>
        <w:tc>
          <w:tcPr>
            <w:tcW w:w="747" w:type="pct"/>
            <w:noWrap/>
            <w:tcMar>
              <w:left w:w="0" w:type="nil"/>
              <w:right w:w="0" w:type="nil"/>
            </w:tcMar>
            <w:hideMark/>
          </w:tcPr>
          <w:p w14:paraId="139BA428"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54F53E83" w14:textId="77777777" w:rsidR="006E51BF" w:rsidRPr="00C705D9" w:rsidRDefault="006E51BF">
            <w:pPr>
              <w:pStyle w:val="ARfintabletextright"/>
            </w:pPr>
            <w:r w:rsidRPr="00C705D9">
              <w:t>31,979.7</w:t>
            </w:r>
          </w:p>
        </w:tc>
        <w:tc>
          <w:tcPr>
            <w:tcW w:w="809" w:type="pct"/>
            <w:noWrap/>
            <w:tcMar>
              <w:left w:w="0" w:type="nil"/>
              <w:right w:w="0" w:type="nil"/>
            </w:tcMar>
            <w:hideMark/>
          </w:tcPr>
          <w:p w14:paraId="5F6C1954" w14:textId="77777777" w:rsidR="006E51BF" w:rsidRPr="00C705D9"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C705D9">
              <w:t>31,318.1</w:t>
            </w:r>
          </w:p>
        </w:tc>
      </w:tr>
      <w:tr w:rsidR="006E51BF" w:rsidRPr="00A2315F" w14:paraId="0389FD57" w14:textId="77777777" w:rsidTr="00E1009E">
        <w:tblPrEx>
          <w:tblCellMar>
            <w:left w:w="0" w:type="dxa"/>
          </w:tblCellMar>
        </w:tblPrEx>
        <w:trPr>
          <w:cnfStyle w:val="010000000000" w:firstRow="0" w:lastRow="1" w:firstColumn="0" w:lastColumn="0" w:oddVBand="0" w:evenVBand="0" w:oddHBand="0"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2636" w:type="pct"/>
            <w:shd w:val="clear" w:color="auto" w:fill="auto"/>
            <w:noWrap/>
            <w:hideMark/>
          </w:tcPr>
          <w:p w14:paraId="1F7FD55D" w14:textId="77777777" w:rsidR="006E51BF" w:rsidRPr="00C705D9" w:rsidRDefault="006E51BF">
            <w:pPr>
              <w:pStyle w:val="ARfintabletextbold"/>
            </w:pPr>
            <w:r w:rsidRPr="00C705D9">
              <w:t>Net worth</w:t>
            </w:r>
          </w:p>
        </w:tc>
        <w:tc>
          <w:tcPr>
            <w:tcW w:w="747" w:type="pct"/>
            <w:noWrap/>
            <w:tcMar>
              <w:left w:w="0" w:type="nil"/>
              <w:right w:w="0" w:type="nil"/>
            </w:tcMar>
            <w:hideMark/>
          </w:tcPr>
          <w:p w14:paraId="0629236F" w14:textId="77777777" w:rsidR="006E51BF" w:rsidRPr="00C705D9" w:rsidRDefault="006E51BF">
            <w:pPr>
              <w:pStyle w:val="ARfintabletextright"/>
              <w:cnfStyle w:val="010000000000" w:firstRow="0" w:lastRow="1"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73411A36" w14:textId="77777777" w:rsidR="006E51BF" w:rsidRPr="00C705D9" w:rsidRDefault="006E51BF">
            <w:pPr>
              <w:pStyle w:val="ARfintabletextboldright"/>
            </w:pPr>
            <w:r w:rsidRPr="00C705D9">
              <w:t>39,392.0</w:t>
            </w:r>
          </w:p>
        </w:tc>
        <w:tc>
          <w:tcPr>
            <w:tcW w:w="809" w:type="pct"/>
            <w:noWrap/>
            <w:tcMar>
              <w:left w:w="0" w:type="nil"/>
              <w:right w:w="0" w:type="nil"/>
            </w:tcMar>
            <w:hideMark/>
          </w:tcPr>
          <w:p w14:paraId="23976EFF" w14:textId="77777777" w:rsidR="006E51BF" w:rsidRPr="00C705D9" w:rsidRDefault="006E51BF">
            <w:pPr>
              <w:pStyle w:val="ARfintabletextboldright"/>
              <w:cnfStyle w:val="010000000000" w:firstRow="0" w:lastRow="1" w:firstColumn="0" w:lastColumn="0" w:oddVBand="0" w:evenVBand="0" w:oddHBand="0" w:evenHBand="0" w:firstRowFirstColumn="0" w:firstRowLastColumn="0" w:lastRowFirstColumn="0" w:lastRowLastColumn="0"/>
            </w:pPr>
            <w:r w:rsidRPr="00C705D9">
              <w:t>39,093.8</w:t>
            </w:r>
          </w:p>
        </w:tc>
      </w:tr>
    </w:tbl>
    <w:p w14:paraId="5FC897C5" w14:textId="77777777" w:rsidR="006E51BF" w:rsidRDefault="006E51BF">
      <w:pPr>
        <w:pStyle w:val="ARfintablenote"/>
        <w:rPr>
          <w:lang w:eastAsia="en-AU"/>
        </w:rPr>
      </w:pPr>
      <w:r w:rsidRPr="00A2315F">
        <w:rPr>
          <w:lang w:eastAsia="en-AU"/>
        </w:rPr>
        <w:t>The balance sheet should be read in conjunction with the notes to the financial statements.</w:t>
      </w:r>
    </w:p>
    <w:p w14:paraId="2D733E01" w14:textId="77777777" w:rsidR="006E51BF" w:rsidRDefault="006E51BF">
      <w:pPr>
        <w:pStyle w:val="ARfintablenote"/>
        <w:rPr>
          <w:lang w:eastAsia="en-AU"/>
        </w:rPr>
      </w:pPr>
      <w:r w:rsidRPr="00A2315F">
        <w:rPr>
          <w:lang w:eastAsia="en-AU"/>
        </w:rPr>
        <w:t>Note:</w:t>
      </w:r>
    </w:p>
    <w:p w14:paraId="391E733F" w14:textId="5B86CECE" w:rsidR="006E51BF" w:rsidRDefault="006E51BF" w:rsidP="006E51BF">
      <w:pPr>
        <w:pStyle w:val="ARfintablenoteroman"/>
        <w:numPr>
          <w:ilvl w:val="0"/>
          <w:numId w:val="15"/>
        </w:numPr>
      </w:pPr>
      <w:r w:rsidRPr="00A2315F">
        <w:t>As of 30 June 2026, the department held restricted cash of $5.2 million (2025:</w:t>
      </w:r>
      <w:r>
        <w:t xml:space="preserve"> </w:t>
      </w:r>
      <w:r w:rsidRPr="00A2315F">
        <w:t>$267.1 million) representing funds set aside and</w:t>
      </w:r>
      <w:r w:rsidR="009F3BE7">
        <w:t> </w:t>
      </w:r>
      <w:r w:rsidRPr="00A2315F">
        <w:t>unavailable for general operational use. The decreased balance reflected obligation settlement under its various services concession arrangements during 2025</w:t>
      </w:r>
      <w:r>
        <w:t>–</w:t>
      </w:r>
      <w:r w:rsidRPr="00A2315F">
        <w:t>26. Further information is included in Note 7.3 Cash flow information and balances.</w:t>
      </w:r>
      <w:r>
        <w:br w:type="page"/>
      </w:r>
    </w:p>
    <w:p w14:paraId="60380B48" w14:textId="77777777" w:rsidR="006E51BF" w:rsidRDefault="006E51BF">
      <w:pPr>
        <w:pStyle w:val="Heading2financials"/>
      </w:pPr>
      <w:bookmarkStart w:id="278" w:name="_Toc241068541"/>
      <w:bookmarkStart w:id="279" w:name="Cashflow"/>
      <w:r w:rsidRPr="00821A4C">
        <w:t>Cash flow statement for the financial year ended 30 June 2026</w:t>
      </w:r>
      <w:bookmarkEnd w:id="278"/>
    </w:p>
    <w:bookmarkEnd w:id="279"/>
    <w:tbl>
      <w:tblPr>
        <w:tblStyle w:val="ARtable2"/>
        <w:tblW w:w="5000" w:type="pct"/>
        <w:tblLook w:val="00A0" w:firstRow="1" w:lastRow="0" w:firstColumn="1" w:lastColumn="0" w:noHBand="0" w:noVBand="0"/>
      </w:tblPr>
      <w:tblGrid>
        <w:gridCol w:w="5663"/>
        <w:gridCol w:w="849"/>
        <w:gridCol w:w="1558"/>
        <w:gridCol w:w="1558"/>
      </w:tblGrid>
      <w:tr w:rsidR="006E51BF" w:rsidRPr="008B0D57" w14:paraId="7BBDF046" w14:textId="77777777" w:rsidTr="00E1009E">
        <w:trPr>
          <w:cnfStyle w:val="100000000000" w:firstRow="1" w:lastRow="0" w:firstColumn="0" w:lastColumn="0" w:oddVBand="0" w:evenVBand="0" w:oddHBand="0"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6115A95D" w14:textId="77777777" w:rsidR="006E51BF" w:rsidRPr="008B0D57" w:rsidRDefault="006E51BF">
            <w:pPr>
              <w:pStyle w:val="ARfintablecolhead"/>
              <w:rPr>
                <w:lang w:eastAsia="en-AU"/>
              </w:rPr>
            </w:pPr>
          </w:p>
        </w:tc>
        <w:tc>
          <w:tcPr>
            <w:tcW w:w="441" w:type="pct"/>
            <w:noWrap/>
            <w:tcMar>
              <w:left w:w="0" w:type="nil"/>
              <w:right w:w="0" w:type="nil"/>
            </w:tcMar>
            <w:hideMark/>
          </w:tcPr>
          <w:p w14:paraId="170F3752" w14:textId="77777777" w:rsidR="006E51BF" w:rsidRPr="008B0D5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8B0D57">
              <w:rPr>
                <w:lang w:eastAsia="en-AU"/>
              </w:rPr>
              <w:t>Note</w:t>
            </w: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3DC9F2CC" w14:textId="77777777" w:rsidR="006E51BF" w:rsidRPr="008B0D57" w:rsidRDefault="006E51BF">
            <w:pPr>
              <w:pStyle w:val="ARfintablecolheadright"/>
              <w:rPr>
                <w:lang w:eastAsia="en-AU"/>
              </w:rPr>
            </w:pPr>
            <w:r w:rsidRPr="008B0D57">
              <w:rPr>
                <w:lang w:eastAsia="en-AU"/>
              </w:rPr>
              <w:t>2026</w:t>
            </w:r>
          </w:p>
          <w:p w14:paraId="077443D2" w14:textId="77777777" w:rsidR="006E51BF" w:rsidRPr="008B0D57" w:rsidRDefault="006E51BF">
            <w:pPr>
              <w:pStyle w:val="ARfintablecolheadright"/>
              <w:rPr>
                <w:lang w:eastAsia="en-AU"/>
              </w:rPr>
            </w:pPr>
            <w:r w:rsidRPr="008B0D57">
              <w:rPr>
                <w:lang w:eastAsia="en-AU"/>
              </w:rPr>
              <w:t>$M</w:t>
            </w:r>
          </w:p>
        </w:tc>
        <w:tc>
          <w:tcPr>
            <w:tcW w:w="809" w:type="pct"/>
            <w:noWrap/>
            <w:tcMar>
              <w:left w:w="0" w:type="nil"/>
              <w:right w:w="0" w:type="nil"/>
            </w:tcMar>
            <w:hideMark/>
          </w:tcPr>
          <w:p w14:paraId="125A7C40" w14:textId="77777777" w:rsidR="006E51BF" w:rsidRPr="008B0D5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8B0D57">
              <w:rPr>
                <w:lang w:eastAsia="en-AU"/>
              </w:rPr>
              <w:t>2025</w:t>
            </w:r>
          </w:p>
          <w:p w14:paraId="345D5621" w14:textId="77777777" w:rsidR="006E51BF" w:rsidRPr="008B0D5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8B0D57">
              <w:rPr>
                <w:lang w:eastAsia="en-AU"/>
              </w:rPr>
              <w:t>$M</w:t>
            </w:r>
          </w:p>
        </w:tc>
      </w:tr>
      <w:tr w:rsidR="006E51BF" w:rsidRPr="008B0D57" w14:paraId="10AFEF61"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40B7A7CA" w14:textId="77777777" w:rsidR="006E51BF" w:rsidRPr="008B0D57" w:rsidRDefault="006E51BF">
            <w:pPr>
              <w:pStyle w:val="ARfintabletextboldcoloured"/>
              <w:rPr>
                <w:lang w:eastAsia="en-AU"/>
              </w:rPr>
            </w:pPr>
            <w:r w:rsidRPr="008B0D57">
              <w:rPr>
                <w:lang w:eastAsia="en-AU"/>
              </w:rPr>
              <w:t>Cash flows from operating activities</w:t>
            </w:r>
          </w:p>
        </w:tc>
        <w:tc>
          <w:tcPr>
            <w:tcW w:w="441" w:type="pct"/>
            <w:noWrap/>
            <w:tcMar>
              <w:left w:w="0" w:type="nil"/>
              <w:right w:w="0" w:type="nil"/>
            </w:tcMar>
            <w:hideMark/>
          </w:tcPr>
          <w:p w14:paraId="60ACBBAF"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shd w:val="clear" w:color="auto" w:fill="auto"/>
            <w:noWrap/>
            <w:tcMar>
              <w:left w:w="0" w:type="nil"/>
              <w:right w:w="0" w:type="nil"/>
            </w:tcMar>
            <w:hideMark/>
          </w:tcPr>
          <w:p w14:paraId="5DA91777" w14:textId="77777777" w:rsidR="006E51BF" w:rsidRPr="008B0D57" w:rsidRDefault="006E51BF">
            <w:pPr>
              <w:pStyle w:val="ARfintabletextright"/>
              <w:rPr>
                <w:lang w:eastAsia="en-AU"/>
              </w:rPr>
            </w:pPr>
          </w:p>
        </w:tc>
        <w:tc>
          <w:tcPr>
            <w:tcW w:w="809" w:type="pct"/>
            <w:noWrap/>
            <w:tcMar>
              <w:left w:w="0" w:type="nil"/>
              <w:right w:w="0" w:type="nil"/>
            </w:tcMar>
            <w:hideMark/>
          </w:tcPr>
          <w:p w14:paraId="3AF629D7"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r>
      <w:tr w:rsidR="006E51BF" w:rsidRPr="008B0D57" w14:paraId="43C0E57E"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487F20A6" w14:textId="77777777" w:rsidR="006E51BF" w:rsidRPr="008B0D57" w:rsidRDefault="006E51BF">
            <w:pPr>
              <w:pStyle w:val="ARfintabletextbold"/>
              <w:rPr>
                <w:lang w:eastAsia="en-AU"/>
              </w:rPr>
            </w:pPr>
            <w:r w:rsidRPr="008B0D57">
              <w:rPr>
                <w:lang w:eastAsia="en-AU"/>
              </w:rPr>
              <w:t>Receipts</w:t>
            </w:r>
          </w:p>
        </w:tc>
        <w:tc>
          <w:tcPr>
            <w:tcW w:w="441" w:type="pct"/>
            <w:noWrap/>
            <w:tcMar>
              <w:left w:w="0" w:type="nil"/>
              <w:right w:w="0" w:type="nil"/>
            </w:tcMar>
            <w:hideMark/>
          </w:tcPr>
          <w:p w14:paraId="501453ED"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shd w:val="clear" w:color="auto" w:fill="auto"/>
            <w:noWrap/>
            <w:tcMar>
              <w:left w:w="0" w:type="nil"/>
              <w:right w:w="0" w:type="nil"/>
            </w:tcMar>
            <w:hideMark/>
          </w:tcPr>
          <w:p w14:paraId="36E479D9" w14:textId="77777777" w:rsidR="006E51BF" w:rsidRPr="008B0D57" w:rsidRDefault="006E51BF">
            <w:pPr>
              <w:pStyle w:val="ARfintabletextright"/>
              <w:rPr>
                <w:lang w:eastAsia="en-AU"/>
              </w:rPr>
            </w:pPr>
          </w:p>
        </w:tc>
        <w:tc>
          <w:tcPr>
            <w:tcW w:w="809" w:type="pct"/>
            <w:noWrap/>
            <w:tcMar>
              <w:left w:w="0" w:type="nil"/>
              <w:right w:w="0" w:type="nil"/>
            </w:tcMar>
            <w:hideMark/>
          </w:tcPr>
          <w:p w14:paraId="76234FFF"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r>
      <w:tr w:rsidR="006E51BF" w:rsidRPr="008B0D57" w14:paraId="694603D7"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5A30F65A" w14:textId="77777777" w:rsidR="006E51BF" w:rsidRPr="008B0D57" w:rsidRDefault="006E51BF">
            <w:pPr>
              <w:pStyle w:val="ARfintabletext"/>
              <w:rPr>
                <w:lang w:eastAsia="en-AU"/>
              </w:rPr>
            </w:pPr>
            <w:r w:rsidRPr="008B0D57">
              <w:rPr>
                <w:lang w:eastAsia="en-AU"/>
              </w:rPr>
              <w:t>Output appropriations</w:t>
            </w:r>
          </w:p>
        </w:tc>
        <w:tc>
          <w:tcPr>
            <w:tcW w:w="441" w:type="pct"/>
            <w:noWrap/>
            <w:tcMar>
              <w:left w:w="0" w:type="nil"/>
              <w:right w:w="0" w:type="nil"/>
            </w:tcMar>
            <w:hideMark/>
          </w:tcPr>
          <w:p w14:paraId="2367C3E6"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5ED302EE" w14:textId="77777777" w:rsidR="006E51BF" w:rsidRPr="008B0D57" w:rsidRDefault="006E51BF">
            <w:pPr>
              <w:pStyle w:val="ARfintabletextright"/>
              <w:rPr>
                <w:lang w:eastAsia="en-AU"/>
              </w:rPr>
            </w:pPr>
            <w:r w:rsidRPr="008B0D57">
              <w:rPr>
                <w:lang w:eastAsia="en-AU"/>
              </w:rPr>
              <w:t>5,928.0</w:t>
            </w:r>
          </w:p>
        </w:tc>
        <w:tc>
          <w:tcPr>
            <w:tcW w:w="809" w:type="pct"/>
            <w:noWrap/>
            <w:tcMar>
              <w:left w:w="0" w:type="nil"/>
              <w:right w:w="0" w:type="nil"/>
            </w:tcMar>
            <w:hideMark/>
          </w:tcPr>
          <w:p w14:paraId="60243D06"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6,291.6</w:t>
            </w:r>
          </w:p>
        </w:tc>
      </w:tr>
      <w:tr w:rsidR="006E51BF" w:rsidRPr="008B0D57" w14:paraId="0F9BEB25"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3E0E4831" w14:textId="77777777" w:rsidR="006E51BF" w:rsidRPr="008B0D57" w:rsidRDefault="006E51BF">
            <w:pPr>
              <w:pStyle w:val="ARfintabletext"/>
              <w:rPr>
                <w:lang w:eastAsia="en-AU"/>
              </w:rPr>
            </w:pPr>
            <w:r w:rsidRPr="008B0D57">
              <w:rPr>
                <w:lang w:eastAsia="en-AU"/>
              </w:rPr>
              <w:t>Special appropriations</w:t>
            </w:r>
          </w:p>
        </w:tc>
        <w:tc>
          <w:tcPr>
            <w:tcW w:w="441" w:type="pct"/>
            <w:noWrap/>
            <w:tcMar>
              <w:left w:w="0" w:type="nil"/>
              <w:right w:w="0" w:type="nil"/>
            </w:tcMar>
            <w:hideMark/>
          </w:tcPr>
          <w:p w14:paraId="44F447A8"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6A6DD949" w14:textId="77777777" w:rsidR="006E51BF" w:rsidRPr="008B0D57" w:rsidRDefault="006E51BF">
            <w:pPr>
              <w:pStyle w:val="ARfintabletextright"/>
              <w:rPr>
                <w:lang w:eastAsia="en-AU"/>
              </w:rPr>
            </w:pPr>
            <w:r w:rsidRPr="008B0D57">
              <w:rPr>
                <w:lang w:eastAsia="en-AU"/>
              </w:rPr>
              <w:t>79.6</w:t>
            </w:r>
          </w:p>
        </w:tc>
        <w:tc>
          <w:tcPr>
            <w:tcW w:w="809" w:type="pct"/>
            <w:noWrap/>
            <w:tcMar>
              <w:left w:w="0" w:type="nil"/>
              <w:right w:w="0" w:type="nil"/>
            </w:tcMar>
            <w:hideMark/>
          </w:tcPr>
          <w:p w14:paraId="1335BCE2"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100.6</w:t>
            </w:r>
          </w:p>
        </w:tc>
      </w:tr>
      <w:tr w:rsidR="006E51BF" w:rsidRPr="008B0D57" w14:paraId="02D2E8DF"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6B989107" w14:textId="77777777" w:rsidR="006E51BF" w:rsidRPr="008B0D57" w:rsidRDefault="006E51BF">
            <w:pPr>
              <w:pStyle w:val="ARfintabletext"/>
              <w:rPr>
                <w:lang w:eastAsia="en-AU"/>
              </w:rPr>
            </w:pPr>
            <w:r w:rsidRPr="008B0D57">
              <w:rPr>
                <w:lang w:eastAsia="en-AU"/>
              </w:rPr>
              <w:t>Receipts from other entities</w:t>
            </w:r>
          </w:p>
        </w:tc>
        <w:tc>
          <w:tcPr>
            <w:tcW w:w="441" w:type="pct"/>
            <w:noWrap/>
            <w:tcMar>
              <w:left w:w="0" w:type="nil"/>
              <w:right w:w="0" w:type="nil"/>
            </w:tcMar>
            <w:hideMark/>
          </w:tcPr>
          <w:p w14:paraId="5700A849"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4F44E457" w14:textId="77777777" w:rsidR="006E51BF" w:rsidRPr="008B0D57" w:rsidRDefault="006E51BF">
            <w:pPr>
              <w:pStyle w:val="ARfintabletextright"/>
              <w:rPr>
                <w:lang w:eastAsia="en-AU"/>
              </w:rPr>
            </w:pPr>
            <w:r w:rsidRPr="008B0D57">
              <w:rPr>
                <w:lang w:eastAsia="en-AU"/>
              </w:rPr>
              <w:t>113.7</w:t>
            </w:r>
          </w:p>
        </w:tc>
        <w:tc>
          <w:tcPr>
            <w:tcW w:w="809" w:type="pct"/>
            <w:noWrap/>
            <w:tcMar>
              <w:left w:w="0" w:type="nil"/>
              <w:right w:w="0" w:type="nil"/>
            </w:tcMar>
            <w:hideMark/>
          </w:tcPr>
          <w:p w14:paraId="20F8C60F"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391.4</w:t>
            </w:r>
          </w:p>
        </w:tc>
      </w:tr>
      <w:tr w:rsidR="006E51BF" w:rsidRPr="008B0D57" w14:paraId="1EA2ECEF"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703C680F" w14:textId="77777777" w:rsidR="006E51BF" w:rsidRPr="008B0D57" w:rsidRDefault="006E51BF">
            <w:pPr>
              <w:pStyle w:val="ARfintabletext"/>
              <w:rPr>
                <w:lang w:eastAsia="en-AU"/>
              </w:rPr>
            </w:pPr>
            <w:r w:rsidRPr="008B0D57">
              <w:rPr>
                <w:lang w:eastAsia="en-AU"/>
              </w:rPr>
              <w:t>Rent received</w:t>
            </w:r>
          </w:p>
        </w:tc>
        <w:tc>
          <w:tcPr>
            <w:tcW w:w="441" w:type="pct"/>
            <w:noWrap/>
            <w:tcMar>
              <w:left w:w="0" w:type="nil"/>
              <w:right w:w="0" w:type="nil"/>
            </w:tcMar>
            <w:hideMark/>
          </w:tcPr>
          <w:p w14:paraId="5870F85E"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00F514BB" w14:textId="77777777" w:rsidR="006E51BF" w:rsidRPr="008B0D57" w:rsidRDefault="006E51BF">
            <w:pPr>
              <w:pStyle w:val="ARfintabletextright"/>
              <w:rPr>
                <w:lang w:eastAsia="en-AU"/>
              </w:rPr>
            </w:pPr>
            <w:r w:rsidRPr="008B0D57">
              <w:rPr>
                <w:lang w:eastAsia="en-AU"/>
              </w:rPr>
              <w:t>618.0</w:t>
            </w:r>
          </w:p>
        </w:tc>
        <w:tc>
          <w:tcPr>
            <w:tcW w:w="809" w:type="pct"/>
            <w:noWrap/>
            <w:tcMar>
              <w:left w:w="0" w:type="nil"/>
              <w:right w:w="0" w:type="nil"/>
            </w:tcMar>
            <w:hideMark/>
          </w:tcPr>
          <w:p w14:paraId="5528F098"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587.2</w:t>
            </w:r>
          </w:p>
        </w:tc>
      </w:tr>
      <w:tr w:rsidR="006E51BF" w:rsidRPr="008B0D57" w14:paraId="3A174853"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6B685979" w14:textId="77777777" w:rsidR="006E51BF" w:rsidRPr="008B0D57" w:rsidRDefault="006E51BF">
            <w:pPr>
              <w:pStyle w:val="ARfintabletext"/>
              <w:rPr>
                <w:lang w:eastAsia="en-AU"/>
              </w:rPr>
            </w:pPr>
            <w:r w:rsidRPr="008B0D57">
              <w:rPr>
                <w:lang w:eastAsia="en-AU"/>
              </w:rPr>
              <w:t>Interest received</w:t>
            </w:r>
          </w:p>
        </w:tc>
        <w:tc>
          <w:tcPr>
            <w:tcW w:w="441" w:type="pct"/>
            <w:noWrap/>
            <w:tcMar>
              <w:left w:w="0" w:type="nil"/>
              <w:right w:w="0" w:type="nil"/>
            </w:tcMar>
            <w:hideMark/>
          </w:tcPr>
          <w:p w14:paraId="1D3D7032"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5905DDBE" w14:textId="77777777" w:rsidR="006E51BF" w:rsidRPr="008B0D57" w:rsidRDefault="006E51BF">
            <w:pPr>
              <w:pStyle w:val="ARfintabletextright"/>
              <w:rPr>
                <w:lang w:eastAsia="en-AU"/>
              </w:rPr>
            </w:pPr>
            <w:r w:rsidRPr="008B0D57">
              <w:rPr>
                <w:lang w:eastAsia="en-AU"/>
              </w:rPr>
              <w:t>51.0</w:t>
            </w:r>
          </w:p>
        </w:tc>
        <w:tc>
          <w:tcPr>
            <w:tcW w:w="809" w:type="pct"/>
            <w:noWrap/>
            <w:tcMar>
              <w:left w:w="0" w:type="nil"/>
              <w:right w:w="0" w:type="nil"/>
            </w:tcMar>
            <w:hideMark/>
          </w:tcPr>
          <w:p w14:paraId="5118A8F9"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37.6</w:t>
            </w:r>
          </w:p>
        </w:tc>
      </w:tr>
      <w:tr w:rsidR="006E51BF" w:rsidRPr="008B0D57" w14:paraId="4EDE2BDB"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2A3E7943" w14:textId="77777777" w:rsidR="006E51BF" w:rsidRPr="008B0D57" w:rsidRDefault="006E51BF">
            <w:pPr>
              <w:pStyle w:val="ARfintabletext"/>
              <w:rPr>
                <w:lang w:eastAsia="en-AU"/>
              </w:rPr>
            </w:pPr>
            <w:r w:rsidRPr="008B0D57">
              <w:rPr>
                <w:lang w:eastAsia="en-AU"/>
              </w:rPr>
              <w:t>Other receipts</w:t>
            </w:r>
          </w:p>
        </w:tc>
        <w:tc>
          <w:tcPr>
            <w:tcW w:w="441" w:type="pct"/>
            <w:noWrap/>
            <w:tcMar>
              <w:left w:w="0" w:type="nil"/>
              <w:right w:w="0" w:type="nil"/>
            </w:tcMar>
            <w:hideMark/>
          </w:tcPr>
          <w:p w14:paraId="39BEC267"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6634B2B2" w14:textId="77777777" w:rsidR="006E51BF" w:rsidRPr="008B0D57" w:rsidRDefault="006E51BF">
            <w:pPr>
              <w:pStyle w:val="ARfintabletextright"/>
              <w:rPr>
                <w:lang w:eastAsia="en-AU"/>
              </w:rPr>
            </w:pPr>
            <w:r w:rsidRPr="008B0D57">
              <w:rPr>
                <w:lang w:eastAsia="en-AU"/>
              </w:rPr>
              <w:t>10.0</w:t>
            </w:r>
          </w:p>
        </w:tc>
        <w:tc>
          <w:tcPr>
            <w:tcW w:w="809" w:type="pct"/>
            <w:noWrap/>
            <w:tcMar>
              <w:left w:w="0" w:type="nil"/>
              <w:right w:w="0" w:type="nil"/>
            </w:tcMar>
            <w:hideMark/>
          </w:tcPr>
          <w:p w14:paraId="0EB8493C"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9.9</w:t>
            </w:r>
          </w:p>
        </w:tc>
      </w:tr>
      <w:tr w:rsidR="006E51BF" w:rsidRPr="008B0D57" w14:paraId="6AFD47D0"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3C455F14" w14:textId="77777777" w:rsidR="006E51BF" w:rsidRPr="008B0D57" w:rsidRDefault="006E51BF">
            <w:pPr>
              <w:pStyle w:val="ARfintabletext"/>
              <w:rPr>
                <w:lang w:eastAsia="en-AU"/>
              </w:rPr>
            </w:pPr>
            <w:r w:rsidRPr="008B0D57">
              <w:rPr>
                <w:lang w:eastAsia="en-AU"/>
              </w:rPr>
              <w:t xml:space="preserve">GST recovered from Australian Taxation Office </w:t>
            </w:r>
            <w:r w:rsidRPr="008B0D57">
              <w:rPr>
                <w:vertAlign w:val="superscript"/>
                <w:lang w:eastAsia="en-AU"/>
              </w:rPr>
              <w:t>(</w:t>
            </w:r>
            <w:proofErr w:type="spellStart"/>
            <w:r w:rsidRPr="008B0D57">
              <w:rPr>
                <w:vertAlign w:val="superscript"/>
                <w:lang w:eastAsia="en-AU"/>
              </w:rPr>
              <w:t>i</w:t>
            </w:r>
            <w:proofErr w:type="spellEnd"/>
            <w:r w:rsidRPr="008B0D57">
              <w:rPr>
                <w:vertAlign w:val="superscript"/>
                <w:lang w:eastAsia="en-AU"/>
              </w:rPr>
              <w:t>)</w:t>
            </w:r>
          </w:p>
        </w:tc>
        <w:tc>
          <w:tcPr>
            <w:tcW w:w="441" w:type="pct"/>
            <w:noWrap/>
            <w:tcMar>
              <w:left w:w="0" w:type="nil"/>
              <w:right w:w="0" w:type="nil"/>
            </w:tcMar>
            <w:hideMark/>
          </w:tcPr>
          <w:p w14:paraId="4C5D5908"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342D6EC9" w14:textId="77777777" w:rsidR="006E51BF" w:rsidRPr="008B0D57" w:rsidRDefault="006E51BF">
            <w:pPr>
              <w:pStyle w:val="ARfintabletextright"/>
              <w:rPr>
                <w:lang w:eastAsia="en-AU"/>
              </w:rPr>
            </w:pPr>
            <w:r w:rsidRPr="008B0D57">
              <w:rPr>
                <w:lang w:eastAsia="en-AU"/>
              </w:rPr>
              <w:t>441.2</w:t>
            </w:r>
          </w:p>
        </w:tc>
        <w:tc>
          <w:tcPr>
            <w:tcW w:w="809" w:type="pct"/>
            <w:noWrap/>
            <w:tcMar>
              <w:left w:w="0" w:type="nil"/>
              <w:right w:w="0" w:type="nil"/>
            </w:tcMar>
            <w:hideMark/>
          </w:tcPr>
          <w:p w14:paraId="4DFFD78E"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346.6</w:t>
            </w:r>
          </w:p>
        </w:tc>
      </w:tr>
      <w:tr w:rsidR="006E51BF" w:rsidRPr="008B0D57" w14:paraId="24990BD8"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11B8DF9D" w14:textId="77777777" w:rsidR="006E51BF" w:rsidRPr="008B0D57" w:rsidRDefault="006E51BF">
            <w:pPr>
              <w:pStyle w:val="ARfintabletextbold"/>
              <w:rPr>
                <w:lang w:eastAsia="en-AU"/>
              </w:rPr>
            </w:pPr>
            <w:r w:rsidRPr="008B0D57">
              <w:rPr>
                <w:lang w:eastAsia="en-AU"/>
              </w:rPr>
              <w:t>Total receipts</w:t>
            </w:r>
          </w:p>
        </w:tc>
        <w:tc>
          <w:tcPr>
            <w:tcW w:w="441" w:type="pct"/>
            <w:noWrap/>
            <w:tcMar>
              <w:left w:w="0" w:type="nil"/>
              <w:right w:w="0" w:type="nil"/>
            </w:tcMar>
            <w:hideMark/>
          </w:tcPr>
          <w:p w14:paraId="7C6756FC"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2380F04B" w14:textId="77777777" w:rsidR="006E51BF" w:rsidRPr="008B0D57" w:rsidRDefault="006E51BF">
            <w:pPr>
              <w:pStyle w:val="ARfintabletextboldright"/>
              <w:rPr>
                <w:lang w:eastAsia="en-AU"/>
              </w:rPr>
            </w:pPr>
            <w:r w:rsidRPr="008B0D57">
              <w:rPr>
                <w:lang w:eastAsia="en-AU"/>
              </w:rPr>
              <w:t>7,241.5</w:t>
            </w:r>
          </w:p>
        </w:tc>
        <w:tc>
          <w:tcPr>
            <w:tcW w:w="809" w:type="pct"/>
            <w:noWrap/>
            <w:tcMar>
              <w:left w:w="0" w:type="nil"/>
              <w:right w:w="0" w:type="nil"/>
            </w:tcMar>
            <w:hideMark/>
          </w:tcPr>
          <w:p w14:paraId="248F32B5" w14:textId="77777777" w:rsidR="006E51BF" w:rsidRPr="008B0D57" w:rsidRDefault="006E51BF">
            <w:pPr>
              <w:pStyle w:val="ARfintabletextbold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7,764.9</w:t>
            </w:r>
          </w:p>
        </w:tc>
      </w:tr>
      <w:tr w:rsidR="006E51BF" w:rsidRPr="008B0D57" w14:paraId="57F4AF61"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1E6818E4" w14:textId="77777777" w:rsidR="006E51BF" w:rsidRPr="008B0D57" w:rsidRDefault="006E51BF">
            <w:pPr>
              <w:pStyle w:val="ARfintabletextboldcoloured"/>
              <w:rPr>
                <w:lang w:eastAsia="en-AU"/>
              </w:rPr>
            </w:pPr>
            <w:r w:rsidRPr="008B0D57">
              <w:rPr>
                <w:lang w:eastAsia="en-AU"/>
              </w:rPr>
              <w:t>Payments</w:t>
            </w:r>
          </w:p>
        </w:tc>
        <w:tc>
          <w:tcPr>
            <w:tcW w:w="441" w:type="pct"/>
            <w:noWrap/>
            <w:tcMar>
              <w:left w:w="0" w:type="nil"/>
              <w:right w:w="0" w:type="nil"/>
            </w:tcMar>
            <w:hideMark/>
          </w:tcPr>
          <w:p w14:paraId="1A8F97E1"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shd w:val="clear" w:color="auto" w:fill="auto"/>
            <w:noWrap/>
            <w:tcMar>
              <w:left w:w="0" w:type="nil"/>
              <w:right w:w="0" w:type="nil"/>
            </w:tcMar>
            <w:hideMark/>
          </w:tcPr>
          <w:p w14:paraId="11C25D4C" w14:textId="77777777" w:rsidR="006E51BF" w:rsidRPr="008B0D57" w:rsidRDefault="006E51BF">
            <w:pPr>
              <w:pStyle w:val="ARfintabletextright"/>
              <w:rPr>
                <w:lang w:eastAsia="en-AU"/>
              </w:rPr>
            </w:pPr>
          </w:p>
        </w:tc>
        <w:tc>
          <w:tcPr>
            <w:tcW w:w="809" w:type="pct"/>
            <w:noWrap/>
            <w:tcMar>
              <w:left w:w="0" w:type="nil"/>
              <w:right w:w="0" w:type="nil"/>
            </w:tcMar>
            <w:hideMark/>
          </w:tcPr>
          <w:p w14:paraId="6881D5D1"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r>
      <w:tr w:rsidR="006E51BF" w:rsidRPr="008B0D57" w14:paraId="7BE6F53B"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60F91120" w14:textId="77777777" w:rsidR="006E51BF" w:rsidRPr="008B0D57" w:rsidRDefault="006E51BF">
            <w:pPr>
              <w:pStyle w:val="ARfintabletext"/>
              <w:rPr>
                <w:lang w:eastAsia="en-AU"/>
              </w:rPr>
            </w:pPr>
            <w:r w:rsidRPr="008B0D57">
              <w:rPr>
                <w:lang w:eastAsia="en-AU"/>
              </w:rPr>
              <w:t>Grants and other transfers</w:t>
            </w:r>
          </w:p>
        </w:tc>
        <w:tc>
          <w:tcPr>
            <w:tcW w:w="441" w:type="pct"/>
            <w:noWrap/>
            <w:tcMar>
              <w:left w:w="0" w:type="nil"/>
              <w:right w:w="0" w:type="nil"/>
            </w:tcMar>
            <w:hideMark/>
          </w:tcPr>
          <w:p w14:paraId="4E12E040"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4531D91B" w14:textId="77777777" w:rsidR="006E51BF" w:rsidRPr="008B0D57" w:rsidRDefault="006E51BF">
            <w:pPr>
              <w:pStyle w:val="ARfintabletextright"/>
              <w:rPr>
                <w:lang w:eastAsia="en-AU"/>
              </w:rPr>
            </w:pPr>
            <w:r w:rsidRPr="008B0D57">
              <w:rPr>
                <w:lang w:eastAsia="en-AU"/>
              </w:rPr>
              <w:t>(5,055.7)</w:t>
            </w:r>
          </w:p>
        </w:tc>
        <w:tc>
          <w:tcPr>
            <w:tcW w:w="809" w:type="pct"/>
            <w:noWrap/>
            <w:tcMar>
              <w:left w:w="0" w:type="nil"/>
              <w:right w:w="0" w:type="nil"/>
            </w:tcMar>
            <w:hideMark/>
          </w:tcPr>
          <w:p w14:paraId="2462C331"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(5,258.7)</w:t>
            </w:r>
          </w:p>
        </w:tc>
      </w:tr>
      <w:tr w:rsidR="006E51BF" w:rsidRPr="008B0D57" w14:paraId="03E60445"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665ACEBE" w14:textId="77777777" w:rsidR="006E51BF" w:rsidRPr="008B0D57" w:rsidRDefault="006E51BF">
            <w:pPr>
              <w:pStyle w:val="ARfintabletext"/>
              <w:rPr>
                <w:lang w:eastAsia="en-AU"/>
              </w:rPr>
            </w:pPr>
            <w:r w:rsidRPr="008B0D57">
              <w:rPr>
                <w:lang w:eastAsia="en-AU"/>
              </w:rPr>
              <w:t>Employee benefits</w:t>
            </w:r>
          </w:p>
        </w:tc>
        <w:tc>
          <w:tcPr>
            <w:tcW w:w="441" w:type="pct"/>
            <w:noWrap/>
            <w:tcMar>
              <w:left w:w="0" w:type="nil"/>
              <w:right w:w="0" w:type="nil"/>
            </w:tcMar>
            <w:hideMark/>
          </w:tcPr>
          <w:p w14:paraId="44BA4808"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396A4228" w14:textId="77777777" w:rsidR="006E51BF" w:rsidRPr="008B0D57" w:rsidRDefault="006E51BF">
            <w:pPr>
              <w:pStyle w:val="ARfintabletextright"/>
              <w:rPr>
                <w:lang w:eastAsia="en-AU"/>
              </w:rPr>
            </w:pPr>
            <w:r w:rsidRPr="008B0D57">
              <w:rPr>
                <w:lang w:eastAsia="en-AU"/>
              </w:rPr>
              <w:t>(1,068.9)</w:t>
            </w:r>
          </w:p>
        </w:tc>
        <w:tc>
          <w:tcPr>
            <w:tcW w:w="809" w:type="pct"/>
            <w:noWrap/>
            <w:tcMar>
              <w:left w:w="0" w:type="nil"/>
              <w:right w:w="0" w:type="nil"/>
            </w:tcMar>
            <w:hideMark/>
          </w:tcPr>
          <w:p w14:paraId="3C78DDE9"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(1,078.3)</w:t>
            </w:r>
          </w:p>
        </w:tc>
      </w:tr>
      <w:tr w:rsidR="006E51BF" w:rsidRPr="008B0D57" w14:paraId="48635B4F"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2A3E8FA1" w14:textId="77777777" w:rsidR="006E51BF" w:rsidRPr="008B0D57" w:rsidRDefault="006E51BF">
            <w:pPr>
              <w:pStyle w:val="ARfintabletext"/>
              <w:rPr>
                <w:lang w:eastAsia="en-AU"/>
              </w:rPr>
            </w:pPr>
            <w:r w:rsidRPr="008B0D57">
              <w:rPr>
                <w:lang w:eastAsia="en-AU"/>
              </w:rPr>
              <w:t>Supplies and services</w:t>
            </w:r>
          </w:p>
        </w:tc>
        <w:tc>
          <w:tcPr>
            <w:tcW w:w="441" w:type="pct"/>
            <w:noWrap/>
            <w:tcMar>
              <w:left w:w="0" w:type="nil"/>
              <w:right w:w="0" w:type="nil"/>
            </w:tcMar>
            <w:hideMark/>
          </w:tcPr>
          <w:p w14:paraId="3D18CEAF"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7BBDD614" w14:textId="77777777" w:rsidR="006E51BF" w:rsidRPr="008B0D57" w:rsidRDefault="006E51BF">
            <w:pPr>
              <w:pStyle w:val="ARfintabletextright"/>
              <w:rPr>
                <w:lang w:eastAsia="en-AU"/>
              </w:rPr>
            </w:pPr>
            <w:r w:rsidRPr="008B0D57">
              <w:rPr>
                <w:lang w:eastAsia="en-AU"/>
              </w:rPr>
              <w:t>(553.7)</w:t>
            </w:r>
          </w:p>
        </w:tc>
        <w:tc>
          <w:tcPr>
            <w:tcW w:w="809" w:type="pct"/>
            <w:noWrap/>
            <w:tcMar>
              <w:left w:w="0" w:type="nil"/>
              <w:right w:w="0" w:type="nil"/>
            </w:tcMar>
            <w:hideMark/>
          </w:tcPr>
          <w:p w14:paraId="3CCABA8C"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(542.0)</w:t>
            </w:r>
          </w:p>
        </w:tc>
      </w:tr>
      <w:tr w:rsidR="006E51BF" w:rsidRPr="008B0D57" w14:paraId="24BFC304"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26B2C65C" w14:textId="77777777" w:rsidR="006E51BF" w:rsidRPr="008B0D57" w:rsidRDefault="006E51BF">
            <w:pPr>
              <w:pStyle w:val="ARfintabletext"/>
              <w:rPr>
                <w:lang w:eastAsia="en-AU"/>
              </w:rPr>
            </w:pPr>
            <w:r w:rsidRPr="008B0D57">
              <w:rPr>
                <w:lang w:eastAsia="en-AU"/>
              </w:rPr>
              <w:t>Other operating expenses</w:t>
            </w:r>
          </w:p>
        </w:tc>
        <w:tc>
          <w:tcPr>
            <w:tcW w:w="441" w:type="pct"/>
            <w:noWrap/>
            <w:tcMar>
              <w:left w:w="0" w:type="nil"/>
              <w:right w:w="0" w:type="nil"/>
            </w:tcMar>
            <w:hideMark/>
          </w:tcPr>
          <w:p w14:paraId="33707709"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7C937646" w14:textId="77777777" w:rsidR="006E51BF" w:rsidRPr="008B0D57" w:rsidRDefault="006E51BF">
            <w:pPr>
              <w:pStyle w:val="ARfintabletextright"/>
              <w:rPr>
                <w:lang w:eastAsia="en-AU"/>
              </w:rPr>
            </w:pPr>
            <w:r w:rsidRPr="008B0D57">
              <w:rPr>
                <w:lang w:eastAsia="en-AU"/>
              </w:rPr>
              <w:t>(54.2)</w:t>
            </w:r>
          </w:p>
        </w:tc>
        <w:tc>
          <w:tcPr>
            <w:tcW w:w="809" w:type="pct"/>
            <w:noWrap/>
            <w:tcMar>
              <w:left w:w="0" w:type="nil"/>
              <w:right w:w="0" w:type="nil"/>
            </w:tcMar>
            <w:hideMark/>
          </w:tcPr>
          <w:p w14:paraId="402D4BBF"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(38.6)</w:t>
            </w:r>
          </w:p>
        </w:tc>
      </w:tr>
      <w:tr w:rsidR="006E51BF" w:rsidRPr="008B0D57" w14:paraId="475C271E"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6BA9481E" w14:textId="77777777" w:rsidR="006E51BF" w:rsidRPr="008B0D57" w:rsidRDefault="006E51BF">
            <w:pPr>
              <w:pStyle w:val="ARfintabletext"/>
              <w:rPr>
                <w:lang w:eastAsia="en-AU"/>
              </w:rPr>
            </w:pPr>
            <w:r w:rsidRPr="008B0D57">
              <w:rPr>
                <w:lang w:eastAsia="en-AU"/>
              </w:rPr>
              <w:t>Property management expenses</w:t>
            </w:r>
          </w:p>
        </w:tc>
        <w:tc>
          <w:tcPr>
            <w:tcW w:w="441" w:type="pct"/>
            <w:noWrap/>
            <w:tcMar>
              <w:left w:w="0" w:type="nil"/>
              <w:right w:w="0" w:type="nil"/>
            </w:tcMar>
            <w:hideMark/>
          </w:tcPr>
          <w:p w14:paraId="584094AB"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40944202" w14:textId="77777777" w:rsidR="006E51BF" w:rsidRPr="008B0D57" w:rsidRDefault="006E51BF">
            <w:pPr>
              <w:pStyle w:val="ARfintabletextright"/>
              <w:rPr>
                <w:lang w:eastAsia="en-AU"/>
              </w:rPr>
            </w:pPr>
            <w:r w:rsidRPr="008B0D57">
              <w:rPr>
                <w:lang w:eastAsia="en-AU"/>
              </w:rPr>
              <w:t>(477.9)</w:t>
            </w:r>
          </w:p>
        </w:tc>
        <w:tc>
          <w:tcPr>
            <w:tcW w:w="809" w:type="pct"/>
            <w:noWrap/>
            <w:tcMar>
              <w:left w:w="0" w:type="nil"/>
              <w:right w:w="0" w:type="nil"/>
            </w:tcMar>
            <w:hideMark/>
          </w:tcPr>
          <w:p w14:paraId="12B5110F"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(513.5)</w:t>
            </w:r>
          </w:p>
        </w:tc>
      </w:tr>
      <w:tr w:rsidR="006E51BF" w:rsidRPr="008B0D57" w14:paraId="1B86A670"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35558C5B" w14:textId="77777777" w:rsidR="006E51BF" w:rsidRPr="008B0D57" w:rsidRDefault="006E51BF">
            <w:pPr>
              <w:pStyle w:val="ARfintabletextbold"/>
              <w:rPr>
                <w:lang w:eastAsia="en-AU"/>
              </w:rPr>
            </w:pPr>
            <w:r w:rsidRPr="008B0D57">
              <w:rPr>
                <w:lang w:eastAsia="en-AU"/>
              </w:rPr>
              <w:t>Total payments</w:t>
            </w:r>
          </w:p>
        </w:tc>
        <w:tc>
          <w:tcPr>
            <w:tcW w:w="441" w:type="pct"/>
            <w:noWrap/>
            <w:tcMar>
              <w:left w:w="0" w:type="nil"/>
              <w:right w:w="0" w:type="nil"/>
            </w:tcMar>
            <w:hideMark/>
          </w:tcPr>
          <w:p w14:paraId="2DF64C76"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5CE016B1" w14:textId="77777777" w:rsidR="006E51BF" w:rsidRPr="008B0D57" w:rsidRDefault="006E51BF">
            <w:pPr>
              <w:pStyle w:val="ARfintabletextboldright"/>
              <w:rPr>
                <w:lang w:eastAsia="en-AU"/>
              </w:rPr>
            </w:pPr>
            <w:r w:rsidRPr="008B0D57">
              <w:rPr>
                <w:lang w:eastAsia="en-AU"/>
              </w:rPr>
              <w:t>(7,210.4)</w:t>
            </w:r>
          </w:p>
        </w:tc>
        <w:tc>
          <w:tcPr>
            <w:tcW w:w="809" w:type="pct"/>
            <w:noWrap/>
            <w:tcMar>
              <w:left w:w="0" w:type="nil"/>
              <w:right w:w="0" w:type="nil"/>
            </w:tcMar>
            <w:hideMark/>
          </w:tcPr>
          <w:p w14:paraId="1BD37D9D" w14:textId="77777777" w:rsidR="006E51BF" w:rsidRPr="008B0D57" w:rsidRDefault="006E51BF">
            <w:pPr>
              <w:pStyle w:val="ARfintabletextbold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(7,431.1)</w:t>
            </w:r>
          </w:p>
        </w:tc>
      </w:tr>
      <w:tr w:rsidR="006E51BF" w:rsidRPr="008B0D57" w14:paraId="26B3BAC9"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17ABC539" w14:textId="77777777" w:rsidR="006E51BF" w:rsidRPr="008B0D57" w:rsidRDefault="006E51BF">
            <w:pPr>
              <w:pStyle w:val="ARfintabletextbold"/>
              <w:rPr>
                <w:lang w:eastAsia="en-AU"/>
              </w:rPr>
            </w:pPr>
            <w:r w:rsidRPr="008B0D57">
              <w:rPr>
                <w:lang w:eastAsia="en-AU"/>
              </w:rPr>
              <w:t>Net cash flows from</w:t>
            </w:r>
            <w:proofErr w:type="gramStart"/>
            <w:r w:rsidRPr="008B0D57">
              <w:rPr>
                <w:lang w:eastAsia="en-AU"/>
              </w:rPr>
              <w:t>/(</w:t>
            </w:r>
            <w:proofErr w:type="gramEnd"/>
            <w:r w:rsidRPr="008B0D57">
              <w:rPr>
                <w:lang w:eastAsia="en-AU"/>
              </w:rPr>
              <w:t>used in) operating activities</w:t>
            </w:r>
          </w:p>
        </w:tc>
        <w:tc>
          <w:tcPr>
            <w:tcW w:w="441" w:type="pct"/>
            <w:noWrap/>
            <w:tcMar>
              <w:left w:w="0" w:type="nil"/>
              <w:right w:w="0" w:type="nil"/>
            </w:tcMar>
            <w:hideMark/>
          </w:tcPr>
          <w:p w14:paraId="33B9C777"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7.3.1</w:t>
            </w: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7925FD10" w14:textId="77777777" w:rsidR="006E51BF" w:rsidRPr="008B0D57" w:rsidRDefault="006E51BF">
            <w:pPr>
              <w:pStyle w:val="ARfintabletextboldright"/>
              <w:rPr>
                <w:lang w:eastAsia="en-AU"/>
              </w:rPr>
            </w:pPr>
            <w:r w:rsidRPr="008B0D57">
              <w:rPr>
                <w:lang w:eastAsia="en-AU"/>
              </w:rPr>
              <w:t>31.1</w:t>
            </w:r>
          </w:p>
        </w:tc>
        <w:tc>
          <w:tcPr>
            <w:tcW w:w="809" w:type="pct"/>
            <w:noWrap/>
            <w:tcMar>
              <w:left w:w="0" w:type="nil"/>
              <w:right w:w="0" w:type="nil"/>
            </w:tcMar>
            <w:hideMark/>
          </w:tcPr>
          <w:p w14:paraId="416A510A" w14:textId="77777777" w:rsidR="006E51BF" w:rsidRPr="008B0D57" w:rsidRDefault="006E51BF">
            <w:pPr>
              <w:pStyle w:val="ARfintabletextbold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333.7</w:t>
            </w:r>
          </w:p>
        </w:tc>
      </w:tr>
      <w:tr w:rsidR="006E51BF" w:rsidRPr="008B0D57" w14:paraId="3878C99F"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581175CD" w14:textId="77777777" w:rsidR="006E51BF" w:rsidRPr="008B0D57" w:rsidRDefault="006E51BF">
            <w:pPr>
              <w:pStyle w:val="ARfintabletextboldcoloured"/>
              <w:rPr>
                <w:lang w:eastAsia="en-AU"/>
              </w:rPr>
            </w:pPr>
            <w:r w:rsidRPr="008B0D57">
              <w:rPr>
                <w:lang w:eastAsia="en-AU"/>
              </w:rPr>
              <w:t>Cash flows from investing activities</w:t>
            </w:r>
          </w:p>
        </w:tc>
        <w:tc>
          <w:tcPr>
            <w:tcW w:w="441" w:type="pct"/>
            <w:noWrap/>
            <w:tcMar>
              <w:left w:w="0" w:type="nil"/>
              <w:right w:w="0" w:type="nil"/>
            </w:tcMar>
            <w:hideMark/>
          </w:tcPr>
          <w:p w14:paraId="30E12FEF"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shd w:val="clear" w:color="auto" w:fill="auto"/>
            <w:noWrap/>
            <w:tcMar>
              <w:left w:w="0" w:type="nil"/>
              <w:right w:w="0" w:type="nil"/>
            </w:tcMar>
            <w:hideMark/>
          </w:tcPr>
          <w:p w14:paraId="49F8C455" w14:textId="77777777" w:rsidR="006E51BF" w:rsidRPr="008B0D57" w:rsidRDefault="006E51BF">
            <w:pPr>
              <w:pStyle w:val="ARfintabletextright"/>
              <w:rPr>
                <w:lang w:eastAsia="en-AU"/>
              </w:rPr>
            </w:pPr>
          </w:p>
        </w:tc>
        <w:tc>
          <w:tcPr>
            <w:tcW w:w="809" w:type="pct"/>
            <w:noWrap/>
            <w:tcMar>
              <w:left w:w="0" w:type="nil"/>
              <w:right w:w="0" w:type="nil"/>
            </w:tcMar>
            <w:hideMark/>
          </w:tcPr>
          <w:p w14:paraId="6790C8EB"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r>
      <w:tr w:rsidR="006E51BF" w:rsidRPr="008B0D57" w14:paraId="55525082"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0CDBA1F8" w14:textId="77777777" w:rsidR="006E51BF" w:rsidRPr="008B0D57" w:rsidRDefault="006E51BF">
            <w:pPr>
              <w:pStyle w:val="ARfintabletext"/>
              <w:rPr>
                <w:lang w:eastAsia="en-AU"/>
              </w:rPr>
            </w:pPr>
            <w:r w:rsidRPr="008B0D57">
              <w:rPr>
                <w:lang w:eastAsia="en-AU"/>
              </w:rPr>
              <w:t>Proceeds from the sale of non-financial assets</w:t>
            </w:r>
          </w:p>
        </w:tc>
        <w:tc>
          <w:tcPr>
            <w:tcW w:w="441" w:type="pct"/>
            <w:noWrap/>
            <w:tcMar>
              <w:left w:w="0" w:type="nil"/>
              <w:right w:w="0" w:type="nil"/>
            </w:tcMar>
            <w:hideMark/>
          </w:tcPr>
          <w:p w14:paraId="60E16C53"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4305A610" w14:textId="77777777" w:rsidR="006E51BF" w:rsidRPr="008B0D57" w:rsidRDefault="006E51BF">
            <w:pPr>
              <w:pStyle w:val="ARfintabletextright"/>
              <w:rPr>
                <w:lang w:eastAsia="en-AU"/>
              </w:rPr>
            </w:pPr>
            <w:r w:rsidRPr="008B0D57">
              <w:rPr>
                <w:lang w:eastAsia="en-AU"/>
              </w:rPr>
              <w:t>313.8</w:t>
            </w:r>
          </w:p>
        </w:tc>
        <w:tc>
          <w:tcPr>
            <w:tcW w:w="809" w:type="pct"/>
            <w:noWrap/>
            <w:tcMar>
              <w:left w:w="0" w:type="nil"/>
              <w:right w:w="0" w:type="nil"/>
            </w:tcMar>
            <w:hideMark/>
          </w:tcPr>
          <w:p w14:paraId="4AC07B98"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105.5</w:t>
            </w:r>
          </w:p>
        </w:tc>
      </w:tr>
      <w:tr w:rsidR="006E51BF" w:rsidRPr="008B0D57" w14:paraId="38F2A855"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51E76058" w14:textId="77777777" w:rsidR="006E51BF" w:rsidRPr="008B0D57" w:rsidRDefault="006E51BF">
            <w:pPr>
              <w:pStyle w:val="ARfintabletext"/>
              <w:rPr>
                <w:lang w:eastAsia="en-AU"/>
              </w:rPr>
            </w:pPr>
            <w:r w:rsidRPr="008B0D57">
              <w:rPr>
                <w:lang w:eastAsia="en-AU"/>
              </w:rPr>
              <w:t xml:space="preserve">Payments for non-financial assets </w:t>
            </w:r>
          </w:p>
        </w:tc>
        <w:tc>
          <w:tcPr>
            <w:tcW w:w="441" w:type="pct"/>
            <w:noWrap/>
            <w:tcMar>
              <w:left w:w="0" w:type="nil"/>
              <w:right w:w="0" w:type="nil"/>
            </w:tcMar>
            <w:hideMark/>
          </w:tcPr>
          <w:p w14:paraId="3467F6FF"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137B651D" w14:textId="77777777" w:rsidR="006E51BF" w:rsidRPr="008B0D57" w:rsidRDefault="006E51BF">
            <w:pPr>
              <w:pStyle w:val="ARfintabletextright"/>
              <w:rPr>
                <w:lang w:eastAsia="en-AU"/>
              </w:rPr>
            </w:pPr>
            <w:r w:rsidRPr="008B0D57">
              <w:rPr>
                <w:lang w:eastAsia="en-AU"/>
              </w:rPr>
              <w:t>(1,360.1)</w:t>
            </w:r>
          </w:p>
        </w:tc>
        <w:tc>
          <w:tcPr>
            <w:tcW w:w="809" w:type="pct"/>
            <w:noWrap/>
            <w:tcMar>
              <w:left w:w="0" w:type="nil"/>
              <w:right w:w="0" w:type="nil"/>
            </w:tcMar>
            <w:hideMark/>
          </w:tcPr>
          <w:p w14:paraId="7FE2C028"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(865.3)</w:t>
            </w:r>
          </w:p>
        </w:tc>
      </w:tr>
      <w:tr w:rsidR="006E51BF" w:rsidRPr="008B0D57" w14:paraId="2A8353E6"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50308AA3" w14:textId="77777777" w:rsidR="006E51BF" w:rsidRPr="008B0D57" w:rsidRDefault="006E51BF">
            <w:pPr>
              <w:pStyle w:val="ARfintabletext"/>
              <w:rPr>
                <w:lang w:eastAsia="en-AU"/>
              </w:rPr>
            </w:pPr>
            <w:r w:rsidRPr="008B0D57">
              <w:rPr>
                <w:lang w:eastAsia="en-AU"/>
              </w:rPr>
              <w:t>Client loans granted</w:t>
            </w:r>
          </w:p>
        </w:tc>
        <w:tc>
          <w:tcPr>
            <w:tcW w:w="441" w:type="pct"/>
            <w:noWrap/>
            <w:tcMar>
              <w:left w:w="0" w:type="nil"/>
              <w:right w:w="0" w:type="nil"/>
            </w:tcMar>
            <w:hideMark/>
          </w:tcPr>
          <w:p w14:paraId="71436D2C"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42C028A5" w14:textId="77777777" w:rsidR="006E51BF" w:rsidRPr="008B0D57" w:rsidRDefault="006E51BF">
            <w:pPr>
              <w:pStyle w:val="ARfintabletextright"/>
              <w:rPr>
                <w:lang w:eastAsia="en-AU"/>
              </w:rPr>
            </w:pPr>
            <w:r>
              <w:rPr>
                <w:lang w:eastAsia="en-AU"/>
              </w:rPr>
              <w:t>–</w:t>
            </w:r>
          </w:p>
        </w:tc>
        <w:tc>
          <w:tcPr>
            <w:tcW w:w="809" w:type="pct"/>
            <w:noWrap/>
            <w:tcMar>
              <w:left w:w="0" w:type="nil"/>
              <w:right w:w="0" w:type="nil"/>
            </w:tcMar>
            <w:hideMark/>
          </w:tcPr>
          <w:p w14:paraId="60E41EED"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(38.9)</w:t>
            </w:r>
          </w:p>
        </w:tc>
      </w:tr>
      <w:tr w:rsidR="006E51BF" w:rsidRPr="008B0D57" w14:paraId="78FBC543"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0B366451" w14:textId="77777777" w:rsidR="006E51BF" w:rsidRPr="008B0D57" w:rsidRDefault="006E51BF">
            <w:pPr>
              <w:pStyle w:val="ARfintabletext"/>
              <w:rPr>
                <w:lang w:eastAsia="en-AU"/>
              </w:rPr>
            </w:pPr>
            <w:r w:rsidRPr="008B0D57">
              <w:rPr>
                <w:lang w:eastAsia="en-AU"/>
              </w:rPr>
              <w:t>Repayments of loans from other parties</w:t>
            </w:r>
          </w:p>
        </w:tc>
        <w:tc>
          <w:tcPr>
            <w:tcW w:w="441" w:type="pct"/>
            <w:noWrap/>
            <w:tcMar>
              <w:left w:w="0" w:type="nil"/>
              <w:right w:w="0" w:type="nil"/>
            </w:tcMar>
            <w:hideMark/>
          </w:tcPr>
          <w:p w14:paraId="40B32F06"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351FCA7A" w14:textId="77777777" w:rsidR="006E51BF" w:rsidRPr="008B0D57" w:rsidRDefault="006E51BF">
            <w:pPr>
              <w:pStyle w:val="ARfintabletextright"/>
              <w:rPr>
                <w:lang w:eastAsia="en-AU"/>
              </w:rPr>
            </w:pPr>
            <w:r w:rsidRPr="008B0D57">
              <w:rPr>
                <w:lang w:eastAsia="en-AU"/>
              </w:rPr>
              <w:t>40.5</w:t>
            </w:r>
          </w:p>
        </w:tc>
        <w:tc>
          <w:tcPr>
            <w:tcW w:w="809" w:type="pct"/>
            <w:noWrap/>
            <w:tcMar>
              <w:left w:w="0" w:type="nil"/>
              <w:right w:w="0" w:type="nil"/>
            </w:tcMar>
            <w:hideMark/>
          </w:tcPr>
          <w:p w14:paraId="1FA7873C"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0.4</w:t>
            </w:r>
          </w:p>
        </w:tc>
      </w:tr>
      <w:tr w:rsidR="006E51BF" w:rsidRPr="008B0D57" w14:paraId="5F0F10E0"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tcPr>
          <w:p w14:paraId="6DCB8B94" w14:textId="77777777" w:rsidR="006E51BF" w:rsidRPr="008B0D57" w:rsidRDefault="006E51BF">
            <w:pPr>
              <w:pStyle w:val="ARfintabletextbold"/>
              <w:rPr>
                <w:lang w:eastAsia="en-AU"/>
              </w:rPr>
            </w:pPr>
            <w:r w:rsidRPr="008B0D57">
              <w:rPr>
                <w:lang w:eastAsia="en-AU"/>
              </w:rPr>
              <w:t>Net cash flows from</w:t>
            </w:r>
            <w:proofErr w:type="gramStart"/>
            <w:r w:rsidRPr="008B0D57">
              <w:rPr>
                <w:lang w:eastAsia="en-AU"/>
              </w:rPr>
              <w:t>/(</w:t>
            </w:r>
            <w:proofErr w:type="gramEnd"/>
            <w:r w:rsidRPr="008B0D57">
              <w:rPr>
                <w:lang w:eastAsia="en-AU"/>
              </w:rPr>
              <w:t>used in) investing activities</w:t>
            </w:r>
          </w:p>
        </w:tc>
        <w:tc>
          <w:tcPr>
            <w:tcW w:w="441" w:type="pct"/>
            <w:noWrap/>
            <w:tcMar>
              <w:left w:w="0" w:type="nil"/>
              <w:right w:w="0" w:type="nil"/>
            </w:tcMar>
          </w:tcPr>
          <w:p w14:paraId="34B6B0DD"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tcPr>
          <w:p w14:paraId="5FABF11D" w14:textId="77777777" w:rsidR="006E51BF" w:rsidRPr="008B0D57" w:rsidRDefault="006E51BF">
            <w:pPr>
              <w:pStyle w:val="ARfintabletextboldright"/>
              <w:rPr>
                <w:lang w:eastAsia="en-AU"/>
              </w:rPr>
            </w:pPr>
            <w:r w:rsidRPr="008B0D57">
              <w:rPr>
                <w:lang w:eastAsia="en-AU"/>
              </w:rPr>
              <w:t>(1,005.9)</w:t>
            </w:r>
          </w:p>
        </w:tc>
        <w:tc>
          <w:tcPr>
            <w:tcW w:w="809" w:type="pct"/>
            <w:noWrap/>
            <w:tcMar>
              <w:left w:w="0" w:type="nil"/>
              <w:right w:w="0" w:type="nil"/>
            </w:tcMar>
          </w:tcPr>
          <w:p w14:paraId="624DD5C7" w14:textId="77777777" w:rsidR="006E51BF" w:rsidRPr="008B0D57" w:rsidRDefault="006E51BF">
            <w:pPr>
              <w:pStyle w:val="ARfintabletextbold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(798.3)</w:t>
            </w:r>
          </w:p>
        </w:tc>
      </w:tr>
      <w:tr w:rsidR="006E51BF" w:rsidRPr="008B0D57" w14:paraId="1F0526CE"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60075C8E" w14:textId="77777777" w:rsidR="006E51BF" w:rsidRPr="008B0D57" w:rsidRDefault="006E51BF">
            <w:pPr>
              <w:pStyle w:val="ARfintabletextboldcoloured"/>
              <w:rPr>
                <w:lang w:eastAsia="en-AU"/>
              </w:rPr>
            </w:pPr>
            <w:r w:rsidRPr="008B0D57">
              <w:rPr>
                <w:lang w:eastAsia="en-AU"/>
              </w:rPr>
              <w:t>Cash flows from financing activities</w:t>
            </w:r>
          </w:p>
        </w:tc>
        <w:tc>
          <w:tcPr>
            <w:tcW w:w="441" w:type="pct"/>
            <w:noWrap/>
            <w:tcMar>
              <w:left w:w="0" w:type="nil"/>
              <w:right w:w="0" w:type="nil"/>
            </w:tcMar>
            <w:hideMark/>
          </w:tcPr>
          <w:p w14:paraId="1576A51B"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shd w:val="clear" w:color="auto" w:fill="auto"/>
            <w:noWrap/>
            <w:tcMar>
              <w:left w:w="0" w:type="nil"/>
              <w:right w:w="0" w:type="nil"/>
            </w:tcMar>
            <w:hideMark/>
          </w:tcPr>
          <w:p w14:paraId="03A8B768" w14:textId="77777777" w:rsidR="006E51BF" w:rsidRPr="008B0D57" w:rsidRDefault="006E51BF">
            <w:pPr>
              <w:pStyle w:val="ARfintabletextright"/>
              <w:rPr>
                <w:lang w:eastAsia="en-AU"/>
              </w:rPr>
            </w:pPr>
          </w:p>
        </w:tc>
        <w:tc>
          <w:tcPr>
            <w:tcW w:w="809" w:type="pct"/>
            <w:noWrap/>
            <w:tcMar>
              <w:left w:w="0" w:type="nil"/>
              <w:right w:w="0" w:type="nil"/>
            </w:tcMar>
            <w:hideMark/>
          </w:tcPr>
          <w:p w14:paraId="7A90C5E7"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r>
      <w:tr w:rsidR="006E51BF" w:rsidRPr="008B0D57" w14:paraId="658135F5"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23AE784A" w14:textId="77777777" w:rsidR="006E51BF" w:rsidRPr="008B0D57" w:rsidRDefault="006E51BF">
            <w:pPr>
              <w:pStyle w:val="ARfintabletext"/>
              <w:rPr>
                <w:lang w:eastAsia="en-AU"/>
              </w:rPr>
            </w:pPr>
            <w:r w:rsidRPr="008B0D57">
              <w:rPr>
                <w:lang w:eastAsia="en-AU"/>
              </w:rPr>
              <w:t>Receipts / (payments) for advances</w:t>
            </w:r>
          </w:p>
        </w:tc>
        <w:tc>
          <w:tcPr>
            <w:tcW w:w="441" w:type="pct"/>
            <w:noWrap/>
            <w:tcMar>
              <w:left w:w="0" w:type="nil"/>
              <w:right w:w="0" w:type="nil"/>
            </w:tcMar>
            <w:hideMark/>
          </w:tcPr>
          <w:p w14:paraId="77498559"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5A8D98B2" w14:textId="77777777" w:rsidR="006E51BF" w:rsidRPr="008B0D57" w:rsidRDefault="006E51BF">
            <w:pPr>
              <w:pStyle w:val="ARfintabletextright"/>
              <w:rPr>
                <w:lang w:eastAsia="en-AU"/>
              </w:rPr>
            </w:pPr>
            <w:r w:rsidRPr="008B0D57">
              <w:rPr>
                <w:lang w:eastAsia="en-AU"/>
              </w:rPr>
              <w:t>(3.7)</w:t>
            </w:r>
          </w:p>
        </w:tc>
        <w:tc>
          <w:tcPr>
            <w:tcW w:w="809" w:type="pct"/>
            <w:noWrap/>
            <w:tcMar>
              <w:left w:w="0" w:type="nil"/>
              <w:right w:w="0" w:type="nil"/>
            </w:tcMar>
            <w:hideMark/>
          </w:tcPr>
          <w:p w14:paraId="0527DE20"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(3.0)</w:t>
            </w:r>
          </w:p>
        </w:tc>
      </w:tr>
      <w:tr w:rsidR="006E51BF" w:rsidRPr="008B0D57" w14:paraId="20BA13E6"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hideMark/>
          </w:tcPr>
          <w:p w14:paraId="28FFEB05" w14:textId="1EE50BC8" w:rsidR="006E51BF" w:rsidRPr="008B0D57" w:rsidRDefault="006E51BF">
            <w:pPr>
              <w:pStyle w:val="ARfintabletext"/>
              <w:rPr>
                <w:lang w:eastAsia="en-AU"/>
              </w:rPr>
            </w:pPr>
            <w:r w:rsidRPr="008B0D57">
              <w:rPr>
                <w:lang w:eastAsia="en-AU"/>
              </w:rPr>
              <w:t xml:space="preserve">Owner contributions by Victorian Government </w:t>
            </w:r>
            <w:r w:rsidRPr="00A6797D">
              <w:rPr>
                <w:b/>
                <w:bCs/>
                <w:lang w:eastAsia="en-AU"/>
              </w:rPr>
              <w:t>–</w:t>
            </w:r>
            <w:r w:rsidRPr="008B0D57">
              <w:rPr>
                <w:lang w:eastAsia="en-AU"/>
              </w:rPr>
              <w:t xml:space="preserve"> </w:t>
            </w:r>
            <w:r w:rsidR="00932ABC">
              <w:rPr>
                <w:lang w:eastAsia="en-AU"/>
              </w:rPr>
              <w:br/>
            </w:r>
            <w:r w:rsidRPr="008B0D57">
              <w:rPr>
                <w:lang w:eastAsia="en-AU"/>
              </w:rPr>
              <w:t>appropriation for</w:t>
            </w:r>
            <w:r>
              <w:rPr>
                <w:lang w:eastAsia="en-AU"/>
              </w:rPr>
              <w:t> </w:t>
            </w:r>
            <w:r w:rsidRPr="008B0D57">
              <w:rPr>
                <w:lang w:eastAsia="en-AU"/>
              </w:rPr>
              <w:t>capital expenditure purposes</w:t>
            </w:r>
          </w:p>
        </w:tc>
        <w:tc>
          <w:tcPr>
            <w:tcW w:w="441" w:type="pct"/>
            <w:noWrap/>
            <w:tcMar>
              <w:left w:w="0" w:type="nil"/>
              <w:right w:w="0" w:type="nil"/>
            </w:tcMar>
            <w:hideMark/>
          </w:tcPr>
          <w:p w14:paraId="7CE7F1AF"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692FC2BA" w14:textId="77777777" w:rsidR="006E51BF" w:rsidRPr="008B0D57" w:rsidRDefault="006E51BF">
            <w:pPr>
              <w:pStyle w:val="ARfintabletextright"/>
              <w:rPr>
                <w:lang w:eastAsia="en-AU"/>
              </w:rPr>
            </w:pPr>
            <w:r w:rsidRPr="008B0D57">
              <w:rPr>
                <w:lang w:eastAsia="en-AU"/>
              </w:rPr>
              <w:t>661.6</w:t>
            </w:r>
          </w:p>
        </w:tc>
        <w:tc>
          <w:tcPr>
            <w:tcW w:w="809" w:type="pct"/>
            <w:noWrap/>
            <w:tcMar>
              <w:left w:w="0" w:type="nil"/>
              <w:right w:w="0" w:type="nil"/>
            </w:tcMar>
            <w:hideMark/>
          </w:tcPr>
          <w:p w14:paraId="684E5905"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1,063.4</w:t>
            </w:r>
          </w:p>
        </w:tc>
      </w:tr>
      <w:tr w:rsidR="006E51BF" w:rsidRPr="008B0D57" w14:paraId="21792B0A"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hideMark/>
          </w:tcPr>
          <w:p w14:paraId="1D9A146E" w14:textId="77777777" w:rsidR="006E51BF" w:rsidRPr="008B0D57" w:rsidRDefault="006E51BF">
            <w:pPr>
              <w:pStyle w:val="ARfintabletext"/>
              <w:rPr>
                <w:lang w:eastAsia="en-AU"/>
              </w:rPr>
            </w:pPr>
            <w:r w:rsidRPr="008B0D57">
              <w:rPr>
                <w:lang w:eastAsia="en-AU"/>
              </w:rPr>
              <w:t>Repayment / proceeds of borrowings and principal portion of</w:t>
            </w:r>
            <w:r>
              <w:rPr>
                <w:lang w:eastAsia="en-AU"/>
              </w:rPr>
              <w:t> </w:t>
            </w:r>
            <w:r w:rsidRPr="008B0D57">
              <w:rPr>
                <w:lang w:eastAsia="en-AU"/>
              </w:rPr>
              <w:t>lease</w:t>
            </w:r>
            <w:r>
              <w:rPr>
                <w:lang w:eastAsia="en-AU"/>
              </w:rPr>
              <w:t> </w:t>
            </w:r>
            <w:r w:rsidRPr="008B0D57">
              <w:rPr>
                <w:lang w:eastAsia="en-AU"/>
              </w:rPr>
              <w:t xml:space="preserve">liability </w:t>
            </w:r>
            <w:r w:rsidRPr="008B0D57">
              <w:rPr>
                <w:vertAlign w:val="superscript"/>
                <w:lang w:eastAsia="en-AU"/>
              </w:rPr>
              <w:t>(ii)</w:t>
            </w:r>
          </w:p>
        </w:tc>
        <w:tc>
          <w:tcPr>
            <w:tcW w:w="441" w:type="pct"/>
            <w:noWrap/>
            <w:tcMar>
              <w:left w:w="0" w:type="nil"/>
              <w:right w:w="0" w:type="nil"/>
            </w:tcMar>
            <w:hideMark/>
          </w:tcPr>
          <w:p w14:paraId="3B0E8A71"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37E1D9A8" w14:textId="77777777" w:rsidR="006E51BF" w:rsidRPr="008B0D57" w:rsidRDefault="006E51BF">
            <w:pPr>
              <w:pStyle w:val="ARfintabletextright"/>
              <w:rPr>
                <w:lang w:eastAsia="en-AU"/>
              </w:rPr>
            </w:pPr>
            <w:r w:rsidRPr="008B0D57">
              <w:rPr>
                <w:lang w:eastAsia="en-AU"/>
              </w:rPr>
              <w:t>(1.1)</w:t>
            </w:r>
          </w:p>
        </w:tc>
        <w:tc>
          <w:tcPr>
            <w:tcW w:w="809" w:type="pct"/>
            <w:noWrap/>
            <w:tcMar>
              <w:left w:w="0" w:type="nil"/>
              <w:right w:w="0" w:type="nil"/>
            </w:tcMar>
            <w:hideMark/>
          </w:tcPr>
          <w:p w14:paraId="6E67DC3E"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(5.3)</w:t>
            </w:r>
          </w:p>
        </w:tc>
      </w:tr>
      <w:tr w:rsidR="006E51BF" w:rsidRPr="008B0D57" w14:paraId="3380492A"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tcPr>
          <w:p w14:paraId="4074E37E" w14:textId="77777777" w:rsidR="006E51BF" w:rsidRPr="008B0D57" w:rsidRDefault="006E51BF">
            <w:pPr>
              <w:pStyle w:val="ARfintabletextbold"/>
              <w:rPr>
                <w:lang w:eastAsia="en-AU"/>
              </w:rPr>
            </w:pPr>
            <w:r w:rsidRPr="008B0D57">
              <w:rPr>
                <w:lang w:eastAsia="en-AU"/>
              </w:rPr>
              <w:t>Net cash flows from</w:t>
            </w:r>
            <w:proofErr w:type="gramStart"/>
            <w:r w:rsidRPr="008B0D57">
              <w:rPr>
                <w:lang w:eastAsia="en-AU"/>
              </w:rPr>
              <w:t>/(</w:t>
            </w:r>
            <w:proofErr w:type="gramEnd"/>
            <w:r w:rsidRPr="008B0D57">
              <w:rPr>
                <w:lang w:eastAsia="en-AU"/>
              </w:rPr>
              <w:t>used in) financing activities</w:t>
            </w:r>
          </w:p>
        </w:tc>
        <w:tc>
          <w:tcPr>
            <w:tcW w:w="441" w:type="pct"/>
            <w:noWrap/>
            <w:tcMar>
              <w:left w:w="0" w:type="nil"/>
              <w:right w:w="0" w:type="nil"/>
            </w:tcMar>
          </w:tcPr>
          <w:p w14:paraId="5F482FD7"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tcPr>
          <w:p w14:paraId="6F60277D" w14:textId="77777777" w:rsidR="006E51BF" w:rsidRPr="008B0D57" w:rsidRDefault="006E51BF">
            <w:pPr>
              <w:pStyle w:val="ARfintabletextboldright"/>
              <w:rPr>
                <w:lang w:eastAsia="en-AU"/>
              </w:rPr>
            </w:pPr>
            <w:r w:rsidRPr="008B0D57">
              <w:rPr>
                <w:lang w:eastAsia="en-AU"/>
              </w:rPr>
              <w:t>656.8</w:t>
            </w:r>
          </w:p>
        </w:tc>
        <w:tc>
          <w:tcPr>
            <w:tcW w:w="809" w:type="pct"/>
            <w:noWrap/>
            <w:tcMar>
              <w:left w:w="0" w:type="nil"/>
              <w:right w:w="0" w:type="nil"/>
            </w:tcMar>
          </w:tcPr>
          <w:p w14:paraId="56D7E530" w14:textId="77777777" w:rsidR="006E51BF" w:rsidRPr="008B0D57" w:rsidRDefault="006E51BF">
            <w:pPr>
              <w:pStyle w:val="ARfintabletextbold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1,055.1</w:t>
            </w:r>
          </w:p>
        </w:tc>
      </w:tr>
      <w:tr w:rsidR="006E51BF" w:rsidRPr="008B0D57" w14:paraId="5B4EDAA4"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5B83AB38" w14:textId="77777777" w:rsidR="006E51BF" w:rsidRPr="008B0D57" w:rsidRDefault="006E51BF">
            <w:pPr>
              <w:pStyle w:val="ARfintabletextbold"/>
              <w:rPr>
                <w:lang w:eastAsia="en-AU"/>
              </w:rPr>
            </w:pPr>
            <w:r w:rsidRPr="008B0D57">
              <w:rPr>
                <w:lang w:eastAsia="en-AU"/>
              </w:rPr>
              <w:t>Net increase/(decrease) in cash and deposits</w:t>
            </w:r>
          </w:p>
        </w:tc>
        <w:tc>
          <w:tcPr>
            <w:tcW w:w="441" w:type="pct"/>
            <w:noWrap/>
            <w:tcMar>
              <w:left w:w="0" w:type="nil"/>
              <w:right w:w="0" w:type="nil"/>
            </w:tcMar>
            <w:hideMark/>
          </w:tcPr>
          <w:p w14:paraId="654C70D0"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4090C3DD" w14:textId="77777777" w:rsidR="006E51BF" w:rsidRPr="008B0D57" w:rsidRDefault="006E51BF">
            <w:pPr>
              <w:pStyle w:val="ARfintabletextboldright"/>
              <w:rPr>
                <w:lang w:eastAsia="en-AU"/>
              </w:rPr>
            </w:pPr>
            <w:r w:rsidRPr="008B0D57">
              <w:rPr>
                <w:lang w:eastAsia="en-AU"/>
              </w:rPr>
              <w:t>(318.0)</w:t>
            </w:r>
          </w:p>
        </w:tc>
        <w:tc>
          <w:tcPr>
            <w:tcW w:w="809" w:type="pct"/>
            <w:noWrap/>
            <w:tcMar>
              <w:left w:w="0" w:type="nil"/>
              <w:right w:w="0" w:type="nil"/>
            </w:tcMar>
            <w:hideMark/>
          </w:tcPr>
          <w:p w14:paraId="0CB6C922" w14:textId="77777777" w:rsidR="006E51BF" w:rsidRPr="008B0D57" w:rsidRDefault="006E51BF">
            <w:pPr>
              <w:pStyle w:val="ARfintabletextbold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590.5</w:t>
            </w:r>
          </w:p>
        </w:tc>
      </w:tr>
      <w:tr w:rsidR="006E51BF" w:rsidRPr="008B0D57" w14:paraId="171B362B"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7B26B5BE" w14:textId="77777777" w:rsidR="006E51BF" w:rsidRPr="008B0D57" w:rsidRDefault="006E51BF">
            <w:pPr>
              <w:pStyle w:val="ARfintabletext"/>
              <w:rPr>
                <w:lang w:eastAsia="en-AU"/>
              </w:rPr>
            </w:pPr>
            <w:r w:rsidRPr="008B0D57">
              <w:rPr>
                <w:lang w:eastAsia="en-AU"/>
              </w:rPr>
              <w:t>Cash and deposits at beginning of financial year</w:t>
            </w:r>
          </w:p>
        </w:tc>
        <w:tc>
          <w:tcPr>
            <w:tcW w:w="441" w:type="pct"/>
            <w:noWrap/>
            <w:tcMar>
              <w:left w:w="0" w:type="nil"/>
              <w:right w:w="0" w:type="nil"/>
            </w:tcMar>
            <w:hideMark/>
          </w:tcPr>
          <w:p w14:paraId="17173702"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70A5FA4D" w14:textId="77777777" w:rsidR="006E51BF" w:rsidRPr="008B0D57" w:rsidRDefault="006E51BF">
            <w:pPr>
              <w:pStyle w:val="ARfintabletextright"/>
              <w:rPr>
                <w:lang w:eastAsia="en-AU"/>
              </w:rPr>
            </w:pPr>
            <w:r w:rsidRPr="008B0D57">
              <w:rPr>
                <w:lang w:eastAsia="en-AU"/>
              </w:rPr>
              <w:t>1,312.2</w:t>
            </w:r>
          </w:p>
        </w:tc>
        <w:tc>
          <w:tcPr>
            <w:tcW w:w="809" w:type="pct"/>
            <w:noWrap/>
            <w:tcMar>
              <w:left w:w="0" w:type="nil"/>
              <w:right w:w="0" w:type="nil"/>
            </w:tcMar>
            <w:hideMark/>
          </w:tcPr>
          <w:p w14:paraId="2A804D1E"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721.7</w:t>
            </w:r>
          </w:p>
        </w:tc>
      </w:tr>
      <w:tr w:rsidR="006E51BF" w:rsidRPr="008B0D57" w14:paraId="4A233F68"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2941" w:type="pct"/>
            <w:shd w:val="clear" w:color="auto" w:fill="auto"/>
            <w:noWrap/>
            <w:hideMark/>
          </w:tcPr>
          <w:p w14:paraId="09F9C0ED" w14:textId="77777777" w:rsidR="006E51BF" w:rsidRPr="008B0D57" w:rsidRDefault="006E51BF">
            <w:pPr>
              <w:pStyle w:val="ARfintabletextbold"/>
              <w:rPr>
                <w:lang w:eastAsia="en-AU"/>
              </w:rPr>
            </w:pPr>
            <w:r w:rsidRPr="008B0D57">
              <w:rPr>
                <w:lang w:eastAsia="en-AU"/>
              </w:rPr>
              <w:t>Cash and deposits at the end of financial year</w:t>
            </w:r>
          </w:p>
        </w:tc>
        <w:tc>
          <w:tcPr>
            <w:tcW w:w="441" w:type="pct"/>
            <w:noWrap/>
            <w:tcMar>
              <w:left w:w="0" w:type="nil"/>
              <w:right w:w="0" w:type="nil"/>
            </w:tcMar>
            <w:hideMark/>
          </w:tcPr>
          <w:p w14:paraId="4D6B0B81" w14:textId="77777777" w:rsidR="006E51BF" w:rsidRPr="008B0D57"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7.3</w:t>
            </w:r>
          </w:p>
        </w:tc>
        <w:tc>
          <w:tcPr>
            <w:cnfStyle w:val="000010000000" w:firstRow="0" w:lastRow="0" w:firstColumn="0" w:lastColumn="0" w:oddVBand="1" w:evenVBand="0" w:oddHBand="0" w:evenHBand="0" w:firstRowFirstColumn="0" w:firstRowLastColumn="0" w:lastRowFirstColumn="0" w:lastRowLastColumn="0"/>
            <w:tcW w:w="809" w:type="pct"/>
            <w:noWrap/>
            <w:tcMar>
              <w:left w:w="0" w:type="nil"/>
              <w:right w:w="0" w:type="nil"/>
            </w:tcMar>
            <w:hideMark/>
          </w:tcPr>
          <w:p w14:paraId="1EA531AD" w14:textId="77777777" w:rsidR="006E51BF" w:rsidRPr="008B0D57" w:rsidRDefault="006E51BF">
            <w:pPr>
              <w:pStyle w:val="ARfintabletextboldright"/>
              <w:rPr>
                <w:lang w:eastAsia="en-AU"/>
              </w:rPr>
            </w:pPr>
            <w:r w:rsidRPr="008B0D57">
              <w:rPr>
                <w:lang w:eastAsia="en-AU"/>
              </w:rPr>
              <w:t>994.2</w:t>
            </w:r>
          </w:p>
        </w:tc>
        <w:tc>
          <w:tcPr>
            <w:tcW w:w="809" w:type="pct"/>
            <w:noWrap/>
            <w:tcMar>
              <w:left w:w="0" w:type="nil"/>
              <w:right w:w="0" w:type="nil"/>
            </w:tcMar>
            <w:hideMark/>
          </w:tcPr>
          <w:p w14:paraId="426F7D35" w14:textId="77777777" w:rsidR="006E51BF" w:rsidRPr="008B0D57" w:rsidRDefault="006E51BF">
            <w:pPr>
              <w:pStyle w:val="ARfintabletextboldright"/>
              <w:cnfStyle w:val="000000000000" w:firstRow="0" w:lastRow="0" w:firstColumn="0" w:lastColumn="0" w:oddVBand="0" w:evenVBand="0" w:oddHBand="0" w:evenHBand="0" w:firstRowFirstColumn="0" w:firstRowLastColumn="0" w:lastRowFirstColumn="0" w:lastRowLastColumn="0"/>
              <w:rPr>
                <w:lang w:eastAsia="en-AU"/>
              </w:rPr>
            </w:pPr>
            <w:r w:rsidRPr="008B0D57">
              <w:rPr>
                <w:lang w:eastAsia="en-AU"/>
              </w:rPr>
              <w:t>1,312.2</w:t>
            </w:r>
          </w:p>
        </w:tc>
      </w:tr>
    </w:tbl>
    <w:p w14:paraId="45445ADD" w14:textId="77777777" w:rsidR="006E51BF" w:rsidRDefault="006E51BF">
      <w:pPr>
        <w:pStyle w:val="ARfintablenote"/>
        <w:rPr>
          <w:lang w:eastAsia="en-AU"/>
        </w:rPr>
      </w:pPr>
      <w:r w:rsidRPr="008B0D57">
        <w:rPr>
          <w:lang w:eastAsia="en-AU"/>
        </w:rPr>
        <w:t>The cash flow statement should be read in conjunction with the notes to the financial statements.</w:t>
      </w:r>
    </w:p>
    <w:p w14:paraId="6A5EA135" w14:textId="77777777" w:rsidR="006E51BF" w:rsidRDefault="006E51BF">
      <w:pPr>
        <w:pStyle w:val="ARfintablenote"/>
        <w:rPr>
          <w:lang w:eastAsia="en-AU"/>
        </w:rPr>
      </w:pPr>
      <w:r w:rsidRPr="008B0D57">
        <w:rPr>
          <w:lang w:eastAsia="en-AU"/>
        </w:rPr>
        <w:t>Notes:</w:t>
      </w:r>
    </w:p>
    <w:p w14:paraId="4B5B4EB0" w14:textId="77777777" w:rsidR="006E51BF" w:rsidRPr="0050588C" w:rsidRDefault="006E51BF" w:rsidP="006E51BF">
      <w:pPr>
        <w:pStyle w:val="ARfintablenoteroman"/>
        <w:numPr>
          <w:ilvl w:val="0"/>
          <w:numId w:val="51"/>
        </w:numPr>
      </w:pPr>
      <w:r w:rsidRPr="0050588C">
        <w:t>Goods and services tax (GST) recovered from the Australian Taxation Office is presented on a net basis.</w:t>
      </w:r>
    </w:p>
    <w:p w14:paraId="08E68703" w14:textId="77777777" w:rsidR="006E51BF" w:rsidRDefault="006E51BF" w:rsidP="006E51BF">
      <w:pPr>
        <w:pStyle w:val="ARfintablenoteroman"/>
        <w:numPr>
          <w:ilvl w:val="0"/>
          <w:numId w:val="51"/>
        </w:numPr>
      </w:pPr>
      <w:r w:rsidRPr="008B0D57">
        <w:t>The department has recognised cash payments for the principal portion of lease payments as financing activities, cash payments for the interest portion as operating activities consistent with the presentation of interest payments and short-term lease payments for leases and low-value assets as operating activities.</w:t>
      </w:r>
    </w:p>
    <w:p w14:paraId="0ED64619" w14:textId="77777777" w:rsidR="006E51BF" w:rsidRDefault="006E51BF">
      <w:pPr>
        <w:pStyle w:val="ARfinbody"/>
        <w:rPr>
          <w:sz w:val="16"/>
          <w:lang w:eastAsia="en-AU"/>
        </w:rPr>
      </w:pPr>
      <w:r>
        <w:br w:type="page"/>
      </w:r>
    </w:p>
    <w:p w14:paraId="4D4BF5E9" w14:textId="77777777" w:rsidR="006E51BF" w:rsidRDefault="006E51BF">
      <w:pPr>
        <w:pStyle w:val="Heading2financials"/>
      </w:pPr>
      <w:bookmarkStart w:id="280" w:name="_Toc241068542"/>
      <w:r w:rsidRPr="009E3885">
        <w:t>Statement of changes in equity for the financial year ended 30 June 2026</w:t>
      </w:r>
      <w:bookmarkEnd w:id="280"/>
    </w:p>
    <w:tbl>
      <w:tblPr>
        <w:tblStyle w:val="ARtable2"/>
        <w:tblW w:w="0" w:type="auto"/>
        <w:tblLayout w:type="fixed"/>
        <w:tblLook w:val="00E0" w:firstRow="1" w:lastRow="1" w:firstColumn="1" w:lastColumn="0" w:noHBand="0" w:noVBand="0"/>
      </w:tblPr>
      <w:tblGrid>
        <w:gridCol w:w="3123"/>
        <w:gridCol w:w="989"/>
        <w:gridCol w:w="1380"/>
        <w:gridCol w:w="1382"/>
        <w:gridCol w:w="1380"/>
        <w:gridCol w:w="1384"/>
      </w:tblGrid>
      <w:tr w:rsidR="006E51BF" w:rsidRPr="00D27713" w14:paraId="3FE68809" w14:textId="77777777" w:rsidTr="00E1009E">
        <w:trPr>
          <w:cnfStyle w:val="100000000000" w:firstRow="1" w:lastRow="0" w:firstColumn="0" w:lastColumn="0" w:oddVBand="0" w:evenVBand="0" w:oddHBand="0" w:evenHBand="0" w:firstRowFirstColumn="0" w:firstRowLastColumn="0" w:lastRowFirstColumn="0" w:lastRowLastColumn="0"/>
          <w:trHeight w:val="20"/>
          <w:tblHeader/>
        </w:trPr>
        <w:tc>
          <w:tcPr>
            <w:cnfStyle w:val="000010000000" w:firstRow="0" w:lastRow="0" w:firstColumn="0" w:lastColumn="0" w:oddVBand="1" w:evenVBand="0" w:oddHBand="0" w:evenHBand="0" w:firstRowFirstColumn="0" w:firstRowLastColumn="0" w:lastRowFirstColumn="0" w:lastRowLastColumn="0"/>
            <w:tcW w:w="3123" w:type="dxa"/>
            <w:shd w:val="clear" w:color="auto" w:fill="auto"/>
            <w:noWrap/>
            <w:hideMark/>
          </w:tcPr>
          <w:p w14:paraId="7625DAC3" w14:textId="77777777" w:rsidR="006E51BF" w:rsidRPr="00D27713" w:rsidRDefault="006E51BF">
            <w:pPr>
              <w:pStyle w:val="ARfintablecolheadright"/>
              <w:rPr>
                <w:lang w:eastAsia="en-AU"/>
              </w:rPr>
            </w:pPr>
          </w:p>
        </w:tc>
        <w:tc>
          <w:tcPr>
            <w:tcW w:w="989" w:type="dxa"/>
            <w:noWrap/>
            <w:tcMar>
              <w:left w:w="0" w:type="nil"/>
              <w:right w:w="0" w:type="nil"/>
            </w:tcMar>
            <w:hideMark/>
          </w:tcPr>
          <w:p w14:paraId="254652FE" w14:textId="77777777" w:rsidR="006E51BF" w:rsidRPr="00D27713"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D27713">
              <w:rPr>
                <w:lang w:eastAsia="en-AU"/>
              </w:rPr>
              <w:t>Note</w:t>
            </w:r>
          </w:p>
        </w:tc>
        <w:tc>
          <w:tcPr>
            <w:cnfStyle w:val="000010000000" w:firstRow="0" w:lastRow="0" w:firstColumn="0" w:lastColumn="0" w:oddVBand="1" w:evenVBand="0" w:oddHBand="0" w:evenHBand="0" w:firstRowFirstColumn="0" w:firstRowLastColumn="0" w:lastRowFirstColumn="0" w:lastRowLastColumn="0"/>
            <w:tcW w:w="1380" w:type="dxa"/>
            <w:tcMar>
              <w:left w:w="0" w:type="nil"/>
              <w:right w:w="0" w:type="nil"/>
            </w:tcMar>
            <w:hideMark/>
          </w:tcPr>
          <w:p w14:paraId="15EAA056" w14:textId="77777777" w:rsidR="006E51BF" w:rsidRPr="00D27713" w:rsidRDefault="006E51BF">
            <w:pPr>
              <w:pStyle w:val="ARfintablecolheadright"/>
              <w:rPr>
                <w:lang w:eastAsia="en-AU"/>
              </w:rPr>
            </w:pPr>
            <w:r w:rsidRPr="00D27713">
              <w:rPr>
                <w:lang w:eastAsia="en-AU"/>
              </w:rPr>
              <w:t xml:space="preserve">Physical </w:t>
            </w:r>
            <w:r>
              <w:rPr>
                <w:lang w:eastAsia="en-AU"/>
              </w:rPr>
              <w:br/>
            </w:r>
            <w:r w:rsidRPr="00D27713">
              <w:rPr>
                <w:lang w:eastAsia="en-AU"/>
              </w:rPr>
              <w:t>asset revaluation surplus</w:t>
            </w:r>
          </w:p>
          <w:p w14:paraId="6515B059" w14:textId="77777777" w:rsidR="006E51BF" w:rsidRPr="00D27713" w:rsidRDefault="006E51BF">
            <w:pPr>
              <w:pStyle w:val="ARfintablecolheadright"/>
              <w:rPr>
                <w:lang w:eastAsia="en-AU"/>
              </w:rPr>
            </w:pPr>
            <w:r w:rsidRPr="00D27713">
              <w:rPr>
                <w:lang w:eastAsia="en-AU"/>
              </w:rPr>
              <w:t>$M</w:t>
            </w:r>
          </w:p>
        </w:tc>
        <w:tc>
          <w:tcPr>
            <w:tcW w:w="1382" w:type="dxa"/>
            <w:tcMar>
              <w:left w:w="0" w:type="nil"/>
              <w:right w:w="0" w:type="nil"/>
            </w:tcMar>
            <w:hideMark/>
          </w:tcPr>
          <w:p w14:paraId="0C1B2D83" w14:textId="77777777" w:rsidR="006E51BF" w:rsidRPr="00D27713"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D27713">
              <w:rPr>
                <w:lang w:eastAsia="en-AU"/>
              </w:rPr>
              <w:t>Accumulated surplus/</w:t>
            </w:r>
            <w:r>
              <w:rPr>
                <w:lang w:eastAsia="en-AU"/>
              </w:rPr>
              <w:br/>
            </w:r>
            <w:r w:rsidRPr="00D27713">
              <w:rPr>
                <w:lang w:eastAsia="en-AU"/>
              </w:rPr>
              <w:t>(deficit)</w:t>
            </w:r>
          </w:p>
          <w:p w14:paraId="09ADB2A4" w14:textId="77777777" w:rsidR="006E51BF" w:rsidRPr="00D27713"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D27713">
              <w:rPr>
                <w:lang w:eastAsia="en-AU"/>
              </w:rPr>
              <w:t>$M</w:t>
            </w:r>
          </w:p>
        </w:tc>
        <w:tc>
          <w:tcPr>
            <w:cnfStyle w:val="000010000000" w:firstRow="0" w:lastRow="0" w:firstColumn="0" w:lastColumn="0" w:oddVBand="1" w:evenVBand="0" w:oddHBand="0" w:evenHBand="0" w:firstRowFirstColumn="0" w:firstRowLastColumn="0" w:lastRowFirstColumn="0" w:lastRowLastColumn="0"/>
            <w:tcW w:w="1380" w:type="dxa"/>
            <w:tcMar>
              <w:left w:w="0" w:type="nil"/>
              <w:right w:w="0" w:type="nil"/>
            </w:tcMar>
            <w:hideMark/>
          </w:tcPr>
          <w:p w14:paraId="67AAEBF5" w14:textId="77777777" w:rsidR="006E51BF" w:rsidRPr="00D27713" w:rsidRDefault="006E51BF">
            <w:pPr>
              <w:pStyle w:val="ARfintablecolheadright"/>
              <w:rPr>
                <w:lang w:eastAsia="en-AU"/>
              </w:rPr>
            </w:pPr>
            <w:r w:rsidRPr="00D27713">
              <w:rPr>
                <w:lang w:eastAsia="en-AU"/>
              </w:rPr>
              <w:t>Contributed capital</w:t>
            </w:r>
          </w:p>
          <w:p w14:paraId="232B008E" w14:textId="77777777" w:rsidR="006E51BF" w:rsidRPr="00D27713" w:rsidRDefault="006E51BF">
            <w:pPr>
              <w:pStyle w:val="ARfintablecolheadright"/>
              <w:rPr>
                <w:lang w:eastAsia="en-AU"/>
              </w:rPr>
            </w:pPr>
            <w:r w:rsidRPr="00D27713">
              <w:rPr>
                <w:lang w:eastAsia="en-AU"/>
              </w:rPr>
              <w:t>$M</w:t>
            </w:r>
          </w:p>
        </w:tc>
        <w:tc>
          <w:tcPr>
            <w:tcW w:w="1384" w:type="dxa"/>
            <w:tcMar>
              <w:left w:w="0" w:type="nil"/>
              <w:right w:w="0" w:type="nil"/>
            </w:tcMar>
            <w:hideMark/>
          </w:tcPr>
          <w:p w14:paraId="43C1064D" w14:textId="77777777" w:rsidR="006E51BF" w:rsidRPr="00D27713"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D27713">
              <w:rPr>
                <w:lang w:eastAsia="en-AU"/>
              </w:rPr>
              <w:t>Total</w:t>
            </w:r>
          </w:p>
          <w:p w14:paraId="5F1B9315" w14:textId="77777777" w:rsidR="006E51BF" w:rsidRPr="00D27713"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D27713">
              <w:rPr>
                <w:lang w:eastAsia="en-AU"/>
              </w:rPr>
              <w:t>$M</w:t>
            </w:r>
          </w:p>
        </w:tc>
      </w:tr>
      <w:tr w:rsidR="006E51BF" w:rsidRPr="00D27713" w14:paraId="6F2AA4B0"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3123" w:type="dxa"/>
            <w:shd w:val="clear" w:color="auto" w:fill="auto"/>
            <w:noWrap/>
            <w:hideMark/>
          </w:tcPr>
          <w:p w14:paraId="09FDA155" w14:textId="77777777" w:rsidR="006E51BF" w:rsidRPr="00D27713" w:rsidRDefault="006E51BF">
            <w:pPr>
              <w:pStyle w:val="ARfintabletextbold"/>
              <w:rPr>
                <w:lang w:eastAsia="en-AU"/>
              </w:rPr>
            </w:pPr>
            <w:r w:rsidRPr="00D27713">
              <w:rPr>
                <w:lang w:eastAsia="en-AU"/>
              </w:rPr>
              <w:t xml:space="preserve">Balance </w:t>
            </w:r>
            <w:proofErr w:type="gramStart"/>
            <w:r w:rsidRPr="00D27713">
              <w:rPr>
                <w:lang w:eastAsia="en-AU"/>
              </w:rPr>
              <w:t>at</w:t>
            </w:r>
            <w:proofErr w:type="gramEnd"/>
            <w:r w:rsidRPr="00D27713">
              <w:rPr>
                <w:lang w:eastAsia="en-AU"/>
              </w:rPr>
              <w:t xml:space="preserve"> 1 July 2024</w:t>
            </w:r>
          </w:p>
        </w:tc>
        <w:tc>
          <w:tcPr>
            <w:tcW w:w="989" w:type="dxa"/>
            <w:noWrap/>
            <w:tcMar>
              <w:left w:w="0" w:type="nil"/>
              <w:right w:w="0" w:type="nil"/>
            </w:tcMar>
            <w:hideMark/>
          </w:tcPr>
          <w:p w14:paraId="6222E81C" w14:textId="77777777" w:rsidR="006E51BF" w:rsidRPr="003850D8"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702F56C8" w14:textId="77777777" w:rsidR="006E51BF" w:rsidRPr="003850D8" w:rsidRDefault="006E51BF">
            <w:pPr>
              <w:pStyle w:val="ARfintabletextboldright"/>
            </w:pPr>
            <w:r w:rsidRPr="003850D8">
              <w:t>8,756.2</w:t>
            </w:r>
          </w:p>
        </w:tc>
        <w:tc>
          <w:tcPr>
            <w:tcW w:w="1382" w:type="dxa"/>
            <w:noWrap/>
            <w:tcMar>
              <w:left w:w="0" w:type="nil"/>
              <w:right w:w="0" w:type="nil"/>
            </w:tcMar>
            <w:hideMark/>
          </w:tcPr>
          <w:p w14:paraId="632123FA" w14:textId="77777777" w:rsidR="006E51BF" w:rsidRPr="00D27713" w:rsidRDefault="006E51BF">
            <w:pPr>
              <w:pStyle w:val="ARfintabletextboldright"/>
              <w:cnfStyle w:val="000000000000" w:firstRow="0" w:lastRow="0" w:firstColumn="0" w:lastColumn="0" w:oddVBand="0" w:evenVBand="0" w:oddHBand="0" w:evenHBand="0" w:firstRowFirstColumn="0" w:firstRowLastColumn="0" w:lastRowFirstColumn="0" w:lastRowLastColumn="0"/>
              <w:rPr>
                <w:lang w:eastAsia="en-AU"/>
              </w:rPr>
            </w:pPr>
            <w:r w:rsidRPr="00D27713">
              <w:rPr>
                <w:lang w:eastAsia="en-AU"/>
              </w:rPr>
              <w:t>(455.4)</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096E0843" w14:textId="77777777" w:rsidR="006E51BF" w:rsidRPr="00D27713" w:rsidRDefault="006E51BF">
            <w:pPr>
              <w:pStyle w:val="ARfintabletextboldright"/>
              <w:rPr>
                <w:lang w:eastAsia="en-AU"/>
              </w:rPr>
            </w:pPr>
            <w:r w:rsidRPr="00D27713">
              <w:rPr>
                <w:lang w:eastAsia="en-AU"/>
              </w:rPr>
              <w:t>30,261.5</w:t>
            </w:r>
          </w:p>
        </w:tc>
        <w:tc>
          <w:tcPr>
            <w:tcW w:w="1384" w:type="dxa"/>
            <w:noWrap/>
            <w:tcMar>
              <w:left w:w="0" w:type="nil"/>
              <w:right w:w="0" w:type="nil"/>
            </w:tcMar>
            <w:hideMark/>
          </w:tcPr>
          <w:p w14:paraId="5D3FAF08" w14:textId="77777777" w:rsidR="006E51BF" w:rsidRPr="00D27713" w:rsidRDefault="006E51BF">
            <w:pPr>
              <w:pStyle w:val="ARfintabletextboldright"/>
              <w:cnfStyle w:val="000000000000" w:firstRow="0" w:lastRow="0" w:firstColumn="0" w:lastColumn="0" w:oddVBand="0" w:evenVBand="0" w:oddHBand="0" w:evenHBand="0" w:firstRowFirstColumn="0" w:firstRowLastColumn="0" w:lastRowFirstColumn="0" w:lastRowLastColumn="0"/>
              <w:rPr>
                <w:lang w:eastAsia="en-AU"/>
              </w:rPr>
            </w:pPr>
            <w:r w:rsidRPr="00D27713">
              <w:rPr>
                <w:lang w:eastAsia="en-AU"/>
              </w:rPr>
              <w:t>38,562.3</w:t>
            </w:r>
          </w:p>
        </w:tc>
      </w:tr>
      <w:tr w:rsidR="006E51BF" w:rsidRPr="00D27713" w14:paraId="76E42E24"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3123" w:type="dxa"/>
            <w:shd w:val="clear" w:color="auto" w:fill="auto"/>
            <w:noWrap/>
            <w:hideMark/>
          </w:tcPr>
          <w:p w14:paraId="51FCEB86" w14:textId="77777777" w:rsidR="006E51BF" w:rsidRPr="00D27713" w:rsidRDefault="006E51BF">
            <w:pPr>
              <w:pStyle w:val="ARfintabletext"/>
              <w:rPr>
                <w:lang w:eastAsia="en-AU"/>
              </w:rPr>
            </w:pPr>
            <w:r w:rsidRPr="00D27713">
              <w:rPr>
                <w:lang w:eastAsia="en-AU"/>
              </w:rPr>
              <w:t>Net result for the year</w:t>
            </w:r>
          </w:p>
        </w:tc>
        <w:tc>
          <w:tcPr>
            <w:tcW w:w="989" w:type="dxa"/>
            <w:noWrap/>
            <w:tcMar>
              <w:left w:w="0" w:type="nil"/>
              <w:right w:w="0" w:type="nil"/>
            </w:tcMar>
            <w:hideMark/>
          </w:tcPr>
          <w:p w14:paraId="6EE4499F" w14:textId="77777777" w:rsidR="006E51BF" w:rsidRPr="003850D8"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46E93FB7" w14:textId="77777777" w:rsidR="006E51BF" w:rsidRPr="003850D8" w:rsidRDefault="006E51BF">
            <w:pPr>
              <w:pStyle w:val="ARfintabletextright"/>
            </w:pPr>
            <w:r w:rsidRPr="003850D8">
              <w:t>–</w:t>
            </w:r>
          </w:p>
        </w:tc>
        <w:tc>
          <w:tcPr>
            <w:tcW w:w="1382" w:type="dxa"/>
            <w:noWrap/>
            <w:tcMar>
              <w:left w:w="0" w:type="nil"/>
              <w:right w:w="0" w:type="nil"/>
            </w:tcMar>
            <w:hideMark/>
          </w:tcPr>
          <w:p w14:paraId="7D3E1922"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D27713">
              <w:rPr>
                <w:lang w:eastAsia="en-AU"/>
              </w:rPr>
              <w:t>(522.2)</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52571C65" w14:textId="77777777" w:rsidR="006E51BF" w:rsidRPr="00D27713" w:rsidRDefault="006E51BF">
            <w:pPr>
              <w:pStyle w:val="ARfintabletextright"/>
              <w:rPr>
                <w:lang w:eastAsia="en-AU"/>
              </w:rPr>
            </w:pPr>
            <w:r>
              <w:rPr>
                <w:lang w:eastAsia="en-AU"/>
              </w:rPr>
              <w:t>–</w:t>
            </w:r>
          </w:p>
        </w:tc>
        <w:tc>
          <w:tcPr>
            <w:tcW w:w="1384" w:type="dxa"/>
            <w:noWrap/>
            <w:tcMar>
              <w:left w:w="0" w:type="nil"/>
              <w:right w:w="0" w:type="nil"/>
            </w:tcMar>
            <w:hideMark/>
          </w:tcPr>
          <w:p w14:paraId="72E93005"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D27713">
              <w:rPr>
                <w:lang w:eastAsia="en-AU"/>
              </w:rPr>
              <w:t>(522.2)</w:t>
            </w:r>
          </w:p>
        </w:tc>
      </w:tr>
      <w:tr w:rsidR="006E51BF" w:rsidRPr="00D27713" w14:paraId="3F0188F4"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3123" w:type="dxa"/>
            <w:shd w:val="clear" w:color="auto" w:fill="auto"/>
            <w:noWrap/>
            <w:hideMark/>
          </w:tcPr>
          <w:p w14:paraId="2ACB24DF" w14:textId="77777777" w:rsidR="006E51BF" w:rsidRPr="00D27713" w:rsidRDefault="006E51BF">
            <w:pPr>
              <w:pStyle w:val="ARfintabletext"/>
              <w:rPr>
                <w:lang w:eastAsia="en-AU"/>
              </w:rPr>
            </w:pPr>
            <w:r w:rsidRPr="00D27713">
              <w:rPr>
                <w:lang w:eastAsia="en-AU"/>
              </w:rPr>
              <w:t>Remeasurement of superannuation defined benefit plans</w:t>
            </w:r>
          </w:p>
        </w:tc>
        <w:tc>
          <w:tcPr>
            <w:tcW w:w="989" w:type="dxa"/>
            <w:noWrap/>
            <w:tcMar>
              <w:left w:w="0" w:type="nil"/>
              <w:right w:w="0" w:type="nil"/>
            </w:tcMar>
            <w:hideMark/>
          </w:tcPr>
          <w:p w14:paraId="4E525A59" w14:textId="77777777" w:rsidR="006E51BF" w:rsidRPr="003850D8"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3850D8">
              <w:t>9.3(a)</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4860F248" w14:textId="77777777" w:rsidR="006E51BF" w:rsidRPr="003850D8" w:rsidRDefault="006E51BF">
            <w:pPr>
              <w:pStyle w:val="ARfintabletextright"/>
            </w:pPr>
            <w:r w:rsidRPr="003850D8">
              <w:t>–</w:t>
            </w:r>
          </w:p>
        </w:tc>
        <w:tc>
          <w:tcPr>
            <w:tcW w:w="1382" w:type="dxa"/>
            <w:noWrap/>
            <w:tcMar>
              <w:left w:w="0" w:type="nil"/>
              <w:right w:w="0" w:type="nil"/>
            </w:tcMar>
            <w:hideMark/>
          </w:tcPr>
          <w:p w14:paraId="4A3B87DA"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D27713">
              <w:rPr>
                <w:lang w:eastAsia="en-AU"/>
              </w:rPr>
              <w:t>(1.2)</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68D78BE9" w14:textId="77777777" w:rsidR="006E51BF" w:rsidRPr="00D27713" w:rsidRDefault="006E51BF">
            <w:pPr>
              <w:pStyle w:val="ARfintabletextright"/>
              <w:rPr>
                <w:lang w:eastAsia="en-AU"/>
              </w:rPr>
            </w:pPr>
            <w:r>
              <w:rPr>
                <w:lang w:eastAsia="en-AU"/>
              </w:rPr>
              <w:t>–</w:t>
            </w:r>
          </w:p>
        </w:tc>
        <w:tc>
          <w:tcPr>
            <w:tcW w:w="1384" w:type="dxa"/>
            <w:noWrap/>
            <w:tcMar>
              <w:left w:w="0" w:type="nil"/>
              <w:right w:w="0" w:type="nil"/>
            </w:tcMar>
            <w:hideMark/>
          </w:tcPr>
          <w:p w14:paraId="301F620E"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D27713">
              <w:rPr>
                <w:lang w:eastAsia="en-AU"/>
              </w:rPr>
              <w:t>(1.2)</w:t>
            </w:r>
          </w:p>
        </w:tc>
      </w:tr>
      <w:tr w:rsidR="006E51BF" w:rsidRPr="00D27713" w14:paraId="60CF12EC"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3123" w:type="dxa"/>
            <w:shd w:val="clear" w:color="auto" w:fill="auto"/>
            <w:noWrap/>
            <w:hideMark/>
          </w:tcPr>
          <w:p w14:paraId="38EFD8A0" w14:textId="77777777" w:rsidR="006E51BF" w:rsidRPr="00D27713" w:rsidRDefault="006E51BF">
            <w:pPr>
              <w:pStyle w:val="ARfintabletext"/>
              <w:rPr>
                <w:lang w:eastAsia="en-AU"/>
              </w:rPr>
            </w:pPr>
            <w:r w:rsidRPr="00D27713">
              <w:rPr>
                <w:lang w:eastAsia="en-AU"/>
              </w:rPr>
              <w:t>Changes in physical asset revaluation surplus</w:t>
            </w:r>
          </w:p>
        </w:tc>
        <w:tc>
          <w:tcPr>
            <w:tcW w:w="989" w:type="dxa"/>
            <w:noWrap/>
            <w:tcMar>
              <w:left w:w="0" w:type="nil"/>
              <w:right w:w="0" w:type="nil"/>
            </w:tcMar>
            <w:hideMark/>
          </w:tcPr>
          <w:p w14:paraId="64563FC0" w14:textId="77777777" w:rsidR="006E51BF" w:rsidRPr="003850D8"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3850D8">
              <w:t>9.3(b)</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5BD8897B" w14:textId="77777777" w:rsidR="006E51BF" w:rsidRPr="003850D8" w:rsidRDefault="006E51BF">
            <w:pPr>
              <w:pStyle w:val="ARfintabletextright"/>
            </w:pPr>
            <w:r w:rsidRPr="003850D8">
              <w:t>(1.7)</w:t>
            </w:r>
          </w:p>
        </w:tc>
        <w:tc>
          <w:tcPr>
            <w:tcW w:w="1382" w:type="dxa"/>
            <w:noWrap/>
            <w:tcMar>
              <w:left w:w="0" w:type="nil"/>
              <w:right w:w="0" w:type="nil"/>
            </w:tcMar>
            <w:hideMark/>
          </w:tcPr>
          <w:p w14:paraId="1D1F20A2"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Pr>
                <w:lang w:eastAsia="en-AU"/>
              </w:rPr>
              <w:t>–</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4E339E5F" w14:textId="77777777" w:rsidR="006E51BF" w:rsidRPr="00D27713" w:rsidRDefault="006E51BF">
            <w:pPr>
              <w:pStyle w:val="ARfintabletextright"/>
              <w:rPr>
                <w:lang w:eastAsia="en-AU"/>
              </w:rPr>
            </w:pPr>
            <w:r>
              <w:rPr>
                <w:lang w:eastAsia="en-AU"/>
              </w:rPr>
              <w:t>–</w:t>
            </w:r>
          </w:p>
        </w:tc>
        <w:tc>
          <w:tcPr>
            <w:tcW w:w="1384" w:type="dxa"/>
            <w:noWrap/>
            <w:tcMar>
              <w:left w:w="0" w:type="nil"/>
              <w:right w:w="0" w:type="nil"/>
            </w:tcMar>
            <w:hideMark/>
          </w:tcPr>
          <w:p w14:paraId="2D4F9335"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D27713">
              <w:rPr>
                <w:lang w:eastAsia="en-AU"/>
              </w:rPr>
              <w:t>(1.7)</w:t>
            </w:r>
          </w:p>
        </w:tc>
      </w:tr>
      <w:tr w:rsidR="006E51BF" w:rsidRPr="00D27713" w14:paraId="1DBC2FD1"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3123" w:type="dxa"/>
            <w:shd w:val="clear" w:color="auto" w:fill="auto"/>
            <w:noWrap/>
            <w:hideMark/>
          </w:tcPr>
          <w:p w14:paraId="0315CA32" w14:textId="7FC57F8F" w:rsidR="006E51BF" w:rsidRPr="00D27713" w:rsidRDefault="006E51BF">
            <w:pPr>
              <w:pStyle w:val="ARfintabletext"/>
              <w:rPr>
                <w:lang w:eastAsia="en-AU"/>
              </w:rPr>
            </w:pPr>
            <w:r w:rsidRPr="00D27713">
              <w:rPr>
                <w:lang w:eastAsia="en-AU"/>
              </w:rPr>
              <w:t>Capital contributions by Victorian</w:t>
            </w:r>
            <w:r w:rsidR="00DE6C7D">
              <w:rPr>
                <w:lang w:eastAsia="en-AU"/>
              </w:rPr>
              <w:t> </w:t>
            </w:r>
            <w:r w:rsidRPr="00D27713">
              <w:rPr>
                <w:lang w:eastAsia="en-AU"/>
              </w:rPr>
              <w:t>State Government</w:t>
            </w:r>
          </w:p>
        </w:tc>
        <w:tc>
          <w:tcPr>
            <w:tcW w:w="989" w:type="dxa"/>
            <w:noWrap/>
            <w:tcMar>
              <w:left w:w="0" w:type="nil"/>
              <w:right w:w="0" w:type="nil"/>
            </w:tcMar>
            <w:hideMark/>
          </w:tcPr>
          <w:p w14:paraId="75FA8733" w14:textId="77777777" w:rsidR="006E51BF" w:rsidRPr="003850D8"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3850D8">
              <w:t>9.3(c)</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2721A1B9" w14:textId="77777777" w:rsidR="006E51BF" w:rsidRPr="003850D8" w:rsidRDefault="006E51BF">
            <w:pPr>
              <w:pStyle w:val="ARfintabletextright"/>
            </w:pPr>
            <w:r w:rsidRPr="003850D8">
              <w:t>–</w:t>
            </w:r>
          </w:p>
        </w:tc>
        <w:tc>
          <w:tcPr>
            <w:tcW w:w="1382" w:type="dxa"/>
            <w:noWrap/>
            <w:tcMar>
              <w:left w:w="0" w:type="nil"/>
              <w:right w:w="0" w:type="nil"/>
            </w:tcMar>
            <w:hideMark/>
          </w:tcPr>
          <w:p w14:paraId="5045F9DE"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Pr>
                <w:lang w:eastAsia="en-AU"/>
              </w:rPr>
              <w:t>–</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278F9450" w14:textId="77777777" w:rsidR="006E51BF" w:rsidRPr="00D27713" w:rsidRDefault="006E51BF">
            <w:pPr>
              <w:pStyle w:val="ARfintabletextright"/>
              <w:rPr>
                <w:lang w:eastAsia="en-AU"/>
              </w:rPr>
            </w:pPr>
            <w:r w:rsidRPr="00D27713">
              <w:rPr>
                <w:lang w:eastAsia="en-AU"/>
              </w:rPr>
              <w:t>1,063.4</w:t>
            </w:r>
          </w:p>
        </w:tc>
        <w:tc>
          <w:tcPr>
            <w:tcW w:w="1384" w:type="dxa"/>
            <w:noWrap/>
            <w:tcMar>
              <w:left w:w="0" w:type="nil"/>
              <w:right w:w="0" w:type="nil"/>
            </w:tcMar>
            <w:hideMark/>
          </w:tcPr>
          <w:p w14:paraId="4A3992A9"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D27713">
              <w:rPr>
                <w:lang w:eastAsia="en-AU"/>
              </w:rPr>
              <w:t>1,063.4</w:t>
            </w:r>
          </w:p>
        </w:tc>
      </w:tr>
      <w:tr w:rsidR="006E51BF" w:rsidRPr="00D27713" w14:paraId="125C59F2"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3123" w:type="dxa"/>
            <w:shd w:val="clear" w:color="auto" w:fill="auto"/>
            <w:noWrap/>
            <w:hideMark/>
          </w:tcPr>
          <w:p w14:paraId="57833745" w14:textId="77777777" w:rsidR="006E51BF" w:rsidRPr="00D27713" w:rsidRDefault="006E51BF">
            <w:pPr>
              <w:pStyle w:val="ARfintabletext"/>
              <w:rPr>
                <w:lang w:eastAsia="en-AU"/>
              </w:rPr>
            </w:pPr>
            <w:r w:rsidRPr="00D27713">
              <w:rPr>
                <w:lang w:eastAsia="en-AU"/>
              </w:rPr>
              <w:t>Asset transfers via capital</w:t>
            </w:r>
            <w:r>
              <w:rPr>
                <w:lang w:eastAsia="en-AU"/>
              </w:rPr>
              <w:t> </w:t>
            </w:r>
            <w:r w:rsidRPr="00D27713">
              <w:rPr>
                <w:lang w:eastAsia="en-AU"/>
              </w:rPr>
              <w:t>contribution</w:t>
            </w:r>
          </w:p>
        </w:tc>
        <w:tc>
          <w:tcPr>
            <w:tcW w:w="989" w:type="dxa"/>
            <w:noWrap/>
            <w:tcMar>
              <w:left w:w="0" w:type="nil"/>
              <w:right w:w="0" w:type="nil"/>
            </w:tcMar>
          </w:tcPr>
          <w:p w14:paraId="5FEC43CE" w14:textId="77777777" w:rsidR="006E51BF" w:rsidRPr="003850D8"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05F22BB4" w14:textId="77777777" w:rsidR="006E51BF" w:rsidRPr="003850D8" w:rsidRDefault="006E51BF">
            <w:pPr>
              <w:pStyle w:val="ARfintabletextright"/>
            </w:pPr>
            <w:r w:rsidRPr="003850D8">
              <w:t>–</w:t>
            </w:r>
          </w:p>
        </w:tc>
        <w:tc>
          <w:tcPr>
            <w:tcW w:w="1382" w:type="dxa"/>
            <w:noWrap/>
            <w:tcMar>
              <w:left w:w="0" w:type="nil"/>
              <w:right w:w="0" w:type="nil"/>
            </w:tcMar>
            <w:hideMark/>
          </w:tcPr>
          <w:p w14:paraId="36834127"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Pr>
                <w:lang w:eastAsia="en-AU"/>
              </w:rPr>
              <w:t>–</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646747D0" w14:textId="77777777" w:rsidR="006E51BF" w:rsidRPr="00D27713" w:rsidRDefault="006E51BF">
            <w:pPr>
              <w:pStyle w:val="ARfintabletextright"/>
              <w:rPr>
                <w:lang w:eastAsia="en-AU"/>
              </w:rPr>
            </w:pPr>
            <w:r w:rsidRPr="00D27713">
              <w:rPr>
                <w:lang w:eastAsia="en-AU"/>
              </w:rPr>
              <w:t>(6.8)</w:t>
            </w:r>
          </w:p>
        </w:tc>
        <w:tc>
          <w:tcPr>
            <w:tcW w:w="1384" w:type="dxa"/>
            <w:noWrap/>
            <w:tcMar>
              <w:left w:w="0" w:type="nil"/>
              <w:right w:w="0" w:type="nil"/>
            </w:tcMar>
            <w:hideMark/>
          </w:tcPr>
          <w:p w14:paraId="693ADDD0"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D27713">
              <w:rPr>
                <w:lang w:eastAsia="en-AU"/>
              </w:rPr>
              <w:t>(6.8)</w:t>
            </w:r>
          </w:p>
        </w:tc>
      </w:tr>
      <w:tr w:rsidR="006E51BF" w:rsidRPr="00D27713" w14:paraId="38434262"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3123" w:type="dxa"/>
            <w:shd w:val="clear" w:color="auto" w:fill="auto"/>
            <w:noWrap/>
            <w:hideMark/>
          </w:tcPr>
          <w:p w14:paraId="7BF3432C" w14:textId="77777777" w:rsidR="006E51BF" w:rsidRPr="00D27713" w:rsidRDefault="006E51BF">
            <w:pPr>
              <w:pStyle w:val="ARfintabletextbold"/>
              <w:rPr>
                <w:lang w:eastAsia="en-AU"/>
              </w:rPr>
            </w:pPr>
            <w:r w:rsidRPr="00D27713">
              <w:rPr>
                <w:lang w:eastAsia="en-AU"/>
              </w:rPr>
              <w:t xml:space="preserve">Balance </w:t>
            </w:r>
            <w:proofErr w:type="gramStart"/>
            <w:r w:rsidRPr="00D27713">
              <w:rPr>
                <w:lang w:eastAsia="en-AU"/>
              </w:rPr>
              <w:t>at</w:t>
            </w:r>
            <w:proofErr w:type="gramEnd"/>
            <w:r w:rsidRPr="00D27713">
              <w:rPr>
                <w:lang w:eastAsia="en-AU"/>
              </w:rPr>
              <w:t xml:space="preserve"> 30 June 2025</w:t>
            </w:r>
          </w:p>
        </w:tc>
        <w:tc>
          <w:tcPr>
            <w:tcW w:w="989" w:type="dxa"/>
            <w:noWrap/>
            <w:tcMar>
              <w:left w:w="0" w:type="nil"/>
              <w:right w:w="0" w:type="nil"/>
            </w:tcMar>
          </w:tcPr>
          <w:p w14:paraId="3E64D9E8" w14:textId="77777777" w:rsidR="006E51BF" w:rsidRPr="003850D8"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3E087AEA" w14:textId="77777777" w:rsidR="006E51BF" w:rsidRPr="003850D8" w:rsidRDefault="006E51BF">
            <w:pPr>
              <w:pStyle w:val="ARfintabletextboldright"/>
            </w:pPr>
            <w:r w:rsidRPr="003850D8">
              <w:t>8,754.5</w:t>
            </w:r>
          </w:p>
        </w:tc>
        <w:tc>
          <w:tcPr>
            <w:tcW w:w="1382" w:type="dxa"/>
            <w:noWrap/>
            <w:tcMar>
              <w:left w:w="0" w:type="nil"/>
              <w:right w:w="0" w:type="nil"/>
            </w:tcMar>
            <w:hideMark/>
          </w:tcPr>
          <w:p w14:paraId="6660307B" w14:textId="77777777" w:rsidR="006E51BF" w:rsidRPr="00D27713" w:rsidRDefault="006E51BF">
            <w:pPr>
              <w:pStyle w:val="ARfintabletextboldright"/>
              <w:cnfStyle w:val="000000000000" w:firstRow="0" w:lastRow="0" w:firstColumn="0" w:lastColumn="0" w:oddVBand="0" w:evenVBand="0" w:oddHBand="0" w:evenHBand="0" w:firstRowFirstColumn="0" w:firstRowLastColumn="0" w:lastRowFirstColumn="0" w:lastRowLastColumn="0"/>
              <w:rPr>
                <w:lang w:eastAsia="en-AU"/>
              </w:rPr>
            </w:pPr>
            <w:r w:rsidRPr="00D27713">
              <w:rPr>
                <w:lang w:eastAsia="en-AU"/>
              </w:rPr>
              <w:t>(978.8)</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1330D7D8" w14:textId="77777777" w:rsidR="006E51BF" w:rsidRPr="00D27713" w:rsidRDefault="006E51BF">
            <w:pPr>
              <w:pStyle w:val="ARfintabletextboldright"/>
              <w:rPr>
                <w:lang w:eastAsia="en-AU"/>
              </w:rPr>
            </w:pPr>
            <w:r w:rsidRPr="00D27713">
              <w:rPr>
                <w:lang w:eastAsia="en-AU"/>
              </w:rPr>
              <w:t>31,318.1</w:t>
            </w:r>
          </w:p>
        </w:tc>
        <w:tc>
          <w:tcPr>
            <w:tcW w:w="1384" w:type="dxa"/>
            <w:noWrap/>
            <w:tcMar>
              <w:left w:w="0" w:type="nil"/>
              <w:right w:w="0" w:type="nil"/>
            </w:tcMar>
            <w:hideMark/>
          </w:tcPr>
          <w:p w14:paraId="53D5484B" w14:textId="77777777" w:rsidR="006E51BF" w:rsidRPr="00D27713" w:rsidRDefault="006E51BF">
            <w:pPr>
              <w:pStyle w:val="ARfintabletextboldright"/>
              <w:cnfStyle w:val="000000000000" w:firstRow="0" w:lastRow="0" w:firstColumn="0" w:lastColumn="0" w:oddVBand="0" w:evenVBand="0" w:oddHBand="0" w:evenHBand="0" w:firstRowFirstColumn="0" w:firstRowLastColumn="0" w:lastRowFirstColumn="0" w:lastRowLastColumn="0"/>
              <w:rPr>
                <w:lang w:eastAsia="en-AU"/>
              </w:rPr>
            </w:pPr>
            <w:r w:rsidRPr="00D27713">
              <w:rPr>
                <w:lang w:eastAsia="en-AU"/>
              </w:rPr>
              <w:t>39,093.8</w:t>
            </w:r>
          </w:p>
        </w:tc>
      </w:tr>
      <w:tr w:rsidR="006E51BF" w:rsidRPr="00D27713" w14:paraId="2F9DDCD4"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3123" w:type="dxa"/>
            <w:shd w:val="clear" w:color="auto" w:fill="auto"/>
            <w:noWrap/>
            <w:hideMark/>
          </w:tcPr>
          <w:p w14:paraId="07567AFA" w14:textId="77777777" w:rsidR="006E51BF" w:rsidRPr="00D27713" w:rsidRDefault="006E51BF">
            <w:pPr>
              <w:pStyle w:val="ARfintabletext"/>
              <w:rPr>
                <w:lang w:eastAsia="en-AU"/>
              </w:rPr>
            </w:pPr>
            <w:r w:rsidRPr="00D27713">
              <w:rPr>
                <w:lang w:eastAsia="en-AU"/>
              </w:rPr>
              <w:t xml:space="preserve">Adjustment </w:t>
            </w:r>
            <w:r w:rsidRPr="00D27713">
              <w:rPr>
                <w:vertAlign w:val="superscript"/>
                <w:lang w:eastAsia="en-AU"/>
              </w:rPr>
              <w:t>(</w:t>
            </w:r>
            <w:proofErr w:type="spellStart"/>
            <w:r w:rsidRPr="00D27713">
              <w:rPr>
                <w:vertAlign w:val="superscript"/>
                <w:lang w:eastAsia="en-AU"/>
              </w:rPr>
              <w:t>i</w:t>
            </w:r>
            <w:proofErr w:type="spellEnd"/>
            <w:r w:rsidRPr="00D27713">
              <w:rPr>
                <w:vertAlign w:val="superscript"/>
                <w:lang w:eastAsia="en-AU"/>
              </w:rPr>
              <w:t>)</w:t>
            </w:r>
          </w:p>
        </w:tc>
        <w:tc>
          <w:tcPr>
            <w:tcW w:w="989" w:type="dxa"/>
            <w:noWrap/>
            <w:tcMar>
              <w:left w:w="0" w:type="nil"/>
              <w:right w:w="0" w:type="nil"/>
            </w:tcMar>
            <w:hideMark/>
          </w:tcPr>
          <w:p w14:paraId="1BB88657" w14:textId="77777777" w:rsidR="006E51BF" w:rsidRPr="003850D8"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3850D8">
              <w:t>9.3</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11066FF4" w14:textId="77777777" w:rsidR="006E51BF" w:rsidRPr="003850D8" w:rsidRDefault="006E51BF">
            <w:pPr>
              <w:pStyle w:val="ARfintabletextright"/>
            </w:pPr>
            <w:r w:rsidRPr="003850D8">
              <w:t>–</w:t>
            </w:r>
          </w:p>
        </w:tc>
        <w:tc>
          <w:tcPr>
            <w:tcW w:w="1382" w:type="dxa"/>
            <w:noWrap/>
            <w:tcMar>
              <w:left w:w="0" w:type="nil"/>
              <w:right w:w="0" w:type="nil"/>
            </w:tcMar>
            <w:hideMark/>
          </w:tcPr>
          <w:p w14:paraId="3F01ADE5"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D27713">
              <w:rPr>
                <w:lang w:eastAsia="en-AU"/>
              </w:rPr>
              <w:t>54.7</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3E790441" w14:textId="77777777" w:rsidR="006E51BF" w:rsidRPr="00D27713" w:rsidRDefault="006E51BF">
            <w:pPr>
              <w:pStyle w:val="ARfintabletextright"/>
              <w:rPr>
                <w:lang w:eastAsia="en-AU"/>
              </w:rPr>
            </w:pPr>
            <w:r>
              <w:rPr>
                <w:lang w:eastAsia="en-AU"/>
              </w:rPr>
              <w:t>–</w:t>
            </w:r>
          </w:p>
        </w:tc>
        <w:tc>
          <w:tcPr>
            <w:tcW w:w="1384" w:type="dxa"/>
            <w:noWrap/>
            <w:tcMar>
              <w:left w:w="0" w:type="nil"/>
              <w:right w:w="0" w:type="nil"/>
            </w:tcMar>
            <w:hideMark/>
          </w:tcPr>
          <w:p w14:paraId="43A51831"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D27713">
              <w:rPr>
                <w:lang w:eastAsia="en-AU"/>
              </w:rPr>
              <w:t>54.7</w:t>
            </w:r>
          </w:p>
        </w:tc>
      </w:tr>
      <w:tr w:rsidR="006E51BF" w:rsidRPr="00D27713" w14:paraId="6F858915"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3123" w:type="dxa"/>
            <w:shd w:val="clear" w:color="auto" w:fill="auto"/>
            <w:noWrap/>
            <w:hideMark/>
          </w:tcPr>
          <w:p w14:paraId="562D805D" w14:textId="77777777" w:rsidR="006E51BF" w:rsidRPr="00D27713" w:rsidRDefault="006E51BF">
            <w:pPr>
              <w:pStyle w:val="ARfintabletext"/>
              <w:rPr>
                <w:lang w:eastAsia="en-AU"/>
              </w:rPr>
            </w:pPr>
            <w:r w:rsidRPr="00D27713">
              <w:rPr>
                <w:lang w:eastAsia="en-AU"/>
              </w:rPr>
              <w:t>Net result for the year</w:t>
            </w:r>
          </w:p>
        </w:tc>
        <w:tc>
          <w:tcPr>
            <w:tcW w:w="989" w:type="dxa"/>
            <w:noWrap/>
            <w:tcMar>
              <w:left w:w="0" w:type="nil"/>
              <w:right w:w="0" w:type="nil"/>
            </w:tcMar>
            <w:hideMark/>
          </w:tcPr>
          <w:p w14:paraId="2AA25756" w14:textId="77777777" w:rsidR="006E51BF" w:rsidRPr="003850D8" w:rsidRDefault="006E51BF">
            <w:pPr>
              <w:pStyle w:val="ARfintabletextrigh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30FD5922" w14:textId="77777777" w:rsidR="006E51BF" w:rsidRPr="003850D8" w:rsidRDefault="006E51BF">
            <w:pPr>
              <w:pStyle w:val="ARfintabletextright"/>
            </w:pPr>
            <w:r w:rsidRPr="003850D8">
              <w:t>–</w:t>
            </w:r>
          </w:p>
        </w:tc>
        <w:tc>
          <w:tcPr>
            <w:tcW w:w="1382" w:type="dxa"/>
            <w:noWrap/>
            <w:tcMar>
              <w:left w:w="0" w:type="nil"/>
              <w:right w:w="0" w:type="nil"/>
            </w:tcMar>
            <w:hideMark/>
          </w:tcPr>
          <w:p w14:paraId="02512D7F"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D27713">
              <w:rPr>
                <w:lang w:eastAsia="en-AU"/>
              </w:rPr>
              <w:t>(462.1)</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7F4B00D4" w14:textId="77777777" w:rsidR="006E51BF" w:rsidRPr="00D27713" w:rsidRDefault="006E51BF">
            <w:pPr>
              <w:pStyle w:val="ARfintabletextright"/>
              <w:rPr>
                <w:lang w:eastAsia="en-AU"/>
              </w:rPr>
            </w:pPr>
            <w:r>
              <w:rPr>
                <w:lang w:eastAsia="en-AU"/>
              </w:rPr>
              <w:t>–</w:t>
            </w:r>
          </w:p>
        </w:tc>
        <w:tc>
          <w:tcPr>
            <w:tcW w:w="1384" w:type="dxa"/>
            <w:noWrap/>
            <w:tcMar>
              <w:left w:w="0" w:type="nil"/>
              <w:right w:w="0" w:type="nil"/>
            </w:tcMar>
            <w:hideMark/>
          </w:tcPr>
          <w:p w14:paraId="7B6BBED9"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D27713">
              <w:rPr>
                <w:lang w:eastAsia="en-AU"/>
              </w:rPr>
              <w:t>(462.1)</w:t>
            </w:r>
          </w:p>
        </w:tc>
      </w:tr>
      <w:tr w:rsidR="006E51BF" w:rsidRPr="00D27713" w14:paraId="55D0A693"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3123" w:type="dxa"/>
            <w:shd w:val="clear" w:color="auto" w:fill="auto"/>
            <w:noWrap/>
            <w:hideMark/>
          </w:tcPr>
          <w:p w14:paraId="70E8ED60" w14:textId="77777777" w:rsidR="006E51BF" w:rsidRPr="00D27713" w:rsidRDefault="006E51BF">
            <w:pPr>
              <w:pStyle w:val="ARfintabletext"/>
              <w:rPr>
                <w:lang w:eastAsia="en-AU"/>
              </w:rPr>
            </w:pPr>
            <w:r w:rsidRPr="00D27713">
              <w:rPr>
                <w:lang w:eastAsia="en-AU"/>
              </w:rPr>
              <w:t>Remeasurement of superannuation defined benefit plans</w:t>
            </w:r>
          </w:p>
        </w:tc>
        <w:tc>
          <w:tcPr>
            <w:tcW w:w="989" w:type="dxa"/>
            <w:noWrap/>
            <w:tcMar>
              <w:left w:w="0" w:type="nil"/>
              <w:right w:w="0" w:type="nil"/>
            </w:tcMar>
            <w:hideMark/>
          </w:tcPr>
          <w:p w14:paraId="32E77ABB" w14:textId="77777777" w:rsidR="006E51BF" w:rsidRPr="003850D8"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3850D8">
              <w:t>9.3(a)</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755C1F56" w14:textId="77777777" w:rsidR="006E51BF" w:rsidRPr="003850D8" w:rsidRDefault="006E51BF">
            <w:pPr>
              <w:pStyle w:val="ARfintabletextright"/>
            </w:pPr>
            <w:r w:rsidRPr="003850D8">
              <w:t>–</w:t>
            </w:r>
          </w:p>
        </w:tc>
        <w:tc>
          <w:tcPr>
            <w:tcW w:w="1382" w:type="dxa"/>
            <w:noWrap/>
            <w:tcMar>
              <w:left w:w="0" w:type="nil"/>
              <w:right w:w="0" w:type="nil"/>
            </w:tcMar>
            <w:hideMark/>
          </w:tcPr>
          <w:p w14:paraId="6A2B2A6A"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D27713">
              <w:rPr>
                <w:lang w:eastAsia="en-AU"/>
              </w:rPr>
              <w:t>0.7</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15070E3C" w14:textId="77777777" w:rsidR="006E51BF" w:rsidRPr="00D27713" w:rsidRDefault="006E51BF">
            <w:pPr>
              <w:pStyle w:val="ARfintabletextright"/>
              <w:rPr>
                <w:lang w:eastAsia="en-AU"/>
              </w:rPr>
            </w:pPr>
            <w:r>
              <w:rPr>
                <w:lang w:eastAsia="en-AU"/>
              </w:rPr>
              <w:t>–</w:t>
            </w:r>
          </w:p>
        </w:tc>
        <w:tc>
          <w:tcPr>
            <w:tcW w:w="1384" w:type="dxa"/>
            <w:noWrap/>
            <w:tcMar>
              <w:left w:w="0" w:type="nil"/>
              <w:right w:w="0" w:type="nil"/>
            </w:tcMar>
            <w:hideMark/>
          </w:tcPr>
          <w:p w14:paraId="4AB9D296"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D27713">
              <w:rPr>
                <w:lang w:eastAsia="en-AU"/>
              </w:rPr>
              <w:t>0.7</w:t>
            </w:r>
          </w:p>
        </w:tc>
      </w:tr>
      <w:tr w:rsidR="006E51BF" w:rsidRPr="00D27713" w14:paraId="4D25B2EB"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3123" w:type="dxa"/>
            <w:shd w:val="clear" w:color="auto" w:fill="auto"/>
            <w:noWrap/>
            <w:hideMark/>
          </w:tcPr>
          <w:p w14:paraId="40932653" w14:textId="77777777" w:rsidR="006E51BF" w:rsidRPr="00D27713" w:rsidRDefault="006E51BF">
            <w:pPr>
              <w:pStyle w:val="ARfintabletext"/>
              <w:rPr>
                <w:lang w:eastAsia="en-AU"/>
              </w:rPr>
            </w:pPr>
            <w:r w:rsidRPr="00D27713">
              <w:rPr>
                <w:lang w:eastAsia="en-AU"/>
              </w:rPr>
              <w:t>Changes in physical asset revaluation surplus</w:t>
            </w:r>
          </w:p>
        </w:tc>
        <w:tc>
          <w:tcPr>
            <w:tcW w:w="989" w:type="dxa"/>
            <w:noWrap/>
            <w:tcMar>
              <w:left w:w="0" w:type="nil"/>
              <w:right w:w="0" w:type="nil"/>
            </w:tcMar>
            <w:hideMark/>
          </w:tcPr>
          <w:p w14:paraId="68321E95" w14:textId="77777777" w:rsidR="006E51BF" w:rsidRPr="003850D8"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3850D8">
              <w:t>9.3(b)</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65CC3190" w14:textId="77777777" w:rsidR="006E51BF" w:rsidRPr="003850D8" w:rsidRDefault="006E51BF">
            <w:pPr>
              <w:pStyle w:val="ARfintabletextright"/>
            </w:pPr>
            <w:r w:rsidRPr="003850D8">
              <w:t>43.3</w:t>
            </w:r>
          </w:p>
        </w:tc>
        <w:tc>
          <w:tcPr>
            <w:tcW w:w="1382" w:type="dxa"/>
            <w:noWrap/>
            <w:tcMar>
              <w:left w:w="0" w:type="nil"/>
              <w:right w:w="0" w:type="nil"/>
            </w:tcMar>
            <w:hideMark/>
          </w:tcPr>
          <w:p w14:paraId="65964FAE"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Pr>
                <w:lang w:eastAsia="en-AU"/>
              </w:rPr>
              <w:t>–</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527BB567" w14:textId="77777777" w:rsidR="006E51BF" w:rsidRPr="00D27713" w:rsidRDefault="006E51BF">
            <w:pPr>
              <w:pStyle w:val="ARfintabletextright"/>
              <w:rPr>
                <w:lang w:eastAsia="en-AU"/>
              </w:rPr>
            </w:pPr>
            <w:r>
              <w:rPr>
                <w:lang w:eastAsia="en-AU"/>
              </w:rPr>
              <w:t>–</w:t>
            </w:r>
          </w:p>
        </w:tc>
        <w:tc>
          <w:tcPr>
            <w:tcW w:w="1384" w:type="dxa"/>
            <w:noWrap/>
            <w:tcMar>
              <w:left w:w="0" w:type="nil"/>
              <w:right w:w="0" w:type="nil"/>
            </w:tcMar>
            <w:hideMark/>
          </w:tcPr>
          <w:p w14:paraId="6EEB1F89"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D27713">
              <w:rPr>
                <w:lang w:eastAsia="en-AU"/>
              </w:rPr>
              <w:t>43.3</w:t>
            </w:r>
          </w:p>
        </w:tc>
      </w:tr>
      <w:tr w:rsidR="006E51BF" w:rsidRPr="00D27713" w14:paraId="0CAE56FA" w14:textId="77777777" w:rsidTr="00E1009E">
        <w:trPr>
          <w:trHeight w:val="20"/>
        </w:trPr>
        <w:tc>
          <w:tcPr>
            <w:cnfStyle w:val="000010000000" w:firstRow="0" w:lastRow="0" w:firstColumn="0" w:lastColumn="0" w:oddVBand="1" w:evenVBand="0" w:oddHBand="0" w:evenHBand="0" w:firstRowFirstColumn="0" w:firstRowLastColumn="0" w:lastRowFirstColumn="0" w:lastRowLastColumn="0"/>
            <w:tcW w:w="3123" w:type="dxa"/>
            <w:shd w:val="clear" w:color="auto" w:fill="auto"/>
            <w:noWrap/>
            <w:hideMark/>
          </w:tcPr>
          <w:p w14:paraId="3A4DCDCB" w14:textId="77777777" w:rsidR="006E51BF" w:rsidRPr="00D27713" w:rsidRDefault="006E51BF">
            <w:pPr>
              <w:pStyle w:val="ARfintabletext"/>
              <w:rPr>
                <w:lang w:eastAsia="en-AU"/>
              </w:rPr>
            </w:pPr>
            <w:r w:rsidRPr="00D27713">
              <w:rPr>
                <w:lang w:eastAsia="en-AU"/>
              </w:rPr>
              <w:t>Capital contributions by Victorian</w:t>
            </w:r>
            <w:r>
              <w:rPr>
                <w:lang w:eastAsia="en-AU"/>
              </w:rPr>
              <w:t> </w:t>
            </w:r>
            <w:r w:rsidRPr="00D27713">
              <w:rPr>
                <w:lang w:eastAsia="en-AU"/>
              </w:rPr>
              <w:t>State Government</w:t>
            </w:r>
          </w:p>
        </w:tc>
        <w:tc>
          <w:tcPr>
            <w:tcW w:w="989" w:type="dxa"/>
            <w:noWrap/>
            <w:tcMar>
              <w:left w:w="0" w:type="nil"/>
              <w:right w:w="0" w:type="nil"/>
            </w:tcMar>
            <w:hideMark/>
          </w:tcPr>
          <w:p w14:paraId="55DCB837" w14:textId="77777777" w:rsidR="006E51BF" w:rsidRPr="003850D8"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3850D8">
              <w:t>9.3(c)</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0F93FD29" w14:textId="77777777" w:rsidR="006E51BF" w:rsidRPr="003850D8" w:rsidRDefault="006E51BF">
            <w:pPr>
              <w:pStyle w:val="ARfintabletextright"/>
            </w:pPr>
            <w:r w:rsidRPr="003850D8">
              <w:t>–</w:t>
            </w:r>
          </w:p>
        </w:tc>
        <w:tc>
          <w:tcPr>
            <w:tcW w:w="1382" w:type="dxa"/>
            <w:noWrap/>
            <w:tcMar>
              <w:left w:w="0" w:type="nil"/>
              <w:right w:w="0" w:type="nil"/>
            </w:tcMar>
            <w:hideMark/>
          </w:tcPr>
          <w:p w14:paraId="3B63C5F1"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Pr>
                <w:lang w:eastAsia="en-AU"/>
              </w:rPr>
              <w:t>–</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7DAD834B" w14:textId="77777777" w:rsidR="006E51BF" w:rsidRPr="00D27713" w:rsidRDefault="006E51BF">
            <w:pPr>
              <w:pStyle w:val="ARfintabletextright"/>
              <w:rPr>
                <w:lang w:eastAsia="en-AU"/>
              </w:rPr>
            </w:pPr>
            <w:r w:rsidRPr="00D27713">
              <w:rPr>
                <w:lang w:eastAsia="en-AU"/>
              </w:rPr>
              <w:t>661.6</w:t>
            </w:r>
          </w:p>
        </w:tc>
        <w:tc>
          <w:tcPr>
            <w:tcW w:w="1384" w:type="dxa"/>
            <w:noWrap/>
            <w:tcMar>
              <w:left w:w="0" w:type="nil"/>
              <w:right w:w="0" w:type="nil"/>
            </w:tcMar>
            <w:hideMark/>
          </w:tcPr>
          <w:p w14:paraId="0492BECC" w14:textId="77777777" w:rsidR="006E51BF" w:rsidRPr="00D27713"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D27713">
              <w:rPr>
                <w:lang w:eastAsia="en-AU"/>
              </w:rPr>
              <w:t>661.6</w:t>
            </w:r>
          </w:p>
        </w:tc>
      </w:tr>
      <w:tr w:rsidR="006E51BF" w:rsidRPr="00D27713" w14:paraId="0FDE5707" w14:textId="77777777" w:rsidTr="00E1009E">
        <w:trPr>
          <w:cnfStyle w:val="010000000000" w:firstRow="0" w:lastRow="1" w:firstColumn="0" w:lastColumn="0" w:oddVBand="0" w:evenVBand="0" w:oddHBand="0" w:evenHBand="0" w:firstRowFirstColumn="0" w:firstRowLastColumn="0" w:lastRowFirstColumn="0" w:lastRowLastColumn="0"/>
          <w:trHeight w:val="229"/>
        </w:trPr>
        <w:tc>
          <w:tcPr>
            <w:cnfStyle w:val="000010000000" w:firstRow="0" w:lastRow="0" w:firstColumn="0" w:lastColumn="0" w:oddVBand="1" w:evenVBand="0" w:oddHBand="0" w:evenHBand="0" w:firstRowFirstColumn="0" w:firstRowLastColumn="0" w:lastRowFirstColumn="0" w:lastRowLastColumn="0"/>
            <w:tcW w:w="3123" w:type="dxa"/>
            <w:shd w:val="clear" w:color="auto" w:fill="auto"/>
            <w:noWrap/>
            <w:hideMark/>
          </w:tcPr>
          <w:p w14:paraId="174B7782" w14:textId="77777777" w:rsidR="006E51BF" w:rsidRPr="00D27713" w:rsidRDefault="006E51BF">
            <w:pPr>
              <w:pStyle w:val="ARfintabletextbold"/>
              <w:rPr>
                <w:lang w:eastAsia="en-AU"/>
              </w:rPr>
            </w:pPr>
            <w:r w:rsidRPr="00D27713">
              <w:rPr>
                <w:lang w:eastAsia="en-AU"/>
              </w:rPr>
              <w:t xml:space="preserve">Balance </w:t>
            </w:r>
            <w:proofErr w:type="gramStart"/>
            <w:r w:rsidRPr="00D27713">
              <w:rPr>
                <w:lang w:eastAsia="en-AU"/>
              </w:rPr>
              <w:t>at</w:t>
            </w:r>
            <w:proofErr w:type="gramEnd"/>
            <w:r w:rsidRPr="00D27713">
              <w:rPr>
                <w:lang w:eastAsia="en-AU"/>
              </w:rPr>
              <w:t xml:space="preserve"> 30 June 2026</w:t>
            </w:r>
          </w:p>
        </w:tc>
        <w:tc>
          <w:tcPr>
            <w:tcW w:w="989" w:type="dxa"/>
            <w:noWrap/>
            <w:tcMar>
              <w:left w:w="0" w:type="nil"/>
              <w:right w:w="0" w:type="nil"/>
            </w:tcMar>
            <w:hideMark/>
          </w:tcPr>
          <w:p w14:paraId="45348307" w14:textId="77777777" w:rsidR="006E51BF" w:rsidRPr="00D27713" w:rsidRDefault="006E51BF">
            <w:pPr>
              <w:pStyle w:val="ARfintabletextright"/>
              <w:cnfStyle w:val="010000000000" w:firstRow="0" w:lastRow="1"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0A93845B" w14:textId="77777777" w:rsidR="006E51BF" w:rsidRPr="00D27713" w:rsidRDefault="006E51BF">
            <w:pPr>
              <w:pStyle w:val="ARfintabletextboldright"/>
              <w:rPr>
                <w:lang w:eastAsia="en-AU"/>
              </w:rPr>
            </w:pPr>
            <w:r w:rsidRPr="00D27713">
              <w:rPr>
                <w:lang w:eastAsia="en-AU"/>
              </w:rPr>
              <w:t>8,797.8</w:t>
            </w:r>
          </w:p>
        </w:tc>
        <w:tc>
          <w:tcPr>
            <w:tcW w:w="1382" w:type="dxa"/>
            <w:noWrap/>
            <w:tcMar>
              <w:left w:w="0" w:type="nil"/>
              <w:right w:w="0" w:type="nil"/>
            </w:tcMar>
            <w:hideMark/>
          </w:tcPr>
          <w:p w14:paraId="58493E3F" w14:textId="77777777" w:rsidR="006E51BF" w:rsidRPr="00D27713"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D27713">
              <w:rPr>
                <w:lang w:eastAsia="en-AU"/>
              </w:rPr>
              <w:t>(1,385.5)</w:t>
            </w:r>
          </w:p>
        </w:tc>
        <w:tc>
          <w:tcPr>
            <w:cnfStyle w:val="000010000000" w:firstRow="0" w:lastRow="0" w:firstColumn="0" w:lastColumn="0" w:oddVBand="1" w:evenVBand="0" w:oddHBand="0" w:evenHBand="0" w:firstRowFirstColumn="0" w:firstRowLastColumn="0" w:lastRowFirstColumn="0" w:lastRowLastColumn="0"/>
            <w:tcW w:w="1380" w:type="dxa"/>
            <w:noWrap/>
            <w:tcMar>
              <w:left w:w="0" w:type="nil"/>
              <w:right w:w="0" w:type="nil"/>
            </w:tcMar>
            <w:hideMark/>
          </w:tcPr>
          <w:p w14:paraId="0CE5D0A7" w14:textId="77777777" w:rsidR="006E51BF" w:rsidRPr="00D27713" w:rsidRDefault="006E51BF">
            <w:pPr>
              <w:pStyle w:val="ARfintabletextboldright"/>
              <w:rPr>
                <w:lang w:eastAsia="en-AU"/>
              </w:rPr>
            </w:pPr>
            <w:r w:rsidRPr="00D27713">
              <w:rPr>
                <w:lang w:eastAsia="en-AU"/>
              </w:rPr>
              <w:t>31,979.7</w:t>
            </w:r>
          </w:p>
        </w:tc>
        <w:tc>
          <w:tcPr>
            <w:tcW w:w="1384" w:type="dxa"/>
            <w:noWrap/>
            <w:tcMar>
              <w:left w:w="0" w:type="nil"/>
              <w:right w:w="0" w:type="nil"/>
            </w:tcMar>
            <w:hideMark/>
          </w:tcPr>
          <w:p w14:paraId="6782615F" w14:textId="77777777" w:rsidR="006E51BF" w:rsidRPr="00D27713"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D27713">
              <w:rPr>
                <w:lang w:eastAsia="en-AU"/>
              </w:rPr>
              <w:t>39,392.0</w:t>
            </w:r>
          </w:p>
        </w:tc>
      </w:tr>
    </w:tbl>
    <w:p w14:paraId="5FBD4F07" w14:textId="77777777" w:rsidR="006E51BF" w:rsidRDefault="006E51BF">
      <w:pPr>
        <w:pStyle w:val="ARfintablenote"/>
        <w:rPr>
          <w:lang w:eastAsia="en-AU"/>
        </w:rPr>
      </w:pPr>
      <w:r w:rsidRPr="00D27713">
        <w:rPr>
          <w:lang w:eastAsia="en-AU"/>
        </w:rPr>
        <w:t>The statement of changes in equity should be read in conjunction with the notes to the financial statements</w:t>
      </w:r>
      <w:r>
        <w:rPr>
          <w:lang w:eastAsia="en-AU"/>
        </w:rPr>
        <w:t>.</w:t>
      </w:r>
    </w:p>
    <w:p w14:paraId="7C8DB52D" w14:textId="77777777" w:rsidR="006E51BF" w:rsidRDefault="006E51BF">
      <w:pPr>
        <w:pStyle w:val="ARfintablenote"/>
        <w:rPr>
          <w:lang w:eastAsia="en-AU"/>
        </w:rPr>
      </w:pPr>
      <w:r w:rsidRPr="00D27713">
        <w:rPr>
          <w:lang w:eastAsia="en-AU"/>
        </w:rPr>
        <w:t>Notes</w:t>
      </w:r>
      <w:r>
        <w:rPr>
          <w:lang w:eastAsia="en-AU"/>
        </w:rPr>
        <w:t>:</w:t>
      </w:r>
    </w:p>
    <w:p w14:paraId="636C864B" w14:textId="77777777" w:rsidR="006E51BF" w:rsidRDefault="006E51BF" w:rsidP="006E51BF">
      <w:pPr>
        <w:pStyle w:val="ARfintablenoteroman"/>
        <w:numPr>
          <w:ilvl w:val="0"/>
          <w:numId w:val="52"/>
        </w:numPr>
      </w:pPr>
      <w:r w:rsidRPr="00D27713">
        <w:t>An adjustment of the accumulated surplus / (deficit) was made to the opening balance of the accumulated surplus / (deficit)</w:t>
      </w:r>
      <w:r>
        <w:t xml:space="preserve"> and physical asset revaluation</w:t>
      </w:r>
      <w:r w:rsidRPr="00D27713">
        <w:t xml:space="preserve"> for 2025</w:t>
      </w:r>
      <w:r>
        <w:t>–</w:t>
      </w:r>
      <w:r w:rsidRPr="00D27713">
        <w:t xml:space="preserve">26, </w:t>
      </w:r>
      <w:proofErr w:type="gramStart"/>
      <w:r w:rsidRPr="00D27713">
        <w:t>as a result of</w:t>
      </w:r>
      <w:proofErr w:type="gramEnd"/>
      <w:r w:rsidRPr="00D27713">
        <w:t xml:space="preserve"> GST recovered on expense accounts for prior years. Further information is included in Note 9.3 Reserves.</w:t>
      </w:r>
    </w:p>
    <w:p w14:paraId="5568CA54" w14:textId="77777777" w:rsidR="006E51BF" w:rsidRDefault="006E51BF">
      <w:pPr>
        <w:pStyle w:val="ARfinbody"/>
        <w:rPr>
          <w:sz w:val="16"/>
          <w:lang w:eastAsia="en-AU"/>
        </w:rPr>
      </w:pPr>
      <w:r>
        <w:br w:type="page"/>
      </w:r>
    </w:p>
    <w:p w14:paraId="3026E59D" w14:textId="77777777" w:rsidR="006E51BF" w:rsidRPr="00327CDE" w:rsidRDefault="006E51BF">
      <w:pPr>
        <w:pStyle w:val="Heading2financials"/>
        <w:rPr>
          <w:lang w:eastAsia="en-AU"/>
        </w:rPr>
      </w:pPr>
      <w:bookmarkStart w:id="281" w:name="Notes"/>
      <w:bookmarkStart w:id="282" w:name="RANGE!A1:A28"/>
      <w:bookmarkStart w:id="283" w:name="_Toc241068543"/>
      <w:r w:rsidRPr="00327CDE">
        <w:rPr>
          <w:lang w:eastAsia="en-AU"/>
        </w:rPr>
        <w:t xml:space="preserve">Notes </w:t>
      </w:r>
      <w:bookmarkEnd w:id="281"/>
      <w:r w:rsidRPr="00327CDE">
        <w:rPr>
          <w:lang w:eastAsia="en-AU"/>
        </w:rPr>
        <w:t xml:space="preserve">to and forming part of the financial statements for the financial year ended </w:t>
      </w:r>
      <w:r>
        <w:rPr>
          <w:lang w:eastAsia="en-AU"/>
        </w:rPr>
        <w:br/>
      </w:r>
      <w:r w:rsidRPr="00327CDE">
        <w:rPr>
          <w:lang w:eastAsia="en-AU"/>
        </w:rPr>
        <w:t>30 June 2026</w:t>
      </w:r>
      <w:bookmarkEnd w:id="282"/>
      <w:bookmarkEnd w:id="283"/>
    </w:p>
    <w:p w14:paraId="5F437D7E" w14:textId="77777777" w:rsidR="006E51BF" w:rsidRPr="00327CDE" w:rsidRDefault="006E51BF">
      <w:pPr>
        <w:pStyle w:val="Heading3financials"/>
        <w:rPr>
          <w:lang w:eastAsia="en-AU"/>
        </w:rPr>
      </w:pPr>
      <w:bookmarkStart w:id="284" w:name="_Toc241068544"/>
      <w:r w:rsidRPr="00327CDE">
        <w:rPr>
          <w:lang w:eastAsia="en-AU"/>
        </w:rPr>
        <w:t xml:space="preserve">1. </w:t>
      </w:r>
      <w:r>
        <w:rPr>
          <w:lang w:eastAsia="en-AU"/>
        </w:rPr>
        <w:tab/>
      </w:r>
      <w:r w:rsidRPr="00327CDE">
        <w:rPr>
          <w:lang w:eastAsia="en-AU"/>
        </w:rPr>
        <w:t>About this report</w:t>
      </w:r>
      <w:bookmarkEnd w:id="284"/>
    </w:p>
    <w:p w14:paraId="3B323339" w14:textId="382A09D0" w:rsidR="006E51BF" w:rsidRPr="00327CDE" w:rsidRDefault="006E51BF">
      <w:pPr>
        <w:pStyle w:val="ARfinbody"/>
        <w:rPr>
          <w:lang w:eastAsia="en-AU"/>
        </w:rPr>
      </w:pPr>
      <w:r w:rsidRPr="00327CDE">
        <w:rPr>
          <w:lang w:eastAsia="en-AU"/>
        </w:rPr>
        <w:t>The Department of Families, Fairness and Housing (the department) was established on 1 February 2021 as</w:t>
      </w:r>
      <w:r>
        <w:rPr>
          <w:lang w:eastAsia="en-AU"/>
        </w:rPr>
        <w:t> </w:t>
      </w:r>
      <w:r w:rsidRPr="00327CDE">
        <w:rPr>
          <w:lang w:eastAsia="en-AU"/>
        </w:rPr>
        <w:t>a</w:t>
      </w:r>
      <w:r>
        <w:rPr>
          <w:lang w:eastAsia="en-AU"/>
        </w:rPr>
        <w:t> </w:t>
      </w:r>
      <w:r w:rsidRPr="00327CDE">
        <w:rPr>
          <w:lang w:eastAsia="en-AU"/>
        </w:rPr>
        <w:t xml:space="preserve">government department of the State of Victoria, pursuant to an order made by the Premier under the </w:t>
      </w:r>
      <w:r w:rsidRPr="00CA7B85">
        <w:rPr>
          <w:rStyle w:val="Emphasis"/>
          <w:lang w:eastAsia="en-AU"/>
        </w:rPr>
        <w:t>Public</w:t>
      </w:r>
      <w:r w:rsidR="00610A6F">
        <w:rPr>
          <w:rStyle w:val="Emphasis"/>
          <w:lang w:eastAsia="en-AU"/>
        </w:rPr>
        <w:t> </w:t>
      </w:r>
      <w:r w:rsidRPr="00CA7B85">
        <w:rPr>
          <w:rStyle w:val="Emphasis"/>
          <w:lang w:eastAsia="en-AU"/>
        </w:rPr>
        <w:t xml:space="preserve">Administration Act 2004. </w:t>
      </w:r>
      <w:r w:rsidRPr="00327CDE">
        <w:rPr>
          <w:lang w:eastAsia="en-AU"/>
        </w:rPr>
        <w:t xml:space="preserve">It is an administrative agency acting on behalf of the Crown. </w:t>
      </w:r>
    </w:p>
    <w:p w14:paraId="0FE3F37E" w14:textId="77777777" w:rsidR="006E51BF" w:rsidRDefault="006E51BF">
      <w:pPr>
        <w:pStyle w:val="ARfinbody"/>
        <w:rPr>
          <w:lang w:eastAsia="en-AU"/>
        </w:rPr>
      </w:pPr>
      <w:r w:rsidRPr="00327CDE">
        <w:rPr>
          <w:lang w:eastAsia="en-AU"/>
        </w:rPr>
        <w:t>Its principal address is:</w:t>
      </w:r>
    </w:p>
    <w:p w14:paraId="3700DDD3" w14:textId="77777777" w:rsidR="006E51BF" w:rsidRDefault="006E51BF">
      <w:pPr>
        <w:pStyle w:val="ARfinbodynospace"/>
        <w:rPr>
          <w:lang w:eastAsia="en-AU"/>
        </w:rPr>
      </w:pPr>
      <w:r w:rsidRPr="00327CDE">
        <w:rPr>
          <w:lang w:eastAsia="en-AU"/>
        </w:rPr>
        <w:t>Department of Families, Fairness and Housing</w:t>
      </w:r>
    </w:p>
    <w:p w14:paraId="374AB235" w14:textId="77777777" w:rsidR="006E51BF" w:rsidRDefault="006E51BF">
      <w:pPr>
        <w:pStyle w:val="ARfinbodynospace"/>
        <w:rPr>
          <w:lang w:eastAsia="en-AU"/>
        </w:rPr>
      </w:pPr>
      <w:r w:rsidRPr="00327CDE">
        <w:rPr>
          <w:lang w:eastAsia="en-AU"/>
        </w:rPr>
        <w:t>50 Lonsdale Street</w:t>
      </w:r>
    </w:p>
    <w:p w14:paraId="47A36AD4" w14:textId="77777777" w:rsidR="006E51BF" w:rsidRPr="00327CDE" w:rsidRDefault="006E51BF">
      <w:pPr>
        <w:pStyle w:val="ARfinbody"/>
        <w:rPr>
          <w:lang w:eastAsia="en-AU"/>
        </w:rPr>
      </w:pPr>
      <w:r w:rsidRPr="00327CDE">
        <w:rPr>
          <w:lang w:eastAsia="en-AU"/>
        </w:rPr>
        <w:t>Melbourne VIC 3000</w:t>
      </w:r>
    </w:p>
    <w:p w14:paraId="63461D1B" w14:textId="77777777" w:rsidR="006E51BF" w:rsidRPr="00327CDE" w:rsidRDefault="006E51BF">
      <w:pPr>
        <w:pStyle w:val="ARfinbody"/>
        <w:rPr>
          <w:lang w:eastAsia="en-AU"/>
        </w:rPr>
      </w:pPr>
      <w:r w:rsidRPr="00327CDE">
        <w:rPr>
          <w:lang w:eastAsia="en-AU"/>
        </w:rPr>
        <w:t>A description of the nature of its operations and its principal activities is included in the report of operations, which does not form part of these financial statements.</w:t>
      </w:r>
    </w:p>
    <w:p w14:paraId="13D789B3" w14:textId="77777777" w:rsidR="006E51BF" w:rsidRDefault="006E51BF">
      <w:pPr>
        <w:pStyle w:val="Heading4"/>
        <w:rPr>
          <w:lang w:eastAsia="en-AU"/>
        </w:rPr>
      </w:pPr>
      <w:r w:rsidRPr="00327CDE">
        <w:rPr>
          <w:lang w:eastAsia="en-AU"/>
        </w:rPr>
        <w:t>Basis of preparation</w:t>
      </w:r>
    </w:p>
    <w:p w14:paraId="4ECA594A" w14:textId="77777777" w:rsidR="006E51BF" w:rsidRPr="00327CDE" w:rsidRDefault="006E51BF">
      <w:pPr>
        <w:pStyle w:val="ARfinbody"/>
        <w:rPr>
          <w:lang w:eastAsia="en-AU"/>
        </w:rPr>
      </w:pPr>
      <w:r w:rsidRPr="00327CDE">
        <w:rPr>
          <w:lang w:eastAsia="en-AU"/>
        </w:rPr>
        <w:t>These financial statements cover the Department of Families, Fairness and Housing as an individual reporting entity and include all controlled activities of the department.</w:t>
      </w:r>
    </w:p>
    <w:p w14:paraId="43D04DBD" w14:textId="77777777" w:rsidR="006E51BF" w:rsidRDefault="006E51BF">
      <w:pPr>
        <w:pStyle w:val="ARfinbody"/>
      </w:pPr>
      <w:r w:rsidRPr="00D46002">
        <w:t>Where control of an entity is obtained during the financial year, its results are included in the comprehensive operating statement from</w:t>
      </w:r>
      <w:r w:rsidRPr="006B722B">
        <w:t xml:space="preserve"> the date on which control commenced. Where control ceases during the financial year, the entity’s results are included for that part of the period in which control existed. Where entities adopt dissimilar accounting policies and their effect is considered material, adjustments are made to ensure consistent policies are adopted in these financial statements. There were no new entities for which DFFH obtained control over in 2025–26.</w:t>
      </w:r>
    </w:p>
    <w:p w14:paraId="29432E0B" w14:textId="77777777" w:rsidR="006E51BF" w:rsidRPr="00FA5992" w:rsidRDefault="006E51BF">
      <w:pPr>
        <w:pStyle w:val="ARfinbody"/>
        <w:rPr>
          <w:rFonts w:ascii="Verdana" w:eastAsia="Times New Roman" w:hAnsi="Verdana" w:cs="Arial"/>
          <w:sz w:val="20"/>
          <w:lang w:eastAsia="en-AU"/>
        </w:rPr>
      </w:pPr>
      <w:r w:rsidRPr="00327CDE">
        <w:rPr>
          <w:lang w:eastAsia="en-AU"/>
        </w:rPr>
        <w:t xml:space="preserve">Furthermore, the following agencies have been consolidated into the department’s financial statements pursuant to a determination made by the Minister for Finance under section 53(1)(b) of the </w:t>
      </w:r>
      <w:r w:rsidRPr="00CA7B85">
        <w:rPr>
          <w:rStyle w:val="Emphasis"/>
          <w:lang w:eastAsia="en-AU"/>
        </w:rPr>
        <w:t>Financial Management Act 1994 (FMA).</w:t>
      </w:r>
      <w:r w:rsidRPr="00327CDE">
        <w:rPr>
          <w:lang w:eastAsia="en-AU"/>
        </w:rPr>
        <w:t xml:space="preserve"> These agencies are reported in aggregate and are not controlled by the department: </w:t>
      </w:r>
    </w:p>
    <w:p w14:paraId="114A226F" w14:textId="77777777" w:rsidR="006E51BF" w:rsidRPr="00CF1F2F" w:rsidRDefault="006E51BF" w:rsidP="006E51BF">
      <w:pPr>
        <w:pStyle w:val="ARfinbullet1"/>
        <w:numPr>
          <w:ilvl w:val="0"/>
          <w:numId w:val="13"/>
        </w:numPr>
        <w:ind w:left="284" w:hanging="284"/>
      </w:pPr>
      <w:r w:rsidRPr="00CF1F2F">
        <w:t>Homes Victoria</w:t>
      </w:r>
    </w:p>
    <w:p w14:paraId="6417A5E8" w14:textId="77777777" w:rsidR="006E51BF" w:rsidRPr="00CF1F2F" w:rsidRDefault="006E51BF" w:rsidP="006E51BF">
      <w:pPr>
        <w:pStyle w:val="ARfinbullet1"/>
        <w:numPr>
          <w:ilvl w:val="0"/>
          <w:numId w:val="13"/>
        </w:numPr>
        <w:ind w:left="284" w:hanging="284"/>
      </w:pPr>
      <w:r w:rsidRPr="00CF1F2F">
        <w:t xml:space="preserve">Commission for Children and Young People </w:t>
      </w:r>
    </w:p>
    <w:p w14:paraId="7A44AE36" w14:textId="77777777" w:rsidR="006E51BF" w:rsidRPr="00CF1F2F" w:rsidRDefault="006E51BF" w:rsidP="006E51BF">
      <w:pPr>
        <w:pStyle w:val="ARfinbullet1"/>
        <w:numPr>
          <w:ilvl w:val="0"/>
          <w:numId w:val="13"/>
        </w:numPr>
        <w:ind w:left="284" w:hanging="284"/>
      </w:pPr>
      <w:r w:rsidRPr="00CF1F2F">
        <w:t>Disability Worker Registration Board</w:t>
      </w:r>
    </w:p>
    <w:p w14:paraId="37DC5444" w14:textId="77777777" w:rsidR="006E51BF" w:rsidRPr="00CF1F2F" w:rsidRDefault="006E51BF" w:rsidP="006E51BF">
      <w:pPr>
        <w:pStyle w:val="ARfinbullet1"/>
        <w:numPr>
          <w:ilvl w:val="0"/>
          <w:numId w:val="13"/>
        </w:numPr>
        <w:ind w:left="284" w:hanging="284"/>
      </w:pPr>
      <w:r w:rsidRPr="00CF1F2F">
        <w:t>Victorian Disability Worker Commission</w:t>
      </w:r>
    </w:p>
    <w:p w14:paraId="1A9977EB" w14:textId="77777777" w:rsidR="006E51BF" w:rsidRDefault="006E51BF" w:rsidP="006E51BF">
      <w:pPr>
        <w:pStyle w:val="ARfinbullet1"/>
        <w:numPr>
          <w:ilvl w:val="0"/>
          <w:numId w:val="13"/>
        </w:numPr>
        <w:ind w:left="284" w:hanging="284"/>
      </w:pPr>
      <w:r w:rsidRPr="00CF1F2F">
        <w:t>Respect Vi</w:t>
      </w:r>
      <w:r w:rsidRPr="00327CDE">
        <w:t xml:space="preserve">ctoria </w:t>
      </w:r>
    </w:p>
    <w:p w14:paraId="0C9A233A" w14:textId="77777777" w:rsidR="006E51BF" w:rsidRDefault="006E51BF" w:rsidP="006E51BF">
      <w:pPr>
        <w:pStyle w:val="ARfinbullet1"/>
        <w:numPr>
          <w:ilvl w:val="0"/>
          <w:numId w:val="13"/>
        </w:numPr>
        <w:ind w:left="284" w:hanging="284"/>
      </w:pPr>
      <w:r w:rsidRPr="00327CDE">
        <w:t xml:space="preserve">Victorian Veterans Council </w:t>
      </w:r>
    </w:p>
    <w:p w14:paraId="10462C09" w14:textId="77777777" w:rsidR="006E51BF" w:rsidRPr="00327CDE" w:rsidRDefault="006E51BF" w:rsidP="006E51BF">
      <w:pPr>
        <w:pStyle w:val="ARfinbullet1"/>
        <w:numPr>
          <w:ilvl w:val="0"/>
          <w:numId w:val="13"/>
        </w:numPr>
        <w:ind w:left="284" w:hanging="284"/>
      </w:pPr>
      <w:r w:rsidRPr="00327CDE">
        <w:t>Social Services Regulator</w:t>
      </w:r>
    </w:p>
    <w:p w14:paraId="6F13FF14" w14:textId="77777777" w:rsidR="006E51BF" w:rsidRPr="00327CDE" w:rsidRDefault="006E51BF">
      <w:pPr>
        <w:pStyle w:val="ARfinbody"/>
      </w:pPr>
      <w:r w:rsidRPr="00327CDE">
        <w:t>Where control of an entity is obtained during the financial period, its results are included in the comprehensive operating statement from the date on which control is demonstrated. Where control ceases during a financial period, the entity’s results are included for that part of the period in which control existed. Where entities adopt dissimilar accounting policies and their effect is considered material, adjustments are made to ensure consistent policies are adopted in these financial</w:t>
      </w:r>
      <w:r>
        <w:t> </w:t>
      </w:r>
      <w:r w:rsidRPr="00327CDE">
        <w:t>statements.</w:t>
      </w:r>
    </w:p>
    <w:p w14:paraId="6D2D89BD" w14:textId="77777777" w:rsidR="006E51BF" w:rsidRPr="00327CDE" w:rsidRDefault="006E51BF">
      <w:pPr>
        <w:pStyle w:val="ARfinbody"/>
        <w:rPr>
          <w:lang w:eastAsia="en-AU"/>
        </w:rPr>
      </w:pPr>
      <w:r w:rsidRPr="00327CDE">
        <w:rPr>
          <w:lang w:eastAsia="en-AU"/>
        </w:rPr>
        <w:t>In preparing financial statements for the department, all material transactions and balances between the above entities are eliminated.</w:t>
      </w:r>
    </w:p>
    <w:p w14:paraId="070A1206" w14:textId="77777777" w:rsidR="006E51BF" w:rsidRPr="00327CDE" w:rsidRDefault="006E51BF">
      <w:pPr>
        <w:pStyle w:val="ARfinbody"/>
        <w:rPr>
          <w:lang w:eastAsia="en-AU"/>
        </w:rPr>
      </w:pPr>
      <w:r w:rsidRPr="00327CDE">
        <w:rPr>
          <w:lang w:eastAsia="en-AU"/>
        </w:rPr>
        <w:t xml:space="preserve">These financial statements are presented in Australian </w:t>
      </w:r>
      <w:proofErr w:type="gramStart"/>
      <w:r w:rsidRPr="00327CDE">
        <w:rPr>
          <w:lang w:eastAsia="en-AU"/>
        </w:rPr>
        <w:t>dollars</w:t>
      </w:r>
      <w:proofErr w:type="gramEnd"/>
      <w:r w:rsidRPr="00327CDE">
        <w:rPr>
          <w:lang w:eastAsia="en-AU"/>
        </w:rPr>
        <w:t xml:space="preserve"> and the historical cost convention is used unless a different measurement basis is specifically disclosed in the note associated with the item measured on a different basis.</w:t>
      </w:r>
    </w:p>
    <w:p w14:paraId="2862151F" w14:textId="77777777" w:rsidR="006E51BF" w:rsidRPr="00327CDE" w:rsidRDefault="006E51BF">
      <w:pPr>
        <w:pStyle w:val="ARfinbody"/>
        <w:rPr>
          <w:lang w:eastAsia="en-AU"/>
        </w:rPr>
      </w:pPr>
      <w:r w:rsidRPr="00327CDE">
        <w:rPr>
          <w:lang w:eastAsia="en-AU"/>
        </w:rPr>
        <w:t>The accrual basis of accounting has been applied in the preparation of these financial statements, except for cash flow information, whereby assets, liabilities, equity, income and expenses are recognised in the reporting period to which they relate, regardless of when cash is received or paid.</w:t>
      </w:r>
    </w:p>
    <w:p w14:paraId="55D10ECB" w14:textId="77777777" w:rsidR="006E51BF" w:rsidRPr="00327CDE" w:rsidRDefault="006E51BF">
      <w:pPr>
        <w:pStyle w:val="ARfinbody"/>
        <w:rPr>
          <w:lang w:eastAsia="en-AU"/>
        </w:rPr>
      </w:pPr>
      <w:r w:rsidRPr="00327CDE">
        <w:rPr>
          <w:lang w:eastAsia="en-AU"/>
        </w:rPr>
        <w:t xml:space="preserve">Consistent with the requirements of Australian Accounting Standards Board (AASB) 1004 </w:t>
      </w:r>
      <w:r w:rsidRPr="00CA7B85">
        <w:rPr>
          <w:rStyle w:val="Emphasis"/>
          <w:lang w:eastAsia="en-AU"/>
        </w:rPr>
        <w:t>Contributions,</w:t>
      </w:r>
      <w:r w:rsidRPr="00327CDE">
        <w:rPr>
          <w:lang w:eastAsia="en-AU"/>
        </w:rPr>
        <w:t xml:space="preserve"> contributions by owners (that is, contributed capital and its repayment) are treated as equity transactions and, therefore, do not form part of the income and expenses of the department.</w:t>
      </w:r>
    </w:p>
    <w:p w14:paraId="503154FE" w14:textId="77777777" w:rsidR="006E51BF" w:rsidRPr="00327CDE" w:rsidRDefault="006E51BF">
      <w:pPr>
        <w:pStyle w:val="ARfinbody"/>
        <w:rPr>
          <w:lang w:eastAsia="en-AU"/>
        </w:rPr>
      </w:pPr>
      <w:r w:rsidRPr="00327CDE">
        <w:rPr>
          <w:lang w:eastAsia="en-AU"/>
        </w:rPr>
        <w:t xml:space="preserve">Additions to net assets which have been designated as contributions by owners are recognised as contributed capital. Other transfers that are </w:t>
      </w:r>
      <w:proofErr w:type="gramStart"/>
      <w:r w:rsidRPr="00327CDE">
        <w:rPr>
          <w:lang w:eastAsia="en-AU"/>
        </w:rPr>
        <w:t>in the nature of contributions</w:t>
      </w:r>
      <w:proofErr w:type="gramEnd"/>
      <w:r w:rsidRPr="00327CDE">
        <w:rPr>
          <w:lang w:eastAsia="en-AU"/>
        </w:rPr>
        <w:t xml:space="preserve"> to or distributions by owners have also been designated as contributions by owners.</w:t>
      </w:r>
    </w:p>
    <w:p w14:paraId="0F96668C" w14:textId="77777777" w:rsidR="006E51BF" w:rsidRPr="00327CDE" w:rsidRDefault="006E51BF">
      <w:pPr>
        <w:pStyle w:val="ARfinbody"/>
        <w:rPr>
          <w:lang w:eastAsia="en-AU"/>
        </w:rPr>
      </w:pPr>
      <w:r w:rsidRPr="00327CDE">
        <w:rPr>
          <w:lang w:eastAsia="en-AU"/>
        </w:rPr>
        <w:t>Transfers of net assets arising from administrative restructures are treated as distributions to or contributions by owners. Transfers of net liabilities arising from administrative restructures are treated as distributions to owners.</w:t>
      </w:r>
    </w:p>
    <w:p w14:paraId="17E8CD46" w14:textId="77777777" w:rsidR="006E51BF" w:rsidRPr="006B722B" w:rsidRDefault="006E51BF">
      <w:pPr>
        <w:pStyle w:val="ARfinbody"/>
        <w:rPr>
          <w:lang w:eastAsia="en-AU"/>
        </w:rPr>
      </w:pPr>
      <w:r w:rsidRPr="00327CDE">
        <w:rPr>
          <w:lang w:eastAsia="en-AU"/>
        </w:rPr>
        <w:t>Judgements, estimates and assumptions are required to be made about the financial information being presented. The significant judgements made in the preparation of these financial statements are disclosed in the notes where amounts affected by those judgements are disclosed. Estimates and associated assumptions are based on professional judgements derived from historical experience and various other factors that are believed to be reasonable under the circumstances. Actual results may differ from these estimates.</w:t>
      </w:r>
    </w:p>
    <w:p w14:paraId="5917A3AF" w14:textId="77777777" w:rsidR="006E51BF" w:rsidRPr="00327CDE" w:rsidRDefault="006E51BF">
      <w:pPr>
        <w:pStyle w:val="ARfinbody"/>
        <w:rPr>
          <w:lang w:eastAsia="en-AU"/>
        </w:rPr>
      </w:pPr>
      <w:r w:rsidRPr="00327CDE">
        <w:rPr>
          <w:lang w:eastAsia="en-AU"/>
        </w:rPr>
        <w:t xml:space="preserve">Revisions to accounting estimates are recognised in the period in which the estimate is revised </w:t>
      </w:r>
      <w:proofErr w:type="gramStart"/>
      <w:r w:rsidRPr="00327CDE">
        <w:rPr>
          <w:lang w:eastAsia="en-AU"/>
        </w:rPr>
        <w:t>and also</w:t>
      </w:r>
      <w:proofErr w:type="gramEnd"/>
      <w:r w:rsidRPr="00327CDE">
        <w:rPr>
          <w:lang w:eastAsia="en-AU"/>
        </w:rPr>
        <w:t xml:space="preserve"> in future periods that are affected by the revision. Judgements and assumptions made by management in applying Australian Accounting Standards (AAS) that have significant effect on the financial statements and estimates are disclosed in the Note 8.3 'Fair value determination', Note 7.5.2 'Service concession arrangements commitments' and Note 6.4 'Other provision' under the heading ‘Significant judgement’.</w:t>
      </w:r>
    </w:p>
    <w:p w14:paraId="7AEF65AF" w14:textId="77777777" w:rsidR="006E51BF" w:rsidRPr="00327CDE" w:rsidRDefault="006E51BF">
      <w:pPr>
        <w:pStyle w:val="ARfinbody"/>
        <w:rPr>
          <w:lang w:eastAsia="en-AU"/>
        </w:rPr>
      </w:pPr>
      <w:r w:rsidRPr="00327CDE">
        <w:rPr>
          <w:lang w:eastAsia="en-AU"/>
        </w:rPr>
        <w:t>The financial statements have been prepared on a going-concern basis.</w:t>
      </w:r>
    </w:p>
    <w:p w14:paraId="4D1CE71B" w14:textId="77777777" w:rsidR="006E51BF" w:rsidRPr="00327CDE" w:rsidRDefault="006E51BF">
      <w:pPr>
        <w:pStyle w:val="ARfinbody"/>
        <w:rPr>
          <w:lang w:eastAsia="en-AU"/>
        </w:rPr>
      </w:pPr>
      <w:r w:rsidRPr="00327CDE">
        <w:rPr>
          <w:lang w:eastAsia="en-AU"/>
        </w:rPr>
        <w:t>All amounts in the financial statements have been rounded to the nearest $1 million unless otherwise stated.</w:t>
      </w:r>
    </w:p>
    <w:p w14:paraId="68DACC73" w14:textId="77777777" w:rsidR="006E51BF" w:rsidRDefault="006E51BF">
      <w:pPr>
        <w:pStyle w:val="Heading4"/>
        <w:rPr>
          <w:lang w:eastAsia="en-AU"/>
        </w:rPr>
      </w:pPr>
      <w:r w:rsidRPr="00327CDE">
        <w:rPr>
          <w:lang w:eastAsia="en-AU"/>
        </w:rPr>
        <w:t>Compliance information</w:t>
      </w:r>
    </w:p>
    <w:p w14:paraId="2CE24938" w14:textId="77777777" w:rsidR="006E51BF" w:rsidRPr="00CA7B85" w:rsidRDefault="006E51BF">
      <w:pPr>
        <w:pStyle w:val="ARfinbody"/>
        <w:rPr>
          <w:rStyle w:val="Emphasis"/>
          <w:lang w:eastAsia="en-AU"/>
        </w:rPr>
      </w:pPr>
      <w:r w:rsidRPr="00327CDE">
        <w:rPr>
          <w:lang w:eastAsia="en-AU"/>
        </w:rPr>
        <w:t xml:space="preserve">These </w:t>
      </w:r>
      <w:proofErr w:type="gramStart"/>
      <w:r w:rsidRPr="00327CDE">
        <w:rPr>
          <w:lang w:eastAsia="en-AU"/>
        </w:rPr>
        <w:t>general purpose</w:t>
      </w:r>
      <w:proofErr w:type="gramEnd"/>
      <w:r w:rsidRPr="00327CDE">
        <w:rPr>
          <w:lang w:eastAsia="en-AU"/>
        </w:rPr>
        <w:t xml:space="preserve"> financial statements have been prepared in accordance with the FMA and applicable AASs which include Interpretations issued by the Australian Accounting Standards Board (AASB). </w:t>
      </w:r>
      <w:proofErr w:type="gramStart"/>
      <w:r w:rsidRPr="00327CDE">
        <w:rPr>
          <w:lang w:eastAsia="en-AU"/>
        </w:rPr>
        <w:t>In particular, they</w:t>
      </w:r>
      <w:proofErr w:type="gramEnd"/>
      <w:r w:rsidRPr="00327CDE">
        <w:rPr>
          <w:lang w:eastAsia="en-AU"/>
        </w:rPr>
        <w:t xml:space="preserve"> are presented in a manner consistent with the requirements of AASB 1049 </w:t>
      </w:r>
      <w:r w:rsidRPr="00CA7B85">
        <w:rPr>
          <w:rStyle w:val="Emphasis"/>
          <w:lang w:eastAsia="en-AU"/>
        </w:rPr>
        <w:t xml:space="preserve">Whole of Government and General Government Sector Financial Reporting. </w:t>
      </w:r>
    </w:p>
    <w:p w14:paraId="001FC356" w14:textId="77777777" w:rsidR="006E51BF" w:rsidRPr="00327CDE" w:rsidRDefault="006E51BF">
      <w:pPr>
        <w:pStyle w:val="ARfinbody"/>
        <w:rPr>
          <w:lang w:eastAsia="en-AU"/>
        </w:rPr>
      </w:pPr>
      <w:r w:rsidRPr="00327CDE">
        <w:rPr>
          <w:lang w:eastAsia="en-AU"/>
        </w:rPr>
        <w:t>Where appropriate, those AAS paragraphs applicable to not-for-profit entities have been applied. Accounting policies selected and applied in these financial statements ensure that the resulting financial information satisfies the concepts of relevance and reliability, thereby ensuring that the substance of the underlying transactions or other events is reported.</w:t>
      </w:r>
    </w:p>
    <w:p w14:paraId="5D95737C" w14:textId="77777777" w:rsidR="006E51BF" w:rsidRDefault="006E51BF">
      <w:pPr>
        <w:pStyle w:val="ARfinbody"/>
        <w:rPr>
          <w:lang w:eastAsia="en-AU"/>
        </w:rPr>
      </w:pPr>
      <w:r w:rsidRPr="00327CDE">
        <w:rPr>
          <w:lang w:eastAsia="en-AU"/>
        </w:rPr>
        <w:t>These annual financial statements were authorised for issue by the Secretary of the Department of Families, Fairness and Housing</w:t>
      </w:r>
      <w:r>
        <w:rPr>
          <w:lang w:eastAsia="en-AU"/>
        </w:rPr>
        <w:t xml:space="preserve"> on 8 September 2026.</w:t>
      </w:r>
    </w:p>
    <w:p w14:paraId="497C538F" w14:textId="77777777" w:rsidR="006E51BF" w:rsidRDefault="006E51BF">
      <w:pPr>
        <w:pStyle w:val="ARfinbody"/>
        <w:rPr>
          <w:lang w:eastAsia="en-AU"/>
        </w:rPr>
      </w:pPr>
      <w:r>
        <w:rPr>
          <w:lang w:eastAsia="en-AU"/>
        </w:rPr>
        <w:br w:type="page"/>
      </w:r>
    </w:p>
    <w:p w14:paraId="419E724F" w14:textId="77777777" w:rsidR="006E51BF" w:rsidRDefault="006E51BF" w:rsidP="005C31BC">
      <w:pPr>
        <w:pStyle w:val="Heading3financials"/>
        <w:spacing w:before="0"/>
        <w:rPr>
          <w:lang w:eastAsia="en-AU"/>
        </w:rPr>
      </w:pPr>
      <w:bookmarkStart w:id="285" w:name="_Toc241068545"/>
      <w:r w:rsidRPr="0088065D">
        <w:rPr>
          <w:lang w:eastAsia="en-AU"/>
        </w:rPr>
        <w:t xml:space="preserve">2. </w:t>
      </w:r>
      <w:r>
        <w:rPr>
          <w:lang w:eastAsia="en-AU"/>
        </w:rPr>
        <w:tab/>
      </w:r>
      <w:r w:rsidRPr="0088065D">
        <w:rPr>
          <w:lang w:eastAsia="en-AU"/>
        </w:rPr>
        <w:t>Funding delivery of our services</w:t>
      </w:r>
      <w:bookmarkEnd w:id="285"/>
    </w:p>
    <w:p w14:paraId="769426F9" w14:textId="77777777" w:rsidR="006E51BF" w:rsidRDefault="006E51BF">
      <w:pPr>
        <w:pStyle w:val="Heading4"/>
        <w:rPr>
          <w:lang w:eastAsia="en-AU"/>
        </w:rPr>
      </w:pPr>
      <w:r w:rsidRPr="00E822C6">
        <w:rPr>
          <w:lang w:eastAsia="en-AU"/>
        </w:rPr>
        <w:t>Introduction</w:t>
      </w:r>
    </w:p>
    <w:p w14:paraId="2CA81C57" w14:textId="77777777" w:rsidR="006E51BF" w:rsidRDefault="006E51BF">
      <w:pPr>
        <w:pStyle w:val="ARfinbody"/>
        <w:rPr>
          <w:lang w:eastAsia="en-AU"/>
        </w:rPr>
      </w:pPr>
      <w:r w:rsidRPr="00E822C6">
        <w:rPr>
          <w:lang w:eastAsia="en-AU"/>
        </w:rPr>
        <w:t>The department's overall objective is to create equal opportunities for all Victorians to live a safe, respected and valued</w:t>
      </w:r>
      <w:r>
        <w:rPr>
          <w:lang w:eastAsia="en-AU"/>
        </w:rPr>
        <w:t> </w:t>
      </w:r>
      <w:r w:rsidRPr="00E822C6">
        <w:rPr>
          <w:lang w:eastAsia="en-AU"/>
        </w:rPr>
        <w:t>life.</w:t>
      </w:r>
    </w:p>
    <w:p w14:paraId="4853EF13" w14:textId="77777777" w:rsidR="006E51BF" w:rsidRDefault="006E51BF">
      <w:pPr>
        <w:pStyle w:val="ARfinbody"/>
        <w:rPr>
          <w:lang w:eastAsia="en-AU"/>
        </w:rPr>
      </w:pPr>
      <w:r w:rsidRPr="00E822C6">
        <w:rPr>
          <w:lang w:eastAsia="en-AU"/>
        </w:rPr>
        <w:t>To enable the department to fulfil its objective and provide outputs as described in Note 4 'Disaggregated financial information by output', it receives income (predominantly accrual-based parliamentary appropriations). The department also receives income from the supply of services and tenancy agreements.</w:t>
      </w:r>
    </w:p>
    <w:p w14:paraId="570791F4" w14:textId="77777777" w:rsidR="006E51BF" w:rsidRDefault="006E51BF">
      <w:pPr>
        <w:pStyle w:val="Heading4"/>
        <w:rPr>
          <w:lang w:eastAsia="en-AU"/>
        </w:rPr>
      </w:pPr>
      <w:r w:rsidRPr="00E822C6">
        <w:rPr>
          <w:lang w:eastAsia="en-AU"/>
        </w:rPr>
        <w:t>Structure</w:t>
      </w:r>
    </w:p>
    <w:p w14:paraId="5877269D" w14:textId="77777777" w:rsidR="006E51BF" w:rsidRDefault="006E51BF">
      <w:pPr>
        <w:pStyle w:val="ARfinstructure1"/>
        <w:rPr>
          <w:lang w:eastAsia="en-AU"/>
        </w:rPr>
      </w:pPr>
      <w:r w:rsidRPr="00E822C6">
        <w:rPr>
          <w:lang w:eastAsia="en-AU"/>
        </w:rPr>
        <w:t xml:space="preserve">2.1 </w:t>
      </w:r>
      <w:r>
        <w:rPr>
          <w:lang w:eastAsia="en-AU"/>
        </w:rPr>
        <w:tab/>
      </w:r>
      <w:r w:rsidRPr="00E822C6">
        <w:rPr>
          <w:lang w:eastAsia="en-AU"/>
        </w:rPr>
        <w:t>Summary of revenue and income that fund the delivery of our services</w:t>
      </w:r>
    </w:p>
    <w:p w14:paraId="6E11413B" w14:textId="77777777" w:rsidR="006E51BF" w:rsidRDefault="006E51BF">
      <w:pPr>
        <w:pStyle w:val="ARfinstructure1"/>
        <w:rPr>
          <w:lang w:eastAsia="en-AU"/>
        </w:rPr>
      </w:pPr>
      <w:r w:rsidRPr="00E822C6">
        <w:rPr>
          <w:lang w:eastAsia="en-AU"/>
        </w:rPr>
        <w:t xml:space="preserve">2.2 </w:t>
      </w:r>
      <w:r>
        <w:rPr>
          <w:lang w:eastAsia="en-AU"/>
        </w:rPr>
        <w:tab/>
      </w:r>
      <w:r w:rsidRPr="00E822C6">
        <w:rPr>
          <w:lang w:eastAsia="en-AU"/>
        </w:rPr>
        <w:t>Appropriations</w:t>
      </w:r>
    </w:p>
    <w:p w14:paraId="2700595D" w14:textId="77777777" w:rsidR="006E51BF" w:rsidRDefault="006E51BF">
      <w:pPr>
        <w:pStyle w:val="ARfinstructure1"/>
        <w:rPr>
          <w:lang w:eastAsia="en-AU"/>
        </w:rPr>
      </w:pPr>
      <w:r w:rsidRPr="00E822C6">
        <w:rPr>
          <w:lang w:eastAsia="en-AU"/>
        </w:rPr>
        <w:t xml:space="preserve">2.3 </w:t>
      </w:r>
      <w:r>
        <w:rPr>
          <w:lang w:eastAsia="en-AU"/>
        </w:rPr>
        <w:tab/>
      </w:r>
      <w:r w:rsidRPr="00E822C6">
        <w:rPr>
          <w:lang w:eastAsia="en-AU"/>
        </w:rPr>
        <w:t>Summary of compliance with annual parliamentary and special appropriations</w:t>
      </w:r>
    </w:p>
    <w:p w14:paraId="53711209" w14:textId="77777777" w:rsidR="006E51BF" w:rsidRDefault="006E51BF">
      <w:pPr>
        <w:pStyle w:val="ARfinstructure1"/>
        <w:rPr>
          <w:lang w:eastAsia="en-AU"/>
        </w:rPr>
      </w:pPr>
      <w:r w:rsidRPr="00E822C6">
        <w:rPr>
          <w:lang w:eastAsia="en-AU"/>
        </w:rPr>
        <w:t xml:space="preserve">2.4 </w:t>
      </w:r>
      <w:r>
        <w:rPr>
          <w:lang w:eastAsia="en-AU"/>
        </w:rPr>
        <w:tab/>
      </w:r>
      <w:r w:rsidRPr="00E822C6">
        <w:rPr>
          <w:lang w:eastAsia="en-AU"/>
        </w:rPr>
        <w:t>Income from transactions</w:t>
      </w:r>
    </w:p>
    <w:p w14:paraId="33CDC786" w14:textId="77777777" w:rsidR="006E51BF" w:rsidRDefault="006E51BF">
      <w:pPr>
        <w:pStyle w:val="ARfinstructure2"/>
        <w:rPr>
          <w:lang w:eastAsia="en-AU"/>
        </w:rPr>
      </w:pPr>
      <w:r w:rsidRPr="00E822C6">
        <w:rPr>
          <w:lang w:eastAsia="en-AU"/>
        </w:rPr>
        <w:t xml:space="preserve">2.4.1 </w:t>
      </w:r>
      <w:r>
        <w:rPr>
          <w:lang w:eastAsia="en-AU"/>
        </w:rPr>
        <w:tab/>
      </w:r>
      <w:r w:rsidRPr="00E822C6">
        <w:rPr>
          <w:lang w:eastAsia="en-AU"/>
        </w:rPr>
        <w:t>Rental income</w:t>
      </w:r>
    </w:p>
    <w:p w14:paraId="786C3ADD" w14:textId="77777777" w:rsidR="006E51BF" w:rsidRDefault="006E51BF">
      <w:pPr>
        <w:pStyle w:val="ARfinstructure2"/>
        <w:rPr>
          <w:lang w:eastAsia="en-AU"/>
        </w:rPr>
      </w:pPr>
      <w:r w:rsidRPr="00E822C6">
        <w:rPr>
          <w:lang w:eastAsia="en-AU"/>
        </w:rPr>
        <w:t xml:space="preserve">2.4.2 </w:t>
      </w:r>
      <w:r>
        <w:rPr>
          <w:lang w:eastAsia="en-AU"/>
        </w:rPr>
        <w:tab/>
      </w:r>
      <w:r w:rsidRPr="00E822C6">
        <w:rPr>
          <w:lang w:eastAsia="en-AU"/>
        </w:rPr>
        <w:t>Grants</w:t>
      </w:r>
    </w:p>
    <w:p w14:paraId="6B1B32A8" w14:textId="77777777" w:rsidR="006E51BF" w:rsidRPr="00A8102C" w:rsidRDefault="006E51BF">
      <w:pPr>
        <w:pStyle w:val="ARfinstructure1"/>
        <w:rPr>
          <w:b/>
          <w:bCs/>
          <w:lang w:eastAsia="en-AU"/>
        </w:rPr>
      </w:pPr>
      <w:r w:rsidRPr="00E822C6">
        <w:rPr>
          <w:lang w:eastAsia="en-AU"/>
        </w:rPr>
        <w:t xml:space="preserve">2.5 </w:t>
      </w:r>
      <w:r>
        <w:rPr>
          <w:lang w:eastAsia="en-AU"/>
        </w:rPr>
        <w:tab/>
      </w:r>
      <w:r w:rsidRPr="00E822C6">
        <w:rPr>
          <w:lang w:eastAsia="en-AU"/>
        </w:rPr>
        <w:t>Annotated income agreements</w:t>
      </w:r>
    </w:p>
    <w:p w14:paraId="0D735956" w14:textId="77777777" w:rsidR="006E51BF" w:rsidRDefault="006E51BF">
      <w:pPr>
        <w:pStyle w:val="Heading4"/>
      </w:pPr>
      <w:r w:rsidRPr="00E822C6">
        <w:rPr>
          <w:lang w:eastAsia="en-AU"/>
        </w:rPr>
        <w:t xml:space="preserve">2.1 </w:t>
      </w:r>
      <w:r>
        <w:rPr>
          <w:lang w:eastAsia="en-AU"/>
        </w:rPr>
        <w:tab/>
      </w:r>
      <w:r w:rsidRPr="00E822C6">
        <w:rPr>
          <w:lang w:eastAsia="en-AU"/>
        </w:rPr>
        <w:t>Summary of revenue and income that fund the delivery of our services</w:t>
      </w:r>
    </w:p>
    <w:tbl>
      <w:tblPr>
        <w:tblStyle w:val="ARtable2"/>
        <w:tblW w:w="5000" w:type="pct"/>
        <w:tblLook w:val="00E0" w:firstRow="1" w:lastRow="1" w:firstColumn="1" w:lastColumn="0" w:noHBand="0" w:noVBand="0"/>
      </w:tblPr>
      <w:tblGrid>
        <w:gridCol w:w="5239"/>
        <w:gridCol w:w="1275"/>
        <w:gridCol w:w="1556"/>
        <w:gridCol w:w="1558"/>
      </w:tblGrid>
      <w:tr w:rsidR="006E51BF" w:rsidRPr="00E822C6" w14:paraId="771D837A" w14:textId="77777777" w:rsidTr="00E1009E">
        <w:trPr>
          <w:cnfStyle w:val="100000000000" w:firstRow="1" w:lastRow="0" w:firstColumn="0" w:lastColumn="0" w:oddVBand="0" w:evenVBand="0" w:oddHBand="0"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2721" w:type="pct"/>
            <w:shd w:val="clear" w:color="auto" w:fill="auto"/>
            <w:noWrap/>
            <w:hideMark/>
          </w:tcPr>
          <w:p w14:paraId="1D36E6ED" w14:textId="77777777" w:rsidR="006E51BF" w:rsidRPr="00E822C6" w:rsidRDefault="006E51BF">
            <w:pPr>
              <w:pStyle w:val="ARfintablecolheadright"/>
              <w:rPr>
                <w:lang w:eastAsia="en-AU"/>
              </w:rPr>
            </w:pPr>
          </w:p>
        </w:tc>
        <w:tc>
          <w:tcPr>
            <w:tcW w:w="662" w:type="pct"/>
            <w:noWrap/>
            <w:tcMar>
              <w:left w:w="0" w:type="nil"/>
              <w:right w:w="0" w:type="nil"/>
            </w:tcMar>
            <w:hideMark/>
          </w:tcPr>
          <w:p w14:paraId="5E45CBCA" w14:textId="77777777" w:rsidR="006E51BF" w:rsidRPr="00E822C6"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822C6">
              <w:rPr>
                <w:lang w:eastAsia="en-AU"/>
              </w:rPr>
              <w:t>Note</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36A7FF57" w14:textId="77777777" w:rsidR="006E51BF" w:rsidRPr="00E822C6" w:rsidRDefault="006E51BF">
            <w:pPr>
              <w:pStyle w:val="ARfintablecolheadright"/>
              <w:rPr>
                <w:lang w:eastAsia="en-AU"/>
              </w:rPr>
            </w:pPr>
            <w:r w:rsidRPr="00E822C6">
              <w:rPr>
                <w:lang w:eastAsia="en-AU"/>
              </w:rPr>
              <w:t>2026</w:t>
            </w:r>
          </w:p>
          <w:p w14:paraId="65FB8937" w14:textId="77777777" w:rsidR="006E51BF" w:rsidRPr="00E822C6" w:rsidRDefault="006E51BF">
            <w:pPr>
              <w:pStyle w:val="ARfintablecolheadright"/>
              <w:rPr>
                <w:lang w:eastAsia="en-AU"/>
              </w:rPr>
            </w:pPr>
            <w:r w:rsidRPr="00E822C6">
              <w:rPr>
                <w:lang w:eastAsia="en-AU"/>
              </w:rPr>
              <w:t>$M</w:t>
            </w:r>
          </w:p>
        </w:tc>
        <w:tc>
          <w:tcPr>
            <w:tcW w:w="809" w:type="pct"/>
            <w:noWrap/>
            <w:tcMar>
              <w:left w:w="0" w:type="nil"/>
              <w:right w:w="0" w:type="nil"/>
            </w:tcMar>
            <w:hideMark/>
          </w:tcPr>
          <w:p w14:paraId="7DCBF04C" w14:textId="77777777" w:rsidR="006E51BF" w:rsidRPr="00E822C6"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822C6">
              <w:rPr>
                <w:lang w:eastAsia="en-AU"/>
              </w:rPr>
              <w:t>2025</w:t>
            </w:r>
          </w:p>
          <w:p w14:paraId="13CE9457" w14:textId="77777777" w:rsidR="006E51BF" w:rsidRPr="00E822C6"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822C6">
              <w:rPr>
                <w:lang w:eastAsia="en-AU"/>
              </w:rPr>
              <w:t>$M</w:t>
            </w:r>
          </w:p>
        </w:tc>
      </w:tr>
      <w:tr w:rsidR="006E51BF" w:rsidRPr="00E822C6" w14:paraId="731EDEDB"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21" w:type="pct"/>
            <w:shd w:val="clear" w:color="auto" w:fill="auto"/>
            <w:hideMark/>
          </w:tcPr>
          <w:p w14:paraId="4249D02A" w14:textId="77777777" w:rsidR="006E51BF" w:rsidRPr="00E822C6" w:rsidRDefault="006E51BF">
            <w:pPr>
              <w:pStyle w:val="ARfintabletext"/>
              <w:rPr>
                <w:lang w:eastAsia="en-AU"/>
              </w:rPr>
            </w:pPr>
            <w:r w:rsidRPr="00E822C6">
              <w:rPr>
                <w:lang w:eastAsia="en-AU"/>
              </w:rPr>
              <w:t xml:space="preserve">Output appropriations </w:t>
            </w:r>
          </w:p>
        </w:tc>
        <w:tc>
          <w:tcPr>
            <w:tcW w:w="662" w:type="pct"/>
            <w:noWrap/>
            <w:tcMar>
              <w:left w:w="0" w:type="nil"/>
              <w:right w:w="0" w:type="nil"/>
            </w:tcMar>
            <w:hideMark/>
          </w:tcPr>
          <w:p w14:paraId="24C3A404" w14:textId="77777777" w:rsidR="006E51BF" w:rsidRPr="00E822C6"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E822C6">
              <w:rPr>
                <w:lang w:eastAsia="en-AU"/>
              </w:rPr>
              <w:t>2.2,</w:t>
            </w:r>
            <w:r>
              <w:rPr>
                <w:lang w:eastAsia="en-AU"/>
              </w:rPr>
              <w:t xml:space="preserve"> </w:t>
            </w:r>
            <w:r w:rsidRPr="00E822C6">
              <w:rPr>
                <w:lang w:eastAsia="en-AU"/>
              </w:rPr>
              <w:t>2.3</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0077EF3F" w14:textId="77777777" w:rsidR="006E51BF" w:rsidRPr="00E822C6" w:rsidRDefault="006E51BF">
            <w:pPr>
              <w:pStyle w:val="ARfintabletextright"/>
              <w:rPr>
                <w:lang w:eastAsia="en-AU"/>
              </w:rPr>
            </w:pPr>
            <w:r w:rsidRPr="00E822C6">
              <w:rPr>
                <w:lang w:eastAsia="en-AU"/>
              </w:rPr>
              <w:t>5,902.2</w:t>
            </w:r>
          </w:p>
        </w:tc>
        <w:tc>
          <w:tcPr>
            <w:tcW w:w="809" w:type="pct"/>
            <w:noWrap/>
            <w:tcMar>
              <w:left w:w="0" w:type="nil"/>
              <w:right w:w="0" w:type="nil"/>
            </w:tcMar>
            <w:hideMark/>
          </w:tcPr>
          <w:p w14:paraId="1421E36F" w14:textId="77777777" w:rsidR="006E51BF" w:rsidRPr="00E822C6"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E822C6">
              <w:rPr>
                <w:lang w:eastAsia="en-AU"/>
              </w:rPr>
              <w:t>6,307.1</w:t>
            </w:r>
          </w:p>
        </w:tc>
      </w:tr>
      <w:tr w:rsidR="006E51BF" w:rsidRPr="00E822C6" w14:paraId="39B72AFC"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21" w:type="pct"/>
            <w:shd w:val="clear" w:color="auto" w:fill="auto"/>
            <w:hideMark/>
          </w:tcPr>
          <w:p w14:paraId="0258727C" w14:textId="77777777" w:rsidR="006E51BF" w:rsidRPr="00E822C6" w:rsidRDefault="006E51BF">
            <w:pPr>
              <w:pStyle w:val="ARfintabletext"/>
              <w:rPr>
                <w:lang w:eastAsia="en-AU"/>
              </w:rPr>
            </w:pPr>
            <w:r w:rsidRPr="00E822C6">
              <w:rPr>
                <w:lang w:eastAsia="en-AU"/>
              </w:rPr>
              <w:t>Special appropriations</w:t>
            </w:r>
          </w:p>
        </w:tc>
        <w:tc>
          <w:tcPr>
            <w:tcW w:w="662" w:type="pct"/>
            <w:noWrap/>
            <w:tcMar>
              <w:left w:w="0" w:type="nil"/>
              <w:right w:w="0" w:type="nil"/>
            </w:tcMar>
            <w:hideMark/>
          </w:tcPr>
          <w:p w14:paraId="162C9EBF" w14:textId="77777777" w:rsidR="006E51BF" w:rsidRPr="00E822C6"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E822C6">
              <w:rPr>
                <w:lang w:eastAsia="en-AU"/>
              </w:rPr>
              <w:t>2.2,</w:t>
            </w:r>
            <w:r>
              <w:rPr>
                <w:lang w:eastAsia="en-AU"/>
              </w:rPr>
              <w:t xml:space="preserve"> </w:t>
            </w:r>
            <w:r w:rsidRPr="00E822C6">
              <w:rPr>
                <w:lang w:eastAsia="en-AU"/>
              </w:rPr>
              <w:t>2.3</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48D2B27F" w14:textId="77777777" w:rsidR="006E51BF" w:rsidRPr="00E822C6" w:rsidRDefault="006E51BF">
            <w:pPr>
              <w:pStyle w:val="ARfintabletextright"/>
              <w:rPr>
                <w:lang w:eastAsia="en-AU"/>
              </w:rPr>
            </w:pPr>
            <w:r w:rsidRPr="00E822C6">
              <w:rPr>
                <w:lang w:eastAsia="en-AU"/>
              </w:rPr>
              <w:t>79.6</w:t>
            </w:r>
          </w:p>
        </w:tc>
        <w:tc>
          <w:tcPr>
            <w:tcW w:w="809" w:type="pct"/>
            <w:noWrap/>
            <w:tcMar>
              <w:left w:w="0" w:type="nil"/>
              <w:right w:w="0" w:type="nil"/>
            </w:tcMar>
            <w:hideMark/>
          </w:tcPr>
          <w:p w14:paraId="561689F4" w14:textId="77777777" w:rsidR="006E51BF" w:rsidRPr="00E822C6"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E822C6">
              <w:rPr>
                <w:lang w:eastAsia="en-AU"/>
              </w:rPr>
              <w:t>100.6</w:t>
            </w:r>
          </w:p>
        </w:tc>
      </w:tr>
      <w:tr w:rsidR="006E51BF" w:rsidRPr="00E822C6" w14:paraId="5B738F7D"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21" w:type="pct"/>
            <w:shd w:val="clear" w:color="auto" w:fill="auto"/>
            <w:hideMark/>
          </w:tcPr>
          <w:p w14:paraId="42F8DB1D" w14:textId="77777777" w:rsidR="006E51BF" w:rsidRPr="00E822C6" w:rsidRDefault="006E51BF">
            <w:pPr>
              <w:pStyle w:val="ARfintabletext"/>
              <w:rPr>
                <w:lang w:eastAsia="en-AU"/>
              </w:rPr>
            </w:pPr>
            <w:r w:rsidRPr="00E822C6">
              <w:rPr>
                <w:lang w:eastAsia="en-AU"/>
              </w:rPr>
              <w:t>Rental income</w:t>
            </w:r>
          </w:p>
        </w:tc>
        <w:tc>
          <w:tcPr>
            <w:tcW w:w="662" w:type="pct"/>
            <w:noWrap/>
            <w:tcMar>
              <w:left w:w="0" w:type="nil"/>
              <w:right w:w="0" w:type="nil"/>
            </w:tcMar>
            <w:hideMark/>
          </w:tcPr>
          <w:p w14:paraId="5FFAD202" w14:textId="77777777" w:rsidR="006E51BF" w:rsidRPr="00E822C6"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E822C6">
              <w:rPr>
                <w:lang w:eastAsia="en-AU"/>
              </w:rPr>
              <w:t>2.4.1</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345774D6" w14:textId="77777777" w:rsidR="006E51BF" w:rsidRPr="00E822C6" w:rsidRDefault="006E51BF">
            <w:pPr>
              <w:pStyle w:val="ARfintabletextright"/>
              <w:rPr>
                <w:lang w:eastAsia="en-AU"/>
              </w:rPr>
            </w:pPr>
            <w:r w:rsidRPr="00E822C6">
              <w:rPr>
                <w:lang w:eastAsia="en-AU"/>
              </w:rPr>
              <w:t>625.6</w:t>
            </w:r>
          </w:p>
        </w:tc>
        <w:tc>
          <w:tcPr>
            <w:tcW w:w="809" w:type="pct"/>
            <w:noWrap/>
            <w:tcMar>
              <w:left w:w="0" w:type="nil"/>
              <w:right w:w="0" w:type="nil"/>
            </w:tcMar>
            <w:hideMark/>
          </w:tcPr>
          <w:p w14:paraId="1A2A14FB" w14:textId="77777777" w:rsidR="006E51BF" w:rsidRPr="00E822C6"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E822C6">
              <w:rPr>
                <w:lang w:eastAsia="en-AU"/>
              </w:rPr>
              <w:t>594.6</w:t>
            </w:r>
          </w:p>
        </w:tc>
      </w:tr>
      <w:tr w:rsidR="006E51BF" w:rsidRPr="00E822C6" w14:paraId="58D988DD"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21" w:type="pct"/>
            <w:shd w:val="clear" w:color="auto" w:fill="auto"/>
            <w:hideMark/>
          </w:tcPr>
          <w:p w14:paraId="7B5491FD" w14:textId="77777777" w:rsidR="006E51BF" w:rsidRPr="00E822C6" w:rsidRDefault="006E51BF">
            <w:pPr>
              <w:pStyle w:val="ARfintabletext"/>
              <w:rPr>
                <w:lang w:eastAsia="en-AU"/>
              </w:rPr>
            </w:pPr>
            <w:r w:rsidRPr="00E822C6">
              <w:rPr>
                <w:lang w:eastAsia="en-AU"/>
              </w:rPr>
              <w:t>Grants</w:t>
            </w:r>
          </w:p>
        </w:tc>
        <w:tc>
          <w:tcPr>
            <w:tcW w:w="662" w:type="pct"/>
            <w:noWrap/>
            <w:tcMar>
              <w:left w:w="0" w:type="nil"/>
              <w:right w:w="0" w:type="nil"/>
            </w:tcMar>
            <w:hideMark/>
          </w:tcPr>
          <w:p w14:paraId="7671801B" w14:textId="77777777" w:rsidR="006E51BF" w:rsidRPr="00E822C6"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E822C6">
              <w:rPr>
                <w:lang w:eastAsia="en-AU"/>
              </w:rPr>
              <w:t>2.4.2</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7B4C8CE8" w14:textId="77777777" w:rsidR="006E51BF" w:rsidRPr="00E822C6" w:rsidRDefault="006E51BF">
            <w:pPr>
              <w:pStyle w:val="ARfintabletextright"/>
              <w:rPr>
                <w:lang w:eastAsia="en-AU"/>
              </w:rPr>
            </w:pPr>
            <w:r w:rsidRPr="00E822C6">
              <w:rPr>
                <w:lang w:eastAsia="en-AU"/>
              </w:rPr>
              <w:t>341.8</w:t>
            </w:r>
          </w:p>
        </w:tc>
        <w:tc>
          <w:tcPr>
            <w:tcW w:w="809" w:type="pct"/>
            <w:noWrap/>
            <w:tcMar>
              <w:left w:w="0" w:type="nil"/>
              <w:right w:w="0" w:type="nil"/>
            </w:tcMar>
            <w:hideMark/>
          </w:tcPr>
          <w:p w14:paraId="42C69F49" w14:textId="77777777" w:rsidR="006E51BF" w:rsidRPr="00E822C6"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E822C6">
              <w:rPr>
                <w:lang w:eastAsia="en-AU"/>
              </w:rPr>
              <w:t>285.3</w:t>
            </w:r>
          </w:p>
        </w:tc>
      </w:tr>
      <w:tr w:rsidR="006E51BF" w:rsidRPr="00E822C6" w14:paraId="5B23B4CA"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721" w:type="pct"/>
            <w:tcBorders>
              <w:bottom w:val="single" w:sz="4" w:space="0" w:color="000000" w:themeColor="text1"/>
            </w:tcBorders>
            <w:shd w:val="clear" w:color="auto" w:fill="auto"/>
            <w:hideMark/>
          </w:tcPr>
          <w:p w14:paraId="2C645BDB" w14:textId="77777777" w:rsidR="006E51BF" w:rsidRPr="00E822C6" w:rsidRDefault="006E51BF">
            <w:pPr>
              <w:pStyle w:val="ARfintabletext"/>
              <w:rPr>
                <w:lang w:eastAsia="en-AU"/>
              </w:rPr>
            </w:pPr>
            <w:r w:rsidRPr="00E822C6">
              <w:rPr>
                <w:lang w:eastAsia="en-AU"/>
              </w:rPr>
              <w:t>Other income</w:t>
            </w:r>
          </w:p>
        </w:tc>
        <w:tc>
          <w:tcPr>
            <w:tcW w:w="662" w:type="pct"/>
            <w:tcBorders>
              <w:bottom w:val="single" w:sz="4" w:space="0" w:color="000000" w:themeColor="text1"/>
            </w:tcBorders>
            <w:noWrap/>
            <w:tcMar>
              <w:left w:w="0" w:type="nil"/>
              <w:right w:w="0" w:type="nil"/>
            </w:tcMar>
            <w:hideMark/>
          </w:tcPr>
          <w:p w14:paraId="2124A4AC" w14:textId="77777777" w:rsidR="006E51BF" w:rsidRPr="00E822C6"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8" w:type="pct"/>
            <w:tcBorders>
              <w:bottom w:val="single" w:sz="4" w:space="0" w:color="000000" w:themeColor="text1"/>
            </w:tcBorders>
            <w:noWrap/>
            <w:tcMar>
              <w:left w:w="0" w:type="nil"/>
              <w:right w:w="0" w:type="nil"/>
            </w:tcMar>
            <w:hideMark/>
          </w:tcPr>
          <w:p w14:paraId="15CE123C" w14:textId="77777777" w:rsidR="006E51BF" w:rsidRPr="00E822C6" w:rsidRDefault="006E51BF">
            <w:pPr>
              <w:pStyle w:val="ARfintabletextright"/>
              <w:rPr>
                <w:lang w:eastAsia="en-AU"/>
              </w:rPr>
            </w:pPr>
            <w:r w:rsidRPr="00E822C6">
              <w:rPr>
                <w:lang w:eastAsia="en-AU"/>
              </w:rPr>
              <w:t>114.2</w:t>
            </w:r>
          </w:p>
        </w:tc>
        <w:tc>
          <w:tcPr>
            <w:tcW w:w="809" w:type="pct"/>
            <w:tcBorders>
              <w:bottom w:val="single" w:sz="4" w:space="0" w:color="000000" w:themeColor="text1"/>
            </w:tcBorders>
            <w:noWrap/>
            <w:tcMar>
              <w:left w:w="0" w:type="nil"/>
              <w:right w:w="0" w:type="nil"/>
            </w:tcMar>
            <w:hideMark/>
          </w:tcPr>
          <w:p w14:paraId="1D9E40AB" w14:textId="77777777" w:rsidR="006E51BF" w:rsidRPr="00E822C6" w:rsidRDefault="006E51BF">
            <w:pPr>
              <w:pStyle w:val="ARfintabletextright"/>
              <w:cnfStyle w:val="000000000000" w:firstRow="0" w:lastRow="0" w:firstColumn="0" w:lastColumn="0" w:oddVBand="0" w:evenVBand="0" w:oddHBand="0" w:evenHBand="0" w:firstRowFirstColumn="0" w:firstRowLastColumn="0" w:lastRowFirstColumn="0" w:lastRowLastColumn="0"/>
              <w:rPr>
                <w:lang w:eastAsia="en-AU"/>
              </w:rPr>
            </w:pPr>
            <w:r w:rsidRPr="00E822C6">
              <w:rPr>
                <w:lang w:eastAsia="en-AU"/>
              </w:rPr>
              <w:t>54.2</w:t>
            </w:r>
          </w:p>
        </w:tc>
      </w:tr>
      <w:tr w:rsidR="006E51BF" w:rsidRPr="00E822C6" w14:paraId="51A3BD5A" w14:textId="77777777" w:rsidTr="00E1009E">
        <w:tblPrEx>
          <w:tblCellMar>
            <w:left w:w="0" w:type="dxa"/>
          </w:tblCellMar>
        </w:tblPrEx>
        <w:trPr>
          <w:cnfStyle w:val="010000000000" w:firstRow="0" w:lastRow="1" w:firstColumn="0" w:lastColumn="0" w:oddVBand="0" w:evenVBand="0" w:oddHBand="0"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2721" w:type="pct"/>
            <w:tcBorders>
              <w:bottom w:val="single" w:sz="4" w:space="0" w:color="auto"/>
            </w:tcBorders>
            <w:shd w:val="clear" w:color="auto" w:fill="auto"/>
            <w:hideMark/>
          </w:tcPr>
          <w:p w14:paraId="03DB8CF7" w14:textId="77777777" w:rsidR="006E51BF" w:rsidRPr="00E822C6" w:rsidRDefault="006E51BF">
            <w:pPr>
              <w:pStyle w:val="ARfintabletextbold"/>
              <w:rPr>
                <w:lang w:eastAsia="en-AU"/>
              </w:rPr>
            </w:pPr>
            <w:r w:rsidRPr="00E822C6">
              <w:rPr>
                <w:lang w:eastAsia="en-AU"/>
              </w:rPr>
              <w:t>Total revenue and income from transactions</w:t>
            </w:r>
          </w:p>
        </w:tc>
        <w:tc>
          <w:tcPr>
            <w:tcW w:w="662" w:type="pct"/>
            <w:tcBorders>
              <w:bottom w:val="single" w:sz="4" w:space="0" w:color="auto"/>
            </w:tcBorders>
            <w:noWrap/>
            <w:tcMar>
              <w:left w:w="0" w:type="nil"/>
              <w:right w:w="0" w:type="nil"/>
            </w:tcMar>
            <w:hideMark/>
          </w:tcPr>
          <w:p w14:paraId="18BBA292" w14:textId="77777777" w:rsidR="006E51BF" w:rsidRPr="00E822C6" w:rsidRDefault="006E51BF">
            <w:pPr>
              <w:pStyle w:val="ARfintabletextright"/>
              <w:cnfStyle w:val="010000000000" w:firstRow="0" w:lastRow="1"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808" w:type="pct"/>
            <w:tcBorders>
              <w:bottom w:val="single" w:sz="4" w:space="0" w:color="auto"/>
            </w:tcBorders>
            <w:noWrap/>
            <w:tcMar>
              <w:left w:w="0" w:type="nil"/>
              <w:right w:w="0" w:type="nil"/>
            </w:tcMar>
            <w:hideMark/>
          </w:tcPr>
          <w:p w14:paraId="71586F69" w14:textId="77777777" w:rsidR="006E51BF" w:rsidRPr="00E822C6" w:rsidRDefault="006E51BF">
            <w:pPr>
              <w:pStyle w:val="ARfintabletextboldright"/>
              <w:rPr>
                <w:lang w:eastAsia="en-AU"/>
              </w:rPr>
            </w:pPr>
            <w:r w:rsidRPr="00E822C6">
              <w:rPr>
                <w:lang w:eastAsia="en-AU"/>
              </w:rPr>
              <w:t>7,063.4</w:t>
            </w:r>
          </w:p>
        </w:tc>
        <w:tc>
          <w:tcPr>
            <w:tcW w:w="809" w:type="pct"/>
            <w:tcBorders>
              <w:bottom w:val="single" w:sz="4" w:space="0" w:color="auto"/>
            </w:tcBorders>
            <w:noWrap/>
            <w:tcMar>
              <w:left w:w="0" w:type="nil"/>
              <w:right w:w="0" w:type="nil"/>
            </w:tcMar>
            <w:hideMark/>
          </w:tcPr>
          <w:p w14:paraId="68B70E12" w14:textId="77777777" w:rsidR="006E51BF" w:rsidRPr="00E822C6"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E822C6">
              <w:rPr>
                <w:lang w:eastAsia="en-AU"/>
              </w:rPr>
              <w:t>7,341.8</w:t>
            </w:r>
          </w:p>
        </w:tc>
      </w:tr>
    </w:tbl>
    <w:p w14:paraId="11A4065B" w14:textId="77777777" w:rsidR="006E51BF" w:rsidRPr="00E822C6" w:rsidRDefault="006E51BF">
      <w:pPr>
        <w:pStyle w:val="Heading4"/>
        <w:rPr>
          <w:lang w:eastAsia="en-AU"/>
        </w:rPr>
      </w:pPr>
      <w:bookmarkStart w:id="286" w:name="_2.2__Appropriations"/>
      <w:bookmarkEnd w:id="286"/>
      <w:r w:rsidRPr="00E822C6">
        <w:rPr>
          <w:lang w:eastAsia="en-AU"/>
        </w:rPr>
        <w:t xml:space="preserve">2.2 </w:t>
      </w:r>
      <w:r>
        <w:rPr>
          <w:lang w:eastAsia="en-AU"/>
        </w:rPr>
        <w:tab/>
      </w:r>
      <w:r w:rsidRPr="00E822C6">
        <w:rPr>
          <w:lang w:eastAsia="en-AU"/>
        </w:rPr>
        <w:t>Appropriations</w:t>
      </w:r>
    </w:p>
    <w:p w14:paraId="5C9490AC" w14:textId="77777777" w:rsidR="006E51BF" w:rsidRDefault="006E51BF">
      <w:pPr>
        <w:pStyle w:val="ARfinbody"/>
        <w:rPr>
          <w:lang w:eastAsia="en-AU"/>
        </w:rPr>
      </w:pPr>
      <w:r w:rsidRPr="00E822C6">
        <w:rPr>
          <w:lang w:eastAsia="en-AU"/>
        </w:rPr>
        <w:t xml:space="preserve">Once annual parliamentary appropriations are applied by the Treasurer, they become controlled by the department and are recognised as income when applied to the purposes defined under the relevant </w:t>
      </w:r>
      <w:r w:rsidRPr="00A8102C">
        <w:rPr>
          <w:rStyle w:val="Emphasis"/>
          <w:lang w:eastAsia="en-AU"/>
        </w:rPr>
        <w:t>Appropriations Act</w:t>
      </w:r>
      <w:r w:rsidRPr="00E822C6">
        <w:rPr>
          <w:lang w:eastAsia="en-AU"/>
        </w:rPr>
        <w:t xml:space="preserve">. </w:t>
      </w:r>
    </w:p>
    <w:p w14:paraId="4A7EF87E" w14:textId="77777777" w:rsidR="006E51BF" w:rsidRDefault="006E51BF">
      <w:pPr>
        <w:pStyle w:val="ARfinbody"/>
        <w:rPr>
          <w:lang w:eastAsia="en-AU"/>
        </w:rPr>
      </w:pPr>
      <w:r w:rsidRPr="00413552">
        <w:rPr>
          <w:rStyle w:val="Strong"/>
          <w:lang w:eastAsia="en-AU"/>
        </w:rPr>
        <w:t xml:space="preserve">Output appropriations: </w:t>
      </w:r>
      <w:r w:rsidRPr="00E822C6">
        <w:rPr>
          <w:lang w:eastAsia="en-AU"/>
        </w:rPr>
        <w:t xml:space="preserve">Income from the outputs the department provides to the government is recognised when those outputs have been delivered and the relevant minister has certified delivery of those outputs in accordance with specified performance criteria. </w:t>
      </w:r>
    </w:p>
    <w:p w14:paraId="040FC3BB" w14:textId="77777777" w:rsidR="006E51BF" w:rsidRDefault="006E51BF">
      <w:pPr>
        <w:pStyle w:val="ARfinbody"/>
        <w:rPr>
          <w:lang w:eastAsia="en-AU"/>
        </w:rPr>
        <w:sectPr w:rsidR="006E51BF" w:rsidSect="00E7077C">
          <w:headerReference w:type="even" r:id="rId89"/>
          <w:headerReference w:type="default" r:id="rId90"/>
          <w:footerReference w:type="even" r:id="rId91"/>
          <w:footerReference w:type="default" r:id="rId92"/>
          <w:headerReference w:type="first" r:id="rId93"/>
          <w:pgSz w:w="11906" w:h="16838" w:code="9"/>
          <w:pgMar w:top="1588" w:right="1134" w:bottom="851" w:left="1134" w:header="680" w:footer="567" w:gutter="0"/>
          <w:cols w:space="340"/>
          <w:docGrid w:linePitch="360"/>
        </w:sectPr>
      </w:pPr>
      <w:r w:rsidRPr="00413552">
        <w:rPr>
          <w:rStyle w:val="Strong"/>
          <w:lang w:eastAsia="en-AU"/>
        </w:rPr>
        <w:t>Special appropriations</w:t>
      </w:r>
      <w:r w:rsidRPr="00E822C6">
        <w:rPr>
          <w:b/>
          <w:bCs/>
          <w:lang w:eastAsia="en-AU"/>
        </w:rPr>
        <w:t>:</w:t>
      </w:r>
      <w:r w:rsidRPr="00E822C6">
        <w:rPr>
          <w:lang w:eastAsia="en-AU"/>
        </w:rPr>
        <w:t xml:space="preserve"> Under s. 5.4.6 of the </w:t>
      </w:r>
      <w:r w:rsidRPr="00A8102C">
        <w:rPr>
          <w:rStyle w:val="Emphasis"/>
          <w:lang w:eastAsia="en-AU"/>
        </w:rPr>
        <w:t>Gambling Regulation Act 2003</w:t>
      </w:r>
      <w:r w:rsidRPr="00E822C6">
        <w:rPr>
          <w:i/>
          <w:iCs/>
          <w:lang w:eastAsia="en-AU"/>
        </w:rPr>
        <w:t>,</w:t>
      </w:r>
      <w:r w:rsidRPr="00E822C6">
        <w:rPr>
          <w:lang w:eastAsia="en-AU"/>
        </w:rPr>
        <w:t xml:space="preserve"> income related to the Mental Health Fund is recognised when the amounts appropriated for that purpose are due and payable by the department.</w:t>
      </w:r>
    </w:p>
    <w:p w14:paraId="6BD49B1F" w14:textId="77777777" w:rsidR="006E51BF" w:rsidRPr="002105DE" w:rsidRDefault="006E51BF" w:rsidP="005C31BC">
      <w:pPr>
        <w:pStyle w:val="Heading4"/>
        <w:spacing w:before="0"/>
        <w:rPr>
          <w:lang w:eastAsia="en-AU"/>
        </w:rPr>
      </w:pPr>
      <w:r w:rsidRPr="00EB06B5">
        <w:rPr>
          <w:lang w:eastAsia="en-AU"/>
        </w:rPr>
        <w:t xml:space="preserve">2.3 </w:t>
      </w:r>
      <w:r>
        <w:rPr>
          <w:lang w:eastAsia="en-AU"/>
        </w:rPr>
        <w:tab/>
      </w:r>
      <w:r w:rsidRPr="00EB06B5">
        <w:rPr>
          <w:lang w:eastAsia="en-AU"/>
        </w:rPr>
        <w:t>Summary of compliance with annual parliamentary and special appropriations</w:t>
      </w:r>
    </w:p>
    <w:p w14:paraId="564FEB52" w14:textId="77777777" w:rsidR="006E51BF" w:rsidRDefault="006E51BF">
      <w:pPr>
        <w:pStyle w:val="ARfinbody"/>
        <w:rPr>
          <w:lang w:eastAsia="en-AU"/>
        </w:rPr>
      </w:pPr>
      <w:r w:rsidRPr="00EB06B5">
        <w:rPr>
          <w:lang w:eastAsia="en-AU"/>
        </w:rPr>
        <w:t>The following table discloses the details of the various annual parliamentary appropriations received by the department for the year.</w:t>
      </w:r>
    </w:p>
    <w:p w14:paraId="53039AC1" w14:textId="77777777" w:rsidR="006E51BF" w:rsidRPr="002105DE" w:rsidRDefault="006E51BF">
      <w:pPr>
        <w:pStyle w:val="ARfinbodybeforetableorfigure"/>
      </w:pPr>
      <w:r w:rsidRPr="00EB06B5">
        <w:t>In accordance with accrual output-based management procedures 'provision of outputs' and 'additions to net assets' are disclosed as 'controlled' activities of the department. Administered transactions are those that are undertaken on behalf of the state over which the department has no control or discretion (refer to Note 4.2).</w:t>
      </w:r>
    </w:p>
    <w:tbl>
      <w:tblPr>
        <w:tblStyle w:val="ARtable1"/>
        <w:tblW w:w="0" w:type="auto"/>
        <w:tblLayout w:type="fixed"/>
        <w:tblLook w:val="04E0" w:firstRow="1" w:lastRow="1" w:firstColumn="1" w:lastColumn="0" w:noHBand="0" w:noVBand="1"/>
      </w:tblPr>
      <w:tblGrid>
        <w:gridCol w:w="3915"/>
        <w:gridCol w:w="1284"/>
        <w:gridCol w:w="1284"/>
        <w:gridCol w:w="1219"/>
        <w:gridCol w:w="1219"/>
        <w:gridCol w:w="1220"/>
        <w:gridCol w:w="1479"/>
        <w:gridCol w:w="1540"/>
        <w:gridCol w:w="952"/>
        <w:gridCol w:w="448"/>
      </w:tblGrid>
      <w:tr w:rsidR="006E51BF" w:rsidRPr="00EB06B5" w14:paraId="4A5D90FE" w14:textId="77777777" w:rsidTr="00457FAF">
        <w:trPr>
          <w:cnfStyle w:val="100000000000" w:firstRow="1" w:lastRow="0" w:firstColumn="0" w:lastColumn="0" w:oddVBand="0" w:evenVBand="0" w:oddHBand="0" w:evenHBand="0" w:firstRowFirstColumn="0" w:firstRowLastColumn="0" w:lastRowFirstColumn="0" w:lastRowLastColumn="0"/>
          <w:trHeight w:val="747"/>
          <w:tblHeader/>
        </w:trPr>
        <w:tc>
          <w:tcPr>
            <w:tcW w:w="3915" w:type="dxa"/>
            <w:noWrap/>
            <w:hideMark/>
          </w:tcPr>
          <w:p w14:paraId="5586E65F" w14:textId="77777777" w:rsidR="006E51BF" w:rsidRPr="00801F29" w:rsidRDefault="006E51BF">
            <w:pPr>
              <w:pStyle w:val="ARfintablecolheadright8pt"/>
              <w:rPr>
                <w:lang w:eastAsia="en-AU"/>
              </w:rPr>
            </w:pPr>
          </w:p>
        </w:tc>
        <w:tc>
          <w:tcPr>
            <w:tcW w:w="1284" w:type="dxa"/>
            <w:tcBorders>
              <w:top w:val="single" w:sz="4" w:space="0" w:color="000000" w:themeColor="text1"/>
            </w:tcBorders>
            <w:shd w:val="clear" w:color="auto" w:fill="E7E6E6" w:themeFill="background2"/>
            <w:tcMar>
              <w:right w:w="0" w:type="nil"/>
            </w:tcMar>
            <w:hideMark/>
          </w:tcPr>
          <w:p w14:paraId="0B5096E1" w14:textId="2DB8EF49" w:rsidR="00DB102D" w:rsidRDefault="00DB102D">
            <w:pPr>
              <w:pStyle w:val="ARfintablecolheadright8pt"/>
              <w:rPr>
                <w:lang w:eastAsia="en-AU"/>
              </w:rPr>
            </w:pPr>
            <w:r w:rsidRPr="00EB06B5">
              <w:rPr>
                <w:bCs/>
                <w:lang w:eastAsia="en-AU"/>
              </w:rPr>
              <w:t>Appropriation Act</w:t>
            </w:r>
          </w:p>
          <w:p w14:paraId="3340A5DA" w14:textId="140E7FFC" w:rsidR="006E51BF" w:rsidRPr="00EB06B5" w:rsidRDefault="006E51BF">
            <w:pPr>
              <w:pStyle w:val="ARfintablecolheadright8pt"/>
              <w:rPr>
                <w:lang w:eastAsia="en-AU"/>
              </w:rPr>
            </w:pPr>
            <w:r w:rsidRPr="00EB06B5">
              <w:rPr>
                <w:lang w:eastAsia="en-AU"/>
              </w:rPr>
              <w:t>Annual appropriation</w:t>
            </w:r>
          </w:p>
          <w:p w14:paraId="52275FC8" w14:textId="77777777" w:rsidR="006E51BF" w:rsidRPr="00EB06B5" w:rsidRDefault="006E51BF">
            <w:pPr>
              <w:pStyle w:val="ARfintablecolheadright8pt"/>
              <w:rPr>
                <w:lang w:eastAsia="en-AU"/>
              </w:rPr>
            </w:pPr>
            <w:r w:rsidRPr="00EB06B5">
              <w:rPr>
                <w:lang w:eastAsia="en-AU"/>
              </w:rPr>
              <w:t>$M</w:t>
            </w:r>
          </w:p>
        </w:tc>
        <w:tc>
          <w:tcPr>
            <w:tcW w:w="1284" w:type="dxa"/>
            <w:tcBorders>
              <w:top w:val="single" w:sz="4" w:space="0" w:color="000000" w:themeColor="text1"/>
            </w:tcBorders>
            <w:shd w:val="clear" w:color="auto" w:fill="E7E6E6" w:themeFill="background2"/>
            <w:tcMar>
              <w:right w:w="0" w:type="nil"/>
            </w:tcMar>
            <w:hideMark/>
          </w:tcPr>
          <w:p w14:paraId="3781C534" w14:textId="0877221A" w:rsidR="00DB102D" w:rsidRDefault="00DB102D">
            <w:pPr>
              <w:pStyle w:val="ARfintablecolheadright8pt"/>
              <w:rPr>
                <w:lang w:eastAsia="en-AU"/>
              </w:rPr>
            </w:pPr>
            <w:r w:rsidRPr="00EB06B5">
              <w:rPr>
                <w:bCs/>
                <w:lang w:eastAsia="en-AU"/>
              </w:rPr>
              <w:t>Appropriation Act</w:t>
            </w:r>
          </w:p>
          <w:p w14:paraId="4B924F5A" w14:textId="2AC08A2E" w:rsidR="006E51BF" w:rsidRPr="00EB06B5" w:rsidRDefault="006E51BF">
            <w:pPr>
              <w:pStyle w:val="ARfintablecolheadright8pt"/>
              <w:rPr>
                <w:lang w:eastAsia="en-AU"/>
              </w:rPr>
            </w:pPr>
            <w:r w:rsidRPr="00EB06B5">
              <w:rPr>
                <w:lang w:eastAsia="en-AU"/>
              </w:rPr>
              <w:t>Advance from Treasurer</w:t>
            </w:r>
          </w:p>
          <w:p w14:paraId="46FB056A" w14:textId="77777777" w:rsidR="006E51BF" w:rsidRPr="00EB06B5" w:rsidRDefault="006E51BF">
            <w:pPr>
              <w:pStyle w:val="ARfintablecolheadright8pt"/>
              <w:rPr>
                <w:lang w:eastAsia="en-AU"/>
              </w:rPr>
            </w:pPr>
            <w:r w:rsidRPr="00EB06B5">
              <w:rPr>
                <w:lang w:eastAsia="en-AU"/>
              </w:rPr>
              <w:t>$M</w:t>
            </w:r>
          </w:p>
        </w:tc>
        <w:tc>
          <w:tcPr>
            <w:tcW w:w="1219" w:type="dxa"/>
            <w:tcBorders>
              <w:top w:val="single" w:sz="4" w:space="0" w:color="000000" w:themeColor="text1"/>
            </w:tcBorders>
            <w:noWrap/>
            <w:tcMar>
              <w:right w:w="0" w:type="nil"/>
            </w:tcMar>
            <w:hideMark/>
          </w:tcPr>
          <w:p w14:paraId="5F8D6C58" w14:textId="7F4885CE" w:rsidR="00DB102D" w:rsidRDefault="00DB102D">
            <w:pPr>
              <w:pStyle w:val="ARfintablecolheadright8pt"/>
              <w:rPr>
                <w:lang w:eastAsia="en-AU"/>
              </w:rPr>
            </w:pPr>
            <w:r w:rsidRPr="00EB06B5">
              <w:rPr>
                <w:bCs/>
                <w:lang w:eastAsia="en-AU"/>
              </w:rPr>
              <w:t>Financial Management Act 1994</w:t>
            </w:r>
          </w:p>
          <w:p w14:paraId="270B858E" w14:textId="5D63FA7D" w:rsidR="006E51BF" w:rsidRPr="00EB06B5" w:rsidRDefault="006E51BF">
            <w:pPr>
              <w:pStyle w:val="ARfintablecolheadright8pt"/>
              <w:rPr>
                <w:lang w:eastAsia="en-AU"/>
              </w:rPr>
            </w:pPr>
            <w:r w:rsidRPr="00EB06B5">
              <w:rPr>
                <w:lang w:eastAsia="en-AU"/>
              </w:rPr>
              <w:t xml:space="preserve">Section 29 </w:t>
            </w:r>
            <w:r w:rsidRPr="00EB06B5">
              <w:rPr>
                <w:sz w:val="18"/>
                <w:szCs w:val="18"/>
                <w:vertAlign w:val="superscript"/>
                <w:lang w:eastAsia="en-AU"/>
              </w:rPr>
              <w:t>(</w:t>
            </w:r>
            <w:proofErr w:type="spellStart"/>
            <w:r w:rsidRPr="00EB06B5">
              <w:rPr>
                <w:sz w:val="18"/>
                <w:szCs w:val="18"/>
                <w:vertAlign w:val="superscript"/>
                <w:lang w:eastAsia="en-AU"/>
              </w:rPr>
              <w:t>i</w:t>
            </w:r>
            <w:proofErr w:type="spellEnd"/>
            <w:r w:rsidRPr="00EB06B5">
              <w:rPr>
                <w:sz w:val="18"/>
                <w:szCs w:val="18"/>
                <w:vertAlign w:val="superscript"/>
                <w:lang w:eastAsia="en-AU"/>
              </w:rPr>
              <w:t>)</w:t>
            </w:r>
          </w:p>
          <w:p w14:paraId="000F6E75" w14:textId="77777777" w:rsidR="006E51BF" w:rsidRPr="00EB06B5" w:rsidRDefault="006E51BF">
            <w:pPr>
              <w:pStyle w:val="ARfintablecolheadright8pt"/>
              <w:rPr>
                <w:lang w:eastAsia="en-AU"/>
              </w:rPr>
            </w:pPr>
            <w:r w:rsidRPr="00EB06B5">
              <w:rPr>
                <w:lang w:eastAsia="en-AU"/>
              </w:rPr>
              <w:t>$M</w:t>
            </w:r>
          </w:p>
        </w:tc>
        <w:tc>
          <w:tcPr>
            <w:tcW w:w="1219" w:type="dxa"/>
            <w:tcBorders>
              <w:top w:val="single" w:sz="4" w:space="0" w:color="000000" w:themeColor="text1"/>
            </w:tcBorders>
            <w:noWrap/>
            <w:tcMar>
              <w:right w:w="0" w:type="nil"/>
            </w:tcMar>
            <w:hideMark/>
          </w:tcPr>
          <w:p w14:paraId="5488FEB0" w14:textId="1C421BE3" w:rsidR="00DB102D" w:rsidRDefault="00DB102D">
            <w:pPr>
              <w:pStyle w:val="ARfintablecolheadright8pt"/>
              <w:rPr>
                <w:lang w:eastAsia="en-AU"/>
              </w:rPr>
            </w:pPr>
            <w:r w:rsidRPr="00EB06B5">
              <w:rPr>
                <w:bCs/>
                <w:lang w:eastAsia="en-AU"/>
              </w:rPr>
              <w:t>Financial Management Act 1994</w:t>
            </w:r>
          </w:p>
          <w:p w14:paraId="6B0D381F" w14:textId="4F824B21" w:rsidR="006E51BF" w:rsidRPr="00EB06B5" w:rsidRDefault="006E51BF">
            <w:pPr>
              <w:pStyle w:val="ARfintablecolheadright8pt"/>
              <w:rPr>
                <w:lang w:eastAsia="en-AU"/>
              </w:rPr>
            </w:pPr>
            <w:r w:rsidRPr="00EB06B5">
              <w:rPr>
                <w:lang w:eastAsia="en-AU"/>
              </w:rPr>
              <w:t>Section 30</w:t>
            </w:r>
          </w:p>
          <w:p w14:paraId="752EF140" w14:textId="77777777" w:rsidR="006E51BF" w:rsidRPr="00EB06B5" w:rsidRDefault="006E51BF">
            <w:pPr>
              <w:pStyle w:val="ARfintablecolheadright8pt"/>
              <w:rPr>
                <w:lang w:eastAsia="en-AU"/>
              </w:rPr>
            </w:pPr>
            <w:r w:rsidRPr="00EB06B5">
              <w:rPr>
                <w:lang w:eastAsia="en-AU"/>
              </w:rPr>
              <w:t>$M</w:t>
            </w:r>
          </w:p>
        </w:tc>
        <w:tc>
          <w:tcPr>
            <w:tcW w:w="1220" w:type="dxa"/>
            <w:tcBorders>
              <w:top w:val="single" w:sz="4" w:space="0" w:color="000000" w:themeColor="text1"/>
            </w:tcBorders>
            <w:noWrap/>
            <w:tcMar>
              <w:right w:w="0" w:type="nil"/>
            </w:tcMar>
            <w:hideMark/>
          </w:tcPr>
          <w:p w14:paraId="52098F0A" w14:textId="77777777" w:rsidR="00DB102D" w:rsidRDefault="00DB102D">
            <w:pPr>
              <w:pStyle w:val="ARfintablecolheadright8pt"/>
              <w:rPr>
                <w:lang w:eastAsia="en-AU"/>
              </w:rPr>
            </w:pPr>
          </w:p>
          <w:p w14:paraId="24EA12C5" w14:textId="269F8DA4" w:rsidR="006E51BF" w:rsidRPr="00EB06B5" w:rsidRDefault="006E51BF">
            <w:pPr>
              <w:pStyle w:val="ARfintablecolheadright8pt"/>
              <w:rPr>
                <w:lang w:eastAsia="en-AU"/>
              </w:rPr>
            </w:pPr>
            <w:r w:rsidRPr="00EB06B5">
              <w:rPr>
                <w:lang w:eastAsia="en-AU"/>
              </w:rPr>
              <w:t>Section 32</w:t>
            </w:r>
          </w:p>
          <w:p w14:paraId="42DEE669" w14:textId="77777777" w:rsidR="006E51BF" w:rsidRPr="00EB06B5" w:rsidRDefault="006E51BF">
            <w:pPr>
              <w:pStyle w:val="ARfintablecolheadright8pt"/>
              <w:rPr>
                <w:lang w:eastAsia="en-AU"/>
              </w:rPr>
            </w:pPr>
            <w:r w:rsidRPr="00EB06B5">
              <w:rPr>
                <w:lang w:eastAsia="en-AU"/>
              </w:rPr>
              <w:t>$M</w:t>
            </w:r>
          </w:p>
        </w:tc>
        <w:tc>
          <w:tcPr>
            <w:tcW w:w="1479" w:type="dxa"/>
            <w:shd w:val="clear" w:color="auto" w:fill="E7E6E6" w:themeFill="background2"/>
            <w:tcMar>
              <w:right w:w="0" w:type="nil"/>
            </w:tcMar>
            <w:hideMark/>
          </w:tcPr>
          <w:p w14:paraId="7C3A119F" w14:textId="77777777" w:rsidR="006E51BF" w:rsidRPr="00EB06B5" w:rsidRDefault="006E51BF">
            <w:pPr>
              <w:pStyle w:val="ARfintablecolheadright8pt"/>
              <w:rPr>
                <w:lang w:eastAsia="en-AU"/>
              </w:rPr>
            </w:pPr>
            <w:r w:rsidRPr="00EB06B5">
              <w:rPr>
                <w:lang w:eastAsia="en-AU"/>
              </w:rPr>
              <w:t>Total parliamentary authority</w:t>
            </w:r>
          </w:p>
          <w:p w14:paraId="5AC30BE7" w14:textId="77777777" w:rsidR="006E51BF" w:rsidRPr="00EB06B5" w:rsidRDefault="006E51BF">
            <w:pPr>
              <w:pStyle w:val="ARfintablecolheadright8pt"/>
              <w:rPr>
                <w:lang w:eastAsia="en-AU"/>
              </w:rPr>
            </w:pPr>
            <w:r w:rsidRPr="00EB06B5">
              <w:rPr>
                <w:lang w:eastAsia="en-AU"/>
              </w:rPr>
              <w:t>$M</w:t>
            </w:r>
          </w:p>
        </w:tc>
        <w:tc>
          <w:tcPr>
            <w:tcW w:w="1540" w:type="dxa"/>
            <w:tcMar>
              <w:right w:w="0" w:type="nil"/>
            </w:tcMar>
            <w:hideMark/>
          </w:tcPr>
          <w:p w14:paraId="07AC8299" w14:textId="77777777" w:rsidR="006E51BF" w:rsidRPr="00EB06B5" w:rsidRDefault="006E51BF">
            <w:pPr>
              <w:pStyle w:val="ARfintablecolheadright8pt"/>
              <w:rPr>
                <w:lang w:eastAsia="en-AU"/>
              </w:rPr>
            </w:pPr>
            <w:r w:rsidRPr="00EB06B5">
              <w:rPr>
                <w:lang w:eastAsia="en-AU"/>
              </w:rPr>
              <w:t>Appropriations applied</w:t>
            </w:r>
          </w:p>
          <w:p w14:paraId="001AEDB8" w14:textId="77777777" w:rsidR="006E51BF" w:rsidRPr="00EB06B5" w:rsidRDefault="006E51BF">
            <w:pPr>
              <w:pStyle w:val="ARfintablecolheadright8pt"/>
              <w:rPr>
                <w:lang w:eastAsia="en-AU"/>
              </w:rPr>
            </w:pPr>
            <w:r w:rsidRPr="00EB06B5">
              <w:rPr>
                <w:lang w:eastAsia="en-AU"/>
              </w:rPr>
              <w:t>$M</w:t>
            </w:r>
          </w:p>
        </w:tc>
        <w:tc>
          <w:tcPr>
            <w:tcW w:w="952" w:type="dxa"/>
            <w:shd w:val="clear" w:color="auto" w:fill="E7E6E6" w:themeFill="background2"/>
            <w:noWrap/>
            <w:tcMar>
              <w:right w:w="0" w:type="nil"/>
            </w:tcMar>
            <w:hideMark/>
          </w:tcPr>
          <w:p w14:paraId="241E5FEC" w14:textId="77777777" w:rsidR="006E51BF" w:rsidRPr="00EB06B5" w:rsidRDefault="006E51BF">
            <w:pPr>
              <w:pStyle w:val="ARfintablecolheadright8pt"/>
              <w:rPr>
                <w:lang w:eastAsia="en-AU"/>
              </w:rPr>
            </w:pPr>
            <w:r w:rsidRPr="00EB06B5">
              <w:rPr>
                <w:lang w:eastAsia="en-AU"/>
              </w:rPr>
              <w:t>Variance</w:t>
            </w:r>
          </w:p>
          <w:p w14:paraId="3C529D6E" w14:textId="77777777" w:rsidR="006E51BF" w:rsidRPr="00EB06B5" w:rsidRDefault="006E51BF">
            <w:pPr>
              <w:pStyle w:val="ARfintablecolheadright8pt"/>
              <w:rPr>
                <w:lang w:eastAsia="en-AU"/>
              </w:rPr>
            </w:pPr>
            <w:r w:rsidRPr="00EB06B5">
              <w:rPr>
                <w:lang w:eastAsia="en-AU"/>
              </w:rPr>
              <w:t>$M</w:t>
            </w:r>
          </w:p>
        </w:tc>
        <w:tc>
          <w:tcPr>
            <w:tcW w:w="448" w:type="dxa"/>
            <w:tcMar>
              <w:right w:w="0" w:type="nil"/>
            </w:tcMar>
            <w:hideMark/>
          </w:tcPr>
          <w:p w14:paraId="486E4BC5" w14:textId="77777777" w:rsidR="006E51BF" w:rsidRPr="00EB06B5" w:rsidRDefault="006E51BF">
            <w:pPr>
              <w:pStyle w:val="ARfintablecolheadright8pt"/>
              <w:rPr>
                <w:lang w:eastAsia="en-AU"/>
              </w:rPr>
            </w:pPr>
          </w:p>
        </w:tc>
      </w:tr>
      <w:tr w:rsidR="006E51BF" w:rsidRPr="00EB06B5" w14:paraId="07AE8B5B" w14:textId="77777777" w:rsidTr="00457FAF">
        <w:trPr>
          <w:cnfStyle w:val="000000100000" w:firstRow="0" w:lastRow="0" w:firstColumn="0" w:lastColumn="0" w:oddVBand="0" w:evenVBand="0" w:oddHBand="1" w:evenHBand="0" w:firstRowFirstColumn="0" w:firstRowLastColumn="0" w:lastRowFirstColumn="0" w:lastRowLastColumn="0"/>
          <w:trHeight w:val="20"/>
        </w:trPr>
        <w:tc>
          <w:tcPr>
            <w:tcW w:w="3915" w:type="dxa"/>
            <w:noWrap/>
            <w:hideMark/>
          </w:tcPr>
          <w:p w14:paraId="0290449B" w14:textId="77777777" w:rsidR="006E51BF" w:rsidRPr="00EB06B5" w:rsidRDefault="006E51BF">
            <w:pPr>
              <w:pStyle w:val="Arfintabletextboldcoloured8pt"/>
            </w:pPr>
            <w:r w:rsidRPr="00EB06B5">
              <w:t>2026</w:t>
            </w:r>
          </w:p>
        </w:tc>
        <w:tc>
          <w:tcPr>
            <w:tcW w:w="1284" w:type="dxa"/>
            <w:noWrap/>
            <w:tcMar>
              <w:right w:w="0" w:type="nil"/>
            </w:tcMar>
            <w:hideMark/>
          </w:tcPr>
          <w:p w14:paraId="73A4AA19" w14:textId="77777777" w:rsidR="006E51BF" w:rsidRPr="00EB06B5" w:rsidRDefault="006E51BF">
            <w:pPr>
              <w:pStyle w:val="ARfintabletextright8pt"/>
            </w:pPr>
          </w:p>
        </w:tc>
        <w:tc>
          <w:tcPr>
            <w:tcW w:w="1284" w:type="dxa"/>
            <w:noWrap/>
            <w:tcMar>
              <w:right w:w="0" w:type="nil"/>
            </w:tcMar>
            <w:hideMark/>
          </w:tcPr>
          <w:p w14:paraId="0F1E7F58" w14:textId="77777777" w:rsidR="006E51BF" w:rsidRPr="00EB06B5" w:rsidRDefault="006E51BF">
            <w:pPr>
              <w:pStyle w:val="ARfintabletextright8pt"/>
            </w:pPr>
          </w:p>
        </w:tc>
        <w:tc>
          <w:tcPr>
            <w:tcW w:w="1219" w:type="dxa"/>
            <w:noWrap/>
            <w:tcMar>
              <w:right w:w="0" w:type="nil"/>
            </w:tcMar>
            <w:hideMark/>
          </w:tcPr>
          <w:p w14:paraId="2007F98F" w14:textId="77777777" w:rsidR="006E51BF" w:rsidRPr="00EB06B5" w:rsidRDefault="006E51BF">
            <w:pPr>
              <w:pStyle w:val="ARfintabletextright8pt"/>
            </w:pPr>
          </w:p>
        </w:tc>
        <w:tc>
          <w:tcPr>
            <w:tcW w:w="1219" w:type="dxa"/>
            <w:noWrap/>
            <w:tcMar>
              <w:right w:w="0" w:type="nil"/>
            </w:tcMar>
            <w:hideMark/>
          </w:tcPr>
          <w:p w14:paraId="6CFDAB54" w14:textId="77777777" w:rsidR="006E51BF" w:rsidRPr="00EB06B5" w:rsidRDefault="006E51BF">
            <w:pPr>
              <w:pStyle w:val="ARfintabletextright8pt"/>
            </w:pPr>
          </w:p>
        </w:tc>
        <w:tc>
          <w:tcPr>
            <w:tcW w:w="1220" w:type="dxa"/>
            <w:noWrap/>
            <w:tcMar>
              <w:right w:w="0" w:type="nil"/>
            </w:tcMar>
            <w:hideMark/>
          </w:tcPr>
          <w:p w14:paraId="5AA2A130" w14:textId="77777777" w:rsidR="006E51BF" w:rsidRPr="00EB06B5" w:rsidRDefault="006E51BF">
            <w:pPr>
              <w:pStyle w:val="ARfintabletextright8pt"/>
            </w:pPr>
          </w:p>
        </w:tc>
        <w:tc>
          <w:tcPr>
            <w:tcW w:w="1479" w:type="dxa"/>
            <w:noWrap/>
            <w:tcMar>
              <w:right w:w="0" w:type="nil"/>
            </w:tcMar>
            <w:hideMark/>
          </w:tcPr>
          <w:p w14:paraId="2C0E8907" w14:textId="77777777" w:rsidR="006E51BF" w:rsidRPr="00EB06B5" w:rsidRDefault="006E51BF">
            <w:pPr>
              <w:pStyle w:val="ARfintabletextright8pt"/>
            </w:pPr>
          </w:p>
        </w:tc>
        <w:tc>
          <w:tcPr>
            <w:tcW w:w="1540" w:type="dxa"/>
            <w:noWrap/>
            <w:tcMar>
              <w:right w:w="0" w:type="nil"/>
            </w:tcMar>
            <w:hideMark/>
          </w:tcPr>
          <w:p w14:paraId="44AB9C2C" w14:textId="77777777" w:rsidR="006E51BF" w:rsidRPr="00EB06B5" w:rsidRDefault="006E51BF">
            <w:pPr>
              <w:pStyle w:val="ARfintabletextright8pt"/>
            </w:pPr>
          </w:p>
        </w:tc>
        <w:tc>
          <w:tcPr>
            <w:tcW w:w="952" w:type="dxa"/>
            <w:noWrap/>
            <w:tcMar>
              <w:right w:w="0" w:type="nil"/>
            </w:tcMar>
            <w:hideMark/>
          </w:tcPr>
          <w:p w14:paraId="06931A88" w14:textId="77777777" w:rsidR="006E51BF" w:rsidRPr="00EB06B5" w:rsidRDefault="006E51BF">
            <w:pPr>
              <w:pStyle w:val="ARfintabletextright8pt"/>
            </w:pPr>
          </w:p>
        </w:tc>
        <w:tc>
          <w:tcPr>
            <w:tcW w:w="448" w:type="dxa"/>
            <w:noWrap/>
            <w:tcMar>
              <w:right w:w="0" w:type="nil"/>
            </w:tcMar>
            <w:vAlign w:val="center"/>
            <w:hideMark/>
          </w:tcPr>
          <w:p w14:paraId="546D7F03" w14:textId="77777777" w:rsidR="006E51BF" w:rsidRPr="00B41814" w:rsidRDefault="006E51BF">
            <w:pPr>
              <w:pStyle w:val="ARfintabletextright8pt"/>
              <w:rPr>
                <w:vertAlign w:val="superscript"/>
              </w:rPr>
            </w:pPr>
          </w:p>
        </w:tc>
      </w:tr>
      <w:tr w:rsidR="006E51BF" w:rsidRPr="00EB06B5" w14:paraId="2961E6B8" w14:textId="77777777" w:rsidTr="00457FAF">
        <w:trPr>
          <w:cnfStyle w:val="000000010000" w:firstRow="0" w:lastRow="0" w:firstColumn="0" w:lastColumn="0" w:oddVBand="0" w:evenVBand="0" w:oddHBand="0" w:evenHBand="1" w:firstRowFirstColumn="0" w:firstRowLastColumn="0" w:lastRowFirstColumn="0" w:lastRowLastColumn="0"/>
          <w:trHeight w:val="20"/>
        </w:trPr>
        <w:tc>
          <w:tcPr>
            <w:tcW w:w="3915" w:type="dxa"/>
            <w:noWrap/>
            <w:hideMark/>
          </w:tcPr>
          <w:p w14:paraId="4E24DFCD" w14:textId="77777777" w:rsidR="006E51BF" w:rsidRPr="00EB06B5" w:rsidRDefault="006E51BF">
            <w:pPr>
              <w:pStyle w:val="ARfintabletextbold8pt"/>
            </w:pPr>
            <w:r w:rsidRPr="00EB06B5">
              <w:t>Controlled</w:t>
            </w:r>
          </w:p>
        </w:tc>
        <w:tc>
          <w:tcPr>
            <w:tcW w:w="1284" w:type="dxa"/>
            <w:noWrap/>
            <w:tcMar>
              <w:right w:w="0" w:type="nil"/>
            </w:tcMar>
            <w:hideMark/>
          </w:tcPr>
          <w:p w14:paraId="77AA88B8" w14:textId="77777777" w:rsidR="006E51BF" w:rsidRPr="00EB06B5" w:rsidRDefault="006E51BF">
            <w:pPr>
              <w:pStyle w:val="ARfintabletextright8pt"/>
            </w:pPr>
          </w:p>
        </w:tc>
        <w:tc>
          <w:tcPr>
            <w:tcW w:w="1284" w:type="dxa"/>
            <w:noWrap/>
            <w:tcMar>
              <w:right w:w="0" w:type="nil"/>
            </w:tcMar>
            <w:hideMark/>
          </w:tcPr>
          <w:p w14:paraId="644C0576" w14:textId="77777777" w:rsidR="006E51BF" w:rsidRPr="00EB06B5" w:rsidRDefault="006E51BF">
            <w:pPr>
              <w:pStyle w:val="ARfintabletextright8pt"/>
            </w:pPr>
          </w:p>
        </w:tc>
        <w:tc>
          <w:tcPr>
            <w:tcW w:w="1219" w:type="dxa"/>
            <w:noWrap/>
            <w:tcMar>
              <w:right w:w="0" w:type="nil"/>
            </w:tcMar>
            <w:hideMark/>
          </w:tcPr>
          <w:p w14:paraId="537A5B34" w14:textId="77777777" w:rsidR="006E51BF" w:rsidRPr="00EB06B5" w:rsidRDefault="006E51BF">
            <w:pPr>
              <w:pStyle w:val="ARfintabletextright8pt"/>
            </w:pPr>
          </w:p>
        </w:tc>
        <w:tc>
          <w:tcPr>
            <w:tcW w:w="1219" w:type="dxa"/>
            <w:noWrap/>
            <w:tcMar>
              <w:right w:w="0" w:type="nil"/>
            </w:tcMar>
            <w:hideMark/>
          </w:tcPr>
          <w:p w14:paraId="1809C3D8" w14:textId="77777777" w:rsidR="006E51BF" w:rsidRPr="00EB06B5" w:rsidRDefault="006E51BF">
            <w:pPr>
              <w:pStyle w:val="ARfintabletextright8pt"/>
            </w:pPr>
          </w:p>
        </w:tc>
        <w:tc>
          <w:tcPr>
            <w:tcW w:w="1220" w:type="dxa"/>
            <w:noWrap/>
            <w:tcMar>
              <w:right w:w="0" w:type="nil"/>
            </w:tcMar>
            <w:hideMark/>
          </w:tcPr>
          <w:p w14:paraId="49AAE2CD" w14:textId="77777777" w:rsidR="006E51BF" w:rsidRPr="00EB06B5" w:rsidRDefault="006E51BF">
            <w:pPr>
              <w:pStyle w:val="ARfintabletextright8pt"/>
            </w:pPr>
          </w:p>
        </w:tc>
        <w:tc>
          <w:tcPr>
            <w:tcW w:w="1479" w:type="dxa"/>
            <w:noWrap/>
            <w:tcMar>
              <w:right w:w="0" w:type="nil"/>
            </w:tcMar>
            <w:hideMark/>
          </w:tcPr>
          <w:p w14:paraId="3BCBA831" w14:textId="77777777" w:rsidR="006E51BF" w:rsidRPr="00EB06B5" w:rsidRDefault="006E51BF">
            <w:pPr>
              <w:pStyle w:val="ARfintabletextright8pt"/>
            </w:pPr>
          </w:p>
        </w:tc>
        <w:tc>
          <w:tcPr>
            <w:tcW w:w="1540" w:type="dxa"/>
            <w:noWrap/>
            <w:tcMar>
              <w:right w:w="0" w:type="nil"/>
            </w:tcMar>
            <w:hideMark/>
          </w:tcPr>
          <w:p w14:paraId="0F0031DA" w14:textId="77777777" w:rsidR="006E51BF" w:rsidRPr="00EB06B5" w:rsidRDefault="006E51BF">
            <w:pPr>
              <w:pStyle w:val="ARfintabletextright8pt"/>
            </w:pPr>
          </w:p>
        </w:tc>
        <w:tc>
          <w:tcPr>
            <w:tcW w:w="952" w:type="dxa"/>
            <w:noWrap/>
            <w:tcMar>
              <w:right w:w="0" w:type="nil"/>
            </w:tcMar>
            <w:hideMark/>
          </w:tcPr>
          <w:p w14:paraId="158527B4" w14:textId="77777777" w:rsidR="006E51BF" w:rsidRPr="00EB06B5" w:rsidRDefault="006E51BF">
            <w:pPr>
              <w:pStyle w:val="ARfintabletextright8pt"/>
            </w:pPr>
          </w:p>
        </w:tc>
        <w:tc>
          <w:tcPr>
            <w:tcW w:w="448" w:type="dxa"/>
            <w:noWrap/>
            <w:tcMar>
              <w:right w:w="0" w:type="nil"/>
            </w:tcMar>
            <w:vAlign w:val="center"/>
            <w:hideMark/>
          </w:tcPr>
          <w:p w14:paraId="3050DE03" w14:textId="77777777" w:rsidR="006E51BF" w:rsidRPr="00B41814" w:rsidRDefault="006E51BF">
            <w:pPr>
              <w:pStyle w:val="ARfintabletextright8pt"/>
              <w:rPr>
                <w:vertAlign w:val="superscript"/>
              </w:rPr>
            </w:pPr>
          </w:p>
        </w:tc>
      </w:tr>
      <w:tr w:rsidR="006E51BF" w:rsidRPr="00EB06B5" w14:paraId="3CE43309" w14:textId="77777777" w:rsidTr="00457FAF">
        <w:trPr>
          <w:cnfStyle w:val="000000100000" w:firstRow="0" w:lastRow="0" w:firstColumn="0" w:lastColumn="0" w:oddVBand="0" w:evenVBand="0" w:oddHBand="1" w:evenHBand="0" w:firstRowFirstColumn="0" w:firstRowLastColumn="0" w:lastRowFirstColumn="0" w:lastRowLastColumn="0"/>
          <w:trHeight w:val="20"/>
        </w:trPr>
        <w:tc>
          <w:tcPr>
            <w:tcW w:w="3915" w:type="dxa"/>
            <w:noWrap/>
            <w:hideMark/>
          </w:tcPr>
          <w:p w14:paraId="2BDCDB37" w14:textId="77777777" w:rsidR="006E51BF" w:rsidRPr="00EB06B5" w:rsidRDefault="006E51BF">
            <w:pPr>
              <w:pStyle w:val="ARfintabletext8pt"/>
              <w:rPr>
                <w:lang w:eastAsia="en-AU"/>
              </w:rPr>
            </w:pPr>
            <w:r w:rsidRPr="00EB06B5">
              <w:rPr>
                <w:lang w:eastAsia="en-AU"/>
              </w:rPr>
              <w:t>Provision of outputs</w:t>
            </w:r>
          </w:p>
        </w:tc>
        <w:tc>
          <w:tcPr>
            <w:tcW w:w="1284" w:type="dxa"/>
            <w:shd w:val="clear" w:color="auto" w:fill="E7E6E6" w:themeFill="background2"/>
            <w:tcMar>
              <w:right w:w="0" w:type="nil"/>
            </w:tcMar>
            <w:hideMark/>
          </w:tcPr>
          <w:p w14:paraId="52D29390" w14:textId="77777777" w:rsidR="006E51BF" w:rsidRPr="00EB06B5" w:rsidRDefault="006E51BF">
            <w:pPr>
              <w:pStyle w:val="ARfintabletextright8pt"/>
            </w:pPr>
            <w:r w:rsidRPr="00EB06B5">
              <w:t>4,507.8</w:t>
            </w:r>
          </w:p>
        </w:tc>
        <w:tc>
          <w:tcPr>
            <w:tcW w:w="1284" w:type="dxa"/>
            <w:shd w:val="clear" w:color="auto" w:fill="E7E6E6" w:themeFill="background2"/>
            <w:tcMar>
              <w:right w:w="0" w:type="nil"/>
            </w:tcMar>
            <w:hideMark/>
          </w:tcPr>
          <w:p w14:paraId="7373D932" w14:textId="77777777" w:rsidR="006E51BF" w:rsidRPr="00EB06B5" w:rsidRDefault="006E51BF">
            <w:pPr>
              <w:pStyle w:val="ARfintabletextright8pt"/>
            </w:pPr>
            <w:r w:rsidRPr="00EB06B5">
              <w:t>389.5</w:t>
            </w:r>
          </w:p>
        </w:tc>
        <w:tc>
          <w:tcPr>
            <w:tcW w:w="1219" w:type="dxa"/>
            <w:tcMar>
              <w:right w:w="0" w:type="nil"/>
            </w:tcMar>
            <w:hideMark/>
          </w:tcPr>
          <w:p w14:paraId="3E6043DB" w14:textId="77777777" w:rsidR="006E51BF" w:rsidRPr="00EB06B5" w:rsidRDefault="006E51BF">
            <w:pPr>
              <w:pStyle w:val="ARfintabletextright8pt"/>
            </w:pPr>
            <w:r w:rsidRPr="00EB06B5">
              <w:t>1,052.7</w:t>
            </w:r>
          </w:p>
        </w:tc>
        <w:tc>
          <w:tcPr>
            <w:tcW w:w="1219" w:type="dxa"/>
            <w:tcMar>
              <w:right w:w="0" w:type="nil"/>
            </w:tcMar>
            <w:hideMark/>
          </w:tcPr>
          <w:p w14:paraId="0E180998" w14:textId="77777777" w:rsidR="006E51BF" w:rsidRPr="00EB06B5" w:rsidRDefault="006E51BF">
            <w:pPr>
              <w:pStyle w:val="ARfintabletextright8pt"/>
            </w:pPr>
            <w:r w:rsidRPr="00EB06B5">
              <w:t>(26.2)</w:t>
            </w:r>
          </w:p>
        </w:tc>
        <w:tc>
          <w:tcPr>
            <w:tcW w:w="1220" w:type="dxa"/>
            <w:tcMar>
              <w:right w:w="0" w:type="nil"/>
            </w:tcMar>
            <w:hideMark/>
          </w:tcPr>
          <w:p w14:paraId="4B34C850" w14:textId="77777777" w:rsidR="006E51BF" w:rsidRPr="00EB06B5" w:rsidRDefault="006E51BF">
            <w:pPr>
              <w:pStyle w:val="ARfintabletextright8pt"/>
            </w:pPr>
            <w:r w:rsidRPr="00EB06B5">
              <w:t>30.1</w:t>
            </w:r>
          </w:p>
        </w:tc>
        <w:tc>
          <w:tcPr>
            <w:tcW w:w="1479" w:type="dxa"/>
            <w:shd w:val="clear" w:color="auto" w:fill="E7E6E6" w:themeFill="background2"/>
            <w:tcMar>
              <w:right w:w="0" w:type="nil"/>
            </w:tcMar>
            <w:hideMark/>
          </w:tcPr>
          <w:p w14:paraId="42F57277" w14:textId="77777777" w:rsidR="006E51BF" w:rsidRPr="00EB06B5" w:rsidRDefault="006E51BF">
            <w:pPr>
              <w:pStyle w:val="ARfintabletextright8pt"/>
            </w:pPr>
            <w:r w:rsidRPr="00EB06B5">
              <w:t>5,954.0</w:t>
            </w:r>
          </w:p>
        </w:tc>
        <w:tc>
          <w:tcPr>
            <w:tcW w:w="1540" w:type="dxa"/>
            <w:tcMar>
              <w:right w:w="0" w:type="nil"/>
            </w:tcMar>
            <w:hideMark/>
          </w:tcPr>
          <w:p w14:paraId="5D350B0E" w14:textId="77777777" w:rsidR="006E51BF" w:rsidRPr="00EB06B5" w:rsidRDefault="006E51BF">
            <w:pPr>
              <w:pStyle w:val="ARfintabletextright8pt"/>
            </w:pPr>
            <w:r w:rsidRPr="00EB06B5">
              <w:t>5,902.2</w:t>
            </w:r>
          </w:p>
        </w:tc>
        <w:tc>
          <w:tcPr>
            <w:tcW w:w="952" w:type="dxa"/>
            <w:shd w:val="clear" w:color="auto" w:fill="E7E6E6" w:themeFill="background2"/>
            <w:tcMar>
              <w:right w:w="0" w:type="nil"/>
            </w:tcMar>
            <w:hideMark/>
          </w:tcPr>
          <w:p w14:paraId="56F61165" w14:textId="77777777" w:rsidR="006E51BF" w:rsidRPr="00EB06B5" w:rsidRDefault="006E51BF">
            <w:pPr>
              <w:pStyle w:val="ARfintabletextright8pt"/>
            </w:pPr>
            <w:r w:rsidRPr="00EB06B5">
              <w:t>51.8</w:t>
            </w:r>
          </w:p>
        </w:tc>
        <w:tc>
          <w:tcPr>
            <w:tcW w:w="448" w:type="dxa"/>
            <w:tcMar>
              <w:right w:w="0" w:type="nil"/>
            </w:tcMar>
            <w:vAlign w:val="center"/>
            <w:hideMark/>
          </w:tcPr>
          <w:p w14:paraId="39062C74" w14:textId="77777777" w:rsidR="006E51BF" w:rsidRPr="00B41814" w:rsidRDefault="006E51BF">
            <w:pPr>
              <w:pStyle w:val="ARfintabletextright8pt"/>
              <w:rPr>
                <w:vertAlign w:val="superscript"/>
              </w:rPr>
            </w:pPr>
            <w:r w:rsidRPr="00B41814">
              <w:rPr>
                <w:vertAlign w:val="superscript"/>
              </w:rPr>
              <w:t>(ii)</w:t>
            </w:r>
          </w:p>
        </w:tc>
      </w:tr>
      <w:tr w:rsidR="006E51BF" w:rsidRPr="00EB06B5" w14:paraId="7D263C0E" w14:textId="77777777" w:rsidTr="00457FAF">
        <w:trPr>
          <w:cnfStyle w:val="000000010000" w:firstRow="0" w:lastRow="0" w:firstColumn="0" w:lastColumn="0" w:oddVBand="0" w:evenVBand="0" w:oddHBand="0" w:evenHBand="1" w:firstRowFirstColumn="0" w:firstRowLastColumn="0" w:lastRowFirstColumn="0" w:lastRowLastColumn="0"/>
          <w:trHeight w:val="20"/>
        </w:trPr>
        <w:tc>
          <w:tcPr>
            <w:tcW w:w="3915" w:type="dxa"/>
            <w:noWrap/>
            <w:hideMark/>
          </w:tcPr>
          <w:p w14:paraId="1986B265" w14:textId="77777777" w:rsidR="006E51BF" w:rsidRPr="00EB06B5" w:rsidRDefault="006E51BF">
            <w:pPr>
              <w:pStyle w:val="ARfintabletext8pt"/>
              <w:rPr>
                <w:lang w:eastAsia="en-AU"/>
              </w:rPr>
            </w:pPr>
            <w:r w:rsidRPr="00EB06B5">
              <w:rPr>
                <w:lang w:eastAsia="en-AU"/>
              </w:rPr>
              <w:t>Addition to net assets</w:t>
            </w:r>
          </w:p>
        </w:tc>
        <w:tc>
          <w:tcPr>
            <w:tcW w:w="1284" w:type="dxa"/>
            <w:shd w:val="clear" w:color="auto" w:fill="E7E6E6" w:themeFill="background2"/>
            <w:tcMar>
              <w:right w:w="0" w:type="nil"/>
            </w:tcMar>
            <w:hideMark/>
          </w:tcPr>
          <w:p w14:paraId="5F76832A" w14:textId="77777777" w:rsidR="006E51BF" w:rsidRPr="00EB06B5" w:rsidRDefault="006E51BF">
            <w:pPr>
              <w:pStyle w:val="ARfintabletextright8pt"/>
            </w:pPr>
            <w:r w:rsidRPr="00EB06B5">
              <w:t>597.3</w:t>
            </w:r>
          </w:p>
        </w:tc>
        <w:tc>
          <w:tcPr>
            <w:tcW w:w="1284" w:type="dxa"/>
            <w:shd w:val="clear" w:color="auto" w:fill="E7E6E6" w:themeFill="background2"/>
            <w:tcMar>
              <w:right w:w="0" w:type="nil"/>
            </w:tcMar>
            <w:hideMark/>
          </w:tcPr>
          <w:p w14:paraId="6092BE1E" w14:textId="77777777" w:rsidR="006E51BF" w:rsidRPr="00EB06B5" w:rsidRDefault="006E51BF">
            <w:pPr>
              <w:pStyle w:val="ARfintabletextright8pt"/>
            </w:pPr>
            <w:r w:rsidRPr="00EB06B5">
              <w:t>9.1</w:t>
            </w:r>
          </w:p>
        </w:tc>
        <w:tc>
          <w:tcPr>
            <w:tcW w:w="1219" w:type="dxa"/>
            <w:tcMar>
              <w:right w:w="0" w:type="nil"/>
            </w:tcMar>
            <w:hideMark/>
          </w:tcPr>
          <w:p w14:paraId="78947942" w14:textId="77777777" w:rsidR="006E51BF" w:rsidRPr="00EB06B5" w:rsidRDefault="006E51BF">
            <w:pPr>
              <w:pStyle w:val="ARfintabletextright8pt"/>
            </w:pPr>
            <w:r w:rsidRPr="00EB06B5">
              <w:t>9.0</w:t>
            </w:r>
          </w:p>
        </w:tc>
        <w:tc>
          <w:tcPr>
            <w:tcW w:w="1219" w:type="dxa"/>
            <w:tcMar>
              <w:right w:w="0" w:type="nil"/>
            </w:tcMar>
            <w:hideMark/>
          </w:tcPr>
          <w:p w14:paraId="72FCDC8C" w14:textId="77777777" w:rsidR="006E51BF" w:rsidRPr="00EB06B5" w:rsidRDefault="006E51BF">
            <w:pPr>
              <w:pStyle w:val="ARfintabletextright8pt"/>
            </w:pPr>
            <w:r w:rsidRPr="00EB06B5">
              <w:t>26.2</w:t>
            </w:r>
          </w:p>
        </w:tc>
        <w:tc>
          <w:tcPr>
            <w:tcW w:w="1220" w:type="dxa"/>
            <w:tcMar>
              <w:right w:w="0" w:type="nil"/>
            </w:tcMar>
            <w:hideMark/>
          </w:tcPr>
          <w:p w14:paraId="69A5E590" w14:textId="77777777" w:rsidR="006E51BF" w:rsidRPr="00EB06B5" w:rsidRDefault="006E51BF">
            <w:pPr>
              <w:pStyle w:val="ARfintabletextright8pt"/>
            </w:pPr>
            <w:r w:rsidRPr="00EB06B5">
              <w:t>7.9</w:t>
            </w:r>
          </w:p>
        </w:tc>
        <w:tc>
          <w:tcPr>
            <w:tcW w:w="1479" w:type="dxa"/>
            <w:shd w:val="clear" w:color="auto" w:fill="E7E6E6" w:themeFill="background2"/>
            <w:tcMar>
              <w:right w:w="0" w:type="nil"/>
            </w:tcMar>
            <w:hideMark/>
          </w:tcPr>
          <w:p w14:paraId="1C64A526" w14:textId="77777777" w:rsidR="006E51BF" w:rsidRPr="00EB06B5" w:rsidRDefault="006E51BF">
            <w:pPr>
              <w:pStyle w:val="ARfintabletextright8pt"/>
            </w:pPr>
            <w:r w:rsidRPr="00EB06B5">
              <w:t>649.5</w:t>
            </w:r>
          </w:p>
        </w:tc>
        <w:tc>
          <w:tcPr>
            <w:tcW w:w="1540" w:type="dxa"/>
            <w:tcMar>
              <w:right w:w="0" w:type="nil"/>
            </w:tcMar>
            <w:hideMark/>
          </w:tcPr>
          <w:p w14:paraId="5C20627E" w14:textId="77777777" w:rsidR="006E51BF" w:rsidRPr="00EB06B5" w:rsidRDefault="006E51BF">
            <w:pPr>
              <w:pStyle w:val="ARfintabletextright8pt"/>
            </w:pPr>
            <w:r w:rsidRPr="00EB06B5">
              <w:t>493.9</w:t>
            </w:r>
          </w:p>
        </w:tc>
        <w:tc>
          <w:tcPr>
            <w:tcW w:w="952" w:type="dxa"/>
            <w:shd w:val="clear" w:color="auto" w:fill="E7E6E6" w:themeFill="background2"/>
            <w:tcMar>
              <w:right w:w="0" w:type="nil"/>
            </w:tcMar>
            <w:hideMark/>
          </w:tcPr>
          <w:p w14:paraId="616F64BF" w14:textId="77777777" w:rsidR="006E51BF" w:rsidRPr="00EB06B5" w:rsidRDefault="006E51BF">
            <w:pPr>
              <w:pStyle w:val="ARfintabletextright8pt"/>
            </w:pPr>
            <w:r w:rsidRPr="00EB06B5">
              <w:t>155.6</w:t>
            </w:r>
          </w:p>
        </w:tc>
        <w:tc>
          <w:tcPr>
            <w:tcW w:w="448" w:type="dxa"/>
            <w:tcMar>
              <w:right w:w="0" w:type="nil"/>
            </w:tcMar>
            <w:vAlign w:val="center"/>
            <w:hideMark/>
          </w:tcPr>
          <w:p w14:paraId="0978DF96" w14:textId="77777777" w:rsidR="006E51BF" w:rsidRPr="00B41814" w:rsidRDefault="006E51BF">
            <w:pPr>
              <w:pStyle w:val="ARfintabletextright8pt"/>
              <w:rPr>
                <w:vertAlign w:val="superscript"/>
              </w:rPr>
            </w:pPr>
            <w:r w:rsidRPr="00B41814">
              <w:rPr>
                <w:vertAlign w:val="superscript"/>
              </w:rPr>
              <w:t>(iii)</w:t>
            </w:r>
          </w:p>
        </w:tc>
      </w:tr>
      <w:tr w:rsidR="006E51BF" w:rsidRPr="00EB06B5" w14:paraId="45940139" w14:textId="77777777" w:rsidTr="00457FAF">
        <w:trPr>
          <w:cnfStyle w:val="000000100000" w:firstRow="0" w:lastRow="0" w:firstColumn="0" w:lastColumn="0" w:oddVBand="0" w:evenVBand="0" w:oddHBand="1" w:evenHBand="0" w:firstRowFirstColumn="0" w:firstRowLastColumn="0" w:lastRowFirstColumn="0" w:lastRowLastColumn="0"/>
          <w:trHeight w:val="20"/>
        </w:trPr>
        <w:tc>
          <w:tcPr>
            <w:tcW w:w="3915" w:type="dxa"/>
            <w:tcBorders>
              <w:bottom w:val="single" w:sz="4" w:space="0" w:color="BFBFBF" w:themeColor="accent2"/>
            </w:tcBorders>
            <w:noWrap/>
            <w:hideMark/>
          </w:tcPr>
          <w:p w14:paraId="3EDAD8A0" w14:textId="77777777" w:rsidR="006E51BF" w:rsidRPr="00EB06B5" w:rsidRDefault="006E51BF">
            <w:pPr>
              <w:pStyle w:val="ARfintabletextbold8pt"/>
            </w:pPr>
            <w:r w:rsidRPr="00EB06B5">
              <w:t>Administered</w:t>
            </w:r>
          </w:p>
        </w:tc>
        <w:tc>
          <w:tcPr>
            <w:tcW w:w="1284" w:type="dxa"/>
            <w:tcBorders>
              <w:bottom w:val="single" w:sz="4" w:space="0" w:color="BFBFBF" w:themeColor="accent2"/>
            </w:tcBorders>
            <w:tcMar>
              <w:right w:w="0" w:type="nil"/>
            </w:tcMar>
            <w:hideMark/>
          </w:tcPr>
          <w:p w14:paraId="6CB54F8F" w14:textId="77777777" w:rsidR="006E51BF" w:rsidRPr="00EB06B5" w:rsidRDefault="006E51BF">
            <w:pPr>
              <w:pStyle w:val="ARfintabletextright8pt"/>
            </w:pPr>
          </w:p>
        </w:tc>
        <w:tc>
          <w:tcPr>
            <w:tcW w:w="1284" w:type="dxa"/>
            <w:tcBorders>
              <w:bottom w:val="single" w:sz="4" w:space="0" w:color="BFBFBF" w:themeColor="accent2"/>
            </w:tcBorders>
            <w:tcMar>
              <w:right w:w="0" w:type="nil"/>
            </w:tcMar>
            <w:hideMark/>
          </w:tcPr>
          <w:p w14:paraId="02BA0E33" w14:textId="77777777" w:rsidR="006E51BF" w:rsidRPr="00EB06B5" w:rsidRDefault="006E51BF">
            <w:pPr>
              <w:pStyle w:val="ARfintabletextright8pt"/>
            </w:pPr>
          </w:p>
        </w:tc>
        <w:tc>
          <w:tcPr>
            <w:tcW w:w="1219" w:type="dxa"/>
            <w:tcBorders>
              <w:bottom w:val="single" w:sz="4" w:space="0" w:color="BFBFBF" w:themeColor="accent2"/>
            </w:tcBorders>
            <w:tcMar>
              <w:right w:w="0" w:type="nil"/>
            </w:tcMar>
            <w:hideMark/>
          </w:tcPr>
          <w:p w14:paraId="36BF67B6" w14:textId="77777777" w:rsidR="006E51BF" w:rsidRPr="00EB06B5" w:rsidRDefault="006E51BF">
            <w:pPr>
              <w:pStyle w:val="ARfintabletextright8pt"/>
            </w:pPr>
          </w:p>
        </w:tc>
        <w:tc>
          <w:tcPr>
            <w:tcW w:w="1219" w:type="dxa"/>
            <w:tcBorders>
              <w:bottom w:val="single" w:sz="4" w:space="0" w:color="BFBFBF" w:themeColor="accent2"/>
            </w:tcBorders>
            <w:tcMar>
              <w:right w:w="0" w:type="nil"/>
            </w:tcMar>
            <w:hideMark/>
          </w:tcPr>
          <w:p w14:paraId="67FA78E6" w14:textId="77777777" w:rsidR="006E51BF" w:rsidRPr="00EB06B5" w:rsidRDefault="006E51BF">
            <w:pPr>
              <w:pStyle w:val="ARfintabletextright8pt"/>
            </w:pPr>
          </w:p>
        </w:tc>
        <w:tc>
          <w:tcPr>
            <w:tcW w:w="1220" w:type="dxa"/>
            <w:tcBorders>
              <w:bottom w:val="single" w:sz="4" w:space="0" w:color="BFBFBF" w:themeColor="accent2"/>
            </w:tcBorders>
            <w:tcMar>
              <w:right w:w="0" w:type="nil"/>
            </w:tcMar>
            <w:hideMark/>
          </w:tcPr>
          <w:p w14:paraId="0EFD00D9" w14:textId="77777777" w:rsidR="006E51BF" w:rsidRPr="00EB06B5" w:rsidRDefault="006E51BF">
            <w:pPr>
              <w:pStyle w:val="ARfintabletextright8pt"/>
            </w:pPr>
          </w:p>
        </w:tc>
        <w:tc>
          <w:tcPr>
            <w:tcW w:w="1479" w:type="dxa"/>
            <w:tcBorders>
              <w:bottom w:val="single" w:sz="4" w:space="0" w:color="BFBFBF" w:themeColor="accent2"/>
            </w:tcBorders>
            <w:tcMar>
              <w:right w:w="0" w:type="nil"/>
            </w:tcMar>
            <w:hideMark/>
          </w:tcPr>
          <w:p w14:paraId="1B1650E3" w14:textId="77777777" w:rsidR="006E51BF" w:rsidRPr="00EB06B5" w:rsidRDefault="006E51BF">
            <w:pPr>
              <w:pStyle w:val="ARfintabletextright8pt"/>
            </w:pPr>
          </w:p>
        </w:tc>
        <w:tc>
          <w:tcPr>
            <w:tcW w:w="1540" w:type="dxa"/>
            <w:tcBorders>
              <w:bottom w:val="single" w:sz="4" w:space="0" w:color="BFBFBF" w:themeColor="accent2"/>
            </w:tcBorders>
            <w:tcMar>
              <w:right w:w="0" w:type="nil"/>
            </w:tcMar>
            <w:hideMark/>
          </w:tcPr>
          <w:p w14:paraId="4229D5F4" w14:textId="77777777" w:rsidR="006E51BF" w:rsidRPr="00EB06B5" w:rsidRDefault="006E51BF">
            <w:pPr>
              <w:pStyle w:val="ARfintabletextright8pt"/>
            </w:pPr>
          </w:p>
        </w:tc>
        <w:tc>
          <w:tcPr>
            <w:tcW w:w="952" w:type="dxa"/>
            <w:tcBorders>
              <w:bottom w:val="single" w:sz="4" w:space="0" w:color="BFBFBF" w:themeColor="accent2"/>
            </w:tcBorders>
            <w:tcMar>
              <w:right w:w="0" w:type="nil"/>
            </w:tcMar>
            <w:hideMark/>
          </w:tcPr>
          <w:p w14:paraId="5A01C20A" w14:textId="77777777" w:rsidR="006E51BF" w:rsidRPr="00EB06B5" w:rsidRDefault="006E51BF">
            <w:pPr>
              <w:pStyle w:val="ARfintabletextright8pt"/>
            </w:pPr>
          </w:p>
        </w:tc>
        <w:tc>
          <w:tcPr>
            <w:tcW w:w="448" w:type="dxa"/>
            <w:tcBorders>
              <w:bottom w:val="single" w:sz="4" w:space="0" w:color="BFBFBF" w:themeColor="accent2"/>
            </w:tcBorders>
            <w:tcMar>
              <w:right w:w="0" w:type="nil"/>
            </w:tcMar>
            <w:vAlign w:val="center"/>
            <w:hideMark/>
          </w:tcPr>
          <w:p w14:paraId="107DCFA7" w14:textId="77777777" w:rsidR="006E51BF" w:rsidRPr="00B41814" w:rsidRDefault="006E51BF">
            <w:pPr>
              <w:pStyle w:val="ARfintabletextright8pt"/>
              <w:rPr>
                <w:vertAlign w:val="superscript"/>
              </w:rPr>
            </w:pPr>
          </w:p>
        </w:tc>
      </w:tr>
      <w:tr w:rsidR="006E51BF" w:rsidRPr="00EB06B5" w14:paraId="23576978" w14:textId="77777777" w:rsidTr="00457FAF">
        <w:trPr>
          <w:cnfStyle w:val="000000010000" w:firstRow="0" w:lastRow="0" w:firstColumn="0" w:lastColumn="0" w:oddVBand="0" w:evenVBand="0" w:oddHBand="0" w:evenHBand="1" w:firstRowFirstColumn="0" w:firstRowLastColumn="0" w:lastRowFirstColumn="0" w:lastRowLastColumn="0"/>
          <w:trHeight w:val="20"/>
        </w:trPr>
        <w:tc>
          <w:tcPr>
            <w:tcW w:w="3915" w:type="dxa"/>
            <w:tcBorders>
              <w:top w:val="single" w:sz="4" w:space="0" w:color="BFBFBF" w:themeColor="accent2"/>
              <w:bottom w:val="single" w:sz="4" w:space="0" w:color="000000" w:themeColor="text1"/>
            </w:tcBorders>
            <w:noWrap/>
            <w:hideMark/>
          </w:tcPr>
          <w:p w14:paraId="59FFD374" w14:textId="77777777" w:rsidR="006E51BF" w:rsidRPr="008F7A38" w:rsidRDefault="006E51BF">
            <w:pPr>
              <w:pStyle w:val="ARfintabletext8pt"/>
              <w:rPr>
                <w:lang w:eastAsia="en-AU"/>
              </w:rPr>
            </w:pPr>
            <w:r w:rsidRPr="00EB06B5">
              <w:rPr>
                <w:lang w:eastAsia="en-AU"/>
              </w:rPr>
              <w:t xml:space="preserve">Payments made on behalf of the State </w:t>
            </w:r>
          </w:p>
        </w:tc>
        <w:tc>
          <w:tcPr>
            <w:tcW w:w="1284" w:type="dxa"/>
            <w:tcBorders>
              <w:top w:val="single" w:sz="4" w:space="0" w:color="BFBFBF" w:themeColor="accent2"/>
              <w:bottom w:val="single" w:sz="4" w:space="0" w:color="000000" w:themeColor="text1"/>
            </w:tcBorders>
            <w:shd w:val="clear" w:color="auto" w:fill="E7E6E6" w:themeFill="background2"/>
            <w:tcMar>
              <w:right w:w="0" w:type="nil"/>
            </w:tcMar>
            <w:hideMark/>
          </w:tcPr>
          <w:p w14:paraId="465FEA9F" w14:textId="77777777" w:rsidR="006E51BF" w:rsidRPr="00EB06B5" w:rsidRDefault="006E51BF">
            <w:pPr>
              <w:pStyle w:val="ARfintabletextright8pt"/>
            </w:pPr>
            <w:r w:rsidRPr="00EB06B5">
              <w:t>3,118.9</w:t>
            </w:r>
          </w:p>
        </w:tc>
        <w:tc>
          <w:tcPr>
            <w:tcW w:w="1284" w:type="dxa"/>
            <w:tcBorders>
              <w:top w:val="single" w:sz="4" w:space="0" w:color="BFBFBF" w:themeColor="accent2"/>
              <w:bottom w:val="single" w:sz="4" w:space="0" w:color="000000" w:themeColor="text1"/>
            </w:tcBorders>
            <w:shd w:val="clear" w:color="auto" w:fill="E7E6E6" w:themeFill="background2"/>
            <w:tcMar>
              <w:right w:w="0" w:type="nil"/>
            </w:tcMar>
            <w:hideMark/>
          </w:tcPr>
          <w:p w14:paraId="68B8BBA9" w14:textId="77777777" w:rsidR="006E51BF" w:rsidRPr="00EB06B5" w:rsidRDefault="006E51BF">
            <w:pPr>
              <w:pStyle w:val="ARfintabletextright8pt"/>
            </w:pPr>
            <w:r>
              <w:t>–</w:t>
            </w:r>
          </w:p>
        </w:tc>
        <w:tc>
          <w:tcPr>
            <w:tcW w:w="1219" w:type="dxa"/>
            <w:tcBorders>
              <w:top w:val="single" w:sz="4" w:space="0" w:color="BFBFBF" w:themeColor="accent2"/>
              <w:bottom w:val="single" w:sz="4" w:space="0" w:color="000000" w:themeColor="text1"/>
            </w:tcBorders>
            <w:tcMar>
              <w:right w:w="0" w:type="nil"/>
            </w:tcMar>
            <w:hideMark/>
          </w:tcPr>
          <w:p w14:paraId="120443CC" w14:textId="77777777" w:rsidR="006E51BF" w:rsidRPr="00EB06B5" w:rsidRDefault="006E51BF">
            <w:pPr>
              <w:pStyle w:val="ARfintabletextright8pt"/>
            </w:pPr>
            <w:r>
              <w:t>–</w:t>
            </w:r>
          </w:p>
        </w:tc>
        <w:tc>
          <w:tcPr>
            <w:tcW w:w="1219" w:type="dxa"/>
            <w:tcBorders>
              <w:top w:val="single" w:sz="4" w:space="0" w:color="BFBFBF" w:themeColor="accent2"/>
              <w:bottom w:val="single" w:sz="4" w:space="0" w:color="000000" w:themeColor="text1"/>
            </w:tcBorders>
            <w:tcMar>
              <w:right w:w="0" w:type="nil"/>
            </w:tcMar>
            <w:hideMark/>
          </w:tcPr>
          <w:p w14:paraId="48A9B72F" w14:textId="77777777" w:rsidR="006E51BF" w:rsidRPr="00EB06B5" w:rsidRDefault="006E51BF">
            <w:pPr>
              <w:pStyle w:val="ARfintabletextright8pt"/>
            </w:pPr>
            <w:r>
              <w:t>–</w:t>
            </w:r>
          </w:p>
        </w:tc>
        <w:tc>
          <w:tcPr>
            <w:tcW w:w="1220" w:type="dxa"/>
            <w:tcBorders>
              <w:top w:val="single" w:sz="4" w:space="0" w:color="BFBFBF" w:themeColor="accent2"/>
              <w:bottom w:val="single" w:sz="4" w:space="0" w:color="000000" w:themeColor="text1"/>
            </w:tcBorders>
            <w:tcMar>
              <w:right w:w="0" w:type="nil"/>
            </w:tcMar>
            <w:hideMark/>
          </w:tcPr>
          <w:p w14:paraId="31E56A41" w14:textId="77777777" w:rsidR="006E51BF" w:rsidRPr="00EB06B5" w:rsidRDefault="006E51BF">
            <w:pPr>
              <w:pStyle w:val="ARfintabletextright8pt"/>
            </w:pPr>
            <w:r>
              <w:t>–</w:t>
            </w:r>
          </w:p>
        </w:tc>
        <w:tc>
          <w:tcPr>
            <w:tcW w:w="1479" w:type="dxa"/>
            <w:tcBorders>
              <w:top w:val="single" w:sz="4" w:space="0" w:color="BFBFBF" w:themeColor="accent2"/>
              <w:bottom w:val="single" w:sz="4" w:space="0" w:color="000000" w:themeColor="text1"/>
            </w:tcBorders>
            <w:shd w:val="clear" w:color="auto" w:fill="E7E6E6" w:themeFill="background2"/>
            <w:tcMar>
              <w:right w:w="0" w:type="nil"/>
            </w:tcMar>
            <w:hideMark/>
          </w:tcPr>
          <w:p w14:paraId="492A13D5" w14:textId="77777777" w:rsidR="006E51BF" w:rsidRPr="00EB06B5" w:rsidRDefault="006E51BF">
            <w:pPr>
              <w:pStyle w:val="ARfintabletextright8pt"/>
            </w:pPr>
            <w:r w:rsidRPr="00EB06B5">
              <w:t>3,118.9</w:t>
            </w:r>
          </w:p>
        </w:tc>
        <w:tc>
          <w:tcPr>
            <w:tcW w:w="1540" w:type="dxa"/>
            <w:tcBorders>
              <w:top w:val="single" w:sz="4" w:space="0" w:color="BFBFBF" w:themeColor="accent2"/>
              <w:bottom w:val="single" w:sz="4" w:space="0" w:color="000000" w:themeColor="text1"/>
            </w:tcBorders>
            <w:tcMar>
              <w:right w:w="0" w:type="nil"/>
            </w:tcMar>
            <w:hideMark/>
          </w:tcPr>
          <w:p w14:paraId="6E47B282" w14:textId="77777777" w:rsidR="006E51BF" w:rsidRPr="00EB06B5" w:rsidRDefault="006E51BF">
            <w:pPr>
              <w:pStyle w:val="ARfintabletextright8pt"/>
            </w:pPr>
            <w:r w:rsidRPr="00EB06B5">
              <w:t>3,082.5</w:t>
            </w:r>
          </w:p>
        </w:tc>
        <w:tc>
          <w:tcPr>
            <w:tcW w:w="952" w:type="dxa"/>
            <w:tcBorders>
              <w:top w:val="single" w:sz="4" w:space="0" w:color="BFBFBF" w:themeColor="accent2"/>
              <w:bottom w:val="single" w:sz="4" w:space="0" w:color="000000" w:themeColor="text1"/>
            </w:tcBorders>
            <w:shd w:val="clear" w:color="auto" w:fill="E7E6E6" w:themeFill="background2"/>
            <w:tcMar>
              <w:right w:w="0" w:type="nil"/>
            </w:tcMar>
            <w:hideMark/>
          </w:tcPr>
          <w:p w14:paraId="4F982727" w14:textId="77777777" w:rsidR="006E51BF" w:rsidRPr="00EB06B5" w:rsidRDefault="006E51BF">
            <w:pPr>
              <w:pStyle w:val="ARfintabletextright8pt"/>
            </w:pPr>
            <w:r w:rsidRPr="00EB06B5">
              <w:t>36.4</w:t>
            </w:r>
          </w:p>
        </w:tc>
        <w:tc>
          <w:tcPr>
            <w:tcW w:w="448" w:type="dxa"/>
            <w:tcBorders>
              <w:top w:val="single" w:sz="4" w:space="0" w:color="BFBFBF" w:themeColor="accent2"/>
              <w:bottom w:val="single" w:sz="4" w:space="0" w:color="000000" w:themeColor="text1"/>
            </w:tcBorders>
            <w:tcMar>
              <w:right w:w="0" w:type="nil"/>
            </w:tcMar>
            <w:vAlign w:val="center"/>
            <w:hideMark/>
          </w:tcPr>
          <w:p w14:paraId="1B22DBD0" w14:textId="77777777" w:rsidR="006E51BF" w:rsidRPr="00B41814" w:rsidRDefault="006E51BF">
            <w:pPr>
              <w:pStyle w:val="ARfintabletextright8pt"/>
              <w:rPr>
                <w:vertAlign w:val="superscript"/>
              </w:rPr>
            </w:pPr>
          </w:p>
        </w:tc>
      </w:tr>
      <w:tr w:rsidR="006E51BF" w:rsidRPr="00EB06B5" w14:paraId="7122F289" w14:textId="77777777" w:rsidTr="00457FAF">
        <w:trPr>
          <w:cnfStyle w:val="000000100000" w:firstRow="0" w:lastRow="0" w:firstColumn="0" w:lastColumn="0" w:oddVBand="0" w:evenVBand="0" w:oddHBand="1" w:evenHBand="0" w:firstRowFirstColumn="0" w:firstRowLastColumn="0" w:lastRowFirstColumn="0" w:lastRowLastColumn="0"/>
          <w:trHeight w:val="20"/>
        </w:trPr>
        <w:tc>
          <w:tcPr>
            <w:tcW w:w="3915" w:type="dxa"/>
            <w:tcBorders>
              <w:top w:val="single" w:sz="4" w:space="0" w:color="000000" w:themeColor="text1"/>
              <w:bottom w:val="single" w:sz="4" w:space="0" w:color="000000" w:themeColor="text1"/>
            </w:tcBorders>
            <w:noWrap/>
            <w:hideMark/>
          </w:tcPr>
          <w:p w14:paraId="6B75EF31" w14:textId="77777777" w:rsidR="006E51BF" w:rsidRPr="00EB06B5" w:rsidRDefault="006E51BF">
            <w:pPr>
              <w:pStyle w:val="ARfintabletextbold8pt"/>
            </w:pPr>
            <w:r w:rsidRPr="00EB06B5">
              <w:t>Total</w:t>
            </w:r>
          </w:p>
        </w:tc>
        <w:tc>
          <w:tcPr>
            <w:tcW w:w="1284" w:type="dxa"/>
            <w:tcBorders>
              <w:top w:val="single" w:sz="4" w:space="0" w:color="000000" w:themeColor="text1"/>
              <w:bottom w:val="single" w:sz="4" w:space="0" w:color="000000" w:themeColor="text1"/>
            </w:tcBorders>
            <w:shd w:val="clear" w:color="auto" w:fill="E7E6E6" w:themeFill="background2"/>
            <w:tcMar>
              <w:right w:w="0" w:type="nil"/>
            </w:tcMar>
            <w:hideMark/>
          </w:tcPr>
          <w:p w14:paraId="26661966" w14:textId="77777777" w:rsidR="006E51BF" w:rsidRPr="00EB06B5" w:rsidRDefault="006E51BF">
            <w:pPr>
              <w:pStyle w:val="ARfintabletextboldright8pt"/>
            </w:pPr>
            <w:r w:rsidRPr="00EB06B5">
              <w:t>8,224.0</w:t>
            </w:r>
          </w:p>
        </w:tc>
        <w:tc>
          <w:tcPr>
            <w:tcW w:w="1284" w:type="dxa"/>
            <w:tcBorders>
              <w:top w:val="single" w:sz="4" w:space="0" w:color="000000" w:themeColor="text1"/>
              <w:bottom w:val="single" w:sz="4" w:space="0" w:color="000000" w:themeColor="text1"/>
            </w:tcBorders>
            <w:shd w:val="clear" w:color="auto" w:fill="E7E6E6" w:themeFill="background2"/>
            <w:tcMar>
              <w:right w:w="0" w:type="nil"/>
            </w:tcMar>
            <w:hideMark/>
          </w:tcPr>
          <w:p w14:paraId="35E9156D" w14:textId="77777777" w:rsidR="006E51BF" w:rsidRPr="00EB06B5" w:rsidRDefault="006E51BF">
            <w:pPr>
              <w:pStyle w:val="ARfintabletextboldright8pt"/>
            </w:pPr>
            <w:r w:rsidRPr="00EB06B5">
              <w:t>398.6</w:t>
            </w:r>
          </w:p>
        </w:tc>
        <w:tc>
          <w:tcPr>
            <w:tcW w:w="1219" w:type="dxa"/>
            <w:tcBorders>
              <w:top w:val="single" w:sz="4" w:space="0" w:color="000000" w:themeColor="text1"/>
              <w:bottom w:val="single" w:sz="4" w:space="0" w:color="000000" w:themeColor="text1"/>
            </w:tcBorders>
            <w:tcMar>
              <w:right w:w="0" w:type="nil"/>
            </w:tcMar>
            <w:hideMark/>
          </w:tcPr>
          <w:p w14:paraId="49E7D95A" w14:textId="77777777" w:rsidR="006E51BF" w:rsidRPr="00EB06B5" w:rsidRDefault="006E51BF">
            <w:pPr>
              <w:pStyle w:val="ARfintabletextboldright8pt"/>
            </w:pPr>
            <w:r w:rsidRPr="00EB06B5">
              <w:t>1,061.7</w:t>
            </w:r>
          </w:p>
        </w:tc>
        <w:tc>
          <w:tcPr>
            <w:tcW w:w="1219" w:type="dxa"/>
            <w:tcBorders>
              <w:top w:val="single" w:sz="4" w:space="0" w:color="000000" w:themeColor="text1"/>
              <w:bottom w:val="single" w:sz="4" w:space="0" w:color="000000" w:themeColor="text1"/>
            </w:tcBorders>
            <w:tcMar>
              <w:right w:w="0" w:type="nil"/>
            </w:tcMar>
            <w:hideMark/>
          </w:tcPr>
          <w:p w14:paraId="5E8A3AF8" w14:textId="77777777" w:rsidR="006E51BF" w:rsidRPr="00EB06B5" w:rsidRDefault="006E51BF">
            <w:pPr>
              <w:pStyle w:val="ARfintabletextboldright8pt"/>
            </w:pPr>
            <w:r>
              <w:t>–</w:t>
            </w:r>
          </w:p>
        </w:tc>
        <w:tc>
          <w:tcPr>
            <w:tcW w:w="1220" w:type="dxa"/>
            <w:tcBorders>
              <w:top w:val="single" w:sz="4" w:space="0" w:color="000000" w:themeColor="text1"/>
              <w:bottom w:val="single" w:sz="4" w:space="0" w:color="000000" w:themeColor="text1"/>
            </w:tcBorders>
            <w:tcMar>
              <w:right w:w="0" w:type="nil"/>
            </w:tcMar>
            <w:hideMark/>
          </w:tcPr>
          <w:p w14:paraId="78051DCC" w14:textId="77777777" w:rsidR="006E51BF" w:rsidRPr="00EB06B5" w:rsidRDefault="006E51BF">
            <w:pPr>
              <w:pStyle w:val="ARfintabletextboldright8pt"/>
            </w:pPr>
            <w:r w:rsidRPr="00EB06B5">
              <w:t>38.0</w:t>
            </w:r>
          </w:p>
        </w:tc>
        <w:tc>
          <w:tcPr>
            <w:tcW w:w="1479" w:type="dxa"/>
            <w:tcBorders>
              <w:top w:val="single" w:sz="4" w:space="0" w:color="000000" w:themeColor="text1"/>
              <w:bottom w:val="single" w:sz="4" w:space="0" w:color="000000" w:themeColor="text1"/>
            </w:tcBorders>
            <w:shd w:val="clear" w:color="auto" w:fill="E7E6E6" w:themeFill="background2"/>
            <w:tcMar>
              <w:right w:w="0" w:type="nil"/>
            </w:tcMar>
            <w:hideMark/>
          </w:tcPr>
          <w:p w14:paraId="775515EA" w14:textId="77777777" w:rsidR="006E51BF" w:rsidRPr="00EB06B5" w:rsidRDefault="006E51BF">
            <w:pPr>
              <w:pStyle w:val="ARfintabletextboldright8pt"/>
            </w:pPr>
            <w:r w:rsidRPr="00EB06B5">
              <w:t>9,722.4</w:t>
            </w:r>
          </w:p>
        </w:tc>
        <w:tc>
          <w:tcPr>
            <w:tcW w:w="1540" w:type="dxa"/>
            <w:tcBorders>
              <w:top w:val="single" w:sz="4" w:space="0" w:color="000000" w:themeColor="text1"/>
              <w:bottom w:val="single" w:sz="4" w:space="0" w:color="000000" w:themeColor="text1"/>
            </w:tcBorders>
            <w:tcMar>
              <w:right w:w="0" w:type="nil"/>
            </w:tcMar>
            <w:hideMark/>
          </w:tcPr>
          <w:p w14:paraId="1636A720" w14:textId="77777777" w:rsidR="006E51BF" w:rsidRPr="00EB06B5" w:rsidRDefault="006E51BF">
            <w:pPr>
              <w:pStyle w:val="ARfintabletextboldright8pt"/>
            </w:pPr>
            <w:r w:rsidRPr="00EB06B5">
              <w:t>9,478.6</w:t>
            </w:r>
          </w:p>
        </w:tc>
        <w:tc>
          <w:tcPr>
            <w:tcW w:w="952" w:type="dxa"/>
            <w:tcBorders>
              <w:top w:val="single" w:sz="4" w:space="0" w:color="000000" w:themeColor="text1"/>
              <w:bottom w:val="single" w:sz="4" w:space="0" w:color="000000" w:themeColor="text1"/>
            </w:tcBorders>
            <w:shd w:val="clear" w:color="auto" w:fill="E7E6E6" w:themeFill="background2"/>
            <w:tcMar>
              <w:right w:w="0" w:type="nil"/>
            </w:tcMar>
            <w:hideMark/>
          </w:tcPr>
          <w:p w14:paraId="49B62681" w14:textId="77777777" w:rsidR="006E51BF" w:rsidRPr="00EB06B5" w:rsidRDefault="006E51BF">
            <w:pPr>
              <w:pStyle w:val="ARfintabletextboldright8pt"/>
            </w:pPr>
            <w:r w:rsidRPr="00EB06B5">
              <w:t>243.8</w:t>
            </w:r>
          </w:p>
        </w:tc>
        <w:tc>
          <w:tcPr>
            <w:tcW w:w="448" w:type="dxa"/>
            <w:tcBorders>
              <w:top w:val="single" w:sz="4" w:space="0" w:color="000000" w:themeColor="text1"/>
              <w:bottom w:val="single" w:sz="4" w:space="0" w:color="000000" w:themeColor="text1"/>
            </w:tcBorders>
            <w:tcMar>
              <w:right w:w="0" w:type="nil"/>
            </w:tcMar>
            <w:vAlign w:val="center"/>
            <w:hideMark/>
          </w:tcPr>
          <w:p w14:paraId="6BEFFF53" w14:textId="77777777" w:rsidR="006E51BF" w:rsidRPr="00B41814" w:rsidRDefault="006E51BF">
            <w:pPr>
              <w:pStyle w:val="ARfintabletextboldright8pt"/>
              <w:rPr>
                <w:vertAlign w:val="superscript"/>
              </w:rPr>
            </w:pPr>
          </w:p>
        </w:tc>
      </w:tr>
      <w:tr w:rsidR="006E51BF" w:rsidRPr="00EB06B5" w14:paraId="5D19F553" w14:textId="77777777" w:rsidTr="00457FAF">
        <w:trPr>
          <w:cnfStyle w:val="000000010000" w:firstRow="0" w:lastRow="0" w:firstColumn="0" w:lastColumn="0" w:oddVBand="0" w:evenVBand="0" w:oddHBand="0" w:evenHBand="1" w:firstRowFirstColumn="0" w:firstRowLastColumn="0" w:lastRowFirstColumn="0" w:lastRowLastColumn="0"/>
          <w:trHeight w:val="20"/>
        </w:trPr>
        <w:tc>
          <w:tcPr>
            <w:tcW w:w="3915" w:type="dxa"/>
            <w:tcBorders>
              <w:top w:val="single" w:sz="4" w:space="0" w:color="000000" w:themeColor="text1"/>
            </w:tcBorders>
            <w:noWrap/>
            <w:hideMark/>
          </w:tcPr>
          <w:p w14:paraId="64BF5473" w14:textId="77777777" w:rsidR="006E51BF" w:rsidRPr="00EB06B5" w:rsidRDefault="006E51BF">
            <w:pPr>
              <w:pStyle w:val="Arfintabletextboldcoloured8pt"/>
            </w:pPr>
            <w:r w:rsidRPr="00EB06B5">
              <w:t>2025</w:t>
            </w:r>
          </w:p>
        </w:tc>
        <w:tc>
          <w:tcPr>
            <w:tcW w:w="1284" w:type="dxa"/>
            <w:tcBorders>
              <w:top w:val="single" w:sz="4" w:space="0" w:color="000000" w:themeColor="text1"/>
            </w:tcBorders>
            <w:noWrap/>
            <w:tcMar>
              <w:right w:w="0" w:type="nil"/>
            </w:tcMar>
            <w:hideMark/>
          </w:tcPr>
          <w:p w14:paraId="1B17A229" w14:textId="77777777" w:rsidR="006E51BF" w:rsidRPr="009570E4" w:rsidRDefault="006E51BF">
            <w:pPr>
              <w:pStyle w:val="ARfintabletextright8pt"/>
            </w:pPr>
          </w:p>
        </w:tc>
        <w:tc>
          <w:tcPr>
            <w:tcW w:w="1284" w:type="dxa"/>
            <w:tcBorders>
              <w:top w:val="single" w:sz="4" w:space="0" w:color="000000" w:themeColor="text1"/>
            </w:tcBorders>
            <w:noWrap/>
            <w:tcMar>
              <w:right w:w="0" w:type="nil"/>
            </w:tcMar>
            <w:hideMark/>
          </w:tcPr>
          <w:p w14:paraId="74B4C553" w14:textId="77777777" w:rsidR="006E51BF" w:rsidRPr="009570E4" w:rsidRDefault="006E51BF">
            <w:pPr>
              <w:pStyle w:val="ARfintabletextright8pt"/>
            </w:pPr>
          </w:p>
        </w:tc>
        <w:tc>
          <w:tcPr>
            <w:tcW w:w="1219" w:type="dxa"/>
            <w:tcBorders>
              <w:top w:val="single" w:sz="4" w:space="0" w:color="000000" w:themeColor="text1"/>
            </w:tcBorders>
            <w:noWrap/>
            <w:tcMar>
              <w:right w:w="0" w:type="nil"/>
            </w:tcMar>
            <w:hideMark/>
          </w:tcPr>
          <w:p w14:paraId="5602F777" w14:textId="77777777" w:rsidR="006E51BF" w:rsidRPr="00EB06B5" w:rsidRDefault="006E51BF">
            <w:pPr>
              <w:pStyle w:val="ARfintabletextright8pt"/>
            </w:pPr>
          </w:p>
        </w:tc>
        <w:tc>
          <w:tcPr>
            <w:tcW w:w="1219" w:type="dxa"/>
            <w:tcBorders>
              <w:top w:val="single" w:sz="4" w:space="0" w:color="000000" w:themeColor="text1"/>
            </w:tcBorders>
            <w:noWrap/>
            <w:tcMar>
              <w:right w:w="0" w:type="nil"/>
            </w:tcMar>
            <w:hideMark/>
          </w:tcPr>
          <w:p w14:paraId="4ADC62E0" w14:textId="77777777" w:rsidR="006E51BF" w:rsidRPr="00EB06B5" w:rsidRDefault="006E51BF">
            <w:pPr>
              <w:pStyle w:val="ARfintabletextright8pt"/>
              <w:rPr>
                <w:rFonts w:ascii="Times New Roman" w:hAnsi="Times New Roman"/>
              </w:rPr>
            </w:pPr>
          </w:p>
        </w:tc>
        <w:tc>
          <w:tcPr>
            <w:tcW w:w="1220" w:type="dxa"/>
            <w:tcBorders>
              <w:top w:val="single" w:sz="4" w:space="0" w:color="000000" w:themeColor="text1"/>
            </w:tcBorders>
            <w:noWrap/>
            <w:tcMar>
              <w:right w:w="0" w:type="nil"/>
            </w:tcMar>
            <w:hideMark/>
          </w:tcPr>
          <w:p w14:paraId="03CA12A1" w14:textId="77777777" w:rsidR="006E51BF" w:rsidRPr="00EB06B5" w:rsidRDefault="006E51BF">
            <w:pPr>
              <w:pStyle w:val="ARfintabletextright8pt"/>
              <w:rPr>
                <w:rFonts w:ascii="Times New Roman" w:hAnsi="Times New Roman"/>
              </w:rPr>
            </w:pPr>
          </w:p>
        </w:tc>
        <w:tc>
          <w:tcPr>
            <w:tcW w:w="1479" w:type="dxa"/>
            <w:tcBorders>
              <w:top w:val="single" w:sz="4" w:space="0" w:color="000000" w:themeColor="text1"/>
            </w:tcBorders>
            <w:noWrap/>
            <w:tcMar>
              <w:right w:w="0" w:type="nil"/>
            </w:tcMar>
            <w:hideMark/>
          </w:tcPr>
          <w:p w14:paraId="7A396980" w14:textId="77777777" w:rsidR="006E51BF" w:rsidRPr="00EB06B5" w:rsidRDefault="006E51BF">
            <w:pPr>
              <w:pStyle w:val="ARfintabletextright8pt"/>
            </w:pPr>
          </w:p>
        </w:tc>
        <w:tc>
          <w:tcPr>
            <w:tcW w:w="1540" w:type="dxa"/>
            <w:tcBorders>
              <w:top w:val="single" w:sz="4" w:space="0" w:color="000000" w:themeColor="text1"/>
            </w:tcBorders>
            <w:noWrap/>
            <w:tcMar>
              <w:right w:w="0" w:type="nil"/>
            </w:tcMar>
            <w:hideMark/>
          </w:tcPr>
          <w:p w14:paraId="07914A7D" w14:textId="77777777" w:rsidR="006E51BF" w:rsidRPr="00EB06B5" w:rsidRDefault="006E51BF">
            <w:pPr>
              <w:pStyle w:val="ARfintabletextright8pt"/>
            </w:pPr>
          </w:p>
        </w:tc>
        <w:tc>
          <w:tcPr>
            <w:tcW w:w="952" w:type="dxa"/>
            <w:tcBorders>
              <w:top w:val="single" w:sz="4" w:space="0" w:color="000000" w:themeColor="text1"/>
            </w:tcBorders>
            <w:noWrap/>
            <w:tcMar>
              <w:right w:w="0" w:type="nil"/>
            </w:tcMar>
            <w:hideMark/>
          </w:tcPr>
          <w:p w14:paraId="6BE361F8" w14:textId="77777777" w:rsidR="006E51BF" w:rsidRPr="00EB06B5" w:rsidRDefault="006E51BF">
            <w:pPr>
              <w:pStyle w:val="ARfintabletextright8pt"/>
              <w:rPr>
                <w:rFonts w:ascii="Times New Roman" w:hAnsi="Times New Roman"/>
              </w:rPr>
            </w:pPr>
          </w:p>
        </w:tc>
        <w:tc>
          <w:tcPr>
            <w:tcW w:w="448" w:type="dxa"/>
            <w:tcBorders>
              <w:top w:val="single" w:sz="4" w:space="0" w:color="000000" w:themeColor="text1"/>
            </w:tcBorders>
            <w:noWrap/>
            <w:tcMar>
              <w:right w:w="0" w:type="nil"/>
            </w:tcMar>
            <w:vAlign w:val="center"/>
            <w:hideMark/>
          </w:tcPr>
          <w:p w14:paraId="0D3248A7" w14:textId="77777777" w:rsidR="006E51BF" w:rsidRPr="00B41814" w:rsidRDefault="006E51BF">
            <w:pPr>
              <w:pStyle w:val="ARfintabletextright8pt"/>
              <w:rPr>
                <w:vertAlign w:val="superscript"/>
              </w:rPr>
            </w:pPr>
          </w:p>
        </w:tc>
      </w:tr>
      <w:tr w:rsidR="006E51BF" w:rsidRPr="00EB06B5" w14:paraId="2BF6C8CF" w14:textId="77777777" w:rsidTr="00457FAF">
        <w:trPr>
          <w:cnfStyle w:val="000000100000" w:firstRow="0" w:lastRow="0" w:firstColumn="0" w:lastColumn="0" w:oddVBand="0" w:evenVBand="0" w:oddHBand="1" w:evenHBand="0" w:firstRowFirstColumn="0" w:firstRowLastColumn="0" w:lastRowFirstColumn="0" w:lastRowLastColumn="0"/>
          <w:trHeight w:val="20"/>
        </w:trPr>
        <w:tc>
          <w:tcPr>
            <w:tcW w:w="3915" w:type="dxa"/>
            <w:noWrap/>
            <w:hideMark/>
          </w:tcPr>
          <w:p w14:paraId="47E55601" w14:textId="77777777" w:rsidR="006E51BF" w:rsidRPr="00EB06B5" w:rsidRDefault="006E51BF">
            <w:pPr>
              <w:pStyle w:val="ARfintabletextbold8pt"/>
            </w:pPr>
            <w:r w:rsidRPr="00EB06B5">
              <w:t>Controlled</w:t>
            </w:r>
          </w:p>
        </w:tc>
        <w:tc>
          <w:tcPr>
            <w:tcW w:w="1284" w:type="dxa"/>
            <w:noWrap/>
            <w:tcMar>
              <w:right w:w="0" w:type="nil"/>
            </w:tcMar>
            <w:hideMark/>
          </w:tcPr>
          <w:p w14:paraId="442150EF" w14:textId="77777777" w:rsidR="006E51BF" w:rsidRPr="009570E4" w:rsidRDefault="006E51BF">
            <w:pPr>
              <w:pStyle w:val="ARfintabletextright8pt"/>
            </w:pPr>
          </w:p>
        </w:tc>
        <w:tc>
          <w:tcPr>
            <w:tcW w:w="1284" w:type="dxa"/>
            <w:noWrap/>
            <w:tcMar>
              <w:right w:w="0" w:type="nil"/>
            </w:tcMar>
            <w:hideMark/>
          </w:tcPr>
          <w:p w14:paraId="4D2AC23B" w14:textId="77777777" w:rsidR="006E51BF" w:rsidRPr="009570E4" w:rsidRDefault="006E51BF">
            <w:pPr>
              <w:pStyle w:val="ARfintabletextright8pt"/>
            </w:pPr>
          </w:p>
        </w:tc>
        <w:tc>
          <w:tcPr>
            <w:tcW w:w="1219" w:type="dxa"/>
            <w:noWrap/>
            <w:tcMar>
              <w:right w:w="0" w:type="nil"/>
            </w:tcMar>
            <w:hideMark/>
          </w:tcPr>
          <w:p w14:paraId="7C6A305D" w14:textId="77777777" w:rsidR="006E51BF" w:rsidRPr="00EB06B5" w:rsidRDefault="006E51BF">
            <w:pPr>
              <w:pStyle w:val="ARfintabletextright8pt"/>
            </w:pPr>
          </w:p>
        </w:tc>
        <w:tc>
          <w:tcPr>
            <w:tcW w:w="1219" w:type="dxa"/>
            <w:noWrap/>
            <w:tcMar>
              <w:right w:w="0" w:type="nil"/>
            </w:tcMar>
            <w:hideMark/>
          </w:tcPr>
          <w:p w14:paraId="10CE6550" w14:textId="77777777" w:rsidR="006E51BF" w:rsidRPr="00EB06B5" w:rsidRDefault="006E51BF">
            <w:pPr>
              <w:pStyle w:val="ARfintabletextright8pt"/>
              <w:rPr>
                <w:rFonts w:ascii="Times New Roman" w:hAnsi="Times New Roman"/>
              </w:rPr>
            </w:pPr>
          </w:p>
        </w:tc>
        <w:tc>
          <w:tcPr>
            <w:tcW w:w="1220" w:type="dxa"/>
            <w:noWrap/>
            <w:tcMar>
              <w:right w:w="0" w:type="nil"/>
            </w:tcMar>
            <w:hideMark/>
          </w:tcPr>
          <w:p w14:paraId="5911558C" w14:textId="77777777" w:rsidR="006E51BF" w:rsidRPr="00EB06B5" w:rsidRDefault="006E51BF">
            <w:pPr>
              <w:pStyle w:val="ARfintabletextright8pt"/>
              <w:rPr>
                <w:rFonts w:ascii="Times New Roman" w:hAnsi="Times New Roman"/>
              </w:rPr>
            </w:pPr>
          </w:p>
        </w:tc>
        <w:tc>
          <w:tcPr>
            <w:tcW w:w="1479" w:type="dxa"/>
            <w:noWrap/>
            <w:tcMar>
              <w:right w:w="0" w:type="nil"/>
            </w:tcMar>
            <w:hideMark/>
          </w:tcPr>
          <w:p w14:paraId="090BD180" w14:textId="77777777" w:rsidR="006E51BF" w:rsidRPr="00EB06B5" w:rsidRDefault="006E51BF">
            <w:pPr>
              <w:pStyle w:val="ARfintabletextright8pt"/>
            </w:pPr>
          </w:p>
        </w:tc>
        <w:tc>
          <w:tcPr>
            <w:tcW w:w="1540" w:type="dxa"/>
            <w:noWrap/>
            <w:tcMar>
              <w:right w:w="0" w:type="nil"/>
            </w:tcMar>
            <w:hideMark/>
          </w:tcPr>
          <w:p w14:paraId="2570D5B9" w14:textId="77777777" w:rsidR="006E51BF" w:rsidRPr="00EB06B5" w:rsidRDefault="006E51BF">
            <w:pPr>
              <w:pStyle w:val="ARfintabletextright8pt"/>
            </w:pPr>
          </w:p>
        </w:tc>
        <w:tc>
          <w:tcPr>
            <w:tcW w:w="952" w:type="dxa"/>
            <w:noWrap/>
            <w:tcMar>
              <w:right w:w="0" w:type="nil"/>
            </w:tcMar>
            <w:hideMark/>
          </w:tcPr>
          <w:p w14:paraId="74C3D2DA" w14:textId="77777777" w:rsidR="006E51BF" w:rsidRPr="00EB06B5" w:rsidRDefault="006E51BF">
            <w:pPr>
              <w:pStyle w:val="ARfintabletextright8pt"/>
              <w:rPr>
                <w:rFonts w:ascii="Times New Roman" w:hAnsi="Times New Roman"/>
              </w:rPr>
            </w:pPr>
          </w:p>
        </w:tc>
        <w:tc>
          <w:tcPr>
            <w:tcW w:w="448" w:type="dxa"/>
            <w:noWrap/>
            <w:tcMar>
              <w:right w:w="0" w:type="nil"/>
            </w:tcMar>
            <w:vAlign w:val="center"/>
            <w:hideMark/>
          </w:tcPr>
          <w:p w14:paraId="177CDB53" w14:textId="77777777" w:rsidR="006E51BF" w:rsidRPr="00B41814" w:rsidRDefault="006E51BF">
            <w:pPr>
              <w:pStyle w:val="ARfintabletextright8pt"/>
              <w:rPr>
                <w:vertAlign w:val="superscript"/>
              </w:rPr>
            </w:pPr>
          </w:p>
        </w:tc>
      </w:tr>
      <w:tr w:rsidR="006E51BF" w:rsidRPr="00EB06B5" w14:paraId="66A5D74A" w14:textId="77777777" w:rsidTr="00457FAF">
        <w:trPr>
          <w:cnfStyle w:val="000000010000" w:firstRow="0" w:lastRow="0" w:firstColumn="0" w:lastColumn="0" w:oddVBand="0" w:evenVBand="0" w:oddHBand="0" w:evenHBand="1" w:firstRowFirstColumn="0" w:firstRowLastColumn="0" w:lastRowFirstColumn="0" w:lastRowLastColumn="0"/>
          <w:trHeight w:val="20"/>
        </w:trPr>
        <w:tc>
          <w:tcPr>
            <w:tcW w:w="3915" w:type="dxa"/>
            <w:noWrap/>
            <w:hideMark/>
          </w:tcPr>
          <w:p w14:paraId="358275E1" w14:textId="77777777" w:rsidR="006E51BF" w:rsidRPr="008F7A38" w:rsidRDefault="006E51BF">
            <w:pPr>
              <w:pStyle w:val="ARfintabletext8pt"/>
              <w:rPr>
                <w:lang w:eastAsia="en-AU"/>
              </w:rPr>
            </w:pPr>
            <w:r w:rsidRPr="00EB06B5">
              <w:rPr>
                <w:lang w:eastAsia="en-AU"/>
              </w:rPr>
              <w:t>Provision of outputs</w:t>
            </w:r>
          </w:p>
        </w:tc>
        <w:tc>
          <w:tcPr>
            <w:tcW w:w="1284" w:type="dxa"/>
            <w:shd w:val="clear" w:color="auto" w:fill="E7E6E6" w:themeFill="background2"/>
            <w:tcMar>
              <w:right w:w="0" w:type="nil"/>
            </w:tcMar>
            <w:hideMark/>
          </w:tcPr>
          <w:p w14:paraId="68F119EB" w14:textId="77777777" w:rsidR="006E51BF" w:rsidRPr="00EB06B5" w:rsidRDefault="006E51BF">
            <w:pPr>
              <w:pStyle w:val="ARfintabletextright8pt"/>
            </w:pPr>
            <w:r w:rsidRPr="00EB06B5">
              <w:t>4,515.5</w:t>
            </w:r>
          </w:p>
        </w:tc>
        <w:tc>
          <w:tcPr>
            <w:tcW w:w="1284" w:type="dxa"/>
            <w:shd w:val="clear" w:color="auto" w:fill="E7E6E6" w:themeFill="background2"/>
            <w:tcMar>
              <w:right w:w="0" w:type="nil"/>
            </w:tcMar>
            <w:hideMark/>
          </w:tcPr>
          <w:p w14:paraId="047C3CC4" w14:textId="77777777" w:rsidR="006E51BF" w:rsidRPr="00EB06B5" w:rsidRDefault="006E51BF">
            <w:pPr>
              <w:pStyle w:val="ARfintabletextright8pt"/>
            </w:pPr>
            <w:r w:rsidRPr="00EB06B5">
              <w:t>431.3</w:t>
            </w:r>
          </w:p>
        </w:tc>
        <w:tc>
          <w:tcPr>
            <w:tcW w:w="1219" w:type="dxa"/>
            <w:tcMar>
              <w:right w:w="0" w:type="nil"/>
            </w:tcMar>
            <w:hideMark/>
          </w:tcPr>
          <w:p w14:paraId="2D33F05D" w14:textId="77777777" w:rsidR="006E51BF" w:rsidRPr="00EB06B5" w:rsidRDefault="006E51BF">
            <w:pPr>
              <w:pStyle w:val="ARfintabletextright8pt"/>
            </w:pPr>
            <w:r w:rsidRPr="00EB06B5">
              <w:t>1,394.5</w:t>
            </w:r>
          </w:p>
        </w:tc>
        <w:tc>
          <w:tcPr>
            <w:tcW w:w="1219" w:type="dxa"/>
            <w:tcMar>
              <w:right w:w="0" w:type="nil"/>
            </w:tcMar>
            <w:hideMark/>
          </w:tcPr>
          <w:p w14:paraId="3C98EC5D" w14:textId="77777777" w:rsidR="006E51BF" w:rsidRPr="00EB06B5" w:rsidRDefault="006E51BF">
            <w:pPr>
              <w:pStyle w:val="ARfintabletextright8pt"/>
            </w:pPr>
            <w:r w:rsidRPr="00EB06B5">
              <w:t>(7.5)</w:t>
            </w:r>
          </w:p>
        </w:tc>
        <w:tc>
          <w:tcPr>
            <w:tcW w:w="1220" w:type="dxa"/>
            <w:tcMar>
              <w:right w:w="0" w:type="nil"/>
            </w:tcMar>
            <w:hideMark/>
          </w:tcPr>
          <w:p w14:paraId="51B077B0" w14:textId="77777777" w:rsidR="006E51BF" w:rsidRPr="00EB06B5" w:rsidRDefault="006E51BF">
            <w:pPr>
              <w:pStyle w:val="ARfintabletextright8pt"/>
            </w:pPr>
            <w:r w:rsidRPr="00EB06B5">
              <w:t>16.4</w:t>
            </w:r>
          </w:p>
        </w:tc>
        <w:tc>
          <w:tcPr>
            <w:tcW w:w="1479" w:type="dxa"/>
            <w:shd w:val="clear" w:color="auto" w:fill="E7E6E6" w:themeFill="background2"/>
            <w:tcMar>
              <w:right w:w="0" w:type="nil"/>
            </w:tcMar>
            <w:hideMark/>
          </w:tcPr>
          <w:p w14:paraId="79EC74D9" w14:textId="77777777" w:rsidR="006E51BF" w:rsidRPr="00EB06B5" w:rsidRDefault="006E51BF">
            <w:pPr>
              <w:pStyle w:val="ARfintabletextright8pt"/>
            </w:pPr>
            <w:r w:rsidRPr="00EB06B5">
              <w:t>6,350.1</w:t>
            </w:r>
          </w:p>
        </w:tc>
        <w:tc>
          <w:tcPr>
            <w:tcW w:w="1540" w:type="dxa"/>
            <w:tcMar>
              <w:right w:w="0" w:type="nil"/>
            </w:tcMar>
            <w:hideMark/>
          </w:tcPr>
          <w:p w14:paraId="7F4BA7D5" w14:textId="77777777" w:rsidR="006E51BF" w:rsidRPr="00EB06B5" w:rsidRDefault="006E51BF">
            <w:pPr>
              <w:pStyle w:val="ARfintabletextright8pt"/>
            </w:pPr>
            <w:r w:rsidRPr="00EB06B5">
              <w:t>6,307.1</w:t>
            </w:r>
          </w:p>
        </w:tc>
        <w:tc>
          <w:tcPr>
            <w:tcW w:w="952" w:type="dxa"/>
            <w:shd w:val="clear" w:color="auto" w:fill="E7E6E6" w:themeFill="background2"/>
            <w:tcMar>
              <w:right w:w="0" w:type="nil"/>
            </w:tcMar>
            <w:hideMark/>
          </w:tcPr>
          <w:p w14:paraId="14729217" w14:textId="77777777" w:rsidR="006E51BF" w:rsidRPr="00EB06B5" w:rsidRDefault="006E51BF">
            <w:pPr>
              <w:pStyle w:val="ARfintabletextright8pt"/>
            </w:pPr>
            <w:r w:rsidRPr="00EB06B5">
              <w:t>43.0</w:t>
            </w:r>
          </w:p>
        </w:tc>
        <w:tc>
          <w:tcPr>
            <w:tcW w:w="448" w:type="dxa"/>
            <w:tcMar>
              <w:right w:w="0" w:type="nil"/>
            </w:tcMar>
            <w:vAlign w:val="center"/>
            <w:hideMark/>
          </w:tcPr>
          <w:p w14:paraId="0A5B2BA4" w14:textId="77777777" w:rsidR="006E51BF" w:rsidRPr="00B41814" w:rsidRDefault="006E51BF">
            <w:pPr>
              <w:pStyle w:val="ARfintabletextright8pt"/>
              <w:rPr>
                <w:vertAlign w:val="superscript"/>
              </w:rPr>
            </w:pPr>
            <w:r w:rsidRPr="00B41814">
              <w:rPr>
                <w:vertAlign w:val="superscript"/>
              </w:rPr>
              <w:t>(iv)</w:t>
            </w:r>
          </w:p>
        </w:tc>
      </w:tr>
      <w:tr w:rsidR="006E51BF" w:rsidRPr="00EB06B5" w14:paraId="415C746B" w14:textId="77777777" w:rsidTr="00457FAF">
        <w:trPr>
          <w:cnfStyle w:val="000000100000" w:firstRow="0" w:lastRow="0" w:firstColumn="0" w:lastColumn="0" w:oddVBand="0" w:evenVBand="0" w:oddHBand="1" w:evenHBand="0" w:firstRowFirstColumn="0" w:firstRowLastColumn="0" w:lastRowFirstColumn="0" w:lastRowLastColumn="0"/>
          <w:trHeight w:val="20"/>
        </w:trPr>
        <w:tc>
          <w:tcPr>
            <w:tcW w:w="3915" w:type="dxa"/>
            <w:noWrap/>
            <w:hideMark/>
          </w:tcPr>
          <w:p w14:paraId="0341323D" w14:textId="77777777" w:rsidR="006E51BF" w:rsidRPr="008F7A38" w:rsidRDefault="006E51BF">
            <w:pPr>
              <w:pStyle w:val="ARfintabletext8pt"/>
              <w:rPr>
                <w:lang w:eastAsia="en-AU"/>
              </w:rPr>
            </w:pPr>
            <w:r w:rsidRPr="00EB06B5">
              <w:rPr>
                <w:lang w:eastAsia="en-AU"/>
              </w:rPr>
              <w:t>Addition to net assets</w:t>
            </w:r>
          </w:p>
        </w:tc>
        <w:tc>
          <w:tcPr>
            <w:tcW w:w="1284" w:type="dxa"/>
            <w:shd w:val="clear" w:color="auto" w:fill="E7E6E6" w:themeFill="background2"/>
            <w:tcMar>
              <w:right w:w="0" w:type="nil"/>
            </w:tcMar>
            <w:hideMark/>
          </w:tcPr>
          <w:p w14:paraId="77310767" w14:textId="77777777" w:rsidR="006E51BF" w:rsidRPr="00EB06B5" w:rsidRDefault="006E51BF">
            <w:pPr>
              <w:pStyle w:val="ARfintabletextright8pt"/>
            </w:pPr>
            <w:r w:rsidRPr="00EB06B5">
              <w:t>467.5</w:t>
            </w:r>
          </w:p>
        </w:tc>
        <w:tc>
          <w:tcPr>
            <w:tcW w:w="1284" w:type="dxa"/>
            <w:shd w:val="clear" w:color="auto" w:fill="E7E6E6" w:themeFill="background2"/>
            <w:tcMar>
              <w:right w:w="0" w:type="nil"/>
            </w:tcMar>
            <w:hideMark/>
          </w:tcPr>
          <w:p w14:paraId="2EF5F1EF" w14:textId="77777777" w:rsidR="006E51BF" w:rsidRPr="00EB06B5" w:rsidRDefault="006E51BF">
            <w:pPr>
              <w:pStyle w:val="ARfintabletextright8pt"/>
            </w:pPr>
            <w:r w:rsidRPr="00EB06B5">
              <w:t>464.3</w:t>
            </w:r>
          </w:p>
        </w:tc>
        <w:tc>
          <w:tcPr>
            <w:tcW w:w="1219" w:type="dxa"/>
            <w:tcMar>
              <w:right w:w="0" w:type="nil"/>
            </w:tcMar>
            <w:hideMark/>
          </w:tcPr>
          <w:p w14:paraId="2C4F1D71" w14:textId="77777777" w:rsidR="006E51BF" w:rsidRPr="00EB06B5" w:rsidRDefault="006E51BF">
            <w:pPr>
              <w:pStyle w:val="ARfintabletextright8pt"/>
            </w:pPr>
            <w:r w:rsidRPr="00EB06B5">
              <w:t>15.6</w:t>
            </w:r>
          </w:p>
        </w:tc>
        <w:tc>
          <w:tcPr>
            <w:tcW w:w="1219" w:type="dxa"/>
            <w:tcMar>
              <w:right w:w="0" w:type="nil"/>
            </w:tcMar>
            <w:hideMark/>
          </w:tcPr>
          <w:p w14:paraId="722933B1" w14:textId="77777777" w:rsidR="006E51BF" w:rsidRPr="00EB06B5" w:rsidRDefault="006E51BF">
            <w:pPr>
              <w:pStyle w:val="ARfintabletextright8pt"/>
            </w:pPr>
            <w:r w:rsidRPr="00EB06B5">
              <w:t>7.5</w:t>
            </w:r>
          </w:p>
        </w:tc>
        <w:tc>
          <w:tcPr>
            <w:tcW w:w="1220" w:type="dxa"/>
            <w:tcMar>
              <w:right w:w="0" w:type="nil"/>
            </w:tcMar>
            <w:hideMark/>
          </w:tcPr>
          <w:p w14:paraId="31B0FD9F" w14:textId="77777777" w:rsidR="006E51BF" w:rsidRPr="00EB06B5" w:rsidRDefault="006E51BF">
            <w:pPr>
              <w:pStyle w:val="ARfintabletextright8pt"/>
            </w:pPr>
            <w:r w:rsidRPr="00EB06B5">
              <w:t>14.1</w:t>
            </w:r>
          </w:p>
        </w:tc>
        <w:tc>
          <w:tcPr>
            <w:tcW w:w="1479" w:type="dxa"/>
            <w:shd w:val="clear" w:color="auto" w:fill="E7E6E6" w:themeFill="background2"/>
            <w:tcMar>
              <w:right w:w="0" w:type="nil"/>
            </w:tcMar>
            <w:hideMark/>
          </w:tcPr>
          <w:p w14:paraId="6DFE7B06" w14:textId="77777777" w:rsidR="006E51BF" w:rsidRPr="00EB06B5" w:rsidRDefault="006E51BF">
            <w:pPr>
              <w:pStyle w:val="ARfintabletextright8pt"/>
            </w:pPr>
            <w:r w:rsidRPr="00EB06B5">
              <w:t>969.0</w:t>
            </w:r>
          </w:p>
        </w:tc>
        <w:tc>
          <w:tcPr>
            <w:tcW w:w="1540" w:type="dxa"/>
            <w:tcMar>
              <w:right w:w="0" w:type="nil"/>
            </w:tcMar>
            <w:hideMark/>
          </w:tcPr>
          <w:p w14:paraId="56C29335" w14:textId="77777777" w:rsidR="006E51BF" w:rsidRPr="00EB06B5" w:rsidRDefault="006E51BF">
            <w:pPr>
              <w:pStyle w:val="ARfintabletextright8pt"/>
            </w:pPr>
            <w:r w:rsidRPr="00EB06B5">
              <w:t>940.2</w:t>
            </w:r>
          </w:p>
        </w:tc>
        <w:tc>
          <w:tcPr>
            <w:tcW w:w="952" w:type="dxa"/>
            <w:shd w:val="clear" w:color="auto" w:fill="E7E6E6" w:themeFill="background2"/>
            <w:tcMar>
              <w:right w:w="0" w:type="nil"/>
            </w:tcMar>
            <w:hideMark/>
          </w:tcPr>
          <w:p w14:paraId="0196462E" w14:textId="77777777" w:rsidR="006E51BF" w:rsidRPr="00EB06B5" w:rsidRDefault="006E51BF">
            <w:pPr>
              <w:pStyle w:val="ARfintabletextright8pt"/>
            </w:pPr>
            <w:r w:rsidRPr="00EB06B5">
              <w:t>28.9</w:t>
            </w:r>
          </w:p>
        </w:tc>
        <w:tc>
          <w:tcPr>
            <w:tcW w:w="448" w:type="dxa"/>
            <w:tcMar>
              <w:right w:w="0" w:type="nil"/>
            </w:tcMar>
            <w:vAlign w:val="center"/>
            <w:hideMark/>
          </w:tcPr>
          <w:p w14:paraId="7D0EF1BA" w14:textId="77777777" w:rsidR="006E51BF" w:rsidRPr="00B41814" w:rsidRDefault="006E51BF">
            <w:pPr>
              <w:pStyle w:val="ARfintabletextright8pt"/>
              <w:rPr>
                <w:vertAlign w:val="superscript"/>
              </w:rPr>
            </w:pPr>
            <w:r w:rsidRPr="00B41814">
              <w:rPr>
                <w:vertAlign w:val="superscript"/>
              </w:rPr>
              <w:t>(v)</w:t>
            </w:r>
          </w:p>
        </w:tc>
      </w:tr>
      <w:tr w:rsidR="006E51BF" w:rsidRPr="00EB06B5" w14:paraId="492A8827" w14:textId="77777777" w:rsidTr="00457FAF">
        <w:trPr>
          <w:cnfStyle w:val="000000010000" w:firstRow="0" w:lastRow="0" w:firstColumn="0" w:lastColumn="0" w:oddVBand="0" w:evenVBand="0" w:oddHBand="0" w:evenHBand="1" w:firstRowFirstColumn="0" w:firstRowLastColumn="0" w:lastRowFirstColumn="0" w:lastRowLastColumn="0"/>
          <w:trHeight w:val="20"/>
        </w:trPr>
        <w:tc>
          <w:tcPr>
            <w:tcW w:w="3915" w:type="dxa"/>
            <w:noWrap/>
            <w:hideMark/>
          </w:tcPr>
          <w:p w14:paraId="12EAF807" w14:textId="77777777" w:rsidR="006E51BF" w:rsidRPr="00EB06B5" w:rsidRDefault="006E51BF">
            <w:pPr>
              <w:pStyle w:val="ARfintabletextbold8pt"/>
            </w:pPr>
            <w:r w:rsidRPr="00EB06B5">
              <w:t>Administered</w:t>
            </w:r>
          </w:p>
        </w:tc>
        <w:tc>
          <w:tcPr>
            <w:tcW w:w="1284" w:type="dxa"/>
            <w:tcMar>
              <w:right w:w="0" w:type="nil"/>
            </w:tcMar>
            <w:hideMark/>
          </w:tcPr>
          <w:p w14:paraId="5B39DF23" w14:textId="77777777" w:rsidR="006E51BF" w:rsidRPr="00EB06B5" w:rsidRDefault="006E51BF">
            <w:pPr>
              <w:pStyle w:val="ARfintabletextright8pt"/>
              <w:rPr>
                <w:b/>
                <w:bCs/>
              </w:rPr>
            </w:pPr>
          </w:p>
        </w:tc>
        <w:tc>
          <w:tcPr>
            <w:tcW w:w="1284" w:type="dxa"/>
            <w:tcMar>
              <w:right w:w="0" w:type="nil"/>
            </w:tcMar>
            <w:hideMark/>
          </w:tcPr>
          <w:p w14:paraId="56321D34" w14:textId="77777777" w:rsidR="006E51BF" w:rsidRPr="00EB06B5" w:rsidRDefault="006E51BF">
            <w:pPr>
              <w:pStyle w:val="ARfintabletextright8pt"/>
            </w:pPr>
          </w:p>
        </w:tc>
        <w:tc>
          <w:tcPr>
            <w:tcW w:w="1219" w:type="dxa"/>
            <w:tcMar>
              <w:right w:w="0" w:type="nil"/>
            </w:tcMar>
            <w:hideMark/>
          </w:tcPr>
          <w:p w14:paraId="5B972569" w14:textId="77777777" w:rsidR="006E51BF" w:rsidRPr="00EB06B5" w:rsidRDefault="006E51BF">
            <w:pPr>
              <w:pStyle w:val="ARfintabletextright8pt"/>
            </w:pPr>
          </w:p>
        </w:tc>
        <w:tc>
          <w:tcPr>
            <w:tcW w:w="1219" w:type="dxa"/>
            <w:tcMar>
              <w:right w:w="0" w:type="nil"/>
            </w:tcMar>
            <w:hideMark/>
          </w:tcPr>
          <w:p w14:paraId="50831EF6" w14:textId="77777777" w:rsidR="006E51BF" w:rsidRPr="00EB06B5" w:rsidRDefault="006E51BF">
            <w:pPr>
              <w:pStyle w:val="ARfintabletextright8pt"/>
              <w:rPr>
                <w:rFonts w:ascii="Times New Roman" w:hAnsi="Times New Roman"/>
              </w:rPr>
            </w:pPr>
          </w:p>
        </w:tc>
        <w:tc>
          <w:tcPr>
            <w:tcW w:w="1220" w:type="dxa"/>
            <w:tcMar>
              <w:right w:w="0" w:type="nil"/>
            </w:tcMar>
            <w:hideMark/>
          </w:tcPr>
          <w:p w14:paraId="514799D5" w14:textId="77777777" w:rsidR="006E51BF" w:rsidRPr="00EB06B5" w:rsidRDefault="006E51BF">
            <w:pPr>
              <w:pStyle w:val="ARfintabletextright8pt"/>
              <w:rPr>
                <w:rFonts w:ascii="Times New Roman" w:hAnsi="Times New Roman"/>
              </w:rPr>
            </w:pPr>
          </w:p>
        </w:tc>
        <w:tc>
          <w:tcPr>
            <w:tcW w:w="1479" w:type="dxa"/>
            <w:tcMar>
              <w:right w:w="0" w:type="nil"/>
            </w:tcMar>
            <w:hideMark/>
          </w:tcPr>
          <w:p w14:paraId="42E571BF" w14:textId="77777777" w:rsidR="006E51BF" w:rsidRPr="00EB06B5" w:rsidRDefault="006E51BF">
            <w:pPr>
              <w:pStyle w:val="ARfintabletextright8pt"/>
            </w:pPr>
          </w:p>
        </w:tc>
        <w:tc>
          <w:tcPr>
            <w:tcW w:w="1540" w:type="dxa"/>
            <w:tcMar>
              <w:right w:w="0" w:type="nil"/>
            </w:tcMar>
            <w:hideMark/>
          </w:tcPr>
          <w:p w14:paraId="77497F67" w14:textId="77777777" w:rsidR="006E51BF" w:rsidRPr="00EB06B5" w:rsidRDefault="006E51BF">
            <w:pPr>
              <w:pStyle w:val="ARfintabletextright8pt"/>
            </w:pPr>
          </w:p>
        </w:tc>
        <w:tc>
          <w:tcPr>
            <w:tcW w:w="952" w:type="dxa"/>
            <w:tcMar>
              <w:right w:w="0" w:type="nil"/>
            </w:tcMar>
            <w:hideMark/>
          </w:tcPr>
          <w:p w14:paraId="59A99C82" w14:textId="77777777" w:rsidR="006E51BF" w:rsidRPr="00EB06B5" w:rsidRDefault="006E51BF">
            <w:pPr>
              <w:pStyle w:val="ARfintabletextright8pt"/>
              <w:rPr>
                <w:rFonts w:ascii="Times New Roman" w:hAnsi="Times New Roman"/>
              </w:rPr>
            </w:pPr>
          </w:p>
        </w:tc>
        <w:tc>
          <w:tcPr>
            <w:tcW w:w="448" w:type="dxa"/>
            <w:tcMar>
              <w:right w:w="0" w:type="nil"/>
            </w:tcMar>
            <w:vAlign w:val="center"/>
            <w:hideMark/>
          </w:tcPr>
          <w:p w14:paraId="5AE61E70" w14:textId="77777777" w:rsidR="006E51BF" w:rsidRPr="00B41814" w:rsidRDefault="006E51BF">
            <w:pPr>
              <w:pStyle w:val="ARfintabletextright8pt"/>
              <w:rPr>
                <w:vertAlign w:val="superscript"/>
              </w:rPr>
            </w:pPr>
          </w:p>
        </w:tc>
      </w:tr>
      <w:tr w:rsidR="006E51BF" w:rsidRPr="00EB06B5" w14:paraId="7D109D7A" w14:textId="77777777" w:rsidTr="00457FAF">
        <w:trPr>
          <w:cnfStyle w:val="000000100000" w:firstRow="0" w:lastRow="0" w:firstColumn="0" w:lastColumn="0" w:oddVBand="0" w:evenVBand="0" w:oddHBand="1" w:evenHBand="0" w:firstRowFirstColumn="0" w:firstRowLastColumn="0" w:lastRowFirstColumn="0" w:lastRowLastColumn="0"/>
          <w:trHeight w:val="20"/>
        </w:trPr>
        <w:tc>
          <w:tcPr>
            <w:tcW w:w="3915" w:type="dxa"/>
            <w:noWrap/>
            <w:hideMark/>
          </w:tcPr>
          <w:p w14:paraId="7FB6155C" w14:textId="77777777" w:rsidR="006E51BF" w:rsidRPr="008F7A38" w:rsidRDefault="006E51BF">
            <w:pPr>
              <w:pStyle w:val="ARfintabletext8pt"/>
              <w:rPr>
                <w:lang w:eastAsia="en-AU"/>
              </w:rPr>
            </w:pPr>
            <w:r w:rsidRPr="00EB06B5">
              <w:rPr>
                <w:lang w:eastAsia="en-AU"/>
              </w:rPr>
              <w:t>Payments made on behalf of the State</w:t>
            </w:r>
          </w:p>
        </w:tc>
        <w:tc>
          <w:tcPr>
            <w:tcW w:w="1284" w:type="dxa"/>
            <w:shd w:val="clear" w:color="auto" w:fill="E7E6E6" w:themeFill="background2"/>
            <w:tcMar>
              <w:right w:w="0" w:type="nil"/>
            </w:tcMar>
            <w:hideMark/>
          </w:tcPr>
          <w:p w14:paraId="075E586C" w14:textId="77777777" w:rsidR="006E51BF" w:rsidRPr="00EB06B5" w:rsidRDefault="006E51BF">
            <w:pPr>
              <w:pStyle w:val="ARfintabletextright8pt"/>
            </w:pPr>
            <w:r w:rsidRPr="00EB06B5">
              <w:t>2,964.6</w:t>
            </w:r>
          </w:p>
        </w:tc>
        <w:tc>
          <w:tcPr>
            <w:tcW w:w="1284" w:type="dxa"/>
            <w:shd w:val="clear" w:color="auto" w:fill="E7E6E6" w:themeFill="background2"/>
            <w:tcMar>
              <w:right w:w="0" w:type="nil"/>
            </w:tcMar>
            <w:hideMark/>
          </w:tcPr>
          <w:p w14:paraId="4972CD39" w14:textId="77777777" w:rsidR="006E51BF" w:rsidRPr="00EB06B5" w:rsidRDefault="006E51BF">
            <w:pPr>
              <w:pStyle w:val="ARfintabletextright8pt"/>
            </w:pPr>
            <w:r w:rsidRPr="00EB06B5">
              <w:t>4.4</w:t>
            </w:r>
          </w:p>
        </w:tc>
        <w:tc>
          <w:tcPr>
            <w:tcW w:w="1219" w:type="dxa"/>
            <w:tcMar>
              <w:right w:w="0" w:type="nil"/>
            </w:tcMar>
            <w:hideMark/>
          </w:tcPr>
          <w:p w14:paraId="5437E111" w14:textId="77777777" w:rsidR="006E51BF" w:rsidRPr="00EB06B5" w:rsidRDefault="006E51BF">
            <w:pPr>
              <w:pStyle w:val="ARfintabletextright8pt"/>
            </w:pPr>
            <w:r>
              <w:t>–</w:t>
            </w:r>
          </w:p>
        </w:tc>
        <w:tc>
          <w:tcPr>
            <w:tcW w:w="1219" w:type="dxa"/>
            <w:tcMar>
              <w:right w:w="0" w:type="nil"/>
            </w:tcMar>
            <w:hideMark/>
          </w:tcPr>
          <w:p w14:paraId="7EC22F73" w14:textId="77777777" w:rsidR="006E51BF" w:rsidRPr="00EB06B5" w:rsidRDefault="006E51BF">
            <w:pPr>
              <w:pStyle w:val="ARfintabletextright8pt"/>
            </w:pPr>
            <w:r>
              <w:t>–</w:t>
            </w:r>
          </w:p>
        </w:tc>
        <w:tc>
          <w:tcPr>
            <w:tcW w:w="1220" w:type="dxa"/>
            <w:tcMar>
              <w:right w:w="0" w:type="nil"/>
            </w:tcMar>
            <w:hideMark/>
          </w:tcPr>
          <w:p w14:paraId="7AA34CA7" w14:textId="77777777" w:rsidR="006E51BF" w:rsidRPr="00EB06B5" w:rsidRDefault="006E51BF">
            <w:pPr>
              <w:pStyle w:val="ARfintabletextright8pt"/>
            </w:pPr>
            <w:r w:rsidRPr="00EB06B5">
              <w:t>6.5</w:t>
            </w:r>
          </w:p>
        </w:tc>
        <w:tc>
          <w:tcPr>
            <w:tcW w:w="1479" w:type="dxa"/>
            <w:shd w:val="clear" w:color="auto" w:fill="E7E6E6" w:themeFill="background2"/>
            <w:tcMar>
              <w:right w:w="0" w:type="nil"/>
            </w:tcMar>
            <w:hideMark/>
          </w:tcPr>
          <w:p w14:paraId="65C0A8DD" w14:textId="77777777" w:rsidR="006E51BF" w:rsidRPr="00EB06B5" w:rsidRDefault="006E51BF">
            <w:pPr>
              <w:pStyle w:val="ARfintabletextright8pt"/>
            </w:pPr>
            <w:r w:rsidRPr="00EB06B5">
              <w:t>2,975.6</w:t>
            </w:r>
          </w:p>
        </w:tc>
        <w:tc>
          <w:tcPr>
            <w:tcW w:w="1540" w:type="dxa"/>
            <w:tcMar>
              <w:right w:w="0" w:type="nil"/>
            </w:tcMar>
            <w:hideMark/>
          </w:tcPr>
          <w:p w14:paraId="2B1B0C6A" w14:textId="77777777" w:rsidR="006E51BF" w:rsidRPr="00EB06B5" w:rsidRDefault="006E51BF">
            <w:pPr>
              <w:pStyle w:val="ARfintabletextright8pt"/>
            </w:pPr>
            <w:r w:rsidRPr="00EB06B5">
              <w:t>2,975.6</w:t>
            </w:r>
          </w:p>
        </w:tc>
        <w:tc>
          <w:tcPr>
            <w:tcW w:w="952" w:type="dxa"/>
            <w:shd w:val="clear" w:color="auto" w:fill="E7E6E6" w:themeFill="background2"/>
            <w:tcMar>
              <w:right w:w="0" w:type="nil"/>
            </w:tcMar>
            <w:hideMark/>
          </w:tcPr>
          <w:p w14:paraId="47B80816" w14:textId="77777777" w:rsidR="006E51BF" w:rsidRPr="00EB06B5" w:rsidRDefault="006E51BF">
            <w:pPr>
              <w:pStyle w:val="ARfintabletextright8pt"/>
            </w:pPr>
            <w:r>
              <w:t>–</w:t>
            </w:r>
          </w:p>
        </w:tc>
        <w:tc>
          <w:tcPr>
            <w:tcW w:w="448" w:type="dxa"/>
            <w:tcMar>
              <w:right w:w="0" w:type="nil"/>
            </w:tcMar>
            <w:vAlign w:val="center"/>
            <w:hideMark/>
          </w:tcPr>
          <w:p w14:paraId="7A1B1C10" w14:textId="77777777" w:rsidR="006E51BF" w:rsidRPr="00B41814" w:rsidRDefault="006E51BF">
            <w:pPr>
              <w:pStyle w:val="ARfintabletextright8pt"/>
              <w:rPr>
                <w:vertAlign w:val="superscript"/>
              </w:rPr>
            </w:pPr>
          </w:p>
        </w:tc>
      </w:tr>
      <w:tr w:rsidR="006E51BF" w:rsidRPr="00EB06B5" w14:paraId="755C999C" w14:textId="77777777" w:rsidTr="00457FAF">
        <w:trPr>
          <w:cnfStyle w:val="010000000000" w:firstRow="0" w:lastRow="1" w:firstColumn="0" w:lastColumn="0" w:oddVBand="0" w:evenVBand="0" w:oddHBand="0" w:evenHBand="0" w:firstRowFirstColumn="0" w:firstRowLastColumn="0" w:lastRowFirstColumn="0" w:lastRowLastColumn="0"/>
          <w:trHeight w:val="20"/>
        </w:trPr>
        <w:tc>
          <w:tcPr>
            <w:tcW w:w="3915" w:type="dxa"/>
            <w:noWrap/>
            <w:hideMark/>
          </w:tcPr>
          <w:p w14:paraId="01764158" w14:textId="77777777" w:rsidR="006E51BF" w:rsidRPr="00EB06B5" w:rsidRDefault="006E51BF">
            <w:pPr>
              <w:pStyle w:val="ARfintabletextbold8pt"/>
            </w:pPr>
            <w:r w:rsidRPr="00EB06B5">
              <w:t>Total</w:t>
            </w:r>
          </w:p>
        </w:tc>
        <w:tc>
          <w:tcPr>
            <w:tcW w:w="1284" w:type="dxa"/>
            <w:shd w:val="clear" w:color="auto" w:fill="E7E6E6" w:themeFill="background2"/>
            <w:tcMar>
              <w:right w:w="0" w:type="nil"/>
            </w:tcMar>
            <w:hideMark/>
          </w:tcPr>
          <w:p w14:paraId="30B56F5D" w14:textId="77777777" w:rsidR="006E51BF" w:rsidRPr="009570E4" w:rsidRDefault="006E51BF">
            <w:pPr>
              <w:pStyle w:val="ARfintabletextboldright8pt"/>
            </w:pPr>
            <w:r w:rsidRPr="009570E4">
              <w:t>7,947.6</w:t>
            </w:r>
          </w:p>
        </w:tc>
        <w:tc>
          <w:tcPr>
            <w:tcW w:w="1284" w:type="dxa"/>
            <w:shd w:val="clear" w:color="auto" w:fill="E7E6E6" w:themeFill="background2"/>
            <w:tcMar>
              <w:right w:w="0" w:type="nil"/>
            </w:tcMar>
            <w:hideMark/>
          </w:tcPr>
          <w:p w14:paraId="3B7E0493" w14:textId="77777777" w:rsidR="006E51BF" w:rsidRPr="009570E4" w:rsidRDefault="006E51BF">
            <w:pPr>
              <w:pStyle w:val="ARfintabletextboldright8pt"/>
            </w:pPr>
            <w:r w:rsidRPr="009570E4">
              <w:t>900.0</w:t>
            </w:r>
          </w:p>
        </w:tc>
        <w:tc>
          <w:tcPr>
            <w:tcW w:w="1219" w:type="dxa"/>
            <w:tcMar>
              <w:right w:w="0" w:type="nil"/>
            </w:tcMar>
            <w:hideMark/>
          </w:tcPr>
          <w:p w14:paraId="6C824CCF" w14:textId="77777777" w:rsidR="006E51BF" w:rsidRPr="009570E4" w:rsidRDefault="006E51BF">
            <w:pPr>
              <w:pStyle w:val="ARfintabletextboldright8pt"/>
            </w:pPr>
            <w:r w:rsidRPr="009570E4">
              <w:t>1,410.1</w:t>
            </w:r>
          </w:p>
        </w:tc>
        <w:tc>
          <w:tcPr>
            <w:tcW w:w="1219" w:type="dxa"/>
            <w:tcMar>
              <w:right w:w="0" w:type="nil"/>
            </w:tcMar>
            <w:hideMark/>
          </w:tcPr>
          <w:p w14:paraId="5DC99BC8" w14:textId="77777777" w:rsidR="006E51BF" w:rsidRPr="009570E4" w:rsidRDefault="006E51BF">
            <w:pPr>
              <w:pStyle w:val="ARfintabletextboldright8pt"/>
            </w:pPr>
            <w:r w:rsidRPr="009570E4">
              <w:t>–</w:t>
            </w:r>
          </w:p>
        </w:tc>
        <w:tc>
          <w:tcPr>
            <w:tcW w:w="1220" w:type="dxa"/>
            <w:tcMar>
              <w:right w:w="0" w:type="nil"/>
            </w:tcMar>
            <w:hideMark/>
          </w:tcPr>
          <w:p w14:paraId="1A6A27CB" w14:textId="77777777" w:rsidR="006E51BF" w:rsidRPr="009570E4" w:rsidRDefault="006E51BF">
            <w:pPr>
              <w:pStyle w:val="ARfintabletextboldright8pt"/>
            </w:pPr>
            <w:r w:rsidRPr="009570E4">
              <w:t>37.0</w:t>
            </w:r>
          </w:p>
        </w:tc>
        <w:tc>
          <w:tcPr>
            <w:tcW w:w="1479" w:type="dxa"/>
            <w:shd w:val="clear" w:color="auto" w:fill="E7E6E6" w:themeFill="background2"/>
            <w:tcMar>
              <w:right w:w="0" w:type="nil"/>
            </w:tcMar>
            <w:hideMark/>
          </w:tcPr>
          <w:p w14:paraId="75854BF1" w14:textId="77777777" w:rsidR="006E51BF" w:rsidRPr="009570E4" w:rsidRDefault="006E51BF">
            <w:pPr>
              <w:pStyle w:val="ARfintabletextboldright8pt"/>
            </w:pPr>
            <w:r w:rsidRPr="009570E4">
              <w:t>10,294.7</w:t>
            </w:r>
          </w:p>
        </w:tc>
        <w:tc>
          <w:tcPr>
            <w:tcW w:w="1540" w:type="dxa"/>
            <w:tcMar>
              <w:right w:w="0" w:type="nil"/>
            </w:tcMar>
            <w:hideMark/>
          </w:tcPr>
          <w:p w14:paraId="15BF5B68" w14:textId="77777777" w:rsidR="006E51BF" w:rsidRPr="009570E4" w:rsidRDefault="006E51BF">
            <w:pPr>
              <w:pStyle w:val="ARfintabletextboldright8pt"/>
            </w:pPr>
            <w:r w:rsidRPr="009570E4">
              <w:t>10,222.9</w:t>
            </w:r>
          </w:p>
        </w:tc>
        <w:tc>
          <w:tcPr>
            <w:tcW w:w="952" w:type="dxa"/>
            <w:shd w:val="clear" w:color="auto" w:fill="E7E6E6" w:themeFill="background2"/>
            <w:tcMar>
              <w:right w:w="0" w:type="nil"/>
            </w:tcMar>
            <w:hideMark/>
          </w:tcPr>
          <w:p w14:paraId="69226C30" w14:textId="77777777" w:rsidR="006E51BF" w:rsidRPr="009570E4" w:rsidRDefault="006E51BF">
            <w:pPr>
              <w:pStyle w:val="ARfintabletextboldright8pt"/>
            </w:pPr>
            <w:r w:rsidRPr="009570E4">
              <w:t>71.9</w:t>
            </w:r>
          </w:p>
        </w:tc>
        <w:tc>
          <w:tcPr>
            <w:tcW w:w="448" w:type="dxa"/>
            <w:tcMar>
              <w:right w:w="0" w:type="nil"/>
            </w:tcMar>
            <w:hideMark/>
          </w:tcPr>
          <w:p w14:paraId="689D4B3F" w14:textId="77777777" w:rsidR="006E51BF" w:rsidRPr="009570E4" w:rsidRDefault="006E51BF">
            <w:pPr>
              <w:pStyle w:val="ARfintabletextboldright8pt"/>
            </w:pPr>
          </w:p>
        </w:tc>
      </w:tr>
    </w:tbl>
    <w:p w14:paraId="7C7DDAD2" w14:textId="77777777" w:rsidR="006E51BF" w:rsidRPr="00EB06B5" w:rsidRDefault="006E51BF">
      <w:pPr>
        <w:pStyle w:val="ARfintablenote"/>
        <w:rPr>
          <w:lang w:eastAsia="en-AU"/>
        </w:rPr>
      </w:pPr>
      <w:r w:rsidRPr="00EB06B5">
        <w:rPr>
          <w:lang w:eastAsia="en-AU"/>
        </w:rPr>
        <w:t>Notes:</w:t>
      </w:r>
    </w:p>
    <w:p w14:paraId="0340B2E3" w14:textId="77777777" w:rsidR="006E51BF" w:rsidRPr="00EB06B5" w:rsidRDefault="006E51BF" w:rsidP="006E51BF">
      <w:pPr>
        <w:pStyle w:val="ARfintablenoteroman"/>
        <w:numPr>
          <w:ilvl w:val="0"/>
          <w:numId w:val="53"/>
        </w:numPr>
      </w:pPr>
      <w:r w:rsidRPr="00EB06B5">
        <w:t xml:space="preserve">Revenue annotated to the department's appropriation under section 29 of the </w:t>
      </w:r>
      <w:r w:rsidRPr="008406EE">
        <w:rPr>
          <w:rStyle w:val="Emphasis"/>
        </w:rPr>
        <w:t>Financial Management Act 1994</w:t>
      </w:r>
      <w:r w:rsidRPr="00EB06B5">
        <w:t xml:space="preserve"> predominantly include funding provided by the Commonwealth as part of the National Agreement on Social Housing and Homelessness and the Energy Bill Relief program. Refer to Note 2.5 for further detail.</w:t>
      </w:r>
    </w:p>
    <w:p w14:paraId="641B6709" w14:textId="77777777" w:rsidR="006E51BF" w:rsidRPr="00EB06B5" w:rsidRDefault="006E51BF" w:rsidP="006E51BF">
      <w:pPr>
        <w:pStyle w:val="ARfintablenoteroman"/>
        <w:numPr>
          <w:ilvl w:val="0"/>
          <w:numId w:val="15"/>
        </w:numPr>
      </w:pPr>
      <w:r w:rsidRPr="00EB06B5">
        <w:t>The provision of outputs variance of $51.8 million is primarily due to $28.6 million of funding that will be requested in 2026</w:t>
      </w:r>
      <w:r>
        <w:t>–</w:t>
      </w:r>
      <w:r w:rsidRPr="00EB06B5">
        <w:t>27 to deliver services and projects. The remaining variance of $23.1 million relates to output appropriation authority not applied in 2025</w:t>
      </w:r>
      <w:r>
        <w:t>–</w:t>
      </w:r>
      <w:r w:rsidRPr="00EB06B5">
        <w:t xml:space="preserve">26, primarily driven by changes to cashflow of output initiatives and lower than anticipated depreciation expenditure. </w:t>
      </w:r>
    </w:p>
    <w:p w14:paraId="0A4CA36F" w14:textId="77777777" w:rsidR="006E51BF" w:rsidRPr="00EB06B5" w:rsidRDefault="006E51BF" w:rsidP="006E51BF">
      <w:pPr>
        <w:pStyle w:val="ARfintablenoteroman"/>
        <w:numPr>
          <w:ilvl w:val="0"/>
          <w:numId w:val="15"/>
        </w:numPr>
      </w:pPr>
      <w:r w:rsidRPr="00EB06B5">
        <w:t>The additions to net assets variance of $155.6 million predominantly relates to funding for projects that will be delivered in 2026</w:t>
      </w:r>
      <w:r>
        <w:t>–</w:t>
      </w:r>
      <w:r w:rsidRPr="00EB06B5">
        <w:t>27 rather than 2025</w:t>
      </w:r>
      <w:r>
        <w:t>–</w:t>
      </w:r>
      <w:r w:rsidRPr="00EB06B5">
        <w:t xml:space="preserve">26, offset by an increase in appropriation reinstated as an alternative funding source in lieu of Treasurer's Advance budget supplementation. </w:t>
      </w:r>
    </w:p>
    <w:p w14:paraId="392697AA" w14:textId="77777777" w:rsidR="006E51BF" w:rsidRPr="00EB06B5" w:rsidRDefault="006E51BF" w:rsidP="006E51BF">
      <w:pPr>
        <w:pStyle w:val="ARfintablenoteroman"/>
        <w:numPr>
          <w:ilvl w:val="0"/>
          <w:numId w:val="15"/>
        </w:numPr>
      </w:pPr>
      <w:r w:rsidRPr="00EB06B5">
        <w:t>The provision of outputs variance of $43.0 million is primarily due to $34.2 million of funding that will be requested in 2025</w:t>
      </w:r>
      <w:r>
        <w:t>–</w:t>
      </w:r>
      <w:r w:rsidRPr="00EB06B5">
        <w:t>26 to deliver services and projects. The remaining variance of $8.5 million relates to output appropriation authority not applied in 2024</w:t>
      </w:r>
      <w:r>
        <w:t>–</w:t>
      </w:r>
      <w:r w:rsidRPr="00EB06B5">
        <w:t xml:space="preserve">25, primarily driven by changes to cashflow of output initiatives and lower than anticipated depreciation expenditure. </w:t>
      </w:r>
    </w:p>
    <w:p w14:paraId="18953365" w14:textId="5471CC47" w:rsidR="006E51BF" w:rsidRDefault="006E51BF" w:rsidP="006E51BF">
      <w:pPr>
        <w:pStyle w:val="ARfintablenoteroman"/>
        <w:numPr>
          <w:ilvl w:val="0"/>
          <w:numId w:val="15"/>
        </w:numPr>
      </w:pPr>
      <w:r w:rsidRPr="00EB06B5">
        <w:t>The additions to net assets variance of $28.9 million predominantly relates to funding for projects that will be delivered in 2025</w:t>
      </w:r>
      <w:r>
        <w:t>–</w:t>
      </w:r>
      <w:r w:rsidRPr="00EB06B5">
        <w:t>26 rather than 2024</w:t>
      </w:r>
      <w:r>
        <w:t>–</w:t>
      </w:r>
      <w:r w:rsidRPr="00EB06B5">
        <w:t>25, offset by authority not required in 2024</w:t>
      </w:r>
      <w:r>
        <w:t>–</w:t>
      </w:r>
      <w:r w:rsidRPr="00EB06B5">
        <w:t>25 and</w:t>
      </w:r>
      <w:r w:rsidR="00DE6C7D">
        <w:t> </w:t>
      </w:r>
      <w:r w:rsidRPr="00EB06B5">
        <w:t xml:space="preserve">allowed to lapse as effectively, and increase in appropriation reinstated as an alternative funding source in lieu of Treasurer's Advance budget supplementation. </w:t>
      </w:r>
    </w:p>
    <w:p w14:paraId="2EE16CFA" w14:textId="77777777" w:rsidR="006E51BF" w:rsidRDefault="006E51BF">
      <w:pPr>
        <w:pStyle w:val="ARfinbody"/>
        <w:rPr>
          <w:sz w:val="16"/>
          <w:lang w:eastAsia="en-AU"/>
        </w:rPr>
      </w:pPr>
      <w:r>
        <w:br w:type="page"/>
      </w:r>
    </w:p>
    <w:p w14:paraId="191E9102" w14:textId="77777777" w:rsidR="006E51BF" w:rsidRDefault="006E51BF">
      <w:pPr>
        <w:pStyle w:val="ARfinbody"/>
        <w:rPr>
          <w:lang w:eastAsia="en-AU"/>
        </w:rPr>
        <w:sectPr w:rsidR="006E51BF" w:rsidSect="00E7077C">
          <w:pgSz w:w="16838" w:h="11906" w:orient="landscape" w:code="9"/>
          <w:pgMar w:top="1588" w:right="1134" w:bottom="851" w:left="1134" w:header="680" w:footer="567" w:gutter="0"/>
          <w:cols w:space="340"/>
          <w:docGrid w:linePitch="360"/>
        </w:sectPr>
      </w:pPr>
    </w:p>
    <w:p w14:paraId="44ADB991" w14:textId="77777777" w:rsidR="006E51BF" w:rsidRPr="00801F29" w:rsidRDefault="006E51BF">
      <w:pPr>
        <w:pStyle w:val="ARfinbodybeforetableorfigure"/>
      </w:pPr>
      <w:r w:rsidRPr="002105DE">
        <w:t>The following table discloses the details of compliance with special appropriations:</w:t>
      </w:r>
    </w:p>
    <w:tbl>
      <w:tblPr>
        <w:tblStyle w:val="ARtable2"/>
        <w:tblW w:w="0" w:type="auto"/>
        <w:tblLook w:val="00E0" w:firstRow="1" w:lastRow="1" w:firstColumn="1" w:lastColumn="0" w:noHBand="0" w:noVBand="0"/>
      </w:tblPr>
      <w:tblGrid>
        <w:gridCol w:w="3391"/>
        <w:gridCol w:w="3405"/>
        <w:gridCol w:w="1416"/>
        <w:gridCol w:w="1416"/>
      </w:tblGrid>
      <w:tr w:rsidR="006E51BF" w14:paraId="3EF9641F" w14:textId="77777777" w:rsidTr="00E1009E">
        <w:trPr>
          <w:cnfStyle w:val="100000000000" w:firstRow="1" w:lastRow="0" w:firstColumn="0" w:lastColumn="0" w:oddVBand="0" w:evenVBand="0" w:oddHBand="0" w:evenHBand="0" w:firstRowFirstColumn="0" w:firstRowLastColumn="0" w:lastRowFirstColumn="0" w:lastRowLastColumn="0"/>
          <w:tblHeader/>
        </w:trPr>
        <w:tc>
          <w:tcPr>
            <w:cnfStyle w:val="000010000000" w:firstRow="0" w:lastRow="0" w:firstColumn="0" w:lastColumn="0" w:oddVBand="1" w:evenVBand="0" w:oddHBand="0" w:evenHBand="0" w:firstRowFirstColumn="0" w:firstRowLastColumn="0" w:lastRowFirstColumn="0" w:lastRowLastColumn="0"/>
            <w:tcW w:w="3391" w:type="dxa"/>
            <w:shd w:val="clear" w:color="auto" w:fill="auto"/>
          </w:tcPr>
          <w:p w14:paraId="14989DB6" w14:textId="77777777" w:rsidR="006E51BF" w:rsidRPr="00B41814" w:rsidRDefault="006E51BF">
            <w:pPr>
              <w:pStyle w:val="ARfintablecolhead"/>
            </w:pPr>
            <w:r w:rsidRPr="00B41814">
              <w:t>Authority</w:t>
            </w:r>
          </w:p>
        </w:tc>
        <w:tc>
          <w:tcPr>
            <w:tcW w:w="3405" w:type="dxa"/>
            <w:tcMar>
              <w:left w:w="0" w:type="dxa"/>
            </w:tcMar>
          </w:tcPr>
          <w:p w14:paraId="3DE70BE2" w14:textId="77777777" w:rsidR="006E51BF" w:rsidRPr="00B41814" w:rsidRDefault="006E51BF">
            <w:pPr>
              <w:pStyle w:val="ARfintablecolhead"/>
              <w:ind w:left="113"/>
              <w:cnfStyle w:val="100000000000" w:firstRow="1" w:lastRow="0" w:firstColumn="0" w:lastColumn="0" w:oddVBand="0" w:evenVBand="0" w:oddHBand="0" w:evenHBand="0" w:firstRowFirstColumn="0" w:firstRowLastColumn="0" w:lastRowFirstColumn="0" w:lastRowLastColumn="0"/>
            </w:pPr>
            <w:r w:rsidRPr="00B41814">
              <w:t>Purpose</w:t>
            </w:r>
          </w:p>
        </w:tc>
        <w:tc>
          <w:tcPr>
            <w:cnfStyle w:val="000010000000" w:firstRow="0" w:lastRow="0" w:firstColumn="0" w:lastColumn="0" w:oddVBand="1" w:evenVBand="0" w:oddHBand="0" w:evenHBand="0" w:firstRowFirstColumn="0" w:firstRowLastColumn="0" w:lastRowFirstColumn="0" w:lastRowLastColumn="0"/>
            <w:tcW w:w="1416" w:type="dxa"/>
            <w:tcMar>
              <w:left w:w="0" w:type="nil"/>
              <w:right w:w="0" w:type="nil"/>
            </w:tcMar>
          </w:tcPr>
          <w:p w14:paraId="619684DD" w14:textId="630D1DA0" w:rsidR="00DB102D" w:rsidRDefault="00DB102D">
            <w:pPr>
              <w:pStyle w:val="ARfintablecolheadright"/>
            </w:pPr>
            <w:r w:rsidRPr="00B41814">
              <w:t>Appropriation applied</w:t>
            </w:r>
          </w:p>
          <w:p w14:paraId="63BFC2DA" w14:textId="141415D7" w:rsidR="006E51BF" w:rsidRPr="00B41814" w:rsidRDefault="006E51BF">
            <w:pPr>
              <w:pStyle w:val="ARfintablecolheadright"/>
            </w:pPr>
            <w:r w:rsidRPr="00B41814">
              <w:t>2026</w:t>
            </w:r>
          </w:p>
          <w:p w14:paraId="4EA318A9" w14:textId="77777777" w:rsidR="006E51BF" w:rsidRPr="00B41814" w:rsidRDefault="006E51BF">
            <w:pPr>
              <w:pStyle w:val="ARfintablecolheadright"/>
            </w:pPr>
            <w:r w:rsidRPr="00B41814">
              <w:t>$M</w:t>
            </w:r>
          </w:p>
        </w:tc>
        <w:tc>
          <w:tcPr>
            <w:tcW w:w="1416" w:type="dxa"/>
            <w:tcMar>
              <w:left w:w="0" w:type="nil"/>
              <w:right w:w="0" w:type="nil"/>
            </w:tcMar>
          </w:tcPr>
          <w:p w14:paraId="08A95421" w14:textId="09366057" w:rsidR="00DB102D" w:rsidRDefault="00DB102D">
            <w:pPr>
              <w:pStyle w:val="ARfintablecolheadright"/>
              <w:cnfStyle w:val="100000000000" w:firstRow="1" w:lastRow="0" w:firstColumn="0" w:lastColumn="0" w:oddVBand="0" w:evenVBand="0" w:oddHBand="0" w:evenHBand="0" w:firstRowFirstColumn="0" w:firstRowLastColumn="0" w:lastRowFirstColumn="0" w:lastRowLastColumn="0"/>
            </w:pPr>
            <w:r w:rsidRPr="00B41814">
              <w:t>Appropriation applied</w:t>
            </w:r>
          </w:p>
          <w:p w14:paraId="61F5E1B6" w14:textId="6673EF1F" w:rsidR="006E51BF" w:rsidRPr="00B41814" w:rsidRDefault="006E51BF">
            <w:pPr>
              <w:pStyle w:val="ARfintablecolheadright"/>
              <w:cnfStyle w:val="100000000000" w:firstRow="1" w:lastRow="0" w:firstColumn="0" w:lastColumn="0" w:oddVBand="0" w:evenVBand="0" w:oddHBand="0" w:evenHBand="0" w:firstRowFirstColumn="0" w:firstRowLastColumn="0" w:lastRowFirstColumn="0" w:lastRowLastColumn="0"/>
            </w:pPr>
            <w:r w:rsidRPr="00B41814">
              <w:t>2025</w:t>
            </w:r>
          </w:p>
          <w:p w14:paraId="30E0E68C" w14:textId="77777777" w:rsidR="006E51BF" w:rsidRPr="00B41814" w:rsidRDefault="006E51BF">
            <w:pPr>
              <w:pStyle w:val="ARfintablecolheadright"/>
              <w:cnfStyle w:val="100000000000" w:firstRow="1" w:lastRow="0" w:firstColumn="0" w:lastColumn="0" w:oddVBand="0" w:evenVBand="0" w:oddHBand="0" w:evenHBand="0" w:firstRowFirstColumn="0" w:firstRowLastColumn="0" w:lastRowFirstColumn="0" w:lastRowLastColumn="0"/>
            </w:pPr>
            <w:r w:rsidRPr="00B41814">
              <w:t>$M</w:t>
            </w:r>
          </w:p>
        </w:tc>
      </w:tr>
      <w:tr w:rsidR="006E51BF" w14:paraId="38B08C28" w14:textId="77777777" w:rsidTr="00E1009E">
        <w:tblPrEx>
          <w:tblCellMar>
            <w:left w:w="0" w:type="dxa"/>
          </w:tblCellMar>
        </w:tblPrEx>
        <w:tc>
          <w:tcPr>
            <w:cnfStyle w:val="000010000000" w:firstRow="0" w:lastRow="0" w:firstColumn="0" w:lastColumn="0" w:oddVBand="1" w:evenVBand="0" w:oddHBand="0" w:evenHBand="0" w:firstRowFirstColumn="0" w:firstRowLastColumn="0" w:lastRowFirstColumn="0" w:lastRowLastColumn="0"/>
            <w:tcW w:w="3391" w:type="dxa"/>
            <w:shd w:val="clear" w:color="auto" w:fill="auto"/>
          </w:tcPr>
          <w:p w14:paraId="0082DC3F" w14:textId="77777777" w:rsidR="006E51BF" w:rsidRPr="00B41814" w:rsidRDefault="006E51BF">
            <w:pPr>
              <w:pStyle w:val="ARfintabletext"/>
            </w:pPr>
            <w:r w:rsidRPr="00B41814">
              <w:t xml:space="preserve">Section 5.4.6 of the </w:t>
            </w:r>
            <w:r w:rsidRPr="00B41814">
              <w:rPr>
                <w:rStyle w:val="Emphasis"/>
              </w:rPr>
              <w:t>Gambling Regulation Act 2003</w:t>
            </w:r>
          </w:p>
        </w:tc>
        <w:tc>
          <w:tcPr>
            <w:tcW w:w="3405" w:type="dxa"/>
            <w:tcMar>
              <w:left w:w="0" w:type="dxa"/>
            </w:tcMar>
          </w:tcPr>
          <w:p w14:paraId="37480E57" w14:textId="77777777" w:rsidR="006E51BF" w:rsidRDefault="006E51BF">
            <w:pPr>
              <w:pStyle w:val="ARfintabletext"/>
              <w:ind w:left="113"/>
              <w:cnfStyle w:val="000000000000" w:firstRow="0" w:lastRow="0" w:firstColumn="0" w:lastColumn="0" w:oddVBand="0" w:evenVBand="0" w:oddHBand="0" w:evenHBand="0" w:firstRowFirstColumn="0" w:firstRowLastColumn="0" w:lastRowFirstColumn="0" w:lastRowLastColumn="0"/>
              <w:rPr>
                <w:lang w:eastAsia="en-AU"/>
              </w:rPr>
            </w:pPr>
            <w:r w:rsidRPr="002105DE">
              <w:rPr>
                <w:lang w:eastAsia="en-AU"/>
              </w:rPr>
              <w:t>Contribution to the Mental Health Fund</w:t>
            </w:r>
          </w:p>
        </w:tc>
        <w:tc>
          <w:tcPr>
            <w:cnfStyle w:val="000010000000" w:firstRow="0" w:lastRow="0" w:firstColumn="0" w:lastColumn="0" w:oddVBand="1" w:evenVBand="0" w:oddHBand="0" w:evenHBand="0" w:firstRowFirstColumn="0" w:firstRowLastColumn="0" w:lastRowFirstColumn="0" w:lastRowLastColumn="0"/>
            <w:tcW w:w="1416" w:type="dxa"/>
            <w:tcMar>
              <w:left w:w="0" w:type="nil"/>
              <w:right w:w="0" w:type="nil"/>
            </w:tcMar>
          </w:tcPr>
          <w:p w14:paraId="625AF4F3" w14:textId="77777777" w:rsidR="006E51BF" w:rsidRDefault="006E51BF">
            <w:pPr>
              <w:pStyle w:val="ARfintabletextright"/>
            </w:pPr>
            <w:r w:rsidRPr="002105DE">
              <w:t>63.9</w:t>
            </w:r>
          </w:p>
        </w:tc>
        <w:tc>
          <w:tcPr>
            <w:tcW w:w="1416" w:type="dxa"/>
            <w:tcMar>
              <w:left w:w="0" w:type="nil"/>
              <w:right w:w="0" w:type="nil"/>
            </w:tcMar>
          </w:tcPr>
          <w:p w14:paraId="5673EF4F" w14:textId="77777777" w:rsidR="006E51BF"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2105DE">
              <w:t>64.0</w:t>
            </w:r>
          </w:p>
        </w:tc>
      </w:tr>
      <w:tr w:rsidR="006E51BF" w14:paraId="711B2200" w14:textId="77777777" w:rsidTr="00E1009E">
        <w:tblPrEx>
          <w:tblCellMar>
            <w:left w:w="0" w:type="dxa"/>
          </w:tblCellMar>
        </w:tblPrEx>
        <w:tc>
          <w:tcPr>
            <w:cnfStyle w:val="000010000000" w:firstRow="0" w:lastRow="0" w:firstColumn="0" w:lastColumn="0" w:oddVBand="1" w:evenVBand="0" w:oddHBand="0" w:evenHBand="0" w:firstRowFirstColumn="0" w:firstRowLastColumn="0" w:lastRowFirstColumn="0" w:lastRowLastColumn="0"/>
            <w:tcW w:w="3391" w:type="dxa"/>
            <w:shd w:val="clear" w:color="auto" w:fill="auto"/>
          </w:tcPr>
          <w:p w14:paraId="67FDA7EE" w14:textId="038B07DD" w:rsidR="006E51BF" w:rsidRPr="00B41814" w:rsidRDefault="006E51BF">
            <w:pPr>
              <w:pStyle w:val="ARfintabletext"/>
            </w:pPr>
            <w:r w:rsidRPr="00B41814">
              <w:t xml:space="preserve">Section 10 of the </w:t>
            </w:r>
            <w:r w:rsidRPr="00B41814">
              <w:rPr>
                <w:rStyle w:val="Emphasis"/>
              </w:rPr>
              <w:t>Financial Management Act</w:t>
            </w:r>
            <w:r w:rsidR="00610A6F">
              <w:rPr>
                <w:rStyle w:val="Emphasis"/>
              </w:rPr>
              <w:t> </w:t>
            </w:r>
            <w:r w:rsidRPr="00B41814">
              <w:rPr>
                <w:rStyle w:val="Emphasis"/>
              </w:rPr>
              <w:t>1994</w:t>
            </w:r>
          </w:p>
        </w:tc>
        <w:tc>
          <w:tcPr>
            <w:tcW w:w="3405" w:type="dxa"/>
            <w:tcMar>
              <w:left w:w="0" w:type="dxa"/>
            </w:tcMar>
          </w:tcPr>
          <w:p w14:paraId="092047A8" w14:textId="5350E7E3" w:rsidR="006E51BF" w:rsidRDefault="006E51BF">
            <w:pPr>
              <w:pStyle w:val="ARfintabletext"/>
              <w:ind w:left="113"/>
              <w:cnfStyle w:val="000000000000" w:firstRow="0" w:lastRow="0" w:firstColumn="0" w:lastColumn="0" w:oddVBand="0" w:evenVBand="0" w:oddHBand="0" w:evenHBand="0" w:firstRowFirstColumn="0" w:firstRowLastColumn="0" w:lastRowFirstColumn="0" w:lastRowLastColumn="0"/>
              <w:rPr>
                <w:lang w:eastAsia="en-AU"/>
              </w:rPr>
            </w:pPr>
            <w:r w:rsidRPr="002105DE">
              <w:rPr>
                <w:lang w:eastAsia="en-AU"/>
              </w:rPr>
              <w:t xml:space="preserve">Access to various Commonwealth grants </w:t>
            </w:r>
            <w:r w:rsidRPr="008406EE">
              <w:rPr>
                <w:b/>
                <w:bCs/>
                <w:lang w:eastAsia="en-AU"/>
              </w:rPr>
              <w:t>–</w:t>
            </w:r>
            <w:r w:rsidRPr="002105DE">
              <w:rPr>
                <w:lang w:eastAsia="en-AU"/>
              </w:rPr>
              <w:t xml:space="preserve"> provision of outputs</w:t>
            </w:r>
          </w:p>
        </w:tc>
        <w:tc>
          <w:tcPr>
            <w:cnfStyle w:val="000010000000" w:firstRow="0" w:lastRow="0" w:firstColumn="0" w:lastColumn="0" w:oddVBand="1" w:evenVBand="0" w:oddHBand="0" w:evenHBand="0" w:firstRowFirstColumn="0" w:firstRowLastColumn="0" w:lastRowFirstColumn="0" w:lastRowLastColumn="0"/>
            <w:tcW w:w="1416" w:type="dxa"/>
            <w:tcMar>
              <w:left w:w="0" w:type="nil"/>
              <w:right w:w="0" w:type="nil"/>
            </w:tcMar>
          </w:tcPr>
          <w:p w14:paraId="3669A49D" w14:textId="77777777" w:rsidR="006E51BF" w:rsidRDefault="006E51BF">
            <w:pPr>
              <w:pStyle w:val="ARfintabletextright"/>
            </w:pPr>
            <w:r w:rsidRPr="002105DE">
              <w:t>15.7</w:t>
            </w:r>
          </w:p>
        </w:tc>
        <w:tc>
          <w:tcPr>
            <w:tcW w:w="1416" w:type="dxa"/>
            <w:tcMar>
              <w:left w:w="0" w:type="nil"/>
              <w:right w:w="0" w:type="nil"/>
            </w:tcMar>
          </w:tcPr>
          <w:p w14:paraId="0DDCF7CD" w14:textId="77777777" w:rsidR="006E51BF"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2105DE">
              <w:t>36.6</w:t>
            </w:r>
          </w:p>
        </w:tc>
      </w:tr>
      <w:tr w:rsidR="006E51BF" w14:paraId="05E63826" w14:textId="77777777" w:rsidTr="00E1009E">
        <w:tblPrEx>
          <w:tblCellMar>
            <w:left w:w="0" w:type="dxa"/>
          </w:tblCellMar>
        </w:tblPrEx>
        <w:tc>
          <w:tcPr>
            <w:cnfStyle w:val="000010000000" w:firstRow="0" w:lastRow="0" w:firstColumn="0" w:lastColumn="0" w:oddVBand="1" w:evenVBand="0" w:oddHBand="0" w:evenHBand="0" w:firstRowFirstColumn="0" w:firstRowLastColumn="0" w:lastRowFirstColumn="0" w:lastRowLastColumn="0"/>
            <w:tcW w:w="3391" w:type="dxa"/>
            <w:shd w:val="clear" w:color="auto" w:fill="auto"/>
          </w:tcPr>
          <w:p w14:paraId="38F4527C" w14:textId="74ADF7A2" w:rsidR="006E51BF" w:rsidRPr="00B41814" w:rsidRDefault="006E51BF">
            <w:pPr>
              <w:pStyle w:val="ARfintabletextbold"/>
            </w:pPr>
            <w:r w:rsidRPr="00B41814">
              <w:t>Total special appropriations – Provision</w:t>
            </w:r>
            <w:r w:rsidR="00DE6C7D">
              <w:t> </w:t>
            </w:r>
            <w:r w:rsidRPr="00B41814">
              <w:t>of outputs</w:t>
            </w:r>
          </w:p>
        </w:tc>
        <w:tc>
          <w:tcPr>
            <w:tcW w:w="3405" w:type="dxa"/>
            <w:tcMar>
              <w:left w:w="0" w:type="dxa"/>
            </w:tcMar>
          </w:tcPr>
          <w:p w14:paraId="100D3BE3" w14:textId="77777777" w:rsidR="006E51BF" w:rsidRDefault="006E51BF">
            <w:pPr>
              <w:pStyle w:val="ARfintabletext"/>
              <w:ind w:left="113"/>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1416" w:type="dxa"/>
            <w:tcMar>
              <w:left w:w="0" w:type="nil"/>
              <w:right w:w="0" w:type="nil"/>
            </w:tcMar>
          </w:tcPr>
          <w:p w14:paraId="66BF28F6" w14:textId="77777777" w:rsidR="006E51BF" w:rsidRDefault="006E51BF">
            <w:pPr>
              <w:pStyle w:val="ARfintabletextboldright"/>
            </w:pPr>
            <w:r w:rsidRPr="002105DE">
              <w:t>79.6</w:t>
            </w:r>
          </w:p>
        </w:tc>
        <w:tc>
          <w:tcPr>
            <w:tcW w:w="1416" w:type="dxa"/>
            <w:tcMar>
              <w:left w:w="0" w:type="nil"/>
              <w:right w:w="0" w:type="nil"/>
            </w:tcMar>
          </w:tcPr>
          <w:p w14:paraId="4E9359BB" w14:textId="77777777" w:rsidR="006E51BF" w:rsidRDefault="006E51BF">
            <w:pPr>
              <w:pStyle w:val="ARfintabletextboldright"/>
              <w:cnfStyle w:val="000000000000" w:firstRow="0" w:lastRow="0" w:firstColumn="0" w:lastColumn="0" w:oddVBand="0" w:evenVBand="0" w:oddHBand="0" w:evenHBand="0" w:firstRowFirstColumn="0" w:firstRowLastColumn="0" w:lastRowFirstColumn="0" w:lastRowLastColumn="0"/>
            </w:pPr>
            <w:r w:rsidRPr="002105DE">
              <w:t>100.6</w:t>
            </w:r>
          </w:p>
        </w:tc>
      </w:tr>
      <w:tr w:rsidR="006E51BF" w14:paraId="1D56CEE2" w14:textId="77777777" w:rsidTr="00E1009E">
        <w:tblPrEx>
          <w:tblCellMar>
            <w:left w:w="0" w:type="dxa"/>
          </w:tblCellMar>
        </w:tblPrEx>
        <w:tc>
          <w:tcPr>
            <w:cnfStyle w:val="000010000000" w:firstRow="0" w:lastRow="0" w:firstColumn="0" w:lastColumn="0" w:oddVBand="1" w:evenVBand="0" w:oddHBand="0" w:evenHBand="0" w:firstRowFirstColumn="0" w:firstRowLastColumn="0" w:lastRowFirstColumn="0" w:lastRowLastColumn="0"/>
            <w:tcW w:w="3391" w:type="dxa"/>
            <w:shd w:val="clear" w:color="auto" w:fill="auto"/>
          </w:tcPr>
          <w:p w14:paraId="6C04BBC8" w14:textId="6D2B5661" w:rsidR="006E51BF" w:rsidRPr="00B41814" w:rsidRDefault="006E51BF">
            <w:pPr>
              <w:pStyle w:val="ARfintabletext"/>
            </w:pPr>
            <w:r w:rsidRPr="00B41814">
              <w:t xml:space="preserve">Section 10 of the </w:t>
            </w:r>
            <w:r w:rsidRPr="00B41814">
              <w:rPr>
                <w:rStyle w:val="Emphasis"/>
              </w:rPr>
              <w:t>Financial Management Act</w:t>
            </w:r>
            <w:r w:rsidR="00610A6F">
              <w:rPr>
                <w:rStyle w:val="Emphasis"/>
              </w:rPr>
              <w:t> </w:t>
            </w:r>
            <w:r w:rsidRPr="00B41814">
              <w:rPr>
                <w:rStyle w:val="Emphasis"/>
              </w:rPr>
              <w:t>1994</w:t>
            </w:r>
          </w:p>
        </w:tc>
        <w:tc>
          <w:tcPr>
            <w:tcW w:w="3405" w:type="dxa"/>
            <w:tcMar>
              <w:left w:w="0" w:type="dxa"/>
            </w:tcMar>
          </w:tcPr>
          <w:p w14:paraId="0CA4C76B" w14:textId="4BDC08F8" w:rsidR="006E51BF" w:rsidRDefault="006E51BF">
            <w:pPr>
              <w:pStyle w:val="ARfintabletext"/>
              <w:ind w:left="113"/>
              <w:cnfStyle w:val="000000000000" w:firstRow="0" w:lastRow="0" w:firstColumn="0" w:lastColumn="0" w:oddVBand="0" w:evenVBand="0" w:oddHBand="0" w:evenHBand="0" w:firstRowFirstColumn="0" w:firstRowLastColumn="0" w:lastRowFirstColumn="0" w:lastRowLastColumn="0"/>
              <w:rPr>
                <w:lang w:eastAsia="en-AU"/>
              </w:rPr>
            </w:pPr>
            <w:r w:rsidRPr="002105DE">
              <w:rPr>
                <w:lang w:eastAsia="en-AU"/>
              </w:rPr>
              <w:t xml:space="preserve">Access to various Commonwealth grants </w:t>
            </w:r>
            <w:r w:rsidRPr="008406EE">
              <w:rPr>
                <w:b/>
                <w:bCs/>
                <w:lang w:eastAsia="en-AU"/>
              </w:rPr>
              <w:t>–</w:t>
            </w:r>
            <w:r w:rsidRPr="002105DE">
              <w:rPr>
                <w:lang w:eastAsia="en-AU"/>
              </w:rPr>
              <w:t xml:space="preserve"> addition to net assets</w:t>
            </w:r>
          </w:p>
        </w:tc>
        <w:tc>
          <w:tcPr>
            <w:cnfStyle w:val="000010000000" w:firstRow="0" w:lastRow="0" w:firstColumn="0" w:lastColumn="0" w:oddVBand="1" w:evenVBand="0" w:oddHBand="0" w:evenHBand="0" w:firstRowFirstColumn="0" w:firstRowLastColumn="0" w:lastRowFirstColumn="0" w:lastRowLastColumn="0"/>
            <w:tcW w:w="1416" w:type="dxa"/>
            <w:tcMar>
              <w:left w:w="0" w:type="nil"/>
              <w:right w:w="0" w:type="nil"/>
            </w:tcMar>
          </w:tcPr>
          <w:p w14:paraId="28830CBE" w14:textId="77777777" w:rsidR="006E51BF" w:rsidRDefault="006E51BF">
            <w:pPr>
              <w:pStyle w:val="ARfintabletextright"/>
            </w:pPr>
            <w:r w:rsidRPr="002105DE">
              <w:t>167.7</w:t>
            </w:r>
          </w:p>
        </w:tc>
        <w:tc>
          <w:tcPr>
            <w:tcW w:w="1416" w:type="dxa"/>
            <w:tcMar>
              <w:left w:w="0" w:type="nil"/>
              <w:right w:w="0" w:type="nil"/>
            </w:tcMar>
          </w:tcPr>
          <w:p w14:paraId="468CA9B1" w14:textId="77777777" w:rsidR="006E51BF"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2105DE">
              <w:t>123.2</w:t>
            </w:r>
          </w:p>
        </w:tc>
      </w:tr>
      <w:tr w:rsidR="006E51BF" w14:paraId="25DCE12C" w14:textId="77777777" w:rsidTr="00E1009E">
        <w:tblPrEx>
          <w:tblCellMar>
            <w:left w:w="0" w:type="dxa"/>
          </w:tblCellMar>
        </w:tblPrEx>
        <w:tc>
          <w:tcPr>
            <w:cnfStyle w:val="000010000000" w:firstRow="0" w:lastRow="0" w:firstColumn="0" w:lastColumn="0" w:oddVBand="1" w:evenVBand="0" w:oddHBand="0" w:evenHBand="0" w:firstRowFirstColumn="0" w:firstRowLastColumn="0" w:lastRowFirstColumn="0" w:lastRowLastColumn="0"/>
            <w:tcW w:w="3391" w:type="dxa"/>
            <w:shd w:val="clear" w:color="auto" w:fill="auto"/>
          </w:tcPr>
          <w:p w14:paraId="264B76F1" w14:textId="77777777" w:rsidR="006E51BF" w:rsidRPr="00B41814" w:rsidRDefault="006E51BF">
            <w:pPr>
              <w:pStyle w:val="ARfintabletextbold"/>
            </w:pPr>
            <w:r w:rsidRPr="00B41814">
              <w:t xml:space="preserve">Total special appropriations – </w:t>
            </w:r>
            <w:r>
              <w:br/>
            </w:r>
            <w:r w:rsidRPr="00B41814">
              <w:t>Addition to net assets</w:t>
            </w:r>
          </w:p>
        </w:tc>
        <w:tc>
          <w:tcPr>
            <w:tcW w:w="3405" w:type="dxa"/>
            <w:tcMar>
              <w:left w:w="0" w:type="dxa"/>
            </w:tcMar>
          </w:tcPr>
          <w:p w14:paraId="381EAFED" w14:textId="77777777" w:rsidR="006E51BF" w:rsidRDefault="006E51BF">
            <w:pPr>
              <w:pStyle w:val="ARfintabletext"/>
              <w:ind w:left="113"/>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1416" w:type="dxa"/>
            <w:tcMar>
              <w:left w:w="0" w:type="nil"/>
              <w:right w:w="0" w:type="nil"/>
            </w:tcMar>
          </w:tcPr>
          <w:p w14:paraId="0C4FEFAB" w14:textId="77777777" w:rsidR="006E51BF" w:rsidRDefault="006E51BF">
            <w:pPr>
              <w:pStyle w:val="ARfintabletextboldright"/>
            </w:pPr>
            <w:r w:rsidRPr="002105DE">
              <w:t>167.7</w:t>
            </w:r>
          </w:p>
        </w:tc>
        <w:tc>
          <w:tcPr>
            <w:tcW w:w="1416" w:type="dxa"/>
            <w:tcMar>
              <w:left w:w="0" w:type="nil"/>
              <w:right w:w="0" w:type="nil"/>
            </w:tcMar>
          </w:tcPr>
          <w:p w14:paraId="71AA1B0E" w14:textId="77777777" w:rsidR="006E51BF" w:rsidRDefault="006E51BF">
            <w:pPr>
              <w:pStyle w:val="ARfintabletextboldright"/>
              <w:cnfStyle w:val="000000000000" w:firstRow="0" w:lastRow="0" w:firstColumn="0" w:lastColumn="0" w:oddVBand="0" w:evenVBand="0" w:oddHBand="0" w:evenHBand="0" w:firstRowFirstColumn="0" w:firstRowLastColumn="0" w:lastRowFirstColumn="0" w:lastRowLastColumn="0"/>
            </w:pPr>
            <w:r w:rsidRPr="002105DE">
              <w:t>123.2</w:t>
            </w:r>
          </w:p>
        </w:tc>
      </w:tr>
      <w:tr w:rsidR="006E51BF" w14:paraId="73D16545" w14:textId="77777777" w:rsidTr="00E1009E">
        <w:tblPrEx>
          <w:tblCellMar>
            <w:left w:w="0" w:type="dxa"/>
          </w:tblCellMar>
        </w:tblPrEx>
        <w:trPr>
          <w:cnfStyle w:val="010000000000" w:firstRow="0" w:lastRow="1" w:firstColumn="0" w:lastColumn="0" w:oddVBand="0" w:evenVBand="0" w:oddHBand="0" w:evenHBand="0" w:firstRowFirstColumn="0" w:firstRowLastColumn="0" w:lastRowFirstColumn="0" w:lastRowLastColumn="0"/>
          <w:trHeight w:val="54"/>
        </w:trPr>
        <w:tc>
          <w:tcPr>
            <w:cnfStyle w:val="000010000000" w:firstRow="0" w:lastRow="0" w:firstColumn="0" w:lastColumn="0" w:oddVBand="1" w:evenVBand="0" w:oddHBand="0" w:evenHBand="0" w:firstRowFirstColumn="0" w:firstRowLastColumn="0" w:lastRowFirstColumn="0" w:lastRowLastColumn="0"/>
            <w:tcW w:w="3391" w:type="dxa"/>
            <w:shd w:val="clear" w:color="auto" w:fill="auto"/>
          </w:tcPr>
          <w:p w14:paraId="25B71CD8" w14:textId="77777777" w:rsidR="006E51BF" w:rsidRPr="00B41814" w:rsidRDefault="006E51BF">
            <w:pPr>
              <w:pStyle w:val="ARfintabletextbold"/>
            </w:pPr>
            <w:r w:rsidRPr="00B41814">
              <w:t>Total special appropriations</w:t>
            </w:r>
          </w:p>
        </w:tc>
        <w:tc>
          <w:tcPr>
            <w:tcW w:w="3405" w:type="dxa"/>
            <w:tcMar>
              <w:left w:w="0" w:type="dxa"/>
            </w:tcMar>
          </w:tcPr>
          <w:p w14:paraId="7CDA455C" w14:textId="77777777" w:rsidR="006E51BF" w:rsidRDefault="006E51BF">
            <w:pPr>
              <w:pStyle w:val="ARfintabletext"/>
              <w:ind w:left="113"/>
              <w:cnfStyle w:val="010000000000" w:firstRow="0" w:lastRow="1"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1416" w:type="dxa"/>
            <w:tcMar>
              <w:left w:w="0" w:type="nil"/>
              <w:right w:w="0" w:type="nil"/>
            </w:tcMar>
          </w:tcPr>
          <w:p w14:paraId="5CA3D1C8" w14:textId="77777777" w:rsidR="006E51BF" w:rsidRDefault="006E51BF">
            <w:pPr>
              <w:pStyle w:val="ARfintabletextboldright"/>
            </w:pPr>
            <w:r w:rsidRPr="002105DE">
              <w:t>247.3</w:t>
            </w:r>
          </w:p>
        </w:tc>
        <w:tc>
          <w:tcPr>
            <w:tcW w:w="1416" w:type="dxa"/>
            <w:tcMar>
              <w:left w:w="0" w:type="nil"/>
              <w:right w:w="0" w:type="nil"/>
            </w:tcMar>
          </w:tcPr>
          <w:p w14:paraId="13B3CD23" w14:textId="77777777" w:rsidR="006E51BF" w:rsidRDefault="006E51BF">
            <w:pPr>
              <w:pStyle w:val="ARfintabletextboldright"/>
              <w:cnfStyle w:val="010000000000" w:firstRow="0" w:lastRow="1" w:firstColumn="0" w:lastColumn="0" w:oddVBand="0" w:evenVBand="0" w:oddHBand="0" w:evenHBand="0" w:firstRowFirstColumn="0" w:firstRowLastColumn="0" w:lastRowFirstColumn="0" w:lastRowLastColumn="0"/>
            </w:pPr>
            <w:r w:rsidRPr="002105DE">
              <w:t>223.8</w:t>
            </w:r>
          </w:p>
        </w:tc>
      </w:tr>
    </w:tbl>
    <w:p w14:paraId="4326F2B1" w14:textId="77777777" w:rsidR="006E51BF" w:rsidRDefault="006E51BF">
      <w:pPr>
        <w:pStyle w:val="Heading4"/>
        <w:rPr>
          <w:lang w:eastAsia="en-AU"/>
        </w:rPr>
      </w:pPr>
      <w:r w:rsidRPr="00D97823">
        <w:rPr>
          <w:lang w:eastAsia="en-AU"/>
        </w:rPr>
        <w:t xml:space="preserve">2.4 </w:t>
      </w:r>
      <w:r>
        <w:rPr>
          <w:lang w:eastAsia="en-AU"/>
        </w:rPr>
        <w:tab/>
      </w:r>
      <w:r w:rsidRPr="00D97823">
        <w:rPr>
          <w:lang w:eastAsia="en-AU"/>
        </w:rPr>
        <w:t>Income from transactions</w:t>
      </w:r>
    </w:p>
    <w:p w14:paraId="4839360F" w14:textId="77777777" w:rsidR="006E51BF" w:rsidRDefault="006E51BF">
      <w:pPr>
        <w:pStyle w:val="Heading5"/>
      </w:pPr>
      <w:r w:rsidRPr="00D97823">
        <w:rPr>
          <w:lang w:eastAsia="en-AU"/>
        </w:rPr>
        <w:t xml:space="preserve">2.4.1 </w:t>
      </w:r>
      <w:r>
        <w:rPr>
          <w:lang w:eastAsia="en-AU"/>
        </w:rPr>
        <w:tab/>
      </w:r>
      <w:r w:rsidRPr="00D97823">
        <w:rPr>
          <w:lang w:eastAsia="en-AU"/>
        </w:rPr>
        <w:t>Rental income</w:t>
      </w:r>
    </w:p>
    <w:tbl>
      <w:tblPr>
        <w:tblStyle w:val="ARtable1"/>
        <w:tblW w:w="5000" w:type="pct"/>
        <w:tblLook w:val="00E0" w:firstRow="1" w:lastRow="1" w:firstColumn="1" w:lastColumn="0" w:noHBand="0" w:noVBand="0"/>
      </w:tblPr>
      <w:tblGrid>
        <w:gridCol w:w="6800"/>
        <w:gridCol w:w="1417"/>
        <w:gridCol w:w="1411"/>
      </w:tblGrid>
      <w:tr w:rsidR="006E51BF" w:rsidRPr="00D97823" w14:paraId="20A35C5E" w14:textId="77777777" w:rsidTr="00281F95">
        <w:trPr>
          <w:cnfStyle w:val="100000000000" w:firstRow="1" w:lastRow="0" w:firstColumn="0" w:lastColumn="0" w:oddVBand="0" w:evenVBand="0" w:oddHBand="0" w:evenHBand="0" w:firstRowFirstColumn="0" w:firstRowLastColumn="0" w:lastRowFirstColumn="0" w:lastRowLastColumn="0"/>
          <w:trHeight w:val="20"/>
          <w:tblHeader/>
        </w:trPr>
        <w:tc>
          <w:tcPr>
            <w:tcW w:w="3531" w:type="pct"/>
            <w:noWrap/>
            <w:hideMark/>
          </w:tcPr>
          <w:p w14:paraId="55DBBB69" w14:textId="77777777" w:rsidR="006E51BF" w:rsidRPr="00D97823" w:rsidRDefault="006E51BF">
            <w:pPr>
              <w:pStyle w:val="ARfintablecolheadright"/>
              <w:rPr>
                <w:lang w:eastAsia="en-AU"/>
              </w:rPr>
            </w:pPr>
          </w:p>
        </w:tc>
        <w:tc>
          <w:tcPr>
            <w:cnfStyle w:val="000001000000" w:firstRow="0" w:lastRow="0" w:firstColumn="0" w:lastColumn="0" w:oddVBand="0" w:evenVBand="1" w:oddHBand="0" w:evenHBand="0" w:firstRowFirstColumn="0" w:firstRowLastColumn="0" w:lastRowFirstColumn="0" w:lastRowLastColumn="0"/>
            <w:tcW w:w="736" w:type="pct"/>
            <w:noWrap/>
            <w:hideMark/>
          </w:tcPr>
          <w:p w14:paraId="69B17C71" w14:textId="77777777" w:rsidR="006E51BF" w:rsidRPr="00D97823" w:rsidRDefault="006E51BF">
            <w:pPr>
              <w:pStyle w:val="ARfintablecolheadright"/>
              <w:rPr>
                <w:bCs/>
                <w:lang w:eastAsia="en-AU"/>
              </w:rPr>
            </w:pPr>
            <w:r w:rsidRPr="00D97823">
              <w:rPr>
                <w:bCs/>
                <w:lang w:eastAsia="en-AU"/>
              </w:rPr>
              <w:t>2026</w:t>
            </w:r>
          </w:p>
          <w:p w14:paraId="58FFD7F6" w14:textId="77777777" w:rsidR="006E51BF" w:rsidRPr="00D97823" w:rsidRDefault="006E51BF">
            <w:pPr>
              <w:pStyle w:val="ARfintablecolheadright"/>
              <w:rPr>
                <w:bCs/>
                <w:lang w:eastAsia="en-AU"/>
              </w:rPr>
            </w:pPr>
            <w:r w:rsidRPr="00D97823">
              <w:rPr>
                <w:bCs/>
                <w:lang w:eastAsia="en-AU"/>
              </w:rPr>
              <w:t>$M</w:t>
            </w:r>
          </w:p>
        </w:tc>
        <w:tc>
          <w:tcPr>
            <w:tcW w:w="733" w:type="pct"/>
            <w:noWrap/>
            <w:hideMark/>
          </w:tcPr>
          <w:p w14:paraId="6A0CDB32" w14:textId="77777777" w:rsidR="006E51BF" w:rsidRPr="00D97823" w:rsidRDefault="006E51BF">
            <w:pPr>
              <w:pStyle w:val="ARfintablecolheadright"/>
              <w:cnfStyle w:val="100000000000" w:firstRow="1" w:lastRow="0" w:firstColumn="0" w:lastColumn="0" w:oddVBand="0" w:evenVBand="0" w:oddHBand="0" w:evenHBand="0" w:firstRowFirstColumn="0" w:firstRowLastColumn="0" w:lastRowFirstColumn="0" w:lastRowLastColumn="0"/>
              <w:rPr>
                <w:bCs/>
                <w:lang w:eastAsia="en-AU"/>
              </w:rPr>
            </w:pPr>
            <w:r w:rsidRPr="00D97823">
              <w:rPr>
                <w:bCs/>
                <w:lang w:eastAsia="en-AU"/>
              </w:rPr>
              <w:t>2025</w:t>
            </w:r>
          </w:p>
          <w:p w14:paraId="0A41FD69" w14:textId="77777777" w:rsidR="006E51BF" w:rsidRPr="00D97823" w:rsidRDefault="006E51BF">
            <w:pPr>
              <w:pStyle w:val="ARfintablecolheadright"/>
              <w:cnfStyle w:val="100000000000" w:firstRow="1" w:lastRow="0" w:firstColumn="0" w:lastColumn="0" w:oddVBand="0" w:evenVBand="0" w:oddHBand="0" w:evenHBand="0" w:firstRowFirstColumn="0" w:firstRowLastColumn="0" w:lastRowFirstColumn="0" w:lastRowLastColumn="0"/>
              <w:rPr>
                <w:bCs/>
                <w:lang w:eastAsia="en-AU"/>
              </w:rPr>
            </w:pPr>
            <w:r w:rsidRPr="00D97823">
              <w:rPr>
                <w:bCs/>
                <w:lang w:eastAsia="en-AU"/>
              </w:rPr>
              <w:t>$M</w:t>
            </w:r>
          </w:p>
        </w:tc>
      </w:tr>
      <w:tr w:rsidR="006E51BF" w:rsidRPr="00D97823" w14:paraId="1521B1F6" w14:textId="77777777" w:rsidTr="00281F95">
        <w:trPr>
          <w:cnfStyle w:val="000000100000" w:firstRow="0" w:lastRow="0" w:firstColumn="0" w:lastColumn="0" w:oddVBand="0" w:evenVBand="0" w:oddHBand="1" w:evenHBand="0" w:firstRowFirstColumn="0" w:firstRowLastColumn="0" w:lastRowFirstColumn="0" w:lastRowLastColumn="0"/>
          <w:trHeight w:val="20"/>
        </w:trPr>
        <w:tc>
          <w:tcPr>
            <w:tcW w:w="3531" w:type="pct"/>
            <w:noWrap/>
            <w:hideMark/>
          </w:tcPr>
          <w:p w14:paraId="361B56F8" w14:textId="77777777" w:rsidR="006E51BF" w:rsidRPr="00677F7B" w:rsidRDefault="006E51BF">
            <w:pPr>
              <w:pStyle w:val="ARfintabletext"/>
            </w:pPr>
            <w:r w:rsidRPr="00677F7B">
              <w:t>Rental income</w:t>
            </w:r>
          </w:p>
        </w:tc>
        <w:tc>
          <w:tcPr>
            <w:cnfStyle w:val="000001000000" w:firstRow="0" w:lastRow="0" w:firstColumn="0" w:lastColumn="0" w:oddVBand="0" w:evenVBand="1" w:oddHBand="0" w:evenHBand="0" w:firstRowFirstColumn="0" w:firstRowLastColumn="0" w:lastRowFirstColumn="0" w:lastRowLastColumn="0"/>
            <w:tcW w:w="736" w:type="pct"/>
            <w:noWrap/>
            <w:hideMark/>
          </w:tcPr>
          <w:p w14:paraId="51E4333F" w14:textId="77777777" w:rsidR="006E51BF" w:rsidRPr="00677F7B" w:rsidRDefault="006E51BF">
            <w:pPr>
              <w:pStyle w:val="ARfintabletextright"/>
            </w:pPr>
            <w:r w:rsidRPr="00677F7B">
              <w:t>1,242.2</w:t>
            </w:r>
          </w:p>
        </w:tc>
        <w:tc>
          <w:tcPr>
            <w:tcW w:w="733" w:type="pct"/>
            <w:noWrap/>
            <w:hideMark/>
          </w:tcPr>
          <w:p w14:paraId="3A8ED8D8" w14:textId="77777777" w:rsidR="006E51BF" w:rsidRPr="00677F7B"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677F7B">
              <w:t>1,181.2</w:t>
            </w:r>
          </w:p>
        </w:tc>
      </w:tr>
      <w:tr w:rsidR="006E51BF" w:rsidRPr="00D97823" w14:paraId="19F78A51" w14:textId="77777777" w:rsidTr="00281F95">
        <w:trPr>
          <w:cnfStyle w:val="000000010000" w:firstRow="0" w:lastRow="0" w:firstColumn="0" w:lastColumn="0" w:oddVBand="0" w:evenVBand="0" w:oddHBand="0" w:evenHBand="1" w:firstRowFirstColumn="0" w:firstRowLastColumn="0" w:lastRowFirstColumn="0" w:lastRowLastColumn="0"/>
          <w:trHeight w:val="20"/>
        </w:trPr>
        <w:tc>
          <w:tcPr>
            <w:tcW w:w="3531" w:type="pct"/>
            <w:noWrap/>
            <w:hideMark/>
          </w:tcPr>
          <w:p w14:paraId="48B4D587" w14:textId="77777777" w:rsidR="006E51BF" w:rsidRPr="00677F7B" w:rsidRDefault="006E51BF">
            <w:pPr>
              <w:pStyle w:val="ARfintabletext"/>
            </w:pPr>
            <w:r w:rsidRPr="00677F7B">
              <w:t>Rental rebates</w:t>
            </w:r>
          </w:p>
        </w:tc>
        <w:tc>
          <w:tcPr>
            <w:cnfStyle w:val="000001000000" w:firstRow="0" w:lastRow="0" w:firstColumn="0" w:lastColumn="0" w:oddVBand="0" w:evenVBand="1" w:oddHBand="0" w:evenHBand="0" w:firstRowFirstColumn="0" w:firstRowLastColumn="0" w:lastRowFirstColumn="0" w:lastRowLastColumn="0"/>
            <w:tcW w:w="736" w:type="pct"/>
            <w:noWrap/>
            <w:hideMark/>
          </w:tcPr>
          <w:p w14:paraId="5C70677F" w14:textId="77777777" w:rsidR="006E51BF" w:rsidRPr="00677F7B" w:rsidRDefault="006E51BF">
            <w:pPr>
              <w:pStyle w:val="ARfintabletextright"/>
            </w:pPr>
            <w:r w:rsidRPr="00677F7B">
              <w:t>(612.3)</w:t>
            </w:r>
          </w:p>
        </w:tc>
        <w:tc>
          <w:tcPr>
            <w:tcW w:w="733" w:type="pct"/>
            <w:noWrap/>
            <w:hideMark/>
          </w:tcPr>
          <w:p w14:paraId="5F3F499A" w14:textId="77777777" w:rsidR="006E51BF" w:rsidRPr="00677F7B"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677F7B">
              <w:t>(583.2)</w:t>
            </w:r>
          </w:p>
        </w:tc>
      </w:tr>
      <w:tr w:rsidR="006E51BF" w:rsidRPr="00D97823" w14:paraId="19700DAA" w14:textId="77777777" w:rsidTr="00281F95">
        <w:trPr>
          <w:cnfStyle w:val="000000100000" w:firstRow="0" w:lastRow="0" w:firstColumn="0" w:lastColumn="0" w:oddVBand="0" w:evenVBand="0" w:oddHBand="1" w:evenHBand="0" w:firstRowFirstColumn="0" w:firstRowLastColumn="0" w:lastRowFirstColumn="0" w:lastRowLastColumn="0"/>
          <w:trHeight w:val="20"/>
        </w:trPr>
        <w:tc>
          <w:tcPr>
            <w:tcW w:w="3531" w:type="pct"/>
            <w:noWrap/>
            <w:hideMark/>
          </w:tcPr>
          <w:p w14:paraId="4881F215" w14:textId="77777777" w:rsidR="006E51BF" w:rsidRPr="00677F7B" w:rsidRDefault="006E51BF">
            <w:pPr>
              <w:pStyle w:val="ARfintabletext"/>
            </w:pPr>
            <w:r w:rsidRPr="00677F7B">
              <w:t>Rental subsidies</w:t>
            </w:r>
          </w:p>
        </w:tc>
        <w:tc>
          <w:tcPr>
            <w:cnfStyle w:val="000001000000" w:firstRow="0" w:lastRow="0" w:firstColumn="0" w:lastColumn="0" w:oddVBand="0" w:evenVBand="1" w:oddHBand="0" w:evenHBand="0" w:firstRowFirstColumn="0" w:firstRowLastColumn="0" w:lastRowFirstColumn="0" w:lastRowLastColumn="0"/>
            <w:tcW w:w="736" w:type="pct"/>
            <w:noWrap/>
            <w:hideMark/>
          </w:tcPr>
          <w:p w14:paraId="3C30F35C" w14:textId="77777777" w:rsidR="006E51BF" w:rsidRPr="00677F7B" w:rsidRDefault="006E51BF">
            <w:pPr>
              <w:pStyle w:val="ARfintabletextright"/>
            </w:pPr>
            <w:r w:rsidRPr="00677F7B">
              <w:t>(11.3)</w:t>
            </w:r>
          </w:p>
        </w:tc>
        <w:tc>
          <w:tcPr>
            <w:tcW w:w="733" w:type="pct"/>
            <w:noWrap/>
            <w:hideMark/>
          </w:tcPr>
          <w:p w14:paraId="3CF4E132" w14:textId="77777777" w:rsidR="006E51BF" w:rsidRPr="00677F7B"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677F7B">
              <w:t>(10.6)</w:t>
            </w:r>
          </w:p>
        </w:tc>
      </w:tr>
      <w:tr w:rsidR="006E51BF" w:rsidRPr="00D97823" w14:paraId="2C59493A" w14:textId="77777777" w:rsidTr="00281F95">
        <w:trPr>
          <w:cnfStyle w:val="000000010000" w:firstRow="0" w:lastRow="0" w:firstColumn="0" w:lastColumn="0" w:oddVBand="0" w:evenVBand="0" w:oddHBand="0" w:evenHBand="1" w:firstRowFirstColumn="0" w:firstRowLastColumn="0" w:lastRowFirstColumn="0" w:lastRowLastColumn="0"/>
          <w:trHeight w:val="20"/>
        </w:trPr>
        <w:tc>
          <w:tcPr>
            <w:tcW w:w="3531" w:type="pct"/>
            <w:noWrap/>
            <w:hideMark/>
          </w:tcPr>
          <w:p w14:paraId="7AC8E5B5" w14:textId="77777777" w:rsidR="006E51BF" w:rsidRPr="00677F7B" w:rsidRDefault="006E51BF">
            <w:pPr>
              <w:pStyle w:val="ARfintabletextbold"/>
            </w:pPr>
            <w:r w:rsidRPr="00677F7B">
              <w:t>Total net rental</w:t>
            </w:r>
          </w:p>
        </w:tc>
        <w:tc>
          <w:tcPr>
            <w:cnfStyle w:val="000001000000" w:firstRow="0" w:lastRow="0" w:firstColumn="0" w:lastColumn="0" w:oddVBand="0" w:evenVBand="1" w:oddHBand="0" w:evenHBand="0" w:firstRowFirstColumn="0" w:firstRowLastColumn="0" w:lastRowFirstColumn="0" w:lastRowLastColumn="0"/>
            <w:tcW w:w="736" w:type="pct"/>
            <w:noWrap/>
            <w:hideMark/>
          </w:tcPr>
          <w:p w14:paraId="08213E61" w14:textId="77777777" w:rsidR="006E51BF" w:rsidRPr="00677F7B" w:rsidRDefault="006E51BF">
            <w:pPr>
              <w:pStyle w:val="ARfintabletextboldright"/>
            </w:pPr>
            <w:r w:rsidRPr="00677F7B">
              <w:t>618.6</w:t>
            </w:r>
          </w:p>
        </w:tc>
        <w:tc>
          <w:tcPr>
            <w:tcW w:w="733" w:type="pct"/>
            <w:noWrap/>
            <w:hideMark/>
          </w:tcPr>
          <w:p w14:paraId="7E62B8D2" w14:textId="77777777" w:rsidR="006E51BF" w:rsidRPr="00677F7B" w:rsidRDefault="006E51BF">
            <w:pPr>
              <w:pStyle w:val="ARfintabletextboldright"/>
              <w:cnfStyle w:val="000000010000" w:firstRow="0" w:lastRow="0" w:firstColumn="0" w:lastColumn="0" w:oddVBand="0" w:evenVBand="0" w:oddHBand="0" w:evenHBand="1" w:firstRowFirstColumn="0" w:firstRowLastColumn="0" w:lastRowFirstColumn="0" w:lastRowLastColumn="0"/>
            </w:pPr>
            <w:r w:rsidRPr="00677F7B">
              <w:t>587.4</w:t>
            </w:r>
          </w:p>
        </w:tc>
      </w:tr>
      <w:tr w:rsidR="006E51BF" w:rsidRPr="00D97823" w14:paraId="670E7CEB" w14:textId="77777777" w:rsidTr="00281F95">
        <w:trPr>
          <w:cnfStyle w:val="000000100000" w:firstRow="0" w:lastRow="0" w:firstColumn="0" w:lastColumn="0" w:oddVBand="0" w:evenVBand="0" w:oddHBand="1" w:evenHBand="0" w:firstRowFirstColumn="0" w:firstRowLastColumn="0" w:lastRowFirstColumn="0" w:lastRowLastColumn="0"/>
          <w:trHeight w:val="20"/>
        </w:trPr>
        <w:tc>
          <w:tcPr>
            <w:tcW w:w="3531" w:type="pct"/>
            <w:noWrap/>
            <w:hideMark/>
          </w:tcPr>
          <w:p w14:paraId="785AF023" w14:textId="77777777" w:rsidR="006E51BF" w:rsidRPr="00677F7B" w:rsidRDefault="006E51BF">
            <w:pPr>
              <w:pStyle w:val="ARfintabletext"/>
            </w:pPr>
            <w:r w:rsidRPr="00677F7B">
              <w:t>Total user charges – rental properties</w:t>
            </w:r>
          </w:p>
        </w:tc>
        <w:tc>
          <w:tcPr>
            <w:cnfStyle w:val="000001000000" w:firstRow="0" w:lastRow="0" w:firstColumn="0" w:lastColumn="0" w:oddVBand="0" w:evenVBand="1" w:oddHBand="0" w:evenHBand="0" w:firstRowFirstColumn="0" w:firstRowLastColumn="0" w:lastRowFirstColumn="0" w:lastRowLastColumn="0"/>
            <w:tcW w:w="736" w:type="pct"/>
            <w:noWrap/>
            <w:hideMark/>
          </w:tcPr>
          <w:p w14:paraId="53BB6626" w14:textId="77777777" w:rsidR="006E51BF" w:rsidRPr="00677F7B" w:rsidRDefault="006E51BF">
            <w:pPr>
              <w:pStyle w:val="ARfintabletextright"/>
            </w:pPr>
            <w:r w:rsidRPr="00677F7B">
              <w:t>6.4</w:t>
            </w:r>
          </w:p>
        </w:tc>
        <w:tc>
          <w:tcPr>
            <w:tcW w:w="733" w:type="pct"/>
            <w:noWrap/>
            <w:hideMark/>
          </w:tcPr>
          <w:p w14:paraId="574AAE53" w14:textId="77777777" w:rsidR="006E51BF" w:rsidRPr="00677F7B"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677F7B">
              <w:t>6.7</w:t>
            </w:r>
          </w:p>
        </w:tc>
      </w:tr>
      <w:tr w:rsidR="006E51BF" w:rsidRPr="00D97823" w14:paraId="57A780EF" w14:textId="77777777" w:rsidTr="00281F95">
        <w:trPr>
          <w:cnfStyle w:val="000000010000" w:firstRow="0" w:lastRow="0" w:firstColumn="0" w:lastColumn="0" w:oddVBand="0" w:evenVBand="0" w:oddHBand="0" w:evenHBand="1" w:firstRowFirstColumn="0" w:firstRowLastColumn="0" w:lastRowFirstColumn="0" w:lastRowLastColumn="0"/>
          <w:trHeight w:val="20"/>
        </w:trPr>
        <w:tc>
          <w:tcPr>
            <w:tcW w:w="3531" w:type="pct"/>
            <w:noWrap/>
            <w:hideMark/>
          </w:tcPr>
          <w:p w14:paraId="31DB2A40" w14:textId="77777777" w:rsidR="006E51BF" w:rsidRPr="00677F7B" w:rsidRDefault="006E51BF">
            <w:pPr>
              <w:pStyle w:val="ARfintabletext"/>
            </w:pPr>
            <w:r w:rsidRPr="00677F7B">
              <w:t>Rendering of services</w:t>
            </w:r>
          </w:p>
        </w:tc>
        <w:tc>
          <w:tcPr>
            <w:cnfStyle w:val="000001000000" w:firstRow="0" w:lastRow="0" w:firstColumn="0" w:lastColumn="0" w:oddVBand="0" w:evenVBand="1" w:oddHBand="0" w:evenHBand="0" w:firstRowFirstColumn="0" w:firstRowLastColumn="0" w:lastRowFirstColumn="0" w:lastRowLastColumn="0"/>
            <w:tcW w:w="736" w:type="pct"/>
            <w:noWrap/>
            <w:hideMark/>
          </w:tcPr>
          <w:p w14:paraId="3FF09BC9" w14:textId="77777777" w:rsidR="006E51BF" w:rsidRPr="00677F7B" w:rsidRDefault="006E51BF">
            <w:pPr>
              <w:pStyle w:val="ARfintabletextright"/>
            </w:pPr>
            <w:r w:rsidRPr="00677F7B">
              <w:t>0.6</w:t>
            </w:r>
          </w:p>
        </w:tc>
        <w:tc>
          <w:tcPr>
            <w:tcW w:w="733" w:type="pct"/>
            <w:noWrap/>
            <w:hideMark/>
          </w:tcPr>
          <w:p w14:paraId="0C955340" w14:textId="77777777" w:rsidR="006E51BF" w:rsidRPr="00677F7B"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677F7B">
              <w:t>0.5</w:t>
            </w:r>
          </w:p>
        </w:tc>
      </w:tr>
      <w:tr w:rsidR="006E51BF" w:rsidRPr="00D97823" w14:paraId="5494C574" w14:textId="77777777" w:rsidTr="00281F95">
        <w:trPr>
          <w:cnfStyle w:val="010000000000" w:firstRow="0" w:lastRow="1" w:firstColumn="0" w:lastColumn="0" w:oddVBand="0" w:evenVBand="0" w:oddHBand="0" w:evenHBand="0" w:firstRowFirstColumn="0" w:firstRowLastColumn="0" w:lastRowFirstColumn="0" w:lastRowLastColumn="0"/>
          <w:trHeight w:val="280"/>
        </w:trPr>
        <w:tc>
          <w:tcPr>
            <w:tcW w:w="3531" w:type="pct"/>
            <w:noWrap/>
            <w:hideMark/>
          </w:tcPr>
          <w:p w14:paraId="500A43FD" w14:textId="77777777" w:rsidR="006E51BF" w:rsidRPr="00677F7B" w:rsidRDefault="006E51BF">
            <w:pPr>
              <w:pStyle w:val="ARfintabletextbold"/>
            </w:pPr>
            <w:r w:rsidRPr="00677F7B">
              <w:t>Total rental income</w:t>
            </w:r>
          </w:p>
        </w:tc>
        <w:tc>
          <w:tcPr>
            <w:cnfStyle w:val="000001000000" w:firstRow="0" w:lastRow="0" w:firstColumn="0" w:lastColumn="0" w:oddVBand="0" w:evenVBand="1" w:oddHBand="0" w:evenHBand="0" w:firstRowFirstColumn="0" w:firstRowLastColumn="0" w:lastRowFirstColumn="0" w:lastRowLastColumn="0"/>
            <w:tcW w:w="736" w:type="pct"/>
            <w:noWrap/>
            <w:hideMark/>
          </w:tcPr>
          <w:p w14:paraId="34DF21B8" w14:textId="77777777" w:rsidR="006E51BF" w:rsidRPr="00677F7B" w:rsidRDefault="006E51BF">
            <w:pPr>
              <w:pStyle w:val="ARfintabletextboldright"/>
            </w:pPr>
            <w:r w:rsidRPr="00677F7B">
              <w:t>625.6</w:t>
            </w:r>
          </w:p>
        </w:tc>
        <w:tc>
          <w:tcPr>
            <w:tcW w:w="733" w:type="pct"/>
            <w:noWrap/>
            <w:hideMark/>
          </w:tcPr>
          <w:p w14:paraId="6F1D5D64" w14:textId="77777777" w:rsidR="006E51BF" w:rsidRPr="00677F7B" w:rsidRDefault="006E51BF">
            <w:pPr>
              <w:pStyle w:val="ARfintabletextboldright"/>
              <w:cnfStyle w:val="010000000000" w:firstRow="0" w:lastRow="1" w:firstColumn="0" w:lastColumn="0" w:oddVBand="0" w:evenVBand="0" w:oddHBand="0" w:evenHBand="0" w:firstRowFirstColumn="0" w:firstRowLastColumn="0" w:lastRowFirstColumn="0" w:lastRowLastColumn="0"/>
            </w:pPr>
            <w:r w:rsidRPr="00677F7B">
              <w:t>594.6</w:t>
            </w:r>
          </w:p>
        </w:tc>
      </w:tr>
    </w:tbl>
    <w:p w14:paraId="6A67E45B" w14:textId="6FB8B439" w:rsidR="006E51BF" w:rsidRDefault="006E51BF">
      <w:pPr>
        <w:pStyle w:val="ARfinbodyaftertableorfigure"/>
      </w:pPr>
      <w:r w:rsidRPr="74715C80">
        <w:rPr>
          <w:rStyle w:val="Strong"/>
        </w:rPr>
        <w:t xml:space="preserve">Rental income, rebates and subsidies </w:t>
      </w:r>
      <w:r w:rsidRPr="004454D4">
        <w:t xml:space="preserve">arising from tenancy agreements are raised weekly. Rebates derive from the same performance obligation of rental income and are the discount provided to eligible tenants to reduce the weekly contribution towards the costs of living in public housing. Market rent is reviewed on an annual basis as per the </w:t>
      </w:r>
      <w:r w:rsidRPr="00105DB4">
        <w:rPr>
          <w:rStyle w:val="Emphasis"/>
        </w:rPr>
        <w:t>Residential Tenancies Act 1997</w:t>
      </w:r>
      <w:r w:rsidRPr="004454D4">
        <w:t>. Rebates are reviewed bi-annually based on the tenants' household income. Weekly</w:t>
      </w:r>
      <w:r w:rsidR="00610A6F">
        <w:t> </w:t>
      </w:r>
      <w:r w:rsidRPr="004454D4">
        <w:t>amounts payable is the lesser of 25 percent of household income and the market rent for eligible tenants.</w:t>
      </w:r>
    </w:p>
    <w:p w14:paraId="2EB06282" w14:textId="77777777" w:rsidR="006E51BF" w:rsidRDefault="006E51BF">
      <w:pPr>
        <w:pStyle w:val="ARfinbody"/>
        <w:rPr>
          <w:lang w:eastAsia="en-AU"/>
        </w:rPr>
      </w:pPr>
      <w:r w:rsidRPr="00D97823">
        <w:rPr>
          <w:lang w:eastAsia="en-AU"/>
        </w:rPr>
        <w:t>Homes Victoria provides rental accommodation for a range of clients. These are public rental units that are largely owned and operated by the Homes Victoria which have week-to-week tenancy agreements with people on low incomes that are most in need, especially those who have recently experienced homelessness, family violence or have other special needs. These agreements are subject to the</w:t>
      </w:r>
      <w:r w:rsidRPr="00105DB4">
        <w:rPr>
          <w:rStyle w:val="Emphasis"/>
          <w:lang w:eastAsia="en-AU"/>
        </w:rPr>
        <w:t xml:space="preserve"> Residential Tenancies Act 1997</w:t>
      </w:r>
      <w:r w:rsidRPr="00D97823">
        <w:rPr>
          <w:lang w:eastAsia="en-AU"/>
        </w:rPr>
        <w:t xml:space="preserve"> provisions which allow termination of a lease under certain circumstances.</w:t>
      </w:r>
    </w:p>
    <w:p w14:paraId="3FBFDAD6" w14:textId="77777777" w:rsidR="006E51BF" w:rsidRDefault="006E51BF">
      <w:pPr>
        <w:pStyle w:val="ARfinbody"/>
        <w:rPr>
          <w:lang w:eastAsia="en-AU"/>
        </w:rPr>
      </w:pPr>
      <w:r>
        <w:rPr>
          <w:lang w:eastAsia="en-AU"/>
        </w:rPr>
        <w:br w:type="page"/>
      </w:r>
    </w:p>
    <w:p w14:paraId="3E3B13C4" w14:textId="77777777" w:rsidR="006E51BF" w:rsidRDefault="006E51BF">
      <w:pPr>
        <w:pStyle w:val="Heading5"/>
      </w:pPr>
      <w:r w:rsidRPr="00427CA6">
        <w:rPr>
          <w:lang w:eastAsia="en-AU"/>
        </w:rPr>
        <w:t xml:space="preserve">2.4.2 </w:t>
      </w:r>
      <w:r>
        <w:rPr>
          <w:lang w:eastAsia="en-AU"/>
        </w:rPr>
        <w:tab/>
      </w:r>
      <w:r w:rsidRPr="00427CA6">
        <w:rPr>
          <w:lang w:eastAsia="en-AU"/>
        </w:rPr>
        <w:t>Grants</w:t>
      </w:r>
    </w:p>
    <w:tbl>
      <w:tblPr>
        <w:tblStyle w:val="ARtable1"/>
        <w:tblW w:w="5000" w:type="pct"/>
        <w:tblLook w:val="00E0" w:firstRow="1" w:lastRow="1" w:firstColumn="1" w:lastColumn="0" w:noHBand="0" w:noVBand="0"/>
      </w:tblPr>
      <w:tblGrid>
        <w:gridCol w:w="6514"/>
        <w:gridCol w:w="1556"/>
        <w:gridCol w:w="1558"/>
      </w:tblGrid>
      <w:tr w:rsidR="006E51BF" w:rsidRPr="00427CA6" w14:paraId="6D0547F7" w14:textId="77777777" w:rsidTr="00785A35">
        <w:trPr>
          <w:cnfStyle w:val="100000000000" w:firstRow="1" w:lastRow="0" w:firstColumn="0" w:lastColumn="0" w:oddVBand="0" w:evenVBand="0" w:oddHBand="0" w:evenHBand="0" w:firstRowFirstColumn="0" w:firstRowLastColumn="0" w:lastRowFirstColumn="0" w:lastRowLastColumn="0"/>
          <w:trHeight w:val="20"/>
          <w:tblHeader/>
        </w:trPr>
        <w:tc>
          <w:tcPr>
            <w:tcW w:w="3383" w:type="pct"/>
            <w:noWrap/>
            <w:hideMark/>
          </w:tcPr>
          <w:p w14:paraId="7B721FBD" w14:textId="77777777" w:rsidR="006E51BF" w:rsidRPr="00427CA6"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6438982F" w14:textId="77777777" w:rsidR="006E51BF" w:rsidRPr="00427CA6" w:rsidRDefault="006E51BF">
            <w:pPr>
              <w:pStyle w:val="ARfintablecolheadright"/>
              <w:rPr>
                <w:bCs/>
                <w:lang w:eastAsia="en-AU"/>
              </w:rPr>
            </w:pPr>
            <w:r w:rsidRPr="00427CA6">
              <w:rPr>
                <w:bCs/>
                <w:lang w:eastAsia="en-AU"/>
              </w:rPr>
              <w:t>2026</w:t>
            </w:r>
          </w:p>
          <w:p w14:paraId="6A332D18" w14:textId="77777777" w:rsidR="006E51BF" w:rsidRPr="00427CA6" w:rsidRDefault="006E51BF">
            <w:pPr>
              <w:pStyle w:val="ARfintablecolheadright"/>
              <w:rPr>
                <w:bCs/>
                <w:lang w:eastAsia="en-AU"/>
              </w:rPr>
            </w:pPr>
            <w:r w:rsidRPr="00427CA6">
              <w:rPr>
                <w:bCs/>
                <w:lang w:eastAsia="en-AU"/>
              </w:rPr>
              <w:t>$M</w:t>
            </w:r>
          </w:p>
        </w:tc>
        <w:tc>
          <w:tcPr>
            <w:tcW w:w="809" w:type="pct"/>
            <w:noWrap/>
            <w:tcMar>
              <w:right w:w="0" w:type="nil"/>
            </w:tcMar>
            <w:hideMark/>
          </w:tcPr>
          <w:p w14:paraId="4855F2BF" w14:textId="77777777" w:rsidR="006E51BF" w:rsidRPr="00427CA6" w:rsidRDefault="006E51BF">
            <w:pPr>
              <w:pStyle w:val="ARfintablecolheadright"/>
              <w:cnfStyle w:val="100000000000" w:firstRow="1" w:lastRow="0" w:firstColumn="0" w:lastColumn="0" w:oddVBand="0" w:evenVBand="0" w:oddHBand="0" w:evenHBand="0" w:firstRowFirstColumn="0" w:firstRowLastColumn="0" w:lastRowFirstColumn="0" w:lastRowLastColumn="0"/>
              <w:rPr>
                <w:bCs/>
                <w:lang w:eastAsia="en-AU"/>
              </w:rPr>
            </w:pPr>
            <w:r w:rsidRPr="00427CA6">
              <w:rPr>
                <w:bCs/>
                <w:lang w:eastAsia="en-AU"/>
              </w:rPr>
              <w:t>2025</w:t>
            </w:r>
          </w:p>
          <w:p w14:paraId="244E5AFC" w14:textId="77777777" w:rsidR="006E51BF" w:rsidRPr="00427CA6" w:rsidRDefault="006E51BF">
            <w:pPr>
              <w:pStyle w:val="ARfintablecolheadright"/>
              <w:cnfStyle w:val="100000000000" w:firstRow="1" w:lastRow="0" w:firstColumn="0" w:lastColumn="0" w:oddVBand="0" w:evenVBand="0" w:oddHBand="0" w:evenHBand="0" w:firstRowFirstColumn="0" w:firstRowLastColumn="0" w:lastRowFirstColumn="0" w:lastRowLastColumn="0"/>
              <w:rPr>
                <w:bCs/>
                <w:lang w:eastAsia="en-AU"/>
              </w:rPr>
            </w:pPr>
            <w:r w:rsidRPr="00427CA6">
              <w:rPr>
                <w:bCs/>
                <w:lang w:eastAsia="en-AU"/>
              </w:rPr>
              <w:t>$M</w:t>
            </w:r>
          </w:p>
        </w:tc>
      </w:tr>
      <w:tr w:rsidR="006E51BF" w:rsidRPr="00427CA6" w14:paraId="0890F3C2"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tcPr>
          <w:p w14:paraId="7EA6C770" w14:textId="77777777" w:rsidR="006E51BF" w:rsidRPr="00B55DA1" w:rsidRDefault="006E51BF">
            <w:pPr>
              <w:pStyle w:val="ARfintabletext"/>
            </w:pPr>
            <w:r w:rsidRPr="00B55DA1">
              <w:t>Income recognised under AASB 1058</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tcPr>
          <w:p w14:paraId="5F3E0581" w14:textId="77777777" w:rsidR="006E51BF" w:rsidRPr="00B55DA1" w:rsidRDefault="006E51BF">
            <w:pPr>
              <w:pStyle w:val="ARfintabletextright"/>
            </w:pPr>
            <w:r w:rsidRPr="00B55DA1">
              <w:t>341.8</w:t>
            </w:r>
          </w:p>
        </w:tc>
        <w:tc>
          <w:tcPr>
            <w:tcW w:w="809" w:type="pct"/>
            <w:noWrap/>
            <w:tcMar>
              <w:right w:w="0" w:type="nil"/>
            </w:tcMar>
          </w:tcPr>
          <w:p w14:paraId="6965FC67" w14:textId="77777777" w:rsidR="006E51BF" w:rsidRPr="00B55DA1"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B55DA1">
              <w:t>285.3</w:t>
            </w:r>
          </w:p>
        </w:tc>
      </w:tr>
      <w:tr w:rsidR="006E51BF" w:rsidRPr="00427CA6" w14:paraId="67565EC3"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3BE40203" w14:textId="77777777" w:rsidR="006E51BF" w:rsidRPr="00B55DA1" w:rsidRDefault="006E51BF">
            <w:pPr>
              <w:pStyle w:val="ARfintabletextbold"/>
            </w:pPr>
            <w:r w:rsidRPr="00B55DA1">
              <w:t>Total grants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352E1132" w14:textId="77777777" w:rsidR="006E51BF" w:rsidRPr="00B55DA1" w:rsidRDefault="006E51BF">
            <w:pPr>
              <w:pStyle w:val="ARfintabletextboldright"/>
            </w:pPr>
            <w:r w:rsidRPr="00B55DA1">
              <w:t>341.8</w:t>
            </w:r>
          </w:p>
        </w:tc>
        <w:tc>
          <w:tcPr>
            <w:tcW w:w="809" w:type="pct"/>
            <w:noWrap/>
            <w:tcMar>
              <w:right w:w="0" w:type="nil"/>
            </w:tcMar>
            <w:hideMark/>
          </w:tcPr>
          <w:p w14:paraId="4356786A" w14:textId="77777777" w:rsidR="006E51BF" w:rsidRPr="00B55DA1" w:rsidRDefault="006E51BF">
            <w:pPr>
              <w:pStyle w:val="ARfintabletextboldright"/>
              <w:cnfStyle w:val="000000010000" w:firstRow="0" w:lastRow="0" w:firstColumn="0" w:lastColumn="0" w:oddVBand="0" w:evenVBand="0" w:oddHBand="0" w:evenHBand="1" w:firstRowFirstColumn="0" w:firstRowLastColumn="0" w:lastRowFirstColumn="0" w:lastRowLastColumn="0"/>
            </w:pPr>
            <w:r w:rsidRPr="00B55DA1">
              <w:t>285.3</w:t>
            </w:r>
          </w:p>
        </w:tc>
      </w:tr>
      <w:tr w:rsidR="006E51BF" w:rsidRPr="00427CA6" w14:paraId="62B3EAA6"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777E3A06" w14:textId="77777777" w:rsidR="006E51BF" w:rsidRPr="00B55DA1" w:rsidRDefault="006E51BF">
            <w:pPr>
              <w:pStyle w:val="ARfintabletextboldcoloured"/>
            </w:pPr>
            <w:r w:rsidRPr="00B55DA1">
              <w:t>Represented by:</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4084FA8E" w14:textId="77777777" w:rsidR="006E51BF" w:rsidRPr="00B55DA1" w:rsidRDefault="006E51BF">
            <w:pPr>
              <w:pStyle w:val="ARfintabletextright"/>
            </w:pPr>
          </w:p>
        </w:tc>
        <w:tc>
          <w:tcPr>
            <w:tcW w:w="809" w:type="pct"/>
            <w:noWrap/>
            <w:tcMar>
              <w:right w:w="0" w:type="nil"/>
            </w:tcMar>
            <w:hideMark/>
          </w:tcPr>
          <w:p w14:paraId="488CF586" w14:textId="77777777" w:rsidR="006E51BF" w:rsidRPr="00B55DA1"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427CA6" w14:paraId="16E2AE5F"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2B3DBB65" w14:textId="77777777" w:rsidR="006E51BF" w:rsidRPr="00B55DA1" w:rsidRDefault="006E51BF">
            <w:pPr>
              <w:pStyle w:val="ARfintabletextbold"/>
            </w:pPr>
            <w:r w:rsidRPr="00B55DA1">
              <w:t>Victorian Government</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7A4AEA67" w14:textId="77777777" w:rsidR="006E51BF" w:rsidRPr="00B55DA1" w:rsidRDefault="006E51BF">
            <w:pPr>
              <w:pStyle w:val="ARfintabletextright"/>
            </w:pPr>
          </w:p>
        </w:tc>
        <w:tc>
          <w:tcPr>
            <w:tcW w:w="809" w:type="pct"/>
            <w:noWrap/>
            <w:tcMar>
              <w:right w:w="0" w:type="nil"/>
            </w:tcMar>
            <w:hideMark/>
          </w:tcPr>
          <w:p w14:paraId="270F7405" w14:textId="77777777" w:rsidR="006E51BF" w:rsidRPr="00B55DA1" w:rsidRDefault="006E51BF">
            <w:pPr>
              <w:pStyle w:val="ARfintabletextright"/>
              <w:cnfStyle w:val="000000010000" w:firstRow="0" w:lastRow="0" w:firstColumn="0" w:lastColumn="0" w:oddVBand="0" w:evenVBand="0" w:oddHBand="0" w:evenHBand="1" w:firstRowFirstColumn="0" w:firstRowLastColumn="0" w:lastRowFirstColumn="0" w:lastRowLastColumn="0"/>
            </w:pPr>
          </w:p>
        </w:tc>
      </w:tr>
      <w:tr w:rsidR="006E51BF" w:rsidRPr="00427CA6" w14:paraId="0A941D95"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11484217" w14:textId="77777777" w:rsidR="006E51BF" w:rsidRPr="00B55DA1" w:rsidRDefault="006E51BF">
            <w:pPr>
              <w:pStyle w:val="ARfintabletext"/>
            </w:pPr>
            <w:r w:rsidRPr="00B55DA1">
              <w:t>Department of Treasury and Finance</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1C1C1C16" w14:textId="77777777" w:rsidR="006E51BF" w:rsidRPr="00B55DA1" w:rsidRDefault="006E51BF">
            <w:pPr>
              <w:pStyle w:val="ARfintabletextright"/>
            </w:pPr>
            <w:r w:rsidRPr="00B55DA1">
              <w:t>248.9</w:t>
            </w:r>
          </w:p>
        </w:tc>
        <w:tc>
          <w:tcPr>
            <w:tcW w:w="809" w:type="pct"/>
            <w:noWrap/>
            <w:tcMar>
              <w:right w:w="0" w:type="nil"/>
            </w:tcMar>
            <w:hideMark/>
          </w:tcPr>
          <w:p w14:paraId="7D6E4683" w14:textId="77777777" w:rsidR="006E51BF" w:rsidRPr="00B55DA1"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B55DA1">
              <w:t>237.5</w:t>
            </w:r>
          </w:p>
        </w:tc>
      </w:tr>
      <w:tr w:rsidR="006E51BF" w:rsidRPr="00427CA6" w14:paraId="035CBC59"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6F3F98B2" w14:textId="77777777" w:rsidR="006E51BF" w:rsidRPr="00B55DA1" w:rsidRDefault="006E51BF">
            <w:pPr>
              <w:pStyle w:val="ARfintabletext"/>
            </w:pPr>
            <w:r w:rsidRPr="00B55DA1">
              <w:t>Department of Energy, Environment and Climate Action</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75D1CE03" w14:textId="77777777" w:rsidR="006E51BF" w:rsidRPr="00B55DA1" w:rsidRDefault="006E51BF">
            <w:pPr>
              <w:pStyle w:val="ARfintabletextright"/>
            </w:pPr>
            <w:r w:rsidRPr="00B55DA1">
              <w:t>48.3</w:t>
            </w:r>
          </w:p>
        </w:tc>
        <w:tc>
          <w:tcPr>
            <w:tcW w:w="809" w:type="pct"/>
            <w:noWrap/>
            <w:tcMar>
              <w:right w:w="0" w:type="nil"/>
            </w:tcMar>
            <w:hideMark/>
          </w:tcPr>
          <w:p w14:paraId="0CD931EB" w14:textId="77777777" w:rsidR="006E51BF" w:rsidRPr="00B55DA1"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B55DA1">
              <w:t>9.9</w:t>
            </w:r>
          </w:p>
        </w:tc>
      </w:tr>
      <w:tr w:rsidR="006E51BF" w:rsidRPr="00427CA6" w14:paraId="7A512FFF"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17B249BF" w14:textId="77777777" w:rsidR="006E51BF" w:rsidRPr="00B55DA1" w:rsidRDefault="006E51BF">
            <w:pPr>
              <w:pStyle w:val="ARfintabletext"/>
            </w:pPr>
            <w:r w:rsidRPr="00B55DA1">
              <w:t>Department of Education</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2DC3ECB2" w14:textId="77777777" w:rsidR="006E51BF" w:rsidRPr="00B55DA1" w:rsidRDefault="006E51BF">
            <w:pPr>
              <w:pStyle w:val="ARfintabletextright"/>
            </w:pPr>
            <w:r w:rsidRPr="00B55DA1">
              <w:t>18.5</w:t>
            </w:r>
          </w:p>
        </w:tc>
        <w:tc>
          <w:tcPr>
            <w:tcW w:w="809" w:type="pct"/>
            <w:noWrap/>
            <w:tcMar>
              <w:right w:w="0" w:type="nil"/>
            </w:tcMar>
            <w:hideMark/>
          </w:tcPr>
          <w:p w14:paraId="505C2701" w14:textId="77777777" w:rsidR="006E51BF" w:rsidRPr="00B55DA1"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B55DA1">
              <w:t>8.9</w:t>
            </w:r>
          </w:p>
        </w:tc>
      </w:tr>
      <w:tr w:rsidR="006E51BF" w:rsidRPr="00427CA6" w14:paraId="0A3D2B8D"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17AB334A" w14:textId="77777777" w:rsidR="006E51BF" w:rsidRPr="00B55DA1" w:rsidRDefault="006E51BF">
            <w:pPr>
              <w:pStyle w:val="ARfintabletext"/>
            </w:pPr>
            <w:r w:rsidRPr="00B55DA1">
              <w:t>Department of Health</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1DDB55DB" w14:textId="77777777" w:rsidR="006E51BF" w:rsidRPr="00B55DA1" w:rsidRDefault="006E51BF">
            <w:pPr>
              <w:pStyle w:val="ARfintabletextright"/>
            </w:pPr>
            <w:r w:rsidRPr="00B55DA1">
              <w:t>12.0</w:t>
            </w:r>
          </w:p>
        </w:tc>
        <w:tc>
          <w:tcPr>
            <w:tcW w:w="809" w:type="pct"/>
            <w:noWrap/>
            <w:tcMar>
              <w:right w:w="0" w:type="nil"/>
            </w:tcMar>
            <w:hideMark/>
          </w:tcPr>
          <w:p w14:paraId="02798057" w14:textId="77777777" w:rsidR="006E51BF" w:rsidRPr="00B55DA1"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B55DA1">
              <w:t>10.7</w:t>
            </w:r>
          </w:p>
        </w:tc>
      </w:tr>
      <w:tr w:rsidR="006E51BF" w:rsidRPr="00427CA6" w14:paraId="66A8DEBE"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67BC7E90" w14:textId="77777777" w:rsidR="006E51BF" w:rsidRPr="00B55DA1" w:rsidRDefault="006E51BF">
            <w:pPr>
              <w:pStyle w:val="ARfintabletext"/>
            </w:pPr>
            <w:r w:rsidRPr="00B55DA1">
              <w:t>Department of Justice and Community Safety</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45504FF1" w14:textId="77777777" w:rsidR="006E51BF" w:rsidRPr="00B55DA1" w:rsidRDefault="006E51BF">
            <w:pPr>
              <w:pStyle w:val="ARfintabletextright"/>
            </w:pPr>
            <w:r w:rsidRPr="00B55DA1">
              <w:t>6.2</w:t>
            </w:r>
          </w:p>
        </w:tc>
        <w:tc>
          <w:tcPr>
            <w:tcW w:w="809" w:type="pct"/>
            <w:noWrap/>
            <w:tcMar>
              <w:right w:w="0" w:type="nil"/>
            </w:tcMar>
            <w:hideMark/>
          </w:tcPr>
          <w:p w14:paraId="3517A1D9" w14:textId="77777777" w:rsidR="006E51BF" w:rsidRPr="00B55DA1"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B55DA1">
              <w:t>4.7</w:t>
            </w:r>
          </w:p>
        </w:tc>
      </w:tr>
      <w:tr w:rsidR="006E51BF" w:rsidRPr="00427CA6" w14:paraId="5BDA17FD"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777601DA" w14:textId="77777777" w:rsidR="006E51BF" w:rsidRPr="00B55DA1" w:rsidRDefault="006E51BF">
            <w:pPr>
              <w:pStyle w:val="ARfintabletext"/>
            </w:pPr>
            <w:r w:rsidRPr="00B55DA1">
              <w:t>Department of Premier and Cabinet</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531F871" w14:textId="77777777" w:rsidR="006E51BF" w:rsidRPr="00B55DA1" w:rsidRDefault="006E51BF">
            <w:pPr>
              <w:pStyle w:val="ARfintabletextright"/>
            </w:pPr>
            <w:r w:rsidRPr="00B55DA1">
              <w:t>3.3</w:t>
            </w:r>
          </w:p>
        </w:tc>
        <w:tc>
          <w:tcPr>
            <w:tcW w:w="809" w:type="pct"/>
            <w:noWrap/>
            <w:tcMar>
              <w:right w:w="0" w:type="nil"/>
            </w:tcMar>
            <w:hideMark/>
          </w:tcPr>
          <w:p w14:paraId="6914BE6C" w14:textId="77777777" w:rsidR="006E51BF" w:rsidRPr="00B55DA1"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B55DA1">
              <w:t>0.1</w:t>
            </w:r>
          </w:p>
        </w:tc>
      </w:tr>
      <w:tr w:rsidR="006E51BF" w:rsidRPr="00427CA6" w14:paraId="220F5F1F"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58D72E2F" w14:textId="77777777" w:rsidR="006E51BF" w:rsidRPr="00B55DA1" w:rsidRDefault="006E51BF">
            <w:pPr>
              <w:pStyle w:val="ARfintabletext"/>
            </w:pPr>
            <w:r w:rsidRPr="00B55DA1">
              <w:t>Department of Jobs, Skills, Industry and Regions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5213A2C8" w14:textId="77777777" w:rsidR="006E51BF" w:rsidRPr="00B55DA1" w:rsidRDefault="006E51BF">
            <w:pPr>
              <w:pStyle w:val="ARfintabletextright"/>
            </w:pPr>
            <w:r w:rsidRPr="00B55DA1">
              <w:t>0.8</w:t>
            </w:r>
          </w:p>
        </w:tc>
        <w:tc>
          <w:tcPr>
            <w:tcW w:w="809" w:type="pct"/>
            <w:noWrap/>
            <w:tcMar>
              <w:right w:w="0" w:type="nil"/>
            </w:tcMar>
            <w:hideMark/>
          </w:tcPr>
          <w:p w14:paraId="5658A719" w14:textId="77777777" w:rsidR="006E51BF" w:rsidRPr="00B55DA1"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B55DA1">
              <w:t>6.2</w:t>
            </w:r>
          </w:p>
        </w:tc>
      </w:tr>
      <w:tr w:rsidR="006E51BF" w:rsidRPr="00427CA6" w14:paraId="0CB01965"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42C0F776" w14:textId="77777777" w:rsidR="006E51BF" w:rsidRPr="00B55DA1" w:rsidRDefault="006E51BF">
            <w:pPr>
              <w:pStyle w:val="ARfintabletext"/>
            </w:pPr>
            <w:r w:rsidRPr="00B55DA1">
              <w:t>Court Services Victoria</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7FE2437A" w14:textId="77777777" w:rsidR="006E51BF" w:rsidRPr="00B55DA1" w:rsidRDefault="006E51BF">
            <w:pPr>
              <w:pStyle w:val="ARfintabletextright"/>
            </w:pPr>
            <w:r w:rsidRPr="00B55DA1">
              <w:t>0.4</w:t>
            </w:r>
          </w:p>
        </w:tc>
        <w:tc>
          <w:tcPr>
            <w:tcW w:w="809" w:type="pct"/>
            <w:noWrap/>
            <w:tcMar>
              <w:right w:w="0" w:type="nil"/>
            </w:tcMar>
            <w:hideMark/>
          </w:tcPr>
          <w:p w14:paraId="2643A8D1" w14:textId="77777777" w:rsidR="006E51BF" w:rsidRPr="00B55DA1"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B55DA1">
              <w:t>0.3</w:t>
            </w:r>
          </w:p>
        </w:tc>
      </w:tr>
      <w:tr w:rsidR="006E51BF" w:rsidRPr="00427CA6" w14:paraId="7E5A4BD3"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5ACAE565" w14:textId="77777777" w:rsidR="006E51BF" w:rsidRPr="00B55DA1" w:rsidRDefault="006E51BF">
            <w:pPr>
              <w:pStyle w:val="ARfintabletext"/>
            </w:pPr>
            <w:r w:rsidRPr="00B55DA1">
              <w:t>Department of Transport and Planning</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34CF4C41" w14:textId="77777777" w:rsidR="006E51BF" w:rsidRPr="00B55DA1" w:rsidRDefault="006E51BF">
            <w:pPr>
              <w:pStyle w:val="ARfintabletextright"/>
            </w:pPr>
            <w:r w:rsidRPr="00B55DA1">
              <w:t>0.1</w:t>
            </w:r>
          </w:p>
        </w:tc>
        <w:tc>
          <w:tcPr>
            <w:tcW w:w="809" w:type="pct"/>
            <w:noWrap/>
            <w:tcMar>
              <w:right w:w="0" w:type="nil"/>
            </w:tcMar>
            <w:hideMark/>
          </w:tcPr>
          <w:p w14:paraId="0FAD170F" w14:textId="77777777" w:rsidR="006E51BF" w:rsidRPr="00B55DA1"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B55DA1">
              <w:t>1.9</w:t>
            </w:r>
          </w:p>
        </w:tc>
      </w:tr>
      <w:tr w:rsidR="006E51BF" w:rsidRPr="00427CA6" w14:paraId="2C7D8DC9"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691BD263" w14:textId="77777777" w:rsidR="006E51BF" w:rsidRPr="00B55DA1" w:rsidRDefault="006E51BF">
            <w:pPr>
              <w:pStyle w:val="ARfintabletext"/>
            </w:pPr>
            <w:r w:rsidRPr="00B55DA1">
              <w:t>Other Victorian government bodies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6B63202A" w14:textId="77777777" w:rsidR="006E51BF" w:rsidRPr="00B55DA1" w:rsidRDefault="006E51BF">
            <w:pPr>
              <w:pStyle w:val="ARfintabletextright"/>
            </w:pPr>
            <w:r w:rsidRPr="0092129F">
              <w:rPr>
                <w:b/>
                <w:bCs/>
              </w:rPr>
              <w:t>–</w:t>
            </w:r>
          </w:p>
        </w:tc>
        <w:tc>
          <w:tcPr>
            <w:tcW w:w="809" w:type="pct"/>
            <w:noWrap/>
            <w:tcMar>
              <w:right w:w="0" w:type="nil"/>
            </w:tcMar>
            <w:hideMark/>
          </w:tcPr>
          <w:p w14:paraId="54D5E34B" w14:textId="77777777" w:rsidR="006E51BF" w:rsidRPr="00B55DA1"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B55DA1">
              <w:t>0.4</w:t>
            </w:r>
          </w:p>
        </w:tc>
      </w:tr>
      <w:tr w:rsidR="006E51BF" w:rsidRPr="00427CA6" w14:paraId="3A3CCB2F"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67B5342E" w14:textId="77777777" w:rsidR="006E51BF" w:rsidRPr="00B55DA1" w:rsidRDefault="006E51BF">
            <w:pPr>
              <w:pStyle w:val="ARfintabletextbold"/>
            </w:pPr>
            <w:r w:rsidRPr="00B55DA1">
              <w:t>Commonwealth Government</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2D9FB296" w14:textId="77777777" w:rsidR="006E51BF" w:rsidRPr="00B55DA1" w:rsidRDefault="006E51BF">
            <w:pPr>
              <w:pStyle w:val="ARfintabletextright"/>
            </w:pPr>
          </w:p>
        </w:tc>
        <w:tc>
          <w:tcPr>
            <w:tcW w:w="809" w:type="pct"/>
            <w:noWrap/>
            <w:tcMar>
              <w:right w:w="0" w:type="nil"/>
            </w:tcMar>
            <w:hideMark/>
          </w:tcPr>
          <w:p w14:paraId="6292F138" w14:textId="77777777" w:rsidR="006E51BF" w:rsidRPr="00B55DA1"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427CA6" w14:paraId="07161913"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494B9BBF" w14:textId="77777777" w:rsidR="006E51BF" w:rsidRPr="00B55DA1" w:rsidRDefault="006E51BF">
            <w:pPr>
              <w:pStyle w:val="ARfintabletext"/>
            </w:pPr>
            <w:r w:rsidRPr="00B55DA1">
              <w:t>Commonwealth Government</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74A2C7C6" w14:textId="77777777" w:rsidR="006E51BF" w:rsidRPr="00B55DA1" w:rsidRDefault="006E51BF">
            <w:pPr>
              <w:pStyle w:val="ARfintabletextright"/>
            </w:pPr>
            <w:r w:rsidRPr="00B55DA1">
              <w:t>3.3</w:t>
            </w:r>
          </w:p>
        </w:tc>
        <w:tc>
          <w:tcPr>
            <w:tcW w:w="809" w:type="pct"/>
            <w:noWrap/>
            <w:tcMar>
              <w:right w:w="0" w:type="nil"/>
            </w:tcMar>
            <w:hideMark/>
          </w:tcPr>
          <w:p w14:paraId="23D6EB85" w14:textId="77777777" w:rsidR="006E51BF" w:rsidRPr="00B55DA1"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B55DA1">
              <w:t>4.7</w:t>
            </w:r>
          </w:p>
        </w:tc>
      </w:tr>
      <w:tr w:rsidR="006E51BF" w:rsidRPr="00427CA6" w14:paraId="2E1014DB" w14:textId="77777777" w:rsidTr="00785A35">
        <w:trPr>
          <w:cnfStyle w:val="010000000000" w:firstRow="0" w:lastRow="1" w:firstColumn="0" w:lastColumn="0" w:oddVBand="0" w:evenVBand="0" w:oddHBand="0" w:evenHBand="0" w:firstRowFirstColumn="0" w:firstRowLastColumn="0" w:lastRowFirstColumn="0" w:lastRowLastColumn="0"/>
          <w:trHeight w:val="20"/>
        </w:trPr>
        <w:tc>
          <w:tcPr>
            <w:tcW w:w="3383" w:type="pct"/>
            <w:noWrap/>
            <w:hideMark/>
          </w:tcPr>
          <w:p w14:paraId="75CC9383" w14:textId="77777777" w:rsidR="006E51BF" w:rsidRPr="00B55DA1" w:rsidRDefault="006E51BF">
            <w:pPr>
              <w:pStyle w:val="ARfintabletextbold"/>
            </w:pPr>
            <w:r w:rsidRPr="00B55DA1">
              <w:t>Total grants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44440FD6" w14:textId="77777777" w:rsidR="006E51BF" w:rsidRPr="00B55DA1" w:rsidRDefault="006E51BF">
            <w:pPr>
              <w:pStyle w:val="ARfintabletextboldright"/>
            </w:pPr>
            <w:r w:rsidRPr="00B55DA1">
              <w:t>341.8</w:t>
            </w:r>
          </w:p>
        </w:tc>
        <w:tc>
          <w:tcPr>
            <w:tcW w:w="809" w:type="pct"/>
            <w:noWrap/>
            <w:tcMar>
              <w:right w:w="0" w:type="nil"/>
            </w:tcMar>
            <w:hideMark/>
          </w:tcPr>
          <w:p w14:paraId="02205957" w14:textId="77777777" w:rsidR="006E51BF" w:rsidRPr="00B55DA1" w:rsidRDefault="006E51BF">
            <w:pPr>
              <w:pStyle w:val="ARfintabletextboldright"/>
              <w:cnfStyle w:val="010000000000" w:firstRow="0" w:lastRow="1" w:firstColumn="0" w:lastColumn="0" w:oddVBand="0" w:evenVBand="0" w:oddHBand="0" w:evenHBand="0" w:firstRowFirstColumn="0" w:firstRowLastColumn="0" w:lastRowFirstColumn="0" w:lastRowLastColumn="0"/>
            </w:pPr>
            <w:r w:rsidRPr="00B55DA1">
              <w:t>285.3</w:t>
            </w:r>
          </w:p>
        </w:tc>
      </w:tr>
    </w:tbl>
    <w:p w14:paraId="39FCDC85" w14:textId="77777777" w:rsidR="006E51BF" w:rsidRDefault="006E51BF">
      <w:pPr>
        <w:pStyle w:val="Heading6"/>
      </w:pPr>
      <w:proofErr w:type="gramStart"/>
      <w:r w:rsidRPr="00427CA6">
        <w:t>Grants</w:t>
      </w:r>
      <w:proofErr w:type="gramEnd"/>
      <w:r w:rsidRPr="00427CA6">
        <w:t xml:space="preserve"> income</w:t>
      </w:r>
    </w:p>
    <w:p w14:paraId="34A4A552" w14:textId="58932038" w:rsidR="006E51BF" w:rsidRPr="00427CA6" w:rsidRDefault="006E51BF">
      <w:pPr>
        <w:pStyle w:val="ARfinbody"/>
        <w:rPr>
          <w:lang w:eastAsia="en-AU"/>
        </w:rPr>
      </w:pPr>
      <w:r w:rsidRPr="00427CA6">
        <w:rPr>
          <w:lang w:eastAsia="en-AU"/>
        </w:rPr>
        <w:t>The department receives grants income which are paid for a particular purpose and/or have conditions attached regarding their use. However, these grant agreements for grants received by the department do not contain sufficiently specific performance obligations such as the period over which the service deliveries must be delivered, the specific nature or type of the service deliveries, the cost or value of the service deliveries, or the number of service deliveries to</w:t>
      </w:r>
      <w:r w:rsidR="00610A6F">
        <w:rPr>
          <w:lang w:eastAsia="en-AU"/>
        </w:rPr>
        <w:t> </w:t>
      </w:r>
      <w:r w:rsidRPr="00427CA6">
        <w:rPr>
          <w:lang w:eastAsia="en-AU"/>
        </w:rPr>
        <w:t>be provided. These grants are received under the agreements between the relevant departments to provide services for</w:t>
      </w:r>
      <w:r w:rsidR="00610A6F">
        <w:rPr>
          <w:lang w:eastAsia="en-AU"/>
        </w:rPr>
        <w:t> </w:t>
      </w:r>
      <w:r w:rsidRPr="00427CA6">
        <w:rPr>
          <w:lang w:eastAsia="en-AU"/>
        </w:rPr>
        <w:t>a given output and activities to further achieve the objective of the departments. These grants are recognised in accordance with AASB 1058 when the department has an unconditional right to receive cash.</w:t>
      </w:r>
    </w:p>
    <w:p w14:paraId="2B670DD0" w14:textId="77777777" w:rsidR="006E51BF" w:rsidRPr="00427CA6" w:rsidRDefault="006E51BF">
      <w:pPr>
        <w:pStyle w:val="ARfinbody"/>
        <w:rPr>
          <w:lang w:eastAsia="en-AU"/>
        </w:rPr>
      </w:pPr>
      <w:r w:rsidRPr="00427CA6">
        <w:rPr>
          <w:lang w:eastAsia="en-AU"/>
        </w:rPr>
        <w:t>Income from grants to construct the capital assets that are controlled by the department is recognised progressively as the asset is constructed. The progressive percentage costs incurred are used to recognise income because these most closely reflect the progress to completion as costs are incurred as the works are done.</w:t>
      </w:r>
    </w:p>
    <w:p w14:paraId="2B89A1EE" w14:textId="77777777" w:rsidR="006E51BF" w:rsidRDefault="006E51BF">
      <w:pPr>
        <w:pStyle w:val="ARfinbody"/>
        <w:rPr>
          <w:lang w:eastAsia="en-AU"/>
        </w:rPr>
      </w:pPr>
      <w:r w:rsidRPr="00427CA6">
        <w:rPr>
          <w:lang w:eastAsia="en-AU"/>
        </w:rPr>
        <w:t>Income from grants without any sufficiently specific performance obligations, or that are not enforceable, is recognised in accordance with AASB 1058 when the department has an unconditional right to receive the cash which usually coincides with receipt of cash. On initial recognition of the asset, the department recognises any related contributions by owners, increases in liabilities, decreases in assets, and revenue (‘related amounts’) in accordance with other Australian Accounting Standards. Related amounts may take the form of:</w:t>
      </w:r>
    </w:p>
    <w:p w14:paraId="5A15F83B" w14:textId="77777777" w:rsidR="006E51BF" w:rsidRDefault="006E51BF" w:rsidP="006E51BF">
      <w:pPr>
        <w:pStyle w:val="ARfinnumberalpha"/>
        <w:numPr>
          <w:ilvl w:val="0"/>
          <w:numId w:val="14"/>
        </w:numPr>
        <w:rPr>
          <w:lang w:eastAsia="en-AU"/>
        </w:rPr>
      </w:pPr>
      <w:r w:rsidRPr="00427CA6">
        <w:rPr>
          <w:lang w:eastAsia="en-AU"/>
        </w:rPr>
        <w:t>contributions by owners, in accordance with AASB 1004</w:t>
      </w:r>
    </w:p>
    <w:p w14:paraId="17E0E84C" w14:textId="77777777" w:rsidR="006E51BF" w:rsidRPr="001A58C1" w:rsidRDefault="006E51BF" w:rsidP="006E51BF">
      <w:pPr>
        <w:pStyle w:val="ARfinnumberalpha"/>
        <w:numPr>
          <w:ilvl w:val="0"/>
          <w:numId w:val="14"/>
        </w:numPr>
        <w:spacing w:after="0" w:line="240" w:lineRule="auto"/>
        <w:rPr>
          <w:lang w:eastAsia="en-AU"/>
        </w:rPr>
      </w:pPr>
      <w:r w:rsidRPr="00427CA6">
        <w:rPr>
          <w:lang w:eastAsia="en-AU"/>
        </w:rPr>
        <w:t>revenue or a contract liability arising from a contract with a customer, in accordance with AASB 15.</w:t>
      </w:r>
      <w:r>
        <w:rPr>
          <w:lang w:eastAsia="en-AU"/>
        </w:rPr>
        <w:br w:type="page"/>
      </w:r>
    </w:p>
    <w:p w14:paraId="2A3C5E90" w14:textId="77777777" w:rsidR="006E51BF" w:rsidRPr="00265554" w:rsidRDefault="006E51BF">
      <w:pPr>
        <w:pStyle w:val="Heading4"/>
        <w:rPr>
          <w:lang w:eastAsia="en-AU"/>
        </w:rPr>
      </w:pPr>
      <w:r w:rsidRPr="00265554">
        <w:rPr>
          <w:lang w:eastAsia="en-AU"/>
        </w:rPr>
        <w:t xml:space="preserve">2.5 </w:t>
      </w:r>
      <w:r>
        <w:rPr>
          <w:lang w:eastAsia="en-AU"/>
        </w:rPr>
        <w:tab/>
      </w:r>
      <w:r w:rsidRPr="00265554">
        <w:rPr>
          <w:lang w:eastAsia="en-AU"/>
        </w:rPr>
        <w:t>Annotated income agreements</w:t>
      </w:r>
    </w:p>
    <w:p w14:paraId="69048191" w14:textId="178B43A6" w:rsidR="006E51BF" w:rsidRPr="00265554" w:rsidRDefault="006E51BF">
      <w:pPr>
        <w:pStyle w:val="ARfinbody"/>
        <w:rPr>
          <w:lang w:eastAsia="en-AU"/>
        </w:rPr>
      </w:pPr>
      <w:r w:rsidRPr="00265554">
        <w:rPr>
          <w:lang w:eastAsia="en-AU"/>
        </w:rPr>
        <w:t xml:space="preserve">The department is permitted under s. 29 of the </w:t>
      </w:r>
      <w:r w:rsidRPr="00105DB4">
        <w:rPr>
          <w:rStyle w:val="Emphasis"/>
          <w:lang w:eastAsia="en-AU"/>
        </w:rPr>
        <w:t>Financial Management Act 1994</w:t>
      </w:r>
      <w:r w:rsidRPr="00265554">
        <w:rPr>
          <w:lang w:eastAsia="en-AU"/>
        </w:rPr>
        <w:t xml:space="preserve"> to have certain income annotated to the</w:t>
      </w:r>
      <w:r w:rsidR="004B6B51">
        <w:rPr>
          <w:lang w:eastAsia="en-AU"/>
        </w:rPr>
        <w:t> </w:t>
      </w:r>
      <w:r w:rsidRPr="00265554">
        <w:rPr>
          <w:lang w:eastAsia="en-AU"/>
        </w:rPr>
        <w:t>annual appropriation. The income which forms part of a s. 29 agreement is recognised by the department and the receipts paid into the consolidated fund as an administered item. At the point of income recognition, s. 29 provides for an</w:t>
      </w:r>
      <w:r w:rsidR="004B6B51">
        <w:rPr>
          <w:lang w:eastAsia="en-AU"/>
        </w:rPr>
        <w:t> </w:t>
      </w:r>
      <w:r w:rsidRPr="00265554">
        <w:rPr>
          <w:lang w:eastAsia="en-AU"/>
        </w:rPr>
        <w:t xml:space="preserve">equivalent amount to be added to the annual appropriation. </w:t>
      </w:r>
    </w:p>
    <w:p w14:paraId="6CEB8DE9" w14:textId="77777777" w:rsidR="006E51BF" w:rsidRPr="00265554" w:rsidRDefault="006E51BF">
      <w:pPr>
        <w:pStyle w:val="ARfinbodybeforetableorfigure"/>
      </w:pPr>
      <w:r w:rsidRPr="00265554">
        <w:t xml:space="preserve">The following is a listing of annotated income agreements under s. 29 of the </w:t>
      </w:r>
      <w:r w:rsidRPr="00105DB4">
        <w:rPr>
          <w:rStyle w:val="Emphasis"/>
        </w:rPr>
        <w:t>Financial Management Act 1994</w:t>
      </w:r>
      <w:r w:rsidRPr="00265554">
        <w:t xml:space="preserve"> approved by the Treasurer:</w:t>
      </w:r>
    </w:p>
    <w:tbl>
      <w:tblPr>
        <w:tblStyle w:val="ARtable1"/>
        <w:tblW w:w="5000" w:type="pct"/>
        <w:tblLayout w:type="fixed"/>
        <w:tblLook w:val="00E0" w:firstRow="1" w:lastRow="1" w:firstColumn="1" w:lastColumn="0" w:noHBand="0" w:noVBand="0"/>
      </w:tblPr>
      <w:tblGrid>
        <w:gridCol w:w="6514"/>
        <w:gridCol w:w="1556"/>
        <w:gridCol w:w="1558"/>
      </w:tblGrid>
      <w:tr w:rsidR="006E51BF" w:rsidRPr="00265554" w14:paraId="3FE37E12" w14:textId="77777777" w:rsidTr="00785A35">
        <w:trPr>
          <w:cnfStyle w:val="100000000000" w:firstRow="1" w:lastRow="0" w:firstColumn="0" w:lastColumn="0" w:oddVBand="0" w:evenVBand="0" w:oddHBand="0" w:evenHBand="0" w:firstRowFirstColumn="0" w:firstRowLastColumn="0" w:lastRowFirstColumn="0" w:lastRowLastColumn="0"/>
          <w:trHeight w:val="20"/>
          <w:tblHeader/>
        </w:trPr>
        <w:tc>
          <w:tcPr>
            <w:tcW w:w="3383" w:type="pct"/>
            <w:noWrap/>
            <w:hideMark/>
          </w:tcPr>
          <w:p w14:paraId="23B0159D" w14:textId="77777777" w:rsidR="006E51BF" w:rsidRPr="00265554" w:rsidRDefault="006E51BF">
            <w:pPr>
              <w:pStyle w:val="ARfintablecolhead"/>
              <w:rPr>
                <w:lang w:eastAsia="en-AU"/>
              </w:rPr>
            </w:pPr>
          </w:p>
          <w:p w14:paraId="3539E627" w14:textId="77777777" w:rsidR="006E51BF" w:rsidRPr="00265554" w:rsidRDefault="006E51BF">
            <w:pPr>
              <w:pStyle w:val="ARfinbody"/>
              <w:rPr>
                <w:lang w:eastAsia="en-AU"/>
              </w:rPr>
            </w:pPr>
            <w:r w:rsidRPr="00265554">
              <w:rPr>
                <w:lang w:eastAsia="en-AU"/>
              </w:rPr>
              <w:t>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93F2FE7" w14:textId="77777777" w:rsidR="006E51BF" w:rsidRPr="00265554" w:rsidRDefault="006E51BF">
            <w:pPr>
              <w:pStyle w:val="ARfintablecolheadright"/>
              <w:rPr>
                <w:lang w:eastAsia="en-AU"/>
              </w:rPr>
            </w:pPr>
            <w:r w:rsidRPr="00265554">
              <w:rPr>
                <w:lang w:eastAsia="en-AU"/>
              </w:rPr>
              <w:t>2026</w:t>
            </w:r>
          </w:p>
          <w:p w14:paraId="581D5A34" w14:textId="77777777" w:rsidR="006E51BF" w:rsidRPr="00265554" w:rsidRDefault="006E51BF">
            <w:pPr>
              <w:pStyle w:val="ARfintablecolheadright"/>
              <w:rPr>
                <w:lang w:eastAsia="en-AU"/>
              </w:rPr>
            </w:pPr>
            <w:r w:rsidRPr="00265554">
              <w:rPr>
                <w:lang w:eastAsia="en-AU"/>
              </w:rPr>
              <w:t>$M</w:t>
            </w:r>
          </w:p>
        </w:tc>
        <w:tc>
          <w:tcPr>
            <w:tcW w:w="809" w:type="pct"/>
            <w:noWrap/>
            <w:tcMar>
              <w:right w:w="0" w:type="nil"/>
            </w:tcMar>
            <w:hideMark/>
          </w:tcPr>
          <w:p w14:paraId="791A59F3" w14:textId="77777777" w:rsidR="006E51BF" w:rsidRPr="00265554"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265554">
              <w:rPr>
                <w:lang w:eastAsia="en-AU"/>
              </w:rPr>
              <w:t>2025</w:t>
            </w:r>
          </w:p>
          <w:p w14:paraId="02F9B00C" w14:textId="77777777" w:rsidR="006E51BF" w:rsidRPr="00265554"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265554">
              <w:rPr>
                <w:lang w:eastAsia="en-AU"/>
              </w:rPr>
              <w:t>$M</w:t>
            </w:r>
          </w:p>
        </w:tc>
      </w:tr>
      <w:tr w:rsidR="006E51BF" w:rsidRPr="00265554" w14:paraId="6A928AF3"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15685DD9" w14:textId="77777777" w:rsidR="006E51BF" w:rsidRPr="001A58C1" w:rsidRDefault="006E51BF">
            <w:pPr>
              <w:pStyle w:val="ARfintabletextboldcoloured"/>
            </w:pPr>
            <w:r w:rsidRPr="001A58C1">
              <w:t xml:space="preserve">User charges, or sales of goods and services </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tcPr>
          <w:p w14:paraId="5FE50820" w14:textId="77777777" w:rsidR="006E51BF" w:rsidRPr="001A58C1" w:rsidRDefault="006E51BF">
            <w:pPr>
              <w:pStyle w:val="ARfintabletextright"/>
            </w:pPr>
          </w:p>
        </w:tc>
        <w:tc>
          <w:tcPr>
            <w:tcW w:w="809" w:type="pct"/>
            <w:noWrap/>
            <w:tcMar>
              <w:right w:w="0" w:type="nil"/>
            </w:tcMar>
          </w:tcPr>
          <w:p w14:paraId="7075999A" w14:textId="77777777" w:rsidR="006E51BF" w:rsidRPr="001A58C1"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265554" w14:paraId="7CABA703"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hideMark/>
          </w:tcPr>
          <w:p w14:paraId="12E97C99" w14:textId="24965211" w:rsidR="006E51BF" w:rsidRPr="001A58C1" w:rsidRDefault="006E51BF">
            <w:pPr>
              <w:pStyle w:val="ARfintabletext"/>
            </w:pPr>
            <w:r w:rsidRPr="001A58C1">
              <w:t>Community Residential Units Accommodation charges include full Board and</w:t>
            </w:r>
            <w:r w:rsidR="00610A6F">
              <w:t> </w:t>
            </w:r>
            <w:r w:rsidRPr="001A58C1">
              <w:t xml:space="preserve">Lodging Model (Output)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225DB7C6" w14:textId="77777777" w:rsidR="006E51BF" w:rsidRPr="001A58C1" w:rsidRDefault="006E51BF">
            <w:pPr>
              <w:pStyle w:val="ARfintabletextright"/>
            </w:pPr>
            <w:r w:rsidRPr="001A58C1">
              <w:t>19.8</w:t>
            </w:r>
          </w:p>
        </w:tc>
        <w:tc>
          <w:tcPr>
            <w:tcW w:w="809" w:type="pct"/>
            <w:noWrap/>
            <w:tcMar>
              <w:right w:w="0" w:type="nil"/>
            </w:tcMar>
            <w:hideMark/>
          </w:tcPr>
          <w:p w14:paraId="005FF7A2" w14:textId="77777777" w:rsidR="006E51BF" w:rsidRPr="001A58C1"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1A58C1">
              <w:t>19.0</w:t>
            </w:r>
          </w:p>
        </w:tc>
      </w:tr>
      <w:tr w:rsidR="006E51BF" w:rsidRPr="00265554" w14:paraId="640D49B2"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603321E3" w14:textId="77777777" w:rsidR="006E51BF" w:rsidRPr="001A58C1" w:rsidRDefault="006E51BF">
            <w:pPr>
              <w:pStyle w:val="ARfintabletext"/>
            </w:pPr>
            <w:r w:rsidRPr="001A58C1">
              <w:t xml:space="preserve">Revenue for Services Provided for the National Disability Insurance Agency (Output)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24A7FD2C" w14:textId="77777777" w:rsidR="006E51BF" w:rsidRPr="001A58C1" w:rsidRDefault="006E51BF">
            <w:pPr>
              <w:pStyle w:val="ARfintabletextright"/>
            </w:pPr>
            <w:r w:rsidRPr="001A58C1">
              <w:t>22.5</w:t>
            </w:r>
          </w:p>
        </w:tc>
        <w:tc>
          <w:tcPr>
            <w:tcW w:w="809" w:type="pct"/>
            <w:noWrap/>
            <w:tcMar>
              <w:right w:w="0" w:type="nil"/>
            </w:tcMar>
            <w:hideMark/>
          </w:tcPr>
          <w:p w14:paraId="5BA8568D" w14:textId="77777777" w:rsidR="006E51BF" w:rsidRPr="001A58C1"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1A58C1">
              <w:t>23.0</w:t>
            </w:r>
          </w:p>
        </w:tc>
      </w:tr>
      <w:tr w:rsidR="006E51BF" w:rsidRPr="00265554" w14:paraId="0A92F88D"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6CD10FC6" w14:textId="77777777" w:rsidR="006E51BF" w:rsidRPr="001A58C1" w:rsidRDefault="006E51BF">
            <w:pPr>
              <w:pStyle w:val="ARfintabletext"/>
            </w:pPr>
            <w:r w:rsidRPr="001A58C1">
              <w:t xml:space="preserve">Revenue for Services Provided for the National Disability Insurance Agency (Capital)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2B56FE2A" w14:textId="77777777" w:rsidR="006E51BF" w:rsidRPr="001A58C1" w:rsidRDefault="006E51BF">
            <w:pPr>
              <w:pStyle w:val="ARfintabletextright"/>
            </w:pPr>
            <w:r w:rsidRPr="001A58C1">
              <w:t>9.0</w:t>
            </w:r>
          </w:p>
        </w:tc>
        <w:tc>
          <w:tcPr>
            <w:tcW w:w="809" w:type="pct"/>
            <w:noWrap/>
            <w:tcMar>
              <w:right w:w="0" w:type="nil"/>
            </w:tcMar>
            <w:hideMark/>
          </w:tcPr>
          <w:p w14:paraId="43616600" w14:textId="77777777" w:rsidR="006E51BF" w:rsidRPr="001A58C1"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1A58C1">
              <w:t>14.7</w:t>
            </w:r>
          </w:p>
        </w:tc>
      </w:tr>
      <w:tr w:rsidR="006E51BF" w:rsidRPr="00265554" w14:paraId="3206B183"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tcBorders>
              <w:bottom w:val="single" w:sz="4" w:space="0" w:color="BFBFBF" w:themeColor="accent2"/>
            </w:tcBorders>
            <w:noWrap/>
            <w:hideMark/>
          </w:tcPr>
          <w:p w14:paraId="4355F7F0" w14:textId="77777777" w:rsidR="006E51BF" w:rsidRPr="001A58C1" w:rsidRDefault="006E51BF">
            <w:pPr>
              <w:pStyle w:val="ARfintabletext"/>
            </w:pPr>
            <w:r w:rsidRPr="001A58C1">
              <w:t xml:space="preserve">Office of Senior Victorians – advertising and sponsorship income (Output) </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54158D4D" w14:textId="77777777" w:rsidR="006E51BF" w:rsidRPr="001A58C1" w:rsidRDefault="006E51BF">
            <w:pPr>
              <w:pStyle w:val="ARfintabletextright"/>
            </w:pPr>
            <w:r w:rsidRPr="001A58C1">
              <w:t>0.8</w:t>
            </w:r>
          </w:p>
        </w:tc>
        <w:tc>
          <w:tcPr>
            <w:tcW w:w="809" w:type="pct"/>
            <w:tcBorders>
              <w:bottom w:val="single" w:sz="4" w:space="0" w:color="BFBFBF" w:themeColor="accent2"/>
            </w:tcBorders>
            <w:noWrap/>
            <w:tcMar>
              <w:right w:w="0" w:type="nil"/>
            </w:tcMar>
            <w:hideMark/>
          </w:tcPr>
          <w:p w14:paraId="59DA9804" w14:textId="77777777" w:rsidR="006E51BF" w:rsidRPr="001A58C1"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1A58C1">
              <w:t>0.8</w:t>
            </w:r>
          </w:p>
        </w:tc>
      </w:tr>
      <w:tr w:rsidR="006E51BF" w:rsidRPr="00265554" w14:paraId="63B7278E"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hideMark/>
          </w:tcPr>
          <w:p w14:paraId="45D4C32F" w14:textId="77777777" w:rsidR="006E51BF" w:rsidRPr="001A58C1" w:rsidRDefault="006E51BF">
            <w:pPr>
              <w:pStyle w:val="ARfintabletext"/>
            </w:pP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0E50BEB0" w14:textId="77777777" w:rsidR="006E51BF" w:rsidRPr="001A58C1" w:rsidRDefault="006E51BF">
            <w:pPr>
              <w:pStyle w:val="ARfintabletextboldright"/>
            </w:pPr>
            <w:r w:rsidRPr="001A58C1">
              <w:t>52.1</w:t>
            </w:r>
          </w:p>
        </w:tc>
        <w:tc>
          <w:tcPr>
            <w:tcW w:w="809" w:type="pct"/>
            <w:tcBorders>
              <w:top w:val="single" w:sz="4" w:space="0" w:color="BFBFBF" w:themeColor="accent2"/>
              <w:bottom w:val="single" w:sz="4" w:space="0" w:color="000000" w:themeColor="text1"/>
            </w:tcBorders>
            <w:tcMar>
              <w:right w:w="0" w:type="nil"/>
            </w:tcMar>
            <w:hideMark/>
          </w:tcPr>
          <w:p w14:paraId="4AB02CE5" w14:textId="77777777" w:rsidR="006E51BF" w:rsidRPr="001A58C1" w:rsidRDefault="006E51BF">
            <w:pPr>
              <w:pStyle w:val="ARfintabletextboldright"/>
              <w:cnfStyle w:val="000000010000" w:firstRow="0" w:lastRow="0" w:firstColumn="0" w:lastColumn="0" w:oddVBand="0" w:evenVBand="0" w:oddHBand="0" w:evenHBand="1" w:firstRowFirstColumn="0" w:firstRowLastColumn="0" w:lastRowFirstColumn="0" w:lastRowLastColumn="0"/>
            </w:pPr>
            <w:r w:rsidRPr="001A58C1">
              <w:t>57.5</w:t>
            </w:r>
          </w:p>
        </w:tc>
      </w:tr>
      <w:tr w:rsidR="006E51BF" w:rsidRPr="00265554" w14:paraId="0CF547D1"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bottom w:val="single" w:sz="4" w:space="0" w:color="BFBFBF" w:themeColor="accent2"/>
            </w:tcBorders>
            <w:noWrap/>
            <w:hideMark/>
          </w:tcPr>
          <w:p w14:paraId="04754EAD" w14:textId="77777777" w:rsidR="006E51BF" w:rsidRPr="001A58C1" w:rsidRDefault="006E51BF">
            <w:pPr>
              <w:pStyle w:val="ARfintabletextboldcoloured"/>
            </w:pPr>
            <w:r w:rsidRPr="001A58C1">
              <w:t xml:space="preserve">Asset sales </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BFBFBF" w:themeColor="accent2"/>
            </w:tcBorders>
            <w:shd w:val="clear" w:color="auto" w:fill="auto"/>
            <w:tcMar>
              <w:right w:w="0" w:type="nil"/>
            </w:tcMar>
            <w:hideMark/>
          </w:tcPr>
          <w:p w14:paraId="2357FF64" w14:textId="77777777" w:rsidR="006E51BF" w:rsidRPr="001A58C1" w:rsidRDefault="006E51BF">
            <w:pPr>
              <w:pStyle w:val="ARfintabletextright"/>
            </w:pPr>
          </w:p>
        </w:tc>
        <w:tc>
          <w:tcPr>
            <w:tcW w:w="809" w:type="pct"/>
            <w:tcBorders>
              <w:top w:val="single" w:sz="4" w:space="0" w:color="000000" w:themeColor="text1"/>
              <w:bottom w:val="single" w:sz="4" w:space="0" w:color="BFBFBF" w:themeColor="accent2"/>
            </w:tcBorders>
            <w:tcMar>
              <w:right w:w="0" w:type="nil"/>
            </w:tcMar>
            <w:hideMark/>
          </w:tcPr>
          <w:p w14:paraId="01ED702E" w14:textId="77777777" w:rsidR="006E51BF" w:rsidRPr="001A58C1"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265554" w14:paraId="1222744A"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noWrap/>
            <w:hideMark/>
          </w:tcPr>
          <w:p w14:paraId="38D0CBC2" w14:textId="77777777" w:rsidR="006E51BF" w:rsidRPr="001A58C1" w:rsidRDefault="006E51BF">
            <w:pPr>
              <w:pStyle w:val="ARfintabletext"/>
            </w:pPr>
            <w:r w:rsidRPr="001A58C1">
              <w:t xml:space="preserve">Proceeds from sale of land and buildings (Capital) </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3D25B01A" w14:textId="77777777" w:rsidR="006E51BF" w:rsidRPr="001A58C1" w:rsidRDefault="006E51BF">
            <w:pPr>
              <w:pStyle w:val="ARfintabletextright"/>
            </w:pPr>
            <w:r w:rsidRPr="001A58C1">
              <w:t>–</w:t>
            </w:r>
          </w:p>
        </w:tc>
        <w:tc>
          <w:tcPr>
            <w:tcW w:w="809" w:type="pct"/>
            <w:tcBorders>
              <w:top w:val="single" w:sz="4" w:space="0" w:color="BFBFBF" w:themeColor="accent2"/>
              <w:bottom w:val="single" w:sz="4" w:space="0" w:color="000000" w:themeColor="text1"/>
            </w:tcBorders>
            <w:noWrap/>
            <w:tcMar>
              <w:right w:w="0" w:type="nil"/>
            </w:tcMar>
            <w:hideMark/>
          </w:tcPr>
          <w:p w14:paraId="69E1AFCE" w14:textId="77777777" w:rsidR="006E51BF" w:rsidRPr="001A58C1"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1A58C1">
              <w:t>0.8</w:t>
            </w:r>
          </w:p>
        </w:tc>
      </w:tr>
      <w:tr w:rsidR="006E51BF" w:rsidRPr="00265554" w14:paraId="476EABEE"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hideMark/>
          </w:tcPr>
          <w:p w14:paraId="4ED3F76D" w14:textId="77777777" w:rsidR="006E51BF" w:rsidRPr="001A58C1" w:rsidRDefault="006E51BF">
            <w:pPr>
              <w:pStyle w:val="ARfintabletext"/>
            </w:pP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34C7E172" w14:textId="77777777" w:rsidR="006E51BF" w:rsidRPr="001A58C1" w:rsidRDefault="006E51BF">
            <w:pPr>
              <w:pStyle w:val="ARfintabletextboldright"/>
            </w:pPr>
            <w:r w:rsidRPr="001A58C1">
              <w:t>–</w:t>
            </w:r>
          </w:p>
        </w:tc>
        <w:tc>
          <w:tcPr>
            <w:tcW w:w="809" w:type="pct"/>
            <w:tcBorders>
              <w:top w:val="single" w:sz="4" w:space="0" w:color="000000" w:themeColor="text1"/>
              <w:bottom w:val="single" w:sz="4" w:space="0" w:color="000000" w:themeColor="text1"/>
            </w:tcBorders>
            <w:noWrap/>
            <w:tcMar>
              <w:right w:w="0" w:type="nil"/>
            </w:tcMar>
            <w:hideMark/>
          </w:tcPr>
          <w:p w14:paraId="7320ABE0" w14:textId="77777777" w:rsidR="006E51BF" w:rsidRPr="001A58C1" w:rsidRDefault="006E51BF">
            <w:pPr>
              <w:pStyle w:val="ARfintabletextboldright"/>
              <w:cnfStyle w:val="000000100000" w:firstRow="0" w:lastRow="0" w:firstColumn="0" w:lastColumn="0" w:oddVBand="0" w:evenVBand="0" w:oddHBand="1" w:evenHBand="0" w:firstRowFirstColumn="0" w:firstRowLastColumn="0" w:lastRowFirstColumn="0" w:lastRowLastColumn="0"/>
            </w:pPr>
            <w:r w:rsidRPr="001A58C1">
              <w:t>0.8</w:t>
            </w:r>
          </w:p>
        </w:tc>
      </w:tr>
      <w:tr w:rsidR="006E51BF" w:rsidRPr="00265554" w14:paraId="1F962ADA"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tcBorders>
            <w:noWrap/>
            <w:hideMark/>
          </w:tcPr>
          <w:p w14:paraId="7BC6B787" w14:textId="77777777" w:rsidR="006E51BF" w:rsidRPr="001A58C1" w:rsidRDefault="006E51BF">
            <w:pPr>
              <w:pStyle w:val="ARfintabletextboldcoloured"/>
            </w:pPr>
            <w:r w:rsidRPr="001A58C1">
              <w:t xml:space="preserve">Commonwealth specific purpose payments </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tcMar>
              <w:right w:w="0" w:type="nil"/>
            </w:tcMar>
            <w:hideMark/>
          </w:tcPr>
          <w:p w14:paraId="117BAFBB" w14:textId="77777777" w:rsidR="006E51BF" w:rsidRPr="001A58C1" w:rsidRDefault="006E51BF">
            <w:pPr>
              <w:pStyle w:val="ARfintabletextright"/>
            </w:pPr>
          </w:p>
        </w:tc>
        <w:tc>
          <w:tcPr>
            <w:tcW w:w="809" w:type="pct"/>
            <w:tcBorders>
              <w:top w:val="single" w:sz="4" w:space="0" w:color="000000" w:themeColor="text1"/>
            </w:tcBorders>
            <w:tcMar>
              <w:right w:w="0" w:type="nil"/>
            </w:tcMar>
            <w:hideMark/>
          </w:tcPr>
          <w:p w14:paraId="51114BCF" w14:textId="77777777" w:rsidR="006E51BF" w:rsidRPr="001A58C1" w:rsidRDefault="006E51BF">
            <w:pPr>
              <w:pStyle w:val="ARfintabletextright"/>
              <w:cnfStyle w:val="000000010000" w:firstRow="0" w:lastRow="0" w:firstColumn="0" w:lastColumn="0" w:oddVBand="0" w:evenVBand="0" w:oddHBand="0" w:evenHBand="1" w:firstRowFirstColumn="0" w:firstRowLastColumn="0" w:lastRowFirstColumn="0" w:lastRowLastColumn="0"/>
            </w:pPr>
          </w:p>
        </w:tc>
      </w:tr>
      <w:tr w:rsidR="006E51BF" w:rsidRPr="00265554" w14:paraId="73A8B6F5"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5EF6C130" w14:textId="77777777" w:rsidR="006E51BF" w:rsidRPr="001A58C1" w:rsidRDefault="006E51BF">
            <w:pPr>
              <w:pStyle w:val="ARfintabletext"/>
            </w:pPr>
            <w:r w:rsidRPr="001A58C1">
              <w:t xml:space="preserve">National Partnership Agreements </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3B5E4008" w14:textId="77777777" w:rsidR="006E51BF" w:rsidRPr="001A58C1" w:rsidRDefault="006E51BF">
            <w:pPr>
              <w:pStyle w:val="ARfintabletextright"/>
            </w:pPr>
          </w:p>
        </w:tc>
        <w:tc>
          <w:tcPr>
            <w:tcW w:w="809" w:type="pct"/>
            <w:tcMar>
              <w:right w:w="0" w:type="nil"/>
            </w:tcMar>
            <w:hideMark/>
          </w:tcPr>
          <w:p w14:paraId="29CB3478" w14:textId="77777777" w:rsidR="006E51BF" w:rsidRPr="001A58C1"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265554" w14:paraId="509A0208"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2A7FCD44" w14:textId="77777777" w:rsidR="006E51BF" w:rsidRPr="001A58C1" w:rsidRDefault="006E51BF">
            <w:pPr>
              <w:pStyle w:val="ARfintabletextindent"/>
            </w:pPr>
            <w:r w:rsidRPr="001A58C1">
              <w:t xml:space="preserve">Family Law Information Sharing (Output)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3F271B7" w14:textId="77777777" w:rsidR="006E51BF" w:rsidRPr="001A58C1" w:rsidRDefault="006E51BF">
            <w:pPr>
              <w:pStyle w:val="ARfintabletextright"/>
            </w:pPr>
            <w:r w:rsidRPr="001A58C1">
              <w:t>2.1</w:t>
            </w:r>
          </w:p>
        </w:tc>
        <w:tc>
          <w:tcPr>
            <w:tcW w:w="809" w:type="pct"/>
            <w:tcMar>
              <w:right w:w="0" w:type="nil"/>
            </w:tcMar>
            <w:hideMark/>
          </w:tcPr>
          <w:p w14:paraId="07011BF4" w14:textId="77777777" w:rsidR="006E51BF" w:rsidRPr="001A58C1"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1A58C1">
              <w:t>–</w:t>
            </w:r>
          </w:p>
        </w:tc>
      </w:tr>
      <w:tr w:rsidR="006E51BF" w:rsidRPr="00265554" w14:paraId="474F2C0F"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3F4CD50F" w14:textId="77777777" w:rsidR="006E51BF" w:rsidRPr="001A58C1" w:rsidRDefault="006E51BF">
            <w:pPr>
              <w:pStyle w:val="ARfintabletextindent"/>
            </w:pPr>
            <w:r w:rsidRPr="001A58C1">
              <w:t xml:space="preserve">National Housing and Homelessness Agreement (Output)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196665D" w14:textId="77777777" w:rsidR="006E51BF" w:rsidRPr="001A58C1" w:rsidRDefault="006E51BF">
            <w:pPr>
              <w:pStyle w:val="ARfintabletextright"/>
            </w:pPr>
            <w:r w:rsidRPr="001A58C1">
              <w:t>460.5</w:t>
            </w:r>
          </w:p>
        </w:tc>
        <w:tc>
          <w:tcPr>
            <w:tcW w:w="809" w:type="pct"/>
            <w:tcMar>
              <w:right w:w="0" w:type="nil"/>
            </w:tcMar>
            <w:hideMark/>
          </w:tcPr>
          <w:p w14:paraId="01E19CF6" w14:textId="77777777" w:rsidR="006E51BF" w:rsidRPr="001A58C1"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1A58C1">
              <w:t>451.0</w:t>
            </w:r>
          </w:p>
        </w:tc>
      </w:tr>
      <w:tr w:rsidR="006E51BF" w:rsidRPr="00265554" w14:paraId="66B7C019"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435A249C" w14:textId="77777777" w:rsidR="006E51BF" w:rsidRPr="001A58C1" w:rsidRDefault="006E51BF">
            <w:pPr>
              <w:pStyle w:val="ARfintabletextindent"/>
            </w:pPr>
            <w:r w:rsidRPr="001A58C1">
              <w:t xml:space="preserve">Family, Domestic and Sexual Violence Support (Output)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743B4824" w14:textId="77777777" w:rsidR="006E51BF" w:rsidRPr="001A58C1" w:rsidRDefault="006E51BF">
            <w:pPr>
              <w:pStyle w:val="ARfintabletextright"/>
            </w:pPr>
            <w:r w:rsidRPr="001A58C1">
              <w:t>29.6</w:t>
            </w:r>
          </w:p>
        </w:tc>
        <w:tc>
          <w:tcPr>
            <w:tcW w:w="809" w:type="pct"/>
            <w:tcMar>
              <w:right w:w="0" w:type="nil"/>
            </w:tcMar>
            <w:hideMark/>
          </w:tcPr>
          <w:p w14:paraId="214B7442" w14:textId="77777777" w:rsidR="006E51BF" w:rsidRPr="001A58C1"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1A58C1">
              <w:t>28.5</w:t>
            </w:r>
          </w:p>
        </w:tc>
      </w:tr>
      <w:tr w:rsidR="006E51BF" w:rsidRPr="00265554" w14:paraId="0C342D6F"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32515ACC" w14:textId="77777777" w:rsidR="006E51BF" w:rsidRPr="001A58C1" w:rsidRDefault="006E51BF">
            <w:pPr>
              <w:pStyle w:val="ARfintabletextindent"/>
            </w:pPr>
            <w:r w:rsidRPr="001A58C1">
              <w:t xml:space="preserve">Energy Bill Relief (Output)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7615042C" w14:textId="77777777" w:rsidR="006E51BF" w:rsidRPr="001A58C1" w:rsidRDefault="006E51BF">
            <w:pPr>
              <w:pStyle w:val="ARfintabletextright"/>
            </w:pPr>
            <w:r w:rsidRPr="001A58C1">
              <w:t>512.2</w:t>
            </w:r>
          </w:p>
        </w:tc>
        <w:tc>
          <w:tcPr>
            <w:tcW w:w="809" w:type="pct"/>
            <w:tcMar>
              <w:right w:w="0" w:type="nil"/>
            </w:tcMar>
            <w:hideMark/>
          </w:tcPr>
          <w:p w14:paraId="1F4DF171" w14:textId="77777777" w:rsidR="006E51BF" w:rsidRPr="001A58C1"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1A58C1">
              <w:t>865.7</w:t>
            </w:r>
          </w:p>
        </w:tc>
      </w:tr>
      <w:tr w:rsidR="006E51BF" w:rsidRPr="00265554" w14:paraId="38D6DE95"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48BFA356" w14:textId="77777777" w:rsidR="006E51BF" w:rsidRPr="001A58C1" w:rsidRDefault="006E51BF">
            <w:pPr>
              <w:pStyle w:val="ARfintabletext"/>
            </w:pPr>
            <w:r w:rsidRPr="001A58C1">
              <w:t xml:space="preserve">Other </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7AE9F3EE" w14:textId="77777777" w:rsidR="006E51BF" w:rsidRPr="001A58C1" w:rsidRDefault="006E51BF">
            <w:pPr>
              <w:pStyle w:val="ARfintabletextright"/>
            </w:pPr>
          </w:p>
        </w:tc>
        <w:tc>
          <w:tcPr>
            <w:tcW w:w="809" w:type="pct"/>
            <w:tcMar>
              <w:right w:w="0" w:type="nil"/>
            </w:tcMar>
            <w:hideMark/>
          </w:tcPr>
          <w:p w14:paraId="7C3FDB8E" w14:textId="77777777" w:rsidR="006E51BF" w:rsidRPr="001A58C1" w:rsidRDefault="006E51BF">
            <w:pPr>
              <w:pStyle w:val="ARfintabletextright"/>
              <w:cnfStyle w:val="000000010000" w:firstRow="0" w:lastRow="0" w:firstColumn="0" w:lastColumn="0" w:oddVBand="0" w:evenVBand="0" w:oddHBand="0" w:evenHBand="1" w:firstRowFirstColumn="0" w:firstRowLastColumn="0" w:lastRowFirstColumn="0" w:lastRowLastColumn="0"/>
            </w:pPr>
          </w:p>
        </w:tc>
      </w:tr>
      <w:tr w:rsidR="006E51BF" w:rsidRPr="00265554" w14:paraId="5B08BE30"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2625C7AE" w14:textId="77777777" w:rsidR="006E51BF" w:rsidRPr="001A58C1" w:rsidRDefault="006E51BF">
            <w:pPr>
              <w:pStyle w:val="ARfintabletextindent"/>
            </w:pPr>
            <w:r w:rsidRPr="001A58C1">
              <w:t xml:space="preserve">Unattached Refugee Children (Output)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126A37FA" w14:textId="77777777" w:rsidR="006E51BF" w:rsidRPr="001A58C1" w:rsidRDefault="006E51BF">
            <w:pPr>
              <w:pStyle w:val="ARfintabletextright"/>
            </w:pPr>
            <w:r w:rsidRPr="001A58C1">
              <w:t>3.2</w:t>
            </w:r>
          </w:p>
        </w:tc>
        <w:tc>
          <w:tcPr>
            <w:tcW w:w="809" w:type="pct"/>
            <w:tcMar>
              <w:right w:w="0" w:type="nil"/>
            </w:tcMar>
            <w:hideMark/>
          </w:tcPr>
          <w:p w14:paraId="0FF23C87" w14:textId="77777777" w:rsidR="006E51BF" w:rsidRPr="001A58C1"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1A58C1">
              <w:t>4.2</w:t>
            </w:r>
          </w:p>
        </w:tc>
      </w:tr>
      <w:tr w:rsidR="006E51BF" w:rsidRPr="00265554" w14:paraId="456F111A"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79752BA6" w14:textId="77777777" w:rsidR="006E51BF" w:rsidRPr="001A58C1" w:rsidRDefault="006E51BF">
            <w:pPr>
              <w:pStyle w:val="ARfintabletextindent"/>
            </w:pPr>
            <w:r w:rsidRPr="001A58C1">
              <w:t xml:space="preserve">Women's Safety Measures </w:t>
            </w:r>
            <w:r>
              <w:t>–</w:t>
            </w:r>
            <w:r w:rsidRPr="001A58C1">
              <w:t xml:space="preserve"> Keeping Women Safe in Their Homes (Output)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1F1874F2" w14:textId="77777777" w:rsidR="006E51BF" w:rsidRPr="001A58C1" w:rsidRDefault="006E51BF">
            <w:pPr>
              <w:pStyle w:val="ARfintabletextright"/>
            </w:pPr>
            <w:r w:rsidRPr="001A58C1">
              <w:t>1.4</w:t>
            </w:r>
          </w:p>
        </w:tc>
        <w:tc>
          <w:tcPr>
            <w:tcW w:w="809" w:type="pct"/>
            <w:tcMar>
              <w:right w:w="0" w:type="nil"/>
            </w:tcMar>
            <w:hideMark/>
          </w:tcPr>
          <w:p w14:paraId="084B2249" w14:textId="77777777" w:rsidR="006E51BF" w:rsidRPr="001A58C1"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1A58C1">
              <w:t>1.3</w:t>
            </w:r>
          </w:p>
        </w:tc>
      </w:tr>
      <w:tr w:rsidR="006E51BF" w:rsidRPr="00265554" w14:paraId="39B9CBFA"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tcBorders>
              <w:bottom w:val="single" w:sz="4" w:space="0" w:color="BFBFBF" w:themeColor="accent2"/>
            </w:tcBorders>
            <w:noWrap/>
            <w:hideMark/>
          </w:tcPr>
          <w:p w14:paraId="50EFF054" w14:textId="18336BA4" w:rsidR="006E51BF" w:rsidRPr="001A58C1" w:rsidRDefault="006E51BF">
            <w:pPr>
              <w:pStyle w:val="ARfintabletextindent"/>
            </w:pPr>
            <w:r w:rsidRPr="001A58C1">
              <w:t>National Disability Data Asset (Output)</w:t>
            </w:r>
            <w:r w:rsidR="000D67BA">
              <w:t xml:space="preserve"> </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1FE3B736" w14:textId="77777777" w:rsidR="006E51BF" w:rsidRPr="001A58C1" w:rsidRDefault="006E51BF">
            <w:pPr>
              <w:pStyle w:val="ARfintabletextright"/>
            </w:pPr>
            <w:r w:rsidRPr="001A58C1">
              <w:t>0.1</w:t>
            </w:r>
          </w:p>
        </w:tc>
        <w:tc>
          <w:tcPr>
            <w:tcW w:w="809" w:type="pct"/>
            <w:tcBorders>
              <w:bottom w:val="single" w:sz="4" w:space="0" w:color="BFBFBF" w:themeColor="accent2"/>
            </w:tcBorders>
            <w:tcMar>
              <w:right w:w="0" w:type="nil"/>
            </w:tcMar>
            <w:hideMark/>
          </w:tcPr>
          <w:p w14:paraId="7DF84D48" w14:textId="77777777" w:rsidR="006E51BF" w:rsidRPr="001A58C1"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1A58C1">
              <w:t>0.5</w:t>
            </w:r>
          </w:p>
        </w:tc>
      </w:tr>
      <w:tr w:rsidR="006E51BF" w:rsidRPr="00265554" w14:paraId="38F030A6"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noWrap/>
          </w:tcPr>
          <w:p w14:paraId="27D3035F" w14:textId="77777777" w:rsidR="006E51BF" w:rsidRPr="001A58C1" w:rsidRDefault="006E51BF">
            <w:pPr>
              <w:pStyle w:val="ARfintabletextindent"/>
            </w:pPr>
            <w:r w:rsidRPr="001A58C1">
              <w:t>Pacific regional engagement in the Women Deliver 2026 Global Conference (Output)</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tcPr>
          <w:p w14:paraId="65352D46" w14:textId="77777777" w:rsidR="006E51BF" w:rsidRPr="001A58C1" w:rsidRDefault="006E51BF">
            <w:pPr>
              <w:pStyle w:val="ARfintabletextright"/>
            </w:pPr>
            <w:r w:rsidRPr="001A58C1">
              <w:t>0.5</w:t>
            </w:r>
          </w:p>
        </w:tc>
        <w:tc>
          <w:tcPr>
            <w:tcW w:w="809" w:type="pct"/>
            <w:tcBorders>
              <w:top w:val="single" w:sz="4" w:space="0" w:color="BFBFBF" w:themeColor="accent2"/>
              <w:bottom w:val="single" w:sz="4" w:space="0" w:color="000000" w:themeColor="text1"/>
            </w:tcBorders>
            <w:tcMar>
              <w:right w:w="0" w:type="nil"/>
            </w:tcMar>
          </w:tcPr>
          <w:p w14:paraId="4416C77F" w14:textId="77777777" w:rsidR="006E51BF" w:rsidRPr="001A58C1"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1A58C1">
              <w:t>0.5</w:t>
            </w:r>
          </w:p>
        </w:tc>
      </w:tr>
      <w:tr w:rsidR="006E51BF" w:rsidRPr="00265554" w14:paraId="0F9095A0"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hideMark/>
          </w:tcPr>
          <w:p w14:paraId="71871E27" w14:textId="77777777" w:rsidR="006E51BF" w:rsidRPr="00FC1763" w:rsidRDefault="006E51BF">
            <w:pPr>
              <w:pStyle w:val="ARfintabletextbold"/>
            </w:pP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tcMar>
              <w:right w:w="0" w:type="nil"/>
            </w:tcMar>
            <w:hideMark/>
          </w:tcPr>
          <w:p w14:paraId="679CB3CE" w14:textId="77777777" w:rsidR="006E51BF" w:rsidRPr="001A58C1" w:rsidRDefault="006E51BF">
            <w:pPr>
              <w:pStyle w:val="ARfintabletextboldright"/>
            </w:pPr>
            <w:r w:rsidRPr="001A58C1">
              <w:t>1,009.6</w:t>
            </w:r>
          </w:p>
        </w:tc>
        <w:tc>
          <w:tcPr>
            <w:tcW w:w="809" w:type="pct"/>
            <w:tcBorders>
              <w:top w:val="single" w:sz="4" w:space="0" w:color="000000" w:themeColor="text1"/>
              <w:bottom w:val="single" w:sz="4" w:space="0" w:color="000000" w:themeColor="text1"/>
            </w:tcBorders>
            <w:tcMar>
              <w:right w:w="0" w:type="nil"/>
            </w:tcMar>
            <w:hideMark/>
          </w:tcPr>
          <w:p w14:paraId="01AAC693" w14:textId="77777777" w:rsidR="006E51BF" w:rsidRPr="001A58C1" w:rsidRDefault="006E51BF">
            <w:pPr>
              <w:pStyle w:val="ARfintabletextboldright"/>
              <w:cnfStyle w:val="000000100000" w:firstRow="0" w:lastRow="0" w:firstColumn="0" w:lastColumn="0" w:oddVBand="0" w:evenVBand="0" w:oddHBand="1" w:evenHBand="0" w:firstRowFirstColumn="0" w:firstRowLastColumn="0" w:lastRowFirstColumn="0" w:lastRowLastColumn="0"/>
            </w:pPr>
            <w:r w:rsidRPr="001A58C1">
              <w:t>1,351.8</w:t>
            </w:r>
          </w:p>
        </w:tc>
      </w:tr>
      <w:tr w:rsidR="006E51BF" w:rsidRPr="00265554" w14:paraId="44F97BFE" w14:textId="77777777" w:rsidTr="00785A35">
        <w:trPr>
          <w:cnfStyle w:val="010000000000" w:firstRow="0" w:lastRow="1" w:firstColumn="0" w:lastColumn="0" w:oddVBand="0" w:evenVBand="0" w:oddHBand="0" w:evenHBand="0" w:firstRowFirstColumn="0" w:firstRowLastColumn="0" w:lastRowFirstColumn="0" w:lastRowLastColumn="0"/>
          <w:trHeight w:val="20"/>
        </w:trPr>
        <w:tc>
          <w:tcPr>
            <w:tcW w:w="3383" w:type="pct"/>
            <w:noWrap/>
            <w:hideMark/>
          </w:tcPr>
          <w:p w14:paraId="38C8D2A6" w14:textId="77777777" w:rsidR="006E51BF" w:rsidRPr="001A58C1" w:rsidRDefault="006E51BF">
            <w:pPr>
              <w:pStyle w:val="ARfintabletextbold"/>
            </w:pPr>
            <w:r w:rsidRPr="001A58C1">
              <w:t xml:space="preserve">Total annotated income agreements </w:t>
            </w:r>
          </w:p>
        </w:tc>
        <w:tc>
          <w:tcPr>
            <w:cnfStyle w:val="000001000000" w:firstRow="0" w:lastRow="0" w:firstColumn="0" w:lastColumn="0" w:oddVBand="0" w:evenVBand="1" w:oddHBand="0" w:evenHBand="0" w:firstRowFirstColumn="0" w:firstRowLastColumn="0" w:lastRowFirstColumn="0" w:lastRowLastColumn="0"/>
            <w:tcW w:w="808" w:type="pct"/>
            <w:tcMar>
              <w:right w:w="0" w:type="nil"/>
            </w:tcMar>
            <w:hideMark/>
          </w:tcPr>
          <w:p w14:paraId="0B460BA4" w14:textId="77777777" w:rsidR="006E51BF" w:rsidRPr="001A58C1" w:rsidRDefault="006E51BF">
            <w:pPr>
              <w:pStyle w:val="ARfintabletextboldright"/>
            </w:pPr>
            <w:r w:rsidRPr="001A58C1">
              <w:t>1,061.7</w:t>
            </w:r>
          </w:p>
        </w:tc>
        <w:tc>
          <w:tcPr>
            <w:tcW w:w="809" w:type="pct"/>
            <w:tcMar>
              <w:right w:w="0" w:type="nil"/>
            </w:tcMar>
            <w:hideMark/>
          </w:tcPr>
          <w:p w14:paraId="1939442F" w14:textId="77777777" w:rsidR="006E51BF" w:rsidRPr="001A58C1" w:rsidRDefault="006E51BF">
            <w:pPr>
              <w:pStyle w:val="ARfintabletextboldright"/>
              <w:cnfStyle w:val="010000000000" w:firstRow="0" w:lastRow="1" w:firstColumn="0" w:lastColumn="0" w:oddVBand="0" w:evenVBand="0" w:oddHBand="0" w:evenHBand="0" w:firstRowFirstColumn="0" w:firstRowLastColumn="0" w:lastRowFirstColumn="0" w:lastRowLastColumn="0"/>
            </w:pPr>
            <w:r w:rsidRPr="001A58C1">
              <w:t>1,410.1</w:t>
            </w:r>
          </w:p>
        </w:tc>
      </w:tr>
    </w:tbl>
    <w:p w14:paraId="32168C9A" w14:textId="77777777" w:rsidR="006E51BF" w:rsidRDefault="006E51BF">
      <w:pPr>
        <w:pStyle w:val="ARfinbody"/>
      </w:pPr>
      <w:r>
        <w:br w:type="page"/>
      </w:r>
    </w:p>
    <w:p w14:paraId="261CB4CE" w14:textId="77777777" w:rsidR="006E51BF" w:rsidRPr="00337247" w:rsidRDefault="006E51BF">
      <w:pPr>
        <w:pStyle w:val="Heading3financials"/>
        <w:rPr>
          <w:lang w:eastAsia="en-AU"/>
        </w:rPr>
      </w:pPr>
      <w:bookmarkStart w:id="287" w:name="_Toc241068546"/>
      <w:r>
        <w:rPr>
          <w:lang w:eastAsia="en-AU"/>
        </w:rPr>
        <w:t>3</w:t>
      </w:r>
      <w:r>
        <w:rPr>
          <w:lang w:eastAsia="en-AU"/>
        </w:rPr>
        <w:tab/>
      </w:r>
      <w:r w:rsidRPr="00337247">
        <w:rPr>
          <w:lang w:eastAsia="en-AU"/>
        </w:rPr>
        <w:t>The cost of delivering services</w:t>
      </w:r>
      <w:bookmarkEnd w:id="287"/>
    </w:p>
    <w:p w14:paraId="365119E7" w14:textId="77777777" w:rsidR="006E51BF" w:rsidRDefault="006E51BF">
      <w:pPr>
        <w:pStyle w:val="Heading4"/>
        <w:rPr>
          <w:lang w:eastAsia="en-AU"/>
        </w:rPr>
      </w:pPr>
      <w:r w:rsidRPr="00337247">
        <w:rPr>
          <w:lang w:eastAsia="en-AU"/>
        </w:rPr>
        <w:t>Introduction</w:t>
      </w:r>
    </w:p>
    <w:p w14:paraId="605B8F4E" w14:textId="77777777" w:rsidR="006E51BF" w:rsidRDefault="006E51BF">
      <w:pPr>
        <w:pStyle w:val="ARfinbody"/>
        <w:rPr>
          <w:lang w:eastAsia="en-AU"/>
        </w:rPr>
      </w:pPr>
      <w:r w:rsidRPr="00337247">
        <w:rPr>
          <w:lang w:eastAsia="en-AU"/>
        </w:rPr>
        <w:t>This section provides an account of the expenses incurred by the department in delivering services and outputs. In Note 2 'Funding delivery of our services', the funds that enable the provision of services were disclosed and in this note the costs associated with the provision of services are recorded. Note 4 'Disaggregated financial information by output' discloses aggregated information in relation to the income and expenses by output.</w:t>
      </w:r>
    </w:p>
    <w:p w14:paraId="33957BC1" w14:textId="77777777" w:rsidR="006E51BF" w:rsidRDefault="006E51BF">
      <w:pPr>
        <w:pStyle w:val="Heading4"/>
        <w:rPr>
          <w:lang w:eastAsia="en-AU"/>
        </w:rPr>
      </w:pPr>
      <w:r w:rsidRPr="00337247">
        <w:rPr>
          <w:lang w:eastAsia="en-AU"/>
        </w:rPr>
        <w:t>Structure</w:t>
      </w:r>
    </w:p>
    <w:p w14:paraId="08B95B7B" w14:textId="77777777" w:rsidR="006E51BF" w:rsidRDefault="006E51BF">
      <w:pPr>
        <w:pStyle w:val="ARfinstructure1"/>
        <w:rPr>
          <w:lang w:eastAsia="en-AU"/>
        </w:rPr>
      </w:pPr>
      <w:r w:rsidRPr="00337247">
        <w:rPr>
          <w:lang w:eastAsia="en-AU"/>
        </w:rPr>
        <w:t xml:space="preserve">3.1 </w:t>
      </w:r>
      <w:r>
        <w:rPr>
          <w:lang w:eastAsia="en-AU"/>
        </w:rPr>
        <w:tab/>
      </w:r>
      <w:r w:rsidRPr="00337247">
        <w:rPr>
          <w:lang w:eastAsia="en-AU"/>
        </w:rPr>
        <w:t>Expenses incurred in delivery of services</w:t>
      </w:r>
    </w:p>
    <w:p w14:paraId="49F73248" w14:textId="77777777" w:rsidR="006E51BF" w:rsidRDefault="006E51BF">
      <w:pPr>
        <w:pStyle w:val="ARfinstructure2"/>
        <w:rPr>
          <w:lang w:eastAsia="en-AU"/>
        </w:rPr>
      </w:pPr>
      <w:r w:rsidRPr="00337247">
        <w:rPr>
          <w:lang w:eastAsia="en-AU"/>
        </w:rPr>
        <w:t xml:space="preserve">3.1.1 </w:t>
      </w:r>
      <w:r>
        <w:rPr>
          <w:lang w:eastAsia="en-AU"/>
        </w:rPr>
        <w:tab/>
      </w:r>
      <w:r w:rsidRPr="00337247">
        <w:rPr>
          <w:lang w:eastAsia="en-AU"/>
        </w:rPr>
        <w:t>Employee benefits</w:t>
      </w:r>
    </w:p>
    <w:p w14:paraId="2B50E1A1" w14:textId="77777777" w:rsidR="006E51BF" w:rsidRDefault="006E51BF">
      <w:pPr>
        <w:pStyle w:val="ARfinstructure2"/>
        <w:rPr>
          <w:lang w:eastAsia="en-AU"/>
        </w:rPr>
      </w:pPr>
      <w:r w:rsidRPr="00337247">
        <w:rPr>
          <w:lang w:eastAsia="en-AU"/>
        </w:rPr>
        <w:t xml:space="preserve">3.1.2 </w:t>
      </w:r>
      <w:r>
        <w:rPr>
          <w:lang w:eastAsia="en-AU"/>
        </w:rPr>
        <w:tab/>
      </w:r>
      <w:r w:rsidRPr="00337247">
        <w:rPr>
          <w:lang w:eastAsia="en-AU"/>
        </w:rPr>
        <w:t>Grants and other transfers</w:t>
      </w:r>
    </w:p>
    <w:p w14:paraId="58EC9F6D" w14:textId="77777777" w:rsidR="006E51BF" w:rsidRDefault="006E51BF">
      <w:pPr>
        <w:pStyle w:val="ARfinstructure2"/>
        <w:rPr>
          <w:lang w:eastAsia="en-AU"/>
        </w:rPr>
      </w:pPr>
      <w:r w:rsidRPr="00337247">
        <w:rPr>
          <w:lang w:eastAsia="en-AU"/>
        </w:rPr>
        <w:t xml:space="preserve">3.1.3 </w:t>
      </w:r>
      <w:r>
        <w:rPr>
          <w:lang w:eastAsia="en-AU"/>
        </w:rPr>
        <w:tab/>
      </w:r>
      <w:r w:rsidRPr="00337247">
        <w:rPr>
          <w:lang w:eastAsia="en-AU"/>
        </w:rPr>
        <w:t>Other operating expenses</w:t>
      </w:r>
    </w:p>
    <w:p w14:paraId="08ACEC72" w14:textId="77777777" w:rsidR="006E51BF" w:rsidRPr="00337247" w:rsidRDefault="006E51BF">
      <w:pPr>
        <w:pStyle w:val="ARfinstructure2"/>
        <w:rPr>
          <w:b/>
          <w:bCs/>
          <w:lang w:eastAsia="en-AU"/>
        </w:rPr>
      </w:pPr>
      <w:r w:rsidRPr="00337247">
        <w:rPr>
          <w:lang w:eastAsia="en-AU"/>
        </w:rPr>
        <w:t xml:space="preserve">3.1.4 </w:t>
      </w:r>
      <w:r>
        <w:rPr>
          <w:lang w:eastAsia="en-AU"/>
        </w:rPr>
        <w:tab/>
      </w:r>
      <w:r w:rsidRPr="00337247">
        <w:rPr>
          <w:lang w:eastAsia="en-AU"/>
        </w:rPr>
        <w:t>Property management expenses</w:t>
      </w:r>
    </w:p>
    <w:p w14:paraId="6CF78EB4" w14:textId="77777777" w:rsidR="006E51BF" w:rsidRPr="00337247" w:rsidRDefault="006E51BF">
      <w:pPr>
        <w:pStyle w:val="Heading4"/>
        <w:rPr>
          <w:lang w:eastAsia="en-AU"/>
        </w:rPr>
      </w:pPr>
      <w:r w:rsidRPr="00337247">
        <w:rPr>
          <w:lang w:eastAsia="en-AU"/>
        </w:rPr>
        <w:t xml:space="preserve">3.1 </w:t>
      </w:r>
      <w:r>
        <w:rPr>
          <w:lang w:eastAsia="en-AU"/>
        </w:rPr>
        <w:tab/>
      </w:r>
      <w:r w:rsidRPr="00337247">
        <w:rPr>
          <w:lang w:eastAsia="en-AU"/>
        </w:rPr>
        <w:t>Expenses incurred in delivery of services</w:t>
      </w:r>
    </w:p>
    <w:tbl>
      <w:tblPr>
        <w:tblStyle w:val="ARtable2"/>
        <w:tblW w:w="5000" w:type="pct"/>
        <w:tblLook w:val="00E0" w:firstRow="1" w:lastRow="1" w:firstColumn="1" w:lastColumn="0" w:noHBand="0" w:noVBand="0"/>
      </w:tblPr>
      <w:tblGrid>
        <w:gridCol w:w="4956"/>
        <w:gridCol w:w="1558"/>
        <w:gridCol w:w="1556"/>
        <w:gridCol w:w="1558"/>
      </w:tblGrid>
      <w:tr w:rsidR="006E51BF" w:rsidRPr="00337247" w14:paraId="5A4FE72E" w14:textId="77777777" w:rsidTr="00E1009E">
        <w:trPr>
          <w:cnfStyle w:val="100000000000" w:firstRow="1" w:lastRow="0" w:firstColumn="0" w:lastColumn="0" w:oddVBand="0" w:evenVBand="0" w:oddHBand="0"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2574" w:type="pct"/>
            <w:shd w:val="clear" w:color="auto" w:fill="auto"/>
            <w:noWrap/>
            <w:hideMark/>
          </w:tcPr>
          <w:p w14:paraId="702A7F8E" w14:textId="77777777" w:rsidR="006E51BF" w:rsidRPr="00337247" w:rsidRDefault="006E51BF">
            <w:pPr>
              <w:pStyle w:val="ARfintablecolheadright"/>
              <w:rPr>
                <w:lang w:eastAsia="en-AU"/>
              </w:rPr>
            </w:pPr>
          </w:p>
        </w:tc>
        <w:tc>
          <w:tcPr>
            <w:tcW w:w="809" w:type="pct"/>
            <w:noWrap/>
            <w:tcMar>
              <w:left w:w="0" w:type="nil"/>
              <w:right w:w="0" w:type="nil"/>
            </w:tcMar>
            <w:hideMark/>
          </w:tcPr>
          <w:p w14:paraId="296C67A5" w14:textId="77777777" w:rsidR="006E51BF" w:rsidRPr="0033724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37247">
              <w:rPr>
                <w:lang w:eastAsia="en-AU"/>
              </w:rPr>
              <w:t>Note</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3ED0DE90" w14:textId="77777777" w:rsidR="006E51BF" w:rsidRPr="00337247" w:rsidRDefault="006E51BF">
            <w:pPr>
              <w:pStyle w:val="ARfintablecolheadright"/>
              <w:rPr>
                <w:lang w:eastAsia="en-AU"/>
              </w:rPr>
            </w:pPr>
            <w:r w:rsidRPr="00337247">
              <w:rPr>
                <w:lang w:eastAsia="en-AU"/>
              </w:rPr>
              <w:t>2026</w:t>
            </w:r>
          </w:p>
          <w:p w14:paraId="6DF707F0" w14:textId="77777777" w:rsidR="006E51BF" w:rsidRPr="00337247" w:rsidRDefault="006E51BF">
            <w:pPr>
              <w:pStyle w:val="ARfintablecolheadright"/>
              <w:rPr>
                <w:lang w:eastAsia="en-AU"/>
              </w:rPr>
            </w:pPr>
            <w:r w:rsidRPr="00337247">
              <w:rPr>
                <w:lang w:eastAsia="en-AU"/>
              </w:rPr>
              <w:t>$M</w:t>
            </w:r>
          </w:p>
        </w:tc>
        <w:tc>
          <w:tcPr>
            <w:tcW w:w="809" w:type="pct"/>
            <w:noWrap/>
            <w:tcMar>
              <w:left w:w="0" w:type="nil"/>
              <w:right w:w="0" w:type="nil"/>
            </w:tcMar>
            <w:hideMark/>
          </w:tcPr>
          <w:p w14:paraId="38F862EC" w14:textId="77777777" w:rsidR="006E51BF" w:rsidRPr="0033724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37247">
              <w:rPr>
                <w:lang w:eastAsia="en-AU"/>
              </w:rPr>
              <w:t>2025</w:t>
            </w:r>
          </w:p>
          <w:p w14:paraId="2BF7BE65" w14:textId="77777777" w:rsidR="006E51BF" w:rsidRPr="0033724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37247">
              <w:rPr>
                <w:lang w:eastAsia="en-AU"/>
              </w:rPr>
              <w:t>$M</w:t>
            </w:r>
          </w:p>
        </w:tc>
      </w:tr>
      <w:tr w:rsidR="006E51BF" w:rsidRPr="00337247" w14:paraId="41ECC80F"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574" w:type="pct"/>
            <w:shd w:val="clear" w:color="auto" w:fill="auto"/>
            <w:hideMark/>
          </w:tcPr>
          <w:p w14:paraId="4664BC48" w14:textId="77777777" w:rsidR="006E51BF" w:rsidRPr="00D90897" w:rsidRDefault="006E51BF">
            <w:pPr>
              <w:pStyle w:val="ARfintabletext"/>
            </w:pPr>
            <w:r w:rsidRPr="00D90897">
              <w:t>Employee benefits</w:t>
            </w:r>
          </w:p>
        </w:tc>
        <w:tc>
          <w:tcPr>
            <w:tcW w:w="809" w:type="pct"/>
            <w:tcMar>
              <w:left w:w="0" w:type="nil"/>
              <w:right w:w="0" w:type="nil"/>
            </w:tcMar>
            <w:hideMark/>
          </w:tcPr>
          <w:p w14:paraId="2197F791" w14:textId="77777777" w:rsidR="006E51BF" w:rsidRPr="00D90897"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D90897">
              <w:t>3.1.1(a)</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5E012E3F" w14:textId="77777777" w:rsidR="006E51BF" w:rsidRPr="00D90897" w:rsidRDefault="006E51BF">
            <w:pPr>
              <w:pStyle w:val="ARfintabletextright"/>
            </w:pPr>
            <w:r w:rsidRPr="00D90897">
              <w:t>1,077.8</w:t>
            </w:r>
          </w:p>
        </w:tc>
        <w:tc>
          <w:tcPr>
            <w:tcW w:w="809" w:type="pct"/>
            <w:noWrap/>
            <w:tcMar>
              <w:left w:w="0" w:type="nil"/>
              <w:right w:w="0" w:type="nil"/>
            </w:tcMar>
            <w:hideMark/>
          </w:tcPr>
          <w:p w14:paraId="6E58060B" w14:textId="77777777" w:rsidR="006E51BF" w:rsidRPr="00D90897"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D90897">
              <w:t>1,087.6</w:t>
            </w:r>
          </w:p>
        </w:tc>
      </w:tr>
      <w:tr w:rsidR="006E51BF" w:rsidRPr="00337247" w14:paraId="35093C9E"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574" w:type="pct"/>
            <w:shd w:val="clear" w:color="auto" w:fill="auto"/>
            <w:hideMark/>
          </w:tcPr>
          <w:p w14:paraId="33C3CF3A" w14:textId="77777777" w:rsidR="006E51BF" w:rsidRPr="00D90897" w:rsidRDefault="006E51BF">
            <w:pPr>
              <w:pStyle w:val="ARfintabletext"/>
            </w:pPr>
            <w:r w:rsidRPr="00D90897">
              <w:t>Grants and other transfers</w:t>
            </w:r>
          </w:p>
        </w:tc>
        <w:tc>
          <w:tcPr>
            <w:tcW w:w="809" w:type="pct"/>
            <w:tcMar>
              <w:left w:w="0" w:type="nil"/>
              <w:right w:w="0" w:type="nil"/>
            </w:tcMar>
            <w:hideMark/>
          </w:tcPr>
          <w:p w14:paraId="79F1AD7F" w14:textId="77777777" w:rsidR="006E51BF" w:rsidRPr="00D90897"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D90897">
              <w:t>3.1.2</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4799E1A3" w14:textId="77777777" w:rsidR="006E51BF" w:rsidRPr="00D90897" w:rsidRDefault="006E51BF">
            <w:pPr>
              <w:pStyle w:val="ARfintabletextright"/>
            </w:pPr>
            <w:r w:rsidRPr="00D90897">
              <w:t>4,707.2</w:t>
            </w:r>
          </w:p>
        </w:tc>
        <w:tc>
          <w:tcPr>
            <w:tcW w:w="809" w:type="pct"/>
            <w:noWrap/>
            <w:tcMar>
              <w:left w:w="0" w:type="nil"/>
              <w:right w:w="0" w:type="nil"/>
            </w:tcMar>
            <w:hideMark/>
          </w:tcPr>
          <w:p w14:paraId="757217D5" w14:textId="77777777" w:rsidR="006E51BF" w:rsidRPr="00D90897"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D90897">
              <w:t>4,952.9</w:t>
            </w:r>
          </w:p>
        </w:tc>
      </w:tr>
      <w:tr w:rsidR="006E51BF" w:rsidRPr="00337247" w14:paraId="052EA522"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574" w:type="pct"/>
            <w:shd w:val="clear" w:color="auto" w:fill="auto"/>
            <w:hideMark/>
          </w:tcPr>
          <w:p w14:paraId="3E674527" w14:textId="77777777" w:rsidR="006E51BF" w:rsidRPr="00D90897" w:rsidRDefault="006E51BF">
            <w:pPr>
              <w:pStyle w:val="ARfintabletext"/>
            </w:pPr>
            <w:r w:rsidRPr="00D90897">
              <w:t>Other operating expenses</w:t>
            </w:r>
          </w:p>
        </w:tc>
        <w:tc>
          <w:tcPr>
            <w:tcW w:w="809" w:type="pct"/>
            <w:tcMar>
              <w:left w:w="0" w:type="nil"/>
              <w:right w:w="0" w:type="nil"/>
            </w:tcMar>
            <w:hideMark/>
          </w:tcPr>
          <w:p w14:paraId="1AD4B526" w14:textId="77777777" w:rsidR="006E51BF" w:rsidRPr="00D90897"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D90897">
              <w:t>3.1.3</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6D362D52" w14:textId="77777777" w:rsidR="006E51BF" w:rsidRPr="00D90897" w:rsidRDefault="006E51BF">
            <w:pPr>
              <w:pStyle w:val="ARfintabletextright"/>
            </w:pPr>
            <w:r w:rsidRPr="00D90897">
              <w:t>634.9</w:t>
            </w:r>
          </w:p>
        </w:tc>
        <w:tc>
          <w:tcPr>
            <w:tcW w:w="809" w:type="pct"/>
            <w:noWrap/>
            <w:tcMar>
              <w:left w:w="0" w:type="nil"/>
              <w:right w:w="0" w:type="nil"/>
            </w:tcMar>
            <w:hideMark/>
          </w:tcPr>
          <w:p w14:paraId="52759DAC" w14:textId="77777777" w:rsidR="006E51BF" w:rsidRPr="00D90897"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D90897">
              <w:t>693.4</w:t>
            </w:r>
          </w:p>
        </w:tc>
      </w:tr>
      <w:tr w:rsidR="006E51BF" w:rsidRPr="00337247" w14:paraId="40F30816"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2574" w:type="pct"/>
            <w:shd w:val="clear" w:color="auto" w:fill="auto"/>
            <w:hideMark/>
          </w:tcPr>
          <w:p w14:paraId="6981AE10" w14:textId="77777777" w:rsidR="006E51BF" w:rsidRPr="00D90897" w:rsidRDefault="006E51BF">
            <w:pPr>
              <w:pStyle w:val="ARfintabletext"/>
            </w:pPr>
            <w:r w:rsidRPr="00D90897">
              <w:t>Property management expenses</w:t>
            </w:r>
          </w:p>
        </w:tc>
        <w:tc>
          <w:tcPr>
            <w:tcW w:w="809" w:type="pct"/>
            <w:tcMar>
              <w:left w:w="0" w:type="nil"/>
              <w:right w:w="0" w:type="nil"/>
            </w:tcMar>
            <w:hideMark/>
          </w:tcPr>
          <w:p w14:paraId="2EFF9C2B" w14:textId="77777777" w:rsidR="006E51BF" w:rsidRPr="00D90897"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D90897">
              <w:t>3.1.4</w:t>
            </w: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1F16D6DE" w14:textId="77777777" w:rsidR="006E51BF" w:rsidRPr="00D90897" w:rsidRDefault="006E51BF">
            <w:pPr>
              <w:pStyle w:val="ARfintabletextright"/>
            </w:pPr>
            <w:r w:rsidRPr="00D90897">
              <w:t>494.5</w:t>
            </w:r>
          </w:p>
        </w:tc>
        <w:tc>
          <w:tcPr>
            <w:tcW w:w="809" w:type="pct"/>
            <w:noWrap/>
            <w:tcMar>
              <w:left w:w="0" w:type="nil"/>
              <w:right w:w="0" w:type="nil"/>
            </w:tcMar>
            <w:hideMark/>
          </w:tcPr>
          <w:p w14:paraId="4A3DD3CC" w14:textId="77777777" w:rsidR="006E51BF" w:rsidRPr="00D90897" w:rsidRDefault="006E51BF">
            <w:pPr>
              <w:pStyle w:val="ARfintabletextright"/>
              <w:cnfStyle w:val="000000000000" w:firstRow="0" w:lastRow="0" w:firstColumn="0" w:lastColumn="0" w:oddVBand="0" w:evenVBand="0" w:oddHBand="0" w:evenHBand="0" w:firstRowFirstColumn="0" w:firstRowLastColumn="0" w:lastRowFirstColumn="0" w:lastRowLastColumn="0"/>
            </w:pPr>
            <w:r w:rsidRPr="00D90897">
              <w:t>542.2</w:t>
            </w:r>
          </w:p>
        </w:tc>
      </w:tr>
      <w:tr w:rsidR="006E51BF" w:rsidRPr="00337247" w14:paraId="128D0E8A" w14:textId="77777777" w:rsidTr="00E1009E">
        <w:tblPrEx>
          <w:tblCellMar>
            <w:left w:w="0" w:type="dxa"/>
          </w:tblCellMar>
        </w:tblPrEx>
        <w:trPr>
          <w:cnfStyle w:val="010000000000" w:firstRow="0" w:lastRow="1" w:firstColumn="0" w:lastColumn="0" w:oddVBand="0" w:evenVBand="0" w:oddHBand="0" w:evenHBand="0" w:firstRowFirstColumn="0" w:firstRowLastColumn="0" w:lastRowFirstColumn="0" w:lastRowLastColumn="0"/>
          <w:trHeight w:val="41"/>
        </w:trPr>
        <w:tc>
          <w:tcPr>
            <w:cnfStyle w:val="000010000000" w:firstRow="0" w:lastRow="0" w:firstColumn="0" w:lastColumn="0" w:oddVBand="1" w:evenVBand="0" w:oddHBand="0" w:evenHBand="0" w:firstRowFirstColumn="0" w:firstRowLastColumn="0" w:lastRowFirstColumn="0" w:lastRowLastColumn="0"/>
            <w:tcW w:w="2574" w:type="pct"/>
            <w:shd w:val="clear" w:color="auto" w:fill="auto"/>
            <w:hideMark/>
          </w:tcPr>
          <w:p w14:paraId="4689F8B4" w14:textId="77777777" w:rsidR="006E51BF" w:rsidRPr="00D90897" w:rsidRDefault="006E51BF">
            <w:pPr>
              <w:pStyle w:val="ARfintabletextbold"/>
            </w:pPr>
            <w:r w:rsidRPr="00D90897">
              <w:t>Total expenses incurred in delivery of services</w:t>
            </w:r>
          </w:p>
        </w:tc>
        <w:tc>
          <w:tcPr>
            <w:tcW w:w="809" w:type="pct"/>
            <w:tcMar>
              <w:left w:w="0" w:type="nil"/>
              <w:right w:w="0" w:type="nil"/>
            </w:tcMar>
            <w:hideMark/>
          </w:tcPr>
          <w:p w14:paraId="3616DA86" w14:textId="77777777" w:rsidR="006E51BF" w:rsidRPr="00D90897" w:rsidRDefault="006E51BF">
            <w:pPr>
              <w:pStyle w:val="ARfintabletextright"/>
              <w:cnfStyle w:val="010000000000" w:firstRow="0" w:lastRow="1"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808" w:type="pct"/>
            <w:noWrap/>
            <w:tcMar>
              <w:left w:w="0" w:type="nil"/>
              <w:right w:w="0" w:type="nil"/>
            </w:tcMar>
            <w:hideMark/>
          </w:tcPr>
          <w:p w14:paraId="25CA04F2" w14:textId="77777777" w:rsidR="006E51BF" w:rsidRPr="00D90897" w:rsidRDefault="006E51BF">
            <w:pPr>
              <w:pStyle w:val="ARfintabletextboldright"/>
            </w:pPr>
            <w:r w:rsidRPr="00D90897">
              <w:t>6,914.4</w:t>
            </w:r>
          </w:p>
        </w:tc>
        <w:tc>
          <w:tcPr>
            <w:tcW w:w="809" w:type="pct"/>
            <w:noWrap/>
            <w:tcMar>
              <w:left w:w="0" w:type="nil"/>
              <w:right w:w="0" w:type="nil"/>
            </w:tcMar>
            <w:hideMark/>
          </w:tcPr>
          <w:p w14:paraId="522C8F94" w14:textId="77777777" w:rsidR="006E51BF" w:rsidRPr="00D90897" w:rsidRDefault="006E51BF">
            <w:pPr>
              <w:pStyle w:val="ARfintabletextboldright"/>
              <w:cnfStyle w:val="010000000000" w:firstRow="0" w:lastRow="1" w:firstColumn="0" w:lastColumn="0" w:oddVBand="0" w:evenVBand="0" w:oddHBand="0" w:evenHBand="0" w:firstRowFirstColumn="0" w:firstRowLastColumn="0" w:lastRowFirstColumn="0" w:lastRowLastColumn="0"/>
            </w:pPr>
            <w:r w:rsidRPr="00D90897">
              <w:t>7,276.1</w:t>
            </w:r>
          </w:p>
        </w:tc>
      </w:tr>
    </w:tbl>
    <w:p w14:paraId="48737B94" w14:textId="77777777" w:rsidR="006E51BF" w:rsidRPr="00337247" w:rsidRDefault="006E51BF">
      <w:pPr>
        <w:pStyle w:val="Heading5"/>
        <w:rPr>
          <w:lang w:eastAsia="en-AU"/>
        </w:rPr>
      </w:pPr>
      <w:r w:rsidRPr="00337247">
        <w:rPr>
          <w:lang w:eastAsia="en-AU"/>
        </w:rPr>
        <w:t xml:space="preserve">3.1.1 </w:t>
      </w:r>
      <w:r>
        <w:rPr>
          <w:lang w:eastAsia="en-AU"/>
        </w:rPr>
        <w:tab/>
      </w:r>
      <w:r w:rsidRPr="00337247">
        <w:rPr>
          <w:lang w:eastAsia="en-AU"/>
        </w:rPr>
        <w:t>Employee benefits</w:t>
      </w:r>
    </w:p>
    <w:p w14:paraId="1158C67E" w14:textId="77777777" w:rsidR="006E51BF" w:rsidRPr="00363A33" w:rsidRDefault="006E51BF">
      <w:pPr>
        <w:pStyle w:val="Heading6"/>
      </w:pPr>
      <w:r w:rsidRPr="00337247">
        <w:t xml:space="preserve">3.1.1(a) Employee benefits in the </w:t>
      </w:r>
      <w:r w:rsidRPr="00A21EB5">
        <w:t>comprehensive</w:t>
      </w:r>
      <w:r w:rsidRPr="00337247">
        <w:t xml:space="preserve"> operating statement</w:t>
      </w:r>
    </w:p>
    <w:tbl>
      <w:tblPr>
        <w:tblStyle w:val="ARtable1"/>
        <w:tblW w:w="5000" w:type="pct"/>
        <w:tblLook w:val="00E0" w:firstRow="1" w:lastRow="1" w:firstColumn="1" w:lastColumn="0" w:noHBand="0" w:noVBand="0"/>
      </w:tblPr>
      <w:tblGrid>
        <w:gridCol w:w="6514"/>
        <w:gridCol w:w="1556"/>
        <w:gridCol w:w="1558"/>
      </w:tblGrid>
      <w:tr w:rsidR="006E51BF" w:rsidRPr="00337247" w14:paraId="4193CE00" w14:textId="77777777" w:rsidTr="00785A35">
        <w:trPr>
          <w:cnfStyle w:val="100000000000" w:firstRow="1" w:lastRow="0" w:firstColumn="0" w:lastColumn="0" w:oddVBand="0" w:evenVBand="0" w:oddHBand="0" w:evenHBand="0" w:firstRowFirstColumn="0" w:firstRowLastColumn="0" w:lastRowFirstColumn="0" w:lastRowLastColumn="0"/>
          <w:trHeight w:val="20"/>
          <w:tblHeader/>
        </w:trPr>
        <w:tc>
          <w:tcPr>
            <w:tcW w:w="3383" w:type="pct"/>
            <w:noWrap/>
          </w:tcPr>
          <w:p w14:paraId="15C38E91" w14:textId="77777777" w:rsidR="006E51BF" w:rsidRPr="00337247" w:rsidRDefault="006E51BF">
            <w:pPr>
              <w:pStyle w:val="ARtablecolheadright"/>
              <w:rPr>
                <w:lang w:eastAsia="en-AU"/>
              </w:rPr>
            </w:pP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A410C66" w14:textId="77777777" w:rsidR="006E51BF" w:rsidRPr="00337247" w:rsidRDefault="006E51BF">
            <w:pPr>
              <w:pStyle w:val="ARfintablecolheadright"/>
              <w:rPr>
                <w:lang w:eastAsia="en-AU"/>
              </w:rPr>
            </w:pPr>
            <w:r w:rsidRPr="00337247">
              <w:rPr>
                <w:lang w:eastAsia="en-AU"/>
              </w:rPr>
              <w:t>2026</w:t>
            </w:r>
          </w:p>
          <w:p w14:paraId="7C854F9C" w14:textId="77777777" w:rsidR="006E51BF" w:rsidRPr="00337247" w:rsidRDefault="006E51BF">
            <w:pPr>
              <w:pStyle w:val="ARfintablecolheadright"/>
              <w:rPr>
                <w:lang w:eastAsia="en-AU"/>
              </w:rPr>
            </w:pPr>
            <w:r w:rsidRPr="00337247">
              <w:rPr>
                <w:lang w:eastAsia="en-AU"/>
              </w:rPr>
              <w:t>$M</w:t>
            </w:r>
          </w:p>
        </w:tc>
        <w:tc>
          <w:tcPr>
            <w:tcW w:w="809" w:type="pct"/>
            <w:noWrap/>
            <w:tcMar>
              <w:right w:w="0" w:type="nil"/>
            </w:tcMar>
            <w:hideMark/>
          </w:tcPr>
          <w:p w14:paraId="214C1A78" w14:textId="77777777" w:rsidR="006E51BF" w:rsidRPr="0033724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37247">
              <w:rPr>
                <w:lang w:eastAsia="en-AU"/>
              </w:rPr>
              <w:t>2025</w:t>
            </w:r>
          </w:p>
          <w:p w14:paraId="7FA03EBD" w14:textId="77777777" w:rsidR="006E51BF" w:rsidRPr="0033724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37247">
              <w:rPr>
                <w:lang w:eastAsia="en-AU"/>
              </w:rPr>
              <w:t>$M</w:t>
            </w:r>
          </w:p>
        </w:tc>
      </w:tr>
      <w:tr w:rsidR="006E51BF" w:rsidRPr="00337247" w14:paraId="2DE7EA07"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tcPr>
          <w:p w14:paraId="5E529ADC" w14:textId="77777777" w:rsidR="006E51BF" w:rsidRPr="00337247" w:rsidRDefault="006E51BF">
            <w:pPr>
              <w:pStyle w:val="ARfintabletext"/>
              <w:rPr>
                <w:lang w:eastAsia="en-AU"/>
              </w:rPr>
            </w:pPr>
            <w:r w:rsidRPr="00337247">
              <w:rPr>
                <w:lang w:eastAsia="en-AU"/>
              </w:rPr>
              <w:t>Salaries and wages, annual leave and long service leave</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tcPr>
          <w:p w14:paraId="220BC0FE" w14:textId="77777777" w:rsidR="006E51BF" w:rsidRPr="00B63732" w:rsidRDefault="006E51BF">
            <w:pPr>
              <w:pStyle w:val="ARfintabletextright"/>
            </w:pPr>
            <w:r w:rsidRPr="00B63732">
              <w:t>959.0</w:t>
            </w:r>
          </w:p>
        </w:tc>
        <w:tc>
          <w:tcPr>
            <w:tcW w:w="809" w:type="pct"/>
            <w:noWrap/>
            <w:tcMar>
              <w:right w:w="0" w:type="nil"/>
            </w:tcMar>
          </w:tcPr>
          <w:p w14:paraId="37F7864C" w14:textId="77777777" w:rsidR="006E51BF" w:rsidRPr="00B63732"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B63732">
              <w:t>991.0</w:t>
            </w:r>
          </w:p>
        </w:tc>
      </w:tr>
      <w:tr w:rsidR="006E51BF" w:rsidRPr="00337247" w14:paraId="5C56D092"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tcPr>
          <w:p w14:paraId="3509CEE8" w14:textId="77777777" w:rsidR="006E51BF" w:rsidRPr="00337247" w:rsidRDefault="006E51BF">
            <w:pPr>
              <w:pStyle w:val="ARfintabletext"/>
              <w:rPr>
                <w:lang w:eastAsia="en-AU"/>
              </w:rPr>
            </w:pPr>
            <w:r w:rsidRPr="00337247">
              <w:rPr>
                <w:lang w:eastAsia="en-AU"/>
              </w:rPr>
              <w:t>Defined contribution and benefit superannuation expense</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tcPr>
          <w:p w14:paraId="5453753E" w14:textId="77777777" w:rsidR="006E51BF" w:rsidRPr="00B63732" w:rsidRDefault="006E51BF">
            <w:pPr>
              <w:pStyle w:val="ARfintabletextright"/>
            </w:pPr>
            <w:r w:rsidRPr="00B63732">
              <w:t>100.2</w:t>
            </w:r>
          </w:p>
        </w:tc>
        <w:tc>
          <w:tcPr>
            <w:tcW w:w="809" w:type="pct"/>
            <w:noWrap/>
            <w:tcMar>
              <w:right w:w="0" w:type="nil"/>
            </w:tcMar>
          </w:tcPr>
          <w:p w14:paraId="20C5B8FF" w14:textId="77777777" w:rsidR="006E51BF" w:rsidRPr="00B63732"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B63732">
              <w:t>94.0</w:t>
            </w:r>
          </w:p>
        </w:tc>
      </w:tr>
      <w:tr w:rsidR="006E51BF" w:rsidRPr="00337247" w14:paraId="74A4D1A9"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098C6B40" w14:textId="77777777" w:rsidR="006E51BF" w:rsidRPr="00337247" w:rsidRDefault="006E51BF">
            <w:pPr>
              <w:pStyle w:val="ARfintabletext"/>
              <w:rPr>
                <w:lang w:eastAsia="en-AU"/>
              </w:rPr>
            </w:pPr>
            <w:r w:rsidRPr="00337247">
              <w:rPr>
                <w:lang w:eastAsia="en-AU"/>
              </w:rPr>
              <w:t>Termination benefits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6AFB338A" w14:textId="77777777" w:rsidR="006E51BF" w:rsidRPr="00B63732" w:rsidRDefault="006E51BF">
            <w:pPr>
              <w:pStyle w:val="ARfintabletextright"/>
            </w:pPr>
            <w:r w:rsidRPr="00B63732">
              <w:t>18.6</w:t>
            </w:r>
          </w:p>
        </w:tc>
        <w:tc>
          <w:tcPr>
            <w:tcW w:w="809" w:type="pct"/>
            <w:noWrap/>
            <w:tcMar>
              <w:right w:w="0" w:type="nil"/>
            </w:tcMar>
            <w:hideMark/>
          </w:tcPr>
          <w:p w14:paraId="41F5254D" w14:textId="77777777" w:rsidR="006E51BF" w:rsidRPr="00B63732"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B63732">
              <w:t>2.6</w:t>
            </w:r>
          </w:p>
        </w:tc>
      </w:tr>
      <w:tr w:rsidR="006E51BF" w:rsidRPr="00337247" w14:paraId="182546E3" w14:textId="77777777" w:rsidTr="00785A35">
        <w:trPr>
          <w:cnfStyle w:val="010000000000" w:firstRow="0" w:lastRow="1" w:firstColumn="0" w:lastColumn="0" w:oddVBand="0" w:evenVBand="0" w:oddHBand="0" w:evenHBand="0" w:firstRowFirstColumn="0" w:firstRowLastColumn="0" w:lastRowFirstColumn="0" w:lastRowLastColumn="0"/>
          <w:trHeight w:val="20"/>
        </w:trPr>
        <w:tc>
          <w:tcPr>
            <w:tcW w:w="3383" w:type="pct"/>
            <w:noWrap/>
            <w:hideMark/>
          </w:tcPr>
          <w:p w14:paraId="720C46AA" w14:textId="77777777" w:rsidR="006E51BF" w:rsidRPr="00337247" w:rsidRDefault="006E51BF">
            <w:pPr>
              <w:pStyle w:val="ARfintabletext"/>
              <w:rPr>
                <w:b/>
                <w:bCs/>
                <w:lang w:eastAsia="en-AU"/>
              </w:rPr>
            </w:pPr>
            <w:r w:rsidRPr="00337247">
              <w:rPr>
                <w:b/>
                <w:bCs/>
                <w:lang w:eastAsia="en-AU"/>
              </w:rPr>
              <w:t>Total employee benefits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5BFFD4C7" w14:textId="77777777" w:rsidR="006E51BF" w:rsidRPr="00B63732" w:rsidRDefault="006E51BF">
            <w:pPr>
              <w:pStyle w:val="ARfintabletextboldright"/>
            </w:pPr>
            <w:r w:rsidRPr="00B63732">
              <w:t>1,077.8</w:t>
            </w:r>
          </w:p>
        </w:tc>
        <w:tc>
          <w:tcPr>
            <w:tcW w:w="809" w:type="pct"/>
            <w:noWrap/>
            <w:tcMar>
              <w:right w:w="0" w:type="nil"/>
            </w:tcMar>
            <w:hideMark/>
          </w:tcPr>
          <w:p w14:paraId="0092BB3A" w14:textId="77777777" w:rsidR="006E51BF" w:rsidRPr="00B63732" w:rsidRDefault="006E51BF">
            <w:pPr>
              <w:pStyle w:val="ARfintabletextboldright"/>
              <w:cnfStyle w:val="010000000000" w:firstRow="0" w:lastRow="1" w:firstColumn="0" w:lastColumn="0" w:oddVBand="0" w:evenVBand="0" w:oddHBand="0" w:evenHBand="0" w:firstRowFirstColumn="0" w:firstRowLastColumn="0" w:lastRowFirstColumn="0" w:lastRowLastColumn="0"/>
            </w:pPr>
            <w:r w:rsidRPr="00B63732">
              <w:t>1,087.6</w:t>
            </w:r>
          </w:p>
        </w:tc>
      </w:tr>
    </w:tbl>
    <w:p w14:paraId="691D2963" w14:textId="77777777" w:rsidR="006E51BF" w:rsidRDefault="006E51BF">
      <w:pPr>
        <w:pStyle w:val="ARfinbodyaftertableorfigure"/>
      </w:pPr>
      <w:r w:rsidRPr="00337247">
        <w:t xml:space="preserve">Employee benefits include all costs related to employment, including salaries and wages, leave entitlements, fringe benefits tax, termination benefits, payroll tax and </w:t>
      </w:r>
      <w:proofErr w:type="spellStart"/>
      <w:r w:rsidRPr="00337247">
        <w:t>WorkCover</w:t>
      </w:r>
      <w:proofErr w:type="spellEnd"/>
      <w:r w:rsidRPr="00337247">
        <w:t xml:space="preserve"> premiums.</w:t>
      </w:r>
    </w:p>
    <w:p w14:paraId="1EC9A5C7" w14:textId="77777777" w:rsidR="006E51BF" w:rsidRDefault="006E51BF">
      <w:pPr>
        <w:pStyle w:val="ARfinbody"/>
        <w:rPr>
          <w:lang w:eastAsia="en-AU"/>
        </w:rPr>
      </w:pPr>
      <w:r w:rsidRPr="00337247">
        <w:rPr>
          <w:lang w:eastAsia="en-AU"/>
        </w:rPr>
        <w:t>The amount recognised in the comprehensive operating statement in relation to superannuation is employer contributions for members of both defined benefit and defined contribution superannuation plans that are paid or payable during the reporting period. Other than former employees of Homes Victoria, the department does not recognise any defined benefit liabilities because it has no legal or constructive obligation to pay future benefits relating to its employees. Instead, the Department of Treasury and Finance (DTF) discloses in its annual financial statements the net defined benefit cost related to the members of these plans as an administered liability (on behalf of the State as the sponsoring</w:t>
      </w:r>
      <w:r>
        <w:rPr>
          <w:lang w:eastAsia="en-AU"/>
        </w:rPr>
        <w:t> </w:t>
      </w:r>
      <w:r w:rsidRPr="00337247">
        <w:rPr>
          <w:lang w:eastAsia="en-AU"/>
        </w:rPr>
        <w:t>employer).</w:t>
      </w:r>
    </w:p>
    <w:p w14:paraId="38E9872E" w14:textId="77777777" w:rsidR="006E51BF" w:rsidRDefault="006E51BF">
      <w:pPr>
        <w:pStyle w:val="ARfinbody"/>
        <w:rPr>
          <w:lang w:eastAsia="en-AU"/>
        </w:rPr>
      </w:pPr>
      <w:r w:rsidRPr="00337247">
        <w:rPr>
          <w:lang w:eastAsia="en-AU"/>
        </w:rPr>
        <w:t xml:space="preserve">Termination benefits are payable when employment is terminated before normal retirement date, or when an employee accepts an offer of benefits in exchange for the termination of employment. Termination benefits are recognised when the Department is demonstrably committed to terminating the employment of current employees according to a detailed formal plan without possibility of withdrawal or providing termination benefits </w:t>
      </w:r>
      <w:proofErr w:type="gramStart"/>
      <w:r w:rsidRPr="00337247">
        <w:rPr>
          <w:lang w:eastAsia="en-AU"/>
        </w:rPr>
        <w:t>as a result of</w:t>
      </w:r>
      <w:proofErr w:type="gramEnd"/>
      <w:r w:rsidRPr="00337247">
        <w:rPr>
          <w:lang w:eastAsia="en-AU"/>
        </w:rPr>
        <w:t xml:space="preserve"> an offer made to encourage voluntary redundancy.</w:t>
      </w:r>
      <w:r>
        <w:rPr>
          <w:lang w:eastAsia="en-AU"/>
        </w:rPr>
        <w:br w:type="page"/>
      </w:r>
    </w:p>
    <w:p w14:paraId="71F3B8EA" w14:textId="77777777" w:rsidR="006E51BF" w:rsidRPr="007763A4" w:rsidRDefault="006E51BF">
      <w:pPr>
        <w:pStyle w:val="Heading6"/>
      </w:pPr>
      <w:bookmarkStart w:id="288" w:name="_3.1.1(b)_Employee_benefits"/>
      <w:bookmarkEnd w:id="288"/>
      <w:r w:rsidRPr="007763A4">
        <w:t xml:space="preserve">3.1.1(b) Employee benefits in the balance sheet </w:t>
      </w:r>
    </w:p>
    <w:p w14:paraId="2E09D49B" w14:textId="77777777" w:rsidR="006E51BF" w:rsidRPr="007763A4" w:rsidRDefault="006E51BF">
      <w:pPr>
        <w:pStyle w:val="ARfinbodybeforetableorfigure"/>
      </w:pPr>
      <w:r w:rsidRPr="007763A4">
        <w:t>Provision is made for benefits accruing to employees in respect of annual leave and long service leave (LSL) for services rendered to the reporting date and recorded as an expense during the period the services are delivered.</w:t>
      </w:r>
    </w:p>
    <w:tbl>
      <w:tblPr>
        <w:tblStyle w:val="ARtable1"/>
        <w:tblW w:w="5000" w:type="pct"/>
        <w:tblLayout w:type="fixed"/>
        <w:tblLook w:val="00E0" w:firstRow="1" w:lastRow="1" w:firstColumn="1" w:lastColumn="0" w:noHBand="0" w:noVBand="0"/>
      </w:tblPr>
      <w:tblGrid>
        <w:gridCol w:w="6656"/>
        <w:gridCol w:w="1485"/>
        <w:gridCol w:w="1487"/>
      </w:tblGrid>
      <w:tr w:rsidR="006E51BF" w:rsidRPr="007763A4" w14:paraId="320A440B" w14:textId="77777777" w:rsidTr="00785A35">
        <w:trPr>
          <w:cnfStyle w:val="100000000000" w:firstRow="1" w:lastRow="0" w:firstColumn="0" w:lastColumn="0" w:oddVBand="0" w:evenVBand="0" w:oddHBand="0" w:evenHBand="0" w:firstRowFirstColumn="0" w:firstRowLastColumn="0" w:lastRowFirstColumn="0" w:lastRowLastColumn="0"/>
          <w:trHeight w:val="20"/>
          <w:tblHeader/>
        </w:trPr>
        <w:tc>
          <w:tcPr>
            <w:tcW w:w="3457" w:type="pct"/>
            <w:noWrap/>
          </w:tcPr>
          <w:p w14:paraId="4A2E11DA" w14:textId="77777777" w:rsidR="006E51BF" w:rsidRPr="007763A4"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771" w:type="pct"/>
            <w:noWrap/>
            <w:tcMar>
              <w:right w:w="0" w:type="nil"/>
            </w:tcMar>
            <w:hideMark/>
          </w:tcPr>
          <w:p w14:paraId="646FC657" w14:textId="77777777" w:rsidR="006E51BF" w:rsidRPr="009E1F4E" w:rsidRDefault="006E51BF">
            <w:pPr>
              <w:pStyle w:val="ARfintablecolheadright"/>
            </w:pPr>
            <w:r w:rsidRPr="009E1F4E">
              <w:t>2026</w:t>
            </w:r>
          </w:p>
          <w:p w14:paraId="2F18D1E5" w14:textId="77777777" w:rsidR="006E51BF" w:rsidRPr="009E1F4E" w:rsidRDefault="006E51BF">
            <w:pPr>
              <w:pStyle w:val="ARfintablecolheadright"/>
            </w:pPr>
            <w:r w:rsidRPr="009E1F4E">
              <w:t>$M</w:t>
            </w:r>
          </w:p>
        </w:tc>
        <w:tc>
          <w:tcPr>
            <w:tcW w:w="772" w:type="pct"/>
            <w:noWrap/>
            <w:tcMar>
              <w:right w:w="0" w:type="nil"/>
            </w:tcMar>
            <w:hideMark/>
          </w:tcPr>
          <w:p w14:paraId="6639134F" w14:textId="77777777" w:rsidR="006E51BF" w:rsidRPr="009E1F4E" w:rsidRDefault="006E51BF">
            <w:pPr>
              <w:pStyle w:val="ARfintablecolheadright"/>
              <w:cnfStyle w:val="100000000000" w:firstRow="1" w:lastRow="0" w:firstColumn="0" w:lastColumn="0" w:oddVBand="0" w:evenVBand="0" w:oddHBand="0" w:evenHBand="0" w:firstRowFirstColumn="0" w:firstRowLastColumn="0" w:lastRowFirstColumn="0" w:lastRowLastColumn="0"/>
            </w:pPr>
            <w:r w:rsidRPr="009E1F4E">
              <w:t>2025</w:t>
            </w:r>
          </w:p>
          <w:p w14:paraId="36A6A4BA" w14:textId="77777777" w:rsidR="006E51BF" w:rsidRPr="009E1F4E" w:rsidRDefault="006E51BF">
            <w:pPr>
              <w:pStyle w:val="ARfintablecolheadright"/>
              <w:cnfStyle w:val="100000000000" w:firstRow="1" w:lastRow="0" w:firstColumn="0" w:lastColumn="0" w:oddVBand="0" w:evenVBand="0" w:oddHBand="0" w:evenHBand="0" w:firstRowFirstColumn="0" w:firstRowLastColumn="0" w:lastRowFirstColumn="0" w:lastRowLastColumn="0"/>
            </w:pPr>
            <w:r w:rsidRPr="009E1F4E">
              <w:t>$M</w:t>
            </w:r>
          </w:p>
        </w:tc>
      </w:tr>
      <w:tr w:rsidR="006E51BF" w:rsidRPr="007763A4" w14:paraId="1CF9974C"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57" w:type="pct"/>
            <w:noWrap/>
            <w:hideMark/>
          </w:tcPr>
          <w:p w14:paraId="4EE136FB" w14:textId="77777777" w:rsidR="006E51BF" w:rsidRPr="007763A4" w:rsidRDefault="006E51BF">
            <w:pPr>
              <w:pStyle w:val="ARfintabletextboldcoloured"/>
              <w:rPr>
                <w:lang w:eastAsia="en-AU"/>
              </w:rPr>
            </w:pPr>
            <w:r w:rsidRPr="007763A4">
              <w:rPr>
                <w:lang w:eastAsia="en-AU"/>
              </w:rPr>
              <w:t>Current provisions</w:t>
            </w:r>
          </w:p>
        </w:tc>
        <w:tc>
          <w:tcPr>
            <w:cnfStyle w:val="000001000000" w:firstRow="0" w:lastRow="0" w:firstColumn="0" w:lastColumn="0" w:oddVBand="0" w:evenVBand="1" w:oddHBand="0" w:evenHBand="0" w:firstRowFirstColumn="0" w:firstRowLastColumn="0" w:lastRowFirstColumn="0" w:lastRowLastColumn="0"/>
            <w:tcW w:w="771" w:type="pct"/>
            <w:shd w:val="clear" w:color="auto" w:fill="auto"/>
            <w:noWrap/>
            <w:tcMar>
              <w:right w:w="0" w:type="nil"/>
            </w:tcMar>
            <w:hideMark/>
          </w:tcPr>
          <w:p w14:paraId="310724FC" w14:textId="77777777" w:rsidR="006E51BF" w:rsidRPr="009E1F4E" w:rsidRDefault="006E51BF">
            <w:pPr>
              <w:pStyle w:val="ARfintabletextright"/>
            </w:pPr>
          </w:p>
        </w:tc>
        <w:tc>
          <w:tcPr>
            <w:tcW w:w="772" w:type="pct"/>
            <w:noWrap/>
            <w:tcMar>
              <w:right w:w="0" w:type="nil"/>
            </w:tcMar>
            <w:hideMark/>
          </w:tcPr>
          <w:p w14:paraId="7A229D4D" w14:textId="77777777" w:rsidR="006E51BF" w:rsidRPr="009E1F4E"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7763A4" w14:paraId="59937723"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57" w:type="pct"/>
            <w:noWrap/>
            <w:hideMark/>
          </w:tcPr>
          <w:p w14:paraId="2E2E100F" w14:textId="77777777" w:rsidR="006E51BF" w:rsidRPr="002C350F" w:rsidRDefault="006E51BF">
            <w:pPr>
              <w:pStyle w:val="ARfintabletext"/>
            </w:pPr>
            <w:r w:rsidRPr="002C350F">
              <w:t>Annual leave</w:t>
            </w:r>
          </w:p>
        </w:tc>
        <w:tc>
          <w:tcPr>
            <w:cnfStyle w:val="000001000000" w:firstRow="0" w:lastRow="0" w:firstColumn="0" w:lastColumn="0" w:oddVBand="0" w:evenVBand="1" w:oddHBand="0" w:evenHBand="0" w:firstRowFirstColumn="0" w:firstRowLastColumn="0" w:lastRowFirstColumn="0" w:lastRowLastColumn="0"/>
            <w:tcW w:w="771" w:type="pct"/>
            <w:noWrap/>
            <w:tcMar>
              <w:right w:w="0" w:type="nil"/>
            </w:tcMar>
            <w:hideMark/>
          </w:tcPr>
          <w:p w14:paraId="382AD3EF" w14:textId="77777777" w:rsidR="006E51BF" w:rsidRPr="009E1F4E" w:rsidRDefault="006E51BF">
            <w:pPr>
              <w:pStyle w:val="ARfintabletextright"/>
            </w:pPr>
            <w:r>
              <w:t>–</w:t>
            </w:r>
          </w:p>
        </w:tc>
        <w:tc>
          <w:tcPr>
            <w:tcW w:w="772" w:type="pct"/>
            <w:noWrap/>
            <w:tcMar>
              <w:right w:w="0" w:type="nil"/>
            </w:tcMar>
            <w:hideMark/>
          </w:tcPr>
          <w:p w14:paraId="5E115269" w14:textId="77777777" w:rsidR="006E51BF" w:rsidRPr="009E1F4E" w:rsidRDefault="006E51BF">
            <w:pPr>
              <w:pStyle w:val="ARfintabletextright"/>
              <w:cnfStyle w:val="000000010000" w:firstRow="0" w:lastRow="0" w:firstColumn="0" w:lastColumn="0" w:oddVBand="0" w:evenVBand="0" w:oddHBand="0" w:evenHBand="1" w:firstRowFirstColumn="0" w:firstRowLastColumn="0" w:lastRowFirstColumn="0" w:lastRowLastColumn="0"/>
            </w:pPr>
          </w:p>
        </w:tc>
      </w:tr>
      <w:tr w:rsidR="006E51BF" w:rsidRPr="007763A4" w14:paraId="2AE80474"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57" w:type="pct"/>
            <w:noWrap/>
          </w:tcPr>
          <w:p w14:paraId="094E5043" w14:textId="77777777" w:rsidR="006E51BF" w:rsidRPr="002C350F" w:rsidRDefault="006E51BF">
            <w:pPr>
              <w:pStyle w:val="ARfintabletextindent"/>
            </w:pPr>
            <w:r w:rsidRPr="002C350F">
              <w:t>Unconditional and expected to be settled within 12 months</w:t>
            </w:r>
          </w:p>
        </w:tc>
        <w:tc>
          <w:tcPr>
            <w:cnfStyle w:val="000001000000" w:firstRow="0" w:lastRow="0" w:firstColumn="0" w:lastColumn="0" w:oddVBand="0" w:evenVBand="1" w:oddHBand="0" w:evenHBand="0" w:firstRowFirstColumn="0" w:firstRowLastColumn="0" w:lastRowFirstColumn="0" w:lastRowLastColumn="0"/>
            <w:tcW w:w="771" w:type="pct"/>
            <w:noWrap/>
            <w:tcMar>
              <w:right w:w="0" w:type="nil"/>
            </w:tcMar>
          </w:tcPr>
          <w:p w14:paraId="1C69C5F3" w14:textId="77777777" w:rsidR="006E51BF" w:rsidRPr="009E1F4E" w:rsidRDefault="006E51BF">
            <w:pPr>
              <w:pStyle w:val="ARfintabletextright"/>
            </w:pPr>
            <w:r w:rsidRPr="009E1F4E">
              <w:t>61.9</w:t>
            </w:r>
          </w:p>
        </w:tc>
        <w:tc>
          <w:tcPr>
            <w:tcW w:w="772" w:type="pct"/>
            <w:noWrap/>
            <w:tcMar>
              <w:right w:w="0" w:type="nil"/>
            </w:tcMar>
          </w:tcPr>
          <w:p w14:paraId="20DBCA2E" w14:textId="77777777" w:rsidR="006E51BF" w:rsidRPr="009E1F4E"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9E1F4E">
              <w:t>59.2</w:t>
            </w:r>
          </w:p>
        </w:tc>
      </w:tr>
      <w:tr w:rsidR="006E51BF" w:rsidRPr="007763A4" w14:paraId="67742170"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57" w:type="pct"/>
            <w:noWrap/>
          </w:tcPr>
          <w:p w14:paraId="21FFA365" w14:textId="77777777" w:rsidR="006E51BF" w:rsidRPr="002C350F" w:rsidRDefault="006E51BF">
            <w:pPr>
              <w:pStyle w:val="ARfintabletextindent"/>
            </w:pPr>
            <w:r w:rsidRPr="002C350F">
              <w:t>Unconditional and expected to be settled after 12 months</w:t>
            </w:r>
          </w:p>
        </w:tc>
        <w:tc>
          <w:tcPr>
            <w:cnfStyle w:val="000001000000" w:firstRow="0" w:lastRow="0" w:firstColumn="0" w:lastColumn="0" w:oddVBand="0" w:evenVBand="1" w:oddHBand="0" w:evenHBand="0" w:firstRowFirstColumn="0" w:firstRowLastColumn="0" w:lastRowFirstColumn="0" w:lastRowLastColumn="0"/>
            <w:tcW w:w="771" w:type="pct"/>
            <w:noWrap/>
            <w:tcMar>
              <w:right w:w="0" w:type="nil"/>
            </w:tcMar>
          </w:tcPr>
          <w:p w14:paraId="672C1795" w14:textId="77777777" w:rsidR="006E51BF" w:rsidRPr="009E1F4E" w:rsidRDefault="006E51BF">
            <w:pPr>
              <w:pStyle w:val="ARfintabletextright"/>
            </w:pPr>
            <w:r w:rsidRPr="009E1F4E">
              <w:t>32.3</w:t>
            </w:r>
          </w:p>
        </w:tc>
        <w:tc>
          <w:tcPr>
            <w:tcW w:w="772" w:type="pct"/>
            <w:noWrap/>
            <w:tcMar>
              <w:right w:w="0" w:type="nil"/>
            </w:tcMar>
          </w:tcPr>
          <w:p w14:paraId="21918A52" w14:textId="77777777" w:rsidR="006E51BF" w:rsidRPr="009E1F4E"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9E1F4E">
              <w:t>31.3</w:t>
            </w:r>
          </w:p>
        </w:tc>
      </w:tr>
      <w:tr w:rsidR="006E51BF" w:rsidRPr="007763A4" w14:paraId="797456BA"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57" w:type="pct"/>
            <w:noWrap/>
            <w:hideMark/>
          </w:tcPr>
          <w:p w14:paraId="6D33A19F" w14:textId="77777777" w:rsidR="006E51BF" w:rsidRPr="002C350F" w:rsidRDefault="006E51BF">
            <w:pPr>
              <w:pStyle w:val="ARfintabletext"/>
            </w:pPr>
            <w:r>
              <w:t>Parental</w:t>
            </w:r>
            <w:r w:rsidRPr="002C350F">
              <w:t xml:space="preserve"> leave</w:t>
            </w:r>
          </w:p>
        </w:tc>
        <w:tc>
          <w:tcPr>
            <w:cnfStyle w:val="000001000000" w:firstRow="0" w:lastRow="0" w:firstColumn="0" w:lastColumn="0" w:oddVBand="0" w:evenVBand="1" w:oddHBand="0" w:evenHBand="0" w:firstRowFirstColumn="0" w:firstRowLastColumn="0" w:lastRowFirstColumn="0" w:lastRowLastColumn="0"/>
            <w:tcW w:w="771" w:type="pct"/>
            <w:shd w:val="clear" w:color="auto" w:fill="auto"/>
            <w:noWrap/>
            <w:tcMar>
              <w:right w:w="0" w:type="nil"/>
            </w:tcMar>
            <w:hideMark/>
          </w:tcPr>
          <w:p w14:paraId="70CC4C17" w14:textId="77777777" w:rsidR="006E51BF" w:rsidRPr="009E1F4E" w:rsidRDefault="006E51BF">
            <w:pPr>
              <w:pStyle w:val="ARfintabletextright"/>
            </w:pPr>
          </w:p>
        </w:tc>
        <w:tc>
          <w:tcPr>
            <w:tcW w:w="772" w:type="pct"/>
            <w:noWrap/>
            <w:tcMar>
              <w:right w:w="0" w:type="nil"/>
            </w:tcMar>
            <w:hideMark/>
          </w:tcPr>
          <w:p w14:paraId="68900DF5" w14:textId="77777777" w:rsidR="006E51BF" w:rsidRPr="009E1F4E"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7763A4" w14:paraId="499AE73C"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57" w:type="pct"/>
            <w:noWrap/>
          </w:tcPr>
          <w:p w14:paraId="7F301EE5" w14:textId="77777777" w:rsidR="006E51BF" w:rsidRPr="002C350F" w:rsidRDefault="006E51BF">
            <w:pPr>
              <w:pStyle w:val="ARfintabletextindent"/>
            </w:pPr>
            <w:r w:rsidRPr="002C350F">
              <w:t>Unconditional and expected to be settled within 12 months</w:t>
            </w:r>
          </w:p>
        </w:tc>
        <w:tc>
          <w:tcPr>
            <w:cnfStyle w:val="000001000000" w:firstRow="0" w:lastRow="0" w:firstColumn="0" w:lastColumn="0" w:oddVBand="0" w:evenVBand="1" w:oddHBand="0" w:evenHBand="0" w:firstRowFirstColumn="0" w:firstRowLastColumn="0" w:lastRowFirstColumn="0" w:lastRowLastColumn="0"/>
            <w:tcW w:w="771" w:type="pct"/>
            <w:noWrap/>
            <w:tcMar>
              <w:right w:w="0" w:type="nil"/>
            </w:tcMar>
          </w:tcPr>
          <w:p w14:paraId="741E24CF" w14:textId="77777777" w:rsidR="006E51BF" w:rsidRPr="009E1F4E" w:rsidRDefault="006E51BF">
            <w:pPr>
              <w:pStyle w:val="ARfintabletextright"/>
            </w:pPr>
            <w:r w:rsidRPr="009E1F4E">
              <w:t>9.9</w:t>
            </w:r>
          </w:p>
        </w:tc>
        <w:tc>
          <w:tcPr>
            <w:tcW w:w="772" w:type="pct"/>
            <w:noWrap/>
            <w:tcMar>
              <w:right w:w="0" w:type="nil"/>
            </w:tcMar>
          </w:tcPr>
          <w:p w14:paraId="43770F83" w14:textId="77777777" w:rsidR="006E51BF" w:rsidRPr="009E1F4E"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9E1F4E">
              <w:t>11.1</w:t>
            </w:r>
          </w:p>
        </w:tc>
      </w:tr>
      <w:tr w:rsidR="006E51BF" w:rsidRPr="007763A4" w14:paraId="662E7514"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57" w:type="pct"/>
            <w:noWrap/>
            <w:hideMark/>
          </w:tcPr>
          <w:p w14:paraId="56A5D00C" w14:textId="77777777" w:rsidR="006E51BF" w:rsidRPr="002C350F" w:rsidRDefault="006E51BF">
            <w:pPr>
              <w:pStyle w:val="ARfintabletext"/>
            </w:pPr>
            <w:r w:rsidRPr="002C350F">
              <w:t>Long service leave</w:t>
            </w:r>
          </w:p>
        </w:tc>
        <w:tc>
          <w:tcPr>
            <w:cnfStyle w:val="000001000000" w:firstRow="0" w:lastRow="0" w:firstColumn="0" w:lastColumn="0" w:oddVBand="0" w:evenVBand="1" w:oddHBand="0" w:evenHBand="0" w:firstRowFirstColumn="0" w:firstRowLastColumn="0" w:lastRowFirstColumn="0" w:lastRowLastColumn="0"/>
            <w:tcW w:w="771" w:type="pct"/>
            <w:shd w:val="clear" w:color="auto" w:fill="auto"/>
            <w:noWrap/>
            <w:tcMar>
              <w:right w:w="0" w:type="nil"/>
            </w:tcMar>
            <w:hideMark/>
          </w:tcPr>
          <w:p w14:paraId="322B41BD" w14:textId="77777777" w:rsidR="006E51BF" w:rsidRPr="009E1F4E" w:rsidRDefault="006E51BF">
            <w:pPr>
              <w:pStyle w:val="ARfintabletextright"/>
            </w:pPr>
          </w:p>
        </w:tc>
        <w:tc>
          <w:tcPr>
            <w:tcW w:w="772" w:type="pct"/>
            <w:noWrap/>
            <w:tcMar>
              <w:right w:w="0" w:type="nil"/>
            </w:tcMar>
            <w:hideMark/>
          </w:tcPr>
          <w:p w14:paraId="4085C049" w14:textId="77777777" w:rsidR="006E51BF" w:rsidRPr="009E1F4E"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7763A4" w14:paraId="050F5B04"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57" w:type="pct"/>
            <w:noWrap/>
          </w:tcPr>
          <w:p w14:paraId="1F4E61D3" w14:textId="77777777" w:rsidR="006E51BF" w:rsidRPr="002C350F" w:rsidRDefault="006E51BF">
            <w:pPr>
              <w:pStyle w:val="ARfintabletextindent"/>
            </w:pPr>
            <w:r w:rsidRPr="002C350F">
              <w:t>Unconditional and expected to be settled within 12 months</w:t>
            </w:r>
          </w:p>
        </w:tc>
        <w:tc>
          <w:tcPr>
            <w:cnfStyle w:val="000001000000" w:firstRow="0" w:lastRow="0" w:firstColumn="0" w:lastColumn="0" w:oddVBand="0" w:evenVBand="1" w:oddHBand="0" w:evenHBand="0" w:firstRowFirstColumn="0" w:firstRowLastColumn="0" w:lastRowFirstColumn="0" w:lastRowLastColumn="0"/>
            <w:tcW w:w="771" w:type="pct"/>
            <w:noWrap/>
            <w:tcMar>
              <w:right w:w="0" w:type="nil"/>
            </w:tcMar>
          </w:tcPr>
          <w:p w14:paraId="1D0BA22A" w14:textId="77777777" w:rsidR="006E51BF" w:rsidRPr="009E1F4E" w:rsidRDefault="006E51BF">
            <w:pPr>
              <w:pStyle w:val="ARfintabletextright"/>
            </w:pPr>
            <w:r w:rsidRPr="009E1F4E">
              <w:t>20.6</w:t>
            </w:r>
          </w:p>
        </w:tc>
        <w:tc>
          <w:tcPr>
            <w:tcW w:w="772" w:type="pct"/>
            <w:noWrap/>
            <w:tcMar>
              <w:right w:w="0" w:type="nil"/>
            </w:tcMar>
          </w:tcPr>
          <w:p w14:paraId="6258D5CF" w14:textId="77777777" w:rsidR="006E51BF" w:rsidRPr="009E1F4E"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9E1F4E">
              <w:t>19.9</w:t>
            </w:r>
          </w:p>
        </w:tc>
      </w:tr>
      <w:tr w:rsidR="006E51BF" w:rsidRPr="007763A4" w14:paraId="2CFA79B4"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57" w:type="pct"/>
            <w:noWrap/>
          </w:tcPr>
          <w:p w14:paraId="392362C0" w14:textId="77777777" w:rsidR="006E51BF" w:rsidRPr="002C350F" w:rsidRDefault="006E51BF">
            <w:pPr>
              <w:pStyle w:val="ARfintabletextindent"/>
            </w:pPr>
            <w:r w:rsidRPr="002C350F">
              <w:t>Unconditional and expected to be settled after 12 months</w:t>
            </w:r>
          </w:p>
        </w:tc>
        <w:tc>
          <w:tcPr>
            <w:cnfStyle w:val="000001000000" w:firstRow="0" w:lastRow="0" w:firstColumn="0" w:lastColumn="0" w:oddVBand="0" w:evenVBand="1" w:oddHBand="0" w:evenHBand="0" w:firstRowFirstColumn="0" w:firstRowLastColumn="0" w:lastRowFirstColumn="0" w:lastRowLastColumn="0"/>
            <w:tcW w:w="771" w:type="pct"/>
            <w:noWrap/>
            <w:tcMar>
              <w:right w:w="0" w:type="nil"/>
            </w:tcMar>
          </w:tcPr>
          <w:p w14:paraId="1D901F5E" w14:textId="77777777" w:rsidR="006E51BF" w:rsidRPr="009E1F4E" w:rsidRDefault="006E51BF">
            <w:pPr>
              <w:pStyle w:val="ARfintabletextright"/>
            </w:pPr>
            <w:r w:rsidRPr="009E1F4E">
              <w:t>107.7</w:t>
            </w:r>
          </w:p>
        </w:tc>
        <w:tc>
          <w:tcPr>
            <w:tcW w:w="772" w:type="pct"/>
            <w:noWrap/>
            <w:tcMar>
              <w:right w:w="0" w:type="nil"/>
            </w:tcMar>
          </w:tcPr>
          <w:p w14:paraId="3D1014CB" w14:textId="77777777" w:rsidR="006E51BF" w:rsidRPr="009E1F4E"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9E1F4E">
              <w:t>110.3</w:t>
            </w:r>
          </w:p>
        </w:tc>
      </w:tr>
      <w:tr w:rsidR="006E51BF" w:rsidRPr="007763A4" w14:paraId="36C7A1EF"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57" w:type="pct"/>
            <w:noWrap/>
            <w:hideMark/>
          </w:tcPr>
          <w:p w14:paraId="201BAC95" w14:textId="77777777" w:rsidR="006E51BF" w:rsidRPr="002C350F" w:rsidRDefault="006E51BF">
            <w:pPr>
              <w:pStyle w:val="ARfintabletext"/>
            </w:pPr>
            <w:r w:rsidRPr="002C350F">
              <w:t>Superannuation</w:t>
            </w:r>
          </w:p>
        </w:tc>
        <w:tc>
          <w:tcPr>
            <w:cnfStyle w:val="000001000000" w:firstRow="0" w:lastRow="0" w:firstColumn="0" w:lastColumn="0" w:oddVBand="0" w:evenVBand="1" w:oddHBand="0" w:evenHBand="0" w:firstRowFirstColumn="0" w:firstRowLastColumn="0" w:lastRowFirstColumn="0" w:lastRowLastColumn="0"/>
            <w:tcW w:w="771" w:type="pct"/>
            <w:shd w:val="clear" w:color="auto" w:fill="auto"/>
            <w:noWrap/>
            <w:tcMar>
              <w:right w:w="0" w:type="nil"/>
            </w:tcMar>
            <w:hideMark/>
          </w:tcPr>
          <w:p w14:paraId="60B8A0D3" w14:textId="77777777" w:rsidR="006E51BF" w:rsidRPr="009E1F4E" w:rsidRDefault="006E51BF">
            <w:pPr>
              <w:pStyle w:val="ARfintabletextright"/>
            </w:pPr>
          </w:p>
        </w:tc>
        <w:tc>
          <w:tcPr>
            <w:tcW w:w="772" w:type="pct"/>
            <w:noWrap/>
            <w:tcMar>
              <w:right w:w="0" w:type="nil"/>
            </w:tcMar>
            <w:hideMark/>
          </w:tcPr>
          <w:p w14:paraId="25FEB08C" w14:textId="77777777" w:rsidR="006E51BF" w:rsidRPr="009E1F4E" w:rsidRDefault="006E51BF">
            <w:pPr>
              <w:pStyle w:val="ARfintabletextright"/>
              <w:cnfStyle w:val="000000010000" w:firstRow="0" w:lastRow="0" w:firstColumn="0" w:lastColumn="0" w:oddVBand="0" w:evenVBand="0" w:oddHBand="0" w:evenHBand="1" w:firstRowFirstColumn="0" w:firstRowLastColumn="0" w:lastRowFirstColumn="0" w:lastRowLastColumn="0"/>
            </w:pPr>
          </w:p>
        </w:tc>
      </w:tr>
      <w:tr w:rsidR="006E51BF" w:rsidRPr="007763A4" w14:paraId="6DE98E9E"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57" w:type="pct"/>
            <w:noWrap/>
          </w:tcPr>
          <w:p w14:paraId="239C14B5" w14:textId="77777777" w:rsidR="006E51BF" w:rsidRPr="002C350F" w:rsidRDefault="006E51BF">
            <w:pPr>
              <w:pStyle w:val="ARfintabletextindent"/>
            </w:pPr>
            <w:r w:rsidRPr="002C350F">
              <w:t>Unconditional and expected to be settled within 12 months</w:t>
            </w:r>
          </w:p>
        </w:tc>
        <w:tc>
          <w:tcPr>
            <w:cnfStyle w:val="000001000000" w:firstRow="0" w:lastRow="0" w:firstColumn="0" w:lastColumn="0" w:oddVBand="0" w:evenVBand="1" w:oddHBand="0" w:evenHBand="0" w:firstRowFirstColumn="0" w:firstRowLastColumn="0" w:lastRowFirstColumn="0" w:lastRowLastColumn="0"/>
            <w:tcW w:w="771" w:type="pct"/>
            <w:noWrap/>
            <w:tcMar>
              <w:right w:w="0" w:type="nil"/>
            </w:tcMar>
          </w:tcPr>
          <w:p w14:paraId="35D33726" w14:textId="77777777" w:rsidR="006E51BF" w:rsidRPr="009E1F4E" w:rsidRDefault="006E51BF">
            <w:pPr>
              <w:pStyle w:val="ARfintabletextright"/>
            </w:pPr>
            <w:r w:rsidRPr="009E1F4E">
              <w:t>2.0</w:t>
            </w:r>
          </w:p>
        </w:tc>
        <w:tc>
          <w:tcPr>
            <w:tcW w:w="772" w:type="pct"/>
            <w:noWrap/>
            <w:tcMar>
              <w:right w:w="0" w:type="nil"/>
            </w:tcMar>
          </w:tcPr>
          <w:p w14:paraId="02F78D04" w14:textId="77777777" w:rsidR="006E51BF" w:rsidRPr="009E1F4E"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9E1F4E">
              <w:t>2.1</w:t>
            </w:r>
          </w:p>
        </w:tc>
      </w:tr>
      <w:tr w:rsidR="006E51BF" w:rsidRPr="007763A4" w14:paraId="03366522"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57" w:type="pct"/>
            <w:noWrap/>
            <w:hideMark/>
          </w:tcPr>
          <w:p w14:paraId="34113E22" w14:textId="77777777" w:rsidR="006E51BF" w:rsidRPr="002C350F" w:rsidRDefault="006E51BF">
            <w:pPr>
              <w:pStyle w:val="ARfintabletext"/>
            </w:pPr>
            <w:r w:rsidRPr="002C350F">
              <w:t xml:space="preserve">Provisions for </w:t>
            </w:r>
            <w:proofErr w:type="gramStart"/>
            <w:r w:rsidRPr="002C350F">
              <w:t>on-costs</w:t>
            </w:r>
            <w:proofErr w:type="gramEnd"/>
          </w:p>
        </w:tc>
        <w:tc>
          <w:tcPr>
            <w:cnfStyle w:val="000001000000" w:firstRow="0" w:lastRow="0" w:firstColumn="0" w:lastColumn="0" w:oddVBand="0" w:evenVBand="1" w:oddHBand="0" w:evenHBand="0" w:firstRowFirstColumn="0" w:firstRowLastColumn="0" w:lastRowFirstColumn="0" w:lastRowLastColumn="0"/>
            <w:tcW w:w="771" w:type="pct"/>
            <w:shd w:val="clear" w:color="auto" w:fill="auto"/>
            <w:noWrap/>
            <w:tcMar>
              <w:right w:w="0" w:type="nil"/>
            </w:tcMar>
            <w:hideMark/>
          </w:tcPr>
          <w:p w14:paraId="14897D24" w14:textId="77777777" w:rsidR="006E51BF" w:rsidRPr="009E1F4E" w:rsidRDefault="006E51BF">
            <w:pPr>
              <w:pStyle w:val="ARfintabletextright"/>
            </w:pPr>
          </w:p>
        </w:tc>
        <w:tc>
          <w:tcPr>
            <w:tcW w:w="772" w:type="pct"/>
            <w:noWrap/>
            <w:tcMar>
              <w:right w:w="0" w:type="nil"/>
            </w:tcMar>
            <w:hideMark/>
          </w:tcPr>
          <w:p w14:paraId="799278EF" w14:textId="77777777" w:rsidR="006E51BF" w:rsidRPr="009E1F4E" w:rsidRDefault="006E51BF">
            <w:pPr>
              <w:pStyle w:val="ARfintabletextright"/>
              <w:cnfStyle w:val="000000010000" w:firstRow="0" w:lastRow="0" w:firstColumn="0" w:lastColumn="0" w:oddVBand="0" w:evenVBand="0" w:oddHBand="0" w:evenHBand="1" w:firstRowFirstColumn="0" w:firstRowLastColumn="0" w:lastRowFirstColumn="0" w:lastRowLastColumn="0"/>
            </w:pPr>
          </w:p>
        </w:tc>
      </w:tr>
      <w:tr w:rsidR="006E51BF" w:rsidRPr="007763A4" w14:paraId="1E74E7BA"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57" w:type="pct"/>
            <w:tcBorders>
              <w:bottom w:val="single" w:sz="4" w:space="0" w:color="BFBFBF" w:themeColor="accent2"/>
            </w:tcBorders>
            <w:noWrap/>
          </w:tcPr>
          <w:p w14:paraId="58D28A03" w14:textId="77777777" w:rsidR="006E51BF" w:rsidRPr="002C350F" w:rsidRDefault="006E51BF">
            <w:pPr>
              <w:pStyle w:val="ARfintabletextindent"/>
            </w:pPr>
            <w:r w:rsidRPr="002C350F">
              <w:t>Unconditional and expected to be settled within 12 months</w:t>
            </w:r>
          </w:p>
        </w:tc>
        <w:tc>
          <w:tcPr>
            <w:cnfStyle w:val="000001000000" w:firstRow="0" w:lastRow="0" w:firstColumn="0" w:lastColumn="0" w:oddVBand="0" w:evenVBand="1" w:oddHBand="0" w:evenHBand="0" w:firstRowFirstColumn="0" w:firstRowLastColumn="0" w:lastRowFirstColumn="0" w:lastRowLastColumn="0"/>
            <w:tcW w:w="771" w:type="pct"/>
            <w:tcBorders>
              <w:bottom w:val="single" w:sz="4" w:space="0" w:color="BFBFBF" w:themeColor="accent2"/>
            </w:tcBorders>
            <w:noWrap/>
            <w:tcMar>
              <w:right w:w="0" w:type="nil"/>
            </w:tcMar>
          </w:tcPr>
          <w:p w14:paraId="20058BEE" w14:textId="77777777" w:rsidR="006E51BF" w:rsidRPr="009E1F4E" w:rsidRDefault="006E51BF">
            <w:pPr>
              <w:pStyle w:val="ARfintabletextright"/>
            </w:pPr>
            <w:r w:rsidRPr="009E1F4E">
              <w:t>17.8</w:t>
            </w:r>
          </w:p>
        </w:tc>
        <w:tc>
          <w:tcPr>
            <w:tcW w:w="772" w:type="pct"/>
            <w:tcBorders>
              <w:bottom w:val="single" w:sz="4" w:space="0" w:color="BFBFBF" w:themeColor="accent2"/>
            </w:tcBorders>
            <w:noWrap/>
            <w:tcMar>
              <w:right w:w="0" w:type="nil"/>
            </w:tcMar>
          </w:tcPr>
          <w:p w14:paraId="0FD5F717" w14:textId="77777777" w:rsidR="006E51BF" w:rsidRPr="009E1F4E"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9E1F4E">
              <w:t>18.0</w:t>
            </w:r>
          </w:p>
        </w:tc>
      </w:tr>
      <w:tr w:rsidR="006E51BF" w:rsidRPr="007763A4" w14:paraId="6322F58A"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57" w:type="pct"/>
            <w:tcBorders>
              <w:top w:val="single" w:sz="4" w:space="0" w:color="BFBFBF" w:themeColor="accent2"/>
              <w:bottom w:val="single" w:sz="4" w:space="0" w:color="000000" w:themeColor="text1"/>
            </w:tcBorders>
            <w:noWrap/>
          </w:tcPr>
          <w:p w14:paraId="05EA9128" w14:textId="77777777" w:rsidR="006E51BF" w:rsidRPr="002C350F" w:rsidRDefault="006E51BF">
            <w:pPr>
              <w:pStyle w:val="ARfintabletextindent"/>
            </w:pPr>
            <w:r w:rsidRPr="002C350F">
              <w:t>Unconditional and expected to be settled after 12 months</w:t>
            </w:r>
          </w:p>
        </w:tc>
        <w:tc>
          <w:tcPr>
            <w:cnfStyle w:val="000001000000" w:firstRow="0" w:lastRow="0" w:firstColumn="0" w:lastColumn="0" w:oddVBand="0" w:evenVBand="1" w:oddHBand="0" w:evenHBand="0" w:firstRowFirstColumn="0" w:firstRowLastColumn="0" w:lastRowFirstColumn="0" w:lastRowLastColumn="0"/>
            <w:tcW w:w="771" w:type="pct"/>
            <w:tcBorders>
              <w:top w:val="single" w:sz="4" w:space="0" w:color="BFBFBF" w:themeColor="accent2"/>
              <w:bottom w:val="single" w:sz="4" w:space="0" w:color="000000" w:themeColor="text1"/>
            </w:tcBorders>
            <w:noWrap/>
            <w:tcMar>
              <w:right w:w="0" w:type="nil"/>
            </w:tcMar>
          </w:tcPr>
          <w:p w14:paraId="12CF630E" w14:textId="77777777" w:rsidR="006E51BF" w:rsidRPr="009E1F4E" w:rsidRDefault="006E51BF">
            <w:pPr>
              <w:pStyle w:val="ARfintabletextright"/>
            </w:pPr>
            <w:r w:rsidRPr="009E1F4E">
              <w:t>31.1</w:t>
            </w:r>
          </w:p>
        </w:tc>
        <w:tc>
          <w:tcPr>
            <w:tcW w:w="772" w:type="pct"/>
            <w:tcBorders>
              <w:top w:val="single" w:sz="4" w:space="0" w:color="BFBFBF" w:themeColor="accent2"/>
              <w:bottom w:val="single" w:sz="4" w:space="0" w:color="000000" w:themeColor="text1"/>
            </w:tcBorders>
            <w:noWrap/>
            <w:tcMar>
              <w:right w:w="0" w:type="nil"/>
            </w:tcMar>
          </w:tcPr>
          <w:p w14:paraId="3917DA6A" w14:textId="77777777" w:rsidR="006E51BF" w:rsidRPr="009E1F4E"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9E1F4E">
              <w:t>31.8</w:t>
            </w:r>
          </w:p>
        </w:tc>
      </w:tr>
      <w:tr w:rsidR="006E51BF" w:rsidRPr="007763A4" w14:paraId="69AF77C8"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57" w:type="pct"/>
            <w:tcBorders>
              <w:top w:val="single" w:sz="4" w:space="0" w:color="000000" w:themeColor="text1"/>
              <w:bottom w:val="single" w:sz="4" w:space="0" w:color="000000" w:themeColor="text1"/>
            </w:tcBorders>
            <w:noWrap/>
          </w:tcPr>
          <w:p w14:paraId="4F329197" w14:textId="77777777" w:rsidR="006E51BF" w:rsidRPr="007763A4" w:rsidRDefault="006E51BF">
            <w:pPr>
              <w:pStyle w:val="ARfintabletextbold"/>
              <w:rPr>
                <w:lang w:eastAsia="en-AU"/>
              </w:rPr>
            </w:pPr>
            <w:r w:rsidRPr="007763A4">
              <w:rPr>
                <w:lang w:eastAsia="en-AU"/>
              </w:rPr>
              <w:t>Total current provisions for employee benefits</w:t>
            </w:r>
          </w:p>
        </w:tc>
        <w:tc>
          <w:tcPr>
            <w:cnfStyle w:val="000001000000" w:firstRow="0" w:lastRow="0" w:firstColumn="0" w:lastColumn="0" w:oddVBand="0" w:evenVBand="1" w:oddHBand="0" w:evenHBand="0" w:firstRowFirstColumn="0" w:firstRowLastColumn="0" w:lastRowFirstColumn="0" w:lastRowLastColumn="0"/>
            <w:tcW w:w="771" w:type="pct"/>
            <w:tcBorders>
              <w:top w:val="single" w:sz="4" w:space="0" w:color="000000" w:themeColor="text1"/>
              <w:bottom w:val="single" w:sz="4" w:space="0" w:color="000000" w:themeColor="text1"/>
            </w:tcBorders>
            <w:noWrap/>
            <w:tcMar>
              <w:right w:w="0" w:type="nil"/>
            </w:tcMar>
          </w:tcPr>
          <w:p w14:paraId="62081B41" w14:textId="77777777" w:rsidR="006E51BF" w:rsidRPr="009E1F4E" w:rsidRDefault="006E51BF">
            <w:pPr>
              <w:pStyle w:val="ARfintabletextboldright"/>
            </w:pPr>
            <w:r w:rsidRPr="009E1F4E">
              <w:t>283.5</w:t>
            </w:r>
          </w:p>
        </w:tc>
        <w:tc>
          <w:tcPr>
            <w:tcW w:w="772" w:type="pct"/>
            <w:tcBorders>
              <w:top w:val="single" w:sz="4" w:space="0" w:color="000000" w:themeColor="text1"/>
              <w:bottom w:val="single" w:sz="4" w:space="0" w:color="000000" w:themeColor="text1"/>
            </w:tcBorders>
            <w:noWrap/>
            <w:tcMar>
              <w:right w:w="0" w:type="nil"/>
            </w:tcMar>
          </w:tcPr>
          <w:p w14:paraId="6C0A7ECD" w14:textId="77777777" w:rsidR="006E51BF" w:rsidRPr="009E1F4E" w:rsidRDefault="006E51BF">
            <w:pPr>
              <w:pStyle w:val="ARfintabletextboldright"/>
              <w:cnfStyle w:val="000000100000" w:firstRow="0" w:lastRow="0" w:firstColumn="0" w:lastColumn="0" w:oddVBand="0" w:evenVBand="0" w:oddHBand="1" w:evenHBand="0" w:firstRowFirstColumn="0" w:firstRowLastColumn="0" w:lastRowFirstColumn="0" w:lastRowLastColumn="0"/>
            </w:pPr>
            <w:r w:rsidRPr="009E1F4E">
              <w:t>283.7</w:t>
            </w:r>
          </w:p>
        </w:tc>
      </w:tr>
      <w:tr w:rsidR="006E51BF" w:rsidRPr="007763A4" w14:paraId="0A313F32"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57" w:type="pct"/>
            <w:tcBorders>
              <w:top w:val="single" w:sz="4" w:space="0" w:color="000000" w:themeColor="text1"/>
            </w:tcBorders>
            <w:noWrap/>
            <w:hideMark/>
          </w:tcPr>
          <w:p w14:paraId="0B93107F" w14:textId="77777777" w:rsidR="006E51BF" w:rsidRPr="007763A4" w:rsidRDefault="006E51BF">
            <w:pPr>
              <w:pStyle w:val="ARfintabletextboldcoloured"/>
              <w:rPr>
                <w:lang w:eastAsia="en-AU"/>
              </w:rPr>
            </w:pPr>
            <w:r w:rsidRPr="007763A4">
              <w:rPr>
                <w:lang w:eastAsia="en-AU"/>
              </w:rPr>
              <w:t>Non-current provisions</w:t>
            </w:r>
          </w:p>
        </w:tc>
        <w:tc>
          <w:tcPr>
            <w:cnfStyle w:val="000001000000" w:firstRow="0" w:lastRow="0" w:firstColumn="0" w:lastColumn="0" w:oddVBand="0" w:evenVBand="1" w:oddHBand="0" w:evenHBand="0" w:firstRowFirstColumn="0" w:firstRowLastColumn="0" w:lastRowFirstColumn="0" w:lastRowLastColumn="0"/>
            <w:tcW w:w="771" w:type="pct"/>
            <w:tcBorders>
              <w:top w:val="single" w:sz="4" w:space="0" w:color="000000" w:themeColor="text1"/>
            </w:tcBorders>
            <w:shd w:val="clear" w:color="auto" w:fill="auto"/>
            <w:noWrap/>
            <w:tcMar>
              <w:right w:w="0" w:type="nil"/>
            </w:tcMar>
            <w:hideMark/>
          </w:tcPr>
          <w:p w14:paraId="23EC8DA3" w14:textId="77777777" w:rsidR="006E51BF" w:rsidRPr="009E1F4E" w:rsidRDefault="006E51BF">
            <w:pPr>
              <w:pStyle w:val="ARfintabletextright"/>
            </w:pPr>
          </w:p>
        </w:tc>
        <w:tc>
          <w:tcPr>
            <w:tcW w:w="772" w:type="pct"/>
            <w:tcBorders>
              <w:top w:val="single" w:sz="4" w:space="0" w:color="000000" w:themeColor="text1"/>
            </w:tcBorders>
            <w:noWrap/>
            <w:tcMar>
              <w:right w:w="0" w:type="nil"/>
            </w:tcMar>
            <w:hideMark/>
          </w:tcPr>
          <w:p w14:paraId="45027437" w14:textId="77777777" w:rsidR="006E51BF" w:rsidRPr="009E1F4E" w:rsidRDefault="006E51BF">
            <w:pPr>
              <w:pStyle w:val="ARfintabletextright"/>
              <w:cnfStyle w:val="000000010000" w:firstRow="0" w:lastRow="0" w:firstColumn="0" w:lastColumn="0" w:oddVBand="0" w:evenVBand="0" w:oddHBand="0" w:evenHBand="1" w:firstRowFirstColumn="0" w:firstRowLastColumn="0" w:lastRowFirstColumn="0" w:lastRowLastColumn="0"/>
            </w:pPr>
          </w:p>
        </w:tc>
      </w:tr>
      <w:tr w:rsidR="006E51BF" w:rsidRPr="007763A4" w14:paraId="7F1D7EBF"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57" w:type="pct"/>
            <w:noWrap/>
          </w:tcPr>
          <w:p w14:paraId="1E521325" w14:textId="77777777" w:rsidR="006E51BF" w:rsidRPr="007763A4" w:rsidRDefault="006E51BF">
            <w:pPr>
              <w:pStyle w:val="ARfintabletext"/>
              <w:rPr>
                <w:lang w:eastAsia="en-AU"/>
              </w:rPr>
            </w:pPr>
            <w:r w:rsidRPr="007763A4">
              <w:rPr>
                <w:lang w:eastAsia="en-AU"/>
              </w:rPr>
              <w:t>Conditional long service leave entitlements</w:t>
            </w:r>
          </w:p>
        </w:tc>
        <w:tc>
          <w:tcPr>
            <w:cnfStyle w:val="000001000000" w:firstRow="0" w:lastRow="0" w:firstColumn="0" w:lastColumn="0" w:oddVBand="0" w:evenVBand="1" w:oddHBand="0" w:evenHBand="0" w:firstRowFirstColumn="0" w:firstRowLastColumn="0" w:lastRowFirstColumn="0" w:lastRowLastColumn="0"/>
            <w:tcW w:w="771" w:type="pct"/>
            <w:noWrap/>
            <w:tcMar>
              <w:right w:w="0" w:type="nil"/>
            </w:tcMar>
          </w:tcPr>
          <w:p w14:paraId="4DB52BD6" w14:textId="77777777" w:rsidR="006E51BF" w:rsidRPr="009E1F4E" w:rsidRDefault="006E51BF">
            <w:pPr>
              <w:pStyle w:val="ARfintabletextright"/>
            </w:pPr>
            <w:r w:rsidRPr="009E1F4E">
              <w:t>19.0</w:t>
            </w:r>
          </w:p>
        </w:tc>
        <w:tc>
          <w:tcPr>
            <w:tcW w:w="772" w:type="pct"/>
            <w:noWrap/>
            <w:tcMar>
              <w:right w:w="0" w:type="nil"/>
            </w:tcMar>
          </w:tcPr>
          <w:p w14:paraId="3A5F8FD4" w14:textId="77777777" w:rsidR="006E51BF" w:rsidRPr="009E1F4E"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9E1F4E">
              <w:t>16.5</w:t>
            </w:r>
          </w:p>
        </w:tc>
      </w:tr>
      <w:tr w:rsidR="006E51BF" w:rsidRPr="007763A4" w14:paraId="52176249"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57" w:type="pct"/>
            <w:tcBorders>
              <w:bottom w:val="single" w:sz="4" w:space="0" w:color="BFBFBF" w:themeColor="accent2"/>
            </w:tcBorders>
            <w:noWrap/>
            <w:hideMark/>
          </w:tcPr>
          <w:p w14:paraId="29945136" w14:textId="77777777" w:rsidR="006E51BF" w:rsidRPr="007763A4" w:rsidRDefault="006E51BF">
            <w:pPr>
              <w:pStyle w:val="ARfintabletext"/>
              <w:rPr>
                <w:lang w:eastAsia="en-AU"/>
              </w:rPr>
            </w:pPr>
            <w:r w:rsidRPr="007763A4">
              <w:rPr>
                <w:lang w:eastAsia="en-AU"/>
              </w:rPr>
              <w:t>Superannuation</w:t>
            </w:r>
          </w:p>
        </w:tc>
        <w:tc>
          <w:tcPr>
            <w:cnfStyle w:val="000001000000" w:firstRow="0" w:lastRow="0" w:firstColumn="0" w:lastColumn="0" w:oddVBand="0" w:evenVBand="1" w:oddHBand="0" w:evenHBand="0" w:firstRowFirstColumn="0" w:firstRowLastColumn="0" w:lastRowFirstColumn="0" w:lastRowLastColumn="0"/>
            <w:tcW w:w="771" w:type="pct"/>
            <w:tcBorders>
              <w:bottom w:val="single" w:sz="4" w:space="0" w:color="BFBFBF" w:themeColor="accent2"/>
            </w:tcBorders>
            <w:noWrap/>
            <w:tcMar>
              <w:right w:w="0" w:type="nil"/>
            </w:tcMar>
            <w:hideMark/>
          </w:tcPr>
          <w:p w14:paraId="39FC46C8" w14:textId="77777777" w:rsidR="006E51BF" w:rsidRPr="009E1F4E" w:rsidRDefault="006E51BF">
            <w:pPr>
              <w:pStyle w:val="ARfintabletextright"/>
            </w:pPr>
            <w:r w:rsidRPr="009E1F4E">
              <w:t>15.3</w:t>
            </w:r>
          </w:p>
        </w:tc>
        <w:tc>
          <w:tcPr>
            <w:tcW w:w="772" w:type="pct"/>
            <w:tcBorders>
              <w:bottom w:val="single" w:sz="4" w:space="0" w:color="BFBFBF" w:themeColor="accent2"/>
            </w:tcBorders>
            <w:noWrap/>
            <w:tcMar>
              <w:right w:w="0" w:type="nil"/>
            </w:tcMar>
            <w:hideMark/>
          </w:tcPr>
          <w:p w14:paraId="1E34290C" w14:textId="77777777" w:rsidR="006E51BF" w:rsidRPr="009E1F4E"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9E1F4E">
              <w:t>17.2</w:t>
            </w:r>
          </w:p>
        </w:tc>
      </w:tr>
      <w:tr w:rsidR="006E51BF" w:rsidRPr="007763A4" w14:paraId="436320DD"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57" w:type="pct"/>
            <w:tcBorders>
              <w:top w:val="single" w:sz="4" w:space="0" w:color="BFBFBF" w:themeColor="accent2"/>
              <w:bottom w:val="single" w:sz="4" w:space="0" w:color="000000" w:themeColor="text1"/>
            </w:tcBorders>
            <w:noWrap/>
            <w:hideMark/>
          </w:tcPr>
          <w:p w14:paraId="66227BCF" w14:textId="77777777" w:rsidR="006E51BF" w:rsidRPr="007763A4" w:rsidRDefault="006E51BF">
            <w:pPr>
              <w:pStyle w:val="ARfintabletext"/>
              <w:rPr>
                <w:lang w:eastAsia="en-AU"/>
              </w:rPr>
            </w:pPr>
            <w:r w:rsidRPr="007763A4">
              <w:rPr>
                <w:lang w:eastAsia="en-AU"/>
              </w:rPr>
              <w:t xml:space="preserve">Provisions for </w:t>
            </w:r>
            <w:proofErr w:type="gramStart"/>
            <w:r w:rsidRPr="007763A4">
              <w:rPr>
                <w:lang w:eastAsia="en-AU"/>
              </w:rPr>
              <w:t>on-costs</w:t>
            </w:r>
            <w:proofErr w:type="gramEnd"/>
          </w:p>
        </w:tc>
        <w:tc>
          <w:tcPr>
            <w:cnfStyle w:val="000001000000" w:firstRow="0" w:lastRow="0" w:firstColumn="0" w:lastColumn="0" w:oddVBand="0" w:evenVBand="1" w:oddHBand="0" w:evenHBand="0" w:firstRowFirstColumn="0" w:firstRowLastColumn="0" w:lastRowFirstColumn="0" w:lastRowLastColumn="0"/>
            <w:tcW w:w="771" w:type="pct"/>
            <w:tcBorders>
              <w:top w:val="single" w:sz="4" w:space="0" w:color="BFBFBF" w:themeColor="accent2"/>
              <w:bottom w:val="single" w:sz="4" w:space="0" w:color="000000" w:themeColor="text1"/>
            </w:tcBorders>
            <w:noWrap/>
            <w:tcMar>
              <w:right w:w="0" w:type="nil"/>
            </w:tcMar>
            <w:hideMark/>
          </w:tcPr>
          <w:p w14:paraId="53F4A69D" w14:textId="77777777" w:rsidR="006E51BF" w:rsidRPr="009E1F4E" w:rsidRDefault="006E51BF">
            <w:pPr>
              <w:pStyle w:val="ARfintabletextright"/>
            </w:pPr>
            <w:r w:rsidRPr="009E1F4E">
              <w:t>4.3</w:t>
            </w:r>
          </w:p>
        </w:tc>
        <w:tc>
          <w:tcPr>
            <w:tcW w:w="772" w:type="pct"/>
            <w:tcBorders>
              <w:top w:val="single" w:sz="4" w:space="0" w:color="BFBFBF" w:themeColor="accent2"/>
              <w:bottom w:val="single" w:sz="4" w:space="0" w:color="000000" w:themeColor="text1"/>
            </w:tcBorders>
            <w:noWrap/>
            <w:tcMar>
              <w:right w:w="0" w:type="nil"/>
            </w:tcMar>
            <w:hideMark/>
          </w:tcPr>
          <w:p w14:paraId="6BA8BCE2" w14:textId="77777777" w:rsidR="006E51BF" w:rsidRPr="009E1F4E"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9E1F4E">
              <w:t>3.7</w:t>
            </w:r>
          </w:p>
        </w:tc>
      </w:tr>
      <w:tr w:rsidR="006E51BF" w:rsidRPr="007763A4" w14:paraId="0B318A17"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57" w:type="pct"/>
            <w:tcBorders>
              <w:top w:val="single" w:sz="4" w:space="0" w:color="000000" w:themeColor="text1"/>
              <w:bottom w:val="single" w:sz="4" w:space="0" w:color="000000" w:themeColor="text1"/>
            </w:tcBorders>
            <w:noWrap/>
          </w:tcPr>
          <w:p w14:paraId="4CF09461" w14:textId="77777777" w:rsidR="006E51BF" w:rsidRPr="007763A4" w:rsidRDefault="006E51BF">
            <w:pPr>
              <w:pStyle w:val="ARfintabletextbold"/>
              <w:rPr>
                <w:lang w:eastAsia="en-AU"/>
              </w:rPr>
            </w:pPr>
            <w:r w:rsidRPr="007763A4">
              <w:rPr>
                <w:lang w:eastAsia="en-AU"/>
              </w:rPr>
              <w:t>Total non-current provisions for employee benefits</w:t>
            </w:r>
          </w:p>
        </w:tc>
        <w:tc>
          <w:tcPr>
            <w:cnfStyle w:val="000001000000" w:firstRow="0" w:lastRow="0" w:firstColumn="0" w:lastColumn="0" w:oddVBand="0" w:evenVBand="1" w:oddHBand="0" w:evenHBand="0" w:firstRowFirstColumn="0" w:firstRowLastColumn="0" w:lastRowFirstColumn="0" w:lastRowLastColumn="0"/>
            <w:tcW w:w="771" w:type="pct"/>
            <w:tcBorders>
              <w:top w:val="single" w:sz="4" w:space="0" w:color="000000" w:themeColor="text1"/>
              <w:bottom w:val="single" w:sz="4" w:space="0" w:color="000000" w:themeColor="text1"/>
            </w:tcBorders>
            <w:noWrap/>
            <w:tcMar>
              <w:right w:w="0" w:type="nil"/>
            </w:tcMar>
          </w:tcPr>
          <w:p w14:paraId="44791BC3" w14:textId="77777777" w:rsidR="006E51BF" w:rsidRPr="009E1F4E" w:rsidRDefault="006E51BF">
            <w:pPr>
              <w:pStyle w:val="ARfintabletextboldright"/>
            </w:pPr>
            <w:r w:rsidRPr="009E1F4E">
              <w:t>38.6</w:t>
            </w:r>
          </w:p>
        </w:tc>
        <w:tc>
          <w:tcPr>
            <w:tcW w:w="772" w:type="pct"/>
            <w:tcBorders>
              <w:top w:val="single" w:sz="4" w:space="0" w:color="000000" w:themeColor="text1"/>
              <w:bottom w:val="single" w:sz="4" w:space="0" w:color="000000" w:themeColor="text1"/>
            </w:tcBorders>
            <w:noWrap/>
            <w:tcMar>
              <w:right w:w="0" w:type="nil"/>
            </w:tcMar>
          </w:tcPr>
          <w:p w14:paraId="752AEF76" w14:textId="77777777" w:rsidR="006E51BF" w:rsidRPr="009E1F4E" w:rsidRDefault="006E51BF">
            <w:pPr>
              <w:pStyle w:val="ARfintabletextboldright"/>
              <w:cnfStyle w:val="000000010000" w:firstRow="0" w:lastRow="0" w:firstColumn="0" w:lastColumn="0" w:oddVBand="0" w:evenVBand="0" w:oddHBand="0" w:evenHBand="1" w:firstRowFirstColumn="0" w:firstRowLastColumn="0" w:lastRowFirstColumn="0" w:lastRowLastColumn="0"/>
            </w:pPr>
            <w:r w:rsidRPr="009E1F4E">
              <w:t>37.4</w:t>
            </w:r>
          </w:p>
        </w:tc>
      </w:tr>
      <w:tr w:rsidR="006E51BF" w:rsidRPr="007763A4" w14:paraId="76276247" w14:textId="77777777" w:rsidTr="00785A35">
        <w:trPr>
          <w:cnfStyle w:val="010000000000" w:firstRow="0" w:lastRow="1" w:firstColumn="0" w:lastColumn="0" w:oddVBand="0" w:evenVBand="0" w:oddHBand="0" w:evenHBand="0" w:firstRowFirstColumn="0" w:firstRowLastColumn="0" w:lastRowFirstColumn="0" w:lastRowLastColumn="0"/>
          <w:trHeight w:val="20"/>
        </w:trPr>
        <w:tc>
          <w:tcPr>
            <w:tcW w:w="3457" w:type="pct"/>
            <w:noWrap/>
          </w:tcPr>
          <w:p w14:paraId="068B5087" w14:textId="77777777" w:rsidR="006E51BF" w:rsidRPr="007763A4" w:rsidRDefault="006E51BF">
            <w:pPr>
              <w:pStyle w:val="ARfintabletextbold"/>
              <w:rPr>
                <w:lang w:eastAsia="en-AU"/>
              </w:rPr>
            </w:pPr>
            <w:r w:rsidRPr="007763A4">
              <w:rPr>
                <w:lang w:eastAsia="en-AU"/>
              </w:rPr>
              <w:t>Total provisions for employee benefits</w:t>
            </w:r>
          </w:p>
        </w:tc>
        <w:tc>
          <w:tcPr>
            <w:cnfStyle w:val="000001000000" w:firstRow="0" w:lastRow="0" w:firstColumn="0" w:lastColumn="0" w:oddVBand="0" w:evenVBand="1" w:oddHBand="0" w:evenHBand="0" w:firstRowFirstColumn="0" w:firstRowLastColumn="0" w:lastRowFirstColumn="0" w:lastRowLastColumn="0"/>
            <w:tcW w:w="771" w:type="pct"/>
            <w:noWrap/>
            <w:tcMar>
              <w:right w:w="0" w:type="nil"/>
            </w:tcMar>
          </w:tcPr>
          <w:p w14:paraId="299CF90D" w14:textId="77777777" w:rsidR="006E51BF" w:rsidRPr="009E1F4E" w:rsidRDefault="006E51BF">
            <w:pPr>
              <w:pStyle w:val="ARfintabletextboldright"/>
            </w:pPr>
            <w:r w:rsidRPr="009E1F4E">
              <w:t>322.1</w:t>
            </w:r>
          </w:p>
        </w:tc>
        <w:tc>
          <w:tcPr>
            <w:tcW w:w="772" w:type="pct"/>
            <w:noWrap/>
            <w:tcMar>
              <w:right w:w="0" w:type="nil"/>
            </w:tcMar>
          </w:tcPr>
          <w:p w14:paraId="060B2F6F" w14:textId="77777777" w:rsidR="006E51BF" w:rsidRPr="009E1F4E" w:rsidRDefault="006E51BF">
            <w:pPr>
              <w:pStyle w:val="ARfintabletextboldright"/>
              <w:cnfStyle w:val="010000000000" w:firstRow="0" w:lastRow="1" w:firstColumn="0" w:lastColumn="0" w:oddVBand="0" w:evenVBand="0" w:oddHBand="0" w:evenHBand="0" w:firstRowFirstColumn="0" w:firstRowLastColumn="0" w:lastRowFirstColumn="0" w:lastRowLastColumn="0"/>
            </w:pPr>
            <w:r w:rsidRPr="009E1F4E">
              <w:t>321.1</w:t>
            </w:r>
          </w:p>
        </w:tc>
      </w:tr>
    </w:tbl>
    <w:p w14:paraId="5FF23D65" w14:textId="152DA731" w:rsidR="006E51BF" w:rsidRPr="007763A4" w:rsidRDefault="006E51BF">
      <w:pPr>
        <w:pStyle w:val="ARfinbodyaftertableorfigure"/>
      </w:pPr>
      <w:r w:rsidRPr="005705D2">
        <w:rPr>
          <w:rStyle w:val="Strong"/>
        </w:rPr>
        <w:t>Sick leave:</w:t>
      </w:r>
      <w:r w:rsidRPr="007763A4">
        <w:t xml:space="preserve"> No provision has been made for sick leave as all sick leave is non-vesting and it is not considered probable that the average sick leave taken in the future will be greater than the benefits accrued in the future. As sick leave is </w:t>
      </w:r>
      <w:r w:rsidR="00C53319">
        <w:br/>
      </w:r>
      <w:r w:rsidRPr="007763A4">
        <w:t xml:space="preserve">non-vesting, an expense is recognised in the comprehensive operating statement as it is taken. </w:t>
      </w:r>
    </w:p>
    <w:p w14:paraId="6B2A326A" w14:textId="77777777" w:rsidR="006E51BF" w:rsidRPr="007763A4" w:rsidRDefault="006E51BF">
      <w:pPr>
        <w:pStyle w:val="ARfinbody"/>
        <w:rPr>
          <w:lang w:eastAsia="en-AU"/>
        </w:rPr>
      </w:pPr>
      <w:r w:rsidRPr="005705D2">
        <w:rPr>
          <w:rStyle w:val="Strong"/>
          <w:lang w:eastAsia="en-AU"/>
        </w:rPr>
        <w:t>Employment on-cost:</w:t>
      </w:r>
      <w:r w:rsidRPr="007763A4">
        <w:rPr>
          <w:lang w:eastAsia="en-AU"/>
        </w:rPr>
        <w:t xml:space="preserve"> Employment on-costs such as payroll tax, workers' compensation and superannuation are not employee benefits. They are disclosed separately as a component of the provision for employee benefits when the employment to which they relate has occurred. </w:t>
      </w:r>
    </w:p>
    <w:p w14:paraId="4CDD0DD5" w14:textId="77777777" w:rsidR="006E51BF" w:rsidRPr="007763A4" w:rsidRDefault="006E51BF">
      <w:pPr>
        <w:pStyle w:val="ARfinbody"/>
        <w:rPr>
          <w:lang w:eastAsia="en-AU"/>
        </w:rPr>
      </w:pPr>
      <w:r w:rsidRPr="005705D2">
        <w:rPr>
          <w:rStyle w:val="Strong"/>
          <w:lang w:eastAsia="en-AU"/>
        </w:rPr>
        <w:t xml:space="preserve">Unconditional LSL </w:t>
      </w:r>
      <w:r w:rsidRPr="007763A4">
        <w:rPr>
          <w:lang w:eastAsia="en-AU"/>
        </w:rPr>
        <w:t xml:space="preserve">is disclosed as a current liability; even where the department does not expect to settle the liability within 12 months because it will not have the unconditional right to defer the settlement of the entitlement should an employee take leave within 12 months. </w:t>
      </w:r>
    </w:p>
    <w:p w14:paraId="576891FF" w14:textId="77777777" w:rsidR="006E51BF" w:rsidRPr="007763A4" w:rsidRDefault="006E51BF">
      <w:pPr>
        <w:pStyle w:val="ARfinbody"/>
        <w:rPr>
          <w:lang w:eastAsia="en-AU"/>
        </w:rPr>
      </w:pPr>
      <w:r w:rsidRPr="007763A4">
        <w:rPr>
          <w:lang w:eastAsia="en-AU"/>
        </w:rPr>
        <w:t>The components of this current LSL liability are measured at present value where the department does not expect to wholly settle within 12 months. The components of current LSL liability are measured at nominal value where the department expects to settle within 12 months.</w:t>
      </w:r>
    </w:p>
    <w:p w14:paraId="61B5D9DF" w14:textId="57BA63C2" w:rsidR="006E51BF" w:rsidRPr="007763A4" w:rsidRDefault="006E51BF">
      <w:pPr>
        <w:pStyle w:val="ARfinbody"/>
        <w:rPr>
          <w:lang w:eastAsia="en-AU"/>
        </w:rPr>
      </w:pPr>
      <w:r w:rsidRPr="005705D2">
        <w:rPr>
          <w:rStyle w:val="Strong"/>
          <w:lang w:eastAsia="en-AU"/>
        </w:rPr>
        <w:t>Conditional LSL</w:t>
      </w:r>
      <w:r w:rsidRPr="007763A4">
        <w:rPr>
          <w:lang w:eastAsia="en-AU"/>
        </w:rPr>
        <w:t xml:space="preserve"> is disclosed as a non-current liability. There is an unconditional right to defer the settlement of the entitlement until the employee has completed the requisite years of service. This non-current LSL liability is measured at</w:t>
      </w:r>
      <w:r w:rsidR="00C53319">
        <w:rPr>
          <w:lang w:eastAsia="en-AU"/>
        </w:rPr>
        <w:t> </w:t>
      </w:r>
      <w:r w:rsidRPr="007763A4">
        <w:rPr>
          <w:lang w:eastAsia="en-AU"/>
        </w:rPr>
        <w:t xml:space="preserve">present value. </w:t>
      </w:r>
    </w:p>
    <w:p w14:paraId="187431FB" w14:textId="77777777" w:rsidR="006E51BF" w:rsidRDefault="006E51BF">
      <w:pPr>
        <w:pStyle w:val="ARfinbody"/>
        <w:rPr>
          <w:lang w:eastAsia="en-AU"/>
        </w:rPr>
      </w:pPr>
      <w:r w:rsidRPr="007763A4">
        <w:rPr>
          <w:lang w:eastAsia="en-AU"/>
        </w:rPr>
        <w:t>Any gain or loss following the revaluation of the present value of non-current LSL liability is recognised as a transaction, except to the extent that a gain or loss arises due to changes in bond interest rates for which it is then recognised as an 'other economic flow' in the net result.</w:t>
      </w:r>
      <w:r>
        <w:rPr>
          <w:lang w:eastAsia="en-AU"/>
        </w:rPr>
        <w:br w:type="page"/>
      </w:r>
    </w:p>
    <w:p w14:paraId="3CAE283A" w14:textId="77777777" w:rsidR="006E51BF" w:rsidRPr="005825E0" w:rsidRDefault="006E51BF">
      <w:pPr>
        <w:pStyle w:val="Heading7"/>
        <w:rPr>
          <w:lang w:eastAsia="en-AU"/>
        </w:rPr>
      </w:pPr>
      <w:bookmarkStart w:id="289" w:name="_Provisions_for_superannuation"/>
      <w:bookmarkStart w:id="290" w:name="Provisionsforsuperannuation"/>
      <w:bookmarkEnd w:id="289"/>
      <w:r w:rsidRPr="005825E0">
        <w:rPr>
          <w:lang w:eastAsia="en-AU"/>
        </w:rPr>
        <w:t xml:space="preserve">Provisions for superannuation </w:t>
      </w:r>
      <w:bookmarkEnd w:id="290"/>
      <w:r>
        <w:rPr>
          <w:lang w:eastAsia="en-AU"/>
        </w:rPr>
        <w:t>–</w:t>
      </w:r>
      <w:r w:rsidRPr="005825E0">
        <w:rPr>
          <w:lang w:eastAsia="en-AU"/>
        </w:rPr>
        <w:t xml:space="preserve"> Defined benefit obligation</w:t>
      </w:r>
    </w:p>
    <w:p w14:paraId="0049FBD6" w14:textId="77777777" w:rsidR="006E51BF" w:rsidRDefault="006E51BF">
      <w:pPr>
        <w:pStyle w:val="ARfinbody"/>
        <w:rPr>
          <w:lang w:eastAsia="en-AU"/>
        </w:rPr>
      </w:pPr>
      <w:r w:rsidRPr="005825E0">
        <w:rPr>
          <w:lang w:eastAsia="en-AU"/>
        </w:rPr>
        <w:t xml:space="preserve">The department reports a liability for unfunded superannuation in respect of former employees of Homes Victoria for the shortfall of superannuation benefits paid to former housing staff who retired or resigned on or before 14 December 1987 or were employed by Homes Victoria as at 14 December 1987 and retired or resigned prior to or on 30 June 1994. </w:t>
      </w:r>
    </w:p>
    <w:p w14:paraId="314EEE26" w14:textId="77777777" w:rsidR="006E51BF" w:rsidRDefault="006E51BF">
      <w:pPr>
        <w:pStyle w:val="ARfinbody"/>
        <w:rPr>
          <w:lang w:eastAsia="en-AU"/>
        </w:rPr>
      </w:pPr>
      <w:r w:rsidRPr="005825E0">
        <w:rPr>
          <w:lang w:eastAsia="en-AU"/>
        </w:rPr>
        <w:t>In accordance with the requirements of Financial Reporting Directions (FRD) 112, Homes Victoria is required to recognise defined benefit liabilities or surpluses of defined benefit plans in accordance with the requirements of AASB119. Other than former employees of Homes Victoria, the department does not recognise any defined benefit liabilities because it has no legal or constructive obligation to pay future benefits relating to its employees. Instead, the Department of Treasury and Finance (DTF) discloses in its annual financial statements the net defined benefit cost related to the members of these plans as an administered liability (on behalf of the State as the sponsoring employer).</w:t>
      </w:r>
    </w:p>
    <w:p w14:paraId="3C13047E" w14:textId="150D5252" w:rsidR="006E51BF" w:rsidRDefault="006E51BF">
      <w:pPr>
        <w:pStyle w:val="ARfinbodybeforetableorfigure"/>
      </w:pPr>
      <w:r w:rsidRPr="005825E0">
        <w:t xml:space="preserve">This liability represents the shortfall between the total net assets of the superannuation fund </w:t>
      </w:r>
      <w:proofErr w:type="gramStart"/>
      <w:r w:rsidRPr="005825E0">
        <w:t>at</w:t>
      </w:r>
      <w:proofErr w:type="gramEnd"/>
      <w:r w:rsidRPr="005825E0">
        <w:t xml:space="preserve"> 30 June 2026 and the total benefits that members have accrued up to that date, determined by an actuarial assessment. Information relating to</w:t>
      </w:r>
      <w:r w:rsidR="004B6B51">
        <w:t> </w:t>
      </w:r>
      <w:r w:rsidRPr="005825E0">
        <w:t>the fund based on the latest actuarial assessment for 30 June 2026 is set out below. The amount expensed in respect of unfunded superannuation represents the contributions made by the department to the superannuation fund, adjusted by</w:t>
      </w:r>
      <w:r w:rsidR="004B6B51">
        <w:t> </w:t>
      </w:r>
      <w:r w:rsidRPr="005825E0">
        <w:t>the movement in the liability or asset.</w:t>
      </w:r>
    </w:p>
    <w:tbl>
      <w:tblPr>
        <w:tblStyle w:val="ARtable1"/>
        <w:tblW w:w="5000" w:type="pct"/>
        <w:tblLook w:val="00A0" w:firstRow="1" w:lastRow="0" w:firstColumn="1" w:lastColumn="0" w:noHBand="0" w:noVBand="0"/>
      </w:tblPr>
      <w:tblGrid>
        <w:gridCol w:w="6514"/>
        <w:gridCol w:w="1556"/>
        <w:gridCol w:w="1558"/>
      </w:tblGrid>
      <w:tr w:rsidR="006E51BF" w:rsidRPr="005825E0" w14:paraId="6383F543" w14:textId="77777777" w:rsidTr="00785A35">
        <w:trPr>
          <w:cnfStyle w:val="100000000000" w:firstRow="1" w:lastRow="0" w:firstColumn="0" w:lastColumn="0" w:oddVBand="0" w:evenVBand="0" w:oddHBand="0" w:evenHBand="0" w:firstRowFirstColumn="0" w:firstRowLastColumn="0" w:lastRowFirstColumn="0" w:lastRowLastColumn="0"/>
          <w:trHeight w:val="570"/>
          <w:tblHeader/>
        </w:trPr>
        <w:tc>
          <w:tcPr>
            <w:tcW w:w="3383" w:type="pct"/>
            <w:noWrap/>
          </w:tcPr>
          <w:p w14:paraId="40A03216" w14:textId="77777777" w:rsidR="006E51BF" w:rsidRPr="005825E0"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5CAE4770" w14:textId="77777777" w:rsidR="006E51BF" w:rsidRPr="005825E0" w:rsidRDefault="006E51BF">
            <w:pPr>
              <w:pStyle w:val="ARfintablecolheadright"/>
              <w:rPr>
                <w:lang w:eastAsia="en-AU"/>
              </w:rPr>
            </w:pPr>
            <w:r w:rsidRPr="005825E0">
              <w:rPr>
                <w:lang w:eastAsia="en-AU"/>
              </w:rPr>
              <w:t>2026</w:t>
            </w:r>
          </w:p>
          <w:p w14:paraId="24F77E8A" w14:textId="77777777" w:rsidR="006E51BF" w:rsidRPr="005825E0" w:rsidRDefault="006E51BF">
            <w:pPr>
              <w:pStyle w:val="ARfintablecolheadright"/>
              <w:rPr>
                <w:lang w:eastAsia="en-AU"/>
              </w:rPr>
            </w:pPr>
            <w:r w:rsidRPr="005825E0">
              <w:rPr>
                <w:lang w:eastAsia="en-AU"/>
              </w:rPr>
              <w:t>$M</w:t>
            </w:r>
          </w:p>
        </w:tc>
        <w:tc>
          <w:tcPr>
            <w:tcW w:w="809" w:type="pct"/>
            <w:noWrap/>
            <w:tcMar>
              <w:right w:w="0" w:type="nil"/>
            </w:tcMar>
            <w:hideMark/>
          </w:tcPr>
          <w:p w14:paraId="45BE285C" w14:textId="77777777" w:rsidR="006E51BF" w:rsidRPr="005825E0"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lang w:eastAsia="en-AU"/>
              </w:rPr>
            </w:pPr>
            <w:r w:rsidRPr="005825E0">
              <w:rPr>
                <w:color w:val="000000"/>
                <w:lang w:eastAsia="en-AU"/>
              </w:rPr>
              <w:t>2025</w:t>
            </w:r>
          </w:p>
          <w:p w14:paraId="2B1F1C0D" w14:textId="77777777" w:rsidR="006E51BF" w:rsidRPr="005825E0"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lang w:eastAsia="en-AU"/>
              </w:rPr>
            </w:pPr>
            <w:r w:rsidRPr="005825E0">
              <w:rPr>
                <w:lang w:eastAsia="en-AU"/>
              </w:rPr>
              <w:t>$M</w:t>
            </w:r>
          </w:p>
        </w:tc>
      </w:tr>
      <w:tr w:rsidR="006E51BF" w:rsidRPr="005825E0" w14:paraId="2E6F2807" w14:textId="77777777" w:rsidTr="00785A35">
        <w:trPr>
          <w:cnfStyle w:val="000000100000" w:firstRow="0" w:lastRow="0" w:firstColumn="0" w:lastColumn="0" w:oddVBand="0" w:evenVBand="0" w:oddHBand="1" w:evenHBand="0" w:firstRowFirstColumn="0" w:firstRowLastColumn="0" w:lastRowFirstColumn="0" w:lastRowLastColumn="0"/>
          <w:trHeight w:val="280"/>
        </w:trPr>
        <w:tc>
          <w:tcPr>
            <w:tcW w:w="3383" w:type="pct"/>
            <w:tcBorders>
              <w:bottom w:val="single" w:sz="4" w:space="0" w:color="BFBFBF" w:themeColor="accent2"/>
            </w:tcBorders>
            <w:hideMark/>
          </w:tcPr>
          <w:p w14:paraId="586503AC" w14:textId="77777777" w:rsidR="006E51BF" w:rsidRPr="005825E0" w:rsidRDefault="006E51BF">
            <w:pPr>
              <w:pStyle w:val="ARfintabletextboldcoloured"/>
              <w:rPr>
                <w:lang w:eastAsia="en-AU"/>
              </w:rPr>
            </w:pPr>
            <w:r w:rsidRPr="005825E0">
              <w:rPr>
                <w:lang w:eastAsia="en-AU"/>
              </w:rPr>
              <w:t>Reconciliation of the superannuation liability in the balance sheet</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shd w:val="clear" w:color="auto" w:fill="auto"/>
            <w:noWrap/>
            <w:tcMar>
              <w:right w:w="0" w:type="nil"/>
            </w:tcMar>
            <w:hideMark/>
          </w:tcPr>
          <w:p w14:paraId="364AD2C0" w14:textId="77777777" w:rsidR="006E51BF" w:rsidRPr="005C3FF5" w:rsidRDefault="006E51BF">
            <w:pPr>
              <w:pStyle w:val="ARfintabletextright"/>
            </w:pPr>
          </w:p>
        </w:tc>
        <w:tc>
          <w:tcPr>
            <w:tcW w:w="809" w:type="pct"/>
            <w:tcBorders>
              <w:bottom w:val="single" w:sz="4" w:space="0" w:color="BFBFBF" w:themeColor="accent2"/>
            </w:tcBorders>
            <w:noWrap/>
            <w:tcMar>
              <w:right w:w="0" w:type="nil"/>
            </w:tcMar>
            <w:hideMark/>
          </w:tcPr>
          <w:p w14:paraId="6F83CD7D" w14:textId="77777777" w:rsidR="006E51BF" w:rsidRPr="005C3FF5"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5825E0" w14:paraId="0B2E27D4" w14:textId="77777777" w:rsidTr="00785A35">
        <w:trPr>
          <w:cnfStyle w:val="000000010000" w:firstRow="0" w:lastRow="0" w:firstColumn="0" w:lastColumn="0" w:oddVBand="0" w:evenVBand="0" w:oddHBand="0" w:evenHBand="1" w:firstRowFirstColumn="0" w:firstRowLastColumn="0" w:lastRowFirstColumn="0" w:lastRowLastColumn="0"/>
          <w:trHeight w:val="270"/>
        </w:trPr>
        <w:tc>
          <w:tcPr>
            <w:tcW w:w="3383" w:type="pct"/>
            <w:tcBorders>
              <w:top w:val="single" w:sz="4" w:space="0" w:color="BFBFBF" w:themeColor="accent2"/>
              <w:bottom w:val="single" w:sz="4" w:space="0" w:color="000000" w:themeColor="text1"/>
            </w:tcBorders>
            <w:noWrap/>
            <w:hideMark/>
          </w:tcPr>
          <w:p w14:paraId="795F5281" w14:textId="77777777" w:rsidR="006E51BF" w:rsidRPr="005825E0" w:rsidRDefault="006E51BF">
            <w:pPr>
              <w:pStyle w:val="ARfintabletext"/>
              <w:rPr>
                <w:lang w:eastAsia="en-AU"/>
              </w:rPr>
            </w:pPr>
            <w:r w:rsidRPr="005825E0">
              <w:rPr>
                <w:lang w:eastAsia="en-AU"/>
              </w:rPr>
              <w:t>Defined benefit obligation</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58ED2762" w14:textId="77777777" w:rsidR="006E51BF" w:rsidRPr="005C3FF5" w:rsidRDefault="006E51BF">
            <w:pPr>
              <w:pStyle w:val="ARfintabletextright"/>
            </w:pPr>
            <w:r w:rsidRPr="005C3FF5">
              <w:t>17.3</w:t>
            </w:r>
          </w:p>
        </w:tc>
        <w:tc>
          <w:tcPr>
            <w:tcW w:w="809" w:type="pct"/>
            <w:tcBorders>
              <w:top w:val="single" w:sz="4" w:space="0" w:color="BFBFBF" w:themeColor="accent2"/>
              <w:bottom w:val="single" w:sz="4" w:space="0" w:color="000000" w:themeColor="text1"/>
            </w:tcBorders>
            <w:noWrap/>
            <w:tcMar>
              <w:right w:w="0" w:type="nil"/>
            </w:tcMar>
            <w:hideMark/>
          </w:tcPr>
          <w:p w14:paraId="1D0CB2A5" w14:textId="77777777" w:rsidR="006E51BF" w:rsidRPr="005C3FF5"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5C3FF5">
              <w:t>19.3</w:t>
            </w:r>
          </w:p>
        </w:tc>
      </w:tr>
      <w:tr w:rsidR="006E51BF" w:rsidRPr="005825E0" w14:paraId="22D9B7DE" w14:textId="77777777" w:rsidTr="00785A35">
        <w:trPr>
          <w:cnfStyle w:val="000000100000" w:firstRow="0" w:lastRow="0" w:firstColumn="0" w:lastColumn="0" w:oddVBand="0" w:evenVBand="0" w:oddHBand="1" w:evenHBand="0" w:firstRowFirstColumn="0" w:firstRowLastColumn="0" w:lastRowFirstColumn="0" w:lastRowLastColumn="0"/>
          <w:trHeight w:val="270"/>
        </w:trPr>
        <w:tc>
          <w:tcPr>
            <w:tcW w:w="3383" w:type="pct"/>
            <w:tcBorders>
              <w:top w:val="single" w:sz="4" w:space="0" w:color="000000" w:themeColor="text1"/>
              <w:bottom w:val="single" w:sz="4" w:space="0" w:color="000000" w:themeColor="text1"/>
            </w:tcBorders>
            <w:noWrap/>
            <w:hideMark/>
          </w:tcPr>
          <w:p w14:paraId="04BAB939" w14:textId="77777777" w:rsidR="006E51BF" w:rsidRPr="005825E0" w:rsidRDefault="006E51BF">
            <w:pPr>
              <w:pStyle w:val="ARfintabletextbold"/>
              <w:rPr>
                <w:lang w:eastAsia="en-AU"/>
              </w:rPr>
            </w:pPr>
            <w:r w:rsidRPr="005825E0">
              <w:rPr>
                <w:lang w:eastAsia="en-AU"/>
              </w:rPr>
              <w:t>Net liability/(asset)</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0A6084F2" w14:textId="77777777" w:rsidR="006E51BF" w:rsidRPr="005C3FF5" w:rsidRDefault="006E51BF">
            <w:pPr>
              <w:pStyle w:val="ARfintabletextboldright"/>
            </w:pPr>
            <w:r w:rsidRPr="005C3FF5">
              <w:t>17.3</w:t>
            </w:r>
          </w:p>
        </w:tc>
        <w:tc>
          <w:tcPr>
            <w:tcW w:w="809" w:type="pct"/>
            <w:tcBorders>
              <w:top w:val="single" w:sz="4" w:space="0" w:color="000000" w:themeColor="text1"/>
              <w:bottom w:val="single" w:sz="4" w:space="0" w:color="000000" w:themeColor="text1"/>
            </w:tcBorders>
            <w:noWrap/>
            <w:tcMar>
              <w:right w:w="0" w:type="nil"/>
            </w:tcMar>
            <w:hideMark/>
          </w:tcPr>
          <w:p w14:paraId="33D8E519" w14:textId="77777777" w:rsidR="006E51BF" w:rsidRPr="005C3FF5" w:rsidRDefault="006E51BF">
            <w:pPr>
              <w:pStyle w:val="ARfintabletextboldright"/>
              <w:cnfStyle w:val="000000100000" w:firstRow="0" w:lastRow="0" w:firstColumn="0" w:lastColumn="0" w:oddVBand="0" w:evenVBand="0" w:oddHBand="1" w:evenHBand="0" w:firstRowFirstColumn="0" w:firstRowLastColumn="0" w:lastRowFirstColumn="0" w:lastRowLastColumn="0"/>
            </w:pPr>
            <w:r w:rsidRPr="005C3FF5">
              <w:t>19.3</w:t>
            </w:r>
          </w:p>
        </w:tc>
      </w:tr>
      <w:tr w:rsidR="006E51BF" w:rsidRPr="005825E0" w14:paraId="4A755C84" w14:textId="77777777" w:rsidTr="00785A35">
        <w:trPr>
          <w:cnfStyle w:val="000000010000" w:firstRow="0" w:lastRow="0" w:firstColumn="0" w:lastColumn="0" w:oddVBand="0" w:evenVBand="0" w:oddHBand="0" w:evenHBand="1" w:firstRowFirstColumn="0" w:firstRowLastColumn="0" w:lastRowFirstColumn="0" w:lastRowLastColumn="0"/>
          <w:trHeight w:val="210"/>
        </w:trPr>
        <w:tc>
          <w:tcPr>
            <w:tcW w:w="3383" w:type="pct"/>
            <w:tcBorders>
              <w:top w:val="single" w:sz="4" w:space="0" w:color="000000" w:themeColor="text1"/>
              <w:bottom w:val="single" w:sz="4" w:space="0" w:color="000000" w:themeColor="text1"/>
            </w:tcBorders>
            <w:noWrap/>
            <w:hideMark/>
          </w:tcPr>
          <w:p w14:paraId="156F7394" w14:textId="77777777" w:rsidR="006E51BF" w:rsidRPr="005825E0" w:rsidRDefault="006E51BF">
            <w:pPr>
              <w:pStyle w:val="ARfintabletextbold"/>
              <w:rPr>
                <w:lang w:eastAsia="en-AU"/>
              </w:rPr>
            </w:pPr>
            <w:r w:rsidRPr="005825E0">
              <w:rPr>
                <w:lang w:eastAsia="en-AU"/>
              </w:rPr>
              <w:t>Total obligation and liability in the balance sheet</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6FB1A385" w14:textId="77777777" w:rsidR="006E51BF" w:rsidRPr="005C3FF5" w:rsidRDefault="006E51BF">
            <w:pPr>
              <w:pStyle w:val="ARfintabletextboldright"/>
            </w:pPr>
            <w:r w:rsidRPr="005C3FF5">
              <w:t>17.3</w:t>
            </w:r>
          </w:p>
        </w:tc>
        <w:tc>
          <w:tcPr>
            <w:tcW w:w="809" w:type="pct"/>
            <w:tcBorders>
              <w:top w:val="single" w:sz="4" w:space="0" w:color="000000" w:themeColor="text1"/>
              <w:bottom w:val="single" w:sz="4" w:space="0" w:color="000000" w:themeColor="text1"/>
            </w:tcBorders>
            <w:noWrap/>
            <w:tcMar>
              <w:right w:w="0" w:type="nil"/>
            </w:tcMar>
            <w:hideMark/>
          </w:tcPr>
          <w:p w14:paraId="0CDB0C59" w14:textId="77777777" w:rsidR="006E51BF" w:rsidRPr="005C3FF5" w:rsidRDefault="006E51BF">
            <w:pPr>
              <w:pStyle w:val="ARfintabletextboldright"/>
              <w:cnfStyle w:val="000000010000" w:firstRow="0" w:lastRow="0" w:firstColumn="0" w:lastColumn="0" w:oddVBand="0" w:evenVBand="0" w:oddHBand="0" w:evenHBand="1" w:firstRowFirstColumn="0" w:firstRowLastColumn="0" w:lastRowFirstColumn="0" w:lastRowLastColumn="0"/>
            </w:pPr>
            <w:r w:rsidRPr="005C3FF5">
              <w:t>19.3</w:t>
            </w:r>
          </w:p>
        </w:tc>
      </w:tr>
      <w:tr w:rsidR="006E51BF" w:rsidRPr="005825E0" w14:paraId="799A63EF" w14:textId="77777777" w:rsidTr="00785A35">
        <w:trPr>
          <w:cnfStyle w:val="000000100000" w:firstRow="0" w:lastRow="0" w:firstColumn="0" w:lastColumn="0" w:oddVBand="0" w:evenVBand="0" w:oddHBand="1" w:evenHBand="0" w:firstRowFirstColumn="0" w:firstRowLastColumn="0" w:lastRowFirstColumn="0" w:lastRowLastColumn="0"/>
          <w:trHeight w:val="280"/>
        </w:trPr>
        <w:tc>
          <w:tcPr>
            <w:tcW w:w="3383" w:type="pct"/>
            <w:tcBorders>
              <w:top w:val="single" w:sz="4" w:space="0" w:color="000000" w:themeColor="text1"/>
            </w:tcBorders>
            <w:noWrap/>
            <w:hideMark/>
          </w:tcPr>
          <w:p w14:paraId="136B17E9" w14:textId="77777777" w:rsidR="006E51BF" w:rsidRPr="005825E0" w:rsidRDefault="006E51BF">
            <w:pPr>
              <w:pStyle w:val="ARfintabletextboldcoloured"/>
              <w:rPr>
                <w:lang w:eastAsia="en-AU"/>
              </w:rPr>
            </w:pPr>
            <w:r w:rsidRPr="005825E0">
              <w:rPr>
                <w:lang w:eastAsia="en-AU"/>
              </w:rPr>
              <w:t>Represented by</w:t>
            </w:r>
            <w:r>
              <w:rPr>
                <w:lang w:eastAsia="en-AU"/>
              </w:rPr>
              <w:t xml:space="preserve"> –</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tcMar>
              <w:right w:w="0" w:type="nil"/>
            </w:tcMar>
            <w:hideMark/>
          </w:tcPr>
          <w:p w14:paraId="0E8104F6" w14:textId="77777777" w:rsidR="006E51BF" w:rsidRPr="005C3FF5" w:rsidRDefault="006E51BF">
            <w:pPr>
              <w:pStyle w:val="ARfintabletextright"/>
            </w:pPr>
          </w:p>
        </w:tc>
        <w:tc>
          <w:tcPr>
            <w:tcW w:w="809" w:type="pct"/>
            <w:tcBorders>
              <w:top w:val="single" w:sz="4" w:space="0" w:color="000000" w:themeColor="text1"/>
            </w:tcBorders>
            <w:noWrap/>
            <w:tcMar>
              <w:right w:w="0" w:type="nil"/>
            </w:tcMar>
            <w:hideMark/>
          </w:tcPr>
          <w:p w14:paraId="06A81781" w14:textId="77777777" w:rsidR="006E51BF" w:rsidRPr="005C3FF5"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5825E0" w14:paraId="554AF875" w14:textId="77777777" w:rsidTr="00785A35">
        <w:trPr>
          <w:cnfStyle w:val="000000010000" w:firstRow="0" w:lastRow="0" w:firstColumn="0" w:lastColumn="0" w:oddVBand="0" w:evenVBand="0" w:oddHBand="0" w:evenHBand="1" w:firstRowFirstColumn="0" w:firstRowLastColumn="0" w:lastRowFirstColumn="0" w:lastRowLastColumn="0"/>
          <w:trHeight w:val="270"/>
        </w:trPr>
        <w:tc>
          <w:tcPr>
            <w:tcW w:w="3383" w:type="pct"/>
            <w:tcBorders>
              <w:bottom w:val="single" w:sz="4" w:space="0" w:color="BFBFBF" w:themeColor="accent2"/>
            </w:tcBorders>
            <w:noWrap/>
            <w:hideMark/>
          </w:tcPr>
          <w:p w14:paraId="32F8D13E" w14:textId="77777777" w:rsidR="006E51BF" w:rsidRPr="005825E0" w:rsidRDefault="006E51BF">
            <w:pPr>
              <w:pStyle w:val="ARfintabletext"/>
              <w:rPr>
                <w:lang w:eastAsia="en-AU"/>
              </w:rPr>
            </w:pPr>
            <w:r w:rsidRPr="005825E0">
              <w:rPr>
                <w:lang w:eastAsia="en-AU"/>
              </w:rPr>
              <w:t>Current liability</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0E801676" w14:textId="77777777" w:rsidR="006E51BF" w:rsidRPr="005C3FF5" w:rsidRDefault="006E51BF">
            <w:pPr>
              <w:pStyle w:val="ARfintabletextright"/>
            </w:pPr>
            <w:r w:rsidRPr="005C3FF5">
              <w:t>2.0</w:t>
            </w:r>
          </w:p>
        </w:tc>
        <w:tc>
          <w:tcPr>
            <w:tcW w:w="809" w:type="pct"/>
            <w:tcBorders>
              <w:bottom w:val="single" w:sz="4" w:space="0" w:color="BFBFBF" w:themeColor="accent2"/>
            </w:tcBorders>
            <w:noWrap/>
            <w:tcMar>
              <w:right w:w="0" w:type="nil"/>
            </w:tcMar>
            <w:hideMark/>
          </w:tcPr>
          <w:p w14:paraId="62EA65A9" w14:textId="77777777" w:rsidR="006E51BF" w:rsidRPr="005C3FF5"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5C3FF5">
              <w:t>2.1</w:t>
            </w:r>
          </w:p>
        </w:tc>
      </w:tr>
      <w:tr w:rsidR="006E51BF" w:rsidRPr="005825E0" w14:paraId="774454D4" w14:textId="77777777" w:rsidTr="00785A35">
        <w:trPr>
          <w:cnfStyle w:val="000000100000" w:firstRow="0" w:lastRow="0" w:firstColumn="0" w:lastColumn="0" w:oddVBand="0" w:evenVBand="0" w:oddHBand="1" w:evenHBand="0" w:firstRowFirstColumn="0" w:firstRowLastColumn="0" w:lastRowFirstColumn="0" w:lastRowLastColumn="0"/>
          <w:trHeight w:val="270"/>
        </w:trPr>
        <w:tc>
          <w:tcPr>
            <w:tcW w:w="3383" w:type="pct"/>
            <w:tcBorders>
              <w:top w:val="single" w:sz="4" w:space="0" w:color="BFBFBF" w:themeColor="accent2"/>
              <w:bottom w:val="single" w:sz="4" w:space="0" w:color="000000" w:themeColor="text1"/>
            </w:tcBorders>
            <w:noWrap/>
            <w:hideMark/>
          </w:tcPr>
          <w:p w14:paraId="382A8835" w14:textId="77777777" w:rsidR="006E51BF" w:rsidRPr="005825E0" w:rsidRDefault="006E51BF">
            <w:pPr>
              <w:pStyle w:val="ARfintabletext"/>
              <w:rPr>
                <w:lang w:eastAsia="en-AU"/>
              </w:rPr>
            </w:pPr>
            <w:r w:rsidRPr="005825E0">
              <w:rPr>
                <w:lang w:eastAsia="en-AU"/>
              </w:rPr>
              <w:t>Non-current liability</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52B81BB7" w14:textId="77777777" w:rsidR="006E51BF" w:rsidRPr="005C3FF5" w:rsidRDefault="006E51BF">
            <w:pPr>
              <w:pStyle w:val="ARfintabletextright"/>
            </w:pPr>
            <w:r w:rsidRPr="005C3FF5">
              <w:t>15.3</w:t>
            </w:r>
          </w:p>
        </w:tc>
        <w:tc>
          <w:tcPr>
            <w:tcW w:w="809" w:type="pct"/>
            <w:tcBorders>
              <w:top w:val="single" w:sz="4" w:space="0" w:color="BFBFBF" w:themeColor="accent2"/>
              <w:bottom w:val="single" w:sz="4" w:space="0" w:color="000000" w:themeColor="text1"/>
            </w:tcBorders>
            <w:noWrap/>
            <w:tcMar>
              <w:right w:w="0" w:type="nil"/>
            </w:tcMar>
            <w:hideMark/>
          </w:tcPr>
          <w:p w14:paraId="7C0C19BD" w14:textId="77777777" w:rsidR="006E51BF" w:rsidRPr="005C3FF5"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5C3FF5">
              <w:t>17.2</w:t>
            </w:r>
          </w:p>
        </w:tc>
      </w:tr>
      <w:tr w:rsidR="006E51BF" w:rsidRPr="005825E0" w14:paraId="05140F7F" w14:textId="77777777" w:rsidTr="00785A35">
        <w:trPr>
          <w:cnfStyle w:val="000000010000" w:firstRow="0" w:lastRow="0" w:firstColumn="0" w:lastColumn="0" w:oddVBand="0" w:evenVBand="0" w:oddHBand="0" w:evenHBand="1" w:firstRowFirstColumn="0" w:firstRowLastColumn="0" w:lastRowFirstColumn="0" w:lastRowLastColumn="0"/>
          <w:trHeight w:val="290"/>
        </w:trPr>
        <w:tc>
          <w:tcPr>
            <w:tcW w:w="3383" w:type="pct"/>
            <w:tcBorders>
              <w:top w:val="single" w:sz="4" w:space="0" w:color="000000" w:themeColor="text1"/>
              <w:bottom w:val="single" w:sz="4" w:space="0" w:color="000000" w:themeColor="text1"/>
            </w:tcBorders>
            <w:noWrap/>
            <w:hideMark/>
          </w:tcPr>
          <w:p w14:paraId="13773BE2" w14:textId="77777777" w:rsidR="006E51BF" w:rsidRPr="005825E0" w:rsidRDefault="006E51BF">
            <w:pPr>
              <w:pStyle w:val="ARfintabletextbold"/>
              <w:rPr>
                <w:lang w:eastAsia="en-AU"/>
              </w:rPr>
            </w:pPr>
            <w:r w:rsidRPr="005825E0">
              <w:rPr>
                <w:lang w:eastAsia="en-AU"/>
              </w:rPr>
              <w:t>Total liability</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6041121C" w14:textId="77777777" w:rsidR="006E51BF" w:rsidRPr="00097CC5" w:rsidRDefault="006E51BF">
            <w:pPr>
              <w:pStyle w:val="ARfintabletextright"/>
              <w:rPr>
                <w:b/>
              </w:rPr>
            </w:pPr>
            <w:r w:rsidRPr="00097CC5">
              <w:rPr>
                <w:b/>
              </w:rPr>
              <w:t>17.3</w:t>
            </w:r>
          </w:p>
        </w:tc>
        <w:tc>
          <w:tcPr>
            <w:tcW w:w="809" w:type="pct"/>
            <w:tcBorders>
              <w:top w:val="single" w:sz="4" w:space="0" w:color="000000" w:themeColor="text1"/>
              <w:bottom w:val="single" w:sz="4" w:space="0" w:color="000000" w:themeColor="text1"/>
            </w:tcBorders>
            <w:noWrap/>
            <w:tcMar>
              <w:right w:w="0" w:type="nil"/>
            </w:tcMar>
            <w:hideMark/>
          </w:tcPr>
          <w:p w14:paraId="3B60A12D" w14:textId="77777777" w:rsidR="006E51BF" w:rsidRPr="00097CC5" w:rsidRDefault="006E51BF">
            <w:pPr>
              <w:pStyle w:val="ARfintabletextright"/>
              <w:cnfStyle w:val="000000010000" w:firstRow="0" w:lastRow="0" w:firstColumn="0" w:lastColumn="0" w:oddVBand="0" w:evenVBand="0" w:oddHBand="0" w:evenHBand="1" w:firstRowFirstColumn="0" w:firstRowLastColumn="0" w:lastRowFirstColumn="0" w:lastRowLastColumn="0"/>
              <w:rPr>
                <w:b/>
              </w:rPr>
            </w:pPr>
            <w:r w:rsidRPr="00097CC5">
              <w:rPr>
                <w:b/>
              </w:rPr>
              <w:t>19.3</w:t>
            </w:r>
          </w:p>
        </w:tc>
      </w:tr>
      <w:tr w:rsidR="006E51BF" w:rsidRPr="005825E0" w14:paraId="2082DAB7" w14:textId="77777777" w:rsidTr="00785A35">
        <w:trPr>
          <w:cnfStyle w:val="000000100000" w:firstRow="0" w:lastRow="0" w:firstColumn="0" w:lastColumn="0" w:oddVBand="0" w:evenVBand="0" w:oddHBand="1" w:evenHBand="0" w:firstRowFirstColumn="0" w:firstRowLastColumn="0" w:lastRowFirstColumn="0" w:lastRowLastColumn="0"/>
          <w:trHeight w:val="280"/>
        </w:trPr>
        <w:tc>
          <w:tcPr>
            <w:tcW w:w="3383" w:type="pct"/>
            <w:tcBorders>
              <w:top w:val="single" w:sz="4" w:space="0" w:color="000000" w:themeColor="text1"/>
            </w:tcBorders>
            <w:noWrap/>
            <w:hideMark/>
          </w:tcPr>
          <w:p w14:paraId="6DA32DF0" w14:textId="77777777" w:rsidR="006E51BF" w:rsidRPr="005825E0" w:rsidRDefault="006E51BF">
            <w:pPr>
              <w:pStyle w:val="ARfintabletextboldcoloured"/>
              <w:rPr>
                <w:lang w:eastAsia="en-AU"/>
              </w:rPr>
            </w:pPr>
            <w:r w:rsidRPr="005825E0">
              <w:rPr>
                <w:lang w:eastAsia="en-AU"/>
              </w:rPr>
              <w:t xml:space="preserve">Principal </w:t>
            </w:r>
            <w:r w:rsidRPr="00807958">
              <w:t>actuarial</w:t>
            </w:r>
            <w:r w:rsidRPr="005825E0">
              <w:rPr>
                <w:lang w:eastAsia="en-AU"/>
              </w:rPr>
              <w:t xml:space="preserve"> assumptions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tcMar>
              <w:right w:w="0" w:type="nil"/>
            </w:tcMar>
            <w:hideMark/>
          </w:tcPr>
          <w:p w14:paraId="28262FDF" w14:textId="77777777" w:rsidR="006E51BF" w:rsidRPr="005C3FF5" w:rsidRDefault="006E51BF">
            <w:pPr>
              <w:pStyle w:val="ARfintabletextright"/>
            </w:pPr>
          </w:p>
        </w:tc>
        <w:tc>
          <w:tcPr>
            <w:tcW w:w="809" w:type="pct"/>
            <w:tcBorders>
              <w:top w:val="single" w:sz="4" w:space="0" w:color="000000" w:themeColor="text1"/>
            </w:tcBorders>
            <w:noWrap/>
            <w:tcMar>
              <w:right w:w="0" w:type="nil"/>
            </w:tcMar>
            <w:hideMark/>
          </w:tcPr>
          <w:p w14:paraId="5C075633" w14:textId="77777777" w:rsidR="006E51BF" w:rsidRPr="005C3FF5"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5825E0" w14:paraId="4C0EA1E2" w14:textId="77777777" w:rsidTr="00785A35">
        <w:trPr>
          <w:cnfStyle w:val="000000010000" w:firstRow="0" w:lastRow="0" w:firstColumn="0" w:lastColumn="0" w:oddVBand="0" w:evenVBand="0" w:oddHBand="0" w:evenHBand="1" w:firstRowFirstColumn="0" w:firstRowLastColumn="0" w:lastRowFirstColumn="0" w:lastRowLastColumn="0"/>
          <w:trHeight w:val="280"/>
        </w:trPr>
        <w:tc>
          <w:tcPr>
            <w:tcW w:w="3383" w:type="pct"/>
            <w:noWrap/>
            <w:hideMark/>
          </w:tcPr>
          <w:p w14:paraId="570D5F71" w14:textId="77777777" w:rsidR="006E51BF" w:rsidRPr="005825E0" w:rsidRDefault="006E51BF">
            <w:pPr>
              <w:pStyle w:val="ARfintabletext"/>
              <w:rPr>
                <w:lang w:eastAsia="en-AU"/>
              </w:rPr>
            </w:pPr>
            <w:r w:rsidRPr="005825E0">
              <w:rPr>
                <w:lang w:eastAsia="en-AU"/>
              </w:rPr>
              <w:t>Discount rate</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37135E66" w14:textId="77777777" w:rsidR="006E51BF" w:rsidRPr="005C3FF5" w:rsidRDefault="006E51BF">
            <w:pPr>
              <w:pStyle w:val="ARfintabletextright"/>
            </w:pPr>
            <w:r w:rsidRPr="005C3FF5">
              <w:t>5.0%</w:t>
            </w:r>
          </w:p>
        </w:tc>
        <w:tc>
          <w:tcPr>
            <w:tcW w:w="809" w:type="pct"/>
            <w:noWrap/>
            <w:tcMar>
              <w:right w:w="0" w:type="nil"/>
            </w:tcMar>
            <w:hideMark/>
          </w:tcPr>
          <w:p w14:paraId="7D193B8E" w14:textId="77777777" w:rsidR="006E51BF" w:rsidRPr="005C3FF5"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5C3FF5">
              <w:t>4.6%</w:t>
            </w:r>
          </w:p>
        </w:tc>
      </w:tr>
      <w:tr w:rsidR="006E51BF" w:rsidRPr="005825E0" w14:paraId="18D817AA" w14:textId="77777777" w:rsidTr="00785A35">
        <w:trPr>
          <w:cnfStyle w:val="000000100000" w:firstRow="0" w:lastRow="0" w:firstColumn="0" w:lastColumn="0" w:oddVBand="0" w:evenVBand="0" w:oddHBand="1" w:evenHBand="0" w:firstRowFirstColumn="0" w:firstRowLastColumn="0" w:lastRowFirstColumn="0" w:lastRowLastColumn="0"/>
          <w:trHeight w:val="280"/>
        </w:trPr>
        <w:tc>
          <w:tcPr>
            <w:tcW w:w="3383" w:type="pct"/>
            <w:noWrap/>
            <w:hideMark/>
          </w:tcPr>
          <w:p w14:paraId="68653922" w14:textId="77777777" w:rsidR="006E51BF" w:rsidRPr="005825E0" w:rsidRDefault="006E51BF">
            <w:pPr>
              <w:pStyle w:val="ARfintabletext"/>
              <w:rPr>
                <w:lang w:eastAsia="en-AU"/>
              </w:rPr>
            </w:pPr>
            <w:r w:rsidRPr="005825E0">
              <w:rPr>
                <w:lang w:eastAsia="en-AU"/>
              </w:rPr>
              <w:t>Expected return on plan assets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E4DCBFC" w14:textId="77777777" w:rsidR="006E51BF" w:rsidRPr="005C3FF5" w:rsidRDefault="006E51BF">
            <w:pPr>
              <w:pStyle w:val="ARfintabletextright"/>
            </w:pPr>
            <w:r w:rsidRPr="005C3FF5">
              <w:t>6.4%</w:t>
            </w:r>
          </w:p>
        </w:tc>
        <w:tc>
          <w:tcPr>
            <w:tcW w:w="809" w:type="pct"/>
            <w:noWrap/>
            <w:tcMar>
              <w:right w:w="0" w:type="nil"/>
            </w:tcMar>
            <w:hideMark/>
          </w:tcPr>
          <w:p w14:paraId="599734F9" w14:textId="77777777" w:rsidR="006E51BF" w:rsidRPr="005C3FF5"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5C3FF5">
              <w:t>6.4%</w:t>
            </w:r>
          </w:p>
        </w:tc>
      </w:tr>
      <w:tr w:rsidR="006E51BF" w:rsidRPr="005825E0" w14:paraId="2281B7DF" w14:textId="77777777" w:rsidTr="00785A35">
        <w:trPr>
          <w:cnfStyle w:val="000000010000" w:firstRow="0" w:lastRow="0" w:firstColumn="0" w:lastColumn="0" w:oddVBand="0" w:evenVBand="0" w:oddHBand="0" w:evenHBand="1" w:firstRowFirstColumn="0" w:firstRowLastColumn="0" w:lastRowFirstColumn="0" w:lastRowLastColumn="0"/>
          <w:trHeight w:val="280"/>
        </w:trPr>
        <w:tc>
          <w:tcPr>
            <w:tcW w:w="3383" w:type="pct"/>
            <w:tcBorders>
              <w:bottom w:val="single" w:sz="4" w:space="0" w:color="BFBFBF" w:themeColor="accent2"/>
            </w:tcBorders>
            <w:noWrap/>
            <w:hideMark/>
          </w:tcPr>
          <w:p w14:paraId="35109B1E" w14:textId="77777777" w:rsidR="006E51BF" w:rsidRPr="005825E0" w:rsidRDefault="006E51BF">
            <w:pPr>
              <w:pStyle w:val="ARfintabletext"/>
              <w:rPr>
                <w:lang w:eastAsia="en-AU"/>
              </w:rPr>
            </w:pPr>
            <w:r w:rsidRPr="005825E0">
              <w:rPr>
                <w:lang w:eastAsia="en-AU"/>
              </w:rPr>
              <w:t>Expected rate of salary increase</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591B96E1" w14:textId="77777777" w:rsidR="006E51BF" w:rsidRPr="005C3FF5" w:rsidRDefault="006E51BF">
            <w:pPr>
              <w:pStyle w:val="ARfintabletextright"/>
            </w:pPr>
            <w:r w:rsidRPr="005C3FF5">
              <w:t>3.3%</w:t>
            </w:r>
          </w:p>
        </w:tc>
        <w:tc>
          <w:tcPr>
            <w:tcW w:w="809" w:type="pct"/>
            <w:tcBorders>
              <w:bottom w:val="single" w:sz="4" w:space="0" w:color="BFBFBF" w:themeColor="accent2"/>
            </w:tcBorders>
            <w:noWrap/>
            <w:tcMar>
              <w:right w:w="0" w:type="nil"/>
            </w:tcMar>
            <w:hideMark/>
          </w:tcPr>
          <w:p w14:paraId="12780C6F" w14:textId="77777777" w:rsidR="006E51BF" w:rsidRPr="005C3FF5"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5C3FF5">
              <w:t>3.3%</w:t>
            </w:r>
          </w:p>
        </w:tc>
      </w:tr>
      <w:tr w:rsidR="006E51BF" w:rsidRPr="005825E0" w14:paraId="6BC416F3" w14:textId="77777777" w:rsidTr="00785A35">
        <w:trPr>
          <w:cnfStyle w:val="000000100000" w:firstRow="0" w:lastRow="0" w:firstColumn="0" w:lastColumn="0" w:oddVBand="0" w:evenVBand="0" w:oddHBand="1" w:evenHBand="0" w:firstRowFirstColumn="0" w:firstRowLastColumn="0" w:lastRowFirstColumn="0" w:lastRowLastColumn="0"/>
          <w:trHeight w:val="280"/>
        </w:trPr>
        <w:tc>
          <w:tcPr>
            <w:tcW w:w="3383" w:type="pct"/>
            <w:tcBorders>
              <w:top w:val="single" w:sz="4" w:space="0" w:color="BFBFBF" w:themeColor="accent2"/>
              <w:bottom w:val="single" w:sz="4" w:space="0" w:color="000000" w:themeColor="text1"/>
            </w:tcBorders>
            <w:noWrap/>
            <w:hideMark/>
          </w:tcPr>
          <w:p w14:paraId="6577ACAB" w14:textId="77777777" w:rsidR="006E51BF" w:rsidRPr="005825E0" w:rsidRDefault="006E51BF">
            <w:pPr>
              <w:pStyle w:val="ARfintabletext"/>
              <w:rPr>
                <w:lang w:eastAsia="en-AU"/>
              </w:rPr>
            </w:pPr>
            <w:r w:rsidRPr="005825E0">
              <w:rPr>
                <w:lang w:eastAsia="en-AU"/>
              </w:rPr>
              <w:t>Inflation</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3B2800FA" w14:textId="77777777" w:rsidR="006E51BF" w:rsidRPr="005C3FF5" w:rsidRDefault="006E51BF">
            <w:pPr>
              <w:pStyle w:val="ARfintabletextright"/>
            </w:pPr>
            <w:r w:rsidRPr="005C3FF5">
              <w:t>2.5%</w:t>
            </w:r>
          </w:p>
        </w:tc>
        <w:tc>
          <w:tcPr>
            <w:tcW w:w="809" w:type="pct"/>
            <w:tcBorders>
              <w:top w:val="single" w:sz="4" w:space="0" w:color="BFBFBF" w:themeColor="accent2"/>
              <w:bottom w:val="single" w:sz="4" w:space="0" w:color="000000" w:themeColor="text1"/>
            </w:tcBorders>
            <w:noWrap/>
            <w:tcMar>
              <w:right w:w="0" w:type="nil"/>
            </w:tcMar>
            <w:hideMark/>
          </w:tcPr>
          <w:p w14:paraId="08BA3D08" w14:textId="77777777" w:rsidR="006E51BF" w:rsidRPr="005C3FF5"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5C3FF5">
              <w:t>2.5%</w:t>
            </w:r>
          </w:p>
        </w:tc>
      </w:tr>
    </w:tbl>
    <w:p w14:paraId="5CB14736" w14:textId="77777777" w:rsidR="006E51BF" w:rsidRPr="005825E0" w:rsidRDefault="006E51BF">
      <w:pPr>
        <w:pStyle w:val="ARfinbodyaftertableorfigure"/>
      </w:pPr>
      <w:r w:rsidRPr="005825E0">
        <w:t>The expected return on assets assumption is determined by weighting the expected long-term return for each asset class by the target allocation of assets to each asset class and allowing for the correlations of the investment returns between asset classes. The returns used for each asset class are net of investment tax (where applicable) and investment fees.</w:t>
      </w:r>
    </w:p>
    <w:p w14:paraId="1805C1DB" w14:textId="77777777" w:rsidR="006E51BF" w:rsidRPr="005825E0" w:rsidRDefault="006E51BF">
      <w:pPr>
        <w:pStyle w:val="Heading7"/>
        <w:rPr>
          <w:lang w:eastAsia="en-AU"/>
        </w:rPr>
      </w:pPr>
      <w:r w:rsidRPr="005825E0">
        <w:rPr>
          <w:lang w:eastAsia="en-AU"/>
        </w:rPr>
        <w:t xml:space="preserve">Reconciliation of opening and closing balances of the present value of the defined benefit obligation </w:t>
      </w:r>
    </w:p>
    <w:p w14:paraId="2FEA9CDE" w14:textId="77777777" w:rsidR="006E51BF" w:rsidRPr="005825E0" w:rsidRDefault="006E51BF">
      <w:pPr>
        <w:pStyle w:val="ARfinbodybeforetableorfigure"/>
      </w:pPr>
      <w:r w:rsidRPr="005825E0">
        <w:t>Movements in the present value of the defined benefit obligation in the current period were as follows:</w:t>
      </w:r>
    </w:p>
    <w:tbl>
      <w:tblPr>
        <w:tblStyle w:val="ARtable1"/>
        <w:tblW w:w="5000" w:type="pct"/>
        <w:tblLook w:val="00E0" w:firstRow="1" w:lastRow="1" w:firstColumn="1" w:lastColumn="0" w:noHBand="0" w:noVBand="0"/>
      </w:tblPr>
      <w:tblGrid>
        <w:gridCol w:w="6514"/>
        <w:gridCol w:w="1556"/>
        <w:gridCol w:w="1558"/>
      </w:tblGrid>
      <w:tr w:rsidR="006E51BF" w:rsidRPr="005825E0" w14:paraId="2B79608B" w14:textId="77777777" w:rsidTr="00785A35">
        <w:trPr>
          <w:cnfStyle w:val="100000000000" w:firstRow="1" w:lastRow="0" w:firstColumn="0" w:lastColumn="0" w:oddVBand="0" w:evenVBand="0" w:oddHBand="0" w:evenHBand="0" w:firstRowFirstColumn="0" w:firstRowLastColumn="0" w:lastRowFirstColumn="0" w:lastRowLastColumn="0"/>
          <w:trHeight w:val="570"/>
          <w:tblHeader/>
        </w:trPr>
        <w:tc>
          <w:tcPr>
            <w:tcW w:w="3383" w:type="pct"/>
            <w:noWrap/>
          </w:tcPr>
          <w:p w14:paraId="5690ADDD" w14:textId="77777777" w:rsidR="006E51BF" w:rsidRPr="005825E0"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76AE07D" w14:textId="77777777" w:rsidR="006E51BF" w:rsidRPr="005825E0" w:rsidRDefault="006E51BF">
            <w:pPr>
              <w:pStyle w:val="ARfintablecolheadright"/>
              <w:rPr>
                <w:lang w:eastAsia="en-AU"/>
              </w:rPr>
            </w:pPr>
            <w:r w:rsidRPr="005825E0">
              <w:rPr>
                <w:lang w:eastAsia="en-AU"/>
              </w:rPr>
              <w:t>2026</w:t>
            </w:r>
          </w:p>
          <w:p w14:paraId="2A32CFC9" w14:textId="77777777" w:rsidR="006E51BF" w:rsidRPr="005825E0" w:rsidRDefault="006E51BF">
            <w:pPr>
              <w:pStyle w:val="ARfintablecolheadright"/>
              <w:rPr>
                <w:lang w:eastAsia="en-AU"/>
              </w:rPr>
            </w:pPr>
            <w:r w:rsidRPr="005825E0">
              <w:rPr>
                <w:lang w:eastAsia="en-AU"/>
              </w:rPr>
              <w:t>$M</w:t>
            </w:r>
          </w:p>
        </w:tc>
        <w:tc>
          <w:tcPr>
            <w:tcW w:w="809" w:type="pct"/>
            <w:noWrap/>
            <w:tcMar>
              <w:right w:w="0" w:type="nil"/>
            </w:tcMar>
            <w:hideMark/>
          </w:tcPr>
          <w:p w14:paraId="7A5A2A95" w14:textId="77777777" w:rsidR="006E51BF" w:rsidRPr="005825E0"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lang w:eastAsia="en-AU"/>
              </w:rPr>
            </w:pPr>
            <w:r w:rsidRPr="005825E0">
              <w:rPr>
                <w:color w:val="000000"/>
                <w:lang w:eastAsia="en-AU"/>
              </w:rPr>
              <w:t>2025</w:t>
            </w:r>
          </w:p>
          <w:p w14:paraId="70208ACA" w14:textId="77777777" w:rsidR="006E51BF" w:rsidRPr="005825E0"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lang w:eastAsia="en-AU"/>
              </w:rPr>
            </w:pPr>
            <w:r w:rsidRPr="005825E0">
              <w:rPr>
                <w:lang w:eastAsia="en-AU"/>
              </w:rPr>
              <w:t>$M</w:t>
            </w:r>
          </w:p>
        </w:tc>
      </w:tr>
      <w:tr w:rsidR="006E51BF" w:rsidRPr="005825E0" w14:paraId="591C75AD" w14:textId="77777777" w:rsidTr="00785A35">
        <w:trPr>
          <w:cnfStyle w:val="000000100000" w:firstRow="0" w:lastRow="0" w:firstColumn="0" w:lastColumn="0" w:oddVBand="0" w:evenVBand="0" w:oddHBand="1" w:evenHBand="0" w:firstRowFirstColumn="0" w:firstRowLastColumn="0" w:lastRowFirstColumn="0" w:lastRowLastColumn="0"/>
          <w:trHeight w:val="280"/>
        </w:trPr>
        <w:tc>
          <w:tcPr>
            <w:tcW w:w="3383" w:type="pct"/>
            <w:noWrap/>
          </w:tcPr>
          <w:p w14:paraId="6A798365" w14:textId="77777777" w:rsidR="006E51BF" w:rsidRPr="005825E0" w:rsidRDefault="006E51BF">
            <w:pPr>
              <w:pStyle w:val="ARfintabletextbold"/>
              <w:rPr>
                <w:lang w:eastAsia="en-AU"/>
              </w:rPr>
            </w:pPr>
            <w:r w:rsidRPr="005825E0">
              <w:rPr>
                <w:lang w:eastAsia="en-AU"/>
              </w:rPr>
              <w:t>Opening balance of defined benefit obligation</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tcPr>
          <w:p w14:paraId="52B29DCB" w14:textId="77777777" w:rsidR="006E51BF" w:rsidRPr="005825E0" w:rsidRDefault="006E51BF">
            <w:pPr>
              <w:pStyle w:val="ARfintablecolheadright"/>
              <w:rPr>
                <w:lang w:eastAsia="en-AU"/>
              </w:rPr>
            </w:pPr>
            <w:r w:rsidRPr="005825E0">
              <w:rPr>
                <w:lang w:eastAsia="en-AU"/>
              </w:rPr>
              <w:t>19.3</w:t>
            </w:r>
          </w:p>
        </w:tc>
        <w:tc>
          <w:tcPr>
            <w:tcW w:w="809" w:type="pct"/>
            <w:noWrap/>
            <w:tcMar>
              <w:right w:w="0" w:type="nil"/>
            </w:tcMar>
          </w:tcPr>
          <w:p w14:paraId="295C685D" w14:textId="77777777" w:rsidR="006E51BF" w:rsidRPr="005825E0" w:rsidRDefault="006E51BF">
            <w:pPr>
              <w:pStyle w:val="ARfintablecolheadright"/>
              <w:cnfStyle w:val="000000100000" w:firstRow="0" w:lastRow="0" w:firstColumn="0" w:lastColumn="0" w:oddVBand="0" w:evenVBand="0" w:oddHBand="1" w:evenHBand="0" w:firstRowFirstColumn="0" w:firstRowLastColumn="0" w:lastRowFirstColumn="0" w:lastRowLastColumn="0"/>
              <w:rPr>
                <w:lang w:eastAsia="en-AU"/>
              </w:rPr>
            </w:pPr>
            <w:r w:rsidRPr="005825E0">
              <w:rPr>
                <w:lang w:eastAsia="en-AU"/>
              </w:rPr>
              <w:t>20.3</w:t>
            </w:r>
          </w:p>
        </w:tc>
      </w:tr>
      <w:tr w:rsidR="006E51BF" w:rsidRPr="005825E0" w14:paraId="3AE4C5C3" w14:textId="77777777" w:rsidTr="00785A35">
        <w:trPr>
          <w:cnfStyle w:val="000000010000" w:firstRow="0" w:lastRow="0" w:firstColumn="0" w:lastColumn="0" w:oddVBand="0" w:evenVBand="0" w:oddHBand="0" w:evenHBand="1" w:firstRowFirstColumn="0" w:firstRowLastColumn="0" w:lastRowFirstColumn="0" w:lastRowLastColumn="0"/>
          <w:trHeight w:val="280"/>
        </w:trPr>
        <w:tc>
          <w:tcPr>
            <w:tcW w:w="3383" w:type="pct"/>
            <w:noWrap/>
            <w:hideMark/>
          </w:tcPr>
          <w:p w14:paraId="33DB4909" w14:textId="77777777" w:rsidR="006E51BF" w:rsidRPr="005825E0" w:rsidRDefault="006E51BF">
            <w:pPr>
              <w:pStyle w:val="ARfintabletext"/>
              <w:rPr>
                <w:lang w:eastAsia="en-AU"/>
              </w:rPr>
            </w:pPr>
            <w:r w:rsidRPr="005825E0">
              <w:rPr>
                <w:lang w:eastAsia="en-AU"/>
              </w:rPr>
              <w:t>Interest cost</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7E8DBA47" w14:textId="77777777" w:rsidR="006E51BF" w:rsidRPr="005825E0" w:rsidRDefault="006E51BF">
            <w:pPr>
              <w:pStyle w:val="ARfintabletextright"/>
              <w:rPr>
                <w:lang w:eastAsia="en-AU"/>
              </w:rPr>
            </w:pPr>
            <w:r w:rsidRPr="005825E0">
              <w:rPr>
                <w:lang w:eastAsia="en-AU"/>
              </w:rPr>
              <w:t>0.8</w:t>
            </w:r>
          </w:p>
        </w:tc>
        <w:tc>
          <w:tcPr>
            <w:tcW w:w="809" w:type="pct"/>
            <w:noWrap/>
            <w:tcMar>
              <w:right w:w="0" w:type="nil"/>
            </w:tcMar>
            <w:hideMark/>
          </w:tcPr>
          <w:p w14:paraId="1E303818" w14:textId="77777777" w:rsidR="006E51BF" w:rsidRPr="005825E0"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5825E0">
              <w:rPr>
                <w:lang w:eastAsia="en-AU"/>
              </w:rPr>
              <w:t>0.9</w:t>
            </w:r>
          </w:p>
        </w:tc>
      </w:tr>
      <w:tr w:rsidR="006E51BF" w:rsidRPr="005825E0" w14:paraId="1BCA3EB4" w14:textId="77777777" w:rsidTr="00785A35">
        <w:trPr>
          <w:cnfStyle w:val="000000100000" w:firstRow="0" w:lastRow="0" w:firstColumn="0" w:lastColumn="0" w:oddVBand="0" w:evenVBand="0" w:oddHBand="1" w:evenHBand="0" w:firstRowFirstColumn="0" w:firstRowLastColumn="0" w:lastRowFirstColumn="0" w:lastRowLastColumn="0"/>
          <w:trHeight w:val="280"/>
        </w:trPr>
        <w:tc>
          <w:tcPr>
            <w:tcW w:w="3383" w:type="pct"/>
            <w:noWrap/>
            <w:hideMark/>
          </w:tcPr>
          <w:p w14:paraId="7583A9E5" w14:textId="77777777" w:rsidR="006E51BF" w:rsidRPr="005825E0" w:rsidRDefault="006E51BF">
            <w:pPr>
              <w:pStyle w:val="ARfintabletext"/>
              <w:rPr>
                <w:lang w:eastAsia="en-AU"/>
              </w:rPr>
            </w:pPr>
            <w:r w:rsidRPr="005825E0">
              <w:rPr>
                <w:lang w:eastAsia="en-AU"/>
              </w:rPr>
              <w:t>Actuarial losses/(gains)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5719B126" w14:textId="77777777" w:rsidR="006E51BF" w:rsidRPr="005825E0" w:rsidRDefault="006E51BF">
            <w:pPr>
              <w:pStyle w:val="ARfintabletextright"/>
              <w:rPr>
                <w:lang w:eastAsia="en-AU"/>
              </w:rPr>
            </w:pPr>
            <w:r w:rsidRPr="005825E0">
              <w:rPr>
                <w:lang w:eastAsia="en-AU"/>
              </w:rPr>
              <w:t>(0.7)</w:t>
            </w:r>
          </w:p>
        </w:tc>
        <w:tc>
          <w:tcPr>
            <w:tcW w:w="809" w:type="pct"/>
            <w:noWrap/>
            <w:tcMar>
              <w:right w:w="0" w:type="nil"/>
            </w:tcMar>
            <w:hideMark/>
          </w:tcPr>
          <w:p w14:paraId="0FADDB7F" w14:textId="77777777" w:rsidR="006E51BF" w:rsidRPr="005825E0"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5825E0">
              <w:rPr>
                <w:lang w:eastAsia="en-AU"/>
              </w:rPr>
              <w:t>0.3</w:t>
            </w:r>
          </w:p>
        </w:tc>
      </w:tr>
      <w:tr w:rsidR="006E51BF" w:rsidRPr="005825E0" w14:paraId="70BAA033" w14:textId="77777777" w:rsidTr="00785A35">
        <w:trPr>
          <w:cnfStyle w:val="000000010000" w:firstRow="0" w:lastRow="0" w:firstColumn="0" w:lastColumn="0" w:oddVBand="0" w:evenVBand="0" w:oddHBand="0" w:evenHBand="1" w:firstRowFirstColumn="0" w:firstRowLastColumn="0" w:lastRowFirstColumn="0" w:lastRowLastColumn="0"/>
          <w:trHeight w:val="280"/>
        </w:trPr>
        <w:tc>
          <w:tcPr>
            <w:tcW w:w="3383" w:type="pct"/>
            <w:noWrap/>
            <w:hideMark/>
          </w:tcPr>
          <w:p w14:paraId="38D42F45" w14:textId="77777777" w:rsidR="006E51BF" w:rsidRPr="005825E0" w:rsidRDefault="006E51BF">
            <w:pPr>
              <w:pStyle w:val="ARfintabletext"/>
              <w:rPr>
                <w:lang w:eastAsia="en-AU"/>
              </w:rPr>
            </w:pPr>
            <w:r w:rsidRPr="005825E0">
              <w:rPr>
                <w:lang w:eastAsia="en-AU"/>
              </w:rPr>
              <w:t>Benefits paid</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3F264687" w14:textId="77777777" w:rsidR="006E51BF" w:rsidRPr="005825E0" w:rsidRDefault="006E51BF">
            <w:pPr>
              <w:pStyle w:val="ARfintabletextright"/>
              <w:rPr>
                <w:lang w:eastAsia="en-AU"/>
              </w:rPr>
            </w:pPr>
            <w:r w:rsidRPr="005825E0">
              <w:rPr>
                <w:lang w:eastAsia="en-AU"/>
              </w:rPr>
              <w:t>(2.1)</w:t>
            </w:r>
          </w:p>
        </w:tc>
        <w:tc>
          <w:tcPr>
            <w:tcW w:w="809" w:type="pct"/>
            <w:noWrap/>
            <w:tcMar>
              <w:right w:w="0" w:type="nil"/>
            </w:tcMar>
            <w:hideMark/>
          </w:tcPr>
          <w:p w14:paraId="3A6C886D" w14:textId="77777777" w:rsidR="006E51BF" w:rsidRPr="005825E0"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5825E0">
              <w:rPr>
                <w:lang w:eastAsia="en-AU"/>
              </w:rPr>
              <w:t>(2.1)</w:t>
            </w:r>
          </w:p>
        </w:tc>
      </w:tr>
      <w:tr w:rsidR="006E51BF" w:rsidRPr="005825E0" w14:paraId="5760D933" w14:textId="77777777" w:rsidTr="00785A35">
        <w:trPr>
          <w:cnfStyle w:val="010000000000" w:firstRow="0" w:lastRow="1" w:firstColumn="0" w:lastColumn="0" w:oddVBand="0" w:evenVBand="0" w:oddHBand="0" w:evenHBand="0" w:firstRowFirstColumn="0" w:firstRowLastColumn="0" w:lastRowFirstColumn="0" w:lastRowLastColumn="0"/>
          <w:trHeight w:val="280"/>
        </w:trPr>
        <w:tc>
          <w:tcPr>
            <w:tcW w:w="3383" w:type="pct"/>
            <w:noWrap/>
          </w:tcPr>
          <w:p w14:paraId="42A0C63A" w14:textId="77777777" w:rsidR="006E51BF" w:rsidRPr="005825E0" w:rsidRDefault="006E51BF">
            <w:pPr>
              <w:pStyle w:val="ARfintabletextbold"/>
              <w:rPr>
                <w:lang w:eastAsia="en-AU"/>
              </w:rPr>
            </w:pPr>
            <w:r w:rsidRPr="005825E0">
              <w:rPr>
                <w:lang w:eastAsia="en-AU"/>
              </w:rPr>
              <w:t>Closing balance of defined benefit obligation</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tcPr>
          <w:p w14:paraId="2CE18918" w14:textId="77777777" w:rsidR="006E51BF" w:rsidRPr="005825E0" w:rsidRDefault="006E51BF">
            <w:pPr>
              <w:pStyle w:val="ARfintablecolheadright"/>
              <w:rPr>
                <w:lang w:eastAsia="en-AU"/>
              </w:rPr>
            </w:pPr>
            <w:r w:rsidRPr="005825E0">
              <w:rPr>
                <w:lang w:eastAsia="en-AU"/>
              </w:rPr>
              <w:t>17.3</w:t>
            </w:r>
          </w:p>
        </w:tc>
        <w:tc>
          <w:tcPr>
            <w:tcW w:w="809" w:type="pct"/>
            <w:noWrap/>
            <w:tcMar>
              <w:right w:w="0" w:type="nil"/>
            </w:tcMar>
          </w:tcPr>
          <w:p w14:paraId="63553861" w14:textId="77777777" w:rsidR="006E51BF" w:rsidRPr="005825E0" w:rsidRDefault="006E51BF">
            <w:pPr>
              <w:pStyle w:val="ARfintablecolheadright"/>
              <w:cnfStyle w:val="010000000000" w:firstRow="0" w:lastRow="1" w:firstColumn="0" w:lastColumn="0" w:oddVBand="0" w:evenVBand="0" w:oddHBand="0" w:evenHBand="0" w:firstRowFirstColumn="0" w:firstRowLastColumn="0" w:lastRowFirstColumn="0" w:lastRowLastColumn="0"/>
              <w:rPr>
                <w:lang w:eastAsia="en-AU"/>
              </w:rPr>
            </w:pPr>
            <w:r w:rsidRPr="005825E0">
              <w:rPr>
                <w:lang w:eastAsia="en-AU"/>
              </w:rPr>
              <w:t>19.3</w:t>
            </w:r>
          </w:p>
        </w:tc>
      </w:tr>
    </w:tbl>
    <w:p w14:paraId="57DA1FF0" w14:textId="77777777" w:rsidR="00990A53" w:rsidRDefault="00990A53">
      <w:pPr>
        <w:spacing w:after="0" w:line="240" w:lineRule="auto"/>
        <w:rPr>
          <w:rFonts w:asciiTheme="majorHAnsi" w:eastAsiaTheme="majorEastAsia" w:hAnsiTheme="majorHAnsi" w:cstheme="majorBidi"/>
          <w:b/>
          <w:color w:val="000000" w:themeColor="text1"/>
        </w:rPr>
      </w:pPr>
      <w:r>
        <w:br w:type="page"/>
      </w:r>
    </w:p>
    <w:p w14:paraId="6C8A7480" w14:textId="64597B40" w:rsidR="006E51BF" w:rsidRPr="00AC4F97" w:rsidRDefault="006E51BF">
      <w:pPr>
        <w:pStyle w:val="Heading6"/>
      </w:pPr>
      <w:r w:rsidRPr="00AC4F97">
        <w:t>3.1.1 (c) Superannuation contributions</w:t>
      </w:r>
    </w:p>
    <w:p w14:paraId="16A44884" w14:textId="165AB4AE" w:rsidR="006E51BF" w:rsidRDefault="006E51BF">
      <w:pPr>
        <w:pStyle w:val="ARfinbody"/>
        <w:rPr>
          <w:lang w:eastAsia="en-AU"/>
        </w:rPr>
      </w:pPr>
      <w:r w:rsidRPr="00AC4F97">
        <w:rPr>
          <w:lang w:eastAsia="en-AU"/>
        </w:rPr>
        <w:t xml:space="preserve">Employees of the department are entitled to receive superannuation </w:t>
      </w:r>
      <w:proofErr w:type="gramStart"/>
      <w:r w:rsidRPr="00AC4F97">
        <w:rPr>
          <w:lang w:eastAsia="en-AU"/>
        </w:rPr>
        <w:t>benefits</w:t>
      </w:r>
      <w:proofErr w:type="gramEnd"/>
      <w:r w:rsidRPr="00AC4F97">
        <w:rPr>
          <w:lang w:eastAsia="en-AU"/>
        </w:rPr>
        <w:t xml:space="preserve"> and the department contributes to both defined benefit and defined contribution plans. The defined benefit plans provide benefits based on years of service and</w:t>
      </w:r>
      <w:r w:rsidR="00610A6F">
        <w:rPr>
          <w:lang w:eastAsia="en-AU"/>
        </w:rPr>
        <w:t> </w:t>
      </w:r>
      <w:r w:rsidRPr="00AC4F97">
        <w:rPr>
          <w:lang w:eastAsia="en-AU"/>
        </w:rPr>
        <w:t>final average salary.</w:t>
      </w:r>
    </w:p>
    <w:p w14:paraId="377EA6BA" w14:textId="77777777" w:rsidR="006E51BF" w:rsidRPr="00AC4F97" w:rsidRDefault="006E51BF">
      <w:pPr>
        <w:pStyle w:val="ARfinbodybeforetableorfigure"/>
      </w:pPr>
      <w:r w:rsidRPr="00AC4F97">
        <w:t>Other than former employees of Homes Victoria, the defined benefit liability is recognised in the Department of Treasury and Finance as an administered liability. However, the department is still required to make minimum superannuation contributions under Enterprise agreements and legislation, and the contributions paid or payable for the reporting period are included as part of employee benefits in the comprehensive operating statement of the department.</w:t>
      </w:r>
    </w:p>
    <w:tbl>
      <w:tblPr>
        <w:tblStyle w:val="ARtable1"/>
        <w:tblW w:w="0" w:type="auto"/>
        <w:tblLayout w:type="fixed"/>
        <w:tblLook w:val="04E0" w:firstRow="1" w:lastRow="1" w:firstColumn="1" w:lastColumn="0" w:noHBand="0" w:noVBand="1"/>
      </w:tblPr>
      <w:tblGrid>
        <w:gridCol w:w="2506"/>
        <w:gridCol w:w="1779"/>
        <w:gridCol w:w="1781"/>
        <w:gridCol w:w="1781"/>
        <w:gridCol w:w="1781"/>
      </w:tblGrid>
      <w:tr w:rsidR="006E51BF" w:rsidRPr="00AC4F97" w14:paraId="01768913" w14:textId="77777777" w:rsidTr="00785A35">
        <w:trPr>
          <w:cnfStyle w:val="100000000000" w:firstRow="1" w:lastRow="0" w:firstColumn="0" w:lastColumn="0" w:oddVBand="0" w:evenVBand="0" w:oddHBand="0" w:evenHBand="0" w:firstRowFirstColumn="0" w:firstRowLastColumn="0" w:lastRowFirstColumn="0" w:lastRowLastColumn="0"/>
          <w:trHeight w:val="20"/>
          <w:tblHeader/>
        </w:trPr>
        <w:tc>
          <w:tcPr>
            <w:tcW w:w="2506" w:type="dxa"/>
            <w:noWrap/>
            <w:hideMark/>
          </w:tcPr>
          <w:p w14:paraId="31F589BA" w14:textId="77777777" w:rsidR="006E51BF" w:rsidRPr="00AC4F97" w:rsidRDefault="006E51BF">
            <w:pPr>
              <w:pStyle w:val="ARfintablecolhead"/>
              <w:rPr>
                <w:rFonts w:ascii="Verdana" w:hAnsi="Verdana"/>
                <w:bCs/>
                <w:lang w:eastAsia="en-AU"/>
              </w:rPr>
            </w:pPr>
          </w:p>
        </w:tc>
        <w:tc>
          <w:tcPr>
            <w:tcW w:w="1779" w:type="dxa"/>
            <w:tcBorders>
              <w:top w:val="single" w:sz="4" w:space="0" w:color="000000" w:themeColor="text1"/>
            </w:tcBorders>
            <w:shd w:val="clear" w:color="auto" w:fill="E7E6E6" w:themeFill="background2"/>
            <w:noWrap/>
            <w:tcMar>
              <w:right w:w="0" w:type="nil"/>
            </w:tcMar>
            <w:hideMark/>
          </w:tcPr>
          <w:p w14:paraId="2806742A" w14:textId="56B5D8AE" w:rsidR="00E24E79" w:rsidRDefault="00E24E79" w:rsidP="00610A6F">
            <w:pPr>
              <w:pStyle w:val="ARfintablecolheadright"/>
              <w:rPr>
                <w:lang w:eastAsia="en-AU"/>
              </w:rPr>
            </w:pPr>
            <w:r w:rsidRPr="00610A6F">
              <w:t>Paid contribution for the year</w:t>
            </w:r>
          </w:p>
          <w:p w14:paraId="33B164EF" w14:textId="1E6F1F0A" w:rsidR="006E51BF" w:rsidRPr="00610A6F" w:rsidRDefault="006E51BF" w:rsidP="00610A6F">
            <w:pPr>
              <w:pStyle w:val="ARfintablecolheadright"/>
              <w:rPr>
                <w:lang w:eastAsia="en-AU"/>
              </w:rPr>
            </w:pPr>
            <w:r w:rsidRPr="00610A6F">
              <w:rPr>
                <w:lang w:eastAsia="en-AU"/>
              </w:rPr>
              <w:t>2026</w:t>
            </w:r>
          </w:p>
          <w:p w14:paraId="3779FFCA" w14:textId="77777777" w:rsidR="006E51BF" w:rsidRPr="00610A6F" w:rsidRDefault="006E51BF" w:rsidP="00610A6F">
            <w:pPr>
              <w:pStyle w:val="ARfintablecolheadright"/>
              <w:rPr>
                <w:lang w:eastAsia="en-AU"/>
              </w:rPr>
            </w:pPr>
            <w:r w:rsidRPr="00610A6F">
              <w:rPr>
                <w:lang w:eastAsia="en-AU"/>
              </w:rPr>
              <w:t>$M</w:t>
            </w:r>
          </w:p>
        </w:tc>
        <w:tc>
          <w:tcPr>
            <w:tcW w:w="1781" w:type="dxa"/>
            <w:tcBorders>
              <w:top w:val="single" w:sz="4" w:space="0" w:color="000000" w:themeColor="text1"/>
            </w:tcBorders>
            <w:shd w:val="clear" w:color="auto" w:fill="E7E6E6" w:themeFill="background2"/>
            <w:noWrap/>
            <w:tcMar>
              <w:right w:w="0" w:type="nil"/>
            </w:tcMar>
            <w:hideMark/>
          </w:tcPr>
          <w:p w14:paraId="01FF1AE0" w14:textId="634B3179" w:rsidR="00E24E79" w:rsidRDefault="00E24E79" w:rsidP="00610A6F">
            <w:pPr>
              <w:pStyle w:val="ARfintablecolheadright"/>
              <w:rPr>
                <w:lang w:eastAsia="en-AU"/>
              </w:rPr>
            </w:pPr>
            <w:r w:rsidRPr="00610A6F">
              <w:t>Paid contribution for the year</w:t>
            </w:r>
          </w:p>
          <w:p w14:paraId="5E56AF7D" w14:textId="1AA33398" w:rsidR="006E51BF" w:rsidRPr="00610A6F" w:rsidRDefault="006E51BF" w:rsidP="00610A6F">
            <w:pPr>
              <w:pStyle w:val="ARfintablecolheadright"/>
              <w:rPr>
                <w:lang w:eastAsia="en-AU"/>
              </w:rPr>
            </w:pPr>
            <w:r w:rsidRPr="00610A6F">
              <w:rPr>
                <w:lang w:eastAsia="en-AU"/>
              </w:rPr>
              <w:t>2025</w:t>
            </w:r>
          </w:p>
          <w:p w14:paraId="3E9736B6" w14:textId="77777777" w:rsidR="006E51BF" w:rsidRPr="00610A6F" w:rsidRDefault="006E51BF" w:rsidP="00610A6F">
            <w:pPr>
              <w:pStyle w:val="ARfintablecolheadright"/>
              <w:rPr>
                <w:lang w:eastAsia="en-AU"/>
              </w:rPr>
            </w:pPr>
            <w:r w:rsidRPr="00610A6F">
              <w:rPr>
                <w:lang w:eastAsia="en-AU"/>
              </w:rPr>
              <w:t>$M</w:t>
            </w:r>
          </w:p>
        </w:tc>
        <w:tc>
          <w:tcPr>
            <w:tcW w:w="1781" w:type="dxa"/>
            <w:tcBorders>
              <w:top w:val="single" w:sz="4" w:space="0" w:color="000000" w:themeColor="text1"/>
            </w:tcBorders>
            <w:noWrap/>
            <w:tcMar>
              <w:right w:w="0" w:type="nil"/>
            </w:tcMar>
            <w:hideMark/>
          </w:tcPr>
          <w:p w14:paraId="258646E6" w14:textId="209D205B" w:rsidR="00E24E79" w:rsidRDefault="00E24E79" w:rsidP="00610A6F">
            <w:pPr>
              <w:pStyle w:val="ARfintablecolheadright"/>
              <w:rPr>
                <w:lang w:eastAsia="en-AU"/>
              </w:rPr>
            </w:pPr>
            <w:r w:rsidRPr="00610A6F">
              <w:t>Contribution outstanding at year end</w:t>
            </w:r>
          </w:p>
          <w:p w14:paraId="4A1AB7F6" w14:textId="32B6AFE2" w:rsidR="006E51BF" w:rsidRPr="00610A6F" w:rsidRDefault="006E51BF" w:rsidP="00610A6F">
            <w:pPr>
              <w:pStyle w:val="ARfintablecolheadright"/>
              <w:rPr>
                <w:lang w:eastAsia="en-AU"/>
              </w:rPr>
            </w:pPr>
            <w:r w:rsidRPr="00610A6F">
              <w:rPr>
                <w:lang w:eastAsia="en-AU"/>
              </w:rPr>
              <w:t>2026</w:t>
            </w:r>
          </w:p>
          <w:p w14:paraId="7E103C05" w14:textId="77777777" w:rsidR="006E51BF" w:rsidRPr="00610A6F" w:rsidRDefault="006E51BF" w:rsidP="00610A6F">
            <w:pPr>
              <w:pStyle w:val="ARfintablecolheadright"/>
              <w:rPr>
                <w:lang w:eastAsia="en-AU"/>
              </w:rPr>
            </w:pPr>
            <w:r w:rsidRPr="00610A6F">
              <w:rPr>
                <w:lang w:eastAsia="en-AU"/>
              </w:rPr>
              <w:t>$M</w:t>
            </w:r>
          </w:p>
        </w:tc>
        <w:tc>
          <w:tcPr>
            <w:tcW w:w="1781" w:type="dxa"/>
            <w:tcBorders>
              <w:top w:val="single" w:sz="4" w:space="0" w:color="000000" w:themeColor="text1"/>
            </w:tcBorders>
            <w:noWrap/>
            <w:tcMar>
              <w:right w:w="0" w:type="nil"/>
            </w:tcMar>
            <w:hideMark/>
          </w:tcPr>
          <w:p w14:paraId="5100734C" w14:textId="1288AE8D" w:rsidR="00E24E79" w:rsidRDefault="00E24E79" w:rsidP="00610A6F">
            <w:pPr>
              <w:pStyle w:val="ARfintablecolheadright"/>
              <w:rPr>
                <w:lang w:eastAsia="en-AU"/>
              </w:rPr>
            </w:pPr>
            <w:r w:rsidRPr="00610A6F">
              <w:t>Contribution outstanding at year end</w:t>
            </w:r>
          </w:p>
          <w:p w14:paraId="4FDB7BFC" w14:textId="2B5AAF36" w:rsidR="006E51BF" w:rsidRPr="00610A6F" w:rsidRDefault="006E51BF" w:rsidP="00610A6F">
            <w:pPr>
              <w:pStyle w:val="ARfintablecolheadright"/>
              <w:rPr>
                <w:lang w:eastAsia="en-AU"/>
              </w:rPr>
            </w:pPr>
            <w:r w:rsidRPr="00610A6F">
              <w:rPr>
                <w:lang w:eastAsia="en-AU"/>
              </w:rPr>
              <w:t>2025</w:t>
            </w:r>
          </w:p>
          <w:p w14:paraId="3230493D" w14:textId="77777777" w:rsidR="006E51BF" w:rsidRPr="00610A6F" w:rsidRDefault="006E51BF" w:rsidP="00610A6F">
            <w:pPr>
              <w:pStyle w:val="ARfintablecolheadright"/>
              <w:rPr>
                <w:lang w:eastAsia="en-AU"/>
              </w:rPr>
            </w:pPr>
            <w:r w:rsidRPr="00610A6F">
              <w:rPr>
                <w:lang w:eastAsia="en-AU"/>
              </w:rPr>
              <w:t>$M</w:t>
            </w:r>
          </w:p>
        </w:tc>
      </w:tr>
      <w:tr w:rsidR="006E51BF" w:rsidRPr="00AC4F97" w14:paraId="14056EBA"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2506" w:type="dxa"/>
            <w:noWrap/>
            <w:hideMark/>
          </w:tcPr>
          <w:p w14:paraId="3B753E32" w14:textId="77777777" w:rsidR="006E51BF" w:rsidRPr="00AC4F97" w:rsidRDefault="006E51BF">
            <w:pPr>
              <w:pStyle w:val="ARfintabletextboldcoloured"/>
              <w:rPr>
                <w:lang w:eastAsia="en-AU"/>
              </w:rPr>
            </w:pPr>
            <w:r w:rsidRPr="00AC4F97">
              <w:rPr>
                <w:lang w:eastAsia="en-AU"/>
              </w:rPr>
              <w:t>Defined benefit plans</w:t>
            </w:r>
          </w:p>
        </w:tc>
        <w:tc>
          <w:tcPr>
            <w:tcW w:w="1779" w:type="dxa"/>
            <w:noWrap/>
            <w:tcMar>
              <w:right w:w="0" w:type="nil"/>
            </w:tcMar>
            <w:hideMark/>
          </w:tcPr>
          <w:p w14:paraId="1BDFE905" w14:textId="77777777" w:rsidR="006E51BF" w:rsidRPr="00AB2A6C" w:rsidRDefault="006E51BF">
            <w:pPr>
              <w:pStyle w:val="ARfintabletextright"/>
            </w:pPr>
          </w:p>
        </w:tc>
        <w:tc>
          <w:tcPr>
            <w:tcW w:w="1781" w:type="dxa"/>
            <w:noWrap/>
            <w:tcMar>
              <w:right w:w="0" w:type="nil"/>
            </w:tcMar>
            <w:hideMark/>
          </w:tcPr>
          <w:p w14:paraId="77FB367C" w14:textId="77777777" w:rsidR="006E51BF" w:rsidRPr="00AB2A6C" w:rsidRDefault="006E51BF">
            <w:pPr>
              <w:pStyle w:val="ARfintabletextright"/>
            </w:pPr>
          </w:p>
        </w:tc>
        <w:tc>
          <w:tcPr>
            <w:tcW w:w="1781" w:type="dxa"/>
            <w:noWrap/>
            <w:tcMar>
              <w:right w:w="0" w:type="nil"/>
            </w:tcMar>
            <w:hideMark/>
          </w:tcPr>
          <w:p w14:paraId="7B6632CC" w14:textId="77777777" w:rsidR="006E51BF" w:rsidRPr="00AB2A6C" w:rsidRDefault="006E51BF">
            <w:pPr>
              <w:pStyle w:val="ARfintabletextright"/>
            </w:pPr>
          </w:p>
        </w:tc>
        <w:tc>
          <w:tcPr>
            <w:tcW w:w="1781" w:type="dxa"/>
            <w:noWrap/>
            <w:tcMar>
              <w:right w:w="0" w:type="nil"/>
            </w:tcMar>
            <w:hideMark/>
          </w:tcPr>
          <w:p w14:paraId="1AB7B0C6" w14:textId="77777777" w:rsidR="006E51BF" w:rsidRPr="00AB2A6C" w:rsidRDefault="006E51BF">
            <w:pPr>
              <w:pStyle w:val="ARfintabletextright"/>
            </w:pPr>
          </w:p>
        </w:tc>
      </w:tr>
      <w:tr w:rsidR="006E51BF" w:rsidRPr="00AC4F97" w14:paraId="09C609F8"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2506" w:type="dxa"/>
            <w:noWrap/>
            <w:hideMark/>
          </w:tcPr>
          <w:p w14:paraId="2F75A465" w14:textId="77777777" w:rsidR="006E51BF" w:rsidRPr="00AC4F97" w:rsidRDefault="006E51BF">
            <w:pPr>
              <w:pStyle w:val="ARfintabletext"/>
              <w:rPr>
                <w:lang w:eastAsia="en-AU"/>
              </w:rPr>
            </w:pPr>
            <w:r w:rsidRPr="00AC4F97">
              <w:rPr>
                <w:lang w:eastAsia="en-AU"/>
              </w:rPr>
              <w:t>State superannuation fund</w:t>
            </w:r>
          </w:p>
        </w:tc>
        <w:tc>
          <w:tcPr>
            <w:tcW w:w="1779" w:type="dxa"/>
            <w:shd w:val="clear" w:color="auto" w:fill="E7E6E6" w:themeFill="background2"/>
            <w:noWrap/>
            <w:tcMar>
              <w:right w:w="0" w:type="nil"/>
            </w:tcMar>
            <w:hideMark/>
          </w:tcPr>
          <w:p w14:paraId="4F3093D4" w14:textId="77777777" w:rsidR="006E51BF" w:rsidRPr="00AB2A6C" w:rsidRDefault="006E51BF">
            <w:pPr>
              <w:pStyle w:val="ARfintabletextright"/>
            </w:pPr>
            <w:r w:rsidRPr="00AB2A6C">
              <w:t>2.4</w:t>
            </w:r>
          </w:p>
        </w:tc>
        <w:tc>
          <w:tcPr>
            <w:tcW w:w="1781" w:type="dxa"/>
            <w:shd w:val="clear" w:color="auto" w:fill="E7E6E6" w:themeFill="background2"/>
            <w:noWrap/>
            <w:tcMar>
              <w:right w:w="0" w:type="nil"/>
            </w:tcMar>
            <w:hideMark/>
          </w:tcPr>
          <w:p w14:paraId="15A3FD64" w14:textId="77777777" w:rsidR="006E51BF" w:rsidRPr="00AB2A6C" w:rsidRDefault="006E51BF">
            <w:pPr>
              <w:pStyle w:val="ARfintabletextright"/>
            </w:pPr>
            <w:r w:rsidRPr="00AB2A6C">
              <w:t>2.0</w:t>
            </w:r>
          </w:p>
        </w:tc>
        <w:tc>
          <w:tcPr>
            <w:tcW w:w="1781" w:type="dxa"/>
            <w:noWrap/>
            <w:tcMar>
              <w:right w:w="0" w:type="nil"/>
            </w:tcMar>
            <w:hideMark/>
          </w:tcPr>
          <w:p w14:paraId="4F3CA2D8" w14:textId="77777777" w:rsidR="006E51BF" w:rsidRPr="00AB2A6C" w:rsidRDefault="006E51BF">
            <w:pPr>
              <w:pStyle w:val="ARfintabletextright"/>
            </w:pPr>
            <w:r w:rsidRPr="00AB2A6C">
              <w:t>–</w:t>
            </w:r>
          </w:p>
        </w:tc>
        <w:tc>
          <w:tcPr>
            <w:tcW w:w="1781" w:type="dxa"/>
            <w:noWrap/>
            <w:tcMar>
              <w:right w:w="0" w:type="nil"/>
            </w:tcMar>
            <w:hideMark/>
          </w:tcPr>
          <w:p w14:paraId="6440172D" w14:textId="77777777" w:rsidR="006E51BF" w:rsidRPr="00AB2A6C" w:rsidRDefault="006E51BF">
            <w:pPr>
              <w:pStyle w:val="ARfintabletextright"/>
            </w:pPr>
            <w:r w:rsidRPr="00AB2A6C">
              <w:t>–</w:t>
            </w:r>
          </w:p>
        </w:tc>
      </w:tr>
      <w:tr w:rsidR="006E51BF" w:rsidRPr="00AC4F97" w14:paraId="3652F6E4"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2506" w:type="dxa"/>
            <w:noWrap/>
            <w:hideMark/>
          </w:tcPr>
          <w:p w14:paraId="0D7922CC" w14:textId="77777777" w:rsidR="006E51BF" w:rsidRPr="00AC4F97" w:rsidRDefault="006E51BF">
            <w:pPr>
              <w:pStyle w:val="ARfintabletextboldcoloured"/>
              <w:rPr>
                <w:lang w:eastAsia="en-AU"/>
              </w:rPr>
            </w:pPr>
            <w:r w:rsidRPr="00AC4F97">
              <w:rPr>
                <w:lang w:eastAsia="en-AU"/>
              </w:rPr>
              <w:t>Defined contribution plans</w:t>
            </w:r>
          </w:p>
        </w:tc>
        <w:tc>
          <w:tcPr>
            <w:tcW w:w="1779" w:type="dxa"/>
            <w:noWrap/>
            <w:tcMar>
              <w:right w:w="0" w:type="nil"/>
            </w:tcMar>
            <w:hideMark/>
          </w:tcPr>
          <w:p w14:paraId="7B38AC52" w14:textId="77777777" w:rsidR="006E51BF" w:rsidRPr="00AB2A6C" w:rsidRDefault="006E51BF">
            <w:pPr>
              <w:pStyle w:val="ARfintabletextright"/>
            </w:pPr>
          </w:p>
        </w:tc>
        <w:tc>
          <w:tcPr>
            <w:tcW w:w="1781" w:type="dxa"/>
            <w:noWrap/>
            <w:tcMar>
              <w:right w:w="0" w:type="nil"/>
            </w:tcMar>
            <w:hideMark/>
          </w:tcPr>
          <w:p w14:paraId="4837B92E" w14:textId="77777777" w:rsidR="006E51BF" w:rsidRPr="00AB2A6C" w:rsidRDefault="006E51BF">
            <w:pPr>
              <w:pStyle w:val="ARfintabletextright"/>
            </w:pPr>
          </w:p>
        </w:tc>
        <w:tc>
          <w:tcPr>
            <w:tcW w:w="1781" w:type="dxa"/>
            <w:noWrap/>
            <w:tcMar>
              <w:right w:w="0" w:type="nil"/>
            </w:tcMar>
            <w:hideMark/>
          </w:tcPr>
          <w:p w14:paraId="1CC7E910" w14:textId="77777777" w:rsidR="006E51BF" w:rsidRPr="00AB2A6C" w:rsidRDefault="006E51BF">
            <w:pPr>
              <w:pStyle w:val="ARfintabletextright"/>
            </w:pPr>
          </w:p>
        </w:tc>
        <w:tc>
          <w:tcPr>
            <w:tcW w:w="1781" w:type="dxa"/>
            <w:noWrap/>
            <w:tcMar>
              <w:right w:w="0" w:type="nil"/>
            </w:tcMar>
            <w:hideMark/>
          </w:tcPr>
          <w:p w14:paraId="3C44CC00" w14:textId="77777777" w:rsidR="006E51BF" w:rsidRPr="00AB2A6C" w:rsidRDefault="006E51BF">
            <w:pPr>
              <w:pStyle w:val="ARfintabletextright"/>
            </w:pPr>
          </w:p>
        </w:tc>
      </w:tr>
      <w:tr w:rsidR="006E51BF" w:rsidRPr="00AC4F97" w14:paraId="29813C68"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2506" w:type="dxa"/>
            <w:noWrap/>
            <w:hideMark/>
          </w:tcPr>
          <w:p w14:paraId="27D648F8" w14:textId="77777777" w:rsidR="006E51BF" w:rsidRPr="00AC4F97" w:rsidRDefault="006E51BF">
            <w:pPr>
              <w:pStyle w:val="ARfintabletext"/>
              <w:rPr>
                <w:lang w:eastAsia="en-AU"/>
              </w:rPr>
            </w:pPr>
            <w:proofErr w:type="spellStart"/>
            <w:r w:rsidRPr="00AC4F97">
              <w:rPr>
                <w:lang w:eastAsia="en-AU"/>
              </w:rPr>
              <w:t>VicSuper</w:t>
            </w:r>
            <w:proofErr w:type="spellEnd"/>
          </w:p>
        </w:tc>
        <w:tc>
          <w:tcPr>
            <w:tcW w:w="1779" w:type="dxa"/>
            <w:shd w:val="clear" w:color="auto" w:fill="E7E6E6" w:themeFill="background2"/>
            <w:noWrap/>
            <w:tcMar>
              <w:right w:w="0" w:type="nil"/>
            </w:tcMar>
            <w:hideMark/>
          </w:tcPr>
          <w:p w14:paraId="62BA1826" w14:textId="77777777" w:rsidR="006E51BF" w:rsidRPr="00AB2A6C" w:rsidRDefault="006E51BF">
            <w:pPr>
              <w:pStyle w:val="ARfintabletextright"/>
            </w:pPr>
            <w:r w:rsidRPr="00AB2A6C">
              <w:t>50.4</w:t>
            </w:r>
          </w:p>
        </w:tc>
        <w:tc>
          <w:tcPr>
            <w:tcW w:w="1781" w:type="dxa"/>
            <w:shd w:val="clear" w:color="auto" w:fill="E7E6E6" w:themeFill="background2"/>
            <w:noWrap/>
            <w:tcMar>
              <w:right w:w="0" w:type="nil"/>
            </w:tcMar>
            <w:hideMark/>
          </w:tcPr>
          <w:p w14:paraId="183D63A4" w14:textId="77777777" w:rsidR="006E51BF" w:rsidRPr="00AB2A6C" w:rsidRDefault="006E51BF">
            <w:pPr>
              <w:pStyle w:val="ARfintabletextright"/>
            </w:pPr>
            <w:r w:rsidRPr="00AB2A6C">
              <w:t>49.3</w:t>
            </w:r>
          </w:p>
        </w:tc>
        <w:tc>
          <w:tcPr>
            <w:tcW w:w="1781" w:type="dxa"/>
            <w:noWrap/>
            <w:tcMar>
              <w:right w:w="0" w:type="nil"/>
            </w:tcMar>
            <w:hideMark/>
          </w:tcPr>
          <w:p w14:paraId="06244B65" w14:textId="77777777" w:rsidR="006E51BF" w:rsidRPr="00AB2A6C" w:rsidRDefault="006E51BF">
            <w:pPr>
              <w:pStyle w:val="ARfintabletextright"/>
            </w:pPr>
            <w:r w:rsidRPr="00AB2A6C">
              <w:t>–</w:t>
            </w:r>
          </w:p>
        </w:tc>
        <w:tc>
          <w:tcPr>
            <w:tcW w:w="1781" w:type="dxa"/>
            <w:noWrap/>
            <w:tcMar>
              <w:right w:w="0" w:type="nil"/>
            </w:tcMar>
            <w:hideMark/>
          </w:tcPr>
          <w:p w14:paraId="396D19BD" w14:textId="77777777" w:rsidR="006E51BF" w:rsidRPr="00AB2A6C" w:rsidRDefault="006E51BF">
            <w:pPr>
              <w:pStyle w:val="ARfintabletextright"/>
            </w:pPr>
            <w:r w:rsidRPr="00AB2A6C">
              <w:t>–</w:t>
            </w:r>
          </w:p>
        </w:tc>
      </w:tr>
      <w:tr w:rsidR="006E51BF" w:rsidRPr="00AC4F97" w14:paraId="14A7633F"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2506" w:type="dxa"/>
            <w:noWrap/>
            <w:hideMark/>
          </w:tcPr>
          <w:p w14:paraId="5DF725F7" w14:textId="77777777" w:rsidR="006E51BF" w:rsidRPr="00AC4F97" w:rsidRDefault="006E51BF">
            <w:pPr>
              <w:pStyle w:val="ARfintabletext"/>
              <w:rPr>
                <w:lang w:eastAsia="en-AU"/>
              </w:rPr>
            </w:pPr>
            <w:r w:rsidRPr="00AC4F97">
              <w:rPr>
                <w:lang w:eastAsia="en-AU"/>
              </w:rPr>
              <w:t>Other</w:t>
            </w:r>
          </w:p>
        </w:tc>
        <w:tc>
          <w:tcPr>
            <w:tcW w:w="1779" w:type="dxa"/>
            <w:shd w:val="clear" w:color="auto" w:fill="E7E6E6" w:themeFill="background2"/>
            <w:noWrap/>
            <w:tcMar>
              <w:right w:w="0" w:type="nil"/>
            </w:tcMar>
            <w:hideMark/>
          </w:tcPr>
          <w:p w14:paraId="6D7859CE" w14:textId="77777777" w:rsidR="006E51BF" w:rsidRPr="00AB2A6C" w:rsidRDefault="006E51BF">
            <w:pPr>
              <w:pStyle w:val="ARfintabletextright"/>
            </w:pPr>
            <w:r w:rsidRPr="00AB2A6C">
              <w:t>47.4</w:t>
            </w:r>
          </w:p>
        </w:tc>
        <w:tc>
          <w:tcPr>
            <w:tcW w:w="1781" w:type="dxa"/>
            <w:shd w:val="clear" w:color="auto" w:fill="E7E6E6" w:themeFill="background2"/>
            <w:noWrap/>
            <w:tcMar>
              <w:right w:w="0" w:type="nil"/>
            </w:tcMar>
            <w:hideMark/>
          </w:tcPr>
          <w:p w14:paraId="3D1A3550" w14:textId="77777777" w:rsidR="006E51BF" w:rsidRPr="00AB2A6C" w:rsidRDefault="006E51BF">
            <w:pPr>
              <w:pStyle w:val="ARfintabletextright"/>
            </w:pPr>
            <w:r w:rsidRPr="00AB2A6C">
              <w:t>42.7</w:t>
            </w:r>
          </w:p>
        </w:tc>
        <w:tc>
          <w:tcPr>
            <w:tcW w:w="1781" w:type="dxa"/>
            <w:noWrap/>
            <w:tcMar>
              <w:right w:w="0" w:type="nil"/>
            </w:tcMar>
            <w:hideMark/>
          </w:tcPr>
          <w:p w14:paraId="317C131B" w14:textId="77777777" w:rsidR="006E51BF" w:rsidRPr="00AB2A6C" w:rsidRDefault="006E51BF">
            <w:pPr>
              <w:pStyle w:val="ARfintabletextright"/>
            </w:pPr>
            <w:r w:rsidRPr="00AB2A6C">
              <w:t>–</w:t>
            </w:r>
          </w:p>
        </w:tc>
        <w:tc>
          <w:tcPr>
            <w:tcW w:w="1781" w:type="dxa"/>
            <w:noWrap/>
            <w:tcMar>
              <w:right w:w="0" w:type="nil"/>
            </w:tcMar>
            <w:hideMark/>
          </w:tcPr>
          <w:p w14:paraId="7FF5D2DD" w14:textId="77777777" w:rsidR="006E51BF" w:rsidRPr="00AB2A6C" w:rsidRDefault="006E51BF">
            <w:pPr>
              <w:pStyle w:val="ARfintabletextright"/>
            </w:pPr>
            <w:r w:rsidRPr="00AB2A6C">
              <w:t>–</w:t>
            </w:r>
          </w:p>
        </w:tc>
      </w:tr>
      <w:tr w:rsidR="006E51BF" w:rsidRPr="00AC4F97" w14:paraId="3ABC848C" w14:textId="77777777" w:rsidTr="00785A35">
        <w:trPr>
          <w:cnfStyle w:val="010000000000" w:firstRow="0" w:lastRow="1" w:firstColumn="0" w:lastColumn="0" w:oddVBand="0" w:evenVBand="0" w:oddHBand="0" w:evenHBand="0" w:firstRowFirstColumn="0" w:firstRowLastColumn="0" w:lastRowFirstColumn="0" w:lastRowLastColumn="0"/>
          <w:trHeight w:val="20"/>
        </w:trPr>
        <w:tc>
          <w:tcPr>
            <w:tcW w:w="2506" w:type="dxa"/>
            <w:noWrap/>
            <w:hideMark/>
          </w:tcPr>
          <w:p w14:paraId="74971E35" w14:textId="77777777" w:rsidR="006E51BF" w:rsidRPr="00AC4F97" w:rsidRDefault="006E51BF">
            <w:pPr>
              <w:pStyle w:val="ARfintabletextbold"/>
              <w:rPr>
                <w:lang w:eastAsia="en-AU"/>
              </w:rPr>
            </w:pPr>
            <w:r w:rsidRPr="00AC4F97">
              <w:rPr>
                <w:lang w:eastAsia="en-AU"/>
              </w:rPr>
              <w:t>Total</w:t>
            </w:r>
          </w:p>
        </w:tc>
        <w:tc>
          <w:tcPr>
            <w:tcW w:w="1779" w:type="dxa"/>
            <w:shd w:val="clear" w:color="auto" w:fill="E7E6E6" w:themeFill="background2"/>
            <w:noWrap/>
            <w:tcMar>
              <w:right w:w="0" w:type="nil"/>
            </w:tcMar>
            <w:hideMark/>
          </w:tcPr>
          <w:p w14:paraId="646ECB8A" w14:textId="77777777" w:rsidR="006E51BF" w:rsidRPr="00AB2A6C" w:rsidRDefault="006E51BF">
            <w:pPr>
              <w:pStyle w:val="ARfintabletextboldright"/>
            </w:pPr>
            <w:r w:rsidRPr="00AB2A6C">
              <w:t>100.2</w:t>
            </w:r>
          </w:p>
        </w:tc>
        <w:tc>
          <w:tcPr>
            <w:tcW w:w="1781" w:type="dxa"/>
            <w:shd w:val="clear" w:color="auto" w:fill="E7E6E6" w:themeFill="background2"/>
            <w:noWrap/>
            <w:tcMar>
              <w:right w:w="0" w:type="nil"/>
            </w:tcMar>
            <w:hideMark/>
          </w:tcPr>
          <w:p w14:paraId="098369BE" w14:textId="77777777" w:rsidR="006E51BF" w:rsidRPr="00AB2A6C" w:rsidRDefault="006E51BF">
            <w:pPr>
              <w:pStyle w:val="ARfintabletextboldright"/>
            </w:pPr>
            <w:r w:rsidRPr="00AB2A6C">
              <w:t>94.0</w:t>
            </w:r>
          </w:p>
        </w:tc>
        <w:tc>
          <w:tcPr>
            <w:tcW w:w="1781" w:type="dxa"/>
            <w:noWrap/>
            <w:tcMar>
              <w:right w:w="0" w:type="nil"/>
            </w:tcMar>
            <w:hideMark/>
          </w:tcPr>
          <w:p w14:paraId="117C5420" w14:textId="77777777" w:rsidR="006E51BF" w:rsidRPr="00AB2A6C" w:rsidRDefault="006E51BF">
            <w:pPr>
              <w:pStyle w:val="ARfintabletextboldright"/>
            </w:pPr>
            <w:r w:rsidRPr="00AB2A6C">
              <w:t>–</w:t>
            </w:r>
          </w:p>
        </w:tc>
        <w:tc>
          <w:tcPr>
            <w:tcW w:w="1781" w:type="dxa"/>
            <w:noWrap/>
            <w:tcMar>
              <w:right w:w="0" w:type="nil"/>
            </w:tcMar>
            <w:hideMark/>
          </w:tcPr>
          <w:p w14:paraId="69B408A5" w14:textId="77777777" w:rsidR="006E51BF" w:rsidRPr="00AB2A6C" w:rsidRDefault="006E51BF">
            <w:pPr>
              <w:pStyle w:val="ARfintabletextboldright"/>
            </w:pPr>
            <w:r w:rsidRPr="00AB2A6C">
              <w:t>–</w:t>
            </w:r>
          </w:p>
        </w:tc>
      </w:tr>
    </w:tbl>
    <w:p w14:paraId="6D35CA32" w14:textId="77777777" w:rsidR="006E51BF" w:rsidRPr="001457E6" w:rsidRDefault="006E51BF">
      <w:pPr>
        <w:pStyle w:val="Heading5"/>
        <w:rPr>
          <w:color w:val="auto"/>
          <w:lang w:eastAsia="en-AU"/>
        </w:rPr>
      </w:pPr>
      <w:r w:rsidRPr="001457E6">
        <w:rPr>
          <w:lang w:eastAsia="en-AU"/>
        </w:rPr>
        <w:t xml:space="preserve">3.1.2 </w:t>
      </w:r>
      <w:r>
        <w:rPr>
          <w:lang w:eastAsia="en-AU"/>
        </w:rPr>
        <w:tab/>
      </w:r>
      <w:r w:rsidRPr="001457E6">
        <w:rPr>
          <w:lang w:eastAsia="en-AU"/>
        </w:rPr>
        <w:t>Grants and other transfers</w:t>
      </w:r>
    </w:p>
    <w:tbl>
      <w:tblPr>
        <w:tblStyle w:val="ARtable1"/>
        <w:tblW w:w="5000" w:type="pct"/>
        <w:tblLayout w:type="fixed"/>
        <w:tblLook w:val="00E0" w:firstRow="1" w:lastRow="1" w:firstColumn="1" w:lastColumn="0" w:noHBand="0" w:noVBand="0"/>
      </w:tblPr>
      <w:tblGrid>
        <w:gridCol w:w="6550"/>
        <w:gridCol w:w="1539"/>
        <w:gridCol w:w="1539"/>
      </w:tblGrid>
      <w:tr w:rsidR="006E51BF" w:rsidRPr="001457E6" w14:paraId="1D04C38E" w14:textId="77777777" w:rsidTr="00785A35">
        <w:trPr>
          <w:cnfStyle w:val="100000000000" w:firstRow="1" w:lastRow="0" w:firstColumn="0" w:lastColumn="0" w:oddVBand="0" w:evenVBand="0" w:oddHBand="0" w:evenHBand="0" w:firstRowFirstColumn="0" w:firstRowLastColumn="0" w:lastRowFirstColumn="0" w:lastRowLastColumn="0"/>
          <w:trHeight w:val="20"/>
          <w:tblHeader/>
        </w:trPr>
        <w:tc>
          <w:tcPr>
            <w:tcW w:w="3402" w:type="pct"/>
            <w:noWrap/>
          </w:tcPr>
          <w:p w14:paraId="439ACA1D" w14:textId="77777777" w:rsidR="006E51BF" w:rsidRPr="001457E6"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799" w:type="pct"/>
            <w:noWrap/>
            <w:tcMar>
              <w:right w:w="0" w:type="nil"/>
            </w:tcMar>
            <w:hideMark/>
          </w:tcPr>
          <w:p w14:paraId="24488E62" w14:textId="77777777" w:rsidR="006E51BF" w:rsidRPr="001457E6" w:rsidRDefault="006E51BF">
            <w:pPr>
              <w:pStyle w:val="ARfintablecolheadright"/>
              <w:rPr>
                <w:lang w:eastAsia="en-AU"/>
              </w:rPr>
            </w:pPr>
            <w:r w:rsidRPr="001457E6">
              <w:rPr>
                <w:lang w:eastAsia="en-AU"/>
              </w:rPr>
              <w:t>2026</w:t>
            </w:r>
          </w:p>
          <w:p w14:paraId="0E8B02E5" w14:textId="77777777" w:rsidR="006E51BF" w:rsidRPr="001457E6" w:rsidRDefault="006E51BF">
            <w:pPr>
              <w:pStyle w:val="ARfintablecolheadright"/>
              <w:rPr>
                <w:lang w:eastAsia="en-AU"/>
              </w:rPr>
            </w:pPr>
            <w:r w:rsidRPr="001457E6">
              <w:rPr>
                <w:lang w:eastAsia="en-AU"/>
              </w:rPr>
              <w:t>$M</w:t>
            </w:r>
          </w:p>
        </w:tc>
        <w:tc>
          <w:tcPr>
            <w:tcW w:w="799" w:type="pct"/>
            <w:noWrap/>
            <w:tcMar>
              <w:right w:w="0" w:type="nil"/>
            </w:tcMar>
            <w:hideMark/>
          </w:tcPr>
          <w:p w14:paraId="05FAD500" w14:textId="77777777" w:rsidR="006E51BF" w:rsidRPr="001457E6"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1457E6">
              <w:rPr>
                <w:lang w:eastAsia="en-AU"/>
              </w:rPr>
              <w:t>2025</w:t>
            </w:r>
          </w:p>
          <w:p w14:paraId="02CA1142" w14:textId="77777777" w:rsidR="006E51BF" w:rsidRPr="001457E6"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1457E6">
              <w:rPr>
                <w:lang w:eastAsia="en-AU"/>
              </w:rPr>
              <w:t>$M</w:t>
            </w:r>
          </w:p>
        </w:tc>
      </w:tr>
      <w:tr w:rsidR="006E51BF" w:rsidRPr="001457E6" w14:paraId="53AA4168"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02" w:type="pct"/>
            <w:noWrap/>
            <w:hideMark/>
          </w:tcPr>
          <w:p w14:paraId="5ACEE95E" w14:textId="77777777" w:rsidR="006E51BF" w:rsidRPr="001457E6" w:rsidRDefault="006E51BF">
            <w:pPr>
              <w:pStyle w:val="ARfintabletextboldcoloured"/>
              <w:rPr>
                <w:lang w:eastAsia="en-AU"/>
              </w:rPr>
            </w:pPr>
            <w:r w:rsidRPr="001457E6">
              <w:rPr>
                <w:lang w:eastAsia="en-AU"/>
              </w:rPr>
              <w:t xml:space="preserve">Non-government agencies and individuals </w:t>
            </w:r>
            <w:r w:rsidRPr="001457E6">
              <w:rPr>
                <w:vertAlign w:val="superscript"/>
                <w:lang w:eastAsia="en-AU"/>
              </w:rPr>
              <w:t>(</w:t>
            </w:r>
            <w:proofErr w:type="spellStart"/>
            <w:r w:rsidRPr="001457E6">
              <w:rPr>
                <w:vertAlign w:val="superscript"/>
                <w:lang w:eastAsia="en-AU"/>
              </w:rPr>
              <w:t>i</w:t>
            </w:r>
            <w:proofErr w:type="spellEnd"/>
            <w:r w:rsidRPr="001457E6">
              <w:rPr>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799" w:type="pct"/>
            <w:shd w:val="clear" w:color="auto" w:fill="auto"/>
            <w:noWrap/>
            <w:tcMar>
              <w:right w:w="0" w:type="nil"/>
            </w:tcMar>
            <w:hideMark/>
          </w:tcPr>
          <w:p w14:paraId="4EDB9044" w14:textId="77777777" w:rsidR="006E51BF" w:rsidRPr="001457E6" w:rsidRDefault="006E51BF">
            <w:pPr>
              <w:pStyle w:val="ARfintabletextright"/>
              <w:rPr>
                <w:lang w:eastAsia="en-AU"/>
              </w:rPr>
            </w:pPr>
          </w:p>
        </w:tc>
        <w:tc>
          <w:tcPr>
            <w:tcW w:w="799" w:type="pct"/>
            <w:noWrap/>
            <w:tcMar>
              <w:right w:w="0" w:type="nil"/>
            </w:tcMar>
            <w:hideMark/>
          </w:tcPr>
          <w:p w14:paraId="583A67BA" w14:textId="77777777" w:rsidR="006E51BF" w:rsidRPr="001457E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1457E6" w14:paraId="01A7DB3A"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02" w:type="pct"/>
            <w:noWrap/>
          </w:tcPr>
          <w:p w14:paraId="459C0FC4" w14:textId="77777777" w:rsidR="006E51BF" w:rsidRPr="002E4363" w:rsidRDefault="006E51BF">
            <w:pPr>
              <w:pStyle w:val="ARfintabletext"/>
            </w:pPr>
            <w:r w:rsidRPr="002E4363">
              <w:t>Assistance payment and other benefits to households and individuals</w:t>
            </w:r>
          </w:p>
        </w:tc>
        <w:tc>
          <w:tcPr>
            <w:cnfStyle w:val="000001000000" w:firstRow="0" w:lastRow="0" w:firstColumn="0" w:lastColumn="0" w:oddVBand="0" w:evenVBand="1" w:oddHBand="0" w:evenHBand="0" w:firstRowFirstColumn="0" w:firstRowLastColumn="0" w:lastRowFirstColumn="0" w:lastRowLastColumn="0"/>
            <w:tcW w:w="799" w:type="pct"/>
            <w:shd w:val="clear" w:color="auto" w:fill="auto"/>
            <w:noWrap/>
            <w:tcMar>
              <w:right w:w="0" w:type="nil"/>
            </w:tcMar>
          </w:tcPr>
          <w:p w14:paraId="0F15BC01" w14:textId="77777777" w:rsidR="006E51BF" w:rsidRPr="001457E6" w:rsidRDefault="006E51BF">
            <w:pPr>
              <w:pStyle w:val="ARfintabletextright"/>
              <w:rPr>
                <w:lang w:eastAsia="en-AU"/>
              </w:rPr>
            </w:pPr>
          </w:p>
        </w:tc>
        <w:tc>
          <w:tcPr>
            <w:tcW w:w="799" w:type="pct"/>
            <w:noWrap/>
            <w:tcMar>
              <w:right w:w="0" w:type="nil"/>
            </w:tcMar>
          </w:tcPr>
          <w:p w14:paraId="4FDA381F" w14:textId="77777777" w:rsidR="006E51BF" w:rsidRPr="001457E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r>
      <w:tr w:rsidR="006E51BF" w:rsidRPr="001457E6" w14:paraId="506DE268"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02" w:type="pct"/>
            <w:noWrap/>
            <w:hideMark/>
          </w:tcPr>
          <w:p w14:paraId="1F91EB02" w14:textId="77777777" w:rsidR="006E51BF" w:rsidRPr="002E4363" w:rsidRDefault="006E51BF" w:rsidP="006E51BF">
            <w:pPr>
              <w:pStyle w:val="ARfintablebullet1"/>
              <w:numPr>
                <w:ilvl w:val="0"/>
                <w:numId w:val="13"/>
              </w:numPr>
              <w:ind w:left="170" w:hanging="170"/>
            </w:pPr>
            <w:r w:rsidRPr="002E4363">
              <w:t>Concessions to pensioners and other beneficiaries</w:t>
            </w:r>
            <w:r>
              <w:t xml:space="preserve"> </w:t>
            </w:r>
            <w:r w:rsidRPr="001457E6">
              <w:rPr>
                <w:vertAlign w:val="superscript"/>
              </w:rPr>
              <w:t>(</w:t>
            </w:r>
            <w:r>
              <w:rPr>
                <w:vertAlign w:val="superscript"/>
              </w:rPr>
              <w:t>i</w:t>
            </w:r>
            <w:r w:rsidRPr="001457E6">
              <w:rPr>
                <w:vertAlign w:val="superscript"/>
              </w:rPr>
              <w:t>i)</w:t>
            </w:r>
          </w:p>
        </w:tc>
        <w:tc>
          <w:tcPr>
            <w:cnfStyle w:val="000001000000" w:firstRow="0" w:lastRow="0" w:firstColumn="0" w:lastColumn="0" w:oddVBand="0" w:evenVBand="1" w:oddHBand="0" w:evenHBand="0" w:firstRowFirstColumn="0" w:firstRowLastColumn="0" w:lastRowFirstColumn="0" w:lastRowLastColumn="0"/>
            <w:tcW w:w="799" w:type="pct"/>
            <w:noWrap/>
            <w:tcMar>
              <w:right w:w="0" w:type="nil"/>
            </w:tcMar>
            <w:hideMark/>
          </w:tcPr>
          <w:p w14:paraId="3BF16247" w14:textId="77777777" w:rsidR="006E51BF" w:rsidRPr="001457E6" w:rsidRDefault="006E51BF">
            <w:pPr>
              <w:pStyle w:val="ARfintabletextright"/>
              <w:rPr>
                <w:lang w:eastAsia="en-AU"/>
              </w:rPr>
            </w:pPr>
            <w:r w:rsidRPr="001457E6">
              <w:rPr>
                <w:lang w:eastAsia="en-AU"/>
              </w:rPr>
              <w:t>1,150.0</w:t>
            </w:r>
          </w:p>
        </w:tc>
        <w:tc>
          <w:tcPr>
            <w:tcW w:w="799" w:type="pct"/>
            <w:noWrap/>
            <w:tcMar>
              <w:right w:w="0" w:type="nil"/>
            </w:tcMar>
            <w:hideMark/>
          </w:tcPr>
          <w:p w14:paraId="365405C3" w14:textId="77777777" w:rsidR="006E51BF" w:rsidRPr="001457E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1457E6">
              <w:rPr>
                <w:lang w:eastAsia="en-AU"/>
              </w:rPr>
              <w:t>1,449.7</w:t>
            </w:r>
          </w:p>
        </w:tc>
      </w:tr>
      <w:tr w:rsidR="006E51BF" w:rsidRPr="001457E6" w14:paraId="2CB7E47B"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02" w:type="pct"/>
            <w:tcBorders>
              <w:bottom w:val="single" w:sz="4" w:space="0" w:color="BFBFBF" w:themeColor="accent2"/>
            </w:tcBorders>
            <w:noWrap/>
            <w:hideMark/>
          </w:tcPr>
          <w:p w14:paraId="22937E15" w14:textId="77777777" w:rsidR="006E51BF" w:rsidRPr="002E4363" w:rsidRDefault="006E51BF" w:rsidP="006E51BF">
            <w:pPr>
              <w:pStyle w:val="ARfintablebullet1"/>
              <w:numPr>
                <w:ilvl w:val="0"/>
                <w:numId w:val="13"/>
              </w:numPr>
              <w:ind w:left="170" w:hanging="170"/>
            </w:pPr>
            <w:r w:rsidRPr="002E4363">
              <w:t>Child protection and family services</w:t>
            </w:r>
          </w:p>
        </w:tc>
        <w:tc>
          <w:tcPr>
            <w:cnfStyle w:val="000001000000" w:firstRow="0" w:lastRow="0" w:firstColumn="0" w:lastColumn="0" w:oddVBand="0" w:evenVBand="1" w:oddHBand="0" w:evenHBand="0" w:firstRowFirstColumn="0" w:firstRowLastColumn="0" w:lastRowFirstColumn="0" w:lastRowLastColumn="0"/>
            <w:tcW w:w="799" w:type="pct"/>
            <w:tcBorders>
              <w:bottom w:val="single" w:sz="4" w:space="0" w:color="BFBFBF" w:themeColor="accent2"/>
            </w:tcBorders>
            <w:noWrap/>
            <w:tcMar>
              <w:right w:w="0" w:type="nil"/>
            </w:tcMar>
            <w:hideMark/>
          </w:tcPr>
          <w:p w14:paraId="0F58BE5A" w14:textId="77777777" w:rsidR="006E51BF" w:rsidRPr="001457E6" w:rsidRDefault="006E51BF">
            <w:pPr>
              <w:pStyle w:val="ARfintabletextright"/>
              <w:rPr>
                <w:lang w:eastAsia="en-AU"/>
              </w:rPr>
            </w:pPr>
            <w:r w:rsidRPr="001457E6">
              <w:rPr>
                <w:lang w:eastAsia="en-AU"/>
              </w:rPr>
              <w:t>313.8</w:t>
            </w:r>
          </w:p>
        </w:tc>
        <w:tc>
          <w:tcPr>
            <w:tcW w:w="799" w:type="pct"/>
            <w:tcBorders>
              <w:bottom w:val="single" w:sz="4" w:space="0" w:color="BFBFBF" w:themeColor="accent2"/>
            </w:tcBorders>
            <w:noWrap/>
            <w:tcMar>
              <w:right w:w="0" w:type="nil"/>
            </w:tcMar>
            <w:hideMark/>
          </w:tcPr>
          <w:p w14:paraId="5A8B4A8D" w14:textId="77777777" w:rsidR="006E51BF" w:rsidRPr="001457E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1457E6">
              <w:rPr>
                <w:lang w:eastAsia="en-AU"/>
              </w:rPr>
              <w:t>321.8</w:t>
            </w:r>
          </w:p>
        </w:tc>
      </w:tr>
      <w:tr w:rsidR="006E51BF" w:rsidRPr="001457E6" w14:paraId="5694824A"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02" w:type="pct"/>
            <w:tcBorders>
              <w:top w:val="single" w:sz="4" w:space="0" w:color="BFBFBF" w:themeColor="accent2"/>
              <w:bottom w:val="single" w:sz="4" w:space="0" w:color="000000" w:themeColor="text1"/>
            </w:tcBorders>
            <w:noWrap/>
            <w:hideMark/>
          </w:tcPr>
          <w:p w14:paraId="25C513AF" w14:textId="77777777" w:rsidR="006E51BF" w:rsidRPr="002E4363" w:rsidRDefault="006E51BF" w:rsidP="006E51BF">
            <w:pPr>
              <w:pStyle w:val="ARfintablebullet1"/>
              <w:numPr>
                <w:ilvl w:val="0"/>
                <w:numId w:val="13"/>
              </w:numPr>
              <w:ind w:left="170" w:hanging="170"/>
            </w:pPr>
            <w:r w:rsidRPr="002E4363">
              <w:t>Other organisations</w:t>
            </w:r>
          </w:p>
        </w:tc>
        <w:tc>
          <w:tcPr>
            <w:cnfStyle w:val="000001000000" w:firstRow="0" w:lastRow="0" w:firstColumn="0" w:lastColumn="0" w:oddVBand="0" w:evenVBand="1" w:oddHBand="0" w:evenHBand="0" w:firstRowFirstColumn="0" w:firstRowLastColumn="0" w:lastRowFirstColumn="0" w:lastRowLastColumn="0"/>
            <w:tcW w:w="799" w:type="pct"/>
            <w:tcBorders>
              <w:top w:val="single" w:sz="4" w:space="0" w:color="BFBFBF" w:themeColor="accent2"/>
              <w:bottom w:val="single" w:sz="4" w:space="0" w:color="000000" w:themeColor="text1"/>
            </w:tcBorders>
            <w:noWrap/>
            <w:tcMar>
              <w:right w:w="0" w:type="nil"/>
            </w:tcMar>
            <w:hideMark/>
          </w:tcPr>
          <w:p w14:paraId="1490E19D" w14:textId="77777777" w:rsidR="006E51BF" w:rsidRPr="001457E6" w:rsidRDefault="006E51BF">
            <w:pPr>
              <w:pStyle w:val="ARfintabletextright"/>
              <w:rPr>
                <w:lang w:eastAsia="en-AU"/>
              </w:rPr>
            </w:pPr>
            <w:r w:rsidRPr="001457E6">
              <w:rPr>
                <w:lang w:eastAsia="en-AU"/>
              </w:rPr>
              <w:t>10.7</w:t>
            </w:r>
          </w:p>
        </w:tc>
        <w:tc>
          <w:tcPr>
            <w:tcW w:w="799" w:type="pct"/>
            <w:tcBorders>
              <w:top w:val="single" w:sz="4" w:space="0" w:color="BFBFBF" w:themeColor="accent2"/>
              <w:bottom w:val="single" w:sz="4" w:space="0" w:color="000000" w:themeColor="text1"/>
            </w:tcBorders>
            <w:noWrap/>
            <w:tcMar>
              <w:right w:w="0" w:type="nil"/>
            </w:tcMar>
            <w:hideMark/>
          </w:tcPr>
          <w:p w14:paraId="152C10FD" w14:textId="77777777" w:rsidR="006E51BF" w:rsidRPr="001457E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1457E6">
              <w:rPr>
                <w:lang w:eastAsia="en-AU"/>
              </w:rPr>
              <w:t>14.1</w:t>
            </w:r>
          </w:p>
        </w:tc>
      </w:tr>
      <w:tr w:rsidR="006E51BF" w:rsidRPr="001457E6" w14:paraId="66AF2978"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02" w:type="pct"/>
            <w:tcBorders>
              <w:top w:val="single" w:sz="4" w:space="0" w:color="000000" w:themeColor="text1"/>
              <w:bottom w:val="single" w:sz="4" w:space="0" w:color="000000" w:themeColor="text1"/>
            </w:tcBorders>
            <w:noWrap/>
            <w:hideMark/>
          </w:tcPr>
          <w:p w14:paraId="1A573C8F" w14:textId="77777777" w:rsidR="006E51BF" w:rsidRPr="002E4363" w:rsidRDefault="006E51BF">
            <w:pPr>
              <w:pStyle w:val="ARfintabletext"/>
            </w:pPr>
            <w:r w:rsidRPr="002E4363">
              <w:t xml:space="preserve">Subtotal </w:t>
            </w:r>
            <w:r>
              <w:t>–</w:t>
            </w:r>
            <w:r w:rsidRPr="002E4363">
              <w:t xml:space="preserve"> Assistance payment and other benefits to households and</w:t>
            </w:r>
            <w:r>
              <w:t> </w:t>
            </w:r>
            <w:r w:rsidRPr="002E4363">
              <w:t>individuals</w:t>
            </w:r>
          </w:p>
        </w:tc>
        <w:tc>
          <w:tcPr>
            <w:cnfStyle w:val="000001000000" w:firstRow="0" w:lastRow="0" w:firstColumn="0" w:lastColumn="0" w:oddVBand="0" w:evenVBand="1" w:oddHBand="0" w:evenHBand="0" w:firstRowFirstColumn="0" w:firstRowLastColumn="0" w:lastRowFirstColumn="0" w:lastRowLastColumn="0"/>
            <w:tcW w:w="799" w:type="pct"/>
            <w:tcBorders>
              <w:top w:val="single" w:sz="4" w:space="0" w:color="000000" w:themeColor="text1"/>
              <w:bottom w:val="single" w:sz="4" w:space="0" w:color="000000" w:themeColor="text1"/>
            </w:tcBorders>
            <w:noWrap/>
            <w:tcMar>
              <w:right w:w="0" w:type="nil"/>
            </w:tcMar>
            <w:hideMark/>
          </w:tcPr>
          <w:p w14:paraId="1FBAEE1A" w14:textId="77777777" w:rsidR="006E51BF" w:rsidRPr="001457E6" w:rsidRDefault="006E51BF">
            <w:pPr>
              <w:pStyle w:val="ARfintabletextboldright"/>
              <w:rPr>
                <w:lang w:eastAsia="en-AU"/>
              </w:rPr>
            </w:pPr>
            <w:r w:rsidRPr="001457E6">
              <w:rPr>
                <w:lang w:eastAsia="en-AU"/>
              </w:rPr>
              <w:t>1,474.5</w:t>
            </w:r>
          </w:p>
        </w:tc>
        <w:tc>
          <w:tcPr>
            <w:tcW w:w="799" w:type="pct"/>
            <w:tcBorders>
              <w:top w:val="single" w:sz="4" w:space="0" w:color="000000" w:themeColor="text1"/>
              <w:bottom w:val="single" w:sz="4" w:space="0" w:color="000000" w:themeColor="text1"/>
            </w:tcBorders>
            <w:noWrap/>
            <w:tcMar>
              <w:right w:w="0" w:type="nil"/>
            </w:tcMar>
            <w:hideMark/>
          </w:tcPr>
          <w:p w14:paraId="614D1F1B" w14:textId="77777777" w:rsidR="006E51BF" w:rsidRPr="001457E6"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1457E6">
              <w:rPr>
                <w:lang w:eastAsia="en-AU"/>
              </w:rPr>
              <w:t>1,785.5</w:t>
            </w:r>
          </w:p>
        </w:tc>
      </w:tr>
      <w:tr w:rsidR="006E51BF" w:rsidRPr="001457E6" w14:paraId="2F588948"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02" w:type="pct"/>
            <w:tcBorders>
              <w:top w:val="single" w:sz="4" w:space="0" w:color="000000" w:themeColor="text1"/>
            </w:tcBorders>
            <w:noWrap/>
          </w:tcPr>
          <w:p w14:paraId="68D6D88D" w14:textId="77777777" w:rsidR="006E51BF" w:rsidRPr="002E4363" w:rsidRDefault="006E51BF">
            <w:pPr>
              <w:pStyle w:val="ARfintabletext"/>
            </w:pPr>
            <w:r w:rsidRPr="002E4363">
              <w:t>Community service organisations and other non-government organisations</w:t>
            </w:r>
          </w:p>
        </w:tc>
        <w:tc>
          <w:tcPr>
            <w:cnfStyle w:val="000001000000" w:firstRow="0" w:lastRow="0" w:firstColumn="0" w:lastColumn="0" w:oddVBand="0" w:evenVBand="1" w:oddHBand="0" w:evenHBand="0" w:firstRowFirstColumn="0" w:firstRowLastColumn="0" w:lastRowFirstColumn="0" w:lastRowLastColumn="0"/>
            <w:tcW w:w="799" w:type="pct"/>
            <w:tcBorders>
              <w:top w:val="single" w:sz="4" w:space="0" w:color="000000" w:themeColor="text1"/>
            </w:tcBorders>
            <w:shd w:val="clear" w:color="auto" w:fill="auto"/>
            <w:noWrap/>
            <w:tcMar>
              <w:right w:w="0" w:type="nil"/>
            </w:tcMar>
          </w:tcPr>
          <w:p w14:paraId="153E9203" w14:textId="77777777" w:rsidR="006E51BF" w:rsidRPr="001457E6" w:rsidRDefault="006E51BF">
            <w:pPr>
              <w:pStyle w:val="ARfintabletextright"/>
              <w:rPr>
                <w:lang w:eastAsia="en-AU"/>
              </w:rPr>
            </w:pPr>
          </w:p>
        </w:tc>
        <w:tc>
          <w:tcPr>
            <w:tcW w:w="799" w:type="pct"/>
            <w:tcBorders>
              <w:top w:val="single" w:sz="4" w:space="0" w:color="000000" w:themeColor="text1"/>
            </w:tcBorders>
            <w:noWrap/>
            <w:tcMar>
              <w:right w:w="0" w:type="nil"/>
            </w:tcMar>
          </w:tcPr>
          <w:p w14:paraId="1C742913" w14:textId="77777777" w:rsidR="006E51BF" w:rsidRPr="001457E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1457E6" w14:paraId="1433449A"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02" w:type="pct"/>
            <w:noWrap/>
            <w:hideMark/>
          </w:tcPr>
          <w:p w14:paraId="72975EA7" w14:textId="77777777" w:rsidR="006E51BF" w:rsidRPr="002E4363" w:rsidRDefault="006E51BF" w:rsidP="006E51BF">
            <w:pPr>
              <w:pStyle w:val="ARfintablebullet1"/>
              <w:numPr>
                <w:ilvl w:val="0"/>
                <w:numId w:val="13"/>
              </w:numPr>
              <w:ind w:left="170" w:hanging="170"/>
            </w:pPr>
            <w:r w:rsidRPr="002E4363">
              <w:t>Child protection and family services</w:t>
            </w:r>
          </w:p>
        </w:tc>
        <w:tc>
          <w:tcPr>
            <w:cnfStyle w:val="000001000000" w:firstRow="0" w:lastRow="0" w:firstColumn="0" w:lastColumn="0" w:oddVBand="0" w:evenVBand="1" w:oddHBand="0" w:evenHBand="0" w:firstRowFirstColumn="0" w:firstRowLastColumn="0" w:lastRowFirstColumn="0" w:lastRowLastColumn="0"/>
            <w:tcW w:w="799" w:type="pct"/>
            <w:noWrap/>
            <w:tcMar>
              <w:right w:w="0" w:type="nil"/>
            </w:tcMar>
            <w:hideMark/>
          </w:tcPr>
          <w:p w14:paraId="34172228" w14:textId="77777777" w:rsidR="006E51BF" w:rsidRPr="001457E6" w:rsidRDefault="006E51BF">
            <w:pPr>
              <w:pStyle w:val="ARfintabletextright"/>
              <w:rPr>
                <w:lang w:eastAsia="en-AU"/>
              </w:rPr>
            </w:pPr>
            <w:r>
              <w:rPr>
                <w:lang w:eastAsia="en-AU"/>
              </w:rPr>
              <w:t>1,179.4</w:t>
            </w:r>
          </w:p>
        </w:tc>
        <w:tc>
          <w:tcPr>
            <w:tcW w:w="799" w:type="pct"/>
            <w:noWrap/>
            <w:tcMar>
              <w:right w:w="0" w:type="nil"/>
            </w:tcMar>
            <w:hideMark/>
          </w:tcPr>
          <w:p w14:paraId="76862B2D" w14:textId="77777777" w:rsidR="006E51BF" w:rsidRPr="001457E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1,123.2</w:t>
            </w:r>
          </w:p>
        </w:tc>
      </w:tr>
      <w:tr w:rsidR="006E51BF" w:rsidRPr="001457E6" w14:paraId="6067E457"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02" w:type="pct"/>
            <w:noWrap/>
            <w:hideMark/>
          </w:tcPr>
          <w:p w14:paraId="0DDB871D" w14:textId="77777777" w:rsidR="006E51BF" w:rsidRPr="002E4363" w:rsidRDefault="006E51BF" w:rsidP="006E51BF">
            <w:pPr>
              <w:pStyle w:val="ARfintablebullet1"/>
              <w:numPr>
                <w:ilvl w:val="0"/>
                <w:numId w:val="13"/>
              </w:numPr>
              <w:ind w:left="170" w:hanging="170"/>
            </w:pPr>
            <w:r w:rsidRPr="002E4363">
              <w:t>Provision of housing and homelessness services</w:t>
            </w:r>
          </w:p>
        </w:tc>
        <w:tc>
          <w:tcPr>
            <w:cnfStyle w:val="000001000000" w:firstRow="0" w:lastRow="0" w:firstColumn="0" w:lastColumn="0" w:oddVBand="0" w:evenVBand="1" w:oddHBand="0" w:evenHBand="0" w:firstRowFirstColumn="0" w:firstRowLastColumn="0" w:lastRowFirstColumn="0" w:lastRowLastColumn="0"/>
            <w:tcW w:w="799" w:type="pct"/>
            <w:noWrap/>
            <w:tcMar>
              <w:right w:w="0" w:type="nil"/>
            </w:tcMar>
            <w:hideMark/>
          </w:tcPr>
          <w:p w14:paraId="39DB1BBB" w14:textId="77777777" w:rsidR="006E51BF" w:rsidRPr="001457E6" w:rsidRDefault="006E51BF">
            <w:pPr>
              <w:pStyle w:val="ARfintabletextright"/>
              <w:rPr>
                <w:lang w:eastAsia="en-AU"/>
              </w:rPr>
            </w:pPr>
            <w:r w:rsidRPr="001457E6">
              <w:rPr>
                <w:lang w:eastAsia="en-AU"/>
              </w:rPr>
              <w:t>690.4</w:t>
            </w:r>
          </w:p>
        </w:tc>
        <w:tc>
          <w:tcPr>
            <w:tcW w:w="799" w:type="pct"/>
            <w:noWrap/>
            <w:tcMar>
              <w:right w:w="0" w:type="nil"/>
            </w:tcMar>
            <w:hideMark/>
          </w:tcPr>
          <w:p w14:paraId="25C3B79E" w14:textId="77777777" w:rsidR="006E51BF" w:rsidRPr="001457E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1457E6">
              <w:rPr>
                <w:lang w:eastAsia="en-AU"/>
              </w:rPr>
              <w:t>669.0</w:t>
            </w:r>
          </w:p>
        </w:tc>
      </w:tr>
      <w:tr w:rsidR="006E51BF" w:rsidRPr="001457E6" w14:paraId="77950144"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02" w:type="pct"/>
            <w:noWrap/>
            <w:hideMark/>
          </w:tcPr>
          <w:p w14:paraId="0CAFC370" w14:textId="77777777" w:rsidR="006E51BF" w:rsidRPr="002E4363" w:rsidRDefault="006E51BF" w:rsidP="006E51BF">
            <w:pPr>
              <w:pStyle w:val="ARfintablebullet1"/>
              <w:numPr>
                <w:ilvl w:val="0"/>
                <w:numId w:val="13"/>
              </w:numPr>
              <w:ind w:left="170" w:hanging="170"/>
            </w:pPr>
            <w:r w:rsidRPr="002E4363">
              <w:t>Family violence Service Delivery</w:t>
            </w:r>
          </w:p>
        </w:tc>
        <w:tc>
          <w:tcPr>
            <w:cnfStyle w:val="000001000000" w:firstRow="0" w:lastRow="0" w:firstColumn="0" w:lastColumn="0" w:oddVBand="0" w:evenVBand="1" w:oddHBand="0" w:evenHBand="0" w:firstRowFirstColumn="0" w:firstRowLastColumn="0" w:lastRowFirstColumn="0" w:lastRowLastColumn="0"/>
            <w:tcW w:w="799" w:type="pct"/>
            <w:noWrap/>
            <w:tcMar>
              <w:right w:w="0" w:type="nil"/>
            </w:tcMar>
            <w:hideMark/>
          </w:tcPr>
          <w:p w14:paraId="4DE94D65" w14:textId="77777777" w:rsidR="006E51BF" w:rsidRPr="001457E6" w:rsidRDefault="006E51BF">
            <w:pPr>
              <w:pStyle w:val="ARfintabletextright"/>
              <w:rPr>
                <w:lang w:eastAsia="en-AU"/>
              </w:rPr>
            </w:pPr>
            <w:r w:rsidRPr="001457E6">
              <w:rPr>
                <w:lang w:eastAsia="en-AU"/>
              </w:rPr>
              <w:t>628.1</w:t>
            </w:r>
          </w:p>
        </w:tc>
        <w:tc>
          <w:tcPr>
            <w:tcW w:w="799" w:type="pct"/>
            <w:noWrap/>
            <w:tcMar>
              <w:right w:w="0" w:type="nil"/>
            </w:tcMar>
            <w:hideMark/>
          </w:tcPr>
          <w:p w14:paraId="0A4AEDE4" w14:textId="77777777" w:rsidR="006E51BF" w:rsidRPr="001457E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1457E6">
              <w:rPr>
                <w:lang w:eastAsia="en-AU"/>
              </w:rPr>
              <w:t>600.9</w:t>
            </w:r>
          </w:p>
        </w:tc>
      </w:tr>
      <w:tr w:rsidR="006E51BF" w:rsidRPr="001457E6" w14:paraId="7108E558"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02" w:type="pct"/>
            <w:noWrap/>
            <w:hideMark/>
          </w:tcPr>
          <w:p w14:paraId="2A5E8BCF" w14:textId="77777777" w:rsidR="006E51BF" w:rsidRPr="002E4363" w:rsidRDefault="006E51BF" w:rsidP="006E51BF">
            <w:pPr>
              <w:pStyle w:val="ARfintablebullet1"/>
              <w:numPr>
                <w:ilvl w:val="0"/>
                <w:numId w:val="13"/>
              </w:numPr>
              <w:ind w:left="170" w:hanging="170"/>
            </w:pPr>
            <w:r w:rsidRPr="002E4363">
              <w:t>Disability services</w:t>
            </w:r>
            <w:r>
              <w:t xml:space="preserve"> </w:t>
            </w:r>
            <w:r w:rsidRPr="001457E6">
              <w:rPr>
                <w:vertAlign w:val="superscript"/>
              </w:rPr>
              <w:t>(</w:t>
            </w:r>
            <w:r>
              <w:rPr>
                <w:vertAlign w:val="superscript"/>
              </w:rPr>
              <w:t>i</w:t>
            </w:r>
            <w:r w:rsidRPr="001457E6">
              <w:rPr>
                <w:vertAlign w:val="superscript"/>
              </w:rPr>
              <w:t>i)</w:t>
            </w:r>
          </w:p>
        </w:tc>
        <w:tc>
          <w:tcPr>
            <w:cnfStyle w:val="000001000000" w:firstRow="0" w:lastRow="0" w:firstColumn="0" w:lastColumn="0" w:oddVBand="0" w:evenVBand="1" w:oddHBand="0" w:evenHBand="0" w:firstRowFirstColumn="0" w:firstRowLastColumn="0" w:lastRowFirstColumn="0" w:lastRowLastColumn="0"/>
            <w:tcW w:w="799" w:type="pct"/>
            <w:noWrap/>
            <w:tcMar>
              <w:right w:w="0" w:type="nil"/>
            </w:tcMar>
            <w:hideMark/>
          </w:tcPr>
          <w:p w14:paraId="082652A7" w14:textId="77777777" w:rsidR="006E51BF" w:rsidRPr="001457E6" w:rsidRDefault="006E51BF">
            <w:pPr>
              <w:pStyle w:val="ARfintabletextright"/>
              <w:rPr>
                <w:lang w:eastAsia="en-AU"/>
              </w:rPr>
            </w:pPr>
            <w:r w:rsidRPr="001457E6">
              <w:rPr>
                <w:lang w:eastAsia="en-AU"/>
              </w:rPr>
              <w:t>115.1</w:t>
            </w:r>
          </w:p>
        </w:tc>
        <w:tc>
          <w:tcPr>
            <w:tcW w:w="799" w:type="pct"/>
            <w:noWrap/>
            <w:tcMar>
              <w:right w:w="0" w:type="nil"/>
            </w:tcMar>
            <w:hideMark/>
          </w:tcPr>
          <w:p w14:paraId="413D8AF6" w14:textId="77777777" w:rsidR="006E51BF" w:rsidRPr="001457E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1457E6">
              <w:rPr>
                <w:lang w:eastAsia="en-AU"/>
              </w:rPr>
              <w:t>195.0</w:t>
            </w:r>
          </w:p>
        </w:tc>
      </w:tr>
      <w:tr w:rsidR="006E51BF" w:rsidRPr="001457E6" w14:paraId="62DD1FB0"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02" w:type="pct"/>
            <w:tcBorders>
              <w:bottom w:val="single" w:sz="4" w:space="0" w:color="BFBFBF" w:themeColor="accent2"/>
            </w:tcBorders>
            <w:noWrap/>
            <w:hideMark/>
          </w:tcPr>
          <w:p w14:paraId="7D5342F9" w14:textId="77777777" w:rsidR="006E51BF" w:rsidRPr="002E4363" w:rsidRDefault="006E51BF" w:rsidP="006E51BF">
            <w:pPr>
              <w:pStyle w:val="ARfintablebullet1"/>
              <w:numPr>
                <w:ilvl w:val="0"/>
                <w:numId w:val="13"/>
              </w:numPr>
              <w:ind w:left="170" w:hanging="170"/>
            </w:pPr>
            <w:r w:rsidRPr="002E4363">
              <w:t>Concessions to pensioners and other beneficiaries</w:t>
            </w:r>
          </w:p>
        </w:tc>
        <w:tc>
          <w:tcPr>
            <w:cnfStyle w:val="000001000000" w:firstRow="0" w:lastRow="0" w:firstColumn="0" w:lastColumn="0" w:oddVBand="0" w:evenVBand="1" w:oddHBand="0" w:evenHBand="0" w:firstRowFirstColumn="0" w:firstRowLastColumn="0" w:lastRowFirstColumn="0" w:lastRowLastColumn="0"/>
            <w:tcW w:w="799" w:type="pct"/>
            <w:tcBorders>
              <w:bottom w:val="single" w:sz="4" w:space="0" w:color="BFBFBF" w:themeColor="accent2"/>
            </w:tcBorders>
            <w:noWrap/>
            <w:tcMar>
              <w:right w:w="0" w:type="nil"/>
            </w:tcMar>
            <w:hideMark/>
          </w:tcPr>
          <w:p w14:paraId="7E3D3AC5" w14:textId="77777777" w:rsidR="006E51BF" w:rsidRPr="001457E6" w:rsidRDefault="006E51BF">
            <w:pPr>
              <w:pStyle w:val="ARfintabletextright"/>
              <w:rPr>
                <w:lang w:eastAsia="en-AU"/>
              </w:rPr>
            </w:pPr>
            <w:r w:rsidRPr="001457E6">
              <w:rPr>
                <w:lang w:eastAsia="en-AU"/>
              </w:rPr>
              <w:t>68.6</w:t>
            </w:r>
          </w:p>
        </w:tc>
        <w:tc>
          <w:tcPr>
            <w:tcW w:w="799" w:type="pct"/>
            <w:tcBorders>
              <w:bottom w:val="single" w:sz="4" w:space="0" w:color="BFBFBF" w:themeColor="accent2"/>
            </w:tcBorders>
            <w:noWrap/>
            <w:tcMar>
              <w:right w:w="0" w:type="nil"/>
            </w:tcMar>
            <w:hideMark/>
          </w:tcPr>
          <w:p w14:paraId="0E04A290" w14:textId="77777777" w:rsidR="006E51BF" w:rsidRPr="001457E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1457E6">
              <w:rPr>
                <w:lang w:eastAsia="en-AU"/>
              </w:rPr>
              <w:t>58.1</w:t>
            </w:r>
          </w:p>
        </w:tc>
      </w:tr>
      <w:tr w:rsidR="006E51BF" w:rsidRPr="001457E6" w14:paraId="241D9C48"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02" w:type="pct"/>
            <w:tcBorders>
              <w:top w:val="single" w:sz="4" w:space="0" w:color="BFBFBF" w:themeColor="accent2"/>
              <w:bottom w:val="single" w:sz="4" w:space="0" w:color="000000" w:themeColor="text1"/>
            </w:tcBorders>
            <w:noWrap/>
            <w:hideMark/>
          </w:tcPr>
          <w:p w14:paraId="581597AD" w14:textId="77777777" w:rsidR="006E51BF" w:rsidRPr="002E4363" w:rsidRDefault="006E51BF" w:rsidP="006E51BF">
            <w:pPr>
              <w:pStyle w:val="ARfintablebullet1"/>
              <w:numPr>
                <w:ilvl w:val="0"/>
                <w:numId w:val="13"/>
              </w:numPr>
              <w:ind w:left="170" w:hanging="170"/>
            </w:pPr>
            <w:r w:rsidRPr="002E4363">
              <w:t>Other organisations</w:t>
            </w:r>
          </w:p>
        </w:tc>
        <w:tc>
          <w:tcPr>
            <w:cnfStyle w:val="000001000000" w:firstRow="0" w:lastRow="0" w:firstColumn="0" w:lastColumn="0" w:oddVBand="0" w:evenVBand="1" w:oddHBand="0" w:evenHBand="0" w:firstRowFirstColumn="0" w:firstRowLastColumn="0" w:lastRowFirstColumn="0" w:lastRowLastColumn="0"/>
            <w:tcW w:w="799" w:type="pct"/>
            <w:tcBorders>
              <w:top w:val="single" w:sz="4" w:space="0" w:color="BFBFBF" w:themeColor="accent2"/>
              <w:bottom w:val="single" w:sz="4" w:space="0" w:color="000000" w:themeColor="text1"/>
            </w:tcBorders>
            <w:noWrap/>
            <w:tcMar>
              <w:right w:w="0" w:type="nil"/>
            </w:tcMar>
            <w:hideMark/>
          </w:tcPr>
          <w:p w14:paraId="4F68A189" w14:textId="77777777" w:rsidR="006E51BF" w:rsidRPr="001457E6" w:rsidRDefault="006E51BF">
            <w:pPr>
              <w:pStyle w:val="ARfintabletextright"/>
              <w:rPr>
                <w:lang w:eastAsia="en-AU"/>
              </w:rPr>
            </w:pPr>
            <w:r w:rsidRPr="001457E6">
              <w:rPr>
                <w:lang w:eastAsia="en-AU"/>
              </w:rPr>
              <w:t>178.8</w:t>
            </w:r>
          </w:p>
        </w:tc>
        <w:tc>
          <w:tcPr>
            <w:tcW w:w="799" w:type="pct"/>
            <w:tcBorders>
              <w:top w:val="single" w:sz="4" w:space="0" w:color="BFBFBF" w:themeColor="accent2"/>
              <w:bottom w:val="single" w:sz="4" w:space="0" w:color="000000" w:themeColor="text1"/>
            </w:tcBorders>
            <w:noWrap/>
            <w:tcMar>
              <w:right w:w="0" w:type="nil"/>
            </w:tcMar>
            <w:hideMark/>
          </w:tcPr>
          <w:p w14:paraId="7C09EEDD" w14:textId="77777777" w:rsidR="006E51BF" w:rsidRPr="001457E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1457E6">
              <w:rPr>
                <w:lang w:eastAsia="en-AU"/>
              </w:rPr>
              <w:t>163.5</w:t>
            </w:r>
          </w:p>
        </w:tc>
      </w:tr>
      <w:tr w:rsidR="006E51BF" w:rsidRPr="001457E6" w14:paraId="3DFCA254"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02" w:type="pct"/>
            <w:tcBorders>
              <w:top w:val="single" w:sz="4" w:space="0" w:color="000000" w:themeColor="text1"/>
              <w:bottom w:val="single" w:sz="4" w:space="0" w:color="000000" w:themeColor="text1"/>
            </w:tcBorders>
            <w:noWrap/>
            <w:hideMark/>
          </w:tcPr>
          <w:p w14:paraId="1F0143B6" w14:textId="06E7F3FC" w:rsidR="006E51BF" w:rsidRPr="002E4363" w:rsidRDefault="006E51BF">
            <w:pPr>
              <w:pStyle w:val="ARfintabletext"/>
            </w:pPr>
            <w:r w:rsidRPr="002E4363">
              <w:t xml:space="preserve">Subtotal </w:t>
            </w:r>
            <w:r w:rsidRPr="007049D8">
              <w:rPr>
                <w:b/>
                <w:bCs/>
              </w:rPr>
              <w:t>–</w:t>
            </w:r>
            <w:r w:rsidRPr="002E4363">
              <w:t xml:space="preserve"> Community service organisations </w:t>
            </w:r>
            <w:r w:rsidR="00610A6F">
              <w:br/>
            </w:r>
            <w:r w:rsidRPr="002E4363">
              <w:t>and other non-government</w:t>
            </w:r>
            <w:r>
              <w:t> </w:t>
            </w:r>
            <w:r w:rsidRPr="002E4363">
              <w:t>organisations</w:t>
            </w:r>
          </w:p>
        </w:tc>
        <w:tc>
          <w:tcPr>
            <w:cnfStyle w:val="000001000000" w:firstRow="0" w:lastRow="0" w:firstColumn="0" w:lastColumn="0" w:oddVBand="0" w:evenVBand="1" w:oddHBand="0" w:evenHBand="0" w:firstRowFirstColumn="0" w:firstRowLastColumn="0" w:lastRowFirstColumn="0" w:lastRowLastColumn="0"/>
            <w:tcW w:w="799" w:type="pct"/>
            <w:tcBorders>
              <w:top w:val="single" w:sz="4" w:space="0" w:color="000000" w:themeColor="text1"/>
              <w:bottom w:val="single" w:sz="4" w:space="0" w:color="000000" w:themeColor="text1"/>
            </w:tcBorders>
            <w:noWrap/>
            <w:tcMar>
              <w:right w:w="0" w:type="nil"/>
            </w:tcMar>
            <w:hideMark/>
          </w:tcPr>
          <w:p w14:paraId="0E8F5085" w14:textId="77777777" w:rsidR="006E51BF" w:rsidRPr="001457E6" w:rsidRDefault="006E51BF">
            <w:pPr>
              <w:pStyle w:val="ARfintabletextboldright"/>
              <w:rPr>
                <w:lang w:eastAsia="en-AU"/>
              </w:rPr>
            </w:pPr>
            <w:r>
              <w:rPr>
                <w:lang w:eastAsia="en-AU"/>
              </w:rPr>
              <w:t>2,860.3</w:t>
            </w:r>
          </w:p>
        </w:tc>
        <w:tc>
          <w:tcPr>
            <w:tcW w:w="799" w:type="pct"/>
            <w:tcBorders>
              <w:top w:val="single" w:sz="4" w:space="0" w:color="000000" w:themeColor="text1"/>
              <w:bottom w:val="single" w:sz="4" w:space="0" w:color="000000" w:themeColor="text1"/>
            </w:tcBorders>
            <w:noWrap/>
            <w:tcMar>
              <w:right w:w="0" w:type="nil"/>
            </w:tcMar>
            <w:hideMark/>
          </w:tcPr>
          <w:p w14:paraId="2B10C906" w14:textId="77777777" w:rsidR="006E51BF" w:rsidRPr="001457E6"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2,809.7</w:t>
            </w:r>
          </w:p>
        </w:tc>
      </w:tr>
      <w:tr w:rsidR="006E51BF" w:rsidRPr="001457E6" w14:paraId="0D30A6F0"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02" w:type="pct"/>
            <w:tcBorders>
              <w:top w:val="single" w:sz="4" w:space="0" w:color="000000" w:themeColor="text1"/>
            </w:tcBorders>
            <w:noWrap/>
            <w:hideMark/>
          </w:tcPr>
          <w:p w14:paraId="1FEC3E5E" w14:textId="77777777" w:rsidR="006E51BF" w:rsidRPr="002E4363" w:rsidRDefault="006E51BF">
            <w:pPr>
              <w:pStyle w:val="ARfintabletext"/>
            </w:pPr>
          </w:p>
        </w:tc>
        <w:tc>
          <w:tcPr>
            <w:cnfStyle w:val="000001000000" w:firstRow="0" w:lastRow="0" w:firstColumn="0" w:lastColumn="0" w:oddVBand="0" w:evenVBand="1" w:oddHBand="0" w:evenHBand="0" w:firstRowFirstColumn="0" w:firstRowLastColumn="0" w:lastRowFirstColumn="0" w:lastRowLastColumn="0"/>
            <w:tcW w:w="799" w:type="pct"/>
            <w:tcBorders>
              <w:top w:val="single" w:sz="4" w:space="0" w:color="000000" w:themeColor="text1"/>
            </w:tcBorders>
            <w:noWrap/>
            <w:tcMar>
              <w:right w:w="0" w:type="nil"/>
            </w:tcMar>
            <w:hideMark/>
          </w:tcPr>
          <w:p w14:paraId="45216B6C" w14:textId="77777777" w:rsidR="006E51BF" w:rsidRPr="001457E6" w:rsidRDefault="006E51BF">
            <w:pPr>
              <w:pStyle w:val="ARfintabletextboldright"/>
              <w:rPr>
                <w:lang w:eastAsia="en-AU"/>
              </w:rPr>
            </w:pPr>
            <w:r>
              <w:rPr>
                <w:lang w:eastAsia="en-AU"/>
              </w:rPr>
              <w:t>4,334.8</w:t>
            </w:r>
          </w:p>
        </w:tc>
        <w:tc>
          <w:tcPr>
            <w:tcW w:w="799" w:type="pct"/>
            <w:tcBorders>
              <w:top w:val="single" w:sz="4" w:space="0" w:color="000000" w:themeColor="text1"/>
            </w:tcBorders>
            <w:noWrap/>
            <w:tcMar>
              <w:right w:w="0" w:type="nil"/>
            </w:tcMar>
            <w:hideMark/>
          </w:tcPr>
          <w:p w14:paraId="2E22EED1" w14:textId="77777777" w:rsidR="006E51BF" w:rsidRPr="001457E6"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4,595.2</w:t>
            </w:r>
          </w:p>
        </w:tc>
      </w:tr>
      <w:tr w:rsidR="006E51BF" w:rsidRPr="001457E6" w14:paraId="39F8482D"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02" w:type="pct"/>
            <w:noWrap/>
            <w:hideMark/>
          </w:tcPr>
          <w:p w14:paraId="1E8104F4" w14:textId="77777777" w:rsidR="006E51BF" w:rsidRPr="002E4363" w:rsidRDefault="006E51BF">
            <w:pPr>
              <w:pStyle w:val="ARfintabletextboldcoloured"/>
            </w:pPr>
            <w:r w:rsidRPr="002E4363">
              <w:t>Other state government agencies</w:t>
            </w:r>
          </w:p>
        </w:tc>
        <w:tc>
          <w:tcPr>
            <w:cnfStyle w:val="000001000000" w:firstRow="0" w:lastRow="0" w:firstColumn="0" w:lastColumn="0" w:oddVBand="0" w:evenVBand="1" w:oddHBand="0" w:evenHBand="0" w:firstRowFirstColumn="0" w:firstRowLastColumn="0" w:lastRowFirstColumn="0" w:lastRowLastColumn="0"/>
            <w:tcW w:w="799" w:type="pct"/>
            <w:shd w:val="clear" w:color="auto" w:fill="auto"/>
            <w:noWrap/>
            <w:tcMar>
              <w:right w:w="0" w:type="nil"/>
            </w:tcMar>
            <w:hideMark/>
          </w:tcPr>
          <w:p w14:paraId="56A7CE38" w14:textId="77777777" w:rsidR="006E51BF" w:rsidRPr="001457E6" w:rsidRDefault="006E51BF">
            <w:pPr>
              <w:pStyle w:val="ARfintabletextright"/>
              <w:rPr>
                <w:lang w:eastAsia="en-AU"/>
              </w:rPr>
            </w:pPr>
          </w:p>
        </w:tc>
        <w:tc>
          <w:tcPr>
            <w:tcW w:w="799" w:type="pct"/>
            <w:noWrap/>
            <w:tcMar>
              <w:right w:w="0" w:type="nil"/>
            </w:tcMar>
            <w:hideMark/>
          </w:tcPr>
          <w:p w14:paraId="7E9F226A" w14:textId="77777777" w:rsidR="006E51BF" w:rsidRPr="001457E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r>
      <w:tr w:rsidR="006E51BF" w:rsidRPr="001457E6" w14:paraId="4C4BD0BD"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02" w:type="pct"/>
            <w:tcBorders>
              <w:bottom w:val="single" w:sz="4" w:space="0" w:color="BFBFBF" w:themeColor="accent2"/>
            </w:tcBorders>
            <w:noWrap/>
            <w:hideMark/>
          </w:tcPr>
          <w:p w14:paraId="04F5B002" w14:textId="77777777" w:rsidR="006E51BF" w:rsidRPr="002E4363" w:rsidRDefault="006E51BF">
            <w:pPr>
              <w:pStyle w:val="ARfintabletext"/>
            </w:pPr>
            <w:r w:rsidRPr="002E4363">
              <w:t>Public health services and hospitals</w:t>
            </w:r>
          </w:p>
        </w:tc>
        <w:tc>
          <w:tcPr>
            <w:cnfStyle w:val="000001000000" w:firstRow="0" w:lastRow="0" w:firstColumn="0" w:lastColumn="0" w:oddVBand="0" w:evenVBand="1" w:oddHBand="0" w:evenHBand="0" w:firstRowFirstColumn="0" w:firstRowLastColumn="0" w:lastRowFirstColumn="0" w:lastRowLastColumn="0"/>
            <w:tcW w:w="799" w:type="pct"/>
            <w:tcBorders>
              <w:bottom w:val="single" w:sz="4" w:space="0" w:color="BFBFBF" w:themeColor="accent2"/>
            </w:tcBorders>
            <w:noWrap/>
            <w:tcMar>
              <w:right w:w="0" w:type="nil"/>
            </w:tcMar>
            <w:hideMark/>
          </w:tcPr>
          <w:p w14:paraId="606DDF0B" w14:textId="77777777" w:rsidR="006E51BF" w:rsidRPr="001457E6" w:rsidRDefault="006E51BF">
            <w:pPr>
              <w:pStyle w:val="ARfintabletextright"/>
              <w:rPr>
                <w:lang w:eastAsia="en-AU"/>
              </w:rPr>
            </w:pPr>
            <w:r w:rsidRPr="001457E6">
              <w:rPr>
                <w:lang w:eastAsia="en-AU"/>
              </w:rPr>
              <w:t>74.7</w:t>
            </w:r>
          </w:p>
        </w:tc>
        <w:tc>
          <w:tcPr>
            <w:tcW w:w="799" w:type="pct"/>
            <w:tcBorders>
              <w:bottom w:val="single" w:sz="4" w:space="0" w:color="BFBFBF" w:themeColor="accent2"/>
            </w:tcBorders>
            <w:noWrap/>
            <w:tcMar>
              <w:right w:w="0" w:type="nil"/>
            </w:tcMar>
            <w:hideMark/>
          </w:tcPr>
          <w:p w14:paraId="72128A2D" w14:textId="77777777" w:rsidR="006E51BF" w:rsidRPr="001457E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1457E6">
              <w:rPr>
                <w:lang w:eastAsia="en-AU"/>
              </w:rPr>
              <w:t>78.8</w:t>
            </w:r>
          </w:p>
        </w:tc>
      </w:tr>
      <w:tr w:rsidR="006E51BF" w:rsidRPr="001457E6" w14:paraId="0B2DD9F5"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02" w:type="pct"/>
            <w:tcBorders>
              <w:top w:val="single" w:sz="4" w:space="0" w:color="BFBFBF" w:themeColor="accent2"/>
              <w:bottom w:val="single" w:sz="4" w:space="0" w:color="000000" w:themeColor="text1"/>
            </w:tcBorders>
            <w:noWrap/>
            <w:hideMark/>
          </w:tcPr>
          <w:p w14:paraId="1393CE2F" w14:textId="77777777" w:rsidR="006E51BF" w:rsidRPr="002E4363" w:rsidRDefault="006E51BF">
            <w:pPr>
              <w:pStyle w:val="ARfintabletext"/>
            </w:pPr>
            <w:r w:rsidRPr="002E4363">
              <w:t>Other state government departments and associated entities</w:t>
            </w:r>
          </w:p>
        </w:tc>
        <w:tc>
          <w:tcPr>
            <w:cnfStyle w:val="000001000000" w:firstRow="0" w:lastRow="0" w:firstColumn="0" w:lastColumn="0" w:oddVBand="0" w:evenVBand="1" w:oddHBand="0" w:evenHBand="0" w:firstRowFirstColumn="0" w:firstRowLastColumn="0" w:lastRowFirstColumn="0" w:lastRowLastColumn="0"/>
            <w:tcW w:w="799" w:type="pct"/>
            <w:tcBorders>
              <w:top w:val="single" w:sz="4" w:space="0" w:color="BFBFBF" w:themeColor="accent2"/>
              <w:bottom w:val="single" w:sz="4" w:space="0" w:color="000000" w:themeColor="text1"/>
            </w:tcBorders>
            <w:noWrap/>
            <w:tcMar>
              <w:right w:w="0" w:type="nil"/>
            </w:tcMar>
            <w:hideMark/>
          </w:tcPr>
          <w:p w14:paraId="2859ADA7" w14:textId="77777777" w:rsidR="006E51BF" w:rsidRPr="001457E6" w:rsidRDefault="006E51BF">
            <w:pPr>
              <w:pStyle w:val="ARfintabletextright"/>
              <w:rPr>
                <w:lang w:eastAsia="en-AU"/>
              </w:rPr>
            </w:pPr>
            <w:r w:rsidRPr="001457E6">
              <w:rPr>
                <w:lang w:eastAsia="en-AU"/>
              </w:rPr>
              <w:t>272.0</w:t>
            </w:r>
          </w:p>
        </w:tc>
        <w:tc>
          <w:tcPr>
            <w:tcW w:w="799" w:type="pct"/>
            <w:tcBorders>
              <w:top w:val="single" w:sz="4" w:space="0" w:color="BFBFBF" w:themeColor="accent2"/>
              <w:bottom w:val="single" w:sz="4" w:space="0" w:color="000000" w:themeColor="text1"/>
            </w:tcBorders>
            <w:noWrap/>
            <w:tcMar>
              <w:right w:w="0" w:type="nil"/>
            </w:tcMar>
            <w:hideMark/>
          </w:tcPr>
          <w:p w14:paraId="1367AB93" w14:textId="77777777" w:rsidR="006E51BF" w:rsidRPr="001457E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1457E6">
              <w:rPr>
                <w:lang w:eastAsia="en-AU"/>
              </w:rPr>
              <w:t>251.5</w:t>
            </w:r>
          </w:p>
        </w:tc>
      </w:tr>
      <w:tr w:rsidR="006E51BF" w:rsidRPr="001457E6" w14:paraId="7EB34D7F"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02" w:type="pct"/>
            <w:tcBorders>
              <w:top w:val="single" w:sz="4" w:space="0" w:color="000000" w:themeColor="text1"/>
            </w:tcBorders>
            <w:noWrap/>
            <w:hideMark/>
          </w:tcPr>
          <w:p w14:paraId="790F3E47" w14:textId="77777777" w:rsidR="006E51BF" w:rsidRPr="002E4363" w:rsidRDefault="006E51BF">
            <w:pPr>
              <w:pStyle w:val="ARfintabletext"/>
            </w:pPr>
          </w:p>
        </w:tc>
        <w:tc>
          <w:tcPr>
            <w:cnfStyle w:val="000001000000" w:firstRow="0" w:lastRow="0" w:firstColumn="0" w:lastColumn="0" w:oddVBand="0" w:evenVBand="1" w:oddHBand="0" w:evenHBand="0" w:firstRowFirstColumn="0" w:firstRowLastColumn="0" w:lastRowFirstColumn="0" w:lastRowLastColumn="0"/>
            <w:tcW w:w="799" w:type="pct"/>
            <w:tcBorders>
              <w:top w:val="single" w:sz="4" w:space="0" w:color="000000" w:themeColor="text1"/>
            </w:tcBorders>
            <w:noWrap/>
            <w:tcMar>
              <w:right w:w="0" w:type="nil"/>
            </w:tcMar>
            <w:hideMark/>
          </w:tcPr>
          <w:p w14:paraId="58D5256C" w14:textId="77777777" w:rsidR="006E51BF" w:rsidRPr="001457E6" w:rsidRDefault="006E51BF">
            <w:pPr>
              <w:pStyle w:val="ARfintabletextboldright"/>
              <w:rPr>
                <w:lang w:eastAsia="en-AU"/>
              </w:rPr>
            </w:pPr>
            <w:r w:rsidRPr="001457E6">
              <w:rPr>
                <w:lang w:eastAsia="en-AU"/>
              </w:rPr>
              <w:t>346.7</w:t>
            </w:r>
          </w:p>
        </w:tc>
        <w:tc>
          <w:tcPr>
            <w:tcW w:w="799" w:type="pct"/>
            <w:tcBorders>
              <w:top w:val="single" w:sz="4" w:space="0" w:color="000000" w:themeColor="text1"/>
            </w:tcBorders>
            <w:noWrap/>
            <w:tcMar>
              <w:right w:w="0" w:type="nil"/>
            </w:tcMar>
            <w:hideMark/>
          </w:tcPr>
          <w:p w14:paraId="0409955A" w14:textId="77777777" w:rsidR="006E51BF" w:rsidRPr="001457E6"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1457E6">
              <w:rPr>
                <w:lang w:eastAsia="en-AU"/>
              </w:rPr>
              <w:t>330.4</w:t>
            </w:r>
          </w:p>
        </w:tc>
      </w:tr>
      <w:tr w:rsidR="006E51BF" w:rsidRPr="001457E6" w14:paraId="3B5F786E"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02" w:type="pct"/>
            <w:tcBorders>
              <w:bottom w:val="single" w:sz="4" w:space="0" w:color="BFBFBF" w:themeColor="accent2"/>
            </w:tcBorders>
            <w:noWrap/>
            <w:hideMark/>
          </w:tcPr>
          <w:p w14:paraId="3FB0FCFE" w14:textId="77777777" w:rsidR="006E51BF" w:rsidRPr="002E4363" w:rsidRDefault="006E51BF">
            <w:pPr>
              <w:pStyle w:val="ARfintabletextboldcoloured"/>
            </w:pPr>
            <w:r w:rsidRPr="002E4363">
              <w:t>Local government</w:t>
            </w:r>
          </w:p>
        </w:tc>
        <w:tc>
          <w:tcPr>
            <w:cnfStyle w:val="000001000000" w:firstRow="0" w:lastRow="0" w:firstColumn="0" w:lastColumn="0" w:oddVBand="0" w:evenVBand="1" w:oddHBand="0" w:evenHBand="0" w:firstRowFirstColumn="0" w:firstRowLastColumn="0" w:lastRowFirstColumn="0" w:lastRowLastColumn="0"/>
            <w:tcW w:w="799" w:type="pct"/>
            <w:tcBorders>
              <w:bottom w:val="single" w:sz="4" w:space="0" w:color="BFBFBF" w:themeColor="accent2"/>
            </w:tcBorders>
            <w:shd w:val="clear" w:color="auto" w:fill="auto"/>
            <w:noWrap/>
            <w:tcMar>
              <w:right w:w="0" w:type="nil"/>
            </w:tcMar>
            <w:hideMark/>
          </w:tcPr>
          <w:p w14:paraId="03E67FDB" w14:textId="77777777" w:rsidR="006E51BF" w:rsidRPr="001457E6" w:rsidRDefault="006E51BF">
            <w:pPr>
              <w:pStyle w:val="ARfintabletextright"/>
              <w:rPr>
                <w:lang w:eastAsia="en-AU"/>
              </w:rPr>
            </w:pPr>
          </w:p>
        </w:tc>
        <w:tc>
          <w:tcPr>
            <w:tcW w:w="799" w:type="pct"/>
            <w:tcBorders>
              <w:bottom w:val="single" w:sz="4" w:space="0" w:color="BFBFBF" w:themeColor="accent2"/>
            </w:tcBorders>
            <w:noWrap/>
            <w:tcMar>
              <w:right w:w="0" w:type="nil"/>
            </w:tcMar>
            <w:hideMark/>
          </w:tcPr>
          <w:p w14:paraId="3CC3B765" w14:textId="77777777" w:rsidR="006E51BF" w:rsidRPr="001457E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r>
      <w:tr w:rsidR="006E51BF" w:rsidRPr="001457E6" w14:paraId="46E6B528"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02" w:type="pct"/>
            <w:tcBorders>
              <w:top w:val="single" w:sz="4" w:space="0" w:color="BFBFBF" w:themeColor="accent2"/>
              <w:bottom w:val="single" w:sz="4" w:space="0" w:color="000000" w:themeColor="text1"/>
            </w:tcBorders>
            <w:noWrap/>
            <w:hideMark/>
          </w:tcPr>
          <w:p w14:paraId="589BEC86" w14:textId="77777777" w:rsidR="006E51BF" w:rsidRPr="002E4363" w:rsidRDefault="006E51BF">
            <w:pPr>
              <w:pStyle w:val="ARfintabletext"/>
            </w:pPr>
            <w:r w:rsidRPr="002E4363">
              <w:t>Local councils</w:t>
            </w:r>
          </w:p>
        </w:tc>
        <w:tc>
          <w:tcPr>
            <w:cnfStyle w:val="000001000000" w:firstRow="0" w:lastRow="0" w:firstColumn="0" w:lastColumn="0" w:oddVBand="0" w:evenVBand="1" w:oddHBand="0" w:evenHBand="0" w:firstRowFirstColumn="0" w:firstRowLastColumn="0" w:lastRowFirstColumn="0" w:lastRowLastColumn="0"/>
            <w:tcW w:w="799" w:type="pct"/>
            <w:tcBorders>
              <w:top w:val="single" w:sz="4" w:space="0" w:color="BFBFBF" w:themeColor="accent2"/>
              <w:bottom w:val="single" w:sz="4" w:space="0" w:color="000000" w:themeColor="text1"/>
            </w:tcBorders>
            <w:noWrap/>
            <w:tcMar>
              <w:right w:w="0" w:type="nil"/>
            </w:tcMar>
            <w:hideMark/>
          </w:tcPr>
          <w:p w14:paraId="70CDC557" w14:textId="77777777" w:rsidR="006E51BF" w:rsidRPr="001457E6" w:rsidRDefault="006E51BF">
            <w:pPr>
              <w:pStyle w:val="ARfintabletextright"/>
              <w:rPr>
                <w:lang w:eastAsia="en-AU"/>
              </w:rPr>
            </w:pPr>
            <w:r>
              <w:rPr>
                <w:lang w:eastAsia="en-AU"/>
              </w:rPr>
              <w:t>25.1</w:t>
            </w:r>
          </w:p>
        </w:tc>
        <w:tc>
          <w:tcPr>
            <w:tcW w:w="799" w:type="pct"/>
            <w:tcBorders>
              <w:top w:val="single" w:sz="4" w:space="0" w:color="BFBFBF" w:themeColor="accent2"/>
              <w:bottom w:val="single" w:sz="4" w:space="0" w:color="000000" w:themeColor="text1"/>
            </w:tcBorders>
            <w:noWrap/>
            <w:tcMar>
              <w:right w:w="0" w:type="nil"/>
            </w:tcMar>
            <w:hideMark/>
          </w:tcPr>
          <w:p w14:paraId="211893B1" w14:textId="77777777" w:rsidR="006E51BF" w:rsidRPr="001457E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27.0</w:t>
            </w:r>
          </w:p>
        </w:tc>
      </w:tr>
      <w:tr w:rsidR="006E51BF" w:rsidRPr="001457E6" w14:paraId="7C927687"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02" w:type="pct"/>
            <w:tcBorders>
              <w:top w:val="single" w:sz="4" w:space="0" w:color="000000" w:themeColor="text1"/>
            </w:tcBorders>
            <w:noWrap/>
            <w:hideMark/>
          </w:tcPr>
          <w:p w14:paraId="1BC0A0CA" w14:textId="77777777" w:rsidR="006E51BF" w:rsidRPr="002E4363" w:rsidRDefault="006E51BF">
            <w:pPr>
              <w:pStyle w:val="ARfintabletext"/>
            </w:pPr>
          </w:p>
        </w:tc>
        <w:tc>
          <w:tcPr>
            <w:cnfStyle w:val="000001000000" w:firstRow="0" w:lastRow="0" w:firstColumn="0" w:lastColumn="0" w:oddVBand="0" w:evenVBand="1" w:oddHBand="0" w:evenHBand="0" w:firstRowFirstColumn="0" w:firstRowLastColumn="0" w:lastRowFirstColumn="0" w:lastRowLastColumn="0"/>
            <w:tcW w:w="799" w:type="pct"/>
            <w:tcBorders>
              <w:top w:val="single" w:sz="4" w:space="0" w:color="000000" w:themeColor="text1"/>
            </w:tcBorders>
            <w:noWrap/>
            <w:tcMar>
              <w:right w:w="0" w:type="nil"/>
            </w:tcMar>
            <w:hideMark/>
          </w:tcPr>
          <w:p w14:paraId="47E53661" w14:textId="77777777" w:rsidR="006E51BF" w:rsidRPr="001457E6" w:rsidRDefault="006E51BF">
            <w:pPr>
              <w:pStyle w:val="ARfintabletextboldright"/>
              <w:rPr>
                <w:lang w:eastAsia="en-AU"/>
              </w:rPr>
            </w:pPr>
            <w:r>
              <w:rPr>
                <w:lang w:eastAsia="en-AU"/>
              </w:rPr>
              <w:t>25.1</w:t>
            </w:r>
          </w:p>
        </w:tc>
        <w:tc>
          <w:tcPr>
            <w:tcW w:w="799" w:type="pct"/>
            <w:tcBorders>
              <w:top w:val="single" w:sz="4" w:space="0" w:color="000000" w:themeColor="text1"/>
            </w:tcBorders>
            <w:noWrap/>
            <w:tcMar>
              <w:right w:w="0" w:type="nil"/>
            </w:tcMar>
            <w:hideMark/>
          </w:tcPr>
          <w:p w14:paraId="3F640EA4" w14:textId="77777777" w:rsidR="006E51BF" w:rsidRPr="001457E6"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27.0</w:t>
            </w:r>
          </w:p>
        </w:tc>
      </w:tr>
      <w:tr w:rsidR="006E51BF" w:rsidRPr="001457E6" w14:paraId="5A2DC65E"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02" w:type="pct"/>
            <w:tcBorders>
              <w:bottom w:val="single" w:sz="4" w:space="0" w:color="BFBFBF" w:themeColor="accent2"/>
            </w:tcBorders>
            <w:noWrap/>
            <w:hideMark/>
          </w:tcPr>
          <w:p w14:paraId="19DA07CA" w14:textId="77777777" w:rsidR="006E51BF" w:rsidRPr="002E4363" w:rsidRDefault="006E51BF">
            <w:pPr>
              <w:pStyle w:val="ARfintabletextboldcoloured"/>
              <w:pageBreakBefore/>
            </w:pPr>
            <w:r w:rsidRPr="002E4363">
              <w:t xml:space="preserve">Commonwealth Government </w:t>
            </w:r>
          </w:p>
        </w:tc>
        <w:tc>
          <w:tcPr>
            <w:cnfStyle w:val="000001000000" w:firstRow="0" w:lastRow="0" w:firstColumn="0" w:lastColumn="0" w:oddVBand="0" w:evenVBand="1" w:oddHBand="0" w:evenHBand="0" w:firstRowFirstColumn="0" w:firstRowLastColumn="0" w:lastRowFirstColumn="0" w:lastRowLastColumn="0"/>
            <w:tcW w:w="799" w:type="pct"/>
            <w:tcBorders>
              <w:bottom w:val="single" w:sz="4" w:space="0" w:color="BFBFBF" w:themeColor="accent2"/>
            </w:tcBorders>
            <w:shd w:val="clear" w:color="auto" w:fill="auto"/>
            <w:noWrap/>
            <w:tcMar>
              <w:right w:w="0" w:type="nil"/>
            </w:tcMar>
            <w:hideMark/>
          </w:tcPr>
          <w:p w14:paraId="5C6995D7" w14:textId="77777777" w:rsidR="006E51BF" w:rsidRPr="001457E6" w:rsidRDefault="006E51BF">
            <w:pPr>
              <w:pStyle w:val="ARfintabletextright"/>
              <w:rPr>
                <w:lang w:eastAsia="en-AU"/>
              </w:rPr>
            </w:pPr>
          </w:p>
        </w:tc>
        <w:tc>
          <w:tcPr>
            <w:tcW w:w="799" w:type="pct"/>
            <w:tcBorders>
              <w:bottom w:val="single" w:sz="4" w:space="0" w:color="BFBFBF" w:themeColor="accent2"/>
            </w:tcBorders>
            <w:noWrap/>
            <w:tcMar>
              <w:right w:w="0" w:type="nil"/>
            </w:tcMar>
            <w:hideMark/>
          </w:tcPr>
          <w:p w14:paraId="59A6418E" w14:textId="77777777" w:rsidR="006E51BF" w:rsidRPr="001457E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1457E6" w14:paraId="2203CDCD"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402" w:type="pct"/>
            <w:tcBorders>
              <w:top w:val="single" w:sz="4" w:space="0" w:color="BFBFBF" w:themeColor="accent2"/>
              <w:bottom w:val="single" w:sz="4" w:space="0" w:color="000000" w:themeColor="text1"/>
            </w:tcBorders>
            <w:noWrap/>
            <w:hideMark/>
          </w:tcPr>
          <w:p w14:paraId="291FDF90" w14:textId="77777777" w:rsidR="006E51BF" w:rsidRPr="002E4363" w:rsidRDefault="006E51BF">
            <w:pPr>
              <w:pStyle w:val="ARfintabletext"/>
            </w:pPr>
            <w:r w:rsidRPr="002E4363">
              <w:t>Commonwealth government organisations</w:t>
            </w:r>
          </w:p>
        </w:tc>
        <w:tc>
          <w:tcPr>
            <w:cnfStyle w:val="000001000000" w:firstRow="0" w:lastRow="0" w:firstColumn="0" w:lastColumn="0" w:oddVBand="0" w:evenVBand="1" w:oddHBand="0" w:evenHBand="0" w:firstRowFirstColumn="0" w:firstRowLastColumn="0" w:lastRowFirstColumn="0" w:lastRowLastColumn="0"/>
            <w:tcW w:w="799" w:type="pct"/>
            <w:tcBorders>
              <w:top w:val="single" w:sz="4" w:space="0" w:color="BFBFBF" w:themeColor="accent2"/>
              <w:bottom w:val="single" w:sz="4" w:space="0" w:color="000000" w:themeColor="text1"/>
            </w:tcBorders>
            <w:noWrap/>
            <w:tcMar>
              <w:right w:w="0" w:type="nil"/>
            </w:tcMar>
            <w:hideMark/>
          </w:tcPr>
          <w:p w14:paraId="46D061DE" w14:textId="77777777" w:rsidR="006E51BF" w:rsidRPr="001457E6" w:rsidRDefault="006E51BF">
            <w:pPr>
              <w:pStyle w:val="ARfintabletextright"/>
              <w:rPr>
                <w:lang w:eastAsia="en-AU"/>
              </w:rPr>
            </w:pPr>
            <w:r w:rsidRPr="001457E6">
              <w:rPr>
                <w:lang w:eastAsia="en-AU"/>
              </w:rPr>
              <w:t>0.5</w:t>
            </w:r>
          </w:p>
        </w:tc>
        <w:tc>
          <w:tcPr>
            <w:tcW w:w="799" w:type="pct"/>
            <w:tcBorders>
              <w:top w:val="single" w:sz="4" w:space="0" w:color="BFBFBF" w:themeColor="accent2"/>
              <w:bottom w:val="single" w:sz="4" w:space="0" w:color="000000" w:themeColor="text1"/>
            </w:tcBorders>
            <w:noWrap/>
            <w:tcMar>
              <w:right w:w="0" w:type="nil"/>
            </w:tcMar>
            <w:hideMark/>
          </w:tcPr>
          <w:p w14:paraId="43475139" w14:textId="77777777" w:rsidR="006E51BF" w:rsidRPr="001457E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1457E6">
              <w:rPr>
                <w:lang w:eastAsia="en-AU"/>
              </w:rPr>
              <w:t>0.4</w:t>
            </w:r>
          </w:p>
        </w:tc>
      </w:tr>
      <w:tr w:rsidR="006E51BF" w:rsidRPr="001457E6" w14:paraId="3AD7A58C"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402" w:type="pct"/>
            <w:tcBorders>
              <w:top w:val="single" w:sz="4" w:space="0" w:color="000000" w:themeColor="text1"/>
              <w:bottom w:val="single" w:sz="4" w:space="0" w:color="000000" w:themeColor="text1"/>
            </w:tcBorders>
            <w:noWrap/>
            <w:hideMark/>
          </w:tcPr>
          <w:p w14:paraId="06FB0000" w14:textId="77777777" w:rsidR="006E51BF" w:rsidRPr="002E4363" w:rsidRDefault="006E51BF">
            <w:pPr>
              <w:pStyle w:val="ARfintabletext"/>
            </w:pPr>
          </w:p>
        </w:tc>
        <w:tc>
          <w:tcPr>
            <w:cnfStyle w:val="000001000000" w:firstRow="0" w:lastRow="0" w:firstColumn="0" w:lastColumn="0" w:oddVBand="0" w:evenVBand="1" w:oddHBand="0" w:evenHBand="0" w:firstRowFirstColumn="0" w:firstRowLastColumn="0" w:lastRowFirstColumn="0" w:lastRowLastColumn="0"/>
            <w:tcW w:w="799" w:type="pct"/>
            <w:tcBorders>
              <w:top w:val="single" w:sz="4" w:space="0" w:color="000000" w:themeColor="text1"/>
              <w:bottom w:val="single" w:sz="4" w:space="0" w:color="000000" w:themeColor="text1"/>
            </w:tcBorders>
            <w:noWrap/>
            <w:tcMar>
              <w:right w:w="0" w:type="nil"/>
            </w:tcMar>
            <w:hideMark/>
          </w:tcPr>
          <w:p w14:paraId="663BC143" w14:textId="77777777" w:rsidR="006E51BF" w:rsidRPr="001457E6" w:rsidRDefault="006E51BF">
            <w:pPr>
              <w:pStyle w:val="ARfintabletextboldright"/>
              <w:rPr>
                <w:lang w:eastAsia="en-AU"/>
              </w:rPr>
            </w:pPr>
            <w:r w:rsidRPr="001457E6">
              <w:rPr>
                <w:lang w:eastAsia="en-AU"/>
              </w:rPr>
              <w:t>0.5</w:t>
            </w:r>
          </w:p>
        </w:tc>
        <w:tc>
          <w:tcPr>
            <w:tcW w:w="799" w:type="pct"/>
            <w:tcBorders>
              <w:top w:val="single" w:sz="4" w:space="0" w:color="000000" w:themeColor="text1"/>
              <w:bottom w:val="single" w:sz="4" w:space="0" w:color="000000" w:themeColor="text1"/>
            </w:tcBorders>
            <w:noWrap/>
            <w:tcMar>
              <w:right w:w="0" w:type="nil"/>
            </w:tcMar>
            <w:hideMark/>
          </w:tcPr>
          <w:p w14:paraId="1D720933" w14:textId="77777777" w:rsidR="006E51BF" w:rsidRPr="001457E6"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1457E6">
              <w:rPr>
                <w:lang w:eastAsia="en-AU"/>
              </w:rPr>
              <w:t>0.4</w:t>
            </w:r>
          </w:p>
        </w:tc>
      </w:tr>
      <w:tr w:rsidR="006E51BF" w:rsidRPr="001457E6" w14:paraId="16C9AB87" w14:textId="77777777" w:rsidTr="00785A35">
        <w:trPr>
          <w:cnfStyle w:val="010000000000" w:firstRow="0" w:lastRow="1" w:firstColumn="0" w:lastColumn="0" w:oddVBand="0" w:evenVBand="0" w:oddHBand="0" w:evenHBand="0" w:firstRowFirstColumn="0" w:firstRowLastColumn="0" w:lastRowFirstColumn="0" w:lastRowLastColumn="0"/>
          <w:trHeight w:val="20"/>
        </w:trPr>
        <w:tc>
          <w:tcPr>
            <w:tcW w:w="3402" w:type="pct"/>
            <w:noWrap/>
            <w:hideMark/>
          </w:tcPr>
          <w:p w14:paraId="7DF6B24A" w14:textId="77777777" w:rsidR="006E51BF" w:rsidRPr="002E4363" w:rsidRDefault="006E51BF">
            <w:pPr>
              <w:pStyle w:val="ARfintabletextbold"/>
            </w:pPr>
            <w:r w:rsidRPr="002E4363">
              <w:t>Total grant expenses</w:t>
            </w:r>
          </w:p>
        </w:tc>
        <w:tc>
          <w:tcPr>
            <w:cnfStyle w:val="000001000000" w:firstRow="0" w:lastRow="0" w:firstColumn="0" w:lastColumn="0" w:oddVBand="0" w:evenVBand="1" w:oddHBand="0" w:evenHBand="0" w:firstRowFirstColumn="0" w:firstRowLastColumn="0" w:lastRowFirstColumn="0" w:lastRowLastColumn="0"/>
            <w:tcW w:w="799" w:type="pct"/>
            <w:noWrap/>
            <w:tcMar>
              <w:right w:w="0" w:type="nil"/>
            </w:tcMar>
            <w:hideMark/>
          </w:tcPr>
          <w:p w14:paraId="7C22B731" w14:textId="77777777" w:rsidR="006E51BF" w:rsidRPr="001457E6" w:rsidRDefault="006E51BF">
            <w:pPr>
              <w:pStyle w:val="ARfintabletextboldright"/>
              <w:rPr>
                <w:lang w:eastAsia="en-AU"/>
              </w:rPr>
            </w:pPr>
            <w:r w:rsidRPr="001457E6">
              <w:rPr>
                <w:lang w:eastAsia="en-AU"/>
              </w:rPr>
              <w:t>4,707.2</w:t>
            </w:r>
          </w:p>
        </w:tc>
        <w:tc>
          <w:tcPr>
            <w:tcW w:w="799" w:type="pct"/>
            <w:noWrap/>
            <w:tcMar>
              <w:right w:w="0" w:type="nil"/>
            </w:tcMar>
            <w:hideMark/>
          </w:tcPr>
          <w:p w14:paraId="5ADACBCF" w14:textId="77777777" w:rsidR="006E51BF" w:rsidRPr="001457E6"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1457E6">
              <w:rPr>
                <w:lang w:eastAsia="en-AU"/>
              </w:rPr>
              <w:t>4,952.9</w:t>
            </w:r>
          </w:p>
        </w:tc>
      </w:tr>
    </w:tbl>
    <w:p w14:paraId="51C62006" w14:textId="77777777" w:rsidR="006E51BF" w:rsidRPr="001457E6" w:rsidRDefault="006E51BF">
      <w:pPr>
        <w:pStyle w:val="ARfintablenote"/>
        <w:rPr>
          <w:lang w:eastAsia="en-AU"/>
        </w:rPr>
      </w:pPr>
      <w:r w:rsidRPr="001457E6">
        <w:rPr>
          <w:lang w:eastAsia="en-AU"/>
        </w:rPr>
        <w:t>Note:</w:t>
      </w:r>
    </w:p>
    <w:p w14:paraId="38C7790C" w14:textId="77777777" w:rsidR="006E51BF" w:rsidRDefault="006E51BF" w:rsidP="006E51BF">
      <w:pPr>
        <w:pStyle w:val="ARfintablenoteroman"/>
        <w:numPr>
          <w:ilvl w:val="0"/>
          <w:numId w:val="54"/>
        </w:numPr>
      </w:pPr>
      <w:r w:rsidRPr="001457E6">
        <w:t>Grants to non-government agencies and individuals primarily relate to social and affordable housing initiative, concessions to pensioners and beneficiaries and services provided by non-government organisations to Victorians.</w:t>
      </w:r>
    </w:p>
    <w:p w14:paraId="577B864B" w14:textId="77777777" w:rsidR="006E51BF" w:rsidRPr="001457E6" w:rsidRDefault="006E51BF" w:rsidP="006E51BF">
      <w:pPr>
        <w:pStyle w:val="ARfintablenoteroman"/>
        <w:numPr>
          <w:ilvl w:val="0"/>
          <w:numId w:val="54"/>
        </w:numPr>
      </w:pPr>
      <w:r>
        <w:t xml:space="preserve">In 2025-26, there is a decrease in grant payments for concessions to pensioners and other beneficiaries and disability services due to the Energy Bill Relief Fund and fixed-term funding for government disability accommodation services ending on </w:t>
      </w:r>
      <w:r>
        <w:br/>
        <w:t>31 December 2025.</w:t>
      </w:r>
    </w:p>
    <w:p w14:paraId="38DBC948" w14:textId="77777777" w:rsidR="006E51BF" w:rsidRDefault="006E51BF">
      <w:pPr>
        <w:pStyle w:val="ARfinbody"/>
        <w:rPr>
          <w:lang w:eastAsia="en-AU"/>
        </w:rPr>
      </w:pPr>
      <w:r w:rsidRPr="001457E6">
        <w:rPr>
          <w:lang w:eastAsia="en-AU"/>
        </w:rPr>
        <w:t xml:space="preserve">Transactions in which the department provides goods, services, assets (or extinguishes a liability) or labour to another party without receiving approximately equal value in return are categorised as ‘Grant and other </w:t>
      </w:r>
      <w:proofErr w:type="gramStart"/>
      <w:r w:rsidRPr="001457E6">
        <w:rPr>
          <w:lang w:eastAsia="en-AU"/>
        </w:rPr>
        <w:t>transfers</w:t>
      </w:r>
      <w:r>
        <w:rPr>
          <w:lang w:eastAsia="en-AU"/>
        </w:rPr>
        <w:t>’</w:t>
      </w:r>
      <w:proofErr w:type="gramEnd"/>
      <w:r w:rsidRPr="001457E6">
        <w:rPr>
          <w:lang w:eastAsia="en-AU"/>
        </w:rPr>
        <w:t>. Grants can either be operating or capital in nature. Grants can be paid as general-purpose grants, which refer to grants that are not subject to conditions regarding their use. Alternatively, they may be paid as specific purpose grants which are paid for a particular purpose and/or have conditions attached regarding their use.</w:t>
      </w:r>
    </w:p>
    <w:p w14:paraId="62C5A76C" w14:textId="77777777" w:rsidR="006E51BF" w:rsidRPr="001457E6" w:rsidRDefault="006E51BF">
      <w:pPr>
        <w:pStyle w:val="ARfinbody"/>
        <w:rPr>
          <w:lang w:eastAsia="en-AU"/>
        </w:rPr>
      </w:pPr>
      <w:r w:rsidRPr="001457E6">
        <w:rPr>
          <w:lang w:eastAsia="en-AU"/>
        </w:rPr>
        <w:t xml:space="preserve">Grants and other transfers to third parties are recognised as an expense in the reporting period in which they are incurred. They include transactions such as grants, subsidies and other transfer payments to other state government agencies, local councils and non-government agencies and individuals. Committed grants and other transfers as </w:t>
      </w:r>
      <w:proofErr w:type="gramStart"/>
      <w:r w:rsidRPr="001457E6">
        <w:rPr>
          <w:lang w:eastAsia="en-AU"/>
        </w:rPr>
        <w:t>at</w:t>
      </w:r>
      <w:proofErr w:type="gramEnd"/>
      <w:r w:rsidRPr="001457E6">
        <w:rPr>
          <w:lang w:eastAsia="en-AU"/>
        </w:rPr>
        <w:t xml:space="preserve"> 30 June 2026 are disclosed in Note 7.5.1.</w:t>
      </w:r>
    </w:p>
    <w:p w14:paraId="53B4B306" w14:textId="77777777" w:rsidR="006E51BF" w:rsidRDefault="006E51BF">
      <w:pPr>
        <w:pStyle w:val="ARfinbody"/>
        <w:rPr>
          <w:lang w:eastAsia="en-AU"/>
        </w:rPr>
      </w:pPr>
      <w:r w:rsidRPr="001457E6">
        <w:rPr>
          <w:lang w:eastAsia="en-AU"/>
        </w:rPr>
        <w:t>Grants to non-government agencies and individuals include payments related to:</w:t>
      </w:r>
    </w:p>
    <w:p w14:paraId="5644D062" w14:textId="77777777" w:rsidR="006E51BF" w:rsidRPr="00A907CF" w:rsidRDefault="006E51BF" w:rsidP="006E51BF">
      <w:pPr>
        <w:pStyle w:val="ARfinbullet1"/>
        <w:numPr>
          <w:ilvl w:val="0"/>
          <w:numId w:val="13"/>
        </w:numPr>
        <w:ind w:left="284" w:hanging="284"/>
      </w:pPr>
      <w:r w:rsidRPr="00A907CF">
        <w:t>initiatives to increase social and affordable housing stock as part of the Big Housing Build as well as the Building Works Package to fund the maintenance and upgrade of social housing. Committed grants under the Big Housing Build and Building Works Package initiatives are disclosed in Note 7.5.1</w:t>
      </w:r>
    </w:p>
    <w:p w14:paraId="28FB2C53" w14:textId="77777777" w:rsidR="006E51BF" w:rsidRPr="00A907CF" w:rsidRDefault="006E51BF" w:rsidP="006E51BF">
      <w:pPr>
        <w:pStyle w:val="ARfinbullet1"/>
        <w:numPr>
          <w:ilvl w:val="0"/>
          <w:numId w:val="13"/>
        </w:numPr>
        <w:ind w:left="284" w:hanging="284"/>
      </w:pPr>
      <w:r w:rsidRPr="00A907CF">
        <w:t>concessions to pensioners and beneficiaries that include the development and coordination of the delivery of concessions and relief grants to eligible consumers and concession card holders</w:t>
      </w:r>
    </w:p>
    <w:p w14:paraId="46E03522" w14:textId="77777777" w:rsidR="006E51BF" w:rsidRDefault="006E51BF" w:rsidP="006E51BF">
      <w:pPr>
        <w:pStyle w:val="ARfinbullet1"/>
        <w:numPr>
          <w:ilvl w:val="0"/>
          <w:numId w:val="13"/>
        </w:numPr>
        <w:ind w:left="284" w:hanging="284"/>
      </w:pPr>
      <w:r w:rsidRPr="00A907CF">
        <w:t>services provided by non-government organisations to support Victorians, including support family, child protection, early parenting, family violence victims and reform, sexual assault victims, placement care and specialist</w:t>
      </w:r>
      <w:r w:rsidRPr="001457E6">
        <w:t xml:space="preserve"> support. Refer to Note 4.1.2 Departmental outputs </w:t>
      </w:r>
      <w:r>
        <w:t>–</w:t>
      </w:r>
      <w:r w:rsidRPr="001457E6">
        <w:t xml:space="preserve"> controlled income and expenses for further details.</w:t>
      </w:r>
    </w:p>
    <w:p w14:paraId="2263300C" w14:textId="77777777" w:rsidR="006E51BF" w:rsidRPr="00AC749F" w:rsidRDefault="006E51BF">
      <w:pPr>
        <w:pStyle w:val="Heading5"/>
        <w:rPr>
          <w:lang w:eastAsia="en-AU"/>
        </w:rPr>
      </w:pPr>
      <w:r w:rsidRPr="007437E7">
        <w:rPr>
          <w:lang w:eastAsia="en-AU"/>
        </w:rPr>
        <w:t xml:space="preserve">3.1.3 </w:t>
      </w:r>
      <w:r>
        <w:rPr>
          <w:lang w:eastAsia="en-AU"/>
        </w:rPr>
        <w:tab/>
      </w:r>
      <w:r w:rsidRPr="007437E7">
        <w:rPr>
          <w:lang w:eastAsia="en-AU"/>
        </w:rPr>
        <w:t>Other operating expenses</w:t>
      </w:r>
    </w:p>
    <w:tbl>
      <w:tblPr>
        <w:tblStyle w:val="ARtable1"/>
        <w:tblW w:w="5000" w:type="pct"/>
        <w:tblLook w:val="00E0" w:firstRow="1" w:lastRow="1" w:firstColumn="1" w:lastColumn="0" w:noHBand="0" w:noVBand="0"/>
      </w:tblPr>
      <w:tblGrid>
        <w:gridCol w:w="6514"/>
        <w:gridCol w:w="1556"/>
        <w:gridCol w:w="1558"/>
      </w:tblGrid>
      <w:tr w:rsidR="006E51BF" w:rsidRPr="007437E7" w14:paraId="142B316B" w14:textId="77777777" w:rsidTr="00785A35">
        <w:trPr>
          <w:cnfStyle w:val="100000000000" w:firstRow="1" w:lastRow="0" w:firstColumn="0" w:lastColumn="0" w:oddVBand="0" w:evenVBand="0" w:oddHBand="0" w:evenHBand="0" w:firstRowFirstColumn="0" w:firstRowLastColumn="0" w:lastRowFirstColumn="0" w:lastRowLastColumn="0"/>
          <w:trHeight w:val="20"/>
          <w:tblHeader/>
        </w:trPr>
        <w:tc>
          <w:tcPr>
            <w:tcW w:w="3383" w:type="pct"/>
            <w:noWrap/>
          </w:tcPr>
          <w:p w14:paraId="5236F5E7" w14:textId="77777777" w:rsidR="006E51BF" w:rsidRPr="007437E7" w:rsidRDefault="006E51BF">
            <w:pPr>
              <w:pStyle w:val="ARfintablecolheadright"/>
              <w:rPr>
                <w:lang w:eastAsia="en-AU"/>
              </w:rPr>
            </w:pP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21848BF1" w14:textId="77777777" w:rsidR="006E51BF" w:rsidRPr="007437E7" w:rsidRDefault="006E51BF">
            <w:pPr>
              <w:pStyle w:val="ARfintablecolheadright"/>
              <w:rPr>
                <w:lang w:eastAsia="en-AU"/>
              </w:rPr>
            </w:pPr>
            <w:r w:rsidRPr="007437E7">
              <w:rPr>
                <w:lang w:eastAsia="en-AU"/>
              </w:rPr>
              <w:t>2026</w:t>
            </w:r>
          </w:p>
          <w:p w14:paraId="74F95B0A" w14:textId="77777777" w:rsidR="006E51BF" w:rsidRPr="007437E7" w:rsidRDefault="006E51BF">
            <w:pPr>
              <w:pStyle w:val="ARfintablecolheadright"/>
              <w:rPr>
                <w:lang w:eastAsia="en-AU"/>
              </w:rPr>
            </w:pPr>
            <w:r w:rsidRPr="007437E7">
              <w:rPr>
                <w:lang w:eastAsia="en-AU"/>
              </w:rPr>
              <w:t>$M</w:t>
            </w:r>
          </w:p>
        </w:tc>
        <w:tc>
          <w:tcPr>
            <w:tcW w:w="809" w:type="pct"/>
            <w:noWrap/>
            <w:tcMar>
              <w:right w:w="0" w:type="nil"/>
            </w:tcMar>
            <w:hideMark/>
          </w:tcPr>
          <w:p w14:paraId="1D267B35" w14:textId="77777777" w:rsidR="006E51BF" w:rsidRPr="007437E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7437E7">
              <w:rPr>
                <w:lang w:eastAsia="en-AU"/>
              </w:rPr>
              <w:t>2025</w:t>
            </w:r>
          </w:p>
          <w:p w14:paraId="68515B5F" w14:textId="77777777" w:rsidR="006E51BF" w:rsidRPr="007437E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7437E7">
              <w:rPr>
                <w:lang w:eastAsia="en-AU"/>
              </w:rPr>
              <w:t>$M</w:t>
            </w:r>
          </w:p>
        </w:tc>
      </w:tr>
      <w:tr w:rsidR="006E51BF" w:rsidRPr="007437E7" w14:paraId="66FC7595"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58138A8B" w14:textId="77777777" w:rsidR="006E51BF" w:rsidRPr="007437E7" w:rsidRDefault="006E51BF">
            <w:pPr>
              <w:pStyle w:val="ARfintabletextboldcoloured"/>
              <w:rPr>
                <w:lang w:eastAsia="en-AU"/>
              </w:rPr>
            </w:pPr>
            <w:r w:rsidRPr="007437E7">
              <w:rPr>
                <w:lang w:eastAsia="en-AU"/>
              </w:rPr>
              <w:t>Interest expenses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0B6EAF0" w14:textId="77777777" w:rsidR="006E51BF" w:rsidRPr="00DC2EC9" w:rsidRDefault="006E51BF">
            <w:pPr>
              <w:pStyle w:val="ARfintabletextright"/>
            </w:pPr>
            <w:r w:rsidRPr="00DC2EC9">
              <w:t>49.8</w:t>
            </w:r>
          </w:p>
        </w:tc>
        <w:tc>
          <w:tcPr>
            <w:tcW w:w="809" w:type="pct"/>
            <w:noWrap/>
            <w:tcMar>
              <w:right w:w="0" w:type="nil"/>
            </w:tcMar>
            <w:hideMark/>
          </w:tcPr>
          <w:p w14:paraId="045FB702" w14:textId="77777777" w:rsidR="006E51BF" w:rsidRPr="00DC2EC9"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DC2EC9">
              <w:t>36.9</w:t>
            </w:r>
          </w:p>
        </w:tc>
      </w:tr>
      <w:tr w:rsidR="006E51BF" w:rsidRPr="007437E7" w14:paraId="2DEB0AAE"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7E37C0C1" w14:textId="77777777" w:rsidR="006E51BF" w:rsidRPr="007437E7" w:rsidRDefault="006E51BF">
            <w:pPr>
              <w:pStyle w:val="ARfintabletextbold"/>
              <w:rPr>
                <w:lang w:eastAsia="en-AU"/>
              </w:rPr>
            </w:pPr>
            <w:r w:rsidRPr="007437E7">
              <w:rPr>
                <w:lang w:eastAsia="en-AU"/>
              </w:rPr>
              <w:t>Supplies and services</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3BEAB515" w14:textId="77777777" w:rsidR="006E51BF" w:rsidRPr="00DC2EC9" w:rsidRDefault="006E51BF">
            <w:pPr>
              <w:pStyle w:val="ARfintabletextright"/>
            </w:pPr>
          </w:p>
        </w:tc>
        <w:tc>
          <w:tcPr>
            <w:tcW w:w="809" w:type="pct"/>
            <w:noWrap/>
            <w:tcMar>
              <w:right w:w="0" w:type="nil"/>
            </w:tcMar>
            <w:hideMark/>
          </w:tcPr>
          <w:p w14:paraId="3631C1F8" w14:textId="77777777" w:rsidR="006E51BF" w:rsidRPr="00DC2EC9" w:rsidRDefault="006E51BF">
            <w:pPr>
              <w:pStyle w:val="ARfintabletextright"/>
              <w:cnfStyle w:val="000000010000" w:firstRow="0" w:lastRow="0" w:firstColumn="0" w:lastColumn="0" w:oddVBand="0" w:evenVBand="0" w:oddHBand="0" w:evenHBand="1" w:firstRowFirstColumn="0" w:firstRowLastColumn="0" w:lastRowFirstColumn="0" w:lastRowLastColumn="0"/>
            </w:pPr>
          </w:p>
        </w:tc>
      </w:tr>
      <w:tr w:rsidR="006E51BF" w:rsidRPr="007437E7" w14:paraId="04507E3B"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2D0588E8" w14:textId="77777777" w:rsidR="006E51BF" w:rsidRPr="007437E7" w:rsidRDefault="006E51BF">
            <w:pPr>
              <w:pStyle w:val="ARfintabletext"/>
              <w:rPr>
                <w:lang w:eastAsia="en-AU"/>
              </w:rPr>
            </w:pPr>
            <w:r w:rsidRPr="007437E7">
              <w:rPr>
                <w:lang w:eastAsia="en-AU"/>
              </w:rPr>
              <w:t>Lease expenses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48620200" w14:textId="77777777" w:rsidR="006E51BF" w:rsidRPr="00DC2EC9" w:rsidRDefault="006E51BF">
            <w:pPr>
              <w:pStyle w:val="ARfintabletextright"/>
            </w:pPr>
            <w:r w:rsidRPr="00DC2EC9">
              <w:t>2.3</w:t>
            </w:r>
          </w:p>
        </w:tc>
        <w:tc>
          <w:tcPr>
            <w:tcW w:w="809" w:type="pct"/>
            <w:noWrap/>
            <w:tcMar>
              <w:right w:w="0" w:type="nil"/>
            </w:tcMar>
            <w:hideMark/>
          </w:tcPr>
          <w:p w14:paraId="72F38C0B" w14:textId="77777777" w:rsidR="006E51BF" w:rsidRPr="00DC2EC9"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DC2EC9">
              <w:t>1.0</w:t>
            </w:r>
          </w:p>
        </w:tc>
      </w:tr>
      <w:tr w:rsidR="006E51BF" w:rsidRPr="007437E7" w14:paraId="599D2942"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tcPr>
          <w:p w14:paraId="1F075735" w14:textId="77777777" w:rsidR="006E51BF" w:rsidRPr="007437E7" w:rsidRDefault="006E51BF">
            <w:pPr>
              <w:pStyle w:val="ARfintabletext"/>
              <w:rPr>
                <w:lang w:eastAsia="en-AU"/>
              </w:rPr>
            </w:pPr>
            <w:r w:rsidRPr="007437E7">
              <w:rPr>
                <w:lang w:eastAsia="en-AU"/>
              </w:rPr>
              <w:t>Office accommodation and property services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tcPr>
          <w:p w14:paraId="77A94173" w14:textId="77777777" w:rsidR="006E51BF" w:rsidRPr="00DC2EC9" w:rsidRDefault="006E51BF">
            <w:pPr>
              <w:pStyle w:val="ARfintabletextright"/>
            </w:pPr>
            <w:r w:rsidRPr="00DC2EC9">
              <w:t>10.9</w:t>
            </w:r>
          </w:p>
        </w:tc>
        <w:tc>
          <w:tcPr>
            <w:tcW w:w="809" w:type="pct"/>
            <w:noWrap/>
            <w:tcMar>
              <w:right w:w="0" w:type="nil"/>
            </w:tcMar>
          </w:tcPr>
          <w:p w14:paraId="3340D7A2" w14:textId="77777777" w:rsidR="006E51BF" w:rsidRPr="00DC2EC9"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DC2EC9">
              <w:t>90.8</w:t>
            </w:r>
          </w:p>
        </w:tc>
      </w:tr>
      <w:tr w:rsidR="006E51BF" w:rsidRPr="007437E7" w14:paraId="14CA2C4D"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7D44A6C9" w14:textId="77777777" w:rsidR="006E51BF" w:rsidRPr="007437E7" w:rsidRDefault="006E51BF">
            <w:pPr>
              <w:pStyle w:val="ARfintabletext"/>
              <w:rPr>
                <w:lang w:eastAsia="en-AU"/>
              </w:rPr>
            </w:pPr>
            <w:r w:rsidRPr="007437E7">
              <w:rPr>
                <w:lang w:eastAsia="en-AU"/>
              </w:rPr>
              <w:t xml:space="preserve">Administrative costs </w:t>
            </w:r>
            <w:r w:rsidRPr="007437E7">
              <w:rPr>
                <w:vertAlign w:val="superscript"/>
                <w:lang w:eastAsia="en-AU"/>
              </w:rPr>
              <w:t>(</w:t>
            </w:r>
            <w:proofErr w:type="spellStart"/>
            <w:r w:rsidRPr="007437E7">
              <w:rPr>
                <w:vertAlign w:val="superscript"/>
                <w:lang w:eastAsia="en-AU"/>
              </w:rPr>
              <w:t>i</w:t>
            </w:r>
            <w:proofErr w:type="spellEnd"/>
            <w:r w:rsidRPr="007437E7">
              <w:rPr>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4DBF56BE" w14:textId="77777777" w:rsidR="006E51BF" w:rsidRPr="00DC2EC9" w:rsidRDefault="006E51BF">
            <w:pPr>
              <w:pStyle w:val="ARfintabletextright"/>
            </w:pPr>
            <w:r w:rsidRPr="00DC2EC9">
              <w:t>404.0</w:t>
            </w:r>
          </w:p>
        </w:tc>
        <w:tc>
          <w:tcPr>
            <w:tcW w:w="809" w:type="pct"/>
            <w:noWrap/>
            <w:tcMar>
              <w:right w:w="0" w:type="nil"/>
            </w:tcMar>
            <w:hideMark/>
          </w:tcPr>
          <w:p w14:paraId="406F9C40" w14:textId="77777777" w:rsidR="006E51BF" w:rsidRPr="00DC2EC9"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DC2EC9">
              <w:t>434.2</w:t>
            </w:r>
          </w:p>
        </w:tc>
      </w:tr>
      <w:tr w:rsidR="006E51BF" w:rsidRPr="007437E7" w14:paraId="02F51776"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tcPr>
          <w:p w14:paraId="2B1252C7" w14:textId="77777777" w:rsidR="006E51BF" w:rsidRPr="007437E7" w:rsidRDefault="006E51BF">
            <w:pPr>
              <w:pStyle w:val="ARfintabletext"/>
              <w:rPr>
                <w:lang w:eastAsia="en-AU"/>
              </w:rPr>
            </w:pPr>
            <w:r w:rsidRPr="007437E7">
              <w:rPr>
                <w:lang w:eastAsia="en-AU"/>
              </w:rPr>
              <w:t>Information, communications and technology costs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tcPr>
          <w:p w14:paraId="78FE56BC" w14:textId="77777777" w:rsidR="006E51BF" w:rsidRPr="00DC2EC9" w:rsidRDefault="006E51BF">
            <w:pPr>
              <w:pStyle w:val="ARfintabletextright"/>
            </w:pPr>
            <w:r w:rsidRPr="00DC2EC9">
              <w:t>80.8</w:t>
            </w:r>
          </w:p>
        </w:tc>
        <w:tc>
          <w:tcPr>
            <w:tcW w:w="809" w:type="pct"/>
            <w:noWrap/>
            <w:tcMar>
              <w:right w:w="0" w:type="nil"/>
            </w:tcMar>
          </w:tcPr>
          <w:p w14:paraId="50525E36" w14:textId="77777777" w:rsidR="006E51BF" w:rsidRPr="00DC2EC9"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DC2EC9">
              <w:t>83.4</w:t>
            </w:r>
          </w:p>
        </w:tc>
      </w:tr>
      <w:tr w:rsidR="006E51BF" w:rsidRPr="007437E7" w14:paraId="4B6F0084"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0F91B52E" w14:textId="77777777" w:rsidR="006E51BF" w:rsidRPr="007437E7" w:rsidRDefault="006E51BF">
            <w:pPr>
              <w:pStyle w:val="ARfintabletext"/>
              <w:rPr>
                <w:lang w:eastAsia="en-AU"/>
              </w:rPr>
            </w:pPr>
            <w:r w:rsidRPr="007437E7">
              <w:rPr>
                <w:lang w:eastAsia="en-AU"/>
              </w:rPr>
              <w:t>Direct care operating costs</w:t>
            </w:r>
            <w:r w:rsidRPr="007437E7">
              <w:rPr>
                <w:vertAlign w:val="superscript"/>
                <w:lang w:eastAsia="en-AU"/>
              </w:rPr>
              <w:t xml:space="preserve">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63E058BD" w14:textId="77777777" w:rsidR="006E51BF" w:rsidRPr="00DC2EC9" w:rsidRDefault="006E51BF">
            <w:pPr>
              <w:pStyle w:val="ARfintabletextright"/>
            </w:pPr>
            <w:r w:rsidRPr="00DC2EC9">
              <w:t>24.4</w:t>
            </w:r>
          </w:p>
        </w:tc>
        <w:tc>
          <w:tcPr>
            <w:tcW w:w="809" w:type="pct"/>
            <w:noWrap/>
            <w:tcMar>
              <w:right w:w="0" w:type="nil"/>
            </w:tcMar>
            <w:hideMark/>
          </w:tcPr>
          <w:p w14:paraId="30B92FE4" w14:textId="77777777" w:rsidR="006E51BF" w:rsidRPr="00DC2EC9"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DC2EC9">
              <w:t>24.1</w:t>
            </w:r>
          </w:p>
        </w:tc>
      </w:tr>
      <w:tr w:rsidR="006E51BF" w:rsidRPr="007437E7" w14:paraId="3B48795C"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7C7394C0" w14:textId="77777777" w:rsidR="006E51BF" w:rsidRPr="007437E7" w:rsidRDefault="006E51BF">
            <w:pPr>
              <w:pStyle w:val="ARfintabletext"/>
              <w:rPr>
                <w:lang w:eastAsia="en-AU"/>
              </w:rPr>
            </w:pPr>
            <w:r w:rsidRPr="007437E7">
              <w:rPr>
                <w:lang w:eastAsia="en-AU"/>
              </w:rPr>
              <w:t xml:space="preserve">Financial redress payments </w:t>
            </w:r>
            <w:r w:rsidRPr="007437E7">
              <w:rPr>
                <w:vertAlign w:val="superscript"/>
                <w:lang w:eastAsia="en-AU"/>
              </w:rPr>
              <w:t>(ii)</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791E90EB" w14:textId="77777777" w:rsidR="006E51BF" w:rsidRPr="00DC2EC9" w:rsidRDefault="006E51BF">
            <w:pPr>
              <w:pStyle w:val="ARfintabletextright"/>
            </w:pPr>
            <w:r w:rsidRPr="00DC2EC9">
              <w:t>–</w:t>
            </w:r>
          </w:p>
        </w:tc>
        <w:tc>
          <w:tcPr>
            <w:tcW w:w="809" w:type="pct"/>
            <w:noWrap/>
            <w:tcMar>
              <w:right w:w="0" w:type="nil"/>
            </w:tcMar>
            <w:hideMark/>
          </w:tcPr>
          <w:p w14:paraId="24AA7B4A" w14:textId="77777777" w:rsidR="006E51BF" w:rsidRPr="00DC2EC9"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DC2EC9">
              <w:t>13.5</w:t>
            </w:r>
          </w:p>
        </w:tc>
      </w:tr>
      <w:tr w:rsidR="006E51BF" w:rsidRPr="007437E7" w14:paraId="28D366CF"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hideMark/>
          </w:tcPr>
          <w:p w14:paraId="66649017" w14:textId="77777777" w:rsidR="006E51BF" w:rsidRPr="007437E7" w:rsidRDefault="006E51BF">
            <w:pPr>
              <w:pStyle w:val="ARfintabletextboldcoloured"/>
              <w:rPr>
                <w:lang w:eastAsia="en-AU"/>
              </w:rPr>
            </w:pPr>
            <w:r w:rsidRPr="007437E7">
              <w:rPr>
                <w:lang w:eastAsia="en-AU"/>
              </w:rPr>
              <w:t xml:space="preserve">Fair value of assets and services provided </w:t>
            </w:r>
            <w:r>
              <w:rPr>
                <w:lang w:eastAsia="en-AU"/>
              </w:rPr>
              <w:br/>
            </w:r>
            <w:r w:rsidRPr="007437E7">
              <w:rPr>
                <w:lang w:eastAsia="en-AU"/>
              </w:rPr>
              <w:t>free of charge or for nominal consideration</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3AF8C21C" w14:textId="77777777" w:rsidR="006E51BF" w:rsidRPr="00DC2EC9" w:rsidRDefault="006E51BF">
            <w:pPr>
              <w:pStyle w:val="ARfintabletextright"/>
            </w:pPr>
          </w:p>
        </w:tc>
        <w:tc>
          <w:tcPr>
            <w:tcW w:w="809" w:type="pct"/>
            <w:noWrap/>
            <w:tcMar>
              <w:right w:w="0" w:type="nil"/>
            </w:tcMar>
            <w:hideMark/>
          </w:tcPr>
          <w:p w14:paraId="743B7A65" w14:textId="77777777" w:rsidR="006E51BF" w:rsidRPr="00DC2EC9"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7437E7" w14:paraId="354D077D"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tcPr>
          <w:p w14:paraId="511BDF40" w14:textId="77777777" w:rsidR="006E51BF" w:rsidRPr="007437E7" w:rsidRDefault="006E51BF">
            <w:pPr>
              <w:pStyle w:val="ARfintabletext"/>
              <w:rPr>
                <w:lang w:eastAsia="en-AU"/>
              </w:rPr>
            </w:pPr>
            <w:r w:rsidRPr="007437E7">
              <w:rPr>
                <w:lang w:eastAsia="en-AU"/>
              </w:rPr>
              <w:t>Assets and services provided free of charge</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tcPr>
          <w:p w14:paraId="3550821A" w14:textId="77777777" w:rsidR="006E51BF" w:rsidRPr="00DC2EC9" w:rsidRDefault="006E51BF">
            <w:pPr>
              <w:pStyle w:val="ARfintabletextright"/>
            </w:pPr>
            <w:r w:rsidRPr="00DC2EC9">
              <w:t>62.7</w:t>
            </w:r>
          </w:p>
        </w:tc>
        <w:tc>
          <w:tcPr>
            <w:tcW w:w="809" w:type="pct"/>
            <w:noWrap/>
            <w:tcMar>
              <w:right w:w="0" w:type="nil"/>
            </w:tcMar>
          </w:tcPr>
          <w:p w14:paraId="6C9BEFD7" w14:textId="77777777" w:rsidR="006E51BF" w:rsidRPr="00DC2EC9"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DC2EC9">
              <w:t>9.5</w:t>
            </w:r>
          </w:p>
        </w:tc>
      </w:tr>
      <w:tr w:rsidR="006E51BF" w:rsidRPr="007437E7" w14:paraId="4B1C6B60" w14:textId="77777777" w:rsidTr="00785A35">
        <w:trPr>
          <w:cnfStyle w:val="010000000000" w:firstRow="0" w:lastRow="1" w:firstColumn="0" w:lastColumn="0" w:oddVBand="0" w:evenVBand="0" w:oddHBand="0" w:evenHBand="0" w:firstRowFirstColumn="0" w:firstRowLastColumn="0" w:lastRowFirstColumn="0" w:lastRowLastColumn="0"/>
          <w:trHeight w:val="20"/>
        </w:trPr>
        <w:tc>
          <w:tcPr>
            <w:tcW w:w="3383" w:type="pct"/>
          </w:tcPr>
          <w:p w14:paraId="67250DF7" w14:textId="77777777" w:rsidR="006E51BF" w:rsidRPr="007437E7" w:rsidRDefault="006E51BF">
            <w:pPr>
              <w:pStyle w:val="ARfintabletextbold"/>
              <w:rPr>
                <w:lang w:eastAsia="en-AU"/>
              </w:rPr>
            </w:pPr>
            <w:r w:rsidRPr="007437E7">
              <w:rPr>
                <w:lang w:eastAsia="en-AU"/>
              </w:rPr>
              <w:t>Total other operating expenses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tcPr>
          <w:p w14:paraId="1395A87B" w14:textId="77777777" w:rsidR="006E51BF" w:rsidRPr="00DC2EC9" w:rsidRDefault="006E51BF">
            <w:pPr>
              <w:pStyle w:val="ARfintabletextboldright"/>
            </w:pPr>
            <w:r w:rsidRPr="00DC2EC9">
              <w:t>634.9</w:t>
            </w:r>
          </w:p>
        </w:tc>
        <w:tc>
          <w:tcPr>
            <w:tcW w:w="809" w:type="pct"/>
            <w:noWrap/>
            <w:tcMar>
              <w:right w:w="0" w:type="nil"/>
            </w:tcMar>
          </w:tcPr>
          <w:p w14:paraId="6F6D31CD" w14:textId="77777777" w:rsidR="006E51BF" w:rsidRPr="00DC2EC9" w:rsidRDefault="006E51BF">
            <w:pPr>
              <w:pStyle w:val="ARfintabletextboldright"/>
              <w:cnfStyle w:val="010000000000" w:firstRow="0" w:lastRow="1" w:firstColumn="0" w:lastColumn="0" w:oddVBand="0" w:evenVBand="0" w:oddHBand="0" w:evenHBand="0" w:firstRowFirstColumn="0" w:firstRowLastColumn="0" w:lastRowFirstColumn="0" w:lastRowLastColumn="0"/>
            </w:pPr>
            <w:r w:rsidRPr="00DC2EC9">
              <w:t>693.4</w:t>
            </w:r>
          </w:p>
        </w:tc>
      </w:tr>
    </w:tbl>
    <w:p w14:paraId="1C501CEA" w14:textId="77777777" w:rsidR="006E51BF" w:rsidRPr="007437E7" w:rsidRDefault="006E51BF">
      <w:pPr>
        <w:pStyle w:val="ARfintablenote"/>
        <w:rPr>
          <w:lang w:eastAsia="en-AU"/>
        </w:rPr>
      </w:pPr>
      <w:r w:rsidRPr="007437E7">
        <w:rPr>
          <w:lang w:eastAsia="en-AU"/>
        </w:rPr>
        <w:t>Note:</w:t>
      </w:r>
    </w:p>
    <w:p w14:paraId="48720B15" w14:textId="77777777" w:rsidR="006E51BF" w:rsidRPr="007437E7" w:rsidRDefault="006E51BF" w:rsidP="006E51BF">
      <w:pPr>
        <w:pStyle w:val="ARfintablenoteroman"/>
        <w:numPr>
          <w:ilvl w:val="0"/>
          <w:numId w:val="55"/>
        </w:numPr>
      </w:pPr>
      <w:r w:rsidRPr="007437E7">
        <w:t>Administrative costs mainly include the community service organisation, corporate and civil insurance claims settlement payments managed by Victorian Managed Insurance Authority (VMIA) on behalf of the department, purchase of intergovernmental services and professional services, as well as the unused trust fund returning to the consolidated fund.</w:t>
      </w:r>
    </w:p>
    <w:p w14:paraId="5A2008CF" w14:textId="0B4F73CE" w:rsidR="006E51BF" w:rsidRPr="00C96141" w:rsidRDefault="006E51BF" w:rsidP="006E51BF">
      <w:pPr>
        <w:pStyle w:val="ARfintablenoteroman"/>
        <w:numPr>
          <w:ilvl w:val="0"/>
          <w:numId w:val="15"/>
        </w:numPr>
      </w:pPr>
      <w:r w:rsidRPr="007437E7">
        <w:t>Financial redress payments recognised in prior years provide compensation of Redress Scheme for Victorians who were placed in</w:t>
      </w:r>
      <w:r w:rsidR="00990A53">
        <w:t> </w:t>
      </w:r>
      <w:r w:rsidRPr="007437E7">
        <w:t>institutional care prior to 1990 (“Pre-1990 Care Leavers”) and experienced physical, psychological, and emotional abuse or neglect. Payments will be disbursed in subsequent years based on validated claims received. Refer to Note 6.4 Other provision for</w:t>
      </w:r>
      <w:r w:rsidR="00990A53">
        <w:t> </w:t>
      </w:r>
      <w:r w:rsidRPr="007437E7">
        <w:t>further details.</w:t>
      </w:r>
    </w:p>
    <w:p w14:paraId="19FEC16C" w14:textId="77777777" w:rsidR="006E51BF" w:rsidRDefault="006E51BF">
      <w:pPr>
        <w:pStyle w:val="Heading5"/>
      </w:pPr>
      <w:r w:rsidRPr="003A5D2E">
        <w:t xml:space="preserve">3.1.4 </w:t>
      </w:r>
      <w:r>
        <w:tab/>
      </w:r>
      <w:r w:rsidRPr="003A5D2E">
        <w:t>Property management expenses</w:t>
      </w:r>
    </w:p>
    <w:tbl>
      <w:tblPr>
        <w:tblStyle w:val="ARtable1"/>
        <w:tblW w:w="5000" w:type="pct"/>
        <w:tblLook w:val="00E0" w:firstRow="1" w:lastRow="1" w:firstColumn="1" w:lastColumn="0" w:noHBand="0" w:noVBand="0"/>
      </w:tblPr>
      <w:tblGrid>
        <w:gridCol w:w="6514"/>
        <w:gridCol w:w="1556"/>
        <w:gridCol w:w="1558"/>
      </w:tblGrid>
      <w:tr w:rsidR="006E51BF" w:rsidRPr="007437E7" w14:paraId="088A4CA4" w14:textId="77777777" w:rsidTr="00785A35">
        <w:trPr>
          <w:cnfStyle w:val="100000000000" w:firstRow="1" w:lastRow="0" w:firstColumn="0" w:lastColumn="0" w:oddVBand="0" w:evenVBand="0" w:oddHBand="0" w:evenHBand="0" w:firstRowFirstColumn="0" w:firstRowLastColumn="0" w:lastRowFirstColumn="0" w:lastRowLastColumn="0"/>
          <w:trHeight w:val="550"/>
        </w:trPr>
        <w:tc>
          <w:tcPr>
            <w:tcW w:w="3383" w:type="pct"/>
            <w:noWrap/>
          </w:tcPr>
          <w:p w14:paraId="5D4F0601" w14:textId="77777777" w:rsidR="006E51BF" w:rsidRPr="007437E7" w:rsidRDefault="006E51BF">
            <w:pPr>
              <w:pStyle w:val="ARfintablecolheadright"/>
              <w:rPr>
                <w:lang w:eastAsia="en-AU"/>
              </w:rPr>
            </w:pP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3BA62FED" w14:textId="77777777" w:rsidR="006E51BF" w:rsidRPr="007437E7" w:rsidRDefault="006E51BF">
            <w:pPr>
              <w:pStyle w:val="ARfintablecolheadright"/>
              <w:rPr>
                <w:lang w:eastAsia="en-AU"/>
              </w:rPr>
            </w:pPr>
            <w:r w:rsidRPr="007437E7">
              <w:rPr>
                <w:lang w:eastAsia="en-AU"/>
              </w:rPr>
              <w:t>2026</w:t>
            </w:r>
          </w:p>
          <w:p w14:paraId="71896F96" w14:textId="77777777" w:rsidR="006E51BF" w:rsidRPr="007437E7" w:rsidRDefault="006E51BF">
            <w:pPr>
              <w:pStyle w:val="ARfintablecolheadright"/>
              <w:rPr>
                <w:lang w:eastAsia="en-AU"/>
              </w:rPr>
            </w:pPr>
            <w:r w:rsidRPr="007437E7">
              <w:rPr>
                <w:lang w:eastAsia="en-AU"/>
              </w:rPr>
              <w:t>$M</w:t>
            </w:r>
          </w:p>
        </w:tc>
        <w:tc>
          <w:tcPr>
            <w:tcW w:w="809" w:type="pct"/>
            <w:noWrap/>
            <w:tcMar>
              <w:right w:w="0" w:type="nil"/>
            </w:tcMar>
            <w:hideMark/>
          </w:tcPr>
          <w:p w14:paraId="408ABB30" w14:textId="77777777" w:rsidR="006E51BF" w:rsidRPr="007437E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7437E7">
              <w:rPr>
                <w:lang w:eastAsia="en-AU"/>
              </w:rPr>
              <w:t>2025</w:t>
            </w:r>
          </w:p>
          <w:p w14:paraId="253BF748" w14:textId="77777777" w:rsidR="006E51BF" w:rsidRPr="007437E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7437E7">
              <w:rPr>
                <w:lang w:eastAsia="en-AU"/>
              </w:rPr>
              <w:t>$M</w:t>
            </w:r>
          </w:p>
        </w:tc>
      </w:tr>
      <w:tr w:rsidR="006E51BF" w:rsidRPr="007437E7" w14:paraId="34F6587A" w14:textId="77777777" w:rsidTr="00785A35">
        <w:trPr>
          <w:cnfStyle w:val="000000100000" w:firstRow="0" w:lastRow="0" w:firstColumn="0" w:lastColumn="0" w:oddVBand="0" w:evenVBand="0" w:oddHBand="1" w:evenHBand="0" w:firstRowFirstColumn="0" w:firstRowLastColumn="0" w:lastRowFirstColumn="0" w:lastRowLastColumn="0"/>
          <w:trHeight w:val="290"/>
        </w:trPr>
        <w:tc>
          <w:tcPr>
            <w:tcW w:w="3383" w:type="pct"/>
            <w:noWrap/>
            <w:hideMark/>
          </w:tcPr>
          <w:p w14:paraId="3CAAEDFE" w14:textId="77777777" w:rsidR="006E51BF" w:rsidRPr="007437E7" w:rsidRDefault="006E51BF">
            <w:pPr>
              <w:pStyle w:val="ARfintabletext"/>
              <w:rPr>
                <w:lang w:eastAsia="en-AU"/>
              </w:rPr>
            </w:pPr>
            <w:r w:rsidRPr="007437E7">
              <w:rPr>
                <w:lang w:eastAsia="en-AU"/>
              </w:rPr>
              <w:t>Maintenance</w:t>
            </w:r>
            <w:r>
              <w:rPr>
                <w:lang w:eastAsia="en-AU"/>
              </w:rPr>
              <w:t xml:space="preserve"> </w:t>
            </w:r>
            <w:r w:rsidRPr="007437E7">
              <w:rPr>
                <w:vertAlign w:val="superscript"/>
                <w:lang w:eastAsia="en-AU"/>
              </w:rPr>
              <w:t>(</w:t>
            </w:r>
            <w:proofErr w:type="spellStart"/>
            <w:r w:rsidRPr="007437E7">
              <w:rPr>
                <w:vertAlign w:val="superscript"/>
                <w:lang w:eastAsia="en-AU"/>
              </w:rPr>
              <w:t>i</w:t>
            </w:r>
            <w:proofErr w:type="spellEnd"/>
            <w:r w:rsidRPr="007437E7">
              <w:rPr>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4790EE1" w14:textId="77777777" w:rsidR="006E51BF" w:rsidRPr="00DC2EC9" w:rsidRDefault="006E51BF">
            <w:pPr>
              <w:pStyle w:val="ARfintabletextright"/>
            </w:pPr>
            <w:r w:rsidRPr="00DC2EC9">
              <w:t>242.0</w:t>
            </w:r>
          </w:p>
        </w:tc>
        <w:tc>
          <w:tcPr>
            <w:tcW w:w="809" w:type="pct"/>
            <w:noWrap/>
            <w:tcMar>
              <w:right w:w="0" w:type="nil"/>
            </w:tcMar>
            <w:hideMark/>
          </w:tcPr>
          <w:p w14:paraId="333C8CE7" w14:textId="77777777" w:rsidR="006E51BF" w:rsidRPr="00DC2EC9"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DC2EC9">
              <w:t>292.4</w:t>
            </w:r>
          </w:p>
        </w:tc>
      </w:tr>
      <w:tr w:rsidR="006E51BF" w:rsidRPr="007437E7" w14:paraId="23F6BE54" w14:textId="77777777" w:rsidTr="00785A35">
        <w:trPr>
          <w:cnfStyle w:val="000000010000" w:firstRow="0" w:lastRow="0" w:firstColumn="0" w:lastColumn="0" w:oddVBand="0" w:evenVBand="0" w:oddHBand="0" w:evenHBand="1" w:firstRowFirstColumn="0" w:firstRowLastColumn="0" w:lastRowFirstColumn="0" w:lastRowLastColumn="0"/>
          <w:trHeight w:val="270"/>
        </w:trPr>
        <w:tc>
          <w:tcPr>
            <w:tcW w:w="3383" w:type="pct"/>
            <w:noWrap/>
            <w:hideMark/>
          </w:tcPr>
          <w:p w14:paraId="69AD2300" w14:textId="77777777" w:rsidR="006E51BF" w:rsidRPr="007437E7" w:rsidRDefault="006E51BF">
            <w:pPr>
              <w:pStyle w:val="ARfintabletext"/>
              <w:rPr>
                <w:lang w:eastAsia="en-AU"/>
              </w:rPr>
            </w:pPr>
            <w:r w:rsidRPr="007437E7">
              <w:rPr>
                <w:lang w:eastAsia="en-AU"/>
              </w:rPr>
              <w:t>Rates to local government</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3224994F" w14:textId="77777777" w:rsidR="006E51BF" w:rsidRPr="00DC2EC9" w:rsidRDefault="006E51BF">
            <w:pPr>
              <w:pStyle w:val="ARfintabletextright"/>
            </w:pPr>
            <w:r w:rsidRPr="00DC2EC9">
              <w:t>135.1</w:t>
            </w:r>
          </w:p>
        </w:tc>
        <w:tc>
          <w:tcPr>
            <w:tcW w:w="809" w:type="pct"/>
            <w:noWrap/>
            <w:tcMar>
              <w:right w:w="0" w:type="nil"/>
            </w:tcMar>
            <w:hideMark/>
          </w:tcPr>
          <w:p w14:paraId="411A2B2A" w14:textId="77777777" w:rsidR="006E51BF" w:rsidRPr="00DC2EC9"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DC2EC9">
              <w:t>137.5</w:t>
            </w:r>
          </w:p>
        </w:tc>
      </w:tr>
      <w:tr w:rsidR="006E51BF" w:rsidRPr="007437E7" w14:paraId="2EEFAEB2" w14:textId="77777777" w:rsidTr="00785A35">
        <w:trPr>
          <w:cnfStyle w:val="000000100000" w:firstRow="0" w:lastRow="0" w:firstColumn="0" w:lastColumn="0" w:oddVBand="0" w:evenVBand="0" w:oddHBand="1" w:evenHBand="0" w:firstRowFirstColumn="0" w:firstRowLastColumn="0" w:lastRowFirstColumn="0" w:lastRowLastColumn="0"/>
          <w:trHeight w:val="270"/>
        </w:trPr>
        <w:tc>
          <w:tcPr>
            <w:tcW w:w="3383" w:type="pct"/>
            <w:noWrap/>
          </w:tcPr>
          <w:p w14:paraId="4BF06EB6" w14:textId="77777777" w:rsidR="006E51BF" w:rsidRPr="007437E7" w:rsidRDefault="006E51BF">
            <w:pPr>
              <w:pStyle w:val="ARfintabletext"/>
              <w:rPr>
                <w:lang w:eastAsia="en-AU"/>
              </w:rPr>
            </w:pPr>
            <w:r w:rsidRPr="007437E7">
              <w:rPr>
                <w:lang w:eastAsia="en-AU"/>
              </w:rPr>
              <w:t>Tenant utilities and other expenses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tcPr>
          <w:p w14:paraId="61D41FEC" w14:textId="77777777" w:rsidR="006E51BF" w:rsidRPr="00DC2EC9" w:rsidRDefault="006E51BF">
            <w:pPr>
              <w:pStyle w:val="ARfintabletextright"/>
            </w:pPr>
            <w:r w:rsidRPr="00DC2EC9">
              <w:t>117.4</w:t>
            </w:r>
          </w:p>
        </w:tc>
        <w:tc>
          <w:tcPr>
            <w:tcW w:w="809" w:type="pct"/>
            <w:noWrap/>
            <w:tcMar>
              <w:right w:w="0" w:type="nil"/>
            </w:tcMar>
          </w:tcPr>
          <w:p w14:paraId="21D9787A" w14:textId="77777777" w:rsidR="006E51BF" w:rsidRPr="00DC2EC9"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DC2EC9">
              <w:t>112.3</w:t>
            </w:r>
          </w:p>
        </w:tc>
      </w:tr>
      <w:tr w:rsidR="006E51BF" w:rsidRPr="007437E7" w14:paraId="217111CB" w14:textId="77777777" w:rsidTr="00785A35">
        <w:trPr>
          <w:cnfStyle w:val="010000000000" w:firstRow="0" w:lastRow="1" w:firstColumn="0" w:lastColumn="0" w:oddVBand="0" w:evenVBand="0" w:oddHBand="0" w:evenHBand="0" w:firstRowFirstColumn="0" w:firstRowLastColumn="0" w:lastRowFirstColumn="0" w:lastRowLastColumn="0"/>
          <w:trHeight w:val="270"/>
        </w:trPr>
        <w:tc>
          <w:tcPr>
            <w:tcW w:w="3383" w:type="pct"/>
            <w:noWrap/>
          </w:tcPr>
          <w:p w14:paraId="3C0DBC5B" w14:textId="77777777" w:rsidR="006E51BF" w:rsidRPr="007437E7" w:rsidRDefault="006E51BF">
            <w:pPr>
              <w:pStyle w:val="ARfintabletextbold"/>
              <w:rPr>
                <w:lang w:eastAsia="en-AU"/>
              </w:rPr>
            </w:pPr>
            <w:r w:rsidRPr="007437E7">
              <w:rPr>
                <w:lang w:eastAsia="en-AU"/>
              </w:rPr>
              <w:t>Total property management expenses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tcPr>
          <w:p w14:paraId="75FFB2CA" w14:textId="77777777" w:rsidR="006E51BF" w:rsidRPr="00DC2EC9" w:rsidRDefault="006E51BF">
            <w:pPr>
              <w:pStyle w:val="ARfintabletextboldright"/>
            </w:pPr>
            <w:r w:rsidRPr="00DC2EC9">
              <w:t>494.5</w:t>
            </w:r>
          </w:p>
        </w:tc>
        <w:tc>
          <w:tcPr>
            <w:tcW w:w="809" w:type="pct"/>
            <w:noWrap/>
            <w:tcMar>
              <w:right w:w="0" w:type="nil"/>
            </w:tcMar>
          </w:tcPr>
          <w:p w14:paraId="6D7AF760" w14:textId="77777777" w:rsidR="006E51BF" w:rsidRPr="00DC2EC9" w:rsidRDefault="006E51BF">
            <w:pPr>
              <w:pStyle w:val="ARfintabletextboldright"/>
              <w:cnfStyle w:val="010000000000" w:firstRow="0" w:lastRow="1" w:firstColumn="0" w:lastColumn="0" w:oddVBand="0" w:evenVBand="0" w:oddHBand="0" w:evenHBand="0" w:firstRowFirstColumn="0" w:firstRowLastColumn="0" w:lastRowFirstColumn="0" w:lastRowLastColumn="0"/>
            </w:pPr>
            <w:r w:rsidRPr="00DC2EC9">
              <w:t>542.2</w:t>
            </w:r>
          </w:p>
        </w:tc>
      </w:tr>
    </w:tbl>
    <w:p w14:paraId="09C44C3A" w14:textId="77777777" w:rsidR="006E51BF" w:rsidRPr="007437E7" w:rsidRDefault="006E51BF">
      <w:pPr>
        <w:pStyle w:val="ARfintablenote"/>
        <w:rPr>
          <w:lang w:eastAsia="en-AU"/>
        </w:rPr>
      </w:pPr>
      <w:r w:rsidRPr="007437E7">
        <w:rPr>
          <w:lang w:eastAsia="en-AU"/>
        </w:rPr>
        <w:t>Note:</w:t>
      </w:r>
    </w:p>
    <w:p w14:paraId="4AACF861" w14:textId="77777777" w:rsidR="006E51BF" w:rsidRDefault="006E51BF" w:rsidP="006E51BF">
      <w:pPr>
        <w:pStyle w:val="ARfintablenoteroman"/>
        <w:numPr>
          <w:ilvl w:val="0"/>
          <w:numId w:val="56"/>
        </w:numPr>
      </w:pPr>
      <w:r w:rsidRPr="007437E7">
        <w:t>Maintenance expenses mainly include statutory maintenance requirements, responding to urgent maintenance works, maintenance works required for vacated properties before re-letting, and maintenance works undertaken to proactively address and respond to asset condition.</w:t>
      </w:r>
    </w:p>
    <w:p w14:paraId="68C17AA0" w14:textId="77777777" w:rsidR="006E51BF" w:rsidRDefault="006E51BF">
      <w:pPr>
        <w:pStyle w:val="ARfinbody"/>
        <w:rPr>
          <w:sz w:val="16"/>
          <w:lang w:eastAsia="en-AU"/>
        </w:rPr>
      </w:pPr>
      <w:r>
        <w:br w:type="page"/>
      </w:r>
    </w:p>
    <w:p w14:paraId="618A40B6" w14:textId="77777777" w:rsidR="006E51BF" w:rsidRPr="00CE69E3" w:rsidRDefault="006E51BF">
      <w:pPr>
        <w:pStyle w:val="Heading3financials"/>
        <w:rPr>
          <w:lang w:eastAsia="en-AU"/>
        </w:rPr>
      </w:pPr>
      <w:bookmarkStart w:id="291" w:name="_Toc241068547"/>
      <w:r w:rsidRPr="00CE69E3">
        <w:rPr>
          <w:lang w:eastAsia="en-AU"/>
        </w:rPr>
        <w:t xml:space="preserve">4. </w:t>
      </w:r>
      <w:r>
        <w:rPr>
          <w:lang w:eastAsia="en-AU"/>
        </w:rPr>
        <w:tab/>
      </w:r>
      <w:r w:rsidRPr="00CE69E3">
        <w:rPr>
          <w:lang w:eastAsia="en-AU"/>
        </w:rPr>
        <w:t>Disaggregated financial information by output</w:t>
      </w:r>
      <w:bookmarkEnd w:id="291"/>
    </w:p>
    <w:p w14:paraId="0FE1783C" w14:textId="77777777" w:rsidR="006E51BF" w:rsidRDefault="006E51BF">
      <w:pPr>
        <w:pStyle w:val="Heading4"/>
        <w:rPr>
          <w:lang w:eastAsia="en-AU"/>
        </w:rPr>
      </w:pPr>
      <w:r w:rsidRPr="00CE69E3">
        <w:rPr>
          <w:lang w:eastAsia="en-AU"/>
        </w:rPr>
        <w:t>Introduction</w:t>
      </w:r>
    </w:p>
    <w:p w14:paraId="57CE61C6" w14:textId="77777777" w:rsidR="006E51BF" w:rsidRDefault="006E51BF">
      <w:pPr>
        <w:pStyle w:val="ARfinbody"/>
        <w:rPr>
          <w:lang w:eastAsia="en-AU"/>
        </w:rPr>
      </w:pPr>
      <w:r w:rsidRPr="00CE69E3">
        <w:rPr>
          <w:lang w:eastAsia="en-AU"/>
        </w:rPr>
        <w:t xml:space="preserve">The department is predominantly funded by accrual-based parliamentary appropriations for the provision of outputs. </w:t>
      </w:r>
      <w:r>
        <w:rPr>
          <w:lang w:eastAsia="en-AU"/>
        </w:rPr>
        <w:br/>
      </w:r>
      <w:r w:rsidRPr="00CE69E3">
        <w:rPr>
          <w:lang w:eastAsia="en-AU"/>
        </w:rPr>
        <w:t>This section provides a description of the departmental outputs delivered during the year along with the objectives of those outputs.</w:t>
      </w:r>
    </w:p>
    <w:p w14:paraId="2389C9D0" w14:textId="77777777" w:rsidR="006E51BF" w:rsidRDefault="006E51BF">
      <w:pPr>
        <w:pStyle w:val="ARfinbody"/>
        <w:rPr>
          <w:lang w:eastAsia="en-AU"/>
        </w:rPr>
      </w:pPr>
      <w:r w:rsidRPr="00CE69E3">
        <w:rPr>
          <w:lang w:eastAsia="en-AU"/>
        </w:rPr>
        <w:t>This section disaggregates revenue and expenses that enables the delivery of services (described in Note 2 'Funding delivery of our services') by output and records the allocation of expenses incurred (described in Note 3 'The cost of delivering services') also by output, which form part of controlled balances of the department.</w:t>
      </w:r>
    </w:p>
    <w:p w14:paraId="78100514" w14:textId="77777777" w:rsidR="006E51BF" w:rsidRDefault="006E51BF">
      <w:pPr>
        <w:pStyle w:val="ARfinbody"/>
        <w:rPr>
          <w:lang w:eastAsia="en-AU"/>
        </w:rPr>
      </w:pPr>
      <w:r w:rsidRPr="00CE69E3">
        <w:rPr>
          <w:lang w:eastAsia="en-AU"/>
        </w:rPr>
        <w:t xml:space="preserve">It also provides information on items administered in connection with these outputs. </w:t>
      </w:r>
    </w:p>
    <w:p w14:paraId="199FCC46" w14:textId="77777777" w:rsidR="006E51BF" w:rsidRPr="00CE69E3" w:rsidRDefault="006E51BF">
      <w:pPr>
        <w:pStyle w:val="ARfinbody"/>
        <w:rPr>
          <w:b/>
          <w:bCs/>
          <w:lang w:eastAsia="en-AU"/>
        </w:rPr>
      </w:pPr>
      <w:r w:rsidRPr="00CE69E3">
        <w:rPr>
          <w:lang w:eastAsia="en-AU"/>
        </w:rPr>
        <w:t>Judgement is required in allocating income and expenditure to specific outputs. For the period under review there were no amounts unallocated.</w:t>
      </w:r>
    </w:p>
    <w:p w14:paraId="226C6496" w14:textId="77777777" w:rsidR="006E51BF" w:rsidRPr="00CE69E3" w:rsidRDefault="006E51BF">
      <w:pPr>
        <w:pStyle w:val="ARfinbody"/>
        <w:rPr>
          <w:lang w:eastAsia="en-AU"/>
        </w:rPr>
      </w:pPr>
      <w:r w:rsidRPr="00CE69E3">
        <w:rPr>
          <w:lang w:eastAsia="en-AU"/>
        </w:rPr>
        <w:t xml:space="preserve">The distinction between controlled and administered items is based on whether the department </w:t>
      </w:r>
      <w:proofErr w:type="gramStart"/>
      <w:r w:rsidRPr="00CE69E3">
        <w:rPr>
          <w:lang w:eastAsia="en-AU"/>
        </w:rPr>
        <w:t>has the ability to</w:t>
      </w:r>
      <w:proofErr w:type="gramEnd"/>
      <w:r w:rsidRPr="00CE69E3">
        <w:rPr>
          <w:lang w:eastAsia="en-AU"/>
        </w:rPr>
        <w:t xml:space="preserve"> deploy the resources in question for its own benefit (controlled items) or whether it does so on behalf of the state (administered). The department remains accountable for transactions involving administered items, but it does not recognise these items in its financial statements.</w:t>
      </w:r>
    </w:p>
    <w:p w14:paraId="335B8916" w14:textId="77777777" w:rsidR="006E51BF" w:rsidRDefault="006E51BF">
      <w:pPr>
        <w:pStyle w:val="Heading4"/>
        <w:rPr>
          <w:lang w:eastAsia="en-AU"/>
        </w:rPr>
      </w:pPr>
      <w:r w:rsidRPr="00CE69E3">
        <w:rPr>
          <w:lang w:eastAsia="en-AU"/>
        </w:rPr>
        <w:t>Structure</w:t>
      </w:r>
    </w:p>
    <w:p w14:paraId="59A6EC7A" w14:textId="77777777" w:rsidR="006E51BF" w:rsidRDefault="006E51BF">
      <w:pPr>
        <w:pStyle w:val="ARfinstructure1"/>
        <w:rPr>
          <w:lang w:eastAsia="en-AU"/>
        </w:rPr>
      </w:pPr>
      <w:r w:rsidRPr="00CE69E3">
        <w:rPr>
          <w:lang w:eastAsia="en-AU"/>
        </w:rPr>
        <w:t xml:space="preserve">4.1 </w:t>
      </w:r>
      <w:r>
        <w:rPr>
          <w:lang w:eastAsia="en-AU"/>
        </w:rPr>
        <w:tab/>
      </w:r>
      <w:r w:rsidRPr="00CE69E3">
        <w:rPr>
          <w:lang w:eastAsia="en-AU"/>
        </w:rPr>
        <w:t>Departmental outputs</w:t>
      </w:r>
    </w:p>
    <w:p w14:paraId="73CAFC34" w14:textId="77777777" w:rsidR="006E51BF" w:rsidRDefault="006E51BF">
      <w:pPr>
        <w:pStyle w:val="ARfinstructure2"/>
        <w:rPr>
          <w:lang w:eastAsia="en-AU"/>
        </w:rPr>
      </w:pPr>
      <w:r w:rsidRPr="00CE69E3">
        <w:rPr>
          <w:lang w:eastAsia="en-AU"/>
        </w:rPr>
        <w:t xml:space="preserve">4.1.1 </w:t>
      </w:r>
      <w:r>
        <w:rPr>
          <w:lang w:eastAsia="en-AU"/>
        </w:rPr>
        <w:tab/>
      </w:r>
      <w:r w:rsidRPr="00CE69E3">
        <w:rPr>
          <w:lang w:eastAsia="en-AU"/>
        </w:rPr>
        <w:t xml:space="preserve">Departmental outputs </w:t>
      </w:r>
      <w:r>
        <w:rPr>
          <w:lang w:eastAsia="en-AU"/>
        </w:rPr>
        <w:t>–</w:t>
      </w:r>
      <w:r w:rsidRPr="00CE69E3">
        <w:rPr>
          <w:lang w:eastAsia="en-AU"/>
        </w:rPr>
        <w:t xml:space="preserve"> Descriptions and objectives</w:t>
      </w:r>
    </w:p>
    <w:p w14:paraId="4D3A48B5" w14:textId="77777777" w:rsidR="006E51BF" w:rsidRDefault="006E51BF">
      <w:pPr>
        <w:pStyle w:val="ARfinstructure2"/>
        <w:rPr>
          <w:lang w:eastAsia="en-AU"/>
        </w:rPr>
      </w:pPr>
      <w:r w:rsidRPr="00CE69E3">
        <w:rPr>
          <w:lang w:eastAsia="en-AU"/>
        </w:rPr>
        <w:t xml:space="preserve">4.1.2 </w:t>
      </w:r>
      <w:r>
        <w:rPr>
          <w:lang w:eastAsia="en-AU"/>
        </w:rPr>
        <w:tab/>
      </w:r>
      <w:r w:rsidRPr="00CE69E3">
        <w:rPr>
          <w:lang w:eastAsia="en-AU"/>
        </w:rPr>
        <w:t xml:space="preserve">Departmental outputs </w:t>
      </w:r>
      <w:r>
        <w:rPr>
          <w:lang w:eastAsia="en-AU"/>
        </w:rPr>
        <w:t>–</w:t>
      </w:r>
      <w:r w:rsidRPr="00CE69E3">
        <w:rPr>
          <w:lang w:eastAsia="en-AU"/>
        </w:rPr>
        <w:t xml:space="preserve"> Controlled income and expenses</w:t>
      </w:r>
    </w:p>
    <w:p w14:paraId="50041E4C" w14:textId="77777777" w:rsidR="006E51BF" w:rsidRDefault="006E51BF">
      <w:pPr>
        <w:pStyle w:val="ARfinstructure2"/>
        <w:rPr>
          <w:lang w:eastAsia="en-AU"/>
        </w:rPr>
      </w:pPr>
      <w:r w:rsidRPr="00CE69E3">
        <w:rPr>
          <w:lang w:eastAsia="en-AU"/>
        </w:rPr>
        <w:t xml:space="preserve">4.1.3 </w:t>
      </w:r>
      <w:r>
        <w:rPr>
          <w:lang w:eastAsia="en-AU"/>
        </w:rPr>
        <w:tab/>
      </w:r>
      <w:r w:rsidRPr="00CE69E3">
        <w:rPr>
          <w:lang w:eastAsia="en-AU"/>
        </w:rPr>
        <w:t xml:space="preserve">Departmental outputs </w:t>
      </w:r>
      <w:r>
        <w:rPr>
          <w:lang w:eastAsia="en-AU"/>
        </w:rPr>
        <w:t>–</w:t>
      </w:r>
      <w:r w:rsidRPr="00CE69E3">
        <w:rPr>
          <w:lang w:eastAsia="en-AU"/>
        </w:rPr>
        <w:t xml:space="preserve"> Controlled assets and liabilities</w:t>
      </w:r>
    </w:p>
    <w:p w14:paraId="490B1B95" w14:textId="77777777" w:rsidR="006E51BF" w:rsidRDefault="006E51BF">
      <w:pPr>
        <w:pStyle w:val="ARfinstructure1"/>
        <w:rPr>
          <w:lang w:eastAsia="en-AU"/>
        </w:rPr>
      </w:pPr>
      <w:r w:rsidRPr="00CE69E3">
        <w:rPr>
          <w:lang w:eastAsia="en-AU"/>
        </w:rPr>
        <w:t xml:space="preserve">4.2 </w:t>
      </w:r>
      <w:r>
        <w:rPr>
          <w:lang w:eastAsia="en-AU"/>
        </w:rPr>
        <w:tab/>
      </w:r>
      <w:r w:rsidRPr="00CE69E3">
        <w:rPr>
          <w:lang w:eastAsia="en-AU"/>
        </w:rPr>
        <w:t>Administered (non-controlled) items</w:t>
      </w:r>
    </w:p>
    <w:p w14:paraId="4A2DF207" w14:textId="77777777" w:rsidR="006E51BF" w:rsidRDefault="006E51BF">
      <w:pPr>
        <w:pStyle w:val="ARfinstructure2"/>
        <w:rPr>
          <w:lang w:eastAsia="en-AU"/>
        </w:rPr>
      </w:pPr>
      <w:r w:rsidRPr="00CE69E3">
        <w:rPr>
          <w:lang w:eastAsia="en-AU"/>
        </w:rPr>
        <w:t xml:space="preserve">4.2.1 </w:t>
      </w:r>
      <w:r>
        <w:rPr>
          <w:lang w:eastAsia="en-AU"/>
        </w:rPr>
        <w:tab/>
      </w:r>
      <w:r w:rsidRPr="00CE69E3">
        <w:rPr>
          <w:lang w:eastAsia="en-AU"/>
        </w:rPr>
        <w:t>Administered income and expenses</w:t>
      </w:r>
    </w:p>
    <w:p w14:paraId="5FAADAA5" w14:textId="77777777" w:rsidR="006E51BF" w:rsidRPr="00CE69E3" w:rsidRDefault="006E51BF">
      <w:pPr>
        <w:pStyle w:val="ARfinstructure2"/>
        <w:rPr>
          <w:b/>
          <w:bCs/>
          <w:lang w:eastAsia="en-AU"/>
        </w:rPr>
      </w:pPr>
      <w:r w:rsidRPr="00CE69E3">
        <w:rPr>
          <w:lang w:eastAsia="en-AU"/>
        </w:rPr>
        <w:t xml:space="preserve">4.2.2 </w:t>
      </w:r>
      <w:r>
        <w:rPr>
          <w:lang w:eastAsia="en-AU"/>
        </w:rPr>
        <w:tab/>
      </w:r>
      <w:r w:rsidRPr="00CE69E3">
        <w:rPr>
          <w:lang w:eastAsia="en-AU"/>
        </w:rPr>
        <w:t>Administered assets and liabilities</w:t>
      </w:r>
    </w:p>
    <w:p w14:paraId="3892DF8E" w14:textId="77777777" w:rsidR="006E51BF" w:rsidRPr="00CE69E3" w:rsidRDefault="006E51BF">
      <w:pPr>
        <w:pStyle w:val="Heading4"/>
        <w:rPr>
          <w:lang w:eastAsia="en-AU"/>
        </w:rPr>
      </w:pPr>
      <w:r w:rsidRPr="00CE69E3">
        <w:rPr>
          <w:lang w:eastAsia="en-AU"/>
        </w:rPr>
        <w:t xml:space="preserve">4.1 </w:t>
      </w:r>
      <w:r>
        <w:rPr>
          <w:lang w:eastAsia="en-AU"/>
        </w:rPr>
        <w:tab/>
      </w:r>
      <w:r w:rsidRPr="00CE69E3">
        <w:rPr>
          <w:lang w:eastAsia="en-AU"/>
        </w:rPr>
        <w:t>Departmental outputs</w:t>
      </w:r>
    </w:p>
    <w:p w14:paraId="75972ED6" w14:textId="77777777" w:rsidR="006E51BF" w:rsidRPr="00CE69E3" w:rsidRDefault="006E51BF">
      <w:pPr>
        <w:pStyle w:val="Heading5"/>
        <w:rPr>
          <w:lang w:eastAsia="en-AU"/>
        </w:rPr>
      </w:pPr>
      <w:r w:rsidRPr="00CE69E3">
        <w:rPr>
          <w:lang w:eastAsia="en-AU"/>
        </w:rPr>
        <w:t xml:space="preserve">4.1.1 </w:t>
      </w:r>
      <w:r>
        <w:rPr>
          <w:lang w:eastAsia="en-AU"/>
        </w:rPr>
        <w:tab/>
      </w:r>
      <w:r w:rsidRPr="00CE69E3">
        <w:rPr>
          <w:lang w:eastAsia="en-AU"/>
        </w:rPr>
        <w:t xml:space="preserve">Departmental outputs </w:t>
      </w:r>
      <w:r>
        <w:rPr>
          <w:lang w:eastAsia="en-AU"/>
        </w:rPr>
        <w:t>–</w:t>
      </w:r>
      <w:r w:rsidRPr="00CE69E3">
        <w:rPr>
          <w:lang w:eastAsia="en-AU"/>
        </w:rPr>
        <w:t xml:space="preserve"> Descriptions and objectives</w:t>
      </w:r>
    </w:p>
    <w:p w14:paraId="43ECC94B" w14:textId="77777777" w:rsidR="006E51BF" w:rsidRPr="00CE69E3" w:rsidRDefault="006E51BF">
      <w:pPr>
        <w:pStyle w:val="Heading6"/>
      </w:pPr>
      <w:r w:rsidRPr="00CE69E3">
        <w:t>Department of Families, Fairness and Housing outputs</w:t>
      </w:r>
    </w:p>
    <w:p w14:paraId="6DF31E55" w14:textId="77777777" w:rsidR="006E51BF" w:rsidRDefault="006E51BF">
      <w:pPr>
        <w:pStyle w:val="Heading7"/>
        <w:rPr>
          <w:vertAlign w:val="superscript"/>
          <w:lang w:eastAsia="en-AU"/>
        </w:rPr>
      </w:pPr>
      <w:r w:rsidRPr="00CE69E3">
        <w:rPr>
          <w:lang w:eastAsia="en-AU"/>
        </w:rPr>
        <w:t>Output 1: Disability Programs and Services</w:t>
      </w:r>
      <w:r>
        <w:rPr>
          <w:lang w:eastAsia="en-AU"/>
        </w:rPr>
        <w:t xml:space="preserve"> </w:t>
      </w:r>
      <w:r w:rsidRPr="00CE69E3">
        <w:rPr>
          <w:vertAlign w:val="superscript"/>
          <w:lang w:eastAsia="en-AU"/>
        </w:rPr>
        <w:t>(</w:t>
      </w:r>
      <w:proofErr w:type="spellStart"/>
      <w:r w:rsidRPr="00CE69E3">
        <w:rPr>
          <w:vertAlign w:val="superscript"/>
          <w:lang w:eastAsia="en-AU"/>
        </w:rPr>
        <w:t>i</w:t>
      </w:r>
      <w:proofErr w:type="spellEnd"/>
      <w:r w:rsidRPr="00CE69E3">
        <w:rPr>
          <w:vertAlign w:val="superscript"/>
          <w:lang w:eastAsia="en-AU"/>
        </w:rPr>
        <w:t>)</w:t>
      </w:r>
    </w:p>
    <w:p w14:paraId="22DF85C9" w14:textId="77777777" w:rsidR="006E51BF" w:rsidRDefault="006E51BF">
      <w:pPr>
        <w:pStyle w:val="ARfinbody"/>
        <w:rPr>
          <w:lang w:eastAsia="en-AU"/>
        </w:rPr>
      </w:pPr>
      <w:r w:rsidRPr="00CE69E3">
        <w:rPr>
          <w:lang w:eastAsia="en-AU"/>
        </w:rPr>
        <w:t xml:space="preserve">The Disability Programs and Services output, through the provision of services not covered by the National Disability Insurance Scheme for people with disabilities, their </w:t>
      </w:r>
      <w:proofErr w:type="spellStart"/>
      <w:r w:rsidRPr="00CE69E3">
        <w:rPr>
          <w:lang w:eastAsia="en-AU"/>
        </w:rPr>
        <w:t>carers</w:t>
      </w:r>
      <w:proofErr w:type="spellEnd"/>
      <w:r w:rsidRPr="00CE69E3">
        <w:rPr>
          <w:lang w:eastAsia="en-AU"/>
        </w:rPr>
        <w:t xml:space="preserve"> and their families, aims to make a positive difference for Victorians experiencing barriers to accessing services and to provide high-quality support to meet clients’ needs. This includes therapeutic services and supports for people with cognitive disability involved, or at risk of involvement, in Victoria’s criminal justice system. This includes initiatives under the State Disability Plan including disability advocacy.</w:t>
      </w:r>
    </w:p>
    <w:p w14:paraId="741C40DD" w14:textId="77777777" w:rsidR="006E51BF" w:rsidRDefault="006E51BF">
      <w:pPr>
        <w:pStyle w:val="ARfintablenote"/>
        <w:rPr>
          <w:lang w:eastAsia="en-AU"/>
        </w:rPr>
      </w:pPr>
      <w:r w:rsidRPr="00CE69E3">
        <w:rPr>
          <w:lang w:eastAsia="en-AU"/>
        </w:rPr>
        <w:t>Note:</w:t>
      </w:r>
    </w:p>
    <w:p w14:paraId="7AF15E1C" w14:textId="77777777" w:rsidR="006E51BF" w:rsidRPr="00CE69E3" w:rsidRDefault="006E51BF" w:rsidP="006E51BF">
      <w:pPr>
        <w:pStyle w:val="ARfintablenoteroman"/>
        <w:numPr>
          <w:ilvl w:val="0"/>
          <w:numId w:val="57"/>
        </w:numPr>
      </w:pPr>
      <w:r w:rsidRPr="00CE69E3">
        <w:t xml:space="preserve">The Office for Disability and Disability Services outputs have been consolidated into the Disability Programs and Services output, to align to the State’s role following completion of the NDIS transition. </w:t>
      </w:r>
    </w:p>
    <w:p w14:paraId="18B453E2" w14:textId="77777777" w:rsidR="006E51BF" w:rsidRDefault="006E51BF">
      <w:pPr>
        <w:pStyle w:val="Heading7"/>
        <w:rPr>
          <w:lang w:eastAsia="en-AU"/>
        </w:rPr>
      </w:pPr>
      <w:r w:rsidRPr="00CE69E3">
        <w:rPr>
          <w:lang w:eastAsia="en-AU"/>
        </w:rPr>
        <w:t>Output 2: Child Protection and Family Services</w:t>
      </w:r>
    </w:p>
    <w:p w14:paraId="5902B461" w14:textId="77777777" w:rsidR="006E51BF" w:rsidRPr="00CE69E3" w:rsidRDefault="006E51BF">
      <w:pPr>
        <w:pStyle w:val="ARfinbody"/>
        <w:rPr>
          <w:lang w:eastAsia="en-AU"/>
        </w:rPr>
      </w:pPr>
      <w:r w:rsidRPr="00CE69E3">
        <w:rPr>
          <w:lang w:eastAsia="en-AU"/>
        </w:rPr>
        <w:t>The Child Protection and Family Services output, through the funding of statutory child protection services, family support and parenting services, care services and specialist support services, including services for Aboriginal children and families, aims to ensure the safety and wellbeing of children and young people at risk of harm, abuse and neglect. This output aims to make a positive difference to Victorians experiencing disadvantage by providing excellent community services to meet clients’ needs.</w:t>
      </w:r>
    </w:p>
    <w:p w14:paraId="57CEDEAE" w14:textId="77777777" w:rsidR="006E51BF" w:rsidRDefault="006E51BF">
      <w:pPr>
        <w:pStyle w:val="Heading7"/>
        <w:rPr>
          <w:lang w:eastAsia="en-AU"/>
        </w:rPr>
      </w:pPr>
      <w:r w:rsidRPr="00CE69E3">
        <w:rPr>
          <w:lang w:eastAsia="en-AU"/>
        </w:rPr>
        <w:t>Output 3: Concessions to Pensioners and Beneficiaries</w:t>
      </w:r>
    </w:p>
    <w:p w14:paraId="36419333" w14:textId="77777777" w:rsidR="006E51BF" w:rsidRPr="00CE69E3" w:rsidRDefault="006E51BF">
      <w:pPr>
        <w:pStyle w:val="ARfinbody"/>
        <w:rPr>
          <w:lang w:eastAsia="en-AU"/>
        </w:rPr>
      </w:pPr>
      <w:r w:rsidRPr="00CE69E3">
        <w:rPr>
          <w:lang w:eastAsia="en-AU"/>
        </w:rPr>
        <w:t>The Concessions to Pensioners and Beneficiaries output, through the development and coordination of the delivery of concessions and relief grants to eligible consumers and concession card holders, aims to make a positive difference for Victorians experiencing disadvantage by providing excellent community services to meet clients’ needs.</w:t>
      </w:r>
    </w:p>
    <w:p w14:paraId="0CB8EB24" w14:textId="77777777" w:rsidR="006E51BF" w:rsidRDefault="006E51BF">
      <w:pPr>
        <w:pStyle w:val="Heading7"/>
        <w:rPr>
          <w:lang w:eastAsia="en-AU"/>
        </w:rPr>
      </w:pPr>
      <w:r w:rsidRPr="00CE69E3">
        <w:rPr>
          <w:lang w:eastAsia="en-AU"/>
        </w:rPr>
        <w:t>Output 4: Community Participation</w:t>
      </w:r>
    </w:p>
    <w:p w14:paraId="2D216EDD" w14:textId="77777777" w:rsidR="006E51BF" w:rsidRPr="00CE69E3" w:rsidRDefault="006E51BF">
      <w:pPr>
        <w:pStyle w:val="ARfinbody"/>
        <w:rPr>
          <w:lang w:eastAsia="en-AU"/>
        </w:rPr>
      </w:pPr>
      <w:r w:rsidRPr="00CE69E3">
        <w:rPr>
          <w:lang w:eastAsia="en-AU"/>
        </w:rPr>
        <w:t>The Community Participation programs include the Neighbourhood House Coordination Program, Men’s Shed Funding Program, Food Relief, Community Support and Community Finance initiatives. These programs support the social and economic participation and inclusion of Victorian communities.</w:t>
      </w:r>
    </w:p>
    <w:p w14:paraId="76A6E342" w14:textId="77777777" w:rsidR="006E51BF" w:rsidRDefault="006E51BF">
      <w:pPr>
        <w:pStyle w:val="Heading7"/>
        <w:rPr>
          <w:lang w:eastAsia="en-AU"/>
        </w:rPr>
      </w:pPr>
      <w:r w:rsidRPr="00CE69E3">
        <w:rPr>
          <w:lang w:eastAsia="en-AU"/>
        </w:rPr>
        <w:t>Output 5: Seniors Programs and Participation</w:t>
      </w:r>
    </w:p>
    <w:p w14:paraId="7B69460C" w14:textId="77777777" w:rsidR="006E51BF" w:rsidRPr="00CE69E3" w:rsidRDefault="006E51BF">
      <w:pPr>
        <w:pStyle w:val="ARfinbody"/>
        <w:rPr>
          <w:lang w:eastAsia="en-AU"/>
        </w:rPr>
      </w:pPr>
      <w:r w:rsidRPr="00CE69E3">
        <w:rPr>
          <w:lang w:eastAsia="en-AU"/>
        </w:rPr>
        <w:t xml:space="preserve">The Seniors Programs and Participation output, which supports broader community planning processes to facilitate an integrated community planning and response approach aimed at enabling older Victorians to fully participate and engage in the community. This output also delivers </w:t>
      </w:r>
      <w:r w:rsidRPr="00E95AEB">
        <w:t>recognition</w:t>
      </w:r>
      <w:r w:rsidRPr="00CE69E3">
        <w:rPr>
          <w:lang w:eastAsia="en-AU"/>
        </w:rPr>
        <w:t xml:space="preserve"> and </w:t>
      </w:r>
      <w:r w:rsidRPr="00E95AEB">
        <w:t>support</w:t>
      </w:r>
      <w:r w:rsidRPr="00CE69E3">
        <w:rPr>
          <w:lang w:eastAsia="en-AU"/>
        </w:rPr>
        <w:t xml:space="preserve"> to Victorians with unpaid caring responsibilities.</w:t>
      </w:r>
    </w:p>
    <w:p w14:paraId="10B129EE" w14:textId="77777777" w:rsidR="006E51BF" w:rsidRDefault="006E51BF">
      <w:pPr>
        <w:pStyle w:val="Heading7"/>
        <w:rPr>
          <w:lang w:eastAsia="en-AU"/>
        </w:rPr>
      </w:pPr>
      <w:r w:rsidRPr="00CE69E3">
        <w:rPr>
          <w:lang w:eastAsia="en-AU"/>
        </w:rPr>
        <w:t>Output 6: Support to Veterans in Victoria</w:t>
      </w:r>
    </w:p>
    <w:p w14:paraId="77A254C4" w14:textId="6233F5CD" w:rsidR="006E51BF" w:rsidRPr="00CE69E3" w:rsidRDefault="006E51BF">
      <w:pPr>
        <w:pStyle w:val="ARfinbody"/>
        <w:rPr>
          <w:lang w:eastAsia="en-AU"/>
        </w:rPr>
      </w:pPr>
      <w:r w:rsidRPr="00CE69E3">
        <w:rPr>
          <w:lang w:eastAsia="en-AU"/>
        </w:rPr>
        <w:t>The Support to Veterans in Victoria output, which provides coordination of veteran-related issues at a state level, especially in relation to commemoration, education programs, grant programs, employment initiatives, research and</w:t>
      </w:r>
      <w:r w:rsidR="00653264">
        <w:rPr>
          <w:lang w:eastAsia="en-AU"/>
        </w:rPr>
        <w:t> </w:t>
      </w:r>
      <w:r w:rsidRPr="00CE69E3">
        <w:rPr>
          <w:lang w:eastAsia="en-AU"/>
        </w:rPr>
        <w:t>veteran welfare.</w:t>
      </w:r>
    </w:p>
    <w:p w14:paraId="299AE415" w14:textId="77777777" w:rsidR="006E51BF" w:rsidRDefault="006E51BF">
      <w:pPr>
        <w:pStyle w:val="Heading7"/>
        <w:rPr>
          <w:lang w:eastAsia="en-AU"/>
        </w:rPr>
      </w:pPr>
      <w:r w:rsidRPr="00CE69E3">
        <w:rPr>
          <w:lang w:eastAsia="en-AU"/>
        </w:rPr>
        <w:t>Output 7: LGBTIQA + Equality Policy and Programs</w:t>
      </w:r>
    </w:p>
    <w:p w14:paraId="362CBD4A" w14:textId="33A6F157" w:rsidR="006E51BF" w:rsidRPr="00CE69E3" w:rsidRDefault="006E51BF">
      <w:pPr>
        <w:pStyle w:val="ARfinbody"/>
        <w:rPr>
          <w:lang w:eastAsia="en-AU"/>
        </w:rPr>
      </w:pPr>
      <w:r w:rsidRPr="00CE69E3">
        <w:rPr>
          <w:lang w:eastAsia="en-AU"/>
        </w:rPr>
        <w:t>The LGBTIQA+ Equality Policy and Programs output, which provides programs and services to promote equality for</w:t>
      </w:r>
      <w:r w:rsidR="00653264">
        <w:rPr>
          <w:lang w:eastAsia="en-AU"/>
        </w:rPr>
        <w:t> </w:t>
      </w:r>
      <w:r w:rsidRPr="00CE69E3">
        <w:rPr>
          <w:lang w:eastAsia="en-AU"/>
        </w:rPr>
        <w:t>LGBTIQA+ Victorians and to support the economic, social and civic participation of these communities.</w:t>
      </w:r>
    </w:p>
    <w:p w14:paraId="6D669A8B" w14:textId="77777777" w:rsidR="006E51BF" w:rsidRDefault="006E51BF">
      <w:pPr>
        <w:pStyle w:val="Heading7"/>
        <w:rPr>
          <w:lang w:eastAsia="en-AU"/>
        </w:rPr>
      </w:pPr>
      <w:r w:rsidRPr="00CE69E3">
        <w:rPr>
          <w:lang w:eastAsia="en-AU"/>
        </w:rPr>
        <w:t>Output 8: Women's policy</w:t>
      </w:r>
    </w:p>
    <w:p w14:paraId="1443BE76" w14:textId="6466430E" w:rsidR="006E51BF" w:rsidRPr="00CE69E3" w:rsidRDefault="006E51BF">
      <w:pPr>
        <w:pStyle w:val="ARfinbody"/>
        <w:rPr>
          <w:lang w:eastAsia="en-AU"/>
        </w:rPr>
      </w:pPr>
      <w:r w:rsidRPr="00CE69E3">
        <w:rPr>
          <w:lang w:eastAsia="en-AU"/>
        </w:rPr>
        <w:t>The Women’s Policy output, which provides initiatives that gender equality and better outcomes for women across all</w:t>
      </w:r>
      <w:r w:rsidR="00653264">
        <w:rPr>
          <w:lang w:eastAsia="en-AU"/>
        </w:rPr>
        <w:t> </w:t>
      </w:r>
      <w:r w:rsidRPr="00CE69E3">
        <w:rPr>
          <w:lang w:eastAsia="en-AU"/>
        </w:rPr>
        <w:t>areas of their lives including economic security, safety, leadership, health and wellbeing.</w:t>
      </w:r>
    </w:p>
    <w:p w14:paraId="05EE6101" w14:textId="77777777" w:rsidR="006E51BF" w:rsidRDefault="006E51BF">
      <w:pPr>
        <w:pStyle w:val="Heading7"/>
        <w:rPr>
          <w:lang w:eastAsia="en-AU"/>
        </w:rPr>
      </w:pPr>
      <w:r w:rsidRPr="00CE69E3">
        <w:rPr>
          <w:lang w:eastAsia="en-AU"/>
        </w:rPr>
        <w:t>Output 9: Primary Prevention of Family Violence</w:t>
      </w:r>
    </w:p>
    <w:p w14:paraId="250C1651" w14:textId="77777777" w:rsidR="006E51BF" w:rsidRPr="00CE69E3" w:rsidRDefault="006E51BF">
      <w:pPr>
        <w:pStyle w:val="ARfinbody"/>
        <w:rPr>
          <w:lang w:eastAsia="en-AU"/>
        </w:rPr>
      </w:pPr>
      <w:r w:rsidRPr="00CE69E3">
        <w:rPr>
          <w:lang w:eastAsia="en-AU"/>
        </w:rPr>
        <w:t>The Primary Prevention of Family Violence output, which provides initiatives that support primary prevention of family violence and all forms of violence against women.</w:t>
      </w:r>
    </w:p>
    <w:p w14:paraId="5BC0E8AE" w14:textId="77777777" w:rsidR="006E51BF" w:rsidRDefault="006E51BF">
      <w:pPr>
        <w:pStyle w:val="Heading7"/>
        <w:rPr>
          <w:lang w:eastAsia="en-AU"/>
        </w:rPr>
      </w:pPr>
      <w:r w:rsidRPr="00CE69E3">
        <w:rPr>
          <w:lang w:eastAsia="en-AU"/>
        </w:rPr>
        <w:t>Output 10: Youth</w:t>
      </w:r>
    </w:p>
    <w:p w14:paraId="12AB5173" w14:textId="77777777" w:rsidR="006E51BF" w:rsidRPr="00CE69E3" w:rsidRDefault="006E51BF">
      <w:pPr>
        <w:pStyle w:val="ARfinbody"/>
        <w:rPr>
          <w:lang w:eastAsia="en-AU"/>
        </w:rPr>
      </w:pPr>
      <w:r w:rsidRPr="00CE69E3">
        <w:rPr>
          <w:lang w:eastAsia="en-AU"/>
        </w:rPr>
        <w:t>The Youth output, which leads and coordinates whole of government policy advice and delivers a range of initiatives for young people aged between 12 and 25 years to gain a range of skills and experience and to actively participate in their local communities.</w:t>
      </w:r>
    </w:p>
    <w:p w14:paraId="51607461" w14:textId="77777777" w:rsidR="006E51BF" w:rsidRDefault="006E51BF">
      <w:pPr>
        <w:pStyle w:val="Heading7"/>
        <w:rPr>
          <w:lang w:eastAsia="en-AU"/>
        </w:rPr>
      </w:pPr>
      <w:r w:rsidRPr="00CE69E3">
        <w:rPr>
          <w:lang w:eastAsia="en-AU"/>
        </w:rPr>
        <w:t>Output 11: Family Violence Service Delivery</w:t>
      </w:r>
    </w:p>
    <w:p w14:paraId="7C5D91A4" w14:textId="77777777" w:rsidR="006E51BF" w:rsidRPr="00CE69E3" w:rsidRDefault="006E51BF">
      <w:pPr>
        <w:pStyle w:val="ARfinbody"/>
        <w:rPr>
          <w:lang w:eastAsia="en-AU"/>
        </w:rPr>
      </w:pPr>
      <w:r w:rsidRPr="00CE69E3">
        <w:rPr>
          <w:lang w:eastAsia="en-AU"/>
        </w:rPr>
        <w:t>The Family Violence Service Delivery output leads and coordinates whole of government family violence policy and implements and delivers the Government’s family violence reform agenda. This includes operating The Orange Door Network; delivering victim survivor support services; sexual assault support services; and perpetrator interventions; implementing information sharing legislation; early intervention programs; and delivering risk assessment and management programs.</w:t>
      </w:r>
    </w:p>
    <w:p w14:paraId="2CA929B4" w14:textId="77777777" w:rsidR="006E51BF" w:rsidRDefault="006E51BF">
      <w:pPr>
        <w:pStyle w:val="Heading7"/>
        <w:rPr>
          <w:lang w:eastAsia="en-AU"/>
        </w:rPr>
      </w:pPr>
      <w:r w:rsidRPr="00CE69E3">
        <w:rPr>
          <w:lang w:eastAsia="en-AU"/>
        </w:rPr>
        <w:t>Output 12: Housing Assistance</w:t>
      </w:r>
    </w:p>
    <w:p w14:paraId="70B1B23C" w14:textId="77777777" w:rsidR="006E51BF" w:rsidRDefault="006E51BF">
      <w:pPr>
        <w:pStyle w:val="ARfinbody"/>
        <w:rPr>
          <w:lang w:eastAsia="en-AU"/>
        </w:rPr>
      </w:pPr>
      <w:r w:rsidRPr="00CE69E3">
        <w:rPr>
          <w:lang w:eastAsia="en-AU"/>
        </w:rPr>
        <w:t>The Housing Assistance output ensures more Victorians have a place to call home by providing services and support across the housing continuum; including homelessness services, transitional accommodation and wrap around services and social and affordable housing.</w:t>
      </w:r>
    </w:p>
    <w:p w14:paraId="6C0F8B73" w14:textId="77777777" w:rsidR="006E51BF" w:rsidRDefault="006E51BF">
      <w:pPr>
        <w:pStyle w:val="ARfinbody"/>
        <w:rPr>
          <w:lang w:eastAsia="en-AU"/>
        </w:rPr>
      </w:pPr>
      <w:r w:rsidRPr="00CE69E3">
        <w:rPr>
          <w:lang w:eastAsia="en-AU"/>
        </w:rPr>
        <w:t>Affordable housing options delivered through the Affordable Housing Rental Scheme are responding to the growing gap in housing affordability and aim to increase supply for households experiencing rental stress or trying to buy their first</w:t>
      </w:r>
      <w:r>
        <w:rPr>
          <w:lang w:eastAsia="en-AU"/>
        </w:rPr>
        <w:t> </w:t>
      </w:r>
      <w:r w:rsidRPr="00CE69E3">
        <w:rPr>
          <w:lang w:eastAsia="en-AU"/>
        </w:rPr>
        <w:t>home.</w:t>
      </w:r>
    </w:p>
    <w:p w14:paraId="2B65AB19" w14:textId="77777777" w:rsidR="006E51BF" w:rsidRDefault="006E51BF">
      <w:pPr>
        <w:pStyle w:val="ARfinbody"/>
        <w:rPr>
          <w:lang w:eastAsia="en-AU"/>
        </w:rPr>
      </w:pPr>
      <w:r w:rsidRPr="00CE69E3">
        <w:rPr>
          <w:lang w:eastAsia="en-AU"/>
        </w:rPr>
        <w:t xml:space="preserve">This output is ensuring more affordable, safe, and secure accommodation is being built right across Victoria, and reforming the housing system to provide greater access to housing services and supports for all Victorians, including: </w:t>
      </w:r>
    </w:p>
    <w:p w14:paraId="76619C58" w14:textId="7B3CF8E2" w:rsidR="006E51BF" w:rsidRDefault="006E51BF" w:rsidP="006E51BF">
      <w:pPr>
        <w:pStyle w:val="ARfinbullet1"/>
        <w:numPr>
          <w:ilvl w:val="0"/>
          <w:numId w:val="13"/>
        </w:numPr>
        <w:ind w:left="284" w:hanging="284"/>
      </w:pPr>
      <w:r w:rsidRPr="00CE69E3">
        <w:t>housing assistance for low-income families, older people, singles, youth, victim survivors of family violence and other</w:t>
      </w:r>
      <w:r w:rsidR="00653264">
        <w:t> </w:t>
      </w:r>
      <w:r w:rsidRPr="00CE69E3">
        <w:t xml:space="preserve">households. It responds to the needs of clients through the provision of appropriate accommodation, including short-term and long-term properties that assist in reducing and preventing homelessness </w:t>
      </w:r>
    </w:p>
    <w:p w14:paraId="19B7DA00" w14:textId="3D23EA6E" w:rsidR="006E51BF" w:rsidRDefault="006E51BF" w:rsidP="006E51BF">
      <w:pPr>
        <w:pStyle w:val="ARfinbullet1"/>
        <w:numPr>
          <w:ilvl w:val="0"/>
          <w:numId w:val="13"/>
        </w:numPr>
        <w:ind w:left="284" w:hanging="284"/>
      </w:pPr>
      <w:r w:rsidRPr="00CE69E3">
        <w:t>housing support services to people who are homeless or at risk of homelessness, in short-term housing or crisis situations. Support will assist clients in accessing and maintaining tenancies in appropriate accommodation. Services</w:t>
      </w:r>
      <w:r w:rsidR="00653264">
        <w:t> </w:t>
      </w:r>
      <w:r w:rsidRPr="00CE69E3">
        <w:t xml:space="preserve">provided will assist in preventing and reducing homelessness </w:t>
      </w:r>
    </w:p>
    <w:p w14:paraId="3D32F98F" w14:textId="3E3E69D0" w:rsidR="00A635D3" w:rsidRDefault="006E51BF" w:rsidP="006E51BF">
      <w:pPr>
        <w:pStyle w:val="ARfinbullet1"/>
        <w:numPr>
          <w:ilvl w:val="0"/>
          <w:numId w:val="13"/>
        </w:numPr>
        <w:ind w:left="284" w:hanging="284"/>
      </w:pPr>
      <w:r w:rsidRPr="00CE69E3">
        <w:t>working with Aboriginal housing providers to ensure housing is designed and delivered by Aboriginal people, enabling self-determination and meeting community needs.</w:t>
      </w:r>
    </w:p>
    <w:p w14:paraId="7B6E15DE" w14:textId="77777777" w:rsidR="00A635D3" w:rsidRDefault="00A635D3">
      <w:pPr>
        <w:spacing w:after="0" w:line="240" w:lineRule="auto"/>
        <w:rPr>
          <w:rFonts w:eastAsia="Times"/>
          <w:sz w:val="18"/>
        </w:rPr>
      </w:pPr>
      <w:r>
        <w:br w:type="page"/>
      </w:r>
    </w:p>
    <w:p w14:paraId="679CA855" w14:textId="77777777" w:rsidR="006E51BF" w:rsidRDefault="006E51BF">
      <w:pPr>
        <w:pStyle w:val="Heading7"/>
        <w:rPr>
          <w:lang w:eastAsia="en-AU"/>
        </w:rPr>
      </w:pPr>
      <w:r w:rsidRPr="00CE69E3">
        <w:rPr>
          <w:lang w:eastAsia="en-AU"/>
        </w:rPr>
        <w:t>Output 13: Victorian Contribution to National Disability Insurance Scheme</w:t>
      </w:r>
    </w:p>
    <w:p w14:paraId="7FF2A65B" w14:textId="77777777" w:rsidR="006E51BF" w:rsidRDefault="006E51BF">
      <w:pPr>
        <w:pStyle w:val="ARfinbody"/>
        <w:rPr>
          <w:lang w:eastAsia="en-AU"/>
        </w:rPr>
      </w:pPr>
      <w:r w:rsidRPr="00CE69E3">
        <w:rPr>
          <w:lang w:eastAsia="en-AU"/>
        </w:rPr>
        <w:t xml:space="preserve">The Victorian Contribution to National Disability Insurance Scheme is the Department’s contribution to Australia’s National Disability Insurance Scheme. The scheme ensures that people with severe or profound disabilities can access the necessary supports they need to live the life they want and achieve their goals and aspirations. Funding and the related transactions of this output are reported in Note 4.2.1 Administered (non-controlled) items. </w:t>
      </w:r>
    </w:p>
    <w:p w14:paraId="1AE4FD54" w14:textId="77777777" w:rsidR="006E51BF" w:rsidRPr="00CE69E3" w:rsidRDefault="006E51BF">
      <w:pPr>
        <w:pStyle w:val="ARfinbody"/>
        <w:rPr>
          <w:lang w:eastAsia="en-AU"/>
        </w:rPr>
      </w:pPr>
      <w:r w:rsidRPr="00CE69E3">
        <w:rPr>
          <w:lang w:eastAsia="en-AU"/>
        </w:rPr>
        <w:t>Further details on the objectives of each output can be found in Budget Paper No. 3 Service Delivery.</w:t>
      </w:r>
    </w:p>
    <w:p w14:paraId="5DD73430" w14:textId="77777777" w:rsidR="006E51BF" w:rsidRDefault="006E51BF">
      <w:pPr>
        <w:pStyle w:val="ARfinbody"/>
        <w:sectPr w:rsidR="006E51BF" w:rsidSect="00E7077C">
          <w:pgSz w:w="11906" w:h="16838" w:code="9"/>
          <w:pgMar w:top="1588" w:right="1134" w:bottom="851" w:left="1134" w:header="680" w:footer="567" w:gutter="0"/>
          <w:cols w:space="340"/>
          <w:docGrid w:linePitch="360"/>
        </w:sectPr>
      </w:pPr>
    </w:p>
    <w:p w14:paraId="23FA09E1" w14:textId="77777777" w:rsidR="006E51BF" w:rsidRPr="00107A72" w:rsidRDefault="006E51BF" w:rsidP="009C5E39">
      <w:pPr>
        <w:pStyle w:val="Heading5"/>
        <w:spacing w:before="0"/>
      </w:pPr>
      <w:r w:rsidRPr="00107A72">
        <w:t xml:space="preserve">4.1.2 Departmental outputs </w:t>
      </w:r>
      <w:r w:rsidRPr="00B5533A">
        <w:t>–</w:t>
      </w:r>
      <w:r w:rsidRPr="00107A72">
        <w:t xml:space="preserve"> Controlled income and expenses for the year ended 30 June 2026</w:t>
      </w:r>
    </w:p>
    <w:tbl>
      <w:tblPr>
        <w:tblStyle w:val="ARtable1"/>
        <w:tblW w:w="5000" w:type="pct"/>
        <w:tblLook w:val="00E0" w:firstRow="1" w:lastRow="1" w:firstColumn="1" w:lastColumn="0" w:noHBand="0" w:noVBand="0"/>
      </w:tblPr>
      <w:tblGrid>
        <w:gridCol w:w="3694"/>
        <w:gridCol w:w="835"/>
        <w:gridCol w:w="835"/>
        <w:gridCol w:w="836"/>
        <w:gridCol w:w="836"/>
        <w:gridCol w:w="836"/>
        <w:gridCol w:w="836"/>
        <w:gridCol w:w="836"/>
        <w:gridCol w:w="836"/>
        <w:gridCol w:w="836"/>
        <w:gridCol w:w="836"/>
        <w:gridCol w:w="836"/>
        <w:gridCol w:w="836"/>
        <w:gridCol w:w="836"/>
      </w:tblGrid>
      <w:tr w:rsidR="006E51BF" w:rsidRPr="00107A72" w14:paraId="444EA2AB" w14:textId="77777777" w:rsidTr="00785A35">
        <w:trPr>
          <w:cnfStyle w:val="100000000000" w:firstRow="1" w:lastRow="0" w:firstColumn="0" w:lastColumn="0" w:oddVBand="0" w:evenVBand="0" w:oddHBand="0" w:evenHBand="0" w:firstRowFirstColumn="0" w:firstRowLastColumn="0" w:lastRowFirstColumn="0" w:lastRowLastColumn="0"/>
          <w:trHeight w:val="20"/>
          <w:tblHeader/>
        </w:trPr>
        <w:tc>
          <w:tcPr>
            <w:tcW w:w="1202" w:type="pct"/>
            <w:noWrap/>
            <w:hideMark/>
          </w:tcPr>
          <w:p w14:paraId="4A59BA8E" w14:textId="77777777" w:rsidR="006E51BF" w:rsidRPr="00107A72" w:rsidRDefault="006E51BF">
            <w:pPr>
              <w:pStyle w:val="ARfintablecolheadpt8"/>
            </w:pPr>
            <w:r w:rsidRPr="00107A72">
              <w:t xml:space="preserve">Output </w:t>
            </w:r>
            <w:r w:rsidRPr="00B5533A">
              <w:rPr>
                <w:vertAlign w:val="superscript"/>
              </w:rPr>
              <w:t>(</w:t>
            </w:r>
            <w:proofErr w:type="spellStart"/>
            <w:r w:rsidRPr="00B5533A">
              <w:rPr>
                <w:vertAlign w:val="superscript"/>
              </w:rPr>
              <w:t>i</w:t>
            </w:r>
            <w:proofErr w:type="spellEnd"/>
            <w:r w:rsidRPr="00B5533A">
              <w:rPr>
                <w:vertAlign w:val="superscript"/>
              </w:rPr>
              <w:t>)</w:t>
            </w:r>
          </w:p>
          <w:p w14:paraId="6F56ADCE" w14:textId="77777777" w:rsidR="006E51BF" w:rsidRPr="00107A72" w:rsidRDefault="006E51BF">
            <w:pPr>
              <w:pStyle w:val="ARfintablecolheadpt8"/>
            </w:pPr>
            <w:r w:rsidRPr="00107A72">
              <w:t>2026</w:t>
            </w:r>
          </w:p>
        </w:tc>
        <w:tc>
          <w:tcPr>
            <w:cnfStyle w:val="000001000000" w:firstRow="0" w:lastRow="0" w:firstColumn="0" w:lastColumn="0" w:oddVBand="0" w:evenVBand="1" w:oddHBand="0" w:evenHBand="0" w:firstRowFirstColumn="0" w:firstRowLastColumn="0" w:lastRowFirstColumn="0" w:lastRowLastColumn="0"/>
            <w:tcW w:w="292" w:type="pct"/>
            <w:tcMar>
              <w:right w:w="0" w:type="nil"/>
            </w:tcMar>
            <w:hideMark/>
          </w:tcPr>
          <w:p w14:paraId="6B5697F7" w14:textId="77777777" w:rsidR="006E51BF" w:rsidRPr="00107A72" w:rsidRDefault="006E51BF">
            <w:pPr>
              <w:pStyle w:val="ARfintablecolheadright8pt"/>
            </w:pPr>
            <w:r w:rsidRPr="00107A72">
              <w:t>1</w:t>
            </w:r>
          </w:p>
          <w:p w14:paraId="7410E0BA" w14:textId="77777777" w:rsidR="006E51BF" w:rsidRPr="00107A72" w:rsidRDefault="006E51BF">
            <w:pPr>
              <w:pStyle w:val="ARfintablecolheadright8pt"/>
            </w:pPr>
            <w:r w:rsidRPr="00107A72">
              <w:t>$M</w:t>
            </w:r>
          </w:p>
        </w:tc>
        <w:tc>
          <w:tcPr>
            <w:tcW w:w="292" w:type="pct"/>
            <w:tcMar>
              <w:right w:w="0" w:type="nil"/>
            </w:tcMar>
            <w:hideMark/>
          </w:tcPr>
          <w:p w14:paraId="468A4578"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2</w:t>
            </w:r>
          </w:p>
          <w:p w14:paraId="4197D6D9"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$M</w:t>
            </w:r>
          </w:p>
        </w:tc>
        <w:tc>
          <w:tcPr>
            <w:cnfStyle w:val="000001000000" w:firstRow="0" w:lastRow="0" w:firstColumn="0" w:lastColumn="0" w:oddVBand="0" w:evenVBand="1" w:oddHBand="0" w:evenHBand="0" w:firstRowFirstColumn="0" w:firstRowLastColumn="0" w:lastRowFirstColumn="0" w:lastRowLastColumn="0"/>
            <w:tcW w:w="292" w:type="pct"/>
            <w:tcMar>
              <w:right w:w="0" w:type="nil"/>
            </w:tcMar>
            <w:hideMark/>
          </w:tcPr>
          <w:p w14:paraId="791A1CE5" w14:textId="77777777" w:rsidR="006E51BF" w:rsidRPr="00107A72" w:rsidRDefault="006E51BF">
            <w:pPr>
              <w:pStyle w:val="ARfintablecolheadright8pt"/>
            </w:pPr>
            <w:r w:rsidRPr="00107A72">
              <w:t>3</w:t>
            </w:r>
          </w:p>
          <w:p w14:paraId="79D363C4" w14:textId="77777777" w:rsidR="006E51BF" w:rsidRPr="00107A72" w:rsidRDefault="006E51BF">
            <w:pPr>
              <w:pStyle w:val="ARfintablecolheadright8pt"/>
            </w:pPr>
            <w:r w:rsidRPr="00107A72">
              <w:t>$M</w:t>
            </w:r>
          </w:p>
        </w:tc>
        <w:tc>
          <w:tcPr>
            <w:tcW w:w="292" w:type="pct"/>
            <w:tcMar>
              <w:right w:w="0" w:type="nil"/>
            </w:tcMar>
            <w:hideMark/>
          </w:tcPr>
          <w:p w14:paraId="3DA749AB"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4</w:t>
            </w:r>
          </w:p>
          <w:p w14:paraId="55C1FB83"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 xml:space="preserve">$M </w:t>
            </w:r>
          </w:p>
        </w:tc>
        <w:tc>
          <w:tcPr>
            <w:cnfStyle w:val="000001000000" w:firstRow="0" w:lastRow="0" w:firstColumn="0" w:lastColumn="0" w:oddVBand="0" w:evenVBand="1" w:oddHBand="0" w:evenHBand="0" w:firstRowFirstColumn="0" w:firstRowLastColumn="0" w:lastRowFirstColumn="0" w:lastRowLastColumn="0"/>
            <w:tcW w:w="292" w:type="pct"/>
            <w:tcMar>
              <w:right w:w="0" w:type="nil"/>
            </w:tcMar>
            <w:hideMark/>
          </w:tcPr>
          <w:p w14:paraId="0DDABAFE" w14:textId="77777777" w:rsidR="006E51BF" w:rsidRPr="00107A72" w:rsidRDefault="006E51BF">
            <w:pPr>
              <w:pStyle w:val="ARfintablecolheadright8pt"/>
            </w:pPr>
            <w:r w:rsidRPr="00107A72">
              <w:t>5</w:t>
            </w:r>
          </w:p>
          <w:p w14:paraId="1B44530E" w14:textId="77777777" w:rsidR="006E51BF" w:rsidRPr="00107A72" w:rsidRDefault="006E51BF">
            <w:pPr>
              <w:pStyle w:val="ARfintablecolheadright8pt"/>
            </w:pPr>
            <w:r w:rsidRPr="00107A72">
              <w:t>$M</w:t>
            </w:r>
          </w:p>
        </w:tc>
        <w:tc>
          <w:tcPr>
            <w:tcW w:w="292" w:type="pct"/>
            <w:tcMar>
              <w:right w:w="0" w:type="nil"/>
            </w:tcMar>
            <w:hideMark/>
          </w:tcPr>
          <w:p w14:paraId="2732FD14"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6</w:t>
            </w:r>
          </w:p>
          <w:p w14:paraId="6A23BC8F"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$M</w:t>
            </w:r>
          </w:p>
        </w:tc>
        <w:tc>
          <w:tcPr>
            <w:cnfStyle w:val="000001000000" w:firstRow="0" w:lastRow="0" w:firstColumn="0" w:lastColumn="0" w:oddVBand="0" w:evenVBand="1" w:oddHBand="0" w:evenHBand="0" w:firstRowFirstColumn="0" w:firstRowLastColumn="0" w:lastRowFirstColumn="0" w:lastRowLastColumn="0"/>
            <w:tcW w:w="292" w:type="pct"/>
            <w:tcMar>
              <w:right w:w="0" w:type="nil"/>
            </w:tcMar>
            <w:hideMark/>
          </w:tcPr>
          <w:p w14:paraId="7805A10C" w14:textId="77777777" w:rsidR="006E51BF" w:rsidRPr="00107A72" w:rsidRDefault="006E51BF">
            <w:pPr>
              <w:pStyle w:val="ARfintablecolheadright8pt"/>
            </w:pPr>
            <w:r w:rsidRPr="00107A72">
              <w:t>7</w:t>
            </w:r>
          </w:p>
          <w:p w14:paraId="0B00472B" w14:textId="77777777" w:rsidR="006E51BF" w:rsidRPr="00107A72" w:rsidRDefault="006E51BF">
            <w:pPr>
              <w:pStyle w:val="ARfintablecolheadright8pt"/>
            </w:pPr>
            <w:r w:rsidRPr="00107A72">
              <w:t>$M</w:t>
            </w:r>
          </w:p>
        </w:tc>
        <w:tc>
          <w:tcPr>
            <w:tcW w:w="292" w:type="pct"/>
            <w:tcMar>
              <w:right w:w="0" w:type="nil"/>
            </w:tcMar>
            <w:hideMark/>
          </w:tcPr>
          <w:p w14:paraId="24B6EF33"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8</w:t>
            </w:r>
          </w:p>
          <w:p w14:paraId="1903424F"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$M</w:t>
            </w:r>
          </w:p>
        </w:tc>
        <w:tc>
          <w:tcPr>
            <w:cnfStyle w:val="000001000000" w:firstRow="0" w:lastRow="0" w:firstColumn="0" w:lastColumn="0" w:oddVBand="0" w:evenVBand="1" w:oddHBand="0" w:evenHBand="0" w:firstRowFirstColumn="0" w:firstRowLastColumn="0" w:lastRowFirstColumn="0" w:lastRowLastColumn="0"/>
            <w:tcW w:w="292" w:type="pct"/>
            <w:tcMar>
              <w:right w:w="0" w:type="nil"/>
            </w:tcMar>
            <w:hideMark/>
          </w:tcPr>
          <w:p w14:paraId="2D138ED1" w14:textId="77777777" w:rsidR="006E51BF" w:rsidRPr="00107A72" w:rsidRDefault="006E51BF">
            <w:pPr>
              <w:pStyle w:val="ARfintablecolheadright8pt"/>
            </w:pPr>
            <w:r w:rsidRPr="00107A72">
              <w:t>9</w:t>
            </w:r>
          </w:p>
          <w:p w14:paraId="625AB1A7" w14:textId="77777777" w:rsidR="006E51BF" w:rsidRPr="00107A72" w:rsidRDefault="006E51BF">
            <w:pPr>
              <w:pStyle w:val="ARfintablecolheadright8pt"/>
            </w:pPr>
            <w:r w:rsidRPr="00107A72">
              <w:t>$M</w:t>
            </w:r>
          </w:p>
        </w:tc>
        <w:tc>
          <w:tcPr>
            <w:tcW w:w="292" w:type="pct"/>
            <w:tcMar>
              <w:right w:w="0" w:type="nil"/>
            </w:tcMar>
            <w:hideMark/>
          </w:tcPr>
          <w:p w14:paraId="4C5E49AE"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10</w:t>
            </w:r>
          </w:p>
          <w:p w14:paraId="583D7545"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$M</w:t>
            </w:r>
          </w:p>
        </w:tc>
        <w:tc>
          <w:tcPr>
            <w:cnfStyle w:val="000001000000" w:firstRow="0" w:lastRow="0" w:firstColumn="0" w:lastColumn="0" w:oddVBand="0" w:evenVBand="1" w:oddHBand="0" w:evenHBand="0" w:firstRowFirstColumn="0" w:firstRowLastColumn="0" w:lastRowFirstColumn="0" w:lastRowLastColumn="0"/>
            <w:tcW w:w="292" w:type="pct"/>
            <w:tcMar>
              <w:right w:w="0" w:type="nil"/>
            </w:tcMar>
            <w:hideMark/>
          </w:tcPr>
          <w:p w14:paraId="48C8C8D5" w14:textId="77777777" w:rsidR="006E51BF" w:rsidRPr="00107A72" w:rsidRDefault="006E51BF">
            <w:pPr>
              <w:pStyle w:val="ARfintablecolheadright8pt"/>
            </w:pPr>
            <w:r w:rsidRPr="00107A72">
              <w:t>11</w:t>
            </w:r>
          </w:p>
          <w:p w14:paraId="59CD7B61" w14:textId="77777777" w:rsidR="006E51BF" w:rsidRPr="00107A72" w:rsidRDefault="006E51BF">
            <w:pPr>
              <w:pStyle w:val="ARfintablecolheadright8pt"/>
            </w:pPr>
            <w:r w:rsidRPr="00107A72">
              <w:t>$M</w:t>
            </w:r>
          </w:p>
        </w:tc>
        <w:tc>
          <w:tcPr>
            <w:tcW w:w="292" w:type="pct"/>
            <w:tcMar>
              <w:right w:w="0" w:type="nil"/>
            </w:tcMar>
            <w:hideMark/>
          </w:tcPr>
          <w:p w14:paraId="3B031693"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12</w:t>
            </w:r>
          </w:p>
          <w:p w14:paraId="0085D32F"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$M</w:t>
            </w:r>
          </w:p>
        </w:tc>
        <w:tc>
          <w:tcPr>
            <w:cnfStyle w:val="000001000000" w:firstRow="0" w:lastRow="0" w:firstColumn="0" w:lastColumn="0" w:oddVBand="0" w:evenVBand="1" w:oddHBand="0" w:evenHBand="0" w:firstRowFirstColumn="0" w:firstRowLastColumn="0" w:lastRowFirstColumn="0" w:lastRowLastColumn="0"/>
            <w:tcW w:w="292" w:type="pct"/>
            <w:tcMar>
              <w:right w:w="0" w:type="nil"/>
            </w:tcMar>
            <w:hideMark/>
          </w:tcPr>
          <w:p w14:paraId="29035405" w14:textId="77777777" w:rsidR="006E51BF" w:rsidRPr="00107A72" w:rsidRDefault="006E51BF">
            <w:pPr>
              <w:pStyle w:val="ARfintablecolheadright8pt"/>
            </w:pPr>
            <w:r w:rsidRPr="00107A72">
              <w:t>Total</w:t>
            </w:r>
          </w:p>
          <w:p w14:paraId="7FBB0228" w14:textId="77777777" w:rsidR="006E51BF" w:rsidRPr="00107A72" w:rsidRDefault="006E51BF">
            <w:pPr>
              <w:pStyle w:val="ARfintablecolheadright8pt"/>
            </w:pPr>
            <w:r w:rsidRPr="00107A72">
              <w:t>$M</w:t>
            </w:r>
          </w:p>
        </w:tc>
      </w:tr>
      <w:tr w:rsidR="006E51BF" w:rsidRPr="00107A72" w14:paraId="165FF508"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2" w:type="pct"/>
            <w:noWrap/>
          </w:tcPr>
          <w:p w14:paraId="17C34C2C" w14:textId="77777777" w:rsidR="006E51BF" w:rsidRPr="00107A72" w:rsidRDefault="006E51BF">
            <w:pPr>
              <w:pStyle w:val="ARfintabletextbold8pt"/>
            </w:pPr>
            <w:r w:rsidRPr="00107A72">
              <w:t>Revenue and income from transactions</w:t>
            </w: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3A4DE37D" w14:textId="77777777" w:rsidR="006E51BF" w:rsidRPr="00107A72" w:rsidRDefault="006E51BF">
            <w:pPr>
              <w:pStyle w:val="ARfintabletextright8pt"/>
            </w:pPr>
          </w:p>
        </w:tc>
        <w:tc>
          <w:tcPr>
            <w:tcW w:w="292" w:type="pct"/>
            <w:noWrap/>
            <w:tcMar>
              <w:right w:w="0" w:type="nil"/>
            </w:tcMar>
          </w:tcPr>
          <w:p w14:paraId="591D1264"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4B577A51" w14:textId="77777777" w:rsidR="006E51BF" w:rsidRPr="00107A72" w:rsidRDefault="006E51BF">
            <w:pPr>
              <w:pStyle w:val="ARfintabletextright8pt"/>
            </w:pPr>
          </w:p>
        </w:tc>
        <w:tc>
          <w:tcPr>
            <w:tcW w:w="292" w:type="pct"/>
            <w:noWrap/>
            <w:tcMar>
              <w:right w:w="0" w:type="nil"/>
            </w:tcMar>
          </w:tcPr>
          <w:p w14:paraId="75FC5628"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6C822979" w14:textId="77777777" w:rsidR="006E51BF" w:rsidRPr="00107A72" w:rsidRDefault="006E51BF">
            <w:pPr>
              <w:pStyle w:val="ARfintabletextright8pt"/>
            </w:pPr>
          </w:p>
        </w:tc>
        <w:tc>
          <w:tcPr>
            <w:tcW w:w="292" w:type="pct"/>
            <w:noWrap/>
            <w:tcMar>
              <w:right w:w="0" w:type="nil"/>
            </w:tcMar>
          </w:tcPr>
          <w:p w14:paraId="587E0B5B"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76867A65" w14:textId="77777777" w:rsidR="006E51BF" w:rsidRPr="00107A72" w:rsidRDefault="006E51BF">
            <w:pPr>
              <w:pStyle w:val="ARfintabletextright8pt"/>
            </w:pPr>
          </w:p>
        </w:tc>
        <w:tc>
          <w:tcPr>
            <w:tcW w:w="292" w:type="pct"/>
            <w:noWrap/>
            <w:tcMar>
              <w:right w:w="0" w:type="nil"/>
            </w:tcMar>
          </w:tcPr>
          <w:p w14:paraId="20127AD1"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7FFE5CCB" w14:textId="77777777" w:rsidR="006E51BF" w:rsidRPr="00107A72" w:rsidRDefault="006E51BF">
            <w:pPr>
              <w:pStyle w:val="ARfintabletextright8pt"/>
            </w:pPr>
          </w:p>
        </w:tc>
        <w:tc>
          <w:tcPr>
            <w:tcW w:w="292" w:type="pct"/>
            <w:noWrap/>
            <w:tcMar>
              <w:right w:w="0" w:type="nil"/>
            </w:tcMar>
          </w:tcPr>
          <w:p w14:paraId="5C3AD2C7"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57B50005" w14:textId="77777777" w:rsidR="006E51BF" w:rsidRPr="00107A72" w:rsidRDefault="006E51BF">
            <w:pPr>
              <w:pStyle w:val="ARfintabletextright8pt"/>
            </w:pPr>
          </w:p>
        </w:tc>
        <w:tc>
          <w:tcPr>
            <w:tcW w:w="292" w:type="pct"/>
            <w:noWrap/>
            <w:tcMar>
              <w:right w:w="0" w:type="nil"/>
            </w:tcMar>
          </w:tcPr>
          <w:p w14:paraId="55CEB6F4"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764D8122" w14:textId="77777777" w:rsidR="006E51BF" w:rsidRPr="00107A72" w:rsidRDefault="006E51BF">
            <w:pPr>
              <w:pStyle w:val="ARfintabletextright8pt"/>
            </w:pPr>
          </w:p>
        </w:tc>
      </w:tr>
      <w:tr w:rsidR="006E51BF" w:rsidRPr="00107A72" w14:paraId="61E15B4B"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2" w:type="pct"/>
            <w:noWrap/>
            <w:hideMark/>
          </w:tcPr>
          <w:p w14:paraId="7A47FB29" w14:textId="77777777" w:rsidR="006E51BF" w:rsidRPr="00107A72" w:rsidRDefault="006E51BF">
            <w:pPr>
              <w:pStyle w:val="ARfintabletext8pt"/>
            </w:pPr>
            <w:r w:rsidRPr="00107A72">
              <w:t>Output appropriations</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367B4A22" w14:textId="77777777" w:rsidR="006E51BF" w:rsidRPr="00107A72" w:rsidRDefault="006E51BF">
            <w:pPr>
              <w:pStyle w:val="ARfintabletextright8pt"/>
            </w:pPr>
            <w:r w:rsidRPr="00107A72">
              <w:t>296.2</w:t>
            </w:r>
          </w:p>
        </w:tc>
        <w:tc>
          <w:tcPr>
            <w:tcW w:w="292" w:type="pct"/>
            <w:noWrap/>
            <w:tcMar>
              <w:right w:w="0" w:type="nil"/>
            </w:tcMar>
            <w:hideMark/>
          </w:tcPr>
          <w:p w14:paraId="32D7C61B"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2,385.8</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1AD7C5CA" w14:textId="77777777" w:rsidR="006E51BF" w:rsidRPr="00107A72" w:rsidRDefault="006E51BF">
            <w:pPr>
              <w:pStyle w:val="ARfintabletextright8pt"/>
            </w:pPr>
            <w:r w:rsidRPr="00107A72">
              <w:t>1,487.3</w:t>
            </w:r>
          </w:p>
        </w:tc>
        <w:tc>
          <w:tcPr>
            <w:tcW w:w="292" w:type="pct"/>
            <w:noWrap/>
            <w:tcMar>
              <w:right w:w="0" w:type="nil"/>
            </w:tcMar>
            <w:hideMark/>
          </w:tcPr>
          <w:p w14:paraId="62CB90E6"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77.4</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3682C270" w14:textId="77777777" w:rsidR="006E51BF" w:rsidRPr="00107A72" w:rsidRDefault="006E51BF">
            <w:pPr>
              <w:pStyle w:val="ARfintabletextright8pt"/>
            </w:pPr>
            <w:r w:rsidRPr="00107A72">
              <w:t>65.0</w:t>
            </w:r>
          </w:p>
        </w:tc>
        <w:tc>
          <w:tcPr>
            <w:tcW w:w="292" w:type="pct"/>
            <w:noWrap/>
            <w:tcMar>
              <w:right w:w="0" w:type="nil"/>
            </w:tcMar>
            <w:hideMark/>
          </w:tcPr>
          <w:p w14:paraId="516A1854"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10.2</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6E343FF4" w14:textId="77777777" w:rsidR="006E51BF" w:rsidRPr="00107A72" w:rsidRDefault="006E51BF">
            <w:pPr>
              <w:pStyle w:val="ARfintabletextright8pt"/>
            </w:pPr>
            <w:r w:rsidRPr="00107A72">
              <w:t>10.8</w:t>
            </w:r>
          </w:p>
        </w:tc>
        <w:tc>
          <w:tcPr>
            <w:tcW w:w="292" w:type="pct"/>
            <w:noWrap/>
            <w:tcMar>
              <w:right w:w="0" w:type="nil"/>
            </w:tcMar>
            <w:hideMark/>
          </w:tcPr>
          <w:p w14:paraId="658673FE"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16.8</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721CB6F4" w14:textId="77777777" w:rsidR="006E51BF" w:rsidRPr="00107A72" w:rsidRDefault="006E51BF">
            <w:pPr>
              <w:pStyle w:val="ARfintabletextright8pt"/>
            </w:pPr>
            <w:r w:rsidRPr="00107A72">
              <w:t>26.7</w:t>
            </w:r>
          </w:p>
        </w:tc>
        <w:tc>
          <w:tcPr>
            <w:tcW w:w="292" w:type="pct"/>
            <w:noWrap/>
            <w:tcMar>
              <w:right w:w="0" w:type="nil"/>
            </w:tcMar>
            <w:hideMark/>
          </w:tcPr>
          <w:p w14:paraId="52A3AD1E"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32.2</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6C35491D" w14:textId="77777777" w:rsidR="006E51BF" w:rsidRPr="00107A72" w:rsidRDefault="006E51BF">
            <w:pPr>
              <w:pStyle w:val="ARfintabletextright8pt"/>
            </w:pPr>
            <w:r w:rsidRPr="00107A72">
              <w:t>790.1</w:t>
            </w:r>
          </w:p>
        </w:tc>
        <w:tc>
          <w:tcPr>
            <w:tcW w:w="292" w:type="pct"/>
            <w:noWrap/>
            <w:tcMar>
              <w:right w:w="0" w:type="nil"/>
            </w:tcMar>
            <w:hideMark/>
          </w:tcPr>
          <w:p w14:paraId="5342C8FB"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703.6</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4425314E" w14:textId="77777777" w:rsidR="006E51BF" w:rsidRPr="00107A72" w:rsidRDefault="006E51BF">
            <w:pPr>
              <w:pStyle w:val="ARfintabletextright8pt"/>
            </w:pPr>
            <w:r w:rsidRPr="00107A72">
              <w:t>5,902.2</w:t>
            </w:r>
          </w:p>
        </w:tc>
      </w:tr>
      <w:tr w:rsidR="006E51BF" w:rsidRPr="00107A72" w14:paraId="0E5C9B5F"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2" w:type="pct"/>
            <w:noWrap/>
            <w:hideMark/>
          </w:tcPr>
          <w:p w14:paraId="1D7843E9" w14:textId="77777777" w:rsidR="006E51BF" w:rsidRPr="00107A72" w:rsidRDefault="006E51BF">
            <w:pPr>
              <w:pStyle w:val="ARfintabletext8pt"/>
            </w:pPr>
            <w:r w:rsidRPr="00107A72">
              <w:t>Special appropriations</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29D1F832" w14:textId="77777777" w:rsidR="006E51BF" w:rsidRPr="00107A72" w:rsidRDefault="006E51BF">
            <w:pPr>
              <w:pStyle w:val="ARfintabletextright8pt"/>
            </w:pPr>
            <w:r w:rsidRPr="00107A72">
              <w:t>63.9</w:t>
            </w:r>
          </w:p>
        </w:tc>
        <w:tc>
          <w:tcPr>
            <w:tcW w:w="292" w:type="pct"/>
            <w:noWrap/>
            <w:tcMar>
              <w:right w:w="0" w:type="nil"/>
            </w:tcMar>
            <w:hideMark/>
          </w:tcPr>
          <w:p w14:paraId="772B52A1"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40DDABB" w14:textId="77777777" w:rsidR="006E51BF" w:rsidRPr="00107A72" w:rsidRDefault="006E51BF">
            <w:pPr>
              <w:pStyle w:val="ARfintabletextright8pt"/>
            </w:pPr>
            <w:r w:rsidRPr="00107A72">
              <w:t>–</w:t>
            </w:r>
          </w:p>
        </w:tc>
        <w:tc>
          <w:tcPr>
            <w:tcW w:w="292" w:type="pct"/>
            <w:noWrap/>
            <w:tcMar>
              <w:right w:w="0" w:type="nil"/>
            </w:tcMar>
            <w:hideMark/>
          </w:tcPr>
          <w:p w14:paraId="328D15AC"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698523E0" w14:textId="77777777" w:rsidR="006E51BF" w:rsidRPr="00107A72" w:rsidRDefault="006E51BF">
            <w:pPr>
              <w:pStyle w:val="ARfintabletextright8pt"/>
            </w:pPr>
            <w:r w:rsidRPr="00107A72">
              <w:t>–</w:t>
            </w:r>
          </w:p>
        </w:tc>
        <w:tc>
          <w:tcPr>
            <w:tcW w:w="292" w:type="pct"/>
            <w:noWrap/>
            <w:tcMar>
              <w:right w:w="0" w:type="nil"/>
            </w:tcMar>
            <w:hideMark/>
          </w:tcPr>
          <w:p w14:paraId="33BE31A6"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22838F03" w14:textId="77777777" w:rsidR="006E51BF" w:rsidRPr="00107A72" w:rsidRDefault="006E51BF">
            <w:pPr>
              <w:pStyle w:val="ARfintabletextright8pt"/>
            </w:pPr>
            <w:r w:rsidRPr="00107A72">
              <w:t>–</w:t>
            </w:r>
          </w:p>
        </w:tc>
        <w:tc>
          <w:tcPr>
            <w:tcW w:w="292" w:type="pct"/>
            <w:noWrap/>
            <w:tcMar>
              <w:right w:w="0" w:type="nil"/>
            </w:tcMar>
            <w:hideMark/>
          </w:tcPr>
          <w:p w14:paraId="2C123A89"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25C6872" w14:textId="77777777" w:rsidR="006E51BF" w:rsidRPr="00107A72" w:rsidRDefault="006E51BF">
            <w:pPr>
              <w:pStyle w:val="ARfintabletextright8pt"/>
            </w:pPr>
            <w:r w:rsidRPr="00107A72">
              <w:t>–</w:t>
            </w:r>
          </w:p>
        </w:tc>
        <w:tc>
          <w:tcPr>
            <w:tcW w:w="292" w:type="pct"/>
            <w:noWrap/>
            <w:tcMar>
              <w:right w:w="0" w:type="nil"/>
            </w:tcMar>
            <w:hideMark/>
          </w:tcPr>
          <w:p w14:paraId="3E1FAC9D"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602DDCA6" w14:textId="77777777" w:rsidR="006E51BF" w:rsidRPr="00107A72" w:rsidRDefault="006E51BF">
            <w:pPr>
              <w:pStyle w:val="ARfintabletextright8pt"/>
            </w:pPr>
            <w:r w:rsidRPr="00107A72">
              <w:t>3.2</w:t>
            </w:r>
          </w:p>
        </w:tc>
        <w:tc>
          <w:tcPr>
            <w:tcW w:w="292" w:type="pct"/>
            <w:noWrap/>
            <w:tcMar>
              <w:right w:w="0" w:type="nil"/>
            </w:tcMar>
            <w:hideMark/>
          </w:tcPr>
          <w:p w14:paraId="5A76AF6F"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12.5</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16351B14" w14:textId="77777777" w:rsidR="006E51BF" w:rsidRPr="00107A72" w:rsidRDefault="006E51BF">
            <w:pPr>
              <w:pStyle w:val="ARfintabletextright8pt"/>
            </w:pPr>
            <w:r w:rsidRPr="00107A72">
              <w:t>79.6</w:t>
            </w:r>
          </w:p>
        </w:tc>
      </w:tr>
      <w:tr w:rsidR="006E51BF" w:rsidRPr="00107A72" w14:paraId="326711E0"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2" w:type="pct"/>
            <w:noWrap/>
            <w:hideMark/>
          </w:tcPr>
          <w:p w14:paraId="11C13B78" w14:textId="77777777" w:rsidR="006E51BF" w:rsidRPr="00107A72" w:rsidRDefault="006E51BF">
            <w:pPr>
              <w:pStyle w:val="ARfintabletext8pt"/>
            </w:pPr>
            <w:r w:rsidRPr="00107A72">
              <w:t xml:space="preserve">Rental income </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3D1327A9" w14:textId="77777777" w:rsidR="006E51BF" w:rsidRPr="00107A72" w:rsidRDefault="006E51BF">
            <w:pPr>
              <w:pStyle w:val="ARfintabletextright8pt"/>
            </w:pPr>
            <w:r w:rsidRPr="00107A72">
              <w:t>–</w:t>
            </w:r>
          </w:p>
        </w:tc>
        <w:tc>
          <w:tcPr>
            <w:tcW w:w="292" w:type="pct"/>
            <w:noWrap/>
            <w:tcMar>
              <w:right w:w="0" w:type="nil"/>
            </w:tcMar>
            <w:hideMark/>
          </w:tcPr>
          <w:p w14:paraId="22E559A9"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3AD6503" w14:textId="77777777" w:rsidR="006E51BF" w:rsidRPr="00107A72" w:rsidRDefault="006E51BF">
            <w:pPr>
              <w:pStyle w:val="ARfintabletextright8pt"/>
            </w:pPr>
            <w:r w:rsidRPr="00107A72">
              <w:t>–</w:t>
            </w:r>
          </w:p>
        </w:tc>
        <w:tc>
          <w:tcPr>
            <w:tcW w:w="292" w:type="pct"/>
            <w:noWrap/>
            <w:tcMar>
              <w:right w:w="0" w:type="nil"/>
            </w:tcMar>
            <w:hideMark/>
          </w:tcPr>
          <w:p w14:paraId="3E08FBE8"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79B4C89F" w14:textId="77777777" w:rsidR="006E51BF" w:rsidRPr="00107A72" w:rsidRDefault="006E51BF">
            <w:pPr>
              <w:pStyle w:val="ARfintabletextright8pt"/>
            </w:pPr>
            <w:r w:rsidRPr="00107A72">
              <w:t>–</w:t>
            </w:r>
          </w:p>
        </w:tc>
        <w:tc>
          <w:tcPr>
            <w:tcW w:w="292" w:type="pct"/>
            <w:noWrap/>
            <w:tcMar>
              <w:right w:w="0" w:type="nil"/>
            </w:tcMar>
            <w:hideMark/>
          </w:tcPr>
          <w:p w14:paraId="278177B2"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2CD9ABED" w14:textId="77777777" w:rsidR="006E51BF" w:rsidRPr="00107A72" w:rsidRDefault="006E51BF">
            <w:pPr>
              <w:pStyle w:val="ARfintabletextright8pt"/>
            </w:pPr>
            <w:r w:rsidRPr="00107A72">
              <w:t>–</w:t>
            </w:r>
          </w:p>
        </w:tc>
        <w:tc>
          <w:tcPr>
            <w:tcW w:w="292" w:type="pct"/>
            <w:noWrap/>
            <w:tcMar>
              <w:right w:w="0" w:type="nil"/>
            </w:tcMar>
            <w:hideMark/>
          </w:tcPr>
          <w:p w14:paraId="35A568C8"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25B197A6" w14:textId="77777777" w:rsidR="006E51BF" w:rsidRPr="00107A72" w:rsidRDefault="006E51BF">
            <w:pPr>
              <w:pStyle w:val="ARfintabletextright8pt"/>
            </w:pPr>
            <w:r w:rsidRPr="00107A72">
              <w:t>–</w:t>
            </w:r>
          </w:p>
        </w:tc>
        <w:tc>
          <w:tcPr>
            <w:tcW w:w="292" w:type="pct"/>
            <w:noWrap/>
            <w:tcMar>
              <w:right w:w="0" w:type="nil"/>
            </w:tcMar>
            <w:hideMark/>
          </w:tcPr>
          <w:p w14:paraId="291390BA"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6EA3E5BE" w14:textId="77777777" w:rsidR="006E51BF" w:rsidRPr="00107A72" w:rsidRDefault="006E51BF">
            <w:pPr>
              <w:pStyle w:val="ARfintabletextright8pt"/>
            </w:pPr>
            <w:r w:rsidRPr="00107A72">
              <w:t>–</w:t>
            </w:r>
          </w:p>
        </w:tc>
        <w:tc>
          <w:tcPr>
            <w:tcW w:w="292" w:type="pct"/>
            <w:noWrap/>
            <w:tcMar>
              <w:right w:w="0" w:type="nil"/>
            </w:tcMar>
            <w:hideMark/>
          </w:tcPr>
          <w:p w14:paraId="20B19061"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625.6</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6FC9182" w14:textId="77777777" w:rsidR="006E51BF" w:rsidRPr="00107A72" w:rsidRDefault="006E51BF">
            <w:pPr>
              <w:pStyle w:val="ARfintabletextright8pt"/>
            </w:pPr>
            <w:r w:rsidRPr="00107A72">
              <w:t>625.6</w:t>
            </w:r>
          </w:p>
        </w:tc>
      </w:tr>
      <w:tr w:rsidR="006E51BF" w:rsidRPr="00107A72" w14:paraId="2DBB280B"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2" w:type="pct"/>
            <w:tcBorders>
              <w:bottom w:val="single" w:sz="4" w:space="0" w:color="BFBFBF" w:themeColor="accent2"/>
            </w:tcBorders>
            <w:noWrap/>
            <w:hideMark/>
          </w:tcPr>
          <w:p w14:paraId="37259C90" w14:textId="77777777" w:rsidR="006E51BF" w:rsidRPr="00107A72" w:rsidRDefault="006E51BF">
            <w:pPr>
              <w:pStyle w:val="ARfintabletext8pt"/>
            </w:pPr>
            <w:r w:rsidRPr="00107A72">
              <w:t>Grants</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38F40027" w14:textId="77777777" w:rsidR="006E51BF" w:rsidRPr="00107A72" w:rsidRDefault="006E51BF">
            <w:pPr>
              <w:pStyle w:val="ARfintabletextright8pt"/>
            </w:pPr>
            <w:r w:rsidRPr="00107A72">
              <w:t>5.4</w:t>
            </w:r>
          </w:p>
        </w:tc>
        <w:tc>
          <w:tcPr>
            <w:tcW w:w="292" w:type="pct"/>
            <w:tcBorders>
              <w:bottom w:val="single" w:sz="4" w:space="0" w:color="BFBFBF" w:themeColor="accent2"/>
            </w:tcBorders>
            <w:noWrap/>
            <w:tcMar>
              <w:right w:w="0" w:type="nil"/>
            </w:tcMar>
            <w:hideMark/>
          </w:tcPr>
          <w:p w14:paraId="03B6A8B8"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35.9</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11735870"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11148001"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19.5</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5A7F6C7F" w14:textId="77777777" w:rsidR="006E51BF" w:rsidRPr="00107A72" w:rsidRDefault="006E51BF">
            <w:pPr>
              <w:pStyle w:val="ARfintabletextright8pt"/>
            </w:pPr>
            <w:r w:rsidRPr="00107A72">
              <w:t>0.4</w:t>
            </w:r>
          </w:p>
        </w:tc>
        <w:tc>
          <w:tcPr>
            <w:tcW w:w="292" w:type="pct"/>
            <w:tcBorders>
              <w:bottom w:val="single" w:sz="4" w:space="0" w:color="BFBFBF" w:themeColor="accent2"/>
            </w:tcBorders>
            <w:noWrap/>
            <w:tcMar>
              <w:right w:w="0" w:type="nil"/>
            </w:tcMar>
            <w:hideMark/>
          </w:tcPr>
          <w:p w14:paraId="65721E93"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1.6</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660BD075" w14:textId="77777777" w:rsidR="006E51BF" w:rsidRPr="00107A72" w:rsidRDefault="006E51BF">
            <w:pPr>
              <w:pStyle w:val="ARfintabletextright8pt"/>
            </w:pPr>
            <w:r w:rsidRPr="00845795">
              <w:t>–</w:t>
            </w:r>
          </w:p>
        </w:tc>
        <w:tc>
          <w:tcPr>
            <w:tcW w:w="292" w:type="pct"/>
            <w:tcBorders>
              <w:bottom w:val="single" w:sz="4" w:space="0" w:color="BFBFBF" w:themeColor="accent2"/>
            </w:tcBorders>
            <w:noWrap/>
            <w:tcMar>
              <w:right w:w="0" w:type="nil"/>
            </w:tcMar>
            <w:hideMark/>
          </w:tcPr>
          <w:p w14:paraId="6E48F749"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0043A31C" w14:textId="77777777" w:rsidR="006E51BF" w:rsidRPr="00107A72" w:rsidRDefault="006E51BF">
            <w:pPr>
              <w:pStyle w:val="ARfintabletextright8pt"/>
            </w:pPr>
            <w:r w:rsidRPr="00107A72">
              <w:t>1.8</w:t>
            </w:r>
          </w:p>
        </w:tc>
        <w:tc>
          <w:tcPr>
            <w:tcW w:w="292" w:type="pct"/>
            <w:tcBorders>
              <w:bottom w:val="single" w:sz="4" w:space="0" w:color="BFBFBF" w:themeColor="accent2"/>
            </w:tcBorders>
            <w:noWrap/>
            <w:tcMar>
              <w:right w:w="0" w:type="nil"/>
            </w:tcMar>
            <w:hideMark/>
          </w:tcPr>
          <w:p w14:paraId="3DD518C0"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3.3</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332364B4" w14:textId="77777777" w:rsidR="006E51BF" w:rsidRPr="00107A72" w:rsidRDefault="006E51BF">
            <w:pPr>
              <w:pStyle w:val="ARfintabletextright8pt"/>
            </w:pPr>
            <w:r w:rsidRPr="00107A72">
              <w:t>0.3</w:t>
            </w:r>
          </w:p>
        </w:tc>
        <w:tc>
          <w:tcPr>
            <w:tcW w:w="292" w:type="pct"/>
            <w:tcBorders>
              <w:bottom w:val="single" w:sz="4" w:space="0" w:color="BFBFBF" w:themeColor="accent2"/>
            </w:tcBorders>
            <w:noWrap/>
            <w:tcMar>
              <w:right w:w="0" w:type="nil"/>
            </w:tcMar>
            <w:hideMark/>
          </w:tcPr>
          <w:p w14:paraId="6FDB2547"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273.4</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45321778" w14:textId="77777777" w:rsidR="006E51BF" w:rsidRPr="00107A72" w:rsidRDefault="006E51BF">
            <w:pPr>
              <w:pStyle w:val="ARfintabletextright8pt"/>
            </w:pPr>
            <w:r w:rsidRPr="00107A72">
              <w:t>341.8</w:t>
            </w:r>
          </w:p>
        </w:tc>
      </w:tr>
      <w:tr w:rsidR="006E51BF" w:rsidRPr="00107A72" w14:paraId="7AF5EC08"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2" w:type="pct"/>
            <w:tcBorders>
              <w:top w:val="single" w:sz="4" w:space="0" w:color="BFBFBF" w:themeColor="accent2"/>
              <w:bottom w:val="single" w:sz="4" w:space="0" w:color="000000" w:themeColor="text1"/>
            </w:tcBorders>
            <w:noWrap/>
            <w:hideMark/>
          </w:tcPr>
          <w:p w14:paraId="7FFBF27A" w14:textId="77777777" w:rsidR="006E51BF" w:rsidRPr="00107A72" w:rsidRDefault="006E51BF">
            <w:pPr>
              <w:pStyle w:val="ARfintabletext8pt"/>
            </w:pPr>
            <w:r w:rsidRPr="00107A72">
              <w:t>Other income</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7F923345" w14:textId="77777777" w:rsidR="006E51BF" w:rsidRPr="00107A72" w:rsidRDefault="006E51BF">
            <w:pPr>
              <w:pStyle w:val="ARfintabletextright8pt"/>
            </w:pPr>
            <w:r w:rsidRPr="00107A72">
              <w:t>15.2</w:t>
            </w:r>
          </w:p>
        </w:tc>
        <w:tc>
          <w:tcPr>
            <w:tcW w:w="292" w:type="pct"/>
            <w:tcBorders>
              <w:top w:val="single" w:sz="4" w:space="0" w:color="BFBFBF" w:themeColor="accent2"/>
              <w:bottom w:val="single" w:sz="4" w:space="0" w:color="000000" w:themeColor="text1"/>
            </w:tcBorders>
            <w:noWrap/>
            <w:tcMar>
              <w:right w:w="0" w:type="nil"/>
            </w:tcMar>
            <w:hideMark/>
          </w:tcPr>
          <w:p w14:paraId="26C5CF23"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30.2</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0DA828F1" w14:textId="77777777" w:rsidR="006E51BF" w:rsidRPr="00107A72" w:rsidRDefault="006E51BF">
            <w:pPr>
              <w:pStyle w:val="ARfintabletextright8pt"/>
            </w:pPr>
            <w:r w:rsidRPr="00107A72">
              <w:t>0.6</w:t>
            </w:r>
          </w:p>
        </w:tc>
        <w:tc>
          <w:tcPr>
            <w:tcW w:w="292" w:type="pct"/>
            <w:tcBorders>
              <w:top w:val="single" w:sz="4" w:space="0" w:color="BFBFBF" w:themeColor="accent2"/>
              <w:bottom w:val="single" w:sz="4" w:space="0" w:color="000000" w:themeColor="text1"/>
            </w:tcBorders>
            <w:noWrap/>
            <w:tcMar>
              <w:right w:w="0" w:type="nil"/>
            </w:tcMar>
            <w:hideMark/>
          </w:tcPr>
          <w:p w14:paraId="07375403"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0.6</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709E9BE1"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0FCEE7B3"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0.1</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0F9B734E"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59A3306E"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6485D588"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7D5DBFFC"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109B10E0" w14:textId="77777777" w:rsidR="006E51BF" w:rsidRPr="00107A72" w:rsidRDefault="006E51BF">
            <w:pPr>
              <w:pStyle w:val="ARfintabletextright8pt"/>
            </w:pPr>
            <w:r w:rsidRPr="00107A72">
              <w:t>16.0</w:t>
            </w:r>
          </w:p>
        </w:tc>
        <w:tc>
          <w:tcPr>
            <w:tcW w:w="292" w:type="pct"/>
            <w:tcBorders>
              <w:top w:val="single" w:sz="4" w:space="0" w:color="BFBFBF" w:themeColor="accent2"/>
              <w:bottom w:val="single" w:sz="4" w:space="0" w:color="000000" w:themeColor="text1"/>
            </w:tcBorders>
            <w:noWrap/>
            <w:tcMar>
              <w:right w:w="0" w:type="nil"/>
            </w:tcMar>
            <w:hideMark/>
          </w:tcPr>
          <w:p w14:paraId="27E30B43"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51.6</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4C33D16C" w14:textId="77777777" w:rsidR="006E51BF" w:rsidRPr="00107A72" w:rsidRDefault="006E51BF">
            <w:pPr>
              <w:pStyle w:val="ARfintabletextright8pt"/>
            </w:pPr>
            <w:r w:rsidRPr="00107A72">
              <w:t>114.2</w:t>
            </w:r>
          </w:p>
        </w:tc>
      </w:tr>
      <w:tr w:rsidR="006E51BF" w:rsidRPr="00107A72" w14:paraId="015E8186"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2" w:type="pct"/>
            <w:tcBorders>
              <w:top w:val="single" w:sz="4" w:space="0" w:color="000000" w:themeColor="text1"/>
              <w:bottom w:val="single" w:sz="4" w:space="0" w:color="000000" w:themeColor="text1"/>
            </w:tcBorders>
            <w:noWrap/>
            <w:hideMark/>
          </w:tcPr>
          <w:p w14:paraId="476CD9E7" w14:textId="77777777" w:rsidR="006E51BF" w:rsidRPr="00107A72" w:rsidRDefault="006E51BF">
            <w:pPr>
              <w:pStyle w:val="ARfintabletextbold8pt"/>
            </w:pPr>
            <w:r w:rsidRPr="00107A72">
              <w:t>Total revenue and income from transactions</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35F05B72" w14:textId="77777777" w:rsidR="006E51BF" w:rsidRPr="00107A72" w:rsidRDefault="006E51BF">
            <w:pPr>
              <w:pStyle w:val="ARfintabletextboldright8pt"/>
            </w:pPr>
            <w:r w:rsidRPr="00107A72">
              <w:t>380.8</w:t>
            </w:r>
          </w:p>
        </w:tc>
        <w:tc>
          <w:tcPr>
            <w:tcW w:w="292" w:type="pct"/>
            <w:tcBorders>
              <w:top w:val="single" w:sz="4" w:space="0" w:color="000000" w:themeColor="text1"/>
              <w:bottom w:val="single" w:sz="4" w:space="0" w:color="000000" w:themeColor="text1"/>
            </w:tcBorders>
            <w:noWrap/>
            <w:tcMar>
              <w:right w:w="0" w:type="nil"/>
            </w:tcMar>
            <w:hideMark/>
          </w:tcPr>
          <w:p w14:paraId="60F0E6CD"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2,451.9</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14D31DC4" w14:textId="77777777" w:rsidR="006E51BF" w:rsidRPr="00107A72" w:rsidRDefault="006E51BF">
            <w:pPr>
              <w:pStyle w:val="ARfintabletextboldright8pt"/>
            </w:pPr>
            <w:r w:rsidRPr="00107A72">
              <w:t>1,487.9</w:t>
            </w:r>
          </w:p>
        </w:tc>
        <w:tc>
          <w:tcPr>
            <w:tcW w:w="292" w:type="pct"/>
            <w:tcBorders>
              <w:top w:val="single" w:sz="4" w:space="0" w:color="000000" w:themeColor="text1"/>
              <w:bottom w:val="single" w:sz="4" w:space="0" w:color="000000" w:themeColor="text1"/>
            </w:tcBorders>
            <w:noWrap/>
            <w:tcMar>
              <w:right w:w="0" w:type="nil"/>
            </w:tcMar>
            <w:hideMark/>
          </w:tcPr>
          <w:p w14:paraId="0229B323"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97.5</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14C9EB68" w14:textId="77777777" w:rsidR="006E51BF" w:rsidRPr="00107A72" w:rsidRDefault="006E51BF">
            <w:pPr>
              <w:pStyle w:val="ARfintabletextboldright8pt"/>
            </w:pPr>
            <w:r w:rsidRPr="00107A72">
              <w:t>65.4</w:t>
            </w:r>
          </w:p>
        </w:tc>
        <w:tc>
          <w:tcPr>
            <w:tcW w:w="292" w:type="pct"/>
            <w:tcBorders>
              <w:top w:val="single" w:sz="4" w:space="0" w:color="000000" w:themeColor="text1"/>
              <w:bottom w:val="single" w:sz="4" w:space="0" w:color="000000" w:themeColor="text1"/>
            </w:tcBorders>
            <w:noWrap/>
            <w:tcMar>
              <w:right w:w="0" w:type="nil"/>
            </w:tcMar>
            <w:hideMark/>
          </w:tcPr>
          <w:p w14:paraId="2158B646"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11.9</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63555C77" w14:textId="77777777" w:rsidR="006E51BF" w:rsidRPr="00107A72" w:rsidRDefault="006E51BF">
            <w:pPr>
              <w:pStyle w:val="ARfintabletextboldright8pt"/>
            </w:pPr>
            <w:r w:rsidRPr="00107A72">
              <w:t>10.9</w:t>
            </w:r>
          </w:p>
        </w:tc>
        <w:tc>
          <w:tcPr>
            <w:tcW w:w="292" w:type="pct"/>
            <w:tcBorders>
              <w:top w:val="single" w:sz="4" w:space="0" w:color="000000" w:themeColor="text1"/>
              <w:bottom w:val="single" w:sz="4" w:space="0" w:color="000000" w:themeColor="text1"/>
            </w:tcBorders>
            <w:noWrap/>
            <w:tcMar>
              <w:right w:w="0" w:type="nil"/>
            </w:tcMar>
            <w:hideMark/>
          </w:tcPr>
          <w:p w14:paraId="5CC9348B"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16.8</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2DF1A73E" w14:textId="77777777" w:rsidR="006E51BF" w:rsidRPr="00107A72" w:rsidRDefault="006E51BF">
            <w:pPr>
              <w:pStyle w:val="ARfintabletextboldright8pt"/>
            </w:pPr>
            <w:r w:rsidRPr="00107A72">
              <w:t>28.6</w:t>
            </w:r>
          </w:p>
        </w:tc>
        <w:tc>
          <w:tcPr>
            <w:tcW w:w="292" w:type="pct"/>
            <w:tcBorders>
              <w:top w:val="single" w:sz="4" w:space="0" w:color="000000" w:themeColor="text1"/>
              <w:bottom w:val="single" w:sz="4" w:space="0" w:color="000000" w:themeColor="text1"/>
            </w:tcBorders>
            <w:noWrap/>
            <w:tcMar>
              <w:right w:w="0" w:type="nil"/>
            </w:tcMar>
            <w:hideMark/>
          </w:tcPr>
          <w:p w14:paraId="2AA9BAD5"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35.6</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4C7157E4" w14:textId="77777777" w:rsidR="006E51BF" w:rsidRPr="00107A72" w:rsidRDefault="006E51BF">
            <w:pPr>
              <w:pStyle w:val="ARfintabletextboldright8pt"/>
            </w:pPr>
            <w:r w:rsidRPr="00107A72">
              <w:t>809.6</w:t>
            </w:r>
          </w:p>
        </w:tc>
        <w:tc>
          <w:tcPr>
            <w:tcW w:w="292" w:type="pct"/>
            <w:tcBorders>
              <w:top w:val="single" w:sz="4" w:space="0" w:color="000000" w:themeColor="text1"/>
              <w:bottom w:val="single" w:sz="4" w:space="0" w:color="000000" w:themeColor="text1"/>
            </w:tcBorders>
            <w:noWrap/>
            <w:tcMar>
              <w:right w:w="0" w:type="nil"/>
            </w:tcMar>
            <w:hideMark/>
          </w:tcPr>
          <w:p w14:paraId="3345AFDA"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1,666.7</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137818DD" w14:textId="77777777" w:rsidR="006E51BF" w:rsidRPr="00107A72" w:rsidRDefault="006E51BF">
            <w:pPr>
              <w:pStyle w:val="ARfintabletextboldright8pt"/>
            </w:pPr>
            <w:r w:rsidRPr="00107A72">
              <w:t>7,063.4</w:t>
            </w:r>
          </w:p>
        </w:tc>
      </w:tr>
      <w:tr w:rsidR="006E51BF" w:rsidRPr="00107A72" w14:paraId="661B95E8"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2" w:type="pct"/>
            <w:tcBorders>
              <w:top w:val="single" w:sz="4" w:space="0" w:color="000000" w:themeColor="text1"/>
            </w:tcBorders>
            <w:noWrap/>
            <w:hideMark/>
          </w:tcPr>
          <w:p w14:paraId="219B9DBD" w14:textId="77777777" w:rsidR="006E51BF" w:rsidRPr="00107A72" w:rsidRDefault="006E51BF">
            <w:pPr>
              <w:pStyle w:val="Arfintabletextboldcoloured8pt"/>
            </w:pPr>
            <w:r w:rsidRPr="00107A72">
              <w:t>Expenses from transactions</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69FF2E01"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7D94D99A"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526CED6B"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37DD011B"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34803D7B"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36C354E7"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7E9CE4C0"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64009AD9"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064175D7"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18526803"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2C6D09B1"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6E199387"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663DA624" w14:textId="77777777" w:rsidR="006E51BF" w:rsidRPr="00107A72" w:rsidRDefault="006E51BF">
            <w:pPr>
              <w:pStyle w:val="ARfintabletextright8pt"/>
            </w:pPr>
          </w:p>
        </w:tc>
      </w:tr>
      <w:tr w:rsidR="006E51BF" w:rsidRPr="00107A72" w14:paraId="2DAEA110"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2" w:type="pct"/>
            <w:noWrap/>
            <w:hideMark/>
          </w:tcPr>
          <w:p w14:paraId="4B52D586" w14:textId="77777777" w:rsidR="006E51BF" w:rsidRPr="00107A72" w:rsidRDefault="006E51BF">
            <w:pPr>
              <w:pStyle w:val="ARfintabletext8pt"/>
            </w:pPr>
            <w:r w:rsidRPr="00107A72">
              <w:t>Employee benefits</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43D65344" w14:textId="77777777" w:rsidR="006E51BF" w:rsidRPr="00107A72" w:rsidRDefault="006E51BF">
            <w:pPr>
              <w:pStyle w:val="ARfintabletextright8pt"/>
            </w:pPr>
            <w:r w:rsidRPr="00107A72">
              <w:t>141.1</w:t>
            </w:r>
          </w:p>
        </w:tc>
        <w:tc>
          <w:tcPr>
            <w:tcW w:w="292" w:type="pct"/>
            <w:noWrap/>
            <w:tcMar>
              <w:right w:w="0" w:type="nil"/>
            </w:tcMar>
            <w:hideMark/>
          </w:tcPr>
          <w:p w14:paraId="10452C86"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604.3</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48C9DBD5" w14:textId="77777777" w:rsidR="006E51BF" w:rsidRPr="00107A72" w:rsidRDefault="006E51BF">
            <w:pPr>
              <w:pStyle w:val="ARfintabletextright8pt"/>
            </w:pPr>
            <w:r w:rsidRPr="00107A72">
              <w:t>11.7</w:t>
            </w:r>
          </w:p>
        </w:tc>
        <w:tc>
          <w:tcPr>
            <w:tcW w:w="292" w:type="pct"/>
            <w:noWrap/>
            <w:tcMar>
              <w:right w:w="0" w:type="nil"/>
            </w:tcMar>
            <w:hideMark/>
          </w:tcPr>
          <w:p w14:paraId="03035B57"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5.7</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32D3CDBB" w14:textId="77777777" w:rsidR="006E51BF" w:rsidRPr="00107A72" w:rsidRDefault="006E51BF">
            <w:pPr>
              <w:pStyle w:val="ARfintabletextright8pt"/>
            </w:pPr>
            <w:r w:rsidRPr="00107A72">
              <w:t>4.5</w:t>
            </w:r>
          </w:p>
        </w:tc>
        <w:tc>
          <w:tcPr>
            <w:tcW w:w="292" w:type="pct"/>
            <w:noWrap/>
            <w:tcMar>
              <w:right w:w="0" w:type="nil"/>
            </w:tcMar>
            <w:hideMark/>
          </w:tcPr>
          <w:p w14:paraId="02885076"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2.1</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42837AF6" w14:textId="77777777" w:rsidR="006E51BF" w:rsidRPr="00107A72" w:rsidRDefault="006E51BF">
            <w:pPr>
              <w:pStyle w:val="ARfintabletextright8pt"/>
            </w:pPr>
            <w:r w:rsidRPr="00107A72">
              <w:t>2.7</w:t>
            </w:r>
          </w:p>
        </w:tc>
        <w:tc>
          <w:tcPr>
            <w:tcW w:w="292" w:type="pct"/>
            <w:noWrap/>
            <w:tcMar>
              <w:right w:w="0" w:type="nil"/>
            </w:tcMar>
            <w:hideMark/>
          </w:tcPr>
          <w:p w14:paraId="4910FCC5"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6.7</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2BBDF466" w14:textId="77777777" w:rsidR="006E51BF" w:rsidRPr="00107A72" w:rsidRDefault="006E51BF">
            <w:pPr>
              <w:pStyle w:val="ARfintabletextright8pt"/>
            </w:pPr>
            <w:r w:rsidRPr="00107A72">
              <w:t>11.8</w:t>
            </w:r>
          </w:p>
        </w:tc>
        <w:tc>
          <w:tcPr>
            <w:tcW w:w="292" w:type="pct"/>
            <w:noWrap/>
            <w:tcMar>
              <w:right w:w="0" w:type="nil"/>
            </w:tcMar>
            <w:hideMark/>
          </w:tcPr>
          <w:p w14:paraId="3155B6EF"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4.4</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4057CC69" w14:textId="77777777" w:rsidR="006E51BF" w:rsidRPr="00107A72" w:rsidRDefault="006E51BF">
            <w:pPr>
              <w:pStyle w:val="ARfintabletextright8pt"/>
            </w:pPr>
            <w:r w:rsidRPr="00107A72">
              <w:t>70.4</w:t>
            </w:r>
          </w:p>
        </w:tc>
        <w:tc>
          <w:tcPr>
            <w:tcW w:w="292" w:type="pct"/>
            <w:noWrap/>
            <w:tcMar>
              <w:right w:w="0" w:type="nil"/>
            </w:tcMar>
            <w:hideMark/>
          </w:tcPr>
          <w:p w14:paraId="0349ACF8"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212.6</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3C7D4AE2" w14:textId="77777777" w:rsidR="006E51BF" w:rsidRPr="00107A72" w:rsidRDefault="006E51BF">
            <w:pPr>
              <w:pStyle w:val="ARfintabletextright8pt"/>
            </w:pPr>
            <w:r w:rsidRPr="00107A72">
              <w:t>1,077.8</w:t>
            </w:r>
          </w:p>
        </w:tc>
      </w:tr>
      <w:tr w:rsidR="006E51BF" w:rsidRPr="00107A72" w14:paraId="3ADDABE7"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2" w:type="pct"/>
            <w:noWrap/>
            <w:hideMark/>
          </w:tcPr>
          <w:p w14:paraId="1F65AEF1" w14:textId="77777777" w:rsidR="006E51BF" w:rsidRPr="00107A72" w:rsidRDefault="006E51BF">
            <w:pPr>
              <w:pStyle w:val="ARfintabletext8pt"/>
            </w:pPr>
            <w:r w:rsidRPr="00107A72">
              <w:t>Depreciation and amortisation</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1AF51C02" w14:textId="77777777" w:rsidR="006E51BF" w:rsidRPr="00107A72" w:rsidRDefault="006E51BF">
            <w:pPr>
              <w:pStyle w:val="ARfintabletextright8pt"/>
            </w:pPr>
            <w:r w:rsidRPr="00107A72">
              <w:t>10.7</w:t>
            </w:r>
          </w:p>
        </w:tc>
        <w:tc>
          <w:tcPr>
            <w:tcW w:w="292" w:type="pct"/>
            <w:noWrap/>
            <w:tcMar>
              <w:right w:w="0" w:type="nil"/>
            </w:tcMar>
            <w:hideMark/>
          </w:tcPr>
          <w:p w14:paraId="48404501"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13.2</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64A40DC1" w14:textId="77777777" w:rsidR="006E51BF" w:rsidRPr="00107A72" w:rsidRDefault="006E51BF">
            <w:pPr>
              <w:pStyle w:val="ARfintabletextright8pt"/>
            </w:pPr>
            <w:r w:rsidRPr="00845795">
              <w:t>–</w:t>
            </w:r>
          </w:p>
        </w:tc>
        <w:tc>
          <w:tcPr>
            <w:tcW w:w="292" w:type="pct"/>
            <w:noWrap/>
            <w:tcMar>
              <w:right w:w="0" w:type="nil"/>
            </w:tcMar>
            <w:hideMark/>
          </w:tcPr>
          <w:p w14:paraId="04B08F84"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047E6BBC" w14:textId="77777777" w:rsidR="006E51BF" w:rsidRPr="00107A72" w:rsidRDefault="006E51BF">
            <w:pPr>
              <w:pStyle w:val="ARfintabletextright8pt"/>
            </w:pPr>
            <w:r w:rsidRPr="00845795">
              <w:t>–</w:t>
            </w:r>
          </w:p>
        </w:tc>
        <w:tc>
          <w:tcPr>
            <w:tcW w:w="292" w:type="pct"/>
            <w:noWrap/>
            <w:tcMar>
              <w:right w:w="0" w:type="nil"/>
            </w:tcMar>
            <w:hideMark/>
          </w:tcPr>
          <w:p w14:paraId="00F7C84B"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845795">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3CCB932D" w14:textId="77777777" w:rsidR="006E51BF" w:rsidRPr="00107A72" w:rsidRDefault="006E51BF">
            <w:pPr>
              <w:pStyle w:val="ARfintabletextright8pt"/>
            </w:pPr>
            <w:r w:rsidRPr="00845795">
              <w:t>–</w:t>
            </w:r>
          </w:p>
        </w:tc>
        <w:tc>
          <w:tcPr>
            <w:tcW w:w="292" w:type="pct"/>
            <w:noWrap/>
            <w:tcMar>
              <w:right w:w="0" w:type="nil"/>
            </w:tcMar>
            <w:hideMark/>
          </w:tcPr>
          <w:p w14:paraId="68DA0C73"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0.2</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101C7AB0" w14:textId="77777777" w:rsidR="006E51BF" w:rsidRPr="00107A72" w:rsidRDefault="006E51BF">
            <w:pPr>
              <w:pStyle w:val="ARfintabletextright8pt"/>
            </w:pPr>
            <w:r w:rsidRPr="00107A72">
              <w:t>–</w:t>
            </w:r>
          </w:p>
        </w:tc>
        <w:tc>
          <w:tcPr>
            <w:tcW w:w="292" w:type="pct"/>
            <w:noWrap/>
            <w:tcMar>
              <w:right w:w="0" w:type="nil"/>
            </w:tcMar>
            <w:hideMark/>
          </w:tcPr>
          <w:p w14:paraId="2F9B5C6C"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845795">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763574B2" w14:textId="77777777" w:rsidR="006E51BF" w:rsidRPr="00107A72" w:rsidRDefault="006E51BF">
            <w:pPr>
              <w:pStyle w:val="ARfintabletextright8pt"/>
            </w:pPr>
            <w:r w:rsidRPr="00107A72">
              <w:t>18.1</w:t>
            </w:r>
          </w:p>
        </w:tc>
        <w:tc>
          <w:tcPr>
            <w:tcW w:w="292" w:type="pct"/>
            <w:noWrap/>
            <w:tcMar>
              <w:right w:w="0" w:type="nil"/>
            </w:tcMar>
            <w:hideMark/>
          </w:tcPr>
          <w:p w14:paraId="7BCACC38"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604.3</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2E096E6A" w14:textId="77777777" w:rsidR="006E51BF" w:rsidRPr="00107A72" w:rsidRDefault="006E51BF">
            <w:pPr>
              <w:pStyle w:val="ARfintabletextright8pt"/>
            </w:pPr>
            <w:r w:rsidRPr="00107A72">
              <w:t>646.6</w:t>
            </w:r>
          </w:p>
        </w:tc>
      </w:tr>
      <w:tr w:rsidR="006E51BF" w:rsidRPr="00107A72" w14:paraId="3B9CCDB3"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2" w:type="pct"/>
            <w:noWrap/>
            <w:hideMark/>
          </w:tcPr>
          <w:p w14:paraId="65189D20" w14:textId="77777777" w:rsidR="006E51BF" w:rsidRPr="00107A72" w:rsidRDefault="006E51BF">
            <w:pPr>
              <w:pStyle w:val="ARfintabletext8pt"/>
            </w:pPr>
            <w:r w:rsidRPr="00107A72">
              <w:t>Other operating expenses</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7C50B727" w14:textId="77777777" w:rsidR="006E51BF" w:rsidRPr="00107A72" w:rsidRDefault="006E51BF">
            <w:pPr>
              <w:pStyle w:val="ARfintabletextright8pt"/>
            </w:pPr>
            <w:r w:rsidRPr="00107A72">
              <w:t>95.4</w:t>
            </w:r>
          </w:p>
        </w:tc>
        <w:tc>
          <w:tcPr>
            <w:tcW w:w="292" w:type="pct"/>
            <w:noWrap/>
            <w:tcMar>
              <w:right w:w="0" w:type="nil"/>
            </w:tcMar>
            <w:hideMark/>
          </w:tcPr>
          <w:p w14:paraId="3F8F4DE7"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353.0</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77AC5EC5" w14:textId="77777777" w:rsidR="006E51BF" w:rsidRPr="00107A72" w:rsidRDefault="006E51BF">
            <w:pPr>
              <w:pStyle w:val="ARfintabletextright8pt"/>
            </w:pPr>
            <w:r w:rsidRPr="00107A72">
              <w:t>8.8</w:t>
            </w:r>
          </w:p>
        </w:tc>
        <w:tc>
          <w:tcPr>
            <w:tcW w:w="292" w:type="pct"/>
            <w:noWrap/>
            <w:tcMar>
              <w:right w:w="0" w:type="nil"/>
            </w:tcMar>
            <w:hideMark/>
          </w:tcPr>
          <w:p w14:paraId="2ABCB330"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1.5</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24330996" w14:textId="77777777" w:rsidR="006E51BF" w:rsidRPr="00107A72" w:rsidRDefault="006E51BF">
            <w:pPr>
              <w:pStyle w:val="ARfintabletextright8pt"/>
            </w:pPr>
            <w:r w:rsidRPr="00107A72">
              <w:t>2.4</w:t>
            </w:r>
          </w:p>
        </w:tc>
        <w:tc>
          <w:tcPr>
            <w:tcW w:w="292" w:type="pct"/>
            <w:noWrap/>
            <w:tcMar>
              <w:right w:w="0" w:type="nil"/>
            </w:tcMar>
            <w:hideMark/>
          </w:tcPr>
          <w:p w14:paraId="55038E77"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1.1</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047D564F" w14:textId="77777777" w:rsidR="006E51BF" w:rsidRPr="00107A72" w:rsidRDefault="006E51BF">
            <w:pPr>
              <w:pStyle w:val="ARfintabletextright8pt"/>
            </w:pPr>
            <w:r w:rsidRPr="00107A72">
              <w:t>0.2</w:t>
            </w:r>
          </w:p>
        </w:tc>
        <w:tc>
          <w:tcPr>
            <w:tcW w:w="292" w:type="pct"/>
            <w:noWrap/>
            <w:tcMar>
              <w:right w:w="0" w:type="nil"/>
            </w:tcMar>
            <w:hideMark/>
          </w:tcPr>
          <w:p w14:paraId="5764B777"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1.0</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4DDF34DC" w14:textId="77777777" w:rsidR="006E51BF" w:rsidRPr="00107A72" w:rsidRDefault="006E51BF">
            <w:pPr>
              <w:pStyle w:val="ARfintabletextright8pt"/>
            </w:pPr>
            <w:r w:rsidRPr="00107A72">
              <w:t>5.5</w:t>
            </w:r>
          </w:p>
        </w:tc>
        <w:tc>
          <w:tcPr>
            <w:tcW w:w="292" w:type="pct"/>
            <w:noWrap/>
            <w:tcMar>
              <w:right w:w="0" w:type="nil"/>
            </w:tcMar>
            <w:hideMark/>
          </w:tcPr>
          <w:p w14:paraId="06FBB397"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0.9</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01256F44" w14:textId="77777777" w:rsidR="006E51BF" w:rsidRPr="00107A72" w:rsidRDefault="006E51BF">
            <w:pPr>
              <w:pStyle w:val="ARfintabletextright8pt"/>
            </w:pPr>
            <w:r w:rsidRPr="00107A72">
              <w:t>41.4</w:t>
            </w:r>
          </w:p>
        </w:tc>
        <w:tc>
          <w:tcPr>
            <w:tcW w:w="292" w:type="pct"/>
            <w:noWrap/>
            <w:tcMar>
              <w:right w:w="0" w:type="nil"/>
            </w:tcMar>
            <w:hideMark/>
          </w:tcPr>
          <w:p w14:paraId="142A3B27"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123.6</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332C0A88" w14:textId="77777777" w:rsidR="006E51BF" w:rsidRPr="00107A72" w:rsidRDefault="006E51BF">
            <w:pPr>
              <w:pStyle w:val="ARfintabletextright8pt"/>
            </w:pPr>
            <w:r w:rsidRPr="00107A72">
              <w:t>634.9</w:t>
            </w:r>
          </w:p>
        </w:tc>
      </w:tr>
      <w:tr w:rsidR="006E51BF" w:rsidRPr="00107A72" w14:paraId="730604CD"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2" w:type="pct"/>
            <w:tcBorders>
              <w:bottom w:val="single" w:sz="4" w:space="0" w:color="BFBFBF" w:themeColor="accent2"/>
            </w:tcBorders>
            <w:noWrap/>
            <w:hideMark/>
          </w:tcPr>
          <w:p w14:paraId="098C1666" w14:textId="77777777" w:rsidR="006E51BF" w:rsidRPr="00107A72" w:rsidRDefault="006E51BF">
            <w:pPr>
              <w:pStyle w:val="ARfintabletext8pt"/>
            </w:pPr>
            <w:r w:rsidRPr="00107A72">
              <w:t>Grants and other transfers</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5E43F210" w14:textId="77777777" w:rsidR="006E51BF" w:rsidRPr="00107A72" w:rsidRDefault="006E51BF">
            <w:pPr>
              <w:pStyle w:val="ARfintabletextright8pt"/>
            </w:pPr>
            <w:r w:rsidRPr="00107A72">
              <w:t>125.2</w:t>
            </w:r>
          </w:p>
        </w:tc>
        <w:tc>
          <w:tcPr>
            <w:tcW w:w="292" w:type="pct"/>
            <w:tcBorders>
              <w:bottom w:val="single" w:sz="4" w:space="0" w:color="BFBFBF" w:themeColor="accent2"/>
            </w:tcBorders>
            <w:noWrap/>
            <w:tcMar>
              <w:right w:w="0" w:type="nil"/>
            </w:tcMar>
            <w:hideMark/>
          </w:tcPr>
          <w:p w14:paraId="6FAA33B0"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1,535.3</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6F8DEC02" w14:textId="77777777" w:rsidR="006E51BF" w:rsidRPr="00107A72" w:rsidRDefault="006E51BF">
            <w:pPr>
              <w:pStyle w:val="ARfintabletextright8pt"/>
            </w:pPr>
            <w:r w:rsidRPr="00107A72">
              <w:t>1,467.5</w:t>
            </w:r>
          </w:p>
        </w:tc>
        <w:tc>
          <w:tcPr>
            <w:tcW w:w="292" w:type="pct"/>
            <w:tcBorders>
              <w:bottom w:val="single" w:sz="4" w:space="0" w:color="BFBFBF" w:themeColor="accent2"/>
            </w:tcBorders>
            <w:noWrap/>
            <w:tcMar>
              <w:right w:w="0" w:type="nil"/>
            </w:tcMar>
            <w:hideMark/>
          </w:tcPr>
          <w:p w14:paraId="32A3F958"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75.2</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57A17F1B" w14:textId="77777777" w:rsidR="006E51BF" w:rsidRPr="00107A72" w:rsidRDefault="006E51BF">
            <w:pPr>
              <w:pStyle w:val="ARfintabletextright8pt"/>
            </w:pPr>
            <w:r w:rsidRPr="00107A72">
              <w:t>58.5</w:t>
            </w:r>
          </w:p>
        </w:tc>
        <w:tc>
          <w:tcPr>
            <w:tcW w:w="292" w:type="pct"/>
            <w:tcBorders>
              <w:bottom w:val="single" w:sz="4" w:space="0" w:color="BFBFBF" w:themeColor="accent2"/>
            </w:tcBorders>
            <w:noWrap/>
            <w:tcMar>
              <w:right w:w="0" w:type="nil"/>
            </w:tcMar>
            <w:hideMark/>
          </w:tcPr>
          <w:p w14:paraId="69961C5A"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8.7</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3ECA97F7" w14:textId="77777777" w:rsidR="006E51BF" w:rsidRPr="00107A72" w:rsidRDefault="006E51BF">
            <w:pPr>
              <w:pStyle w:val="ARfintabletextright8pt"/>
            </w:pPr>
            <w:r w:rsidRPr="00107A72">
              <w:t>8.0</w:t>
            </w:r>
          </w:p>
        </w:tc>
        <w:tc>
          <w:tcPr>
            <w:tcW w:w="292" w:type="pct"/>
            <w:tcBorders>
              <w:bottom w:val="single" w:sz="4" w:space="0" w:color="BFBFBF" w:themeColor="accent2"/>
            </w:tcBorders>
            <w:noWrap/>
            <w:tcMar>
              <w:right w:w="0" w:type="nil"/>
            </w:tcMar>
            <w:hideMark/>
          </w:tcPr>
          <w:p w14:paraId="7D34AE73"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8.9</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69157C2B" w14:textId="77777777" w:rsidR="006E51BF" w:rsidRPr="00107A72" w:rsidRDefault="006E51BF">
            <w:pPr>
              <w:pStyle w:val="ARfintabletextright8pt"/>
            </w:pPr>
            <w:r w:rsidRPr="00107A72">
              <w:t>11.2</w:t>
            </w:r>
          </w:p>
        </w:tc>
        <w:tc>
          <w:tcPr>
            <w:tcW w:w="292" w:type="pct"/>
            <w:tcBorders>
              <w:bottom w:val="single" w:sz="4" w:space="0" w:color="BFBFBF" w:themeColor="accent2"/>
            </w:tcBorders>
            <w:noWrap/>
            <w:tcMar>
              <w:right w:w="0" w:type="nil"/>
            </w:tcMar>
            <w:hideMark/>
          </w:tcPr>
          <w:p w14:paraId="78496A57"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30.3</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33817AF3" w14:textId="77777777" w:rsidR="006E51BF" w:rsidRPr="00107A72" w:rsidRDefault="006E51BF">
            <w:pPr>
              <w:pStyle w:val="ARfintabletextright8pt"/>
            </w:pPr>
            <w:r w:rsidRPr="00107A72">
              <w:t>682.4</w:t>
            </w:r>
          </w:p>
        </w:tc>
        <w:tc>
          <w:tcPr>
            <w:tcW w:w="292" w:type="pct"/>
            <w:tcBorders>
              <w:bottom w:val="single" w:sz="4" w:space="0" w:color="BFBFBF" w:themeColor="accent2"/>
            </w:tcBorders>
            <w:noWrap/>
            <w:tcMar>
              <w:right w:w="0" w:type="nil"/>
            </w:tcMar>
            <w:hideMark/>
          </w:tcPr>
          <w:p w14:paraId="0956931F"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696.1</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5956D3BE" w14:textId="77777777" w:rsidR="006E51BF" w:rsidRPr="00107A72" w:rsidRDefault="006E51BF">
            <w:pPr>
              <w:pStyle w:val="ARfintabletextright8pt"/>
            </w:pPr>
            <w:r w:rsidRPr="00107A72">
              <w:t>4,707.2</w:t>
            </w:r>
          </w:p>
        </w:tc>
      </w:tr>
      <w:tr w:rsidR="006E51BF" w:rsidRPr="00107A72" w14:paraId="3C2AC35C"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2" w:type="pct"/>
            <w:tcBorders>
              <w:top w:val="single" w:sz="4" w:space="0" w:color="BFBFBF" w:themeColor="accent2"/>
              <w:bottom w:val="single" w:sz="4" w:space="0" w:color="000000" w:themeColor="text1"/>
            </w:tcBorders>
            <w:noWrap/>
            <w:hideMark/>
          </w:tcPr>
          <w:p w14:paraId="48F31213" w14:textId="77777777" w:rsidR="006E51BF" w:rsidRPr="00107A72" w:rsidRDefault="006E51BF">
            <w:pPr>
              <w:pStyle w:val="ARfintabletext8pt"/>
            </w:pPr>
            <w:r w:rsidRPr="00107A72">
              <w:t>Property management expenses</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3009486E" w14:textId="77777777" w:rsidR="006E51BF" w:rsidRPr="00107A72" w:rsidRDefault="006E51BF">
            <w:pPr>
              <w:pStyle w:val="ARfintabletextright8pt"/>
            </w:pPr>
            <w:r w:rsidRPr="00107A72">
              <w:t>8.2</w:t>
            </w:r>
          </w:p>
        </w:tc>
        <w:tc>
          <w:tcPr>
            <w:tcW w:w="292" w:type="pct"/>
            <w:tcBorders>
              <w:top w:val="single" w:sz="4" w:space="0" w:color="BFBFBF" w:themeColor="accent2"/>
              <w:bottom w:val="single" w:sz="4" w:space="0" w:color="000000" w:themeColor="text1"/>
            </w:tcBorders>
            <w:noWrap/>
            <w:tcMar>
              <w:right w:w="0" w:type="nil"/>
            </w:tcMar>
            <w:hideMark/>
          </w:tcPr>
          <w:p w14:paraId="6F2C8285"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9.7</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19980B00"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78EABB04"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6015753F"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323FE833"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58BBBF19"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359F025E"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302A9349"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6C6127C4"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663F78A5"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2C044841"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476.6</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3B54B82F" w14:textId="77777777" w:rsidR="006E51BF" w:rsidRPr="00107A72" w:rsidRDefault="006E51BF">
            <w:pPr>
              <w:pStyle w:val="ARfintabletextright8pt"/>
            </w:pPr>
            <w:r w:rsidRPr="00107A72">
              <w:t>494.5</w:t>
            </w:r>
          </w:p>
        </w:tc>
      </w:tr>
      <w:tr w:rsidR="006E51BF" w:rsidRPr="00107A72" w14:paraId="320987AA"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2" w:type="pct"/>
            <w:tcBorders>
              <w:top w:val="single" w:sz="4" w:space="0" w:color="000000" w:themeColor="text1"/>
              <w:bottom w:val="single" w:sz="4" w:space="0" w:color="000000" w:themeColor="text1"/>
            </w:tcBorders>
            <w:noWrap/>
            <w:hideMark/>
          </w:tcPr>
          <w:p w14:paraId="4F95638F" w14:textId="77777777" w:rsidR="006E51BF" w:rsidRPr="00107A72" w:rsidRDefault="006E51BF">
            <w:pPr>
              <w:pStyle w:val="ARfintabletextbold8pt"/>
            </w:pPr>
            <w:r w:rsidRPr="00107A72">
              <w:t>Total expenses from transactions</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31193533" w14:textId="77777777" w:rsidR="006E51BF" w:rsidRPr="00107A72" w:rsidRDefault="006E51BF">
            <w:pPr>
              <w:pStyle w:val="ARfintabletextboldright8pt"/>
            </w:pPr>
            <w:r w:rsidRPr="00107A72">
              <w:t>380.5</w:t>
            </w:r>
          </w:p>
        </w:tc>
        <w:tc>
          <w:tcPr>
            <w:tcW w:w="292" w:type="pct"/>
            <w:tcBorders>
              <w:top w:val="single" w:sz="4" w:space="0" w:color="000000" w:themeColor="text1"/>
              <w:bottom w:val="single" w:sz="4" w:space="0" w:color="000000" w:themeColor="text1"/>
            </w:tcBorders>
            <w:noWrap/>
            <w:tcMar>
              <w:right w:w="0" w:type="nil"/>
            </w:tcMar>
            <w:hideMark/>
          </w:tcPr>
          <w:p w14:paraId="2F1AAD9C"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2,515.4</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2D830979" w14:textId="77777777" w:rsidR="006E51BF" w:rsidRPr="00107A72" w:rsidRDefault="006E51BF">
            <w:pPr>
              <w:pStyle w:val="ARfintabletextboldright8pt"/>
            </w:pPr>
            <w:r w:rsidRPr="00107A72">
              <w:t>1,487.9</w:t>
            </w:r>
          </w:p>
        </w:tc>
        <w:tc>
          <w:tcPr>
            <w:tcW w:w="292" w:type="pct"/>
            <w:tcBorders>
              <w:top w:val="single" w:sz="4" w:space="0" w:color="000000" w:themeColor="text1"/>
              <w:bottom w:val="single" w:sz="4" w:space="0" w:color="000000" w:themeColor="text1"/>
            </w:tcBorders>
            <w:noWrap/>
            <w:tcMar>
              <w:right w:w="0" w:type="nil"/>
            </w:tcMar>
            <w:hideMark/>
          </w:tcPr>
          <w:p w14:paraId="170F2B98"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82.4</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3C082862" w14:textId="77777777" w:rsidR="006E51BF" w:rsidRPr="00107A72" w:rsidRDefault="006E51BF">
            <w:pPr>
              <w:pStyle w:val="ARfintabletextboldright8pt"/>
            </w:pPr>
            <w:r w:rsidRPr="00107A72">
              <w:t>65.4</w:t>
            </w:r>
          </w:p>
        </w:tc>
        <w:tc>
          <w:tcPr>
            <w:tcW w:w="292" w:type="pct"/>
            <w:tcBorders>
              <w:top w:val="single" w:sz="4" w:space="0" w:color="000000" w:themeColor="text1"/>
              <w:bottom w:val="single" w:sz="4" w:space="0" w:color="000000" w:themeColor="text1"/>
            </w:tcBorders>
            <w:noWrap/>
            <w:tcMar>
              <w:right w:w="0" w:type="nil"/>
            </w:tcMar>
            <w:hideMark/>
          </w:tcPr>
          <w:p w14:paraId="2001F9FE"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11.9</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06E03635" w14:textId="77777777" w:rsidR="006E51BF" w:rsidRPr="00107A72" w:rsidRDefault="006E51BF">
            <w:pPr>
              <w:pStyle w:val="ARfintabletextboldright8pt"/>
            </w:pPr>
            <w:r w:rsidRPr="00107A72">
              <w:t>10.9</w:t>
            </w:r>
          </w:p>
        </w:tc>
        <w:tc>
          <w:tcPr>
            <w:tcW w:w="292" w:type="pct"/>
            <w:tcBorders>
              <w:top w:val="single" w:sz="4" w:space="0" w:color="000000" w:themeColor="text1"/>
              <w:bottom w:val="single" w:sz="4" w:space="0" w:color="000000" w:themeColor="text1"/>
            </w:tcBorders>
            <w:noWrap/>
            <w:tcMar>
              <w:right w:w="0" w:type="nil"/>
            </w:tcMar>
            <w:hideMark/>
          </w:tcPr>
          <w:p w14:paraId="628C33D1"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16.8</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37ACCB58" w14:textId="77777777" w:rsidR="006E51BF" w:rsidRPr="00107A72" w:rsidRDefault="006E51BF">
            <w:pPr>
              <w:pStyle w:val="ARfintabletextboldright8pt"/>
            </w:pPr>
            <w:r w:rsidRPr="00107A72">
              <w:t>28.6</w:t>
            </w:r>
          </w:p>
        </w:tc>
        <w:tc>
          <w:tcPr>
            <w:tcW w:w="292" w:type="pct"/>
            <w:tcBorders>
              <w:top w:val="single" w:sz="4" w:space="0" w:color="000000" w:themeColor="text1"/>
              <w:bottom w:val="single" w:sz="4" w:space="0" w:color="000000" w:themeColor="text1"/>
            </w:tcBorders>
            <w:noWrap/>
            <w:tcMar>
              <w:right w:w="0" w:type="nil"/>
            </w:tcMar>
            <w:hideMark/>
          </w:tcPr>
          <w:p w14:paraId="7B01B074"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35.6</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0ADB48E8" w14:textId="77777777" w:rsidR="006E51BF" w:rsidRPr="00107A72" w:rsidRDefault="006E51BF">
            <w:pPr>
              <w:pStyle w:val="ARfintabletextboldright8pt"/>
            </w:pPr>
            <w:r w:rsidRPr="00107A72">
              <w:t>812.3</w:t>
            </w:r>
          </w:p>
        </w:tc>
        <w:tc>
          <w:tcPr>
            <w:tcW w:w="292" w:type="pct"/>
            <w:tcBorders>
              <w:top w:val="single" w:sz="4" w:space="0" w:color="000000" w:themeColor="text1"/>
              <w:bottom w:val="single" w:sz="4" w:space="0" w:color="000000" w:themeColor="text1"/>
            </w:tcBorders>
            <w:noWrap/>
            <w:tcMar>
              <w:right w:w="0" w:type="nil"/>
            </w:tcMar>
            <w:hideMark/>
          </w:tcPr>
          <w:p w14:paraId="19889C03"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2,113.2</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28D5ED9E" w14:textId="77777777" w:rsidR="006E51BF" w:rsidRPr="00107A72" w:rsidRDefault="006E51BF">
            <w:pPr>
              <w:pStyle w:val="ARfintabletextboldright8pt"/>
            </w:pPr>
            <w:r w:rsidRPr="00107A72">
              <w:t>7,561.0</w:t>
            </w:r>
          </w:p>
        </w:tc>
      </w:tr>
      <w:tr w:rsidR="006E51BF" w:rsidRPr="00107A72" w14:paraId="42A15AC5"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2" w:type="pct"/>
            <w:tcBorders>
              <w:top w:val="single" w:sz="4" w:space="0" w:color="000000" w:themeColor="text1"/>
              <w:bottom w:val="single" w:sz="4" w:space="0" w:color="000000" w:themeColor="text1"/>
            </w:tcBorders>
            <w:hideMark/>
          </w:tcPr>
          <w:p w14:paraId="32A64041" w14:textId="77777777" w:rsidR="006E51BF" w:rsidRPr="00107A72" w:rsidRDefault="006E51BF">
            <w:pPr>
              <w:pStyle w:val="ARfintabletextbold8pt"/>
            </w:pPr>
            <w:r w:rsidRPr="00107A72">
              <w:t xml:space="preserve">Net result from transactions </w:t>
            </w:r>
            <w:r>
              <w:br/>
            </w:r>
            <w:r w:rsidRPr="00107A72">
              <w:t>(net operating balance)</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2EFBB9A2" w14:textId="77777777" w:rsidR="006E51BF" w:rsidRPr="00107A72" w:rsidRDefault="006E51BF">
            <w:pPr>
              <w:pStyle w:val="ARfintabletextboldright8pt"/>
            </w:pPr>
            <w:r w:rsidRPr="00107A72">
              <w:t>0.3</w:t>
            </w:r>
          </w:p>
        </w:tc>
        <w:tc>
          <w:tcPr>
            <w:tcW w:w="292" w:type="pct"/>
            <w:tcBorders>
              <w:top w:val="single" w:sz="4" w:space="0" w:color="000000" w:themeColor="text1"/>
              <w:bottom w:val="single" w:sz="4" w:space="0" w:color="000000" w:themeColor="text1"/>
            </w:tcBorders>
            <w:noWrap/>
            <w:tcMar>
              <w:right w:w="0" w:type="nil"/>
            </w:tcMar>
            <w:hideMark/>
          </w:tcPr>
          <w:p w14:paraId="0A0D424A"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(63.5)</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39B4BA78" w14:textId="77777777" w:rsidR="006E51BF" w:rsidRPr="00107A72" w:rsidRDefault="006E51BF">
            <w:pPr>
              <w:pStyle w:val="ARfintabletextboldright8pt"/>
            </w:pPr>
            <w:r w:rsidRPr="00845795">
              <w:t>–</w:t>
            </w:r>
          </w:p>
        </w:tc>
        <w:tc>
          <w:tcPr>
            <w:tcW w:w="292" w:type="pct"/>
            <w:tcBorders>
              <w:top w:val="single" w:sz="4" w:space="0" w:color="000000" w:themeColor="text1"/>
              <w:bottom w:val="single" w:sz="4" w:space="0" w:color="000000" w:themeColor="text1"/>
            </w:tcBorders>
            <w:noWrap/>
            <w:tcMar>
              <w:right w:w="0" w:type="nil"/>
            </w:tcMar>
            <w:hideMark/>
          </w:tcPr>
          <w:p w14:paraId="6562602A"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15.1</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0A100B8B" w14:textId="77777777" w:rsidR="006E51BF" w:rsidRPr="00107A72" w:rsidRDefault="006E51BF">
            <w:pPr>
              <w:pStyle w:val="ARfintabletextboldright8pt"/>
            </w:pPr>
            <w:r w:rsidRPr="00845795">
              <w:t>–</w:t>
            </w:r>
          </w:p>
        </w:tc>
        <w:tc>
          <w:tcPr>
            <w:tcW w:w="292" w:type="pct"/>
            <w:tcBorders>
              <w:top w:val="single" w:sz="4" w:space="0" w:color="000000" w:themeColor="text1"/>
              <w:bottom w:val="single" w:sz="4" w:space="0" w:color="000000" w:themeColor="text1"/>
            </w:tcBorders>
            <w:noWrap/>
            <w:tcMar>
              <w:right w:w="0" w:type="nil"/>
            </w:tcMar>
            <w:hideMark/>
          </w:tcPr>
          <w:p w14:paraId="249796A2"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845795">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667A9519" w14:textId="77777777" w:rsidR="006E51BF" w:rsidRPr="00107A72" w:rsidRDefault="006E51BF">
            <w:pPr>
              <w:pStyle w:val="ARfintabletextboldright8pt"/>
            </w:pPr>
            <w:r w:rsidRPr="00845795">
              <w:t>–</w:t>
            </w:r>
          </w:p>
        </w:tc>
        <w:tc>
          <w:tcPr>
            <w:tcW w:w="292" w:type="pct"/>
            <w:tcBorders>
              <w:top w:val="single" w:sz="4" w:space="0" w:color="000000" w:themeColor="text1"/>
              <w:bottom w:val="single" w:sz="4" w:space="0" w:color="000000" w:themeColor="text1"/>
            </w:tcBorders>
            <w:noWrap/>
            <w:tcMar>
              <w:right w:w="0" w:type="nil"/>
            </w:tcMar>
            <w:hideMark/>
          </w:tcPr>
          <w:p w14:paraId="07B6CE88"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845795">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0B1DE0D8" w14:textId="77777777" w:rsidR="006E51BF" w:rsidRPr="00107A72" w:rsidRDefault="006E51BF">
            <w:pPr>
              <w:pStyle w:val="ARfintabletextboldright8pt"/>
            </w:pPr>
            <w:r w:rsidRPr="00845795">
              <w:t>–</w:t>
            </w:r>
          </w:p>
        </w:tc>
        <w:tc>
          <w:tcPr>
            <w:tcW w:w="292" w:type="pct"/>
            <w:tcBorders>
              <w:top w:val="single" w:sz="4" w:space="0" w:color="000000" w:themeColor="text1"/>
              <w:bottom w:val="single" w:sz="4" w:space="0" w:color="000000" w:themeColor="text1"/>
            </w:tcBorders>
            <w:noWrap/>
            <w:tcMar>
              <w:right w:w="0" w:type="nil"/>
            </w:tcMar>
            <w:hideMark/>
          </w:tcPr>
          <w:p w14:paraId="1447831B"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845795">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167D64F9" w14:textId="77777777" w:rsidR="006E51BF" w:rsidRPr="00107A72" w:rsidRDefault="006E51BF">
            <w:pPr>
              <w:pStyle w:val="ARfintabletextboldright8pt"/>
            </w:pPr>
            <w:r w:rsidRPr="00107A72">
              <w:t>(2.7)</w:t>
            </w:r>
          </w:p>
        </w:tc>
        <w:tc>
          <w:tcPr>
            <w:tcW w:w="292" w:type="pct"/>
            <w:tcBorders>
              <w:top w:val="single" w:sz="4" w:space="0" w:color="000000" w:themeColor="text1"/>
              <w:bottom w:val="single" w:sz="4" w:space="0" w:color="000000" w:themeColor="text1"/>
            </w:tcBorders>
            <w:noWrap/>
            <w:tcMar>
              <w:right w:w="0" w:type="nil"/>
            </w:tcMar>
            <w:hideMark/>
          </w:tcPr>
          <w:p w14:paraId="639766D7"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(446.5)</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425143C3" w14:textId="77777777" w:rsidR="006E51BF" w:rsidRPr="00107A72" w:rsidRDefault="006E51BF">
            <w:pPr>
              <w:pStyle w:val="ARfintabletextboldright8pt"/>
            </w:pPr>
            <w:r w:rsidRPr="00107A72">
              <w:t>(497.6)</w:t>
            </w:r>
          </w:p>
        </w:tc>
      </w:tr>
      <w:tr w:rsidR="006E51BF" w:rsidRPr="00107A72" w14:paraId="028B4964"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2" w:type="pct"/>
            <w:tcBorders>
              <w:top w:val="single" w:sz="4" w:space="0" w:color="000000" w:themeColor="text1"/>
            </w:tcBorders>
            <w:noWrap/>
            <w:hideMark/>
          </w:tcPr>
          <w:p w14:paraId="4324039E" w14:textId="77777777" w:rsidR="006E51BF" w:rsidRPr="00107A72" w:rsidRDefault="006E51BF">
            <w:pPr>
              <w:pStyle w:val="Arfintabletextboldcoloured8pt"/>
            </w:pPr>
            <w:r w:rsidRPr="00107A72">
              <w:t>Other economic flows included in net result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57ABAC3F"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6FFBE3A5"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2D592D53"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512C90B5"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35B85B80"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7C9B1EFA"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66006916"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38CC4C08"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108D9CFC"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23CC2D5D"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6AF51D01"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58668F7F"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719BD6C5" w14:textId="77777777" w:rsidR="006E51BF" w:rsidRPr="00107A72" w:rsidRDefault="006E51BF">
            <w:pPr>
              <w:pStyle w:val="ARfintabletextright8pt"/>
            </w:pPr>
          </w:p>
        </w:tc>
      </w:tr>
      <w:tr w:rsidR="006E51BF" w:rsidRPr="00107A72" w14:paraId="05F1306E"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2" w:type="pct"/>
            <w:noWrap/>
            <w:hideMark/>
          </w:tcPr>
          <w:p w14:paraId="348B44B1" w14:textId="77777777" w:rsidR="006E51BF" w:rsidRPr="00107A72" w:rsidRDefault="006E51BF">
            <w:pPr>
              <w:pStyle w:val="ARfintabletext8pt"/>
            </w:pPr>
            <w:r w:rsidRPr="00107A72">
              <w:t>Net gain/(loss) on non-financial assets</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DD6F917" w14:textId="77777777" w:rsidR="006E51BF" w:rsidRPr="00107A72" w:rsidRDefault="006E51BF">
            <w:pPr>
              <w:pStyle w:val="ARfintabletextright8pt"/>
            </w:pPr>
            <w:r w:rsidRPr="00107A72">
              <w:t>0.1</w:t>
            </w:r>
          </w:p>
        </w:tc>
        <w:tc>
          <w:tcPr>
            <w:tcW w:w="292" w:type="pct"/>
            <w:noWrap/>
            <w:tcMar>
              <w:right w:w="0" w:type="nil"/>
            </w:tcMar>
            <w:hideMark/>
          </w:tcPr>
          <w:p w14:paraId="1B1EE071"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2.5</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0A9516E9" w14:textId="77777777" w:rsidR="006E51BF" w:rsidRPr="00107A72" w:rsidRDefault="006E51BF">
            <w:pPr>
              <w:pStyle w:val="ARfintabletextright8pt"/>
            </w:pPr>
            <w:r w:rsidRPr="00107A72">
              <w:t>–</w:t>
            </w:r>
          </w:p>
        </w:tc>
        <w:tc>
          <w:tcPr>
            <w:tcW w:w="292" w:type="pct"/>
            <w:noWrap/>
            <w:tcMar>
              <w:right w:w="0" w:type="nil"/>
            </w:tcMar>
            <w:hideMark/>
          </w:tcPr>
          <w:p w14:paraId="149CA38B"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83AB621" w14:textId="77777777" w:rsidR="006E51BF" w:rsidRPr="00107A72" w:rsidRDefault="006E51BF">
            <w:pPr>
              <w:pStyle w:val="ARfintabletextright8pt"/>
            </w:pPr>
            <w:r w:rsidRPr="00107A72">
              <w:t>–</w:t>
            </w:r>
          </w:p>
        </w:tc>
        <w:tc>
          <w:tcPr>
            <w:tcW w:w="292" w:type="pct"/>
            <w:noWrap/>
            <w:tcMar>
              <w:right w:w="0" w:type="nil"/>
            </w:tcMar>
            <w:hideMark/>
          </w:tcPr>
          <w:p w14:paraId="5F69F763"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7F448447" w14:textId="77777777" w:rsidR="006E51BF" w:rsidRPr="00107A72" w:rsidRDefault="006E51BF">
            <w:pPr>
              <w:pStyle w:val="ARfintabletextright8pt"/>
            </w:pPr>
            <w:r w:rsidRPr="00107A72">
              <w:t>–</w:t>
            </w:r>
          </w:p>
        </w:tc>
        <w:tc>
          <w:tcPr>
            <w:tcW w:w="292" w:type="pct"/>
            <w:noWrap/>
            <w:tcMar>
              <w:right w:w="0" w:type="nil"/>
            </w:tcMar>
            <w:hideMark/>
          </w:tcPr>
          <w:p w14:paraId="0293868B"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709D2197" w14:textId="77777777" w:rsidR="006E51BF" w:rsidRPr="00107A72" w:rsidRDefault="006E51BF">
            <w:pPr>
              <w:pStyle w:val="ARfintabletextright8pt"/>
            </w:pPr>
            <w:r w:rsidRPr="00107A72">
              <w:t>–</w:t>
            </w:r>
          </w:p>
        </w:tc>
        <w:tc>
          <w:tcPr>
            <w:tcW w:w="292" w:type="pct"/>
            <w:noWrap/>
            <w:tcMar>
              <w:right w:w="0" w:type="nil"/>
            </w:tcMar>
            <w:hideMark/>
          </w:tcPr>
          <w:p w14:paraId="571E864F"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49135732" w14:textId="77777777" w:rsidR="006E51BF" w:rsidRPr="00107A72" w:rsidRDefault="006E51BF">
            <w:pPr>
              <w:pStyle w:val="ARfintabletextright8pt"/>
            </w:pPr>
            <w:r w:rsidRPr="00107A72">
              <w:t>–</w:t>
            </w:r>
          </w:p>
        </w:tc>
        <w:tc>
          <w:tcPr>
            <w:tcW w:w="292" w:type="pct"/>
            <w:noWrap/>
            <w:tcMar>
              <w:right w:w="0" w:type="nil"/>
            </w:tcMar>
            <w:hideMark/>
          </w:tcPr>
          <w:p w14:paraId="0604F27C"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(6.3)</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06D71FF2" w14:textId="77777777" w:rsidR="006E51BF" w:rsidRPr="00107A72" w:rsidRDefault="006E51BF">
            <w:pPr>
              <w:pStyle w:val="ARfintabletextright8pt"/>
            </w:pPr>
            <w:r w:rsidRPr="00107A72">
              <w:t>(3.6)</w:t>
            </w:r>
          </w:p>
        </w:tc>
      </w:tr>
      <w:tr w:rsidR="006E51BF" w:rsidRPr="00107A72" w14:paraId="6F03F3F6"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2" w:type="pct"/>
            <w:tcBorders>
              <w:bottom w:val="single" w:sz="4" w:space="0" w:color="BFBFBF" w:themeColor="accent2"/>
            </w:tcBorders>
            <w:hideMark/>
          </w:tcPr>
          <w:p w14:paraId="10DB9134" w14:textId="77777777" w:rsidR="006E51BF" w:rsidRPr="00107A72" w:rsidRDefault="006E51BF">
            <w:pPr>
              <w:pStyle w:val="ARfintabletext8pt"/>
            </w:pPr>
            <w:r w:rsidRPr="00107A72">
              <w:t>Net gain/(loss) on financial instruments</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525E35EE" w14:textId="77777777" w:rsidR="006E51BF" w:rsidRPr="00107A72" w:rsidRDefault="006E51BF">
            <w:pPr>
              <w:pStyle w:val="ARfintabletextright8pt"/>
            </w:pPr>
            <w:r w:rsidRPr="00D25AEE">
              <w:t>–</w:t>
            </w:r>
          </w:p>
        </w:tc>
        <w:tc>
          <w:tcPr>
            <w:tcW w:w="292" w:type="pct"/>
            <w:tcBorders>
              <w:bottom w:val="single" w:sz="4" w:space="0" w:color="BFBFBF" w:themeColor="accent2"/>
            </w:tcBorders>
            <w:noWrap/>
            <w:tcMar>
              <w:right w:w="0" w:type="nil"/>
            </w:tcMar>
            <w:hideMark/>
          </w:tcPr>
          <w:p w14:paraId="0347D497"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1.2</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75B35242"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7B67B106"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53FF3E78"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020C7536"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32F95682"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2278946B"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06E29987"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3E287C8D"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323F0304"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36638978"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239D9258" w14:textId="77777777" w:rsidR="006E51BF" w:rsidRPr="00107A72" w:rsidRDefault="006E51BF">
            <w:pPr>
              <w:pStyle w:val="ARfintabletextright8pt"/>
            </w:pPr>
            <w:r w:rsidRPr="00107A72">
              <w:t>1.2</w:t>
            </w:r>
          </w:p>
        </w:tc>
      </w:tr>
      <w:tr w:rsidR="006E51BF" w:rsidRPr="00107A72" w14:paraId="2C7307C0"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2" w:type="pct"/>
            <w:tcBorders>
              <w:top w:val="single" w:sz="4" w:space="0" w:color="BFBFBF" w:themeColor="accent2"/>
              <w:bottom w:val="single" w:sz="4" w:space="0" w:color="000000" w:themeColor="text1"/>
            </w:tcBorders>
            <w:noWrap/>
            <w:hideMark/>
          </w:tcPr>
          <w:p w14:paraId="05B314D7" w14:textId="77777777" w:rsidR="006E51BF" w:rsidRPr="00107A72" w:rsidRDefault="006E51BF">
            <w:pPr>
              <w:pStyle w:val="ARfintabletext8pt"/>
            </w:pPr>
            <w:r w:rsidRPr="00107A72">
              <w:t>Other gains/(losses) from other economic flows</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423321F2" w14:textId="77777777" w:rsidR="006E51BF" w:rsidRPr="00107A72" w:rsidRDefault="006E51BF">
            <w:pPr>
              <w:pStyle w:val="ARfintabletextright8pt"/>
            </w:pPr>
            <w:r w:rsidRPr="00107A72">
              <w:t>0.5</w:t>
            </w:r>
          </w:p>
        </w:tc>
        <w:tc>
          <w:tcPr>
            <w:tcW w:w="292" w:type="pct"/>
            <w:tcBorders>
              <w:top w:val="single" w:sz="4" w:space="0" w:color="BFBFBF" w:themeColor="accent2"/>
              <w:bottom w:val="single" w:sz="4" w:space="0" w:color="000000" w:themeColor="text1"/>
            </w:tcBorders>
            <w:noWrap/>
            <w:tcMar>
              <w:right w:w="0" w:type="nil"/>
            </w:tcMar>
            <w:hideMark/>
          </w:tcPr>
          <w:p w14:paraId="3EAA1057"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34.7</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1D41A1C4"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79E78C9B"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4309FD2F"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7142DD0C"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2D27018F"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4C738984"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076F5A22"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55E18146"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472939BD" w14:textId="77777777" w:rsidR="006E51BF" w:rsidRPr="00107A72" w:rsidRDefault="006E51BF">
            <w:pPr>
              <w:pStyle w:val="ARfintabletextright8pt"/>
            </w:pPr>
            <w:r w:rsidRPr="00107A72">
              <w:t>0.2</w:t>
            </w:r>
          </w:p>
        </w:tc>
        <w:tc>
          <w:tcPr>
            <w:tcW w:w="292" w:type="pct"/>
            <w:tcBorders>
              <w:top w:val="single" w:sz="4" w:space="0" w:color="BFBFBF" w:themeColor="accent2"/>
              <w:bottom w:val="single" w:sz="4" w:space="0" w:color="000000" w:themeColor="text1"/>
            </w:tcBorders>
            <w:noWrap/>
            <w:tcMar>
              <w:right w:w="0" w:type="nil"/>
            </w:tcMar>
            <w:hideMark/>
          </w:tcPr>
          <w:p w14:paraId="1398E34D"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2.4</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6B54BA11" w14:textId="77777777" w:rsidR="006E51BF" w:rsidRPr="00107A72" w:rsidRDefault="006E51BF">
            <w:pPr>
              <w:pStyle w:val="ARfintabletextright8pt"/>
            </w:pPr>
            <w:r w:rsidRPr="00107A72">
              <w:t>37.9</w:t>
            </w:r>
          </w:p>
        </w:tc>
      </w:tr>
      <w:tr w:rsidR="006E51BF" w:rsidRPr="00107A72" w14:paraId="714C7942"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2" w:type="pct"/>
            <w:tcBorders>
              <w:top w:val="single" w:sz="4" w:space="0" w:color="000000" w:themeColor="text1"/>
              <w:bottom w:val="single" w:sz="4" w:space="0" w:color="000000" w:themeColor="text1"/>
            </w:tcBorders>
            <w:hideMark/>
          </w:tcPr>
          <w:p w14:paraId="53FD280A" w14:textId="77777777" w:rsidR="006E51BF" w:rsidRPr="00107A72" w:rsidRDefault="006E51BF">
            <w:pPr>
              <w:pStyle w:val="ARfintabletextboldpt8"/>
            </w:pPr>
            <w:r w:rsidRPr="00107A72">
              <w:t xml:space="preserve">Total other economic flows included </w:t>
            </w:r>
            <w:r>
              <w:br/>
            </w:r>
            <w:r w:rsidRPr="00107A72">
              <w:t>in net result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31F5F8ED" w14:textId="77777777" w:rsidR="006E51BF" w:rsidRPr="00107A72" w:rsidRDefault="006E51BF">
            <w:pPr>
              <w:pStyle w:val="ARfintabletextboldright8pt"/>
            </w:pPr>
            <w:r w:rsidRPr="00107A72">
              <w:t>0.6</w:t>
            </w:r>
          </w:p>
        </w:tc>
        <w:tc>
          <w:tcPr>
            <w:tcW w:w="292" w:type="pct"/>
            <w:tcBorders>
              <w:top w:val="single" w:sz="4" w:space="0" w:color="000000" w:themeColor="text1"/>
              <w:bottom w:val="single" w:sz="4" w:space="0" w:color="000000" w:themeColor="text1"/>
            </w:tcBorders>
            <w:noWrap/>
            <w:tcMar>
              <w:right w:w="0" w:type="nil"/>
            </w:tcMar>
            <w:hideMark/>
          </w:tcPr>
          <w:p w14:paraId="445B6826"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38.4</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01B761A9" w14:textId="77777777" w:rsidR="006E51BF" w:rsidRPr="00107A72" w:rsidRDefault="006E51BF">
            <w:pPr>
              <w:pStyle w:val="ARfintabletextboldright8pt"/>
            </w:pPr>
            <w:r w:rsidRPr="00107A72">
              <w:t>–</w:t>
            </w:r>
          </w:p>
        </w:tc>
        <w:tc>
          <w:tcPr>
            <w:tcW w:w="292" w:type="pct"/>
            <w:tcBorders>
              <w:top w:val="single" w:sz="4" w:space="0" w:color="000000" w:themeColor="text1"/>
              <w:bottom w:val="single" w:sz="4" w:space="0" w:color="000000" w:themeColor="text1"/>
            </w:tcBorders>
            <w:noWrap/>
            <w:tcMar>
              <w:right w:w="0" w:type="nil"/>
            </w:tcMar>
            <w:hideMark/>
          </w:tcPr>
          <w:p w14:paraId="732A3A6D"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361063FB" w14:textId="77777777" w:rsidR="006E51BF" w:rsidRPr="00107A72" w:rsidRDefault="006E51BF">
            <w:pPr>
              <w:pStyle w:val="ARfintabletextboldright8pt"/>
            </w:pPr>
            <w:r w:rsidRPr="00107A72">
              <w:t>–</w:t>
            </w:r>
          </w:p>
        </w:tc>
        <w:tc>
          <w:tcPr>
            <w:tcW w:w="292" w:type="pct"/>
            <w:tcBorders>
              <w:top w:val="single" w:sz="4" w:space="0" w:color="000000" w:themeColor="text1"/>
              <w:bottom w:val="single" w:sz="4" w:space="0" w:color="000000" w:themeColor="text1"/>
            </w:tcBorders>
            <w:noWrap/>
            <w:tcMar>
              <w:right w:w="0" w:type="nil"/>
            </w:tcMar>
            <w:hideMark/>
          </w:tcPr>
          <w:p w14:paraId="2DD872D2"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63B9A593" w14:textId="77777777" w:rsidR="006E51BF" w:rsidRPr="00107A72" w:rsidRDefault="006E51BF">
            <w:pPr>
              <w:pStyle w:val="ARfintabletextboldright8pt"/>
            </w:pPr>
            <w:r w:rsidRPr="00107A72">
              <w:t>–</w:t>
            </w:r>
          </w:p>
        </w:tc>
        <w:tc>
          <w:tcPr>
            <w:tcW w:w="292" w:type="pct"/>
            <w:tcBorders>
              <w:top w:val="single" w:sz="4" w:space="0" w:color="000000" w:themeColor="text1"/>
              <w:bottom w:val="single" w:sz="4" w:space="0" w:color="000000" w:themeColor="text1"/>
            </w:tcBorders>
            <w:noWrap/>
            <w:tcMar>
              <w:right w:w="0" w:type="nil"/>
            </w:tcMar>
            <w:hideMark/>
          </w:tcPr>
          <w:p w14:paraId="6411D696"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1B621EB2" w14:textId="77777777" w:rsidR="006E51BF" w:rsidRPr="00107A72" w:rsidRDefault="006E51BF">
            <w:pPr>
              <w:pStyle w:val="ARfintabletextboldright8pt"/>
            </w:pPr>
            <w:r w:rsidRPr="00107A72">
              <w:t>–</w:t>
            </w:r>
          </w:p>
        </w:tc>
        <w:tc>
          <w:tcPr>
            <w:tcW w:w="292" w:type="pct"/>
            <w:tcBorders>
              <w:top w:val="single" w:sz="4" w:space="0" w:color="000000" w:themeColor="text1"/>
              <w:bottom w:val="single" w:sz="4" w:space="0" w:color="000000" w:themeColor="text1"/>
            </w:tcBorders>
            <w:noWrap/>
            <w:tcMar>
              <w:right w:w="0" w:type="nil"/>
            </w:tcMar>
            <w:hideMark/>
          </w:tcPr>
          <w:p w14:paraId="1E406337"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272AF293" w14:textId="77777777" w:rsidR="006E51BF" w:rsidRPr="00107A72" w:rsidRDefault="006E51BF">
            <w:pPr>
              <w:pStyle w:val="ARfintabletextboldright8pt"/>
            </w:pPr>
            <w:r w:rsidRPr="00107A72">
              <w:t>0.2</w:t>
            </w:r>
          </w:p>
        </w:tc>
        <w:tc>
          <w:tcPr>
            <w:tcW w:w="292" w:type="pct"/>
            <w:tcBorders>
              <w:top w:val="single" w:sz="4" w:space="0" w:color="000000" w:themeColor="text1"/>
              <w:bottom w:val="single" w:sz="4" w:space="0" w:color="000000" w:themeColor="text1"/>
            </w:tcBorders>
            <w:noWrap/>
            <w:tcMar>
              <w:right w:w="0" w:type="nil"/>
            </w:tcMar>
            <w:hideMark/>
          </w:tcPr>
          <w:p w14:paraId="35A8B0B8"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(3.9)</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239048FB" w14:textId="77777777" w:rsidR="006E51BF" w:rsidRPr="00107A72" w:rsidRDefault="006E51BF">
            <w:pPr>
              <w:pStyle w:val="ARfintabletextboldright8pt"/>
            </w:pPr>
            <w:r w:rsidRPr="00107A72">
              <w:t>35.5</w:t>
            </w:r>
          </w:p>
        </w:tc>
      </w:tr>
      <w:tr w:rsidR="006E51BF" w:rsidRPr="00107A72" w14:paraId="45A4BC69"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2" w:type="pct"/>
            <w:tcBorders>
              <w:top w:val="single" w:sz="4" w:space="0" w:color="000000" w:themeColor="text1"/>
              <w:bottom w:val="single" w:sz="4" w:space="0" w:color="000000" w:themeColor="text1"/>
            </w:tcBorders>
            <w:noWrap/>
            <w:hideMark/>
          </w:tcPr>
          <w:p w14:paraId="1DD4BC09" w14:textId="77777777" w:rsidR="006E51BF" w:rsidRPr="00107A72" w:rsidRDefault="006E51BF">
            <w:pPr>
              <w:pStyle w:val="ARfintabletextboldpt8"/>
            </w:pPr>
            <w:r w:rsidRPr="00107A72">
              <w:t>Net result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053E5DD8" w14:textId="77777777" w:rsidR="006E51BF" w:rsidRPr="00107A72" w:rsidRDefault="006E51BF">
            <w:pPr>
              <w:pStyle w:val="ARfintabletextboldright8pt"/>
            </w:pPr>
            <w:r w:rsidRPr="00107A72">
              <w:t>0.9</w:t>
            </w:r>
          </w:p>
        </w:tc>
        <w:tc>
          <w:tcPr>
            <w:tcW w:w="292" w:type="pct"/>
            <w:tcBorders>
              <w:top w:val="single" w:sz="4" w:space="0" w:color="000000" w:themeColor="text1"/>
              <w:bottom w:val="single" w:sz="4" w:space="0" w:color="000000" w:themeColor="text1"/>
            </w:tcBorders>
            <w:noWrap/>
            <w:tcMar>
              <w:right w:w="0" w:type="nil"/>
            </w:tcMar>
            <w:hideMark/>
          </w:tcPr>
          <w:p w14:paraId="44A2E044"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(25.1)</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37825E68" w14:textId="77777777" w:rsidR="006E51BF" w:rsidRPr="00107A72" w:rsidRDefault="006E51BF">
            <w:pPr>
              <w:pStyle w:val="ARfintabletextboldright8pt"/>
            </w:pPr>
            <w:r w:rsidRPr="00327603">
              <w:t>–</w:t>
            </w:r>
          </w:p>
        </w:tc>
        <w:tc>
          <w:tcPr>
            <w:tcW w:w="292" w:type="pct"/>
            <w:tcBorders>
              <w:top w:val="single" w:sz="4" w:space="0" w:color="000000" w:themeColor="text1"/>
              <w:bottom w:val="single" w:sz="4" w:space="0" w:color="000000" w:themeColor="text1"/>
            </w:tcBorders>
            <w:noWrap/>
            <w:tcMar>
              <w:right w:w="0" w:type="nil"/>
            </w:tcMar>
            <w:hideMark/>
          </w:tcPr>
          <w:p w14:paraId="1F6C7D1F"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15.1</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2008D0BA" w14:textId="77777777" w:rsidR="006E51BF" w:rsidRPr="00107A72" w:rsidRDefault="006E51BF">
            <w:pPr>
              <w:pStyle w:val="ARfintabletextboldright8pt"/>
            </w:pPr>
            <w:r w:rsidRPr="00327603">
              <w:t>–</w:t>
            </w:r>
          </w:p>
        </w:tc>
        <w:tc>
          <w:tcPr>
            <w:tcW w:w="292" w:type="pct"/>
            <w:tcBorders>
              <w:top w:val="single" w:sz="4" w:space="0" w:color="000000" w:themeColor="text1"/>
              <w:bottom w:val="single" w:sz="4" w:space="0" w:color="000000" w:themeColor="text1"/>
            </w:tcBorders>
            <w:noWrap/>
            <w:tcMar>
              <w:right w:w="0" w:type="nil"/>
            </w:tcMar>
            <w:hideMark/>
          </w:tcPr>
          <w:p w14:paraId="0D3C2778"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327603">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57C2ED66" w14:textId="77777777" w:rsidR="006E51BF" w:rsidRPr="00107A72" w:rsidRDefault="006E51BF">
            <w:pPr>
              <w:pStyle w:val="ARfintabletextboldright8pt"/>
            </w:pPr>
            <w:r w:rsidRPr="00327603">
              <w:t>–</w:t>
            </w:r>
          </w:p>
        </w:tc>
        <w:tc>
          <w:tcPr>
            <w:tcW w:w="292" w:type="pct"/>
            <w:tcBorders>
              <w:top w:val="single" w:sz="4" w:space="0" w:color="000000" w:themeColor="text1"/>
              <w:bottom w:val="single" w:sz="4" w:space="0" w:color="000000" w:themeColor="text1"/>
            </w:tcBorders>
            <w:noWrap/>
            <w:tcMar>
              <w:right w:w="0" w:type="nil"/>
            </w:tcMar>
            <w:hideMark/>
          </w:tcPr>
          <w:p w14:paraId="6C1A54D8"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327603">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4935C6CC" w14:textId="77777777" w:rsidR="006E51BF" w:rsidRPr="00107A72" w:rsidRDefault="006E51BF">
            <w:pPr>
              <w:pStyle w:val="ARfintabletextboldright8pt"/>
            </w:pPr>
            <w:r w:rsidRPr="00327603">
              <w:t>–</w:t>
            </w:r>
          </w:p>
        </w:tc>
        <w:tc>
          <w:tcPr>
            <w:tcW w:w="292" w:type="pct"/>
            <w:tcBorders>
              <w:top w:val="single" w:sz="4" w:space="0" w:color="000000" w:themeColor="text1"/>
              <w:bottom w:val="single" w:sz="4" w:space="0" w:color="000000" w:themeColor="text1"/>
            </w:tcBorders>
            <w:noWrap/>
            <w:tcMar>
              <w:right w:w="0" w:type="nil"/>
            </w:tcMar>
            <w:hideMark/>
          </w:tcPr>
          <w:p w14:paraId="2F186257"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327603">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55818277" w14:textId="77777777" w:rsidR="006E51BF" w:rsidRPr="00107A72" w:rsidRDefault="006E51BF">
            <w:pPr>
              <w:pStyle w:val="ARfintabletextboldright8pt"/>
            </w:pPr>
            <w:r w:rsidRPr="00107A72">
              <w:t>(2.5)</w:t>
            </w:r>
          </w:p>
        </w:tc>
        <w:tc>
          <w:tcPr>
            <w:tcW w:w="292" w:type="pct"/>
            <w:tcBorders>
              <w:top w:val="single" w:sz="4" w:space="0" w:color="000000" w:themeColor="text1"/>
              <w:bottom w:val="single" w:sz="4" w:space="0" w:color="000000" w:themeColor="text1"/>
            </w:tcBorders>
            <w:noWrap/>
            <w:tcMar>
              <w:right w:w="0" w:type="nil"/>
            </w:tcMar>
            <w:hideMark/>
          </w:tcPr>
          <w:p w14:paraId="6476E76B"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(450.4)</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4098EC0E" w14:textId="77777777" w:rsidR="006E51BF" w:rsidRPr="00107A72" w:rsidRDefault="006E51BF">
            <w:pPr>
              <w:pStyle w:val="ARfintabletextboldright8pt"/>
            </w:pPr>
            <w:r w:rsidRPr="00107A72">
              <w:t>(462.1)</w:t>
            </w:r>
          </w:p>
        </w:tc>
      </w:tr>
      <w:tr w:rsidR="006E51BF" w:rsidRPr="00107A72" w14:paraId="2F2C180E"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2" w:type="pct"/>
            <w:tcBorders>
              <w:top w:val="single" w:sz="4" w:space="0" w:color="000000" w:themeColor="text1"/>
            </w:tcBorders>
            <w:hideMark/>
          </w:tcPr>
          <w:p w14:paraId="5BDCF47D" w14:textId="5F2E076D" w:rsidR="006E51BF" w:rsidRPr="00107A72" w:rsidRDefault="006E51BF">
            <w:pPr>
              <w:pStyle w:val="Arfintabletextboldcoloured8pt"/>
            </w:pPr>
            <w:r w:rsidRPr="00107A72">
              <w:t xml:space="preserve">Other economic flows </w:t>
            </w:r>
            <w:r w:rsidRPr="00B5533A">
              <w:rPr>
                <w:bCs/>
              </w:rPr>
              <w:t>–</w:t>
            </w:r>
            <w:r w:rsidRPr="00107A72">
              <w:t xml:space="preserve"> other</w:t>
            </w:r>
            <w:r w:rsidR="00BE21A4">
              <w:t> </w:t>
            </w:r>
            <w:r w:rsidRPr="00107A72">
              <w:t>comprehensive income</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469C5246"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760D32B9"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735FE79A"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4144FDA6"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0EC3A924"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033C89C5"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447E0D2D"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32CC638C"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6613C76D"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1FD68B13"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04A20FA7"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583F328A"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0B82ACCE" w14:textId="77777777" w:rsidR="006E51BF" w:rsidRPr="00107A72" w:rsidRDefault="006E51BF">
            <w:pPr>
              <w:pStyle w:val="ARfintabletextright8pt"/>
            </w:pPr>
          </w:p>
        </w:tc>
      </w:tr>
      <w:tr w:rsidR="006E51BF" w:rsidRPr="00107A72" w14:paraId="248EDDB7"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2" w:type="pct"/>
            <w:noWrap/>
          </w:tcPr>
          <w:p w14:paraId="49A393EC" w14:textId="77777777" w:rsidR="006E51BF" w:rsidRPr="00107A72" w:rsidRDefault="006E51BF">
            <w:pPr>
              <w:pStyle w:val="ARfintabletextbold8pt"/>
            </w:pPr>
            <w:r w:rsidRPr="00107A72">
              <w:t>Items that will not be reclassified to net result</w:t>
            </w: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236E9F79" w14:textId="77777777" w:rsidR="006E51BF" w:rsidRPr="00107A72" w:rsidRDefault="006E51BF">
            <w:pPr>
              <w:pStyle w:val="ARfintabletextright8pt"/>
            </w:pPr>
          </w:p>
        </w:tc>
        <w:tc>
          <w:tcPr>
            <w:tcW w:w="292" w:type="pct"/>
            <w:noWrap/>
            <w:tcMar>
              <w:right w:w="0" w:type="nil"/>
            </w:tcMar>
          </w:tcPr>
          <w:p w14:paraId="65E8BD85"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2CBB8BFB" w14:textId="77777777" w:rsidR="006E51BF" w:rsidRPr="00107A72" w:rsidRDefault="006E51BF">
            <w:pPr>
              <w:pStyle w:val="ARfintabletextright8pt"/>
            </w:pPr>
          </w:p>
        </w:tc>
        <w:tc>
          <w:tcPr>
            <w:tcW w:w="292" w:type="pct"/>
            <w:noWrap/>
            <w:tcMar>
              <w:right w:w="0" w:type="nil"/>
            </w:tcMar>
          </w:tcPr>
          <w:p w14:paraId="31F5EEE8"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42DB0223" w14:textId="77777777" w:rsidR="006E51BF" w:rsidRPr="00107A72" w:rsidRDefault="006E51BF">
            <w:pPr>
              <w:pStyle w:val="ARfintabletextright8pt"/>
            </w:pPr>
          </w:p>
        </w:tc>
        <w:tc>
          <w:tcPr>
            <w:tcW w:w="292" w:type="pct"/>
            <w:noWrap/>
            <w:tcMar>
              <w:right w:w="0" w:type="nil"/>
            </w:tcMar>
          </w:tcPr>
          <w:p w14:paraId="66EDD9F8"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4DCFF674" w14:textId="77777777" w:rsidR="006E51BF" w:rsidRPr="00107A72" w:rsidRDefault="006E51BF">
            <w:pPr>
              <w:pStyle w:val="ARfintabletextright8pt"/>
            </w:pPr>
          </w:p>
        </w:tc>
        <w:tc>
          <w:tcPr>
            <w:tcW w:w="292" w:type="pct"/>
            <w:noWrap/>
            <w:tcMar>
              <w:right w:w="0" w:type="nil"/>
            </w:tcMar>
          </w:tcPr>
          <w:p w14:paraId="3E2EA78B"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1EDE4C73" w14:textId="77777777" w:rsidR="006E51BF" w:rsidRPr="00107A72" w:rsidRDefault="006E51BF">
            <w:pPr>
              <w:pStyle w:val="ARfintabletextright8pt"/>
            </w:pPr>
          </w:p>
        </w:tc>
        <w:tc>
          <w:tcPr>
            <w:tcW w:w="292" w:type="pct"/>
            <w:noWrap/>
            <w:tcMar>
              <w:right w:w="0" w:type="nil"/>
            </w:tcMar>
          </w:tcPr>
          <w:p w14:paraId="5127A028"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78380A33" w14:textId="77777777" w:rsidR="006E51BF" w:rsidRPr="00107A72" w:rsidRDefault="006E51BF">
            <w:pPr>
              <w:pStyle w:val="ARfintabletextright8pt"/>
            </w:pPr>
          </w:p>
        </w:tc>
        <w:tc>
          <w:tcPr>
            <w:tcW w:w="292" w:type="pct"/>
            <w:noWrap/>
            <w:tcMar>
              <w:right w:w="0" w:type="nil"/>
            </w:tcMar>
          </w:tcPr>
          <w:p w14:paraId="18EC4768"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3B7C2471" w14:textId="77777777" w:rsidR="006E51BF" w:rsidRPr="00107A72" w:rsidRDefault="006E51BF">
            <w:pPr>
              <w:pStyle w:val="ARfintabletextright8pt"/>
            </w:pPr>
          </w:p>
        </w:tc>
      </w:tr>
      <w:tr w:rsidR="006E51BF" w:rsidRPr="00107A72" w14:paraId="348ADD10"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2" w:type="pct"/>
            <w:tcBorders>
              <w:bottom w:val="single" w:sz="4" w:space="0" w:color="BFBFBF" w:themeColor="accent2"/>
            </w:tcBorders>
            <w:noWrap/>
            <w:hideMark/>
          </w:tcPr>
          <w:p w14:paraId="17DC8715" w14:textId="77777777" w:rsidR="006E51BF" w:rsidRPr="00107A72" w:rsidRDefault="006E51BF">
            <w:pPr>
              <w:pStyle w:val="ARfintabletext8pt"/>
            </w:pPr>
            <w:r w:rsidRPr="00107A72">
              <w:t>Changes in physical asset revaluation surplus</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0236DCB1" w14:textId="77777777" w:rsidR="006E51BF" w:rsidRPr="00107A72" w:rsidRDefault="006E51BF">
            <w:pPr>
              <w:pStyle w:val="ARfintabletextright8pt"/>
            </w:pPr>
            <w:r w:rsidRPr="00107A72">
              <w:t>(1.0)</w:t>
            </w:r>
          </w:p>
        </w:tc>
        <w:tc>
          <w:tcPr>
            <w:tcW w:w="292" w:type="pct"/>
            <w:tcBorders>
              <w:bottom w:val="single" w:sz="4" w:space="0" w:color="BFBFBF" w:themeColor="accent2"/>
            </w:tcBorders>
            <w:noWrap/>
            <w:tcMar>
              <w:right w:w="0" w:type="nil"/>
            </w:tcMar>
            <w:hideMark/>
          </w:tcPr>
          <w:p w14:paraId="0DBD1E49"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1.0</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2B3FA1E7"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4332DB0F"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110A9483"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5DF012B2"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5E0A1DD7"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45279F84"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1C1F5FB3"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7AA71A35"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77A56EB1"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20947DDB"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43.3</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7BACF047" w14:textId="77777777" w:rsidR="006E51BF" w:rsidRPr="00107A72" w:rsidRDefault="006E51BF">
            <w:pPr>
              <w:pStyle w:val="ARfintabletextright8pt"/>
            </w:pPr>
            <w:r w:rsidRPr="00107A72">
              <w:t>43.3</w:t>
            </w:r>
          </w:p>
        </w:tc>
      </w:tr>
      <w:tr w:rsidR="006E51BF" w:rsidRPr="00107A72" w14:paraId="50896D92"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2" w:type="pct"/>
            <w:tcBorders>
              <w:top w:val="single" w:sz="4" w:space="0" w:color="BFBFBF" w:themeColor="accent2"/>
              <w:bottom w:val="single" w:sz="4" w:space="0" w:color="000000" w:themeColor="text1"/>
            </w:tcBorders>
            <w:hideMark/>
          </w:tcPr>
          <w:p w14:paraId="4E4F7FA9" w14:textId="77777777" w:rsidR="006E51BF" w:rsidRPr="00107A72" w:rsidRDefault="006E51BF">
            <w:pPr>
              <w:pStyle w:val="ARfintabletext8pt"/>
            </w:pPr>
            <w:r w:rsidRPr="00107A72">
              <w:t>Remeasurement of superannuation defined benefit plans</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5AE14FDC"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10C1801E"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6A5CC687"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04391BC3"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1DEABED7"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51A7FE05"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34C8DD55"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18DFE5B7"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607C5D2B"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1E0F2399"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45D56A6A"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27604970"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0.7</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33EE1ADD" w14:textId="77777777" w:rsidR="006E51BF" w:rsidRPr="00107A72" w:rsidRDefault="006E51BF">
            <w:pPr>
              <w:pStyle w:val="ARfintabletextright8pt"/>
            </w:pPr>
            <w:r w:rsidRPr="00107A72">
              <w:t>0.7</w:t>
            </w:r>
          </w:p>
        </w:tc>
      </w:tr>
      <w:tr w:rsidR="006E51BF" w:rsidRPr="00107A72" w14:paraId="6447894E"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2" w:type="pct"/>
            <w:tcBorders>
              <w:top w:val="single" w:sz="4" w:space="0" w:color="000000" w:themeColor="text1"/>
              <w:bottom w:val="single" w:sz="4" w:space="0" w:color="000000" w:themeColor="text1"/>
            </w:tcBorders>
            <w:hideMark/>
          </w:tcPr>
          <w:p w14:paraId="433D5959" w14:textId="77777777" w:rsidR="006E51BF" w:rsidRPr="00107A72" w:rsidRDefault="006E51BF">
            <w:pPr>
              <w:pStyle w:val="ARfintabletextbold8pt"/>
            </w:pPr>
            <w:r w:rsidRPr="00107A72">
              <w:t xml:space="preserve">Total other economic flows </w:t>
            </w:r>
            <w:r w:rsidRPr="00B5533A">
              <w:rPr>
                <w:bCs/>
              </w:rPr>
              <w:t>–</w:t>
            </w:r>
            <w:r w:rsidRPr="00107A72">
              <w:t xml:space="preserve"> other</w:t>
            </w:r>
            <w:r>
              <w:t> </w:t>
            </w:r>
            <w:r w:rsidRPr="00107A72">
              <w:t>comprehensive income</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239986F9" w14:textId="77777777" w:rsidR="006E51BF" w:rsidRPr="00107A72" w:rsidRDefault="006E51BF">
            <w:pPr>
              <w:pStyle w:val="ARfintabletextboldright8pt"/>
            </w:pPr>
            <w:r w:rsidRPr="00107A72">
              <w:t>(1.0)</w:t>
            </w:r>
          </w:p>
        </w:tc>
        <w:tc>
          <w:tcPr>
            <w:tcW w:w="292" w:type="pct"/>
            <w:tcBorders>
              <w:top w:val="single" w:sz="4" w:space="0" w:color="000000" w:themeColor="text1"/>
              <w:bottom w:val="single" w:sz="4" w:space="0" w:color="000000" w:themeColor="text1"/>
            </w:tcBorders>
            <w:noWrap/>
            <w:tcMar>
              <w:right w:w="0" w:type="nil"/>
            </w:tcMar>
            <w:hideMark/>
          </w:tcPr>
          <w:p w14:paraId="53DBB78D"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1.0</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2F1D85CC" w14:textId="77777777" w:rsidR="006E51BF" w:rsidRPr="00107A72" w:rsidRDefault="006E51BF">
            <w:pPr>
              <w:pStyle w:val="ARfintabletextboldright8pt"/>
            </w:pPr>
            <w:r w:rsidRPr="00107A72">
              <w:t>–</w:t>
            </w:r>
          </w:p>
        </w:tc>
        <w:tc>
          <w:tcPr>
            <w:tcW w:w="292" w:type="pct"/>
            <w:tcBorders>
              <w:top w:val="single" w:sz="4" w:space="0" w:color="000000" w:themeColor="text1"/>
              <w:bottom w:val="single" w:sz="4" w:space="0" w:color="000000" w:themeColor="text1"/>
            </w:tcBorders>
            <w:noWrap/>
            <w:tcMar>
              <w:right w:w="0" w:type="nil"/>
            </w:tcMar>
            <w:hideMark/>
          </w:tcPr>
          <w:p w14:paraId="1AA2BA54"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6FD2EC79" w14:textId="77777777" w:rsidR="006E51BF" w:rsidRPr="00107A72" w:rsidRDefault="006E51BF">
            <w:pPr>
              <w:pStyle w:val="ARfintabletextboldright8pt"/>
            </w:pPr>
            <w:r w:rsidRPr="00107A72">
              <w:t>–</w:t>
            </w:r>
          </w:p>
        </w:tc>
        <w:tc>
          <w:tcPr>
            <w:tcW w:w="292" w:type="pct"/>
            <w:tcBorders>
              <w:top w:val="single" w:sz="4" w:space="0" w:color="000000" w:themeColor="text1"/>
              <w:bottom w:val="single" w:sz="4" w:space="0" w:color="000000" w:themeColor="text1"/>
            </w:tcBorders>
            <w:noWrap/>
            <w:tcMar>
              <w:right w:w="0" w:type="nil"/>
            </w:tcMar>
            <w:hideMark/>
          </w:tcPr>
          <w:p w14:paraId="09C6D47F"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2BD2CD67" w14:textId="77777777" w:rsidR="006E51BF" w:rsidRPr="00107A72" w:rsidRDefault="006E51BF">
            <w:pPr>
              <w:pStyle w:val="ARfintabletextboldright8pt"/>
            </w:pPr>
            <w:r w:rsidRPr="00107A72">
              <w:t>–</w:t>
            </w:r>
          </w:p>
        </w:tc>
        <w:tc>
          <w:tcPr>
            <w:tcW w:w="292" w:type="pct"/>
            <w:tcBorders>
              <w:top w:val="single" w:sz="4" w:space="0" w:color="000000" w:themeColor="text1"/>
              <w:bottom w:val="single" w:sz="4" w:space="0" w:color="000000" w:themeColor="text1"/>
            </w:tcBorders>
            <w:noWrap/>
            <w:tcMar>
              <w:right w:w="0" w:type="nil"/>
            </w:tcMar>
            <w:hideMark/>
          </w:tcPr>
          <w:p w14:paraId="511EA3E9"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1F830407" w14:textId="77777777" w:rsidR="006E51BF" w:rsidRPr="00107A72" w:rsidRDefault="006E51BF">
            <w:pPr>
              <w:pStyle w:val="ARfintabletextboldright8pt"/>
            </w:pPr>
            <w:r w:rsidRPr="00107A72">
              <w:t>–</w:t>
            </w:r>
          </w:p>
        </w:tc>
        <w:tc>
          <w:tcPr>
            <w:tcW w:w="292" w:type="pct"/>
            <w:tcBorders>
              <w:top w:val="single" w:sz="4" w:space="0" w:color="000000" w:themeColor="text1"/>
              <w:bottom w:val="single" w:sz="4" w:space="0" w:color="000000" w:themeColor="text1"/>
            </w:tcBorders>
            <w:noWrap/>
            <w:tcMar>
              <w:right w:w="0" w:type="nil"/>
            </w:tcMar>
            <w:hideMark/>
          </w:tcPr>
          <w:p w14:paraId="003E46FB"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7035B4C4" w14:textId="77777777" w:rsidR="006E51BF" w:rsidRPr="00107A72" w:rsidRDefault="006E51BF">
            <w:pPr>
              <w:pStyle w:val="ARfintabletextboldright8pt"/>
            </w:pPr>
            <w:r w:rsidRPr="00107A72">
              <w:t>–</w:t>
            </w:r>
          </w:p>
        </w:tc>
        <w:tc>
          <w:tcPr>
            <w:tcW w:w="292" w:type="pct"/>
            <w:tcBorders>
              <w:top w:val="single" w:sz="4" w:space="0" w:color="000000" w:themeColor="text1"/>
              <w:bottom w:val="single" w:sz="4" w:space="0" w:color="000000" w:themeColor="text1"/>
            </w:tcBorders>
            <w:noWrap/>
            <w:tcMar>
              <w:right w:w="0" w:type="nil"/>
            </w:tcMar>
            <w:hideMark/>
          </w:tcPr>
          <w:p w14:paraId="5764BC23"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44.0</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4E927962" w14:textId="77777777" w:rsidR="006E51BF" w:rsidRPr="00107A72" w:rsidRDefault="006E51BF">
            <w:pPr>
              <w:pStyle w:val="ARfintabletextboldright8pt"/>
            </w:pPr>
            <w:r w:rsidRPr="00107A72">
              <w:t>44.0</w:t>
            </w:r>
          </w:p>
        </w:tc>
      </w:tr>
      <w:tr w:rsidR="006E51BF" w:rsidRPr="00107A72" w14:paraId="418B6028" w14:textId="77777777" w:rsidTr="00785A35">
        <w:trPr>
          <w:cnfStyle w:val="010000000000" w:firstRow="0" w:lastRow="1" w:firstColumn="0" w:lastColumn="0" w:oddVBand="0" w:evenVBand="0" w:oddHBand="0" w:evenHBand="0" w:firstRowFirstColumn="0" w:firstRowLastColumn="0" w:lastRowFirstColumn="0" w:lastRowLastColumn="0"/>
          <w:trHeight w:val="20"/>
        </w:trPr>
        <w:tc>
          <w:tcPr>
            <w:tcW w:w="1202" w:type="pct"/>
            <w:noWrap/>
            <w:hideMark/>
          </w:tcPr>
          <w:p w14:paraId="276B53F9" w14:textId="77777777" w:rsidR="006E51BF" w:rsidRPr="00107A72" w:rsidRDefault="006E51BF">
            <w:pPr>
              <w:pStyle w:val="ARfintabletextbold8pt"/>
            </w:pPr>
            <w:r w:rsidRPr="00107A72">
              <w:t>Comprehensive result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B813ABE" w14:textId="77777777" w:rsidR="006E51BF" w:rsidRPr="00107A72" w:rsidRDefault="006E51BF">
            <w:pPr>
              <w:pStyle w:val="ARfintabletextboldright8pt"/>
            </w:pPr>
            <w:r w:rsidRPr="00107A72">
              <w:t>(0.1)</w:t>
            </w:r>
          </w:p>
        </w:tc>
        <w:tc>
          <w:tcPr>
            <w:tcW w:w="292" w:type="pct"/>
            <w:noWrap/>
            <w:tcMar>
              <w:right w:w="0" w:type="nil"/>
            </w:tcMar>
            <w:hideMark/>
          </w:tcPr>
          <w:p w14:paraId="07B76936" w14:textId="77777777" w:rsidR="006E51BF" w:rsidRPr="00107A72"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107A72">
              <w:t>(24.1)</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224BFC75" w14:textId="77777777" w:rsidR="006E51BF" w:rsidRPr="00107A72" w:rsidRDefault="006E51BF">
            <w:pPr>
              <w:pStyle w:val="ARfintabletextboldright8pt"/>
            </w:pPr>
            <w:r w:rsidRPr="00327603">
              <w:t>–</w:t>
            </w:r>
          </w:p>
        </w:tc>
        <w:tc>
          <w:tcPr>
            <w:tcW w:w="292" w:type="pct"/>
            <w:noWrap/>
            <w:tcMar>
              <w:right w:w="0" w:type="nil"/>
            </w:tcMar>
            <w:hideMark/>
          </w:tcPr>
          <w:p w14:paraId="5820E50D" w14:textId="77777777" w:rsidR="006E51BF" w:rsidRPr="00107A72"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107A72">
              <w:t>15.1</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010007AE" w14:textId="77777777" w:rsidR="006E51BF" w:rsidRPr="00107A72" w:rsidRDefault="006E51BF">
            <w:pPr>
              <w:pStyle w:val="ARfintabletextboldright8pt"/>
            </w:pPr>
            <w:r w:rsidRPr="00327603">
              <w:t>–</w:t>
            </w:r>
          </w:p>
        </w:tc>
        <w:tc>
          <w:tcPr>
            <w:tcW w:w="292" w:type="pct"/>
            <w:noWrap/>
            <w:tcMar>
              <w:right w:w="0" w:type="nil"/>
            </w:tcMar>
            <w:hideMark/>
          </w:tcPr>
          <w:p w14:paraId="79335D86" w14:textId="77777777" w:rsidR="006E51BF" w:rsidRPr="00107A72"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327603">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4297CA2D" w14:textId="77777777" w:rsidR="006E51BF" w:rsidRPr="00107A72" w:rsidRDefault="006E51BF">
            <w:pPr>
              <w:pStyle w:val="ARfintabletextboldright8pt"/>
            </w:pPr>
            <w:r w:rsidRPr="00327603">
              <w:t>–</w:t>
            </w:r>
          </w:p>
        </w:tc>
        <w:tc>
          <w:tcPr>
            <w:tcW w:w="292" w:type="pct"/>
            <w:noWrap/>
            <w:tcMar>
              <w:right w:w="0" w:type="nil"/>
            </w:tcMar>
            <w:hideMark/>
          </w:tcPr>
          <w:p w14:paraId="54340653" w14:textId="77777777" w:rsidR="006E51BF" w:rsidRPr="00107A72"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327603">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6AE38028" w14:textId="77777777" w:rsidR="006E51BF" w:rsidRPr="00107A72" w:rsidRDefault="006E51BF">
            <w:pPr>
              <w:pStyle w:val="ARfintabletextboldright8pt"/>
            </w:pPr>
            <w:r w:rsidRPr="00327603">
              <w:t>–</w:t>
            </w:r>
          </w:p>
        </w:tc>
        <w:tc>
          <w:tcPr>
            <w:tcW w:w="292" w:type="pct"/>
            <w:noWrap/>
            <w:tcMar>
              <w:right w:w="0" w:type="nil"/>
            </w:tcMar>
            <w:hideMark/>
          </w:tcPr>
          <w:p w14:paraId="34B86EDA" w14:textId="77777777" w:rsidR="006E51BF" w:rsidRPr="00107A72"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327603">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22815F76" w14:textId="77777777" w:rsidR="006E51BF" w:rsidRPr="00107A72" w:rsidRDefault="006E51BF">
            <w:pPr>
              <w:pStyle w:val="ARfintabletextboldright8pt"/>
            </w:pPr>
            <w:r w:rsidRPr="00107A72">
              <w:t>(2.5)</w:t>
            </w:r>
          </w:p>
        </w:tc>
        <w:tc>
          <w:tcPr>
            <w:tcW w:w="292" w:type="pct"/>
            <w:noWrap/>
            <w:tcMar>
              <w:right w:w="0" w:type="nil"/>
            </w:tcMar>
            <w:hideMark/>
          </w:tcPr>
          <w:p w14:paraId="58380988" w14:textId="77777777" w:rsidR="006E51BF" w:rsidRPr="00107A72"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107A72">
              <w:t>(406.4)</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78D2942C" w14:textId="77777777" w:rsidR="006E51BF" w:rsidRPr="00107A72" w:rsidRDefault="006E51BF">
            <w:pPr>
              <w:pStyle w:val="ARfintabletextboldright8pt"/>
            </w:pPr>
            <w:r w:rsidRPr="00107A72">
              <w:t>(418.1)</w:t>
            </w:r>
          </w:p>
        </w:tc>
      </w:tr>
    </w:tbl>
    <w:p w14:paraId="1AF4C842" w14:textId="77777777" w:rsidR="006E51BF" w:rsidRPr="00107A72" w:rsidRDefault="006E51BF">
      <w:pPr>
        <w:pStyle w:val="ARfintablenote"/>
      </w:pPr>
      <w:r w:rsidRPr="00107A72">
        <w:t>Note:</w:t>
      </w:r>
    </w:p>
    <w:p w14:paraId="3BB34AC4" w14:textId="77777777" w:rsidR="006E51BF" w:rsidRPr="00E5156B" w:rsidRDefault="006E51BF" w:rsidP="006E51BF">
      <w:pPr>
        <w:pStyle w:val="ARfintablenoteroman"/>
        <w:numPr>
          <w:ilvl w:val="0"/>
          <w:numId w:val="58"/>
        </w:numPr>
        <w:spacing w:after="0" w:line="240" w:lineRule="auto"/>
      </w:pPr>
      <w:r w:rsidRPr="00107A72">
        <w:t>Refer to Note 4.1.1 for output definitions.</w:t>
      </w:r>
      <w:r>
        <w:br w:type="page"/>
      </w:r>
    </w:p>
    <w:tbl>
      <w:tblPr>
        <w:tblStyle w:val="ARtable1"/>
        <w:tblW w:w="5000" w:type="pct"/>
        <w:tblLook w:val="00E0" w:firstRow="1" w:lastRow="1" w:firstColumn="1" w:lastColumn="0" w:noHBand="0" w:noVBand="0"/>
      </w:tblPr>
      <w:tblGrid>
        <w:gridCol w:w="3709"/>
        <w:gridCol w:w="834"/>
        <w:gridCol w:w="834"/>
        <w:gridCol w:w="834"/>
        <w:gridCol w:w="834"/>
        <w:gridCol w:w="835"/>
        <w:gridCol w:w="835"/>
        <w:gridCol w:w="835"/>
        <w:gridCol w:w="835"/>
        <w:gridCol w:w="835"/>
        <w:gridCol w:w="835"/>
        <w:gridCol w:w="835"/>
        <w:gridCol w:w="835"/>
        <w:gridCol w:w="835"/>
      </w:tblGrid>
      <w:tr w:rsidR="006E51BF" w:rsidRPr="00107A72" w14:paraId="0606A733" w14:textId="77777777" w:rsidTr="00785A35">
        <w:trPr>
          <w:cnfStyle w:val="100000000000" w:firstRow="1" w:lastRow="0" w:firstColumn="0" w:lastColumn="0" w:oddVBand="0" w:evenVBand="0" w:oddHBand="0" w:evenHBand="0" w:firstRowFirstColumn="0" w:firstRowLastColumn="0" w:lastRowFirstColumn="0" w:lastRowLastColumn="0"/>
          <w:trHeight w:val="20"/>
          <w:tblHeader/>
        </w:trPr>
        <w:tc>
          <w:tcPr>
            <w:tcW w:w="1200" w:type="pct"/>
            <w:noWrap/>
            <w:hideMark/>
          </w:tcPr>
          <w:p w14:paraId="68482348" w14:textId="77777777" w:rsidR="006E51BF" w:rsidRPr="00107A72" w:rsidRDefault="006E51BF">
            <w:pPr>
              <w:pStyle w:val="ARfintablecolheadpt8"/>
            </w:pPr>
            <w:r w:rsidRPr="00107A72">
              <w:t xml:space="preserve">Output </w:t>
            </w:r>
            <w:r w:rsidRPr="00B5533A">
              <w:rPr>
                <w:vertAlign w:val="superscript"/>
              </w:rPr>
              <w:t>(</w:t>
            </w:r>
            <w:proofErr w:type="spellStart"/>
            <w:r w:rsidRPr="00B5533A">
              <w:rPr>
                <w:vertAlign w:val="superscript"/>
              </w:rPr>
              <w:t>i</w:t>
            </w:r>
            <w:proofErr w:type="spellEnd"/>
            <w:r w:rsidRPr="00B5533A">
              <w:rPr>
                <w:vertAlign w:val="superscript"/>
              </w:rPr>
              <w:t>)</w:t>
            </w:r>
          </w:p>
          <w:p w14:paraId="327E7871" w14:textId="77777777" w:rsidR="006E51BF" w:rsidRPr="00107A72" w:rsidRDefault="006E51BF">
            <w:pPr>
              <w:pStyle w:val="ARfintablecolheadpt8"/>
            </w:pPr>
            <w:r w:rsidRPr="00107A72">
              <w:t>2025</w:t>
            </w:r>
          </w:p>
        </w:tc>
        <w:tc>
          <w:tcPr>
            <w:cnfStyle w:val="000001000000" w:firstRow="0" w:lastRow="0" w:firstColumn="0" w:lastColumn="0" w:oddVBand="0" w:evenVBand="1" w:oddHBand="0" w:evenHBand="0" w:firstRowFirstColumn="0" w:firstRowLastColumn="0" w:lastRowFirstColumn="0" w:lastRowLastColumn="0"/>
            <w:tcW w:w="292" w:type="pct"/>
            <w:tcMar>
              <w:right w:w="0" w:type="nil"/>
            </w:tcMar>
            <w:hideMark/>
          </w:tcPr>
          <w:p w14:paraId="38DF677C" w14:textId="77777777" w:rsidR="006E51BF" w:rsidRPr="00107A72" w:rsidRDefault="006E51BF">
            <w:pPr>
              <w:pStyle w:val="ARfintablecolheadright8pt"/>
            </w:pPr>
            <w:r w:rsidRPr="00107A72">
              <w:t>1</w:t>
            </w:r>
          </w:p>
          <w:p w14:paraId="6D91D11E" w14:textId="77777777" w:rsidR="006E51BF" w:rsidRPr="00107A72" w:rsidRDefault="006E51BF">
            <w:pPr>
              <w:pStyle w:val="ARfintablecolheadright8pt"/>
            </w:pPr>
            <w:r w:rsidRPr="00107A72">
              <w:t>$M</w:t>
            </w:r>
          </w:p>
        </w:tc>
        <w:tc>
          <w:tcPr>
            <w:tcW w:w="292" w:type="pct"/>
            <w:tcMar>
              <w:right w:w="0" w:type="nil"/>
            </w:tcMar>
            <w:hideMark/>
          </w:tcPr>
          <w:p w14:paraId="0E105A45"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2</w:t>
            </w:r>
          </w:p>
          <w:p w14:paraId="2463D1F9"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$M</w:t>
            </w:r>
          </w:p>
        </w:tc>
        <w:tc>
          <w:tcPr>
            <w:cnfStyle w:val="000001000000" w:firstRow="0" w:lastRow="0" w:firstColumn="0" w:lastColumn="0" w:oddVBand="0" w:evenVBand="1" w:oddHBand="0" w:evenHBand="0" w:firstRowFirstColumn="0" w:firstRowLastColumn="0" w:lastRowFirstColumn="0" w:lastRowLastColumn="0"/>
            <w:tcW w:w="292" w:type="pct"/>
            <w:tcMar>
              <w:right w:w="0" w:type="nil"/>
            </w:tcMar>
            <w:hideMark/>
          </w:tcPr>
          <w:p w14:paraId="247B0D2F" w14:textId="77777777" w:rsidR="006E51BF" w:rsidRPr="00107A72" w:rsidRDefault="006E51BF">
            <w:pPr>
              <w:pStyle w:val="ARfintablecolheadright8pt"/>
            </w:pPr>
            <w:r w:rsidRPr="00107A72">
              <w:t>3</w:t>
            </w:r>
          </w:p>
          <w:p w14:paraId="1FB581BE" w14:textId="77777777" w:rsidR="006E51BF" w:rsidRPr="00107A72" w:rsidRDefault="006E51BF">
            <w:pPr>
              <w:pStyle w:val="ARfintablecolheadright8pt"/>
            </w:pPr>
            <w:r w:rsidRPr="00107A72">
              <w:t>$M</w:t>
            </w:r>
          </w:p>
        </w:tc>
        <w:tc>
          <w:tcPr>
            <w:tcW w:w="292" w:type="pct"/>
            <w:tcMar>
              <w:right w:w="0" w:type="nil"/>
            </w:tcMar>
            <w:hideMark/>
          </w:tcPr>
          <w:p w14:paraId="113F1C4F"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4</w:t>
            </w:r>
          </w:p>
          <w:p w14:paraId="3D2DC4B6"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$M</w:t>
            </w:r>
          </w:p>
        </w:tc>
        <w:tc>
          <w:tcPr>
            <w:cnfStyle w:val="000001000000" w:firstRow="0" w:lastRow="0" w:firstColumn="0" w:lastColumn="0" w:oddVBand="0" w:evenVBand="1" w:oddHBand="0" w:evenHBand="0" w:firstRowFirstColumn="0" w:firstRowLastColumn="0" w:lastRowFirstColumn="0" w:lastRowLastColumn="0"/>
            <w:tcW w:w="292" w:type="pct"/>
            <w:tcMar>
              <w:right w:w="0" w:type="nil"/>
            </w:tcMar>
            <w:hideMark/>
          </w:tcPr>
          <w:p w14:paraId="1FE054EF" w14:textId="77777777" w:rsidR="006E51BF" w:rsidRPr="00107A72" w:rsidRDefault="006E51BF">
            <w:pPr>
              <w:pStyle w:val="ARfintablecolheadright8pt"/>
            </w:pPr>
            <w:r w:rsidRPr="00107A72">
              <w:t>5</w:t>
            </w:r>
          </w:p>
          <w:p w14:paraId="7C270DFE" w14:textId="77777777" w:rsidR="006E51BF" w:rsidRPr="00107A72" w:rsidRDefault="006E51BF">
            <w:pPr>
              <w:pStyle w:val="ARfintablecolheadright8pt"/>
            </w:pPr>
            <w:r w:rsidRPr="00107A72">
              <w:t>$M</w:t>
            </w:r>
          </w:p>
        </w:tc>
        <w:tc>
          <w:tcPr>
            <w:tcW w:w="292" w:type="pct"/>
            <w:tcMar>
              <w:right w:w="0" w:type="nil"/>
            </w:tcMar>
            <w:hideMark/>
          </w:tcPr>
          <w:p w14:paraId="0150B9D2"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6</w:t>
            </w:r>
          </w:p>
          <w:p w14:paraId="10F55A2D"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$M</w:t>
            </w:r>
          </w:p>
        </w:tc>
        <w:tc>
          <w:tcPr>
            <w:cnfStyle w:val="000001000000" w:firstRow="0" w:lastRow="0" w:firstColumn="0" w:lastColumn="0" w:oddVBand="0" w:evenVBand="1" w:oddHBand="0" w:evenHBand="0" w:firstRowFirstColumn="0" w:firstRowLastColumn="0" w:lastRowFirstColumn="0" w:lastRowLastColumn="0"/>
            <w:tcW w:w="292" w:type="pct"/>
            <w:tcMar>
              <w:right w:w="0" w:type="nil"/>
            </w:tcMar>
            <w:hideMark/>
          </w:tcPr>
          <w:p w14:paraId="2F911C42" w14:textId="77777777" w:rsidR="006E51BF" w:rsidRPr="00107A72" w:rsidRDefault="006E51BF">
            <w:pPr>
              <w:pStyle w:val="ARfintablecolheadright8pt"/>
            </w:pPr>
            <w:r w:rsidRPr="00107A72">
              <w:t>7</w:t>
            </w:r>
          </w:p>
          <w:p w14:paraId="6CF5DFE3" w14:textId="77777777" w:rsidR="006E51BF" w:rsidRPr="00107A72" w:rsidRDefault="006E51BF">
            <w:pPr>
              <w:pStyle w:val="ARfintablecolheadright8pt"/>
            </w:pPr>
            <w:r w:rsidRPr="00107A72">
              <w:t>$M</w:t>
            </w:r>
          </w:p>
        </w:tc>
        <w:tc>
          <w:tcPr>
            <w:tcW w:w="292" w:type="pct"/>
            <w:tcMar>
              <w:right w:w="0" w:type="nil"/>
            </w:tcMar>
            <w:hideMark/>
          </w:tcPr>
          <w:p w14:paraId="2F9AE9BC"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8</w:t>
            </w:r>
          </w:p>
          <w:p w14:paraId="6505A07F"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$M</w:t>
            </w:r>
          </w:p>
        </w:tc>
        <w:tc>
          <w:tcPr>
            <w:cnfStyle w:val="000001000000" w:firstRow="0" w:lastRow="0" w:firstColumn="0" w:lastColumn="0" w:oddVBand="0" w:evenVBand="1" w:oddHBand="0" w:evenHBand="0" w:firstRowFirstColumn="0" w:firstRowLastColumn="0" w:lastRowFirstColumn="0" w:lastRowLastColumn="0"/>
            <w:tcW w:w="292" w:type="pct"/>
            <w:tcMar>
              <w:right w:w="0" w:type="nil"/>
            </w:tcMar>
            <w:hideMark/>
          </w:tcPr>
          <w:p w14:paraId="23EB01C1" w14:textId="77777777" w:rsidR="006E51BF" w:rsidRPr="00107A72" w:rsidRDefault="006E51BF">
            <w:pPr>
              <w:pStyle w:val="ARfintablecolheadright8pt"/>
            </w:pPr>
            <w:r w:rsidRPr="00107A72">
              <w:t>9</w:t>
            </w:r>
          </w:p>
          <w:p w14:paraId="09AF05E2" w14:textId="77777777" w:rsidR="006E51BF" w:rsidRPr="00107A72" w:rsidRDefault="006E51BF">
            <w:pPr>
              <w:pStyle w:val="ARfintablecolheadright8pt"/>
            </w:pPr>
            <w:r w:rsidRPr="00107A72">
              <w:t>$M</w:t>
            </w:r>
          </w:p>
        </w:tc>
        <w:tc>
          <w:tcPr>
            <w:tcW w:w="292" w:type="pct"/>
            <w:tcMar>
              <w:right w:w="0" w:type="nil"/>
            </w:tcMar>
            <w:hideMark/>
          </w:tcPr>
          <w:p w14:paraId="1A816E7E"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10</w:t>
            </w:r>
          </w:p>
          <w:p w14:paraId="7278A4DF"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$M</w:t>
            </w:r>
          </w:p>
        </w:tc>
        <w:tc>
          <w:tcPr>
            <w:cnfStyle w:val="000001000000" w:firstRow="0" w:lastRow="0" w:firstColumn="0" w:lastColumn="0" w:oddVBand="0" w:evenVBand="1" w:oddHBand="0" w:evenHBand="0" w:firstRowFirstColumn="0" w:firstRowLastColumn="0" w:lastRowFirstColumn="0" w:lastRowLastColumn="0"/>
            <w:tcW w:w="292" w:type="pct"/>
            <w:tcMar>
              <w:right w:w="0" w:type="nil"/>
            </w:tcMar>
            <w:hideMark/>
          </w:tcPr>
          <w:p w14:paraId="1959FBB2" w14:textId="77777777" w:rsidR="006E51BF" w:rsidRPr="00107A72" w:rsidRDefault="006E51BF">
            <w:pPr>
              <w:pStyle w:val="ARfintablecolheadright8pt"/>
            </w:pPr>
            <w:r w:rsidRPr="00107A72">
              <w:t>11</w:t>
            </w:r>
          </w:p>
          <w:p w14:paraId="2C1998BB" w14:textId="77777777" w:rsidR="006E51BF" w:rsidRPr="00107A72" w:rsidRDefault="006E51BF">
            <w:pPr>
              <w:pStyle w:val="ARfintablecolheadright8pt"/>
            </w:pPr>
            <w:r w:rsidRPr="00107A72">
              <w:t>$M</w:t>
            </w:r>
          </w:p>
        </w:tc>
        <w:tc>
          <w:tcPr>
            <w:tcW w:w="292" w:type="pct"/>
            <w:tcMar>
              <w:right w:w="0" w:type="nil"/>
            </w:tcMar>
            <w:hideMark/>
          </w:tcPr>
          <w:p w14:paraId="6D051932"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12</w:t>
            </w:r>
          </w:p>
          <w:p w14:paraId="77A47624" w14:textId="77777777" w:rsidR="006E51BF" w:rsidRPr="00107A72"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107A72">
              <w:t>$M</w:t>
            </w:r>
          </w:p>
        </w:tc>
        <w:tc>
          <w:tcPr>
            <w:cnfStyle w:val="000001000000" w:firstRow="0" w:lastRow="0" w:firstColumn="0" w:lastColumn="0" w:oddVBand="0" w:evenVBand="1" w:oddHBand="0" w:evenHBand="0" w:firstRowFirstColumn="0" w:firstRowLastColumn="0" w:lastRowFirstColumn="0" w:lastRowLastColumn="0"/>
            <w:tcW w:w="292" w:type="pct"/>
            <w:tcMar>
              <w:right w:w="0" w:type="nil"/>
            </w:tcMar>
            <w:hideMark/>
          </w:tcPr>
          <w:p w14:paraId="7B554154" w14:textId="77777777" w:rsidR="006E51BF" w:rsidRPr="00107A72" w:rsidRDefault="006E51BF">
            <w:pPr>
              <w:pStyle w:val="ARfintablecolheadright8pt"/>
            </w:pPr>
            <w:r w:rsidRPr="00107A72">
              <w:t>Total</w:t>
            </w:r>
          </w:p>
          <w:p w14:paraId="10B83645" w14:textId="77777777" w:rsidR="006E51BF" w:rsidRPr="00107A72" w:rsidRDefault="006E51BF">
            <w:pPr>
              <w:pStyle w:val="ARfintablecolheadright8pt"/>
            </w:pPr>
            <w:r w:rsidRPr="00107A72">
              <w:t>$M</w:t>
            </w:r>
          </w:p>
        </w:tc>
      </w:tr>
      <w:tr w:rsidR="006E51BF" w:rsidRPr="00107A72" w14:paraId="36BCD7AD"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0" w:type="pct"/>
            <w:noWrap/>
          </w:tcPr>
          <w:p w14:paraId="4848F07F" w14:textId="77777777" w:rsidR="006E51BF" w:rsidRPr="00107A72" w:rsidRDefault="006E51BF">
            <w:pPr>
              <w:pStyle w:val="Arfintabletextboldcoloured8pt"/>
            </w:pPr>
            <w:r w:rsidRPr="00107A72">
              <w:t>Total revenue and income from transactions</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tcPr>
          <w:p w14:paraId="313F0EFB" w14:textId="77777777" w:rsidR="006E51BF" w:rsidRPr="00107A72" w:rsidRDefault="006E51BF">
            <w:pPr>
              <w:pStyle w:val="ARfintabletextright8pt"/>
            </w:pPr>
          </w:p>
        </w:tc>
        <w:tc>
          <w:tcPr>
            <w:tcW w:w="292" w:type="pct"/>
            <w:noWrap/>
            <w:tcMar>
              <w:right w:w="0" w:type="nil"/>
            </w:tcMar>
          </w:tcPr>
          <w:p w14:paraId="5B2E7AAA"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tcPr>
          <w:p w14:paraId="2124B08A" w14:textId="77777777" w:rsidR="006E51BF" w:rsidRPr="00107A72" w:rsidRDefault="006E51BF">
            <w:pPr>
              <w:pStyle w:val="ARfintabletextright8pt"/>
            </w:pPr>
          </w:p>
        </w:tc>
        <w:tc>
          <w:tcPr>
            <w:tcW w:w="292" w:type="pct"/>
            <w:noWrap/>
            <w:tcMar>
              <w:right w:w="0" w:type="nil"/>
            </w:tcMar>
          </w:tcPr>
          <w:p w14:paraId="17955D60"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tcPr>
          <w:p w14:paraId="582BEB0A" w14:textId="77777777" w:rsidR="006E51BF" w:rsidRPr="00107A72" w:rsidRDefault="006E51BF">
            <w:pPr>
              <w:pStyle w:val="ARfintabletextright8pt"/>
            </w:pPr>
          </w:p>
        </w:tc>
        <w:tc>
          <w:tcPr>
            <w:tcW w:w="292" w:type="pct"/>
            <w:noWrap/>
            <w:tcMar>
              <w:right w:w="0" w:type="nil"/>
            </w:tcMar>
          </w:tcPr>
          <w:p w14:paraId="27E4BD32"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tcPr>
          <w:p w14:paraId="0D3AE37C" w14:textId="77777777" w:rsidR="006E51BF" w:rsidRPr="00107A72" w:rsidRDefault="006E51BF">
            <w:pPr>
              <w:pStyle w:val="ARfintabletextright8pt"/>
            </w:pPr>
          </w:p>
        </w:tc>
        <w:tc>
          <w:tcPr>
            <w:tcW w:w="292" w:type="pct"/>
            <w:noWrap/>
            <w:tcMar>
              <w:right w:w="0" w:type="nil"/>
            </w:tcMar>
          </w:tcPr>
          <w:p w14:paraId="2735C7FE"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tcPr>
          <w:p w14:paraId="55461ABD" w14:textId="77777777" w:rsidR="006E51BF" w:rsidRPr="00107A72" w:rsidRDefault="006E51BF">
            <w:pPr>
              <w:pStyle w:val="ARfintabletextright8pt"/>
            </w:pPr>
          </w:p>
        </w:tc>
        <w:tc>
          <w:tcPr>
            <w:tcW w:w="292" w:type="pct"/>
            <w:noWrap/>
            <w:tcMar>
              <w:right w:w="0" w:type="nil"/>
            </w:tcMar>
          </w:tcPr>
          <w:p w14:paraId="7D7C98BA"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tcPr>
          <w:p w14:paraId="2FFC1022" w14:textId="77777777" w:rsidR="006E51BF" w:rsidRPr="00107A72" w:rsidRDefault="006E51BF">
            <w:pPr>
              <w:pStyle w:val="ARfintabletextright8pt"/>
            </w:pPr>
          </w:p>
        </w:tc>
        <w:tc>
          <w:tcPr>
            <w:tcW w:w="292" w:type="pct"/>
            <w:noWrap/>
            <w:tcMar>
              <w:right w:w="0" w:type="nil"/>
            </w:tcMar>
          </w:tcPr>
          <w:p w14:paraId="7403A5DD"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tcPr>
          <w:p w14:paraId="4AFF145C" w14:textId="77777777" w:rsidR="006E51BF" w:rsidRPr="00107A72" w:rsidRDefault="006E51BF">
            <w:pPr>
              <w:pStyle w:val="ARfintabletextright8pt"/>
            </w:pPr>
          </w:p>
        </w:tc>
      </w:tr>
      <w:tr w:rsidR="006E51BF" w:rsidRPr="00107A72" w14:paraId="2541C32D"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0" w:type="pct"/>
            <w:noWrap/>
            <w:hideMark/>
          </w:tcPr>
          <w:p w14:paraId="05AAE1EA" w14:textId="77777777" w:rsidR="006E51BF" w:rsidRPr="00787043" w:rsidRDefault="006E51BF">
            <w:pPr>
              <w:pStyle w:val="ARfintabletext8pt"/>
            </w:pPr>
            <w:r w:rsidRPr="00787043">
              <w:t>Output appropriations</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07A98E3A" w14:textId="77777777" w:rsidR="006E51BF" w:rsidRPr="00107A72" w:rsidRDefault="006E51BF">
            <w:pPr>
              <w:pStyle w:val="ARfintabletextright8pt"/>
            </w:pPr>
            <w:r w:rsidRPr="00107A72">
              <w:t>401.8</w:t>
            </w:r>
          </w:p>
        </w:tc>
        <w:tc>
          <w:tcPr>
            <w:tcW w:w="292" w:type="pct"/>
            <w:noWrap/>
            <w:tcMar>
              <w:right w:w="0" w:type="nil"/>
            </w:tcMar>
            <w:hideMark/>
          </w:tcPr>
          <w:p w14:paraId="0EC1EDBD"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2,375.9</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40CA14A5" w14:textId="77777777" w:rsidR="006E51BF" w:rsidRPr="00107A72" w:rsidRDefault="006E51BF">
            <w:pPr>
              <w:pStyle w:val="ARfintabletextright8pt"/>
            </w:pPr>
            <w:r w:rsidRPr="00107A72">
              <w:t>1,763.3</w:t>
            </w:r>
          </w:p>
        </w:tc>
        <w:tc>
          <w:tcPr>
            <w:tcW w:w="292" w:type="pct"/>
            <w:noWrap/>
            <w:tcMar>
              <w:right w:w="0" w:type="nil"/>
            </w:tcMar>
            <w:hideMark/>
          </w:tcPr>
          <w:p w14:paraId="2386E57F"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64.2</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091EEDAA" w14:textId="77777777" w:rsidR="006E51BF" w:rsidRPr="00107A72" w:rsidRDefault="006E51BF">
            <w:pPr>
              <w:pStyle w:val="ARfintabletextright8pt"/>
            </w:pPr>
            <w:r w:rsidRPr="00107A72">
              <w:t>64.4</w:t>
            </w:r>
          </w:p>
        </w:tc>
        <w:tc>
          <w:tcPr>
            <w:tcW w:w="292" w:type="pct"/>
            <w:noWrap/>
            <w:tcMar>
              <w:right w:w="0" w:type="nil"/>
            </w:tcMar>
            <w:hideMark/>
          </w:tcPr>
          <w:p w14:paraId="029052E7"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8.7</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75C9079C" w14:textId="77777777" w:rsidR="006E51BF" w:rsidRPr="00107A72" w:rsidRDefault="006E51BF">
            <w:pPr>
              <w:pStyle w:val="ARfintabletextright8pt"/>
            </w:pPr>
            <w:r w:rsidRPr="00107A72">
              <w:t>11.5</w:t>
            </w:r>
          </w:p>
        </w:tc>
        <w:tc>
          <w:tcPr>
            <w:tcW w:w="292" w:type="pct"/>
            <w:noWrap/>
            <w:tcMar>
              <w:right w:w="0" w:type="nil"/>
            </w:tcMar>
            <w:hideMark/>
          </w:tcPr>
          <w:p w14:paraId="3C35E582"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23.4</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7AB2841D" w14:textId="77777777" w:rsidR="006E51BF" w:rsidRPr="00107A72" w:rsidRDefault="006E51BF">
            <w:pPr>
              <w:pStyle w:val="ARfintabletextright8pt"/>
            </w:pPr>
            <w:r w:rsidRPr="00107A72">
              <w:t>25.7</w:t>
            </w:r>
          </w:p>
        </w:tc>
        <w:tc>
          <w:tcPr>
            <w:tcW w:w="292" w:type="pct"/>
            <w:noWrap/>
            <w:tcMar>
              <w:right w:w="0" w:type="nil"/>
            </w:tcMar>
            <w:hideMark/>
          </w:tcPr>
          <w:p w14:paraId="2D834F36"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30.7</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21829C11" w14:textId="77777777" w:rsidR="006E51BF" w:rsidRPr="00107A72" w:rsidRDefault="006E51BF">
            <w:pPr>
              <w:pStyle w:val="ARfintabletextright8pt"/>
            </w:pPr>
            <w:r w:rsidRPr="00107A72">
              <w:t>754.4</w:t>
            </w:r>
          </w:p>
        </w:tc>
        <w:tc>
          <w:tcPr>
            <w:tcW w:w="292" w:type="pct"/>
            <w:noWrap/>
            <w:tcMar>
              <w:right w:w="0" w:type="nil"/>
            </w:tcMar>
            <w:hideMark/>
          </w:tcPr>
          <w:p w14:paraId="2AA9FCA9"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783.2</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64EB9FB" w14:textId="77777777" w:rsidR="006E51BF" w:rsidRPr="00107A72" w:rsidRDefault="006E51BF">
            <w:pPr>
              <w:pStyle w:val="ARfintabletextright8pt"/>
            </w:pPr>
            <w:r w:rsidRPr="00107A72">
              <w:t>6,307.1</w:t>
            </w:r>
          </w:p>
        </w:tc>
      </w:tr>
      <w:tr w:rsidR="006E51BF" w:rsidRPr="00107A72" w14:paraId="2257626C"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0" w:type="pct"/>
            <w:noWrap/>
            <w:hideMark/>
          </w:tcPr>
          <w:p w14:paraId="66E96BE3" w14:textId="77777777" w:rsidR="006E51BF" w:rsidRPr="00787043" w:rsidRDefault="006E51BF">
            <w:pPr>
              <w:pStyle w:val="ARfintabletext8pt"/>
            </w:pPr>
            <w:r w:rsidRPr="00787043">
              <w:t>Special appropriations</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23DCDBCD" w14:textId="77777777" w:rsidR="006E51BF" w:rsidRPr="00107A72" w:rsidRDefault="006E51BF">
            <w:pPr>
              <w:pStyle w:val="ARfintabletextright8pt"/>
            </w:pPr>
            <w:r w:rsidRPr="00107A72">
              <w:t>63.9</w:t>
            </w:r>
          </w:p>
        </w:tc>
        <w:tc>
          <w:tcPr>
            <w:tcW w:w="292" w:type="pct"/>
            <w:noWrap/>
            <w:tcMar>
              <w:right w:w="0" w:type="nil"/>
            </w:tcMar>
            <w:hideMark/>
          </w:tcPr>
          <w:p w14:paraId="6AE9165F"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0B0C1E9F" w14:textId="77777777" w:rsidR="006E51BF" w:rsidRPr="00107A72" w:rsidRDefault="006E51BF">
            <w:pPr>
              <w:pStyle w:val="ARfintabletextright8pt"/>
            </w:pPr>
            <w:r w:rsidRPr="00107A72">
              <w:t>–</w:t>
            </w:r>
          </w:p>
        </w:tc>
        <w:tc>
          <w:tcPr>
            <w:tcW w:w="292" w:type="pct"/>
            <w:noWrap/>
            <w:tcMar>
              <w:right w:w="0" w:type="nil"/>
            </w:tcMar>
            <w:hideMark/>
          </w:tcPr>
          <w:p w14:paraId="6AFF60A6"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622BA48F" w14:textId="77777777" w:rsidR="006E51BF" w:rsidRPr="00107A72" w:rsidRDefault="006E51BF">
            <w:pPr>
              <w:pStyle w:val="ARfintabletextright8pt"/>
            </w:pPr>
            <w:r w:rsidRPr="00107A72">
              <w:t>–</w:t>
            </w:r>
          </w:p>
        </w:tc>
        <w:tc>
          <w:tcPr>
            <w:tcW w:w="292" w:type="pct"/>
            <w:noWrap/>
            <w:tcMar>
              <w:right w:w="0" w:type="nil"/>
            </w:tcMar>
            <w:hideMark/>
          </w:tcPr>
          <w:p w14:paraId="3F54DD4A"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35BA2378" w14:textId="77777777" w:rsidR="006E51BF" w:rsidRPr="00107A72" w:rsidRDefault="006E51BF">
            <w:pPr>
              <w:pStyle w:val="ARfintabletextright8pt"/>
            </w:pPr>
            <w:r w:rsidRPr="00107A72">
              <w:t>–</w:t>
            </w:r>
          </w:p>
        </w:tc>
        <w:tc>
          <w:tcPr>
            <w:tcW w:w="292" w:type="pct"/>
            <w:noWrap/>
            <w:tcMar>
              <w:right w:w="0" w:type="nil"/>
            </w:tcMar>
            <w:hideMark/>
          </w:tcPr>
          <w:p w14:paraId="40EF864A"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3FFF9A9A" w14:textId="77777777" w:rsidR="006E51BF" w:rsidRPr="00107A72" w:rsidRDefault="006E51BF">
            <w:pPr>
              <w:pStyle w:val="ARfintabletextright8pt"/>
            </w:pPr>
            <w:r w:rsidRPr="00107A72">
              <w:t>–</w:t>
            </w:r>
          </w:p>
        </w:tc>
        <w:tc>
          <w:tcPr>
            <w:tcW w:w="292" w:type="pct"/>
            <w:noWrap/>
            <w:tcMar>
              <w:right w:w="0" w:type="nil"/>
            </w:tcMar>
            <w:hideMark/>
          </w:tcPr>
          <w:p w14:paraId="4BDAD7FE"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259D0125" w14:textId="77777777" w:rsidR="006E51BF" w:rsidRPr="00107A72" w:rsidRDefault="006E51BF">
            <w:pPr>
              <w:pStyle w:val="ARfintabletextright8pt"/>
            </w:pPr>
            <w:r w:rsidRPr="00107A72">
              <w:t>31.6</w:t>
            </w:r>
          </w:p>
        </w:tc>
        <w:tc>
          <w:tcPr>
            <w:tcW w:w="292" w:type="pct"/>
            <w:noWrap/>
            <w:tcMar>
              <w:right w:w="0" w:type="nil"/>
            </w:tcMar>
            <w:hideMark/>
          </w:tcPr>
          <w:p w14:paraId="1341A210"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5.0</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7F30D70" w14:textId="77777777" w:rsidR="006E51BF" w:rsidRPr="00107A72" w:rsidRDefault="006E51BF">
            <w:pPr>
              <w:pStyle w:val="ARfintabletextright8pt"/>
            </w:pPr>
            <w:r w:rsidRPr="00107A72">
              <w:t>100.6</w:t>
            </w:r>
          </w:p>
        </w:tc>
      </w:tr>
      <w:tr w:rsidR="006E51BF" w:rsidRPr="00107A72" w14:paraId="11CB9EAE"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0" w:type="pct"/>
            <w:noWrap/>
            <w:hideMark/>
          </w:tcPr>
          <w:p w14:paraId="0D678FD2" w14:textId="77777777" w:rsidR="006E51BF" w:rsidRPr="00787043" w:rsidRDefault="006E51BF">
            <w:pPr>
              <w:pStyle w:val="ARfintabletext8pt"/>
            </w:pPr>
            <w:r w:rsidRPr="00787043">
              <w:t>Rental income</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90522CF" w14:textId="77777777" w:rsidR="006E51BF" w:rsidRPr="00107A72" w:rsidRDefault="006E51BF">
            <w:pPr>
              <w:pStyle w:val="ARfintabletextright8pt"/>
            </w:pPr>
            <w:r w:rsidRPr="00107A72">
              <w:t>–</w:t>
            </w:r>
          </w:p>
        </w:tc>
        <w:tc>
          <w:tcPr>
            <w:tcW w:w="292" w:type="pct"/>
            <w:noWrap/>
            <w:tcMar>
              <w:right w:w="0" w:type="nil"/>
            </w:tcMar>
            <w:hideMark/>
          </w:tcPr>
          <w:p w14:paraId="35154FE4"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0DA6BEDD" w14:textId="77777777" w:rsidR="006E51BF" w:rsidRPr="00107A72" w:rsidRDefault="006E51BF">
            <w:pPr>
              <w:pStyle w:val="ARfintabletextright8pt"/>
            </w:pPr>
            <w:r w:rsidRPr="00107A72">
              <w:t>–</w:t>
            </w:r>
          </w:p>
        </w:tc>
        <w:tc>
          <w:tcPr>
            <w:tcW w:w="292" w:type="pct"/>
            <w:noWrap/>
            <w:tcMar>
              <w:right w:w="0" w:type="nil"/>
            </w:tcMar>
            <w:hideMark/>
          </w:tcPr>
          <w:p w14:paraId="50F4E060"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D50B6A3" w14:textId="77777777" w:rsidR="006E51BF" w:rsidRPr="00107A72" w:rsidRDefault="006E51BF">
            <w:pPr>
              <w:pStyle w:val="ARfintabletextright8pt"/>
            </w:pPr>
            <w:r w:rsidRPr="00107A72">
              <w:t>–</w:t>
            </w:r>
          </w:p>
        </w:tc>
        <w:tc>
          <w:tcPr>
            <w:tcW w:w="292" w:type="pct"/>
            <w:noWrap/>
            <w:tcMar>
              <w:right w:w="0" w:type="nil"/>
            </w:tcMar>
            <w:hideMark/>
          </w:tcPr>
          <w:p w14:paraId="7C7B7D67"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2886D1BB" w14:textId="77777777" w:rsidR="006E51BF" w:rsidRPr="00107A72" w:rsidRDefault="006E51BF">
            <w:pPr>
              <w:pStyle w:val="ARfintabletextright8pt"/>
            </w:pPr>
            <w:r w:rsidRPr="00107A72">
              <w:t>–</w:t>
            </w:r>
          </w:p>
        </w:tc>
        <w:tc>
          <w:tcPr>
            <w:tcW w:w="292" w:type="pct"/>
            <w:noWrap/>
            <w:tcMar>
              <w:right w:w="0" w:type="nil"/>
            </w:tcMar>
            <w:hideMark/>
          </w:tcPr>
          <w:p w14:paraId="5728A968"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4DF7D6A5" w14:textId="77777777" w:rsidR="006E51BF" w:rsidRPr="00107A72" w:rsidRDefault="006E51BF">
            <w:pPr>
              <w:pStyle w:val="ARfintabletextright8pt"/>
            </w:pPr>
            <w:r w:rsidRPr="00107A72">
              <w:t>–</w:t>
            </w:r>
          </w:p>
        </w:tc>
        <w:tc>
          <w:tcPr>
            <w:tcW w:w="292" w:type="pct"/>
            <w:noWrap/>
            <w:tcMar>
              <w:right w:w="0" w:type="nil"/>
            </w:tcMar>
            <w:hideMark/>
          </w:tcPr>
          <w:p w14:paraId="37F245F1"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64720BC2" w14:textId="77777777" w:rsidR="006E51BF" w:rsidRPr="00107A72" w:rsidRDefault="006E51BF">
            <w:pPr>
              <w:pStyle w:val="ARfintabletextright8pt"/>
            </w:pPr>
            <w:r w:rsidRPr="00107A72">
              <w:t>–</w:t>
            </w:r>
          </w:p>
        </w:tc>
        <w:tc>
          <w:tcPr>
            <w:tcW w:w="292" w:type="pct"/>
            <w:noWrap/>
            <w:tcMar>
              <w:right w:w="0" w:type="nil"/>
            </w:tcMar>
            <w:hideMark/>
          </w:tcPr>
          <w:p w14:paraId="063A102F"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594.6</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7C8B9477" w14:textId="77777777" w:rsidR="006E51BF" w:rsidRPr="00107A72" w:rsidRDefault="006E51BF">
            <w:pPr>
              <w:pStyle w:val="ARfintabletextright8pt"/>
            </w:pPr>
            <w:r w:rsidRPr="00107A72">
              <w:t>594.6</w:t>
            </w:r>
          </w:p>
        </w:tc>
      </w:tr>
      <w:tr w:rsidR="006E51BF" w:rsidRPr="00107A72" w14:paraId="057B6630"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0" w:type="pct"/>
            <w:tcBorders>
              <w:bottom w:val="single" w:sz="4" w:space="0" w:color="BFBFBF" w:themeColor="accent2"/>
            </w:tcBorders>
            <w:noWrap/>
            <w:hideMark/>
          </w:tcPr>
          <w:p w14:paraId="4B934005" w14:textId="77777777" w:rsidR="006E51BF" w:rsidRPr="00787043" w:rsidRDefault="006E51BF">
            <w:pPr>
              <w:pStyle w:val="ARfintabletext8pt"/>
            </w:pPr>
            <w:r w:rsidRPr="00787043">
              <w:t>Grants</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6B0BCC3E" w14:textId="77777777" w:rsidR="006E51BF" w:rsidRPr="00107A72" w:rsidRDefault="006E51BF">
            <w:pPr>
              <w:pStyle w:val="ARfintabletextright8pt"/>
            </w:pPr>
            <w:r w:rsidRPr="00107A72">
              <w:t>7.8</w:t>
            </w:r>
          </w:p>
        </w:tc>
        <w:tc>
          <w:tcPr>
            <w:tcW w:w="292" w:type="pct"/>
            <w:tcBorders>
              <w:bottom w:val="single" w:sz="4" w:space="0" w:color="BFBFBF" w:themeColor="accent2"/>
            </w:tcBorders>
            <w:noWrap/>
            <w:tcMar>
              <w:right w:w="0" w:type="nil"/>
            </w:tcMar>
            <w:hideMark/>
          </w:tcPr>
          <w:p w14:paraId="3EA74ADA"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23.9</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32EF6F6D"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26928775"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2.1</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5E636BB1" w14:textId="77777777" w:rsidR="006E51BF" w:rsidRPr="00107A72" w:rsidRDefault="006E51BF">
            <w:pPr>
              <w:pStyle w:val="ARfintabletextright8pt"/>
            </w:pPr>
            <w:r w:rsidRPr="00107A72">
              <w:t>0.4</w:t>
            </w:r>
          </w:p>
        </w:tc>
        <w:tc>
          <w:tcPr>
            <w:tcW w:w="292" w:type="pct"/>
            <w:tcBorders>
              <w:bottom w:val="single" w:sz="4" w:space="0" w:color="BFBFBF" w:themeColor="accent2"/>
            </w:tcBorders>
            <w:noWrap/>
            <w:tcMar>
              <w:right w:w="0" w:type="nil"/>
            </w:tcMar>
            <w:hideMark/>
          </w:tcPr>
          <w:p w14:paraId="27275D7D"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1.6</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2C3A4560" w14:textId="77777777" w:rsidR="006E51BF" w:rsidRPr="00107A72" w:rsidRDefault="006E51BF">
            <w:pPr>
              <w:pStyle w:val="ARfintabletextright8pt"/>
            </w:pPr>
            <w:r w:rsidRPr="00107A72">
              <w:t>0.1</w:t>
            </w:r>
          </w:p>
        </w:tc>
        <w:tc>
          <w:tcPr>
            <w:tcW w:w="292" w:type="pct"/>
            <w:tcBorders>
              <w:bottom w:val="single" w:sz="4" w:space="0" w:color="BFBFBF" w:themeColor="accent2"/>
            </w:tcBorders>
            <w:noWrap/>
            <w:tcMar>
              <w:right w:w="0" w:type="nil"/>
            </w:tcMar>
            <w:hideMark/>
          </w:tcPr>
          <w:p w14:paraId="528439DB"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1.1</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35AC796D" w14:textId="77777777" w:rsidR="006E51BF" w:rsidRPr="00107A72" w:rsidRDefault="006E51BF">
            <w:pPr>
              <w:pStyle w:val="ARfintabletextright8pt"/>
            </w:pPr>
            <w:r w:rsidRPr="00107A72">
              <w:t>1.8</w:t>
            </w:r>
          </w:p>
        </w:tc>
        <w:tc>
          <w:tcPr>
            <w:tcW w:w="292" w:type="pct"/>
            <w:tcBorders>
              <w:bottom w:val="single" w:sz="4" w:space="0" w:color="BFBFBF" w:themeColor="accent2"/>
            </w:tcBorders>
            <w:noWrap/>
            <w:tcMar>
              <w:right w:w="0" w:type="nil"/>
            </w:tcMar>
            <w:hideMark/>
          </w:tcPr>
          <w:p w14:paraId="34BB0F88"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0.9</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074FB272" w14:textId="77777777" w:rsidR="006E51BF" w:rsidRPr="00107A72" w:rsidRDefault="006E51BF">
            <w:pPr>
              <w:pStyle w:val="ARfintabletextright8pt"/>
            </w:pPr>
            <w:r w:rsidRPr="00107A72">
              <w:t>1.3</w:t>
            </w:r>
          </w:p>
        </w:tc>
        <w:tc>
          <w:tcPr>
            <w:tcW w:w="292" w:type="pct"/>
            <w:tcBorders>
              <w:bottom w:val="single" w:sz="4" w:space="0" w:color="BFBFBF" w:themeColor="accent2"/>
            </w:tcBorders>
            <w:noWrap/>
            <w:tcMar>
              <w:right w:w="0" w:type="nil"/>
            </w:tcMar>
            <w:hideMark/>
          </w:tcPr>
          <w:p w14:paraId="177D7152"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244.3</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42710937" w14:textId="77777777" w:rsidR="006E51BF" w:rsidRPr="00107A72" w:rsidRDefault="006E51BF">
            <w:pPr>
              <w:pStyle w:val="ARfintabletextright8pt"/>
            </w:pPr>
            <w:r w:rsidRPr="00107A72">
              <w:t>285.3</w:t>
            </w:r>
          </w:p>
        </w:tc>
      </w:tr>
      <w:tr w:rsidR="006E51BF" w:rsidRPr="00107A72" w14:paraId="0AE99029"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0" w:type="pct"/>
            <w:tcBorders>
              <w:top w:val="single" w:sz="4" w:space="0" w:color="BFBFBF" w:themeColor="accent2"/>
              <w:bottom w:val="single" w:sz="4" w:space="0" w:color="000000" w:themeColor="text1"/>
            </w:tcBorders>
            <w:hideMark/>
          </w:tcPr>
          <w:p w14:paraId="6A0C05CB" w14:textId="77777777" w:rsidR="006E51BF" w:rsidRPr="00787043" w:rsidRDefault="006E51BF">
            <w:pPr>
              <w:pStyle w:val="ARfintabletext8pt"/>
            </w:pPr>
            <w:r w:rsidRPr="00787043">
              <w:t>Other income</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6A472C16" w14:textId="77777777" w:rsidR="006E51BF" w:rsidRPr="00107A72" w:rsidRDefault="006E51BF">
            <w:pPr>
              <w:pStyle w:val="ARfintabletextright8pt"/>
            </w:pPr>
            <w:r w:rsidRPr="00107A72">
              <w:t>1.8</w:t>
            </w:r>
          </w:p>
        </w:tc>
        <w:tc>
          <w:tcPr>
            <w:tcW w:w="292" w:type="pct"/>
            <w:tcBorders>
              <w:top w:val="single" w:sz="4" w:space="0" w:color="BFBFBF" w:themeColor="accent2"/>
              <w:bottom w:val="single" w:sz="4" w:space="0" w:color="000000" w:themeColor="text1"/>
            </w:tcBorders>
            <w:noWrap/>
            <w:tcMar>
              <w:right w:w="0" w:type="nil"/>
            </w:tcMar>
            <w:hideMark/>
          </w:tcPr>
          <w:p w14:paraId="4773450C"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1.9</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2C2CBD45"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4B65C6B9"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1A858C10"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105B0806"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0F4F893A"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79502EA3"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141A28BD"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4A99A883"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03E278DE"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224396DF"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50.7</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15FFA1A9" w14:textId="77777777" w:rsidR="006E51BF" w:rsidRPr="00107A72" w:rsidRDefault="006E51BF">
            <w:pPr>
              <w:pStyle w:val="ARfintabletextright8pt"/>
            </w:pPr>
            <w:r w:rsidRPr="00107A72">
              <w:t>54.2</w:t>
            </w:r>
          </w:p>
        </w:tc>
      </w:tr>
      <w:tr w:rsidR="006E51BF" w:rsidRPr="00107A72" w14:paraId="467E63BB"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0" w:type="pct"/>
            <w:tcBorders>
              <w:top w:val="single" w:sz="4" w:space="0" w:color="000000" w:themeColor="text1"/>
              <w:bottom w:val="single" w:sz="4" w:space="0" w:color="000000" w:themeColor="text1"/>
            </w:tcBorders>
            <w:noWrap/>
            <w:hideMark/>
          </w:tcPr>
          <w:p w14:paraId="3D4C3E79" w14:textId="77777777" w:rsidR="006E51BF" w:rsidRPr="00107A72" w:rsidRDefault="006E51BF">
            <w:pPr>
              <w:pStyle w:val="ARfintabletextbold8pt"/>
            </w:pPr>
            <w:r w:rsidRPr="00107A72">
              <w:t>Total revenue and income from transactions</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31059009" w14:textId="77777777" w:rsidR="006E51BF" w:rsidRPr="00107A72" w:rsidRDefault="006E51BF">
            <w:pPr>
              <w:pStyle w:val="ARfintabletextboldright8pt"/>
            </w:pPr>
            <w:r w:rsidRPr="00107A72">
              <w:t>475.3</w:t>
            </w:r>
          </w:p>
        </w:tc>
        <w:tc>
          <w:tcPr>
            <w:tcW w:w="292" w:type="pct"/>
            <w:tcBorders>
              <w:top w:val="single" w:sz="4" w:space="0" w:color="000000" w:themeColor="text1"/>
              <w:bottom w:val="single" w:sz="4" w:space="0" w:color="000000" w:themeColor="text1"/>
            </w:tcBorders>
            <w:noWrap/>
            <w:tcMar>
              <w:right w:w="0" w:type="nil"/>
            </w:tcMar>
            <w:hideMark/>
          </w:tcPr>
          <w:p w14:paraId="3D736836"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2,401.7</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0F71A946" w14:textId="77777777" w:rsidR="006E51BF" w:rsidRPr="00107A72" w:rsidRDefault="006E51BF">
            <w:pPr>
              <w:pStyle w:val="ARfintabletextboldright8pt"/>
            </w:pPr>
            <w:r w:rsidRPr="00107A72">
              <w:t>1,763.3</w:t>
            </w:r>
          </w:p>
        </w:tc>
        <w:tc>
          <w:tcPr>
            <w:tcW w:w="292" w:type="pct"/>
            <w:tcBorders>
              <w:top w:val="single" w:sz="4" w:space="0" w:color="000000" w:themeColor="text1"/>
              <w:bottom w:val="single" w:sz="4" w:space="0" w:color="000000" w:themeColor="text1"/>
            </w:tcBorders>
            <w:noWrap/>
            <w:tcMar>
              <w:right w:w="0" w:type="nil"/>
            </w:tcMar>
            <w:hideMark/>
          </w:tcPr>
          <w:p w14:paraId="1677AB1D"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66.3</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07EC325C" w14:textId="77777777" w:rsidR="006E51BF" w:rsidRPr="00107A72" w:rsidRDefault="006E51BF">
            <w:pPr>
              <w:pStyle w:val="ARfintabletextboldright8pt"/>
            </w:pPr>
            <w:r w:rsidRPr="00107A72">
              <w:t>64.8</w:t>
            </w:r>
          </w:p>
        </w:tc>
        <w:tc>
          <w:tcPr>
            <w:tcW w:w="292" w:type="pct"/>
            <w:tcBorders>
              <w:top w:val="single" w:sz="4" w:space="0" w:color="000000" w:themeColor="text1"/>
              <w:bottom w:val="single" w:sz="4" w:space="0" w:color="000000" w:themeColor="text1"/>
            </w:tcBorders>
            <w:noWrap/>
            <w:tcMar>
              <w:right w:w="0" w:type="nil"/>
            </w:tcMar>
            <w:hideMark/>
          </w:tcPr>
          <w:p w14:paraId="0B549717"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10.3</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47351284" w14:textId="77777777" w:rsidR="006E51BF" w:rsidRPr="00107A72" w:rsidRDefault="006E51BF">
            <w:pPr>
              <w:pStyle w:val="ARfintabletextboldright8pt"/>
            </w:pPr>
            <w:r w:rsidRPr="00107A72">
              <w:t>11.6</w:t>
            </w:r>
          </w:p>
        </w:tc>
        <w:tc>
          <w:tcPr>
            <w:tcW w:w="292" w:type="pct"/>
            <w:tcBorders>
              <w:top w:val="single" w:sz="4" w:space="0" w:color="000000" w:themeColor="text1"/>
              <w:bottom w:val="single" w:sz="4" w:space="0" w:color="000000" w:themeColor="text1"/>
            </w:tcBorders>
            <w:noWrap/>
            <w:tcMar>
              <w:right w:w="0" w:type="nil"/>
            </w:tcMar>
            <w:hideMark/>
          </w:tcPr>
          <w:p w14:paraId="5A141E87"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24.5</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50E4134F" w14:textId="77777777" w:rsidR="006E51BF" w:rsidRPr="00107A72" w:rsidRDefault="006E51BF">
            <w:pPr>
              <w:pStyle w:val="ARfintabletextboldright8pt"/>
            </w:pPr>
            <w:r w:rsidRPr="00107A72">
              <w:t>27.5</w:t>
            </w:r>
          </w:p>
        </w:tc>
        <w:tc>
          <w:tcPr>
            <w:tcW w:w="292" w:type="pct"/>
            <w:tcBorders>
              <w:top w:val="single" w:sz="4" w:space="0" w:color="000000" w:themeColor="text1"/>
              <w:bottom w:val="single" w:sz="4" w:space="0" w:color="000000" w:themeColor="text1"/>
            </w:tcBorders>
            <w:noWrap/>
            <w:tcMar>
              <w:right w:w="0" w:type="nil"/>
            </w:tcMar>
            <w:hideMark/>
          </w:tcPr>
          <w:p w14:paraId="58C5979D"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31.6</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2F563AAD" w14:textId="77777777" w:rsidR="006E51BF" w:rsidRPr="00107A72" w:rsidRDefault="006E51BF">
            <w:pPr>
              <w:pStyle w:val="ARfintabletextboldright8pt"/>
            </w:pPr>
            <w:r w:rsidRPr="00107A72">
              <w:t>787.4</w:t>
            </w:r>
          </w:p>
        </w:tc>
        <w:tc>
          <w:tcPr>
            <w:tcW w:w="292" w:type="pct"/>
            <w:tcBorders>
              <w:top w:val="single" w:sz="4" w:space="0" w:color="000000" w:themeColor="text1"/>
              <w:bottom w:val="single" w:sz="4" w:space="0" w:color="000000" w:themeColor="text1"/>
            </w:tcBorders>
            <w:noWrap/>
            <w:tcMar>
              <w:right w:w="0" w:type="nil"/>
            </w:tcMar>
            <w:hideMark/>
          </w:tcPr>
          <w:p w14:paraId="1A15D41E"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1,677.8</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5277517F" w14:textId="77777777" w:rsidR="006E51BF" w:rsidRPr="00107A72" w:rsidRDefault="006E51BF">
            <w:pPr>
              <w:pStyle w:val="ARfintabletextboldright8pt"/>
            </w:pPr>
            <w:r w:rsidRPr="00107A72">
              <w:t>7,341.8</w:t>
            </w:r>
          </w:p>
        </w:tc>
      </w:tr>
      <w:tr w:rsidR="006E51BF" w:rsidRPr="00107A72" w14:paraId="6FD5C615"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0" w:type="pct"/>
            <w:tcBorders>
              <w:top w:val="single" w:sz="4" w:space="0" w:color="000000" w:themeColor="text1"/>
            </w:tcBorders>
            <w:noWrap/>
            <w:hideMark/>
          </w:tcPr>
          <w:p w14:paraId="79C4DAAA" w14:textId="77777777" w:rsidR="006E51BF" w:rsidRPr="00107A72" w:rsidRDefault="006E51BF">
            <w:pPr>
              <w:pStyle w:val="Arfintabletextboldcoloured8pt"/>
            </w:pPr>
            <w:r w:rsidRPr="00107A72">
              <w:t xml:space="preserve">Expenses from </w:t>
            </w:r>
            <w:r w:rsidRPr="00787043">
              <w:t>transactions</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1005B4E1"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45F8DECD"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778827C0"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3D69E351"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224269ED"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68E67838"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6C9EF55A"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293764F3"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4D287D71"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2561369D"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1D78E15B"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416A1C00"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1EC111D4" w14:textId="77777777" w:rsidR="006E51BF" w:rsidRPr="00107A72" w:rsidRDefault="006E51BF">
            <w:pPr>
              <w:pStyle w:val="ARfintabletextright8pt"/>
            </w:pPr>
          </w:p>
        </w:tc>
      </w:tr>
      <w:tr w:rsidR="006E51BF" w:rsidRPr="00107A72" w14:paraId="1638FC72"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0" w:type="pct"/>
            <w:noWrap/>
            <w:hideMark/>
          </w:tcPr>
          <w:p w14:paraId="771D0C2F" w14:textId="77777777" w:rsidR="006E51BF" w:rsidRPr="00107A72" w:rsidRDefault="006E51BF">
            <w:pPr>
              <w:pStyle w:val="ARfintabletext8pt"/>
            </w:pPr>
            <w:r w:rsidRPr="00107A72">
              <w:t>Employee benefits</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30697151" w14:textId="77777777" w:rsidR="006E51BF" w:rsidRPr="00107A72" w:rsidRDefault="006E51BF">
            <w:pPr>
              <w:pStyle w:val="ARfintabletextright8pt"/>
            </w:pPr>
            <w:r w:rsidRPr="00107A72">
              <w:t>146.1</w:t>
            </w:r>
          </w:p>
        </w:tc>
        <w:tc>
          <w:tcPr>
            <w:tcW w:w="292" w:type="pct"/>
            <w:noWrap/>
            <w:tcMar>
              <w:right w:w="0" w:type="nil"/>
            </w:tcMar>
            <w:hideMark/>
          </w:tcPr>
          <w:p w14:paraId="582D0F35"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606.1</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3AD5BD7" w14:textId="77777777" w:rsidR="006E51BF" w:rsidRPr="00107A72" w:rsidRDefault="006E51BF">
            <w:pPr>
              <w:pStyle w:val="ARfintabletextright8pt"/>
            </w:pPr>
            <w:r w:rsidRPr="00107A72">
              <w:t>14.4</w:t>
            </w:r>
          </w:p>
        </w:tc>
        <w:tc>
          <w:tcPr>
            <w:tcW w:w="292" w:type="pct"/>
            <w:noWrap/>
            <w:tcMar>
              <w:right w:w="0" w:type="nil"/>
            </w:tcMar>
            <w:hideMark/>
          </w:tcPr>
          <w:p w14:paraId="3CA91D0C"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4.7</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3ECC3C50" w14:textId="77777777" w:rsidR="006E51BF" w:rsidRPr="00107A72" w:rsidRDefault="006E51BF">
            <w:pPr>
              <w:pStyle w:val="ARfintabletextright8pt"/>
            </w:pPr>
            <w:r w:rsidRPr="00107A72">
              <w:t>4.9</w:t>
            </w:r>
          </w:p>
        </w:tc>
        <w:tc>
          <w:tcPr>
            <w:tcW w:w="292" w:type="pct"/>
            <w:noWrap/>
            <w:tcMar>
              <w:right w:w="0" w:type="nil"/>
            </w:tcMar>
            <w:hideMark/>
          </w:tcPr>
          <w:p w14:paraId="3C329291"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2.6</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7B2DA5C8" w14:textId="77777777" w:rsidR="006E51BF" w:rsidRPr="00107A72" w:rsidRDefault="006E51BF">
            <w:pPr>
              <w:pStyle w:val="ARfintabletextright8pt"/>
            </w:pPr>
            <w:r w:rsidRPr="00107A72">
              <w:t>2.6</w:t>
            </w:r>
          </w:p>
        </w:tc>
        <w:tc>
          <w:tcPr>
            <w:tcW w:w="292" w:type="pct"/>
            <w:noWrap/>
            <w:tcMar>
              <w:right w:w="0" w:type="nil"/>
            </w:tcMar>
            <w:hideMark/>
          </w:tcPr>
          <w:p w14:paraId="213DD315"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7.5</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BD795FB" w14:textId="77777777" w:rsidR="006E51BF" w:rsidRPr="00107A72" w:rsidRDefault="006E51BF">
            <w:pPr>
              <w:pStyle w:val="ARfintabletextright8pt"/>
            </w:pPr>
            <w:r w:rsidRPr="00107A72">
              <w:t>10.8</w:t>
            </w:r>
          </w:p>
        </w:tc>
        <w:tc>
          <w:tcPr>
            <w:tcW w:w="292" w:type="pct"/>
            <w:noWrap/>
            <w:tcMar>
              <w:right w:w="0" w:type="nil"/>
            </w:tcMar>
            <w:hideMark/>
          </w:tcPr>
          <w:p w14:paraId="78A1B7B7"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5.5</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6F11D925" w14:textId="77777777" w:rsidR="006E51BF" w:rsidRPr="00107A72" w:rsidRDefault="006E51BF">
            <w:pPr>
              <w:pStyle w:val="ARfintabletextright8pt"/>
            </w:pPr>
            <w:r w:rsidRPr="00107A72">
              <w:t>69.5</w:t>
            </w:r>
          </w:p>
        </w:tc>
        <w:tc>
          <w:tcPr>
            <w:tcW w:w="292" w:type="pct"/>
            <w:noWrap/>
            <w:tcMar>
              <w:right w:w="0" w:type="nil"/>
            </w:tcMar>
            <w:hideMark/>
          </w:tcPr>
          <w:p w14:paraId="1AC44F6A"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213.0</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7827496E" w14:textId="77777777" w:rsidR="006E51BF" w:rsidRPr="00107A72" w:rsidRDefault="006E51BF">
            <w:pPr>
              <w:pStyle w:val="ARfintabletextright8pt"/>
            </w:pPr>
            <w:r w:rsidRPr="00107A72">
              <w:t>1,087.6</w:t>
            </w:r>
          </w:p>
        </w:tc>
      </w:tr>
      <w:tr w:rsidR="006E51BF" w:rsidRPr="00107A72" w14:paraId="58B1BE5C"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0" w:type="pct"/>
            <w:noWrap/>
            <w:hideMark/>
          </w:tcPr>
          <w:p w14:paraId="23396214" w14:textId="77777777" w:rsidR="006E51BF" w:rsidRPr="00107A72" w:rsidRDefault="006E51BF">
            <w:pPr>
              <w:pStyle w:val="ARfintabletext8pt"/>
            </w:pPr>
            <w:r w:rsidRPr="00107A72">
              <w:t>Depreciation and amortisation</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6B7469BC" w14:textId="77777777" w:rsidR="006E51BF" w:rsidRPr="00107A72" w:rsidRDefault="006E51BF">
            <w:pPr>
              <w:pStyle w:val="ARfintabletextright8pt"/>
            </w:pPr>
            <w:r w:rsidRPr="00107A72">
              <w:t>11.6</w:t>
            </w:r>
          </w:p>
        </w:tc>
        <w:tc>
          <w:tcPr>
            <w:tcW w:w="292" w:type="pct"/>
            <w:noWrap/>
            <w:tcMar>
              <w:right w:w="0" w:type="nil"/>
            </w:tcMar>
            <w:hideMark/>
          </w:tcPr>
          <w:p w14:paraId="6C0954A5"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15.9</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3D0127D1" w14:textId="77777777" w:rsidR="006E51BF" w:rsidRPr="00107A72" w:rsidRDefault="006E51BF">
            <w:pPr>
              <w:pStyle w:val="ARfintabletextright8pt"/>
            </w:pPr>
            <w:r w:rsidRPr="00107A72">
              <w:t>0.2</w:t>
            </w:r>
          </w:p>
        </w:tc>
        <w:tc>
          <w:tcPr>
            <w:tcW w:w="292" w:type="pct"/>
            <w:noWrap/>
            <w:tcMar>
              <w:right w:w="0" w:type="nil"/>
            </w:tcMar>
            <w:hideMark/>
          </w:tcPr>
          <w:p w14:paraId="706149BA"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F564560" w14:textId="77777777" w:rsidR="006E51BF" w:rsidRPr="00107A72" w:rsidRDefault="006E51BF">
            <w:pPr>
              <w:pStyle w:val="ARfintabletextright8pt"/>
            </w:pPr>
            <w:r w:rsidRPr="00327603">
              <w:t>–</w:t>
            </w:r>
          </w:p>
        </w:tc>
        <w:tc>
          <w:tcPr>
            <w:tcW w:w="292" w:type="pct"/>
            <w:noWrap/>
            <w:tcMar>
              <w:right w:w="0" w:type="nil"/>
            </w:tcMar>
            <w:hideMark/>
          </w:tcPr>
          <w:p w14:paraId="0BB067CB"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327603">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098A8A27" w14:textId="77777777" w:rsidR="006E51BF" w:rsidRPr="00107A72" w:rsidRDefault="006E51BF">
            <w:pPr>
              <w:pStyle w:val="ARfintabletextright8pt"/>
            </w:pPr>
            <w:r w:rsidRPr="00327603">
              <w:t>–</w:t>
            </w:r>
          </w:p>
        </w:tc>
        <w:tc>
          <w:tcPr>
            <w:tcW w:w="292" w:type="pct"/>
            <w:noWrap/>
            <w:tcMar>
              <w:right w:w="0" w:type="nil"/>
            </w:tcMar>
            <w:hideMark/>
          </w:tcPr>
          <w:p w14:paraId="22E29E83"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0.4</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6AE7BEBC" w14:textId="77777777" w:rsidR="006E51BF" w:rsidRPr="00107A72" w:rsidRDefault="006E51BF">
            <w:pPr>
              <w:pStyle w:val="ARfintabletextright8pt"/>
            </w:pPr>
            <w:r w:rsidRPr="00107A72">
              <w:t>–</w:t>
            </w:r>
          </w:p>
        </w:tc>
        <w:tc>
          <w:tcPr>
            <w:tcW w:w="292" w:type="pct"/>
            <w:noWrap/>
            <w:tcMar>
              <w:right w:w="0" w:type="nil"/>
            </w:tcMar>
            <w:hideMark/>
          </w:tcPr>
          <w:p w14:paraId="578D2682"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327603">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D0B3EF0" w14:textId="77777777" w:rsidR="006E51BF" w:rsidRPr="00107A72" w:rsidRDefault="006E51BF">
            <w:pPr>
              <w:pStyle w:val="ARfintabletextright8pt"/>
            </w:pPr>
            <w:r w:rsidRPr="00107A72">
              <w:t>16.6</w:t>
            </w:r>
          </w:p>
        </w:tc>
        <w:tc>
          <w:tcPr>
            <w:tcW w:w="292" w:type="pct"/>
            <w:noWrap/>
            <w:tcMar>
              <w:right w:w="0" w:type="nil"/>
            </w:tcMar>
            <w:hideMark/>
          </w:tcPr>
          <w:p w14:paraId="137A64BE"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490.7</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977818C" w14:textId="77777777" w:rsidR="006E51BF" w:rsidRPr="00107A72" w:rsidRDefault="006E51BF">
            <w:pPr>
              <w:pStyle w:val="ARfintabletextright8pt"/>
            </w:pPr>
            <w:r w:rsidRPr="00107A72">
              <w:t>535.4</w:t>
            </w:r>
          </w:p>
        </w:tc>
      </w:tr>
      <w:tr w:rsidR="006E51BF" w:rsidRPr="00107A72" w14:paraId="52328E59"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0" w:type="pct"/>
            <w:noWrap/>
            <w:hideMark/>
          </w:tcPr>
          <w:p w14:paraId="35E0BBD8" w14:textId="77777777" w:rsidR="006E51BF" w:rsidRPr="00107A72" w:rsidRDefault="006E51BF">
            <w:pPr>
              <w:pStyle w:val="ARfintabletext8pt"/>
            </w:pPr>
            <w:r w:rsidRPr="00107A72">
              <w:t>Other operating expenses</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099320F1" w14:textId="77777777" w:rsidR="006E51BF" w:rsidRPr="00107A72" w:rsidRDefault="006E51BF">
            <w:pPr>
              <w:pStyle w:val="ARfintabletextright8pt"/>
            </w:pPr>
            <w:r w:rsidRPr="00107A72">
              <w:t>92.7</w:t>
            </w:r>
          </w:p>
        </w:tc>
        <w:tc>
          <w:tcPr>
            <w:tcW w:w="292" w:type="pct"/>
            <w:noWrap/>
            <w:tcMar>
              <w:right w:w="0" w:type="nil"/>
            </w:tcMar>
            <w:hideMark/>
          </w:tcPr>
          <w:p w14:paraId="6C637E5D"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419.4</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3FF39432" w14:textId="77777777" w:rsidR="006E51BF" w:rsidRPr="00107A72" w:rsidRDefault="006E51BF">
            <w:pPr>
              <w:pStyle w:val="ARfintabletextright8pt"/>
            </w:pPr>
            <w:r w:rsidRPr="00107A72">
              <w:t>8.0</w:t>
            </w:r>
          </w:p>
        </w:tc>
        <w:tc>
          <w:tcPr>
            <w:tcW w:w="292" w:type="pct"/>
            <w:noWrap/>
            <w:tcMar>
              <w:right w:w="0" w:type="nil"/>
            </w:tcMar>
            <w:hideMark/>
          </w:tcPr>
          <w:p w14:paraId="7E8916E8"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2.6</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6C40ACD4" w14:textId="77777777" w:rsidR="006E51BF" w:rsidRPr="00107A72" w:rsidRDefault="006E51BF">
            <w:pPr>
              <w:pStyle w:val="ARfintabletextright8pt"/>
            </w:pPr>
            <w:r w:rsidRPr="00107A72">
              <w:t>2.7</w:t>
            </w:r>
          </w:p>
        </w:tc>
        <w:tc>
          <w:tcPr>
            <w:tcW w:w="292" w:type="pct"/>
            <w:noWrap/>
            <w:tcMar>
              <w:right w:w="0" w:type="nil"/>
            </w:tcMar>
            <w:hideMark/>
          </w:tcPr>
          <w:p w14:paraId="0833263F"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0.7</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2D4F01A6" w14:textId="77777777" w:rsidR="006E51BF" w:rsidRPr="00107A72" w:rsidRDefault="006E51BF">
            <w:pPr>
              <w:pStyle w:val="ARfintabletextright8pt"/>
            </w:pPr>
            <w:r w:rsidRPr="00107A72">
              <w:t>0.5</w:t>
            </w:r>
          </w:p>
        </w:tc>
        <w:tc>
          <w:tcPr>
            <w:tcW w:w="292" w:type="pct"/>
            <w:noWrap/>
            <w:tcMar>
              <w:right w:w="0" w:type="nil"/>
            </w:tcMar>
            <w:hideMark/>
          </w:tcPr>
          <w:p w14:paraId="4AFF1113"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2.0</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363EE297" w14:textId="77777777" w:rsidR="006E51BF" w:rsidRPr="00107A72" w:rsidRDefault="006E51BF">
            <w:pPr>
              <w:pStyle w:val="ARfintabletextright8pt"/>
            </w:pPr>
            <w:r w:rsidRPr="00107A72">
              <w:t>7.1</w:t>
            </w:r>
          </w:p>
        </w:tc>
        <w:tc>
          <w:tcPr>
            <w:tcW w:w="292" w:type="pct"/>
            <w:noWrap/>
            <w:tcMar>
              <w:right w:w="0" w:type="nil"/>
            </w:tcMar>
            <w:hideMark/>
          </w:tcPr>
          <w:p w14:paraId="258788C8"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1.3</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B9736E6" w14:textId="77777777" w:rsidR="006E51BF" w:rsidRPr="00107A72" w:rsidRDefault="006E51BF">
            <w:pPr>
              <w:pStyle w:val="ARfintabletextright8pt"/>
            </w:pPr>
            <w:r w:rsidRPr="00107A72">
              <w:t>39.9</w:t>
            </w:r>
          </w:p>
        </w:tc>
        <w:tc>
          <w:tcPr>
            <w:tcW w:w="292" w:type="pct"/>
            <w:noWrap/>
            <w:tcMar>
              <w:right w:w="0" w:type="nil"/>
            </w:tcMar>
            <w:hideMark/>
          </w:tcPr>
          <w:p w14:paraId="5321F204"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116.5</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84E62D6" w14:textId="77777777" w:rsidR="006E51BF" w:rsidRPr="00107A72" w:rsidRDefault="006E51BF">
            <w:pPr>
              <w:pStyle w:val="ARfintabletextright8pt"/>
            </w:pPr>
            <w:r w:rsidRPr="00107A72">
              <w:t>693.4</w:t>
            </w:r>
          </w:p>
        </w:tc>
      </w:tr>
      <w:tr w:rsidR="006E51BF" w:rsidRPr="00107A72" w14:paraId="6F99DDE7"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0" w:type="pct"/>
            <w:tcBorders>
              <w:bottom w:val="single" w:sz="4" w:space="0" w:color="BFBFBF" w:themeColor="accent2"/>
            </w:tcBorders>
            <w:noWrap/>
            <w:hideMark/>
          </w:tcPr>
          <w:p w14:paraId="788BC7AB" w14:textId="77777777" w:rsidR="006E51BF" w:rsidRPr="00107A72" w:rsidRDefault="006E51BF">
            <w:pPr>
              <w:pStyle w:val="ARfintabletext8pt"/>
            </w:pPr>
            <w:r w:rsidRPr="00107A72">
              <w:t>Grants and other transfers</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2577D512" w14:textId="77777777" w:rsidR="006E51BF" w:rsidRPr="00107A72" w:rsidRDefault="006E51BF">
            <w:pPr>
              <w:pStyle w:val="ARfintabletextright8pt"/>
            </w:pPr>
            <w:r w:rsidRPr="00107A72">
              <w:t>215.2</w:t>
            </w:r>
          </w:p>
        </w:tc>
        <w:tc>
          <w:tcPr>
            <w:tcW w:w="292" w:type="pct"/>
            <w:tcBorders>
              <w:bottom w:val="single" w:sz="4" w:space="0" w:color="BFBFBF" w:themeColor="accent2"/>
            </w:tcBorders>
            <w:noWrap/>
            <w:tcMar>
              <w:right w:w="0" w:type="nil"/>
            </w:tcMar>
            <w:hideMark/>
          </w:tcPr>
          <w:p w14:paraId="0135E763"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1,484.2</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0BFA7E42" w14:textId="77777777" w:rsidR="006E51BF" w:rsidRPr="00107A72" w:rsidRDefault="006E51BF">
            <w:pPr>
              <w:pStyle w:val="ARfintabletextright8pt"/>
            </w:pPr>
            <w:r w:rsidRPr="00107A72">
              <w:t>1,733.3</w:t>
            </w:r>
          </w:p>
        </w:tc>
        <w:tc>
          <w:tcPr>
            <w:tcW w:w="292" w:type="pct"/>
            <w:tcBorders>
              <w:bottom w:val="single" w:sz="4" w:space="0" w:color="BFBFBF" w:themeColor="accent2"/>
            </w:tcBorders>
            <w:noWrap/>
            <w:tcMar>
              <w:right w:w="0" w:type="nil"/>
            </w:tcMar>
            <w:hideMark/>
          </w:tcPr>
          <w:p w14:paraId="23CA73C9"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59.1</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28C8A1C7" w14:textId="77777777" w:rsidR="006E51BF" w:rsidRPr="00107A72" w:rsidRDefault="006E51BF">
            <w:pPr>
              <w:pStyle w:val="ARfintabletextright8pt"/>
            </w:pPr>
            <w:r w:rsidRPr="00107A72">
              <w:t>57.5</w:t>
            </w:r>
          </w:p>
        </w:tc>
        <w:tc>
          <w:tcPr>
            <w:tcW w:w="292" w:type="pct"/>
            <w:tcBorders>
              <w:bottom w:val="single" w:sz="4" w:space="0" w:color="BFBFBF" w:themeColor="accent2"/>
            </w:tcBorders>
            <w:noWrap/>
            <w:tcMar>
              <w:right w:w="0" w:type="nil"/>
            </w:tcMar>
            <w:hideMark/>
          </w:tcPr>
          <w:p w14:paraId="33F31085"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6.9</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0ECD8983" w14:textId="77777777" w:rsidR="006E51BF" w:rsidRPr="00107A72" w:rsidRDefault="006E51BF">
            <w:pPr>
              <w:pStyle w:val="ARfintabletextright8pt"/>
            </w:pPr>
            <w:r w:rsidRPr="00107A72">
              <w:t>8.4</w:t>
            </w:r>
          </w:p>
        </w:tc>
        <w:tc>
          <w:tcPr>
            <w:tcW w:w="292" w:type="pct"/>
            <w:tcBorders>
              <w:bottom w:val="single" w:sz="4" w:space="0" w:color="BFBFBF" w:themeColor="accent2"/>
            </w:tcBorders>
            <w:noWrap/>
            <w:tcMar>
              <w:right w:w="0" w:type="nil"/>
            </w:tcMar>
            <w:hideMark/>
          </w:tcPr>
          <w:p w14:paraId="7E21117C"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14.5</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55A8AEA8" w14:textId="77777777" w:rsidR="006E51BF" w:rsidRPr="00107A72" w:rsidRDefault="006E51BF">
            <w:pPr>
              <w:pStyle w:val="ARfintabletextright8pt"/>
            </w:pPr>
            <w:r w:rsidRPr="00107A72">
              <w:t>9.6</w:t>
            </w:r>
          </w:p>
        </w:tc>
        <w:tc>
          <w:tcPr>
            <w:tcW w:w="292" w:type="pct"/>
            <w:tcBorders>
              <w:bottom w:val="single" w:sz="4" w:space="0" w:color="BFBFBF" w:themeColor="accent2"/>
            </w:tcBorders>
            <w:noWrap/>
            <w:tcMar>
              <w:right w:w="0" w:type="nil"/>
            </w:tcMar>
            <w:hideMark/>
          </w:tcPr>
          <w:p w14:paraId="434134C7"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24.9</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379296A7" w14:textId="77777777" w:rsidR="006E51BF" w:rsidRPr="00107A72" w:rsidRDefault="006E51BF">
            <w:pPr>
              <w:pStyle w:val="ARfintabletextright8pt"/>
            </w:pPr>
            <w:r w:rsidRPr="00107A72">
              <w:t>661.0</w:t>
            </w:r>
          </w:p>
        </w:tc>
        <w:tc>
          <w:tcPr>
            <w:tcW w:w="292" w:type="pct"/>
            <w:tcBorders>
              <w:bottom w:val="single" w:sz="4" w:space="0" w:color="BFBFBF" w:themeColor="accent2"/>
            </w:tcBorders>
            <w:noWrap/>
            <w:tcMar>
              <w:right w:w="0" w:type="nil"/>
            </w:tcMar>
            <w:hideMark/>
          </w:tcPr>
          <w:p w14:paraId="0DAA4EC7"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678.3</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599CCE0E" w14:textId="77777777" w:rsidR="006E51BF" w:rsidRPr="00107A72" w:rsidRDefault="006E51BF">
            <w:pPr>
              <w:pStyle w:val="ARfintabletextright8pt"/>
            </w:pPr>
            <w:r w:rsidRPr="00107A72">
              <w:t>4,952.9</w:t>
            </w:r>
          </w:p>
        </w:tc>
      </w:tr>
      <w:tr w:rsidR="006E51BF" w:rsidRPr="00107A72" w14:paraId="60DA1B4A"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0" w:type="pct"/>
            <w:tcBorders>
              <w:top w:val="single" w:sz="4" w:space="0" w:color="BFBFBF" w:themeColor="accent2"/>
              <w:bottom w:val="single" w:sz="4" w:space="0" w:color="000000" w:themeColor="text1"/>
            </w:tcBorders>
            <w:noWrap/>
            <w:hideMark/>
          </w:tcPr>
          <w:p w14:paraId="7CE2D98E" w14:textId="77777777" w:rsidR="006E51BF" w:rsidRPr="00107A72" w:rsidRDefault="006E51BF">
            <w:pPr>
              <w:pStyle w:val="ARfintabletext8pt"/>
            </w:pPr>
            <w:r w:rsidRPr="00107A72">
              <w:t>Property management expenses</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25C1197E" w14:textId="77777777" w:rsidR="006E51BF" w:rsidRPr="00107A72" w:rsidRDefault="006E51BF">
            <w:pPr>
              <w:pStyle w:val="ARfintabletextright8pt"/>
            </w:pPr>
            <w:r w:rsidRPr="00107A72">
              <w:t>8.6</w:t>
            </w:r>
          </w:p>
        </w:tc>
        <w:tc>
          <w:tcPr>
            <w:tcW w:w="292" w:type="pct"/>
            <w:tcBorders>
              <w:top w:val="single" w:sz="4" w:space="0" w:color="BFBFBF" w:themeColor="accent2"/>
              <w:bottom w:val="single" w:sz="4" w:space="0" w:color="000000" w:themeColor="text1"/>
            </w:tcBorders>
            <w:noWrap/>
            <w:tcMar>
              <w:right w:w="0" w:type="nil"/>
            </w:tcMar>
            <w:hideMark/>
          </w:tcPr>
          <w:p w14:paraId="7BFBC8D1"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9.9</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0553F629"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01173CAB"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D25AEE">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737F2151"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6F2E1F47"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5772E01A"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6D0C2247"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058C0006"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66E98DF7"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28F827E1" w14:textId="77777777" w:rsidR="006E51BF" w:rsidRPr="00107A72" w:rsidRDefault="006E51BF">
            <w:pPr>
              <w:pStyle w:val="ARfintabletextright8pt"/>
            </w:pPr>
            <w:r w:rsidRPr="00D25AEE">
              <w:t>–</w:t>
            </w:r>
          </w:p>
        </w:tc>
        <w:tc>
          <w:tcPr>
            <w:tcW w:w="292" w:type="pct"/>
            <w:tcBorders>
              <w:top w:val="single" w:sz="4" w:space="0" w:color="BFBFBF" w:themeColor="accent2"/>
              <w:bottom w:val="single" w:sz="4" w:space="0" w:color="000000" w:themeColor="text1"/>
            </w:tcBorders>
            <w:noWrap/>
            <w:tcMar>
              <w:right w:w="0" w:type="nil"/>
            </w:tcMar>
            <w:hideMark/>
          </w:tcPr>
          <w:p w14:paraId="531EB2D6"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523.8</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5BBF9C40" w14:textId="77777777" w:rsidR="006E51BF" w:rsidRPr="00107A72" w:rsidRDefault="006E51BF">
            <w:pPr>
              <w:pStyle w:val="ARfintabletextright8pt"/>
            </w:pPr>
            <w:r w:rsidRPr="00107A72">
              <w:t>542.2</w:t>
            </w:r>
          </w:p>
        </w:tc>
      </w:tr>
      <w:tr w:rsidR="006E51BF" w:rsidRPr="00107A72" w14:paraId="7679BE55"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0" w:type="pct"/>
            <w:tcBorders>
              <w:top w:val="single" w:sz="4" w:space="0" w:color="000000" w:themeColor="text1"/>
              <w:bottom w:val="single" w:sz="4" w:space="0" w:color="000000" w:themeColor="text1"/>
            </w:tcBorders>
            <w:noWrap/>
            <w:hideMark/>
          </w:tcPr>
          <w:p w14:paraId="2A55D022" w14:textId="77777777" w:rsidR="006E51BF" w:rsidRPr="00107A72" w:rsidRDefault="006E51BF">
            <w:pPr>
              <w:pStyle w:val="ARfintabletextbold8pt"/>
            </w:pPr>
            <w:r w:rsidRPr="00107A72">
              <w:t>Total expenses from transactions</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391E718F" w14:textId="77777777" w:rsidR="006E51BF" w:rsidRPr="00107A72" w:rsidRDefault="006E51BF">
            <w:pPr>
              <w:pStyle w:val="ARfintabletextboldright8pt"/>
            </w:pPr>
            <w:r w:rsidRPr="00107A72">
              <w:t>474.2</w:t>
            </w:r>
          </w:p>
        </w:tc>
        <w:tc>
          <w:tcPr>
            <w:tcW w:w="292" w:type="pct"/>
            <w:tcBorders>
              <w:top w:val="single" w:sz="4" w:space="0" w:color="000000" w:themeColor="text1"/>
              <w:bottom w:val="single" w:sz="4" w:space="0" w:color="000000" w:themeColor="text1"/>
            </w:tcBorders>
            <w:noWrap/>
            <w:tcMar>
              <w:right w:w="0" w:type="nil"/>
            </w:tcMar>
            <w:hideMark/>
          </w:tcPr>
          <w:p w14:paraId="5FF7402E"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2,535.5</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2B661E9F" w14:textId="77777777" w:rsidR="006E51BF" w:rsidRPr="00107A72" w:rsidRDefault="006E51BF">
            <w:pPr>
              <w:pStyle w:val="ARfintabletextboldright8pt"/>
            </w:pPr>
            <w:r w:rsidRPr="00107A72">
              <w:t>1,755.9</w:t>
            </w:r>
          </w:p>
        </w:tc>
        <w:tc>
          <w:tcPr>
            <w:tcW w:w="292" w:type="pct"/>
            <w:tcBorders>
              <w:top w:val="single" w:sz="4" w:space="0" w:color="000000" w:themeColor="text1"/>
              <w:bottom w:val="single" w:sz="4" w:space="0" w:color="000000" w:themeColor="text1"/>
            </w:tcBorders>
            <w:noWrap/>
            <w:tcMar>
              <w:right w:w="0" w:type="nil"/>
            </w:tcMar>
            <w:hideMark/>
          </w:tcPr>
          <w:p w14:paraId="07B1818C"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66.4</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3FC38BC9" w14:textId="77777777" w:rsidR="006E51BF" w:rsidRPr="00107A72" w:rsidRDefault="006E51BF">
            <w:pPr>
              <w:pStyle w:val="ARfintabletextboldright8pt"/>
            </w:pPr>
            <w:r w:rsidRPr="00107A72">
              <w:t>65.0</w:t>
            </w:r>
          </w:p>
        </w:tc>
        <w:tc>
          <w:tcPr>
            <w:tcW w:w="292" w:type="pct"/>
            <w:tcBorders>
              <w:top w:val="single" w:sz="4" w:space="0" w:color="000000" w:themeColor="text1"/>
              <w:bottom w:val="single" w:sz="4" w:space="0" w:color="000000" w:themeColor="text1"/>
            </w:tcBorders>
            <w:noWrap/>
            <w:tcMar>
              <w:right w:w="0" w:type="nil"/>
            </w:tcMar>
            <w:hideMark/>
          </w:tcPr>
          <w:p w14:paraId="4BD67323"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10.2</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7D0BECBD" w14:textId="77777777" w:rsidR="006E51BF" w:rsidRPr="00107A72" w:rsidRDefault="006E51BF">
            <w:pPr>
              <w:pStyle w:val="ARfintabletextboldright8pt"/>
            </w:pPr>
            <w:r w:rsidRPr="00107A72">
              <w:t>11.6</w:t>
            </w:r>
          </w:p>
        </w:tc>
        <w:tc>
          <w:tcPr>
            <w:tcW w:w="292" w:type="pct"/>
            <w:tcBorders>
              <w:top w:val="single" w:sz="4" w:space="0" w:color="000000" w:themeColor="text1"/>
              <w:bottom w:val="single" w:sz="4" w:space="0" w:color="000000" w:themeColor="text1"/>
            </w:tcBorders>
            <w:noWrap/>
            <w:tcMar>
              <w:right w:w="0" w:type="nil"/>
            </w:tcMar>
            <w:hideMark/>
          </w:tcPr>
          <w:p w14:paraId="4D86057F"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24.5</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298DB646" w14:textId="77777777" w:rsidR="006E51BF" w:rsidRPr="00107A72" w:rsidRDefault="006E51BF">
            <w:pPr>
              <w:pStyle w:val="ARfintabletextboldright8pt"/>
            </w:pPr>
            <w:r w:rsidRPr="00107A72">
              <w:t>27.5</w:t>
            </w:r>
          </w:p>
        </w:tc>
        <w:tc>
          <w:tcPr>
            <w:tcW w:w="292" w:type="pct"/>
            <w:tcBorders>
              <w:top w:val="single" w:sz="4" w:space="0" w:color="000000" w:themeColor="text1"/>
              <w:bottom w:val="single" w:sz="4" w:space="0" w:color="000000" w:themeColor="text1"/>
            </w:tcBorders>
            <w:noWrap/>
            <w:tcMar>
              <w:right w:w="0" w:type="nil"/>
            </w:tcMar>
            <w:hideMark/>
          </w:tcPr>
          <w:p w14:paraId="3C966CCD"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31.7</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71D8D859" w14:textId="77777777" w:rsidR="006E51BF" w:rsidRPr="00107A72" w:rsidRDefault="006E51BF">
            <w:pPr>
              <w:pStyle w:val="ARfintabletextboldright8pt"/>
            </w:pPr>
            <w:r w:rsidRPr="00107A72">
              <w:t>787.0</w:t>
            </w:r>
          </w:p>
        </w:tc>
        <w:tc>
          <w:tcPr>
            <w:tcW w:w="292" w:type="pct"/>
            <w:tcBorders>
              <w:top w:val="single" w:sz="4" w:space="0" w:color="000000" w:themeColor="text1"/>
              <w:bottom w:val="single" w:sz="4" w:space="0" w:color="000000" w:themeColor="text1"/>
            </w:tcBorders>
            <w:noWrap/>
            <w:tcMar>
              <w:right w:w="0" w:type="nil"/>
            </w:tcMar>
            <w:hideMark/>
          </w:tcPr>
          <w:p w14:paraId="26F0D368"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2,022.3</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7FEB0708" w14:textId="77777777" w:rsidR="006E51BF" w:rsidRPr="00107A72" w:rsidRDefault="006E51BF">
            <w:pPr>
              <w:pStyle w:val="ARfintabletextboldright8pt"/>
            </w:pPr>
            <w:r w:rsidRPr="00107A72">
              <w:t>7,811.5</w:t>
            </w:r>
          </w:p>
        </w:tc>
      </w:tr>
      <w:tr w:rsidR="006E51BF" w:rsidRPr="00107A72" w14:paraId="31E987E0"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0" w:type="pct"/>
            <w:tcBorders>
              <w:top w:val="single" w:sz="4" w:space="0" w:color="000000" w:themeColor="text1"/>
              <w:bottom w:val="single" w:sz="4" w:space="0" w:color="000000" w:themeColor="text1"/>
            </w:tcBorders>
            <w:hideMark/>
          </w:tcPr>
          <w:p w14:paraId="3787A99B" w14:textId="77777777" w:rsidR="006E51BF" w:rsidRPr="00107A72" w:rsidRDefault="006E51BF">
            <w:pPr>
              <w:pStyle w:val="ARfintabletextbold8pt"/>
            </w:pPr>
            <w:r w:rsidRPr="00107A72">
              <w:t xml:space="preserve">Net result from transactions </w:t>
            </w:r>
            <w:r>
              <w:br/>
            </w:r>
            <w:r w:rsidRPr="00107A72">
              <w:t>(net operating balance)</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6A827A58" w14:textId="77777777" w:rsidR="006E51BF" w:rsidRPr="00107A72" w:rsidRDefault="006E51BF">
            <w:pPr>
              <w:pStyle w:val="ARfintabletextboldright8pt"/>
            </w:pPr>
            <w:r w:rsidRPr="00107A72">
              <w:t>1.1</w:t>
            </w:r>
          </w:p>
        </w:tc>
        <w:tc>
          <w:tcPr>
            <w:tcW w:w="292" w:type="pct"/>
            <w:tcBorders>
              <w:top w:val="single" w:sz="4" w:space="0" w:color="000000" w:themeColor="text1"/>
              <w:bottom w:val="single" w:sz="4" w:space="0" w:color="000000" w:themeColor="text1"/>
            </w:tcBorders>
            <w:noWrap/>
            <w:tcMar>
              <w:right w:w="0" w:type="nil"/>
            </w:tcMar>
            <w:hideMark/>
          </w:tcPr>
          <w:p w14:paraId="2A9C7669"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(133.8)</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4F7757F6" w14:textId="77777777" w:rsidR="006E51BF" w:rsidRPr="00107A72" w:rsidRDefault="006E51BF">
            <w:pPr>
              <w:pStyle w:val="ARfintabletextboldright8pt"/>
            </w:pPr>
            <w:r w:rsidRPr="00107A72">
              <w:t>7.3</w:t>
            </w:r>
          </w:p>
        </w:tc>
        <w:tc>
          <w:tcPr>
            <w:tcW w:w="292" w:type="pct"/>
            <w:tcBorders>
              <w:top w:val="single" w:sz="4" w:space="0" w:color="000000" w:themeColor="text1"/>
              <w:bottom w:val="single" w:sz="4" w:space="0" w:color="000000" w:themeColor="text1"/>
            </w:tcBorders>
            <w:noWrap/>
            <w:tcMar>
              <w:right w:w="0" w:type="nil"/>
            </w:tcMar>
            <w:hideMark/>
          </w:tcPr>
          <w:p w14:paraId="30764C96"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(0.1)</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4564F6A0" w14:textId="77777777" w:rsidR="006E51BF" w:rsidRPr="00107A72" w:rsidRDefault="006E51BF">
            <w:pPr>
              <w:pStyle w:val="ARfintabletextboldright8pt"/>
            </w:pPr>
            <w:r w:rsidRPr="00107A72">
              <w:t>(0.3)</w:t>
            </w:r>
          </w:p>
        </w:tc>
        <w:tc>
          <w:tcPr>
            <w:tcW w:w="292" w:type="pct"/>
            <w:tcBorders>
              <w:top w:val="single" w:sz="4" w:space="0" w:color="000000" w:themeColor="text1"/>
              <w:bottom w:val="single" w:sz="4" w:space="0" w:color="000000" w:themeColor="text1"/>
            </w:tcBorders>
            <w:noWrap/>
            <w:tcMar>
              <w:right w:w="0" w:type="nil"/>
            </w:tcMar>
            <w:hideMark/>
          </w:tcPr>
          <w:p w14:paraId="4D5633B0"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0.1</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7F09BF6D" w14:textId="77777777" w:rsidR="006E51BF" w:rsidRPr="00107A72" w:rsidRDefault="006E51BF">
            <w:pPr>
              <w:pStyle w:val="ARfintabletextboldright8pt"/>
            </w:pPr>
            <w:r w:rsidRPr="00327603">
              <w:t>–</w:t>
            </w:r>
          </w:p>
        </w:tc>
        <w:tc>
          <w:tcPr>
            <w:tcW w:w="292" w:type="pct"/>
            <w:tcBorders>
              <w:top w:val="single" w:sz="4" w:space="0" w:color="000000" w:themeColor="text1"/>
              <w:bottom w:val="single" w:sz="4" w:space="0" w:color="000000" w:themeColor="text1"/>
            </w:tcBorders>
            <w:noWrap/>
            <w:tcMar>
              <w:right w:w="0" w:type="nil"/>
            </w:tcMar>
            <w:hideMark/>
          </w:tcPr>
          <w:p w14:paraId="3401A64B"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3E556217" w14:textId="77777777" w:rsidR="006E51BF" w:rsidRPr="00107A72" w:rsidRDefault="006E51BF">
            <w:pPr>
              <w:pStyle w:val="ARfintabletextboldright8pt"/>
            </w:pPr>
            <w:r w:rsidRPr="00327603">
              <w:t>–</w:t>
            </w:r>
          </w:p>
        </w:tc>
        <w:tc>
          <w:tcPr>
            <w:tcW w:w="292" w:type="pct"/>
            <w:tcBorders>
              <w:top w:val="single" w:sz="4" w:space="0" w:color="000000" w:themeColor="text1"/>
              <w:bottom w:val="single" w:sz="4" w:space="0" w:color="000000" w:themeColor="text1"/>
            </w:tcBorders>
            <w:noWrap/>
            <w:tcMar>
              <w:right w:w="0" w:type="nil"/>
            </w:tcMar>
            <w:hideMark/>
          </w:tcPr>
          <w:p w14:paraId="6CA0D3D6"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(0.1)</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70EB9D85" w14:textId="77777777" w:rsidR="006E51BF" w:rsidRPr="00107A72" w:rsidRDefault="006E51BF">
            <w:pPr>
              <w:pStyle w:val="ARfintabletextboldright8pt"/>
            </w:pPr>
            <w:r w:rsidRPr="00107A72">
              <w:t>0.4</w:t>
            </w:r>
          </w:p>
        </w:tc>
        <w:tc>
          <w:tcPr>
            <w:tcW w:w="292" w:type="pct"/>
            <w:tcBorders>
              <w:top w:val="single" w:sz="4" w:space="0" w:color="000000" w:themeColor="text1"/>
              <w:bottom w:val="single" w:sz="4" w:space="0" w:color="000000" w:themeColor="text1"/>
            </w:tcBorders>
            <w:noWrap/>
            <w:tcMar>
              <w:right w:w="0" w:type="nil"/>
            </w:tcMar>
            <w:hideMark/>
          </w:tcPr>
          <w:p w14:paraId="1A06DCFF"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(344.5)</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1458E8D9" w14:textId="77777777" w:rsidR="006E51BF" w:rsidRPr="00107A72" w:rsidRDefault="006E51BF">
            <w:pPr>
              <w:pStyle w:val="ARfintabletextboldright8pt"/>
            </w:pPr>
            <w:r w:rsidRPr="00107A72">
              <w:t>(469.7)</w:t>
            </w:r>
          </w:p>
        </w:tc>
      </w:tr>
      <w:tr w:rsidR="006E51BF" w:rsidRPr="00107A72" w14:paraId="29873262"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0" w:type="pct"/>
            <w:tcBorders>
              <w:top w:val="single" w:sz="4" w:space="0" w:color="000000" w:themeColor="text1"/>
            </w:tcBorders>
            <w:noWrap/>
            <w:hideMark/>
          </w:tcPr>
          <w:p w14:paraId="670E7B4F" w14:textId="77777777" w:rsidR="006E51BF" w:rsidRPr="00107A72" w:rsidRDefault="006E51BF">
            <w:pPr>
              <w:pStyle w:val="Arfintabletextboldcoloured8pt"/>
            </w:pPr>
            <w:r w:rsidRPr="00107A72">
              <w:t xml:space="preserve">Other </w:t>
            </w:r>
            <w:r w:rsidRPr="00787043">
              <w:t>economic</w:t>
            </w:r>
            <w:r w:rsidRPr="00107A72">
              <w:t xml:space="preserve"> flows included in net result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319D64DC"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7E33199E"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096AD077"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61CC27B1"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701B8F8F"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6C5F4E1E"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1F44C7C4"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2CB06F37"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07A74FA0"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38A65AE8"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60FA4F72"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7DC6A818"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492B9F33" w14:textId="77777777" w:rsidR="006E51BF" w:rsidRPr="00107A72" w:rsidRDefault="006E51BF">
            <w:pPr>
              <w:pStyle w:val="ARfintabletextright8pt"/>
            </w:pPr>
          </w:p>
        </w:tc>
      </w:tr>
      <w:tr w:rsidR="006E51BF" w:rsidRPr="00107A72" w14:paraId="601E9513"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0" w:type="pct"/>
            <w:noWrap/>
            <w:hideMark/>
          </w:tcPr>
          <w:p w14:paraId="42A49EB0" w14:textId="77777777" w:rsidR="006E51BF" w:rsidRPr="00107A72" w:rsidRDefault="006E51BF">
            <w:pPr>
              <w:pStyle w:val="ARfintabletext8pt"/>
            </w:pPr>
            <w:r w:rsidRPr="00107A72">
              <w:t>Net gain/(loss) on non-financial assets</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40688B8C" w14:textId="77777777" w:rsidR="006E51BF" w:rsidRPr="00107A72" w:rsidRDefault="006E51BF">
            <w:pPr>
              <w:pStyle w:val="ARfintabletextright8pt"/>
            </w:pPr>
            <w:r w:rsidRPr="00107A72">
              <w:t>0.1</w:t>
            </w:r>
          </w:p>
        </w:tc>
        <w:tc>
          <w:tcPr>
            <w:tcW w:w="292" w:type="pct"/>
            <w:noWrap/>
            <w:tcMar>
              <w:right w:w="0" w:type="nil"/>
            </w:tcMar>
            <w:hideMark/>
          </w:tcPr>
          <w:p w14:paraId="05BE49E3"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3.4</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70253CA3" w14:textId="77777777" w:rsidR="006E51BF" w:rsidRPr="00107A72" w:rsidRDefault="006E51BF">
            <w:pPr>
              <w:pStyle w:val="ARfintabletextright8pt"/>
            </w:pPr>
            <w:r w:rsidRPr="00107A72">
              <w:t>–</w:t>
            </w:r>
          </w:p>
        </w:tc>
        <w:tc>
          <w:tcPr>
            <w:tcW w:w="292" w:type="pct"/>
            <w:noWrap/>
            <w:tcMar>
              <w:right w:w="0" w:type="nil"/>
            </w:tcMar>
            <w:hideMark/>
          </w:tcPr>
          <w:p w14:paraId="5F943BBD"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4C4ABAF" w14:textId="77777777" w:rsidR="006E51BF" w:rsidRPr="00107A72" w:rsidRDefault="006E51BF">
            <w:pPr>
              <w:pStyle w:val="ARfintabletextright8pt"/>
            </w:pPr>
            <w:r w:rsidRPr="00107A72">
              <w:t>–</w:t>
            </w:r>
          </w:p>
        </w:tc>
        <w:tc>
          <w:tcPr>
            <w:tcW w:w="292" w:type="pct"/>
            <w:noWrap/>
            <w:tcMar>
              <w:right w:w="0" w:type="nil"/>
            </w:tcMar>
            <w:hideMark/>
          </w:tcPr>
          <w:p w14:paraId="17FB333D"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1AE97CC2" w14:textId="77777777" w:rsidR="006E51BF" w:rsidRPr="00107A72" w:rsidRDefault="006E51BF">
            <w:pPr>
              <w:pStyle w:val="ARfintabletextright8pt"/>
            </w:pPr>
            <w:r w:rsidRPr="00107A72">
              <w:t>–</w:t>
            </w:r>
          </w:p>
        </w:tc>
        <w:tc>
          <w:tcPr>
            <w:tcW w:w="292" w:type="pct"/>
            <w:noWrap/>
            <w:tcMar>
              <w:right w:w="0" w:type="nil"/>
            </w:tcMar>
            <w:hideMark/>
          </w:tcPr>
          <w:p w14:paraId="0A63F0E7"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371D79E7" w14:textId="77777777" w:rsidR="006E51BF" w:rsidRPr="00107A72" w:rsidRDefault="006E51BF">
            <w:pPr>
              <w:pStyle w:val="ARfintabletextright8pt"/>
            </w:pPr>
            <w:r w:rsidRPr="00107A72">
              <w:t>–</w:t>
            </w:r>
          </w:p>
        </w:tc>
        <w:tc>
          <w:tcPr>
            <w:tcW w:w="292" w:type="pct"/>
            <w:noWrap/>
            <w:tcMar>
              <w:right w:w="0" w:type="nil"/>
            </w:tcMar>
            <w:hideMark/>
          </w:tcPr>
          <w:p w14:paraId="00DA5E4D"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460591B" w14:textId="77777777" w:rsidR="006E51BF" w:rsidRPr="00107A72" w:rsidRDefault="006E51BF">
            <w:pPr>
              <w:pStyle w:val="ARfintabletextright8pt"/>
            </w:pPr>
            <w:r w:rsidRPr="00107A72">
              <w:t>–</w:t>
            </w:r>
          </w:p>
        </w:tc>
        <w:tc>
          <w:tcPr>
            <w:tcW w:w="292" w:type="pct"/>
            <w:noWrap/>
            <w:tcMar>
              <w:right w:w="0" w:type="nil"/>
            </w:tcMar>
            <w:hideMark/>
          </w:tcPr>
          <w:p w14:paraId="0F47564D"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(9.9)</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3EC67FB8" w14:textId="77777777" w:rsidR="006E51BF" w:rsidRPr="00107A72" w:rsidRDefault="006E51BF">
            <w:pPr>
              <w:pStyle w:val="ARfintabletextright8pt"/>
            </w:pPr>
            <w:r w:rsidRPr="00107A72">
              <w:t>(6.4)</w:t>
            </w:r>
          </w:p>
        </w:tc>
      </w:tr>
      <w:tr w:rsidR="006E51BF" w:rsidRPr="00107A72" w14:paraId="663C901A"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0" w:type="pct"/>
            <w:tcBorders>
              <w:bottom w:val="single" w:sz="4" w:space="0" w:color="BFBFBF" w:themeColor="accent2"/>
            </w:tcBorders>
            <w:hideMark/>
          </w:tcPr>
          <w:p w14:paraId="1049F4F0" w14:textId="77777777" w:rsidR="006E51BF" w:rsidRPr="00107A72" w:rsidRDefault="006E51BF">
            <w:pPr>
              <w:pStyle w:val="ARfintabletext8pt"/>
            </w:pPr>
            <w:r w:rsidRPr="00107A72">
              <w:t>Net gain/(loss) on financial instruments</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00465868" w14:textId="77777777" w:rsidR="006E51BF" w:rsidRPr="00107A72" w:rsidRDefault="006E51BF">
            <w:pPr>
              <w:pStyle w:val="ARfintabletextright8pt"/>
            </w:pPr>
            <w:r w:rsidRPr="00107A72">
              <w:t>0.2</w:t>
            </w:r>
          </w:p>
        </w:tc>
        <w:tc>
          <w:tcPr>
            <w:tcW w:w="292" w:type="pct"/>
            <w:tcBorders>
              <w:bottom w:val="single" w:sz="4" w:space="0" w:color="BFBFBF" w:themeColor="accent2"/>
            </w:tcBorders>
            <w:noWrap/>
            <w:tcMar>
              <w:right w:w="0" w:type="nil"/>
            </w:tcMar>
            <w:hideMark/>
          </w:tcPr>
          <w:p w14:paraId="25BA509F"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3.0</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77B39823"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3FE05DAB"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1D7632C7"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5A86C4F9"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7F3F65A3"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3E2B0E9C"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14DC3BD5"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5FF026F4"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1B1350E9"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4F13AE32"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410E8CCE" w14:textId="77777777" w:rsidR="006E51BF" w:rsidRPr="00107A72" w:rsidRDefault="006E51BF">
            <w:pPr>
              <w:pStyle w:val="ARfintabletextright8pt"/>
            </w:pPr>
            <w:r w:rsidRPr="00107A72">
              <w:t>3.2</w:t>
            </w:r>
          </w:p>
        </w:tc>
      </w:tr>
      <w:tr w:rsidR="006E51BF" w:rsidRPr="00107A72" w14:paraId="6166AC0A"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0" w:type="pct"/>
            <w:tcBorders>
              <w:top w:val="single" w:sz="4" w:space="0" w:color="BFBFBF" w:themeColor="accent2"/>
              <w:bottom w:val="single" w:sz="4" w:space="0" w:color="000000" w:themeColor="text1"/>
            </w:tcBorders>
            <w:noWrap/>
            <w:hideMark/>
          </w:tcPr>
          <w:p w14:paraId="3C712A69" w14:textId="77777777" w:rsidR="006E51BF" w:rsidRPr="00107A72" w:rsidRDefault="006E51BF">
            <w:pPr>
              <w:pStyle w:val="ARfintabletext8pt"/>
            </w:pPr>
            <w:r w:rsidRPr="00107A72">
              <w:t>Other gains/(losses) from other economic flows</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5C74C660" w14:textId="77777777" w:rsidR="006E51BF" w:rsidRPr="00107A72" w:rsidRDefault="006E51BF">
            <w:pPr>
              <w:pStyle w:val="ARfintabletextright8pt"/>
            </w:pPr>
            <w:r w:rsidRPr="00107A72">
              <w:t>(1.6)</w:t>
            </w:r>
          </w:p>
        </w:tc>
        <w:tc>
          <w:tcPr>
            <w:tcW w:w="292" w:type="pct"/>
            <w:tcBorders>
              <w:top w:val="single" w:sz="4" w:space="0" w:color="BFBFBF" w:themeColor="accent2"/>
              <w:bottom w:val="single" w:sz="4" w:space="0" w:color="000000" w:themeColor="text1"/>
            </w:tcBorders>
            <w:noWrap/>
            <w:tcMar>
              <w:right w:w="0" w:type="nil"/>
            </w:tcMar>
            <w:hideMark/>
          </w:tcPr>
          <w:p w14:paraId="06EB2E9D"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(41.6)</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0767F96E" w14:textId="77777777" w:rsidR="006E51BF" w:rsidRPr="00107A72" w:rsidRDefault="006E51BF">
            <w:pPr>
              <w:pStyle w:val="ARfintabletextright8pt"/>
            </w:pPr>
            <w:r w:rsidRPr="00107A72">
              <w:t>(0.1)</w:t>
            </w:r>
          </w:p>
        </w:tc>
        <w:tc>
          <w:tcPr>
            <w:tcW w:w="292" w:type="pct"/>
            <w:tcBorders>
              <w:top w:val="single" w:sz="4" w:space="0" w:color="BFBFBF" w:themeColor="accent2"/>
              <w:bottom w:val="single" w:sz="4" w:space="0" w:color="000000" w:themeColor="text1"/>
            </w:tcBorders>
            <w:noWrap/>
            <w:tcMar>
              <w:right w:w="0" w:type="nil"/>
            </w:tcMar>
            <w:hideMark/>
          </w:tcPr>
          <w:p w14:paraId="3AD8B3DF"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267953B8"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178D8E4A"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2C987B8F"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70C8EC25"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6718476B" w14:textId="77777777" w:rsidR="006E51BF" w:rsidRPr="00107A72" w:rsidRDefault="006E51BF">
            <w:pPr>
              <w:pStyle w:val="ARfintabletextright8pt"/>
            </w:pPr>
            <w:r w:rsidRPr="00107A72">
              <w:t>(0.1)</w:t>
            </w:r>
          </w:p>
        </w:tc>
        <w:tc>
          <w:tcPr>
            <w:tcW w:w="292" w:type="pct"/>
            <w:tcBorders>
              <w:top w:val="single" w:sz="4" w:space="0" w:color="BFBFBF" w:themeColor="accent2"/>
              <w:bottom w:val="single" w:sz="4" w:space="0" w:color="000000" w:themeColor="text1"/>
            </w:tcBorders>
            <w:noWrap/>
            <w:tcMar>
              <w:right w:w="0" w:type="nil"/>
            </w:tcMar>
            <w:hideMark/>
          </w:tcPr>
          <w:p w14:paraId="2978B701"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171160C1" w14:textId="77777777" w:rsidR="006E51BF" w:rsidRPr="00107A72" w:rsidRDefault="006E51BF">
            <w:pPr>
              <w:pStyle w:val="ARfintabletextright8pt"/>
            </w:pPr>
            <w:r w:rsidRPr="00107A72">
              <w:t>(0.3)</w:t>
            </w:r>
          </w:p>
        </w:tc>
        <w:tc>
          <w:tcPr>
            <w:tcW w:w="292" w:type="pct"/>
            <w:tcBorders>
              <w:top w:val="single" w:sz="4" w:space="0" w:color="BFBFBF" w:themeColor="accent2"/>
              <w:bottom w:val="single" w:sz="4" w:space="0" w:color="000000" w:themeColor="text1"/>
            </w:tcBorders>
            <w:noWrap/>
            <w:tcMar>
              <w:right w:w="0" w:type="nil"/>
            </w:tcMar>
            <w:hideMark/>
          </w:tcPr>
          <w:p w14:paraId="10B99938"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(5.4)</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3B37A94C" w14:textId="77777777" w:rsidR="006E51BF" w:rsidRPr="00107A72" w:rsidRDefault="006E51BF">
            <w:pPr>
              <w:pStyle w:val="ARfintabletextright8pt"/>
            </w:pPr>
            <w:r w:rsidRPr="00107A72">
              <w:t>(49.2)</w:t>
            </w:r>
          </w:p>
        </w:tc>
      </w:tr>
      <w:tr w:rsidR="006E51BF" w:rsidRPr="00107A72" w14:paraId="20E88CC5"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0" w:type="pct"/>
            <w:tcBorders>
              <w:top w:val="single" w:sz="4" w:space="0" w:color="000000" w:themeColor="text1"/>
              <w:bottom w:val="single" w:sz="4" w:space="0" w:color="000000" w:themeColor="text1"/>
            </w:tcBorders>
            <w:hideMark/>
          </w:tcPr>
          <w:p w14:paraId="3AE2D6E5" w14:textId="77777777" w:rsidR="006E51BF" w:rsidRPr="00107A72" w:rsidRDefault="006E51BF">
            <w:pPr>
              <w:pStyle w:val="ARfintabletextbold8pt"/>
            </w:pPr>
            <w:r w:rsidRPr="00107A72">
              <w:t xml:space="preserve">Total other economic flows included </w:t>
            </w:r>
            <w:r>
              <w:br/>
            </w:r>
            <w:r w:rsidRPr="00107A72">
              <w:t>in net result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2B5AF22C" w14:textId="77777777" w:rsidR="006E51BF" w:rsidRPr="00107A72" w:rsidRDefault="006E51BF">
            <w:pPr>
              <w:pStyle w:val="ARfintabletextboldright8pt"/>
            </w:pPr>
            <w:r w:rsidRPr="00107A72">
              <w:t>(1.4)</w:t>
            </w:r>
          </w:p>
        </w:tc>
        <w:tc>
          <w:tcPr>
            <w:tcW w:w="292" w:type="pct"/>
            <w:tcBorders>
              <w:top w:val="single" w:sz="4" w:space="0" w:color="000000" w:themeColor="text1"/>
              <w:bottom w:val="single" w:sz="4" w:space="0" w:color="000000" w:themeColor="text1"/>
            </w:tcBorders>
            <w:noWrap/>
            <w:tcMar>
              <w:right w:w="0" w:type="nil"/>
            </w:tcMar>
            <w:hideMark/>
          </w:tcPr>
          <w:p w14:paraId="5B0959CD"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(35.2)</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10C6E2D2" w14:textId="77777777" w:rsidR="006E51BF" w:rsidRPr="00107A72" w:rsidRDefault="006E51BF">
            <w:pPr>
              <w:pStyle w:val="ARfintabletextboldright8pt"/>
            </w:pPr>
            <w:r w:rsidRPr="00107A72">
              <w:t>(0.1)</w:t>
            </w:r>
          </w:p>
        </w:tc>
        <w:tc>
          <w:tcPr>
            <w:tcW w:w="292" w:type="pct"/>
            <w:tcBorders>
              <w:top w:val="single" w:sz="4" w:space="0" w:color="000000" w:themeColor="text1"/>
              <w:bottom w:val="single" w:sz="4" w:space="0" w:color="000000" w:themeColor="text1"/>
            </w:tcBorders>
            <w:noWrap/>
            <w:tcMar>
              <w:right w:w="0" w:type="nil"/>
            </w:tcMar>
            <w:hideMark/>
          </w:tcPr>
          <w:p w14:paraId="38F8417F"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26F56940" w14:textId="77777777" w:rsidR="006E51BF" w:rsidRPr="00107A72" w:rsidRDefault="006E51BF">
            <w:pPr>
              <w:pStyle w:val="ARfintabletextboldright8pt"/>
            </w:pPr>
            <w:r w:rsidRPr="00107A72">
              <w:t>–</w:t>
            </w:r>
          </w:p>
        </w:tc>
        <w:tc>
          <w:tcPr>
            <w:tcW w:w="292" w:type="pct"/>
            <w:tcBorders>
              <w:top w:val="single" w:sz="4" w:space="0" w:color="000000" w:themeColor="text1"/>
              <w:bottom w:val="single" w:sz="4" w:space="0" w:color="000000" w:themeColor="text1"/>
            </w:tcBorders>
            <w:noWrap/>
            <w:tcMar>
              <w:right w:w="0" w:type="nil"/>
            </w:tcMar>
            <w:hideMark/>
          </w:tcPr>
          <w:p w14:paraId="2FD373FF"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5E15DCDE" w14:textId="77777777" w:rsidR="006E51BF" w:rsidRPr="00107A72" w:rsidRDefault="006E51BF">
            <w:pPr>
              <w:pStyle w:val="ARfintabletextboldright8pt"/>
            </w:pPr>
            <w:r w:rsidRPr="00107A72">
              <w:t>–</w:t>
            </w:r>
          </w:p>
        </w:tc>
        <w:tc>
          <w:tcPr>
            <w:tcW w:w="292" w:type="pct"/>
            <w:tcBorders>
              <w:top w:val="single" w:sz="4" w:space="0" w:color="000000" w:themeColor="text1"/>
              <w:bottom w:val="single" w:sz="4" w:space="0" w:color="000000" w:themeColor="text1"/>
            </w:tcBorders>
            <w:noWrap/>
            <w:tcMar>
              <w:right w:w="0" w:type="nil"/>
            </w:tcMar>
            <w:hideMark/>
          </w:tcPr>
          <w:p w14:paraId="07C72BAF"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7EE395CA" w14:textId="77777777" w:rsidR="006E51BF" w:rsidRPr="00107A72" w:rsidRDefault="006E51BF">
            <w:pPr>
              <w:pStyle w:val="ARfintabletextboldright8pt"/>
            </w:pPr>
            <w:r w:rsidRPr="00107A72">
              <w:t>(0.1)</w:t>
            </w:r>
          </w:p>
        </w:tc>
        <w:tc>
          <w:tcPr>
            <w:tcW w:w="292" w:type="pct"/>
            <w:tcBorders>
              <w:top w:val="single" w:sz="4" w:space="0" w:color="000000" w:themeColor="text1"/>
              <w:bottom w:val="single" w:sz="4" w:space="0" w:color="000000" w:themeColor="text1"/>
            </w:tcBorders>
            <w:noWrap/>
            <w:tcMar>
              <w:right w:w="0" w:type="nil"/>
            </w:tcMar>
            <w:hideMark/>
          </w:tcPr>
          <w:p w14:paraId="7BF64F94"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3357E1DE" w14:textId="77777777" w:rsidR="006E51BF" w:rsidRPr="00107A72" w:rsidRDefault="006E51BF">
            <w:pPr>
              <w:pStyle w:val="ARfintabletextboldright8pt"/>
            </w:pPr>
            <w:r w:rsidRPr="00107A72">
              <w:t>(0.3)</w:t>
            </w:r>
          </w:p>
        </w:tc>
        <w:tc>
          <w:tcPr>
            <w:tcW w:w="292" w:type="pct"/>
            <w:tcBorders>
              <w:top w:val="single" w:sz="4" w:space="0" w:color="000000" w:themeColor="text1"/>
              <w:bottom w:val="single" w:sz="4" w:space="0" w:color="000000" w:themeColor="text1"/>
            </w:tcBorders>
            <w:noWrap/>
            <w:tcMar>
              <w:right w:w="0" w:type="nil"/>
            </w:tcMar>
            <w:hideMark/>
          </w:tcPr>
          <w:p w14:paraId="4D80DA4A"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(15.3)</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63431E26" w14:textId="77777777" w:rsidR="006E51BF" w:rsidRPr="00107A72" w:rsidRDefault="006E51BF">
            <w:pPr>
              <w:pStyle w:val="ARfintabletextboldright8pt"/>
            </w:pPr>
            <w:r w:rsidRPr="00107A72">
              <w:t>(52.5)</w:t>
            </w:r>
          </w:p>
        </w:tc>
      </w:tr>
      <w:tr w:rsidR="006E51BF" w:rsidRPr="00107A72" w14:paraId="1E4BE3F2"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0" w:type="pct"/>
            <w:tcBorders>
              <w:top w:val="single" w:sz="4" w:space="0" w:color="000000" w:themeColor="text1"/>
              <w:bottom w:val="single" w:sz="4" w:space="0" w:color="000000" w:themeColor="text1"/>
            </w:tcBorders>
            <w:noWrap/>
            <w:hideMark/>
          </w:tcPr>
          <w:p w14:paraId="146D29CD" w14:textId="77777777" w:rsidR="006E51BF" w:rsidRPr="00107A72" w:rsidRDefault="006E51BF">
            <w:pPr>
              <w:pStyle w:val="ARfintabletextbold8pt"/>
            </w:pPr>
            <w:r w:rsidRPr="00107A72">
              <w:t>Net result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3AE954D8" w14:textId="77777777" w:rsidR="006E51BF" w:rsidRPr="00107A72" w:rsidRDefault="006E51BF">
            <w:pPr>
              <w:pStyle w:val="ARfintabletextboldright8pt"/>
            </w:pPr>
            <w:r w:rsidRPr="00107A72">
              <w:t>(0.3)</w:t>
            </w:r>
          </w:p>
        </w:tc>
        <w:tc>
          <w:tcPr>
            <w:tcW w:w="292" w:type="pct"/>
            <w:tcBorders>
              <w:top w:val="single" w:sz="4" w:space="0" w:color="000000" w:themeColor="text1"/>
              <w:bottom w:val="single" w:sz="4" w:space="0" w:color="000000" w:themeColor="text1"/>
            </w:tcBorders>
            <w:noWrap/>
            <w:tcMar>
              <w:right w:w="0" w:type="nil"/>
            </w:tcMar>
            <w:hideMark/>
          </w:tcPr>
          <w:p w14:paraId="2468C53A"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(169.0)</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626304FB" w14:textId="77777777" w:rsidR="006E51BF" w:rsidRPr="00107A72" w:rsidRDefault="006E51BF">
            <w:pPr>
              <w:pStyle w:val="ARfintabletextboldright8pt"/>
            </w:pPr>
            <w:r w:rsidRPr="00107A72">
              <w:t>7.3</w:t>
            </w:r>
          </w:p>
        </w:tc>
        <w:tc>
          <w:tcPr>
            <w:tcW w:w="292" w:type="pct"/>
            <w:tcBorders>
              <w:top w:val="single" w:sz="4" w:space="0" w:color="000000" w:themeColor="text1"/>
              <w:bottom w:val="single" w:sz="4" w:space="0" w:color="000000" w:themeColor="text1"/>
            </w:tcBorders>
            <w:noWrap/>
            <w:tcMar>
              <w:right w:w="0" w:type="nil"/>
            </w:tcMar>
            <w:hideMark/>
          </w:tcPr>
          <w:p w14:paraId="0BC2F2E5"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(0.1)</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50ECE946" w14:textId="77777777" w:rsidR="006E51BF" w:rsidRPr="00107A72" w:rsidRDefault="006E51BF">
            <w:pPr>
              <w:pStyle w:val="ARfintabletextboldright8pt"/>
            </w:pPr>
            <w:r w:rsidRPr="00107A72">
              <w:t>(0.3)</w:t>
            </w:r>
          </w:p>
        </w:tc>
        <w:tc>
          <w:tcPr>
            <w:tcW w:w="292" w:type="pct"/>
            <w:tcBorders>
              <w:top w:val="single" w:sz="4" w:space="0" w:color="000000" w:themeColor="text1"/>
              <w:bottom w:val="single" w:sz="4" w:space="0" w:color="000000" w:themeColor="text1"/>
            </w:tcBorders>
            <w:noWrap/>
            <w:tcMar>
              <w:right w:w="0" w:type="nil"/>
            </w:tcMar>
            <w:hideMark/>
          </w:tcPr>
          <w:p w14:paraId="2BBDF11B"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0.1</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30D76802" w14:textId="77777777" w:rsidR="006E51BF" w:rsidRPr="00107A72" w:rsidRDefault="006E51BF">
            <w:pPr>
              <w:pStyle w:val="ARfintabletextboldright8pt"/>
            </w:pPr>
            <w:r w:rsidRPr="00327603">
              <w:t>–</w:t>
            </w:r>
          </w:p>
        </w:tc>
        <w:tc>
          <w:tcPr>
            <w:tcW w:w="292" w:type="pct"/>
            <w:tcBorders>
              <w:top w:val="single" w:sz="4" w:space="0" w:color="000000" w:themeColor="text1"/>
              <w:bottom w:val="single" w:sz="4" w:space="0" w:color="000000" w:themeColor="text1"/>
            </w:tcBorders>
            <w:noWrap/>
            <w:tcMar>
              <w:right w:w="0" w:type="nil"/>
            </w:tcMar>
            <w:hideMark/>
          </w:tcPr>
          <w:p w14:paraId="52BDEE57"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5B6D62BC" w14:textId="77777777" w:rsidR="006E51BF" w:rsidRPr="00107A72" w:rsidRDefault="006E51BF">
            <w:pPr>
              <w:pStyle w:val="ARfintabletextboldright8pt"/>
            </w:pPr>
            <w:r w:rsidRPr="00107A72">
              <w:t>(0.1)</w:t>
            </w:r>
          </w:p>
        </w:tc>
        <w:tc>
          <w:tcPr>
            <w:tcW w:w="292" w:type="pct"/>
            <w:tcBorders>
              <w:top w:val="single" w:sz="4" w:space="0" w:color="000000" w:themeColor="text1"/>
              <w:bottom w:val="single" w:sz="4" w:space="0" w:color="000000" w:themeColor="text1"/>
            </w:tcBorders>
            <w:noWrap/>
            <w:tcMar>
              <w:right w:w="0" w:type="nil"/>
            </w:tcMar>
            <w:hideMark/>
          </w:tcPr>
          <w:p w14:paraId="0E71AC0E"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(0.1)</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39E23BD3" w14:textId="77777777" w:rsidR="006E51BF" w:rsidRPr="00107A72" w:rsidRDefault="006E51BF">
            <w:pPr>
              <w:pStyle w:val="ARfintabletextboldright8pt"/>
            </w:pPr>
            <w:r w:rsidRPr="00107A72">
              <w:t>0.1</w:t>
            </w:r>
          </w:p>
        </w:tc>
        <w:tc>
          <w:tcPr>
            <w:tcW w:w="292" w:type="pct"/>
            <w:tcBorders>
              <w:top w:val="single" w:sz="4" w:space="0" w:color="000000" w:themeColor="text1"/>
              <w:bottom w:val="single" w:sz="4" w:space="0" w:color="000000" w:themeColor="text1"/>
            </w:tcBorders>
            <w:noWrap/>
            <w:tcMar>
              <w:right w:w="0" w:type="nil"/>
            </w:tcMar>
            <w:hideMark/>
          </w:tcPr>
          <w:p w14:paraId="371DE3F8" w14:textId="77777777" w:rsidR="006E51BF" w:rsidRPr="00107A72"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107A72">
              <w:t>(359.8)</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10BF8487" w14:textId="77777777" w:rsidR="006E51BF" w:rsidRPr="00107A72" w:rsidRDefault="006E51BF">
            <w:pPr>
              <w:pStyle w:val="ARfintabletextboldright8pt"/>
            </w:pPr>
            <w:r w:rsidRPr="00107A72">
              <w:t>(522.2)</w:t>
            </w:r>
          </w:p>
        </w:tc>
      </w:tr>
      <w:tr w:rsidR="006E51BF" w:rsidRPr="00107A72" w14:paraId="04719FA6"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0" w:type="pct"/>
            <w:tcBorders>
              <w:top w:val="single" w:sz="4" w:space="0" w:color="000000" w:themeColor="text1"/>
            </w:tcBorders>
            <w:hideMark/>
          </w:tcPr>
          <w:p w14:paraId="60747788" w14:textId="3939A9C6" w:rsidR="006E51BF" w:rsidRPr="00107A72" w:rsidRDefault="006E51BF">
            <w:pPr>
              <w:pStyle w:val="Arfintabletextboldcoloured8pt"/>
            </w:pPr>
            <w:r w:rsidRPr="00107A72">
              <w:t xml:space="preserve">Other economic flows </w:t>
            </w:r>
            <w:r w:rsidRPr="00B5533A">
              <w:rPr>
                <w:bCs/>
              </w:rPr>
              <w:t>–</w:t>
            </w:r>
            <w:r w:rsidRPr="00107A72">
              <w:t xml:space="preserve"> other</w:t>
            </w:r>
            <w:r w:rsidR="00BE21A4">
              <w:t> </w:t>
            </w:r>
            <w:r w:rsidRPr="00107A72">
              <w:t>comprehensive income</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6F1A7438"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64E9840C"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6D7BBC5D"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3EF62D3A"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0531E437"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660CB2CC"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10342B62"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3C70F7F6"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54E57C65"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02E21B57"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373F9A9E" w14:textId="77777777" w:rsidR="006E51BF" w:rsidRPr="00107A72" w:rsidRDefault="006E51BF">
            <w:pPr>
              <w:pStyle w:val="ARfintabletextright8pt"/>
            </w:pPr>
          </w:p>
        </w:tc>
        <w:tc>
          <w:tcPr>
            <w:tcW w:w="292" w:type="pct"/>
            <w:tcBorders>
              <w:top w:val="single" w:sz="4" w:space="0" w:color="000000" w:themeColor="text1"/>
            </w:tcBorders>
            <w:noWrap/>
            <w:tcMar>
              <w:right w:w="0" w:type="nil"/>
            </w:tcMar>
            <w:hideMark/>
          </w:tcPr>
          <w:p w14:paraId="1E1B7A37"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tcBorders>
            <w:shd w:val="clear" w:color="auto" w:fill="auto"/>
            <w:noWrap/>
            <w:tcMar>
              <w:right w:w="0" w:type="nil"/>
            </w:tcMar>
            <w:hideMark/>
          </w:tcPr>
          <w:p w14:paraId="1F2C6028" w14:textId="77777777" w:rsidR="006E51BF" w:rsidRPr="00107A72" w:rsidRDefault="006E51BF">
            <w:pPr>
              <w:pStyle w:val="ARfintabletextright8pt"/>
            </w:pPr>
          </w:p>
        </w:tc>
      </w:tr>
      <w:tr w:rsidR="006E51BF" w:rsidRPr="00107A72" w14:paraId="3B6EB89A"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0" w:type="pct"/>
            <w:noWrap/>
          </w:tcPr>
          <w:p w14:paraId="160650DD" w14:textId="77777777" w:rsidR="006E51BF" w:rsidRPr="00107A72" w:rsidRDefault="006E51BF">
            <w:pPr>
              <w:pStyle w:val="ARfintabletextbold8pt"/>
            </w:pPr>
            <w:r w:rsidRPr="00107A72">
              <w:t>Items that will not be reclassified to net result</w:t>
            </w: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0B58F28C" w14:textId="77777777" w:rsidR="006E51BF" w:rsidRPr="00107A72" w:rsidRDefault="006E51BF">
            <w:pPr>
              <w:pStyle w:val="ARfintabletextright8pt"/>
            </w:pPr>
          </w:p>
        </w:tc>
        <w:tc>
          <w:tcPr>
            <w:tcW w:w="292" w:type="pct"/>
            <w:noWrap/>
            <w:tcMar>
              <w:right w:w="0" w:type="nil"/>
            </w:tcMar>
          </w:tcPr>
          <w:p w14:paraId="6E5DAA8A"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1A646D7E" w14:textId="77777777" w:rsidR="006E51BF" w:rsidRPr="00107A72" w:rsidRDefault="006E51BF">
            <w:pPr>
              <w:pStyle w:val="ARfintabletextright8pt"/>
            </w:pPr>
          </w:p>
        </w:tc>
        <w:tc>
          <w:tcPr>
            <w:tcW w:w="292" w:type="pct"/>
            <w:noWrap/>
            <w:tcMar>
              <w:right w:w="0" w:type="nil"/>
            </w:tcMar>
          </w:tcPr>
          <w:p w14:paraId="19C929E8"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5559666C" w14:textId="77777777" w:rsidR="006E51BF" w:rsidRPr="00107A72" w:rsidRDefault="006E51BF">
            <w:pPr>
              <w:pStyle w:val="ARfintabletextright8pt"/>
            </w:pPr>
          </w:p>
        </w:tc>
        <w:tc>
          <w:tcPr>
            <w:tcW w:w="292" w:type="pct"/>
            <w:noWrap/>
            <w:tcMar>
              <w:right w:w="0" w:type="nil"/>
            </w:tcMar>
          </w:tcPr>
          <w:p w14:paraId="61BB1F77"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62B2F717" w14:textId="77777777" w:rsidR="006E51BF" w:rsidRPr="00107A72" w:rsidRDefault="006E51BF">
            <w:pPr>
              <w:pStyle w:val="ARfintabletextright8pt"/>
            </w:pPr>
          </w:p>
        </w:tc>
        <w:tc>
          <w:tcPr>
            <w:tcW w:w="292" w:type="pct"/>
            <w:noWrap/>
            <w:tcMar>
              <w:right w:w="0" w:type="nil"/>
            </w:tcMar>
          </w:tcPr>
          <w:p w14:paraId="06BE058D"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42E79DAE" w14:textId="77777777" w:rsidR="006E51BF" w:rsidRPr="00107A72" w:rsidRDefault="006E51BF">
            <w:pPr>
              <w:pStyle w:val="ARfintabletextright8pt"/>
            </w:pPr>
          </w:p>
        </w:tc>
        <w:tc>
          <w:tcPr>
            <w:tcW w:w="292" w:type="pct"/>
            <w:noWrap/>
            <w:tcMar>
              <w:right w:w="0" w:type="nil"/>
            </w:tcMar>
          </w:tcPr>
          <w:p w14:paraId="4A990389"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6B298B1D" w14:textId="77777777" w:rsidR="006E51BF" w:rsidRPr="00107A72" w:rsidRDefault="006E51BF">
            <w:pPr>
              <w:pStyle w:val="ARfintabletextright8pt"/>
            </w:pPr>
          </w:p>
        </w:tc>
        <w:tc>
          <w:tcPr>
            <w:tcW w:w="292" w:type="pct"/>
            <w:noWrap/>
            <w:tcMar>
              <w:right w:w="0" w:type="nil"/>
            </w:tcMar>
          </w:tcPr>
          <w:p w14:paraId="33CACA67"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92" w:type="pct"/>
            <w:shd w:val="clear" w:color="auto" w:fill="auto"/>
            <w:noWrap/>
            <w:tcMar>
              <w:right w:w="0" w:type="nil"/>
            </w:tcMar>
          </w:tcPr>
          <w:p w14:paraId="05C3966E" w14:textId="77777777" w:rsidR="006E51BF" w:rsidRPr="00107A72" w:rsidRDefault="006E51BF">
            <w:pPr>
              <w:pStyle w:val="ARfintabletextright8pt"/>
            </w:pPr>
          </w:p>
        </w:tc>
      </w:tr>
      <w:tr w:rsidR="006E51BF" w:rsidRPr="00107A72" w14:paraId="04423E57"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0" w:type="pct"/>
            <w:tcBorders>
              <w:bottom w:val="single" w:sz="4" w:space="0" w:color="BFBFBF" w:themeColor="accent2"/>
            </w:tcBorders>
            <w:noWrap/>
            <w:hideMark/>
          </w:tcPr>
          <w:p w14:paraId="21ACC018" w14:textId="77777777" w:rsidR="006E51BF" w:rsidRPr="00107A72" w:rsidRDefault="006E51BF">
            <w:pPr>
              <w:pStyle w:val="ARfintabletext8pt"/>
            </w:pPr>
            <w:r w:rsidRPr="00107A72">
              <w:t>Changes in physical asset revaluation surplus</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7B520B84" w14:textId="77777777" w:rsidR="006E51BF" w:rsidRPr="00107A72" w:rsidRDefault="006E51BF">
            <w:pPr>
              <w:pStyle w:val="ARfintabletextright8pt"/>
            </w:pPr>
            <w:r w:rsidRPr="00107A72">
              <w:t>(1.6)</w:t>
            </w:r>
          </w:p>
        </w:tc>
        <w:tc>
          <w:tcPr>
            <w:tcW w:w="292" w:type="pct"/>
            <w:tcBorders>
              <w:bottom w:val="single" w:sz="4" w:space="0" w:color="BFBFBF" w:themeColor="accent2"/>
            </w:tcBorders>
            <w:noWrap/>
            <w:tcMar>
              <w:right w:w="0" w:type="nil"/>
            </w:tcMar>
            <w:hideMark/>
          </w:tcPr>
          <w:p w14:paraId="1590CD01"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(4.3)</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6F155130"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1FD896A0"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53173916"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3CF5ED57"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419EEF1C"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0947CA1C"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22214BD9"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726775BB"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061C8617" w14:textId="77777777" w:rsidR="006E51BF" w:rsidRPr="00107A72" w:rsidRDefault="006E51BF">
            <w:pPr>
              <w:pStyle w:val="ARfintabletextright8pt"/>
            </w:pPr>
            <w:r w:rsidRPr="00107A72">
              <w:t>–</w:t>
            </w:r>
          </w:p>
        </w:tc>
        <w:tc>
          <w:tcPr>
            <w:tcW w:w="292" w:type="pct"/>
            <w:tcBorders>
              <w:bottom w:val="single" w:sz="4" w:space="0" w:color="BFBFBF" w:themeColor="accent2"/>
            </w:tcBorders>
            <w:noWrap/>
            <w:tcMar>
              <w:right w:w="0" w:type="nil"/>
            </w:tcMar>
            <w:hideMark/>
          </w:tcPr>
          <w:p w14:paraId="0F50DD47" w14:textId="77777777" w:rsidR="006E51BF" w:rsidRPr="00107A72"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107A72">
              <w:t>4.2</w:t>
            </w:r>
          </w:p>
        </w:tc>
        <w:tc>
          <w:tcPr>
            <w:cnfStyle w:val="000001000000" w:firstRow="0" w:lastRow="0" w:firstColumn="0" w:lastColumn="0" w:oddVBand="0" w:evenVBand="1" w:oddHBand="0" w:evenHBand="0" w:firstRowFirstColumn="0" w:firstRowLastColumn="0" w:lastRowFirstColumn="0" w:lastRowLastColumn="0"/>
            <w:tcW w:w="292" w:type="pct"/>
            <w:tcBorders>
              <w:bottom w:val="single" w:sz="4" w:space="0" w:color="BFBFBF" w:themeColor="accent2"/>
            </w:tcBorders>
            <w:noWrap/>
            <w:tcMar>
              <w:right w:w="0" w:type="nil"/>
            </w:tcMar>
            <w:hideMark/>
          </w:tcPr>
          <w:p w14:paraId="2C4593C2" w14:textId="77777777" w:rsidR="006E51BF" w:rsidRPr="00107A72" w:rsidRDefault="006E51BF">
            <w:pPr>
              <w:pStyle w:val="ARfintabletextright8pt"/>
            </w:pPr>
            <w:r w:rsidRPr="00107A72">
              <w:t>(1.7)</w:t>
            </w:r>
          </w:p>
        </w:tc>
      </w:tr>
      <w:tr w:rsidR="006E51BF" w:rsidRPr="00107A72" w14:paraId="3D11975F"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200" w:type="pct"/>
            <w:tcBorders>
              <w:top w:val="single" w:sz="4" w:space="0" w:color="BFBFBF" w:themeColor="accent2"/>
              <w:bottom w:val="single" w:sz="4" w:space="0" w:color="000000" w:themeColor="text1"/>
            </w:tcBorders>
            <w:hideMark/>
          </w:tcPr>
          <w:p w14:paraId="7C5E404E" w14:textId="77777777" w:rsidR="006E51BF" w:rsidRPr="00107A72" w:rsidRDefault="006E51BF">
            <w:pPr>
              <w:pStyle w:val="ARfintabletext8pt"/>
            </w:pPr>
            <w:r w:rsidRPr="00107A72">
              <w:t>Remeasurement of superannuation defined benefit plans</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46D5F316"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18DB6B7C"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34B73B61"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746DCF14"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33AE201D"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3A12B71A"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7B072D9E"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5D6E0A0C"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61844DBE"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2BA754A1"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4D667FD3" w14:textId="77777777" w:rsidR="006E51BF" w:rsidRPr="00107A72" w:rsidRDefault="006E51BF">
            <w:pPr>
              <w:pStyle w:val="ARfintabletextright8pt"/>
            </w:pPr>
            <w:r w:rsidRPr="00107A72">
              <w:t>–</w:t>
            </w:r>
          </w:p>
        </w:tc>
        <w:tc>
          <w:tcPr>
            <w:tcW w:w="292" w:type="pct"/>
            <w:tcBorders>
              <w:top w:val="single" w:sz="4" w:space="0" w:color="BFBFBF" w:themeColor="accent2"/>
              <w:bottom w:val="single" w:sz="4" w:space="0" w:color="000000" w:themeColor="text1"/>
            </w:tcBorders>
            <w:noWrap/>
            <w:tcMar>
              <w:right w:w="0" w:type="nil"/>
            </w:tcMar>
            <w:hideMark/>
          </w:tcPr>
          <w:p w14:paraId="7042AB99" w14:textId="77777777" w:rsidR="006E51BF" w:rsidRPr="00107A72"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107A72">
              <w:t>(1.2)</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BFBFBF" w:themeColor="accent2"/>
              <w:bottom w:val="single" w:sz="4" w:space="0" w:color="000000" w:themeColor="text1"/>
            </w:tcBorders>
            <w:noWrap/>
            <w:tcMar>
              <w:right w:w="0" w:type="nil"/>
            </w:tcMar>
            <w:hideMark/>
          </w:tcPr>
          <w:p w14:paraId="48BE06A4" w14:textId="77777777" w:rsidR="006E51BF" w:rsidRPr="00107A72" w:rsidRDefault="006E51BF">
            <w:pPr>
              <w:pStyle w:val="ARfintabletextright8pt"/>
            </w:pPr>
            <w:r w:rsidRPr="00107A72">
              <w:t>(1.2)</w:t>
            </w:r>
          </w:p>
        </w:tc>
      </w:tr>
      <w:tr w:rsidR="006E51BF" w:rsidRPr="00107A72" w14:paraId="28D61216"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200" w:type="pct"/>
            <w:tcBorders>
              <w:top w:val="single" w:sz="4" w:space="0" w:color="000000" w:themeColor="text1"/>
              <w:bottom w:val="single" w:sz="4" w:space="0" w:color="000000" w:themeColor="text1"/>
            </w:tcBorders>
            <w:hideMark/>
          </w:tcPr>
          <w:p w14:paraId="66E8F086" w14:textId="32F684DE" w:rsidR="006E51BF" w:rsidRPr="00107A72" w:rsidRDefault="006E51BF">
            <w:pPr>
              <w:pStyle w:val="ARfintabletextbold8pt"/>
            </w:pPr>
            <w:r w:rsidRPr="00107A72">
              <w:t xml:space="preserve">Total other economic flows </w:t>
            </w:r>
            <w:r w:rsidRPr="00B5533A">
              <w:rPr>
                <w:bCs/>
              </w:rPr>
              <w:t>–</w:t>
            </w:r>
            <w:r w:rsidRPr="00107A72">
              <w:t xml:space="preserve"> other</w:t>
            </w:r>
            <w:r w:rsidR="00F00394">
              <w:t> </w:t>
            </w:r>
            <w:r w:rsidRPr="00107A72">
              <w:t>comprehensive income</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11603CCB" w14:textId="77777777" w:rsidR="006E51BF" w:rsidRPr="00107A72" w:rsidRDefault="006E51BF">
            <w:pPr>
              <w:pStyle w:val="ARfintabletextboldright8pt"/>
            </w:pPr>
            <w:r w:rsidRPr="00107A72">
              <w:t>(1.6)</w:t>
            </w:r>
          </w:p>
        </w:tc>
        <w:tc>
          <w:tcPr>
            <w:tcW w:w="292" w:type="pct"/>
            <w:tcBorders>
              <w:top w:val="single" w:sz="4" w:space="0" w:color="000000" w:themeColor="text1"/>
              <w:bottom w:val="single" w:sz="4" w:space="0" w:color="000000" w:themeColor="text1"/>
            </w:tcBorders>
            <w:noWrap/>
            <w:tcMar>
              <w:right w:w="0" w:type="nil"/>
            </w:tcMar>
            <w:hideMark/>
          </w:tcPr>
          <w:p w14:paraId="3408F1BE"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(4.3)</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562ED020" w14:textId="77777777" w:rsidR="006E51BF" w:rsidRPr="00107A72" w:rsidRDefault="006E51BF">
            <w:pPr>
              <w:pStyle w:val="ARfintabletextboldright8pt"/>
            </w:pPr>
            <w:r w:rsidRPr="00107A72">
              <w:t>–</w:t>
            </w:r>
          </w:p>
        </w:tc>
        <w:tc>
          <w:tcPr>
            <w:tcW w:w="292" w:type="pct"/>
            <w:tcBorders>
              <w:top w:val="single" w:sz="4" w:space="0" w:color="000000" w:themeColor="text1"/>
              <w:bottom w:val="single" w:sz="4" w:space="0" w:color="000000" w:themeColor="text1"/>
            </w:tcBorders>
            <w:noWrap/>
            <w:tcMar>
              <w:right w:w="0" w:type="nil"/>
            </w:tcMar>
            <w:hideMark/>
          </w:tcPr>
          <w:p w14:paraId="5CF34E1D"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7D089D5A" w14:textId="77777777" w:rsidR="006E51BF" w:rsidRPr="00107A72" w:rsidRDefault="006E51BF">
            <w:pPr>
              <w:pStyle w:val="ARfintabletextboldright8pt"/>
            </w:pPr>
            <w:r w:rsidRPr="00107A72">
              <w:t>–</w:t>
            </w:r>
          </w:p>
        </w:tc>
        <w:tc>
          <w:tcPr>
            <w:tcW w:w="292" w:type="pct"/>
            <w:tcBorders>
              <w:top w:val="single" w:sz="4" w:space="0" w:color="000000" w:themeColor="text1"/>
              <w:bottom w:val="single" w:sz="4" w:space="0" w:color="000000" w:themeColor="text1"/>
            </w:tcBorders>
            <w:noWrap/>
            <w:tcMar>
              <w:right w:w="0" w:type="nil"/>
            </w:tcMar>
            <w:hideMark/>
          </w:tcPr>
          <w:p w14:paraId="4E897856"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0ADA51CA" w14:textId="77777777" w:rsidR="006E51BF" w:rsidRPr="00107A72" w:rsidRDefault="006E51BF">
            <w:pPr>
              <w:pStyle w:val="ARfintabletextboldright8pt"/>
            </w:pPr>
            <w:r w:rsidRPr="00107A72">
              <w:t>–</w:t>
            </w:r>
          </w:p>
        </w:tc>
        <w:tc>
          <w:tcPr>
            <w:tcW w:w="292" w:type="pct"/>
            <w:tcBorders>
              <w:top w:val="single" w:sz="4" w:space="0" w:color="000000" w:themeColor="text1"/>
              <w:bottom w:val="single" w:sz="4" w:space="0" w:color="000000" w:themeColor="text1"/>
            </w:tcBorders>
            <w:noWrap/>
            <w:tcMar>
              <w:right w:w="0" w:type="nil"/>
            </w:tcMar>
            <w:hideMark/>
          </w:tcPr>
          <w:p w14:paraId="74805DFD"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7BA2A82B" w14:textId="77777777" w:rsidR="006E51BF" w:rsidRPr="00107A72" w:rsidRDefault="006E51BF">
            <w:pPr>
              <w:pStyle w:val="ARfintabletextboldright8pt"/>
            </w:pPr>
            <w:r w:rsidRPr="00107A72">
              <w:t>–</w:t>
            </w:r>
          </w:p>
        </w:tc>
        <w:tc>
          <w:tcPr>
            <w:tcW w:w="292" w:type="pct"/>
            <w:tcBorders>
              <w:top w:val="single" w:sz="4" w:space="0" w:color="000000" w:themeColor="text1"/>
              <w:bottom w:val="single" w:sz="4" w:space="0" w:color="000000" w:themeColor="text1"/>
            </w:tcBorders>
            <w:noWrap/>
            <w:tcMar>
              <w:right w:w="0" w:type="nil"/>
            </w:tcMar>
            <w:hideMark/>
          </w:tcPr>
          <w:p w14:paraId="2A1A842A"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564D138D" w14:textId="77777777" w:rsidR="006E51BF" w:rsidRPr="00107A72" w:rsidRDefault="006E51BF">
            <w:pPr>
              <w:pStyle w:val="ARfintabletextboldright8pt"/>
            </w:pPr>
            <w:r w:rsidRPr="00107A72">
              <w:t>–</w:t>
            </w:r>
          </w:p>
        </w:tc>
        <w:tc>
          <w:tcPr>
            <w:tcW w:w="292" w:type="pct"/>
            <w:tcBorders>
              <w:top w:val="single" w:sz="4" w:space="0" w:color="000000" w:themeColor="text1"/>
              <w:bottom w:val="single" w:sz="4" w:space="0" w:color="000000" w:themeColor="text1"/>
            </w:tcBorders>
            <w:noWrap/>
            <w:tcMar>
              <w:right w:w="0" w:type="nil"/>
            </w:tcMar>
            <w:hideMark/>
          </w:tcPr>
          <w:p w14:paraId="65F3EF52" w14:textId="77777777" w:rsidR="006E51BF" w:rsidRPr="00107A72"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107A72">
              <w:t>3.0</w:t>
            </w:r>
          </w:p>
        </w:tc>
        <w:tc>
          <w:tcPr>
            <w:cnfStyle w:val="000001000000" w:firstRow="0" w:lastRow="0" w:firstColumn="0" w:lastColumn="0" w:oddVBand="0" w:evenVBand="1" w:oddHBand="0" w:evenHBand="0" w:firstRowFirstColumn="0" w:firstRowLastColumn="0" w:lastRowFirstColumn="0" w:lastRowLastColumn="0"/>
            <w:tcW w:w="292" w:type="pct"/>
            <w:tcBorders>
              <w:top w:val="single" w:sz="4" w:space="0" w:color="000000" w:themeColor="text1"/>
              <w:bottom w:val="single" w:sz="4" w:space="0" w:color="000000" w:themeColor="text1"/>
            </w:tcBorders>
            <w:noWrap/>
            <w:tcMar>
              <w:right w:w="0" w:type="nil"/>
            </w:tcMar>
            <w:hideMark/>
          </w:tcPr>
          <w:p w14:paraId="5A311A98" w14:textId="77777777" w:rsidR="006E51BF" w:rsidRPr="00107A72" w:rsidRDefault="006E51BF">
            <w:pPr>
              <w:pStyle w:val="ARfintabletextboldright8pt"/>
            </w:pPr>
            <w:r w:rsidRPr="00107A72">
              <w:t>(2.9)</w:t>
            </w:r>
          </w:p>
        </w:tc>
      </w:tr>
      <w:tr w:rsidR="006E51BF" w:rsidRPr="00107A72" w14:paraId="7F8FFCFC" w14:textId="77777777" w:rsidTr="00785A35">
        <w:trPr>
          <w:cnfStyle w:val="010000000000" w:firstRow="0" w:lastRow="1" w:firstColumn="0" w:lastColumn="0" w:oddVBand="0" w:evenVBand="0" w:oddHBand="0" w:evenHBand="0" w:firstRowFirstColumn="0" w:firstRowLastColumn="0" w:lastRowFirstColumn="0" w:lastRowLastColumn="0"/>
          <w:trHeight w:val="20"/>
        </w:trPr>
        <w:tc>
          <w:tcPr>
            <w:tcW w:w="1200" w:type="pct"/>
            <w:noWrap/>
            <w:hideMark/>
          </w:tcPr>
          <w:p w14:paraId="378099CE" w14:textId="77777777" w:rsidR="006E51BF" w:rsidRPr="00107A72" w:rsidRDefault="006E51BF">
            <w:pPr>
              <w:pStyle w:val="ARfintabletextbold8pt"/>
            </w:pPr>
            <w:r w:rsidRPr="00107A72">
              <w:t>Comprehensive result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B993612" w14:textId="77777777" w:rsidR="006E51BF" w:rsidRPr="00107A72" w:rsidRDefault="006E51BF">
            <w:pPr>
              <w:pStyle w:val="ARfintabletextboldright8pt"/>
            </w:pPr>
            <w:r w:rsidRPr="00107A72">
              <w:t>(1.9)</w:t>
            </w:r>
          </w:p>
        </w:tc>
        <w:tc>
          <w:tcPr>
            <w:tcW w:w="292" w:type="pct"/>
            <w:noWrap/>
            <w:tcMar>
              <w:right w:w="0" w:type="nil"/>
            </w:tcMar>
            <w:hideMark/>
          </w:tcPr>
          <w:p w14:paraId="1FBC4042" w14:textId="77777777" w:rsidR="006E51BF" w:rsidRPr="00107A72"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107A72">
              <w:t>(173.2)</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13F9F726" w14:textId="77777777" w:rsidR="006E51BF" w:rsidRPr="00107A72" w:rsidRDefault="006E51BF">
            <w:pPr>
              <w:pStyle w:val="ARfintabletextboldright8pt"/>
            </w:pPr>
            <w:r w:rsidRPr="00107A72">
              <w:t>7.3</w:t>
            </w:r>
          </w:p>
        </w:tc>
        <w:tc>
          <w:tcPr>
            <w:tcW w:w="292" w:type="pct"/>
            <w:noWrap/>
            <w:tcMar>
              <w:right w:w="0" w:type="nil"/>
            </w:tcMar>
            <w:hideMark/>
          </w:tcPr>
          <w:p w14:paraId="778B381B" w14:textId="77777777" w:rsidR="006E51BF" w:rsidRPr="00107A72"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107A72">
              <w:t>(0.1)</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32F452B4" w14:textId="77777777" w:rsidR="006E51BF" w:rsidRPr="00107A72" w:rsidRDefault="006E51BF">
            <w:pPr>
              <w:pStyle w:val="ARfintabletextboldright8pt"/>
            </w:pPr>
            <w:r w:rsidRPr="00107A72">
              <w:t>(0.3)</w:t>
            </w:r>
          </w:p>
        </w:tc>
        <w:tc>
          <w:tcPr>
            <w:tcW w:w="292" w:type="pct"/>
            <w:noWrap/>
            <w:tcMar>
              <w:right w:w="0" w:type="nil"/>
            </w:tcMar>
            <w:hideMark/>
          </w:tcPr>
          <w:p w14:paraId="621596A2" w14:textId="77777777" w:rsidR="006E51BF" w:rsidRPr="00107A72"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107A72">
              <w:t>0.1</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7140BD7C" w14:textId="77777777" w:rsidR="006E51BF" w:rsidRPr="00107A72" w:rsidRDefault="006E51BF">
            <w:pPr>
              <w:pStyle w:val="ARfintabletextboldright8pt"/>
            </w:pPr>
            <w:r w:rsidRPr="00A931BA">
              <w:t>–</w:t>
            </w:r>
          </w:p>
        </w:tc>
        <w:tc>
          <w:tcPr>
            <w:tcW w:w="292" w:type="pct"/>
            <w:noWrap/>
            <w:tcMar>
              <w:right w:w="0" w:type="nil"/>
            </w:tcMar>
            <w:hideMark/>
          </w:tcPr>
          <w:p w14:paraId="5BB228D1" w14:textId="77777777" w:rsidR="006E51BF" w:rsidRPr="00107A72"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107A72">
              <w:t>–</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CD4D3FC" w14:textId="77777777" w:rsidR="006E51BF" w:rsidRPr="00107A72" w:rsidRDefault="006E51BF">
            <w:pPr>
              <w:pStyle w:val="ARfintabletextboldright8pt"/>
            </w:pPr>
            <w:r w:rsidRPr="00107A72">
              <w:t>(0.1)</w:t>
            </w:r>
          </w:p>
        </w:tc>
        <w:tc>
          <w:tcPr>
            <w:tcW w:w="292" w:type="pct"/>
            <w:noWrap/>
            <w:tcMar>
              <w:right w:w="0" w:type="nil"/>
            </w:tcMar>
            <w:hideMark/>
          </w:tcPr>
          <w:p w14:paraId="6BD54043" w14:textId="77777777" w:rsidR="006E51BF" w:rsidRPr="00107A72"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107A72">
              <w:t>(0.1)</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6F0F42BF" w14:textId="77777777" w:rsidR="006E51BF" w:rsidRPr="00107A72" w:rsidRDefault="006E51BF">
            <w:pPr>
              <w:pStyle w:val="ARfintabletextboldright8pt"/>
            </w:pPr>
            <w:r w:rsidRPr="00107A72">
              <w:t>0.1</w:t>
            </w:r>
          </w:p>
        </w:tc>
        <w:tc>
          <w:tcPr>
            <w:tcW w:w="292" w:type="pct"/>
            <w:noWrap/>
            <w:tcMar>
              <w:right w:w="0" w:type="nil"/>
            </w:tcMar>
            <w:hideMark/>
          </w:tcPr>
          <w:p w14:paraId="378095B2" w14:textId="77777777" w:rsidR="006E51BF" w:rsidRPr="00107A72"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107A72">
              <w:t>(356.8)</w:t>
            </w:r>
          </w:p>
        </w:tc>
        <w:tc>
          <w:tcPr>
            <w:cnfStyle w:val="000001000000" w:firstRow="0" w:lastRow="0" w:firstColumn="0" w:lastColumn="0" w:oddVBand="0" w:evenVBand="1" w:oddHBand="0" w:evenHBand="0" w:firstRowFirstColumn="0" w:firstRowLastColumn="0" w:lastRowFirstColumn="0" w:lastRowLastColumn="0"/>
            <w:tcW w:w="292" w:type="pct"/>
            <w:noWrap/>
            <w:tcMar>
              <w:right w:w="0" w:type="nil"/>
            </w:tcMar>
            <w:hideMark/>
          </w:tcPr>
          <w:p w14:paraId="5AFB8E53" w14:textId="77777777" w:rsidR="006E51BF" w:rsidRPr="00107A72" w:rsidRDefault="006E51BF">
            <w:pPr>
              <w:pStyle w:val="ARfintabletextboldright8pt"/>
            </w:pPr>
            <w:r w:rsidRPr="00107A72">
              <w:t>(525.1)</w:t>
            </w:r>
          </w:p>
        </w:tc>
      </w:tr>
    </w:tbl>
    <w:p w14:paraId="51E952E5" w14:textId="77777777" w:rsidR="006E51BF" w:rsidRDefault="006E51BF">
      <w:pPr>
        <w:pStyle w:val="ARfintablenote"/>
      </w:pPr>
      <w:r>
        <w:t>Notes:</w:t>
      </w:r>
    </w:p>
    <w:p w14:paraId="7F1E0510" w14:textId="77777777" w:rsidR="006E51BF" w:rsidRPr="00A43B4B" w:rsidRDefault="006E51BF" w:rsidP="006E51BF">
      <w:pPr>
        <w:pStyle w:val="ARfintablenoteroman"/>
        <w:numPr>
          <w:ilvl w:val="0"/>
          <w:numId w:val="59"/>
        </w:numPr>
      </w:pPr>
      <w:r>
        <w:t>Refer to Note 4.1.1 for output definitions.</w:t>
      </w:r>
      <w:r>
        <w:br w:type="page"/>
      </w:r>
    </w:p>
    <w:p w14:paraId="3DB529E7" w14:textId="77777777" w:rsidR="006E51BF" w:rsidRPr="00A43B4B" w:rsidRDefault="006E51BF">
      <w:pPr>
        <w:pStyle w:val="Heading5"/>
      </w:pPr>
      <w:r w:rsidRPr="00A43B4B">
        <w:t xml:space="preserve">4.1.3 </w:t>
      </w:r>
      <w:r w:rsidRPr="00A43B4B">
        <w:tab/>
        <w:t xml:space="preserve">Departmental outputs </w:t>
      </w:r>
      <w:r w:rsidRPr="00B5533A">
        <w:t>–</w:t>
      </w:r>
      <w:r w:rsidRPr="00107A72">
        <w:t xml:space="preserve"> </w:t>
      </w:r>
      <w:r w:rsidRPr="00A43B4B">
        <w:t>Controlled assets and liabilities for the year ended 30 June 2026</w:t>
      </w:r>
    </w:p>
    <w:tbl>
      <w:tblPr>
        <w:tblStyle w:val="ARtable1"/>
        <w:tblW w:w="5000" w:type="pct"/>
        <w:tblLook w:val="00E0" w:firstRow="1" w:lastRow="1" w:firstColumn="1" w:lastColumn="0" w:noHBand="0" w:noVBand="0"/>
      </w:tblPr>
      <w:tblGrid>
        <w:gridCol w:w="1769"/>
        <w:gridCol w:w="985"/>
        <w:gridCol w:w="985"/>
        <w:gridCol w:w="984"/>
        <w:gridCol w:w="984"/>
        <w:gridCol w:w="984"/>
        <w:gridCol w:w="984"/>
        <w:gridCol w:w="984"/>
        <w:gridCol w:w="984"/>
        <w:gridCol w:w="984"/>
        <w:gridCol w:w="984"/>
        <w:gridCol w:w="984"/>
        <w:gridCol w:w="984"/>
        <w:gridCol w:w="981"/>
      </w:tblGrid>
      <w:tr w:rsidR="006E51BF" w:rsidRPr="00073B03" w14:paraId="46BE87D6" w14:textId="77777777" w:rsidTr="00785A35">
        <w:trPr>
          <w:cnfStyle w:val="100000000000" w:firstRow="1" w:lastRow="0" w:firstColumn="0" w:lastColumn="0" w:oddVBand="0" w:evenVBand="0" w:oddHBand="0" w:evenHBand="0" w:firstRowFirstColumn="0" w:firstRowLastColumn="0" w:lastRowFirstColumn="0" w:lastRowLastColumn="0"/>
          <w:trHeight w:val="20"/>
          <w:tblHeader/>
        </w:trPr>
        <w:tc>
          <w:tcPr>
            <w:tcW w:w="607" w:type="pct"/>
            <w:noWrap/>
            <w:hideMark/>
          </w:tcPr>
          <w:p w14:paraId="6A155CC1" w14:textId="77777777" w:rsidR="006E51BF" w:rsidRPr="00073B03" w:rsidRDefault="006E51BF">
            <w:pPr>
              <w:pStyle w:val="ARfintablecolhead8pt"/>
            </w:pPr>
            <w:r w:rsidRPr="00073B03">
              <w:t xml:space="preserve">Output </w:t>
            </w:r>
            <w:r w:rsidRPr="00073B03">
              <w:rPr>
                <w:vertAlign w:val="superscript"/>
              </w:rPr>
              <w:t>(</w:t>
            </w:r>
            <w:proofErr w:type="spellStart"/>
            <w:r w:rsidRPr="00073B03">
              <w:rPr>
                <w:vertAlign w:val="superscript"/>
              </w:rPr>
              <w:t>i</w:t>
            </w:r>
            <w:proofErr w:type="spellEnd"/>
            <w:r w:rsidRPr="00073B03">
              <w:rPr>
                <w:vertAlign w:val="superscript"/>
              </w:rPr>
              <w:t>)</w:t>
            </w:r>
          </w:p>
          <w:p w14:paraId="50945026" w14:textId="77777777" w:rsidR="006E51BF" w:rsidRPr="00073B03" w:rsidRDefault="006E51BF">
            <w:pPr>
              <w:pStyle w:val="ARfintablecolhead8pt"/>
            </w:pPr>
            <w:r w:rsidRPr="00073B03">
              <w:t>2026</w:t>
            </w:r>
          </w:p>
        </w:tc>
        <w:tc>
          <w:tcPr>
            <w:cnfStyle w:val="000001000000" w:firstRow="0" w:lastRow="0" w:firstColumn="0" w:lastColumn="0" w:oddVBand="0" w:evenVBand="1" w:oddHBand="0" w:evenHBand="0" w:firstRowFirstColumn="0" w:firstRowLastColumn="0" w:lastRowFirstColumn="0" w:lastRowLastColumn="0"/>
            <w:tcW w:w="338" w:type="pct"/>
            <w:tcMar>
              <w:right w:w="0" w:type="nil"/>
            </w:tcMar>
            <w:hideMark/>
          </w:tcPr>
          <w:p w14:paraId="64D39B31" w14:textId="77777777" w:rsidR="006E51BF" w:rsidRPr="00073B03" w:rsidRDefault="006E51BF">
            <w:pPr>
              <w:pStyle w:val="ARfintablecolheadright8pt"/>
            </w:pPr>
            <w:r w:rsidRPr="00073B03">
              <w:t>1</w:t>
            </w:r>
          </w:p>
          <w:p w14:paraId="24F59B64" w14:textId="77777777" w:rsidR="006E51BF" w:rsidRPr="00073B03" w:rsidRDefault="006E51BF">
            <w:pPr>
              <w:pStyle w:val="ARfintablecolheadright8pt"/>
            </w:pPr>
            <w:r w:rsidRPr="00073B03">
              <w:t>$M</w:t>
            </w:r>
          </w:p>
        </w:tc>
        <w:tc>
          <w:tcPr>
            <w:tcW w:w="338" w:type="pct"/>
            <w:tcMar>
              <w:right w:w="0" w:type="nil"/>
            </w:tcMar>
            <w:hideMark/>
          </w:tcPr>
          <w:p w14:paraId="7D571714"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2</w:t>
            </w:r>
          </w:p>
          <w:p w14:paraId="111D4C9C"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$M</w:t>
            </w:r>
          </w:p>
        </w:tc>
        <w:tc>
          <w:tcPr>
            <w:cnfStyle w:val="000001000000" w:firstRow="0" w:lastRow="0" w:firstColumn="0" w:lastColumn="0" w:oddVBand="0" w:evenVBand="1" w:oddHBand="0" w:evenHBand="0" w:firstRowFirstColumn="0" w:firstRowLastColumn="0" w:lastRowFirstColumn="0" w:lastRowLastColumn="0"/>
            <w:tcW w:w="338" w:type="pct"/>
            <w:tcMar>
              <w:right w:w="0" w:type="nil"/>
            </w:tcMar>
            <w:hideMark/>
          </w:tcPr>
          <w:p w14:paraId="2C10B758" w14:textId="77777777" w:rsidR="006E51BF" w:rsidRPr="00073B03" w:rsidRDefault="006E51BF">
            <w:pPr>
              <w:pStyle w:val="ARfintablecolheadright8pt"/>
            </w:pPr>
            <w:r w:rsidRPr="00073B03">
              <w:t>3</w:t>
            </w:r>
          </w:p>
          <w:p w14:paraId="18566710" w14:textId="77777777" w:rsidR="006E51BF" w:rsidRPr="00073B03" w:rsidRDefault="006E51BF">
            <w:pPr>
              <w:pStyle w:val="ARfintablecolheadright8pt"/>
            </w:pPr>
            <w:r w:rsidRPr="00073B03">
              <w:t>$M</w:t>
            </w:r>
          </w:p>
        </w:tc>
        <w:tc>
          <w:tcPr>
            <w:tcW w:w="338" w:type="pct"/>
            <w:tcMar>
              <w:right w:w="0" w:type="nil"/>
            </w:tcMar>
            <w:hideMark/>
          </w:tcPr>
          <w:p w14:paraId="45BC9E37"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4</w:t>
            </w:r>
          </w:p>
          <w:p w14:paraId="700E6FCE"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$M</w:t>
            </w:r>
          </w:p>
        </w:tc>
        <w:tc>
          <w:tcPr>
            <w:cnfStyle w:val="000001000000" w:firstRow="0" w:lastRow="0" w:firstColumn="0" w:lastColumn="0" w:oddVBand="0" w:evenVBand="1" w:oddHBand="0" w:evenHBand="0" w:firstRowFirstColumn="0" w:firstRowLastColumn="0" w:lastRowFirstColumn="0" w:lastRowLastColumn="0"/>
            <w:tcW w:w="338" w:type="pct"/>
            <w:tcMar>
              <w:right w:w="0" w:type="nil"/>
            </w:tcMar>
            <w:hideMark/>
          </w:tcPr>
          <w:p w14:paraId="74E42B24" w14:textId="77777777" w:rsidR="006E51BF" w:rsidRPr="00073B03" w:rsidRDefault="006E51BF">
            <w:pPr>
              <w:pStyle w:val="ARfintablecolheadright8pt"/>
            </w:pPr>
            <w:r w:rsidRPr="00073B03">
              <w:t>5</w:t>
            </w:r>
          </w:p>
          <w:p w14:paraId="70580746" w14:textId="77777777" w:rsidR="006E51BF" w:rsidRPr="00073B03" w:rsidRDefault="006E51BF">
            <w:pPr>
              <w:pStyle w:val="ARfintablecolheadright8pt"/>
            </w:pPr>
            <w:r w:rsidRPr="00073B03">
              <w:t>$M</w:t>
            </w:r>
          </w:p>
        </w:tc>
        <w:tc>
          <w:tcPr>
            <w:tcW w:w="338" w:type="pct"/>
            <w:tcMar>
              <w:right w:w="0" w:type="nil"/>
            </w:tcMar>
            <w:hideMark/>
          </w:tcPr>
          <w:p w14:paraId="7C1C0ABA"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6</w:t>
            </w:r>
          </w:p>
          <w:p w14:paraId="5AD47CFA"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$M</w:t>
            </w:r>
          </w:p>
        </w:tc>
        <w:tc>
          <w:tcPr>
            <w:cnfStyle w:val="000001000000" w:firstRow="0" w:lastRow="0" w:firstColumn="0" w:lastColumn="0" w:oddVBand="0" w:evenVBand="1" w:oddHBand="0" w:evenHBand="0" w:firstRowFirstColumn="0" w:firstRowLastColumn="0" w:lastRowFirstColumn="0" w:lastRowLastColumn="0"/>
            <w:tcW w:w="338" w:type="pct"/>
            <w:tcMar>
              <w:right w:w="0" w:type="nil"/>
            </w:tcMar>
            <w:hideMark/>
          </w:tcPr>
          <w:p w14:paraId="24CB62F5" w14:textId="77777777" w:rsidR="006E51BF" w:rsidRPr="00073B03" w:rsidRDefault="006E51BF">
            <w:pPr>
              <w:pStyle w:val="ARfintablecolheadright8pt"/>
            </w:pPr>
            <w:r w:rsidRPr="00073B03">
              <w:t>7</w:t>
            </w:r>
          </w:p>
          <w:p w14:paraId="29A00634" w14:textId="77777777" w:rsidR="006E51BF" w:rsidRPr="00073B03" w:rsidRDefault="006E51BF">
            <w:pPr>
              <w:pStyle w:val="ARfintablecolheadright8pt"/>
            </w:pPr>
            <w:r w:rsidRPr="00073B03">
              <w:t>$M</w:t>
            </w:r>
          </w:p>
        </w:tc>
        <w:tc>
          <w:tcPr>
            <w:tcW w:w="338" w:type="pct"/>
            <w:tcMar>
              <w:right w:w="0" w:type="nil"/>
            </w:tcMar>
            <w:hideMark/>
          </w:tcPr>
          <w:p w14:paraId="7B1AD161"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8</w:t>
            </w:r>
          </w:p>
          <w:p w14:paraId="4EDF63EF"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$M</w:t>
            </w:r>
          </w:p>
        </w:tc>
        <w:tc>
          <w:tcPr>
            <w:cnfStyle w:val="000001000000" w:firstRow="0" w:lastRow="0" w:firstColumn="0" w:lastColumn="0" w:oddVBand="0" w:evenVBand="1" w:oddHBand="0" w:evenHBand="0" w:firstRowFirstColumn="0" w:firstRowLastColumn="0" w:lastRowFirstColumn="0" w:lastRowLastColumn="0"/>
            <w:tcW w:w="338" w:type="pct"/>
            <w:tcMar>
              <w:right w:w="0" w:type="nil"/>
            </w:tcMar>
            <w:hideMark/>
          </w:tcPr>
          <w:p w14:paraId="6B099EAA" w14:textId="77777777" w:rsidR="006E51BF" w:rsidRPr="00073B03" w:rsidRDefault="006E51BF">
            <w:pPr>
              <w:pStyle w:val="ARfintablecolheadright8pt"/>
            </w:pPr>
            <w:r w:rsidRPr="00073B03">
              <w:t>9</w:t>
            </w:r>
          </w:p>
          <w:p w14:paraId="6B18CD9A" w14:textId="77777777" w:rsidR="006E51BF" w:rsidRPr="00073B03" w:rsidRDefault="006E51BF">
            <w:pPr>
              <w:pStyle w:val="ARfintablecolheadright8pt"/>
            </w:pPr>
            <w:r w:rsidRPr="00073B03">
              <w:t>$M</w:t>
            </w:r>
          </w:p>
        </w:tc>
        <w:tc>
          <w:tcPr>
            <w:tcW w:w="338" w:type="pct"/>
            <w:tcMar>
              <w:right w:w="0" w:type="nil"/>
            </w:tcMar>
            <w:hideMark/>
          </w:tcPr>
          <w:p w14:paraId="319471E0"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10</w:t>
            </w:r>
          </w:p>
          <w:p w14:paraId="26E16BA1"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$M</w:t>
            </w:r>
          </w:p>
        </w:tc>
        <w:tc>
          <w:tcPr>
            <w:cnfStyle w:val="000001000000" w:firstRow="0" w:lastRow="0" w:firstColumn="0" w:lastColumn="0" w:oddVBand="0" w:evenVBand="1" w:oddHBand="0" w:evenHBand="0" w:firstRowFirstColumn="0" w:firstRowLastColumn="0" w:lastRowFirstColumn="0" w:lastRowLastColumn="0"/>
            <w:tcW w:w="338" w:type="pct"/>
            <w:tcMar>
              <w:right w:w="0" w:type="nil"/>
            </w:tcMar>
            <w:hideMark/>
          </w:tcPr>
          <w:p w14:paraId="30EABD61" w14:textId="77777777" w:rsidR="006E51BF" w:rsidRPr="00073B03" w:rsidRDefault="006E51BF">
            <w:pPr>
              <w:pStyle w:val="ARfintablecolheadright8pt"/>
            </w:pPr>
            <w:r w:rsidRPr="00073B03">
              <w:t>11</w:t>
            </w:r>
          </w:p>
          <w:p w14:paraId="38700D6D" w14:textId="77777777" w:rsidR="006E51BF" w:rsidRPr="00073B03" w:rsidRDefault="006E51BF">
            <w:pPr>
              <w:pStyle w:val="ARfintablecolheadright8pt"/>
            </w:pPr>
            <w:r w:rsidRPr="00073B03">
              <w:t>$M</w:t>
            </w:r>
          </w:p>
        </w:tc>
        <w:tc>
          <w:tcPr>
            <w:tcW w:w="338" w:type="pct"/>
            <w:tcMar>
              <w:right w:w="0" w:type="nil"/>
            </w:tcMar>
            <w:hideMark/>
          </w:tcPr>
          <w:p w14:paraId="3DBFEA9C"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12</w:t>
            </w:r>
          </w:p>
          <w:p w14:paraId="06983E9D"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$M</w:t>
            </w:r>
          </w:p>
        </w:tc>
        <w:tc>
          <w:tcPr>
            <w:cnfStyle w:val="000001000000" w:firstRow="0" w:lastRow="0" w:firstColumn="0" w:lastColumn="0" w:oddVBand="0" w:evenVBand="1" w:oddHBand="0" w:evenHBand="0" w:firstRowFirstColumn="0" w:firstRowLastColumn="0" w:lastRowFirstColumn="0" w:lastRowLastColumn="0"/>
            <w:tcW w:w="338" w:type="pct"/>
            <w:tcMar>
              <w:right w:w="0" w:type="nil"/>
            </w:tcMar>
            <w:hideMark/>
          </w:tcPr>
          <w:p w14:paraId="19A6BBA5" w14:textId="77777777" w:rsidR="006E51BF" w:rsidRPr="00073B03" w:rsidRDefault="006E51BF">
            <w:pPr>
              <w:pStyle w:val="ARfintablecolheadright8pt"/>
            </w:pPr>
            <w:r w:rsidRPr="00073B03">
              <w:t>Total</w:t>
            </w:r>
          </w:p>
          <w:p w14:paraId="2C795BAB" w14:textId="77777777" w:rsidR="006E51BF" w:rsidRPr="00073B03" w:rsidRDefault="006E51BF">
            <w:pPr>
              <w:pStyle w:val="ARfintablecolheadright8pt"/>
            </w:pPr>
            <w:r w:rsidRPr="00073B03">
              <w:t>$M</w:t>
            </w:r>
          </w:p>
        </w:tc>
      </w:tr>
      <w:tr w:rsidR="006E51BF" w:rsidRPr="00073B03" w14:paraId="052322F0"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607" w:type="pct"/>
            <w:noWrap/>
            <w:hideMark/>
          </w:tcPr>
          <w:p w14:paraId="166DF8FB" w14:textId="77777777" w:rsidR="006E51BF" w:rsidRPr="00073B03" w:rsidRDefault="006E51BF">
            <w:pPr>
              <w:pStyle w:val="Arfintabletextboldcoloured8pt"/>
            </w:pPr>
            <w:r w:rsidRPr="00073B03">
              <w:t>Assets</w:t>
            </w:r>
          </w:p>
        </w:tc>
        <w:tc>
          <w:tcPr>
            <w:cnfStyle w:val="000001000000" w:firstRow="0" w:lastRow="0" w:firstColumn="0" w:lastColumn="0" w:oddVBand="0" w:evenVBand="1" w:oddHBand="0" w:evenHBand="0" w:firstRowFirstColumn="0" w:firstRowLastColumn="0" w:lastRowFirstColumn="0" w:lastRowLastColumn="0"/>
            <w:tcW w:w="338" w:type="pct"/>
            <w:shd w:val="clear" w:color="auto" w:fill="auto"/>
            <w:noWrap/>
            <w:tcMar>
              <w:right w:w="0" w:type="nil"/>
            </w:tcMar>
            <w:hideMark/>
          </w:tcPr>
          <w:p w14:paraId="13F57FAA" w14:textId="77777777" w:rsidR="006E51BF" w:rsidRPr="00073B03" w:rsidRDefault="006E51BF">
            <w:pPr>
              <w:pStyle w:val="ARfintabletextright8pt"/>
            </w:pPr>
          </w:p>
        </w:tc>
        <w:tc>
          <w:tcPr>
            <w:tcW w:w="338" w:type="pct"/>
            <w:noWrap/>
            <w:tcMar>
              <w:right w:w="0" w:type="nil"/>
            </w:tcMar>
            <w:hideMark/>
          </w:tcPr>
          <w:p w14:paraId="4C2F655D"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shd w:val="clear" w:color="auto" w:fill="auto"/>
            <w:noWrap/>
            <w:tcMar>
              <w:right w:w="0" w:type="nil"/>
            </w:tcMar>
            <w:hideMark/>
          </w:tcPr>
          <w:p w14:paraId="51507B00" w14:textId="77777777" w:rsidR="006E51BF" w:rsidRPr="00073B03" w:rsidRDefault="006E51BF">
            <w:pPr>
              <w:pStyle w:val="ARfintabletextright8pt"/>
            </w:pPr>
          </w:p>
        </w:tc>
        <w:tc>
          <w:tcPr>
            <w:tcW w:w="338" w:type="pct"/>
            <w:noWrap/>
            <w:tcMar>
              <w:right w:w="0" w:type="nil"/>
            </w:tcMar>
            <w:hideMark/>
          </w:tcPr>
          <w:p w14:paraId="178B7D27"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shd w:val="clear" w:color="auto" w:fill="auto"/>
            <w:noWrap/>
            <w:tcMar>
              <w:right w:w="0" w:type="nil"/>
            </w:tcMar>
            <w:hideMark/>
          </w:tcPr>
          <w:p w14:paraId="5D4D05F3" w14:textId="77777777" w:rsidR="006E51BF" w:rsidRPr="00073B03" w:rsidRDefault="006E51BF">
            <w:pPr>
              <w:pStyle w:val="ARfintabletextright8pt"/>
            </w:pPr>
          </w:p>
        </w:tc>
        <w:tc>
          <w:tcPr>
            <w:tcW w:w="338" w:type="pct"/>
            <w:noWrap/>
            <w:tcMar>
              <w:right w:w="0" w:type="nil"/>
            </w:tcMar>
            <w:hideMark/>
          </w:tcPr>
          <w:p w14:paraId="6EEA31BD"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shd w:val="clear" w:color="auto" w:fill="auto"/>
            <w:noWrap/>
            <w:tcMar>
              <w:right w:w="0" w:type="nil"/>
            </w:tcMar>
            <w:hideMark/>
          </w:tcPr>
          <w:p w14:paraId="2983002B" w14:textId="77777777" w:rsidR="006E51BF" w:rsidRPr="00073B03" w:rsidRDefault="006E51BF">
            <w:pPr>
              <w:pStyle w:val="ARfintabletextright8pt"/>
            </w:pPr>
          </w:p>
        </w:tc>
        <w:tc>
          <w:tcPr>
            <w:tcW w:w="338" w:type="pct"/>
            <w:noWrap/>
            <w:tcMar>
              <w:right w:w="0" w:type="nil"/>
            </w:tcMar>
            <w:hideMark/>
          </w:tcPr>
          <w:p w14:paraId="21AA49AA"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shd w:val="clear" w:color="auto" w:fill="auto"/>
            <w:noWrap/>
            <w:tcMar>
              <w:right w:w="0" w:type="nil"/>
            </w:tcMar>
            <w:hideMark/>
          </w:tcPr>
          <w:p w14:paraId="1CD8C2A5" w14:textId="77777777" w:rsidR="006E51BF" w:rsidRPr="00073B03" w:rsidRDefault="006E51BF">
            <w:pPr>
              <w:pStyle w:val="ARfintabletextright8pt"/>
            </w:pPr>
          </w:p>
        </w:tc>
        <w:tc>
          <w:tcPr>
            <w:tcW w:w="338" w:type="pct"/>
            <w:noWrap/>
            <w:tcMar>
              <w:right w:w="0" w:type="nil"/>
            </w:tcMar>
            <w:hideMark/>
          </w:tcPr>
          <w:p w14:paraId="42AFFD26"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shd w:val="clear" w:color="auto" w:fill="auto"/>
            <w:noWrap/>
            <w:tcMar>
              <w:right w:w="0" w:type="nil"/>
            </w:tcMar>
            <w:hideMark/>
          </w:tcPr>
          <w:p w14:paraId="748F6009" w14:textId="77777777" w:rsidR="006E51BF" w:rsidRPr="00073B03" w:rsidRDefault="006E51BF">
            <w:pPr>
              <w:pStyle w:val="ARfintabletextright8pt"/>
            </w:pPr>
          </w:p>
        </w:tc>
        <w:tc>
          <w:tcPr>
            <w:tcW w:w="338" w:type="pct"/>
            <w:noWrap/>
            <w:tcMar>
              <w:right w:w="0" w:type="nil"/>
            </w:tcMar>
            <w:hideMark/>
          </w:tcPr>
          <w:p w14:paraId="3B64332E"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shd w:val="clear" w:color="auto" w:fill="auto"/>
            <w:noWrap/>
            <w:tcMar>
              <w:right w:w="0" w:type="nil"/>
            </w:tcMar>
            <w:hideMark/>
          </w:tcPr>
          <w:p w14:paraId="0E0C3392" w14:textId="77777777" w:rsidR="006E51BF" w:rsidRPr="00073B03" w:rsidRDefault="006E51BF">
            <w:pPr>
              <w:pStyle w:val="ARfintabletextright8pt"/>
            </w:pPr>
          </w:p>
        </w:tc>
      </w:tr>
      <w:tr w:rsidR="006E51BF" w:rsidRPr="00073B03" w14:paraId="04FCDF26"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607" w:type="pct"/>
            <w:tcBorders>
              <w:bottom w:val="single" w:sz="4" w:space="0" w:color="BFBFBF" w:themeColor="accent2"/>
            </w:tcBorders>
            <w:noWrap/>
            <w:hideMark/>
          </w:tcPr>
          <w:p w14:paraId="2FFFFBD3" w14:textId="77777777" w:rsidR="006E51BF" w:rsidRPr="00A43B4B" w:rsidRDefault="006E51BF">
            <w:pPr>
              <w:pStyle w:val="ARfintabletext8pt"/>
            </w:pPr>
            <w:r w:rsidRPr="00A43B4B">
              <w:t>Financial assets</w:t>
            </w:r>
          </w:p>
        </w:tc>
        <w:tc>
          <w:tcPr>
            <w:cnfStyle w:val="000001000000" w:firstRow="0" w:lastRow="0" w:firstColumn="0" w:lastColumn="0" w:oddVBand="0" w:evenVBand="1" w:oddHBand="0" w:evenHBand="0" w:firstRowFirstColumn="0" w:firstRowLastColumn="0" w:lastRowFirstColumn="0" w:lastRowLastColumn="0"/>
            <w:tcW w:w="338" w:type="pct"/>
            <w:tcBorders>
              <w:bottom w:val="single" w:sz="4" w:space="0" w:color="BFBFBF" w:themeColor="accent2"/>
            </w:tcBorders>
            <w:noWrap/>
            <w:tcMar>
              <w:right w:w="0" w:type="nil"/>
            </w:tcMar>
            <w:hideMark/>
          </w:tcPr>
          <w:p w14:paraId="0A6C8EB2" w14:textId="77777777" w:rsidR="006E51BF" w:rsidRPr="00073B03" w:rsidRDefault="006E51BF">
            <w:pPr>
              <w:pStyle w:val="ARfintabletextright8pt"/>
            </w:pPr>
            <w:r w:rsidRPr="00073B03">
              <w:t>284.6</w:t>
            </w:r>
          </w:p>
        </w:tc>
        <w:tc>
          <w:tcPr>
            <w:tcW w:w="338" w:type="pct"/>
            <w:tcBorders>
              <w:bottom w:val="single" w:sz="4" w:space="0" w:color="BFBFBF" w:themeColor="accent2"/>
            </w:tcBorders>
            <w:noWrap/>
            <w:tcMar>
              <w:right w:w="0" w:type="nil"/>
            </w:tcMar>
            <w:hideMark/>
          </w:tcPr>
          <w:p w14:paraId="01AAE942"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233.3</w:t>
            </w:r>
          </w:p>
        </w:tc>
        <w:tc>
          <w:tcPr>
            <w:cnfStyle w:val="000001000000" w:firstRow="0" w:lastRow="0" w:firstColumn="0" w:lastColumn="0" w:oddVBand="0" w:evenVBand="1" w:oddHBand="0" w:evenHBand="0" w:firstRowFirstColumn="0" w:firstRowLastColumn="0" w:lastRowFirstColumn="0" w:lastRowLastColumn="0"/>
            <w:tcW w:w="338" w:type="pct"/>
            <w:tcBorders>
              <w:bottom w:val="single" w:sz="4" w:space="0" w:color="BFBFBF" w:themeColor="accent2"/>
            </w:tcBorders>
            <w:noWrap/>
            <w:tcMar>
              <w:right w:w="0" w:type="nil"/>
            </w:tcMar>
            <w:hideMark/>
          </w:tcPr>
          <w:p w14:paraId="14C32AFF" w14:textId="77777777" w:rsidR="006E51BF" w:rsidRPr="00073B03" w:rsidRDefault="006E51BF">
            <w:pPr>
              <w:pStyle w:val="ARfintabletextright8pt"/>
            </w:pPr>
            <w:r w:rsidRPr="00073B03">
              <w:t>217.1</w:t>
            </w:r>
          </w:p>
        </w:tc>
        <w:tc>
          <w:tcPr>
            <w:tcW w:w="338" w:type="pct"/>
            <w:tcBorders>
              <w:bottom w:val="single" w:sz="4" w:space="0" w:color="BFBFBF" w:themeColor="accent2"/>
            </w:tcBorders>
            <w:noWrap/>
            <w:tcMar>
              <w:right w:w="0" w:type="nil"/>
            </w:tcMar>
            <w:hideMark/>
          </w:tcPr>
          <w:p w14:paraId="1E553DF3"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26.9</w:t>
            </w:r>
          </w:p>
        </w:tc>
        <w:tc>
          <w:tcPr>
            <w:cnfStyle w:val="000001000000" w:firstRow="0" w:lastRow="0" w:firstColumn="0" w:lastColumn="0" w:oddVBand="0" w:evenVBand="1" w:oddHBand="0" w:evenHBand="0" w:firstRowFirstColumn="0" w:firstRowLastColumn="0" w:lastRowFirstColumn="0" w:lastRowLastColumn="0"/>
            <w:tcW w:w="338" w:type="pct"/>
            <w:tcBorders>
              <w:bottom w:val="single" w:sz="4" w:space="0" w:color="BFBFBF" w:themeColor="accent2"/>
            </w:tcBorders>
            <w:noWrap/>
            <w:tcMar>
              <w:right w:w="0" w:type="nil"/>
            </w:tcMar>
            <w:hideMark/>
          </w:tcPr>
          <w:p w14:paraId="47365E6E" w14:textId="77777777" w:rsidR="006E51BF" w:rsidRPr="00073B03" w:rsidRDefault="006E51BF">
            <w:pPr>
              <w:pStyle w:val="ARfintabletextright8pt"/>
            </w:pPr>
            <w:r w:rsidRPr="00073B03">
              <w:t>19.3</w:t>
            </w:r>
          </w:p>
        </w:tc>
        <w:tc>
          <w:tcPr>
            <w:tcW w:w="338" w:type="pct"/>
            <w:tcBorders>
              <w:bottom w:val="single" w:sz="4" w:space="0" w:color="BFBFBF" w:themeColor="accent2"/>
            </w:tcBorders>
            <w:noWrap/>
            <w:tcMar>
              <w:right w:w="0" w:type="nil"/>
            </w:tcMar>
            <w:hideMark/>
          </w:tcPr>
          <w:p w14:paraId="0BD182EC"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14.0</w:t>
            </w:r>
          </w:p>
        </w:tc>
        <w:tc>
          <w:tcPr>
            <w:cnfStyle w:val="000001000000" w:firstRow="0" w:lastRow="0" w:firstColumn="0" w:lastColumn="0" w:oddVBand="0" w:evenVBand="1" w:oddHBand="0" w:evenHBand="0" w:firstRowFirstColumn="0" w:firstRowLastColumn="0" w:lastRowFirstColumn="0" w:lastRowLastColumn="0"/>
            <w:tcW w:w="338" w:type="pct"/>
            <w:tcBorders>
              <w:bottom w:val="single" w:sz="4" w:space="0" w:color="BFBFBF" w:themeColor="accent2"/>
            </w:tcBorders>
            <w:noWrap/>
            <w:tcMar>
              <w:right w:w="0" w:type="nil"/>
            </w:tcMar>
            <w:hideMark/>
          </w:tcPr>
          <w:p w14:paraId="7F984CDB" w14:textId="77777777" w:rsidR="006E51BF" w:rsidRPr="00073B03" w:rsidRDefault="006E51BF">
            <w:pPr>
              <w:pStyle w:val="ARfintabletextright8pt"/>
            </w:pPr>
            <w:r w:rsidRPr="00073B03">
              <w:t>14.4</w:t>
            </w:r>
          </w:p>
        </w:tc>
        <w:tc>
          <w:tcPr>
            <w:tcW w:w="338" w:type="pct"/>
            <w:tcBorders>
              <w:bottom w:val="single" w:sz="4" w:space="0" w:color="BFBFBF" w:themeColor="accent2"/>
            </w:tcBorders>
            <w:noWrap/>
            <w:tcMar>
              <w:right w:w="0" w:type="nil"/>
            </w:tcMar>
            <w:hideMark/>
          </w:tcPr>
          <w:p w14:paraId="10C96572"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23.4</w:t>
            </w:r>
          </w:p>
        </w:tc>
        <w:tc>
          <w:tcPr>
            <w:cnfStyle w:val="000001000000" w:firstRow="0" w:lastRow="0" w:firstColumn="0" w:lastColumn="0" w:oddVBand="0" w:evenVBand="1" w:oddHBand="0" w:evenHBand="0" w:firstRowFirstColumn="0" w:firstRowLastColumn="0" w:lastRowFirstColumn="0" w:lastRowLastColumn="0"/>
            <w:tcW w:w="338" w:type="pct"/>
            <w:tcBorders>
              <w:bottom w:val="single" w:sz="4" w:space="0" w:color="BFBFBF" w:themeColor="accent2"/>
            </w:tcBorders>
            <w:noWrap/>
            <w:tcMar>
              <w:right w:w="0" w:type="nil"/>
            </w:tcMar>
            <w:hideMark/>
          </w:tcPr>
          <w:p w14:paraId="194591DF" w14:textId="77777777" w:rsidR="006E51BF" w:rsidRPr="00073B03" w:rsidRDefault="006E51BF">
            <w:pPr>
              <w:pStyle w:val="ARfintabletextright8pt"/>
            </w:pPr>
            <w:r w:rsidRPr="00073B03">
              <w:t>47.8</w:t>
            </w:r>
          </w:p>
        </w:tc>
        <w:tc>
          <w:tcPr>
            <w:tcW w:w="338" w:type="pct"/>
            <w:tcBorders>
              <w:bottom w:val="single" w:sz="4" w:space="0" w:color="BFBFBF" w:themeColor="accent2"/>
            </w:tcBorders>
            <w:noWrap/>
            <w:tcMar>
              <w:right w:w="0" w:type="nil"/>
            </w:tcMar>
            <w:hideMark/>
          </w:tcPr>
          <w:p w14:paraId="1CF9C81E"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36.1</w:t>
            </w:r>
          </w:p>
        </w:tc>
        <w:tc>
          <w:tcPr>
            <w:cnfStyle w:val="000001000000" w:firstRow="0" w:lastRow="0" w:firstColumn="0" w:lastColumn="0" w:oddVBand="0" w:evenVBand="1" w:oddHBand="0" w:evenHBand="0" w:firstRowFirstColumn="0" w:firstRowLastColumn="0" w:lastRowFirstColumn="0" w:lastRowLastColumn="0"/>
            <w:tcW w:w="338" w:type="pct"/>
            <w:tcBorders>
              <w:bottom w:val="single" w:sz="4" w:space="0" w:color="BFBFBF" w:themeColor="accent2"/>
            </w:tcBorders>
            <w:noWrap/>
            <w:tcMar>
              <w:right w:w="0" w:type="nil"/>
            </w:tcMar>
            <w:hideMark/>
          </w:tcPr>
          <w:p w14:paraId="357EF1E7" w14:textId="77777777" w:rsidR="006E51BF" w:rsidRPr="00073B03" w:rsidRDefault="006E51BF">
            <w:pPr>
              <w:pStyle w:val="ARfintabletextright8pt"/>
            </w:pPr>
            <w:r w:rsidRPr="00073B03">
              <w:t>85.0</w:t>
            </w:r>
          </w:p>
        </w:tc>
        <w:tc>
          <w:tcPr>
            <w:tcW w:w="338" w:type="pct"/>
            <w:tcBorders>
              <w:bottom w:val="single" w:sz="4" w:space="0" w:color="BFBFBF" w:themeColor="accent2"/>
            </w:tcBorders>
            <w:noWrap/>
            <w:tcMar>
              <w:right w:w="0" w:type="nil"/>
            </w:tcMar>
            <w:hideMark/>
          </w:tcPr>
          <w:p w14:paraId="6212FDF0"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1,373.8</w:t>
            </w:r>
          </w:p>
        </w:tc>
        <w:tc>
          <w:tcPr>
            <w:cnfStyle w:val="000001000000" w:firstRow="0" w:lastRow="0" w:firstColumn="0" w:lastColumn="0" w:oddVBand="0" w:evenVBand="1" w:oddHBand="0" w:evenHBand="0" w:firstRowFirstColumn="0" w:firstRowLastColumn="0" w:lastRowFirstColumn="0" w:lastRowLastColumn="0"/>
            <w:tcW w:w="338" w:type="pct"/>
            <w:tcBorders>
              <w:bottom w:val="single" w:sz="4" w:space="0" w:color="BFBFBF" w:themeColor="accent2"/>
            </w:tcBorders>
            <w:noWrap/>
            <w:tcMar>
              <w:right w:w="0" w:type="nil"/>
            </w:tcMar>
            <w:hideMark/>
          </w:tcPr>
          <w:p w14:paraId="0DA4C3EC" w14:textId="77777777" w:rsidR="006E51BF" w:rsidRPr="00073B03" w:rsidRDefault="006E51BF">
            <w:pPr>
              <w:pStyle w:val="ARfintabletextright8pt"/>
            </w:pPr>
            <w:r w:rsidRPr="00073B03">
              <w:t>2,375.6</w:t>
            </w:r>
          </w:p>
        </w:tc>
      </w:tr>
      <w:tr w:rsidR="006E51BF" w:rsidRPr="00073B03" w14:paraId="6BD89D30"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607" w:type="pct"/>
            <w:tcBorders>
              <w:top w:val="single" w:sz="4" w:space="0" w:color="BFBFBF" w:themeColor="accent2"/>
              <w:bottom w:val="single" w:sz="4" w:space="0" w:color="000000" w:themeColor="text1"/>
            </w:tcBorders>
            <w:noWrap/>
            <w:hideMark/>
          </w:tcPr>
          <w:p w14:paraId="740960EF" w14:textId="77777777" w:rsidR="006E51BF" w:rsidRPr="00A43B4B" w:rsidRDefault="006E51BF">
            <w:pPr>
              <w:pStyle w:val="ARfintabletext8pt"/>
            </w:pPr>
            <w:r w:rsidRPr="00A43B4B">
              <w:t>Non-financial assets</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26D8B081" w14:textId="77777777" w:rsidR="006E51BF" w:rsidRPr="00073B03" w:rsidRDefault="006E51BF">
            <w:pPr>
              <w:pStyle w:val="ARfintabletextright8pt"/>
            </w:pPr>
            <w:r w:rsidRPr="00073B03">
              <w:t>1,256.2</w:t>
            </w:r>
          </w:p>
        </w:tc>
        <w:tc>
          <w:tcPr>
            <w:tcW w:w="338" w:type="pct"/>
            <w:tcBorders>
              <w:top w:val="single" w:sz="4" w:space="0" w:color="BFBFBF" w:themeColor="accent2"/>
              <w:bottom w:val="single" w:sz="4" w:space="0" w:color="000000" w:themeColor="text1"/>
            </w:tcBorders>
            <w:noWrap/>
            <w:tcMar>
              <w:right w:w="0" w:type="nil"/>
            </w:tcMar>
            <w:hideMark/>
          </w:tcPr>
          <w:p w14:paraId="61F80C1E"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073B03">
              <w:t>387.2</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03F5D124" w14:textId="77777777" w:rsidR="006E51BF" w:rsidRPr="00073B03" w:rsidRDefault="006E51BF">
            <w:pPr>
              <w:pStyle w:val="ARfintabletextright8pt"/>
            </w:pPr>
            <w:r w:rsidRPr="00073B03">
              <w:t>(0.3)</w:t>
            </w:r>
          </w:p>
        </w:tc>
        <w:tc>
          <w:tcPr>
            <w:tcW w:w="338" w:type="pct"/>
            <w:tcBorders>
              <w:top w:val="single" w:sz="4" w:space="0" w:color="BFBFBF" w:themeColor="accent2"/>
              <w:bottom w:val="single" w:sz="4" w:space="0" w:color="000000" w:themeColor="text1"/>
            </w:tcBorders>
            <w:noWrap/>
            <w:tcMar>
              <w:right w:w="0" w:type="nil"/>
            </w:tcMar>
            <w:hideMark/>
          </w:tcPr>
          <w:p w14:paraId="0864F752"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A931BA">
              <w:t>–</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2470C2D5" w14:textId="77777777" w:rsidR="006E51BF" w:rsidRPr="00073B03" w:rsidRDefault="006E51BF">
            <w:pPr>
              <w:pStyle w:val="ARfintabletextright8pt"/>
            </w:pPr>
            <w:r w:rsidRPr="00073B03">
              <w:t>0.3</w:t>
            </w:r>
          </w:p>
        </w:tc>
        <w:tc>
          <w:tcPr>
            <w:tcW w:w="338" w:type="pct"/>
            <w:tcBorders>
              <w:top w:val="single" w:sz="4" w:space="0" w:color="BFBFBF" w:themeColor="accent2"/>
              <w:bottom w:val="single" w:sz="4" w:space="0" w:color="000000" w:themeColor="text1"/>
            </w:tcBorders>
            <w:noWrap/>
            <w:tcMar>
              <w:right w:w="0" w:type="nil"/>
            </w:tcMar>
            <w:hideMark/>
          </w:tcPr>
          <w:p w14:paraId="14EF2825"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A931BA">
              <w:t>–</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35E3C0D9" w14:textId="77777777" w:rsidR="006E51BF" w:rsidRPr="00073B03" w:rsidRDefault="006E51BF">
            <w:pPr>
              <w:pStyle w:val="ARfintabletextright8pt"/>
            </w:pPr>
            <w:r w:rsidRPr="00A931BA">
              <w:t>–</w:t>
            </w:r>
          </w:p>
        </w:tc>
        <w:tc>
          <w:tcPr>
            <w:tcW w:w="338" w:type="pct"/>
            <w:tcBorders>
              <w:top w:val="single" w:sz="4" w:space="0" w:color="BFBFBF" w:themeColor="accent2"/>
              <w:bottom w:val="single" w:sz="4" w:space="0" w:color="000000" w:themeColor="text1"/>
            </w:tcBorders>
            <w:noWrap/>
            <w:tcMar>
              <w:right w:w="0" w:type="nil"/>
            </w:tcMar>
            <w:hideMark/>
          </w:tcPr>
          <w:p w14:paraId="7D6A2184"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073B03">
              <w:t>2.4</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6B94B93D" w14:textId="77777777" w:rsidR="006E51BF" w:rsidRPr="00073B03" w:rsidRDefault="006E51BF">
            <w:pPr>
              <w:pStyle w:val="ARfintabletextright8pt"/>
            </w:pPr>
            <w:r w:rsidRPr="00A931BA">
              <w:t>–</w:t>
            </w:r>
          </w:p>
        </w:tc>
        <w:tc>
          <w:tcPr>
            <w:tcW w:w="338" w:type="pct"/>
            <w:tcBorders>
              <w:top w:val="single" w:sz="4" w:space="0" w:color="BFBFBF" w:themeColor="accent2"/>
              <w:bottom w:val="single" w:sz="4" w:space="0" w:color="000000" w:themeColor="text1"/>
            </w:tcBorders>
            <w:noWrap/>
            <w:tcMar>
              <w:right w:w="0" w:type="nil"/>
            </w:tcMar>
            <w:hideMark/>
          </w:tcPr>
          <w:p w14:paraId="439355C4"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A931BA">
              <w:t>–</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064E1CBE" w14:textId="77777777" w:rsidR="006E51BF" w:rsidRPr="00073B03" w:rsidRDefault="006E51BF">
            <w:pPr>
              <w:pStyle w:val="ARfintabletextright8pt"/>
            </w:pPr>
            <w:r w:rsidRPr="00073B03">
              <w:t>40.6</w:t>
            </w:r>
          </w:p>
        </w:tc>
        <w:tc>
          <w:tcPr>
            <w:tcW w:w="338" w:type="pct"/>
            <w:tcBorders>
              <w:top w:val="single" w:sz="4" w:space="0" w:color="BFBFBF" w:themeColor="accent2"/>
              <w:bottom w:val="single" w:sz="4" w:space="0" w:color="000000" w:themeColor="text1"/>
            </w:tcBorders>
            <w:noWrap/>
            <w:tcMar>
              <w:right w:w="0" w:type="nil"/>
            </w:tcMar>
            <w:hideMark/>
          </w:tcPr>
          <w:p w14:paraId="7DB16502"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073B03">
              <w:t>37,924.7</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197D0294" w14:textId="77777777" w:rsidR="006E51BF" w:rsidRPr="00073B03" w:rsidRDefault="006E51BF">
            <w:pPr>
              <w:pStyle w:val="ARfintabletextright8pt"/>
            </w:pPr>
            <w:r w:rsidRPr="00073B03">
              <w:t>39,611.0</w:t>
            </w:r>
          </w:p>
        </w:tc>
      </w:tr>
      <w:tr w:rsidR="006E51BF" w:rsidRPr="00073B03" w14:paraId="6B3E9FC3"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607" w:type="pct"/>
            <w:tcBorders>
              <w:top w:val="single" w:sz="4" w:space="0" w:color="000000" w:themeColor="text1"/>
              <w:bottom w:val="single" w:sz="4" w:space="0" w:color="000000" w:themeColor="text1"/>
            </w:tcBorders>
            <w:noWrap/>
            <w:hideMark/>
          </w:tcPr>
          <w:p w14:paraId="701327D5" w14:textId="77777777" w:rsidR="006E51BF" w:rsidRPr="00A43B4B" w:rsidRDefault="006E51BF">
            <w:pPr>
              <w:pStyle w:val="ARfintabletextbold8pt"/>
            </w:pPr>
            <w:r w:rsidRPr="00A43B4B">
              <w:t>Total assets</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29EBF7B6" w14:textId="77777777" w:rsidR="006E51BF" w:rsidRPr="00073B03" w:rsidRDefault="006E51BF">
            <w:pPr>
              <w:pStyle w:val="ARfintabletextboldright8pt"/>
            </w:pPr>
            <w:r w:rsidRPr="00073B03">
              <w:t>1,540.7</w:t>
            </w:r>
          </w:p>
        </w:tc>
        <w:tc>
          <w:tcPr>
            <w:tcW w:w="338" w:type="pct"/>
            <w:tcBorders>
              <w:top w:val="single" w:sz="4" w:space="0" w:color="000000" w:themeColor="text1"/>
              <w:bottom w:val="single" w:sz="4" w:space="0" w:color="000000" w:themeColor="text1"/>
            </w:tcBorders>
            <w:noWrap/>
            <w:tcMar>
              <w:right w:w="0" w:type="nil"/>
            </w:tcMar>
            <w:hideMark/>
          </w:tcPr>
          <w:p w14:paraId="5C8AD928" w14:textId="77777777" w:rsidR="006E51BF" w:rsidRPr="00073B03"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073B03">
              <w:t>620.5</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55B9BDC7" w14:textId="77777777" w:rsidR="006E51BF" w:rsidRPr="00073B03" w:rsidRDefault="006E51BF">
            <w:pPr>
              <w:pStyle w:val="ARfintabletextboldright8pt"/>
            </w:pPr>
            <w:r w:rsidRPr="00073B03">
              <w:t>216.8</w:t>
            </w:r>
          </w:p>
        </w:tc>
        <w:tc>
          <w:tcPr>
            <w:tcW w:w="338" w:type="pct"/>
            <w:tcBorders>
              <w:top w:val="single" w:sz="4" w:space="0" w:color="000000" w:themeColor="text1"/>
              <w:bottom w:val="single" w:sz="4" w:space="0" w:color="000000" w:themeColor="text1"/>
            </w:tcBorders>
            <w:noWrap/>
            <w:tcMar>
              <w:right w:w="0" w:type="nil"/>
            </w:tcMar>
            <w:hideMark/>
          </w:tcPr>
          <w:p w14:paraId="51B26ADC" w14:textId="77777777" w:rsidR="006E51BF" w:rsidRPr="00073B03"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073B03">
              <w:t>26.9</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44BA6585" w14:textId="77777777" w:rsidR="006E51BF" w:rsidRPr="00073B03" w:rsidRDefault="006E51BF">
            <w:pPr>
              <w:pStyle w:val="ARfintabletextboldright8pt"/>
            </w:pPr>
            <w:r w:rsidRPr="00073B03">
              <w:t>19.6</w:t>
            </w:r>
          </w:p>
        </w:tc>
        <w:tc>
          <w:tcPr>
            <w:tcW w:w="338" w:type="pct"/>
            <w:tcBorders>
              <w:top w:val="single" w:sz="4" w:space="0" w:color="000000" w:themeColor="text1"/>
              <w:bottom w:val="single" w:sz="4" w:space="0" w:color="000000" w:themeColor="text1"/>
            </w:tcBorders>
            <w:noWrap/>
            <w:tcMar>
              <w:right w:w="0" w:type="nil"/>
            </w:tcMar>
            <w:hideMark/>
          </w:tcPr>
          <w:p w14:paraId="3DD572DD" w14:textId="77777777" w:rsidR="006E51BF" w:rsidRPr="00073B03"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073B03">
              <w:t>14.0</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40A45011" w14:textId="77777777" w:rsidR="006E51BF" w:rsidRPr="00073B03" w:rsidRDefault="006E51BF">
            <w:pPr>
              <w:pStyle w:val="ARfintabletextboldright8pt"/>
            </w:pPr>
            <w:r w:rsidRPr="00073B03">
              <w:t>14.4</w:t>
            </w:r>
          </w:p>
        </w:tc>
        <w:tc>
          <w:tcPr>
            <w:tcW w:w="338" w:type="pct"/>
            <w:tcBorders>
              <w:top w:val="single" w:sz="4" w:space="0" w:color="000000" w:themeColor="text1"/>
              <w:bottom w:val="single" w:sz="4" w:space="0" w:color="000000" w:themeColor="text1"/>
            </w:tcBorders>
            <w:noWrap/>
            <w:tcMar>
              <w:right w:w="0" w:type="nil"/>
            </w:tcMar>
            <w:hideMark/>
          </w:tcPr>
          <w:p w14:paraId="7AA07676" w14:textId="77777777" w:rsidR="006E51BF" w:rsidRPr="00073B03"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073B03">
              <w:t>25.8</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78ED8859" w14:textId="77777777" w:rsidR="006E51BF" w:rsidRPr="00073B03" w:rsidRDefault="006E51BF">
            <w:pPr>
              <w:pStyle w:val="ARfintabletextboldright8pt"/>
            </w:pPr>
            <w:r w:rsidRPr="00073B03">
              <w:t>47.8</w:t>
            </w:r>
          </w:p>
        </w:tc>
        <w:tc>
          <w:tcPr>
            <w:tcW w:w="338" w:type="pct"/>
            <w:tcBorders>
              <w:top w:val="single" w:sz="4" w:space="0" w:color="000000" w:themeColor="text1"/>
              <w:bottom w:val="single" w:sz="4" w:space="0" w:color="000000" w:themeColor="text1"/>
            </w:tcBorders>
            <w:noWrap/>
            <w:tcMar>
              <w:right w:w="0" w:type="nil"/>
            </w:tcMar>
            <w:hideMark/>
          </w:tcPr>
          <w:p w14:paraId="4B94A55C" w14:textId="77777777" w:rsidR="006E51BF" w:rsidRPr="00073B03"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073B03">
              <w:t>36.1</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20988AF9" w14:textId="77777777" w:rsidR="006E51BF" w:rsidRPr="00073B03" w:rsidRDefault="006E51BF">
            <w:pPr>
              <w:pStyle w:val="ARfintabletextboldright8pt"/>
            </w:pPr>
            <w:r w:rsidRPr="00073B03">
              <w:t>125.6</w:t>
            </w:r>
          </w:p>
        </w:tc>
        <w:tc>
          <w:tcPr>
            <w:tcW w:w="338" w:type="pct"/>
            <w:tcBorders>
              <w:top w:val="single" w:sz="4" w:space="0" w:color="000000" w:themeColor="text1"/>
              <w:bottom w:val="single" w:sz="4" w:space="0" w:color="000000" w:themeColor="text1"/>
            </w:tcBorders>
            <w:noWrap/>
            <w:tcMar>
              <w:right w:w="0" w:type="nil"/>
            </w:tcMar>
            <w:hideMark/>
          </w:tcPr>
          <w:p w14:paraId="1718300D" w14:textId="77777777" w:rsidR="006E51BF" w:rsidRPr="00073B03"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073B03">
              <w:t>39,298.5</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15F8220A" w14:textId="77777777" w:rsidR="006E51BF" w:rsidRPr="00073B03" w:rsidRDefault="006E51BF">
            <w:pPr>
              <w:pStyle w:val="ARfintabletextboldright8pt"/>
            </w:pPr>
            <w:r w:rsidRPr="00073B03">
              <w:t>41,986.6</w:t>
            </w:r>
          </w:p>
        </w:tc>
      </w:tr>
      <w:tr w:rsidR="006E51BF" w:rsidRPr="00073B03" w14:paraId="49E9CC06"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607" w:type="pct"/>
            <w:tcBorders>
              <w:top w:val="single" w:sz="4" w:space="0" w:color="000000" w:themeColor="text1"/>
              <w:bottom w:val="single" w:sz="4" w:space="0" w:color="BFBFBF" w:themeColor="accent2"/>
            </w:tcBorders>
            <w:noWrap/>
            <w:hideMark/>
          </w:tcPr>
          <w:p w14:paraId="5C83FCA4" w14:textId="77777777" w:rsidR="006E51BF" w:rsidRPr="00A43B4B" w:rsidRDefault="006E51BF">
            <w:pPr>
              <w:pStyle w:val="Arfintabletextboldcoloured8pt"/>
            </w:pPr>
            <w:r w:rsidRPr="00A43B4B">
              <w:t>Liabilities</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BFBFBF" w:themeColor="accent2"/>
            </w:tcBorders>
            <w:shd w:val="clear" w:color="auto" w:fill="auto"/>
            <w:noWrap/>
            <w:tcMar>
              <w:right w:w="0" w:type="nil"/>
            </w:tcMar>
            <w:hideMark/>
          </w:tcPr>
          <w:p w14:paraId="4E8002B5" w14:textId="77777777" w:rsidR="006E51BF" w:rsidRPr="00073B03" w:rsidRDefault="006E51BF">
            <w:pPr>
              <w:pStyle w:val="ARfintabletextright8pt"/>
            </w:pPr>
          </w:p>
        </w:tc>
        <w:tc>
          <w:tcPr>
            <w:tcW w:w="338" w:type="pct"/>
            <w:tcBorders>
              <w:top w:val="single" w:sz="4" w:space="0" w:color="000000" w:themeColor="text1"/>
              <w:bottom w:val="single" w:sz="4" w:space="0" w:color="BFBFBF" w:themeColor="accent2"/>
            </w:tcBorders>
            <w:noWrap/>
            <w:tcMar>
              <w:right w:w="0" w:type="nil"/>
            </w:tcMar>
            <w:hideMark/>
          </w:tcPr>
          <w:p w14:paraId="1FF4BF82"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BFBFBF" w:themeColor="accent2"/>
            </w:tcBorders>
            <w:shd w:val="clear" w:color="auto" w:fill="auto"/>
            <w:noWrap/>
            <w:tcMar>
              <w:right w:w="0" w:type="nil"/>
            </w:tcMar>
            <w:hideMark/>
          </w:tcPr>
          <w:p w14:paraId="0B63AB55" w14:textId="77777777" w:rsidR="006E51BF" w:rsidRPr="00073B03" w:rsidRDefault="006E51BF">
            <w:pPr>
              <w:pStyle w:val="ARfintabletextright8pt"/>
            </w:pPr>
          </w:p>
        </w:tc>
        <w:tc>
          <w:tcPr>
            <w:tcW w:w="338" w:type="pct"/>
            <w:tcBorders>
              <w:top w:val="single" w:sz="4" w:space="0" w:color="000000" w:themeColor="text1"/>
              <w:bottom w:val="single" w:sz="4" w:space="0" w:color="BFBFBF" w:themeColor="accent2"/>
            </w:tcBorders>
            <w:noWrap/>
            <w:tcMar>
              <w:right w:w="0" w:type="nil"/>
            </w:tcMar>
            <w:hideMark/>
          </w:tcPr>
          <w:p w14:paraId="09B08BD6"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BFBFBF" w:themeColor="accent2"/>
            </w:tcBorders>
            <w:shd w:val="clear" w:color="auto" w:fill="auto"/>
            <w:noWrap/>
            <w:tcMar>
              <w:right w:w="0" w:type="nil"/>
            </w:tcMar>
            <w:hideMark/>
          </w:tcPr>
          <w:p w14:paraId="54F14DCF" w14:textId="77777777" w:rsidR="006E51BF" w:rsidRPr="00073B03" w:rsidRDefault="006E51BF">
            <w:pPr>
              <w:pStyle w:val="ARfintabletextright8pt"/>
            </w:pPr>
          </w:p>
        </w:tc>
        <w:tc>
          <w:tcPr>
            <w:tcW w:w="338" w:type="pct"/>
            <w:tcBorders>
              <w:top w:val="single" w:sz="4" w:space="0" w:color="000000" w:themeColor="text1"/>
              <w:bottom w:val="single" w:sz="4" w:space="0" w:color="BFBFBF" w:themeColor="accent2"/>
            </w:tcBorders>
            <w:noWrap/>
            <w:tcMar>
              <w:right w:w="0" w:type="nil"/>
            </w:tcMar>
            <w:hideMark/>
          </w:tcPr>
          <w:p w14:paraId="4842D976"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BFBFBF" w:themeColor="accent2"/>
            </w:tcBorders>
            <w:shd w:val="clear" w:color="auto" w:fill="auto"/>
            <w:noWrap/>
            <w:tcMar>
              <w:right w:w="0" w:type="nil"/>
            </w:tcMar>
            <w:hideMark/>
          </w:tcPr>
          <w:p w14:paraId="479D66D9" w14:textId="77777777" w:rsidR="006E51BF" w:rsidRPr="00073B03" w:rsidRDefault="006E51BF">
            <w:pPr>
              <w:pStyle w:val="ARfintabletextright8pt"/>
            </w:pPr>
          </w:p>
        </w:tc>
        <w:tc>
          <w:tcPr>
            <w:tcW w:w="338" w:type="pct"/>
            <w:tcBorders>
              <w:top w:val="single" w:sz="4" w:space="0" w:color="000000" w:themeColor="text1"/>
              <w:bottom w:val="single" w:sz="4" w:space="0" w:color="BFBFBF" w:themeColor="accent2"/>
            </w:tcBorders>
            <w:noWrap/>
            <w:tcMar>
              <w:right w:w="0" w:type="nil"/>
            </w:tcMar>
            <w:hideMark/>
          </w:tcPr>
          <w:p w14:paraId="7C7F6AA5"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BFBFBF" w:themeColor="accent2"/>
            </w:tcBorders>
            <w:shd w:val="clear" w:color="auto" w:fill="auto"/>
            <w:noWrap/>
            <w:tcMar>
              <w:right w:w="0" w:type="nil"/>
            </w:tcMar>
            <w:hideMark/>
          </w:tcPr>
          <w:p w14:paraId="3F2B37A6" w14:textId="77777777" w:rsidR="006E51BF" w:rsidRPr="00073B03" w:rsidRDefault="006E51BF">
            <w:pPr>
              <w:pStyle w:val="ARfintabletextright8pt"/>
            </w:pPr>
          </w:p>
        </w:tc>
        <w:tc>
          <w:tcPr>
            <w:tcW w:w="338" w:type="pct"/>
            <w:tcBorders>
              <w:top w:val="single" w:sz="4" w:space="0" w:color="000000" w:themeColor="text1"/>
              <w:bottom w:val="single" w:sz="4" w:space="0" w:color="BFBFBF" w:themeColor="accent2"/>
            </w:tcBorders>
            <w:noWrap/>
            <w:tcMar>
              <w:right w:w="0" w:type="nil"/>
            </w:tcMar>
            <w:hideMark/>
          </w:tcPr>
          <w:p w14:paraId="7802B0F2"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BFBFBF" w:themeColor="accent2"/>
            </w:tcBorders>
            <w:shd w:val="clear" w:color="auto" w:fill="auto"/>
            <w:noWrap/>
            <w:tcMar>
              <w:right w:w="0" w:type="nil"/>
            </w:tcMar>
            <w:hideMark/>
          </w:tcPr>
          <w:p w14:paraId="1A4B255C" w14:textId="77777777" w:rsidR="006E51BF" w:rsidRPr="00073B03" w:rsidRDefault="006E51BF">
            <w:pPr>
              <w:pStyle w:val="ARfintabletextright8pt"/>
            </w:pPr>
          </w:p>
        </w:tc>
        <w:tc>
          <w:tcPr>
            <w:tcW w:w="338" w:type="pct"/>
            <w:tcBorders>
              <w:top w:val="single" w:sz="4" w:space="0" w:color="000000" w:themeColor="text1"/>
              <w:bottom w:val="single" w:sz="4" w:space="0" w:color="BFBFBF" w:themeColor="accent2"/>
            </w:tcBorders>
            <w:noWrap/>
            <w:tcMar>
              <w:right w:w="0" w:type="nil"/>
            </w:tcMar>
            <w:hideMark/>
          </w:tcPr>
          <w:p w14:paraId="4FE4EE32"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BFBFBF" w:themeColor="accent2"/>
            </w:tcBorders>
            <w:shd w:val="clear" w:color="auto" w:fill="auto"/>
            <w:noWrap/>
            <w:tcMar>
              <w:right w:w="0" w:type="nil"/>
            </w:tcMar>
            <w:hideMark/>
          </w:tcPr>
          <w:p w14:paraId="1C92E1B6" w14:textId="77777777" w:rsidR="006E51BF" w:rsidRPr="00073B03" w:rsidRDefault="006E51BF">
            <w:pPr>
              <w:pStyle w:val="ARfintabletextright8pt"/>
            </w:pPr>
          </w:p>
        </w:tc>
      </w:tr>
      <w:tr w:rsidR="006E51BF" w:rsidRPr="00073B03" w14:paraId="3199D67D"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607" w:type="pct"/>
            <w:tcBorders>
              <w:top w:val="single" w:sz="4" w:space="0" w:color="BFBFBF" w:themeColor="accent2"/>
              <w:bottom w:val="single" w:sz="4" w:space="0" w:color="000000" w:themeColor="text1"/>
            </w:tcBorders>
            <w:noWrap/>
            <w:hideMark/>
          </w:tcPr>
          <w:p w14:paraId="2944D1E8" w14:textId="77777777" w:rsidR="006E51BF" w:rsidRPr="00A43B4B" w:rsidRDefault="006E51BF">
            <w:pPr>
              <w:pStyle w:val="ARfintabletext8pt"/>
            </w:pPr>
            <w:r w:rsidRPr="00A43B4B">
              <w:t>Liabilities</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50356EF2" w14:textId="77777777" w:rsidR="006E51BF" w:rsidRPr="00073B03" w:rsidRDefault="006E51BF">
            <w:pPr>
              <w:pStyle w:val="ARfintabletextright8pt"/>
            </w:pPr>
            <w:r w:rsidRPr="00073B03">
              <w:t>(153.4)</w:t>
            </w:r>
          </w:p>
        </w:tc>
        <w:tc>
          <w:tcPr>
            <w:tcW w:w="338" w:type="pct"/>
            <w:tcBorders>
              <w:top w:val="single" w:sz="4" w:space="0" w:color="BFBFBF" w:themeColor="accent2"/>
              <w:bottom w:val="single" w:sz="4" w:space="0" w:color="000000" w:themeColor="text1"/>
            </w:tcBorders>
            <w:noWrap/>
            <w:tcMar>
              <w:right w:w="0" w:type="nil"/>
            </w:tcMar>
            <w:hideMark/>
          </w:tcPr>
          <w:p w14:paraId="2CEE2690"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(1,006.3)</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474A2453" w14:textId="77777777" w:rsidR="006E51BF" w:rsidRPr="00073B03" w:rsidRDefault="006E51BF">
            <w:pPr>
              <w:pStyle w:val="ARfintabletextright8pt"/>
            </w:pPr>
            <w:r w:rsidRPr="00073B03">
              <w:t>(183.6)</w:t>
            </w:r>
          </w:p>
        </w:tc>
        <w:tc>
          <w:tcPr>
            <w:tcW w:w="338" w:type="pct"/>
            <w:tcBorders>
              <w:top w:val="single" w:sz="4" w:space="0" w:color="BFBFBF" w:themeColor="accent2"/>
              <w:bottom w:val="single" w:sz="4" w:space="0" w:color="000000" w:themeColor="text1"/>
            </w:tcBorders>
            <w:noWrap/>
            <w:tcMar>
              <w:right w:w="0" w:type="nil"/>
            </w:tcMar>
            <w:hideMark/>
          </w:tcPr>
          <w:p w14:paraId="02605EF8"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(8.8)</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46280944" w14:textId="77777777" w:rsidR="006E51BF" w:rsidRPr="00073B03" w:rsidRDefault="006E51BF">
            <w:pPr>
              <w:pStyle w:val="ARfintabletextright8pt"/>
            </w:pPr>
            <w:r w:rsidRPr="00073B03">
              <w:t>(1.9)</w:t>
            </w:r>
          </w:p>
        </w:tc>
        <w:tc>
          <w:tcPr>
            <w:tcW w:w="338" w:type="pct"/>
            <w:tcBorders>
              <w:top w:val="single" w:sz="4" w:space="0" w:color="BFBFBF" w:themeColor="accent2"/>
              <w:bottom w:val="single" w:sz="4" w:space="0" w:color="000000" w:themeColor="text1"/>
            </w:tcBorders>
            <w:noWrap/>
            <w:tcMar>
              <w:right w:w="0" w:type="nil"/>
            </w:tcMar>
            <w:hideMark/>
          </w:tcPr>
          <w:p w14:paraId="08F83FE3"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(0.7)</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36B7AB33" w14:textId="77777777" w:rsidR="006E51BF" w:rsidRPr="00073B03" w:rsidRDefault="006E51BF">
            <w:pPr>
              <w:pStyle w:val="ARfintabletextright8pt"/>
            </w:pPr>
            <w:r w:rsidRPr="00073B03">
              <w:t>(1.2)</w:t>
            </w:r>
          </w:p>
        </w:tc>
        <w:tc>
          <w:tcPr>
            <w:tcW w:w="338" w:type="pct"/>
            <w:tcBorders>
              <w:top w:val="single" w:sz="4" w:space="0" w:color="BFBFBF" w:themeColor="accent2"/>
              <w:bottom w:val="single" w:sz="4" w:space="0" w:color="000000" w:themeColor="text1"/>
            </w:tcBorders>
            <w:noWrap/>
            <w:tcMar>
              <w:right w:w="0" w:type="nil"/>
            </w:tcMar>
            <w:hideMark/>
          </w:tcPr>
          <w:p w14:paraId="3F2FA529"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(2.5)</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21DFE35F" w14:textId="77777777" w:rsidR="006E51BF" w:rsidRPr="00073B03" w:rsidRDefault="006E51BF">
            <w:pPr>
              <w:pStyle w:val="ARfintabletextright8pt"/>
            </w:pPr>
            <w:r w:rsidRPr="00073B03">
              <w:t>(3.9)</w:t>
            </w:r>
          </w:p>
        </w:tc>
        <w:tc>
          <w:tcPr>
            <w:tcW w:w="338" w:type="pct"/>
            <w:tcBorders>
              <w:top w:val="single" w:sz="4" w:space="0" w:color="BFBFBF" w:themeColor="accent2"/>
              <w:bottom w:val="single" w:sz="4" w:space="0" w:color="000000" w:themeColor="text1"/>
            </w:tcBorders>
            <w:noWrap/>
            <w:tcMar>
              <w:right w:w="0" w:type="nil"/>
            </w:tcMar>
            <w:hideMark/>
          </w:tcPr>
          <w:p w14:paraId="2522864F"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(0.8)</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38875386" w14:textId="77777777" w:rsidR="006E51BF" w:rsidRPr="00073B03" w:rsidRDefault="006E51BF">
            <w:pPr>
              <w:pStyle w:val="ARfintabletextright8pt"/>
            </w:pPr>
            <w:r w:rsidRPr="00073B03">
              <w:t>(14.1)</w:t>
            </w:r>
          </w:p>
        </w:tc>
        <w:tc>
          <w:tcPr>
            <w:tcW w:w="338" w:type="pct"/>
            <w:tcBorders>
              <w:top w:val="single" w:sz="4" w:space="0" w:color="BFBFBF" w:themeColor="accent2"/>
              <w:bottom w:val="single" w:sz="4" w:space="0" w:color="000000" w:themeColor="text1"/>
            </w:tcBorders>
            <w:noWrap/>
            <w:tcMar>
              <w:right w:w="0" w:type="nil"/>
            </w:tcMar>
            <w:hideMark/>
          </w:tcPr>
          <w:p w14:paraId="3A9C18D1"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(1,217.4)</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1170DB4D" w14:textId="77777777" w:rsidR="006E51BF" w:rsidRPr="00073B03" w:rsidRDefault="006E51BF">
            <w:pPr>
              <w:pStyle w:val="ARfintabletextright8pt"/>
            </w:pPr>
            <w:r w:rsidRPr="00073B03">
              <w:t>(2,594.6)</w:t>
            </w:r>
          </w:p>
        </w:tc>
      </w:tr>
      <w:tr w:rsidR="006E51BF" w:rsidRPr="00073B03" w14:paraId="16B7B6EE"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607" w:type="pct"/>
            <w:tcBorders>
              <w:top w:val="single" w:sz="4" w:space="0" w:color="000000" w:themeColor="text1"/>
              <w:bottom w:val="single" w:sz="4" w:space="0" w:color="000000" w:themeColor="text1"/>
            </w:tcBorders>
            <w:noWrap/>
            <w:hideMark/>
          </w:tcPr>
          <w:p w14:paraId="75C6581E" w14:textId="77777777" w:rsidR="006E51BF" w:rsidRPr="00A43B4B" w:rsidRDefault="006E51BF">
            <w:pPr>
              <w:pStyle w:val="ARfintabletextbold8pt"/>
            </w:pPr>
            <w:r w:rsidRPr="00A43B4B">
              <w:t>Total liabilities</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552F6784" w14:textId="77777777" w:rsidR="006E51BF" w:rsidRPr="00073B03" w:rsidRDefault="006E51BF">
            <w:pPr>
              <w:pStyle w:val="ARfintabletextboldright8pt"/>
            </w:pPr>
            <w:r w:rsidRPr="00073B03">
              <w:t>(153.4)</w:t>
            </w:r>
          </w:p>
        </w:tc>
        <w:tc>
          <w:tcPr>
            <w:tcW w:w="338" w:type="pct"/>
            <w:tcBorders>
              <w:top w:val="single" w:sz="4" w:space="0" w:color="000000" w:themeColor="text1"/>
              <w:bottom w:val="single" w:sz="4" w:space="0" w:color="000000" w:themeColor="text1"/>
            </w:tcBorders>
            <w:noWrap/>
            <w:tcMar>
              <w:right w:w="0" w:type="nil"/>
            </w:tcMar>
            <w:hideMark/>
          </w:tcPr>
          <w:p w14:paraId="16A30D18" w14:textId="77777777" w:rsidR="006E51BF" w:rsidRPr="00073B03"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73B03">
              <w:t>(1,006.3)</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083A18E8" w14:textId="77777777" w:rsidR="006E51BF" w:rsidRPr="00073B03" w:rsidRDefault="006E51BF">
            <w:pPr>
              <w:pStyle w:val="ARfintabletextboldright8pt"/>
            </w:pPr>
            <w:r w:rsidRPr="00073B03">
              <w:t>(183.6)</w:t>
            </w:r>
          </w:p>
        </w:tc>
        <w:tc>
          <w:tcPr>
            <w:tcW w:w="338" w:type="pct"/>
            <w:tcBorders>
              <w:top w:val="single" w:sz="4" w:space="0" w:color="000000" w:themeColor="text1"/>
              <w:bottom w:val="single" w:sz="4" w:space="0" w:color="000000" w:themeColor="text1"/>
            </w:tcBorders>
            <w:noWrap/>
            <w:tcMar>
              <w:right w:w="0" w:type="nil"/>
            </w:tcMar>
            <w:hideMark/>
          </w:tcPr>
          <w:p w14:paraId="37DA1ED3" w14:textId="77777777" w:rsidR="006E51BF" w:rsidRPr="00073B03"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73B03">
              <w:t>(8.8)</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45DD5460" w14:textId="77777777" w:rsidR="006E51BF" w:rsidRPr="00073B03" w:rsidRDefault="006E51BF">
            <w:pPr>
              <w:pStyle w:val="ARfintabletextboldright8pt"/>
            </w:pPr>
            <w:r w:rsidRPr="00073B03">
              <w:t>(1.9)</w:t>
            </w:r>
          </w:p>
        </w:tc>
        <w:tc>
          <w:tcPr>
            <w:tcW w:w="338" w:type="pct"/>
            <w:tcBorders>
              <w:top w:val="single" w:sz="4" w:space="0" w:color="000000" w:themeColor="text1"/>
              <w:bottom w:val="single" w:sz="4" w:space="0" w:color="000000" w:themeColor="text1"/>
            </w:tcBorders>
            <w:noWrap/>
            <w:tcMar>
              <w:right w:w="0" w:type="nil"/>
            </w:tcMar>
            <w:hideMark/>
          </w:tcPr>
          <w:p w14:paraId="56FACAE7" w14:textId="77777777" w:rsidR="006E51BF" w:rsidRPr="00073B03"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73B03">
              <w:t>(0.7)</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6E46EC90" w14:textId="77777777" w:rsidR="006E51BF" w:rsidRPr="00073B03" w:rsidRDefault="006E51BF">
            <w:pPr>
              <w:pStyle w:val="ARfintabletextboldright8pt"/>
            </w:pPr>
            <w:r w:rsidRPr="00073B03">
              <w:t>(1.2)</w:t>
            </w:r>
          </w:p>
        </w:tc>
        <w:tc>
          <w:tcPr>
            <w:tcW w:w="338" w:type="pct"/>
            <w:tcBorders>
              <w:top w:val="single" w:sz="4" w:space="0" w:color="000000" w:themeColor="text1"/>
              <w:bottom w:val="single" w:sz="4" w:space="0" w:color="000000" w:themeColor="text1"/>
            </w:tcBorders>
            <w:noWrap/>
            <w:tcMar>
              <w:right w:w="0" w:type="nil"/>
            </w:tcMar>
            <w:hideMark/>
          </w:tcPr>
          <w:p w14:paraId="31EE38B0" w14:textId="77777777" w:rsidR="006E51BF" w:rsidRPr="00073B03"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73B03">
              <w:t>(2.5)</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1B0192D4" w14:textId="77777777" w:rsidR="006E51BF" w:rsidRPr="00073B03" w:rsidRDefault="006E51BF">
            <w:pPr>
              <w:pStyle w:val="ARfintabletextboldright8pt"/>
            </w:pPr>
            <w:r w:rsidRPr="00073B03">
              <w:t>(3.9)</w:t>
            </w:r>
          </w:p>
        </w:tc>
        <w:tc>
          <w:tcPr>
            <w:tcW w:w="338" w:type="pct"/>
            <w:tcBorders>
              <w:top w:val="single" w:sz="4" w:space="0" w:color="000000" w:themeColor="text1"/>
              <w:bottom w:val="single" w:sz="4" w:space="0" w:color="000000" w:themeColor="text1"/>
            </w:tcBorders>
            <w:noWrap/>
            <w:tcMar>
              <w:right w:w="0" w:type="nil"/>
            </w:tcMar>
            <w:hideMark/>
          </w:tcPr>
          <w:p w14:paraId="266A8F28" w14:textId="77777777" w:rsidR="006E51BF" w:rsidRPr="00073B03"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73B03">
              <w:t>(0.8)</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6102B796" w14:textId="77777777" w:rsidR="006E51BF" w:rsidRPr="00073B03" w:rsidRDefault="006E51BF">
            <w:pPr>
              <w:pStyle w:val="ARfintabletextboldright8pt"/>
            </w:pPr>
            <w:r w:rsidRPr="00073B03">
              <w:t>(14.1)</w:t>
            </w:r>
          </w:p>
        </w:tc>
        <w:tc>
          <w:tcPr>
            <w:tcW w:w="338" w:type="pct"/>
            <w:tcBorders>
              <w:top w:val="single" w:sz="4" w:space="0" w:color="000000" w:themeColor="text1"/>
              <w:bottom w:val="single" w:sz="4" w:space="0" w:color="000000" w:themeColor="text1"/>
            </w:tcBorders>
            <w:noWrap/>
            <w:tcMar>
              <w:right w:w="0" w:type="nil"/>
            </w:tcMar>
            <w:hideMark/>
          </w:tcPr>
          <w:p w14:paraId="4049EF53" w14:textId="77777777" w:rsidR="006E51BF" w:rsidRPr="00073B03"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73B03">
              <w:t>(1,217.4)</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6F6F2A53" w14:textId="77777777" w:rsidR="006E51BF" w:rsidRPr="00073B03" w:rsidRDefault="006E51BF">
            <w:pPr>
              <w:pStyle w:val="ARfintabletextboldright8pt"/>
            </w:pPr>
            <w:r w:rsidRPr="00073B03">
              <w:t>(2,594.6)</w:t>
            </w:r>
          </w:p>
        </w:tc>
      </w:tr>
      <w:tr w:rsidR="006E51BF" w:rsidRPr="00073B03" w14:paraId="02B76822" w14:textId="77777777" w:rsidTr="00785A35">
        <w:trPr>
          <w:cnfStyle w:val="010000000000" w:firstRow="0" w:lastRow="1" w:firstColumn="0" w:lastColumn="0" w:oddVBand="0" w:evenVBand="0" w:oddHBand="0" w:evenHBand="0" w:firstRowFirstColumn="0" w:firstRowLastColumn="0" w:lastRowFirstColumn="0" w:lastRowLastColumn="0"/>
          <w:trHeight w:val="20"/>
        </w:trPr>
        <w:tc>
          <w:tcPr>
            <w:tcW w:w="607" w:type="pct"/>
            <w:hideMark/>
          </w:tcPr>
          <w:p w14:paraId="20F176D8" w14:textId="77777777" w:rsidR="006E51BF" w:rsidRPr="00A43B4B" w:rsidRDefault="006E51BF">
            <w:pPr>
              <w:pStyle w:val="ARfintabletextbold8pt"/>
            </w:pPr>
            <w:r w:rsidRPr="00A43B4B">
              <w:t>Net assets</w:t>
            </w:r>
          </w:p>
        </w:tc>
        <w:tc>
          <w:tcPr>
            <w:cnfStyle w:val="000001000000" w:firstRow="0" w:lastRow="0" w:firstColumn="0" w:lastColumn="0" w:oddVBand="0" w:evenVBand="1" w:oddHBand="0" w:evenHBand="0" w:firstRowFirstColumn="0" w:firstRowLastColumn="0" w:lastRowFirstColumn="0" w:lastRowLastColumn="0"/>
            <w:tcW w:w="338" w:type="pct"/>
            <w:noWrap/>
            <w:tcMar>
              <w:right w:w="0" w:type="nil"/>
            </w:tcMar>
            <w:hideMark/>
          </w:tcPr>
          <w:p w14:paraId="6A6900A7" w14:textId="77777777" w:rsidR="006E51BF" w:rsidRPr="00073B03" w:rsidRDefault="006E51BF">
            <w:pPr>
              <w:pStyle w:val="ARfintabletextboldright8pt"/>
            </w:pPr>
            <w:r w:rsidRPr="00073B03">
              <w:t>1,387.4</w:t>
            </w:r>
          </w:p>
        </w:tc>
        <w:tc>
          <w:tcPr>
            <w:tcW w:w="338" w:type="pct"/>
            <w:noWrap/>
            <w:tcMar>
              <w:right w:w="0" w:type="nil"/>
            </w:tcMar>
            <w:hideMark/>
          </w:tcPr>
          <w:p w14:paraId="594AEBBF" w14:textId="77777777" w:rsidR="006E51BF" w:rsidRPr="00073B03"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073B03">
              <w:t>(385.8)</w:t>
            </w:r>
          </w:p>
        </w:tc>
        <w:tc>
          <w:tcPr>
            <w:cnfStyle w:val="000001000000" w:firstRow="0" w:lastRow="0" w:firstColumn="0" w:lastColumn="0" w:oddVBand="0" w:evenVBand="1" w:oddHBand="0" w:evenHBand="0" w:firstRowFirstColumn="0" w:firstRowLastColumn="0" w:lastRowFirstColumn="0" w:lastRowLastColumn="0"/>
            <w:tcW w:w="338" w:type="pct"/>
            <w:noWrap/>
            <w:tcMar>
              <w:right w:w="0" w:type="nil"/>
            </w:tcMar>
            <w:hideMark/>
          </w:tcPr>
          <w:p w14:paraId="2A42D980" w14:textId="77777777" w:rsidR="006E51BF" w:rsidRPr="00073B03" w:rsidRDefault="006E51BF">
            <w:pPr>
              <w:pStyle w:val="ARfintabletextboldright8pt"/>
            </w:pPr>
            <w:r w:rsidRPr="00073B03">
              <w:t>33.2</w:t>
            </w:r>
          </w:p>
        </w:tc>
        <w:tc>
          <w:tcPr>
            <w:tcW w:w="338" w:type="pct"/>
            <w:noWrap/>
            <w:tcMar>
              <w:right w:w="0" w:type="nil"/>
            </w:tcMar>
            <w:hideMark/>
          </w:tcPr>
          <w:p w14:paraId="619ED88B" w14:textId="77777777" w:rsidR="006E51BF" w:rsidRPr="00073B03"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073B03">
              <w:t>18.0</w:t>
            </w:r>
          </w:p>
        </w:tc>
        <w:tc>
          <w:tcPr>
            <w:cnfStyle w:val="000001000000" w:firstRow="0" w:lastRow="0" w:firstColumn="0" w:lastColumn="0" w:oddVBand="0" w:evenVBand="1" w:oddHBand="0" w:evenHBand="0" w:firstRowFirstColumn="0" w:firstRowLastColumn="0" w:lastRowFirstColumn="0" w:lastRowLastColumn="0"/>
            <w:tcW w:w="338" w:type="pct"/>
            <w:noWrap/>
            <w:tcMar>
              <w:right w:w="0" w:type="nil"/>
            </w:tcMar>
            <w:hideMark/>
          </w:tcPr>
          <w:p w14:paraId="25E62C8E" w14:textId="77777777" w:rsidR="006E51BF" w:rsidRPr="00073B03" w:rsidRDefault="006E51BF">
            <w:pPr>
              <w:pStyle w:val="ARfintabletextboldright8pt"/>
            </w:pPr>
            <w:r w:rsidRPr="00073B03">
              <w:t>17.7</w:t>
            </w:r>
          </w:p>
        </w:tc>
        <w:tc>
          <w:tcPr>
            <w:tcW w:w="338" w:type="pct"/>
            <w:noWrap/>
            <w:tcMar>
              <w:right w:w="0" w:type="nil"/>
            </w:tcMar>
            <w:hideMark/>
          </w:tcPr>
          <w:p w14:paraId="0A48182F" w14:textId="77777777" w:rsidR="006E51BF" w:rsidRPr="00073B03"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073B03">
              <w:t>13.3</w:t>
            </w:r>
          </w:p>
        </w:tc>
        <w:tc>
          <w:tcPr>
            <w:cnfStyle w:val="000001000000" w:firstRow="0" w:lastRow="0" w:firstColumn="0" w:lastColumn="0" w:oddVBand="0" w:evenVBand="1" w:oddHBand="0" w:evenHBand="0" w:firstRowFirstColumn="0" w:firstRowLastColumn="0" w:lastRowFirstColumn="0" w:lastRowLastColumn="0"/>
            <w:tcW w:w="338" w:type="pct"/>
            <w:noWrap/>
            <w:tcMar>
              <w:right w:w="0" w:type="nil"/>
            </w:tcMar>
            <w:hideMark/>
          </w:tcPr>
          <w:p w14:paraId="0AD47953" w14:textId="77777777" w:rsidR="006E51BF" w:rsidRPr="00073B03" w:rsidRDefault="006E51BF">
            <w:pPr>
              <w:pStyle w:val="ARfintabletextboldright8pt"/>
            </w:pPr>
            <w:r w:rsidRPr="00073B03">
              <w:t>13.3</w:t>
            </w:r>
          </w:p>
        </w:tc>
        <w:tc>
          <w:tcPr>
            <w:tcW w:w="338" w:type="pct"/>
            <w:noWrap/>
            <w:tcMar>
              <w:right w:w="0" w:type="nil"/>
            </w:tcMar>
            <w:hideMark/>
          </w:tcPr>
          <w:p w14:paraId="143F2C1D" w14:textId="77777777" w:rsidR="006E51BF" w:rsidRPr="00073B03"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073B03">
              <w:t>23.2</w:t>
            </w:r>
          </w:p>
        </w:tc>
        <w:tc>
          <w:tcPr>
            <w:cnfStyle w:val="000001000000" w:firstRow="0" w:lastRow="0" w:firstColumn="0" w:lastColumn="0" w:oddVBand="0" w:evenVBand="1" w:oddHBand="0" w:evenHBand="0" w:firstRowFirstColumn="0" w:firstRowLastColumn="0" w:lastRowFirstColumn="0" w:lastRowLastColumn="0"/>
            <w:tcW w:w="338" w:type="pct"/>
            <w:noWrap/>
            <w:tcMar>
              <w:right w:w="0" w:type="nil"/>
            </w:tcMar>
            <w:hideMark/>
          </w:tcPr>
          <w:p w14:paraId="568C0889" w14:textId="77777777" w:rsidR="006E51BF" w:rsidRPr="00073B03" w:rsidRDefault="006E51BF">
            <w:pPr>
              <w:pStyle w:val="ARfintabletextboldright8pt"/>
            </w:pPr>
            <w:r w:rsidRPr="00073B03">
              <w:t>43.9</w:t>
            </w:r>
          </w:p>
        </w:tc>
        <w:tc>
          <w:tcPr>
            <w:tcW w:w="338" w:type="pct"/>
            <w:noWrap/>
            <w:tcMar>
              <w:right w:w="0" w:type="nil"/>
            </w:tcMar>
            <w:hideMark/>
          </w:tcPr>
          <w:p w14:paraId="55304BDB" w14:textId="77777777" w:rsidR="006E51BF" w:rsidRPr="00073B03"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073B03">
              <w:t>35.3</w:t>
            </w:r>
          </w:p>
        </w:tc>
        <w:tc>
          <w:tcPr>
            <w:cnfStyle w:val="000001000000" w:firstRow="0" w:lastRow="0" w:firstColumn="0" w:lastColumn="0" w:oddVBand="0" w:evenVBand="1" w:oddHBand="0" w:evenHBand="0" w:firstRowFirstColumn="0" w:firstRowLastColumn="0" w:lastRowFirstColumn="0" w:lastRowLastColumn="0"/>
            <w:tcW w:w="338" w:type="pct"/>
            <w:noWrap/>
            <w:tcMar>
              <w:right w:w="0" w:type="nil"/>
            </w:tcMar>
            <w:hideMark/>
          </w:tcPr>
          <w:p w14:paraId="38DAF377" w14:textId="77777777" w:rsidR="006E51BF" w:rsidRPr="00073B03" w:rsidRDefault="006E51BF">
            <w:pPr>
              <w:pStyle w:val="ARfintabletextboldright8pt"/>
            </w:pPr>
            <w:r w:rsidRPr="00073B03">
              <w:t>111.4</w:t>
            </w:r>
          </w:p>
        </w:tc>
        <w:tc>
          <w:tcPr>
            <w:tcW w:w="338" w:type="pct"/>
            <w:noWrap/>
            <w:tcMar>
              <w:right w:w="0" w:type="nil"/>
            </w:tcMar>
            <w:hideMark/>
          </w:tcPr>
          <w:p w14:paraId="42BAED14" w14:textId="77777777" w:rsidR="006E51BF" w:rsidRPr="00073B03"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073B03">
              <w:t>38,081.1</w:t>
            </w:r>
          </w:p>
        </w:tc>
        <w:tc>
          <w:tcPr>
            <w:cnfStyle w:val="000001000000" w:firstRow="0" w:lastRow="0" w:firstColumn="0" w:lastColumn="0" w:oddVBand="0" w:evenVBand="1" w:oddHBand="0" w:evenHBand="0" w:firstRowFirstColumn="0" w:firstRowLastColumn="0" w:lastRowFirstColumn="0" w:lastRowLastColumn="0"/>
            <w:tcW w:w="338" w:type="pct"/>
            <w:noWrap/>
            <w:tcMar>
              <w:right w:w="0" w:type="nil"/>
            </w:tcMar>
            <w:hideMark/>
          </w:tcPr>
          <w:p w14:paraId="1825F1BC" w14:textId="77777777" w:rsidR="006E51BF" w:rsidRPr="00073B03" w:rsidRDefault="006E51BF">
            <w:pPr>
              <w:pStyle w:val="ARfintabletextboldright8pt"/>
            </w:pPr>
            <w:r w:rsidRPr="00073B03">
              <w:t>39,392.0</w:t>
            </w:r>
          </w:p>
        </w:tc>
      </w:tr>
    </w:tbl>
    <w:p w14:paraId="5122819E" w14:textId="77777777" w:rsidR="006E51BF" w:rsidRPr="00073B03" w:rsidRDefault="006E51BF">
      <w:pPr>
        <w:pStyle w:val="ARfintablenote"/>
      </w:pPr>
      <w:r w:rsidRPr="00073B03">
        <w:t>Note:</w:t>
      </w:r>
    </w:p>
    <w:p w14:paraId="33D37D1E" w14:textId="77777777" w:rsidR="006E51BF" w:rsidRPr="00073B03" w:rsidRDefault="006E51BF" w:rsidP="006E51BF">
      <w:pPr>
        <w:pStyle w:val="ARfintablenoteroman"/>
        <w:numPr>
          <w:ilvl w:val="0"/>
          <w:numId w:val="60"/>
        </w:numPr>
        <w:spacing w:after="240"/>
      </w:pPr>
      <w:r w:rsidRPr="00073B03">
        <w:t>Refer to Note 4.1.1 for output definitions</w:t>
      </w:r>
    </w:p>
    <w:tbl>
      <w:tblPr>
        <w:tblStyle w:val="ARtable1"/>
        <w:tblW w:w="5000" w:type="pct"/>
        <w:tblLook w:val="00E0" w:firstRow="1" w:lastRow="1" w:firstColumn="1" w:lastColumn="0" w:noHBand="0" w:noVBand="0"/>
      </w:tblPr>
      <w:tblGrid>
        <w:gridCol w:w="1769"/>
        <w:gridCol w:w="985"/>
        <w:gridCol w:w="985"/>
        <w:gridCol w:w="984"/>
        <w:gridCol w:w="984"/>
        <w:gridCol w:w="984"/>
        <w:gridCol w:w="984"/>
        <w:gridCol w:w="984"/>
        <w:gridCol w:w="984"/>
        <w:gridCol w:w="984"/>
        <w:gridCol w:w="984"/>
        <w:gridCol w:w="984"/>
        <w:gridCol w:w="984"/>
        <w:gridCol w:w="981"/>
      </w:tblGrid>
      <w:tr w:rsidR="006E51BF" w:rsidRPr="00073B03" w14:paraId="20D11671" w14:textId="77777777" w:rsidTr="00785A35">
        <w:trPr>
          <w:cnfStyle w:val="100000000000" w:firstRow="1" w:lastRow="0" w:firstColumn="0" w:lastColumn="0" w:oddVBand="0" w:evenVBand="0" w:oddHBand="0" w:evenHBand="0" w:firstRowFirstColumn="0" w:firstRowLastColumn="0" w:lastRowFirstColumn="0" w:lastRowLastColumn="0"/>
          <w:trHeight w:val="20"/>
          <w:tblHeader/>
        </w:trPr>
        <w:tc>
          <w:tcPr>
            <w:tcW w:w="607" w:type="pct"/>
            <w:noWrap/>
            <w:hideMark/>
          </w:tcPr>
          <w:p w14:paraId="5373B5E6" w14:textId="77777777" w:rsidR="006E51BF" w:rsidRPr="00073B03" w:rsidRDefault="006E51BF">
            <w:pPr>
              <w:pStyle w:val="ARfintablecolheadpt8"/>
            </w:pPr>
            <w:r w:rsidRPr="00073B03">
              <w:t xml:space="preserve">Output </w:t>
            </w:r>
            <w:r w:rsidRPr="00073B03">
              <w:rPr>
                <w:vertAlign w:val="superscript"/>
              </w:rPr>
              <w:t>(</w:t>
            </w:r>
            <w:proofErr w:type="spellStart"/>
            <w:r w:rsidRPr="00073B03">
              <w:rPr>
                <w:vertAlign w:val="superscript"/>
              </w:rPr>
              <w:t>i</w:t>
            </w:r>
            <w:proofErr w:type="spellEnd"/>
            <w:r w:rsidRPr="00073B03">
              <w:rPr>
                <w:vertAlign w:val="superscript"/>
              </w:rPr>
              <w:t>)</w:t>
            </w:r>
          </w:p>
          <w:p w14:paraId="191615C5" w14:textId="77777777" w:rsidR="006E51BF" w:rsidRPr="00073B03" w:rsidRDefault="006E51BF">
            <w:pPr>
              <w:pStyle w:val="ARfintablecolheadpt8"/>
            </w:pPr>
            <w:r w:rsidRPr="00073B03">
              <w:t>2025</w:t>
            </w:r>
          </w:p>
        </w:tc>
        <w:tc>
          <w:tcPr>
            <w:cnfStyle w:val="000001000000" w:firstRow="0" w:lastRow="0" w:firstColumn="0" w:lastColumn="0" w:oddVBand="0" w:evenVBand="1" w:oddHBand="0" w:evenHBand="0" w:firstRowFirstColumn="0" w:firstRowLastColumn="0" w:lastRowFirstColumn="0" w:lastRowLastColumn="0"/>
            <w:tcW w:w="338" w:type="pct"/>
            <w:noWrap/>
            <w:tcMar>
              <w:right w:w="0" w:type="nil"/>
            </w:tcMar>
            <w:hideMark/>
          </w:tcPr>
          <w:p w14:paraId="7F4DD88A" w14:textId="77777777" w:rsidR="006E51BF" w:rsidRPr="00073B03" w:rsidRDefault="006E51BF">
            <w:pPr>
              <w:pStyle w:val="ARfintablecolheadright8pt"/>
            </w:pPr>
            <w:r w:rsidRPr="00073B03">
              <w:t>1</w:t>
            </w:r>
          </w:p>
          <w:p w14:paraId="68792C41" w14:textId="77777777" w:rsidR="006E51BF" w:rsidRPr="00073B03" w:rsidRDefault="006E51BF">
            <w:pPr>
              <w:pStyle w:val="ARfintablecolheadright8pt"/>
            </w:pPr>
            <w:r w:rsidRPr="00073B03">
              <w:t>$M</w:t>
            </w:r>
          </w:p>
        </w:tc>
        <w:tc>
          <w:tcPr>
            <w:tcW w:w="338" w:type="pct"/>
            <w:noWrap/>
            <w:tcMar>
              <w:right w:w="0" w:type="nil"/>
            </w:tcMar>
            <w:hideMark/>
          </w:tcPr>
          <w:p w14:paraId="0BA398DA"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2</w:t>
            </w:r>
          </w:p>
          <w:p w14:paraId="1E2B9181"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$M</w:t>
            </w:r>
          </w:p>
        </w:tc>
        <w:tc>
          <w:tcPr>
            <w:cnfStyle w:val="000001000000" w:firstRow="0" w:lastRow="0" w:firstColumn="0" w:lastColumn="0" w:oddVBand="0" w:evenVBand="1" w:oddHBand="0" w:evenHBand="0" w:firstRowFirstColumn="0" w:firstRowLastColumn="0" w:lastRowFirstColumn="0" w:lastRowLastColumn="0"/>
            <w:tcW w:w="338" w:type="pct"/>
            <w:noWrap/>
            <w:tcMar>
              <w:right w:w="0" w:type="nil"/>
            </w:tcMar>
            <w:hideMark/>
          </w:tcPr>
          <w:p w14:paraId="0879BF15" w14:textId="77777777" w:rsidR="006E51BF" w:rsidRPr="00073B03" w:rsidRDefault="006E51BF">
            <w:pPr>
              <w:pStyle w:val="ARfintablecolheadright8pt"/>
            </w:pPr>
            <w:r w:rsidRPr="00073B03">
              <w:t>3</w:t>
            </w:r>
          </w:p>
          <w:p w14:paraId="41A44B77" w14:textId="77777777" w:rsidR="006E51BF" w:rsidRPr="00073B03" w:rsidRDefault="006E51BF">
            <w:pPr>
              <w:pStyle w:val="ARfintablecolheadright8pt"/>
            </w:pPr>
            <w:r w:rsidRPr="00073B03">
              <w:t>$M</w:t>
            </w:r>
          </w:p>
        </w:tc>
        <w:tc>
          <w:tcPr>
            <w:tcW w:w="338" w:type="pct"/>
            <w:noWrap/>
            <w:tcMar>
              <w:right w:w="0" w:type="nil"/>
            </w:tcMar>
            <w:hideMark/>
          </w:tcPr>
          <w:p w14:paraId="56EFEEF8"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4</w:t>
            </w:r>
          </w:p>
          <w:p w14:paraId="4DAF78A9"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$M</w:t>
            </w:r>
          </w:p>
        </w:tc>
        <w:tc>
          <w:tcPr>
            <w:cnfStyle w:val="000001000000" w:firstRow="0" w:lastRow="0" w:firstColumn="0" w:lastColumn="0" w:oddVBand="0" w:evenVBand="1" w:oddHBand="0" w:evenHBand="0" w:firstRowFirstColumn="0" w:firstRowLastColumn="0" w:lastRowFirstColumn="0" w:lastRowLastColumn="0"/>
            <w:tcW w:w="338" w:type="pct"/>
            <w:noWrap/>
            <w:tcMar>
              <w:right w:w="0" w:type="nil"/>
            </w:tcMar>
            <w:hideMark/>
          </w:tcPr>
          <w:p w14:paraId="5FB4B9B1" w14:textId="77777777" w:rsidR="006E51BF" w:rsidRPr="00073B03" w:rsidRDefault="006E51BF">
            <w:pPr>
              <w:pStyle w:val="ARfintablecolheadright8pt"/>
            </w:pPr>
            <w:r w:rsidRPr="00073B03">
              <w:t>5</w:t>
            </w:r>
          </w:p>
          <w:p w14:paraId="3344B463" w14:textId="77777777" w:rsidR="006E51BF" w:rsidRPr="00073B03" w:rsidRDefault="006E51BF">
            <w:pPr>
              <w:pStyle w:val="ARfintablecolheadright8pt"/>
            </w:pPr>
            <w:r w:rsidRPr="00073B03">
              <w:t>$M</w:t>
            </w:r>
          </w:p>
        </w:tc>
        <w:tc>
          <w:tcPr>
            <w:tcW w:w="338" w:type="pct"/>
            <w:noWrap/>
            <w:tcMar>
              <w:right w:w="0" w:type="nil"/>
            </w:tcMar>
            <w:hideMark/>
          </w:tcPr>
          <w:p w14:paraId="6DC901D2"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6</w:t>
            </w:r>
          </w:p>
          <w:p w14:paraId="5357B68C"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$M</w:t>
            </w:r>
          </w:p>
        </w:tc>
        <w:tc>
          <w:tcPr>
            <w:cnfStyle w:val="000001000000" w:firstRow="0" w:lastRow="0" w:firstColumn="0" w:lastColumn="0" w:oddVBand="0" w:evenVBand="1" w:oddHBand="0" w:evenHBand="0" w:firstRowFirstColumn="0" w:firstRowLastColumn="0" w:lastRowFirstColumn="0" w:lastRowLastColumn="0"/>
            <w:tcW w:w="338" w:type="pct"/>
            <w:noWrap/>
            <w:tcMar>
              <w:right w:w="0" w:type="nil"/>
            </w:tcMar>
            <w:hideMark/>
          </w:tcPr>
          <w:p w14:paraId="6702EA01" w14:textId="77777777" w:rsidR="006E51BF" w:rsidRPr="00073B03" w:rsidRDefault="006E51BF">
            <w:pPr>
              <w:pStyle w:val="ARfintablecolheadright8pt"/>
            </w:pPr>
            <w:r w:rsidRPr="00073B03">
              <w:t>7</w:t>
            </w:r>
          </w:p>
          <w:p w14:paraId="75D81DB3" w14:textId="77777777" w:rsidR="006E51BF" w:rsidRPr="00073B03" w:rsidRDefault="006E51BF">
            <w:pPr>
              <w:pStyle w:val="ARfintablecolheadright8pt"/>
            </w:pPr>
            <w:r w:rsidRPr="00073B03">
              <w:t>$M</w:t>
            </w:r>
          </w:p>
        </w:tc>
        <w:tc>
          <w:tcPr>
            <w:tcW w:w="338" w:type="pct"/>
            <w:noWrap/>
            <w:tcMar>
              <w:right w:w="0" w:type="nil"/>
            </w:tcMar>
            <w:hideMark/>
          </w:tcPr>
          <w:p w14:paraId="7EF84719"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8</w:t>
            </w:r>
          </w:p>
          <w:p w14:paraId="15CC79A7"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$M</w:t>
            </w:r>
          </w:p>
        </w:tc>
        <w:tc>
          <w:tcPr>
            <w:cnfStyle w:val="000001000000" w:firstRow="0" w:lastRow="0" w:firstColumn="0" w:lastColumn="0" w:oddVBand="0" w:evenVBand="1" w:oddHBand="0" w:evenHBand="0" w:firstRowFirstColumn="0" w:firstRowLastColumn="0" w:lastRowFirstColumn="0" w:lastRowLastColumn="0"/>
            <w:tcW w:w="338" w:type="pct"/>
            <w:noWrap/>
            <w:tcMar>
              <w:right w:w="0" w:type="nil"/>
            </w:tcMar>
            <w:hideMark/>
          </w:tcPr>
          <w:p w14:paraId="6063C0FA" w14:textId="77777777" w:rsidR="006E51BF" w:rsidRPr="00073B03" w:rsidRDefault="006E51BF">
            <w:pPr>
              <w:pStyle w:val="ARfintablecolheadright8pt"/>
            </w:pPr>
            <w:r w:rsidRPr="00073B03">
              <w:t>9</w:t>
            </w:r>
          </w:p>
          <w:p w14:paraId="6DEF1155" w14:textId="77777777" w:rsidR="006E51BF" w:rsidRPr="00073B03" w:rsidRDefault="006E51BF">
            <w:pPr>
              <w:pStyle w:val="ARfintablecolheadright8pt"/>
            </w:pPr>
            <w:r w:rsidRPr="00073B03">
              <w:t>$M</w:t>
            </w:r>
          </w:p>
        </w:tc>
        <w:tc>
          <w:tcPr>
            <w:tcW w:w="338" w:type="pct"/>
            <w:noWrap/>
            <w:tcMar>
              <w:right w:w="0" w:type="nil"/>
            </w:tcMar>
            <w:hideMark/>
          </w:tcPr>
          <w:p w14:paraId="0778D3E8"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10</w:t>
            </w:r>
          </w:p>
          <w:p w14:paraId="41661FA8"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$M</w:t>
            </w:r>
          </w:p>
        </w:tc>
        <w:tc>
          <w:tcPr>
            <w:cnfStyle w:val="000001000000" w:firstRow="0" w:lastRow="0" w:firstColumn="0" w:lastColumn="0" w:oddVBand="0" w:evenVBand="1" w:oddHBand="0" w:evenHBand="0" w:firstRowFirstColumn="0" w:firstRowLastColumn="0" w:lastRowFirstColumn="0" w:lastRowLastColumn="0"/>
            <w:tcW w:w="338" w:type="pct"/>
            <w:noWrap/>
            <w:tcMar>
              <w:right w:w="0" w:type="nil"/>
            </w:tcMar>
            <w:hideMark/>
          </w:tcPr>
          <w:p w14:paraId="05D9489A" w14:textId="77777777" w:rsidR="006E51BF" w:rsidRPr="00073B03" w:rsidRDefault="006E51BF">
            <w:pPr>
              <w:pStyle w:val="ARfintablecolheadright8pt"/>
            </w:pPr>
            <w:r w:rsidRPr="00073B03">
              <w:t>11</w:t>
            </w:r>
          </w:p>
          <w:p w14:paraId="7BC2E3E1" w14:textId="77777777" w:rsidR="006E51BF" w:rsidRPr="00073B03" w:rsidRDefault="006E51BF">
            <w:pPr>
              <w:pStyle w:val="ARfintablecolheadright8pt"/>
            </w:pPr>
            <w:r w:rsidRPr="00073B03">
              <w:t>$M</w:t>
            </w:r>
          </w:p>
        </w:tc>
        <w:tc>
          <w:tcPr>
            <w:tcW w:w="338" w:type="pct"/>
            <w:noWrap/>
            <w:tcMar>
              <w:right w:w="0" w:type="nil"/>
            </w:tcMar>
            <w:hideMark/>
          </w:tcPr>
          <w:p w14:paraId="7EAD27D2"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12</w:t>
            </w:r>
          </w:p>
          <w:p w14:paraId="53DD9182" w14:textId="77777777" w:rsidR="006E51BF" w:rsidRPr="00073B03"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73B03">
              <w:t>$M</w:t>
            </w:r>
          </w:p>
        </w:tc>
        <w:tc>
          <w:tcPr>
            <w:cnfStyle w:val="000001000000" w:firstRow="0" w:lastRow="0" w:firstColumn="0" w:lastColumn="0" w:oddVBand="0" w:evenVBand="1" w:oddHBand="0" w:evenHBand="0" w:firstRowFirstColumn="0" w:firstRowLastColumn="0" w:lastRowFirstColumn="0" w:lastRowLastColumn="0"/>
            <w:tcW w:w="337" w:type="pct"/>
            <w:noWrap/>
            <w:tcMar>
              <w:right w:w="0" w:type="nil"/>
            </w:tcMar>
            <w:hideMark/>
          </w:tcPr>
          <w:p w14:paraId="7624098E" w14:textId="77777777" w:rsidR="006E51BF" w:rsidRPr="00073B03" w:rsidRDefault="006E51BF">
            <w:pPr>
              <w:pStyle w:val="ARfintablecolheadright8pt"/>
            </w:pPr>
            <w:r w:rsidRPr="00073B03">
              <w:t>Total</w:t>
            </w:r>
          </w:p>
          <w:p w14:paraId="5F8F8AEA" w14:textId="77777777" w:rsidR="006E51BF" w:rsidRPr="00073B03" w:rsidRDefault="006E51BF">
            <w:pPr>
              <w:pStyle w:val="ARfintablecolheadright8pt"/>
            </w:pPr>
            <w:r w:rsidRPr="00073B03">
              <w:t>$M</w:t>
            </w:r>
          </w:p>
        </w:tc>
      </w:tr>
      <w:tr w:rsidR="006E51BF" w:rsidRPr="00073B03" w14:paraId="43306212"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607" w:type="pct"/>
            <w:noWrap/>
            <w:hideMark/>
          </w:tcPr>
          <w:p w14:paraId="1056A1F4" w14:textId="77777777" w:rsidR="006E51BF" w:rsidRPr="00073B03" w:rsidRDefault="006E51BF">
            <w:pPr>
              <w:pStyle w:val="Arfintabletextboldcoloured8pt"/>
            </w:pPr>
            <w:r w:rsidRPr="00073B03">
              <w:t>Assets</w:t>
            </w:r>
          </w:p>
        </w:tc>
        <w:tc>
          <w:tcPr>
            <w:cnfStyle w:val="000001000000" w:firstRow="0" w:lastRow="0" w:firstColumn="0" w:lastColumn="0" w:oddVBand="0" w:evenVBand="1" w:oddHBand="0" w:evenHBand="0" w:firstRowFirstColumn="0" w:firstRowLastColumn="0" w:lastRowFirstColumn="0" w:lastRowLastColumn="0"/>
            <w:tcW w:w="338" w:type="pct"/>
            <w:shd w:val="clear" w:color="auto" w:fill="auto"/>
            <w:noWrap/>
            <w:tcMar>
              <w:right w:w="0" w:type="nil"/>
            </w:tcMar>
            <w:hideMark/>
          </w:tcPr>
          <w:p w14:paraId="668FCA41" w14:textId="77777777" w:rsidR="006E51BF" w:rsidRPr="00073B03" w:rsidRDefault="006E51BF">
            <w:pPr>
              <w:pStyle w:val="ARfintabletextright8pt"/>
            </w:pPr>
          </w:p>
        </w:tc>
        <w:tc>
          <w:tcPr>
            <w:tcW w:w="338" w:type="pct"/>
            <w:noWrap/>
            <w:tcMar>
              <w:right w:w="0" w:type="nil"/>
            </w:tcMar>
            <w:hideMark/>
          </w:tcPr>
          <w:p w14:paraId="354F1DCB"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shd w:val="clear" w:color="auto" w:fill="auto"/>
            <w:noWrap/>
            <w:tcMar>
              <w:right w:w="0" w:type="nil"/>
            </w:tcMar>
            <w:hideMark/>
          </w:tcPr>
          <w:p w14:paraId="3736CA17" w14:textId="77777777" w:rsidR="006E51BF" w:rsidRPr="00073B03" w:rsidRDefault="006E51BF">
            <w:pPr>
              <w:pStyle w:val="ARfintabletextright8pt"/>
            </w:pPr>
          </w:p>
        </w:tc>
        <w:tc>
          <w:tcPr>
            <w:tcW w:w="338" w:type="pct"/>
            <w:noWrap/>
            <w:tcMar>
              <w:right w:w="0" w:type="nil"/>
            </w:tcMar>
            <w:hideMark/>
          </w:tcPr>
          <w:p w14:paraId="4BF3A9EC"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shd w:val="clear" w:color="auto" w:fill="auto"/>
            <w:noWrap/>
            <w:tcMar>
              <w:right w:w="0" w:type="nil"/>
            </w:tcMar>
            <w:hideMark/>
          </w:tcPr>
          <w:p w14:paraId="5DCAAD35" w14:textId="77777777" w:rsidR="006E51BF" w:rsidRPr="00073B03" w:rsidRDefault="006E51BF">
            <w:pPr>
              <w:pStyle w:val="ARfintabletextright8pt"/>
            </w:pPr>
          </w:p>
        </w:tc>
        <w:tc>
          <w:tcPr>
            <w:tcW w:w="338" w:type="pct"/>
            <w:noWrap/>
            <w:tcMar>
              <w:right w:w="0" w:type="nil"/>
            </w:tcMar>
            <w:hideMark/>
          </w:tcPr>
          <w:p w14:paraId="4363A85D"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shd w:val="clear" w:color="auto" w:fill="auto"/>
            <w:noWrap/>
            <w:tcMar>
              <w:right w:w="0" w:type="nil"/>
            </w:tcMar>
            <w:hideMark/>
          </w:tcPr>
          <w:p w14:paraId="613ED704" w14:textId="77777777" w:rsidR="006E51BF" w:rsidRPr="00073B03" w:rsidRDefault="006E51BF">
            <w:pPr>
              <w:pStyle w:val="ARfintabletextright8pt"/>
            </w:pPr>
          </w:p>
        </w:tc>
        <w:tc>
          <w:tcPr>
            <w:tcW w:w="338" w:type="pct"/>
            <w:noWrap/>
            <w:tcMar>
              <w:right w:w="0" w:type="nil"/>
            </w:tcMar>
            <w:hideMark/>
          </w:tcPr>
          <w:p w14:paraId="42CBAF7C"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shd w:val="clear" w:color="auto" w:fill="auto"/>
            <w:noWrap/>
            <w:tcMar>
              <w:right w:w="0" w:type="nil"/>
            </w:tcMar>
            <w:hideMark/>
          </w:tcPr>
          <w:p w14:paraId="1B180BA1" w14:textId="77777777" w:rsidR="006E51BF" w:rsidRPr="00073B03" w:rsidRDefault="006E51BF">
            <w:pPr>
              <w:pStyle w:val="ARfintabletextright8pt"/>
            </w:pPr>
          </w:p>
        </w:tc>
        <w:tc>
          <w:tcPr>
            <w:tcW w:w="338" w:type="pct"/>
            <w:noWrap/>
            <w:tcMar>
              <w:right w:w="0" w:type="nil"/>
            </w:tcMar>
            <w:hideMark/>
          </w:tcPr>
          <w:p w14:paraId="0482E254"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shd w:val="clear" w:color="auto" w:fill="auto"/>
            <w:noWrap/>
            <w:tcMar>
              <w:right w:w="0" w:type="nil"/>
            </w:tcMar>
            <w:hideMark/>
          </w:tcPr>
          <w:p w14:paraId="2C3164E4" w14:textId="77777777" w:rsidR="006E51BF" w:rsidRPr="00073B03" w:rsidRDefault="006E51BF">
            <w:pPr>
              <w:pStyle w:val="ARfintabletextright8pt"/>
            </w:pPr>
          </w:p>
        </w:tc>
        <w:tc>
          <w:tcPr>
            <w:tcW w:w="338" w:type="pct"/>
            <w:noWrap/>
            <w:tcMar>
              <w:right w:w="0" w:type="nil"/>
            </w:tcMar>
            <w:hideMark/>
          </w:tcPr>
          <w:p w14:paraId="7DF85764"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7" w:type="pct"/>
            <w:shd w:val="clear" w:color="auto" w:fill="auto"/>
            <w:noWrap/>
            <w:tcMar>
              <w:right w:w="0" w:type="nil"/>
            </w:tcMar>
            <w:hideMark/>
          </w:tcPr>
          <w:p w14:paraId="3B3D8BFE" w14:textId="77777777" w:rsidR="006E51BF" w:rsidRPr="00073B03" w:rsidRDefault="006E51BF">
            <w:pPr>
              <w:pStyle w:val="ARfintabletextright8pt"/>
            </w:pPr>
          </w:p>
        </w:tc>
      </w:tr>
      <w:tr w:rsidR="006E51BF" w:rsidRPr="00073B03" w14:paraId="6CBA6502"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607" w:type="pct"/>
            <w:tcBorders>
              <w:bottom w:val="single" w:sz="4" w:space="0" w:color="BFBFBF" w:themeColor="accent2"/>
            </w:tcBorders>
            <w:noWrap/>
            <w:hideMark/>
          </w:tcPr>
          <w:p w14:paraId="322F1B5D" w14:textId="77777777" w:rsidR="006E51BF" w:rsidRPr="00073B03" w:rsidRDefault="006E51BF">
            <w:pPr>
              <w:pStyle w:val="ARfintabletext8pt"/>
            </w:pPr>
            <w:r w:rsidRPr="00073B03">
              <w:t>Financial assets</w:t>
            </w:r>
          </w:p>
        </w:tc>
        <w:tc>
          <w:tcPr>
            <w:cnfStyle w:val="000001000000" w:firstRow="0" w:lastRow="0" w:firstColumn="0" w:lastColumn="0" w:oddVBand="0" w:evenVBand="1" w:oddHBand="0" w:evenHBand="0" w:firstRowFirstColumn="0" w:firstRowLastColumn="0" w:lastRowFirstColumn="0" w:lastRowLastColumn="0"/>
            <w:tcW w:w="338" w:type="pct"/>
            <w:tcBorders>
              <w:bottom w:val="single" w:sz="4" w:space="0" w:color="BFBFBF" w:themeColor="accent2"/>
            </w:tcBorders>
            <w:noWrap/>
            <w:tcMar>
              <w:right w:w="0" w:type="nil"/>
            </w:tcMar>
            <w:hideMark/>
          </w:tcPr>
          <w:p w14:paraId="54399BEC" w14:textId="77777777" w:rsidR="006E51BF" w:rsidRPr="00073B03" w:rsidRDefault="006E51BF">
            <w:pPr>
              <w:pStyle w:val="ARfintabletextright8pt"/>
            </w:pPr>
            <w:r w:rsidRPr="00073B03">
              <w:t>281.1</w:t>
            </w:r>
          </w:p>
        </w:tc>
        <w:tc>
          <w:tcPr>
            <w:tcW w:w="338" w:type="pct"/>
            <w:tcBorders>
              <w:bottom w:val="single" w:sz="4" w:space="0" w:color="BFBFBF" w:themeColor="accent2"/>
            </w:tcBorders>
            <w:noWrap/>
            <w:tcMar>
              <w:right w:w="0" w:type="nil"/>
            </w:tcMar>
            <w:hideMark/>
          </w:tcPr>
          <w:p w14:paraId="411F7E1B"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236.0</w:t>
            </w:r>
          </w:p>
        </w:tc>
        <w:tc>
          <w:tcPr>
            <w:cnfStyle w:val="000001000000" w:firstRow="0" w:lastRow="0" w:firstColumn="0" w:lastColumn="0" w:oddVBand="0" w:evenVBand="1" w:oddHBand="0" w:evenHBand="0" w:firstRowFirstColumn="0" w:firstRowLastColumn="0" w:lastRowFirstColumn="0" w:lastRowLastColumn="0"/>
            <w:tcW w:w="338" w:type="pct"/>
            <w:tcBorders>
              <w:bottom w:val="single" w:sz="4" w:space="0" w:color="BFBFBF" w:themeColor="accent2"/>
            </w:tcBorders>
            <w:noWrap/>
            <w:tcMar>
              <w:right w:w="0" w:type="nil"/>
            </w:tcMar>
            <w:hideMark/>
          </w:tcPr>
          <w:p w14:paraId="7035B5AF" w14:textId="77777777" w:rsidR="006E51BF" w:rsidRPr="00073B03" w:rsidRDefault="006E51BF">
            <w:pPr>
              <w:pStyle w:val="ARfintabletextright8pt"/>
            </w:pPr>
            <w:r w:rsidRPr="00073B03">
              <w:t>214.2</w:t>
            </w:r>
          </w:p>
        </w:tc>
        <w:tc>
          <w:tcPr>
            <w:tcW w:w="338" w:type="pct"/>
            <w:tcBorders>
              <w:bottom w:val="single" w:sz="4" w:space="0" w:color="BFBFBF" w:themeColor="accent2"/>
            </w:tcBorders>
            <w:noWrap/>
            <w:tcMar>
              <w:right w:w="0" w:type="nil"/>
            </w:tcMar>
            <w:hideMark/>
          </w:tcPr>
          <w:p w14:paraId="5787FFA5"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26.0</w:t>
            </w:r>
          </w:p>
        </w:tc>
        <w:tc>
          <w:tcPr>
            <w:cnfStyle w:val="000001000000" w:firstRow="0" w:lastRow="0" w:firstColumn="0" w:lastColumn="0" w:oddVBand="0" w:evenVBand="1" w:oddHBand="0" w:evenHBand="0" w:firstRowFirstColumn="0" w:firstRowLastColumn="0" w:lastRowFirstColumn="0" w:lastRowLastColumn="0"/>
            <w:tcW w:w="338" w:type="pct"/>
            <w:tcBorders>
              <w:bottom w:val="single" w:sz="4" w:space="0" w:color="BFBFBF" w:themeColor="accent2"/>
            </w:tcBorders>
            <w:noWrap/>
            <w:tcMar>
              <w:right w:w="0" w:type="nil"/>
            </w:tcMar>
            <w:hideMark/>
          </w:tcPr>
          <w:p w14:paraId="17674D90" w14:textId="77777777" w:rsidR="006E51BF" w:rsidRPr="00073B03" w:rsidRDefault="006E51BF">
            <w:pPr>
              <w:pStyle w:val="ARfintabletextright8pt"/>
            </w:pPr>
            <w:r w:rsidRPr="00073B03">
              <w:t>18.2</w:t>
            </w:r>
          </w:p>
        </w:tc>
        <w:tc>
          <w:tcPr>
            <w:tcW w:w="338" w:type="pct"/>
            <w:tcBorders>
              <w:bottom w:val="single" w:sz="4" w:space="0" w:color="BFBFBF" w:themeColor="accent2"/>
            </w:tcBorders>
            <w:noWrap/>
            <w:tcMar>
              <w:right w:w="0" w:type="nil"/>
            </w:tcMar>
            <w:hideMark/>
          </w:tcPr>
          <w:p w14:paraId="71174103"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16.8</w:t>
            </w:r>
          </w:p>
        </w:tc>
        <w:tc>
          <w:tcPr>
            <w:cnfStyle w:val="000001000000" w:firstRow="0" w:lastRow="0" w:firstColumn="0" w:lastColumn="0" w:oddVBand="0" w:evenVBand="1" w:oddHBand="0" w:evenHBand="0" w:firstRowFirstColumn="0" w:firstRowLastColumn="0" w:lastRowFirstColumn="0" w:lastRowLastColumn="0"/>
            <w:tcW w:w="338" w:type="pct"/>
            <w:tcBorders>
              <w:bottom w:val="single" w:sz="4" w:space="0" w:color="BFBFBF" w:themeColor="accent2"/>
            </w:tcBorders>
            <w:noWrap/>
            <w:tcMar>
              <w:right w:w="0" w:type="nil"/>
            </w:tcMar>
            <w:hideMark/>
          </w:tcPr>
          <w:p w14:paraId="2425F6AB" w14:textId="77777777" w:rsidR="006E51BF" w:rsidRPr="00073B03" w:rsidRDefault="006E51BF">
            <w:pPr>
              <w:pStyle w:val="ARfintabletextright8pt"/>
            </w:pPr>
            <w:r w:rsidRPr="00073B03">
              <w:t>13.9</w:t>
            </w:r>
          </w:p>
        </w:tc>
        <w:tc>
          <w:tcPr>
            <w:tcW w:w="338" w:type="pct"/>
            <w:tcBorders>
              <w:bottom w:val="single" w:sz="4" w:space="0" w:color="BFBFBF" w:themeColor="accent2"/>
            </w:tcBorders>
            <w:noWrap/>
            <w:tcMar>
              <w:right w:w="0" w:type="nil"/>
            </w:tcMar>
            <w:hideMark/>
          </w:tcPr>
          <w:p w14:paraId="5F74CB39"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23.8</w:t>
            </w:r>
          </w:p>
        </w:tc>
        <w:tc>
          <w:tcPr>
            <w:cnfStyle w:val="000001000000" w:firstRow="0" w:lastRow="0" w:firstColumn="0" w:lastColumn="0" w:oddVBand="0" w:evenVBand="1" w:oddHBand="0" w:evenHBand="0" w:firstRowFirstColumn="0" w:firstRowLastColumn="0" w:lastRowFirstColumn="0" w:lastRowLastColumn="0"/>
            <w:tcW w:w="338" w:type="pct"/>
            <w:tcBorders>
              <w:bottom w:val="single" w:sz="4" w:space="0" w:color="BFBFBF" w:themeColor="accent2"/>
            </w:tcBorders>
            <w:noWrap/>
            <w:tcMar>
              <w:right w:w="0" w:type="nil"/>
            </w:tcMar>
            <w:hideMark/>
          </w:tcPr>
          <w:p w14:paraId="1EA52007" w14:textId="77777777" w:rsidR="006E51BF" w:rsidRPr="00073B03" w:rsidRDefault="006E51BF">
            <w:pPr>
              <w:pStyle w:val="ARfintabletextright8pt"/>
            </w:pPr>
            <w:r w:rsidRPr="00073B03">
              <w:t>47.7</w:t>
            </w:r>
          </w:p>
        </w:tc>
        <w:tc>
          <w:tcPr>
            <w:tcW w:w="338" w:type="pct"/>
            <w:tcBorders>
              <w:bottom w:val="single" w:sz="4" w:space="0" w:color="BFBFBF" w:themeColor="accent2"/>
            </w:tcBorders>
            <w:noWrap/>
            <w:tcMar>
              <w:right w:w="0" w:type="nil"/>
            </w:tcMar>
            <w:hideMark/>
          </w:tcPr>
          <w:p w14:paraId="3FCA699C"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37.6</w:t>
            </w:r>
          </w:p>
        </w:tc>
        <w:tc>
          <w:tcPr>
            <w:cnfStyle w:val="000001000000" w:firstRow="0" w:lastRow="0" w:firstColumn="0" w:lastColumn="0" w:oddVBand="0" w:evenVBand="1" w:oddHBand="0" w:evenHBand="0" w:firstRowFirstColumn="0" w:firstRowLastColumn="0" w:lastRowFirstColumn="0" w:lastRowLastColumn="0"/>
            <w:tcW w:w="338" w:type="pct"/>
            <w:tcBorders>
              <w:bottom w:val="single" w:sz="4" w:space="0" w:color="BFBFBF" w:themeColor="accent2"/>
            </w:tcBorders>
            <w:noWrap/>
            <w:tcMar>
              <w:right w:w="0" w:type="nil"/>
            </w:tcMar>
            <w:hideMark/>
          </w:tcPr>
          <w:p w14:paraId="534260EF" w14:textId="77777777" w:rsidR="006E51BF" w:rsidRPr="00073B03" w:rsidRDefault="006E51BF">
            <w:pPr>
              <w:pStyle w:val="ARfintabletextright8pt"/>
            </w:pPr>
            <w:r w:rsidRPr="00073B03">
              <w:t>75.9</w:t>
            </w:r>
          </w:p>
        </w:tc>
        <w:tc>
          <w:tcPr>
            <w:tcW w:w="338" w:type="pct"/>
            <w:tcBorders>
              <w:bottom w:val="single" w:sz="4" w:space="0" w:color="BFBFBF" w:themeColor="accent2"/>
            </w:tcBorders>
            <w:noWrap/>
            <w:tcMar>
              <w:right w:w="0" w:type="nil"/>
            </w:tcMar>
            <w:hideMark/>
          </w:tcPr>
          <w:p w14:paraId="348D93CE"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1,462.3</w:t>
            </w:r>
          </w:p>
        </w:tc>
        <w:tc>
          <w:tcPr>
            <w:cnfStyle w:val="000001000000" w:firstRow="0" w:lastRow="0" w:firstColumn="0" w:lastColumn="0" w:oddVBand="0" w:evenVBand="1" w:oddHBand="0" w:evenHBand="0" w:firstRowFirstColumn="0" w:firstRowLastColumn="0" w:lastRowFirstColumn="0" w:lastRowLastColumn="0"/>
            <w:tcW w:w="337" w:type="pct"/>
            <w:tcBorders>
              <w:bottom w:val="single" w:sz="4" w:space="0" w:color="BFBFBF" w:themeColor="accent2"/>
            </w:tcBorders>
            <w:noWrap/>
            <w:tcMar>
              <w:right w:w="0" w:type="nil"/>
            </w:tcMar>
            <w:hideMark/>
          </w:tcPr>
          <w:p w14:paraId="366C1DA7" w14:textId="77777777" w:rsidR="006E51BF" w:rsidRPr="00073B03" w:rsidRDefault="006E51BF">
            <w:pPr>
              <w:pStyle w:val="ARfintabletextright8pt"/>
            </w:pPr>
            <w:r w:rsidRPr="00073B03">
              <w:t>2,453.5</w:t>
            </w:r>
          </w:p>
        </w:tc>
      </w:tr>
      <w:tr w:rsidR="006E51BF" w:rsidRPr="00073B03" w14:paraId="1C26EF8E"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607" w:type="pct"/>
            <w:tcBorders>
              <w:top w:val="single" w:sz="4" w:space="0" w:color="BFBFBF" w:themeColor="accent2"/>
              <w:bottom w:val="single" w:sz="4" w:space="0" w:color="000000" w:themeColor="text1"/>
            </w:tcBorders>
            <w:noWrap/>
            <w:hideMark/>
          </w:tcPr>
          <w:p w14:paraId="45C1F9A8" w14:textId="77777777" w:rsidR="006E51BF" w:rsidRPr="00073B03" w:rsidRDefault="006E51BF">
            <w:pPr>
              <w:pStyle w:val="ARfintabletext8pt"/>
            </w:pPr>
            <w:r w:rsidRPr="00073B03">
              <w:t>Non-financial assets</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3D938CA8" w14:textId="77777777" w:rsidR="006E51BF" w:rsidRPr="00073B03" w:rsidRDefault="006E51BF">
            <w:pPr>
              <w:pStyle w:val="ARfintabletextright8pt"/>
            </w:pPr>
            <w:r w:rsidRPr="00073B03">
              <w:t>1,250.3</w:t>
            </w:r>
          </w:p>
        </w:tc>
        <w:tc>
          <w:tcPr>
            <w:tcW w:w="338" w:type="pct"/>
            <w:tcBorders>
              <w:top w:val="single" w:sz="4" w:space="0" w:color="BFBFBF" w:themeColor="accent2"/>
              <w:bottom w:val="single" w:sz="4" w:space="0" w:color="000000" w:themeColor="text1"/>
            </w:tcBorders>
            <w:noWrap/>
            <w:tcMar>
              <w:right w:w="0" w:type="nil"/>
            </w:tcMar>
            <w:hideMark/>
          </w:tcPr>
          <w:p w14:paraId="6087CEB7"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073B03">
              <w:t>358.9</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55121979" w14:textId="77777777" w:rsidR="006E51BF" w:rsidRPr="00073B03" w:rsidRDefault="006E51BF">
            <w:pPr>
              <w:pStyle w:val="ARfintabletextright8pt"/>
            </w:pPr>
            <w:r w:rsidRPr="00073B03">
              <w:t>(0.2)</w:t>
            </w:r>
          </w:p>
        </w:tc>
        <w:tc>
          <w:tcPr>
            <w:tcW w:w="338" w:type="pct"/>
            <w:tcBorders>
              <w:top w:val="single" w:sz="4" w:space="0" w:color="BFBFBF" w:themeColor="accent2"/>
              <w:bottom w:val="single" w:sz="4" w:space="0" w:color="000000" w:themeColor="text1"/>
            </w:tcBorders>
            <w:noWrap/>
            <w:tcMar>
              <w:right w:w="0" w:type="nil"/>
            </w:tcMar>
            <w:hideMark/>
          </w:tcPr>
          <w:p w14:paraId="32680C60"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A931BA">
              <w:t>–</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5CAF9B69" w14:textId="77777777" w:rsidR="006E51BF" w:rsidRPr="00073B03" w:rsidRDefault="006E51BF">
            <w:pPr>
              <w:pStyle w:val="ARfintabletextright8pt"/>
            </w:pPr>
            <w:r w:rsidRPr="00073B03">
              <w:t>0.3</w:t>
            </w:r>
          </w:p>
        </w:tc>
        <w:tc>
          <w:tcPr>
            <w:tcW w:w="338" w:type="pct"/>
            <w:tcBorders>
              <w:top w:val="single" w:sz="4" w:space="0" w:color="BFBFBF" w:themeColor="accent2"/>
              <w:bottom w:val="single" w:sz="4" w:space="0" w:color="000000" w:themeColor="text1"/>
            </w:tcBorders>
            <w:noWrap/>
            <w:tcMar>
              <w:right w:w="0" w:type="nil"/>
            </w:tcMar>
            <w:hideMark/>
          </w:tcPr>
          <w:p w14:paraId="57E9F17F"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A931BA">
              <w:t>–</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44E2739F" w14:textId="77777777" w:rsidR="006E51BF" w:rsidRPr="00073B03" w:rsidRDefault="006E51BF">
            <w:pPr>
              <w:pStyle w:val="ARfintabletextright8pt"/>
            </w:pPr>
            <w:r w:rsidRPr="00A931BA">
              <w:t>–</w:t>
            </w:r>
          </w:p>
        </w:tc>
        <w:tc>
          <w:tcPr>
            <w:tcW w:w="338" w:type="pct"/>
            <w:tcBorders>
              <w:top w:val="single" w:sz="4" w:space="0" w:color="BFBFBF" w:themeColor="accent2"/>
              <w:bottom w:val="single" w:sz="4" w:space="0" w:color="000000" w:themeColor="text1"/>
            </w:tcBorders>
            <w:noWrap/>
            <w:tcMar>
              <w:right w:w="0" w:type="nil"/>
            </w:tcMar>
            <w:hideMark/>
          </w:tcPr>
          <w:p w14:paraId="3E7A7679"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073B03">
              <w:t>2.6</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7B1FE661" w14:textId="77777777" w:rsidR="006E51BF" w:rsidRPr="00073B03" w:rsidRDefault="006E51BF">
            <w:pPr>
              <w:pStyle w:val="ARfintabletextright8pt"/>
            </w:pPr>
            <w:r w:rsidRPr="00A931BA">
              <w:t>–</w:t>
            </w:r>
          </w:p>
        </w:tc>
        <w:tc>
          <w:tcPr>
            <w:tcW w:w="338" w:type="pct"/>
            <w:tcBorders>
              <w:top w:val="single" w:sz="4" w:space="0" w:color="BFBFBF" w:themeColor="accent2"/>
              <w:bottom w:val="single" w:sz="4" w:space="0" w:color="000000" w:themeColor="text1"/>
            </w:tcBorders>
            <w:noWrap/>
            <w:tcMar>
              <w:right w:w="0" w:type="nil"/>
            </w:tcMar>
            <w:hideMark/>
          </w:tcPr>
          <w:p w14:paraId="11D6230F"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073B03">
              <w:t>0.1</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5F0BA7D3" w14:textId="77777777" w:rsidR="006E51BF" w:rsidRPr="00073B03" w:rsidRDefault="006E51BF">
            <w:pPr>
              <w:pStyle w:val="ARfintabletextright8pt"/>
            </w:pPr>
            <w:r w:rsidRPr="00073B03">
              <w:t>59.2</w:t>
            </w:r>
          </w:p>
        </w:tc>
        <w:tc>
          <w:tcPr>
            <w:tcW w:w="338" w:type="pct"/>
            <w:tcBorders>
              <w:top w:val="single" w:sz="4" w:space="0" w:color="BFBFBF" w:themeColor="accent2"/>
              <w:bottom w:val="single" w:sz="4" w:space="0" w:color="000000" w:themeColor="text1"/>
            </w:tcBorders>
            <w:noWrap/>
            <w:tcMar>
              <w:right w:w="0" w:type="nil"/>
            </w:tcMar>
            <w:hideMark/>
          </w:tcPr>
          <w:p w14:paraId="5D323E64"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073B03">
              <w:t>37,371.2</w:t>
            </w:r>
          </w:p>
        </w:tc>
        <w:tc>
          <w:tcPr>
            <w:cnfStyle w:val="000001000000" w:firstRow="0" w:lastRow="0" w:firstColumn="0" w:lastColumn="0" w:oddVBand="0" w:evenVBand="1" w:oddHBand="0" w:evenHBand="0" w:firstRowFirstColumn="0" w:firstRowLastColumn="0" w:lastRowFirstColumn="0" w:lastRowLastColumn="0"/>
            <w:tcW w:w="337" w:type="pct"/>
            <w:tcBorders>
              <w:top w:val="single" w:sz="4" w:space="0" w:color="BFBFBF" w:themeColor="accent2"/>
              <w:bottom w:val="single" w:sz="4" w:space="0" w:color="000000" w:themeColor="text1"/>
            </w:tcBorders>
            <w:noWrap/>
            <w:tcMar>
              <w:right w:w="0" w:type="nil"/>
            </w:tcMar>
            <w:hideMark/>
          </w:tcPr>
          <w:p w14:paraId="6B905C04" w14:textId="77777777" w:rsidR="006E51BF" w:rsidRPr="00073B03" w:rsidRDefault="006E51BF">
            <w:pPr>
              <w:pStyle w:val="ARfintabletextright8pt"/>
            </w:pPr>
            <w:r w:rsidRPr="00073B03">
              <w:t>39,042.2</w:t>
            </w:r>
          </w:p>
        </w:tc>
      </w:tr>
      <w:tr w:rsidR="006E51BF" w:rsidRPr="00073B03" w14:paraId="528324EB"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607" w:type="pct"/>
            <w:tcBorders>
              <w:top w:val="single" w:sz="4" w:space="0" w:color="000000" w:themeColor="text1"/>
              <w:bottom w:val="single" w:sz="4" w:space="0" w:color="000000" w:themeColor="text1"/>
            </w:tcBorders>
            <w:noWrap/>
            <w:hideMark/>
          </w:tcPr>
          <w:p w14:paraId="1CC0D5DB" w14:textId="77777777" w:rsidR="006E51BF" w:rsidRPr="00073B03" w:rsidRDefault="006E51BF">
            <w:pPr>
              <w:pStyle w:val="ARfintabletextbold8pt"/>
            </w:pPr>
            <w:r w:rsidRPr="00073B03">
              <w:t>Total assets</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2CD90009" w14:textId="77777777" w:rsidR="006E51BF" w:rsidRPr="00073B03" w:rsidRDefault="006E51BF">
            <w:pPr>
              <w:pStyle w:val="ARfintabletextboldright8pt"/>
            </w:pPr>
            <w:r w:rsidRPr="00073B03">
              <w:t>1,531.4</w:t>
            </w:r>
          </w:p>
        </w:tc>
        <w:tc>
          <w:tcPr>
            <w:tcW w:w="338" w:type="pct"/>
            <w:tcBorders>
              <w:top w:val="single" w:sz="4" w:space="0" w:color="000000" w:themeColor="text1"/>
              <w:bottom w:val="single" w:sz="4" w:space="0" w:color="000000" w:themeColor="text1"/>
            </w:tcBorders>
            <w:noWrap/>
            <w:tcMar>
              <w:right w:w="0" w:type="nil"/>
            </w:tcMar>
            <w:hideMark/>
          </w:tcPr>
          <w:p w14:paraId="1BE32C11" w14:textId="77777777" w:rsidR="006E51BF" w:rsidRPr="00073B03"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073B03">
              <w:t>594.9</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751E56FF" w14:textId="77777777" w:rsidR="006E51BF" w:rsidRPr="00073B03" w:rsidRDefault="006E51BF">
            <w:pPr>
              <w:pStyle w:val="ARfintabletextboldright8pt"/>
            </w:pPr>
            <w:r w:rsidRPr="00073B03">
              <w:t>214.0</w:t>
            </w:r>
          </w:p>
        </w:tc>
        <w:tc>
          <w:tcPr>
            <w:tcW w:w="338" w:type="pct"/>
            <w:tcBorders>
              <w:top w:val="single" w:sz="4" w:space="0" w:color="000000" w:themeColor="text1"/>
              <w:bottom w:val="single" w:sz="4" w:space="0" w:color="000000" w:themeColor="text1"/>
            </w:tcBorders>
            <w:noWrap/>
            <w:tcMar>
              <w:right w:w="0" w:type="nil"/>
            </w:tcMar>
            <w:hideMark/>
          </w:tcPr>
          <w:p w14:paraId="27FC7823" w14:textId="77777777" w:rsidR="006E51BF" w:rsidRPr="00073B03"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073B03">
              <w:t>26.0</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1B99A82A" w14:textId="77777777" w:rsidR="006E51BF" w:rsidRPr="00073B03" w:rsidRDefault="006E51BF">
            <w:pPr>
              <w:pStyle w:val="ARfintabletextboldright8pt"/>
            </w:pPr>
            <w:r w:rsidRPr="00073B03">
              <w:t>18.5</w:t>
            </w:r>
          </w:p>
        </w:tc>
        <w:tc>
          <w:tcPr>
            <w:tcW w:w="338" w:type="pct"/>
            <w:tcBorders>
              <w:top w:val="single" w:sz="4" w:space="0" w:color="000000" w:themeColor="text1"/>
              <w:bottom w:val="single" w:sz="4" w:space="0" w:color="000000" w:themeColor="text1"/>
            </w:tcBorders>
            <w:noWrap/>
            <w:tcMar>
              <w:right w:w="0" w:type="nil"/>
            </w:tcMar>
            <w:hideMark/>
          </w:tcPr>
          <w:p w14:paraId="70D517BD" w14:textId="77777777" w:rsidR="006E51BF" w:rsidRPr="00073B03"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073B03">
              <w:t>16.8</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39FCAE9D" w14:textId="77777777" w:rsidR="006E51BF" w:rsidRPr="00073B03" w:rsidRDefault="006E51BF">
            <w:pPr>
              <w:pStyle w:val="ARfintabletextboldright8pt"/>
            </w:pPr>
            <w:r w:rsidRPr="00073B03">
              <w:t>13.9</w:t>
            </w:r>
          </w:p>
        </w:tc>
        <w:tc>
          <w:tcPr>
            <w:tcW w:w="338" w:type="pct"/>
            <w:tcBorders>
              <w:top w:val="single" w:sz="4" w:space="0" w:color="000000" w:themeColor="text1"/>
              <w:bottom w:val="single" w:sz="4" w:space="0" w:color="000000" w:themeColor="text1"/>
            </w:tcBorders>
            <w:noWrap/>
            <w:tcMar>
              <w:right w:w="0" w:type="nil"/>
            </w:tcMar>
            <w:hideMark/>
          </w:tcPr>
          <w:p w14:paraId="2DC387BD" w14:textId="77777777" w:rsidR="006E51BF" w:rsidRPr="00073B03"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073B03">
              <w:t>26.4</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413B3B2C" w14:textId="77777777" w:rsidR="006E51BF" w:rsidRPr="00073B03" w:rsidRDefault="006E51BF">
            <w:pPr>
              <w:pStyle w:val="ARfintabletextboldright8pt"/>
            </w:pPr>
            <w:r w:rsidRPr="00073B03">
              <w:t>47.7</w:t>
            </w:r>
          </w:p>
        </w:tc>
        <w:tc>
          <w:tcPr>
            <w:tcW w:w="338" w:type="pct"/>
            <w:tcBorders>
              <w:top w:val="single" w:sz="4" w:space="0" w:color="000000" w:themeColor="text1"/>
              <w:bottom w:val="single" w:sz="4" w:space="0" w:color="000000" w:themeColor="text1"/>
            </w:tcBorders>
            <w:noWrap/>
            <w:tcMar>
              <w:right w:w="0" w:type="nil"/>
            </w:tcMar>
            <w:hideMark/>
          </w:tcPr>
          <w:p w14:paraId="1859D4D6" w14:textId="77777777" w:rsidR="006E51BF" w:rsidRPr="00073B03"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073B03">
              <w:t>37.7</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4946E504" w14:textId="77777777" w:rsidR="006E51BF" w:rsidRPr="00073B03" w:rsidRDefault="006E51BF">
            <w:pPr>
              <w:pStyle w:val="ARfintabletextboldright8pt"/>
            </w:pPr>
            <w:r w:rsidRPr="00073B03">
              <w:t>135.1</w:t>
            </w:r>
          </w:p>
        </w:tc>
        <w:tc>
          <w:tcPr>
            <w:tcW w:w="338" w:type="pct"/>
            <w:tcBorders>
              <w:top w:val="single" w:sz="4" w:space="0" w:color="000000" w:themeColor="text1"/>
              <w:bottom w:val="single" w:sz="4" w:space="0" w:color="000000" w:themeColor="text1"/>
            </w:tcBorders>
            <w:noWrap/>
            <w:tcMar>
              <w:right w:w="0" w:type="nil"/>
            </w:tcMar>
            <w:hideMark/>
          </w:tcPr>
          <w:p w14:paraId="3FCCAB09" w14:textId="77777777" w:rsidR="006E51BF" w:rsidRPr="00073B03"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073B03">
              <w:t>38,833.5</w:t>
            </w:r>
          </w:p>
        </w:tc>
        <w:tc>
          <w:tcPr>
            <w:cnfStyle w:val="000001000000" w:firstRow="0" w:lastRow="0" w:firstColumn="0" w:lastColumn="0" w:oddVBand="0" w:evenVBand="1" w:oddHBand="0" w:evenHBand="0" w:firstRowFirstColumn="0" w:firstRowLastColumn="0" w:lastRowFirstColumn="0" w:lastRowLastColumn="0"/>
            <w:tcW w:w="337" w:type="pct"/>
            <w:tcBorders>
              <w:top w:val="single" w:sz="4" w:space="0" w:color="000000" w:themeColor="text1"/>
              <w:bottom w:val="single" w:sz="4" w:space="0" w:color="000000" w:themeColor="text1"/>
            </w:tcBorders>
            <w:noWrap/>
            <w:tcMar>
              <w:right w:w="0" w:type="nil"/>
            </w:tcMar>
            <w:hideMark/>
          </w:tcPr>
          <w:p w14:paraId="29CA5748" w14:textId="77777777" w:rsidR="006E51BF" w:rsidRPr="00073B03" w:rsidRDefault="006E51BF">
            <w:pPr>
              <w:pStyle w:val="ARfintabletextboldright8pt"/>
            </w:pPr>
            <w:r w:rsidRPr="00073B03">
              <w:t>41,495.7</w:t>
            </w:r>
          </w:p>
        </w:tc>
      </w:tr>
      <w:tr w:rsidR="006E51BF" w:rsidRPr="00073B03" w14:paraId="06EF4C43"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607" w:type="pct"/>
            <w:tcBorders>
              <w:top w:val="single" w:sz="4" w:space="0" w:color="000000" w:themeColor="text1"/>
              <w:bottom w:val="single" w:sz="4" w:space="0" w:color="BFBFBF" w:themeColor="accent2"/>
            </w:tcBorders>
            <w:noWrap/>
            <w:hideMark/>
          </w:tcPr>
          <w:p w14:paraId="0C2C3B51" w14:textId="77777777" w:rsidR="006E51BF" w:rsidRPr="00073B03" w:rsidRDefault="006E51BF">
            <w:pPr>
              <w:pStyle w:val="Arfintabletextboldcoloured8pt"/>
            </w:pPr>
            <w:r w:rsidRPr="00073B03">
              <w:t>Liabilities</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BFBFBF" w:themeColor="accent2"/>
            </w:tcBorders>
            <w:shd w:val="clear" w:color="auto" w:fill="auto"/>
            <w:noWrap/>
            <w:tcMar>
              <w:right w:w="0" w:type="nil"/>
            </w:tcMar>
            <w:hideMark/>
          </w:tcPr>
          <w:p w14:paraId="17EC5424" w14:textId="77777777" w:rsidR="006E51BF" w:rsidRPr="00073B03" w:rsidRDefault="006E51BF">
            <w:pPr>
              <w:pStyle w:val="ARfintabletextright8pt"/>
            </w:pPr>
          </w:p>
        </w:tc>
        <w:tc>
          <w:tcPr>
            <w:tcW w:w="338" w:type="pct"/>
            <w:tcBorders>
              <w:top w:val="single" w:sz="4" w:space="0" w:color="000000" w:themeColor="text1"/>
              <w:bottom w:val="single" w:sz="4" w:space="0" w:color="BFBFBF" w:themeColor="accent2"/>
            </w:tcBorders>
            <w:noWrap/>
            <w:tcMar>
              <w:right w:w="0" w:type="nil"/>
            </w:tcMar>
            <w:hideMark/>
          </w:tcPr>
          <w:p w14:paraId="6064A804"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BFBFBF" w:themeColor="accent2"/>
            </w:tcBorders>
            <w:shd w:val="clear" w:color="auto" w:fill="auto"/>
            <w:noWrap/>
            <w:tcMar>
              <w:right w:w="0" w:type="nil"/>
            </w:tcMar>
            <w:hideMark/>
          </w:tcPr>
          <w:p w14:paraId="108E9179" w14:textId="77777777" w:rsidR="006E51BF" w:rsidRPr="00073B03" w:rsidRDefault="006E51BF">
            <w:pPr>
              <w:pStyle w:val="ARfintabletextright8pt"/>
            </w:pPr>
          </w:p>
        </w:tc>
        <w:tc>
          <w:tcPr>
            <w:tcW w:w="338" w:type="pct"/>
            <w:tcBorders>
              <w:top w:val="single" w:sz="4" w:space="0" w:color="000000" w:themeColor="text1"/>
              <w:bottom w:val="single" w:sz="4" w:space="0" w:color="BFBFBF" w:themeColor="accent2"/>
            </w:tcBorders>
            <w:noWrap/>
            <w:tcMar>
              <w:right w:w="0" w:type="nil"/>
            </w:tcMar>
            <w:hideMark/>
          </w:tcPr>
          <w:p w14:paraId="486F97A3"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BFBFBF" w:themeColor="accent2"/>
            </w:tcBorders>
            <w:shd w:val="clear" w:color="auto" w:fill="auto"/>
            <w:noWrap/>
            <w:tcMar>
              <w:right w:w="0" w:type="nil"/>
            </w:tcMar>
            <w:hideMark/>
          </w:tcPr>
          <w:p w14:paraId="7C192965" w14:textId="77777777" w:rsidR="006E51BF" w:rsidRPr="00073B03" w:rsidRDefault="006E51BF">
            <w:pPr>
              <w:pStyle w:val="ARfintabletextright8pt"/>
            </w:pPr>
          </w:p>
        </w:tc>
        <w:tc>
          <w:tcPr>
            <w:tcW w:w="338" w:type="pct"/>
            <w:tcBorders>
              <w:top w:val="single" w:sz="4" w:space="0" w:color="000000" w:themeColor="text1"/>
              <w:bottom w:val="single" w:sz="4" w:space="0" w:color="BFBFBF" w:themeColor="accent2"/>
            </w:tcBorders>
            <w:noWrap/>
            <w:tcMar>
              <w:right w:w="0" w:type="nil"/>
            </w:tcMar>
            <w:hideMark/>
          </w:tcPr>
          <w:p w14:paraId="6C55F815"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BFBFBF" w:themeColor="accent2"/>
            </w:tcBorders>
            <w:shd w:val="clear" w:color="auto" w:fill="auto"/>
            <w:noWrap/>
            <w:tcMar>
              <w:right w:w="0" w:type="nil"/>
            </w:tcMar>
            <w:hideMark/>
          </w:tcPr>
          <w:p w14:paraId="391B2927" w14:textId="77777777" w:rsidR="006E51BF" w:rsidRPr="00073B03" w:rsidRDefault="006E51BF">
            <w:pPr>
              <w:pStyle w:val="ARfintabletextright8pt"/>
            </w:pPr>
          </w:p>
        </w:tc>
        <w:tc>
          <w:tcPr>
            <w:tcW w:w="338" w:type="pct"/>
            <w:tcBorders>
              <w:top w:val="single" w:sz="4" w:space="0" w:color="000000" w:themeColor="text1"/>
              <w:bottom w:val="single" w:sz="4" w:space="0" w:color="BFBFBF" w:themeColor="accent2"/>
            </w:tcBorders>
            <w:noWrap/>
            <w:tcMar>
              <w:right w:w="0" w:type="nil"/>
            </w:tcMar>
            <w:hideMark/>
          </w:tcPr>
          <w:p w14:paraId="620689D1"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BFBFBF" w:themeColor="accent2"/>
            </w:tcBorders>
            <w:shd w:val="clear" w:color="auto" w:fill="auto"/>
            <w:noWrap/>
            <w:tcMar>
              <w:right w:w="0" w:type="nil"/>
            </w:tcMar>
            <w:hideMark/>
          </w:tcPr>
          <w:p w14:paraId="2FE21029" w14:textId="77777777" w:rsidR="006E51BF" w:rsidRPr="00073B03" w:rsidRDefault="006E51BF">
            <w:pPr>
              <w:pStyle w:val="ARfintabletextright8pt"/>
            </w:pPr>
          </w:p>
        </w:tc>
        <w:tc>
          <w:tcPr>
            <w:tcW w:w="338" w:type="pct"/>
            <w:tcBorders>
              <w:top w:val="single" w:sz="4" w:space="0" w:color="000000" w:themeColor="text1"/>
              <w:bottom w:val="single" w:sz="4" w:space="0" w:color="BFBFBF" w:themeColor="accent2"/>
            </w:tcBorders>
            <w:noWrap/>
            <w:tcMar>
              <w:right w:w="0" w:type="nil"/>
            </w:tcMar>
            <w:hideMark/>
          </w:tcPr>
          <w:p w14:paraId="0E92CAB1"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BFBFBF" w:themeColor="accent2"/>
            </w:tcBorders>
            <w:shd w:val="clear" w:color="auto" w:fill="auto"/>
            <w:noWrap/>
            <w:tcMar>
              <w:right w:w="0" w:type="nil"/>
            </w:tcMar>
            <w:hideMark/>
          </w:tcPr>
          <w:p w14:paraId="30769AF4" w14:textId="77777777" w:rsidR="006E51BF" w:rsidRPr="00073B03" w:rsidRDefault="006E51BF">
            <w:pPr>
              <w:pStyle w:val="ARfintabletextright8pt"/>
            </w:pPr>
          </w:p>
        </w:tc>
        <w:tc>
          <w:tcPr>
            <w:tcW w:w="338" w:type="pct"/>
            <w:tcBorders>
              <w:top w:val="single" w:sz="4" w:space="0" w:color="000000" w:themeColor="text1"/>
              <w:bottom w:val="single" w:sz="4" w:space="0" w:color="BFBFBF" w:themeColor="accent2"/>
            </w:tcBorders>
            <w:noWrap/>
            <w:tcMar>
              <w:right w:w="0" w:type="nil"/>
            </w:tcMar>
            <w:hideMark/>
          </w:tcPr>
          <w:p w14:paraId="51235463" w14:textId="77777777" w:rsidR="006E51BF" w:rsidRPr="00073B03"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337" w:type="pct"/>
            <w:tcBorders>
              <w:top w:val="single" w:sz="4" w:space="0" w:color="000000" w:themeColor="text1"/>
              <w:bottom w:val="single" w:sz="4" w:space="0" w:color="BFBFBF" w:themeColor="accent2"/>
            </w:tcBorders>
            <w:shd w:val="clear" w:color="auto" w:fill="auto"/>
            <w:noWrap/>
            <w:tcMar>
              <w:right w:w="0" w:type="nil"/>
            </w:tcMar>
            <w:hideMark/>
          </w:tcPr>
          <w:p w14:paraId="53693A52" w14:textId="77777777" w:rsidR="006E51BF" w:rsidRPr="00073B03" w:rsidRDefault="006E51BF">
            <w:pPr>
              <w:pStyle w:val="ARfintabletextright8pt"/>
            </w:pPr>
          </w:p>
        </w:tc>
      </w:tr>
      <w:tr w:rsidR="006E51BF" w:rsidRPr="00073B03" w14:paraId="5F7E93EB"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607" w:type="pct"/>
            <w:tcBorders>
              <w:top w:val="single" w:sz="4" w:space="0" w:color="BFBFBF" w:themeColor="accent2"/>
              <w:bottom w:val="single" w:sz="4" w:space="0" w:color="000000" w:themeColor="text1"/>
            </w:tcBorders>
            <w:noWrap/>
            <w:hideMark/>
          </w:tcPr>
          <w:p w14:paraId="254D4C1B" w14:textId="77777777" w:rsidR="006E51BF" w:rsidRPr="00073B03" w:rsidRDefault="006E51BF">
            <w:pPr>
              <w:pStyle w:val="ARfintabletext8pt"/>
            </w:pPr>
            <w:r w:rsidRPr="00073B03">
              <w:t>Liabilities</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216D7044" w14:textId="77777777" w:rsidR="006E51BF" w:rsidRPr="00073B03" w:rsidRDefault="006E51BF">
            <w:pPr>
              <w:pStyle w:val="ARfintabletextright8pt"/>
            </w:pPr>
            <w:r w:rsidRPr="00073B03">
              <w:t>(312.1)</w:t>
            </w:r>
          </w:p>
        </w:tc>
        <w:tc>
          <w:tcPr>
            <w:tcW w:w="338" w:type="pct"/>
            <w:tcBorders>
              <w:top w:val="single" w:sz="4" w:space="0" w:color="BFBFBF" w:themeColor="accent2"/>
              <w:bottom w:val="single" w:sz="4" w:space="0" w:color="000000" w:themeColor="text1"/>
            </w:tcBorders>
            <w:noWrap/>
            <w:tcMar>
              <w:right w:w="0" w:type="nil"/>
            </w:tcMar>
            <w:hideMark/>
          </w:tcPr>
          <w:p w14:paraId="7E78ACFA"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(824.5)</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7690EF93" w14:textId="77777777" w:rsidR="006E51BF" w:rsidRPr="00073B03" w:rsidRDefault="006E51BF">
            <w:pPr>
              <w:pStyle w:val="ARfintabletextright8pt"/>
            </w:pPr>
            <w:r w:rsidRPr="00073B03">
              <w:t>(173.7)</w:t>
            </w:r>
          </w:p>
        </w:tc>
        <w:tc>
          <w:tcPr>
            <w:tcW w:w="338" w:type="pct"/>
            <w:tcBorders>
              <w:top w:val="single" w:sz="4" w:space="0" w:color="BFBFBF" w:themeColor="accent2"/>
              <w:bottom w:val="single" w:sz="4" w:space="0" w:color="000000" w:themeColor="text1"/>
            </w:tcBorders>
            <w:noWrap/>
            <w:tcMar>
              <w:right w:w="0" w:type="nil"/>
            </w:tcMar>
            <w:hideMark/>
          </w:tcPr>
          <w:p w14:paraId="3143C4E0"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(5.1)</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0FE4A390" w14:textId="77777777" w:rsidR="006E51BF" w:rsidRPr="00073B03" w:rsidRDefault="006E51BF">
            <w:pPr>
              <w:pStyle w:val="ARfintabletextright8pt"/>
            </w:pPr>
            <w:r w:rsidRPr="00073B03">
              <w:t>(3.3)</w:t>
            </w:r>
          </w:p>
        </w:tc>
        <w:tc>
          <w:tcPr>
            <w:tcW w:w="338" w:type="pct"/>
            <w:tcBorders>
              <w:top w:val="single" w:sz="4" w:space="0" w:color="BFBFBF" w:themeColor="accent2"/>
              <w:bottom w:val="single" w:sz="4" w:space="0" w:color="000000" w:themeColor="text1"/>
            </w:tcBorders>
            <w:noWrap/>
            <w:tcMar>
              <w:right w:w="0" w:type="nil"/>
            </w:tcMar>
            <w:hideMark/>
          </w:tcPr>
          <w:p w14:paraId="51638B27"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(0.8)</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72DE27B7" w14:textId="77777777" w:rsidR="006E51BF" w:rsidRPr="00073B03" w:rsidRDefault="006E51BF">
            <w:pPr>
              <w:pStyle w:val="ARfintabletextright8pt"/>
            </w:pPr>
            <w:r w:rsidRPr="00073B03">
              <w:t>(1.6)</w:t>
            </w:r>
          </w:p>
        </w:tc>
        <w:tc>
          <w:tcPr>
            <w:tcW w:w="338" w:type="pct"/>
            <w:tcBorders>
              <w:top w:val="single" w:sz="4" w:space="0" w:color="BFBFBF" w:themeColor="accent2"/>
              <w:bottom w:val="single" w:sz="4" w:space="0" w:color="000000" w:themeColor="text1"/>
            </w:tcBorders>
            <w:noWrap/>
            <w:tcMar>
              <w:right w:w="0" w:type="nil"/>
            </w:tcMar>
            <w:hideMark/>
          </w:tcPr>
          <w:p w14:paraId="4FA67B6F"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(3.0)</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40DA3727" w14:textId="77777777" w:rsidR="006E51BF" w:rsidRPr="00073B03" w:rsidRDefault="006E51BF">
            <w:pPr>
              <w:pStyle w:val="ARfintabletextright8pt"/>
            </w:pPr>
            <w:r w:rsidRPr="00073B03">
              <w:t>(2.4)</w:t>
            </w:r>
          </w:p>
        </w:tc>
        <w:tc>
          <w:tcPr>
            <w:tcW w:w="338" w:type="pct"/>
            <w:tcBorders>
              <w:top w:val="single" w:sz="4" w:space="0" w:color="BFBFBF" w:themeColor="accent2"/>
              <w:bottom w:val="single" w:sz="4" w:space="0" w:color="000000" w:themeColor="text1"/>
            </w:tcBorders>
            <w:noWrap/>
            <w:tcMar>
              <w:right w:w="0" w:type="nil"/>
            </w:tcMar>
            <w:hideMark/>
          </w:tcPr>
          <w:p w14:paraId="0E82A73E"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(1.4)</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BFBFBF" w:themeColor="accent2"/>
              <w:bottom w:val="single" w:sz="4" w:space="0" w:color="000000" w:themeColor="text1"/>
            </w:tcBorders>
            <w:noWrap/>
            <w:tcMar>
              <w:right w:w="0" w:type="nil"/>
            </w:tcMar>
            <w:hideMark/>
          </w:tcPr>
          <w:p w14:paraId="4556A15B" w14:textId="77777777" w:rsidR="006E51BF" w:rsidRPr="00073B03" w:rsidRDefault="006E51BF">
            <w:pPr>
              <w:pStyle w:val="ARfintabletextright8pt"/>
            </w:pPr>
            <w:r w:rsidRPr="00073B03">
              <w:t>(23.0)</w:t>
            </w:r>
          </w:p>
        </w:tc>
        <w:tc>
          <w:tcPr>
            <w:tcW w:w="338" w:type="pct"/>
            <w:tcBorders>
              <w:top w:val="single" w:sz="4" w:space="0" w:color="BFBFBF" w:themeColor="accent2"/>
              <w:bottom w:val="single" w:sz="4" w:space="0" w:color="000000" w:themeColor="text1"/>
            </w:tcBorders>
            <w:noWrap/>
            <w:tcMar>
              <w:right w:w="0" w:type="nil"/>
            </w:tcMar>
            <w:hideMark/>
          </w:tcPr>
          <w:p w14:paraId="277903DD" w14:textId="77777777" w:rsidR="006E51BF" w:rsidRPr="00073B0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73B03">
              <w:t>(1,051.2)</w:t>
            </w:r>
          </w:p>
        </w:tc>
        <w:tc>
          <w:tcPr>
            <w:cnfStyle w:val="000001000000" w:firstRow="0" w:lastRow="0" w:firstColumn="0" w:lastColumn="0" w:oddVBand="0" w:evenVBand="1" w:oddHBand="0" w:evenHBand="0" w:firstRowFirstColumn="0" w:firstRowLastColumn="0" w:lastRowFirstColumn="0" w:lastRowLastColumn="0"/>
            <w:tcW w:w="337" w:type="pct"/>
            <w:tcBorders>
              <w:top w:val="single" w:sz="4" w:space="0" w:color="BFBFBF" w:themeColor="accent2"/>
              <w:bottom w:val="single" w:sz="4" w:space="0" w:color="000000" w:themeColor="text1"/>
            </w:tcBorders>
            <w:noWrap/>
            <w:tcMar>
              <w:right w:w="0" w:type="nil"/>
            </w:tcMar>
            <w:hideMark/>
          </w:tcPr>
          <w:p w14:paraId="68960D06" w14:textId="77777777" w:rsidR="006E51BF" w:rsidRPr="00073B03" w:rsidRDefault="006E51BF">
            <w:pPr>
              <w:pStyle w:val="ARfintabletextright8pt"/>
            </w:pPr>
            <w:r w:rsidRPr="00073B03">
              <w:t>(2,401.9)</w:t>
            </w:r>
          </w:p>
        </w:tc>
      </w:tr>
      <w:tr w:rsidR="006E51BF" w:rsidRPr="00073B03" w14:paraId="3DFF57E5"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607" w:type="pct"/>
            <w:tcBorders>
              <w:top w:val="single" w:sz="4" w:space="0" w:color="000000" w:themeColor="text1"/>
              <w:bottom w:val="single" w:sz="4" w:space="0" w:color="000000" w:themeColor="text1"/>
            </w:tcBorders>
            <w:noWrap/>
            <w:hideMark/>
          </w:tcPr>
          <w:p w14:paraId="15FD7810" w14:textId="77777777" w:rsidR="006E51BF" w:rsidRPr="00073B03" w:rsidRDefault="006E51BF">
            <w:pPr>
              <w:pStyle w:val="ARfintabletextbold8pt"/>
            </w:pPr>
            <w:r w:rsidRPr="00073B03">
              <w:t>Total liabilities</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37F3C18C" w14:textId="77777777" w:rsidR="006E51BF" w:rsidRPr="00073B03" w:rsidRDefault="006E51BF">
            <w:pPr>
              <w:pStyle w:val="ARfintabletextboldright8pt"/>
            </w:pPr>
            <w:r w:rsidRPr="00073B03">
              <w:t>(312.1)</w:t>
            </w:r>
          </w:p>
        </w:tc>
        <w:tc>
          <w:tcPr>
            <w:tcW w:w="338" w:type="pct"/>
            <w:tcBorders>
              <w:top w:val="single" w:sz="4" w:space="0" w:color="000000" w:themeColor="text1"/>
              <w:bottom w:val="single" w:sz="4" w:space="0" w:color="000000" w:themeColor="text1"/>
            </w:tcBorders>
            <w:noWrap/>
            <w:tcMar>
              <w:right w:w="0" w:type="nil"/>
            </w:tcMar>
            <w:hideMark/>
          </w:tcPr>
          <w:p w14:paraId="1D54F97E" w14:textId="77777777" w:rsidR="006E51BF" w:rsidRPr="00073B03"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73B03">
              <w:t>(824.5)</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5FF4243F" w14:textId="77777777" w:rsidR="006E51BF" w:rsidRPr="00073B03" w:rsidRDefault="006E51BF">
            <w:pPr>
              <w:pStyle w:val="ARfintabletextboldright8pt"/>
            </w:pPr>
            <w:r w:rsidRPr="00073B03">
              <w:t>(173.7)</w:t>
            </w:r>
          </w:p>
        </w:tc>
        <w:tc>
          <w:tcPr>
            <w:tcW w:w="338" w:type="pct"/>
            <w:tcBorders>
              <w:top w:val="single" w:sz="4" w:space="0" w:color="000000" w:themeColor="text1"/>
              <w:bottom w:val="single" w:sz="4" w:space="0" w:color="000000" w:themeColor="text1"/>
            </w:tcBorders>
            <w:noWrap/>
            <w:tcMar>
              <w:right w:w="0" w:type="nil"/>
            </w:tcMar>
            <w:hideMark/>
          </w:tcPr>
          <w:p w14:paraId="341F7E0C" w14:textId="77777777" w:rsidR="006E51BF" w:rsidRPr="00073B03"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73B03">
              <w:t>(5.1)</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3733612F" w14:textId="77777777" w:rsidR="006E51BF" w:rsidRPr="00073B03" w:rsidRDefault="006E51BF">
            <w:pPr>
              <w:pStyle w:val="ARfintabletextboldright8pt"/>
            </w:pPr>
            <w:r w:rsidRPr="00073B03">
              <w:t>(3.3)</w:t>
            </w:r>
          </w:p>
        </w:tc>
        <w:tc>
          <w:tcPr>
            <w:tcW w:w="338" w:type="pct"/>
            <w:tcBorders>
              <w:top w:val="single" w:sz="4" w:space="0" w:color="000000" w:themeColor="text1"/>
              <w:bottom w:val="single" w:sz="4" w:space="0" w:color="000000" w:themeColor="text1"/>
            </w:tcBorders>
            <w:noWrap/>
            <w:tcMar>
              <w:right w:w="0" w:type="nil"/>
            </w:tcMar>
            <w:hideMark/>
          </w:tcPr>
          <w:p w14:paraId="49242536" w14:textId="77777777" w:rsidR="006E51BF" w:rsidRPr="00073B03"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73B03">
              <w:t>(0.8)</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0AB459FE" w14:textId="77777777" w:rsidR="006E51BF" w:rsidRPr="00073B03" w:rsidRDefault="006E51BF">
            <w:pPr>
              <w:pStyle w:val="ARfintabletextboldright8pt"/>
            </w:pPr>
            <w:r w:rsidRPr="00073B03">
              <w:t>(1.6)</w:t>
            </w:r>
          </w:p>
        </w:tc>
        <w:tc>
          <w:tcPr>
            <w:tcW w:w="338" w:type="pct"/>
            <w:tcBorders>
              <w:top w:val="single" w:sz="4" w:space="0" w:color="000000" w:themeColor="text1"/>
              <w:bottom w:val="single" w:sz="4" w:space="0" w:color="000000" w:themeColor="text1"/>
            </w:tcBorders>
            <w:noWrap/>
            <w:tcMar>
              <w:right w:w="0" w:type="nil"/>
            </w:tcMar>
            <w:hideMark/>
          </w:tcPr>
          <w:p w14:paraId="43ED22CA" w14:textId="77777777" w:rsidR="006E51BF" w:rsidRPr="00073B03"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73B03">
              <w:t>(3.0)</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7B5C7E17" w14:textId="77777777" w:rsidR="006E51BF" w:rsidRPr="00073B03" w:rsidRDefault="006E51BF">
            <w:pPr>
              <w:pStyle w:val="ARfintabletextboldright8pt"/>
            </w:pPr>
            <w:r w:rsidRPr="00073B03">
              <w:t>(2.4)</w:t>
            </w:r>
          </w:p>
        </w:tc>
        <w:tc>
          <w:tcPr>
            <w:tcW w:w="338" w:type="pct"/>
            <w:tcBorders>
              <w:top w:val="single" w:sz="4" w:space="0" w:color="000000" w:themeColor="text1"/>
              <w:bottom w:val="single" w:sz="4" w:space="0" w:color="000000" w:themeColor="text1"/>
            </w:tcBorders>
            <w:noWrap/>
            <w:tcMar>
              <w:right w:w="0" w:type="nil"/>
            </w:tcMar>
            <w:hideMark/>
          </w:tcPr>
          <w:p w14:paraId="265E28F9" w14:textId="77777777" w:rsidR="006E51BF" w:rsidRPr="00073B03"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73B03">
              <w:t>(1.4)</w:t>
            </w:r>
          </w:p>
        </w:tc>
        <w:tc>
          <w:tcPr>
            <w:cnfStyle w:val="000001000000" w:firstRow="0" w:lastRow="0" w:firstColumn="0" w:lastColumn="0" w:oddVBand="0" w:evenVBand="1" w:oddHBand="0" w:evenHBand="0" w:firstRowFirstColumn="0" w:firstRowLastColumn="0" w:lastRowFirstColumn="0" w:lastRowLastColumn="0"/>
            <w:tcW w:w="338" w:type="pct"/>
            <w:tcBorders>
              <w:top w:val="single" w:sz="4" w:space="0" w:color="000000" w:themeColor="text1"/>
              <w:bottom w:val="single" w:sz="4" w:space="0" w:color="000000" w:themeColor="text1"/>
            </w:tcBorders>
            <w:noWrap/>
            <w:tcMar>
              <w:right w:w="0" w:type="nil"/>
            </w:tcMar>
            <w:hideMark/>
          </w:tcPr>
          <w:p w14:paraId="0556B29A" w14:textId="77777777" w:rsidR="006E51BF" w:rsidRPr="00073B03" w:rsidRDefault="006E51BF">
            <w:pPr>
              <w:pStyle w:val="ARfintabletextboldright8pt"/>
            </w:pPr>
            <w:r w:rsidRPr="00073B03">
              <w:t>(23.0)</w:t>
            </w:r>
          </w:p>
        </w:tc>
        <w:tc>
          <w:tcPr>
            <w:tcW w:w="338" w:type="pct"/>
            <w:tcBorders>
              <w:top w:val="single" w:sz="4" w:space="0" w:color="000000" w:themeColor="text1"/>
              <w:bottom w:val="single" w:sz="4" w:space="0" w:color="000000" w:themeColor="text1"/>
            </w:tcBorders>
            <w:noWrap/>
            <w:tcMar>
              <w:right w:w="0" w:type="nil"/>
            </w:tcMar>
            <w:hideMark/>
          </w:tcPr>
          <w:p w14:paraId="6A0E5EC3" w14:textId="77777777" w:rsidR="006E51BF" w:rsidRPr="00073B03"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73B03">
              <w:t>(1,051.2)</w:t>
            </w:r>
          </w:p>
        </w:tc>
        <w:tc>
          <w:tcPr>
            <w:cnfStyle w:val="000001000000" w:firstRow="0" w:lastRow="0" w:firstColumn="0" w:lastColumn="0" w:oddVBand="0" w:evenVBand="1" w:oddHBand="0" w:evenHBand="0" w:firstRowFirstColumn="0" w:firstRowLastColumn="0" w:lastRowFirstColumn="0" w:lastRowLastColumn="0"/>
            <w:tcW w:w="337" w:type="pct"/>
            <w:tcBorders>
              <w:top w:val="single" w:sz="4" w:space="0" w:color="000000" w:themeColor="text1"/>
              <w:bottom w:val="single" w:sz="4" w:space="0" w:color="000000" w:themeColor="text1"/>
            </w:tcBorders>
            <w:noWrap/>
            <w:tcMar>
              <w:right w:w="0" w:type="nil"/>
            </w:tcMar>
            <w:hideMark/>
          </w:tcPr>
          <w:p w14:paraId="44564E1C" w14:textId="77777777" w:rsidR="006E51BF" w:rsidRPr="00073B03" w:rsidRDefault="006E51BF">
            <w:pPr>
              <w:pStyle w:val="ARfintabletextboldright8pt"/>
            </w:pPr>
            <w:r w:rsidRPr="00073B03">
              <w:t>(2,401.9)</w:t>
            </w:r>
          </w:p>
        </w:tc>
      </w:tr>
      <w:tr w:rsidR="006E51BF" w:rsidRPr="00073B03" w14:paraId="26DC7EFB" w14:textId="77777777" w:rsidTr="00785A35">
        <w:trPr>
          <w:cnfStyle w:val="010000000000" w:firstRow="0" w:lastRow="1" w:firstColumn="0" w:lastColumn="0" w:oddVBand="0" w:evenVBand="0" w:oddHBand="0" w:evenHBand="0" w:firstRowFirstColumn="0" w:firstRowLastColumn="0" w:lastRowFirstColumn="0" w:lastRowLastColumn="0"/>
          <w:trHeight w:val="20"/>
        </w:trPr>
        <w:tc>
          <w:tcPr>
            <w:tcW w:w="607" w:type="pct"/>
            <w:hideMark/>
          </w:tcPr>
          <w:p w14:paraId="07DBD039" w14:textId="77777777" w:rsidR="006E51BF" w:rsidRPr="00073B03" w:rsidRDefault="006E51BF">
            <w:pPr>
              <w:pStyle w:val="ARfintabletextbold8pt"/>
            </w:pPr>
            <w:r w:rsidRPr="00073B03">
              <w:t>Net assets</w:t>
            </w:r>
          </w:p>
        </w:tc>
        <w:tc>
          <w:tcPr>
            <w:cnfStyle w:val="000001000000" w:firstRow="0" w:lastRow="0" w:firstColumn="0" w:lastColumn="0" w:oddVBand="0" w:evenVBand="1" w:oddHBand="0" w:evenHBand="0" w:firstRowFirstColumn="0" w:firstRowLastColumn="0" w:lastRowFirstColumn="0" w:lastRowLastColumn="0"/>
            <w:tcW w:w="338" w:type="pct"/>
            <w:noWrap/>
            <w:tcMar>
              <w:right w:w="0" w:type="nil"/>
            </w:tcMar>
            <w:hideMark/>
          </w:tcPr>
          <w:p w14:paraId="16CFE0FE" w14:textId="77777777" w:rsidR="006E51BF" w:rsidRPr="00073B03" w:rsidRDefault="006E51BF">
            <w:pPr>
              <w:pStyle w:val="ARfintabletextboldright8pt"/>
            </w:pPr>
            <w:r w:rsidRPr="00073B03">
              <w:t>1,219.3</w:t>
            </w:r>
          </w:p>
        </w:tc>
        <w:tc>
          <w:tcPr>
            <w:tcW w:w="338" w:type="pct"/>
            <w:noWrap/>
            <w:tcMar>
              <w:right w:w="0" w:type="nil"/>
            </w:tcMar>
            <w:hideMark/>
          </w:tcPr>
          <w:p w14:paraId="3FF73249" w14:textId="77777777" w:rsidR="006E51BF" w:rsidRPr="00073B03"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073B03">
              <w:t>(229.6)</w:t>
            </w:r>
          </w:p>
        </w:tc>
        <w:tc>
          <w:tcPr>
            <w:cnfStyle w:val="000001000000" w:firstRow="0" w:lastRow="0" w:firstColumn="0" w:lastColumn="0" w:oddVBand="0" w:evenVBand="1" w:oddHBand="0" w:evenHBand="0" w:firstRowFirstColumn="0" w:firstRowLastColumn="0" w:lastRowFirstColumn="0" w:lastRowLastColumn="0"/>
            <w:tcW w:w="338" w:type="pct"/>
            <w:noWrap/>
            <w:tcMar>
              <w:right w:w="0" w:type="nil"/>
            </w:tcMar>
            <w:hideMark/>
          </w:tcPr>
          <w:p w14:paraId="0950F556" w14:textId="77777777" w:rsidR="006E51BF" w:rsidRPr="00073B03" w:rsidRDefault="006E51BF">
            <w:pPr>
              <w:pStyle w:val="ARfintabletextboldright8pt"/>
            </w:pPr>
            <w:r w:rsidRPr="00073B03">
              <w:t>40.3</w:t>
            </w:r>
          </w:p>
        </w:tc>
        <w:tc>
          <w:tcPr>
            <w:tcW w:w="338" w:type="pct"/>
            <w:noWrap/>
            <w:tcMar>
              <w:right w:w="0" w:type="nil"/>
            </w:tcMar>
            <w:hideMark/>
          </w:tcPr>
          <w:p w14:paraId="01E09D6B" w14:textId="77777777" w:rsidR="006E51BF" w:rsidRPr="00073B03"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073B03">
              <w:t>20.9</w:t>
            </w:r>
          </w:p>
        </w:tc>
        <w:tc>
          <w:tcPr>
            <w:cnfStyle w:val="000001000000" w:firstRow="0" w:lastRow="0" w:firstColumn="0" w:lastColumn="0" w:oddVBand="0" w:evenVBand="1" w:oddHBand="0" w:evenHBand="0" w:firstRowFirstColumn="0" w:firstRowLastColumn="0" w:lastRowFirstColumn="0" w:lastRowLastColumn="0"/>
            <w:tcW w:w="338" w:type="pct"/>
            <w:noWrap/>
            <w:tcMar>
              <w:right w:w="0" w:type="nil"/>
            </w:tcMar>
            <w:hideMark/>
          </w:tcPr>
          <w:p w14:paraId="2103B5B0" w14:textId="77777777" w:rsidR="006E51BF" w:rsidRPr="00073B03" w:rsidRDefault="006E51BF">
            <w:pPr>
              <w:pStyle w:val="ARfintabletextboldright8pt"/>
            </w:pPr>
            <w:r w:rsidRPr="00073B03">
              <w:t>15.2</w:t>
            </w:r>
          </w:p>
        </w:tc>
        <w:tc>
          <w:tcPr>
            <w:tcW w:w="338" w:type="pct"/>
            <w:noWrap/>
            <w:tcMar>
              <w:right w:w="0" w:type="nil"/>
            </w:tcMar>
            <w:hideMark/>
          </w:tcPr>
          <w:p w14:paraId="265DF40A" w14:textId="77777777" w:rsidR="006E51BF" w:rsidRPr="00073B03"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073B03">
              <w:t>16.0</w:t>
            </w:r>
          </w:p>
        </w:tc>
        <w:tc>
          <w:tcPr>
            <w:cnfStyle w:val="000001000000" w:firstRow="0" w:lastRow="0" w:firstColumn="0" w:lastColumn="0" w:oddVBand="0" w:evenVBand="1" w:oddHBand="0" w:evenHBand="0" w:firstRowFirstColumn="0" w:firstRowLastColumn="0" w:lastRowFirstColumn="0" w:lastRowLastColumn="0"/>
            <w:tcW w:w="338" w:type="pct"/>
            <w:noWrap/>
            <w:tcMar>
              <w:right w:w="0" w:type="nil"/>
            </w:tcMar>
            <w:hideMark/>
          </w:tcPr>
          <w:p w14:paraId="7D67D89B" w14:textId="77777777" w:rsidR="006E51BF" w:rsidRPr="00073B03" w:rsidRDefault="006E51BF">
            <w:pPr>
              <w:pStyle w:val="ARfintabletextboldright8pt"/>
            </w:pPr>
            <w:r w:rsidRPr="00073B03">
              <w:t>12.3</w:t>
            </w:r>
          </w:p>
        </w:tc>
        <w:tc>
          <w:tcPr>
            <w:tcW w:w="338" w:type="pct"/>
            <w:noWrap/>
            <w:tcMar>
              <w:right w:w="0" w:type="nil"/>
            </w:tcMar>
            <w:hideMark/>
          </w:tcPr>
          <w:p w14:paraId="13ED9C43" w14:textId="77777777" w:rsidR="006E51BF" w:rsidRPr="00073B03"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073B03">
              <w:t>23.3</w:t>
            </w:r>
          </w:p>
        </w:tc>
        <w:tc>
          <w:tcPr>
            <w:cnfStyle w:val="000001000000" w:firstRow="0" w:lastRow="0" w:firstColumn="0" w:lastColumn="0" w:oddVBand="0" w:evenVBand="1" w:oddHBand="0" w:evenHBand="0" w:firstRowFirstColumn="0" w:firstRowLastColumn="0" w:lastRowFirstColumn="0" w:lastRowLastColumn="0"/>
            <w:tcW w:w="338" w:type="pct"/>
            <w:noWrap/>
            <w:tcMar>
              <w:right w:w="0" w:type="nil"/>
            </w:tcMar>
            <w:hideMark/>
          </w:tcPr>
          <w:p w14:paraId="1D9063D3" w14:textId="77777777" w:rsidR="006E51BF" w:rsidRPr="00073B03" w:rsidRDefault="006E51BF">
            <w:pPr>
              <w:pStyle w:val="ARfintabletextboldright8pt"/>
            </w:pPr>
            <w:r w:rsidRPr="00073B03">
              <w:t>45.4</w:t>
            </w:r>
          </w:p>
        </w:tc>
        <w:tc>
          <w:tcPr>
            <w:tcW w:w="338" w:type="pct"/>
            <w:noWrap/>
            <w:tcMar>
              <w:right w:w="0" w:type="nil"/>
            </w:tcMar>
            <w:hideMark/>
          </w:tcPr>
          <w:p w14:paraId="475252F2" w14:textId="77777777" w:rsidR="006E51BF" w:rsidRPr="00073B03"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073B03">
              <w:t>36.3</w:t>
            </w:r>
          </w:p>
        </w:tc>
        <w:tc>
          <w:tcPr>
            <w:cnfStyle w:val="000001000000" w:firstRow="0" w:lastRow="0" w:firstColumn="0" w:lastColumn="0" w:oddVBand="0" w:evenVBand="1" w:oddHBand="0" w:evenHBand="0" w:firstRowFirstColumn="0" w:firstRowLastColumn="0" w:lastRowFirstColumn="0" w:lastRowLastColumn="0"/>
            <w:tcW w:w="338" w:type="pct"/>
            <w:noWrap/>
            <w:tcMar>
              <w:right w:w="0" w:type="nil"/>
            </w:tcMar>
            <w:hideMark/>
          </w:tcPr>
          <w:p w14:paraId="3C44D7B8" w14:textId="77777777" w:rsidR="006E51BF" w:rsidRPr="00073B03" w:rsidRDefault="006E51BF">
            <w:pPr>
              <w:pStyle w:val="ARfintabletextboldright8pt"/>
            </w:pPr>
            <w:r w:rsidRPr="00073B03">
              <w:t>112.2</w:t>
            </w:r>
          </w:p>
        </w:tc>
        <w:tc>
          <w:tcPr>
            <w:tcW w:w="338" w:type="pct"/>
            <w:noWrap/>
            <w:tcMar>
              <w:right w:w="0" w:type="nil"/>
            </w:tcMar>
            <w:hideMark/>
          </w:tcPr>
          <w:p w14:paraId="38148476" w14:textId="77777777" w:rsidR="006E51BF" w:rsidRPr="00073B03"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073B03">
              <w:t>37,782.3</w:t>
            </w:r>
          </w:p>
        </w:tc>
        <w:tc>
          <w:tcPr>
            <w:cnfStyle w:val="000001000000" w:firstRow="0" w:lastRow="0" w:firstColumn="0" w:lastColumn="0" w:oddVBand="0" w:evenVBand="1" w:oddHBand="0" w:evenHBand="0" w:firstRowFirstColumn="0" w:firstRowLastColumn="0" w:lastRowFirstColumn="0" w:lastRowLastColumn="0"/>
            <w:tcW w:w="337" w:type="pct"/>
            <w:noWrap/>
            <w:tcMar>
              <w:right w:w="0" w:type="nil"/>
            </w:tcMar>
            <w:hideMark/>
          </w:tcPr>
          <w:p w14:paraId="062A7BD0" w14:textId="77777777" w:rsidR="006E51BF" w:rsidRPr="00073B03" w:rsidRDefault="006E51BF">
            <w:pPr>
              <w:pStyle w:val="ARfintabletextboldright8pt"/>
            </w:pPr>
            <w:r w:rsidRPr="00073B03">
              <w:t>39,093.8</w:t>
            </w:r>
          </w:p>
        </w:tc>
      </w:tr>
    </w:tbl>
    <w:p w14:paraId="7400214C" w14:textId="77777777" w:rsidR="006E51BF" w:rsidRPr="00073B03" w:rsidRDefault="006E51BF">
      <w:pPr>
        <w:pStyle w:val="ARfintablenote"/>
      </w:pPr>
      <w:r w:rsidRPr="00073B03">
        <w:t>Note:</w:t>
      </w:r>
    </w:p>
    <w:p w14:paraId="440A50B4" w14:textId="77777777" w:rsidR="006E51BF" w:rsidRPr="00247515" w:rsidRDefault="006E51BF" w:rsidP="006E51BF">
      <w:pPr>
        <w:pStyle w:val="ARfintablenoteroman"/>
        <w:numPr>
          <w:ilvl w:val="0"/>
          <w:numId w:val="61"/>
        </w:numPr>
        <w:spacing w:after="0" w:line="240" w:lineRule="auto"/>
      </w:pPr>
      <w:r w:rsidRPr="00073B03">
        <w:t>Refer to Note 4.1.1 for output definitions.</w:t>
      </w:r>
      <w:r>
        <w:br w:type="page"/>
      </w:r>
    </w:p>
    <w:p w14:paraId="5AC6D90A" w14:textId="77777777" w:rsidR="006E51BF" w:rsidRPr="000D4708" w:rsidRDefault="006E51BF" w:rsidP="009C5E39">
      <w:pPr>
        <w:pStyle w:val="Heading4"/>
        <w:spacing w:before="0"/>
      </w:pPr>
      <w:r w:rsidRPr="000D4708">
        <w:t xml:space="preserve">4.2 </w:t>
      </w:r>
      <w:r>
        <w:tab/>
      </w:r>
      <w:r w:rsidRPr="000D4708">
        <w:t>Administered (non-controlled) items</w:t>
      </w:r>
    </w:p>
    <w:p w14:paraId="198131B2" w14:textId="77777777" w:rsidR="006E51BF" w:rsidRDefault="006E51BF">
      <w:pPr>
        <w:pStyle w:val="ARfinbody"/>
      </w:pPr>
      <w:r w:rsidRPr="00021B0E">
        <w:t xml:space="preserve">The department’s administered activities mainly relate to the output of disability services. The distinction between controlled and administered items is drawn based on whether the Department </w:t>
      </w:r>
      <w:proofErr w:type="gramStart"/>
      <w:r w:rsidRPr="00021B0E">
        <w:t>has the ability to</w:t>
      </w:r>
      <w:proofErr w:type="gramEnd"/>
      <w:r w:rsidRPr="00021B0E">
        <w:t xml:space="preserve"> deploy the resources in question for its own benefits (controlled items) or whether it does so on behalf of the State (administered). The department remains accountable for transactions involving administered items, but it does not recognise these items in its controlled financial statements. Administered income includes Victoria’s contribution to the National Disability Insurance Scheme, Natural Disaster Relief and Recovery Arrangements, fees, Commonwealth grants and the proceeds from the sale of administered surplus land and building.</w:t>
      </w:r>
      <w:r>
        <w:t xml:space="preserve"> </w:t>
      </w:r>
      <w:r w:rsidRPr="00021B0E">
        <w:t>Except as otherwise disclosed, administered resources are accounted for on an accrual basis using the same accounting policies adopted for recognition of the departmental items in the financial statements. Both the controlled department financial statements and these administered items are consolidated into the financial statements of the state.</w:t>
      </w:r>
    </w:p>
    <w:p w14:paraId="0C5C4412" w14:textId="77777777" w:rsidR="006E51BF" w:rsidRPr="00021B0E" w:rsidRDefault="006E51BF">
      <w:pPr>
        <w:pStyle w:val="ARfinbodybeforetableorfigure"/>
      </w:pPr>
      <w:r w:rsidRPr="00021B0E">
        <w:t>The department does not gain control over assets arising from statutory income, consequently no income is recognised in the department’s financial statements. The department collects these amounts on behalf of the state. Accordingly, the amounts are disclosed as income in the schedule of Administered Items.</w:t>
      </w:r>
    </w:p>
    <w:p w14:paraId="4AAC282D" w14:textId="77777777" w:rsidR="006E51BF" w:rsidRPr="000D4708" w:rsidRDefault="006E51BF">
      <w:pPr>
        <w:pStyle w:val="Heading5"/>
      </w:pPr>
      <w:r w:rsidRPr="000D4708">
        <w:t xml:space="preserve">4.2.1 </w:t>
      </w:r>
      <w:r w:rsidRPr="000D4708">
        <w:tab/>
        <w:t>Administered income and expenses for the year ended 30 June 2026</w:t>
      </w:r>
    </w:p>
    <w:tbl>
      <w:tblPr>
        <w:tblStyle w:val="ARtable1"/>
        <w:tblW w:w="0" w:type="auto"/>
        <w:tblLayout w:type="fixed"/>
        <w:tblLook w:val="00E0" w:firstRow="1" w:lastRow="1" w:firstColumn="1" w:lastColumn="0" w:noHBand="0" w:noVBand="0"/>
      </w:tblPr>
      <w:tblGrid>
        <w:gridCol w:w="3960"/>
        <w:gridCol w:w="816"/>
        <w:gridCol w:w="816"/>
        <w:gridCol w:w="816"/>
        <w:gridCol w:w="816"/>
        <w:gridCol w:w="816"/>
        <w:gridCol w:w="816"/>
        <w:gridCol w:w="817"/>
        <w:gridCol w:w="816"/>
        <w:gridCol w:w="816"/>
        <w:gridCol w:w="816"/>
        <w:gridCol w:w="816"/>
        <w:gridCol w:w="816"/>
        <w:gridCol w:w="817"/>
      </w:tblGrid>
      <w:tr w:rsidR="006E51BF" w:rsidRPr="00021B0E" w14:paraId="3AEB73AD" w14:textId="77777777" w:rsidTr="00785A35">
        <w:trPr>
          <w:cnfStyle w:val="100000000000" w:firstRow="1" w:lastRow="0" w:firstColumn="0" w:lastColumn="0" w:oddVBand="0" w:evenVBand="0" w:oddHBand="0" w:evenHBand="0" w:firstRowFirstColumn="0" w:firstRowLastColumn="0" w:lastRowFirstColumn="0" w:lastRowLastColumn="0"/>
          <w:trHeight w:val="20"/>
          <w:tblHeader/>
        </w:trPr>
        <w:tc>
          <w:tcPr>
            <w:tcW w:w="3960" w:type="dxa"/>
            <w:noWrap/>
            <w:hideMark/>
          </w:tcPr>
          <w:p w14:paraId="498E24AF" w14:textId="77777777" w:rsidR="006E51BF" w:rsidRPr="00021B0E" w:rsidRDefault="006E51BF">
            <w:pPr>
              <w:pStyle w:val="ARfintablecolhead8pt"/>
            </w:pPr>
            <w:r w:rsidRPr="00021B0E">
              <w:t xml:space="preserve">Output </w:t>
            </w:r>
            <w:r w:rsidRPr="00021B0E">
              <w:rPr>
                <w:vertAlign w:val="superscript"/>
              </w:rPr>
              <w:t>(</w:t>
            </w:r>
            <w:proofErr w:type="spellStart"/>
            <w:r w:rsidRPr="00021B0E">
              <w:rPr>
                <w:vertAlign w:val="superscript"/>
              </w:rPr>
              <w:t>i</w:t>
            </w:r>
            <w:proofErr w:type="spellEnd"/>
            <w:r w:rsidRPr="00021B0E">
              <w:rPr>
                <w:vertAlign w:val="superscript"/>
              </w:rPr>
              <w:t>)(ii)</w:t>
            </w:r>
          </w:p>
          <w:p w14:paraId="6D221B59" w14:textId="77777777" w:rsidR="006E51BF" w:rsidRPr="00021B0E" w:rsidRDefault="006E51BF">
            <w:pPr>
              <w:pStyle w:val="ARfintablecolhead8pt"/>
            </w:pPr>
            <w:r w:rsidRPr="00021B0E">
              <w:t>2026</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50801400" w14:textId="77777777" w:rsidR="006E51BF" w:rsidRPr="00021B0E" w:rsidRDefault="006E51BF">
            <w:pPr>
              <w:pStyle w:val="ARfintablecolheadright8pt"/>
            </w:pPr>
            <w:r w:rsidRPr="00021B0E">
              <w:t>1</w:t>
            </w:r>
          </w:p>
          <w:p w14:paraId="5C8C28C7" w14:textId="77777777" w:rsidR="006E51BF" w:rsidRPr="00021B0E" w:rsidRDefault="006E51BF">
            <w:pPr>
              <w:pStyle w:val="ARfintablecolheadright8pt"/>
            </w:pPr>
            <w:r w:rsidRPr="00021B0E">
              <w:t>$M</w:t>
            </w:r>
          </w:p>
        </w:tc>
        <w:tc>
          <w:tcPr>
            <w:tcW w:w="816" w:type="dxa"/>
            <w:noWrap/>
            <w:tcMar>
              <w:right w:w="0" w:type="nil"/>
            </w:tcMar>
            <w:hideMark/>
          </w:tcPr>
          <w:p w14:paraId="08053FE6" w14:textId="77777777" w:rsidR="006E51BF" w:rsidRPr="00021B0E"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21B0E">
              <w:t>2</w:t>
            </w:r>
          </w:p>
          <w:p w14:paraId="4C7119B8" w14:textId="77777777" w:rsidR="006E51BF" w:rsidRPr="00021B0E"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21B0E">
              <w:t>$M</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29F48668" w14:textId="77777777" w:rsidR="006E51BF" w:rsidRPr="00021B0E" w:rsidRDefault="006E51BF">
            <w:pPr>
              <w:pStyle w:val="ARfintablecolheadright8pt"/>
            </w:pPr>
            <w:r w:rsidRPr="00021B0E">
              <w:t>3</w:t>
            </w:r>
          </w:p>
          <w:p w14:paraId="24D5001A" w14:textId="77777777" w:rsidR="006E51BF" w:rsidRPr="00021B0E" w:rsidRDefault="006E51BF">
            <w:pPr>
              <w:pStyle w:val="ARfintablecolheadright8pt"/>
            </w:pPr>
            <w:r w:rsidRPr="00021B0E">
              <w:t>$M</w:t>
            </w:r>
          </w:p>
        </w:tc>
        <w:tc>
          <w:tcPr>
            <w:tcW w:w="816" w:type="dxa"/>
            <w:noWrap/>
            <w:tcMar>
              <w:right w:w="0" w:type="nil"/>
            </w:tcMar>
            <w:hideMark/>
          </w:tcPr>
          <w:p w14:paraId="1A71A164" w14:textId="77777777" w:rsidR="006E51BF" w:rsidRPr="00021B0E"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21B0E">
              <w:t>4</w:t>
            </w:r>
          </w:p>
          <w:p w14:paraId="144938CC" w14:textId="77777777" w:rsidR="006E51BF" w:rsidRPr="00021B0E"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21B0E">
              <w:t>$M</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581497D1" w14:textId="77777777" w:rsidR="006E51BF" w:rsidRPr="00021B0E" w:rsidRDefault="006E51BF">
            <w:pPr>
              <w:pStyle w:val="ARfintablecolheadright8pt"/>
            </w:pPr>
            <w:r w:rsidRPr="00021B0E">
              <w:t>5</w:t>
            </w:r>
          </w:p>
          <w:p w14:paraId="2910FF20" w14:textId="77777777" w:rsidR="006E51BF" w:rsidRPr="00021B0E" w:rsidRDefault="006E51BF">
            <w:pPr>
              <w:pStyle w:val="ARfintablecolheadright8pt"/>
            </w:pPr>
            <w:r w:rsidRPr="00021B0E">
              <w:t>$M</w:t>
            </w:r>
          </w:p>
        </w:tc>
        <w:tc>
          <w:tcPr>
            <w:tcW w:w="816" w:type="dxa"/>
            <w:noWrap/>
            <w:tcMar>
              <w:right w:w="0" w:type="nil"/>
            </w:tcMar>
            <w:hideMark/>
          </w:tcPr>
          <w:p w14:paraId="0C182C12" w14:textId="77777777" w:rsidR="006E51BF" w:rsidRPr="00021B0E"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21B0E">
              <w:t>6</w:t>
            </w:r>
          </w:p>
          <w:p w14:paraId="165F5FEB" w14:textId="77777777" w:rsidR="006E51BF" w:rsidRPr="00021B0E"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21B0E">
              <w:t>$M</w:t>
            </w:r>
          </w:p>
        </w:tc>
        <w:tc>
          <w:tcPr>
            <w:cnfStyle w:val="000001000000" w:firstRow="0" w:lastRow="0" w:firstColumn="0" w:lastColumn="0" w:oddVBand="0" w:evenVBand="1" w:oddHBand="0" w:evenHBand="0" w:firstRowFirstColumn="0" w:firstRowLastColumn="0" w:lastRowFirstColumn="0" w:lastRowLastColumn="0"/>
            <w:tcW w:w="817" w:type="dxa"/>
            <w:noWrap/>
            <w:tcMar>
              <w:right w:w="0" w:type="nil"/>
            </w:tcMar>
            <w:hideMark/>
          </w:tcPr>
          <w:p w14:paraId="63EF88BF" w14:textId="77777777" w:rsidR="006E51BF" w:rsidRPr="00021B0E" w:rsidRDefault="006E51BF">
            <w:pPr>
              <w:pStyle w:val="ARfintablecolheadright8pt"/>
            </w:pPr>
            <w:r w:rsidRPr="00021B0E">
              <w:t>7</w:t>
            </w:r>
          </w:p>
          <w:p w14:paraId="775DE113" w14:textId="77777777" w:rsidR="006E51BF" w:rsidRPr="00021B0E" w:rsidRDefault="006E51BF">
            <w:pPr>
              <w:pStyle w:val="ARfintablecolheadright8pt"/>
            </w:pPr>
            <w:r w:rsidRPr="00021B0E">
              <w:t>$M</w:t>
            </w:r>
          </w:p>
        </w:tc>
        <w:tc>
          <w:tcPr>
            <w:tcW w:w="816" w:type="dxa"/>
            <w:noWrap/>
            <w:tcMar>
              <w:right w:w="0" w:type="nil"/>
            </w:tcMar>
            <w:hideMark/>
          </w:tcPr>
          <w:p w14:paraId="67908000" w14:textId="77777777" w:rsidR="006E51BF" w:rsidRPr="00021B0E"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21B0E">
              <w:t>8</w:t>
            </w:r>
          </w:p>
          <w:p w14:paraId="2D8B61A2" w14:textId="77777777" w:rsidR="006E51BF" w:rsidRPr="00021B0E"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21B0E">
              <w:t>$M</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572D5154" w14:textId="77777777" w:rsidR="006E51BF" w:rsidRPr="00021B0E" w:rsidRDefault="006E51BF">
            <w:pPr>
              <w:pStyle w:val="ARfintablecolheadright8pt"/>
            </w:pPr>
            <w:r w:rsidRPr="00021B0E">
              <w:t>9</w:t>
            </w:r>
          </w:p>
          <w:p w14:paraId="0095D651" w14:textId="77777777" w:rsidR="006E51BF" w:rsidRPr="00021B0E" w:rsidRDefault="006E51BF">
            <w:pPr>
              <w:pStyle w:val="ARfintablecolheadright8pt"/>
            </w:pPr>
            <w:r w:rsidRPr="00021B0E">
              <w:t>$M</w:t>
            </w:r>
          </w:p>
        </w:tc>
        <w:tc>
          <w:tcPr>
            <w:tcW w:w="816" w:type="dxa"/>
            <w:noWrap/>
            <w:tcMar>
              <w:right w:w="0" w:type="nil"/>
            </w:tcMar>
            <w:hideMark/>
          </w:tcPr>
          <w:p w14:paraId="0F4B89E4" w14:textId="77777777" w:rsidR="006E51BF" w:rsidRPr="00021B0E"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21B0E">
              <w:t>10</w:t>
            </w:r>
          </w:p>
          <w:p w14:paraId="5FF5A69A" w14:textId="77777777" w:rsidR="006E51BF" w:rsidRPr="00021B0E"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21B0E">
              <w:t>$M</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6E053ED1" w14:textId="77777777" w:rsidR="006E51BF" w:rsidRPr="00021B0E" w:rsidRDefault="006E51BF">
            <w:pPr>
              <w:pStyle w:val="ARfintablecolheadright8pt"/>
            </w:pPr>
            <w:r w:rsidRPr="00021B0E">
              <w:t>11</w:t>
            </w:r>
          </w:p>
          <w:p w14:paraId="5A47CA6A" w14:textId="77777777" w:rsidR="006E51BF" w:rsidRPr="00021B0E" w:rsidRDefault="006E51BF">
            <w:pPr>
              <w:pStyle w:val="ARfintablecolheadright8pt"/>
            </w:pPr>
            <w:r w:rsidRPr="00021B0E">
              <w:t>$M</w:t>
            </w:r>
          </w:p>
        </w:tc>
        <w:tc>
          <w:tcPr>
            <w:tcW w:w="816" w:type="dxa"/>
            <w:noWrap/>
            <w:tcMar>
              <w:right w:w="0" w:type="nil"/>
            </w:tcMar>
            <w:hideMark/>
          </w:tcPr>
          <w:p w14:paraId="0F2D3354" w14:textId="77777777" w:rsidR="006E51BF" w:rsidRPr="00021B0E"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21B0E">
              <w:t>13</w:t>
            </w:r>
          </w:p>
          <w:p w14:paraId="5416E9CB" w14:textId="77777777" w:rsidR="006E51BF" w:rsidRPr="00021B0E"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021B0E">
              <w:t>$M</w:t>
            </w:r>
            <w:r>
              <w:t xml:space="preserve"> </w:t>
            </w:r>
            <w:r w:rsidRPr="00021B0E">
              <w:rPr>
                <w:vertAlign w:val="superscript"/>
              </w:rPr>
              <w:t>(iii)</w:t>
            </w:r>
          </w:p>
        </w:tc>
        <w:tc>
          <w:tcPr>
            <w:cnfStyle w:val="000001000000" w:firstRow="0" w:lastRow="0" w:firstColumn="0" w:lastColumn="0" w:oddVBand="0" w:evenVBand="1" w:oddHBand="0" w:evenHBand="0" w:firstRowFirstColumn="0" w:firstRowLastColumn="0" w:lastRowFirstColumn="0" w:lastRowLastColumn="0"/>
            <w:tcW w:w="817" w:type="dxa"/>
            <w:noWrap/>
            <w:tcMar>
              <w:right w:w="0" w:type="nil"/>
            </w:tcMar>
            <w:hideMark/>
          </w:tcPr>
          <w:p w14:paraId="0E13E724" w14:textId="77777777" w:rsidR="006E51BF" w:rsidRPr="00021B0E" w:rsidRDefault="006E51BF">
            <w:pPr>
              <w:pStyle w:val="ARfintablecolheadright8pt"/>
            </w:pPr>
            <w:r w:rsidRPr="00021B0E">
              <w:t>Total</w:t>
            </w:r>
          </w:p>
          <w:p w14:paraId="2C97141D" w14:textId="77777777" w:rsidR="006E51BF" w:rsidRPr="00021B0E" w:rsidRDefault="006E51BF">
            <w:pPr>
              <w:pStyle w:val="ARfintablecolheadright8pt"/>
            </w:pPr>
            <w:r w:rsidRPr="00021B0E">
              <w:t>$M</w:t>
            </w:r>
          </w:p>
        </w:tc>
      </w:tr>
      <w:tr w:rsidR="006E51BF" w:rsidRPr="00021B0E" w14:paraId="4EF29952"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960" w:type="dxa"/>
            <w:noWrap/>
          </w:tcPr>
          <w:p w14:paraId="75C19733" w14:textId="77777777" w:rsidR="006E51BF" w:rsidRPr="00021B0E" w:rsidRDefault="006E51BF">
            <w:pPr>
              <w:pStyle w:val="Arfintabletextboldcoloured8pt"/>
            </w:pPr>
            <w:r w:rsidRPr="00021B0E">
              <w:t>Administered income from transactions</w:t>
            </w:r>
          </w:p>
        </w:tc>
        <w:tc>
          <w:tcPr>
            <w:cnfStyle w:val="000001000000" w:firstRow="0" w:lastRow="0" w:firstColumn="0" w:lastColumn="0" w:oddVBand="0" w:evenVBand="1" w:oddHBand="0" w:evenHBand="0" w:firstRowFirstColumn="0" w:firstRowLastColumn="0" w:lastRowFirstColumn="0" w:lastRowLastColumn="0"/>
            <w:tcW w:w="816" w:type="dxa"/>
            <w:shd w:val="clear" w:color="auto" w:fill="auto"/>
            <w:noWrap/>
            <w:tcMar>
              <w:right w:w="0" w:type="nil"/>
            </w:tcMar>
          </w:tcPr>
          <w:p w14:paraId="1ED27A30" w14:textId="77777777" w:rsidR="006E51BF" w:rsidRPr="00021B0E" w:rsidRDefault="006E51BF">
            <w:pPr>
              <w:pStyle w:val="ARfintabletextright8pt"/>
            </w:pPr>
          </w:p>
        </w:tc>
        <w:tc>
          <w:tcPr>
            <w:tcW w:w="816" w:type="dxa"/>
            <w:noWrap/>
            <w:tcMar>
              <w:right w:w="0" w:type="nil"/>
            </w:tcMar>
          </w:tcPr>
          <w:p w14:paraId="0BA64441"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16" w:type="dxa"/>
            <w:shd w:val="clear" w:color="auto" w:fill="auto"/>
            <w:noWrap/>
            <w:tcMar>
              <w:right w:w="0" w:type="nil"/>
            </w:tcMar>
          </w:tcPr>
          <w:p w14:paraId="049529AA" w14:textId="77777777" w:rsidR="006E51BF" w:rsidRPr="00021B0E" w:rsidRDefault="006E51BF">
            <w:pPr>
              <w:pStyle w:val="ARfintabletextright8pt"/>
            </w:pPr>
          </w:p>
        </w:tc>
        <w:tc>
          <w:tcPr>
            <w:tcW w:w="816" w:type="dxa"/>
            <w:noWrap/>
            <w:tcMar>
              <w:right w:w="0" w:type="nil"/>
            </w:tcMar>
          </w:tcPr>
          <w:p w14:paraId="696C0D23"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16" w:type="dxa"/>
            <w:shd w:val="clear" w:color="auto" w:fill="auto"/>
            <w:noWrap/>
            <w:tcMar>
              <w:right w:w="0" w:type="nil"/>
            </w:tcMar>
          </w:tcPr>
          <w:p w14:paraId="7140E243" w14:textId="77777777" w:rsidR="006E51BF" w:rsidRPr="00021B0E" w:rsidRDefault="006E51BF">
            <w:pPr>
              <w:pStyle w:val="ARfintabletextright8pt"/>
            </w:pPr>
          </w:p>
        </w:tc>
        <w:tc>
          <w:tcPr>
            <w:tcW w:w="816" w:type="dxa"/>
            <w:noWrap/>
            <w:tcMar>
              <w:right w:w="0" w:type="nil"/>
            </w:tcMar>
          </w:tcPr>
          <w:p w14:paraId="6135096B"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17" w:type="dxa"/>
            <w:shd w:val="clear" w:color="auto" w:fill="auto"/>
            <w:noWrap/>
            <w:tcMar>
              <w:right w:w="0" w:type="nil"/>
            </w:tcMar>
          </w:tcPr>
          <w:p w14:paraId="4AB7290F" w14:textId="77777777" w:rsidR="006E51BF" w:rsidRPr="00021B0E" w:rsidRDefault="006E51BF">
            <w:pPr>
              <w:pStyle w:val="ARfintabletextright8pt"/>
            </w:pPr>
          </w:p>
        </w:tc>
        <w:tc>
          <w:tcPr>
            <w:tcW w:w="816" w:type="dxa"/>
            <w:noWrap/>
            <w:tcMar>
              <w:right w:w="0" w:type="nil"/>
            </w:tcMar>
          </w:tcPr>
          <w:p w14:paraId="6FAF0075"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16" w:type="dxa"/>
            <w:shd w:val="clear" w:color="auto" w:fill="auto"/>
            <w:noWrap/>
            <w:tcMar>
              <w:right w:w="0" w:type="nil"/>
            </w:tcMar>
          </w:tcPr>
          <w:p w14:paraId="27B18ACE" w14:textId="77777777" w:rsidR="006E51BF" w:rsidRPr="00021B0E" w:rsidRDefault="006E51BF">
            <w:pPr>
              <w:pStyle w:val="ARfintabletextright8pt"/>
            </w:pPr>
          </w:p>
        </w:tc>
        <w:tc>
          <w:tcPr>
            <w:tcW w:w="816" w:type="dxa"/>
            <w:noWrap/>
            <w:tcMar>
              <w:right w:w="0" w:type="nil"/>
            </w:tcMar>
          </w:tcPr>
          <w:p w14:paraId="6126D5E1"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16" w:type="dxa"/>
            <w:shd w:val="clear" w:color="auto" w:fill="auto"/>
            <w:noWrap/>
            <w:tcMar>
              <w:right w:w="0" w:type="nil"/>
            </w:tcMar>
          </w:tcPr>
          <w:p w14:paraId="29E7F8CC" w14:textId="77777777" w:rsidR="006E51BF" w:rsidRPr="00021B0E" w:rsidRDefault="006E51BF">
            <w:pPr>
              <w:pStyle w:val="ARfintabletextright8pt"/>
            </w:pPr>
          </w:p>
        </w:tc>
        <w:tc>
          <w:tcPr>
            <w:tcW w:w="816" w:type="dxa"/>
            <w:noWrap/>
            <w:tcMar>
              <w:right w:w="0" w:type="nil"/>
            </w:tcMar>
          </w:tcPr>
          <w:p w14:paraId="43407EB4"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17" w:type="dxa"/>
            <w:shd w:val="clear" w:color="auto" w:fill="auto"/>
            <w:noWrap/>
            <w:tcMar>
              <w:right w:w="0" w:type="nil"/>
            </w:tcMar>
          </w:tcPr>
          <w:p w14:paraId="1C499C01" w14:textId="77777777" w:rsidR="006E51BF" w:rsidRPr="00021B0E" w:rsidRDefault="006E51BF">
            <w:pPr>
              <w:pStyle w:val="ARfintabletextright8pt"/>
            </w:pPr>
          </w:p>
        </w:tc>
      </w:tr>
      <w:tr w:rsidR="006E51BF" w:rsidRPr="00021B0E" w14:paraId="537C900F"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960" w:type="dxa"/>
            <w:noWrap/>
            <w:hideMark/>
          </w:tcPr>
          <w:p w14:paraId="4BF0B927" w14:textId="77777777" w:rsidR="006E51BF" w:rsidRPr="00021B0E" w:rsidRDefault="006E51BF">
            <w:pPr>
              <w:pStyle w:val="ARfintabletext8pt"/>
            </w:pPr>
            <w:r w:rsidRPr="00021B0E">
              <w:t>Commonwealth grants</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6CFBE941" w14:textId="77777777" w:rsidR="006E51BF" w:rsidRPr="00A907CF" w:rsidRDefault="006E51BF">
            <w:pPr>
              <w:pStyle w:val="ARfintabletextright8pt"/>
            </w:pPr>
            <w:r w:rsidRPr="00A907CF">
              <w:t>0.1</w:t>
            </w:r>
          </w:p>
        </w:tc>
        <w:tc>
          <w:tcPr>
            <w:tcW w:w="816" w:type="dxa"/>
            <w:noWrap/>
            <w:tcMar>
              <w:right w:w="0" w:type="nil"/>
            </w:tcMar>
            <w:hideMark/>
          </w:tcPr>
          <w:p w14:paraId="17304585" w14:textId="77777777" w:rsidR="006E51BF" w:rsidRPr="00A907CF"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A907CF">
              <w:t>3.2</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31E7D02A" w14:textId="77777777" w:rsidR="006E51BF" w:rsidRPr="00A907CF" w:rsidRDefault="006E51BF">
            <w:pPr>
              <w:pStyle w:val="ARfintabletextright8pt"/>
            </w:pPr>
            <w:r w:rsidRPr="00A907CF">
              <w:t>–</w:t>
            </w:r>
          </w:p>
        </w:tc>
        <w:tc>
          <w:tcPr>
            <w:tcW w:w="816" w:type="dxa"/>
            <w:noWrap/>
            <w:tcMar>
              <w:right w:w="0" w:type="nil"/>
            </w:tcMar>
            <w:hideMark/>
          </w:tcPr>
          <w:p w14:paraId="2529B4B9" w14:textId="77777777" w:rsidR="006E51BF" w:rsidRPr="00A907CF"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4C06F266" w14:textId="77777777" w:rsidR="006E51BF" w:rsidRPr="00A907CF" w:rsidRDefault="006E51BF">
            <w:pPr>
              <w:pStyle w:val="ARfintabletextright8pt"/>
            </w:pPr>
            <w:r w:rsidRPr="00A907CF">
              <w:t>–</w:t>
            </w:r>
          </w:p>
        </w:tc>
        <w:tc>
          <w:tcPr>
            <w:tcW w:w="816" w:type="dxa"/>
            <w:noWrap/>
            <w:tcMar>
              <w:right w:w="0" w:type="nil"/>
            </w:tcMar>
            <w:hideMark/>
          </w:tcPr>
          <w:p w14:paraId="418E210D" w14:textId="77777777" w:rsidR="006E51BF" w:rsidRPr="00A907CF"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7" w:type="dxa"/>
            <w:noWrap/>
            <w:tcMar>
              <w:right w:w="0" w:type="nil"/>
            </w:tcMar>
            <w:hideMark/>
          </w:tcPr>
          <w:p w14:paraId="0496BC14" w14:textId="77777777" w:rsidR="006E51BF" w:rsidRPr="00A907CF" w:rsidRDefault="006E51BF">
            <w:pPr>
              <w:pStyle w:val="ARfintabletextright8pt"/>
            </w:pPr>
            <w:r w:rsidRPr="00A907CF">
              <w:t>–</w:t>
            </w:r>
          </w:p>
        </w:tc>
        <w:tc>
          <w:tcPr>
            <w:tcW w:w="816" w:type="dxa"/>
            <w:noWrap/>
            <w:tcMar>
              <w:right w:w="0" w:type="nil"/>
            </w:tcMar>
            <w:hideMark/>
          </w:tcPr>
          <w:p w14:paraId="25BA0244" w14:textId="77777777" w:rsidR="006E51BF" w:rsidRPr="00A907CF"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A907CF">
              <w:t>0.5</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6BF5AA9D" w14:textId="77777777" w:rsidR="006E51BF" w:rsidRPr="00A907CF" w:rsidRDefault="006E51BF">
            <w:pPr>
              <w:pStyle w:val="ARfintabletextright8pt"/>
            </w:pPr>
            <w:r w:rsidRPr="00A907CF">
              <w:t>–</w:t>
            </w:r>
          </w:p>
        </w:tc>
        <w:tc>
          <w:tcPr>
            <w:tcW w:w="816" w:type="dxa"/>
            <w:noWrap/>
            <w:tcMar>
              <w:right w:w="0" w:type="nil"/>
            </w:tcMar>
            <w:hideMark/>
          </w:tcPr>
          <w:p w14:paraId="4A9F46EA" w14:textId="77777777" w:rsidR="006E51BF" w:rsidRPr="00A907CF"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5B705ED7" w14:textId="77777777" w:rsidR="006E51BF" w:rsidRPr="00A907CF" w:rsidRDefault="006E51BF">
            <w:pPr>
              <w:pStyle w:val="ARfintabletextright8pt"/>
            </w:pPr>
            <w:r w:rsidRPr="00A907CF">
              <w:t>1.4</w:t>
            </w:r>
          </w:p>
        </w:tc>
        <w:tc>
          <w:tcPr>
            <w:tcW w:w="816" w:type="dxa"/>
            <w:noWrap/>
            <w:tcMar>
              <w:right w:w="0" w:type="nil"/>
            </w:tcMar>
            <w:hideMark/>
          </w:tcPr>
          <w:p w14:paraId="00F34429" w14:textId="77777777" w:rsidR="006E51BF" w:rsidRPr="00A907CF"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7" w:type="dxa"/>
            <w:noWrap/>
            <w:tcMar>
              <w:right w:w="0" w:type="nil"/>
            </w:tcMar>
            <w:hideMark/>
          </w:tcPr>
          <w:p w14:paraId="0F8A9B82" w14:textId="77777777" w:rsidR="006E51BF" w:rsidRPr="00A907CF" w:rsidRDefault="006E51BF">
            <w:pPr>
              <w:pStyle w:val="ARfintabletextright8pt"/>
            </w:pPr>
            <w:r w:rsidRPr="00A907CF">
              <w:t>5.2</w:t>
            </w:r>
          </w:p>
        </w:tc>
      </w:tr>
      <w:tr w:rsidR="006E51BF" w:rsidRPr="00021B0E" w14:paraId="0DA39C0D"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960" w:type="dxa"/>
            <w:noWrap/>
            <w:hideMark/>
          </w:tcPr>
          <w:p w14:paraId="6CAF7FE0" w14:textId="77777777" w:rsidR="006E51BF" w:rsidRPr="00021B0E" w:rsidRDefault="006E51BF">
            <w:pPr>
              <w:pStyle w:val="ARfintabletext8pt"/>
            </w:pPr>
            <w:r w:rsidRPr="00021B0E">
              <w:t>Sales of goods and services</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23C9B69A" w14:textId="77777777" w:rsidR="006E51BF" w:rsidRPr="00A907CF" w:rsidRDefault="006E51BF">
            <w:pPr>
              <w:pStyle w:val="ARfintabletextright8pt"/>
            </w:pPr>
            <w:r w:rsidRPr="00A907CF">
              <w:t>42.3</w:t>
            </w:r>
          </w:p>
        </w:tc>
        <w:tc>
          <w:tcPr>
            <w:tcW w:w="816" w:type="dxa"/>
            <w:noWrap/>
            <w:tcMar>
              <w:right w:w="0" w:type="nil"/>
            </w:tcMar>
            <w:hideMark/>
          </w:tcPr>
          <w:p w14:paraId="0C6F0019" w14:textId="77777777" w:rsidR="006E51BF" w:rsidRPr="00A907CF"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A907CF">
              <w:t>21.7</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196383DE" w14:textId="77777777" w:rsidR="006E51BF" w:rsidRPr="00A907CF" w:rsidRDefault="006E51BF">
            <w:pPr>
              <w:pStyle w:val="ARfintabletextright8pt"/>
            </w:pPr>
            <w:r w:rsidRPr="00A907CF">
              <w:t>–</w:t>
            </w:r>
          </w:p>
        </w:tc>
        <w:tc>
          <w:tcPr>
            <w:tcW w:w="816" w:type="dxa"/>
            <w:noWrap/>
            <w:tcMar>
              <w:right w:w="0" w:type="nil"/>
            </w:tcMar>
            <w:hideMark/>
          </w:tcPr>
          <w:p w14:paraId="19C6ABC0" w14:textId="77777777" w:rsidR="006E51BF" w:rsidRPr="00A907CF"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75B79EE4" w14:textId="77777777" w:rsidR="006E51BF" w:rsidRPr="00A907CF" w:rsidRDefault="006E51BF">
            <w:pPr>
              <w:pStyle w:val="ARfintabletextright8pt"/>
            </w:pPr>
            <w:r w:rsidRPr="00A907CF">
              <w:t>0.8</w:t>
            </w:r>
          </w:p>
        </w:tc>
        <w:tc>
          <w:tcPr>
            <w:tcW w:w="816" w:type="dxa"/>
            <w:noWrap/>
            <w:tcMar>
              <w:right w:w="0" w:type="nil"/>
            </w:tcMar>
            <w:hideMark/>
          </w:tcPr>
          <w:p w14:paraId="20578F3C" w14:textId="77777777" w:rsidR="006E51BF" w:rsidRPr="00A907CF"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7" w:type="dxa"/>
            <w:noWrap/>
            <w:tcMar>
              <w:right w:w="0" w:type="nil"/>
            </w:tcMar>
            <w:hideMark/>
          </w:tcPr>
          <w:p w14:paraId="5A1EB4C1" w14:textId="77777777" w:rsidR="006E51BF" w:rsidRPr="00A907CF" w:rsidRDefault="006E51BF">
            <w:pPr>
              <w:pStyle w:val="ARfintabletextright8pt"/>
            </w:pPr>
            <w:r w:rsidRPr="00A907CF">
              <w:t>–</w:t>
            </w:r>
          </w:p>
        </w:tc>
        <w:tc>
          <w:tcPr>
            <w:tcW w:w="816" w:type="dxa"/>
            <w:noWrap/>
            <w:tcMar>
              <w:right w:w="0" w:type="nil"/>
            </w:tcMar>
            <w:hideMark/>
          </w:tcPr>
          <w:p w14:paraId="670946A6" w14:textId="77777777" w:rsidR="006E51BF" w:rsidRPr="00A907CF"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69E835C7" w14:textId="77777777" w:rsidR="006E51BF" w:rsidRPr="00A907CF" w:rsidRDefault="006E51BF">
            <w:pPr>
              <w:pStyle w:val="ARfintabletextright8pt"/>
            </w:pPr>
            <w:r w:rsidRPr="00A907CF">
              <w:t>–</w:t>
            </w:r>
          </w:p>
        </w:tc>
        <w:tc>
          <w:tcPr>
            <w:tcW w:w="816" w:type="dxa"/>
            <w:noWrap/>
            <w:tcMar>
              <w:right w:w="0" w:type="nil"/>
            </w:tcMar>
            <w:hideMark/>
          </w:tcPr>
          <w:p w14:paraId="0C640D94" w14:textId="77777777" w:rsidR="006E51BF" w:rsidRPr="00A907CF"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7569AB06" w14:textId="77777777" w:rsidR="006E51BF" w:rsidRPr="00A907CF" w:rsidRDefault="006E51BF">
            <w:pPr>
              <w:pStyle w:val="ARfintabletextright8pt"/>
            </w:pPr>
            <w:r w:rsidRPr="00A907CF">
              <w:t>–</w:t>
            </w:r>
          </w:p>
        </w:tc>
        <w:tc>
          <w:tcPr>
            <w:tcW w:w="816" w:type="dxa"/>
            <w:noWrap/>
            <w:tcMar>
              <w:right w:w="0" w:type="nil"/>
            </w:tcMar>
            <w:hideMark/>
          </w:tcPr>
          <w:p w14:paraId="71D2F139" w14:textId="77777777" w:rsidR="006E51BF" w:rsidRPr="00A907CF"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7" w:type="dxa"/>
            <w:noWrap/>
            <w:tcMar>
              <w:right w:w="0" w:type="nil"/>
            </w:tcMar>
            <w:hideMark/>
          </w:tcPr>
          <w:p w14:paraId="447D1536" w14:textId="77777777" w:rsidR="006E51BF" w:rsidRPr="00A907CF" w:rsidRDefault="006E51BF">
            <w:pPr>
              <w:pStyle w:val="ARfintabletextright8pt"/>
            </w:pPr>
            <w:r w:rsidRPr="00A907CF">
              <w:t>64.8</w:t>
            </w:r>
          </w:p>
        </w:tc>
      </w:tr>
      <w:tr w:rsidR="006E51BF" w:rsidRPr="00021B0E" w14:paraId="41D1CBA6"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960" w:type="dxa"/>
            <w:noWrap/>
            <w:hideMark/>
          </w:tcPr>
          <w:p w14:paraId="58A6539F" w14:textId="726B591E" w:rsidR="006E51BF" w:rsidRPr="00021B0E" w:rsidRDefault="006E51BF">
            <w:pPr>
              <w:pStyle w:val="ARfintabletext8pt"/>
            </w:pPr>
            <w:r w:rsidRPr="00021B0E">
              <w:t xml:space="preserve">Appropriations </w:t>
            </w:r>
            <w:r w:rsidRPr="00E83CBA">
              <w:t xml:space="preserve">– </w:t>
            </w:r>
            <w:r w:rsidRPr="00021B0E">
              <w:t xml:space="preserve">payments made on behalf </w:t>
            </w:r>
            <w:r w:rsidR="00437809">
              <w:br/>
            </w:r>
            <w:r w:rsidRPr="00021B0E">
              <w:t>of</w:t>
            </w:r>
            <w:r>
              <w:t> </w:t>
            </w:r>
            <w:r w:rsidRPr="00021B0E">
              <w:t>the</w:t>
            </w:r>
            <w:r>
              <w:t> </w:t>
            </w:r>
            <w:r w:rsidRPr="00021B0E">
              <w:t>state</w:t>
            </w:r>
            <w:r>
              <w:t xml:space="preserve"> </w:t>
            </w:r>
            <w:r w:rsidRPr="00774515">
              <w:rPr>
                <w:vertAlign w:val="superscript"/>
              </w:rPr>
              <w:t>(iii)</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7FE2DDBD" w14:textId="77777777" w:rsidR="006E51BF" w:rsidRPr="00A907CF" w:rsidRDefault="006E51BF">
            <w:pPr>
              <w:pStyle w:val="ARfintabletextright8pt"/>
            </w:pPr>
            <w:r w:rsidRPr="00A907CF">
              <w:t>79.3</w:t>
            </w:r>
          </w:p>
        </w:tc>
        <w:tc>
          <w:tcPr>
            <w:tcW w:w="816" w:type="dxa"/>
            <w:noWrap/>
            <w:tcMar>
              <w:right w:w="0" w:type="nil"/>
            </w:tcMar>
            <w:hideMark/>
          </w:tcPr>
          <w:p w14:paraId="3D6199D7" w14:textId="77777777" w:rsidR="006E51BF" w:rsidRPr="00A907CF"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6457A272" w14:textId="77777777" w:rsidR="006E51BF" w:rsidRPr="00A907CF" w:rsidRDefault="006E51BF">
            <w:pPr>
              <w:pStyle w:val="ARfintabletextright8pt"/>
            </w:pPr>
            <w:r w:rsidRPr="00A907CF">
              <w:t>–</w:t>
            </w:r>
          </w:p>
        </w:tc>
        <w:tc>
          <w:tcPr>
            <w:tcW w:w="816" w:type="dxa"/>
            <w:noWrap/>
            <w:tcMar>
              <w:right w:w="0" w:type="nil"/>
            </w:tcMar>
            <w:hideMark/>
          </w:tcPr>
          <w:p w14:paraId="10FFEB59" w14:textId="77777777" w:rsidR="006E51BF" w:rsidRPr="00A907CF"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44F47971" w14:textId="77777777" w:rsidR="006E51BF" w:rsidRPr="00A907CF" w:rsidRDefault="006E51BF">
            <w:pPr>
              <w:pStyle w:val="ARfintabletextright8pt"/>
            </w:pPr>
            <w:r w:rsidRPr="00A907CF">
              <w:t>–</w:t>
            </w:r>
          </w:p>
        </w:tc>
        <w:tc>
          <w:tcPr>
            <w:tcW w:w="816" w:type="dxa"/>
            <w:noWrap/>
            <w:tcMar>
              <w:right w:w="0" w:type="nil"/>
            </w:tcMar>
            <w:hideMark/>
          </w:tcPr>
          <w:p w14:paraId="71E3C228" w14:textId="77777777" w:rsidR="006E51BF" w:rsidRPr="00A907CF"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7" w:type="dxa"/>
            <w:noWrap/>
            <w:tcMar>
              <w:right w:w="0" w:type="nil"/>
            </w:tcMar>
            <w:hideMark/>
          </w:tcPr>
          <w:p w14:paraId="499C7E21" w14:textId="77777777" w:rsidR="006E51BF" w:rsidRPr="00A907CF" w:rsidRDefault="006E51BF">
            <w:pPr>
              <w:pStyle w:val="ARfintabletextright8pt"/>
            </w:pPr>
            <w:r w:rsidRPr="00A907CF">
              <w:t>–</w:t>
            </w:r>
          </w:p>
        </w:tc>
        <w:tc>
          <w:tcPr>
            <w:tcW w:w="816" w:type="dxa"/>
            <w:noWrap/>
            <w:tcMar>
              <w:right w:w="0" w:type="nil"/>
            </w:tcMar>
            <w:hideMark/>
          </w:tcPr>
          <w:p w14:paraId="139F8CBC" w14:textId="77777777" w:rsidR="006E51BF" w:rsidRPr="00A907CF"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6AE6CC7B" w14:textId="77777777" w:rsidR="006E51BF" w:rsidRPr="00A907CF" w:rsidRDefault="006E51BF">
            <w:pPr>
              <w:pStyle w:val="ARfintabletextright8pt"/>
            </w:pPr>
            <w:r w:rsidRPr="00A907CF">
              <w:t>–</w:t>
            </w:r>
          </w:p>
        </w:tc>
        <w:tc>
          <w:tcPr>
            <w:tcW w:w="816" w:type="dxa"/>
            <w:noWrap/>
            <w:tcMar>
              <w:right w:w="0" w:type="nil"/>
            </w:tcMar>
            <w:hideMark/>
          </w:tcPr>
          <w:p w14:paraId="333F6FC3" w14:textId="77777777" w:rsidR="006E51BF" w:rsidRPr="00A907CF"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23AF6708" w14:textId="77777777" w:rsidR="006E51BF" w:rsidRPr="00A907CF" w:rsidRDefault="006E51BF">
            <w:pPr>
              <w:pStyle w:val="ARfintabletextright8pt"/>
            </w:pPr>
            <w:r w:rsidRPr="00A907CF">
              <w:t>–</w:t>
            </w:r>
          </w:p>
        </w:tc>
        <w:tc>
          <w:tcPr>
            <w:tcW w:w="816" w:type="dxa"/>
            <w:noWrap/>
            <w:tcMar>
              <w:right w:w="0" w:type="nil"/>
            </w:tcMar>
            <w:hideMark/>
          </w:tcPr>
          <w:p w14:paraId="1B10538F" w14:textId="77777777" w:rsidR="006E51BF" w:rsidRPr="00A907CF"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A907CF">
              <w:t>3,003.2</w:t>
            </w:r>
          </w:p>
        </w:tc>
        <w:tc>
          <w:tcPr>
            <w:cnfStyle w:val="000001000000" w:firstRow="0" w:lastRow="0" w:firstColumn="0" w:lastColumn="0" w:oddVBand="0" w:evenVBand="1" w:oddHBand="0" w:evenHBand="0" w:firstRowFirstColumn="0" w:firstRowLastColumn="0" w:lastRowFirstColumn="0" w:lastRowLastColumn="0"/>
            <w:tcW w:w="817" w:type="dxa"/>
            <w:noWrap/>
            <w:tcMar>
              <w:right w:w="0" w:type="nil"/>
            </w:tcMar>
            <w:hideMark/>
          </w:tcPr>
          <w:p w14:paraId="5C624A86" w14:textId="77777777" w:rsidR="006E51BF" w:rsidRPr="00A907CF" w:rsidRDefault="006E51BF">
            <w:pPr>
              <w:pStyle w:val="ARfintabletextright8pt"/>
            </w:pPr>
            <w:r w:rsidRPr="00A907CF">
              <w:t>3,082.5</w:t>
            </w:r>
          </w:p>
        </w:tc>
      </w:tr>
      <w:tr w:rsidR="006E51BF" w:rsidRPr="00021B0E" w14:paraId="2CE5C549"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960" w:type="dxa"/>
            <w:tcBorders>
              <w:bottom w:val="single" w:sz="4" w:space="0" w:color="BFBFBF" w:themeColor="accent2"/>
            </w:tcBorders>
            <w:noWrap/>
            <w:hideMark/>
          </w:tcPr>
          <w:p w14:paraId="287E7865" w14:textId="77777777" w:rsidR="006E51BF" w:rsidRPr="00021B0E" w:rsidRDefault="006E51BF">
            <w:pPr>
              <w:pStyle w:val="ARfintabletext8pt"/>
            </w:pPr>
            <w:r w:rsidRPr="00021B0E">
              <w:t>Grants</w:t>
            </w:r>
            <w:r w:rsidRPr="00021B0E">
              <w:rPr>
                <w:vertAlign w:val="superscript"/>
              </w:rPr>
              <w:t xml:space="preserve"> </w:t>
            </w:r>
          </w:p>
        </w:tc>
        <w:tc>
          <w:tcPr>
            <w:cnfStyle w:val="000001000000" w:firstRow="0" w:lastRow="0" w:firstColumn="0" w:lastColumn="0" w:oddVBand="0" w:evenVBand="1" w:oddHBand="0" w:evenHBand="0" w:firstRowFirstColumn="0" w:firstRowLastColumn="0" w:lastRowFirstColumn="0" w:lastRowLastColumn="0"/>
            <w:tcW w:w="816" w:type="dxa"/>
            <w:tcBorders>
              <w:bottom w:val="single" w:sz="4" w:space="0" w:color="BFBFBF" w:themeColor="accent2"/>
            </w:tcBorders>
            <w:noWrap/>
            <w:tcMar>
              <w:right w:w="0" w:type="nil"/>
            </w:tcMar>
            <w:hideMark/>
          </w:tcPr>
          <w:p w14:paraId="16DD9369" w14:textId="77777777" w:rsidR="006E51BF" w:rsidRPr="00A907CF" w:rsidRDefault="006E51BF">
            <w:pPr>
              <w:pStyle w:val="ARfintabletextright8pt"/>
            </w:pPr>
            <w:r w:rsidRPr="00A907CF">
              <w:t>9.0</w:t>
            </w:r>
          </w:p>
        </w:tc>
        <w:tc>
          <w:tcPr>
            <w:tcW w:w="816" w:type="dxa"/>
            <w:tcBorders>
              <w:bottom w:val="single" w:sz="4" w:space="0" w:color="BFBFBF" w:themeColor="accent2"/>
            </w:tcBorders>
            <w:noWrap/>
            <w:tcMar>
              <w:right w:w="0" w:type="nil"/>
            </w:tcMar>
            <w:hideMark/>
          </w:tcPr>
          <w:p w14:paraId="4D6CD904" w14:textId="77777777" w:rsidR="006E51BF" w:rsidRPr="00A907CF"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A907CF">
              <w:t>0.5</w:t>
            </w:r>
          </w:p>
        </w:tc>
        <w:tc>
          <w:tcPr>
            <w:cnfStyle w:val="000001000000" w:firstRow="0" w:lastRow="0" w:firstColumn="0" w:lastColumn="0" w:oddVBand="0" w:evenVBand="1" w:oddHBand="0" w:evenHBand="0" w:firstRowFirstColumn="0" w:firstRowLastColumn="0" w:lastRowFirstColumn="0" w:lastRowLastColumn="0"/>
            <w:tcW w:w="816" w:type="dxa"/>
            <w:tcBorders>
              <w:bottom w:val="single" w:sz="4" w:space="0" w:color="BFBFBF" w:themeColor="accent2"/>
            </w:tcBorders>
            <w:noWrap/>
            <w:tcMar>
              <w:right w:w="0" w:type="nil"/>
            </w:tcMar>
            <w:hideMark/>
          </w:tcPr>
          <w:p w14:paraId="63CE5F4B" w14:textId="77777777" w:rsidR="006E51BF" w:rsidRPr="00A907CF" w:rsidRDefault="006E51BF">
            <w:pPr>
              <w:pStyle w:val="ARfintabletextright8pt"/>
            </w:pPr>
            <w:r w:rsidRPr="00A907CF">
              <w:t>16.8</w:t>
            </w:r>
          </w:p>
        </w:tc>
        <w:tc>
          <w:tcPr>
            <w:tcW w:w="816" w:type="dxa"/>
            <w:tcBorders>
              <w:bottom w:val="single" w:sz="4" w:space="0" w:color="BFBFBF" w:themeColor="accent2"/>
            </w:tcBorders>
            <w:noWrap/>
            <w:tcMar>
              <w:right w:w="0" w:type="nil"/>
            </w:tcMar>
            <w:hideMark/>
          </w:tcPr>
          <w:p w14:paraId="7F2AAF36" w14:textId="77777777" w:rsidR="006E51BF" w:rsidRPr="00A907CF"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6" w:type="dxa"/>
            <w:tcBorders>
              <w:bottom w:val="single" w:sz="4" w:space="0" w:color="BFBFBF" w:themeColor="accent2"/>
            </w:tcBorders>
            <w:noWrap/>
            <w:tcMar>
              <w:right w:w="0" w:type="nil"/>
            </w:tcMar>
            <w:hideMark/>
          </w:tcPr>
          <w:p w14:paraId="2390AB32" w14:textId="77777777" w:rsidR="006E51BF" w:rsidRPr="00A907CF" w:rsidRDefault="006E51BF">
            <w:pPr>
              <w:pStyle w:val="ARfintabletextright8pt"/>
            </w:pPr>
            <w:r w:rsidRPr="00A907CF">
              <w:t>–</w:t>
            </w:r>
          </w:p>
        </w:tc>
        <w:tc>
          <w:tcPr>
            <w:tcW w:w="816" w:type="dxa"/>
            <w:tcBorders>
              <w:bottom w:val="single" w:sz="4" w:space="0" w:color="BFBFBF" w:themeColor="accent2"/>
            </w:tcBorders>
            <w:noWrap/>
            <w:tcMar>
              <w:right w:w="0" w:type="nil"/>
            </w:tcMar>
            <w:hideMark/>
          </w:tcPr>
          <w:p w14:paraId="00046B52" w14:textId="77777777" w:rsidR="006E51BF" w:rsidRPr="00A907CF"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7" w:type="dxa"/>
            <w:tcBorders>
              <w:bottom w:val="single" w:sz="4" w:space="0" w:color="BFBFBF" w:themeColor="accent2"/>
            </w:tcBorders>
            <w:noWrap/>
            <w:tcMar>
              <w:right w:w="0" w:type="nil"/>
            </w:tcMar>
            <w:hideMark/>
          </w:tcPr>
          <w:p w14:paraId="4495C736" w14:textId="77777777" w:rsidR="006E51BF" w:rsidRPr="00A907CF" w:rsidRDefault="006E51BF">
            <w:pPr>
              <w:pStyle w:val="ARfintabletextright8pt"/>
            </w:pPr>
            <w:r w:rsidRPr="00A907CF">
              <w:t>–</w:t>
            </w:r>
          </w:p>
        </w:tc>
        <w:tc>
          <w:tcPr>
            <w:tcW w:w="816" w:type="dxa"/>
            <w:tcBorders>
              <w:bottom w:val="single" w:sz="4" w:space="0" w:color="BFBFBF" w:themeColor="accent2"/>
            </w:tcBorders>
            <w:noWrap/>
            <w:tcMar>
              <w:right w:w="0" w:type="nil"/>
            </w:tcMar>
            <w:hideMark/>
          </w:tcPr>
          <w:p w14:paraId="410832B8" w14:textId="77777777" w:rsidR="006E51BF" w:rsidRPr="00A907CF"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6" w:type="dxa"/>
            <w:tcBorders>
              <w:bottom w:val="single" w:sz="4" w:space="0" w:color="BFBFBF" w:themeColor="accent2"/>
            </w:tcBorders>
            <w:noWrap/>
            <w:tcMar>
              <w:right w:w="0" w:type="nil"/>
            </w:tcMar>
            <w:hideMark/>
          </w:tcPr>
          <w:p w14:paraId="728E84D9" w14:textId="77777777" w:rsidR="006E51BF" w:rsidRPr="00A907CF" w:rsidRDefault="006E51BF">
            <w:pPr>
              <w:pStyle w:val="ARfintabletextright8pt"/>
            </w:pPr>
            <w:r w:rsidRPr="00A907CF">
              <w:t>–</w:t>
            </w:r>
          </w:p>
        </w:tc>
        <w:tc>
          <w:tcPr>
            <w:tcW w:w="816" w:type="dxa"/>
            <w:tcBorders>
              <w:bottom w:val="single" w:sz="4" w:space="0" w:color="BFBFBF" w:themeColor="accent2"/>
            </w:tcBorders>
            <w:noWrap/>
            <w:tcMar>
              <w:right w:w="0" w:type="nil"/>
            </w:tcMar>
            <w:hideMark/>
          </w:tcPr>
          <w:p w14:paraId="608B6806" w14:textId="77777777" w:rsidR="006E51BF" w:rsidRPr="00A907CF"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6" w:type="dxa"/>
            <w:tcBorders>
              <w:bottom w:val="single" w:sz="4" w:space="0" w:color="BFBFBF" w:themeColor="accent2"/>
            </w:tcBorders>
            <w:noWrap/>
            <w:tcMar>
              <w:right w:w="0" w:type="nil"/>
            </w:tcMar>
            <w:hideMark/>
          </w:tcPr>
          <w:p w14:paraId="5F229D4C" w14:textId="77777777" w:rsidR="006E51BF" w:rsidRPr="00A907CF" w:rsidRDefault="006E51BF">
            <w:pPr>
              <w:pStyle w:val="ARfintabletextright8pt"/>
            </w:pPr>
            <w:r w:rsidRPr="00A907CF">
              <w:t>–</w:t>
            </w:r>
          </w:p>
        </w:tc>
        <w:tc>
          <w:tcPr>
            <w:tcW w:w="816" w:type="dxa"/>
            <w:tcBorders>
              <w:bottom w:val="single" w:sz="4" w:space="0" w:color="BFBFBF" w:themeColor="accent2"/>
            </w:tcBorders>
            <w:noWrap/>
            <w:tcMar>
              <w:right w:w="0" w:type="nil"/>
            </w:tcMar>
            <w:hideMark/>
          </w:tcPr>
          <w:p w14:paraId="4DF954C2" w14:textId="77777777" w:rsidR="006E51BF" w:rsidRPr="00A907CF"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7" w:type="dxa"/>
            <w:tcBorders>
              <w:bottom w:val="single" w:sz="4" w:space="0" w:color="BFBFBF" w:themeColor="accent2"/>
            </w:tcBorders>
            <w:noWrap/>
            <w:tcMar>
              <w:right w:w="0" w:type="nil"/>
            </w:tcMar>
            <w:hideMark/>
          </w:tcPr>
          <w:p w14:paraId="713582BF" w14:textId="77777777" w:rsidR="006E51BF" w:rsidRPr="00A907CF" w:rsidRDefault="006E51BF">
            <w:pPr>
              <w:pStyle w:val="ARfintabletextright8pt"/>
            </w:pPr>
            <w:r w:rsidRPr="00A907CF">
              <w:t>26.3</w:t>
            </w:r>
          </w:p>
        </w:tc>
      </w:tr>
      <w:tr w:rsidR="006E51BF" w:rsidRPr="00021B0E" w14:paraId="49E3DDC4"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960" w:type="dxa"/>
            <w:tcBorders>
              <w:top w:val="single" w:sz="4" w:space="0" w:color="BFBFBF" w:themeColor="accent2"/>
              <w:bottom w:val="single" w:sz="4" w:space="0" w:color="000000" w:themeColor="text1"/>
            </w:tcBorders>
            <w:noWrap/>
            <w:hideMark/>
          </w:tcPr>
          <w:p w14:paraId="05CE4A94" w14:textId="77777777" w:rsidR="006E51BF" w:rsidRPr="00021B0E" w:rsidRDefault="006E51BF">
            <w:pPr>
              <w:pStyle w:val="ARfintabletext8pt"/>
            </w:pPr>
            <w:r w:rsidRPr="00021B0E">
              <w:t>Other</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BFBFBF" w:themeColor="accent2"/>
              <w:bottom w:val="single" w:sz="4" w:space="0" w:color="000000" w:themeColor="text1"/>
            </w:tcBorders>
            <w:noWrap/>
            <w:tcMar>
              <w:right w:w="0" w:type="nil"/>
            </w:tcMar>
            <w:hideMark/>
          </w:tcPr>
          <w:p w14:paraId="560FC710" w14:textId="77777777" w:rsidR="006E51BF" w:rsidRPr="00A907CF" w:rsidRDefault="006E51BF">
            <w:pPr>
              <w:pStyle w:val="ARfintabletextright8pt"/>
            </w:pPr>
            <w:r w:rsidRPr="00A907CF">
              <w:t>2.4</w:t>
            </w:r>
          </w:p>
        </w:tc>
        <w:tc>
          <w:tcPr>
            <w:tcW w:w="816" w:type="dxa"/>
            <w:tcBorders>
              <w:top w:val="single" w:sz="4" w:space="0" w:color="BFBFBF" w:themeColor="accent2"/>
              <w:bottom w:val="single" w:sz="4" w:space="0" w:color="000000" w:themeColor="text1"/>
            </w:tcBorders>
            <w:noWrap/>
            <w:tcMar>
              <w:right w:w="0" w:type="nil"/>
            </w:tcMar>
            <w:hideMark/>
          </w:tcPr>
          <w:p w14:paraId="36548C9A" w14:textId="77777777" w:rsidR="006E51BF" w:rsidRPr="00A907CF"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A907CF">
              <w:t>0.1</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BFBFBF" w:themeColor="accent2"/>
              <w:bottom w:val="single" w:sz="4" w:space="0" w:color="000000" w:themeColor="text1"/>
            </w:tcBorders>
            <w:noWrap/>
            <w:tcMar>
              <w:right w:w="0" w:type="nil"/>
            </w:tcMar>
            <w:hideMark/>
          </w:tcPr>
          <w:p w14:paraId="64A2B6FA" w14:textId="77777777" w:rsidR="006E51BF" w:rsidRPr="00A907CF" w:rsidRDefault="006E51BF">
            <w:pPr>
              <w:pStyle w:val="ARfintabletextright8pt"/>
            </w:pPr>
            <w:r w:rsidRPr="00A907CF">
              <w:t>–</w:t>
            </w:r>
          </w:p>
        </w:tc>
        <w:tc>
          <w:tcPr>
            <w:tcW w:w="816" w:type="dxa"/>
            <w:tcBorders>
              <w:top w:val="single" w:sz="4" w:space="0" w:color="BFBFBF" w:themeColor="accent2"/>
              <w:bottom w:val="single" w:sz="4" w:space="0" w:color="000000" w:themeColor="text1"/>
            </w:tcBorders>
            <w:noWrap/>
            <w:tcMar>
              <w:right w:w="0" w:type="nil"/>
            </w:tcMar>
            <w:hideMark/>
          </w:tcPr>
          <w:p w14:paraId="51527627" w14:textId="77777777" w:rsidR="006E51BF" w:rsidRPr="00A907CF"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BFBFBF" w:themeColor="accent2"/>
              <w:bottom w:val="single" w:sz="4" w:space="0" w:color="000000" w:themeColor="text1"/>
            </w:tcBorders>
            <w:noWrap/>
            <w:tcMar>
              <w:right w:w="0" w:type="nil"/>
            </w:tcMar>
            <w:hideMark/>
          </w:tcPr>
          <w:p w14:paraId="638B8E22" w14:textId="77777777" w:rsidR="006E51BF" w:rsidRPr="00A907CF" w:rsidRDefault="006E51BF">
            <w:pPr>
              <w:pStyle w:val="ARfintabletextright8pt"/>
            </w:pPr>
            <w:r w:rsidRPr="00A907CF">
              <w:t>–</w:t>
            </w:r>
          </w:p>
        </w:tc>
        <w:tc>
          <w:tcPr>
            <w:tcW w:w="816" w:type="dxa"/>
            <w:tcBorders>
              <w:top w:val="single" w:sz="4" w:space="0" w:color="BFBFBF" w:themeColor="accent2"/>
              <w:bottom w:val="single" w:sz="4" w:space="0" w:color="000000" w:themeColor="text1"/>
            </w:tcBorders>
            <w:noWrap/>
            <w:tcMar>
              <w:right w:w="0" w:type="nil"/>
            </w:tcMar>
            <w:hideMark/>
          </w:tcPr>
          <w:p w14:paraId="7BD891A1" w14:textId="77777777" w:rsidR="006E51BF" w:rsidRPr="00A907CF"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7" w:type="dxa"/>
            <w:tcBorders>
              <w:top w:val="single" w:sz="4" w:space="0" w:color="BFBFBF" w:themeColor="accent2"/>
              <w:bottom w:val="single" w:sz="4" w:space="0" w:color="000000" w:themeColor="text1"/>
            </w:tcBorders>
            <w:noWrap/>
            <w:tcMar>
              <w:right w:w="0" w:type="nil"/>
            </w:tcMar>
            <w:hideMark/>
          </w:tcPr>
          <w:p w14:paraId="3E57C12E" w14:textId="77777777" w:rsidR="006E51BF" w:rsidRPr="00A907CF" w:rsidRDefault="006E51BF">
            <w:pPr>
              <w:pStyle w:val="ARfintabletextright8pt"/>
            </w:pPr>
            <w:r w:rsidRPr="00A907CF">
              <w:t>–</w:t>
            </w:r>
          </w:p>
        </w:tc>
        <w:tc>
          <w:tcPr>
            <w:tcW w:w="816" w:type="dxa"/>
            <w:tcBorders>
              <w:top w:val="single" w:sz="4" w:space="0" w:color="BFBFBF" w:themeColor="accent2"/>
              <w:bottom w:val="single" w:sz="4" w:space="0" w:color="000000" w:themeColor="text1"/>
            </w:tcBorders>
            <w:noWrap/>
            <w:tcMar>
              <w:right w:w="0" w:type="nil"/>
            </w:tcMar>
            <w:hideMark/>
          </w:tcPr>
          <w:p w14:paraId="479AC692" w14:textId="77777777" w:rsidR="006E51BF" w:rsidRPr="00A907CF"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BFBFBF" w:themeColor="accent2"/>
              <w:bottom w:val="single" w:sz="4" w:space="0" w:color="000000" w:themeColor="text1"/>
            </w:tcBorders>
            <w:noWrap/>
            <w:tcMar>
              <w:right w:w="0" w:type="nil"/>
            </w:tcMar>
            <w:hideMark/>
          </w:tcPr>
          <w:p w14:paraId="17C0A61C" w14:textId="77777777" w:rsidR="006E51BF" w:rsidRPr="00A907CF" w:rsidRDefault="006E51BF">
            <w:pPr>
              <w:pStyle w:val="ARfintabletextright8pt"/>
            </w:pPr>
            <w:r w:rsidRPr="00A907CF">
              <w:t>–</w:t>
            </w:r>
          </w:p>
        </w:tc>
        <w:tc>
          <w:tcPr>
            <w:tcW w:w="816" w:type="dxa"/>
            <w:tcBorders>
              <w:top w:val="single" w:sz="4" w:space="0" w:color="BFBFBF" w:themeColor="accent2"/>
              <w:bottom w:val="single" w:sz="4" w:space="0" w:color="000000" w:themeColor="text1"/>
            </w:tcBorders>
            <w:noWrap/>
            <w:tcMar>
              <w:right w:w="0" w:type="nil"/>
            </w:tcMar>
            <w:hideMark/>
          </w:tcPr>
          <w:p w14:paraId="54B13632" w14:textId="77777777" w:rsidR="006E51BF" w:rsidRPr="00A907CF"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BFBFBF" w:themeColor="accent2"/>
              <w:bottom w:val="single" w:sz="4" w:space="0" w:color="000000" w:themeColor="text1"/>
            </w:tcBorders>
            <w:noWrap/>
            <w:tcMar>
              <w:right w:w="0" w:type="nil"/>
            </w:tcMar>
            <w:hideMark/>
          </w:tcPr>
          <w:p w14:paraId="2D78F495" w14:textId="77777777" w:rsidR="006E51BF" w:rsidRPr="00A907CF" w:rsidRDefault="006E51BF">
            <w:pPr>
              <w:pStyle w:val="ARfintabletextright8pt"/>
            </w:pPr>
            <w:r w:rsidRPr="00A907CF">
              <w:t>–</w:t>
            </w:r>
          </w:p>
        </w:tc>
        <w:tc>
          <w:tcPr>
            <w:tcW w:w="816" w:type="dxa"/>
            <w:tcBorders>
              <w:top w:val="single" w:sz="4" w:space="0" w:color="BFBFBF" w:themeColor="accent2"/>
              <w:bottom w:val="single" w:sz="4" w:space="0" w:color="000000" w:themeColor="text1"/>
            </w:tcBorders>
            <w:noWrap/>
            <w:tcMar>
              <w:right w:w="0" w:type="nil"/>
            </w:tcMar>
            <w:hideMark/>
          </w:tcPr>
          <w:p w14:paraId="144BB87F" w14:textId="77777777" w:rsidR="006E51BF" w:rsidRPr="00A907CF"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A907CF">
              <w:t>–</w:t>
            </w:r>
          </w:p>
        </w:tc>
        <w:tc>
          <w:tcPr>
            <w:cnfStyle w:val="000001000000" w:firstRow="0" w:lastRow="0" w:firstColumn="0" w:lastColumn="0" w:oddVBand="0" w:evenVBand="1" w:oddHBand="0" w:evenHBand="0" w:firstRowFirstColumn="0" w:firstRowLastColumn="0" w:lastRowFirstColumn="0" w:lastRowLastColumn="0"/>
            <w:tcW w:w="817" w:type="dxa"/>
            <w:tcBorders>
              <w:top w:val="single" w:sz="4" w:space="0" w:color="BFBFBF" w:themeColor="accent2"/>
              <w:bottom w:val="single" w:sz="4" w:space="0" w:color="000000" w:themeColor="text1"/>
            </w:tcBorders>
            <w:noWrap/>
            <w:tcMar>
              <w:right w:w="0" w:type="nil"/>
            </w:tcMar>
            <w:hideMark/>
          </w:tcPr>
          <w:p w14:paraId="37F194BD" w14:textId="77777777" w:rsidR="006E51BF" w:rsidRPr="00A907CF" w:rsidRDefault="006E51BF">
            <w:pPr>
              <w:pStyle w:val="ARfintabletextright8pt"/>
            </w:pPr>
            <w:r w:rsidRPr="00A907CF">
              <w:t>2.5</w:t>
            </w:r>
          </w:p>
        </w:tc>
      </w:tr>
      <w:tr w:rsidR="006E51BF" w:rsidRPr="00021B0E" w14:paraId="3660A4DC"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960" w:type="dxa"/>
            <w:tcBorders>
              <w:top w:val="single" w:sz="4" w:space="0" w:color="000000" w:themeColor="text1"/>
              <w:bottom w:val="single" w:sz="4" w:space="0" w:color="000000" w:themeColor="text1"/>
            </w:tcBorders>
            <w:noWrap/>
            <w:hideMark/>
          </w:tcPr>
          <w:p w14:paraId="45BF9081" w14:textId="77777777" w:rsidR="006E51BF" w:rsidRPr="00021B0E" w:rsidRDefault="006E51BF">
            <w:pPr>
              <w:pStyle w:val="ARfintabletextbold8pt"/>
            </w:pPr>
            <w:r w:rsidRPr="00021B0E">
              <w:t>Total administered revenue and income from</w:t>
            </w:r>
            <w:r>
              <w:t> </w:t>
            </w:r>
            <w:r w:rsidRPr="00021B0E">
              <w:t>transactions</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611778B5" w14:textId="77777777" w:rsidR="006E51BF" w:rsidRPr="00021B0E" w:rsidRDefault="006E51BF">
            <w:pPr>
              <w:pStyle w:val="ARfintabletextboldright8pt"/>
            </w:pPr>
            <w:r w:rsidRPr="00021B0E">
              <w:t>133.1</w:t>
            </w:r>
          </w:p>
        </w:tc>
        <w:tc>
          <w:tcPr>
            <w:tcW w:w="816" w:type="dxa"/>
            <w:tcBorders>
              <w:top w:val="single" w:sz="4" w:space="0" w:color="000000" w:themeColor="text1"/>
              <w:bottom w:val="single" w:sz="4" w:space="0" w:color="000000" w:themeColor="text1"/>
            </w:tcBorders>
            <w:noWrap/>
            <w:tcMar>
              <w:right w:w="0" w:type="nil"/>
            </w:tcMar>
            <w:hideMark/>
          </w:tcPr>
          <w:p w14:paraId="5C7E9B68"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21B0E">
              <w:t>25.6</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001CD4F4" w14:textId="77777777" w:rsidR="006E51BF" w:rsidRPr="00021B0E" w:rsidRDefault="006E51BF">
            <w:pPr>
              <w:pStyle w:val="ARfintabletextboldright8pt"/>
            </w:pPr>
            <w:r w:rsidRPr="00021B0E">
              <w:t>16.8</w:t>
            </w:r>
          </w:p>
        </w:tc>
        <w:tc>
          <w:tcPr>
            <w:tcW w:w="816" w:type="dxa"/>
            <w:tcBorders>
              <w:top w:val="single" w:sz="4" w:space="0" w:color="000000" w:themeColor="text1"/>
              <w:bottom w:val="single" w:sz="4" w:space="0" w:color="000000" w:themeColor="text1"/>
            </w:tcBorders>
            <w:noWrap/>
            <w:tcMar>
              <w:right w:w="0" w:type="nil"/>
            </w:tcMar>
            <w:hideMark/>
          </w:tcPr>
          <w:p w14:paraId="6D2244E4"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56B9DE22" w14:textId="77777777" w:rsidR="006E51BF" w:rsidRPr="00021B0E" w:rsidRDefault="006E51BF">
            <w:pPr>
              <w:pStyle w:val="ARfintabletextboldright8pt"/>
            </w:pPr>
            <w:r w:rsidRPr="00021B0E">
              <w:t>0.8</w:t>
            </w:r>
          </w:p>
        </w:tc>
        <w:tc>
          <w:tcPr>
            <w:tcW w:w="816" w:type="dxa"/>
            <w:tcBorders>
              <w:top w:val="single" w:sz="4" w:space="0" w:color="000000" w:themeColor="text1"/>
              <w:bottom w:val="single" w:sz="4" w:space="0" w:color="000000" w:themeColor="text1"/>
            </w:tcBorders>
            <w:noWrap/>
            <w:tcMar>
              <w:right w:w="0" w:type="nil"/>
            </w:tcMar>
            <w:hideMark/>
          </w:tcPr>
          <w:p w14:paraId="338B9798"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7" w:type="dxa"/>
            <w:tcBorders>
              <w:top w:val="single" w:sz="4" w:space="0" w:color="000000" w:themeColor="text1"/>
              <w:bottom w:val="single" w:sz="4" w:space="0" w:color="000000" w:themeColor="text1"/>
            </w:tcBorders>
            <w:noWrap/>
            <w:tcMar>
              <w:right w:w="0" w:type="nil"/>
            </w:tcMar>
            <w:hideMark/>
          </w:tcPr>
          <w:p w14:paraId="0D436283" w14:textId="77777777" w:rsidR="006E51BF" w:rsidRPr="00021B0E" w:rsidRDefault="006E51BF">
            <w:pPr>
              <w:pStyle w:val="ARfintabletextboldright8pt"/>
            </w:pPr>
            <w:r>
              <w:t>–</w:t>
            </w:r>
          </w:p>
        </w:tc>
        <w:tc>
          <w:tcPr>
            <w:tcW w:w="816" w:type="dxa"/>
            <w:tcBorders>
              <w:top w:val="single" w:sz="4" w:space="0" w:color="000000" w:themeColor="text1"/>
              <w:bottom w:val="single" w:sz="4" w:space="0" w:color="000000" w:themeColor="text1"/>
            </w:tcBorders>
            <w:noWrap/>
            <w:tcMar>
              <w:right w:w="0" w:type="nil"/>
            </w:tcMar>
            <w:hideMark/>
          </w:tcPr>
          <w:p w14:paraId="6D26E938"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21B0E">
              <w:t>0.5</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08CDFAF0" w14:textId="77777777" w:rsidR="006E51BF" w:rsidRPr="00021B0E" w:rsidRDefault="006E51BF">
            <w:pPr>
              <w:pStyle w:val="ARfintabletextboldright8pt"/>
            </w:pPr>
            <w:r>
              <w:t>–</w:t>
            </w:r>
          </w:p>
        </w:tc>
        <w:tc>
          <w:tcPr>
            <w:tcW w:w="816" w:type="dxa"/>
            <w:tcBorders>
              <w:top w:val="single" w:sz="4" w:space="0" w:color="000000" w:themeColor="text1"/>
              <w:bottom w:val="single" w:sz="4" w:space="0" w:color="000000" w:themeColor="text1"/>
            </w:tcBorders>
            <w:noWrap/>
            <w:tcMar>
              <w:right w:w="0" w:type="nil"/>
            </w:tcMar>
            <w:hideMark/>
          </w:tcPr>
          <w:p w14:paraId="61208AC0"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A931BA">
              <w: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3877BF1E" w14:textId="77777777" w:rsidR="006E51BF" w:rsidRPr="00021B0E" w:rsidRDefault="006E51BF">
            <w:pPr>
              <w:pStyle w:val="ARfintabletextboldright8pt"/>
            </w:pPr>
            <w:r w:rsidRPr="00021B0E">
              <w:t>1.4</w:t>
            </w:r>
          </w:p>
        </w:tc>
        <w:tc>
          <w:tcPr>
            <w:tcW w:w="816" w:type="dxa"/>
            <w:tcBorders>
              <w:top w:val="single" w:sz="4" w:space="0" w:color="000000" w:themeColor="text1"/>
              <w:bottom w:val="single" w:sz="4" w:space="0" w:color="000000" w:themeColor="text1"/>
            </w:tcBorders>
            <w:noWrap/>
            <w:tcMar>
              <w:right w:w="0" w:type="nil"/>
            </w:tcMar>
            <w:hideMark/>
          </w:tcPr>
          <w:p w14:paraId="64EBB3CB"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21B0E">
              <w:t>3,003.2</w:t>
            </w:r>
          </w:p>
        </w:tc>
        <w:tc>
          <w:tcPr>
            <w:cnfStyle w:val="000001000000" w:firstRow="0" w:lastRow="0" w:firstColumn="0" w:lastColumn="0" w:oddVBand="0" w:evenVBand="1" w:oddHBand="0" w:evenHBand="0" w:firstRowFirstColumn="0" w:firstRowLastColumn="0" w:lastRowFirstColumn="0" w:lastRowLastColumn="0"/>
            <w:tcW w:w="817" w:type="dxa"/>
            <w:tcBorders>
              <w:top w:val="single" w:sz="4" w:space="0" w:color="000000" w:themeColor="text1"/>
              <w:bottom w:val="single" w:sz="4" w:space="0" w:color="000000" w:themeColor="text1"/>
            </w:tcBorders>
            <w:noWrap/>
            <w:tcMar>
              <w:right w:w="0" w:type="nil"/>
            </w:tcMar>
            <w:hideMark/>
          </w:tcPr>
          <w:p w14:paraId="415D610A" w14:textId="77777777" w:rsidR="006E51BF" w:rsidRPr="00021B0E" w:rsidRDefault="006E51BF">
            <w:pPr>
              <w:pStyle w:val="ARfintabletextboldright8pt"/>
            </w:pPr>
            <w:r w:rsidRPr="00021B0E">
              <w:t>3,181.4</w:t>
            </w:r>
          </w:p>
        </w:tc>
      </w:tr>
      <w:tr w:rsidR="006E51BF" w:rsidRPr="00021B0E" w14:paraId="54744F9D"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960" w:type="dxa"/>
            <w:tcBorders>
              <w:top w:val="single" w:sz="4" w:space="0" w:color="000000" w:themeColor="text1"/>
            </w:tcBorders>
            <w:noWrap/>
            <w:hideMark/>
          </w:tcPr>
          <w:p w14:paraId="34A158CD" w14:textId="77777777" w:rsidR="006E51BF" w:rsidRPr="00021B0E" w:rsidRDefault="006E51BF">
            <w:pPr>
              <w:pStyle w:val="Arfintabletextboldcoloured8pt"/>
            </w:pPr>
            <w:r w:rsidRPr="00021B0E">
              <w:t>Administered expenses from transactions</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tcBorders>
            <w:shd w:val="clear" w:color="auto" w:fill="auto"/>
            <w:noWrap/>
            <w:tcMar>
              <w:right w:w="0" w:type="nil"/>
            </w:tcMar>
            <w:hideMark/>
          </w:tcPr>
          <w:p w14:paraId="2CD871E3" w14:textId="77777777" w:rsidR="006E51BF" w:rsidRPr="00021B0E" w:rsidRDefault="006E51BF">
            <w:pPr>
              <w:pStyle w:val="ARfintabletextright8pt"/>
            </w:pPr>
          </w:p>
        </w:tc>
        <w:tc>
          <w:tcPr>
            <w:tcW w:w="816" w:type="dxa"/>
            <w:tcBorders>
              <w:top w:val="single" w:sz="4" w:space="0" w:color="000000" w:themeColor="text1"/>
            </w:tcBorders>
            <w:noWrap/>
            <w:tcMar>
              <w:right w:w="0" w:type="nil"/>
            </w:tcMar>
            <w:hideMark/>
          </w:tcPr>
          <w:p w14:paraId="0695DAE6"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tcBorders>
            <w:shd w:val="clear" w:color="auto" w:fill="auto"/>
            <w:noWrap/>
            <w:tcMar>
              <w:right w:w="0" w:type="nil"/>
            </w:tcMar>
            <w:hideMark/>
          </w:tcPr>
          <w:p w14:paraId="3DFB5D55" w14:textId="77777777" w:rsidR="006E51BF" w:rsidRPr="00021B0E" w:rsidRDefault="006E51BF">
            <w:pPr>
              <w:pStyle w:val="ARfintabletextright8pt"/>
            </w:pPr>
          </w:p>
        </w:tc>
        <w:tc>
          <w:tcPr>
            <w:tcW w:w="816" w:type="dxa"/>
            <w:tcBorders>
              <w:top w:val="single" w:sz="4" w:space="0" w:color="000000" w:themeColor="text1"/>
            </w:tcBorders>
            <w:noWrap/>
            <w:tcMar>
              <w:right w:w="0" w:type="nil"/>
            </w:tcMar>
            <w:hideMark/>
          </w:tcPr>
          <w:p w14:paraId="6F384D0F"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tcBorders>
            <w:shd w:val="clear" w:color="auto" w:fill="auto"/>
            <w:noWrap/>
            <w:tcMar>
              <w:right w:w="0" w:type="nil"/>
            </w:tcMar>
            <w:hideMark/>
          </w:tcPr>
          <w:p w14:paraId="5DF127B7" w14:textId="77777777" w:rsidR="006E51BF" w:rsidRPr="00021B0E" w:rsidRDefault="006E51BF">
            <w:pPr>
              <w:pStyle w:val="ARfintabletextright8pt"/>
            </w:pPr>
          </w:p>
        </w:tc>
        <w:tc>
          <w:tcPr>
            <w:tcW w:w="816" w:type="dxa"/>
            <w:tcBorders>
              <w:top w:val="single" w:sz="4" w:space="0" w:color="000000" w:themeColor="text1"/>
            </w:tcBorders>
            <w:noWrap/>
            <w:tcMar>
              <w:right w:w="0" w:type="nil"/>
            </w:tcMar>
            <w:hideMark/>
          </w:tcPr>
          <w:p w14:paraId="078D8DA5"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17" w:type="dxa"/>
            <w:tcBorders>
              <w:top w:val="single" w:sz="4" w:space="0" w:color="000000" w:themeColor="text1"/>
            </w:tcBorders>
            <w:shd w:val="clear" w:color="auto" w:fill="auto"/>
            <w:noWrap/>
            <w:tcMar>
              <w:right w:w="0" w:type="nil"/>
            </w:tcMar>
            <w:hideMark/>
          </w:tcPr>
          <w:p w14:paraId="5C7FB793" w14:textId="77777777" w:rsidR="006E51BF" w:rsidRPr="00021B0E" w:rsidRDefault="006E51BF">
            <w:pPr>
              <w:pStyle w:val="ARfintabletextright8pt"/>
            </w:pPr>
          </w:p>
        </w:tc>
        <w:tc>
          <w:tcPr>
            <w:tcW w:w="816" w:type="dxa"/>
            <w:tcBorders>
              <w:top w:val="single" w:sz="4" w:space="0" w:color="000000" w:themeColor="text1"/>
            </w:tcBorders>
            <w:noWrap/>
            <w:tcMar>
              <w:right w:w="0" w:type="nil"/>
            </w:tcMar>
            <w:hideMark/>
          </w:tcPr>
          <w:p w14:paraId="2AB26AEE"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tcBorders>
            <w:shd w:val="clear" w:color="auto" w:fill="auto"/>
            <w:noWrap/>
            <w:tcMar>
              <w:right w:w="0" w:type="nil"/>
            </w:tcMar>
            <w:hideMark/>
          </w:tcPr>
          <w:p w14:paraId="19BCEEDA" w14:textId="77777777" w:rsidR="006E51BF" w:rsidRPr="00021B0E" w:rsidRDefault="006E51BF">
            <w:pPr>
              <w:pStyle w:val="ARfintabletextright8pt"/>
            </w:pPr>
          </w:p>
        </w:tc>
        <w:tc>
          <w:tcPr>
            <w:tcW w:w="816" w:type="dxa"/>
            <w:tcBorders>
              <w:top w:val="single" w:sz="4" w:space="0" w:color="000000" w:themeColor="text1"/>
            </w:tcBorders>
            <w:noWrap/>
            <w:tcMar>
              <w:right w:w="0" w:type="nil"/>
            </w:tcMar>
            <w:hideMark/>
          </w:tcPr>
          <w:p w14:paraId="0023D221"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tcBorders>
            <w:shd w:val="clear" w:color="auto" w:fill="auto"/>
            <w:noWrap/>
            <w:tcMar>
              <w:right w:w="0" w:type="nil"/>
            </w:tcMar>
            <w:hideMark/>
          </w:tcPr>
          <w:p w14:paraId="7940E08D" w14:textId="77777777" w:rsidR="006E51BF" w:rsidRPr="00021B0E" w:rsidRDefault="006E51BF">
            <w:pPr>
              <w:pStyle w:val="ARfintabletextright8pt"/>
            </w:pPr>
          </w:p>
        </w:tc>
        <w:tc>
          <w:tcPr>
            <w:tcW w:w="816" w:type="dxa"/>
            <w:tcBorders>
              <w:top w:val="single" w:sz="4" w:space="0" w:color="000000" w:themeColor="text1"/>
            </w:tcBorders>
            <w:noWrap/>
            <w:tcMar>
              <w:right w:w="0" w:type="nil"/>
            </w:tcMar>
            <w:hideMark/>
          </w:tcPr>
          <w:p w14:paraId="48F373A4"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17" w:type="dxa"/>
            <w:tcBorders>
              <w:top w:val="single" w:sz="4" w:space="0" w:color="000000" w:themeColor="text1"/>
            </w:tcBorders>
            <w:shd w:val="clear" w:color="auto" w:fill="auto"/>
            <w:noWrap/>
            <w:tcMar>
              <w:right w:w="0" w:type="nil"/>
            </w:tcMar>
            <w:hideMark/>
          </w:tcPr>
          <w:p w14:paraId="3EA82A87" w14:textId="77777777" w:rsidR="006E51BF" w:rsidRPr="00021B0E" w:rsidRDefault="006E51BF">
            <w:pPr>
              <w:pStyle w:val="ARfintabletextright8pt"/>
            </w:pPr>
          </w:p>
        </w:tc>
      </w:tr>
      <w:tr w:rsidR="006E51BF" w:rsidRPr="00021B0E" w14:paraId="2A55638F"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960" w:type="dxa"/>
            <w:noWrap/>
            <w:hideMark/>
          </w:tcPr>
          <w:p w14:paraId="0D1F1A52" w14:textId="77777777" w:rsidR="006E51BF" w:rsidRPr="00021B0E" w:rsidRDefault="006E51BF">
            <w:pPr>
              <w:pStyle w:val="ARfintabletext8pt"/>
            </w:pPr>
            <w:r w:rsidRPr="00021B0E">
              <w:t xml:space="preserve">Grants and other transfers </w:t>
            </w:r>
            <w:r w:rsidRPr="005D0B76">
              <w:rPr>
                <w:vertAlign w:val="superscript"/>
              </w:rPr>
              <w:t>(iii)</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7D417EEC" w14:textId="77777777" w:rsidR="006E51BF" w:rsidRPr="00021B0E" w:rsidRDefault="006E51BF">
            <w:pPr>
              <w:pStyle w:val="ARfintabletextright8pt"/>
            </w:pPr>
            <w:r w:rsidRPr="00021B0E">
              <w:t>79.3</w:t>
            </w:r>
          </w:p>
        </w:tc>
        <w:tc>
          <w:tcPr>
            <w:tcW w:w="816" w:type="dxa"/>
            <w:noWrap/>
            <w:tcMar>
              <w:right w:w="0" w:type="nil"/>
            </w:tcMar>
            <w:hideMark/>
          </w:tcPr>
          <w:p w14:paraId="54AF1A58"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5C92907D" w14:textId="77777777" w:rsidR="006E51BF" w:rsidRPr="00021B0E" w:rsidRDefault="006E51BF">
            <w:pPr>
              <w:pStyle w:val="ARfintabletextright8pt"/>
            </w:pPr>
            <w:r w:rsidRPr="00021B0E">
              <w:t>15.4</w:t>
            </w:r>
          </w:p>
        </w:tc>
        <w:tc>
          <w:tcPr>
            <w:tcW w:w="816" w:type="dxa"/>
            <w:noWrap/>
            <w:tcMar>
              <w:right w:w="0" w:type="nil"/>
            </w:tcMar>
            <w:hideMark/>
          </w:tcPr>
          <w:p w14:paraId="7DBDE22C"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789ABF39" w14:textId="77777777" w:rsidR="006E51BF" w:rsidRPr="00021B0E" w:rsidRDefault="006E51BF">
            <w:pPr>
              <w:pStyle w:val="ARfintabletextright8pt"/>
            </w:pPr>
            <w:r>
              <w:t>–</w:t>
            </w:r>
          </w:p>
        </w:tc>
        <w:tc>
          <w:tcPr>
            <w:tcW w:w="816" w:type="dxa"/>
            <w:noWrap/>
            <w:tcMar>
              <w:right w:w="0" w:type="nil"/>
            </w:tcMar>
            <w:hideMark/>
          </w:tcPr>
          <w:p w14:paraId="63A6D6AE"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7" w:type="dxa"/>
            <w:noWrap/>
            <w:tcMar>
              <w:right w:w="0" w:type="nil"/>
            </w:tcMar>
            <w:hideMark/>
          </w:tcPr>
          <w:p w14:paraId="1286BD7C" w14:textId="77777777" w:rsidR="006E51BF" w:rsidRPr="00021B0E" w:rsidRDefault="006E51BF">
            <w:pPr>
              <w:pStyle w:val="ARfintabletextright8pt"/>
            </w:pPr>
            <w:r>
              <w:t>–</w:t>
            </w:r>
          </w:p>
        </w:tc>
        <w:tc>
          <w:tcPr>
            <w:tcW w:w="816" w:type="dxa"/>
            <w:noWrap/>
            <w:tcMar>
              <w:right w:w="0" w:type="nil"/>
            </w:tcMar>
            <w:hideMark/>
          </w:tcPr>
          <w:p w14:paraId="56200394"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25363430" w14:textId="77777777" w:rsidR="006E51BF" w:rsidRPr="00021B0E" w:rsidRDefault="006E51BF">
            <w:pPr>
              <w:pStyle w:val="ARfintabletextright8pt"/>
            </w:pPr>
            <w:r>
              <w:t>–</w:t>
            </w:r>
          </w:p>
        </w:tc>
        <w:tc>
          <w:tcPr>
            <w:tcW w:w="816" w:type="dxa"/>
            <w:noWrap/>
            <w:tcMar>
              <w:right w:w="0" w:type="nil"/>
            </w:tcMar>
            <w:hideMark/>
          </w:tcPr>
          <w:p w14:paraId="2B7CCCBC"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6DC72415" w14:textId="77777777" w:rsidR="006E51BF" w:rsidRPr="00021B0E" w:rsidRDefault="006E51BF">
            <w:pPr>
              <w:pStyle w:val="ARfintabletextright8pt"/>
            </w:pPr>
            <w:r>
              <w:t>–</w:t>
            </w:r>
          </w:p>
        </w:tc>
        <w:tc>
          <w:tcPr>
            <w:tcW w:w="816" w:type="dxa"/>
            <w:noWrap/>
            <w:tcMar>
              <w:right w:w="0" w:type="nil"/>
            </w:tcMar>
            <w:hideMark/>
          </w:tcPr>
          <w:p w14:paraId="0BC02707"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021B0E">
              <w:t>3,003.2</w:t>
            </w:r>
          </w:p>
        </w:tc>
        <w:tc>
          <w:tcPr>
            <w:cnfStyle w:val="000001000000" w:firstRow="0" w:lastRow="0" w:firstColumn="0" w:lastColumn="0" w:oddVBand="0" w:evenVBand="1" w:oddHBand="0" w:evenHBand="0" w:firstRowFirstColumn="0" w:firstRowLastColumn="0" w:lastRowFirstColumn="0" w:lastRowLastColumn="0"/>
            <w:tcW w:w="817" w:type="dxa"/>
            <w:noWrap/>
            <w:tcMar>
              <w:right w:w="0" w:type="nil"/>
            </w:tcMar>
            <w:hideMark/>
          </w:tcPr>
          <w:p w14:paraId="65A5F282" w14:textId="77777777" w:rsidR="006E51BF" w:rsidRPr="00021B0E" w:rsidRDefault="006E51BF">
            <w:pPr>
              <w:pStyle w:val="ARfintabletextright8pt"/>
            </w:pPr>
            <w:r w:rsidRPr="00021B0E">
              <w:t>3,097.9</w:t>
            </w:r>
          </w:p>
        </w:tc>
      </w:tr>
      <w:tr w:rsidR="006E51BF" w:rsidRPr="00021B0E" w14:paraId="74D7FD7D"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960" w:type="dxa"/>
            <w:noWrap/>
            <w:hideMark/>
          </w:tcPr>
          <w:p w14:paraId="28D921DE" w14:textId="77777777" w:rsidR="006E51BF" w:rsidRPr="00021B0E" w:rsidRDefault="006E51BF">
            <w:pPr>
              <w:pStyle w:val="ARfintabletext8pt"/>
            </w:pPr>
            <w:r w:rsidRPr="00021B0E">
              <w:t>Employee benefits</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2CF50EFA" w14:textId="77777777" w:rsidR="006E51BF" w:rsidRPr="00021B0E" w:rsidRDefault="006E51BF">
            <w:pPr>
              <w:pStyle w:val="ARfintabletextright8pt"/>
            </w:pPr>
            <w:r>
              <w:t>–</w:t>
            </w:r>
          </w:p>
        </w:tc>
        <w:tc>
          <w:tcPr>
            <w:tcW w:w="816" w:type="dxa"/>
            <w:noWrap/>
            <w:tcMar>
              <w:right w:w="0" w:type="nil"/>
            </w:tcMar>
            <w:hideMark/>
          </w:tcPr>
          <w:p w14:paraId="504C51AE"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1AE65748" w14:textId="77777777" w:rsidR="006E51BF" w:rsidRPr="00021B0E" w:rsidRDefault="006E51BF">
            <w:pPr>
              <w:pStyle w:val="ARfintabletextright8pt"/>
            </w:pPr>
            <w:r w:rsidRPr="00021B0E">
              <w:t>1.4</w:t>
            </w:r>
          </w:p>
        </w:tc>
        <w:tc>
          <w:tcPr>
            <w:tcW w:w="816" w:type="dxa"/>
            <w:noWrap/>
            <w:tcMar>
              <w:right w:w="0" w:type="nil"/>
            </w:tcMar>
            <w:hideMark/>
          </w:tcPr>
          <w:p w14:paraId="11AF1B2F"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05B28C21" w14:textId="77777777" w:rsidR="006E51BF" w:rsidRPr="00021B0E" w:rsidRDefault="006E51BF">
            <w:pPr>
              <w:pStyle w:val="ARfintabletextright8pt"/>
            </w:pPr>
            <w:r>
              <w:t>–</w:t>
            </w:r>
          </w:p>
        </w:tc>
        <w:tc>
          <w:tcPr>
            <w:tcW w:w="816" w:type="dxa"/>
            <w:noWrap/>
            <w:tcMar>
              <w:right w:w="0" w:type="nil"/>
            </w:tcMar>
            <w:hideMark/>
          </w:tcPr>
          <w:p w14:paraId="2DB68E5A"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7" w:type="dxa"/>
            <w:noWrap/>
            <w:tcMar>
              <w:right w:w="0" w:type="nil"/>
            </w:tcMar>
            <w:hideMark/>
          </w:tcPr>
          <w:p w14:paraId="4F7FEDA8" w14:textId="77777777" w:rsidR="006E51BF" w:rsidRPr="00021B0E" w:rsidRDefault="006E51BF">
            <w:pPr>
              <w:pStyle w:val="ARfintabletextright8pt"/>
            </w:pPr>
            <w:r>
              <w:t>–</w:t>
            </w:r>
          </w:p>
        </w:tc>
        <w:tc>
          <w:tcPr>
            <w:tcW w:w="816" w:type="dxa"/>
            <w:noWrap/>
            <w:tcMar>
              <w:right w:w="0" w:type="nil"/>
            </w:tcMar>
            <w:hideMark/>
          </w:tcPr>
          <w:p w14:paraId="79CD3380"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503D9DCD" w14:textId="77777777" w:rsidR="006E51BF" w:rsidRPr="00021B0E" w:rsidRDefault="006E51BF">
            <w:pPr>
              <w:pStyle w:val="ARfintabletextright8pt"/>
            </w:pPr>
            <w:r>
              <w:t>–</w:t>
            </w:r>
          </w:p>
        </w:tc>
        <w:tc>
          <w:tcPr>
            <w:tcW w:w="816" w:type="dxa"/>
            <w:noWrap/>
            <w:tcMar>
              <w:right w:w="0" w:type="nil"/>
            </w:tcMar>
            <w:hideMark/>
          </w:tcPr>
          <w:p w14:paraId="66DB9551"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10FC2815" w14:textId="77777777" w:rsidR="006E51BF" w:rsidRPr="00021B0E" w:rsidRDefault="006E51BF">
            <w:pPr>
              <w:pStyle w:val="ARfintabletextright8pt"/>
            </w:pPr>
            <w:r>
              <w:t>–</w:t>
            </w:r>
          </w:p>
        </w:tc>
        <w:tc>
          <w:tcPr>
            <w:tcW w:w="816" w:type="dxa"/>
            <w:noWrap/>
            <w:tcMar>
              <w:right w:w="0" w:type="nil"/>
            </w:tcMar>
            <w:hideMark/>
          </w:tcPr>
          <w:p w14:paraId="349A776F"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7" w:type="dxa"/>
            <w:noWrap/>
            <w:tcMar>
              <w:right w:w="0" w:type="nil"/>
            </w:tcMar>
            <w:hideMark/>
          </w:tcPr>
          <w:p w14:paraId="24E4B3F1" w14:textId="77777777" w:rsidR="006E51BF" w:rsidRPr="00021B0E" w:rsidRDefault="006E51BF">
            <w:pPr>
              <w:pStyle w:val="ARfintabletextright8pt"/>
            </w:pPr>
            <w:r w:rsidRPr="00021B0E">
              <w:t>1.4</w:t>
            </w:r>
          </w:p>
        </w:tc>
      </w:tr>
      <w:tr w:rsidR="006E51BF" w:rsidRPr="00021B0E" w14:paraId="6792BBED"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960" w:type="dxa"/>
            <w:tcBorders>
              <w:bottom w:val="single" w:sz="4" w:space="0" w:color="BFBFBF" w:themeColor="accent2"/>
            </w:tcBorders>
            <w:noWrap/>
            <w:hideMark/>
          </w:tcPr>
          <w:p w14:paraId="1D24958E" w14:textId="77777777" w:rsidR="006E51BF" w:rsidRPr="00021B0E" w:rsidRDefault="006E51BF">
            <w:pPr>
              <w:pStyle w:val="ARfintabletext8pt"/>
            </w:pPr>
            <w:r w:rsidRPr="00021B0E">
              <w:t>Other operating expenses</w:t>
            </w:r>
          </w:p>
        </w:tc>
        <w:tc>
          <w:tcPr>
            <w:cnfStyle w:val="000001000000" w:firstRow="0" w:lastRow="0" w:firstColumn="0" w:lastColumn="0" w:oddVBand="0" w:evenVBand="1" w:oddHBand="0" w:evenHBand="0" w:firstRowFirstColumn="0" w:firstRowLastColumn="0" w:lastRowFirstColumn="0" w:lastRowLastColumn="0"/>
            <w:tcW w:w="816" w:type="dxa"/>
            <w:tcBorders>
              <w:bottom w:val="single" w:sz="4" w:space="0" w:color="BFBFBF" w:themeColor="accent2"/>
            </w:tcBorders>
            <w:noWrap/>
            <w:tcMar>
              <w:right w:w="0" w:type="nil"/>
            </w:tcMar>
            <w:hideMark/>
          </w:tcPr>
          <w:p w14:paraId="1F8A26DB" w14:textId="77777777" w:rsidR="006E51BF" w:rsidRPr="00021B0E" w:rsidRDefault="006E51BF">
            <w:pPr>
              <w:pStyle w:val="ARfintabletextright8pt"/>
            </w:pPr>
            <w:r w:rsidRPr="00A931BA">
              <w:t>–</w:t>
            </w:r>
          </w:p>
        </w:tc>
        <w:tc>
          <w:tcPr>
            <w:tcW w:w="816" w:type="dxa"/>
            <w:tcBorders>
              <w:bottom w:val="single" w:sz="4" w:space="0" w:color="BFBFBF" w:themeColor="accent2"/>
            </w:tcBorders>
            <w:noWrap/>
            <w:tcMar>
              <w:right w:w="0" w:type="nil"/>
            </w:tcMar>
            <w:hideMark/>
          </w:tcPr>
          <w:p w14:paraId="120150DD"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021B0E">
              <w:t>(2.1)</w:t>
            </w:r>
          </w:p>
        </w:tc>
        <w:tc>
          <w:tcPr>
            <w:cnfStyle w:val="000001000000" w:firstRow="0" w:lastRow="0" w:firstColumn="0" w:lastColumn="0" w:oddVBand="0" w:evenVBand="1" w:oddHBand="0" w:evenHBand="0" w:firstRowFirstColumn="0" w:firstRowLastColumn="0" w:lastRowFirstColumn="0" w:lastRowLastColumn="0"/>
            <w:tcW w:w="816" w:type="dxa"/>
            <w:tcBorders>
              <w:bottom w:val="single" w:sz="4" w:space="0" w:color="BFBFBF" w:themeColor="accent2"/>
            </w:tcBorders>
            <w:noWrap/>
            <w:tcMar>
              <w:right w:w="0" w:type="nil"/>
            </w:tcMar>
            <w:hideMark/>
          </w:tcPr>
          <w:p w14:paraId="5787F5B1" w14:textId="77777777" w:rsidR="006E51BF" w:rsidRPr="00021B0E" w:rsidRDefault="006E51BF">
            <w:pPr>
              <w:pStyle w:val="ARfintabletextright8pt"/>
            </w:pPr>
            <w:r w:rsidRPr="00021B0E">
              <w:t>0.1</w:t>
            </w:r>
          </w:p>
        </w:tc>
        <w:tc>
          <w:tcPr>
            <w:tcW w:w="816" w:type="dxa"/>
            <w:tcBorders>
              <w:bottom w:val="single" w:sz="4" w:space="0" w:color="BFBFBF" w:themeColor="accent2"/>
            </w:tcBorders>
            <w:noWrap/>
            <w:tcMar>
              <w:right w:w="0" w:type="nil"/>
            </w:tcMar>
            <w:hideMark/>
          </w:tcPr>
          <w:p w14:paraId="15E9651D"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tcBorders>
              <w:bottom w:val="single" w:sz="4" w:space="0" w:color="BFBFBF" w:themeColor="accent2"/>
            </w:tcBorders>
            <w:noWrap/>
            <w:tcMar>
              <w:right w:w="0" w:type="nil"/>
            </w:tcMar>
            <w:hideMark/>
          </w:tcPr>
          <w:p w14:paraId="35D8CCE6" w14:textId="77777777" w:rsidR="006E51BF" w:rsidRPr="00021B0E" w:rsidRDefault="006E51BF">
            <w:pPr>
              <w:pStyle w:val="ARfintabletextright8pt"/>
            </w:pPr>
            <w:r>
              <w:t>–</w:t>
            </w:r>
          </w:p>
        </w:tc>
        <w:tc>
          <w:tcPr>
            <w:tcW w:w="816" w:type="dxa"/>
            <w:tcBorders>
              <w:bottom w:val="single" w:sz="4" w:space="0" w:color="BFBFBF" w:themeColor="accent2"/>
            </w:tcBorders>
            <w:noWrap/>
            <w:tcMar>
              <w:right w:w="0" w:type="nil"/>
            </w:tcMar>
            <w:hideMark/>
          </w:tcPr>
          <w:p w14:paraId="59395258"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7" w:type="dxa"/>
            <w:tcBorders>
              <w:bottom w:val="single" w:sz="4" w:space="0" w:color="BFBFBF" w:themeColor="accent2"/>
            </w:tcBorders>
            <w:noWrap/>
            <w:tcMar>
              <w:right w:w="0" w:type="nil"/>
            </w:tcMar>
            <w:hideMark/>
          </w:tcPr>
          <w:p w14:paraId="0718DC0E" w14:textId="77777777" w:rsidR="006E51BF" w:rsidRPr="00021B0E" w:rsidRDefault="006E51BF">
            <w:pPr>
              <w:pStyle w:val="ARfintabletextright8pt"/>
            </w:pPr>
            <w:r>
              <w:t>–</w:t>
            </w:r>
          </w:p>
        </w:tc>
        <w:tc>
          <w:tcPr>
            <w:tcW w:w="816" w:type="dxa"/>
            <w:tcBorders>
              <w:bottom w:val="single" w:sz="4" w:space="0" w:color="BFBFBF" w:themeColor="accent2"/>
            </w:tcBorders>
            <w:noWrap/>
            <w:tcMar>
              <w:right w:w="0" w:type="nil"/>
            </w:tcMar>
            <w:hideMark/>
          </w:tcPr>
          <w:p w14:paraId="5FBEAFA5"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tcBorders>
              <w:bottom w:val="single" w:sz="4" w:space="0" w:color="BFBFBF" w:themeColor="accent2"/>
            </w:tcBorders>
            <w:noWrap/>
            <w:tcMar>
              <w:right w:w="0" w:type="nil"/>
            </w:tcMar>
            <w:hideMark/>
          </w:tcPr>
          <w:p w14:paraId="31652D60" w14:textId="77777777" w:rsidR="006E51BF" w:rsidRPr="00021B0E" w:rsidRDefault="006E51BF">
            <w:pPr>
              <w:pStyle w:val="ARfintabletextright8pt"/>
            </w:pPr>
            <w:r>
              <w:t>–</w:t>
            </w:r>
          </w:p>
        </w:tc>
        <w:tc>
          <w:tcPr>
            <w:tcW w:w="816" w:type="dxa"/>
            <w:tcBorders>
              <w:bottom w:val="single" w:sz="4" w:space="0" w:color="BFBFBF" w:themeColor="accent2"/>
            </w:tcBorders>
            <w:noWrap/>
            <w:tcMar>
              <w:right w:w="0" w:type="nil"/>
            </w:tcMar>
            <w:hideMark/>
          </w:tcPr>
          <w:p w14:paraId="118A8CF3"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tcBorders>
              <w:bottom w:val="single" w:sz="4" w:space="0" w:color="BFBFBF" w:themeColor="accent2"/>
            </w:tcBorders>
            <w:noWrap/>
            <w:tcMar>
              <w:right w:w="0" w:type="nil"/>
            </w:tcMar>
            <w:hideMark/>
          </w:tcPr>
          <w:p w14:paraId="0B4E0E49" w14:textId="77777777" w:rsidR="006E51BF" w:rsidRPr="00021B0E" w:rsidRDefault="006E51BF">
            <w:pPr>
              <w:pStyle w:val="ARfintabletextright8pt"/>
            </w:pPr>
            <w:r w:rsidRPr="00021B0E">
              <w:t>(3.0)</w:t>
            </w:r>
          </w:p>
        </w:tc>
        <w:tc>
          <w:tcPr>
            <w:tcW w:w="816" w:type="dxa"/>
            <w:tcBorders>
              <w:bottom w:val="single" w:sz="4" w:space="0" w:color="BFBFBF" w:themeColor="accent2"/>
            </w:tcBorders>
            <w:noWrap/>
            <w:tcMar>
              <w:right w:w="0" w:type="nil"/>
            </w:tcMar>
            <w:hideMark/>
          </w:tcPr>
          <w:p w14:paraId="4C86CF59"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7" w:type="dxa"/>
            <w:tcBorders>
              <w:bottom w:val="single" w:sz="4" w:space="0" w:color="BFBFBF" w:themeColor="accent2"/>
            </w:tcBorders>
            <w:noWrap/>
            <w:tcMar>
              <w:right w:w="0" w:type="nil"/>
            </w:tcMar>
            <w:hideMark/>
          </w:tcPr>
          <w:p w14:paraId="6ACD7873" w14:textId="77777777" w:rsidR="006E51BF" w:rsidRPr="00021B0E" w:rsidRDefault="006E51BF">
            <w:pPr>
              <w:pStyle w:val="ARfintabletextright8pt"/>
            </w:pPr>
            <w:r w:rsidRPr="00021B0E">
              <w:t>(5.0)</w:t>
            </w:r>
          </w:p>
        </w:tc>
      </w:tr>
      <w:tr w:rsidR="006E51BF" w:rsidRPr="00021B0E" w14:paraId="7F2BDD70"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960" w:type="dxa"/>
            <w:tcBorders>
              <w:top w:val="single" w:sz="4" w:space="0" w:color="BFBFBF" w:themeColor="accent2"/>
              <w:bottom w:val="single" w:sz="4" w:space="0" w:color="000000" w:themeColor="text1"/>
            </w:tcBorders>
            <w:noWrap/>
            <w:hideMark/>
          </w:tcPr>
          <w:p w14:paraId="03405F86" w14:textId="77777777" w:rsidR="006E51BF" w:rsidRPr="00021B0E" w:rsidRDefault="006E51BF">
            <w:pPr>
              <w:pStyle w:val="ARfintabletext8pt"/>
            </w:pPr>
            <w:r w:rsidRPr="00021B0E">
              <w:t>Payments into the consolidated fund</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BFBFBF" w:themeColor="accent2"/>
              <w:bottom w:val="single" w:sz="4" w:space="0" w:color="000000" w:themeColor="text1"/>
            </w:tcBorders>
            <w:noWrap/>
            <w:tcMar>
              <w:right w:w="0" w:type="nil"/>
            </w:tcMar>
            <w:hideMark/>
          </w:tcPr>
          <w:p w14:paraId="579D44C9" w14:textId="77777777" w:rsidR="006E51BF" w:rsidRPr="00021B0E" w:rsidRDefault="006E51BF">
            <w:pPr>
              <w:pStyle w:val="ARfintabletextright8pt"/>
            </w:pPr>
            <w:r w:rsidRPr="00021B0E">
              <w:t>54.0</w:t>
            </w:r>
          </w:p>
        </w:tc>
        <w:tc>
          <w:tcPr>
            <w:tcW w:w="816" w:type="dxa"/>
            <w:tcBorders>
              <w:top w:val="single" w:sz="4" w:space="0" w:color="BFBFBF" w:themeColor="accent2"/>
              <w:bottom w:val="single" w:sz="4" w:space="0" w:color="000000" w:themeColor="text1"/>
            </w:tcBorders>
            <w:noWrap/>
            <w:tcMar>
              <w:right w:w="0" w:type="nil"/>
            </w:tcMar>
            <w:hideMark/>
          </w:tcPr>
          <w:p w14:paraId="4764BA33"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21B0E">
              <w:t>27.2</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BFBFBF" w:themeColor="accent2"/>
              <w:bottom w:val="single" w:sz="4" w:space="0" w:color="000000" w:themeColor="text1"/>
            </w:tcBorders>
            <w:noWrap/>
            <w:tcMar>
              <w:right w:w="0" w:type="nil"/>
            </w:tcMar>
            <w:hideMark/>
          </w:tcPr>
          <w:p w14:paraId="7E480593" w14:textId="77777777" w:rsidR="006E51BF" w:rsidRPr="00021B0E" w:rsidRDefault="006E51BF">
            <w:pPr>
              <w:pStyle w:val="ARfintabletextright8pt"/>
            </w:pPr>
            <w:r w:rsidRPr="00A931BA">
              <w:t>–</w:t>
            </w:r>
          </w:p>
        </w:tc>
        <w:tc>
          <w:tcPr>
            <w:tcW w:w="816" w:type="dxa"/>
            <w:tcBorders>
              <w:top w:val="single" w:sz="4" w:space="0" w:color="BFBFBF" w:themeColor="accent2"/>
              <w:bottom w:val="single" w:sz="4" w:space="0" w:color="000000" w:themeColor="text1"/>
            </w:tcBorders>
            <w:noWrap/>
            <w:tcMar>
              <w:right w:w="0" w:type="nil"/>
            </w:tcMar>
            <w:hideMark/>
          </w:tcPr>
          <w:p w14:paraId="2C0ACA72"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BFBFBF" w:themeColor="accent2"/>
              <w:bottom w:val="single" w:sz="4" w:space="0" w:color="000000" w:themeColor="text1"/>
            </w:tcBorders>
            <w:noWrap/>
            <w:tcMar>
              <w:right w:w="0" w:type="nil"/>
            </w:tcMar>
            <w:hideMark/>
          </w:tcPr>
          <w:p w14:paraId="35053C93" w14:textId="77777777" w:rsidR="006E51BF" w:rsidRPr="00021B0E" w:rsidRDefault="006E51BF">
            <w:pPr>
              <w:pStyle w:val="ARfintabletextright8pt"/>
            </w:pPr>
            <w:r w:rsidRPr="00021B0E">
              <w:t>0.8</w:t>
            </w:r>
          </w:p>
        </w:tc>
        <w:tc>
          <w:tcPr>
            <w:tcW w:w="816" w:type="dxa"/>
            <w:tcBorders>
              <w:top w:val="single" w:sz="4" w:space="0" w:color="BFBFBF" w:themeColor="accent2"/>
              <w:bottom w:val="single" w:sz="4" w:space="0" w:color="000000" w:themeColor="text1"/>
            </w:tcBorders>
            <w:noWrap/>
            <w:tcMar>
              <w:right w:w="0" w:type="nil"/>
            </w:tcMar>
            <w:hideMark/>
          </w:tcPr>
          <w:p w14:paraId="24F19FFB"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7" w:type="dxa"/>
            <w:tcBorders>
              <w:top w:val="single" w:sz="4" w:space="0" w:color="BFBFBF" w:themeColor="accent2"/>
              <w:bottom w:val="single" w:sz="4" w:space="0" w:color="000000" w:themeColor="text1"/>
            </w:tcBorders>
            <w:noWrap/>
            <w:tcMar>
              <w:right w:w="0" w:type="nil"/>
            </w:tcMar>
            <w:hideMark/>
          </w:tcPr>
          <w:p w14:paraId="64932C16" w14:textId="77777777" w:rsidR="006E51BF" w:rsidRPr="00021B0E" w:rsidRDefault="006E51BF">
            <w:pPr>
              <w:pStyle w:val="ARfintabletextright8pt"/>
            </w:pPr>
            <w:r>
              <w:t>–</w:t>
            </w:r>
          </w:p>
        </w:tc>
        <w:tc>
          <w:tcPr>
            <w:tcW w:w="816" w:type="dxa"/>
            <w:tcBorders>
              <w:top w:val="single" w:sz="4" w:space="0" w:color="BFBFBF" w:themeColor="accent2"/>
              <w:bottom w:val="single" w:sz="4" w:space="0" w:color="000000" w:themeColor="text1"/>
            </w:tcBorders>
            <w:noWrap/>
            <w:tcMar>
              <w:right w:w="0" w:type="nil"/>
            </w:tcMar>
            <w:hideMark/>
          </w:tcPr>
          <w:p w14:paraId="7D0F21E7"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21B0E">
              <w:t>0.5</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BFBFBF" w:themeColor="accent2"/>
              <w:bottom w:val="single" w:sz="4" w:space="0" w:color="000000" w:themeColor="text1"/>
            </w:tcBorders>
            <w:noWrap/>
            <w:tcMar>
              <w:right w:w="0" w:type="nil"/>
            </w:tcMar>
            <w:hideMark/>
          </w:tcPr>
          <w:p w14:paraId="489499EC" w14:textId="77777777" w:rsidR="006E51BF" w:rsidRPr="00021B0E" w:rsidRDefault="006E51BF">
            <w:pPr>
              <w:pStyle w:val="ARfintabletextright8pt"/>
            </w:pPr>
            <w:r>
              <w:t>–</w:t>
            </w:r>
          </w:p>
        </w:tc>
        <w:tc>
          <w:tcPr>
            <w:tcW w:w="816" w:type="dxa"/>
            <w:tcBorders>
              <w:top w:val="single" w:sz="4" w:space="0" w:color="BFBFBF" w:themeColor="accent2"/>
              <w:bottom w:val="single" w:sz="4" w:space="0" w:color="000000" w:themeColor="text1"/>
            </w:tcBorders>
            <w:noWrap/>
            <w:tcMar>
              <w:right w:w="0" w:type="nil"/>
            </w:tcMar>
            <w:hideMark/>
          </w:tcPr>
          <w:p w14:paraId="07E1C815"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A931BA">
              <w: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BFBFBF" w:themeColor="accent2"/>
              <w:bottom w:val="single" w:sz="4" w:space="0" w:color="000000" w:themeColor="text1"/>
            </w:tcBorders>
            <w:noWrap/>
            <w:tcMar>
              <w:right w:w="0" w:type="nil"/>
            </w:tcMar>
            <w:hideMark/>
          </w:tcPr>
          <w:p w14:paraId="7BC57CD5" w14:textId="77777777" w:rsidR="006E51BF" w:rsidRPr="00021B0E" w:rsidRDefault="006E51BF">
            <w:pPr>
              <w:pStyle w:val="ARfintabletextright8pt"/>
            </w:pPr>
            <w:r w:rsidRPr="00021B0E">
              <w:t>4.4</w:t>
            </w:r>
          </w:p>
        </w:tc>
        <w:tc>
          <w:tcPr>
            <w:tcW w:w="816" w:type="dxa"/>
            <w:tcBorders>
              <w:top w:val="single" w:sz="4" w:space="0" w:color="BFBFBF" w:themeColor="accent2"/>
              <w:bottom w:val="single" w:sz="4" w:space="0" w:color="000000" w:themeColor="text1"/>
            </w:tcBorders>
            <w:noWrap/>
            <w:tcMar>
              <w:right w:w="0" w:type="nil"/>
            </w:tcMar>
            <w:hideMark/>
          </w:tcPr>
          <w:p w14:paraId="6252E1DA"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7" w:type="dxa"/>
            <w:tcBorders>
              <w:top w:val="single" w:sz="4" w:space="0" w:color="BFBFBF" w:themeColor="accent2"/>
              <w:bottom w:val="single" w:sz="4" w:space="0" w:color="000000" w:themeColor="text1"/>
            </w:tcBorders>
            <w:noWrap/>
            <w:tcMar>
              <w:right w:w="0" w:type="nil"/>
            </w:tcMar>
            <w:hideMark/>
          </w:tcPr>
          <w:p w14:paraId="20AF4662" w14:textId="77777777" w:rsidR="006E51BF" w:rsidRPr="00021B0E" w:rsidRDefault="006E51BF">
            <w:pPr>
              <w:pStyle w:val="ARfintabletextright8pt"/>
            </w:pPr>
            <w:r w:rsidRPr="00021B0E">
              <w:t>86.9</w:t>
            </w:r>
          </w:p>
        </w:tc>
      </w:tr>
      <w:tr w:rsidR="006E51BF" w:rsidRPr="00021B0E" w14:paraId="4BE8E44B"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960" w:type="dxa"/>
            <w:tcBorders>
              <w:top w:val="single" w:sz="4" w:space="0" w:color="000000" w:themeColor="text1"/>
              <w:bottom w:val="single" w:sz="4" w:space="0" w:color="000000" w:themeColor="text1"/>
            </w:tcBorders>
            <w:noWrap/>
            <w:hideMark/>
          </w:tcPr>
          <w:p w14:paraId="50DB0899" w14:textId="77777777" w:rsidR="006E51BF" w:rsidRPr="00021B0E" w:rsidRDefault="006E51BF">
            <w:pPr>
              <w:pStyle w:val="ARfintabletextbold8pt"/>
            </w:pPr>
            <w:r w:rsidRPr="00021B0E">
              <w:t>Total administered expenses from transactions</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7DE5B99C" w14:textId="77777777" w:rsidR="006E51BF" w:rsidRPr="00021B0E" w:rsidRDefault="006E51BF">
            <w:pPr>
              <w:pStyle w:val="ARfintabletextboldright8pt"/>
            </w:pPr>
            <w:r w:rsidRPr="00021B0E">
              <w:t>133.3</w:t>
            </w:r>
          </w:p>
        </w:tc>
        <w:tc>
          <w:tcPr>
            <w:tcW w:w="816" w:type="dxa"/>
            <w:tcBorders>
              <w:top w:val="single" w:sz="4" w:space="0" w:color="000000" w:themeColor="text1"/>
              <w:bottom w:val="single" w:sz="4" w:space="0" w:color="000000" w:themeColor="text1"/>
            </w:tcBorders>
            <w:noWrap/>
            <w:tcMar>
              <w:right w:w="0" w:type="nil"/>
            </w:tcMar>
            <w:hideMark/>
          </w:tcPr>
          <w:p w14:paraId="710E8251"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21B0E">
              <w:t>25.1</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54AA45F3" w14:textId="77777777" w:rsidR="006E51BF" w:rsidRPr="00021B0E" w:rsidRDefault="006E51BF">
            <w:pPr>
              <w:pStyle w:val="ARfintabletextboldright8pt"/>
            </w:pPr>
            <w:r w:rsidRPr="00021B0E">
              <w:t>16.8</w:t>
            </w:r>
          </w:p>
        </w:tc>
        <w:tc>
          <w:tcPr>
            <w:tcW w:w="816" w:type="dxa"/>
            <w:tcBorders>
              <w:top w:val="single" w:sz="4" w:space="0" w:color="000000" w:themeColor="text1"/>
              <w:bottom w:val="single" w:sz="4" w:space="0" w:color="000000" w:themeColor="text1"/>
            </w:tcBorders>
            <w:noWrap/>
            <w:tcMar>
              <w:right w:w="0" w:type="nil"/>
            </w:tcMar>
            <w:hideMark/>
          </w:tcPr>
          <w:p w14:paraId="234A641B"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77EF17B4" w14:textId="77777777" w:rsidR="006E51BF" w:rsidRPr="00021B0E" w:rsidRDefault="006E51BF">
            <w:pPr>
              <w:pStyle w:val="ARfintabletextboldright8pt"/>
            </w:pPr>
            <w:r w:rsidRPr="00021B0E">
              <w:t>0.8</w:t>
            </w:r>
          </w:p>
        </w:tc>
        <w:tc>
          <w:tcPr>
            <w:tcW w:w="816" w:type="dxa"/>
            <w:tcBorders>
              <w:top w:val="single" w:sz="4" w:space="0" w:color="000000" w:themeColor="text1"/>
              <w:bottom w:val="single" w:sz="4" w:space="0" w:color="000000" w:themeColor="text1"/>
            </w:tcBorders>
            <w:noWrap/>
            <w:tcMar>
              <w:right w:w="0" w:type="nil"/>
            </w:tcMar>
            <w:hideMark/>
          </w:tcPr>
          <w:p w14:paraId="2A6D4190"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7" w:type="dxa"/>
            <w:tcBorders>
              <w:top w:val="single" w:sz="4" w:space="0" w:color="000000" w:themeColor="text1"/>
              <w:bottom w:val="single" w:sz="4" w:space="0" w:color="000000" w:themeColor="text1"/>
            </w:tcBorders>
            <w:noWrap/>
            <w:tcMar>
              <w:right w:w="0" w:type="nil"/>
            </w:tcMar>
            <w:hideMark/>
          </w:tcPr>
          <w:p w14:paraId="3C78FDD1" w14:textId="77777777" w:rsidR="006E51BF" w:rsidRPr="00021B0E" w:rsidRDefault="006E51BF">
            <w:pPr>
              <w:pStyle w:val="ARfintabletextboldright8pt"/>
            </w:pPr>
            <w:r>
              <w:t>–</w:t>
            </w:r>
          </w:p>
        </w:tc>
        <w:tc>
          <w:tcPr>
            <w:tcW w:w="816" w:type="dxa"/>
            <w:tcBorders>
              <w:top w:val="single" w:sz="4" w:space="0" w:color="000000" w:themeColor="text1"/>
              <w:bottom w:val="single" w:sz="4" w:space="0" w:color="000000" w:themeColor="text1"/>
            </w:tcBorders>
            <w:noWrap/>
            <w:tcMar>
              <w:right w:w="0" w:type="nil"/>
            </w:tcMar>
            <w:hideMark/>
          </w:tcPr>
          <w:p w14:paraId="08ADFFDD"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21B0E">
              <w:t>0.5</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163D78F6" w14:textId="77777777" w:rsidR="006E51BF" w:rsidRPr="00021B0E" w:rsidRDefault="006E51BF">
            <w:pPr>
              <w:pStyle w:val="ARfintabletextboldright8pt"/>
            </w:pPr>
            <w:r>
              <w:t>–</w:t>
            </w:r>
          </w:p>
        </w:tc>
        <w:tc>
          <w:tcPr>
            <w:tcW w:w="816" w:type="dxa"/>
            <w:tcBorders>
              <w:top w:val="single" w:sz="4" w:space="0" w:color="000000" w:themeColor="text1"/>
              <w:bottom w:val="single" w:sz="4" w:space="0" w:color="000000" w:themeColor="text1"/>
            </w:tcBorders>
            <w:noWrap/>
            <w:tcMar>
              <w:right w:w="0" w:type="nil"/>
            </w:tcMar>
            <w:hideMark/>
          </w:tcPr>
          <w:p w14:paraId="4F562745"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A931BA">
              <w: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372D5ADB" w14:textId="77777777" w:rsidR="006E51BF" w:rsidRPr="00021B0E" w:rsidRDefault="006E51BF">
            <w:pPr>
              <w:pStyle w:val="ARfintabletextboldright8pt"/>
            </w:pPr>
            <w:r w:rsidRPr="00021B0E">
              <w:t>1.4</w:t>
            </w:r>
          </w:p>
        </w:tc>
        <w:tc>
          <w:tcPr>
            <w:tcW w:w="816" w:type="dxa"/>
            <w:tcBorders>
              <w:top w:val="single" w:sz="4" w:space="0" w:color="000000" w:themeColor="text1"/>
              <w:bottom w:val="single" w:sz="4" w:space="0" w:color="000000" w:themeColor="text1"/>
            </w:tcBorders>
            <w:noWrap/>
            <w:tcMar>
              <w:right w:w="0" w:type="nil"/>
            </w:tcMar>
            <w:hideMark/>
          </w:tcPr>
          <w:p w14:paraId="620366C3"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21B0E">
              <w:t>3,003.2</w:t>
            </w:r>
          </w:p>
        </w:tc>
        <w:tc>
          <w:tcPr>
            <w:cnfStyle w:val="000001000000" w:firstRow="0" w:lastRow="0" w:firstColumn="0" w:lastColumn="0" w:oddVBand="0" w:evenVBand="1" w:oddHBand="0" w:evenHBand="0" w:firstRowFirstColumn="0" w:firstRowLastColumn="0" w:lastRowFirstColumn="0" w:lastRowLastColumn="0"/>
            <w:tcW w:w="817" w:type="dxa"/>
            <w:tcBorders>
              <w:top w:val="single" w:sz="4" w:space="0" w:color="000000" w:themeColor="text1"/>
              <w:bottom w:val="single" w:sz="4" w:space="0" w:color="000000" w:themeColor="text1"/>
            </w:tcBorders>
            <w:noWrap/>
            <w:tcMar>
              <w:right w:w="0" w:type="nil"/>
            </w:tcMar>
            <w:hideMark/>
          </w:tcPr>
          <w:p w14:paraId="378A3390" w14:textId="77777777" w:rsidR="006E51BF" w:rsidRPr="00021B0E" w:rsidRDefault="006E51BF">
            <w:pPr>
              <w:pStyle w:val="ARfintabletextboldright8pt"/>
            </w:pPr>
            <w:r w:rsidRPr="00021B0E">
              <w:t>3,181.1</w:t>
            </w:r>
          </w:p>
        </w:tc>
      </w:tr>
      <w:tr w:rsidR="006E51BF" w:rsidRPr="00021B0E" w14:paraId="2231A25D"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960" w:type="dxa"/>
            <w:tcBorders>
              <w:top w:val="single" w:sz="4" w:space="0" w:color="000000" w:themeColor="text1"/>
              <w:bottom w:val="single" w:sz="4" w:space="0" w:color="000000" w:themeColor="text1"/>
            </w:tcBorders>
            <w:noWrap/>
            <w:hideMark/>
          </w:tcPr>
          <w:p w14:paraId="408AE7F0" w14:textId="77777777" w:rsidR="006E51BF" w:rsidRPr="00021B0E" w:rsidRDefault="006E51BF">
            <w:pPr>
              <w:pStyle w:val="ARfintabletextbold8pt"/>
            </w:pPr>
            <w:r w:rsidRPr="00021B0E">
              <w:t>Total administered net result from transactions</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2BF0C219" w14:textId="77777777" w:rsidR="006E51BF" w:rsidRPr="00021B0E" w:rsidRDefault="006E51BF">
            <w:pPr>
              <w:pStyle w:val="ARfintabletextboldright8pt"/>
            </w:pPr>
            <w:r w:rsidRPr="00021B0E">
              <w:t>(0.2)</w:t>
            </w:r>
          </w:p>
        </w:tc>
        <w:tc>
          <w:tcPr>
            <w:tcW w:w="816" w:type="dxa"/>
            <w:tcBorders>
              <w:top w:val="single" w:sz="4" w:space="0" w:color="000000" w:themeColor="text1"/>
              <w:bottom w:val="single" w:sz="4" w:space="0" w:color="000000" w:themeColor="text1"/>
            </w:tcBorders>
            <w:noWrap/>
            <w:tcMar>
              <w:right w:w="0" w:type="nil"/>
            </w:tcMar>
            <w:hideMark/>
          </w:tcPr>
          <w:p w14:paraId="4E52FFBD" w14:textId="77777777" w:rsidR="006E51BF" w:rsidRPr="00021B0E"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021B0E">
              <w:t>0.5</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6129DA83" w14:textId="77777777" w:rsidR="006E51BF" w:rsidRPr="00021B0E" w:rsidRDefault="006E51BF">
            <w:pPr>
              <w:pStyle w:val="ARfintabletextboldright8pt"/>
            </w:pPr>
            <w:r w:rsidRPr="00A931BA">
              <w:t>–</w:t>
            </w:r>
          </w:p>
        </w:tc>
        <w:tc>
          <w:tcPr>
            <w:tcW w:w="816" w:type="dxa"/>
            <w:tcBorders>
              <w:top w:val="single" w:sz="4" w:space="0" w:color="000000" w:themeColor="text1"/>
              <w:bottom w:val="single" w:sz="4" w:space="0" w:color="000000" w:themeColor="text1"/>
            </w:tcBorders>
            <w:noWrap/>
            <w:tcMar>
              <w:right w:w="0" w:type="nil"/>
            </w:tcMar>
            <w:hideMark/>
          </w:tcPr>
          <w:p w14:paraId="1DB0C02A" w14:textId="77777777" w:rsidR="006E51BF" w:rsidRPr="00021B0E"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20C8C64E" w14:textId="77777777" w:rsidR="006E51BF" w:rsidRPr="00021B0E" w:rsidRDefault="006E51BF">
            <w:pPr>
              <w:pStyle w:val="ARfintabletextboldright8pt"/>
            </w:pPr>
            <w:r w:rsidRPr="00A931BA">
              <w:t>–</w:t>
            </w:r>
          </w:p>
        </w:tc>
        <w:tc>
          <w:tcPr>
            <w:tcW w:w="816" w:type="dxa"/>
            <w:tcBorders>
              <w:top w:val="single" w:sz="4" w:space="0" w:color="000000" w:themeColor="text1"/>
              <w:bottom w:val="single" w:sz="4" w:space="0" w:color="000000" w:themeColor="text1"/>
            </w:tcBorders>
            <w:noWrap/>
            <w:tcMar>
              <w:right w:w="0" w:type="nil"/>
            </w:tcMar>
            <w:hideMark/>
          </w:tcPr>
          <w:p w14:paraId="516C56E8" w14:textId="77777777" w:rsidR="006E51BF" w:rsidRPr="00021B0E"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7" w:type="dxa"/>
            <w:tcBorders>
              <w:top w:val="single" w:sz="4" w:space="0" w:color="000000" w:themeColor="text1"/>
              <w:bottom w:val="single" w:sz="4" w:space="0" w:color="000000" w:themeColor="text1"/>
            </w:tcBorders>
            <w:noWrap/>
            <w:tcMar>
              <w:right w:w="0" w:type="nil"/>
            </w:tcMar>
            <w:hideMark/>
          </w:tcPr>
          <w:p w14:paraId="444EE171" w14:textId="77777777" w:rsidR="006E51BF" w:rsidRPr="00021B0E" w:rsidRDefault="006E51BF">
            <w:pPr>
              <w:pStyle w:val="ARfintabletextboldright8pt"/>
            </w:pPr>
            <w:r>
              <w:t>–</w:t>
            </w:r>
          </w:p>
        </w:tc>
        <w:tc>
          <w:tcPr>
            <w:tcW w:w="816" w:type="dxa"/>
            <w:tcBorders>
              <w:top w:val="single" w:sz="4" w:space="0" w:color="000000" w:themeColor="text1"/>
              <w:bottom w:val="single" w:sz="4" w:space="0" w:color="000000" w:themeColor="text1"/>
            </w:tcBorders>
            <w:noWrap/>
            <w:tcMar>
              <w:right w:w="0" w:type="nil"/>
            </w:tcMar>
            <w:hideMark/>
          </w:tcPr>
          <w:p w14:paraId="212B79C1" w14:textId="77777777" w:rsidR="006E51BF" w:rsidRPr="00021B0E"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1BEAA274" w14:textId="77777777" w:rsidR="006E51BF" w:rsidRPr="00021B0E" w:rsidRDefault="006E51BF">
            <w:pPr>
              <w:pStyle w:val="ARfintabletextboldright8pt"/>
            </w:pPr>
            <w:r>
              <w:t>–</w:t>
            </w:r>
          </w:p>
        </w:tc>
        <w:tc>
          <w:tcPr>
            <w:tcW w:w="816" w:type="dxa"/>
            <w:tcBorders>
              <w:top w:val="single" w:sz="4" w:space="0" w:color="000000" w:themeColor="text1"/>
              <w:bottom w:val="single" w:sz="4" w:space="0" w:color="000000" w:themeColor="text1"/>
            </w:tcBorders>
            <w:noWrap/>
            <w:tcMar>
              <w:right w:w="0" w:type="nil"/>
            </w:tcMar>
            <w:hideMark/>
          </w:tcPr>
          <w:p w14:paraId="1366FE9B" w14:textId="77777777" w:rsidR="006E51BF" w:rsidRPr="00021B0E"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71423834" w14:textId="77777777" w:rsidR="006E51BF" w:rsidRPr="00021B0E" w:rsidRDefault="006E51BF">
            <w:pPr>
              <w:pStyle w:val="ARfintabletextboldright8pt"/>
            </w:pPr>
            <w:r>
              <w:t>–</w:t>
            </w:r>
          </w:p>
        </w:tc>
        <w:tc>
          <w:tcPr>
            <w:tcW w:w="816" w:type="dxa"/>
            <w:tcBorders>
              <w:top w:val="single" w:sz="4" w:space="0" w:color="000000" w:themeColor="text1"/>
              <w:bottom w:val="single" w:sz="4" w:space="0" w:color="000000" w:themeColor="text1"/>
            </w:tcBorders>
            <w:noWrap/>
            <w:tcMar>
              <w:right w:w="0" w:type="nil"/>
            </w:tcMar>
            <w:hideMark/>
          </w:tcPr>
          <w:p w14:paraId="14731010" w14:textId="77777777" w:rsidR="006E51BF" w:rsidRPr="00021B0E"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7" w:type="dxa"/>
            <w:tcBorders>
              <w:top w:val="single" w:sz="4" w:space="0" w:color="000000" w:themeColor="text1"/>
              <w:bottom w:val="single" w:sz="4" w:space="0" w:color="000000" w:themeColor="text1"/>
            </w:tcBorders>
            <w:noWrap/>
            <w:tcMar>
              <w:right w:w="0" w:type="nil"/>
            </w:tcMar>
            <w:hideMark/>
          </w:tcPr>
          <w:p w14:paraId="1D3C0251" w14:textId="77777777" w:rsidR="006E51BF" w:rsidRPr="00021B0E" w:rsidRDefault="006E51BF">
            <w:pPr>
              <w:pStyle w:val="ARfintabletextboldright8pt"/>
            </w:pPr>
            <w:r w:rsidRPr="00021B0E">
              <w:t>0.3</w:t>
            </w:r>
          </w:p>
        </w:tc>
      </w:tr>
      <w:tr w:rsidR="006E51BF" w:rsidRPr="00021B0E" w14:paraId="0BC7E9DA"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960" w:type="dxa"/>
            <w:tcBorders>
              <w:top w:val="single" w:sz="4" w:space="0" w:color="000000" w:themeColor="text1"/>
              <w:bottom w:val="single" w:sz="4" w:space="0" w:color="BFBFBF" w:themeColor="accent2"/>
            </w:tcBorders>
            <w:noWrap/>
            <w:hideMark/>
          </w:tcPr>
          <w:p w14:paraId="652E8174" w14:textId="77777777" w:rsidR="006E51BF" w:rsidRPr="00021B0E" w:rsidRDefault="006E51BF">
            <w:pPr>
              <w:pStyle w:val="Arfintabletextboldcoloured8pt"/>
            </w:pPr>
            <w:r w:rsidRPr="00021B0E">
              <w:t>Administered other economic flows included in net result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BFBFBF" w:themeColor="accent2"/>
            </w:tcBorders>
            <w:shd w:val="clear" w:color="auto" w:fill="auto"/>
            <w:noWrap/>
            <w:tcMar>
              <w:right w:w="0" w:type="nil"/>
            </w:tcMar>
            <w:hideMark/>
          </w:tcPr>
          <w:p w14:paraId="44293DC5" w14:textId="77777777" w:rsidR="006E51BF" w:rsidRPr="00021B0E" w:rsidRDefault="006E51BF">
            <w:pPr>
              <w:pStyle w:val="ARfintabletextright8pt"/>
            </w:pPr>
          </w:p>
        </w:tc>
        <w:tc>
          <w:tcPr>
            <w:tcW w:w="816" w:type="dxa"/>
            <w:tcBorders>
              <w:top w:val="single" w:sz="4" w:space="0" w:color="000000" w:themeColor="text1"/>
              <w:bottom w:val="single" w:sz="4" w:space="0" w:color="BFBFBF" w:themeColor="accent2"/>
            </w:tcBorders>
            <w:noWrap/>
            <w:tcMar>
              <w:right w:w="0" w:type="nil"/>
            </w:tcMar>
            <w:hideMark/>
          </w:tcPr>
          <w:p w14:paraId="7D33875A"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BFBFBF" w:themeColor="accent2"/>
            </w:tcBorders>
            <w:shd w:val="clear" w:color="auto" w:fill="auto"/>
            <w:noWrap/>
            <w:tcMar>
              <w:right w:w="0" w:type="nil"/>
            </w:tcMar>
            <w:hideMark/>
          </w:tcPr>
          <w:p w14:paraId="3CDC9144" w14:textId="77777777" w:rsidR="006E51BF" w:rsidRPr="00021B0E" w:rsidRDefault="006E51BF">
            <w:pPr>
              <w:pStyle w:val="ARfintabletextright8pt"/>
            </w:pPr>
          </w:p>
        </w:tc>
        <w:tc>
          <w:tcPr>
            <w:tcW w:w="816" w:type="dxa"/>
            <w:tcBorders>
              <w:top w:val="single" w:sz="4" w:space="0" w:color="000000" w:themeColor="text1"/>
              <w:bottom w:val="single" w:sz="4" w:space="0" w:color="BFBFBF" w:themeColor="accent2"/>
            </w:tcBorders>
            <w:noWrap/>
            <w:tcMar>
              <w:right w:w="0" w:type="nil"/>
            </w:tcMar>
            <w:hideMark/>
          </w:tcPr>
          <w:p w14:paraId="74BDA40F"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BFBFBF" w:themeColor="accent2"/>
            </w:tcBorders>
            <w:shd w:val="clear" w:color="auto" w:fill="auto"/>
            <w:noWrap/>
            <w:tcMar>
              <w:right w:w="0" w:type="nil"/>
            </w:tcMar>
            <w:hideMark/>
          </w:tcPr>
          <w:p w14:paraId="2A4BC2CB" w14:textId="77777777" w:rsidR="006E51BF" w:rsidRPr="00021B0E" w:rsidRDefault="006E51BF">
            <w:pPr>
              <w:pStyle w:val="ARfintabletextright8pt"/>
            </w:pPr>
          </w:p>
        </w:tc>
        <w:tc>
          <w:tcPr>
            <w:tcW w:w="816" w:type="dxa"/>
            <w:tcBorders>
              <w:top w:val="single" w:sz="4" w:space="0" w:color="000000" w:themeColor="text1"/>
              <w:bottom w:val="single" w:sz="4" w:space="0" w:color="BFBFBF" w:themeColor="accent2"/>
            </w:tcBorders>
            <w:noWrap/>
            <w:tcMar>
              <w:right w:w="0" w:type="nil"/>
            </w:tcMar>
            <w:hideMark/>
          </w:tcPr>
          <w:p w14:paraId="377CBC97"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17" w:type="dxa"/>
            <w:tcBorders>
              <w:top w:val="single" w:sz="4" w:space="0" w:color="000000" w:themeColor="text1"/>
              <w:bottom w:val="single" w:sz="4" w:space="0" w:color="BFBFBF" w:themeColor="accent2"/>
            </w:tcBorders>
            <w:shd w:val="clear" w:color="auto" w:fill="auto"/>
            <w:noWrap/>
            <w:tcMar>
              <w:right w:w="0" w:type="nil"/>
            </w:tcMar>
            <w:hideMark/>
          </w:tcPr>
          <w:p w14:paraId="475BB456" w14:textId="77777777" w:rsidR="006E51BF" w:rsidRPr="00021B0E" w:rsidRDefault="006E51BF">
            <w:pPr>
              <w:pStyle w:val="ARfintabletextright8pt"/>
            </w:pPr>
          </w:p>
        </w:tc>
        <w:tc>
          <w:tcPr>
            <w:tcW w:w="816" w:type="dxa"/>
            <w:tcBorders>
              <w:top w:val="single" w:sz="4" w:space="0" w:color="000000" w:themeColor="text1"/>
              <w:bottom w:val="single" w:sz="4" w:space="0" w:color="BFBFBF" w:themeColor="accent2"/>
            </w:tcBorders>
            <w:noWrap/>
            <w:tcMar>
              <w:right w:w="0" w:type="nil"/>
            </w:tcMar>
            <w:hideMark/>
          </w:tcPr>
          <w:p w14:paraId="24222C06"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BFBFBF" w:themeColor="accent2"/>
            </w:tcBorders>
            <w:shd w:val="clear" w:color="auto" w:fill="auto"/>
            <w:noWrap/>
            <w:tcMar>
              <w:right w:w="0" w:type="nil"/>
            </w:tcMar>
            <w:hideMark/>
          </w:tcPr>
          <w:p w14:paraId="4DFFA16B" w14:textId="77777777" w:rsidR="006E51BF" w:rsidRPr="00021B0E" w:rsidRDefault="006E51BF">
            <w:pPr>
              <w:pStyle w:val="ARfintabletextright8pt"/>
            </w:pPr>
          </w:p>
        </w:tc>
        <w:tc>
          <w:tcPr>
            <w:tcW w:w="816" w:type="dxa"/>
            <w:tcBorders>
              <w:top w:val="single" w:sz="4" w:space="0" w:color="000000" w:themeColor="text1"/>
              <w:bottom w:val="single" w:sz="4" w:space="0" w:color="BFBFBF" w:themeColor="accent2"/>
            </w:tcBorders>
            <w:noWrap/>
            <w:tcMar>
              <w:right w:w="0" w:type="nil"/>
            </w:tcMar>
            <w:hideMark/>
          </w:tcPr>
          <w:p w14:paraId="62E06B66"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BFBFBF" w:themeColor="accent2"/>
            </w:tcBorders>
            <w:shd w:val="clear" w:color="auto" w:fill="auto"/>
            <w:noWrap/>
            <w:tcMar>
              <w:right w:w="0" w:type="nil"/>
            </w:tcMar>
            <w:hideMark/>
          </w:tcPr>
          <w:p w14:paraId="5685069D" w14:textId="77777777" w:rsidR="006E51BF" w:rsidRPr="00021B0E" w:rsidRDefault="006E51BF">
            <w:pPr>
              <w:pStyle w:val="ARfintabletextright8pt"/>
            </w:pPr>
          </w:p>
        </w:tc>
        <w:tc>
          <w:tcPr>
            <w:tcW w:w="816" w:type="dxa"/>
            <w:tcBorders>
              <w:top w:val="single" w:sz="4" w:space="0" w:color="000000" w:themeColor="text1"/>
              <w:bottom w:val="single" w:sz="4" w:space="0" w:color="BFBFBF" w:themeColor="accent2"/>
            </w:tcBorders>
            <w:noWrap/>
            <w:tcMar>
              <w:right w:w="0" w:type="nil"/>
            </w:tcMar>
            <w:hideMark/>
          </w:tcPr>
          <w:p w14:paraId="485B97B7"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17" w:type="dxa"/>
            <w:tcBorders>
              <w:top w:val="single" w:sz="4" w:space="0" w:color="000000" w:themeColor="text1"/>
              <w:bottom w:val="single" w:sz="4" w:space="0" w:color="BFBFBF" w:themeColor="accent2"/>
            </w:tcBorders>
            <w:shd w:val="clear" w:color="auto" w:fill="auto"/>
            <w:noWrap/>
            <w:tcMar>
              <w:right w:w="0" w:type="nil"/>
            </w:tcMar>
            <w:hideMark/>
          </w:tcPr>
          <w:p w14:paraId="7CD829C8" w14:textId="77777777" w:rsidR="006E51BF" w:rsidRPr="00021B0E" w:rsidRDefault="006E51BF">
            <w:pPr>
              <w:pStyle w:val="ARfintabletextright8pt"/>
            </w:pPr>
          </w:p>
        </w:tc>
      </w:tr>
      <w:tr w:rsidR="006E51BF" w:rsidRPr="00021B0E" w14:paraId="6A0FA2E7"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960" w:type="dxa"/>
            <w:tcBorders>
              <w:top w:val="single" w:sz="4" w:space="0" w:color="BFBFBF" w:themeColor="accent2"/>
              <w:bottom w:val="single" w:sz="4" w:space="0" w:color="000000" w:themeColor="text1"/>
            </w:tcBorders>
            <w:noWrap/>
            <w:hideMark/>
          </w:tcPr>
          <w:p w14:paraId="0F62FDFB" w14:textId="77777777" w:rsidR="006E51BF" w:rsidRPr="00021B0E" w:rsidRDefault="006E51BF">
            <w:pPr>
              <w:pStyle w:val="ARfintabletext8pt"/>
            </w:pPr>
            <w:r w:rsidRPr="00021B0E">
              <w:t>Net gain/(loss) on non-financial assets</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BFBFBF" w:themeColor="accent2"/>
              <w:bottom w:val="single" w:sz="4" w:space="0" w:color="000000" w:themeColor="text1"/>
            </w:tcBorders>
            <w:noWrap/>
            <w:tcMar>
              <w:right w:w="0" w:type="nil"/>
            </w:tcMar>
            <w:hideMark/>
          </w:tcPr>
          <w:p w14:paraId="63B638FC" w14:textId="77777777" w:rsidR="006E51BF" w:rsidRPr="00021B0E" w:rsidRDefault="006E51BF">
            <w:pPr>
              <w:pStyle w:val="ARfintabletextright8pt"/>
            </w:pPr>
            <w:r>
              <w:t>–</w:t>
            </w:r>
          </w:p>
        </w:tc>
        <w:tc>
          <w:tcPr>
            <w:tcW w:w="816" w:type="dxa"/>
            <w:tcBorders>
              <w:top w:val="single" w:sz="4" w:space="0" w:color="BFBFBF" w:themeColor="accent2"/>
              <w:bottom w:val="single" w:sz="4" w:space="0" w:color="000000" w:themeColor="text1"/>
            </w:tcBorders>
            <w:noWrap/>
            <w:tcMar>
              <w:right w:w="0" w:type="nil"/>
            </w:tcMar>
            <w:hideMark/>
          </w:tcPr>
          <w:p w14:paraId="60B4FB3B"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BFBFBF" w:themeColor="accent2"/>
              <w:bottom w:val="single" w:sz="4" w:space="0" w:color="000000" w:themeColor="text1"/>
            </w:tcBorders>
            <w:noWrap/>
            <w:tcMar>
              <w:right w:w="0" w:type="nil"/>
            </w:tcMar>
            <w:hideMark/>
          </w:tcPr>
          <w:p w14:paraId="1A16DE8D" w14:textId="77777777" w:rsidR="006E51BF" w:rsidRPr="00021B0E" w:rsidRDefault="006E51BF">
            <w:pPr>
              <w:pStyle w:val="ARfintabletextright8pt"/>
            </w:pPr>
            <w:r>
              <w:t>–</w:t>
            </w:r>
          </w:p>
        </w:tc>
        <w:tc>
          <w:tcPr>
            <w:tcW w:w="816" w:type="dxa"/>
            <w:tcBorders>
              <w:top w:val="single" w:sz="4" w:space="0" w:color="BFBFBF" w:themeColor="accent2"/>
              <w:bottom w:val="single" w:sz="4" w:space="0" w:color="000000" w:themeColor="text1"/>
            </w:tcBorders>
            <w:noWrap/>
            <w:tcMar>
              <w:right w:w="0" w:type="nil"/>
            </w:tcMar>
            <w:hideMark/>
          </w:tcPr>
          <w:p w14:paraId="7A649213"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BFBFBF" w:themeColor="accent2"/>
              <w:bottom w:val="single" w:sz="4" w:space="0" w:color="000000" w:themeColor="text1"/>
            </w:tcBorders>
            <w:noWrap/>
            <w:tcMar>
              <w:right w:w="0" w:type="nil"/>
            </w:tcMar>
            <w:hideMark/>
          </w:tcPr>
          <w:p w14:paraId="7F44CE59" w14:textId="77777777" w:rsidR="006E51BF" w:rsidRPr="00021B0E" w:rsidRDefault="006E51BF">
            <w:pPr>
              <w:pStyle w:val="ARfintabletextright8pt"/>
            </w:pPr>
            <w:r>
              <w:t>–</w:t>
            </w:r>
          </w:p>
        </w:tc>
        <w:tc>
          <w:tcPr>
            <w:tcW w:w="816" w:type="dxa"/>
            <w:tcBorders>
              <w:top w:val="single" w:sz="4" w:space="0" w:color="BFBFBF" w:themeColor="accent2"/>
              <w:bottom w:val="single" w:sz="4" w:space="0" w:color="000000" w:themeColor="text1"/>
            </w:tcBorders>
            <w:noWrap/>
            <w:tcMar>
              <w:right w:w="0" w:type="nil"/>
            </w:tcMar>
            <w:hideMark/>
          </w:tcPr>
          <w:p w14:paraId="0DAD1875"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7" w:type="dxa"/>
            <w:tcBorders>
              <w:top w:val="single" w:sz="4" w:space="0" w:color="BFBFBF" w:themeColor="accent2"/>
              <w:bottom w:val="single" w:sz="4" w:space="0" w:color="000000" w:themeColor="text1"/>
            </w:tcBorders>
            <w:noWrap/>
            <w:tcMar>
              <w:right w:w="0" w:type="nil"/>
            </w:tcMar>
            <w:hideMark/>
          </w:tcPr>
          <w:p w14:paraId="448FF82D" w14:textId="77777777" w:rsidR="006E51BF" w:rsidRPr="00021B0E" w:rsidRDefault="006E51BF">
            <w:pPr>
              <w:pStyle w:val="ARfintabletextright8pt"/>
            </w:pPr>
            <w:r>
              <w:t>–</w:t>
            </w:r>
          </w:p>
        </w:tc>
        <w:tc>
          <w:tcPr>
            <w:tcW w:w="816" w:type="dxa"/>
            <w:tcBorders>
              <w:top w:val="single" w:sz="4" w:space="0" w:color="BFBFBF" w:themeColor="accent2"/>
              <w:bottom w:val="single" w:sz="4" w:space="0" w:color="000000" w:themeColor="text1"/>
            </w:tcBorders>
            <w:noWrap/>
            <w:tcMar>
              <w:right w:w="0" w:type="nil"/>
            </w:tcMar>
            <w:hideMark/>
          </w:tcPr>
          <w:p w14:paraId="6230AE9D"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BFBFBF" w:themeColor="accent2"/>
              <w:bottom w:val="single" w:sz="4" w:space="0" w:color="000000" w:themeColor="text1"/>
            </w:tcBorders>
            <w:noWrap/>
            <w:tcMar>
              <w:right w:w="0" w:type="nil"/>
            </w:tcMar>
            <w:hideMark/>
          </w:tcPr>
          <w:p w14:paraId="00A795D4" w14:textId="77777777" w:rsidR="006E51BF" w:rsidRPr="00021B0E" w:rsidRDefault="006E51BF">
            <w:pPr>
              <w:pStyle w:val="ARfintabletextright8pt"/>
            </w:pPr>
            <w:r>
              <w:t>–</w:t>
            </w:r>
          </w:p>
        </w:tc>
        <w:tc>
          <w:tcPr>
            <w:tcW w:w="816" w:type="dxa"/>
            <w:tcBorders>
              <w:top w:val="single" w:sz="4" w:space="0" w:color="BFBFBF" w:themeColor="accent2"/>
              <w:bottom w:val="single" w:sz="4" w:space="0" w:color="000000" w:themeColor="text1"/>
            </w:tcBorders>
            <w:noWrap/>
            <w:tcMar>
              <w:right w:w="0" w:type="nil"/>
            </w:tcMar>
            <w:hideMark/>
          </w:tcPr>
          <w:p w14:paraId="382BA2DC"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BFBFBF" w:themeColor="accent2"/>
              <w:bottom w:val="single" w:sz="4" w:space="0" w:color="000000" w:themeColor="text1"/>
            </w:tcBorders>
            <w:noWrap/>
            <w:tcMar>
              <w:right w:w="0" w:type="nil"/>
            </w:tcMar>
            <w:hideMark/>
          </w:tcPr>
          <w:p w14:paraId="7D139847" w14:textId="77777777" w:rsidR="006E51BF" w:rsidRPr="00021B0E" w:rsidRDefault="006E51BF">
            <w:pPr>
              <w:pStyle w:val="ARfintabletextright8pt"/>
            </w:pPr>
            <w:r>
              <w:t>–</w:t>
            </w:r>
          </w:p>
        </w:tc>
        <w:tc>
          <w:tcPr>
            <w:tcW w:w="816" w:type="dxa"/>
            <w:tcBorders>
              <w:top w:val="single" w:sz="4" w:space="0" w:color="BFBFBF" w:themeColor="accent2"/>
              <w:bottom w:val="single" w:sz="4" w:space="0" w:color="000000" w:themeColor="text1"/>
            </w:tcBorders>
            <w:noWrap/>
            <w:tcMar>
              <w:right w:w="0" w:type="nil"/>
            </w:tcMar>
            <w:hideMark/>
          </w:tcPr>
          <w:p w14:paraId="73C5D699"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7" w:type="dxa"/>
            <w:tcBorders>
              <w:top w:val="single" w:sz="4" w:space="0" w:color="BFBFBF" w:themeColor="accent2"/>
              <w:bottom w:val="single" w:sz="4" w:space="0" w:color="000000" w:themeColor="text1"/>
            </w:tcBorders>
            <w:noWrap/>
            <w:tcMar>
              <w:right w:w="0" w:type="nil"/>
            </w:tcMar>
            <w:hideMark/>
          </w:tcPr>
          <w:p w14:paraId="07C6A0B3" w14:textId="77777777" w:rsidR="006E51BF" w:rsidRPr="00021B0E" w:rsidRDefault="006E51BF">
            <w:pPr>
              <w:pStyle w:val="ARfintabletextright8pt"/>
            </w:pPr>
            <w:r>
              <w:t>–</w:t>
            </w:r>
          </w:p>
        </w:tc>
      </w:tr>
      <w:tr w:rsidR="006E51BF" w:rsidRPr="00021B0E" w14:paraId="090F1F80"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960" w:type="dxa"/>
            <w:tcBorders>
              <w:top w:val="single" w:sz="4" w:space="0" w:color="000000" w:themeColor="text1"/>
              <w:bottom w:val="single" w:sz="4" w:space="0" w:color="000000" w:themeColor="text1"/>
            </w:tcBorders>
            <w:noWrap/>
            <w:hideMark/>
          </w:tcPr>
          <w:p w14:paraId="74E97ABD" w14:textId="77777777" w:rsidR="006E51BF" w:rsidRPr="00021B0E" w:rsidRDefault="006E51BF">
            <w:pPr>
              <w:pStyle w:val="ARfintabletextbold8pt"/>
            </w:pPr>
            <w:r w:rsidRPr="00021B0E">
              <w:t>Total administered other economic flows</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3C16AA68" w14:textId="77777777" w:rsidR="006E51BF" w:rsidRPr="00021B0E" w:rsidRDefault="006E51BF">
            <w:pPr>
              <w:pStyle w:val="ARfintabletextboldright8pt"/>
            </w:pPr>
            <w:r>
              <w:t>–</w:t>
            </w:r>
          </w:p>
        </w:tc>
        <w:tc>
          <w:tcPr>
            <w:tcW w:w="816" w:type="dxa"/>
            <w:tcBorders>
              <w:top w:val="single" w:sz="4" w:space="0" w:color="000000" w:themeColor="text1"/>
              <w:bottom w:val="single" w:sz="4" w:space="0" w:color="000000" w:themeColor="text1"/>
            </w:tcBorders>
            <w:noWrap/>
            <w:tcMar>
              <w:right w:w="0" w:type="nil"/>
            </w:tcMar>
            <w:hideMark/>
          </w:tcPr>
          <w:p w14:paraId="4C943A76"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21B0E">
              <w:t>(0.5)</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6D93A32C" w14:textId="77777777" w:rsidR="006E51BF" w:rsidRPr="00021B0E" w:rsidRDefault="006E51BF">
            <w:pPr>
              <w:pStyle w:val="ARfintabletextboldright8pt"/>
            </w:pPr>
            <w:r>
              <w:t>–</w:t>
            </w:r>
          </w:p>
        </w:tc>
        <w:tc>
          <w:tcPr>
            <w:tcW w:w="816" w:type="dxa"/>
            <w:tcBorders>
              <w:top w:val="single" w:sz="4" w:space="0" w:color="000000" w:themeColor="text1"/>
              <w:bottom w:val="single" w:sz="4" w:space="0" w:color="000000" w:themeColor="text1"/>
            </w:tcBorders>
            <w:noWrap/>
            <w:tcMar>
              <w:right w:w="0" w:type="nil"/>
            </w:tcMar>
            <w:hideMark/>
          </w:tcPr>
          <w:p w14:paraId="53E7B4D0"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7B1063B4" w14:textId="77777777" w:rsidR="006E51BF" w:rsidRPr="00021B0E" w:rsidRDefault="006E51BF">
            <w:pPr>
              <w:pStyle w:val="ARfintabletextboldright8pt"/>
            </w:pPr>
            <w:r>
              <w:t>–</w:t>
            </w:r>
          </w:p>
        </w:tc>
        <w:tc>
          <w:tcPr>
            <w:tcW w:w="816" w:type="dxa"/>
            <w:tcBorders>
              <w:top w:val="single" w:sz="4" w:space="0" w:color="000000" w:themeColor="text1"/>
              <w:bottom w:val="single" w:sz="4" w:space="0" w:color="000000" w:themeColor="text1"/>
            </w:tcBorders>
            <w:noWrap/>
            <w:tcMar>
              <w:right w:w="0" w:type="nil"/>
            </w:tcMar>
            <w:hideMark/>
          </w:tcPr>
          <w:p w14:paraId="3ECDEFEB"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7" w:type="dxa"/>
            <w:tcBorders>
              <w:top w:val="single" w:sz="4" w:space="0" w:color="000000" w:themeColor="text1"/>
              <w:bottom w:val="single" w:sz="4" w:space="0" w:color="000000" w:themeColor="text1"/>
            </w:tcBorders>
            <w:noWrap/>
            <w:tcMar>
              <w:right w:w="0" w:type="nil"/>
            </w:tcMar>
            <w:hideMark/>
          </w:tcPr>
          <w:p w14:paraId="7D79EA33" w14:textId="77777777" w:rsidR="006E51BF" w:rsidRPr="00021B0E" w:rsidRDefault="006E51BF">
            <w:pPr>
              <w:pStyle w:val="ARfintabletextboldright8pt"/>
            </w:pPr>
            <w:r>
              <w:t>–</w:t>
            </w:r>
          </w:p>
        </w:tc>
        <w:tc>
          <w:tcPr>
            <w:tcW w:w="816" w:type="dxa"/>
            <w:tcBorders>
              <w:top w:val="single" w:sz="4" w:space="0" w:color="000000" w:themeColor="text1"/>
              <w:bottom w:val="single" w:sz="4" w:space="0" w:color="000000" w:themeColor="text1"/>
            </w:tcBorders>
            <w:noWrap/>
            <w:tcMar>
              <w:right w:w="0" w:type="nil"/>
            </w:tcMar>
            <w:hideMark/>
          </w:tcPr>
          <w:p w14:paraId="491AB2F1"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204FB0AD" w14:textId="77777777" w:rsidR="006E51BF" w:rsidRPr="00021B0E" w:rsidRDefault="006E51BF">
            <w:pPr>
              <w:pStyle w:val="ARfintabletextboldright8pt"/>
            </w:pPr>
            <w:r>
              <w:t>–</w:t>
            </w:r>
          </w:p>
        </w:tc>
        <w:tc>
          <w:tcPr>
            <w:tcW w:w="816" w:type="dxa"/>
            <w:tcBorders>
              <w:top w:val="single" w:sz="4" w:space="0" w:color="000000" w:themeColor="text1"/>
              <w:bottom w:val="single" w:sz="4" w:space="0" w:color="000000" w:themeColor="text1"/>
            </w:tcBorders>
            <w:noWrap/>
            <w:tcMar>
              <w:right w:w="0" w:type="nil"/>
            </w:tcMar>
            <w:hideMark/>
          </w:tcPr>
          <w:p w14:paraId="2C39B09E"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000000" w:themeColor="text1"/>
              <w:bottom w:val="single" w:sz="4" w:space="0" w:color="000000" w:themeColor="text1"/>
            </w:tcBorders>
            <w:noWrap/>
            <w:tcMar>
              <w:right w:w="0" w:type="nil"/>
            </w:tcMar>
            <w:hideMark/>
          </w:tcPr>
          <w:p w14:paraId="3C397A16" w14:textId="77777777" w:rsidR="006E51BF" w:rsidRPr="00021B0E" w:rsidRDefault="006E51BF">
            <w:pPr>
              <w:pStyle w:val="ARfintabletextboldright8pt"/>
            </w:pPr>
            <w:r>
              <w:t>–</w:t>
            </w:r>
          </w:p>
        </w:tc>
        <w:tc>
          <w:tcPr>
            <w:tcW w:w="816" w:type="dxa"/>
            <w:tcBorders>
              <w:top w:val="single" w:sz="4" w:space="0" w:color="000000" w:themeColor="text1"/>
              <w:bottom w:val="single" w:sz="4" w:space="0" w:color="000000" w:themeColor="text1"/>
            </w:tcBorders>
            <w:noWrap/>
            <w:tcMar>
              <w:right w:w="0" w:type="nil"/>
            </w:tcMar>
            <w:hideMark/>
          </w:tcPr>
          <w:p w14:paraId="040D6BEC"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7" w:type="dxa"/>
            <w:tcBorders>
              <w:top w:val="single" w:sz="4" w:space="0" w:color="000000" w:themeColor="text1"/>
              <w:bottom w:val="single" w:sz="4" w:space="0" w:color="000000" w:themeColor="text1"/>
            </w:tcBorders>
            <w:noWrap/>
            <w:tcMar>
              <w:right w:w="0" w:type="nil"/>
            </w:tcMar>
            <w:hideMark/>
          </w:tcPr>
          <w:p w14:paraId="11F1EC9E" w14:textId="77777777" w:rsidR="006E51BF" w:rsidRPr="00021B0E" w:rsidRDefault="006E51BF">
            <w:pPr>
              <w:pStyle w:val="ARfintabletextboldright8pt"/>
            </w:pPr>
            <w:r w:rsidRPr="00021B0E">
              <w:t>(0.5)</w:t>
            </w:r>
          </w:p>
        </w:tc>
      </w:tr>
      <w:tr w:rsidR="006E51BF" w:rsidRPr="00021B0E" w14:paraId="23CAD6F5" w14:textId="77777777" w:rsidTr="00785A35">
        <w:trPr>
          <w:cnfStyle w:val="010000000000" w:firstRow="0" w:lastRow="1" w:firstColumn="0" w:lastColumn="0" w:oddVBand="0" w:evenVBand="0" w:oddHBand="0" w:evenHBand="0" w:firstRowFirstColumn="0" w:firstRowLastColumn="0" w:lastRowFirstColumn="0" w:lastRowLastColumn="0"/>
          <w:trHeight w:val="20"/>
        </w:trPr>
        <w:tc>
          <w:tcPr>
            <w:tcW w:w="3960" w:type="dxa"/>
            <w:noWrap/>
            <w:hideMark/>
          </w:tcPr>
          <w:p w14:paraId="24382A86" w14:textId="77777777" w:rsidR="006E51BF" w:rsidRPr="00021B0E" w:rsidRDefault="006E51BF">
            <w:pPr>
              <w:pStyle w:val="ARfintabletextbold8pt"/>
            </w:pPr>
            <w:r w:rsidRPr="00021B0E">
              <w:t>Administered net result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19C412ED" w14:textId="77777777" w:rsidR="006E51BF" w:rsidRPr="00021B0E" w:rsidRDefault="006E51BF">
            <w:pPr>
              <w:pStyle w:val="ARfintabletextboldright8pt"/>
            </w:pPr>
            <w:r w:rsidRPr="00021B0E">
              <w:t>(0.2)</w:t>
            </w:r>
          </w:p>
        </w:tc>
        <w:tc>
          <w:tcPr>
            <w:tcW w:w="816" w:type="dxa"/>
            <w:noWrap/>
            <w:tcMar>
              <w:right w:w="0" w:type="nil"/>
            </w:tcMar>
            <w:hideMark/>
          </w:tcPr>
          <w:p w14:paraId="1216C313" w14:textId="77777777" w:rsidR="006E51BF" w:rsidRPr="00021B0E"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A931BA">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0E46737E" w14:textId="77777777" w:rsidR="006E51BF" w:rsidRPr="00021B0E" w:rsidRDefault="006E51BF">
            <w:pPr>
              <w:pStyle w:val="ARfintabletextboldright8pt"/>
            </w:pPr>
            <w:r w:rsidRPr="00A931BA">
              <w:t>–</w:t>
            </w:r>
          </w:p>
        </w:tc>
        <w:tc>
          <w:tcPr>
            <w:tcW w:w="816" w:type="dxa"/>
            <w:noWrap/>
            <w:tcMar>
              <w:right w:w="0" w:type="nil"/>
            </w:tcMar>
            <w:hideMark/>
          </w:tcPr>
          <w:p w14:paraId="3FC9561B" w14:textId="77777777" w:rsidR="006E51BF" w:rsidRPr="00021B0E"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29F91F87" w14:textId="77777777" w:rsidR="006E51BF" w:rsidRPr="00021B0E" w:rsidRDefault="006E51BF">
            <w:pPr>
              <w:pStyle w:val="ARfintabletextboldright8pt"/>
            </w:pPr>
            <w:r w:rsidRPr="00A931BA">
              <w:t>–</w:t>
            </w:r>
          </w:p>
        </w:tc>
        <w:tc>
          <w:tcPr>
            <w:tcW w:w="816" w:type="dxa"/>
            <w:noWrap/>
            <w:tcMar>
              <w:right w:w="0" w:type="nil"/>
            </w:tcMar>
            <w:hideMark/>
          </w:tcPr>
          <w:p w14:paraId="553B5017" w14:textId="77777777" w:rsidR="006E51BF" w:rsidRPr="00021B0E"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7" w:type="dxa"/>
            <w:noWrap/>
            <w:tcMar>
              <w:right w:w="0" w:type="nil"/>
            </w:tcMar>
            <w:hideMark/>
          </w:tcPr>
          <w:p w14:paraId="5F7C5839" w14:textId="77777777" w:rsidR="006E51BF" w:rsidRPr="00021B0E" w:rsidRDefault="006E51BF">
            <w:pPr>
              <w:pStyle w:val="ARfintabletextboldright8pt"/>
            </w:pPr>
            <w:r>
              <w:t>–</w:t>
            </w:r>
          </w:p>
        </w:tc>
        <w:tc>
          <w:tcPr>
            <w:tcW w:w="816" w:type="dxa"/>
            <w:noWrap/>
            <w:tcMar>
              <w:right w:w="0" w:type="nil"/>
            </w:tcMar>
            <w:hideMark/>
          </w:tcPr>
          <w:p w14:paraId="405162B1" w14:textId="77777777" w:rsidR="006E51BF" w:rsidRPr="00021B0E"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0D43EDEE" w14:textId="77777777" w:rsidR="006E51BF" w:rsidRPr="00021B0E" w:rsidRDefault="006E51BF">
            <w:pPr>
              <w:pStyle w:val="ARfintabletextboldright8pt"/>
            </w:pPr>
            <w:r>
              <w:t>–</w:t>
            </w:r>
          </w:p>
        </w:tc>
        <w:tc>
          <w:tcPr>
            <w:tcW w:w="816" w:type="dxa"/>
            <w:noWrap/>
            <w:tcMar>
              <w:right w:w="0" w:type="nil"/>
            </w:tcMar>
            <w:hideMark/>
          </w:tcPr>
          <w:p w14:paraId="020B7DD6" w14:textId="77777777" w:rsidR="006E51BF" w:rsidRPr="00021B0E"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6" w:type="dxa"/>
            <w:noWrap/>
            <w:tcMar>
              <w:right w:w="0" w:type="nil"/>
            </w:tcMar>
            <w:hideMark/>
          </w:tcPr>
          <w:p w14:paraId="0DE71AF7" w14:textId="77777777" w:rsidR="006E51BF" w:rsidRPr="00021B0E" w:rsidRDefault="006E51BF">
            <w:pPr>
              <w:pStyle w:val="ARfintabletextboldright8pt"/>
            </w:pPr>
            <w:r>
              <w:t>–</w:t>
            </w:r>
          </w:p>
        </w:tc>
        <w:tc>
          <w:tcPr>
            <w:tcW w:w="816" w:type="dxa"/>
            <w:noWrap/>
            <w:tcMar>
              <w:right w:w="0" w:type="nil"/>
            </w:tcMar>
            <w:hideMark/>
          </w:tcPr>
          <w:p w14:paraId="76022D40" w14:textId="77777777" w:rsidR="006E51BF" w:rsidRPr="00021B0E"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17" w:type="dxa"/>
            <w:noWrap/>
            <w:tcMar>
              <w:right w:w="0" w:type="nil"/>
            </w:tcMar>
            <w:hideMark/>
          </w:tcPr>
          <w:p w14:paraId="4C8EF7F2" w14:textId="77777777" w:rsidR="006E51BF" w:rsidRPr="00021B0E" w:rsidRDefault="006E51BF">
            <w:pPr>
              <w:pStyle w:val="ARfintabletextboldright8pt"/>
            </w:pPr>
            <w:r w:rsidRPr="00021B0E">
              <w:t>(0.2)</w:t>
            </w:r>
          </w:p>
        </w:tc>
      </w:tr>
    </w:tbl>
    <w:p w14:paraId="37A538E4" w14:textId="77777777" w:rsidR="006E51BF" w:rsidRPr="00021B0E" w:rsidRDefault="006E51BF">
      <w:pPr>
        <w:pStyle w:val="ARfintablenote"/>
      </w:pPr>
      <w:r w:rsidRPr="00021B0E">
        <w:t xml:space="preserve">Notes: </w:t>
      </w:r>
    </w:p>
    <w:p w14:paraId="58844C08" w14:textId="77777777" w:rsidR="006E51BF" w:rsidRPr="00021B0E" w:rsidRDefault="006E51BF" w:rsidP="006E51BF">
      <w:pPr>
        <w:pStyle w:val="ARfintablenoteroman"/>
        <w:numPr>
          <w:ilvl w:val="0"/>
          <w:numId w:val="62"/>
        </w:numPr>
      </w:pPr>
      <w:r w:rsidRPr="00021B0E">
        <w:t xml:space="preserve">Refer to Note 4.1.1 for </w:t>
      </w:r>
      <w:r w:rsidRPr="00E83CBA">
        <w:t>output</w:t>
      </w:r>
      <w:r w:rsidRPr="00021B0E">
        <w:t xml:space="preserve"> definitions.</w:t>
      </w:r>
    </w:p>
    <w:p w14:paraId="6665BA80" w14:textId="77777777" w:rsidR="006E51BF" w:rsidRPr="00021B0E" w:rsidRDefault="006E51BF" w:rsidP="006E51BF">
      <w:pPr>
        <w:pStyle w:val="ARfintablenoteroman"/>
        <w:numPr>
          <w:ilvl w:val="0"/>
          <w:numId w:val="61"/>
        </w:numPr>
      </w:pPr>
      <w:r w:rsidRPr="00021B0E">
        <w:t>Output 12 Housing Assistance is not applicable for administered activities.</w:t>
      </w:r>
    </w:p>
    <w:p w14:paraId="67B0BA68" w14:textId="77777777" w:rsidR="006E51BF" w:rsidRPr="00021B0E" w:rsidRDefault="006E51BF" w:rsidP="006E51BF">
      <w:pPr>
        <w:pStyle w:val="ARfintablenoteroman"/>
        <w:numPr>
          <w:ilvl w:val="0"/>
          <w:numId w:val="61"/>
        </w:numPr>
        <w:spacing w:after="160" w:line="278" w:lineRule="auto"/>
      </w:pPr>
      <w:r>
        <w:t xml:space="preserve">The administered appropriations </w:t>
      </w:r>
      <w:r w:rsidRPr="00374F39">
        <w:t xml:space="preserve">and corresponding expenses represent Payments on behalf of the State (POBOS) appropriation the </w:t>
      </w:r>
      <w:r>
        <w:t>d</w:t>
      </w:r>
      <w:r w:rsidRPr="00374F39">
        <w:t xml:space="preserve">epartment accesses to administer </w:t>
      </w:r>
      <w:r>
        <w:t>the State’s</w:t>
      </w:r>
      <w:r w:rsidRPr="00374F39">
        <w:t xml:space="preserve"> contribution to the National Disability Insurance Scheme</w:t>
      </w:r>
      <w:r>
        <w:t>.</w:t>
      </w:r>
    </w:p>
    <w:tbl>
      <w:tblPr>
        <w:tblStyle w:val="ARtable1"/>
        <w:tblW w:w="0" w:type="auto"/>
        <w:tblLayout w:type="fixed"/>
        <w:tblLook w:val="00E0" w:firstRow="1" w:lastRow="1" w:firstColumn="1" w:lastColumn="0" w:noHBand="0" w:noVBand="0"/>
      </w:tblPr>
      <w:tblGrid>
        <w:gridCol w:w="3634"/>
        <w:gridCol w:w="841"/>
        <w:gridCol w:w="841"/>
        <w:gridCol w:w="841"/>
        <w:gridCol w:w="841"/>
        <w:gridCol w:w="842"/>
        <w:gridCol w:w="841"/>
        <w:gridCol w:w="841"/>
        <w:gridCol w:w="841"/>
        <w:gridCol w:w="842"/>
        <w:gridCol w:w="841"/>
        <w:gridCol w:w="841"/>
        <w:gridCol w:w="841"/>
        <w:gridCol w:w="842"/>
      </w:tblGrid>
      <w:tr w:rsidR="006E51BF" w:rsidRPr="00021B0E" w14:paraId="684640B6" w14:textId="77777777" w:rsidTr="00785A35">
        <w:trPr>
          <w:cnfStyle w:val="100000000000" w:firstRow="1" w:lastRow="0" w:firstColumn="0" w:lastColumn="0" w:oddVBand="0" w:evenVBand="0" w:oddHBand="0" w:evenHBand="0" w:firstRowFirstColumn="0" w:firstRowLastColumn="0" w:lastRowFirstColumn="0" w:lastRowLastColumn="0"/>
          <w:trHeight w:val="20"/>
          <w:tblHeader/>
        </w:trPr>
        <w:tc>
          <w:tcPr>
            <w:tcW w:w="3634" w:type="dxa"/>
            <w:noWrap/>
            <w:hideMark/>
          </w:tcPr>
          <w:p w14:paraId="01EC15EE" w14:textId="77777777" w:rsidR="006E51BF" w:rsidRPr="00E83CBA" w:rsidRDefault="006E51BF">
            <w:pPr>
              <w:pStyle w:val="ARfintablecolheadpt8"/>
            </w:pPr>
            <w:r w:rsidRPr="00E83CBA">
              <w:t xml:space="preserve">Output </w:t>
            </w:r>
            <w:r w:rsidRPr="00C02319">
              <w:rPr>
                <w:vertAlign w:val="superscript"/>
              </w:rPr>
              <w:t>(</w:t>
            </w:r>
            <w:proofErr w:type="spellStart"/>
            <w:r w:rsidRPr="00C02319">
              <w:rPr>
                <w:vertAlign w:val="superscript"/>
              </w:rPr>
              <w:t>i</w:t>
            </w:r>
            <w:proofErr w:type="spellEnd"/>
            <w:r w:rsidRPr="00C02319">
              <w:rPr>
                <w:vertAlign w:val="superscript"/>
              </w:rPr>
              <w:t>)(ii)</w:t>
            </w:r>
          </w:p>
          <w:p w14:paraId="5911FF63" w14:textId="77777777" w:rsidR="006E51BF" w:rsidRPr="00E83CBA" w:rsidRDefault="006E51BF">
            <w:pPr>
              <w:pStyle w:val="ARfintablecolheadpt8"/>
            </w:pPr>
            <w:r w:rsidRPr="00E83CBA">
              <w:t>2025</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227F4E16" w14:textId="77777777" w:rsidR="006E51BF" w:rsidRPr="00E83CBA" w:rsidRDefault="006E51BF">
            <w:pPr>
              <w:pStyle w:val="ARfintablecolheadright8pt"/>
            </w:pPr>
            <w:r w:rsidRPr="00E83CBA">
              <w:t>1</w:t>
            </w:r>
          </w:p>
          <w:p w14:paraId="08E379A9" w14:textId="77777777" w:rsidR="006E51BF" w:rsidRPr="00E83CBA" w:rsidRDefault="006E51BF">
            <w:pPr>
              <w:pStyle w:val="ARfintablecolheadright8pt"/>
            </w:pPr>
            <w:r w:rsidRPr="00E83CBA">
              <w:t>$M</w:t>
            </w:r>
          </w:p>
        </w:tc>
        <w:tc>
          <w:tcPr>
            <w:tcW w:w="841" w:type="dxa"/>
            <w:noWrap/>
            <w:tcMar>
              <w:right w:w="0" w:type="nil"/>
            </w:tcMar>
            <w:hideMark/>
          </w:tcPr>
          <w:p w14:paraId="19BF0FCE" w14:textId="77777777" w:rsidR="006E51BF" w:rsidRPr="00E83CBA"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E83CBA">
              <w:t>2</w:t>
            </w:r>
          </w:p>
          <w:p w14:paraId="51CE0948" w14:textId="77777777" w:rsidR="006E51BF" w:rsidRPr="00E83CBA"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E83CBA">
              <w:t>$M</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6846F8E1" w14:textId="77777777" w:rsidR="006E51BF" w:rsidRPr="00E83CBA" w:rsidRDefault="006E51BF">
            <w:pPr>
              <w:pStyle w:val="ARfintablecolheadright8pt"/>
            </w:pPr>
            <w:r w:rsidRPr="00E83CBA">
              <w:t>3</w:t>
            </w:r>
          </w:p>
          <w:p w14:paraId="05C6B4E5" w14:textId="77777777" w:rsidR="006E51BF" w:rsidRPr="00E83CBA" w:rsidRDefault="006E51BF">
            <w:pPr>
              <w:pStyle w:val="ARfintablecolheadright8pt"/>
            </w:pPr>
            <w:r w:rsidRPr="00E83CBA">
              <w:t>$M</w:t>
            </w:r>
          </w:p>
        </w:tc>
        <w:tc>
          <w:tcPr>
            <w:tcW w:w="841" w:type="dxa"/>
            <w:noWrap/>
            <w:tcMar>
              <w:right w:w="0" w:type="nil"/>
            </w:tcMar>
            <w:hideMark/>
          </w:tcPr>
          <w:p w14:paraId="331670E9" w14:textId="77777777" w:rsidR="006E51BF" w:rsidRPr="00E83CBA"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E83CBA">
              <w:t>4</w:t>
            </w:r>
          </w:p>
          <w:p w14:paraId="7EF66B90" w14:textId="77777777" w:rsidR="006E51BF" w:rsidRPr="00E83CBA"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E83CBA">
              <w:t>$M</w:t>
            </w:r>
          </w:p>
        </w:tc>
        <w:tc>
          <w:tcPr>
            <w:cnfStyle w:val="000001000000" w:firstRow="0" w:lastRow="0" w:firstColumn="0" w:lastColumn="0" w:oddVBand="0" w:evenVBand="1" w:oddHBand="0" w:evenHBand="0" w:firstRowFirstColumn="0" w:firstRowLastColumn="0" w:lastRowFirstColumn="0" w:lastRowLastColumn="0"/>
            <w:tcW w:w="842" w:type="dxa"/>
            <w:noWrap/>
            <w:tcMar>
              <w:right w:w="0" w:type="nil"/>
            </w:tcMar>
            <w:hideMark/>
          </w:tcPr>
          <w:p w14:paraId="4E897A1C" w14:textId="77777777" w:rsidR="006E51BF" w:rsidRPr="00E83CBA" w:rsidRDefault="006E51BF">
            <w:pPr>
              <w:pStyle w:val="ARfintablecolheadright8pt"/>
            </w:pPr>
            <w:r w:rsidRPr="00E83CBA">
              <w:t>5</w:t>
            </w:r>
          </w:p>
          <w:p w14:paraId="0B1E5553" w14:textId="77777777" w:rsidR="006E51BF" w:rsidRPr="00E83CBA" w:rsidRDefault="006E51BF">
            <w:pPr>
              <w:pStyle w:val="ARfintablecolheadright8pt"/>
            </w:pPr>
            <w:r w:rsidRPr="00E83CBA">
              <w:t>$M</w:t>
            </w:r>
          </w:p>
        </w:tc>
        <w:tc>
          <w:tcPr>
            <w:tcW w:w="841" w:type="dxa"/>
            <w:noWrap/>
            <w:tcMar>
              <w:right w:w="0" w:type="nil"/>
            </w:tcMar>
            <w:hideMark/>
          </w:tcPr>
          <w:p w14:paraId="25BBF9C4" w14:textId="77777777" w:rsidR="006E51BF" w:rsidRPr="00E83CBA"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E83CBA">
              <w:t>6</w:t>
            </w:r>
          </w:p>
          <w:p w14:paraId="376998EA" w14:textId="77777777" w:rsidR="006E51BF" w:rsidRPr="00E83CBA"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E83CBA">
              <w:t>$M</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691C1223" w14:textId="77777777" w:rsidR="006E51BF" w:rsidRPr="00E83CBA" w:rsidRDefault="006E51BF">
            <w:pPr>
              <w:pStyle w:val="ARfintablecolheadright8pt"/>
            </w:pPr>
            <w:r w:rsidRPr="00E83CBA">
              <w:t>7</w:t>
            </w:r>
          </w:p>
          <w:p w14:paraId="74F0AD57" w14:textId="77777777" w:rsidR="006E51BF" w:rsidRPr="00E83CBA" w:rsidRDefault="006E51BF">
            <w:pPr>
              <w:pStyle w:val="ARfintablecolheadright8pt"/>
            </w:pPr>
            <w:r w:rsidRPr="00E83CBA">
              <w:t>$M</w:t>
            </w:r>
          </w:p>
        </w:tc>
        <w:tc>
          <w:tcPr>
            <w:tcW w:w="841" w:type="dxa"/>
            <w:noWrap/>
            <w:tcMar>
              <w:right w:w="0" w:type="nil"/>
            </w:tcMar>
            <w:hideMark/>
          </w:tcPr>
          <w:p w14:paraId="5036E0A2" w14:textId="77777777" w:rsidR="006E51BF" w:rsidRPr="00E83CBA"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E83CBA">
              <w:t>8</w:t>
            </w:r>
          </w:p>
          <w:p w14:paraId="645494C5" w14:textId="77777777" w:rsidR="006E51BF" w:rsidRPr="00E83CBA"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E83CBA">
              <w:t>$M</w:t>
            </w:r>
          </w:p>
        </w:tc>
        <w:tc>
          <w:tcPr>
            <w:cnfStyle w:val="000001000000" w:firstRow="0" w:lastRow="0" w:firstColumn="0" w:lastColumn="0" w:oddVBand="0" w:evenVBand="1" w:oddHBand="0" w:evenHBand="0" w:firstRowFirstColumn="0" w:firstRowLastColumn="0" w:lastRowFirstColumn="0" w:lastRowLastColumn="0"/>
            <w:tcW w:w="842" w:type="dxa"/>
            <w:noWrap/>
            <w:tcMar>
              <w:right w:w="0" w:type="nil"/>
            </w:tcMar>
            <w:hideMark/>
          </w:tcPr>
          <w:p w14:paraId="1BDC3551" w14:textId="77777777" w:rsidR="006E51BF" w:rsidRPr="00E83CBA" w:rsidRDefault="006E51BF">
            <w:pPr>
              <w:pStyle w:val="ARfintablecolheadright8pt"/>
            </w:pPr>
            <w:r w:rsidRPr="00E83CBA">
              <w:t>9</w:t>
            </w:r>
          </w:p>
          <w:p w14:paraId="69F61F8B" w14:textId="77777777" w:rsidR="006E51BF" w:rsidRPr="00E83CBA" w:rsidRDefault="006E51BF">
            <w:pPr>
              <w:pStyle w:val="ARfintablecolheadright8pt"/>
            </w:pPr>
            <w:r w:rsidRPr="00E83CBA">
              <w:t>$M</w:t>
            </w:r>
          </w:p>
        </w:tc>
        <w:tc>
          <w:tcPr>
            <w:tcW w:w="841" w:type="dxa"/>
            <w:noWrap/>
            <w:tcMar>
              <w:right w:w="0" w:type="nil"/>
            </w:tcMar>
            <w:hideMark/>
          </w:tcPr>
          <w:p w14:paraId="2224FD67" w14:textId="77777777" w:rsidR="006E51BF" w:rsidRPr="00E83CBA"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E83CBA">
              <w:t>10</w:t>
            </w:r>
          </w:p>
          <w:p w14:paraId="001A0D19" w14:textId="77777777" w:rsidR="006E51BF" w:rsidRPr="00E83CBA"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E83CBA">
              <w:t>$M</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02751FCC" w14:textId="77777777" w:rsidR="006E51BF" w:rsidRPr="00E83CBA" w:rsidRDefault="006E51BF">
            <w:pPr>
              <w:pStyle w:val="ARfintablecolheadright8pt"/>
            </w:pPr>
            <w:r w:rsidRPr="00E83CBA">
              <w:t>11</w:t>
            </w:r>
          </w:p>
          <w:p w14:paraId="625192ED" w14:textId="77777777" w:rsidR="006E51BF" w:rsidRPr="00E83CBA" w:rsidRDefault="006E51BF">
            <w:pPr>
              <w:pStyle w:val="ARfintablecolheadright8pt"/>
            </w:pPr>
            <w:r w:rsidRPr="00E83CBA">
              <w:t>$M</w:t>
            </w:r>
          </w:p>
        </w:tc>
        <w:tc>
          <w:tcPr>
            <w:tcW w:w="841" w:type="dxa"/>
            <w:noWrap/>
            <w:tcMar>
              <w:right w:w="0" w:type="nil"/>
            </w:tcMar>
            <w:hideMark/>
          </w:tcPr>
          <w:p w14:paraId="6E7E70B0" w14:textId="77777777" w:rsidR="006E51BF" w:rsidRPr="00E83CBA"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E83CBA">
              <w:t>13</w:t>
            </w:r>
          </w:p>
          <w:p w14:paraId="03B611B8" w14:textId="77777777" w:rsidR="006E51BF" w:rsidRPr="00E83CBA" w:rsidRDefault="006E51BF">
            <w:pPr>
              <w:pStyle w:val="ARfintablecolheadright8pt"/>
              <w:cnfStyle w:val="100000000000" w:firstRow="1" w:lastRow="0" w:firstColumn="0" w:lastColumn="0" w:oddVBand="0" w:evenVBand="0" w:oddHBand="0" w:evenHBand="0" w:firstRowFirstColumn="0" w:firstRowLastColumn="0" w:lastRowFirstColumn="0" w:lastRowLastColumn="0"/>
            </w:pPr>
            <w:r w:rsidRPr="00E83CBA">
              <w:t>$M</w:t>
            </w:r>
            <w:r>
              <w:t xml:space="preserve"> </w:t>
            </w:r>
            <w:r w:rsidRPr="00C02319">
              <w:rPr>
                <w:vertAlign w:val="superscript"/>
              </w:rPr>
              <w:t>(iii)</w:t>
            </w:r>
          </w:p>
        </w:tc>
        <w:tc>
          <w:tcPr>
            <w:cnfStyle w:val="000001000000" w:firstRow="0" w:lastRow="0" w:firstColumn="0" w:lastColumn="0" w:oddVBand="0" w:evenVBand="1" w:oddHBand="0" w:evenHBand="0" w:firstRowFirstColumn="0" w:firstRowLastColumn="0" w:lastRowFirstColumn="0" w:lastRowLastColumn="0"/>
            <w:tcW w:w="842" w:type="dxa"/>
            <w:noWrap/>
            <w:tcMar>
              <w:right w:w="0" w:type="nil"/>
            </w:tcMar>
            <w:hideMark/>
          </w:tcPr>
          <w:p w14:paraId="7AD26408" w14:textId="77777777" w:rsidR="006E51BF" w:rsidRPr="00E83CBA" w:rsidRDefault="006E51BF">
            <w:pPr>
              <w:pStyle w:val="ARfintablecolheadright8pt"/>
            </w:pPr>
            <w:r w:rsidRPr="00E83CBA">
              <w:t>Total</w:t>
            </w:r>
          </w:p>
          <w:p w14:paraId="74547CD7" w14:textId="77777777" w:rsidR="006E51BF" w:rsidRPr="00E83CBA" w:rsidRDefault="006E51BF">
            <w:pPr>
              <w:pStyle w:val="ARfintablecolheadright8pt"/>
            </w:pPr>
            <w:r w:rsidRPr="00E83CBA">
              <w:t>$M</w:t>
            </w:r>
          </w:p>
        </w:tc>
      </w:tr>
      <w:tr w:rsidR="006E51BF" w:rsidRPr="00021B0E" w14:paraId="0A8445F2"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634" w:type="dxa"/>
            <w:noWrap/>
          </w:tcPr>
          <w:p w14:paraId="6A2D62A7" w14:textId="77777777" w:rsidR="006E51BF" w:rsidRPr="00021B0E" w:rsidRDefault="006E51BF">
            <w:pPr>
              <w:pStyle w:val="Arfintabletextboldcoloured8pt"/>
            </w:pPr>
            <w:r w:rsidRPr="00021B0E">
              <w:t>Administered income from transactions</w:t>
            </w:r>
          </w:p>
        </w:tc>
        <w:tc>
          <w:tcPr>
            <w:cnfStyle w:val="000001000000" w:firstRow="0" w:lastRow="0" w:firstColumn="0" w:lastColumn="0" w:oddVBand="0" w:evenVBand="1" w:oddHBand="0" w:evenHBand="0" w:firstRowFirstColumn="0" w:firstRowLastColumn="0" w:lastRowFirstColumn="0" w:lastRowLastColumn="0"/>
            <w:tcW w:w="841" w:type="dxa"/>
            <w:shd w:val="clear" w:color="auto" w:fill="auto"/>
            <w:noWrap/>
            <w:tcMar>
              <w:right w:w="0" w:type="nil"/>
            </w:tcMar>
          </w:tcPr>
          <w:p w14:paraId="6A2E8705" w14:textId="77777777" w:rsidR="006E51BF" w:rsidRPr="00021B0E" w:rsidRDefault="006E51BF">
            <w:pPr>
              <w:pStyle w:val="ARfintabletextright8pt"/>
            </w:pPr>
          </w:p>
        </w:tc>
        <w:tc>
          <w:tcPr>
            <w:tcW w:w="841" w:type="dxa"/>
            <w:noWrap/>
            <w:tcMar>
              <w:right w:w="0" w:type="nil"/>
            </w:tcMar>
          </w:tcPr>
          <w:p w14:paraId="15FEA94E"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41" w:type="dxa"/>
            <w:shd w:val="clear" w:color="auto" w:fill="auto"/>
            <w:noWrap/>
            <w:tcMar>
              <w:right w:w="0" w:type="nil"/>
            </w:tcMar>
          </w:tcPr>
          <w:p w14:paraId="65B1CAAF" w14:textId="77777777" w:rsidR="006E51BF" w:rsidRPr="00021B0E" w:rsidRDefault="006E51BF">
            <w:pPr>
              <w:pStyle w:val="ARfintabletextright8pt"/>
            </w:pPr>
          </w:p>
        </w:tc>
        <w:tc>
          <w:tcPr>
            <w:tcW w:w="841" w:type="dxa"/>
            <w:noWrap/>
            <w:tcMar>
              <w:right w:w="0" w:type="nil"/>
            </w:tcMar>
          </w:tcPr>
          <w:p w14:paraId="70B98200"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42" w:type="dxa"/>
            <w:shd w:val="clear" w:color="auto" w:fill="auto"/>
            <w:noWrap/>
            <w:tcMar>
              <w:right w:w="0" w:type="nil"/>
            </w:tcMar>
          </w:tcPr>
          <w:p w14:paraId="17BD1F75" w14:textId="77777777" w:rsidR="006E51BF" w:rsidRPr="00021B0E" w:rsidRDefault="006E51BF">
            <w:pPr>
              <w:pStyle w:val="ARfintabletextright8pt"/>
            </w:pPr>
          </w:p>
        </w:tc>
        <w:tc>
          <w:tcPr>
            <w:tcW w:w="841" w:type="dxa"/>
            <w:noWrap/>
            <w:tcMar>
              <w:right w:w="0" w:type="nil"/>
            </w:tcMar>
          </w:tcPr>
          <w:p w14:paraId="4D6C7CE2"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41" w:type="dxa"/>
            <w:shd w:val="clear" w:color="auto" w:fill="auto"/>
            <w:noWrap/>
            <w:tcMar>
              <w:right w:w="0" w:type="nil"/>
            </w:tcMar>
          </w:tcPr>
          <w:p w14:paraId="55FFB87A" w14:textId="77777777" w:rsidR="006E51BF" w:rsidRPr="00021B0E" w:rsidRDefault="006E51BF">
            <w:pPr>
              <w:pStyle w:val="ARfintabletextright8pt"/>
            </w:pPr>
          </w:p>
        </w:tc>
        <w:tc>
          <w:tcPr>
            <w:tcW w:w="841" w:type="dxa"/>
            <w:noWrap/>
            <w:tcMar>
              <w:right w:w="0" w:type="nil"/>
            </w:tcMar>
          </w:tcPr>
          <w:p w14:paraId="4E54FA02"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42" w:type="dxa"/>
            <w:shd w:val="clear" w:color="auto" w:fill="auto"/>
            <w:noWrap/>
            <w:tcMar>
              <w:right w:w="0" w:type="nil"/>
            </w:tcMar>
          </w:tcPr>
          <w:p w14:paraId="2D0808D4" w14:textId="77777777" w:rsidR="006E51BF" w:rsidRPr="00021B0E" w:rsidRDefault="006E51BF">
            <w:pPr>
              <w:pStyle w:val="ARfintabletextright8pt"/>
            </w:pPr>
          </w:p>
        </w:tc>
        <w:tc>
          <w:tcPr>
            <w:tcW w:w="841" w:type="dxa"/>
            <w:noWrap/>
            <w:tcMar>
              <w:right w:w="0" w:type="nil"/>
            </w:tcMar>
          </w:tcPr>
          <w:p w14:paraId="28476849"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41" w:type="dxa"/>
            <w:shd w:val="clear" w:color="auto" w:fill="auto"/>
            <w:noWrap/>
            <w:tcMar>
              <w:right w:w="0" w:type="nil"/>
            </w:tcMar>
          </w:tcPr>
          <w:p w14:paraId="567885FF" w14:textId="77777777" w:rsidR="006E51BF" w:rsidRPr="00021B0E" w:rsidRDefault="006E51BF">
            <w:pPr>
              <w:pStyle w:val="ARfintabletextright8pt"/>
            </w:pPr>
          </w:p>
        </w:tc>
        <w:tc>
          <w:tcPr>
            <w:tcW w:w="841" w:type="dxa"/>
            <w:noWrap/>
            <w:tcMar>
              <w:right w:w="0" w:type="nil"/>
            </w:tcMar>
          </w:tcPr>
          <w:p w14:paraId="68B95A6E"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42" w:type="dxa"/>
            <w:shd w:val="clear" w:color="auto" w:fill="auto"/>
            <w:noWrap/>
            <w:tcMar>
              <w:right w:w="0" w:type="nil"/>
            </w:tcMar>
          </w:tcPr>
          <w:p w14:paraId="29CF2327" w14:textId="77777777" w:rsidR="006E51BF" w:rsidRPr="00021B0E" w:rsidRDefault="006E51BF">
            <w:pPr>
              <w:pStyle w:val="ARfintabletextright8pt"/>
            </w:pPr>
          </w:p>
        </w:tc>
      </w:tr>
      <w:tr w:rsidR="006E51BF" w:rsidRPr="00021B0E" w14:paraId="7BB343F6"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634" w:type="dxa"/>
            <w:noWrap/>
            <w:hideMark/>
          </w:tcPr>
          <w:p w14:paraId="0F7BFFED" w14:textId="77777777" w:rsidR="006E51BF" w:rsidRPr="00021B0E" w:rsidRDefault="006E51BF">
            <w:pPr>
              <w:pStyle w:val="ARfintabletext8pt"/>
            </w:pPr>
            <w:r w:rsidRPr="00021B0E">
              <w:t>Commonwealth grants</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2315E49E" w14:textId="77777777" w:rsidR="006E51BF" w:rsidRPr="00021B0E" w:rsidRDefault="006E51BF">
            <w:pPr>
              <w:pStyle w:val="ARfintabletextright8pt"/>
            </w:pPr>
            <w:r w:rsidRPr="00021B0E">
              <w:t>0.5</w:t>
            </w:r>
          </w:p>
        </w:tc>
        <w:tc>
          <w:tcPr>
            <w:tcW w:w="841" w:type="dxa"/>
            <w:noWrap/>
            <w:tcMar>
              <w:right w:w="0" w:type="nil"/>
            </w:tcMar>
            <w:hideMark/>
          </w:tcPr>
          <w:p w14:paraId="19F039BF"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21B0E">
              <w:t>4.2</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2FE41EA4" w14:textId="77777777" w:rsidR="006E51BF" w:rsidRPr="00021B0E" w:rsidRDefault="006E51BF">
            <w:pPr>
              <w:pStyle w:val="ARfintabletextright8pt"/>
            </w:pPr>
            <w:r>
              <w:t>–</w:t>
            </w:r>
          </w:p>
        </w:tc>
        <w:tc>
          <w:tcPr>
            <w:tcW w:w="841" w:type="dxa"/>
            <w:noWrap/>
            <w:tcMar>
              <w:right w:w="0" w:type="nil"/>
            </w:tcMar>
            <w:hideMark/>
          </w:tcPr>
          <w:p w14:paraId="5D7853A4"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noWrap/>
            <w:tcMar>
              <w:right w:w="0" w:type="nil"/>
            </w:tcMar>
            <w:hideMark/>
          </w:tcPr>
          <w:p w14:paraId="6C2DA127" w14:textId="77777777" w:rsidR="006E51BF" w:rsidRPr="00021B0E" w:rsidRDefault="006E51BF">
            <w:pPr>
              <w:pStyle w:val="ARfintabletextright8pt"/>
            </w:pPr>
            <w:r>
              <w:t>–</w:t>
            </w:r>
          </w:p>
        </w:tc>
        <w:tc>
          <w:tcPr>
            <w:tcW w:w="841" w:type="dxa"/>
            <w:noWrap/>
            <w:tcMar>
              <w:right w:w="0" w:type="nil"/>
            </w:tcMar>
            <w:hideMark/>
          </w:tcPr>
          <w:p w14:paraId="2D8C488F"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79C8654C" w14:textId="77777777" w:rsidR="006E51BF" w:rsidRPr="00021B0E" w:rsidRDefault="006E51BF">
            <w:pPr>
              <w:pStyle w:val="ARfintabletextright8pt"/>
            </w:pPr>
            <w:r>
              <w:t>–</w:t>
            </w:r>
          </w:p>
        </w:tc>
        <w:tc>
          <w:tcPr>
            <w:tcW w:w="841" w:type="dxa"/>
            <w:noWrap/>
            <w:tcMar>
              <w:right w:w="0" w:type="nil"/>
            </w:tcMar>
            <w:hideMark/>
          </w:tcPr>
          <w:p w14:paraId="17E2FC2A"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21B0E">
              <w:t>0.5</w:t>
            </w:r>
          </w:p>
        </w:tc>
        <w:tc>
          <w:tcPr>
            <w:cnfStyle w:val="000001000000" w:firstRow="0" w:lastRow="0" w:firstColumn="0" w:lastColumn="0" w:oddVBand="0" w:evenVBand="1" w:oddHBand="0" w:evenHBand="0" w:firstRowFirstColumn="0" w:firstRowLastColumn="0" w:lastRowFirstColumn="0" w:lastRowLastColumn="0"/>
            <w:tcW w:w="842" w:type="dxa"/>
            <w:noWrap/>
            <w:tcMar>
              <w:right w:w="0" w:type="nil"/>
            </w:tcMar>
            <w:hideMark/>
          </w:tcPr>
          <w:p w14:paraId="79F08BEE" w14:textId="77777777" w:rsidR="006E51BF" w:rsidRPr="00021B0E" w:rsidRDefault="006E51BF">
            <w:pPr>
              <w:pStyle w:val="ARfintabletextright8pt"/>
            </w:pPr>
            <w:r>
              <w:t>–</w:t>
            </w:r>
          </w:p>
        </w:tc>
        <w:tc>
          <w:tcPr>
            <w:tcW w:w="841" w:type="dxa"/>
            <w:noWrap/>
            <w:tcMar>
              <w:right w:w="0" w:type="nil"/>
            </w:tcMar>
            <w:hideMark/>
          </w:tcPr>
          <w:p w14:paraId="1C351DE7"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3CC8E4E2" w14:textId="77777777" w:rsidR="006E51BF" w:rsidRPr="00021B0E" w:rsidRDefault="006E51BF">
            <w:pPr>
              <w:pStyle w:val="ARfintabletextright8pt"/>
            </w:pPr>
            <w:r w:rsidRPr="00021B0E">
              <w:t>1.3</w:t>
            </w:r>
          </w:p>
        </w:tc>
        <w:tc>
          <w:tcPr>
            <w:tcW w:w="841" w:type="dxa"/>
            <w:noWrap/>
            <w:tcMar>
              <w:right w:w="0" w:type="nil"/>
            </w:tcMar>
            <w:hideMark/>
          </w:tcPr>
          <w:p w14:paraId="02019443"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noWrap/>
            <w:tcMar>
              <w:right w:w="0" w:type="nil"/>
            </w:tcMar>
            <w:hideMark/>
          </w:tcPr>
          <w:p w14:paraId="11A17FDF" w14:textId="77777777" w:rsidR="006E51BF" w:rsidRPr="00021B0E" w:rsidRDefault="006E51BF">
            <w:pPr>
              <w:pStyle w:val="ARfintabletextright8pt"/>
            </w:pPr>
            <w:r w:rsidRPr="00021B0E">
              <w:t>6.5</w:t>
            </w:r>
          </w:p>
        </w:tc>
      </w:tr>
      <w:tr w:rsidR="006E51BF" w:rsidRPr="00021B0E" w14:paraId="68C3B7E0"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634" w:type="dxa"/>
            <w:noWrap/>
            <w:hideMark/>
          </w:tcPr>
          <w:p w14:paraId="27431CD2" w14:textId="77777777" w:rsidR="006E51BF" w:rsidRPr="00021B0E" w:rsidRDefault="006E51BF">
            <w:pPr>
              <w:pStyle w:val="ARfintabletext8pt"/>
            </w:pPr>
            <w:r w:rsidRPr="00021B0E">
              <w:t>Sales of goods and services</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54B55FDB" w14:textId="77777777" w:rsidR="006E51BF" w:rsidRPr="00021B0E" w:rsidRDefault="006E51BF">
            <w:pPr>
              <w:pStyle w:val="ARfintabletextright8pt"/>
            </w:pPr>
            <w:r w:rsidRPr="00021B0E">
              <w:t>41.9</w:t>
            </w:r>
          </w:p>
        </w:tc>
        <w:tc>
          <w:tcPr>
            <w:tcW w:w="841" w:type="dxa"/>
            <w:noWrap/>
            <w:tcMar>
              <w:right w:w="0" w:type="nil"/>
            </w:tcMar>
            <w:hideMark/>
          </w:tcPr>
          <w:p w14:paraId="4D2B3DE8"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0EF2D5F6" w14:textId="77777777" w:rsidR="006E51BF" w:rsidRPr="00021B0E" w:rsidRDefault="006E51BF">
            <w:pPr>
              <w:pStyle w:val="ARfintabletextright8pt"/>
            </w:pPr>
            <w:r>
              <w:t>–</w:t>
            </w:r>
          </w:p>
        </w:tc>
        <w:tc>
          <w:tcPr>
            <w:tcW w:w="841" w:type="dxa"/>
            <w:noWrap/>
            <w:tcMar>
              <w:right w:w="0" w:type="nil"/>
            </w:tcMar>
            <w:hideMark/>
          </w:tcPr>
          <w:p w14:paraId="1506E854"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noWrap/>
            <w:tcMar>
              <w:right w:w="0" w:type="nil"/>
            </w:tcMar>
            <w:hideMark/>
          </w:tcPr>
          <w:p w14:paraId="450BAD91" w14:textId="77777777" w:rsidR="006E51BF" w:rsidRPr="00021B0E" w:rsidRDefault="006E51BF">
            <w:pPr>
              <w:pStyle w:val="ARfintabletextright8pt"/>
            </w:pPr>
            <w:r w:rsidRPr="00021B0E">
              <w:t>0.8</w:t>
            </w:r>
          </w:p>
        </w:tc>
        <w:tc>
          <w:tcPr>
            <w:tcW w:w="841" w:type="dxa"/>
            <w:noWrap/>
            <w:tcMar>
              <w:right w:w="0" w:type="nil"/>
            </w:tcMar>
            <w:hideMark/>
          </w:tcPr>
          <w:p w14:paraId="6C0E5F5A"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7E6CEB10" w14:textId="77777777" w:rsidR="006E51BF" w:rsidRPr="00021B0E" w:rsidRDefault="006E51BF">
            <w:pPr>
              <w:pStyle w:val="ARfintabletextright8pt"/>
            </w:pPr>
            <w:r>
              <w:t>–</w:t>
            </w:r>
          </w:p>
        </w:tc>
        <w:tc>
          <w:tcPr>
            <w:tcW w:w="841" w:type="dxa"/>
            <w:noWrap/>
            <w:tcMar>
              <w:right w:w="0" w:type="nil"/>
            </w:tcMar>
            <w:hideMark/>
          </w:tcPr>
          <w:p w14:paraId="3382D041"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noWrap/>
            <w:tcMar>
              <w:right w:w="0" w:type="nil"/>
            </w:tcMar>
            <w:hideMark/>
          </w:tcPr>
          <w:p w14:paraId="3C7C28CD" w14:textId="77777777" w:rsidR="006E51BF" w:rsidRPr="00021B0E" w:rsidRDefault="006E51BF">
            <w:pPr>
              <w:pStyle w:val="ARfintabletextright8pt"/>
            </w:pPr>
            <w:r>
              <w:t>–</w:t>
            </w:r>
          </w:p>
        </w:tc>
        <w:tc>
          <w:tcPr>
            <w:tcW w:w="841" w:type="dxa"/>
            <w:noWrap/>
            <w:tcMar>
              <w:right w:w="0" w:type="nil"/>
            </w:tcMar>
            <w:hideMark/>
          </w:tcPr>
          <w:p w14:paraId="02361C7D"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70EF9CFB" w14:textId="77777777" w:rsidR="006E51BF" w:rsidRPr="00021B0E" w:rsidRDefault="006E51BF">
            <w:pPr>
              <w:pStyle w:val="ARfintabletextright8pt"/>
            </w:pPr>
            <w:r>
              <w:t>–</w:t>
            </w:r>
          </w:p>
        </w:tc>
        <w:tc>
          <w:tcPr>
            <w:tcW w:w="841" w:type="dxa"/>
            <w:noWrap/>
            <w:tcMar>
              <w:right w:w="0" w:type="nil"/>
            </w:tcMar>
            <w:hideMark/>
          </w:tcPr>
          <w:p w14:paraId="33664485"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noWrap/>
            <w:tcMar>
              <w:right w:w="0" w:type="nil"/>
            </w:tcMar>
            <w:hideMark/>
          </w:tcPr>
          <w:p w14:paraId="755F6C1E" w14:textId="77777777" w:rsidR="006E51BF" w:rsidRPr="00021B0E" w:rsidRDefault="006E51BF">
            <w:pPr>
              <w:pStyle w:val="ARfintabletextright8pt"/>
            </w:pPr>
            <w:r w:rsidRPr="00021B0E">
              <w:t>42.7</w:t>
            </w:r>
          </w:p>
        </w:tc>
      </w:tr>
      <w:tr w:rsidR="006E51BF" w:rsidRPr="00021B0E" w14:paraId="4A22575A"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634" w:type="dxa"/>
            <w:noWrap/>
            <w:hideMark/>
          </w:tcPr>
          <w:p w14:paraId="37720BAE" w14:textId="1B46D620" w:rsidR="006E51BF" w:rsidRPr="00021B0E" w:rsidRDefault="006E51BF">
            <w:pPr>
              <w:pStyle w:val="ARfintabletext8pt"/>
            </w:pPr>
            <w:r w:rsidRPr="00021B0E">
              <w:t xml:space="preserve">Appropriations </w:t>
            </w:r>
            <w:r w:rsidRPr="00E83CBA">
              <w:t xml:space="preserve">– </w:t>
            </w:r>
            <w:r w:rsidRPr="00021B0E">
              <w:t xml:space="preserve">payments made on behalf </w:t>
            </w:r>
            <w:r w:rsidR="00437809">
              <w:br/>
            </w:r>
            <w:r w:rsidRPr="00021B0E">
              <w:t>of the state</w:t>
            </w:r>
            <w:r>
              <w:t xml:space="preserve"> </w:t>
            </w:r>
            <w:r w:rsidRPr="005D0B76">
              <w:rPr>
                <w:vertAlign w:val="superscript"/>
              </w:rPr>
              <w:t>(iii)</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2D36DCFE" w14:textId="77777777" w:rsidR="006E51BF" w:rsidRPr="00021B0E" w:rsidRDefault="006E51BF">
            <w:pPr>
              <w:pStyle w:val="ARfintabletextright8pt"/>
            </w:pPr>
            <w:r w:rsidRPr="00021B0E">
              <w:t>76.6</w:t>
            </w:r>
          </w:p>
        </w:tc>
        <w:tc>
          <w:tcPr>
            <w:tcW w:w="841" w:type="dxa"/>
            <w:noWrap/>
            <w:tcMar>
              <w:right w:w="0" w:type="nil"/>
            </w:tcMar>
            <w:hideMark/>
          </w:tcPr>
          <w:p w14:paraId="2CC8BA64"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2BA3580F" w14:textId="77777777" w:rsidR="006E51BF" w:rsidRPr="00021B0E" w:rsidRDefault="006E51BF">
            <w:pPr>
              <w:pStyle w:val="ARfintabletextright8pt"/>
            </w:pPr>
            <w:r>
              <w:t>–</w:t>
            </w:r>
          </w:p>
        </w:tc>
        <w:tc>
          <w:tcPr>
            <w:tcW w:w="841" w:type="dxa"/>
            <w:noWrap/>
            <w:tcMar>
              <w:right w:w="0" w:type="nil"/>
            </w:tcMar>
            <w:hideMark/>
          </w:tcPr>
          <w:p w14:paraId="34760719"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noWrap/>
            <w:tcMar>
              <w:right w:w="0" w:type="nil"/>
            </w:tcMar>
            <w:hideMark/>
          </w:tcPr>
          <w:p w14:paraId="2EFB2725" w14:textId="77777777" w:rsidR="006E51BF" w:rsidRPr="00021B0E" w:rsidRDefault="006E51BF">
            <w:pPr>
              <w:pStyle w:val="ARfintabletextright8pt"/>
            </w:pPr>
            <w:r>
              <w:t>–</w:t>
            </w:r>
          </w:p>
        </w:tc>
        <w:tc>
          <w:tcPr>
            <w:tcW w:w="841" w:type="dxa"/>
            <w:noWrap/>
            <w:tcMar>
              <w:right w:w="0" w:type="nil"/>
            </w:tcMar>
            <w:hideMark/>
          </w:tcPr>
          <w:p w14:paraId="741980D8"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1170C679" w14:textId="77777777" w:rsidR="006E51BF" w:rsidRPr="00021B0E" w:rsidRDefault="006E51BF">
            <w:pPr>
              <w:pStyle w:val="ARfintabletextright8pt"/>
            </w:pPr>
            <w:r>
              <w:t>–</w:t>
            </w:r>
          </w:p>
        </w:tc>
        <w:tc>
          <w:tcPr>
            <w:tcW w:w="841" w:type="dxa"/>
            <w:noWrap/>
            <w:tcMar>
              <w:right w:w="0" w:type="nil"/>
            </w:tcMar>
            <w:hideMark/>
          </w:tcPr>
          <w:p w14:paraId="2E7AC7EE"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noWrap/>
            <w:tcMar>
              <w:right w:w="0" w:type="nil"/>
            </w:tcMar>
            <w:hideMark/>
          </w:tcPr>
          <w:p w14:paraId="3754C33D" w14:textId="77777777" w:rsidR="006E51BF" w:rsidRPr="00021B0E" w:rsidRDefault="006E51BF">
            <w:pPr>
              <w:pStyle w:val="ARfintabletextright8pt"/>
            </w:pPr>
            <w:r>
              <w:t>–</w:t>
            </w:r>
          </w:p>
        </w:tc>
        <w:tc>
          <w:tcPr>
            <w:tcW w:w="841" w:type="dxa"/>
            <w:noWrap/>
            <w:tcMar>
              <w:right w:w="0" w:type="nil"/>
            </w:tcMar>
            <w:hideMark/>
          </w:tcPr>
          <w:p w14:paraId="49D2C377"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35A190EF" w14:textId="77777777" w:rsidR="006E51BF" w:rsidRPr="00021B0E" w:rsidRDefault="006E51BF">
            <w:pPr>
              <w:pStyle w:val="ARfintabletextright8pt"/>
            </w:pPr>
            <w:r>
              <w:t>–</w:t>
            </w:r>
          </w:p>
        </w:tc>
        <w:tc>
          <w:tcPr>
            <w:tcW w:w="841" w:type="dxa"/>
            <w:noWrap/>
            <w:tcMar>
              <w:right w:w="0" w:type="nil"/>
            </w:tcMar>
            <w:hideMark/>
          </w:tcPr>
          <w:p w14:paraId="1241FF76"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21B0E">
              <w:t>2,899.0</w:t>
            </w:r>
          </w:p>
        </w:tc>
        <w:tc>
          <w:tcPr>
            <w:cnfStyle w:val="000001000000" w:firstRow="0" w:lastRow="0" w:firstColumn="0" w:lastColumn="0" w:oddVBand="0" w:evenVBand="1" w:oddHBand="0" w:evenHBand="0" w:firstRowFirstColumn="0" w:firstRowLastColumn="0" w:lastRowFirstColumn="0" w:lastRowLastColumn="0"/>
            <w:tcW w:w="842" w:type="dxa"/>
            <w:noWrap/>
            <w:tcMar>
              <w:right w:w="0" w:type="nil"/>
            </w:tcMar>
            <w:hideMark/>
          </w:tcPr>
          <w:p w14:paraId="08F21528" w14:textId="77777777" w:rsidR="006E51BF" w:rsidRPr="00021B0E" w:rsidRDefault="006E51BF">
            <w:pPr>
              <w:pStyle w:val="ARfintabletextright8pt"/>
            </w:pPr>
            <w:r w:rsidRPr="00021B0E">
              <w:t>2,975.6</w:t>
            </w:r>
          </w:p>
        </w:tc>
      </w:tr>
      <w:tr w:rsidR="006E51BF" w:rsidRPr="00021B0E" w14:paraId="593713FB"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634" w:type="dxa"/>
            <w:tcBorders>
              <w:bottom w:val="single" w:sz="4" w:space="0" w:color="BFBFBF" w:themeColor="accent2"/>
            </w:tcBorders>
            <w:noWrap/>
            <w:hideMark/>
          </w:tcPr>
          <w:p w14:paraId="227DFDE6" w14:textId="77777777" w:rsidR="006E51BF" w:rsidRPr="00021B0E" w:rsidRDefault="006E51BF">
            <w:pPr>
              <w:pStyle w:val="ARfintabletext8pt"/>
            </w:pPr>
            <w:r w:rsidRPr="00021B0E">
              <w:t>Grants</w:t>
            </w:r>
          </w:p>
        </w:tc>
        <w:tc>
          <w:tcPr>
            <w:cnfStyle w:val="000001000000" w:firstRow="0" w:lastRow="0" w:firstColumn="0" w:lastColumn="0" w:oddVBand="0" w:evenVBand="1" w:oddHBand="0" w:evenHBand="0" w:firstRowFirstColumn="0" w:firstRowLastColumn="0" w:lastRowFirstColumn="0" w:lastRowLastColumn="0"/>
            <w:tcW w:w="841" w:type="dxa"/>
            <w:tcBorders>
              <w:bottom w:val="single" w:sz="4" w:space="0" w:color="BFBFBF" w:themeColor="accent2"/>
            </w:tcBorders>
            <w:noWrap/>
            <w:tcMar>
              <w:right w:w="0" w:type="nil"/>
            </w:tcMar>
            <w:hideMark/>
          </w:tcPr>
          <w:p w14:paraId="5682311A" w14:textId="77777777" w:rsidR="006E51BF" w:rsidRPr="00021B0E" w:rsidRDefault="006E51BF">
            <w:pPr>
              <w:pStyle w:val="ARfintabletextright8pt"/>
            </w:pPr>
            <w:r w:rsidRPr="00021B0E">
              <w:t>14.7</w:t>
            </w:r>
          </w:p>
        </w:tc>
        <w:tc>
          <w:tcPr>
            <w:tcW w:w="841" w:type="dxa"/>
            <w:tcBorders>
              <w:bottom w:val="single" w:sz="4" w:space="0" w:color="BFBFBF" w:themeColor="accent2"/>
            </w:tcBorders>
            <w:noWrap/>
            <w:tcMar>
              <w:right w:w="0" w:type="nil"/>
            </w:tcMar>
            <w:hideMark/>
          </w:tcPr>
          <w:p w14:paraId="5BA29666"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021B0E">
              <w:t>0.3</w:t>
            </w:r>
          </w:p>
        </w:tc>
        <w:tc>
          <w:tcPr>
            <w:cnfStyle w:val="000001000000" w:firstRow="0" w:lastRow="0" w:firstColumn="0" w:lastColumn="0" w:oddVBand="0" w:evenVBand="1" w:oddHBand="0" w:evenHBand="0" w:firstRowFirstColumn="0" w:firstRowLastColumn="0" w:lastRowFirstColumn="0" w:lastRowLastColumn="0"/>
            <w:tcW w:w="841" w:type="dxa"/>
            <w:tcBorders>
              <w:bottom w:val="single" w:sz="4" w:space="0" w:color="BFBFBF" w:themeColor="accent2"/>
            </w:tcBorders>
            <w:noWrap/>
            <w:tcMar>
              <w:right w:w="0" w:type="nil"/>
            </w:tcMar>
            <w:hideMark/>
          </w:tcPr>
          <w:p w14:paraId="0770ACBC" w14:textId="77777777" w:rsidR="006E51BF" w:rsidRPr="00021B0E" w:rsidRDefault="006E51BF">
            <w:pPr>
              <w:pStyle w:val="ARfintabletextright8pt"/>
            </w:pPr>
            <w:r w:rsidRPr="00021B0E">
              <w:t>1.6</w:t>
            </w:r>
          </w:p>
        </w:tc>
        <w:tc>
          <w:tcPr>
            <w:tcW w:w="841" w:type="dxa"/>
            <w:tcBorders>
              <w:bottom w:val="single" w:sz="4" w:space="0" w:color="BFBFBF" w:themeColor="accent2"/>
            </w:tcBorders>
            <w:noWrap/>
            <w:tcMar>
              <w:right w:w="0" w:type="nil"/>
            </w:tcMar>
            <w:hideMark/>
          </w:tcPr>
          <w:p w14:paraId="089F6E6F"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tcBorders>
              <w:bottom w:val="single" w:sz="4" w:space="0" w:color="BFBFBF" w:themeColor="accent2"/>
            </w:tcBorders>
            <w:noWrap/>
            <w:tcMar>
              <w:right w:w="0" w:type="nil"/>
            </w:tcMar>
            <w:hideMark/>
          </w:tcPr>
          <w:p w14:paraId="675C4C66" w14:textId="77777777" w:rsidR="006E51BF" w:rsidRPr="00021B0E" w:rsidRDefault="006E51BF">
            <w:pPr>
              <w:pStyle w:val="ARfintabletextright8pt"/>
            </w:pPr>
            <w:r>
              <w:t>–</w:t>
            </w:r>
          </w:p>
        </w:tc>
        <w:tc>
          <w:tcPr>
            <w:tcW w:w="841" w:type="dxa"/>
            <w:tcBorders>
              <w:bottom w:val="single" w:sz="4" w:space="0" w:color="BFBFBF" w:themeColor="accent2"/>
            </w:tcBorders>
            <w:noWrap/>
            <w:tcMar>
              <w:right w:w="0" w:type="nil"/>
            </w:tcMar>
            <w:hideMark/>
          </w:tcPr>
          <w:p w14:paraId="5AEBC81C"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tcBorders>
              <w:bottom w:val="single" w:sz="4" w:space="0" w:color="BFBFBF" w:themeColor="accent2"/>
            </w:tcBorders>
            <w:noWrap/>
            <w:tcMar>
              <w:right w:w="0" w:type="nil"/>
            </w:tcMar>
            <w:hideMark/>
          </w:tcPr>
          <w:p w14:paraId="2268B8F5" w14:textId="77777777" w:rsidR="006E51BF" w:rsidRPr="00021B0E" w:rsidRDefault="006E51BF">
            <w:pPr>
              <w:pStyle w:val="ARfintabletextright8pt"/>
            </w:pPr>
            <w:r>
              <w:t>–</w:t>
            </w:r>
          </w:p>
        </w:tc>
        <w:tc>
          <w:tcPr>
            <w:tcW w:w="841" w:type="dxa"/>
            <w:tcBorders>
              <w:bottom w:val="single" w:sz="4" w:space="0" w:color="BFBFBF" w:themeColor="accent2"/>
            </w:tcBorders>
            <w:noWrap/>
            <w:tcMar>
              <w:right w:w="0" w:type="nil"/>
            </w:tcMar>
            <w:hideMark/>
          </w:tcPr>
          <w:p w14:paraId="268C603A"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tcBorders>
              <w:bottom w:val="single" w:sz="4" w:space="0" w:color="BFBFBF" w:themeColor="accent2"/>
            </w:tcBorders>
            <w:noWrap/>
            <w:tcMar>
              <w:right w:w="0" w:type="nil"/>
            </w:tcMar>
            <w:hideMark/>
          </w:tcPr>
          <w:p w14:paraId="72546703" w14:textId="77777777" w:rsidR="006E51BF" w:rsidRPr="00021B0E" w:rsidRDefault="006E51BF">
            <w:pPr>
              <w:pStyle w:val="ARfintabletextright8pt"/>
            </w:pPr>
            <w:r>
              <w:t>–</w:t>
            </w:r>
          </w:p>
        </w:tc>
        <w:tc>
          <w:tcPr>
            <w:tcW w:w="841" w:type="dxa"/>
            <w:tcBorders>
              <w:bottom w:val="single" w:sz="4" w:space="0" w:color="BFBFBF" w:themeColor="accent2"/>
            </w:tcBorders>
            <w:noWrap/>
            <w:tcMar>
              <w:right w:w="0" w:type="nil"/>
            </w:tcMar>
            <w:hideMark/>
          </w:tcPr>
          <w:p w14:paraId="2B00C50B"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tcBorders>
              <w:bottom w:val="single" w:sz="4" w:space="0" w:color="BFBFBF" w:themeColor="accent2"/>
            </w:tcBorders>
            <w:noWrap/>
            <w:tcMar>
              <w:right w:w="0" w:type="nil"/>
            </w:tcMar>
            <w:hideMark/>
          </w:tcPr>
          <w:p w14:paraId="579400A6" w14:textId="77777777" w:rsidR="006E51BF" w:rsidRPr="00021B0E" w:rsidRDefault="006E51BF">
            <w:pPr>
              <w:pStyle w:val="ARfintabletextright8pt"/>
            </w:pPr>
            <w:r>
              <w:t>–</w:t>
            </w:r>
          </w:p>
        </w:tc>
        <w:tc>
          <w:tcPr>
            <w:tcW w:w="841" w:type="dxa"/>
            <w:tcBorders>
              <w:bottom w:val="single" w:sz="4" w:space="0" w:color="BFBFBF" w:themeColor="accent2"/>
            </w:tcBorders>
            <w:noWrap/>
            <w:tcMar>
              <w:right w:w="0" w:type="nil"/>
            </w:tcMar>
            <w:hideMark/>
          </w:tcPr>
          <w:p w14:paraId="63E9CF59"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tcBorders>
              <w:bottom w:val="single" w:sz="4" w:space="0" w:color="BFBFBF" w:themeColor="accent2"/>
            </w:tcBorders>
            <w:noWrap/>
            <w:tcMar>
              <w:right w:w="0" w:type="nil"/>
            </w:tcMar>
            <w:hideMark/>
          </w:tcPr>
          <w:p w14:paraId="1BC46A84" w14:textId="77777777" w:rsidR="006E51BF" w:rsidRPr="00021B0E" w:rsidRDefault="006E51BF">
            <w:pPr>
              <w:pStyle w:val="ARfintabletextright8pt"/>
            </w:pPr>
            <w:r w:rsidRPr="00021B0E">
              <w:t>16.6</w:t>
            </w:r>
          </w:p>
        </w:tc>
      </w:tr>
      <w:tr w:rsidR="006E51BF" w:rsidRPr="00021B0E" w14:paraId="438F72E2"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634" w:type="dxa"/>
            <w:tcBorders>
              <w:top w:val="single" w:sz="4" w:space="0" w:color="BFBFBF" w:themeColor="accent2"/>
              <w:bottom w:val="single" w:sz="4" w:space="0" w:color="000000" w:themeColor="text1"/>
            </w:tcBorders>
            <w:noWrap/>
            <w:hideMark/>
          </w:tcPr>
          <w:p w14:paraId="31066FB5" w14:textId="77777777" w:rsidR="006E51BF" w:rsidRPr="00021B0E" w:rsidRDefault="006E51BF">
            <w:pPr>
              <w:pStyle w:val="ARfintabletext8pt"/>
            </w:pPr>
            <w:r w:rsidRPr="00021B0E">
              <w:t>Other</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BFBFBF" w:themeColor="accent2"/>
              <w:bottom w:val="single" w:sz="4" w:space="0" w:color="000000" w:themeColor="text1"/>
            </w:tcBorders>
            <w:noWrap/>
            <w:tcMar>
              <w:right w:w="0" w:type="nil"/>
            </w:tcMar>
            <w:hideMark/>
          </w:tcPr>
          <w:p w14:paraId="5EF83F54" w14:textId="77777777" w:rsidR="006E51BF" w:rsidRPr="00021B0E" w:rsidRDefault="006E51BF">
            <w:pPr>
              <w:pStyle w:val="ARfintabletextright8pt"/>
            </w:pPr>
            <w:r w:rsidRPr="00021B0E">
              <w:t>1.0</w:t>
            </w:r>
          </w:p>
        </w:tc>
        <w:tc>
          <w:tcPr>
            <w:tcW w:w="841" w:type="dxa"/>
            <w:tcBorders>
              <w:top w:val="single" w:sz="4" w:space="0" w:color="BFBFBF" w:themeColor="accent2"/>
              <w:bottom w:val="single" w:sz="4" w:space="0" w:color="000000" w:themeColor="text1"/>
            </w:tcBorders>
            <w:noWrap/>
            <w:tcMar>
              <w:right w:w="0" w:type="nil"/>
            </w:tcMar>
            <w:hideMark/>
          </w:tcPr>
          <w:p w14:paraId="74A26BC7"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021B0E">
              <w:t>(0.1)</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BFBFBF" w:themeColor="accent2"/>
              <w:bottom w:val="single" w:sz="4" w:space="0" w:color="000000" w:themeColor="text1"/>
            </w:tcBorders>
            <w:noWrap/>
            <w:tcMar>
              <w:right w:w="0" w:type="nil"/>
            </w:tcMar>
            <w:hideMark/>
          </w:tcPr>
          <w:p w14:paraId="160DB193" w14:textId="77777777" w:rsidR="006E51BF" w:rsidRPr="00021B0E" w:rsidRDefault="006E51BF">
            <w:pPr>
              <w:pStyle w:val="ARfintabletextright8pt"/>
            </w:pPr>
            <w:r w:rsidRPr="00021B0E">
              <w:t>(0.0)</w:t>
            </w:r>
          </w:p>
        </w:tc>
        <w:tc>
          <w:tcPr>
            <w:tcW w:w="841" w:type="dxa"/>
            <w:tcBorders>
              <w:top w:val="single" w:sz="4" w:space="0" w:color="BFBFBF" w:themeColor="accent2"/>
              <w:bottom w:val="single" w:sz="4" w:space="0" w:color="000000" w:themeColor="text1"/>
            </w:tcBorders>
            <w:noWrap/>
            <w:tcMar>
              <w:right w:w="0" w:type="nil"/>
            </w:tcMar>
            <w:hideMark/>
          </w:tcPr>
          <w:p w14:paraId="266206AE"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BFBFBF" w:themeColor="accent2"/>
              <w:bottom w:val="single" w:sz="4" w:space="0" w:color="000000" w:themeColor="text1"/>
            </w:tcBorders>
            <w:noWrap/>
            <w:tcMar>
              <w:right w:w="0" w:type="nil"/>
            </w:tcMar>
            <w:hideMark/>
          </w:tcPr>
          <w:p w14:paraId="19A7167B" w14:textId="77777777" w:rsidR="006E51BF" w:rsidRPr="00021B0E" w:rsidRDefault="006E51BF">
            <w:pPr>
              <w:pStyle w:val="ARfintabletextright8pt"/>
            </w:pPr>
            <w:r>
              <w:t>–</w:t>
            </w:r>
          </w:p>
        </w:tc>
        <w:tc>
          <w:tcPr>
            <w:tcW w:w="841" w:type="dxa"/>
            <w:tcBorders>
              <w:top w:val="single" w:sz="4" w:space="0" w:color="BFBFBF" w:themeColor="accent2"/>
              <w:bottom w:val="single" w:sz="4" w:space="0" w:color="000000" w:themeColor="text1"/>
            </w:tcBorders>
            <w:noWrap/>
            <w:tcMar>
              <w:right w:w="0" w:type="nil"/>
            </w:tcMar>
            <w:hideMark/>
          </w:tcPr>
          <w:p w14:paraId="3A163B49"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BFBFBF" w:themeColor="accent2"/>
              <w:bottom w:val="single" w:sz="4" w:space="0" w:color="000000" w:themeColor="text1"/>
            </w:tcBorders>
            <w:noWrap/>
            <w:tcMar>
              <w:right w:w="0" w:type="nil"/>
            </w:tcMar>
            <w:hideMark/>
          </w:tcPr>
          <w:p w14:paraId="01ED27C1" w14:textId="77777777" w:rsidR="006E51BF" w:rsidRPr="00021B0E" w:rsidRDefault="006E51BF">
            <w:pPr>
              <w:pStyle w:val="ARfintabletextright8pt"/>
            </w:pPr>
            <w:r>
              <w:t>–</w:t>
            </w:r>
          </w:p>
        </w:tc>
        <w:tc>
          <w:tcPr>
            <w:tcW w:w="841" w:type="dxa"/>
            <w:tcBorders>
              <w:top w:val="single" w:sz="4" w:space="0" w:color="BFBFBF" w:themeColor="accent2"/>
              <w:bottom w:val="single" w:sz="4" w:space="0" w:color="000000" w:themeColor="text1"/>
            </w:tcBorders>
            <w:noWrap/>
            <w:tcMar>
              <w:right w:w="0" w:type="nil"/>
            </w:tcMar>
            <w:hideMark/>
          </w:tcPr>
          <w:p w14:paraId="021ACE7D"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BFBFBF" w:themeColor="accent2"/>
              <w:bottom w:val="single" w:sz="4" w:space="0" w:color="000000" w:themeColor="text1"/>
            </w:tcBorders>
            <w:noWrap/>
            <w:tcMar>
              <w:right w:w="0" w:type="nil"/>
            </w:tcMar>
            <w:hideMark/>
          </w:tcPr>
          <w:p w14:paraId="59704DCE" w14:textId="77777777" w:rsidR="006E51BF" w:rsidRPr="00021B0E" w:rsidRDefault="006E51BF">
            <w:pPr>
              <w:pStyle w:val="ARfintabletextright8pt"/>
            </w:pPr>
            <w:r>
              <w:t>–</w:t>
            </w:r>
          </w:p>
        </w:tc>
        <w:tc>
          <w:tcPr>
            <w:tcW w:w="841" w:type="dxa"/>
            <w:tcBorders>
              <w:top w:val="single" w:sz="4" w:space="0" w:color="BFBFBF" w:themeColor="accent2"/>
              <w:bottom w:val="single" w:sz="4" w:space="0" w:color="000000" w:themeColor="text1"/>
            </w:tcBorders>
            <w:noWrap/>
            <w:tcMar>
              <w:right w:w="0" w:type="nil"/>
            </w:tcMar>
            <w:hideMark/>
          </w:tcPr>
          <w:p w14:paraId="4465B1BF"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BFBFBF" w:themeColor="accent2"/>
              <w:bottom w:val="single" w:sz="4" w:space="0" w:color="000000" w:themeColor="text1"/>
            </w:tcBorders>
            <w:noWrap/>
            <w:tcMar>
              <w:right w:w="0" w:type="nil"/>
            </w:tcMar>
            <w:hideMark/>
          </w:tcPr>
          <w:p w14:paraId="0C60BD63" w14:textId="77777777" w:rsidR="006E51BF" w:rsidRPr="00021B0E" w:rsidRDefault="006E51BF">
            <w:pPr>
              <w:pStyle w:val="ARfintabletextright8pt"/>
            </w:pPr>
            <w:r>
              <w:t>–</w:t>
            </w:r>
          </w:p>
        </w:tc>
        <w:tc>
          <w:tcPr>
            <w:tcW w:w="841" w:type="dxa"/>
            <w:tcBorders>
              <w:top w:val="single" w:sz="4" w:space="0" w:color="BFBFBF" w:themeColor="accent2"/>
              <w:bottom w:val="single" w:sz="4" w:space="0" w:color="000000" w:themeColor="text1"/>
            </w:tcBorders>
            <w:noWrap/>
            <w:tcMar>
              <w:right w:w="0" w:type="nil"/>
            </w:tcMar>
            <w:hideMark/>
          </w:tcPr>
          <w:p w14:paraId="764E4000"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BFBFBF" w:themeColor="accent2"/>
              <w:bottom w:val="single" w:sz="4" w:space="0" w:color="000000" w:themeColor="text1"/>
            </w:tcBorders>
            <w:noWrap/>
            <w:tcMar>
              <w:right w:w="0" w:type="nil"/>
            </w:tcMar>
            <w:hideMark/>
          </w:tcPr>
          <w:p w14:paraId="32FA3351" w14:textId="77777777" w:rsidR="006E51BF" w:rsidRPr="00021B0E" w:rsidRDefault="006E51BF">
            <w:pPr>
              <w:pStyle w:val="ARfintabletextright8pt"/>
            </w:pPr>
            <w:r w:rsidRPr="00021B0E">
              <w:t>0.9</w:t>
            </w:r>
          </w:p>
        </w:tc>
      </w:tr>
      <w:tr w:rsidR="006E51BF" w:rsidRPr="00021B0E" w14:paraId="2D6DA5E5"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634" w:type="dxa"/>
            <w:tcBorders>
              <w:top w:val="single" w:sz="4" w:space="0" w:color="000000" w:themeColor="text1"/>
              <w:bottom w:val="single" w:sz="4" w:space="0" w:color="000000" w:themeColor="text1"/>
            </w:tcBorders>
            <w:noWrap/>
            <w:hideMark/>
          </w:tcPr>
          <w:p w14:paraId="71371460" w14:textId="77777777" w:rsidR="006E51BF" w:rsidRPr="00021B0E" w:rsidRDefault="006E51BF">
            <w:pPr>
              <w:pStyle w:val="ARfintabletextbold8pt"/>
            </w:pPr>
            <w:r w:rsidRPr="00021B0E">
              <w:t>Total administered revenue and income from</w:t>
            </w:r>
            <w:r>
              <w:t> </w:t>
            </w:r>
            <w:r w:rsidRPr="00021B0E">
              <w:t>transactions</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000000" w:themeColor="text1"/>
            </w:tcBorders>
            <w:noWrap/>
            <w:tcMar>
              <w:right w:w="0" w:type="nil"/>
            </w:tcMar>
            <w:hideMark/>
          </w:tcPr>
          <w:p w14:paraId="6915A3A1" w14:textId="77777777" w:rsidR="006E51BF" w:rsidRPr="00021B0E" w:rsidRDefault="006E51BF">
            <w:pPr>
              <w:pStyle w:val="ARfintabletextboldright8pt"/>
            </w:pPr>
            <w:r w:rsidRPr="00021B0E">
              <w:t>134.7</w:t>
            </w:r>
          </w:p>
        </w:tc>
        <w:tc>
          <w:tcPr>
            <w:tcW w:w="841" w:type="dxa"/>
            <w:tcBorders>
              <w:top w:val="single" w:sz="4" w:space="0" w:color="000000" w:themeColor="text1"/>
              <w:bottom w:val="single" w:sz="4" w:space="0" w:color="000000" w:themeColor="text1"/>
            </w:tcBorders>
            <w:noWrap/>
            <w:tcMar>
              <w:right w:w="0" w:type="nil"/>
            </w:tcMar>
            <w:hideMark/>
          </w:tcPr>
          <w:p w14:paraId="7E3341F5"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21B0E">
              <w:t>4.4</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000000" w:themeColor="text1"/>
            </w:tcBorders>
            <w:noWrap/>
            <w:tcMar>
              <w:right w:w="0" w:type="nil"/>
            </w:tcMar>
            <w:hideMark/>
          </w:tcPr>
          <w:p w14:paraId="0F76587B" w14:textId="77777777" w:rsidR="006E51BF" w:rsidRPr="00021B0E" w:rsidRDefault="006E51BF">
            <w:pPr>
              <w:pStyle w:val="ARfintabletextboldright8pt"/>
            </w:pPr>
            <w:r w:rsidRPr="00021B0E">
              <w:t>1.6</w:t>
            </w:r>
          </w:p>
        </w:tc>
        <w:tc>
          <w:tcPr>
            <w:tcW w:w="841" w:type="dxa"/>
            <w:tcBorders>
              <w:top w:val="single" w:sz="4" w:space="0" w:color="000000" w:themeColor="text1"/>
              <w:bottom w:val="single" w:sz="4" w:space="0" w:color="000000" w:themeColor="text1"/>
            </w:tcBorders>
            <w:noWrap/>
            <w:tcMar>
              <w:right w:w="0" w:type="nil"/>
            </w:tcMar>
            <w:hideMark/>
          </w:tcPr>
          <w:p w14:paraId="4A2D1F8E"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000000" w:themeColor="text1"/>
              <w:bottom w:val="single" w:sz="4" w:space="0" w:color="000000" w:themeColor="text1"/>
            </w:tcBorders>
            <w:noWrap/>
            <w:tcMar>
              <w:right w:w="0" w:type="nil"/>
            </w:tcMar>
            <w:hideMark/>
          </w:tcPr>
          <w:p w14:paraId="40205F41" w14:textId="77777777" w:rsidR="006E51BF" w:rsidRPr="00021B0E" w:rsidRDefault="006E51BF">
            <w:pPr>
              <w:pStyle w:val="ARfintabletextboldright8pt"/>
            </w:pPr>
            <w:r w:rsidRPr="00021B0E">
              <w:t>0.8</w:t>
            </w:r>
          </w:p>
        </w:tc>
        <w:tc>
          <w:tcPr>
            <w:tcW w:w="841" w:type="dxa"/>
            <w:tcBorders>
              <w:top w:val="single" w:sz="4" w:space="0" w:color="000000" w:themeColor="text1"/>
              <w:bottom w:val="single" w:sz="4" w:space="0" w:color="000000" w:themeColor="text1"/>
            </w:tcBorders>
            <w:noWrap/>
            <w:tcMar>
              <w:right w:w="0" w:type="nil"/>
            </w:tcMar>
            <w:hideMark/>
          </w:tcPr>
          <w:p w14:paraId="34F32432"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000000" w:themeColor="text1"/>
            </w:tcBorders>
            <w:noWrap/>
            <w:tcMar>
              <w:right w:w="0" w:type="nil"/>
            </w:tcMar>
            <w:hideMark/>
          </w:tcPr>
          <w:p w14:paraId="6EC054FF" w14:textId="77777777" w:rsidR="006E51BF" w:rsidRPr="00021B0E" w:rsidRDefault="006E51BF">
            <w:pPr>
              <w:pStyle w:val="ARfintabletextboldright8pt"/>
            </w:pPr>
            <w:r>
              <w:t>–</w:t>
            </w:r>
          </w:p>
        </w:tc>
        <w:tc>
          <w:tcPr>
            <w:tcW w:w="841" w:type="dxa"/>
            <w:tcBorders>
              <w:top w:val="single" w:sz="4" w:space="0" w:color="000000" w:themeColor="text1"/>
              <w:bottom w:val="single" w:sz="4" w:space="0" w:color="000000" w:themeColor="text1"/>
            </w:tcBorders>
            <w:noWrap/>
            <w:tcMar>
              <w:right w:w="0" w:type="nil"/>
            </w:tcMar>
            <w:hideMark/>
          </w:tcPr>
          <w:p w14:paraId="6389BBBC"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21B0E">
              <w:t>0.5</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000000" w:themeColor="text1"/>
              <w:bottom w:val="single" w:sz="4" w:space="0" w:color="000000" w:themeColor="text1"/>
            </w:tcBorders>
            <w:noWrap/>
            <w:tcMar>
              <w:right w:w="0" w:type="nil"/>
            </w:tcMar>
            <w:hideMark/>
          </w:tcPr>
          <w:p w14:paraId="35F41A4D" w14:textId="77777777" w:rsidR="006E51BF" w:rsidRPr="00021B0E" w:rsidRDefault="006E51BF">
            <w:pPr>
              <w:pStyle w:val="ARfintabletextboldright8pt"/>
            </w:pPr>
            <w:r>
              <w:t>–</w:t>
            </w:r>
          </w:p>
        </w:tc>
        <w:tc>
          <w:tcPr>
            <w:tcW w:w="841" w:type="dxa"/>
            <w:tcBorders>
              <w:top w:val="single" w:sz="4" w:space="0" w:color="000000" w:themeColor="text1"/>
              <w:bottom w:val="single" w:sz="4" w:space="0" w:color="000000" w:themeColor="text1"/>
            </w:tcBorders>
            <w:noWrap/>
            <w:tcMar>
              <w:right w:w="0" w:type="nil"/>
            </w:tcMar>
            <w:hideMark/>
          </w:tcPr>
          <w:p w14:paraId="70A1D13D"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000000" w:themeColor="text1"/>
            </w:tcBorders>
            <w:noWrap/>
            <w:tcMar>
              <w:right w:w="0" w:type="nil"/>
            </w:tcMar>
            <w:hideMark/>
          </w:tcPr>
          <w:p w14:paraId="0AE50620" w14:textId="77777777" w:rsidR="006E51BF" w:rsidRPr="00021B0E" w:rsidRDefault="006E51BF">
            <w:pPr>
              <w:pStyle w:val="ARfintabletextboldright8pt"/>
            </w:pPr>
            <w:r w:rsidRPr="00021B0E">
              <w:t>1.3</w:t>
            </w:r>
          </w:p>
        </w:tc>
        <w:tc>
          <w:tcPr>
            <w:tcW w:w="841" w:type="dxa"/>
            <w:tcBorders>
              <w:top w:val="single" w:sz="4" w:space="0" w:color="000000" w:themeColor="text1"/>
              <w:bottom w:val="single" w:sz="4" w:space="0" w:color="000000" w:themeColor="text1"/>
            </w:tcBorders>
            <w:noWrap/>
            <w:tcMar>
              <w:right w:w="0" w:type="nil"/>
            </w:tcMar>
            <w:hideMark/>
          </w:tcPr>
          <w:p w14:paraId="0F28C1EF"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21B0E">
              <w:t>2,899.0</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000000" w:themeColor="text1"/>
              <w:bottom w:val="single" w:sz="4" w:space="0" w:color="000000" w:themeColor="text1"/>
            </w:tcBorders>
            <w:noWrap/>
            <w:tcMar>
              <w:right w:w="0" w:type="nil"/>
            </w:tcMar>
            <w:hideMark/>
          </w:tcPr>
          <w:p w14:paraId="29A4AC2B" w14:textId="77777777" w:rsidR="006E51BF" w:rsidRPr="00021B0E" w:rsidRDefault="006E51BF">
            <w:pPr>
              <w:pStyle w:val="ARfintabletextboldright8pt"/>
            </w:pPr>
            <w:r w:rsidRPr="00021B0E">
              <w:t>3,042.3</w:t>
            </w:r>
          </w:p>
        </w:tc>
      </w:tr>
      <w:tr w:rsidR="006E51BF" w:rsidRPr="00021B0E" w14:paraId="4A143874"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634" w:type="dxa"/>
            <w:tcBorders>
              <w:top w:val="single" w:sz="4" w:space="0" w:color="000000" w:themeColor="text1"/>
            </w:tcBorders>
            <w:noWrap/>
          </w:tcPr>
          <w:p w14:paraId="6282057A" w14:textId="77777777" w:rsidR="006E51BF" w:rsidRPr="00021B0E" w:rsidRDefault="006E51BF">
            <w:pPr>
              <w:pStyle w:val="Arfintabletextboldcoloured8pt"/>
            </w:pPr>
            <w:r w:rsidRPr="00021B0E">
              <w:t>Administered expenses from transactions</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tcBorders>
            <w:shd w:val="clear" w:color="auto" w:fill="auto"/>
            <w:noWrap/>
            <w:tcMar>
              <w:right w:w="0" w:type="nil"/>
            </w:tcMar>
          </w:tcPr>
          <w:p w14:paraId="3118F782" w14:textId="77777777" w:rsidR="006E51BF" w:rsidRPr="00021B0E" w:rsidRDefault="006E51BF">
            <w:pPr>
              <w:pStyle w:val="ARfintabletextright8pt"/>
            </w:pPr>
          </w:p>
        </w:tc>
        <w:tc>
          <w:tcPr>
            <w:tcW w:w="841" w:type="dxa"/>
            <w:tcBorders>
              <w:top w:val="single" w:sz="4" w:space="0" w:color="000000" w:themeColor="text1"/>
            </w:tcBorders>
            <w:noWrap/>
            <w:tcMar>
              <w:right w:w="0" w:type="nil"/>
            </w:tcMar>
          </w:tcPr>
          <w:p w14:paraId="25DBF611"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tcBorders>
            <w:shd w:val="clear" w:color="auto" w:fill="auto"/>
            <w:noWrap/>
            <w:tcMar>
              <w:right w:w="0" w:type="nil"/>
            </w:tcMar>
          </w:tcPr>
          <w:p w14:paraId="027BBABA" w14:textId="77777777" w:rsidR="006E51BF" w:rsidRPr="00021B0E" w:rsidRDefault="006E51BF">
            <w:pPr>
              <w:pStyle w:val="ARfintabletextright8pt"/>
            </w:pPr>
          </w:p>
        </w:tc>
        <w:tc>
          <w:tcPr>
            <w:tcW w:w="841" w:type="dxa"/>
            <w:tcBorders>
              <w:top w:val="single" w:sz="4" w:space="0" w:color="000000" w:themeColor="text1"/>
            </w:tcBorders>
            <w:noWrap/>
            <w:tcMar>
              <w:right w:w="0" w:type="nil"/>
            </w:tcMar>
          </w:tcPr>
          <w:p w14:paraId="5FB72F29"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000000" w:themeColor="text1"/>
            </w:tcBorders>
            <w:shd w:val="clear" w:color="auto" w:fill="auto"/>
            <w:noWrap/>
            <w:tcMar>
              <w:right w:w="0" w:type="nil"/>
            </w:tcMar>
          </w:tcPr>
          <w:p w14:paraId="11991D94" w14:textId="77777777" w:rsidR="006E51BF" w:rsidRPr="00021B0E" w:rsidRDefault="006E51BF">
            <w:pPr>
              <w:pStyle w:val="ARfintabletextright8pt"/>
            </w:pPr>
          </w:p>
        </w:tc>
        <w:tc>
          <w:tcPr>
            <w:tcW w:w="841" w:type="dxa"/>
            <w:tcBorders>
              <w:top w:val="single" w:sz="4" w:space="0" w:color="000000" w:themeColor="text1"/>
            </w:tcBorders>
            <w:noWrap/>
            <w:tcMar>
              <w:right w:w="0" w:type="nil"/>
            </w:tcMar>
          </w:tcPr>
          <w:p w14:paraId="3A106D8A"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tcBorders>
            <w:shd w:val="clear" w:color="auto" w:fill="auto"/>
            <w:noWrap/>
            <w:tcMar>
              <w:right w:w="0" w:type="nil"/>
            </w:tcMar>
          </w:tcPr>
          <w:p w14:paraId="23471882" w14:textId="77777777" w:rsidR="006E51BF" w:rsidRPr="00021B0E" w:rsidRDefault="006E51BF">
            <w:pPr>
              <w:pStyle w:val="ARfintabletextright8pt"/>
            </w:pPr>
          </w:p>
        </w:tc>
        <w:tc>
          <w:tcPr>
            <w:tcW w:w="841" w:type="dxa"/>
            <w:tcBorders>
              <w:top w:val="single" w:sz="4" w:space="0" w:color="000000" w:themeColor="text1"/>
            </w:tcBorders>
            <w:noWrap/>
            <w:tcMar>
              <w:right w:w="0" w:type="nil"/>
            </w:tcMar>
          </w:tcPr>
          <w:p w14:paraId="7983F0BD"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000000" w:themeColor="text1"/>
            </w:tcBorders>
            <w:shd w:val="clear" w:color="auto" w:fill="auto"/>
            <w:noWrap/>
            <w:tcMar>
              <w:right w:w="0" w:type="nil"/>
            </w:tcMar>
          </w:tcPr>
          <w:p w14:paraId="55B787BB" w14:textId="77777777" w:rsidR="006E51BF" w:rsidRPr="00021B0E" w:rsidRDefault="006E51BF">
            <w:pPr>
              <w:pStyle w:val="ARfintabletextright8pt"/>
            </w:pPr>
          </w:p>
        </w:tc>
        <w:tc>
          <w:tcPr>
            <w:tcW w:w="841" w:type="dxa"/>
            <w:tcBorders>
              <w:top w:val="single" w:sz="4" w:space="0" w:color="000000" w:themeColor="text1"/>
            </w:tcBorders>
            <w:noWrap/>
            <w:tcMar>
              <w:right w:w="0" w:type="nil"/>
            </w:tcMar>
          </w:tcPr>
          <w:p w14:paraId="7CDF018C"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tcBorders>
            <w:shd w:val="clear" w:color="auto" w:fill="auto"/>
            <w:noWrap/>
            <w:tcMar>
              <w:right w:w="0" w:type="nil"/>
            </w:tcMar>
          </w:tcPr>
          <w:p w14:paraId="124B584A" w14:textId="77777777" w:rsidR="006E51BF" w:rsidRPr="00021B0E" w:rsidRDefault="006E51BF">
            <w:pPr>
              <w:pStyle w:val="ARfintabletextright8pt"/>
            </w:pPr>
          </w:p>
        </w:tc>
        <w:tc>
          <w:tcPr>
            <w:tcW w:w="841" w:type="dxa"/>
            <w:tcBorders>
              <w:top w:val="single" w:sz="4" w:space="0" w:color="000000" w:themeColor="text1"/>
            </w:tcBorders>
            <w:noWrap/>
            <w:tcMar>
              <w:right w:w="0" w:type="nil"/>
            </w:tcMar>
          </w:tcPr>
          <w:p w14:paraId="6F86CF3E"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000000" w:themeColor="text1"/>
            </w:tcBorders>
            <w:shd w:val="clear" w:color="auto" w:fill="auto"/>
            <w:noWrap/>
            <w:tcMar>
              <w:right w:w="0" w:type="nil"/>
            </w:tcMar>
          </w:tcPr>
          <w:p w14:paraId="21C97EDA" w14:textId="77777777" w:rsidR="006E51BF" w:rsidRPr="00021B0E" w:rsidRDefault="006E51BF">
            <w:pPr>
              <w:pStyle w:val="ARfintabletextright8pt"/>
            </w:pPr>
          </w:p>
        </w:tc>
      </w:tr>
      <w:tr w:rsidR="006E51BF" w:rsidRPr="00021B0E" w14:paraId="2E8D3FFE"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634" w:type="dxa"/>
            <w:noWrap/>
            <w:hideMark/>
          </w:tcPr>
          <w:p w14:paraId="04C68A05" w14:textId="77777777" w:rsidR="006E51BF" w:rsidRPr="00021B0E" w:rsidRDefault="006E51BF">
            <w:pPr>
              <w:pStyle w:val="ARfintabletext8pt"/>
            </w:pPr>
            <w:r w:rsidRPr="00021B0E">
              <w:t xml:space="preserve">Grants and other expense transfers </w:t>
            </w:r>
            <w:r w:rsidRPr="005D0B76">
              <w:rPr>
                <w:vertAlign w:val="superscript"/>
              </w:rPr>
              <w:t>(iii)</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4FA9870E" w14:textId="77777777" w:rsidR="006E51BF" w:rsidRPr="00021B0E" w:rsidRDefault="006E51BF">
            <w:pPr>
              <w:pStyle w:val="ARfintabletextright8pt"/>
            </w:pPr>
            <w:r w:rsidRPr="00021B0E">
              <w:t>76.6</w:t>
            </w:r>
          </w:p>
        </w:tc>
        <w:tc>
          <w:tcPr>
            <w:tcW w:w="841" w:type="dxa"/>
            <w:noWrap/>
            <w:tcMar>
              <w:right w:w="0" w:type="nil"/>
            </w:tcMar>
            <w:hideMark/>
          </w:tcPr>
          <w:p w14:paraId="35AF087E"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16E58C8A" w14:textId="77777777" w:rsidR="006E51BF" w:rsidRPr="00021B0E" w:rsidRDefault="006E51BF">
            <w:pPr>
              <w:pStyle w:val="ARfintabletextright8pt"/>
            </w:pPr>
            <w:r w:rsidRPr="00021B0E">
              <w:t>1.5</w:t>
            </w:r>
          </w:p>
        </w:tc>
        <w:tc>
          <w:tcPr>
            <w:tcW w:w="841" w:type="dxa"/>
            <w:noWrap/>
            <w:tcMar>
              <w:right w:w="0" w:type="nil"/>
            </w:tcMar>
            <w:hideMark/>
          </w:tcPr>
          <w:p w14:paraId="7F4D3789"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noWrap/>
            <w:tcMar>
              <w:right w:w="0" w:type="nil"/>
            </w:tcMar>
            <w:hideMark/>
          </w:tcPr>
          <w:p w14:paraId="505885D2" w14:textId="77777777" w:rsidR="006E51BF" w:rsidRPr="00021B0E" w:rsidRDefault="006E51BF">
            <w:pPr>
              <w:pStyle w:val="ARfintabletextright8pt"/>
            </w:pPr>
            <w:r>
              <w:t>–</w:t>
            </w:r>
          </w:p>
        </w:tc>
        <w:tc>
          <w:tcPr>
            <w:tcW w:w="841" w:type="dxa"/>
            <w:noWrap/>
            <w:tcMar>
              <w:right w:w="0" w:type="nil"/>
            </w:tcMar>
            <w:hideMark/>
          </w:tcPr>
          <w:p w14:paraId="6F129749"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3742CF18" w14:textId="77777777" w:rsidR="006E51BF" w:rsidRPr="00021B0E" w:rsidRDefault="006E51BF">
            <w:pPr>
              <w:pStyle w:val="ARfintabletextright8pt"/>
            </w:pPr>
            <w:r>
              <w:t>–</w:t>
            </w:r>
          </w:p>
        </w:tc>
        <w:tc>
          <w:tcPr>
            <w:tcW w:w="841" w:type="dxa"/>
            <w:noWrap/>
            <w:tcMar>
              <w:right w:w="0" w:type="nil"/>
            </w:tcMar>
            <w:hideMark/>
          </w:tcPr>
          <w:p w14:paraId="190FA410"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noWrap/>
            <w:tcMar>
              <w:right w:w="0" w:type="nil"/>
            </w:tcMar>
            <w:hideMark/>
          </w:tcPr>
          <w:p w14:paraId="0815B336" w14:textId="77777777" w:rsidR="006E51BF" w:rsidRPr="00021B0E" w:rsidRDefault="006E51BF">
            <w:pPr>
              <w:pStyle w:val="ARfintabletextright8pt"/>
            </w:pPr>
            <w:r>
              <w:t>–</w:t>
            </w:r>
          </w:p>
        </w:tc>
        <w:tc>
          <w:tcPr>
            <w:tcW w:w="841" w:type="dxa"/>
            <w:noWrap/>
            <w:tcMar>
              <w:right w:w="0" w:type="nil"/>
            </w:tcMar>
            <w:hideMark/>
          </w:tcPr>
          <w:p w14:paraId="4388D757"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73B9EB56" w14:textId="77777777" w:rsidR="006E51BF" w:rsidRPr="00021B0E" w:rsidRDefault="006E51BF">
            <w:pPr>
              <w:pStyle w:val="ARfintabletextright8pt"/>
            </w:pPr>
            <w:r>
              <w:t>–</w:t>
            </w:r>
          </w:p>
        </w:tc>
        <w:tc>
          <w:tcPr>
            <w:tcW w:w="841" w:type="dxa"/>
            <w:noWrap/>
            <w:tcMar>
              <w:right w:w="0" w:type="nil"/>
            </w:tcMar>
            <w:hideMark/>
          </w:tcPr>
          <w:p w14:paraId="3E862E10"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021B0E">
              <w:t>2,899.0</w:t>
            </w:r>
          </w:p>
        </w:tc>
        <w:tc>
          <w:tcPr>
            <w:cnfStyle w:val="000001000000" w:firstRow="0" w:lastRow="0" w:firstColumn="0" w:lastColumn="0" w:oddVBand="0" w:evenVBand="1" w:oddHBand="0" w:evenHBand="0" w:firstRowFirstColumn="0" w:firstRowLastColumn="0" w:lastRowFirstColumn="0" w:lastRowLastColumn="0"/>
            <w:tcW w:w="842" w:type="dxa"/>
            <w:noWrap/>
            <w:tcMar>
              <w:right w:w="0" w:type="nil"/>
            </w:tcMar>
            <w:hideMark/>
          </w:tcPr>
          <w:p w14:paraId="3CA20457" w14:textId="77777777" w:rsidR="006E51BF" w:rsidRPr="00021B0E" w:rsidRDefault="006E51BF">
            <w:pPr>
              <w:pStyle w:val="ARfintabletextright8pt"/>
            </w:pPr>
            <w:r w:rsidRPr="00021B0E">
              <w:t>2,977.1</w:t>
            </w:r>
          </w:p>
        </w:tc>
      </w:tr>
      <w:tr w:rsidR="006E51BF" w:rsidRPr="00021B0E" w14:paraId="4B2B3CAC"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634" w:type="dxa"/>
            <w:tcBorders>
              <w:bottom w:val="single" w:sz="4" w:space="0" w:color="BFBFBF" w:themeColor="accent2"/>
            </w:tcBorders>
            <w:noWrap/>
            <w:hideMark/>
          </w:tcPr>
          <w:p w14:paraId="7BDCCA90" w14:textId="77777777" w:rsidR="006E51BF" w:rsidRPr="00021B0E" w:rsidRDefault="006E51BF">
            <w:pPr>
              <w:pStyle w:val="ARfintabletext8pt"/>
            </w:pPr>
            <w:r w:rsidRPr="00021B0E">
              <w:t>Other operating expenses</w:t>
            </w:r>
          </w:p>
        </w:tc>
        <w:tc>
          <w:tcPr>
            <w:cnfStyle w:val="000001000000" w:firstRow="0" w:lastRow="0" w:firstColumn="0" w:lastColumn="0" w:oddVBand="0" w:evenVBand="1" w:oddHBand="0" w:evenHBand="0" w:firstRowFirstColumn="0" w:firstRowLastColumn="0" w:lastRowFirstColumn="0" w:lastRowLastColumn="0"/>
            <w:tcW w:w="841" w:type="dxa"/>
            <w:tcBorders>
              <w:bottom w:val="single" w:sz="4" w:space="0" w:color="BFBFBF" w:themeColor="accent2"/>
            </w:tcBorders>
            <w:noWrap/>
            <w:tcMar>
              <w:right w:w="0" w:type="nil"/>
            </w:tcMar>
            <w:hideMark/>
          </w:tcPr>
          <w:p w14:paraId="6053E79A" w14:textId="77777777" w:rsidR="006E51BF" w:rsidRPr="00021B0E" w:rsidRDefault="006E51BF">
            <w:pPr>
              <w:pStyle w:val="ARfintabletextright8pt"/>
            </w:pPr>
            <w:r w:rsidRPr="00E000C7">
              <w:t>–</w:t>
            </w:r>
          </w:p>
        </w:tc>
        <w:tc>
          <w:tcPr>
            <w:tcW w:w="841" w:type="dxa"/>
            <w:tcBorders>
              <w:bottom w:val="single" w:sz="4" w:space="0" w:color="BFBFBF" w:themeColor="accent2"/>
            </w:tcBorders>
            <w:noWrap/>
            <w:tcMar>
              <w:right w:w="0" w:type="nil"/>
            </w:tcMar>
            <w:hideMark/>
          </w:tcPr>
          <w:p w14:paraId="0DE8F15D"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E000C7">
              <w:t>–</w:t>
            </w:r>
          </w:p>
        </w:tc>
        <w:tc>
          <w:tcPr>
            <w:cnfStyle w:val="000001000000" w:firstRow="0" w:lastRow="0" w:firstColumn="0" w:lastColumn="0" w:oddVBand="0" w:evenVBand="1" w:oddHBand="0" w:evenHBand="0" w:firstRowFirstColumn="0" w:firstRowLastColumn="0" w:lastRowFirstColumn="0" w:lastRowLastColumn="0"/>
            <w:tcW w:w="841" w:type="dxa"/>
            <w:tcBorders>
              <w:bottom w:val="single" w:sz="4" w:space="0" w:color="BFBFBF" w:themeColor="accent2"/>
            </w:tcBorders>
            <w:noWrap/>
            <w:tcMar>
              <w:right w:w="0" w:type="nil"/>
            </w:tcMar>
            <w:hideMark/>
          </w:tcPr>
          <w:p w14:paraId="3C803E46" w14:textId="77777777" w:rsidR="006E51BF" w:rsidRPr="00021B0E" w:rsidRDefault="006E51BF">
            <w:pPr>
              <w:pStyle w:val="ARfintabletextright8pt"/>
            </w:pPr>
            <w:r w:rsidRPr="00021B0E">
              <w:t>0.1</w:t>
            </w:r>
          </w:p>
        </w:tc>
        <w:tc>
          <w:tcPr>
            <w:tcW w:w="841" w:type="dxa"/>
            <w:tcBorders>
              <w:bottom w:val="single" w:sz="4" w:space="0" w:color="BFBFBF" w:themeColor="accent2"/>
            </w:tcBorders>
            <w:noWrap/>
            <w:tcMar>
              <w:right w:w="0" w:type="nil"/>
            </w:tcMar>
            <w:hideMark/>
          </w:tcPr>
          <w:p w14:paraId="1EE1D3D5"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E000C7">
              <w:t>–</w:t>
            </w:r>
          </w:p>
        </w:tc>
        <w:tc>
          <w:tcPr>
            <w:cnfStyle w:val="000001000000" w:firstRow="0" w:lastRow="0" w:firstColumn="0" w:lastColumn="0" w:oddVBand="0" w:evenVBand="1" w:oddHBand="0" w:evenHBand="0" w:firstRowFirstColumn="0" w:firstRowLastColumn="0" w:lastRowFirstColumn="0" w:lastRowLastColumn="0"/>
            <w:tcW w:w="842" w:type="dxa"/>
            <w:tcBorders>
              <w:bottom w:val="single" w:sz="4" w:space="0" w:color="BFBFBF" w:themeColor="accent2"/>
            </w:tcBorders>
            <w:noWrap/>
            <w:tcMar>
              <w:right w:w="0" w:type="nil"/>
            </w:tcMar>
            <w:hideMark/>
          </w:tcPr>
          <w:p w14:paraId="58884208" w14:textId="77777777" w:rsidR="006E51BF" w:rsidRPr="00021B0E" w:rsidRDefault="006E51BF">
            <w:pPr>
              <w:pStyle w:val="ARfintabletextright8pt"/>
            </w:pPr>
            <w:r>
              <w:t>–</w:t>
            </w:r>
          </w:p>
        </w:tc>
        <w:tc>
          <w:tcPr>
            <w:tcW w:w="841" w:type="dxa"/>
            <w:tcBorders>
              <w:bottom w:val="single" w:sz="4" w:space="0" w:color="BFBFBF" w:themeColor="accent2"/>
            </w:tcBorders>
            <w:noWrap/>
            <w:tcMar>
              <w:right w:w="0" w:type="nil"/>
            </w:tcMar>
            <w:hideMark/>
          </w:tcPr>
          <w:p w14:paraId="7E5A1AD3"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tcBorders>
              <w:bottom w:val="single" w:sz="4" w:space="0" w:color="BFBFBF" w:themeColor="accent2"/>
            </w:tcBorders>
            <w:noWrap/>
            <w:tcMar>
              <w:right w:w="0" w:type="nil"/>
            </w:tcMar>
            <w:hideMark/>
          </w:tcPr>
          <w:p w14:paraId="61C3FC66" w14:textId="77777777" w:rsidR="006E51BF" w:rsidRPr="00021B0E" w:rsidRDefault="006E51BF">
            <w:pPr>
              <w:pStyle w:val="ARfintabletextright8pt"/>
            </w:pPr>
            <w:r>
              <w:t>–</w:t>
            </w:r>
          </w:p>
        </w:tc>
        <w:tc>
          <w:tcPr>
            <w:tcW w:w="841" w:type="dxa"/>
            <w:tcBorders>
              <w:bottom w:val="single" w:sz="4" w:space="0" w:color="BFBFBF" w:themeColor="accent2"/>
            </w:tcBorders>
            <w:noWrap/>
            <w:tcMar>
              <w:right w:w="0" w:type="nil"/>
            </w:tcMar>
            <w:hideMark/>
          </w:tcPr>
          <w:p w14:paraId="36B6B6B0"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tcBorders>
              <w:bottom w:val="single" w:sz="4" w:space="0" w:color="BFBFBF" w:themeColor="accent2"/>
            </w:tcBorders>
            <w:noWrap/>
            <w:tcMar>
              <w:right w:w="0" w:type="nil"/>
            </w:tcMar>
            <w:hideMark/>
          </w:tcPr>
          <w:p w14:paraId="1A8B4B6A" w14:textId="77777777" w:rsidR="006E51BF" w:rsidRPr="00021B0E" w:rsidRDefault="006E51BF">
            <w:pPr>
              <w:pStyle w:val="ARfintabletextright8pt"/>
            </w:pPr>
            <w:r>
              <w:t>–</w:t>
            </w:r>
          </w:p>
        </w:tc>
        <w:tc>
          <w:tcPr>
            <w:tcW w:w="841" w:type="dxa"/>
            <w:tcBorders>
              <w:bottom w:val="single" w:sz="4" w:space="0" w:color="BFBFBF" w:themeColor="accent2"/>
            </w:tcBorders>
            <w:noWrap/>
            <w:tcMar>
              <w:right w:w="0" w:type="nil"/>
            </w:tcMar>
            <w:hideMark/>
          </w:tcPr>
          <w:p w14:paraId="6CD8F44D"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tcBorders>
              <w:bottom w:val="single" w:sz="4" w:space="0" w:color="BFBFBF" w:themeColor="accent2"/>
            </w:tcBorders>
            <w:noWrap/>
            <w:tcMar>
              <w:right w:w="0" w:type="nil"/>
            </w:tcMar>
            <w:hideMark/>
          </w:tcPr>
          <w:p w14:paraId="5A212329" w14:textId="77777777" w:rsidR="006E51BF" w:rsidRPr="00021B0E" w:rsidRDefault="006E51BF">
            <w:pPr>
              <w:pStyle w:val="ARfintabletextright8pt"/>
            </w:pPr>
            <w:r>
              <w:t>–</w:t>
            </w:r>
          </w:p>
        </w:tc>
        <w:tc>
          <w:tcPr>
            <w:tcW w:w="841" w:type="dxa"/>
            <w:tcBorders>
              <w:bottom w:val="single" w:sz="4" w:space="0" w:color="BFBFBF" w:themeColor="accent2"/>
            </w:tcBorders>
            <w:noWrap/>
            <w:tcMar>
              <w:right w:w="0" w:type="nil"/>
            </w:tcMar>
            <w:hideMark/>
          </w:tcPr>
          <w:p w14:paraId="444EB908"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tcBorders>
              <w:bottom w:val="single" w:sz="4" w:space="0" w:color="BFBFBF" w:themeColor="accent2"/>
            </w:tcBorders>
            <w:noWrap/>
            <w:tcMar>
              <w:right w:w="0" w:type="nil"/>
            </w:tcMar>
            <w:hideMark/>
          </w:tcPr>
          <w:p w14:paraId="1B1D3948" w14:textId="77777777" w:rsidR="006E51BF" w:rsidRPr="00021B0E" w:rsidRDefault="006E51BF">
            <w:pPr>
              <w:pStyle w:val="ARfintabletextright8pt"/>
            </w:pPr>
            <w:r w:rsidRPr="00021B0E">
              <w:t>0.1</w:t>
            </w:r>
          </w:p>
        </w:tc>
      </w:tr>
      <w:tr w:rsidR="006E51BF" w:rsidRPr="00021B0E" w14:paraId="6E9068C6"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634" w:type="dxa"/>
            <w:tcBorders>
              <w:top w:val="single" w:sz="4" w:space="0" w:color="BFBFBF" w:themeColor="accent2"/>
              <w:bottom w:val="single" w:sz="4" w:space="0" w:color="000000" w:themeColor="text1"/>
            </w:tcBorders>
            <w:noWrap/>
            <w:hideMark/>
          </w:tcPr>
          <w:p w14:paraId="54C37131" w14:textId="77777777" w:rsidR="006E51BF" w:rsidRPr="00021B0E" w:rsidRDefault="006E51BF">
            <w:pPr>
              <w:pStyle w:val="ARfintabletext8pt"/>
            </w:pPr>
            <w:r w:rsidRPr="00021B0E">
              <w:t>Payments into the consolidated fund</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BFBFBF" w:themeColor="accent2"/>
              <w:bottom w:val="single" w:sz="4" w:space="0" w:color="000000" w:themeColor="text1"/>
            </w:tcBorders>
            <w:noWrap/>
            <w:tcMar>
              <w:right w:w="0" w:type="nil"/>
            </w:tcMar>
            <w:hideMark/>
          </w:tcPr>
          <w:p w14:paraId="68DA556A" w14:textId="77777777" w:rsidR="006E51BF" w:rsidRPr="00021B0E" w:rsidRDefault="006E51BF">
            <w:pPr>
              <w:pStyle w:val="ARfintabletextright8pt"/>
            </w:pPr>
            <w:r w:rsidRPr="00021B0E">
              <w:t>58.7</w:t>
            </w:r>
          </w:p>
        </w:tc>
        <w:tc>
          <w:tcPr>
            <w:tcW w:w="841" w:type="dxa"/>
            <w:tcBorders>
              <w:top w:val="single" w:sz="4" w:space="0" w:color="BFBFBF" w:themeColor="accent2"/>
              <w:bottom w:val="single" w:sz="4" w:space="0" w:color="000000" w:themeColor="text1"/>
            </w:tcBorders>
            <w:noWrap/>
            <w:tcMar>
              <w:right w:w="0" w:type="nil"/>
            </w:tcMar>
            <w:hideMark/>
          </w:tcPr>
          <w:p w14:paraId="1B0BC3F0"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021B0E">
              <w:t>4.9</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BFBFBF" w:themeColor="accent2"/>
              <w:bottom w:val="single" w:sz="4" w:space="0" w:color="000000" w:themeColor="text1"/>
            </w:tcBorders>
            <w:noWrap/>
            <w:tcMar>
              <w:right w:w="0" w:type="nil"/>
            </w:tcMar>
            <w:hideMark/>
          </w:tcPr>
          <w:p w14:paraId="2D688E67" w14:textId="77777777" w:rsidR="006E51BF" w:rsidRPr="00021B0E" w:rsidRDefault="006E51BF">
            <w:pPr>
              <w:pStyle w:val="ARfintabletextright8pt"/>
            </w:pPr>
            <w:r>
              <w:t>–</w:t>
            </w:r>
          </w:p>
        </w:tc>
        <w:tc>
          <w:tcPr>
            <w:tcW w:w="841" w:type="dxa"/>
            <w:tcBorders>
              <w:top w:val="single" w:sz="4" w:space="0" w:color="BFBFBF" w:themeColor="accent2"/>
              <w:bottom w:val="single" w:sz="4" w:space="0" w:color="000000" w:themeColor="text1"/>
            </w:tcBorders>
            <w:noWrap/>
            <w:tcMar>
              <w:right w:w="0" w:type="nil"/>
            </w:tcMar>
            <w:hideMark/>
          </w:tcPr>
          <w:p w14:paraId="1F2BD272"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BFBFBF" w:themeColor="accent2"/>
              <w:bottom w:val="single" w:sz="4" w:space="0" w:color="000000" w:themeColor="text1"/>
            </w:tcBorders>
            <w:noWrap/>
            <w:tcMar>
              <w:right w:w="0" w:type="nil"/>
            </w:tcMar>
            <w:hideMark/>
          </w:tcPr>
          <w:p w14:paraId="6F352EC3" w14:textId="77777777" w:rsidR="006E51BF" w:rsidRPr="00021B0E" w:rsidRDefault="006E51BF">
            <w:pPr>
              <w:pStyle w:val="ARfintabletextright8pt"/>
            </w:pPr>
            <w:r w:rsidRPr="00021B0E">
              <w:t>0.8</w:t>
            </w:r>
          </w:p>
        </w:tc>
        <w:tc>
          <w:tcPr>
            <w:tcW w:w="841" w:type="dxa"/>
            <w:tcBorders>
              <w:top w:val="single" w:sz="4" w:space="0" w:color="BFBFBF" w:themeColor="accent2"/>
              <w:bottom w:val="single" w:sz="4" w:space="0" w:color="000000" w:themeColor="text1"/>
            </w:tcBorders>
            <w:noWrap/>
            <w:tcMar>
              <w:right w:w="0" w:type="nil"/>
            </w:tcMar>
            <w:hideMark/>
          </w:tcPr>
          <w:p w14:paraId="664FD664"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BFBFBF" w:themeColor="accent2"/>
              <w:bottom w:val="single" w:sz="4" w:space="0" w:color="000000" w:themeColor="text1"/>
            </w:tcBorders>
            <w:noWrap/>
            <w:tcMar>
              <w:right w:w="0" w:type="nil"/>
            </w:tcMar>
            <w:hideMark/>
          </w:tcPr>
          <w:p w14:paraId="1FE0955E" w14:textId="77777777" w:rsidR="006E51BF" w:rsidRPr="00021B0E" w:rsidRDefault="006E51BF">
            <w:pPr>
              <w:pStyle w:val="ARfintabletextright8pt"/>
            </w:pPr>
            <w:r>
              <w:t>–</w:t>
            </w:r>
          </w:p>
        </w:tc>
        <w:tc>
          <w:tcPr>
            <w:tcW w:w="841" w:type="dxa"/>
            <w:tcBorders>
              <w:top w:val="single" w:sz="4" w:space="0" w:color="BFBFBF" w:themeColor="accent2"/>
              <w:bottom w:val="single" w:sz="4" w:space="0" w:color="000000" w:themeColor="text1"/>
            </w:tcBorders>
            <w:noWrap/>
            <w:tcMar>
              <w:right w:w="0" w:type="nil"/>
            </w:tcMar>
            <w:hideMark/>
          </w:tcPr>
          <w:p w14:paraId="05CF053A"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021B0E">
              <w:t>0.5</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BFBFBF" w:themeColor="accent2"/>
              <w:bottom w:val="single" w:sz="4" w:space="0" w:color="000000" w:themeColor="text1"/>
            </w:tcBorders>
            <w:noWrap/>
            <w:tcMar>
              <w:right w:w="0" w:type="nil"/>
            </w:tcMar>
            <w:hideMark/>
          </w:tcPr>
          <w:p w14:paraId="72083FE2" w14:textId="77777777" w:rsidR="006E51BF" w:rsidRPr="00021B0E" w:rsidRDefault="006E51BF">
            <w:pPr>
              <w:pStyle w:val="ARfintabletextright8pt"/>
            </w:pPr>
            <w:r>
              <w:t>–</w:t>
            </w:r>
          </w:p>
        </w:tc>
        <w:tc>
          <w:tcPr>
            <w:tcW w:w="841" w:type="dxa"/>
            <w:tcBorders>
              <w:top w:val="single" w:sz="4" w:space="0" w:color="BFBFBF" w:themeColor="accent2"/>
              <w:bottom w:val="single" w:sz="4" w:space="0" w:color="000000" w:themeColor="text1"/>
            </w:tcBorders>
            <w:noWrap/>
            <w:tcMar>
              <w:right w:w="0" w:type="nil"/>
            </w:tcMar>
            <w:hideMark/>
          </w:tcPr>
          <w:p w14:paraId="4187BBAF"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BFBFBF" w:themeColor="accent2"/>
              <w:bottom w:val="single" w:sz="4" w:space="0" w:color="000000" w:themeColor="text1"/>
            </w:tcBorders>
            <w:noWrap/>
            <w:tcMar>
              <w:right w:w="0" w:type="nil"/>
            </w:tcMar>
            <w:hideMark/>
          </w:tcPr>
          <w:p w14:paraId="0F3808B6" w14:textId="77777777" w:rsidR="006E51BF" w:rsidRPr="00021B0E" w:rsidRDefault="006E51BF">
            <w:pPr>
              <w:pStyle w:val="ARfintabletextright8pt"/>
            </w:pPr>
            <w:r w:rsidRPr="00021B0E">
              <w:t>1.3</w:t>
            </w:r>
          </w:p>
        </w:tc>
        <w:tc>
          <w:tcPr>
            <w:tcW w:w="841" w:type="dxa"/>
            <w:tcBorders>
              <w:top w:val="single" w:sz="4" w:space="0" w:color="BFBFBF" w:themeColor="accent2"/>
              <w:bottom w:val="single" w:sz="4" w:space="0" w:color="000000" w:themeColor="text1"/>
            </w:tcBorders>
            <w:noWrap/>
            <w:tcMar>
              <w:right w:w="0" w:type="nil"/>
            </w:tcMar>
            <w:hideMark/>
          </w:tcPr>
          <w:p w14:paraId="73B2E350"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BFBFBF" w:themeColor="accent2"/>
              <w:bottom w:val="single" w:sz="4" w:space="0" w:color="000000" w:themeColor="text1"/>
            </w:tcBorders>
            <w:noWrap/>
            <w:tcMar>
              <w:right w:w="0" w:type="nil"/>
            </w:tcMar>
            <w:hideMark/>
          </w:tcPr>
          <w:p w14:paraId="30C772EB" w14:textId="77777777" w:rsidR="006E51BF" w:rsidRPr="00021B0E" w:rsidRDefault="006E51BF">
            <w:pPr>
              <w:pStyle w:val="ARfintabletextright8pt"/>
            </w:pPr>
            <w:r w:rsidRPr="00021B0E">
              <w:t>66.2</w:t>
            </w:r>
          </w:p>
        </w:tc>
      </w:tr>
      <w:tr w:rsidR="006E51BF" w:rsidRPr="00021B0E" w14:paraId="7CFDBA20"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634" w:type="dxa"/>
            <w:tcBorders>
              <w:top w:val="single" w:sz="4" w:space="0" w:color="000000" w:themeColor="text1"/>
              <w:bottom w:val="single" w:sz="4" w:space="0" w:color="000000" w:themeColor="text1"/>
            </w:tcBorders>
            <w:noWrap/>
            <w:hideMark/>
          </w:tcPr>
          <w:p w14:paraId="3510781B" w14:textId="77777777" w:rsidR="006E51BF" w:rsidRPr="00021B0E" w:rsidRDefault="006E51BF">
            <w:pPr>
              <w:pStyle w:val="ARfintabletextbold8pt"/>
            </w:pPr>
            <w:r w:rsidRPr="00021B0E">
              <w:t>Total administered expenses from</w:t>
            </w:r>
            <w:r>
              <w:t> </w:t>
            </w:r>
            <w:r w:rsidRPr="00021B0E">
              <w:t>transactions</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000000" w:themeColor="text1"/>
            </w:tcBorders>
            <w:noWrap/>
            <w:tcMar>
              <w:right w:w="0" w:type="nil"/>
            </w:tcMar>
            <w:hideMark/>
          </w:tcPr>
          <w:p w14:paraId="53DC672B" w14:textId="77777777" w:rsidR="006E51BF" w:rsidRPr="00021B0E" w:rsidRDefault="006E51BF">
            <w:pPr>
              <w:pStyle w:val="ARfintabletextboldright8pt"/>
            </w:pPr>
            <w:r w:rsidRPr="00021B0E">
              <w:t>135.4</w:t>
            </w:r>
          </w:p>
        </w:tc>
        <w:tc>
          <w:tcPr>
            <w:tcW w:w="841" w:type="dxa"/>
            <w:tcBorders>
              <w:top w:val="single" w:sz="4" w:space="0" w:color="000000" w:themeColor="text1"/>
              <w:bottom w:val="single" w:sz="4" w:space="0" w:color="000000" w:themeColor="text1"/>
            </w:tcBorders>
            <w:noWrap/>
            <w:tcMar>
              <w:right w:w="0" w:type="nil"/>
            </w:tcMar>
            <w:hideMark/>
          </w:tcPr>
          <w:p w14:paraId="496EC1C6" w14:textId="77777777" w:rsidR="006E51BF" w:rsidRPr="00021B0E"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021B0E">
              <w:t>4.9</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000000" w:themeColor="text1"/>
            </w:tcBorders>
            <w:noWrap/>
            <w:tcMar>
              <w:right w:w="0" w:type="nil"/>
            </w:tcMar>
            <w:hideMark/>
          </w:tcPr>
          <w:p w14:paraId="390CAB03" w14:textId="77777777" w:rsidR="006E51BF" w:rsidRPr="00021B0E" w:rsidRDefault="006E51BF">
            <w:pPr>
              <w:pStyle w:val="ARfintabletextboldright8pt"/>
            </w:pPr>
            <w:r w:rsidRPr="00021B0E">
              <w:t>1.6</w:t>
            </w:r>
          </w:p>
        </w:tc>
        <w:tc>
          <w:tcPr>
            <w:tcW w:w="841" w:type="dxa"/>
            <w:tcBorders>
              <w:top w:val="single" w:sz="4" w:space="0" w:color="000000" w:themeColor="text1"/>
              <w:bottom w:val="single" w:sz="4" w:space="0" w:color="000000" w:themeColor="text1"/>
            </w:tcBorders>
            <w:noWrap/>
            <w:tcMar>
              <w:right w:w="0" w:type="nil"/>
            </w:tcMar>
            <w:hideMark/>
          </w:tcPr>
          <w:p w14:paraId="36096303" w14:textId="77777777" w:rsidR="006E51BF" w:rsidRPr="00021B0E"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E000C7">
              <w:t>–</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000000" w:themeColor="text1"/>
              <w:bottom w:val="single" w:sz="4" w:space="0" w:color="000000" w:themeColor="text1"/>
            </w:tcBorders>
            <w:noWrap/>
            <w:tcMar>
              <w:right w:w="0" w:type="nil"/>
            </w:tcMar>
            <w:hideMark/>
          </w:tcPr>
          <w:p w14:paraId="21284A86" w14:textId="77777777" w:rsidR="006E51BF" w:rsidRPr="00021B0E" w:rsidRDefault="006E51BF">
            <w:pPr>
              <w:pStyle w:val="ARfintabletextboldright8pt"/>
            </w:pPr>
            <w:r w:rsidRPr="00021B0E">
              <w:t>0.8</w:t>
            </w:r>
          </w:p>
        </w:tc>
        <w:tc>
          <w:tcPr>
            <w:tcW w:w="841" w:type="dxa"/>
            <w:tcBorders>
              <w:top w:val="single" w:sz="4" w:space="0" w:color="000000" w:themeColor="text1"/>
              <w:bottom w:val="single" w:sz="4" w:space="0" w:color="000000" w:themeColor="text1"/>
            </w:tcBorders>
            <w:noWrap/>
            <w:tcMar>
              <w:right w:w="0" w:type="nil"/>
            </w:tcMar>
            <w:hideMark/>
          </w:tcPr>
          <w:p w14:paraId="21BFC7C1" w14:textId="77777777" w:rsidR="006E51BF" w:rsidRPr="00021B0E"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000000" w:themeColor="text1"/>
            </w:tcBorders>
            <w:noWrap/>
            <w:tcMar>
              <w:right w:w="0" w:type="nil"/>
            </w:tcMar>
            <w:hideMark/>
          </w:tcPr>
          <w:p w14:paraId="555EFF1E" w14:textId="77777777" w:rsidR="006E51BF" w:rsidRPr="00021B0E" w:rsidRDefault="006E51BF">
            <w:pPr>
              <w:pStyle w:val="ARfintabletextboldright8pt"/>
            </w:pPr>
            <w:r>
              <w:t>–</w:t>
            </w:r>
          </w:p>
        </w:tc>
        <w:tc>
          <w:tcPr>
            <w:tcW w:w="841" w:type="dxa"/>
            <w:tcBorders>
              <w:top w:val="single" w:sz="4" w:space="0" w:color="000000" w:themeColor="text1"/>
              <w:bottom w:val="single" w:sz="4" w:space="0" w:color="000000" w:themeColor="text1"/>
            </w:tcBorders>
            <w:noWrap/>
            <w:tcMar>
              <w:right w:w="0" w:type="nil"/>
            </w:tcMar>
            <w:hideMark/>
          </w:tcPr>
          <w:p w14:paraId="386E1118" w14:textId="77777777" w:rsidR="006E51BF" w:rsidRPr="00021B0E"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021B0E">
              <w:t>0.5</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000000" w:themeColor="text1"/>
              <w:bottom w:val="single" w:sz="4" w:space="0" w:color="000000" w:themeColor="text1"/>
            </w:tcBorders>
            <w:noWrap/>
            <w:tcMar>
              <w:right w:w="0" w:type="nil"/>
            </w:tcMar>
            <w:hideMark/>
          </w:tcPr>
          <w:p w14:paraId="71928E79" w14:textId="77777777" w:rsidR="006E51BF" w:rsidRPr="00021B0E" w:rsidRDefault="006E51BF">
            <w:pPr>
              <w:pStyle w:val="ARfintabletextboldright8pt"/>
            </w:pPr>
            <w:r>
              <w:t>–</w:t>
            </w:r>
          </w:p>
        </w:tc>
        <w:tc>
          <w:tcPr>
            <w:tcW w:w="841" w:type="dxa"/>
            <w:tcBorders>
              <w:top w:val="single" w:sz="4" w:space="0" w:color="000000" w:themeColor="text1"/>
              <w:bottom w:val="single" w:sz="4" w:space="0" w:color="000000" w:themeColor="text1"/>
            </w:tcBorders>
            <w:noWrap/>
            <w:tcMar>
              <w:right w:w="0" w:type="nil"/>
            </w:tcMar>
            <w:hideMark/>
          </w:tcPr>
          <w:p w14:paraId="1E70A01C" w14:textId="77777777" w:rsidR="006E51BF" w:rsidRPr="00021B0E"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000000" w:themeColor="text1"/>
            </w:tcBorders>
            <w:noWrap/>
            <w:tcMar>
              <w:right w:w="0" w:type="nil"/>
            </w:tcMar>
            <w:hideMark/>
          </w:tcPr>
          <w:p w14:paraId="61BB183A" w14:textId="77777777" w:rsidR="006E51BF" w:rsidRPr="00021B0E" w:rsidRDefault="006E51BF">
            <w:pPr>
              <w:pStyle w:val="ARfintabletextboldright8pt"/>
            </w:pPr>
            <w:r w:rsidRPr="00021B0E">
              <w:t>1.3</w:t>
            </w:r>
          </w:p>
        </w:tc>
        <w:tc>
          <w:tcPr>
            <w:tcW w:w="841" w:type="dxa"/>
            <w:tcBorders>
              <w:top w:val="single" w:sz="4" w:space="0" w:color="000000" w:themeColor="text1"/>
              <w:bottom w:val="single" w:sz="4" w:space="0" w:color="000000" w:themeColor="text1"/>
            </w:tcBorders>
            <w:noWrap/>
            <w:tcMar>
              <w:right w:w="0" w:type="nil"/>
            </w:tcMar>
            <w:hideMark/>
          </w:tcPr>
          <w:p w14:paraId="619D62E7" w14:textId="77777777" w:rsidR="006E51BF" w:rsidRPr="00021B0E"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021B0E">
              <w:t>2,899.0</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000000" w:themeColor="text1"/>
              <w:bottom w:val="single" w:sz="4" w:space="0" w:color="000000" w:themeColor="text1"/>
            </w:tcBorders>
            <w:noWrap/>
            <w:tcMar>
              <w:right w:w="0" w:type="nil"/>
            </w:tcMar>
            <w:hideMark/>
          </w:tcPr>
          <w:p w14:paraId="6DE81F17" w14:textId="77777777" w:rsidR="006E51BF" w:rsidRPr="00021B0E" w:rsidRDefault="006E51BF">
            <w:pPr>
              <w:pStyle w:val="ARfintabletextboldright8pt"/>
            </w:pPr>
            <w:r w:rsidRPr="00021B0E">
              <w:t>3,043.4</w:t>
            </w:r>
          </w:p>
        </w:tc>
      </w:tr>
      <w:tr w:rsidR="006E51BF" w:rsidRPr="00021B0E" w14:paraId="409E303F"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634" w:type="dxa"/>
            <w:tcBorders>
              <w:top w:val="single" w:sz="4" w:space="0" w:color="000000" w:themeColor="text1"/>
              <w:bottom w:val="single" w:sz="4" w:space="0" w:color="000000" w:themeColor="text1"/>
            </w:tcBorders>
            <w:noWrap/>
            <w:hideMark/>
          </w:tcPr>
          <w:p w14:paraId="2CDA58BC" w14:textId="77777777" w:rsidR="006E51BF" w:rsidRPr="00021B0E" w:rsidRDefault="006E51BF">
            <w:pPr>
              <w:pStyle w:val="ARfintabletextbold8pt"/>
            </w:pPr>
            <w:r w:rsidRPr="00021B0E">
              <w:t>Total administered net result from</w:t>
            </w:r>
            <w:r>
              <w:t> </w:t>
            </w:r>
            <w:r w:rsidRPr="00021B0E">
              <w:t>transactions</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000000" w:themeColor="text1"/>
            </w:tcBorders>
            <w:noWrap/>
            <w:tcMar>
              <w:right w:w="0" w:type="nil"/>
            </w:tcMar>
            <w:hideMark/>
          </w:tcPr>
          <w:p w14:paraId="4F8AE88E" w14:textId="77777777" w:rsidR="006E51BF" w:rsidRPr="00021B0E" w:rsidRDefault="006E51BF">
            <w:pPr>
              <w:pStyle w:val="ARfintabletextboldright8pt"/>
            </w:pPr>
            <w:r w:rsidRPr="00021B0E">
              <w:t>(0.6)</w:t>
            </w:r>
          </w:p>
        </w:tc>
        <w:tc>
          <w:tcPr>
            <w:tcW w:w="841" w:type="dxa"/>
            <w:tcBorders>
              <w:top w:val="single" w:sz="4" w:space="0" w:color="000000" w:themeColor="text1"/>
              <w:bottom w:val="single" w:sz="4" w:space="0" w:color="000000" w:themeColor="text1"/>
            </w:tcBorders>
            <w:noWrap/>
            <w:tcMar>
              <w:right w:w="0" w:type="nil"/>
            </w:tcMar>
            <w:hideMark/>
          </w:tcPr>
          <w:p w14:paraId="1F087BA3"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021B0E">
              <w:t>(0.5)</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000000" w:themeColor="text1"/>
            </w:tcBorders>
            <w:noWrap/>
            <w:tcMar>
              <w:right w:w="0" w:type="nil"/>
            </w:tcMar>
            <w:hideMark/>
          </w:tcPr>
          <w:p w14:paraId="237BCCD8" w14:textId="77777777" w:rsidR="006E51BF" w:rsidRPr="00021B0E" w:rsidRDefault="006E51BF">
            <w:pPr>
              <w:pStyle w:val="ARfintabletextboldright8pt"/>
            </w:pPr>
            <w:r w:rsidRPr="00021B0E">
              <w:t>(0.1)</w:t>
            </w:r>
          </w:p>
        </w:tc>
        <w:tc>
          <w:tcPr>
            <w:tcW w:w="841" w:type="dxa"/>
            <w:tcBorders>
              <w:top w:val="single" w:sz="4" w:space="0" w:color="000000" w:themeColor="text1"/>
              <w:bottom w:val="single" w:sz="4" w:space="0" w:color="000000" w:themeColor="text1"/>
            </w:tcBorders>
            <w:noWrap/>
            <w:tcMar>
              <w:right w:w="0" w:type="nil"/>
            </w:tcMar>
            <w:hideMark/>
          </w:tcPr>
          <w:p w14:paraId="5F6E4FE3"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E000C7">
              <w:t>–</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000000" w:themeColor="text1"/>
              <w:bottom w:val="single" w:sz="4" w:space="0" w:color="000000" w:themeColor="text1"/>
            </w:tcBorders>
            <w:noWrap/>
            <w:tcMar>
              <w:right w:w="0" w:type="nil"/>
            </w:tcMar>
            <w:hideMark/>
          </w:tcPr>
          <w:p w14:paraId="25FB9401" w14:textId="77777777" w:rsidR="006E51BF" w:rsidRPr="00021B0E" w:rsidRDefault="006E51BF">
            <w:pPr>
              <w:pStyle w:val="ARfintabletextboldright8pt"/>
            </w:pPr>
            <w:r>
              <w:t>–</w:t>
            </w:r>
          </w:p>
        </w:tc>
        <w:tc>
          <w:tcPr>
            <w:tcW w:w="841" w:type="dxa"/>
            <w:tcBorders>
              <w:top w:val="single" w:sz="4" w:space="0" w:color="000000" w:themeColor="text1"/>
              <w:bottom w:val="single" w:sz="4" w:space="0" w:color="000000" w:themeColor="text1"/>
            </w:tcBorders>
            <w:noWrap/>
            <w:tcMar>
              <w:right w:w="0" w:type="nil"/>
            </w:tcMar>
            <w:hideMark/>
          </w:tcPr>
          <w:p w14:paraId="3F69AA5A"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000000" w:themeColor="text1"/>
            </w:tcBorders>
            <w:noWrap/>
            <w:tcMar>
              <w:right w:w="0" w:type="nil"/>
            </w:tcMar>
            <w:hideMark/>
          </w:tcPr>
          <w:p w14:paraId="53B91D2E" w14:textId="77777777" w:rsidR="006E51BF" w:rsidRPr="00021B0E" w:rsidRDefault="006E51BF">
            <w:pPr>
              <w:pStyle w:val="ARfintabletextboldright8pt"/>
            </w:pPr>
            <w:r>
              <w:t>–</w:t>
            </w:r>
          </w:p>
        </w:tc>
        <w:tc>
          <w:tcPr>
            <w:tcW w:w="841" w:type="dxa"/>
            <w:tcBorders>
              <w:top w:val="single" w:sz="4" w:space="0" w:color="000000" w:themeColor="text1"/>
              <w:bottom w:val="single" w:sz="4" w:space="0" w:color="000000" w:themeColor="text1"/>
            </w:tcBorders>
            <w:noWrap/>
            <w:tcMar>
              <w:right w:w="0" w:type="nil"/>
            </w:tcMar>
            <w:hideMark/>
          </w:tcPr>
          <w:p w14:paraId="7FA1496B"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000000" w:themeColor="text1"/>
              <w:bottom w:val="single" w:sz="4" w:space="0" w:color="000000" w:themeColor="text1"/>
            </w:tcBorders>
            <w:noWrap/>
            <w:tcMar>
              <w:right w:w="0" w:type="nil"/>
            </w:tcMar>
            <w:hideMark/>
          </w:tcPr>
          <w:p w14:paraId="698A9AA9" w14:textId="77777777" w:rsidR="006E51BF" w:rsidRPr="00021B0E" w:rsidRDefault="006E51BF">
            <w:pPr>
              <w:pStyle w:val="ARfintabletextboldright8pt"/>
            </w:pPr>
            <w:r>
              <w:t>–</w:t>
            </w:r>
          </w:p>
        </w:tc>
        <w:tc>
          <w:tcPr>
            <w:tcW w:w="841" w:type="dxa"/>
            <w:tcBorders>
              <w:top w:val="single" w:sz="4" w:space="0" w:color="000000" w:themeColor="text1"/>
              <w:bottom w:val="single" w:sz="4" w:space="0" w:color="000000" w:themeColor="text1"/>
            </w:tcBorders>
            <w:noWrap/>
            <w:tcMar>
              <w:right w:w="0" w:type="nil"/>
            </w:tcMar>
            <w:hideMark/>
          </w:tcPr>
          <w:p w14:paraId="055C2AED"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000000" w:themeColor="text1"/>
            </w:tcBorders>
            <w:noWrap/>
            <w:tcMar>
              <w:right w:w="0" w:type="nil"/>
            </w:tcMar>
            <w:hideMark/>
          </w:tcPr>
          <w:p w14:paraId="3BE77E4B" w14:textId="77777777" w:rsidR="006E51BF" w:rsidRPr="00021B0E" w:rsidRDefault="006E51BF">
            <w:pPr>
              <w:pStyle w:val="ARfintabletextboldright8pt"/>
            </w:pPr>
            <w:r w:rsidRPr="00D25AEE">
              <w:t>–</w:t>
            </w:r>
          </w:p>
        </w:tc>
        <w:tc>
          <w:tcPr>
            <w:tcW w:w="841" w:type="dxa"/>
            <w:tcBorders>
              <w:top w:val="single" w:sz="4" w:space="0" w:color="000000" w:themeColor="text1"/>
              <w:bottom w:val="single" w:sz="4" w:space="0" w:color="000000" w:themeColor="text1"/>
            </w:tcBorders>
            <w:noWrap/>
            <w:tcMar>
              <w:right w:w="0" w:type="nil"/>
            </w:tcMar>
            <w:hideMark/>
          </w:tcPr>
          <w:p w14:paraId="3AE4E5ED" w14:textId="77777777" w:rsidR="006E51BF" w:rsidRPr="00021B0E"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000000" w:themeColor="text1"/>
              <w:bottom w:val="single" w:sz="4" w:space="0" w:color="000000" w:themeColor="text1"/>
            </w:tcBorders>
            <w:noWrap/>
            <w:tcMar>
              <w:right w:w="0" w:type="nil"/>
            </w:tcMar>
            <w:hideMark/>
          </w:tcPr>
          <w:p w14:paraId="7A559766" w14:textId="77777777" w:rsidR="006E51BF" w:rsidRPr="00021B0E" w:rsidRDefault="006E51BF">
            <w:pPr>
              <w:pStyle w:val="ARfintabletextboldright8pt"/>
            </w:pPr>
            <w:r w:rsidRPr="00021B0E">
              <w:t>(1.1)</w:t>
            </w:r>
          </w:p>
        </w:tc>
      </w:tr>
      <w:tr w:rsidR="006E51BF" w:rsidRPr="00021B0E" w14:paraId="35854605"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634" w:type="dxa"/>
            <w:tcBorders>
              <w:top w:val="single" w:sz="4" w:space="0" w:color="000000" w:themeColor="text1"/>
              <w:bottom w:val="single" w:sz="4" w:space="0" w:color="BFBFBF" w:themeColor="accent2"/>
            </w:tcBorders>
            <w:noWrap/>
          </w:tcPr>
          <w:p w14:paraId="0FADB509" w14:textId="77777777" w:rsidR="006E51BF" w:rsidRPr="00021B0E" w:rsidRDefault="006E51BF">
            <w:pPr>
              <w:pStyle w:val="Arfintabletextboldcoloured8pt"/>
            </w:pPr>
            <w:r w:rsidRPr="00021B0E">
              <w:t>Administered other economic flows included in net result</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BFBFBF" w:themeColor="accent2"/>
            </w:tcBorders>
            <w:shd w:val="clear" w:color="auto" w:fill="auto"/>
            <w:noWrap/>
            <w:tcMar>
              <w:right w:w="0" w:type="nil"/>
            </w:tcMar>
          </w:tcPr>
          <w:p w14:paraId="1606CD13" w14:textId="77777777" w:rsidR="006E51BF" w:rsidRPr="00021B0E" w:rsidRDefault="006E51BF">
            <w:pPr>
              <w:pStyle w:val="ARfintabletextright8pt"/>
            </w:pPr>
          </w:p>
        </w:tc>
        <w:tc>
          <w:tcPr>
            <w:tcW w:w="841" w:type="dxa"/>
            <w:tcBorders>
              <w:top w:val="single" w:sz="4" w:space="0" w:color="000000" w:themeColor="text1"/>
              <w:bottom w:val="single" w:sz="4" w:space="0" w:color="BFBFBF" w:themeColor="accent2"/>
            </w:tcBorders>
            <w:noWrap/>
            <w:tcMar>
              <w:right w:w="0" w:type="nil"/>
            </w:tcMar>
          </w:tcPr>
          <w:p w14:paraId="1DF60B3A"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BFBFBF" w:themeColor="accent2"/>
            </w:tcBorders>
            <w:shd w:val="clear" w:color="auto" w:fill="auto"/>
            <w:noWrap/>
            <w:tcMar>
              <w:right w:w="0" w:type="nil"/>
            </w:tcMar>
          </w:tcPr>
          <w:p w14:paraId="031961D4" w14:textId="77777777" w:rsidR="006E51BF" w:rsidRPr="00021B0E" w:rsidRDefault="006E51BF">
            <w:pPr>
              <w:pStyle w:val="ARfintabletextright8pt"/>
            </w:pPr>
          </w:p>
        </w:tc>
        <w:tc>
          <w:tcPr>
            <w:tcW w:w="841" w:type="dxa"/>
            <w:tcBorders>
              <w:top w:val="single" w:sz="4" w:space="0" w:color="000000" w:themeColor="text1"/>
              <w:bottom w:val="single" w:sz="4" w:space="0" w:color="BFBFBF" w:themeColor="accent2"/>
            </w:tcBorders>
            <w:noWrap/>
            <w:tcMar>
              <w:right w:w="0" w:type="nil"/>
            </w:tcMar>
          </w:tcPr>
          <w:p w14:paraId="7FCAA681"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000000" w:themeColor="text1"/>
              <w:bottom w:val="single" w:sz="4" w:space="0" w:color="BFBFBF" w:themeColor="accent2"/>
            </w:tcBorders>
            <w:shd w:val="clear" w:color="auto" w:fill="auto"/>
            <w:noWrap/>
            <w:tcMar>
              <w:right w:w="0" w:type="nil"/>
            </w:tcMar>
          </w:tcPr>
          <w:p w14:paraId="1C628E51" w14:textId="77777777" w:rsidR="006E51BF" w:rsidRPr="00021B0E" w:rsidRDefault="006E51BF">
            <w:pPr>
              <w:pStyle w:val="ARfintabletextright8pt"/>
            </w:pPr>
          </w:p>
        </w:tc>
        <w:tc>
          <w:tcPr>
            <w:tcW w:w="841" w:type="dxa"/>
            <w:tcBorders>
              <w:top w:val="single" w:sz="4" w:space="0" w:color="000000" w:themeColor="text1"/>
              <w:bottom w:val="single" w:sz="4" w:space="0" w:color="BFBFBF" w:themeColor="accent2"/>
            </w:tcBorders>
            <w:noWrap/>
            <w:tcMar>
              <w:right w:w="0" w:type="nil"/>
            </w:tcMar>
          </w:tcPr>
          <w:p w14:paraId="0BFA6FC1"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BFBFBF" w:themeColor="accent2"/>
            </w:tcBorders>
            <w:shd w:val="clear" w:color="auto" w:fill="auto"/>
            <w:noWrap/>
            <w:tcMar>
              <w:right w:w="0" w:type="nil"/>
            </w:tcMar>
          </w:tcPr>
          <w:p w14:paraId="219DE6AD" w14:textId="77777777" w:rsidR="006E51BF" w:rsidRPr="00021B0E" w:rsidRDefault="006E51BF">
            <w:pPr>
              <w:pStyle w:val="ARfintabletextright8pt"/>
            </w:pPr>
          </w:p>
        </w:tc>
        <w:tc>
          <w:tcPr>
            <w:tcW w:w="841" w:type="dxa"/>
            <w:tcBorders>
              <w:top w:val="single" w:sz="4" w:space="0" w:color="000000" w:themeColor="text1"/>
              <w:bottom w:val="single" w:sz="4" w:space="0" w:color="BFBFBF" w:themeColor="accent2"/>
            </w:tcBorders>
            <w:noWrap/>
            <w:tcMar>
              <w:right w:w="0" w:type="nil"/>
            </w:tcMar>
          </w:tcPr>
          <w:p w14:paraId="41A75117"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000000" w:themeColor="text1"/>
              <w:bottom w:val="single" w:sz="4" w:space="0" w:color="BFBFBF" w:themeColor="accent2"/>
            </w:tcBorders>
            <w:shd w:val="clear" w:color="auto" w:fill="auto"/>
            <w:noWrap/>
            <w:tcMar>
              <w:right w:w="0" w:type="nil"/>
            </w:tcMar>
          </w:tcPr>
          <w:p w14:paraId="4ADEBBD1" w14:textId="77777777" w:rsidR="006E51BF" w:rsidRPr="00021B0E" w:rsidRDefault="006E51BF">
            <w:pPr>
              <w:pStyle w:val="ARfintabletextright8pt"/>
            </w:pPr>
          </w:p>
        </w:tc>
        <w:tc>
          <w:tcPr>
            <w:tcW w:w="841" w:type="dxa"/>
            <w:tcBorders>
              <w:top w:val="single" w:sz="4" w:space="0" w:color="000000" w:themeColor="text1"/>
              <w:bottom w:val="single" w:sz="4" w:space="0" w:color="BFBFBF" w:themeColor="accent2"/>
            </w:tcBorders>
            <w:noWrap/>
            <w:tcMar>
              <w:right w:w="0" w:type="nil"/>
            </w:tcMar>
          </w:tcPr>
          <w:p w14:paraId="5DD8204F"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BFBFBF" w:themeColor="accent2"/>
            </w:tcBorders>
            <w:shd w:val="clear" w:color="auto" w:fill="auto"/>
            <w:noWrap/>
            <w:tcMar>
              <w:right w:w="0" w:type="nil"/>
            </w:tcMar>
          </w:tcPr>
          <w:p w14:paraId="475C594E" w14:textId="77777777" w:rsidR="006E51BF" w:rsidRPr="00021B0E" w:rsidRDefault="006E51BF">
            <w:pPr>
              <w:pStyle w:val="ARfintabletextright8pt"/>
            </w:pPr>
          </w:p>
        </w:tc>
        <w:tc>
          <w:tcPr>
            <w:tcW w:w="841" w:type="dxa"/>
            <w:tcBorders>
              <w:top w:val="single" w:sz="4" w:space="0" w:color="000000" w:themeColor="text1"/>
              <w:bottom w:val="single" w:sz="4" w:space="0" w:color="BFBFBF" w:themeColor="accent2"/>
            </w:tcBorders>
            <w:noWrap/>
            <w:tcMar>
              <w:right w:w="0" w:type="nil"/>
            </w:tcMar>
          </w:tcPr>
          <w:p w14:paraId="3CDAE0AD" w14:textId="77777777" w:rsidR="006E51BF" w:rsidRPr="00021B0E" w:rsidRDefault="006E51BF">
            <w:pPr>
              <w:pStyle w:val="ARfintabletextright8p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000000" w:themeColor="text1"/>
              <w:bottom w:val="single" w:sz="4" w:space="0" w:color="BFBFBF" w:themeColor="accent2"/>
            </w:tcBorders>
            <w:shd w:val="clear" w:color="auto" w:fill="auto"/>
            <w:noWrap/>
            <w:tcMar>
              <w:right w:w="0" w:type="nil"/>
            </w:tcMar>
          </w:tcPr>
          <w:p w14:paraId="33EA106F" w14:textId="77777777" w:rsidR="006E51BF" w:rsidRPr="00021B0E" w:rsidRDefault="006E51BF">
            <w:pPr>
              <w:pStyle w:val="ARfintabletextright8pt"/>
            </w:pPr>
          </w:p>
        </w:tc>
      </w:tr>
      <w:tr w:rsidR="006E51BF" w:rsidRPr="00021B0E" w14:paraId="6A72170B"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634" w:type="dxa"/>
            <w:tcBorders>
              <w:top w:val="single" w:sz="4" w:space="0" w:color="BFBFBF" w:themeColor="accent2"/>
              <w:bottom w:val="single" w:sz="4" w:space="0" w:color="000000" w:themeColor="text1"/>
            </w:tcBorders>
            <w:noWrap/>
            <w:hideMark/>
          </w:tcPr>
          <w:p w14:paraId="54DC0389" w14:textId="77777777" w:rsidR="006E51BF" w:rsidRPr="00021B0E" w:rsidRDefault="006E51BF">
            <w:pPr>
              <w:pStyle w:val="ARfintabletext8pt"/>
            </w:pPr>
            <w:r w:rsidRPr="00021B0E">
              <w:t>Net gain/(loss) on non-financial assets</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BFBFBF" w:themeColor="accent2"/>
              <w:bottom w:val="single" w:sz="4" w:space="0" w:color="000000" w:themeColor="text1"/>
            </w:tcBorders>
            <w:noWrap/>
            <w:tcMar>
              <w:right w:w="0" w:type="nil"/>
            </w:tcMar>
            <w:hideMark/>
          </w:tcPr>
          <w:p w14:paraId="178070D2" w14:textId="77777777" w:rsidR="006E51BF" w:rsidRPr="00021B0E" w:rsidRDefault="006E51BF">
            <w:pPr>
              <w:pStyle w:val="ARfintabletextright8pt"/>
            </w:pPr>
            <w:r>
              <w:t>–</w:t>
            </w:r>
          </w:p>
        </w:tc>
        <w:tc>
          <w:tcPr>
            <w:tcW w:w="841" w:type="dxa"/>
            <w:tcBorders>
              <w:top w:val="single" w:sz="4" w:space="0" w:color="BFBFBF" w:themeColor="accent2"/>
              <w:bottom w:val="single" w:sz="4" w:space="0" w:color="000000" w:themeColor="text1"/>
            </w:tcBorders>
            <w:noWrap/>
            <w:tcMar>
              <w:right w:w="0" w:type="nil"/>
            </w:tcMar>
            <w:hideMark/>
          </w:tcPr>
          <w:p w14:paraId="3574D7CB"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021B0E">
              <w:t>0.8</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BFBFBF" w:themeColor="accent2"/>
              <w:bottom w:val="single" w:sz="4" w:space="0" w:color="000000" w:themeColor="text1"/>
            </w:tcBorders>
            <w:noWrap/>
            <w:tcMar>
              <w:right w:w="0" w:type="nil"/>
            </w:tcMar>
            <w:hideMark/>
          </w:tcPr>
          <w:p w14:paraId="5E8766BA" w14:textId="77777777" w:rsidR="006E51BF" w:rsidRPr="00021B0E" w:rsidRDefault="006E51BF">
            <w:pPr>
              <w:pStyle w:val="ARfintabletextright8pt"/>
            </w:pPr>
            <w:r>
              <w:t>–</w:t>
            </w:r>
          </w:p>
        </w:tc>
        <w:tc>
          <w:tcPr>
            <w:tcW w:w="841" w:type="dxa"/>
            <w:tcBorders>
              <w:top w:val="single" w:sz="4" w:space="0" w:color="BFBFBF" w:themeColor="accent2"/>
              <w:bottom w:val="single" w:sz="4" w:space="0" w:color="000000" w:themeColor="text1"/>
            </w:tcBorders>
            <w:noWrap/>
            <w:tcMar>
              <w:right w:w="0" w:type="nil"/>
            </w:tcMar>
            <w:hideMark/>
          </w:tcPr>
          <w:p w14:paraId="0B7CE190"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BFBFBF" w:themeColor="accent2"/>
              <w:bottom w:val="single" w:sz="4" w:space="0" w:color="000000" w:themeColor="text1"/>
            </w:tcBorders>
            <w:noWrap/>
            <w:tcMar>
              <w:right w:w="0" w:type="nil"/>
            </w:tcMar>
            <w:hideMark/>
          </w:tcPr>
          <w:p w14:paraId="50E60BAE" w14:textId="77777777" w:rsidR="006E51BF" w:rsidRPr="00021B0E" w:rsidRDefault="006E51BF">
            <w:pPr>
              <w:pStyle w:val="ARfintabletextright8pt"/>
            </w:pPr>
            <w:r>
              <w:t>–</w:t>
            </w:r>
          </w:p>
        </w:tc>
        <w:tc>
          <w:tcPr>
            <w:tcW w:w="841" w:type="dxa"/>
            <w:tcBorders>
              <w:top w:val="single" w:sz="4" w:space="0" w:color="BFBFBF" w:themeColor="accent2"/>
              <w:bottom w:val="single" w:sz="4" w:space="0" w:color="000000" w:themeColor="text1"/>
            </w:tcBorders>
            <w:noWrap/>
            <w:tcMar>
              <w:right w:w="0" w:type="nil"/>
            </w:tcMar>
            <w:hideMark/>
          </w:tcPr>
          <w:p w14:paraId="245AFF29"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BFBFBF" w:themeColor="accent2"/>
              <w:bottom w:val="single" w:sz="4" w:space="0" w:color="000000" w:themeColor="text1"/>
            </w:tcBorders>
            <w:noWrap/>
            <w:tcMar>
              <w:right w:w="0" w:type="nil"/>
            </w:tcMar>
            <w:hideMark/>
          </w:tcPr>
          <w:p w14:paraId="51FB7F6A" w14:textId="77777777" w:rsidR="006E51BF" w:rsidRPr="00021B0E" w:rsidRDefault="006E51BF">
            <w:pPr>
              <w:pStyle w:val="ARfintabletextright8pt"/>
            </w:pPr>
            <w:r>
              <w:t>–</w:t>
            </w:r>
          </w:p>
        </w:tc>
        <w:tc>
          <w:tcPr>
            <w:tcW w:w="841" w:type="dxa"/>
            <w:tcBorders>
              <w:top w:val="single" w:sz="4" w:space="0" w:color="BFBFBF" w:themeColor="accent2"/>
              <w:bottom w:val="single" w:sz="4" w:space="0" w:color="000000" w:themeColor="text1"/>
            </w:tcBorders>
            <w:noWrap/>
            <w:tcMar>
              <w:right w:w="0" w:type="nil"/>
            </w:tcMar>
            <w:hideMark/>
          </w:tcPr>
          <w:p w14:paraId="3853F633"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BFBFBF" w:themeColor="accent2"/>
              <w:bottom w:val="single" w:sz="4" w:space="0" w:color="000000" w:themeColor="text1"/>
            </w:tcBorders>
            <w:noWrap/>
            <w:tcMar>
              <w:right w:w="0" w:type="nil"/>
            </w:tcMar>
            <w:hideMark/>
          </w:tcPr>
          <w:p w14:paraId="0818E390" w14:textId="77777777" w:rsidR="006E51BF" w:rsidRPr="00021B0E" w:rsidRDefault="006E51BF">
            <w:pPr>
              <w:pStyle w:val="ARfintabletextright8pt"/>
            </w:pPr>
            <w:r>
              <w:t>–</w:t>
            </w:r>
          </w:p>
        </w:tc>
        <w:tc>
          <w:tcPr>
            <w:tcW w:w="841" w:type="dxa"/>
            <w:tcBorders>
              <w:top w:val="single" w:sz="4" w:space="0" w:color="BFBFBF" w:themeColor="accent2"/>
              <w:bottom w:val="single" w:sz="4" w:space="0" w:color="000000" w:themeColor="text1"/>
            </w:tcBorders>
            <w:noWrap/>
            <w:tcMar>
              <w:right w:w="0" w:type="nil"/>
            </w:tcMar>
            <w:hideMark/>
          </w:tcPr>
          <w:p w14:paraId="3DDEC768"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BFBFBF" w:themeColor="accent2"/>
              <w:bottom w:val="single" w:sz="4" w:space="0" w:color="000000" w:themeColor="text1"/>
            </w:tcBorders>
            <w:noWrap/>
            <w:tcMar>
              <w:right w:w="0" w:type="nil"/>
            </w:tcMar>
            <w:hideMark/>
          </w:tcPr>
          <w:p w14:paraId="2694AE2F" w14:textId="77777777" w:rsidR="006E51BF" w:rsidRPr="00021B0E" w:rsidRDefault="006E51BF">
            <w:pPr>
              <w:pStyle w:val="ARfintabletextright8pt"/>
            </w:pPr>
            <w:r>
              <w:t>–</w:t>
            </w:r>
          </w:p>
        </w:tc>
        <w:tc>
          <w:tcPr>
            <w:tcW w:w="841" w:type="dxa"/>
            <w:tcBorders>
              <w:top w:val="single" w:sz="4" w:space="0" w:color="BFBFBF" w:themeColor="accent2"/>
              <w:bottom w:val="single" w:sz="4" w:space="0" w:color="000000" w:themeColor="text1"/>
            </w:tcBorders>
            <w:noWrap/>
            <w:tcMar>
              <w:right w:w="0" w:type="nil"/>
            </w:tcMar>
            <w:hideMark/>
          </w:tcPr>
          <w:p w14:paraId="30EB0CE7" w14:textId="77777777" w:rsidR="006E51BF" w:rsidRPr="00021B0E"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BFBFBF" w:themeColor="accent2"/>
              <w:bottom w:val="single" w:sz="4" w:space="0" w:color="000000" w:themeColor="text1"/>
            </w:tcBorders>
            <w:noWrap/>
            <w:tcMar>
              <w:right w:w="0" w:type="nil"/>
            </w:tcMar>
            <w:hideMark/>
          </w:tcPr>
          <w:p w14:paraId="445ACCDD" w14:textId="77777777" w:rsidR="006E51BF" w:rsidRPr="00021B0E" w:rsidRDefault="006E51BF">
            <w:pPr>
              <w:pStyle w:val="ARfintabletextright8pt"/>
            </w:pPr>
            <w:r w:rsidRPr="00021B0E">
              <w:t>0.8</w:t>
            </w:r>
          </w:p>
        </w:tc>
      </w:tr>
      <w:tr w:rsidR="006E51BF" w:rsidRPr="00021B0E" w14:paraId="4039974B"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634" w:type="dxa"/>
            <w:tcBorders>
              <w:top w:val="single" w:sz="4" w:space="0" w:color="000000" w:themeColor="text1"/>
              <w:bottom w:val="single" w:sz="4" w:space="0" w:color="000000" w:themeColor="text1"/>
            </w:tcBorders>
            <w:noWrap/>
            <w:hideMark/>
          </w:tcPr>
          <w:p w14:paraId="35EAFC41" w14:textId="77777777" w:rsidR="006E51BF" w:rsidRPr="00021B0E" w:rsidRDefault="006E51BF">
            <w:pPr>
              <w:pStyle w:val="ARfintabletextbold8pt"/>
            </w:pPr>
            <w:r w:rsidRPr="00021B0E">
              <w:t>Total administered other economic flows</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000000" w:themeColor="text1"/>
            </w:tcBorders>
            <w:noWrap/>
            <w:tcMar>
              <w:right w:w="0" w:type="nil"/>
            </w:tcMar>
            <w:hideMark/>
          </w:tcPr>
          <w:p w14:paraId="12DC1BBD" w14:textId="77777777" w:rsidR="006E51BF" w:rsidRPr="00021B0E" w:rsidRDefault="006E51BF">
            <w:pPr>
              <w:pStyle w:val="ARfintabletextboldright8pt"/>
            </w:pPr>
            <w:r>
              <w:t>–</w:t>
            </w:r>
          </w:p>
        </w:tc>
        <w:tc>
          <w:tcPr>
            <w:tcW w:w="841" w:type="dxa"/>
            <w:tcBorders>
              <w:top w:val="single" w:sz="4" w:space="0" w:color="000000" w:themeColor="text1"/>
              <w:bottom w:val="single" w:sz="4" w:space="0" w:color="000000" w:themeColor="text1"/>
            </w:tcBorders>
            <w:noWrap/>
            <w:tcMar>
              <w:right w:w="0" w:type="nil"/>
            </w:tcMar>
            <w:hideMark/>
          </w:tcPr>
          <w:p w14:paraId="2120D823" w14:textId="77777777" w:rsidR="006E51BF" w:rsidRPr="00021B0E"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rsidRPr="00021B0E">
              <w:t>0.8</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000000" w:themeColor="text1"/>
            </w:tcBorders>
            <w:noWrap/>
            <w:tcMar>
              <w:right w:w="0" w:type="nil"/>
            </w:tcMar>
            <w:hideMark/>
          </w:tcPr>
          <w:p w14:paraId="04106C38" w14:textId="77777777" w:rsidR="006E51BF" w:rsidRPr="00021B0E" w:rsidRDefault="006E51BF">
            <w:pPr>
              <w:pStyle w:val="ARfintabletextboldright8pt"/>
            </w:pPr>
            <w:r>
              <w:t>–</w:t>
            </w:r>
          </w:p>
        </w:tc>
        <w:tc>
          <w:tcPr>
            <w:tcW w:w="841" w:type="dxa"/>
            <w:tcBorders>
              <w:top w:val="single" w:sz="4" w:space="0" w:color="000000" w:themeColor="text1"/>
              <w:bottom w:val="single" w:sz="4" w:space="0" w:color="000000" w:themeColor="text1"/>
            </w:tcBorders>
            <w:noWrap/>
            <w:tcMar>
              <w:right w:w="0" w:type="nil"/>
            </w:tcMar>
            <w:hideMark/>
          </w:tcPr>
          <w:p w14:paraId="051447FC" w14:textId="77777777" w:rsidR="006E51BF" w:rsidRPr="00021B0E"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000000" w:themeColor="text1"/>
              <w:bottom w:val="single" w:sz="4" w:space="0" w:color="000000" w:themeColor="text1"/>
            </w:tcBorders>
            <w:noWrap/>
            <w:tcMar>
              <w:right w:w="0" w:type="nil"/>
            </w:tcMar>
            <w:hideMark/>
          </w:tcPr>
          <w:p w14:paraId="761A4564" w14:textId="77777777" w:rsidR="006E51BF" w:rsidRPr="00021B0E" w:rsidRDefault="006E51BF">
            <w:pPr>
              <w:pStyle w:val="ARfintabletextboldright8pt"/>
            </w:pPr>
            <w:r>
              <w:t>–</w:t>
            </w:r>
          </w:p>
        </w:tc>
        <w:tc>
          <w:tcPr>
            <w:tcW w:w="841" w:type="dxa"/>
            <w:tcBorders>
              <w:top w:val="single" w:sz="4" w:space="0" w:color="000000" w:themeColor="text1"/>
              <w:bottom w:val="single" w:sz="4" w:space="0" w:color="000000" w:themeColor="text1"/>
            </w:tcBorders>
            <w:noWrap/>
            <w:tcMar>
              <w:right w:w="0" w:type="nil"/>
            </w:tcMar>
            <w:hideMark/>
          </w:tcPr>
          <w:p w14:paraId="68E50C08" w14:textId="77777777" w:rsidR="006E51BF" w:rsidRPr="00021B0E"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000000" w:themeColor="text1"/>
            </w:tcBorders>
            <w:noWrap/>
            <w:tcMar>
              <w:right w:w="0" w:type="nil"/>
            </w:tcMar>
            <w:hideMark/>
          </w:tcPr>
          <w:p w14:paraId="360B6EBE" w14:textId="77777777" w:rsidR="006E51BF" w:rsidRPr="00021B0E" w:rsidRDefault="006E51BF">
            <w:pPr>
              <w:pStyle w:val="ARfintabletextboldright8pt"/>
            </w:pPr>
            <w:r>
              <w:t>–</w:t>
            </w:r>
          </w:p>
        </w:tc>
        <w:tc>
          <w:tcPr>
            <w:tcW w:w="841" w:type="dxa"/>
            <w:tcBorders>
              <w:top w:val="single" w:sz="4" w:space="0" w:color="000000" w:themeColor="text1"/>
              <w:bottom w:val="single" w:sz="4" w:space="0" w:color="000000" w:themeColor="text1"/>
            </w:tcBorders>
            <w:noWrap/>
            <w:tcMar>
              <w:right w:w="0" w:type="nil"/>
            </w:tcMar>
            <w:hideMark/>
          </w:tcPr>
          <w:p w14:paraId="6FA42EB6" w14:textId="77777777" w:rsidR="006E51BF" w:rsidRPr="00021B0E"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000000" w:themeColor="text1"/>
              <w:bottom w:val="single" w:sz="4" w:space="0" w:color="000000" w:themeColor="text1"/>
            </w:tcBorders>
            <w:noWrap/>
            <w:tcMar>
              <w:right w:w="0" w:type="nil"/>
            </w:tcMar>
            <w:hideMark/>
          </w:tcPr>
          <w:p w14:paraId="08A0E518" w14:textId="77777777" w:rsidR="006E51BF" w:rsidRPr="00021B0E" w:rsidRDefault="006E51BF">
            <w:pPr>
              <w:pStyle w:val="ARfintabletextboldright8pt"/>
            </w:pPr>
            <w:r>
              <w:t>–</w:t>
            </w:r>
          </w:p>
        </w:tc>
        <w:tc>
          <w:tcPr>
            <w:tcW w:w="841" w:type="dxa"/>
            <w:tcBorders>
              <w:top w:val="single" w:sz="4" w:space="0" w:color="000000" w:themeColor="text1"/>
              <w:bottom w:val="single" w:sz="4" w:space="0" w:color="000000" w:themeColor="text1"/>
            </w:tcBorders>
            <w:noWrap/>
            <w:tcMar>
              <w:right w:w="0" w:type="nil"/>
            </w:tcMar>
            <w:hideMark/>
          </w:tcPr>
          <w:p w14:paraId="1F818FA1" w14:textId="77777777" w:rsidR="006E51BF" w:rsidRPr="00021B0E"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tcBorders>
              <w:top w:val="single" w:sz="4" w:space="0" w:color="000000" w:themeColor="text1"/>
              <w:bottom w:val="single" w:sz="4" w:space="0" w:color="000000" w:themeColor="text1"/>
            </w:tcBorders>
            <w:noWrap/>
            <w:tcMar>
              <w:right w:w="0" w:type="nil"/>
            </w:tcMar>
            <w:hideMark/>
          </w:tcPr>
          <w:p w14:paraId="486FD906" w14:textId="77777777" w:rsidR="006E51BF" w:rsidRPr="00021B0E" w:rsidRDefault="006E51BF">
            <w:pPr>
              <w:pStyle w:val="ARfintabletextboldright8pt"/>
            </w:pPr>
            <w:r>
              <w:t>–</w:t>
            </w:r>
          </w:p>
        </w:tc>
        <w:tc>
          <w:tcPr>
            <w:tcW w:w="841" w:type="dxa"/>
            <w:tcBorders>
              <w:top w:val="single" w:sz="4" w:space="0" w:color="000000" w:themeColor="text1"/>
              <w:bottom w:val="single" w:sz="4" w:space="0" w:color="000000" w:themeColor="text1"/>
            </w:tcBorders>
            <w:noWrap/>
            <w:tcMar>
              <w:right w:w="0" w:type="nil"/>
            </w:tcMar>
            <w:hideMark/>
          </w:tcPr>
          <w:p w14:paraId="05E5843D" w14:textId="77777777" w:rsidR="006E51BF" w:rsidRPr="00021B0E" w:rsidRDefault="006E51BF">
            <w:pPr>
              <w:pStyle w:val="ARfintabletextbold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tcBorders>
              <w:top w:val="single" w:sz="4" w:space="0" w:color="000000" w:themeColor="text1"/>
              <w:bottom w:val="single" w:sz="4" w:space="0" w:color="000000" w:themeColor="text1"/>
            </w:tcBorders>
            <w:noWrap/>
            <w:tcMar>
              <w:right w:w="0" w:type="nil"/>
            </w:tcMar>
            <w:hideMark/>
          </w:tcPr>
          <w:p w14:paraId="510ECF75" w14:textId="77777777" w:rsidR="006E51BF" w:rsidRPr="00021B0E" w:rsidRDefault="006E51BF">
            <w:pPr>
              <w:pStyle w:val="ARfintabletextboldright8pt"/>
            </w:pPr>
            <w:r w:rsidRPr="00021B0E">
              <w:t>0.8</w:t>
            </w:r>
          </w:p>
        </w:tc>
      </w:tr>
      <w:tr w:rsidR="006E51BF" w:rsidRPr="00021B0E" w14:paraId="79EB6B29" w14:textId="77777777" w:rsidTr="00785A35">
        <w:trPr>
          <w:cnfStyle w:val="010000000000" w:firstRow="0" w:lastRow="1" w:firstColumn="0" w:lastColumn="0" w:oddVBand="0" w:evenVBand="0" w:oddHBand="0" w:evenHBand="0" w:firstRowFirstColumn="0" w:firstRowLastColumn="0" w:lastRowFirstColumn="0" w:lastRowLastColumn="0"/>
          <w:trHeight w:val="20"/>
        </w:trPr>
        <w:tc>
          <w:tcPr>
            <w:tcW w:w="3634" w:type="dxa"/>
            <w:noWrap/>
            <w:hideMark/>
          </w:tcPr>
          <w:p w14:paraId="7C6DDF46" w14:textId="77777777" w:rsidR="006E51BF" w:rsidRPr="00021B0E" w:rsidRDefault="006E51BF">
            <w:pPr>
              <w:pStyle w:val="ARfintabletextbold8pt"/>
            </w:pPr>
            <w:r w:rsidRPr="00021B0E">
              <w:t>Administered net result</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1E1B8821" w14:textId="77777777" w:rsidR="006E51BF" w:rsidRPr="00021B0E" w:rsidRDefault="006E51BF">
            <w:pPr>
              <w:pStyle w:val="ARfintabletextboldright8pt"/>
            </w:pPr>
            <w:r w:rsidRPr="00021B0E">
              <w:t>(0.6)</w:t>
            </w:r>
          </w:p>
        </w:tc>
        <w:tc>
          <w:tcPr>
            <w:tcW w:w="841" w:type="dxa"/>
            <w:noWrap/>
            <w:tcMar>
              <w:right w:w="0" w:type="nil"/>
            </w:tcMar>
            <w:hideMark/>
          </w:tcPr>
          <w:p w14:paraId="21420BAB" w14:textId="77777777" w:rsidR="006E51BF" w:rsidRPr="00021B0E"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021B0E">
              <w:t>0.3</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7DC66301" w14:textId="77777777" w:rsidR="006E51BF" w:rsidRPr="00021B0E" w:rsidRDefault="006E51BF">
            <w:pPr>
              <w:pStyle w:val="ARfintabletextboldright8pt"/>
            </w:pPr>
            <w:r w:rsidRPr="00021B0E">
              <w:t>(0.1)</w:t>
            </w:r>
          </w:p>
        </w:tc>
        <w:tc>
          <w:tcPr>
            <w:tcW w:w="841" w:type="dxa"/>
            <w:noWrap/>
            <w:tcMar>
              <w:right w:w="0" w:type="nil"/>
            </w:tcMar>
            <w:hideMark/>
          </w:tcPr>
          <w:p w14:paraId="3ED10CEF" w14:textId="77777777" w:rsidR="006E51BF" w:rsidRPr="00021B0E"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E000C7">
              <w:t>–</w:t>
            </w:r>
          </w:p>
        </w:tc>
        <w:tc>
          <w:tcPr>
            <w:cnfStyle w:val="000001000000" w:firstRow="0" w:lastRow="0" w:firstColumn="0" w:lastColumn="0" w:oddVBand="0" w:evenVBand="1" w:oddHBand="0" w:evenHBand="0" w:firstRowFirstColumn="0" w:firstRowLastColumn="0" w:lastRowFirstColumn="0" w:lastRowLastColumn="0"/>
            <w:tcW w:w="842" w:type="dxa"/>
            <w:noWrap/>
            <w:tcMar>
              <w:right w:w="0" w:type="nil"/>
            </w:tcMar>
            <w:hideMark/>
          </w:tcPr>
          <w:p w14:paraId="74E9F221" w14:textId="77777777" w:rsidR="006E51BF" w:rsidRPr="00021B0E" w:rsidRDefault="006E51BF">
            <w:pPr>
              <w:pStyle w:val="ARfintabletextboldright8pt"/>
            </w:pPr>
            <w:r>
              <w:t>–</w:t>
            </w:r>
          </w:p>
        </w:tc>
        <w:tc>
          <w:tcPr>
            <w:tcW w:w="841" w:type="dxa"/>
            <w:noWrap/>
            <w:tcMar>
              <w:right w:w="0" w:type="nil"/>
            </w:tcMar>
            <w:hideMark/>
          </w:tcPr>
          <w:p w14:paraId="4DFADCDD" w14:textId="77777777" w:rsidR="006E51BF" w:rsidRPr="00021B0E"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2BF7F44F" w14:textId="77777777" w:rsidR="006E51BF" w:rsidRPr="00021B0E" w:rsidRDefault="006E51BF">
            <w:pPr>
              <w:pStyle w:val="ARfintabletextboldright8pt"/>
            </w:pPr>
            <w:r>
              <w:t>–</w:t>
            </w:r>
          </w:p>
        </w:tc>
        <w:tc>
          <w:tcPr>
            <w:tcW w:w="841" w:type="dxa"/>
            <w:noWrap/>
            <w:tcMar>
              <w:right w:w="0" w:type="nil"/>
            </w:tcMar>
            <w:hideMark/>
          </w:tcPr>
          <w:p w14:paraId="6264555C" w14:textId="77777777" w:rsidR="006E51BF" w:rsidRPr="00021B0E"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noWrap/>
            <w:tcMar>
              <w:right w:w="0" w:type="nil"/>
            </w:tcMar>
            <w:hideMark/>
          </w:tcPr>
          <w:p w14:paraId="3E2BA262" w14:textId="77777777" w:rsidR="006E51BF" w:rsidRPr="00021B0E" w:rsidRDefault="006E51BF">
            <w:pPr>
              <w:pStyle w:val="ARfintabletextboldright8pt"/>
            </w:pPr>
            <w:r>
              <w:t>–</w:t>
            </w:r>
          </w:p>
        </w:tc>
        <w:tc>
          <w:tcPr>
            <w:tcW w:w="841" w:type="dxa"/>
            <w:noWrap/>
            <w:tcMar>
              <w:right w:w="0" w:type="nil"/>
            </w:tcMar>
            <w:hideMark/>
          </w:tcPr>
          <w:p w14:paraId="2B015C06" w14:textId="77777777" w:rsidR="006E51BF" w:rsidRPr="00021B0E"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1" w:type="dxa"/>
            <w:noWrap/>
            <w:tcMar>
              <w:right w:w="0" w:type="nil"/>
            </w:tcMar>
            <w:hideMark/>
          </w:tcPr>
          <w:p w14:paraId="6E342486" w14:textId="77777777" w:rsidR="006E51BF" w:rsidRPr="00021B0E" w:rsidRDefault="006E51BF">
            <w:pPr>
              <w:pStyle w:val="ARfintabletextboldright8pt"/>
            </w:pPr>
            <w:r w:rsidRPr="00E000C7">
              <w:t>–</w:t>
            </w:r>
          </w:p>
        </w:tc>
        <w:tc>
          <w:tcPr>
            <w:tcW w:w="841" w:type="dxa"/>
            <w:noWrap/>
            <w:tcMar>
              <w:right w:w="0" w:type="nil"/>
            </w:tcMar>
            <w:hideMark/>
          </w:tcPr>
          <w:p w14:paraId="616A1A6B" w14:textId="77777777" w:rsidR="006E51BF" w:rsidRPr="00021B0E"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842" w:type="dxa"/>
            <w:noWrap/>
            <w:tcMar>
              <w:right w:w="0" w:type="nil"/>
            </w:tcMar>
            <w:hideMark/>
          </w:tcPr>
          <w:p w14:paraId="3E8470E2" w14:textId="77777777" w:rsidR="006E51BF" w:rsidRPr="00021B0E" w:rsidRDefault="006E51BF">
            <w:pPr>
              <w:pStyle w:val="ARfintabletextboldright8pt"/>
            </w:pPr>
            <w:r w:rsidRPr="00021B0E">
              <w:t>(0.3)</w:t>
            </w:r>
          </w:p>
        </w:tc>
      </w:tr>
    </w:tbl>
    <w:p w14:paraId="577AF4A9" w14:textId="77777777" w:rsidR="006E51BF" w:rsidRPr="00021B0E" w:rsidRDefault="006E51BF">
      <w:pPr>
        <w:pStyle w:val="ARfintablenote"/>
      </w:pPr>
      <w:r w:rsidRPr="00021B0E">
        <w:t xml:space="preserve">Notes: </w:t>
      </w:r>
    </w:p>
    <w:p w14:paraId="2308DF79" w14:textId="77777777" w:rsidR="006E51BF" w:rsidRPr="00711B34" w:rsidRDefault="006E51BF" w:rsidP="006E51BF">
      <w:pPr>
        <w:pStyle w:val="ARfintablenoteroman"/>
        <w:numPr>
          <w:ilvl w:val="0"/>
          <w:numId w:val="63"/>
        </w:numPr>
      </w:pPr>
      <w:r w:rsidRPr="00021B0E">
        <w:t xml:space="preserve">Refer to Note 4.1.1 for </w:t>
      </w:r>
      <w:r w:rsidRPr="00711B34">
        <w:t>output definitions.</w:t>
      </w:r>
    </w:p>
    <w:p w14:paraId="2671E3E6" w14:textId="77777777" w:rsidR="006E51BF" w:rsidRPr="00711B34" w:rsidRDefault="006E51BF" w:rsidP="006E51BF">
      <w:pPr>
        <w:pStyle w:val="ARfintablenoteroman"/>
        <w:numPr>
          <w:ilvl w:val="0"/>
          <w:numId w:val="15"/>
        </w:numPr>
      </w:pPr>
      <w:r w:rsidRPr="00711B34">
        <w:t>Output 12 Housing Assistance is not applicable for administered activities.</w:t>
      </w:r>
    </w:p>
    <w:p w14:paraId="7A40B835" w14:textId="77777777" w:rsidR="006E51BF" w:rsidRPr="00E25C2F" w:rsidRDefault="006E51BF" w:rsidP="006E51BF">
      <w:pPr>
        <w:pStyle w:val="ARfintablenoteroman"/>
        <w:numPr>
          <w:ilvl w:val="0"/>
          <w:numId w:val="15"/>
        </w:numPr>
      </w:pPr>
      <w:r w:rsidRPr="009F6C12">
        <w:t>The administered appropriations and corresponding expenses represent Payments on behalf of the State (POBOS) appropriation the department accesses to administer the State’s contribution to the National Disability Insurance Scheme</w:t>
      </w:r>
      <w:r>
        <w:t>.</w:t>
      </w:r>
    </w:p>
    <w:p w14:paraId="74E12184" w14:textId="77777777" w:rsidR="006E51BF" w:rsidRDefault="006E51BF">
      <w:pPr>
        <w:pStyle w:val="ARfintablenoteroman"/>
        <w:numPr>
          <w:ilvl w:val="0"/>
          <w:numId w:val="0"/>
        </w:numPr>
        <w:ind w:left="357" w:hanging="357"/>
      </w:pPr>
    </w:p>
    <w:p w14:paraId="7BCFA83B" w14:textId="77777777" w:rsidR="006E51BF" w:rsidRDefault="006E51BF">
      <w:pPr>
        <w:pStyle w:val="ARfintablenoteroman"/>
        <w:numPr>
          <w:ilvl w:val="0"/>
          <w:numId w:val="0"/>
        </w:numPr>
        <w:ind w:left="357" w:hanging="357"/>
        <w:sectPr w:rsidR="006E51BF" w:rsidSect="00E7077C">
          <w:pgSz w:w="16838" w:h="11906" w:orient="landscape" w:code="9"/>
          <w:pgMar w:top="1588" w:right="1134" w:bottom="851" w:left="1134" w:header="680" w:footer="567" w:gutter="0"/>
          <w:cols w:space="340"/>
          <w:docGrid w:linePitch="360"/>
        </w:sectPr>
      </w:pPr>
    </w:p>
    <w:p w14:paraId="6875D332" w14:textId="77777777" w:rsidR="006E51BF" w:rsidRPr="00DA1B97" w:rsidRDefault="006E51BF" w:rsidP="00A635D3">
      <w:pPr>
        <w:pStyle w:val="Heading5"/>
        <w:spacing w:before="0"/>
      </w:pPr>
      <w:bookmarkStart w:id="292" w:name="_4.2.2__Administered"/>
      <w:bookmarkEnd w:id="292"/>
      <w:r w:rsidRPr="00DA1B97">
        <w:t xml:space="preserve">4.2.2 </w:t>
      </w:r>
      <w:r w:rsidRPr="00DA1B97">
        <w:tab/>
        <w:t xml:space="preserve">Administered assets and </w:t>
      </w:r>
      <w:r w:rsidRPr="00DA1B97">
        <w:rPr>
          <w:rStyle w:val="Heading5Char"/>
          <w:b/>
          <w:bCs/>
          <w:iCs/>
        </w:rPr>
        <w:t>liabilities</w:t>
      </w:r>
      <w:r w:rsidRPr="00DA1B97">
        <w:t xml:space="preserve"> </w:t>
      </w:r>
      <w:r w:rsidRPr="00DA1B97">
        <w:rPr>
          <w:vertAlign w:val="superscript"/>
        </w:rPr>
        <w:t>(</w:t>
      </w:r>
      <w:proofErr w:type="spellStart"/>
      <w:r w:rsidRPr="00DA1B97">
        <w:rPr>
          <w:vertAlign w:val="superscript"/>
        </w:rPr>
        <w:t>i</w:t>
      </w:r>
      <w:proofErr w:type="spellEnd"/>
      <w:r w:rsidRPr="00DA1B97">
        <w:rPr>
          <w:vertAlign w:val="superscript"/>
        </w:rPr>
        <w:t>)</w:t>
      </w:r>
    </w:p>
    <w:tbl>
      <w:tblPr>
        <w:tblStyle w:val="ARtable1"/>
        <w:tblW w:w="5000" w:type="pct"/>
        <w:tblLook w:val="00E0" w:firstRow="1" w:lastRow="1" w:firstColumn="1" w:lastColumn="0" w:noHBand="0" w:noVBand="0"/>
      </w:tblPr>
      <w:tblGrid>
        <w:gridCol w:w="6514"/>
        <w:gridCol w:w="1556"/>
        <w:gridCol w:w="1558"/>
      </w:tblGrid>
      <w:tr w:rsidR="006E51BF" w:rsidRPr="00AF6335" w14:paraId="31AAF86E" w14:textId="77777777" w:rsidTr="00785A35">
        <w:trPr>
          <w:cnfStyle w:val="100000000000" w:firstRow="1" w:lastRow="0" w:firstColumn="0" w:lastColumn="0" w:oddVBand="0" w:evenVBand="0" w:oddHBand="0" w:evenHBand="0" w:firstRowFirstColumn="0" w:firstRowLastColumn="0" w:lastRowFirstColumn="0" w:lastRowLastColumn="0"/>
          <w:trHeight w:val="550"/>
          <w:tblHeader/>
        </w:trPr>
        <w:tc>
          <w:tcPr>
            <w:tcW w:w="3383" w:type="pct"/>
          </w:tcPr>
          <w:p w14:paraId="0B34176F" w14:textId="77777777" w:rsidR="006E51BF" w:rsidRPr="00AF6335"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808" w:type="pct"/>
            <w:tcMar>
              <w:right w:w="0" w:type="nil"/>
            </w:tcMar>
            <w:hideMark/>
          </w:tcPr>
          <w:p w14:paraId="6873B0DF" w14:textId="77777777" w:rsidR="006E51BF" w:rsidRPr="00AF6335" w:rsidRDefault="006E51BF">
            <w:pPr>
              <w:pStyle w:val="ARfintablecolheadright"/>
              <w:rPr>
                <w:lang w:eastAsia="en-AU"/>
              </w:rPr>
            </w:pPr>
            <w:r w:rsidRPr="00AF6335">
              <w:rPr>
                <w:lang w:eastAsia="en-AU"/>
              </w:rPr>
              <w:t>2026</w:t>
            </w:r>
          </w:p>
          <w:p w14:paraId="39555A04" w14:textId="77777777" w:rsidR="006E51BF" w:rsidRPr="00AF6335" w:rsidRDefault="006E51BF">
            <w:pPr>
              <w:pStyle w:val="ARfintablecolheadright"/>
              <w:rPr>
                <w:lang w:eastAsia="en-AU"/>
              </w:rPr>
            </w:pPr>
            <w:r w:rsidRPr="00AF6335">
              <w:rPr>
                <w:lang w:eastAsia="en-AU"/>
              </w:rPr>
              <w:t>$M</w:t>
            </w:r>
          </w:p>
        </w:tc>
        <w:tc>
          <w:tcPr>
            <w:tcW w:w="809" w:type="pct"/>
            <w:noWrap/>
            <w:tcMar>
              <w:right w:w="0" w:type="nil"/>
            </w:tcMar>
            <w:hideMark/>
          </w:tcPr>
          <w:p w14:paraId="1A6B20B9" w14:textId="77777777" w:rsidR="006E51BF" w:rsidRPr="00AF6335"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F6335">
              <w:rPr>
                <w:lang w:eastAsia="en-AU"/>
              </w:rPr>
              <w:t>2025</w:t>
            </w:r>
          </w:p>
          <w:p w14:paraId="1AD327CF" w14:textId="77777777" w:rsidR="006E51BF" w:rsidRPr="00AF6335"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F6335">
              <w:rPr>
                <w:lang w:eastAsia="en-AU"/>
              </w:rPr>
              <w:t xml:space="preserve"> $M </w:t>
            </w:r>
          </w:p>
        </w:tc>
      </w:tr>
      <w:tr w:rsidR="006E51BF" w:rsidRPr="00AF6335" w14:paraId="1E9BD326" w14:textId="77777777" w:rsidTr="00785A35">
        <w:trPr>
          <w:cnfStyle w:val="000000100000" w:firstRow="0" w:lastRow="0" w:firstColumn="0" w:lastColumn="0" w:oddVBand="0" w:evenVBand="0" w:oddHBand="1" w:evenHBand="0" w:firstRowFirstColumn="0" w:firstRowLastColumn="0" w:lastRowFirstColumn="0" w:lastRowLastColumn="0"/>
          <w:trHeight w:val="270"/>
        </w:trPr>
        <w:tc>
          <w:tcPr>
            <w:tcW w:w="3383" w:type="pct"/>
            <w:noWrap/>
            <w:hideMark/>
          </w:tcPr>
          <w:p w14:paraId="070971B3" w14:textId="77777777" w:rsidR="006E51BF" w:rsidRPr="00AF6335" w:rsidRDefault="006E51BF">
            <w:pPr>
              <w:pStyle w:val="ARfintabletextboldcoloured"/>
              <w:rPr>
                <w:lang w:eastAsia="en-AU"/>
              </w:rPr>
            </w:pPr>
            <w:r w:rsidRPr="00AF6335">
              <w:rPr>
                <w:lang w:eastAsia="en-AU"/>
              </w:rPr>
              <w:t>Administered assets</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tcPr>
          <w:p w14:paraId="105B9C6C" w14:textId="77777777" w:rsidR="006E51BF" w:rsidRPr="00AF6335" w:rsidRDefault="006E51BF">
            <w:pPr>
              <w:pStyle w:val="ARfintabletextright"/>
              <w:rPr>
                <w:lang w:eastAsia="en-AU"/>
              </w:rPr>
            </w:pPr>
          </w:p>
        </w:tc>
        <w:tc>
          <w:tcPr>
            <w:tcW w:w="809" w:type="pct"/>
            <w:noWrap/>
            <w:tcMar>
              <w:right w:w="0" w:type="nil"/>
            </w:tcMar>
          </w:tcPr>
          <w:p w14:paraId="258C9E26" w14:textId="77777777" w:rsidR="006E51BF" w:rsidRPr="00AF6335"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AF6335" w14:paraId="51479239" w14:textId="77777777" w:rsidTr="00785A35">
        <w:trPr>
          <w:cnfStyle w:val="000000010000" w:firstRow="0" w:lastRow="0" w:firstColumn="0" w:lastColumn="0" w:oddVBand="0" w:evenVBand="0" w:oddHBand="0" w:evenHBand="1" w:firstRowFirstColumn="0" w:firstRowLastColumn="0" w:lastRowFirstColumn="0" w:lastRowLastColumn="0"/>
          <w:trHeight w:val="270"/>
        </w:trPr>
        <w:tc>
          <w:tcPr>
            <w:tcW w:w="3383" w:type="pct"/>
            <w:tcBorders>
              <w:bottom w:val="single" w:sz="4" w:space="0" w:color="BFBFBF" w:themeColor="accent2"/>
            </w:tcBorders>
            <w:noWrap/>
            <w:hideMark/>
          </w:tcPr>
          <w:p w14:paraId="5B002D3F" w14:textId="77777777" w:rsidR="006E51BF" w:rsidRPr="00AF6335" w:rsidRDefault="006E51BF">
            <w:pPr>
              <w:pStyle w:val="ARfintabletextbold"/>
              <w:rPr>
                <w:lang w:eastAsia="en-AU"/>
              </w:rPr>
            </w:pPr>
            <w:r w:rsidRPr="00AF6335">
              <w:rPr>
                <w:lang w:eastAsia="en-AU"/>
              </w:rPr>
              <w:t>Financial assets</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shd w:val="clear" w:color="auto" w:fill="auto"/>
            <w:noWrap/>
            <w:tcMar>
              <w:right w:w="0" w:type="nil"/>
            </w:tcMar>
          </w:tcPr>
          <w:p w14:paraId="30D4BEED" w14:textId="77777777" w:rsidR="006E51BF" w:rsidRPr="00AF6335" w:rsidRDefault="006E51BF">
            <w:pPr>
              <w:pStyle w:val="ARfintabletextright"/>
              <w:rPr>
                <w:lang w:eastAsia="en-AU"/>
              </w:rPr>
            </w:pPr>
          </w:p>
        </w:tc>
        <w:tc>
          <w:tcPr>
            <w:tcW w:w="809" w:type="pct"/>
            <w:tcBorders>
              <w:bottom w:val="single" w:sz="4" w:space="0" w:color="BFBFBF" w:themeColor="accent2"/>
            </w:tcBorders>
            <w:noWrap/>
            <w:tcMar>
              <w:right w:w="0" w:type="nil"/>
            </w:tcMar>
          </w:tcPr>
          <w:p w14:paraId="6CAD594B" w14:textId="77777777" w:rsidR="006E51BF" w:rsidRPr="00AF6335"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r>
      <w:tr w:rsidR="006E51BF" w:rsidRPr="00AF6335" w14:paraId="03AC9D7B" w14:textId="77777777" w:rsidTr="00785A35">
        <w:trPr>
          <w:cnfStyle w:val="000000100000" w:firstRow="0" w:lastRow="0" w:firstColumn="0" w:lastColumn="0" w:oddVBand="0" w:evenVBand="0" w:oddHBand="1" w:evenHBand="0" w:firstRowFirstColumn="0" w:firstRowLastColumn="0" w:lastRowFirstColumn="0" w:lastRowLastColumn="0"/>
          <w:trHeight w:val="270"/>
        </w:trPr>
        <w:tc>
          <w:tcPr>
            <w:tcW w:w="3383" w:type="pct"/>
            <w:tcBorders>
              <w:top w:val="single" w:sz="4" w:space="0" w:color="BFBFBF" w:themeColor="accent2"/>
              <w:bottom w:val="single" w:sz="4" w:space="0" w:color="000000" w:themeColor="text1"/>
            </w:tcBorders>
            <w:noWrap/>
            <w:hideMark/>
          </w:tcPr>
          <w:p w14:paraId="41C177D6" w14:textId="77777777" w:rsidR="006E51BF" w:rsidRPr="00AF6335" w:rsidRDefault="006E51BF">
            <w:pPr>
              <w:pStyle w:val="ARfintabletext"/>
              <w:rPr>
                <w:lang w:eastAsia="en-AU"/>
              </w:rPr>
            </w:pPr>
            <w:r w:rsidRPr="00AF6335">
              <w:rPr>
                <w:lang w:eastAsia="en-AU"/>
              </w:rPr>
              <w:t>Receivables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361F327F" w14:textId="77777777" w:rsidR="006E51BF" w:rsidRPr="00AF6335" w:rsidRDefault="006E51BF">
            <w:pPr>
              <w:pStyle w:val="ARfintabletextright"/>
              <w:rPr>
                <w:lang w:eastAsia="en-AU"/>
              </w:rPr>
            </w:pPr>
            <w:r w:rsidRPr="00AF6335">
              <w:rPr>
                <w:lang w:eastAsia="en-AU"/>
              </w:rPr>
              <w:t>3.1</w:t>
            </w:r>
          </w:p>
        </w:tc>
        <w:tc>
          <w:tcPr>
            <w:tcW w:w="809" w:type="pct"/>
            <w:tcBorders>
              <w:top w:val="single" w:sz="4" w:space="0" w:color="BFBFBF" w:themeColor="accent2"/>
              <w:bottom w:val="single" w:sz="4" w:space="0" w:color="000000" w:themeColor="text1"/>
            </w:tcBorders>
            <w:noWrap/>
            <w:tcMar>
              <w:right w:w="0" w:type="nil"/>
            </w:tcMar>
            <w:hideMark/>
          </w:tcPr>
          <w:p w14:paraId="65E0FF3C" w14:textId="77777777" w:rsidR="006E51BF" w:rsidRPr="00AF6335"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AF6335">
              <w:rPr>
                <w:lang w:eastAsia="en-AU"/>
              </w:rPr>
              <w:t>3.3</w:t>
            </w:r>
          </w:p>
        </w:tc>
      </w:tr>
      <w:tr w:rsidR="006E51BF" w:rsidRPr="00AF6335" w14:paraId="7D83355A" w14:textId="77777777" w:rsidTr="00785A35">
        <w:trPr>
          <w:cnfStyle w:val="000000010000" w:firstRow="0" w:lastRow="0" w:firstColumn="0" w:lastColumn="0" w:oddVBand="0" w:evenVBand="0" w:oddHBand="0" w:evenHBand="1" w:firstRowFirstColumn="0" w:firstRowLastColumn="0" w:lastRowFirstColumn="0" w:lastRowLastColumn="0"/>
          <w:trHeight w:val="280"/>
        </w:trPr>
        <w:tc>
          <w:tcPr>
            <w:tcW w:w="3383" w:type="pct"/>
            <w:tcBorders>
              <w:top w:val="single" w:sz="4" w:space="0" w:color="000000" w:themeColor="text1"/>
              <w:bottom w:val="single" w:sz="4" w:space="0" w:color="000000" w:themeColor="text1"/>
            </w:tcBorders>
            <w:noWrap/>
            <w:hideMark/>
          </w:tcPr>
          <w:p w14:paraId="102234C1" w14:textId="77777777" w:rsidR="006E51BF" w:rsidRPr="00AF6335" w:rsidRDefault="006E51BF">
            <w:pPr>
              <w:pStyle w:val="ARfintabletextbold"/>
              <w:rPr>
                <w:lang w:eastAsia="en-AU"/>
              </w:rPr>
            </w:pPr>
            <w:r w:rsidRPr="00AF6335">
              <w:rPr>
                <w:lang w:eastAsia="en-AU"/>
              </w:rPr>
              <w:t>Total administered assets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0B4E8504" w14:textId="77777777" w:rsidR="006E51BF" w:rsidRPr="00AF6335" w:rsidRDefault="006E51BF">
            <w:pPr>
              <w:pStyle w:val="ARfintabletextboldright"/>
              <w:rPr>
                <w:lang w:eastAsia="en-AU"/>
              </w:rPr>
            </w:pPr>
            <w:r w:rsidRPr="00AF6335">
              <w:rPr>
                <w:lang w:eastAsia="en-AU"/>
              </w:rPr>
              <w:t>3.1</w:t>
            </w:r>
          </w:p>
        </w:tc>
        <w:tc>
          <w:tcPr>
            <w:tcW w:w="809" w:type="pct"/>
            <w:tcBorders>
              <w:top w:val="single" w:sz="4" w:space="0" w:color="000000" w:themeColor="text1"/>
              <w:bottom w:val="single" w:sz="4" w:space="0" w:color="000000" w:themeColor="text1"/>
            </w:tcBorders>
            <w:noWrap/>
            <w:tcMar>
              <w:right w:w="0" w:type="nil"/>
            </w:tcMar>
            <w:hideMark/>
          </w:tcPr>
          <w:p w14:paraId="5E51A712" w14:textId="77777777" w:rsidR="006E51BF" w:rsidRPr="00AF6335"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AF6335">
              <w:rPr>
                <w:lang w:eastAsia="en-AU"/>
              </w:rPr>
              <w:t>3.3</w:t>
            </w:r>
          </w:p>
        </w:tc>
      </w:tr>
      <w:tr w:rsidR="006E51BF" w:rsidRPr="00AF6335" w14:paraId="53AC3ED1" w14:textId="77777777" w:rsidTr="00785A35">
        <w:trPr>
          <w:cnfStyle w:val="000000100000" w:firstRow="0" w:lastRow="0" w:firstColumn="0" w:lastColumn="0" w:oddVBand="0" w:evenVBand="0" w:oddHBand="1" w:evenHBand="0" w:firstRowFirstColumn="0" w:firstRowLastColumn="0" w:lastRowFirstColumn="0" w:lastRowLastColumn="0"/>
          <w:trHeight w:val="270"/>
        </w:trPr>
        <w:tc>
          <w:tcPr>
            <w:tcW w:w="3383" w:type="pct"/>
            <w:tcBorders>
              <w:top w:val="single" w:sz="4" w:space="0" w:color="000000" w:themeColor="text1"/>
            </w:tcBorders>
            <w:noWrap/>
            <w:hideMark/>
          </w:tcPr>
          <w:p w14:paraId="2DA2B967" w14:textId="77777777" w:rsidR="006E51BF" w:rsidRPr="00AF6335" w:rsidRDefault="006E51BF">
            <w:pPr>
              <w:pStyle w:val="ARfintabletextboldcoloured"/>
              <w:rPr>
                <w:lang w:eastAsia="en-AU"/>
              </w:rPr>
            </w:pPr>
            <w:r w:rsidRPr="00AF6335">
              <w:rPr>
                <w:lang w:eastAsia="en-AU"/>
              </w:rPr>
              <w:t>Administered liabilities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noWrap/>
            <w:tcMar>
              <w:right w:w="0" w:type="nil"/>
            </w:tcMar>
            <w:hideMark/>
          </w:tcPr>
          <w:p w14:paraId="56AF7A0F" w14:textId="77777777" w:rsidR="006E51BF" w:rsidRPr="00AF6335" w:rsidRDefault="006E51BF">
            <w:pPr>
              <w:pStyle w:val="ARfintabletextright"/>
              <w:rPr>
                <w:lang w:eastAsia="en-AU"/>
              </w:rPr>
            </w:pPr>
          </w:p>
        </w:tc>
        <w:tc>
          <w:tcPr>
            <w:tcW w:w="809" w:type="pct"/>
            <w:tcBorders>
              <w:top w:val="single" w:sz="4" w:space="0" w:color="000000" w:themeColor="text1"/>
            </w:tcBorders>
            <w:noWrap/>
            <w:tcMar>
              <w:right w:w="0" w:type="nil"/>
            </w:tcMar>
            <w:hideMark/>
          </w:tcPr>
          <w:p w14:paraId="24EA82E5" w14:textId="77777777" w:rsidR="006E51BF" w:rsidRPr="00AF6335"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AF6335" w14:paraId="7D4BF40A" w14:textId="77777777" w:rsidTr="00785A35">
        <w:trPr>
          <w:cnfStyle w:val="000000010000" w:firstRow="0" w:lastRow="0" w:firstColumn="0" w:lastColumn="0" w:oddVBand="0" w:evenVBand="0" w:oddHBand="0" w:evenHBand="1" w:firstRowFirstColumn="0" w:firstRowLastColumn="0" w:lastRowFirstColumn="0" w:lastRowLastColumn="0"/>
          <w:trHeight w:val="270"/>
        </w:trPr>
        <w:tc>
          <w:tcPr>
            <w:tcW w:w="3383" w:type="pct"/>
            <w:tcBorders>
              <w:bottom w:val="single" w:sz="4" w:space="0" w:color="BFBFBF" w:themeColor="accent2"/>
            </w:tcBorders>
            <w:noWrap/>
            <w:hideMark/>
          </w:tcPr>
          <w:p w14:paraId="11F2B78A" w14:textId="77777777" w:rsidR="006E51BF" w:rsidRPr="00AF6335" w:rsidRDefault="006E51BF">
            <w:pPr>
              <w:pStyle w:val="ARfintabletextbold"/>
              <w:rPr>
                <w:lang w:eastAsia="en-AU"/>
              </w:rPr>
            </w:pPr>
            <w:r w:rsidRPr="00AF6335">
              <w:rPr>
                <w:lang w:eastAsia="en-AU"/>
              </w:rPr>
              <w:t>Financial liabilities</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2777D3EB" w14:textId="77777777" w:rsidR="006E51BF" w:rsidRPr="00AF6335" w:rsidRDefault="006E51BF">
            <w:pPr>
              <w:pStyle w:val="ARfintabletextright"/>
              <w:rPr>
                <w:lang w:eastAsia="en-AU"/>
              </w:rPr>
            </w:pPr>
          </w:p>
        </w:tc>
        <w:tc>
          <w:tcPr>
            <w:tcW w:w="809" w:type="pct"/>
            <w:tcBorders>
              <w:bottom w:val="single" w:sz="4" w:space="0" w:color="BFBFBF" w:themeColor="accent2"/>
            </w:tcBorders>
            <w:noWrap/>
            <w:tcMar>
              <w:right w:w="0" w:type="nil"/>
            </w:tcMar>
            <w:hideMark/>
          </w:tcPr>
          <w:p w14:paraId="3B09AD59" w14:textId="77777777" w:rsidR="006E51BF" w:rsidRPr="00AF6335"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r>
      <w:tr w:rsidR="006E51BF" w:rsidRPr="00AF6335" w14:paraId="116B4191" w14:textId="77777777" w:rsidTr="00785A35">
        <w:trPr>
          <w:cnfStyle w:val="000000100000" w:firstRow="0" w:lastRow="0" w:firstColumn="0" w:lastColumn="0" w:oddVBand="0" w:evenVBand="0" w:oddHBand="1" w:evenHBand="0" w:firstRowFirstColumn="0" w:firstRowLastColumn="0" w:lastRowFirstColumn="0" w:lastRowLastColumn="0"/>
          <w:trHeight w:val="270"/>
        </w:trPr>
        <w:tc>
          <w:tcPr>
            <w:tcW w:w="3383" w:type="pct"/>
            <w:tcBorders>
              <w:top w:val="single" w:sz="4" w:space="0" w:color="BFBFBF" w:themeColor="accent2"/>
              <w:bottom w:val="single" w:sz="4" w:space="0" w:color="000000" w:themeColor="text1"/>
            </w:tcBorders>
            <w:noWrap/>
            <w:hideMark/>
          </w:tcPr>
          <w:p w14:paraId="65DE1320" w14:textId="77777777" w:rsidR="006E51BF" w:rsidRPr="00AF6335" w:rsidRDefault="006E51BF">
            <w:pPr>
              <w:pStyle w:val="ARfintabletext"/>
              <w:rPr>
                <w:lang w:eastAsia="en-AU"/>
              </w:rPr>
            </w:pPr>
            <w:r w:rsidRPr="00AF6335">
              <w:rPr>
                <w:lang w:eastAsia="en-AU"/>
              </w:rPr>
              <w:t>Amounts payable to the consolidated fund</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13909742" w14:textId="77777777" w:rsidR="006E51BF" w:rsidRPr="00AF6335" w:rsidRDefault="006E51BF">
            <w:pPr>
              <w:pStyle w:val="ARfintabletextright"/>
              <w:rPr>
                <w:lang w:eastAsia="en-AU"/>
              </w:rPr>
            </w:pPr>
            <w:r w:rsidRPr="00AF6335">
              <w:rPr>
                <w:lang w:eastAsia="en-AU"/>
              </w:rPr>
              <w:t>3.1</w:t>
            </w:r>
          </w:p>
        </w:tc>
        <w:tc>
          <w:tcPr>
            <w:tcW w:w="809" w:type="pct"/>
            <w:tcBorders>
              <w:top w:val="single" w:sz="4" w:space="0" w:color="BFBFBF" w:themeColor="accent2"/>
              <w:bottom w:val="single" w:sz="4" w:space="0" w:color="000000" w:themeColor="text1"/>
            </w:tcBorders>
            <w:noWrap/>
            <w:tcMar>
              <w:right w:w="0" w:type="nil"/>
            </w:tcMar>
            <w:hideMark/>
          </w:tcPr>
          <w:p w14:paraId="2D077048" w14:textId="77777777" w:rsidR="006E51BF" w:rsidRPr="00AF6335"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AF6335">
              <w:rPr>
                <w:lang w:eastAsia="en-AU"/>
              </w:rPr>
              <w:t>3.3</w:t>
            </w:r>
          </w:p>
        </w:tc>
      </w:tr>
      <w:tr w:rsidR="006E51BF" w:rsidRPr="00AF6335" w14:paraId="10908643" w14:textId="77777777" w:rsidTr="00785A35">
        <w:trPr>
          <w:cnfStyle w:val="000000010000" w:firstRow="0" w:lastRow="0" w:firstColumn="0" w:lastColumn="0" w:oddVBand="0" w:evenVBand="0" w:oddHBand="0" w:evenHBand="1" w:firstRowFirstColumn="0" w:firstRowLastColumn="0" w:lastRowFirstColumn="0" w:lastRowLastColumn="0"/>
          <w:trHeight w:val="280"/>
        </w:trPr>
        <w:tc>
          <w:tcPr>
            <w:tcW w:w="3383" w:type="pct"/>
            <w:tcBorders>
              <w:top w:val="single" w:sz="4" w:space="0" w:color="000000" w:themeColor="text1"/>
              <w:bottom w:val="single" w:sz="4" w:space="0" w:color="000000" w:themeColor="text1"/>
            </w:tcBorders>
            <w:noWrap/>
            <w:hideMark/>
          </w:tcPr>
          <w:p w14:paraId="5ABF0F1F" w14:textId="77777777" w:rsidR="006E51BF" w:rsidRPr="00AF6335" w:rsidRDefault="006E51BF">
            <w:pPr>
              <w:pStyle w:val="ARfintabletextbold"/>
              <w:rPr>
                <w:lang w:eastAsia="en-AU"/>
              </w:rPr>
            </w:pPr>
            <w:r w:rsidRPr="00AF6335">
              <w:rPr>
                <w:lang w:eastAsia="en-AU"/>
              </w:rPr>
              <w:t>Total administered liabilities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6EB401FC" w14:textId="77777777" w:rsidR="006E51BF" w:rsidRPr="00AF6335" w:rsidRDefault="006E51BF">
            <w:pPr>
              <w:pStyle w:val="ARfintabletextboldright"/>
              <w:rPr>
                <w:lang w:eastAsia="en-AU"/>
              </w:rPr>
            </w:pPr>
            <w:r w:rsidRPr="00AF6335">
              <w:rPr>
                <w:lang w:eastAsia="en-AU"/>
              </w:rPr>
              <w:t>3.1</w:t>
            </w:r>
          </w:p>
        </w:tc>
        <w:tc>
          <w:tcPr>
            <w:tcW w:w="809" w:type="pct"/>
            <w:tcBorders>
              <w:top w:val="single" w:sz="4" w:space="0" w:color="000000" w:themeColor="text1"/>
              <w:bottom w:val="single" w:sz="4" w:space="0" w:color="000000" w:themeColor="text1"/>
            </w:tcBorders>
            <w:noWrap/>
            <w:tcMar>
              <w:right w:w="0" w:type="nil"/>
            </w:tcMar>
            <w:hideMark/>
          </w:tcPr>
          <w:p w14:paraId="0ABD05B4" w14:textId="77777777" w:rsidR="006E51BF" w:rsidRPr="00AF6335"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AF6335">
              <w:rPr>
                <w:lang w:eastAsia="en-AU"/>
              </w:rPr>
              <w:t>3.3</w:t>
            </w:r>
          </w:p>
        </w:tc>
      </w:tr>
      <w:tr w:rsidR="006E51BF" w:rsidRPr="00AF6335" w14:paraId="2A0D9C45" w14:textId="77777777" w:rsidTr="00785A35">
        <w:trPr>
          <w:cnfStyle w:val="010000000000" w:firstRow="0" w:lastRow="1" w:firstColumn="0" w:lastColumn="0" w:oddVBand="0" w:evenVBand="0" w:oddHBand="0" w:evenHBand="0" w:firstRowFirstColumn="0" w:firstRowLastColumn="0" w:lastRowFirstColumn="0" w:lastRowLastColumn="0"/>
          <w:trHeight w:val="280"/>
        </w:trPr>
        <w:tc>
          <w:tcPr>
            <w:tcW w:w="3383" w:type="pct"/>
            <w:noWrap/>
            <w:hideMark/>
          </w:tcPr>
          <w:p w14:paraId="137B70D7" w14:textId="77777777" w:rsidR="006E51BF" w:rsidRPr="00AF6335" w:rsidRDefault="006E51BF">
            <w:pPr>
              <w:pStyle w:val="ARfintabletextbold"/>
              <w:rPr>
                <w:lang w:eastAsia="en-AU"/>
              </w:rPr>
            </w:pPr>
            <w:r w:rsidRPr="00AF6335">
              <w:rPr>
                <w:lang w:eastAsia="en-AU"/>
              </w:rPr>
              <w:t>Total administered net assets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1A499F0" w14:textId="77777777" w:rsidR="006E51BF" w:rsidRPr="00AF6335" w:rsidRDefault="006E51BF">
            <w:pPr>
              <w:pStyle w:val="ARfintabletextboldright"/>
              <w:rPr>
                <w:lang w:eastAsia="en-AU"/>
              </w:rPr>
            </w:pPr>
            <w:r>
              <w:rPr>
                <w:lang w:eastAsia="en-AU"/>
              </w:rPr>
              <w:t>–</w:t>
            </w:r>
          </w:p>
        </w:tc>
        <w:tc>
          <w:tcPr>
            <w:tcW w:w="809" w:type="pct"/>
            <w:noWrap/>
            <w:tcMar>
              <w:right w:w="0" w:type="nil"/>
            </w:tcMar>
            <w:hideMark/>
          </w:tcPr>
          <w:p w14:paraId="22B237A6" w14:textId="77777777" w:rsidR="006E51BF" w:rsidRPr="00AF6335"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Pr>
                <w:lang w:eastAsia="en-AU"/>
              </w:rPr>
              <w:t>–</w:t>
            </w:r>
          </w:p>
        </w:tc>
      </w:tr>
    </w:tbl>
    <w:p w14:paraId="6730D48D" w14:textId="77777777" w:rsidR="006E51BF" w:rsidRPr="00A1789F" w:rsidRDefault="006E51BF">
      <w:pPr>
        <w:pStyle w:val="ARfintablenote"/>
        <w:rPr>
          <w:lang w:eastAsia="en-AU"/>
        </w:rPr>
      </w:pPr>
      <w:r w:rsidRPr="00AF6335">
        <w:rPr>
          <w:lang w:eastAsia="en-AU"/>
        </w:rPr>
        <w:t>Note:</w:t>
      </w:r>
    </w:p>
    <w:p w14:paraId="5757005F" w14:textId="5F79A3D7" w:rsidR="006E51BF" w:rsidRDefault="006E51BF" w:rsidP="006E51BF">
      <w:pPr>
        <w:pStyle w:val="ARfintablenoteroman"/>
        <w:numPr>
          <w:ilvl w:val="0"/>
          <w:numId w:val="64"/>
        </w:numPr>
      </w:pPr>
      <w:r w:rsidRPr="00AF6335">
        <w:t xml:space="preserve">The administered assets and liabilities are not disclosed by output, which is </w:t>
      </w:r>
      <w:proofErr w:type="gramStart"/>
      <w:r w:rsidRPr="00AF6335">
        <w:t>due to the fact that</w:t>
      </w:r>
      <w:proofErr w:type="gramEnd"/>
      <w:r w:rsidRPr="00AF6335">
        <w:t xml:space="preserve"> the administered assets and</w:t>
      </w:r>
      <w:r w:rsidR="00BE21A4">
        <w:t> </w:t>
      </w:r>
      <w:r w:rsidRPr="00AF6335">
        <w:t>liabilities predominantly relate to the Victorian Natural Disasters Relief Trust Account (NDRA) and Specialist Disability Accommodation (SDA).</w:t>
      </w:r>
    </w:p>
    <w:p w14:paraId="3FB62842" w14:textId="77777777" w:rsidR="006E51BF" w:rsidRPr="00E97A0F" w:rsidRDefault="006E51BF">
      <w:pPr>
        <w:pStyle w:val="Heading4"/>
        <w:rPr>
          <w:lang w:eastAsia="en-AU"/>
        </w:rPr>
      </w:pPr>
      <w:r w:rsidRPr="00E97A0F">
        <w:rPr>
          <w:lang w:eastAsia="en-AU"/>
        </w:rPr>
        <w:t xml:space="preserve">4.3 </w:t>
      </w:r>
      <w:r>
        <w:rPr>
          <w:lang w:eastAsia="en-AU"/>
        </w:rPr>
        <w:tab/>
      </w:r>
      <w:r w:rsidRPr="00E97A0F">
        <w:rPr>
          <w:lang w:eastAsia="en-AU"/>
        </w:rPr>
        <w:t>Restructuring of administrative arrangements</w:t>
      </w:r>
    </w:p>
    <w:p w14:paraId="4A334D75" w14:textId="77777777" w:rsidR="006E51BF" w:rsidRPr="00E97A0F" w:rsidRDefault="006E51BF">
      <w:pPr>
        <w:pStyle w:val="Heading5"/>
        <w:rPr>
          <w:lang w:eastAsia="en-AU"/>
        </w:rPr>
      </w:pPr>
      <w:r w:rsidRPr="00E97A0F">
        <w:rPr>
          <w:lang w:eastAsia="en-AU"/>
        </w:rPr>
        <w:t xml:space="preserve">Transfer of employees from Department of Government Services to the Social Services Regulator (SSR) from 9 February 2026 </w:t>
      </w:r>
    </w:p>
    <w:p w14:paraId="2D2F6768" w14:textId="77777777" w:rsidR="006E51BF" w:rsidRPr="00E97A0F" w:rsidRDefault="006E51BF">
      <w:pPr>
        <w:pStyle w:val="ARfinbody"/>
        <w:rPr>
          <w:rFonts w:ascii="Times New Roman" w:hAnsi="Times New Roman"/>
          <w:lang w:eastAsia="en-AU"/>
        </w:rPr>
      </w:pPr>
      <w:r w:rsidRPr="00E97A0F">
        <w:rPr>
          <w:lang w:eastAsia="en-AU"/>
        </w:rPr>
        <w:t xml:space="preserve">The Victorian Government issued an administrative order under section 172 of the </w:t>
      </w:r>
      <w:r w:rsidRPr="00105DB4">
        <w:rPr>
          <w:rStyle w:val="Emphasis"/>
          <w:lang w:eastAsia="en-AU"/>
        </w:rPr>
        <w:t>Worker Screening Act 2020</w:t>
      </w:r>
      <w:r w:rsidRPr="00E97A0F">
        <w:rPr>
          <w:lang w:eastAsia="en-AU"/>
        </w:rPr>
        <w:t xml:space="preserve"> restructuring some of its activities via machinery of government changes. As part of the machinery of government restructure:</w:t>
      </w:r>
    </w:p>
    <w:p w14:paraId="0E9EDBD3" w14:textId="77777777" w:rsidR="006E51BF" w:rsidRPr="007C5FDC" w:rsidRDefault="006E51BF" w:rsidP="006E51BF">
      <w:pPr>
        <w:pStyle w:val="ARfinbullet1"/>
        <w:numPr>
          <w:ilvl w:val="0"/>
          <w:numId w:val="13"/>
        </w:numPr>
        <w:ind w:left="284" w:hanging="284"/>
      </w:pPr>
      <w:r w:rsidRPr="00E97A0F">
        <w:t>The Department of Government Services (as transferor) transferred Workers Screening Unit to the Social Services Regulator (as transferee) effective from 9 February 2026.</w:t>
      </w:r>
    </w:p>
    <w:p w14:paraId="7F63D55C" w14:textId="77777777" w:rsidR="006E51BF" w:rsidRDefault="006E51BF" w:rsidP="006E51BF">
      <w:pPr>
        <w:pStyle w:val="ARfinbullet1"/>
        <w:numPr>
          <w:ilvl w:val="0"/>
          <w:numId w:val="13"/>
        </w:numPr>
        <w:ind w:left="284" w:hanging="284"/>
      </w:pPr>
      <w:r w:rsidRPr="00E97A0F">
        <w:t xml:space="preserve">The net receivables of $1.8 million and net liabilities of $1.8 million were transferred to the department </w:t>
      </w:r>
      <w:proofErr w:type="gramStart"/>
      <w:r w:rsidRPr="00E97A0F">
        <w:t>as a result of</w:t>
      </w:r>
      <w:proofErr w:type="gramEnd"/>
      <w:r w:rsidRPr="00E97A0F">
        <w:t xml:space="preserve"> the administrative restructure and are recognised in the balance sheet at the carrying amount of those assets in the transferor's (Department of Government Services) balance sheets immediately after the transfer.</w:t>
      </w:r>
    </w:p>
    <w:p w14:paraId="33FD34F7" w14:textId="577921E4" w:rsidR="006E51BF" w:rsidRPr="00E97A0F" w:rsidRDefault="006E51BF">
      <w:pPr>
        <w:pStyle w:val="Heading5"/>
        <w:rPr>
          <w:rFonts w:ascii="Times New Roman" w:hAnsi="Times New Roman"/>
          <w:lang w:eastAsia="en-AU"/>
        </w:rPr>
      </w:pPr>
      <w:r w:rsidRPr="00E97A0F">
        <w:rPr>
          <w:lang w:eastAsia="en-AU"/>
        </w:rPr>
        <w:t>Transfer of employees from Department of Families, Fairness and Housing to the Social</w:t>
      </w:r>
      <w:r w:rsidR="00437809">
        <w:rPr>
          <w:lang w:eastAsia="en-AU"/>
        </w:rPr>
        <w:t> </w:t>
      </w:r>
      <w:r w:rsidRPr="00E97A0F">
        <w:rPr>
          <w:lang w:eastAsia="en-AU"/>
        </w:rPr>
        <w:t xml:space="preserve">Services Regulator from 23 February 2026 </w:t>
      </w:r>
    </w:p>
    <w:p w14:paraId="13E5BC07" w14:textId="77777777" w:rsidR="006E51BF" w:rsidRPr="00E97A0F" w:rsidRDefault="006E51BF">
      <w:pPr>
        <w:pStyle w:val="ARfinbody"/>
        <w:rPr>
          <w:rFonts w:ascii="Times New Roman" w:hAnsi="Times New Roman"/>
          <w:lang w:eastAsia="en-AU"/>
        </w:rPr>
      </w:pPr>
      <w:r w:rsidRPr="00E97A0F">
        <w:rPr>
          <w:lang w:eastAsia="en-AU"/>
        </w:rPr>
        <w:t xml:space="preserve">The Victorian Government issued an administrative order under section 65 of the </w:t>
      </w:r>
      <w:r w:rsidRPr="00105DB4">
        <w:rPr>
          <w:rStyle w:val="Emphasis"/>
          <w:lang w:eastAsia="en-AU"/>
        </w:rPr>
        <w:t>Child Wellbeing and Safety Act 2005</w:t>
      </w:r>
      <w:r w:rsidRPr="00E97A0F">
        <w:rPr>
          <w:lang w:eastAsia="en-AU"/>
        </w:rPr>
        <w:t xml:space="preserve"> restructuring some of its activities via machinery of government changes. As part of the machinery of government</w:t>
      </w:r>
      <w:r>
        <w:rPr>
          <w:lang w:eastAsia="en-AU"/>
        </w:rPr>
        <w:t> </w:t>
      </w:r>
      <w:r w:rsidRPr="00E97A0F">
        <w:rPr>
          <w:lang w:eastAsia="en-AU"/>
        </w:rPr>
        <w:t>restructure:</w:t>
      </w:r>
    </w:p>
    <w:p w14:paraId="6F6B1947" w14:textId="77777777" w:rsidR="006E51BF" w:rsidRDefault="006E51BF" w:rsidP="006E51BF">
      <w:pPr>
        <w:pStyle w:val="ARfinbullet1"/>
        <w:numPr>
          <w:ilvl w:val="0"/>
          <w:numId w:val="13"/>
        </w:numPr>
        <w:ind w:left="284" w:hanging="284"/>
      </w:pPr>
      <w:r w:rsidRPr="00E97A0F">
        <w:t>The Department of Families, Fairness and Housing (as transferor) transferred Commission for Children and Young People to the Social Services Regulator (as transferee) effective from 23 February 2026.</w:t>
      </w:r>
    </w:p>
    <w:p w14:paraId="7AB5B698" w14:textId="77777777" w:rsidR="006E51BF" w:rsidRDefault="006E51BF" w:rsidP="006E51BF">
      <w:pPr>
        <w:pStyle w:val="ARfinbullet1"/>
        <w:numPr>
          <w:ilvl w:val="0"/>
          <w:numId w:val="13"/>
        </w:numPr>
        <w:ind w:left="284" w:hanging="284"/>
      </w:pPr>
      <w:r w:rsidRPr="00E97A0F">
        <w:t xml:space="preserve">The net receivables of $1.3 million and net liabilities of $1.3 million were transferred to the Social Services Regulator </w:t>
      </w:r>
      <w:proofErr w:type="gramStart"/>
      <w:r w:rsidRPr="00E97A0F">
        <w:t>as a result of</w:t>
      </w:r>
      <w:proofErr w:type="gramEnd"/>
      <w:r w:rsidRPr="00E97A0F">
        <w:t xml:space="preserve"> the administrative restructure. The results included in the balance sheet remained unchanged, as the Social Services Regulator is consolidated into the department’s financial statements pursuant to a determination made by the Minister for Finance under section 53(1)(b) of the </w:t>
      </w:r>
      <w:r w:rsidRPr="00105DB4">
        <w:rPr>
          <w:rStyle w:val="Emphasis"/>
        </w:rPr>
        <w:t>Financial Management Act 1994 (FMA)</w:t>
      </w:r>
      <w:r w:rsidRPr="00E97A0F">
        <w:t xml:space="preserve">. </w:t>
      </w:r>
    </w:p>
    <w:p w14:paraId="282AE486" w14:textId="77777777" w:rsidR="006E51BF" w:rsidRDefault="006E51BF">
      <w:pPr>
        <w:pStyle w:val="ARfinbody"/>
        <w:rPr>
          <w:lang w:eastAsia="en-AU"/>
        </w:rPr>
      </w:pPr>
      <w:r>
        <w:rPr>
          <w:lang w:eastAsia="en-AU"/>
        </w:rPr>
        <w:br w:type="page"/>
      </w:r>
    </w:p>
    <w:p w14:paraId="108DB389" w14:textId="77777777" w:rsidR="006E51BF" w:rsidRPr="00E97A0F" w:rsidRDefault="006E51BF">
      <w:pPr>
        <w:pStyle w:val="ARfinbodybeforetableorfigure"/>
      </w:pPr>
      <w:r w:rsidRPr="00E97A0F">
        <w:t>The net asset transfers were treated as a contribution of capital by the state.</w:t>
      </w:r>
    </w:p>
    <w:p w14:paraId="31CB2577" w14:textId="77777777" w:rsidR="00F03694" w:rsidRDefault="00F03694">
      <w:pPr>
        <w:pStyle w:val="ARfinbodyaftertableorfigure"/>
      </w:pPr>
    </w:p>
    <w:tbl>
      <w:tblPr>
        <w:tblStyle w:val="ARtable1"/>
        <w:tblW w:w="0" w:type="auto"/>
        <w:tblLook w:val="00E0" w:firstRow="1" w:lastRow="1" w:firstColumn="1" w:lastColumn="0" w:noHBand="0" w:noVBand="0"/>
      </w:tblPr>
      <w:tblGrid>
        <w:gridCol w:w="3681"/>
        <w:gridCol w:w="1486"/>
        <w:gridCol w:w="1487"/>
        <w:gridCol w:w="1487"/>
        <w:gridCol w:w="1487"/>
      </w:tblGrid>
      <w:tr w:rsidR="008816A4" w14:paraId="41114164" w14:textId="77777777" w:rsidTr="00785A35">
        <w:trPr>
          <w:cnfStyle w:val="100000000000" w:firstRow="1" w:lastRow="0" w:firstColumn="0" w:lastColumn="0" w:oddVBand="0" w:evenVBand="0" w:oddHBand="0" w:evenHBand="0" w:firstRowFirstColumn="0" w:firstRowLastColumn="0" w:lastRowFirstColumn="0" w:lastRowLastColumn="0"/>
          <w:tblHeader/>
        </w:trPr>
        <w:tc>
          <w:tcPr>
            <w:tcW w:w="3681" w:type="dxa"/>
          </w:tcPr>
          <w:p w14:paraId="51EB1060" w14:textId="77777777" w:rsidR="008816A4" w:rsidRDefault="008816A4" w:rsidP="008816A4">
            <w:pPr>
              <w:pStyle w:val="ARfintabletext"/>
            </w:pPr>
          </w:p>
        </w:tc>
        <w:tc>
          <w:tcPr>
            <w:cnfStyle w:val="000001000000" w:firstRow="0" w:lastRow="0" w:firstColumn="0" w:lastColumn="0" w:oddVBand="0" w:evenVBand="1" w:oddHBand="0" w:evenHBand="0" w:firstRowFirstColumn="0" w:firstRowLastColumn="0" w:lastRowFirstColumn="0" w:lastRowLastColumn="0"/>
            <w:tcW w:w="1486" w:type="dxa"/>
            <w:tcMar>
              <w:right w:w="0" w:type="nil"/>
            </w:tcMar>
          </w:tcPr>
          <w:p w14:paraId="5C6B00AC" w14:textId="77777777" w:rsidR="008816A4" w:rsidRPr="00E97A0F" w:rsidRDefault="008816A4" w:rsidP="008816A4">
            <w:pPr>
              <w:pStyle w:val="ARfintablecolheadright"/>
              <w:rPr>
                <w:lang w:eastAsia="en-AU"/>
              </w:rPr>
            </w:pPr>
            <w:r w:rsidRPr="00E97A0F">
              <w:rPr>
                <w:lang w:eastAsia="en-AU"/>
              </w:rPr>
              <w:t>2026</w:t>
            </w:r>
          </w:p>
          <w:p w14:paraId="1005A98B" w14:textId="77777777" w:rsidR="008816A4" w:rsidRPr="00E97A0F" w:rsidRDefault="008816A4" w:rsidP="008816A4">
            <w:pPr>
              <w:pStyle w:val="ARfintablecolheadright"/>
              <w:rPr>
                <w:lang w:eastAsia="en-AU"/>
              </w:rPr>
            </w:pPr>
            <w:r w:rsidRPr="00E97A0F">
              <w:rPr>
                <w:lang w:eastAsia="en-AU"/>
              </w:rPr>
              <w:t xml:space="preserve">DFFH </w:t>
            </w:r>
            <w:r>
              <w:rPr>
                <w:lang w:eastAsia="en-AU"/>
              </w:rPr>
              <w:t>–</w:t>
            </w:r>
            <w:r w:rsidRPr="00E97A0F">
              <w:rPr>
                <w:lang w:eastAsia="en-AU"/>
              </w:rPr>
              <w:t xml:space="preserve"> </w:t>
            </w:r>
            <w:r>
              <w:rPr>
                <w:lang w:eastAsia="en-AU"/>
              </w:rPr>
              <w:br/>
            </w:r>
            <w:r w:rsidRPr="00E97A0F">
              <w:rPr>
                <w:lang w:eastAsia="en-AU"/>
              </w:rPr>
              <w:t>transfer out</w:t>
            </w:r>
          </w:p>
          <w:p w14:paraId="41E01721" w14:textId="4445F1EB" w:rsidR="008816A4" w:rsidRDefault="008816A4" w:rsidP="008816A4">
            <w:pPr>
              <w:pStyle w:val="ARfintablecolheadright"/>
            </w:pPr>
            <w:r w:rsidRPr="00E97A0F">
              <w:rPr>
                <w:lang w:eastAsia="en-AU"/>
              </w:rPr>
              <w:t>$000</w:t>
            </w:r>
          </w:p>
        </w:tc>
        <w:tc>
          <w:tcPr>
            <w:tcW w:w="1487" w:type="dxa"/>
            <w:tcMar>
              <w:right w:w="0" w:type="nil"/>
            </w:tcMar>
          </w:tcPr>
          <w:p w14:paraId="4A5E9598" w14:textId="77777777" w:rsidR="008816A4" w:rsidRPr="00E97A0F" w:rsidRDefault="008816A4" w:rsidP="008816A4">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97A0F">
              <w:rPr>
                <w:lang w:eastAsia="en-AU"/>
              </w:rPr>
              <w:t>2026</w:t>
            </w:r>
          </w:p>
          <w:p w14:paraId="299DBE2A" w14:textId="77777777" w:rsidR="008816A4" w:rsidRPr="00E97A0F" w:rsidRDefault="008816A4" w:rsidP="008816A4">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97A0F">
              <w:rPr>
                <w:lang w:eastAsia="en-AU"/>
              </w:rPr>
              <w:t xml:space="preserve">SSR </w:t>
            </w:r>
            <w:r>
              <w:rPr>
                <w:lang w:eastAsia="en-AU"/>
              </w:rPr>
              <w:t>–</w:t>
            </w:r>
            <w:r w:rsidRPr="00E97A0F">
              <w:rPr>
                <w:lang w:eastAsia="en-AU"/>
              </w:rPr>
              <w:t xml:space="preserve"> </w:t>
            </w:r>
            <w:r>
              <w:rPr>
                <w:lang w:eastAsia="en-AU"/>
              </w:rPr>
              <w:br/>
            </w:r>
            <w:r w:rsidRPr="00E97A0F">
              <w:rPr>
                <w:lang w:eastAsia="en-AU"/>
              </w:rPr>
              <w:t>transfer in</w:t>
            </w:r>
          </w:p>
          <w:p w14:paraId="4CE4282D" w14:textId="239511D9" w:rsidR="008816A4" w:rsidRDefault="008816A4" w:rsidP="008816A4">
            <w:pPr>
              <w:pStyle w:val="ARfintablecolheadright"/>
              <w:cnfStyle w:val="100000000000" w:firstRow="1" w:lastRow="0" w:firstColumn="0" w:lastColumn="0" w:oddVBand="0" w:evenVBand="0" w:oddHBand="0" w:evenHBand="0" w:firstRowFirstColumn="0" w:firstRowLastColumn="0" w:lastRowFirstColumn="0" w:lastRowLastColumn="0"/>
            </w:pPr>
            <w:r w:rsidRPr="00E97A0F">
              <w:rPr>
                <w:lang w:eastAsia="en-AU"/>
              </w:rPr>
              <w:t>$000</w:t>
            </w:r>
          </w:p>
        </w:tc>
        <w:tc>
          <w:tcPr>
            <w:cnfStyle w:val="000001000000" w:firstRow="0" w:lastRow="0" w:firstColumn="0" w:lastColumn="0" w:oddVBand="0" w:evenVBand="1" w:oddHBand="0" w:evenHBand="0" w:firstRowFirstColumn="0" w:firstRowLastColumn="0" w:lastRowFirstColumn="0" w:lastRowLastColumn="0"/>
            <w:tcW w:w="1487" w:type="dxa"/>
            <w:tcMar>
              <w:right w:w="0" w:type="nil"/>
            </w:tcMar>
          </w:tcPr>
          <w:p w14:paraId="28DA7B57" w14:textId="77777777" w:rsidR="008816A4" w:rsidRPr="00E97A0F" w:rsidRDefault="008816A4" w:rsidP="008816A4">
            <w:pPr>
              <w:pStyle w:val="ARfintablecolheadright"/>
              <w:rPr>
                <w:lang w:eastAsia="en-AU"/>
              </w:rPr>
            </w:pPr>
            <w:r w:rsidRPr="00E97A0F">
              <w:rPr>
                <w:lang w:eastAsia="en-AU"/>
              </w:rPr>
              <w:t>2026</w:t>
            </w:r>
          </w:p>
          <w:p w14:paraId="60BA7359" w14:textId="77777777" w:rsidR="008816A4" w:rsidRPr="00E97A0F" w:rsidRDefault="008816A4" w:rsidP="008816A4">
            <w:pPr>
              <w:pStyle w:val="ARfintablecolheadright"/>
              <w:rPr>
                <w:lang w:eastAsia="en-AU"/>
              </w:rPr>
            </w:pPr>
            <w:r w:rsidRPr="00E97A0F">
              <w:rPr>
                <w:lang w:eastAsia="en-AU"/>
              </w:rPr>
              <w:t>DGS</w:t>
            </w:r>
            <w:r>
              <w:rPr>
                <w:lang w:eastAsia="en-AU"/>
              </w:rPr>
              <w:t>–</w:t>
            </w:r>
            <w:r w:rsidRPr="00E97A0F">
              <w:rPr>
                <w:lang w:eastAsia="en-AU"/>
              </w:rPr>
              <w:t xml:space="preserve"> </w:t>
            </w:r>
            <w:r>
              <w:rPr>
                <w:lang w:eastAsia="en-AU"/>
              </w:rPr>
              <w:br/>
            </w:r>
            <w:r w:rsidRPr="00E97A0F">
              <w:rPr>
                <w:lang w:eastAsia="en-AU"/>
              </w:rPr>
              <w:t>transfer in</w:t>
            </w:r>
          </w:p>
          <w:p w14:paraId="67E6225C" w14:textId="6BE806C1" w:rsidR="008816A4" w:rsidRDefault="008816A4" w:rsidP="008816A4">
            <w:pPr>
              <w:pStyle w:val="ARfintablecolheadright"/>
            </w:pPr>
            <w:r w:rsidRPr="00E97A0F">
              <w:rPr>
                <w:lang w:eastAsia="en-AU"/>
              </w:rPr>
              <w:t>$000</w:t>
            </w:r>
          </w:p>
        </w:tc>
        <w:tc>
          <w:tcPr>
            <w:tcW w:w="1487" w:type="dxa"/>
            <w:tcMar>
              <w:right w:w="0" w:type="nil"/>
            </w:tcMar>
          </w:tcPr>
          <w:p w14:paraId="3F5809C2" w14:textId="77777777" w:rsidR="008816A4" w:rsidRPr="00E97A0F" w:rsidRDefault="008816A4" w:rsidP="008816A4">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97A0F">
              <w:rPr>
                <w:lang w:eastAsia="en-AU"/>
              </w:rPr>
              <w:t>2026</w:t>
            </w:r>
          </w:p>
          <w:p w14:paraId="2F7B23D4" w14:textId="77777777" w:rsidR="008816A4" w:rsidRPr="00E97A0F" w:rsidRDefault="008816A4" w:rsidP="008816A4">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97A0F">
              <w:rPr>
                <w:lang w:eastAsia="en-AU"/>
              </w:rPr>
              <w:t>Total net transfer</w:t>
            </w:r>
          </w:p>
          <w:p w14:paraId="02C0FF5D" w14:textId="221A5961" w:rsidR="008816A4" w:rsidRDefault="008816A4" w:rsidP="008816A4">
            <w:pPr>
              <w:pStyle w:val="ARfintablecolheadright"/>
              <w:cnfStyle w:val="100000000000" w:firstRow="1" w:lastRow="0" w:firstColumn="0" w:lastColumn="0" w:oddVBand="0" w:evenVBand="0" w:oddHBand="0" w:evenHBand="0" w:firstRowFirstColumn="0" w:firstRowLastColumn="0" w:lastRowFirstColumn="0" w:lastRowLastColumn="0"/>
            </w:pPr>
            <w:r w:rsidRPr="00E97A0F">
              <w:rPr>
                <w:lang w:eastAsia="en-AU"/>
              </w:rPr>
              <w:t>$000</w:t>
            </w:r>
          </w:p>
        </w:tc>
      </w:tr>
      <w:tr w:rsidR="008816A4" w14:paraId="749CF584" w14:textId="77777777" w:rsidTr="00785A35">
        <w:trPr>
          <w:cnfStyle w:val="000000100000" w:firstRow="0" w:lastRow="0" w:firstColumn="0" w:lastColumn="0" w:oddVBand="0" w:evenVBand="0" w:oddHBand="1" w:evenHBand="0" w:firstRowFirstColumn="0" w:firstRowLastColumn="0" w:lastRowFirstColumn="0" w:lastRowLastColumn="0"/>
        </w:trPr>
        <w:tc>
          <w:tcPr>
            <w:tcW w:w="3681" w:type="dxa"/>
          </w:tcPr>
          <w:p w14:paraId="1AC473B2" w14:textId="771D9710" w:rsidR="008816A4" w:rsidRPr="008816A4" w:rsidRDefault="008816A4" w:rsidP="008816A4">
            <w:pPr>
              <w:pStyle w:val="ARfintabletextboldcoloured"/>
            </w:pPr>
            <w:r w:rsidRPr="008816A4">
              <w:t>Assets</w:t>
            </w:r>
          </w:p>
        </w:tc>
        <w:tc>
          <w:tcPr>
            <w:cnfStyle w:val="000001000000" w:firstRow="0" w:lastRow="0" w:firstColumn="0" w:lastColumn="0" w:oddVBand="0" w:evenVBand="1" w:oddHBand="0" w:evenHBand="0" w:firstRowFirstColumn="0" w:firstRowLastColumn="0" w:lastRowFirstColumn="0" w:lastRowLastColumn="0"/>
            <w:tcW w:w="1486" w:type="dxa"/>
            <w:shd w:val="clear" w:color="auto" w:fill="auto"/>
            <w:tcMar>
              <w:right w:w="0" w:type="nil"/>
            </w:tcMar>
          </w:tcPr>
          <w:p w14:paraId="7D97238B" w14:textId="77777777" w:rsidR="008816A4" w:rsidRDefault="008816A4" w:rsidP="008816A4">
            <w:pPr>
              <w:pStyle w:val="ARfintabletextright"/>
            </w:pPr>
          </w:p>
        </w:tc>
        <w:tc>
          <w:tcPr>
            <w:tcW w:w="1487" w:type="dxa"/>
            <w:tcMar>
              <w:right w:w="0" w:type="nil"/>
            </w:tcMar>
          </w:tcPr>
          <w:p w14:paraId="2A3B7EF6" w14:textId="77777777" w:rsidR="008816A4" w:rsidRDefault="008816A4" w:rsidP="008816A4">
            <w:pPr>
              <w:pStyle w:val="ARfintabletextrigh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1487" w:type="dxa"/>
            <w:shd w:val="clear" w:color="auto" w:fill="auto"/>
            <w:tcMar>
              <w:right w:w="0" w:type="nil"/>
            </w:tcMar>
          </w:tcPr>
          <w:p w14:paraId="478279C2" w14:textId="77777777" w:rsidR="008816A4" w:rsidRDefault="008816A4" w:rsidP="008816A4">
            <w:pPr>
              <w:pStyle w:val="ARfintabletextright"/>
            </w:pPr>
          </w:p>
        </w:tc>
        <w:tc>
          <w:tcPr>
            <w:tcW w:w="1487" w:type="dxa"/>
            <w:tcMar>
              <w:right w:w="0" w:type="nil"/>
            </w:tcMar>
          </w:tcPr>
          <w:p w14:paraId="7385F1DF" w14:textId="77777777" w:rsidR="008816A4" w:rsidRDefault="008816A4" w:rsidP="008816A4">
            <w:pPr>
              <w:pStyle w:val="ARfintabletextright"/>
              <w:cnfStyle w:val="000000100000" w:firstRow="0" w:lastRow="0" w:firstColumn="0" w:lastColumn="0" w:oddVBand="0" w:evenVBand="0" w:oddHBand="1" w:evenHBand="0" w:firstRowFirstColumn="0" w:firstRowLastColumn="0" w:lastRowFirstColumn="0" w:lastRowLastColumn="0"/>
            </w:pPr>
          </w:p>
        </w:tc>
      </w:tr>
      <w:tr w:rsidR="008816A4" w14:paraId="5B7E7840" w14:textId="77777777" w:rsidTr="00785A35">
        <w:trPr>
          <w:cnfStyle w:val="000000010000" w:firstRow="0" w:lastRow="0" w:firstColumn="0" w:lastColumn="0" w:oddVBand="0" w:evenVBand="0" w:oddHBand="0" w:evenHBand="1" w:firstRowFirstColumn="0" w:firstRowLastColumn="0" w:lastRowFirstColumn="0" w:lastRowLastColumn="0"/>
        </w:trPr>
        <w:tc>
          <w:tcPr>
            <w:tcW w:w="3681" w:type="dxa"/>
          </w:tcPr>
          <w:p w14:paraId="61830A54" w14:textId="45393819" w:rsidR="008816A4" w:rsidRPr="008816A4" w:rsidRDefault="008816A4" w:rsidP="008816A4">
            <w:pPr>
              <w:pStyle w:val="ARfintabletext"/>
            </w:pPr>
            <w:r w:rsidRPr="008816A4">
              <w:t>Cash and deposits</w:t>
            </w:r>
          </w:p>
        </w:tc>
        <w:tc>
          <w:tcPr>
            <w:cnfStyle w:val="000001000000" w:firstRow="0" w:lastRow="0" w:firstColumn="0" w:lastColumn="0" w:oddVBand="0" w:evenVBand="1" w:oddHBand="0" w:evenHBand="0" w:firstRowFirstColumn="0" w:firstRowLastColumn="0" w:lastRowFirstColumn="0" w:lastRowLastColumn="0"/>
            <w:tcW w:w="1486" w:type="dxa"/>
            <w:tcMar>
              <w:right w:w="0" w:type="nil"/>
            </w:tcMar>
          </w:tcPr>
          <w:p w14:paraId="7B3034BE" w14:textId="55D1193F" w:rsidR="008816A4" w:rsidRDefault="008816A4" w:rsidP="008816A4">
            <w:pPr>
              <w:pStyle w:val="ARfintabletextright"/>
            </w:pPr>
            <w:r w:rsidRPr="00E97A0F">
              <w:rPr>
                <w:lang w:eastAsia="en-AU"/>
              </w:rPr>
              <w:t>(1,292.7)</w:t>
            </w:r>
          </w:p>
        </w:tc>
        <w:tc>
          <w:tcPr>
            <w:tcW w:w="1487" w:type="dxa"/>
            <w:tcMar>
              <w:right w:w="0" w:type="nil"/>
            </w:tcMar>
          </w:tcPr>
          <w:p w14:paraId="03646360" w14:textId="51C276A7" w:rsidR="008816A4" w:rsidRDefault="008816A4" w:rsidP="008816A4">
            <w:pPr>
              <w:pStyle w:val="ARfintabletextright"/>
              <w:cnfStyle w:val="000000010000" w:firstRow="0" w:lastRow="0" w:firstColumn="0" w:lastColumn="0" w:oddVBand="0" w:evenVBand="0" w:oddHBand="0" w:evenHBand="1" w:firstRowFirstColumn="0" w:firstRowLastColumn="0" w:lastRowFirstColumn="0" w:lastRowLastColumn="0"/>
            </w:pPr>
            <w:r w:rsidRPr="00E97A0F">
              <w:rPr>
                <w:lang w:eastAsia="en-AU"/>
              </w:rPr>
              <w:t>1,292.7</w:t>
            </w:r>
          </w:p>
        </w:tc>
        <w:tc>
          <w:tcPr>
            <w:cnfStyle w:val="000001000000" w:firstRow="0" w:lastRow="0" w:firstColumn="0" w:lastColumn="0" w:oddVBand="0" w:evenVBand="1" w:oddHBand="0" w:evenHBand="0" w:firstRowFirstColumn="0" w:firstRowLastColumn="0" w:lastRowFirstColumn="0" w:lastRowLastColumn="0"/>
            <w:tcW w:w="1487" w:type="dxa"/>
            <w:tcMar>
              <w:right w:w="0" w:type="nil"/>
            </w:tcMar>
          </w:tcPr>
          <w:p w14:paraId="3D450136" w14:textId="2C4ECCAC" w:rsidR="008816A4" w:rsidRDefault="008816A4" w:rsidP="008816A4">
            <w:pPr>
              <w:pStyle w:val="ARfintabletextright"/>
            </w:pPr>
            <w:r>
              <w:rPr>
                <w:lang w:eastAsia="en-AU"/>
              </w:rPr>
              <w:t>–</w:t>
            </w:r>
          </w:p>
        </w:tc>
        <w:tc>
          <w:tcPr>
            <w:tcW w:w="1487" w:type="dxa"/>
            <w:tcMar>
              <w:right w:w="0" w:type="nil"/>
            </w:tcMar>
          </w:tcPr>
          <w:p w14:paraId="1B4C5C52" w14:textId="660E9A74" w:rsidR="008816A4" w:rsidRDefault="008816A4" w:rsidP="008816A4">
            <w:pPr>
              <w:pStyle w:val="ARfintabletextright"/>
              <w:cnfStyle w:val="000000010000" w:firstRow="0" w:lastRow="0" w:firstColumn="0" w:lastColumn="0" w:oddVBand="0" w:evenVBand="0" w:oddHBand="0" w:evenHBand="1" w:firstRowFirstColumn="0" w:firstRowLastColumn="0" w:lastRowFirstColumn="0" w:lastRowLastColumn="0"/>
            </w:pPr>
            <w:r>
              <w:rPr>
                <w:lang w:eastAsia="en-AU"/>
              </w:rPr>
              <w:t>–</w:t>
            </w:r>
          </w:p>
        </w:tc>
      </w:tr>
      <w:tr w:rsidR="008816A4" w14:paraId="0A631D61" w14:textId="77777777" w:rsidTr="00785A35">
        <w:trPr>
          <w:cnfStyle w:val="000000100000" w:firstRow="0" w:lastRow="0" w:firstColumn="0" w:lastColumn="0" w:oddVBand="0" w:evenVBand="0" w:oddHBand="1" w:evenHBand="0" w:firstRowFirstColumn="0" w:firstRowLastColumn="0" w:lastRowFirstColumn="0" w:lastRowLastColumn="0"/>
        </w:trPr>
        <w:tc>
          <w:tcPr>
            <w:tcW w:w="3681" w:type="dxa"/>
          </w:tcPr>
          <w:p w14:paraId="593CAEC7" w14:textId="3F29F784" w:rsidR="008816A4" w:rsidRPr="008816A4" w:rsidRDefault="008816A4" w:rsidP="008816A4">
            <w:pPr>
              <w:pStyle w:val="ARfintabletext"/>
            </w:pPr>
            <w:r w:rsidRPr="008816A4">
              <w:t>Receivables</w:t>
            </w:r>
          </w:p>
        </w:tc>
        <w:tc>
          <w:tcPr>
            <w:cnfStyle w:val="000001000000" w:firstRow="0" w:lastRow="0" w:firstColumn="0" w:lastColumn="0" w:oddVBand="0" w:evenVBand="1" w:oddHBand="0" w:evenHBand="0" w:firstRowFirstColumn="0" w:firstRowLastColumn="0" w:lastRowFirstColumn="0" w:lastRowLastColumn="0"/>
            <w:tcW w:w="1486" w:type="dxa"/>
            <w:tcMar>
              <w:right w:w="0" w:type="nil"/>
            </w:tcMar>
          </w:tcPr>
          <w:p w14:paraId="0809E49C" w14:textId="59484847" w:rsidR="008816A4" w:rsidRDefault="008816A4" w:rsidP="008816A4">
            <w:pPr>
              <w:pStyle w:val="ARfintabletextright"/>
            </w:pPr>
            <w:r>
              <w:rPr>
                <w:lang w:eastAsia="en-AU"/>
              </w:rPr>
              <w:t>–</w:t>
            </w:r>
          </w:p>
        </w:tc>
        <w:tc>
          <w:tcPr>
            <w:tcW w:w="1487" w:type="dxa"/>
            <w:tcMar>
              <w:right w:w="0" w:type="nil"/>
            </w:tcMar>
          </w:tcPr>
          <w:p w14:paraId="7E93DFC1" w14:textId="4509BA76" w:rsidR="008816A4" w:rsidRDefault="008816A4" w:rsidP="008816A4">
            <w:pPr>
              <w:pStyle w:val="ARfintabletextright"/>
              <w:cnfStyle w:val="000000100000" w:firstRow="0" w:lastRow="0" w:firstColumn="0" w:lastColumn="0" w:oddVBand="0" w:evenVBand="0" w:oddHBand="1" w:evenHBand="0" w:firstRowFirstColumn="0" w:firstRowLastColumn="0" w:lastRowFirstColumn="0" w:lastRowLastColumn="0"/>
            </w:pPr>
            <w:r>
              <w:rPr>
                <w:lang w:eastAsia="en-AU"/>
              </w:rPr>
              <w:t>–</w:t>
            </w:r>
          </w:p>
        </w:tc>
        <w:tc>
          <w:tcPr>
            <w:cnfStyle w:val="000001000000" w:firstRow="0" w:lastRow="0" w:firstColumn="0" w:lastColumn="0" w:oddVBand="0" w:evenVBand="1" w:oddHBand="0" w:evenHBand="0" w:firstRowFirstColumn="0" w:firstRowLastColumn="0" w:lastRowFirstColumn="0" w:lastRowLastColumn="0"/>
            <w:tcW w:w="1487" w:type="dxa"/>
            <w:tcMar>
              <w:right w:w="0" w:type="nil"/>
            </w:tcMar>
          </w:tcPr>
          <w:p w14:paraId="09FBD9F7" w14:textId="21432593" w:rsidR="008816A4" w:rsidRDefault="008816A4" w:rsidP="008816A4">
            <w:pPr>
              <w:pStyle w:val="ARfintabletextright"/>
            </w:pPr>
            <w:r w:rsidRPr="00E97A0F">
              <w:rPr>
                <w:lang w:eastAsia="en-AU"/>
              </w:rPr>
              <w:t>1,762.8</w:t>
            </w:r>
          </w:p>
        </w:tc>
        <w:tc>
          <w:tcPr>
            <w:tcW w:w="1487" w:type="dxa"/>
            <w:tcMar>
              <w:right w:w="0" w:type="nil"/>
            </w:tcMar>
          </w:tcPr>
          <w:p w14:paraId="1DE58D1C" w14:textId="280530AD" w:rsidR="008816A4" w:rsidRDefault="008816A4" w:rsidP="008816A4">
            <w:pPr>
              <w:pStyle w:val="ARfintabletextright"/>
              <w:cnfStyle w:val="000000100000" w:firstRow="0" w:lastRow="0" w:firstColumn="0" w:lastColumn="0" w:oddVBand="0" w:evenVBand="0" w:oddHBand="1" w:evenHBand="0" w:firstRowFirstColumn="0" w:firstRowLastColumn="0" w:lastRowFirstColumn="0" w:lastRowLastColumn="0"/>
            </w:pPr>
            <w:r w:rsidRPr="00E97A0F">
              <w:rPr>
                <w:lang w:eastAsia="en-AU"/>
              </w:rPr>
              <w:t>1,762.8</w:t>
            </w:r>
          </w:p>
        </w:tc>
      </w:tr>
      <w:tr w:rsidR="008816A4" w14:paraId="2705D108" w14:textId="77777777" w:rsidTr="00785A35">
        <w:trPr>
          <w:cnfStyle w:val="000000010000" w:firstRow="0" w:lastRow="0" w:firstColumn="0" w:lastColumn="0" w:oddVBand="0" w:evenVBand="0" w:oddHBand="0" w:evenHBand="1" w:firstRowFirstColumn="0" w:firstRowLastColumn="0" w:lastRowFirstColumn="0" w:lastRowLastColumn="0"/>
        </w:trPr>
        <w:tc>
          <w:tcPr>
            <w:tcW w:w="3681" w:type="dxa"/>
          </w:tcPr>
          <w:p w14:paraId="4E06726B" w14:textId="48095406" w:rsidR="008816A4" w:rsidRPr="008816A4" w:rsidRDefault="008816A4" w:rsidP="008816A4">
            <w:pPr>
              <w:pStyle w:val="ARfintabletextboldcoloured"/>
            </w:pPr>
            <w:r w:rsidRPr="008816A4">
              <w:t>Liabilities</w:t>
            </w:r>
          </w:p>
        </w:tc>
        <w:tc>
          <w:tcPr>
            <w:cnfStyle w:val="000001000000" w:firstRow="0" w:lastRow="0" w:firstColumn="0" w:lastColumn="0" w:oddVBand="0" w:evenVBand="1" w:oddHBand="0" w:evenHBand="0" w:firstRowFirstColumn="0" w:firstRowLastColumn="0" w:lastRowFirstColumn="0" w:lastRowLastColumn="0"/>
            <w:tcW w:w="1486" w:type="dxa"/>
            <w:shd w:val="clear" w:color="auto" w:fill="auto"/>
            <w:tcMar>
              <w:right w:w="0" w:type="nil"/>
            </w:tcMar>
          </w:tcPr>
          <w:p w14:paraId="68606296" w14:textId="6A292022" w:rsidR="008816A4" w:rsidRDefault="008816A4" w:rsidP="008816A4">
            <w:pPr>
              <w:pStyle w:val="ARfintabletextright"/>
            </w:pPr>
          </w:p>
        </w:tc>
        <w:tc>
          <w:tcPr>
            <w:tcW w:w="1487" w:type="dxa"/>
            <w:tcMar>
              <w:right w:w="0" w:type="nil"/>
            </w:tcMar>
          </w:tcPr>
          <w:p w14:paraId="54B30E06" w14:textId="46C29689" w:rsidR="008816A4" w:rsidRDefault="008816A4" w:rsidP="008816A4">
            <w:pPr>
              <w:pStyle w:val="ARfintabletextright"/>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1487" w:type="dxa"/>
            <w:shd w:val="clear" w:color="auto" w:fill="auto"/>
            <w:tcMar>
              <w:right w:w="0" w:type="nil"/>
            </w:tcMar>
          </w:tcPr>
          <w:p w14:paraId="742DEDD8" w14:textId="3215EBF9" w:rsidR="008816A4" w:rsidRDefault="008816A4" w:rsidP="008816A4">
            <w:pPr>
              <w:pStyle w:val="ARfintabletextright"/>
            </w:pPr>
          </w:p>
        </w:tc>
        <w:tc>
          <w:tcPr>
            <w:tcW w:w="1487" w:type="dxa"/>
            <w:tcMar>
              <w:right w:w="0" w:type="nil"/>
            </w:tcMar>
          </w:tcPr>
          <w:p w14:paraId="210A665D" w14:textId="0E0A8002" w:rsidR="008816A4" w:rsidRDefault="008816A4" w:rsidP="008816A4">
            <w:pPr>
              <w:pStyle w:val="ARfintabletextright"/>
              <w:cnfStyle w:val="000000010000" w:firstRow="0" w:lastRow="0" w:firstColumn="0" w:lastColumn="0" w:oddVBand="0" w:evenVBand="0" w:oddHBand="0" w:evenHBand="1" w:firstRowFirstColumn="0" w:firstRowLastColumn="0" w:lastRowFirstColumn="0" w:lastRowLastColumn="0"/>
            </w:pPr>
          </w:p>
        </w:tc>
      </w:tr>
      <w:tr w:rsidR="008816A4" w14:paraId="71950947" w14:textId="77777777" w:rsidTr="00785A35">
        <w:trPr>
          <w:cnfStyle w:val="000000100000" w:firstRow="0" w:lastRow="0" w:firstColumn="0" w:lastColumn="0" w:oddVBand="0" w:evenVBand="0" w:oddHBand="1" w:evenHBand="0" w:firstRowFirstColumn="0" w:firstRowLastColumn="0" w:lastRowFirstColumn="0" w:lastRowLastColumn="0"/>
        </w:trPr>
        <w:tc>
          <w:tcPr>
            <w:tcW w:w="3681" w:type="dxa"/>
          </w:tcPr>
          <w:p w14:paraId="2530F22E" w14:textId="28E9588D" w:rsidR="008816A4" w:rsidRPr="008816A4" w:rsidRDefault="008816A4" w:rsidP="008816A4">
            <w:pPr>
              <w:pStyle w:val="ARfintabletext"/>
            </w:pPr>
            <w:r w:rsidRPr="008816A4">
              <w:t>Accrued Salary and Wages</w:t>
            </w:r>
          </w:p>
        </w:tc>
        <w:tc>
          <w:tcPr>
            <w:cnfStyle w:val="000001000000" w:firstRow="0" w:lastRow="0" w:firstColumn="0" w:lastColumn="0" w:oddVBand="0" w:evenVBand="1" w:oddHBand="0" w:evenHBand="0" w:firstRowFirstColumn="0" w:firstRowLastColumn="0" w:lastRowFirstColumn="0" w:lastRowLastColumn="0"/>
            <w:tcW w:w="1486" w:type="dxa"/>
            <w:tcMar>
              <w:right w:w="0" w:type="nil"/>
            </w:tcMar>
          </w:tcPr>
          <w:p w14:paraId="61C7931E" w14:textId="25102B1B" w:rsidR="008816A4" w:rsidRDefault="008816A4" w:rsidP="008816A4">
            <w:pPr>
              <w:pStyle w:val="ARfintabletextright"/>
            </w:pPr>
            <w:r>
              <w:rPr>
                <w:lang w:eastAsia="en-AU"/>
              </w:rPr>
              <w:t>–</w:t>
            </w:r>
          </w:p>
        </w:tc>
        <w:tc>
          <w:tcPr>
            <w:tcW w:w="1487" w:type="dxa"/>
            <w:tcMar>
              <w:right w:w="0" w:type="nil"/>
            </w:tcMar>
          </w:tcPr>
          <w:p w14:paraId="4063DFE2" w14:textId="0DC3A7FE" w:rsidR="008816A4" w:rsidRDefault="008816A4" w:rsidP="008816A4">
            <w:pPr>
              <w:pStyle w:val="ARfintabletextright"/>
              <w:cnfStyle w:val="000000100000" w:firstRow="0" w:lastRow="0" w:firstColumn="0" w:lastColumn="0" w:oddVBand="0" w:evenVBand="0" w:oddHBand="1" w:evenHBand="0" w:firstRowFirstColumn="0" w:firstRowLastColumn="0" w:lastRowFirstColumn="0" w:lastRowLastColumn="0"/>
            </w:pPr>
            <w:r>
              <w:rPr>
                <w:lang w:eastAsia="en-AU"/>
              </w:rPr>
              <w:t>–</w:t>
            </w:r>
          </w:p>
        </w:tc>
        <w:tc>
          <w:tcPr>
            <w:cnfStyle w:val="000001000000" w:firstRow="0" w:lastRow="0" w:firstColumn="0" w:lastColumn="0" w:oddVBand="0" w:evenVBand="1" w:oddHBand="0" w:evenHBand="0" w:firstRowFirstColumn="0" w:firstRowLastColumn="0" w:lastRowFirstColumn="0" w:lastRowLastColumn="0"/>
            <w:tcW w:w="1487" w:type="dxa"/>
            <w:tcMar>
              <w:right w:w="0" w:type="nil"/>
            </w:tcMar>
          </w:tcPr>
          <w:p w14:paraId="5290AFDA" w14:textId="60D9FD62" w:rsidR="008816A4" w:rsidRDefault="008816A4" w:rsidP="008816A4">
            <w:pPr>
              <w:pStyle w:val="ARfintabletextright"/>
            </w:pPr>
            <w:r w:rsidRPr="00E97A0F">
              <w:rPr>
                <w:lang w:eastAsia="en-AU"/>
              </w:rPr>
              <w:t>(128.5)</w:t>
            </w:r>
          </w:p>
        </w:tc>
        <w:tc>
          <w:tcPr>
            <w:tcW w:w="1487" w:type="dxa"/>
            <w:tcMar>
              <w:right w:w="0" w:type="nil"/>
            </w:tcMar>
          </w:tcPr>
          <w:p w14:paraId="13B7145E" w14:textId="4C3C3E7E" w:rsidR="008816A4" w:rsidRDefault="008816A4" w:rsidP="008816A4">
            <w:pPr>
              <w:pStyle w:val="ARfintabletextright"/>
              <w:cnfStyle w:val="000000100000" w:firstRow="0" w:lastRow="0" w:firstColumn="0" w:lastColumn="0" w:oddVBand="0" w:evenVBand="0" w:oddHBand="1" w:evenHBand="0" w:firstRowFirstColumn="0" w:firstRowLastColumn="0" w:lastRowFirstColumn="0" w:lastRowLastColumn="0"/>
            </w:pPr>
            <w:r w:rsidRPr="00E97A0F">
              <w:rPr>
                <w:lang w:eastAsia="en-AU"/>
              </w:rPr>
              <w:t>(128.5)</w:t>
            </w:r>
          </w:p>
        </w:tc>
      </w:tr>
      <w:tr w:rsidR="008816A4" w14:paraId="1331E3DC" w14:textId="77777777" w:rsidTr="00785A35">
        <w:trPr>
          <w:cnfStyle w:val="000000010000" w:firstRow="0" w:lastRow="0" w:firstColumn="0" w:lastColumn="0" w:oddVBand="0" w:evenVBand="0" w:oddHBand="0" w:evenHBand="1" w:firstRowFirstColumn="0" w:firstRowLastColumn="0" w:lastRowFirstColumn="0" w:lastRowLastColumn="0"/>
        </w:trPr>
        <w:tc>
          <w:tcPr>
            <w:tcW w:w="3681" w:type="dxa"/>
          </w:tcPr>
          <w:p w14:paraId="7D91CC4B" w14:textId="1AF6E20E" w:rsidR="008816A4" w:rsidRPr="008816A4" w:rsidRDefault="008816A4" w:rsidP="008816A4">
            <w:pPr>
              <w:pStyle w:val="ARfintabletext"/>
            </w:pPr>
            <w:r w:rsidRPr="008816A4">
              <w:t>Employee related provisions</w:t>
            </w:r>
          </w:p>
        </w:tc>
        <w:tc>
          <w:tcPr>
            <w:cnfStyle w:val="000001000000" w:firstRow="0" w:lastRow="0" w:firstColumn="0" w:lastColumn="0" w:oddVBand="0" w:evenVBand="1" w:oddHBand="0" w:evenHBand="0" w:firstRowFirstColumn="0" w:firstRowLastColumn="0" w:lastRowFirstColumn="0" w:lastRowLastColumn="0"/>
            <w:tcW w:w="1486" w:type="dxa"/>
            <w:tcMar>
              <w:right w:w="0" w:type="nil"/>
            </w:tcMar>
          </w:tcPr>
          <w:p w14:paraId="5D5761D7" w14:textId="3E364B34" w:rsidR="008816A4" w:rsidRDefault="008816A4" w:rsidP="008816A4">
            <w:pPr>
              <w:pStyle w:val="ARfintabletextright"/>
            </w:pPr>
            <w:r w:rsidRPr="00E97A0F">
              <w:rPr>
                <w:lang w:eastAsia="en-AU"/>
              </w:rPr>
              <w:t>1,292.7</w:t>
            </w:r>
          </w:p>
        </w:tc>
        <w:tc>
          <w:tcPr>
            <w:tcW w:w="1487" w:type="dxa"/>
            <w:tcMar>
              <w:right w:w="0" w:type="nil"/>
            </w:tcMar>
          </w:tcPr>
          <w:p w14:paraId="7C515409" w14:textId="43EFE527" w:rsidR="008816A4" w:rsidRDefault="008816A4" w:rsidP="008816A4">
            <w:pPr>
              <w:pStyle w:val="ARfintabletextright"/>
              <w:cnfStyle w:val="000000010000" w:firstRow="0" w:lastRow="0" w:firstColumn="0" w:lastColumn="0" w:oddVBand="0" w:evenVBand="0" w:oddHBand="0" w:evenHBand="1" w:firstRowFirstColumn="0" w:firstRowLastColumn="0" w:lastRowFirstColumn="0" w:lastRowLastColumn="0"/>
            </w:pPr>
            <w:r w:rsidRPr="00E97A0F">
              <w:rPr>
                <w:lang w:eastAsia="en-AU"/>
              </w:rPr>
              <w:t>(1,292.7)</w:t>
            </w:r>
          </w:p>
        </w:tc>
        <w:tc>
          <w:tcPr>
            <w:cnfStyle w:val="000001000000" w:firstRow="0" w:lastRow="0" w:firstColumn="0" w:lastColumn="0" w:oddVBand="0" w:evenVBand="1" w:oddHBand="0" w:evenHBand="0" w:firstRowFirstColumn="0" w:firstRowLastColumn="0" w:lastRowFirstColumn="0" w:lastRowLastColumn="0"/>
            <w:tcW w:w="1487" w:type="dxa"/>
            <w:tcMar>
              <w:right w:w="0" w:type="nil"/>
            </w:tcMar>
          </w:tcPr>
          <w:p w14:paraId="5711E2CA" w14:textId="6536EC25" w:rsidR="008816A4" w:rsidRDefault="008816A4" w:rsidP="008816A4">
            <w:pPr>
              <w:pStyle w:val="ARfintabletextright"/>
            </w:pPr>
            <w:r w:rsidRPr="00E97A0F">
              <w:rPr>
                <w:lang w:eastAsia="en-AU"/>
              </w:rPr>
              <w:t>(1,634.3)</w:t>
            </w:r>
          </w:p>
        </w:tc>
        <w:tc>
          <w:tcPr>
            <w:tcW w:w="1487" w:type="dxa"/>
            <w:tcMar>
              <w:right w:w="0" w:type="nil"/>
            </w:tcMar>
          </w:tcPr>
          <w:p w14:paraId="64365398" w14:textId="070E45A0" w:rsidR="008816A4" w:rsidRDefault="008816A4" w:rsidP="008816A4">
            <w:pPr>
              <w:pStyle w:val="ARfintabletextright"/>
              <w:cnfStyle w:val="000000010000" w:firstRow="0" w:lastRow="0" w:firstColumn="0" w:lastColumn="0" w:oddVBand="0" w:evenVBand="0" w:oddHBand="0" w:evenHBand="1" w:firstRowFirstColumn="0" w:firstRowLastColumn="0" w:lastRowFirstColumn="0" w:lastRowLastColumn="0"/>
            </w:pPr>
            <w:r w:rsidRPr="00E97A0F">
              <w:rPr>
                <w:lang w:eastAsia="en-AU"/>
              </w:rPr>
              <w:t>(1,634.3)</w:t>
            </w:r>
          </w:p>
        </w:tc>
      </w:tr>
      <w:tr w:rsidR="008816A4" w14:paraId="411EFAC1" w14:textId="77777777" w:rsidTr="00785A35">
        <w:trPr>
          <w:cnfStyle w:val="000000100000" w:firstRow="0" w:lastRow="0" w:firstColumn="0" w:lastColumn="0" w:oddVBand="0" w:evenVBand="0" w:oddHBand="1" w:evenHBand="0" w:firstRowFirstColumn="0" w:firstRowLastColumn="0" w:lastRowFirstColumn="0" w:lastRowLastColumn="0"/>
        </w:trPr>
        <w:tc>
          <w:tcPr>
            <w:tcW w:w="3681" w:type="dxa"/>
          </w:tcPr>
          <w:p w14:paraId="7BFF2923" w14:textId="0C4AFBD8" w:rsidR="008816A4" w:rsidRPr="008816A4" w:rsidRDefault="008816A4" w:rsidP="008816A4">
            <w:pPr>
              <w:pStyle w:val="ARfintabletextbold"/>
            </w:pPr>
            <w:r w:rsidRPr="008816A4">
              <w:t>Net assets recognised/(transferred)</w:t>
            </w:r>
          </w:p>
        </w:tc>
        <w:tc>
          <w:tcPr>
            <w:cnfStyle w:val="000001000000" w:firstRow="0" w:lastRow="0" w:firstColumn="0" w:lastColumn="0" w:oddVBand="0" w:evenVBand="1" w:oddHBand="0" w:evenHBand="0" w:firstRowFirstColumn="0" w:firstRowLastColumn="0" w:lastRowFirstColumn="0" w:lastRowLastColumn="0"/>
            <w:tcW w:w="1486" w:type="dxa"/>
            <w:tcMar>
              <w:right w:w="0" w:type="nil"/>
            </w:tcMar>
          </w:tcPr>
          <w:p w14:paraId="06DA2917" w14:textId="769D7360" w:rsidR="008816A4" w:rsidRDefault="008816A4" w:rsidP="008816A4">
            <w:pPr>
              <w:pStyle w:val="ARtabletextrightbold"/>
            </w:pPr>
            <w:r>
              <w:rPr>
                <w:lang w:eastAsia="en-AU"/>
              </w:rPr>
              <w:t>–</w:t>
            </w:r>
          </w:p>
        </w:tc>
        <w:tc>
          <w:tcPr>
            <w:tcW w:w="1487" w:type="dxa"/>
            <w:tcMar>
              <w:right w:w="0" w:type="nil"/>
            </w:tcMar>
          </w:tcPr>
          <w:p w14:paraId="7A67171E" w14:textId="2DF97885" w:rsidR="008816A4" w:rsidRDefault="008816A4" w:rsidP="008816A4">
            <w:pPr>
              <w:pStyle w:val="ARtabletextrightbold"/>
              <w:cnfStyle w:val="000000100000" w:firstRow="0" w:lastRow="0" w:firstColumn="0" w:lastColumn="0" w:oddVBand="0" w:evenVBand="0" w:oddHBand="1" w:evenHBand="0" w:firstRowFirstColumn="0" w:firstRowLastColumn="0" w:lastRowFirstColumn="0" w:lastRowLastColumn="0"/>
            </w:pPr>
            <w:r>
              <w:rPr>
                <w:lang w:eastAsia="en-AU"/>
              </w:rPr>
              <w:t>–</w:t>
            </w:r>
          </w:p>
        </w:tc>
        <w:tc>
          <w:tcPr>
            <w:cnfStyle w:val="000001000000" w:firstRow="0" w:lastRow="0" w:firstColumn="0" w:lastColumn="0" w:oddVBand="0" w:evenVBand="1" w:oddHBand="0" w:evenHBand="0" w:firstRowFirstColumn="0" w:firstRowLastColumn="0" w:lastRowFirstColumn="0" w:lastRowLastColumn="0"/>
            <w:tcW w:w="1487" w:type="dxa"/>
            <w:tcMar>
              <w:right w:w="0" w:type="nil"/>
            </w:tcMar>
          </w:tcPr>
          <w:p w14:paraId="5FEEC9D7" w14:textId="1E3D3D15" w:rsidR="008816A4" w:rsidRDefault="008816A4" w:rsidP="008816A4">
            <w:pPr>
              <w:pStyle w:val="ARtabletextrightbold"/>
            </w:pPr>
            <w:r>
              <w:rPr>
                <w:lang w:eastAsia="en-AU"/>
              </w:rPr>
              <w:t>–</w:t>
            </w:r>
          </w:p>
        </w:tc>
        <w:tc>
          <w:tcPr>
            <w:tcW w:w="1487" w:type="dxa"/>
            <w:tcMar>
              <w:right w:w="0" w:type="nil"/>
            </w:tcMar>
          </w:tcPr>
          <w:p w14:paraId="66C22554" w14:textId="42AAA606" w:rsidR="008816A4" w:rsidRDefault="008816A4" w:rsidP="008816A4">
            <w:pPr>
              <w:pStyle w:val="ARtabletextrightbold"/>
              <w:cnfStyle w:val="000000100000" w:firstRow="0" w:lastRow="0" w:firstColumn="0" w:lastColumn="0" w:oddVBand="0" w:evenVBand="0" w:oddHBand="1" w:evenHBand="0" w:firstRowFirstColumn="0" w:firstRowLastColumn="0" w:lastRowFirstColumn="0" w:lastRowLastColumn="0"/>
            </w:pPr>
            <w:r>
              <w:rPr>
                <w:lang w:eastAsia="en-AU"/>
              </w:rPr>
              <w:t>–</w:t>
            </w:r>
          </w:p>
        </w:tc>
      </w:tr>
      <w:tr w:rsidR="008816A4" w14:paraId="33B26E7F" w14:textId="77777777" w:rsidTr="00785A35">
        <w:trPr>
          <w:cnfStyle w:val="010000000000" w:firstRow="0" w:lastRow="1" w:firstColumn="0" w:lastColumn="0" w:oddVBand="0" w:evenVBand="0" w:oddHBand="0" w:evenHBand="0" w:firstRowFirstColumn="0" w:firstRowLastColumn="0" w:lastRowFirstColumn="0" w:lastRowLastColumn="0"/>
        </w:trPr>
        <w:tc>
          <w:tcPr>
            <w:tcW w:w="3681" w:type="dxa"/>
          </w:tcPr>
          <w:p w14:paraId="5C86A5E3" w14:textId="33AC4F42" w:rsidR="008816A4" w:rsidRPr="008816A4" w:rsidRDefault="008816A4" w:rsidP="008816A4">
            <w:pPr>
              <w:pStyle w:val="ARfintabletextbold"/>
            </w:pPr>
            <w:r w:rsidRPr="008816A4">
              <w:t>Net capital contribution from the Crown</w:t>
            </w:r>
          </w:p>
        </w:tc>
        <w:tc>
          <w:tcPr>
            <w:cnfStyle w:val="000001000000" w:firstRow="0" w:lastRow="0" w:firstColumn="0" w:lastColumn="0" w:oddVBand="0" w:evenVBand="1" w:oddHBand="0" w:evenHBand="0" w:firstRowFirstColumn="0" w:firstRowLastColumn="0" w:lastRowFirstColumn="0" w:lastRowLastColumn="0"/>
            <w:tcW w:w="1486" w:type="dxa"/>
            <w:tcMar>
              <w:right w:w="0" w:type="nil"/>
            </w:tcMar>
          </w:tcPr>
          <w:p w14:paraId="3496E542" w14:textId="2522A981" w:rsidR="008816A4" w:rsidRDefault="008816A4" w:rsidP="008816A4">
            <w:pPr>
              <w:pStyle w:val="ARtabletextrightbold"/>
            </w:pPr>
            <w:r>
              <w:rPr>
                <w:lang w:eastAsia="en-AU"/>
              </w:rPr>
              <w:t>–</w:t>
            </w:r>
          </w:p>
        </w:tc>
        <w:tc>
          <w:tcPr>
            <w:tcW w:w="1487" w:type="dxa"/>
            <w:tcMar>
              <w:right w:w="0" w:type="nil"/>
            </w:tcMar>
          </w:tcPr>
          <w:p w14:paraId="1BE5EF1E" w14:textId="0E4A0460" w:rsidR="008816A4" w:rsidRDefault="008816A4" w:rsidP="008816A4">
            <w:pPr>
              <w:pStyle w:val="ARtabletextrightbold"/>
              <w:cnfStyle w:val="010000000000" w:firstRow="0" w:lastRow="1" w:firstColumn="0" w:lastColumn="0" w:oddVBand="0" w:evenVBand="0" w:oddHBand="0" w:evenHBand="0" w:firstRowFirstColumn="0" w:firstRowLastColumn="0" w:lastRowFirstColumn="0" w:lastRowLastColumn="0"/>
            </w:pPr>
            <w:r>
              <w:rPr>
                <w:lang w:eastAsia="en-AU"/>
              </w:rPr>
              <w:t>–</w:t>
            </w:r>
          </w:p>
        </w:tc>
        <w:tc>
          <w:tcPr>
            <w:cnfStyle w:val="000001000000" w:firstRow="0" w:lastRow="0" w:firstColumn="0" w:lastColumn="0" w:oddVBand="0" w:evenVBand="1" w:oddHBand="0" w:evenHBand="0" w:firstRowFirstColumn="0" w:firstRowLastColumn="0" w:lastRowFirstColumn="0" w:lastRowLastColumn="0"/>
            <w:tcW w:w="1487" w:type="dxa"/>
            <w:tcMar>
              <w:right w:w="0" w:type="nil"/>
            </w:tcMar>
          </w:tcPr>
          <w:p w14:paraId="5F131914" w14:textId="50FBDF3D" w:rsidR="008816A4" w:rsidRDefault="008816A4" w:rsidP="008816A4">
            <w:pPr>
              <w:pStyle w:val="ARtabletextrightbold"/>
            </w:pPr>
            <w:r>
              <w:rPr>
                <w:lang w:eastAsia="en-AU"/>
              </w:rPr>
              <w:t>–</w:t>
            </w:r>
          </w:p>
        </w:tc>
        <w:tc>
          <w:tcPr>
            <w:tcW w:w="1487" w:type="dxa"/>
            <w:tcMar>
              <w:right w:w="0" w:type="nil"/>
            </w:tcMar>
          </w:tcPr>
          <w:p w14:paraId="7AB60388" w14:textId="221A380B" w:rsidR="008816A4" w:rsidRDefault="008816A4" w:rsidP="008816A4">
            <w:pPr>
              <w:pStyle w:val="ARtabletextrightbold"/>
              <w:cnfStyle w:val="010000000000" w:firstRow="0" w:lastRow="1" w:firstColumn="0" w:lastColumn="0" w:oddVBand="0" w:evenVBand="0" w:oddHBand="0" w:evenHBand="0" w:firstRowFirstColumn="0" w:firstRowLastColumn="0" w:lastRowFirstColumn="0" w:lastRowLastColumn="0"/>
            </w:pPr>
            <w:r>
              <w:rPr>
                <w:lang w:eastAsia="en-AU"/>
              </w:rPr>
              <w:t>–</w:t>
            </w:r>
          </w:p>
        </w:tc>
      </w:tr>
    </w:tbl>
    <w:p w14:paraId="57273D8C" w14:textId="2E6D770A" w:rsidR="006E51BF" w:rsidRDefault="006E51BF">
      <w:pPr>
        <w:pStyle w:val="ARfinbodyaftertableorfigure"/>
      </w:pPr>
      <w:r w:rsidRPr="00E97A0F">
        <w:t>During 2024</w:t>
      </w:r>
      <w:r>
        <w:t>–</w:t>
      </w:r>
      <w:r w:rsidRPr="00E97A0F">
        <w:t>25, there were no machinery of government changes for the Department of Families, Fairness and</w:t>
      </w:r>
      <w:r>
        <w:t> </w:t>
      </w:r>
      <w:r w:rsidRPr="00E97A0F">
        <w:t>Housing.</w:t>
      </w:r>
    </w:p>
    <w:p w14:paraId="177107E4" w14:textId="77777777" w:rsidR="006E51BF" w:rsidRDefault="006E51BF">
      <w:pPr>
        <w:pStyle w:val="ARfinbody"/>
        <w:rPr>
          <w:lang w:eastAsia="en-AU"/>
        </w:rPr>
      </w:pPr>
      <w:r>
        <w:br w:type="page"/>
      </w:r>
    </w:p>
    <w:p w14:paraId="66487C1C" w14:textId="77777777" w:rsidR="006E51BF" w:rsidRPr="00DC1E6F" w:rsidRDefault="006E51BF" w:rsidP="009C5E39">
      <w:pPr>
        <w:pStyle w:val="Heading3financials"/>
        <w:spacing w:before="0"/>
        <w:rPr>
          <w:lang w:eastAsia="en-AU"/>
        </w:rPr>
      </w:pPr>
      <w:bookmarkStart w:id="293" w:name="RANGE!A1:H17"/>
      <w:bookmarkStart w:id="294" w:name="_Toc241068548"/>
      <w:r w:rsidRPr="00DC1E6F">
        <w:rPr>
          <w:lang w:eastAsia="en-AU"/>
        </w:rPr>
        <w:t xml:space="preserve">5. </w:t>
      </w:r>
      <w:r>
        <w:rPr>
          <w:lang w:eastAsia="en-AU"/>
        </w:rPr>
        <w:tab/>
      </w:r>
      <w:r w:rsidRPr="00DC1E6F">
        <w:rPr>
          <w:lang w:eastAsia="en-AU"/>
        </w:rPr>
        <w:t>Key assets available to support output delivery</w:t>
      </w:r>
      <w:bookmarkEnd w:id="293"/>
      <w:bookmarkEnd w:id="294"/>
    </w:p>
    <w:p w14:paraId="05CE268D" w14:textId="77777777" w:rsidR="006E51BF" w:rsidRDefault="006E51BF">
      <w:pPr>
        <w:pStyle w:val="Heading4"/>
        <w:rPr>
          <w:lang w:eastAsia="en-AU"/>
        </w:rPr>
      </w:pPr>
      <w:bookmarkStart w:id="295" w:name="_Introduction"/>
      <w:bookmarkEnd w:id="295"/>
      <w:r w:rsidRPr="00DC1E6F">
        <w:rPr>
          <w:lang w:eastAsia="en-AU"/>
        </w:rPr>
        <w:t>Introduction</w:t>
      </w:r>
    </w:p>
    <w:p w14:paraId="50A9A3AC" w14:textId="1D9B7D82" w:rsidR="006E51BF" w:rsidRDefault="006E51BF">
      <w:pPr>
        <w:pStyle w:val="ARfinbody"/>
        <w:rPr>
          <w:lang w:eastAsia="en-AU"/>
        </w:rPr>
      </w:pPr>
      <w:r w:rsidRPr="00DC1E6F">
        <w:rPr>
          <w:lang w:eastAsia="en-AU"/>
        </w:rPr>
        <w:t>The department controls infrastructure and other investments that are utilised in fulfilling its objectives and conducting its</w:t>
      </w:r>
      <w:r w:rsidR="003B0399">
        <w:rPr>
          <w:lang w:eastAsia="en-AU"/>
        </w:rPr>
        <w:t> </w:t>
      </w:r>
      <w:r w:rsidRPr="00DC1E6F">
        <w:rPr>
          <w:lang w:eastAsia="en-AU"/>
        </w:rPr>
        <w:t>activities. They represent the key resources that have been entrusted to the department to be utilised for delivery of those outputs, which primarily relates to the delivery of housing output.</w:t>
      </w:r>
    </w:p>
    <w:p w14:paraId="16F8DD05" w14:textId="77777777" w:rsidR="006E51BF" w:rsidRDefault="006E51BF">
      <w:pPr>
        <w:pStyle w:val="Heading5"/>
        <w:rPr>
          <w:lang w:eastAsia="en-AU"/>
        </w:rPr>
      </w:pPr>
      <w:r w:rsidRPr="00DC1E6F">
        <w:rPr>
          <w:lang w:eastAsia="en-AU"/>
        </w:rPr>
        <w:t>Significant judgement: Fair value measurement</w:t>
      </w:r>
    </w:p>
    <w:p w14:paraId="6443D2FE" w14:textId="74641ED0" w:rsidR="006E51BF" w:rsidRDefault="006E51BF">
      <w:pPr>
        <w:pStyle w:val="ARfinbody"/>
        <w:rPr>
          <w:lang w:eastAsia="en-AU"/>
        </w:rPr>
      </w:pPr>
      <w:r w:rsidRPr="00DC1E6F">
        <w:rPr>
          <w:lang w:eastAsia="en-AU"/>
        </w:rPr>
        <w:t>Other than assets under construction, these assets are carried at fair value, additional information is disclosed in Note</w:t>
      </w:r>
      <w:r w:rsidR="00437809">
        <w:rPr>
          <w:lang w:eastAsia="en-AU"/>
        </w:rPr>
        <w:t> </w:t>
      </w:r>
      <w:r w:rsidRPr="00DC1E6F">
        <w:rPr>
          <w:lang w:eastAsia="en-AU"/>
        </w:rPr>
        <w:t>8.3 in connection with how those fair values were determined.</w:t>
      </w:r>
    </w:p>
    <w:p w14:paraId="190253BC" w14:textId="77777777" w:rsidR="006E51BF" w:rsidRDefault="006E51BF">
      <w:pPr>
        <w:pStyle w:val="Heading4"/>
        <w:rPr>
          <w:lang w:eastAsia="en-AU"/>
        </w:rPr>
      </w:pPr>
      <w:r w:rsidRPr="00DC1E6F">
        <w:rPr>
          <w:lang w:eastAsia="en-AU"/>
        </w:rPr>
        <w:t>Structure</w:t>
      </w:r>
    </w:p>
    <w:p w14:paraId="095317A3" w14:textId="77777777" w:rsidR="006E51BF" w:rsidRDefault="006E51BF">
      <w:pPr>
        <w:pStyle w:val="ARfinstructure1"/>
        <w:rPr>
          <w:lang w:eastAsia="en-AU"/>
        </w:rPr>
      </w:pPr>
      <w:r w:rsidRPr="00DC1E6F">
        <w:rPr>
          <w:lang w:eastAsia="en-AU"/>
        </w:rPr>
        <w:t xml:space="preserve">5.1 </w:t>
      </w:r>
      <w:r>
        <w:rPr>
          <w:lang w:eastAsia="en-AU"/>
        </w:rPr>
        <w:tab/>
      </w:r>
      <w:r w:rsidRPr="00DC1E6F">
        <w:rPr>
          <w:lang w:eastAsia="en-AU"/>
        </w:rPr>
        <w:t>Total property, plant and equipment</w:t>
      </w:r>
    </w:p>
    <w:p w14:paraId="53BE6E81" w14:textId="77777777" w:rsidR="006E51BF" w:rsidRDefault="006E51BF">
      <w:pPr>
        <w:pStyle w:val="ARfinstructure2"/>
        <w:rPr>
          <w:lang w:eastAsia="en-AU"/>
        </w:rPr>
      </w:pPr>
      <w:r w:rsidRPr="00DC1E6F">
        <w:rPr>
          <w:lang w:eastAsia="en-AU"/>
        </w:rPr>
        <w:t xml:space="preserve">5.1.1 </w:t>
      </w:r>
      <w:r>
        <w:rPr>
          <w:lang w:eastAsia="en-AU"/>
        </w:rPr>
        <w:tab/>
      </w:r>
      <w:r w:rsidRPr="00DC1E6F">
        <w:rPr>
          <w:lang w:eastAsia="en-AU"/>
        </w:rPr>
        <w:t>Total service concession assets</w:t>
      </w:r>
    </w:p>
    <w:p w14:paraId="4BA21DBC" w14:textId="77777777" w:rsidR="006E51BF" w:rsidRDefault="006E51BF">
      <w:pPr>
        <w:pStyle w:val="ARfinstructure2"/>
        <w:rPr>
          <w:lang w:eastAsia="en-AU"/>
        </w:rPr>
      </w:pPr>
      <w:r w:rsidRPr="00DC1E6F">
        <w:rPr>
          <w:lang w:eastAsia="en-AU"/>
        </w:rPr>
        <w:t xml:space="preserve">5.1.2 </w:t>
      </w:r>
      <w:r>
        <w:rPr>
          <w:lang w:eastAsia="en-AU"/>
        </w:rPr>
        <w:tab/>
      </w:r>
      <w:r w:rsidRPr="00DC1E6F">
        <w:rPr>
          <w:lang w:eastAsia="en-AU"/>
        </w:rPr>
        <w:t>Depreciation and amortisation</w:t>
      </w:r>
    </w:p>
    <w:p w14:paraId="255B8B17" w14:textId="77777777" w:rsidR="006E51BF" w:rsidRPr="00DC1E6F" w:rsidRDefault="006E51BF">
      <w:pPr>
        <w:pStyle w:val="ARfinstructure2"/>
        <w:rPr>
          <w:b/>
          <w:bCs/>
          <w:lang w:eastAsia="en-AU"/>
        </w:rPr>
      </w:pPr>
      <w:r w:rsidRPr="00DC1E6F">
        <w:rPr>
          <w:lang w:eastAsia="en-AU"/>
        </w:rPr>
        <w:t xml:space="preserve">5.1.3 </w:t>
      </w:r>
      <w:r>
        <w:rPr>
          <w:lang w:eastAsia="en-AU"/>
        </w:rPr>
        <w:tab/>
      </w:r>
      <w:r w:rsidRPr="00DC1E6F">
        <w:rPr>
          <w:lang w:eastAsia="en-AU"/>
        </w:rPr>
        <w:t xml:space="preserve">Reconciliation of movements in carrying amount of property, plant and equipment </w:t>
      </w:r>
    </w:p>
    <w:p w14:paraId="43F3CA5F" w14:textId="77777777" w:rsidR="006E51BF" w:rsidRPr="00DC1E6F" w:rsidRDefault="006E51BF">
      <w:pPr>
        <w:pStyle w:val="Heading5"/>
        <w:rPr>
          <w:lang w:eastAsia="en-AU"/>
        </w:rPr>
      </w:pPr>
      <w:r w:rsidRPr="00DC1E6F">
        <w:rPr>
          <w:lang w:eastAsia="en-AU"/>
        </w:rPr>
        <w:t xml:space="preserve">5.1 </w:t>
      </w:r>
      <w:r>
        <w:rPr>
          <w:lang w:eastAsia="en-AU"/>
        </w:rPr>
        <w:tab/>
      </w:r>
      <w:r w:rsidRPr="00DC1E6F">
        <w:rPr>
          <w:lang w:eastAsia="en-AU"/>
        </w:rPr>
        <w:t>Total property, plant and equipment</w:t>
      </w:r>
    </w:p>
    <w:tbl>
      <w:tblPr>
        <w:tblStyle w:val="ARtable1"/>
        <w:tblW w:w="5000" w:type="pct"/>
        <w:tblLayout w:type="fixed"/>
        <w:tblLook w:val="04E0" w:firstRow="1" w:lastRow="1" w:firstColumn="1" w:lastColumn="0" w:noHBand="0" w:noVBand="1"/>
      </w:tblPr>
      <w:tblGrid>
        <w:gridCol w:w="3116"/>
        <w:gridCol w:w="1205"/>
        <w:gridCol w:w="1061"/>
        <w:gridCol w:w="1061"/>
        <w:gridCol w:w="1061"/>
        <w:gridCol w:w="1061"/>
        <w:gridCol w:w="1063"/>
      </w:tblGrid>
      <w:tr w:rsidR="006E51BF" w:rsidRPr="00DC1E6F" w14:paraId="3209FB74" w14:textId="77777777" w:rsidTr="00785A35">
        <w:trPr>
          <w:cnfStyle w:val="100000000000" w:firstRow="1" w:lastRow="0" w:firstColumn="0" w:lastColumn="0" w:oddVBand="0" w:evenVBand="0" w:oddHBand="0" w:evenHBand="0" w:firstRowFirstColumn="0" w:firstRowLastColumn="0" w:lastRowFirstColumn="0" w:lastRowLastColumn="0"/>
          <w:trHeight w:val="20"/>
          <w:tblHeader/>
        </w:trPr>
        <w:tc>
          <w:tcPr>
            <w:tcW w:w="1618" w:type="pct"/>
            <w:noWrap/>
          </w:tcPr>
          <w:p w14:paraId="0968DED7" w14:textId="77777777" w:rsidR="006E51BF" w:rsidRPr="008B767B" w:rsidRDefault="006E51BF">
            <w:pPr>
              <w:pStyle w:val="ARtablecolheadright"/>
            </w:pPr>
          </w:p>
        </w:tc>
        <w:tc>
          <w:tcPr>
            <w:tcW w:w="626" w:type="pct"/>
            <w:tcBorders>
              <w:top w:val="single" w:sz="4" w:space="0" w:color="000000" w:themeColor="text1"/>
            </w:tcBorders>
            <w:shd w:val="clear" w:color="auto" w:fill="E7E6E6" w:themeFill="background2"/>
            <w:noWrap/>
            <w:tcMar>
              <w:right w:w="0" w:type="nil"/>
            </w:tcMar>
            <w:hideMark/>
          </w:tcPr>
          <w:p w14:paraId="2311872D" w14:textId="1C29C86A" w:rsidR="00E24E79" w:rsidRDefault="00E24E79">
            <w:pPr>
              <w:pStyle w:val="ARfintabletextboldright"/>
            </w:pPr>
            <w:r w:rsidRPr="008B767B">
              <w:t>Gross carrying amount</w:t>
            </w:r>
          </w:p>
          <w:p w14:paraId="17398718" w14:textId="46C23253" w:rsidR="006E51BF" w:rsidRPr="008B767B" w:rsidRDefault="006E51BF">
            <w:pPr>
              <w:pStyle w:val="ARfintabletextboldright"/>
            </w:pPr>
            <w:r w:rsidRPr="008B767B">
              <w:t>2026</w:t>
            </w:r>
          </w:p>
          <w:p w14:paraId="150064E9" w14:textId="77777777" w:rsidR="006E51BF" w:rsidRPr="008B767B" w:rsidRDefault="006E51BF">
            <w:pPr>
              <w:pStyle w:val="ARfintabletextboldright"/>
            </w:pPr>
            <w:r w:rsidRPr="008B767B">
              <w:t>$M</w:t>
            </w:r>
          </w:p>
        </w:tc>
        <w:tc>
          <w:tcPr>
            <w:tcW w:w="551" w:type="pct"/>
            <w:tcBorders>
              <w:top w:val="single" w:sz="4" w:space="0" w:color="000000" w:themeColor="text1"/>
            </w:tcBorders>
            <w:shd w:val="clear" w:color="auto" w:fill="E7E6E6" w:themeFill="background2"/>
            <w:noWrap/>
            <w:tcMar>
              <w:right w:w="0" w:type="nil"/>
            </w:tcMar>
            <w:hideMark/>
          </w:tcPr>
          <w:p w14:paraId="08170951" w14:textId="09FA4E79" w:rsidR="00E24E79" w:rsidRDefault="00E24E79">
            <w:pPr>
              <w:pStyle w:val="ARfintabletextboldright"/>
            </w:pPr>
            <w:r w:rsidRPr="008B767B">
              <w:t>Gross carrying amount</w:t>
            </w:r>
          </w:p>
          <w:p w14:paraId="4B2BF32B" w14:textId="727B87D6" w:rsidR="006E51BF" w:rsidRPr="008B767B" w:rsidRDefault="006E51BF">
            <w:pPr>
              <w:pStyle w:val="ARfintabletextboldright"/>
            </w:pPr>
            <w:r w:rsidRPr="008B767B">
              <w:t>2025</w:t>
            </w:r>
          </w:p>
          <w:p w14:paraId="701C9F1F" w14:textId="77777777" w:rsidR="006E51BF" w:rsidRPr="008B767B" w:rsidRDefault="006E51BF">
            <w:pPr>
              <w:pStyle w:val="ARfintabletextboldright"/>
            </w:pPr>
            <w:r w:rsidRPr="008B767B">
              <w:t>$M</w:t>
            </w:r>
          </w:p>
        </w:tc>
        <w:tc>
          <w:tcPr>
            <w:tcW w:w="551" w:type="pct"/>
            <w:tcBorders>
              <w:top w:val="single" w:sz="4" w:space="0" w:color="000000" w:themeColor="text1"/>
            </w:tcBorders>
            <w:noWrap/>
            <w:tcMar>
              <w:right w:w="0" w:type="nil"/>
            </w:tcMar>
            <w:hideMark/>
          </w:tcPr>
          <w:p w14:paraId="36D97166" w14:textId="4010A229" w:rsidR="00E24E79" w:rsidRDefault="00E24E79">
            <w:pPr>
              <w:pStyle w:val="ARfintabletextboldright"/>
            </w:pPr>
            <w:proofErr w:type="spellStart"/>
            <w:r w:rsidRPr="008B767B">
              <w:t>Accum</w:t>
            </w:r>
            <w:r>
              <w:t>-</w:t>
            </w:r>
            <w:r w:rsidRPr="008B767B">
              <w:t>ulated</w:t>
            </w:r>
            <w:proofErr w:type="spellEnd"/>
            <w:r w:rsidRPr="008B767B">
              <w:t xml:space="preserve"> </w:t>
            </w:r>
            <w:proofErr w:type="spellStart"/>
            <w:r w:rsidRPr="008B767B">
              <w:t>depre</w:t>
            </w:r>
            <w:r>
              <w:t>-</w:t>
            </w:r>
            <w:r w:rsidRPr="008B767B">
              <w:t>ciation</w:t>
            </w:r>
            <w:proofErr w:type="spellEnd"/>
          </w:p>
          <w:p w14:paraId="151154B0" w14:textId="76CD238B" w:rsidR="006E51BF" w:rsidRPr="008B767B" w:rsidRDefault="006E51BF">
            <w:pPr>
              <w:pStyle w:val="ARfintabletextboldright"/>
            </w:pPr>
            <w:r w:rsidRPr="008B767B">
              <w:t>2026</w:t>
            </w:r>
          </w:p>
          <w:p w14:paraId="54EA911E" w14:textId="77777777" w:rsidR="006E51BF" w:rsidRPr="008B767B" w:rsidRDefault="006E51BF">
            <w:pPr>
              <w:pStyle w:val="ARfintabletextboldright"/>
            </w:pPr>
            <w:r w:rsidRPr="008B767B">
              <w:t>$M</w:t>
            </w:r>
          </w:p>
        </w:tc>
        <w:tc>
          <w:tcPr>
            <w:tcW w:w="551" w:type="pct"/>
            <w:tcBorders>
              <w:top w:val="single" w:sz="4" w:space="0" w:color="000000" w:themeColor="text1"/>
            </w:tcBorders>
            <w:noWrap/>
            <w:tcMar>
              <w:right w:w="0" w:type="nil"/>
            </w:tcMar>
            <w:hideMark/>
          </w:tcPr>
          <w:p w14:paraId="09C833CC" w14:textId="5929DB6E" w:rsidR="00E24E79" w:rsidRDefault="00E24E79">
            <w:pPr>
              <w:pStyle w:val="ARfintabletextboldright"/>
            </w:pPr>
            <w:proofErr w:type="spellStart"/>
            <w:r w:rsidRPr="008B767B">
              <w:t>Accum</w:t>
            </w:r>
            <w:r>
              <w:t>-</w:t>
            </w:r>
            <w:r w:rsidRPr="008B767B">
              <w:t>ulated</w:t>
            </w:r>
            <w:proofErr w:type="spellEnd"/>
            <w:r w:rsidRPr="008B767B">
              <w:t xml:space="preserve"> </w:t>
            </w:r>
            <w:proofErr w:type="spellStart"/>
            <w:r w:rsidRPr="008B767B">
              <w:t>depre</w:t>
            </w:r>
            <w:r>
              <w:t>-</w:t>
            </w:r>
            <w:r w:rsidRPr="008B767B">
              <w:t>ciation</w:t>
            </w:r>
            <w:proofErr w:type="spellEnd"/>
          </w:p>
          <w:p w14:paraId="45CE1A0B" w14:textId="4EE03118" w:rsidR="006E51BF" w:rsidRPr="008B767B" w:rsidRDefault="006E51BF">
            <w:pPr>
              <w:pStyle w:val="ARfintabletextboldright"/>
            </w:pPr>
            <w:r w:rsidRPr="008B767B">
              <w:t>2025</w:t>
            </w:r>
          </w:p>
          <w:p w14:paraId="0EC9F24A" w14:textId="77777777" w:rsidR="006E51BF" w:rsidRPr="008B767B" w:rsidRDefault="006E51BF">
            <w:pPr>
              <w:pStyle w:val="ARfintabletextboldright"/>
            </w:pPr>
            <w:r w:rsidRPr="008B767B">
              <w:t>$M</w:t>
            </w:r>
          </w:p>
        </w:tc>
        <w:tc>
          <w:tcPr>
            <w:tcW w:w="551" w:type="pct"/>
            <w:tcBorders>
              <w:top w:val="single" w:sz="4" w:space="0" w:color="000000" w:themeColor="text1"/>
            </w:tcBorders>
            <w:shd w:val="clear" w:color="auto" w:fill="E7E6E6" w:themeFill="background2"/>
            <w:noWrap/>
            <w:tcMar>
              <w:right w:w="0" w:type="nil"/>
            </w:tcMar>
            <w:hideMark/>
          </w:tcPr>
          <w:p w14:paraId="707D1650" w14:textId="2F009E93" w:rsidR="00E24E79" w:rsidRDefault="00E24E79">
            <w:pPr>
              <w:pStyle w:val="ARfintabletextboldright"/>
            </w:pPr>
            <w:r w:rsidRPr="008B767B">
              <w:t>Net carrying amount</w:t>
            </w:r>
          </w:p>
          <w:p w14:paraId="7460AFA3" w14:textId="6077D6EC" w:rsidR="006E51BF" w:rsidRPr="008B767B" w:rsidRDefault="006E51BF">
            <w:pPr>
              <w:pStyle w:val="ARfintabletextboldright"/>
            </w:pPr>
            <w:r w:rsidRPr="008B767B">
              <w:t>2026</w:t>
            </w:r>
          </w:p>
          <w:p w14:paraId="3C3EE73E" w14:textId="77777777" w:rsidR="006E51BF" w:rsidRPr="008B767B" w:rsidRDefault="006E51BF">
            <w:pPr>
              <w:pStyle w:val="ARfintabletextboldright"/>
            </w:pPr>
            <w:r w:rsidRPr="008B767B">
              <w:t>$M</w:t>
            </w:r>
          </w:p>
        </w:tc>
        <w:tc>
          <w:tcPr>
            <w:tcW w:w="552" w:type="pct"/>
            <w:tcBorders>
              <w:top w:val="single" w:sz="4" w:space="0" w:color="000000" w:themeColor="text1"/>
            </w:tcBorders>
            <w:shd w:val="clear" w:color="auto" w:fill="E7E6E6" w:themeFill="background2"/>
            <w:noWrap/>
            <w:tcMar>
              <w:right w:w="0" w:type="nil"/>
            </w:tcMar>
            <w:hideMark/>
          </w:tcPr>
          <w:p w14:paraId="3F1EA696" w14:textId="45D02D77" w:rsidR="00E24E79" w:rsidRDefault="00E24E79">
            <w:pPr>
              <w:pStyle w:val="ARfintabletextboldright"/>
            </w:pPr>
            <w:r w:rsidRPr="008B767B">
              <w:t>Net carrying amount</w:t>
            </w:r>
          </w:p>
          <w:p w14:paraId="543A0612" w14:textId="09CE0190" w:rsidR="006E51BF" w:rsidRPr="008B767B" w:rsidRDefault="006E51BF">
            <w:pPr>
              <w:pStyle w:val="ARfintabletextboldright"/>
            </w:pPr>
            <w:r w:rsidRPr="008B767B">
              <w:t>2025</w:t>
            </w:r>
          </w:p>
          <w:p w14:paraId="5107C47E" w14:textId="77777777" w:rsidR="006E51BF" w:rsidRPr="008B767B" w:rsidRDefault="006E51BF">
            <w:pPr>
              <w:pStyle w:val="ARfintabletextboldright"/>
            </w:pPr>
            <w:r w:rsidRPr="008B767B">
              <w:t>$M</w:t>
            </w:r>
          </w:p>
        </w:tc>
      </w:tr>
      <w:tr w:rsidR="006E51BF" w:rsidRPr="00DC1E6F" w14:paraId="25AE126D"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618" w:type="pct"/>
            <w:noWrap/>
          </w:tcPr>
          <w:p w14:paraId="44005746" w14:textId="77777777" w:rsidR="006E51BF" w:rsidRPr="00DC1E6F" w:rsidRDefault="006E51BF">
            <w:pPr>
              <w:pStyle w:val="ARfintabletext"/>
              <w:rPr>
                <w:b/>
                <w:bCs/>
                <w:lang w:eastAsia="en-AU"/>
              </w:rPr>
            </w:pPr>
            <w:r w:rsidRPr="00DC1E6F">
              <w:rPr>
                <w:lang w:eastAsia="en-AU"/>
              </w:rPr>
              <w:t>Land at fair value</w:t>
            </w:r>
          </w:p>
        </w:tc>
        <w:tc>
          <w:tcPr>
            <w:tcW w:w="626" w:type="pct"/>
            <w:shd w:val="clear" w:color="auto" w:fill="E7E6E6" w:themeFill="background2"/>
            <w:noWrap/>
            <w:tcMar>
              <w:right w:w="0" w:type="nil"/>
            </w:tcMar>
          </w:tcPr>
          <w:p w14:paraId="5C20F2DE" w14:textId="77777777" w:rsidR="006E51BF" w:rsidRPr="008B767B" w:rsidRDefault="006E51BF">
            <w:pPr>
              <w:pStyle w:val="ARfintabletextright"/>
            </w:pPr>
            <w:r w:rsidRPr="008B767B">
              <w:t>24,229.3</w:t>
            </w:r>
          </w:p>
        </w:tc>
        <w:tc>
          <w:tcPr>
            <w:tcW w:w="551" w:type="pct"/>
            <w:shd w:val="clear" w:color="auto" w:fill="E7E6E6" w:themeFill="background2"/>
            <w:noWrap/>
            <w:tcMar>
              <w:right w:w="0" w:type="nil"/>
            </w:tcMar>
          </w:tcPr>
          <w:p w14:paraId="771211B3" w14:textId="77777777" w:rsidR="006E51BF" w:rsidRPr="008B767B" w:rsidRDefault="006E51BF">
            <w:pPr>
              <w:pStyle w:val="ARfintabletextright"/>
            </w:pPr>
            <w:r w:rsidRPr="008B767B">
              <w:t>24,225.6</w:t>
            </w:r>
          </w:p>
        </w:tc>
        <w:tc>
          <w:tcPr>
            <w:tcW w:w="551" w:type="pct"/>
            <w:noWrap/>
            <w:tcMar>
              <w:right w:w="0" w:type="nil"/>
            </w:tcMar>
          </w:tcPr>
          <w:p w14:paraId="0B3E052E" w14:textId="77777777" w:rsidR="006E51BF" w:rsidRPr="008B767B" w:rsidRDefault="006E51BF">
            <w:pPr>
              <w:pStyle w:val="ARfintabletextright"/>
            </w:pPr>
            <w:r w:rsidRPr="008B767B">
              <w:t>–</w:t>
            </w:r>
          </w:p>
        </w:tc>
        <w:tc>
          <w:tcPr>
            <w:tcW w:w="551" w:type="pct"/>
            <w:noWrap/>
            <w:tcMar>
              <w:right w:w="0" w:type="nil"/>
            </w:tcMar>
          </w:tcPr>
          <w:p w14:paraId="655960A5" w14:textId="77777777" w:rsidR="006E51BF" w:rsidRPr="008B767B" w:rsidRDefault="006E51BF">
            <w:pPr>
              <w:pStyle w:val="ARfintabletextright"/>
            </w:pPr>
            <w:r w:rsidRPr="008B767B">
              <w:t>–</w:t>
            </w:r>
          </w:p>
        </w:tc>
        <w:tc>
          <w:tcPr>
            <w:tcW w:w="551" w:type="pct"/>
            <w:shd w:val="clear" w:color="auto" w:fill="E7E6E6" w:themeFill="background2"/>
            <w:noWrap/>
            <w:tcMar>
              <w:right w:w="0" w:type="nil"/>
            </w:tcMar>
          </w:tcPr>
          <w:p w14:paraId="30DD76DB" w14:textId="77777777" w:rsidR="006E51BF" w:rsidRPr="008B767B" w:rsidRDefault="006E51BF">
            <w:pPr>
              <w:pStyle w:val="ARfintabletextright"/>
            </w:pPr>
            <w:r w:rsidRPr="008B767B">
              <w:t>24,229.3</w:t>
            </w:r>
          </w:p>
        </w:tc>
        <w:tc>
          <w:tcPr>
            <w:tcW w:w="552" w:type="pct"/>
            <w:shd w:val="clear" w:color="auto" w:fill="E7E6E6" w:themeFill="background2"/>
            <w:noWrap/>
            <w:tcMar>
              <w:right w:w="0" w:type="nil"/>
            </w:tcMar>
          </w:tcPr>
          <w:p w14:paraId="3B256C07" w14:textId="77777777" w:rsidR="006E51BF" w:rsidRPr="008B767B" w:rsidRDefault="006E51BF">
            <w:pPr>
              <w:pStyle w:val="ARfintabletextright"/>
            </w:pPr>
            <w:r w:rsidRPr="008B767B">
              <w:t>24,225.6</w:t>
            </w:r>
          </w:p>
        </w:tc>
      </w:tr>
      <w:tr w:rsidR="006E51BF" w:rsidRPr="00DC1E6F" w14:paraId="1A57E11F"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618" w:type="pct"/>
            <w:noWrap/>
          </w:tcPr>
          <w:p w14:paraId="220596D2" w14:textId="77777777" w:rsidR="006E51BF" w:rsidRPr="00DC1E6F" w:rsidRDefault="006E51BF">
            <w:pPr>
              <w:pStyle w:val="ARfintabletext"/>
              <w:rPr>
                <w:b/>
                <w:bCs/>
                <w:lang w:eastAsia="en-AU"/>
              </w:rPr>
            </w:pPr>
            <w:r w:rsidRPr="00DC1E6F">
              <w:rPr>
                <w:lang w:eastAsia="en-AU"/>
              </w:rPr>
              <w:t>Buildings at fair value</w:t>
            </w:r>
          </w:p>
        </w:tc>
        <w:tc>
          <w:tcPr>
            <w:tcW w:w="626" w:type="pct"/>
            <w:shd w:val="clear" w:color="auto" w:fill="E7E6E6" w:themeFill="background2"/>
            <w:noWrap/>
            <w:tcMar>
              <w:right w:w="0" w:type="nil"/>
            </w:tcMar>
          </w:tcPr>
          <w:p w14:paraId="4B77CB1C" w14:textId="77777777" w:rsidR="006E51BF" w:rsidRPr="008B767B" w:rsidRDefault="006E51BF">
            <w:pPr>
              <w:pStyle w:val="ARfintabletextright"/>
            </w:pPr>
            <w:r w:rsidRPr="008B767B">
              <w:t>14,208.4</w:t>
            </w:r>
          </w:p>
        </w:tc>
        <w:tc>
          <w:tcPr>
            <w:tcW w:w="551" w:type="pct"/>
            <w:shd w:val="clear" w:color="auto" w:fill="E7E6E6" w:themeFill="background2"/>
            <w:noWrap/>
            <w:tcMar>
              <w:right w:w="0" w:type="nil"/>
            </w:tcMar>
          </w:tcPr>
          <w:p w14:paraId="4DB7BC53" w14:textId="77777777" w:rsidR="006E51BF" w:rsidRPr="008B767B" w:rsidRDefault="006E51BF">
            <w:pPr>
              <w:pStyle w:val="ARfintabletextright"/>
            </w:pPr>
            <w:r w:rsidRPr="008B767B">
              <w:t>13,726.5</w:t>
            </w:r>
          </w:p>
        </w:tc>
        <w:tc>
          <w:tcPr>
            <w:tcW w:w="551" w:type="pct"/>
            <w:noWrap/>
            <w:tcMar>
              <w:right w:w="0" w:type="nil"/>
            </w:tcMar>
          </w:tcPr>
          <w:p w14:paraId="1CC09D1D" w14:textId="77777777" w:rsidR="006E51BF" w:rsidRPr="008B767B" w:rsidRDefault="006E51BF">
            <w:pPr>
              <w:pStyle w:val="ARfintabletextright"/>
            </w:pPr>
            <w:r w:rsidRPr="008B767B">
              <w:t>(1,136.2)</w:t>
            </w:r>
          </w:p>
        </w:tc>
        <w:tc>
          <w:tcPr>
            <w:tcW w:w="551" w:type="pct"/>
            <w:noWrap/>
            <w:tcMar>
              <w:right w:w="0" w:type="nil"/>
            </w:tcMar>
          </w:tcPr>
          <w:p w14:paraId="245816A9" w14:textId="77777777" w:rsidR="006E51BF" w:rsidRPr="008B767B" w:rsidRDefault="006E51BF">
            <w:pPr>
              <w:pStyle w:val="ARfintabletextright"/>
            </w:pPr>
            <w:r w:rsidRPr="008B767B">
              <w:t>(546.0)</w:t>
            </w:r>
          </w:p>
        </w:tc>
        <w:tc>
          <w:tcPr>
            <w:tcW w:w="551" w:type="pct"/>
            <w:shd w:val="clear" w:color="auto" w:fill="E7E6E6" w:themeFill="background2"/>
            <w:noWrap/>
            <w:tcMar>
              <w:right w:w="0" w:type="nil"/>
            </w:tcMar>
          </w:tcPr>
          <w:p w14:paraId="626A22EA" w14:textId="77777777" w:rsidR="006E51BF" w:rsidRPr="008B767B" w:rsidRDefault="006E51BF">
            <w:pPr>
              <w:pStyle w:val="ARfintabletextright"/>
            </w:pPr>
            <w:r w:rsidRPr="008B767B">
              <w:t>13,072.2</w:t>
            </w:r>
          </w:p>
        </w:tc>
        <w:tc>
          <w:tcPr>
            <w:tcW w:w="552" w:type="pct"/>
            <w:shd w:val="clear" w:color="auto" w:fill="E7E6E6" w:themeFill="background2"/>
            <w:noWrap/>
            <w:tcMar>
              <w:right w:w="0" w:type="nil"/>
            </w:tcMar>
          </w:tcPr>
          <w:p w14:paraId="1CCA5CD4" w14:textId="77777777" w:rsidR="006E51BF" w:rsidRPr="008B767B" w:rsidRDefault="006E51BF">
            <w:pPr>
              <w:pStyle w:val="ARfintabletextright"/>
            </w:pPr>
            <w:r w:rsidRPr="008B767B">
              <w:t>13,180.5</w:t>
            </w:r>
          </w:p>
        </w:tc>
      </w:tr>
      <w:tr w:rsidR="006E51BF" w:rsidRPr="00DC1E6F" w14:paraId="74C30DE9"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618" w:type="pct"/>
            <w:noWrap/>
          </w:tcPr>
          <w:p w14:paraId="38642D44" w14:textId="77777777" w:rsidR="006E51BF" w:rsidRPr="00DC1E6F" w:rsidRDefault="006E51BF">
            <w:pPr>
              <w:pStyle w:val="ARfintabletext"/>
              <w:rPr>
                <w:b/>
                <w:bCs/>
                <w:lang w:eastAsia="en-AU"/>
              </w:rPr>
            </w:pPr>
            <w:r w:rsidRPr="00DC1E6F">
              <w:rPr>
                <w:lang w:eastAsia="en-AU"/>
              </w:rPr>
              <w:t>Plant and equipment at fair value</w:t>
            </w:r>
          </w:p>
        </w:tc>
        <w:tc>
          <w:tcPr>
            <w:tcW w:w="626" w:type="pct"/>
            <w:shd w:val="clear" w:color="auto" w:fill="E7E6E6" w:themeFill="background2"/>
            <w:noWrap/>
            <w:tcMar>
              <w:right w:w="0" w:type="nil"/>
            </w:tcMar>
          </w:tcPr>
          <w:p w14:paraId="76295CB8" w14:textId="77777777" w:rsidR="006E51BF" w:rsidRPr="008B767B" w:rsidRDefault="006E51BF">
            <w:pPr>
              <w:pStyle w:val="ARfintabletextright"/>
            </w:pPr>
            <w:r w:rsidRPr="008B767B">
              <w:t>12.0</w:t>
            </w:r>
          </w:p>
        </w:tc>
        <w:tc>
          <w:tcPr>
            <w:tcW w:w="551" w:type="pct"/>
            <w:shd w:val="clear" w:color="auto" w:fill="E7E6E6" w:themeFill="background2"/>
            <w:noWrap/>
            <w:tcMar>
              <w:right w:w="0" w:type="nil"/>
            </w:tcMar>
          </w:tcPr>
          <w:p w14:paraId="2BD708F0" w14:textId="77777777" w:rsidR="006E51BF" w:rsidRPr="008B767B" w:rsidRDefault="006E51BF">
            <w:pPr>
              <w:pStyle w:val="ARfintabletextright"/>
            </w:pPr>
            <w:r w:rsidRPr="008B767B">
              <w:t>3.0</w:t>
            </w:r>
          </w:p>
        </w:tc>
        <w:tc>
          <w:tcPr>
            <w:tcW w:w="551" w:type="pct"/>
            <w:noWrap/>
            <w:tcMar>
              <w:right w:w="0" w:type="nil"/>
            </w:tcMar>
          </w:tcPr>
          <w:p w14:paraId="737EB008" w14:textId="77777777" w:rsidR="006E51BF" w:rsidRPr="008B767B" w:rsidRDefault="006E51BF">
            <w:pPr>
              <w:pStyle w:val="ARfintabletextright"/>
            </w:pPr>
            <w:r w:rsidRPr="008B767B">
              <w:t>(2.8)</w:t>
            </w:r>
          </w:p>
        </w:tc>
        <w:tc>
          <w:tcPr>
            <w:tcW w:w="551" w:type="pct"/>
            <w:noWrap/>
            <w:tcMar>
              <w:right w:w="0" w:type="nil"/>
            </w:tcMar>
          </w:tcPr>
          <w:p w14:paraId="5E3422BB" w14:textId="77777777" w:rsidR="006E51BF" w:rsidRPr="008B767B" w:rsidRDefault="006E51BF">
            <w:pPr>
              <w:pStyle w:val="ARfintabletextright"/>
            </w:pPr>
            <w:r w:rsidRPr="008B767B">
              <w:t>(2.7)</w:t>
            </w:r>
          </w:p>
        </w:tc>
        <w:tc>
          <w:tcPr>
            <w:tcW w:w="551" w:type="pct"/>
            <w:shd w:val="clear" w:color="auto" w:fill="E7E6E6" w:themeFill="background2"/>
            <w:noWrap/>
            <w:tcMar>
              <w:right w:w="0" w:type="nil"/>
            </w:tcMar>
          </w:tcPr>
          <w:p w14:paraId="11255BA5" w14:textId="77777777" w:rsidR="006E51BF" w:rsidRPr="008B767B" w:rsidRDefault="006E51BF">
            <w:pPr>
              <w:pStyle w:val="ARfintabletextright"/>
            </w:pPr>
            <w:r w:rsidRPr="008B767B">
              <w:t>9.2</w:t>
            </w:r>
          </w:p>
        </w:tc>
        <w:tc>
          <w:tcPr>
            <w:tcW w:w="552" w:type="pct"/>
            <w:shd w:val="clear" w:color="auto" w:fill="E7E6E6" w:themeFill="background2"/>
            <w:noWrap/>
            <w:tcMar>
              <w:right w:w="0" w:type="nil"/>
            </w:tcMar>
          </w:tcPr>
          <w:p w14:paraId="61397825" w14:textId="77777777" w:rsidR="006E51BF" w:rsidRPr="008B767B" w:rsidRDefault="006E51BF">
            <w:pPr>
              <w:pStyle w:val="ARfintabletextright"/>
            </w:pPr>
            <w:r w:rsidRPr="008B767B">
              <w:t>0.3</w:t>
            </w:r>
          </w:p>
        </w:tc>
      </w:tr>
      <w:tr w:rsidR="006E51BF" w:rsidRPr="00DC1E6F" w14:paraId="1B4B804E"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1618" w:type="pct"/>
            <w:noWrap/>
          </w:tcPr>
          <w:p w14:paraId="79F9A81D" w14:textId="77777777" w:rsidR="006E51BF" w:rsidRPr="00DC1E6F" w:rsidRDefault="006E51BF">
            <w:pPr>
              <w:pStyle w:val="ARfintabletext"/>
              <w:rPr>
                <w:b/>
                <w:bCs/>
                <w:lang w:eastAsia="en-AU"/>
              </w:rPr>
            </w:pPr>
            <w:r w:rsidRPr="00DC1E6F">
              <w:rPr>
                <w:lang w:eastAsia="en-AU"/>
              </w:rPr>
              <w:t>Assets under construction</w:t>
            </w:r>
          </w:p>
        </w:tc>
        <w:tc>
          <w:tcPr>
            <w:tcW w:w="626" w:type="pct"/>
            <w:shd w:val="clear" w:color="auto" w:fill="E7E6E6" w:themeFill="background2"/>
            <w:noWrap/>
            <w:tcMar>
              <w:right w:w="0" w:type="nil"/>
            </w:tcMar>
          </w:tcPr>
          <w:p w14:paraId="79B36621" w14:textId="77777777" w:rsidR="006E51BF" w:rsidRPr="008B767B" w:rsidRDefault="006E51BF">
            <w:pPr>
              <w:pStyle w:val="ARfintabletextright"/>
            </w:pPr>
            <w:r w:rsidRPr="008B767B">
              <w:t>2,135.0</w:t>
            </w:r>
          </w:p>
        </w:tc>
        <w:tc>
          <w:tcPr>
            <w:tcW w:w="551" w:type="pct"/>
            <w:shd w:val="clear" w:color="auto" w:fill="E7E6E6" w:themeFill="background2"/>
            <w:noWrap/>
            <w:tcMar>
              <w:right w:w="0" w:type="nil"/>
            </w:tcMar>
          </w:tcPr>
          <w:p w14:paraId="7261FB18" w14:textId="77777777" w:rsidR="006E51BF" w:rsidRPr="008B767B" w:rsidRDefault="006E51BF">
            <w:pPr>
              <w:pStyle w:val="ARfintabletextright"/>
            </w:pPr>
            <w:r w:rsidRPr="008B767B">
              <w:t>1,455.5</w:t>
            </w:r>
          </w:p>
        </w:tc>
        <w:tc>
          <w:tcPr>
            <w:tcW w:w="551" w:type="pct"/>
            <w:noWrap/>
            <w:tcMar>
              <w:right w:w="0" w:type="nil"/>
            </w:tcMar>
          </w:tcPr>
          <w:p w14:paraId="33EAB258" w14:textId="77777777" w:rsidR="006E51BF" w:rsidRPr="008B767B" w:rsidRDefault="006E51BF">
            <w:pPr>
              <w:pStyle w:val="ARfintabletextright"/>
            </w:pPr>
            <w:r w:rsidRPr="008B767B">
              <w:t>–</w:t>
            </w:r>
          </w:p>
        </w:tc>
        <w:tc>
          <w:tcPr>
            <w:tcW w:w="551" w:type="pct"/>
            <w:noWrap/>
            <w:tcMar>
              <w:right w:w="0" w:type="nil"/>
            </w:tcMar>
          </w:tcPr>
          <w:p w14:paraId="4DC89FBA" w14:textId="77777777" w:rsidR="006E51BF" w:rsidRPr="008B767B" w:rsidRDefault="006E51BF">
            <w:pPr>
              <w:pStyle w:val="ARfintabletextright"/>
            </w:pPr>
            <w:r w:rsidRPr="008B767B">
              <w:t>–</w:t>
            </w:r>
          </w:p>
        </w:tc>
        <w:tc>
          <w:tcPr>
            <w:tcW w:w="551" w:type="pct"/>
            <w:shd w:val="clear" w:color="auto" w:fill="E7E6E6" w:themeFill="background2"/>
            <w:noWrap/>
            <w:tcMar>
              <w:right w:w="0" w:type="nil"/>
            </w:tcMar>
          </w:tcPr>
          <w:p w14:paraId="24A48088" w14:textId="77777777" w:rsidR="006E51BF" w:rsidRPr="008B767B" w:rsidRDefault="006E51BF">
            <w:pPr>
              <w:pStyle w:val="ARfintabletextright"/>
            </w:pPr>
            <w:r w:rsidRPr="008B767B">
              <w:t>2,135.0</w:t>
            </w:r>
          </w:p>
        </w:tc>
        <w:tc>
          <w:tcPr>
            <w:tcW w:w="552" w:type="pct"/>
            <w:shd w:val="clear" w:color="auto" w:fill="E7E6E6" w:themeFill="background2"/>
            <w:noWrap/>
            <w:tcMar>
              <w:right w:w="0" w:type="nil"/>
            </w:tcMar>
          </w:tcPr>
          <w:p w14:paraId="55E3B2B4" w14:textId="77777777" w:rsidR="006E51BF" w:rsidRPr="008B767B" w:rsidRDefault="006E51BF">
            <w:pPr>
              <w:pStyle w:val="ARfintabletextright"/>
            </w:pPr>
            <w:r w:rsidRPr="008B767B">
              <w:t>1,455.5</w:t>
            </w:r>
          </w:p>
        </w:tc>
      </w:tr>
      <w:tr w:rsidR="006E51BF" w:rsidRPr="00DC1E6F" w14:paraId="5F921C50"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1618" w:type="pct"/>
            <w:noWrap/>
          </w:tcPr>
          <w:p w14:paraId="3A85ECCE" w14:textId="77777777" w:rsidR="006E51BF" w:rsidRPr="00DC1E6F" w:rsidRDefault="006E51BF">
            <w:pPr>
              <w:pStyle w:val="ARfintabletext"/>
              <w:rPr>
                <w:b/>
                <w:bCs/>
                <w:lang w:eastAsia="en-AU"/>
              </w:rPr>
            </w:pPr>
            <w:r w:rsidRPr="00DC1E6F">
              <w:rPr>
                <w:lang w:eastAsia="en-AU"/>
              </w:rPr>
              <w:t>Right-of-use assets: land, building and vehicles</w:t>
            </w:r>
            <w:r w:rsidRPr="00DC1E6F">
              <w:rPr>
                <w:vertAlign w:val="superscript"/>
                <w:lang w:eastAsia="en-AU"/>
              </w:rPr>
              <w:t>(</w:t>
            </w:r>
            <w:proofErr w:type="spellStart"/>
            <w:r w:rsidRPr="00DC1E6F">
              <w:rPr>
                <w:vertAlign w:val="superscript"/>
                <w:lang w:eastAsia="en-AU"/>
              </w:rPr>
              <w:t>i</w:t>
            </w:r>
            <w:proofErr w:type="spellEnd"/>
            <w:r w:rsidRPr="00DC1E6F">
              <w:rPr>
                <w:vertAlign w:val="superscript"/>
                <w:lang w:eastAsia="en-AU"/>
              </w:rPr>
              <w:t>)</w:t>
            </w:r>
          </w:p>
        </w:tc>
        <w:tc>
          <w:tcPr>
            <w:tcW w:w="626" w:type="pct"/>
            <w:shd w:val="clear" w:color="auto" w:fill="E7E6E6" w:themeFill="background2"/>
            <w:noWrap/>
            <w:tcMar>
              <w:right w:w="0" w:type="nil"/>
            </w:tcMar>
          </w:tcPr>
          <w:p w14:paraId="3EDA64B7" w14:textId="77777777" w:rsidR="006E51BF" w:rsidRPr="008B767B" w:rsidRDefault="006E51BF">
            <w:pPr>
              <w:pStyle w:val="ARfintabletextright"/>
            </w:pPr>
            <w:r w:rsidRPr="008B767B">
              <w:t>179.0</w:t>
            </w:r>
          </w:p>
        </w:tc>
        <w:tc>
          <w:tcPr>
            <w:tcW w:w="551" w:type="pct"/>
            <w:shd w:val="clear" w:color="auto" w:fill="E7E6E6" w:themeFill="background2"/>
            <w:noWrap/>
            <w:tcMar>
              <w:right w:w="0" w:type="nil"/>
            </w:tcMar>
          </w:tcPr>
          <w:p w14:paraId="5B569E11" w14:textId="77777777" w:rsidR="006E51BF" w:rsidRPr="008B767B" w:rsidRDefault="006E51BF">
            <w:pPr>
              <w:pStyle w:val="ARfintabletextright"/>
            </w:pPr>
            <w:r w:rsidRPr="008B767B">
              <w:t>168.2</w:t>
            </w:r>
          </w:p>
        </w:tc>
        <w:tc>
          <w:tcPr>
            <w:tcW w:w="551" w:type="pct"/>
            <w:noWrap/>
            <w:tcMar>
              <w:right w:w="0" w:type="nil"/>
            </w:tcMar>
          </w:tcPr>
          <w:p w14:paraId="24FAC6FF" w14:textId="77777777" w:rsidR="006E51BF" w:rsidRPr="008B767B" w:rsidRDefault="006E51BF">
            <w:pPr>
              <w:pStyle w:val="ARfintabletextright"/>
            </w:pPr>
            <w:r w:rsidRPr="008B767B">
              <w:t>(89.8)</w:t>
            </w:r>
          </w:p>
        </w:tc>
        <w:tc>
          <w:tcPr>
            <w:tcW w:w="551" w:type="pct"/>
            <w:noWrap/>
            <w:tcMar>
              <w:right w:w="0" w:type="nil"/>
            </w:tcMar>
          </w:tcPr>
          <w:p w14:paraId="43B0EFCA" w14:textId="77777777" w:rsidR="006E51BF" w:rsidRPr="008B767B" w:rsidRDefault="006E51BF">
            <w:pPr>
              <w:pStyle w:val="ARfintabletextright"/>
            </w:pPr>
            <w:r w:rsidRPr="008B767B">
              <w:t>(75.2)</w:t>
            </w:r>
          </w:p>
        </w:tc>
        <w:tc>
          <w:tcPr>
            <w:tcW w:w="551" w:type="pct"/>
            <w:shd w:val="clear" w:color="auto" w:fill="E7E6E6" w:themeFill="background2"/>
            <w:noWrap/>
            <w:tcMar>
              <w:right w:w="0" w:type="nil"/>
            </w:tcMar>
          </w:tcPr>
          <w:p w14:paraId="75EBF956" w14:textId="77777777" w:rsidR="006E51BF" w:rsidRPr="008B767B" w:rsidRDefault="006E51BF">
            <w:pPr>
              <w:pStyle w:val="ARfintabletextright"/>
            </w:pPr>
            <w:r w:rsidRPr="008B767B">
              <w:t>89.2</w:t>
            </w:r>
          </w:p>
        </w:tc>
        <w:tc>
          <w:tcPr>
            <w:tcW w:w="552" w:type="pct"/>
            <w:shd w:val="clear" w:color="auto" w:fill="E7E6E6" w:themeFill="background2"/>
            <w:noWrap/>
            <w:tcMar>
              <w:right w:w="0" w:type="nil"/>
            </w:tcMar>
          </w:tcPr>
          <w:p w14:paraId="78C95A17" w14:textId="77777777" w:rsidR="006E51BF" w:rsidRPr="008B767B" w:rsidRDefault="006E51BF">
            <w:pPr>
              <w:pStyle w:val="ARfintabletextright"/>
            </w:pPr>
            <w:r w:rsidRPr="008B767B">
              <w:t>93.0</w:t>
            </w:r>
          </w:p>
        </w:tc>
      </w:tr>
      <w:tr w:rsidR="006E51BF" w:rsidRPr="00DC1E6F" w14:paraId="248A9FCE" w14:textId="77777777" w:rsidTr="00785A35">
        <w:trPr>
          <w:cnfStyle w:val="010000000000" w:firstRow="0" w:lastRow="1" w:firstColumn="0" w:lastColumn="0" w:oddVBand="0" w:evenVBand="0" w:oddHBand="0" w:evenHBand="0" w:firstRowFirstColumn="0" w:firstRowLastColumn="0" w:lastRowFirstColumn="0" w:lastRowLastColumn="0"/>
          <w:trHeight w:val="195"/>
        </w:trPr>
        <w:tc>
          <w:tcPr>
            <w:tcW w:w="1618" w:type="pct"/>
            <w:noWrap/>
            <w:hideMark/>
          </w:tcPr>
          <w:p w14:paraId="035521ED" w14:textId="77777777" w:rsidR="006E51BF" w:rsidRPr="00DC1E6F" w:rsidRDefault="006E51BF">
            <w:pPr>
              <w:pStyle w:val="ARfintabletextbold"/>
              <w:rPr>
                <w:lang w:eastAsia="en-AU"/>
              </w:rPr>
            </w:pPr>
            <w:r w:rsidRPr="00DC1E6F">
              <w:rPr>
                <w:lang w:eastAsia="en-AU"/>
              </w:rPr>
              <w:t>Net carrying amount</w:t>
            </w:r>
          </w:p>
        </w:tc>
        <w:tc>
          <w:tcPr>
            <w:tcW w:w="626" w:type="pct"/>
            <w:shd w:val="clear" w:color="auto" w:fill="E7E6E6" w:themeFill="background2"/>
            <w:noWrap/>
            <w:tcMar>
              <w:right w:w="0" w:type="nil"/>
            </w:tcMar>
            <w:hideMark/>
          </w:tcPr>
          <w:p w14:paraId="7403340C" w14:textId="77777777" w:rsidR="006E51BF" w:rsidRPr="008B767B" w:rsidRDefault="006E51BF">
            <w:pPr>
              <w:pStyle w:val="ARfintabletextboldright"/>
            </w:pPr>
            <w:r w:rsidRPr="008B767B">
              <w:t>40,763.7</w:t>
            </w:r>
          </w:p>
        </w:tc>
        <w:tc>
          <w:tcPr>
            <w:tcW w:w="551" w:type="pct"/>
            <w:shd w:val="clear" w:color="auto" w:fill="E7E6E6" w:themeFill="background2"/>
            <w:noWrap/>
            <w:tcMar>
              <w:right w:w="0" w:type="nil"/>
            </w:tcMar>
            <w:hideMark/>
          </w:tcPr>
          <w:p w14:paraId="39F09DFC" w14:textId="77777777" w:rsidR="006E51BF" w:rsidRPr="008B767B" w:rsidRDefault="006E51BF">
            <w:pPr>
              <w:pStyle w:val="ARfintabletextboldright"/>
            </w:pPr>
            <w:r w:rsidRPr="008B767B">
              <w:t>39,578.8</w:t>
            </w:r>
          </w:p>
        </w:tc>
        <w:tc>
          <w:tcPr>
            <w:tcW w:w="551" w:type="pct"/>
            <w:noWrap/>
            <w:tcMar>
              <w:right w:w="0" w:type="nil"/>
            </w:tcMar>
            <w:hideMark/>
          </w:tcPr>
          <w:p w14:paraId="5EE98D0F" w14:textId="77777777" w:rsidR="006E51BF" w:rsidRPr="008B767B" w:rsidRDefault="006E51BF">
            <w:pPr>
              <w:pStyle w:val="ARfintabletextboldright"/>
            </w:pPr>
            <w:r w:rsidRPr="008B767B">
              <w:t>(1,228.8)</w:t>
            </w:r>
          </w:p>
        </w:tc>
        <w:tc>
          <w:tcPr>
            <w:tcW w:w="551" w:type="pct"/>
            <w:noWrap/>
            <w:tcMar>
              <w:right w:w="0" w:type="nil"/>
            </w:tcMar>
            <w:hideMark/>
          </w:tcPr>
          <w:p w14:paraId="40D56159" w14:textId="77777777" w:rsidR="006E51BF" w:rsidRPr="008B767B" w:rsidRDefault="006E51BF">
            <w:pPr>
              <w:pStyle w:val="ARfintabletextboldright"/>
            </w:pPr>
            <w:r w:rsidRPr="008B767B">
              <w:t>(623.9)</w:t>
            </w:r>
          </w:p>
        </w:tc>
        <w:tc>
          <w:tcPr>
            <w:tcW w:w="551" w:type="pct"/>
            <w:shd w:val="clear" w:color="auto" w:fill="E7E6E6" w:themeFill="background2"/>
            <w:noWrap/>
            <w:tcMar>
              <w:right w:w="0" w:type="nil"/>
            </w:tcMar>
            <w:hideMark/>
          </w:tcPr>
          <w:p w14:paraId="5504788F" w14:textId="77777777" w:rsidR="006E51BF" w:rsidRPr="008B767B" w:rsidRDefault="006E51BF">
            <w:pPr>
              <w:pStyle w:val="ARfintabletextboldright"/>
            </w:pPr>
            <w:r w:rsidRPr="008B767B">
              <w:t>39,534.9</w:t>
            </w:r>
          </w:p>
        </w:tc>
        <w:tc>
          <w:tcPr>
            <w:tcW w:w="552" w:type="pct"/>
            <w:shd w:val="clear" w:color="auto" w:fill="E7E6E6" w:themeFill="background2"/>
            <w:noWrap/>
            <w:tcMar>
              <w:right w:w="0" w:type="nil"/>
            </w:tcMar>
            <w:hideMark/>
          </w:tcPr>
          <w:p w14:paraId="2791EF00" w14:textId="77777777" w:rsidR="006E51BF" w:rsidRPr="008B767B" w:rsidRDefault="006E51BF">
            <w:pPr>
              <w:pStyle w:val="ARfintabletextboldright"/>
            </w:pPr>
            <w:r w:rsidRPr="008B767B">
              <w:t>38,954.9</w:t>
            </w:r>
          </w:p>
        </w:tc>
      </w:tr>
    </w:tbl>
    <w:p w14:paraId="75215C47" w14:textId="77777777" w:rsidR="006E51BF" w:rsidRPr="00DC1E6F" w:rsidRDefault="006E51BF">
      <w:pPr>
        <w:pStyle w:val="ARfintablenote"/>
        <w:rPr>
          <w:lang w:eastAsia="en-AU"/>
        </w:rPr>
      </w:pPr>
      <w:r w:rsidRPr="00DC1E6F">
        <w:rPr>
          <w:lang w:eastAsia="en-AU"/>
        </w:rPr>
        <w:t>Notes:</w:t>
      </w:r>
    </w:p>
    <w:p w14:paraId="1BDE03B6" w14:textId="77777777" w:rsidR="006E51BF" w:rsidRPr="00DC1E6F" w:rsidRDefault="006E51BF" w:rsidP="006E51BF">
      <w:pPr>
        <w:pStyle w:val="ARfintablenoteroman"/>
        <w:numPr>
          <w:ilvl w:val="0"/>
          <w:numId w:val="65"/>
        </w:numPr>
      </w:pPr>
      <w:r w:rsidRPr="00DC1E6F">
        <w:t>As a result of a change in FRD 104 Leases effective for reporting periods from 30 June 2026, right-of-use assets are measured at cost for 2025</w:t>
      </w:r>
      <w:r>
        <w:t>–</w:t>
      </w:r>
      <w:r w:rsidRPr="00DC1E6F">
        <w:t>26. The comparative information for 2024</w:t>
      </w:r>
      <w:r>
        <w:t>–</w:t>
      </w:r>
      <w:r w:rsidRPr="00DC1E6F">
        <w:t>25 is not restated and is reported at the previously determined fair value. For further information, refer to Note 9.4.</w:t>
      </w:r>
    </w:p>
    <w:p w14:paraId="2F411098" w14:textId="77777777" w:rsidR="006E51BF" w:rsidRPr="005677B5" w:rsidRDefault="006E51BF">
      <w:pPr>
        <w:pStyle w:val="Heading5"/>
        <w:rPr>
          <w:lang w:eastAsia="en-AU"/>
        </w:rPr>
      </w:pPr>
      <w:r w:rsidRPr="005677B5">
        <w:rPr>
          <w:lang w:eastAsia="en-AU"/>
        </w:rPr>
        <w:t xml:space="preserve">5.1.1 </w:t>
      </w:r>
      <w:r>
        <w:rPr>
          <w:lang w:eastAsia="en-AU"/>
        </w:rPr>
        <w:tab/>
      </w:r>
      <w:r w:rsidRPr="005677B5">
        <w:rPr>
          <w:lang w:eastAsia="en-AU"/>
        </w:rPr>
        <w:t>Total service concession assets</w:t>
      </w:r>
    </w:p>
    <w:tbl>
      <w:tblPr>
        <w:tblStyle w:val="ARtable1"/>
        <w:tblW w:w="5000" w:type="pct"/>
        <w:tblLook w:val="00E0" w:firstRow="1" w:lastRow="1" w:firstColumn="1" w:lastColumn="0" w:noHBand="0" w:noVBand="0"/>
      </w:tblPr>
      <w:tblGrid>
        <w:gridCol w:w="6514"/>
        <w:gridCol w:w="1556"/>
        <w:gridCol w:w="1558"/>
      </w:tblGrid>
      <w:tr w:rsidR="006E51BF" w:rsidRPr="005677B5" w14:paraId="68ED774B" w14:textId="77777777" w:rsidTr="00785A35">
        <w:trPr>
          <w:cnfStyle w:val="100000000000" w:firstRow="1" w:lastRow="0" w:firstColumn="0" w:lastColumn="0" w:oddVBand="0" w:evenVBand="0" w:oddHBand="0" w:evenHBand="0" w:firstRowFirstColumn="0" w:firstRowLastColumn="0" w:lastRowFirstColumn="0" w:lastRowLastColumn="0"/>
          <w:trHeight w:val="20"/>
          <w:tblHeader/>
        </w:trPr>
        <w:tc>
          <w:tcPr>
            <w:tcW w:w="3383" w:type="pct"/>
          </w:tcPr>
          <w:p w14:paraId="6E2668E3" w14:textId="77777777" w:rsidR="006E51BF" w:rsidRPr="005677B5"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808" w:type="pct"/>
            <w:tcMar>
              <w:right w:w="0" w:type="nil"/>
            </w:tcMar>
            <w:hideMark/>
          </w:tcPr>
          <w:p w14:paraId="5292CC37" w14:textId="77777777" w:rsidR="006E51BF" w:rsidRPr="005677B5" w:rsidRDefault="006E51BF">
            <w:pPr>
              <w:pStyle w:val="ARfintablecolheadright"/>
              <w:rPr>
                <w:lang w:eastAsia="en-AU"/>
              </w:rPr>
            </w:pPr>
            <w:r w:rsidRPr="005677B5">
              <w:rPr>
                <w:lang w:eastAsia="en-AU"/>
              </w:rPr>
              <w:t>2026</w:t>
            </w:r>
          </w:p>
          <w:p w14:paraId="64B14EA4" w14:textId="77777777" w:rsidR="006E51BF" w:rsidRPr="005677B5" w:rsidRDefault="006E51BF">
            <w:pPr>
              <w:pStyle w:val="ARfintablecolheadright"/>
              <w:rPr>
                <w:lang w:eastAsia="en-AU"/>
              </w:rPr>
            </w:pPr>
            <w:r w:rsidRPr="005677B5">
              <w:rPr>
                <w:lang w:eastAsia="en-AU"/>
              </w:rPr>
              <w:t>$M</w:t>
            </w:r>
          </w:p>
        </w:tc>
        <w:tc>
          <w:tcPr>
            <w:tcW w:w="809" w:type="pct"/>
            <w:noWrap/>
            <w:tcMar>
              <w:right w:w="0" w:type="nil"/>
            </w:tcMar>
            <w:hideMark/>
          </w:tcPr>
          <w:p w14:paraId="0122E2AB" w14:textId="77777777" w:rsidR="006E51BF" w:rsidRPr="005677B5"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5677B5">
              <w:rPr>
                <w:lang w:eastAsia="en-AU"/>
              </w:rPr>
              <w:t>2025</w:t>
            </w:r>
          </w:p>
          <w:p w14:paraId="325E5B9D" w14:textId="77777777" w:rsidR="006E51BF" w:rsidRPr="005677B5"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5677B5">
              <w:rPr>
                <w:lang w:eastAsia="en-AU"/>
              </w:rPr>
              <w:t>$M</w:t>
            </w:r>
          </w:p>
        </w:tc>
      </w:tr>
      <w:tr w:rsidR="006E51BF" w:rsidRPr="005677B5" w14:paraId="3FC85A2D"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790654BE" w14:textId="77777777" w:rsidR="006E51BF" w:rsidRPr="005677B5" w:rsidRDefault="006E51BF">
            <w:pPr>
              <w:pStyle w:val="ARfintabletext"/>
              <w:rPr>
                <w:lang w:eastAsia="en-AU"/>
              </w:rPr>
            </w:pPr>
            <w:r w:rsidRPr="005677B5">
              <w:rPr>
                <w:lang w:eastAsia="en-AU"/>
              </w:rPr>
              <w:t>Buildings at fair value</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2EDF31D" w14:textId="77777777" w:rsidR="006E51BF" w:rsidRPr="005677B5" w:rsidRDefault="006E51BF">
            <w:pPr>
              <w:pStyle w:val="ARfintabletextright"/>
              <w:rPr>
                <w:lang w:eastAsia="en-AU"/>
              </w:rPr>
            </w:pPr>
            <w:r w:rsidRPr="005677B5">
              <w:rPr>
                <w:lang w:eastAsia="en-AU"/>
              </w:rPr>
              <w:t>352.5</w:t>
            </w:r>
          </w:p>
        </w:tc>
        <w:tc>
          <w:tcPr>
            <w:tcW w:w="809" w:type="pct"/>
            <w:noWrap/>
            <w:tcMar>
              <w:right w:w="0" w:type="nil"/>
            </w:tcMar>
            <w:hideMark/>
          </w:tcPr>
          <w:p w14:paraId="7D945D33" w14:textId="77777777" w:rsidR="006E51BF" w:rsidRPr="005677B5"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5677B5">
              <w:rPr>
                <w:lang w:eastAsia="en-AU"/>
              </w:rPr>
              <w:t>352.5</w:t>
            </w:r>
          </w:p>
        </w:tc>
      </w:tr>
      <w:tr w:rsidR="006E51BF" w:rsidRPr="005677B5" w14:paraId="29D10C96"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04384971" w14:textId="77777777" w:rsidR="006E51BF" w:rsidRPr="005677B5" w:rsidRDefault="006E51BF">
            <w:pPr>
              <w:pStyle w:val="ARfintabletext"/>
              <w:rPr>
                <w:lang w:eastAsia="en-AU"/>
              </w:rPr>
            </w:pPr>
            <w:r w:rsidRPr="005677B5">
              <w:rPr>
                <w:lang w:eastAsia="en-AU"/>
              </w:rPr>
              <w:t xml:space="preserve">Assets under construction </w:t>
            </w:r>
            <w:r w:rsidRPr="005677B5">
              <w:rPr>
                <w:vertAlign w:val="superscript"/>
                <w:lang w:eastAsia="en-AU"/>
              </w:rPr>
              <w:t>(</w:t>
            </w:r>
            <w:proofErr w:type="spellStart"/>
            <w:r w:rsidRPr="005677B5">
              <w:rPr>
                <w:vertAlign w:val="superscript"/>
                <w:lang w:eastAsia="en-AU"/>
              </w:rPr>
              <w:t>i</w:t>
            </w:r>
            <w:proofErr w:type="spellEnd"/>
            <w:r w:rsidRPr="005677B5">
              <w:rPr>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7E662666" w14:textId="77777777" w:rsidR="006E51BF" w:rsidRPr="005677B5" w:rsidRDefault="006E51BF">
            <w:pPr>
              <w:pStyle w:val="ARfintabletextright"/>
              <w:rPr>
                <w:lang w:eastAsia="en-AU"/>
              </w:rPr>
            </w:pPr>
            <w:r w:rsidRPr="005677B5">
              <w:rPr>
                <w:lang w:eastAsia="en-AU"/>
              </w:rPr>
              <w:t>811.0</w:t>
            </w:r>
          </w:p>
        </w:tc>
        <w:tc>
          <w:tcPr>
            <w:tcW w:w="809" w:type="pct"/>
            <w:noWrap/>
            <w:tcMar>
              <w:right w:w="0" w:type="nil"/>
            </w:tcMar>
            <w:hideMark/>
          </w:tcPr>
          <w:p w14:paraId="2FDC19A8" w14:textId="77777777" w:rsidR="006E51BF" w:rsidRPr="005677B5"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5677B5">
              <w:rPr>
                <w:lang w:eastAsia="en-AU"/>
              </w:rPr>
              <w:t>399.4</w:t>
            </w:r>
          </w:p>
        </w:tc>
      </w:tr>
      <w:tr w:rsidR="006E51BF" w:rsidRPr="005677B5" w14:paraId="7177297B"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53DCA611" w14:textId="77777777" w:rsidR="006E51BF" w:rsidRPr="005677B5" w:rsidRDefault="006E51BF">
            <w:pPr>
              <w:pStyle w:val="ARfintabletext"/>
              <w:rPr>
                <w:lang w:eastAsia="en-AU"/>
              </w:rPr>
            </w:pPr>
            <w:r w:rsidRPr="005677B5">
              <w:rPr>
                <w:lang w:eastAsia="en-AU"/>
              </w:rPr>
              <w:t xml:space="preserve">Buildings at fair value </w:t>
            </w:r>
            <w:r>
              <w:rPr>
                <w:lang w:eastAsia="en-AU"/>
              </w:rPr>
              <w:t>–</w:t>
            </w:r>
            <w:r w:rsidRPr="005677B5">
              <w:rPr>
                <w:lang w:eastAsia="en-AU"/>
              </w:rPr>
              <w:t xml:space="preserve"> accumulated depreciation</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52DBB044" w14:textId="77777777" w:rsidR="006E51BF" w:rsidRPr="005677B5" w:rsidRDefault="006E51BF">
            <w:pPr>
              <w:pStyle w:val="ARfintabletextright"/>
              <w:rPr>
                <w:lang w:eastAsia="en-AU"/>
              </w:rPr>
            </w:pPr>
            <w:r w:rsidRPr="005677B5">
              <w:rPr>
                <w:lang w:eastAsia="en-AU"/>
              </w:rPr>
              <w:t>(17.6)</w:t>
            </w:r>
          </w:p>
        </w:tc>
        <w:tc>
          <w:tcPr>
            <w:tcW w:w="809" w:type="pct"/>
            <w:noWrap/>
            <w:tcMar>
              <w:right w:w="0" w:type="nil"/>
            </w:tcMar>
            <w:hideMark/>
          </w:tcPr>
          <w:p w14:paraId="51061597" w14:textId="77777777" w:rsidR="006E51BF" w:rsidRPr="005677B5"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5677B5">
              <w:rPr>
                <w:lang w:eastAsia="en-AU"/>
              </w:rPr>
              <w:t>(10.6)</w:t>
            </w:r>
          </w:p>
        </w:tc>
      </w:tr>
      <w:tr w:rsidR="006E51BF" w:rsidRPr="005677B5" w14:paraId="4E1E28B2" w14:textId="77777777" w:rsidTr="00785A35">
        <w:trPr>
          <w:cnfStyle w:val="010000000000" w:firstRow="0" w:lastRow="1" w:firstColumn="0" w:lastColumn="0" w:oddVBand="0" w:evenVBand="0" w:oddHBand="0" w:evenHBand="0" w:firstRowFirstColumn="0" w:firstRowLastColumn="0" w:lastRowFirstColumn="0" w:lastRowLastColumn="0"/>
          <w:trHeight w:val="20"/>
        </w:trPr>
        <w:tc>
          <w:tcPr>
            <w:tcW w:w="3383" w:type="pct"/>
            <w:noWrap/>
            <w:hideMark/>
          </w:tcPr>
          <w:p w14:paraId="037F358B" w14:textId="77777777" w:rsidR="006E51BF" w:rsidRPr="005677B5" w:rsidRDefault="006E51BF">
            <w:pPr>
              <w:pStyle w:val="ARfintabletextbold"/>
              <w:rPr>
                <w:lang w:eastAsia="en-AU"/>
              </w:rPr>
            </w:pPr>
            <w:r w:rsidRPr="005677B5">
              <w:rPr>
                <w:lang w:eastAsia="en-AU"/>
              </w:rPr>
              <w:t>Net carrying amount</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4235D1AA" w14:textId="77777777" w:rsidR="006E51BF" w:rsidRPr="005677B5" w:rsidRDefault="006E51BF">
            <w:pPr>
              <w:pStyle w:val="ARfintablecolheadright"/>
              <w:rPr>
                <w:lang w:eastAsia="en-AU"/>
              </w:rPr>
            </w:pPr>
            <w:r w:rsidRPr="005677B5">
              <w:rPr>
                <w:lang w:eastAsia="en-AU"/>
              </w:rPr>
              <w:t>1,145.9</w:t>
            </w:r>
          </w:p>
        </w:tc>
        <w:tc>
          <w:tcPr>
            <w:tcW w:w="809" w:type="pct"/>
            <w:noWrap/>
            <w:tcMar>
              <w:right w:w="0" w:type="nil"/>
            </w:tcMar>
            <w:hideMark/>
          </w:tcPr>
          <w:p w14:paraId="25B93B21" w14:textId="77777777" w:rsidR="006E51BF" w:rsidRPr="005677B5" w:rsidRDefault="006E51BF">
            <w:pPr>
              <w:pStyle w:val="ARfintablecolheadright"/>
              <w:cnfStyle w:val="010000000000" w:firstRow="0" w:lastRow="1" w:firstColumn="0" w:lastColumn="0" w:oddVBand="0" w:evenVBand="0" w:oddHBand="0" w:evenHBand="0" w:firstRowFirstColumn="0" w:firstRowLastColumn="0" w:lastRowFirstColumn="0" w:lastRowLastColumn="0"/>
              <w:rPr>
                <w:lang w:eastAsia="en-AU"/>
              </w:rPr>
            </w:pPr>
            <w:r w:rsidRPr="005677B5">
              <w:rPr>
                <w:lang w:eastAsia="en-AU"/>
              </w:rPr>
              <w:t>741.3</w:t>
            </w:r>
          </w:p>
        </w:tc>
      </w:tr>
    </w:tbl>
    <w:p w14:paraId="760C07FB" w14:textId="77777777" w:rsidR="006E51BF" w:rsidRPr="005677B5" w:rsidRDefault="006E51BF">
      <w:pPr>
        <w:pStyle w:val="ARfintablenote"/>
        <w:rPr>
          <w:lang w:eastAsia="en-AU"/>
        </w:rPr>
      </w:pPr>
      <w:r w:rsidRPr="005677B5">
        <w:rPr>
          <w:lang w:eastAsia="en-AU"/>
        </w:rPr>
        <w:t>Note:</w:t>
      </w:r>
    </w:p>
    <w:p w14:paraId="469B27C9" w14:textId="77777777" w:rsidR="006E51BF" w:rsidRPr="005677B5" w:rsidRDefault="006E51BF" w:rsidP="006E51BF">
      <w:pPr>
        <w:pStyle w:val="ARfintablenoteroman"/>
        <w:numPr>
          <w:ilvl w:val="0"/>
          <w:numId w:val="66"/>
        </w:numPr>
      </w:pPr>
      <w:r w:rsidRPr="005677B5">
        <w:t xml:space="preserve">Refer to Note 7.5.3 Service concession arrangements for further details. </w:t>
      </w:r>
    </w:p>
    <w:p w14:paraId="495230BF" w14:textId="77777777" w:rsidR="006E51BF" w:rsidRDefault="006E51BF">
      <w:pPr>
        <w:pStyle w:val="Heading6"/>
      </w:pPr>
      <w:r w:rsidRPr="005677B5">
        <w:t>Initial recognition</w:t>
      </w:r>
    </w:p>
    <w:p w14:paraId="7124EA59" w14:textId="77777777" w:rsidR="006E51BF" w:rsidRDefault="006E51BF">
      <w:pPr>
        <w:pStyle w:val="ARfinbody"/>
        <w:rPr>
          <w:lang w:eastAsia="en-AU"/>
        </w:rPr>
      </w:pPr>
      <w:r w:rsidRPr="005677B5">
        <w:rPr>
          <w:lang w:eastAsia="en-AU"/>
        </w:rPr>
        <w:t>Items of property, plant and equipment, are measured initially at cost and subsequently revalued at fair value less accumulated depreciation and impairment. Where an asset is acquired for no or nominal cost, the cost is the asset’s fair value at the date of acquisition. Assets transferred as part of a machinery of government change are transferred at their carrying amount.</w:t>
      </w:r>
    </w:p>
    <w:p w14:paraId="303F45CE" w14:textId="77777777" w:rsidR="006E51BF" w:rsidRDefault="006E51BF">
      <w:pPr>
        <w:pStyle w:val="ARfinbody"/>
        <w:rPr>
          <w:lang w:eastAsia="en-AU"/>
        </w:rPr>
      </w:pPr>
      <w:r w:rsidRPr="005677B5">
        <w:rPr>
          <w:lang w:eastAsia="en-AU"/>
        </w:rPr>
        <w:t>The cost of constructed non-financial physical assets includes the cost of all materials used in construction, direct labour on the project and an appropriate proportion of variable and fixed overheads. Homes Victoria uses specific estimates to allocate these overheads to capital projects, ensuring each project bears its fair share of indirect costs.</w:t>
      </w:r>
    </w:p>
    <w:p w14:paraId="0665B1DA" w14:textId="77777777" w:rsidR="006E51BF" w:rsidRPr="005677B5" w:rsidRDefault="006E51BF">
      <w:pPr>
        <w:pStyle w:val="ARfinbody"/>
        <w:rPr>
          <w:lang w:eastAsia="en-AU"/>
        </w:rPr>
      </w:pPr>
      <w:r w:rsidRPr="005677B5">
        <w:rPr>
          <w:lang w:eastAsia="en-AU"/>
        </w:rPr>
        <w:t>The cost of leasehold improvements is capitalised and depreciated over the shorter of the remaining term of the leases or their estimated useful lives.</w:t>
      </w:r>
    </w:p>
    <w:p w14:paraId="0664ACA6" w14:textId="77777777" w:rsidR="006E51BF" w:rsidRPr="00253553" w:rsidRDefault="006E51BF">
      <w:pPr>
        <w:pStyle w:val="Heading7"/>
      </w:pPr>
      <w:r w:rsidRPr="00253553">
        <w:t>Service concession assets (under AASB 1059 Service Concession Assets: Grantors) – Initial</w:t>
      </w:r>
      <w:r>
        <w:t> </w:t>
      </w:r>
      <w:r w:rsidRPr="00253553">
        <w:t>measurement</w:t>
      </w:r>
    </w:p>
    <w:p w14:paraId="5F401579" w14:textId="77777777" w:rsidR="006E51BF" w:rsidRDefault="006E51BF">
      <w:pPr>
        <w:pStyle w:val="ARfinbody"/>
        <w:rPr>
          <w:lang w:eastAsia="en-AU"/>
        </w:rPr>
      </w:pPr>
      <w:r w:rsidRPr="005677B5">
        <w:rPr>
          <w:lang w:eastAsia="en-AU"/>
        </w:rPr>
        <w:t>The department initially recognises service concession assets and service concession assets under construction at current replacement cost in accordance with the cost approach to fair value in AASB 13</w:t>
      </w:r>
      <w:r w:rsidRPr="00105DB4">
        <w:rPr>
          <w:rStyle w:val="Emphasis"/>
          <w:lang w:eastAsia="en-AU"/>
        </w:rPr>
        <w:t xml:space="preserve"> Fair Value Measurement</w:t>
      </w:r>
      <w:r w:rsidRPr="005677B5">
        <w:rPr>
          <w:lang w:eastAsia="en-AU"/>
        </w:rPr>
        <w:t xml:space="preserve">. </w:t>
      </w:r>
    </w:p>
    <w:p w14:paraId="3884B380" w14:textId="77777777" w:rsidR="006E51BF" w:rsidRPr="005677B5" w:rsidRDefault="006E51BF">
      <w:pPr>
        <w:pStyle w:val="ARfinbody"/>
        <w:rPr>
          <w:lang w:eastAsia="en-AU"/>
        </w:rPr>
      </w:pPr>
      <w:r w:rsidRPr="005677B5">
        <w:rPr>
          <w:lang w:eastAsia="en-AU"/>
        </w:rPr>
        <w:t>As part of the application of AASB 1059, the department uses a fair value proxy approach for the service concession assets that are under construction. The fair value proxy approach captures the financing cost incurred during the construction of a service concession asset by the private sector, with the aim of achieving faithful representation of the current replacement cost of service concession assets under construction balance.</w:t>
      </w:r>
    </w:p>
    <w:p w14:paraId="55E70898" w14:textId="77777777" w:rsidR="006E51BF" w:rsidRPr="00253553" w:rsidRDefault="006E51BF">
      <w:pPr>
        <w:pStyle w:val="Heading7"/>
      </w:pPr>
      <w:r w:rsidRPr="00253553">
        <w:t>Right-of-use assets acquired by lessees – Initial measurement</w:t>
      </w:r>
    </w:p>
    <w:p w14:paraId="1B4199EB" w14:textId="77777777" w:rsidR="006E51BF" w:rsidRDefault="006E51BF">
      <w:pPr>
        <w:pStyle w:val="ARfinbody"/>
        <w:rPr>
          <w:lang w:eastAsia="en-AU"/>
        </w:rPr>
      </w:pPr>
      <w:r w:rsidRPr="005677B5">
        <w:rPr>
          <w:lang w:eastAsia="en-AU"/>
        </w:rPr>
        <w:t>The department recognises a right-of-use asset and a lease liability at the lease commencement date. The right-of-use asset is initially measured at cost which comprises the initial amount of the lease liability adjusted for:</w:t>
      </w:r>
    </w:p>
    <w:p w14:paraId="3EBA9906" w14:textId="77777777" w:rsidR="006E51BF" w:rsidRDefault="006E51BF" w:rsidP="006E51BF">
      <w:pPr>
        <w:pStyle w:val="ARfinbullet1"/>
        <w:numPr>
          <w:ilvl w:val="0"/>
          <w:numId w:val="13"/>
        </w:numPr>
        <w:ind w:left="284" w:hanging="284"/>
      </w:pPr>
      <w:r w:rsidRPr="005677B5">
        <w:t>any lease payments made at or before the commencement date less any lease incentive received</w:t>
      </w:r>
    </w:p>
    <w:p w14:paraId="178D4E0E" w14:textId="77777777" w:rsidR="006E51BF" w:rsidRDefault="006E51BF" w:rsidP="006E51BF">
      <w:pPr>
        <w:pStyle w:val="ARfinbullet1"/>
        <w:numPr>
          <w:ilvl w:val="0"/>
          <w:numId w:val="13"/>
        </w:numPr>
        <w:ind w:left="284" w:hanging="284"/>
      </w:pPr>
      <w:r w:rsidRPr="005677B5">
        <w:t>any initial direct costs incurred</w:t>
      </w:r>
    </w:p>
    <w:p w14:paraId="22F81E85" w14:textId="77777777" w:rsidR="006E51BF" w:rsidRPr="005677B5" w:rsidRDefault="006E51BF" w:rsidP="006E51BF">
      <w:pPr>
        <w:pStyle w:val="ARfinbullet1"/>
        <w:numPr>
          <w:ilvl w:val="0"/>
          <w:numId w:val="13"/>
        </w:numPr>
        <w:ind w:left="284" w:hanging="284"/>
      </w:pPr>
      <w:r w:rsidRPr="005677B5">
        <w:t>an estimate of costs to dismantle and remove the underlying asset or to restore the underlying asset or the site on which it is located.</w:t>
      </w:r>
    </w:p>
    <w:p w14:paraId="23B786F8" w14:textId="77777777" w:rsidR="006E51BF" w:rsidRDefault="006E51BF">
      <w:pPr>
        <w:pStyle w:val="Heading6"/>
      </w:pPr>
      <w:r w:rsidRPr="005677B5">
        <w:t>Subsequent measurement</w:t>
      </w:r>
    </w:p>
    <w:p w14:paraId="52C1A9D7" w14:textId="77777777" w:rsidR="006E51BF" w:rsidRDefault="006E51BF">
      <w:pPr>
        <w:pStyle w:val="ARfinbody"/>
        <w:rPr>
          <w:lang w:eastAsia="en-AU"/>
        </w:rPr>
      </w:pPr>
      <w:r w:rsidRPr="005677B5">
        <w:rPr>
          <w:lang w:eastAsia="en-AU"/>
        </w:rPr>
        <w:t xml:space="preserve">Property, plant and equipment (PPE) and service concession assets are subsequently measured at fair value less accumulated depreciation and impairment. Fair value is determined </w:t>
      </w:r>
      <w:proofErr w:type="gramStart"/>
      <w:r w:rsidRPr="005677B5">
        <w:rPr>
          <w:lang w:eastAsia="en-AU"/>
        </w:rPr>
        <w:t>with regard</w:t>
      </w:r>
      <w:r>
        <w:rPr>
          <w:lang w:eastAsia="en-AU"/>
        </w:rPr>
        <w:t> </w:t>
      </w:r>
      <w:r w:rsidRPr="005677B5">
        <w:rPr>
          <w:lang w:eastAsia="en-AU"/>
        </w:rPr>
        <w:t>to</w:t>
      </w:r>
      <w:proofErr w:type="gramEnd"/>
      <w:r w:rsidRPr="005677B5">
        <w:rPr>
          <w:lang w:eastAsia="en-AU"/>
        </w:rPr>
        <w:t xml:space="preserve"> the asset's highest and best use (considering legal or physical restrictions imposed on the asset, public announcements or commitments made in relation to the intended use of the asset) and is summarised below by asset</w:t>
      </w:r>
      <w:r>
        <w:rPr>
          <w:lang w:eastAsia="en-AU"/>
        </w:rPr>
        <w:t> </w:t>
      </w:r>
      <w:r w:rsidRPr="005677B5">
        <w:rPr>
          <w:lang w:eastAsia="en-AU"/>
        </w:rPr>
        <w:t>category.</w:t>
      </w:r>
    </w:p>
    <w:p w14:paraId="6A9D7D76" w14:textId="374DDE78" w:rsidR="006E51BF" w:rsidRPr="00253553" w:rsidRDefault="006E51BF">
      <w:pPr>
        <w:pStyle w:val="ARfinbody"/>
      </w:pPr>
      <w:r w:rsidRPr="005677B5">
        <w:rPr>
          <w:lang w:eastAsia="en-AU"/>
        </w:rPr>
        <w:t>In accordance with FRD 103, the department will apply Appendix F of AASB 13 prospectively in its next scheduled formal revaluation in 2028</w:t>
      </w:r>
      <w:r>
        <w:rPr>
          <w:lang w:eastAsia="en-AU"/>
        </w:rPr>
        <w:t>–29</w:t>
      </w:r>
      <w:r w:rsidRPr="005677B5">
        <w:rPr>
          <w:lang w:eastAsia="en-AU"/>
        </w:rPr>
        <w:t xml:space="preserve"> or interim revaluation process (whichever is earlier). Based on the 2026 fair value assessment using the Valuer-General Victoria (VGV) Land and Building indices, the estimated movements were approximately 4.6%</w:t>
      </w:r>
      <w:r w:rsidR="00437809">
        <w:rPr>
          <w:lang w:eastAsia="en-AU"/>
        </w:rPr>
        <w:t> </w:t>
      </w:r>
      <w:r w:rsidRPr="005677B5">
        <w:rPr>
          <w:lang w:eastAsia="en-AU"/>
        </w:rPr>
        <w:t xml:space="preserve">for </w:t>
      </w:r>
      <w:r w:rsidRPr="00253553">
        <w:t>land and 5.6% for buildings and were deemed not material.</w:t>
      </w:r>
    </w:p>
    <w:p w14:paraId="36E30856" w14:textId="77777777" w:rsidR="006E51BF" w:rsidRPr="00253553" w:rsidRDefault="006E51BF">
      <w:pPr>
        <w:pStyle w:val="Heading7"/>
      </w:pPr>
      <w:r w:rsidRPr="00253553">
        <w:t>Service concession assets – Subsequent measurement</w:t>
      </w:r>
    </w:p>
    <w:p w14:paraId="3EC3975F" w14:textId="4E8CB5B6" w:rsidR="006E51BF" w:rsidRPr="005677B5" w:rsidRDefault="006E51BF">
      <w:pPr>
        <w:pStyle w:val="ARfinbody"/>
        <w:rPr>
          <w:lang w:eastAsia="en-AU"/>
        </w:rPr>
      </w:pPr>
      <w:r w:rsidRPr="005677B5">
        <w:rPr>
          <w:lang w:eastAsia="en-AU"/>
        </w:rPr>
        <w:t>Service concession assets are subject to revaluation as required by FRD 103.</w:t>
      </w:r>
      <w:r w:rsidR="000D67BA">
        <w:rPr>
          <w:lang w:eastAsia="en-AU"/>
        </w:rPr>
        <w:t xml:space="preserve"> </w:t>
      </w:r>
      <w:r w:rsidRPr="005677B5">
        <w:rPr>
          <w:lang w:eastAsia="en-AU"/>
        </w:rPr>
        <w:t>When revalued, the fair value of service concession assets will be determined based on current replacement cost.</w:t>
      </w:r>
    </w:p>
    <w:p w14:paraId="7092DFF7" w14:textId="77777777" w:rsidR="006E51BF" w:rsidRPr="00253553" w:rsidRDefault="006E51BF">
      <w:pPr>
        <w:pStyle w:val="Heading7"/>
      </w:pPr>
      <w:r w:rsidRPr="00253553">
        <w:t>Right-of-use assets – Subsequent measurement</w:t>
      </w:r>
    </w:p>
    <w:p w14:paraId="4DA6F95F" w14:textId="77777777" w:rsidR="006E51BF" w:rsidRPr="00253553" w:rsidRDefault="006E51BF">
      <w:pPr>
        <w:pStyle w:val="ARfinbody"/>
      </w:pPr>
      <w:r w:rsidRPr="005677B5">
        <w:rPr>
          <w:lang w:eastAsia="en-AU"/>
        </w:rPr>
        <w:t xml:space="preserve">Right-of-use assets are subsequently measured at cost less accumulated depreciation, impairment and any adjustments for remeasurement of the lease liability. The department depreciates the right-of-use assets on a straight-line basis from the lease commencement date to the earlier of the end of the useful life of the right-of-use asset or the end of the lease term. Impairment of the right-of-use asset is determined and accounted for in accordance with AASB 136 </w:t>
      </w:r>
      <w:r w:rsidRPr="00105DB4">
        <w:rPr>
          <w:rStyle w:val="Emphasis"/>
          <w:lang w:eastAsia="en-AU"/>
        </w:rPr>
        <w:t xml:space="preserve">Impairment of </w:t>
      </w:r>
      <w:r w:rsidRPr="00253553">
        <w:t>Assets. Refer to Note 9.4 Changes in accounting policy.</w:t>
      </w:r>
    </w:p>
    <w:p w14:paraId="19B9880E" w14:textId="77777777" w:rsidR="006E51BF" w:rsidRPr="00253553" w:rsidRDefault="006E51BF">
      <w:pPr>
        <w:pStyle w:val="Heading7"/>
        <w:rPr>
          <w:lang w:eastAsia="en-AU"/>
        </w:rPr>
      </w:pPr>
      <w:r w:rsidRPr="00253553">
        <w:rPr>
          <w:lang w:eastAsia="en-AU"/>
        </w:rPr>
        <w:t>Non-specialised land and non-specialised buildings – Subsequent measurement</w:t>
      </w:r>
    </w:p>
    <w:p w14:paraId="7DA5530E" w14:textId="77777777" w:rsidR="006E51BF" w:rsidRPr="005677B5" w:rsidRDefault="006E51BF">
      <w:pPr>
        <w:pStyle w:val="ARfinbody"/>
        <w:rPr>
          <w:b/>
          <w:bCs/>
          <w:lang w:eastAsia="en-AU"/>
        </w:rPr>
      </w:pPr>
      <w:r w:rsidRPr="005677B5">
        <w:rPr>
          <w:lang w:eastAsia="en-AU"/>
        </w:rPr>
        <w:t>Non-specialised land and non-specialised buildings</w:t>
      </w:r>
      <w:r w:rsidRPr="005677B5">
        <w:rPr>
          <w:b/>
          <w:bCs/>
          <w:lang w:eastAsia="en-AU"/>
        </w:rPr>
        <w:t xml:space="preserve"> </w:t>
      </w:r>
      <w:r w:rsidRPr="005677B5">
        <w:rPr>
          <w:lang w:eastAsia="en-AU"/>
        </w:rPr>
        <w:t>are valued using the market approach, whereby assets are compared to recent comparable sales or sales of comparable assets that are considered to have nominal value.</w:t>
      </w:r>
    </w:p>
    <w:p w14:paraId="4A703559" w14:textId="77777777" w:rsidR="006E51BF" w:rsidRPr="00253553" w:rsidRDefault="006E51BF">
      <w:pPr>
        <w:pStyle w:val="Heading7"/>
      </w:pPr>
      <w:r w:rsidRPr="00253553">
        <w:t xml:space="preserve">Specialised land and specialised buildings – Subsequent measurement </w:t>
      </w:r>
    </w:p>
    <w:p w14:paraId="4DBB7B83" w14:textId="77777777" w:rsidR="006E51BF" w:rsidRDefault="006E51BF">
      <w:pPr>
        <w:pStyle w:val="ARfinbody"/>
        <w:rPr>
          <w:lang w:eastAsia="en-AU"/>
        </w:rPr>
      </w:pPr>
      <w:r w:rsidRPr="005677B5">
        <w:rPr>
          <w:lang w:eastAsia="en-AU"/>
        </w:rPr>
        <w:t>The market approach is also used for specialised land, although is adjusted for the community service obligation (CSO) to reflect the specialised nature of the land being valued.</w:t>
      </w:r>
    </w:p>
    <w:p w14:paraId="2C7E24D0" w14:textId="77777777" w:rsidR="006E51BF" w:rsidRDefault="006E51BF">
      <w:pPr>
        <w:pStyle w:val="ARfinbody"/>
        <w:rPr>
          <w:lang w:eastAsia="en-AU"/>
        </w:rPr>
      </w:pPr>
      <w:r w:rsidRPr="005677B5">
        <w:rPr>
          <w:lang w:eastAsia="en-AU"/>
        </w:rPr>
        <w:t xml:space="preserve">The CSO adjustment </w:t>
      </w:r>
      <w:proofErr w:type="gramStart"/>
      <w:r w:rsidRPr="005677B5">
        <w:rPr>
          <w:lang w:eastAsia="en-AU"/>
        </w:rPr>
        <w:t>is a reflection of</w:t>
      </w:r>
      <w:proofErr w:type="gramEnd"/>
      <w:r w:rsidRPr="005677B5">
        <w:rPr>
          <w:lang w:eastAsia="en-AU"/>
        </w:rPr>
        <w:t xml:space="preserve"> the valuer’s assessment of the impact of restrictions associated with an asset to the extent that is also equally applicable to market participants. This is a material estimate.</w:t>
      </w:r>
    </w:p>
    <w:p w14:paraId="7E56F954" w14:textId="77777777" w:rsidR="006E51BF" w:rsidRPr="005677B5" w:rsidRDefault="006E51BF">
      <w:pPr>
        <w:pStyle w:val="ARfinbody"/>
        <w:rPr>
          <w:lang w:eastAsia="en-AU"/>
        </w:rPr>
      </w:pPr>
      <w:r w:rsidRPr="005677B5">
        <w:rPr>
          <w:lang w:eastAsia="en-AU"/>
        </w:rPr>
        <w:t xml:space="preserve">For </w:t>
      </w:r>
      <w:proofErr w:type="gramStart"/>
      <w:r w:rsidRPr="005677B5">
        <w:rPr>
          <w:lang w:eastAsia="en-AU"/>
        </w:rPr>
        <w:t>the majority of</w:t>
      </w:r>
      <w:proofErr w:type="gramEnd"/>
      <w:r w:rsidRPr="005677B5">
        <w:rPr>
          <w:lang w:eastAsia="en-AU"/>
        </w:rPr>
        <w:t xml:space="preserve"> the department's specialised buildings which are under Homes Victoria, the current replacement cost method is used, adjusting for the associated depreciation.</w:t>
      </w:r>
    </w:p>
    <w:p w14:paraId="69A80D70" w14:textId="77777777" w:rsidR="006E51BF" w:rsidRPr="005677B5" w:rsidRDefault="006E51BF">
      <w:pPr>
        <w:pStyle w:val="ARfinbody"/>
        <w:rPr>
          <w:lang w:eastAsia="en-AU"/>
        </w:rPr>
      </w:pPr>
      <w:r w:rsidRPr="005677B5">
        <w:rPr>
          <w:lang w:eastAsia="en-AU"/>
        </w:rPr>
        <w:t>Refer to Note 8.3.2 for additional information on fair value determination of property, plant and equipment.</w:t>
      </w:r>
    </w:p>
    <w:p w14:paraId="6F1880B0" w14:textId="77777777" w:rsidR="006E51BF" w:rsidRDefault="006E51BF">
      <w:pPr>
        <w:pStyle w:val="Heading6"/>
      </w:pPr>
      <w:r w:rsidRPr="005677B5">
        <w:t>Impairment of property, plant and equipment</w:t>
      </w:r>
    </w:p>
    <w:p w14:paraId="1A0DDB92" w14:textId="11AADD83" w:rsidR="006E51BF" w:rsidRPr="005677B5" w:rsidRDefault="006E51BF">
      <w:pPr>
        <w:pStyle w:val="ARfinbody"/>
        <w:rPr>
          <w:lang w:eastAsia="en-AU"/>
        </w:rPr>
      </w:pPr>
      <w:r w:rsidRPr="005677B5">
        <w:rPr>
          <w:lang w:eastAsia="en-AU"/>
        </w:rPr>
        <w:t>The recoverable amounts of these assets are expected to be materially the same as fair value determined under AASB</w:t>
      </w:r>
      <w:r w:rsidR="00437809">
        <w:rPr>
          <w:lang w:eastAsia="en-AU"/>
        </w:rPr>
        <w:t> </w:t>
      </w:r>
      <w:r w:rsidRPr="005677B5">
        <w:rPr>
          <w:lang w:eastAsia="en-AU"/>
        </w:rPr>
        <w:t xml:space="preserve">13 </w:t>
      </w:r>
      <w:r w:rsidRPr="00105DB4">
        <w:rPr>
          <w:rStyle w:val="Emphasis"/>
          <w:lang w:eastAsia="en-AU"/>
        </w:rPr>
        <w:t>Fair Value Measurement</w:t>
      </w:r>
      <w:r w:rsidRPr="005677B5">
        <w:rPr>
          <w:lang w:eastAsia="en-AU"/>
        </w:rPr>
        <w:t>, with the consequence that AASB 136 does not apply to such assets that are regularly</w:t>
      </w:r>
      <w:r>
        <w:rPr>
          <w:lang w:eastAsia="en-AU"/>
        </w:rPr>
        <w:t> </w:t>
      </w:r>
      <w:r w:rsidRPr="005677B5">
        <w:rPr>
          <w:lang w:eastAsia="en-AU"/>
        </w:rPr>
        <w:t>revalued.</w:t>
      </w:r>
    </w:p>
    <w:p w14:paraId="20AD3ECA" w14:textId="77777777" w:rsidR="006E51BF" w:rsidRPr="00E45622" w:rsidRDefault="006E51BF">
      <w:pPr>
        <w:pStyle w:val="Heading5"/>
        <w:rPr>
          <w:lang w:eastAsia="en-AU"/>
        </w:rPr>
      </w:pPr>
      <w:r w:rsidRPr="00E45622">
        <w:rPr>
          <w:lang w:eastAsia="en-AU"/>
        </w:rPr>
        <w:t xml:space="preserve">5.1.2 </w:t>
      </w:r>
      <w:r>
        <w:rPr>
          <w:lang w:eastAsia="en-AU"/>
        </w:rPr>
        <w:tab/>
      </w:r>
      <w:r w:rsidRPr="00E45622">
        <w:rPr>
          <w:lang w:eastAsia="en-AU"/>
        </w:rPr>
        <w:t>Depreciation and amortisation</w:t>
      </w:r>
    </w:p>
    <w:p w14:paraId="314EA18D" w14:textId="77777777" w:rsidR="006E51BF" w:rsidRPr="00E45622" w:rsidRDefault="006E51BF">
      <w:pPr>
        <w:pStyle w:val="Heading6"/>
      </w:pPr>
      <w:r w:rsidRPr="00E45622">
        <w:t>Charge for the period</w:t>
      </w:r>
    </w:p>
    <w:tbl>
      <w:tblPr>
        <w:tblStyle w:val="ARtable1"/>
        <w:tblW w:w="5000" w:type="pct"/>
        <w:tblLook w:val="00E0" w:firstRow="1" w:lastRow="1" w:firstColumn="1" w:lastColumn="0" w:noHBand="0" w:noVBand="0"/>
      </w:tblPr>
      <w:tblGrid>
        <w:gridCol w:w="6515"/>
        <w:gridCol w:w="1492"/>
        <w:gridCol w:w="1621"/>
      </w:tblGrid>
      <w:tr w:rsidR="006E51BF" w:rsidRPr="00E45622" w14:paraId="166972FD" w14:textId="77777777" w:rsidTr="00785A35">
        <w:trPr>
          <w:cnfStyle w:val="100000000000" w:firstRow="1" w:lastRow="0" w:firstColumn="0" w:lastColumn="0" w:oddVBand="0" w:evenVBand="0" w:oddHBand="0" w:evenHBand="0" w:firstRowFirstColumn="0" w:firstRowLastColumn="0" w:lastRowFirstColumn="0" w:lastRowLastColumn="0"/>
          <w:trHeight w:val="20"/>
          <w:tblHeader/>
        </w:trPr>
        <w:tc>
          <w:tcPr>
            <w:tcW w:w="3383" w:type="pct"/>
            <w:noWrap/>
          </w:tcPr>
          <w:p w14:paraId="309873B8" w14:textId="77777777" w:rsidR="006E51BF" w:rsidRPr="00E45622"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775" w:type="pct"/>
            <w:noWrap/>
            <w:tcMar>
              <w:right w:w="0" w:type="nil"/>
            </w:tcMar>
            <w:hideMark/>
          </w:tcPr>
          <w:p w14:paraId="639C16FC" w14:textId="77777777" w:rsidR="006E51BF" w:rsidRPr="00E45622" w:rsidRDefault="006E51BF">
            <w:pPr>
              <w:pStyle w:val="ARfintablecolheadright"/>
              <w:rPr>
                <w:lang w:eastAsia="en-AU"/>
              </w:rPr>
            </w:pPr>
            <w:r w:rsidRPr="00E45622">
              <w:rPr>
                <w:lang w:eastAsia="en-AU"/>
              </w:rPr>
              <w:t>2026</w:t>
            </w:r>
          </w:p>
          <w:p w14:paraId="762AA3C6" w14:textId="77777777" w:rsidR="006E51BF" w:rsidRPr="00E45622" w:rsidRDefault="006E51BF">
            <w:pPr>
              <w:pStyle w:val="ARfintablecolheadright"/>
              <w:rPr>
                <w:lang w:eastAsia="en-AU"/>
              </w:rPr>
            </w:pPr>
            <w:r w:rsidRPr="00E45622">
              <w:rPr>
                <w:lang w:eastAsia="en-AU"/>
              </w:rPr>
              <w:t>$M</w:t>
            </w:r>
          </w:p>
        </w:tc>
        <w:tc>
          <w:tcPr>
            <w:tcW w:w="842" w:type="pct"/>
            <w:noWrap/>
            <w:tcMar>
              <w:right w:w="0" w:type="nil"/>
            </w:tcMar>
            <w:hideMark/>
          </w:tcPr>
          <w:p w14:paraId="5CD9E827" w14:textId="77777777" w:rsidR="006E51BF" w:rsidRPr="00E45622"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45622">
              <w:rPr>
                <w:lang w:eastAsia="en-AU"/>
              </w:rPr>
              <w:t>2025</w:t>
            </w:r>
          </w:p>
          <w:p w14:paraId="2EABF883" w14:textId="77777777" w:rsidR="006E51BF" w:rsidRPr="00E45622"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45622">
              <w:rPr>
                <w:lang w:eastAsia="en-AU"/>
              </w:rPr>
              <w:t>$M</w:t>
            </w:r>
          </w:p>
        </w:tc>
      </w:tr>
      <w:tr w:rsidR="006E51BF" w:rsidRPr="00E45622" w14:paraId="258AA6BB"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666D0CA1" w14:textId="77777777" w:rsidR="006E51BF" w:rsidRPr="00E45622" w:rsidRDefault="006E51BF">
            <w:pPr>
              <w:pStyle w:val="ARfintabletext"/>
              <w:rPr>
                <w:lang w:eastAsia="en-AU"/>
              </w:rPr>
            </w:pPr>
            <w:r w:rsidRPr="00E45622">
              <w:rPr>
                <w:lang w:eastAsia="en-AU"/>
              </w:rPr>
              <w:t>Buildings</w:t>
            </w:r>
          </w:p>
        </w:tc>
        <w:tc>
          <w:tcPr>
            <w:cnfStyle w:val="000001000000" w:firstRow="0" w:lastRow="0" w:firstColumn="0" w:lastColumn="0" w:oddVBand="0" w:evenVBand="1" w:oddHBand="0" w:evenHBand="0" w:firstRowFirstColumn="0" w:firstRowLastColumn="0" w:lastRowFirstColumn="0" w:lastRowLastColumn="0"/>
            <w:tcW w:w="775" w:type="pct"/>
            <w:noWrap/>
            <w:tcMar>
              <w:right w:w="0" w:type="nil"/>
            </w:tcMar>
            <w:hideMark/>
          </w:tcPr>
          <w:p w14:paraId="008A6997" w14:textId="77777777" w:rsidR="006E51BF" w:rsidRPr="00E45622" w:rsidRDefault="006E51BF">
            <w:pPr>
              <w:pStyle w:val="ARfintabletextright"/>
              <w:rPr>
                <w:lang w:eastAsia="en-AU"/>
              </w:rPr>
            </w:pPr>
            <w:r w:rsidRPr="00E45622">
              <w:rPr>
                <w:lang w:eastAsia="en-AU"/>
              </w:rPr>
              <w:t>594.2</w:t>
            </w:r>
          </w:p>
        </w:tc>
        <w:tc>
          <w:tcPr>
            <w:tcW w:w="842" w:type="pct"/>
            <w:noWrap/>
            <w:tcMar>
              <w:right w:w="0" w:type="nil"/>
            </w:tcMar>
            <w:hideMark/>
          </w:tcPr>
          <w:p w14:paraId="590164F3" w14:textId="77777777" w:rsidR="006E51BF" w:rsidRPr="00E4562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E45622">
              <w:rPr>
                <w:lang w:eastAsia="en-AU"/>
              </w:rPr>
              <w:t>487.2</w:t>
            </w:r>
          </w:p>
        </w:tc>
      </w:tr>
      <w:tr w:rsidR="006E51BF" w:rsidRPr="00E45622" w14:paraId="718E8D2A"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532B1AD1" w14:textId="77777777" w:rsidR="006E51BF" w:rsidRPr="00E45622" w:rsidRDefault="006E51BF">
            <w:pPr>
              <w:pStyle w:val="ARfintabletext"/>
              <w:rPr>
                <w:lang w:eastAsia="en-AU"/>
              </w:rPr>
            </w:pPr>
            <w:r w:rsidRPr="00E45622">
              <w:rPr>
                <w:lang w:eastAsia="en-AU"/>
              </w:rPr>
              <w:t>Plant and equipment</w:t>
            </w:r>
          </w:p>
        </w:tc>
        <w:tc>
          <w:tcPr>
            <w:cnfStyle w:val="000001000000" w:firstRow="0" w:lastRow="0" w:firstColumn="0" w:lastColumn="0" w:oddVBand="0" w:evenVBand="1" w:oddHBand="0" w:evenHBand="0" w:firstRowFirstColumn="0" w:firstRowLastColumn="0" w:lastRowFirstColumn="0" w:lastRowLastColumn="0"/>
            <w:tcW w:w="775" w:type="pct"/>
            <w:noWrap/>
            <w:tcMar>
              <w:right w:w="0" w:type="nil"/>
            </w:tcMar>
            <w:hideMark/>
          </w:tcPr>
          <w:p w14:paraId="37B09752" w14:textId="77777777" w:rsidR="006E51BF" w:rsidRPr="00E45622" w:rsidRDefault="006E51BF">
            <w:pPr>
              <w:pStyle w:val="ARfintabletextright"/>
              <w:rPr>
                <w:lang w:eastAsia="en-AU"/>
              </w:rPr>
            </w:pPr>
            <w:r w:rsidRPr="00E45622">
              <w:rPr>
                <w:lang w:eastAsia="en-AU"/>
              </w:rPr>
              <w:t>0.1</w:t>
            </w:r>
          </w:p>
        </w:tc>
        <w:tc>
          <w:tcPr>
            <w:tcW w:w="842" w:type="pct"/>
            <w:noWrap/>
            <w:tcMar>
              <w:right w:w="0" w:type="nil"/>
            </w:tcMar>
            <w:hideMark/>
          </w:tcPr>
          <w:p w14:paraId="0CAA0500" w14:textId="77777777" w:rsidR="006E51BF" w:rsidRPr="00E45622"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E45622">
              <w:rPr>
                <w:lang w:eastAsia="en-AU"/>
              </w:rPr>
              <w:t>0.1</w:t>
            </w:r>
          </w:p>
        </w:tc>
      </w:tr>
      <w:tr w:rsidR="006E51BF" w:rsidRPr="00E45622" w14:paraId="46A9F6E2"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tcBorders>
              <w:bottom w:val="single" w:sz="4" w:space="0" w:color="BFBFBF" w:themeColor="accent2"/>
            </w:tcBorders>
            <w:noWrap/>
            <w:hideMark/>
          </w:tcPr>
          <w:p w14:paraId="04CA7EFF" w14:textId="77777777" w:rsidR="006E51BF" w:rsidRPr="00E45622" w:rsidRDefault="006E51BF">
            <w:pPr>
              <w:pStyle w:val="ARfintabletext"/>
              <w:rPr>
                <w:lang w:eastAsia="en-AU"/>
              </w:rPr>
            </w:pPr>
            <w:r w:rsidRPr="00E45622">
              <w:rPr>
                <w:lang w:eastAsia="en-AU"/>
              </w:rPr>
              <w:t>Intangible assets</w:t>
            </w:r>
          </w:p>
        </w:tc>
        <w:tc>
          <w:tcPr>
            <w:cnfStyle w:val="000001000000" w:firstRow="0" w:lastRow="0" w:firstColumn="0" w:lastColumn="0" w:oddVBand="0" w:evenVBand="1" w:oddHBand="0" w:evenHBand="0" w:firstRowFirstColumn="0" w:firstRowLastColumn="0" w:lastRowFirstColumn="0" w:lastRowLastColumn="0"/>
            <w:tcW w:w="775" w:type="pct"/>
            <w:tcBorders>
              <w:bottom w:val="single" w:sz="4" w:space="0" w:color="BFBFBF" w:themeColor="accent2"/>
            </w:tcBorders>
            <w:noWrap/>
            <w:tcMar>
              <w:right w:w="0" w:type="nil"/>
            </w:tcMar>
            <w:hideMark/>
          </w:tcPr>
          <w:p w14:paraId="67769E21" w14:textId="77777777" w:rsidR="006E51BF" w:rsidRPr="00E45622" w:rsidRDefault="006E51BF">
            <w:pPr>
              <w:pStyle w:val="ARfintabletextright"/>
              <w:rPr>
                <w:lang w:eastAsia="en-AU"/>
              </w:rPr>
            </w:pPr>
            <w:r w:rsidRPr="00E45622">
              <w:rPr>
                <w:lang w:eastAsia="en-AU"/>
              </w:rPr>
              <w:t>25.3</w:t>
            </w:r>
          </w:p>
        </w:tc>
        <w:tc>
          <w:tcPr>
            <w:tcW w:w="842" w:type="pct"/>
            <w:tcBorders>
              <w:bottom w:val="single" w:sz="4" w:space="0" w:color="BFBFBF" w:themeColor="accent2"/>
            </w:tcBorders>
            <w:noWrap/>
            <w:tcMar>
              <w:right w:w="0" w:type="nil"/>
            </w:tcMar>
            <w:hideMark/>
          </w:tcPr>
          <w:p w14:paraId="4C9D393F" w14:textId="77777777" w:rsidR="006E51BF" w:rsidRPr="00E4562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E45622">
              <w:rPr>
                <w:lang w:eastAsia="en-AU"/>
              </w:rPr>
              <w:t>22.4</w:t>
            </w:r>
          </w:p>
        </w:tc>
      </w:tr>
      <w:tr w:rsidR="006E51BF" w:rsidRPr="00E45622" w14:paraId="6D1EB18B"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BFBFBF" w:themeColor="accent2"/>
              <w:bottom w:val="single" w:sz="4" w:space="0" w:color="auto"/>
            </w:tcBorders>
            <w:noWrap/>
            <w:hideMark/>
          </w:tcPr>
          <w:p w14:paraId="01712382" w14:textId="77777777" w:rsidR="006E51BF" w:rsidRPr="00E45622" w:rsidRDefault="006E51BF">
            <w:pPr>
              <w:pStyle w:val="ARfintabletext"/>
              <w:rPr>
                <w:lang w:eastAsia="en-AU"/>
              </w:rPr>
            </w:pPr>
            <w:r w:rsidRPr="00E45622">
              <w:rPr>
                <w:lang w:eastAsia="en-AU"/>
              </w:rPr>
              <w:t>Right-of-use assets</w:t>
            </w:r>
          </w:p>
        </w:tc>
        <w:tc>
          <w:tcPr>
            <w:cnfStyle w:val="000001000000" w:firstRow="0" w:lastRow="0" w:firstColumn="0" w:lastColumn="0" w:oddVBand="0" w:evenVBand="1" w:oddHBand="0" w:evenHBand="0" w:firstRowFirstColumn="0" w:firstRowLastColumn="0" w:lastRowFirstColumn="0" w:lastRowLastColumn="0"/>
            <w:tcW w:w="775" w:type="pct"/>
            <w:tcBorders>
              <w:top w:val="single" w:sz="4" w:space="0" w:color="BFBFBF" w:themeColor="accent2"/>
              <w:bottom w:val="single" w:sz="4" w:space="0" w:color="auto"/>
            </w:tcBorders>
            <w:noWrap/>
            <w:tcMar>
              <w:right w:w="0" w:type="nil"/>
            </w:tcMar>
            <w:hideMark/>
          </w:tcPr>
          <w:p w14:paraId="6C6BD8D0" w14:textId="77777777" w:rsidR="006E51BF" w:rsidRPr="00E45622" w:rsidRDefault="006E51BF">
            <w:pPr>
              <w:pStyle w:val="ARfintabletextright"/>
              <w:rPr>
                <w:lang w:eastAsia="en-AU"/>
              </w:rPr>
            </w:pPr>
            <w:r w:rsidRPr="00E45622">
              <w:rPr>
                <w:lang w:eastAsia="en-AU"/>
              </w:rPr>
              <w:t>28.3</w:t>
            </w:r>
          </w:p>
        </w:tc>
        <w:tc>
          <w:tcPr>
            <w:tcW w:w="842" w:type="pct"/>
            <w:tcBorders>
              <w:top w:val="single" w:sz="4" w:space="0" w:color="BFBFBF" w:themeColor="accent2"/>
              <w:bottom w:val="single" w:sz="4" w:space="0" w:color="auto"/>
            </w:tcBorders>
            <w:noWrap/>
            <w:tcMar>
              <w:right w:w="0" w:type="nil"/>
            </w:tcMar>
            <w:hideMark/>
          </w:tcPr>
          <w:p w14:paraId="00699250" w14:textId="77777777" w:rsidR="006E51BF" w:rsidRPr="00E45622"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E45622">
              <w:rPr>
                <w:lang w:eastAsia="en-AU"/>
              </w:rPr>
              <w:t>27.0</w:t>
            </w:r>
          </w:p>
        </w:tc>
      </w:tr>
      <w:tr w:rsidR="006E51BF" w:rsidRPr="00E45622" w14:paraId="33229617"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auto"/>
            </w:tcBorders>
            <w:noWrap/>
            <w:hideMark/>
          </w:tcPr>
          <w:p w14:paraId="4D8E2153" w14:textId="77777777" w:rsidR="006E51BF" w:rsidRPr="00E45622" w:rsidRDefault="006E51BF">
            <w:pPr>
              <w:pStyle w:val="ARfintabletext"/>
              <w:rPr>
                <w:lang w:eastAsia="en-AU"/>
              </w:rPr>
            </w:pPr>
            <w:r w:rsidRPr="00E45622">
              <w:rPr>
                <w:lang w:eastAsia="en-AU"/>
              </w:rPr>
              <w:t>Aggregate depreciation and amortisation allocated</w:t>
            </w:r>
          </w:p>
        </w:tc>
        <w:tc>
          <w:tcPr>
            <w:cnfStyle w:val="000001000000" w:firstRow="0" w:lastRow="0" w:firstColumn="0" w:lastColumn="0" w:oddVBand="0" w:evenVBand="1" w:oddHBand="0" w:evenHBand="0" w:firstRowFirstColumn="0" w:firstRowLastColumn="0" w:lastRowFirstColumn="0" w:lastRowLastColumn="0"/>
            <w:tcW w:w="775" w:type="pct"/>
            <w:tcBorders>
              <w:top w:val="single" w:sz="4" w:space="0" w:color="auto"/>
            </w:tcBorders>
            <w:noWrap/>
            <w:tcMar>
              <w:right w:w="0" w:type="nil"/>
            </w:tcMar>
            <w:hideMark/>
          </w:tcPr>
          <w:p w14:paraId="60A150BB" w14:textId="77777777" w:rsidR="006E51BF" w:rsidRPr="00E45622" w:rsidRDefault="006E51BF">
            <w:pPr>
              <w:pStyle w:val="ARfintabletextright"/>
              <w:rPr>
                <w:lang w:eastAsia="en-AU"/>
              </w:rPr>
            </w:pPr>
            <w:r w:rsidRPr="00E45622">
              <w:rPr>
                <w:lang w:eastAsia="en-AU"/>
              </w:rPr>
              <w:t>648.0</w:t>
            </w:r>
          </w:p>
        </w:tc>
        <w:tc>
          <w:tcPr>
            <w:tcW w:w="842" w:type="pct"/>
            <w:tcBorders>
              <w:top w:val="single" w:sz="4" w:space="0" w:color="auto"/>
            </w:tcBorders>
            <w:noWrap/>
            <w:tcMar>
              <w:right w:w="0" w:type="nil"/>
            </w:tcMar>
            <w:hideMark/>
          </w:tcPr>
          <w:p w14:paraId="27A2FF22" w14:textId="77777777" w:rsidR="006E51BF" w:rsidRPr="00E4562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E45622">
              <w:rPr>
                <w:lang w:eastAsia="en-AU"/>
              </w:rPr>
              <w:t>536.7</w:t>
            </w:r>
          </w:p>
        </w:tc>
      </w:tr>
      <w:tr w:rsidR="006E51BF" w:rsidRPr="00E45622" w14:paraId="6FC0EB21"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hideMark/>
          </w:tcPr>
          <w:p w14:paraId="50E4C8EC" w14:textId="77777777" w:rsidR="006E51BF" w:rsidRPr="00E45622" w:rsidRDefault="006E51BF">
            <w:pPr>
              <w:pStyle w:val="ARfintabletext"/>
              <w:rPr>
                <w:lang w:eastAsia="en-AU"/>
              </w:rPr>
            </w:pPr>
            <w:r w:rsidRPr="00E45622">
              <w:rPr>
                <w:lang w:eastAsia="en-AU"/>
              </w:rPr>
              <w:t>Less depreciation and amortisation capitalised to carrying amount of other assets during the year</w:t>
            </w:r>
          </w:p>
        </w:tc>
        <w:tc>
          <w:tcPr>
            <w:cnfStyle w:val="000001000000" w:firstRow="0" w:lastRow="0" w:firstColumn="0" w:lastColumn="0" w:oddVBand="0" w:evenVBand="1" w:oddHBand="0" w:evenHBand="0" w:firstRowFirstColumn="0" w:firstRowLastColumn="0" w:lastRowFirstColumn="0" w:lastRowLastColumn="0"/>
            <w:tcW w:w="775" w:type="pct"/>
            <w:noWrap/>
            <w:tcMar>
              <w:right w:w="0" w:type="nil"/>
            </w:tcMar>
            <w:hideMark/>
          </w:tcPr>
          <w:p w14:paraId="73FCD408" w14:textId="77777777" w:rsidR="006E51BF" w:rsidRPr="00E45622" w:rsidRDefault="006E51BF">
            <w:pPr>
              <w:pStyle w:val="ARfintabletextright"/>
              <w:rPr>
                <w:lang w:eastAsia="en-AU"/>
              </w:rPr>
            </w:pPr>
            <w:r w:rsidRPr="00E45622">
              <w:rPr>
                <w:lang w:eastAsia="en-AU"/>
              </w:rPr>
              <w:t>(1.4)</w:t>
            </w:r>
          </w:p>
        </w:tc>
        <w:tc>
          <w:tcPr>
            <w:tcW w:w="842" w:type="pct"/>
            <w:noWrap/>
            <w:tcMar>
              <w:right w:w="0" w:type="nil"/>
            </w:tcMar>
            <w:hideMark/>
          </w:tcPr>
          <w:p w14:paraId="455F2FFE" w14:textId="77777777" w:rsidR="006E51BF" w:rsidRPr="00E45622"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E45622">
              <w:rPr>
                <w:lang w:eastAsia="en-AU"/>
              </w:rPr>
              <w:t>(1.3)</w:t>
            </w:r>
          </w:p>
        </w:tc>
      </w:tr>
      <w:tr w:rsidR="006E51BF" w:rsidRPr="00E45622" w14:paraId="129C8999" w14:textId="77777777" w:rsidTr="00785A35">
        <w:trPr>
          <w:cnfStyle w:val="010000000000" w:firstRow="0" w:lastRow="1" w:firstColumn="0" w:lastColumn="0" w:oddVBand="0" w:evenVBand="0" w:oddHBand="0" w:evenHBand="0" w:firstRowFirstColumn="0" w:firstRowLastColumn="0" w:lastRowFirstColumn="0" w:lastRowLastColumn="0"/>
          <w:trHeight w:val="20"/>
        </w:trPr>
        <w:tc>
          <w:tcPr>
            <w:tcW w:w="3383" w:type="pct"/>
            <w:noWrap/>
            <w:hideMark/>
          </w:tcPr>
          <w:p w14:paraId="5709323E" w14:textId="77777777" w:rsidR="006E51BF" w:rsidRPr="00E45622" w:rsidRDefault="006E51BF">
            <w:pPr>
              <w:pStyle w:val="ARfintabletextbold"/>
              <w:rPr>
                <w:lang w:eastAsia="en-AU"/>
              </w:rPr>
            </w:pPr>
            <w:r w:rsidRPr="00E45622">
              <w:rPr>
                <w:lang w:eastAsia="en-AU"/>
              </w:rPr>
              <w:t>Total depreciation and amortisation</w:t>
            </w:r>
          </w:p>
        </w:tc>
        <w:tc>
          <w:tcPr>
            <w:cnfStyle w:val="000001000000" w:firstRow="0" w:lastRow="0" w:firstColumn="0" w:lastColumn="0" w:oddVBand="0" w:evenVBand="1" w:oddHBand="0" w:evenHBand="0" w:firstRowFirstColumn="0" w:firstRowLastColumn="0" w:lastRowFirstColumn="0" w:lastRowLastColumn="0"/>
            <w:tcW w:w="775" w:type="pct"/>
            <w:noWrap/>
            <w:tcMar>
              <w:right w:w="0" w:type="nil"/>
            </w:tcMar>
            <w:hideMark/>
          </w:tcPr>
          <w:p w14:paraId="16D96C09" w14:textId="77777777" w:rsidR="006E51BF" w:rsidRPr="00E45622" w:rsidRDefault="006E51BF">
            <w:pPr>
              <w:pStyle w:val="ARfintabletextboldright"/>
              <w:rPr>
                <w:lang w:eastAsia="en-AU"/>
              </w:rPr>
            </w:pPr>
            <w:r w:rsidRPr="00E45622">
              <w:rPr>
                <w:lang w:eastAsia="en-AU"/>
              </w:rPr>
              <w:t>646.6</w:t>
            </w:r>
          </w:p>
        </w:tc>
        <w:tc>
          <w:tcPr>
            <w:tcW w:w="842" w:type="pct"/>
            <w:noWrap/>
            <w:tcMar>
              <w:right w:w="0" w:type="nil"/>
            </w:tcMar>
            <w:hideMark/>
          </w:tcPr>
          <w:p w14:paraId="2E12643F" w14:textId="77777777" w:rsidR="006E51BF" w:rsidRPr="00E45622"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E45622">
              <w:rPr>
                <w:lang w:eastAsia="en-AU"/>
              </w:rPr>
              <w:t>535.4</w:t>
            </w:r>
          </w:p>
        </w:tc>
      </w:tr>
    </w:tbl>
    <w:p w14:paraId="1A577BB7" w14:textId="77777777" w:rsidR="006E51BF" w:rsidRPr="00E45622" w:rsidRDefault="006E51BF">
      <w:pPr>
        <w:pStyle w:val="ARfinbodyaftertableorfigure"/>
      </w:pPr>
      <w:r w:rsidRPr="00E45622">
        <w:t xml:space="preserve">All buildings, plant, equipment and vehicles that have finite useful lives are depreciated. The exceptions to this rule include items under assets held for sale and land. </w:t>
      </w:r>
    </w:p>
    <w:p w14:paraId="2931D9BF" w14:textId="77777777" w:rsidR="006E51BF" w:rsidRPr="00E45622" w:rsidRDefault="006E51BF">
      <w:pPr>
        <w:pStyle w:val="ARfinbody"/>
        <w:rPr>
          <w:lang w:eastAsia="en-AU"/>
        </w:rPr>
      </w:pPr>
      <w:r w:rsidRPr="00E45622">
        <w:rPr>
          <w:lang w:eastAsia="en-AU"/>
        </w:rPr>
        <w:t xml:space="preserve">Depreciation is calculated on a straight-line basis at rates that allocate the asset value, less any estimated residual value, over its estimated useful life. </w:t>
      </w:r>
    </w:p>
    <w:p w14:paraId="787B4C0D" w14:textId="77777777" w:rsidR="006E51BF" w:rsidRPr="00221A98" w:rsidRDefault="006E51BF">
      <w:pPr>
        <w:pStyle w:val="ARfinbodybeforetableorfigure"/>
      </w:pPr>
      <w:r w:rsidRPr="00E45622">
        <w:t>Typical estimated useful lives for the different asset classes for the current and prior year are included in the table below:</w:t>
      </w:r>
    </w:p>
    <w:tbl>
      <w:tblPr>
        <w:tblStyle w:val="ARtable1"/>
        <w:tblW w:w="5000" w:type="pct"/>
        <w:tblLook w:val="00A0" w:firstRow="1" w:lastRow="0" w:firstColumn="1" w:lastColumn="0" w:noHBand="0" w:noVBand="0"/>
      </w:tblPr>
      <w:tblGrid>
        <w:gridCol w:w="6515"/>
        <w:gridCol w:w="1492"/>
        <w:gridCol w:w="1621"/>
      </w:tblGrid>
      <w:tr w:rsidR="006E51BF" w:rsidRPr="00E45622" w14:paraId="1BC6863E" w14:textId="77777777" w:rsidTr="00785A35">
        <w:trPr>
          <w:cnfStyle w:val="100000000000" w:firstRow="1" w:lastRow="0" w:firstColumn="0" w:lastColumn="0" w:oddVBand="0" w:evenVBand="0" w:oddHBand="0" w:evenHBand="0" w:firstRowFirstColumn="0" w:firstRowLastColumn="0" w:lastRowFirstColumn="0" w:lastRowLastColumn="0"/>
          <w:trHeight w:val="20"/>
          <w:tblHeader/>
        </w:trPr>
        <w:tc>
          <w:tcPr>
            <w:tcW w:w="3383" w:type="pct"/>
            <w:hideMark/>
          </w:tcPr>
          <w:p w14:paraId="2D217C7E" w14:textId="77777777" w:rsidR="006E51BF" w:rsidRPr="00E45622" w:rsidRDefault="006E51BF">
            <w:pPr>
              <w:pStyle w:val="ARfintablecolhead"/>
              <w:rPr>
                <w:lang w:eastAsia="en-AU"/>
              </w:rPr>
            </w:pPr>
            <w:r w:rsidRPr="00E45622">
              <w:rPr>
                <w:lang w:eastAsia="en-AU"/>
              </w:rPr>
              <w:t>Asset class</w:t>
            </w:r>
          </w:p>
        </w:tc>
        <w:tc>
          <w:tcPr>
            <w:cnfStyle w:val="000001000000" w:firstRow="0" w:lastRow="0" w:firstColumn="0" w:lastColumn="0" w:oddVBand="0" w:evenVBand="1" w:oddHBand="0" w:evenHBand="0" w:firstRowFirstColumn="0" w:firstRowLastColumn="0" w:lastRowFirstColumn="0" w:lastRowLastColumn="0"/>
            <w:tcW w:w="775" w:type="pct"/>
            <w:tcMar>
              <w:right w:w="0" w:type="nil"/>
            </w:tcMar>
            <w:hideMark/>
          </w:tcPr>
          <w:p w14:paraId="78B1CBA8" w14:textId="77777777" w:rsidR="006E51BF" w:rsidRPr="00E45622" w:rsidRDefault="006E51BF">
            <w:pPr>
              <w:pStyle w:val="ARfintablecolheadright"/>
              <w:rPr>
                <w:lang w:eastAsia="en-AU"/>
              </w:rPr>
            </w:pPr>
            <w:r w:rsidRPr="00E45622">
              <w:rPr>
                <w:lang w:eastAsia="en-AU"/>
              </w:rPr>
              <w:t>2026</w:t>
            </w:r>
          </w:p>
        </w:tc>
        <w:tc>
          <w:tcPr>
            <w:tcW w:w="842" w:type="pct"/>
            <w:tcMar>
              <w:right w:w="0" w:type="nil"/>
            </w:tcMar>
            <w:hideMark/>
          </w:tcPr>
          <w:p w14:paraId="57DEDCB9" w14:textId="77777777" w:rsidR="006E51BF" w:rsidRPr="00E45622"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45622">
              <w:rPr>
                <w:lang w:eastAsia="en-AU"/>
              </w:rPr>
              <w:t>2025</w:t>
            </w:r>
          </w:p>
        </w:tc>
      </w:tr>
      <w:tr w:rsidR="006E51BF" w:rsidRPr="00E45622" w14:paraId="2E509EEB"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hideMark/>
          </w:tcPr>
          <w:p w14:paraId="2A18B49E" w14:textId="77777777" w:rsidR="006E51BF" w:rsidRPr="00E45622" w:rsidRDefault="006E51BF">
            <w:pPr>
              <w:pStyle w:val="ARfintabletext"/>
              <w:rPr>
                <w:lang w:eastAsia="en-AU"/>
              </w:rPr>
            </w:pPr>
            <w:r w:rsidRPr="00E45622">
              <w:rPr>
                <w:lang w:eastAsia="en-AU"/>
              </w:rPr>
              <w:t xml:space="preserve">Buildings </w:t>
            </w:r>
          </w:p>
        </w:tc>
        <w:tc>
          <w:tcPr>
            <w:cnfStyle w:val="000001000000" w:firstRow="0" w:lastRow="0" w:firstColumn="0" w:lastColumn="0" w:oddVBand="0" w:evenVBand="1" w:oddHBand="0" w:evenHBand="0" w:firstRowFirstColumn="0" w:firstRowLastColumn="0" w:lastRowFirstColumn="0" w:lastRowLastColumn="0"/>
            <w:tcW w:w="775" w:type="pct"/>
            <w:tcMar>
              <w:right w:w="0" w:type="nil"/>
            </w:tcMar>
            <w:hideMark/>
          </w:tcPr>
          <w:p w14:paraId="10D5DECD" w14:textId="77777777" w:rsidR="006E51BF" w:rsidRPr="00E45622" w:rsidRDefault="006E51BF">
            <w:pPr>
              <w:pStyle w:val="ARfintabletextright"/>
              <w:rPr>
                <w:lang w:eastAsia="en-AU"/>
              </w:rPr>
            </w:pPr>
            <w:r w:rsidRPr="00E45622">
              <w:rPr>
                <w:lang w:eastAsia="en-AU"/>
              </w:rPr>
              <w:t>5 to 85 years</w:t>
            </w:r>
          </w:p>
        </w:tc>
        <w:tc>
          <w:tcPr>
            <w:tcW w:w="842" w:type="pct"/>
            <w:tcMar>
              <w:right w:w="0" w:type="nil"/>
            </w:tcMar>
            <w:hideMark/>
          </w:tcPr>
          <w:p w14:paraId="77D12A4C" w14:textId="77777777" w:rsidR="006E51BF" w:rsidRPr="00E4562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E45622">
              <w:rPr>
                <w:lang w:eastAsia="en-AU"/>
              </w:rPr>
              <w:t>5 to 85 years</w:t>
            </w:r>
          </w:p>
        </w:tc>
      </w:tr>
      <w:tr w:rsidR="006E51BF" w:rsidRPr="00E45622" w14:paraId="266147C4"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hideMark/>
          </w:tcPr>
          <w:p w14:paraId="65ED7A35" w14:textId="77777777" w:rsidR="006E51BF" w:rsidRPr="00E45622" w:rsidRDefault="006E51BF" w:rsidP="006E51BF">
            <w:pPr>
              <w:pStyle w:val="ARfintablebullet1"/>
              <w:numPr>
                <w:ilvl w:val="0"/>
                <w:numId w:val="13"/>
              </w:numPr>
              <w:ind w:left="170" w:hanging="170"/>
            </w:pPr>
            <w:r w:rsidRPr="00E45622">
              <w:t>Leasehold improvements</w:t>
            </w:r>
          </w:p>
        </w:tc>
        <w:tc>
          <w:tcPr>
            <w:cnfStyle w:val="000001000000" w:firstRow="0" w:lastRow="0" w:firstColumn="0" w:lastColumn="0" w:oddVBand="0" w:evenVBand="1" w:oddHBand="0" w:evenHBand="0" w:firstRowFirstColumn="0" w:firstRowLastColumn="0" w:lastRowFirstColumn="0" w:lastRowLastColumn="0"/>
            <w:tcW w:w="775" w:type="pct"/>
            <w:tcMar>
              <w:right w:w="0" w:type="nil"/>
            </w:tcMar>
            <w:hideMark/>
          </w:tcPr>
          <w:p w14:paraId="62761F1D" w14:textId="77777777" w:rsidR="006E51BF" w:rsidRPr="00E45622" w:rsidRDefault="006E51BF">
            <w:pPr>
              <w:pStyle w:val="ARfintabletextright"/>
              <w:rPr>
                <w:lang w:eastAsia="en-AU"/>
              </w:rPr>
            </w:pPr>
            <w:r w:rsidRPr="00E45622">
              <w:rPr>
                <w:lang w:eastAsia="en-AU"/>
              </w:rPr>
              <w:t>5 to 10 years</w:t>
            </w:r>
          </w:p>
        </w:tc>
        <w:tc>
          <w:tcPr>
            <w:tcW w:w="842" w:type="pct"/>
            <w:tcMar>
              <w:right w:w="0" w:type="nil"/>
            </w:tcMar>
            <w:hideMark/>
          </w:tcPr>
          <w:p w14:paraId="68948FE6" w14:textId="77777777" w:rsidR="006E51BF" w:rsidRPr="00E45622"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E45622">
              <w:rPr>
                <w:lang w:eastAsia="en-AU"/>
              </w:rPr>
              <w:t>5 to 10 years</w:t>
            </w:r>
          </w:p>
        </w:tc>
      </w:tr>
      <w:tr w:rsidR="006E51BF" w:rsidRPr="00E45622" w14:paraId="79AD637F"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hideMark/>
          </w:tcPr>
          <w:p w14:paraId="7D0B028A" w14:textId="77777777" w:rsidR="006E51BF" w:rsidRPr="00E45622" w:rsidRDefault="006E51BF" w:rsidP="006E51BF">
            <w:pPr>
              <w:pStyle w:val="ARfintablebullet1"/>
              <w:numPr>
                <w:ilvl w:val="0"/>
                <w:numId w:val="13"/>
              </w:numPr>
              <w:ind w:left="170" w:hanging="170"/>
            </w:pPr>
            <w:r w:rsidRPr="00E45622">
              <w:t>Buildings</w:t>
            </w:r>
          </w:p>
        </w:tc>
        <w:tc>
          <w:tcPr>
            <w:cnfStyle w:val="000001000000" w:firstRow="0" w:lastRow="0" w:firstColumn="0" w:lastColumn="0" w:oddVBand="0" w:evenVBand="1" w:oddHBand="0" w:evenHBand="0" w:firstRowFirstColumn="0" w:firstRowLastColumn="0" w:lastRowFirstColumn="0" w:lastRowLastColumn="0"/>
            <w:tcW w:w="775" w:type="pct"/>
            <w:tcMar>
              <w:right w:w="0" w:type="nil"/>
            </w:tcMar>
            <w:hideMark/>
          </w:tcPr>
          <w:p w14:paraId="2A6D6E42" w14:textId="77777777" w:rsidR="006E51BF" w:rsidRPr="00E45622" w:rsidRDefault="006E51BF">
            <w:pPr>
              <w:pStyle w:val="ARfintabletextright"/>
              <w:rPr>
                <w:lang w:eastAsia="en-AU"/>
              </w:rPr>
            </w:pPr>
            <w:r w:rsidRPr="00E45622">
              <w:rPr>
                <w:lang w:eastAsia="en-AU"/>
              </w:rPr>
              <w:t>45 to 85 years</w:t>
            </w:r>
          </w:p>
        </w:tc>
        <w:tc>
          <w:tcPr>
            <w:tcW w:w="842" w:type="pct"/>
            <w:tcMar>
              <w:right w:w="0" w:type="nil"/>
            </w:tcMar>
            <w:hideMark/>
          </w:tcPr>
          <w:p w14:paraId="432B92D9" w14:textId="77777777" w:rsidR="006E51BF" w:rsidRPr="00E4562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E45622">
              <w:rPr>
                <w:lang w:eastAsia="en-AU"/>
              </w:rPr>
              <w:t>45 to 85 years</w:t>
            </w:r>
          </w:p>
        </w:tc>
      </w:tr>
      <w:tr w:rsidR="006E51BF" w:rsidRPr="00E45622" w14:paraId="6C70548C" w14:textId="77777777" w:rsidTr="00785A35">
        <w:trPr>
          <w:cnfStyle w:val="000000010000" w:firstRow="0" w:lastRow="0" w:firstColumn="0" w:lastColumn="0" w:oddVBand="0" w:evenVBand="0" w:oddHBand="0" w:evenHBand="1" w:firstRowFirstColumn="0" w:firstRowLastColumn="0" w:lastRowFirstColumn="0" w:lastRowLastColumn="0"/>
          <w:trHeight w:val="20"/>
        </w:trPr>
        <w:tc>
          <w:tcPr>
            <w:tcW w:w="3383" w:type="pct"/>
            <w:tcBorders>
              <w:bottom w:val="single" w:sz="4" w:space="0" w:color="BFBFBF" w:themeColor="accent2"/>
            </w:tcBorders>
            <w:hideMark/>
          </w:tcPr>
          <w:p w14:paraId="0BCF0915" w14:textId="77777777" w:rsidR="006E51BF" w:rsidRPr="00E45622" w:rsidRDefault="006E51BF">
            <w:pPr>
              <w:pStyle w:val="ARfintabletext"/>
              <w:rPr>
                <w:lang w:eastAsia="en-AU"/>
              </w:rPr>
            </w:pPr>
            <w:r w:rsidRPr="00E45622">
              <w:rPr>
                <w:lang w:eastAsia="en-AU"/>
              </w:rPr>
              <w:t>Plant, equipment and vehicles</w:t>
            </w:r>
          </w:p>
        </w:tc>
        <w:tc>
          <w:tcPr>
            <w:cnfStyle w:val="000001000000" w:firstRow="0" w:lastRow="0" w:firstColumn="0" w:lastColumn="0" w:oddVBand="0" w:evenVBand="1" w:oddHBand="0" w:evenHBand="0" w:firstRowFirstColumn="0" w:firstRowLastColumn="0" w:lastRowFirstColumn="0" w:lastRowLastColumn="0"/>
            <w:tcW w:w="775" w:type="pct"/>
            <w:tcBorders>
              <w:bottom w:val="single" w:sz="4" w:space="0" w:color="BFBFBF" w:themeColor="accent2"/>
            </w:tcBorders>
            <w:tcMar>
              <w:right w:w="0" w:type="nil"/>
            </w:tcMar>
            <w:hideMark/>
          </w:tcPr>
          <w:p w14:paraId="209C2D8B" w14:textId="77777777" w:rsidR="006E51BF" w:rsidRPr="00E45622" w:rsidRDefault="006E51BF">
            <w:pPr>
              <w:pStyle w:val="ARfintabletextright"/>
              <w:rPr>
                <w:lang w:eastAsia="en-AU"/>
              </w:rPr>
            </w:pPr>
            <w:r w:rsidRPr="00E45622">
              <w:rPr>
                <w:lang w:eastAsia="en-AU"/>
              </w:rPr>
              <w:t>3 to 15 years</w:t>
            </w:r>
          </w:p>
        </w:tc>
        <w:tc>
          <w:tcPr>
            <w:tcW w:w="842" w:type="pct"/>
            <w:tcBorders>
              <w:bottom w:val="single" w:sz="4" w:space="0" w:color="BFBFBF" w:themeColor="accent2"/>
            </w:tcBorders>
            <w:tcMar>
              <w:right w:w="0" w:type="nil"/>
            </w:tcMar>
            <w:hideMark/>
          </w:tcPr>
          <w:p w14:paraId="228BE8D7" w14:textId="77777777" w:rsidR="006E51BF" w:rsidRPr="00E45622"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E45622">
              <w:rPr>
                <w:lang w:eastAsia="en-AU"/>
              </w:rPr>
              <w:t>3 to 15 years</w:t>
            </w:r>
          </w:p>
        </w:tc>
      </w:tr>
      <w:tr w:rsidR="006E51BF" w:rsidRPr="00E45622" w14:paraId="42CE5C7B" w14:textId="77777777" w:rsidTr="00785A35">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hideMark/>
          </w:tcPr>
          <w:p w14:paraId="2C6873E6" w14:textId="77777777" w:rsidR="006E51BF" w:rsidRPr="00E45622" w:rsidRDefault="006E51BF">
            <w:pPr>
              <w:pStyle w:val="ARfintabletext"/>
              <w:rPr>
                <w:lang w:eastAsia="en-AU"/>
              </w:rPr>
            </w:pPr>
            <w:r w:rsidRPr="00E45622">
              <w:rPr>
                <w:lang w:eastAsia="en-AU"/>
              </w:rPr>
              <w:t>Intangible assets</w:t>
            </w:r>
          </w:p>
        </w:tc>
        <w:tc>
          <w:tcPr>
            <w:cnfStyle w:val="000001000000" w:firstRow="0" w:lastRow="0" w:firstColumn="0" w:lastColumn="0" w:oddVBand="0" w:evenVBand="1" w:oddHBand="0" w:evenHBand="0" w:firstRowFirstColumn="0" w:firstRowLastColumn="0" w:lastRowFirstColumn="0" w:lastRowLastColumn="0"/>
            <w:tcW w:w="775" w:type="pct"/>
            <w:tcBorders>
              <w:top w:val="single" w:sz="4" w:space="0" w:color="BFBFBF" w:themeColor="accent2"/>
              <w:bottom w:val="single" w:sz="4" w:space="0" w:color="000000" w:themeColor="text1"/>
            </w:tcBorders>
            <w:tcMar>
              <w:right w:w="0" w:type="nil"/>
            </w:tcMar>
            <w:hideMark/>
          </w:tcPr>
          <w:p w14:paraId="3E330DE7" w14:textId="77777777" w:rsidR="006E51BF" w:rsidRPr="00E45622" w:rsidRDefault="006E51BF">
            <w:pPr>
              <w:pStyle w:val="ARfintabletextright"/>
              <w:rPr>
                <w:lang w:eastAsia="en-AU"/>
              </w:rPr>
            </w:pPr>
            <w:r w:rsidRPr="00E45622">
              <w:rPr>
                <w:lang w:eastAsia="en-AU"/>
              </w:rPr>
              <w:t>3 to 20 years</w:t>
            </w:r>
          </w:p>
        </w:tc>
        <w:tc>
          <w:tcPr>
            <w:tcW w:w="842" w:type="pct"/>
            <w:tcBorders>
              <w:top w:val="single" w:sz="4" w:space="0" w:color="BFBFBF" w:themeColor="accent2"/>
              <w:bottom w:val="single" w:sz="4" w:space="0" w:color="000000" w:themeColor="text1"/>
            </w:tcBorders>
            <w:tcMar>
              <w:right w:w="0" w:type="nil"/>
            </w:tcMar>
            <w:hideMark/>
          </w:tcPr>
          <w:p w14:paraId="47A93E78" w14:textId="77777777" w:rsidR="006E51BF" w:rsidRPr="00E4562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E45622">
              <w:rPr>
                <w:lang w:eastAsia="en-AU"/>
              </w:rPr>
              <w:t>3 to 20 years</w:t>
            </w:r>
          </w:p>
        </w:tc>
      </w:tr>
    </w:tbl>
    <w:p w14:paraId="01BEC131" w14:textId="77777777" w:rsidR="006E51BF" w:rsidRDefault="006E51BF">
      <w:pPr>
        <w:pStyle w:val="ARfinbodyaftertableorfigure"/>
      </w:pPr>
      <w:r w:rsidRPr="00E45622">
        <w:t>The estimated useful lives, residual value and depreciation method are reviewed at the end of each annual reporting period. Estimated useful lives for buildings, and plant, equipment and vehicles remain unchanged since June 2019. Note the estimated useful lives of assets directly impact their depreciation rates, which in turn materially affects the annual depreciation expense.</w:t>
      </w:r>
    </w:p>
    <w:p w14:paraId="0E061480" w14:textId="77777777" w:rsidR="006E51BF" w:rsidRDefault="006E51BF">
      <w:pPr>
        <w:pStyle w:val="ARfinbody"/>
        <w:rPr>
          <w:lang w:eastAsia="en-AU"/>
        </w:rPr>
      </w:pPr>
      <w:r w:rsidRPr="00E45622">
        <w:rPr>
          <w:lang w:eastAsia="en-AU"/>
        </w:rPr>
        <w:t>Right-of-use assets are generally depreciated over the shorter of the asset’s useful life and the lease term. Where the department obtains ownership of the underlying leased asset or if the cost of the right-of-use asset reflects that the entity will exercise a purchase option, the entity depreciates the right-of-use asset over its useful life.</w:t>
      </w:r>
    </w:p>
    <w:p w14:paraId="1A4D1F9D" w14:textId="77777777" w:rsidR="006E51BF" w:rsidRDefault="006E51BF">
      <w:pPr>
        <w:pStyle w:val="ARfinbody"/>
        <w:rPr>
          <w:lang w:eastAsia="en-AU"/>
        </w:rPr>
        <w:sectPr w:rsidR="006E51BF" w:rsidSect="00E7077C">
          <w:pgSz w:w="11906" w:h="16838" w:code="9"/>
          <w:pgMar w:top="1588" w:right="1134" w:bottom="851" w:left="1134" w:header="680" w:footer="567" w:gutter="0"/>
          <w:cols w:space="340"/>
          <w:docGrid w:linePitch="360"/>
        </w:sectPr>
      </w:pPr>
      <w:r w:rsidRPr="00E45622">
        <w:rPr>
          <w:lang w:eastAsia="en-AU"/>
        </w:rPr>
        <w:t>AASB 116 requires annual reviews and adjustments of fixed asset useful life estimates for accurate depreciation. Buildings depreciate in accordance with the straight-line depreciation method. For buildings marked for early retirement and demolition, accelerated depreciation is applied if approval is given well in advance. If approval is given close to the demolition/retirement date, the building assets are written off. This ensures buildings are fully depreciated or impaired, leaving no residual value by the end of their serviceable period. Depreciation for 2025-26 includes the impact of accelerated depreciation of $</w:t>
      </w:r>
      <w:r>
        <w:rPr>
          <w:lang w:eastAsia="en-AU"/>
        </w:rPr>
        <w:t>207.7</w:t>
      </w:r>
      <w:r w:rsidRPr="00E45622">
        <w:rPr>
          <w:lang w:eastAsia="en-AU"/>
        </w:rPr>
        <w:t xml:space="preserve"> million (2025: $95.5 million) which relates to the high-rise towers with established demolition plans that are part of the "44 ageing high-rise renewal project"</w:t>
      </w:r>
      <w:r>
        <w:rPr>
          <w:lang w:eastAsia="en-AU"/>
        </w:rPr>
        <w:t xml:space="preserve">, </w:t>
      </w:r>
      <w:r w:rsidRPr="002F309E">
        <w:rPr>
          <w:lang w:eastAsia="en-AU"/>
        </w:rPr>
        <w:t>specifically, 5 towers in Tranche 1 scheduled for demolition in 2025</w:t>
      </w:r>
      <w:r>
        <w:rPr>
          <w:lang w:eastAsia="en-AU"/>
        </w:rPr>
        <w:t>–</w:t>
      </w:r>
      <w:r w:rsidRPr="002F309E">
        <w:rPr>
          <w:lang w:eastAsia="en-AU"/>
        </w:rPr>
        <w:t>26, 2 in Tranche 2 in 2026</w:t>
      </w:r>
      <w:r>
        <w:rPr>
          <w:lang w:eastAsia="en-AU"/>
        </w:rPr>
        <w:t>–</w:t>
      </w:r>
      <w:r w:rsidRPr="002F309E">
        <w:rPr>
          <w:lang w:eastAsia="en-AU"/>
        </w:rPr>
        <w:t>27, 7 in Tranche 3 in 2028</w:t>
      </w:r>
      <w:r>
        <w:rPr>
          <w:lang w:eastAsia="en-AU"/>
        </w:rPr>
        <w:t>–</w:t>
      </w:r>
      <w:r w:rsidRPr="002F309E">
        <w:rPr>
          <w:lang w:eastAsia="en-AU"/>
        </w:rPr>
        <w:t>29 and 2029</w:t>
      </w:r>
      <w:r>
        <w:rPr>
          <w:lang w:eastAsia="en-AU"/>
        </w:rPr>
        <w:t>–</w:t>
      </w:r>
      <w:r w:rsidRPr="002F309E">
        <w:rPr>
          <w:lang w:eastAsia="en-AU"/>
        </w:rPr>
        <w:t>30, and the remaining towers scheduled for demolition in future years beyond 2030.</w:t>
      </w:r>
    </w:p>
    <w:p w14:paraId="1BC27B7E" w14:textId="77777777" w:rsidR="006E51BF" w:rsidRDefault="006E51BF">
      <w:pPr>
        <w:pStyle w:val="Heading5"/>
        <w:rPr>
          <w:lang w:eastAsia="en-AU"/>
        </w:rPr>
      </w:pPr>
      <w:r w:rsidRPr="00EF4583">
        <w:rPr>
          <w:lang w:eastAsia="en-AU"/>
        </w:rPr>
        <w:t xml:space="preserve">5.1.3 </w:t>
      </w:r>
      <w:r>
        <w:rPr>
          <w:lang w:eastAsia="en-AU"/>
        </w:rPr>
        <w:tab/>
      </w:r>
      <w:r w:rsidRPr="00EF4583">
        <w:rPr>
          <w:lang w:eastAsia="en-AU"/>
        </w:rPr>
        <w:t xml:space="preserve">Reconciliation of movements in carrying amount of property, plant and equipment </w:t>
      </w:r>
    </w:p>
    <w:tbl>
      <w:tblPr>
        <w:tblStyle w:val="ARtable1"/>
        <w:tblW w:w="5000" w:type="pct"/>
        <w:tblLook w:val="00E0" w:firstRow="1" w:lastRow="1" w:firstColumn="1" w:lastColumn="0" w:noHBand="0" w:noVBand="0"/>
      </w:tblPr>
      <w:tblGrid>
        <w:gridCol w:w="3918"/>
        <w:gridCol w:w="1774"/>
        <w:gridCol w:w="1774"/>
        <w:gridCol w:w="1774"/>
        <w:gridCol w:w="1774"/>
        <w:gridCol w:w="1773"/>
        <w:gridCol w:w="1773"/>
      </w:tblGrid>
      <w:tr w:rsidR="006E51BF" w:rsidRPr="00EF4583" w14:paraId="48265CE7" w14:textId="77777777" w:rsidTr="00A418A5">
        <w:trPr>
          <w:cnfStyle w:val="100000000000" w:firstRow="1" w:lastRow="0" w:firstColumn="0" w:lastColumn="0" w:oddVBand="0" w:evenVBand="0" w:oddHBand="0" w:evenHBand="0" w:firstRowFirstColumn="0" w:firstRowLastColumn="0" w:lastRowFirstColumn="0" w:lastRowLastColumn="0"/>
          <w:trHeight w:val="20"/>
          <w:tblHeader/>
        </w:trPr>
        <w:tc>
          <w:tcPr>
            <w:tcW w:w="1344" w:type="pct"/>
            <w:noWrap/>
            <w:hideMark/>
          </w:tcPr>
          <w:p w14:paraId="0F083FC2" w14:textId="77777777" w:rsidR="006E51BF" w:rsidRPr="00EF4583" w:rsidRDefault="006E51BF">
            <w:pPr>
              <w:spacing w:after="0" w:line="240" w:lineRule="auto"/>
              <w:jc w:val="right"/>
              <w:rPr>
                <w:rFonts w:ascii="Verdana" w:hAnsi="Verdana" w:cs="Arial"/>
                <w:b/>
                <w:bCs/>
                <w:sz w:val="20"/>
                <w:lang w:eastAsia="en-AU"/>
              </w:rPr>
            </w:pPr>
          </w:p>
        </w:tc>
        <w:tc>
          <w:tcPr>
            <w:cnfStyle w:val="000001000000" w:firstRow="0" w:lastRow="0" w:firstColumn="0" w:lastColumn="0" w:oddVBand="0" w:evenVBand="1" w:oddHBand="0" w:evenHBand="0" w:firstRowFirstColumn="0" w:firstRowLastColumn="0" w:lastRowFirstColumn="0" w:lastRowLastColumn="0"/>
            <w:tcW w:w="609" w:type="pct"/>
            <w:tcMar>
              <w:right w:w="0" w:type="nil"/>
            </w:tcMar>
            <w:hideMark/>
          </w:tcPr>
          <w:p w14:paraId="4A82A4AE" w14:textId="77777777" w:rsidR="006E51BF" w:rsidRPr="00EF4583" w:rsidRDefault="006E51BF">
            <w:pPr>
              <w:pStyle w:val="ARfintablecolheadright8pt"/>
              <w:rPr>
                <w:lang w:eastAsia="en-AU"/>
              </w:rPr>
            </w:pPr>
            <w:r w:rsidRPr="00EF4583">
              <w:rPr>
                <w:lang w:eastAsia="en-AU"/>
              </w:rPr>
              <w:t xml:space="preserve">Land at fair value </w:t>
            </w:r>
          </w:p>
          <w:p w14:paraId="10F491B0" w14:textId="77777777" w:rsidR="006E51BF" w:rsidRPr="00EF4583" w:rsidRDefault="006E51BF">
            <w:pPr>
              <w:pStyle w:val="ARfintablecolheadright8pt"/>
              <w:rPr>
                <w:lang w:eastAsia="en-AU"/>
              </w:rPr>
            </w:pPr>
            <w:r w:rsidRPr="00EF4583">
              <w:rPr>
                <w:lang w:eastAsia="en-AU"/>
              </w:rPr>
              <w:t>$M</w:t>
            </w:r>
          </w:p>
        </w:tc>
        <w:tc>
          <w:tcPr>
            <w:tcW w:w="609" w:type="pct"/>
            <w:tcMar>
              <w:right w:w="0" w:type="nil"/>
            </w:tcMar>
            <w:hideMark/>
          </w:tcPr>
          <w:p w14:paraId="1185C4B0" w14:textId="77777777" w:rsidR="006E51BF" w:rsidRPr="00EF4583" w:rsidRDefault="006E51BF">
            <w:pPr>
              <w:pStyle w:val="ARfintablecolheadright8pt"/>
              <w:cnfStyle w:val="100000000000" w:firstRow="1" w:lastRow="0" w:firstColumn="0" w:lastColumn="0" w:oddVBand="0" w:evenVBand="0" w:oddHBand="0" w:evenHBand="0" w:firstRowFirstColumn="0" w:firstRowLastColumn="0" w:lastRowFirstColumn="0" w:lastRowLastColumn="0"/>
              <w:rPr>
                <w:lang w:eastAsia="en-AU"/>
              </w:rPr>
            </w:pPr>
            <w:r w:rsidRPr="00EF4583">
              <w:rPr>
                <w:lang w:eastAsia="en-AU"/>
              </w:rPr>
              <w:t xml:space="preserve">Buildings at fair value </w:t>
            </w:r>
          </w:p>
          <w:p w14:paraId="53D74CCF" w14:textId="77777777" w:rsidR="006E51BF" w:rsidRPr="00EF4583" w:rsidRDefault="006E51BF">
            <w:pPr>
              <w:pStyle w:val="ARfintablecolheadright8pt"/>
              <w:cnfStyle w:val="100000000000" w:firstRow="1" w:lastRow="0" w:firstColumn="0" w:lastColumn="0" w:oddVBand="0" w:evenVBand="0" w:oddHBand="0" w:evenHBand="0" w:firstRowFirstColumn="0" w:firstRowLastColumn="0" w:lastRowFirstColumn="0" w:lastRowLastColumn="0"/>
              <w:rPr>
                <w:lang w:eastAsia="en-AU"/>
              </w:rPr>
            </w:pPr>
            <w:r w:rsidRPr="00EF4583">
              <w:rPr>
                <w:lang w:eastAsia="en-AU"/>
              </w:rPr>
              <w:t>$M</w:t>
            </w:r>
          </w:p>
        </w:tc>
        <w:tc>
          <w:tcPr>
            <w:cnfStyle w:val="000001000000" w:firstRow="0" w:lastRow="0" w:firstColumn="0" w:lastColumn="0" w:oddVBand="0" w:evenVBand="1" w:oddHBand="0" w:evenHBand="0" w:firstRowFirstColumn="0" w:firstRowLastColumn="0" w:lastRowFirstColumn="0" w:lastRowLastColumn="0"/>
            <w:tcW w:w="609" w:type="pct"/>
            <w:tcMar>
              <w:right w:w="0" w:type="nil"/>
            </w:tcMar>
            <w:hideMark/>
          </w:tcPr>
          <w:p w14:paraId="05AA75DF" w14:textId="77777777" w:rsidR="006E51BF" w:rsidRPr="00EF4583" w:rsidRDefault="006E51BF">
            <w:pPr>
              <w:pStyle w:val="ARfintablecolheadright8pt"/>
              <w:rPr>
                <w:lang w:eastAsia="en-AU"/>
              </w:rPr>
            </w:pPr>
            <w:r w:rsidRPr="00EF4583">
              <w:rPr>
                <w:lang w:eastAsia="en-AU"/>
              </w:rPr>
              <w:t>Plant and equipment</w:t>
            </w:r>
            <w:r>
              <w:rPr>
                <w:lang w:eastAsia="en-AU"/>
              </w:rPr>
              <w:br/>
            </w:r>
            <w:r w:rsidRPr="00EF4583">
              <w:rPr>
                <w:lang w:eastAsia="en-AU"/>
              </w:rPr>
              <w:t xml:space="preserve"> at fair value</w:t>
            </w:r>
          </w:p>
          <w:p w14:paraId="7778A93A" w14:textId="77777777" w:rsidR="006E51BF" w:rsidRPr="00EF4583" w:rsidRDefault="006E51BF">
            <w:pPr>
              <w:pStyle w:val="ARfintablecolheadright8pt"/>
              <w:rPr>
                <w:lang w:eastAsia="en-AU"/>
              </w:rPr>
            </w:pPr>
            <w:r w:rsidRPr="00EF4583">
              <w:rPr>
                <w:lang w:eastAsia="en-AU"/>
              </w:rPr>
              <w:t>$M</w:t>
            </w:r>
          </w:p>
        </w:tc>
        <w:tc>
          <w:tcPr>
            <w:tcW w:w="609" w:type="pct"/>
            <w:tcMar>
              <w:right w:w="0" w:type="nil"/>
            </w:tcMar>
            <w:hideMark/>
          </w:tcPr>
          <w:p w14:paraId="6B00FF44" w14:textId="77777777" w:rsidR="006E51BF" w:rsidRPr="00EF4583" w:rsidRDefault="006E51BF">
            <w:pPr>
              <w:pStyle w:val="ARfintablecolheadright8pt"/>
              <w:cnfStyle w:val="100000000000" w:firstRow="1" w:lastRow="0" w:firstColumn="0" w:lastColumn="0" w:oddVBand="0" w:evenVBand="0" w:oddHBand="0" w:evenHBand="0" w:firstRowFirstColumn="0" w:firstRowLastColumn="0" w:lastRowFirstColumn="0" w:lastRowLastColumn="0"/>
              <w:rPr>
                <w:lang w:eastAsia="en-AU"/>
              </w:rPr>
            </w:pPr>
            <w:r w:rsidRPr="00EF4583">
              <w:rPr>
                <w:lang w:eastAsia="en-AU"/>
              </w:rPr>
              <w:t>Assets under construction at cost</w:t>
            </w:r>
          </w:p>
          <w:p w14:paraId="204DD4CF" w14:textId="77777777" w:rsidR="006E51BF" w:rsidRPr="00EF4583" w:rsidRDefault="006E51BF">
            <w:pPr>
              <w:pStyle w:val="ARfintablecolheadright8pt"/>
              <w:cnfStyle w:val="100000000000" w:firstRow="1" w:lastRow="0" w:firstColumn="0" w:lastColumn="0" w:oddVBand="0" w:evenVBand="0" w:oddHBand="0" w:evenHBand="0" w:firstRowFirstColumn="0" w:firstRowLastColumn="0" w:lastRowFirstColumn="0" w:lastRowLastColumn="0"/>
              <w:rPr>
                <w:lang w:eastAsia="en-AU"/>
              </w:rPr>
            </w:pPr>
            <w:r w:rsidRPr="00EF4583">
              <w:rPr>
                <w:lang w:eastAsia="en-AU"/>
              </w:rPr>
              <w:t>$M</w:t>
            </w:r>
          </w:p>
        </w:tc>
        <w:tc>
          <w:tcPr>
            <w:cnfStyle w:val="000001000000" w:firstRow="0" w:lastRow="0" w:firstColumn="0" w:lastColumn="0" w:oddVBand="0" w:evenVBand="1" w:oddHBand="0" w:evenHBand="0" w:firstRowFirstColumn="0" w:firstRowLastColumn="0" w:lastRowFirstColumn="0" w:lastRowLastColumn="0"/>
            <w:tcW w:w="609" w:type="pct"/>
            <w:tcMar>
              <w:right w:w="0" w:type="nil"/>
            </w:tcMar>
            <w:hideMark/>
          </w:tcPr>
          <w:p w14:paraId="64E9BB79" w14:textId="77777777" w:rsidR="006E51BF" w:rsidRPr="00EF4583" w:rsidRDefault="006E51BF">
            <w:pPr>
              <w:pStyle w:val="ARfintablecolheadright8pt"/>
              <w:rPr>
                <w:lang w:eastAsia="en-AU"/>
              </w:rPr>
            </w:pPr>
            <w:r w:rsidRPr="00EF4583">
              <w:rPr>
                <w:lang w:eastAsia="en-AU"/>
              </w:rPr>
              <w:t>Right-of-use assets</w:t>
            </w:r>
            <w:r w:rsidRPr="00EF4583">
              <w:rPr>
                <w:vertAlign w:val="superscript"/>
                <w:lang w:eastAsia="en-AU"/>
              </w:rPr>
              <w:t>(</w:t>
            </w:r>
            <w:proofErr w:type="spellStart"/>
            <w:r w:rsidRPr="00EF4583">
              <w:rPr>
                <w:vertAlign w:val="superscript"/>
                <w:lang w:eastAsia="en-AU"/>
              </w:rPr>
              <w:t>i</w:t>
            </w:r>
            <w:proofErr w:type="spellEnd"/>
            <w:r w:rsidRPr="00EF4583">
              <w:rPr>
                <w:vertAlign w:val="superscript"/>
                <w:lang w:eastAsia="en-AU"/>
              </w:rPr>
              <w:t>)</w:t>
            </w:r>
          </w:p>
          <w:p w14:paraId="75CA0C96" w14:textId="77777777" w:rsidR="006E51BF" w:rsidRPr="00EF4583" w:rsidRDefault="006E51BF">
            <w:pPr>
              <w:pStyle w:val="ARfintablecolheadright8pt"/>
              <w:rPr>
                <w:lang w:eastAsia="en-AU"/>
              </w:rPr>
            </w:pPr>
            <w:r w:rsidRPr="00EF4583">
              <w:rPr>
                <w:lang w:eastAsia="en-AU"/>
              </w:rPr>
              <w:t>$M</w:t>
            </w:r>
          </w:p>
        </w:tc>
        <w:tc>
          <w:tcPr>
            <w:tcW w:w="609" w:type="pct"/>
            <w:tcMar>
              <w:right w:w="0" w:type="nil"/>
            </w:tcMar>
            <w:hideMark/>
          </w:tcPr>
          <w:p w14:paraId="6351CB74" w14:textId="77777777" w:rsidR="006E51BF" w:rsidRDefault="006E51BF">
            <w:pPr>
              <w:pStyle w:val="ARfintablecolheadright8pt"/>
              <w:cnfStyle w:val="100000000000" w:firstRow="1" w:lastRow="0" w:firstColumn="0" w:lastColumn="0" w:oddVBand="0" w:evenVBand="0" w:oddHBand="0" w:evenHBand="0" w:firstRowFirstColumn="0" w:firstRowLastColumn="0" w:lastRowFirstColumn="0" w:lastRowLastColumn="0"/>
              <w:rPr>
                <w:lang w:eastAsia="en-AU"/>
              </w:rPr>
            </w:pPr>
            <w:r>
              <w:rPr>
                <w:lang w:eastAsia="en-AU"/>
              </w:rPr>
              <w:t>ROU assets (</w:t>
            </w:r>
            <w:proofErr w:type="spellStart"/>
            <w:r>
              <w:rPr>
                <w:lang w:eastAsia="en-AU"/>
              </w:rPr>
              <w:t>i</w:t>
            </w:r>
            <w:proofErr w:type="spellEnd"/>
            <w:r>
              <w:rPr>
                <w:lang w:eastAsia="en-AU"/>
              </w:rPr>
              <w:t>)</w:t>
            </w:r>
          </w:p>
          <w:p w14:paraId="53F70FCF" w14:textId="77777777" w:rsidR="006E51BF" w:rsidRPr="00EF4583" w:rsidRDefault="006E51BF">
            <w:pPr>
              <w:pStyle w:val="ARfintablecolheadright8pt"/>
              <w:cnfStyle w:val="100000000000" w:firstRow="1" w:lastRow="0" w:firstColumn="0" w:lastColumn="0" w:oddVBand="0" w:evenVBand="0" w:oddHBand="0" w:evenHBand="0" w:firstRowFirstColumn="0" w:firstRowLastColumn="0" w:lastRowFirstColumn="0" w:lastRowLastColumn="0"/>
              <w:rPr>
                <w:lang w:eastAsia="en-AU"/>
              </w:rPr>
            </w:pPr>
            <w:r>
              <w:rPr>
                <w:lang w:eastAsia="en-AU"/>
              </w:rPr>
              <w:t>$M</w:t>
            </w:r>
          </w:p>
        </w:tc>
      </w:tr>
      <w:tr w:rsidR="006E51BF" w:rsidRPr="00EF4583" w14:paraId="1E573BAF" w14:textId="77777777" w:rsidTr="00A418A5">
        <w:trPr>
          <w:cnfStyle w:val="000000100000" w:firstRow="0" w:lastRow="0" w:firstColumn="0" w:lastColumn="0" w:oddVBand="0" w:evenVBand="0" w:oddHBand="1" w:evenHBand="0" w:firstRowFirstColumn="0" w:firstRowLastColumn="0" w:lastRowFirstColumn="0" w:lastRowLastColumn="0"/>
          <w:trHeight w:val="20"/>
        </w:trPr>
        <w:tc>
          <w:tcPr>
            <w:tcW w:w="1344" w:type="pct"/>
            <w:noWrap/>
            <w:hideMark/>
          </w:tcPr>
          <w:p w14:paraId="02C6E88E" w14:textId="77777777" w:rsidR="006E51BF" w:rsidRPr="00EF4583" w:rsidRDefault="006E51BF">
            <w:pPr>
              <w:pStyle w:val="ARfintabletextbold8pt"/>
            </w:pPr>
            <w:r w:rsidRPr="00EF4583">
              <w:t xml:space="preserve">Balance </w:t>
            </w:r>
            <w:proofErr w:type="gramStart"/>
            <w:r w:rsidRPr="00EF4583">
              <w:t>at</w:t>
            </w:r>
            <w:proofErr w:type="gramEnd"/>
            <w:r w:rsidRPr="00EF4583">
              <w:t xml:space="preserve"> 1 July 2024</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23D452E0" w14:textId="77777777" w:rsidR="006E51BF" w:rsidRPr="00EF4583" w:rsidRDefault="006E51BF">
            <w:pPr>
              <w:pStyle w:val="ARfintabletextboldright8pt"/>
            </w:pPr>
            <w:r w:rsidRPr="00EF4583">
              <w:t>24,102.7</w:t>
            </w:r>
          </w:p>
        </w:tc>
        <w:tc>
          <w:tcPr>
            <w:tcW w:w="609" w:type="pct"/>
            <w:noWrap/>
            <w:tcMar>
              <w:right w:w="0" w:type="nil"/>
            </w:tcMar>
            <w:hideMark/>
          </w:tcPr>
          <w:p w14:paraId="237C1333" w14:textId="77777777" w:rsidR="006E51BF" w:rsidRPr="00EF4583"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EF4583">
              <w:t>13,115.5</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69F9625E" w14:textId="77777777" w:rsidR="006E51BF" w:rsidRPr="00EF4583" w:rsidRDefault="006E51BF">
            <w:pPr>
              <w:pStyle w:val="ARfintabletextboldright8pt"/>
            </w:pPr>
            <w:r w:rsidRPr="00EF4583">
              <w:t>0.4</w:t>
            </w:r>
          </w:p>
        </w:tc>
        <w:tc>
          <w:tcPr>
            <w:tcW w:w="609" w:type="pct"/>
            <w:noWrap/>
            <w:tcMar>
              <w:right w:w="0" w:type="nil"/>
            </w:tcMar>
            <w:hideMark/>
          </w:tcPr>
          <w:p w14:paraId="1F3F9DFF" w14:textId="77777777" w:rsidR="006E51BF" w:rsidRPr="00EF4583"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EF4583">
              <w:t>1,175.6</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669CFE0D" w14:textId="77777777" w:rsidR="006E51BF" w:rsidRPr="00EF4583" w:rsidRDefault="006E51BF">
            <w:pPr>
              <w:pStyle w:val="ARfintabletextboldright8pt"/>
            </w:pPr>
            <w:r w:rsidRPr="00EF4583">
              <w:t>90.1</w:t>
            </w:r>
          </w:p>
        </w:tc>
        <w:tc>
          <w:tcPr>
            <w:tcW w:w="609" w:type="pct"/>
            <w:noWrap/>
            <w:tcMar>
              <w:right w:w="0" w:type="nil"/>
            </w:tcMar>
            <w:hideMark/>
          </w:tcPr>
          <w:p w14:paraId="2FCB1E54" w14:textId="77777777" w:rsidR="006E51BF" w:rsidRPr="00EF4583"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EF4583">
              <w:t>38,484.3</w:t>
            </w:r>
          </w:p>
        </w:tc>
      </w:tr>
      <w:tr w:rsidR="006E51BF" w:rsidRPr="00EF4583" w14:paraId="5D484BA0" w14:textId="77777777" w:rsidTr="00A418A5">
        <w:trPr>
          <w:cnfStyle w:val="000000010000" w:firstRow="0" w:lastRow="0" w:firstColumn="0" w:lastColumn="0" w:oddVBand="0" w:evenVBand="0" w:oddHBand="0" w:evenHBand="1" w:firstRowFirstColumn="0" w:firstRowLastColumn="0" w:lastRowFirstColumn="0" w:lastRowLastColumn="0"/>
          <w:trHeight w:val="20"/>
        </w:trPr>
        <w:tc>
          <w:tcPr>
            <w:tcW w:w="1344" w:type="pct"/>
            <w:noWrap/>
          </w:tcPr>
          <w:p w14:paraId="139960C6" w14:textId="77777777" w:rsidR="006E51BF" w:rsidRPr="00EF4583" w:rsidRDefault="006E51BF">
            <w:pPr>
              <w:pStyle w:val="ARfintabletext8pt"/>
              <w:rPr>
                <w:lang w:eastAsia="en-AU"/>
              </w:rPr>
            </w:pPr>
            <w:r w:rsidRPr="00EF4583">
              <w:rPr>
                <w:lang w:eastAsia="en-AU"/>
              </w:rPr>
              <w:t>Capital contributed from asset transfers</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tcPr>
          <w:p w14:paraId="7E22483E" w14:textId="77777777" w:rsidR="006E51BF" w:rsidRPr="00EF4583" w:rsidRDefault="006E51BF">
            <w:pPr>
              <w:pStyle w:val="ARfintabletextright8pt"/>
            </w:pPr>
            <w:r w:rsidRPr="00EF4583">
              <w:t>(6.2)</w:t>
            </w:r>
          </w:p>
        </w:tc>
        <w:tc>
          <w:tcPr>
            <w:tcW w:w="609" w:type="pct"/>
            <w:noWrap/>
            <w:tcMar>
              <w:right w:w="0" w:type="nil"/>
            </w:tcMar>
          </w:tcPr>
          <w:p w14:paraId="043A7B32"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EF4583">
              <w:t>(0.6)</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tcPr>
          <w:p w14:paraId="5294ECA1" w14:textId="77777777" w:rsidR="006E51BF" w:rsidRPr="00EF4583" w:rsidRDefault="006E51BF">
            <w:pPr>
              <w:pStyle w:val="ARfintabletextright8pt"/>
            </w:pPr>
            <w:r>
              <w:t>–</w:t>
            </w:r>
          </w:p>
        </w:tc>
        <w:tc>
          <w:tcPr>
            <w:tcW w:w="609" w:type="pct"/>
            <w:noWrap/>
            <w:tcMar>
              <w:right w:w="0" w:type="nil"/>
            </w:tcMar>
          </w:tcPr>
          <w:p w14:paraId="3646B08F"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tcPr>
          <w:p w14:paraId="50F03025" w14:textId="77777777" w:rsidR="006E51BF" w:rsidRPr="00EF4583" w:rsidRDefault="006E51BF">
            <w:pPr>
              <w:pStyle w:val="ARfintabletextright8pt"/>
            </w:pPr>
            <w:r>
              <w:t>–</w:t>
            </w:r>
          </w:p>
        </w:tc>
        <w:tc>
          <w:tcPr>
            <w:tcW w:w="609" w:type="pct"/>
            <w:noWrap/>
            <w:tcMar>
              <w:right w:w="0" w:type="nil"/>
            </w:tcMar>
          </w:tcPr>
          <w:p w14:paraId="2973DF3F"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EF4583">
              <w:t>(6.8)</w:t>
            </w:r>
          </w:p>
        </w:tc>
      </w:tr>
      <w:tr w:rsidR="006E51BF" w:rsidRPr="00EF4583" w14:paraId="7B9C53EE" w14:textId="77777777" w:rsidTr="00A418A5">
        <w:trPr>
          <w:cnfStyle w:val="000000100000" w:firstRow="0" w:lastRow="0" w:firstColumn="0" w:lastColumn="0" w:oddVBand="0" w:evenVBand="0" w:oddHBand="1" w:evenHBand="0" w:firstRowFirstColumn="0" w:firstRowLastColumn="0" w:lastRowFirstColumn="0" w:lastRowLastColumn="0"/>
          <w:trHeight w:val="20"/>
        </w:trPr>
        <w:tc>
          <w:tcPr>
            <w:tcW w:w="1344" w:type="pct"/>
            <w:noWrap/>
            <w:hideMark/>
          </w:tcPr>
          <w:p w14:paraId="398A2DDD" w14:textId="77777777" w:rsidR="006E51BF" w:rsidRPr="00EF4583" w:rsidRDefault="006E51BF">
            <w:pPr>
              <w:pStyle w:val="ARfintabletext8pt"/>
              <w:rPr>
                <w:lang w:eastAsia="en-AU"/>
              </w:rPr>
            </w:pPr>
            <w:r w:rsidRPr="00EF4583">
              <w:rPr>
                <w:lang w:eastAsia="en-AU"/>
              </w:rPr>
              <w:t>Additions</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050E50FA" w14:textId="77777777" w:rsidR="006E51BF" w:rsidRPr="00EF4583" w:rsidRDefault="006E51BF">
            <w:pPr>
              <w:pStyle w:val="ARfintabletextright8pt"/>
            </w:pPr>
            <w:r>
              <w:t>–</w:t>
            </w:r>
          </w:p>
        </w:tc>
        <w:tc>
          <w:tcPr>
            <w:tcW w:w="609" w:type="pct"/>
            <w:noWrap/>
            <w:tcMar>
              <w:right w:w="0" w:type="nil"/>
            </w:tcMar>
            <w:hideMark/>
          </w:tcPr>
          <w:p w14:paraId="11454A8F"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2A4A0B38" w14:textId="77777777" w:rsidR="006E51BF" w:rsidRPr="00EF4583" w:rsidRDefault="006E51BF">
            <w:pPr>
              <w:pStyle w:val="ARfintabletextright8pt"/>
            </w:pPr>
            <w:r>
              <w:t>–</w:t>
            </w:r>
          </w:p>
        </w:tc>
        <w:tc>
          <w:tcPr>
            <w:tcW w:w="609" w:type="pct"/>
            <w:noWrap/>
            <w:tcMar>
              <w:right w:w="0" w:type="nil"/>
            </w:tcMar>
            <w:hideMark/>
          </w:tcPr>
          <w:p w14:paraId="759D30D1"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EF4583">
              <w:t>1,070.4</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2A66BB16" w14:textId="77777777" w:rsidR="006E51BF" w:rsidRPr="00EF4583" w:rsidRDefault="006E51BF">
            <w:pPr>
              <w:pStyle w:val="ARfintabletextright8pt"/>
            </w:pPr>
            <w:r w:rsidRPr="00EF4583">
              <w:t>21.2</w:t>
            </w:r>
          </w:p>
        </w:tc>
        <w:tc>
          <w:tcPr>
            <w:tcW w:w="609" w:type="pct"/>
            <w:noWrap/>
            <w:tcMar>
              <w:right w:w="0" w:type="nil"/>
            </w:tcMar>
            <w:hideMark/>
          </w:tcPr>
          <w:p w14:paraId="422409E4"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EF4583">
              <w:t>1,091.7</w:t>
            </w:r>
          </w:p>
        </w:tc>
      </w:tr>
      <w:tr w:rsidR="006E51BF" w:rsidRPr="00EF4583" w14:paraId="5FBC1B6C" w14:textId="77777777" w:rsidTr="00A418A5">
        <w:trPr>
          <w:cnfStyle w:val="000000010000" w:firstRow="0" w:lastRow="0" w:firstColumn="0" w:lastColumn="0" w:oddVBand="0" w:evenVBand="0" w:oddHBand="0" w:evenHBand="1" w:firstRowFirstColumn="0" w:firstRowLastColumn="0" w:lastRowFirstColumn="0" w:lastRowLastColumn="0"/>
          <w:trHeight w:val="20"/>
        </w:trPr>
        <w:tc>
          <w:tcPr>
            <w:tcW w:w="1344" w:type="pct"/>
            <w:noWrap/>
            <w:hideMark/>
          </w:tcPr>
          <w:p w14:paraId="374CC513" w14:textId="77777777" w:rsidR="006E51BF" w:rsidRPr="00EF4583" w:rsidRDefault="006E51BF">
            <w:pPr>
              <w:pStyle w:val="ARfintabletext8pt"/>
              <w:rPr>
                <w:lang w:eastAsia="en-AU"/>
              </w:rPr>
            </w:pPr>
            <w:r w:rsidRPr="00EF4583">
              <w:rPr>
                <w:lang w:eastAsia="en-AU"/>
              </w:rPr>
              <w:t>Disposals</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17314E3C" w14:textId="77777777" w:rsidR="006E51BF" w:rsidRPr="00EF4583" w:rsidRDefault="006E51BF">
            <w:pPr>
              <w:pStyle w:val="ARfintabletextright8pt"/>
            </w:pPr>
            <w:r w:rsidRPr="00EF4583">
              <w:t>(56.1)</w:t>
            </w:r>
          </w:p>
        </w:tc>
        <w:tc>
          <w:tcPr>
            <w:tcW w:w="609" w:type="pct"/>
            <w:noWrap/>
            <w:tcMar>
              <w:right w:w="0" w:type="nil"/>
            </w:tcMar>
            <w:hideMark/>
          </w:tcPr>
          <w:p w14:paraId="59930F97"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EF4583">
              <w:t>(37.6)</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79C9EBBE" w14:textId="77777777" w:rsidR="006E51BF" w:rsidRPr="00EF4583" w:rsidRDefault="006E51BF">
            <w:pPr>
              <w:pStyle w:val="ARfintabletextright8pt"/>
            </w:pPr>
            <w:r>
              <w:t>–</w:t>
            </w:r>
          </w:p>
        </w:tc>
        <w:tc>
          <w:tcPr>
            <w:tcW w:w="609" w:type="pct"/>
            <w:noWrap/>
            <w:tcMar>
              <w:right w:w="0" w:type="nil"/>
            </w:tcMar>
            <w:hideMark/>
          </w:tcPr>
          <w:p w14:paraId="5265DAB3"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2883D67A" w14:textId="77777777" w:rsidR="006E51BF" w:rsidRPr="00EF4583" w:rsidRDefault="006E51BF">
            <w:pPr>
              <w:pStyle w:val="ARfintabletextright8pt"/>
            </w:pPr>
            <w:r w:rsidRPr="00EF4583">
              <w:t>(7.1)</w:t>
            </w:r>
          </w:p>
        </w:tc>
        <w:tc>
          <w:tcPr>
            <w:tcW w:w="609" w:type="pct"/>
            <w:noWrap/>
            <w:tcMar>
              <w:right w:w="0" w:type="nil"/>
            </w:tcMar>
            <w:hideMark/>
          </w:tcPr>
          <w:p w14:paraId="64C7CACE"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EF4583">
              <w:t>(100.8)</w:t>
            </w:r>
          </w:p>
        </w:tc>
      </w:tr>
      <w:tr w:rsidR="006E51BF" w:rsidRPr="00EF4583" w14:paraId="13E12BF2" w14:textId="77777777" w:rsidTr="00A418A5">
        <w:trPr>
          <w:cnfStyle w:val="000000100000" w:firstRow="0" w:lastRow="0" w:firstColumn="0" w:lastColumn="0" w:oddVBand="0" w:evenVBand="0" w:oddHBand="1" w:evenHBand="0" w:firstRowFirstColumn="0" w:firstRowLastColumn="0" w:lastRowFirstColumn="0" w:lastRowLastColumn="0"/>
          <w:trHeight w:val="20"/>
        </w:trPr>
        <w:tc>
          <w:tcPr>
            <w:tcW w:w="1344" w:type="pct"/>
            <w:noWrap/>
          </w:tcPr>
          <w:p w14:paraId="4E74EF3A" w14:textId="77777777" w:rsidR="006E51BF" w:rsidRPr="00EF4583" w:rsidRDefault="006E51BF">
            <w:pPr>
              <w:pStyle w:val="ARfintabletext8pt"/>
              <w:rPr>
                <w:lang w:eastAsia="en-AU"/>
              </w:rPr>
            </w:pPr>
            <w:r w:rsidRPr="00EF4583">
              <w:rPr>
                <w:lang w:eastAsia="en-AU"/>
              </w:rPr>
              <w:t>Net revaluation increments/(decrements)</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tcPr>
          <w:p w14:paraId="770A5A9C" w14:textId="77777777" w:rsidR="006E51BF" w:rsidRPr="00EF4583" w:rsidRDefault="006E51BF">
            <w:pPr>
              <w:pStyle w:val="ARfintabletextright8pt"/>
            </w:pPr>
            <w:r w:rsidRPr="00EF4583">
              <w:t>0.2</w:t>
            </w:r>
          </w:p>
        </w:tc>
        <w:tc>
          <w:tcPr>
            <w:tcW w:w="609" w:type="pct"/>
            <w:noWrap/>
            <w:tcMar>
              <w:right w:w="0" w:type="nil"/>
            </w:tcMar>
          </w:tcPr>
          <w:p w14:paraId="63430B01"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EF4583">
              <w:t>(20.2)</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tcPr>
          <w:p w14:paraId="1E0A1AC7" w14:textId="77777777" w:rsidR="006E51BF" w:rsidRPr="00EF4583" w:rsidRDefault="006E51BF">
            <w:pPr>
              <w:pStyle w:val="ARfintabletextright8pt"/>
            </w:pPr>
            <w:r>
              <w:t>–</w:t>
            </w:r>
          </w:p>
        </w:tc>
        <w:tc>
          <w:tcPr>
            <w:tcW w:w="609" w:type="pct"/>
            <w:noWrap/>
            <w:tcMar>
              <w:right w:w="0" w:type="nil"/>
            </w:tcMar>
          </w:tcPr>
          <w:p w14:paraId="04B20FF9"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EF4583">
              <w:t>18.2</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tcPr>
          <w:p w14:paraId="3E1B8877" w14:textId="77777777" w:rsidR="006E51BF" w:rsidRPr="00EF4583" w:rsidRDefault="006E51BF">
            <w:pPr>
              <w:pStyle w:val="ARfintabletextright8pt"/>
            </w:pPr>
            <w:r>
              <w:t>–</w:t>
            </w:r>
          </w:p>
        </w:tc>
        <w:tc>
          <w:tcPr>
            <w:tcW w:w="609" w:type="pct"/>
            <w:noWrap/>
            <w:tcMar>
              <w:right w:w="0" w:type="nil"/>
            </w:tcMar>
          </w:tcPr>
          <w:p w14:paraId="414F223C"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EF4583">
              <w:t>(1.8)</w:t>
            </w:r>
          </w:p>
        </w:tc>
      </w:tr>
      <w:tr w:rsidR="006E51BF" w:rsidRPr="00EF4583" w14:paraId="33A34B4D" w14:textId="77777777" w:rsidTr="00A418A5">
        <w:trPr>
          <w:cnfStyle w:val="000000010000" w:firstRow="0" w:lastRow="0" w:firstColumn="0" w:lastColumn="0" w:oddVBand="0" w:evenVBand="0" w:oddHBand="0" w:evenHBand="1" w:firstRowFirstColumn="0" w:firstRowLastColumn="0" w:lastRowFirstColumn="0" w:lastRowLastColumn="0"/>
          <w:trHeight w:val="20"/>
        </w:trPr>
        <w:tc>
          <w:tcPr>
            <w:tcW w:w="1344" w:type="pct"/>
            <w:noWrap/>
            <w:hideMark/>
          </w:tcPr>
          <w:p w14:paraId="405F95B7" w14:textId="77777777" w:rsidR="006E51BF" w:rsidRPr="00EF4583" w:rsidRDefault="006E51BF">
            <w:pPr>
              <w:pStyle w:val="ARfintabletext8pt"/>
              <w:rPr>
                <w:lang w:eastAsia="en-AU"/>
              </w:rPr>
            </w:pPr>
            <w:r w:rsidRPr="00EF4583">
              <w:rPr>
                <w:lang w:eastAsia="en-AU"/>
              </w:rPr>
              <w:t>Depreciation and amortisation</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2DFF6D2A" w14:textId="77777777" w:rsidR="006E51BF" w:rsidRPr="00EF4583" w:rsidRDefault="006E51BF">
            <w:pPr>
              <w:pStyle w:val="ARfintabletextright8pt"/>
            </w:pPr>
            <w:r>
              <w:t>–</w:t>
            </w:r>
          </w:p>
        </w:tc>
        <w:tc>
          <w:tcPr>
            <w:tcW w:w="609" w:type="pct"/>
            <w:noWrap/>
            <w:tcMar>
              <w:right w:w="0" w:type="nil"/>
            </w:tcMar>
            <w:hideMark/>
          </w:tcPr>
          <w:p w14:paraId="3B0BBC60"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EF4583">
              <w:t>(487.3)</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4C4679BA" w14:textId="77777777" w:rsidR="006E51BF" w:rsidRPr="00EF4583" w:rsidRDefault="006E51BF">
            <w:pPr>
              <w:pStyle w:val="ARfintabletextright8pt"/>
            </w:pPr>
            <w:r w:rsidRPr="00EF4583">
              <w:t>(0.1)</w:t>
            </w:r>
          </w:p>
        </w:tc>
        <w:tc>
          <w:tcPr>
            <w:tcW w:w="609" w:type="pct"/>
            <w:noWrap/>
            <w:tcMar>
              <w:right w:w="0" w:type="nil"/>
            </w:tcMar>
            <w:hideMark/>
          </w:tcPr>
          <w:p w14:paraId="46B8C004"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38AB456D" w14:textId="77777777" w:rsidR="006E51BF" w:rsidRPr="00EF4583" w:rsidRDefault="006E51BF">
            <w:pPr>
              <w:pStyle w:val="ARfintabletextright8pt"/>
            </w:pPr>
            <w:r w:rsidRPr="00EF4583">
              <w:t>(26.9)</w:t>
            </w:r>
          </w:p>
        </w:tc>
        <w:tc>
          <w:tcPr>
            <w:tcW w:w="609" w:type="pct"/>
            <w:noWrap/>
            <w:tcMar>
              <w:right w:w="0" w:type="nil"/>
            </w:tcMar>
            <w:hideMark/>
          </w:tcPr>
          <w:p w14:paraId="1D9336A0"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EF4583">
              <w:t>(514.3)</w:t>
            </w:r>
          </w:p>
        </w:tc>
      </w:tr>
      <w:tr w:rsidR="006E51BF" w:rsidRPr="00EF4583" w14:paraId="3CA08908" w14:textId="77777777" w:rsidTr="00A418A5">
        <w:trPr>
          <w:cnfStyle w:val="000000100000" w:firstRow="0" w:lastRow="0" w:firstColumn="0" w:lastColumn="0" w:oddVBand="0" w:evenVBand="0" w:oddHBand="1" w:evenHBand="0" w:firstRowFirstColumn="0" w:firstRowLastColumn="0" w:lastRowFirstColumn="0" w:lastRowLastColumn="0"/>
          <w:trHeight w:val="20"/>
        </w:trPr>
        <w:tc>
          <w:tcPr>
            <w:tcW w:w="1344" w:type="pct"/>
            <w:hideMark/>
          </w:tcPr>
          <w:p w14:paraId="1A8CA523" w14:textId="63009E70" w:rsidR="006E51BF" w:rsidRPr="00EF4583" w:rsidRDefault="006E51BF">
            <w:pPr>
              <w:pStyle w:val="ARfintabletext8pt"/>
              <w:rPr>
                <w:lang w:eastAsia="en-AU"/>
              </w:rPr>
            </w:pPr>
            <w:r w:rsidRPr="00EF4583">
              <w:rPr>
                <w:lang w:eastAsia="en-AU"/>
              </w:rPr>
              <w:t xml:space="preserve">Fair value of assets received/(provided) free </w:t>
            </w:r>
            <w:r w:rsidR="00437809">
              <w:rPr>
                <w:lang w:eastAsia="en-AU"/>
              </w:rPr>
              <w:br/>
            </w:r>
            <w:r w:rsidRPr="00EF4583">
              <w:rPr>
                <w:lang w:eastAsia="en-AU"/>
              </w:rPr>
              <w:t>of charge or for nominal consideration</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20A7F33A" w14:textId="77777777" w:rsidR="006E51BF" w:rsidRPr="00EF4583" w:rsidRDefault="006E51BF">
            <w:pPr>
              <w:pStyle w:val="ARfintabletextright8pt"/>
            </w:pPr>
            <w:r w:rsidRPr="00EF4583">
              <w:t>(2.6)</w:t>
            </w:r>
          </w:p>
        </w:tc>
        <w:tc>
          <w:tcPr>
            <w:tcW w:w="609" w:type="pct"/>
            <w:noWrap/>
            <w:tcMar>
              <w:right w:w="0" w:type="nil"/>
            </w:tcMar>
            <w:hideMark/>
          </w:tcPr>
          <w:p w14:paraId="662AC4CB"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11CC9FF4" w14:textId="77777777" w:rsidR="006E51BF" w:rsidRPr="00EF4583" w:rsidRDefault="006E51BF">
            <w:pPr>
              <w:pStyle w:val="ARfintabletextright8pt"/>
            </w:pPr>
            <w:r>
              <w:t>–</w:t>
            </w:r>
          </w:p>
        </w:tc>
        <w:tc>
          <w:tcPr>
            <w:tcW w:w="609" w:type="pct"/>
            <w:noWrap/>
            <w:tcMar>
              <w:right w:w="0" w:type="nil"/>
            </w:tcMar>
            <w:hideMark/>
          </w:tcPr>
          <w:p w14:paraId="7220FEF2"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76E189AA" w14:textId="77777777" w:rsidR="006E51BF" w:rsidRPr="00EF4583" w:rsidRDefault="006E51BF">
            <w:pPr>
              <w:pStyle w:val="ARfintabletextright8pt"/>
            </w:pPr>
            <w:r>
              <w:t>–</w:t>
            </w:r>
          </w:p>
        </w:tc>
        <w:tc>
          <w:tcPr>
            <w:tcW w:w="609" w:type="pct"/>
            <w:noWrap/>
            <w:tcMar>
              <w:right w:w="0" w:type="nil"/>
            </w:tcMar>
            <w:hideMark/>
          </w:tcPr>
          <w:p w14:paraId="456B336C"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EF4583">
              <w:t>(2.6)</w:t>
            </w:r>
          </w:p>
        </w:tc>
      </w:tr>
      <w:tr w:rsidR="006E51BF" w:rsidRPr="00EF4583" w14:paraId="427A55C0" w14:textId="77777777" w:rsidTr="00A418A5">
        <w:trPr>
          <w:cnfStyle w:val="000000010000" w:firstRow="0" w:lastRow="0" w:firstColumn="0" w:lastColumn="0" w:oddVBand="0" w:evenVBand="0" w:oddHBand="0" w:evenHBand="1" w:firstRowFirstColumn="0" w:firstRowLastColumn="0" w:lastRowFirstColumn="0" w:lastRowLastColumn="0"/>
          <w:trHeight w:val="20"/>
        </w:trPr>
        <w:tc>
          <w:tcPr>
            <w:tcW w:w="1344" w:type="pct"/>
            <w:noWrap/>
          </w:tcPr>
          <w:p w14:paraId="75B5C6BA" w14:textId="77777777" w:rsidR="006E51BF" w:rsidRPr="00EF4583" w:rsidRDefault="006E51BF">
            <w:pPr>
              <w:pStyle w:val="ARfintabletext8pt"/>
              <w:rPr>
                <w:lang w:eastAsia="en-AU"/>
              </w:rPr>
            </w:pPr>
            <w:r w:rsidRPr="00EF4583">
              <w:rPr>
                <w:lang w:eastAsia="en-AU"/>
              </w:rPr>
              <w:t>Transfers in/(out) of assets under construction</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tcPr>
          <w:p w14:paraId="5995D111" w14:textId="77777777" w:rsidR="006E51BF" w:rsidRPr="00EF4583" w:rsidRDefault="006E51BF">
            <w:pPr>
              <w:pStyle w:val="ARfintabletextright8pt"/>
            </w:pPr>
            <w:r w:rsidRPr="00EF4583">
              <w:t>187.6</w:t>
            </w:r>
          </w:p>
        </w:tc>
        <w:tc>
          <w:tcPr>
            <w:tcW w:w="609" w:type="pct"/>
            <w:noWrap/>
            <w:tcMar>
              <w:right w:w="0" w:type="nil"/>
            </w:tcMar>
          </w:tcPr>
          <w:p w14:paraId="638270FC"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EF4583">
              <w:t>621.1</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tcPr>
          <w:p w14:paraId="1E355E66" w14:textId="77777777" w:rsidR="006E51BF" w:rsidRPr="00EF4583" w:rsidRDefault="006E51BF">
            <w:pPr>
              <w:pStyle w:val="ARfintabletextright8pt"/>
            </w:pPr>
            <w:r>
              <w:t>–</w:t>
            </w:r>
          </w:p>
        </w:tc>
        <w:tc>
          <w:tcPr>
            <w:tcW w:w="609" w:type="pct"/>
            <w:noWrap/>
            <w:tcMar>
              <w:right w:w="0" w:type="nil"/>
            </w:tcMar>
          </w:tcPr>
          <w:p w14:paraId="00732349"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EF4583">
              <w:t>(808.6)</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tcPr>
          <w:p w14:paraId="5C1D4BC9" w14:textId="77777777" w:rsidR="006E51BF" w:rsidRPr="00EF4583" w:rsidRDefault="006E51BF">
            <w:pPr>
              <w:pStyle w:val="ARfintabletextright8pt"/>
            </w:pPr>
            <w:r>
              <w:t>–</w:t>
            </w:r>
          </w:p>
        </w:tc>
        <w:tc>
          <w:tcPr>
            <w:tcW w:w="609" w:type="pct"/>
            <w:noWrap/>
            <w:tcMar>
              <w:right w:w="0" w:type="nil"/>
            </w:tcMar>
          </w:tcPr>
          <w:p w14:paraId="6AF13490"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r>
      <w:tr w:rsidR="006E51BF" w:rsidRPr="00EF4583" w14:paraId="17531A2C" w14:textId="77777777" w:rsidTr="00A418A5">
        <w:trPr>
          <w:cnfStyle w:val="000000100000" w:firstRow="0" w:lastRow="0" w:firstColumn="0" w:lastColumn="0" w:oddVBand="0" w:evenVBand="0" w:oddHBand="1" w:evenHBand="0" w:firstRowFirstColumn="0" w:firstRowLastColumn="0" w:lastRowFirstColumn="0" w:lastRowLastColumn="0"/>
          <w:trHeight w:val="20"/>
        </w:trPr>
        <w:tc>
          <w:tcPr>
            <w:tcW w:w="1344" w:type="pct"/>
            <w:tcBorders>
              <w:bottom w:val="single" w:sz="4" w:space="0" w:color="BFBFBF" w:themeColor="accent2"/>
            </w:tcBorders>
            <w:noWrap/>
          </w:tcPr>
          <w:p w14:paraId="6A386DB4" w14:textId="77777777" w:rsidR="006E51BF" w:rsidRPr="00EF4583" w:rsidRDefault="006E51BF">
            <w:pPr>
              <w:pStyle w:val="ARfintabletext8pt"/>
              <w:rPr>
                <w:lang w:eastAsia="en-AU"/>
              </w:rPr>
            </w:pPr>
            <w:r w:rsidRPr="00EF4583">
              <w:rPr>
                <w:lang w:eastAsia="en-AU"/>
              </w:rPr>
              <w:t>Transfers (to)/from assets held for sale</w:t>
            </w:r>
          </w:p>
        </w:tc>
        <w:tc>
          <w:tcPr>
            <w:cnfStyle w:val="000001000000" w:firstRow="0" w:lastRow="0" w:firstColumn="0" w:lastColumn="0" w:oddVBand="0" w:evenVBand="1" w:oddHBand="0" w:evenHBand="0" w:firstRowFirstColumn="0" w:firstRowLastColumn="0" w:lastRowFirstColumn="0" w:lastRowLastColumn="0"/>
            <w:tcW w:w="609" w:type="pct"/>
            <w:tcBorders>
              <w:bottom w:val="single" w:sz="4" w:space="0" w:color="BFBFBF" w:themeColor="accent2"/>
            </w:tcBorders>
            <w:noWrap/>
            <w:tcMar>
              <w:right w:w="0" w:type="nil"/>
            </w:tcMar>
          </w:tcPr>
          <w:p w14:paraId="11D5931F" w14:textId="77777777" w:rsidR="006E51BF" w:rsidRPr="00EF4583" w:rsidRDefault="006E51BF">
            <w:pPr>
              <w:pStyle w:val="ARfintabletextright8pt"/>
            </w:pPr>
            <w:r>
              <w:t>–</w:t>
            </w:r>
          </w:p>
        </w:tc>
        <w:tc>
          <w:tcPr>
            <w:tcW w:w="609" w:type="pct"/>
            <w:tcBorders>
              <w:bottom w:val="single" w:sz="4" w:space="0" w:color="BFBFBF" w:themeColor="accent2"/>
            </w:tcBorders>
            <w:noWrap/>
            <w:tcMar>
              <w:right w:w="0" w:type="nil"/>
            </w:tcMar>
          </w:tcPr>
          <w:p w14:paraId="4979C1FC"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EF4583">
              <w:t>(10.6)</w:t>
            </w:r>
          </w:p>
        </w:tc>
        <w:tc>
          <w:tcPr>
            <w:cnfStyle w:val="000001000000" w:firstRow="0" w:lastRow="0" w:firstColumn="0" w:lastColumn="0" w:oddVBand="0" w:evenVBand="1" w:oddHBand="0" w:evenHBand="0" w:firstRowFirstColumn="0" w:firstRowLastColumn="0" w:lastRowFirstColumn="0" w:lastRowLastColumn="0"/>
            <w:tcW w:w="609" w:type="pct"/>
            <w:tcBorders>
              <w:bottom w:val="single" w:sz="4" w:space="0" w:color="BFBFBF" w:themeColor="accent2"/>
            </w:tcBorders>
            <w:noWrap/>
            <w:tcMar>
              <w:right w:w="0" w:type="nil"/>
            </w:tcMar>
          </w:tcPr>
          <w:p w14:paraId="5F13C373" w14:textId="77777777" w:rsidR="006E51BF" w:rsidRPr="00EF4583" w:rsidRDefault="006E51BF">
            <w:pPr>
              <w:pStyle w:val="ARfintabletextright8pt"/>
            </w:pPr>
            <w:r>
              <w:t>–</w:t>
            </w:r>
          </w:p>
        </w:tc>
        <w:tc>
          <w:tcPr>
            <w:tcW w:w="609" w:type="pct"/>
            <w:tcBorders>
              <w:bottom w:val="single" w:sz="4" w:space="0" w:color="BFBFBF" w:themeColor="accent2"/>
            </w:tcBorders>
            <w:noWrap/>
            <w:tcMar>
              <w:right w:w="0" w:type="nil"/>
            </w:tcMar>
          </w:tcPr>
          <w:p w14:paraId="143E09FE"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609" w:type="pct"/>
            <w:tcBorders>
              <w:bottom w:val="single" w:sz="4" w:space="0" w:color="BFBFBF" w:themeColor="accent2"/>
            </w:tcBorders>
            <w:noWrap/>
            <w:tcMar>
              <w:right w:w="0" w:type="nil"/>
            </w:tcMar>
          </w:tcPr>
          <w:p w14:paraId="2B120860" w14:textId="77777777" w:rsidR="006E51BF" w:rsidRPr="00EF4583" w:rsidRDefault="006E51BF">
            <w:pPr>
              <w:pStyle w:val="ARfintabletextright8pt"/>
            </w:pPr>
            <w:r w:rsidRPr="00EF4583">
              <w:t>0.4</w:t>
            </w:r>
          </w:p>
        </w:tc>
        <w:tc>
          <w:tcPr>
            <w:tcW w:w="609" w:type="pct"/>
            <w:tcBorders>
              <w:bottom w:val="single" w:sz="4" w:space="0" w:color="BFBFBF" w:themeColor="accent2"/>
            </w:tcBorders>
            <w:noWrap/>
            <w:tcMar>
              <w:right w:w="0" w:type="nil"/>
            </w:tcMar>
          </w:tcPr>
          <w:p w14:paraId="6DD82011"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EF4583">
              <w:t>(10.2)</w:t>
            </w:r>
          </w:p>
        </w:tc>
      </w:tr>
      <w:tr w:rsidR="006E51BF" w:rsidRPr="00EF4583" w14:paraId="5356648E" w14:textId="77777777" w:rsidTr="00A418A5">
        <w:trPr>
          <w:cnfStyle w:val="000000010000" w:firstRow="0" w:lastRow="0" w:firstColumn="0" w:lastColumn="0" w:oddVBand="0" w:evenVBand="0" w:oddHBand="0" w:evenHBand="1" w:firstRowFirstColumn="0" w:firstRowLastColumn="0" w:lastRowFirstColumn="0" w:lastRowLastColumn="0"/>
          <w:trHeight w:val="20"/>
        </w:trPr>
        <w:tc>
          <w:tcPr>
            <w:tcW w:w="1344" w:type="pct"/>
            <w:tcBorders>
              <w:top w:val="single" w:sz="4" w:space="0" w:color="BFBFBF" w:themeColor="accent2"/>
              <w:bottom w:val="single" w:sz="4" w:space="0" w:color="000000" w:themeColor="text1"/>
            </w:tcBorders>
            <w:noWrap/>
            <w:hideMark/>
          </w:tcPr>
          <w:p w14:paraId="6A1FD656" w14:textId="77777777" w:rsidR="006E51BF" w:rsidRPr="00EF4583" w:rsidRDefault="006E51BF">
            <w:pPr>
              <w:pStyle w:val="ARfintabletext8pt"/>
              <w:rPr>
                <w:lang w:eastAsia="en-AU"/>
              </w:rPr>
            </w:pPr>
            <w:r w:rsidRPr="00EF4583">
              <w:rPr>
                <w:lang w:eastAsia="en-AU"/>
              </w:rPr>
              <w:t>Other changes</w:t>
            </w:r>
          </w:p>
        </w:tc>
        <w:tc>
          <w:tcPr>
            <w:cnfStyle w:val="000001000000" w:firstRow="0" w:lastRow="0" w:firstColumn="0" w:lastColumn="0" w:oddVBand="0" w:evenVBand="1" w:oddHBand="0" w:evenHBand="0" w:firstRowFirstColumn="0" w:firstRowLastColumn="0" w:lastRowFirstColumn="0" w:lastRowLastColumn="0"/>
            <w:tcW w:w="609" w:type="pct"/>
            <w:tcBorders>
              <w:top w:val="single" w:sz="4" w:space="0" w:color="BFBFBF" w:themeColor="accent2"/>
              <w:bottom w:val="single" w:sz="4" w:space="0" w:color="000000" w:themeColor="text1"/>
            </w:tcBorders>
            <w:noWrap/>
            <w:tcMar>
              <w:right w:w="0" w:type="nil"/>
            </w:tcMar>
            <w:hideMark/>
          </w:tcPr>
          <w:p w14:paraId="626E7E9A" w14:textId="77777777" w:rsidR="006E51BF" w:rsidRPr="00EF4583" w:rsidRDefault="006E51BF">
            <w:pPr>
              <w:pStyle w:val="ARfintabletextright8pt"/>
            </w:pPr>
            <w:r>
              <w:t>–</w:t>
            </w:r>
          </w:p>
        </w:tc>
        <w:tc>
          <w:tcPr>
            <w:tcW w:w="609" w:type="pct"/>
            <w:tcBorders>
              <w:top w:val="single" w:sz="4" w:space="0" w:color="BFBFBF" w:themeColor="accent2"/>
              <w:bottom w:val="single" w:sz="4" w:space="0" w:color="000000" w:themeColor="text1"/>
            </w:tcBorders>
            <w:noWrap/>
            <w:tcMar>
              <w:right w:w="0" w:type="nil"/>
            </w:tcMar>
            <w:hideMark/>
          </w:tcPr>
          <w:p w14:paraId="43FBC039"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609" w:type="pct"/>
            <w:tcBorders>
              <w:top w:val="single" w:sz="4" w:space="0" w:color="BFBFBF" w:themeColor="accent2"/>
              <w:bottom w:val="single" w:sz="4" w:space="0" w:color="000000" w:themeColor="text1"/>
            </w:tcBorders>
            <w:noWrap/>
            <w:tcMar>
              <w:right w:w="0" w:type="nil"/>
            </w:tcMar>
            <w:hideMark/>
          </w:tcPr>
          <w:p w14:paraId="2C0A223A" w14:textId="77777777" w:rsidR="006E51BF" w:rsidRPr="00EF4583" w:rsidRDefault="006E51BF">
            <w:pPr>
              <w:pStyle w:val="ARfintabletextright8pt"/>
            </w:pPr>
            <w:r>
              <w:t>–</w:t>
            </w:r>
          </w:p>
        </w:tc>
        <w:tc>
          <w:tcPr>
            <w:tcW w:w="609" w:type="pct"/>
            <w:tcBorders>
              <w:top w:val="single" w:sz="4" w:space="0" w:color="BFBFBF" w:themeColor="accent2"/>
              <w:bottom w:val="single" w:sz="4" w:space="0" w:color="000000" w:themeColor="text1"/>
            </w:tcBorders>
            <w:noWrap/>
            <w:tcMar>
              <w:right w:w="0" w:type="nil"/>
            </w:tcMar>
            <w:hideMark/>
          </w:tcPr>
          <w:p w14:paraId="1BCFC48B"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609" w:type="pct"/>
            <w:tcBorders>
              <w:top w:val="single" w:sz="4" w:space="0" w:color="BFBFBF" w:themeColor="accent2"/>
              <w:bottom w:val="single" w:sz="4" w:space="0" w:color="000000" w:themeColor="text1"/>
            </w:tcBorders>
            <w:noWrap/>
            <w:tcMar>
              <w:right w:w="0" w:type="nil"/>
            </w:tcMar>
            <w:hideMark/>
          </w:tcPr>
          <w:p w14:paraId="0CB3C830" w14:textId="77777777" w:rsidR="006E51BF" w:rsidRPr="00EF4583" w:rsidRDefault="006E51BF">
            <w:pPr>
              <w:pStyle w:val="ARfintabletextright8pt"/>
            </w:pPr>
            <w:r w:rsidRPr="00EF4583">
              <w:t>15.3</w:t>
            </w:r>
          </w:p>
        </w:tc>
        <w:tc>
          <w:tcPr>
            <w:tcW w:w="609" w:type="pct"/>
            <w:tcBorders>
              <w:top w:val="single" w:sz="4" w:space="0" w:color="BFBFBF" w:themeColor="accent2"/>
              <w:bottom w:val="single" w:sz="4" w:space="0" w:color="000000" w:themeColor="text1"/>
            </w:tcBorders>
            <w:noWrap/>
            <w:tcMar>
              <w:right w:w="0" w:type="nil"/>
            </w:tcMar>
            <w:hideMark/>
          </w:tcPr>
          <w:p w14:paraId="68139C0C"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EF4583">
              <w:t>15.3</w:t>
            </w:r>
          </w:p>
        </w:tc>
      </w:tr>
      <w:tr w:rsidR="006E51BF" w:rsidRPr="00EF4583" w14:paraId="3E526AF8" w14:textId="77777777" w:rsidTr="00A418A5">
        <w:trPr>
          <w:cnfStyle w:val="000000100000" w:firstRow="0" w:lastRow="0" w:firstColumn="0" w:lastColumn="0" w:oddVBand="0" w:evenVBand="0" w:oddHBand="1" w:evenHBand="0" w:firstRowFirstColumn="0" w:firstRowLastColumn="0" w:lastRowFirstColumn="0" w:lastRowLastColumn="0"/>
          <w:trHeight w:val="20"/>
        </w:trPr>
        <w:tc>
          <w:tcPr>
            <w:tcW w:w="1344" w:type="pct"/>
            <w:tcBorders>
              <w:top w:val="single" w:sz="4" w:space="0" w:color="000000" w:themeColor="text1"/>
              <w:bottom w:val="single" w:sz="4" w:space="0" w:color="000000" w:themeColor="text1"/>
            </w:tcBorders>
            <w:noWrap/>
            <w:hideMark/>
          </w:tcPr>
          <w:p w14:paraId="345C8084" w14:textId="77777777" w:rsidR="006E51BF" w:rsidRPr="00EF4583" w:rsidRDefault="006E51BF">
            <w:pPr>
              <w:pStyle w:val="ARfintabletextbold8pt"/>
            </w:pPr>
            <w:r w:rsidRPr="00EF4583">
              <w:t xml:space="preserve">Balance </w:t>
            </w:r>
            <w:proofErr w:type="gramStart"/>
            <w:r w:rsidRPr="00EF4583">
              <w:t>at</w:t>
            </w:r>
            <w:proofErr w:type="gramEnd"/>
            <w:r w:rsidRPr="00EF4583">
              <w:t xml:space="preserve"> 1 July 2025</w:t>
            </w:r>
          </w:p>
        </w:tc>
        <w:tc>
          <w:tcPr>
            <w:cnfStyle w:val="000001000000" w:firstRow="0" w:lastRow="0" w:firstColumn="0" w:lastColumn="0" w:oddVBand="0" w:evenVBand="1" w:oddHBand="0" w:evenHBand="0" w:firstRowFirstColumn="0" w:firstRowLastColumn="0" w:lastRowFirstColumn="0" w:lastRowLastColumn="0"/>
            <w:tcW w:w="609" w:type="pct"/>
            <w:tcBorders>
              <w:top w:val="single" w:sz="4" w:space="0" w:color="000000" w:themeColor="text1"/>
              <w:bottom w:val="single" w:sz="4" w:space="0" w:color="000000" w:themeColor="text1"/>
            </w:tcBorders>
            <w:noWrap/>
            <w:tcMar>
              <w:right w:w="0" w:type="nil"/>
            </w:tcMar>
            <w:hideMark/>
          </w:tcPr>
          <w:p w14:paraId="5BBB1521" w14:textId="77777777" w:rsidR="006E51BF" w:rsidRPr="00EF4583" w:rsidRDefault="006E51BF">
            <w:pPr>
              <w:pStyle w:val="ARfintabletextboldright8pt"/>
            </w:pPr>
            <w:r w:rsidRPr="00EF4583">
              <w:t>24,225.6</w:t>
            </w:r>
          </w:p>
        </w:tc>
        <w:tc>
          <w:tcPr>
            <w:tcW w:w="609" w:type="pct"/>
            <w:tcBorders>
              <w:top w:val="single" w:sz="4" w:space="0" w:color="000000" w:themeColor="text1"/>
              <w:bottom w:val="single" w:sz="4" w:space="0" w:color="000000" w:themeColor="text1"/>
            </w:tcBorders>
            <w:noWrap/>
            <w:tcMar>
              <w:right w:w="0" w:type="nil"/>
            </w:tcMar>
            <w:hideMark/>
          </w:tcPr>
          <w:p w14:paraId="33267046" w14:textId="77777777" w:rsidR="006E51BF" w:rsidRPr="00EF4583"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EF4583">
              <w:t>13,180.3</w:t>
            </w:r>
          </w:p>
        </w:tc>
        <w:tc>
          <w:tcPr>
            <w:cnfStyle w:val="000001000000" w:firstRow="0" w:lastRow="0" w:firstColumn="0" w:lastColumn="0" w:oddVBand="0" w:evenVBand="1" w:oddHBand="0" w:evenHBand="0" w:firstRowFirstColumn="0" w:firstRowLastColumn="0" w:lastRowFirstColumn="0" w:lastRowLastColumn="0"/>
            <w:tcW w:w="609" w:type="pct"/>
            <w:tcBorders>
              <w:top w:val="single" w:sz="4" w:space="0" w:color="000000" w:themeColor="text1"/>
              <w:bottom w:val="single" w:sz="4" w:space="0" w:color="000000" w:themeColor="text1"/>
            </w:tcBorders>
            <w:noWrap/>
            <w:tcMar>
              <w:right w:w="0" w:type="nil"/>
            </w:tcMar>
            <w:hideMark/>
          </w:tcPr>
          <w:p w14:paraId="64AE0CBD" w14:textId="77777777" w:rsidR="006E51BF" w:rsidRPr="00EF4583" w:rsidRDefault="006E51BF">
            <w:pPr>
              <w:pStyle w:val="ARfintabletextboldright8pt"/>
            </w:pPr>
            <w:r w:rsidRPr="00EF4583">
              <w:t>0.3</w:t>
            </w:r>
          </w:p>
        </w:tc>
        <w:tc>
          <w:tcPr>
            <w:tcW w:w="609" w:type="pct"/>
            <w:tcBorders>
              <w:top w:val="single" w:sz="4" w:space="0" w:color="000000" w:themeColor="text1"/>
              <w:bottom w:val="single" w:sz="4" w:space="0" w:color="000000" w:themeColor="text1"/>
            </w:tcBorders>
            <w:noWrap/>
            <w:tcMar>
              <w:right w:w="0" w:type="nil"/>
            </w:tcMar>
            <w:hideMark/>
          </w:tcPr>
          <w:p w14:paraId="042B8A4D" w14:textId="77777777" w:rsidR="006E51BF" w:rsidRPr="00EF4583"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EF4583">
              <w:t>1,455.6</w:t>
            </w:r>
          </w:p>
        </w:tc>
        <w:tc>
          <w:tcPr>
            <w:cnfStyle w:val="000001000000" w:firstRow="0" w:lastRow="0" w:firstColumn="0" w:lastColumn="0" w:oddVBand="0" w:evenVBand="1" w:oddHBand="0" w:evenHBand="0" w:firstRowFirstColumn="0" w:firstRowLastColumn="0" w:lastRowFirstColumn="0" w:lastRowLastColumn="0"/>
            <w:tcW w:w="609" w:type="pct"/>
            <w:tcBorders>
              <w:top w:val="single" w:sz="4" w:space="0" w:color="000000" w:themeColor="text1"/>
              <w:bottom w:val="single" w:sz="4" w:space="0" w:color="000000" w:themeColor="text1"/>
            </w:tcBorders>
            <w:noWrap/>
            <w:tcMar>
              <w:right w:w="0" w:type="nil"/>
            </w:tcMar>
            <w:hideMark/>
          </w:tcPr>
          <w:p w14:paraId="15656512" w14:textId="77777777" w:rsidR="006E51BF" w:rsidRPr="00EF4583" w:rsidRDefault="006E51BF">
            <w:pPr>
              <w:pStyle w:val="ARfintabletextboldright8pt"/>
            </w:pPr>
            <w:r w:rsidRPr="00EF4583">
              <w:t>93.0</w:t>
            </w:r>
          </w:p>
        </w:tc>
        <w:tc>
          <w:tcPr>
            <w:tcW w:w="609" w:type="pct"/>
            <w:tcBorders>
              <w:top w:val="single" w:sz="4" w:space="0" w:color="000000" w:themeColor="text1"/>
              <w:bottom w:val="single" w:sz="4" w:space="0" w:color="000000" w:themeColor="text1"/>
            </w:tcBorders>
            <w:noWrap/>
            <w:tcMar>
              <w:right w:w="0" w:type="nil"/>
            </w:tcMar>
            <w:hideMark/>
          </w:tcPr>
          <w:p w14:paraId="6DE326BF" w14:textId="77777777" w:rsidR="006E51BF" w:rsidRPr="00EF4583" w:rsidRDefault="006E51BF">
            <w:pPr>
              <w:pStyle w:val="ARfintabletextboldright8pt"/>
              <w:cnfStyle w:val="000000100000" w:firstRow="0" w:lastRow="0" w:firstColumn="0" w:lastColumn="0" w:oddVBand="0" w:evenVBand="0" w:oddHBand="1" w:evenHBand="0" w:firstRowFirstColumn="0" w:firstRowLastColumn="0" w:lastRowFirstColumn="0" w:lastRowLastColumn="0"/>
            </w:pPr>
            <w:r w:rsidRPr="00EF4583">
              <w:t>38,954.9</w:t>
            </w:r>
          </w:p>
        </w:tc>
      </w:tr>
      <w:tr w:rsidR="006E51BF" w:rsidRPr="00EF4583" w14:paraId="4AF13347" w14:textId="77777777" w:rsidTr="00A418A5">
        <w:trPr>
          <w:cnfStyle w:val="000000010000" w:firstRow="0" w:lastRow="0" w:firstColumn="0" w:lastColumn="0" w:oddVBand="0" w:evenVBand="0" w:oddHBand="0" w:evenHBand="1" w:firstRowFirstColumn="0" w:firstRowLastColumn="0" w:lastRowFirstColumn="0" w:lastRowLastColumn="0"/>
          <w:trHeight w:val="20"/>
        </w:trPr>
        <w:tc>
          <w:tcPr>
            <w:tcW w:w="1344" w:type="pct"/>
            <w:tcBorders>
              <w:top w:val="single" w:sz="4" w:space="0" w:color="000000" w:themeColor="text1"/>
            </w:tcBorders>
            <w:noWrap/>
            <w:hideMark/>
          </w:tcPr>
          <w:p w14:paraId="7ADE700D" w14:textId="77777777" w:rsidR="006E51BF" w:rsidRPr="00EF4583" w:rsidRDefault="006E51BF">
            <w:pPr>
              <w:pStyle w:val="ARfintabletext8pt"/>
              <w:rPr>
                <w:lang w:eastAsia="en-AU"/>
              </w:rPr>
            </w:pPr>
            <w:r w:rsidRPr="00EF4583">
              <w:rPr>
                <w:lang w:eastAsia="en-AU"/>
              </w:rPr>
              <w:t>Additions</w:t>
            </w:r>
          </w:p>
        </w:tc>
        <w:tc>
          <w:tcPr>
            <w:cnfStyle w:val="000001000000" w:firstRow="0" w:lastRow="0" w:firstColumn="0" w:lastColumn="0" w:oddVBand="0" w:evenVBand="1" w:oddHBand="0" w:evenHBand="0" w:firstRowFirstColumn="0" w:firstRowLastColumn="0" w:lastRowFirstColumn="0" w:lastRowLastColumn="0"/>
            <w:tcW w:w="609" w:type="pct"/>
            <w:tcBorders>
              <w:top w:val="single" w:sz="4" w:space="0" w:color="000000" w:themeColor="text1"/>
            </w:tcBorders>
            <w:noWrap/>
            <w:tcMar>
              <w:right w:w="0" w:type="nil"/>
            </w:tcMar>
            <w:hideMark/>
          </w:tcPr>
          <w:p w14:paraId="427D9942" w14:textId="77777777" w:rsidR="006E51BF" w:rsidRPr="00EF4583" w:rsidRDefault="006E51BF">
            <w:pPr>
              <w:pStyle w:val="ARfintabletextright8pt"/>
            </w:pPr>
            <w:r>
              <w:t>–</w:t>
            </w:r>
          </w:p>
        </w:tc>
        <w:tc>
          <w:tcPr>
            <w:tcW w:w="609" w:type="pct"/>
            <w:tcBorders>
              <w:top w:val="single" w:sz="4" w:space="0" w:color="000000" w:themeColor="text1"/>
            </w:tcBorders>
            <w:noWrap/>
            <w:tcMar>
              <w:right w:w="0" w:type="nil"/>
            </w:tcMar>
            <w:hideMark/>
          </w:tcPr>
          <w:p w14:paraId="676D609A"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609" w:type="pct"/>
            <w:tcBorders>
              <w:top w:val="single" w:sz="4" w:space="0" w:color="000000" w:themeColor="text1"/>
            </w:tcBorders>
            <w:noWrap/>
            <w:tcMar>
              <w:right w:w="0" w:type="nil"/>
            </w:tcMar>
            <w:hideMark/>
          </w:tcPr>
          <w:p w14:paraId="6A1FD5CD" w14:textId="77777777" w:rsidR="006E51BF" w:rsidRPr="00EF4583" w:rsidRDefault="006E51BF">
            <w:pPr>
              <w:pStyle w:val="ARfintabletextright8pt"/>
            </w:pPr>
            <w:r>
              <w:t>–</w:t>
            </w:r>
          </w:p>
        </w:tc>
        <w:tc>
          <w:tcPr>
            <w:tcW w:w="609" w:type="pct"/>
            <w:tcBorders>
              <w:top w:val="single" w:sz="4" w:space="0" w:color="000000" w:themeColor="text1"/>
            </w:tcBorders>
            <w:noWrap/>
            <w:tcMar>
              <w:right w:w="0" w:type="nil"/>
            </w:tcMar>
            <w:hideMark/>
          </w:tcPr>
          <w:p w14:paraId="6259FBDA"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EF4583">
              <w:t>1,427.4</w:t>
            </w:r>
          </w:p>
        </w:tc>
        <w:tc>
          <w:tcPr>
            <w:cnfStyle w:val="000001000000" w:firstRow="0" w:lastRow="0" w:firstColumn="0" w:lastColumn="0" w:oddVBand="0" w:evenVBand="1" w:oddHBand="0" w:evenHBand="0" w:firstRowFirstColumn="0" w:firstRowLastColumn="0" w:lastRowFirstColumn="0" w:lastRowLastColumn="0"/>
            <w:tcW w:w="609" w:type="pct"/>
            <w:tcBorders>
              <w:top w:val="single" w:sz="4" w:space="0" w:color="000000" w:themeColor="text1"/>
            </w:tcBorders>
            <w:noWrap/>
            <w:tcMar>
              <w:right w:w="0" w:type="nil"/>
            </w:tcMar>
            <w:hideMark/>
          </w:tcPr>
          <w:p w14:paraId="311FC6FE" w14:textId="77777777" w:rsidR="006E51BF" w:rsidRPr="00EF4583" w:rsidRDefault="006E51BF">
            <w:pPr>
              <w:pStyle w:val="ARfintabletextright8pt"/>
            </w:pPr>
            <w:r w:rsidRPr="00EF4583">
              <w:t>20.6</w:t>
            </w:r>
          </w:p>
        </w:tc>
        <w:tc>
          <w:tcPr>
            <w:tcW w:w="609" w:type="pct"/>
            <w:tcBorders>
              <w:top w:val="single" w:sz="4" w:space="0" w:color="000000" w:themeColor="text1"/>
            </w:tcBorders>
            <w:noWrap/>
            <w:tcMar>
              <w:right w:w="0" w:type="nil"/>
            </w:tcMar>
            <w:hideMark/>
          </w:tcPr>
          <w:p w14:paraId="2B21CE39"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EF4583">
              <w:t>1,448.0</w:t>
            </w:r>
          </w:p>
        </w:tc>
      </w:tr>
      <w:tr w:rsidR="006E51BF" w:rsidRPr="00EF4583" w14:paraId="2C9FA415" w14:textId="77777777" w:rsidTr="00A418A5">
        <w:trPr>
          <w:cnfStyle w:val="000000100000" w:firstRow="0" w:lastRow="0" w:firstColumn="0" w:lastColumn="0" w:oddVBand="0" w:evenVBand="0" w:oddHBand="1" w:evenHBand="0" w:firstRowFirstColumn="0" w:firstRowLastColumn="0" w:lastRowFirstColumn="0" w:lastRowLastColumn="0"/>
          <w:trHeight w:val="20"/>
        </w:trPr>
        <w:tc>
          <w:tcPr>
            <w:tcW w:w="1344" w:type="pct"/>
            <w:noWrap/>
            <w:hideMark/>
          </w:tcPr>
          <w:p w14:paraId="22490B14" w14:textId="77777777" w:rsidR="006E51BF" w:rsidRPr="00EF4583" w:rsidRDefault="006E51BF">
            <w:pPr>
              <w:pStyle w:val="ARfintabletext8pt"/>
              <w:rPr>
                <w:lang w:eastAsia="en-AU"/>
              </w:rPr>
            </w:pPr>
            <w:r w:rsidRPr="00EF4583">
              <w:rPr>
                <w:lang w:eastAsia="en-AU"/>
              </w:rPr>
              <w:t>Disposals</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673AC166" w14:textId="77777777" w:rsidR="006E51BF" w:rsidRPr="00EF4583" w:rsidRDefault="006E51BF">
            <w:pPr>
              <w:pStyle w:val="ARfintabletextright8pt"/>
            </w:pPr>
            <w:r w:rsidRPr="00EF4583">
              <w:t>(101.7)</w:t>
            </w:r>
          </w:p>
        </w:tc>
        <w:tc>
          <w:tcPr>
            <w:tcW w:w="609" w:type="pct"/>
            <w:noWrap/>
            <w:tcMar>
              <w:right w:w="0" w:type="nil"/>
            </w:tcMar>
            <w:hideMark/>
          </w:tcPr>
          <w:p w14:paraId="541A5CAA"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EF4583">
              <w:t>(199.9)</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1261D435" w14:textId="77777777" w:rsidR="006E51BF" w:rsidRPr="00EF4583" w:rsidRDefault="006E51BF">
            <w:pPr>
              <w:pStyle w:val="ARfintabletextright8pt"/>
            </w:pPr>
            <w:r>
              <w:t>–</w:t>
            </w:r>
          </w:p>
        </w:tc>
        <w:tc>
          <w:tcPr>
            <w:tcW w:w="609" w:type="pct"/>
            <w:noWrap/>
            <w:tcMar>
              <w:right w:w="0" w:type="nil"/>
            </w:tcMar>
            <w:hideMark/>
          </w:tcPr>
          <w:p w14:paraId="4E169EB0"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54D2B0EF" w14:textId="77777777" w:rsidR="006E51BF" w:rsidRPr="00EF4583" w:rsidRDefault="006E51BF">
            <w:pPr>
              <w:pStyle w:val="ARfintabletextright8pt"/>
            </w:pPr>
            <w:r w:rsidRPr="00EF4583">
              <w:t>(8.0)</w:t>
            </w:r>
          </w:p>
        </w:tc>
        <w:tc>
          <w:tcPr>
            <w:tcW w:w="609" w:type="pct"/>
            <w:noWrap/>
            <w:tcMar>
              <w:right w:w="0" w:type="nil"/>
            </w:tcMar>
            <w:hideMark/>
          </w:tcPr>
          <w:p w14:paraId="31DAA95A"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EF4583">
              <w:t>(309.6)</w:t>
            </w:r>
          </w:p>
        </w:tc>
      </w:tr>
      <w:tr w:rsidR="006E51BF" w:rsidRPr="00EF4583" w14:paraId="4B5FF758" w14:textId="77777777" w:rsidTr="00A418A5">
        <w:trPr>
          <w:cnfStyle w:val="000000010000" w:firstRow="0" w:lastRow="0" w:firstColumn="0" w:lastColumn="0" w:oddVBand="0" w:evenVBand="0" w:oddHBand="0" w:evenHBand="1" w:firstRowFirstColumn="0" w:firstRowLastColumn="0" w:lastRowFirstColumn="0" w:lastRowLastColumn="0"/>
          <w:trHeight w:val="20"/>
        </w:trPr>
        <w:tc>
          <w:tcPr>
            <w:tcW w:w="1344" w:type="pct"/>
            <w:noWrap/>
          </w:tcPr>
          <w:p w14:paraId="036690ED" w14:textId="77777777" w:rsidR="006E51BF" w:rsidRPr="00EF4583" w:rsidRDefault="006E51BF">
            <w:pPr>
              <w:pStyle w:val="ARfintabletext8pt"/>
              <w:rPr>
                <w:lang w:eastAsia="en-AU"/>
              </w:rPr>
            </w:pPr>
            <w:r w:rsidRPr="00EF4583">
              <w:rPr>
                <w:lang w:eastAsia="en-AU"/>
              </w:rPr>
              <w:t>Net revaluation increments/(decrements)</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tcPr>
          <w:p w14:paraId="10D278AA" w14:textId="77777777" w:rsidR="006E51BF" w:rsidRPr="00EF4583" w:rsidRDefault="006E51BF">
            <w:pPr>
              <w:pStyle w:val="ARfintabletextright8pt"/>
            </w:pPr>
            <w:r w:rsidRPr="00EF4583">
              <w:t>(4.4)</w:t>
            </w:r>
          </w:p>
        </w:tc>
        <w:tc>
          <w:tcPr>
            <w:tcW w:w="609" w:type="pct"/>
            <w:noWrap/>
            <w:tcMar>
              <w:right w:w="0" w:type="nil"/>
            </w:tcMar>
          </w:tcPr>
          <w:p w14:paraId="756BDDCF"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EF4583">
              <w:t>17.9</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tcPr>
          <w:p w14:paraId="4629360D" w14:textId="77777777" w:rsidR="006E51BF" w:rsidRPr="00EF4583" w:rsidRDefault="006E51BF">
            <w:pPr>
              <w:pStyle w:val="ARfintabletextright8pt"/>
            </w:pPr>
            <w:r>
              <w:t>–</w:t>
            </w:r>
          </w:p>
        </w:tc>
        <w:tc>
          <w:tcPr>
            <w:tcW w:w="609" w:type="pct"/>
            <w:noWrap/>
            <w:tcMar>
              <w:right w:w="0" w:type="nil"/>
            </w:tcMar>
          </w:tcPr>
          <w:p w14:paraId="360B6146"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EF4583">
              <w:t>29.8</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tcPr>
          <w:p w14:paraId="6D9F7805" w14:textId="77777777" w:rsidR="006E51BF" w:rsidRPr="00EF4583" w:rsidRDefault="006E51BF">
            <w:pPr>
              <w:pStyle w:val="ARfintabletextright8pt"/>
            </w:pPr>
            <w:r>
              <w:t>–</w:t>
            </w:r>
          </w:p>
        </w:tc>
        <w:tc>
          <w:tcPr>
            <w:tcW w:w="609" w:type="pct"/>
            <w:noWrap/>
            <w:tcMar>
              <w:right w:w="0" w:type="nil"/>
            </w:tcMar>
          </w:tcPr>
          <w:p w14:paraId="19CC3D7F"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EF4583">
              <w:t>43.3</w:t>
            </w:r>
          </w:p>
        </w:tc>
      </w:tr>
      <w:tr w:rsidR="006E51BF" w:rsidRPr="00EF4583" w14:paraId="068B6CA0" w14:textId="77777777" w:rsidTr="00A418A5">
        <w:trPr>
          <w:cnfStyle w:val="000000100000" w:firstRow="0" w:lastRow="0" w:firstColumn="0" w:lastColumn="0" w:oddVBand="0" w:evenVBand="0" w:oddHBand="1" w:evenHBand="0" w:firstRowFirstColumn="0" w:firstRowLastColumn="0" w:lastRowFirstColumn="0" w:lastRowLastColumn="0"/>
          <w:trHeight w:val="20"/>
        </w:trPr>
        <w:tc>
          <w:tcPr>
            <w:tcW w:w="1344" w:type="pct"/>
            <w:noWrap/>
            <w:hideMark/>
          </w:tcPr>
          <w:p w14:paraId="3BA0CC60" w14:textId="77777777" w:rsidR="006E51BF" w:rsidRPr="00EF4583" w:rsidRDefault="006E51BF">
            <w:pPr>
              <w:pStyle w:val="ARfintabletext8pt"/>
              <w:rPr>
                <w:lang w:eastAsia="en-AU"/>
              </w:rPr>
            </w:pPr>
            <w:r w:rsidRPr="00EF4583">
              <w:rPr>
                <w:lang w:eastAsia="en-AU"/>
              </w:rPr>
              <w:t>Depreciation and amortisation</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22CD5DD0" w14:textId="77777777" w:rsidR="006E51BF" w:rsidRPr="00EF4583" w:rsidRDefault="006E51BF">
            <w:pPr>
              <w:pStyle w:val="ARfintabletextright8pt"/>
            </w:pPr>
            <w:r>
              <w:t>–</w:t>
            </w:r>
          </w:p>
        </w:tc>
        <w:tc>
          <w:tcPr>
            <w:tcW w:w="609" w:type="pct"/>
            <w:noWrap/>
            <w:tcMar>
              <w:right w:w="0" w:type="nil"/>
            </w:tcMar>
            <w:hideMark/>
          </w:tcPr>
          <w:p w14:paraId="3B94AD5C"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EF4583">
              <w:t>(594.3)</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51CB701F" w14:textId="77777777" w:rsidR="006E51BF" w:rsidRPr="00EF4583" w:rsidRDefault="006E51BF">
            <w:pPr>
              <w:pStyle w:val="ARfintabletextright8pt"/>
            </w:pPr>
            <w:r w:rsidRPr="00EF4583">
              <w:t>(0.1)</w:t>
            </w:r>
          </w:p>
        </w:tc>
        <w:tc>
          <w:tcPr>
            <w:tcW w:w="609" w:type="pct"/>
            <w:noWrap/>
            <w:tcMar>
              <w:right w:w="0" w:type="nil"/>
            </w:tcMar>
            <w:hideMark/>
          </w:tcPr>
          <w:p w14:paraId="04993CF7"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05C49232" w14:textId="77777777" w:rsidR="006E51BF" w:rsidRPr="00EF4583" w:rsidRDefault="006E51BF">
            <w:pPr>
              <w:pStyle w:val="ARfintabletextright8pt"/>
            </w:pPr>
            <w:r w:rsidRPr="00EF4583">
              <w:t>(28.3)</w:t>
            </w:r>
          </w:p>
        </w:tc>
        <w:tc>
          <w:tcPr>
            <w:tcW w:w="609" w:type="pct"/>
            <w:noWrap/>
            <w:tcMar>
              <w:right w:w="0" w:type="nil"/>
            </w:tcMar>
            <w:hideMark/>
          </w:tcPr>
          <w:p w14:paraId="6129400F"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EF4583">
              <w:t>(622.7)</w:t>
            </w:r>
          </w:p>
        </w:tc>
      </w:tr>
      <w:tr w:rsidR="006E51BF" w:rsidRPr="00EF4583" w14:paraId="2D5DF3F4" w14:textId="77777777" w:rsidTr="00A418A5">
        <w:trPr>
          <w:cnfStyle w:val="000000010000" w:firstRow="0" w:lastRow="0" w:firstColumn="0" w:lastColumn="0" w:oddVBand="0" w:evenVBand="0" w:oddHBand="0" w:evenHBand="1" w:firstRowFirstColumn="0" w:firstRowLastColumn="0" w:lastRowFirstColumn="0" w:lastRowLastColumn="0"/>
          <w:trHeight w:val="20"/>
        </w:trPr>
        <w:tc>
          <w:tcPr>
            <w:tcW w:w="1344" w:type="pct"/>
            <w:hideMark/>
          </w:tcPr>
          <w:p w14:paraId="2DD2DC31" w14:textId="29CB2334" w:rsidR="006E51BF" w:rsidRPr="00EF4583" w:rsidRDefault="006E51BF">
            <w:pPr>
              <w:pStyle w:val="ARfintabletext8pt"/>
              <w:rPr>
                <w:lang w:eastAsia="en-AU"/>
              </w:rPr>
            </w:pPr>
            <w:r w:rsidRPr="00EF4583">
              <w:rPr>
                <w:lang w:eastAsia="en-AU"/>
              </w:rPr>
              <w:t xml:space="preserve">Fair value of assets received/(provided) free </w:t>
            </w:r>
            <w:r w:rsidR="00437809">
              <w:rPr>
                <w:lang w:eastAsia="en-AU"/>
              </w:rPr>
              <w:br/>
            </w:r>
            <w:r w:rsidRPr="00EF4583">
              <w:rPr>
                <w:lang w:eastAsia="en-AU"/>
              </w:rPr>
              <w:t>of charge or for nominal consideration</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0D5601C5" w14:textId="77777777" w:rsidR="006E51BF" w:rsidRPr="00EF4583" w:rsidRDefault="006E51BF">
            <w:pPr>
              <w:pStyle w:val="ARfintabletextright8pt"/>
            </w:pPr>
            <w:r w:rsidRPr="00EF4583">
              <w:t>(0.1)</w:t>
            </w:r>
          </w:p>
        </w:tc>
        <w:tc>
          <w:tcPr>
            <w:tcW w:w="609" w:type="pct"/>
            <w:noWrap/>
            <w:tcMar>
              <w:right w:w="0" w:type="nil"/>
            </w:tcMar>
            <w:hideMark/>
          </w:tcPr>
          <w:p w14:paraId="378E9E5C"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755E074F" w14:textId="77777777" w:rsidR="006E51BF" w:rsidRPr="00EF4583" w:rsidRDefault="006E51BF">
            <w:pPr>
              <w:pStyle w:val="ARfintabletextright8pt"/>
            </w:pPr>
            <w:r>
              <w:t>–</w:t>
            </w:r>
          </w:p>
        </w:tc>
        <w:tc>
          <w:tcPr>
            <w:tcW w:w="609" w:type="pct"/>
            <w:noWrap/>
            <w:tcMar>
              <w:right w:w="0" w:type="nil"/>
            </w:tcMar>
            <w:hideMark/>
          </w:tcPr>
          <w:p w14:paraId="334B6460"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6E568852" w14:textId="77777777" w:rsidR="006E51BF" w:rsidRPr="00EF4583" w:rsidRDefault="006E51BF">
            <w:pPr>
              <w:pStyle w:val="ARfintabletextright8pt"/>
            </w:pPr>
            <w:r>
              <w:t>–</w:t>
            </w:r>
          </w:p>
        </w:tc>
        <w:tc>
          <w:tcPr>
            <w:tcW w:w="609" w:type="pct"/>
            <w:noWrap/>
            <w:tcMar>
              <w:right w:w="0" w:type="nil"/>
            </w:tcMar>
            <w:hideMark/>
          </w:tcPr>
          <w:p w14:paraId="08B89CA4"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EF4583">
              <w:t>(0.1)</w:t>
            </w:r>
          </w:p>
        </w:tc>
      </w:tr>
      <w:tr w:rsidR="006E51BF" w:rsidRPr="00EF4583" w14:paraId="6DFA2096" w14:textId="77777777" w:rsidTr="00A418A5">
        <w:trPr>
          <w:cnfStyle w:val="000000100000" w:firstRow="0" w:lastRow="0" w:firstColumn="0" w:lastColumn="0" w:oddVBand="0" w:evenVBand="0" w:oddHBand="1" w:evenHBand="0" w:firstRowFirstColumn="0" w:firstRowLastColumn="0" w:lastRowFirstColumn="0" w:lastRowLastColumn="0"/>
          <w:trHeight w:val="20"/>
        </w:trPr>
        <w:tc>
          <w:tcPr>
            <w:tcW w:w="1344" w:type="pct"/>
            <w:hideMark/>
          </w:tcPr>
          <w:p w14:paraId="0864B036" w14:textId="77777777" w:rsidR="006E51BF" w:rsidRPr="00EF4583" w:rsidRDefault="006E51BF">
            <w:pPr>
              <w:pStyle w:val="ARfintabletext8pt"/>
              <w:rPr>
                <w:lang w:eastAsia="en-AU"/>
              </w:rPr>
            </w:pPr>
            <w:r w:rsidRPr="00EF4583">
              <w:rPr>
                <w:lang w:eastAsia="en-AU"/>
              </w:rPr>
              <w:t>Transfers in/(out) of assets under construction</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19C8AF8E" w14:textId="77777777" w:rsidR="006E51BF" w:rsidRPr="00EF4583" w:rsidRDefault="006E51BF">
            <w:pPr>
              <w:pStyle w:val="ARfintabletextright8pt"/>
            </w:pPr>
            <w:r w:rsidRPr="00EF4583">
              <w:t>109.9</w:t>
            </w:r>
          </w:p>
        </w:tc>
        <w:tc>
          <w:tcPr>
            <w:tcW w:w="609" w:type="pct"/>
            <w:noWrap/>
            <w:tcMar>
              <w:right w:w="0" w:type="nil"/>
            </w:tcMar>
            <w:hideMark/>
          </w:tcPr>
          <w:p w14:paraId="4303AD4F"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EF4583">
              <w:t>667.8</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7F1C778D" w14:textId="77777777" w:rsidR="006E51BF" w:rsidRPr="00EF4583" w:rsidRDefault="006E51BF">
            <w:pPr>
              <w:pStyle w:val="ARfintabletextright8pt"/>
            </w:pPr>
            <w:r>
              <w:t>–</w:t>
            </w:r>
          </w:p>
        </w:tc>
        <w:tc>
          <w:tcPr>
            <w:tcW w:w="609" w:type="pct"/>
            <w:noWrap/>
            <w:tcMar>
              <w:right w:w="0" w:type="nil"/>
            </w:tcMar>
            <w:hideMark/>
          </w:tcPr>
          <w:p w14:paraId="022363D9"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EF4583">
              <w:t>(777.7)</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22BA269E" w14:textId="77777777" w:rsidR="006E51BF" w:rsidRPr="00EF4583" w:rsidRDefault="006E51BF">
            <w:pPr>
              <w:pStyle w:val="ARfintabletextright8pt"/>
            </w:pPr>
            <w:r>
              <w:t>–</w:t>
            </w:r>
          </w:p>
        </w:tc>
        <w:tc>
          <w:tcPr>
            <w:tcW w:w="609" w:type="pct"/>
            <w:noWrap/>
            <w:tcMar>
              <w:right w:w="0" w:type="nil"/>
            </w:tcMar>
            <w:hideMark/>
          </w:tcPr>
          <w:p w14:paraId="5A684A60"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r>
      <w:tr w:rsidR="006E51BF" w:rsidRPr="00EF4583" w14:paraId="5508AEC3" w14:textId="77777777" w:rsidTr="00A418A5">
        <w:trPr>
          <w:cnfStyle w:val="000000010000" w:firstRow="0" w:lastRow="0" w:firstColumn="0" w:lastColumn="0" w:oddVBand="0" w:evenVBand="0" w:oddHBand="0" w:evenHBand="1" w:firstRowFirstColumn="0" w:firstRowLastColumn="0" w:lastRowFirstColumn="0" w:lastRowLastColumn="0"/>
          <w:trHeight w:val="20"/>
        </w:trPr>
        <w:tc>
          <w:tcPr>
            <w:tcW w:w="1344" w:type="pct"/>
            <w:noWrap/>
          </w:tcPr>
          <w:p w14:paraId="2FC100EC" w14:textId="77777777" w:rsidR="006E51BF" w:rsidRPr="00EF4583" w:rsidRDefault="006E51BF">
            <w:pPr>
              <w:pStyle w:val="ARfintabletext8pt"/>
              <w:rPr>
                <w:lang w:eastAsia="en-AU"/>
              </w:rPr>
            </w:pPr>
            <w:r w:rsidRPr="00EF4583">
              <w:rPr>
                <w:lang w:eastAsia="en-AU"/>
              </w:rPr>
              <w:t>Transfers (to)/from assets held for sale</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tcPr>
          <w:p w14:paraId="1A4D1CE7" w14:textId="77777777" w:rsidR="006E51BF" w:rsidRPr="00EF4583" w:rsidRDefault="006E51BF">
            <w:pPr>
              <w:pStyle w:val="ARfintabletextright8pt"/>
            </w:pPr>
            <w:r>
              <w:t>–</w:t>
            </w:r>
          </w:p>
        </w:tc>
        <w:tc>
          <w:tcPr>
            <w:tcW w:w="609" w:type="pct"/>
            <w:noWrap/>
            <w:tcMar>
              <w:right w:w="0" w:type="nil"/>
            </w:tcMar>
          </w:tcPr>
          <w:p w14:paraId="1B5A821E"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EF4583">
              <w:t>0.4</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tcPr>
          <w:p w14:paraId="7A3E7536" w14:textId="77777777" w:rsidR="006E51BF" w:rsidRPr="00EF4583" w:rsidRDefault="006E51BF">
            <w:pPr>
              <w:pStyle w:val="ARfintabletextright8pt"/>
            </w:pPr>
            <w:r>
              <w:t>–</w:t>
            </w:r>
          </w:p>
        </w:tc>
        <w:tc>
          <w:tcPr>
            <w:tcW w:w="609" w:type="pct"/>
            <w:noWrap/>
            <w:tcMar>
              <w:right w:w="0" w:type="nil"/>
            </w:tcMar>
          </w:tcPr>
          <w:p w14:paraId="4923A149"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tcPr>
          <w:p w14:paraId="76EF5358" w14:textId="77777777" w:rsidR="006E51BF" w:rsidRPr="00EF4583" w:rsidRDefault="006E51BF">
            <w:pPr>
              <w:pStyle w:val="ARfintabletextright8pt"/>
            </w:pPr>
            <w:r w:rsidRPr="00EF4583">
              <w:t>(1.4)</w:t>
            </w:r>
          </w:p>
        </w:tc>
        <w:tc>
          <w:tcPr>
            <w:tcW w:w="609" w:type="pct"/>
            <w:noWrap/>
            <w:tcMar>
              <w:right w:w="0" w:type="nil"/>
            </w:tcMar>
          </w:tcPr>
          <w:p w14:paraId="565D5167" w14:textId="77777777" w:rsidR="006E51BF" w:rsidRPr="00EF4583" w:rsidRDefault="006E51BF">
            <w:pPr>
              <w:pStyle w:val="ARfintabletextright8pt"/>
              <w:cnfStyle w:val="000000010000" w:firstRow="0" w:lastRow="0" w:firstColumn="0" w:lastColumn="0" w:oddVBand="0" w:evenVBand="0" w:oddHBand="0" w:evenHBand="1" w:firstRowFirstColumn="0" w:firstRowLastColumn="0" w:lastRowFirstColumn="0" w:lastRowLastColumn="0"/>
            </w:pPr>
            <w:r w:rsidRPr="00EF4583">
              <w:t>(1.0)</w:t>
            </w:r>
          </w:p>
        </w:tc>
      </w:tr>
      <w:tr w:rsidR="006E51BF" w:rsidRPr="00EF4583" w14:paraId="18F55027" w14:textId="77777777" w:rsidTr="00A418A5">
        <w:trPr>
          <w:cnfStyle w:val="000000100000" w:firstRow="0" w:lastRow="0" w:firstColumn="0" w:lastColumn="0" w:oddVBand="0" w:evenVBand="0" w:oddHBand="1" w:evenHBand="0" w:firstRowFirstColumn="0" w:firstRowLastColumn="0" w:lastRowFirstColumn="0" w:lastRowLastColumn="0"/>
          <w:trHeight w:val="20"/>
        </w:trPr>
        <w:tc>
          <w:tcPr>
            <w:tcW w:w="1344" w:type="pct"/>
            <w:noWrap/>
            <w:hideMark/>
          </w:tcPr>
          <w:p w14:paraId="49256095" w14:textId="77777777" w:rsidR="006E51BF" w:rsidRPr="00EF4583" w:rsidRDefault="006E51BF">
            <w:pPr>
              <w:pStyle w:val="ARfintabletext8pt"/>
              <w:rPr>
                <w:lang w:eastAsia="en-AU"/>
              </w:rPr>
            </w:pPr>
            <w:r w:rsidRPr="00EF4583">
              <w:rPr>
                <w:lang w:eastAsia="en-AU"/>
              </w:rPr>
              <w:t>Other changes</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39F703A1" w14:textId="77777777" w:rsidR="006E51BF" w:rsidRPr="00EF4583" w:rsidRDefault="006E51BF">
            <w:pPr>
              <w:pStyle w:val="ARfintabletextright8pt"/>
            </w:pPr>
            <w:r>
              <w:t>–</w:t>
            </w:r>
          </w:p>
        </w:tc>
        <w:tc>
          <w:tcPr>
            <w:tcW w:w="609" w:type="pct"/>
            <w:noWrap/>
            <w:tcMar>
              <w:right w:w="0" w:type="nil"/>
            </w:tcMar>
            <w:hideMark/>
          </w:tcPr>
          <w:p w14:paraId="5453069D"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103187AF" w14:textId="77777777" w:rsidR="006E51BF" w:rsidRPr="00EF4583" w:rsidRDefault="006E51BF">
            <w:pPr>
              <w:pStyle w:val="ARfintabletextright8pt"/>
            </w:pPr>
            <w:r w:rsidRPr="00EF4583">
              <w:t>9.0</w:t>
            </w:r>
          </w:p>
        </w:tc>
        <w:tc>
          <w:tcPr>
            <w:tcW w:w="609" w:type="pct"/>
            <w:noWrap/>
            <w:tcMar>
              <w:right w:w="0" w:type="nil"/>
            </w:tcMar>
            <w:hideMark/>
          </w:tcPr>
          <w:p w14:paraId="572F0576"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41F1653F" w14:textId="77777777" w:rsidR="006E51BF" w:rsidRPr="00EF4583" w:rsidRDefault="006E51BF">
            <w:pPr>
              <w:pStyle w:val="ARfintabletextright8pt"/>
            </w:pPr>
            <w:r w:rsidRPr="00EF4583">
              <w:t>13.1</w:t>
            </w:r>
          </w:p>
        </w:tc>
        <w:tc>
          <w:tcPr>
            <w:tcW w:w="609" w:type="pct"/>
            <w:noWrap/>
            <w:tcMar>
              <w:right w:w="0" w:type="nil"/>
            </w:tcMar>
            <w:hideMark/>
          </w:tcPr>
          <w:p w14:paraId="64C5F282" w14:textId="77777777" w:rsidR="006E51BF" w:rsidRPr="00EF4583" w:rsidRDefault="006E51BF">
            <w:pPr>
              <w:pStyle w:val="ARfintabletextright8pt"/>
              <w:cnfStyle w:val="000000100000" w:firstRow="0" w:lastRow="0" w:firstColumn="0" w:lastColumn="0" w:oddVBand="0" w:evenVBand="0" w:oddHBand="1" w:evenHBand="0" w:firstRowFirstColumn="0" w:firstRowLastColumn="0" w:lastRowFirstColumn="0" w:lastRowLastColumn="0"/>
            </w:pPr>
            <w:r w:rsidRPr="00EF4583">
              <w:t>22.1</w:t>
            </w:r>
          </w:p>
        </w:tc>
      </w:tr>
      <w:tr w:rsidR="006E51BF" w:rsidRPr="00EF4583" w14:paraId="3C237005" w14:textId="77777777" w:rsidTr="00A418A5">
        <w:trPr>
          <w:cnfStyle w:val="010000000000" w:firstRow="0" w:lastRow="1" w:firstColumn="0" w:lastColumn="0" w:oddVBand="0" w:evenVBand="0" w:oddHBand="0" w:evenHBand="0" w:firstRowFirstColumn="0" w:firstRowLastColumn="0" w:lastRowFirstColumn="0" w:lastRowLastColumn="0"/>
          <w:trHeight w:val="20"/>
        </w:trPr>
        <w:tc>
          <w:tcPr>
            <w:tcW w:w="1344" w:type="pct"/>
            <w:noWrap/>
            <w:hideMark/>
          </w:tcPr>
          <w:p w14:paraId="1610A35D" w14:textId="77777777" w:rsidR="006E51BF" w:rsidRPr="00EF4583" w:rsidRDefault="006E51BF">
            <w:pPr>
              <w:pStyle w:val="ARfintablecolhead8pt"/>
              <w:rPr>
                <w:lang w:eastAsia="en-AU"/>
              </w:rPr>
            </w:pPr>
            <w:r w:rsidRPr="00EF4583">
              <w:rPr>
                <w:lang w:eastAsia="en-AU"/>
              </w:rPr>
              <w:t xml:space="preserve">Balance </w:t>
            </w:r>
            <w:proofErr w:type="gramStart"/>
            <w:r w:rsidRPr="00EF4583">
              <w:rPr>
                <w:lang w:eastAsia="en-AU"/>
              </w:rPr>
              <w:t>at</w:t>
            </w:r>
            <w:proofErr w:type="gramEnd"/>
            <w:r w:rsidRPr="00EF4583">
              <w:rPr>
                <w:lang w:eastAsia="en-AU"/>
              </w:rPr>
              <w:t xml:space="preserve"> 30 June 2026</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1757ED4C" w14:textId="77777777" w:rsidR="006E51BF" w:rsidRPr="00EF4583" w:rsidRDefault="006E51BF">
            <w:pPr>
              <w:pStyle w:val="ARfintabletextboldright8pt"/>
            </w:pPr>
            <w:r w:rsidRPr="00EF4583">
              <w:t>24,229.3</w:t>
            </w:r>
          </w:p>
        </w:tc>
        <w:tc>
          <w:tcPr>
            <w:tcW w:w="609" w:type="pct"/>
            <w:noWrap/>
            <w:tcMar>
              <w:right w:w="0" w:type="nil"/>
            </w:tcMar>
            <w:hideMark/>
          </w:tcPr>
          <w:p w14:paraId="23372D2A" w14:textId="77777777" w:rsidR="006E51BF" w:rsidRPr="00EF4583"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EF4583">
              <w:t>13,072.2</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16CC72B6" w14:textId="77777777" w:rsidR="006E51BF" w:rsidRPr="00EF4583" w:rsidRDefault="006E51BF">
            <w:pPr>
              <w:pStyle w:val="ARfintabletextboldright8pt"/>
            </w:pPr>
            <w:r w:rsidRPr="00EF4583">
              <w:t>9.2</w:t>
            </w:r>
          </w:p>
        </w:tc>
        <w:tc>
          <w:tcPr>
            <w:tcW w:w="609" w:type="pct"/>
            <w:noWrap/>
            <w:tcMar>
              <w:right w:w="0" w:type="nil"/>
            </w:tcMar>
            <w:hideMark/>
          </w:tcPr>
          <w:p w14:paraId="3C596A69" w14:textId="77777777" w:rsidR="006E51BF" w:rsidRPr="00EF4583"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EF4583">
              <w:t>2,135.0</w:t>
            </w:r>
          </w:p>
        </w:tc>
        <w:tc>
          <w:tcPr>
            <w:cnfStyle w:val="000001000000" w:firstRow="0" w:lastRow="0" w:firstColumn="0" w:lastColumn="0" w:oddVBand="0" w:evenVBand="1" w:oddHBand="0" w:evenHBand="0" w:firstRowFirstColumn="0" w:firstRowLastColumn="0" w:lastRowFirstColumn="0" w:lastRowLastColumn="0"/>
            <w:tcW w:w="609" w:type="pct"/>
            <w:noWrap/>
            <w:tcMar>
              <w:right w:w="0" w:type="nil"/>
            </w:tcMar>
            <w:hideMark/>
          </w:tcPr>
          <w:p w14:paraId="4D54241F" w14:textId="77777777" w:rsidR="006E51BF" w:rsidRPr="00EF4583" w:rsidRDefault="006E51BF">
            <w:pPr>
              <w:pStyle w:val="ARfintabletextboldright8pt"/>
            </w:pPr>
            <w:r w:rsidRPr="00EF4583">
              <w:t>89.0</w:t>
            </w:r>
          </w:p>
        </w:tc>
        <w:tc>
          <w:tcPr>
            <w:tcW w:w="609" w:type="pct"/>
            <w:noWrap/>
            <w:tcMar>
              <w:right w:w="0" w:type="nil"/>
            </w:tcMar>
            <w:hideMark/>
          </w:tcPr>
          <w:p w14:paraId="2FFA9B45" w14:textId="77777777" w:rsidR="006E51BF" w:rsidRPr="00EF4583" w:rsidRDefault="006E51BF">
            <w:pPr>
              <w:pStyle w:val="ARfintabletextboldright8pt"/>
              <w:cnfStyle w:val="010000000000" w:firstRow="0" w:lastRow="1" w:firstColumn="0" w:lastColumn="0" w:oddVBand="0" w:evenVBand="0" w:oddHBand="0" w:evenHBand="0" w:firstRowFirstColumn="0" w:firstRowLastColumn="0" w:lastRowFirstColumn="0" w:lastRowLastColumn="0"/>
            </w:pPr>
            <w:r w:rsidRPr="00EF4583">
              <w:t>39,534.9</w:t>
            </w:r>
          </w:p>
        </w:tc>
      </w:tr>
    </w:tbl>
    <w:p w14:paraId="368D545F" w14:textId="77777777" w:rsidR="006E51BF" w:rsidRPr="00EF4583" w:rsidRDefault="006E51BF">
      <w:pPr>
        <w:pStyle w:val="ARfintablenote"/>
        <w:rPr>
          <w:lang w:eastAsia="en-AU"/>
        </w:rPr>
      </w:pPr>
      <w:r w:rsidRPr="00EF4583">
        <w:rPr>
          <w:lang w:eastAsia="en-AU"/>
        </w:rPr>
        <w:t>Notes:</w:t>
      </w:r>
    </w:p>
    <w:p w14:paraId="66EA9135" w14:textId="77777777" w:rsidR="006E51BF" w:rsidRDefault="006E51BF" w:rsidP="006E51BF">
      <w:pPr>
        <w:pStyle w:val="ARfintablenoteroman"/>
        <w:numPr>
          <w:ilvl w:val="0"/>
          <w:numId w:val="67"/>
        </w:numPr>
        <w:sectPr w:rsidR="006E51BF" w:rsidSect="00E7077C">
          <w:pgSz w:w="16838" w:h="11906" w:orient="landscape" w:code="9"/>
          <w:pgMar w:top="1588" w:right="1134" w:bottom="851" w:left="1134" w:header="680" w:footer="567" w:gutter="0"/>
          <w:cols w:space="340"/>
          <w:docGrid w:linePitch="360"/>
        </w:sectPr>
      </w:pPr>
      <w:r w:rsidRPr="00EF4583">
        <w:t xml:space="preserve">As a result of a change in FRD 104 </w:t>
      </w:r>
      <w:r w:rsidRPr="00105DB4">
        <w:rPr>
          <w:rStyle w:val="Emphasis"/>
        </w:rPr>
        <w:t xml:space="preserve">Leases </w:t>
      </w:r>
      <w:r w:rsidRPr="00EF4583">
        <w:t>effective for reporting periods ending on or after 30 June 2026, right-of-use assets are measured at cost for 2025</w:t>
      </w:r>
      <w:r>
        <w:t>–</w:t>
      </w:r>
      <w:r w:rsidRPr="00EF4583">
        <w:t>26. The comparative information for 2024</w:t>
      </w:r>
      <w:r>
        <w:t>–</w:t>
      </w:r>
      <w:r w:rsidRPr="00EF4583">
        <w:t>25 is not restated and is reported at the previously determined fair value. For further information, refer to Note 9.4.</w:t>
      </w:r>
    </w:p>
    <w:p w14:paraId="4FD19025" w14:textId="77777777" w:rsidR="006E51BF" w:rsidRPr="003638E7" w:rsidRDefault="006E51BF">
      <w:pPr>
        <w:pStyle w:val="Heading3financials"/>
        <w:rPr>
          <w:lang w:eastAsia="en-AU"/>
        </w:rPr>
      </w:pPr>
      <w:bookmarkStart w:id="296" w:name="RANGE!A1:P38"/>
      <w:bookmarkStart w:id="297" w:name="_Toc241068549"/>
      <w:r w:rsidRPr="003638E7">
        <w:rPr>
          <w:lang w:eastAsia="en-AU"/>
        </w:rPr>
        <w:t xml:space="preserve">6. </w:t>
      </w:r>
      <w:r>
        <w:rPr>
          <w:lang w:eastAsia="en-AU"/>
        </w:rPr>
        <w:tab/>
      </w:r>
      <w:r w:rsidRPr="003638E7">
        <w:rPr>
          <w:lang w:eastAsia="en-AU"/>
        </w:rPr>
        <w:t>Other assets and liabilities</w:t>
      </w:r>
      <w:bookmarkEnd w:id="296"/>
      <w:bookmarkEnd w:id="297"/>
    </w:p>
    <w:p w14:paraId="3593B8E1" w14:textId="77777777" w:rsidR="006E51BF" w:rsidRDefault="006E51BF">
      <w:pPr>
        <w:pStyle w:val="Heading4"/>
        <w:rPr>
          <w:lang w:eastAsia="en-AU"/>
        </w:rPr>
      </w:pPr>
      <w:r w:rsidRPr="003638E7">
        <w:rPr>
          <w:lang w:eastAsia="en-AU"/>
        </w:rPr>
        <w:t>Introduction</w:t>
      </w:r>
    </w:p>
    <w:p w14:paraId="7F28569E" w14:textId="77777777" w:rsidR="006E51BF" w:rsidRDefault="006E51BF">
      <w:pPr>
        <w:pStyle w:val="ARfinbody"/>
        <w:rPr>
          <w:lang w:eastAsia="en-AU"/>
        </w:rPr>
      </w:pPr>
      <w:r w:rsidRPr="003638E7">
        <w:rPr>
          <w:lang w:eastAsia="en-AU"/>
        </w:rPr>
        <w:t xml:space="preserve">This section sets out those assets and liabilities that arose from the </w:t>
      </w:r>
      <w:proofErr w:type="gramStart"/>
      <w:r w:rsidRPr="003638E7">
        <w:rPr>
          <w:lang w:eastAsia="en-AU"/>
        </w:rPr>
        <w:t>department's controlled</w:t>
      </w:r>
      <w:proofErr w:type="gramEnd"/>
      <w:r w:rsidRPr="003638E7">
        <w:rPr>
          <w:lang w:eastAsia="en-AU"/>
        </w:rPr>
        <w:t xml:space="preserve"> operations.</w:t>
      </w:r>
    </w:p>
    <w:p w14:paraId="498FE528" w14:textId="77777777" w:rsidR="006E51BF" w:rsidRDefault="006E51BF">
      <w:pPr>
        <w:pStyle w:val="Heading4"/>
        <w:rPr>
          <w:lang w:eastAsia="en-AU"/>
        </w:rPr>
      </w:pPr>
      <w:r w:rsidRPr="003638E7">
        <w:rPr>
          <w:lang w:eastAsia="en-AU"/>
        </w:rPr>
        <w:t>Structure</w:t>
      </w:r>
    </w:p>
    <w:p w14:paraId="30570FD1" w14:textId="77777777" w:rsidR="006E51BF" w:rsidRDefault="006E51BF">
      <w:pPr>
        <w:pStyle w:val="ARfinstructure1"/>
        <w:rPr>
          <w:lang w:eastAsia="en-AU"/>
        </w:rPr>
      </w:pPr>
      <w:r w:rsidRPr="003638E7">
        <w:rPr>
          <w:lang w:eastAsia="en-AU"/>
        </w:rPr>
        <w:t xml:space="preserve">6.1 </w:t>
      </w:r>
      <w:r>
        <w:rPr>
          <w:lang w:eastAsia="en-AU"/>
        </w:rPr>
        <w:tab/>
      </w:r>
      <w:r w:rsidRPr="003638E7">
        <w:rPr>
          <w:lang w:eastAsia="en-AU"/>
        </w:rPr>
        <w:t>Receivables</w:t>
      </w:r>
    </w:p>
    <w:p w14:paraId="17068810" w14:textId="77777777" w:rsidR="006E51BF" w:rsidRDefault="006E51BF">
      <w:pPr>
        <w:pStyle w:val="ARfinstructure1"/>
        <w:rPr>
          <w:lang w:eastAsia="en-AU"/>
        </w:rPr>
      </w:pPr>
      <w:r w:rsidRPr="003638E7">
        <w:rPr>
          <w:lang w:eastAsia="en-AU"/>
        </w:rPr>
        <w:t xml:space="preserve">6.2 </w:t>
      </w:r>
      <w:r>
        <w:rPr>
          <w:lang w:eastAsia="en-AU"/>
        </w:rPr>
        <w:tab/>
      </w:r>
      <w:r w:rsidRPr="003638E7">
        <w:rPr>
          <w:lang w:eastAsia="en-AU"/>
        </w:rPr>
        <w:t>Loans</w:t>
      </w:r>
    </w:p>
    <w:p w14:paraId="709E9E0F" w14:textId="77777777" w:rsidR="006E51BF" w:rsidRDefault="006E51BF">
      <w:pPr>
        <w:pStyle w:val="ARfinstructure1"/>
        <w:rPr>
          <w:lang w:eastAsia="en-AU"/>
        </w:rPr>
      </w:pPr>
      <w:r w:rsidRPr="003638E7">
        <w:rPr>
          <w:lang w:eastAsia="en-AU"/>
        </w:rPr>
        <w:t xml:space="preserve">6.3 </w:t>
      </w:r>
      <w:r>
        <w:rPr>
          <w:lang w:eastAsia="en-AU"/>
        </w:rPr>
        <w:tab/>
      </w:r>
      <w:r w:rsidRPr="003638E7">
        <w:rPr>
          <w:lang w:eastAsia="en-AU"/>
        </w:rPr>
        <w:t>Payables</w:t>
      </w:r>
    </w:p>
    <w:p w14:paraId="102293E6" w14:textId="77777777" w:rsidR="006E51BF" w:rsidRDefault="006E51BF">
      <w:pPr>
        <w:pStyle w:val="ARfinstructure2"/>
        <w:rPr>
          <w:lang w:eastAsia="en-AU"/>
        </w:rPr>
      </w:pPr>
      <w:r w:rsidRPr="003638E7">
        <w:rPr>
          <w:lang w:eastAsia="en-AU"/>
        </w:rPr>
        <w:t xml:space="preserve">6.3.1 </w:t>
      </w:r>
      <w:r>
        <w:rPr>
          <w:lang w:eastAsia="en-AU"/>
        </w:rPr>
        <w:tab/>
      </w:r>
      <w:r w:rsidRPr="003638E7">
        <w:rPr>
          <w:lang w:eastAsia="en-AU"/>
        </w:rPr>
        <w:t>Maturity analysis of contractual payables</w:t>
      </w:r>
    </w:p>
    <w:p w14:paraId="19908824" w14:textId="77777777" w:rsidR="006E51BF" w:rsidRDefault="006E51BF">
      <w:pPr>
        <w:pStyle w:val="ARfinstructure1"/>
        <w:rPr>
          <w:lang w:eastAsia="en-AU"/>
        </w:rPr>
      </w:pPr>
      <w:r w:rsidRPr="003638E7">
        <w:rPr>
          <w:lang w:eastAsia="en-AU"/>
        </w:rPr>
        <w:t xml:space="preserve">6.4 </w:t>
      </w:r>
      <w:r>
        <w:rPr>
          <w:lang w:eastAsia="en-AU"/>
        </w:rPr>
        <w:tab/>
      </w:r>
      <w:r w:rsidRPr="003638E7">
        <w:rPr>
          <w:lang w:eastAsia="en-AU"/>
        </w:rPr>
        <w:t>Other provisions</w:t>
      </w:r>
    </w:p>
    <w:p w14:paraId="58C39FA6" w14:textId="77777777" w:rsidR="006E51BF" w:rsidRDefault="006E51BF">
      <w:pPr>
        <w:pStyle w:val="ARfinstructure2"/>
        <w:rPr>
          <w:lang w:eastAsia="en-AU"/>
        </w:rPr>
      </w:pPr>
      <w:r w:rsidRPr="003638E7">
        <w:rPr>
          <w:lang w:eastAsia="en-AU"/>
        </w:rPr>
        <w:t xml:space="preserve">6.4.1 </w:t>
      </w:r>
      <w:r>
        <w:rPr>
          <w:lang w:eastAsia="en-AU"/>
        </w:rPr>
        <w:tab/>
      </w:r>
      <w:r w:rsidRPr="003638E7">
        <w:rPr>
          <w:lang w:eastAsia="en-AU"/>
        </w:rPr>
        <w:t>Reconciliation of movements in other provisions</w:t>
      </w:r>
    </w:p>
    <w:p w14:paraId="63D08396" w14:textId="77777777" w:rsidR="006E51BF" w:rsidRPr="003638E7" w:rsidRDefault="006E51BF">
      <w:pPr>
        <w:pStyle w:val="ARfinstructure1"/>
        <w:rPr>
          <w:b/>
          <w:bCs/>
          <w:lang w:eastAsia="en-AU"/>
        </w:rPr>
      </w:pPr>
      <w:r w:rsidRPr="003638E7">
        <w:rPr>
          <w:lang w:eastAsia="en-AU"/>
        </w:rPr>
        <w:t xml:space="preserve">6.5 </w:t>
      </w:r>
      <w:r>
        <w:rPr>
          <w:lang w:eastAsia="en-AU"/>
        </w:rPr>
        <w:tab/>
      </w:r>
      <w:r w:rsidRPr="003638E7">
        <w:rPr>
          <w:lang w:eastAsia="en-AU"/>
        </w:rPr>
        <w:t>Other liabilities</w:t>
      </w:r>
    </w:p>
    <w:p w14:paraId="5154FAFE" w14:textId="77777777" w:rsidR="006E51BF" w:rsidRDefault="006E51BF">
      <w:pPr>
        <w:pStyle w:val="Heading4"/>
        <w:rPr>
          <w:lang w:eastAsia="en-AU"/>
        </w:rPr>
      </w:pPr>
      <w:r w:rsidRPr="003638E7">
        <w:rPr>
          <w:lang w:eastAsia="en-AU"/>
        </w:rPr>
        <w:t xml:space="preserve">6.1 </w:t>
      </w:r>
      <w:r>
        <w:rPr>
          <w:lang w:eastAsia="en-AU"/>
        </w:rPr>
        <w:tab/>
      </w:r>
      <w:r w:rsidRPr="003638E7">
        <w:rPr>
          <w:lang w:eastAsia="en-AU"/>
        </w:rPr>
        <w:t>Receivables</w:t>
      </w:r>
    </w:p>
    <w:tbl>
      <w:tblPr>
        <w:tblStyle w:val="ARtable1"/>
        <w:tblW w:w="5000" w:type="pct"/>
        <w:tblLook w:val="00E0" w:firstRow="1" w:lastRow="1" w:firstColumn="1" w:lastColumn="0" w:noHBand="0" w:noVBand="0"/>
      </w:tblPr>
      <w:tblGrid>
        <w:gridCol w:w="6494"/>
        <w:gridCol w:w="1567"/>
        <w:gridCol w:w="1567"/>
      </w:tblGrid>
      <w:tr w:rsidR="006E51BF" w:rsidRPr="003638E7" w14:paraId="176CF3D5" w14:textId="77777777" w:rsidTr="00A418A5">
        <w:trPr>
          <w:cnfStyle w:val="100000000000" w:firstRow="1" w:lastRow="0" w:firstColumn="0" w:lastColumn="0" w:oddVBand="0" w:evenVBand="0" w:oddHBand="0" w:evenHBand="0" w:firstRowFirstColumn="0" w:firstRowLastColumn="0" w:lastRowFirstColumn="0" w:lastRowLastColumn="0"/>
          <w:trHeight w:val="550"/>
          <w:tblHeader/>
        </w:trPr>
        <w:tc>
          <w:tcPr>
            <w:tcW w:w="3372" w:type="pct"/>
            <w:noWrap/>
          </w:tcPr>
          <w:p w14:paraId="442DB286" w14:textId="77777777" w:rsidR="006E51BF" w:rsidRPr="003638E7"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814" w:type="pct"/>
            <w:noWrap/>
            <w:tcMar>
              <w:right w:w="0" w:type="nil"/>
            </w:tcMar>
            <w:hideMark/>
          </w:tcPr>
          <w:p w14:paraId="282686C3" w14:textId="77777777" w:rsidR="006E51BF" w:rsidRPr="003638E7" w:rsidRDefault="006E51BF">
            <w:pPr>
              <w:pStyle w:val="ARfintablecolheadright"/>
              <w:rPr>
                <w:lang w:eastAsia="en-AU"/>
              </w:rPr>
            </w:pPr>
            <w:r w:rsidRPr="003638E7">
              <w:rPr>
                <w:lang w:eastAsia="en-AU"/>
              </w:rPr>
              <w:t>2026</w:t>
            </w:r>
          </w:p>
          <w:p w14:paraId="690CB6A3" w14:textId="77777777" w:rsidR="006E51BF" w:rsidRPr="003638E7" w:rsidRDefault="006E51BF">
            <w:pPr>
              <w:pStyle w:val="ARfintablecolheadright"/>
              <w:rPr>
                <w:lang w:eastAsia="en-AU"/>
              </w:rPr>
            </w:pPr>
            <w:r w:rsidRPr="003638E7">
              <w:rPr>
                <w:lang w:eastAsia="en-AU"/>
              </w:rPr>
              <w:t>$M</w:t>
            </w:r>
          </w:p>
        </w:tc>
        <w:tc>
          <w:tcPr>
            <w:tcW w:w="814" w:type="pct"/>
            <w:noWrap/>
            <w:tcMar>
              <w:right w:w="0" w:type="nil"/>
            </w:tcMar>
            <w:hideMark/>
          </w:tcPr>
          <w:p w14:paraId="27C77637" w14:textId="77777777" w:rsidR="006E51BF" w:rsidRPr="003638E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638E7">
              <w:rPr>
                <w:lang w:eastAsia="en-AU"/>
              </w:rPr>
              <w:t>2025</w:t>
            </w:r>
          </w:p>
          <w:p w14:paraId="2A0EDE25" w14:textId="77777777" w:rsidR="006E51BF" w:rsidRPr="003638E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638E7">
              <w:rPr>
                <w:lang w:eastAsia="en-AU"/>
              </w:rPr>
              <w:t>$M</w:t>
            </w:r>
          </w:p>
        </w:tc>
      </w:tr>
      <w:tr w:rsidR="006E51BF" w:rsidRPr="003638E7" w14:paraId="523D29FC" w14:textId="77777777" w:rsidTr="00A418A5">
        <w:trPr>
          <w:cnfStyle w:val="000000100000" w:firstRow="0" w:lastRow="0" w:firstColumn="0" w:lastColumn="0" w:oddVBand="0" w:evenVBand="0" w:oddHBand="1" w:evenHBand="0" w:firstRowFirstColumn="0" w:firstRowLastColumn="0" w:lastRowFirstColumn="0" w:lastRowLastColumn="0"/>
          <w:trHeight w:val="270"/>
        </w:trPr>
        <w:tc>
          <w:tcPr>
            <w:tcW w:w="3372" w:type="pct"/>
            <w:noWrap/>
            <w:hideMark/>
          </w:tcPr>
          <w:p w14:paraId="49D2E34F" w14:textId="77777777" w:rsidR="006E51BF" w:rsidRPr="003638E7" w:rsidRDefault="006E51BF">
            <w:pPr>
              <w:pStyle w:val="ARfintabletextboldcoloured"/>
              <w:rPr>
                <w:lang w:eastAsia="en-AU"/>
              </w:rPr>
            </w:pPr>
            <w:r w:rsidRPr="003638E7">
              <w:rPr>
                <w:lang w:eastAsia="en-AU"/>
              </w:rPr>
              <w:t>Current receivables</w:t>
            </w:r>
          </w:p>
        </w:tc>
        <w:tc>
          <w:tcPr>
            <w:cnfStyle w:val="000001000000" w:firstRow="0" w:lastRow="0" w:firstColumn="0" w:lastColumn="0" w:oddVBand="0" w:evenVBand="1" w:oddHBand="0" w:evenHBand="0" w:firstRowFirstColumn="0" w:firstRowLastColumn="0" w:lastRowFirstColumn="0" w:lastRowLastColumn="0"/>
            <w:tcW w:w="814" w:type="pct"/>
            <w:shd w:val="clear" w:color="auto" w:fill="auto"/>
            <w:noWrap/>
            <w:tcMar>
              <w:right w:w="0" w:type="nil"/>
            </w:tcMar>
            <w:hideMark/>
          </w:tcPr>
          <w:p w14:paraId="3A6718A1" w14:textId="77777777" w:rsidR="006E51BF" w:rsidRPr="003638E7" w:rsidRDefault="006E51BF">
            <w:pPr>
              <w:pStyle w:val="ARtabletextright"/>
              <w:rPr>
                <w:lang w:eastAsia="en-AU"/>
              </w:rPr>
            </w:pPr>
          </w:p>
        </w:tc>
        <w:tc>
          <w:tcPr>
            <w:tcW w:w="814" w:type="pct"/>
            <w:noWrap/>
            <w:tcMar>
              <w:right w:w="0" w:type="nil"/>
            </w:tcMar>
            <w:hideMark/>
          </w:tcPr>
          <w:p w14:paraId="2028A48B" w14:textId="77777777" w:rsidR="006E51BF" w:rsidRPr="003638E7" w:rsidRDefault="006E51B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105DB4" w14:paraId="0596A5FD" w14:textId="77777777" w:rsidTr="00A418A5">
        <w:trPr>
          <w:cnfStyle w:val="000000010000" w:firstRow="0" w:lastRow="0" w:firstColumn="0" w:lastColumn="0" w:oddVBand="0" w:evenVBand="0" w:oddHBand="0" w:evenHBand="1" w:firstRowFirstColumn="0" w:firstRowLastColumn="0" w:lastRowFirstColumn="0" w:lastRowLastColumn="0"/>
          <w:trHeight w:val="270"/>
        </w:trPr>
        <w:tc>
          <w:tcPr>
            <w:tcW w:w="3372" w:type="pct"/>
            <w:noWrap/>
            <w:hideMark/>
          </w:tcPr>
          <w:p w14:paraId="0F8078F3" w14:textId="77777777" w:rsidR="006E51BF" w:rsidRPr="00105DB4" w:rsidRDefault="006E51BF">
            <w:pPr>
              <w:pStyle w:val="ARfintabletext"/>
              <w:rPr>
                <w:rStyle w:val="Emphasis"/>
              </w:rPr>
            </w:pPr>
            <w:r w:rsidRPr="00105DB4">
              <w:rPr>
                <w:rStyle w:val="Emphasis"/>
              </w:rPr>
              <w:t xml:space="preserve">Contractual </w:t>
            </w:r>
          </w:p>
        </w:tc>
        <w:tc>
          <w:tcPr>
            <w:cnfStyle w:val="000001000000" w:firstRow="0" w:lastRow="0" w:firstColumn="0" w:lastColumn="0" w:oddVBand="0" w:evenVBand="1" w:oddHBand="0" w:evenHBand="0" w:firstRowFirstColumn="0" w:firstRowLastColumn="0" w:lastRowFirstColumn="0" w:lastRowLastColumn="0"/>
            <w:tcW w:w="814" w:type="pct"/>
            <w:shd w:val="clear" w:color="auto" w:fill="auto"/>
            <w:noWrap/>
            <w:tcMar>
              <w:right w:w="0" w:type="nil"/>
            </w:tcMar>
            <w:hideMark/>
          </w:tcPr>
          <w:p w14:paraId="4EACB1EE" w14:textId="77777777" w:rsidR="006E51BF" w:rsidRPr="00105DB4" w:rsidRDefault="006E51BF">
            <w:pPr>
              <w:pStyle w:val="ARtabletextright"/>
              <w:rPr>
                <w:rStyle w:val="Emphasis"/>
                <w:lang w:eastAsia="en-AU"/>
              </w:rPr>
            </w:pPr>
          </w:p>
        </w:tc>
        <w:tc>
          <w:tcPr>
            <w:tcW w:w="814" w:type="pct"/>
            <w:noWrap/>
            <w:tcMar>
              <w:right w:w="0" w:type="nil"/>
            </w:tcMar>
            <w:hideMark/>
          </w:tcPr>
          <w:p w14:paraId="5232E561" w14:textId="77777777" w:rsidR="006E51BF" w:rsidRPr="00105DB4" w:rsidRDefault="006E51BF">
            <w:pPr>
              <w:pStyle w:val="ARtabletextright"/>
              <w:cnfStyle w:val="000000010000" w:firstRow="0" w:lastRow="0" w:firstColumn="0" w:lastColumn="0" w:oddVBand="0" w:evenVBand="0" w:oddHBand="0" w:evenHBand="1" w:firstRowFirstColumn="0" w:firstRowLastColumn="0" w:lastRowFirstColumn="0" w:lastRowLastColumn="0"/>
              <w:rPr>
                <w:rStyle w:val="Emphasis"/>
                <w:lang w:eastAsia="en-AU"/>
              </w:rPr>
            </w:pPr>
          </w:p>
        </w:tc>
      </w:tr>
      <w:tr w:rsidR="006E51BF" w:rsidRPr="003638E7" w14:paraId="62805037" w14:textId="77777777" w:rsidTr="00A418A5">
        <w:trPr>
          <w:cnfStyle w:val="000000100000" w:firstRow="0" w:lastRow="0" w:firstColumn="0" w:lastColumn="0" w:oddVBand="0" w:evenVBand="0" w:oddHBand="1" w:evenHBand="0" w:firstRowFirstColumn="0" w:firstRowLastColumn="0" w:lastRowFirstColumn="0" w:lastRowLastColumn="0"/>
          <w:trHeight w:val="270"/>
        </w:trPr>
        <w:tc>
          <w:tcPr>
            <w:tcW w:w="3372" w:type="pct"/>
            <w:noWrap/>
            <w:hideMark/>
          </w:tcPr>
          <w:p w14:paraId="7F6A9606" w14:textId="77777777" w:rsidR="006E51BF" w:rsidRPr="003638E7" w:rsidRDefault="006E51BF">
            <w:pPr>
              <w:pStyle w:val="ARfintabletext"/>
              <w:rPr>
                <w:lang w:eastAsia="en-AU"/>
              </w:rPr>
            </w:pPr>
            <w:r w:rsidRPr="003638E7">
              <w:rPr>
                <w:lang w:eastAsia="en-AU"/>
              </w:rPr>
              <w:t>Tenants in arrears</w:t>
            </w:r>
          </w:p>
        </w:tc>
        <w:tc>
          <w:tcPr>
            <w:cnfStyle w:val="000001000000" w:firstRow="0" w:lastRow="0" w:firstColumn="0" w:lastColumn="0" w:oddVBand="0" w:evenVBand="1" w:oddHBand="0" w:evenHBand="0" w:firstRowFirstColumn="0" w:firstRowLastColumn="0" w:lastRowFirstColumn="0" w:lastRowLastColumn="0"/>
            <w:tcW w:w="814" w:type="pct"/>
            <w:noWrap/>
            <w:tcMar>
              <w:right w:w="0" w:type="nil"/>
            </w:tcMar>
            <w:hideMark/>
          </w:tcPr>
          <w:p w14:paraId="370A7072" w14:textId="77777777" w:rsidR="006E51BF" w:rsidRPr="003638E7" w:rsidRDefault="006E51BF">
            <w:pPr>
              <w:pStyle w:val="ARfintabletextright"/>
              <w:rPr>
                <w:lang w:eastAsia="en-AU"/>
              </w:rPr>
            </w:pPr>
            <w:r w:rsidRPr="003638E7">
              <w:rPr>
                <w:lang w:eastAsia="en-AU"/>
              </w:rPr>
              <w:t>24.2</w:t>
            </w:r>
          </w:p>
        </w:tc>
        <w:tc>
          <w:tcPr>
            <w:tcW w:w="814" w:type="pct"/>
            <w:noWrap/>
            <w:tcMar>
              <w:right w:w="0" w:type="nil"/>
            </w:tcMar>
            <w:hideMark/>
          </w:tcPr>
          <w:p w14:paraId="2688A074" w14:textId="77777777" w:rsidR="006E51BF" w:rsidRPr="003638E7"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3638E7">
              <w:rPr>
                <w:lang w:eastAsia="en-AU"/>
              </w:rPr>
              <w:t>23.4</w:t>
            </w:r>
          </w:p>
        </w:tc>
      </w:tr>
      <w:tr w:rsidR="006E51BF" w:rsidRPr="003638E7" w14:paraId="245D4EAF" w14:textId="77777777" w:rsidTr="00A418A5">
        <w:trPr>
          <w:cnfStyle w:val="000000010000" w:firstRow="0" w:lastRow="0" w:firstColumn="0" w:lastColumn="0" w:oddVBand="0" w:evenVBand="0" w:oddHBand="0" w:evenHBand="1" w:firstRowFirstColumn="0" w:firstRowLastColumn="0" w:lastRowFirstColumn="0" w:lastRowLastColumn="0"/>
          <w:trHeight w:val="270"/>
        </w:trPr>
        <w:tc>
          <w:tcPr>
            <w:tcW w:w="3372" w:type="pct"/>
            <w:tcBorders>
              <w:bottom w:val="single" w:sz="4" w:space="0" w:color="BFBFBF" w:themeColor="accent2"/>
            </w:tcBorders>
            <w:noWrap/>
            <w:hideMark/>
          </w:tcPr>
          <w:p w14:paraId="6F923228" w14:textId="77777777" w:rsidR="006E51BF" w:rsidRPr="003638E7" w:rsidRDefault="006E51BF">
            <w:pPr>
              <w:pStyle w:val="ARfintabletext"/>
              <w:rPr>
                <w:lang w:eastAsia="en-AU"/>
              </w:rPr>
            </w:pPr>
            <w:r w:rsidRPr="003638E7">
              <w:rPr>
                <w:lang w:eastAsia="en-AU"/>
              </w:rPr>
              <w:t>Other receivables</w:t>
            </w:r>
          </w:p>
        </w:tc>
        <w:tc>
          <w:tcPr>
            <w:cnfStyle w:val="000001000000" w:firstRow="0" w:lastRow="0" w:firstColumn="0" w:lastColumn="0" w:oddVBand="0" w:evenVBand="1" w:oddHBand="0" w:evenHBand="0" w:firstRowFirstColumn="0" w:firstRowLastColumn="0" w:lastRowFirstColumn="0" w:lastRowLastColumn="0"/>
            <w:tcW w:w="814" w:type="pct"/>
            <w:tcBorders>
              <w:bottom w:val="single" w:sz="4" w:space="0" w:color="BFBFBF" w:themeColor="accent2"/>
            </w:tcBorders>
            <w:noWrap/>
            <w:tcMar>
              <w:right w:w="0" w:type="nil"/>
            </w:tcMar>
            <w:hideMark/>
          </w:tcPr>
          <w:p w14:paraId="569B231D" w14:textId="77777777" w:rsidR="006E51BF" w:rsidRPr="003638E7" w:rsidRDefault="006E51BF">
            <w:pPr>
              <w:pStyle w:val="ARfintabletextright"/>
              <w:rPr>
                <w:lang w:eastAsia="en-AU"/>
              </w:rPr>
            </w:pPr>
            <w:r w:rsidRPr="003638E7">
              <w:rPr>
                <w:lang w:eastAsia="en-AU"/>
              </w:rPr>
              <w:t>461.2</w:t>
            </w:r>
          </w:p>
        </w:tc>
        <w:tc>
          <w:tcPr>
            <w:tcW w:w="814" w:type="pct"/>
            <w:tcBorders>
              <w:bottom w:val="single" w:sz="4" w:space="0" w:color="BFBFBF" w:themeColor="accent2"/>
            </w:tcBorders>
            <w:noWrap/>
            <w:tcMar>
              <w:right w:w="0" w:type="nil"/>
            </w:tcMar>
            <w:hideMark/>
          </w:tcPr>
          <w:p w14:paraId="189EEFAC" w14:textId="77777777" w:rsidR="006E51BF" w:rsidRPr="003638E7"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3638E7">
              <w:rPr>
                <w:lang w:eastAsia="en-AU"/>
              </w:rPr>
              <w:t>211.8</w:t>
            </w:r>
          </w:p>
        </w:tc>
      </w:tr>
      <w:tr w:rsidR="006E51BF" w:rsidRPr="003638E7" w14:paraId="1CAA7706" w14:textId="77777777" w:rsidTr="00A418A5">
        <w:trPr>
          <w:cnfStyle w:val="000000100000" w:firstRow="0" w:lastRow="0" w:firstColumn="0" w:lastColumn="0" w:oddVBand="0" w:evenVBand="0" w:oddHBand="1" w:evenHBand="0" w:firstRowFirstColumn="0" w:firstRowLastColumn="0" w:lastRowFirstColumn="0" w:lastRowLastColumn="0"/>
          <w:trHeight w:val="270"/>
        </w:trPr>
        <w:tc>
          <w:tcPr>
            <w:tcW w:w="3372" w:type="pct"/>
            <w:tcBorders>
              <w:top w:val="single" w:sz="4" w:space="0" w:color="BFBFBF" w:themeColor="accent2"/>
              <w:bottom w:val="single" w:sz="4" w:space="0" w:color="000000" w:themeColor="text1"/>
            </w:tcBorders>
            <w:noWrap/>
            <w:hideMark/>
          </w:tcPr>
          <w:p w14:paraId="2AA06811" w14:textId="77777777" w:rsidR="006E51BF" w:rsidRPr="00F7203E" w:rsidRDefault="006E51BF">
            <w:pPr>
              <w:pStyle w:val="ARfintabletext"/>
              <w:rPr>
                <w:rStyle w:val="Emphasis"/>
              </w:rPr>
            </w:pPr>
            <w:r w:rsidRPr="00F7203E">
              <w:rPr>
                <w:rStyle w:val="Emphasis"/>
              </w:rPr>
              <w:t>Less allowance for impairment losses of contractual receivables</w:t>
            </w:r>
          </w:p>
        </w:tc>
        <w:tc>
          <w:tcPr>
            <w:cnfStyle w:val="000001000000" w:firstRow="0" w:lastRow="0" w:firstColumn="0" w:lastColumn="0" w:oddVBand="0" w:evenVBand="1" w:oddHBand="0" w:evenHBand="0" w:firstRowFirstColumn="0" w:firstRowLastColumn="0" w:lastRowFirstColumn="0" w:lastRowLastColumn="0"/>
            <w:tcW w:w="814" w:type="pct"/>
            <w:tcBorders>
              <w:top w:val="single" w:sz="4" w:space="0" w:color="BFBFBF" w:themeColor="accent2"/>
              <w:bottom w:val="single" w:sz="4" w:space="0" w:color="000000" w:themeColor="text1"/>
            </w:tcBorders>
            <w:noWrap/>
            <w:tcMar>
              <w:right w:w="0" w:type="nil"/>
            </w:tcMar>
            <w:hideMark/>
          </w:tcPr>
          <w:p w14:paraId="66C51B81" w14:textId="77777777" w:rsidR="006E51BF" w:rsidRPr="003638E7" w:rsidRDefault="006E51BF">
            <w:pPr>
              <w:pStyle w:val="ARfintabletextright"/>
              <w:rPr>
                <w:lang w:eastAsia="en-AU"/>
              </w:rPr>
            </w:pPr>
            <w:r w:rsidRPr="003638E7">
              <w:rPr>
                <w:lang w:eastAsia="en-AU"/>
              </w:rPr>
              <w:t>(6.0)</w:t>
            </w:r>
          </w:p>
        </w:tc>
        <w:tc>
          <w:tcPr>
            <w:tcW w:w="814" w:type="pct"/>
            <w:tcBorders>
              <w:top w:val="single" w:sz="4" w:space="0" w:color="BFBFBF" w:themeColor="accent2"/>
              <w:bottom w:val="single" w:sz="4" w:space="0" w:color="000000" w:themeColor="text1"/>
            </w:tcBorders>
            <w:noWrap/>
            <w:tcMar>
              <w:right w:w="0" w:type="nil"/>
            </w:tcMar>
            <w:hideMark/>
          </w:tcPr>
          <w:p w14:paraId="32BD2112" w14:textId="77777777" w:rsidR="006E51BF" w:rsidRPr="003638E7"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3638E7">
              <w:rPr>
                <w:lang w:eastAsia="en-AU"/>
              </w:rPr>
              <w:t>(9.8)</w:t>
            </w:r>
          </w:p>
        </w:tc>
      </w:tr>
      <w:tr w:rsidR="006E51BF" w:rsidRPr="003638E7" w14:paraId="4186607C" w14:textId="77777777" w:rsidTr="00A418A5">
        <w:trPr>
          <w:cnfStyle w:val="000000010000" w:firstRow="0" w:lastRow="0" w:firstColumn="0" w:lastColumn="0" w:oddVBand="0" w:evenVBand="0" w:oddHBand="0" w:evenHBand="1" w:firstRowFirstColumn="0" w:firstRowLastColumn="0" w:lastRowFirstColumn="0" w:lastRowLastColumn="0"/>
          <w:trHeight w:val="270"/>
        </w:trPr>
        <w:tc>
          <w:tcPr>
            <w:tcW w:w="3372" w:type="pct"/>
            <w:tcBorders>
              <w:top w:val="single" w:sz="4" w:space="0" w:color="000000" w:themeColor="text1"/>
            </w:tcBorders>
            <w:noWrap/>
            <w:hideMark/>
          </w:tcPr>
          <w:p w14:paraId="52A4DF98" w14:textId="77777777" w:rsidR="006E51BF" w:rsidRPr="003638E7" w:rsidRDefault="006E51BF">
            <w:pPr>
              <w:pStyle w:val="ARfintabletext"/>
              <w:rPr>
                <w:lang w:eastAsia="en-AU"/>
              </w:rPr>
            </w:pPr>
          </w:p>
        </w:tc>
        <w:tc>
          <w:tcPr>
            <w:cnfStyle w:val="000001000000" w:firstRow="0" w:lastRow="0" w:firstColumn="0" w:lastColumn="0" w:oddVBand="0" w:evenVBand="1" w:oddHBand="0" w:evenHBand="0" w:firstRowFirstColumn="0" w:firstRowLastColumn="0" w:lastRowFirstColumn="0" w:lastRowLastColumn="0"/>
            <w:tcW w:w="814" w:type="pct"/>
            <w:tcBorders>
              <w:top w:val="single" w:sz="4" w:space="0" w:color="000000" w:themeColor="text1"/>
            </w:tcBorders>
            <w:noWrap/>
            <w:tcMar>
              <w:right w:w="0" w:type="nil"/>
            </w:tcMar>
            <w:hideMark/>
          </w:tcPr>
          <w:p w14:paraId="1A22AFD3" w14:textId="77777777" w:rsidR="006E51BF" w:rsidRPr="003638E7" w:rsidRDefault="006E51BF">
            <w:pPr>
              <w:pStyle w:val="ARfintabletextboldright"/>
              <w:rPr>
                <w:lang w:eastAsia="en-AU"/>
              </w:rPr>
            </w:pPr>
            <w:r w:rsidRPr="003638E7">
              <w:rPr>
                <w:lang w:eastAsia="en-AU"/>
              </w:rPr>
              <w:t>479.4</w:t>
            </w:r>
          </w:p>
        </w:tc>
        <w:tc>
          <w:tcPr>
            <w:tcW w:w="814" w:type="pct"/>
            <w:tcBorders>
              <w:top w:val="single" w:sz="4" w:space="0" w:color="000000" w:themeColor="text1"/>
            </w:tcBorders>
            <w:noWrap/>
            <w:tcMar>
              <w:right w:w="0" w:type="nil"/>
            </w:tcMar>
            <w:hideMark/>
          </w:tcPr>
          <w:p w14:paraId="3FBFF0D1" w14:textId="77777777" w:rsidR="006E51BF" w:rsidRPr="003638E7"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3638E7">
              <w:rPr>
                <w:lang w:eastAsia="en-AU"/>
              </w:rPr>
              <w:t>225.4</w:t>
            </w:r>
          </w:p>
        </w:tc>
      </w:tr>
      <w:tr w:rsidR="006E51BF" w:rsidRPr="003638E7" w14:paraId="0A0615F7" w14:textId="77777777" w:rsidTr="00A418A5">
        <w:trPr>
          <w:cnfStyle w:val="000000100000" w:firstRow="0" w:lastRow="0" w:firstColumn="0" w:lastColumn="0" w:oddVBand="0" w:evenVBand="0" w:oddHBand="1" w:evenHBand="0" w:firstRowFirstColumn="0" w:firstRowLastColumn="0" w:lastRowFirstColumn="0" w:lastRowLastColumn="0"/>
          <w:trHeight w:val="270"/>
        </w:trPr>
        <w:tc>
          <w:tcPr>
            <w:tcW w:w="3372" w:type="pct"/>
            <w:noWrap/>
            <w:hideMark/>
          </w:tcPr>
          <w:p w14:paraId="5B3057BA" w14:textId="77777777" w:rsidR="006E51BF" w:rsidRPr="00F7203E" w:rsidRDefault="006E51BF">
            <w:pPr>
              <w:pStyle w:val="ARfintabletext"/>
              <w:rPr>
                <w:rStyle w:val="Emphasis"/>
              </w:rPr>
            </w:pPr>
            <w:r w:rsidRPr="00F7203E">
              <w:rPr>
                <w:rStyle w:val="Emphasis"/>
              </w:rPr>
              <w:t>Statutory</w:t>
            </w:r>
          </w:p>
        </w:tc>
        <w:tc>
          <w:tcPr>
            <w:cnfStyle w:val="000001000000" w:firstRow="0" w:lastRow="0" w:firstColumn="0" w:lastColumn="0" w:oddVBand="0" w:evenVBand="1" w:oddHBand="0" w:evenHBand="0" w:firstRowFirstColumn="0" w:firstRowLastColumn="0" w:lastRowFirstColumn="0" w:lastRowLastColumn="0"/>
            <w:tcW w:w="814" w:type="pct"/>
            <w:shd w:val="clear" w:color="auto" w:fill="auto"/>
            <w:noWrap/>
            <w:tcMar>
              <w:right w:w="0" w:type="nil"/>
            </w:tcMar>
            <w:hideMark/>
          </w:tcPr>
          <w:p w14:paraId="68A25CE0" w14:textId="77777777" w:rsidR="006E51BF" w:rsidRPr="003638E7" w:rsidRDefault="006E51BF">
            <w:pPr>
              <w:pStyle w:val="ARfintabletextright"/>
            </w:pPr>
          </w:p>
        </w:tc>
        <w:tc>
          <w:tcPr>
            <w:tcW w:w="814" w:type="pct"/>
            <w:noWrap/>
            <w:tcMar>
              <w:right w:w="0" w:type="nil"/>
            </w:tcMar>
            <w:hideMark/>
          </w:tcPr>
          <w:p w14:paraId="37D1E334" w14:textId="77777777" w:rsidR="006E51BF" w:rsidRPr="003638E7"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3638E7" w14:paraId="22F867F5" w14:textId="77777777" w:rsidTr="00A418A5">
        <w:trPr>
          <w:cnfStyle w:val="000000010000" w:firstRow="0" w:lastRow="0" w:firstColumn="0" w:lastColumn="0" w:oddVBand="0" w:evenVBand="0" w:oddHBand="0" w:evenHBand="1" w:firstRowFirstColumn="0" w:firstRowLastColumn="0" w:lastRowFirstColumn="0" w:lastRowLastColumn="0"/>
          <w:trHeight w:val="270"/>
        </w:trPr>
        <w:tc>
          <w:tcPr>
            <w:tcW w:w="3372" w:type="pct"/>
            <w:tcBorders>
              <w:bottom w:val="single" w:sz="4" w:space="0" w:color="BFBFBF" w:themeColor="accent2"/>
            </w:tcBorders>
            <w:noWrap/>
            <w:hideMark/>
          </w:tcPr>
          <w:p w14:paraId="26855091" w14:textId="77777777" w:rsidR="006E51BF" w:rsidRPr="003638E7" w:rsidRDefault="006E51BF">
            <w:pPr>
              <w:pStyle w:val="ARfintabletext"/>
              <w:rPr>
                <w:lang w:eastAsia="en-AU"/>
              </w:rPr>
            </w:pPr>
            <w:r w:rsidRPr="003638E7">
              <w:rPr>
                <w:lang w:eastAsia="en-AU"/>
              </w:rPr>
              <w:t>Amounts owing from Victorian Government</w:t>
            </w:r>
          </w:p>
        </w:tc>
        <w:tc>
          <w:tcPr>
            <w:cnfStyle w:val="000001000000" w:firstRow="0" w:lastRow="0" w:firstColumn="0" w:lastColumn="0" w:oddVBand="0" w:evenVBand="1" w:oddHBand="0" w:evenHBand="0" w:firstRowFirstColumn="0" w:firstRowLastColumn="0" w:lastRowFirstColumn="0" w:lastRowLastColumn="0"/>
            <w:tcW w:w="814" w:type="pct"/>
            <w:tcBorders>
              <w:bottom w:val="single" w:sz="4" w:space="0" w:color="BFBFBF" w:themeColor="accent2"/>
            </w:tcBorders>
            <w:noWrap/>
            <w:tcMar>
              <w:right w:w="0" w:type="nil"/>
            </w:tcMar>
            <w:hideMark/>
          </w:tcPr>
          <w:p w14:paraId="6370881D" w14:textId="77777777" w:rsidR="006E51BF" w:rsidRPr="003638E7" w:rsidRDefault="006E51BF">
            <w:pPr>
              <w:pStyle w:val="ARfintabletextright"/>
            </w:pPr>
            <w:r w:rsidRPr="003638E7">
              <w:t>684.1</w:t>
            </w:r>
          </w:p>
        </w:tc>
        <w:tc>
          <w:tcPr>
            <w:tcW w:w="814" w:type="pct"/>
            <w:tcBorders>
              <w:bottom w:val="single" w:sz="4" w:space="0" w:color="BFBFBF" w:themeColor="accent2"/>
            </w:tcBorders>
            <w:noWrap/>
            <w:tcMar>
              <w:right w:w="0" w:type="nil"/>
            </w:tcMar>
            <w:hideMark/>
          </w:tcPr>
          <w:p w14:paraId="6F22BEA3" w14:textId="77777777" w:rsidR="006E51BF" w:rsidRPr="003638E7"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3638E7">
              <w:t>633.2</w:t>
            </w:r>
          </w:p>
        </w:tc>
      </w:tr>
      <w:tr w:rsidR="006E51BF" w:rsidRPr="003638E7" w14:paraId="5EF27F00" w14:textId="77777777" w:rsidTr="00A418A5">
        <w:trPr>
          <w:cnfStyle w:val="000000100000" w:firstRow="0" w:lastRow="0" w:firstColumn="0" w:lastColumn="0" w:oddVBand="0" w:evenVBand="0" w:oddHBand="1" w:evenHBand="0" w:firstRowFirstColumn="0" w:firstRowLastColumn="0" w:lastRowFirstColumn="0" w:lastRowLastColumn="0"/>
          <w:trHeight w:val="270"/>
        </w:trPr>
        <w:tc>
          <w:tcPr>
            <w:tcW w:w="3372" w:type="pct"/>
            <w:tcBorders>
              <w:top w:val="single" w:sz="4" w:space="0" w:color="BFBFBF" w:themeColor="accent2"/>
              <w:bottom w:val="single" w:sz="4" w:space="0" w:color="000000" w:themeColor="text1"/>
            </w:tcBorders>
            <w:noWrap/>
            <w:hideMark/>
          </w:tcPr>
          <w:p w14:paraId="2EB8D57B" w14:textId="77777777" w:rsidR="006E51BF" w:rsidRPr="003638E7" w:rsidRDefault="006E51BF">
            <w:pPr>
              <w:pStyle w:val="ARfintabletext"/>
              <w:rPr>
                <w:lang w:eastAsia="en-AU"/>
              </w:rPr>
            </w:pPr>
            <w:r w:rsidRPr="003638E7">
              <w:rPr>
                <w:lang w:eastAsia="en-AU"/>
              </w:rPr>
              <w:t>GST input tax credit recoverable</w:t>
            </w:r>
          </w:p>
        </w:tc>
        <w:tc>
          <w:tcPr>
            <w:cnfStyle w:val="000001000000" w:firstRow="0" w:lastRow="0" w:firstColumn="0" w:lastColumn="0" w:oddVBand="0" w:evenVBand="1" w:oddHBand="0" w:evenHBand="0" w:firstRowFirstColumn="0" w:firstRowLastColumn="0" w:lastRowFirstColumn="0" w:lastRowLastColumn="0"/>
            <w:tcW w:w="814" w:type="pct"/>
            <w:tcBorders>
              <w:top w:val="single" w:sz="4" w:space="0" w:color="BFBFBF" w:themeColor="accent2"/>
              <w:bottom w:val="single" w:sz="4" w:space="0" w:color="000000" w:themeColor="text1"/>
            </w:tcBorders>
            <w:noWrap/>
            <w:tcMar>
              <w:right w:w="0" w:type="nil"/>
            </w:tcMar>
            <w:hideMark/>
          </w:tcPr>
          <w:p w14:paraId="03E2A15C" w14:textId="77777777" w:rsidR="006E51BF" w:rsidRPr="003638E7" w:rsidRDefault="006E51BF">
            <w:pPr>
              <w:pStyle w:val="ARfintabletextright"/>
            </w:pPr>
            <w:r w:rsidRPr="003638E7">
              <w:t>88.9</w:t>
            </w:r>
          </w:p>
        </w:tc>
        <w:tc>
          <w:tcPr>
            <w:tcW w:w="814" w:type="pct"/>
            <w:tcBorders>
              <w:top w:val="single" w:sz="4" w:space="0" w:color="BFBFBF" w:themeColor="accent2"/>
              <w:bottom w:val="single" w:sz="4" w:space="0" w:color="000000" w:themeColor="text1"/>
            </w:tcBorders>
            <w:noWrap/>
            <w:tcMar>
              <w:right w:w="0" w:type="nil"/>
            </w:tcMar>
            <w:hideMark/>
          </w:tcPr>
          <w:p w14:paraId="2854F973" w14:textId="77777777" w:rsidR="006E51BF" w:rsidRPr="003638E7"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3638E7">
              <w:t>36.4</w:t>
            </w:r>
          </w:p>
        </w:tc>
      </w:tr>
      <w:tr w:rsidR="006E51BF" w:rsidRPr="003638E7" w14:paraId="297AA57F" w14:textId="77777777" w:rsidTr="00A418A5">
        <w:trPr>
          <w:cnfStyle w:val="000000010000" w:firstRow="0" w:lastRow="0" w:firstColumn="0" w:lastColumn="0" w:oddVBand="0" w:evenVBand="0" w:oddHBand="0" w:evenHBand="1" w:firstRowFirstColumn="0" w:firstRowLastColumn="0" w:lastRowFirstColumn="0" w:lastRowLastColumn="0"/>
          <w:trHeight w:val="270"/>
        </w:trPr>
        <w:tc>
          <w:tcPr>
            <w:tcW w:w="3372" w:type="pct"/>
            <w:tcBorders>
              <w:top w:val="single" w:sz="4" w:space="0" w:color="000000" w:themeColor="text1"/>
              <w:bottom w:val="single" w:sz="4" w:space="0" w:color="000000" w:themeColor="text1"/>
            </w:tcBorders>
            <w:noWrap/>
            <w:hideMark/>
          </w:tcPr>
          <w:p w14:paraId="17FF151E" w14:textId="77777777" w:rsidR="006E51BF" w:rsidRPr="003638E7" w:rsidRDefault="006E51BF">
            <w:pPr>
              <w:pStyle w:val="ARfintabletext"/>
              <w:rPr>
                <w:lang w:eastAsia="en-AU"/>
              </w:rPr>
            </w:pPr>
          </w:p>
        </w:tc>
        <w:tc>
          <w:tcPr>
            <w:cnfStyle w:val="000001000000" w:firstRow="0" w:lastRow="0" w:firstColumn="0" w:lastColumn="0" w:oddVBand="0" w:evenVBand="1" w:oddHBand="0" w:evenHBand="0" w:firstRowFirstColumn="0" w:firstRowLastColumn="0" w:lastRowFirstColumn="0" w:lastRowLastColumn="0"/>
            <w:tcW w:w="814" w:type="pct"/>
            <w:tcBorders>
              <w:top w:val="single" w:sz="4" w:space="0" w:color="000000" w:themeColor="text1"/>
              <w:bottom w:val="single" w:sz="4" w:space="0" w:color="000000" w:themeColor="text1"/>
            </w:tcBorders>
            <w:noWrap/>
            <w:tcMar>
              <w:right w:w="0" w:type="nil"/>
            </w:tcMar>
            <w:hideMark/>
          </w:tcPr>
          <w:p w14:paraId="2FD9EBE1" w14:textId="77777777" w:rsidR="006E51BF" w:rsidRPr="003638E7" w:rsidRDefault="006E51BF">
            <w:pPr>
              <w:pStyle w:val="ARfintabletextboldright"/>
              <w:rPr>
                <w:lang w:eastAsia="en-AU"/>
              </w:rPr>
            </w:pPr>
            <w:r w:rsidRPr="003638E7">
              <w:rPr>
                <w:lang w:eastAsia="en-AU"/>
              </w:rPr>
              <w:t>773.0</w:t>
            </w:r>
          </w:p>
        </w:tc>
        <w:tc>
          <w:tcPr>
            <w:tcW w:w="814" w:type="pct"/>
            <w:tcBorders>
              <w:top w:val="single" w:sz="4" w:space="0" w:color="000000" w:themeColor="text1"/>
              <w:bottom w:val="single" w:sz="4" w:space="0" w:color="000000" w:themeColor="text1"/>
            </w:tcBorders>
            <w:noWrap/>
            <w:tcMar>
              <w:right w:w="0" w:type="nil"/>
            </w:tcMar>
            <w:hideMark/>
          </w:tcPr>
          <w:p w14:paraId="563AD142" w14:textId="77777777" w:rsidR="006E51BF" w:rsidRPr="003638E7"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3638E7">
              <w:rPr>
                <w:lang w:eastAsia="en-AU"/>
              </w:rPr>
              <w:t>669.6</w:t>
            </w:r>
          </w:p>
        </w:tc>
      </w:tr>
      <w:tr w:rsidR="006E51BF" w:rsidRPr="003638E7" w14:paraId="5C381F20" w14:textId="77777777" w:rsidTr="00A418A5">
        <w:trPr>
          <w:cnfStyle w:val="000000100000" w:firstRow="0" w:lastRow="0" w:firstColumn="0" w:lastColumn="0" w:oddVBand="0" w:evenVBand="0" w:oddHBand="1" w:evenHBand="0" w:firstRowFirstColumn="0" w:firstRowLastColumn="0" w:lastRowFirstColumn="0" w:lastRowLastColumn="0"/>
          <w:trHeight w:val="270"/>
        </w:trPr>
        <w:tc>
          <w:tcPr>
            <w:tcW w:w="3372" w:type="pct"/>
            <w:tcBorders>
              <w:top w:val="single" w:sz="4" w:space="0" w:color="000000" w:themeColor="text1"/>
              <w:bottom w:val="single" w:sz="4" w:space="0" w:color="000000" w:themeColor="text1"/>
            </w:tcBorders>
            <w:noWrap/>
            <w:hideMark/>
          </w:tcPr>
          <w:p w14:paraId="612BCEC7" w14:textId="77777777" w:rsidR="006E51BF" w:rsidRPr="003638E7" w:rsidRDefault="006E51BF">
            <w:pPr>
              <w:pStyle w:val="ARfintabletextbold"/>
              <w:rPr>
                <w:lang w:eastAsia="en-AU"/>
              </w:rPr>
            </w:pPr>
            <w:r w:rsidRPr="003638E7">
              <w:rPr>
                <w:lang w:eastAsia="en-AU"/>
              </w:rPr>
              <w:t>Total current receivables</w:t>
            </w:r>
          </w:p>
        </w:tc>
        <w:tc>
          <w:tcPr>
            <w:cnfStyle w:val="000001000000" w:firstRow="0" w:lastRow="0" w:firstColumn="0" w:lastColumn="0" w:oddVBand="0" w:evenVBand="1" w:oddHBand="0" w:evenHBand="0" w:firstRowFirstColumn="0" w:firstRowLastColumn="0" w:lastRowFirstColumn="0" w:lastRowLastColumn="0"/>
            <w:tcW w:w="814" w:type="pct"/>
            <w:tcBorders>
              <w:top w:val="single" w:sz="4" w:space="0" w:color="000000" w:themeColor="text1"/>
              <w:bottom w:val="single" w:sz="4" w:space="0" w:color="000000" w:themeColor="text1"/>
            </w:tcBorders>
            <w:noWrap/>
            <w:tcMar>
              <w:right w:w="0" w:type="nil"/>
            </w:tcMar>
            <w:hideMark/>
          </w:tcPr>
          <w:p w14:paraId="68A899BB" w14:textId="77777777" w:rsidR="006E51BF" w:rsidRPr="003638E7" w:rsidRDefault="006E51BF">
            <w:pPr>
              <w:pStyle w:val="ARfintabletextboldright"/>
              <w:rPr>
                <w:lang w:eastAsia="en-AU"/>
              </w:rPr>
            </w:pPr>
            <w:r w:rsidRPr="003638E7">
              <w:rPr>
                <w:lang w:eastAsia="en-AU"/>
              </w:rPr>
              <w:t>1,252.4</w:t>
            </w:r>
          </w:p>
        </w:tc>
        <w:tc>
          <w:tcPr>
            <w:tcW w:w="814" w:type="pct"/>
            <w:tcBorders>
              <w:top w:val="single" w:sz="4" w:space="0" w:color="000000" w:themeColor="text1"/>
              <w:bottom w:val="single" w:sz="4" w:space="0" w:color="000000" w:themeColor="text1"/>
            </w:tcBorders>
            <w:noWrap/>
            <w:tcMar>
              <w:right w:w="0" w:type="nil"/>
            </w:tcMar>
            <w:hideMark/>
          </w:tcPr>
          <w:p w14:paraId="271E9B4A" w14:textId="77777777" w:rsidR="006E51BF" w:rsidRPr="003638E7"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3638E7">
              <w:rPr>
                <w:lang w:eastAsia="en-AU"/>
              </w:rPr>
              <w:t>895.0</w:t>
            </w:r>
          </w:p>
        </w:tc>
      </w:tr>
      <w:tr w:rsidR="006E51BF" w:rsidRPr="003638E7" w14:paraId="743B8DF5" w14:textId="77777777" w:rsidTr="00A418A5">
        <w:trPr>
          <w:cnfStyle w:val="000000010000" w:firstRow="0" w:lastRow="0" w:firstColumn="0" w:lastColumn="0" w:oddVBand="0" w:evenVBand="0" w:oddHBand="0" w:evenHBand="1" w:firstRowFirstColumn="0" w:firstRowLastColumn="0" w:lastRowFirstColumn="0" w:lastRowLastColumn="0"/>
          <w:trHeight w:val="270"/>
        </w:trPr>
        <w:tc>
          <w:tcPr>
            <w:tcW w:w="3372" w:type="pct"/>
            <w:tcBorders>
              <w:top w:val="single" w:sz="4" w:space="0" w:color="000000" w:themeColor="text1"/>
            </w:tcBorders>
            <w:noWrap/>
            <w:hideMark/>
          </w:tcPr>
          <w:p w14:paraId="700F0622" w14:textId="77777777" w:rsidR="006E51BF" w:rsidRPr="003638E7" w:rsidRDefault="006E51BF">
            <w:pPr>
              <w:pStyle w:val="ARfintabletextboldcoloured"/>
              <w:rPr>
                <w:lang w:eastAsia="en-AU"/>
              </w:rPr>
            </w:pPr>
            <w:r w:rsidRPr="003638E7">
              <w:rPr>
                <w:lang w:eastAsia="en-AU"/>
              </w:rPr>
              <w:t>Non-current receivables</w:t>
            </w:r>
          </w:p>
        </w:tc>
        <w:tc>
          <w:tcPr>
            <w:cnfStyle w:val="000001000000" w:firstRow="0" w:lastRow="0" w:firstColumn="0" w:lastColumn="0" w:oddVBand="0" w:evenVBand="1" w:oddHBand="0" w:evenHBand="0" w:firstRowFirstColumn="0" w:firstRowLastColumn="0" w:lastRowFirstColumn="0" w:lastRowLastColumn="0"/>
            <w:tcW w:w="814" w:type="pct"/>
            <w:tcBorders>
              <w:top w:val="single" w:sz="4" w:space="0" w:color="000000" w:themeColor="text1"/>
            </w:tcBorders>
            <w:shd w:val="clear" w:color="auto" w:fill="auto"/>
            <w:noWrap/>
            <w:tcMar>
              <w:right w:w="0" w:type="nil"/>
            </w:tcMar>
            <w:hideMark/>
          </w:tcPr>
          <w:p w14:paraId="0B6B3BB1" w14:textId="77777777" w:rsidR="006E51BF" w:rsidRPr="003638E7" w:rsidRDefault="006E51BF">
            <w:pPr>
              <w:pStyle w:val="ARfintabletextboldright"/>
              <w:rPr>
                <w:lang w:eastAsia="en-AU"/>
              </w:rPr>
            </w:pPr>
          </w:p>
        </w:tc>
        <w:tc>
          <w:tcPr>
            <w:tcW w:w="814" w:type="pct"/>
            <w:tcBorders>
              <w:top w:val="single" w:sz="4" w:space="0" w:color="000000" w:themeColor="text1"/>
            </w:tcBorders>
            <w:noWrap/>
            <w:tcMar>
              <w:right w:w="0" w:type="nil"/>
            </w:tcMar>
            <w:hideMark/>
          </w:tcPr>
          <w:p w14:paraId="2BDDBA29" w14:textId="77777777" w:rsidR="006E51BF" w:rsidRPr="003638E7"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p>
        </w:tc>
      </w:tr>
      <w:tr w:rsidR="006E51BF" w:rsidRPr="003638E7" w14:paraId="0AB8656C" w14:textId="77777777" w:rsidTr="00A418A5">
        <w:trPr>
          <w:cnfStyle w:val="000000100000" w:firstRow="0" w:lastRow="0" w:firstColumn="0" w:lastColumn="0" w:oddVBand="0" w:evenVBand="0" w:oddHBand="1" w:evenHBand="0" w:firstRowFirstColumn="0" w:firstRowLastColumn="0" w:lastRowFirstColumn="0" w:lastRowLastColumn="0"/>
          <w:trHeight w:val="270"/>
        </w:trPr>
        <w:tc>
          <w:tcPr>
            <w:tcW w:w="3372" w:type="pct"/>
            <w:tcBorders>
              <w:bottom w:val="single" w:sz="4" w:space="0" w:color="BFBFBF" w:themeColor="accent2"/>
            </w:tcBorders>
            <w:noWrap/>
            <w:hideMark/>
          </w:tcPr>
          <w:p w14:paraId="2BC1F2C1" w14:textId="77777777" w:rsidR="006E51BF" w:rsidRPr="003638E7" w:rsidRDefault="006E51BF">
            <w:pPr>
              <w:pStyle w:val="ARfintabletext"/>
              <w:rPr>
                <w:i/>
                <w:iCs/>
                <w:lang w:eastAsia="en-AU"/>
              </w:rPr>
            </w:pPr>
            <w:r w:rsidRPr="003638E7">
              <w:rPr>
                <w:i/>
                <w:iCs/>
                <w:lang w:eastAsia="en-AU"/>
              </w:rPr>
              <w:t>Statutory</w:t>
            </w:r>
          </w:p>
        </w:tc>
        <w:tc>
          <w:tcPr>
            <w:cnfStyle w:val="000001000000" w:firstRow="0" w:lastRow="0" w:firstColumn="0" w:lastColumn="0" w:oddVBand="0" w:evenVBand="1" w:oddHBand="0" w:evenHBand="0" w:firstRowFirstColumn="0" w:firstRowLastColumn="0" w:lastRowFirstColumn="0" w:lastRowLastColumn="0"/>
            <w:tcW w:w="814" w:type="pct"/>
            <w:tcBorders>
              <w:bottom w:val="single" w:sz="4" w:space="0" w:color="BFBFBF" w:themeColor="accent2"/>
            </w:tcBorders>
            <w:shd w:val="clear" w:color="auto" w:fill="auto"/>
            <w:noWrap/>
            <w:tcMar>
              <w:right w:w="0" w:type="nil"/>
            </w:tcMar>
            <w:hideMark/>
          </w:tcPr>
          <w:p w14:paraId="4A8AAE9A" w14:textId="77777777" w:rsidR="006E51BF" w:rsidRPr="003638E7" w:rsidRDefault="006E51BF">
            <w:pPr>
              <w:pStyle w:val="ARfintabletextright"/>
              <w:rPr>
                <w:lang w:eastAsia="en-AU"/>
              </w:rPr>
            </w:pPr>
          </w:p>
        </w:tc>
        <w:tc>
          <w:tcPr>
            <w:tcW w:w="814" w:type="pct"/>
            <w:tcBorders>
              <w:bottom w:val="single" w:sz="4" w:space="0" w:color="BFBFBF" w:themeColor="accent2"/>
            </w:tcBorders>
            <w:noWrap/>
            <w:tcMar>
              <w:right w:w="0" w:type="nil"/>
            </w:tcMar>
            <w:hideMark/>
          </w:tcPr>
          <w:p w14:paraId="455937A4" w14:textId="77777777" w:rsidR="006E51BF" w:rsidRPr="003638E7"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3638E7" w14:paraId="54A2F44B" w14:textId="77777777" w:rsidTr="00A418A5">
        <w:trPr>
          <w:cnfStyle w:val="000000010000" w:firstRow="0" w:lastRow="0" w:firstColumn="0" w:lastColumn="0" w:oddVBand="0" w:evenVBand="0" w:oddHBand="0" w:evenHBand="1" w:firstRowFirstColumn="0" w:firstRowLastColumn="0" w:lastRowFirstColumn="0" w:lastRowLastColumn="0"/>
          <w:trHeight w:val="270"/>
        </w:trPr>
        <w:tc>
          <w:tcPr>
            <w:tcW w:w="3372" w:type="pct"/>
            <w:tcBorders>
              <w:top w:val="single" w:sz="4" w:space="0" w:color="BFBFBF" w:themeColor="accent2"/>
              <w:bottom w:val="single" w:sz="4" w:space="0" w:color="000000" w:themeColor="text1"/>
            </w:tcBorders>
            <w:noWrap/>
            <w:hideMark/>
          </w:tcPr>
          <w:p w14:paraId="5F17A7B7" w14:textId="77777777" w:rsidR="006E51BF" w:rsidRPr="003638E7" w:rsidRDefault="006E51BF">
            <w:pPr>
              <w:pStyle w:val="ARfintabletext"/>
              <w:rPr>
                <w:lang w:eastAsia="en-AU"/>
              </w:rPr>
            </w:pPr>
            <w:r w:rsidRPr="003638E7">
              <w:rPr>
                <w:lang w:eastAsia="en-AU"/>
              </w:rPr>
              <w:t>Amounts owing from Victorian Government</w:t>
            </w:r>
          </w:p>
        </w:tc>
        <w:tc>
          <w:tcPr>
            <w:cnfStyle w:val="000001000000" w:firstRow="0" w:lastRow="0" w:firstColumn="0" w:lastColumn="0" w:oddVBand="0" w:evenVBand="1" w:oddHBand="0" w:evenHBand="0" w:firstRowFirstColumn="0" w:firstRowLastColumn="0" w:lastRowFirstColumn="0" w:lastRowLastColumn="0"/>
            <w:tcW w:w="814" w:type="pct"/>
            <w:tcBorders>
              <w:top w:val="single" w:sz="4" w:space="0" w:color="BFBFBF" w:themeColor="accent2"/>
              <w:bottom w:val="single" w:sz="4" w:space="0" w:color="000000" w:themeColor="text1"/>
            </w:tcBorders>
            <w:noWrap/>
            <w:tcMar>
              <w:right w:w="0" w:type="nil"/>
            </w:tcMar>
            <w:hideMark/>
          </w:tcPr>
          <w:p w14:paraId="2989FC43" w14:textId="77777777" w:rsidR="006E51BF" w:rsidRPr="003638E7" w:rsidRDefault="006E51BF">
            <w:pPr>
              <w:pStyle w:val="ARfintabletextright"/>
              <w:rPr>
                <w:lang w:eastAsia="en-AU"/>
              </w:rPr>
            </w:pPr>
            <w:r w:rsidRPr="003638E7">
              <w:rPr>
                <w:lang w:eastAsia="en-AU"/>
              </w:rPr>
              <w:t>102.8</w:t>
            </w:r>
          </w:p>
        </w:tc>
        <w:tc>
          <w:tcPr>
            <w:tcW w:w="814" w:type="pct"/>
            <w:tcBorders>
              <w:top w:val="single" w:sz="4" w:space="0" w:color="BFBFBF" w:themeColor="accent2"/>
              <w:bottom w:val="single" w:sz="4" w:space="0" w:color="000000" w:themeColor="text1"/>
            </w:tcBorders>
            <w:noWrap/>
            <w:tcMar>
              <w:right w:w="0" w:type="nil"/>
            </w:tcMar>
            <w:hideMark/>
          </w:tcPr>
          <w:p w14:paraId="2D9F5595" w14:textId="77777777" w:rsidR="006E51BF" w:rsidRPr="003638E7"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3638E7">
              <w:rPr>
                <w:lang w:eastAsia="en-AU"/>
              </w:rPr>
              <w:t>179.6</w:t>
            </w:r>
          </w:p>
        </w:tc>
      </w:tr>
      <w:tr w:rsidR="006E51BF" w:rsidRPr="003638E7" w14:paraId="37CDCFCE" w14:textId="77777777" w:rsidTr="00A418A5">
        <w:trPr>
          <w:cnfStyle w:val="000000100000" w:firstRow="0" w:lastRow="0" w:firstColumn="0" w:lastColumn="0" w:oddVBand="0" w:evenVBand="0" w:oddHBand="1" w:evenHBand="0" w:firstRowFirstColumn="0" w:firstRowLastColumn="0" w:lastRowFirstColumn="0" w:lastRowLastColumn="0"/>
          <w:trHeight w:val="270"/>
        </w:trPr>
        <w:tc>
          <w:tcPr>
            <w:tcW w:w="3372" w:type="pct"/>
            <w:tcBorders>
              <w:top w:val="single" w:sz="4" w:space="0" w:color="000000" w:themeColor="text1"/>
              <w:bottom w:val="single" w:sz="4" w:space="0" w:color="000000" w:themeColor="text1"/>
            </w:tcBorders>
            <w:noWrap/>
            <w:hideMark/>
          </w:tcPr>
          <w:p w14:paraId="0A82BFCF" w14:textId="77777777" w:rsidR="006E51BF" w:rsidRPr="003638E7" w:rsidRDefault="006E51BF">
            <w:pPr>
              <w:pStyle w:val="ARfintabletext"/>
              <w:rPr>
                <w:lang w:eastAsia="en-AU"/>
              </w:rPr>
            </w:pPr>
            <w:r w:rsidRPr="003638E7">
              <w:rPr>
                <w:lang w:eastAsia="en-AU"/>
              </w:rPr>
              <w:t>Total non-current receivables</w:t>
            </w:r>
          </w:p>
        </w:tc>
        <w:tc>
          <w:tcPr>
            <w:cnfStyle w:val="000001000000" w:firstRow="0" w:lastRow="0" w:firstColumn="0" w:lastColumn="0" w:oddVBand="0" w:evenVBand="1" w:oddHBand="0" w:evenHBand="0" w:firstRowFirstColumn="0" w:firstRowLastColumn="0" w:lastRowFirstColumn="0" w:lastRowLastColumn="0"/>
            <w:tcW w:w="814" w:type="pct"/>
            <w:tcBorders>
              <w:top w:val="single" w:sz="4" w:space="0" w:color="000000" w:themeColor="text1"/>
              <w:bottom w:val="single" w:sz="4" w:space="0" w:color="000000" w:themeColor="text1"/>
            </w:tcBorders>
            <w:noWrap/>
            <w:tcMar>
              <w:right w:w="0" w:type="nil"/>
            </w:tcMar>
            <w:hideMark/>
          </w:tcPr>
          <w:p w14:paraId="55052484" w14:textId="77777777" w:rsidR="006E51BF" w:rsidRPr="003638E7" w:rsidRDefault="006E51BF">
            <w:pPr>
              <w:pStyle w:val="ARfintabletextboldright"/>
              <w:rPr>
                <w:lang w:eastAsia="en-AU"/>
              </w:rPr>
            </w:pPr>
            <w:r w:rsidRPr="003638E7">
              <w:rPr>
                <w:lang w:eastAsia="en-AU"/>
              </w:rPr>
              <w:t>102.8</w:t>
            </w:r>
          </w:p>
        </w:tc>
        <w:tc>
          <w:tcPr>
            <w:tcW w:w="814" w:type="pct"/>
            <w:tcBorders>
              <w:top w:val="single" w:sz="4" w:space="0" w:color="000000" w:themeColor="text1"/>
              <w:bottom w:val="single" w:sz="4" w:space="0" w:color="000000" w:themeColor="text1"/>
            </w:tcBorders>
            <w:noWrap/>
            <w:tcMar>
              <w:right w:w="0" w:type="nil"/>
            </w:tcMar>
            <w:hideMark/>
          </w:tcPr>
          <w:p w14:paraId="4156BE42" w14:textId="77777777" w:rsidR="006E51BF" w:rsidRPr="003638E7"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3638E7">
              <w:rPr>
                <w:lang w:eastAsia="en-AU"/>
              </w:rPr>
              <w:t>179.6</w:t>
            </w:r>
          </w:p>
        </w:tc>
      </w:tr>
      <w:tr w:rsidR="006E51BF" w:rsidRPr="003638E7" w14:paraId="1843BE3D" w14:textId="77777777" w:rsidTr="00A418A5">
        <w:trPr>
          <w:cnfStyle w:val="010000000000" w:firstRow="0" w:lastRow="1" w:firstColumn="0" w:lastColumn="0" w:oddVBand="0" w:evenVBand="0" w:oddHBand="0" w:evenHBand="0" w:firstRowFirstColumn="0" w:firstRowLastColumn="0" w:lastRowFirstColumn="0" w:lastRowLastColumn="0"/>
          <w:trHeight w:val="270"/>
        </w:trPr>
        <w:tc>
          <w:tcPr>
            <w:tcW w:w="3372" w:type="pct"/>
            <w:noWrap/>
            <w:hideMark/>
          </w:tcPr>
          <w:p w14:paraId="6DA9E5E7" w14:textId="77777777" w:rsidR="006E51BF" w:rsidRPr="003638E7" w:rsidRDefault="006E51BF">
            <w:pPr>
              <w:pStyle w:val="ARfintabletextbold"/>
              <w:rPr>
                <w:lang w:eastAsia="en-AU"/>
              </w:rPr>
            </w:pPr>
            <w:r w:rsidRPr="003638E7">
              <w:rPr>
                <w:lang w:eastAsia="en-AU"/>
              </w:rPr>
              <w:t>Total receivables</w:t>
            </w:r>
          </w:p>
        </w:tc>
        <w:tc>
          <w:tcPr>
            <w:cnfStyle w:val="000001000000" w:firstRow="0" w:lastRow="0" w:firstColumn="0" w:lastColumn="0" w:oddVBand="0" w:evenVBand="1" w:oddHBand="0" w:evenHBand="0" w:firstRowFirstColumn="0" w:firstRowLastColumn="0" w:lastRowFirstColumn="0" w:lastRowLastColumn="0"/>
            <w:tcW w:w="814" w:type="pct"/>
            <w:noWrap/>
            <w:tcMar>
              <w:right w:w="0" w:type="nil"/>
            </w:tcMar>
            <w:hideMark/>
          </w:tcPr>
          <w:p w14:paraId="29E5C77B" w14:textId="77777777" w:rsidR="006E51BF" w:rsidRPr="003638E7" w:rsidRDefault="006E51BF">
            <w:pPr>
              <w:pStyle w:val="ARfintabletextboldright"/>
              <w:rPr>
                <w:lang w:eastAsia="en-AU"/>
              </w:rPr>
            </w:pPr>
            <w:r w:rsidRPr="003638E7">
              <w:rPr>
                <w:lang w:eastAsia="en-AU"/>
              </w:rPr>
              <w:t>1,355.2</w:t>
            </w:r>
          </w:p>
        </w:tc>
        <w:tc>
          <w:tcPr>
            <w:tcW w:w="814" w:type="pct"/>
            <w:noWrap/>
            <w:tcMar>
              <w:right w:w="0" w:type="nil"/>
            </w:tcMar>
            <w:hideMark/>
          </w:tcPr>
          <w:p w14:paraId="6F227732" w14:textId="77777777" w:rsidR="006E51BF" w:rsidRPr="003638E7"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3638E7">
              <w:rPr>
                <w:lang w:eastAsia="en-AU"/>
              </w:rPr>
              <w:t>1,074.6</w:t>
            </w:r>
          </w:p>
        </w:tc>
      </w:tr>
    </w:tbl>
    <w:p w14:paraId="79E5F469" w14:textId="77777777" w:rsidR="006E51BF" w:rsidRPr="003638E7" w:rsidRDefault="006E51BF">
      <w:pPr>
        <w:pStyle w:val="ARfinbodyaftertableorfigure"/>
      </w:pPr>
      <w:r w:rsidRPr="003638E7">
        <w:rPr>
          <w:rStyle w:val="Strong"/>
        </w:rPr>
        <w:t>Contractual receivables</w:t>
      </w:r>
      <w:r w:rsidRPr="003638E7">
        <w:t xml:space="preserve"> are classified as financial instruments and categorised as 'financial assets at amortised costs'. They are initially recognised at fair value plus any directly attributable transaction costs. The department holds the contractual receivables with the objective to collect the contractual cash flows and therefore </w:t>
      </w:r>
      <w:proofErr w:type="gramStart"/>
      <w:r w:rsidRPr="003638E7">
        <w:t>subsequent to</w:t>
      </w:r>
      <w:proofErr w:type="gramEnd"/>
      <w:r w:rsidRPr="003638E7">
        <w:t xml:space="preserve"> initial measurement they are measured at amortised cost using the effective interest method, less any impairment. </w:t>
      </w:r>
    </w:p>
    <w:p w14:paraId="05DE6093" w14:textId="77777777" w:rsidR="006E51BF" w:rsidRPr="003638E7" w:rsidRDefault="006E51BF">
      <w:pPr>
        <w:pStyle w:val="ARfinbody"/>
        <w:rPr>
          <w:lang w:eastAsia="en-AU"/>
        </w:rPr>
      </w:pPr>
      <w:r w:rsidRPr="003638E7">
        <w:rPr>
          <w:rStyle w:val="Strong"/>
          <w:lang w:eastAsia="en-AU"/>
        </w:rPr>
        <w:t>Statutory receivables</w:t>
      </w:r>
      <w:r w:rsidRPr="003638E7">
        <w:rPr>
          <w:lang w:eastAsia="en-AU"/>
        </w:rPr>
        <w:t xml:space="preserve"> do not arise from contracts and are recognised and measured similarly to contractual receivables (except for impairment)</w:t>
      </w:r>
      <w:r>
        <w:rPr>
          <w:lang w:eastAsia="en-AU"/>
        </w:rPr>
        <w:t xml:space="preserve"> but</w:t>
      </w:r>
      <w:r w:rsidRPr="003638E7">
        <w:rPr>
          <w:lang w:eastAsia="en-AU"/>
        </w:rPr>
        <w:t xml:space="preserve"> are not classified as financial instruments for disclosure purposes. The department applies AASB 9 for initial measurement of the statutory receivables and, as a result, statutory receivables are initially recognised at fair value plus any directly attributable transaction costs. Amounts recognised from the Victorian Government represent funding for all commitments incurred and are drawn from the Consolidated Fund as the commitments fall due. </w:t>
      </w:r>
    </w:p>
    <w:p w14:paraId="08CFE52B" w14:textId="209D8356" w:rsidR="00A418A5" w:rsidRDefault="006E51BF">
      <w:pPr>
        <w:pStyle w:val="ARfinbody"/>
        <w:rPr>
          <w:lang w:eastAsia="en-AU"/>
        </w:rPr>
      </w:pPr>
      <w:r w:rsidRPr="003638E7">
        <w:rPr>
          <w:lang w:eastAsia="en-AU"/>
        </w:rPr>
        <w:t>Details about the department's impairment policies, the department's exposure to credit risks and the calculation of the loss allowance are set out in Note 8.1.3.1.</w:t>
      </w:r>
    </w:p>
    <w:p w14:paraId="55C435CF" w14:textId="77777777" w:rsidR="00A418A5" w:rsidRDefault="00A418A5">
      <w:pPr>
        <w:spacing w:after="0" w:line="240" w:lineRule="auto"/>
        <w:rPr>
          <w:rFonts w:eastAsia="Times"/>
          <w:sz w:val="18"/>
          <w:lang w:eastAsia="en-AU"/>
        </w:rPr>
      </w:pPr>
      <w:r>
        <w:rPr>
          <w:lang w:eastAsia="en-AU"/>
        </w:rPr>
        <w:br w:type="page"/>
      </w:r>
    </w:p>
    <w:p w14:paraId="2A9769BB" w14:textId="77777777" w:rsidR="006E51BF" w:rsidRPr="00B35D4C" w:rsidRDefault="006E51BF">
      <w:pPr>
        <w:pStyle w:val="Heading4"/>
        <w:rPr>
          <w:lang w:eastAsia="en-AU"/>
        </w:rPr>
      </w:pPr>
      <w:r>
        <w:rPr>
          <w:lang w:eastAsia="en-AU"/>
        </w:rPr>
        <w:t>6.2</w:t>
      </w:r>
      <w:r>
        <w:rPr>
          <w:lang w:eastAsia="en-AU"/>
        </w:rPr>
        <w:tab/>
      </w:r>
      <w:r w:rsidRPr="00AB3442">
        <w:rPr>
          <w:lang w:eastAsia="en-AU"/>
        </w:rPr>
        <w:t>Loans</w:t>
      </w:r>
    </w:p>
    <w:tbl>
      <w:tblPr>
        <w:tblStyle w:val="ARtable1"/>
        <w:tblW w:w="5000" w:type="pct"/>
        <w:tblLayout w:type="fixed"/>
        <w:tblLook w:val="00E0" w:firstRow="1" w:lastRow="1" w:firstColumn="1" w:lastColumn="0" w:noHBand="0" w:noVBand="0"/>
      </w:tblPr>
      <w:tblGrid>
        <w:gridCol w:w="6514"/>
        <w:gridCol w:w="1556"/>
        <w:gridCol w:w="1558"/>
      </w:tblGrid>
      <w:tr w:rsidR="006E51BF" w:rsidRPr="00AB3442" w14:paraId="68C86927" w14:textId="77777777" w:rsidTr="00A418A5">
        <w:trPr>
          <w:cnfStyle w:val="100000000000" w:firstRow="1" w:lastRow="0" w:firstColumn="0" w:lastColumn="0" w:oddVBand="0" w:evenVBand="0" w:oddHBand="0" w:evenHBand="0" w:firstRowFirstColumn="0" w:firstRowLastColumn="0" w:lastRowFirstColumn="0" w:lastRowLastColumn="0"/>
          <w:trHeight w:val="20"/>
          <w:tblHeader/>
        </w:trPr>
        <w:tc>
          <w:tcPr>
            <w:tcW w:w="3383" w:type="pct"/>
            <w:noWrap/>
          </w:tcPr>
          <w:p w14:paraId="0DBFECE0" w14:textId="77777777" w:rsidR="006E51BF" w:rsidRPr="00AB3442"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16EEFADC" w14:textId="77777777" w:rsidR="006E51BF" w:rsidRPr="00AB3442" w:rsidRDefault="006E51BF">
            <w:pPr>
              <w:pStyle w:val="ARfintablecolheadright"/>
              <w:rPr>
                <w:lang w:eastAsia="en-AU"/>
              </w:rPr>
            </w:pPr>
            <w:r w:rsidRPr="00AB3442">
              <w:rPr>
                <w:lang w:eastAsia="en-AU"/>
              </w:rPr>
              <w:t>2026</w:t>
            </w:r>
          </w:p>
          <w:p w14:paraId="691A8736" w14:textId="77777777" w:rsidR="006E51BF" w:rsidRPr="00AB3442" w:rsidRDefault="006E51BF">
            <w:pPr>
              <w:pStyle w:val="ARfintablecolheadright"/>
              <w:rPr>
                <w:lang w:eastAsia="en-AU"/>
              </w:rPr>
            </w:pPr>
            <w:r w:rsidRPr="00AB3442">
              <w:rPr>
                <w:lang w:eastAsia="en-AU"/>
              </w:rPr>
              <w:t>$M</w:t>
            </w:r>
          </w:p>
        </w:tc>
        <w:tc>
          <w:tcPr>
            <w:tcW w:w="809" w:type="pct"/>
            <w:noWrap/>
            <w:tcMar>
              <w:right w:w="0" w:type="nil"/>
            </w:tcMar>
            <w:hideMark/>
          </w:tcPr>
          <w:p w14:paraId="39C212C9" w14:textId="77777777" w:rsidR="006E51BF" w:rsidRPr="00AB3442"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B3442">
              <w:rPr>
                <w:lang w:eastAsia="en-AU"/>
              </w:rPr>
              <w:t>2025</w:t>
            </w:r>
          </w:p>
          <w:p w14:paraId="65577FA2" w14:textId="77777777" w:rsidR="006E51BF" w:rsidRPr="00AB3442"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B3442">
              <w:rPr>
                <w:lang w:eastAsia="en-AU"/>
              </w:rPr>
              <w:t>$M</w:t>
            </w:r>
          </w:p>
        </w:tc>
      </w:tr>
      <w:tr w:rsidR="006E51BF" w:rsidRPr="00AB3442" w14:paraId="17D74D93" w14:textId="77777777" w:rsidTr="00A418A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6B76EE4F" w14:textId="77777777" w:rsidR="006E51BF" w:rsidRPr="00935168" w:rsidRDefault="006E51BF">
            <w:pPr>
              <w:pStyle w:val="ARfintabletextboldcoloured"/>
            </w:pPr>
            <w:r w:rsidRPr="00935168">
              <w:t xml:space="preserve">Current loans </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4CA1312D" w14:textId="77777777" w:rsidR="006E51BF" w:rsidRPr="00935168" w:rsidRDefault="006E51BF">
            <w:pPr>
              <w:pStyle w:val="ARfintabletextright"/>
            </w:pPr>
          </w:p>
        </w:tc>
        <w:tc>
          <w:tcPr>
            <w:tcW w:w="809" w:type="pct"/>
            <w:noWrap/>
            <w:tcMar>
              <w:right w:w="0" w:type="nil"/>
            </w:tcMar>
            <w:hideMark/>
          </w:tcPr>
          <w:p w14:paraId="5EE87B84" w14:textId="77777777" w:rsidR="006E51BF" w:rsidRPr="00935168"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AB3442" w14:paraId="227AC490" w14:textId="77777777" w:rsidTr="00A418A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39C7B2FB" w14:textId="77777777" w:rsidR="006E51BF" w:rsidRPr="00DC1845" w:rsidRDefault="006E51BF">
            <w:pPr>
              <w:pStyle w:val="ARfintabletext"/>
              <w:rPr>
                <w:rStyle w:val="Emphasis"/>
              </w:rPr>
            </w:pPr>
            <w:r w:rsidRPr="00DC1845">
              <w:rPr>
                <w:rStyle w:val="Emphasis"/>
              </w:rPr>
              <w:t>Contractual</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3D2A11F6" w14:textId="77777777" w:rsidR="006E51BF" w:rsidRPr="00935168" w:rsidRDefault="006E51BF">
            <w:pPr>
              <w:pStyle w:val="ARfintabletextright"/>
            </w:pPr>
          </w:p>
        </w:tc>
        <w:tc>
          <w:tcPr>
            <w:tcW w:w="809" w:type="pct"/>
            <w:noWrap/>
            <w:tcMar>
              <w:right w:w="0" w:type="nil"/>
            </w:tcMar>
            <w:hideMark/>
          </w:tcPr>
          <w:p w14:paraId="11FFEED9" w14:textId="77777777" w:rsidR="006E51BF" w:rsidRPr="00935168" w:rsidRDefault="006E51BF">
            <w:pPr>
              <w:pStyle w:val="ARfintabletextright"/>
              <w:cnfStyle w:val="000000010000" w:firstRow="0" w:lastRow="0" w:firstColumn="0" w:lastColumn="0" w:oddVBand="0" w:evenVBand="0" w:oddHBand="0" w:evenHBand="1" w:firstRowFirstColumn="0" w:firstRowLastColumn="0" w:lastRowFirstColumn="0" w:lastRowLastColumn="0"/>
            </w:pPr>
          </w:p>
        </w:tc>
      </w:tr>
      <w:tr w:rsidR="006E51BF" w:rsidRPr="00AB3442" w14:paraId="2C9842CA" w14:textId="77777777" w:rsidTr="00A418A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5AD397F6" w14:textId="77777777" w:rsidR="006E51BF" w:rsidRPr="00935168" w:rsidRDefault="006E51BF">
            <w:pPr>
              <w:pStyle w:val="ARfintabletext"/>
            </w:pPr>
            <w:r w:rsidRPr="00935168">
              <w:t>Fixed interest home loans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279956F" w14:textId="77777777" w:rsidR="006E51BF" w:rsidRPr="00935168" w:rsidRDefault="006E51BF">
            <w:pPr>
              <w:pStyle w:val="ARfintabletextright"/>
            </w:pPr>
            <w:r w:rsidRPr="00935168">
              <w:t>0.4</w:t>
            </w:r>
          </w:p>
        </w:tc>
        <w:tc>
          <w:tcPr>
            <w:tcW w:w="809" w:type="pct"/>
            <w:noWrap/>
            <w:tcMar>
              <w:right w:w="0" w:type="nil"/>
            </w:tcMar>
            <w:hideMark/>
          </w:tcPr>
          <w:p w14:paraId="0D66675E" w14:textId="77777777" w:rsidR="006E51BF" w:rsidRPr="00935168"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935168">
              <w:t>0.5</w:t>
            </w:r>
          </w:p>
        </w:tc>
      </w:tr>
      <w:tr w:rsidR="006E51BF" w:rsidRPr="00AB3442" w14:paraId="0306D451" w14:textId="77777777" w:rsidTr="00A418A5">
        <w:trPr>
          <w:cnfStyle w:val="000000010000" w:firstRow="0" w:lastRow="0" w:firstColumn="0" w:lastColumn="0" w:oddVBand="0" w:evenVBand="0" w:oddHBand="0" w:evenHBand="1" w:firstRowFirstColumn="0" w:firstRowLastColumn="0" w:lastRowFirstColumn="0" w:lastRowLastColumn="0"/>
          <w:trHeight w:val="20"/>
        </w:trPr>
        <w:tc>
          <w:tcPr>
            <w:tcW w:w="3383" w:type="pct"/>
            <w:tcBorders>
              <w:bottom w:val="single" w:sz="4" w:space="0" w:color="BFBFBF" w:themeColor="accent2"/>
            </w:tcBorders>
            <w:noWrap/>
            <w:hideMark/>
          </w:tcPr>
          <w:p w14:paraId="68470E5B" w14:textId="77777777" w:rsidR="006E51BF" w:rsidRPr="00935168" w:rsidRDefault="006E51BF">
            <w:pPr>
              <w:pStyle w:val="ARfintabletext"/>
            </w:pPr>
            <w:r w:rsidRPr="00935168">
              <w:t>Indexed interest home loans</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08FEA423" w14:textId="77777777" w:rsidR="006E51BF" w:rsidRPr="00935168" w:rsidRDefault="006E51BF">
            <w:pPr>
              <w:pStyle w:val="ARfintabletextright"/>
            </w:pPr>
            <w:r w:rsidRPr="00935168">
              <w:t>5.4</w:t>
            </w:r>
          </w:p>
        </w:tc>
        <w:tc>
          <w:tcPr>
            <w:tcW w:w="809" w:type="pct"/>
            <w:tcBorders>
              <w:bottom w:val="single" w:sz="4" w:space="0" w:color="BFBFBF" w:themeColor="accent2"/>
            </w:tcBorders>
            <w:noWrap/>
            <w:tcMar>
              <w:right w:w="0" w:type="nil"/>
            </w:tcMar>
            <w:hideMark/>
          </w:tcPr>
          <w:p w14:paraId="2BEB757C" w14:textId="77777777" w:rsidR="006E51BF" w:rsidRPr="00935168"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935168">
              <w:t>6.4</w:t>
            </w:r>
          </w:p>
        </w:tc>
      </w:tr>
      <w:tr w:rsidR="006E51BF" w:rsidRPr="00AB3442" w14:paraId="159F5C88" w14:textId="77777777" w:rsidTr="00A418A5">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noWrap/>
            <w:hideMark/>
          </w:tcPr>
          <w:p w14:paraId="380BD8BB" w14:textId="77777777" w:rsidR="006E51BF" w:rsidRPr="00935168" w:rsidRDefault="006E51BF">
            <w:pPr>
              <w:pStyle w:val="ARfintabletext"/>
            </w:pPr>
            <w:r w:rsidRPr="00935168">
              <w:t>Community housing loans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39864558" w14:textId="77777777" w:rsidR="006E51BF" w:rsidRPr="00935168" w:rsidRDefault="006E51BF">
            <w:pPr>
              <w:pStyle w:val="ARfintabletextright"/>
            </w:pPr>
            <w:r w:rsidRPr="00935168">
              <w:t>–</w:t>
            </w:r>
          </w:p>
        </w:tc>
        <w:tc>
          <w:tcPr>
            <w:tcW w:w="809" w:type="pct"/>
            <w:tcBorders>
              <w:top w:val="single" w:sz="4" w:space="0" w:color="BFBFBF" w:themeColor="accent2"/>
              <w:bottom w:val="single" w:sz="4" w:space="0" w:color="000000" w:themeColor="text1"/>
            </w:tcBorders>
            <w:noWrap/>
            <w:tcMar>
              <w:right w:w="0" w:type="nil"/>
            </w:tcMar>
            <w:hideMark/>
          </w:tcPr>
          <w:p w14:paraId="6F1F0F6B" w14:textId="77777777" w:rsidR="006E51BF" w:rsidRPr="00935168"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935168">
              <w:t>38.9</w:t>
            </w:r>
          </w:p>
        </w:tc>
      </w:tr>
      <w:tr w:rsidR="006E51BF" w:rsidRPr="00AB3442" w14:paraId="666AB144" w14:textId="77777777" w:rsidTr="00A418A5">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hideMark/>
          </w:tcPr>
          <w:p w14:paraId="1DAD8D2C" w14:textId="77777777" w:rsidR="006E51BF" w:rsidRPr="00935168" w:rsidRDefault="006E51BF">
            <w:pPr>
              <w:pStyle w:val="ARfintabletextbold"/>
            </w:pPr>
            <w:r w:rsidRPr="00935168">
              <w:t>Total current loans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260D9A91" w14:textId="77777777" w:rsidR="006E51BF" w:rsidRPr="00935168" w:rsidRDefault="006E51BF">
            <w:pPr>
              <w:pStyle w:val="ARfintabletextboldright"/>
            </w:pPr>
            <w:r w:rsidRPr="00935168">
              <w:t>5.7</w:t>
            </w:r>
          </w:p>
        </w:tc>
        <w:tc>
          <w:tcPr>
            <w:tcW w:w="809" w:type="pct"/>
            <w:tcBorders>
              <w:top w:val="single" w:sz="4" w:space="0" w:color="000000" w:themeColor="text1"/>
              <w:bottom w:val="single" w:sz="4" w:space="0" w:color="000000" w:themeColor="text1"/>
            </w:tcBorders>
            <w:noWrap/>
            <w:tcMar>
              <w:right w:w="0" w:type="nil"/>
            </w:tcMar>
            <w:hideMark/>
          </w:tcPr>
          <w:p w14:paraId="72EF6E63" w14:textId="77777777" w:rsidR="006E51BF" w:rsidRPr="00935168" w:rsidRDefault="006E51BF">
            <w:pPr>
              <w:pStyle w:val="ARfintabletextboldright"/>
              <w:cnfStyle w:val="000000010000" w:firstRow="0" w:lastRow="0" w:firstColumn="0" w:lastColumn="0" w:oddVBand="0" w:evenVBand="0" w:oddHBand="0" w:evenHBand="1" w:firstRowFirstColumn="0" w:firstRowLastColumn="0" w:lastRowFirstColumn="0" w:lastRowLastColumn="0"/>
            </w:pPr>
            <w:r w:rsidRPr="00935168">
              <w:t>45.8</w:t>
            </w:r>
          </w:p>
        </w:tc>
      </w:tr>
      <w:tr w:rsidR="006E51BF" w:rsidRPr="00AB3442" w14:paraId="0CFC4556" w14:textId="77777777" w:rsidTr="00A418A5">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tcBorders>
            <w:noWrap/>
            <w:hideMark/>
          </w:tcPr>
          <w:p w14:paraId="261F6DB9" w14:textId="77777777" w:rsidR="006E51BF" w:rsidRPr="00935168" w:rsidRDefault="006E51BF">
            <w:pPr>
              <w:pStyle w:val="ARfintabletextboldcoloured"/>
            </w:pPr>
            <w:r w:rsidRPr="00935168">
              <w:t xml:space="preserve">Non-current loans </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tcMar>
              <w:right w:w="0" w:type="nil"/>
            </w:tcMar>
            <w:hideMark/>
          </w:tcPr>
          <w:p w14:paraId="1EC11AE4" w14:textId="77777777" w:rsidR="006E51BF" w:rsidRPr="00935168" w:rsidRDefault="006E51BF">
            <w:pPr>
              <w:pStyle w:val="ARfintabletextright"/>
            </w:pPr>
          </w:p>
        </w:tc>
        <w:tc>
          <w:tcPr>
            <w:tcW w:w="809" w:type="pct"/>
            <w:tcBorders>
              <w:top w:val="single" w:sz="4" w:space="0" w:color="000000" w:themeColor="text1"/>
            </w:tcBorders>
            <w:noWrap/>
            <w:tcMar>
              <w:right w:w="0" w:type="nil"/>
            </w:tcMar>
            <w:hideMark/>
          </w:tcPr>
          <w:p w14:paraId="713157A5" w14:textId="77777777" w:rsidR="006E51BF" w:rsidRPr="00935168"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AB3442" w14:paraId="7926320B" w14:textId="77777777" w:rsidTr="00A418A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44FCB967" w14:textId="77777777" w:rsidR="006E51BF" w:rsidRPr="00DC1845" w:rsidRDefault="006E51BF">
            <w:pPr>
              <w:pStyle w:val="ARfintabletext"/>
              <w:rPr>
                <w:rStyle w:val="Emphasis"/>
              </w:rPr>
            </w:pPr>
            <w:r w:rsidRPr="00DC1845">
              <w:rPr>
                <w:rStyle w:val="Emphasis"/>
              </w:rPr>
              <w:t>Contractual</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2E6170FF" w14:textId="77777777" w:rsidR="006E51BF" w:rsidRPr="00935168" w:rsidRDefault="006E51BF">
            <w:pPr>
              <w:pStyle w:val="ARfintabletextright"/>
            </w:pPr>
          </w:p>
        </w:tc>
        <w:tc>
          <w:tcPr>
            <w:tcW w:w="809" w:type="pct"/>
            <w:noWrap/>
            <w:tcMar>
              <w:right w:w="0" w:type="nil"/>
            </w:tcMar>
            <w:hideMark/>
          </w:tcPr>
          <w:p w14:paraId="6B38B289" w14:textId="77777777" w:rsidR="006E51BF" w:rsidRPr="00935168" w:rsidRDefault="006E51BF">
            <w:pPr>
              <w:pStyle w:val="ARfintabletextright"/>
              <w:cnfStyle w:val="000000010000" w:firstRow="0" w:lastRow="0" w:firstColumn="0" w:lastColumn="0" w:oddVBand="0" w:evenVBand="0" w:oddHBand="0" w:evenHBand="1" w:firstRowFirstColumn="0" w:firstRowLastColumn="0" w:lastRowFirstColumn="0" w:lastRowLastColumn="0"/>
            </w:pPr>
          </w:p>
        </w:tc>
      </w:tr>
      <w:tr w:rsidR="006E51BF" w:rsidRPr="00AB3442" w14:paraId="6F258B3D" w14:textId="77777777" w:rsidTr="00A418A5">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495ACF00" w14:textId="77777777" w:rsidR="006E51BF" w:rsidRPr="00935168" w:rsidRDefault="006E51BF">
            <w:pPr>
              <w:pStyle w:val="ARfintabletext"/>
            </w:pPr>
            <w:r w:rsidRPr="00935168">
              <w:t>Fixed interest home loans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3BC40858" w14:textId="77777777" w:rsidR="006E51BF" w:rsidRPr="00935168" w:rsidRDefault="006E51BF">
            <w:pPr>
              <w:pStyle w:val="ARfintabletextright"/>
            </w:pPr>
            <w:r w:rsidRPr="00935168">
              <w:t>0.1</w:t>
            </w:r>
          </w:p>
        </w:tc>
        <w:tc>
          <w:tcPr>
            <w:tcW w:w="809" w:type="pct"/>
            <w:noWrap/>
            <w:tcMar>
              <w:right w:w="0" w:type="nil"/>
            </w:tcMar>
            <w:hideMark/>
          </w:tcPr>
          <w:p w14:paraId="6A80ED89" w14:textId="77777777" w:rsidR="006E51BF" w:rsidRPr="00935168"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935168">
              <w:t>0.2</w:t>
            </w:r>
          </w:p>
        </w:tc>
      </w:tr>
      <w:tr w:rsidR="006E51BF" w:rsidRPr="00AB3442" w14:paraId="733CF01F" w14:textId="77777777" w:rsidTr="00A418A5">
        <w:trPr>
          <w:cnfStyle w:val="000000010000" w:firstRow="0" w:lastRow="0" w:firstColumn="0" w:lastColumn="0" w:oddVBand="0" w:evenVBand="0" w:oddHBand="0" w:evenHBand="1" w:firstRowFirstColumn="0" w:firstRowLastColumn="0" w:lastRowFirstColumn="0" w:lastRowLastColumn="0"/>
          <w:trHeight w:val="20"/>
        </w:trPr>
        <w:tc>
          <w:tcPr>
            <w:tcW w:w="3383" w:type="pct"/>
            <w:tcBorders>
              <w:bottom w:val="single" w:sz="4" w:space="0" w:color="BFBFBF" w:themeColor="accent2"/>
            </w:tcBorders>
            <w:noWrap/>
            <w:hideMark/>
          </w:tcPr>
          <w:p w14:paraId="0E5BA7A3" w14:textId="77777777" w:rsidR="006E51BF" w:rsidRPr="00935168" w:rsidRDefault="006E51BF">
            <w:pPr>
              <w:pStyle w:val="ARfintabletext"/>
            </w:pPr>
            <w:r w:rsidRPr="00935168">
              <w:t>Indexed interest home loans</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6D3AD115" w14:textId="77777777" w:rsidR="006E51BF" w:rsidRPr="00935168" w:rsidRDefault="006E51BF">
            <w:pPr>
              <w:pStyle w:val="ARfintabletextright"/>
            </w:pPr>
            <w:r w:rsidRPr="00935168">
              <w:t>0.3</w:t>
            </w:r>
          </w:p>
        </w:tc>
        <w:tc>
          <w:tcPr>
            <w:tcW w:w="809" w:type="pct"/>
            <w:tcBorders>
              <w:bottom w:val="single" w:sz="4" w:space="0" w:color="BFBFBF" w:themeColor="accent2"/>
            </w:tcBorders>
            <w:noWrap/>
            <w:tcMar>
              <w:right w:w="0" w:type="nil"/>
            </w:tcMar>
            <w:hideMark/>
          </w:tcPr>
          <w:p w14:paraId="04740DAA" w14:textId="77777777" w:rsidR="006E51BF" w:rsidRPr="00935168"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935168">
              <w:t>0.6</w:t>
            </w:r>
          </w:p>
        </w:tc>
      </w:tr>
      <w:tr w:rsidR="006E51BF" w:rsidRPr="00AB3442" w14:paraId="02AA4A2D" w14:textId="77777777" w:rsidTr="00A418A5">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noWrap/>
            <w:hideMark/>
          </w:tcPr>
          <w:p w14:paraId="03D4CC67" w14:textId="77777777" w:rsidR="006E51BF" w:rsidRPr="00935168" w:rsidRDefault="006E51BF">
            <w:pPr>
              <w:pStyle w:val="ARfintabletext"/>
            </w:pPr>
            <w:r w:rsidRPr="00935168">
              <w:t>Community housing loans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15B237B4" w14:textId="77777777" w:rsidR="006E51BF" w:rsidRPr="00935168" w:rsidRDefault="006E51BF">
            <w:pPr>
              <w:pStyle w:val="ARfintabletextright"/>
            </w:pPr>
            <w:r w:rsidRPr="00935168">
              <w:t>20.2</w:t>
            </w:r>
          </w:p>
        </w:tc>
        <w:tc>
          <w:tcPr>
            <w:tcW w:w="809" w:type="pct"/>
            <w:tcBorders>
              <w:top w:val="single" w:sz="4" w:space="0" w:color="BFBFBF" w:themeColor="accent2"/>
              <w:bottom w:val="single" w:sz="4" w:space="0" w:color="000000" w:themeColor="text1"/>
            </w:tcBorders>
            <w:noWrap/>
            <w:tcMar>
              <w:right w:w="0" w:type="nil"/>
            </w:tcMar>
            <w:hideMark/>
          </w:tcPr>
          <w:p w14:paraId="710FB547" w14:textId="77777777" w:rsidR="006E51BF" w:rsidRPr="00935168"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935168">
              <w:t>20.2</w:t>
            </w:r>
          </w:p>
        </w:tc>
      </w:tr>
      <w:tr w:rsidR="006E51BF" w:rsidRPr="00AB3442" w14:paraId="2544F648" w14:textId="77777777" w:rsidTr="00A418A5">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hideMark/>
          </w:tcPr>
          <w:p w14:paraId="59EC4AAE" w14:textId="77777777" w:rsidR="006E51BF" w:rsidRPr="00935168" w:rsidRDefault="006E51BF">
            <w:pPr>
              <w:pStyle w:val="ARfintabletextbold"/>
            </w:pPr>
            <w:r w:rsidRPr="00935168">
              <w:t xml:space="preserve">Total non-current loans </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58F9E71A" w14:textId="77777777" w:rsidR="006E51BF" w:rsidRPr="00935168" w:rsidRDefault="006E51BF">
            <w:pPr>
              <w:pStyle w:val="ARfintabletextboldright"/>
            </w:pPr>
            <w:r w:rsidRPr="00935168">
              <w:t>20.6</w:t>
            </w:r>
          </w:p>
        </w:tc>
        <w:tc>
          <w:tcPr>
            <w:tcW w:w="809" w:type="pct"/>
            <w:tcBorders>
              <w:top w:val="single" w:sz="4" w:space="0" w:color="000000" w:themeColor="text1"/>
              <w:bottom w:val="single" w:sz="4" w:space="0" w:color="000000" w:themeColor="text1"/>
            </w:tcBorders>
            <w:noWrap/>
            <w:tcMar>
              <w:right w:w="0" w:type="nil"/>
            </w:tcMar>
            <w:hideMark/>
          </w:tcPr>
          <w:p w14:paraId="0623C4E3" w14:textId="77777777" w:rsidR="006E51BF" w:rsidRPr="00935168" w:rsidRDefault="006E51BF">
            <w:pPr>
              <w:pStyle w:val="ARfintabletextboldright"/>
              <w:cnfStyle w:val="000000010000" w:firstRow="0" w:lastRow="0" w:firstColumn="0" w:lastColumn="0" w:oddVBand="0" w:evenVBand="0" w:oddHBand="0" w:evenHBand="1" w:firstRowFirstColumn="0" w:firstRowLastColumn="0" w:lastRowFirstColumn="0" w:lastRowLastColumn="0"/>
            </w:pPr>
            <w:r w:rsidRPr="00935168">
              <w:t>21.0</w:t>
            </w:r>
          </w:p>
        </w:tc>
      </w:tr>
      <w:tr w:rsidR="006E51BF" w:rsidRPr="00AB3442" w14:paraId="69DAFE5F" w14:textId="77777777" w:rsidTr="00A418A5">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tcBorders>
            <w:noWrap/>
          </w:tcPr>
          <w:p w14:paraId="61A8FC60" w14:textId="77777777" w:rsidR="006E51BF" w:rsidRPr="00935168" w:rsidRDefault="006E51BF">
            <w:pPr>
              <w:pStyle w:val="ARfintabletextboldcoloured"/>
            </w:pPr>
            <w:r w:rsidRPr="00935168">
              <w:t>Less allowance for impairment losses of contractual loans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tcMar>
              <w:right w:w="0" w:type="nil"/>
            </w:tcMar>
          </w:tcPr>
          <w:p w14:paraId="2AE6CF02" w14:textId="77777777" w:rsidR="006E51BF" w:rsidRPr="00935168" w:rsidRDefault="006E51BF">
            <w:pPr>
              <w:pStyle w:val="ARfintabletextright"/>
            </w:pPr>
          </w:p>
        </w:tc>
        <w:tc>
          <w:tcPr>
            <w:tcW w:w="809" w:type="pct"/>
            <w:tcBorders>
              <w:top w:val="single" w:sz="4" w:space="0" w:color="000000" w:themeColor="text1"/>
            </w:tcBorders>
            <w:noWrap/>
            <w:tcMar>
              <w:right w:w="0" w:type="nil"/>
            </w:tcMar>
          </w:tcPr>
          <w:p w14:paraId="73A05B49" w14:textId="77777777" w:rsidR="006E51BF" w:rsidRPr="00935168"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AB3442" w14:paraId="609FAF4B" w14:textId="77777777" w:rsidTr="00A418A5">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115D7049" w14:textId="77777777" w:rsidR="006E51BF" w:rsidRPr="00935168" w:rsidRDefault="006E51BF">
            <w:pPr>
              <w:pStyle w:val="ARfintabletext"/>
            </w:pPr>
            <w:r w:rsidRPr="00935168">
              <w:t>Indexed interest home loans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48A957F7" w14:textId="77777777" w:rsidR="006E51BF" w:rsidRPr="00935168" w:rsidRDefault="006E51BF">
            <w:pPr>
              <w:pStyle w:val="ARfintabletextright"/>
            </w:pPr>
            <w:r w:rsidRPr="00935168">
              <w:t>(0.1)</w:t>
            </w:r>
          </w:p>
        </w:tc>
        <w:tc>
          <w:tcPr>
            <w:tcW w:w="809" w:type="pct"/>
            <w:noWrap/>
            <w:tcMar>
              <w:right w:w="0" w:type="nil"/>
            </w:tcMar>
            <w:hideMark/>
          </w:tcPr>
          <w:p w14:paraId="23A08875" w14:textId="77777777" w:rsidR="006E51BF" w:rsidRPr="00935168"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935168">
              <w:t>(0.1)</w:t>
            </w:r>
          </w:p>
        </w:tc>
      </w:tr>
      <w:tr w:rsidR="006E51BF" w:rsidRPr="00AB3442" w14:paraId="2B623456" w14:textId="77777777" w:rsidTr="00A418A5">
        <w:trPr>
          <w:cnfStyle w:val="000000100000" w:firstRow="0" w:lastRow="0" w:firstColumn="0" w:lastColumn="0" w:oddVBand="0" w:evenVBand="0" w:oddHBand="1" w:evenHBand="0" w:firstRowFirstColumn="0" w:firstRowLastColumn="0" w:lastRowFirstColumn="0" w:lastRowLastColumn="0"/>
          <w:trHeight w:val="20"/>
        </w:trPr>
        <w:tc>
          <w:tcPr>
            <w:tcW w:w="3383" w:type="pct"/>
            <w:noWrap/>
          </w:tcPr>
          <w:p w14:paraId="6914B253" w14:textId="77777777" w:rsidR="006E51BF" w:rsidRPr="00935168" w:rsidRDefault="006E51BF">
            <w:pPr>
              <w:pStyle w:val="ARfintabletext"/>
            </w:pPr>
            <w:r w:rsidRPr="00935168">
              <w:t>Total allowance for impairment losses of contractual loans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tcPr>
          <w:p w14:paraId="5A0A1170" w14:textId="77777777" w:rsidR="006E51BF" w:rsidRPr="00935168" w:rsidRDefault="006E51BF">
            <w:pPr>
              <w:pStyle w:val="ARfintabletextright"/>
            </w:pPr>
            <w:r w:rsidRPr="00935168">
              <w:t>(0.1)</w:t>
            </w:r>
          </w:p>
        </w:tc>
        <w:tc>
          <w:tcPr>
            <w:tcW w:w="809" w:type="pct"/>
            <w:noWrap/>
            <w:tcMar>
              <w:right w:w="0" w:type="nil"/>
            </w:tcMar>
          </w:tcPr>
          <w:p w14:paraId="4F4BD61F" w14:textId="77777777" w:rsidR="006E51BF" w:rsidRPr="00935168"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935168">
              <w:t>(0.1)</w:t>
            </w:r>
          </w:p>
        </w:tc>
      </w:tr>
      <w:tr w:rsidR="006E51BF" w:rsidRPr="00AB3442" w14:paraId="2ADB38C1" w14:textId="77777777" w:rsidTr="00A418A5">
        <w:trPr>
          <w:cnfStyle w:val="010000000000" w:firstRow="0" w:lastRow="1" w:firstColumn="0" w:lastColumn="0" w:oddVBand="0" w:evenVBand="0" w:oddHBand="0" w:evenHBand="0" w:firstRowFirstColumn="0" w:firstRowLastColumn="0" w:lastRowFirstColumn="0" w:lastRowLastColumn="0"/>
          <w:trHeight w:val="20"/>
        </w:trPr>
        <w:tc>
          <w:tcPr>
            <w:tcW w:w="3383" w:type="pct"/>
            <w:noWrap/>
            <w:hideMark/>
          </w:tcPr>
          <w:p w14:paraId="717E8F3F" w14:textId="77777777" w:rsidR="006E51BF" w:rsidRPr="00935168" w:rsidRDefault="006E51BF">
            <w:pPr>
              <w:pStyle w:val="ARfintabletextbold"/>
            </w:pPr>
            <w:r w:rsidRPr="00935168">
              <w:t xml:space="preserve">Total loans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1F4A5315" w14:textId="77777777" w:rsidR="006E51BF" w:rsidRPr="00935168" w:rsidRDefault="006E51BF">
            <w:pPr>
              <w:pStyle w:val="ARfintabletextboldright"/>
            </w:pPr>
            <w:r w:rsidRPr="00935168">
              <w:t>26.2</w:t>
            </w:r>
          </w:p>
        </w:tc>
        <w:tc>
          <w:tcPr>
            <w:tcW w:w="809" w:type="pct"/>
            <w:noWrap/>
            <w:tcMar>
              <w:right w:w="0" w:type="nil"/>
            </w:tcMar>
            <w:hideMark/>
          </w:tcPr>
          <w:p w14:paraId="01621563" w14:textId="77777777" w:rsidR="006E51BF" w:rsidRPr="00935168" w:rsidRDefault="006E51BF">
            <w:pPr>
              <w:pStyle w:val="ARfintabletextboldright"/>
              <w:cnfStyle w:val="010000000000" w:firstRow="0" w:lastRow="1" w:firstColumn="0" w:lastColumn="0" w:oddVBand="0" w:evenVBand="0" w:oddHBand="0" w:evenHBand="0" w:firstRowFirstColumn="0" w:firstRowLastColumn="0" w:lastRowFirstColumn="0" w:lastRowLastColumn="0"/>
            </w:pPr>
            <w:r w:rsidRPr="00935168">
              <w:t>66.7</w:t>
            </w:r>
          </w:p>
        </w:tc>
      </w:tr>
    </w:tbl>
    <w:p w14:paraId="371D0A06" w14:textId="77777777" w:rsidR="006E51BF" w:rsidRPr="00AB3442" w:rsidRDefault="006E51BF">
      <w:pPr>
        <w:pStyle w:val="ARfinbodyaftertableorfigure"/>
      </w:pPr>
      <w:r w:rsidRPr="00AB3442">
        <w:t xml:space="preserve">The department’s loans are related to housing loan programs that are no longer active. </w:t>
      </w:r>
      <w:proofErr w:type="gramStart"/>
      <w:r w:rsidRPr="00AB3442">
        <w:t>The majority of</w:t>
      </w:r>
      <w:proofErr w:type="gramEnd"/>
      <w:r w:rsidRPr="00AB3442">
        <w:t xml:space="preserve"> these housing loans are secured by a registered mortgage. However, there are a small number of loans that are on terms incorporated in the contracts of sale. Whilst the title remains in the name of the vendor, Homes Victoria has claim to the title until the amount owing under the contract of sale is paid in full.</w:t>
      </w:r>
    </w:p>
    <w:p w14:paraId="70165936" w14:textId="77777777" w:rsidR="006E51BF" w:rsidRPr="00AB3442" w:rsidRDefault="006E51BF">
      <w:pPr>
        <w:pStyle w:val="ARfinbody"/>
        <w:rPr>
          <w:rFonts w:ascii="Times New Roman" w:hAnsi="Times New Roman"/>
          <w:lang w:eastAsia="en-AU"/>
        </w:rPr>
      </w:pPr>
      <w:r w:rsidRPr="00AB3442">
        <w:rPr>
          <w:lang w:eastAsia="en-AU"/>
        </w:rPr>
        <w:t xml:space="preserve">Loans are initially recognised at fair value plus any directly attributable transaction costs. </w:t>
      </w:r>
      <w:proofErr w:type="gramStart"/>
      <w:r w:rsidRPr="00AB3442">
        <w:rPr>
          <w:lang w:eastAsia="en-AU"/>
        </w:rPr>
        <w:t>Subsequent to</w:t>
      </w:r>
      <w:proofErr w:type="gramEnd"/>
      <w:r w:rsidRPr="00AB3442">
        <w:rPr>
          <w:lang w:eastAsia="en-AU"/>
        </w:rPr>
        <w:t xml:space="preserve"> initial measurement they are measured at amortised cost using the effective interest method, less any impairment.</w:t>
      </w:r>
    </w:p>
    <w:p w14:paraId="24696AA6" w14:textId="77777777" w:rsidR="006E51BF" w:rsidRDefault="006E51BF">
      <w:pPr>
        <w:pStyle w:val="ARfinbody"/>
        <w:rPr>
          <w:lang w:eastAsia="en-AU"/>
        </w:rPr>
      </w:pPr>
      <w:r w:rsidRPr="00DC1845">
        <w:rPr>
          <w:rStyle w:val="Strong"/>
        </w:rPr>
        <w:t>Defaults and breaches:</w:t>
      </w:r>
      <w:r w:rsidRPr="00AB3442">
        <w:rPr>
          <w:lang w:eastAsia="en-AU"/>
        </w:rPr>
        <w:t xml:space="preserve"> During the current and prior year, there were no defaults and breaches of any of the loans.</w:t>
      </w:r>
    </w:p>
    <w:p w14:paraId="7B2D29DC" w14:textId="77777777" w:rsidR="006E51BF" w:rsidRPr="00AE42D6" w:rsidRDefault="006E51BF">
      <w:pPr>
        <w:pStyle w:val="Heading4"/>
        <w:rPr>
          <w:lang w:eastAsia="en-AU"/>
        </w:rPr>
      </w:pPr>
      <w:r w:rsidRPr="00AE42D6">
        <w:rPr>
          <w:lang w:eastAsia="en-AU"/>
        </w:rPr>
        <w:t xml:space="preserve">6.3 </w:t>
      </w:r>
      <w:r>
        <w:rPr>
          <w:lang w:eastAsia="en-AU"/>
        </w:rPr>
        <w:tab/>
      </w:r>
      <w:r w:rsidRPr="00AE42D6">
        <w:rPr>
          <w:lang w:eastAsia="en-AU"/>
        </w:rPr>
        <w:t>Payables</w:t>
      </w:r>
    </w:p>
    <w:tbl>
      <w:tblPr>
        <w:tblStyle w:val="ARtable1"/>
        <w:tblW w:w="5000" w:type="pct"/>
        <w:tblLook w:val="00E0" w:firstRow="1" w:lastRow="1" w:firstColumn="1" w:lastColumn="0" w:noHBand="0" w:noVBand="0"/>
      </w:tblPr>
      <w:tblGrid>
        <w:gridCol w:w="6514"/>
        <w:gridCol w:w="1556"/>
        <w:gridCol w:w="1558"/>
      </w:tblGrid>
      <w:tr w:rsidR="006E51BF" w:rsidRPr="00AE42D6" w14:paraId="495C54D7" w14:textId="77777777" w:rsidTr="00304BA9">
        <w:trPr>
          <w:cnfStyle w:val="100000000000" w:firstRow="1" w:lastRow="0" w:firstColumn="0" w:lastColumn="0" w:oddVBand="0" w:evenVBand="0" w:oddHBand="0" w:evenHBand="0" w:firstRowFirstColumn="0" w:firstRowLastColumn="0" w:lastRowFirstColumn="0" w:lastRowLastColumn="0"/>
          <w:trHeight w:val="20"/>
          <w:tblHeader/>
        </w:trPr>
        <w:tc>
          <w:tcPr>
            <w:tcW w:w="3383" w:type="pct"/>
            <w:noWrap/>
          </w:tcPr>
          <w:p w14:paraId="0EABC8AC" w14:textId="77777777" w:rsidR="006E51BF" w:rsidRPr="00AE42D6"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6F3E29C0" w14:textId="77777777" w:rsidR="006E51BF" w:rsidRPr="00AE42D6" w:rsidRDefault="006E51BF">
            <w:pPr>
              <w:pStyle w:val="ARfintablecolheadright"/>
              <w:rPr>
                <w:lang w:eastAsia="en-AU"/>
              </w:rPr>
            </w:pPr>
            <w:r w:rsidRPr="00AE42D6">
              <w:rPr>
                <w:lang w:eastAsia="en-AU"/>
              </w:rPr>
              <w:t>2026</w:t>
            </w:r>
          </w:p>
          <w:p w14:paraId="3ED49E97" w14:textId="77777777" w:rsidR="006E51BF" w:rsidRPr="00AE42D6" w:rsidRDefault="006E51BF">
            <w:pPr>
              <w:pStyle w:val="ARfintablecolheadright"/>
              <w:rPr>
                <w:lang w:eastAsia="en-AU"/>
              </w:rPr>
            </w:pPr>
            <w:r w:rsidRPr="00AE42D6">
              <w:rPr>
                <w:lang w:eastAsia="en-AU"/>
              </w:rPr>
              <w:t>$M</w:t>
            </w:r>
          </w:p>
        </w:tc>
        <w:tc>
          <w:tcPr>
            <w:tcW w:w="809" w:type="pct"/>
            <w:noWrap/>
            <w:tcMar>
              <w:right w:w="0" w:type="nil"/>
            </w:tcMar>
            <w:hideMark/>
          </w:tcPr>
          <w:p w14:paraId="7DD4D9CC" w14:textId="77777777" w:rsidR="006E51BF" w:rsidRPr="00AE42D6"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E42D6">
              <w:rPr>
                <w:lang w:eastAsia="en-AU"/>
              </w:rPr>
              <w:t>2025</w:t>
            </w:r>
          </w:p>
          <w:p w14:paraId="69B46A3B" w14:textId="77777777" w:rsidR="006E51BF" w:rsidRPr="00AE42D6"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E42D6">
              <w:rPr>
                <w:lang w:eastAsia="en-AU"/>
              </w:rPr>
              <w:t>$M</w:t>
            </w:r>
          </w:p>
        </w:tc>
      </w:tr>
      <w:tr w:rsidR="006E51BF" w:rsidRPr="00AE42D6" w14:paraId="52771A07"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762F9C29" w14:textId="77777777" w:rsidR="006E51BF" w:rsidRPr="00A00580" w:rsidRDefault="006E51BF">
            <w:pPr>
              <w:pStyle w:val="ARfintabletextboldcoloured"/>
            </w:pPr>
            <w:r w:rsidRPr="00A00580">
              <w:t>Current payables</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1B86CBDB" w14:textId="77777777" w:rsidR="006E51BF" w:rsidRPr="00A00580" w:rsidRDefault="006E51BF">
            <w:pPr>
              <w:pStyle w:val="ARfintabletextright"/>
            </w:pPr>
          </w:p>
        </w:tc>
        <w:tc>
          <w:tcPr>
            <w:tcW w:w="809" w:type="pct"/>
            <w:noWrap/>
            <w:tcMar>
              <w:right w:w="0" w:type="nil"/>
            </w:tcMar>
            <w:hideMark/>
          </w:tcPr>
          <w:p w14:paraId="1D4746E2" w14:textId="77777777" w:rsidR="006E51BF" w:rsidRPr="00A00580"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AE42D6" w14:paraId="14987BC9"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3E2E54C9" w14:textId="77777777" w:rsidR="006E51BF" w:rsidRPr="00A00580" w:rsidRDefault="006E51BF">
            <w:pPr>
              <w:pStyle w:val="ARfintabletext"/>
              <w:rPr>
                <w:rStyle w:val="Emphasis"/>
              </w:rPr>
            </w:pPr>
            <w:r w:rsidRPr="00A00580">
              <w:rPr>
                <w:rStyle w:val="Emphasis"/>
              </w:rPr>
              <w:t>Statutory</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12777F7C" w14:textId="77777777" w:rsidR="006E51BF" w:rsidRPr="00A00580" w:rsidRDefault="006E51BF">
            <w:pPr>
              <w:pStyle w:val="ARfintabletextright"/>
            </w:pPr>
          </w:p>
        </w:tc>
        <w:tc>
          <w:tcPr>
            <w:tcW w:w="809" w:type="pct"/>
            <w:noWrap/>
            <w:tcMar>
              <w:right w:w="0" w:type="nil"/>
            </w:tcMar>
            <w:hideMark/>
          </w:tcPr>
          <w:p w14:paraId="0D627112" w14:textId="77777777" w:rsidR="006E51BF" w:rsidRPr="00A00580" w:rsidRDefault="006E51BF">
            <w:pPr>
              <w:pStyle w:val="ARfintabletextright"/>
              <w:cnfStyle w:val="000000010000" w:firstRow="0" w:lastRow="0" w:firstColumn="0" w:lastColumn="0" w:oddVBand="0" w:evenVBand="0" w:oddHBand="0" w:evenHBand="1" w:firstRowFirstColumn="0" w:firstRowLastColumn="0" w:lastRowFirstColumn="0" w:lastRowLastColumn="0"/>
            </w:pPr>
          </w:p>
        </w:tc>
      </w:tr>
      <w:tr w:rsidR="006E51BF" w:rsidRPr="00AE42D6" w14:paraId="11133F24"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38D182FF" w14:textId="77777777" w:rsidR="006E51BF" w:rsidRPr="00A00580" w:rsidRDefault="006E51BF">
            <w:pPr>
              <w:pStyle w:val="ARfintabletext"/>
            </w:pPr>
            <w:r w:rsidRPr="00A00580">
              <w:t>FBT payable</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589B3439" w14:textId="77777777" w:rsidR="006E51BF" w:rsidRPr="00A00580" w:rsidRDefault="006E51BF">
            <w:pPr>
              <w:pStyle w:val="ARfintabletextright"/>
            </w:pPr>
            <w:r w:rsidRPr="00A00580">
              <w:t>1.2</w:t>
            </w:r>
          </w:p>
        </w:tc>
        <w:tc>
          <w:tcPr>
            <w:tcW w:w="809" w:type="pct"/>
            <w:noWrap/>
            <w:tcMar>
              <w:right w:w="0" w:type="nil"/>
            </w:tcMar>
            <w:hideMark/>
          </w:tcPr>
          <w:p w14:paraId="552F4267" w14:textId="77777777" w:rsidR="006E51BF" w:rsidRPr="00A00580"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A00580">
              <w:t>0.9</w:t>
            </w:r>
          </w:p>
        </w:tc>
      </w:tr>
      <w:tr w:rsidR="006E51BF" w:rsidRPr="00AE42D6" w14:paraId="1DCF804A"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2A69F3C3" w14:textId="77777777" w:rsidR="006E51BF" w:rsidRPr="00BE2D13" w:rsidRDefault="006E51BF">
            <w:pPr>
              <w:pStyle w:val="ARfintabletext"/>
              <w:rPr>
                <w:rStyle w:val="Emphasis"/>
              </w:rPr>
            </w:pPr>
            <w:r w:rsidRPr="00BE2D13">
              <w:rPr>
                <w:rStyle w:val="Emphasis"/>
              </w:rPr>
              <w:t>Contractual</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3DB955B5" w14:textId="77777777" w:rsidR="006E51BF" w:rsidRPr="00A00580" w:rsidRDefault="006E51BF">
            <w:pPr>
              <w:pStyle w:val="ARfintabletextright"/>
            </w:pPr>
          </w:p>
        </w:tc>
        <w:tc>
          <w:tcPr>
            <w:tcW w:w="809" w:type="pct"/>
            <w:noWrap/>
            <w:tcMar>
              <w:right w:w="0" w:type="nil"/>
            </w:tcMar>
            <w:hideMark/>
          </w:tcPr>
          <w:p w14:paraId="0A19E0BE" w14:textId="77777777" w:rsidR="006E51BF" w:rsidRPr="00A00580" w:rsidRDefault="006E51BF">
            <w:pPr>
              <w:pStyle w:val="ARfintabletextright"/>
              <w:cnfStyle w:val="000000010000" w:firstRow="0" w:lastRow="0" w:firstColumn="0" w:lastColumn="0" w:oddVBand="0" w:evenVBand="0" w:oddHBand="0" w:evenHBand="1" w:firstRowFirstColumn="0" w:firstRowLastColumn="0" w:lastRowFirstColumn="0" w:lastRowLastColumn="0"/>
            </w:pPr>
          </w:p>
        </w:tc>
      </w:tr>
      <w:tr w:rsidR="006E51BF" w:rsidRPr="00AE42D6" w14:paraId="0FE4620E"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3C795141" w14:textId="77777777" w:rsidR="006E51BF" w:rsidRPr="00A00580" w:rsidRDefault="006E51BF">
            <w:pPr>
              <w:pStyle w:val="ARfintabletext"/>
            </w:pPr>
            <w:r w:rsidRPr="00A00580">
              <w:t xml:space="preserve">Employee benefits payable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152EF133" w14:textId="77777777" w:rsidR="006E51BF" w:rsidRPr="00A00580" w:rsidRDefault="006E51BF">
            <w:pPr>
              <w:pStyle w:val="ARfintabletextright"/>
            </w:pPr>
            <w:r w:rsidRPr="00A00580">
              <w:t>24.4</w:t>
            </w:r>
          </w:p>
        </w:tc>
        <w:tc>
          <w:tcPr>
            <w:tcW w:w="809" w:type="pct"/>
            <w:noWrap/>
            <w:tcMar>
              <w:right w:w="0" w:type="nil"/>
            </w:tcMar>
            <w:hideMark/>
          </w:tcPr>
          <w:p w14:paraId="44E7E90D" w14:textId="77777777" w:rsidR="006E51BF" w:rsidRPr="00A00580"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A00580">
              <w:t>18.2</w:t>
            </w:r>
          </w:p>
        </w:tc>
      </w:tr>
      <w:tr w:rsidR="006E51BF" w:rsidRPr="00AE42D6" w14:paraId="2177CFE1"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47926DC1" w14:textId="77777777" w:rsidR="006E51BF" w:rsidRPr="00A00580" w:rsidRDefault="006E51BF">
            <w:pPr>
              <w:pStyle w:val="ARfintabletext"/>
            </w:pPr>
            <w:r w:rsidRPr="00A00580">
              <w:t>Supplies and services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57896791" w14:textId="77777777" w:rsidR="006E51BF" w:rsidRPr="00A00580" w:rsidRDefault="006E51BF">
            <w:pPr>
              <w:pStyle w:val="ARfintabletextright"/>
            </w:pPr>
            <w:r w:rsidRPr="00A00580">
              <w:t>88.6</w:t>
            </w:r>
          </w:p>
        </w:tc>
        <w:tc>
          <w:tcPr>
            <w:tcW w:w="809" w:type="pct"/>
            <w:noWrap/>
            <w:tcMar>
              <w:right w:w="0" w:type="nil"/>
            </w:tcMar>
            <w:hideMark/>
          </w:tcPr>
          <w:p w14:paraId="4D571971" w14:textId="77777777" w:rsidR="006E51BF" w:rsidRPr="00A00580"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A00580">
              <w:t>127.9</w:t>
            </w:r>
          </w:p>
        </w:tc>
      </w:tr>
      <w:tr w:rsidR="006E51BF" w:rsidRPr="00AE42D6" w14:paraId="6479DFD6"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0C6EBDB0" w14:textId="77777777" w:rsidR="006E51BF" w:rsidRPr="00A00580" w:rsidRDefault="006E51BF">
            <w:pPr>
              <w:pStyle w:val="ARfintabletext"/>
            </w:pPr>
            <w:r w:rsidRPr="00A00580">
              <w:t>Amounts payable to external agencies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F6FBF57" w14:textId="77777777" w:rsidR="006E51BF" w:rsidRPr="00A00580" w:rsidRDefault="006E51BF">
            <w:pPr>
              <w:pStyle w:val="ARfintabletextright"/>
            </w:pPr>
            <w:r w:rsidRPr="00A00580">
              <w:t>33.4</w:t>
            </w:r>
          </w:p>
        </w:tc>
        <w:tc>
          <w:tcPr>
            <w:tcW w:w="809" w:type="pct"/>
            <w:noWrap/>
            <w:tcMar>
              <w:right w:w="0" w:type="nil"/>
            </w:tcMar>
            <w:hideMark/>
          </w:tcPr>
          <w:p w14:paraId="4D0C1B23" w14:textId="77777777" w:rsidR="006E51BF" w:rsidRPr="00A00580"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A00580">
              <w:t>44.3</w:t>
            </w:r>
          </w:p>
        </w:tc>
      </w:tr>
      <w:tr w:rsidR="006E51BF" w:rsidRPr="00AE42D6" w14:paraId="120DD4A0"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328CF194" w14:textId="77777777" w:rsidR="006E51BF" w:rsidRPr="00A00580" w:rsidRDefault="006E51BF">
            <w:pPr>
              <w:pStyle w:val="ARfintabletext"/>
            </w:pPr>
            <w:r w:rsidRPr="00A00580">
              <w:t xml:space="preserve">Concession payments to pensioners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641C96A0" w14:textId="77777777" w:rsidR="006E51BF" w:rsidRPr="00A00580" w:rsidRDefault="006E51BF">
            <w:pPr>
              <w:pStyle w:val="ARfintabletextright"/>
            </w:pPr>
            <w:r w:rsidRPr="00A00580">
              <w:t>166.8</w:t>
            </w:r>
          </w:p>
        </w:tc>
        <w:tc>
          <w:tcPr>
            <w:tcW w:w="809" w:type="pct"/>
            <w:noWrap/>
            <w:tcMar>
              <w:right w:w="0" w:type="nil"/>
            </w:tcMar>
            <w:hideMark/>
          </w:tcPr>
          <w:p w14:paraId="37CB6C7D" w14:textId="77777777" w:rsidR="006E51BF" w:rsidRPr="00A00580"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A00580">
              <w:t>133.0</w:t>
            </w:r>
          </w:p>
        </w:tc>
      </w:tr>
      <w:tr w:rsidR="006E51BF" w:rsidRPr="00AE42D6" w14:paraId="5F12BFA0"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tcBorders>
              <w:bottom w:val="single" w:sz="4" w:space="0" w:color="BFBFBF" w:themeColor="accent2"/>
            </w:tcBorders>
            <w:noWrap/>
            <w:hideMark/>
          </w:tcPr>
          <w:p w14:paraId="37A2B01A" w14:textId="77777777" w:rsidR="006E51BF" w:rsidRPr="00A00580" w:rsidRDefault="006E51BF">
            <w:pPr>
              <w:pStyle w:val="ARfintabletext"/>
            </w:pPr>
            <w:r w:rsidRPr="00A00580">
              <w:t>Tenants in advance</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774AB533" w14:textId="77777777" w:rsidR="006E51BF" w:rsidRPr="00A00580" w:rsidRDefault="006E51BF">
            <w:pPr>
              <w:pStyle w:val="ARfintabletextright"/>
            </w:pPr>
            <w:r w:rsidRPr="00A00580">
              <w:t>33.6</w:t>
            </w:r>
          </w:p>
        </w:tc>
        <w:tc>
          <w:tcPr>
            <w:tcW w:w="809" w:type="pct"/>
            <w:tcBorders>
              <w:bottom w:val="single" w:sz="4" w:space="0" w:color="BFBFBF" w:themeColor="accent2"/>
            </w:tcBorders>
            <w:noWrap/>
            <w:tcMar>
              <w:right w:w="0" w:type="nil"/>
            </w:tcMar>
            <w:hideMark/>
          </w:tcPr>
          <w:p w14:paraId="08166AFA" w14:textId="77777777" w:rsidR="006E51BF" w:rsidRPr="00A00580"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A00580">
              <w:t>31.9</w:t>
            </w:r>
          </w:p>
        </w:tc>
      </w:tr>
      <w:tr w:rsidR="006E51BF" w:rsidRPr="00AE42D6" w14:paraId="3F8179E4"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noWrap/>
            <w:hideMark/>
          </w:tcPr>
          <w:p w14:paraId="6D4E4FEA" w14:textId="77777777" w:rsidR="006E51BF" w:rsidRPr="00A00580" w:rsidRDefault="006E51BF">
            <w:pPr>
              <w:pStyle w:val="ARfintabletext"/>
            </w:pPr>
            <w:r w:rsidRPr="00A00580">
              <w:t>Other</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705CA856" w14:textId="77777777" w:rsidR="006E51BF" w:rsidRPr="00A00580" w:rsidRDefault="006E51BF">
            <w:pPr>
              <w:pStyle w:val="ARfintabletextright"/>
            </w:pPr>
            <w:r w:rsidRPr="00A00580">
              <w:t>139.0</w:t>
            </w:r>
          </w:p>
        </w:tc>
        <w:tc>
          <w:tcPr>
            <w:tcW w:w="809" w:type="pct"/>
            <w:tcBorders>
              <w:top w:val="single" w:sz="4" w:space="0" w:color="BFBFBF" w:themeColor="accent2"/>
              <w:bottom w:val="single" w:sz="4" w:space="0" w:color="000000" w:themeColor="text1"/>
            </w:tcBorders>
            <w:noWrap/>
            <w:tcMar>
              <w:right w:w="0" w:type="nil"/>
            </w:tcMar>
            <w:hideMark/>
          </w:tcPr>
          <w:p w14:paraId="2DB2CD7A" w14:textId="77777777" w:rsidR="006E51BF" w:rsidRPr="00A00580"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A00580">
              <w:t>93.6</w:t>
            </w:r>
          </w:p>
        </w:tc>
      </w:tr>
      <w:tr w:rsidR="006E51BF" w:rsidRPr="00AE42D6" w14:paraId="713BF255"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hideMark/>
          </w:tcPr>
          <w:p w14:paraId="652DFEFC" w14:textId="77777777" w:rsidR="006E51BF" w:rsidRPr="00A00580" w:rsidRDefault="006E51BF">
            <w:pPr>
              <w:pStyle w:val="ARfintabletextbold"/>
            </w:pPr>
            <w:r w:rsidRPr="00A00580">
              <w:t>Total current payables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309BFD9D" w14:textId="77777777" w:rsidR="006E51BF" w:rsidRPr="00A00580" w:rsidRDefault="006E51BF">
            <w:pPr>
              <w:pStyle w:val="ARfintabletextboldright"/>
            </w:pPr>
            <w:r w:rsidRPr="00A00580">
              <w:t>487.0</w:t>
            </w:r>
          </w:p>
        </w:tc>
        <w:tc>
          <w:tcPr>
            <w:tcW w:w="809" w:type="pct"/>
            <w:tcBorders>
              <w:top w:val="single" w:sz="4" w:space="0" w:color="000000" w:themeColor="text1"/>
              <w:bottom w:val="single" w:sz="4" w:space="0" w:color="000000" w:themeColor="text1"/>
            </w:tcBorders>
            <w:noWrap/>
            <w:tcMar>
              <w:right w:w="0" w:type="nil"/>
            </w:tcMar>
            <w:hideMark/>
          </w:tcPr>
          <w:p w14:paraId="6B5D315F" w14:textId="77777777" w:rsidR="006E51BF" w:rsidRPr="00A00580" w:rsidRDefault="006E51BF">
            <w:pPr>
              <w:pStyle w:val="ARfintabletextboldright"/>
              <w:cnfStyle w:val="000000100000" w:firstRow="0" w:lastRow="0" w:firstColumn="0" w:lastColumn="0" w:oddVBand="0" w:evenVBand="0" w:oddHBand="1" w:evenHBand="0" w:firstRowFirstColumn="0" w:firstRowLastColumn="0" w:lastRowFirstColumn="0" w:lastRowLastColumn="0"/>
            </w:pPr>
            <w:r w:rsidRPr="00A00580">
              <w:t>449.8</w:t>
            </w:r>
          </w:p>
        </w:tc>
      </w:tr>
      <w:tr w:rsidR="006E51BF" w:rsidRPr="00AE42D6" w14:paraId="522D1D37"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tcBorders>
            <w:noWrap/>
            <w:hideMark/>
          </w:tcPr>
          <w:p w14:paraId="23CCAB94" w14:textId="77777777" w:rsidR="006E51BF" w:rsidRPr="00A00580" w:rsidRDefault="006E51BF">
            <w:pPr>
              <w:pStyle w:val="ARfintabletextboldcoloured"/>
            </w:pPr>
            <w:r w:rsidRPr="00A00580">
              <w:t>Non-current payables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tcMar>
              <w:right w:w="0" w:type="nil"/>
            </w:tcMar>
            <w:hideMark/>
          </w:tcPr>
          <w:p w14:paraId="7DDF1A9D" w14:textId="77777777" w:rsidR="006E51BF" w:rsidRPr="00A00580" w:rsidRDefault="006E51BF">
            <w:pPr>
              <w:pStyle w:val="ARfintabletextright"/>
            </w:pPr>
          </w:p>
        </w:tc>
        <w:tc>
          <w:tcPr>
            <w:tcW w:w="809" w:type="pct"/>
            <w:tcBorders>
              <w:top w:val="single" w:sz="4" w:space="0" w:color="000000" w:themeColor="text1"/>
            </w:tcBorders>
            <w:noWrap/>
            <w:tcMar>
              <w:right w:w="0" w:type="nil"/>
            </w:tcMar>
            <w:hideMark/>
          </w:tcPr>
          <w:p w14:paraId="730CEEAB" w14:textId="77777777" w:rsidR="006E51BF" w:rsidRPr="00A00580" w:rsidRDefault="006E51BF">
            <w:pPr>
              <w:pStyle w:val="ARfintabletextright"/>
              <w:cnfStyle w:val="000000010000" w:firstRow="0" w:lastRow="0" w:firstColumn="0" w:lastColumn="0" w:oddVBand="0" w:evenVBand="0" w:oddHBand="0" w:evenHBand="1" w:firstRowFirstColumn="0" w:firstRowLastColumn="0" w:lastRowFirstColumn="0" w:lastRowLastColumn="0"/>
            </w:pPr>
          </w:p>
        </w:tc>
      </w:tr>
      <w:tr w:rsidR="006E51BF" w:rsidRPr="00AE42D6" w14:paraId="7C18A39B"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tcBorders>
              <w:bottom w:val="single" w:sz="4" w:space="0" w:color="BFBFBF" w:themeColor="accent2"/>
            </w:tcBorders>
            <w:noWrap/>
            <w:hideMark/>
          </w:tcPr>
          <w:p w14:paraId="27C6B401" w14:textId="77777777" w:rsidR="006E51BF" w:rsidRPr="00BE2D13" w:rsidRDefault="006E51BF">
            <w:pPr>
              <w:pStyle w:val="ARfintabletext"/>
              <w:rPr>
                <w:rStyle w:val="Emphasis"/>
              </w:rPr>
            </w:pPr>
            <w:r w:rsidRPr="00BE2D13">
              <w:rPr>
                <w:rStyle w:val="Emphasis"/>
              </w:rPr>
              <w:t>Contractual</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shd w:val="clear" w:color="auto" w:fill="auto"/>
            <w:noWrap/>
            <w:tcMar>
              <w:right w:w="0" w:type="nil"/>
            </w:tcMar>
            <w:hideMark/>
          </w:tcPr>
          <w:p w14:paraId="0CF448DB" w14:textId="77777777" w:rsidR="006E51BF" w:rsidRPr="00A00580" w:rsidRDefault="006E51BF">
            <w:pPr>
              <w:pStyle w:val="ARfintabletextright"/>
            </w:pPr>
          </w:p>
        </w:tc>
        <w:tc>
          <w:tcPr>
            <w:tcW w:w="809" w:type="pct"/>
            <w:tcBorders>
              <w:bottom w:val="single" w:sz="4" w:space="0" w:color="BFBFBF" w:themeColor="accent2"/>
            </w:tcBorders>
            <w:noWrap/>
            <w:tcMar>
              <w:right w:w="0" w:type="nil"/>
            </w:tcMar>
            <w:hideMark/>
          </w:tcPr>
          <w:p w14:paraId="129BBFC5" w14:textId="77777777" w:rsidR="006E51BF" w:rsidRPr="00A00580"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AE42D6" w14:paraId="71CF82D6"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noWrap/>
            <w:hideMark/>
          </w:tcPr>
          <w:p w14:paraId="5849769B" w14:textId="77777777" w:rsidR="006E51BF" w:rsidRPr="00A00580" w:rsidRDefault="006E51BF">
            <w:pPr>
              <w:pStyle w:val="ARfintabletext"/>
            </w:pPr>
            <w:r w:rsidRPr="00A00580">
              <w:t>Other</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1557F78C" w14:textId="77777777" w:rsidR="006E51BF" w:rsidRPr="001F0A4C" w:rsidRDefault="006E51BF">
            <w:pPr>
              <w:pStyle w:val="ARfintabletextright"/>
            </w:pPr>
            <w:r w:rsidRPr="001F0A4C">
              <w:t>–</w:t>
            </w:r>
          </w:p>
        </w:tc>
        <w:tc>
          <w:tcPr>
            <w:tcW w:w="809" w:type="pct"/>
            <w:tcBorders>
              <w:top w:val="single" w:sz="4" w:space="0" w:color="BFBFBF" w:themeColor="accent2"/>
              <w:bottom w:val="single" w:sz="4" w:space="0" w:color="000000" w:themeColor="text1"/>
            </w:tcBorders>
            <w:noWrap/>
            <w:tcMar>
              <w:right w:w="0" w:type="nil"/>
            </w:tcMar>
            <w:hideMark/>
          </w:tcPr>
          <w:p w14:paraId="6AC0642A" w14:textId="77777777" w:rsidR="006E51BF" w:rsidRPr="00A00580"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A00580">
              <w:t>0.8</w:t>
            </w:r>
          </w:p>
        </w:tc>
      </w:tr>
      <w:tr w:rsidR="006E51BF" w:rsidRPr="00AE42D6" w14:paraId="69BC9913"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tcPr>
          <w:p w14:paraId="40DB34F1" w14:textId="77777777" w:rsidR="006E51BF" w:rsidRPr="00A00580" w:rsidRDefault="006E51BF">
            <w:pPr>
              <w:pStyle w:val="ARfintabletextbold"/>
            </w:pPr>
            <w:r w:rsidRPr="00A00580">
              <w:t>Total non-current payables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tcPr>
          <w:p w14:paraId="348ADC4A" w14:textId="77777777" w:rsidR="006E51BF" w:rsidRPr="001F0A4C" w:rsidRDefault="006E51BF">
            <w:pPr>
              <w:pStyle w:val="ARfintabletextboldright"/>
            </w:pPr>
            <w:r w:rsidRPr="001F0A4C">
              <w:t>–</w:t>
            </w:r>
          </w:p>
        </w:tc>
        <w:tc>
          <w:tcPr>
            <w:tcW w:w="809" w:type="pct"/>
            <w:tcBorders>
              <w:top w:val="single" w:sz="4" w:space="0" w:color="000000" w:themeColor="text1"/>
              <w:bottom w:val="single" w:sz="4" w:space="0" w:color="000000" w:themeColor="text1"/>
            </w:tcBorders>
            <w:noWrap/>
            <w:tcMar>
              <w:right w:w="0" w:type="nil"/>
            </w:tcMar>
          </w:tcPr>
          <w:p w14:paraId="4E31DB73" w14:textId="77777777" w:rsidR="006E51BF" w:rsidRPr="00A00580" w:rsidRDefault="006E51BF">
            <w:pPr>
              <w:pStyle w:val="ARfintabletextboldright"/>
              <w:cnfStyle w:val="000000100000" w:firstRow="0" w:lastRow="0" w:firstColumn="0" w:lastColumn="0" w:oddVBand="0" w:evenVBand="0" w:oddHBand="1" w:evenHBand="0" w:firstRowFirstColumn="0" w:firstRowLastColumn="0" w:lastRowFirstColumn="0" w:lastRowLastColumn="0"/>
            </w:pPr>
            <w:r w:rsidRPr="00A00580">
              <w:t>0.8</w:t>
            </w:r>
          </w:p>
        </w:tc>
      </w:tr>
      <w:tr w:rsidR="006E51BF" w:rsidRPr="00AE42D6" w14:paraId="0F90CDDF"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3383" w:type="pct"/>
            <w:noWrap/>
            <w:hideMark/>
          </w:tcPr>
          <w:p w14:paraId="034966FE" w14:textId="77777777" w:rsidR="006E51BF" w:rsidRPr="00A00580" w:rsidRDefault="006E51BF">
            <w:pPr>
              <w:pStyle w:val="ARfintabletextbold"/>
            </w:pPr>
            <w:r w:rsidRPr="00A00580">
              <w:t>Total payables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3200BFC4" w14:textId="77777777" w:rsidR="006E51BF" w:rsidRPr="00A00580" w:rsidRDefault="006E51BF">
            <w:pPr>
              <w:pStyle w:val="ARfintabletextboldright"/>
            </w:pPr>
            <w:r w:rsidRPr="00A00580">
              <w:t>487.0</w:t>
            </w:r>
          </w:p>
        </w:tc>
        <w:tc>
          <w:tcPr>
            <w:tcW w:w="809" w:type="pct"/>
            <w:noWrap/>
            <w:tcMar>
              <w:right w:w="0" w:type="nil"/>
            </w:tcMar>
            <w:hideMark/>
          </w:tcPr>
          <w:p w14:paraId="61C9A376" w14:textId="77777777" w:rsidR="006E51BF" w:rsidRPr="00A00580" w:rsidRDefault="006E51BF">
            <w:pPr>
              <w:pStyle w:val="ARfintabletextboldright"/>
              <w:cnfStyle w:val="010000000000" w:firstRow="0" w:lastRow="1" w:firstColumn="0" w:lastColumn="0" w:oddVBand="0" w:evenVBand="0" w:oddHBand="0" w:evenHBand="0" w:firstRowFirstColumn="0" w:firstRowLastColumn="0" w:lastRowFirstColumn="0" w:lastRowLastColumn="0"/>
            </w:pPr>
            <w:r w:rsidRPr="00A00580">
              <w:t>450.6</w:t>
            </w:r>
          </w:p>
        </w:tc>
      </w:tr>
    </w:tbl>
    <w:p w14:paraId="41369BFC" w14:textId="77777777" w:rsidR="006E51BF" w:rsidRDefault="006E51BF">
      <w:pPr>
        <w:pStyle w:val="ARfinbody"/>
        <w:rPr>
          <w:lang w:eastAsia="en-AU"/>
        </w:rPr>
      </w:pPr>
      <w:r>
        <w:br w:type="page"/>
      </w:r>
    </w:p>
    <w:p w14:paraId="670AE052" w14:textId="77777777" w:rsidR="006E51BF" w:rsidRDefault="006E51BF">
      <w:pPr>
        <w:pStyle w:val="ARfinbody"/>
      </w:pPr>
      <w:r w:rsidRPr="00AE42D6">
        <w:t>Payables consist of:</w:t>
      </w:r>
    </w:p>
    <w:p w14:paraId="274C9876" w14:textId="652E2AF2" w:rsidR="006E51BF" w:rsidRDefault="006E51BF" w:rsidP="006E51BF">
      <w:pPr>
        <w:pStyle w:val="ARfinbullet1"/>
        <w:numPr>
          <w:ilvl w:val="0"/>
          <w:numId w:val="13"/>
        </w:numPr>
        <w:ind w:left="284" w:hanging="284"/>
      </w:pPr>
      <w:r w:rsidRPr="00AE42D6">
        <w:rPr>
          <w:b/>
          <w:bCs/>
        </w:rPr>
        <w:t>contractual payables</w:t>
      </w:r>
      <w:r w:rsidRPr="00AE42D6">
        <w:t xml:space="preserve"> classified as financial instruments and measured at amortised cost. Accounts payable represent liabilities for goods and services provided to the department prior to the end of the reporting period that are</w:t>
      </w:r>
      <w:r w:rsidR="00437809">
        <w:t> </w:t>
      </w:r>
      <w:r w:rsidRPr="00AE42D6">
        <w:t>unpaid, and</w:t>
      </w:r>
    </w:p>
    <w:p w14:paraId="4081A535" w14:textId="7F71DC42" w:rsidR="006E51BF" w:rsidRPr="00AE42D6" w:rsidRDefault="006E51BF" w:rsidP="006E51BF">
      <w:pPr>
        <w:pStyle w:val="ARfinbullet1"/>
        <w:numPr>
          <w:ilvl w:val="0"/>
          <w:numId w:val="13"/>
        </w:numPr>
        <w:ind w:left="284" w:hanging="284"/>
      </w:pPr>
      <w:r w:rsidRPr="00AE42D6">
        <w:rPr>
          <w:b/>
          <w:bCs/>
        </w:rPr>
        <w:t>statutory payables</w:t>
      </w:r>
      <w:r w:rsidRPr="00AE42D6">
        <w:t xml:space="preserve">, that are recognised and measured similarly to contractual </w:t>
      </w:r>
      <w:proofErr w:type="gramStart"/>
      <w:r w:rsidRPr="00AE42D6">
        <w:t>payables, but</w:t>
      </w:r>
      <w:proofErr w:type="gramEnd"/>
      <w:r w:rsidRPr="00AE42D6">
        <w:t xml:space="preserve"> are not classified as</w:t>
      </w:r>
      <w:r w:rsidR="00437809">
        <w:t> </w:t>
      </w:r>
      <w:r w:rsidRPr="00AE42D6">
        <w:t>financial instruments and are not included in financial liabilities at amortised cost, because they do not arise from</w:t>
      </w:r>
      <w:r w:rsidR="00437809">
        <w:t> </w:t>
      </w:r>
      <w:r w:rsidRPr="00AE42D6">
        <w:t>a</w:t>
      </w:r>
      <w:r w:rsidR="00437809">
        <w:t> </w:t>
      </w:r>
      <w:r w:rsidRPr="00AE42D6">
        <w:t xml:space="preserve">contract. </w:t>
      </w:r>
    </w:p>
    <w:p w14:paraId="48ABC0E3" w14:textId="77777777" w:rsidR="006E51BF" w:rsidRPr="00AE42D6" w:rsidRDefault="006E51BF">
      <w:pPr>
        <w:pStyle w:val="ARfinbody"/>
        <w:rPr>
          <w:lang w:eastAsia="en-AU"/>
        </w:rPr>
      </w:pPr>
      <w:r w:rsidRPr="00AE42D6">
        <w:rPr>
          <w:lang w:eastAsia="en-AU"/>
        </w:rPr>
        <w:t xml:space="preserve">Payables for supplies and services have an average credit period of 30 days. </w:t>
      </w:r>
    </w:p>
    <w:p w14:paraId="0013AE1E" w14:textId="77777777" w:rsidR="006E51BF" w:rsidRPr="00AE42D6" w:rsidRDefault="006E51BF">
      <w:pPr>
        <w:pStyle w:val="ARfinbody"/>
        <w:rPr>
          <w:lang w:eastAsia="en-AU"/>
        </w:rPr>
      </w:pPr>
      <w:r w:rsidRPr="00AE42D6">
        <w:rPr>
          <w:lang w:eastAsia="en-AU"/>
        </w:rPr>
        <w:t xml:space="preserve">The terms and conditions of amounts payable to the government and agencies vary according to the </w:t>
      </w:r>
      <w:proofErr w:type="gramStart"/>
      <w:r w:rsidRPr="00AE42D6">
        <w:rPr>
          <w:lang w:eastAsia="en-AU"/>
        </w:rPr>
        <w:t>particular agreements</w:t>
      </w:r>
      <w:proofErr w:type="gramEnd"/>
      <w:r w:rsidRPr="00AE42D6">
        <w:rPr>
          <w:lang w:eastAsia="en-AU"/>
        </w:rPr>
        <w:t xml:space="preserve"> and as they are not legislative payables, they are not classified as financial instruments.</w:t>
      </w:r>
    </w:p>
    <w:p w14:paraId="0E0B6CB9" w14:textId="77777777" w:rsidR="006E51BF" w:rsidRPr="00AE42D6" w:rsidRDefault="006E51BF">
      <w:pPr>
        <w:pStyle w:val="Heading5"/>
        <w:rPr>
          <w:lang w:eastAsia="en-AU"/>
        </w:rPr>
      </w:pPr>
      <w:r w:rsidRPr="00AE42D6">
        <w:rPr>
          <w:lang w:eastAsia="en-AU"/>
        </w:rPr>
        <w:t xml:space="preserve">6.3.1 </w:t>
      </w:r>
      <w:r>
        <w:rPr>
          <w:lang w:eastAsia="en-AU"/>
        </w:rPr>
        <w:tab/>
      </w:r>
      <w:r w:rsidRPr="00AE42D6">
        <w:rPr>
          <w:lang w:eastAsia="en-AU"/>
        </w:rPr>
        <w:t xml:space="preserve">Maturity analysis of contractual payables </w:t>
      </w:r>
      <w:r w:rsidRPr="00AE42D6">
        <w:rPr>
          <w:vertAlign w:val="superscript"/>
          <w:lang w:eastAsia="en-AU"/>
        </w:rPr>
        <w:t>(</w:t>
      </w:r>
      <w:proofErr w:type="spellStart"/>
      <w:r w:rsidRPr="00AE42D6">
        <w:rPr>
          <w:vertAlign w:val="superscript"/>
          <w:lang w:eastAsia="en-AU"/>
        </w:rPr>
        <w:t>i</w:t>
      </w:r>
      <w:proofErr w:type="spellEnd"/>
      <w:r w:rsidRPr="00AE42D6">
        <w:rPr>
          <w:vertAlign w:val="superscript"/>
          <w:lang w:eastAsia="en-AU"/>
        </w:rPr>
        <w:t>)</w:t>
      </w:r>
    </w:p>
    <w:tbl>
      <w:tblPr>
        <w:tblStyle w:val="ARtable1"/>
        <w:tblW w:w="5000" w:type="pct"/>
        <w:tblLook w:val="00E0" w:firstRow="1" w:lastRow="1" w:firstColumn="1" w:lastColumn="0" w:noHBand="0" w:noVBand="0"/>
      </w:tblPr>
      <w:tblGrid>
        <w:gridCol w:w="2127"/>
        <w:gridCol w:w="1287"/>
        <w:gridCol w:w="1288"/>
        <w:gridCol w:w="1130"/>
        <w:gridCol w:w="951"/>
        <w:gridCol w:w="951"/>
        <w:gridCol w:w="947"/>
        <w:gridCol w:w="947"/>
      </w:tblGrid>
      <w:tr w:rsidR="006E51BF" w:rsidRPr="00AE42D6" w14:paraId="317D6A76" w14:textId="77777777" w:rsidTr="00304BA9">
        <w:trPr>
          <w:cnfStyle w:val="100000000000" w:firstRow="1" w:lastRow="0" w:firstColumn="0" w:lastColumn="0" w:oddVBand="0" w:evenVBand="0" w:oddHBand="0" w:evenHBand="0" w:firstRowFirstColumn="0" w:firstRowLastColumn="0" w:lastRowFirstColumn="0" w:lastRowLastColumn="0"/>
          <w:trHeight w:val="20"/>
          <w:tblHeader/>
        </w:trPr>
        <w:tc>
          <w:tcPr>
            <w:tcW w:w="1104" w:type="pct"/>
            <w:hideMark/>
          </w:tcPr>
          <w:p w14:paraId="4380019A" w14:textId="77777777" w:rsidR="006E51BF" w:rsidRPr="00AE42D6" w:rsidRDefault="006E51BF">
            <w:pPr>
              <w:spacing w:after="0" w:line="240" w:lineRule="auto"/>
              <w:rPr>
                <w:rFonts w:ascii="Verdana" w:hAnsi="Verdana" w:cs="Arial"/>
                <w:b/>
                <w:bCs/>
                <w:color w:val="000000"/>
                <w:sz w:val="20"/>
                <w:lang w:eastAsia="en-AU"/>
              </w:rPr>
            </w:pPr>
          </w:p>
        </w:tc>
        <w:tc>
          <w:tcPr>
            <w:cnfStyle w:val="000001000000" w:firstRow="0" w:lastRow="0" w:firstColumn="0" w:lastColumn="0" w:oddVBand="0" w:evenVBand="1" w:oddHBand="0" w:evenHBand="0" w:firstRowFirstColumn="0" w:firstRowLastColumn="0" w:lastRowFirstColumn="0" w:lastRowLastColumn="0"/>
            <w:tcW w:w="668" w:type="pct"/>
            <w:tcMar>
              <w:right w:w="0" w:type="nil"/>
            </w:tcMar>
            <w:hideMark/>
          </w:tcPr>
          <w:p w14:paraId="20CA568D" w14:textId="77777777" w:rsidR="006E51BF" w:rsidRPr="00AE42D6" w:rsidRDefault="006E51BF">
            <w:pPr>
              <w:pStyle w:val="ARfintablecolheadright"/>
              <w:rPr>
                <w:lang w:eastAsia="en-AU"/>
              </w:rPr>
            </w:pPr>
            <w:r w:rsidRPr="00AE42D6">
              <w:rPr>
                <w:lang w:eastAsia="en-AU"/>
              </w:rPr>
              <w:t>Carrying</w:t>
            </w:r>
            <w:r w:rsidRPr="00AE42D6">
              <w:rPr>
                <w:lang w:eastAsia="en-AU"/>
              </w:rPr>
              <w:br/>
              <w:t>amount</w:t>
            </w:r>
          </w:p>
          <w:p w14:paraId="0D671E64" w14:textId="77777777" w:rsidR="006E51BF" w:rsidRPr="00AE42D6" w:rsidRDefault="006E51BF">
            <w:pPr>
              <w:pStyle w:val="ARfintablecolheadright"/>
              <w:rPr>
                <w:lang w:eastAsia="en-AU"/>
              </w:rPr>
            </w:pPr>
            <w:r w:rsidRPr="00AE42D6">
              <w:rPr>
                <w:lang w:eastAsia="en-AU"/>
              </w:rPr>
              <w:t>$M</w:t>
            </w:r>
          </w:p>
        </w:tc>
        <w:tc>
          <w:tcPr>
            <w:tcW w:w="669" w:type="pct"/>
            <w:tcMar>
              <w:right w:w="0" w:type="nil"/>
            </w:tcMar>
            <w:hideMark/>
          </w:tcPr>
          <w:p w14:paraId="48059A86" w14:textId="77777777" w:rsidR="006E51BF" w:rsidRPr="00AE42D6"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E42D6">
              <w:rPr>
                <w:lang w:eastAsia="en-AU"/>
              </w:rPr>
              <w:t>Nominal</w:t>
            </w:r>
            <w:r w:rsidRPr="00AE42D6">
              <w:rPr>
                <w:lang w:eastAsia="en-AU"/>
              </w:rPr>
              <w:br/>
              <w:t>amount</w:t>
            </w:r>
          </w:p>
          <w:p w14:paraId="1A05E95D" w14:textId="77777777" w:rsidR="006E51BF" w:rsidRPr="00AE42D6"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E42D6">
              <w:rPr>
                <w:lang w:eastAsia="en-AU"/>
              </w:rPr>
              <w:t>$M</w:t>
            </w:r>
          </w:p>
        </w:tc>
        <w:tc>
          <w:tcPr>
            <w:cnfStyle w:val="000001000000" w:firstRow="0" w:lastRow="0" w:firstColumn="0" w:lastColumn="0" w:oddVBand="0" w:evenVBand="1" w:oddHBand="0" w:evenHBand="0" w:firstRowFirstColumn="0" w:firstRowLastColumn="0" w:lastRowFirstColumn="0" w:lastRowLastColumn="0"/>
            <w:tcW w:w="587" w:type="pct"/>
            <w:tcBorders>
              <w:top w:val="single" w:sz="4" w:space="0" w:color="000000" w:themeColor="text1"/>
            </w:tcBorders>
            <w:tcMar>
              <w:right w:w="0" w:type="nil"/>
            </w:tcMar>
            <w:hideMark/>
          </w:tcPr>
          <w:p w14:paraId="76FE82A8" w14:textId="7157FEE4" w:rsidR="00E24E79" w:rsidRDefault="00E24E79">
            <w:pPr>
              <w:pStyle w:val="ARfintablecolheadright"/>
              <w:rPr>
                <w:lang w:eastAsia="en-AU"/>
              </w:rPr>
            </w:pPr>
            <w:r w:rsidRPr="00AE42D6">
              <w:rPr>
                <w:lang w:eastAsia="en-AU"/>
              </w:rPr>
              <w:t>Maturity dates</w:t>
            </w:r>
          </w:p>
          <w:p w14:paraId="6FD650BA" w14:textId="2607095A" w:rsidR="006E51BF" w:rsidRPr="00AE42D6" w:rsidRDefault="006E51BF">
            <w:pPr>
              <w:pStyle w:val="ARfintablecolheadright"/>
              <w:rPr>
                <w:lang w:eastAsia="en-AU"/>
              </w:rPr>
            </w:pPr>
            <w:r w:rsidRPr="00AE42D6">
              <w:rPr>
                <w:lang w:eastAsia="en-AU"/>
              </w:rPr>
              <w:t xml:space="preserve">Less than </w:t>
            </w:r>
            <w:r w:rsidR="00437809">
              <w:rPr>
                <w:lang w:eastAsia="en-AU"/>
              </w:rPr>
              <w:br/>
            </w:r>
            <w:r w:rsidRPr="00AE42D6">
              <w:rPr>
                <w:lang w:eastAsia="en-AU"/>
              </w:rPr>
              <w:t>1 month</w:t>
            </w:r>
          </w:p>
          <w:p w14:paraId="0BE3D567" w14:textId="77777777" w:rsidR="006E51BF" w:rsidRPr="00AE42D6" w:rsidRDefault="006E51BF">
            <w:pPr>
              <w:pStyle w:val="ARfintablecolheadright"/>
              <w:rPr>
                <w:lang w:eastAsia="en-AU"/>
              </w:rPr>
            </w:pPr>
            <w:r w:rsidRPr="00AE42D6">
              <w:rPr>
                <w:lang w:eastAsia="en-AU"/>
              </w:rPr>
              <w:t>$M</w:t>
            </w:r>
          </w:p>
        </w:tc>
        <w:tc>
          <w:tcPr>
            <w:tcW w:w="494" w:type="pct"/>
            <w:tcBorders>
              <w:top w:val="single" w:sz="4" w:space="0" w:color="000000" w:themeColor="text1"/>
            </w:tcBorders>
            <w:shd w:val="clear" w:color="auto" w:fill="E7E6E6" w:themeFill="background2"/>
            <w:tcMar>
              <w:right w:w="0" w:type="nil"/>
            </w:tcMar>
            <w:hideMark/>
          </w:tcPr>
          <w:p w14:paraId="71767CE3" w14:textId="57DA66B0" w:rsidR="00E24E79" w:rsidRDefault="00E24E79">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E42D6">
              <w:rPr>
                <w:lang w:eastAsia="en-AU"/>
              </w:rPr>
              <w:t>Maturity dates</w:t>
            </w:r>
          </w:p>
          <w:p w14:paraId="3E7E7E33" w14:textId="1CE75361" w:rsidR="006E51BF" w:rsidRPr="00AE42D6"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E42D6">
              <w:rPr>
                <w:lang w:eastAsia="en-AU"/>
              </w:rPr>
              <w:t>1</w:t>
            </w:r>
            <w:r w:rsidRPr="001F0A4C">
              <w:t>–</w:t>
            </w:r>
            <w:r w:rsidRPr="00AE42D6">
              <w:rPr>
                <w:lang w:eastAsia="en-AU"/>
              </w:rPr>
              <w:t>3 months</w:t>
            </w:r>
          </w:p>
          <w:p w14:paraId="15BC43B2" w14:textId="77777777" w:rsidR="006E51BF" w:rsidRPr="00AE42D6"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E42D6">
              <w:rPr>
                <w:lang w:eastAsia="en-AU"/>
              </w:rPr>
              <w:t>$M</w:t>
            </w:r>
          </w:p>
        </w:tc>
        <w:tc>
          <w:tcPr>
            <w:cnfStyle w:val="000001000000" w:firstRow="0" w:lastRow="0" w:firstColumn="0" w:lastColumn="0" w:oddVBand="0" w:evenVBand="1" w:oddHBand="0" w:evenHBand="0" w:firstRowFirstColumn="0" w:firstRowLastColumn="0" w:lastRowFirstColumn="0" w:lastRowLastColumn="0"/>
            <w:tcW w:w="494" w:type="pct"/>
            <w:tcBorders>
              <w:top w:val="single" w:sz="4" w:space="0" w:color="000000" w:themeColor="text1"/>
            </w:tcBorders>
            <w:shd w:val="clear" w:color="auto" w:fill="E7E6E6" w:themeFill="background2"/>
            <w:tcMar>
              <w:right w:w="0" w:type="nil"/>
            </w:tcMar>
            <w:hideMark/>
          </w:tcPr>
          <w:p w14:paraId="085AEDF9" w14:textId="70A2637F" w:rsidR="00E24E79" w:rsidRDefault="00E24E79">
            <w:pPr>
              <w:pStyle w:val="ARfintablecolheadright"/>
              <w:rPr>
                <w:lang w:eastAsia="en-AU"/>
              </w:rPr>
            </w:pPr>
            <w:r w:rsidRPr="00AE42D6">
              <w:rPr>
                <w:lang w:eastAsia="en-AU"/>
              </w:rPr>
              <w:t>Maturity dates</w:t>
            </w:r>
          </w:p>
          <w:p w14:paraId="727DBCFB" w14:textId="69A209B2" w:rsidR="006E51BF" w:rsidRPr="00AE42D6" w:rsidRDefault="006E51BF">
            <w:pPr>
              <w:pStyle w:val="ARfintablecolheadright"/>
              <w:rPr>
                <w:lang w:eastAsia="en-AU"/>
              </w:rPr>
            </w:pPr>
            <w:r w:rsidRPr="00AE42D6">
              <w:rPr>
                <w:lang w:eastAsia="en-AU"/>
              </w:rPr>
              <w:t xml:space="preserve">3 months </w:t>
            </w:r>
            <w:r w:rsidRPr="001F0A4C">
              <w:t>–</w:t>
            </w:r>
            <w:r w:rsidRPr="00AE42D6">
              <w:rPr>
                <w:lang w:eastAsia="en-AU"/>
              </w:rPr>
              <w:t xml:space="preserve"> 1 year</w:t>
            </w:r>
          </w:p>
          <w:p w14:paraId="5CC7E7A9" w14:textId="77777777" w:rsidR="006E51BF" w:rsidRPr="00AE42D6" w:rsidRDefault="006E51BF">
            <w:pPr>
              <w:pStyle w:val="ARfintablecolheadright"/>
              <w:rPr>
                <w:lang w:eastAsia="en-AU"/>
              </w:rPr>
            </w:pPr>
            <w:r w:rsidRPr="00AE42D6">
              <w:rPr>
                <w:lang w:eastAsia="en-AU"/>
              </w:rPr>
              <w:t>$M</w:t>
            </w:r>
          </w:p>
        </w:tc>
        <w:tc>
          <w:tcPr>
            <w:tcW w:w="492" w:type="pct"/>
            <w:tcBorders>
              <w:top w:val="single" w:sz="4" w:space="0" w:color="000000" w:themeColor="text1"/>
            </w:tcBorders>
            <w:shd w:val="clear" w:color="auto" w:fill="E7E6E6" w:themeFill="background2"/>
            <w:tcMar>
              <w:right w:w="0" w:type="nil"/>
            </w:tcMar>
            <w:hideMark/>
          </w:tcPr>
          <w:p w14:paraId="6E21D7DD" w14:textId="20CFFF1E" w:rsidR="00E24E79" w:rsidRDefault="00E24E79">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E42D6">
              <w:rPr>
                <w:lang w:eastAsia="en-AU"/>
              </w:rPr>
              <w:t>Maturity dates</w:t>
            </w:r>
          </w:p>
          <w:p w14:paraId="7C0F2F9C" w14:textId="23682A0C" w:rsidR="006E51BF" w:rsidRPr="00AE42D6"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E42D6">
              <w:rPr>
                <w:lang w:eastAsia="en-AU"/>
              </w:rPr>
              <w:t>1</w:t>
            </w:r>
            <w:r w:rsidRPr="001F0A4C">
              <w:t>–</w:t>
            </w:r>
            <w:r w:rsidRPr="00AE42D6">
              <w:rPr>
                <w:lang w:eastAsia="en-AU"/>
              </w:rPr>
              <w:t>5 years</w:t>
            </w:r>
          </w:p>
          <w:p w14:paraId="6DA25F1E" w14:textId="77777777" w:rsidR="006E51BF" w:rsidRPr="00AE42D6"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E42D6">
              <w:rPr>
                <w:lang w:eastAsia="en-AU"/>
              </w:rPr>
              <w:t>$M</w:t>
            </w:r>
          </w:p>
        </w:tc>
        <w:tc>
          <w:tcPr>
            <w:cnfStyle w:val="000001000000" w:firstRow="0" w:lastRow="0" w:firstColumn="0" w:lastColumn="0" w:oddVBand="0" w:evenVBand="1" w:oddHBand="0" w:evenHBand="0" w:firstRowFirstColumn="0" w:firstRowLastColumn="0" w:lastRowFirstColumn="0" w:lastRowLastColumn="0"/>
            <w:tcW w:w="493" w:type="pct"/>
            <w:tcBorders>
              <w:top w:val="single" w:sz="4" w:space="0" w:color="000000" w:themeColor="text1"/>
            </w:tcBorders>
            <w:tcMar>
              <w:right w:w="0" w:type="nil"/>
            </w:tcMar>
            <w:hideMark/>
          </w:tcPr>
          <w:p w14:paraId="2BF857C1" w14:textId="667ADEAA" w:rsidR="00E24E79" w:rsidRDefault="00E24E79">
            <w:pPr>
              <w:pStyle w:val="ARfintablecolheadright"/>
              <w:rPr>
                <w:lang w:eastAsia="en-AU"/>
              </w:rPr>
            </w:pPr>
            <w:r w:rsidRPr="00AE42D6">
              <w:rPr>
                <w:lang w:eastAsia="en-AU"/>
              </w:rPr>
              <w:t>Maturity dates</w:t>
            </w:r>
          </w:p>
          <w:p w14:paraId="0927EE06" w14:textId="23631A65" w:rsidR="006E51BF" w:rsidRPr="00AE42D6" w:rsidRDefault="006E51BF">
            <w:pPr>
              <w:pStyle w:val="ARfintablecolheadright"/>
              <w:rPr>
                <w:lang w:eastAsia="en-AU"/>
              </w:rPr>
            </w:pPr>
            <w:r w:rsidRPr="00AE42D6">
              <w:rPr>
                <w:lang w:eastAsia="en-AU"/>
              </w:rPr>
              <w:t>5+</w:t>
            </w:r>
            <w:r>
              <w:rPr>
                <w:lang w:eastAsia="en-AU"/>
              </w:rPr>
              <w:br/>
            </w:r>
            <w:r w:rsidRPr="00AE42D6">
              <w:rPr>
                <w:lang w:eastAsia="en-AU"/>
              </w:rPr>
              <w:t xml:space="preserve"> years</w:t>
            </w:r>
          </w:p>
          <w:p w14:paraId="5BE313DA" w14:textId="77777777" w:rsidR="006E51BF" w:rsidRPr="00AE42D6" w:rsidRDefault="006E51BF">
            <w:pPr>
              <w:pStyle w:val="ARfintablecolheadright"/>
              <w:rPr>
                <w:lang w:eastAsia="en-AU"/>
              </w:rPr>
            </w:pPr>
            <w:r w:rsidRPr="00AE42D6">
              <w:rPr>
                <w:lang w:eastAsia="en-AU"/>
              </w:rPr>
              <w:t>$M</w:t>
            </w:r>
          </w:p>
        </w:tc>
      </w:tr>
      <w:tr w:rsidR="006E51BF" w:rsidRPr="00AE42D6" w14:paraId="18DE55D4"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104" w:type="pct"/>
            <w:noWrap/>
          </w:tcPr>
          <w:p w14:paraId="336A09A9" w14:textId="77777777" w:rsidR="006E51BF" w:rsidRPr="00AE42D6" w:rsidRDefault="006E51BF">
            <w:pPr>
              <w:pStyle w:val="ARfintabletextboldcoloured"/>
              <w:rPr>
                <w:lang w:eastAsia="en-AU"/>
              </w:rPr>
            </w:pPr>
            <w:r w:rsidRPr="00AE42D6">
              <w:rPr>
                <w:lang w:eastAsia="en-AU"/>
              </w:rPr>
              <w:t>2026</w:t>
            </w:r>
          </w:p>
        </w:tc>
        <w:tc>
          <w:tcPr>
            <w:cnfStyle w:val="000001000000" w:firstRow="0" w:lastRow="0" w:firstColumn="0" w:lastColumn="0" w:oddVBand="0" w:evenVBand="1" w:oddHBand="0" w:evenHBand="0" w:firstRowFirstColumn="0" w:firstRowLastColumn="0" w:lastRowFirstColumn="0" w:lastRowLastColumn="0"/>
            <w:tcW w:w="668" w:type="pct"/>
            <w:shd w:val="clear" w:color="auto" w:fill="auto"/>
            <w:noWrap/>
            <w:tcMar>
              <w:right w:w="0" w:type="nil"/>
            </w:tcMar>
          </w:tcPr>
          <w:p w14:paraId="0601553D" w14:textId="77777777" w:rsidR="006E51BF" w:rsidRPr="00AE42D6" w:rsidRDefault="006E51BF">
            <w:pPr>
              <w:pStyle w:val="ARfintabletextright"/>
              <w:rPr>
                <w:lang w:eastAsia="en-AU"/>
              </w:rPr>
            </w:pPr>
          </w:p>
        </w:tc>
        <w:tc>
          <w:tcPr>
            <w:tcW w:w="669" w:type="pct"/>
            <w:noWrap/>
            <w:tcMar>
              <w:right w:w="0" w:type="nil"/>
            </w:tcMar>
          </w:tcPr>
          <w:p w14:paraId="7C2FCB84" w14:textId="77777777" w:rsidR="006E51BF" w:rsidRPr="00AE42D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587" w:type="pct"/>
            <w:shd w:val="clear" w:color="auto" w:fill="auto"/>
            <w:noWrap/>
            <w:tcMar>
              <w:right w:w="0" w:type="nil"/>
            </w:tcMar>
          </w:tcPr>
          <w:p w14:paraId="509F764C" w14:textId="77777777" w:rsidR="006E51BF" w:rsidRPr="00AE42D6" w:rsidRDefault="006E51BF">
            <w:pPr>
              <w:pStyle w:val="ARfintabletextright"/>
              <w:rPr>
                <w:lang w:eastAsia="en-AU"/>
              </w:rPr>
            </w:pPr>
          </w:p>
        </w:tc>
        <w:tc>
          <w:tcPr>
            <w:tcW w:w="494" w:type="pct"/>
            <w:noWrap/>
            <w:tcMar>
              <w:right w:w="0" w:type="nil"/>
            </w:tcMar>
          </w:tcPr>
          <w:p w14:paraId="108A1874" w14:textId="77777777" w:rsidR="006E51BF" w:rsidRPr="00AE42D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494" w:type="pct"/>
            <w:shd w:val="clear" w:color="auto" w:fill="auto"/>
            <w:noWrap/>
            <w:tcMar>
              <w:right w:w="0" w:type="nil"/>
            </w:tcMar>
          </w:tcPr>
          <w:p w14:paraId="1CD8E1A0" w14:textId="77777777" w:rsidR="006E51BF" w:rsidRPr="00AE42D6" w:rsidRDefault="006E51BF">
            <w:pPr>
              <w:pStyle w:val="ARfintabletextright"/>
              <w:rPr>
                <w:lang w:eastAsia="en-AU"/>
              </w:rPr>
            </w:pPr>
          </w:p>
        </w:tc>
        <w:tc>
          <w:tcPr>
            <w:tcW w:w="492" w:type="pct"/>
            <w:noWrap/>
            <w:tcMar>
              <w:right w:w="0" w:type="nil"/>
            </w:tcMar>
          </w:tcPr>
          <w:p w14:paraId="4754758A" w14:textId="77777777" w:rsidR="006E51BF" w:rsidRPr="00AE42D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493" w:type="pct"/>
            <w:shd w:val="clear" w:color="auto" w:fill="auto"/>
            <w:noWrap/>
            <w:tcMar>
              <w:right w:w="0" w:type="nil"/>
            </w:tcMar>
          </w:tcPr>
          <w:p w14:paraId="0E2E14BD" w14:textId="77777777" w:rsidR="006E51BF" w:rsidRPr="00AE42D6" w:rsidRDefault="006E51BF">
            <w:pPr>
              <w:pStyle w:val="ARfintabletextright"/>
              <w:rPr>
                <w:lang w:eastAsia="en-AU"/>
              </w:rPr>
            </w:pPr>
          </w:p>
        </w:tc>
      </w:tr>
      <w:tr w:rsidR="006E51BF" w:rsidRPr="00AE42D6" w14:paraId="3D5EE9EE"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104" w:type="pct"/>
            <w:noWrap/>
            <w:hideMark/>
          </w:tcPr>
          <w:p w14:paraId="248F5E37" w14:textId="77777777" w:rsidR="006E51BF" w:rsidRPr="00AE42D6" w:rsidRDefault="006E51BF">
            <w:pPr>
              <w:pStyle w:val="ARfintabletext"/>
              <w:rPr>
                <w:lang w:eastAsia="en-AU"/>
              </w:rPr>
            </w:pPr>
            <w:r w:rsidRPr="00AE42D6">
              <w:rPr>
                <w:lang w:eastAsia="en-AU"/>
              </w:rPr>
              <w:t>Payables</w:t>
            </w:r>
          </w:p>
        </w:tc>
        <w:tc>
          <w:tcPr>
            <w:cnfStyle w:val="000001000000" w:firstRow="0" w:lastRow="0" w:firstColumn="0" w:lastColumn="0" w:oddVBand="0" w:evenVBand="1" w:oddHBand="0" w:evenHBand="0" w:firstRowFirstColumn="0" w:firstRowLastColumn="0" w:lastRowFirstColumn="0" w:lastRowLastColumn="0"/>
            <w:tcW w:w="668" w:type="pct"/>
            <w:noWrap/>
            <w:tcMar>
              <w:right w:w="0" w:type="nil"/>
            </w:tcMar>
            <w:hideMark/>
          </w:tcPr>
          <w:p w14:paraId="2B1E204D" w14:textId="77777777" w:rsidR="006E51BF" w:rsidRPr="00AE42D6" w:rsidRDefault="006E51BF">
            <w:pPr>
              <w:pStyle w:val="ARfintabletextright"/>
              <w:rPr>
                <w:lang w:eastAsia="en-AU"/>
              </w:rPr>
            </w:pPr>
            <w:r w:rsidRPr="00AE42D6">
              <w:rPr>
                <w:lang w:eastAsia="en-AU"/>
              </w:rPr>
              <w:t>485.8</w:t>
            </w:r>
          </w:p>
        </w:tc>
        <w:tc>
          <w:tcPr>
            <w:tcW w:w="669" w:type="pct"/>
            <w:noWrap/>
            <w:tcMar>
              <w:right w:w="0" w:type="nil"/>
            </w:tcMar>
            <w:hideMark/>
          </w:tcPr>
          <w:p w14:paraId="3DC9E5EA" w14:textId="77777777" w:rsidR="006E51BF" w:rsidRPr="00AE42D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485.8</w:t>
            </w:r>
          </w:p>
        </w:tc>
        <w:tc>
          <w:tcPr>
            <w:cnfStyle w:val="000001000000" w:firstRow="0" w:lastRow="0" w:firstColumn="0" w:lastColumn="0" w:oddVBand="0" w:evenVBand="1" w:oddHBand="0" w:evenHBand="0" w:firstRowFirstColumn="0" w:firstRowLastColumn="0" w:lastRowFirstColumn="0" w:lastRowLastColumn="0"/>
            <w:tcW w:w="587" w:type="pct"/>
            <w:noWrap/>
            <w:tcMar>
              <w:right w:w="0" w:type="nil"/>
            </w:tcMar>
            <w:hideMark/>
          </w:tcPr>
          <w:p w14:paraId="058627D7" w14:textId="77777777" w:rsidR="006E51BF" w:rsidRPr="00AE42D6" w:rsidRDefault="006E51BF">
            <w:pPr>
              <w:pStyle w:val="ARfintabletextright"/>
              <w:rPr>
                <w:lang w:eastAsia="en-AU"/>
              </w:rPr>
            </w:pPr>
            <w:r>
              <w:rPr>
                <w:lang w:eastAsia="en-AU"/>
              </w:rPr>
              <w:t>455.9</w:t>
            </w:r>
          </w:p>
        </w:tc>
        <w:tc>
          <w:tcPr>
            <w:tcW w:w="494" w:type="pct"/>
            <w:shd w:val="clear" w:color="auto" w:fill="E7E6E6" w:themeFill="background2"/>
            <w:noWrap/>
            <w:tcMar>
              <w:right w:w="0" w:type="nil"/>
            </w:tcMar>
            <w:hideMark/>
          </w:tcPr>
          <w:p w14:paraId="06B310D1" w14:textId="77777777" w:rsidR="006E51BF" w:rsidRPr="00AE42D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AE42D6">
              <w:rPr>
                <w:lang w:eastAsia="en-AU"/>
              </w:rPr>
              <w:t>8.0</w:t>
            </w:r>
          </w:p>
        </w:tc>
        <w:tc>
          <w:tcPr>
            <w:cnfStyle w:val="000001000000" w:firstRow="0" w:lastRow="0" w:firstColumn="0" w:lastColumn="0" w:oddVBand="0" w:evenVBand="1" w:oddHBand="0" w:evenHBand="0" w:firstRowFirstColumn="0" w:firstRowLastColumn="0" w:lastRowFirstColumn="0" w:lastRowLastColumn="0"/>
            <w:tcW w:w="494" w:type="pct"/>
            <w:shd w:val="clear" w:color="auto" w:fill="E7E6E6" w:themeFill="background2"/>
            <w:noWrap/>
            <w:tcMar>
              <w:right w:w="0" w:type="nil"/>
            </w:tcMar>
            <w:hideMark/>
          </w:tcPr>
          <w:p w14:paraId="1E98CDC3" w14:textId="77777777" w:rsidR="006E51BF" w:rsidRPr="00AE42D6" w:rsidRDefault="006E51BF">
            <w:pPr>
              <w:pStyle w:val="ARfintabletextright"/>
              <w:rPr>
                <w:lang w:eastAsia="en-AU"/>
              </w:rPr>
            </w:pPr>
            <w:r>
              <w:rPr>
                <w:lang w:eastAsia="en-AU"/>
              </w:rPr>
              <w:t>21.9</w:t>
            </w:r>
          </w:p>
        </w:tc>
        <w:tc>
          <w:tcPr>
            <w:tcW w:w="492" w:type="pct"/>
            <w:shd w:val="clear" w:color="auto" w:fill="E7E6E6" w:themeFill="background2"/>
            <w:noWrap/>
            <w:tcMar>
              <w:right w:w="0" w:type="nil"/>
            </w:tcMar>
            <w:hideMark/>
          </w:tcPr>
          <w:p w14:paraId="671A6F47" w14:textId="77777777" w:rsidR="006E51BF" w:rsidRPr="00AE42D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493" w:type="pct"/>
            <w:noWrap/>
            <w:tcMar>
              <w:right w:w="0" w:type="nil"/>
            </w:tcMar>
            <w:hideMark/>
          </w:tcPr>
          <w:p w14:paraId="7C2BF4E5" w14:textId="77777777" w:rsidR="006E51BF" w:rsidRPr="00AE42D6" w:rsidRDefault="006E51BF">
            <w:pPr>
              <w:pStyle w:val="ARfintabletextright"/>
              <w:rPr>
                <w:lang w:eastAsia="en-AU"/>
              </w:rPr>
            </w:pPr>
            <w:r>
              <w:rPr>
                <w:lang w:eastAsia="en-AU"/>
              </w:rPr>
              <w:t>–</w:t>
            </w:r>
          </w:p>
        </w:tc>
      </w:tr>
      <w:tr w:rsidR="006E51BF" w:rsidRPr="00AE42D6" w14:paraId="53CD3628"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104" w:type="pct"/>
            <w:noWrap/>
            <w:hideMark/>
          </w:tcPr>
          <w:p w14:paraId="7D41294C" w14:textId="77777777" w:rsidR="006E51BF" w:rsidRPr="00AE42D6" w:rsidRDefault="006E51BF">
            <w:pPr>
              <w:pStyle w:val="ARfintabletextbold"/>
              <w:rPr>
                <w:lang w:eastAsia="en-AU"/>
              </w:rPr>
            </w:pPr>
            <w:r w:rsidRPr="00AE42D6">
              <w:rPr>
                <w:lang w:eastAsia="en-AU"/>
              </w:rPr>
              <w:t>Total</w:t>
            </w:r>
          </w:p>
        </w:tc>
        <w:tc>
          <w:tcPr>
            <w:cnfStyle w:val="000001000000" w:firstRow="0" w:lastRow="0" w:firstColumn="0" w:lastColumn="0" w:oddVBand="0" w:evenVBand="1" w:oddHBand="0" w:evenHBand="0" w:firstRowFirstColumn="0" w:firstRowLastColumn="0" w:lastRowFirstColumn="0" w:lastRowLastColumn="0"/>
            <w:tcW w:w="668" w:type="pct"/>
            <w:noWrap/>
            <w:tcMar>
              <w:right w:w="0" w:type="nil"/>
            </w:tcMar>
            <w:hideMark/>
          </w:tcPr>
          <w:p w14:paraId="47DA40A5" w14:textId="77777777" w:rsidR="006E51BF" w:rsidRPr="00AE42D6" w:rsidRDefault="006E51BF">
            <w:pPr>
              <w:pStyle w:val="ARfintabletextboldright"/>
              <w:rPr>
                <w:lang w:eastAsia="en-AU"/>
              </w:rPr>
            </w:pPr>
            <w:r w:rsidRPr="00AE42D6">
              <w:rPr>
                <w:lang w:eastAsia="en-AU"/>
              </w:rPr>
              <w:t>485.8</w:t>
            </w:r>
          </w:p>
        </w:tc>
        <w:tc>
          <w:tcPr>
            <w:tcW w:w="669" w:type="pct"/>
            <w:noWrap/>
            <w:tcMar>
              <w:right w:w="0" w:type="nil"/>
            </w:tcMar>
            <w:hideMark/>
          </w:tcPr>
          <w:p w14:paraId="1AEED37C" w14:textId="77777777" w:rsidR="006E51BF" w:rsidRPr="00AE42D6"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485.8</w:t>
            </w:r>
          </w:p>
        </w:tc>
        <w:tc>
          <w:tcPr>
            <w:cnfStyle w:val="000001000000" w:firstRow="0" w:lastRow="0" w:firstColumn="0" w:lastColumn="0" w:oddVBand="0" w:evenVBand="1" w:oddHBand="0" w:evenHBand="0" w:firstRowFirstColumn="0" w:firstRowLastColumn="0" w:lastRowFirstColumn="0" w:lastRowLastColumn="0"/>
            <w:tcW w:w="587" w:type="pct"/>
            <w:noWrap/>
            <w:tcMar>
              <w:right w:w="0" w:type="nil"/>
            </w:tcMar>
            <w:hideMark/>
          </w:tcPr>
          <w:p w14:paraId="5733F1D8" w14:textId="77777777" w:rsidR="006E51BF" w:rsidRPr="00AE42D6" w:rsidRDefault="006E51BF">
            <w:pPr>
              <w:pStyle w:val="ARfintabletextboldright"/>
              <w:rPr>
                <w:lang w:eastAsia="en-AU"/>
              </w:rPr>
            </w:pPr>
            <w:r>
              <w:rPr>
                <w:lang w:eastAsia="en-AU"/>
              </w:rPr>
              <w:t>455.9</w:t>
            </w:r>
          </w:p>
        </w:tc>
        <w:tc>
          <w:tcPr>
            <w:tcW w:w="494" w:type="pct"/>
            <w:shd w:val="clear" w:color="auto" w:fill="E7E6E6" w:themeFill="background2"/>
            <w:noWrap/>
            <w:tcMar>
              <w:right w:w="0" w:type="nil"/>
            </w:tcMar>
            <w:hideMark/>
          </w:tcPr>
          <w:p w14:paraId="7ED1D557" w14:textId="77777777" w:rsidR="006E51BF" w:rsidRPr="00AE42D6"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AE42D6">
              <w:rPr>
                <w:lang w:eastAsia="en-AU"/>
              </w:rPr>
              <w:t>8.0</w:t>
            </w:r>
          </w:p>
        </w:tc>
        <w:tc>
          <w:tcPr>
            <w:cnfStyle w:val="000001000000" w:firstRow="0" w:lastRow="0" w:firstColumn="0" w:lastColumn="0" w:oddVBand="0" w:evenVBand="1" w:oddHBand="0" w:evenHBand="0" w:firstRowFirstColumn="0" w:firstRowLastColumn="0" w:lastRowFirstColumn="0" w:lastRowLastColumn="0"/>
            <w:tcW w:w="494" w:type="pct"/>
            <w:shd w:val="clear" w:color="auto" w:fill="E7E6E6" w:themeFill="background2"/>
            <w:noWrap/>
            <w:tcMar>
              <w:right w:w="0" w:type="nil"/>
            </w:tcMar>
            <w:hideMark/>
          </w:tcPr>
          <w:p w14:paraId="52F25DB2" w14:textId="77777777" w:rsidR="006E51BF" w:rsidRPr="00AE42D6" w:rsidRDefault="006E51BF">
            <w:pPr>
              <w:pStyle w:val="ARfintabletextboldright"/>
              <w:rPr>
                <w:lang w:eastAsia="en-AU"/>
              </w:rPr>
            </w:pPr>
            <w:r>
              <w:rPr>
                <w:lang w:eastAsia="en-AU"/>
              </w:rPr>
              <w:t>21.9</w:t>
            </w:r>
          </w:p>
        </w:tc>
        <w:tc>
          <w:tcPr>
            <w:tcW w:w="492" w:type="pct"/>
            <w:shd w:val="clear" w:color="auto" w:fill="E7E6E6" w:themeFill="background2"/>
            <w:noWrap/>
            <w:tcMar>
              <w:right w:w="0" w:type="nil"/>
            </w:tcMar>
            <w:hideMark/>
          </w:tcPr>
          <w:p w14:paraId="37014F81" w14:textId="77777777" w:rsidR="006E51BF" w:rsidRPr="00AE42D6"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493" w:type="pct"/>
            <w:noWrap/>
            <w:tcMar>
              <w:right w:w="0" w:type="nil"/>
            </w:tcMar>
            <w:hideMark/>
          </w:tcPr>
          <w:p w14:paraId="4853D989" w14:textId="77777777" w:rsidR="006E51BF" w:rsidRPr="00AE42D6" w:rsidRDefault="006E51BF">
            <w:pPr>
              <w:pStyle w:val="ARfintabletextboldright"/>
              <w:rPr>
                <w:lang w:eastAsia="en-AU"/>
              </w:rPr>
            </w:pPr>
            <w:r>
              <w:rPr>
                <w:lang w:eastAsia="en-AU"/>
              </w:rPr>
              <w:t>–</w:t>
            </w:r>
          </w:p>
        </w:tc>
      </w:tr>
      <w:tr w:rsidR="006E51BF" w:rsidRPr="00AE42D6" w14:paraId="76EE1045"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104" w:type="pct"/>
            <w:noWrap/>
            <w:hideMark/>
          </w:tcPr>
          <w:p w14:paraId="02A39120" w14:textId="77777777" w:rsidR="006E51BF" w:rsidRPr="00AE42D6" w:rsidRDefault="006E51BF">
            <w:pPr>
              <w:pStyle w:val="ARfintabletextboldcoloured"/>
              <w:rPr>
                <w:lang w:eastAsia="en-AU"/>
              </w:rPr>
            </w:pPr>
            <w:r w:rsidRPr="00AE42D6">
              <w:rPr>
                <w:lang w:eastAsia="en-AU"/>
              </w:rPr>
              <w:t>2025</w:t>
            </w:r>
          </w:p>
        </w:tc>
        <w:tc>
          <w:tcPr>
            <w:cnfStyle w:val="000001000000" w:firstRow="0" w:lastRow="0" w:firstColumn="0" w:lastColumn="0" w:oddVBand="0" w:evenVBand="1" w:oddHBand="0" w:evenHBand="0" w:firstRowFirstColumn="0" w:firstRowLastColumn="0" w:lastRowFirstColumn="0" w:lastRowLastColumn="0"/>
            <w:tcW w:w="668" w:type="pct"/>
            <w:shd w:val="clear" w:color="auto" w:fill="auto"/>
            <w:tcMar>
              <w:right w:w="0" w:type="nil"/>
            </w:tcMar>
            <w:hideMark/>
          </w:tcPr>
          <w:p w14:paraId="58031E03" w14:textId="77777777" w:rsidR="006E51BF" w:rsidRPr="00AE42D6" w:rsidRDefault="006E51BF">
            <w:pPr>
              <w:pStyle w:val="ARfintabletextright"/>
              <w:rPr>
                <w:lang w:eastAsia="en-AU"/>
              </w:rPr>
            </w:pPr>
          </w:p>
        </w:tc>
        <w:tc>
          <w:tcPr>
            <w:tcW w:w="669" w:type="pct"/>
            <w:tcMar>
              <w:right w:w="0" w:type="nil"/>
            </w:tcMar>
            <w:hideMark/>
          </w:tcPr>
          <w:p w14:paraId="0AA34B70" w14:textId="77777777" w:rsidR="006E51BF" w:rsidRPr="00AE42D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587" w:type="pct"/>
            <w:shd w:val="clear" w:color="auto" w:fill="auto"/>
            <w:noWrap/>
            <w:tcMar>
              <w:right w:w="0" w:type="nil"/>
            </w:tcMar>
            <w:hideMark/>
          </w:tcPr>
          <w:p w14:paraId="3591B2D9" w14:textId="77777777" w:rsidR="006E51BF" w:rsidRPr="00AE42D6" w:rsidRDefault="006E51BF">
            <w:pPr>
              <w:pStyle w:val="ARfintabletextright"/>
              <w:rPr>
                <w:lang w:eastAsia="en-AU"/>
              </w:rPr>
            </w:pPr>
          </w:p>
        </w:tc>
        <w:tc>
          <w:tcPr>
            <w:tcW w:w="494" w:type="pct"/>
            <w:noWrap/>
            <w:tcMar>
              <w:right w:w="0" w:type="nil"/>
            </w:tcMar>
            <w:hideMark/>
          </w:tcPr>
          <w:p w14:paraId="3186FA49" w14:textId="77777777" w:rsidR="006E51BF" w:rsidRPr="00AE42D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494" w:type="pct"/>
            <w:shd w:val="clear" w:color="auto" w:fill="auto"/>
            <w:noWrap/>
            <w:tcMar>
              <w:right w:w="0" w:type="nil"/>
            </w:tcMar>
            <w:hideMark/>
          </w:tcPr>
          <w:p w14:paraId="223C98FD" w14:textId="77777777" w:rsidR="006E51BF" w:rsidRPr="00AE42D6" w:rsidRDefault="006E51BF">
            <w:pPr>
              <w:pStyle w:val="ARfintabletextright"/>
              <w:rPr>
                <w:lang w:eastAsia="en-AU"/>
              </w:rPr>
            </w:pPr>
          </w:p>
        </w:tc>
        <w:tc>
          <w:tcPr>
            <w:tcW w:w="492" w:type="pct"/>
            <w:noWrap/>
            <w:tcMar>
              <w:right w:w="0" w:type="nil"/>
            </w:tcMar>
            <w:hideMark/>
          </w:tcPr>
          <w:p w14:paraId="09C5ECEB" w14:textId="77777777" w:rsidR="006E51BF" w:rsidRPr="00AE42D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493" w:type="pct"/>
            <w:shd w:val="clear" w:color="auto" w:fill="auto"/>
            <w:noWrap/>
            <w:tcMar>
              <w:right w:w="0" w:type="nil"/>
            </w:tcMar>
            <w:hideMark/>
          </w:tcPr>
          <w:p w14:paraId="091EA008" w14:textId="77777777" w:rsidR="006E51BF" w:rsidRPr="00AE42D6" w:rsidRDefault="006E51BF">
            <w:pPr>
              <w:pStyle w:val="ARfintabletextright"/>
              <w:rPr>
                <w:lang w:eastAsia="en-AU"/>
              </w:rPr>
            </w:pPr>
          </w:p>
        </w:tc>
      </w:tr>
      <w:tr w:rsidR="006E51BF" w:rsidRPr="00AE42D6" w14:paraId="20B75117"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104" w:type="pct"/>
            <w:noWrap/>
            <w:hideMark/>
          </w:tcPr>
          <w:p w14:paraId="25F31E34" w14:textId="77777777" w:rsidR="006E51BF" w:rsidRPr="00AE42D6" w:rsidRDefault="006E51BF">
            <w:pPr>
              <w:pStyle w:val="ARfintabletext"/>
              <w:rPr>
                <w:lang w:eastAsia="en-AU"/>
              </w:rPr>
            </w:pPr>
            <w:r w:rsidRPr="00AE42D6">
              <w:rPr>
                <w:lang w:eastAsia="en-AU"/>
              </w:rPr>
              <w:t>Payables</w:t>
            </w:r>
          </w:p>
        </w:tc>
        <w:tc>
          <w:tcPr>
            <w:cnfStyle w:val="000001000000" w:firstRow="0" w:lastRow="0" w:firstColumn="0" w:lastColumn="0" w:oddVBand="0" w:evenVBand="1" w:oddHBand="0" w:evenHBand="0" w:firstRowFirstColumn="0" w:firstRowLastColumn="0" w:lastRowFirstColumn="0" w:lastRowLastColumn="0"/>
            <w:tcW w:w="668" w:type="pct"/>
            <w:noWrap/>
            <w:tcMar>
              <w:right w:w="0" w:type="nil"/>
            </w:tcMar>
            <w:hideMark/>
          </w:tcPr>
          <w:p w14:paraId="7ADA8389" w14:textId="77777777" w:rsidR="006E51BF" w:rsidRPr="00AE42D6" w:rsidRDefault="006E51BF">
            <w:pPr>
              <w:pStyle w:val="ARfintabletextright"/>
              <w:rPr>
                <w:lang w:eastAsia="en-AU"/>
              </w:rPr>
            </w:pPr>
            <w:r w:rsidRPr="00AE42D6">
              <w:rPr>
                <w:lang w:eastAsia="en-AU"/>
              </w:rPr>
              <w:t>449.</w:t>
            </w:r>
            <w:r>
              <w:rPr>
                <w:lang w:eastAsia="en-AU"/>
              </w:rPr>
              <w:t>7</w:t>
            </w:r>
          </w:p>
        </w:tc>
        <w:tc>
          <w:tcPr>
            <w:tcW w:w="669" w:type="pct"/>
            <w:noWrap/>
            <w:tcMar>
              <w:right w:w="0" w:type="nil"/>
            </w:tcMar>
            <w:hideMark/>
          </w:tcPr>
          <w:p w14:paraId="2BF50606" w14:textId="77777777" w:rsidR="006E51BF" w:rsidRPr="00AE42D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AE42D6">
              <w:rPr>
                <w:lang w:eastAsia="en-AU"/>
              </w:rPr>
              <w:t>449.</w:t>
            </w:r>
            <w:r>
              <w:rPr>
                <w:lang w:eastAsia="en-AU"/>
              </w:rPr>
              <w:t>7</w:t>
            </w:r>
          </w:p>
        </w:tc>
        <w:tc>
          <w:tcPr>
            <w:cnfStyle w:val="000001000000" w:firstRow="0" w:lastRow="0" w:firstColumn="0" w:lastColumn="0" w:oddVBand="0" w:evenVBand="1" w:oddHBand="0" w:evenHBand="0" w:firstRowFirstColumn="0" w:firstRowLastColumn="0" w:lastRowFirstColumn="0" w:lastRowLastColumn="0"/>
            <w:tcW w:w="587" w:type="pct"/>
            <w:noWrap/>
            <w:tcMar>
              <w:right w:w="0" w:type="nil"/>
            </w:tcMar>
            <w:hideMark/>
          </w:tcPr>
          <w:p w14:paraId="71F4D357" w14:textId="77777777" w:rsidR="006E51BF" w:rsidRPr="00AE42D6" w:rsidRDefault="006E51BF">
            <w:pPr>
              <w:pStyle w:val="ARfintabletextright"/>
              <w:rPr>
                <w:lang w:eastAsia="en-AU"/>
              </w:rPr>
            </w:pPr>
            <w:r w:rsidRPr="00AE42D6">
              <w:rPr>
                <w:lang w:eastAsia="en-AU"/>
              </w:rPr>
              <w:t>418.8</w:t>
            </w:r>
          </w:p>
        </w:tc>
        <w:tc>
          <w:tcPr>
            <w:tcW w:w="494" w:type="pct"/>
            <w:shd w:val="clear" w:color="auto" w:fill="E7E6E6" w:themeFill="background2"/>
            <w:noWrap/>
            <w:tcMar>
              <w:right w:w="0" w:type="nil"/>
            </w:tcMar>
            <w:hideMark/>
          </w:tcPr>
          <w:p w14:paraId="585CB587" w14:textId="77777777" w:rsidR="006E51BF" w:rsidRPr="00AE42D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AE42D6">
              <w:rPr>
                <w:lang w:eastAsia="en-AU"/>
              </w:rPr>
              <w:t>22.5</w:t>
            </w:r>
          </w:p>
        </w:tc>
        <w:tc>
          <w:tcPr>
            <w:cnfStyle w:val="000001000000" w:firstRow="0" w:lastRow="0" w:firstColumn="0" w:lastColumn="0" w:oddVBand="0" w:evenVBand="1" w:oddHBand="0" w:evenHBand="0" w:firstRowFirstColumn="0" w:firstRowLastColumn="0" w:lastRowFirstColumn="0" w:lastRowLastColumn="0"/>
            <w:tcW w:w="494" w:type="pct"/>
            <w:shd w:val="clear" w:color="auto" w:fill="E7E6E6" w:themeFill="background2"/>
            <w:noWrap/>
            <w:tcMar>
              <w:right w:w="0" w:type="nil"/>
            </w:tcMar>
            <w:hideMark/>
          </w:tcPr>
          <w:p w14:paraId="77ACDEDF" w14:textId="77777777" w:rsidR="006E51BF" w:rsidRPr="00AE42D6" w:rsidRDefault="006E51BF">
            <w:pPr>
              <w:pStyle w:val="ARfintabletextright"/>
              <w:rPr>
                <w:lang w:eastAsia="en-AU"/>
              </w:rPr>
            </w:pPr>
            <w:r>
              <w:rPr>
                <w:lang w:eastAsia="en-AU"/>
              </w:rPr>
              <w:t>7.6</w:t>
            </w:r>
          </w:p>
        </w:tc>
        <w:tc>
          <w:tcPr>
            <w:tcW w:w="492" w:type="pct"/>
            <w:shd w:val="clear" w:color="auto" w:fill="E7E6E6" w:themeFill="background2"/>
            <w:noWrap/>
            <w:tcMar>
              <w:right w:w="0" w:type="nil"/>
            </w:tcMar>
            <w:hideMark/>
          </w:tcPr>
          <w:p w14:paraId="3DEF0141" w14:textId="77777777" w:rsidR="006E51BF" w:rsidRPr="00AE42D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0.8</w:t>
            </w:r>
          </w:p>
        </w:tc>
        <w:tc>
          <w:tcPr>
            <w:cnfStyle w:val="000001000000" w:firstRow="0" w:lastRow="0" w:firstColumn="0" w:lastColumn="0" w:oddVBand="0" w:evenVBand="1" w:oddHBand="0" w:evenHBand="0" w:firstRowFirstColumn="0" w:firstRowLastColumn="0" w:lastRowFirstColumn="0" w:lastRowLastColumn="0"/>
            <w:tcW w:w="493" w:type="pct"/>
            <w:noWrap/>
            <w:tcMar>
              <w:right w:w="0" w:type="nil"/>
            </w:tcMar>
            <w:hideMark/>
          </w:tcPr>
          <w:p w14:paraId="150FF85A" w14:textId="77777777" w:rsidR="006E51BF" w:rsidRPr="00AE42D6" w:rsidRDefault="006E51BF">
            <w:pPr>
              <w:pStyle w:val="ARfintabletextright"/>
              <w:rPr>
                <w:lang w:eastAsia="en-AU"/>
              </w:rPr>
            </w:pPr>
            <w:r>
              <w:rPr>
                <w:lang w:eastAsia="en-AU"/>
              </w:rPr>
              <w:t>–</w:t>
            </w:r>
          </w:p>
        </w:tc>
      </w:tr>
      <w:tr w:rsidR="006E51BF" w:rsidRPr="00AE42D6" w14:paraId="2C86BEBC"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1104" w:type="pct"/>
            <w:noWrap/>
            <w:hideMark/>
          </w:tcPr>
          <w:p w14:paraId="33AEA244" w14:textId="77777777" w:rsidR="006E51BF" w:rsidRPr="00AE42D6" w:rsidRDefault="006E51BF">
            <w:pPr>
              <w:pStyle w:val="ARfintabletextbold"/>
              <w:rPr>
                <w:lang w:eastAsia="en-AU"/>
              </w:rPr>
            </w:pPr>
            <w:r w:rsidRPr="00AE42D6">
              <w:rPr>
                <w:lang w:eastAsia="en-AU"/>
              </w:rPr>
              <w:t>Total</w:t>
            </w:r>
          </w:p>
        </w:tc>
        <w:tc>
          <w:tcPr>
            <w:cnfStyle w:val="000001000000" w:firstRow="0" w:lastRow="0" w:firstColumn="0" w:lastColumn="0" w:oddVBand="0" w:evenVBand="1" w:oddHBand="0" w:evenHBand="0" w:firstRowFirstColumn="0" w:firstRowLastColumn="0" w:lastRowFirstColumn="0" w:lastRowLastColumn="0"/>
            <w:tcW w:w="668" w:type="pct"/>
            <w:noWrap/>
            <w:tcMar>
              <w:right w:w="0" w:type="nil"/>
            </w:tcMar>
            <w:hideMark/>
          </w:tcPr>
          <w:p w14:paraId="4D93EC69" w14:textId="77777777" w:rsidR="006E51BF" w:rsidRPr="00AE42D6" w:rsidRDefault="006E51BF">
            <w:pPr>
              <w:pStyle w:val="ARfintabletextboldright"/>
              <w:rPr>
                <w:lang w:eastAsia="en-AU"/>
              </w:rPr>
            </w:pPr>
            <w:r w:rsidRPr="00AE42D6">
              <w:rPr>
                <w:lang w:eastAsia="en-AU"/>
              </w:rPr>
              <w:t>449.</w:t>
            </w:r>
            <w:r>
              <w:rPr>
                <w:lang w:eastAsia="en-AU"/>
              </w:rPr>
              <w:t>7</w:t>
            </w:r>
          </w:p>
        </w:tc>
        <w:tc>
          <w:tcPr>
            <w:tcW w:w="669" w:type="pct"/>
            <w:noWrap/>
            <w:tcMar>
              <w:right w:w="0" w:type="nil"/>
            </w:tcMar>
            <w:hideMark/>
          </w:tcPr>
          <w:p w14:paraId="3EE14C97" w14:textId="77777777" w:rsidR="006E51BF" w:rsidRPr="00AE42D6"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AE42D6">
              <w:rPr>
                <w:lang w:eastAsia="en-AU"/>
              </w:rPr>
              <w:t>449.</w:t>
            </w:r>
            <w:r>
              <w:rPr>
                <w:lang w:eastAsia="en-AU"/>
              </w:rPr>
              <w:t>7</w:t>
            </w:r>
          </w:p>
        </w:tc>
        <w:tc>
          <w:tcPr>
            <w:cnfStyle w:val="000001000000" w:firstRow="0" w:lastRow="0" w:firstColumn="0" w:lastColumn="0" w:oddVBand="0" w:evenVBand="1" w:oddHBand="0" w:evenHBand="0" w:firstRowFirstColumn="0" w:firstRowLastColumn="0" w:lastRowFirstColumn="0" w:lastRowLastColumn="0"/>
            <w:tcW w:w="587" w:type="pct"/>
            <w:noWrap/>
            <w:tcMar>
              <w:right w:w="0" w:type="nil"/>
            </w:tcMar>
            <w:hideMark/>
          </w:tcPr>
          <w:p w14:paraId="64440B87" w14:textId="77777777" w:rsidR="006E51BF" w:rsidRPr="00AE42D6" w:rsidRDefault="006E51BF">
            <w:pPr>
              <w:pStyle w:val="ARfintabletextboldright"/>
              <w:rPr>
                <w:lang w:eastAsia="en-AU"/>
              </w:rPr>
            </w:pPr>
            <w:r w:rsidRPr="00AE42D6">
              <w:rPr>
                <w:lang w:eastAsia="en-AU"/>
              </w:rPr>
              <w:t>418.8</w:t>
            </w:r>
          </w:p>
        </w:tc>
        <w:tc>
          <w:tcPr>
            <w:tcW w:w="494" w:type="pct"/>
            <w:shd w:val="clear" w:color="auto" w:fill="E7E6E6" w:themeFill="background2"/>
            <w:noWrap/>
            <w:tcMar>
              <w:right w:w="0" w:type="nil"/>
            </w:tcMar>
            <w:hideMark/>
          </w:tcPr>
          <w:p w14:paraId="217B2F9C" w14:textId="77777777" w:rsidR="006E51BF" w:rsidRPr="00AE42D6"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AE42D6">
              <w:rPr>
                <w:lang w:eastAsia="en-AU"/>
              </w:rPr>
              <w:t>22.5</w:t>
            </w:r>
          </w:p>
        </w:tc>
        <w:tc>
          <w:tcPr>
            <w:cnfStyle w:val="000001000000" w:firstRow="0" w:lastRow="0" w:firstColumn="0" w:lastColumn="0" w:oddVBand="0" w:evenVBand="1" w:oddHBand="0" w:evenHBand="0" w:firstRowFirstColumn="0" w:firstRowLastColumn="0" w:lastRowFirstColumn="0" w:lastRowLastColumn="0"/>
            <w:tcW w:w="494" w:type="pct"/>
            <w:shd w:val="clear" w:color="auto" w:fill="E7E6E6" w:themeFill="background2"/>
            <w:noWrap/>
            <w:tcMar>
              <w:right w:w="0" w:type="nil"/>
            </w:tcMar>
            <w:hideMark/>
          </w:tcPr>
          <w:p w14:paraId="0DDE26ED" w14:textId="77777777" w:rsidR="006E51BF" w:rsidRPr="00AE42D6" w:rsidRDefault="006E51BF">
            <w:pPr>
              <w:pStyle w:val="ARfintabletextboldright"/>
              <w:rPr>
                <w:lang w:eastAsia="en-AU"/>
              </w:rPr>
            </w:pPr>
            <w:r>
              <w:rPr>
                <w:lang w:eastAsia="en-AU"/>
              </w:rPr>
              <w:t>7.6</w:t>
            </w:r>
          </w:p>
        </w:tc>
        <w:tc>
          <w:tcPr>
            <w:tcW w:w="492" w:type="pct"/>
            <w:shd w:val="clear" w:color="auto" w:fill="E7E6E6" w:themeFill="background2"/>
            <w:noWrap/>
            <w:tcMar>
              <w:right w:w="0" w:type="nil"/>
            </w:tcMar>
            <w:hideMark/>
          </w:tcPr>
          <w:p w14:paraId="1E880EDE" w14:textId="77777777" w:rsidR="006E51BF" w:rsidRPr="00AE42D6"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Pr>
                <w:lang w:eastAsia="en-AU"/>
              </w:rPr>
              <w:t>0.8</w:t>
            </w:r>
          </w:p>
        </w:tc>
        <w:tc>
          <w:tcPr>
            <w:cnfStyle w:val="000001000000" w:firstRow="0" w:lastRow="0" w:firstColumn="0" w:lastColumn="0" w:oddVBand="0" w:evenVBand="1" w:oddHBand="0" w:evenHBand="0" w:firstRowFirstColumn="0" w:firstRowLastColumn="0" w:lastRowFirstColumn="0" w:lastRowLastColumn="0"/>
            <w:tcW w:w="493" w:type="pct"/>
            <w:noWrap/>
            <w:tcMar>
              <w:right w:w="0" w:type="nil"/>
            </w:tcMar>
            <w:hideMark/>
          </w:tcPr>
          <w:p w14:paraId="64AF1A09" w14:textId="77777777" w:rsidR="006E51BF" w:rsidRPr="00AE42D6" w:rsidRDefault="006E51BF">
            <w:pPr>
              <w:pStyle w:val="ARfintabletextboldright"/>
              <w:rPr>
                <w:lang w:eastAsia="en-AU"/>
              </w:rPr>
            </w:pPr>
            <w:r>
              <w:rPr>
                <w:lang w:eastAsia="en-AU"/>
              </w:rPr>
              <w:t>–</w:t>
            </w:r>
          </w:p>
        </w:tc>
      </w:tr>
    </w:tbl>
    <w:p w14:paraId="4850089D" w14:textId="77777777" w:rsidR="006E51BF" w:rsidRPr="00AE42D6" w:rsidRDefault="006E51BF">
      <w:pPr>
        <w:pStyle w:val="ARfintablenote"/>
        <w:rPr>
          <w:lang w:eastAsia="en-AU"/>
        </w:rPr>
      </w:pPr>
      <w:r w:rsidRPr="00AE42D6">
        <w:rPr>
          <w:lang w:eastAsia="en-AU"/>
        </w:rPr>
        <w:t xml:space="preserve">Note: </w:t>
      </w:r>
    </w:p>
    <w:p w14:paraId="41675277" w14:textId="77777777" w:rsidR="006E51BF" w:rsidRPr="00AE42D6" w:rsidRDefault="006E51BF" w:rsidP="006E51BF">
      <w:pPr>
        <w:pStyle w:val="ARfintablenoteroman"/>
        <w:numPr>
          <w:ilvl w:val="0"/>
          <w:numId w:val="68"/>
        </w:numPr>
      </w:pPr>
      <w:r w:rsidRPr="00AE42D6">
        <w:t xml:space="preserve">Maturity analysis is presented using the contractual undiscounted cash flows. </w:t>
      </w:r>
    </w:p>
    <w:p w14:paraId="33D37A7F" w14:textId="77777777" w:rsidR="006E51BF" w:rsidRPr="000E5D38" w:rsidRDefault="006E51BF">
      <w:pPr>
        <w:pStyle w:val="Heading4"/>
        <w:rPr>
          <w:lang w:eastAsia="en-AU"/>
        </w:rPr>
      </w:pPr>
      <w:r w:rsidRPr="000E5D38">
        <w:rPr>
          <w:lang w:eastAsia="en-AU"/>
        </w:rPr>
        <w:t xml:space="preserve">6.4 </w:t>
      </w:r>
      <w:r>
        <w:rPr>
          <w:lang w:eastAsia="en-AU"/>
        </w:rPr>
        <w:tab/>
      </w:r>
      <w:r w:rsidRPr="000E5D38">
        <w:rPr>
          <w:lang w:eastAsia="en-AU"/>
        </w:rPr>
        <w:t>Other provisions</w:t>
      </w:r>
    </w:p>
    <w:tbl>
      <w:tblPr>
        <w:tblStyle w:val="ARtable1"/>
        <w:tblW w:w="5000" w:type="pct"/>
        <w:tblLook w:val="00E0" w:firstRow="1" w:lastRow="1" w:firstColumn="1" w:lastColumn="0" w:noHBand="0" w:noVBand="0"/>
      </w:tblPr>
      <w:tblGrid>
        <w:gridCol w:w="6514"/>
        <w:gridCol w:w="1556"/>
        <w:gridCol w:w="1558"/>
      </w:tblGrid>
      <w:tr w:rsidR="006E51BF" w:rsidRPr="000E5D38" w14:paraId="6EC27DAD" w14:textId="77777777" w:rsidTr="00304BA9">
        <w:trPr>
          <w:cnfStyle w:val="100000000000" w:firstRow="1" w:lastRow="0" w:firstColumn="0" w:lastColumn="0" w:oddVBand="0" w:evenVBand="0" w:oddHBand="0" w:evenHBand="0" w:firstRowFirstColumn="0" w:firstRowLastColumn="0" w:lastRowFirstColumn="0" w:lastRowLastColumn="0"/>
          <w:trHeight w:val="20"/>
          <w:tblHeader/>
        </w:trPr>
        <w:tc>
          <w:tcPr>
            <w:tcW w:w="3383" w:type="pct"/>
            <w:noWrap/>
          </w:tcPr>
          <w:p w14:paraId="530F16C1" w14:textId="77777777" w:rsidR="006E51BF" w:rsidRPr="000E5D38"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4E8C1EF" w14:textId="77777777" w:rsidR="006E51BF" w:rsidRPr="00610184" w:rsidRDefault="006E51BF">
            <w:pPr>
              <w:pStyle w:val="ARfintabletextboldright"/>
            </w:pPr>
            <w:r w:rsidRPr="00610184">
              <w:t>2026</w:t>
            </w:r>
          </w:p>
          <w:p w14:paraId="70649CCD" w14:textId="77777777" w:rsidR="006E51BF" w:rsidRPr="00610184" w:rsidRDefault="006E51BF">
            <w:pPr>
              <w:pStyle w:val="ARfintabletextboldright"/>
            </w:pPr>
            <w:r w:rsidRPr="00610184">
              <w:t>$M</w:t>
            </w:r>
          </w:p>
        </w:tc>
        <w:tc>
          <w:tcPr>
            <w:tcW w:w="809" w:type="pct"/>
            <w:noWrap/>
            <w:tcMar>
              <w:right w:w="0" w:type="nil"/>
            </w:tcMar>
            <w:hideMark/>
          </w:tcPr>
          <w:p w14:paraId="5EE06067" w14:textId="77777777" w:rsidR="006E51BF" w:rsidRPr="00610184" w:rsidRDefault="006E51BF">
            <w:pPr>
              <w:pStyle w:val="ARfintabletextboldright"/>
              <w:cnfStyle w:val="100000000000" w:firstRow="1" w:lastRow="0" w:firstColumn="0" w:lastColumn="0" w:oddVBand="0" w:evenVBand="0" w:oddHBand="0" w:evenHBand="0" w:firstRowFirstColumn="0" w:firstRowLastColumn="0" w:lastRowFirstColumn="0" w:lastRowLastColumn="0"/>
            </w:pPr>
            <w:r w:rsidRPr="00610184">
              <w:t>2025</w:t>
            </w:r>
          </w:p>
          <w:p w14:paraId="60DF3A0A" w14:textId="77777777" w:rsidR="006E51BF" w:rsidRPr="00610184" w:rsidRDefault="006E51BF">
            <w:pPr>
              <w:pStyle w:val="ARfintabletextboldright"/>
              <w:cnfStyle w:val="100000000000" w:firstRow="1" w:lastRow="0" w:firstColumn="0" w:lastColumn="0" w:oddVBand="0" w:evenVBand="0" w:oddHBand="0" w:evenHBand="0" w:firstRowFirstColumn="0" w:firstRowLastColumn="0" w:lastRowFirstColumn="0" w:lastRowLastColumn="0"/>
            </w:pPr>
            <w:r w:rsidRPr="00610184">
              <w:t>$M</w:t>
            </w:r>
          </w:p>
        </w:tc>
      </w:tr>
      <w:tr w:rsidR="006E51BF" w:rsidRPr="000E5D38" w14:paraId="02DE940B"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hideMark/>
          </w:tcPr>
          <w:p w14:paraId="365C5334" w14:textId="77777777" w:rsidR="006E51BF" w:rsidRPr="000E5D38" w:rsidRDefault="006E51BF">
            <w:pPr>
              <w:pStyle w:val="ARfintabletextboldcoloured"/>
              <w:rPr>
                <w:lang w:eastAsia="en-AU"/>
              </w:rPr>
            </w:pPr>
            <w:r w:rsidRPr="000E5D38">
              <w:rPr>
                <w:lang w:eastAsia="en-AU"/>
              </w:rPr>
              <w:t>Current provisions</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0EF0C763" w14:textId="77777777" w:rsidR="006E51BF" w:rsidRPr="000E5D38" w:rsidRDefault="006E51BF">
            <w:pPr>
              <w:spacing w:after="0" w:line="240" w:lineRule="auto"/>
              <w:rPr>
                <w:rFonts w:ascii="Verdana" w:hAnsi="Verdana" w:cs="Arial"/>
                <w:color w:val="000000"/>
                <w:sz w:val="20"/>
                <w:lang w:eastAsia="en-AU"/>
              </w:rPr>
            </w:pPr>
          </w:p>
        </w:tc>
        <w:tc>
          <w:tcPr>
            <w:tcW w:w="809" w:type="pct"/>
            <w:noWrap/>
            <w:tcMar>
              <w:right w:w="0" w:type="nil"/>
            </w:tcMar>
            <w:hideMark/>
          </w:tcPr>
          <w:p w14:paraId="461DDE1B" w14:textId="77777777" w:rsidR="006E51BF" w:rsidRPr="000E5D38" w:rsidRDefault="006E51BF">
            <w:pPr>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Arial"/>
                <w:color w:val="000000"/>
                <w:sz w:val="20"/>
                <w:lang w:eastAsia="en-AU"/>
              </w:rPr>
            </w:pPr>
          </w:p>
        </w:tc>
      </w:tr>
      <w:tr w:rsidR="006E51BF" w:rsidRPr="000E5D38" w14:paraId="43C4CCD9"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2FE2227E" w14:textId="77777777" w:rsidR="006E51BF" w:rsidRPr="000E5D38" w:rsidRDefault="006E51BF">
            <w:pPr>
              <w:pStyle w:val="ARfintabletext"/>
              <w:rPr>
                <w:lang w:eastAsia="en-AU"/>
              </w:rPr>
            </w:pPr>
            <w:r w:rsidRPr="000E5D38">
              <w:rPr>
                <w:lang w:eastAsia="en-AU"/>
              </w:rPr>
              <w:t>Redress scheme provision</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115213F8" w14:textId="77777777" w:rsidR="006E51BF" w:rsidRPr="00610184" w:rsidRDefault="006E51BF">
            <w:pPr>
              <w:pStyle w:val="ARfintabletextright"/>
            </w:pPr>
            <w:r w:rsidRPr="00610184">
              <w:t>175.3</w:t>
            </w:r>
          </w:p>
        </w:tc>
        <w:tc>
          <w:tcPr>
            <w:tcW w:w="809" w:type="pct"/>
            <w:noWrap/>
            <w:tcMar>
              <w:right w:w="0" w:type="nil"/>
            </w:tcMar>
            <w:hideMark/>
          </w:tcPr>
          <w:p w14:paraId="14D4D38F" w14:textId="77777777" w:rsidR="006E51BF" w:rsidRPr="00610184"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610184">
              <w:t>203.6</w:t>
            </w:r>
          </w:p>
        </w:tc>
      </w:tr>
      <w:tr w:rsidR="006E51BF" w:rsidRPr="000E5D38" w14:paraId="23D16D75"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tcBorders>
              <w:bottom w:val="single" w:sz="4" w:space="0" w:color="BFBFBF" w:themeColor="accent2"/>
            </w:tcBorders>
            <w:noWrap/>
            <w:hideMark/>
          </w:tcPr>
          <w:p w14:paraId="6FF367A3" w14:textId="77777777" w:rsidR="006E51BF" w:rsidRPr="000E5D38" w:rsidRDefault="006E51BF">
            <w:pPr>
              <w:pStyle w:val="ARfintabletext"/>
              <w:rPr>
                <w:lang w:eastAsia="en-AU"/>
              </w:rPr>
            </w:pPr>
            <w:r w:rsidRPr="000E5D38">
              <w:rPr>
                <w:lang w:eastAsia="en-AU"/>
              </w:rPr>
              <w:t>Insurance claims</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67DBCB01" w14:textId="77777777" w:rsidR="006E51BF" w:rsidRPr="00610184" w:rsidRDefault="006E51BF">
            <w:pPr>
              <w:pStyle w:val="ARfintabletextright"/>
            </w:pPr>
            <w:r w:rsidRPr="00610184">
              <w:t>262.7</w:t>
            </w:r>
          </w:p>
        </w:tc>
        <w:tc>
          <w:tcPr>
            <w:tcW w:w="809" w:type="pct"/>
            <w:tcBorders>
              <w:bottom w:val="single" w:sz="4" w:space="0" w:color="BFBFBF" w:themeColor="accent2"/>
            </w:tcBorders>
            <w:noWrap/>
            <w:tcMar>
              <w:right w:w="0" w:type="nil"/>
            </w:tcMar>
            <w:hideMark/>
          </w:tcPr>
          <w:p w14:paraId="7607C9B0" w14:textId="77777777" w:rsidR="006E51BF" w:rsidRPr="00610184"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610184">
              <w:t>249.0</w:t>
            </w:r>
          </w:p>
        </w:tc>
      </w:tr>
      <w:tr w:rsidR="006E51BF" w:rsidRPr="000E5D38" w14:paraId="1ACF5F75"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hideMark/>
          </w:tcPr>
          <w:p w14:paraId="3460F98C" w14:textId="77777777" w:rsidR="006E51BF" w:rsidRPr="000E5D38" w:rsidRDefault="006E51BF">
            <w:pPr>
              <w:pStyle w:val="ARfintabletext"/>
              <w:rPr>
                <w:lang w:eastAsia="en-AU"/>
              </w:rPr>
            </w:pPr>
            <w:r w:rsidRPr="000E5D38">
              <w:rPr>
                <w:lang w:eastAsia="en-AU"/>
              </w:rPr>
              <w:t>Make-good provision</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075233C0" w14:textId="77777777" w:rsidR="006E51BF" w:rsidRPr="00610184" w:rsidRDefault="006E51BF">
            <w:pPr>
              <w:pStyle w:val="ARfintabletextright"/>
            </w:pPr>
            <w:r w:rsidRPr="00610184">
              <w:t>5.1</w:t>
            </w:r>
          </w:p>
        </w:tc>
        <w:tc>
          <w:tcPr>
            <w:tcW w:w="809" w:type="pct"/>
            <w:tcBorders>
              <w:top w:val="single" w:sz="4" w:space="0" w:color="BFBFBF" w:themeColor="accent2"/>
              <w:bottom w:val="single" w:sz="4" w:space="0" w:color="000000" w:themeColor="text1"/>
            </w:tcBorders>
            <w:noWrap/>
            <w:tcMar>
              <w:right w:w="0" w:type="nil"/>
            </w:tcMar>
            <w:hideMark/>
          </w:tcPr>
          <w:p w14:paraId="7797EF97" w14:textId="77777777" w:rsidR="006E51BF" w:rsidRPr="00610184"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610184">
              <w:t>4.6</w:t>
            </w:r>
          </w:p>
        </w:tc>
      </w:tr>
      <w:tr w:rsidR="006E51BF" w:rsidRPr="000E5D38" w14:paraId="4DFCBD8B"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hideMark/>
          </w:tcPr>
          <w:p w14:paraId="208DB8B0" w14:textId="77777777" w:rsidR="006E51BF" w:rsidRPr="000E5D38" w:rsidRDefault="006E51BF">
            <w:pPr>
              <w:pStyle w:val="ARfintabletextbold"/>
              <w:rPr>
                <w:lang w:eastAsia="en-AU"/>
              </w:rPr>
            </w:pPr>
            <w:r w:rsidRPr="000E5D38">
              <w:rPr>
                <w:lang w:eastAsia="en-AU"/>
              </w:rPr>
              <w:t>Total current provisions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77F2FFB7" w14:textId="77777777" w:rsidR="006E51BF" w:rsidRPr="00610184" w:rsidRDefault="006E51BF">
            <w:pPr>
              <w:pStyle w:val="ARfintabletextboldright"/>
            </w:pPr>
            <w:r w:rsidRPr="00610184">
              <w:t>443.1</w:t>
            </w:r>
          </w:p>
        </w:tc>
        <w:tc>
          <w:tcPr>
            <w:tcW w:w="809" w:type="pct"/>
            <w:tcBorders>
              <w:top w:val="single" w:sz="4" w:space="0" w:color="000000" w:themeColor="text1"/>
              <w:bottom w:val="single" w:sz="4" w:space="0" w:color="000000" w:themeColor="text1"/>
            </w:tcBorders>
            <w:noWrap/>
            <w:tcMar>
              <w:right w:w="0" w:type="nil"/>
            </w:tcMar>
            <w:hideMark/>
          </w:tcPr>
          <w:p w14:paraId="40491022" w14:textId="77777777" w:rsidR="006E51BF" w:rsidRPr="00610184" w:rsidRDefault="006E51BF">
            <w:pPr>
              <w:pStyle w:val="ARfintabletextboldright"/>
              <w:cnfStyle w:val="000000100000" w:firstRow="0" w:lastRow="0" w:firstColumn="0" w:lastColumn="0" w:oddVBand="0" w:evenVBand="0" w:oddHBand="1" w:evenHBand="0" w:firstRowFirstColumn="0" w:firstRowLastColumn="0" w:lastRowFirstColumn="0" w:lastRowLastColumn="0"/>
            </w:pPr>
            <w:r w:rsidRPr="00610184">
              <w:t>457.2</w:t>
            </w:r>
          </w:p>
        </w:tc>
      </w:tr>
      <w:tr w:rsidR="006E51BF" w:rsidRPr="000E5D38" w14:paraId="597F46B2"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tcBorders>
            <w:noWrap/>
            <w:hideMark/>
          </w:tcPr>
          <w:p w14:paraId="74006B7D" w14:textId="77777777" w:rsidR="006E51BF" w:rsidRPr="000E5D38" w:rsidRDefault="006E51BF">
            <w:pPr>
              <w:pStyle w:val="ARfintabletextboldcoloured"/>
              <w:rPr>
                <w:lang w:eastAsia="en-AU"/>
              </w:rPr>
            </w:pPr>
            <w:r w:rsidRPr="000E5D38">
              <w:rPr>
                <w:lang w:eastAsia="en-AU"/>
              </w:rPr>
              <w:t>Non-current provisions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tcMar>
              <w:right w:w="0" w:type="nil"/>
            </w:tcMar>
            <w:hideMark/>
          </w:tcPr>
          <w:p w14:paraId="4F288D20" w14:textId="77777777" w:rsidR="006E51BF" w:rsidRPr="00610184" w:rsidRDefault="006E51BF">
            <w:pPr>
              <w:pStyle w:val="ARfintabletextright"/>
            </w:pPr>
          </w:p>
        </w:tc>
        <w:tc>
          <w:tcPr>
            <w:tcW w:w="809" w:type="pct"/>
            <w:tcBorders>
              <w:top w:val="single" w:sz="4" w:space="0" w:color="000000" w:themeColor="text1"/>
            </w:tcBorders>
            <w:noWrap/>
            <w:tcMar>
              <w:right w:w="0" w:type="nil"/>
            </w:tcMar>
            <w:hideMark/>
          </w:tcPr>
          <w:p w14:paraId="61BAE20F" w14:textId="77777777" w:rsidR="006E51BF" w:rsidRPr="00610184" w:rsidRDefault="006E51BF">
            <w:pPr>
              <w:pStyle w:val="ARfintabletextright"/>
              <w:cnfStyle w:val="000000010000" w:firstRow="0" w:lastRow="0" w:firstColumn="0" w:lastColumn="0" w:oddVBand="0" w:evenVBand="0" w:oddHBand="0" w:evenHBand="1" w:firstRowFirstColumn="0" w:firstRowLastColumn="0" w:lastRowFirstColumn="0" w:lastRowLastColumn="0"/>
            </w:pPr>
          </w:p>
        </w:tc>
      </w:tr>
      <w:tr w:rsidR="006E51BF" w:rsidRPr="000E5D38" w14:paraId="11C9EFB0"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02C7EE10" w14:textId="77777777" w:rsidR="006E51BF" w:rsidRPr="00610184" w:rsidRDefault="006E51BF">
            <w:pPr>
              <w:pStyle w:val="ARfintabletext"/>
            </w:pPr>
            <w:r w:rsidRPr="00610184">
              <w:t>Redress scheme provision</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4B0495A8" w14:textId="77777777" w:rsidR="006E51BF" w:rsidRPr="00610184" w:rsidRDefault="006E51BF">
            <w:pPr>
              <w:pStyle w:val="ARfintabletextright"/>
            </w:pPr>
            <w:r w:rsidRPr="00324595">
              <w:t>–</w:t>
            </w:r>
          </w:p>
        </w:tc>
        <w:tc>
          <w:tcPr>
            <w:tcW w:w="809" w:type="pct"/>
            <w:noWrap/>
            <w:tcMar>
              <w:right w:w="0" w:type="nil"/>
            </w:tcMar>
            <w:hideMark/>
          </w:tcPr>
          <w:p w14:paraId="09EE3091" w14:textId="77777777" w:rsidR="006E51BF" w:rsidRPr="00610184"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324595">
              <w:t>–</w:t>
            </w:r>
          </w:p>
        </w:tc>
      </w:tr>
      <w:tr w:rsidR="006E51BF" w:rsidRPr="000E5D38" w14:paraId="6DE939E1"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tcBorders>
              <w:bottom w:val="single" w:sz="4" w:space="0" w:color="BFBFBF" w:themeColor="accent2"/>
            </w:tcBorders>
            <w:noWrap/>
            <w:hideMark/>
          </w:tcPr>
          <w:p w14:paraId="0AFCF195" w14:textId="77777777" w:rsidR="006E51BF" w:rsidRPr="00610184" w:rsidRDefault="006E51BF">
            <w:pPr>
              <w:pStyle w:val="ARfintabletext"/>
            </w:pPr>
            <w:r w:rsidRPr="00610184">
              <w:t>Insurance claims</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24CC8EE9" w14:textId="77777777" w:rsidR="006E51BF" w:rsidRPr="00610184" w:rsidRDefault="006E51BF">
            <w:pPr>
              <w:pStyle w:val="ARfintabletextright"/>
            </w:pPr>
            <w:r w:rsidRPr="00610184">
              <w:t>305.1</w:t>
            </w:r>
          </w:p>
        </w:tc>
        <w:tc>
          <w:tcPr>
            <w:tcW w:w="809" w:type="pct"/>
            <w:tcBorders>
              <w:bottom w:val="single" w:sz="4" w:space="0" w:color="BFBFBF" w:themeColor="accent2"/>
            </w:tcBorders>
            <w:noWrap/>
            <w:tcMar>
              <w:right w:w="0" w:type="nil"/>
            </w:tcMar>
            <w:hideMark/>
          </w:tcPr>
          <w:p w14:paraId="569359CF" w14:textId="77777777" w:rsidR="006E51BF" w:rsidRPr="00610184"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610184">
              <w:t>273.6</w:t>
            </w:r>
          </w:p>
        </w:tc>
      </w:tr>
      <w:tr w:rsidR="006E51BF" w:rsidRPr="000E5D38" w14:paraId="2AE96FCC"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hideMark/>
          </w:tcPr>
          <w:p w14:paraId="275E6B38" w14:textId="77777777" w:rsidR="006E51BF" w:rsidRPr="00610184" w:rsidRDefault="006E51BF">
            <w:pPr>
              <w:pStyle w:val="ARfintabletext"/>
            </w:pPr>
            <w:r w:rsidRPr="00610184">
              <w:t>Make-good provision</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6C440E32" w14:textId="77777777" w:rsidR="006E51BF" w:rsidRPr="00610184" w:rsidRDefault="006E51BF">
            <w:pPr>
              <w:pStyle w:val="ARfintabletextright"/>
            </w:pPr>
            <w:r w:rsidRPr="00610184">
              <w:t>9.9</w:t>
            </w:r>
          </w:p>
        </w:tc>
        <w:tc>
          <w:tcPr>
            <w:tcW w:w="809" w:type="pct"/>
            <w:tcBorders>
              <w:top w:val="single" w:sz="4" w:space="0" w:color="BFBFBF" w:themeColor="accent2"/>
              <w:bottom w:val="single" w:sz="4" w:space="0" w:color="000000" w:themeColor="text1"/>
            </w:tcBorders>
            <w:noWrap/>
            <w:tcMar>
              <w:right w:w="0" w:type="nil"/>
            </w:tcMar>
            <w:hideMark/>
          </w:tcPr>
          <w:p w14:paraId="09E17F9D" w14:textId="77777777" w:rsidR="006E51BF" w:rsidRPr="00610184"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610184">
              <w:t>11.1</w:t>
            </w:r>
          </w:p>
        </w:tc>
      </w:tr>
      <w:tr w:rsidR="006E51BF" w:rsidRPr="000E5D38" w14:paraId="18A6A1AF"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hideMark/>
          </w:tcPr>
          <w:p w14:paraId="58729CB4" w14:textId="77777777" w:rsidR="006E51BF" w:rsidRPr="000E5D38" w:rsidRDefault="006E51BF">
            <w:pPr>
              <w:pStyle w:val="ARfintabletextbold"/>
              <w:rPr>
                <w:lang w:eastAsia="en-AU"/>
              </w:rPr>
            </w:pPr>
            <w:r w:rsidRPr="000E5D38">
              <w:rPr>
                <w:lang w:eastAsia="en-AU"/>
              </w:rPr>
              <w:t>Total non-current provisions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3FF29D0D" w14:textId="77777777" w:rsidR="006E51BF" w:rsidRPr="00610184" w:rsidRDefault="006E51BF">
            <w:pPr>
              <w:pStyle w:val="ARfintabletextright"/>
            </w:pPr>
            <w:r w:rsidRPr="00610184">
              <w:t>315.0</w:t>
            </w:r>
          </w:p>
        </w:tc>
        <w:tc>
          <w:tcPr>
            <w:tcW w:w="809" w:type="pct"/>
            <w:tcBorders>
              <w:top w:val="single" w:sz="4" w:space="0" w:color="000000" w:themeColor="text1"/>
              <w:bottom w:val="single" w:sz="4" w:space="0" w:color="000000" w:themeColor="text1"/>
            </w:tcBorders>
            <w:noWrap/>
            <w:tcMar>
              <w:right w:w="0" w:type="nil"/>
            </w:tcMar>
            <w:hideMark/>
          </w:tcPr>
          <w:p w14:paraId="597FD8A2" w14:textId="77777777" w:rsidR="006E51BF" w:rsidRPr="00610184"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610184">
              <w:t>284.7</w:t>
            </w:r>
          </w:p>
        </w:tc>
      </w:tr>
      <w:tr w:rsidR="006E51BF" w:rsidRPr="000E5D38" w14:paraId="69CB227B"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3383" w:type="pct"/>
            <w:noWrap/>
            <w:hideMark/>
          </w:tcPr>
          <w:p w14:paraId="4B958074" w14:textId="77777777" w:rsidR="006E51BF" w:rsidRPr="000E5D38" w:rsidRDefault="006E51BF">
            <w:pPr>
              <w:pStyle w:val="ARfintabletextbold"/>
              <w:rPr>
                <w:lang w:eastAsia="en-AU"/>
              </w:rPr>
            </w:pPr>
            <w:r w:rsidRPr="000E5D38">
              <w:rPr>
                <w:lang w:eastAsia="en-AU"/>
              </w:rPr>
              <w:t>Total other provisions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416DBFBA" w14:textId="77777777" w:rsidR="006E51BF" w:rsidRPr="000E5D38" w:rsidRDefault="006E51BF">
            <w:pPr>
              <w:pStyle w:val="ARfintabletextboldright"/>
              <w:rPr>
                <w:lang w:eastAsia="en-AU"/>
              </w:rPr>
            </w:pPr>
            <w:r w:rsidRPr="000E5D38">
              <w:rPr>
                <w:lang w:eastAsia="en-AU"/>
              </w:rPr>
              <w:t>758.1</w:t>
            </w:r>
          </w:p>
        </w:tc>
        <w:tc>
          <w:tcPr>
            <w:tcW w:w="809" w:type="pct"/>
            <w:noWrap/>
            <w:tcMar>
              <w:right w:w="0" w:type="nil"/>
            </w:tcMar>
            <w:hideMark/>
          </w:tcPr>
          <w:p w14:paraId="2A611764" w14:textId="77777777" w:rsidR="006E51BF" w:rsidRPr="000E5D38"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0E5D38">
              <w:rPr>
                <w:lang w:eastAsia="en-AU"/>
              </w:rPr>
              <w:t>741.9</w:t>
            </w:r>
          </w:p>
        </w:tc>
      </w:tr>
    </w:tbl>
    <w:p w14:paraId="30F6A9A4" w14:textId="77777777" w:rsidR="006E51BF" w:rsidRPr="000E5D38" w:rsidRDefault="006E51BF">
      <w:pPr>
        <w:pStyle w:val="ARfinbodyaftertableorfigure"/>
      </w:pPr>
      <w:r w:rsidRPr="000E5D38">
        <w:t xml:space="preserve">Provisions are recognised when the department has a present obligation, the future sacrifice of economic benefits is probable, and the amount of the provision can be measured reliably. The amount recognised as a provision is the best estimate of the consideration required to settle the present obligation at reporting date, </w:t>
      </w:r>
      <w:proofErr w:type="gramStart"/>
      <w:r w:rsidRPr="000E5D38">
        <w:t>taking into account</w:t>
      </w:r>
      <w:proofErr w:type="gramEnd"/>
      <w:r w:rsidRPr="000E5D38">
        <w:t xml:space="preserve"> the risks and uncertainties surrounding the obligation.</w:t>
      </w:r>
    </w:p>
    <w:p w14:paraId="01D6D412" w14:textId="77777777" w:rsidR="006E51BF" w:rsidRPr="000E5D38" w:rsidRDefault="006E51BF">
      <w:pPr>
        <w:pStyle w:val="ARfinbody"/>
      </w:pPr>
      <w:r w:rsidRPr="000E5D38">
        <w:t xml:space="preserve">Where a provision is measured using the cash flows estimated to settle the present obligation, </w:t>
      </w:r>
      <w:proofErr w:type="gramStart"/>
      <w:r w:rsidRPr="000E5D38">
        <w:t>its</w:t>
      </w:r>
      <w:proofErr w:type="gramEnd"/>
      <w:r w:rsidRPr="000E5D38">
        <w:t xml:space="preserve"> carrying amount is the</w:t>
      </w:r>
      <w:r>
        <w:t> </w:t>
      </w:r>
      <w:r w:rsidRPr="000E5D38">
        <w:t>present value of those cash flows, using a discount rate that reflects the time, value of money and risks specific to</w:t>
      </w:r>
      <w:r>
        <w:t> </w:t>
      </w:r>
      <w:r w:rsidRPr="000E5D38">
        <w:t>the</w:t>
      </w:r>
      <w:r>
        <w:t> </w:t>
      </w:r>
      <w:r w:rsidRPr="000E5D38">
        <w:t>provision.</w:t>
      </w:r>
    </w:p>
    <w:p w14:paraId="299261B3" w14:textId="77777777" w:rsidR="006E51BF" w:rsidRPr="000E5D38" w:rsidRDefault="006E51BF">
      <w:pPr>
        <w:pStyle w:val="Heading5"/>
        <w:rPr>
          <w:lang w:eastAsia="en-AU"/>
        </w:rPr>
      </w:pPr>
      <w:r w:rsidRPr="000E5D38">
        <w:rPr>
          <w:lang w:eastAsia="en-AU"/>
        </w:rPr>
        <w:t xml:space="preserve">6.4.1 </w:t>
      </w:r>
      <w:r>
        <w:rPr>
          <w:lang w:eastAsia="en-AU"/>
        </w:rPr>
        <w:tab/>
      </w:r>
      <w:r w:rsidRPr="000E5D38">
        <w:rPr>
          <w:lang w:eastAsia="en-AU"/>
        </w:rPr>
        <w:t>Reconciliation of movements in other provisions</w:t>
      </w:r>
    </w:p>
    <w:tbl>
      <w:tblPr>
        <w:tblStyle w:val="ARtable1"/>
        <w:tblW w:w="5000" w:type="pct"/>
        <w:tblLook w:val="00E0" w:firstRow="1" w:lastRow="1" w:firstColumn="1" w:lastColumn="0" w:noHBand="0" w:noVBand="0"/>
      </w:tblPr>
      <w:tblGrid>
        <w:gridCol w:w="4534"/>
        <w:gridCol w:w="1273"/>
        <w:gridCol w:w="1273"/>
        <w:gridCol w:w="1273"/>
        <w:gridCol w:w="1275"/>
      </w:tblGrid>
      <w:tr w:rsidR="006E51BF" w:rsidRPr="000E5D38" w14:paraId="56683446" w14:textId="77777777" w:rsidTr="00304BA9">
        <w:trPr>
          <w:cnfStyle w:val="100000000000" w:firstRow="1" w:lastRow="0" w:firstColumn="0" w:lastColumn="0" w:oddVBand="0" w:evenVBand="0" w:oddHBand="0" w:evenHBand="0" w:firstRowFirstColumn="0" w:firstRowLastColumn="0" w:lastRowFirstColumn="0" w:lastRowLastColumn="0"/>
          <w:trHeight w:val="20"/>
          <w:tblHeader/>
        </w:trPr>
        <w:tc>
          <w:tcPr>
            <w:tcW w:w="2354" w:type="pct"/>
            <w:hideMark/>
          </w:tcPr>
          <w:p w14:paraId="6FBADB7B" w14:textId="77777777" w:rsidR="006E51BF" w:rsidRPr="000E5D38" w:rsidRDefault="006E51BF">
            <w:pPr>
              <w:spacing w:after="0" w:line="240" w:lineRule="auto"/>
              <w:rPr>
                <w:rFonts w:ascii="Verdana" w:hAnsi="Verdana" w:cs="Arial"/>
                <w:color w:val="000000"/>
                <w:sz w:val="20"/>
                <w:lang w:eastAsia="en-AU"/>
              </w:rPr>
            </w:pPr>
          </w:p>
        </w:tc>
        <w:tc>
          <w:tcPr>
            <w:cnfStyle w:val="000001000000" w:firstRow="0" w:lastRow="0" w:firstColumn="0" w:lastColumn="0" w:oddVBand="0" w:evenVBand="1" w:oddHBand="0" w:evenHBand="0" w:firstRowFirstColumn="0" w:firstRowLastColumn="0" w:lastRowFirstColumn="0" w:lastRowLastColumn="0"/>
            <w:tcW w:w="661" w:type="pct"/>
            <w:tcMar>
              <w:right w:w="0" w:type="nil"/>
            </w:tcMar>
            <w:hideMark/>
          </w:tcPr>
          <w:p w14:paraId="6E82EB27" w14:textId="77777777" w:rsidR="006E51BF" w:rsidRPr="000E5D38" w:rsidRDefault="006E51BF">
            <w:pPr>
              <w:pStyle w:val="ARfintablecolheadright"/>
              <w:rPr>
                <w:lang w:eastAsia="en-AU"/>
              </w:rPr>
            </w:pPr>
            <w:r w:rsidRPr="000E5D38">
              <w:rPr>
                <w:lang w:eastAsia="en-AU"/>
              </w:rPr>
              <w:t>Redress Scheme provision</w:t>
            </w:r>
          </w:p>
          <w:p w14:paraId="2F841F8B" w14:textId="77777777" w:rsidR="006E51BF" w:rsidRPr="000E5D38" w:rsidRDefault="006E51BF">
            <w:pPr>
              <w:pStyle w:val="ARfintablecolheadright"/>
              <w:rPr>
                <w:lang w:eastAsia="en-AU"/>
              </w:rPr>
            </w:pPr>
            <w:r w:rsidRPr="000E5D38">
              <w:rPr>
                <w:lang w:eastAsia="en-AU"/>
              </w:rPr>
              <w:t>2026</w:t>
            </w:r>
          </w:p>
          <w:p w14:paraId="7ABAF261" w14:textId="77777777" w:rsidR="006E51BF" w:rsidRPr="000E5D38" w:rsidRDefault="006E51BF">
            <w:pPr>
              <w:pStyle w:val="ARfintablecolheadright"/>
              <w:rPr>
                <w:lang w:eastAsia="en-AU"/>
              </w:rPr>
            </w:pPr>
            <w:r w:rsidRPr="000E5D38">
              <w:rPr>
                <w:lang w:eastAsia="en-AU"/>
              </w:rPr>
              <w:t>$M</w:t>
            </w:r>
          </w:p>
        </w:tc>
        <w:tc>
          <w:tcPr>
            <w:tcW w:w="661" w:type="pct"/>
            <w:tcMar>
              <w:right w:w="0" w:type="nil"/>
            </w:tcMar>
            <w:hideMark/>
          </w:tcPr>
          <w:p w14:paraId="70F1801A" w14:textId="77777777" w:rsidR="006E51BF" w:rsidRPr="000E5D38"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E5D38">
              <w:rPr>
                <w:lang w:eastAsia="en-AU"/>
              </w:rPr>
              <w:t>Make-good</w:t>
            </w:r>
          </w:p>
          <w:p w14:paraId="7BCC51DD" w14:textId="77777777" w:rsidR="006E51BF" w:rsidRPr="000E5D38"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E5D38">
              <w:rPr>
                <w:lang w:eastAsia="en-AU"/>
              </w:rPr>
              <w:t>2026</w:t>
            </w:r>
          </w:p>
          <w:p w14:paraId="686D8531" w14:textId="77777777" w:rsidR="006E51BF" w:rsidRPr="000E5D38"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E5D38">
              <w:rPr>
                <w:lang w:eastAsia="en-AU"/>
              </w:rPr>
              <w:t>$M</w:t>
            </w:r>
          </w:p>
        </w:tc>
        <w:tc>
          <w:tcPr>
            <w:cnfStyle w:val="000001000000" w:firstRow="0" w:lastRow="0" w:firstColumn="0" w:lastColumn="0" w:oddVBand="0" w:evenVBand="1" w:oddHBand="0" w:evenHBand="0" w:firstRowFirstColumn="0" w:firstRowLastColumn="0" w:lastRowFirstColumn="0" w:lastRowLastColumn="0"/>
            <w:tcW w:w="661" w:type="pct"/>
            <w:tcMar>
              <w:right w:w="0" w:type="nil"/>
            </w:tcMar>
            <w:hideMark/>
          </w:tcPr>
          <w:p w14:paraId="4C9B9705" w14:textId="77777777" w:rsidR="006E51BF" w:rsidRPr="000E5D38" w:rsidRDefault="006E51BF">
            <w:pPr>
              <w:pStyle w:val="ARfintablecolheadright"/>
              <w:rPr>
                <w:lang w:eastAsia="en-AU"/>
              </w:rPr>
            </w:pPr>
            <w:r w:rsidRPr="000E5D38">
              <w:rPr>
                <w:lang w:eastAsia="en-AU"/>
              </w:rPr>
              <w:t>Insurance claims</w:t>
            </w:r>
          </w:p>
          <w:p w14:paraId="07FD7C14" w14:textId="77777777" w:rsidR="006E51BF" w:rsidRPr="000E5D38" w:rsidRDefault="006E51BF">
            <w:pPr>
              <w:pStyle w:val="ARfintablecolheadright"/>
              <w:rPr>
                <w:lang w:eastAsia="en-AU"/>
              </w:rPr>
            </w:pPr>
            <w:r w:rsidRPr="000E5D38">
              <w:rPr>
                <w:lang w:eastAsia="en-AU"/>
              </w:rPr>
              <w:t>2026</w:t>
            </w:r>
          </w:p>
          <w:p w14:paraId="228DB5E7" w14:textId="77777777" w:rsidR="006E51BF" w:rsidRPr="000E5D38" w:rsidRDefault="006E51BF">
            <w:pPr>
              <w:pStyle w:val="ARfintablecolheadright"/>
              <w:rPr>
                <w:lang w:eastAsia="en-AU"/>
              </w:rPr>
            </w:pPr>
            <w:r w:rsidRPr="000E5D38">
              <w:rPr>
                <w:lang w:eastAsia="en-AU"/>
              </w:rPr>
              <w:t>$M</w:t>
            </w:r>
          </w:p>
        </w:tc>
        <w:tc>
          <w:tcPr>
            <w:tcW w:w="662" w:type="pct"/>
            <w:tcMar>
              <w:right w:w="0" w:type="nil"/>
            </w:tcMar>
            <w:hideMark/>
          </w:tcPr>
          <w:p w14:paraId="31881FF5" w14:textId="77777777" w:rsidR="006E51BF" w:rsidRPr="000E5D38"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E5D38">
              <w:rPr>
                <w:lang w:eastAsia="en-AU"/>
              </w:rPr>
              <w:t>Total</w:t>
            </w:r>
          </w:p>
          <w:p w14:paraId="4E3EC6F4" w14:textId="77777777" w:rsidR="006E51BF" w:rsidRPr="000E5D38"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E5D38">
              <w:rPr>
                <w:lang w:eastAsia="en-AU"/>
              </w:rPr>
              <w:t>2026</w:t>
            </w:r>
          </w:p>
          <w:p w14:paraId="59636D62" w14:textId="77777777" w:rsidR="006E51BF" w:rsidRPr="000E5D38"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E5D38">
              <w:rPr>
                <w:lang w:eastAsia="en-AU"/>
              </w:rPr>
              <w:t>$M</w:t>
            </w:r>
          </w:p>
        </w:tc>
      </w:tr>
      <w:tr w:rsidR="006E51BF" w:rsidRPr="000E5D38" w14:paraId="078C9424"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354" w:type="pct"/>
            <w:noWrap/>
            <w:hideMark/>
          </w:tcPr>
          <w:p w14:paraId="76AA3BF1" w14:textId="77777777" w:rsidR="006E51BF" w:rsidRPr="000E5D38" w:rsidRDefault="006E51BF">
            <w:pPr>
              <w:pStyle w:val="ARfintabletextboldcoloured"/>
              <w:rPr>
                <w:lang w:eastAsia="en-AU"/>
              </w:rPr>
            </w:pPr>
            <w:r w:rsidRPr="000E5D38">
              <w:rPr>
                <w:lang w:eastAsia="en-AU"/>
              </w:rPr>
              <w:t>Opening balance</w:t>
            </w:r>
          </w:p>
        </w:tc>
        <w:tc>
          <w:tcPr>
            <w:cnfStyle w:val="000001000000" w:firstRow="0" w:lastRow="0" w:firstColumn="0" w:lastColumn="0" w:oddVBand="0" w:evenVBand="1" w:oddHBand="0" w:evenHBand="0" w:firstRowFirstColumn="0" w:firstRowLastColumn="0" w:lastRowFirstColumn="0" w:lastRowLastColumn="0"/>
            <w:tcW w:w="661" w:type="pct"/>
            <w:noWrap/>
            <w:tcMar>
              <w:right w:w="0" w:type="nil"/>
            </w:tcMar>
            <w:hideMark/>
          </w:tcPr>
          <w:p w14:paraId="7BCA7692" w14:textId="77777777" w:rsidR="006E51BF" w:rsidRPr="000E5D38" w:rsidRDefault="006E51BF">
            <w:pPr>
              <w:pStyle w:val="ARfintabletextright"/>
              <w:rPr>
                <w:lang w:eastAsia="en-AU"/>
              </w:rPr>
            </w:pPr>
            <w:r w:rsidRPr="000E5D38">
              <w:rPr>
                <w:lang w:eastAsia="en-AU"/>
              </w:rPr>
              <w:t>203.6</w:t>
            </w:r>
          </w:p>
        </w:tc>
        <w:tc>
          <w:tcPr>
            <w:tcW w:w="661" w:type="pct"/>
            <w:noWrap/>
            <w:tcMar>
              <w:right w:w="0" w:type="nil"/>
            </w:tcMar>
            <w:hideMark/>
          </w:tcPr>
          <w:p w14:paraId="2133C025" w14:textId="77777777" w:rsidR="006E51BF" w:rsidRPr="000E5D38"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0E5D38">
              <w:rPr>
                <w:lang w:eastAsia="en-AU"/>
              </w:rPr>
              <w:t>15.7</w:t>
            </w:r>
          </w:p>
        </w:tc>
        <w:tc>
          <w:tcPr>
            <w:cnfStyle w:val="000001000000" w:firstRow="0" w:lastRow="0" w:firstColumn="0" w:lastColumn="0" w:oddVBand="0" w:evenVBand="1" w:oddHBand="0" w:evenHBand="0" w:firstRowFirstColumn="0" w:firstRowLastColumn="0" w:lastRowFirstColumn="0" w:lastRowLastColumn="0"/>
            <w:tcW w:w="661" w:type="pct"/>
            <w:noWrap/>
            <w:tcMar>
              <w:right w:w="0" w:type="nil"/>
            </w:tcMar>
            <w:hideMark/>
          </w:tcPr>
          <w:p w14:paraId="595EFDB8" w14:textId="77777777" w:rsidR="006E51BF" w:rsidRPr="000E5D38" w:rsidRDefault="006E51BF">
            <w:pPr>
              <w:pStyle w:val="ARfintabletextright"/>
              <w:rPr>
                <w:lang w:eastAsia="en-AU"/>
              </w:rPr>
            </w:pPr>
            <w:r w:rsidRPr="000E5D38">
              <w:rPr>
                <w:lang w:eastAsia="en-AU"/>
              </w:rPr>
              <w:t>522.6</w:t>
            </w:r>
          </w:p>
        </w:tc>
        <w:tc>
          <w:tcPr>
            <w:tcW w:w="662" w:type="pct"/>
            <w:noWrap/>
            <w:tcMar>
              <w:right w:w="0" w:type="nil"/>
            </w:tcMar>
            <w:hideMark/>
          </w:tcPr>
          <w:p w14:paraId="2C38511D" w14:textId="77777777" w:rsidR="006E51BF" w:rsidRPr="000E5D38"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0E5D38">
              <w:rPr>
                <w:lang w:eastAsia="en-AU"/>
              </w:rPr>
              <w:t>741.9</w:t>
            </w:r>
          </w:p>
        </w:tc>
      </w:tr>
      <w:tr w:rsidR="006E51BF" w:rsidRPr="000E5D38" w14:paraId="58C40173"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354" w:type="pct"/>
            <w:noWrap/>
            <w:hideMark/>
          </w:tcPr>
          <w:p w14:paraId="371BCAF2" w14:textId="77777777" w:rsidR="006E51BF" w:rsidRPr="000E5D38" w:rsidRDefault="006E51BF">
            <w:pPr>
              <w:pStyle w:val="ARfintabletext"/>
              <w:rPr>
                <w:lang w:eastAsia="en-AU"/>
              </w:rPr>
            </w:pPr>
            <w:r w:rsidRPr="000E5D38">
              <w:rPr>
                <w:lang w:eastAsia="en-AU"/>
              </w:rPr>
              <w:t>Additional provisions recognised</w:t>
            </w:r>
          </w:p>
        </w:tc>
        <w:tc>
          <w:tcPr>
            <w:cnfStyle w:val="000001000000" w:firstRow="0" w:lastRow="0" w:firstColumn="0" w:lastColumn="0" w:oddVBand="0" w:evenVBand="1" w:oddHBand="0" w:evenHBand="0" w:firstRowFirstColumn="0" w:firstRowLastColumn="0" w:lastRowFirstColumn="0" w:lastRowLastColumn="0"/>
            <w:tcW w:w="661" w:type="pct"/>
            <w:noWrap/>
            <w:tcMar>
              <w:right w:w="0" w:type="nil"/>
            </w:tcMar>
            <w:hideMark/>
          </w:tcPr>
          <w:p w14:paraId="404583A6" w14:textId="77777777" w:rsidR="006E51BF" w:rsidRPr="000E5D38" w:rsidRDefault="006E51BF">
            <w:pPr>
              <w:pStyle w:val="ARfintabletextright"/>
              <w:rPr>
                <w:lang w:eastAsia="en-AU"/>
              </w:rPr>
            </w:pPr>
            <w:r>
              <w:rPr>
                <w:lang w:eastAsia="en-AU"/>
              </w:rPr>
              <w:t>–</w:t>
            </w:r>
          </w:p>
        </w:tc>
        <w:tc>
          <w:tcPr>
            <w:tcW w:w="661" w:type="pct"/>
            <w:noWrap/>
            <w:tcMar>
              <w:right w:w="0" w:type="nil"/>
            </w:tcMar>
            <w:hideMark/>
          </w:tcPr>
          <w:p w14:paraId="45D85A0F" w14:textId="77777777" w:rsidR="006E51BF" w:rsidRPr="000E5D38"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0E5D38">
              <w:rPr>
                <w:lang w:eastAsia="en-AU"/>
              </w:rPr>
              <w:t>(0.6)</w:t>
            </w:r>
          </w:p>
        </w:tc>
        <w:tc>
          <w:tcPr>
            <w:cnfStyle w:val="000001000000" w:firstRow="0" w:lastRow="0" w:firstColumn="0" w:lastColumn="0" w:oddVBand="0" w:evenVBand="1" w:oddHBand="0" w:evenHBand="0" w:firstRowFirstColumn="0" w:firstRowLastColumn="0" w:lastRowFirstColumn="0" w:lastRowLastColumn="0"/>
            <w:tcW w:w="661" w:type="pct"/>
            <w:noWrap/>
            <w:tcMar>
              <w:right w:w="0" w:type="nil"/>
            </w:tcMar>
            <w:hideMark/>
          </w:tcPr>
          <w:p w14:paraId="1803DABA" w14:textId="77777777" w:rsidR="006E51BF" w:rsidRPr="000E5D38" w:rsidRDefault="006E51BF">
            <w:pPr>
              <w:pStyle w:val="ARfintabletextright"/>
              <w:rPr>
                <w:lang w:eastAsia="en-AU"/>
              </w:rPr>
            </w:pPr>
            <w:r>
              <w:rPr>
                <w:lang w:eastAsia="en-AU"/>
              </w:rPr>
              <w:t>277.0</w:t>
            </w:r>
          </w:p>
        </w:tc>
        <w:tc>
          <w:tcPr>
            <w:tcW w:w="662" w:type="pct"/>
            <w:noWrap/>
            <w:tcMar>
              <w:right w:w="0" w:type="nil"/>
            </w:tcMar>
            <w:hideMark/>
          </w:tcPr>
          <w:p w14:paraId="66EACCE9" w14:textId="77777777" w:rsidR="006E51BF" w:rsidRPr="000E5D38"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276.4</w:t>
            </w:r>
          </w:p>
        </w:tc>
      </w:tr>
      <w:tr w:rsidR="006E51BF" w:rsidRPr="000E5D38" w14:paraId="7CBB4884"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354" w:type="pct"/>
            <w:hideMark/>
          </w:tcPr>
          <w:p w14:paraId="72788DD0" w14:textId="77777777" w:rsidR="006E51BF" w:rsidRPr="000E5D38" w:rsidRDefault="006E51BF">
            <w:pPr>
              <w:pStyle w:val="ARfintabletext"/>
              <w:rPr>
                <w:lang w:eastAsia="en-AU"/>
              </w:rPr>
            </w:pPr>
            <w:r w:rsidRPr="000E5D38">
              <w:rPr>
                <w:lang w:eastAsia="en-AU"/>
              </w:rPr>
              <w:t>Reductions arising from payments/claims handling expenses/other sacrifices of future economic benefits</w:t>
            </w:r>
          </w:p>
        </w:tc>
        <w:tc>
          <w:tcPr>
            <w:cnfStyle w:val="000001000000" w:firstRow="0" w:lastRow="0" w:firstColumn="0" w:lastColumn="0" w:oddVBand="0" w:evenVBand="1" w:oddHBand="0" w:evenHBand="0" w:firstRowFirstColumn="0" w:firstRowLastColumn="0" w:lastRowFirstColumn="0" w:lastRowLastColumn="0"/>
            <w:tcW w:w="661" w:type="pct"/>
            <w:noWrap/>
            <w:tcMar>
              <w:right w:w="0" w:type="nil"/>
            </w:tcMar>
            <w:hideMark/>
          </w:tcPr>
          <w:p w14:paraId="15E55A21" w14:textId="77777777" w:rsidR="006E51BF" w:rsidRPr="000E5D38" w:rsidRDefault="006E51BF">
            <w:pPr>
              <w:pStyle w:val="ARfintabletextright"/>
              <w:rPr>
                <w:lang w:eastAsia="en-AU"/>
              </w:rPr>
            </w:pPr>
            <w:r w:rsidRPr="000E5D38">
              <w:rPr>
                <w:lang w:eastAsia="en-AU"/>
              </w:rPr>
              <w:t>(28.3)</w:t>
            </w:r>
          </w:p>
        </w:tc>
        <w:tc>
          <w:tcPr>
            <w:tcW w:w="661" w:type="pct"/>
            <w:noWrap/>
            <w:tcMar>
              <w:right w:w="0" w:type="nil"/>
            </w:tcMar>
            <w:hideMark/>
          </w:tcPr>
          <w:p w14:paraId="1ABF5751" w14:textId="77777777" w:rsidR="006E51BF" w:rsidRPr="000E5D38"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61" w:type="pct"/>
            <w:noWrap/>
            <w:tcMar>
              <w:right w:w="0" w:type="nil"/>
            </w:tcMar>
            <w:hideMark/>
          </w:tcPr>
          <w:p w14:paraId="39858229" w14:textId="77777777" w:rsidR="006E51BF" w:rsidRPr="000E5D38" w:rsidRDefault="006E51BF">
            <w:pPr>
              <w:pStyle w:val="ARfintabletextright"/>
              <w:rPr>
                <w:lang w:eastAsia="en-AU"/>
              </w:rPr>
            </w:pPr>
            <w:r w:rsidRPr="000E5D38">
              <w:rPr>
                <w:lang w:eastAsia="en-AU"/>
              </w:rPr>
              <w:t>(182.0)</w:t>
            </w:r>
          </w:p>
        </w:tc>
        <w:tc>
          <w:tcPr>
            <w:tcW w:w="662" w:type="pct"/>
            <w:noWrap/>
            <w:tcMar>
              <w:right w:w="0" w:type="nil"/>
            </w:tcMar>
            <w:hideMark/>
          </w:tcPr>
          <w:p w14:paraId="51DF4086" w14:textId="77777777" w:rsidR="006E51BF" w:rsidRPr="000E5D38"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0E5D38">
              <w:rPr>
                <w:lang w:eastAsia="en-AU"/>
              </w:rPr>
              <w:t>(210.3)</w:t>
            </w:r>
          </w:p>
        </w:tc>
      </w:tr>
      <w:tr w:rsidR="006E51BF" w:rsidRPr="000E5D38" w14:paraId="72C0F032"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354" w:type="pct"/>
            <w:hideMark/>
          </w:tcPr>
          <w:p w14:paraId="37D9E91D" w14:textId="77777777" w:rsidR="006E51BF" w:rsidRPr="000E5D38" w:rsidRDefault="006E51BF">
            <w:pPr>
              <w:pStyle w:val="ARfintabletext"/>
              <w:rPr>
                <w:lang w:eastAsia="en-AU"/>
              </w:rPr>
            </w:pPr>
            <w:r w:rsidRPr="000E5D38">
              <w:rPr>
                <w:lang w:eastAsia="en-AU"/>
              </w:rPr>
              <w:t>Actuarial revaluations of insurance claims liability inclusive of</w:t>
            </w:r>
            <w:r>
              <w:rPr>
                <w:lang w:eastAsia="en-AU"/>
              </w:rPr>
              <w:t> </w:t>
            </w:r>
            <w:r w:rsidRPr="000E5D38">
              <w:rPr>
                <w:lang w:eastAsia="en-AU"/>
              </w:rPr>
              <w:t>risk</w:t>
            </w:r>
            <w:r>
              <w:rPr>
                <w:lang w:eastAsia="en-AU"/>
              </w:rPr>
              <w:t> </w:t>
            </w:r>
            <w:r w:rsidRPr="000E5D38">
              <w:rPr>
                <w:lang w:eastAsia="en-AU"/>
              </w:rPr>
              <w:t>margin</w:t>
            </w:r>
          </w:p>
        </w:tc>
        <w:tc>
          <w:tcPr>
            <w:cnfStyle w:val="000001000000" w:firstRow="0" w:lastRow="0" w:firstColumn="0" w:lastColumn="0" w:oddVBand="0" w:evenVBand="1" w:oddHBand="0" w:evenHBand="0" w:firstRowFirstColumn="0" w:firstRowLastColumn="0" w:lastRowFirstColumn="0" w:lastRowLastColumn="0"/>
            <w:tcW w:w="661" w:type="pct"/>
            <w:noWrap/>
            <w:tcMar>
              <w:right w:w="0" w:type="nil"/>
            </w:tcMar>
            <w:hideMark/>
          </w:tcPr>
          <w:p w14:paraId="3DD0CC6F" w14:textId="77777777" w:rsidR="006E51BF" w:rsidRPr="000E5D38" w:rsidRDefault="006E51BF">
            <w:pPr>
              <w:pStyle w:val="ARfintabletextright"/>
              <w:rPr>
                <w:lang w:eastAsia="en-AU"/>
              </w:rPr>
            </w:pPr>
            <w:r>
              <w:rPr>
                <w:lang w:eastAsia="en-AU"/>
              </w:rPr>
              <w:t>–</w:t>
            </w:r>
          </w:p>
        </w:tc>
        <w:tc>
          <w:tcPr>
            <w:tcW w:w="661" w:type="pct"/>
            <w:noWrap/>
            <w:tcMar>
              <w:right w:w="0" w:type="nil"/>
            </w:tcMar>
            <w:hideMark/>
          </w:tcPr>
          <w:p w14:paraId="0E3FA26F" w14:textId="77777777" w:rsidR="006E51BF" w:rsidRPr="000E5D38"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61" w:type="pct"/>
            <w:noWrap/>
            <w:tcMar>
              <w:right w:w="0" w:type="nil"/>
            </w:tcMar>
            <w:hideMark/>
          </w:tcPr>
          <w:p w14:paraId="3A472336" w14:textId="77777777" w:rsidR="006E51BF" w:rsidRPr="000E5D38" w:rsidRDefault="006E51BF">
            <w:pPr>
              <w:pStyle w:val="ARfintabletextright"/>
              <w:rPr>
                <w:lang w:eastAsia="en-AU"/>
              </w:rPr>
            </w:pPr>
            <w:r>
              <w:rPr>
                <w:lang w:eastAsia="en-AU"/>
              </w:rPr>
              <w:t>(67.0)</w:t>
            </w:r>
          </w:p>
        </w:tc>
        <w:tc>
          <w:tcPr>
            <w:tcW w:w="662" w:type="pct"/>
            <w:noWrap/>
            <w:tcMar>
              <w:right w:w="0" w:type="nil"/>
            </w:tcMar>
            <w:hideMark/>
          </w:tcPr>
          <w:p w14:paraId="561EB2DF" w14:textId="77777777" w:rsidR="006E51BF" w:rsidRPr="000E5D38"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(67.0)</w:t>
            </w:r>
          </w:p>
        </w:tc>
      </w:tr>
      <w:tr w:rsidR="006E51BF" w:rsidRPr="000E5D38" w14:paraId="1CBF4E85"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354" w:type="pct"/>
            <w:hideMark/>
          </w:tcPr>
          <w:p w14:paraId="6ECBB089" w14:textId="77777777" w:rsidR="006E51BF" w:rsidRPr="000E5D38" w:rsidRDefault="006E51BF">
            <w:pPr>
              <w:pStyle w:val="ARfintabletext"/>
              <w:rPr>
                <w:lang w:eastAsia="en-AU"/>
              </w:rPr>
            </w:pPr>
            <w:r w:rsidRPr="000E5D38">
              <w:rPr>
                <w:lang w:eastAsia="en-AU"/>
              </w:rPr>
              <w:t>Unwind of discount and effect of changes in</w:t>
            </w:r>
            <w:r>
              <w:rPr>
                <w:lang w:eastAsia="en-AU"/>
              </w:rPr>
              <w:t> </w:t>
            </w:r>
            <w:r w:rsidRPr="000E5D38">
              <w:rPr>
                <w:lang w:eastAsia="en-AU"/>
              </w:rPr>
              <w:t>the</w:t>
            </w:r>
            <w:r>
              <w:rPr>
                <w:lang w:eastAsia="en-AU"/>
              </w:rPr>
              <w:t> </w:t>
            </w:r>
            <w:r w:rsidRPr="000E5D38">
              <w:rPr>
                <w:lang w:eastAsia="en-AU"/>
              </w:rPr>
              <w:t>discount rate</w:t>
            </w:r>
          </w:p>
        </w:tc>
        <w:tc>
          <w:tcPr>
            <w:cnfStyle w:val="000001000000" w:firstRow="0" w:lastRow="0" w:firstColumn="0" w:lastColumn="0" w:oddVBand="0" w:evenVBand="1" w:oddHBand="0" w:evenHBand="0" w:firstRowFirstColumn="0" w:firstRowLastColumn="0" w:lastRowFirstColumn="0" w:lastRowLastColumn="0"/>
            <w:tcW w:w="661" w:type="pct"/>
            <w:noWrap/>
            <w:tcMar>
              <w:right w:w="0" w:type="nil"/>
            </w:tcMar>
            <w:hideMark/>
          </w:tcPr>
          <w:p w14:paraId="17407A13" w14:textId="77777777" w:rsidR="006E51BF" w:rsidRPr="000E5D38" w:rsidRDefault="006E51BF">
            <w:pPr>
              <w:pStyle w:val="ARfintabletextright"/>
              <w:rPr>
                <w:lang w:eastAsia="en-AU"/>
              </w:rPr>
            </w:pPr>
            <w:r>
              <w:rPr>
                <w:lang w:eastAsia="en-AU"/>
              </w:rPr>
              <w:t>–</w:t>
            </w:r>
          </w:p>
        </w:tc>
        <w:tc>
          <w:tcPr>
            <w:tcW w:w="661" w:type="pct"/>
            <w:noWrap/>
            <w:tcMar>
              <w:right w:w="0" w:type="nil"/>
            </w:tcMar>
            <w:hideMark/>
          </w:tcPr>
          <w:p w14:paraId="1F97D996" w14:textId="77777777" w:rsidR="006E51BF" w:rsidRPr="000E5D38"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61" w:type="pct"/>
            <w:noWrap/>
            <w:tcMar>
              <w:right w:w="0" w:type="nil"/>
            </w:tcMar>
            <w:hideMark/>
          </w:tcPr>
          <w:p w14:paraId="1F830930" w14:textId="77777777" w:rsidR="006E51BF" w:rsidRPr="000E5D38" w:rsidRDefault="006E51BF">
            <w:pPr>
              <w:pStyle w:val="ARfintabletextright"/>
              <w:rPr>
                <w:lang w:eastAsia="en-AU"/>
              </w:rPr>
            </w:pPr>
            <w:r w:rsidRPr="000E5D38">
              <w:rPr>
                <w:lang w:eastAsia="en-AU"/>
              </w:rPr>
              <w:t>17.1</w:t>
            </w:r>
          </w:p>
        </w:tc>
        <w:tc>
          <w:tcPr>
            <w:tcW w:w="662" w:type="pct"/>
            <w:noWrap/>
            <w:tcMar>
              <w:right w:w="0" w:type="nil"/>
            </w:tcMar>
            <w:hideMark/>
          </w:tcPr>
          <w:p w14:paraId="01044B09" w14:textId="77777777" w:rsidR="006E51BF" w:rsidRPr="000E5D38"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0E5D38">
              <w:rPr>
                <w:lang w:eastAsia="en-AU"/>
              </w:rPr>
              <w:t>17.1</w:t>
            </w:r>
          </w:p>
        </w:tc>
      </w:tr>
      <w:tr w:rsidR="006E51BF" w:rsidRPr="000E5D38" w14:paraId="7B5EAEDA"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2354" w:type="pct"/>
            <w:noWrap/>
            <w:hideMark/>
          </w:tcPr>
          <w:p w14:paraId="72340B46" w14:textId="77777777" w:rsidR="006E51BF" w:rsidRPr="000E5D38" w:rsidRDefault="006E51BF">
            <w:pPr>
              <w:pStyle w:val="ARfintabletextbold"/>
              <w:rPr>
                <w:lang w:eastAsia="en-AU"/>
              </w:rPr>
            </w:pPr>
            <w:r w:rsidRPr="000E5D38">
              <w:rPr>
                <w:lang w:eastAsia="en-AU"/>
              </w:rPr>
              <w:t>Closing balance</w:t>
            </w:r>
          </w:p>
        </w:tc>
        <w:tc>
          <w:tcPr>
            <w:cnfStyle w:val="000001000000" w:firstRow="0" w:lastRow="0" w:firstColumn="0" w:lastColumn="0" w:oddVBand="0" w:evenVBand="1" w:oddHBand="0" w:evenHBand="0" w:firstRowFirstColumn="0" w:firstRowLastColumn="0" w:lastRowFirstColumn="0" w:lastRowLastColumn="0"/>
            <w:tcW w:w="661" w:type="pct"/>
            <w:noWrap/>
            <w:tcMar>
              <w:right w:w="0" w:type="nil"/>
            </w:tcMar>
            <w:hideMark/>
          </w:tcPr>
          <w:p w14:paraId="51A1624B" w14:textId="77777777" w:rsidR="006E51BF" w:rsidRPr="000E5D38" w:rsidRDefault="006E51BF">
            <w:pPr>
              <w:pStyle w:val="ARfintabletextboldright"/>
              <w:rPr>
                <w:lang w:eastAsia="en-AU"/>
              </w:rPr>
            </w:pPr>
            <w:r w:rsidRPr="000E5D38">
              <w:rPr>
                <w:lang w:eastAsia="en-AU"/>
              </w:rPr>
              <w:t>175.3</w:t>
            </w:r>
          </w:p>
        </w:tc>
        <w:tc>
          <w:tcPr>
            <w:tcW w:w="661" w:type="pct"/>
            <w:noWrap/>
            <w:tcMar>
              <w:right w:w="0" w:type="nil"/>
            </w:tcMar>
            <w:hideMark/>
          </w:tcPr>
          <w:p w14:paraId="3744C205" w14:textId="77777777" w:rsidR="006E51BF" w:rsidRPr="000E5D38"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0E5D38">
              <w:rPr>
                <w:lang w:eastAsia="en-AU"/>
              </w:rPr>
              <w:t>15.1</w:t>
            </w:r>
          </w:p>
        </w:tc>
        <w:tc>
          <w:tcPr>
            <w:cnfStyle w:val="000001000000" w:firstRow="0" w:lastRow="0" w:firstColumn="0" w:lastColumn="0" w:oddVBand="0" w:evenVBand="1" w:oddHBand="0" w:evenHBand="0" w:firstRowFirstColumn="0" w:firstRowLastColumn="0" w:lastRowFirstColumn="0" w:lastRowLastColumn="0"/>
            <w:tcW w:w="661" w:type="pct"/>
            <w:noWrap/>
            <w:tcMar>
              <w:right w:w="0" w:type="nil"/>
            </w:tcMar>
            <w:hideMark/>
          </w:tcPr>
          <w:p w14:paraId="63D40D6F" w14:textId="77777777" w:rsidR="006E51BF" w:rsidRPr="000E5D38" w:rsidRDefault="006E51BF">
            <w:pPr>
              <w:pStyle w:val="ARfintabletextboldright"/>
              <w:rPr>
                <w:color w:val="000000"/>
                <w:lang w:eastAsia="en-AU"/>
              </w:rPr>
            </w:pPr>
            <w:r w:rsidRPr="000E5D38">
              <w:rPr>
                <w:color w:val="000000"/>
                <w:lang w:eastAsia="en-AU"/>
              </w:rPr>
              <w:t>567.7</w:t>
            </w:r>
          </w:p>
        </w:tc>
        <w:tc>
          <w:tcPr>
            <w:tcW w:w="662" w:type="pct"/>
            <w:noWrap/>
            <w:tcMar>
              <w:right w:w="0" w:type="nil"/>
            </w:tcMar>
            <w:hideMark/>
          </w:tcPr>
          <w:p w14:paraId="59145070" w14:textId="77777777" w:rsidR="006E51BF" w:rsidRPr="000E5D38" w:rsidRDefault="006E51BF">
            <w:pPr>
              <w:pStyle w:val="ARfintabletextboldright"/>
              <w:cnfStyle w:val="010000000000" w:firstRow="0" w:lastRow="1" w:firstColumn="0" w:lastColumn="0" w:oddVBand="0" w:evenVBand="0" w:oddHBand="0" w:evenHBand="0" w:firstRowFirstColumn="0" w:firstRowLastColumn="0" w:lastRowFirstColumn="0" w:lastRowLastColumn="0"/>
              <w:rPr>
                <w:color w:val="000000"/>
                <w:lang w:eastAsia="en-AU"/>
              </w:rPr>
            </w:pPr>
            <w:r w:rsidRPr="000E5D38">
              <w:rPr>
                <w:color w:val="000000"/>
                <w:lang w:eastAsia="en-AU"/>
              </w:rPr>
              <w:t>758.1</w:t>
            </w:r>
          </w:p>
        </w:tc>
      </w:tr>
    </w:tbl>
    <w:p w14:paraId="7A66DD0C" w14:textId="77777777" w:rsidR="006E51BF" w:rsidRPr="000E5D38" w:rsidRDefault="006E51BF">
      <w:pPr>
        <w:pStyle w:val="ARfinbodyaftertableorfigure"/>
      </w:pPr>
      <w:r w:rsidRPr="000E5D38">
        <w:t xml:space="preserve">When some or </w:t>
      </w:r>
      <w:proofErr w:type="gramStart"/>
      <w:r w:rsidRPr="000E5D38">
        <w:t>all of</w:t>
      </w:r>
      <w:proofErr w:type="gramEnd"/>
      <w:r w:rsidRPr="000E5D38">
        <w:t xml:space="preserve"> the economic benefits required to settle a provision are expected to be received from a third party, the receivable is recognised as an asset if it is virtually certain that recovery will be received and the amount of the receivable can be measured reliably.</w:t>
      </w:r>
    </w:p>
    <w:p w14:paraId="573B1F4D" w14:textId="77777777" w:rsidR="006E51BF" w:rsidRDefault="006E51BF">
      <w:pPr>
        <w:pStyle w:val="ARfinbody"/>
        <w:rPr>
          <w:lang w:eastAsia="en-AU"/>
        </w:rPr>
      </w:pPr>
      <w:r w:rsidRPr="000E5D38">
        <w:rPr>
          <w:lang w:eastAsia="en-AU"/>
        </w:rPr>
        <w:t xml:space="preserve">The </w:t>
      </w:r>
      <w:r w:rsidRPr="00C056CA">
        <w:rPr>
          <w:rStyle w:val="Strong"/>
        </w:rPr>
        <w:t>make-good</w:t>
      </w:r>
      <w:r w:rsidRPr="000E5D38">
        <w:rPr>
          <w:lang w:eastAsia="en-AU"/>
        </w:rPr>
        <w:t xml:space="preserve"> provision is recognised in accordance with the lease agreement over the building facilities. The department must remove any leasehold improvements from the leased building and restore the premises to its original condition at the end of the lease term. </w:t>
      </w:r>
    </w:p>
    <w:p w14:paraId="122CB640" w14:textId="77777777" w:rsidR="006E51BF" w:rsidRPr="000E5D38" w:rsidRDefault="006E51BF">
      <w:pPr>
        <w:pStyle w:val="ARfinbody"/>
        <w:rPr>
          <w:rFonts w:ascii="Times New Roman" w:hAnsi="Times New Roman"/>
          <w:lang w:eastAsia="en-AU"/>
        </w:rPr>
      </w:pPr>
      <w:r w:rsidRPr="000E5D38">
        <w:rPr>
          <w:lang w:eastAsia="en-AU"/>
        </w:rPr>
        <w:t xml:space="preserve">The </w:t>
      </w:r>
      <w:r w:rsidRPr="00C056CA">
        <w:rPr>
          <w:rStyle w:val="Strong"/>
        </w:rPr>
        <w:t>Redress scheme</w:t>
      </w:r>
      <w:r w:rsidRPr="000E5D38">
        <w:rPr>
          <w:lang w:eastAsia="en-AU"/>
        </w:rPr>
        <w:t xml:space="preserve"> provision is the recognition of the compensation amount of Redress Scheme for Victorians who were placed in institutional care prior to 1990 (Pre-1990 Care Leavers) and experienced physical, psychological, and emotional abuse or neglect, with its key assumption being based on an actuarial assessment of the number of eligible claimant population and approved eligible redress payment amount.</w:t>
      </w:r>
    </w:p>
    <w:p w14:paraId="58587098" w14:textId="77777777" w:rsidR="006E51BF" w:rsidRDefault="006E51BF">
      <w:pPr>
        <w:pStyle w:val="Heading6"/>
      </w:pPr>
      <w:r w:rsidRPr="000E5D38">
        <w:t>Redress Scheme:</w:t>
      </w:r>
    </w:p>
    <w:p w14:paraId="53E44BA9" w14:textId="77777777" w:rsidR="006E51BF" w:rsidRDefault="006E51BF">
      <w:pPr>
        <w:pStyle w:val="ARfinbody"/>
        <w:rPr>
          <w:lang w:eastAsia="en-AU"/>
        </w:rPr>
      </w:pPr>
      <w:r w:rsidRPr="000E5D38">
        <w:rPr>
          <w:lang w:eastAsia="en-AU"/>
        </w:rPr>
        <w:t>On 12 October 2022, the former Premier announced that Redress would be co-designed with people with lived and living experience and key stakeholder organisations and urgent hardship payments for people in exceptional circumstances (now known as advance redress payments) would be available before it commences. On 8 February 2024, Premier Allan delivered a formal apology in Parliament to Victorians who experienced historical abuse and neglect as children in institutional care.</w:t>
      </w:r>
    </w:p>
    <w:p w14:paraId="7837876E" w14:textId="77777777" w:rsidR="006E51BF" w:rsidRDefault="006E51BF">
      <w:pPr>
        <w:pStyle w:val="ARfinbody"/>
        <w:rPr>
          <w:lang w:eastAsia="en-AU"/>
        </w:rPr>
      </w:pPr>
      <w:r w:rsidRPr="000E5D38">
        <w:rPr>
          <w:lang w:eastAsia="en-AU"/>
        </w:rPr>
        <w:t>Redress opened for applications on 10 December 2024 and was expected to be open for 18-months. Redress has since been extended and is now expected to be closed for applications on 31 December 2026.</w:t>
      </w:r>
    </w:p>
    <w:p w14:paraId="05537C87" w14:textId="05C4D0D4" w:rsidR="006E51BF" w:rsidRDefault="006E51BF">
      <w:pPr>
        <w:pStyle w:val="ARfinbody"/>
        <w:rPr>
          <w:lang w:eastAsia="en-AU"/>
        </w:rPr>
      </w:pPr>
      <w:r w:rsidRPr="000E5D38">
        <w:rPr>
          <w:lang w:eastAsia="en-AU"/>
        </w:rPr>
        <w:t>Redress is for people who experienced physical, emotional or psychological abuse and neglect as children in institutional settings in Victoria before 1990. People who apply and are found eligible can be offered:</w:t>
      </w:r>
      <w:r w:rsidR="000D67BA">
        <w:rPr>
          <w:lang w:eastAsia="en-AU"/>
        </w:rPr>
        <w:t xml:space="preserve"> </w:t>
      </w:r>
    </w:p>
    <w:p w14:paraId="6EDCFA5E" w14:textId="77777777" w:rsidR="006E51BF" w:rsidRDefault="006E51BF" w:rsidP="006E51BF">
      <w:pPr>
        <w:pStyle w:val="ARfinbullet1"/>
        <w:numPr>
          <w:ilvl w:val="0"/>
          <w:numId w:val="13"/>
        </w:numPr>
        <w:ind w:left="284" w:hanging="284"/>
      </w:pPr>
      <w:r w:rsidRPr="000E5D38">
        <w:t xml:space="preserve">a payment of up to $20,000 </w:t>
      </w:r>
    </w:p>
    <w:p w14:paraId="2E7DD240" w14:textId="77777777" w:rsidR="006E51BF" w:rsidRDefault="006E51BF" w:rsidP="006E51BF">
      <w:pPr>
        <w:pStyle w:val="ARfinbullet1"/>
        <w:numPr>
          <w:ilvl w:val="0"/>
          <w:numId w:val="13"/>
        </w:numPr>
        <w:ind w:left="284" w:hanging="284"/>
      </w:pPr>
      <w:r w:rsidRPr="000E5D38">
        <w:t xml:space="preserve">a personal acknowledgement or apology </w:t>
      </w:r>
    </w:p>
    <w:p w14:paraId="2BF79C85" w14:textId="77777777" w:rsidR="006E51BF" w:rsidRDefault="006E51BF" w:rsidP="006E51BF">
      <w:pPr>
        <w:pStyle w:val="ARfinbullet1"/>
        <w:numPr>
          <w:ilvl w:val="0"/>
          <w:numId w:val="13"/>
        </w:numPr>
        <w:ind w:left="284" w:hanging="284"/>
      </w:pPr>
      <w:r w:rsidRPr="000E5D38">
        <w:t>up to 20 counselling sessions.</w:t>
      </w:r>
    </w:p>
    <w:p w14:paraId="553C67CB" w14:textId="77777777" w:rsidR="006E51BF" w:rsidRDefault="006E51BF">
      <w:pPr>
        <w:pStyle w:val="ARfinbody"/>
        <w:rPr>
          <w:lang w:eastAsia="en-AU"/>
        </w:rPr>
      </w:pPr>
      <w:r w:rsidRPr="000E5D38">
        <w:rPr>
          <w:lang w:eastAsia="en-AU"/>
        </w:rPr>
        <w:t>To be eligible, applicants must meet the following criteria:</w:t>
      </w:r>
    </w:p>
    <w:p w14:paraId="0966A98C" w14:textId="77777777" w:rsidR="006E51BF" w:rsidRDefault="006E51BF" w:rsidP="006E51BF">
      <w:pPr>
        <w:pStyle w:val="ARfinbullet1"/>
        <w:numPr>
          <w:ilvl w:val="0"/>
          <w:numId w:val="13"/>
        </w:numPr>
        <w:ind w:left="284" w:hanging="284"/>
      </w:pPr>
      <w:r w:rsidRPr="000E5D38">
        <w:t xml:space="preserve">lived as a child (before the age of 18) in a Victorian institution for at least 6 months (in total) before 1 January 1990 </w:t>
      </w:r>
    </w:p>
    <w:p w14:paraId="42830852" w14:textId="77777777" w:rsidR="006E51BF" w:rsidRPr="000E5D38" w:rsidRDefault="006E51BF" w:rsidP="006E51BF">
      <w:pPr>
        <w:pStyle w:val="ARfinbullet1"/>
        <w:numPr>
          <w:ilvl w:val="0"/>
          <w:numId w:val="13"/>
        </w:numPr>
        <w:ind w:left="284" w:hanging="284"/>
      </w:pPr>
      <w:r w:rsidRPr="000E5D38">
        <w:t xml:space="preserve">experienced physical, psychological, or emotional abuse or neglect in the Victorian institution. </w:t>
      </w:r>
    </w:p>
    <w:p w14:paraId="37E30EED" w14:textId="77777777" w:rsidR="006E51BF" w:rsidRDefault="006E51BF">
      <w:pPr>
        <w:pStyle w:val="Heading6"/>
      </w:pPr>
      <w:r w:rsidRPr="000E5D38">
        <w:t>Significant judgements and assumptions</w:t>
      </w:r>
    </w:p>
    <w:p w14:paraId="1CC06B79" w14:textId="77777777" w:rsidR="006E51BF" w:rsidRPr="007C5FDC" w:rsidRDefault="006E51BF">
      <w:pPr>
        <w:pStyle w:val="Heading7"/>
      </w:pPr>
      <w:r w:rsidRPr="007C5FDC">
        <w:rPr>
          <w:lang w:eastAsia="en-AU"/>
        </w:rPr>
        <w:t>Redress</w:t>
      </w:r>
    </w:p>
    <w:p w14:paraId="1CE7BE7A" w14:textId="331D8CB4" w:rsidR="00A635D3" w:rsidRDefault="006E51BF">
      <w:pPr>
        <w:pStyle w:val="ARfinbody"/>
        <w:rPr>
          <w:lang w:eastAsia="en-AU"/>
        </w:rPr>
      </w:pPr>
      <w:r w:rsidRPr="000E5D38">
        <w:rPr>
          <w:lang w:eastAsia="en-AU"/>
        </w:rPr>
        <w:t>The Redress scheme provision is the recognition of the compensation amount for people who experienced non-sexual abuse in institutional care, with its key assumption being based on an actuarial assessment of the number of eligible claimant population and approved eligible redress payment amount. Actual outcomes are heavily dependent on a broad range of largely unknown factors including the number of Pre-1990 Care Leavers who experienced institutional child abuse and the number that will participate.</w:t>
      </w:r>
      <w:r w:rsidR="00A635D3">
        <w:rPr>
          <w:lang w:eastAsia="en-AU"/>
        </w:rPr>
        <w:br w:type="page"/>
      </w:r>
    </w:p>
    <w:p w14:paraId="018306AC" w14:textId="1D22ACB8" w:rsidR="006E51BF" w:rsidRDefault="006E51BF">
      <w:pPr>
        <w:pStyle w:val="ARfinbody"/>
        <w:rPr>
          <w:lang w:eastAsia="en-AU"/>
        </w:rPr>
      </w:pPr>
      <w:r w:rsidRPr="000E5D38">
        <w:rPr>
          <w:lang w:eastAsia="en-AU"/>
        </w:rPr>
        <w:t>In determining the redress provision amount, the Department obtained actuarial advice from an independent actuary to estimate the likely number of claims to be accepted by the scheme.</w:t>
      </w:r>
      <w:r w:rsidR="000D67BA">
        <w:rPr>
          <w:lang w:eastAsia="en-AU"/>
        </w:rPr>
        <w:t xml:space="preserve"> </w:t>
      </w:r>
      <w:r w:rsidRPr="000E5D38">
        <w:rPr>
          <w:lang w:eastAsia="en-AU"/>
        </w:rPr>
        <w:t xml:space="preserve">DFFH have then used this information, amongst other judgements, to determine the liability in accordance with AASB 137 </w:t>
      </w:r>
      <w:r w:rsidRPr="00105DB4">
        <w:rPr>
          <w:rStyle w:val="Emphasis"/>
          <w:lang w:eastAsia="en-AU"/>
        </w:rPr>
        <w:t>Provisions, Contingent Liabilities and Contingent Assets</w:t>
      </w:r>
      <w:r w:rsidRPr="000E5D38">
        <w:rPr>
          <w:lang w:eastAsia="en-AU"/>
        </w:rPr>
        <w:t>.</w:t>
      </w:r>
      <w:r w:rsidR="000D67BA">
        <w:rPr>
          <w:lang w:eastAsia="en-AU"/>
        </w:rPr>
        <w:t xml:space="preserve"> </w:t>
      </w:r>
    </w:p>
    <w:p w14:paraId="1AA39861" w14:textId="77777777" w:rsidR="006E51BF" w:rsidRDefault="006E51BF">
      <w:pPr>
        <w:pStyle w:val="ARfinbody"/>
        <w:rPr>
          <w:lang w:eastAsia="en-AU"/>
        </w:rPr>
      </w:pPr>
      <w:r w:rsidRPr="000E5D38">
        <w:rPr>
          <w:lang w:eastAsia="en-AU"/>
        </w:rPr>
        <w:t>A quarterly report that includes “trigger point” would be produced to trigger the following:</w:t>
      </w:r>
    </w:p>
    <w:p w14:paraId="111974F1" w14:textId="40F1AE59" w:rsidR="006E51BF" w:rsidRDefault="006E51BF" w:rsidP="006E51BF">
      <w:pPr>
        <w:pStyle w:val="ARfinbullet1"/>
        <w:numPr>
          <w:ilvl w:val="0"/>
          <w:numId w:val="13"/>
        </w:numPr>
        <w:ind w:left="284" w:hanging="284"/>
      </w:pPr>
      <w:r w:rsidRPr="000E5D38">
        <w:t>Early closure of Redress if the budget is at risk of being exceeded, and</w:t>
      </w:r>
      <w:r w:rsidR="000D67BA">
        <w:t xml:space="preserve"> </w:t>
      </w:r>
    </w:p>
    <w:p w14:paraId="18A80D45" w14:textId="1464525B" w:rsidR="006E51BF" w:rsidRDefault="006E51BF" w:rsidP="006E51BF">
      <w:pPr>
        <w:pStyle w:val="ARfinbullet1"/>
        <w:numPr>
          <w:ilvl w:val="0"/>
          <w:numId w:val="13"/>
        </w:numPr>
        <w:ind w:left="284" w:hanging="284"/>
      </w:pPr>
      <w:r w:rsidRPr="000E5D38">
        <w:t>Extension of Redress if the number of actual applications is lower than estimates.</w:t>
      </w:r>
      <w:r w:rsidR="000D67BA">
        <w:t xml:space="preserve"> </w:t>
      </w:r>
    </w:p>
    <w:p w14:paraId="0211C562" w14:textId="212072C6" w:rsidR="006E51BF" w:rsidRDefault="006E51BF">
      <w:pPr>
        <w:pStyle w:val="ARfinbody"/>
        <w:rPr>
          <w:lang w:eastAsia="en-AU"/>
        </w:rPr>
      </w:pPr>
      <w:r w:rsidRPr="000E5D38">
        <w:rPr>
          <w:lang w:eastAsia="en-AU"/>
        </w:rPr>
        <w:t>Due to the lower-than-expected take-up rate, redress has since been extended by a further six months to December 2026.</w:t>
      </w:r>
      <w:r w:rsidR="000D67BA">
        <w:rPr>
          <w:lang w:eastAsia="en-AU"/>
        </w:rPr>
        <w:t xml:space="preserve"> </w:t>
      </w:r>
      <w:r w:rsidRPr="000E5D38">
        <w:rPr>
          <w:lang w:eastAsia="en-AU"/>
        </w:rPr>
        <w:t xml:space="preserve">As </w:t>
      </w:r>
      <w:proofErr w:type="gramStart"/>
      <w:r w:rsidRPr="000E5D38">
        <w:rPr>
          <w:lang w:eastAsia="en-AU"/>
        </w:rPr>
        <w:t>at</w:t>
      </w:r>
      <w:proofErr w:type="gramEnd"/>
      <w:r w:rsidRPr="000E5D38">
        <w:rPr>
          <w:lang w:eastAsia="en-AU"/>
        </w:rPr>
        <w:t xml:space="preserve"> 30 June 2026, the </w:t>
      </w:r>
      <w:r>
        <w:rPr>
          <w:lang w:eastAsia="en-AU"/>
        </w:rPr>
        <w:t>d</w:t>
      </w:r>
      <w:r w:rsidRPr="000E5D38">
        <w:rPr>
          <w:lang w:eastAsia="en-AU"/>
        </w:rPr>
        <w:t xml:space="preserve">epartment has not adjusted the provisions as it expects that the claim numbers will increase as redress approaches its revised closing date. The </w:t>
      </w:r>
      <w:r>
        <w:rPr>
          <w:lang w:eastAsia="en-AU"/>
        </w:rPr>
        <w:t>d</w:t>
      </w:r>
      <w:r w:rsidRPr="000E5D38">
        <w:rPr>
          <w:lang w:eastAsia="en-AU"/>
        </w:rPr>
        <w:t>epartment will continue to monitor actual claims experience and assess the adequacy of the provision in 2026</w:t>
      </w:r>
      <w:r>
        <w:rPr>
          <w:lang w:eastAsia="en-AU"/>
        </w:rPr>
        <w:t>–</w:t>
      </w:r>
      <w:r w:rsidRPr="000E5D38">
        <w:rPr>
          <w:lang w:eastAsia="en-AU"/>
        </w:rPr>
        <w:t>27.</w:t>
      </w:r>
    </w:p>
    <w:p w14:paraId="7ECDE9FF" w14:textId="77777777" w:rsidR="006E51BF" w:rsidRDefault="006E51BF">
      <w:pPr>
        <w:pStyle w:val="ARfinbody"/>
        <w:rPr>
          <w:lang w:eastAsia="en-AU"/>
        </w:rPr>
      </w:pPr>
      <w:r w:rsidRPr="000E5D38">
        <w:rPr>
          <w:lang w:eastAsia="en-AU"/>
        </w:rPr>
        <w:t>The provision:</w:t>
      </w:r>
    </w:p>
    <w:p w14:paraId="3C96D656" w14:textId="77777777" w:rsidR="006E51BF" w:rsidRDefault="006E51BF" w:rsidP="006E51BF">
      <w:pPr>
        <w:pStyle w:val="ARfinbullet1"/>
        <w:numPr>
          <w:ilvl w:val="0"/>
          <w:numId w:val="13"/>
        </w:numPr>
        <w:ind w:left="284" w:hanging="284"/>
      </w:pPr>
      <w:r w:rsidRPr="000E5D38">
        <w:t>Includes Redress payments, and internal administration expenses, such as counselling and personal acknowledgement or apology costs, staff costs and operating expense that may be incurred in administering</w:t>
      </w:r>
      <w:r>
        <w:t> </w:t>
      </w:r>
      <w:r w:rsidRPr="000E5D38">
        <w:t>Redress.</w:t>
      </w:r>
    </w:p>
    <w:p w14:paraId="01A96967" w14:textId="77777777" w:rsidR="006E51BF" w:rsidRDefault="006E51BF" w:rsidP="006E51BF">
      <w:pPr>
        <w:pStyle w:val="ARfinbullet1"/>
        <w:numPr>
          <w:ilvl w:val="0"/>
          <w:numId w:val="13"/>
        </w:numPr>
        <w:ind w:left="284" w:hanging="284"/>
      </w:pPr>
      <w:r w:rsidRPr="000E5D38">
        <w:t>Includes escalation of internal administration and operating costs across the period of Redress.</w:t>
      </w:r>
    </w:p>
    <w:p w14:paraId="5B3D44D2" w14:textId="77777777" w:rsidR="006E51BF" w:rsidRPr="000E5D38" w:rsidRDefault="006E51BF" w:rsidP="006E51BF">
      <w:pPr>
        <w:pStyle w:val="ARfinbullet1"/>
        <w:numPr>
          <w:ilvl w:val="0"/>
          <w:numId w:val="13"/>
        </w:numPr>
        <w:ind w:left="284" w:hanging="284"/>
      </w:pPr>
      <w:r w:rsidRPr="000E5D38">
        <w:t>Is a best estimate and does not include any additional risk margin related to the uncertainty of the estimates.</w:t>
      </w:r>
    </w:p>
    <w:p w14:paraId="5886132A" w14:textId="77777777" w:rsidR="006E51BF" w:rsidRDefault="006E51BF">
      <w:pPr>
        <w:pStyle w:val="Heading6"/>
      </w:pPr>
      <w:r w:rsidRPr="000E5D38">
        <w:t>Insurance claims:</w:t>
      </w:r>
    </w:p>
    <w:p w14:paraId="2A9A26A0" w14:textId="77777777" w:rsidR="006E51BF" w:rsidRPr="000E5D38" w:rsidRDefault="006E51BF">
      <w:pPr>
        <w:pStyle w:val="ARfinbody"/>
        <w:rPr>
          <w:rFonts w:ascii="Times New Roman" w:hAnsi="Times New Roman"/>
          <w:lang w:eastAsia="en-AU"/>
        </w:rPr>
      </w:pPr>
      <w:r w:rsidRPr="000E5D38">
        <w:rPr>
          <w:lang w:eastAsia="en-AU"/>
        </w:rPr>
        <w:t>The department engaged the Victorian Managed Insurance Authority (VMIA) under a claims administration agreement to manage its insurance arrangements. These arrangements include corporate (including property and liability), community service organisation (CSOs) insurance covers as well as self-insured historical abuse claims</w:t>
      </w:r>
      <w:r>
        <w:rPr>
          <w:lang w:eastAsia="en-AU"/>
        </w:rPr>
        <w:t xml:space="preserve"> (civil claims)</w:t>
      </w:r>
      <w:r w:rsidRPr="000E5D38">
        <w:rPr>
          <w:lang w:eastAsia="en-AU"/>
        </w:rPr>
        <w:t>.</w:t>
      </w:r>
    </w:p>
    <w:p w14:paraId="76C87EF8" w14:textId="77777777" w:rsidR="006E51BF" w:rsidRDefault="006E51BF">
      <w:pPr>
        <w:pStyle w:val="Heading6"/>
      </w:pPr>
      <w:r w:rsidRPr="000E5D38">
        <w:t xml:space="preserve">Significant judgements and assumptions </w:t>
      </w:r>
    </w:p>
    <w:p w14:paraId="04BBEECD" w14:textId="77777777" w:rsidR="006E51BF" w:rsidRPr="007C5FDC" w:rsidRDefault="006E51BF">
      <w:pPr>
        <w:rPr>
          <w:bCs/>
        </w:rPr>
      </w:pPr>
      <w:r w:rsidRPr="007C5FDC">
        <w:rPr>
          <w:b/>
          <w:bCs/>
          <w:lang w:eastAsia="en-AU"/>
        </w:rPr>
        <w:t>Civil Claims and CSO insurance</w:t>
      </w:r>
    </w:p>
    <w:p w14:paraId="38C4E7F2" w14:textId="77777777" w:rsidR="006E51BF" w:rsidRPr="000E5D38" w:rsidRDefault="006E51BF">
      <w:pPr>
        <w:pStyle w:val="ARfinbody"/>
        <w:rPr>
          <w:lang w:eastAsia="en-AU"/>
        </w:rPr>
      </w:pPr>
      <w:r w:rsidRPr="000E5D38">
        <w:rPr>
          <w:lang w:eastAsia="en-AU"/>
        </w:rPr>
        <w:t xml:space="preserve">The department makes significant judgements and assumptions in respect to its self-insured historical abuse claims </w:t>
      </w:r>
      <w:r>
        <w:rPr>
          <w:lang w:eastAsia="en-AU"/>
        </w:rPr>
        <w:t xml:space="preserve">(civil claims) and CSO insurance </w:t>
      </w:r>
      <w:r w:rsidRPr="000E5D38">
        <w:rPr>
          <w:lang w:eastAsia="en-AU"/>
        </w:rPr>
        <w:t>provision. These judgements and assumptions include whether possible obligations arising from cases that may be lodged in the future by possible claimants should be included in the provision and the calculation of estimated average settlement costs.</w:t>
      </w:r>
    </w:p>
    <w:p w14:paraId="7502EE9A" w14:textId="77777777" w:rsidR="006E51BF" w:rsidRDefault="006E51BF">
      <w:pPr>
        <w:pStyle w:val="ARfinbody"/>
        <w:rPr>
          <w:lang w:eastAsia="en-AU"/>
        </w:rPr>
      </w:pPr>
      <w:r w:rsidRPr="000E5D38">
        <w:rPr>
          <w:lang w:eastAsia="en-AU"/>
        </w:rPr>
        <w:t>The amount provided for historical abuse claims</w:t>
      </w:r>
      <w:r>
        <w:rPr>
          <w:lang w:eastAsia="en-AU"/>
        </w:rPr>
        <w:t xml:space="preserve"> and CSO insurance are</w:t>
      </w:r>
      <w:r w:rsidRPr="000E5D38">
        <w:rPr>
          <w:lang w:eastAsia="en-AU"/>
        </w:rPr>
        <w:t xml:space="preserve"> based on assessed claims lodged on the basis that these represent present obligations in line with the requirements of AASB 137. Possible obligations arising from future claims that may or may not take place by future claimants are classified as contingent liabilities (refer to Note 8.2 for more details). </w:t>
      </w:r>
    </w:p>
    <w:p w14:paraId="0C8872EC" w14:textId="77777777" w:rsidR="006E51BF" w:rsidRDefault="006E51BF">
      <w:pPr>
        <w:pStyle w:val="ARfinbody"/>
        <w:rPr>
          <w:lang w:eastAsia="en-AU"/>
        </w:rPr>
      </w:pPr>
      <w:r w:rsidRPr="000E5D38">
        <w:rPr>
          <w:lang w:eastAsia="en-AU"/>
        </w:rPr>
        <w:t>Another key judgement for this cohort relates to the ultimate average settlement costs. Average settlement costs are projected with reference to recent average settlement trends and allowance for future superimposed inflation.</w:t>
      </w:r>
    </w:p>
    <w:p w14:paraId="69AD8DA4" w14:textId="77777777" w:rsidR="006E51BF" w:rsidRPr="00105DB4" w:rsidRDefault="006E51BF">
      <w:pPr>
        <w:pStyle w:val="ARfinbody"/>
        <w:rPr>
          <w:rStyle w:val="Emphasis"/>
          <w:lang w:eastAsia="en-AU"/>
        </w:rPr>
      </w:pPr>
      <w:r w:rsidRPr="000E5D38">
        <w:rPr>
          <w:lang w:eastAsia="en-AU"/>
        </w:rPr>
        <w:t xml:space="preserve">To assist with this, the department has obtained actuarial advice from an independent actuary to determine the liability in accordance with AASB 137 </w:t>
      </w:r>
      <w:r w:rsidRPr="00105DB4">
        <w:rPr>
          <w:rStyle w:val="Emphasis"/>
          <w:lang w:eastAsia="en-AU"/>
        </w:rPr>
        <w:t xml:space="preserve">Provisions, Contingent Liabilities and Contingent Assets. </w:t>
      </w:r>
    </w:p>
    <w:p w14:paraId="421FB87A" w14:textId="77777777" w:rsidR="006E51BF" w:rsidRDefault="006E51BF">
      <w:pPr>
        <w:pStyle w:val="ARfinbody"/>
        <w:rPr>
          <w:lang w:eastAsia="en-AU"/>
        </w:rPr>
      </w:pPr>
      <w:r w:rsidRPr="000E5D38">
        <w:rPr>
          <w:lang w:eastAsia="en-AU"/>
        </w:rPr>
        <w:t xml:space="preserve">The provision: </w:t>
      </w:r>
    </w:p>
    <w:p w14:paraId="55F4E960" w14:textId="77777777" w:rsidR="006E51BF" w:rsidRDefault="006E51BF" w:rsidP="006E51BF">
      <w:pPr>
        <w:pStyle w:val="ARfinbullet1"/>
        <w:numPr>
          <w:ilvl w:val="0"/>
          <w:numId w:val="13"/>
        </w:numPr>
        <w:ind w:left="284" w:hanging="284"/>
      </w:pPr>
      <w:r w:rsidRPr="000E5D38">
        <w:t xml:space="preserve">Contains an allowance for the time value of money. Claim costs have been discounted back to the valuation date using risk-free discount rates. </w:t>
      </w:r>
    </w:p>
    <w:p w14:paraId="2FA9E589" w14:textId="77777777" w:rsidR="006E51BF" w:rsidRDefault="006E51BF" w:rsidP="006E51BF">
      <w:pPr>
        <w:pStyle w:val="ARfinbullet1"/>
        <w:numPr>
          <w:ilvl w:val="0"/>
          <w:numId w:val="13"/>
        </w:numPr>
        <w:ind w:left="284" w:hanging="284"/>
      </w:pPr>
      <w:r w:rsidRPr="000E5D38">
        <w:t xml:space="preserve">Contains allowances for economic inflation and superimposed inflation (where relevant), which reflect trends in court awards and increases in the level of compensation for injuries. </w:t>
      </w:r>
    </w:p>
    <w:p w14:paraId="23D7948F" w14:textId="77777777" w:rsidR="006E51BF" w:rsidRDefault="006E51BF" w:rsidP="006E51BF">
      <w:pPr>
        <w:pStyle w:val="ARfinbullet1"/>
        <w:numPr>
          <w:ilvl w:val="0"/>
          <w:numId w:val="13"/>
        </w:numPr>
        <w:ind w:left="284" w:hanging="284"/>
      </w:pPr>
      <w:r w:rsidRPr="000E5D38">
        <w:t xml:space="preserve">Includes an allowance for claims management fees which are paid to VMIA to manage these claims in accordance with an agreed Memorandum of Understanding (MOU). </w:t>
      </w:r>
    </w:p>
    <w:p w14:paraId="206AF8FC" w14:textId="77777777" w:rsidR="006E51BF" w:rsidRDefault="006E51BF">
      <w:pPr>
        <w:pStyle w:val="ARfinbody"/>
        <w:rPr>
          <w:lang w:eastAsia="en-AU"/>
        </w:rPr>
      </w:pPr>
      <w:r w:rsidRPr="000E5D38">
        <w:rPr>
          <w:lang w:eastAsia="en-AU"/>
        </w:rPr>
        <w:t xml:space="preserve">A risk margin is applied to the net central estimate of the claims liabilities to achieve a 75% probability that the claims liabilities will be sufficient. To estimate the risk margin, the independent actuary considers the uncertainty associated with the actuarial models and assumptions, the quality of the data used, and the external environmental impacts. Risk margins are set for each class of business, although the risk margin for the abuse claims </w:t>
      </w:r>
      <w:proofErr w:type="gramStart"/>
      <w:r w:rsidRPr="000E5D38">
        <w:rPr>
          <w:lang w:eastAsia="en-AU"/>
        </w:rPr>
        <w:t>is considered to be</w:t>
      </w:r>
      <w:proofErr w:type="gramEnd"/>
      <w:r w:rsidRPr="000E5D38">
        <w:rPr>
          <w:lang w:eastAsia="en-AU"/>
        </w:rPr>
        <w:t xml:space="preserve"> a significant judgement given both the materiality of these liabilities and the associated uncertainties in future cost outcomes for abuse claims.</w:t>
      </w:r>
    </w:p>
    <w:p w14:paraId="42DE9684" w14:textId="77777777" w:rsidR="006E51BF" w:rsidRDefault="006E51BF">
      <w:pPr>
        <w:pStyle w:val="ARfinbody"/>
        <w:rPr>
          <w:lang w:eastAsia="en-AU"/>
        </w:rPr>
      </w:pPr>
      <w:r w:rsidRPr="000E5D38">
        <w:rPr>
          <w:lang w:eastAsia="en-AU"/>
        </w:rPr>
        <w:t xml:space="preserve">These liabilities have been assessed in accordance with actuarial Professional Standard 302 </w:t>
      </w:r>
      <w:r w:rsidRPr="00105DB4">
        <w:rPr>
          <w:rStyle w:val="Emphasis"/>
          <w:lang w:eastAsia="en-AU"/>
        </w:rPr>
        <w:t>Valuations of General Insurance Claims (PS 302)</w:t>
      </w:r>
      <w:r w:rsidRPr="000E5D38">
        <w:rPr>
          <w:lang w:eastAsia="en-AU"/>
        </w:rPr>
        <w:t>, which applies to actuaries undertaking a valuation of various liabilities including general insurance, accident compensation and self-insurance claims for an entity.</w:t>
      </w:r>
    </w:p>
    <w:p w14:paraId="0D25A3A8" w14:textId="77777777" w:rsidR="006E51BF" w:rsidRPr="000E5D38" w:rsidRDefault="006E51BF">
      <w:pPr>
        <w:pStyle w:val="Heading4"/>
        <w:rPr>
          <w:lang w:eastAsia="en-AU"/>
        </w:rPr>
      </w:pPr>
      <w:r w:rsidRPr="000E5D38">
        <w:rPr>
          <w:lang w:eastAsia="en-AU"/>
        </w:rPr>
        <w:t xml:space="preserve">6.5 </w:t>
      </w:r>
      <w:r>
        <w:rPr>
          <w:lang w:eastAsia="en-AU"/>
        </w:rPr>
        <w:tab/>
      </w:r>
      <w:r w:rsidRPr="000E5D38">
        <w:rPr>
          <w:lang w:eastAsia="en-AU"/>
        </w:rPr>
        <w:t>Other liabilities</w:t>
      </w:r>
    </w:p>
    <w:tbl>
      <w:tblPr>
        <w:tblStyle w:val="ARtable1"/>
        <w:tblW w:w="5000" w:type="pct"/>
        <w:tblLayout w:type="fixed"/>
        <w:tblLook w:val="00E0" w:firstRow="1" w:lastRow="1" w:firstColumn="1" w:lastColumn="0" w:noHBand="0" w:noVBand="0"/>
      </w:tblPr>
      <w:tblGrid>
        <w:gridCol w:w="6514"/>
        <w:gridCol w:w="1556"/>
        <w:gridCol w:w="1558"/>
      </w:tblGrid>
      <w:tr w:rsidR="006E51BF" w:rsidRPr="000E5D38" w14:paraId="0475CDE4" w14:textId="77777777" w:rsidTr="00304BA9">
        <w:trPr>
          <w:cnfStyle w:val="100000000000" w:firstRow="1" w:lastRow="0" w:firstColumn="0" w:lastColumn="0" w:oddVBand="0" w:evenVBand="0" w:oddHBand="0" w:evenHBand="0" w:firstRowFirstColumn="0" w:firstRowLastColumn="0" w:lastRowFirstColumn="0" w:lastRowLastColumn="0"/>
          <w:trHeight w:val="574"/>
          <w:tblHeader/>
        </w:trPr>
        <w:tc>
          <w:tcPr>
            <w:tcW w:w="3383" w:type="pct"/>
            <w:noWrap/>
          </w:tcPr>
          <w:p w14:paraId="78040B11" w14:textId="77777777" w:rsidR="006E51BF" w:rsidRPr="000E5D38"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4E297D5E" w14:textId="77777777" w:rsidR="006E51BF" w:rsidRPr="000E5D38" w:rsidRDefault="006E51BF">
            <w:pPr>
              <w:pStyle w:val="ARfintablecolheadright"/>
              <w:rPr>
                <w:lang w:eastAsia="en-AU"/>
              </w:rPr>
            </w:pPr>
            <w:r w:rsidRPr="000E5D38">
              <w:rPr>
                <w:lang w:eastAsia="en-AU"/>
              </w:rPr>
              <w:t>2026</w:t>
            </w:r>
          </w:p>
          <w:p w14:paraId="28BB5219" w14:textId="77777777" w:rsidR="006E51BF" w:rsidRPr="000E5D38" w:rsidRDefault="006E51BF">
            <w:pPr>
              <w:pStyle w:val="ARfintablecolheadright"/>
              <w:rPr>
                <w:lang w:eastAsia="en-AU"/>
              </w:rPr>
            </w:pPr>
            <w:r w:rsidRPr="000E5D38">
              <w:rPr>
                <w:lang w:eastAsia="en-AU"/>
              </w:rPr>
              <w:t>$M</w:t>
            </w:r>
          </w:p>
        </w:tc>
        <w:tc>
          <w:tcPr>
            <w:tcW w:w="809" w:type="pct"/>
            <w:noWrap/>
            <w:tcMar>
              <w:right w:w="0" w:type="nil"/>
            </w:tcMar>
            <w:hideMark/>
          </w:tcPr>
          <w:p w14:paraId="35493F7B" w14:textId="77777777" w:rsidR="006E51BF" w:rsidRPr="000E5D38"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E5D38">
              <w:rPr>
                <w:lang w:eastAsia="en-AU"/>
              </w:rPr>
              <w:t>2025</w:t>
            </w:r>
          </w:p>
          <w:p w14:paraId="56152694" w14:textId="77777777" w:rsidR="006E51BF" w:rsidRPr="000E5D38"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E5D38">
              <w:rPr>
                <w:lang w:eastAsia="en-AU"/>
              </w:rPr>
              <w:t>$M</w:t>
            </w:r>
          </w:p>
        </w:tc>
      </w:tr>
      <w:tr w:rsidR="006E51BF" w:rsidRPr="000E5D38" w14:paraId="0BA2683D"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36685A4D" w14:textId="77777777" w:rsidR="006E51BF" w:rsidRPr="000E5D38" w:rsidRDefault="006E51BF">
            <w:pPr>
              <w:pStyle w:val="ARfintabletextboldcoloured"/>
              <w:rPr>
                <w:lang w:eastAsia="en-AU"/>
              </w:rPr>
            </w:pPr>
            <w:r w:rsidRPr="000E5D38">
              <w:rPr>
                <w:lang w:eastAsia="en-AU"/>
              </w:rPr>
              <w:t xml:space="preserve">Other liabilities </w:t>
            </w:r>
            <w:r>
              <w:rPr>
                <w:lang w:eastAsia="en-AU"/>
              </w:rPr>
              <w:t xml:space="preserve">– </w:t>
            </w:r>
            <w:r w:rsidRPr="000E5D38">
              <w:rPr>
                <w:lang w:eastAsia="en-AU"/>
              </w:rPr>
              <w:t>current</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5C5D17D5" w14:textId="77777777" w:rsidR="006E51BF" w:rsidRPr="00C056CA" w:rsidRDefault="006E51BF">
            <w:pPr>
              <w:pStyle w:val="ARfintabletextright"/>
            </w:pPr>
          </w:p>
        </w:tc>
        <w:tc>
          <w:tcPr>
            <w:tcW w:w="809" w:type="pct"/>
            <w:noWrap/>
            <w:tcMar>
              <w:right w:w="0" w:type="nil"/>
            </w:tcMar>
            <w:hideMark/>
          </w:tcPr>
          <w:p w14:paraId="7A683ABD" w14:textId="77777777" w:rsidR="006E51BF" w:rsidRPr="00C056CA"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0E5D38" w14:paraId="62E92D78"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70859E22" w14:textId="77777777" w:rsidR="006E51BF" w:rsidRPr="000E5D38" w:rsidRDefault="006E51BF">
            <w:pPr>
              <w:pStyle w:val="ARfintabletext"/>
              <w:rPr>
                <w:lang w:eastAsia="en-AU"/>
              </w:rPr>
            </w:pPr>
            <w:r w:rsidRPr="000E5D38">
              <w:rPr>
                <w:lang w:eastAsia="en-AU"/>
              </w:rPr>
              <w:t>Grant of right to operate liability</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51108479" w14:textId="77777777" w:rsidR="006E51BF" w:rsidRPr="00C056CA" w:rsidRDefault="006E51BF">
            <w:pPr>
              <w:pStyle w:val="ARfintabletextright"/>
            </w:pPr>
            <w:r w:rsidRPr="00C056CA">
              <w:t>2.8</w:t>
            </w:r>
          </w:p>
        </w:tc>
        <w:tc>
          <w:tcPr>
            <w:tcW w:w="809" w:type="pct"/>
            <w:noWrap/>
            <w:tcMar>
              <w:right w:w="0" w:type="nil"/>
            </w:tcMar>
            <w:hideMark/>
          </w:tcPr>
          <w:p w14:paraId="01B6F532" w14:textId="77777777" w:rsidR="006E51BF" w:rsidRPr="00C056CA"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C056CA">
              <w:t>2.0</w:t>
            </w:r>
          </w:p>
        </w:tc>
      </w:tr>
      <w:tr w:rsidR="006E51BF" w:rsidRPr="000E5D38" w14:paraId="2FAD92B6"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2682382D" w14:textId="77777777" w:rsidR="006E51BF" w:rsidRPr="000E5D38" w:rsidRDefault="006E51BF">
            <w:pPr>
              <w:pStyle w:val="ARfintabletextboldcoloured"/>
              <w:rPr>
                <w:lang w:eastAsia="en-AU"/>
              </w:rPr>
            </w:pPr>
            <w:r w:rsidRPr="000E5D38">
              <w:rPr>
                <w:lang w:eastAsia="en-AU"/>
              </w:rPr>
              <w:t xml:space="preserve">Other liabilities </w:t>
            </w:r>
            <w:r>
              <w:rPr>
                <w:lang w:eastAsia="en-AU"/>
              </w:rPr>
              <w:t>–</w:t>
            </w:r>
            <w:r w:rsidRPr="000E5D38">
              <w:rPr>
                <w:lang w:eastAsia="en-AU"/>
              </w:rPr>
              <w:t xml:space="preserve"> non-current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6CB1F02F" w14:textId="77777777" w:rsidR="006E51BF" w:rsidRPr="00C056CA" w:rsidRDefault="006E51BF">
            <w:pPr>
              <w:pStyle w:val="ARfintabletextright"/>
            </w:pPr>
          </w:p>
        </w:tc>
        <w:tc>
          <w:tcPr>
            <w:tcW w:w="809" w:type="pct"/>
            <w:tcMar>
              <w:right w:w="0" w:type="nil"/>
            </w:tcMar>
            <w:hideMark/>
          </w:tcPr>
          <w:p w14:paraId="0158331D" w14:textId="77777777" w:rsidR="006E51BF" w:rsidRPr="00C056CA" w:rsidRDefault="006E51BF">
            <w:pPr>
              <w:pStyle w:val="ARfintabletextright"/>
              <w:cnfStyle w:val="000000100000" w:firstRow="0" w:lastRow="0" w:firstColumn="0" w:lastColumn="0" w:oddVBand="0" w:evenVBand="0" w:oddHBand="1" w:evenHBand="0" w:firstRowFirstColumn="0" w:firstRowLastColumn="0" w:lastRowFirstColumn="0" w:lastRowLastColumn="0"/>
            </w:pPr>
          </w:p>
        </w:tc>
      </w:tr>
      <w:tr w:rsidR="006E51BF" w:rsidRPr="000E5D38" w14:paraId="11C4A9EE"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30E22C48" w14:textId="77777777" w:rsidR="006E51BF" w:rsidRPr="000E5D38" w:rsidRDefault="006E51BF">
            <w:pPr>
              <w:pStyle w:val="ARfintabletext"/>
              <w:rPr>
                <w:lang w:eastAsia="en-AU"/>
              </w:rPr>
            </w:pPr>
            <w:r w:rsidRPr="000E5D38">
              <w:rPr>
                <w:lang w:eastAsia="en-AU"/>
              </w:rPr>
              <w:t>Grant of right to operate liability</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6FC9952A" w14:textId="77777777" w:rsidR="006E51BF" w:rsidRPr="00C056CA" w:rsidRDefault="006E51BF">
            <w:pPr>
              <w:pStyle w:val="ARfintabletextright"/>
            </w:pPr>
            <w:r w:rsidRPr="00C056CA">
              <w:t>119.2</w:t>
            </w:r>
          </w:p>
        </w:tc>
        <w:tc>
          <w:tcPr>
            <w:tcW w:w="809" w:type="pct"/>
            <w:tcMar>
              <w:right w:w="0" w:type="nil"/>
            </w:tcMar>
            <w:hideMark/>
          </w:tcPr>
          <w:p w14:paraId="236C6E00" w14:textId="77777777" w:rsidR="006E51BF" w:rsidRPr="00C056CA"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C056CA">
              <w:t>117.8</w:t>
            </w:r>
          </w:p>
        </w:tc>
      </w:tr>
      <w:tr w:rsidR="006E51BF" w:rsidRPr="000E5D38" w14:paraId="4617CD83"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3383" w:type="pct"/>
            <w:noWrap/>
            <w:hideMark/>
          </w:tcPr>
          <w:p w14:paraId="40B7BE37" w14:textId="77777777" w:rsidR="006E51BF" w:rsidRPr="000E5D38" w:rsidRDefault="006E51BF">
            <w:pPr>
              <w:pStyle w:val="ARfintabletextbold"/>
              <w:rPr>
                <w:lang w:eastAsia="en-AU"/>
              </w:rPr>
            </w:pPr>
            <w:r w:rsidRPr="000E5D38">
              <w:rPr>
                <w:lang w:eastAsia="en-AU"/>
              </w:rPr>
              <w:t>Total other liabilities</w:t>
            </w:r>
          </w:p>
        </w:tc>
        <w:tc>
          <w:tcPr>
            <w:cnfStyle w:val="000001000000" w:firstRow="0" w:lastRow="0" w:firstColumn="0" w:lastColumn="0" w:oddVBand="0" w:evenVBand="1" w:oddHBand="0" w:evenHBand="0" w:firstRowFirstColumn="0" w:firstRowLastColumn="0" w:lastRowFirstColumn="0" w:lastRowLastColumn="0"/>
            <w:tcW w:w="808" w:type="pct"/>
            <w:tcMar>
              <w:right w:w="0" w:type="nil"/>
            </w:tcMar>
            <w:hideMark/>
          </w:tcPr>
          <w:p w14:paraId="64092B01" w14:textId="77777777" w:rsidR="006E51BF" w:rsidRPr="000E5D38" w:rsidRDefault="006E51BF">
            <w:pPr>
              <w:pStyle w:val="ARfintabletextboldright"/>
              <w:rPr>
                <w:lang w:eastAsia="en-AU"/>
              </w:rPr>
            </w:pPr>
            <w:r w:rsidRPr="000E5D38">
              <w:rPr>
                <w:lang w:eastAsia="en-AU"/>
              </w:rPr>
              <w:t>122.0</w:t>
            </w:r>
          </w:p>
        </w:tc>
        <w:tc>
          <w:tcPr>
            <w:tcW w:w="809" w:type="pct"/>
            <w:tcMar>
              <w:right w:w="0" w:type="nil"/>
            </w:tcMar>
            <w:hideMark/>
          </w:tcPr>
          <w:p w14:paraId="4EC3BC33" w14:textId="77777777" w:rsidR="006E51BF" w:rsidRPr="000E5D38"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0E5D38">
              <w:rPr>
                <w:lang w:eastAsia="en-AU"/>
              </w:rPr>
              <w:t>119.8</w:t>
            </w:r>
          </w:p>
        </w:tc>
      </w:tr>
    </w:tbl>
    <w:p w14:paraId="1A340464" w14:textId="77777777" w:rsidR="006E51BF" w:rsidRDefault="006E51BF">
      <w:pPr>
        <w:pStyle w:val="ARfinbodyaftertableorfigure"/>
      </w:pPr>
      <w:r w:rsidRPr="00735770">
        <w:t xml:space="preserve">A </w:t>
      </w:r>
      <w:r w:rsidRPr="00C056CA">
        <w:rPr>
          <w:rStyle w:val="Strong"/>
        </w:rPr>
        <w:t>grant of right to the operator (GORTO) liability</w:t>
      </w:r>
      <w:r w:rsidRPr="00735770">
        <w:t xml:space="preserve"> is recognised where the department does not have a contractual obligation to pay cash or another financial asset but grants the right to the operator to earn revenue from the public use of the asset. This type of arrangement is commonly referred to as an economic service concession arrangement. It represents unearned revenue and is progressively reduced over the period of the arrangement in accordance with its substance. Further information is included in Note 7.5.3 Service concession arrangements.</w:t>
      </w:r>
    </w:p>
    <w:p w14:paraId="58993616" w14:textId="77777777" w:rsidR="006E51BF" w:rsidRDefault="006E51BF">
      <w:pPr>
        <w:pStyle w:val="ARfinbody"/>
        <w:rPr>
          <w:lang w:eastAsia="en-AU"/>
        </w:rPr>
      </w:pPr>
      <w:r>
        <w:br w:type="page"/>
      </w:r>
    </w:p>
    <w:p w14:paraId="08BCC7F5" w14:textId="77777777" w:rsidR="006E51BF" w:rsidRPr="006A497D" w:rsidRDefault="006E51BF">
      <w:pPr>
        <w:pStyle w:val="Heading3financials"/>
        <w:rPr>
          <w:lang w:eastAsia="en-AU"/>
        </w:rPr>
      </w:pPr>
      <w:bookmarkStart w:id="298" w:name="RANGE!A1:Q31"/>
      <w:bookmarkStart w:id="299" w:name="_Toc241068550"/>
      <w:r w:rsidRPr="006A497D">
        <w:rPr>
          <w:lang w:eastAsia="en-AU"/>
        </w:rPr>
        <w:t xml:space="preserve">7. </w:t>
      </w:r>
      <w:r>
        <w:rPr>
          <w:lang w:eastAsia="en-AU"/>
        </w:rPr>
        <w:tab/>
      </w:r>
      <w:r w:rsidRPr="006A497D">
        <w:rPr>
          <w:lang w:eastAsia="en-AU"/>
        </w:rPr>
        <w:t>How we financed our operations</w:t>
      </w:r>
      <w:bookmarkEnd w:id="298"/>
      <w:bookmarkEnd w:id="299"/>
    </w:p>
    <w:p w14:paraId="4D4FACF0" w14:textId="77777777" w:rsidR="006E51BF" w:rsidRDefault="006E51BF">
      <w:pPr>
        <w:pStyle w:val="Heading4"/>
        <w:rPr>
          <w:lang w:eastAsia="en-AU"/>
        </w:rPr>
      </w:pPr>
      <w:r w:rsidRPr="006A497D">
        <w:rPr>
          <w:lang w:eastAsia="en-AU"/>
        </w:rPr>
        <w:t>Introduction</w:t>
      </w:r>
    </w:p>
    <w:p w14:paraId="04AA501A" w14:textId="5F487E7A" w:rsidR="006E51BF" w:rsidRDefault="006E51BF">
      <w:pPr>
        <w:pStyle w:val="ARfinbody"/>
        <w:rPr>
          <w:lang w:eastAsia="en-AU"/>
        </w:rPr>
      </w:pPr>
      <w:r w:rsidRPr="006A497D">
        <w:rPr>
          <w:lang w:eastAsia="en-AU"/>
        </w:rPr>
        <w:t>This section provides information on the sources of finance utilised by the department during its operations, along with</w:t>
      </w:r>
      <w:r w:rsidR="00437809">
        <w:rPr>
          <w:lang w:eastAsia="en-AU"/>
        </w:rPr>
        <w:t> </w:t>
      </w:r>
      <w:r w:rsidRPr="006A497D">
        <w:rPr>
          <w:lang w:eastAsia="en-AU"/>
        </w:rPr>
        <w:t>interest expenses (the cost of borrowings) and other information related to financing activities of the department.</w:t>
      </w:r>
    </w:p>
    <w:p w14:paraId="14CFB1EA" w14:textId="77777777" w:rsidR="006E51BF" w:rsidRDefault="006E51BF">
      <w:pPr>
        <w:pStyle w:val="ARfinbody"/>
        <w:rPr>
          <w:lang w:eastAsia="en-AU"/>
        </w:rPr>
      </w:pPr>
      <w:r w:rsidRPr="006A497D">
        <w:rPr>
          <w:lang w:eastAsia="en-AU"/>
        </w:rPr>
        <w:t>This section includes disclosures of balances that are financial instruments (such as borrowings and cash balances). Notes 8.1 and 8.3 provide additional, specific financial instrument disclosures.</w:t>
      </w:r>
    </w:p>
    <w:p w14:paraId="7EE927E2" w14:textId="77777777" w:rsidR="006E51BF" w:rsidRDefault="006E51BF">
      <w:pPr>
        <w:pStyle w:val="Heading4"/>
        <w:rPr>
          <w:lang w:eastAsia="en-AU"/>
        </w:rPr>
      </w:pPr>
      <w:r w:rsidRPr="006A497D">
        <w:rPr>
          <w:lang w:eastAsia="en-AU"/>
        </w:rPr>
        <w:t>Structure</w:t>
      </w:r>
    </w:p>
    <w:p w14:paraId="51AC0D0D" w14:textId="77777777" w:rsidR="006E51BF" w:rsidRDefault="006E51BF">
      <w:pPr>
        <w:pStyle w:val="ARfinstructure1"/>
        <w:rPr>
          <w:lang w:eastAsia="en-AU"/>
        </w:rPr>
      </w:pPr>
      <w:r w:rsidRPr="006A497D">
        <w:rPr>
          <w:lang w:eastAsia="en-AU"/>
        </w:rPr>
        <w:t xml:space="preserve">7.1 </w:t>
      </w:r>
      <w:r>
        <w:rPr>
          <w:lang w:eastAsia="en-AU"/>
        </w:rPr>
        <w:tab/>
      </w:r>
      <w:r w:rsidRPr="006A497D">
        <w:rPr>
          <w:lang w:eastAsia="en-AU"/>
        </w:rPr>
        <w:t xml:space="preserve">Borrowings </w:t>
      </w:r>
    </w:p>
    <w:p w14:paraId="507D809E" w14:textId="77777777" w:rsidR="006E51BF" w:rsidRDefault="006E51BF">
      <w:pPr>
        <w:pStyle w:val="ARfinstructure1"/>
        <w:rPr>
          <w:lang w:eastAsia="en-AU"/>
        </w:rPr>
      </w:pPr>
      <w:r w:rsidRPr="006A497D">
        <w:rPr>
          <w:lang w:eastAsia="en-AU"/>
        </w:rPr>
        <w:t xml:space="preserve">7.2 </w:t>
      </w:r>
      <w:r>
        <w:rPr>
          <w:lang w:eastAsia="en-AU"/>
        </w:rPr>
        <w:tab/>
      </w:r>
      <w:r w:rsidRPr="006A497D">
        <w:rPr>
          <w:lang w:eastAsia="en-AU"/>
        </w:rPr>
        <w:t>Maturity analysis of borrowings</w:t>
      </w:r>
    </w:p>
    <w:p w14:paraId="79BBFF84" w14:textId="77777777" w:rsidR="006E51BF" w:rsidRDefault="006E51BF">
      <w:pPr>
        <w:pStyle w:val="ARfinstructure1"/>
        <w:rPr>
          <w:lang w:eastAsia="en-AU"/>
        </w:rPr>
      </w:pPr>
      <w:r w:rsidRPr="006A497D">
        <w:rPr>
          <w:lang w:eastAsia="en-AU"/>
        </w:rPr>
        <w:t xml:space="preserve">7.3 </w:t>
      </w:r>
      <w:r>
        <w:rPr>
          <w:lang w:eastAsia="en-AU"/>
        </w:rPr>
        <w:tab/>
      </w:r>
      <w:r w:rsidRPr="006A497D">
        <w:rPr>
          <w:lang w:eastAsia="en-AU"/>
        </w:rPr>
        <w:t>Cash flow information and balances</w:t>
      </w:r>
    </w:p>
    <w:p w14:paraId="3C466E27" w14:textId="77777777" w:rsidR="006E51BF" w:rsidRDefault="006E51BF">
      <w:pPr>
        <w:pStyle w:val="ARfinstructure2"/>
        <w:rPr>
          <w:lang w:eastAsia="en-AU"/>
        </w:rPr>
      </w:pPr>
      <w:r w:rsidRPr="006A497D">
        <w:rPr>
          <w:lang w:eastAsia="en-AU"/>
        </w:rPr>
        <w:t xml:space="preserve">7.3.1 </w:t>
      </w:r>
      <w:r>
        <w:rPr>
          <w:lang w:eastAsia="en-AU"/>
        </w:rPr>
        <w:tab/>
      </w:r>
      <w:r w:rsidRPr="006A497D">
        <w:rPr>
          <w:lang w:eastAsia="en-AU"/>
        </w:rPr>
        <w:t>Reconciliation of net result for the period to net cash flow from operating activities</w:t>
      </w:r>
    </w:p>
    <w:p w14:paraId="74FCAA1A" w14:textId="77777777" w:rsidR="006E51BF" w:rsidRDefault="006E51BF">
      <w:pPr>
        <w:pStyle w:val="ARfinstructure1"/>
        <w:rPr>
          <w:lang w:eastAsia="en-AU"/>
        </w:rPr>
      </w:pPr>
      <w:r w:rsidRPr="006A497D">
        <w:rPr>
          <w:lang w:eastAsia="en-AU"/>
        </w:rPr>
        <w:t xml:space="preserve">7.4 </w:t>
      </w:r>
      <w:r>
        <w:rPr>
          <w:lang w:eastAsia="en-AU"/>
        </w:rPr>
        <w:tab/>
      </w:r>
      <w:r w:rsidRPr="006A497D">
        <w:rPr>
          <w:lang w:eastAsia="en-AU"/>
        </w:rPr>
        <w:t>Trust account</w:t>
      </w:r>
    </w:p>
    <w:p w14:paraId="1C16A2C8" w14:textId="77777777" w:rsidR="006E51BF" w:rsidRDefault="006E51BF">
      <w:pPr>
        <w:pStyle w:val="ARfinstructure2"/>
        <w:rPr>
          <w:lang w:eastAsia="en-AU"/>
        </w:rPr>
      </w:pPr>
      <w:r w:rsidRPr="006A497D">
        <w:rPr>
          <w:lang w:eastAsia="en-AU"/>
        </w:rPr>
        <w:t xml:space="preserve">7.4.1 </w:t>
      </w:r>
      <w:r>
        <w:rPr>
          <w:lang w:eastAsia="en-AU"/>
        </w:rPr>
        <w:tab/>
      </w:r>
      <w:r w:rsidRPr="006A497D">
        <w:rPr>
          <w:lang w:eastAsia="en-AU"/>
        </w:rPr>
        <w:t>Trust account balances</w:t>
      </w:r>
    </w:p>
    <w:p w14:paraId="2B6F8589" w14:textId="77777777" w:rsidR="006E51BF" w:rsidRDefault="006E51BF">
      <w:pPr>
        <w:pStyle w:val="ARfinstructure2"/>
        <w:rPr>
          <w:lang w:eastAsia="en-AU"/>
        </w:rPr>
      </w:pPr>
      <w:r w:rsidRPr="006A497D">
        <w:rPr>
          <w:lang w:eastAsia="en-AU"/>
        </w:rPr>
        <w:t xml:space="preserve">7.4.2 </w:t>
      </w:r>
      <w:r>
        <w:rPr>
          <w:lang w:eastAsia="en-AU"/>
        </w:rPr>
        <w:tab/>
      </w:r>
      <w:r w:rsidRPr="006A497D">
        <w:rPr>
          <w:lang w:eastAsia="en-AU"/>
        </w:rPr>
        <w:t xml:space="preserve">Trust account </w:t>
      </w:r>
      <w:r>
        <w:rPr>
          <w:lang w:eastAsia="en-AU"/>
        </w:rPr>
        <w:t>–</w:t>
      </w:r>
      <w:r w:rsidRPr="006A497D">
        <w:rPr>
          <w:lang w:eastAsia="en-AU"/>
        </w:rPr>
        <w:t xml:space="preserve"> Legislative references and nature</w:t>
      </w:r>
    </w:p>
    <w:p w14:paraId="7062990E" w14:textId="77777777" w:rsidR="006E51BF" w:rsidRDefault="006E51BF">
      <w:pPr>
        <w:pStyle w:val="ARfinstructure1"/>
        <w:rPr>
          <w:lang w:eastAsia="en-AU"/>
        </w:rPr>
      </w:pPr>
      <w:r w:rsidRPr="006A497D">
        <w:rPr>
          <w:lang w:eastAsia="en-AU"/>
        </w:rPr>
        <w:t xml:space="preserve">7.5 </w:t>
      </w:r>
      <w:r>
        <w:rPr>
          <w:lang w:eastAsia="en-AU"/>
        </w:rPr>
        <w:tab/>
      </w:r>
      <w:r w:rsidRPr="006A497D">
        <w:rPr>
          <w:lang w:eastAsia="en-AU"/>
        </w:rPr>
        <w:t>Commitments for expenditure</w:t>
      </w:r>
    </w:p>
    <w:p w14:paraId="1196A872" w14:textId="77777777" w:rsidR="006E51BF" w:rsidRDefault="006E51BF">
      <w:pPr>
        <w:pStyle w:val="ARfinstructure2"/>
        <w:rPr>
          <w:lang w:eastAsia="en-AU"/>
        </w:rPr>
      </w:pPr>
      <w:r w:rsidRPr="006A497D">
        <w:rPr>
          <w:lang w:eastAsia="en-AU"/>
        </w:rPr>
        <w:t xml:space="preserve">7.5.1 </w:t>
      </w:r>
      <w:r>
        <w:rPr>
          <w:lang w:eastAsia="en-AU"/>
        </w:rPr>
        <w:tab/>
      </w:r>
      <w:r w:rsidRPr="006A497D">
        <w:rPr>
          <w:lang w:eastAsia="en-AU"/>
        </w:rPr>
        <w:t>Total commitments payable</w:t>
      </w:r>
    </w:p>
    <w:p w14:paraId="5BC8E8B7" w14:textId="77777777" w:rsidR="006E51BF" w:rsidRDefault="006E51BF">
      <w:pPr>
        <w:pStyle w:val="ARfinstructure2"/>
        <w:rPr>
          <w:lang w:eastAsia="en-AU"/>
        </w:rPr>
      </w:pPr>
      <w:r w:rsidRPr="006A497D">
        <w:rPr>
          <w:lang w:eastAsia="en-AU"/>
        </w:rPr>
        <w:t xml:space="preserve">7.5.2 </w:t>
      </w:r>
      <w:r>
        <w:rPr>
          <w:lang w:eastAsia="en-AU"/>
        </w:rPr>
        <w:tab/>
      </w:r>
      <w:r w:rsidRPr="006A497D">
        <w:rPr>
          <w:lang w:eastAsia="en-AU"/>
        </w:rPr>
        <w:t>Service concession arrangements commitments</w:t>
      </w:r>
    </w:p>
    <w:p w14:paraId="4594A360" w14:textId="77777777" w:rsidR="006E51BF" w:rsidRPr="006A497D" w:rsidRDefault="006E51BF">
      <w:pPr>
        <w:pStyle w:val="ARfinstructure2"/>
        <w:rPr>
          <w:b/>
          <w:bCs/>
          <w:lang w:eastAsia="en-AU"/>
        </w:rPr>
      </w:pPr>
      <w:r w:rsidRPr="006A497D">
        <w:rPr>
          <w:lang w:eastAsia="en-AU"/>
        </w:rPr>
        <w:t xml:space="preserve">7.5.3 </w:t>
      </w:r>
      <w:r>
        <w:rPr>
          <w:lang w:eastAsia="en-AU"/>
        </w:rPr>
        <w:tab/>
      </w:r>
      <w:r w:rsidRPr="006A497D">
        <w:rPr>
          <w:lang w:eastAsia="en-AU"/>
        </w:rPr>
        <w:t>Service concession arrangements</w:t>
      </w:r>
    </w:p>
    <w:p w14:paraId="724C6D1E" w14:textId="77777777" w:rsidR="006E51BF" w:rsidRPr="006A497D" w:rsidRDefault="006E51BF">
      <w:pPr>
        <w:pStyle w:val="Heading4"/>
        <w:rPr>
          <w:lang w:eastAsia="en-AU"/>
        </w:rPr>
      </w:pPr>
      <w:r w:rsidRPr="006A497D">
        <w:rPr>
          <w:lang w:eastAsia="en-AU"/>
        </w:rPr>
        <w:t xml:space="preserve">7.1 </w:t>
      </w:r>
      <w:r>
        <w:rPr>
          <w:lang w:eastAsia="en-AU"/>
        </w:rPr>
        <w:tab/>
      </w:r>
      <w:r w:rsidRPr="006A497D">
        <w:rPr>
          <w:lang w:eastAsia="en-AU"/>
        </w:rPr>
        <w:t>Borrowings</w:t>
      </w:r>
    </w:p>
    <w:tbl>
      <w:tblPr>
        <w:tblStyle w:val="ARtable1"/>
        <w:tblW w:w="5000" w:type="pct"/>
        <w:tblLook w:val="00E0" w:firstRow="1" w:lastRow="1" w:firstColumn="1" w:lastColumn="0" w:noHBand="0" w:noVBand="0"/>
      </w:tblPr>
      <w:tblGrid>
        <w:gridCol w:w="6342"/>
        <w:gridCol w:w="1643"/>
        <w:gridCol w:w="1643"/>
      </w:tblGrid>
      <w:tr w:rsidR="006E51BF" w:rsidRPr="006A497D" w14:paraId="26CDF678" w14:textId="77777777" w:rsidTr="00304BA9">
        <w:trPr>
          <w:cnfStyle w:val="100000000000" w:firstRow="1" w:lastRow="0" w:firstColumn="0" w:lastColumn="0" w:oddVBand="0" w:evenVBand="0" w:oddHBand="0" w:evenHBand="0" w:firstRowFirstColumn="0" w:firstRowLastColumn="0" w:lastRowFirstColumn="0" w:lastRowLastColumn="0"/>
          <w:trHeight w:val="550"/>
          <w:tblHeader/>
        </w:trPr>
        <w:tc>
          <w:tcPr>
            <w:tcW w:w="3294" w:type="pct"/>
            <w:noWrap/>
          </w:tcPr>
          <w:p w14:paraId="79031088" w14:textId="77777777" w:rsidR="006E51BF" w:rsidRPr="006A497D" w:rsidRDefault="006E51BF">
            <w:pPr>
              <w:spacing w:after="0" w:line="240" w:lineRule="auto"/>
              <w:jc w:val="right"/>
              <w:rPr>
                <w:rFonts w:ascii="Verdana" w:hAnsi="Verdana" w:cs="Arial"/>
                <w:b/>
                <w:bCs/>
                <w:color w:val="000000"/>
                <w:sz w:val="20"/>
                <w:lang w:eastAsia="en-AU"/>
              </w:rPr>
            </w:pPr>
          </w:p>
        </w:tc>
        <w:tc>
          <w:tcPr>
            <w:cnfStyle w:val="000001000000" w:firstRow="0" w:lastRow="0" w:firstColumn="0" w:lastColumn="0" w:oddVBand="0" w:evenVBand="1" w:oddHBand="0" w:evenHBand="0" w:firstRowFirstColumn="0" w:firstRowLastColumn="0" w:lastRowFirstColumn="0" w:lastRowLastColumn="0"/>
            <w:tcW w:w="853" w:type="pct"/>
            <w:noWrap/>
            <w:tcMar>
              <w:right w:w="0" w:type="nil"/>
            </w:tcMar>
            <w:hideMark/>
          </w:tcPr>
          <w:p w14:paraId="059E1C55" w14:textId="77777777" w:rsidR="006E51BF" w:rsidRPr="006A497D" w:rsidRDefault="006E51BF">
            <w:pPr>
              <w:pStyle w:val="ARfintablecolheadright"/>
              <w:rPr>
                <w:lang w:eastAsia="en-AU"/>
              </w:rPr>
            </w:pPr>
            <w:r w:rsidRPr="006A497D">
              <w:rPr>
                <w:lang w:eastAsia="en-AU"/>
              </w:rPr>
              <w:t>2026</w:t>
            </w:r>
          </w:p>
          <w:p w14:paraId="1DB1A426" w14:textId="77777777" w:rsidR="006E51BF" w:rsidRPr="006A497D" w:rsidRDefault="006E51BF">
            <w:pPr>
              <w:pStyle w:val="ARfintablecolheadright"/>
              <w:rPr>
                <w:lang w:eastAsia="en-AU"/>
              </w:rPr>
            </w:pPr>
            <w:r w:rsidRPr="006A497D">
              <w:rPr>
                <w:lang w:eastAsia="en-AU"/>
              </w:rPr>
              <w:t>$M</w:t>
            </w:r>
          </w:p>
        </w:tc>
        <w:tc>
          <w:tcPr>
            <w:tcW w:w="853" w:type="pct"/>
            <w:noWrap/>
            <w:tcMar>
              <w:right w:w="0" w:type="nil"/>
            </w:tcMar>
            <w:hideMark/>
          </w:tcPr>
          <w:p w14:paraId="42F31348" w14:textId="77777777" w:rsidR="006E51BF" w:rsidRPr="006A497D"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6A497D">
              <w:rPr>
                <w:lang w:eastAsia="en-AU"/>
              </w:rPr>
              <w:t>2025</w:t>
            </w:r>
          </w:p>
          <w:p w14:paraId="023783F5" w14:textId="77777777" w:rsidR="006E51BF" w:rsidRPr="006A497D"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6A497D">
              <w:rPr>
                <w:lang w:eastAsia="en-AU"/>
              </w:rPr>
              <w:t>$M</w:t>
            </w:r>
          </w:p>
        </w:tc>
      </w:tr>
      <w:tr w:rsidR="006E51BF" w:rsidRPr="006A497D" w14:paraId="1611524F" w14:textId="77777777" w:rsidTr="00304BA9">
        <w:trPr>
          <w:cnfStyle w:val="000000100000" w:firstRow="0" w:lastRow="0" w:firstColumn="0" w:lastColumn="0" w:oddVBand="0" w:evenVBand="0" w:oddHBand="1" w:evenHBand="0" w:firstRowFirstColumn="0" w:firstRowLastColumn="0" w:lastRowFirstColumn="0" w:lastRowLastColumn="0"/>
          <w:trHeight w:val="270"/>
        </w:trPr>
        <w:tc>
          <w:tcPr>
            <w:tcW w:w="3294" w:type="pct"/>
            <w:noWrap/>
            <w:hideMark/>
          </w:tcPr>
          <w:p w14:paraId="4675105E" w14:textId="77777777" w:rsidR="006E51BF" w:rsidRPr="006A497D" w:rsidRDefault="006E51BF">
            <w:pPr>
              <w:pStyle w:val="ARfintabletextboldcoloured"/>
              <w:rPr>
                <w:lang w:eastAsia="en-AU"/>
              </w:rPr>
            </w:pPr>
            <w:r w:rsidRPr="006A497D">
              <w:rPr>
                <w:lang w:eastAsia="en-AU"/>
              </w:rPr>
              <w:t>Current borrowings</w:t>
            </w:r>
          </w:p>
        </w:tc>
        <w:tc>
          <w:tcPr>
            <w:cnfStyle w:val="000001000000" w:firstRow="0" w:lastRow="0" w:firstColumn="0" w:lastColumn="0" w:oddVBand="0" w:evenVBand="1" w:oddHBand="0" w:evenHBand="0" w:firstRowFirstColumn="0" w:firstRowLastColumn="0" w:lastRowFirstColumn="0" w:lastRowLastColumn="0"/>
            <w:tcW w:w="853" w:type="pct"/>
            <w:shd w:val="clear" w:color="auto" w:fill="auto"/>
            <w:noWrap/>
            <w:tcMar>
              <w:right w:w="0" w:type="nil"/>
            </w:tcMar>
            <w:hideMark/>
          </w:tcPr>
          <w:p w14:paraId="1401CE87" w14:textId="77777777" w:rsidR="006E51BF" w:rsidRPr="006A497D" w:rsidRDefault="006E51BF" w:rsidP="009D2550">
            <w:pPr>
              <w:pStyle w:val="ARfintabletextright"/>
              <w:rPr>
                <w:lang w:eastAsia="en-AU"/>
              </w:rPr>
            </w:pPr>
          </w:p>
        </w:tc>
        <w:tc>
          <w:tcPr>
            <w:tcW w:w="853" w:type="pct"/>
            <w:noWrap/>
            <w:tcMar>
              <w:right w:w="0" w:type="nil"/>
            </w:tcMar>
            <w:hideMark/>
          </w:tcPr>
          <w:p w14:paraId="245CC57F" w14:textId="77777777" w:rsidR="006E51BF" w:rsidRPr="006A497D" w:rsidRDefault="006E51BF" w:rsidP="009D2550">
            <w:pPr>
              <w:pStyle w:val="ARfintabletextright"/>
              <w:cnfStyle w:val="000000100000" w:firstRow="0" w:lastRow="0" w:firstColumn="0" w:lastColumn="0" w:oddVBand="0" w:evenVBand="0" w:oddHBand="1" w:evenHBand="0" w:firstRowFirstColumn="0" w:firstRowLastColumn="0" w:lastRowFirstColumn="0" w:lastRowLastColumn="0"/>
              <w:rPr>
                <w:color w:val="000000"/>
                <w:lang w:eastAsia="en-AU"/>
              </w:rPr>
            </w:pPr>
          </w:p>
        </w:tc>
      </w:tr>
      <w:tr w:rsidR="006E51BF" w:rsidRPr="006A497D" w14:paraId="2C26F5EB" w14:textId="77777777" w:rsidTr="00304BA9">
        <w:trPr>
          <w:cnfStyle w:val="000000010000" w:firstRow="0" w:lastRow="0" w:firstColumn="0" w:lastColumn="0" w:oddVBand="0" w:evenVBand="0" w:oddHBand="0" w:evenHBand="1" w:firstRowFirstColumn="0" w:firstRowLastColumn="0" w:lastRowFirstColumn="0" w:lastRowLastColumn="0"/>
          <w:trHeight w:val="270"/>
        </w:trPr>
        <w:tc>
          <w:tcPr>
            <w:tcW w:w="3294" w:type="pct"/>
            <w:noWrap/>
            <w:hideMark/>
          </w:tcPr>
          <w:p w14:paraId="318F6AE1" w14:textId="77777777" w:rsidR="006E51BF" w:rsidRPr="006A497D" w:rsidRDefault="006E51BF">
            <w:pPr>
              <w:pStyle w:val="ARfintabletext"/>
              <w:rPr>
                <w:lang w:eastAsia="en-AU"/>
              </w:rPr>
            </w:pPr>
            <w:r w:rsidRPr="006A497D">
              <w:rPr>
                <w:lang w:eastAsia="en-AU"/>
              </w:rPr>
              <w:t>Advances from Victorian Government</w:t>
            </w:r>
          </w:p>
        </w:tc>
        <w:tc>
          <w:tcPr>
            <w:cnfStyle w:val="000001000000" w:firstRow="0" w:lastRow="0" w:firstColumn="0" w:lastColumn="0" w:oddVBand="0" w:evenVBand="1" w:oddHBand="0" w:evenHBand="0" w:firstRowFirstColumn="0" w:firstRowLastColumn="0" w:lastRowFirstColumn="0" w:lastRowLastColumn="0"/>
            <w:tcW w:w="853" w:type="pct"/>
            <w:noWrap/>
            <w:tcMar>
              <w:right w:w="0" w:type="nil"/>
            </w:tcMar>
            <w:hideMark/>
          </w:tcPr>
          <w:p w14:paraId="66040CD5" w14:textId="77777777" w:rsidR="006E51BF" w:rsidRPr="006A497D" w:rsidRDefault="006E51BF">
            <w:pPr>
              <w:pStyle w:val="ARfintabletextright"/>
              <w:rPr>
                <w:lang w:eastAsia="en-AU"/>
              </w:rPr>
            </w:pPr>
            <w:r w:rsidRPr="006A497D">
              <w:rPr>
                <w:lang w:eastAsia="en-AU"/>
              </w:rPr>
              <w:t>27.8</w:t>
            </w:r>
          </w:p>
        </w:tc>
        <w:tc>
          <w:tcPr>
            <w:tcW w:w="853" w:type="pct"/>
            <w:noWrap/>
            <w:tcMar>
              <w:right w:w="0" w:type="nil"/>
            </w:tcMar>
            <w:hideMark/>
          </w:tcPr>
          <w:p w14:paraId="446D3214" w14:textId="77777777" w:rsidR="006E51BF" w:rsidRPr="006A497D"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6A497D">
              <w:rPr>
                <w:lang w:eastAsia="en-AU"/>
              </w:rPr>
              <w:t>32.5</w:t>
            </w:r>
          </w:p>
        </w:tc>
      </w:tr>
      <w:tr w:rsidR="006E51BF" w:rsidRPr="006A497D" w14:paraId="48BC83AB" w14:textId="77777777" w:rsidTr="00304BA9">
        <w:trPr>
          <w:cnfStyle w:val="000000100000" w:firstRow="0" w:lastRow="0" w:firstColumn="0" w:lastColumn="0" w:oddVBand="0" w:evenVBand="0" w:oddHBand="1" w:evenHBand="0" w:firstRowFirstColumn="0" w:firstRowLastColumn="0" w:lastRowFirstColumn="0" w:lastRowLastColumn="0"/>
          <w:trHeight w:val="270"/>
        </w:trPr>
        <w:tc>
          <w:tcPr>
            <w:tcW w:w="3294" w:type="pct"/>
            <w:tcBorders>
              <w:bottom w:val="single" w:sz="4" w:space="0" w:color="BFBFBF" w:themeColor="accent2"/>
            </w:tcBorders>
            <w:noWrap/>
            <w:hideMark/>
          </w:tcPr>
          <w:p w14:paraId="6DB50B3D" w14:textId="77777777" w:rsidR="006E51BF" w:rsidRPr="006A497D" w:rsidRDefault="006E51BF">
            <w:pPr>
              <w:pStyle w:val="ARfintabletext"/>
              <w:rPr>
                <w:lang w:eastAsia="en-AU"/>
              </w:rPr>
            </w:pPr>
            <w:r w:rsidRPr="006A497D">
              <w:rPr>
                <w:lang w:eastAsia="en-AU"/>
              </w:rPr>
              <w:t>Service concession financial liability</w:t>
            </w:r>
          </w:p>
        </w:tc>
        <w:tc>
          <w:tcPr>
            <w:cnfStyle w:val="000001000000" w:firstRow="0" w:lastRow="0" w:firstColumn="0" w:lastColumn="0" w:oddVBand="0" w:evenVBand="1" w:oddHBand="0" w:evenHBand="0" w:firstRowFirstColumn="0" w:firstRowLastColumn="0" w:lastRowFirstColumn="0" w:lastRowLastColumn="0"/>
            <w:tcW w:w="853" w:type="pct"/>
            <w:tcBorders>
              <w:bottom w:val="single" w:sz="4" w:space="0" w:color="BFBFBF" w:themeColor="accent2"/>
            </w:tcBorders>
            <w:noWrap/>
            <w:tcMar>
              <w:right w:w="0" w:type="nil"/>
            </w:tcMar>
            <w:hideMark/>
          </w:tcPr>
          <w:p w14:paraId="557D1F51" w14:textId="77777777" w:rsidR="006E51BF" w:rsidRPr="006A497D" w:rsidRDefault="006E51BF">
            <w:pPr>
              <w:pStyle w:val="ARfintabletextright"/>
              <w:rPr>
                <w:lang w:eastAsia="en-AU"/>
              </w:rPr>
            </w:pPr>
            <w:r w:rsidRPr="006A497D">
              <w:rPr>
                <w:lang w:eastAsia="en-AU"/>
              </w:rPr>
              <w:t>5.9</w:t>
            </w:r>
          </w:p>
        </w:tc>
        <w:tc>
          <w:tcPr>
            <w:tcW w:w="853" w:type="pct"/>
            <w:tcBorders>
              <w:bottom w:val="single" w:sz="4" w:space="0" w:color="BFBFBF" w:themeColor="accent2"/>
            </w:tcBorders>
            <w:noWrap/>
            <w:tcMar>
              <w:right w:w="0" w:type="nil"/>
            </w:tcMar>
            <w:hideMark/>
          </w:tcPr>
          <w:p w14:paraId="3C273F84" w14:textId="77777777" w:rsidR="006E51BF" w:rsidRPr="006A497D"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6A497D">
              <w:rPr>
                <w:lang w:eastAsia="en-AU"/>
              </w:rPr>
              <w:t>2.0</w:t>
            </w:r>
          </w:p>
        </w:tc>
      </w:tr>
      <w:tr w:rsidR="006E51BF" w:rsidRPr="006A497D" w14:paraId="7F1DDDE5" w14:textId="77777777" w:rsidTr="00304BA9">
        <w:trPr>
          <w:cnfStyle w:val="000000010000" w:firstRow="0" w:lastRow="0" w:firstColumn="0" w:lastColumn="0" w:oddVBand="0" w:evenVBand="0" w:oddHBand="0" w:evenHBand="1" w:firstRowFirstColumn="0" w:firstRowLastColumn="0" w:lastRowFirstColumn="0" w:lastRowLastColumn="0"/>
          <w:trHeight w:val="270"/>
        </w:trPr>
        <w:tc>
          <w:tcPr>
            <w:tcW w:w="3294" w:type="pct"/>
            <w:tcBorders>
              <w:top w:val="single" w:sz="4" w:space="0" w:color="BFBFBF" w:themeColor="accent2"/>
              <w:bottom w:val="single" w:sz="4" w:space="0" w:color="000000" w:themeColor="text1"/>
            </w:tcBorders>
            <w:noWrap/>
            <w:hideMark/>
          </w:tcPr>
          <w:p w14:paraId="0314135D" w14:textId="77777777" w:rsidR="006E51BF" w:rsidRPr="006A497D" w:rsidRDefault="006E51BF">
            <w:pPr>
              <w:pStyle w:val="ARfintabletext"/>
              <w:rPr>
                <w:lang w:eastAsia="en-AU"/>
              </w:rPr>
            </w:pPr>
            <w:r w:rsidRPr="006A497D">
              <w:rPr>
                <w:lang w:eastAsia="en-AU"/>
              </w:rPr>
              <w:t>Lease liabilities</w:t>
            </w:r>
          </w:p>
        </w:tc>
        <w:tc>
          <w:tcPr>
            <w:cnfStyle w:val="000001000000" w:firstRow="0" w:lastRow="0" w:firstColumn="0" w:lastColumn="0" w:oddVBand="0" w:evenVBand="1" w:oddHBand="0" w:evenHBand="0" w:firstRowFirstColumn="0" w:firstRowLastColumn="0" w:lastRowFirstColumn="0" w:lastRowLastColumn="0"/>
            <w:tcW w:w="853" w:type="pct"/>
            <w:tcBorders>
              <w:top w:val="single" w:sz="4" w:space="0" w:color="BFBFBF" w:themeColor="accent2"/>
              <w:bottom w:val="single" w:sz="4" w:space="0" w:color="000000" w:themeColor="text1"/>
            </w:tcBorders>
            <w:noWrap/>
            <w:tcMar>
              <w:right w:w="0" w:type="nil"/>
            </w:tcMar>
            <w:hideMark/>
          </w:tcPr>
          <w:p w14:paraId="34377AE7" w14:textId="77777777" w:rsidR="006E51BF" w:rsidRPr="006A497D" w:rsidRDefault="006E51BF">
            <w:pPr>
              <w:pStyle w:val="ARfintabletextright"/>
              <w:rPr>
                <w:lang w:eastAsia="en-AU"/>
              </w:rPr>
            </w:pPr>
            <w:r w:rsidRPr="006A497D">
              <w:rPr>
                <w:lang w:eastAsia="en-AU"/>
              </w:rPr>
              <w:t>37.7</w:t>
            </w:r>
          </w:p>
        </w:tc>
        <w:tc>
          <w:tcPr>
            <w:tcW w:w="853" w:type="pct"/>
            <w:tcBorders>
              <w:top w:val="single" w:sz="4" w:space="0" w:color="BFBFBF" w:themeColor="accent2"/>
              <w:bottom w:val="single" w:sz="4" w:space="0" w:color="000000" w:themeColor="text1"/>
            </w:tcBorders>
            <w:noWrap/>
            <w:tcMar>
              <w:right w:w="0" w:type="nil"/>
            </w:tcMar>
            <w:hideMark/>
          </w:tcPr>
          <w:p w14:paraId="4F72B886" w14:textId="77777777" w:rsidR="006E51BF" w:rsidRPr="006A497D"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6A497D">
              <w:rPr>
                <w:lang w:eastAsia="en-AU"/>
              </w:rPr>
              <w:t>35.0</w:t>
            </w:r>
          </w:p>
        </w:tc>
      </w:tr>
      <w:tr w:rsidR="006E51BF" w:rsidRPr="006A497D" w14:paraId="5E363330" w14:textId="77777777" w:rsidTr="00304BA9">
        <w:trPr>
          <w:cnfStyle w:val="000000100000" w:firstRow="0" w:lastRow="0" w:firstColumn="0" w:lastColumn="0" w:oddVBand="0" w:evenVBand="0" w:oddHBand="1" w:evenHBand="0" w:firstRowFirstColumn="0" w:firstRowLastColumn="0" w:lastRowFirstColumn="0" w:lastRowLastColumn="0"/>
          <w:trHeight w:val="270"/>
        </w:trPr>
        <w:tc>
          <w:tcPr>
            <w:tcW w:w="3294" w:type="pct"/>
            <w:tcBorders>
              <w:top w:val="single" w:sz="4" w:space="0" w:color="000000" w:themeColor="text1"/>
              <w:bottom w:val="single" w:sz="4" w:space="0" w:color="000000" w:themeColor="text1"/>
            </w:tcBorders>
            <w:noWrap/>
            <w:hideMark/>
          </w:tcPr>
          <w:p w14:paraId="37D685A4" w14:textId="77777777" w:rsidR="006E51BF" w:rsidRPr="006A497D" w:rsidRDefault="006E51BF">
            <w:pPr>
              <w:pStyle w:val="ARfintabletextbold"/>
              <w:rPr>
                <w:lang w:eastAsia="en-AU"/>
              </w:rPr>
            </w:pPr>
            <w:r w:rsidRPr="006A497D">
              <w:rPr>
                <w:lang w:eastAsia="en-AU"/>
              </w:rPr>
              <w:t>Total current borrowings</w:t>
            </w:r>
          </w:p>
        </w:tc>
        <w:tc>
          <w:tcPr>
            <w:cnfStyle w:val="000001000000" w:firstRow="0" w:lastRow="0" w:firstColumn="0" w:lastColumn="0" w:oddVBand="0" w:evenVBand="1" w:oddHBand="0" w:evenHBand="0" w:firstRowFirstColumn="0" w:firstRowLastColumn="0" w:lastRowFirstColumn="0" w:lastRowLastColumn="0"/>
            <w:tcW w:w="853" w:type="pct"/>
            <w:tcBorders>
              <w:top w:val="single" w:sz="4" w:space="0" w:color="000000" w:themeColor="text1"/>
              <w:bottom w:val="single" w:sz="4" w:space="0" w:color="000000" w:themeColor="text1"/>
            </w:tcBorders>
            <w:noWrap/>
            <w:tcMar>
              <w:right w:w="0" w:type="nil"/>
            </w:tcMar>
            <w:hideMark/>
          </w:tcPr>
          <w:p w14:paraId="3BD1AA56" w14:textId="77777777" w:rsidR="006E51BF" w:rsidRPr="006A497D" w:rsidRDefault="006E51BF">
            <w:pPr>
              <w:pStyle w:val="ARfintabletextboldright"/>
              <w:rPr>
                <w:lang w:eastAsia="en-AU"/>
              </w:rPr>
            </w:pPr>
            <w:r w:rsidRPr="006A497D">
              <w:rPr>
                <w:lang w:eastAsia="en-AU"/>
              </w:rPr>
              <w:t>71.4</w:t>
            </w:r>
          </w:p>
        </w:tc>
        <w:tc>
          <w:tcPr>
            <w:tcW w:w="853" w:type="pct"/>
            <w:tcBorders>
              <w:top w:val="single" w:sz="4" w:space="0" w:color="000000" w:themeColor="text1"/>
              <w:bottom w:val="single" w:sz="4" w:space="0" w:color="000000" w:themeColor="text1"/>
            </w:tcBorders>
            <w:noWrap/>
            <w:tcMar>
              <w:right w:w="0" w:type="nil"/>
            </w:tcMar>
            <w:hideMark/>
          </w:tcPr>
          <w:p w14:paraId="75808333" w14:textId="77777777" w:rsidR="006E51BF" w:rsidRPr="006A497D"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6A497D">
              <w:rPr>
                <w:lang w:eastAsia="en-AU"/>
              </w:rPr>
              <w:t>69.4</w:t>
            </w:r>
          </w:p>
        </w:tc>
      </w:tr>
      <w:tr w:rsidR="006E51BF" w:rsidRPr="006A497D" w14:paraId="492FB794" w14:textId="77777777" w:rsidTr="00304BA9">
        <w:trPr>
          <w:cnfStyle w:val="000000010000" w:firstRow="0" w:lastRow="0" w:firstColumn="0" w:lastColumn="0" w:oddVBand="0" w:evenVBand="0" w:oddHBand="0" w:evenHBand="1" w:firstRowFirstColumn="0" w:firstRowLastColumn="0" w:lastRowFirstColumn="0" w:lastRowLastColumn="0"/>
          <w:trHeight w:val="270"/>
        </w:trPr>
        <w:tc>
          <w:tcPr>
            <w:tcW w:w="3294" w:type="pct"/>
            <w:tcBorders>
              <w:top w:val="single" w:sz="4" w:space="0" w:color="000000" w:themeColor="text1"/>
            </w:tcBorders>
            <w:noWrap/>
            <w:hideMark/>
          </w:tcPr>
          <w:p w14:paraId="6056956C" w14:textId="77777777" w:rsidR="006E51BF" w:rsidRPr="006A497D" w:rsidRDefault="006E51BF">
            <w:pPr>
              <w:pStyle w:val="ARfintabletextboldcoloured"/>
              <w:rPr>
                <w:lang w:eastAsia="en-AU"/>
              </w:rPr>
            </w:pPr>
            <w:r w:rsidRPr="006A497D">
              <w:rPr>
                <w:lang w:eastAsia="en-AU"/>
              </w:rPr>
              <w:t>Non-current borrowings</w:t>
            </w:r>
          </w:p>
        </w:tc>
        <w:tc>
          <w:tcPr>
            <w:cnfStyle w:val="000001000000" w:firstRow="0" w:lastRow="0" w:firstColumn="0" w:lastColumn="0" w:oddVBand="0" w:evenVBand="1" w:oddHBand="0" w:evenHBand="0" w:firstRowFirstColumn="0" w:firstRowLastColumn="0" w:lastRowFirstColumn="0" w:lastRowLastColumn="0"/>
            <w:tcW w:w="853" w:type="pct"/>
            <w:tcBorders>
              <w:top w:val="single" w:sz="4" w:space="0" w:color="000000" w:themeColor="text1"/>
            </w:tcBorders>
            <w:shd w:val="clear" w:color="auto" w:fill="auto"/>
            <w:noWrap/>
            <w:tcMar>
              <w:right w:w="0" w:type="nil"/>
            </w:tcMar>
            <w:hideMark/>
          </w:tcPr>
          <w:p w14:paraId="74AF3A08" w14:textId="77777777" w:rsidR="006E51BF" w:rsidRPr="006A497D" w:rsidRDefault="006E51BF">
            <w:pPr>
              <w:pStyle w:val="ARfintabletextboldright"/>
              <w:rPr>
                <w:lang w:eastAsia="en-AU"/>
              </w:rPr>
            </w:pPr>
          </w:p>
        </w:tc>
        <w:tc>
          <w:tcPr>
            <w:tcW w:w="853" w:type="pct"/>
            <w:tcBorders>
              <w:top w:val="single" w:sz="4" w:space="0" w:color="000000" w:themeColor="text1"/>
            </w:tcBorders>
            <w:noWrap/>
            <w:tcMar>
              <w:right w:w="0" w:type="nil"/>
            </w:tcMar>
            <w:hideMark/>
          </w:tcPr>
          <w:p w14:paraId="01523108" w14:textId="77777777" w:rsidR="006E51BF" w:rsidRPr="006A497D"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p>
        </w:tc>
      </w:tr>
      <w:tr w:rsidR="006E51BF" w:rsidRPr="006A497D" w14:paraId="39F695A4" w14:textId="77777777" w:rsidTr="00304BA9">
        <w:trPr>
          <w:cnfStyle w:val="000000100000" w:firstRow="0" w:lastRow="0" w:firstColumn="0" w:lastColumn="0" w:oddVBand="0" w:evenVBand="0" w:oddHBand="1" w:evenHBand="0" w:firstRowFirstColumn="0" w:firstRowLastColumn="0" w:lastRowFirstColumn="0" w:lastRowLastColumn="0"/>
          <w:trHeight w:val="290"/>
        </w:trPr>
        <w:tc>
          <w:tcPr>
            <w:tcW w:w="3294" w:type="pct"/>
            <w:noWrap/>
            <w:hideMark/>
          </w:tcPr>
          <w:p w14:paraId="46A28108" w14:textId="77777777" w:rsidR="006E51BF" w:rsidRPr="006A497D" w:rsidRDefault="006E51BF">
            <w:pPr>
              <w:pStyle w:val="ARfintabletext"/>
              <w:rPr>
                <w:lang w:eastAsia="en-AU"/>
              </w:rPr>
            </w:pPr>
            <w:r w:rsidRPr="00774515">
              <w:rPr>
                <w:lang w:eastAsia="en-AU"/>
              </w:rPr>
              <w:t>Loans</w:t>
            </w:r>
            <w:r>
              <w:rPr>
                <w:vertAlign w:val="superscript"/>
                <w:lang w:eastAsia="en-AU"/>
              </w:rPr>
              <w:t xml:space="preserve"> </w:t>
            </w:r>
            <w:r>
              <w:rPr>
                <w:lang w:eastAsia="en-AU"/>
              </w:rPr>
              <w:t>from Treasury Corporation of Victoria (TCV)</w:t>
            </w:r>
          </w:p>
        </w:tc>
        <w:tc>
          <w:tcPr>
            <w:cnfStyle w:val="000001000000" w:firstRow="0" w:lastRow="0" w:firstColumn="0" w:lastColumn="0" w:oddVBand="0" w:evenVBand="1" w:oddHBand="0" w:evenHBand="0" w:firstRowFirstColumn="0" w:firstRowLastColumn="0" w:lastRowFirstColumn="0" w:lastRowLastColumn="0"/>
            <w:tcW w:w="853" w:type="pct"/>
            <w:noWrap/>
            <w:tcMar>
              <w:right w:w="0" w:type="nil"/>
            </w:tcMar>
            <w:hideMark/>
          </w:tcPr>
          <w:p w14:paraId="633CF429" w14:textId="77777777" w:rsidR="006E51BF" w:rsidRPr="006A497D" w:rsidRDefault="006E51BF">
            <w:pPr>
              <w:pStyle w:val="ARfintabletextright"/>
              <w:rPr>
                <w:lang w:eastAsia="en-AU"/>
              </w:rPr>
            </w:pPr>
            <w:r w:rsidRPr="006A497D">
              <w:rPr>
                <w:lang w:eastAsia="en-AU"/>
              </w:rPr>
              <w:t>129.8</w:t>
            </w:r>
          </w:p>
        </w:tc>
        <w:tc>
          <w:tcPr>
            <w:tcW w:w="853" w:type="pct"/>
            <w:noWrap/>
            <w:tcMar>
              <w:right w:w="0" w:type="nil"/>
            </w:tcMar>
            <w:hideMark/>
          </w:tcPr>
          <w:p w14:paraId="346FA415" w14:textId="77777777" w:rsidR="006E51BF" w:rsidRPr="006A497D"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6A497D">
              <w:rPr>
                <w:lang w:eastAsia="en-AU"/>
              </w:rPr>
              <w:t>129.8</w:t>
            </w:r>
          </w:p>
        </w:tc>
      </w:tr>
      <w:tr w:rsidR="006E51BF" w:rsidRPr="006A497D" w14:paraId="5330615E" w14:textId="77777777" w:rsidTr="00304BA9">
        <w:trPr>
          <w:cnfStyle w:val="000000010000" w:firstRow="0" w:lastRow="0" w:firstColumn="0" w:lastColumn="0" w:oddVBand="0" w:evenVBand="0" w:oddHBand="0" w:evenHBand="1" w:firstRowFirstColumn="0" w:firstRowLastColumn="0" w:lastRowFirstColumn="0" w:lastRowLastColumn="0"/>
          <w:trHeight w:val="270"/>
        </w:trPr>
        <w:tc>
          <w:tcPr>
            <w:tcW w:w="3294" w:type="pct"/>
            <w:tcBorders>
              <w:bottom w:val="single" w:sz="4" w:space="0" w:color="BFBFBF" w:themeColor="accent2"/>
            </w:tcBorders>
            <w:noWrap/>
            <w:hideMark/>
          </w:tcPr>
          <w:p w14:paraId="43D79084" w14:textId="77777777" w:rsidR="006E51BF" w:rsidRPr="006A497D" w:rsidRDefault="006E51BF">
            <w:pPr>
              <w:pStyle w:val="ARfintabletext"/>
              <w:rPr>
                <w:lang w:eastAsia="en-AU"/>
              </w:rPr>
            </w:pPr>
            <w:r w:rsidRPr="006A497D">
              <w:rPr>
                <w:lang w:eastAsia="en-AU"/>
              </w:rPr>
              <w:t>Service concession financial liabilities</w:t>
            </w:r>
          </w:p>
        </w:tc>
        <w:tc>
          <w:tcPr>
            <w:cnfStyle w:val="000001000000" w:firstRow="0" w:lastRow="0" w:firstColumn="0" w:lastColumn="0" w:oddVBand="0" w:evenVBand="1" w:oddHBand="0" w:evenHBand="0" w:firstRowFirstColumn="0" w:firstRowLastColumn="0" w:lastRowFirstColumn="0" w:lastRowLastColumn="0"/>
            <w:tcW w:w="853" w:type="pct"/>
            <w:tcBorders>
              <w:bottom w:val="single" w:sz="4" w:space="0" w:color="BFBFBF" w:themeColor="accent2"/>
            </w:tcBorders>
            <w:noWrap/>
            <w:tcMar>
              <w:right w:w="0" w:type="nil"/>
            </w:tcMar>
            <w:hideMark/>
          </w:tcPr>
          <w:p w14:paraId="3FCFECEC" w14:textId="77777777" w:rsidR="006E51BF" w:rsidRPr="006A497D" w:rsidRDefault="006E51BF">
            <w:pPr>
              <w:pStyle w:val="ARfintabletextright"/>
              <w:rPr>
                <w:lang w:eastAsia="en-AU"/>
              </w:rPr>
            </w:pPr>
            <w:r w:rsidRPr="006A497D">
              <w:rPr>
                <w:lang w:eastAsia="en-AU"/>
              </w:rPr>
              <w:t>664.8</w:t>
            </w:r>
          </w:p>
        </w:tc>
        <w:tc>
          <w:tcPr>
            <w:tcW w:w="853" w:type="pct"/>
            <w:tcBorders>
              <w:bottom w:val="single" w:sz="4" w:space="0" w:color="BFBFBF" w:themeColor="accent2"/>
            </w:tcBorders>
            <w:noWrap/>
            <w:tcMar>
              <w:right w:w="0" w:type="nil"/>
            </w:tcMar>
            <w:hideMark/>
          </w:tcPr>
          <w:p w14:paraId="26C0F2D3" w14:textId="77777777" w:rsidR="006E51BF" w:rsidRPr="006A497D"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6A497D">
              <w:rPr>
                <w:lang w:eastAsia="en-AU"/>
              </w:rPr>
              <w:t>525.2</w:t>
            </w:r>
          </w:p>
        </w:tc>
      </w:tr>
      <w:tr w:rsidR="006E51BF" w:rsidRPr="006A497D" w14:paraId="7DC8E208" w14:textId="77777777" w:rsidTr="00304BA9">
        <w:trPr>
          <w:cnfStyle w:val="000000100000" w:firstRow="0" w:lastRow="0" w:firstColumn="0" w:lastColumn="0" w:oddVBand="0" w:evenVBand="0" w:oddHBand="1" w:evenHBand="0" w:firstRowFirstColumn="0" w:firstRowLastColumn="0" w:lastRowFirstColumn="0" w:lastRowLastColumn="0"/>
          <w:trHeight w:val="270"/>
        </w:trPr>
        <w:tc>
          <w:tcPr>
            <w:tcW w:w="3294" w:type="pct"/>
            <w:tcBorders>
              <w:top w:val="single" w:sz="4" w:space="0" w:color="BFBFBF" w:themeColor="accent2"/>
              <w:bottom w:val="single" w:sz="4" w:space="0" w:color="000000" w:themeColor="text1"/>
            </w:tcBorders>
            <w:noWrap/>
            <w:hideMark/>
          </w:tcPr>
          <w:p w14:paraId="02142F64" w14:textId="77777777" w:rsidR="006E51BF" w:rsidRPr="006A497D" w:rsidRDefault="006E51BF">
            <w:pPr>
              <w:pStyle w:val="ARfintabletext"/>
              <w:rPr>
                <w:lang w:eastAsia="en-AU"/>
              </w:rPr>
            </w:pPr>
            <w:r w:rsidRPr="006A497D">
              <w:rPr>
                <w:lang w:eastAsia="en-AU"/>
              </w:rPr>
              <w:t>Lease liabilities</w:t>
            </w:r>
          </w:p>
        </w:tc>
        <w:tc>
          <w:tcPr>
            <w:cnfStyle w:val="000001000000" w:firstRow="0" w:lastRow="0" w:firstColumn="0" w:lastColumn="0" w:oddVBand="0" w:evenVBand="1" w:oddHBand="0" w:evenHBand="0" w:firstRowFirstColumn="0" w:firstRowLastColumn="0" w:lastRowFirstColumn="0" w:lastRowLastColumn="0"/>
            <w:tcW w:w="853" w:type="pct"/>
            <w:tcBorders>
              <w:top w:val="single" w:sz="4" w:space="0" w:color="BFBFBF" w:themeColor="accent2"/>
              <w:bottom w:val="single" w:sz="4" w:space="0" w:color="000000" w:themeColor="text1"/>
            </w:tcBorders>
            <w:noWrap/>
            <w:tcMar>
              <w:right w:w="0" w:type="nil"/>
            </w:tcMar>
            <w:hideMark/>
          </w:tcPr>
          <w:p w14:paraId="5B6AB371" w14:textId="77777777" w:rsidR="006E51BF" w:rsidRPr="006A497D" w:rsidRDefault="006E51BF">
            <w:pPr>
              <w:pStyle w:val="ARfintabletextright"/>
              <w:rPr>
                <w:lang w:eastAsia="en-AU"/>
              </w:rPr>
            </w:pPr>
            <w:r w:rsidRPr="006A497D">
              <w:rPr>
                <w:lang w:eastAsia="en-AU"/>
              </w:rPr>
              <w:t>39.4</w:t>
            </w:r>
          </w:p>
        </w:tc>
        <w:tc>
          <w:tcPr>
            <w:tcW w:w="853" w:type="pct"/>
            <w:tcBorders>
              <w:top w:val="single" w:sz="4" w:space="0" w:color="BFBFBF" w:themeColor="accent2"/>
              <w:bottom w:val="single" w:sz="4" w:space="0" w:color="000000" w:themeColor="text1"/>
            </w:tcBorders>
            <w:noWrap/>
            <w:tcMar>
              <w:right w:w="0" w:type="nil"/>
            </w:tcMar>
            <w:hideMark/>
          </w:tcPr>
          <w:p w14:paraId="2772E506" w14:textId="77777777" w:rsidR="006E51BF" w:rsidRPr="006A497D"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6A497D">
              <w:rPr>
                <w:lang w:eastAsia="en-AU"/>
              </w:rPr>
              <w:t>44.1</w:t>
            </w:r>
          </w:p>
        </w:tc>
      </w:tr>
      <w:tr w:rsidR="006E51BF" w:rsidRPr="006A497D" w14:paraId="745EA8C2" w14:textId="77777777" w:rsidTr="00304BA9">
        <w:trPr>
          <w:cnfStyle w:val="000000010000" w:firstRow="0" w:lastRow="0" w:firstColumn="0" w:lastColumn="0" w:oddVBand="0" w:evenVBand="0" w:oddHBand="0" w:evenHBand="1" w:firstRowFirstColumn="0" w:firstRowLastColumn="0" w:lastRowFirstColumn="0" w:lastRowLastColumn="0"/>
          <w:trHeight w:val="270"/>
        </w:trPr>
        <w:tc>
          <w:tcPr>
            <w:tcW w:w="3294" w:type="pct"/>
            <w:tcBorders>
              <w:top w:val="single" w:sz="4" w:space="0" w:color="000000" w:themeColor="text1"/>
              <w:bottom w:val="single" w:sz="4" w:space="0" w:color="000000" w:themeColor="text1"/>
            </w:tcBorders>
            <w:noWrap/>
            <w:hideMark/>
          </w:tcPr>
          <w:p w14:paraId="1E94385B" w14:textId="77777777" w:rsidR="006E51BF" w:rsidRPr="006A497D" w:rsidRDefault="006E51BF">
            <w:pPr>
              <w:pStyle w:val="ARfintabletextbold"/>
              <w:rPr>
                <w:lang w:eastAsia="en-AU"/>
              </w:rPr>
            </w:pPr>
            <w:r w:rsidRPr="006A497D">
              <w:rPr>
                <w:lang w:eastAsia="en-AU"/>
              </w:rPr>
              <w:t>Total non-current borrowings</w:t>
            </w:r>
          </w:p>
        </w:tc>
        <w:tc>
          <w:tcPr>
            <w:cnfStyle w:val="000001000000" w:firstRow="0" w:lastRow="0" w:firstColumn="0" w:lastColumn="0" w:oddVBand="0" w:evenVBand="1" w:oddHBand="0" w:evenHBand="0" w:firstRowFirstColumn="0" w:firstRowLastColumn="0" w:lastRowFirstColumn="0" w:lastRowLastColumn="0"/>
            <w:tcW w:w="853" w:type="pct"/>
            <w:tcBorders>
              <w:top w:val="single" w:sz="4" w:space="0" w:color="000000" w:themeColor="text1"/>
              <w:bottom w:val="single" w:sz="4" w:space="0" w:color="000000" w:themeColor="text1"/>
            </w:tcBorders>
            <w:noWrap/>
            <w:tcMar>
              <w:right w:w="0" w:type="nil"/>
            </w:tcMar>
            <w:hideMark/>
          </w:tcPr>
          <w:p w14:paraId="3742C0D1" w14:textId="77777777" w:rsidR="006E51BF" w:rsidRPr="006A497D" w:rsidRDefault="006E51BF">
            <w:pPr>
              <w:pStyle w:val="ARfintabletextboldright"/>
              <w:rPr>
                <w:lang w:eastAsia="en-AU"/>
              </w:rPr>
            </w:pPr>
            <w:r w:rsidRPr="006A497D">
              <w:rPr>
                <w:lang w:eastAsia="en-AU"/>
              </w:rPr>
              <w:t>834.0</w:t>
            </w:r>
          </w:p>
        </w:tc>
        <w:tc>
          <w:tcPr>
            <w:tcW w:w="853" w:type="pct"/>
            <w:tcBorders>
              <w:top w:val="single" w:sz="4" w:space="0" w:color="000000" w:themeColor="text1"/>
              <w:bottom w:val="single" w:sz="4" w:space="0" w:color="000000" w:themeColor="text1"/>
            </w:tcBorders>
            <w:noWrap/>
            <w:tcMar>
              <w:right w:w="0" w:type="nil"/>
            </w:tcMar>
            <w:hideMark/>
          </w:tcPr>
          <w:p w14:paraId="16EBEFE4" w14:textId="77777777" w:rsidR="006E51BF" w:rsidRPr="006A497D"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6A497D">
              <w:rPr>
                <w:lang w:eastAsia="en-AU"/>
              </w:rPr>
              <w:t>699.1</w:t>
            </w:r>
          </w:p>
        </w:tc>
      </w:tr>
      <w:tr w:rsidR="006E51BF" w:rsidRPr="006A497D" w14:paraId="681C692E" w14:textId="77777777" w:rsidTr="00304BA9">
        <w:trPr>
          <w:cnfStyle w:val="010000000000" w:firstRow="0" w:lastRow="1" w:firstColumn="0" w:lastColumn="0" w:oddVBand="0" w:evenVBand="0" w:oddHBand="0" w:evenHBand="0" w:firstRowFirstColumn="0" w:firstRowLastColumn="0" w:lastRowFirstColumn="0" w:lastRowLastColumn="0"/>
          <w:trHeight w:val="280"/>
        </w:trPr>
        <w:tc>
          <w:tcPr>
            <w:tcW w:w="3294" w:type="pct"/>
            <w:noWrap/>
            <w:hideMark/>
          </w:tcPr>
          <w:p w14:paraId="6E7D1DC0" w14:textId="77777777" w:rsidR="006E51BF" w:rsidRPr="006A497D" w:rsidRDefault="006E51BF">
            <w:pPr>
              <w:pStyle w:val="ARfintabletextbold"/>
              <w:rPr>
                <w:lang w:eastAsia="en-AU"/>
              </w:rPr>
            </w:pPr>
            <w:r w:rsidRPr="006A497D">
              <w:rPr>
                <w:lang w:eastAsia="en-AU"/>
              </w:rPr>
              <w:t>Total borrowings</w:t>
            </w:r>
          </w:p>
        </w:tc>
        <w:tc>
          <w:tcPr>
            <w:cnfStyle w:val="000001000000" w:firstRow="0" w:lastRow="0" w:firstColumn="0" w:lastColumn="0" w:oddVBand="0" w:evenVBand="1" w:oddHBand="0" w:evenHBand="0" w:firstRowFirstColumn="0" w:firstRowLastColumn="0" w:lastRowFirstColumn="0" w:lastRowLastColumn="0"/>
            <w:tcW w:w="853" w:type="pct"/>
            <w:noWrap/>
            <w:tcMar>
              <w:right w:w="0" w:type="nil"/>
            </w:tcMar>
            <w:hideMark/>
          </w:tcPr>
          <w:p w14:paraId="50EB3194" w14:textId="77777777" w:rsidR="006E51BF" w:rsidRPr="006A497D" w:rsidRDefault="006E51BF">
            <w:pPr>
              <w:pStyle w:val="ARfintabletextboldright"/>
              <w:rPr>
                <w:lang w:eastAsia="en-AU"/>
              </w:rPr>
            </w:pPr>
            <w:r w:rsidRPr="006A497D">
              <w:rPr>
                <w:lang w:eastAsia="en-AU"/>
              </w:rPr>
              <w:t>905.4</w:t>
            </w:r>
          </w:p>
        </w:tc>
        <w:tc>
          <w:tcPr>
            <w:tcW w:w="853" w:type="pct"/>
            <w:noWrap/>
            <w:tcMar>
              <w:right w:w="0" w:type="nil"/>
            </w:tcMar>
            <w:hideMark/>
          </w:tcPr>
          <w:p w14:paraId="69D9EB15" w14:textId="77777777" w:rsidR="006E51BF" w:rsidRPr="006A497D"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6A497D">
              <w:rPr>
                <w:lang w:eastAsia="en-AU"/>
              </w:rPr>
              <w:t>768.5</w:t>
            </w:r>
          </w:p>
        </w:tc>
      </w:tr>
    </w:tbl>
    <w:p w14:paraId="24FC00C6" w14:textId="77777777" w:rsidR="006E51BF" w:rsidRPr="006A497D" w:rsidRDefault="006E51BF">
      <w:pPr>
        <w:pStyle w:val="ARfinbodyaftertableorfigure"/>
      </w:pPr>
      <w:r w:rsidRPr="004121A2">
        <w:rPr>
          <w:rStyle w:val="Strong"/>
        </w:rPr>
        <w:t xml:space="preserve">Service concession financial liability </w:t>
      </w:r>
      <w:r w:rsidRPr="006A497D">
        <w:t xml:space="preserve">relates to the Ground Lease Model </w:t>
      </w:r>
      <w:r>
        <w:t>–</w:t>
      </w:r>
      <w:r w:rsidRPr="006A497D">
        <w:t xml:space="preserve"> public housing renewal program arrangement recognised applying AASB 1059. Interest is charged on the liability and recognised in the interest expense section below. The liability is reduced over the term of the arrangement through quarterly cash payments to the operator. Further information is included in Note 7.5.3 Service concession arrangements. </w:t>
      </w:r>
    </w:p>
    <w:p w14:paraId="72B67774" w14:textId="77777777" w:rsidR="006E51BF" w:rsidRPr="006A497D" w:rsidRDefault="006E51BF">
      <w:pPr>
        <w:pStyle w:val="ARfinbody"/>
        <w:rPr>
          <w:lang w:eastAsia="en-AU"/>
        </w:rPr>
      </w:pPr>
      <w:r w:rsidRPr="004121A2">
        <w:rPr>
          <w:rStyle w:val="Strong"/>
          <w:lang w:eastAsia="en-AU"/>
        </w:rPr>
        <w:t>Borrowings</w:t>
      </w:r>
      <w:r w:rsidRPr="006A497D">
        <w:rPr>
          <w:lang w:eastAsia="en-AU"/>
        </w:rPr>
        <w:t xml:space="preserve"> are classified as financial instruments. All interest-bearing liabilities are initially recognised at the fair value of the consideration received, less directly attributable transaction costs. The measurement basis </w:t>
      </w:r>
      <w:proofErr w:type="gramStart"/>
      <w:r w:rsidRPr="006A497D">
        <w:rPr>
          <w:lang w:eastAsia="en-AU"/>
        </w:rPr>
        <w:t>subsequent to</w:t>
      </w:r>
      <w:proofErr w:type="gramEnd"/>
      <w:r w:rsidRPr="006A497D">
        <w:rPr>
          <w:lang w:eastAsia="en-AU"/>
        </w:rPr>
        <w:t xml:space="preserve"> initial recognition depends on whether the department has categorised its interest-bearing liabilities as either 'financial liabilities designated at fair value through profit or loss', or financial liabilities at 'amortised cost'. The classification depends on the nature and purpose of the interest-bearing liabilities. The department determines the classification of interest-bearing liabilities at initial recognition. </w:t>
      </w:r>
    </w:p>
    <w:p w14:paraId="5D11A0F0" w14:textId="77777777" w:rsidR="006E51BF" w:rsidRDefault="006E51BF">
      <w:pPr>
        <w:pStyle w:val="ARfinbody"/>
        <w:rPr>
          <w:lang w:eastAsia="en-AU"/>
        </w:rPr>
      </w:pPr>
      <w:r w:rsidRPr="004121A2">
        <w:rPr>
          <w:rStyle w:val="Strong"/>
          <w:lang w:eastAsia="en-AU"/>
        </w:rPr>
        <w:t xml:space="preserve">Defaults and breaches: </w:t>
      </w:r>
      <w:r w:rsidRPr="006A497D">
        <w:rPr>
          <w:lang w:eastAsia="en-AU"/>
        </w:rPr>
        <w:t>During the current and previous financial year, there were no defaults or breaches of required conditions in relation to any of the borrowings.</w:t>
      </w:r>
    </w:p>
    <w:p w14:paraId="08580483" w14:textId="77777777" w:rsidR="006E51BF" w:rsidRPr="003C6833" w:rsidRDefault="006E51BF">
      <w:pPr>
        <w:pStyle w:val="Heading4"/>
        <w:rPr>
          <w:lang w:eastAsia="en-AU"/>
        </w:rPr>
      </w:pPr>
      <w:r w:rsidRPr="003C6833">
        <w:rPr>
          <w:lang w:eastAsia="en-AU"/>
        </w:rPr>
        <w:t xml:space="preserve">7.2 </w:t>
      </w:r>
      <w:r>
        <w:rPr>
          <w:lang w:eastAsia="en-AU"/>
        </w:rPr>
        <w:tab/>
      </w:r>
      <w:r w:rsidRPr="003C6833">
        <w:rPr>
          <w:lang w:eastAsia="en-AU"/>
        </w:rPr>
        <w:t xml:space="preserve">Maturity analysis of borrowings </w:t>
      </w:r>
    </w:p>
    <w:tbl>
      <w:tblPr>
        <w:tblStyle w:val="ARtable1"/>
        <w:tblW w:w="5000" w:type="pct"/>
        <w:tblLayout w:type="fixed"/>
        <w:tblLook w:val="00E0" w:firstRow="1" w:lastRow="1" w:firstColumn="1" w:lastColumn="0" w:noHBand="0" w:noVBand="0"/>
      </w:tblPr>
      <w:tblGrid>
        <w:gridCol w:w="2970"/>
        <w:gridCol w:w="992"/>
        <w:gridCol w:w="992"/>
        <w:gridCol w:w="934"/>
        <w:gridCol w:w="934"/>
        <w:gridCol w:w="936"/>
        <w:gridCol w:w="934"/>
        <w:gridCol w:w="936"/>
      </w:tblGrid>
      <w:tr w:rsidR="006E51BF" w:rsidRPr="003C6833" w14:paraId="2C1E6236" w14:textId="77777777" w:rsidTr="00304BA9">
        <w:trPr>
          <w:cnfStyle w:val="100000000000" w:firstRow="1" w:lastRow="0" w:firstColumn="0" w:lastColumn="0" w:oddVBand="0" w:evenVBand="0" w:oddHBand="0" w:evenHBand="0" w:firstRowFirstColumn="0" w:firstRowLastColumn="0" w:lastRowFirstColumn="0" w:lastRowLastColumn="0"/>
          <w:trHeight w:val="20"/>
          <w:tblHeader/>
        </w:trPr>
        <w:tc>
          <w:tcPr>
            <w:tcW w:w="1542" w:type="pct"/>
          </w:tcPr>
          <w:p w14:paraId="3DF56A17" w14:textId="77777777" w:rsidR="006E51BF" w:rsidRPr="003C6833" w:rsidRDefault="006E51BF">
            <w:pPr>
              <w:spacing w:after="0" w:line="240" w:lineRule="auto"/>
              <w:rPr>
                <w:rFonts w:ascii="Verdana" w:hAnsi="Verdana" w:cs="Arial"/>
                <w:b/>
                <w:bCs/>
                <w:color w:val="000000"/>
                <w:sz w:val="20"/>
                <w:lang w:eastAsia="en-AU"/>
              </w:rPr>
            </w:pPr>
          </w:p>
        </w:tc>
        <w:tc>
          <w:tcPr>
            <w:cnfStyle w:val="000001000000" w:firstRow="0" w:lastRow="0" w:firstColumn="0" w:lastColumn="0" w:oddVBand="0" w:evenVBand="1" w:oddHBand="0" w:evenHBand="0" w:firstRowFirstColumn="0" w:firstRowLastColumn="0" w:lastRowFirstColumn="0" w:lastRowLastColumn="0"/>
            <w:tcW w:w="515" w:type="pct"/>
            <w:tcMar>
              <w:right w:w="0" w:type="nil"/>
            </w:tcMar>
          </w:tcPr>
          <w:p w14:paraId="0AF3BBFE" w14:textId="77777777" w:rsidR="006E51BF" w:rsidRPr="003C6833" w:rsidRDefault="006E51BF">
            <w:pPr>
              <w:pStyle w:val="ARfintablecolheadright"/>
              <w:rPr>
                <w:lang w:eastAsia="en-AU"/>
              </w:rPr>
            </w:pPr>
            <w:r w:rsidRPr="003C6833">
              <w:rPr>
                <w:lang w:eastAsia="en-AU"/>
              </w:rPr>
              <w:t>Carrying</w:t>
            </w:r>
            <w:r w:rsidRPr="003C6833">
              <w:rPr>
                <w:lang w:eastAsia="en-AU"/>
              </w:rPr>
              <w:br/>
              <w:t>amount</w:t>
            </w:r>
          </w:p>
          <w:p w14:paraId="437FA543" w14:textId="77777777" w:rsidR="006E51BF" w:rsidRPr="003C6833" w:rsidRDefault="006E51BF">
            <w:pPr>
              <w:pStyle w:val="ARfintablecolheadright"/>
              <w:rPr>
                <w:lang w:eastAsia="en-AU"/>
              </w:rPr>
            </w:pPr>
            <w:r w:rsidRPr="003C6833">
              <w:rPr>
                <w:lang w:eastAsia="en-AU"/>
              </w:rPr>
              <w:t>$M</w:t>
            </w:r>
          </w:p>
        </w:tc>
        <w:tc>
          <w:tcPr>
            <w:tcW w:w="515" w:type="pct"/>
            <w:tcMar>
              <w:right w:w="0" w:type="nil"/>
            </w:tcMar>
          </w:tcPr>
          <w:p w14:paraId="12F3D8B4" w14:textId="77777777" w:rsidR="006E51BF" w:rsidRPr="003C6833"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C6833">
              <w:rPr>
                <w:lang w:eastAsia="en-AU"/>
              </w:rPr>
              <w:br/>
              <w:t>Nominal</w:t>
            </w:r>
            <w:r w:rsidRPr="003C6833">
              <w:rPr>
                <w:lang w:eastAsia="en-AU"/>
              </w:rPr>
              <w:br/>
              <w:t>amount</w:t>
            </w:r>
          </w:p>
          <w:p w14:paraId="2FCD314E" w14:textId="77777777" w:rsidR="006E51BF" w:rsidRPr="003C6833"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C6833">
              <w:rPr>
                <w:lang w:eastAsia="en-AU"/>
              </w:rPr>
              <w:t>$M</w:t>
            </w:r>
          </w:p>
        </w:tc>
        <w:tc>
          <w:tcPr>
            <w:cnfStyle w:val="000001000000" w:firstRow="0" w:lastRow="0" w:firstColumn="0" w:lastColumn="0" w:oddVBand="0" w:evenVBand="1" w:oddHBand="0" w:evenHBand="0" w:firstRowFirstColumn="0" w:firstRowLastColumn="0" w:lastRowFirstColumn="0" w:lastRowLastColumn="0"/>
            <w:tcW w:w="485" w:type="pct"/>
            <w:tcBorders>
              <w:top w:val="single" w:sz="4" w:space="0" w:color="000000" w:themeColor="text1"/>
            </w:tcBorders>
            <w:tcMar>
              <w:right w:w="0" w:type="nil"/>
            </w:tcMar>
          </w:tcPr>
          <w:p w14:paraId="669BC7BF" w14:textId="29B60200" w:rsidR="00D12D22" w:rsidRDefault="00D12D22">
            <w:pPr>
              <w:pStyle w:val="ARfintablecolheadright"/>
              <w:rPr>
                <w:lang w:eastAsia="en-AU"/>
              </w:rPr>
            </w:pPr>
            <w:r w:rsidRPr="003C6833">
              <w:rPr>
                <w:lang w:eastAsia="en-AU"/>
              </w:rPr>
              <w:t>Maturity dates</w:t>
            </w:r>
          </w:p>
          <w:p w14:paraId="6DE954DA" w14:textId="363D3EB7" w:rsidR="006E51BF" w:rsidRPr="003C6833" w:rsidRDefault="006E51BF">
            <w:pPr>
              <w:pStyle w:val="ARfintablecolheadright"/>
              <w:rPr>
                <w:lang w:eastAsia="en-AU"/>
              </w:rPr>
            </w:pPr>
            <w:r w:rsidRPr="003C6833">
              <w:rPr>
                <w:lang w:eastAsia="en-AU"/>
              </w:rPr>
              <w:t>Less than</w:t>
            </w:r>
            <w:r w:rsidRPr="003C6833">
              <w:rPr>
                <w:lang w:eastAsia="en-AU"/>
              </w:rPr>
              <w:br/>
              <w:t>1 month</w:t>
            </w:r>
          </w:p>
          <w:p w14:paraId="2B690F08" w14:textId="77777777" w:rsidR="006E51BF" w:rsidRPr="003C6833" w:rsidRDefault="006E51BF">
            <w:pPr>
              <w:pStyle w:val="ARfintablecolheadright"/>
              <w:rPr>
                <w:lang w:eastAsia="en-AU"/>
              </w:rPr>
            </w:pPr>
            <w:r w:rsidRPr="003C6833">
              <w:rPr>
                <w:lang w:eastAsia="en-AU"/>
              </w:rPr>
              <w:t>$M</w:t>
            </w:r>
          </w:p>
        </w:tc>
        <w:tc>
          <w:tcPr>
            <w:tcW w:w="485" w:type="pct"/>
            <w:tcBorders>
              <w:top w:val="single" w:sz="4" w:space="0" w:color="000000" w:themeColor="text1"/>
            </w:tcBorders>
            <w:shd w:val="clear" w:color="auto" w:fill="E7E6E6" w:themeFill="background2"/>
            <w:tcMar>
              <w:right w:w="0" w:type="nil"/>
            </w:tcMar>
          </w:tcPr>
          <w:p w14:paraId="306747ED" w14:textId="467784A1" w:rsidR="00D12D22" w:rsidRDefault="00D12D22">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C6833">
              <w:rPr>
                <w:lang w:eastAsia="en-AU"/>
              </w:rPr>
              <w:t>Maturity dates</w:t>
            </w:r>
          </w:p>
          <w:p w14:paraId="787265AB" w14:textId="014ADF5B" w:rsidR="006E51BF" w:rsidRPr="003C6833"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C6833">
              <w:rPr>
                <w:lang w:eastAsia="en-AU"/>
              </w:rPr>
              <w:t>1</w:t>
            </w:r>
            <w:r>
              <w:rPr>
                <w:lang w:eastAsia="en-AU"/>
              </w:rPr>
              <w:t>–</w:t>
            </w:r>
            <w:r w:rsidRPr="003C6833">
              <w:rPr>
                <w:lang w:eastAsia="en-AU"/>
              </w:rPr>
              <w:t>3</w:t>
            </w:r>
            <w:r w:rsidRPr="003C6833">
              <w:rPr>
                <w:lang w:eastAsia="en-AU"/>
              </w:rPr>
              <w:br/>
              <w:t>months</w:t>
            </w:r>
          </w:p>
          <w:p w14:paraId="57B34110" w14:textId="77777777" w:rsidR="006E51BF" w:rsidRPr="003C6833"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C6833">
              <w:rPr>
                <w:lang w:eastAsia="en-AU"/>
              </w:rPr>
              <w:t>$M</w:t>
            </w:r>
          </w:p>
        </w:tc>
        <w:tc>
          <w:tcPr>
            <w:cnfStyle w:val="000001000000" w:firstRow="0" w:lastRow="0" w:firstColumn="0" w:lastColumn="0" w:oddVBand="0" w:evenVBand="1" w:oddHBand="0" w:evenHBand="0" w:firstRowFirstColumn="0" w:firstRowLastColumn="0" w:lastRowFirstColumn="0" w:lastRowLastColumn="0"/>
            <w:tcW w:w="486" w:type="pct"/>
            <w:tcBorders>
              <w:top w:val="single" w:sz="4" w:space="0" w:color="000000" w:themeColor="text1"/>
            </w:tcBorders>
            <w:shd w:val="clear" w:color="auto" w:fill="E7E6E6" w:themeFill="background2"/>
            <w:tcMar>
              <w:right w:w="0" w:type="nil"/>
            </w:tcMar>
          </w:tcPr>
          <w:p w14:paraId="63A7D5A2" w14:textId="7227EB07" w:rsidR="00D12D22" w:rsidRDefault="00D12D22">
            <w:pPr>
              <w:pStyle w:val="ARfintablecolheadright"/>
              <w:rPr>
                <w:lang w:eastAsia="en-AU"/>
              </w:rPr>
            </w:pPr>
            <w:r w:rsidRPr="003C6833">
              <w:rPr>
                <w:lang w:eastAsia="en-AU"/>
              </w:rPr>
              <w:t>Maturity dates</w:t>
            </w:r>
          </w:p>
          <w:p w14:paraId="12D3EB0A" w14:textId="053F2CD7" w:rsidR="006E51BF" w:rsidRPr="003C6833" w:rsidRDefault="006E51BF">
            <w:pPr>
              <w:pStyle w:val="ARfintablecolheadright"/>
              <w:rPr>
                <w:lang w:eastAsia="en-AU"/>
              </w:rPr>
            </w:pPr>
            <w:r w:rsidRPr="003C6833">
              <w:rPr>
                <w:lang w:eastAsia="en-AU"/>
              </w:rPr>
              <w:t>3 months</w:t>
            </w:r>
            <w:r w:rsidRPr="003C6833">
              <w:rPr>
                <w:lang w:eastAsia="en-AU"/>
              </w:rPr>
              <w:br/>
            </w:r>
            <w:r>
              <w:rPr>
                <w:lang w:eastAsia="en-AU"/>
              </w:rPr>
              <w:t>–</w:t>
            </w:r>
            <w:r w:rsidRPr="003C6833">
              <w:rPr>
                <w:lang w:eastAsia="en-AU"/>
              </w:rPr>
              <w:t xml:space="preserve"> 1 year</w:t>
            </w:r>
          </w:p>
          <w:p w14:paraId="66ECAB82" w14:textId="77777777" w:rsidR="006E51BF" w:rsidRPr="003C6833" w:rsidRDefault="006E51BF">
            <w:pPr>
              <w:pStyle w:val="ARfintablecolheadright"/>
              <w:rPr>
                <w:lang w:eastAsia="en-AU"/>
              </w:rPr>
            </w:pPr>
            <w:r w:rsidRPr="003C6833">
              <w:rPr>
                <w:lang w:eastAsia="en-AU"/>
              </w:rPr>
              <w:t>$M</w:t>
            </w:r>
          </w:p>
        </w:tc>
        <w:tc>
          <w:tcPr>
            <w:tcW w:w="485" w:type="pct"/>
            <w:tcBorders>
              <w:top w:val="single" w:sz="4" w:space="0" w:color="000000" w:themeColor="text1"/>
            </w:tcBorders>
            <w:shd w:val="clear" w:color="auto" w:fill="E7E6E6" w:themeFill="background2"/>
            <w:tcMar>
              <w:right w:w="0" w:type="nil"/>
            </w:tcMar>
          </w:tcPr>
          <w:p w14:paraId="10ED5117" w14:textId="007063E2" w:rsidR="00D12D22" w:rsidRDefault="00D12D22">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C6833">
              <w:rPr>
                <w:lang w:eastAsia="en-AU"/>
              </w:rPr>
              <w:t>Maturity dates</w:t>
            </w:r>
          </w:p>
          <w:p w14:paraId="207C8201" w14:textId="38BB9FC6" w:rsidR="006E51BF" w:rsidRPr="003C6833"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C6833">
              <w:rPr>
                <w:lang w:eastAsia="en-AU"/>
              </w:rPr>
              <w:t>1</w:t>
            </w:r>
            <w:r>
              <w:rPr>
                <w:lang w:eastAsia="en-AU"/>
              </w:rPr>
              <w:t>–</w:t>
            </w:r>
            <w:r w:rsidRPr="003C6833">
              <w:rPr>
                <w:lang w:eastAsia="en-AU"/>
              </w:rPr>
              <w:t>5</w:t>
            </w:r>
            <w:r w:rsidRPr="003C6833">
              <w:rPr>
                <w:lang w:eastAsia="en-AU"/>
              </w:rPr>
              <w:br/>
              <w:t>years</w:t>
            </w:r>
          </w:p>
          <w:p w14:paraId="639429CB" w14:textId="77777777" w:rsidR="006E51BF" w:rsidRPr="003C6833"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C6833">
              <w:rPr>
                <w:lang w:eastAsia="en-AU"/>
              </w:rPr>
              <w:t>$M</w:t>
            </w:r>
          </w:p>
        </w:tc>
        <w:tc>
          <w:tcPr>
            <w:cnfStyle w:val="000001000000" w:firstRow="0" w:lastRow="0" w:firstColumn="0" w:lastColumn="0" w:oddVBand="0" w:evenVBand="1" w:oddHBand="0" w:evenHBand="0" w:firstRowFirstColumn="0" w:firstRowLastColumn="0" w:lastRowFirstColumn="0" w:lastRowLastColumn="0"/>
            <w:tcW w:w="486" w:type="pct"/>
            <w:tcBorders>
              <w:top w:val="single" w:sz="4" w:space="0" w:color="000000" w:themeColor="text1"/>
            </w:tcBorders>
            <w:shd w:val="clear" w:color="auto" w:fill="E7E6E6" w:themeFill="background2"/>
            <w:tcMar>
              <w:right w:w="0" w:type="nil"/>
            </w:tcMar>
          </w:tcPr>
          <w:p w14:paraId="435F0A6A" w14:textId="72B47DC9" w:rsidR="00D12D22" w:rsidRDefault="00D12D22">
            <w:pPr>
              <w:pStyle w:val="ARfintablecolheadright"/>
              <w:rPr>
                <w:lang w:eastAsia="en-AU"/>
              </w:rPr>
            </w:pPr>
            <w:r w:rsidRPr="003C6833">
              <w:rPr>
                <w:lang w:eastAsia="en-AU"/>
              </w:rPr>
              <w:t>Maturity dates</w:t>
            </w:r>
          </w:p>
          <w:p w14:paraId="46142AE3" w14:textId="7B4C90E1" w:rsidR="006E51BF" w:rsidRPr="003C6833" w:rsidRDefault="006E51BF">
            <w:pPr>
              <w:pStyle w:val="ARfintablecolheadright"/>
              <w:rPr>
                <w:lang w:eastAsia="en-AU"/>
              </w:rPr>
            </w:pPr>
            <w:r w:rsidRPr="003C6833">
              <w:rPr>
                <w:lang w:eastAsia="en-AU"/>
              </w:rPr>
              <w:t>5+</w:t>
            </w:r>
            <w:r w:rsidR="000D67BA">
              <w:rPr>
                <w:lang w:eastAsia="en-AU"/>
              </w:rPr>
              <w:t xml:space="preserve"> </w:t>
            </w:r>
            <w:r w:rsidRPr="003C6833">
              <w:rPr>
                <w:lang w:eastAsia="en-AU"/>
              </w:rPr>
              <w:t>years</w:t>
            </w:r>
          </w:p>
          <w:p w14:paraId="0EBE0DA6" w14:textId="77777777" w:rsidR="006E51BF" w:rsidRPr="003C6833" w:rsidRDefault="006E51BF">
            <w:pPr>
              <w:pStyle w:val="ARfintablecolheadright"/>
              <w:rPr>
                <w:lang w:eastAsia="en-AU"/>
              </w:rPr>
            </w:pPr>
            <w:r w:rsidRPr="003C6833">
              <w:rPr>
                <w:lang w:eastAsia="en-AU"/>
              </w:rPr>
              <w:t>$M</w:t>
            </w:r>
          </w:p>
        </w:tc>
      </w:tr>
      <w:tr w:rsidR="006E51BF" w:rsidRPr="003C6833" w14:paraId="30A7024D"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542" w:type="pct"/>
            <w:noWrap/>
          </w:tcPr>
          <w:p w14:paraId="24AA8158" w14:textId="77777777" w:rsidR="006E51BF" w:rsidRPr="003C6833" w:rsidRDefault="006E51BF">
            <w:pPr>
              <w:pStyle w:val="ARfintabletextboldcoloured"/>
              <w:rPr>
                <w:lang w:eastAsia="en-AU"/>
              </w:rPr>
            </w:pPr>
            <w:r w:rsidRPr="003C6833">
              <w:rPr>
                <w:lang w:eastAsia="en-AU"/>
              </w:rPr>
              <w:t>2026</w:t>
            </w:r>
          </w:p>
        </w:tc>
        <w:tc>
          <w:tcPr>
            <w:cnfStyle w:val="000001000000" w:firstRow="0" w:lastRow="0" w:firstColumn="0" w:lastColumn="0" w:oddVBand="0" w:evenVBand="1" w:oddHBand="0" w:evenHBand="0" w:firstRowFirstColumn="0" w:firstRowLastColumn="0" w:lastRowFirstColumn="0" w:lastRowLastColumn="0"/>
            <w:tcW w:w="515" w:type="pct"/>
            <w:shd w:val="clear" w:color="auto" w:fill="auto"/>
            <w:noWrap/>
            <w:tcMar>
              <w:right w:w="0" w:type="nil"/>
            </w:tcMar>
          </w:tcPr>
          <w:p w14:paraId="3C30CAA3" w14:textId="77777777" w:rsidR="006E51BF" w:rsidRPr="003C6833" w:rsidRDefault="006E51BF">
            <w:pPr>
              <w:pStyle w:val="ARfintabletextright"/>
              <w:rPr>
                <w:lang w:eastAsia="en-AU"/>
              </w:rPr>
            </w:pPr>
          </w:p>
        </w:tc>
        <w:tc>
          <w:tcPr>
            <w:tcW w:w="515" w:type="pct"/>
            <w:noWrap/>
            <w:tcMar>
              <w:right w:w="0" w:type="nil"/>
            </w:tcMar>
          </w:tcPr>
          <w:p w14:paraId="36DA9580" w14:textId="77777777" w:rsidR="006E51BF" w:rsidRPr="003C6833"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485" w:type="pct"/>
            <w:shd w:val="clear" w:color="auto" w:fill="auto"/>
            <w:noWrap/>
            <w:tcMar>
              <w:right w:w="0" w:type="nil"/>
            </w:tcMar>
          </w:tcPr>
          <w:p w14:paraId="7AA61182" w14:textId="77777777" w:rsidR="006E51BF" w:rsidRPr="003C6833" w:rsidRDefault="006E51BF">
            <w:pPr>
              <w:pStyle w:val="ARfintabletextright"/>
              <w:rPr>
                <w:lang w:eastAsia="en-AU"/>
              </w:rPr>
            </w:pPr>
          </w:p>
        </w:tc>
        <w:tc>
          <w:tcPr>
            <w:tcW w:w="485" w:type="pct"/>
            <w:noWrap/>
            <w:tcMar>
              <w:right w:w="0" w:type="nil"/>
            </w:tcMar>
          </w:tcPr>
          <w:p w14:paraId="4FFAA967" w14:textId="77777777" w:rsidR="006E51BF"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486" w:type="pct"/>
            <w:shd w:val="clear" w:color="auto" w:fill="auto"/>
            <w:noWrap/>
            <w:tcMar>
              <w:right w:w="0" w:type="nil"/>
            </w:tcMar>
          </w:tcPr>
          <w:p w14:paraId="5E41B3F3" w14:textId="77777777" w:rsidR="006E51BF" w:rsidRDefault="006E51BF">
            <w:pPr>
              <w:pStyle w:val="ARfintabletextright"/>
              <w:rPr>
                <w:lang w:eastAsia="en-AU"/>
              </w:rPr>
            </w:pPr>
          </w:p>
        </w:tc>
        <w:tc>
          <w:tcPr>
            <w:tcW w:w="485" w:type="pct"/>
            <w:noWrap/>
            <w:tcMar>
              <w:right w:w="0" w:type="nil"/>
            </w:tcMar>
          </w:tcPr>
          <w:p w14:paraId="19A161D3" w14:textId="77777777" w:rsidR="006E51BF" w:rsidRPr="003C6833"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486" w:type="pct"/>
            <w:shd w:val="clear" w:color="auto" w:fill="auto"/>
            <w:noWrap/>
            <w:tcMar>
              <w:right w:w="0" w:type="nil"/>
            </w:tcMar>
          </w:tcPr>
          <w:p w14:paraId="5F328862" w14:textId="77777777" w:rsidR="006E51BF" w:rsidRDefault="006E51BF">
            <w:pPr>
              <w:pStyle w:val="ARfintabletextright"/>
              <w:rPr>
                <w:lang w:eastAsia="en-AU"/>
              </w:rPr>
            </w:pPr>
          </w:p>
        </w:tc>
      </w:tr>
      <w:tr w:rsidR="006E51BF" w:rsidRPr="003C6833" w14:paraId="0D53DB9B"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542" w:type="pct"/>
            <w:noWrap/>
            <w:hideMark/>
          </w:tcPr>
          <w:p w14:paraId="121010A1" w14:textId="77777777" w:rsidR="006E51BF" w:rsidRPr="003C6833" w:rsidRDefault="006E51BF">
            <w:pPr>
              <w:pStyle w:val="ARfintabletext"/>
              <w:rPr>
                <w:lang w:eastAsia="en-AU"/>
              </w:rPr>
            </w:pPr>
            <w:r w:rsidRPr="003C6833">
              <w:rPr>
                <w:lang w:eastAsia="en-AU"/>
              </w:rPr>
              <w:t>Advances from Victorian</w:t>
            </w:r>
            <w:r>
              <w:rPr>
                <w:lang w:eastAsia="en-AU"/>
              </w:rPr>
              <w:t> </w:t>
            </w:r>
            <w:r w:rsidRPr="003C6833">
              <w:rPr>
                <w:lang w:eastAsia="en-AU"/>
              </w:rPr>
              <w:t>Government</w:t>
            </w:r>
          </w:p>
        </w:tc>
        <w:tc>
          <w:tcPr>
            <w:cnfStyle w:val="000001000000" w:firstRow="0" w:lastRow="0" w:firstColumn="0" w:lastColumn="0" w:oddVBand="0" w:evenVBand="1" w:oddHBand="0" w:evenHBand="0" w:firstRowFirstColumn="0" w:firstRowLastColumn="0" w:lastRowFirstColumn="0" w:lastRowLastColumn="0"/>
            <w:tcW w:w="515" w:type="pct"/>
            <w:noWrap/>
            <w:tcMar>
              <w:right w:w="0" w:type="nil"/>
            </w:tcMar>
            <w:hideMark/>
          </w:tcPr>
          <w:p w14:paraId="0D5A9D00" w14:textId="77777777" w:rsidR="006E51BF" w:rsidRPr="003C6833" w:rsidRDefault="006E51BF">
            <w:pPr>
              <w:pStyle w:val="ARfintabletextright"/>
              <w:rPr>
                <w:lang w:eastAsia="en-AU"/>
              </w:rPr>
            </w:pPr>
            <w:r>
              <w:rPr>
                <w:lang w:eastAsia="en-AU"/>
              </w:rPr>
              <w:t>27.8</w:t>
            </w:r>
          </w:p>
        </w:tc>
        <w:tc>
          <w:tcPr>
            <w:tcW w:w="515" w:type="pct"/>
            <w:noWrap/>
            <w:tcMar>
              <w:right w:w="0" w:type="nil"/>
            </w:tcMar>
            <w:hideMark/>
          </w:tcPr>
          <w:p w14:paraId="6845B86D" w14:textId="77777777" w:rsidR="006E51BF" w:rsidRPr="003C6833"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27.8</w:t>
            </w:r>
          </w:p>
        </w:tc>
        <w:tc>
          <w:tcPr>
            <w:cnfStyle w:val="000001000000" w:firstRow="0" w:lastRow="0" w:firstColumn="0" w:lastColumn="0" w:oddVBand="0" w:evenVBand="1" w:oddHBand="0" w:evenHBand="0" w:firstRowFirstColumn="0" w:firstRowLastColumn="0" w:lastRowFirstColumn="0" w:lastRowLastColumn="0"/>
            <w:tcW w:w="485" w:type="pct"/>
            <w:noWrap/>
            <w:tcMar>
              <w:right w:w="0" w:type="nil"/>
            </w:tcMar>
            <w:hideMark/>
          </w:tcPr>
          <w:p w14:paraId="55C12CFA" w14:textId="77777777" w:rsidR="006E51BF" w:rsidRPr="003C6833" w:rsidRDefault="006E51BF">
            <w:pPr>
              <w:pStyle w:val="ARfintabletextright"/>
              <w:rPr>
                <w:lang w:eastAsia="en-AU"/>
              </w:rPr>
            </w:pPr>
            <w:r w:rsidRPr="003C6833">
              <w:rPr>
                <w:lang w:eastAsia="en-AU"/>
              </w:rPr>
              <w:t>27.8</w:t>
            </w:r>
          </w:p>
        </w:tc>
        <w:tc>
          <w:tcPr>
            <w:tcW w:w="485" w:type="pct"/>
            <w:shd w:val="clear" w:color="auto" w:fill="E7E6E6" w:themeFill="background2"/>
            <w:noWrap/>
            <w:tcMar>
              <w:right w:w="0" w:type="nil"/>
            </w:tcMar>
            <w:hideMark/>
          </w:tcPr>
          <w:p w14:paraId="6EE74491" w14:textId="77777777" w:rsidR="006E51BF" w:rsidRPr="003C6833"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486" w:type="pct"/>
            <w:shd w:val="clear" w:color="auto" w:fill="E7E6E6" w:themeFill="background2"/>
            <w:noWrap/>
            <w:tcMar>
              <w:right w:w="0" w:type="nil"/>
            </w:tcMar>
            <w:hideMark/>
          </w:tcPr>
          <w:p w14:paraId="393E4F09" w14:textId="77777777" w:rsidR="006E51BF" w:rsidRPr="003C6833" w:rsidRDefault="006E51BF">
            <w:pPr>
              <w:pStyle w:val="ARfintabletextright"/>
              <w:rPr>
                <w:lang w:eastAsia="en-AU"/>
              </w:rPr>
            </w:pPr>
            <w:r>
              <w:rPr>
                <w:lang w:eastAsia="en-AU"/>
              </w:rPr>
              <w:t>–</w:t>
            </w:r>
          </w:p>
        </w:tc>
        <w:tc>
          <w:tcPr>
            <w:tcW w:w="485" w:type="pct"/>
            <w:shd w:val="clear" w:color="auto" w:fill="E7E6E6" w:themeFill="background2"/>
            <w:noWrap/>
            <w:tcMar>
              <w:right w:w="0" w:type="nil"/>
            </w:tcMar>
            <w:hideMark/>
          </w:tcPr>
          <w:p w14:paraId="266AD686" w14:textId="77777777" w:rsidR="006E51BF" w:rsidRPr="003C6833"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486" w:type="pct"/>
            <w:shd w:val="clear" w:color="auto" w:fill="E7E6E6" w:themeFill="background2"/>
            <w:noWrap/>
            <w:tcMar>
              <w:right w:w="0" w:type="nil"/>
            </w:tcMar>
            <w:hideMark/>
          </w:tcPr>
          <w:p w14:paraId="6BB4ACBE" w14:textId="77777777" w:rsidR="006E51BF" w:rsidRPr="003C6833" w:rsidRDefault="006E51BF">
            <w:pPr>
              <w:pStyle w:val="ARfintabletextright"/>
              <w:rPr>
                <w:lang w:eastAsia="en-AU"/>
              </w:rPr>
            </w:pPr>
            <w:r>
              <w:rPr>
                <w:lang w:eastAsia="en-AU"/>
              </w:rPr>
              <w:t>–</w:t>
            </w:r>
          </w:p>
        </w:tc>
      </w:tr>
      <w:tr w:rsidR="006E51BF" w:rsidRPr="003C6833" w14:paraId="196F3D5B"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542" w:type="pct"/>
            <w:tcBorders>
              <w:bottom w:val="single" w:sz="4" w:space="0" w:color="BFBFBF" w:themeColor="accent2"/>
            </w:tcBorders>
            <w:noWrap/>
          </w:tcPr>
          <w:p w14:paraId="651C700B" w14:textId="77777777" w:rsidR="006E51BF" w:rsidRPr="003C6833" w:rsidRDefault="006E51BF">
            <w:pPr>
              <w:pStyle w:val="ARfintabletext"/>
              <w:rPr>
                <w:color w:val="000000"/>
                <w:lang w:eastAsia="en-AU"/>
              </w:rPr>
            </w:pPr>
            <w:r>
              <w:rPr>
                <w:color w:val="000000"/>
                <w:lang w:eastAsia="en-AU"/>
              </w:rPr>
              <w:t>Loans from TCV</w:t>
            </w:r>
          </w:p>
        </w:tc>
        <w:tc>
          <w:tcPr>
            <w:cnfStyle w:val="000001000000" w:firstRow="0" w:lastRow="0" w:firstColumn="0" w:lastColumn="0" w:oddVBand="0" w:evenVBand="1" w:oddHBand="0" w:evenHBand="0" w:firstRowFirstColumn="0" w:firstRowLastColumn="0" w:lastRowFirstColumn="0" w:lastRowLastColumn="0"/>
            <w:tcW w:w="515" w:type="pct"/>
            <w:tcBorders>
              <w:bottom w:val="single" w:sz="4" w:space="0" w:color="BFBFBF" w:themeColor="accent2"/>
            </w:tcBorders>
            <w:noWrap/>
            <w:tcMar>
              <w:right w:w="0" w:type="nil"/>
            </w:tcMar>
          </w:tcPr>
          <w:p w14:paraId="0F0352AE" w14:textId="77777777" w:rsidR="006E51BF" w:rsidRPr="003C6833" w:rsidRDefault="006E51BF">
            <w:pPr>
              <w:pStyle w:val="ARfintabletextright"/>
              <w:rPr>
                <w:lang w:eastAsia="en-AU"/>
              </w:rPr>
            </w:pPr>
            <w:r>
              <w:rPr>
                <w:lang w:eastAsia="en-AU"/>
              </w:rPr>
              <w:t>129.8</w:t>
            </w:r>
          </w:p>
        </w:tc>
        <w:tc>
          <w:tcPr>
            <w:tcW w:w="515" w:type="pct"/>
            <w:tcBorders>
              <w:bottom w:val="single" w:sz="4" w:space="0" w:color="BFBFBF" w:themeColor="accent2"/>
            </w:tcBorders>
            <w:noWrap/>
            <w:tcMar>
              <w:right w:w="0" w:type="nil"/>
            </w:tcMar>
          </w:tcPr>
          <w:p w14:paraId="0D879A48" w14:textId="77777777" w:rsidR="006E51BF" w:rsidRPr="003C6833"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129.8</w:t>
            </w:r>
          </w:p>
        </w:tc>
        <w:tc>
          <w:tcPr>
            <w:cnfStyle w:val="000001000000" w:firstRow="0" w:lastRow="0" w:firstColumn="0" w:lastColumn="0" w:oddVBand="0" w:evenVBand="1" w:oddHBand="0" w:evenHBand="0" w:firstRowFirstColumn="0" w:firstRowLastColumn="0" w:lastRowFirstColumn="0" w:lastRowLastColumn="0"/>
            <w:tcW w:w="485" w:type="pct"/>
            <w:tcBorders>
              <w:bottom w:val="single" w:sz="4" w:space="0" w:color="BFBFBF" w:themeColor="accent2"/>
            </w:tcBorders>
            <w:noWrap/>
            <w:tcMar>
              <w:right w:w="0" w:type="nil"/>
            </w:tcMar>
          </w:tcPr>
          <w:p w14:paraId="2636710F" w14:textId="77777777" w:rsidR="006E51BF" w:rsidRDefault="006E51BF">
            <w:pPr>
              <w:pStyle w:val="ARfintabletextright"/>
              <w:rPr>
                <w:lang w:eastAsia="en-AU"/>
              </w:rPr>
            </w:pPr>
            <w:r>
              <w:rPr>
                <w:lang w:eastAsia="en-AU"/>
              </w:rPr>
              <w:t>–</w:t>
            </w:r>
          </w:p>
        </w:tc>
        <w:tc>
          <w:tcPr>
            <w:tcW w:w="485" w:type="pct"/>
            <w:tcBorders>
              <w:bottom w:val="single" w:sz="4" w:space="0" w:color="BFBFBF" w:themeColor="accent2"/>
            </w:tcBorders>
            <w:shd w:val="clear" w:color="auto" w:fill="E7E6E6" w:themeFill="background2"/>
            <w:noWrap/>
            <w:tcMar>
              <w:right w:w="0" w:type="nil"/>
            </w:tcMar>
          </w:tcPr>
          <w:p w14:paraId="119C0912" w14:textId="77777777" w:rsidR="006E51BF" w:rsidRPr="003C6833"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486" w:type="pct"/>
            <w:tcBorders>
              <w:bottom w:val="single" w:sz="4" w:space="0" w:color="BFBFBF" w:themeColor="accent2"/>
            </w:tcBorders>
            <w:shd w:val="clear" w:color="auto" w:fill="E7E6E6" w:themeFill="background2"/>
            <w:noWrap/>
            <w:tcMar>
              <w:right w:w="0" w:type="nil"/>
            </w:tcMar>
          </w:tcPr>
          <w:p w14:paraId="2A14A8FE" w14:textId="77777777" w:rsidR="006E51BF" w:rsidRPr="003C6833" w:rsidRDefault="006E51BF">
            <w:pPr>
              <w:pStyle w:val="ARfintabletextright"/>
              <w:rPr>
                <w:lang w:eastAsia="en-AU"/>
              </w:rPr>
            </w:pPr>
            <w:r>
              <w:rPr>
                <w:lang w:eastAsia="en-AU"/>
              </w:rPr>
              <w:t>–</w:t>
            </w:r>
          </w:p>
        </w:tc>
        <w:tc>
          <w:tcPr>
            <w:tcW w:w="485" w:type="pct"/>
            <w:tcBorders>
              <w:bottom w:val="single" w:sz="4" w:space="0" w:color="BFBFBF" w:themeColor="accent2"/>
            </w:tcBorders>
            <w:shd w:val="clear" w:color="auto" w:fill="E7E6E6" w:themeFill="background2"/>
            <w:noWrap/>
            <w:tcMar>
              <w:right w:w="0" w:type="nil"/>
            </w:tcMar>
          </w:tcPr>
          <w:p w14:paraId="75A3ED9D" w14:textId="77777777" w:rsidR="006E51BF" w:rsidRPr="003C6833"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129.8</w:t>
            </w:r>
          </w:p>
        </w:tc>
        <w:tc>
          <w:tcPr>
            <w:cnfStyle w:val="000001000000" w:firstRow="0" w:lastRow="0" w:firstColumn="0" w:lastColumn="0" w:oddVBand="0" w:evenVBand="1" w:oddHBand="0" w:evenHBand="0" w:firstRowFirstColumn="0" w:firstRowLastColumn="0" w:lastRowFirstColumn="0" w:lastRowLastColumn="0"/>
            <w:tcW w:w="486" w:type="pct"/>
            <w:tcBorders>
              <w:bottom w:val="single" w:sz="4" w:space="0" w:color="BFBFBF" w:themeColor="accent2"/>
            </w:tcBorders>
            <w:shd w:val="clear" w:color="auto" w:fill="E7E6E6" w:themeFill="background2"/>
            <w:noWrap/>
            <w:tcMar>
              <w:right w:w="0" w:type="nil"/>
            </w:tcMar>
          </w:tcPr>
          <w:p w14:paraId="2CDF9BF8" w14:textId="77777777" w:rsidR="006E51BF" w:rsidRPr="003C6833" w:rsidRDefault="006E51BF">
            <w:pPr>
              <w:pStyle w:val="ARfintabletextright"/>
              <w:rPr>
                <w:lang w:eastAsia="en-AU"/>
              </w:rPr>
            </w:pPr>
            <w:r>
              <w:rPr>
                <w:lang w:eastAsia="en-AU"/>
              </w:rPr>
              <w:t>–</w:t>
            </w:r>
          </w:p>
        </w:tc>
      </w:tr>
      <w:tr w:rsidR="006E51BF" w:rsidRPr="003C6833" w14:paraId="5C8F52DC"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542" w:type="pct"/>
            <w:tcBorders>
              <w:bottom w:val="single" w:sz="4" w:space="0" w:color="BFBFBF" w:themeColor="accent2"/>
            </w:tcBorders>
            <w:noWrap/>
            <w:hideMark/>
          </w:tcPr>
          <w:p w14:paraId="5B9191BE" w14:textId="77777777" w:rsidR="006E51BF" w:rsidRPr="003C6833" w:rsidRDefault="006E51BF">
            <w:pPr>
              <w:pStyle w:val="ARfintabletext"/>
              <w:rPr>
                <w:color w:val="000000"/>
                <w:lang w:eastAsia="en-AU"/>
              </w:rPr>
            </w:pPr>
            <w:r w:rsidRPr="003C6833">
              <w:rPr>
                <w:color w:val="000000"/>
                <w:lang w:eastAsia="en-AU"/>
              </w:rPr>
              <w:t>Service concession financial liability</w:t>
            </w:r>
          </w:p>
        </w:tc>
        <w:tc>
          <w:tcPr>
            <w:cnfStyle w:val="000001000000" w:firstRow="0" w:lastRow="0" w:firstColumn="0" w:lastColumn="0" w:oddVBand="0" w:evenVBand="1" w:oddHBand="0" w:evenHBand="0" w:firstRowFirstColumn="0" w:firstRowLastColumn="0" w:lastRowFirstColumn="0" w:lastRowLastColumn="0"/>
            <w:tcW w:w="515" w:type="pct"/>
            <w:tcBorders>
              <w:bottom w:val="single" w:sz="4" w:space="0" w:color="BFBFBF" w:themeColor="accent2"/>
            </w:tcBorders>
            <w:noWrap/>
            <w:tcMar>
              <w:right w:w="0" w:type="nil"/>
            </w:tcMar>
            <w:hideMark/>
          </w:tcPr>
          <w:p w14:paraId="7A90FD03" w14:textId="77777777" w:rsidR="006E51BF" w:rsidRPr="003C6833" w:rsidRDefault="006E51BF">
            <w:pPr>
              <w:pStyle w:val="ARfintabletextright"/>
              <w:rPr>
                <w:lang w:eastAsia="en-AU"/>
              </w:rPr>
            </w:pPr>
            <w:r w:rsidRPr="003C6833">
              <w:rPr>
                <w:lang w:eastAsia="en-AU"/>
              </w:rPr>
              <w:t>670.8</w:t>
            </w:r>
          </w:p>
        </w:tc>
        <w:tc>
          <w:tcPr>
            <w:tcW w:w="515" w:type="pct"/>
            <w:tcBorders>
              <w:bottom w:val="single" w:sz="4" w:space="0" w:color="BFBFBF" w:themeColor="accent2"/>
            </w:tcBorders>
            <w:noWrap/>
            <w:tcMar>
              <w:right w:w="0" w:type="nil"/>
            </w:tcMar>
            <w:hideMark/>
          </w:tcPr>
          <w:p w14:paraId="274757E0" w14:textId="77777777" w:rsidR="006E51BF" w:rsidRPr="003C6833"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3C6833">
              <w:rPr>
                <w:lang w:eastAsia="en-AU"/>
              </w:rPr>
              <w:t>702.4</w:t>
            </w:r>
          </w:p>
        </w:tc>
        <w:tc>
          <w:tcPr>
            <w:cnfStyle w:val="000001000000" w:firstRow="0" w:lastRow="0" w:firstColumn="0" w:lastColumn="0" w:oddVBand="0" w:evenVBand="1" w:oddHBand="0" w:evenHBand="0" w:firstRowFirstColumn="0" w:firstRowLastColumn="0" w:lastRowFirstColumn="0" w:lastRowLastColumn="0"/>
            <w:tcW w:w="485" w:type="pct"/>
            <w:tcBorders>
              <w:bottom w:val="single" w:sz="4" w:space="0" w:color="BFBFBF" w:themeColor="accent2"/>
            </w:tcBorders>
            <w:noWrap/>
            <w:tcMar>
              <w:right w:w="0" w:type="nil"/>
            </w:tcMar>
            <w:hideMark/>
          </w:tcPr>
          <w:p w14:paraId="7702E28C" w14:textId="77777777" w:rsidR="006E51BF" w:rsidRPr="003C6833" w:rsidRDefault="006E51BF">
            <w:pPr>
              <w:pStyle w:val="ARfintabletextright"/>
              <w:rPr>
                <w:lang w:eastAsia="en-AU"/>
              </w:rPr>
            </w:pPr>
            <w:r>
              <w:rPr>
                <w:lang w:eastAsia="en-AU"/>
              </w:rPr>
              <w:t>–</w:t>
            </w:r>
          </w:p>
        </w:tc>
        <w:tc>
          <w:tcPr>
            <w:tcW w:w="485" w:type="pct"/>
            <w:tcBorders>
              <w:bottom w:val="single" w:sz="4" w:space="0" w:color="BFBFBF" w:themeColor="accent2"/>
            </w:tcBorders>
            <w:shd w:val="clear" w:color="auto" w:fill="E7E6E6" w:themeFill="background2"/>
            <w:noWrap/>
            <w:tcMar>
              <w:right w:w="0" w:type="nil"/>
            </w:tcMar>
            <w:hideMark/>
          </w:tcPr>
          <w:p w14:paraId="44B9FB36" w14:textId="77777777" w:rsidR="006E51BF" w:rsidRPr="003C6833"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3C6833">
              <w:rPr>
                <w:lang w:eastAsia="en-AU"/>
              </w:rPr>
              <w:t>0.5</w:t>
            </w:r>
          </w:p>
        </w:tc>
        <w:tc>
          <w:tcPr>
            <w:cnfStyle w:val="000001000000" w:firstRow="0" w:lastRow="0" w:firstColumn="0" w:lastColumn="0" w:oddVBand="0" w:evenVBand="1" w:oddHBand="0" w:evenHBand="0" w:firstRowFirstColumn="0" w:firstRowLastColumn="0" w:lastRowFirstColumn="0" w:lastRowLastColumn="0"/>
            <w:tcW w:w="486" w:type="pct"/>
            <w:tcBorders>
              <w:bottom w:val="single" w:sz="4" w:space="0" w:color="BFBFBF" w:themeColor="accent2"/>
            </w:tcBorders>
            <w:shd w:val="clear" w:color="auto" w:fill="E7E6E6" w:themeFill="background2"/>
            <w:noWrap/>
            <w:tcMar>
              <w:right w:w="0" w:type="nil"/>
            </w:tcMar>
            <w:hideMark/>
          </w:tcPr>
          <w:p w14:paraId="2DE72541" w14:textId="77777777" w:rsidR="006E51BF" w:rsidRPr="003C6833" w:rsidRDefault="006E51BF">
            <w:pPr>
              <w:pStyle w:val="ARfintabletextright"/>
              <w:rPr>
                <w:lang w:eastAsia="en-AU"/>
              </w:rPr>
            </w:pPr>
            <w:r w:rsidRPr="003C6833">
              <w:rPr>
                <w:lang w:eastAsia="en-AU"/>
              </w:rPr>
              <w:t>5.5</w:t>
            </w:r>
          </w:p>
        </w:tc>
        <w:tc>
          <w:tcPr>
            <w:tcW w:w="485" w:type="pct"/>
            <w:tcBorders>
              <w:bottom w:val="single" w:sz="4" w:space="0" w:color="BFBFBF" w:themeColor="accent2"/>
            </w:tcBorders>
            <w:shd w:val="clear" w:color="auto" w:fill="E7E6E6" w:themeFill="background2"/>
            <w:noWrap/>
            <w:tcMar>
              <w:right w:w="0" w:type="nil"/>
            </w:tcMar>
            <w:hideMark/>
          </w:tcPr>
          <w:p w14:paraId="178CF1E7" w14:textId="77777777" w:rsidR="006E51BF" w:rsidRPr="003C6833"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3C6833">
              <w:rPr>
                <w:lang w:eastAsia="en-AU"/>
              </w:rPr>
              <w:t>44.8</w:t>
            </w:r>
          </w:p>
        </w:tc>
        <w:tc>
          <w:tcPr>
            <w:cnfStyle w:val="000001000000" w:firstRow="0" w:lastRow="0" w:firstColumn="0" w:lastColumn="0" w:oddVBand="0" w:evenVBand="1" w:oddHBand="0" w:evenHBand="0" w:firstRowFirstColumn="0" w:firstRowLastColumn="0" w:lastRowFirstColumn="0" w:lastRowLastColumn="0"/>
            <w:tcW w:w="486" w:type="pct"/>
            <w:tcBorders>
              <w:bottom w:val="single" w:sz="4" w:space="0" w:color="BFBFBF" w:themeColor="accent2"/>
            </w:tcBorders>
            <w:shd w:val="clear" w:color="auto" w:fill="E7E6E6" w:themeFill="background2"/>
            <w:noWrap/>
            <w:tcMar>
              <w:right w:w="0" w:type="nil"/>
            </w:tcMar>
            <w:hideMark/>
          </w:tcPr>
          <w:p w14:paraId="1528E2BE" w14:textId="77777777" w:rsidR="006E51BF" w:rsidRPr="003C6833" w:rsidRDefault="006E51BF">
            <w:pPr>
              <w:pStyle w:val="ARfintabletextright"/>
              <w:rPr>
                <w:lang w:eastAsia="en-AU"/>
              </w:rPr>
            </w:pPr>
            <w:r w:rsidRPr="003C6833">
              <w:rPr>
                <w:lang w:eastAsia="en-AU"/>
              </w:rPr>
              <w:t>651.6</w:t>
            </w:r>
          </w:p>
        </w:tc>
      </w:tr>
      <w:tr w:rsidR="006E51BF" w:rsidRPr="003C6833" w14:paraId="4C050E1E"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542" w:type="pct"/>
            <w:tcBorders>
              <w:top w:val="single" w:sz="4" w:space="0" w:color="BFBFBF" w:themeColor="accent2"/>
              <w:bottom w:val="single" w:sz="4" w:space="0" w:color="000000" w:themeColor="text1"/>
            </w:tcBorders>
            <w:noWrap/>
            <w:hideMark/>
          </w:tcPr>
          <w:p w14:paraId="016AB8D6" w14:textId="77777777" w:rsidR="006E51BF" w:rsidRPr="003C6833" w:rsidRDefault="006E51BF">
            <w:pPr>
              <w:pStyle w:val="ARfintabletext"/>
              <w:rPr>
                <w:color w:val="000000"/>
                <w:lang w:eastAsia="en-AU"/>
              </w:rPr>
            </w:pPr>
            <w:r w:rsidRPr="003C6833">
              <w:rPr>
                <w:color w:val="000000"/>
                <w:lang w:eastAsia="en-AU"/>
              </w:rPr>
              <w:t>Lease liabilities</w:t>
            </w:r>
          </w:p>
        </w:tc>
        <w:tc>
          <w:tcPr>
            <w:cnfStyle w:val="000001000000" w:firstRow="0" w:lastRow="0" w:firstColumn="0" w:lastColumn="0" w:oddVBand="0" w:evenVBand="1" w:oddHBand="0" w:evenHBand="0" w:firstRowFirstColumn="0" w:firstRowLastColumn="0" w:lastRowFirstColumn="0" w:lastRowLastColumn="0"/>
            <w:tcW w:w="515" w:type="pct"/>
            <w:tcBorders>
              <w:top w:val="single" w:sz="4" w:space="0" w:color="BFBFBF" w:themeColor="accent2"/>
              <w:bottom w:val="single" w:sz="4" w:space="0" w:color="000000" w:themeColor="text1"/>
            </w:tcBorders>
            <w:noWrap/>
            <w:tcMar>
              <w:right w:w="0" w:type="nil"/>
            </w:tcMar>
            <w:hideMark/>
          </w:tcPr>
          <w:p w14:paraId="7641A755" w14:textId="77777777" w:rsidR="006E51BF" w:rsidRPr="003C6833" w:rsidRDefault="006E51BF">
            <w:pPr>
              <w:pStyle w:val="ARfintabletextright"/>
              <w:rPr>
                <w:lang w:eastAsia="en-AU"/>
              </w:rPr>
            </w:pPr>
            <w:r w:rsidRPr="003C6833">
              <w:rPr>
                <w:lang w:eastAsia="en-AU"/>
              </w:rPr>
              <w:t>77.0</w:t>
            </w:r>
          </w:p>
        </w:tc>
        <w:tc>
          <w:tcPr>
            <w:tcW w:w="515" w:type="pct"/>
            <w:tcBorders>
              <w:top w:val="single" w:sz="4" w:space="0" w:color="BFBFBF" w:themeColor="accent2"/>
              <w:bottom w:val="single" w:sz="4" w:space="0" w:color="000000" w:themeColor="text1"/>
            </w:tcBorders>
            <w:noWrap/>
            <w:tcMar>
              <w:right w:w="0" w:type="nil"/>
            </w:tcMar>
            <w:hideMark/>
          </w:tcPr>
          <w:p w14:paraId="4FBD4D8F" w14:textId="77777777" w:rsidR="006E51BF" w:rsidRPr="003C6833"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3C6833">
              <w:rPr>
                <w:lang w:eastAsia="en-AU"/>
              </w:rPr>
              <w:t>83.9</w:t>
            </w:r>
          </w:p>
        </w:tc>
        <w:tc>
          <w:tcPr>
            <w:cnfStyle w:val="000001000000" w:firstRow="0" w:lastRow="0" w:firstColumn="0" w:lastColumn="0" w:oddVBand="0" w:evenVBand="1" w:oddHBand="0" w:evenHBand="0" w:firstRowFirstColumn="0" w:firstRowLastColumn="0" w:lastRowFirstColumn="0" w:lastRowLastColumn="0"/>
            <w:tcW w:w="485" w:type="pct"/>
            <w:tcBorders>
              <w:top w:val="single" w:sz="4" w:space="0" w:color="BFBFBF" w:themeColor="accent2"/>
              <w:bottom w:val="single" w:sz="4" w:space="0" w:color="000000" w:themeColor="text1"/>
            </w:tcBorders>
            <w:noWrap/>
            <w:tcMar>
              <w:right w:w="0" w:type="nil"/>
            </w:tcMar>
            <w:hideMark/>
          </w:tcPr>
          <w:p w14:paraId="2C5538B3" w14:textId="77777777" w:rsidR="006E51BF" w:rsidRPr="003C6833" w:rsidRDefault="006E51BF">
            <w:pPr>
              <w:pStyle w:val="ARfintabletextright"/>
              <w:rPr>
                <w:lang w:eastAsia="en-AU"/>
              </w:rPr>
            </w:pPr>
            <w:r w:rsidRPr="003C6833">
              <w:rPr>
                <w:lang w:eastAsia="en-AU"/>
              </w:rPr>
              <w:t>8.2</w:t>
            </w:r>
          </w:p>
        </w:tc>
        <w:tc>
          <w:tcPr>
            <w:tcW w:w="485" w:type="pct"/>
            <w:tcBorders>
              <w:top w:val="single" w:sz="4" w:space="0" w:color="BFBFBF" w:themeColor="accent2"/>
              <w:bottom w:val="single" w:sz="4" w:space="0" w:color="000000" w:themeColor="text1"/>
            </w:tcBorders>
            <w:shd w:val="clear" w:color="auto" w:fill="E7E6E6" w:themeFill="background2"/>
            <w:noWrap/>
            <w:tcMar>
              <w:right w:w="0" w:type="nil"/>
            </w:tcMar>
            <w:hideMark/>
          </w:tcPr>
          <w:p w14:paraId="5C6CE505" w14:textId="77777777" w:rsidR="006E51BF" w:rsidRPr="003C6833"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3C6833">
              <w:rPr>
                <w:lang w:eastAsia="en-AU"/>
              </w:rPr>
              <w:t>5.5</w:t>
            </w:r>
          </w:p>
        </w:tc>
        <w:tc>
          <w:tcPr>
            <w:cnfStyle w:val="000001000000" w:firstRow="0" w:lastRow="0" w:firstColumn="0" w:lastColumn="0" w:oddVBand="0" w:evenVBand="1" w:oddHBand="0" w:evenHBand="0" w:firstRowFirstColumn="0" w:firstRowLastColumn="0" w:lastRowFirstColumn="0" w:lastRowLastColumn="0"/>
            <w:tcW w:w="486" w:type="pct"/>
            <w:tcBorders>
              <w:top w:val="single" w:sz="4" w:space="0" w:color="BFBFBF" w:themeColor="accent2"/>
              <w:bottom w:val="single" w:sz="4" w:space="0" w:color="000000" w:themeColor="text1"/>
            </w:tcBorders>
            <w:shd w:val="clear" w:color="auto" w:fill="E7E6E6" w:themeFill="background2"/>
            <w:noWrap/>
            <w:tcMar>
              <w:right w:w="0" w:type="nil"/>
            </w:tcMar>
            <w:hideMark/>
          </w:tcPr>
          <w:p w14:paraId="589AE148" w14:textId="77777777" w:rsidR="006E51BF" w:rsidRPr="003C6833" w:rsidRDefault="006E51BF">
            <w:pPr>
              <w:pStyle w:val="ARfintabletextright"/>
              <w:rPr>
                <w:lang w:eastAsia="en-AU"/>
              </w:rPr>
            </w:pPr>
            <w:r w:rsidRPr="003C6833">
              <w:rPr>
                <w:lang w:eastAsia="en-AU"/>
              </w:rPr>
              <w:t>26.7</w:t>
            </w:r>
          </w:p>
        </w:tc>
        <w:tc>
          <w:tcPr>
            <w:tcW w:w="485" w:type="pct"/>
            <w:tcBorders>
              <w:top w:val="single" w:sz="4" w:space="0" w:color="BFBFBF" w:themeColor="accent2"/>
              <w:bottom w:val="single" w:sz="4" w:space="0" w:color="000000" w:themeColor="text1"/>
            </w:tcBorders>
            <w:shd w:val="clear" w:color="auto" w:fill="E7E6E6" w:themeFill="background2"/>
            <w:noWrap/>
            <w:tcMar>
              <w:right w:w="0" w:type="nil"/>
            </w:tcMar>
            <w:hideMark/>
          </w:tcPr>
          <w:p w14:paraId="48C179A5" w14:textId="77777777" w:rsidR="006E51BF" w:rsidRPr="003C6833"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3C6833">
              <w:rPr>
                <w:lang w:eastAsia="en-AU"/>
              </w:rPr>
              <w:t>39.2</w:t>
            </w:r>
          </w:p>
        </w:tc>
        <w:tc>
          <w:tcPr>
            <w:cnfStyle w:val="000001000000" w:firstRow="0" w:lastRow="0" w:firstColumn="0" w:lastColumn="0" w:oddVBand="0" w:evenVBand="1" w:oddHBand="0" w:evenHBand="0" w:firstRowFirstColumn="0" w:firstRowLastColumn="0" w:lastRowFirstColumn="0" w:lastRowLastColumn="0"/>
            <w:tcW w:w="486" w:type="pct"/>
            <w:tcBorders>
              <w:top w:val="single" w:sz="4" w:space="0" w:color="BFBFBF" w:themeColor="accent2"/>
              <w:bottom w:val="single" w:sz="4" w:space="0" w:color="000000" w:themeColor="text1"/>
            </w:tcBorders>
            <w:shd w:val="clear" w:color="auto" w:fill="E7E6E6" w:themeFill="background2"/>
            <w:noWrap/>
            <w:tcMar>
              <w:right w:w="0" w:type="nil"/>
            </w:tcMar>
            <w:hideMark/>
          </w:tcPr>
          <w:p w14:paraId="41649DC3" w14:textId="77777777" w:rsidR="006E51BF" w:rsidRPr="003C6833" w:rsidRDefault="006E51BF">
            <w:pPr>
              <w:pStyle w:val="ARfintabletextright"/>
              <w:rPr>
                <w:lang w:eastAsia="en-AU"/>
              </w:rPr>
            </w:pPr>
            <w:r w:rsidRPr="003C6833">
              <w:rPr>
                <w:lang w:eastAsia="en-AU"/>
              </w:rPr>
              <w:t>4.3</w:t>
            </w:r>
          </w:p>
        </w:tc>
      </w:tr>
      <w:tr w:rsidR="006E51BF" w:rsidRPr="003C6833" w14:paraId="38E04554"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542" w:type="pct"/>
            <w:tcBorders>
              <w:top w:val="single" w:sz="4" w:space="0" w:color="000000" w:themeColor="text1"/>
              <w:bottom w:val="single" w:sz="4" w:space="0" w:color="000000" w:themeColor="text1"/>
            </w:tcBorders>
            <w:noWrap/>
            <w:hideMark/>
          </w:tcPr>
          <w:p w14:paraId="78FB6B4A" w14:textId="77777777" w:rsidR="006E51BF" w:rsidRPr="003C6833" w:rsidRDefault="006E51BF">
            <w:pPr>
              <w:pStyle w:val="ARfintabletextbold"/>
              <w:rPr>
                <w:lang w:eastAsia="en-AU"/>
              </w:rPr>
            </w:pPr>
            <w:r w:rsidRPr="003C6833">
              <w:rPr>
                <w:lang w:eastAsia="en-AU"/>
              </w:rPr>
              <w:t>Total</w:t>
            </w:r>
          </w:p>
        </w:tc>
        <w:tc>
          <w:tcPr>
            <w:cnfStyle w:val="000001000000" w:firstRow="0" w:lastRow="0" w:firstColumn="0" w:lastColumn="0" w:oddVBand="0" w:evenVBand="1" w:oddHBand="0" w:evenHBand="0" w:firstRowFirstColumn="0" w:firstRowLastColumn="0" w:lastRowFirstColumn="0" w:lastRowLastColumn="0"/>
            <w:tcW w:w="515" w:type="pct"/>
            <w:tcBorders>
              <w:top w:val="single" w:sz="4" w:space="0" w:color="000000" w:themeColor="text1"/>
              <w:bottom w:val="single" w:sz="4" w:space="0" w:color="000000" w:themeColor="text1"/>
            </w:tcBorders>
            <w:noWrap/>
            <w:tcMar>
              <w:right w:w="0" w:type="nil"/>
            </w:tcMar>
            <w:hideMark/>
          </w:tcPr>
          <w:p w14:paraId="604FE048" w14:textId="77777777" w:rsidR="006E51BF" w:rsidRPr="003C6833" w:rsidRDefault="006E51BF">
            <w:pPr>
              <w:pStyle w:val="ARfintabletextboldright"/>
              <w:rPr>
                <w:lang w:eastAsia="en-AU"/>
              </w:rPr>
            </w:pPr>
            <w:r w:rsidRPr="003C6833">
              <w:rPr>
                <w:lang w:eastAsia="en-AU"/>
              </w:rPr>
              <w:t>905.4</w:t>
            </w:r>
          </w:p>
        </w:tc>
        <w:tc>
          <w:tcPr>
            <w:tcW w:w="515" w:type="pct"/>
            <w:tcBorders>
              <w:top w:val="single" w:sz="4" w:space="0" w:color="000000" w:themeColor="text1"/>
              <w:bottom w:val="single" w:sz="4" w:space="0" w:color="000000" w:themeColor="text1"/>
            </w:tcBorders>
            <w:noWrap/>
            <w:tcMar>
              <w:right w:w="0" w:type="nil"/>
            </w:tcMar>
            <w:hideMark/>
          </w:tcPr>
          <w:p w14:paraId="735C014C" w14:textId="77777777" w:rsidR="006E51BF" w:rsidRPr="003C6833"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3C6833">
              <w:rPr>
                <w:lang w:eastAsia="en-AU"/>
              </w:rPr>
              <w:t>943.9</w:t>
            </w:r>
          </w:p>
        </w:tc>
        <w:tc>
          <w:tcPr>
            <w:cnfStyle w:val="000001000000" w:firstRow="0" w:lastRow="0" w:firstColumn="0" w:lastColumn="0" w:oddVBand="0" w:evenVBand="1" w:oddHBand="0" w:evenHBand="0" w:firstRowFirstColumn="0" w:firstRowLastColumn="0" w:lastRowFirstColumn="0" w:lastRowLastColumn="0"/>
            <w:tcW w:w="485" w:type="pct"/>
            <w:tcBorders>
              <w:top w:val="single" w:sz="4" w:space="0" w:color="000000" w:themeColor="text1"/>
              <w:bottom w:val="single" w:sz="4" w:space="0" w:color="000000" w:themeColor="text1"/>
            </w:tcBorders>
            <w:noWrap/>
            <w:tcMar>
              <w:right w:w="0" w:type="nil"/>
            </w:tcMar>
            <w:hideMark/>
          </w:tcPr>
          <w:p w14:paraId="2BAAA3F7" w14:textId="77777777" w:rsidR="006E51BF" w:rsidRPr="003C6833" w:rsidRDefault="006E51BF">
            <w:pPr>
              <w:pStyle w:val="ARfintabletextboldright"/>
              <w:rPr>
                <w:lang w:eastAsia="en-AU"/>
              </w:rPr>
            </w:pPr>
            <w:r w:rsidRPr="003C6833">
              <w:rPr>
                <w:lang w:eastAsia="en-AU"/>
              </w:rPr>
              <w:t>36.0</w:t>
            </w:r>
          </w:p>
        </w:tc>
        <w:tc>
          <w:tcPr>
            <w:tcW w:w="485"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4C610F2D" w14:textId="77777777" w:rsidR="006E51BF" w:rsidRPr="003C6833"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3C6833">
              <w:rPr>
                <w:lang w:eastAsia="en-AU"/>
              </w:rPr>
              <w:t>6.0</w:t>
            </w:r>
          </w:p>
        </w:tc>
        <w:tc>
          <w:tcPr>
            <w:cnfStyle w:val="000001000000" w:firstRow="0" w:lastRow="0" w:firstColumn="0" w:lastColumn="0" w:oddVBand="0" w:evenVBand="1" w:oddHBand="0" w:evenHBand="0" w:firstRowFirstColumn="0" w:firstRowLastColumn="0" w:lastRowFirstColumn="0" w:lastRowLastColumn="0"/>
            <w:tcW w:w="486"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42900006" w14:textId="77777777" w:rsidR="006E51BF" w:rsidRPr="003C6833" w:rsidRDefault="006E51BF">
            <w:pPr>
              <w:pStyle w:val="ARfintabletextboldright"/>
              <w:rPr>
                <w:lang w:eastAsia="en-AU"/>
              </w:rPr>
            </w:pPr>
            <w:r w:rsidRPr="003C6833">
              <w:rPr>
                <w:lang w:eastAsia="en-AU"/>
              </w:rPr>
              <w:t>32.2</w:t>
            </w:r>
          </w:p>
        </w:tc>
        <w:tc>
          <w:tcPr>
            <w:tcW w:w="485"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295DB561" w14:textId="77777777" w:rsidR="006E51BF" w:rsidRPr="003C6833"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3C6833">
              <w:rPr>
                <w:lang w:eastAsia="en-AU"/>
              </w:rPr>
              <w:t>213.8</w:t>
            </w:r>
          </w:p>
        </w:tc>
        <w:tc>
          <w:tcPr>
            <w:cnfStyle w:val="000001000000" w:firstRow="0" w:lastRow="0" w:firstColumn="0" w:lastColumn="0" w:oddVBand="0" w:evenVBand="1" w:oddHBand="0" w:evenHBand="0" w:firstRowFirstColumn="0" w:firstRowLastColumn="0" w:lastRowFirstColumn="0" w:lastRowLastColumn="0"/>
            <w:tcW w:w="486"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0B0423DB" w14:textId="77777777" w:rsidR="006E51BF" w:rsidRPr="003C6833" w:rsidRDefault="006E51BF">
            <w:pPr>
              <w:pStyle w:val="ARfintabletextboldright"/>
              <w:rPr>
                <w:lang w:eastAsia="en-AU"/>
              </w:rPr>
            </w:pPr>
            <w:r w:rsidRPr="003C6833">
              <w:rPr>
                <w:lang w:eastAsia="en-AU"/>
              </w:rPr>
              <w:t>655.9</w:t>
            </w:r>
          </w:p>
        </w:tc>
      </w:tr>
      <w:tr w:rsidR="006E51BF" w:rsidRPr="003C6833" w14:paraId="11DB0806"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542" w:type="pct"/>
            <w:tcBorders>
              <w:top w:val="single" w:sz="4" w:space="0" w:color="000000" w:themeColor="text1"/>
            </w:tcBorders>
            <w:noWrap/>
            <w:hideMark/>
          </w:tcPr>
          <w:p w14:paraId="0ED066E9" w14:textId="77777777" w:rsidR="006E51BF" w:rsidRPr="003C6833" w:rsidRDefault="006E51BF">
            <w:pPr>
              <w:pStyle w:val="ARfintabletextboldcoloured"/>
              <w:rPr>
                <w:lang w:eastAsia="en-AU"/>
              </w:rPr>
            </w:pPr>
            <w:r w:rsidRPr="003C6833">
              <w:rPr>
                <w:lang w:eastAsia="en-AU"/>
              </w:rPr>
              <w:t>2025</w:t>
            </w:r>
          </w:p>
        </w:tc>
        <w:tc>
          <w:tcPr>
            <w:cnfStyle w:val="000001000000" w:firstRow="0" w:lastRow="0" w:firstColumn="0" w:lastColumn="0" w:oddVBand="0" w:evenVBand="1" w:oddHBand="0" w:evenHBand="0" w:firstRowFirstColumn="0" w:firstRowLastColumn="0" w:lastRowFirstColumn="0" w:lastRowLastColumn="0"/>
            <w:tcW w:w="515" w:type="pct"/>
            <w:tcBorders>
              <w:top w:val="single" w:sz="4" w:space="0" w:color="000000" w:themeColor="text1"/>
            </w:tcBorders>
            <w:shd w:val="clear" w:color="auto" w:fill="auto"/>
            <w:tcMar>
              <w:right w:w="0" w:type="nil"/>
            </w:tcMar>
            <w:hideMark/>
          </w:tcPr>
          <w:p w14:paraId="6C089F61" w14:textId="77777777" w:rsidR="006E51BF" w:rsidRPr="003C6833" w:rsidRDefault="006E51BF">
            <w:pPr>
              <w:pStyle w:val="ARfintabletextright"/>
              <w:rPr>
                <w:lang w:eastAsia="en-AU"/>
              </w:rPr>
            </w:pPr>
          </w:p>
        </w:tc>
        <w:tc>
          <w:tcPr>
            <w:tcW w:w="515" w:type="pct"/>
            <w:tcBorders>
              <w:top w:val="single" w:sz="4" w:space="0" w:color="000000" w:themeColor="text1"/>
            </w:tcBorders>
            <w:tcMar>
              <w:right w:w="0" w:type="nil"/>
            </w:tcMar>
            <w:hideMark/>
          </w:tcPr>
          <w:p w14:paraId="21D748EC" w14:textId="77777777" w:rsidR="006E51BF" w:rsidRPr="003C6833" w:rsidRDefault="006E51BF">
            <w:pPr>
              <w:pStyle w:val="ARfintabletextrigh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AU"/>
              </w:rPr>
            </w:pPr>
          </w:p>
        </w:tc>
        <w:tc>
          <w:tcPr>
            <w:cnfStyle w:val="000001000000" w:firstRow="0" w:lastRow="0" w:firstColumn="0" w:lastColumn="0" w:oddVBand="0" w:evenVBand="1" w:oddHBand="0" w:evenHBand="0" w:firstRowFirstColumn="0" w:firstRowLastColumn="0" w:lastRowFirstColumn="0" w:lastRowLastColumn="0"/>
            <w:tcW w:w="485" w:type="pct"/>
            <w:tcBorders>
              <w:top w:val="single" w:sz="4" w:space="0" w:color="000000" w:themeColor="text1"/>
            </w:tcBorders>
            <w:shd w:val="clear" w:color="auto" w:fill="auto"/>
            <w:tcMar>
              <w:right w:w="0" w:type="nil"/>
            </w:tcMar>
            <w:hideMark/>
          </w:tcPr>
          <w:p w14:paraId="5B1542CD" w14:textId="77777777" w:rsidR="006E51BF" w:rsidRPr="003C6833" w:rsidRDefault="006E51BF">
            <w:pPr>
              <w:pStyle w:val="ARfintabletextright"/>
              <w:rPr>
                <w:rFonts w:ascii="Times New Roman" w:hAnsi="Times New Roman"/>
                <w:lang w:eastAsia="en-AU"/>
              </w:rPr>
            </w:pPr>
          </w:p>
        </w:tc>
        <w:tc>
          <w:tcPr>
            <w:tcW w:w="485" w:type="pct"/>
            <w:tcBorders>
              <w:top w:val="single" w:sz="4" w:space="0" w:color="000000" w:themeColor="text1"/>
            </w:tcBorders>
            <w:tcMar>
              <w:right w:w="0" w:type="nil"/>
            </w:tcMar>
            <w:hideMark/>
          </w:tcPr>
          <w:p w14:paraId="59B08DBC" w14:textId="77777777" w:rsidR="006E51BF" w:rsidRPr="003C6833" w:rsidRDefault="006E51BF">
            <w:pPr>
              <w:pStyle w:val="ARfintabletextrigh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AU"/>
              </w:rPr>
            </w:pPr>
          </w:p>
        </w:tc>
        <w:tc>
          <w:tcPr>
            <w:cnfStyle w:val="000001000000" w:firstRow="0" w:lastRow="0" w:firstColumn="0" w:lastColumn="0" w:oddVBand="0" w:evenVBand="1" w:oddHBand="0" w:evenHBand="0" w:firstRowFirstColumn="0" w:firstRowLastColumn="0" w:lastRowFirstColumn="0" w:lastRowLastColumn="0"/>
            <w:tcW w:w="486" w:type="pct"/>
            <w:tcBorders>
              <w:top w:val="single" w:sz="4" w:space="0" w:color="000000" w:themeColor="text1"/>
            </w:tcBorders>
            <w:shd w:val="clear" w:color="auto" w:fill="auto"/>
            <w:tcMar>
              <w:right w:w="0" w:type="nil"/>
            </w:tcMar>
            <w:hideMark/>
          </w:tcPr>
          <w:p w14:paraId="653A4846" w14:textId="77777777" w:rsidR="006E51BF" w:rsidRPr="003C6833" w:rsidRDefault="006E51BF">
            <w:pPr>
              <w:pStyle w:val="ARfintabletextright"/>
              <w:rPr>
                <w:rFonts w:ascii="Times New Roman" w:hAnsi="Times New Roman"/>
                <w:lang w:eastAsia="en-AU"/>
              </w:rPr>
            </w:pPr>
          </w:p>
        </w:tc>
        <w:tc>
          <w:tcPr>
            <w:tcW w:w="485" w:type="pct"/>
            <w:tcBorders>
              <w:top w:val="single" w:sz="4" w:space="0" w:color="000000" w:themeColor="text1"/>
            </w:tcBorders>
            <w:tcMar>
              <w:right w:w="0" w:type="nil"/>
            </w:tcMar>
            <w:hideMark/>
          </w:tcPr>
          <w:p w14:paraId="07F3A39D" w14:textId="77777777" w:rsidR="006E51BF" w:rsidRPr="003C6833" w:rsidRDefault="006E51BF">
            <w:pPr>
              <w:pStyle w:val="ARfintabletextrigh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AU"/>
              </w:rPr>
            </w:pPr>
          </w:p>
        </w:tc>
        <w:tc>
          <w:tcPr>
            <w:cnfStyle w:val="000001000000" w:firstRow="0" w:lastRow="0" w:firstColumn="0" w:lastColumn="0" w:oddVBand="0" w:evenVBand="1" w:oddHBand="0" w:evenHBand="0" w:firstRowFirstColumn="0" w:firstRowLastColumn="0" w:lastRowFirstColumn="0" w:lastRowLastColumn="0"/>
            <w:tcW w:w="486" w:type="pct"/>
            <w:tcBorders>
              <w:top w:val="single" w:sz="4" w:space="0" w:color="000000" w:themeColor="text1"/>
            </w:tcBorders>
            <w:shd w:val="clear" w:color="auto" w:fill="auto"/>
            <w:tcMar>
              <w:right w:w="0" w:type="nil"/>
            </w:tcMar>
            <w:hideMark/>
          </w:tcPr>
          <w:p w14:paraId="28D86D04" w14:textId="77777777" w:rsidR="006E51BF" w:rsidRPr="003C6833" w:rsidRDefault="006E51BF">
            <w:pPr>
              <w:pStyle w:val="ARfintabletextright"/>
              <w:rPr>
                <w:rFonts w:ascii="Times New Roman" w:hAnsi="Times New Roman"/>
                <w:lang w:eastAsia="en-AU"/>
              </w:rPr>
            </w:pPr>
          </w:p>
        </w:tc>
      </w:tr>
      <w:tr w:rsidR="006E51BF" w:rsidRPr="003C6833" w14:paraId="6BE85632"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542" w:type="pct"/>
            <w:noWrap/>
            <w:hideMark/>
          </w:tcPr>
          <w:p w14:paraId="1ACF924B" w14:textId="77777777" w:rsidR="006E51BF" w:rsidRPr="003C6833" w:rsidRDefault="006E51BF">
            <w:pPr>
              <w:pStyle w:val="ARfintabletext"/>
              <w:rPr>
                <w:lang w:eastAsia="en-AU"/>
              </w:rPr>
            </w:pPr>
            <w:r w:rsidRPr="003C6833">
              <w:rPr>
                <w:lang w:eastAsia="en-AU"/>
              </w:rPr>
              <w:t>Advances from Victorian</w:t>
            </w:r>
            <w:r>
              <w:rPr>
                <w:lang w:eastAsia="en-AU"/>
              </w:rPr>
              <w:t> </w:t>
            </w:r>
            <w:r w:rsidRPr="003C6833">
              <w:rPr>
                <w:lang w:eastAsia="en-AU"/>
              </w:rPr>
              <w:t>Government</w:t>
            </w:r>
          </w:p>
        </w:tc>
        <w:tc>
          <w:tcPr>
            <w:cnfStyle w:val="000001000000" w:firstRow="0" w:lastRow="0" w:firstColumn="0" w:lastColumn="0" w:oddVBand="0" w:evenVBand="1" w:oddHBand="0" w:evenHBand="0" w:firstRowFirstColumn="0" w:firstRowLastColumn="0" w:lastRowFirstColumn="0" w:lastRowLastColumn="0"/>
            <w:tcW w:w="515" w:type="pct"/>
            <w:noWrap/>
            <w:tcMar>
              <w:right w:w="0" w:type="nil"/>
            </w:tcMar>
            <w:hideMark/>
          </w:tcPr>
          <w:p w14:paraId="282BFEFF" w14:textId="77777777" w:rsidR="006E51BF" w:rsidRPr="00616204" w:rsidRDefault="006E51BF">
            <w:pPr>
              <w:pStyle w:val="ARfintabletextright"/>
            </w:pPr>
            <w:r>
              <w:t>32.5</w:t>
            </w:r>
          </w:p>
        </w:tc>
        <w:tc>
          <w:tcPr>
            <w:tcW w:w="515" w:type="pct"/>
            <w:noWrap/>
            <w:tcMar>
              <w:right w:w="0" w:type="nil"/>
            </w:tcMar>
            <w:hideMark/>
          </w:tcPr>
          <w:p w14:paraId="3AE23582" w14:textId="77777777" w:rsidR="006E51BF" w:rsidRPr="00616204" w:rsidRDefault="006E51BF">
            <w:pPr>
              <w:pStyle w:val="ARfintabletextright"/>
              <w:cnfStyle w:val="000000010000" w:firstRow="0" w:lastRow="0" w:firstColumn="0" w:lastColumn="0" w:oddVBand="0" w:evenVBand="0" w:oddHBand="0" w:evenHBand="1" w:firstRowFirstColumn="0" w:firstRowLastColumn="0" w:lastRowFirstColumn="0" w:lastRowLastColumn="0"/>
            </w:pPr>
            <w:r>
              <w:t>32.5</w:t>
            </w:r>
          </w:p>
        </w:tc>
        <w:tc>
          <w:tcPr>
            <w:cnfStyle w:val="000001000000" w:firstRow="0" w:lastRow="0" w:firstColumn="0" w:lastColumn="0" w:oddVBand="0" w:evenVBand="1" w:oddHBand="0" w:evenHBand="0" w:firstRowFirstColumn="0" w:firstRowLastColumn="0" w:lastRowFirstColumn="0" w:lastRowLastColumn="0"/>
            <w:tcW w:w="485" w:type="pct"/>
            <w:noWrap/>
            <w:tcMar>
              <w:right w:w="0" w:type="nil"/>
            </w:tcMar>
            <w:hideMark/>
          </w:tcPr>
          <w:p w14:paraId="132B90E6" w14:textId="77777777" w:rsidR="006E51BF" w:rsidRPr="00616204" w:rsidRDefault="006E51BF">
            <w:pPr>
              <w:pStyle w:val="ARfintabletextright"/>
            </w:pPr>
            <w:r w:rsidRPr="00616204">
              <w:t>31.5</w:t>
            </w:r>
          </w:p>
        </w:tc>
        <w:tc>
          <w:tcPr>
            <w:tcW w:w="485" w:type="pct"/>
            <w:shd w:val="clear" w:color="auto" w:fill="E7E6E6" w:themeFill="background2"/>
            <w:noWrap/>
            <w:tcMar>
              <w:right w:w="0" w:type="nil"/>
            </w:tcMar>
            <w:hideMark/>
          </w:tcPr>
          <w:p w14:paraId="096284C6" w14:textId="77777777" w:rsidR="006E51BF" w:rsidRPr="00616204" w:rsidRDefault="006E51BF">
            <w:pPr>
              <w:pStyle w:val="ARfintabletextrigh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486" w:type="pct"/>
            <w:shd w:val="clear" w:color="auto" w:fill="E7E6E6" w:themeFill="background2"/>
            <w:noWrap/>
            <w:tcMar>
              <w:right w:w="0" w:type="nil"/>
            </w:tcMar>
            <w:hideMark/>
          </w:tcPr>
          <w:p w14:paraId="238C62C5" w14:textId="77777777" w:rsidR="006E51BF" w:rsidRPr="00616204" w:rsidRDefault="006E51BF">
            <w:pPr>
              <w:pStyle w:val="ARfintabletextright"/>
            </w:pPr>
            <w:r w:rsidRPr="00616204">
              <w:t>1.0</w:t>
            </w:r>
          </w:p>
        </w:tc>
        <w:tc>
          <w:tcPr>
            <w:tcW w:w="485" w:type="pct"/>
            <w:shd w:val="clear" w:color="auto" w:fill="E7E6E6" w:themeFill="background2"/>
            <w:noWrap/>
            <w:tcMar>
              <w:right w:w="0" w:type="nil"/>
            </w:tcMar>
            <w:hideMark/>
          </w:tcPr>
          <w:p w14:paraId="5BB5D3F1" w14:textId="77777777" w:rsidR="006E51BF" w:rsidRPr="00616204" w:rsidRDefault="006E51BF">
            <w:pPr>
              <w:pStyle w:val="ARfintabletextright"/>
              <w:cnfStyle w:val="000000010000" w:firstRow="0" w:lastRow="0" w:firstColumn="0" w:lastColumn="0" w:oddVBand="0" w:evenVBand="0" w:oddHBand="0" w:evenHBand="1" w:firstRowFirstColumn="0" w:firstRowLastColumn="0" w:lastRowFirstColumn="0" w:lastRowLastColumn="0"/>
            </w:pPr>
            <w:r>
              <w:t>–</w:t>
            </w:r>
          </w:p>
        </w:tc>
        <w:tc>
          <w:tcPr>
            <w:cnfStyle w:val="000001000000" w:firstRow="0" w:lastRow="0" w:firstColumn="0" w:lastColumn="0" w:oddVBand="0" w:evenVBand="1" w:oddHBand="0" w:evenHBand="0" w:firstRowFirstColumn="0" w:firstRowLastColumn="0" w:lastRowFirstColumn="0" w:lastRowLastColumn="0"/>
            <w:tcW w:w="486" w:type="pct"/>
            <w:shd w:val="clear" w:color="auto" w:fill="E7E6E6" w:themeFill="background2"/>
            <w:noWrap/>
            <w:tcMar>
              <w:right w:w="0" w:type="nil"/>
            </w:tcMar>
            <w:hideMark/>
          </w:tcPr>
          <w:p w14:paraId="69909D1D" w14:textId="77777777" w:rsidR="006E51BF" w:rsidRPr="00616204" w:rsidRDefault="006E51BF">
            <w:pPr>
              <w:pStyle w:val="ARfintabletextright"/>
            </w:pPr>
            <w:r>
              <w:t>–</w:t>
            </w:r>
          </w:p>
        </w:tc>
      </w:tr>
      <w:tr w:rsidR="006E51BF" w:rsidRPr="003C6833" w14:paraId="62E51C1D"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542" w:type="pct"/>
            <w:noWrap/>
          </w:tcPr>
          <w:p w14:paraId="4B3FB53F" w14:textId="77777777" w:rsidR="006E51BF" w:rsidRPr="003C6833" w:rsidRDefault="006E51BF">
            <w:pPr>
              <w:pStyle w:val="ARfintabletext"/>
              <w:rPr>
                <w:lang w:eastAsia="en-AU"/>
              </w:rPr>
            </w:pPr>
            <w:r>
              <w:rPr>
                <w:color w:val="000000"/>
                <w:lang w:eastAsia="en-AU"/>
              </w:rPr>
              <w:t>Loans from TCV</w:t>
            </w:r>
          </w:p>
        </w:tc>
        <w:tc>
          <w:tcPr>
            <w:cnfStyle w:val="000001000000" w:firstRow="0" w:lastRow="0" w:firstColumn="0" w:lastColumn="0" w:oddVBand="0" w:evenVBand="1" w:oddHBand="0" w:evenHBand="0" w:firstRowFirstColumn="0" w:firstRowLastColumn="0" w:lastRowFirstColumn="0" w:lastRowLastColumn="0"/>
            <w:tcW w:w="515" w:type="pct"/>
            <w:noWrap/>
            <w:tcMar>
              <w:right w:w="0" w:type="nil"/>
            </w:tcMar>
          </w:tcPr>
          <w:p w14:paraId="6619201B" w14:textId="77777777" w:rsidR="006E51BF" w:rsidRPr="00616204" w:rsidRDefault="006E51BF">
            <w:pPr>
              <w:pStyle w:val="ARfintabletextright"/>
            </w:pPr>
            <w:r>
              <w:t>129.8</w:t>
            </w:r>
          </w:p>
        </w:tc>
        <w:tc>
          <w:tcPr>
            <w:tcW w:w="515" w:type="pct"/>
            <w:noWrap/>
            <w:tcMar>
              <w:right w:w="0" w:type="nil"/>
            </w:tcMar>
          </w:tcPr>
          <w:p w14:paraId="6CF18D10" w14:textId="77777777" w:rsidR="006E51BF" w:rsidRPr="00616204" w:rsidRDefault="006E51BF">
            <w:pPr>
              <w:pStyle w:val="ARfintabletextright"/>
              <w:cnfStyle w:val="000000100000" w:firstRow="0" w:lastRow="0" w:firstColumn="0" w:lastColumn="0" w:oddVBand="0" w:evenVBand="0" w:oddHBand="1" w:evenHBand="0" w:firstRowFirstColumn="0" w:firstRowLastColumn="0" w:lastRowFirstColumn="0" w:lastRowLastColumn="0"/>
            </w:pPr>
            <w:r>
              <w:t>129.8</w:t>
            </w:r>
          </w:p>
        </w:tc>
        <w:tc>
          <w:tcPr>
            <w:cnfStyle w:val="000001000000" w:firstRow="0" w:lastRow="0" w:firstColumn="0" w:lastColumn="0" w:oddVBand="0" w:evenVBand="1" w:oddHBand="0" w:evenHBand="0" w:firstRowFirstColumn="0" w:firstRowLastColumn="0" w:lastRowFirstColumn="0" w:lastRowLastColumn="0"/>
            <w:tcW w:w="485" w:type="pct"/>
            <w:noWrap/>
            <w:tcMar>
              <w:right w:w="0" w:type="nil"/>
            </w:tcMar>
          </w:tcPr>
          <w:p w14:paraId="09BD962D" w14:textId="77777777" w:rsidR="006E51BF" w:rsidRDefault="006E51BF">
            <w:pPr>
              <w:pStyle w:val="ARfintabletextright"/>
            </w:pPr>
            <w:r>
              <w:rPr>
                <w:lang w:eastAsia="en-AU"/>
              </w:rPr>
              <w:t>–</w:t>
            </w:r>
          </w:p>
        </w:tc>
        <w:tc>
          <w:tcPr>
            <w:tcW w:w="485" w:type="pct"/>
            <w:shd w:val="clear" w:color="auto" w:fill="E7E6E6" w:themeFill="background2"/>
            <w:noWrap/>
            <w:tcMar>
              <w:right w:w="0" w:type="nil"/>
            </w:tcMar>
          </w:tcPr>
          <w:p w14:paraId="4936FD76" w14:textId="77777777" w:rsidR="006E51BF" w:rsidRPr="00616204" w:rsidRDefault="006E51BF">
            <w:pPr>
              <w:pStyle w:val="ARfintabletextright"/>
              <w:cnfStyle w:val="000000100000" w:firstRow="0" w:lastRow="0" w:firstColumn="0" w:lastColumn="0" w:oddVBand="0" w:evenVBand="0" w:oddHBand="1" w:evenHBand="0" w:firstRowFirstColumn="0" w:firstRowLastColumn="0" w:lastRowFirstColumn="0" w:lastRowLastColumn="0"/>
            </w:pPr>
            <w:r>
              <w:rPr>
                <w:lang w:eastAsia="en-AU"/>
              </w:rPr>
              <w:t>–</w:t>
            </w:r>
          </w:p>
        </w:tc>
        <w:tc>
          <w:tcPr>
            <w:cnfStyle w:val="000001000000" w:firstRow="0" w:lastRow="0" w:firstColumn="0" w:lastColumn="0" w:oddVBand="0" w:evenVBand="1" w:oddHBand="0" w:evenHBand="0" w:firstRowFirstColumn="0" w:firstRowLastColumn="0" w:lastRowFirstColumn="0" w:lastRowLastColumn="0"/>
            <w:tcW w:w="486" w:type="pct"/>
            <w:shd w:val="clear" w:color="auto" w:fill="E7E6E6" w:themeFill="background2"/>
            <w:noWrap/>
            <w:tcMar>
              <w:right w:w="0" w:type="nil"/>
            </w:tcMar>
          </w:tcPr>
          <w:p w14:paraId="5DA66BC9" w14:textId="77777777" w:rsidR="006E51BF" w:rsidRPr="00616204" w:rsidRDefault="006E51BF">
            <w:pPr>
              <w:pStyle w:val="ARfintabletextright"/>
            </w:pPr>
            <w:r>
              <w:rPr>
                <w:lang w:eastAsia="en-AU"/>
              </w:rPr>
              <w:t>–</w:t>
            </w:r>
          </w:p>
        </w:tc>
        <w:tc>
          <w:tcPr>
            <w:tcW w:w="485" w:type="pct"/>
            <w:shd w:val="clear" w:color="auto" w:fill="E7E6E6" w:themeFill="background2"/>
            <w:noWrap/>
            <w:tcMar>
              <w:right w:w="0" w:type="nil"/>
            </w:tcMar>
          </w:tcPr>
          <w:p w14:paraId="5481E8A4" w14:textId="77777777" w:rsidR="006E51BF" w:rsidRPr="00616204" w:rsidRDefault="006E51BF">
            <w:pPr>
              <w:pStyle w:val="ARfintabletextright"/>
              <w:cnfStyle w:val="000000100000" w:firstRow="0" w:lastRow="0" w:firstColumn="0" w:lastColumn="0" w:oddVBand="0" w:evenVBand="0" w:oddHBand="1" w:evenHBand="0" w:firstRowFirstColumn="0" w:firstRowLastColumn="0" w:lastRowFirstColumn="0" w:lastRowLastColumn="0"/>
            </w:pPr>
            <w:r>
              <w:t>129.8</w:t>
            </w:r>
          </w:p>
        </w:tc>
        <w:tc>
          <w:tcPr>
            <w:cnfStyle w:val="000001000000" w:firstRow="0" w:lastRow="0" w:firstColumn="0" w:lastColumn="0" w:oddVBand="0" w:evenVBand="1" w:oddHBand="0" w:evenHBand="0" w:firstRowFirstColumn="0" w:firstRowLastColumn="0" w:lastRowFirstColumn="0" w:lastRowLastColumn="0"/>
            <w:tcW w:w="486" w:type="pct"/>
            <w:shd w:val="clear" w:color="auto" w:fill="E7E6E6" w:themeFill="background2"/>
            <w:noWrap/>
            <w:tcMar>
              <w:right w:w="0" w:type="nil"/>
            </w:tcMar>
          </w:tcPr>
          <w:p w14:paraId="16C6C7A1" w14:textId="77777777" w:rsidR="006E51BF" w:rsidRPr="00616204" w:rsidRDefault="006E51BF">
            <w:pPr>
              <w:pStyle w:val="ARfintabletextright"/>
            </w:pPr>
            <w:r>
              <w:rPr>
                <w:lang w:eastAsia="en-AU"/>
              </w:rPr>
              <w:t>–</w:t>
            </w:r>
          </w:p>
        </w:tc>
      </w:tr>
      <w:tr w:rsidR="006E51BF" w:rsidRPr="003C6833" w14:paraId="3C9DC137"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542" w:type="pct"/>
            <w:noWrap/>
            <w:hideMark/>
          </w:tcPr>
          <w:p w14:paraId="0A748052" w14:textId="77777777" w:rsidR="006E51BF" w:rsidRPr="003C6833" w:rsidRDefault="006E51BF">
            <w:pPr>
              <w:pStyle w:val="ARfintabletext"/>
              <w:rPr>
                <w:lang w:eastAsia="en-AU"/>
              </w:rPr>
            </w:pPr>
            <w:r w:rsidRPr="003C6833">
              <w:rPr>
                <w:lang w:eastAsia="en-AU"/>
              </w:rPr>
              <w:t>Service concession financial liability</w:t>
            </w:r>
          </w:p>
        </w:tc>
        <w:tc>
          <w:tcPr>
            <w:cnfStyle w:val="000001000000" w:firstRow="0" w:lastRow="0" w:firstColumn="0" w:lastColumn="0" w:oddVBand="0" w:evenVBand="1" w:oddHBand="0" w:evenHBand="0" w:firstRowFirstColumn="0" w:firstRowLastColumn="0" w:lastRowFirstColumn="0" w:lastRowLastColumn="0"/>
            <w:tcW w:w="515" w:type="pct"/>
            <w:noWrap/>
            <w:tcMar>
              <w:right w:w="0" w:type="nil"/>
            </w:tcMar>
            <w:hideMark/>
          </w:tcPr>
          <w:p w14:paraId="326B7FF7" w14:textId="77777777" w:rsidR="006E51BF" w:rsidRPr="00616204" w:rsidRDefault="006E51BF">
            <w:pPr>
              <w:pStyle w:val="ARfintabletextright"/>
            </w:pPr>
            <w:r w:rsidRPr="00616204">
              <w:t>527.2</w:t>
            </w:r>
          </w:p>
        </w:tc>
        <w:tc>
          <w:tcPr>
            <w:tcW w:w="515" w:type="pct"/>
            <w:noWrap/>
            <w:tcMar>
              <w:right w:w="0" w:type="nil"/>
            </w:tcMar>
            <w:hideMark/>
          </w:tcPr>
          <w:p w14:paraId="6118E6B8" w14:textId="77777777" w:rsidR="006E51BF" w:rsidRPr="00616204"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616204">
              <w:t>701.9</w:t>
            </w:r>
          </w:p>
        </w:tc>
        <w:tc>
          <w:tcPr>
            <w:cnfStyle w:val="000001000000" w:firstRow="0" w:lastRow="0" w:firstColumn="0" w:lastColumn="0" w:oddVBand="0" w:evenVBand="1" w:oddHBand="0" w:evenHBand="0" w:firstRowFirstColumn="0" w:firstRowLastColumn="0" w:lastRowFirstColumn="0" w:lastRowLastColumn="0"/>
            <w:tcW w:w="485" w:type="pct"/>
            <w:noWrap/>
            <w:tcMar>
              <w:right w:w="0" w:type="nil"/>
            </w:tcMar>
            <w:hideMark/>
          </w:tcPr>
          <w:p w14:paraId="1357FF55" w14:textId="77777777" w:rsidR="006E51BF" w:rsidRPr="00616204" w:rsidRDefault="006E51BF">
            <w:pPr>
              <w:pStyle w:val="ARfintabletextright"/>
            </w:pPr>
            <w:r>
              <w:t>–</w:t>
            </w:r>
          </w:p>
        </w:tc>
        <w:tc>
          <w:tcPr>
            <w:tcW w:w="485" w:type="pct"/>
            <w:shd w:val="clear" w:color="auto" w:fill="E7E6E6" w:themeFill="background2"/>
            <w:noWrap/>
            <w:tcMar>
              <w:right w:w="0" w:type="nil"/>
            </w:tcMar>
            <w:hideMark/>
          </w:tcPr>
          <w:p w14:paraId="31EB153B" w14:textId="77777777" w:rsidR="006E51BF" w:rsidRPr="00616204"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616204">
              <w:t>0.5</w:t>
            </w:r>
          </w:p>
        </w:tc>
        <w:tc>
          <w:tcPr>
            <w:cnfStyle w:val="000001000000" w:firstRow="0" w:lastRow="0" w:firstColumn="0" w:lastColumn="0" w:oddVBand="0" w:evenVBand="1" w:oddHBand="0" w:evenHBand="0" w:firstRowFirstColumn="0" w:firstRowLastColumn="0" w:lastRowFirstColumn="0" w:lastRowLastColumn="0"/>
            <w:tcW w:w="486" w:type="pct"/>
            <w:shd w:val="clear" w:color="auto" w:fill="E7E6E6" w:themeFill="background2"/>
            <w:noWrap/>
            <w:tcMar>
              <w:right w:w="0" w:type="nil"/>
            </w:tcMar>
            <w:hideMark/>
          </w:tcPr>
          <w:p w14:paraId="229A3880" w14:textId="77777777" w:rsidR="006E51BF" w:rsidRPr="00616204" w:rsidRDefault="006E51BF">
            <w:pPr>
              <w:pStyle w:val="ARfintabletextright"/>
            </w:pPr>
            <w:r w:rsidRPr="00616204">
              <w:t>1.5</w:t>
            </w:r>
          </w:p>
        </w:tc>
        <w:tc>
          <w:tcPr>
            <w:tcW w:w="485" w:type="pct"/>
            <w:shd w:val="clear" w:color="auto" w:fill="E7E6E6" w:themeFill="background2"/>
            <w:noWrap/>
            <w:tcMar>
              <w:right w:w="0" w:type="nil"/>
            </w:tcMar>
            <w:hideMark/>
          </w:tcPr>
          <w:p w14:paraId="11764598" w14:textId="77777777" w:rsidR="006E51BF" w:rsidRPr="00616204"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616204">
              <w:t>38.0</w:t>
            </w:r>
          </w:p>
        </w:tc>
        <w:tc>
          <w:tcPr>
            <w:cnfStyle w:val="000001000000" w:firstRow="0" w:lastRow="0" w:firstColumn="0" w:lastColumn="0" w:oddVBand="0" w:evenVBand="1" w:oddHBand="0" w:evenHBand="0" w:firstRowFirstColumn="0" w:firstRowLastColumn="0" w:lastRowFirstColumn="0" w:lastRowLastColumn="0"/>
            <w:tcW w:w="486" w:type="pct"/>
            <w:shd w:val="clear" w:color="auto" w:fill="E7E6E6" w:themeFill="background2"/>
            <w:noWrap/>
            <w:tcMar>
              <w:right w:w="0" w:type="nil"/>
            </w:tcMar>
            <w:hideMark/>
          </w:tcPr>
          <w:p w14:paraId="01588973" w14:textId="77777777" w:rsidR="006E51BF" w:rsidRPr="00616204" w:rsidRDefault="006E51BF">
            <w:pPr>
              <w:pStyle w:val="ARfintabletextright"/>
            </w:pPr>
            <w:r w:rsidRPr="00616204">
              <w:t>661.9</w:t>
            </w:r>
          </w:p>
        </w:tc>
      </w:tr>
      <w:tr w:rsidR="006E51BF" w:rsidRPr="003C6833" w14:paraId="6A9877E5"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542" w:type="pct"/>
            <w:noWrap/>
            <w:hideMark/>
          </w:tcPr>
          <w:p w14:paraId="0B0A3CEB" w14:textId="77777777" w:rsidR="006E51BF" w:rsidRPr="003C6833" w:rsidRDefault="006E51BF">
            <w:pPr>
              <w:pStyle w:val="ARfintabletext"/>
              <w:rPr>
                <w:lang w:eastAsia="en-AU"/>
              </w:rPr>
            </w:pPr>
            <w:r w:rsidRPr="003C6833">
              <w:rPr>
                <w:lang w:eastAsia="en-AU"/>
              </w:rPr>
              <w:t>Lease liabilities</w:t>
            </w:r>
          </w:p>
        </w:tc>
        <w:tc>
          <w:tcPr>
            <w:cnfStyle w:val="000001000000" w:firstRow="0" w:lastRow="0" w:firstColumn="0" w:lastColumn="0" w:oddVBand="0" w:evenVBand="1" w:oddHBand="0" w:evenHBand="0" w:firstRowFirstColumn="0" w:firstRowLastColumn="0" w:lastRowFirstColumn="0" w:lastRowLastColumn="0"/>
            <w:tcW w:w="515" w:type="pct"/>
            <w:noWrap/>
            <w:tcMar>
              <w:right w:w="0" w:type="nil"/>
            </w:tcMar>
            <w:hideMark/>
          </w:tcPr>
          <w:p w14:paraId="22CFAB76" w14:textId="77777777" w:rsidR="006E51BF" w:rsidRPr="00616204" w:rsidRDefault="006E51BF">
            <w:pPr>
              <w:pStyle w:val="ARfintabletextright"/>
            </w:pPr>
            <w:r w:rsidRPr="00616204">
              <w:t>79.0</w:t>
            </w:r>
          </w:p>
        </w:tc>
        <w:tc>
          <w:tcPr>
            <w:tcW w:w="515" w:type="pct"/>
            <w:noWrap/>
            <w:tcMar>
              <w:right w:w="0" w:type="nil"/>
            </w:tcMar>
            <w:hideMark/>
          </w:tcPr>
          <w:p w14:paraId="13F1882A" w14:textId="77777777" w:rsidR="006E51BF" w:rsidRPr="00616204"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616204">
              <w:t>84.6</w:t>
            </w:r>
          </w:p>
        </w:tc>
        <w:tc>
          <w:tcPr>
            <w:cnfStyle w:val="000001000000" w:firstRow="0" w:lastRow="0" w:firstColumn="0" w:lastColumn="0" w:oddVBand="0" w:evenVBand="1" w:oddHBand="0" w:evenHBand="0" w:firstRowFirstColumn="0" w:firstRowLastColumn="0" w:lastRowFirstColumn="0" w:lastRowLastColumn="0"/>
            <w:tcW w:w="485" w:type="pct"/>
            <w:noWrap/>
            <w:tcMar>
              <w:right w:w="0" w:type="nil"/>
            </w:tcMar>
            <w:hideMark/>
          </w:tcPr>
          <w:p w14:paraId="340172DF" w14:textId="77777777" w:rsidR="006E51BF" w:rsidRPr="00616204" w:rsidRDefault="006E51BF">
            <w:pPr>
              <w:pStyle w:val="ARfintabletextright"/>
            </w:pPr>
            <w:r w:rsidRPr="00616204">
              <w:t>5.8</w:t>
            </w:r>
          </w:p>
        </w:tc>
        <w:tc>
          <w:tcPr>
            <w:tcW w:w="485" w:type="pct"/>
            <w:shd w:val="clear" w:color="auto" w:fill="E7E6E6" w:themeFill="background2"/>
            <w:noWrap/>
            <w:tcMar>
              <w:right w:w="0" w:type="nil"/>
            </w:tcMar>
            <w:hideMark/>
          </w:tcPr>
          <w:p w14:paraId="36A0B705" w14:textId="77777777" w:rsidR="006E51BF" w:rsidRPr="00616204"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616204">
              <w:t>5.6</w:t>
            </w:r>
          </w:p>
        </w:tc>
        <w:tc>
          <w:tcPr>
            <w:cnfStyle w:val="000001000000" w:firstRow="0" w:lastRow="0" w:firstColumn="0" w:lastColumn="0" w:oddVBand="0" w:evenVBand="1" w:oddHBand="0" w:evenHBand="0" w:firstRowFirstColumn="0" w:firstRowLastColumn="0" w:lastRowFirstColumn="0" w:lastRowLastColumn="0"/>
            <w:tcW w:w="486" w:type="pct"/>
            <w:shd w:val="clear" w:color="auto" w:fill="E7E6E6" w:themeFill="background2"/>
            <w:noWrap/>
            <w:tcMar>
              <w:right w:w="0" w:type="nil"/>
            </w:tcMar>
            <w:hideMark/>
          </w:tcPr>
          <w:p w14:paraId="4E9A04C5" w14:textId="77777777" w:rsidR="006E51BF" w:rsidRPr="00616204" w:rsidRDefault="006E51BF">
            <w:pPr>
              <w:pStyle w:val="ARfintabletextright"/>
            </w:pPr>
            <w:r w:rsidRPr="00616204">
              <w:t>26.0</w:t>
            </w:r>
          </w:p>
        </w:tc>
        <w:tc>
          <w:tcPr>
            <w:tcW w:w="485" w:type="pct"/>
            <w:shd w:val="clear" w:color="auto" w:fill="E7E6E6" w:themeFill="background2"/>
            <w:noWrap/>
            <w:tcMar>
              <w:right w:w="0" w:type="nil"/>
            </w:tcMar>
            <w:hideMark/>
          </w:tcPr>
          <w:p w14:paraId="05B5DE20" w14:textId="77777777" w:rsidR="006E51BF" w:rsidRPr="00616204"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616204">
              <w:t>42.8</w:t>
            </w:r>
          </w:p>
        </w:tc>
        <w:tc>
          <w:tcPr>
            <w:cnfStyle w:val="000001000000" w:firstRow="0" w:lastRow="0" w:firstColumn="0" w:lastColumn="0" w:oddVBand="0" w:evenVBand="1" w:oddHBand="0" w:evenHBand="0" w:firstRowFirstColumn="0" w:firstRowLastColumn="0" w:lastRowFirstColumn="0" w:lastRowLastColumn="0"/>
            <w:tcW w:w="486" w:type="pct"/>
            <w:shd w:val="clear" w:color="auto" w:fill="E7E6E6" w:themeFill="background2"/>
            <w:noWrap/>
            <w:tcMar>
              <w:right w:w="0" w:type="nil"/>
            </w:tcMar>
            <w:hideMark/>
          </w:tcPr>
          <w:p w14:paraId="2D171BF6" w14:textId="77777777" w:rsidR="006E51BF" w:rsidRPr="00616204" w:rsidRDefault="006E51BF">
            <w:pPr>
              <w:pStyle w:val="ARfintabletextright"/>
            </w:pPr>
            <w:r w:rsidRPr="00616204">
              <w:t>4.4</w:t>
            </w:r>
          </w:p>
        </w:tc>
      </w:tr>
      <w:tr w:rsidR="006E51BF" w:rsidRPr="003C6833" w14:paraId="3BC69643"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1542" w:type="pct"/>
            <w:noWrap/>
            <w:hideMark/>
          </w:tcPr>
          <w:p w14:paraId="763C69A0" w14:textId="77777777" w:rsidR="006E51BF" w:rsidRPr="003C6833" w:rsidRDefault="006E51BF">
            <w:pPr>
              <w:pStyle w:val="ARfintabletextbold"/>
              <w:rPr>
                <w:lang w:eastAsia="en-AU"/>
              </w:rPr>
            </w:pPr>
            <w:r w:rsidRPr="003C6833">
              <w:rPr>
                <w:lang w:eastAsia="en-AU"/>
              </w:rPr>
              <w:t>Total</w:t>
            </w:r>
          </w:p>
        </w:tc>
        <w:tc>
          <w:tcPr>
            <w:cnfStyle w:val="000001000000" w:firstRow="0" w:lastRow="0" w:firstColumn="0" w:lastColumn="0" w:oddVBand="0" w:evenVBand="1" w:oddHBand="0" w:evenHBand="0" w:firstRowFirstColumn="0" w:firstRowLastColumn="0" w:lastRowFirstColumn="0" w:lastRowLastColumn="0"/>
            <w:tcW w:w="515" w:type="pct"/>
            <w:noWrap/>
            <w:tcMar>
              <w:right w:w="0" w:type="nil"/>
            </w:tcMar>
            <w:hideMark/>
          </w:tcPr>
          <w:p w14:paraId="06AD0C60" w14:textId="77777777" w:rsidR="006E51BF" w:rsidRPr="003C6833" w:rsidRDefault="006E51BF">
            <w:pPr>
              <w:pStyle w:val="ARfintablecolheadright"/>
              <w:rPr>
                <w:lang w:eastAsia="en-AU"/>
              </w:rPr>
            </w:pPr>
            <w:r w:rsidRPr="003C6833">
              <w:rPr>
                <w:lang w:eastAsia="en-AU"/>
              </w:rPr>
              <w:t>768.5</w:t>
            </w:r>
          </w:p>
        </w:tc>
        <w:tc>
          <w:tcPr>
            <w:tcW w:w="515" w:type="pct"/>
            <w:noWrap/>
            <w:tcMar>
              <w:right w:w="0" w:type="nil"/>
            </w:tcMar>
            <w:hideMark/>
          </w:tcPr>
          <w:p w14:paraId="37C06C0F" w14:textId="77777777" w:rsidR="006E51BF" w:rsidRPr="003C6833" w:rsidRDefault="006E51BF">
            <w:pPr>
              <w:pStyle w:val="ARfintablecolheadright"/>
              <w:cnfStyle w:val="010000000000" w:firstRow="0" w:lastRow="1" w:firstColumn="0" w:lastColumn="0" w:oddVBand="0" w:evenVBand="0" w:oddHBand="0" w:evenHBand="0" w:firstRowFirstColumn="0" w:firstRowLastColumn="0" w:lastRowFirstColumn="0" w:lastRowLastColumn="0"/>
              <w:rPr>
                <w:lang w:eastAsia="en-AU"/>
              </w:rPr>
            </w:pPr>
            <w:r w:rsidRPr="003C6833">
              <w:rPr>
                <w:lang w:eastAsia="en-AU"/>
              </w:rPr>
              <w:t>948.8</w:t>
            </w:r>
          </w:p>
        </w:tc>
        <w:tc>
          <w:tcPr>
            <w:cnfStyle w:val="000001000000" w:firstRow="0" w:lastRow="0" w:firstColumn="0" w:lastColumn="0" w:oddVBand="0" w:evenVBand="1" w:oddHBand="0" w:evenHBand="0" w:firstRowFirstColumn="0" w:firstRowLastColumn="0" w:lastRowFirstColumn="0" w:lastRowLastColumn="0"/>
            <w:tcW w:w="485" w:type="pct"/>
            <w:noWrap/>
            <w:tcMar>
              <w:right w:w="0" w:type="nil"/>
            </w:tcMar>
            <w:hideMark/>
          </w:tcPr>
          <w:p w14:paraId="6BFE433A" w14:textId="77777777" w:rsidR="006E51BF" w:rsidRPr="003C6833" w:rsidRDefault="006E51BF">
            <w:pPr>
              <w:pStyle w:val="ARfintablecolheadright"/>
              <w:rPr>
                <w:lang w:eastAsia="en-AU"/>
              </w:rPr>
            </w:pPr>
            <w:r w:rsidRPr="003C6833">
              <w:rPr>
                <w:lang w:eastAsia="en-AU"/>
              </w:rPr>
              <w:t>37.3</w:t>
            </w:r>
          </w:p>
        </w:tc>
        <w:tc>
          <w:tcPr>
            <w:tcW w:w="485" w:type="pct"/>
            <w:shd w:val="clear" w:color="auto" w:fill="E7E6E6" w:themeFill="background2"/>
            <w:noWrap/>
            <w:tcMar>
              <w:right w:w="0" w:type="nil"/>
            </w:tcMar>
            <w:hideMark/>
          </w:tcPr>
          <w:p w14:paraId="146608BA" w14:textId="77777777" w:rsidR="006E51BF" w:rsidRPr="003C6833" w:rsidRDefault="006E51BF">
            <w:pPr>
              <w:pStyle w:val="ARfintablecolheadright"/>
              <w:cnfStyle w:val="010000000000" w:firstRow="0" w:lastRow="1" w:firstColumn="0" w:lastColumn="0" w:oddVBand="0" w:evenVBand="0" w:oddHBand="0" w:evenHBand="0" w:firstRowFirstColumn="0" w:firstRowLastColumn="0" w:lastRowFirstColumn="0" w:lastRowLastColumn="0"/>
              <w:rPr>
                <w:lang w:eastAsia="en-AU"/>
              </w:rPr>
            </w:pPr>
            <w:r w:rsidRPr="003C6833">
              <w:rPr>
                <w:lang w:eastAsia="en-AU"/>
              </w:rPr>
              <w:t>6.1</w:t>
            </w:r>
          </w:p>
        </w:tc>
        <w:tc>
          <w:tcPr>
            <w:cnfStyle w:val="000001000000" w:firstRow="0" w:lastRow="0" w:firstColumn="0" w:lastColumn="0" w:oddVBand="0" w:evenVBand="1" w:oddHBand="0" w:evenHBand="0" w:firstRowFirstColumn="0" w:firstRowLastColumn="0" w:lastRowFirstColumn="0" w:lastRowLastColumn="0"/>
            <w:tcW w:w="486" w:type="pct"/>
            <w:shd w:val="clear" w:color="auto" w:fill="E7E6E6" w:themeFill="background2"/>
            <w:noWrap/>
            <w:tcMar>
              <w:right w:w="0" w:type="nil"/>
            </w:tcMar>
            <w:hideMark/>
          </w:tcPr>
          <w:p w14:paraId="29697667" w14:textId="77777777" w:rsidR="006E51BF" w:rsidRPr="003C6833" w:rsidRDefault="006E51BF">
            <w:pPr>
              <w:pStyle w:val="ARfintablecolheadright"/>
              <w:rPr>
                <w:lang w:eastAsia="en-AU"/>
              </w:rPr>
            </w:pPr>
            <w:r w:rsidRPr="003C6833">
              <w:rPr>
                <w:lang w:eastAsia="en-AU"/>
              </w:rPr>
              <w:t>28.5</w:t>
            </w:r>
          </w:p>
        </w:tc>
        <w:tc>
          <w:tcPr>
            <w:tcW w:w="485" w:type="pct"/>
            <w:shd w:val="clear" w:color="auto" w:fill="E7E6E6" w:themeFill="background2"/>
            <w:noWrap/>
            <w:tcMar>
              <w:right w:w="0" w:type="nil"/>
            </w:tcMar>
            <w:hideMark/>
          </w:tcPr>
          <w:p w14:paraId="4DF0150D" w14:textId="77777777" w:rsidR="006E51BF" w:rsidRPr="003C6833" w:rsidRDefault="006E51BF">
            <w:pPr>
              <w:pStyle w:val="ARfintablecolheadright"/>
              <w:cnfStyle w:val="010000000000" w:firstRow="0" w:lastRow="1" w:firstColumn="0" w:lastColumn="0" w:oddVBand="0" w:evenVBand="0" w:oddHBand="0" w:evenHBand="0" w:firstRowFirstColumn="0" w:firstRowLastColumn="0" w:lastRowFirstColumn="0" w:lastRowLastColumn="0"/>
              <w:rPr>
                <w:lang w:eastAsia="en-AU"/>
              </w:rPr>
            </w:pPr>
            <w:r w:rsidRPr="003C6833">
              <w:rPr>
                <w:lang w:eastAsia="en-AU"/>
              </w:rPr>
              <w:t>210.6</w:t>
            </w:r>
          </w:p>
        </w:tc>
        <w:tc>
          <w:tcPr>
            <w:cnfStyle w:val="000001000000" w:firstRow="0" w:lastRow="0" w:firstColumn="0" w:lastColumn="0" w:oddVBand="0" w:evenVBand="1" w:oddHBand="0" w:evenHBand="0" w:firstRowFirstColumn="0" w:firstRowLastColumn="0" w:lastRowFirstColumn="0" w:lastRowLastColumn="0"/>
            <w:tcW w:w="486" w:type="pct"/>
            <w:shd w:val="clear" w:color="auto" w:fill="E7E6E6" w:themeFill="background2"/>
            <w:noWrap/>
            <w:tcMar>
              <w:right w:w="0" w:type="nil"/>
            </w:tcMar>
            <w:hideMark/>
          </w:tcPr>
          <w:p w14:paraId="0E646014" w14:textId="77777777" w:rsidR="006E51BF" w:rsidRPr="003C6833" w:rsidRDefault="006E51BF">
            <w:pPr>
              <w:pStyle w:val="ARfintablecolheadright"/>
              <w:rPr>
                <w:lang w:eastAsia="en-AU"/>
              </w:rPr>
            </w:pPr>
            <w:r w:rsidRPr="003C6833">
              <w:rPr>
                <w:lang w:eastAsia="en-AU"/>
              </w:rPr>
              <w:t>666.3</w:t>
            </w:r>
          </w:p>
        </w:tc>
      </w:tr>
    </w:tbl>
    <w:p w14:paraId="4C7F6E9E" w14:textId="77777777" w:rsidR="006E51BF" w:rsidRPr="00953469" w:rsidRDefault="006E51BF">
      <w:pPr>
        <w:pStyle w:val="Heading4"/>
        <w:rPr>
          <w:lang w:eastAsia="en-AU"/>
        </w:rPr>
      </w:pPr>
      <w:r w:rsidRPr="00953469">
        <w:rPr>
          <w:lang w:eastAsia="en-AU"/>
        </w:rPr>
        <w:t xml:space="preserve">7.3 </w:t>
      </w:r>
      <w:r>
        <w:rPr>
          <w:lang w:eastAsia="en-AU"/>
        </w:rPr>
        <w:tab/>
      </w:r>
      <w:r w:rsidRPr="00953469">
        <w:rPr>
          <w:lang w:eastAsia="en-AU"/>
        </w:rPr>
        <w:t>Cash flow information and balances</w:t>
      </w:r>
    </w:p>
    <w:p w14:paraId="4FC37AEA" w14:textId="77777777" w:rsidR="006E51BF" w:rsidRPr="00953469" w:rsidRDefault="006E51BF">
      <w:pPr>
        <w:pStyle w:val="ARfinbodybeforetableorfigure"/>
      </w:pPr>
      <w:r w:rsidRPr="00953469">
        <w:t>Cash and deposits, including cash equivalents, comprise cash on hand and cash at bank, deposits at call and highly liquid investments with an original maturity of three months or less, which are held for the purpose of meeting short-term cash commitments rather than for investment purposes and are readily convertible to known amounts of cash with an insignificant risk of changes in value.</w:t>
      </w:r>
    </w:p>
    <w:tbl>
      <w:tblPr>
        <w:tblStyle w:val="ARtable1"/>
        <w:tblW w:w="5000" w:type="pct"/>
        <w:tblLook w:val="00E0" w:firstRow="1" w:lastRow="1" w:firstColumn="1" w:lastColumn="0" w:noHBand="0" w:noVBand="0"/>
      </w:tblPr>
      <w:tblGrid>
        <w:gridCol w:w="6514"/>
        <w:gridCol w:w="1556"/>
        <w:gridCol w:w="1558"/>
      </w:tblGrid>
      <w:tr w:rsidR="006E51BF" w:rsidRPr="00953469" w14:paraId="10D98E6B" w14:textId="77777777" w:rsidTr="00304BA9">
        <w:trPr>
          <w:cnfStyle w:val="100000000000" w:firstRow="1" w:lastRow="0" w:firstColumn="0" w:lastColumn="0" w:oddVBand="0" w:evenVBand="0" w:oddHBand="0" w:evenHBand="0" w:firstRowFirstColumn="0" w:firstRowLastColumn="0" w:lastRowFirstColumn="0" w:lastRowLastColumn="0"/>
          <w:trHeight w:val="565"/>
          <w:tblHeader/>
        </w:trPr>
        <w:tc>
          <w:tcPr>
            <w:tcW w:w="3383" w:type="pct"/>
            <w:noWrap/>
            <w:hideMark/>
          </w:tcPr>
          <w:p w14:paraId="194F42D8" w14:textId="77777777" w:rsidR="006E51BF" w:rsidRPr="00953469" w:rsidRDefault="006E51BF">
            <w:pPr>
              <w:pStyle w:val="ARfintablecolhead"/>
              <w:rPr>
                <w:lang w:eastAsia="en-AU"/>
              </w:rPr>
            </w:pPr>
            <w:r w:rsidRPr="00953469">
              <w:rPr>
                <w:lang w:eastAsia="en-AU"/>
              </w:rPr>
              <w:t>Total cash and deposits disclosed in the balance sheet</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10C41829" w14:textId="77777777" w:rsidR="006E51BF" w:rsidRPr="00953469" w:rsidRDefault="006E51BF">
            <w:pPr>
              <w:pStyle w:val="ARfintablecolheadright"/>
              <w:rPr>
                <w:lang w:eastAsia="en-AU"/>
              </w:rPr>
            </w:pPr>
            <w:r w:rsidRPr="00953469">
              <w:rPr>
                <w:lang w:eastAsia="en-AU"/>
              </w:rPr>
              <w:t>2026</w:t>
            </w:r>
          </w:p>
          <w:p w14:paraId="4DDF9F81" w14:textId="77777777" w:rsidR="006E51BF" w:rsidRPr="00953469" w:rsidRDefault="006E51BF">
            <w:pPr>
              <w:pStyle w:val="ARfintablecolheadright"/>
              <w:rPr>
                <w:lang w:eastAsia="en-AU"/>
              </w:rPr>
            </w:pPr>
            <w:r w:rsidRPr="00953469">
              <w:rPr>
                <w:lang w:eastAsia="en-AU"/>
              </w:rPr>
              <w:t>$M</w:t>
            </w:r>
          </w:p>
        </w:tc>
        <w:tc>
          <w:tcPr>
            <w:tcW w:w="809" w:type="pct"/>
            <w:noWrap/>
            <w:tcMar>
              <w:right w:w="0" w:type="nil"/>
            </w:tcMar>
            <w:hideMark/>
          </w:tcPr>
          <w:p w14:paraId="16F70410" w14:textId="77777777" w:rsidR="006E51BF" w:rsidRPr="00953469"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953469">
              <w:rPr>
                <w:lang w:eastAsia="en-AU"/>
              </w:rPr>
              <w:t>2025</w:t>
            </w:r>
          </w:p>
          <w:p w14:paraId="1D639861" w14:textId="77777777" w:rsidR="006E51BF" w:rsidRPr="00953469"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953469">
              <w:rPr>
                <w:lang w:eastAsia="en-AU"/>
              </w:rPr>
              <w:t>$M</w:t>
            </w:r>
          </w:p>
        </w:tc>
      </w:tr>
      <w:tr w:rsidR="006E51BF" w:rsidRPr="00953469" w14:paraId="5BB2C8AA" w14:textId="77777777" w:rsidTr="00304BA9">
        <w:trPr>
          <w:cnfStyle w:val="000000100000" w:firstRow="0" w:lastRow="0" w:firstColumn="0" w:lastColumn="0" w:oddVBand="0" w:evenVBand="0" w:oddHBand="1" w:evenHBand="0" w:firstRowFirstColumn="0" w:firstRowLastColumn="0" w:lastRowFirstColumn="0" w:lastRowLastColumn="0"/>
          <w:trHeight w:val="285"/>
        </w:trPr>
        <w:tc>
          <w:tcPr>
            <w:tcW w:w="3383" w:type="pct"/>
            <w:noWrap/>
            <w:hideMark/>
          </w:tcPr>
          <w:p w14:paraId="053955CC" w14:textId="77777777" w:rsidR="006E51BF" w:rsidRPr="00953469" w:rsidRDefault="006E51BF">
            <w:pPr>
              <w:pStyle w:val="ARfintabletext"/>
              <w:rPr>
                <w:lang w:eastAsia="en-AU"/>
              </w:rPr>
            </w:pPr>
            <w:r w:rsidRPr="00953469">
              <w:rPr>
                <w:lang w:eastAsia="en-AU"/>
              </w:rPr>
              <w:t xml:space="preserve">Short-term deposits </w:t>
            </w:r>
            <w:r w:rsidRPr="00953469">
              <w:rPr>
                <w:vertAlign w:val="superscript"/>
                <w:lang w:eastAsia="en-AU"/>
              </w:rPr>
              <w:t>(</w:t>
            </w:r>
            <w:proofErr w:type="spellStart"/>
            <w:r w:rsidRPr="00953469">
              <w:rPr>
                <w:vertAlign w:val="superscript"/>
                <w:lang w:eastAsia="en-AU"/>
              </w:rPr>
              <w:t>i</w:t>
            </w:r>
            <w:proofErr w:type="spellEnd"/>
            <w:r w:rsidRPr="00953469">
              <w:rPr>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39D2C0F" w14:textId="77777777" w:rsidR="006E51BF" w:rsidRPr="00953469" w:rsidRDefault="006E51BF">
            <w:pPr>
              <w:pStyle w:val="ARfintabletextright"/>
              <w:rPr>
                <w:lang w:eastAsia="en-AU"/>
              </w:rPr>
            </w:pPr>
            <w:r w:rsidRPr="00953469">
              <w:rPr>
                <w:lang w:eastAsia="en-AU"/>
              </w:rPr>
              <w:t>844.1</w:t>
            </w:r>
          </w:p>
        </w:tc>
        <w:tc>
          <w:tcPr>
            <w:tcW w:w="809" w:type="pct"/>
            <w:noWrap/>
            <w:tcMar>
              <w:right w:w="0" w:type="nil"/>
            </w:tcMar>
            <w:hideMark/>
          </w:tcPr>
          <w:p w14:paraId="3FAFF0B9" w14:textId="77777777" w:rsidR="006E51BF" w:rsidRPr="00953469"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953469">
              <w:rPr>
                <w:lang w:eastAsia="en-AU"/>
              </w:rPr>
              <w:t>966.3</w:t>
            </w:r>
          </w:p>
        </w:tc>
      </w:tr>
      <w:tr w:rsidR="006E51BF" w:rsidRPr="00953469" w14:paraId="625E782B" w14:textId="77777777" w:rsidTr="00304BA9">
        <w:trPr>
          <w:cnfStyle w:val="000000010000" w:firstRow="0" w:lastRow="0" w:firstColumn="0" w:lastColumn="0" w:oddVBand="0" w:evenVBand="0" w:oddHBand="0" w:evenHBand="1" w:firstRowFirstColumn="0" w:firstRowLastColumn="0" w:lastRowFirstColumn="0" w:lastRowLastColumn="0"/>
          <w:trHeight w:val="290"/>
        </w:trPr>
        <w:tc>
          <w:tcPr>
            <w:tcW w:w="3383" w:type="pct"/>
            <w:noWrap/>
            <w:hideMark/>
          </w:tcPr>
          <w:p w14:paraId="74C90B54" w14:textId="77777777" w:rsidR="006E51BF" w:rsidRPr="00953469" w:rsidRDefault="006E51BF">
            <w:pPr>
              <w:pStyle w:val="ARfintabletext"/>
              <w:rPr>
                <w:lang w:eastAsia="en-AU"/>
              </w:rPr>
            </w:pPr>
            <w:r w:rsidRPr="00953469">
              <w:rPr>
                <w:lang w:eastAsia="en-AU"/>
              </w:rPr>
              <w:t xml:space="preserve">Cash at bank </w:t>
            </w:r>
            <w:r w:rsidRPr="00953469">
              <w:rPr>
                <w:vertAlign w:val="superscript"/>
                <w:lang w:eastAsia="en-AU"/>
              </w:rPr>
              <w:t>(</w:t>
            </w:r>
            <w:proofErr w:type="spellStart"/>
            <w:r w:rsidRPr="00953469">
              <w:rPr>
                <w:vertAlign w:val="superscript"/>
                <w:lang w:eastAsia="en-AU"/>
              </w:rPr>
              <w:t>i</w:t>
            </w:r>
            <w:proofErr w:type="spellEnd"/>
            <w:r w:rsidRPr="00953469">
              <w:rPr>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5FC49318" w14:textId="77777777" w:rsidR="006E51BF" w:rsidRPr="00953469" w:rsidRDefault="006E51BF">
            <w:pPr>
              <w:pStyle w:val="ARfintabletextright"/>
              <w:rPr>
                <w:lang w:eastAsia="en-AU"/>
              </w:rPr>
            </w:pPr>
            <w:r w:rsidRPr="00953469">
              <w:rPr>
                <w:lang w:eastAsia="en-AU"/>
              </w:rPr>
              <w:t>78.6</w:t>
            </w:r>
          </w:p>
        </w:tc>
        <w:tc>
          <w:tcPr>
            <w:tcW w:w="809" w:type="pct"/>
            <w:noWrap/>
            <w:tcMar>
              <w:right w:w="0" w:type="nil"/>
            </w:tcMar>
            <w:hideMark/>
          </w:tcPr>
          <w:p w14:paraId="134BEA0C" w14:textId="77777777" w:rsidR="006E51BF" w:rsidRPr="00953469"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953469">
              <w:rPr>
                <w:lang w:eastAsia="en-AU"/>
              </w:rPr>
              <w:t>30.0</w:t>
            </w:r>
          </w:p>
        </w:tc>
      </w:tr>
      <w:tr w:rsidR="006E51BF" w:rsidRPr="00953469" w14:paraId="546CE1CF" w14:textId="77777777" w:rsidTr="00304BA9">
        <w:trPr>
          <w:cnfStyle w:val="000000100000" w:firstRow="0" w:lastRow="0" w:firstColumn="0" w:lastColumn="0" w:oddVBand="0" w:evenVBand="0" w:oddHBand="1" w:evenHBand="0" w:firstRowFirstColumn="0" w:firstRowLastColumn="0" w:lastRowFirstColumn="0" w:lastRowLastColumn="0"/>
          <w:trHeight w:val="290"/>
        </w:trPr>
        <w:tc>
          <w:tcPr>
            <w:tcW w:w="3383" w:type="pct"/>
            <w:noWrap/>
            <w:hideMark/>
          </w:tcPr>
          <w:p w14:paraId="5D34F118" w14:textId="77777777" w:rsidR="006E51BF" w:rsidRPr="00953469" w:rsidRDefault="006E51BF">
            <w:pPr>
              <w:pStyle w:val="ARfintabletext"/>
              <w:rPr>
                <w:lang w:eastAsia="en-AU"/>
              </w:rPr>
            </w:pPr>
            <w:r w:rsidRPr="00953469">
              <w:rPr>
                <w:lang w:eastAsia="en-AU"/>
              </w:rPr>
              <w:t xml:space="preserve">Restricted cash </w:t>
            </w:r>
            <w:r w:rsidRPr="00953469">
              <w:rPr>
                <w:vertAlign w:val="superscript"/>
                <w:lang w:eastAsia="en-AU"/>
              </w:rPr>
              <w:t>(ii)</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53122000" w14:textId="77777777" w:rsidR="006E51BF" w:rsidRPr="00953469" w:rsidRDefault="006E51BF">
            <w:pPr>
              <w:pStyle w:val="ARfintabletextright"/>
              <w:rPr>
                <w:lang w:eastAsia="en-AU"/>
              </w:rPr>
            </w:pPr>
            <w:r w:rsidRPr="00953469">
              <w:rPr>
                <w:lang w:eastAsia="en-AU"/>
              </w:rPr>
              <w:t>5.2</w:t>
            </w:r>
          </w:p>
        </w:tc>
        <w:tc>
          <w:tcPr>
            <w:tcW w:w="809" w:type="pct"/>
            <w:noWrap/>
            <w:tcMar>
              <w:right w:w="0" w:type="nil"/>
            </w:tcMar>
            <w:hideMark/>
          </w:tcPr>
          <w:p w14:paraId="79628A9F" w14:textId="77777777" w:rsidR="006E51BF" w:rsidRPr="00953469"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953469">
              <w:rPr>
                <w:lang w:eastAsia="en-AU"/>
              </w:rPr>
              <w:t>267.1</w:t>
            </w:r>
          </w:p>
        </w:tc>
      </w:tr>
      <w:tr w:rsidR="006E51BF" w:rsidRPr="00953469" w14:paraId="563B903C" w14:textId="77777777" w:rsidTr="00304BA9">
        <w:trPr>
          <w:cnfStyle w:val="000000010000" w:firstRow="0" w:lastRow="0" w:firstColumn="0" w:lastColumn="0" w:oddVBand="0" w:evenVBand="0" w:oddHBand="0" w:evenHBand="1" w:firstRowFirstColumn="0" w:firstRowLastColumn="0" w:lastRowFirstColumn="0" w:lastRowLastColumn="0"/>
          <w:trHeight w:val="360"/>
        </w:trPr>
        <w:tc>
          <w:tcPr>
            <w:tcW w:w="3383" w:type="pct"/>
            <w:noWrap/>
            <w:hideMark/>
          </w:tcPr>
          <w:p w14:paraId="701F9957" w14:textId="77777777" w:rsidR="006E51BF" w:rsidRPr="00953469" w:rsidRDefault="006E51BF">
            <w:pPr>
              <w:pStyle w:val="ARfintabletext"/>
              <w:rPr>
                <w:lang w:eastAsia="en-AU"/>
              </w:rPr>
            </w:pPr>
            <w:r w:rsidRPr="00953469">
              <w:rPr>
                <w:lang w:eastAsia="en-AU"/>
              </w:rPr>
              <w:t xml:space="preserve">Funds held in trust </w:t>
            </w:r>
            <w:r w:rsidRPr="00953469">
              <w:rPr>
                <w:vertAlign w:val="superscript"/>
                <w:lang w:eastAsia="en-AU"/>
              </w:rPr>
              <w:t>(iii)</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74A81F7" w14:textId="77777777" w:rsidR="006E51BF" w:rsidRPr="00953469" w:rsidRDefault="006E51BF">
            <w:pPr>
              <w:pStyle w:val="ARfintabletextright"/>
              <w:rPr>
                <w:lang w:eastAsia="en-AU"/>
              </w:rPr>
            </w:pPr>
            <w:r w:rsidRPr="00953469">
              <w:rPr>
                <w:lang w:eastAsia="en-AU"/>
              </w:rPr>
              <w:t>66.2</w:t>
            </w:r>
          </w:p>
        </w:tc>
        <w:tc>
          <w:tcPr>
            <w:tcW w:w="809" w:type="pct"/>
            <w:noWrap/>
            <w:tcMar>
              <w:right w:w="0" w:type="nil"/>
            </w:tcMar>
            <w:hideMark/>
          </w:tcPr>
          <w:p w14:paraId="50688ED0" w14:textId="77777777" w:rsidR="006E51BF" w:rsidRPr="00953469"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953469">
              <w:rPr>
                <w:lang w:eastAsia="en-AU"/>
              </w:rPr>
              <w:t>48.5</w:t>
            </w:r>
          </w:p>
        </w:tc>
      </w:tr>
      <w:tr w:rsidR="006E51BF" w:rsidRPr="00953469" w14:paraId="6F4744CE" w14:textId="77777777" w:rsidTr="00304BA9">
        <w:trPr>
          <w:cnfStyle w:val="000000100000" w:firstRow="0" w:lastRow="0" w:firstColumn="0" w:lastColumn="0" w:oddVBand="0" w:evenVBand="0" w:oddHBand="1" w:evenHBand="0" w:firstRowFirstColumn="0" w:firstRowLastColumn="0" w:lastRowFirstColumn="0" w:lastRowLastColumn="0"/>
          <w:trHeight w:val="300"/>
        </w:trPr>
        <w:tc>
          <w:tcPr>
            <w:tcW w:w="3383" w:type="pct"/>
            <w:noWrap/>
            <w:hideMark/>
          </w:tcPr>
          <w:p w14:paraId="4619435C" w14:textId="77777777" w:rsidR="006E51BF" w:rsidRPr="00953469" w:rsidRDefault="006E51BF">
            <w:pPr>
              <w:pStyle w:val="ARfintabletext"/>
              <w:rPr>
                <w:lang w:eastAsia="en-AU"/>
              </w:rPr>
            </w:pPr>
            <w:proofErr w:type="spellStart"/>
            <w:r w:rsidRPr="00953469">
              <w:rPr>
                <w:lang w:eastAsia="en-AU"/>
              </w:rPr>
              <w:t>RentAssist</w:t>
            </w:r>
            <w:proofErr w:type="spellEnd"/>
            <w:r w:rsidRPr="00953469">
              <w:rPr>
                <w:lang w:eastAsia="en-AU"/>
              </w:rPr>
              <w:t xml:space="preserve"> bonds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5239FA09" w14:textId="77777777" w:rsidR="006E51BF" w:rsidRPr="00953469" w:rsidRDefault="006E51BF">
            <w:pPr>
              <w:pStyle w:val="ARfintabletextright"/>
              <w:rPr>
                <w:lang w:eastAsia="en-AU"/>
              </w:rPr>
            </w:pPr>
            <w:r w:rsidRPr="00953469">
              <w:rPr>
                <w:lang w:eastAsia="en-AU"/>
              </w:rPr>
              <w:t>0.1</w:t>
            </w:r>
          </w:p>
        </w:tc>
        <w:tc>
          <w:tcPr>
            <w:tcW w:w="809" w:type="pct"/>
            <w:noWrap/>
            <w:tcMar>
              <w:right w:w="0" w:type="nil"/>
            </w:tcMar>
            <w:hideMark/>
          </w:tcPr>
          <w:p w14:paraId="153A0E67" w14:textId="77777777" w:rsidR="006E51BF" w:rsidRPr="00953469"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953469">
              <w:rPr>
                <w:lang w:eastAsia="en-AU"/>
              </w:rPr>
              <w:t>0.3</w:t>
            </w:r>
          </w:p>
        </w:tc>
      </w:tr>
      <w:tr w:rsidR="006E51BF" w:rsidRPr="00953469" w14:paraId="34AA1238" w14:textId="77777777" w:rsidTr="00304BA9">
        <w:trPr>
          <w:cnfStyle w:val="010000000000" w:firstRow="0" w:lastRow="1" w:firstColumn="0" w:lastColumn="0" w:oddVBand="0" w:evenVBand="0" w:oddHBand="0" w:evenHBand="0" w:firstRowFirstColumn="0" w:firstRowLastColumn="0" w:lastRowFirstColumn="0" w:lastRowLastColumn="0"/>
          <w:trHeight w:val="300"/>
        </w:trPr>
        <w:tc>
          <w:tcPr>
            <w:tcW w:w="3383" w:type="pct"/>
            <w:noWrap/>
          </w:tcPr>
          <w:p w14:paraId="1C27864E" w14:textId="77777777" w:rsidR="006E51BF" w:rsidRPr="00953469" w:rsidRDefault="006E51BF">
            <w:pPr>
              <w:pStyle w:val="ARfintabletextbold"/>
              <w:rPr>
                <w:lang w:eastAsia="en-AU"/>
              </w:rPr>
            </w:pPr>
            <w:r w:rsidRPr="00953469">
              <w:rPr>
                <w:lang w:eastAsia="en-AU"/>
              </w:rPr>
              <w:t>Balance as per cash flow statement</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tcPr>
          <w:p w14:paraId="33580E5E" w14:textId="77777777" w:rsidR="006E51BF" w:rsidRPr="00953469" w:rsidRDefault="006E51BF">
            <w:pPr>
              <w:pStyle w:val="ARfintabletextboldright"/>
              <w:rPr>
                <w:lang w:eastAsia="en-AU"/>
              </w:rPr>
            </w:pPr>
            <w:r w:rsidRPr="00953469">
              <w:rPr>
                <w:lang w:eastAsia="en-AU"/>
              </w:rPr>
              <w:t>994.2</w:t>
            </w:r>
          </w:p>
        </w:tc>
        <w:tc>
          <w:tcPr>
            <w:tcW w:w="809" w:type="pct"/>
            <w:noWrap/>
            <w:tcMar>
              <w:right w:w="0" w:type="nil"/>
            </w:tcMar>
          </w:tcPr>
          <w:p w14:paraId="542BF02F" w14:textId="77777777" w:rsidR="006E51BF" w:rsidRPr="00953469"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953469">
              <w:rPr>
                <w:color w:val="000000"/>
                <w:lang w:eastAsia="en-AU"/>
              </w:rPr>
              <w:t>1,312.2</w:t>
            </w:r>
          </w:p>
        </w:tc>
      </w:tr>
    </w:tbl>
    <w:p w14:paraId="7B89AB55" w14:textId="77777777" w:rsidR="006E51BF" w:rsidRPr="00953469" w:rsidRDefault="006E51BF">
      <w:pPr>
        <w:pStyle w:val="ARfintablenote"/>
        <w:rPr>
          <w:lang w:eastAsia="en-AU"/>
        </w:rPr>
      </w:pPr>
      <w:r w:rsidRPr="00953469">
        <w:rPr>
          <w:lang w:eastAsia="en-AU"/>
        </w:rPr>
        <w:t>Notes:</w:t>
      </w:r>
    </w:p>
    <w:p w14:paraId="6B7ED689" w14:textId="77777777" w:rsidR="006E51BF" w:rsidRPr="00953469" w:rsidRDefault="006E51BF" w:rsidP="006E51BF">
      <w:pPr>
        <w:pStyle w:val="ARfintablenoteroman"/>
        <w:numPr>
          <w:ilvl w:val="0"/>
          <w:numId w:val="70"/>
        </w:numPr>
      </w:pPr>
      <w:r w:rsidRPr="00953469">
        <w:t xml:space="preserve">Cash and short-term deposits include funds held by Homes Victoria in the Central Banking System as well as funds that have been committed to </w:t>
      </w:r>
      <w:proofErr w:type="gramStart"/>
      <w:r w:rsidRPr="00953469">
        <w:t>a number of</w:t>
      </w:r>
      <w:proofErr w:type="gramEnd"/>
      <w:r w:rsidRPr="00953469">
        <w:t xml:space="preserve"> significant projects and are expected to be expensed in 2026</w:t>
      </w:r>
      <w:r>
        <w:t>–</w:t>
      </w:r>
      <w:r w:rsidRPr="00953469">
        <w:t>27 (as disclosed in Note 7.5).</w:t>
      </w:r>
    </w:p>
    <w:p w14:paraId="7BF92CF1" w14:textId="77EB206A" w:rsidR="006E51BF" w:rsidRPr="00953469" w:rsidRDefault="006E51BF" w:rsidP="006E51BF">
      <w:pPr>
        <w:pStyle w:val="ARfintablenoteroman"/>
        <w:numPr>
          <w:ilvl w:val="0"/>
          <w:numId w:val="15"/>
        </w:numPr>
      </w:pPr>
      <w:r w:rsidRPr="00953469">
        <w:t>As of 30 June 2026, the department held restricted cash of $5.2 million (2025: $267.1 million) representing funds set aside and</w:t>
      </w:r>
      <w:r w:rsidR="00956B05">
        <w:t> </w:t>
      </w:r>
      <w:r w:rsidRPr="00953469">
        <w:t>unavailable for general operational use. The decreased balance reflected obligation settlement under its various services concession arrangements during 2025</w:t>
      </w:r>
      <w:r>
        <w:t>–</w:t>
      </w:r>
      <w:r w:rsidRPr="00953469">
        <w:t>26.</w:t>
      </w:r>
    </w:p>
    <w:p w14:paraId="213E1E67" w14:textId="77777777" w:rsidR="006E51BF" w:rsidRPr="00953469" w:rsidRDefault="006E51BF" w:rsidP="006E51BF">
      <w:pPr>
        <w:pStyle w:val="ARfintablenoteroman"/>
        <w:numPr>
          <w:ilvl w:val="0"/>
          <w:numId w:val="15"/>
        </w:numPr>
      </w:pPr>
      <w:r w:rsidRPr="00953469">
        <w:t>Please refer to Note 7.4.1 Trust account balances for further details.</w:t>
      </w:r>
    </w:p>
    <w:p w14:paraId="67210AD7" w14:textId="77777777" w:rsidR="006E51BF" w:rsidRDefault="006E51BF">
      <w:pPr>
        <w:pStyle w:val="ARfinbodyaftertableorfigure"/>
      </w:pPr>
      <w:r w:rsidRPr="00953469">
        <w:t>Due to the state’s investment policy and funding arrangements, the department does not hold a large cash reserve in its bank accounts. Cash received from generation of income is generally paid into the state’s bank account (‘public account’). Similarly, departmental expenditure, including in the form of cheques drawn for the payments to its suppliers and creditors, are made via the public account. The public account remits to the department the cash required upon presentation of cheques by the department’s suppliers or creditors.</w:t>
      </w:r>
    </w:p>
    <w:p w14:paraId="79A9C77F" w14:textId="77777777" w:rsidR="006E51BF" w:rsidRDefault="006E51BF">
      <w:pPr>
        <w:pStyle w:val="ARfinbody"/>
        <w:rPr>
          <w:lang w:eastAsia="en-AU"/>
        </w:rPr>
      </w:pPr>
      <w:r>
        <w:br w:type="page"/>
      </w:r>
    </w:p>
    <w:p w14:paraId="01575AD6" w14:textId="77777777" w:rsidR="006E51BF" w:rsidRPr="00953469" w:rsidRDefault="006E51BF" w:rsidP="00253546">
      <w:pPr>
        <w:pStyle w:val="Heading5"/>
        <w:rPr>
          <w:lang w:eastAsia="en-AU"/>
        </w:rPr>
      </w:pPr>
      <w:r w:rsidRPr="00953469">
        <w:rPr>
          <w:lang w:eastAsia="en-AU"/>
        </w:rPr>
        <w:t xml:space="preserve">7.3.1 </w:t>
      </w:r>
      <w:r>
        <w:rPr>
          <w:lang w:eastAsia="en-AU"/>
        </w:rPr>
        <w:tab/>
      </w:r>
      <w:r w:rsidRPr="00953469">
        <w:rPr>
          <w:lang w:eastAsia="en-AU"/>
        </w:rPr>
        <w:t>Reconciliation of net result for the period to net cash flow from operating activities</w:t>
      </w:r>
    </w:p>
    <w:tbl>
      <w:tblPr>
        <w:tblStyle w:val="ARtable1"/>
        <w:tblW w:w="5000" w:type="pct"/>
        <w:tblLook w:val="00E0" w:firstRow="1" w:lastRow="1" w:firstColumn="1" w:lastColumn="0" w:noHBand="0" w:noVBand="0"/>
      </w:tblPr>
      <w:tblGrid>
        <w:gridCol w:w="6514"/>
        <w:gridCol w:w="1556"/>
        <w:gridCol w:w="1558"/>
      </w:tblGrid>
      <w:tr w:rsidR="006E51BF" w:rsidRPr="00953469" w14:paraId="2F2A7A2A" w14:textId="77777777" w:rsidTr="00304BA9">
        <w:trPr>
          <w:cnfStyle w:val="100000000000" w:firstRow="1" w:lastRow="0" w:firstColumn="0" w:lastColumn="0" w:oddVBand="0" w:evenVBand="0" w:oddHBand="0" w:evenHBand="0" w:firstRowFirstColumn="0" w:firstRowLastColumn="0" w:lastRowFirstColumn="0" w:lastRowLastColumn="0"/>
          <w:trHeight w:val="496"/>
          <w:tblHeader/>
        </w:trPr>
        <w:tc>
          <w:tcPr>
            <w:tcW w:w="3383" w:type="pct"/>
            <w:noWrap/>
          </w:tcPr>
          <w:p w14:paraId="0F44756C" w14:textId="77777777" w:rsidR="006E51BF" w:rsidRPr="00953469" w:rsidRDefault="006E51BF">
            <w:pPr>
              <w:spacing w:after="0" w:line="240" w:lineRule="auto"/>
              <w:jc w:val="right"/>
              <w:rPr>
                <w:rFonts w:ascii="Verdana" w:hAnsi="Verdana" w:cs="Arial"/>
                <w:b/>
                <w:bCs/>
                <w:color w:val="000000"/>
                <w:sz w:val="20"/>
                <w:lang w:eastAsia="en-AU"/>
              </w:rPr>
            </w:pP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5059741F" w14:textId="77777777" w:rsidR="006E51BF" w:rsidRPr="00953469" w:rsidRDefault="006E51BF">
            <w:pPr>
              <w:pStyle w:val="ARfintablecolheadright"/>
              <w:rPr>
                <w:lang w:eastAsia="en-AU"/>
              </w:rPr>
            </w:pPr>
            <w:r w:rsidRPr="00953469">
              <w:rPr>
                <w:lang w:eastAsia="en-AU"/>
              </w:rPr>
              <w:t>2026</w:t>
            </w:r>
          </w:p>
          <w:p w14:paraId="12C89DF9" w14:textId="77777777" w:rsidR="006E51BF" w:rsidRPr="00953469" w:rsidRDefault="006E51BF">
            <w:pPr>
              <w:pStyle w:val="ARfintablecolheadright"/>
              <w:rPr>
                <w:lang w:eastAsia="en-AU"/>
              </w:rPr>
            </w:pPr>
            <w:r w:rsidRPr="00953469">
              <w:rPr>
                <w:lang w:eastAsia="en-AU"/>
              </w:rPr>
              <w:t>$M</w:t>
            </w:r>
          </w:p>
        </w:tc>
        <w:tc>
          <w:tcPr>
            <w:tcW w:w="809" w:type="pct"/>
            <w:noWrap/>
            <w:tcMar>
              <w:right w:w="0" w:type="nil"/>
            </w:tcMar>
            <w:hideMark/>
          </w:tcPr>
          <w:p w14:paraId="35610704" w14:textId="77777777" w:rsidR="006E51BF" w:rsidRPr="00953469"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953469">
              <w:rPr>
                <w:lang w:eastAsia="en-AU"/>
              </w:rPr>
              <w:t>2025</w:t>
            </w:r>
          </w:p>
          <w:p w14:paraId="6656E8B6" w14:textId="77777777" w:rsidR="006E51BF" w:rsidRPr="00953469"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953469">
              <w:rPr>
                <w:lang w:eastAsia="en-AU"/>
              </w:rPr>
              <w:t>$M</w:t>
            </w:r>
          </w:p>
        </w:tc>
      </w:tr>
      <w:tr w:rsidR="006E51BF" w:rsidRPr="00953469" w14:paraId="6D932F61"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hideMark/>
          </w:tcPr>
          <w:p w14:paraId="0B9D7441" w14:textId="77777777" w:rsidR="006E51BF" w:rsidRPr="00953469" w:rsidRDefault="006E51BF">
            <w:pPr>
              <w:pStyle w:val="ARfintabletextbold"/>
              <w:rPr>
                <w:lang w:eastAsia="en-AU"/>
              </w:rPr>
            </w:pPr>
            <w:r w:rsidRPr="00953469">
              <w:rPr>
                <w:lang w:eastAsia="en-AU"/>
              </w:rPr>
              <w:t xml:space="preserve">Net result for the period </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328190AB" w14:textId="77777777" w:rsidR="006E51BF" w:rsidRPr="00953469" w:rsidRDefault="006E51BF">
            <w:pPr>
              <w:pStyle w:val="ARfintabletextboldright"/>
              <w:rPr>
                <w:lang w:eastAsia="en-AU"/>
              </w:rPr>
            </w:pPr>
            <w:r w:rsidRPr="00953469">
              <w:rPr>
                <w:lang w:eastAsia="en-AU"/>
              </w:rPr>
              <w:t>(462.1)</w:t>
            </w:r>
          </w:p>
        </w:tc>
        <w:tc>
          <w:tcPr>
            <w:tcW w:w="809" w:type="pct"/>
            <w:tcBorders>
              <w:top w:val="single" w:sz="4" w:space="0" w:color="000000" w:themeColor="text1"/>
              <w:bottom w:val="single" w:sz="4" w:space="0" w:color="000000" w:themeColor="text1"/>
            </w:tcBorders>
            <w:noWrap/>
            <w:tcMar>
              <w:right w:w="0" w:type="nil"/>
            </w:tcMar>
            <w:hideMark/>
          </w:tcPr>
          <w:p w14:paraId="2F97CCA9" w14:textId="77777777" w:rsidR="006E51BF" w:rsidRPr="00953469" w:rsidRDefault="006E51BF">
            <w:pPr>
              <w:pStyle w:val="ARfintabletextboldright"/>
              <w:cnfStyle w:val="000000100000" w:firstRow="0" w:lastRow="0" w:firstColumn="0" w:lastColumn="0" w:oddVBand="0" w:evenVBand="0" w:oddHBand="1" w:evenHBand="0" w:firstRowFirstColumn="0" w:firstRowLastColumn="0" w:lastRowFirstColumn="0" w:lastRowLastColumn="0"/>
              <w:rPr>
                <w:color w:val="000000"/>
                <w:lang w:eastAsia="en-AU"/>
              </w:rPr>
            </w:pPr>
            <w:r w:rsidRPr="00953469">
              <w:rPr>
                <w:color w:val="000000"/>
                <w:lang w:eastAsia="en-AU"/>
              </w:rPr>
              <w:t>(522.2)</w:t>
            </w:r>
          </w:p>
        </w:tc>
      </w:tr>
      <w:tr w:rsidR="006E51BF" w:rsidRPr="00953469" w14:paraId="3D0E6845"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tcBorders>
            <w:noWrap/>
            <w:hideMark/>
          </w:tcPr>
          <w:p w14:paraId="428DA116" w14:textId="77777777" w:rsidR="006E51BF" w:rsidRPr="00953469" w:rsidRDefault="006E51BF">
            <w:pPr>
              <w:pStyle w:val="ARfintabletextboldcoloured"/>
              <w:rPr>
                <w:lang w:eastAsia="en-AU"/>
              </w:rPr>
            </w:pPr>
            <w:r w:rsidRPr="00953469">
              <w:rPr>
                <w:lang w:eastAsia="en-AU"/>
              </w:rPr>
              <w:t xml:space="preserve">Non-cash movements </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tcMar>
              <w:right w:w="0" w:type="nil"/>
            </w:tcMar>
            <w:hideMark/>
          </w:tcPr>
          <w:p w14:paraId="4E69A4C7" w14:textId="77777777" w:rsidR="006E51BF" w:rsidRPr="00953469" w:rsidRDefault="006E51BF">
            <w:pPr>
              <w:pStyle w:val="ARfintabletextright"/>
              <w:rPr>
                <w:color w:val="000000"/>
                <w:lang w:eastAsia="en-AU"/>
              </w:rPr>
            </w:pPr>
          </w:p>
        </w:tc>
        <w:tc>
          <w:tcPr>
            <w:tcW w:w="809" w:type="pct"/>
            <w:tcBorders>
              <w:top w:val="single" w:sz="4" w:space="0" w:color="000000" w:themeColor="text1"/>
            </w:tcBorders>
            <w:noWrap/>
            <w:tcMar>
              <w:right w:w="0" w:type="nil"/>
            </w:tcMar>
            <w:hideMark/>
          </w:tcPr>
          <w:p w14:paraId="45E353B0" w14:textId="77777777" w:rsidR="006E51BF" w:rsidRPr="00953469"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p>
        </w:tc>
      </w:tr>
      <w:tr w:rsidR="006E51BF" w:rsidRPr="00953469" w14:paraId="7D3862EE"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6CC2F708" w14:textId="77777777" w:rsidR="006E51BF" w:rsidRPr="00953469" w:rsidRDefault="006E51BF">
            <w:pPr>
              <w:pStyle w:val="ARfintabletext"/>
              <w:rPr>
                <w:lang w:eastAsia="en-AU"/>
              </w:rPr>
            </w:pPr>
            <w:r w:rsidRPr="00953469">
              <w:rPr>
                <w:lang w:eastAsia="en-AU"/>
              </w:rPr>
              <w:t xml:space="preserve">(Gain)/loss on sale of non-financial assets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E8BD131" w14:textId="77777777" w:rsidR="006E51BF" w:rsidRPr="00953469" w:rsidRDefault="006E51BF">
            <w:pPr>
              <w:pStyle w:val="ARfintabletextright"/>
              <w:rPr>
                <w:color w:val="000000"/>
                <w:lang w:eastAsia="en-AU"/>
              </w:rPr>
            </w:pPr>
            <w:r w:rsidRPr="00953469">
              <w:rPr>
                <w:color w:val="000000"/>
                <w:lang w:eastAsia="en-AU"/>
              </w:rPr>
              <w:t>3.6</w:t>
            </w:r>
          </w:p>
        </w:tc>
        <w:tc>
          <w:tcPr>
            <w:tcW w:w="809" w:type="pct"/>
            <w:noWrap/>
            <w:tcMar>
              <w:right w:w="0" w:type="nil"/>
            </w:tcMar>
            <w:hideMark/>
          </w:tcPr>
          <w:p w14:paraId="24E4EBD7" w14:textId="77777777" w:rsidR="006E51BF" w:rsidRPr="00953469" w:rsidRDefault="006E51BF">
            <w:pPr>
              <w:pStyle w:val="ARfintabletextright"/>
              <w:cnfStyle w:val="000000100000" w:firstRow="0" w:lastRow="0" w:firstColumn="0" w:lastColumn="0" w:oddVBand="0" w:evenVBand="0" w:oddHBand="1" w:evenHBand="0" w:firstRowFirstColumn="0" w:firstRowLastColumn="0" w:lastRowFirstColumn="0" w:lastRowLastColumn="0"/>
              <w:rPr>
                <w:color w:val="000000"/>
                <w:lang w:eastAsia="en-AU"/>
              </w:rPr>
            </w:pPr>
            <w:r w:rsidRPr="00953469">
              <w:rPr>
                <w:color w:val="000000"/>
                <w:lang w:eastAsia="en-AU"/>
              </w:rPr>
              <w:t>6.5</w:t>
            </w:r>
          </w:p>
        </w:tc>
      </w:tr>
      <w:tr w:rsidR="006E51BF" w:rsidRPr="00953469" w14:paraId="6EE5DA06"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77383DC4" w14:textId="77777777" w:rsidR="006E51BF" w:rsidRPr="00953469" w:rsidRDefault="006E51BF">
            <w:pPr>
              <w:pStyle w:val="ARfintabletext"/>
              <w:rPr>
                <w:lang w:eastAsia="en-AU"/>
              </w:rPr>
            </w:pPr>
            <w:r w:rsidRPr="00953469">
              <w:rPr>
                <w:lang w:eastAsia="en-AU"/>
              </w:rPr>
              <w:t xml:space="preserve">Depreciation and amortisation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43A68B67" w14:textId="77777777" w:rsidR="006E51BF" w:rsidRPr="00953469" w:rsidRDefault="006E51BF">
            <w:pPr>
              <w:pStyle w:val="ARfintabletextright"/>
              <w:rPr>
                <w:color w:val="000000"/>
                <w:lang w:eastAsia="en-AU"/>
              </w:rPr>
            </w:pPr>
            <w:r w:rsidRPr="00953469">
              <w:rPr>
                <w:color w:val="000000"/>
                <w:lang w:eastAsia="en-AU"/>
              </w:rPr>
              <w:t>646.6</w:t>
            </w:r>
          </w:p>
        </w:tc>
        <w:tc>
          <w:tcPr>
            <w:tcW w:w="809" w:type="pct"/>
            <w:noWrap/>
            <w:tcMar>
              <w:right w:w="0" w:type="nil"/>
            </w:tcMar>
            <w:hideMark/>
          </w:tcPr>
          <w:p w14:paraId="673ECA5A" w14:textId="77777777" w:rsidR="006E51BF" w:rsidRPr="00953469"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r w:rsidRPr="00953469">
              <w:rPr>
                <w:color w:val="000000"/>
                <w:lang w:eastAsia="en-AU"/>
              </w:rPr>
              <w:t>535.4</w:t>
            </w:r>
          </w:p>
        </w:tc>
      </w:tr>
      <w:tr w:rsidR="006E51BF" w:rsidRPr="00953469" w14:paraId="45DDA461"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tcPr>
          <w:p w14:paraId="02EA17A3" w14:textId="77777777" w:rsidR="006E51BF" w:rsidRPr="00953469" w:rsidRDefault="006E51BF">
            <w:pPr>
              <w:pStyle w:val="ARfintabletext"/>
              <w:rPr>
                <w:lang w:eastAsia="en-AU"/>
              </w:rPr>
            </w:pPr>
            <w:r w:rsidRPr="00953469">
              <w:rPr>
                <w:lang w:eastAsia="en-AU"/>
              </w:rPr>
              <w:t>Resources (received)/provided free of charge</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tcPr>
          <w:p w14:paraId="69997AA4" w14:textId="77777777" w:rsidR="006E51BF" w:rsidRPr="00953469" w:rsidRDefault="006E51BF">
            <w:pPr>
              <w:pStyle w:val="ARfintabletextright"/>
              <w:rPr>
                <w:color w:val="000000"/>
                <w:lang w:eastAsia="en-AU"/>
              </w:rPr>
            </w:pPr>
            <w:r w:rsidRPr="00953469">
              <w:rPr>
                <w:color w:val="000000"/>
                <w:lang w:eastAsia="en-AU"/>
              </w:rPr>
              <w:t>0.1</w:t>
            </w:r>
          </w:p>
        </w:tc>
        <w:tc>
          <w:tcPr>
            <w:tcW w:w="809" w:type="pct"/>
            <w:noWrap/>
            <w:tcMar>
              <w:right w:w="0" w:type="nil"/>
            </w:tcMar>
          </w:tcPr>
          <w:p w14:paraId="4002C8C9" w14:textId="77777777" w:rsidR="006E51BF" w:rsidRPr="00953469" w:rsidRDefault="006E51BF">
            <w:pPr>
              <w:pStyle w:val="ARfintabletextright"/>
              <w:cnfStyle w:val="000000100000" w:firstRow="0" w:lastRow="0" w:firstColumn="0" w:lastColumn="0" w:oddVBand="0" w:evenVBand="0" w:oddHBand="1" w:evenHBand="0" w:firstRowFirstColumn="0" w:firstRowLastColumn="0" w:lastRowFirstColumn="0" w:lastRowLastColumn="0"/>
              <w:rPr>
                <w:color w:val="000000"/>
                <w:lang w:eastAsia="en-AU"/>
              </w:rPr>
            </w:pPr>
            <w:r w:rsidRPr="00953469">
              <w:rPr>
                <w:color w:val="000000"/>
                <w:lang w:eastAsia="en-AU"/>
              </w:rPr>
              <w:t>2.6</w:t>
            </w:r>
          </w:p>
        </w:tc>
      </w:tr>
      <w:tr w:rsidR="006E51BF" w:rsidRPr="00953469" w14:paraId="3704B0A7"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noWrap/>
          </w:tcPr>
          <w:p w14:paraId="62F80383" w14:textId="77777777" w:rsidR="006E51BF" w:rsidRPr="00953469" w:rsidRDefault="006E51BF">
            <w:pPr>
              <w:pStyle w:val="ARfintabletextboldcoloured"/>
              <w:rPr>
                <w:lang w:eastAsia="en-AU"/>
              </w:rPr>
            </w:pPr>
            <w:r w:rsidRPr="00953469">
              <w:rPr>
                <w:lang w:eastAsia="en-AU"/>
              </w:rPr>
              <w:t>Movements in assets and liabilities</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tcPr>
          <w:p w14:paraId="5FABB678" w14:textId="77777777" w:rsidR="006E51BF" w:rsidRPr="00953469" w:rsidRDefault="006E51BF">
            <w:pPr>
              <w:pStyle w:val="ARfintabletextright"/>
              <w:rPr>
                <w:color w:val="000000"/>
                <w:lang w:eastAsia="en-AU"/>
              </w:rPr>
            </w:pPr>
          </w:p>
        </w:tc>
        <w:tc>
          <w:tcPr>
            <w:tcW w:w="809" w:type="pct"/>
            <w:noWrap/>
            <w:tcMar>
              <w:right w:w="0" w:type="nil"/>
            </w:tcMar>
          </w:tcPr>
          <w:p w14:paraId="5983F96D" w14:textId="77777777" w:rsidR="006E51BF" w:rsidRPr="00953469"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p>
        </w:tc>
      </w:tr>
      <w:tr w:rsidR="006E51BF" w:rsidRPr="00953469" w14:paraId="67B0BF48"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49F9B947" w14:textId="77777777" w:rsidR="006E51BF" w:rsidRPr="00953469" w:rsidRDefault="006E51BF">
            <w:pPr>
              <w:pStyle w:val="ARfintabletextbold"/>
              <w:rPr>
                <w:lang w:eastAsia="en-AU"/>
              </w:rPr>
            </w:pPr>
            <w:r w:rsidRPr="00953469">
              <w:rPr>
                <w:lang w:eastAsia="en-AU"/>
              </w:rPr>
              <w:t xml:space="preserve">Financial assets </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0C45C4FE" w14:textId="77777777" w:rsidR="006E51BF" w:rsidRPr="00953469" w:rsidRDefault="006E51BF">
            <w:pPr>
              <w:pStyle w:val="ARfintabletextright"/>
              <w:rPr>
                <w:color w:val="000000"/>
                <w:lang w:eastAsia="en-AU"/>
              </w:rPr>
            </w:pPr>
          </w:p>
        </w:tc>
        <w:tc>
          <w:tcPr>
            <w:tcW w:w="809" w:type="pct"/>
            <w:noWrap/>
            <w:tcMar>
              <w:right w:w="0" w:type="nil"/>
            </w:tcMar>
            <w:hideMark/>
          </w:tcPr>
          <w:p w14:paraId="6BA302D6" w14:textId="77777777" w:rsidR="006E51BF" w:rsidRPr="00953469" w:rsidRDefault="006E51BF">
            <w:pPr>
              <w:pStyle w:val="ARfintabletextright"/>
              <w:cnfStyle w:val="000000100000" w:firstRow="0" w:lastRow="0" w:firstColumn="0" w:lastColumn="0" w:oddVBand="0" w:evenVBand="0" w:oddHBand="1" w:evenHBand="0" w:firstRowFirstColumn="0" w:firstRowLastColumn="0" w:lastRowFirstColumn="0" w:lastRowLastColumn="0"/>
              <w:rPr>
                <w:color w:val="000000"/>
                <w:lang w:eastAsia="en-AU"/>
              </w:rPr>
            </w:pPr>
          </w:p>
        </w:tc>
      </w:tr>
      <w:tr w:rsidR="006E51BF" w:rsidRPr="00953469" w14:paraId="3763B751"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02A70A99" w14:textId="77777777" w:rsidR="006E51BF" w:rsidRPr="00953469" w:rsidRDefault="006E51BF">
            <w:pPr>
              <w:pStyle w:val="ARfintabletext"/>
              <w:rPr>
                <w:lang w:eastAsia="en-AU"/>
              </w:rPr>
            </w:pPr>
            <w:r w:rsidRPr="00953469">
              <w:rPr>
                <w:lang w:eastAsia="en-AU"/>
              </w:rPr>
              <w:t xml:space="preserve">(Increase)/decrease in receivables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5D4E3019" w14:textId="77777777" w:rsidR="006E51BF" w:rsidRPr="00953469" w:rsidRDefault="006E51BF">
            <w:pPr>
              <w:pStyle w:val="ARfintabletextright"/>
              <w:rPr>
                <w:color w:val="000000"/>
                <w:lang w:eastAsia="en-AU"/>
              </w:rPr>
            </w:pPr>
            <w:r w:rsidRPr="00953469">
              <w:rPr>
                <w:color w:val="000000"/>
                <w:lang w:eastAsia="en-AU"/>
              </w:rPr>
              <w:t>(209.2)</w:t>
            </w:r>
          </w:p>
        </w:tc>
        <w:tc>
          <w:tcPr>
            <w:tcW w:w="809" w:type="pct"/>
            <w:noWrap/>
            <w:tcMar>
              <w:right w:w="0" w:type="nil"/>
            </w:tcMar>
            <w:hideMark/>
          </w:tcPr>
          <w:p w14:paraId="1B9828D8" w14:textId="77777777" w:rsidR="006E51BF" w:rsidRPr="00953469"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r w:rsidRPr="00953469">
              <w:rPr>
                <w:color w:val="000000"/>
                <w:lang w:eastAsia="en-AU"/>
              </w:rPr>
              <w:t>86.4</w:t>
            </w:r>
          </w:p>
        </w:tc>
      </w:tr>
      <w:tr w:rsidR="006E51BF" w:rsidRPr="00953469" w14:paraId="791F23E9"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077C77E5" w14:textId="77777777" w:rsidR="006E51BF" w:rsidRPr="00953469" w:rsidRDefault="006E51BF">
            <w:pPr>
              <w:pStyle w:val="ARfintabletext"/>
              <w:rPr>
                <w:lang w:eastAsia="en-AU"/>
              </w:rPr>
            </w:pPr>
            <w:r w:rsidRPr="00953469">
              <w:rPr>
                <w:lang w:eastAsia="en-AU"/>
              </w:rPr>
              <w:t xml:space="preserve">(Increase)/decrease in prepayments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4D103B05" w14:textId="77777777" w:rsidR="006E51BF" w:rsidRPr="00953469" w:rsidRDefault="006E51BF">
            <w:pPr>
              <w:pStyle w:val="ARfintabletextright"/>
              <w:rPr>
                <w:color w:val="000000"/>
                <w:lang w:eastAsia="en-AU"/>
              </w:rPr>
            </w:pPr>
            <w:r>
              <w:rPr>
                <w:color w:val="000000"/>
                <w:lang w:eastAsia="en-AU"/>
              </w:rPr>
              <w:t>–</w:t>
            </w:r>
          </w:p>
        </w:tc>
        <w:tc>
          <w:tcPr>
            <w:tcW w:w="809" w:type="pct"/>
            <w:noWrap/>
            <w:tcMar>
              <w:right w:w="0" w:type="nil"/>
            </w:tcMar>
            <w:hideMark/>
          </w:tcPr>
          <w:p w14:paraId="02B51CD1" w14:textId="77777777" w:rsidR="006E51BF" w:rsidRPr="00953469" w:rsidRDefault="006E51BF">
            <w:pPr>
              <w:pStyle w:val="ARfintabletextright"/>
              <w:cnfStyle w:val="000000100000" w:firstRow="0" w:lastRow="0" w:firstColumn="0" w:lastColumn="0" w:oddVBand="0" w:evenVBand="0" w:oddHBand="1" w:evenHBand="0" w:firstRowFirstColumn="0" w:firstRowLastColumn="0" w:lastRowFirstColumn="0" w:lastRowLastColumn="0"/>
              <w:rPr>
                <w:color w:val="000000"/>
                <w:lang w:eastAsia="en-AU"/>
              </w:rPr>
            </w:pPr>
            <w:r w:rsidRPr="00953469">
              <w:rPr>
                <w:color w:val="000000"/>
                <w:lang w:eastAsia="en-AU"/>
              </w:rPr>
              <w:t>12.9</w:t>
            </w:r>
          </w:p>
        </w:tc>
      </w:tr>
      <w:tr w:rsidR="006E51BF" w:rsidRPr="00953469" w14:paraId="1BAC0CB2"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3AB1A55F" w14:textId="77777777" w:rsidR="006E51BF" w:rsidRPr="00953469" w:rsidRDefault="006E51BF">
            <w:pPr>
              <w:pStyle w:val="ARfintabletextbold"/>
              <w:rPr>
                <w:lang w:eastAsia="en-AU"/>
              </w:rPr>
            </w:pPr>
            <w:r w:rsidRPr="00953469">
              <w:rPr>
                <w:lang w:eastAsia="en-AU"/>
              </w:rPr>
              <w:t xml:space="preserve">Financial liabilities </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4C220481" w14:textId="77777777" w:rsidR="006E51BF" w:rsidRPr="00953469" w:rsidRDefault="006E51BF">
            <w:pPr>
              <w:pStyle w:val="ARfintabletextright"/>
              <w:rPr>
                <w:color w:val="000000"/>
                <w:lang w:eastAsia="en-AU"/>
              </w:rPr>
            </w:pPr>
          </w:p>
        </w:tc>
        <w:tc>
          <w:tcPr>
            <w:tcW w:w="809" w:type="pct"/>
            <w:noWrap/>
            <w:tcMar>
              <w:right w:w="0" w:type="nil"/>
            </w:tcMar>
            <w:hideMark/>
          </w:tcPr>
          <w:p w14:paraId="50139E48" w14:textId="77777777" w:rsidR="006E51BF" w:rsidRPr="00953469"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p>
        </w:tc>
      </w:tr>
      <w:tr w:rsidR="006E51BF" w:rsidRPr="00953469" w14:paraId="05CC5A2B"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326FC8A7" w14:textId="77777777" w:rsidR="006E51BF" w:rsidRPr="00953469" w:rsidRDefault="006E51BF">
            <w:pPr>
              <w:pStyle w:val="ARfintabletext"/>
              <w:rPr>
                <w:lang w:eastAsia="en-AU"/>
              </w:rPr>
            </w:pPr>
            <w:r w:rsidRPr="00953469">
              <w:rPr>
                <w:lang w:eastAsia="en-AU"/>
              </w:rPr>
              <w:t xml:space="preserve">Increase/(decrease) in payables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5718D28" w14:textId="77777777" w:rsidR="006E51BF" w:rsidRPr="00953469" w:rsidRDefault="006E51BF">
            <w:pPr>
              <w:pStyle w:val="ARfintabletextright"/>
              <w:rPr>
                <w:color w:val="000000"/>
                <w:lang w:eastAsia="en-AU"/>
              </w:rPr>
            </w:pPr>
            <w:r w:rsidRPr="00953469">
              <w:rPr>
                <w:color w:val="000000"/>
                <w:lang w:eastAsia="en-AU"/>
              </w:rPr>
              <w:t>36.1</w:t>
            </w:r>
          </w:p>
        </w:tc>
        <w:tc>
          <w:tcPr>
            <w:tcW w:w="809" w:type="pct"/>
            <w:noWrap/>
            <w:tcMar>
              <w:right w:w="0" w:type="nil"/>
            </w:tcMar>
            <w:hideMark/>
          </w:tcPr>
          <w:p w14:paraId="7040ECE1" w14:textId="77777777" w:rsidR="006E51BF" w:rsidRPr="00953469" w:rsidRDefault="006E51BF">
            <w:pPr>
              <w:pStyle w:val="ARfintabletextright"/>
              <w:cnfStyle w:val="000000100000" w:firstRow="0" w:lastRow="0" w:firstColumn="0" w:lastColumn="0" w:oddVBand="0" w:evenVBand="0" w:oddHBand="1" w:evenHBand="0" w:firstRowFirstColumn="0" w:firstRowLastColumn="0" w:lastRowFirstColumn="0" w:lastRowLastColumn="0"/>
              <w:rPr>
                <w:color w:val="000000"/>
                <w:lang w:eastAsia="en-AU"/>
              </w:rPr>
            </w:pPr>
            <w:r w:rsidRPr="00953469">
              <w:rPr>
                <w:color w:val="000000"/>
                <w:lang w:eastAsia="en-AU"/>
              </w:rPr>
              <w:t>(21.1)</w:t>
            </w:r>
          </w:p>
        </w:tc>
      </w:tr>
      <w:tr w:rsidR="006E51BF" w:rsidRPr="00953469" w14:paraId="48AFD6B8"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hideMark/>
          </w:tcPr>
          <w:p w14:paraId="0BABE2CA" w14:textId="77777777" w:rsidR="006E51BF" w:rsidRPr="00953469" w:rsidRDefault="006E51BF">
            <w:pPr>
              <w:pStyle w:val="ARfintabletext"/>
              <w:rPr>
                <w:lang w:eastAsia="en-AU"/>
              </w:rPr>
            </w:pPr>
            <w:r w:rsidRPr="00953469">
              <w:rPr>
                <w:lang w:eastAsia="en-AU"/>
              </w:rPr>
              <w:t xml:space="preserve">Increase/(decrease) in employee related provisions and other provisions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5C281794" w14:textId="77777777" w:rsidR="006E51BF" w:rsidRPr="00953469" w:rsidRDefault="006E51BF">
            <w:pPr>
              <w:pStyle w:val="ARfintabletextright"/>
              <w:rPr>
                <w:color w:val="000000"/>
                <w:lang w:eastAsia="en-AU"/>
              </w:rPr>
            </w:pPr>
            <w:r w:rsidRPr="00953469">
              <w:rPr>
                <w:color w:val="000000"/>
                <w:lang w:eastAsia="en-AU"/>
              </w:rPr>
              <w:t>16.0</w:t>
            </w:r>
          </w:p>
        </w:tc>
        <w:tc>
          <w:tcPr>
            <w:tcW w:w="809" w:type="pct"/>
            <w:noWrap/>
            <w:tcMar>
              <w:right w:w="0" w:type="nil"/>
            </w:tcMar>
            <w:hideMark/>
          </w:tcPr>
          <w:p w14:paraId="091D6B73" w14:textId="77777777" w:rsidR="006E51BF" w:rsidRPr="00953469"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r w:rsidRPr="00953469">
              <w:rPr>
                <w:color w:val="000000"/>
                <w:lang w:eastAsia="en-AU"/>
              </w:rPr>
              <w:t>233.1</w:t>
            </w:r>
          </w:p>
        </w:tc>
      </w:tr>
      <w:tr w:rsidR="006E51BF" w:rsidRPr="00953469" w14:paraId="2176E977"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3383" w:type="pct"/>
          </w:tcPr>
          <w:p w14:paraId="1CCD36AC" w14:textId="77777777" w:rsidR="006E51BF" w:rsidRPr="00953469" w:rsidRDefault="006E51BF">
            <w:pPr>
              <w:pStyle w:val="ARfintabletextbold"/>
              <w:rPr>
                <w:lang w:eastAsia="en-AU"/>
              </w:rPr>
            </w:pPr>
            <w:r w:rsidRPr="00953469">
              <w:rPr>
                <w:lang w:eastAsia="en-AU"/>
              </w:rPr>
              <w:t>Net cash flows from</w:t>
            </w:r>
            <w:proofErr w:type="gramStart"/>
            <w:r w:rsidRPr="00953469">
              <w:rPr>
                <w:lang w:eastAsia="en-AU"/>
              </w:rPr>
              <w:t>/(</w:t>
            </w:r>
            <w:proofErr w:type="gramEnd"/>
            <w:r w:rsidRPr="00953469">
              <w:rPr>
                <w:lang w:eastAsia="en-AU"/>
              </w:rPr>
              <w:t>used in) operating activities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tcPr>
          <w:p w14:paraId="07B7388F" w14:textId="77777777" w:rsidR="006E51BF" w:rsidRPr="00953469" w:rsidRDefault="006E51BF">
            <w:pPr>
              <w:pStyle w:val="ARfintabletextboldright"/>
              <w:rPr>
                <w:color w:val="000000"/>
                <w:lang w:eastAsia="en-AU"/>
              </w:rPr>
            </w:pPr>
            <w:r w:rsidRPr="00953469">
              <w:rPr>
                <w:lang w:eastAsia="en-AU"/>
              </w:rPr>
              <w:t>31.1</w:t>
            </w:r>
          </w:p>
        </w:tc>
        <w:tc>
          <w:tcPr>
            <w:tcW w:w="809" w:type="pct"/>
            <w:noWrap/>
            <w:tcMar>
              <w:right w:w="0" w:type="nil"/>
            </w:tcMar>
          </w:tcPr>
          <w:p w14:paraId="1B0171C9" w14:textId="77777777" w:rsidR="006E51BF" w:rsidRPr="00953469" w:rsidRDefault="006E51BF">
            <w:pPr>
              <w:pStyle w:val="ARfintabletextboldright"/>
              <w:cnfStyle w:val="010000000000" w:firstRow="0" w:lastRow="1" w:firstColumn="0" w:lastColumn="0" w:oddVBand="0" w:evenVBand="0" w:oddHBand="0" w:evenHBand="0" w:firstRowFirstColumn="0" w:firstRowLastColumn="0" w:lastRowFirstColumn="0" w:lastRowLastColumn="0"/>
              <w:rPr>
                <w:color w:val="000000"/>
                <w:lang w:eastAsia="en-AU"/>
              </w:rPr>
            </w:pPr>
            <w:r w:rsidRPr="00953469">
              <w:rPr>
                <w:lang w:eastAsia="en-AU"/>
              </w:rPr>
              <w:t>333.7</w:t>
            </w:r>
          </w:p>
        </w:tc>
      </w:tr>
    </w:tbl>
    <w:p w14:paraId="69E72B9B" w14:textId="77777777" w:rsidR="006E51BF" w:rsidRDefault="006E51BF">
      <w:pPr>
        <w:pStyle w:val="ARfinbody"/>
        <w:rPr>
          <w:lang w:eastAsia="en-AU"/>
        </w:rPr>
        <w:sectPr w:rsidR="006E51BF" w:rsidSect="00E7077C">
          <w:pgSz w:w="11906" w:h="16838" w:code="9"/>
          <w:pgMar w:top="1588" w:right="1134" w:bottom="851" w:left="1134" w:header="680" w:footer="567" w:gutter="0"/>
          <w:cols w:space="340"/>
          <w:docGrid w:linePitch="360"/>
        </w:sectPr>
      </w:pPr>
    </w:p>
    <w:p w14:paraId="6480CE0C" w14:textId="77777777" w:rsidR="006E51BF" w:rsidRPr="00011F05" w:rsidRDefault="006E51BF" w:rsidP="009C5E39">
      <w:pPr>
        <w:pStyle w:val="Heading4"/>
        <w:spacing w:before="0"/>
        <w:rPr>
          <w:lang w:eastAsia="en-AU"/>
        </w:rPr>
      </w:pPr>
      <w:r w:rsidRPr="00011F05">
        <w:rPr>
          <w:lang w:eastAsia="en-AU"/>
        </w:rPr>
        <w:t xml:space="preserve">7.4 </w:t>
      </w:r>
      <w:r>
        <w:rPr>
          <w:lang w:eastAsia="en-AU"/>
        </w:rPr>
        <w:tab/>
      </w:r>
      <w:r w:rsidRPr="00011F05">
        <w:rPr>
          <w:lang w:eastAsia="en-AU"/>
        </w:rPr>
        <w:t>Trust account</w:t>
      </w:r>
    </w:p>
    <w:p w14:paraId="3C6D7C0D" w14:textId="77777777" w:rsidR="006E51BF" w:rsidRPr="00011F05" w:rsidRDefault="006E51BF" w:rsidP="00170313">
      <w:pPr>
        <w:pStyle w:val="Heading5"/>
        <w:spacing w:before="0"/>
        <w:rPr>
          <w:lang w:eastAsia="en-AU"/>
        </w:rPr>
      </w:pPr>
      <w:r w:rsidRPr="00011F05">
        <w:rPr>
          <w:lang w:eastAsia="en-AU"/>
        </w:rPr>
        <w:t xml:space="preserve">7.4.1 </w:t>
      </w:r>
      <w:r>
        <w:rPr>
          <w:lang w:eastAsia="en-AU"/>
        </w:rPr>
        <w:tab/>
      </w:r>
      <w:r w:rsidRPr="00011F05">
        <w:rPr>
          <w:lang w:eastAsia="en-AU"/>
        </w:rPr>
        <w:t>Trust account balances</w:t>
      </w:r>
    </w:p>
    <w:p w14:paraId="4F3CC275" w14:textId="77777777" w:rsidR="006E51BF" w:rsidRDefault="006E51BF">
      <w:pPr>
        <w:pStyle w:val="ARfinbody"/>
        <w:rPr>
          <w:lang w:eastAsia="en-AU"/>
        </w:rPr>
      </w:pPr>
      <w:r w:rsidRPr="00011F05">
        <w:rPr>
          <w:lang w:eastAsia="en-AU"/>
        </w:rPr>
        <w:t xml:space="preserve">The department has responsibility for transactions and balances relating to trust funds held on behalf of third parties external to the department. Funds managed on behalf of third parties are not recognised in these financial statements as they are managed on a fiduciary and custodial </w:t>
      </w:r>
      <w:proofErr w:type="gramStart"/>
      <w:r w:rsidRPr="00011F05">
        <w:rPr>
          <w:lang w:eastAsia="en-AU"/>
        </w:rPr>
        <w:t>basis, and</w:t>
      </w:r>
      <w:proofErr w:type="gramEnd"/>
      <w:r w:rsidRPr="00011F05">
        <w:rPr>
          <w:lang w:eastAsia="en-AU"/>
        </w:rPr>
        <w:t xml:space="preserve"> therefore are not controlled by the department. For trust accounts that are controlled by the department, the transactions are incorporated as part of the department’s financial statements. Please refer to Note 7.3 Cash flow information and balances.</w:t>
      </w:r>
    </w:p>
    <w:p w14:paraId="68FCE422" w14:textId="77777777" w:rsidR="006E51BF" w:rsidRDefault="006E51BF">
      <w:pPr>
        <w:pStyle w:val="ARfinbody"/>
        <w:rPr>
          <w:lang w:eastAsia="en-AU"/>
        </w:rPr>
      </w:pPr>
      <w:r w:rsidRPr="00011F05">
        <w:rPr>
          <w:lang w:eastAsia="en-AU"/>
        </w:rPr>
        <w:t>Any earnings on the funds held pending distribution are also applied to the trust funds under management as</w:t>
      </w:r>
      <w:r>
        <w:rPr>
          <w:lang w:eastAsia="en-AU"/>
        </w:rPr>
        <w:t> </w:t>
      </w:r>
      <w:r w:rsidRPr="00011F05">
        <w:rPr>
          <w:lang w:eastAsia="en-AU"/>
        </w:rPr>
        <w:t>appropriate.</w:t>
      </w:r>
    </w:p>
    <w:p w14:paraId="5D4D8A98" w14:textId="4C33733D" w:rsidR="006E51BF" w:rsidRPr="00F15BC5" w:rsidRDefault="006E51BF" w:rsidP="00F0501A">
      <w:pPr>
        <w:pStyle w:val="ARfinbody"/>
        <w:spacing w:after="240"/>
        <w:rPr>
          <w:lang w:eastAsia="en-AU"/>
        </w:rPr>
      </w:pPr>
      <w:r w:rsidRPr="00011F05">
        <w:rPr>
          <w:lang w:eastAsia="en-AU"/>
        </w:rPr>
        <w:t>The following is a listing of trust account balances relating to trust accounts controlled and administered by the</w:t>
      </w:r>
      <w:r>
        <w:rPr>
          <w:lang w:eastAsia="en-AU"/>
        </w:rPr>
        <w:t> </w:t>
      </w:r>
      <w:r w:rsidRPr="00011F05">
        <w:rPr>
          <w:lang w:eastAsia="en-AU"/>
        </w:rPr>
        <w:t>department.</w:t>
      </w:r>
    </w:p>
    <w:tbl>
      <w:tblPr>
        <w:tblStyle w:val="ARtable1"/>
        <w:tblW w:w="0" w:type="auto"/>
        <w:tblLayout w:type="fixed"/>
        <w:tblLook w:val="04E0" w:firstRow="1" w:lastRow="1" w:firstColumn="1" w:lastColumn="0" w:noHBand="0" w:noVBand="1"/>
      </w:tblPr>
      <w:tblGrid>
        <w:gridCol w:w="2966"/>
        <w:gridCol w:w="968"/>
        <w:gridCol w:w="973"/>
        <w:gridCol w:w="973"/>
        <w:gridCol w:w="1028"/>
        <w:gridCol w:w="996"/>
        <w:gridCol w:w="1095"/>
        <w:gridCol w:w="1169"/>
        <w:gridCol w:w="1095"/>
        <w:gridCol w:w="1101"/>
        <w:gridCol w:w="1098"/>
        <w:gridCol w:w="1098"/>
      </w:tblGrid>
      <w:tr w:rsidR="006E51BF" w:rsidRPr="00011F05" w14:paraId="180FB535" w14:textId="77777777" w:rsidTr="00304BA9">
        <w:trPr>
          <w:cnfStyle w:val="100000000000" w:firstRow="1" w:lastRow="0" w:firstColumn="0" w:lastColumn="0" w:oddVBand="0" w:evenVBand="0" w:oddHBand="0" w:evenHBand="0" w:firstRowFirstColumn="0" w:firstRowLastColumn="0" w:lastRowFirstColumn="0" w:lastRowLastColumn="0"/>
          <w:trHeight w:val="20"/>
          <w:tblHeader/>
        </w:trPr>
        <w:tc>
          <w:tcPr>
            <w:tcW w:w="2966" w:type="dxa"/>
            <w:noWrap/>
            <w:hideMark/>
          </w:tcPr>
          <w:p w14:paraId="447E20ED" w14:textId="77777777" w:rsidR="006E51BF" w:rsidRPr="00011F05" w:rsidRDefault="006E51BF">
            <w:pPr>
              <w:spacing w:after="0" w:line="240" w:lineRule="auto"/>
              <w:rPr>
                <w:rFonts w:ascii="Verdana" w:hAnsi="Verdana" w:cs="Arial"/>
                <w:sz w:val="20"/>
                <w:lang w:eastAsia="en-AU"/>
              </w:rPr>
            </w:pPr>
          </w:p>
        </w:tc>
        <w:tc>
          <w:tcPr>
            <w:tcW w:w="968" w:type="dxa"/>
            <w:tcBorders>
              <w:top w:val="single" w:sz="4" w:space="0" w:color="000000" w:themeColor="text1"/>
            </w:tcBorders>
            <w:shd w:val="clear" w:color="auto" w:fill="E7E6E6" w:themeFill="background2"/>
            <w:tcMar>
              <w:right w:w="0" w:type="nil"/>
            </w:tcMar>
            <w:hideMark/>
          </w:tcPr>
          <w:p w14:paraId="7139885C" w14:textId="47CD745F" w:rsidR="00D12D22" w:rsidRDefault="00D12D22">
            <w:pPr>
              <w:pStyle w:val="ARfintablecolheadright8pt"/>
              <w:rPr>
                <w:lang w:eastAsia="en-AU"/>
              </w:rPr>
            </w:pPr>
            <w:r w:rsidRPr="00011F05">
              <w:t>2026</w:t>
            </w:r>
          </w:p>
          <w:p w14:paraId="35C1EF40" w14:textId="114A7A11" w:rsidR="006E51BF" w:rsidRPr="00011F05" w:rsidRDefault="006E51BF">
            <w:pPr>
              <w:pStyle w:val="ARfintablecolheadright8pt"/>
              <w:rPr>
                <w:lang w:eastAsia="en-AU"/>
              </w:rPr>
            </w:pPr>
            <w:r w:rsidRPr="00011F05">
              <w:rPr>
                <w:lang w:eastAsia="en-AU"/>
              </w:rPr>
              <w:t xml:space="preserve">Opening balance as </w:t>
            </w:r>
            <w:proofErr w:type="gramStart"/>
            <w:r w:rsidRPr="00011F05">
              <w:rPr>
                <w:lang w:eastAsia="en-AU"/>
              </w:rPr>
              <w:t>at</w:t>
            </w:r>
            <w:proofErr w:type="gramEnd"/>
            <w:r w:rsidRPr="00011F05">
              <w:rPr>
                <w:lang w:eastAsia="en-AU"/>
              </w:rPr>
              <w:t xml:space="preserve"> 1 July 2025</w:t>
            </w:r>
          </w:p>
          <w:p w14:paraId="6C044B34" w14:textId="77777777" w:rsidR="006E51BF" w:rsidRPr="00011F05" w:rsidRDefault="006E51BF">
            <w:pPr>
              <w:pStyle w:val="ARfintablecolheadright8pt"/>
              <w:rPr>
                <w:lang w:eastAsia="en-AU"/>
              </w:rPr>
            </w:pPr>
            <w:r w:rsidRPr="00011F05">
              <w:rPr>
                <w:lang w:eastAsia="en-AU"/>
              </w:rPr>
              <w:t>$M</w:t>
            </w:r>
          </w:p>
        </w:tc>
        <w:tc>
          <w:tcPr>
            <w:tcW w:w="973" w:type="dxa"/>
            <w:tcBorders>
              <w:top w:val="single" w:sz="4" w:space="0" w:color="000000" w:themeColor="text1"/>
            </w:tcBorders>
            <w:shd w:val="clear" w:color="auto" w:fill="E7E6E6" w:themeFill="background2"/>
            <w:tcMar>
              <w:right w:w="0" w:type="nil"/>
            </w:tcMar>
            <w:hideMark/>
          </w:tcPr>
          <w:p w14:paraId="410DE9B4" w14:textId="2FF62A8B" w:rsidR="00D12D22" w:rsidRDefault="00D12D22">
            <w:pPr>
              <w:pStyle w:val="ARfintablecolheadright8pt"/>
              <w:rPr>
                <w:lang w:eastAsia="en-AU"/>
              </w:rPr>
            </w:pPr>
            <w:r w:rsidRPr="00011F05">
              <w:t>2026</w:t>
            </w:r>
          </w:p>
          <w:p w14:paraId="7BC60BBD" w14:textId="47311560" w:rsidR="006E51BF" w:rsidRPr="00011F05" w:rsidRDefault="006E51BF">
            <w:pPr>
              <w:pStyle w:val="ARfintablecolheadright8pt"/>
              <w:rPr>
                <w:lang w:eastAsia="en-AU"/>
              </w:rPr>
            </w:pPr>
            <w:r w:rsidRPr="00011F05">
              <w:rPr>
                <w:lang w:eastAsia="en-AU"/>
              </w:rPr>
              <w:t>Total receipts</w:t>
            </w:r>
          </w:p>
          <w:p w14:paraId="77BD499E" w14:textId="77777777" w:rsidR="006E51BF" w:rsidRPr="00011F05" w:rsidRDefault="006E51BF">
            <w:pPr>
              <w:pStyle w:val="ARfintablecolheadright8pt"/>
              <w:rPr>
                <w:lang w:eastAsia="en-AU"/>
              </w:rPr>
            </w:pPr>
            <w:r w:rsidRPr="00011F05">
              <w:rPr>
                <w:lang w:eastAsia="en-AU"/>
              </w:rPr>
              <w:t>$M</w:t>
            </w:r>
          </w:p>
        </w:tc>
        <w:tc>
          <w:tcPr>
            <w:tcW w:w="973" w:type="dxa"/>
            <w:tcBorders>
              <w:top w:val="single" w:sz="4" w:space="0" w:color="000000" w:themeColor="text1"/>
            </w:tcBorders>
            <w:shd w:val="clear" w:color="auto" w:fill="E7E6E6" w:themeFill="background2"/>
            <w:tcMar>
              <w:right w:w="0" w:type="nil"/>
            </w:tcMar>
            <w:hideMark/>
          </w:tcPr>
          <w:p w14:paraId="10F2EB11" w14:textId="11CAE71F" w:rsidR="00D12D22" w:rsidRDefault="00D12D22">
            <w:pPr>
              <w:pStyle w:val="ARfintablecolheadright8pt"/>
              <w:rPr>
                <w:lang w:eastAsia="en-AU"/>
              </w:rPr>
            </w:pPr>
            <w:r w:rsidRPr="00011F05">
              <w:t>2026</w:t>
            </w:r>
          </w:p>
          <w:p w14:paraId="33BE2B42" w14:textId="4DCB7276" w:rsidR="006E51BF" w:rsidRPr="00011F05" w:rsidRDefault="006E51BF">
            <w:pPr>
              <w:pStyle w:val="ARfintablecolheadright8pt"/>
              <w:rPr>
                <w:lang w:eastAsia="en-AU"/>
              </w:rPr>
            </w:pPr>
            <w:r w:rsidRPr="00011F05">
              <w:rPr>
                <w:lang w:eastAsia="en-AU"/>
              </w:rPr>
              <w:t>Total payments</w:t>
            </w:r>
          </w:p>
          <w:p w14:paraId="218E5C5E" w14:textId="77777777" w:rsidR="006E51BF" w:rsidRPr="00011F05" w:rsidRDefault="006E51BF">
            <w:pPr>
              <w:pStyle w:val="ARfintablecolheadright8pt"/>
              <w:rPr>
                <w:lang w:eastAsia="en-AU"/>
              </w:rPr>
            </w:pPr>
            <w:r w:rsidRPr="00011F05">
              <w:rPr>
                <w:lang w:eastAsia="en-AU"/>
              </w:rPr>
              <w:t>$M</w:t>
            </w:r>
          </w:p>
        </w:tc>
        <w:tc>
          <w:tcPr>
            <w:tcW w:w="1028" w:type="dxa"/>
            <w:tcBorders>
              <w:top w:val="single" w:sz="4" w:space="0" w:color="000000" w:themeColor="text1"/>
            </w:tcBorders>
            <w:shd w:val="clear" w:color="auto" w:fill="E7E6E6" w:themeFill="background2"/>
            <w:tcMar>
              <w:right w:w="0" w:type="nil"/>
            </w:tcMar>
            <w:hideMark/>
          </w:tcPr>
          <w:p w14:paraId="2FC18D24" w14:textId="301154D3" w:rsidR="00D12D22" w:rsidRDefault="00D12D22">
            <w:pPr>
              <w:pStyle w:val="ARfintablecolheadright8pt"/>
              <w:rPr>
                <w:lang w:eastAsia="en-AU"/>
              </w:rPr>
            </w:pPr>
            <w:r w:rsidRPr="00011F05">
              <w:t>2026</w:t>
            </w:r>
          </w:p>
          <w:p w14:paraId="6D7A505F" w14:textId="5230A89E" w:rsidR="006E51BF" w:rsidRPr="00011F05" w:rsidRDefault="006E51BF">
            <w:pPr>
              <w:pStyle w:val="ARfintablecolheadright8pt"/>
              <w:rPr>
                <w:lang w:eastAsia="en-AU"/>
              </w:rPr>
            </w:pPr>
            <w:r w:rsidRPr="00011F05">
              <w:rPr>
                <w:lang w:eastAsia="en-AU"/>
              </w:rPr>
              <w:t>Non-cash movement</w:t>
            </w:r>
          </w:p>
          <w:p w14:paraId="086A3EA2" w14:textId="77777777" w:rsidR="006E51BF" w:rsidRPr="00011F05" w:rsidRDefault="006E51BF">
            <w:pPr>
              <w:pStyle w:val="ARfintablecolheadright8pt"/>
              <w:rPr>
                <w:lang w:eastAsia="en-AU"/>
              </w:rPr>
            </w:pPr>
            <w:r w:rsidRPr="00011F05">
              <w:rPr>
                <w:lang w:eastAsia="en-AU"/>
              </w:rPr>
              <w:t>$M</w:t>
            </w:r>
          </w:p>
        </w:tc>
        <w:tc>
          <w:tcPr>
            <w:tcW w:w="996" w:type="dxa"/>
            <w:tcBorders>
              <w:top w:val="single" w:sz="4" w:space="0" w:color="000000" w:themeColor="text1"/>
            </w:tcBorders>
            <w:shd w:val="clear" w:color="auto" w:fill="E7E6E6" w:themeFill="background2"/>
            <w:tcMar>
              <w:right w:w="0" w:type="nil"/>
            </w:tcMar>
            <w:hideMark/>
          </w:tcPr>
          <w:p w14:paraId="3B5D77D5" w14:textId="23EFDDD9" w:rsidR="00D12D22" w:rsidRDefault="00D12D22">
            <w:pPr>
              <w:pStyle w:val="ARfintablecolheadright8pt"/>
              <w:rPr>
                <w:lang w:eastAsia="en-AU"/>
              </w:rPr>
            </w:pPr>
            <w:r w:rsidRPr="00011F05">
              <w:t>2026</w:t>
            </w:r>
          </w:p>
          <w:p w14:paraId="6EF1728A" w14:textId="2F506C74" w:rsidR="006E51BF" w:rsidRPr="00011F05" w:rsidRDefault="006E51BF">
            <w:pPr>
              <w:pStyle w:val="ARfintablecolheadright8pt"/>
              <w:rPr>
                <w:lang w:eastAsia="en-AU"/>
              </w:rPr>
            </w:pPr>
            <w:r w:rsidRPr="00011F05">
              <w:rPr>
                <w:lang w:eastAsia="en-AU"/>
              </w:rPr>
              <w:t xml:space="preserve">Closing balance as </w:t>
            </w:r>
            <w:proofErr w:type="gramStart"/>
            <w:r w:rsidRPr="00011F05">
              <w:rPr>
                <w:lang w:eastAsia="en-AU"/>
              </w:rPr>
              <w:t>at</w:t>
            </w:r>
            <w:proofErr w:type="gramEnd"/>
            <w:r w:rsidRPr="00011F05">
              <w:rPr>
                <w:lang w:eastAsia="en-AU"/>
              </w:rPr>
              <w:t xml:space="preserve"> 30 June 2026</w:t>
            </w:r>
          </w:p>
          <w:p w14:paraId="3FC3FFFC" w14:textId="77777777" w:rsidR="006E51BF" w:rsidRPr="00011F05" w:rsidRDefault="006E51BF">
            <w:pPr>
              <w:pStyle w:val="ARfintablecolheadright8pt"/>
              <w:rPr>
                <w:lang w:eastAsia="en-AU"/>
              </w:rPr>
            </w:pPr>
            <w:r w:rsidRPr="00011F05">
              <w:rPr>
                <w:lang w:eastAsia="en-AU"/>
              </w:rPr>
              <w:t>$M</w:t>
            </w:r>
          </w:p>
        </w:tc>
        <w:tc>
          <w:tcPr>
            <w:tcW w:w="1095" w:type="dxa"/>
            <w:tcBorders>
              <w:top w:val="single" w:sz="4" w:space="0" w:color="000000" w:themeColor="text1"/>
            </w:tcBorders>
            <w:tcMar>
              <w:right w:w="0" w:type="nil"/>
            </w:tcMar>
            <w:hideMark/>
          </w:tcPr>
          <w:p w14:paraId="02843C2C" w14:textId="460D7721" w:rsidR="00D12D22" w:rsidRDefault="00D12D22">
            <w:pPr>
              <w:pStyle w:val="ARfintablecolheadright8pt"/>
              <w:rPr>
                <w:lang w:eastAsia="en-AU"/>
              </w:rPr>
            </w:pPr>
            <w:r w:rsidRPr="002655B7">
              <w:t>2025</w:t>
            </w:r>
          </w:p>
          <w:p w14:paraId="5D403718" w14:textId="0BCAEA1E" w:rsidR="006E51BF" w:rsidRPr="00011F05" w:rsidRDefault="006E51BF">
            <w:pPr>
              <w:pStyle w:val="ARfintablecolheadright8pt"/>
              <w:rPr>
                <w:lang w:eastAsia="en-AU"/>
              </w:rPr>
            </w:pPr>
            <w:r w:rsidRPr="00011F05">
              <w:rPr>
                <w:lang w:eastAsia="en-AU"/>
              </w:rPr>
              <w:t xml:space="preserve">Opening balance as </w:t>
            </w:r>
            <w:proofErr w:type="gramStart"/>
            <w:r w:rsidRPr="00011F05">
              <w:rPr>
                <w:lang w:eastAsia="en-AU"/>
              </w:rPr>
              <w:t>at</w:t>
            </w:r>
            <w:proofErr w:type="gramEnd"/>
            <w:r w:rsidRPr="00011F05">
              <w:rPr>
                <w:lang w:eastAsia="en-AU"/>
              </w:rPr>
              <w:t xml:space="preserve"> 1 July 2024</w:t>
            </w:r>
          </w:p>
          <w:p w14:paraId="038E77AD" w14:textId="77777777" w:rsidR="006E51BF" w:rsidRPr="00011F05" w:rsidRDefault="006E51BF">
            <w:pPr>
              <w:pStyle w:val="ARfintablecolheadright8pt"/>
              <w:rPr>
                <w:lang w:eastAsia="en-AU"/>
              </w:rPr>
            </w:pPr>
            <w:r w:rsidRPr="00011F05">
              <w:rPr>
                <w:lang w:eastAsia="en-AU"/>
              </w:rPr>
              <w:t>$M</w:t>
            </w:r>
          </w:p>
        </w:tc>
        <w:tc>
          <w:tcPr>
            <w:tcW w:w="1169" w:type="dxa"/>
            <w:tcBorders>
              <w:top w:val="single" w:sz="4" w:space="0" w:color="000000" w:themeColor="text1"/>
            </w:tcBorders>
            <w:tcMar>
              <w:right w:w="0" w:type="nil"/>
            </w:tcMar>
            <w:hideMark/>
          </w:tcPr>
          <w:p w14:paraId="2A8790E2" w14:textId="0DA00DA6" w:rsidR="00D12D22" w:rsidRDefault="00D12D22">
            <w:pPr>
              <w:pStyle w:val="ARfintablecolheadright8pt"/>
              <w:rPr>
                <w:lang w:eastAsia="en-AU"/>
              </w:rPr>
            </w:pPr>
            <w:r w:rsidRPr="002655B7">
              <w:t>2025</w:t>
            </w:r>
          </w:p>
          <w:p w14:paraId="0B91E72A" w14:textId="26050B19" w:rsidR="006E51BF" w:rsidRPr="00011F05" w:rsidRDefault="006E51BF">
            <w:pPr>
              <w:pStyle w:val="ARfintablecolheadright8pt"/>
              <w:rPr>
                <w:lang w:eastAsia="en-AU"/>
              </w:rPr>
            </w:pPr>
            <w:r w:rsidRPr="00011F05">
              <w:rPr>
                <w:lang w:eastAsia="en-AU"/>
              </w:rPr>
              <w:t xml:space="preserve">Machinery of Government </w:t>
            </w:r>
            <w:r>
              <w:rPr>
                <w:lang w:eastAsia="en-AU"/>
              </w:rPr>
              <w:t>–</w:t>
            </w:r>
            <w:r w:rsidRPr="00011F05">
              <w:rPr>
                <w:lang w:eastAsia="en-AU"/>
              </w:rPr>
              <w:t xml:space="preserve"> transfer in/(out)</w:t>
            </w:r>
          </w:p>
          <w:p w14:paraId="775DFC63" w14:textId="77777777" w:rsidR="006E51BF" w:rsidRPr="00011F05" w:rsidRDefault="006E51BF">
            <w:pPr>
              <w:pStyle w:val="ARfintablecolheadright8pt"/>
              <w:rPr>
                <w:lang w:eastAsia="en-AU"/>
              </w:rPr>
            </w:pPr>
            <w:r w:rsidRPr="00011F05">
              <w:rPr>
                <w:lang w:eastAsia="en-AU"/>
              </w:rPr>
              <w:t>$M</w:t>
            </w:r>
          </w:p>
        </w:tc>
        <w:tc>
          <w:tcPr>
            <w:tcW w:w="1095" w:type="dxa"/>
            <w:tcBorders>
              <w:top w:val="single" w:sz="4" w:space="0" w:color="000000" w:themeColor="text1"/>
            </w:tcBorders>
            <w:tcMar>
              <w:right w:w="0" w:type="nil"/>
            </w:tcMar>
            <w:hideMark/>
          </w:tcPr>
          <w:p w14:paraId="501FA7BF" w14:textId="503858EB" w:rsidR="00D12D22" w:rsidRDefault="00D12D22">
            <w:pPr>
              <w:pStyle w:val="ARfintablecolheadright8pt"/>
              <w:rPr>
                <w:lang w:eastAsia="en-AU"/>
              </w:rPr>
            </w:pPr>
            <w:r w:rsidRPr="002655B7">
              <w:t>2025</w:t>
            </w:r>
          </w:p>
          <w:p w14:paraId="6BA862C4" w14:textId="2DCDED91" w:rsidR="006E51BF" w:rsidRPr="00011F05" w:rsidRDefault="006E51BF">
            <w:pPr>
              <w:pStyle w:val="ARfintablecolheadright8pt"/>
              <w:rPr>
                <w:lang w:eastAsia="en-AU"/>
              </w:rPr>
            </w:pPr>
            <w:r w:rsidRPr="00011F05">
              <w:rPr>
                <w:lang w:eastAsia="en-AU"/>
              </w:rPr>
              <w:t>Total receipts</w:t>
            </w:r>
          </w:p>
          <w:p w14:paraId="35E1DC56" w14:textId="77777777" w:rsidR="006E51BF" w:rsidRPr="00011F05" w:rsidRDefault="006E51BF">
            <w:pPr>
              <w:pStyle w:val="ARfintablecolheadright8pt"/>
              <w:rPr>
                <w:lang w:eastAsia="en-AU"/>
              </w:rPr>
            </w:pPr>
            <w:r w:rsidRPr="00011F05">
              <w:rPr>
                <w:lang w:eastAsia="en-AU"/>
              </w:rPr>
              <w:t>$M</w:t>
            </w:r>
          </w:p>
        </w:tc>
        <w:tc>
          <w:tcPr>
            <w:tcW w:w="1101" w:type="dxa"/>
            <w:tcBorders>
              <w:top w:val="single" w:sz="4" w:space="0" w:color="000000" w:themeColor="text1"/>
            </w:tcBorders>
            <w:tcMar>
              <w:right w:w="0" w:type="nil"/>
            </w:tcMar>
            <w:hideMark/>
          </w:tcPr>
          <w:p w14:paraId="001C63F0" w14:textId="1CB81161" w:rsidR="00D12D22" w:rsidRDefault="00D12D22">
            <w:pPr>
              <w:pStyle w:val="ARfintablecolheadright8pt"/>
              <w:rPr>
                <w:lang w:eastAsia="en-AU"/>
              </w:rPr>
            </w:pPr>
            <w:r w:rsidRPr="002655B7">
              <w:t>2025</w:t>
            </w:r>
          </w:p>
          <w:p w14:paraId="34CE8EB5" w14:textId="69731C95" w:rsidR="006E51BF" w:rsidRPr="00011F05" w:rsidRDefault="006E51BF">
            <w:pPr>
              <w:pStyle w:val="ARfintablecolheadright8pt"/>
              <w:rPr>
                <w:lang w:eastAsia="en-AU"/>
              </w:rPr>
            </w:pPr>
            <w:r w:rsidRPr="00011F05">
              <w:rPr>
                <w:lang w:eastAsia="en-AU"/>
              </w:rPr>
              <w:t>Total payments</w:t>
            </w:r>
          </w:p>
          <w:p w14:paraId="734589D2" w14:textId="77777777" w:rsidR="006E51BF" w:rsidRPr="00011F05" w:rsidRDefault="006E51BF">
            <w:pPr>
              <w:pStyle w:val="ARfintablecolheadright8pt"/>
              <w:rPr>
                <w:lang w:eastAsia="en-AU"/>
              </w:rPr>
            </w:pPr>
            <w:r w:rsidRPr="00011F05">
              <w:rPr>
                <w:lang w:eastAsia="en-AU"/>
              </w:rPr>
              <w:t>$M</w:t>
            </w:r>
          </w:p>
        </w:tc>
        <w:tc>
          <w:tcPr>
            <w:tcW w:w="1098" w:type="dxa"/>
            <w:tcBorders>
              <w:top w:val="single" w:sz="4" w:space="0" w:color="000000" w:themeColor="text1"/>
            </w:tcBorders>
            <w:tcMar>
              <w:right w:w="0" w:type="nil"/>
            </w:tcMar>
            <w:hideMark/>
          </w:tcPr>
          <w:p w14:paraId="1D204C0E" w14:textId="5C7F8031" w:rsidR="00D12D22" w:rsidRDefault="00D12D22">
            <w:pPr>
              <w:pStyle w:val="ARfintablecolheadright8pt"/>
              <w:rPr>
                <w:lang w:eastAsia="en-AU"/>
              </w:rPr>
            </w:pPr>
            <w:r w:rsidRPr="002655B7">
              <w:t>2025</w:t>
            </w:r>
          </w:p>
          <w:p w14:paraId="4DC535D9" w14:textId="5C329F90" w:rsidR="006E51BF" w:rsidRPr="00011F05" w:rsidRDefault="006E51BF">
            <w:pPr>
              <w:pStyle w:val="ARfintablecolheadright8pt"/>
              <w:rPr>
                <w:lang w:eastAsia="en-AU"/>
              </w:rPr>
            </w:pPr>
            <w:r w:rsidRPr="00011F05">
              <w:rPr>
                <w:lang w:eastAsia="en-AU"/>
              </w:rPr>
              <w:t>Non-cash movement</w:t>
            </w:r>
          </w:p>
          <w:p w14:paraId="21AFA9B7" w14:textId="77777777" w:rsidR="006E51BF" w:rsidRPr="00011F05" w:rsidRDefault="006E51BF">
            <w:pPr>
              <w:pStyle w:val="ARfintablecolheadright8pt"/>
              <w:rPr>
                <w:lang w:eastAsia="en-AU"/>
              </w:rPr>
            </w:pPr>
            <w:r w:rsidRPr="00011F05">
              <w:rPr>
                <w:lang w:eastAsia="en-AU"/>
              </w:rPr>
              <w:t>$M</w:t>
            </w:r>
          </w:p>
        </w:tc>
        <w:tc>
          <w:tcPr>
            <w:tcW w:w="1098" w:type="dxa"/>
            <w:tcBorders>
              <w:top w:val="single" w:sz="4" w:space="0" w:color="000000" w:themeColor="text1"/>
            </w:tcBorders>
            <w:tcMar>
              <w:right w:w="0" w:type="nil"/>
            </w:tcMar>
            <w:hideMark/>
          </w:tcPr>
          <w:p w14:paraId="0E64556A" w14:textId="2265BC5B" w:rsidR="00D12D22" w:rsidRDefault="00D12D22">
            <w:pPr>
              <w:pStyle w:val="ARfintablecolheadright8pt"/>
              <w:rPr>
                <w:lang w:eastAsia="en-AU"/>
              </w:rPr>
            </w:pPr>
            <w:r w:rsidRPr="002655B7">
              <w:t>2025</w:t>
            </w:r>
          </w:p>
          <w:p w14:paraId="6B0E89D3" w14:textId="7B1276CB" w:rsidR="006E51BF" w:rsidRPr="00011F05" w:rsidRDefault="006E51BF">
            <w:pPr>
              <w:pStyle w:val="ARfintablecolheadright8pt"/>
              <w:rPr>
                <w:lang w:eastAsia="en-AU"/>
              </w:rPr>
            </w:pPr>
            <w:r w:rsidRPr="00011F05">
              <w:rPr>
                <w:lang w:eastAsia="en-AU"/>
              </w:rPr>
              <w:t xml:space="preserve">Closing balance as </w:t>
            </w:r>
            <w:proofErr w:type="gramStart"/>
            <w:r w:rsidRPr="00011F05">
              <w:rPr>
                <w:lang w:eastAsia="en-AU"/>
              </w:rPr>
              <w:t>at</w:t>
            </w:r>
            <w:proofErr w:type="gramEnd"/>
            <w:r w:rsidRPr="00011F05">
              <w:rPr>
                <w:lang w:eastAsia="en-AU"/>
              </w:rPr>
              <w:t xml:space="preserve"> 30 June 2025</w:t>
            </w:r>
          </w:p>
          <w:p w14:paraId="27CA5445" w14:textId="77777777" w:rsidR="006E51BF" w:rsidRPr="00011F05" w:rsidRDefault="006E51BF">
            <w:pPr>
              <w:pStyle w:val="ARfintablecolheadright8pt"/>
              <w:rPr>
                <w:lang w:eastAsia="en-AU"/>
              </w:rPr>
            </w:pPr>
            <w:r w:rsidRPr="00011F05">
              <w:rPr>
                <w:lang w:eastAsia="en-AU"/>
              </w:rPr>
              <w:t>$M</w:t>
            </w:r>
          </w:p>
        </w:tc>
      </w:tr>
      <w:tr w:rsidR="006E51BF" w:rsidRPr="00011F05" w14:paraId="6E94032F" w14:textId="77777777" w:rsidTr="00BC2567">
        <w:trPr>
          <w:cnfStyle w:val="000000100000" w:firstRow="0" w:lastRow="0" w:firstColumn="0" w:lastColumn="0" w:oddVBand="0" w:evenVBand="0" w:oddHBand="1" w:evenHBand="0" w:firstRowFirstColumn="0" w:firstRowLastColumn="0" w:lastRowFirstColumn="0" w:lastRowLastColumn="0"/>
          <w:trHeight w:val="20"/>
        </w:trPr>
        <w:tc>
          <w:tcPr>
            <w:tcW w:w="2966" w:type="dxa"/>
            <w:hideMark/>
          </w:tcPr>
          <w:p w14:paraId="2DA77970" w14:textId="77777777" w:rsidR="006E51BF" w:rsidRPr="00011F05" w:rsidRDefault="006E51BF">
            <w:pPr>
              <w:pStyle w:val="Arfintabletextboldcoloured8pt"/>
            </w:pPr>
            <w:r w:rsidRPr="00011F05">
              <w:t>Controlled trusts</w:t>
            </w:r>
          </w:p>
        </w:tc>
        <w:tc>
          <w:tcPr>
            <w:tcW w:w="968" w:type="dxa"/>
            <w:tcMar>
              <w:right w:w="0" w:type="nil"/>
            </w:tcMar>
            <w:hideMark/>
          </w:tcPr>
          <w:p w14:paraId="0CEA8699" w14:textId="77777777" w:rsidR="006E51BF" w:rsidRPr="00011F05" w:rsidRDefault="006E51BF">
            <w:pPr>
              <w:pStyle w:val="ARfintabletextright8pt"/>
            </w:pPr>
          </w:p>
        </w:tc>
        <w:tc>
          <w:tcPr>
            <w:tcW w:w="973" w:type="dxa"/>
            <w:tcMar>
              <w:right w:w="0" w:type="nil"/>
            </w:tcMar>
            <w:hideMark/>
          </w:tcPr>
          <w:p w14:paraId="1C3A44F2" w14:textId="77777777" w:rsidR="006E51BF" w:rsidRPr="00011F05" w:rsidRDefault="006E51BF">
            <w:pPr>
              <w:pStyle w:val="ARfintabletextright8pt"/>
            </w:pPr>
          </w:p>
        </w:tc>
        <w:tc>
          <w:tcPr>
            <w:tcW w:w="973" w:type="dxa"/>
            <w:tcMar>
              <w:right w:w="0" w:type="nil"/>
            </w:tcMar>
            <w:hideMark/>
          </w:tcPr>
          <w:p w14:paraId="0273B596" w14:textId="77777777" w:rsidR="006E51BF" w:rsidRPr="00011F05" w:rsidRDefault="006E51BF">
            <w:pPr>
              <w:pStyle w:val="ARfintabletextright8pt"/>
            </w:pPr>
          </w:p>
        </w:tc>
        <w:tc>
          <w:tcPr>
            <w:tcW w:w="1028" w:type="dxa"/>
            <w:tcMar>
              <w:right w:w="0" w:type="nil"/>
            </w:tcMar>
            <w:hideMark/>
          </w:tcPr>
          <w:p w14:paraId="2C09DB6A" w14:textId="77777777" w:rsidR="006E51BF" w:rsidRPr="00011F05" w:rsidRDefault="006E51BF">
            <w:pPr>
              <w:pStyle w:val="ARfintabletextright8pt"/>
            </w:pPr>
          </w:p>
        </w:tc>
        <w:tc>
          <w:tcPr>
            <w:tcW w:w="996" w:type="dxa"/>
            <w:tcMar>
              <w:right w:w="0" w:type="nil"/>
            </w:tcMar>
            <w:hideMark/>
          </w:tcPr>
          <w:p w14:paraId="11333386" w14:textId="77777777" w:rsidR="006E51BF" w:rsidRPr="00011F05" w:rsidRDefault="006E51BF">
            <w:pPr>
              <w:pStyle w:val="ARfintabletextright8pt"/>
            </w:pPr>
          </w:p>
        </w:tc>
        <w:tc>
          <w:tcPr>
            <w:tcW w:w="1095" w:type="dxa"/>
            <w:tcMar>
              <w:right w:w="0" w:type="nil"/>
            </w:tcMar>
            <w:hideMark/>
          </w:tcPr>
          <w:p w14:paraId="744C6721" w14:textId="77777777" w:rsidR="006E51BF" w:rsidRPr="00011F05" w:rsidRDefault="006E51BF">
            <w:pPr>
              <w:pStyle w:val="ARfintabletextright8pt"/>
            </w:pPr>
          </w:p>
        </w:tc>
        <w:tc>
          <w:tcPr>
            <w:tcW w:w="1169" w:type="dxa"/>
            <w:tcMar>
              <w:right w:w="0" w:type="nil"/>
            </w:tcMar>
            <w:hideMark/>
          </w:tcPr>
          <w:p w14:paraId="321D59D2" w14:textId="77777777" w:rsidR="006E51BF" w:rsidRPr="00011F05" w:rsidRDefault="006E51BF">
            <w:pPr>
              <w:pStyle w:val="ARfintabletextright8pt"/>
              <w:rPr>
                <w:b/>
                <w:bCs/>
              </w:rPr>
            </w:pPr>
          </w:p>
        </w:tc>
        <w:tc>
          <w:tcPr>
            <w:tcW w:w="1095" w:type="dxa"/>
            <w:tcMar>
              <w:right w:w="0" w:type="nil"/>
            </w:tcMar>
            <w:hideMark/>
          </w:tcPr>
          <w:p w14:paraId="2B0B9872" w14:textId="77777777" w:rsidR="006E51BF" w:rsidRPr="00011F05" w:rsidRDefault="006E51BF">
            <w:pPr>
              <w:pStyle w:val="ARfintabletextright8pt"/>
            </w:pPr>
          </w:p>
        </w:tc>
        <w:tc>
          <w:tcPr>
            <w:tcW w:w="1101" w:type="dxa"/>
            <w:tcMar>
              <w:right w:w="0" w:type="nil"/>
            </w:tcMar>
            <w:hideMark/>
          </w:tcPr>
          <w:p w14:paraId="76E40801" w14:textId="77777777" w:rsidR="006E51BF" w:rsidRPr="00011F05" w:rsidRDefault="006E51BF">
            <w:pPr>
              <w:pStyle w:val="ARfintabletextright8pt"/>
            </w:pPr>
          </w:p>
        </w:tc>
        <w:tc>
          <w:tcPr>
            <w:tcW w:w="1098" w:type="dxa"/>
            <w:tcMar>
              <w:right w:w="0" w:type="nil"/>
            </w:tcMar>
            <w:hideMark/>
          </w:tcPr>
          <w:p w14:paraId="25141037" w14:textId="77777777" w:rsidR="006E51BF" w:rsidRPr="00011F05" w:rsidRDefault="006E51BF">
            <w:pPr>
              <w:pStyle w:val="ARfintabletextright8pt"/>
            </w:pPr>
          </w:p>
        </w:tc>
        <w:tc>
          <w:tcPr>
            <w:tcW w:w="1098" w:type="dxa"/>
            <w:tcMar>
              <w:right w:w="0" w:type="nil"/>
            </w:tcMar>
            <w:hideMark/>
          </w:tcPr>
          <w:p w14:paraId="0DBEDF95" w14:textId="77777777" w:rsidR="006E51BF" w:rsidRPr="00011F05" w:rsidRDefault="006E51BF">
            <w:pPr>
              <w:pStyle w:val="ARfintabletextright8pt"/>
            </w:pPr>
          </w:p>
        </w:tc>
      </w:tr>
      <w:tr w:rsidR="006E51BF" w:rsidRPr="00011F05" w14:paraId="69A1B39A"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966" w:type="dxa"/>
            <w:hideMark/>
          </w:tcPr>
          <w:p w14:paraId="3F4B1AC9" w14:textId="77777777" w:rsidR="006E51BF" w:rsidRPr="00011F05" w:rsidRDefault="006E51BF">
            <w:pPr>
              <w:pStyle w:val="ARfintabletext8pt"/>
              <w:rPr>
                <w:lang w:eastAsia="en-AU"/>
              </w:rPr>
            </w:pPr>
            <w:r w:rsidRPr="00011F05">
              <w:rPr>
                <w:lang w:eastAsia="en-AU"/>
              </w:rPr>
              <w:t>Intellectually Handicapped Children's Amenities Fund</w:t>
            </w:r>
          </w:p>
        </w:tc>
        <w:tc>
          <w:tcPr>
            <w:tcW w:w="968" w:type="dxa"/>
            <w:shd w:val="clear" w:color="auto" w:fill="E7E6E6" w:themeFill="background2"/>
            <w:noWrap/>
            <w:tcMar>
              <w:right w:w="0" w:type="nil"/>
            </w:tcMar>
            <w:hideMark/>
          </w:tcPr>
          <w:p w14:paraId="3F4F5C79" w14:textId="77777777" w:rsidR="006E51BF" w:rsidRPr="00011F05" w:rsidRDefault="006E51BF">
            <w:pPr>
              <w:pStyle w:val="ARfintabletextright8pt"/>
            </w:pPr>
            <w:r w:rsidRPr="00011F05">
              <w:t>0.1</w:t>
            </w:r>
          </w:p>
        </w:tc>
        <w:tc>
          <w:tcPr>
            <w:tcW w:w="973" w:type="dxa"/>
            <w:shd w:val="clear" w:color="auto" w:fill="E7E6E6" w:themeFill="background2"/>
            <w:noWrap/>
            <w:tcMar>
              <w:right w:w="0" w:type="nil"/>
            </w:tcMar>
            <w:hideMark/>
          </w:tcPr>
          <w:p w14:paraId="629B646C" w14:textId="77777777" w:rsidR="006E51BF" w:rsidRPr="00011F05" w:rsidRDefault="006E51BF">
            <w:pPr>
              <w:pStyle w:val="ARfintabletextright8pt"/>
            </w:pPr>
            <w:r>
              <w:t>–</w:t>
            </w:r>
          </w:p>
        </w:tc>
        <w:tc>
          <w:tcPr>
            <w:tcW w:w="973" w:type="dxa"/>
            <w:shd w:val="clear" w:color="auto" w:fill="E7E6E6" w:themeFill="background2"/>
            <w:noWrap/>
            <w:tcMar>
              <w:right w:w="0" w:type="nil"/>
            </w:tcMar>
            <w:hideMark/>
          </w:tcPr>
          <w:p w14:paraId="7E687499" w14:textId="77777777" w:rsidR="006E51BF" w:rsidRPr="00011F05" w:rsidRDefault="006E51BF">
            <w:pPr>
              <w:pStyle w:val="ARfintabletextright8pt"/>
            </w:pPr>
            <w:r>
              <w:t>–</w:t>
            </w:r>
          </w:p>
        </w:tc>
        <w:tc>
          <w:tcPr>
            <w:tcW w:w="1028" w:type="dxa"/>
            <w:shd w:val="clear" w:color="auto" w:fill="E7E6E6" w:themeFill="background2"/>
            <w:noWrap/>
            <w:tcMar>
              <w:right w:w="0" w:type="nil"/>
            </w:tcMar>
            <w:hideMark/>
          </w:tcPr>
          <w:p w14:paraId="084E0AF8" w14:textId="77777777" w:rsidR="006E51BF" w:rsidRPr="00011F05" w:rsidRDefault="006E51BF">
            <w:pPr>
              <w:pStyle w:val="ARfintabletextright8pt"/>
            </w:pPr>
            <w:r>
              <w:t>–</w:t>
            </w:r>
          </w:p>
        </w:tc>
        <w:tc>
          <w:tcPr>
            <w:tcW w:w="996" w:type="dxa"/>
            <w:shd w:val="clear" w:color="auto" w:fill="E7E6E6" w:themeFill="background2"/>
            <w:noWrap/>
            <w:tcMar>
              <w:right w:w="0" w:type="nil"/>
            </w:tcMar>
            <w:hideMark/>
          </w:tcPr>
          <w:p w14:paraId="35078976" w14:textId="77777777" w:rsidR="006E51BF" w:rsidRPr="00011F05" w:rsidRDefault="006E51BF">
            <w:pPr>
              <w:pStyle w:val="ARfintabletextright8pt"/>
            </w:pPr>
            <w:r w:rsidRPr="00011F05">
              <w:t>0.1</w:t>
            </w:r>
          </w:p>
        </w:tc>
        <w:tc>
          <w:tcPr>
            <w:tcW w:w="1095" w:type="dxa"/>
            <w:noWrap/>
            <w:tcMar>
              <w:right w:w="0" w:type="nil"/>
            </w:tcMar>
            <w:hideMark/>
          </w:tcPr>
          <w:p w14:paraId="7D3144A3" w14:textId="77777777" w:rsidR="006E51BF" w:rsidRPr="00011F05" w:rsidRDefault="006E51BF">
            <w:pPr>
              <w:pStyle w:val="ARfintabletextright8pt"/>
            </w:pPr>
            <w:r w:rsidRPr="00011F05">
              <w:t>0.1</w:t>
            </w:r>
          </w:p>
        </w:tc>
        <w:tc>
          <w:tcPr>
            <w:tcW w:w="1169" w:type="dxa"/>
            <w:noWrap/>
            <w:tcMar>
              <w:right w:w="0" w:type="nil"/>
            </w:tcMar>
            <w:hideMark/>
          </w:tcPr>
          <w:p w14:paraId="66231A12" w14:textId="77777777" w:rsidR="006E51BF" w:rsidRPr="00011F05" w:rsidRDefault="006E51BF">
            <w:pPr>
              <w:pStyle w:val="ARfintabletextright8pt"/>
            </w:pPr>
            <w:r>
              <w:t>–</w:t>
            </w:r>
          </w:p>
        </w:tc>
        <w:tc>
          <w:tcPr>
            <w:tcW w:w="1095" w:type="dxa"/>
            <w:noWrap/>
            <w:tcMar>
              <w:right w:w="0" w:type="nil"/>
            </w:tcMar>
            <w:hideMark/>
          </w:tcPr>
          <w:p w14:paraId="6BAC244A" w14:textId="77777777" w:rsidR="006E51BF" w:rsidRPr="00011F05" w:rsidRDefault="006E51BF">
            <w:pPr>
              <w:pStyle w:val="ARfintabletextright8pt"/>
            </w:pPr>
            <w:r>
              <w:t>–</w:t>
            </w:r>
          </w:p>
        </w:tc>
        <w:tc>
          <w:tcPr>
            <w:tcW w:w="1101" w:type="dxa"/>
            <w:noWrap/>
            <w:tcMar>
              <w:right w:w="0" w:type="nil"/>
            </w:tcMar>
            <w:hideMark/>
          </w:tcPr>
          <w:p w14:paraId="45F91F79" w14:textId="77777777" w:rsidR="006E51BF" w:rsidRPr="00011F05" w:rsidRDefault="006E51BF">
            <w:pPr>
              <w:pStyle w:val="ARfintabletextright8pt"/>
            </w:pPr>
            <w:r>
              <w:t>–</w:t>
            </w:r>
          </w:p>
        </w:tc>
        <w:tc>
          <w:tcPr>
            <w:tcW w:w="1098" w:type="dxa"/>
            <w:noWrap/>
            <w:tcMar>
              <w:right w:w="0" w:type="nil"/>
            </w:tcMar>
            <w:hideMark/>
          </w:tcPr>
          <w:p w14:paraId="013930B7" w14:textId="77777777" w:rsidR="006E51BF" w:rsidRPr="00011F05" w:rsidRDefault="006E51BF">
            <w:pPr>
              <w:pStyle w:val="ARfintabletextright8pt"/>
            </w:pPr>
            <w:r>
              <w:t>–</w:t>
            </w:r>
          </w:p>
        </w:tc>
        <w:tc>
          <w:tcPr>
            <w:tcW w:w="1098" w:type="dxa"/>
            <w:noWrap/>
            <w:tcMar>
              <w:right w:w="0" w:type="nil"/>
            </w:tcMar>
            <w:hideMark/>
          </w:tcPr>
          <w:p w14:paraId="0A0E8219" w14:textId="77777777" w:rsidR="006E51BF" w:rsidRPr="00011F05" w:rsidRDefault="006E51BF">
            <w:pPr>
              <w:pStyle w:val="ARfintabletextright8pt"/>
            </w:pPr>
            <w:r w:rsidRPr="00011F05">
              <w:t>0.1</w:t>
            </w:r>
          </w:p>
        </w:tc>
      </w:tr>
      <w:tr w:rsidR="006E51BF" w:rsidRPr="00011F05" w14:paraId="40A04E29"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966" w:type="dxa"/>
            <w:hideMark/>
          </w:tcPr>
          <w:p w14:paraId="7B73FAF6" w14:textId="77777777" w:rsidR="006E51BF" w:rsidRPr="00011F05" w:rsidRDefault="006E51BF">
            <w:pPr>
              <w:pStyle w:val="ARfintabletext8pt"/>
              <w:rPr>
                <w:lang w:eastAsia="en-AU"/>
              </w:rPr>
            </w:pPr>
            <w:r w:rsidRPr="00011F05">
              <w:rPr>
                <w:lang w:eastAsia="en-AU"/>
              </w:rPr>
              <w:t>Mental Health Fund</w:t>
            </w:r>
          </w:p>
        </w:tc>
        <w:tc>
          <w:tcPr>
            <w:tcW w:w="968" w:type="dxa"/>
            <w:shd w:val="clear" w:color="auto" w:fill="E7E6E6" w:themeFill="background2"/>
            <w:noWrap/>
            <w:tcMar>
              <w:right w:w="0" w:type="nil"/>
            </w:tcMar>
            <w:hideMark/>
          </w:tcPr>
          <w:p w14:paraId="2B6FB9FC" w14:textId="77777777" w:rsidR="006E51BF" w:rsidRPr="00011F05" w:rsidRDefault="006E51BF">
            <w:pPr>
              <w:pStyle w:val="ARfintabletextright8pt"/>
            </w:pPr>
            <w:r w:rsidRPr="00011F05">
              <w:t>2.1</w:t>
            </w:r>
          </w:p>
        </w:tc>
        <w:tc>
          <w:tcPr>
            <w:tcW w:w="973" w:type="dxa"/>
            <w:shd w:val="clear" w:color="auto" w:fill="E7E6E6" w:themeFill="background2"/>
            <w:noWrap/>
            <w:tcMar>
              <w:right w:w="0" w:type="nil"/>
            </w:tcMar>
            <w:hideMark/>
          </w:tcPr>
          <w:p w14:paraId="783ED3E2" w14:textId="77777777" w:rsidR="006E51BF" w:rsidRPr="00011F05" w:rsidRDefault="006E51BF">
            <w:pPr>
              <w:pStyle w:val="ARfintabletextright8pt"/>
            </w:pPr>
            <w:r w:rsidRPr="00011F05">
              <w:t>63.9</w:t>
            </w:r>
          </w:p>
        </w:tc>
        <w:tc>
          <w:tcPr>
            <w:tcW w:w="973" w:type="dxa"/>
            <w:shd w:val="clear" w:color="auto" w:fill="E7E6E6" w:themeFill="background2"/>
            <w:noWrap/>
            <w:tcMar>
              <w:right w:w="0" w:type="nil"/>
            </w:tcMar>
            <w:hideMark/>
          </w:tcPr>
          <w:p w14:paraId="1D536F0D" w14:textId="77777777" w:rsidR="006E51BF" w:rsidRPr="00011F05" w:rsidRDefault="006E51BF">
            <w:pPr>
              <w:pStyle w:val="ARfintabletextright8pt"/>
            </w:pPr>
            <w:r w:rsidRPr="00011F05">
              <w:t>63.9</w:t>
            </w:r>
          </w:p>
        </w:tc>
        <w:tc>
          <w:tcPr>
            <w:tcW w:w="1028" w:type="dxa"/>
            <w:shd w:val="clear" w:color="auto" w:fill="E7E6E6" w:themeFill="background2"/>
            <w:noWrap/>
            <w:tcMar>
              <w:right w:w="0" w:type="nil"/>
            </w:tcMar>
            <w:hideMark/>
          </w:tcPr>
          <w:p w14:paraId="24D81992" w14:textId="77777777" w:rsidR="006E51BF" w:rsidRPr="00011F05" w:rsidRDefault="006E51BF">
            <w:pPr>
              <w:pStyle w:val="ARfintabletextright8pt"/>
            </w:pPr>
            <w:r>
              <w:t>–</w:t>
            </w:r>
          </w:p>
        </w:tc>
        <w:tc>
          <w:tcPr>
            <w:tcW w:w="996" w:type="dxa"/>
            <w:shd w:val="clear" w:color="auto" w:fill="E7E6E6" w:themeFill="background2"/>
            <w:noWrap/>
            <w:tcMar>
              <w:right w:w="0" w:type="nil"/>
            </w:tcMar>
            <w:hideMark/>
          </w:tcPr>
          <w:p w14:paraId="1159B355" w14:textId="77777777" w:rsidR="006E51BF" w:rsidRPr="00011F05" w:rsidRDefault="006E51BF">
            <w:pPr>
              <w:pStyle w:val="ARfintabletextright8pt"/>
            </w:pPr>
            <w:r w:rsidRPr="00011F05">
              <w:t>2.1</w:t>
            </w:r>
          </w:p>
        </w:tc>
        <w:tc>
          <w:tcPr>
            <w:tcW w:w="1095" w:type="dxa"/>
            <w:noWrap/>
            <w:tcMar>
              <w:right w:w="0" w:type="nil"/>
            </w:tcMar>
            <w:hideMark/>
          </w:tcPr>
          <w:p w14:paraId="39418DAF" w14:textId="77777777" w:rsidR="006E51BF" w:rsidRPr="00011F05" w:rsidRDefault="006E51BF">
            <w:pPr>
              <w:pStyle w:val="ARfintabletextright8pt"/>
            </w:pPr>
            <w:r w:rsidRPr="00011F05">
              <w:t>2.1</w:t>
            </w:r>
          </w:p>
        </w:tc>
        <w:tc>
          <w:tcPr>
            <w:tcW w:w="1169" w:type="dxa"/>
            <w:noWrap/>
            <w:tcMar>
              <w:right w:w="0" w:type="nil"/>
            </w:tcMar>
            <w:hideMark/>
          </w:tcPr>
          <w:p w14:paraId="22E54932" w14:textId="77777777" w:rsidR="006E51BF" w:rsidRPr="00011F05" w:rsidRDefault="006E51BF">
            <w:pPr>
              <w:pStyle w:val="ARfintabletextright8pt"/>
            </w:pPr>
            <w:r>
              <w:t>–</w:t>
            </w:r>
          </w:p>
        </w:tc>
        <w:tc>
          <w:tcPr>
            <w:tcW w:w="1095" w:type="dxa"/>
            <w:noWrap/>
            <w:tcMar>
              <w:right w:w="0" w:type="nil"/>
            </w:tcMar>
            <w:hideMark/>
          </w:tcPr>
          <w:p w14:paraId="5135B5BD" w14:textId="77777777" w:rsidR="006E51BF" w:rsidRPr="00011F05" w:rsidRDefault="006E51BF">
            <w:pPr>
              <w:pStyle w:val="ARfintabletextright8pt"/>
            </w:pPr>
            <w:r w:rsidRPr="00011F05">
              <w:t>63.9</w:t>
            </w:r>
          </w:p>
        </w:tc>
        <w:tc>
          <w:tcPr>
            <w:tcW w:w="1101" w:type="dxa"/>
            <w:noWrap/>
            <w:tcMar>
              <w:right w:w="0" w:type="nil"/>
            </w:tcMar>
            <w:hideMark/>
          </w:tcPr>
          <w:p w14:paraId="148A04CE" w14:textId="77777777" w:rsidR="006E51BF" w:rsidRPr="00011F05" w:rsidRDefault="006E51BF">
            <w:pPr>
              <w:pStyle w:val="ARfintabletextright8pt"/>
            </w:pPr>
            <w:r w:rsidRPr="00011F05">
              <w:t>63.9</w:t>
            </w:r>
          </w:p>
        </w:tc>
        <w:tc>
          <w:tcPr>
            <w:tcW w:w="1098" w:type="dxa"/>
            <w:noWrap/>
            <w:tcMar>
              <w:right w:w="0" w:type="nil"/>
            </w:tcMar>
            <w:hideMark/>
          </w:tcPr>
          <w:p w14:paraId="0DE710F4" w14:textId="77777777" w:rsidR="006E51BF" w:rsidRPr="00011F05" w:rsidRDefault="006E51BF">
            <w:pPr>
              <w:pStyle w:val="ARfintabletextright8pt"/>
            </w:pPr>
            <w:r>
              <w:t>–</w:t>
            </w:r>
          </w:p>
        </w:tc>
        <w:tc>
          <w:tcPr>
            <w:tcW w:w="1098" w:type="dxa"/>
            <w:noWrap/>
            <w:tcMar>
              <w:right w:w="0" w:type="nil"/>
            </w:tcMar>
            <w:hideMark/>
          </w:tcPr>
          <w:p w14:paraId="74822A5E" w14:textId="77777777" w:rsidR="006E51BF" w:rsidRPr="00011F05" w:rsidRDefault="006E51BF">
            <w:pPr>
              <w:pStyle w:val="ARfintabletextright8pt"/>
            </w:pPr>
            <w:r w:rsidRPr="00011F05">
              <w:t>2.1</w:t>
            </w:r>
          </w:p>
        </w:tc>
      </w:tr>
      <w:tr w:rsidR="006E51BF" w:rsidRPr="00011F05" w14:paraId="5DB39B1A"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966" w:type="dxa"/>
            <w:hideMark/>
          </w:tcPr>
          <w:p w14:paraId="60E35807" w14:textId="77777777" w:rsidR="006E51BF" w:rsidRPr="00011F05" w:rsidRDefault="006E51BF">
            <w:pPr>
              <w:pStyle w:val="ARfintabletext8pt"/>
              <w:rPr>
                <w:lang w:eastAsia="en-AU"/>
              </w:rPr>
            </w:pPr>
            <w:r w:rsidRPr="00011F05">
              <w:rPr>
                <w:lang w:eastAsia="en-AU"/>
              </w:rPr>
              <w:t>Treasury Trust</w:t>
            </w:r>
          </w:p>
        </w:tc>
        <w:tc>
          <w:tcPr>
            <w:tcW w:w="968" w:type="dxa"/>
            <w:shd w:val="clear" w:color="auto" w:fill="E7E6E6" w:themeFill="background2"/>
            <w:noWrap/>
            <w:tcMar>
              <w:right w:w="0" w:type="nil"/>
            </w:tcMar>
            <w:hideMark/>
          </w:tcPr>
          <w:p w14:paraId="0CB4FC48" w14:textId="77777777" w:rsidR="006E51BF" w:rsidRPr="00011F05" w:rsidRDefault="006E51BF">
            <w:pPr>
              <w:pStyle w:val="ARfintabletextright8pt"/>
            </w:pPr>
            <w:r w:rsidRPr="00011F05">
              <w:t>11.9</w:t>
            </w:r>
          </w:p>
        </w:tc>
        <w:tc>
          <w:tcPr>
            <w:tcW w:w="973" w:type="dxa"/>
            <w:shd w:val="clear" w:color="auto" w:fill="E7E6E6" w:themeFill="background2"/>
            <w:noWrap/>
            <w:tcMar>
              <w:right w:w="0" w:type="nil"/>
            </w:tcMar>
            <w:hideMark/>
          </w:tcPr>
          <w:p w14:paraId="163F13AD" w14:textId="77777777" w:rsidR="006E51BF" w:rsidRPr="00011F05" w:rsidRDefault="006E51BF">
            <w:pPr>
              <w:pStyle w:val="ARfintabletextright8pt"/>
            </w:pPr>
            <w:r w:rsidRPr="00011F05">
              <w:t>20.4</w:t>
            </w:r>
          </w:p>
        </w:tc>
        <w:tc>
          <w:tcPr>
            <w:tcW w:w="973" w:type="dxa"/>
            <w:shd w:val="clear" w:color="auto" w:fill="E7E6E6" w:themeFill="background2"/>
            <w:noWrap/>
            <w:tcMar>
              <w:right w:w="0" w:type="nil"/>
            </w:tcMar>
            <w:hideMark/>
          </w:tcPr>
          <w:p w14:paraId="0CE28C32" w14:textId="77777777" w:rsidR="006E51BF" w:rsidRPr="00011F05" w:rsidRDefault="006E51BF">
            <w:pPr>
              <w:pStyle w:val="ARfintabletextright8pt"/>
            </w:pPr>
            <w:r w:rsidRPr="00011F05">
              <w:t>17.3</w:t>
            </w:r>
          </w:p>
        </w:tc>
        <w:tc>
          <w:tcPr>
            <w:tcW w:w="1028" w:type="dxa"/>
            <w:shd w:val="clear" w:color="auto" w:fill="E7E6E6" w:themeFill="background2"/>
            <w:noWrap/>
            <w:tcMar>
              <w:right w:w="0" w:type="nil"/>
            </w:tcMar>
            <w:hideMark/>
          </w:tcPr>
          <w:p w14:paraId="6A29246A" w14:textId="77777777" w:rsidR="006E51BF" w:rsidRPr="00011F05" w:rsidRDefault="006E51BF">
            <w:pPr>
              <w:pStyle w:val="ARfintabletextright8pt"/>
            </w:pPr>
            <w:r>
              <w:t>–</w:t>
            </w:r>
          </w:p>
        </w:tc>
        <w:tc>
          <w:tcPr>
            <w:tcW w:w="996" w:type="dxa"/>
            <w:shd w:val="clear" w:color="auto" w:fill="E7E6E6" w:themeFill="background2"/>
            <w:noWrap/>
            <w:tcMar>
              <w:right w:w="0" w:type="nil"/>
            </w:tcMar>
            <w:hideMark/>
          </w:tcPr>
          <w:p w14:paraId="4766F6EF" w14:textId="77777777" w:rsidR="006E51BF" w:rsidRPr="00011F05" w:rsidRDefault="006E51BF">
            <w:pPr>
              <w:pStyle w:val="ARfintabletextright8pt"/>
            </w:pPr>
            <w:r w:rsidRPr="00011F05">
              <w:t>15.0</w:t>
            </w:r>
          </w:p>
        </w:tc>
        <w:tc>
          <w:tcPr>
            <w:tcW w:w="1095" w:type="dxa"/>
            <w:noWrap/>
            <w:tcMar>
              <w:right w:w="0" w:type="nil"/>
            </w:tcMar>
            <w:hideMark/>
          </w:tcPr>
          <w:p w14:paraId="541C1566" w14:textId="77777777" w:rsidR="006E51BF" w:rsidRPr="00011F05" w:rsidRDefault="006E51BF">
            <w:pPr>
              <w:pStyle w:val="ARfintabletextright8pt"/>
            </w:pPr>
            <w:r w:rsidRPr="00011F05">
              <w:t>12.4</w:t>
            </w:r>
          </w:p>
        </w:tc>
        <w:tc>
          <w:tcPr>
            <w:tcW w:w="1169" w:type="dxa"/>
            <w:noWrap/>
            <w:tcMar>
              <w:right w:w="0" w:type="nil"/>
            </w:tcMar>
            <w:hideMark/>
          </w:tcPr>
          <w:p w14:paraId="546DDD71" w14:textId="77777777" w:rsidR="006E51BF" w:rsidRPr="00011F05" w:rsidRDefault="006E51BF">
            <w:pPr>
              <w:pStyle w:val="ARfintabletextright8pt"/>
            </w:pPr>
            <w:r>
              <w:t>–</w:t>
            </w:r>
          </w:p>
        </w:tc>
        <w:tc>
          <w:tcPr>
            <w:tcW w:w="1095" w:type="dxa"/>
            <w:noWrap/>
            <w:tcMar>
              <w:right w:w="0" w:type="nil"/>
            </w:tcMar>
            <w:hideMark/>
          </w:tcPr>
          <w:p w14:paraId="15D52DC4" w14:textId="77777777" w:rsidR="006E51BF" w:rsidRPr="00011F05" w:rsidRDefault="006E51BF">
            <w:pPr>
              <w:pStyle w:val="ARfintabletextright8pt"/>
            </w:pPr>
            <w:r w:rsidRPr="00011F05">
              <w:t>4.7</w:t>
            </w:r>
          </w:p>
        </w:tc>
        <w:tc>
          <w:tcPr>
            <w:tcW w:w="1101" w:type="dxa"/>
            <w:noWrap/>
            <w:tcMar>
              <w:right w:w="0" w:type="nil"/>
            </w:tcMar>
            <w:hideMark/>
          </w:tcPr>
          <w:p w14:paraId="2E497964" w14:textId="77777777" w:rsidR="006E51BF" w:rsidRPr="00011F05" w:rsidRDefault="006E51BF">
            <w:pPr>
              <w:pStyle w:val="ARfintabletextright8pt"/>
            </w:pPr>
            <w:r w:rsidRPr="00011F05">
              <w:t>5.3</w:t>
            </w:r>
          </w:p>
        </w:tc>
        <w:tc>
          <w:tcPr>
            <w:tcW w:w="1098" w:type="dxa"/>
            <w:noWrap/>
            <w:tcMar>
              <w:right w:w="0" w:type="nil"/>
            </w:tcMar>
            <w:hideMark/>
          </w:tcPr>
          <w:p w14:paraId="53C2CC37" w14:textId="77777777" w:rsidR="006E51BF" w:rsidRPr="00011F05" w:rsidRDefault="006E51BF">
            <w:pPr>
              <w:pStyle w:val="ARfintabletextright8pt"/>
            </w:pPr>
            <w:r w:rsidRPr="00011F05">
              <w:t>0.0</w:t>
            </w:r>
          </w:p>
        </w:tc>
        <w:tc>
          <w:tcPr>
            <w:tcW w:w="1098" w:type="dxa"/>
            <w:noWrap/>
            <w:tcMar>
              <w:right w:w="0" w:type="nil"/>
            </w:tcMar>
            <w:hideMark/>
          </w:tcPr>
          <w:p w14:paraId="7321407B" w14:textId="77777777" w:rsidR="006E51BF" w:rsidRPr="00011F05" w:rsidRDefault="006E51BF">
            <w:pPr>
              <w:pStyle w:val="ARfintabletextright8pt"/>
            </w:pPr>
            <w:r w:rsidRPr="00011F05">
              <w:t>11.9</w:t>
            </w:r>
          </w:p>
        </w:tc>
      </w:tr>
      <w:tr w:rsidR="006E51BF" w:rsidRPr="00011F05" w14:paraId="3DA676C1"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966" w:type="dxa"/>
            <w:hideMark/>
          </w:tcPr>
          <w:p w14:paraId="4E522E5A" w14:textId="77777777" w:rsidR="006E51BF" w:rsidRPr="00011F05" w:rsidRDefault="006E51BF">
            <w:pPr>
              <w:pStyle w:val="ARfintabletext8pt"/>
              <w:rPr>
                <w:lang w:eastAsia="en-AU"/>
              </w:rPr>
            </w:pPr>
            <w:r w:rsidRPr="00011F05">
              <w:rPr>
                <w:lang w:eastAsia="en-AU"/>
              </w:rPr>
              <w:t>Inter-departmental Transfer</w:t>
            </w:r>
            <w:r>
              <w:rPr>
                <w:lang w:eastAsia="en-AU"/>
              </w:rPr>
              <w:t> </w:t>
            </w:r>
            <w:r w:rsidRPr="00011F05">
              <w:rPr>
                <w:lang w:eastAsia="en-AU"/>
              </w:rPr>
              <w:t>Trust</w:t>
            </w:r>
          </w:p>
        </w:tc>
        <w:tc>
          <w:tcPr>
            <w:tcW w:w="968" w:type="dxa"/>
            <w:shd w:val="clear" w:color="auto" w:fill="E7E6E6" w:themeFill="background2"/>
            <w:noWrap/>
            <w:tcMar>
              <w:right w:w="0" w:type="nil"/>
            </w:tcMar>
            <w:hideMark/>
          </w:tcPr>
          <w:p w14:paraId="41C920D7" w14:textId="77777777" w:rsidR="006E51BF" w:rsidRPr="00011F05" w:rsidRDefault="006E51BF">
            <w:pPr>
              <w:pStyle w:val="ARfintabletextright8pt"/>
            </w:pPr>
            <w:r w:rsidRPr="00011F05">
              <w:t>15.9</w:t>
            </w:r>
          </w:p>
        </w:tc>
        <w:tc>
          <w:tcPr>
            <w:tcW w:w="973" w:type="dxa"/>
            <w:shd w:val="clear" w:color="auto" w:fill="E7E6E6" w:themeFill="background2"/>
            <w:noWrap/>
            <w:tcMar>
              <w:right w:w="0" w:type="nil"/>
            </w:tcMar>
            <w:hideMark/>
          </w:tcPr>
          <w:p w14:paraId="5BFDB265" w14:textId="77777777" w:rsidR="006E51BF" w:rsidRPr="00011F05" w:rsidRDefault="006E51BF">
            <w:pPr>
              <w:pStyle w:val="ARfintabletextright8pt"/>
            </w:pPr>
            <w:r w:rsidRPr="00011F05">
              <w:t>43.3</w:t>
            </w:r>
          </w:p>
        </w:tc>
        <w:tc>
          <w:tcPr>
            <w:tcW w:w="973" w:type="dxa"/>
            <w:shd w:val="clear" w:color="auto" w:fill="E7E6E6" w:themeFill="background2"/>
            <w:noWrap/>
            <w:tcMar>
              <w:right w:w="0" w:type="nil"/>
            </w:tcMar>
            <w:hideMark/>
          </w:tcPr>
          <w:p w14:paraId="2EB1A1D0" w14:textId="77777777" w:rsidR="006E51BF" w:rsidRPr="00011F05" w:rsidRDefault="006E51BF">
            <w:pPr>
              <w:pStyle w:val="ARfintabletextright8pt"/>
            </w:pPr>
            <w:r w:rsidRPr="00011F05">
              <w:t>33.8</w:t>
            </w:r>
          </w:p>
        </w:tc>
        <w:tc>
          <w:tcPr>
            <w:tcW w:w="1028" w:type="dxa"/>
            <w:shd w:val="clear" w:color="auto" w:fill="E7E6E6" w:themeFill="background2"/>
            <w:noWrap/>
            <w:tcMar>
              <w:right w:w="0" w:type="nil"/>
            </w:tcMar>
            <w:hideMark/>
          </w:tcPr>
          <w:p w14:paraId="6F996939" w14:textId="77777777" w:rsidR="006E51BF" w:rsidRPr="00011F05" w:rsidRDefault="006E51BF">
            <w:pPr>
              <w:pStyle w:val="ARfintabletextright8pt"/>
            </w:pPr>
            <w:r w:rsidRPr="00011F05">
              <w:t>(0.3)</w:t>
            </w:r>
          </w:p>
        </w:tc>
        <w:tc>
          <w:tcPr>
            <w:tcW w:w="996" w:type="dxa"/>
            <w:shd w:val="clear" w:color="auto" w:fill="E7E6E6" w:themeFill="background2"/>
            <w:noWrap/>
            <w:tcMar>
              <w:right w:w="0" w:type="nil"/>
            </w:tcMar>
            <w:hideMark/>
          </w:tcPr>
          <w:p w14:paraId="6B66A68A" w14:textId="77777777" w:rsidR="006E51BF" w:rsidRPr="00011F05" w:rsidRDefault="006E51BF">
            <w:pPr>
              <w:pStyle w:val="ARfintabletextright8pt"/>
            </w:pPr>
            <w:r w:rsidRPr="00011F05">
              <w:t>25.0</w:t>
            </w:r>
          </w:p>
        </w:tc>
        <w:tc>
          <w:tcPr>
            <w:tcW w:w="1095" w:type="dxa"/>
            <w:noWrap/>
            <w:tcMar>
              <w:right w:w="0" w:type="nil"/>
            </w:tcMar>
            <w:hideMark/>
          </w:tcPr>
          <w:p w14:paraId="5C0FFFA1" w14:textId="77777777" w:rsidR="006E51BF" w:rsidRPr="00011F05" w:rsidRDefault="006E51BF">
            <w:pPr>
              <w:pStyle w:val="ARfintabletextright8pt"/>
            </w:pPr>
            <w:r w:rsidRPr="00011F05">
              <w:t>18.3</w:t>
            </w:r>
          </w:p>
        </w:tc>
        <w:tc>
          <w:tcPr>
            <w:tcW w:w="1169" w:type="dxa"/>
            <w:noWrap/>
            <w:tcMar>
              <w:right w:w="0" w:type="nil"/>
            </w:tcMar>
            <w:hideMark/>
          </w:tcPr>
          <w:p w14:paraId="6CCEBB4C" w14:textId="77777777" w:rsidR="006E51BF" w:rsidRPr="00011F05" w:rsidRDefault="006E51BF">
            <w:pPr>
              <w:pStyle w:val="ARfintabletextright8pt"/>
            </w:pPr>
            <w:r>
              <w:t>–</w:t>
            </w:r>
          </w:p>
        </w:tc>
        <w:tc>
          <w:tcPr>
            <w:tcW w:w="1095" w:type="dxa"/>
            <w:noWrap/>
            <w:tcMar>
              <w:right w:w="0" w:type="nil"/>
            </w:tcMar>
            <w:hideMark/>
          </w:tcPr>
          <w:p w14:paraId="51F43D75" w14:textId="77777777" w:rsidR="006E51BF" w:rsidRPr="00011F05" w:rsidRDefault="006E51BF">
            <w:pPr>
              <w:pStyle w:val="ARfintabletextright8pt"/>
            </w:pPr>
            <w:r w:rsidRPr="00011F05">
              <w:t>31.1</w:t>
            </w:r>
          </w:p>
        </w:tc>
        <w:tc>
          <w:tcPr>
            <w:tcW w:w="1101" w:type="dxa"/>
            <w:noWrap/>
            <w:tcMar>
              <w:right w:w="0" w:type="nil"/>
            </w:tcMar>
            <w:hideMark/>
          </w:tcPr>
          <w:p w14:paraId="21E68C3F" w14:textId="77777777" w:rsidR="006E51BF" w:rsidRPr="00011F05" w:rsidRDefault="006E51BF">
            <w:pPr>
              <w:pStyle w:val="ARfintabletextright8pt"/>
            </w:pPr>
            <w:r w:rsidRPr="00011F05">
              <w:t>29.6</w:t>
            </w:r>
          </w:p>
        </w:tc>
        <w:tc>
          <w:tcPr>
            <w:tcW w:w="1098" w:type="dxa"/>
            <w:noWrap/>
            <w:tcMar>
              <w:right w:w="0" w:type="nil"/>
            </w:tcMar>
            <w:hideMark/>
          </w:tcPr>
          <w:p w14:paraId="249EFF17" w14:textId="77777777" w:rsidR="006E51BF" w:rsidRPr="00011F05" w:rsidRDefault="006E51BF">
            <w:pPr>
              <w:pStyle w:val="ARfintabletextright8pt"/>
            </w:pPr>
            <w:r w:rsidRPr="00011F05">
              <w:t>(3.9)</w:t>
            </w:r>
          </w:p>
        </w:tc>
        <w:tc>
          <w:tcPr>
            <w:tcW w:w="1098" w:type="dxa"/>
            <w:noWrap/>
            <w:tcMar>
              <w:right w:w="0" w:type="nil"/>
            </w:tcMar>
            <w:hideMark/>
          </w:tcPr>
          <w:p w14:paraId="02ACE3A9" w14:textId="77777777" w:rsidR="006E51BF" w:rsidRPr="00011F05" w:rsidRDefault="006E51BF">
            <w:pPr>
              <w:pStyle w:val="ARfintabletextright8pt"/>
            </w:pPr>
            <w:r w:rsidRPr="00011F05">
              <w:t>15.9</w:t>
            </w:r>
          </w:p>
        </w:tc>
      </w:tr>
      <w:tr w:rsidR="006E51BF" w:rsidRPr="00011F05" w14:paraId="08479D5D"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966" w:type="dxa"/>
            <w:hideMark/>
          </w:tcPr>
          <w:p w14:paraId="362691F9" w14:textId="77777777" w:rsidR="006E51BF" w:rsidRPr="00011F05" w:rsidRDefault="006E51BF">
            <w:pPr>
              <w:pStyle w:val="ARfintabletext8pt"/>
              <w:rPr>
                <w:lang w:eastAsia="en-AU"/>
              </w:rPr>
            </w:pPr>
            <w:r w:rsidRPr="00011F05">
              <w:rPr>
                <w:lang w:eastAsia="en-AU"/>
              </w:rPr>
              <w:t>Vehicle Lease Trust Account</w:t>
            </w:r>
          </w:p>
        </w:tc>
        <w:tc>
          <w:tcPr>
            <w:tcW w:w="968" w:type="dxa"/>
            <w:shd w:val="clear" w:color="auto" w:fill="E7E6E6" w:themeFill="background2"/>
            <w:noWrap/>
            <w:tcMar>
              <w:right w:w="0" w:type="nil"/>
            </w:tcMar>
            <w:hideMark/>
          </w:tcPr>
          <w:p w14:paraId="00BACF5C" w14:textId="77777777" w:rsidR="006E51BF" w:rsidRPr="00011F05" w:rsidRDefault="006E51BF">
            <w:pPr>
              <w:pStyle w:val="ARfintabletextright8pt"/>
            </w:pPr>
            <w:r w:rsidRPr="00011F05">
              <w:t>12.7</w:t>
            </w:r>
          </w:p>
        </w:tc>
        <w:tc>
          <w:tcPr>
            <w:tcW w:w="973" w:type="dxa"/>
            <w:shd w:val="clear" w:color="auto" w:fill="E7E6E6" w:themeFill="background2"/>
            <w:noWrap/>
            <w:tcMar>
              <w:right w:w="0" w:type="nil"/>
            </w:tcMar>
            <w:hideMark/>
          </w:tcPr>
          <w:p w14:paraId="19B19DFE" w14:textId="77777777" w:rsidR="006E51BF" w:rsidRPr="00011F05" w:rsidRDefault="006E51BF">
            <w:pPr>
              <w:pStyle w:val="ARfintabletextright8pt"/>
            </w:pPr>
            <w:r w:rsidRPr="00011F05">
              <w:t>2.6</w:t>
            </w:r>
          </w:p>
        </w:tc>
        <w:tc>
          <w:tcPr>
            <w:tcW w:w="973" w:type="dxa"/>
            <w:shd w:val="clear" w:color="auto" w:fill="E7E6E6" w:themeFill="background2"/>
            <w:noWrap/>
            <w:tcMar>
              <w:right w:w="0" w:type="nil"/>
            </w:tcMar>
            <w:hideMark/>
          </w:tcPr>
          <w:p w14:paraId="4E06DB23" w14:textId="77777777" w:rsidR="006E51BF" w:rsidRPr="00011F05" w:rsidRDefault="006E51BF">
            <w:pPr>
              <w:pStyle w:val="ARfintabletextright8pt"/>
            </w:pPr>
            <w:r w:rsidRPr="00011F05">
              <w:t>0.5</w:t>
            </w:r>
          </w:p>
        </w:tc>
        <w:tc>
          <w:tcPr>
            <w:tcW w:w="1028" w:type="dxa"/>
            <w:shd w:val="clear" w:color="auto" w:fill="E7E6E6" w:themeFill="background2"/>
            <w:noWrap/>
            <w:tcMar>
              <w:right w:w="0" w:type="nil"/>
            </w:tcMar>
            <w:hideMark/>
          </w:tcPr>
          <w:p w14:paraId="7811A617" w14:textId="77777777" w:rsidR="006E51BF" w:rsidRPr="00011F05" w:rsidRDefault="006E51BF">
            <w:pPr>
              <w:pStyle w:val="ARfintabletextright8pt"/>
            </w:pPr>
            <w:r>
              <w:t>–</w:t>
            </w:r>
          </w:p>
        </w:tc>
        <w:tc>
          <w:tcPr>
            <w:tcW w:w="996" w:type="dxa"/>
            <w:shd w:val="clear" w:color="auto" w:fill="E7E6E6" w:themeFill="background2"/>
            <w:noWrap/>
            <w:tcMar>
              <w:right w:w="0" w:type="nil"/>
            </w:tcMar>
            <w:hideMark/>
          </w:tcPr>
          <w:p w14:paraId="581DB6BE" w14:textId="77777777" w:rsidR="006E51BF" w:rsidRPr="00011F05" w:rsidRDefault="006E51BF">
            <w:pPr>
              <w:pStyle w:val="ARfintabletextright8pt"/>
            </w:pPr>
            <w:r w:rsidRPr="00011F05">
              <w:t>14.8</w:t>
            </w:r>
          </w:p>
        </w:tc>
        <w:tc>
          <w:tcPr>
            <w:tcW w:w="1095" w:type="dxa"/>
            <w:noWrap/>
            <w:tcMar>
              <w:right w:w="0" w:type="nil"/>
            </w:tcMar>
            <w:hideMark/>
          </w:tcPr>
          <w:p w14:paraId="06F87091" w14:textId="77777777" w:rsidR="006E51BF" w:rsidRPr="00011F05" w:rsidRDefault="006E51BF">
            <w:pPr>
              <w:pStyle w:val="ARfintabletextright8pt"/>
            </w:pPr>
            <w:r w:rsidRPr="00011F05">
              <w:t>13.2</w:t>
            </w:r>
          </w:p>
        </w:tc>
        <w:tc>
          <w:tcPr>
            <w:tcW w:w="1169" w:type="dxa"/>
            <w:noWrap/>
            <w:tcMar>
              <w:right w:w="0" w:type="nil"/>
            </w:tcMar>
            <w:hideMark/>
          </w:tcPr>
          <w:p w14:paraId="0403207A" w14:textId="77777777" w:rsidR="006E51BF" w:rsidRPr="00011F05" w:rsidRDefault="006E51BF">
            <w:pPr>
              <w:pStyle w:val="ARfintabletextright8pt"/>
            </w:pPr>
            <w:r>
              <w:t>–</w:t>
            </w:r>
          </w:p>
        </w:tc>
        <w:tc>
          <w:tcPr>
            <w:tcW w:w="1095" w:type="dxa"/>
            <w:noWrap/>
            <w:tcMar>
              <w:right w:w="0" w:type="nil"/>
            </w:tcMar>
            <w:hideMark/>
          </w:tcPr>
          <w:p w14:paraId="0701ABD6" w14:textId="77777777" w:rsidR="006E51BF" w:rsidRPr="00011F05" w:rsidRDefault="006E51BF">
            <w:pPr>
              <w:pStyle w:val="ARfintabletextright8pt"/>
            </w:pPr>
            <w:r w:rsidRPr="00011F05">
              <w:t>3.5</w:t>
            </w:r>
          </w:p>
        </w:tc>
        <w:tc>
          <w:tcPr>
            <w:tcW w:w="1101" w:type="dxa"/>
            <w:noWrap/>
            <w:tcMar>
              <w:right w:w="0" w:type="nil"/>
            </w:tcMar>
            <w:hideMark/>
          </w:tcPr>
          <w:p w14:paraId="6629D71A" w14:textId="77777777" w:rsidR="006E51BF" w:rsidRPr="00011F05" w:rsidRDefault="006E51BF">
            <w:pPr>
              <w:pStyle w:val="ARfintabletextright8pt"/>
            </w:pPr>
            <w:r w:rsidRPr="00011F05">
              <w:t>4.0</w:t>
            </w:r>
          </w:p>
        </w:tc>
        <w:tc>
          <w:tcPr>
            <w:tcW w:w="1098" w:type="dxa"/>
            <w:noWrap/>
            <w:tcMar>
              <w:right w:w="0" w:type="nil"/>
            </w:tcMar>
            <w:hideMark/>
          </w:tcPr>
          <w:p w14:paraId="6E2E00A5" w14:textId="77777777" w:rsidR="006E51BF" w:rsidRPr="00011F05" w:rsidRDefault="006E51BF">
            <w:pPr>
              <w:pStyle w:val="ARfintabletextright8pt"/>
            </w:pPr>
            <w:r>
              <w:t>–</w:t>
            </w:r>
          </w:p>
        </w:tc>
        <w:tc>
          <w:tcPr>
            <w:tcW w:w="1098" w:type="dxa"/>
            <w:noWrap/>
            <w:tcMar>
              <w:right w:w="0" w:type="nil"/>
            </w:tcMar>
            <w:hideMark/>
          </w:tcPr>
          <w:p w14:paraId="75DBB1F9" w14:textId="77777777" w:rsidR="006E51BF" w:rsidRPr="00011F05" w:rsidRDefault="006E51BF">
            <w:pPr>
              <w:pStyle w:val="ARfintabletextright8pt"/>
            </w:pPr>
            <w:r w:rsidRPr="00011F05">
              <w:t>12.7</w:t>
            </w:r>
          </w:p>
        </w:tc>
      </w:tr>
      <w:tr w:rsidR="006E51BF" w:rsidRPr="00011F05" w14:paraId="063C97F3"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966" w:type="dxa"/>
            <w:hideMark/>
          </w:tcPr>
          <w:p w14:paraId="3E6CAEA9" w14:textId="77777777" w:rsidR="006E51BF" w:rsidRPr="00011F05" w:rsidRDefault="006E51BF">
            <w:pPr>
              <w:pStyle w:val="ARfintabletext8pt"/>
              <w:rPr>
                <w:lang w:eastAsia="en-AU"/>
              </w:rPr>
            </w:pPr>
            <w:r w:rsidRPr="00011F05">
              <w:rPr>
                <w:lang w:eastAsia="en-AU"/>
              </w:rPr>
              <w:t>Victorian Veterans Fund</w:t>
            </w:r>
          </w:p>
        </w:tc>
        <w:tc>
          <w:tcPr>
            <w:tcW w:w="968" w:type="dxa"/>
            <w:shd w:val="clear" w:color="auto" w:fill="E7E6E6" w:themeFill="background2"/>
            <w:noWrap/>
            <w:tcMar>
              <w:right w:w="0" w:type="nil"/>
            </w:tcMar>
            <w:hideMark/>
          </w:tcPr>
          <w:p w14:paraId="6A7553DF" w14:textId="77777777" w:rsidR="006E51BF" w:rsidRPr="00011F05" w:rsidRDefault="006E51BF">
            <w:pPr>
              <w:pStyle w:val="ARfintabletextright8pt"/>
            </w:pPr>
            <w:r w:rsidRPr="00011F05">
              <w:t>0.0</w:t>
            </w:r>
          </w:p>
        </w:tc>
        <w:tc>
          <w:tcPr>
            <w:tcW w:w="973" w:type="dxa"/>
            <w:shd w:val="clear" w:color="auto" w:fill="E7E6E6" w:themeFill="background2"/>
            <w:noWrap/>
            <w:tcMar>
              <w:right w:w="0" w:type="nil"/>
            </w:tcMar>
            <w:hideMark/>
          </w:tcPr>
          <w:p w14:paraId="321F80FB" w14:textId="77777777" w:rsidR="006E51BF" w:rsidRPr="00011F05" w:rsidRDefault="006E51BF">
            <w:pPr>
              <w:pStyle w:val="ARfintabletextright8pt"/>
            </w:pPr>
            <w:r w:rsidRPr="00011F05">
              <w:t>0.5</w:t>
            </w:r>
          </w:p>
        </w:tc>
        <w:tc>
          <w:tcPr>
            <w:tcW w:w="973" w:type="dxa"/>
            <w:shd w:val="clear" w:color="auto" w:fill="E7E6E6" w:themeFill="background2"/>
            <w:noWrap/>
            <w:tcMar>
              <w:right w:w="0" w:type="nil"/>
            </w:tcMar>
            <w:hideMark/>
          </w:tcPr>
          <w:p w14:paraId="7DA3F765" w14:textId="77777777" w:rsidR="006E51BF" w:rsidRPr="00011F05" w:rsidRDefault="006E51BF">
            <w:pPr>
              <w:pStyle w:val="ARfintabletextright8pt"/>
            </w:pPr>
            <w:r w:rsidRPr="00011F05">
              <w:t>0.4</w:t>
            </w:r>
          </w:p>
        </w:tc>
        <w:tc>
          <w:tcPr>
            <w:tcW w:w="1028" w:type="dxa"/>
            <w:shd w:val="clear" w:color="auto" w:fill="E7E6E6" w:themeFill="background2"/>
            <w:noWrap/>
            <w:tcMar>
              <w:right w:w="0" w:type="nil"/>
            </w:tcMar>
            <w:hideMark/>
          </w:tcPr>
          <w:p w14:paraId="1656D235" w14:textId="77777777" w:rsidR="006E51BF" w:rsidRPr="00011F05" w:rsidRDefault="006E51BF">
            <w:pPr>
              <w:pStyle w:val="ARfintabletextright8pt"/>
            </w:pPr>
            <w:r>
              <w:t>–</w:t>
            </w:r>
          </w:p>
        </w:tc>
        <w:tc>
          <w:tcPr>
            <w:tcW w:w="996" w:type="dxa"/>
            <w:shd w:val="clear" w:color="auto" w:fill="E7E6E6" w:themeFill="background2"/>
            <w:noWrap/>
            <w:tcMar>
              <w:right w:w="0" w:type="nil"/>
            </w:tcMar>
            <w:hideMark/>
          </w:tcPr>
          <w:p w14:paraId="1BCB001E" w14:textId="77777777" w:rsidR="006E51BF" w:rsidRPr="00011F05" w:rsidRDefault="006E51BF">
            <w:pPr>
              <w:pStyle w:val="ARfintabletextright8pt"/>
            </w:pPr>
            <w:r w:rsidRPr="00011F05">
              <w:t>0.1</w:t>
            </w:r>
          </w:p>
        </w:tc>
        <w:tc>
          <w:tcPr>
            <w:tcW w:w="1095" w:type="dxa"/>
            <w:noWrap/>
            <w:tcMar>
              <w:right w:w="0" w:type="nil"/>
            </w:tcMar>
            <w:hideMark/>
          </w:tcPr>
          <w:p w14:paraId="55D02F9A" w14:textId="77777777" w:rsidR="006E51BF" w:rsidRPr="00011F05" w:rsidRDefault="006E51BF">
            <w:pPr>
              <w:pStyle w:val="ARfintabletextright8pt"/>
            </w:pPr>
            <w:r w:rsidRPr="00011F05">
              <w:t>0.2</w:t>
            </w:r>
          </w:p>
        </w:tc>
        <w:tc>
          <w:tcPr>
            <w:tcW w:w="1169" w:type="dxa"/>
            <w:noWrap/>
            <w:tcMar>
              <w:right w:w="0" w:type="nil"/>
            </w:tcMar>
            <w:hideMark/>
          </w:tcPr>
          <w:p w14:paraId="2EBF0355" w14:textId="77777777" w:rsidR="006E51BF" w:rsidRPr="00011F05" w:rsidRDefault="006E51BF">
            <w:pPr>
              <w:pStyle w:val="ARfintabletextright8pt"/>
            </w:pPr>
            <w:r>
              <w:t>–</w:t>
            </w:r>
          </w:p>
        </w:tc>
        <w:tc>
          <w:tcPr>
            <w:tcW w:w="1095" w:type="dxa"/>
            <w:noWrap/>
            <w:tcMar>
              <w:right w:w="0" w:type="nil"/>
            </w:tcMar>
            <w:hideMark/>
          </w:tcPr>
          <w:p w14:paraId="70EFAC4B" w14:textId="77777777" w:rsidR="006E51BF" w:rsidRPr="00011F05" w:rsidRDefault="006E51BF">
            <w:pPr>
              <w:pStyle w:val="ARfintabletextright8pt"/>
            </w:pPr>
            <w:r w:rsidRPr="00011F05">
              <w:t>0.5</w:t>
            </w:r>
          </w:p>
        </w:tc>
        <w:tc>
          <w:tcPr>
            <w:tcW w:w="1101" w:type="dxa"/>
            <w:noWrap/>
            <w:tcMar>
              <w:right w:w="0" w:type="nil"/>
            </w:tcMar>
            <w:hideMark/>
          </w:tcPr>
          <w:p w14:paraId="35B19FF9" w14:textId="77777777" w:rsidR="006E51BF" w:rsidRPr="00011F05" w:rsidRDefault="006E51BF">
            <w:pPr>
              <w:pStyle w:val="ARfintabletextright8pt"/>
            </w:pPr>
            <w:r w:rsidRPr="00011F05">
              <w:t>0.7</w:t>
            </w:r>
          </w:p>
        </w:tc>
        <w:tc>
          <w:tcPr>
            <w:tcW w:w="1098" w:type="dxa"/>
            <w:noWrap/>
            <w:tcMar>
              <w:right w:w="0" w:type="nil"/>
            </w:tcMar>
            <w:hideMark/>
          </w:tcPr>
          <w:p w14:paraId="7A52EE7E" w14:textId="77777777" w:rsidR="006E51BF" w:rsidRPr="00011F05" w:rsidRDefault="006E51BF">
            <w:pPr>
              <w:pStyle w:val="ARfintabletextright8pt"/>
            </w:pPr>
            <w:r>
              <w:t>–</w:t>
            </w:r>
          </w:p>
        </w:tc>
        <w:tc>
          <w:tcPr>
            <w:tcW w:w="1098" w:type="dxa"/>
            <w:noWrap/>
            <w:tcMar>
              <w:right w:w="0" w:type="nil"/>
            </w:tcMar>
            <w:hideMark/>
          </w:tcPr>
          <w:p w14:paraId="5A944C36" w14:textId="77777777" w:rsidR="006E51BF" w:rsidRPr="00011F05" w:rsidRDefault="006E51BF">
            <w:pPr>
              <w:pStyle w:val="ARfintabletextright8pt"/>
            </w:pPr>
            <w:r w:rsidRPr="00011F05">
              <w:t>0.0</w:t>
            </w:r>
          </w:p>
        </w:tc>
      </w:tr>
      <w:tr w:rsidR="006E51BF" w:rsidRPr="00011F05" w14:paraId="5F26474A"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966" w:type="dxa"/>
            <w:hideMark/>
          </w:tcPr>
          <w:p w14:paraId="5D9E0112" w14:textId="77777777" w:rsidR="006E51BF" w:rsidRPr="00011F05" w:rsidRDefault="006E51BF">
            <w:pPr>
              <w:pStyle w:val="ARfintabletext8pt"/>
              <w:rPr>
                <w:lang w:eastAsia="en-AU"/>
              </w:rPr>
            </w:pPr>
            <w:r w:rsidRPr="00011F05">
              <w:rPr>
                <w:lang w:eastAsia="en-AU"/>
              </w:rPr>
              <w:t>Anzac Day Proceeds Fund</w:t>
            </w:r>
          </w:p>
        </w:tc>
        <w:tc>
          <w:tcPr>
            <w:tcW w:w="968" w:type="dxa"/>
            <w:shd w:val="clear" w:color="auto" w:fill="E7E6E6" w:themeFill="background2"/>
            <w:noWrap/>
            <w:tcMar>
              <w:right w:w="0" w:type="nil"/>
            </w:tcMar>
            <w:hideMark/>
          </w:tcPr>
          <w:p w14:paraId="119BE76F" w14:textId="77777777" w:rsidR="006E51BF" w:rsidRPr="00011F05" w:rsidRDefault="006E51BF">
            <w:pPr>
              <w:pStyle w:val="ARfintabletextright8pt"/>
            </w:pPr>
            <w:r w:rsidRPr="00011F05">
              <w:t>1.1</w:t>
            </w:r>
          </w:p>
        </w:tc>
        <w:tc>
          <w:tcPr>
            <w:tcW w:w="973" w:type="dxa"/>
            <w:shd w:val="clear" w:color="auto" w:fill="E7E6E6" w:themeFill="background2"/>
            <w:noWrap/>
            <w:tcMar>
              <w:right w:w="0" w:type="nil"/>
            </w:tcMar>
            <w:hideMark/>
          </w:tcPr>
          <w:p w14:paraId="250A4346" w14:textId="77777777" w:rsidR="006E51BF" w:rsidRPr="00011F05" w:rsidRDefault="006E51BF">
            <w:pPr>
              <w:pStyle w:val="ARfintabletextright8pt"/>
            </w:pPr>
            <w:r w:rsidRPr="00011F05">
              <w:t>1.1</w:t>
            </w:r>
          </w:p>
        </w:tc>
        <w:tc>
          <w:tcPr>
            <w:tcW w:w="973" w:type="dxa"/>
            <w:shd w:val="clear" w:color="auto" w:fill="E7E6E6" w:themeFill="background2"/>
            <w:noWrap/>
            <w:tcMar>
              <w:right w:w="0" w:type="nil"/>
            </w:tcMar>
            <w:hideMark/>
          </w:tcPr>
          <w:p w14:paraId="15C3A5E1" w14:textId="77777777" w:rsidR="006E51BF" w:rsidRPr="00011F05" w:rsidRDefault="006E51BF">
            <w:pPr>
              <w:pStyle w:val="ARfintabletextright8pt"/>
            </w:pPr>
            <w:r w:rsidRPr="00011F05">
              <w:t>1.2</w:t>
            </w:r>
          </w:p>
        </w:tc>
        <w:tc>
          <w:tcPr>
            <w:tcW w:w="1028" w:type="dxa"/>
            <w:shd w:val="clear" w:color="auto" w:fill="E7E6E6" w:themeFill="background2"/>
            <w:noWrap/>
            <w:tcMar>
              <w:right w:w="0" w:type="nil"/>
            </w:tcMar>
            <w:hideMark/>
          </w:tcPr>
          <w:p w14:paraId="0DBF6D3A" w14:textId="77777777" w:rsidR="006E51BF" w:rsidRPr="00011F05" w:rsidRDefault="006E51BF">
            <w:pPr>
              <w:pStyle w:val="ARfintabletextright8pt"/>
            </w:pPr>
            <w:r>
              <w:t>–</w:t>
            </w:r>
          </w:p>
        </w:tc>
        <w:tc>
          <w:tcPr>
            <w:tcW w:w="996" w:type="dxa"/>
            <w:shd w:val="clear" w:color="auto" w:fill="E7E6E6" w:themeFill="background2"/>
            <w:noWrap/>
            <w:tcMar>
              <w:right w:w="0" w:type="nil"/>
            </w:tcMar>
            <w:hideMark/>
          </w:tcPr>
          <w:p w14:paraId="03CDFE4D" w14:textId="77777777" w:rsidR="006E51BF" w:rsidRPr="00011F05" w:rsidRDefault="006E51BF">
            <w:pPr>
              <w:pStyle w:val="ARfintabletextright8pt"/>
            </w:pPr>
            <w:r w:rsidRPr="00011F05">
              <w:t>1.1</w:t>
            </w:r>
          </w:p>
        </w:tc>
        <w:tc>
          <w:tcPr>
            <w:tcW w:w="1095" w:type="dxa"/>
            <w:noWrap/>
            <w:tcMar>
              <w:right w:w="0" w:type="nil"/>
            </w:tcMar>
            <w:hideMark/>
          </w:tcPr>
          <w:p w14:paraId="10A1743E" w14:textId="77777777" w:rsidR="006E51BF" w:rsidRPr="00011F05" w:rsidRDefault="006E51BF">
            <w:pPr>
              <w:pStyle w:val="ARfintabletextright8pt"/>
            </w:pPr>
            <w:r w:rsidRPr="00011F05">
              <w:t>0.8</w:t>
            </w:r>
          </w:p>
        </w:tc>
        <w:tc>
          <w:tcPr>
            <w:tcW w:w="1169" w:type="dxa"/>
            <w:noWrap/>
            <w:tcMar>
              <w:right w:w="0" w:type="nil"/>
            </w:tcMar>
            <w:hideMark/>
          </w:tcPr>
          <w:p w14:paraId="1CF51EB4" w14:textId="77777777" w:rsidR="006E51BF" w:rsidRPr="00011F05" w:rsidRDefault="006E51BF">
            <w:pPr>
              <w:pStyle w:val="ARfintabletextright8pt"/>
            </w:pPr>
            <w:r>
              <w:t>–</w:t>
            </w:r>
          </w:p>
        </w:tc>
        <w:tc>
          <w:tcPr>
            <w:tcW w:w="1095" w:type="dxa"/>
            <w:noWrap/>
            <w:tcMar>
              <w:right w:w="0" w:type="nil"/>
            </w:tcMar>
            <w:hideMark/>
          </w:tcPr>
          <w:p w14:paraId="02A7B15E" w14:textId="77777777" w:rsidR="006E51BF" w:rsidRPr="00011F05" w:rsidRDefault="006E51BF">
            <w:pPr>
              <w:pStyle w:val="ARfintabletextright8pt"/>
            </w:pPr>
            <w:r w:rsidRPr="00011F05">
              <w:t>1.1</w:t>
            </w:r>
          </w:p>
        </w:tc>
        <w:tc>
          <w:tcPr>
            <w:tcW w:w="1101" w:type="dxa"/>
            <w:noWrap/>
            <w:tcMar>
              <w:right w:w="0" w:type="nil"/>
            </w:tcMar>
            <w:hideMark/>
          </w:tcPr>
          <w:p w14:paraId="764C0BAF" w14:textId="77777777" w:rsidR="006E51BF" w:rsidRPr="00011F05" w:rsidRDefault="006E51BF">
            <w:pPr>
              <w:pStyle w:val="ARfintabletextright8pt"/>
            </w:pPr>
            <w:r w:rsidRPr="00011F05">
              <w:t>1.0</w:t>
            </w:r>
          </w:p>
        </w:tc>
        <w:tc>
          <w:tcPr>
            <w:tcW w:w="1098" w:type="dxa"/>
            <w:noWrap/>
            <w:tcMar>
              <w:right w:w="0" w:type="nil"/>
            </w:tcMar>
            <w:hideMark/>
          </w:tcPr>
          <w:p w14:paraId="5E691CAE" w14:textId="77777777" w:rsidR="006E51BF" w:rsidRPr="00011F05" w:rsidRDefault="006E51BF">
            <w:pPr>
              <w:pStyle w:val="ARfintabletextright8pt"/>
            </w:pPr>
            <w:r w:rsidRPr="00011F05">
              <w:t>0.2</w:t>
            </w:r>
          </w:p>
        </w:tc>
        <w:tc>
          <w:tcPr>
            <w:tcW w:w="1098" w:type="dxa"/>
            <w:noWrap/>
            <w:tcMar>
              <w:right w:w="0" w:type="nil"/>
            </w:tcMar>
            <w:hideMark/>
          </w:tcPr>
          <w:p w14:paraId="017E238B" w14:textId="77777777" w:rsidR="006E51BF" w:rsidRPr="00011F05" w:rsidRDefault="006E51BF">
            <w:pPr>
              <w:pStyle w:val="ARfintabletextright8pt"/>
            </w:pPr>
            <w:r w:rsidRPr="00011F05">
              <w:t>1.1</w:t>
            </w:r>
          </w:p>
        </w:tc>
      </w:tr>
      <w:tr w:rsidR="006E51BF" w:rsidRPr="00011F05" w14:paraId="4C2FC13B"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966" w:type="dxa"/>
            <w:hideMark/>
          </w:tcPr>
          <w:p w14:paraId="5A89B9C6" w14:textId="77777777" w:rsidR="006E51BF" w:rsidRPr="00011F05" w:rsidRDefault="006E51BF">
            <w:pPr>
              <w:pStyle w:val="ARfintabletext8pt"/>
              <w:rPr>
                <w:lang w:eastAsia="en-AU"/>
              </w:rPr>
            </w:pPr>
            <w:r w:rsidRPr="00011F05">
              <w:rPr>
                <w:lang w:eastAsia="en-AU"/>
              </w:rPr>
              <w:t>Commonwealth Treasury Trust Fund</w:t>
            </w:r>
          </w:p>
        </w:tc>
        <w:tc>
          <w:tcPr>
            <w:tcW w:w="968" w:type="dxa"/>
            <w:shd w:val="clear" w:color="auto" w:fill="E7E6E6" w:themeFill="background2"/>
            <w:noWrap/>
            <w:tcMar>
              <w:right w:w="0" w:type="nil"/>
            </w:tcMar>
            <w:hideMark/>
          </w:tcPr>
          <w:p w14:paraId="70A8C8B4" w14:textId="77777777" w:rsidR="006E51BF" w:rsidRPr="00011F05" w:rsidRDefault="006E51BF">
            <w:pPr>
              <w:pStyle w:val="ARfintabletextright8pt"/>
            </w:pPr>
            <w:r w:rsidRPr="00011F05">
              <w:t>4.7</w:t>
            </w:r>
          </w:p>
        </w:tc>
        <w:tc>
          <w:tcPr>
            <w:tcW w:w="973" w:type="dxa"/>
            <w:shd w:val="clear" w:color="auto" w:fill="E7E6E6" w:themeFill="background2"/>
            <w:noWrap/>
            <w:tcMar>
              <w:right w:w="0" w:type="nil"/>
            </w:tcMar>
            <w:hideMark/>
          </w:tcPr>
          <w:p w14:paraId="16289130" w14:textId="77777777" w:rsidR="006E51BF" w:rsidRPr="00011F05" w:rsidRDefault="006E51BF">
            <w:pPr>
              <w:pStyle w:val="ARfintabletextright8pt"/>
            </w:pPr>
            <w:r w:rsidRPr="00011F05">
              <w:t>3.3</w:t>
            </w:r>
          </w:p>
        </w:tc>
        <w:tc>
          <w:tcPr>
            <w:tcW w:w="973" w:type="dxa"/>
            <w:shd w:val="clear" w:color="auto" w:fill="E7E6E6" w:themeFill="background2"/>
            <w:noWrap/>
            <w:tcMar>
              <w:right w:w="0" w:type="nil"/>
            </w:tcMar>
            <w:hideMark/>
          </w:tcPr>
          <w:p w14:paraId="2D569237" w14:textId="77777777" w:rsidR="006E51BF" w:rsidRPr="00011F05" w:rsidRDefault="006E51BF">
            <w:pPr>
              <w:pStyle w:val="ARfintabletextright8pt"/>
            </w:pPr>
            <w:r>
              <w:t>–</w:t>
            </w:r>
          </w:p>
        </w:tc>
        <w:tc>
          <w:tcPr>
            <w:tcW w:w="1028" w:type="dxa"/>
            <w:shd w:val="clear" w:color="auto" w:fill="E7E6E6" w:themeFill="background2"/>
            <w:noWrap/>
            <w:tcMar>
              <w:right w:w="0" w:type="nil"/>
            </w:tcMar>
            <w:hideMark/>
          </w:tcPr>
          <w:p w14:paraId="6D340F29" w14:textId="77777777" w:rsidR="006E51BF" w:rsidRPr="00011F05" w:rsidRDefault="006E51BF">
            <w:pPr>
              <w:pStyle w:val="ARfintabletextright8pt"/>
            </w:pPr>
            <w:r>
              <w:t>–</w:t>
            </w:r>
          </w:p>
        </w:tc>
        <w:tc>
          <w:tcPr>
            <w:tcW w:w="996" w:type="dxa"/>
            <w:shd w:val="clear" w:color="auto" w:fill="E7E6E6" w:themeFill="background2"/>
            <w:noWrap/>
            <w:tcMar>
              <w:right w:w="0" w:type="nil"/>
            </w:tcMar>
            <w:hideMark/>
          </w:tcPr>
          <w:p w14:paraId="0136872B" w14:textId="77777777" w:rsidR="006E51BF" w:rsidRPr="00011F05" w:rsidRDefault="006E51BF">
            <w:pPr>
              <w:pStyle w:val="ARfintabletextright8pt"/>
            </w:pPr>
            <w:r w:rsidRPr="00011F05">
              <w:t>8.1</w:t>
            </w:r>
          </w:p>
        </w:tc>
        <w:tc>
          <w:tcPr>
            <w:tcW w:w="1095" w:type="dxa"/>
            <w:noWrap/>
            <w:tcMar>
              <w:right w:w="0" w:type="nil"/>
            </w:tcMar>
            <w:hideMark/>
          </w:tcPr>
          <w:p w14:paraId="23EC260F" w14:textId="77777777" w:rsidR="006E51BF" w:rsidRPr="00011F05" w:rsidRDefault="006E51BF">
            <w:pPr>
              <w:pStyle w:val="ARfintabletextright8pt"/>
            </w:pPr>
            <w:r>
              <w:t>–</w:t>
            </w:r>
          </w:p>
        </w:tc>
        <w:tc>
          <w:tcPr>
            <w:tcW w:w="1169" w:type="dxa"/>
            <w:noWrap/>
            <w:tcMar>
              <w:right w:w="0" w:type="nil"/>
            </w:tcMar>
            <w:hideMark/>
          </w:tcPr>
          <w:p w14:paraId="357CD216" w14:textId="77777777" w:rsidR="006E51BF" w:rsidRPr="00011F05" w:rsidRDefault="006E51BF">
            <w:pPr>
              <w:pStyle w:val="ARfintabletextright8pt"/>
            </w:pPr>
            <w:r>
              <w:t>–</w:t>
            </w:r>
          </w:p>
        </w:tc>
        <w:tc>
          <w:tcPr>
            <w:tcW w:w="1095" w:type="dxa"/>
            <w:noWrap/>
            <w:tcMar>
              <w:right w:w="0" w:type="nil"/>
            </w:tcMar>
            <w:hideMark/>
          </w:tcPr>
          <w:p w14:paraId="109463A9" w14:textId="77777777" w:rsidR="006E51BF" w:rsidRPr="00011F05" w:rsidRDefault="006E51BF">
            <w:pPr>
              <w:pStyle w:val="ARfintabletextright8pt"/>
            </w:pPr>
            <w:r w:rsidRPr="00011F05">
              <w:t>4.7</w:t>
            </w:r>
          </w:p>
        </w:tc>
        <w:tc>
          <w:tcPr>
            <w:tcW w:w="1101" w:type="dxa"/>
            <w:noWrap/>
            <w:tcMar>
              <w:right w:w="0" w:type="nil"/>
            </w:tcMar>
            <w:hideMark/>
          </w:tcPr>
          <w:p w14:paraId="27BFF51B" w14:textId="77777777" w:rsidR="006E51BF" w:rsidRPr="00011F05" w:rsidRDefault="006E51BF">
            <w:pPr>
              <w:pStyle w:val="ARfintabletextright8pt"/>
            </w:pPr>
            <w:r>
              <w:t>–</w:t>
            </w:r>
          </w:p>
        </w:tc>
        <w:tc>
          <w:tcPr>
            <w:tcW w:w="1098" w:type="dxa"/>
            <w:noWrap/>
            <w:tcMar>
              <w:right w:w="0" w:type="nil"/>
            </w:tcMar>
            <w:hideMark/>
          </w:tcPr>
          <w:p w14:paraId="0A2AD4D1" w14:textId="77777777" w:rsidR="006E51BF" w:rsidRPr="00011F05" w:rsidRDefault="006E51BF">
            <w:pPr>
              <w:pStyle w:val="ARfintabletextright8pt"/>
            </w:pPr>
            <w:r>
              <w:t>–</w:t>
            </w:r>
          </w:p>
        </w:tc>
        <w:tc>
          <w:tcPr>
            <w:tcW w:w="1098" w:type="dxa"/>
            <w:noWrap/>
            <w:tcMar>
              <w:right w:w="0" w:type="nil"/>
            </w:tcMar>
            <w:hideMark/>
          </w:tcPr>
          <w:p w14:paraId="28331EC2" w14:textId="77777777" w:rsidR="006E51BF" w:rsidRPr="00011F05" w:rsidRDefault="006E51BF">
            <w:pPr>
              <w:pStyle w:val="ARfintabletextright8pt"/>
            </w:pPr>
            <w:r w:rsidRPr="00011F05">
              <w:t>4.7</w:t>
            </w:r>
          </w:p>
        </w:tc>
      </w:tr>
      <w:tr w:rsidR="004D01FA" w:rsidRPr="00011F05" w14:paraId="421CDB94"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2966" w:type="dxa"/>
          </w:tcPr>
          <w:p w14:paraId="203635F0" w14:textId="0149D065" w:rsidR="004D01FA" w:rsidRPr="00011F05" w:rsidRDefault="004D01FA" w:rsidP="004D01FA">
            <w:pPr>
              <w:pStyle w:val="ARfintabletextbold8pt"/>
            </w:pPr>
            <w:r w:rsidRPr="00011F05">
              <w:t>Total controlled trusts</w:t>
            </w:r>
          </w:p>
        </w:tc>
        <w:tc>
          <w:tcPr>
            <w:tcW w:w="968" w:type="dxa"/>
            <w:shd w:val="clear" w:color="auto" w:fill="E7E6E6" w:themeFill="background2"/>
            <w:noWrap/>
            <w:tcMar>
              <w:right w:w="0" w:type="nil"/>
            </w:tcMar>
          </w:tcPr>
          <w:p w14:paraId="5AC004EA" w14:textId="07CC717C" w:rsidR="004D01FA" w:rsidRPr="00011F05" w:rsidRDefault="004D01FA" w:rsidP="004D01FA">
            <w:pPr>
              <w:pStyle w:val="ARfintabletextbold8pt"/>
              <w:jc w:val="right"/>
            </w:pPr>
            <w:r w:rsidRPr="00011F05">
              <w:t>48.5</w:t>
            </w:r>
          </w:p>
        </w:tc>
        <w:tc>
          <w:tcPr>
            <w:tcW w:w="973" w:type="dxa"/>
            <w:shd w:val="clear" w:color="auto" w:fill="E7E6E6" w:themeFill="background2"/>
            <w:noWrap/>
            <w:tcMar>
              <w:right w:w="0" w:type="nil"/>
            </w:tcMar>
          </w:tcPr>
          <w:p w14:paraId="13895EDA" w14:textId="492A5DC4" w:rsidR="004D01FA" w:rsidRPr="00011F05" w:rsidRDefault="004D01FA" w:rsidP="004D01FA">
            <w:pPr>
              <w:pStyle w:val="ARfintabletextbold8pt"/>
              <w:jc w:val="right"/>
            </w:pPr>
            <w:r w:rsidRPr="00011F05">
              <w:t>135.3</w:t>
            </w:r>
          </w:p>
        </w:tc>
        <w:tc>
          <w:tcPr>
            <w:tcW w:w="973" w:type="dxa"/>
            <w:shd w:val="clear" w:color="auto" w:fill="E7E6E6" w:themeFill="background2"/>
            <w:noWrap/>
            <w:tcMar>
              <w:right w:w="0" w:type="nil"/>
            </w:tcMar>
          </w:tcPr>
          <w:p w14:paraId="18087C82" w14:textId="795C04A0" w:rsidR="004D01FA" w:rsidRDefault="004D01FA" w:rsidP="004D01FA">
            <w:pPr>
              <w:pStyle w:val="ARfintabletextbold8pt"/>
              <w:jc w:val="right"/>
            </w:pPr>
            <w:r w:rsidRPr="00011F05">
              <w:t>117.2</w:t>
            </w:r>
          </w:p>
        </w:tc>
        <w:tc>
          <w:tcPr>
            <w:tcW w:w="1028" w:type="dxa"/>
            <w:shd w:val="clear" w:color="auto" w:fill="E7E6E6" w:themeFill="background2"/>
            <w:noWrap/>
            <w:tcMar>
              <w:right w:w="0" w:type="nil"/>
            </w:tcMar>
          </w:tcPr>
          <w:p w14:paraId="189D3A41" w14:textId="5A2A5D2B" w:rsidR="004D01FA" w:rsidRDefault="004D01FA" w:rsidP="004D01FA">
            <w:pPr>
              <w:pStyle w:val="ARfintabletextbold8pt"/>
              <w:jc w:val="right"/>
            </w:pPr>
            <w:r w:rsidRPr="00011F05">
              <w:t>(0.3)</w:t>
            </w:r>
          </w:p>
        </w:tc>
        <w:tc>
          <w:tcPr>
            <w:tcW w:w="996" w:type="dxa"/>
            <w:shd w:val="clear" w:color="auto" w:fill="E7E6E6" w:themeFill="background2"/>
            <w:noWrap/>
            <w:tcMar>
              <w:right w:w="0" w:type="nil"/>
            </w:tcMar>
          </w:tcPr>
          <w:p w14:paraId="62D09DD6" w14:textId="26451BF4" w:rsidR="004D01FA" w:rsidRPr="00011F05" w:rsidRDefault="004D01FA" w:rsidP="004D01FA">
            <w:pPr>
              <w:pStyle w:val="ARfintabletextbold8pt"/>
              <w:jc w:val="right"/>
            </w:pPr>
            <w:r w:rsidRPr="00011F05">
              <w:t>66.2</w:t>
            </w:r>
          </w:p>
        </w:tc>
        <w:tc>
          <w:tcPr>
            <w:tcW w:w="1095" w:type="dxa"/>
            <w:noWrap/>
            <w:tcMar>
              <w:right w:w="0" w:type="nil"/>
            </w:tcMar>
          </w:tcPr>
          <w:p w14:paraId="78440CDB" w14:textId="444E379B" w:rsidR="004D01FA" w:rsidRDefault="004D01FA" w:rsidP="004D01FA">
            <w:pPr>
              <w:pStyle w:val="ARfintabletextbold8pt"/>
              <w:jc w:val="right"/>
            </w:pPr>
            <w:r w:rsidRPr="00011F05">
              <w:t>47.1</w:t>
            </w:r>
          </w:p>
        </w:tc>
        <w:tc>
          <w:tcPr>
            <w:tcW w:w="1169" w:type="dxa"/>
            <w:noWrap/>
            <w:tcMar>
              <w:right w:w="0" w:type="nil"/>
            </w:tcMar>
          </w:tcPr>
          <w:p w14:paraId="65AE1FE6" w14:textId="07B81898" w:rsidR="004D01FA" w:rsidRDefault="004D01FA" w:rsidP="004D01FA">
            <w:pPr>
              <w:pStyle w:val="ARfintabletextbold8pt"/>
              <w:jc w:val="right"/>
            </w:pPr>
            <w:r>
              <w:t>–</w:t>
            </w:r>
          </w:p>
        </w:tc>
        <w:tc>
          <w:tcPr>
            <w:tcW w:w="1095" w:type="dxa"/>
            <w:noWrap/>
            <w:tcMar>
              <w:right w:w="0" w:type="nil"/>
            </w:tcMar>
          </w:tcPr>
          <w:p w14:paraId="640A9B96" w14:textId="3C94262F" w:rsidR="004D01FA" w:rsidRPr="00011F05" w:rsidRDefault="004D01FA" w:rsidP="004D01FA">
            <w:pPr>
              <w:pStyle w:val="ARfintabletextbold8pt"/>
              <w:jc w:val="right"/>
            </w:pPr>
            <w:r w:rsidRPr="00011F05">
              <w:t>109.5</w:t>
            </w:r>
          </w:p>
        </w:tc>
        <w:tc>
          <w:tcPr>
            <w:tcW w:w="1101" w:type="dxa"/>
            <w:noWrap/>
            <w:tcMar>
              <w:right w:w="0" w:type="nil"/>
            </w:tcMar>
          </w:tcPr>
          <w:p w14:paraId="05FFABF4" w14:textId="1A899DF0" w:rsidR="004D01FA" w:rsidRDefault="004D01FA" w:rsidP="004D01FA">
            <w:pPr>
              <w:pStyle w:val="ARfintabletextbold8pt"/>
              <w:jc w:val="right"/>
            </w:pPr>
            <w:r w:rsidRPr="00011F05">
              <w:t>104.5</w:t>
            </w:r>
          </w:p>
        </w:tc>
        <w:tc>
          <w:tcPr>
            <w:tcW w:w="1098" w:type="dxa"/>
            <w:noWrap/>
            <w:tcMar>
              <w:right w:w="0" w:type="nil"/>
            </w:tcMar>
          </w:tcPr>
          <w:p w14:paraId="3C7456AE" w14:textId="2C7CB0E4" w:rsidR="004D01FA" w:rsidRDefault="004D01FA" w:rsidP="004D01FA">
            <w:pPr>
              <w:pStyle w:val="ARfintabletextbold8pt"/>
              <w:jc w:val="right"/>
            </w:pPr>
            <w:r w:rsidRPr="00011F05">
              <w:t>(3.7)</w:t>
            </w:r>
          </w:p>
        </w:tc>
        <w:tc>
          <w:tcPr>
            <w:tcW w:w="1098" w:type="dxa"/>
            <w:noWrap/>
            <w:tcMar>
              <w:right w:w="0" w:type="nil"/>
            </w:tcMar>
          </w:tcPr>
          <w:p w14:paraId="562E1D0A" w14:textId="469AF737" w:rsidR="004D01FA" w:rsidRPr="00011F05" w:rsidRDefault="004D01FA" w:rsidP="004D01FA">
            <w:pPr>
              <w:pStyle w:val="ARfintabletextbold8pt"/>
              <w:jc w:val="right"/>
            </w:pPr>
            <w:r w:rsidRPr="00011F05">
              <w:t>48.5</w:t>
            </w:r>
          </w:p>
        </w:tc>
      </w:tr>
    </w:tbl>
    <w:p w14:paraId="53E075A6" w14:textId="77777777" w:rsidR="006E51BF" w:rsidRDefault="006E51BF">
      <w:pPr>
        <w:pStyle w:val="ARfinbody"/>
      </w:pPr>
    </w:p>
    <w:tbl>
      <w:tblPr>
        <w:tblStyle w:val="ARtable1"/>
        <w:tblW w:w="5000" w:type="pct"/>
        <w:tblLook w:val="04E0" w:firstRow="1" w:lastRow="1" w:firstColumn="1" w:lastColumn="0" w:noHBand="0" w:noVBand="1"/>
      </w:tblPr>
      <w:tblGrid>
        <w:gridCol w:w="2964"/>
        <w:gridCol w:w="981"/>
        <w:gridCol w:w="981"/>
        <w:gridCol w:w="981"/>
        <w:gridCol w:w="1028"/>
        <w:gridCol w:w="987"/>
        <w:gridCol w:w="1095"/>
        <w:gridCol w:w="1169"/>
        <w:gridCol w:w="1095"/>
        <w:gridCol w:w="1098"/>
        <w:gridCol w:w="1095"/>
        <w:gridCol w:w="1086"/>
      </w:tblGrid>
      <w:tr w:rsidR="006E51BF" w:rsidRPr="00011F05" w14:paraId="08893401" w14:textId="77777777" w:rsidTr="00304BA9">
        <w:trPr>
          <w:cnfStyle w:val="100000000000" w:firstRow="1" w:lastRow="0" w:firstColumn="0" w:lastColumn="0" w:oddVBand="0" w:evenVBand="0" w:oddHBand="0" w:evenHBand="0" w:firstRowFirstColumn="0" w:firstRowLastColumn="0" w:lastRowFirstColumn="0" w:lastRowLastColumn="0"/>
          <w:trHeight w:val="912"/>
          <w:tblHeader/>
        </w:trPr>
        <w:tc>
          <w:tcPr>
            <w:tcW w:w="1018" w:type="pct"/>
            <w:noWrap/>
            <w:hideMark/>
          </w:tcPr>
          <w:p w14:paraId="500E86F2" w14:textId="77777777" w:rsidR="006E51BF" w:rsidRPr="00011F05" w:rsidRDefault="006E51BF">
            <w:pPr>
              <w:pStyle w:val="ARfintablecolhead8pt"/>
              <w:rPr>
                <w:lang w:eastAsia="en-AU"/>
              </w:rPr>
            </w:pPr>
          </w:p>
        </w:tc>
        <w:tc>
          <w:tcPr>
            <w:tcW w:w="337" w:type="pct"/>
            <w:shd w:val="clear" w:color="auto" w:fill="E7E6E6" w:themeFill="background2"/>
            <w:tcMar>
              <w:right w:w="0" w:type="nil"/>
            </w:tcMar>
            <w:hideMark/>
          </w:tcPr>
          <w:p w14:paraId="42844101" w14:textId="0E55BBC3" w:rsidR="00D12D22" w:rsidRDefault="00D12D22">
            <w:pPr>
              <w:pStyle w:val="ARfintablecolheadright8pt"/>
              <w:rPr>
                <w:lang w:eastAsia="en-AU"/>
              </w:rPr>
            </w:pPr>
            <w:r w:rsidRPr="00011F05">
              <w:rPr>
                <w:lang w:eastAsia="en-AU"/>
              </w:rPr>
              <w:t>2026</w:t>
            </w:r>
          </w:p>
          <w:p w14:paraId="585BDC76" w14:textId="33F7BFC2" w:rsidR="006E51BF" w:rsidRPr="00011F05" w:rsidRDefault="006E51BF">
            <w:pPr>
              <w:pStyle w:val="ARfintablecolheadright8pt"/>
              <w:rPr>
                <w:lang w:eastAsia="en-AU"/>
              </w:rPr>
            </w:pPr>
            <w:r w:rsidRPr="00011F05">
              <w:rPr>
                <w:lang w:eastAsia="en-AU"/>
              </w:rPr>
              <w:t xml:space="preserve">Opening balance as </w:t>
            </w:r>
            <w:proofErr w:type="gramStart"/>
            <w:r w:rsidRPr="00011F05">
              <w:rPr>
                <w:lang w:eastAsia="en-AU"/>
              </w:rPr>
              <w:t>at</w:t>
            </w:r>
            <w:proofErr w:type="gramEnd"/>
            <w:r w:rsidRPr="00011F05">
              <w:rPr>
                <w:lang w:eastAsia="en-AU"/>
              </w:rPr>
              <w:t xml:space="preserve"> 1 July 2025</w:t>
            </w:r>
          </w:p>
          <w:p w14:paraId="57257FF2" w14:textId="77777777" w:rsidR="006E51BF" w:rsidRPr="00011F05" w:rsidRDefault="006E51BF">
            <w:pPr>
              <w:pStyle w:val="ARfintablecolheadright8pt"/>
              <w:rPr>
                <w:lang w:eastAsia="en-AU"/>
              </w:rPr>
            </w:pPr>
            <w:r w:rsidRPr="00011F05">
              <w:rPr>
                <w:lang w:eastAsia="en-AU"/>
              </w:rPr>
              <w:t>$M</w:t>
            </w:r>
          </w:p>
        </w:tc>
        <w:tc>
          <w:tcPr>
            <w:tcW w:w="337" w:type="pct"/>
            <w:shd w:val="clear" w:color="auto" w:fill="E7E6E6" w:themeFill="background2"/>
            <w:tcMar>
              <w:right w:w="0" w:type="nil"/>
            </w:tcMar>
            <w:hideMark/>
          </w:tcPr>
          <w:p w14:paraId="3A2B9F5B" w14:textId="0A10E309" w:rsidR="00D12D22" w:rsidRDefault="00D12D22">
            <w:pPr>
              <w:pStyle w:val="ARfintablecolheadright8pt"/>
              <w:rPr>
                <w:lang w:eastAsia="en-AU"/>
              </w:rPr>
            </w:pPr>
            <w:r w:rsidRPr="00011F05">
              <w:rPr>
                <w:lang w:eastAsia="en-AU"/>
              </w:rPr>
              <w:t>2026</w:t>
            </w:r>
          </w:p>
          <w:p w14:paraId="54AA4207" w14:textId="66BEA0CC" w:rsidR="006E51BF" w:rsidRPr="00011F05" w:rsidRDefault="006E51BF">
            <w:pPr>
              <w:pStyle w:val="ARfintablecolheadright8pt"/>
              <w:rPr>
                <w:lang w:eastAsia="en-AU"/>
              </w:rPr>
            </w:pPr>
            <w:r w:rsidRPr="00011F05">
              <w:rPr>
                <w:lang w:eastAsia="en-AU"/>
              </w:rPr>
              <w:t>Total receipts</w:t>
            </w:r>
          </w:p>
          <w:p w14:paraId="22B3DB97" w14:textId="77777777" w:rsidR="006E51BF" w:rsidRPr="00011F05" w:rsidRDefault="006E51BF">
            <w:pPr>
              <w:pStyle w:val="ARfintablecolheadright8pt"/>
              <w:rPr>
                <w:lang w:eastAsia="en-AU"/>
              </w:rPr>
            </w:pPr>
            <w:r w:rsidRPr="00011F05">
              <w:rPr>
                <w:lang w:eastAsia="en-AU"/>
              </w:rPr>
              <w:t>$M</w:t>
            </w:r>
          </w:p>
        </w:tc>
        <w:tc>
          <w:tcPr>
            <w:tcW w:w="337" w:type="pct"/>
            <w:shd w:val="clear" w:color="auto" w:fill="E7E6E6" w:themeFill="background2"/>
            <w:tcMar>
              <w:right w:w="0" w:type="nil"/>
            </w:tcMar>
            <w:hideMark/>
          </w:tcPr>
          <w:p w14:paraId="62E1F759" w14:textId="44E296C7" w:rsidR="00D12D22" w:rsidRDefault="00D12D22">
            <w:pPr>
              <w:pStyle w:val="ARfintablecolheadright8pt"/>
              <w:rPr>
                <w:lang w:eastAsia="en-AU"/>
              </w:rPr>
            </w:pPr>
            <w:r w:rsidRPr="00011F05">
              <w:rPr>
                <w:lang w:eastAsia="en-AU"/>
              </w:rPr>
              <w:t>2026</w:t>
            </w:r>
          </w:p>
          <w:p w14:paraId="68FBE98C" w14:textId="368D3974" w:rsidR="006E51BF" w:rsidRPr="00011F05" w:rsidRDefault="006E51BF">
            <w:pPr>
              <w:pStyle w:val="ARfintablecolheadright8pt"/>
              <w:rPr>
                <w:lang w:eastAsia="en-AU"/>
              </w:rPr>
            </w:pPr>
            <w:r w:rsidRPr="00011F05">
              <w:rPr>
                <w:lang w:eastAsia="en-AU"/>
              </w:rPr>
              <w:t>Total payments</w:t>
            </w:r>
          </w:p>
          <w:p w14:paraId="233B9AD2" w14:textId="77777777" w:rsidR="006E51BF" w:rsidRPr="00011F05" w:rsidRDefault="006E51BF">
            <w:pPr>
              <w:pStyle w:val="ARfintablecolheadright8pt"/>
              <w:rPr>
                <w:lang w:eastAsia="en-AU"/>
              </w:rPr>
            </w:pPr>
            <w:r w:rsidRPr="00011F05">
              <w:rPr>
                <w:lang w:eastAsia="en-AU"/>
              </w:rPr>
              <w:t>$M</w:t>
            </w:r>
          </w:p>
        </w:tc>
        <w:tc>
          <w:tcPr>
            <w:tcW w:w="353" w:type="pct"/>
            <w:shd w:val="clear" w:color="auto" w:fill="E7E6E6" w:themeFill="background2"/>
            <w:tcMar>
              <w:right w:w="0" w:type="nil"/>
            </w:tcMar>
            <w:hideMark/>
          </w:tcPr>
          <w:p w14:paraId="17CA39A8" w14:textId="43BF2736" w:rsidR="00D12D22" w:rsidRDefault="00D12D22">
            <w:pPr>
              <w:pStyle w:val="ARfintablecolheadright8pt"/>
              <w:rPr>
                <w:lang w:eastAsia="en-AU"/>
              </w:rPr>
            </w:pPr>
            <w:r w:rsidRPr="00011F05">
              <w:rPr>
                <w:lang w:eastAsia="en-AU"/>
              </w:rPr>
              <w:t>2026</w:t>
            </w:r>
          </w:p>
          <w:p w14:paraId="40AF208A" w14:textId="11DAF3DE" w:rsidR="006E51BF" w:rsidRPr="00011F05" w:rsidRDefault="006E51BF">
            <w:pPr>
              <w:pStyle w:val="ARfintablecolheadright8pt"/>
              <w:rPr>
                <w:lang w:eastAsia="en-AU"/>
              </w:rPr>
            </w:pPr>
            <w:r w:rsidRPr="00011F05">
              <w:rPr>
                <w:lang w:eastAsia="en-AU"/>
              </w:rPr>
              <w:t>Non-cash movement</w:t>
            </w:r>
          </w:p>
          <w:p w14:paraId="19801518" w14:textId="77777777" w:rsidR="006E51BF" w:rsidRPr="00011F05" w:rsidRDefault="006E51BF">
            <w:pPr>
              <w:pStyle w:val="ARfintablecolheadright8pt"/>
              <w:rPr>
                <w:lang w:eastAsia="en-AU"/>
              </w:rPr>
            </w:pPr>
            <w:r w:rsidRPr="00011F05">
              <w:rPr>
                <w:lang w:eastAsia="en-AU"/>
              </w:rPr>
              <w:t>$M</w:t>
            </w:r>
          </w:p>
        </w:tc>
        <w:tc>
          <w:tcPr>
            <w:tcW w:w="339" w:type="pct"/>
            <w:shd w:val="clear" w:color="auto" w:fill="E7E6E6" w:themeFill="background2"/>
            <w:tcMar>
              <w:right w:w="0" w:type="nil"/>
            </w:tcMar>
            <w:hideMark/>
          </w:tcPr>
          <w:p w14:paraId="1B068AFC" w14:textId="17501112" w:rsidR="00D12D22" w:rsidRDefault="00D12D22">
            <w:pPr>
              <w:pStyle w:val="ARfintablecolheadright8pt"/>
              <w:rPr>
                <w:lang w:eastAsia="en-AU"/>
              </w:rPr>
            </w:pPr>
            <w:r w:rsidRPr="00011F05">
              <w:rPr>
                <w:lang w:eastAsia="en-AU"/>
              </w:rPr>
              <w:t>2026</w:t>
            </w:r>
          </w:p>
          <w:p w14:paraId="61B5EDB8" w14:textId="4412A9BD" w:rsidR="006E51BF" w:rsidRPr="00011F05" w:rsidRDefault="006E51BF">
            <w:pPr>
              <w:pStyle w:val="ARfintablecolheadright8pt"/>
              <w:rPr>
                <w:lang w:eastAsia="en-AU"/>
              </w:rPr>
            </w:pPr>
            <w:r w:rsidRPr="00011F05">
              <w:rPr>
                <w:lang w:eastAsia="en-AU"/>
              </w:rPr>
              <w:t xml:space="preserve">Closing balance as </w:t>
            </w:r>
            <w:proofErr w:type="gramStart"/>
            <w:r w:rsidRPr="00011F05">
              <w:rPr>
                <w:lang w:eastAsia="en-AU"/>
              </w:rPr>
              <w:t>at</w:t>
            </w:r>
            <w:proofErr w:type="gramEnd"/>
            <w:r w:rsidRPr="00011F05">
              <w:rPr>
                <w:lang w:eastAsia="en-AU"/>
              </w:rPr>
              <w:t xml:space="preserve"> 30 June 2026</w:t>
            </w:r>
          </w:p>
          <w:p w14:paraId="1B6D87EF" w14:textId="77777777" w:rsidR="006E51BF" w:rsidRPr="00011F05" w:rsidRDefault="006E51BF">
            <w:pPr>
              <w:pStyle w:val="ARfintablecolheadright8pt"/>
              <w:rPr>
                <w:lang w:eastAsia="en-AU"/>
              </w:rPr>
            </w:pPr>
            <w:r w:rsidRPr="00011F05">
              <w:rPr>
                <w:lang w:eastAsia="en-AU"/>
              </w:rPr>
              <w:t>$M</w:t>
            </w:r>
          </w:p>
        </w:tc>
        <w:tc>
          <w:tcPr>
            <w:tcW w:w="376" w:type="pct"/>
            <w:tcMar>
              <w:right w:w="0" w:type="nil"/>
            </w:tcMar>
            <w:hideMark/>
          </w:tcPr>
          <w:p w14:paraId="691CC90F" w14:textId="77777777" w:rsidR="00D12D22" w:rsidRDefault="00D12D22">
            <w:pPr>
              <w:pStyle w:val="ARfintablecolheadright8pt"/>
              <w:rPr>
                <w:lang w:eastAsia="en-AU"/>
              </w:rPr>
            </w:pPr>
            <w:r w:rsidRPr="00011F05">
              <w:rPr>
                <w:lang w:eastAsia="en-AU"/>
              </w:rPr>
              <w:t>2025</w:t>
            </w:r>
          </w:p>
          <w:p w14:paraId="5404985E" w14:textId="7D881865" w:rsidR="006E51BF" w:rsidRPr="00011F05" w:rsidRDefault="006E51BF">
            <w:pPr>
              <w:pStyle w:val="ARfintablecolheadright8pt"/>
              <w:rPr>
                <w:lang w:eastAsia="en-AU"/>
              </w:rPr>
            </w:pPr>
            <w:r w:rsidRPr="00011F05">
              <w:rPr>
                <w:lang w:eastAsia="en-AU"/>
              </w:rPr>
              <w:t xml:space="preserve">Opening balance as </w:t>
            </w:r>
            <w:proofErr w:type="gramStart"/>
            <w:r w:rsidRPr="00011F05">
              <w:rPr>
                <w:lang w:eastAsia="en-AU"/>
              </w:rPr>
              <w:t>at</w:t>
            </w:r>
            <w:proofErr w:type="gramEnd"/>
            <w:r w:rsidRPr="00011F05">
              <w:rPr>
                <w:lang w:eastAsia="en-AU"/>
              </w:rPr>
              <w:t xml:space="preserve"> 1 July 2024</w:t>
            </w:r>
          </w:p>
          <w:p w14:paraId="4F561EFF" w14:textId="77777777" w:rsidR="006E51BF" w:rsidRPr="00011F05" w:rsidRDefault="006E51BF">
            <w:pPr>
              <w:pStyle w:val="ARfintablecolheadright8pt"/>
              <w:rPr>
                <w:lang w:eastAsia="en-AU"/>
              </w:rPr>
            </w:pPr>
            <w:r w:rsidRPr="00011F05">
              <w:rPr>
                <w:lang w:eastAsia="en-AU"/>
              </w:rPr>
              <w:t>$M</w:t>
            </w:r>
          </w:p>
        </w:tc>
        <w:tc>
          <w:tcPr>
            <w:tcW w:w="401" w:type="pct"/>
            <w:tcMar>
              <w:right w:w="0" w:type="nil"/>
            </w:tcMar>
            <w:hideMark/>
          </w:tcPr>
          <w:p w14:paraId="72D343B4" w14:textId="77777777" w:rsidR="00D12D22" w:rsidRDefault="00D12D22">
            <w:pPr>
              <w:pStyle w:val="ARfintablecolheadright8pt"/>
              <w:rPr>
                <w:lang w:eastAsia="en-AU"/>
              </w:rPr>
            </w:pPr>
            <w:r w:rsidRPr="00011F05">
              <w:rPr>
                <w:lang w:eastAsia="en-AU"/>
              </w:rPr>
              <w:t>2025</w:t>
            </w:r>
          </w:p>
          <w:p w14:paraId="35EFF61A" w14:textId="6F7EE991" w:rsidR="006E51BF" w:rsidRPr="00011F05" w:rsidRDefault="006E51BF">
            <w:pPr>
              <w:pStyle w:val="ARfintablecolheadright8pt"/>
              <w:rPr>
                <w:lang w:eastAsia="en-AU"/>
              </w:rPr>
            </w:pPr>
            <w:r w:rsidRPr="00011F05">
              <w:rPr>
                <w:lang w:eastAsia="en-AU"/>
              </w:rPr>
              <w:t xml:space="preserve">Machinery of Government </w:t>
            </w:r>
            <w:r>
              <w:rPr>
                <w:lang w:eastAsia="en-AU"/>
              </w:rPr>
              <w:t>–</w:t>
            </w:r>
            <w:r w:rsidRPr="00011F05">
              <w:rPr>
                <w:lang w:eastAsia="en-AU"/>
              </w:rPr>
              <w:t xml:space="preserve"> transfer in/(out)</w:t>
            </w:r>
          </w:p>
          <w:p w14:paraId="51C118A3" w14:textId="77777777" w:rsidR="006E51BF" w:rsidRPr="00011F05" w:rsidRDefault="006E51BF">
            <w:pPr>
              <w:pStyle w:val="ARfintablecolheadright8pt"/>
              <w:rPr>
                <w:lang w:eastAsia="en-AU"/>
              </w:rPr>
            </w:pPr>
            <w:r w:rsidRPr="00011F05">
              <w:rPr>
                <w:lang w:eastAsia="en-AU"/>
              </w:rPr>
              <w:t>$M</w:t>
            </w:r>
          </w:p>
        </w:tc>
        <w:tc>
          <w:tcPr>
            <w:tcW w:w="376" w:type="pct"/>
            <w:tcMar>
              <w:right w:w="0" w:type="nil"/>
            </w:tcMar>
            <w:hideMark/>
          </w:tcPr>
          <w:p w14:paraId="57685A33" w14:textId="2DD93D1D" w:rsidR="00D12D22" w:rsidRDefault="00D12D22">
            <w:pPr>
              <w:pStyle w:val="ARfintablecolheadright8pt"/>
              <w:rPr>
                <w:lang w:eastAsia="en-AU"/>
              </w:rPr>
            </w:pPr>
            <w:r w:rsidRPr="00011F05">
              <w:rPr>
                <w:lang w:eastAsia="en-AU"/>
              </w:rPr>
              <w:t>2025</w:t>
            </w:r>
          </w:p>
          <w:p w14:paraId="77DB1335" w14:textId="7F8CCB83" w:rsidR="006E51BF" w:rsidRPr="00011F05" w:rsidRDefault="006E51BF">
            <w:pPr>
              <w:pStyle w:val="ARfintablecolheadright8pt"/>
              <w:rPr>
                <w:lang w:eastAsia="en-AU"/>
              </w:rPr>
            </w:pPr>
            <w:r w:rsidRPr="00011F05">
              <w:rPr>
                <w:lang w:eastAsia="en-AU"/>
              </w:rPr>
              <w:t>Total receipts</w:t>
            </w:r>
          </w:p>
          <w:p w14:paraId="2A7CCAF9" w14:textId="77777777" w:rsidR="006E51BF" w:rsidRPr="00011F05" w:rsidRDefault="006E51BF">
            <w:pPr>
              <w:pStyle w:val="ARfintablecolheadright8pt"/>
              <w:rPr>
                <w:lang w:eastAsia="en-AU"/>
              </w:rPr>
            </w:pPr>
            <w:r w:rsidRPr="00011F05">
              <w:rPr>
                <w:lang w:eastAsia="en-AU"/>
              </w:rPr>
              <w:t>$M</w:t>
            </w:r>
          </w:p>
        </w:tc>
        <w:tc>
          <w:tcPr>
            <w:tcW w:w="377" w:type="pct"/>
            <w:tcMar>
              <w:right w:w="0" w:type="nil"/>
            </w:tcMar>
            <w:hideMark/>
          </w:tcPr>
          <w:p w14:paraId="4C81E4C1" w14:textId="020A4A98" w:rsidR="00D12D22" w:rsidRDefault="00D12D22">
            <w:pPr>
              <w:pStyle w:val="ARfintablecolheadright8pt"/>
              <w:rPr>
                <w:lang w:eastAsia="en-AU"/>
              </w:rPr>
            </w:pPr>
            <w:r w:rsidRPr="00011F05">
              <w:rPr>
                <w:lang w:eastAsia="en-AU"/>
              </w:rPr>
              <w:t>2025</w:t>
            </w:r>
          </w:p>
          <w:p w14:paraId="10836988" w14:textId="595928DF" w:rsidR="006E51BF" w:rsidRPr="00011F05" w:rsidRDefault="006E51BF">
            <w:pPr>
              <w:pStyle w:val="ARfintablecolheadright8pt"/>
              <w:rPr>
                <w:lang w:eastAsia="en-AU"/>
              </w:rPr>
            </w:pPr>
            <w:r w:rsidRPr="00011F05">
              <w:rPr>
                <w:lang w:eastAsia="en-AU"/>
              </w:rPr>
              <w:t>Total payments</w:t>
            </w:r>
          </w:p>
          <w:p w14:paraId="1C744D4A" w14:textId="77777777" w:rsidR="006E51BF" w:rsidRPr="00011F05" w:rsidRDefault="006E51BF">
            <w:pPr>
              <w:pStyle w:val="ARfintablecolheadright8pt"/>
              <w:rPr>
                <w:lang w:eastAsia="en-AU"/>
              </w:rPr>
            </w:pPr>
            <w:r w:rsidRPr="00011F05">
              <w:rPr>
                <w:lang w:eastAsia="en-AU"/>
              </w:rPr>
              <w:t>$M</w:t>
            </w:r>
          </w:p>
        </w:tc>
        <w:tc>
          <w:tcPr>
            <w:tcW w:w="376" w:type="pct"/>
            <w:tcMar>
              <w:right w:w="0" w:type="nil"/>
            </w:tcMar>
            <w:hideMark/>
          </w:tcPr>
          <w:p w14:paraId="3E5F4929" w14:textId="5FDC6084" w:rsidR="00D12D22" w:rsidRDefault="00D12D22">
            <w:pPr>
              <w:pStyle w:val="ARfintablecolheadright8pt"/>
              <w:rPr>
                <w:lang w:eastAsia="en-AU"/>
              </w:rPr>
            </w:pPr>
            <w:r w:rsidRPr="00011F05">
              <w:rPr>
                <w:lang w:eastAsia="en-AU"/>
              </w:rPr>
              <w:t>2025</w:t>
            </w:r>
          </w:p>
          <w:p w14:paraId="34C5E347" w14:textId="2E318F9D" w:rsidR="006E51BF" w:rsidRPr="00011F05" w:rsidRDefault="006E51BF">
            <w:pPr>
              <w:pStyle w:val="ARfintablecolheadright8pt"/>
              <w:rPr>
                <w:lang w:eastAsia="en-AU"/>
              </w:rPr>
            </w:pPr>
            <w:r w:rsidRPr="00011F05">
              <w:rPr>
                <w:lang w:eastAsia="en-AU"/>
              </w:rPr>
              <w:t>Non-cash movement</w:t>
            </w:r>
          </w:p>
          <w:p w14:paraId="26ACFB01" w14:textId="77777777" w:rsidR="006E51BF" w:rsidRPr="00011F05" w:rsidRDefault="006E51BF">
            <w:pPr>
              <w:pStyle w:val="ARfintablecolheadright8pt"/>
              <w:rPr>
                <w:lang w:eastAsia="en-AU"/>
              </w:rPr>
            </w:pPr>
            <w:r w:rsidRPr="00011F05">
              <w:rPr>
                <w:lang w:eastAsia="en-AU"/>
              </w:rPr>
              <w:t>$M</w:t>
            </w:r>
          </w:p>
        </w:tc>
        <w:tc>
          <w:tcPr>
            <w:tcW w:w="376" w:type="pct"/>
            <w:tcMar>
              <w:right w:w="0" w:type="nil"/>
            </w:tcMar>
            <w:hideMark/>
          </w:tcPr>
          <w:p w14:paraId="0A64A163" w14:textId="246F83BF" w:rsidR="00D12D22" w:rsidRDefault="00D12D22">
            <w:pPr>
              <w:pStyle w:val="ARfintablecolheadright8pt"/>
              <w:rPr>
                <w:lang w:eastAsia="en-AU"/>
              </w:rPr>
            </w:pPr>
            <w:r w:rsidRPr="00011F05">
              <w:rPr>
                <w:lang w:eastAsia="en-AU"/>
              </w:rPr>
              <w:t>2025</w:t>
            </w:r>
          </w:p>
          <w:p w14:paraId="55261188" w14:textId="68867C8A" w:rsidR="006E51BF" w:rsidRPr="00011F05" w:rsidRDefault="006E51BF">
            <w:pPr>
              <w:pStyle w:val="ARfintablecolheadright8pt"/>
              <w:rPr>
                <w:lang w:eastAsia="en-AU"/>
              </w:rPr>
            </w:pPr>
            <w:r w:rsidRPr="00011F05">
              <w:rPr>
                <w:lang w:eastAsia="en-AU"/>
              </w:rPr>
              <w:t xml:space="preserve">Closing balance as </w:t>
            </w:r>
            <w:proofErr w:type="gramStart"/>
            <w:r w:rsidRPr="00011F05">
              <w:rPr>
                <w:lang w:eastAsia="en-AU"/>
              </w:rPr>
              <w:t>at</w:t>
            </w:r>
            <w:proofErr w:type="gramEnd"/>
            <w:r w:rsidRPr="00011F05">
              <w:rPr>
                <w:lang w:eastAsia="en-AU"/>
              </w:rPr>
              <w:t xml:space="preserve"> 30 June 2025</w:t>
            </w:r>
          </w:p>
          <w:p w14:paraId="307B62C7" w14:textId="77777777" w:rsidR="006E51BF" w:rsidRPr="00011F05" w:rsidRDefault="006E51BF">
            <w:pPr>
              <w:pStyle w:val="ARfintablecolheadright8pt"/>
              <w:rPr>
                <w:lang w:eastAsia="en-AU"/>
              </w:rPr>
            </w:pPr>
            <w:r w:rsidRPr="00011F05">
              <w:rPr>
                <w:lang w:eastAsia="en-AU"/>
              </w:rPr>
              <w:t>$M</w:t>
            </w:r>
          </w:p>
        </w:tc>
      </w:tr>
      <w:tr w:rsidR="006E51BF" w:rsidRPr="00011F05" w14:paraId="73DE87F9"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018" w:type="pct"/>
            <w:hideMark/>
          </w:tcPr>
          <w:p w14:paraId="129CB753" w14:textId="77777777" w:rsidR="006E51BF" w:rsidRPr="00011F05" w:rsidRDefault="006E51BF">
            <w:pPr>
              <w:pStyle w:val="Arfintabletextboldcoloured8pt"/>
            </w:pPr>
            <w:r w:rsidRPr="00011F05">
              <w:t>Administered trusts</w:t>
            </w:r>
          </w:p>
        </w:tc>
        <w:tc>
          <w:tcPr>
            <w:tcW w:w="337" w:type="pct"/>
            <w:tcMar>
              <w:right w:w="0" w:type="nil"/>
            </w:tcMar>
            <w:hideMark/>
          </w:tcPr>
          <w:p w14:paraId="21319E08" w14:textId="77777777" w:rsidR="006E51BF" w:rsidRPr="00011F05" w:rsidRDefault="006E51BF">
            <w:pPr>
              <w:pStyle w:val="ARfintabletextright8pt"/>
            </w:pPr>
          </w:p>
        </w:tc>
        <w:tc>
          <w:tcPr>
            <w:tcW w:w="337" w:type="pct"/>
            <w:tcMar>
              <w:right w:w="0" w:type="nil"/>
            </w:tcMar>
            <w:hideMark/>
          </w:tcPr>
          <w:p w14:paraId="07885933" w14:textId="77777777" w:rsidR="006E51BF" w:rsidRPr="00011F05" w:rsidRDefault="006E51BF">
            <w:pPr>
              <w:pStyle w:val="ARfintabletextright8pt"/>
            </w:pPr>
          </w:p>
        </w:tc>
        <w:tc>
          <w:tcPr>
            <w:tcW w:w="337" w:type="pct"/>
            <w:tcMar>
              <w:right w:w="0" w:type="nil"/>
            </w:tcMar>
            <w:hideMark/>
          </w:tcPr>
          <w:p w14:paraId="14D2A729" w14:textId="77777777" w:rsidR="006E51BF" w:rsidRPr="00011F05" w:rsidRDefault="006E51BF">
            <w:pPr>
              <w:pStyle w:val="ARfintabletextright8pt"/>
            </w:pPr>
          </w:p>
        </w:tc>
        <w:tc>
          <w:tcPr>
            <w:tcW w:w="353" w:type="pct"/>
            <w:tcMar>
              <w:right w:w="0" w:type="nil"/>
            </w:tcMar>
            <w:hideMark/>
          </w:tcPr>
          <w:p w14:paraId="70639B1F" w14:textId="77777777" w:rsidR="006E51BF" w:rsidRPr="00011F05" w:rsidRDefault="006E51BF">
            <w:pPr>
              <w:pStyle w:val="ARfintabletextright8pt"/>
            </w:pPr>
          </w:p>
        </w:tc>
        <w:tc>
          <w:tcPr>
            <w:tcW w:w="339" w:type="pct"/>
            <w:tcMar>
              <w:right w:w="0" w:type="nil"/>
            </w:tcMar>
            <w:hideMark/>
          </w:tcPr>
          <w:p w14:paraId="3842DC30" w14:textId="77777777" w:rsidR="006E51BF" w:rsidRPr="00011F05" w:rsidRDefault="006E51BF">
            <w:pPr>
              <w:pStyle w:val="ARfintabletextright8pt"/>
            </w:pPr>
          </w:p>
        </w:tc>
        <w:tc>
          <w:tcPr>
            <w:tcW w:w="376" w:type="pct"/>
            <w:tcMar>
              <w:right w:w="0" w:type="nil"/>
            </w:tcMar>
            <w:hideMark/>
          </w:tcPr>
          <w:p w14:paraId="7805F4E0" w14:textId="77777777" w:rsidR="006E51BF" w:rsidRPr="00C23066" w:rsidRDefault="006E51BF">
            <w:pPr>
              <w:pStyle w:val="ARfintabletextright8pt"/>
            </w:pPr>
          </w:p>
        </w:tc>
        <w:tc>
          <w:tcPr>
            <w:tcW w:w="401" w:type="pct"/>
            <w:tcMar>
              <w:right w:w="0" w:type="nil"/>
            </w:tcMar>
            <w:hideMark/>
          </w:tcPr>
          <w:p w14:paraId="1790349B" w14:textId="77777777" w:rsidR="006E51BF" w:rsidRPr="00C23066" w:rsidRDefault="006E51BF">
            <w:pPr>
              <w:pStyle w:val="ARfintabletextright8pt"/>
            </w:pPr>
          </w:p>
        </w:tc>
        <w:tc>
          <w:tcPr>
            <w:tcW w:w="376" w:type="pct"/>
            <w:tcMar>
              <w:right w:w="0" w:type="nil"/>
            </w:tcMar>
            <w:hideMark/>
          </w:tcPr>
          <w:p w14:paraId="123EE246" w14:textId="77777777" w:rsidR="006E51BF" w:rsidRPr="00C23066" w:rsidRDefault="006E51BF">
            <w:pPr>
              <w:pStyle w:val="ARfintabletextright8pt"/>
            </w:pPr>
          </w:p>
        </w:tc>
        <w:tc>
          <w:tcPr>
            <w:tcW w:w="377" w:type="pct"/>
            <w:tcMar>
              <w:right w:w="0" w:type="nil"/>
            </w:tcMar>
            <w:hideMark/>
          </w:tcPr>
          <w:p w14:paraId="117B413E" w14:textId="77777777" w:rsidR="006E51BF" w:rsidRPr="00C23066" w:rsidRDefault="006E51BF">
            <w:pPr>
              <w:pStyle w:val="ARfintabletextright8pt"/>
            </w:pPr>
          </w:p>
        </w:tc>
        <w:tc>
          <w:tcPr>
            <w:tcW w:w="376" w:type="pct"/>
            <w:tcMar>
              <w:right w:w="0" w:type="nil"/>
            </w:tcMar>
            <w:hideMark/>
          </w:tcPr>
          <w:p w14:paraId="4082A8A3" w14:textId="77777777" w:rsidR="006E51BF" w:rsidRPr="00C23066" w:rsidRDefault="006E51BF">
            <w:pPr>
              <w:pStyle w:val="ARfintabletextright8pt"/>
            </w:pPr>
          </w:p>
        </w:tc>
        <w:tc>
          <w:tcPr>
            <w:tcW w:w="376" w:type="pct"/>
            <w:tcMar>
              <w:right w:w="0" w:type="nil"/>
            </w:tcMar>
            <w:hideMark/>
          </w:tcPr>
          <w:p w14:paraId="6F8C4922" w14:textId="77777777" w:rsidR="006E51BF" w:rsidRPr="00C23066" w:rsidRDefault="006E51BF">
            <w:pPr>
              <w:pStyle w:val="ARfintabletextright8pt"/>
            </w:pPr>
          </w:p>
        </w:tc>
      </w:tr>
      <w:tr w:rsidR="006E51BF" w:rsidRPr="00011F05" w14:paraId="33A84ED7"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018" w:type="pct"/>
            <w:hideMark/>
          </w:tcPr>
          <w:p w14:paraId="3B134794" w14:textId="77777777" w:rsidR="006E51BF" w:rsidRPr="003C49D1" w:rsidRDefault="006E51BF">
            <w:pPr>
              <w:pStyle w:val="ARfintabletext8pt"/>
            </w:pPr>
            <w:r w:rsidRPr="003C49D1">
              <w:t>Public Service Commuter Club</w:t>
            </w:r>
          </w:p>
        </w:tc>
        <w:tc>
          <w:tcPr>
            <w:tcW w:w="337" w:type="pct"/>
            <w:shd w:val="clear" w:color="auto" w:fill="E7E6E6" w:themeFill="background2"/>
            <w:noWrap/>
            <w:tcMar>
              <w:right w:w="0" w:type="nil"/>
            </w:tcMar>
            <w:hideMark/>
          </w:tcPr>
          <w:p w14:paraId="6DADD6CC" w14:textId="77777777" w:rsidR="006E51BF" w:rsidRPr="00011F05" w:rsidRDefault="006E51BF">
            <w:pPr>
              <w:pStyle w:val="ARfintabletextright8pt"/>
            </w:pPr>
            <w:r w:rsidRPr="00011F05">
              <w:t>(0.1)</w:t>
            </w:r>
          </w:p>
        </w:tc>
        <w:tc>
          <w:tcPr>
            <w:tcW w:w="337" w:type="pct"/>
            <w:shd w:val="clear" w:color="auto" w:fill="E7E6E6" w:themeFill="background2"/>
            <w:noWrap/>
            <w:tcMar>
              <w:right w:w="0" w:type="nil"/>
            </w:tcMar>
            <w:hideMark/>
          </w:tcPr>
          <w:p w14:paraId="41164EBD" w14:textId="77777777" w:rsidR="006E51BF" w:rsidRPr="00011F05" w:rsidRDefault="006E51BF">
            <w:pPr>
              <w:pStyle w:val="ARfintabletextright8pt"/>
            </w:pPr>
            <w:r w:rsidRPr="00011F05">
              <w:t>0.1</w:t>
            </w:r>
          </w:p>
        </w:tc>
        <w:tc>
          <w:tcPr>
            <w:tcW w:w="337" w:type="pct"/>
            <w:shd w:val="clear" w:color="auto" w:fill="E7E6E6" w:themeFill="background2"/>
            <w:noWrap/>
            <w:tcMar>
              <w:right w:w="0" w:type="nil"/>
            </w:tcMar>
            <w:hideMark/>
          </w:tcPr>
          <w:p w14:paraId="0FD7819A" w14:textId="77777777" w:rsidR="006E51BF" w:rsidRPr="00011F05" w:rsidRDefault="006E51BF">
            <w:pPr>
              <w:pStyle w:val="ARfintabletextright8pt"/>
            </w:pPr>
            <w:r>
              <w:t>–</w:t>
            </w:r>
          </w:p>
        </w:tc>
        <w:tc>
          <w:tcPr>
            <w:tcW w:w="353" w:type="pct"/>
            <w:shd w:val="clear" w:color="auto" w:fill="E7E6E6" w:themeFill="background2"/>
            <w:noWrap/>
            <w:tcMar>
              <w:right w:w="0" w:type="nil"/>
            </w:tcMar>
            <w:hideMark/>
          </w:tcPr>
          <w:p w14:paraId="5993BBB9" w14:textId="77777777" w:rsidR="006E51BF" w:rsidRPr="00011F05" w:rsidRDefault="006E51BF">
            <w:pPr>
              <w:pStyle w:val="ARfintabletextright8pt"/>
            </w:pPr>
            <w:r>
              <w:t>–</w:t>
            </w:r>
          </w:p>
        </w:tc>
        <w:tc>
          <w:tcPr>
            <w:tcW w:w="339" w:type="pct"/>
            <w:shd w:val="clear" w:color="auto" w:fill="E7E6E6" w:themeFill="background2"/>
            <w:noWrap/>
            <w:tcMar>
              <w:right w:w="0" w:type="nil"/>
            </w:tcMar>
            <w:hideMark/>
          </w:tcPr>
          <w:p w14:paraId="13958CB0" w14:textId="77777777" w:rsidR="006E51BF" w:rsidRPr="00011F05" w:rsidRDefault="006E51BF">
            <w:pPr>
              <w:pStyle w:val="ARfintabletextright8pt"/>
            </w:pPr>
            <w:r w:rsidRPr="00011F05">
              <w:t>(0.1)</w:t>
            </w:r>
          </w:p>
        </w:tc>
        <w:tc>
          <w:tcPr>
            <w:tcW w:w="376" w:type="pct"/>
            <w:noWrap/>
            <w:tcMar>
              <w:right w:w="0" w:type="nil"/>
            </w:tcMar>
            <w:hideMark/>
          </w:tcPr>
          <w:p w14:paraId="6B4305AA" w14:textId="77777777" w:rsidR="006E51BF" w:rsidRPr="00011F05" w:rsidRDefault="006E51BF">
            <w:pPr>
              <w:pStyle w:val="ARfintabletextright8pt"/>
            </w:pPr>
            <w:r w:rsidRPr="00011F05">
              <w:t>(0.1)</w:t>
            </w:r>
          </w:p>
        </w:tc>
        <w:tc>
          <w:tcPr>
            <w:tcW w:w="401" w:type="pct"/>
            <w:noWrap/>
            <w:tcMar>
              <w:right w:w="0" w:type="nil"/>
            </w:tcMar>
            <w:hideMark/>
          </w:tcPr>
          <w:p w14:paraId="053D40C6" w14:textId="77777777" w:rsidR="006E51BF" w:rsidRPr="00011F05" w:rsidRDefault="006E51BF">
            <w:pPr>
              <w:pStyle w:val="ARfintabletextright8pt"/>
            </w:pPr>
            <w:r>
              <w:t>–</w:t>
            </w:r>
          </w:p>
        </w:tc>
        <w:tc>
          <w:tcPr>
            <w:tcW w:w="376" w:type="pct"/>
            <w:noWrap/>
            <w:tcMar>
              <w:right w:w="0" w:type="nil"/>
            </w:tcMar>
            <w:hideMark/>
          </w:tcPr>
          <w:p w14:paraId="19EAA2B4" w14:textId="77777777" w:rsidR="006E51BF" w:rsidRPr="00011F05" w:rsidRDefault="006E51BF">
            <w:pPr>
              <w:pStyle w:val="ARfintabletextright8pt"/>
            </w:pPr>
            <w:r w:rsidRPr="00011F05">
              <w:t>0.1</w:t>
            </w:r>
          </w:p>
        </w:tc>
        <w:tc>
          <w:tcPr>
            <w:tcW w:w="377" w:type="pct"/>
            <w:noWrap/>
            <w:tcMar>
              <w:right w:w="0" w:type="nil"/>
            </w:tcMar>
            <w:hideMark/>
          </w:tcPr>
          <w:p w14:paraId="5970A4C3" w14:textId="77777777" w:rsidR="006E51BF" w:rsidRPr="00011F05" w:rsidRDefault="006E51BF">
            <w:pPr>
              <w:pStyle w:val="ARfintabletextright8pt"/>
            </w:pPr>
            <w:r w:rsidRPr="00011F05">
              <w:t>0.1</w:t>
            </w:r>
          </w:p>
        </w:tc>
        <w:tc>
          <w:tcPr>
            <w:tcW w:w="376" w:type="pct"/>
            <w:noWrap/>
            <w:tcMar>
              <w:right w:w="0" w:type="nil"/>
            </w:tcMar>
            <w:hideMark/>
          </w:tcPr>
          <w:p w14:paraId="516DB0B8" w14:textId="77777777" w:rsidR="006E51BF" w:rsidRPr="00011F05" w:rsidRDefault="006E51BF">
            <w:pPr>
              <w:pStyle w:val="ARfintabletextright8pt"/>
            </w:pPr>
            <w:r>
              <w:t>–</w:t>
            </w:r>
          </w:p>
        </w:tc>
        <w:tc>
          <w:tcPr>
            <w:tcW w:w="376" w:type="pct"/>
            <w:noWrap/>
            <w:tcMar>
              <w:right w:w="0" w:type="nil"/>
            </w:tcMar>
            <w:hideMark/>
          </w:tcPr>
          <w:p w14:paraId="7821618D" w14:textId="77777777" w:rsidR="006E51BF" w:rsidRPr="00011F05" w:rsidRDefault="006E51BF">
            <w:pPr>
              <w:pStyle w:val="ARfintabletextright8pt"/>
            </w:pPr>
            <w:r w:rsidRPr="00011F05">
              <w:t>(0.1)</w:t>
            </w:r>
          </w:p>
        </w:tc>
      </w:tr>
      <w:tr w:rsidR="006E51BF" w:rsidRPr="00011F05" w14:paraId="5BD41165"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018" w:type="pct"/>
            <w:hideMark/>
          </w:tcPr>
          <w:p w14:paraId="5AE5683E" w14:textId="77777777" w:rsidR="006E51BF" w:rsidRPr="003C49D1" w:rsidRDefault="006E51BF">
            <w:pPr>
              <w:pStyle w:val="ARfintabletext8pt"/>
            </w:pPr>
            <w:r w:rsidRPr="003C49D1">
              <w:t>Revenue Suspense Account</w:t>
            </w:r>
          </w:p>
        </w:tc>
        <w:tc>
          <w:tcPr>
            <w:tcW w:w="337" w:type="pct"/>
            <w:shd w:val="clear" w:color="auto" w:fill="E7E6E6" w:themeFill="background2"/>
            <w:noWrap/>
            <w:tcMar>
              <w:right w:w="0" w:type="nil"/>
            </w:tcMar>
            <w:hideMark/>
          </w:tcPr>
          <w:p w14:paraId="2DDD0012" w14:textId="77777777" w:rsidR="006E51BF" w:rsidRPr="00011F05" w:rsidRDefault="006E51BF">
            <w:pPr>
              <w:pStyle w:val="ARfintabletextright8pt"/>
            </w:pPr>
            <w:r w:rsidRPr="00011F05">
              <w:t>0.8</w:t>
            </w:r>
          </w:p>
        </w:tc>
        <w:tc>
          <w:tcPr>
            <w:tcW w:w="337" w:type="pct"/>
            <w:shd w:val="clear" w:color="auto" w:fill="E7E6E6" w:themeFill="background2"/>
            <w:noWrap/>
            <w:tcMar>
              <w:right w:w="0" w:type="nil"/>
            </w:tcMar>
            <w:hideMark/>
          </w:tcPr>
          <w:p w14:paraId="12587B73" w14:textId="77777777" w:rsidR="006E51BF" w:rsidRPr="00011F05" w:rsidRDefault="006E51BF">
            <w:pPr>
              <w:pStyle w:val="ARfintabletextright8pt"/>
            </w:pPr>
            <w:r w:rsidRPr="00011F05">
              <w:t>0.5</w:t>
            </w:r>
          </w:p>
        </w:tc>
        <w:tc>
          <w:tcPr>
            <w:tcW w:w="337" w:type="pct"/>
            <w:shd w:val="clear" w:color="auto" w:fill="E7E6E6" w:themeFill="background2"/>
            <w:noWrap/>
            <w:tcMar>
              <w:right w:w="0" w:type="nil"/>
            </w:tcMar>
            <w:hideMark/>
          </w:tcPr>
          <w:p w14:paraId="67849423" w14:textId="77777777" w:rsidR="006E51BF" w:rsidRPr="00011F05" w:rsidRDefault="006E51BF">
            <w:pPr>
              <w:pStyle w:val="ARfintabletextright8pt"/>
            </w:pPr>
            <w:r>
              <w:t>–</w:t>
            </w:r>
          </w:p>
        </w:tc>
        <w:tc>
          <w:tcPr>
            <w:tcW w:w="353" w:type="pct"/>
            <w:shd w:val="clear" w:color="auto" w:fill="E7E6E6" w:themeFill="background2"/>
            <w:noWrap/>
            <w:tcMar>
              <w:right w:w="0" w:type="nil"/>
            </w:tcMar>
            <w:hideMark/>
          </w:tcPr>
          <w:p w14:paraId="6433E6BE" w14:textId="77777777" w:rsidR="006E51BF" w:rsidRPr="00011F05" w:rsidRDefault="006E51BF">
            <w:pPr>
              <w:pStyle w:val="ARfintabletextright8pt"/>
            </w:pPr>
            <w:r>
              <w:t>–</w:t>
            </w:r>
          </w:p>
        </w:tc>
        <w:tc>
          <w:tcPr>
            <w:tcW w:w="339" w:type="pct"/>
            <w:shd w:val="clear" w:color="auto" w:fill="E7E6E6" w:themeFill="background2"/>
            <w:noWrap/>
            <w:tcMar>
              <w:right w:w="0" w:type="nil"/>
            </w:tcMar>
            <w:hideMark/>
          </w:tcPr>
          <w:p w14:paraId="3627F3AC" w14:textId="77777777" w:rsidR="006E51BF" w:rsidRPr="00011F05" w:rsidRDefault="006E51BF">
            <w:pPr>
              <w:pStyle w:val="ARfintabletextright8pt"/>
            </w:pPr>
            <w:r w:rsidRPr="00011F05">
              <w:t>1.3</w:t>
            </w:r>
          </w:p>
        </w:tc>
        <w:tc>
          <w:tcPr>
            <w:tcW w:w="376" w:type="pct"/>
            <w:noWrap/>
            <w:tcMar>
              <w:right w:w="0" w:type="nil"/>
            </w:tcMar>
            <w:hideMark/>
          </w:tcPr>
          <w:p w14:paraId="35BBCF7F" w14:textId="77777777" w:rsidR="006E51BF" w:rsidRPr="00011F05" w:rsidRDefault="006E51BF">
            <w:pPr>
              <w:pStyle w:val="ARfintabletextright8pt"/>
            </w:pPr>
            <w:r w:rsidRPr="00011F05">
              <w:t>0.5</w:t>
            </w:r>
          </w:p>
        </w:tc>
        <w:tc>
          <w:tcPr>
            <w:tcW w:w="401" w:type="pct"/>
            <w:noWrap/>
            <w:tcMar>
              <w:right w:w="0" w:type="nil"/>
            </w:tcMar>
            <w:hideMark/>
          </w:tcPr>
          <w:p w14:paraId="011415F4" w14:textId="77777777" w:rsidR="006E51BF" w:rsidRPr="00011F05" w:rsidRDefault="006E51BF">
            <w:pPr>
              <w:pStyle w:val="ARfintabletextright8pt"/>
            </w:pPr>
            <w:r>
              <w:t>–</w:t>
            </w:r>
          </w:p>
        </w:tc>
        <w:tc>
          <w:tcPr>
            <w:tcW w:w="376" w:type="pct"/>
            <w:noWrap/>
            <w:tcMar>
              <w:right w:w="0" w:type="nil"/>
            </w:tcMar>
            <w:hideMark/>
          </w:tcPr>
          <w:p w14:paraId="7A9AEACF" w14:textId="77777777" w:rsidR="006E51BF" w:rsidRPr="00011F05" w:rsidRDefault="006E51BF">
            <w:pPr>
              <w:pStyle w:val="ARfintabletextright8pt"/>
            </w:pPr>
            <w:r w:rsidRPr="00011F05">
              <w:t>0.3</w:t>
            </w:r>
          </w:p>
        </w:tc>
        <w:tc>
          <w:tcPr>
            <w:tcW w:w="377" w:type="pct"/>
            <w:noWrap/>
            <w:tcMar>
              <w:right w:w="0" w:type="nil"/>
            </w:tcMar>
            <w:hideMark/>
          </w:tcPr>
          <w:p w14:paraId="242EF7BF" w14:textId="77777777" w:rsidR="006E51BF" w:rsidRPr="00011F05" w:rsidRDefault="006E51BF">
            <w:pPr>
              <w:pStyle w:val="ARfintabletextright8pt"/>
            </w:pPr>
            <w:r>
              <w:t>–</w:t>
            </w:r>
          </w:p>
        </w:tc>
        <w:tc>
          <w:tcPr>
            <w:tcW w:w="376" w:type="pct"/>
            <w:noWrap/>
            <w:tcMar>
              <w:right w:w="0" w:type="nil"/>
            </w:tcMar>
            <w:hideMark/>
          </w:tcPr>
          <w:p w14:paraId="38E312A9" w14:textId="77777777" w:rsidR="006E51BF" w:rsidRPr="00011F05" w:rsidRDefault="006E51BF">
            <w:pPr>
              <w:pStyle w:val="ARfintabletextright8pt"/>
            </w:pPr>
            <w:r>
              <w:t>–</w:t>
            </w:r>
          </w:p>
        </w:tc>
        <w:tc>
          <w:tcPr>
            <w:tcW w:w="376" w:type="pct"/>
            <w:noWrap/>
            <w:tcMar>
              <w:right w:w="0" w:type="nil"/>
            </w:tcMar>
            <w:hideMark/>
          </w:tcPr>
          <w:p w14:paraId="7A4FA0AD" w14:textId="77777777" w:rsidR="006E51BF" w:rsidRPr="00011F05" w:rsidRDefault="006E51BF">
            <w:pPr>
              <w:pStyle w:val="ARfintabletextright8pt"/>
            </w:pPr>
            <w:r w:rsidRPr="00011F05">
              <w:t>0.8</w:t>
            </w:r>
          </w:p>
        </w:tc>
      </w:tr>
      <w:tr w:rsidR="006E51BF" w:rsidRPr="00011F05" w14:paraId="1624A1E8"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018" w:type="pct"/>
            <w:hideMark/>
          </w:tcPr>
          <w:p w14:paraId="71AC35F7" w14:textId="77777777" w:rsidR="006E51BF" w:rsidRPr="003C49D1" w:rsidRDefault="006E51BF">
            <w:pPr>
              <w:pStyle w:val="ARfintabletext8pt"/>
            </w:pPr>
            <w:r w:rsidRPr="003C49D1">
              <w:t>Victorian Natural Disasters Relief Fund</w:t>
            </w:r>
          </w:p>
        </w:tc>
        <w:tc>
          <w:tcPr>
            <w:tcW w:w="337" w:type="pct"/>
            <w:shd w:val="clear" w:color="auto" w:fill="E7E6E6" w:themeFill="background2"/>
            <w:noWrap/>
            <w:tcMar>
              <w:right w:w="0" w:type="nil"/>
            </w:tcMar>
            <w:hideMark/>
          </w:tcPr>
          <w:p w14:paraId="769F429B" w14:textId="77777777" w:rsidR="006E51BF" w:rsidRPr="00011F05" w:rsidRDefault="006E51BF">
            <w:pPr>
              <w:pStyle w:val="ARfintabletextright8pt"/>
            </w:pPr>
            <w:r w:rsidRPr="00011F05">
              <w:t>(5.8)</w:t>
            </w:r>
          </w:p>
        </w:tc>
        <w:tc>
          <w:tcPr>
            <w:tcW w:w="337" w:type="pct"/>
            <w:shd w:val="clear" w:color="auto" w:fill="E7E6E6" w:themeFill="background2"/>
            <w:noWrap/>
            <w:tcMar>
              <w:right w:w="0" w:type="nil"/>
            </w:tcMar>
            <w:hideMark/>
          </w:tcPr>
          <w:p w14:paraId="56CB3A81" w14:textId="77777777" w:rsidR="006E51BF" w:rsidRPr="00011F05" w:rsidRDefault="006E51BF">
            <w:pPr>
              <w:pStyle w:val="ARfintabletextright8pt"/>
            </w:pPr>
            <w:r w:rsidRPr="00011F05">
              <w:t>16.8</w:t>
            </w:r>
          </w:p>
        </w:tc>
        <w:tc>
          <w:tcPr>
            <w:tcW w:w="337" w:type="pct"/>
            <w:shd w:val="clear" w:color="auto" w:fill="E7E6E6" w:themeFill="background2"/>
            <w:noWrap/>
            <w:tcMar>
              <w:right w:w="0" w:type="nil"/>
            </w:tcMar>
            <w:hideMark/>
          </w:tcPr>
          <w:p w14:paraId="4D904CFD" w14:textId="77777777" w:rsidR="006E51BF" w:rsidRPr="00011F05" w:rsidRDefault="006E51BF">
            <w:pPr>
              <w:pStyle w:val="ARfintabletextright8pt"/>
            </w:pPr>
            <w:r w:rsidRPr="00011F05">
              <w:t>16.8</w:t>
            </w:r>
          </w:p>
        </w:tc>
        <w:tc>
          <w:tcPr>
            <w:tcW w:w="353" w:type="pct"/>
            <w:shd w:val="clear" w:color="auto" w:fill="E7E6E6" w:themeFill="background2"/>
            <w:noWrap/>
            <w:tcMar>
              <w:right w:w="0" w:type="nil"/>
            </w:tcMar>
            <w:hideMark/>
          </w:tcPr>
          <w:p w14:paraId="33E675DB" w14:textId="77777777" w:rsidR="006E51BF" w:rsidRPr="00011F05" w:rsidRDefault="006E51BF">
            <w:pPr>
              <w:pStyle w:val="ARfintabletextright8pt"/>
            </w:pPr>
            <w:r w:rsidRPr="00011F05">
              <w:t>(15.3)</w:t>
            </w:r>
          </w:p>
        </w:tc>
        <w:tc>
          <w:tcPr>
            <w:tcW w:w="339" w:type="pct"/>
            <w:shd w:val="clear" w:color="auto" w:fill="E7E6E6" w:themeFill="background2"/>
            <w:noWrap/>
            <w:tcMar>
              <w:right w:w="0" w:type="nil"/>
            </w:tcMar>
            <w:hideMark/>
          </w:tcPr>
          <w:p w14:paraId="2B441446" w14:textId="77777777" w:rsidR="006E51BF" w:rsidRPr="00011F05" w:rsidRDefault="006E51BF">
            <w:pPr>
              <w:pStyle w:val="ARfintabletextright8pt"/>
            </w:pPr>
            <w:r w:rsidRPr="00011F05">
              <w:t>(21.1)</w:t>
            </w:r>
          </w:p>
        </w:tc>
        <w:tc>
          <w:tcPr>
            <w:tcW w:w="376" w:type="pct"/>
            <w:noWrap/>
            <w:tcMar>
              <w:right w:w="0" w:type="nil"/>
            </w:tcMar>
            <w:hideMark/>
          </w:tcPr>
          <w:p w14:paraId="6DCA805E" w14:textId="77777777" w:rsidR="006E51BF" w:rsidRPr="00011F05" w:rsidRDefault="006E51BF">
            <w:pPr>
              <w:pStyle w:val="ARfintabletextright8pt"/>
            </w:pPr>
            <w:r w:rsidRPr="00011F05">
              <w:t>(10.3)</w:t>
            </w:r>
          </w:p>
        </w:tc>
        <w:tc>
          <w:tcPr>
            <w:tcW w:w="401" w:type="pct"/>
            <w:noWrap/>
            <w:tcMar>
              <w:right w:w="0" w:type="nil"/>
            </w:tcMar>
            <w:hideMark/>
          </w:tcPr>
          <w:p w14:paraId="0CAB862B" w14:textId="77777777" w:rsidR="006E51BF" w:rsidRPr="00011F05" w:rsidRDefault="006E51BF">
            <w:pPr>
              <w:pStyle w:val="ARfintabletextright8pt"/>
            </w:pPr>
            <w:r>
              <w:t>–</w:t>
            </w:r>
          </w:p>
        </w:tc>
        <w:tc>
          <w:tcPr>
            <w:tcW w:w="376" w:type="pct"/>
            <w:noWrap/>
            <w:tcMar>
              <w:right w:w="0" w:type="nil"/>
            </w:tcMar>
            <w:hideMark/>
          </w:tcPr>
          <w:p w14:paraId="2B46E861" w14:textId="77777777" w:rsidR="006E51BF" w:rsidRPr="00011F05" w:rsidRDefault="006E51BF">
            <w:pPr>
              <w:pStyle w:val="ARfintabletextright8pt"/>
            </w:pPr>
            <w:r w:rsidRPr="00011F05">
              <w:t>1.6</w:t>
            </w:r>
          </w:p>
        </w:tc>
        <w:tc>
          <w:tcPr>
            <w:tcW w:w="377" w:type="pct"/>
            <w:noWrap/>
            <w:tcMar>
              <w:right w:w="0" w:type="nil"/>
            </w:tcMar>
            <w:hideMark/>
          </w:tcPr>
          <w:p w14:paraId="5A4D9306" w14:textId="77777777" w:rsidR="006E51BF" w:rsidRPr="00011F05" w:rsidRDefault="006E51BF">
            <w:pPr>
              <w:pStyle w:val="ARfintabletextright8pt"/>
            </w:pPr>
            <w:r w:rsidRPr="00011F05">
              <w:t>1.6</w:t>
            </w:r>
          </w:p>
        </w:tc>
        <w:tc>
          <w:tcPr>
            <w:tcW w:w="376" w:type="pct"/>
            <w:noWrap/>
            <w:tcMar>
              <w:right w:w="0" w:type="nil"/>
            </w:tcMar>
            <w:hideMark/>
          </w:tcPr>
          <w:p w14:paraId="6D0E3973" w14:textId="77777777" w:rsidR="006E51BF" w:rsidRPr="00011F05" w:rsidRDefault="006E51BF">
            <w:pPr>
              <w:pStyle w:val="ARfintabletextright8pt"/>
            </w:pPr>
            <w:r w:rsidRPr="00011F05">
              <w:t>4.5</w:t>
            </w:r>
          </w:p>
        </w:tc>
        <w:tc>
          <w:tcPr>
            <w:tcW w:w="376" w:type="pct"/>
            <w:noWrap/>
            <w:tcMar>
              <w:right w:w="0" w:type="nil"/>
            </w:tcMar>
            <w:hideMark/>
          </w:tcPr>
          <w:p w14:paraId="55BEDCAC" w14:textId="77777777" w:rsidR="006E51BF" w:rsidRPr="00011F05" w:rsidRDefault="006E51BF">
            <w:pPr>
              <w:pStyle w:val="ARfintabletextright8pt"/>
            </w:pPr>
            <w:r w:rsidRPr="00011F05">
              <w:t>(5.8)</w:t>
            </w:r>
          </w:p>
        </w:tc>
      </w:tr>
      <w:tr w:rsidR="006E51BF" w:rsidRPr="00011F05" w14:paraId="6A919868"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1018" w:type="pct"/>
            <w:noWrap/>
            <w:hideMark/>
          </w:tcPr>
          <w:p w14:paraId="1663F895" w14:textId="77777777" w:rsidR="006E51BF" w:rsidRPr="00011F05" w:rsidRDefault="006E51BF">
            <w:pPr>
              <w:pStyle w:val="ARfintabletextbold8pt"/>
            </w:pPr>
            <w:r w:rsidRPr="00011F05">
              <w:t>Total administered trusts</w:t>
            </w:r>
          </w:p>
        </w:tc>
        <w:tc>
          <w:tcPr>
            <w:tcW w:w="337" w:type="pct"/>
            <w:shd w:val="clear" w:color="auto" w:fill="E7E6E6" w:themeFill="background2"/>
            <w:noWrap/>
            <w:tcMar>
              <w:right w:w="0" w:type="nil"/>
            </w:tcMar>
            <w:hideMark/>
          </w:tcPr>
          <w:p w14:paraId="1444218E" w14:textId="77777777" w:rsidR="006E51BF" w:rsidRPr="003C49D1" w:rsidRDefault="006E51BF">
            <w:pPr>
              <w:pStyle w:val="ARfintabletextboldright8pt"/>
            </w:pPr>
            <w:r w:rsidRPr="003C49D1">
              <w:t>(5.1)</w:t>
            </w:r>
          </w:p>
        </w:tc>
        <w:tc>
          <w:tcPr>
            <w:tcW w:w="337" w:type="pct"/>
            <w:shd w:val="clear" w:color="auto" w:fill="E7E6E6" w:themeFill="background2"/>
            <w:noWrap/>
            <w:tcMar>
              <w:right w:w="0" w:type="nil"/>
            </w:tcMar>
            <w:hideMark/>
          </w:tcPr>
          <w:p w14:paraId="14C80B9F" w14:textId="77777777" w:rsidR="006E51BF" w:rsidRPr="003C49D1" w:rsidRDefault="006E51BF">
            <w:pPr>
              <w:pStyle w:val="ARfintabletextboldright8pt"/>
            </w:pPr>
            <w:r w:rsidRPr="003C49D1">
              <w:t>17.4</w:t>
            </w:r>
          </w:p>
        </w:tc>
        <w:tc>
          <w:tcPr>
            <w:tcW w:w="337" w:type="pct"/>
            <w:shd w:val="clear" w:color="auto" w:fill="E7E6E6" w:themeFill="background2"/>
            <w:noWrap/>
            <w:tcMar>
              <w:right w:w="0" w:type="nil"/>
            </w:tcMar>
            <w:hideMark/>
          </w:tcPr>
          <w:p w14:paraId="59728DBB" w14:textId="77777777" w:rsidR="006E51BF" w:rsidRPr="003C49D1" w:rsidRDefault="006E51BF">
            <w:pPr>
              <w:pStyle w:val="ARfintabletextboldright8pt"/>
            </w:pPr>
            <w:r w:rsidRPr="003C49D1">
              <w:t>16.8</w:t>
            </w:r>
          </w:p>
        </w:tc>
        <w:tc>
          <w:tcPr>
            <w:tcW w:w="353" w:type="pct"/>
            <w:shd w:val="clear" w:color="auto" w:fill="E7E6E6" w:themeFill="background2"/>
            <w:noWrap/>
            <w:tcMar>
              <w:right w:w="0" w:type="nil"/>
            </w:tcMar>
            <w:hideMark/>
          </w:tcPr>
          <w:p w14:paraId="1AB416E7" w14:textId="77777777" w:rsidR="006E51BF" w:rsidRPr="003C49D1" w:rsidRDefault="006E51BF">
            <w:pPr>
              <w:pStyle w:val="ARfintabletextboldright8pt"/>
            </w:pPr>
            <w:r w:rsidRPr="003C49D1">
              <w:t>(15.3)</w:t>
            </w:r>
          </w:p>
        </w:tc>
        <w:tc>
          <w:tcPr>
            <w:tcW w:w="339" w:type="pct"/>
            <w:shd w:val="clear" w:color="auto" w:fill="E7E6E6" w:themeFill="background2"/>
            <w:noWrap/>
            <w:tcMar>
              <w:right w:w="0" w:type="nil"/>
            </w:tcMar>
            <w:hideMark/>
          </w:tcPr>
          <w:p w14:paraId="09DF58D7" w14:textId="77777777" w:rsidR="006E51BF" w:rsidRPr="003C49D1" w:rsidRDefault="006E51BF">
            <w:pPr>
              <w:pStyle w:val="ARfintabletextboldright8pt"/>
            </w:pPr>
            <w:r w:rsidRPr="003C49D1">
              <w:t>(19.8)</w:t>
            </w:r>
          </w:p>
        </w:tc>
        <w:tc>
          <w:tcPr>
            <w:tcW w:w="376" w:type="pct"/>
            <w:noWrap/>
            <w:tcMar>
              <w:right w:w="0" w:type="nil"/>
            </w:tcMar>
            <w:hideMark/>
          </w:tcPr>
          <w:p w14:paraId="585FD711" w14:textId="77777777" w:rsidR="006E51BF" w:rsidRPr="003C49D1" w:rsidRDefault="006E51BF">
            <w:pPr>
              <w:pStyle w:val="ARfintabletextboldright8pt"/>
            </w:pPr>
            <w:r w:rsidRPr="003C49D1">
              <w:t>(9.9)</w:t>
            </w:r>
          </w:p>
        </w:tc>
        <w:tc>
          <w:tcPr>
            <w:tcW w:w="401" w:type="pct"/>
            <w:noWrap/>
            <w:tcMar>
              <w:right w:w="0" w:type="nil"/>
            </w:tcMar>
            <w:hideMark/>
          </w:tcPr>
          <w:p w14:paraId="6FCA9265" w14:textId="77777777" w:rsidR="006E51BF" w:rsidRPr="003C49D1" w:rsidRDefault="006E51BF">
            <w:pPr>
              <w:pStyle w:val="ARfintabletextboldright8pt"/>
            </w:pPr>
            <w:r w:rsidRPr="003C49D1">
              <w:t>–</w:t>
            </w:r>
          </w:p>
        </w:tc>
        <w:tc>
          <w:tcPr>
            <w:tcW w:w="376" w:type="pct"/>
            <w:noWrap/>
            <w:tcMar>
              <w:right w:w="0" w:type="nil"/>
            </w:tcMar>
            <w:hideMark/>
          </w:tcPr>
          <w:p w14:paraId="495F2A1F" w14:textId="77777777" w:rsidR="006E51BF" w:rsidRPr="003C49D1" w:rsidRDefault="006E51BF">
            <w:pPr>
              <w:pStyle w:val="ARfintabletextboldright8pt"/>
            </w:pPr>
            <w:r w:rsidRPr="003C49D1">
              <w:t>2.0</w:t>
            </w:r>
          </w:p>
        </w:tc>
        <w:tc>
          <w:tcPr>
            <w:tcW w:w="377" w:type="pct"/>
            <w:noWrap/>
            <w:tcMar>
              <w:right w:w="0" w:type="nil"/>
            </w:tcMar>
            <w:hideMark/>
          </w:tcPr>
          <w:p w14:paraId="62DFC3CC" w14:textId="77777777" w:rsidR="006E51BF" w:rsidRPr="003C49D1" w:rsidRDefault="006E51BF">
            <w:pPr>
              <w:pStyle w:val="ARfintabletextboldright8pt"/>
            </w:pPr>
            <w:r w:rsidRPr="003C49D1">
              <w:t>1.7</w:t>
            </w:r>
          </w:p>
        </w:tc>
        <w:tc>
          <w:tcPr>
            <w:tcW w:w="376" w:type="pct"/>
            <w:noWrap/>
            <w:tcMar>
              <w:right w:w="0" w:type="nil"/>
            </w:tcMar>
            <w:hideMark/>
          </w:tcPr>
          <w:p w14:paraId="3D674F76" w14:textId="77777777" w:rsidR="006E51BF" w:rsidRPr="003C49D1" w:rsidRDefault="006E51BF">
            <w:pPr>
              <w:pStyle w:val="ARfintabletextboldright8pt"/>
            </w:pPr>
            <w:r w:rsidRPr="003C49D1">
              <w:t>4.5</w:t>
            </w:r>
          </w:p>
        </w:tc>
        <w:tc>
          <w:tcPr>
            <w:tcW w:w="376" w:type="pct"/>
            <w:noWrap/>
            <w:tcMar>
              <w:right w:w="0" w:type="nil"/>
            </w:tcMar>
            <w:hideMark/>
          </w:tcPr>
          <w:p w14:paraId="3F60405A" w14:textId="77777777" w:rsidR="006E51BF" w:rsidRPr="003C49D1" w:rsidRDefault="006E51BF">
            <w:pPr>
              <w:pStyle w:val="ARfintabletextboldright8pt"/>
            </w:pPr>
            <w:r w:rsidRPr="003C49D1">
              <w:t>(5.1)</w:t>
            </w:r>
          </w:p>
        </w:tc>
      </w:tr>
    </w:tbl>
    <w:p w14:paraId="6E90B435" w14:textId="77777777" w:rsidR="006E51BF" w:rsidRDefault="006E51BF">
      <w:pPr>
        <w:pStyle w:val="ARfinbody"/>
        <w:rPr>
          <w:lang w:eastAsia="en-AU"/>
        </w:rPr>
        <w:sectPr w:rsidR="006E51BF" w:rsidSect="00E7077C">
          <w:pgSz w:w="16838" w:h="11906" w:orient="landscape" w:code="9"/>
          <w:pgMar w:top="1588" w:right="1134" w:bottom="851" w:left="1134" w:header="680" w:footer="567" w:gutter="0"/>
          <w:cols w:space="340"/>
          <w:docGrid w:linePitch="360"/>
        </w:sectPr>
      </w:pPr>
    </w:p>
    <w:p w14:paraId="405E3AB5" w14:textId="77777777" w:rsidR="006E51BF" w:rsidRPr="00FE4F72" w:rsidRDefault="006E51BF" w:rsidP="009C5E39">
      <w:pPr>
        <w:pStyle w:val="Heading5"/>
        <w:spacing w:before="0"/>
        <w:rPr>
          <w:lang w:eastAsia="en-AU"/>
        </w:rPr>
      </w:pPr>
      <w:r w:rsidRPr="00FE4F72">
        <w:rPr>
          <w:lang w:eastAsia="en-AU"/>
        </w:rPr>
        <w:t xml:space="preserve">7.4.2 Trust account </w:t>
      </w:r>
      <w:r>
        <w:rPr>
          <w:lang w:eastAsia="en-AU"/>
        </w:rPr>
        <w:t>–</w:t>
      </w:r>
      <w:r w:rsidRPr="00FE4F72">
        <w:rPr>
          <w:lang w:eastAsia="en-AU"/>
        </w:rPr>
        <w:t xml:space="preserve"> Legislative references and nature</w:t>
      </w:r>
    </w:p>
    <w:p w14:paraId="79FF097E" w14:textId="77777777" w:rsidR="006E51BF" w:rsidRPr="00FE4F72" w:rsidRDefault="006E51BF">
      <w:pPr>
        <w:pStyle w:val="Heading6"/>
      </w:pPr>
      <w:r w:rsidRPr="00FE4F72">
        <w:t>Controlled trusts</w:t>
      </w:r>
    </w:p>
    <w:p w14:paraId="481C1B83" w14:textId="77777777" w:rsidR="006E51BF" w:rsidRDefault="006E51BF">
      <w:pPr>
        <w:pStyle w:val="Heading7"/>
        <w:rPr>
          <w:lang w:eastAsia="en-AU"/>
        </w:rPr>
      </w:pPr>
      <w:r w:rsidRPr="00FE4F72">
        <w:rPr>
          <w:lang w:eastAsia="en-AU"/>
        </w:rPr>
        <w:t>Intellectually Handicapped Children’s Amenities Fund</w:t>
      </w:r>
    </w:p>
    <w:p w14:paraId="79584A6D" w14:textId="5A641151" w:rsidR="006E51BF" w:rsidRPr="00FE4F72" w:rsidRDefault="006E51BF">
      <w:pPr>
        <w:pStyle w:val="ARfinbody"/>
        <w:rPr>
          <w:lang w:eastAsia="en-AU"/>
        </w:rPr>
      </w:pPr>
      <w:r w:rsidRPr="00FE4F72">
        <w:rPr>
          <w:lang w:eastAsia="en-AU"/>
        </w:rPr>
        <w:t xml:space="preserve">Established under the </w:t>
      </w:r>
      <w:r w:rsidRPr="00105DB4">
        <w:rPr>
          <w:rStyle w:val="Emphasis"/>
          <w:lang w:eastAsia="en-AU"/>
        </w:rPr>
        <w:t>Intellectually Disabled Persons Act 1986</w:t>
      </w:r>
      <w:r w:rsidRPr="00FE4F72">
        <w:rPr>
          <w:lang w:eastAsia="en-AU"/>
        </w:rPr>
        <w:t xml:space="preserve"> which was then repealed by the </w:t>
      </w:r>
      <w:r w:rsidRPr="00105DB4">
        <w:rPr>
          <w:rStyle w:val="Emphasis"/>
          <w:lang w:eastAsia="en-AU"/>
        </w:rPr>
        <w:t>Disability Act 2006</w:t>
      </w:r>
      <w:r w:rsidRPr="00FE4F72">
        <w:rPr>
          <w:lang w:eastAsia="en-AU"/>
        </w:rPr>
        <w:t>. The</w:t>
      </w:r>
      <w:r w:rsidR="00437809">
        <w:rPr>
          <w:lang w:eastAsia="en-AU"/>
        </w:rPr>
        <w:t> </w:t>
      </w:r>
      <w:r w:rsidRPr="00FE4F72">
        <w:rPr>
          <w:lang w:eastAsia="en-AU"/>
        </w:rPr>
        <w:t>trust was established to meet the cost of the provision of amenities for children under the age of 16 years in the care of the department.</w:t>
      </w:r>
    </w:p>
    <w:p w14:paraId="4B2C2FA2" w14:textId="77777777" w:rsidR="006E51BF" w:rsidRDefault="006E51BF">
      <w:pPr>
        <w:pStyle w:val="Heading7"/>
      </w:pPr>
      <w:r w:rsidRPr="00FE4F72">
        <w:t>Mental Health Fund</w:t>
      </w:r>
    </w:p>
    <w:p w14:paraId="792C3363" w14:textId="713ED5D2" w:rsidR="006E51BF" w:rsidRPr="00FE4F72" w:rsidRDefault="006E51BF">
      <w:pPr>
        <w:pStyle w:val="ARfinbody"/>
        <w:rPr>
          <w:lang w:eastAsia="en-AU"/>
        </w:rPr>
      </w:pPr>
      <w:r w:rsidRPr="00FE4F72">
        <w:rPr>
          <w:lang w:eastAsia="en-AU"/>
        </w:rPr>
        <w:t xml:space="preserve">Established under the </w:t>
      </w:r>
      <w:r w:rsidRPr="00105DB4">
        <w:rPr>
          <w:rStyle w:val="Emphasis"/>
          <w:lang w:eastAsia="en-AU"/>
        </w:rPr>
        <w:t>Gaming Regulation Act 2003</w:t>
      </w:r>
      <w:r w:rsidRPr="00FE4F72">
        <w:rPr>
          <w:lang w:eastAsia="en-AU"/>
        </w:rPr>
        <w:t xml:space="preserve"> for the establishment and maintenance of mental health services and</w:t>
      </w:r>
      <w:r w:rsidR="00437809">
        <w:rPr>
          <w:lang w:eastAsia="en-AU"/>
        </w:rPr>
        <w:t> </w:t>
      </w:r>
      <w:r w:rsidRPr="00FE4F72">
        <w:rPr>
          <w:lang w:eastAsia="en-AU"/>
        </w:rPr>
        <w:t xml:space="preserve">residential institutions and facilities, for the administration of the </w:t>
      </w:r>
      <w:r w:rsidRPr="00105DB4">
        <w:rPr>
          <w:rStyle w:val="Emphasis"/>
          <w:lang w:eastAsia="en-AU"/>
        </w:rPr>
        <w:t>Mental Health Act 1986</w:t>
      </w:r>
      <w:r w:rsidRPr="00FE4F72">
        <w:rPr>
          <w:lang w:eastAsia="en-AU"/>
        </w:rPr>
        <w:t xml:space="preserve"> and for the administration of</w:t>
      </w:r>
      <w:r w:rsidR="00437809">
        <w:rPr>
          <w:lang w:eastAsia="en-AU"/>
        </w:rPr>
        <w:t> </w:t>
      </w:r>
      <w:r w:rsidRPr="00FE4F72">
        <w:rPr>
          <w:lang w:eastAsia="en-AU"/>
        </w:rPr>
        <w:t xml:space="preserve">the </w:t>
      </w:r>
      <w:r w:rsidRPr="00105DB4">
        <w:rPr>
          <w:rStyle w:val="Emphasis"/>
          <w:lang w:eastAsia="en-AU"/>
        </w:rPr>
        <w:t>Disability Act 2006</w:t>
      </w:r>
      <w:r w:rsidRPr="00FE4F72">
        <w:rPr>
          <w:lang w:eastAsia="en-AU"/>
        </w:rPr>
        <w:t>.</w:t>
      </w:r>
    </w:p>
    <w:p w14:paraId="2FBC5F7E" w14:textId="77777777" w:rsidR="006E51BF" w:rsidRDefault="006E51BF">
      <w:pPr>
        <w:pStyle w:val="Heading7"/>
      </w:pPr>
      <w:r w:rsidRPr="00FE4F72">
        <w:t>Treasury Trust</w:t>
      </w:r>
    </w:p>
    <w:p w14:paraId="68A8286E" w14:textId="77777777" w:rsidR="006E51BF" w:rsidRPr="00FE4F72" w:rsidRDefault="006E51BF">
      <w:pPr>
        <w:pStyle w:val="ARfinbody"/>
      </w:pPr>
      <w:r w:rsidRPr="00FE4F72">
        <w:t>Established to record the receipt and disbursement of unclaimed monies and other funds held in trust.</w:t>
      </w:r>
    </w:p>
    <w:p w14:paraId="162404FE" w14:textId="77777777" w:rsidR="006E51BF" w:rsidRDefault="006E51BF">
      <w:pPr>
        <w:pStyle w:val="Heading7"/>
      </w:pPr>
      <w:r w:rsidRPr="00FE4F72">
        <w:t>Inter-Departmental Transfer Trust</w:t>
      </w:r>
    </w:p>
    <w:p w14:paraId="7EE02F81" w14:textId="77777777" w:rsidR="006E51BF" w:rsidRPr="00FE4F72" w:rsidRDefault="006E51BF">
      <w:pPr>
        <w:pStyle w:val="ARfinbody"/>
        <w:rPr>
          <w:lang w:eastAsia="en-AU"/>
        </w:rPr>
      </w:pPr>
      <w:r w:rsidRPr="00FE4F72">
        <w:rPr>
          <w:lang w:eastAsia="en-AU"/>
        </w:rPr>
        <w:t xml:space="preserve">Established under s. 19 of the </w:t>
      </w:r>
      <w:r w:rsidRPr="00105DB4">
        <w:rPr>
          <w:rStyle w:val="Emphasis"/>
          <w:lang w:eastAsia="en-AU"/>
        </w:rPr>
        <w:t>Financial Management Act 1994</w:t>
      </w:r>
      <w:r w:rsidRPr="00FE4F72">
        <w:rPr>
          <w:lang w:eastAsia="en-AU"/>
        </w:rPr>
        <w:t xml:space="preserve"> by the Minister for Finance to record inter-departmental transfers when no other trust arrangement exists.</w:t>
      </w:r>
    </w:p>
    <w:p w14:paraId="798B60A5" w14:textId="77777777" w:rsidR="006E51BF" w:rsidRDefault="006E51BF">
      <w:pPr>
        <w:pStyle w:val="Heading7"/>
      </w:pPr>
      <w:r w:rsidRPr="00FE4F72">
        <w:t>Vehicle Lease Trust Account</w:t>
      </w:r>
    </w:p>
    <w:p w14:paraId="730792A6" w14:textId="77777777" w:rsidR="006E51BF" w:rsidRPr="00FE4F72" w:rsidRDefault="006E51BF">
      <w:pPr>
        <w:pStyle w:val="ARfinbody"/>
        <w:rPr>
          <w:lang w:eastAsia="en-AU"/>
        </w:rPr>
      </w:pPr>
      <w:r w:rsidRPr="00FE4F72">
        <w:rPr>
          <w:lang w:eastAsia="en-AU"/>
        </w:rPr>
        <w:t>Established to record transactions relating to the government’s vehicle pool and fleet management business.</w:t>
      </w:r>
    </w:p>
    <w:p w14:paraId="0491DC20" w14:textId="77777777" w:rsidR="006E51BF" w:rsidRDefault="006E51BF">
      <w:pPr>
        <w:pStyle w:val="Heading7"/>
        <w:rPr>
          <w:lang w:eastAsia="en-AU"/>
        </w:rPr>
      </w:pPr>
      <w:r w:rsidRPr="00FE4F72">
        <w:rPr>
          <w:lang w:eastAsia="en-AU"/>
        </w:rPr>
        <w:t>Departmental Suspense Account</w:t>
      </w:r>
    </w:p>
    <w:p w14:paraId="6AB667CD" w14:textId="77777777" w:rsidR="006E51BF" w:rsidRPr="00FE4F72" w:rsidRDefault="006E51BF">
      <w:pPr>
        <w:pStyle w:val="ARfinbody"/>
        <w:rPr>
          <w:lang w:eastAsia="en-AU"/>
        </w:rPr>
      </w:pPr>
      <w:r w:rsidRPr="00FE4F72">
        <w:rPr>
          <w:lang w:eastAsia="en-AU"/>
        </w:rPr>
        <w:t>Short-term clearing account pending correct identification of payments.</w:t>
      </w:r>
    </w:p>
    <w:p w14:paraId="72B91BCE" w14:textId="77777777" w:rsidR="006E51BF" w:rsidRDefault="006E51BF">
      <w:pPr>
        <w:pStyle w:val="Heading7"/>
        <w:rPr>
          <w:lang w:eastAsia="en-AU"/>
        </w:rPr>
      </w:pPr>
      <w:r w:rsidRPr="00FE4F72">
        <w:rPr>
          <w:lang w:eastAsia="en-AU"/>
        </w:rPr>
        <w:t>Victorian Veterans Fund</w:t>
      </w:r>
    </w:p>
    <w:p w14:paraId="426CA319" w14:textId="77777777" w:rsidR="006E51BF" w:rsidRPr="00FE4F72" w:rsidRDefault="006E51BF">
      <w:pPr>
        <w:pStyle w:val="ARfinbody"/>
        <w:rPr>
          <w:b/>
          <w:bCs/>
          <w:lang w:eastAsia="en-AU"/>
        </w:rPr>
      </w:pPr>
      <w:r w:rsidRPr="00FE4F72">
        <w:rPr>
          <w:lang w:eastAsia="en-AU"/>
        </w:rPr>
        <w:t xml:space="preserve">Established under s. 20 of the </w:t>
      </w:r>
      <w:r w:rsidRPr="00105DB4">
        <w:rPr>
          <w:rStyle w:val="Emphasis"/>
          <w:lang w:eastAsia="en-AU"/>
        </w:rPr>
        <w:t>Veterans Act 2005</w:t>
      </w:r>
      <w:r w:rsidRPr="00FE4F72">
        <w:rPr>
          <w:lang w:eastAsia="en-AU"/>
        </w:rPr>
        <w:t xml:space="preserve"> to educate Victorians about Victoria's involvement in Australia's war and service history, to honour or commemorate the service or sacrifice of veterans, to assist the education of veterans' dependants and any other purpose agreed in writing by the Minister for Veterans. The Victorian Veterans Council may invest any part of the Victorian Veterans Fund not immediately required for the purposes of the Victorian Veterans Fund in any manner approved by the Treasurer.</w:t>
      </w:r>
    </w:p>
    <w:p w14:paraId="5CB9DA42" w14:textId="77777777" w:rsidR="006E51BF" w:rsidRDefault="006E51BF">
      <w:pPr>
        <w:pStyle w:val="Heading7"/>
        <w:rPr>
          <w:lang w:eastAsia="en-AU"/>
        </w:rPr>
      </w:pPr>
      <w:r w:rsidRPr="00FE4F72">
        <w:rPr>
          <w:lang w:eastAsia="en-AU"/>
        </w:rPr>
        <w:t>Anzac Day Proceeds Fund</w:t>
      </w:r>
    </w:p>
    <w:p w14:paraId="60F7108F" w14:textId="77777777" w:rsidR="006E51BF" w:rsidRPr="00FE4F72" w:rsidRDefault="006E51BF">
      <w:pPr>
        <w:pStyle w:val="ARfinbody"/>
        <w:rPr>
          <w:lang w:eastAsia="en-AU"/>
        </w:rPr>
      </w:pPr>
      <w:r w:rsidRPr="00FE4F72">
        <w:rPr>
          <w:lang w:eastAsia="en-AU"/>
        </w:rPr>
        <w:t xml:space="preserve">Established under s. 4A of the </w:t>
      </w:r>
      <w:r w:rsidRPr="00105DB4">
        <w:rPr>
          <w:rStyle w:val="Emphasis"/>
          <w:lang w:eastAsia="en-AU"/>
        </w:rPr>
        <w:t>ANZAC Day Act 1958</w:t>
      </w:r>
      <w:r w:rsidRPr="00FE4F72">
        <w:rPr>
          <w:lang w:eastAsia="en-AU"/>
        </w:rPr>
        <w:t xml:space="preserve"> to receive funds as required to be paid by the </w:t>
      </w:r>
      <w:r w:rsidRPr="00105DB4">
        <w:rPr>
          <w:rStyle w:val="Emphasis"/>
          <w:lang w:eastAsia="en-AU"/>
        </w:rPr>
        <w:t>ANZAC Day Act 1958</w:t>
      </w:r>
      <w:r w:rsidRPr="00FE4F72">
        <w:rPr>
          <w:lang w:eastAsia="en-AU"/>
        </w:rPr>
        <w:t xml:space="preserve"> and the </w:t>
      </w:r>
      <w:r w:rsidRPr="00105DB4">
        <w:rPr>
          <w:rStyle w:val="Emphasis"/>
          <w:lang w:eastAsia="en-AU"/>
        </w:rPr>
        <w:t>Racing Act 1958</w:t>
      </w:r>
      <w:r w:rsidRPr="00FE4F72">
        <w:rPr>
          <w:lang w:eastAsia="en-AU"/>
        </w:rPr>
        <w:t xml:space="preserve"> and to be credited to the Victorian Veterans Fund.</w:t>
      </w:r>
    </w:p>
    <w:p w14:paraId="01431E16" w14:textId="77777777" w:rsidR="006E51BF" w:rsidRDefault="006E51BF">
      <w:pPr>
        <w:pStyle w:val="Heading7"/>
        <w:rPr>
          <w:lang w:eastAsia="en-AU"/>
        </w:rPr>
      </w:pPr>
      <w:r w:rsidRPr="00FE4F72">
        <w:rPr>
          <w:lang w:eastAsia="en-AU"/>
        </w:rPr>
        <w:t xml:space="preserve">Commonwealth Treasury Trust Fund </w:t>
      </w:r>
    </w:p>
    <w:p w14:paraId="06E5E732" w14:textId="77777777" w:rsidR="006E51BF" w:rsidRPr="00FE4F72" w:rsidRDefault="006E51BF">
      <w:pPr>
        <w:pStyle w:val="ARfinbody"/>
        <w:rPr>
          <w:lang w:eastAsia="en-AU"/>
        </w:rPr>
      </w:pPr>
      <w:r w:rsidRPr="00FE4F72">
        <w:rPr>
          <w:lang w:eastAsia="en-AU"/>
        </w:rPr>
        <w:t xml:space="preserve">Established under s. 19 of the </w:t>
      </w:r>
      <w:r w:rsidRPr="00105DB4">
        <w:rPr>
          <w:rStyle w:val="Emphasis"/>
          <w:lang w:eastAsia="en-AU"/>
        </w:rPr>
        <w:t>Financial Management Act 1994</w:t>
      </w:r>
      <w:r w:rsidRPr="00FE4F72">
        <w:rPr>
          <w:lang w:eastAsia="en-AU"/>
        </w:rPr>
        <w:t>, for the primary purpose of holding funds from the Commonwealth Government that are to be on-passed to relevant departments.</w:t>
      </w:r>
    </w:p>
    <w:p w14:paraId="3CE31B4B" w14:textId="77777777" w:rsidR="006E51BF" w:rsidRPr="00FE4F72" w:rsidRDefault="006E51BF">
      <w:pPr>
        <w:pStyle w:val="Heading6"/>
      </w:pPr>
      <w:r w:rsidRPr="00FE4F72">
        <w:t>Administered trusts</w:t>
      </w:r>
    </w:p>
    <w:p w14:paraId="6F9ADF14" w14:textId="77777777" w:rsidR="006E51BF" w:rsidRDefault="006E51BF">
      <w:pPr>
        <w:pStyle w:val="Heading7"/>
        <w:rPr>
          <w:lang w:eastAsia="en-AU"/>
        </w:rPr>
      </w:pPr>
      <w:r w:rsidRPr="00FE4F72">
        <w:rPr>
          <w:lang w:eastAsia="en-AU"/>
        </w:rPr>
        <w:t>Public Service Commuter Club</w:t>
      </w:r>
    </w:p>
    <w:p w14:paraId="236CE7B8" w14:textId="77777777" w:rsidR="006E51BF" w:rsidRPr="00FE4F72" w:rsidRDefault="006E51BF">
      <w:pPr>
        <w:pStyle w:val="ARfinbody"/>
        <w:rPr>
          <w:lang w:eastAsia="en-AU"/>
        </w:rPr>
      </w:pPr>
      <w:r w:rsidRPr="00FE4F72">
        <w:rPr>
          <w:lang w:eastAsia="en-AU"/>
        </w:rPr>
        <w:t>Established to record the receipt of amounts associated with the Public Service Commuter Club Scheme and deductions from club members' salaries as well as to record payment to the Public Transport Corporation.</w:t>
      </w:r>
    </w:p>
    <w:p w14:paraId="24025596" w14:textId="77777777" w:rsidR="006E51BF" w:rsidRDefault="006E51BF">
      <w:pPr>
        <w:pStyle w:val="Heading7"/>
      </w:pPr>
      <w:r w:rsidRPr="00FE4F72">
        <w:t>Revenue Suspense Account</w:t>
      </w:r>
    </w:p>
    <w:p w14:paraId="089A29DF" w14:textId="77777777" w:rsidR="006E51BF" w:rsidRPr="00FE4F72" w:rsidRDefault="006E51BF">
      <w:pPr>
        <w:pStyle w:val="ARfinbody"/>
        <w:rPr>
          <w:lang w:eastAsia="en-AU"/>
        </w:rPr>
      </w:pPr>
      <w:r w:rsidRPr="00FE4F72">
        <w:rPr>
          <w:lang w:eastAsia="en-AU"/>
        </w:rPr>
        <w:t>Short-term clearing account pending correct identification of receipts.</w:t>
      </w:r>
    </w:p>
    <w:p w14:paraId="1D450357" w14:textId="77777777" w:rsidR="006E51BF" w:rsidRDefault="006E51BF">
      <w:pPr>
        <w:pStyle w:val="Heading7"/>
      </w:pPr>
      <w:r w:rsidRPr="00FE4F72">
        <w:t>Victorian Natural Disasters Relief Fund</w:t>
      </w:r>
    </w:p>
    <w:p w14:paraId="7B9DE456" w14:textId="77777777" w:rsidR="006E51BF" w:rsidRPr="00FE4F72" w:rsidRDefault="006E51BF">
      <w:pPr>
        <w:pStyle w:val="ARfinbody"/>
        <w:rPr>
          <w:lang w:eastAsia="en-AU"/>
        </w:rPr>
      </w:pPr>
      <w:r w:rsidRPr="00FE4F72">
        <w:rPr>
          <w:lang w:eastAsia="en-AU"/>
        </w:rPr>
        <w:t xml:space="preserve">Established for the purpose of granting assistance to persons who suffer losses </w:t>
      </w:r>
      <w:proofErr w:type="gramStart"/>
      <w:r w:rsidRPr="00FE4F72">
        <w:rPr>
          <w:lang w:eastAsia="en-AU"/>
        </w:rPr>
        <w:t>as a result of</w:t>
      </w:r>
      <w:proofErr w:type="gramEnd"/>
      <w:r w:rsidRPr="00FE4F72">
        <w:rPr>
          <w:lang w:eastAsia="en-AU"/>
        </w:rPr>
        <w:t xml:space="preserve"> flood, bushfires and other natural disasters</w:t>
      </w:r>
      <w:r>
        <w:rPr>
          <w:lang w:eastAsia="en-AU"/>
        </w:rPr>
        <w:t>.</w:t>
      </w:r>
    </w:p>
    <w:p w14:paraId="734DBF3C" w14:textId="77777777" w:rsidR="006E51BF" w:rsidRPr="00A837BD" w:rsidRDefault="006E51BF">
      <w:pPr>
        <w:pStyle w:val="Heading4"/>
        <w:rPr>
          <w:lang w:eastAsia="en-AU"/>
        </w:rPr>
      </w:pPr>
      <w:r w:rsidRPr="00A837BD">
        <w:rPr>
          <w:lang w:eastAsia="en-AU"/>
        </w:rPr>
        <w:t xml:space="preserve">7.5 </w:t>
      </w:r>
      <w:r>
        <w:rPr>
          <w:lang w:eastAsia="en-AU"/>
        </w:rPr>
        <w:tab/>
      </w:r>
      <w:r w:rsidRPr="00A837BD">
        <w:rPr>
          <w:lang w:eastAsia="en-AU"/>
        </w:rPr>
        <w:t>Commitments for expenditure</w:t>
      </w:r>
    </w:p>
    <w:p w14:paraId="08AE54B7" w14:textId="77777777" w:rsidR="006E51BF" w:rsidRPr="00A837BD" w:rsidRDefault="006E51BF">
      <w:pPr>
        <w:pStyle w:val="ARfinbody"/>
        <w:rPr>
          <w:lang w:eastAsia="en-AU"/>
        </w:rPr>
      </w:pPr>
      <w:r w:rsidRPr="00A837BD">
        <w:rPr>
          <w:lang w:eastAsia="en-AU"/>
        </w:rPr>
        <w:t xml:space="preserve">Commitments for future expenditure include operating and capital commitments arising from contracts. These commitments are recorded below at their nominal value and inclusive of GST where applicable. These future expenditures cease to be disclosed as commitments once the related liabilities are recognised in the balance sheet. </w:t>
      </w:r>
    </w:p>
    <w:p w14:paraId="22F4A3F5" w14:textId="77777777" w:rsidR="006E51BF" w:rsidRPr="00A837BD" w:rsidRDefault="006E51BF">
      <w:pPr>
        <w:pStyle w:val="Heading5"/>
        <w:rPr>
          <w:lang w:eastAsia="en-AU"/>
        </w:rPr>
      </w:pPr>
      <w:r w:rsidRPr="00A837BD">
        <w:rPr>
          <w:lang w:eastAsia="en-AU"/>
        </w:rPr>
        <w:t xml:space="preserve">7.5.1 </w:t>
      </w:r>
      <w:r>
        <w:rPr>
          <w:lang w:eastAsia="en-AU"/>
        </w:rPr>
        <w:tab/>
      </w:r>
      <w:r w:rsidRPr="00A837BD">
        <w:rPr>
          <w:lang w:eastAsia="en-AU"/>
        </w:rPr>
        <w:t>Total commitments payable</w:t>
      </w:r>
    </w:p>
    <w:tbl>
      <w:tblPr>
        <w:tblStyle w:val="ARtable1"/>
        <w:tblW w:w="5000" w:type="pct"/>
        <w:tblLook w:val="00E0" w:firstRow="1" w:lastRow="1" w:firstColumn="1" w:lastColumn="0" w:noHBand="0" w:noVBand="0"/>
      </w:tblPr>
      <w:tblGrid>
        <w:gridCol w:w="6514"/>
        <w:gridCol w:w="1556"/>
        <w:gridCol w:w="1558"/>
      </w:tblGrid>
      <w:tr w:rsidR="006E51BF" w:rsidRPr="00A837BD" w14:paraId="48A99378" w14:textId="77777777" w:rsidTr="00304BA9">
        <w:trPr>
          <w:cnfStyle w:val="100000000000" w:firstRow="1" w:lastRow="0" w:firstColumn="0" w:lastColumn="0" w:oddVBand="0" w:evenVBand="0" w:oddHBand="0" w:evenHBand="0" w:firstRowFirstColumn="0" w:firstRowLastColumn="0" w:lastRowFirstColumn="0" w:lastRowLastColumn="0"/>
          <w:trHeight w:val="20"/>
          <w:tblHeader/>
        </w:trPr>
        <w:tc>
          <w:tcPr>
            <w:tcW w:w="3383" w:type="pct"/>
            <w:noWrap/>
            <w:hideMark/>
          </w:tcPr>
          <w:p w14:paraId="1E42BFAE" w14:textId="77777777" w:rsidR="006E51BF" w:rsidRPr="00A837BD" w:rsidRDefault="006E51BF">
            <w:pPr>
              <w:pStyle w:val="ARfintablecolheadright"/>
              <w:rPr>
                <w:lang w:eastAsia="en-AU"/>
              </w:rPr>
            </w:pP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1C0293E" w14:textId="77777777" w:rsidR="006E51BF" w:rsidRPr="00A837BD" w:rsidRDefault="006E51BF">
            <w:pPr>
              <w:pStyle w:val="ARfintablecolheadright"/>
              <w:rPr>
                <w:lang w:eastAsia="en-AU"/>
              </w:rPr>
            </w:pPr>
            <w:r w:rsidRPr="00A837BD">
              <w:rPr>
                <w:lang w:eastAsia="en-AU"/>
              </w:rPr>
              <w:t>2026</w:t>
            </w:r>
          </w:p>
          <w:p w14:paraId="43FAD763" w14:textId="77777777" w:rsidR="006E51BF" w:rsidRPr="00A837BD" w:rsidRDefault="006E51BF">
            <w:pPr>
              <w:pStyle w:val="ARfintablecolheadright"/>
              <w:rPr>
                <w:lang w:eastAsia="en-AU"/>
              </w:rPr>
            </w:pPr>
            <w:r w:rsidRPr="00A837BD">
              <w:rPr>
                <w:lang w:eastAsia="en-AU"/>
              </w:rPr>
              <w:t>$M</w:t>
            </w:r>
          </w:p>
        </w:tc>
        <w:tc>
          <w:tcPr>
            <w:tcW w:w="809" w:type="pct"/>
            <w:noWrap/>
            <w:tcMar>
              <w:right w:w="0" w:type="nil"/>
            </w:tcMar>
            <w:hideMark/>
          </w:tcPr>
          <w:p w14:paraId="0925BCB9" w14:textId="77777777" w:rsidR="006E51BF" w:rsidRPr="00A837BD"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lang w:eastAsia="en-AU"/>
              </w:rPr>
            </w:pPr>
            <w:r w:rsidRPr="00A837BD">
              <w:rPr>
                <w:color w:val="000000"/>
                <w:lang w:eastAsia="en-AU"/>
              </w:rPr>
              <w:t>2025</w:t>
            </w:r>
          </w:p>
          <w:p w14:paraId="07C5C1D4" w14:textId="77777777" w:rsidR="006E51BF" w:rsidRPr="00A837BD"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lang w:eastAsia="en-AU"/>
              </w:rPr>
            </w:pPr>
            <w:r w:rsidRPr="00A837BD">
              <w:rPr>
                <w:lang w:eastAsia="en-AU"/>
              </w:rPr>
              <w:t>$M</w:t>
            </w:r>
          </w:p>
        </w:tc>
      </w:tr>
      <w:tr w:rsidR="006E51BF" w:rsidRPr="00A837BD" w14:paraId="39B655AE"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tcPr>
          <w:p w14:paraId="2C8B37F0" w14:textId="77777777" w:rsidR="006E51BF" w:rsidRPr="00A837BD" w:rsidRDefault="006E51BF">
            <w:pPr>
              <w:pStyle w:val="ARfintabletext"/>
              <w:rPr>
                <w:lang w:eastAsia="en-AU"/>
              </w:rPr>
            </w:pPr>
            <w:r w:rsidRPr="00A837BD">
              <w:rPr>
                <w:lang w:eastAsia="en-AU"/>
              </w:rPr>
              <w:t>The following commitments have not been recognised as liabilities in the financial statements.</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tcPr>
          <w:p w14:paraId="73EDC7C1" w14:textId="77777777" w:rsidR="006E51BF" w:rsidRPr="00A837BD" w:rsidRDefault="006E51BF">
            <w:pPr>
              <w:pStyle w:val="ARfintabletextright"/>
              <w:rPr>
                <w:lang w:eastAsia="en-AU"/>
              </w:rPr>
            </w:pPr>
          </w:p>
        </w:tc>
        <w:tc>
          <w:tcPr>
            <w:tcW w:w="809" w:type="pct"/>
            <w:noWrap/>
            <w:tcMar>
              <w:right w:w="0" w:type="nil"/>
            </w:tcMar>
          </w:tcPr>
          <w:p w14:paraId="04152197" w14:textId="77777777" w:rsidR="006E51BF" w:rsidRPr="00A837BD"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A837BD" w14:paraId="6676B37E"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2301B40D" w14:textId="77777777" w:rsidR="006E51BF" w:rsidRPr="00A837BD" w:rsidRDefault="006E51BF">
            <w:pPr>
              <w:pStyle w:val="ARfintabletextboldcoloured"/>
              <w:rPr>
                <w:lang w:eastAsia="en-AU"/>
              </w:rPr>
            </w:pPr>
            <w:r w:rsidRPr="00A837BD">
              <w:rPr>
                <w:lang w:eastAsia="en-AU"/>
              </w:rPr>
              <w:t xml:space="preserve">(a) Capital expenditure commitments </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13652746" w14:textId="77777777" w:rsidR="006E51BF" w:rsidRPr="00A837BD" w:rsidRDefault="006E51BF">
            <w:pPr>
              <w:pStyle w:val="ARfintabletextright"/>
              <w:rPr>
                <w:lang w:eastAsia="en-AU"/>
              </w:rPr>
            </w:pPr>
          </w:p>
        </w:tc>
        <w:tc>
          <w:tcPr>
            <w:tcW w:w="809" w:type="pct"/>
            <w:noWrap/>
            <w:tcMar>
              <w:right w:w="0" w:type="nil"/>
            </w:tcMar>
            <w:hideMark/>
          </w:tcPr>
          <w:p w14:paraId="2AA06606" w14:textId="77777777" w:rsidR="006E51BF" w:rsidRPr="00A837BD" w:rsidRDefault="006E51BF">
            <w:pPr>
              <w:pStyle w:val="ARfintabletextright"/>
              <w:cnfStyle w:val="000000010000" w:firstRow="0" w:lastRow="0" w:firstColumn="0" w:lastColumn="0" w:oddVBand="0" w:evenVBand="0" w:oddHBand="0" w:evenHBand="1" w:firstRowFirstColumn="0" w:firstRowLastColumn="0" w:lastRowFirstColumn="0" w:lastRowLastColumn="0"/>
              <w:rPr>
                <w:rFonts w:ascii="Times New Roman" w:hAnsi="Times New Roman"/>
                <w:lang w:eastAsia="en-AU"/>
              </w:rPr>
            </w:pPr>
          </w:p>
        </w:tc>
      </w:tr>
      <w:tr w:rsidR="006E51BF" w:rsidRPr="00A837BD" w14:paraId="24EF9307"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72D0D544" w14:textId="77777777" w:rsidR="006E51BF" w:rsidRPr="00A837BD" w:rsidRDefault="006E51BF">
            <w:pPr>
              <w:pStyle w:val="ARfintabletext"/>
              <w:rPr>
                <w:lang w:eastAsia="en-AU"/>
              </w:rPr>
            </w:pPr>
            <w:r w:rsidRPr="00A837BD">
              <w:rPr>
                <w:lang w:eastAsia="en-AU"/>
              </w:rPr>
              <w:t>Less than 1 year</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50929281" w14:textId="77777777" w:rsidR="006E51BF" w:rsidRPr="00A837BD" w:rsidRDefault="006E51BF">
            <w:pPr>
              <w:pStyle w:val="ARfintabletextright"/>
              <w:rPr>
                <w:lang w:eastAsia="en-AU"/>
              </w:rPr>
            </w:pPr>
            <w:r w:rsidRPr="00A837BD">
              <w:rPr>
                <w:lang w:eastAsia="en-AU"/>
              </w:rPr>
              <w:t>615.9</w:t>
            </w:r>
          </w:p>
        </w:tc>
        <w:tc>
          <w:tcPr>
            <w:tcW w:w="809" w:type="pct"/>
            <w:noWrap/>
            <w:tcMar>
              <w:right w:w="0" w:type="nil"/>
            </w:tcMar>
            <w:hideMark/>
          </w:tcPr>
          <w:p w14:paraId="220B41FF" w14:textId="77777777" w:rsidR="006E51BF" w:rsidRPr="00A837BD"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A837BD">
              <w:rPr>
                <w:lang w:eastAsia="en-AU"/>
              </w:rPr>
              <w:t>342.9</w:t>
            </w:r>
          </w:p>
        </w:tc>
      </w:tr>
      <w:tr w:rsidR="006E51BF" w:rsidRPr="00A837BD" w14:paraId="6F440C0B"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tcBorders>
              <w:bottom w:val="single" w:sz="4" w:space="0" w:color="BFBFBF" w:themeColor="accent2"/>
            </w:tcBorders>
            <w:noWrap/>
            <w:hideMark/>
          </w:tcPr>
          <w:p w14:paraId="15E840A6" w14:textId="77777777" w:rsidR="006E51BF" w:rsidRPr="00A837BD" w:rsidRDefault="006E51BF">
            <w:pPr>
              <w:pStyle w:val="ARfintabletext"/>
              <w:rPr>
                <w:lang w:eastAsia="en-AU"/>
              </w:rPr>
            </w:pPr>
            <w:r w:rsidRPr="00A837BD">
              <w:rPr>
                <w:lang w:eastAsia="en-AU"/>
              </w:rPr>
              <w:t>Longer than 1 year and not longer than 5 years</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0A04D043" w14:textId="77777777" w:rsidR="006E51BF" w:rsidRPr="00A837BD" w:rsidRDefault="006E51BF">
            <w:pPr>
              <w:pStyle w:val="ARfintabletextright"/>
              <w:rPr>
                <w:lang w:eastAsia="en-AU"/>
              </w:rPr>
            </w:pPr>
            <w:r w:rsidRPr="00A837BD">
              <w:rPr>
                <w:lang w:eastAsia="en-AU"/>
              </w:rPr>
              <w:t>58.1</w:t>
            </w:r>
          </w:p>
        </w:tc>
        <w:tc>
          <w:tcPr>
            <w:tcW w:w="809" w:type="pct"/>
            <w:tcBorders>
              <w:bottom w:val="single" w:sz="4" w:space="0" w:color="BFBFBF" w:themeColor="accent2"/>
            </w:tcBorders>
            <w:noWrap/>
            <w:tcMar>
              <w:right w:w="0" w:type="nil"/>
            </w:tcMar>
            <w:hideMark/>
          </w:tcPr>
          <w:p w14:paraId="75B65767" w14:textId="77777777" w:rsidR="006E51BF" w:rsidRPr="00A837BD"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A837BD">
              <w:rPr>
                <w:lang w:eastAsia="en-AU"/>
              </w:rPr>
              <w:t>1.8</w:t>
            </w:r>
          </w:p>
        </w:tc>
      </w:tr>
      <w:tr w:rsidR="006E51BF" w:rsidRPr="00A837BD" w14:paraId="5555F9D0"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noWrap/>
            <w:hideMark/>
          </w:tcPr>
          <w:p w14:paraId="208EE521" w14:textId="77777777" w:rsidR="006E51BF" w:rsidRPr="00A837BD" w:rsidRDefault="006E51BF">
            <w:pPr>
              <w:pStyle w:val="ARfintabletext"/>
              <w:rPr>
                <w:lang w:eastAsia="en-AU"/>
              </w:rPr>
            </w:pPr>
            <w:r w:rsidRPr="00A837BD">
              <w:rPr>
                <w:lang w:eastAsia="en-AU"/>
              </w:rPr>
              <w:t>Longer than 5 years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24F8E274" w14:textId="77777777" w:rsidR="006E51BF" w:rsidRPr="00A837BD" w:rsidRDefault="006E51BF">
            <w:pPr>
              <w:pStyle w:val="ARfintabletextright"/>
              <w:rPr>
                <w:lang w:eastAsia="en-AU"/>
              </w:rPr>
            </w:pPr>
            <w:r>
              <w:rPr>
                <w:lang w:eastAsia="en-AU"/>
              </w:rPr>
              <w:t>–</w:t>
            </w:r>
          </w:p>
        </w:tc>
        <w:tc>
          <w:tcPr>
            <w:tcW w:w="809" w:type="pct"/>
            <w:tcBorders>
              <w:top w:val="single" w:sz="4" w:space="0" w:color="BFBFBF" w:themeColor="accent2"/>
              <w:bottom w:val="single" w:sz="4" w:space="0" w:color="000000" w:themeColor="text1"/>
            </w:tcBorders>
            <w:noWrap/>
            <w:tcMar>
              <w:right w:w="0" w:type="nil"/>
            </w:tcMar>
            <w:hideMark/>
          </w:tcPr>
          <w:p w14:paraId="7B145035" w14:textId="77777777" w:rsidR="006E51BF" w:rsidRPr="00A837BD"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r>
      <w:tr w:rsidR="006E51BF" w:rsidRPr="00A837BD" w14:paraId="267812C9"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hideMark/>
          </w:tcPr>
          <w:p w14:paraId="5E5D8471" w14:textId="77777777" w:rsidR="006E51BF" w:rsidRPr="00A837BD" w:rsidRDefault="006E51BF">
            <w:pPr>
              <w:pStyle w:val="ARfintabletextbold"/>
              <w:rPr>
                <w:lang w:eastAsia="en-AU"/>
              </w:rPr>
            </w:pPr>
            <w:r w:rsidRPr="00A837BD">
              <w:rPr>
                <w:lang w:eastAsia="en-AU"/>
              </w:rPr>
              <w:t>Total capital expenditure commitments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44AEC1C3" w14:textId="77777777" w:rsidR="006E51BF" w:rsidRPr="00A837BD" w:rsidRDefault="006E51BF">
            <w:pPr>
              <w:pStyle w:val="ARfintabletextboldright"/>
              <w:rPr>
                <w:lang w:eastAsia="en-AU"/>
              </w:rPr>
            </w:pPr>
            <w:r w:rsidRPr="00A837BD">
              <w:rPr>
                <w:lang w:eastAsia="en-AU"/>
              </w:rPr>
              <w:t>673.9</w:t>
            </w:r>
          </w:p>
        </w:tc>
        <w:tc>
          <w:tcPr>
            <w:tcW w:w="809" w:type="pct"/>
            <w:tcBorders>
              <w:top w:val="single" w:sz="4" w:space="0" w:color="000000" w:themeColor="text1"/>
              <w:bottom w:val="single" w:sz="4" w:space="0" w:color="000000" w:themeColor="text1"/>
            </w:tcBorders>
            <w:noWrap/>
            <w:tcMar>
              <w:right w:w="0" w:type="nil"/>
            </w:tcMar>
            <w:hideMark/>
          </w:tcPr>
          <w:p w14:paraId="7F4C2017" w14:textId="77777777" w:rsidR="006E51BF" w:rsidRPr="00A837BD"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A837BD">
              <w:rPr>
                <w:lang w:eastAsia="en-AU"/>
              </w:rPr>
              <w:t>344.7</w:t>
            </w:r>
          </w:p>
        </w:tc>
      </w:tr>
      <w:tr w:rsidR="006E51BF" w:rsidRPr="00A837BD" w14:paraId="73AE24F4"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tcBorders>
            <w:noWrap/>
            <w:hideMark/>
          </w:tcPr>
          <w:p w14:paraId="67756961" w14:textId="77777777" w:rsidR="006E51BF" w:rsidRPr="00A837BD" w:rsidRDefault="006E51BF">
            <w:pPr>
              <w:pStyle w:val="ARfintabletextboldcoloured"/>
              <w:rPr>
                <w:lang w:eastAsia="en-AU"/>
              </w:rPr>
            </w:pPr>
            <w:r w:rsidRPr="00A837BD">
              <w:rPr>
                <w:lang w:eastAsia="en-AU"/>
              </w:rPr>
              <w:t xml:space="preserve">(b) Other operating commitments </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tcMar>
              <w:right w:w="0" w:type="nil"/>
            </w:tcMar>
            <w:hideMark/>
          </w:tcPr>
          <w:p w14:paraId="1E58AF91" w14:textId="77777777" w:rsidR="006E51BF" w:rsidRPr="00A837BD" w:rsidRDefault="006E51BF">
            <w:pPr>
              <w:pStyle w:val="ARfintabletextright"/>
              <w:rPr>
                <w:lang w:eastAsia="en-AU"/>
              </w:rPr>
            </w:pPr>
          </w:p>
        </w:tc>
        <w:tc>
          <w:tcPr>
            <w:tcW w:w="809" w:type="pct"/>
            <w:tcBorders>
              <w:top w:val="single" w:sz="4" w:space="0" w:color="000000" w:themeColor="text1"/>
            </w:tcBorders>
            <w:noWrap/>
            <w:tcMar>
              <w:right w:w="0" w:type="nil"/>
            </w:tcMar>
            <w:hideMark/>
          </w:tcPr>
          <w:p w14:paraId="4B5414C8" w14:textId="77777777" w:rsidR="006E51BF" w:rsidRPr="00A837BD" w:rsidRDefault="006E51BF">
            <w:pPr>
              <w:pStyle w:val="ARfintabletextrigh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AU"/>
              </w:rPr>
            </w:pPr>
          </w:p>
        </w:tc>
      </w:tr>
      <w:tr w:rsidR="006E51BF" w:rsidRPr="00A837BD" w14:paraId="016D6D5D"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7ACC9ED8" w14:textId="77777777" w:rsidR="006E51BF" w:rsidRPr="00A837BD" w:rsidRDefault="006E51BF">
            <w:pPr>
              <w:pStyle w:val="ARfintabletext"/>
              <w:rPr>
                <w:lang w:eastAsia="en-AU"/>
              </w:rPr>
            </w:pPr>
            <w:r w:rsidRPr="00A837BD">
              <w:rPr>
                <w:lang w:eastAsia="en-AU"/>
              </w:rPr>
              <w:t>Less than 1 year</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16F6CE90" w14:textId="77777777" w:rsidR="006E51BF" w:rsidRPr="00A837BD" w:rsidRDefault="006E51BF">
            <w:pPr>
              <w:pStyle w:val="ARfintabletextright"/>
              <w:rPr>
                <w:lang w:eastAsia="en-AU"/>
              </w:rPr>
            </w:pPr>
            <w:r w:rsidRPr="00A837BD">
              <w:rPr>
                <w:lang w:eastAsia="en-AU"/>
              </w:rPr>
              <w:t>217.6</w:t>
            </w:r>
          </w:p>
        </w:tc>
        <w:tc>
          <w:tcPr>
            <w:tcW w:w="809" w:type="pct"/>
            <w:noWrap/>
            <w:tcMar>
              <w:right w:w="0" w:type="nil"/>
            </w:tcMar>
            <w:hideMark/>
          </w:tcPr>
          <w:p w14:paraId="155F3B2A" w14:textId="77777777" w:rsidR="006E51BF" w:rsidRPr="00A837BD"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A837BD">
              <w:rPr>
                <w:lang w:eastAsia="en-AU"/>
              </w:rPr>
              <w:t>164.4</w:t>
            </w:r>
          </w:p>
        </w:tc>
      </w:tr>
      <w:tr w:rsidR="006E51BF" w:rsidRPr="00A837BD" w14:paraId="67E5208C"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5E09379D" w14:textId="77777777" w:rsidR="006E51BF" w:rsidRPr="00A837BD" w:rsidRDefault="006E51BF">
            <w:pPr>
              <w:pStyle w:val="ARfintabletext"/>
              <w:rPr>
                <w:lang w:eastAsia="en-AU"/>
              </w:rPr>
            </w:pPr>
            <w:r w:rsidRPr="00A837BD">
              <w:rPr>
                <w:lang w:eastAsia="en-AU"/>
              </w:rPr>
              <w:t>Longer than 1 year and not longer than 5 years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22A77008" w14:textId="77777777" w:rsidR="006E51BF" w:rsidRPr="00A837BD" w:rsidRDefault="006E51BF">
            <w:pPr>
              <w:pStyle w:val="ARfintabletextright"/>
              <w:rPr>
                <w:lang w:eastAsia="en-AU"/>
              </w:rPr>
            </w:pPr>
            <w:r w:rsidRPr="00A837BD">
              <w:rPr>
                <w:lang w:eastAsia="en-AU"/>
              </w:rPr>
              <w:t>6.8</w:t>
            </w:r>
          </w:p>
        </w:tc>
        <w:tc>
          <w:tcPr>
            <w:tcW w:w="809" w:type="pct"/>
            <w:noWrap/>
            <w:tcMar>
              <w:right w:w="0" w:type="nil"/>
            </w:tcMar>
            <w:hideMark/>
          </w:tcPr>
          <w:p w14:paraId="0C81BABA" w14:textId="77777777" w:rsidR="006E51BF" w:rsidRPr="00A837BD"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A837BD">
              <w:rPr>
                <w:lang w:eastAsia="en-AU"/>
              </w:rPr>
              <w:t>17.6</w:t>
            </w:r>
          </w:p>
        </w:tc>
      </w:tr>
      <w:tr w:rsidR="006E51BF" w:rsidRPr="00A837BD" w14:paraId="5E1CE75A"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5C1E96CA" w14:textId="77777777" w:rsidR="006E51BF" w:rsidRPr="00A837BD" w:rsidRDefault="006E51BF">
            <w:pPr>
              <w:pStyle w:val="ARfintabletext"/>
              <w:rPr>
                <w:lang w:eastAsia="en-AU"/>
              </w:rPr>
            </w:pPr>
            <w:r w:rsidRPr="00A837BD">
              <w:rPr>
                <w:lang w:eastAsia="en-AU"/>
              </w:rPr>
              <w:t>Longer than 5 years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1C8BADDC" w14:textId="77777777" w:rsidR="006E51BF" w:rsidRPr="00A837BD" w:rsidRDefault="006E51BF">
            <w:pPr>
              <w:pStyle w:val="ARfintabletextright"/>
              <w:rPr>
                <w:lang w:eastAsia="en-AU"/>
              </w:rPr>
            </w:pPr>
            <w:r>
              <w:rPr>
                <w:lang w:eastAsia="en-AU"/>
              </w:rPr>
              <w:t>–</w:t>
            </w:r>
          </w:p>
        </w:tc>
        <w:tc>
          <w:tcPr>
            <w:tcW w:w="809" w:type="pct"/>
            <w:noWrap/>
            <w:tcMar>
              <w:right w:w="0" w:type="nil"/>
            </w:tcMar>
            <w:hideMark/>
          </w:tcPr>
          <w:p w14:paraId="359988AB" w14:textId="77777777" w:rsidR="006E51BF" w:rsidRPr="00A837BD"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r>
      <w:tr w:rsidR="006E51BF" w:rsidRPr="00A837BD" w14:paraId="3BCF551A"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15E462BB" w14:textId="77777777" w:rsidR="006E51BF" w:rsidRPr="00A837BD" w:rsidRDefault="006E51BF">
            <w:pPr>
              <w:pStyle w:val="ARfintabletextbold"/>
              <w:rPr>
                <w:lang w:eastAsia="en-AU"/>
              </w:rPr>
            </w:pPr>
            <w:r w:rsidRPr="00A837BD">
              <w:rPr>
                <w:lang w:eastAsia="en-AU"/>
              </w:rPr>
              <w:t>Total other operating commitments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75AC5D26" w14:textId="77777777" w:rsidR="006E51BF" w:rsidRPr="00A837BD" w:rsidRDefault="006E51BF">
            <w:pPr>
              <w:pStyle w:val="ARfintabletextboldright"/>
              <w:rPr>
                <w:lang w:eastAsia="en-AU"/>
              </w:rPr>
            </w:pPr>
            <w:r w:rsidRPr="00A837BD">
              <w:rPr>
                <w:lang w:eastAsia="en-AU"/>
              </w:rPr>
              <w:t>224.4</w:t>
            </w:r>
          </w:p>
        </w:tc>
        <w:tc>
          <w:tcPr>
            <w:tcW w:w="809" w:type="pct"/>
            <w:noWrap/>
            <w:tcMar>
              <w:right w:w="0" w:type="nil"/>
            </w:tcMar>
            <w:hideMark/>
          </w:tcPr>
          <w:p w14:paraId="707E6400" w14:textId="77777777" w:rsidR="006E51BF" w:rsidRPr="00A837BD"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A837BD">
              <w:rPr>
                <w:lang w:eastAsia="en-AU"/>
              </w:rPr>
              <w:t>182.0</w:t>
            </w:r>
          </w:p>
        </w:tc>
      </w:tr>
      <w:tr w:rsidR="006E51BF" w:rsidRPr="00A837BD" w14:paraId="32CF61C8"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1C009F17" w14:textId="129DC6EA" w:rsidR="006E51BF" w:rsidRPr="00A837BD" w:rsidRDefault="006E51BF">
            <w:pPr>
              <w:pStyle w:val="ARfintabletextboldcoloured"/>
              <w:rPr>
                <w:lang w:eastAsia="en-AU"/>
              </w:rPr>
            </w:pPr>
            <w:r w:rsidRPr="00A837BD">
              <w:rPr>
                <w:lang w:eastAsia="en-AU"/>
              </w:rPr>
              <w:t>(c) Grant and other expense transfers to NGO</w:t>
            </w:r>
            <w:r w:rsidR="00437809">
              <w:rPr>
                <w:lang w:eastAsia="en-AU"/>
              </w:rPr>
              <w:t xml:space="preserve"> </w:t>
            </w:r>
            <w:r w:rsidRPr="00A837BD">
              <w:rPr>
                <w:vertAlign w:val="superscript"/>
                <w:lang w:eastAsia="en-AU"/>
              </w:rPr>
              <w:t>(</w:t>
            </w:r>
            <w:proofErr w:type="spellStart"/>
            <w:r w:rsidRPr="00A837BD">
              <w:rPr>
                <w:vertAlign w:val="superscript"/>
                <w:lang w:eastAsia="en-AU"/>
              </w:rPr>
              <w:t>i</w:t>
            </w:r>
            <w:proofErr w:type="spellEnd"/>
            <w:r w:rsidRPr="00A837BD">
              <w:rPr>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5EE3E442" w14:textId="77777777" w:rsidR="006E51BF" w:rsidRPr="00A837BD" w:rsidRDefault="006E51BF">
            <w:pPr>
              <w:pStyle w:val="ARfintabletextright"/>
              <w:rPr>
                <w:lang w:eastAsia="en-AU"/>
              </w:rPr>
            </w:pPr>
          </w:p>
        </w:tc>
        <w:tc>
          <w:tcPr>
            <w:tcW w:w="809" w:type="pct"/>
            <w:noWrap/>
            <w:tcMar>
              <w:right w:w="0" w:type="nil"/>
            </w:tcMar>
            <w:hideMark/>
          </w:tcPr>
          <w:p w14:paraId="67B8ACF0" w14:textId="77777777" w:rsidR="006E51BF" w:rsidRPr="00A837BD" w:rsidRDefault="006E51BF">
            <w:pPr>
              <w:pStyle w:val="ARfintabletextright"/>
              <w:cnfStyle w:val="000000010000" w:firstRow="0" w:lastRow="0" w:firstColumn="0" w:lastColumn="0" w:oddVBand="0" w:evenVBand="0" w:oddHBand="0" w:evenHBand="1" w:firstRowFirstColumn="0" w:firstRowLastColumn="0" w:lastRowFirstColumn="0" w:lastRowLastColumn="0"/>
              <w:rPr>
                <w:rFonts w:ascii="Times New Roman" w:hAnsi="Times New Roman"/>
                <w:lang w:eastAsia="en-AU"/>
              </w:rPr>
            </w:pPr>
          </w:p>
        </w:tc>
      </w:tr>
      <w:tr w:rsidR="006E51BF" w:rsidRPr="00A837BD" w14:paraId="7BF90B9F"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58E71364" w14:textId="77777777" w:rsidR="006E51BF" w:rsidRPr="00A837BD" w:rsidRDefault="006E51BF">
            <w:pPr>
              <w:pStyle w:val="ARfintabletext"/>
              <w:rPr>
                <w:lang w:eastAsia="en-AU"/>
              </w:rPr>
            </w:pPr>
            <w:r w:rsidRPr="00A837BD">
              <w:rPr>
                <w:lang w:eastAsia="en-AU"/>
              </w:rPr>
              <w:t>Less than 1 year</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33DFC616" w14:textId="77777777" w:rsidR="006E51BF" w:rsidRPr="00A837BD" w:rsidRDefault="006E51BF">
            <w:pPr>
              <w:pStyle w:val="ARfintabletextright"/>
              <w:rPr>
                <w:lang w:eastAsia="en-AU"/>
              </w:rPr>
            </w:pPr>
            <w:r w:rsidRPr="00A837BD">
              <w:rPr>
                <w:lang w:eastAsia="en-AU"/>
              </w:rPr>
              <w:t>297.1</w:t>
            </w:r>
          </w:p>
        </w:tc>
        <w:tc>
          <w:tcPr>
            <w:tcW w:w="809" w:type="pct"/>
            <w:noWrap/>
            <w:tcMar>
              <w:right w:w="0" w:type="nil"/>
            </w:tcMar>
            <w:hideMark/>
          </w:tcPr>
          <w:p w14:paraId="2ABEFCE8" w14:textId="77777777" w:rsidR="006E51BF" w:rsidRPr="00A837BD"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A837BD">
              <w:rPr>
                <w:lang w:eastAsia="en-AU"/>
              </w:rPr>
              <w:t>1,108.7</w:t>
            </w:r>
          </w:p>
        </w:tc>
      </w:tr>
      <w:tr w:rsidR="006E51BF" w:rsidRPr="00A837BD" w14:paraId="36A22DB7"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tcBorders>
              <w:bottom w:val="single" w:sz="4" w:space="0" w:color="BFBFBF" w:themeColor="accent2"/>
            </w:tcBorders>
            <w:noWrap/>
            <w:hideMark/>
          </w:tcPr>
          <w:p w14:paraId="1C3FCD92" w14:textId="77777777" w:rsidR="006E51BF" w:rsidRPr="00A837BD" w:rsidRDefault="006E51BF">
            <w:pPr>
              <w:pStyle w:val="ARfintabletext"/>
              <w:rPr>
                <w:lang w:eastAsia="en-AU"/>
              </w:rPr>
            </w:pPr>
            <w:r w:rsidRPr="00A837BD">
              <w:rPr>
                <w:lang w:eastAsia="en-AU"/>
              </w:rPr>
              <w:t>Longer than 1 year and not longer than 5 years</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56BE28CA" w14:textId="77777777" w:rsidR="006E51BF" w:rsidRPr="00A837BD" w:rsidRDefault="006E51BF">
            <w:pPr>
              <w:pStyle w:val="ARfintabletextright"/>
              <w:rPr>
                <w:lang w:eastAsia="en-AU"/>
              </w:rPr>
            </w:pPr>
            <w:r w:rsidRPr="00A837BD">
              <w:rPr>
                <w:lang w:eastAsia="en-AU"/>
              </w:rPr>
              <w:t>231.1</w:t>
            </w:r>
          </w:p>
        </w:tc>
        <w:tc>
          <w:tcPr>
            <w:tcW w:w="809" w:type="pct"/>
            <w:tcBorders>
              <w:bottom w:val="single" w:sz="4" w:space="0" w:color="BFBFBF" w:themeColor="accent2"/>
            </w:tcBorders>
            <w:noWrap/>
            <w:tcMar>
              <w:right w:w="0" w:type="nil"/>
            </w:tcMar>
            <w:hideMark/>
          </w:tcPr>
          <w:p w14:paraId="582FA38D" w14:textId="77777777" w:rsidR="006E51BF" w:rsidRPr="00A837BD"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A837BD">
              <w:rPr>
                <w:lang w:eastAsia="en-AU"/>
              </w:rPr>
              <w:t>68.6</w:t>
            </w:r>
          </w:p>
        </w:tc>
      </w:tr>
      <w:tr w:rsidR="006E51BF" w:rsidRPr="00A837BD" w14:paraId="4672D25C"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noWrap/>
            <w:hideMark/>
          </w:tcPr>
          <w:p w14:paraId="06C0A8FD" w14:textId="77777777" w:rsidR="006E51BF" w:rsidRPr="00A837BD" w:rsidRDefault="006E51BF">
            <w:pPr>
              <w:pStyle w:val="ARfintabletext"/>
              <w:rPr>
                <w:lang w:eastAsia="en-AU"/>
              </w:rPr>
            </w:pPr>
            <w:r w:rsidRPr="00A837BD">
              <w:rPr>
                <w:lang w:eastAsia="en-AU"/>
              </w:rPr>
              <w:t>Longer than 5 years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281FADC8" w14:textId="77777777" w:rsidR="006E51BF" w:rsidRPr="00A837BD" w:rsidRDefault="006E51BF">
            <w:pPr>
              <w:pStyle w:val="ARfintabletextright"/>
              <w:rPr>
                <w:lang w:eastAsia="en-AU"/>
              </w:rPr>
            </w:pPr>
            <w:r w:rsidRPr="00A837BD">
              <w:rPr>
                <w:lang w:eastAsia="en-AU"/>
              </w:rPr>
              <w:t>1,065.9</w:t>
            </w:r>
          </w:p>
        </w:tc>
        <w:tc>
          <w:tcPr>
            <w:tcW w:w="809" w:type="pct"/>
            <w:tcBorders>
              <w:top w:val="single" w:sz="4" w:space="0" w:color="BFBFBF" w:themeColor="accent2"/>
              <w:bottom w:val="single" w:sz="4" w:space="0" w:color="000000" w:themeColor="text1"/>
            </w:tcBorders>
            <w:noWrap/>
            <w:tcMar>
              <w:right w:w="0" w:type="nil"/>
            </w:tcMar>
            <w:hideMark/>
          </w:tcPr>
          <w:p w14:paraId="625A8A27" w14:textId="77777777" w:rsidR="006E51BF" w:rsidRPr="00A837BD"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A837BD">
              <w:rPr>
                <w:lang w:eastAsia="en-AU"/>
              </w:rPr>
              <w:t>242.3</w:t>
            </w:r>
          </w:p>
        </w:tc>
      </w:tr>
      <w:tr w:rsidR="006E51BF" w:rsidRPr="00A837BD" w14:paraId="76CDB036"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hideMark/>
          </w:tcPr>
          <w:p w14:paraId="3DFCE53E" w14:textId="77777777" w:rsidR="006E51BF" w:rsidRPr="00A837BD" w:rsidRDefault="006E51BF">
            <w:pPr>
              <w:pStyle w:val="ARfintabletextbold"/>
              <w:rPr>
                <w:lang w:eastAsia="en-AU"/>
              </w:rPr>
            </w:pPr>
            <w:r w:rsidRPr="00A837BD">
              <w:rPr>
                <w:lang w:eastAsia="en-AU"/>
              </w:rPr>
              <w:t>Total grant and other expense transfers to NGO</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29F362DA" w14:textId="77777777" w:rsidR="006E51BF" w:rsidRPr="00A837BD" w:rsidRDefault="006E51BF">
            <w:pPr>
              <w:pStyle w:val="ARfintabletextboldright"/>
              <w:rPr>
                <w:lang w:eastAsia="en-AU"/>
              </w:rPr>
            </w:pPr>
            <w:r w:rsidRPr="00A837BD">
              <w:rPr>
                <w:lang w:eastAsia="en-AU"/>
              </w:rPr>
              <w:t>1,594.1</w:t>
            </w:r>
          </w:p>
        </w:tc>
        <w:tc>
          <w:tcPr>
            <w:tcW w:w="809" w:type="pct"/>
            <w:tcBorders>
              <w:top w:val="single" w:sz="4" w:space="0" w:color="000000" w:themeColor="text1"/>
              <w:bottom w:val="single" w:sz="4" w:space="0" w:color="000000" w:themeColor="text1"/>
            </w:tcBorders>
            <w:noWrap/>
            <w:tcMar>
              <w:right w:w="0" w:type="nil"/>
            </w:tcMar>
            <w:hideMark/>
          </w:tcPr>
          <w:p w14:paraId="79240B2D" w14:textId="77777777" w:rsidR="006E51BF" w:rsidRPr="00A837BD"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A837BD">
              <w:rPr>
                <w:lang w:eastAsia="en-AU"/>
              </w:rPr>
              <w:t>1,419.6</w:t>
            </w:r>
          </w:p>
        </w:tc>
      </w:tr>
      <w:tr w:rsidR="006E51BF" w:rsidRPr="00A837BD" w14:paraId="6B6CC439"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hideMark/>
          </w:tcPr>
          <w:p w14:paraId="4BEDF2FD" w14:textId="77777777" w:rsidR="006E51BF" w:rsidRPr="00A837BD" w:rsidRDefault="006E51BF">
            <w:pPr>
              <w:pStyle w:val="ARfintabletextbold"/>
              <w:rPr>
                <w:lang w:eastAsia="en-AU"/>
              </w:rPr>
            </w:pPr>
            <w:r w:rsidRPr="00A837BD">
              <w:rPr>
                <w:lang w:eastAsia="en-AU"/>
              </w:rPr>
              <w:t>Total commitments other than SCA commitments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028FB8FE" w14:textId="77777777" w:rsidR="006E51BF" w:rsidRPr="00A837BD" w:rsidRDefault="006E51BF">
            <w:pPr>
              <w:pStyle w:val="ARfintabletextboldright"/>
              <w:rPr>
                <w:lang w:eastAsia="en-AU"/>
              </w:rPr>
            </w:pPr>
            <w:r w:rsidRPr="00A837BD">
              <w:rPr>
                <w:lang w:eastAsia="en-AU"/>
              </w:rPr>
              <w:t>2,492.6</w:t>
            </w:r>
          </w:p>
        </w:tc>
        <w:tc>
          <w:tcPr>
            <w:tcW w:w="809" w:type="pct"/>
            <w:tcBorders>
              <w:top w:val="single" w:sz="4" w:space="0" w:color="000000" w:themeColor="text1"/>
              <w:bottom w:val="single" w:sz="4" w:space="0" w:color="000000" w:themeColor="text1"/>
            </w:tcBorders>
            <w:noWrap/>
            <w:tcMar>
              <w:right w:w="0" w:type="nil"/>
            </w:tcMar>
            <w:hideMark/>
          </w:tcPr>
          <w:p w14:paraId="5EB89D05" w14:textId="77777777" w:rsidR="006E51BF" w:rsidRPr="00A837BD"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A837BD">
              <w:rPr>
                <w:lang w:eastAsia="en-AU"/>
              </w:rPr>
              <w:t>1,946.3</w:t>
            </w:r>
          </w:p>
        </w:tc>
      </w:tr>
      <w:tr w:rsidR="006E51BF" w:rsidRPr="00A837BD" w14:paraId="6EBA2F4D"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tcBorders>
            <w:noWrap/>
            <w:hideMark/>
          </w:tcPr>
          <w:p w14:paraId="46B0B5C5" w14:textId="77777777" w:rsidR="006E51BF" w:rsidRPr="00A837BD" w:rsidRDefault="006E51BF">
            <w:pPr>
              <w:pStyle w:val="ARfintabletextboldcoloured"/>
              <w:rPr>
                <w:lang w:eastAsia="en-AU"/>
              </w:rPr>
            </w:pPr>
            <w:r w:rsidRPr="00A837BD">
              <w:rPr>
                <w:lang w:eastAsia="en-AU"/>
              </w:rPr>
              <w:t xml:space="preserve">(d) SCA commitments </w:t>
            </w:r>
            <w:r w:rsidRPr="00774515">
              <w:rPr>
                <w:b w:val="0"/>
                <w:bCs/>
                <w:lang w:eastAsia="en-AU"/>
              </w:rPr>
              <w:t>(Refer to Note 7.5.2</w:t>
            </w:r>
            <w:r>
              <w:rPr>
                <w:b w:val="0"/>
                <w:bCs/>
                <w:lang w:eastAsia="en-AU"/>
              </w:rPr>
              <w:t>)</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tcMar>
              <w:right w:w="0" w:type="nil"/>
            </w:tcMar>
            <w:hideMark/>
          </w:tcPr>
          <w:p w14:paraId="043A122C" w14:textId="77777777" w:rsidR="006E51BF" w:rsidRPr="00A837BD" w:rsidRDefault="006E51BF">
            <w:pPr>
              <w:pStyle w:val="ARfintabletextright"/>
              <w:rPr>
                <w:lang w:eastAsia="en-AU"/>
              </w:rPr>
            </w:pPr>
          </w:p>
        </w:tc>
        <w:tc>
          <w:tcPr>
            <w:tcW w:w="809" w:type="pct"/>
            <w:tcBorders>
              <w:top w:val="single" w:sz="4" w:space="0" w:color="000000" w:themeColor="text1"/>
            </w:tcBorders>
            <w:noWrap/>
            <w:tcMar>
              <w:right w:w="0" w:type="nil"/>
            </w:tcMar>
            <w:hideMark/>
          </w:tcPr>
          <w:p w14:paraId="42D7E006" w14:textId="77777777" w:rsidR="006E51BF" w:rsidRPr="00A837BD" w:rsidRDefault="006E51BF">
            <w:pPr>
              <w:pStyle w:val="ARfintabletextright"/>
              <w:cnfStyle w:val="000000010000" w:firstRow="0" w:lastRow="0" w:firstColumn="0" w:lastColumn="0" w:oddVBand="0" w:evenVBand="0" w:oddHBand="0" w:evenHBand="1" w:firstRowFirstColumn="0" w:firstRowLastColumn="0" w:lastRowFirstColumn="0" w:lastRowLastColumn="0"/>
              <w:rPr>
                <w:rFonts w:ascii="Times New Roman" w:hAnsi="Times New Roman"/>
                <w:lang w:eastAsia="en-AU"/>
              </w:rPr>
            </w:pPr>
          </w:p>
        </w:tc>
      </w:tr>
      <w:tr w:rsidR="006E51BF" w:rsidRPr="00A837BD" w14:paraId="0905C8B6"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hideMark/>
          </w:tcPr>
          <w:p w14:paraId="77B5971A" w14:textId="77777777" w:rsidR="006E51BF" w:rsidRPr="00A837BD" w:rsidRDefault="006E51BF">
            <w:pPr>
              <w:pStyle w:val="ARfintabletextbold"/>
              <w:rPr>
                <w:lang w:eastAsia="en-AU"/>
              </w:rPr>
            </w:pPr>
            <w:r w:rsidRPr="00A837BD">
              <w:rPr>
                <w:lang w:eastAsia="en-AU"/>
              </w:rPr>
              <w:t xml:space="preserve">Ground Lease Model 1 </w:t>
            </w:r>
            <w:r w:rsidRPr="0042590E">
              <w:rPr>
                <w:lang w:eastAsia="en-AU"/>
              </w:rPr>
              <w:t>–</w:t>
            </w:r>
            <w:r w:rsidRPr="00A837BD">
              <w:rPr>
                <w:lang w:eastAsia="en-AU"/>
              </w:rPr>
              <w:t xml:space="preserve"> Public Housing Renewal Program</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0C72C3A6" w14:textId="77777777" w:rsidR="006E51BF" w:rsidRPr="00A837BD" w:rsidRDefault="006E51BF">
            <w:pPr>
              <w:pStyle w:val="ARfintabletextright"/>
              <w:rPr>
                <w:lang w:eastAsia="en-AU"/>
              </w:rPr>
            </w:pPr>
          </w:p>
        </w:tc>
        <w:tc>
          <w:tcPr>
            <w:tcW w:w="809" w:type="pct"/>
            <w:noWrap/>
            <w:tcMar>
              <w:right w:w="0" w:type="nil"/>
            </w:tcMar>
            <w:hideMark/>
          </w:tcPr>
          <w:p w14:paraId="29C86CE1" w14:textId="77777777" w:rsidR="006E51BF" w:rsidRPr="00A837BD"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A837BD" w14:paraId="0171019F"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3DF1A0D8" w14:textId="77777777" w:rsidR="006E51BF" w:rsidRPr="00A837BD" w:rsidRDefault="006E51BF">
            <w:pPr>
              <w:pStyle w:val="ARfintabletext"/>
              <w:rPr>
                <w:lang w:eastAsia="en-AU"/>
              </w:rPr>
            </w:pPr>
            <w:r w:rsidRPr="00A837BD">
              <w:rPr>
                <w:lang w:eastAsia="en-AU"/>
              </w:rPr>
              <w:t>Less than 1 year</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79B4572E" w14:textId="77777777" w:rsidR="006E51BF" w:rsidRPr="00A837BD" w:rsidRDefault="006E51BF">
            <w:pPr>
              <w:pStyle w:val="ARfintabletextright"/>
              <w:rPr>
                <w:lang w:eastAsia="en-AU"/>
              </w:rPr>
            </w:pPr>
            <w:r w:rsidRPr="00A837BD">
              <w:rPr>
                <w:lang w:eastAsia="en-AU"/>
              </w:rPr>
              <w:t>0.3</w:t>
            </w:r>
          </w:p>
        </w:tc>
        <w:tc>
          <w:tcPr>
            <w:tcW w:w="809" w:type="pct"/>
            <w:noWrap/>
            <w:tcMar>
              <w:right w:w="0" w:type="nil"/>
            </w:tcMar>
            <w:hideMark/>
          </w:tcPr>
          <w:p w14:paraId="16818250" w14:textId="77777777" w:rsidR="006E51BF" w:rsidRPr="00A837BD"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A837BD">
              <w:rPr>
                <w:lang w:eastAsia="en-AU"/>
              </w:rPr>
              <w:t>0.3</w:t>
            </w:r>
          </w:p>
        </w:tc>
      </w:tr>
      <w:tr w:rsidR="006E51BF" w:rsidRPr="00A837BD" w14:paraId="3D5C393A"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tcBorders>
              <w:bottom w:val="single" w:sz="4" w:space="0" w:color="BFBFBF" w:themeColor="accent2"/>
            </w:tcBorders>
            <w:noWrap/>
            <w:hideMark/>
          </w:tcPr>
          <w:p w14:paraId="6757D9F8" w14:textId="77777777" w:rsidR="006E51BF" w:rsidRPr="00A837BD" w:rsidRDefault="006E51BF">
            <w:pPr>
              <w:pStyle w:val="ARfintabletext"/>
              <w:rPr>
                <w:lang w:eastAsia="en-AU"/>
              </w:rPr>
            </w:pPr>
            <w:r w:rsidRPr="00A837BD">
              <w:rPr>
                <w:lang w:eastAsia="en-AU"/>
              </w:rPr>
              <w:t>Longer than 1 year and not longer than 5 years</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3051FB8D" w14:textId="77777777" w:rsidR="006E51BF" w:rsidRPr="00A837BD" w:rsidRDefault="006E51BF">
            <w:pPr>
              <w:pStyle w:val="ARfintabletextright"/>
              <w:rPr>
                <w:lang w:eastAsia="en-AU"/>
              </w:rPr>
            </w:pPr>
            <w:r w:rsidRPr="00A837BD">
              <w:rPr>
                <w:lang w:eastAsia="en-AU"/>
              </w:rPr>
              <w:t>1.3</w:t>
            </w:r>
          </w:p>
        </w:tc>
        <w:tc>
          <w:tcPr>
            <w:tcW w:w="809" w:type="pct"/>
            <w:tcBorders>
              <w:bottom w:val="single" w:sz="4" w:space="0" w:color="BFBFBF" w:themeColor="accent2"/>
            </w:tcBorders>
            <w:noWrap/>
            <w:tcMar>
              <w:right w:w="0" w:type="nil"/>
            </w:tcMar>
            <w:hideMark/>
          </w:tcPr>
          <w:p w14:paraId="542C2A36" w14:textId="77777777" w:rsidR="006E51BF" w:rsidRPr="00A837BD"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A837BD">
              <w:rPr>
                <w:lang w:eastAsia="en-AU"/>
              </w:rPr>
              <w:t>1.2</w:t>
            </w:r>
          </w:p>
        </w:tc>
      </w:tr>
      <w:tr w:rsidR="006E51BF" w:rsidRPr="00A837BD" w14:paraId="70CF2BB4"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noWrap/>
            <w:hideMark/>
          </w:tcPr>
          <w:p w14:paraId="160C3738" w14:textId="77777777" w:rsidR="006E51BF" w:rsidRPr="00A837BD" w:rsidRDefault="006E51BF">
            <w:pPr>
              <w:pStyle w:val="ARfintabletext"/>
              <w:rPr>
                <w:lang w:eastAsia="en-AU"/>
              </w:rPr>
            </w:pPr>
            <w:r w:rsidRPr="00A837BD">
              <w:rPr>
                <w:lang w:eastAsia="en-AU"/>
              </w:rPr>
              <w:t>Longer than 5 years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6DAF2E51" w14:textId="77777777" w:rsidR="006E51BF" w:rsidRPr="00A837BD" w:rsidRDefault="006E51BF">
            <w:pPr>
              <w:pStyle w:val="ARfintabletextright"/>
              <w:rPr>
                <w:lang w:eastAsia="en-AU"/>
              </w:rPr>
            </w:pPr>
            <w:r w:rsidRPr="00A837BD">
              <w:rPr>
                <w:lang w:eastAsia="en-AU"/>
              </w:rPr>
              <w:t>139.7</w:t>
            </w:r>
          </w:p>
        </w:tc>
        <w:tc>
          <w:tcPr>
            <w:tcW w:w="809" w:type="pct"/>
            <w:tcBorders>
              <w:top w:val="single" w:sz="4" w:space="0" w:color="BFBFBF" w:themeColor="accent2"/>
              <w:bottom w:val="single" w:sz="4" w:space="0" w:color="000000" w:themeColor="text1"/>
            </w:tcBorders>
            <w:noWrap/>
            <w:tcMar>
              <w:right w:w="0" w:type="nil"/>
            </w:tcMar>
            <w:hideMark/>
          </w:tcPr>
          <w:p w14:paraId="7490C47F" w14:textId="77777777" w:rsidR="006E51BF" w:rsidRPr="00A837BD"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A837BD">
              <w:rPr>
                <w:lang w:eastAsia="en-AU"/>
              </w:rPr>
              <w:t>140.0</w:t>
            </w:r>
          </w:p>
        </w:tc>
      </w:tr>
      <w:tr w:rsidR="006E51BF" w:rsidRPr="00A837BD" w14:paraId="2B4388E7"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hideMark/>
          </w:tcPr>
          <w:p w14:paraId="56CC8410" w14:textId="77777777" w:rsidR="006E51BF" w:rsidRPr="00A837BD" w:rsidRDefault="006E51BF">
            <w:pPr>
              <w:pStyle w:val="ARfintabletextbold"/>
              <w:rPr>
                <w:lang w:eastAsia="en-AU"/>
              </w:rPr>
            </w:pPr>
            <w:r w:rsidRPr="00A837BD">
              <w:rPr>
                <w:lang w:eastAsia="en-AU"/>
              </w:rPr>
              <w:t>Total Ground Lease Model 1</w:t>
            </w:r>
            <w:r>
              <w:rPr>
                <w:lang w:eastAsia="en-AU"/>
              </w:rPr>
              <w:t xml:space="preserve"> </w:t>
            </w:r>
            <w:r w:rsidRPr="0042590E">
              <w:rPr>
                <w:lang w:eastAsia="en-AU"/>
              </w:rPr>
              <w:t>–</w:t>
            </w:r>
            <w:r w:rsidRPr="00A837BD">
              <w:rPr>
                <w:lang w:eastAsia="en-AU"/>
              </w:rPr>
              <w:t xml:space="preserve"> Public Housing Renewal Program</w:t>
            </w:r>
            <w:r>
              <w:rPr>
                <w:lang w:eastAsia="en-AU"/>
              </w:rPr>
              <w:t> </w:t>
            </w:r>
            <w:r w:rsidRPr="00A837BD">
              <w:rPr>
                <w:lang w:eastAsia="en-AU"/>
              </w:rPr>
              <w:t>commitments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7EF33466" w14:textId="77777777" w:rsidR="006E51BF" w:rsidRPr="00A837BD" w:rsidRDefault="006E51BF">
            <w:pPr>
              <w:pStyle w:val="ARfintabletextboldright"/>
              <w:rPr>
                <w:lang w:eastAsia="en-AU"/>
              </w:rPr>
            </w:pPr>
            <w:r w:rsidRPr="00A837BD">
              <w:rPr>
                <w:lang w:eastAsia="en-AU"/>
              </w:rPr>
              <w:t>141.2</w:t>
            </w:r>
          </w:p>
        </w:tc>
        <w:tc>
          <w:tcPr>
            <w:tcW w:w="809" w:type="pct"/>
            <w:tcBorders>
              <w:top w:val="single" w:sz="4" w:space="0" w:color="000000" w:themeColor="text1"/>
              <w:bottom w:val="single" w:sz="4" w:space="0" w:color="000000" w:themeColor="text1"/>
            </w:tcBorders>
            <w:noWrap/>
            <w:tcMar>
              <w:right w:w="0" w:type="nil"/>
            </w:tcMar>
            <w:hideMark/>
          </w:tcPr>
          <w:p w14:paraId="532E1E0C" w14:textId="77777777" w:rsidR="006E51BF" w:rsidRPr="00A837BD"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A837BD">
              <w:rPr>
                <w:lang w:eastAsia="en-AU"/>
              </w:rPr>
              <w:t>141.5</w:t>
            </w:r>
          </w:p>
        </w:tc>
      </w:tr>
      <w:tr w:rsidR="006E51BF" w:rsidRPr="00A837BD" w14:paraId="641D4519"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tcBorders>
            <w:hideMark/>
          </w:tcPr>
          <w:p w14:paraId="58E7D7E3" w14:textId="77777777" w:rsidR="006E51BF" w:rsidRPr="00A837BD" w:rsidRDefault="006E51BF">
            <w:pPr>
              <w:pStyle w:val="ARfintabletextboldcoloured"/>
              <w:rPr>
                <w:lang w:eastAsia="en-AU"/>
              </w:rPr>
            </w:pPr>
            <w:r w:rsidRPr="00A837BD">
              <w:rPr>
                <w:lang w:eastAsia="en-AU"/>
              </w:rPr>
              <w:t>Ground Lease Model 2</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tcMar>
              <w:right w:w="0" w:type="nil"/>
            </w:tcMar>
            <w:hideMark/>
          </w:tcPr>
          <w:p w14:paraId="515214BA" w14:textId="77777777" w:rsidR="006E51BF" w:rsidRPr="00A837BD" w:rsidRDefault="006E51BF">
            <w:pPr>
              <w:pStyle w:val="ARfintabletextright"/>
              <w:rPr>
                <w:lang w:eastAsia="en-AU"/>
              </w:rPr>
            </w:pPr>
          </w:p>
        </w:tc>
        <w:tc>
          <w:tcPr>
            <w:tcW w:w="809" w:type="pct"/>
            <w:tcBorders>
              <w:top w:val="single" w:sz="4" w:space="0" w:color="000000" w:themeColor="text1"/>
            </w:tcBorders>
            <w:noWrap/>
            <w:tcMar>
              <w:right w:w="0" w:type="nil"/>
            </w:tcMar>
            <w:hideMark/>
          </w:tcPr>
          <w:p w14:paraId="54F207AC" w14:textId="77777777" w:rsidR="006E51BF" w:rsidRPr="00A837BD"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r>
      <w:tr w:rsidR="006E51BF" w:rsidRPr="00A837BD" w14:paraId="5C947965"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51F0B456" w14:textId="77777777" w:rsidR="006E51BF" w:rsidRPr="00A837BD" w:rsidRDefault="006E51BF">
            <w:pPr>
              <w:pStyle w:val="ARfintabletext"/>
              <w:rPr>
                <w:lang w:eastAsia="en-AU"/>
              </w:rPr>
            </w:pPr>
            <w:r w:rsidRPr="00A837BD">
              <w:rPr>
                <w:lang w:eastAsia="en-AU"/>
              </w:rPr>
              <w:t>Less than 1 year</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1A43226F" w14:textId="77777777" w:rsidR="006E51BF" w:rsidRPr="00A837BD" w:rsidRDefault="006E51BF">
            <w:pPr>
              <w:pStyle w:val="ARfintabletextright"/>
              <w:rPr>
                <w:lang w:eastAsia="en-AU"/>
              </w:rPr>
            </w:pPr>
            <w:r w:rsidRPr="00A837BD">
              <w:rPr>
                <w:lang w:eastAsia="en-AU"/>
              </w:rPr>
              <w:t>33.5</w:t>
            </w:r>
          </w:p>
        </w:tc>
        <w:tc>
          <w:tcPr>
            <w:tcW w:w="809" w:type="pct"/>
            <w:noWrap/>
            <w:tcMar>
              <w:right w:w="0" w:type="nil"/>
            </w:tcMar>
            <w:hideMark/>
          </w:tcPr>
          <w:p w14:paraId="1C8CB1FA" w14:textId="77777777" w:rsidR="006E51BF" w:rsidRPr="00A837BD"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r>
      <w:tr w:rsidR="006E51BF" w:rsidRPr="00A837BD" w14:paraId="5AA0D613"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tcBorders>
              <w:bottom w:val="single" w:sz="4" w:space="0" w:color="BFBFBF" w:themeColor="accent2"/>
            </w:tcBorders>
            <w:noWrap/>
            <w:hideMark/>
          </w:tcPr>
          <w:p w14:paraId="4701ECA9" w14:textId="77777777" w:rsidR="006E51BF" w:rsidRPr="00A837BD" w:rsidRDefault="006E51BF">
            <w:pPr>
              <w:pStyle w:val="ARfintabletext"/>
              <w:rPr>
                <w:lang w:eastAsia="en-AU"/>
              </w:rPr>
            </w:pPr>
            <w:r w:rsidRPr="00A837BD">
              <w:rPr>
                <w:lang w:eastAsia="en-AU"/>
              </w:rPr>
              <w:t>Longer than 1 year and not longer than 5 years</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2FE0E87C" w14:textId="77777777" w:rsidR="006E51BF" w:rsidRPr="00A837BD" w:rsidRDefault="006E51BF">
            <w:pPr>
              <w:pStyle w:val="ARfintabletextright"/>
              <w:rPr>
                <w:lang w:eastAsia="en-AU"/>
              </w:rPr>
            </w:pPr>
            <w:r w:rsidRPr="00A837BD">
              <w:rPr>
                <w:lang w:eastAsia="en-AU"/>
              </w:rPr>
              <w:t>184.7</w:t>
            </w:r>
          </w:p>
        </w:tc>
        <w:tc>
          <w:tcPr>
            <w:tcW w:w="809" w:type="pct"/>
            <w:tcBorders>
              <w:bottom w:val="single" w:sz="4" w:space="0" w:color="BFBFBF" w:themeColor="accent2"/>
            </w:tcBorders>
            <w:noWrap/>
            <w:tcMar>
              <w:right w:w="0" w:type="nil"/>
            </w:tcMar>
            <w:hideMark/>
          </w:tcPr>
          <w:p w14:paraId="6243B5C3" w14:textId="77777777" w:rsidR="006E51BF" w:rsidRPr="00A837BD"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A837BD">
              <w:rPr>
                <w:lang w:eastAsia="en-AU"/>
              </w:rPr>
              <w:t>172.1</w:t>
            </w:r>
          </w:p>
        </w:tc>
      </w:tr>
      <w:tr w:rsidR="006E51BF" w:rsidRPr="00A837BD" w14:paraId="43A70D8F"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noWrap/>
            <w:hideMark/>
          </w:tcPr>
          <w:p w14:paraId="674187BE" w14:textId="77777777" w:rsidR="006E51BF" w:rsidRPr="00A837BD" w:rsidRDefault="006E51BF">
            <w:pPr>
              <w:pStyle w:val="ARfintabletext"/>
              <w:rPr>
                <w:lang w:eastAsia="en-AU"/>
              </w:rPr>
            </w:pPr>
            <w:r w:rsidRPr="00A837BD">
              <w:rPr>
                <w:lang w:eastAsia="en-AU"/>
              </w:rPr>
              <w:t>Longer than 5 years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580172FE" w14:textId="77777777" w:rsidR="006E51BF" w:rsidRPr="00A837BD" w:rsidRDefault="006E51BF">
            <w:pPr>
              <w:pStyle w:val="ARfintabletextright"/>
              <w:rPr>
                <w:lang w:eastAsia="en-AU"/>
              </w:rPr>
            </w:pPr>
            <w:r w:rsidRPr="00A837BD">
              <w:rPr>
                <w:lang w:eastAsia="en-AU"/>
              </w:rPr>
              <w:t>1,497.2</w:t>
            </w:r>
          </w:p>
        </w:tc>
        <w:tc>
          <w:tcPr>
            <w:tcW w:w="809" w:type="pct"/>
            <w:tcBorders>
              <w:top w:val="single" w:sz="4" w:space="0" w:color="BFBFBF" w:themeColor="accent2"/>
              <w:bottom w:val="single" w:sz="4" w:space="0" w:color="000000" w:themeColor="text1"/>
            </w:tcBorders>
            <w:noWrap/>
            <w:tcMar>
              <w:right w:w="0" w:type="nil"/>
            </w:tcMar>
            <w:hideMark/>
          </w:tcPr>
          <w:p w14:paraId="4AA5547D" w14:textId="77777777" w:rsidR="006E51BF" w:rsidRPr="00A837BD"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A837BD">
              <w:rPr>
                <w:lang w:eastAsia="en-AU"/>
              </w:rPr>
              <w:t>1,543.3</w:t>
            </w:r>
          </w:p>
        </w:tc>
      </w:tr>
      <w:tr w:rsidR="006E51BF" w:rsidRPr="00A837BD" w14:paraId="54E84E41"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hideMark/>
          </w:tcPr>
          <w:p w14:paraId="7AC01218" w14:textId="77777777" w:rsidR="006E51BF" w:rsidRPr="00A837BD" w:rsidRDefault="006E51BF">
            <w:pPr>
              <w:pStyle w:val="ARfintabletextboldcoloured"/>
              <w:rPr>
                <w:lang w:eastAsia="en-AU"/>
              </w:rPr>
            </w:pPr>
            <w:r w:rsidRPr="00A837BD">
              <w:rPr>
                <w:lang w:eastAsia="en-AU"/>
              </w:rPr>
              <w:t>Total Ground Lease Model 2</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3583192E" w14:textId="77777777" w:rsidR="006E51BF" w:rsidRPr="00A837BD" w:rsidRDefault="006E51BF">
            <w:pPr>
              <w:pStyle w:val="ARfintabletextboldright"/>
              <w:rPr>
                <w:lang w:eastAsia="en-AU"/>
              </w:rPr>
            </w:pPr>
            <w:r w:rsidRPr="00A837BD">
              <w:rPr>
                <w:lang w:eastAsia="en-AU"/>
              </w:rPr>
              <w:t>1,715.4</w:t>
            </w:r>
          </w:p>
        </w:tc>
        <w:tc>
          <w:tcPr>
            <w:tcW w:w="809" w:type="pct"/>
            <w:tcBorders>
              <w:top w:val="single" w:sz="4" w:space="0" w:color="000000" w:themeColor="text1"/>
              <w:bottom w:val="single" w:sz="4" w:space="0" w:color="000000" w:themeColor="text1"/>
            </w:tcBorders>
            <w:noWrap/>
            <w:tcMar>
              <w:right w:w="0" w:type="nil"/>
            </w:tcMar>
            <w:hideMark/>
          </w:tcPr>
          <w:p w14:paraId="0169DA4C" w14:textId="77777777" w:rsidR="006E51BF" w:rsidRPr="00A837BD"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A837BD">
              <w:rPr>
                <w:lang w:eastAsia="en-AU"/>
              </w:rPr>
              <w:t>1,715.4</w:t>
            </w:r>
          </w:p>
        </w:tc>
      </w:tr>
      <w:tr w:rsidR="006E51BF" w:rsidRPr="00A837BD" w14:paraId="56920943"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hideMark/>
          </w:tcPr>
          <w:p w14:paraId="6F0EF9BD" w14:textId="77777777" w:rsidR="006E51BF" w:rsidRPr="00A837BD" w:rsidRDefault="006E51BF">
            <w:pPr>
              <w:pStyle w:val="ARfintabletextbold"/>
              <w:rPr>
                <w:lang w:eastAsia="en-AU"/>
              </w:rPr>
            </w:pPr>
            <w:r w:rsidRPr="00A837BD">
              <w:rPr>
                <w:lang w:eastAsia="en-AU"/>
              </w:rPr>
              <w:t>Total SCA commitments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2C8FC312" w14:textId="77777777" w:rsidR="006E51BF" w:rsidRPr="00A837BD" w:rsidRDefault="006E51BF">
            <w:pPr>
              <w:pStyle w:val="ARfintabletextboldright"/>
              <w:rPr>
                <w:lang w:eastAsia="en-AU"/>
              </w:rPr>
            </w:pPr>
            <w:r w:rsidRPr="00A837BD">
              <w:rPr>
                <w:lang w:eastAsia="en-AU"/>
              </w:rPr>
              <w:t>1,856.6</w:t>
            </w:r>
          </w:p>
        </w:tc>
        <w:tc>
          <w:tcPr>
            <w:tcW w:w="809" w:type="pct"/>
            <w:tcBorders>
              <w:top w:val="single" w:sz="4" w:space="0" w:color="000000" w:themeColor="text1"/>
              <w:bottom w:val="single" w:sz="4" w:space="0" w:color="000000" w:themeColor="text1"/>
            </w:tcBorders>
            <w:noWrap/>
            <w:tcMar>
              <w:right w:w="0" w:type="nil"/>
            </w:tcMar>
            <w:hideMark/>
          </w:tcPr>
          <w:p w14:paraId="223B4350" w14:textId="77777777" w:rsidR="006E51BF" w:rsidRPr="00A837BD"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A837BD">
              <w:rPr>
                <w:lang w:eastAsia="en-AU"/>
              </w:rPr>
              <w:t>1,856.9</w:t>
            </w:r>
          </w:p>
        </w:tc>
      </w:tr>
      <w:tr w:rsidR="006E51BF" w:rsidRPr="00A837BD" w14:paraId="4D4855D9"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bottom w:val="nil"/>
            </w:tcBorders>
            <w:noWrap/>
            <w:hideMark/>
          </w:tcPr>
          <w:p w14:paraId="3B7A27D5" w14:textId="77777777" w:rsidR="006E51BF" w:rsidRPr="00A837BD" w:rsidRDefault="006E51BF">
            <w:pPr>
              <w:pStyle w:val="ARfintabletextbold"/>
              <w:rPr>
                <w:lang w:eastAsia="en-AU"/>
              </w:rPr>
            </w:pPr>
            <w:r w:rsidRPr="00A837BD">
              <w:rPr>
                <w:lang w:eastAsia="en-AU"/>
              </w:rPr>
              <w:t xml:space="preserve">Total commitments for expenditure (inclusive of GST) </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nil"/>
            </w:tcBorders>
            <w:noWrap/>
            <w:tcMar>
              <w:right w:w="0" w:type="nil"/>
            </w:tcMar>
            <w:hideMark/>
          </w:tcPr>
          <w:p w14:paraId="5856DDB6" w14:textId="77777777" w:rsidR="006E51BF" w:rsidRPr="00A837BD" w:rsidRDefault="006E51BF">
            <w:pPr>
              <w:pStyle w:val="ARfintabletextboldright"/>
              <w:rPr>
                <w:lang w:eastAsia="en-AU"/>
              </w:rPr>
            </w:pPr>
            <w:r w:rsidRPr="00A837BD">
              <w:rPr>
                <w:lang w:eastAsia="en-AU"/>
              </w:rPr>
              <w:t>4,349.2</w:t>
            </w:r>
          </w:p>
        </w:tc>
        <w:tc>
          <w:tcPr>
            <w:tcW w:w="809" w:type="pct"/>
            <w:tcBorders>
              <w:top w:val="single" w:sz="4" w:space="0" w:color="000000" w:themeColor="text1"/>
              <w:bottom w:val="nil"/>
            </w:tcBorders>
            <w:noWrap/>
            <w:tcMar>
              <w:right w:w="0" w:type="nil"/>
            </w:tcMar>
            <w:hideMark/>
          </w:tcPr>
          <w:p w14:paraId="178465F6" w14:textId="77777777" w:rsidR="006E51BF" w:rsidRPr="00A837BD"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A837BD">
              <w:rPr>
                <w:lang w:eastAsia="en-AU"/>
              </w:rPr>
              <w:t>3,803.2</w:t>
            </w:r>
          </w:p>
        </w:tc>
      </w:tr>
      <w:tr w:rsidR="006E51BF" w:rsidRPr="00A837BD" w14:paraId="1B909791"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tcBorders>
              <w:bottom w:val="single" w:sz="4" w:space="0" w:color="000000" w:themeColor="text1"/>
            </w:tcBorders>
            <w:noWrap/>
            <w:hideMark/>
          </w:tcPr>
          <w:p w14:paraId="6B124A9C" w14:textId="77777777" w:rsidR="006E51BF" w:rsidRPr="00A837BD" w:rsidRDefault="006E51BF">
            <w:pPr>
              <w:pStyle w:val="ARfintabletext"/>
              <w:rPr>
                <w:lang w:eastAsia="en-AU"/>
              </w:rPr>
            </w:pPr>
            <w:r w:rsidRPr="00A837BD">
              <w:rPr>
                <w:lang w:eastAsia="en-AU"/>
              </w:rPr>
              <w:t>Less GST recoverable from the ATO</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000000" w:themeColor="text1"/>
            </w:tcBorders>
            <w:noWrap/>
            <w:tcMar>
              <w:right w:w="0" w:type="nil"/>
            </w:tcMar>
            <w:hideMark/>
          </w:tcPr>
          <w:p w14:paraId="37C52847" w14:textId="77777777" w:rsidR="006E51BF" w:rsidRPr="00A837BD" w:rsidRDefault="006E51BF">
            <w:pPr>
              <w:pStyle w:val="ARfintabletextright"/>
              <w:rPr>
                <w:lang w:eastAsia="en-AU"/>
              </w:rPr>
            </w:pPr>
            <w:r w:rsidRPr="00A837BD">
              <w:rPr>
                <w:lang w:eastAsia="en-AU"/>
              </w:rPr>
              <w:t>352.8</w:t>
            </w:r>
          </w:p>
        </w:tc>
        <w:tc>
          <w:tcPr>
            <w:tcW w:w="809" w:type="pct"/>
            <w:tcBorders>
              <w:bottom w:val="single" w:sz="4" w:space="0" w:color="000000" w:themeColor="text1"/>
            </w:tcBorders>
            <w:noWrap/>
            <w:tcMar>
              <w:right w:w="0" w:type="nil"/>
            </w:tcMar>
            <w:hideMark/>
          </w:tcPr>
          <w:p w14:paraId="21A6EAF6" w14:textId="77777777" w:rsidR="006E51BF" w:rsidRPr="00A837BD"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A837BD">
              <w:rPr>
                <w:lang w:eastAsia="en-AU"/>
              </w:rPr>
              <w:t>308.0</w:t>
            </w:r>
          </w:p>
        </w:tc>
      </w:tr>
      <w:tr w:rsidR="006E51BF" w:rsidRPr="00A837BD" w14:paraId="75061949"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3383" w:type="pct"/>
            <w:noWrap/>
            <w:hideMark/>
          </w:tcPr>
          <w:p w14:paraId="151351FF" w14:textId="77777777" w:rsidR="006E51BF" w:rsidRPr="00A837BD" w:rsidRDefault="006E51BF">
            <w:pPr>
              <w:pStyle w:val="ARfintabletextbold"/>
              <w:rPr>
                <w:lang w:eastAsia="en-AU"/>
              </w:rPr>
            </w:pPr>
            <w:r w:rsidRPr="00A837BD">
              <w:rPr>
                <w:lang w:eastAsia="en-AU"/>
              </w:rPr>
              <w:t>Total commitments for expenditure (exclusive of GST)</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213D5F95" w14:textId="77777777" w:rsidR="006E51BF" w:rsidRPr="00A837BD" w:rsidRDefault="006E51BF">
            <w:pPr>
              <w:pStyle w:val="ARfintabletextboldright"/>
              <w:rPr>
                <w:lang w:eastAsia="en-AU"/>
              </w:rPr>
            </w:pPr>
            <w:r w:rsidRPr="00A837BD">
              <w:rPr>
                <w:lang w:eastAsia="en-AU"/>
              </w:rPr>
              <w:t>3,996.4</w:t>
            </w:r>
          </w:p>
        </w:tc>
        <w:tc>
          <w:tcPr>
            <w:tcW w:w="809" w:type="pct"/>
            <w:noWrap/>
            <w:tcMar>
              <w:right w:w="0" w:type="nil"/>
            </w:tcMar>
            <w:hideMark/>
          </w:tcPr>
          <w:p w14:paraId="4A889698" w14:textId="77777777" w:rsidR="006E51BF" w:rsidRPr="00A837BD"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A837BD">
              <w:rPr>
                <w:lang w:eastAsia="en-AU"/>
              </w:rPr>
              <w:t>3,495.2</w:t>
            </w:r>
          </w:p>
        </w:tc>
      </w:tr>
    </w:tbl>
    <w:p w14:paraId="0604FE15" w14:textId="77777777" w:rsidR="006E51BF" w:rsidRPr="00A837BD" w:rsidRDefault="006E51BF">
      <w:pPr>
        <w:pStyle w:val="ARfintablenote"/>
        <w:rPr>
          <w:lang w:eastAsia="en-AU"/>
        </w:rPr>
      </w:pPr>
      <w:r w:rsidRPr="00A837BD">
        <w:rPr>
          <w:lang w:eastAsia="en-AU"/>
        </w:rPr>
        <w:t>Notes:</w:t>
      </w:r>
    </w:p>
    <w:p w14:paraId="08942926" w14:textId="3A30EF7F" w:rsidR="006E51BF" w:rsidRPr="00A837BD" w:rsidRDefault="006E51BF" w:rsidP="006E51BF">
      <w:pPr>
        <w:pStyle w:val="ARfintablenoteroman"/>
        <w:numPr>
          <w:ilvl w:val="0"/>
          <w:numId w:val="71"/>
        </w:numPr>
      </w:pPr>
      <w:r w:rsidRPr="00A837BD">
        <w:t>"NGO" stands for "Non-Government Organisations", which includes initiatives to increase social and affordable community housing</w:t>
      </w:r>
      <w:r w:rsidR="00956B05">
        <w:t> </w:t>
      </w:r>
      <w:r w:rsidRPr="00A837BD">
        <w:t>stock as part of the Big Housing Build as well as the Building Works Package to fund the maintenance and upgrade of social</w:t>
      </w:r>
      <w:r>
        <w:t> </w:t>
      </w:r>
      <w:r w:rsidRPr="00A837BD">
        <w:t xml:space="preserve">housing. </w:t>
      </w:r>
    </w:p>
    <w:p w14:paraId="36FB4F27" w14:textId="77777777" w:rsidR="006E51BF" w:rsidRPr="005A11DB" w:rsidRDefault="006E51BF">
      <w:pPr>
        <w:pStyle w:val="Heading5"/>
        <w:rPr>
          <w:lang w:eastAsia="en-AU"/>
        </w:rPr>
      </w:pPr>
      <w:r w:rsidRPr="005A11DB">
        <w:rPr>
          <w:lang w:eastAsia="en-AU"/>
        </w:rPr>
        <w:t xml:space="preserve">7.5.2 </w:t>
      </w:r>
      <w:r>
        <w:rPr>
          <w:lang w:eastAsia="en-AU"/>
        </w:rPr>
        <w:tab/>
      </w:r>
      <w:r w:rsidRPr="005A11DB">
        <w:rPr>
          <w:lang w:eastAsia="en-AU"/>
        </w:rPr>
        <w:t>Service concession arrangements commitments</w:t>
      </w:r>
    </w:p>
    <w:p w14:paraId="6218556C" w14:textId="424EAF73" w:rsidR="006E51BF" w:rsidRPr="005A11DB" w:rsidRDefault="006E51BF">
      <w:pPr>
        <w:pStyle w:val="ARfinbody"/>
        <w:rPr>
          <w:lang w:eastAsia="en-AU"/>
        </w:rPr>
      </w:pPr>
      <w:r w:rsidRPr="005A11DB">
        <w:rPr>
          <w:lang w:eastAsia="en-AU"/>
        </w:rPr>
        <w:t xml:space="preserve">AASB 1059 </w:t>
      </w:r>
      <w:r w:rsidRPr="00105DB4">
        <w:rPr>
          <w:rStyle w:val="Emphasis"/>
          <w:lang w:eastAsia="en-AU"/>
        </w:rPr>
        <w:t>Service Concession Arrangements: Grantors</w:t>
      </w:r>
      <w:r w:rsidRPr="005A11DB">
        <w:rPr>
          <w:lang w:eastAsia="en-AU"/>
        </w:rPr>
        <w:t xml:space="preserve"> applies to arrangements where an operator provides public services, using a service concession asset, on behalf of the state and importantly, the operator manages at least some of</w:t>
      </w:r>
      <w:r w:rsidR="00D413DC">
        <w:rPr>
          <w:lang w:eastAsia="en-AU"/>
        </w:rPr>
        <w:t> </w:t>
      </w:r>
      <w:r w:rsidRPr="005A11DB">
        <w:rPr>
          <w:lang w:eastAsia="en-AU"/>
        </w:rPr>
        <w:t xml:space="preserve">the public service at its own discretion. The department must also control the asset for AASB 1059 to apply. </w:t>
      </w:r>
    </w:p>
    <w:p w14:paraId="5A91EA4C" w14:textId="77777777" w:rsidR="006E51BF" w:rsidRPr="005A11DB" w:rsidRDefault="006E51BF">
      <w:pPr>
        <w:pStyle w:val="Heading6"/>
      </w:pPr>
      <w:r w:rsidRPr="005A11DB">
        <w:t xml:space="preserve">Significant judgement </w:t>
      </w:r>
      <w:r>
        <w:t>–</w:t>
      </w:r>
      <w:r w:rsidRPr="005A11DB">
        <w:t xml:space="preserve"> service concession arrangements</w:t>
      </w:r>
    </w:p>
    <w:p w14:paraId="2AD64C30" w14:textId="77777777" w:rsidR="006E51BF" w:rsidRPr="005A11DB" w:rsidRDefault="006E51BF">
      <w:pPr>
        <w:pStyle w:val="ARfinbody"/>
        <w:rPr>
          <w:lang w:eastAsia="en-AU"/>
        </w:rPr>
      </w:pPr>
      <w:r w:rsidRPr="005A11DB">
        <w:rPr>
          <w:lang w:eastAsia="en-AU"/>
        </w:rPr>
        <w:t>There is significant judgement involved in determining what constitutes ‘public service’ and furthermore whether the operators manage at least some of that public service at their own discretion.</w:t>
      </w:r>
    </w:p>
    <w:p w14:paraId="7A359A76" w14:textId="77777777" w:rsidR="006E51BF" w:rsidRPr="005A11DB" w:rsidRDefault="006E51BF">
      <w:pPr>
        <w:pStyle w:val="ARfinbody"/>
        <w:rPr>
          <w:lang w:eastAsia="en-AU"/>
        </w:rPr>
      </w:pPr>
      <w:r w:rsidRPr="005A11DB">
        <w:rPr>
          <w:lang w:eastAsia="en-AU"/>
        </w:rPr>
        <w:t xml:space="preserve">In the housing portfolio, Registered Housing Agencies (RHAs) are contracted to provide community housing services to the public with either existing or newly constructed dwellings and qualify as Operators. RHAs are required to be not-for-profit entities by the </w:t>
      </w:r>
      <w:r w:rsidRPr="00105DB4">
        <w:rPr>
          <w:rStyle w:val="Emphasis"/>
          <w:lang w:eastAsia="en-AU"/>
        </w:rPr>
        <w:t>Housing Act 1983</w:t>
      </w:r>
      <w:r w:rsidRPr="005A11DB">
        <w:rPr>
          <w:lang w:eastAsia="en-AU"/>
        </w:rPr>
        <w:t>.</w:t>
      </w:r>
    </w:p>
    <w:p w14:paraId="75739694" w14:textId="77777777" w:rsidR="006E51BF" w:rsidRPr="005A11DB" w:rsidRDefault="006E51BF">
      <w:pPr>
        <w:pStyle w:val="ARfinbody"/>
        <w:rPr>
          <w:lang w:eastAsia="en-AU"/>
        </w:rPr>
      </w:pPr>
      <w:r w:rsidRPr="005A11DB">
        <w:rPr>
          <w:lang w:eastAsia="en-AU"/>
        </w:rPr>
        <w:t>The department considers that only the activities that involve the supply of dwellings (i.e. providing housing capacity) are fundamental to the overall delivery of public service. In other words, public housing services cannot be provided without the supply of dwellings, even if other peripheral activities (e.g. tenancy management, cleaning and maintenance) are</w:t>
      </w:r>
      <w:r>
        <w:rPr>
          <w:lang w:eastAsia="en-AU"/>
        </w:rPr>
        <w:t> </w:t>
      </w:r>
      <w:r w:rsidRPr="005A11DB">
        <w:rPr>
          <w:lang w:eastAsia="en-AU"/>
        </w:rPr>
        <w:t xml:space="preserve">conducted. </w:t>
      </w:r>
    </w:p>
    <w:p w14:paraId="6E649364" w14:textId="77777777" w:rsidR="006E51BF" w:rsidRPr="005A11DB" w:rsidRDefault="006E51BF">
      <w:pPr>
        <w:pStyle w:val="ARfinbody"/>
        <w:rPr>
          <w:lang w:eastAsia="en-AU"/>
        </w:rPr>
      </w:pPr>
      <w:r w:rsidRPr="005A11DB">
        <w:rPr>
          <w:lang w:eastAsia="en-AU"/>
        </w:rPr>
        <w:t>As only the supply of dwellings and the management of the dwellings post construction are considered public service in the context of the housing portfolio, the operators are considered to have discretion in providing public service if they make decisions on the delivery of dwellings (e.g. the detailed design of the dwellings, material used in the construction and scheduling of sub-contractors, etc).</w:t>
      </w:r>
    </w:p>
    <w:p w14:paraId="23774543" w14:textId="77777777" w:rsidR="006E51BF" w:rsidRPr="005A11DB" w:rsidRDefault="006E51BF">
      <w:pPr>
        <w:pStyle w:val="ARfinbody"/>
        <w:rPr>
          <w:lang w:eastAsia="en-AU"/>
        </w:rPr>
      </w:pPr>
      <w:r w:rsidRPr="005A11DB">
        <w:rPr>
          <w:lang w:eastAsia="en-AU"/>
        </w:rPr>
        <w:t xml:space="preserve">The department has determined that the arrangements Homes Victoria entered into in June 2021 (Ground Lease Model 1) and August 2023 (Ground Lease Model 1 Modification, Flemington Phase 2) with Building Communities (Vic) Limited and November 2023 (Ground Lease Model 2) with Building Even Better Communities Limited for the design, construction, financing, management and maintenance of residential rental dwellings should be accounted for under AASB 1059. These projects deliver a mixture of dwellings, being social housing, affordable housing, specialist disability accommodation and private rentals across multiple sites for </w:t>
      </w:r>
      <w:proofErr w:type="gramStart"/>
      <w:r w:rsidRPr="005A11DB">
        <w:rPr>
          <w:lang w:eastAsia="en-AU"/>
        </w:rPr>
        <w:t>40 year</w:t>
      </w:r>
      <w:proofErr w:type="gramEnd"/>
      <w:r w:rsidRPr="005A11DB">
        <w:rPr>
          <w:lang w:eastAsia="en-AU"/>
        </w:rPr>
        <w:t xml:space="preserve"> concession periods, whereby all land remains in public ownership. Private rental dwellings do not form part of the Service Concession Asset, however, at the end of the 40-year concession period, all dwellings, including the private rental dwellings return to Homes Victoria's management. The details are provided in Note 7.5.3 below.</w:t>
      </w:r>
    </w:p>
    <w:p w14:paraId="31A8DE67" w14:textId="77777777" w:rsidR="006E51BF" w:rsidRPr="00687DF1" w:rsidRDefault="006E51BF">
      <w:pPr>
        <w:pStyle w:val="Heading5"/>
        <w:rPr>
          <w:lang w:eastAsia="en-AU"/>
        </w:rPr>
      </w:pPr>
      <w:r w:rsidRPr="00687DF1">
        <w:rPr>
          <w:lang w:eastAsia="en-AU"/>
        </w:rPr>
        <w:t xml:space="preserve">7.5.3 </w:t>
      </w:r>
      <w:r>
        <w:rPr>
          <w:lang w:eastAsia="en-AU"/>
        </w:rPr>
        <w:tab/>
      </w:r>
      <w:r w:rsidRPr="00687DF1">
        <w:rPr>
          <w:lang w:eastAsia="en-AU"/>
        </w:rPr>
        <w:t>Service concession arrangements</w:t>
      </w:r>
    </w:p>
    <w:p w14:paraId="3668DEB3" w14:textId="77777777" w:rsidR="006E51BF" w:rsidRPr="00687DF1" w:rsidRDefault="006E51BF">
      <w:pPr>
        <w:pStyle w:val="ARfinbody"/>
        <w:rPr>
          <w:lang w:eastAsia="en-AU"/>
        </w:rPr>
      </w:pPr>
      <w:r w:rsidRPr="00687DF1">
        <w:rPr>
          <w:lang w:eastAsia="en-AU"/>
        </w:rPr>
        <w:t xml:space="preserve">For arrangements within the scope of AASB 1059, at initial recognition the department records a </w:t>
      </w:r>
      <w:r w:rsidRPr="000716B2">
        <w:rPr>
          <w:rStyle w:val="Strong"/>
          <w:lang w:eastAsia="en-AU"/>
        </w:rPr>
        <w:t>service concession asset</w:t>
      </w:r>
      <w:r w:rsidRPr="00687DF1">
        <w:rPr>
          <w:lang w:eastAsia="en-AU"/>
        </w:rPr>
        <w:t xml:space="preserve"> (SCA) at current replacement cost</w:t>
      </w:r>
      <w:r w:rsidRPr="00687DF1">
        <w:rPr>
          <w:i/>
          <w:iCs/>
          <w:lang w:eastAsia="en-AU"/>
        </w:rPr>
        <w:t>,</w:t>
      </w:r>
      <w:r w:rsidRPr="00687DF1">
        <w:rPr>
          <w:lang w:eastAsia="en-AU"/>
        </w:rPr>
        <w:t xml:space="preserve"> with a related liability, which could be a financial liability, an accrued revenue liability (referred to as the 'Grant </w:t>
      </w:r>
      <w:proofErr w:type="gramStart"/>
      <w:r w:rsidRPr="00687DF1">
        <w:rPr>
          <w:lang w:eastAsia="en-AU"/>
        </w:rPr>
        <w:t>Of</w:t>
      </w:r>
      <w:proofErr w:type="gramEnd"/>
      <w:r w:rsidRPr="00687DF1">
        <w:rPr>
          <w:lang w:eastAsia="en-AU"/>
        </w:rPr>
        <w:t xml:space="preserve"> </w:t>
      </w:r>
      <w:proofErr w:type="gramStart"/>
      <w:r w:rsidRPr="00687DF1">
        <w:rPr>
          <w:lang w:eastAsia="en-AU"/>
        </w:rPr>
        <w:t>A</w:t>
      </w:r>
      <w:proofErr w:type="gramEnd"/>
      <w:r w:rsidRPr="00687DF1">
        <w:rPr>
          <w:lang w:eastAsia="en-AU"/>
        </w:rPr>
        <w:t xml:space="preserve"> Right </w:t>
      </w:r>
      <w:proofErr w:type="gramStart"/>
      <w:r w:rsidRPr="00687DF1">
        <w:rPr>
          <w:lang w:eastAsia="en-AU"/>
        </w:rPr>
        <w:t>To</w:t>
      </w:r>
      <w:proofErr w:type="gramEnd"/>
      <w:r w:rsidRPr="00687DF1">
        <w:rPr>
          <w:lang w:eastAsia="en-AU"/>
        </w:rPr>
        <w:t xml:space="preserve"> </w:t>
      </w:r>
      <w:proofErr w:type="gramStart"/>
      <w:r w:rsidRPr="00687DF1">
        <w:rPr>
          <w:lang w:eastAsia="en-AU"/>
        </w:rPr>
        <w:t>The</w:t>
      </w:r>
      <w:proofErr w:type="gramEnd"/>
      <w:r w:rsidRPr="00687DF1">
        <w:rPr>
          <w:lang w:eastAsia="en-AU"/>
        </w:rPr>
        <w:t xml:space="preserve"> Operator' or GORTO liability) or a combination of both.</w:t>
      </w:r>
    </w:p>
    <w:p w14:paraId="7034453A" w14:textId="77777777" w:rsidR="006E51BF" w:rsidRPr="00687DF1" w:rsidRDefault="006E51BF">
      <w:pPr>
        <w:pStyle w:val="ARfinbody"/>
        <w:rPr>
          <w:lang w:eastAsia="en-AU"/>
        </w:rPr>
      </w:pPr>
      <w:r w:rsidRPr="00687DF1">
        <w:rPr>
          <w:lang w:eastAsia="en-AU"/>
        </w:rPr>
        <w:t xml:space="preserve">For both Ground Lease Model 1 </w:t>
      </w:r>
      <w:r>
        <w:rPr>
          <w:lang w:eastAsia="en-AU"/>
        </w:rPr>
        <w:t>–</w:t>
      </w:r>
      <w:r w:rsidRPr="00687DF1">
        <w:rPr>
          <w:lang w:eastAsia="en-AU"/>
        </w:rPr>
        <w:t xml:space="preserve"> Public Housing renewal program phase 1&amp;2 and Ground Lease Model 2, the department initially recognised the liability at the same amount as the SCA, adjusted by the amount of any consideration from the department to the operator, or from the operator to the department.</w:t>
      </w:r>
    </w:p>
    <w:p w14:paraId="2050B7DC" w14:textId="77777777" w:rsidR="006E51BF" w:rsidRPr="00687DF1" w:rsidRDefault="006E51BF">
      <w:pPr>
        <w:pStyle w:val="ARfinbody"/>
        <w:rPr>
          <w:lang w:eastAsia="en-AU"/>
        </w:rPr>
      </w:pPr>
      <w:r w:rsidRPr="00687DF1">
        <w:rPr>
          <w:lang w:eastAsia="en-AU"/>
        </w:rPr>
        <w:t>Exception to this occurs when the department reclassifies an existing asset to a SCA. When this occurs, no liability is recognised unless additional consideration is provided to the operator. Instead, the department recognises a SCA and a corresponding liability for the amounts spent on the upgrade/expansion work.</w:t>
      </w:r>
    </w:p>
    <w:p w14:paraId="53AA3B14" w14:textId="77777777" w:rsidR="006E51BF" w:rsidRPr="00687DF1" w:rsidRDefault="006E51BF">
      <w:pPr>
        <w:pStyle w:val="ARfinbody"/>
        <w:rPr>
          <w:lang w:eastAsia="en-AU"/>
        </w:rPr>
      </w:pPr>
      <w:r w:rsidRPr="00687DF1">
        <w:rPr>
          <w:lang w:eastAsia="en-AU"/>
        </w:rPr>
        <w:t xml:space="preserve">A </w:t>
      </w:r>
      <w:r w:rsidRPr="000716B2">
        <w:rPr>
          <w:rStyle w:val="Strong"/>
          <w:lang w:eastAsia="en-AU"/>
        </w:rPr>
        <w:t>financial liability</w:t>
      </w:r>
      <w:r w:rsidRPr="00687DF1">
        <w:rPr>
          <w:lang w:eastAsia="en-AU"/>
        </w:rPr>
        <w:t xml:space="preserve"> is recognised where the department has a contractual obligation to pay the operator for providing the SCA. It is measured in accordance with AASB 9 </w:t>
      </w:r>
      <w:r w:rsidRPr="00105DB4">
        <w:rPr>
          <w:rStyle w:val="Emphasis"/>
          <w:lang w:eastAsia="en-AU"/>
        </w:rPr>
        <w:t>Financial Instruments</w:t>
      </w:r>
      <w:r w:rsidRPr="00687DF1">
        <w:rPr>
          <w:lang w:eastAsia="en-AU"/>
        </w:rPr>
        <w:t xml:space="preserve"> and is recognised as a borrowing (Note 7.1). The liability is increased by interest charges, based on the interest rate implicit in the arrangement. Where the interest rate is not specified in the arrangement, the prevailing market rate of interest for a similar instrument with similar credit ratings is used. The liability is reduced by any payments made by the department to the operator as required by the contract.</w:t>
      </w:r>
    </w:p>
    <w:p w14:paraId="44A94508" w14:textId="77777777" w:rsidR="006E51BF" w:rsidRPr="00687DF1" w:rsidRDefault="006E51BF">
      <w:pPr>
        <w:pStyle w:val="ARfinbody"/>
        <w:rPr>
          <w:lang w:eastAsia="en-AU"/>
        </w:rPr>
      </w:pPr>
      <w:r w:rsidRPr="00687DF1">
        <w:rPr>
          <w:lang w:eastAsia="en-AU"/>
        </w:rPr>
        <w:t>A</w:t>
      </w:r>
      <w:r w:rsidRPr="00687DF1">
        <w:rPr>
          <w:b/>
          <w:bCs/>
          <w:lang w:eastAsia="en-AU"/>
        </w:rPr>
        <w:t xml:space="preserve"> </w:t>
      </w:r>
      <w:r w:rsidRPr="000716B2">
        <w:rPr>
          <w:rStyle w:val="Strong"/>
          <w:lang w:eastAsia="en-AU"/>
        </w:rPr>
        <w:t>grant of right to the operator (GORTO) liability</w:t>
      </w:r>
      <w:r w:rsidRPr="00687DF1">
        <w:rPr>
          <w:b/>
          <w:bCs/>
          <w:lang w:eastAsia="en-AU"/>
        </w:rPr>
        <w:t xml:space="preserve"> </w:t>
      </w:r>
      <w:r w:rsidRPr="00687DF1">
        <w:rPr>
          <w:lang w:eastAsia="en-AU"/>
        </w:rPr>
        <w:t>is recognised where the department does not have a contractual obligation to pay cash or another financial asset but grants the right to the operator to earn revenue from the public use of the asset (Note 6.5). This type of arrangement is commonly referred to as an economic service concession arrangement. It represents unearned revenue and is progressively reduced over the period of the arrangement in accordance with its substance.</w:t>
      </w:r>
    </w:p>
    <w:p w14:paraId="2CCA2AC9" w14:textId="77777777" w:rsidR="006E51BF" w:rsidRDefault="006E51BF">
      <w:pPr>
        <w:pStyle w:val="ARfinbody"/>
        <w:rPr>
          <w:lang w:eastAsia="en-AU"/>
        </w:rPr>
      </w:pPr>
      <w:r w:rsidRPr="00687DF1">
        <w:rPr>
          <w:lang w:eastAsia="en-AU"/>
        </w:rPr>
        <w:t xml:space="preserve">After initial recognition, SCAs are subsequently measured applying the revaluation model (refer to Note 5.1 </w:t>
      </w:r>
      <w:r w:rsidRPr="00105DB4">
        <w:rPr>
          <w:rStyle w:val="Emphasis"/>
          <w:lang w:eastAsia="en-AU"/>
        </w:rPr>
        <w:t>Total Property, Plant and Equipment</w:t>
      </w:r>
      <w:r w:rsidRPr="00687DF1">
        <w:rPr>
          <w:lang w:eastAsia="en-AU"/>
        </w:rPr>
        <w:t>).</w:t>
      </w:r>
    </w:p>
    <w:p w14:paraId="62D8238E" w14:textId="77777777" w:rsidR="006E51BF" w:rsidRDefault="006E51BF">
      <w:pPr>
        <w:pStyle w:val="ARfinbody"/>
        <w:rPr>
          <w:lang w:eastAsia="en-AU"/>
        </w:rPr>
        <w:sectPr w:rsidR="006E51BF" w:rsidSect="00E7077C">
          <w:pgSz w:w="11906" w:h="16838" w:code="9"/>
          <w:pgMar w:top="1588" w:right="1134" w:bottom="851" w:left="1134" w:header="680" w:footer="567" w:gutter="0"/>
          <w:cols w:space="340"/>
          <w:docGrid w:linePitch="360"/>
        </w:sectPr>
      </w:pPr>
      <w:r w:rsidRPr="00687DF1">
        <w:rPr>
          <w:lang w:eastAsia="en-AU"/>
        </w:rPr>
        <w:t>As part of the application of AASB 1059, the department uses a fair value proxy approach for the service concession assets that are under construction. The fair value proxy approach captures the financing cost incurred during the construction of a service concession asset by the private sector, with the aim of achieving faithful representation of the current replacement cost of service concession assets under construction balance.</w:t>
      </w:r>
    </w:p>
    <w:p w14:paraId="18D8E3D1" w14:textId="77777777" w:rsidR="006E51BF" w:rsidRPr="00687DF1" w:rsidRDefault="006E51BF">
      <w:pPr>
        <w:pStyle w:val="ARfinbodybeforetableorfigure"/>
      </w:pPr>
      <w:r w:rsidRPr="00687DF1">
        <w:t>The department has the following service concession arrangements:</w:t>
      </w:r>
    </w:p>
    <w:tbl>
      <w:tblPr>
        <w:tblStyle w:val="ARtable2"/>
        <w:tblW w:w="5000" w:type="pct"/>
        <w:tblLayout w:type="fixed"/>
        <w:tblLook w:val="00A0" w:firstRow="1" w:lastRow="0" w:firstColumn="1" w:lastColumn="0" w:noHBand="0" w:noVBand="0"/>
      </w:tblPr>
      <w:tblGrid>
        <w:gridCol w:w="3300"/>
        <w:gridCol w:w="860"/>
        <w:gridCol w:w="1486"/>
        <w:gridCol w:w="1486"/>
        <w:gridCol w:w="1486"/>
        <w:gridCol w:w="1486"/>
        <w:gridCol w:w="1486"/>
        <w:gridCol w:w="1485"/>
        <w:gridCol w:w="1485"/>
      </w:tblGrid>
      <w:tr w:rsidR="00A135D5" w:rsidRPr="00687DF1" w14:paraId="15385FA1" w14:textId="77777777" w:rsidTr="00A135D5">
        <w:trPr>
          <w:cnfStyle w:val="100000000000" w:firstRow="1" w:lastRow="0" w:firstColumn="0" w:lastColumn="0" w:oddVBand="0" w:evenVBand="0" w:oddHBand="0" w:evenHBand="0" w:firstRowFirstColumn="0" w:firstRowLastColumn="0" w:lastRowFirstColumn="0" w:lastRowLastColumn="0"/>
          <w:trHeight w:val="994"/>
          <w:tblHeader/>
        </w:trPr>
        <w:tc>
          <w:tcPr>
            <w:cnfStyle w:val="000010000000" w:firstRow="0" w:lastRow="0" w:firstColumn="0" w:lastColumn="0" w:oddVBand="1" w:evenVBand="0" w:oddHBand="0" w:evenHBand="0" w:firstRowFirstColumn="0" w:firstRowLastColumn="0" w:lastRowFirstColumn="0" w:lastRowLastColumn="0"/>
            <w:tcW w:w="1133" w:type="pct"/>
            <w:shd w:val="clear" w:color="auto" w:fill="auto"/>
            <w:hideMark/>
          </w:tcPr>
          <w:p w14:paraId="53A88B9C" w14:textId="77777777" w:rsidR="00A135D5" w:rsidRPr="00687DF1" w:rsidRDefault="00A135D5" w:rsidP="002D1097">
            <w:pPr>
              <w:pStyle w:val="ARfinbody"/>
              <w:spacing w:before="40" w:after="40"/>
              <w:rPr>
                <w:lang w:eastAsia="en-AU"/>
              </w:rPr>
            </w:pPr>
            <w:r w:rsidRPr="00687DF1">
              <w:rPr>
                <w:lang w:eastAsia="en-AU"/>
              </w:rPr>
              <w:t> </w:t>
            </w:r>
          </w:p>
        </w:tc>
        <w:tc>
          <w:tcPr>
            <w:tcW w:w="295" w:type="pct"/>
            <w:tcMar>
              <w:left w:w="0" w:type="nil"/>
              <w:right w:w="0" w:type="nil"/>
            </w:tcMar>
            <w:hideMark/>
          </w:tcPr>
          <w:p w14:paraId="0400D2D7" w14:textId="77777777" w:rsidR="00A135D5" w:rsidRPr="005E4DC3" w:rsidRDefault="00A135D5" w:rsidP="002D1097">
            <w:pPr>
              <w:pStyle w:val="ARfintablecolheadright8pt"/>
              <w:spacing w:before="40" w:after="40"/>
              <w:cnfStyle w:val="100000000000" w:firstRow="1" w:lastRow="0" w:firstColumn="0" w:lastColumn="0" w:oddVBand="0" w:evenVBand="0" w:oddHBand="0" w:evenHBand="0" w:firstRowFirstColumn="0" w:firstRowLastColumn="0" w:lastRowFirstColumn="0" w:lastRowLastColumn="0"/>
            </w:pPr>
            <w:r w:rsidRPr="005E4DC3">
              <w:t>Notes</w:t>
            </w:r>
          </w:p>
        </w:tc>
        <w:tc>
          <w:tcPr>
            <w:cnfStyle w:val="000010000000" w:firstRow="0" w:lastRow="0" w:firstColumn="0" w:lastColumn="0" w:oddVBand="1" w:evenVBand="0" w:oddHBand="0" w:evenHBand="0" w:firstRowFirstColumn="0" w:firstRowLastColumn="0" w:lastRowFirstColumn="0" w:lastRowLastColumn="0"/>
            <w:tcW w:w="510" w:type="pct"/>
            <w:tcMar>
              <w:left w:w="0" w:type="nil"/>
              <w:right w:w="0" w:type="nil"/>
            </w:tcMar>
            <w:hideMark/>
          </w:tcPr>
          <w:p w14:paraId="2EA53C8D" w14:textId="77777777" w:rsidR="00A135D5" w:rsidRPr="005E4DC3" w:rsidRDefault="00A135D5" w:rsidP="002D1097">
            <w:pPr>
              <w:pStyle w:val="ARfintablecolheadright8pt"/>
              <w:spacing w:before="40" w:after="40"/>
            </w:pPr>
            <w:r w:rsidRPr="005E4DC3">
              <w:t>Classification of Arrangement</w:t>
            </w:r>
          </w:p>
        </w:tc>
        <w:tc>
          <w:tcPr>
            <w:tcW w:w="510" w:type="pct"/>
            <w:tcMar>
              <w:left w:w="0" w:type="nil"/>
              <w:right w:w="0" w:type="nil"/>
            </w:tcMar>
            <w:hideMark/>
          </w:tcPr>
          <w:p w14:paraId="45FED479" w14:textId="77777777" w:rsidR="00A135D5" w:rsidRPr="005E4DC3" w:rsidRDefault="00A135D5" w:rsidP="002D1097">
            <w:pPr>
              <w:pStyle w:val="ARfintablecolheadright8pt"/>
              <w:spacing w:before="40" w:after="40"/>
              <w:cnfStyle w:val="100000000000" w:firstRow="1" w:lastRow="0" w:firstColumn="0" w:lastColumn="0" w:oddVBand="0" w:evenVBand="0" w:oddHBand="0" w:evenHBand="0" w:firstRowFirstColumn="0" w:firstRowLastColumn="0" w:lastRowFirstColumn="0" w:lastRowLastColumn="0"/>
            </w:pPr>
            <w:r w:rsidRPr="005E4DC3">
              <w:t xml:space="preserve">Carrying amount of asset as </w:t>
            </w:r>
            <w:proofErr w:type="gramStart"/>
            <w:r w:rsidRPr="005E4DC3">
              <w:t>at</w:t>
            </w:r>
            <w:proofErr w:type="gramEnd"/>
            <w:r w:rsidRPr="005E4DC3">
              <w:t xml:space="preserve"> 30 June</w:t>
            </w:r>
            <w:r>
              <w:t xml:space="preserve"> </w:t>
            </w:r>
            <w:r w:rsidRPr="00795CEC">
              <w:rPr>
                <w:vertAlign w:val="superscript"/>
              </w:rPr>
              <w:t>(</w:t>
            </w:r>
            <w:proofErr w:type="spellStart"/>
            <w:r w:rsidRPr="00795CEC">
              <w:rPr>
                <w:vertAlign w:val="superscript"/>
              </w:rPr>
              <w:t>i</w:t>
            </w:r>
            <w:proofErr w:type="spellEnd"/>
            <w:r w:rsidRPr="00795CEC">
              <w:rPr>
                <w:vertAlign w:val="superscript"/>
              </w:rPr>
              <w:t>)</w:t>
            </w:r>
          </w:p>
          <w:p w14:paraId="1410BAC7" w14:textId="5C2A0471" w:rsidR="00A135D5" w:rsidRPr="005E4DC3" w:rsidRDefault="00A135D5" w:rsidP="002D1097">
            <w:pPr>
              <w:pStyle w:val="ARfintablecolheadright8pt"/>
              <w:spacing w:before="40" w:after="40"/>
              <w:cnfStyle w:val="100000000000" w:firstRow="1" w:lastRow="0" w:firstColumn="0" w:lastColumn="0" w:oddVBand="0" w:evenVBand="0" w:oddHBand="0" w:evenHBand="0" w:firstRowFirstColumn="0" w:firstRowLastColumn="0" w:lastRowFirstColumn="0" w:lastRowLastColumn="0"/>
            </w:pPr>
            <w:r w:rsidRPr="00687DF1">
              <w:t>$000</w:t>
            </w:r>
          </w:p>
        </w:tc>
        <w:tc>
          <w:tcPr>
            <w:cnfStyle w:val="000010000000" w:firstRow="0" w:lastRow="0" w:firstColumn="0" w:lastColumn="0" w:oddVBand="1" w:evenVBand="0" w:oddHBand="0" w:evenHBand="0" w:firstRowFirstColumn="0" w:firstRowLastColumn="0" w:lastRowFirstColumn="0" w:lastRowLastColumn="0"/>
            <w:tcW w:w="510" w:type="pct"/>
            <w:tcMar>
              <w:left w:w="0" w:type="nil"/>
              <w:right w:w="0" w:type="nil"/>
            </w:tcMar>
            <w:hideMark/>
          </w:tcPr>
          <w:p w14:paraId="3A680E47" w14:textId="77777777" w:rsidR="00A135D5" w:rsidRPr="005E4DC3" w:rsidRDefault="00A135D5" w:rsidP="002D1097">
            <w:pPr>
              <w:pStyle w:val="ARfintablecolheadright8pt"/>
              <w:spacing w:before="40" w:after="40"/>
            </w:pPr>
            <w:r w:rsidRPr="005E4DC3">
              <w:t xml:space="preserve">Carrying amount of liability as </w:t>
            </w:r>
            <w:proofErr w:type="gramStart"/>
            <w:r w:rsidRPr="005E4DC3">
              <w:t>at</w:t>
            </w:r>
            <w:proofErr w:type="gramEnd"/>
            <w:r w:rsidRPr="005E4DC3">
              <w:t xml:space="preserve"> 30 June</w:t>
            </w:r>
            <w:r>
              <w:t xml:space="preserve"> </w:t>
            </w:r>
            <w:r w:rsidRPr="00795CEC">
              <w:rPr>
                <w:vertAlign w:val="superscript"/>
              </w:rPr>
              <w:t>(</w:t>
            </w:r>
            <w:proofErr w:type="spellStart"/>
            <w:r w:rsidRPr="00795CEC">
              <w:rPr>
                <w:vertAlign w:val="superscript"/>
              </w:rPr>
              <w:t>i</w:t>
            </w:r>
            <w:proofErr w:type="spellEnd"/>
            <w:r w:rsidRPr="00795CEC">
              <w:rPr>
                <w:vertAlign w:val="superscript"/>
              </w:rPr>
              <w:t>)</w:t>
            </w:r>
          </w:p>
          <w:p w14:paraId="60DA17B1" w14:textId="44F8913C" w:rsidR="00A135D5" w:rsidRPr="005E4DC3" w:rsidRDefault="00A135D5" w:rsidP="002D1097">
            <w:pPr>
              <w:pStyle w:val="ARfintablecolheadright8pt"/>
              <w:spacing w:before="40" w:after="40"/>
            </w:pPr>
            <w:r w:rsidRPr="00687DF1">
              <w:t>$000</w:t>
            </w:r>
          </w:p>
        </w:tc>
        <w:tc>
          <w:tcPr>
            <w:tcW w:w="510" w:type="pct"/>
            <w:tcMar>
              <w:left w:w="0" w:type="nil"/>
              <w:right w:w="0" w:type="nil"/>
            </w:tcMar>
            <w:hideMark/>
          </w:tcPr>
          <w:p w14:paraId="12A0BA1B" w14:textId="77777777" w:rsidR="00A135D5" w:rsidRPr="005E4DC3" w:rsidRDefault="00A135D5" w:rsidP="002D1097">
            <w:pPr>
              <w:pStyle w:val="ARfintablecolheadright8pt"/>
              <w:spacing w:before="40" w:after="40"/>
              <w:cnfStyle w:val="100000000000" w:firstRow="1" w:lastRow="0" w:firstColumn="0" w:lastColumn="0" w:oddVBand="0" w:evenVBand="0" w:oddHBand="0" w:evenHBand="0" w:firstRowFirstColumn="0" w:firstRowLastColumn="0" w:lastRowFirstColumn="0" w:lastRowLastColumn="0"/>
            </w:pPr>
            <w:r w:rsidRPr="005E4DC3">
              <w:t xml:space="preserve">Liability as </w:t>
            </w:r>
            <w:proofErr w:type="gramStart"/>
            <w:r w:rsidRPr="005E4DC3">
              <w:t>at</w:t>
            </w:r>
            <w:proofErr w:type="gramEnd"/>
            <w:r w:rsidRPr="005E4DC3">
              <w:t xml:space="preserve"> 30 June</w:t>
            </w:r>
            <w:r>
              <w:t xml:space="preserve"> </w:t>
            </w:r>
            <w:r w:rsidRPr="00B75203">
              <w:rPr>
                <w:vertAlign w:val="superscript"/>
              </w:rPr>
              <w:t>(v)</w:t>
            </w:r>
          </w:p>
          <w:p w14:paraId="29CBD25F" w14:textId="3B104EAA" w:rsidR="00A135D5" w:rsidRPr="005E4DC3" w:rsidRDefault="00A135D5" w:rsidP="002D1097">
            <w:pPr>
              <w:pStyle w:val="ARfintablecolheadright8pt"/>
              <w:spacing w:before="40" w:after="40"/>
              <w:cnfStyle w:val="100000000000" w:firstRow="1" w:lastRow="0" w:firstColumn="0" w:lastColumn="0" w:oddVBand="0" w:evenVBand="0" w:oddHBand="0" w:evenHBand="0" w:firstRowFirstColumn="0" w:firstRowLastColumn="0" w:lastRowFirstColumn="0" w:lastRowLastColumn="0"/>
            </w:pPr>
            <w:r w:rsidRPr="00687DF1">
              <w:t>Discounted Value</w:t>
            </w:r>
            <w:r w:rsidRPr="00687DF1">
              <w:br/>
              <w:t>$000</w:t>
            </w:r>
          </w:p>
        </w:tc>
        <w:tc>
          <w:tcPr>
            <w:cnfStyle w:val="000010000000" w:firstRow="0" w:lastRow="0" w:firstColumn="0" w:lastColumn="0" w:oddVBand="1" w:evenVBand="0" w:oddHBand="0" w:evenHBand="0" w:firstRowFirstColumn="0" w:firstRowLastColumn="0" w:lastRowFirstColumn="0" w:lastRowLastColumn="0"/>
            <w:tcW w:w="510" w:type="pct"/>
            <w:tcMar>
              <w:left w:w="0" w:type="nil"/>
              <w:right w:w="0" w:type="nil"/>
            </w:tcMar>
            <w:hideMark/>
          </w:tcPr>
          <w:p w14:paraId="796A24D0" w14:textId="77777777" w:rsidR="00A135D5" w:rsidRPr="005E4DC3" w:rsidRDefault="00A135D5" w:rsidP="002D1097">
            <w:pPr>
              <w:pStyle w:val="ARfintablecolheadright8pt"/>
              <w:spacing w:before="40" w:after="40"/>
            </w:pPr>
            <w:r w:rsidRPr="005E4DC3">
              <w:t>Capital Contribution</w:t>
            </w:r>
            <w:r>
              <w:t xml:space="preserve"> </w:t>
            </w:r>
          </w:p>
          <w:p w14:paraId="0B523DAA" w14:textId="7813320D" w:rsidR="00A135D5" w:rsidRPr="005E4DC3" w:rsidRDefault="00A135D5" w:rsidP="002D1097">
            <w:pPr>
              <w:pStyle w:val="ARfintablecolheadright8pt"/>
              <w:spacing w:before="40" w:after="40"/>
            </w:pPr>
            <w:r w:rsidRPr="00687DF1">
              <w:t>Nominal Value</w:t>
            </w:r>
            <w:r w:rsidRPr="00687DF1">
              <w:br/>
              <w:t>$000</w:t>
            </w:r>
          </w:p>
        </w:tc>
        <w:tc>
          <w:tcPr>
            <w:tcW w:w="510" w:type="pct"/>
            <w:tcMar>
              <w:left w:w="0" w:type="nil"/>
              <w:right w:w="0" w:type="nil"/>
            </w:tcMar>
            <w:hideMark/>
          </w:tcPr>
          <w:p w14:paraId="3D291D14" w14:textId="77777777" w:rsidR="00A135D5" w:rsidRPr="005E4DC3" w:rsidRDefault="00A135D5" w:rsidP="002D1097">
            <w:pPr>
              <w:pStyle w:val="ARfintablecolheadright8pt"/>
              <w:spacing w:before="40" w:after="40"/>
              <w:cnfStyle w:val="100000000000" w:firstRow="1" w:lastRow="0" w:firstColumn="0" w:lastColumn="0" w:oddVBand="0" w:evenVBand="0" w:oddHBand="0" w:evenHBand="0" w:firstRowFirstColumn="0" w:firstRowLastColumn="0" w:lastRowFirstColumn="0" w:lastRowLastColumn="0"/>
            </w:pPr>
            <w:r w:rsidRPr="005E4DC3">
              <w:t>Other Commitments</w:t>
            </w:r>
          </w:p>
          <w:p w14:paraId="6D144A3E" w14:textId="6D4D6E77" w:rsidR="00A135D5" w:rsidRPr="005E4DC3" w:rsidRDefault="00A135D5" w:rsidP="002D1097">
            <w:pPr>
              <w:pStyle w:val="ARfintablecolheadright8pt"/>
              <w:spacing w:before="40" w:after="40"/>
              <w:cnfStyle w:val="100000000000" w:firstRow="1" w:lastRow="0" w:firstColumn="0" w:lastColumn="0" w:oddVBand="0" w:evenVBand="0" w:oddHBand="0" w:evenHBand="0" w:firstRowFirstColumn="0" w:firstRowLastColumn="0" w:lastRowFirstColumn="0" w:lastRowLastColumn="0"/>
            </w:pPr>
            <w:r w:rsidRPr="00687DF1">
              <w:t>Present Value</w:t>
            </w:r>
            <w:r w:rsidRPr="00687DF1">
              <w:br/>
              <w:t>$000</w:t>
            </w:r>
          </w:p>
        </w:tc>
        <w:tc>
          <w:tcPr>
            <w:cnfStyle w:val="000010000000" w:firstRow="0" w:lastRow="0" w:firstColumn="0" w:lastColumn="0" w:oddVBand="1" w:evenVBand="0" w:oddHBand="0" w:evenHBand="0" w:firstRowFirstColumn="0" w:firstRowLastColumn="0" w:lastRowFirstColumn="0" w:lastRowLastColumn="0"/>
            <w:tcW w:w="510" w:type="pct"/>
            <w:tcMar>
              <w:left w:w="0" w:type="nil"/>
              <w:right w:w="0" w:type="nil"/>
            </w:tcMar>
            <w:hideMark/>
          </w:tcPr>
          <w:p w14:paraId="59E843B5" w14:textId="77777777" w:rsidR="00A135D5" w:rsidRPr="005E4DC3" w:rsidRDefault="00A135D5" w:rsidP="002D1097">
            <w:pPr>
              <w:pStyle w:val="ARfintablecolheadright8pt"/>
              <w:spacing w:before="40" w:after="40"/>
            </w:pPr>
            <w:r w:rsidRPr="005E4DC3">
              <w:t>Commitments</w:t>
            </w:r>
            <w:r>
              <w:t xml:space="preserve"> </w:t>
            </w:r>
            <w:r w:rsidRPr="00B75203">
              <w:rPr>
                <w:vertAlign w:val="superscript"/>
              </w:rPr>
              <w:t>(iii)</w:t>
            </w:r>
          </w:p>
          <w:p w14:paraId="3E712229" w14:textId="3E7A4CB2" w:rsidR="00A135D5" w:rsidRPr="005E4DC3" w:rsidRDefault="00A135D5" w:rsidP="002D1097">
            <w:pPr>
              <w:pStyle w:val="ARfintablecolheadright8pt"/>
              <w:spacing w:before="40" w:after="40"/>
            </w:pPr>
            <w:r w:rsidRPr="00687DF1">
              <w:t>Nominal Value</w:t>
            </w:r>
            <w:r w:rsidRPr="00687DF1">
              <w:br/>
              <w:t>$000</w:t>
            </w:r>
          </w:p>
        </w:tc>
      </w:tr>
      <w:tr w:rsidR="006E51BF" w:rsidRPr="00687DF1" w14:paraId="34FA0138"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1133" w:type="pct"/>
            <w:tcBorders>
              <w:top w:val="single" w:sz="4" w:space="0" w:color="000000" w:themeColor="text1"/>
              <w:bottom w:val="single" w:sz="4" w:space="0" w:color="000000" w:themeColor="text1"/>
            </w:tcBorders>
            <w:shd w:val="clear" w:color="auto" w:fill="auto"/>
          </w:tcPr>
          <w:p w14:paraId="3AA2EB15" w14:textId="77777777" w:rsidR="006E51BF" w:rsidRPr="00687DF1" w:rsidRDefault="006E51BF" w:rsidP="002D1097">
            <w:pPr>
              <w:pStyle w:val="Arfintabletextboldcoloured8pt"/>
              <w:spacing w:before="40" w:after="40"/>
            </w:pPr>
            <w:r w:rsidRPr="00687DF1">
              <w:t>Commissioned 2026</w:t>
            </w:r>
          </w:p>
        </w:tc>
        <w:tc>
          <w:tcPr>
            <w:tcW w:w="295" w:type="pct"/>
            <w:tcBorders>
              <w:top w:val="single" w:sz="4" w:space="0" w:color="000000" w:themeColor="text1"/>
              <w:bottom w:val="single" w:sz="4" w:space="0" w:color="000000" w:themeColor="text1"/>
            </w:tcBorders>
            <w:tcMar>
              <w:left w:w="0" w:type="nil"/>
              <w:right w:w="0" w:type="nil"/>
            </w:tcMar>
          </w:tcPr>
          <w:p w14:paraId="17214CDD"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000000" w:themeColor="text1"/>
              <w:bottom w:val="single" w:sz="4" w:space="0" w:color="000000" w:themeColor="text1"/>
            </w:tcBorders>
            <w:shd w:val="clear" w:color="auto" w:fill="auto"/>
            <w:tcMar>
              <w:left w:w="0" w:type="nil"/>
              <w:right w:w="0" w:type="nil"/>
            </w:tcMar>
          </w:tcPr>
          <w:p w14:paraId="738E71A8" w14:textId="77777777" w:rsidR="006E51BF" w:rsidRPr="00687DF1" w:rsidRDefault="006E51BF" w:rsidP="002D1097">
            <w:pPr>
              <w:pStyle w:val="ARfintabletextright8pt"/>
              <w:spacing w:before="40" w:after="40"/>
            </w:pPr>
          </w:p>
        </w:tc>
        <w:tc>
          <w:tcPr>
            <w:tcW w:w="510" w:type="pct"/>
            <w:tcBorders>
              <w:top w:val="single" w:sz="4" w:space="0" w:color="000000" w:themeColor="text1"/>
              <w:bottom w:val="single" w:sz="4" w:space="0" w:color="000000" w:themeColor="text1"/>
            </w:tcBorders>
            <w:tcMar>
              <w:left w:w="0" w:type="nil"/>
              <w:right w:w="0" w:type="nil"/>
            </w:tcMar>
          </w:tcPr>
          <w:p w14:paraId="3AAB1CCA"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000000" w:themeColor="text1"/>
              <w:bottom w:val="single" w:sz="4" w:space="0" w:color="000000" w:themeColor="text1"/>
            </w:tcBorders>
            <w:shd w:val="clear" w:color="auto" w:fill="auto"/>
            <w:tcMar>
              <w:left w:w="0" w:type="nil"/>
              <w:right w:w="0" w:type="nil"/>
            </w:tcMar>
          </w:tcPr>
          <w:p w14:paraId="517C3471" w14:textId="77777777" w:rsidR="006E51BF" w:rsidRPr="00687DF1" w:rsidRDefault="006E51BF" w:rsidP="002D1097">
            <w:pPr>
              <w:pStyle w:val="ARfintabletextright8pt"/>
              <w:spacing w:before="40" w:after="40"/>
            </w:pPr>
          </w:p>
        </w:tc>
        <w:tc>
          <w:tcPr>
            <w:tcW w:w="510" w:type="pct"/>
            <w:tcBorders>
              <w:top w:val="single" w:sz="4" w:space="0" w:color="000000" w:themeColor="text1"/>
              <w:bottom w:val="single" w:sz="4" w:space="0" w:color="000000" w:themeColor="text1"/>
            </w:tcBorders>
            <w:tcMar>
              <w:left w:w="0" w:type="nil"/>
              <w:right w:w="0" w:type="nil"/>
            </w:tcMar>
          </w:tcPr>
          <w:p w14:paraId="24F4C2B2"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000000" w:themeColor="text1"/>
              <w:bottom w:val="single" w:sz="4" w:space="0" w:color="000000" w:themeColor="text1"/>
            </w:tcBorders>
            <w:shd w:val="clear" w:color="auto" w:fill="auto"/>
            <w:tcMar>
              <w:left w:w="0" w:type="nil"/>
              <w:right w:w="0" w:type="nil"/>
            </w:tcMar>
          </w:tcPr>
          <w:p w14:paraId="5CDDF2DD" w14:textId="77777777" w:rsidR="006E51BF" w:rsidRPr="00687DF1" w:rsidRDefault="006E51BF" w:rsidP="002D1097">
            <w:pPr>
              <w:pStyle w:val="ARfintabletextright8pt"/>
              <w:spacing w:before="40" w:after="40"/>
            </w:pPr>
          </w:p>
        </w:tc>
        <w:tc>
          <w:tcPr>
            <w:tcW w:w="510" w:type="pct"/>
            <w:tcBorders>
              <w:top w:val="single" w:sz="4" w:space="0" w:color="000000" w:themeColor="text1"/>
              <w:bottom w:val="single" w:sz="4" w:space="0" w:color="000000" w:themeColor="text1"/>
            </w:tcBorders>
            <w:tcMar>
              <w:left w:w="0" w:type="nil"/>
              <w:right w:w="0" w:type="nil"/>
            </w:tcMar>
          </w:tcPr>
          <w:p w14:paraId="49BAFE12"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000000" w:themeColor="text1"/>
              <w:bottom w:val="single" w:sz="4" w:space="0" w:color="000000" w:themeColor="text1"/>
            </w:tcBorders>
            <w:shd w:val="clear" w:color="auto" w:fill="auto"/>
            <w:tcMar>
              <w:left w:w="0" w:type="nil"/>
              <w:right w:w="0" w:type="nil"/>
            </w:tcMar>
          </w:tcPr>
          <w:p w14:paraId="25B1E70F" w14:textId="77777777" w:rsidR="006E51BF" w:rsidRPr="00687DF1" w:rsidRDefault="006E51BF" w:rsidP="002D1097">
            <w:pPr>
              <w:pStyle w:val="ARfintabletextright8pt"/>
              <w:spacing w:before="40" w:after="40"/>
            </w:pPr>
          </w:p>
        </w:tc>
      </w:tr>
      <w:tr w:rsidR="006E51BF" w:rsidRPr="00687DF1" w14:paraId="0F0CCA18" w14:textId="77777777" w:rsidTr="00E1009E">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1133" w:type="pct"/>
            <w:tcBorders>
              <w:top w:val="single" w:sz="4" w:space="0" w:color="000000" w:themeColor="text1"/>
              <w:bottom w:val="single" w:sz="4" w:space="0" w:color="000000" w:themeColor="text1"/>
            </w:tcBorders>
            <w:shd w:val="clear" w:color="auto" w:fill="auto"/>
            <w:hideMark/>
          </w:tcPr>
          <w:p w14:paraId="760D81DB" w14:textId="77777777" w:rsidR="006E51BF" w:rsidRPr="00687DF1" w:rsidRDefault="006E51BF" w:rsidP="002D1097">
            <w:pPr>
              <w:pStyle w:val="ARfintabletext8pt"/>
              <w:spacing w:before="40" w:after="40"/>
              <w:rPr>
                <w:lang w:eastAsia="en-AU"/>
              </w:rPr>
            </w:pPr>
            <w:r w:rsidRPr="00687DF1">
              <w:rPr>
                <w:lang w:eastAsia="en-AU"/>
              </w:rPr>
              <w:t xml:space="preserve">Ground Lease Model 1 </w:t>
            </w:r>
            <w:r>
              <w:rPr>
                <w:lang w:eastAsia="en-AU"/>
              </w:rPr>
              <w:t>–</w:t>
            </w:r>
            <w:r w:rsidRPr="00687DF1">
              <w:rPr>
                <w:lang w:eastAsia="en-AU"/>
              </w:rPr>
              <w:t xml:space="preserve"> PHRP phase 1 </w:t>
            </w:r>
            <w:r w:rsidRPr="00687DF1">
              <w:rPr>
                <w:vertAlign w:val="superscript"/>
                <w:lang w:eastAsia="en-AU"/>
              </w:rPr>
              <w:t>(iv)</w:t>
            </w:r>
          </w:p>
        </w:tc>
        <w:tc>
          <w:tcPr>
            <w:tcW w:w="295" w:type="pct"/>
            <w:tcBorders>
              <w:top w:val="single" w:sz="4" w:space="0" w:color="000000" w:themeColor="text1"/>
              <w:bottom w:val="single" w:sz="4" w:space="0" w:color="000000" w:themeColor="text1"/>
            </w:tcBorders>
            <w:tcMar>
              <w:left w:w="0" w:type="nil"/>
              <w:right w:w="0" w:type="nil"/>
            </w:tcMar>
            <w:hideMark/>
          </w:tcPr>
          <w:p w14:paraId="7F3B9774"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rsidRPr="00687DF1">
              <w:t>7.5.3.1</w:t>
            </w: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000000" w:themeColor="text1"/>
              <w:bottom w:val="single" w:sz="4" w:space="0" w:color="000000" w:themeColor="text1"/>
            </w:tcBorders>
            <w:tcMar>
              <w:left w:w="0" w:type="nil"/>
              <w:right w:w="0" w:type="nil"/>
            </w:tcMar>
            <w:hideMark/>
          </w:tcPr>
          <w:p w14:paraId="2C2E48BC" w14:textId="77777777" w:rsidR="006E51BF" w:rsidRPr="00687DF1" w:rsidRDefault="006E51BF" w:rsidP="002D1097">
            <w:pPr>
              <w:pStyle w:val="ARfintabletextright8pt"/>
              <w:spacing w:before="40" w:after="40"/>
            </w:pPr>
            <w:r w:rsidRPr="00687DF1">
              <w:t>Hybrid (GORTO &amp; Financial Liability)</w:t>
            </w:r>
          </w:p>
        </w:tc>
        <w:tc>
          <w:tcPr>
            <w:tcW w:w="510" w:type="pct"/>
            <w:tcBorders>
              <w:top w:val="single" w:sz="4" w:space="0" w:color="000000" w:themeColor="text1"/>
              <w:bottom w:val="single" w:sz="4" w:space="0" w:color="000000" w:themeColor="text1"/>
            </w:tcBorders>
            <w:tcMar>
              <w:left w:w="0" w:type="nil"/>
              <w:right w:w="0" w:type="nil"/>
            </w:tcMar>
            <w:hideMark/>
          </w:tcPr>
          <w:p w14:paraId="06A91710"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rsidRPr="00687DF1">
              <w:t>334,916</w:t>
            </w: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000000" w:themeColor="text1"/>
              <w:bottom w:val="single" w:sz="4" w:space="0" w:color="000000" w:themeColor="text1"/>
            </w:tcBorders>
            <w:tcMar>
              <w:left w:w="0" w:type="nil"/>
              <w:right w:w="0" w:type="nil"/>
            </w:tcMar>
            <w:hideMark/>
          </w:tcPr>
          <w:p w14:paraId="1FE66E39" w14:textId="77777777" w:rsidR="006E51BF" w:rsidRPr="00687DF1" w:rsidRDefault="006E51BF" w:rsidP="002D1097">
            <w:pPr>
              <w:pStyle w:val="ARfintabletextright8pt"/>
              <w:spacing w:before="40" w:after="40"/>
            </w:pPr>
            <w:r w:rsidRPr="00687DF1">
              <w:t>293,748</w:t>
            </w:r>
          </w:p>
        </w:tc>
        <w:tc>
          <w:tcPr>
            <w:tcW w:w="510" w:type="pct"/>
            <w:tcBorders>
              <w:top w:val="single" w:sz="4" w:space="0" w:color="000000" w:themeColor="text1"/>
              <w:bottom w:val="single" w:sz="4" w:space="0" w:color="000000" w:themeColor="text1"/>
            </w:tcBorders>
            <w:tcMar>
              <w:left w:w="0" w:type="nil"/>
              <w:right w:w="0" w:type="nil"/>
            </w:tcMar>
            <w:hideMark/>
          </w:tcPr>
          <w:p w14:paraId="661F3707"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000000" w:themeColor="text1"/>
              <w:bottom w:val="single" w:sz="4" w:space="0" w:color="000000" w:themeColor="text1"/>
            </w:tcBorders>
            <w:tcMar>
              <w:left w:w="0" w:type="nil"/>
              <w:right w:w="0" w:type="nil"/>
            </w:tcMar>
            <w:hideMark/>
          </w:tcPr>
          <w:p w14:paraId="568EFBD5" w14:textId="77777777" w:rsidR="006E51BF" w:rsidRPr="00687DF1" w:rsidRDefault="006E51BF" w:rsidP="002D1097">
            <w:pPr>
              <w:pStyle w:val="ARfintabletextright8pt"/>
              <w:spacing w:before="40" w:after="40"/>
            </w:pPr>
            <w:r>
              <w:t>–</w:t>
            </w:r>
          </w:p>
        </w:tc>
        <w:tc>
          <w:tcPr>
            <w:tcW w:w="510" w:type="pct"/>
            <w:tcBorders>
              <w:top w:val="single" w:sz="4" w:space="0" w:color="000000" w:themeColor="text1"/>
              <w:bottom w:val="single" w:sz="4" w:space="0" w:color="000000" w:themeColor="text1"/>
            </w:tcBorders>
            <w:tcMar>
              <w:left w:w="0" w:type="nil"/>
              <w:right w:w="0" w:type="nil"/>
            </w:tcMar>
            <w:hideMark/>
          </w:tcPr>
          <w:p w14:paraId="465FF09F"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rsidRPr="00687DF1">
              <w:t>47,731</w:t>
            </w: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000000" w:themeColor="text1"/>
              <w:bottom w:val="single" w:sz="4" w:space="0" w:color="000000" w:themeColor="text1"/>
            </w:tcBorders>
            <w:tcMar>
              <w:left w:w="0" w:type="nil"/>
              <w:right w:w="0" w:type="nil"/>
            </w:tcMar>
            <w:hideMark/>
          </w:tcPr>
          <w:p w14:paraId="699EE039" w14:textId="77777777" w:rsidR="006E51BF" w:rsidRPr="00687DF1" w:rsidRDefault="006E51BF" w:rsidP="002D1097">
            <w:pPr>
              <w:pStyle w:val="ARfintabletextright8pt"/>
              <w:spacing w:before="40" w:after="40"/>
            </w:pPr>
            <w:r w:rsidRPr="00687DF1">
              <w:t>141,278</w:t>
            </w:r>
          </w:p>
        </w:tc>
      </w:tr>
      <w:tr w:rsidR="006E51BF" w:rsidRPr="00687DF1" w14:paraId="151BEAE1" w14:textId="77777777" w:rsidTr="00A135D5">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1133" w:type="pct"/>
            <w:tcBorders>
              <w:top w:val="single" w:sz="4" w:space="0" w:color="000000" w:themeColor="text1"/>
              <w:bottom w:val="single" w:sz="4" w:space="0" w:color="000000" w:themeColor="text1"/>
            </w:tcBorders>
            <w:shd w:val="clear" w:color="auto" w:fill="auto"/>
            <w:hideMark/>
          </w:tcPr>
          <w:p w14:paraId="78B1B6F5" w14:textId="77777777" w:rsidR="006E51BF" w:rsidRPr="00687DF1" w:rsidRDefault="006E51BF" w:rsidP="002D1097">
            <w:pPr>
              <w:pStyle w:val="Arfintabletextboldcoloured8pt"/>
              <w:spacing w:before="40" w:after="40"/>
            </w:pPr>
            <w:r w:rsidRPr="00687DF1">
              <w:t>Uncommissioned 2026</w:t>
            </w:r>
          </w:p>
        </w:tc>
        <w:tc>
          <w:tcPr>
            <w:tcW w:w="295" w:type="pct"/>
            <w:tcBorders>
              <w:top w:val="single" w:sz="4" w:space="0" w:color="000000" w:themeColor="text1"/>
              <w:bottom w:val="single" w:sz="4" w:space="0" w:color="000000" w:themeColor="text1"/>
            </w:tcBorders>
            <w:tcMar>
              <w:left w:w="0" w:type="nil"/>
              <w:right w:w="0" w:type="nil"/>
            </w:tcMar>
            <w:hideMark/>
          </w:tcPr>
          <w:p w14:paraId="54C4D6B4"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000000" w:themeColor="text1"/>
              <w:bottom w:val="single" w:sz="4" w:space="0" w:color="000000" w:themeColor="text1"/>
            </w:tcBorders>
            <w:shd w:val="clear" w:color="auto" w:fill="auto"/>
            <w:tcMar>
              <w:left w:w="0" w:type="nil"/>
              <w:right w:w="0" w:type="nil"/>
            </w:tcMar>
            <w:hideMark/>
          </w:tcPr>
          <w:p w14:paraId="1E6DA16B" w14:textId="77777777" w:rsidR="006E51BF" w:rsidRPr="00687DF1" w:rsidRDefault="006E51BF" w:rsidP="002D1097">
            <w:pPr>
              <w:pStyle w:val="ARfintabletextright8pt"/>
              <w:spacing w:before="40" w:after="40"/>
            </w:pPr>
          </w:p>
        </w:tc>
        <w:tc>
          <w:tcPr>
            <w:tcW w:w="510" w:type="pct"/>
            <w:tcBorders>
              <w:top w:val="single" w:sz="4" w:space="0" w:color="000000" w:themeColor="text1"/>
              <w:bottom w:val="single" w:sz="4" w:space="0" w:color="000000" w:themeColor="text1"/>
            </w:tcBorders>
            <w:tcMar>
              <w:left w:w="0" w:type="nil"/>
              <w:right w:w="0" w:type="nil"/>
            </w:tcMar>
            <w:hideMark/>
          </w:tcPr>
          <w:p w14:paraId="6ED63A2B"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000000" w:themeColor="text1"/>
              <w:bottom w:val="single" w:sz="4" w:space="0" w:color="000000" w:themeColor="text1"/>
            </w:tcBorders>
            <w:shd w:val="clear" w:color="auto" w:fill="auto"/>
            <w:tcMar>
              <w:left w:w="0" w:type="nil"/>
              <w:right w:w="0" w:type="nil"/>
            </w:tcMar>
            <w:hideMark/>
          </w:tcPr>
          <w:p w14:paraId="2B827B95" w14:textId="77777777" w:rsidR="006E51BF" w:rsidRPr="00687DF1" w:rsidRDefault="006E51BF" w:rsidP="002D1097">
            <w:pPr>
              <w:pStyle w:val="ARfintabletextright8pt"/>
              <w:spacing w:before="40" w:after="40"/>
            </w:pPr>
          </w:p>
        </w:tc>
        <w:tc>
          <w:tcPr>
            <w:tcW w:w="510" w:type="pct"/>
            <w:tcBorders>
              <w:top w:val="single" w:sz="4" w:space="0" w:color="000000" w:themeColor="text1"/>
              <w:bottom w:val="single" w:sz="4" w:space="0" w:color="000000" w:themeColor="text1"/>
            </w:tcBorders>
            <w:tcMar>
              <w:left w:w="0" w:type="nil"/>
              <w:right w:w="0" w:type="nil"/>
            </w:tcMar>
            <w:hideMark/>
          </w:tcPr>
          <w:p w14:paraId="47CBD5A0"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000000" w:themeColor="text1"/>
              <w:bottom w:val="single" w:sz="4" w:space="0" w:color="000000" w:themeColor="text1"/>
            </w:tcBorders>
            <w:shd w:val="clear" w:color="auto" w:fill="auto"/>
            <w:tcMar>
              <w:left w:w="0" w:type="nil"/>
              <w:right w:w="0" w:type="nil"/>
            </w:tcMar>
            <w:hideMark/>
          </w:tcPr>
          <w:p w14:paraId="71CF3470" w14:textId="77777777" w:rsidR="006E51BF" w:rsidRPr="00687DF1" w:rsidRDefault="006E51BF" w:rsidP="002D1097">
            <w:pPr>
              <w:pStyle w:val="ARfintabletextright8pt"/>
              <w:spacing w:before="40" w:after="40"/>
            </w:pPr>
          </w:p>
        </w:tc>
        <w:tc>
          <w:tcPr>
            <w:tcW w:w="510" w:type="pct"/>
            <w:tcBorders>
              <w:top w:val="single" w:sz="4" w:space="0" w:color="000000" w:themeColor="text1"/>
              <w:bottom w:val="single" w:sz="4" w:space="0" w:color="000000" w:themeColor="text1"/>
            </w:tcBorders>
            <w:tcMar>
              <w:left w:w="0" w:type="nil"/>
              <w:right w:w="0" w:type="nil"/>
            </w:tcMar>
            <w:hideMark/>
          </w:tcPr>
          <w:p w14:paraId="351B9A4F"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000000" w:themeColor="text1"/>
              <w:bottom w:val="single" w:sz="4" w:space="0" w:color="000000" w:themeColor="text1"/>
            </w:tcBorders>
            <w:shd w:val="clear" w:color="auto" w:fill="auto"/>
            <w:tcMar>
              <w:left w:w="0" w:type="nil"/>
              <w:right w:w="0" w:type="nil"/>
            </w:tcMar>
            <w:hideMark/>
          </w:tcPr>
          <w:p w14:paraId="7EFB98A5" w14:textId="77777777" w:rsidR="006E51BF" w:rsidRPr="00687DF1" w:rsidRDefault="006E51BF" w:rsidP="002D1097">
            <w:pPr>
              <w:pStyle w:val="ARfintabletextright8pt"/>
              <w:spacing w:before="40" w:after="40"/>
            </w:pPr>
          </w:p>
        </w:tc>
      </w:tr>
      <w:tr w:rsidR="006E51BF" w:rsidRPr="00687DF1" w14:paraId="3B2F3A7F" w14:textId="77777777" w:rsidTr="00A135D5">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1133" w:type="pct"/>
            <w:tcBorders>
              <w:top w:val="single" w:sz="4" w:space="0" w:color="000000" w:themeColor="text1"/>
              <w:bottom w:val="single" w:sz="4" w:space="0" w:color="auto"/>
            </w:tcBorders>
            <w:shd w:val="clear" w:color="auto" w:fill="auto"/>
            <w:hideMark/>
          </w:tcPr>
          <w:p w14:paraId="6B0E73CE" w14:textId="32783AC3" w:rsidR="006E51BF" w:rsidRPr="00687DF1" w:rsidRDefault="006E51BF" w:rsidP="002D1097">
            <w:pPr>
              <w:pStyle w:val="ARfintabletext8pt"/>
              <w:spacing w:before="40" w:after="40"/>
              <w:rPr>
                <w:lang w:eastAsia="en-AU"/>
              </w:rPr>
            </w:pPr>
            <w:r w:rsidRPr="00687DF1">
              <w:rPr>
                <w:lang w:eastAsia="en-AU"/>
              </w:rPr>
              <w:t xml:space="preserve">Ground Lease Model 1 </w:t>
            </w:r>
            <w:r>
              <w:rPr>
                <w:lang w:eastAsia="en-AU"/>
              </w:rPr>
              <w:t xml:space="preserve">– </w:t>
            </w:r>
            <w:r w:rsidRPr="00687DF1">
              <w:rPr>
                <w:lang w:eastAsia="en-AU"/>
              </w:rPr>
              <w:t>Flemington phase</w:t>
            </w:r>
            <w:r w:rsidR="00A135D5">
              <w:rPr>
                <w:lang w:eastAsia="en-AU"/>
              </w:rPr>
              <w:t> </w:t>
            </w:r>
            <w:r w:rsidRPr="00687DF1">
              <w:rPr>
                <w:lang w:eastAsia="en-AU"/>
              </w:rPr>
              <w:t>2</w:t>
            </w:r>
          </w:p>
        </w:tc>
        <w:tc>
          <w:tcPr>
            <w:tcW w:w="295" w:type="pct"/>
            <w:tcBorders>
              <w:top w:val="single" w:sz="4" w:space="0" w:color="000000" w:themeColor="text1"/>
              <w:bottom w:val="single" w:sz="4" w:space="0" w:color="auto"/>
            </w:tcBorders>
            <w:tcMar>
              <w:left w:w="0" w:type="nil"/>
              <w:right w:w="0" w:type="nil"/>
            </w:tcMar>
            <w:hideMark/>
          </w:tcPr>
          <w:p w14:paraId="247D9D46"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rsidRPr="00687DF1">
              <w:t>7.5.3.2</w:t>
            </w: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000000" w:themeColor="text1"/>
              <w:bottom w:val="single" w:sz="4" w:space="0" w:color="auto"/>
            </w:tcBorders>
            <w:tcMar>
              <w:left w:w="0" w:type="nil"/>
              <w:right w:w="0" w:type="nil"/>
            </w:tcMar>
            <w:hideMark/>
          </w:tcPr>
          <w:p w14:paraId="02074E97" w14:textId="77777777" w:rsidR="006E51BF" w:rsidRPr="00687DF1" w:rsidRDefault="006E51BF" w:rsidP="002D1097">
            <w:pPr>
              <w:pStyle w:val="ARfintabletextright8pt"/>
              <w:spacing w:before="40" w:after="40"/>
            </w:pPr>
            <w:r w:rsidRPr="00687DF1">
              <w:t>GORTO Liability</w:t>
            </w:r>
          </w:p>
        </w:tc>
        <w:tc>
          <w:tcPr>
            <w:tcW w:w="510" w:type="pct"/>
            <w:tcBorders>
              <w:top w:val="single" w:sz="4" w:space="0" w:color="000000" w:themeColor="text1"/>
              <w:bottom w:val="single" w:sz="4" w:space="0" w:color="auto"/>
            </w:tcBorders>
            <w:tcMar>
              <w:left w:w="0" w:type="nil"/>
              <w:right w:w="0" w:type="nil"/>
            </w:tcMar>
            <w:hideMark/>
          </w:tcPr>
          <w:p w14:paraId="6D5EA742"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rsidRPr="00687DF1">
              <w:t>170,655</w:t>
            </w: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000000" w:themeColor="text1"/>
              <w:bottom w:val="single" w:sz="4" w:space="0" w:color="auto"/>
            </w:tcBorders>
            <w:tcMar>
              <w:left w:w="0" w:type="nil"/>
              <w:right w:w="0" w:type="nil"/>
            </w:tcMar>
            <w:hideMark/>
          </w:tcPr>
          <w:p w14:paraId="634375DB" w14:textId="77777777" w:rsidR="006E51BF" w:rsidRPr="00687DF1" w:rsidRDefault="006E51BF" w:rsidP="002D1097">
            <w:pPr>
              <w:pStyle w:val="ARfintabletextright8pt"/>
              <w:spacing w:before="40" w:after="40"/>
            </w:pPr>
            <w:r w:rsidRPr="00687DF1">
              <w:t>38,611</w:t>
            </w:r>
          </w:p>
        </w:tc>
        <w:tc>
          <w:tcPr>
            <w:tcW w:w="510" w:type="pct"/>
            <w:tcBorders>
              <w:top w:val="single" w:sz="4" w:space="0" w:color="000000" w:themeColor="text1"/>
              <w:bottom w:val="single" w:sz="4" w:space="0" w:color="auto"/>
            </w:tcBorders>
            <w:tcMar>
              <w:left w:w="0" w:type="nil"/>
              <w:right w:w="0" w:type="nil"/>
            </w:tcMar>
            <w:hideMark/>
          </w:tcPr>
          <w:p w14:paraId="2E0D2C19"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000000" w:themeColor="text1"/>
              <w:bottom w:val="single" w:sz="4" w:space="0" w:color="auto"/>
            </w:tcBorders>
            <w:tcMar>
              <w:left w:w="0" w:type="nil"/>
              <w:right w:w="0" w:type="nil"/>
            </w:tcMar>
            <w:hideMark/>
          </w:tcPr>
          <w:p w14:paraId="4A61973E" w14:textId="77777777" w:rsidR="006E51BF" w:rsidRPr="00687DF1" w:rsidRDefault="006E51BF" w:rsidP="002D1097">
            <w:pPr>
              <w:pStyle w:val="ARfintabletextright8pt"/>
              <w:spacing w:before="40" w:after="40"/>
            </w:pPr>
            <w:r w:rsidRPr="00687DF1">
              <w:t>5,241</w:t>
            </w:r>
          </w:p>
        </w:tc>
        <w:tc>
          <w:tcPr>
            <w:tcW w:w="510" w:type="pct"/>
            <w:tcBorders>
              <w:top w:val="single" w:sz="4" w:space="0" w:color="000000" w:themeColor="text1"/>
              <w:bottom w:val="single" w:sz="4" w:space="0" w:color="auto"/>
            </w:tcBorders>
            <w:tcMar>
              <w:left w:w="0" w:type="nil"/>
              <w:right w:w="0" w:type="nil"/>
            </w:tcMar>
            <w:hideMark/>
          </w:tcPr>
          <w:p w14:paraId="1CF40F66"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000000" w:themeColor="text1"/>
              <w:bottom w:val="single" w:sz="4" w:space="0" w:color="auto"/>
            </w:tcBorders>
            <w:tcMar>
              <w:left w:w="0" w:type="nil"/>
              <w:right w:w="0" w:type="nil"/>
            </w:tcMar>
            <w:hideMark/>
          </w:tcPr>
          <w:p w14:paraId="59FF88C8" w14:textId="77777777" w:rsidR="006E51BF" w:rsidRPr="00687DF1" w:rsidRDefault="006E51BF" w:rsidP="002D1097">
            <w:pPr>
              <w:pStyle w:val="ARfintabletextright8pt"/>
              <w:spacing w:before="40" w:after="40"/>
            </w:pPr>
            <w:r>
              <w:t>–</w:t>
            </w:r>
          </w:p>
        </w:tc>
      </w:tr>
      <w:tr w:rsidR="006E51BF" w:rsidRPr="00687DF1" w14:paraId="7BF0D5EC" w14:textId="77777777" w:rsidTr="00A135D5">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1133" w:type="pct"/>
            <w:tcBorders>
              <w:top w:val="single" w:sz="4" w:space="0" w:color="auto"/>
              <w:bottom w:val="single" w:sz="4" w:space="0" w:color="000000" w:themeColor="text1"/>
            </w:tcBorders>
            <w:shd w:val="clear" w:color="auto" w:fill="auto"/>
            <w:hideMark/>
          </w:tcPr>
          <w:p w14:paraId="1DE3EBD0" w14:textId="77777777" w:rsidR="006E51BF" w:rsidRPr="00687DF1" w:rsidRDefault="006E51BF" w:rsidP="002D1097">
            <w:pPr>
              <w:pStyle w:val="ARfintabletext8pt"/>
              <w:spacing w:before="40" w:after="40"/>
              <w:rPr>
                <w:lang w:eastAsia="en-AU"/>
              </w:rPr>
            </w:pPr>
            <w:r w:rsidRPr="00687DF1">
              <w:rPr>
                <w:lang w:eastAsia="en-AU"/>
              </w:rPr>
              <w:t>Ground Lease Model 2</w:t>
            </w:r>
          </w:p>
        </w:tc>
        <w:tc>
          <w:tcPr>
            <w:tcW w:w="295" w:type="pct"/>
            <w:tcBorders>
              <w:top w:val="single" w:sz="4" w:space="0" w:color="auto"/>
              <w:bottom w:val="single" w:sz="4" w:space="0" w:color="000000" w:themeColor="text1"/>
            </w:tcBorders>
            <w:tcMar>
              <w:left w:w="0" w:type="nil"/>
              <w:right w:w="0" w:type="nil"/>
            </w:tcMar>
            <w:hideMark/>
          </w:tcPr>
          <w:p w14:paraId="4BDA3D97"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rsidRPr="00687DF1">
              <w:t>7.5.3.3</w:t>
            </w: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auto"/>
              <w:bottom w:val="single" w:sz="4" w:space="0" w:color="000000" w:themeColor="text1"/>
            </w:tcBorders>
            <w:tcMar>
              <w:left w:w="0" w:type="nil"/>
              <w:right w:w="0" w:type="nil"/>
            </w:tcMar>
            <w:hideMark/>
          </w:tcPr>
          <w:p w14:paraId="0E799815" w14:textId="77777777" w:rsidR="006E51BF" w:rsidRPr="00687DF1" w:rsidRDefault="006E51BF" w:rsidP="002D1097">
            <w:pPr>
              <w:pStyle w:val="ARfintabletextright8pt"/>
              <w:spacing w:before="40" w:after="40"/>
            </w:pPr>
            <w:r w:rsidRPr="00687DF1">
              <w:t>Hybrid (GORTO &amp; Financial Liability)</w:t>
            </w:r>
          </w:p>
        </w:tc>
        <w:tc>
          <w:tcPr>
            <w:tcW w:w="510" w:type="pct"/>
            <w:tcBorders>
              <w:top w:val="single" w:sz="4" w:space="0" w:color="auto"/>
              <w:bottom w:val="single" w:sz="4" w:space="0" w:color="000000" w:themeColor="text1"/>
            </w:tcBorders>
            <w:tcMar>
              <w:left w:w="0" w:type="nil"/>
              <w:right w:w="0" w:type="nil"/>
            </w:tcMar>
            <w:hideMark/>
          </w:tcPr>
          <w:p w14:paraId="69CC2961"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rsidRPr="00687DF1">
              <w:t>640,388</w:t>
            </w: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auto"/>
              <w:bottom w:val="single" w:sz="4" w:space="0" w:color="000000" w:themeColor="text1"/>
            </w:tcBorders>
            <w:tcMar>
              <w:left w:w="0" w:type="nil"/>
              <w:right w:w="0" w:type="nil"/>
            </w:tcMar>
            <w:hideMark/>
          </w:tcPr>
          <w:p w14:paraId="585C6094" w14:textId="77777777" w:rsidR="006E51BF" w:rsidRPr="00687DF1" w:rsidRDefault="006E51BF" w:rsidP="002D1097">
            <w:pPr>
              <w:pStyle w:val="ARfintabletextright8pt"/>
              <w:spacing w:before="40" w:after="40"/>
            </w:pPr>
            <w:r w:rsidRPr="00687DF1">
              <w:t>460,388</w:t>
            </w:r>
          </w:p>
        </w:tc>
        <w:tc>
          <w:tcPr>
            <w:tcW w:w="510" w:type="pct"/>
            <w:tcBorders>
              <w:top w:val="single" w:sz="4" w:space="0" w:color="auto"/>
              <w:bottom w:val="single" w:sz="4" w:space="0" w:color="000000" w:themeColor="text1"/>
            </w:tcBorders>
            <w:tcMar>
              <w:left w:w="0" w:type="nil"/>
              <w:right w:w="0" w:type="nil"/>
            </w:tcMar>
            <w:hideMark/>
          </w:tcPr>
          <w:p w14:paraId="6AF1EEA5"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rsidRPr="00687DF1">
              <w:t>489,200</w:t>
            </w: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auto"/>
              <w:bottom w:val="single" w:sz="4" w:space="0" w:color="000000" w:themeColor="text1"/>
            </w:tcBorders>
            <w:tcMar>
              <w:left w:w="0" w:type="nil"/>
              <w:right w:w="0" w:type="nil"/>
            </w:tcMar>
            <w:hideMark/>
          </w:tcPr>
          <w:p w14:paraId="5E5D2AD3" w14:textId="77777777" w:rsidR="006E51BF" w:rsidRPr="00687DF1" w:rsidRDefault="006E51BF" w:rsidP="002D1097">
            <w:pPr>
              <w:pStyle w:val="ARfintabletextright8pt"/>
              <w:spacing w:before="40" w:after="40"/>
            </w:pPr>
            <w:r>
              <w:t>–</w:t>
            </w:r>
          </w:p>
        </w:tc>
        <w:tc>
          <w:tcPr>
            <w:tcW w:w="510" w:type="pct"/>
            <w:tcBorders>
              <w:top w:val="single" w:sz="4" w:space="0" w:color="auto"/>
              <w:bottom w:val="single" w:sz="4" w:space="0" w:color="000000" w:themeColor="text1"/>
            </w:tcBorders>
            <w:tcMar>
              <w:left w:w="0" w:type="nil"/>
              <w:right w:w="0" w:type="nil"/>
            </w:tcMar>
            <w:hideMark/>
          </w:tcPr>
          <w:p w14:paraId="3740B64C"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rsidRPr="00687DF1">
              <w:t>53,299</w:t>
            </w: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auto"/>
              <w:bottom w:val="single" w:sz="4" w:space="0" w:color="000000" w:themeColor="text1"/>
            </w:tcBorders>
            <w:tcMar>
              <w:left w:w="0" w:type="nil"/>
              <w:right w:w="0" w:type="nil"/>
            </w:tcMar>
            <w:hideMark/>
          </w:tcPr>
          <w:p w14:paraId="489E4CB0" w14:textId="77777777" w:rsidR="006E51BF" w:rsidRPr="00687DF1" w:rsidRDefault="006E51BF" w:rsidP="002D1097">
            <w:pPr>
              <w:pStyle w:val="ARfintabletextright8pt"/>
              <w:spacing w:before="40" w:after="40"/>
            </w:pPr>
            <w:r w:rsidRPr="00687DF1">
              <w:t>1,715,364</w:t>
            </w:r>
          </w:p>
        </w:tc>
      </w:tr>
    </w:tbl>
    <w:p w14:paraId="614BC4B4" w14:textId="77777777" w:rsidR="006E51BF" w:rsidRDefault="006E51BF">
      <w:pPr>
        <w:pStyle w:val="ARfinbody"/>
      </w:pPr>
    </w:p>
    <w:tbl>
      <w:tblPr>
        <w:tblStyle w:val="ARtable2"/>
        <w:tblW w:w="5000" w:type="pct"/>
        <w:tblLayout w:type="fixed"/>
        <w:tblLook w:val="00A0" w:firstRow="1" w:lastRow="0" w:firstColumn="1" w:lastColumn="0" w:noHBand="0" w:noVBand="0"/>
      </w:tblPr>
      <w:tblGrid>
        <w:gridCol w:w="3333"/>
        <w:gridCol w:w="778"/>
        <w:gridCol w:w="1494"/>
        <w:gridCol w:w="1494"/>
        <w:gridCol w:w="1494"/>
        <w:gridCol w:w="1494"/>
        <w:gridCol w:w="1494"/>
        <w:gridCol w:w="1494"/>
        <w:gridCol w:w="1485"/>
      </w:tblGrid>
      <w:tr w:rsidR="00A135D5" w:rsidRPr="00687DF1" w14:paraId="5EF8F0E6" w14:textId="77777777" w:rsidTr="00A135D5">
        <w:trPr>
          <w:cnfStyle w:val="100000000000" w:firstRow="1" w:lastRow="0" w:firstColumn="0" w:lastColumn="0" w:oddVBand="0" w:evenVBand="0" w:oddHBand="0" w:evenHBand="0" w:firstRowFirstColumn="0" w:firstRowLastColumn="0" w:lastRowFirstColumn="0" w:lastRowLastColumn="0"/>
          <w:trHeight w:val="994"/>
        </w:trPr>
        <w:tc>
          <w:tcPr>
            <w:cnfStyle w:val="000010000000" w:firstRow="0" w:lastRow="0" w:firstColumn="0" w:lastColumn="0" w:oddVBand="1" w:evenVBand="0" w:oddHBand="0" w:evenHBand="0" w:firstRowFirstColumn="0" w:firstRowLastColumn="0" w:lastRowFirstColumn="0" w:lastRowLastColumn="0"/>
            <w:tcW w:w="1145" w:type="pct"/>
            <w:shd w:val="clear" w:color="auto" w:fill="auto"/>
            <w:noWrap/>
            <w:hideMark/>
          </w:tcPr>
          <w:p w14:paraId="32C624E7" w14:textId="77777777" w:rsidR="00A135D5" w:rsidRPr="00687DF1" w:rsidRDefault="00A135D5" w:rsidP="002D1097">
            <w:pPr>
              <w:spacing w:before="40" w:after="40" w:line="240" w:lineRule="auto"/>
              <w:rPr>
                <w:rFonts w:ascii="Calibri" w:hAnsi="Calibri" w:cs="Calibri"/>
                <w:color w:val="000000"/>
                <w:sz w:val="19"/>
                <w:szCs w:val="19"/>
                <w:lang w:eastAsia="en-AU"/>
              </w:rPr>
            </w:pPr>
          </w:p>
        </w:tc>
        <w:tc>
          <w:tcPr>
            <w:tcW w:w="267" w:type="pct"/>
            <w:tcMar>
              <w:left w:w="0" w:type="nil"/>
              <w:right w:w="0" w:type="nil"/>
            </w:tcMar>
            <w:hideMark/>
          </w:tcPr>
          <w:p w14:paraId="768280E4" w14:textId="77777777" w:rsidR="00A135D5" w:rsidRPr="00FA6385" w:rsidRDefault="00A135D5" w:rsidP="002D1097">
            <w:pPr>
              <w:pStyle w:val="ARfintablecolheadright8pt"/>
              <w:spacing w:before="40" w:after="40"/>
              <w:cnfStyle w:val="100000000000" w:firstRow="1" w:lastRow="0" w:firstColumn="0" w:lastColumn="0" w:oddVBand="0" w:evenVBand="0" w:oddHBand="0" w:evenHBand="0" w:firstRowFirstColumn="0" w:firstRowLastColumn="0" w:lastRowFirstColumn="0" w:lastRowLastColumn="0"/>
            </w:pPr>
            <w:r w:rsidRPr="00FA6385">
              <w:t>Notes</w:t>
            </w:r>
          </w:p>
        </w:tc>
        <w:tc>
          <w:tcPr>
            <w:cnfStyle w:val="000010000000" w:firstRow="0" w:lastRow="0" w:firstColumn="0" w:lastColumn="0" w:oddVBand="1" w:evenVBand="0" w:oddHBand="0" w:evenHBand="0" w:firstRowFirstColumn="0" w:firstRowLastColumn="0" w:lastRowFirstColumn="0" w:lastRowLastColumn="0"/>
            <w:tcW w:w="513" w:type="pct"/>
            <w:tcMar>
              <w:left w:w="0" w:type="nil"/>
              <w:right w:w="0" w:type="nil"/>
            </w:tcMar>
            <w:hideMark/>
          </w:tcPr>
          <w:p w14:paraId="079795E8" w14:textId="77777777" w:rsidR="00A135D5" w:rsidRPr="00FA6385" w:rsidRDefault="00A135D5" w:rsidP="002D1097">
            <w:pPr>
              <w:pStyle w:val="ARfintablecolheadright8pt"/>
              <w:spacing w:before="40" w:after="40"/>
            </w:pPr>
            <w:r w:rsidRPr="00FA6385">
              <w:t>Classification of Arrangement</w:t>
            </w:r>
          </w:p>
        </w:tc>
        <w:tc>
          <w:tcPr>
            <w:tcW w:w="513" w:type="pct"/>
            <w:tcMar>
              <w:left w:w="0" w:type="nil"/>
              <w:right w:w="0" w:type="nil"/>
            </w:tcMar>
            <w:hideMark/>
          </w:tcPr>
          <w:p w14:paraId="170E348F" w14:textId="77777777" w:rsidR="00A135D5" w:rsidRPr="00FA6385" w:rsidRDefault="00A135D5" w:rsidP="002D1097">
            <w:pPr>
              <w:pStyle w:val="ARfintablecolheadright8pt"/>
              <w:spacing w:before="40" w:after="40"/>
              <w:cnfStyle w:val="100000000000" w:firstRow="1" w:lastRow="0" w:firstColumn="0" w:lastColumn="0" w:oddVBand="0" w:evenVBand="0" w:oddHBand="0" w:evenHBand="0" w:firstRowFirstColumn="0" w:firstRowLastColumn="0" w:lastRowFirstColumn="0" w:lastRowLastColumn="0"/>
            </w:pPr>
            <w:r w:rsidRPr="00FA6385">
              <w:t xml:space="preserve">Carrying amount of asset as </w:t>
            </w:r>
            <w:proofErr w:type="gramStart"/>
            <w:r w:rsidRPr="00FA6385">
              <w:t>at</w:t>
            </w:r>
            <w:proofErr w:type="gramEnd"/>
            <w:r w:rsidRPr="00FA6385">
              <w:t xml:space="preserve"> 30 June </w:t>
            </w:r>
            <w:r w:rsidRPr="008E3A04">
              <w:rPr>
                <w:vertAlign w:val="superscript"/>
              </w:rPr>
              <w:t>(</w:t>
            </w:r>
            <w:proofErr w:type="spellStart"/>
            <w:r w:rsidRPr="008E3A04">
              <w:rPr>
                <w:vertAlign w:val="superscript"/>
              </w:rPr>
              <w:t>i</w:t>
            </w:r>
            <w:proofErr w:type="spellEnd"/>
            <w:r w:rsidRPr="008E3A04">
              <w:rPr>
                <w:vertAlign w:val="superscript"/>
              </w:rPr>
              <w:t>)</w:t>
            </w:r>
          </w:p>
          <w:p w14:paraId="5D5E881F" w14:textId="1702FDB6" w:rsidR="00A135D5" w:rsidRPr="00FA6385" w:rsidRDefault="00A135D5" w:rsidP="002D1097">
            <w:pPr>
              <w:pStyle w:val="ARfintablecolheadright8pt"/>
              <w:spacing w:before="40" w:after="40"/>
              <w:cnfStyle w:val="100000000000" w:firstRow="1" w:lastRow="0" w:firstColumn="0" w:lastColumn="0" w:oddVBand="0" w:evenVBand="0" w:oddHBand="0" w:evenHBand="0" w:firstRowFirstColumn="0" w:firstRowLastColumn="0" w:lastRowFirstColumn="0" w:lastRowLastColumn="0"/>
            </w:pPr>
            <w:r w:rsidRPr="00FA6385">
              <w:t>$000</w:t>
            </w:r>
          </w:p>
        </w:tc>
        <w:tc>
          <w:tcPr>
            <w:cnfStyle w:val="000010000000" w:firstRow="0" w:lastRow="0" w:firstColumn="0" w:lastColumn="0" w:oddVBand="1" w:evenVBand="0" w:oddHBand="0" w:evenHBand="0" w:firstRowFirstColumn="0" w:firstRowLastColumn="0" w:lastRowFirstColumn="0" w:lastRowLastColumn="0"/>
            <w:tcW w:w="513" w:type="pct"/>
            <w:tcMar>
              <w:left w:w="0" w:type="nil"/>
              <w:right w:w="0" w:type="nil"/>
            </w:tcMar>
            <w:hideMark/>
          </w:tcPr>
          <w:p w14:paraId="55A53E3D" w14:textId="77777777" w:rsidR="00A135D5" w:rsidRPr="00FA6385" w:rsidRDefault="00A135D5" w:rsidP="002D1097">
            <w:pPr>
              <w:pStyle w:val="ARfintablecolheadright8pt"/>
              <w:spacing w:before="40" w:after="40"/>
            </w:pPr>
            <w:r w:rsidRPr="00FA6385">
              <w:t xml:space="preserve">Carrying amount of liability as </w:t>
            </w:r>
            <w:proofErr w:type="gramStart"/>
            <w:r w:rsidRPr="00FA6385">
              <w:t>at</w:t>
            </w:r>
            <w:proofErr w:type="gramEnd"/>
            <w:r w:rsidRPr="00FA6385">
              <w:t xml:space="preserve"> 30 June </w:t>
            </w:r>
            <w:r w:rsidRPr="008E3A04">
              <w:rPr>
                <w:vertAlign w:val="superscript"/>
              </w:rPr>
              <w:t>(</w:t>
            </w:r>
            <w:proofErr w:type="spellStart"/>
            <w:r w:rsidRPr="008E3A04">
              <w:rPr>
                <w:vertAlign w:val="superscript"/>
              </w:rPr>
              <w:t>i</w:t>
            </w:r>
            <w:proofErr w:type="spellEnd"/>
            <w:r w:rsidRPr="008E3A04">
              <w:rPr>
                <w:vertAlign w:val="superscript"/>
              </w:rPr>
              <w:t>)</w:t>
            </w:r>
          </w:p>
          <w:p w14:paraId="0E98F8DD" w14:textId="3F5184E6" w:rsidR="00A135D5" w:rsidRPr="00FA6385" w:rsidRDefault="00A135D5" w:rsidP="002D1097">
            <w:pPr>
              <w:pStyle w:val="ARfintablecolheadright8pt"/>
              <w:spacing w:before="40" w:after="40"/>
            </w:pPr>
            <w:r w:rsidRPr="00FA6385">
              <w:t>$000</w:t>
            </w:r>
          </w:p>
        </w:tc>
        <w:tc>
          <w:tcPr>
            <w:tcW w:w="513" w:type="pct"/>
            <w:tcMar>
              <w:left w:w="0" w:type="nil"/>
              <w:right w:w="0" w:type="nil"/>
            </w:tcMar>
            <w:hideMark/>
          </w:tcPr>
          <w:p w14:paraId="55AF9C41" w14:textId="77777777" w:rsidR="00A135D5" w:rsidRPr="00FA6385" w:rsidRDefault="00A135D5" w:rsidP="002D1097">
            <w:pPr>
              <w:pStyle w:val="ARfintablecolheadright8pt"/>
              <w:spacing w:before="40" w:after="40"/>
              <w:cnfStyle w:val="100000000000" w:firstRow="1" w:lastRow="0" w:firstColumn="0" w:lastColumn="0" w:oddVBand="0" w:evenVBand="0" w:oddHBand="0" w:evenHBand="0" w:firstRowFirstColumn="0" w:firstRowLastColumn="0" w:lastRowFirstColumn="0" w:lastRowLastColumn="0"/>
            </w:pPr>
            <w:r w:rsidRPr="00FA6385">
              <w:t xml:space="preserve">Liability as </w:t>
            </w:r>
            <w:proofErr w:type="gramStart"/>
            <w:r w:rsidRPr="00FA6385">
              <w:t>at</w:t>
            </w:r>
            <w:proofErr w:type="gramEnd"/>
            <w:r w:rsidRPr="00FA6385">
              <w:t xml:space="preserve"> 30 June</w:t>
            </w:r>
            <w:r>
              <w:t xml:space="preserve"> </w:t>
            </w:r>
            <w:r w:rsidRPr="00B75203">
              <w:rPr>
                <w:vertAlign w:val="superscript"/>
              </w:rPr>
              <w:t>(v)</w:t>
            </w:r>
            <w:r w:rsidRPr="00FA6385">
              <w:t xml:space="preserve"> </w:t>
            </w:r>
          </w:p>
          <w:p w14:paraId="1D8FE378" w14:textId="4D0A43D4" w:rsidR="00A135D5" w:rsidRPr="00FA6385" w:rsidRDefault="00A135D5" w:rsidP="002D1097">
            <w:pPr>
              <w:pStyle w:val="ARfintablecolheadright8pt"/>
              <w:spacing w:before="40" w:after="40"/>
              <w:cnfStyle w:val="100000000000" w:firstRow="1" w:lastRow="0" w:firstColumn="0" w:lastColumn="0" w:oddVBand="0" w:evenVBand="0" w:oddHBand="0" w:evenHBand="0" w:firstRowFirstColumn="0" w:firstRowLastColumn="0" w:lastRowFirstColumn="0" w:lastRowLastColumn="0"/>
            </w:pPr>
            <w:r w:rsidRPr="00FA6385">
              <w:t>Discounted Value</w:t>
            </w:r>
            <w:r w:rsidRPr="00FA6385">
              <w:br/>
              <w:t>$000</w:t>
            </w:r>
          </w:p>
        </w:tc>
        <w:tc>
          <w:tcPr>
            <w:cnfStyle w:val="000010000000" w:firstRow="0" w:lastRow="0" w:firstColumn="0" w:lastColumn="0" w:oddVBand="1" w:evenVBand="0" w:oddHBand="0" w:evenHBand="0" w:firstRowFirstColumn="0" w:firstRowLastColumn="0" w:lastRowFirstColumn="0" w:lastRowLastColumn="0"/>
            <w:tcW w:w="513" w:type="pct"/>
            <w:tcMar>
              <w:left w:w="0" w:type="nil"/>
              <w:right w:w="0" w:type="nil"/>
            </w:tcMar>
            <w:hideMark/>
          </w:tcPr>
          <w:p w14:paraId="77094EB1" w14:textId="77777777" w:rsidR="00A135D5" w:rsidRPr="00FA6385" w:rsidRDefault="00A135D5" w:rsidP="002D1097">
            <w:pPr>
              <w:pStyle w:val="ARfintablecolheadright8pt"/>
              <w:spacing w:before="40" w:after="40"/>
            </w:pPr>
            <w:r w:rsidRPr="00FA6385">
              <w:t>Capital Contribution</w:t>
            </w:r>
          </w:p>
          <w:p w14:paraId="34163A60" w14:textId="3B1CCECB" w:rsidR="00A135D5" w:rsidRPr="00FA6385" w:rsidRDefault="00A135D5" w:rsidP="002D1097">
            <w:pPr>
              <w:pStyle w:val="ARfintablecolheadright8pt"/>
              <w:spacing w:before="40" w:after="40"/>
            </w:pPr>
            <w:r w:rsidRPr="00FA6385">
              <w:t>Nominal Value</w:t>
            </w:r>
            <w:r w:rsidRPr="00FA6385">
              <w:br/>
              <w:t>$000</w:t>
            </w:r>
          </w:p>
        </w:tc>
        <w:tc>
          <w:tcPr>
            <w:tcW w:w="513" w:type="pct"/>
            <w:tcMar>
              <w:left w:w="0" w:type="nil"/>
              <w:right w:w="0" w:type="nil"/>
            </w:tcMar>
            <w:hideMark/>
          </w:tcPr>
          <w:p w14:paraId="42F9F9A1" w14:textId="77777777" w:rsidR="00A135D5" w:rsidRPr="00FA6385" w:rsidRDefault="00A135D5" w:rsidP="002D1097">
            <w:pPr>
              <w:pStyle w:val="ARfintablecolheadright8pt"/>
              <w:spacing w:before="40" w:after="40"/>
              <w:cnfStyle w:val="100000000000" w:firstRow="1" w:lastRow="0" w:firstColumn="0" w:lastColumn="0" w:oddVBand="0" w:evenVBand="0" w:oddHBand="0" w:evenHBand="0" w:firstRowFirstColumn="0" w:firstRowLastColumn="0" w:lastRowFirstColumn="0" w:lastRowLastColumn="0"/>
            </w:pPr>
            <w:r w:rsidRPr="00FA6385">
              <w:t>Other Commitments</w:t>
            </w:r>
          </w:p>
          <w:p w14:paraId="53CA4F2A" w14:textId="0AEA61D8" w:rsidR="00A135D5" w:rsidRPr="00FA6385" w:rsidRDefault="00A135D5" w:rsidP="002D1097">
            <w:pPr>
              <w:pStyle w:val="ARfintablecolheadright8pt"/>
              <w:spacing w:before="40" w:after="40"/>
              <w:cnfStyle w:val="100000000000" w:firstRow="1" w:lastRow="0" w:firstColumn="0" w:lastColumn="0" w:oddVBand="0" w:evenVBand="0" w:oddHBand="0" w:evenHBand="0" w:firstRowFirstColumn="0" w:firstRowLastColumn="0" w:lastRowFirstColumn="0" w:lastRowLastColumn="0"/>
            </w:pPr>
            <w:r w:rsidRPr="00FA6385">
              <w:t>Present Value</w:t>
            </w:r>
            <w:r w:rsidRPr="00FA6385">
              <w:br/>
              <w:t>$000</w:t>
            </w:r>
          </w:p>
        </w:tc>
        <w:tc>
          <w:tcPr>
            <w:cnfStyle w:val="000010000000" w:firstRow="0" w:lastRow="0" w:firstColumn="0" w:lastColumn="0" w:oddVBand="1" w:evenVBand="0" w:oddHBand="0" w:evenHBand="0" w:firstRowFirstColumn="0" w:firstRowLastColumn="0" w:lastRowFirstColumn="0" w:lastRowLastColumn="0"/>
            <w:tcW w:w="510" w:type="pct"/>
            <w:tcMar>
              <w:left w:w="0" w:type="nil"/>
              <w:right w:w="0" w:type="nil"/>
            </w:tcMar>
            <w:hideMark/>
          </w:tcPr>
          <w:p w14:paraId="632110DB" w14:textId="77777777" w:rsidR="00A135D5" w:rsidRPr="00FA6385" w:rsidRDefault="00A135D5" w:rsidP="002D1097">
            <w:pPr>
              <w:pStyle w:val="ARfintablecolheadright8pt"/>
              <w:spacing w:before="40" w:after="40"/>
            </w:pPr>
            <w:r w:rsidRPr="00FA6385">
              <w:t xml:space="preserve">Commitments </w:t>
            </w:r>
            <w:r w:rsidRPr="008E3A04">
              <w:rPr>
                <w:vertAlign w:val="superscript"/>
              </w:rPr>
              <w:t>(ii) (iii)</w:t>
            </w:r>
          </w:p>
          <w:p w14:paraId="134BD361" w14:textId="069096FA" w:rsidR="00A135D5" w:rsidRPr="00FA6385" w:rsidRDefault="00A135D5" w:rsidP="002D1097">
            <w:pPr>
              <w:pStyle w:val="ARfintablecolheadright8pt"/>
              <w:spacing w:before="40" w:after="40"/>
            </w:pPr>
            <w:r w:rsidRPr="00FA6385">
              <w:t>Nominal Value</w:t>
            </w:r>
            <w:r w:rsidRPr="00FA6385">
              <w:br/>
              <w:t>$000</w:t>
            </w:r>
          </w:p>
        </w:tc>
      </w:tr>
      <w:tr w:rsidR="006E51BF" w:rsidRPr="00687DF1" w14:paraId="6CA6F136" w14:textId="77777777" w:rsidTr="00A135D5">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1145" w:type="pct"/>
            <w:shd w:val="clear" w:color="auto" w:fill="auto"/>
          </w:tcPr>
          <w:p w14:paraId="3BB0C9A4" w14:textId="77777777" w:rsidR="006E51BF" w:rsidRPr="00687DF1" w:rsidRDefault="006E51BF" w:rsidP="002D1097">
            <w:pPr>
              <w:pStyle w:val="Arfintabletextboldcoloured8pt"/>
              <w:spacing w:before="40" w:after="40"/>
            </w:pPr>
            <w:r w:rsidRPr="00687DF1">
              <w:t>Commissioned 2025</w:t>
            </w:r>
          </w:p>
        </w:tc>
        <w:tc>
          <w:tcPr>
            <w:tcW w:w="267" w:type="pct"/>
            <w:tcMar>
              <w:left w:w="0" w:type="nil"/>
              <w:right w:w="0" w:type="nil"/>
            </w:tcMar>
          </w:tcPr>
          <w:p w14:paraId="083463BC" w14:textId="77777777" w:rsidR="006E51BF" w:rsidRPr="00687DF1" w:rsidRDefault="006E51BF" w:rsidP="002D1097">
            <w:pPr>
              <w:pStyle w:val="ARfintabletext8pt"/>
              <w:spacing w:before="40" w:after="40"/>
              <w:cnfStyle w:val="000000000000" w:firstRow="0" w:lastRow="0" w:firstColumn="0" w:lastColumn="0" w:oddVBand="0" w:evenVBand="0" w:oddHBand="0" w:evenHBand="0" w:firstRowFirstColumn="0" w:firstRowLastColumn="0" w:lastRowFirstColumn="0" w:lastRowLastColumn="0"/>
              <w:rPr>
                <w:lang w:eastAsia="en-AU"/>
              </w:rPr>
            </w:pPr>
          </w:p>
        </w:tc>
        <w:tc>
          <w:tcPr>
            <w:cnfStyle w:val="000010000000" w:firstRow="0" w:lastRow="0" w:firstColumn="0" w:lastColumn="0" w:oddVBand="1" w:evenVBand="0" w:oddHBand="0" w:evenHBand="0" w:firstRowFirstColumn="0" w:firstRowLastColumn="0" w:lastRowFirstColumn="0" w:lastRowLastColumn="0"/>
            <w:tcW w:w="513" w:type="pct"/>
            <w:shd w:val="clear" w:color="auto" w:fill="auto"/>
            <w:tcMar>
              <w:left w:w="0" w:type="nil"/>
              <w:right w:w="0" w:type="nil"/>
            </w:tcMar>
          </w:tcPr>
          <w:p w14:paraId="5CE2DDE4" w14:textId="77777777" w:rsidR="006E51BF" w:rsidRPr="00687DF1" w:rsidRDefault="006E51BF" w:rsidP="002D1097">
            <w:pPr>
              <w:pStyle w:val="ARfintabletextright8pt"/>
              <w:spacing w:before="40" w:after="40"/>
            </w:pPr>
          </w:p>
        </w:tc>
        <w:tc>
          <w:tcPr>
            <w:tcW w:w="513" w:type="pct"/>
            <w:tcMar>
              <w:left w:w="0" w:type="nil"/>
              <w:right w:w="0" w:type="nil"/>
            </w:tcMar>
          </w:tcPr>
          <w:p w14:paraId="06674F52"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13" w:type="pct"/>
            <w:shd w:val="clear" w:color="auto" w:fill="auto"/>
            <w:tcMar>
              <w:left w:w="0" w:type="nil"/>
              <w:right w:w="0" w:type="nil"/>
            </w:tcMar>
          </w:tcPr>
          <w:p w14:paraId="445AA7F3" w14:textId="77777777" w:rsidR="006E51BF" w:rsidRPr="00687DF1" w:rsidRDefault="006E51BF" w:rsidP="002D1097">
            <w:pPr>
              <w:pStyle w:val="ARfintabletextright8pt"/>
              <w:spacing w:before="40" w:after="40"/>
            </w:pPr>
          </w:p>
        </w:tc>
        <w:tc>
          <w:tcPr>
            <w:tcW w:w="513" w:type="pct"/>
            <w:tcMar>
              <w:left w:w="0" w:type="nil"/>
              <w:right w:w="0" w:type="nil"/>
            </w:tcMar>
          </w:tcPr>
          <w:p w14:paraId="64E9E0BA" w14:textId="77777777" w:rsidR="006E51BF"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13" w:type="pct"/>
            <w:shd w:val="clear" w:color="auto" w:fill="auto"/>
            <w:tcMar>
              <w:left w:w="0" w:type="nil"/>
              <w:right w:w="0" w:type="nil"/>
            </w:tcMar>
          </w:tcPr>
          <w:p w14:paraId="7B5F3C66" w14:textId="77777777" w:rsidR="006E51BF" w:rsidRDefault="006E51BF" w:rsidP="002D1097">
            <w:pPr>
              <w:pStyle w:val="ARfintabletextright8pt"/>
              <w:spacing w:before="40" w:after="40"/>
            </w:pPr>
          </w:p>
        </w:tc>
        <w:tc>
          <w:tcPr>
            <w:tcW w:w="513" w:type="pct"/>
            <w:tcMar>
              <w:left w:w="0" w:type="nil"/>
              <w:right w:w="0" w:type="nil"/>
            </w:tcMar>
          </w:tcPr>
          <w:p w14:paraId="0F9D066D"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10" w:type="pct"/>
            <w:shd w:val="clear" w:color="auto" w:fill="auto"/>
            <w:tcMar>
              <w:left w:w="0" w:type="nil"/>
              <w:right w:w="0" w:type="nil"/>
            </w:tcMar>
          </w:tcPr>
          <w:p w14:paraId="160C3055" w14:textId="77777777" w:rsidR="006E51BF" w:rsidRPr="00687DF1" w:rsidRDefault="006E51BF" w:rsidP="002D1097">
            <w:pPr>
              <w:pStyle w:val="ARfintabletextright8pt"/>
              <w:spacing w:before="40" w:after="40"/>
            </w:pPr>
          </w:p>
        </w:tc>
      </w:tr>
      <w:tr w:rsidR="006E51BF" w:rsidRPr="00687DF1" w14:paraId="2A6F78B0" w14:textId="77777777" w:rsidTr="00A135D5">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1145" w:type="pct"/>
            <w:shd w:val="clear" w:color="auto" w:fill="auto"/>
            <w:hideMark/>
          </w:tcPr>
          <w:p w14:paraId="5B8097A1" w14:textId="77777777" w:rsidR="006E51BF" w:rsidRPr="00687DF1" w:rsidRDefault="006E51BF" w:rsidP="002D1097">
            <w:pPr>
              <w:pStyle w:val="ARfintabletext8pt"/>
              <w:spacing w:before="40" w:after="40"/>
              <w:rPr>
                <w:lang w:eastAsia="en-AU"/>
              </w:rPr>
            </w:pPr>
            <w:r w:rsidRPr="00687DF1">
              <w:rPr>
                <w:lang w:eastAsia="en-AU"/>
              </w:rPr>
              <w:t xml:space="preserve">Ground Lease Model 1 </w:t>
            </w:r>
            <w:r>
              <w:rPr>
                <w:lang w:eastAsia="en-AU"/>
              </w:rPr>
              <w:t>–</w:t>
            </w:r>
            <w:r w:rsidRPr="00687DF1">
              <w:rPr>
                <w:lang w:eastAsia="en-AU"/>
              </w:rPr>
              <w:t xml:space="preserve"> PHRP phase 1 </w:t>
            </w:r>
            <w:r w:rsidRPr="00687DF1">
              <w:rPr>
                <w:vertAlign w:val="superscript"/>
                <w:lang w:eastAsia="en-AU"/>
              </w:rPr>
              <w:t>(iv)</w:t>
            </w:r>
          </w:p>
        </w:tc>
        <w:tc>
          <w:tcPr>
            <w:tcW w:w="267" w:type="pct"/>
            <w:tcMar>
              <w:left w:w="0" w:type="nil"/>
              <w:right w:w="0" w:type="nil"/>
            </w:tcMar>
            <w:hideMark/>
          </w:tcPr>
          <w:p w14:paraId="6F45F4CB"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rsidRPr="00687DF1">
              <w:t>7.5.3.1</w:t>
            </w:r>
          </w:p>
        </w:tc>
        <w:tc>
          <w:tcPr>
            <w:cnfStyle w:val="000010000000" w:firstRow="0" w:lastRow="0" w:firstColumn="0" w:lastColumn="0" w:oddVBand="1" w:evenVBand="0" w:oddHBand="0" w:evenHBand="0" w:firstRowFirstColumn="0" w:firstRowLastColumn="0" w:lastRowFirstColumn="0" w:lastRowLastColumn="0"/>
            <w:tcW w:w="513" w:type="pct"/>
            <w:tcMar>
              <w:left w:w="0" w:type="nil"/>
              <w:right w:w="0" w:type="nil"/>
            </w:tcMar>
            <w:hideMark/>
          </w:tcPr>
          <w:p w14:paraId="69CD12DE" w14:textId="77777777" w:rsidR="006E51BF" w:rsidRPr="00687DF1" w:rsidRDefault="006E51BF" w:rsidP="002D1097">
            <w:pPr>
              <w:pStyle w:val="ARfintabletextright8pt"/>
              <w:spacing w:before="40" w:after="40"/>
            </w:pPr>
            <w:r w:rsidRPr="00687DF1">
              <w:t>Hybrid (GORTO &amp; Financial Liability)</w:t>
            </w:r>
          </w:p>
        </w:tc>
        <w:tc>
          <w:tcPr>
            <w:tcW w:w="513" w:type="pct"/>
            <w:tcMar>
              <w:left w:w="0" w:type="nil"/>
              <w:right w:w="0" w:type="nil"/>
            </w:tcMar>
            <w:hideMark/>
          </w:tcPr>
          <w:p w14:paraId="7B59CA0D"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rsidRPr="00687DF1">
              <w:t>341,966</w:t>
            </w:r>
          </w:p>
        </w:tc>
        <w:tc>
          <w:tcPr>
            <w:cnfStyle w:val="000010000000" w:firstRow="0" w:lastRow="0" w:firstColumn="0" w:lastColumn="0" w:oddVBand="1" w:evenVBand="0" w:oddHBand="0" w:evenHBand="0" w:firstRowFirstColumn="0" w:firstRowLastColumn="0" w:lastRowFirstColumn="0" w:lastRowLastColumn="0"/>
            <w:tcW w:w="513" w:type="pct"/>
            <w:tcMar>
              <w:left w:w="0" w:type="nil"/>
              <w:right w:w="0" w:type="nil"/>
            </w:tcMar>
            <w:hideMark/>
          </w:tcPr>
          <w:p w14:paraId="3EA95B25" w14:textId="77777777" w:rsidR="006E51BF" w:rsidRPr="00687DF1" w:rsidRDefault="006E51BF" w:rsidP="002D1097">
            <w:pPr>
              <w:pStyle w:val="ARfintabletextright8pt"/>
              <w:spacing w:before="40" w:after="40"/>
            </w:pPr>
            <w:r w:rsidRPr="00687DF1">
              <w:t>297,621</w:t>
            </w:r>
          </w:p>
        </w:tc>
        <w:tc>
          <w:tcPr>
            <w:tcW w:w="513" w:type="pct"/>
            <w:tcMar>
              <w:left w:w="0" w:type="nil"/>
              <w:right w:w="0" w:type="nil"/>
            </w:tcMar>
            <w:hideMark/>
          </w:tcPr>
          <w:p w14:paraId="021A6F30"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513" w:type="pct"/>
            <w:tcMar>
              <w:left w:w="0" w:type="nil"/>
              <w:right w:w="0" w:type="nil"/>
            </w:tcMar>
            <w:hideMark/>
          </w:tcPr>
          <w:p w14:paraId="4B28489F" w14:textId="77777777" w:rsidR="006E51BF" w:rsidRPr="00687DF1" w:rsidRDefault="006E51BF" w:rsidP="002D1097">
            <w:pPr>
              <w:pStyle w:val="ARfintabletextright8pt"/>
              <w:spacing w:before="40" w:after="40"/>
            </w:pPr>
            <w:r>
              <w:t>–</w:t>
            </w:r>
          </w:p>
        </w:tc>
        <w:tc>
          <w:tcPr>
            <w:tcW w:w="513" w:type="pct"/>
            <w:tcMar>
              <w:left w:w="0" w:type="nil"/>
              <w:right w:w="0" w:type="nil"/>
            </w:tcMar>
            <w:hideMark/>
          </w:tcPr>
          <w:p w14:paraId="6376E0D7"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rsidRPr="00687DF1">
              <w:t>45,840</w:t>
            </w:r>
          </w:p>
        </w:tc>
        <w:tc>
          <w:tcPr>
            <w:cnfStyle w:val="000010000000" w:firstRow="0" w:lastRow="0" w:firstColumn="0" w:lastColumn="0" w:oddVBand="1" w:evenVBand="0" w:oddHBand="0" w:evenHBand="0" w:firstRowFirstColumn="0" w:firstRowLastColumn="0" w:lastRowFirstColumn="0" w:lastRowLastColumn="0"/>
            <w:tcW w:w="510" w:type="pct"/>
            <w:tcMar>
              <w:left w:w="0" w:type="nil"/>
              <w:right w:w="0" w:type="nil"/>
            </w:tcMar>
            <w:hideMark/>
          </w:tcPr>
          <w:p w14:paraId="629C8A38" w14:textId="77777777" w:rsidR="006E51BF" w:rsidRPr="00687DF1" w:rsidRDefault="006E51BF" w:rsidP="002D1097">
            <w:pPr>
              <w:pStyle w:val="ARfintabletextright8pt"/>
              <w:spacing w:before="40" w:after="40"/>
            </w:pPr>
            <w:r w:rsidRPr="00687DF1">
              <w:t>141,566</w:t>
            </w:r>
          </w:p>
        </w:tc>
      </w:tr>
      <w:tr w:rsidR="006E51BF" w:rsidRPr="00687DF1" w14:paraId="3F31CC47" w14:textId="77777777" w:rsidTr="00A135D5">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1145" w:type="pct"/>
            <w:shd w:val="clear" w:color="auto" w:fill="auto"/>
            <w:hideMark/>
          </w:tcPr>
          <w:p w14:paraId="1175B276" w14:textId="77777777" w:rsidR="006E51BF" w:rsidRPr="00687DF1" w:rsidRDefault="006E51BF" w:rsidP="002D1097">
            <w:pPr>
              <w:pStyle w:val="ARfintabletextbold8pt"/>
              <w:spacing w:before="40" w:after="40"/>
            </w:pPr>
            <w:r w:rsidRPr="00687DF1">
              <w:t>Uncommissioned 2025</w:t>
            </w:r>
          </w:p>
        </w:tc>
        <w:tc>
          <w:tcPr>
            <w:tcW w:w="267" w:type="pct"/>
            <w:tcMar>
              <w:left w:w="0" w:type="nil"/>
              <w:right w:w="0" w:type="nil"/>
            </w:tcMar>
          </w:tcPr>
          <w:p w14:paraId="6B4C0705"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13" w:type="pct"/>
            <w:tcMar>
              <w:left w:w="0" w:type="nil"/>
              <w:right w:w="0" w:type="nil"/>
            </w:tcMar>
          </w:tcPr>
          <w:p w14:paraId="5EB646D2" w14:textId="77777777" w:rsidR="006E51BF" w:rsidRPr="00687DF1" w:rsidRDefault="006E51BF" w:rsidP="002D1097">
            <w:pPr>
              <w:pStyle w:val="ARfintabletextright8pt"/>
              <w:spacing w:before="40" w:after="40"/>
            </w:pPr>
          </w:p>
        </w:tc>
        <w:tc>
          <w:tcPr>
            <w:tcW w:w="513" w:type="pct"/>
            <w:tcMar>
              <w:left w:w="0" w:type="nil"/>
              <w:right w:w="0" w:type="nil"/>
            </w:tcMar>
            <w:hideMark/>
          </w:tcPr>
          <w:p w14:paraId="11C7D7CF"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13" w:type="pct"/>
            <w:tcMar>
              <w:left w:w="0" w:type="nil"/>
              <w:right w:w="0" w:type="nil"/>
            </w:tcMar>
            <w:hideMark/>
          </w:tcPr>
          <w:p w14:paraId="3AAEDACB" w14:textId="77777777" w:rsidR="006E51BF" w:rsidRPr="00687DF1" w:rsidRDefault="006E51BF" w:rsidP="002D1097">
            <w:pPr>
              <w:pStyle w:val="ARfintabletextright8pt"/>
              <w:spacing w:before="40" w:after="40"/>
            </w:pPr>
          </w:p>
        </w:tc>
        <w:tc>
          <w:tcPr>
            <w:tcW w:w="513" w:type="pct"/>
            <w:tcMar>
              <w:left w:w="0" w:type="nil"/>
              <w:right w:w="0" w:type="nil"/>
            </w:tcMar>
            <w:hideMark/>
          </w:tcPr>
          <w:p w14:paraId="610C793B"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13" w:type="pct"/>
            <w:tcMar>
              <w:left w:w="0" w:type="nil"/>
              <w:right w:w="0" w:type="nil"/>
            </w:tcMar>
            <w:hideMark/>
          </w:tcPr>
          <w:p w14:paraId="3693C452" w14:textId="77777777" w:rsidR="006E51BF" w:rsidRPr="00687DF1" w:rsidRDefault="006E51BF" w:rsidP="002D1097">
            <w:pPr>
              <w:pStyle w:val="ARfintabletextright8pt"/>
              <w:spacing w:before="40" w:after="40"/>
              <w:rPr>
                <w:rFonts w:ascii="Times New Roman" w:hAnsi="Times New Roman"/>
                <w:sz w:val="20"/>
              </w:rPr>
            </w:pPr>
          </w:p>
        </w:tc>
        <w:tc>
          <w:tcPr>
            <w:tcW w:w="513" w:type="pct"/>
            <w:tcMar>
              <w:left w:w="0" w:type="nil"/>
              <w:right w:w="0" w:type="nil"/>
            </w:tcMar>
            <w:hideMark/>
          </w:tcPr>
          <w:p w14:paraId="5DDF493E"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p>
        </w:tc>
        <w:tc>
          <w:tcPr>
            <w:cnfStyle w:val="000010000000" w:firstRow="0" w:lastRow="0" w:firstColumn="0" w:lastColumn="0" w:oddVBand="1" w:evenVBand="0" w:oddHBand="0" w:evenHBand="0" w:firstRowFirstColumn="0" w:firstRowLastColumn="0" w:lastRowFirstColumn="0" w:lastRowLastColumn="0"/>
            <w:tcW w:w="510" w:type="pct"/>
            <w:tcMar>
              <w:left w:w="0" w:type="nil"/>
              <w:right w:w="0" w:type="nil"/>
            </w:tcMar>
            <w:hideMark/>
          </w:tcPr>
          <w:p w14:paraId="5A09A5FD" w14:textId="77777777" w:rsidR="006E51BF" w:rsidRPr="00687DF1" w:rsidRDefault="006E51BF" w:rsidP="002D1097">
            <w:pPr>
              <w:pStyle w:val="ARfintabletextright8pt"/>
              <w:spacing w:before="40" w:after="40"/>
              <w:rPr>
                <w:rFonts w:ascii="Times New Roman" w:hAnsi="Times New Roman"/>
                <w:sz w:val="20"/>
              </w:rPr>
            </w:pPr>
          </w:p>
        </w:tc>
      </w:tr>
      <w:tr w:rsidR="006E51BF" w:rsidRPr="00687DF1" w14:paraId="79700C3F" w14:textId="77777777" w:rsidTr="00A135D5">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1145" w:type="pct"/>
            <w:tcBorders>
              <w:bottom w:val="single" w:sz="4" w:space="0" w:color="BFBFBF" w:themeColor="accent2"/>
            </w:tcBorders>
            <w:shd w:val="clear" w:color="auto" w:fill="auto"/>
            <w:hideMark/>
          </w:tcPr>
          <w:p w14:paraId="747692D0" w14:textId="77777777" w:rsidR="006E51BF" w:rsidRPr="00687DF1" w:rsidRDefault="006E51BF" w:rsidP="002D1097">
            <w:pPr>
              <w:pStyle w:val="ARfintabletext8pt"/>
              <w:spacing w:before="40" w:after="40"/>
              <w:rPr>
                <w:lang w:eastAsia="en-AU"/>
              </w:rPr>
            </w:pPr>
            <w:r w:rsidRPr="00687DF1">
              <w:rPr>
                <w:lang w:eastAsia="en-AU"/>
              </w:rPr>
              <w:t xml:space="preserve">Ground Lease Model 1 </w:t>
            </w:r>
            <w:r>
              <w:rPr>
                <w:lang w:eastAsia="en-AU"/>
              </w:rPr>
              <w:t>–</w:t>
            </w:r>
            <w:r w:rsidRPr="00687DF1">
              <w:rPr>
                <w:lang w:eastAsia="en-AU"/>
              </w:rPr>
              <w:t xml:space="preserve"> Flemington phase 2</w:t>
            </w:r>
          </w:p>
        </w:tc>
        <w:tc>
          <w:tcPr>
            <w:tcW w:w="267" w:type="pct"/>
            <w:tcBorders>
              <w:bottom w:val="single" w:sz="4" w:space="0" w:color="BFBFBF" w:themeColor="accent2"/>
            </w:tcBorders>
            <w:tcMar>
              <w:left w:w="0" w:type="nil"/>
              <w:right w:w="0" w:type="nil"/>
            </w:tcMar>
            <w:hideMark/>
          </w:tcPr>
          <w:p w14:paraId="03EB194C"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rsidRPr="00687DF1">
              <w:t>7.5.3.2</w:t>
            </w:r>
          </w:p>
        </w:tc>
        <w:tc>
          <w:tcPr>
            <w:cnfStyle w:val="000010000000" w:firstRow="0" w:lastRow="0" w:firstColumn="0" w:lastColumn="0" w:oddVBand="1" w:evenVBand="0" w:oddHBand="0" w:evenHBand="0" w:firstRowFirstColumn="0" w:firstRowLastColumn="0" w:lastRowFirstColumn="0" w:lastRowLastColumn="0"/>
            <w:tcW w:w="513" w:type="pct"/>
            <w:tcBorders>
              <w:bottom w:val="single" w:sz="4" w:space="0" w:color="BFBFBF" w:themeColor="accent2"/>
            </w:tcBorders>
            <w:tcMar>
              <w:left w:w="0" w:type="nil"/>
              <w:right w:w="0" w:type="nil"/>
            </w:tcMar>
            <w:hideMark/>
          </w:tcPr>
          <w:p w14:paraId="6D362317" w14:textId="77777777" w:rsidR="006E51BF" w:rsidRPr="00687DF1" w:rsidRDefault="006E51BF" w:rsidP="002D1097">
            <w:pPr>
              <w:pStyle w:val="ARfintabletextright8pt"/>
              <w:spacing w:before="40" w:after="40"/>
            </w:pPr>
            <w:r w:rsidRPr="00687DF1">
              <w:t>GORTO Liability</w:t>
            </w:r>
          </w:p>
        </w:tc>
        <w:tc>
          <w:tcPr>
            <w:tcW w:w="513" w:type="pct"/>
            <w:tcBorders>
              <w:bottom w:val="single" w:sz="4" w:space="0" w:color="BFBFBF" w:themeColor="accent2"/>
            </w:tcBorders>
            <w:tcMar>
              <w:left w:w="0" w:type="nil"/>
              <w:right w:w="0" w:type="nil"/>
            </w:tcMar>
            <w:hideMark/>
          </w:tcPr>
          <w:p w14:paraId="50ED292F"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rsidRPr="00687DF1">
              <w:t>84,731</w:t>
            </w:r>
          </w:p>
        </w:tc>
        <w:tc>
          <w:tcPr>
            <w:cnfStyle w:val="000010000000" w:firstRow="0" w:lastRow="0" w:firstColumn="0" w:lastColumn="0" w:oddVBand="1" w:evenVBand="0" w:oddHBand="0" w:evenHBand="0" w:firstRowFirstColumn="0" w:firstRowLastColumn="0" w:lastRowFirstColumn="0" w:lastRowLastColumn="0"/>
            <w:tcW w:w="513" w:type="pct"/>
            <w:tcBorders>
              <w:bottom w:val="single" w:sz="4" w:space="0" w:color="BFBFBF" w:themeColor="accent2"/>
            </w:tcBorders>
            <w:tcMar>
              <w:left w:w="0" w:type="nil"/>
              <w:right w:w="0" w:type="nil"/>
            </w:tcMar>
            <w:hideMark/>
          </w:tcPr>
          <w:p w14:paraId="3551C56B" w14:textId="77777777" w:rsidR="006E51BF" w:rsidRPr="00687DF1" w:rsidRDefault="006E51BF" w:rsidP="002D1097">
            <w:pPr>
              <w:pStyle w:val="ARfintabletextright8pt"/>
              <w:spacing w:before="40" w:after="40"/>
            </w:pPr>
            <w:r w:rsidRPr="00687DF1">
              <w:t>34,563</w:t>
            </w:r>
          </w:p>
        </w:tc>
        <w:tc>
          <w:tcPr>
            <w:tcW w:w="513" w:type="pct"/>
            <w:tcBorders>
              <w:bottom w:val="single" w:sz="4" w:space="0" w:color="BFBFBF" w:themeColor="accent2"/>
            </w:tcBorders>
            <w:tcMar>
              <w:left w:w="0" w:type="nil"/>
              <w:right w:w="0" w:type="nil"/>
            </w:tcMar>
            <w:hideMark/>
          </w:tcPr>
          <w:p w14:paraId="1D0F6F71"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513" w:type="pct"/>
            <w:tcBorders>
              <w:bottom w:val="single" w:sz="4" w:space="0" w:color="BFBFBF" w:themeColor="accent2"/>
            </w:tcBorders>
            <w:tcMar>
              <w:left w:w="0" w:type="nil"/>
              <w:right w:w="0" w:type="nil"/>
            </w:tcMar>
            <w:hideMark/>
          </w:tcPr>
          <w:p w14:paraId="74330628" w14:textId="77777777" w:rsidR="006E51BF" w:rsidRPr="00687DF1" w:rsidRDefault="006E51BF" w:rsidP="002D1097">
            <w:pPr>
              <w:pStyle w:val="ARfintabletextright8pt"/>
              <w:spacing w:before="40" w:after="40"/>
            </w:pPr>
            <w:r w:rsidRPr="00687DF1">
              <w:t>87,130</w:t>
            </w:r>
          </w:p>
        </w:tc>
        <w:tc>
          <w:tcPr>
            <w:tcW w:w="513" w:type="pct"/>
            <w:tcBorders>
              <w:bottom w:val="single" w:sz="4" w:space="0" w:color="BFBFBF" w:themeColor="accent2"/>
            </w:tcBorders>
            <w:tcMar>
              <w:left w:w="0" w:type="nil"/>
              <w:right w:w="0" w:type="nil"/>
            </w:tcMar>
            <w:hideMark/>
          </w:tcPr>
          <w:p w14:paraId="64803101"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510" w:type="pct"/>
            <w:tcBorders>
              <w:bottom w:val="single" w:sz="4" w:space="0" w:color="BFBFBF" w:themeColor="accent2"/>
            </w:tcBorders>
            <w:tcMar>
              <w:left w:w="0" w:type="nil"/>
              <w:right w:w="0" w:type="nil"/>
            </w:tcMar>
            <w:hideMark/>
          </w:tcPr>
          <w:p w14:paraId="24E4D299" w14:textId="77777777" w:rsidR="006E51BF" w:rsidRPr="00687DF1" w:rsidRDefault="006E51BF" w:rsidP="002D1097">
            <w:pPr>
              <w:pStyle w:val="ARfintabletextright8pt"/>
              <w:spacing w:before="40" w:after="40"/>
            </w:pPr>
            <w:r>
              <w:t>–</w:t>
            </w:r>
          </w:p>
        </w:tc>
      </w:tr>
      <w:tr w:rsidR="006E51BF" w:rsidRPr="00687DF1" w14:paraId="1FCCBC61" w14:textId="77777777" w:rsidTr="00A135D5">
        <w:tblPrEx>
          <w:tblCellMar>
            <w:left w:w="0" w:type="dxa"/>
          </w:tblCellMar>
        </w:tblPrEx>
        <w:trPr>
          <w:trHeight w:val="20"/>
        </w:trPr>
        <w:tc>
          <w:tcPr>
            <w:cnfStyle w:val="000010000000" w:firstRow="0" w:lastRow="0" w:firstColumn="0" w:lastColumn="0" w:oddVBand="1" w:evenVBand="0" w:oddHBand="0" w:evenHBand="0" w:firstRowFirstColumn="0" w:firstRowLastColumn="0" w:lastRowFirstColumn="0" w:lastRowLastColumn="0"/>
            <w:tcW w:w="1145" w:type="pct"/>
            <w:tcBorders>
              <w:top w:val="single" w:sz="4" w:space="0" w:color="BFBFBF" w:themeColor="accent2"/>
              <w:bottom w:val="single" w:sz="4" w:space="0" w:color="000000" w:themeColor="text1"/>
            </w:tcBorders>
            <w:shd w:val="clear" w:color="auto" w:fill="auto"/>
            <w:hideMark/>
          </w:tcPr>
          <w:p w14:paraId="5A92D6D4" w14:textId="77777777" w:rsidR="006E51BF" w:rsidRPr="00687DF1" w:rsidRDefault="006E51BF" w:rsidP="002D1097">
            <w:pPr>
              <w:pStyle w:val="ARfintabletext8pt"/>
              <w:spacing w:before="40" w:after="40"/>
              <w:rPr>
                <w:lang w:eastAsia="en-AU"/>
              </w:rPr>
            </w:pPr>
            <w:r w:rsidRPr="00687DF1">
              <w:rPr>
                <w:lang w:eastAsia="en-AU"/>
              </w:rPr>
              <w:t xml:space="preserve">Ground Lease Model 2 </w:t>
            </w:r>
          </w:p>
        </w:tc>
        <w:tc>
          <w:tcPr>
            <w:tcW w:w="267" w:type="pct"/>
            <w:tcBorders>
              <w:top w:val="single" w:sz="4" w:space="0" w:color="BFBFBF" w:themeColor="accent2"/>
              <w:bottom w:val="single" w:sz="4" w:space="0" w:color="000000" w:themeColor="text1"/>
            </w:tcBorders>
            <w:tcMar>
              <w:left w:w="0" w:type="nil"/>
              <w:right w:w="0" w:type="nil"/>
            </w:tcMar>
            <w:hideMark/>
          </w:tcPr>
          <w:p w14:paraId="4E486C4A"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rsidRPr="00687DF1">
              <w:t>7.5.3.3</w:t>
            </w:r>
          </w:p>
        </w:tc>
        <w:tc>
          <w:tcPr>
            <w:cnfStyle w:val="000010000000" w:firstRow="0" w:lastRow="0" w:firstColumn="0" w:lastColumn="0" w:oddVBand="1" w:evenVBand="0" w:oddHBand="0" w:evenHBand="0" w:firstRowFirstColumn="0" w:firstRowLastColumn="0" w:lastRowFirstColumn="0" w:lastRowLastColumn="0"/>
            <w:tcW w:w="513" w:type="pct"/>
            <w:tcBorders>
              <w:top w:val="single" w:sz="4" w:space="0" w:color="BFBFBF" w:themeColor="accent2"/>
              <w:bottom w:val="single" w:sz="4" w:space="0" w:color="000000" w:themeColor="text1"/>
            </w:tcBorders>
            <w:tcMar>
              <w:left w:w="0" w:type="nil"/>
              <w:right w:w="0" w:type="nil"/>
            </w:tcMar>
            <w:hideMark/>
          </w:tcPr>
          <w:p w14:paraId="4B6F3497" w14:textId="77777777" w:rsidR="006E51BF" w:rsidRPr="00687DF1" w:rsidRDefault="006E51BF" w:rsidP="002D1097">
            <w:pPr>
              <w:pStyle w:val="ARfintabletextright8pt"/>
              <w:spacing w:before="40" w:after="40"/>
            </w:pPr>
            <w:r w:rsidRPr="00687DF1">
              <w:t>Hybrid (GORTO &amp; Financial Liability)</w:t>
            </w:r>
          </w:p>
        </w:tc>
        <w:tc>
          <w:tcPr>
            <w:tcW w:w="513" w:type="pct"/>
            <w:tcBorders>
              <w:top w:val="single" w:sz="4" w:space="0" w:color="BFBFBF" w:themeColor="accent2"/>
              <w:bottom w:val="single" w:sz="4" w:space="0" w:color="000000" w:themeColor="text1"/>
            </w:tcBorders>
            <w:tcMar>
              <w:left w:w="0" w:type="nil"/>
              <w:right w:w="0" w:type="nil"/>
            </w:tcMar>
            <w:hideMark/>
          </w:tcPr>
          <w:p w14:paraId="0441594E"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rsidRPr="00687DF1">
              <w:t>314,699</w:t>
            </w:r>
          </w:p>
        </w:tc>
        <w:tc>
          <w:tcPr>
            <w:cnfStyle w:val="000010000000" w:firstRow="0" w:lastRow="0" w:firstColumn="0" w:lastColumn="0" w:oddVBand="1" w:evenVBand="0" w:oddHBand="0" w:evenHBand="0" w:firstRowFirstColumn="0" w:firstRowLastColumn="0" w:lastRowFirstColumn="0" w:lastRowLastColumn="0"/>
            <w:tcW w:w="513" w:type="pct"/>
            <w:tcBorders>
              <w:top w:val="single" w:sz="4" w:space="0" w:color="BFBFBF" w:themeColor="accent2"/>
              <w:bottom w:val="single" w:sz="4" w:space="0" w:color="000000" w:themeColor="text1"/>
            </w:tcBorders>
            <w:tcMar>
              <w:left w:w="0" w:type="nil"/>
              <w:right w:w="0" w:type="nil"/>
            </w:tcMar>
            <w:hideMark/>
          </w:tcPr>
          <w:p w14:paraId="5A0BADA5" w14:textId="77777777" w:rsidR="006E51BF" w:rsidRPr="00687DF1" w:rsidRDefault="006E51BF" w:rsidP="002D1097">
            <w:pPr>
              <w:pStyle w:val="ARfintabletextright8pt"/>
              <w:spacing w:before="40" w:after="40"/>
            </w:pPr>
            <w:r w:rsidRPr="00687DF1">
              <w:t>314,699</w:t>
            </w:r>
          </w:p>
        </w:tc>
        <w:tc>
          <w:tcPr>
            <w:tcW w:w="513" w:type="pct"/>
            <w:tcBorders>
              <w:top w:val="single" w:sz="4" w:space="0" w:color="BFBFBF" w:themeColor="accent2"/>
              <w:bottom w:val="single" w:sz="4" w:space="0" w:color="000000" w:themeColor="text1"/>
            </w:tcBorders>
            <w:tcMar>
              <w:left w:w="0" w:type="nil"/>
              <w:right w:w="0" w:type="nil"/>
            </w:tcMar>
            <w:hideMark/>
          </w:tcPr>
          <w:p w14:paraId="0D118882"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rsidRPr="00687DF1">
              <w:t>489,200</w:t>
            </w:r>
          </w:p>
        </w:tc>
        <w:tc>
          <w:tcPr>
            <w:cnfStyle w:val="000010000000" w:firstRow="0" w:lastRow="0" w:firstColumn="0" w:lastColumn="0" w:oddVBand="1" w:evenVBand="0" w:oddHBand="0" w:evenHBand="0" w:firstRowFirstColumn="0" w:firstRowLastColumn="0" w:lastRowFirstColumn="0" w:lastRowLastColumn="0"/>
            <w:tcW w:w="513" w:type="pct"/>
            <w:tcBorders>
              <w:top w:val="single" w:sz="4" w:space="0" w:color="BFBFBF" w:themeColor="accent2"/>
              <w:bottom w:val="single" w:sz="4" w:space="0" w:color="000000" w:themeColor="text1"/>
            </w:tcBorders>
            <w:tcMar>
              <w:left w:w="0" w:type="nil"/>
              <w:right w:w="0" w:type="nil"/>
            </w:tcMar>
            <w:hideMark/>
          </w:tcPr>
          <w:p w14:paraId="74AE967A" w14:textId="77777777" w:rsidR="006E51BF" w:rsidRPr="00687DF1" w:rsidRDefault="006E51BF" w:rsidP="002D1097">
            <w:pPr>
              <w:pStyle w:val="ARfintabletextright8pt"/>
              <w:spacing w:before="40" w:after="40"/>
            </w:pPr>
            <w:r w:rsidRPr="00687DF1">
              <w:t>180,000</w:t>
            </w:r>
          </w:p>
        </w:tc>
        <w:tc>
          <w:tcPr>
            <w:tcW w:w="513" w:type="pct"/>
            <w:tcBorders>
              <w:top w:val="single" w:sz="4" w:space="0" w:color="BFBFBF" w:themeColor="accent2"/>
              <w:bottom w:val="single" w:sz="4" w:space="0" w:color="000000" w:themeColor="text1"/>
            </w:tcBorders>
            <w:tcMar>
              <w:left w:w="0" w:type="nil"/>
              <w:right w:w="0" w:type="nil"/>
            </w:tcMar>
            <w:hideMark/>
          </w:tcPr>
          <w:p w14:paraId="68CFA973" w14:textId="77777777" w:rsidR="006E51BF" w:rsidRPr="00687DF1" w:rsidRDefault="006E51BF" w:rsidP="002D1097">
            <w:pPr>
              <w:pStyle w:val="ARfintabletextright8pt"/>
              <w:spacing w:before="40" w:after="40"/>
              <w:cnfStyle w:val="000000000000" w:firstRow="0" w:lastRow="0" w:firstColumn="0" w:lastColumn="0" w:oddVBand="0" w:evenVBand="0" w:oddHBand="0" w:evenHBand="0" w:firstRowFirstColumn="0" w:firstRowLastColumn="0" w:lastRowFirstColumn="0" w:lastRowLastColumn="0"/>
            </w:pPr>
            <w:r w:rsidRPr="00687DF1">
              <w:t>49,817</w:t>
            </w:r>
          </w:p>
        </w:tc>
        <w:tc>
          <w:tcPr>
            <w:cnfStyle w:val="000010000000" w:firstRow="0" w:lastRow="0" w:firstColumn="0" w:lastColumn="0" w:oddVBand="1" w:evenVBand="0" w:oddHBand="0" w:evenHBand="0" w:firstRowFirstColumn="0" w:firstRowLastColumn="0" w:lastRowFirstColumn="0" w:lastRowLastColumn="0"/>
            <w:tcW w:w="510" w:type="pct"/>
            <w:tcBorders>
              <w:top w:val="single" w:sz="4" w:space="0" w:color="BFBFBF" w:themeColor="accent2"/>
              <w:bottom w:val="single" w:sz="4" w:space="0" w:color="000000" w:themeColor="text1"/>
            </w:tcBorders>
            <w:tcMar>
              <w:left w:w="0" w:type="nil"/>
              <w:right w:w="0" w:type="nil"/>
            </w:tcMar>
            <w:hideMark/>
          </w:tcPr>
          <w:p w14:paraId="01A4869C" w14:textId="77777777" w:rsidR="006E51BF" w:rsidRPr="00687DF1" w:rsidRDefault="006E51BF" w:rsidP="002D1097">
            <w:pPr>
              <w:pStyle w:val="ARfintabletextright8pt"/>
              <w:spacing w:before="40" w:after="40"/>
            </w:pPr>
            <w:r w:rsidRPr="00687DF1">
              <w:t>1,715,364</w:t>
            </w:r>
          </w:p>
        </w:tc>
      </w:tr>
    </w:tbl>
    <w:p w14:paraId="0C63A770" w14:textId="77777777" w:rsidR="006E51BF" w:rsidRPr="00687DF1" w:rsidRDefault="006E51BF">
      <w:pPr>
        <w:pStyle w:val="ARfintablenote"/>
        <w:rPr>
          <w:lang w:eastAsia="en-AU"/>
        </w:rPr>
      </w:pPr>
      <w:r w:rsidRPr="00687DF1">
        <w:rPr>
          <w:lang w:eastAsia="en-AU"/>
        </w:rPr>
        <w:t>Notes:</w:t>
      </w:r>
    </w:p>
    <w:p w14:paraId="661B3CA1" w14:textId="77777777" w:rsidR="006E51BF" w:rsidRPr="00687DF1" w:rsidRDefault="006E51BF" w:rsidP="00E1009E">
      <w:pPr>
        <w:pStyle w:val="ARfintablenoteroman"/>
        <w:numPr>
          <w:ilvl w:val="0"/>
          <w:numId w:val="72"/>
        </w:numPr>
        <w:spacing w:before="20" w:after="20"/>
      </w:pPr>
      <w:r w:rsidRPr="00687DF1">
        <w:t xml:space="preserve">For arrangements within the scope of AASB 1059, on transition and at initial recognition a public sector grantor is required to record the asset(s) used in the service concession arrangement at current replacement cost in accordance with the cost approach to fair value under </w:t>
      </w:r>
      <w:r w:rsidRPr="00105DB4">
        <w:rPr>
          <w:rStyle w:val="Emphasis"/>
        </w:rPr>
        <w:t>AASB 13 Fair Value Measurement</w:t>
      </w:r>
      <w:r w:rsidRPr="00687DF1">
        <w:t>, with a related liability, which in the case of the Project results in the combination of a financial liability and a ‘Grant Of A Right To The Operator’ or GORTO liability.</w:t>
      </w:r>
    </w:p>
    <w:p w14:paraId="3DF1D2E1" w14:textId="77777777" w:rsidR="006E51BF" w:rsidRPr="00687DF1" w:rsidRDefault="006E51BF" w:rsidP="00E1009E">
      <w:pPr>
        <w:pStyle w:val="ARfintablenoteroman"/>
        <w:numPr>
          <w:ilvl w:val="0"/>
          <w:numId w:val="15"/>
        </w:numPr>
        <w:spacing w:before="20" w:after="20"/>
      </w:pPr>
      <w:r w:rsidRPr="00687DF1">
        <w:t>Total commitments represent the nominal value of the total service payments to be incurred during the Project’s 40-year operations phase and includes the capital contribution component.</w:t>
      </w:r>
    </w:p>
    <w:p w14:paraId="0133D091" w14:textId="77777777" w:rsidR="006E51BF" w:rsidRPr="00687DF1" w:rsidRDefault="006E51BF" w:rsidP="00E1009E">
      <w:pPr>
        <w:pStyle w:val="ARfintablenoteroman"/>
        <w:numPr>
          <w:ilvl w:val="0"/>
          <w:numId w:val="15"/>
        </w:numPr>
        <w:spacing w:before="20" w:after="20"/>
      </w:pPr>
      <w:r w:rsidRPr="00B059B7">
        <w:t>Commissioned SCA</w:t>
      </w:r>
      <w:r>
        <w:t>s</w:t>
      </w:r>
      <w:r w:rsidRPr="00B059B7">
        <w:t xml:space="preserve">: Only operating, maintenance and lifecycle costs commitments of the SCA for the remaining term of the SCA contract are included in the commitment’s amounts, as the capital component (i.e. the construction of the underlying asset) is recorded as a liability on the </w:t>
      </w:r>
      <w:r>
        <w:t>d</w:t>
      </w:r>
      <w:r w:rsidRPr="00B059B7">
        <w:t xml:space="preserve">epartment’s balance sheet (Refer to </w:t>
      </w:r>
      <w:r>
        <w:t>N</w:t>
      </w:r>
      <w:r w:rsidRPr="00B059B7">
        <w:t>ote 7.1); Uncommissioned SCAs: The commitments include the capital component not yet recognised on</w:t>
      </w:r>
      <w:r>
        <w:t xml:space="preserve"> </w:t>
      </w:r>
      <w:r w:rsidRPr="00800BD6">
        <w:t xml:space="preserve">the balance sheet (i.e. the amount relating to the asset which hasn’t been constructed as yet), the </w:t>
      </w:r>
      <w:r>
        <w:t>d</w:t>
      </w:r>
      <w:r w:rsidRPr="00800BD6">
        <w:t>epartment’s future capital contributions as well as the operating, maintenance and lifecycle costs commitments for the SCA contract.</w:t>
      </w:r>
    </w:p>
    <w:p w14:paraId="3BD50173" w14:textId="77777777" w:rsidR="006E51BF" w:rsidRPr="00687DF1" w:rsidRDefault="006E51BF" w:rsidP="00E1009E">
      <w:pPr>
        <w:pStyle w:val="ARfintablenoteroman"/>
        <w:numPr>
          <w:ilvl w:val="0"/>
          <w:numId w:val="15"/>
        </w:numPr>
        <w:spacing w:before="20" w:after="20"/>
      </w:pPr>
      <w:r w:rsidRPr="00687DF1">
        <w:t xml:space="preserve">Capital contribution for Ground Lease Model 1 </w:t>
      </w:r>
      <w:r>
        <w:t>–</w:t>
      </w:r>
      <w:r w:rsidRPr="00687DF1">
        <w:t xml:space="preserve"> PHRP phase 1 has been fully drawn down over the construction term.</w:t>
      </w:r>
    </w:p>
    <w:p w14:paraId="75A56A26" w14:textId="77777777" w:rsidR="006E51BF" w:rsidRDefault="006E51BF" w:rsidP="00E1009E">
      <w:pPr>
        <w:pStyle w:val="ARfintablenoteroman"/>
        <w:numPr>
          <w:ilvl w:val="0"/>
          <w:numId w:val="15"/>
        </w:numPr>
        <w:spacing w:before="20" w:after="20"/>
        <w:sectPr w:rsidR="006E51BF" w:rsidSect="00E7077C">
          <w:pgSz w:w="16838" w:h="11906" w:orient="landscape" w:code="9"/>
          <w:pgMar w:top="1588" w:right="1134" w:bottom="851" w:left="1134" w:header="680" w:footer="567" w:gutter="0"/>
          <w:cols w:space="340"/>
          <w:docGrid w:linePitch="360"/>
        </w:sectPr>
      </w:pPr>
      <w:r w:rsidRPr="00687DF1">
        <w:t xml:space="preserve">The discounted value of the liability represents the capital component of the future Quarterly Service Payment cash flows to be paid as at the expected date of commissioning </w:t>
      </w:r>
      <w:r>
        <w:br/>
      </w:r>
      <w:r w:rsidRPr="00687DF1">
        <w:t xml:space="preserve">(Commercial acceptance date). </w:t>
      </w:r>
    </w:p>
    <w:p w14:paraId="65E62325" w14:textId="77777777" w:rsidR="006E51BF" w:rsidRPr="00687DF1" w:rsidRDefault="006E51BF">
      <w:pPr>
        <w:pStyle w:val="Heading6"/>
        <w:spacing w:before="0"/>
      </w:pPr>
      <w:r w:rsidRPr="00687DF1">
        <w:t>Arrangement specific details</w:t>
      </w:r>
    </w:p>
    <w:p w14:paraId="48DF3FA5" w14:textId="77777777" w:rsidR="006E51BF" w:rsidRPr="00687DF1" w:rsidRDefault="006E51BF">
      <w:pPr>
        <w:pStyle w:val="Heading7"/>
      </w:pPr>
      <w:r w:rsidRPr="00687DF1">
        <w:t>7.5.3.1 Ground Lease Model project – Public Housing Renewal Program 1</w:t>
      </w:r>
    </w:p>
    <w:p w14:paraId="37998ACA" w14:textId="77777777" w:rsidR="006E51BF" w:rsidRPr="006D4A87" w:rsidRDefault="006E51BF">
      <w:pPr>
        <w:pStyle w:val="Heading8"/>
      </w:pPr>
      <w:r w:rsidRPr="00687DF1">
        <w:t>Operator: Building Communities (Vic) Ltd</w:t>
      </w:r>
    </w:p>
    <w:p w14:paraId="186E25CD" w14:textId="77777777" w:rsidR="006E51BF" w:rsidRPr="006D4A87" w:rsidRDefault="006E51BF">
      <w:pPr>
        <w:pStyle w:val="Heading9"/>
      </w:pPr>
      <w:r w:rsidRPr="00687DF1">
        <w:t>Concession period: 40 years</w:t>
      </w:r>
    </w:p>
    <w:p w14:paraId="54ACE8B6" w14:textId="77777777" w:rsidR="006E51BF" w:rsidRPr="00687DF1" w:rsidRDefault="006E51BF">
      <w:pPr>
        <w:pStyle w:val="ARfinbody"/>
        <w:rPr>
          <w:lang w:eastAsia="en-AU"/>
        </w:rPr>
      </w:pPr>
      <w:r w:rsidRPr="00687DF1">
        <w:rPr>
          <w:lang w:eastAsia="en-AU"/>
        </w:rPr>
        <w:t>In June 2021, Homes Victoria achieved financial close on a housing arrangement whereby it has appointed the Building Communities consortium to finance, design, construct, maintain and operate construct and operate 619 brand-new social housing dwellings, 112 affordable homes, 327 private rental dwellings and 26 Specialist Disability Accommodation dwellings, at existing housing sites at Brighton, Flemington and Prahran.</w:t>
      </w:r>
    </w:p>
    <w:p w14:paraId="086873A6" w14:textId="77777777" w:rsidR="006E51BF" w:rsidRDefault="006E51BF">
      <w:pPr>
        <w:pStyle w:val="ARfinbody"/>
        <w:rPr>
          <w:lang w:eastAsia="en-AU"/>
        </w:rPr>
      </w:pPr>
      <w:r w:rsidRPr="00687DF1">
        <w:rPr>
          <w:lang w:eastAsia="en-AU"/>
        </w:rPr>
        <w:t xml:space="preserve">The 3 redeveloped sites have been delivered under a Ground Lease Model on a fully financed, build-to-rent basis. The ground lease will be delivered as a Public Private Partnership arrangement under the Partnerships Victoria framework. Construction of the assets commenced in </w:t>
      </w:r>
      <w:proofErr w:type="gramStart"/>
      <w:r w:rsidRPr="00687DF1">
        <w:rPr>
          <w:lang w:eastAsia="en-AU"/>
        </w:rPr>
        <w:t>2021</w:t>
      </w:r>
      <w:proofErr w:type="gramEnd"/>
      <w:r w:rsidRPr="00687DF1">
        <w:rPr>
          <w:lang w:eastAsia="en-AU"/>
        </w:rPr>
        <w:t xml:space="preserve"> and Commercial Acceptance was achieved in early 2024. The service concession arrangement is now in the Operational Phase.</w:t>
      </w:r>
    </w:p>
    <w:p w14:paraId="2A295F81" w14:textId="77777777" w:rsidR="006E51BF" w:rsidRDefault="006E51BF">
      <w:pPr>
        <w:pStyle w:val="ARfinbody"/>
        <w:rPr>
          <w:lang w:eastAsia="en-AU"/>
        </w:rPr>
      </w:pPr>
      <w:r w:rsidRPr="00687DF1">
        <w:rPr>
          <w:lang w:eastAsia="en-AU"/>
        </w:rPr>
        <w:t xml:space="preserve">A ground lease model is being used for this package whereby title to public land and dwellings (which will have a residual design life) will revert to </w:t>
      </w:r>
      <w:r w:rsidRPr="009E5A0D">
        <w:t>Homes</w:t>
      </w:r>
      <w:r w:rsidRPr="00687DF1">
        <w:rPr>
          <w:lang w:eastAsia="en-AU"/>
        </w:rPr>
        <w:t xml:space="preserve"> Victoria at the end of the 40-year concession period. </w:t>
      </w:r>
    </w:p>
    <w:p w14:paraId="1041942F" w14:textId="77777777" w:rsidR="006E51BF" w:rsidRPr="00687DF1" w:rsidRDefault="006E51BF">
      <w:pPr>
        <w:pStyle w:val="ARfinbody"/>
        <w:rPr>
          <w:lang w:eastAsia="en-AU"/>
        </w:rPr>
      </w:pPr>
      <w:r w:rsidRPr="00687DF1">
        <w:rPr>
          <w:lang w:eastAsia="en-AU"/>
        </w:rPr>
        <w:t xml:space="preserve">Homes Victoria is contracted to make quarterly service payments for the 40-year operating term, which will include both a capital and a life cycle component. While operating the dwellings, Building Communities will perform the following functions: asset management, community engagement, maintenance and lifecycle </w:t>
      </w:r>
      <w:r w:rsidRPr="009E5A0D">
        <w:t>replacement</w:t>
      </w:r>
      <w:r w:rsidRPr="00687DF1">
        <w:rPr>
          <w:lang w:eastAsia="en-AU"/>
        </w:rPr>
        <w:t>, tenancy management and residential lease management.</w:t>
      </w:r>
    </w:p>
    <w:p w14:paraId="3EDE8B04" w14:textId="77777777" w:rsidR="006E51BF" w:rsidRDefault="006E51BF">
      <w:pPr>
        <w:pStyle w:val="Heading7"/>
        <w:rPr>
          <w:lang w:eastAsia="en-AU"/>
        </w:rPr>
      </w:pPr>
      <w:r w:rsidRPr="00687DF1">
        <w:rPr>
          <w:lang w:eastAsia="en-AU"/>
        </w:rPr>
        <w:t xml:space="preserve">7.5.3.2 Ground Lease Model 1 Flemington Phase 2 project </w:t>
      </w:r>
    </w:p>
    <w:p w14:paraId="7A87FE47" w14:textId="77777777" w:rsidR="006E51BF" w:rsidRDefault="006E51BF">
      <w:pPr>
        <w:pStyle w:val="Heading8"/>
      </w:pPr>
      <w:r w:rsidRPr="00687DF1">
        <w:t>Operator: Building Communities (Vic) Ltd</w:t>
      </w:r>
    </w:p>
    <w:p w14:paraId="4E32E43A" w14:textId="77777777" w:rsidR="006E51BF" w:rsidRPr="0005654A" w:rsidRDefault="006E51BF">
      <w:pPr>
        <w:pStyle w:val="Heading9"/>
      </w:pPr>
      <w:r w:rsidRPr="00687DF1">
        <w:t>Concession period: 40 years</w:t>
      </w:r>
    </w:p>
    <w:p w14:paraId="116A576B" w14:textId="77777777" w:rsidR="006E51BF" w:rsidRDefault="006E51BF">
      <w:pPr>
        <w:pStyle w:val="ARfinbody"/>
        <w:rPr>
          <w:lang w:eastAsia="en-AU"/>
        </w:rPr>
      </w:pPr>
      <w:r w:rsidRPr="00687DF1">
        <w:rPr>
          <w:lang w:eastAsia="en-AU"/>
        </w:rPr>
        <w:t>In August 2023, Homes Victoria achieved financial close on a housing arrangement Modification to the Ground Lease Model 1 (GLM1) Project Deed whereby it appointed the Building Communities consortium to finance, design, construct, maintain and operate an additional 50 new social housing dwellings, 221 affordable rental homes and 15 Specialist Disability Accommodation dwellings, at the Holland Court Flemington housing site (Flemington Phase 2).</w:t>
      </w:r>
    </w:p>
    <w:p w14:paraId="37A86F40" w14:textId="77777777" w:rsidR="006E51BF" w:rsidRDefault="006E51BF">
      <w:pPr>
        <w:pStyle w:val="ARfinbody"/>
        <w:rPr>
          <w:lang w:eastAsia="en-AU"/>
        </w:rPr>
      </w:pPr>
      <w:r w:rsidRPr="00687DF1">
        <w:rPr>
          <w:lang w:eastAsia="en-AU"/>
        </w:rPr>
        <w:t xml:space="preserve">The scope is being delivered as a Modification to the base GLM1 project on a fully financed, build-to-rent basis. GLM1, including Flemington Phase 2 is being delivered as a Public Private Partnership arrangement under the Partnerships Victoria framework. </w:t>
      </w:r>
    </w:p>
    <w:p w14:paraId="53C0B9BF" w14:textId="77777777" w:rsidR="006E51BF" w:rsidRDefault="006E51BF">
      <w:pPr>
        <w:pStyle w:val="ARfinbody"/>
        <w:rPr>
          <w:lang w:eastAsia="en-AU"/>
        </w:rPr>
      </w:pPr>
      <w:r w:rsidRPr="00687DF1">
        <w:rPr>
          <w:lang w:eastAsia="en-AU"/>
        </w:rPr>
        <w:t>Enabling works and remediation works for Flemington Phase 2 commenced in mid-2024. Main works construction of the assets is well underway with renters expected to move into the new homes from late 2026.</w:t>
      </w:r>
    </w:p>
    <w:p w14:paraId="23A2C9E0" w14:textId="77777777" w:rsidR="006E51BF" w:rsidRDefault="006E51BF">
      <w:pPr>
        <w:pStyle w:val="ARfinbody"/>
        <w:rPr>
          <w:lang w:eastAsia="en-AU"/>
        </w:rPr>
      </w:pPr>
      <w:r w:rsidRPr="00687DF1">
        <w:rPr>
          <w:lang w:eastAsia="en-AU"/>
        </w:rPr>
        <w:t>A ground-lease model is being used for this project whereby title to public land and dwellings (which will have a residual design life) remains with Homes Victoria and control of the assets will revert to Homes Victoria at the end of the 40-year concession period.</w:t>
      </w:r>
    </w:p>
    <w:p w14:paraId="56127FC1" w14:textId="77777777" w:rsidR="00F0501A" w:rsidRDefault="006E51BF">
      <w:pPr>
        <w:pStyle w:val="ARfinbody"/>
        <w:rPr>
          <w:lang w:eastAsia="en-AU"/>
        </w:rPr>
      </w:pPr>
      <w:r w:rsidRPr="00687DF1">
        <w:rPr>
          <w:lang w:eastAsia="en-AU"/>
        </w:rPr>
        <w:t>Notwithstanding that the consortium will operate and maintain the assets for the 40-year concession term, there are no quarterly service payments that apply to this Modification. While operating the dwellings for the 40-year concession period, Building Communities will perform the following functions: asset management, community engagement, maintenance and lifecycle replacement, tenancy management and residential lease management.</w:t>
      </w:r>
    </w:p>
    <w:p w14:paraId="37276906" w14:textId="6CD8D93A" w:rsidR="00F77100" w:rsidRDefault="00F77100">
      <w:pPr>
        <w:pStyle w:val="ARfinbody"/>
        <w:rPr>
          <w:lang w:eastAsia="en-AU"/>
        </w:rPr>
      </w:pPr>
      <w:r>
        <w:rPr>
          <w:lang w:eastAsia="en-AU"/>
        </w:rPr>
        <w:br w:type="page"/>
      </w:r>
    </w:p>
    <w:p w14:paraId="7DF4CC10" w14:textId="77777777" w:rsidR="006E51BF" w:rsidRDefault="006E51BF">
      <w:pPr>
        <w:pStyle w:val="Heading7"/>
        <w:rPr>
          <w:lang w:eastAsia="en-AU"/>
        </w:rPr>
      </w:pPr>
      <w:r w:rsidRPr="00687DF1">
        <w:rPr>
          <w:lang w:eastAsia="en-AU"/>
        </w:rPr>
        <w:t xml:space="preserve">7.5.3.3 Ground Lease Model 2 project </w:t>
      </w:r>
    </w:p>
    <w:p w14:paraId="33458D8E" w14:textId="77777777" w:rsidR="006E51BF" w:rsidRDefault="006E51BF">
      <w:pPr>
        <w:pStyle w:val="Heading8"/>
      </w:pPr>
      <w:r w:rsidRPr="00687DF1">
        <w:t xml:space="preserve">Operator: Building Even Better Communities Limited </w:t>
      </w:r>
    </w:p>
    <w:p w14:paraId="0E545149" w14:textId="77777777" w:rsidR="006E51BF" w:rsidRPr="006855DE" w:rsidRDefault="006E51BF">
      <w:pPr>
        <w:pStyle w:val="Heading9"/>
      </w:pPr>
      <w:r w:rsidRPr="00687DF1">
        <w:t>Concession period: 40 years</w:t>
      </w:r>
    </w:p>
    <w:p w14:paraId="53BF290C" w14:textId="2A99F4AB" w:rsidR="006E51BF" w:rsidRDefault="006E51BF">
      <w:pPr>
        <w:pStyle w:val="ARfinbody"/>
        <w:rPr>
          <w:lang w:eastAsia="en-AU"/>
        </w:rPr>
      </w:pPr>
      <w:r w:rsidRPr="00687DF1">
        <w:rPr>
          <w:lang w:eastAsia="en-AU"/>
        </w:rPr>
        <w:t>In November 2023, Homes Victoria achieved financial close on a housing arrangement whereby it appointed the Building Even Better Communities consortium to finance, design, construct, maintain and operate 659 brand new social housing dwellings, 182 affordable rental homes, 473 private rental dwellings and 56 Specialist Disability Accommodation dwellings, at existing housing sites at Simmons Street South Yarra, Essex Street Prahran, Bluff Road Hampton East and</w:t>
      </w:r>
      <w:r w:rsidR="00171537">
        <w:rPr>
          <w:lang w:eastAsia="en-AU"/>
        </w:rPr>
        <w:t> </w:t>
      </w:r>
      <w:r w:rsidRPr="00687DF1">
        <w:rPr>
          <w:lang w:eastAsia="en-AU"/>
        </w:rPr>
        <w:t>Barak-Beacon Port Melbourne.</w:t>
      </w:r>
    </w:p>
    <w:p w14:paraId="67968ECB" w14:textId="77777777" w:rsidR="006E51BF" w:rsidRDefault="006E51BF">
      <w:pPr>
        <w:pStyle w:val="ARfinbody"/>
        <w:rPr>
          <w:lang w:eastAsia="en-AU"/>
        </w:rPr>
      </w:pPr>
      <w:r w:rsidRPr="00687DF1">
        <w:rPr>
          <w:lang w:eastAsia="en-AU"/>
        </w:rPr>
        <w:t xml:space="preserve">The four sites are being delivered under a Ground Lease Model on a fully financed, build-to-rent basis. The ground lease will be delivered as a Public Private Partnership arrangement under the Partnerships Victoria framework. Construction of the assets commenced in late 2024 and is well underway and Commercial Acceptance is expected by late 2026, with renters expected to move into the new homes shortly thereafter. </w:t>
      </w:r>
    </w:p>
    <w:p w14:paraId="15F0EEFF" w14:textId="77777777" w:rsidR="006E51BF" w:rsidRDefault="006E51BF">
      <w:pPr>
        <w:pStyle w:val="ARfinbody"/>
        <w:rPr>
          <w:lang w:eastAsia="en-AU"/>
        </w:rPr>
      </w:pPr>
      <w:r w:rsidRPr="00687DF1">
        <w:rPr>
          <w:lang w:eastAsia="en-AU"/>
        </w:rPr>
        <w:t>A ground-lease model is being used for this package whereby title to public land and dwellings (which will have a residual design life) will remain with Homes Victoria during the 40-year concession period and control of the assets will revert to Homes Victoria at the end of the 40-year concession period.</w:t>
      </w:r>
    </w:p>
    <w:p w14:paraId="570D59AB" w14:textId="77777777" w:rsidR="006E51BF" w:rsidRDefault="006E51BF">
      <w:pPr>
        <w:pStyle w:val="ARfinbody"/>
        <w:rPr>
          <w:lang w:eastAsia="en-AU"/>
        </w:rPr>
      </w:pPr>
      <w:r w:rsidRPr="00687DF1">
        <w:rPr>
          <w:lang w:eastAsia="en-AU"/>
        </w:rPr>
        <w:t xml:space="preserve">Homes Victoria is contracted to make quarterly service payments for the 40-year operating term, which will include both a capital and a life cycle component. While operating the dwellings, Building Even Better Communities will perform the following functions: asset management, community engagement, maintenance and lifecycle replacement, tenancy management and residential lease management. </w:t>
      </w:r>
      <w:r>
        <w:rPr>
          <w:lang w:eastAsia="en-AU"/>
        </w:rPr>
        <w:br w:type="page"/>
      </w:r>
    </w:p>
    <w:p w14:paraId="3635D554" w14:textId="77777777" w:rsidR="006E51BF" w:rsidRPr="0015762D" w:rsidRDefault="006E51BF">
      <w:pPr>
        <w:pStyle w:val="Heading3financials"/>
        <w:rPr>
          <w:lang w:eastAsia="en-AU"/>
        </w:rPr>
      </w:pPr>
      <w:bookmarkStart w:id="300" w:name="RANGE!A1:K11"/>
      <w:bookmarkStart w:id="301" w:name="_Toc241068551"/>
      <w:r w:rsidRPr="0015762D">
        <w:rPr>
          <w:lang w:eastAsia="en-AU"/>
        </w:rPr>
        <w:t xml:space="preserve">8. </w:t>
      </w:r>
      <w:r>
        <w:rPr>
          <w:lang w:eastAsia="en-AU"/>
        </w:rPr>
        <w:tab/>
      </w:r>
      <w:r w:rsidRPr="0015762D">
        <w:rPr>
          <w:lang w:eastAsia="en-AU"/>
        </w:rPr>
        <w:t>Risks, contingencies and valuation judgements</w:t>
      </w:r>
      <w:bookmarkEnd w:id="300"/>
      <w:bookmarkEnd w:id="301"/>
    </w:p>
    <w:p w14:paraId="4A45DA0C" w14:textId="77777777" w:rsidR="006E51BF" w:rsidRDefault="006E51BF">
      <w:pPr>
        <w:pStyle w:val="Heading4"/>
        <w:rPr>
          <w:lang w:eastAsia="en-AU"/>
        </w:rPr>
      </w:pPr>
      <w:r w:rsidRPr="0015762D">
        <w:rPr>
          <w:lang w:eastAsia="en-AU"/>
        </w:rPr>
        <w:t>Introduction</w:t>
      </w:r>
    </w:p>
    <w:p w14:paraId="74CAD2BA" w14:textId="77777777" w:rsidR="006E51BF" w:rsidRDefault="006E51BF">
      <w:pPr>
        <w:pStyle w:val="ARfinbody"/>
        <w:rPr>
          <w:lang w:eastAsia="en-AU"/>
        </w:rPr>
      </w:pPr>
      <w:r w:rsidRPr="0015762D">
        <w:rPr>
          <w:lang w:eastAsia="en-AU"/>
        </w:rPr>
        <w:t>The department is exposed to risk from its activities and outside factors. In addition, it is often necessary to make judgements and estimates associated with recognition and measurement of items in the financial statements. This section sets out financial instrument specific information (including exposures to financial risks), as well as those items that are contingent in nature or require a higher level of judgement to be applied, which for the department relate mainly to fair value determination.</w:t>
      </w:r>
    </w:p>
    <w:p w14:paraId="240317A4" w14:textId="77777777" w:rsidR="006E51BF" w:rsidRDefault="006E51BF">
      <w:pPr>
        <w:pStyle w:val="Heading4"/>
        <w:rPr>
          <w:lang w:eastAsia="en-AU"/>
        </w:rPr>
      </w:pPr>
      <w:r w:rsidRPr="0015762D">
        <w:rPr>
          <w:lang w:eastAsia="en-AU"/>
        </w:rPr>
        <w:t>Structure</w:t>
      </w:r>
    </w:p>
    <w:p w14:paraId="25AEC1FA" w14:textId="77777777" w:rsidR="006E51BF" w:rsidRDefault="006E51BF">
      <w:pPr>
        <w:pStyle w:val="ARfinstructure1"/>
        <w:rPr>
          <w:lang w:eastAsia="en-AU"/>
        </w:rPr>
      </w:pPr>
      <w:r w:rsidRPr="0015762D">
        <w:rPr>
          <w:lang w:eastAsia="en-AU"/>
        </w:rPr>
        <w:t xml:space="preserve">8.1 </w:t>
      </w:r>
      <w:r>
        <w:rPr>
          <w:lang w:eastAsia="en-AU"/>
        </w:rPr>
        <w:tab/>
      </w:r>
      <w:r w:rsidRPr="0015762D">
        <w:rPr>
          <w:lang w:eastAsia="en-AU"/>
        </w:rPr>
        <w:t>Financial instruments specific disclosures</w:t>
      </w:r>
    </w:p>
    <w:p w14:paraId="3C544DAA" w14:textId="77777777" w:rsidR="006E51BF" w:rsidRDefault="006E51BF">
      <w:pPr>
        <w:pStyle w:val="ARfinstructure2"/>
        <w:rPr>
          <w:lang w:eastAsia="en-AU"/>
        </w:rPr>
      </w:pPr>
      <w:r w:rsidRPr="0015762D">
        <w:rPr>
          <w:lang w:eastAsia="en-AU"/>
        </w:rPr>
        <w:t xml:space="preserve">8.1.1 </w:t>
      </w:r>
      <w:r>
        <w:rPr>
          <w:lang w:eastAsia="en-AU"/>
        </w:rPr>
        <w:tab/>
      </w:r>
      <w:r w:rsidRPr="0015762D">
        <w:rPr>
          <w:lang w:eastAsia="en-AU"/>
        </w:rPr>
        <w:t>Financial instruments: Categorisation</w:t>
      </w:r>
    </w:p>
    <w:p w14:paraId="0934554B" w14:textId="77777777" w:rsidR="006E51BF" w:rsidRDefault="006E51BF">
      <w:pPr>
        <w:pStyle w:val="ARfinstructure2"/>
        <w:rPr>
          <w:lang w:eastAsia="en-AU"/>
        </w:rPr>
      </w:pPr>
      <w:r w:rsidRPr="0015762D">
        <w:rPr>
          <w:lang w:eastAsia="en-AU"/>
        </w:rPr>
        <w:t xml:space="preserve">8.1.2 </w:t>
      </w:r>
      <w:r>
        <w:rPr>
          <w:lang w:eastAsia="en-AU"/>
        </w:rPr>
        <w:tab/>
      </w:r>
      <w:r w:rsidRPr="0015762D">
        <w:rPr>
          <w:lang w:eastAsia="en-AU"/>
        </w:rPr>
        <w:t>Financial instruments: Net holding gain/(loss) on financial instruments by category</w:t>
      </w:r>
    </w:p>
    <w:p w14:paraId="37B8CC41" w14:textId="77777777" w:rsidR="006E51BF" w:rsidRDefault="006E51BF">
      <w:pPr>
        <w:pStyle w:val="ARfinstructure2"/>
        <w:rPr>
          <w:lang w:eastAsia="en-AU"/>
        </w:rPr>
      </w:pPr>
      <w:r w:rsidRPr="0015762D">
        <w:rPr>
          <w:lang w:eastAsia="en-AU"/>
        </w:rPr>
        <w:t xml:space="preserve">8.1.3 </w:t>
      </w:r>
      <w:r>
        <w:rPr>
          <w:lang w:eastAsia="en-AU"/>
        </w:rPr>
        <w:tab/>
      </w:r>
      <w:r w:rsidRPr="0015762D">
        <w:rPr>
          <w:lang w:eastAsia="en-AU"/>
        </w:rPr>
        <w:t>Financial risk management objectives and policies</w:t>
      </w:r>
    </w:p>
    <w:p w14:paraId="4780A152" w14:textId="77777777" w:rsidR="006E51BF" w:rsidRDefault="006E51BF">
      <w:pPr>
        <w:pStyle w:val="ARfinstructure1"/>
        <w:rPr>
          <w:lang w:eastAsia="en-AU"/>
        </w:rPr>
      </w:pPr>
      <w:r w:rsidRPr="0015762D">
        <w:rPr>
          <w:lang w:eastAsia="en-AU"/>
        </w:rPr>
        <w:t xml:space="preserve">8.2 </w:t>
      </w:r>
      <w:r>
        <w:rPr>
          <w:lang w:eastAsia="en-AU"/>
        </w:rPr>
        <w:tab/>
      </w:r>
      <w:r w:rsidRPr="0015762D">
        <w:rPr>
          <w:lang w:eastAsia="en-AU"/>
        </w:rPr>
        <w:t>Contingent assets and contingent liabilities</w:t>
      </w:r>
    </w:p>
    <w:p w14:paraId="2CB99A1C" w14:textId="77777777" w:rsidR="006E51BF" w:rsidRDefault="006E51BF">
      <w:pPr>
        <w:pStyle w:val="ARfinstructure1"/>
        <w:rPr>
          <w:lang w:eastAsia="en-AU"/>
        </w:rPr>
      </w:pPr>
      <w:r w:rsidRPr="0015762D">
        <w:rPr>
          <w:lang w:eastAsia="en-AU"/>
        </w:rPr>
        <w:t xml:space="preserve">8.3 </w:t>
      </w:r>
      <w:r>
        <w:rPr>
          <w:lang w:eastAsia="en-AU"/>
        </w:rPr>
        <w:tab/>
      </w:r>
      <w:r w:rsidRPr="0015762D">
        <w:rPr>
          <w:lang w:eastAsia="en-AU"/>
        </w:rPr>
        <w:t>Fair value determination</w:t>
      </w:r>
    </w:p>
    <w:p w14:paraId="6759FD69" w14:textId="77777777" w:rsidR="006E51BF" w:rsidRDefault="006E51BF">
      <w:pPr>
        <w:pStyle w:val="ARfinstructure2"/>
        <w:rPr>
          <w:lang w:eastAsia="en-AU"/>
        </w:rPr>
      </w:pPr>
      <w:r w:rsidRPr="0015762D">
        <w:rPr>
          <w:lang w:eastAsia="en-AU"/>
        </w:rPr>
        <w:t xml:space="preserve">8.3.1 </w:t>
      </w:r>
      <w:r>
        <w:rPr>
          <w:lang w:eastAsia="en-AU"/>
        </w:rPr>
        <w:tab/>
      </w:r>
      <w:r w:rsidRPr="0015762D">
        <w:rPr>
          <w:lang w:eastAsia="en-AU"/>
        </w:rPr>
        <w:t>Fair value determination of financial assets and liabilities</w:t>
      </w:r>
    </w:p>
    <w:p w14:paraId="025B8BCD" w14:textId="77777777" w:rsidR="006E51BF" w:rsidRPr="0015762D" w:rsidRDefault="006E51BF">
      <w:pPr>
        <w:pStyle w:val="ARfinstructure2"/>
        <w:rPr>
          <w:b/>
          <w:bCs/>
          <w:lang w:eastAsia="en-AU"/>
        </w:rPr>
      </w:pPr>
      <w:r w:rsidRPr="0015762D">
        <w:rPr>
          <w:lang w:eastAsia="en-AU"/>
        </w:rPr>
        <w:t xml:space="preserve">8.3.2 </w:t>
      </w:r>
      <w:r>
        <w:rPr>
          <w:lang w:eastAsia="en-AU"/>
        </w:rPr>
        <w:tab/>
      </w:r>
      <w:r w:rsidRPr="0015762D">
        <w:rPr>
          <w:lang w:eastAsia="en-AU"/>
        </w:rPr>
        <w:t>Fair value determination of non-financial physical assets</w:t>
      </w:r>
    </w:p>
    <w:p w14:paraId="0D0EE51C" w14:textId="77777777" w:rsidR="006E51BF" w:rsidRPr="0015762D" w:rsidRDefault="006E51BF">
      <w:pPr>
        <w:pStyle w:val="Heading4"/>
        <w:rPr>
          <w:lang w:eastAsia="en-AU"/>
        </w:rPr>
      </w:pPr>
      <w:r w:rsidRPr="0015762D">
        <w:rPr>
          <w:lang w:eastAsia="en-AU"/>
        </w:rPr>
        <w:t xml:space="preserve">8.1 </w:t>
      </w:r>
      <w:r>
        <w:rPr>
          <w:lang w:eastAsia="en-AU"/>
        </w:rPr>
        <w:tab/>
      </w:r>
      <w:r w:rsidRPr="0015762D">
        <w:rPr>
          <w:lang w:eastAsia="en-AU"/>
        </w:rPr>
        <w:t>Financial instruments specific disclosures</w:t>
      </w:r>
    </w:p>
    <w:p w14:paraId="0F78080B" w14:textId="77777777" w:rsidR="006E51BF" w:rsidRDefault="006E51BF">
      <w:pPr>
        <w:pStyle w:val="Heading5"/>
        <w:rPr>
          <w:lang w:eastAsia="en-AU"/>
        </w:rPr>
      </w:pPr>
      <w:r w:rsidRPr="0015762D">
        <w:rPr>
          <w:lang w:eastAsia="en-AU"/>
        </w:rPr>
        <w:t>Introduction</w:t>
      </w:r>
    </w:p>
    <w:p w14:paraId="0AD94031" w14:textId="77777777" w:rsidR="006E51BF" w:rsidRPr="00105DB4" w:rsidRDefault="006E51BF">
      <w:pPr>
        <w:pStyle w:val="ARfinbody"/>
        <w:rPr>
          <w:rStyle w:val="Emphasis"/>
          <w:lang w:eastAsia="en-AU"/>
        </w:rPr>
      </w:pPr>
      <w:r w:rsidRPr="0015762D">
        <w:rPr>
          <w:lang w:eastAsia="en-AU"/>
        </w:rPr>
        <w:t>Financial instruments arise out of contractual agreements that give rise to a financial asset of one entity and a financial liability or equity instrument of another entity. Due to the nature of the department’s activities, certain financial assets and financial liabilities arise under statute rather than a contract (for example taxes, fines and penalties). Such assets and liabilities do not meet the definition of financial instruments in AASB 132</w:t>
      </w:r>
      <w:r w:rsidRPr="00105DB4">
        <w:rPr>
          <w:rStyle w:val="Emphasis"/>
          <w:lang w:eastAsia="en-AU"/>
        </w:rPr>
        <w:t xml:space="preserve"> Financial Instruments: Presentation. </w:t>
      </w:r>
    </w:p>
    <w:p w14:paraId="4B8056DA" w14:textId="77777777" w:rsidR="006E51BF" w:rsidRPr="0015762D" w:rsidRDefault="006E51BF">
      <w:pPr>
        <w:pStyle w:val="ARfinbody"/>
        <w:rPr>
          <w:lang w:eastAsia="en-AU"/>
        </w:rPr>
      </w:pPr>
      <w:r w:rsidRPr="0015762D">
        <w:rPr>
          <w:lang w:eastAsia="en-AU"/>
        </w:rPr>
        <w:t>Guarantees issued on behalf of the department are financial instruments because, although authorised under statute, terms and conditions for each financial guarantee may vary and are subject to an agreement.</w:t>
      </w:r>
    </w:p>
    <w:p w14:paraId="1590D07D" w14:textId="77777777" w:rsidR="006E51BF" w:rsidRDefault="006E51BF">
      <w:pPr>
        <w:pStyle w:val="Heading5"/>
        <w:rPr>
          <w:lang w:eastAsia="en-AU"/>
        </w:rPr>
      </w:pPr>
      <w:r w:rsidRPr="0015762D">
        <w:rPr>
          <w:lang w:eastAsia="en-AU"/>
        </w:rPr>
        <w:t>Categories of financial assets</w:t>
      </w:r>
    </w:p>
    <w:p w14:paraId="6F9AFAC3" w14:textId="77777777" w:rsidR="006E51BF" w:rsidRDefault="006E51BF">
      <w:pPr>
        <w:pStyle w:val="ARfinbody"/>
        <w:rPr>
          <w:lang w:eastAsia="en-AU"/>
        </w:rPr>
      </w:pPr>
      <w:r w:rsidRPr="0015762D">
        <w:rPr>
          <w:b/>
          <w:bCs/>
          <w:lang w:eastAsia="en-AU"/>
        </w:rPr>
        <w:t>Financial assets at amortised costs</w:t>
      </w:r>
      <w:r w:rsidRPr="0015762D">
        <w:rPr>
          <w:lang w:eastAsia="en-AU"/>
        </w:rPr>
        <w:t xml:space="preserve"> are recognised if both of the following criteria are met and the assets are not designated as fair value through net result:</w:t>
      </w:r>
    </w:p>
    <w:p w14:paraId="27930340" w14:textId="77777777" w:rsidR="006E51BF" w:rsidRDefault="006E51BF" w:rsidP="006E51BF">
      <w:pPr>
        <w:pStyle w:val="ARfinbullet1"/>
        <w:numPr>
          <w:ilvl w:val="0"/>
          <w:numId w:val="13"/>
        </w:numPr>
        <w:ind w:left="284" w:hanging="284"/>
      </w:pPr>
      <w:r w:rsidRPr="0015762D">
        <w:t>the assets are held by the department to collect the contractual cash flows, and</w:t>
      </w:r>
    </w:p>
    <w:p w14:paraId="4DF08431" w14:textId="77777777" w:rsidR="006E51BF" w:rsidRDefault="006E51BF" w:rsidP="006E51BF">
      <w:pPr>
        <w:pStyle w:val="ARfinbullet1"/>
        <w:numPr>
          <w:ilvl w:val="0"/>
          <w:numId w:val="13"/>
        </w:numPr>
        <w:ind w:left="284" w:hanging="284"/>
      </w:pPr>
      <w:r w:rsidRPr="0015762D">
        <w:t>the assets’ contractual terms give rise to cash flows that are solely payments of principal and interest.</w:t>
      </w:r>
    </w:p>
    <w:p w14:paraId="1F0C32C1" w14:textId="77777777" w:rsidR="006E51BF" w:rsidRDefault="006E51BF">
      <w:pPr>
        <w:pStyle w:val="ARfinbody"/>
        <w:rPr>
          <w:lang w:eastAsia="en-AU"/>
        </w:rPr>
      </w:pPr>
      <w:r w:rsidRPr="0015762D">
        <w:rPr>
          <w:lang w:eastAsia="en-AU"/>
        </w:rPr>
        <w:t>These assets are initially recognised at fair value plus any directly attributable transaction costs and subsequently measured at amortised cost using the effective interest method less any impairment.</w:t>
      </w:r>
    </w:p>
    <w:p w14:paraId="3203DF9E" w14:textId="77777777" w:rsidR="006E51BF" w:rsidRDefault="006E51BF">
      <w:pPr>
        <w:pStyle w:val="ARfinbody"/>
        <w:rPr>
          <w:lang w:eastAsia="en-AU"/>
        </w:rPr>
      </w:pPr>
      <w:r w:rsidRPr="0015762D">
        <w:rPr>
          <w:lang w:eastAsia="en-AU"/>
        </w:rPr>
        <w:t>The department recognises the following assets in this category:</w:t>
      </w:r>
    </w:p>
    <w:p w14:paraId="59A69181" w14:textId="77777777" w:rsidR="006E51BF" w:rsidRDefault="006E51BF" w:rsidP="006E51BF">
      <w:pPr>
        <w:pStyle w:val="ARfinbullet1"/>
        <w:numPr>
          <w:ilvl w:val="0"/>
          <w:numId w:val="13"/>
        </w:numPr>
        <w:ind w:left="284" w:hanging="284"/>
      </w:pPr>
      <w:r w:rsidRPr="0015762D">
        <w:t>cash and deposits</w:t>
      </w:r>
    </w:p>
    <w:p w14:paraId="6628EB49" w14:textId="77777777" w:rsidR="006E51BF" w:rsidRDefault="006E51BF" w:rsidP="006E51BF">
      <w:pPr>
        <w:pStyle w:val="ARfinbullet1"/>
        <w:numPr>
          <w:ilvl w:val="0"/>
          <w:numId w:val="13"/>
        </w:numPr>
        <w:ind w:left="284" w:hanging="284"/>
      </w:pPr>
      <w:r w:rsidRPr="0015762D">
        <w:t>receivables (excluding statutory receivables)</w:t>
      </w:r>
    </w:p>
    <w:p w14:paraId="4AD73F2A" w14:textId="77777777" w:rsidR="006E51BF" w:rsidRDefault="006E51BF" w:rsidP="006E51BF">
      <w:pPr>
        <w:pStyle w:val="ARfinbullet1"/>
        <w:numPr>
          <w:ilvl w:val="0"/>
          <w:numId w:val="13"/>
        </w:numPr>
        <w:ind w:left="284" w:hanging="284"/>
      </w:pPr>
      <w:r w:rsidRPr="0015762D">
        <w:t>short-term deposits</w:t>
      </w:r>
    </w:p>
    <w:p w14:paraId="3E9EFA76" w14:textId="77777777" w:rsidR="006E51BF" w:rsidRPr="0015762D" w:rsidRDefault="006E51BF" w:rsidP="006E51BF">
      <w:pPr>
        <w:pStyle w:val="ARfinbullet1"/>
        <w:numPr>
          <w:ilvl w:val="0"/>
          <w:numId w:val="13"/>
        </w:numPr>
        <w:ind w:left="284" w:hanging="284"/>
      </w:pPr>
      <w:r w:rsidRPr="0015762D">
        <w:t>loan receivables.</w:t>
      </w:r>
    </w:p>
    <w:p w14:paraId="73FB504A" w14:textId="77777777" w:rsidR="006E51BF" w:rsidRDefault="006E51BF">
      <w:pPr>
        <w:pStyle w:val="Heading5"/>
        <w:rPr>
          <w:lang w:eastAsia="en-AU"/>
        </w:rPr>
      </w:pPr>
      <w:r w:rsidRPr="0015762D">
        <w:rPr>
          <w:lang w:eastAsia="en-AU"/>
        </w:rPr>
        <w:t>Categories of financial liabilities</w:t>
      </w:r>
    </w:p>
    <w:p w14:paraId="0B441568" w14:textId="77777777" w:rsidR="006E51BF" w:rsidRDefault="006E51BF">
      <w:pPr>
        <w:pStyle w:val="ARfinbody"/>
        <w:rPr>
          <w:lang w:eastAsia="en-AU"/>
        </w:rPr>
      </w:pPr>
      <w:r w:rsidRPr="0015762D">
        <w:rPr>
          <w:b/>
          <w:bCs/>
          <w:lang w:eastAsia="en-AU"/>
        </w:rPr>
        <w:t>Financial liabilities at amortised cost</w:t>
      </w:r>
      <w:r w:rsidRPr="0015762D">
        <w:rPr>
          <w:lang w:eastAsia="en-AU"/>
        </w:rPr>
        <w:t xml:space="preserve"> are initially recognised on the date they are originated. They are initially measured at fair value plus any directly attributable transaction costs. </w:t>
      </w:r>
      <w:proofErr w:type="gramStart"/>
      <w:r w:rsidRPr="0015762D">
        <w:rPr>
          <w:lang w:eastAsia="en-AU"/>
        </w:rPr>
        <w:t>Subsequent to</w:t>
      </w:r>
      <w:proofErr w:type="gramEnd"/>
      <w:r w:rsidRPr="0015762D">
        <w:rPr>
          <w:lang w:eastAsia="en-AU"/>
        </w:rPr>
        <w:t xml:space="preserve"> initial recognition, these financial instruments are measured at amortised cost with any difference between the initially recognised amount and the redemption value being recognised in profit and loss over the period of the interest-bearing liability, using the effective interest rate method. The department recognises the following liabilities in this category:</w:t>
      </w:r>
    </w:p>
    <w:p w14:paraId="4DF5E742" w14:textId="77777777" w:rsidR="006E51BF" w:rsidRDefault="006E51BF" w:rsidP="006E51BF">
      <w:pPr>
        <w:pStyle w:val="ARfinbullet1"/>
        <w:numPr>
          <w:ilvl w:val="0"/>
          <w:numId w:val="13"/>
        </w:numPr>
        <w:ind w:left="284" w:hanging="284"/>
      </w:pPr>
      <w:r w:rsidRPr="0015762D">
        <w:t>payables (excluding statutory payables)</w:t>
      </w:r>
    </w:p>
    <w:p w14:paraId="6DB5BCD2" w14:textId="77777777" w:rsidR="006E51BF" w:rsidRDefault="006E51BF" w:rsidP="006E51BF">
      <w:pPr>
        <w:pStyle w:val="ARfinbullet1"/>
        <w:numPr>
          <w:ilvl w:val="0"/>
          <w:numId w:val="13"/>
        </w:numPr>
        <w:ind w:left="284" w:hanging="284"/>
      </w:pPr>
      <w:r w:rsidRPr="0015762D">
        <w:t>borrowings (including lease liabilities).</w:t>
      </w:r>
    </w:p>
    <w:p w14:paraId="7019A911" w14:textId="77777777" w:rsidR="006E51BF" w:rsidRDefault="006E51BF">
      <w:pPr>
        <w:pStyle w:val="ARfinbody"/>
        <w:rPr>
          <w:lang w:eastAsia="en-AU"/>
        </w:rPr>
      </w:pPr>
      <w:r w:rsidRPr="0015762D">
        <w:rPr>
          <w:b/>
          <w:bCs/>
          <w:lang w:eastAsia="en-AU"/>
        </w:rPr>
        <w:t xml:space="preserve">Offsetting financial instruments: </w:t>
      </w:r>
      <w:r w:rsidRPr="0015762D">
        <w:rPr>
          <w:lang w:eastAsia="en-AU"/>
        </w:rPr>
        <w:t xml:space="preserve">Financial instrument assets and liabilities are offset and the net amount presented in the balance sheet when, and only when, the department has a legal right to offset the amounts and intends either to settle on a net basis or to realise the asset and settle the liability simultaneously. </w:t>
      </w:r>
    </w:p>
    <w:p w14:paraId="2377D6DB" w14:textId="77777777" w:rsidR="006E51BF" w:rsidRPr="0015762D" w:rsidRDefault="006E51BF">
      <w:pPr>
        <w:pStyle w:val="ARfinbody"/>
        <w:rPr>
          <w:lang w:eastAsia="en-AU"/>
        </w:rPr>
      </w:pPr>
      <w:r w:rsidRPr="0015762D">
        <w:rPr>
          <w:lang w:eastAsia="en-AU"/>
        </w:rPr>
        <w:t>Some master netting arrangements do not result in an offset of balance sheet assets and liabilities. Where the department does not have a legally enforceable right to offset recognised amounts, because the right to offset is enforceable only on the occurrence of future events such as default, insolvency or bankruptcy, they are reported on a gross basis.</w:t>
      </w:r>
    </w:p>
    <w:p w14:paraId="477A55C4" w14:textId="77777777" w:rsidR="006E51BF" w:rsidRDefault="006E51BF">
      <w:pPr>
        <w:pStyle w:val="ARfinbody"/>
        <w:rPr>
          <w:lang w:eastAsia="en-AU"/>
        </w:rPr>
      </w:pPr>
      <w:r w:rsidRPr="0015762D">
        <w:rPr>
          <w:b/>
          <w:bCs/>
          <w:lang w:eastAsia="en-AU"/>
        </w:rPr>
        <w:t xml:space="preserve">Derecognition of financial assets: </w:t>
      </w:r>
      <w:r w:rsidRPr="0015762D">
        <w:rPr>
          <w:lang w:eastAsia="en-AU"/>
        </w:rPr>
        <w:t>A financial asset (or, where applicable, a part of a financial asset or part of a group of similar financial assets) is derecognised when:</w:t>
      </w:r>
    </w:p>
    <w:p w14:paraId="3B39219C" w14:textId="77777777" w:rsidR="006E51BF" w:rsidRDefault="006E51BF" w:rsidP="006E51BF">
      <w:pPr>
        <w:pStyle w:val="ARfinbullet1"/>
        <w:numPr>
          <w:ilvl w:val="0"/>
          <w:numId w:val="13"/>
        </w:numPr>
        <w:ind w:left="284" w:hanging="284"/>
      </w:pPr>
      <w:r w:rsidRPr="0015762D">
        <w:t>the rights to receive cash flows from the asset have expired, or</w:t>
      </w:r>
    </w:p>
    <w:p w14:paraId="19CB3C9C" w14:textId="77777777" w:rsidR="006E51BF" w:rsidRDefault="006E51BF" w:rsidP="006E51BF">
      <w:pPr>
        <w:pStyle w:val="ARfinbullet1"/>
        <w:numPr>
          <w:ilvl w:val="0"/>
          <w:numId w:val="13"/>
        </w:numPr>
        <w:ind w:left="284" w:hanging="284"/>
      </w:pPr>
      <w:r w:rsidRPr="0015762D">
        <w:t>the department retains the right to receive cash flows from the asset, but has assumed an obligation to pay them in full without material delay to a third party under a ‘pass through’ arrangement, or</w:t>
      </w:r>
    </w:p>
    <w:p w14:paraId="24E0E578" w14:textId="77777777" w:rsidR="006E51BF" w:rsidRDefault="006E51BF" w:rsidP="006E51BF">
      <w:pPr>
        <w:pStyle w:val="ARfinbullet1"/>
        <w:numPr>
          <w:ilvl w:val="0"/>
          <w:numId w:val="13"/>
        </w:numPr>
        <w:ind w:left="284" w:hanging="284"/>
      </w:pPr>
      <w:r w:rsidRPr="0015762D">
        <w:t>the department has transferred its rights to receive cash flows from the asset and either:</w:t>
      </w:r>
    </w:p>
    <w:p w14:paraId="62CFFA4B" w14:textId="77777777" w:rsidR="006E51BF" w:rsidRDefault="006E51BF" w:rsidP="006E51BF">
      <w:pPr>
        <w:pStyle w:val="ARfinbullet2"/>
        <w:ind w:left="568" w:hanging="284"/>
      </w:pPr>
      <w:r w:rsidRPr="0015762D">
        <w:t>has transferred substantially all the risks and rewards of the asset, or</w:t>
      </w:r>
    </w:p>
    <w:p w14:paraId="5FC1F6F2" w14:textId="77777777" w:rsidR="006E51BF" w:rsidRDefault="006E51BF" w:rsidP="006E51BF">
      <w:pPr>
        <w:pStyle w:val="ARfinbullet2"/>
        <w:ind w:left="568" w:hanging="284"/>
      </w:pPr>
      <w:r w:rsidRPr="0015762D">
        <w:t xml:space="preserve">has neither transferred nor retained substantially all the risks and rewards of the </w:t>
      </w:r>
      <w:proofErr w:type="gramStart"/>
      <w:r w:rsidRPr="0015762D">
        <w:t>asset, but</w:t>
      </w:r>
      <w:proofErr w:type="gramEnd"/>
      <w:r w:rsidRPr="0015762D">
        <w:t xml:space="preserve"> has transferred control of the asset.</w:t>
      </w:r>
    </w:p>
    <w:p w14:paraId="2F2B8ABD" w14:textId="77777777" w:rsidR="006E51BF" w:rsidRPr="0015762D" w:rsidRDefault="006E51BF">
      <w:pPr>
        <w:pStyle w:val="ARfinbody"/>
        <w:rPr>
          <w:lang w:eastAsia="en-AU"/>
        </w:rPr>
      </w:pPr>
      <w:r w:rsidRPr="0015762D">
        <w:rPr>
          <w:lang w:eastAsia="en-AU"/>
        </w:rPr>
        <w:t>Where the department has neither transferred nor retained substantially all the risks and rewards or transferred control, the asset is recognised to the extent of the department’s continuing involvement in the asset.</w:t>
      </w:r>
    </w:p>
    <w:p w14:paraId="347652EC" w14:textId="77777777" w:rsidR="006E51BF" w:rsidRPr="0015762D" w:rsidRDefault="006E51BF">
      <w:pPr>
        <w:pStyle w:val="ARfinbody"/>
        <w:rPr>
          <w:lang w:eastAsia="en-AU"/>
        </w:rPr>
      </w:pPr>
      <w:r w:rsidRPr="0015762D">
        <w:rPr>
          <w:b/>
          <w:bCs/>
          <w:lang w:eastAsia="en-AU"/>
        </w:rPr>
        <w:t>Derecognition of financial liabilities:</w:t>
      </w:r>
      <w:r w:rsidRPr="0015762D">
        <w:rPr>
          <w:lang w:eastAsia="en-AU"/>
        </w:rPr>
        <w:t xml:space="preserve"> A financial liability is derecognised when the obligation under the liability is discharged, cancelled or expires.</w:t>
      </w:r>
      <w:r w:rsidRPr="0015762D">
        <w:rPr>
          <w:lang w:eastAsia="en-AU"/>
        </w:rPr>
        <w:br/>
        <w:t>When an existing financial liability is replaced by another from the same lender on substantially different terms, or the terms of an existing liability are substantially modified, such an exchange or modification is treated as a derecognition of the original liability and the recognition of a new liability. The difference in the respective carrying amounts is recognised as an ‘other economic flow’ in the comprehensive operating statement.</w:t>
      </w:r>
    </w:p>
    <w:p w14:paraId="3A57EE8B" w14:textId="0D7F58F6" w:rsidR="006E51BF" w:rsidRPr="009F3BE7" w:rsidRDefault="006E51BF" w:rsidP="009F3BE7">
      <w:pPr>
        <w:pStyle w:val="Heading5"/>
      </w:pPr>
      <w:bookmarkStart w:id="302" w:name="_8.1.1__Financial"/>
      <w:bookmarkEnd w:id="302"/>
      <w:r w:rsidRPr="00E804D1">
        <w:t xml:space="preserve">8.1.1 </w:t>
      </w:r>
      <w:r>
        <w:tab/>
      </w:r>
      <w:bookmarkStart w:id="303" w:name="Financialinstruments"/>
      <w:r w:rsidRPr="00E804D1">
        <w:t>Financial instruments</w:t>
      </w:r>
      <w:bookmarkEnd w:id="303"/>
      <w:r w:rsidRPr="00E804D1">
        <w:t>: Categorisation</w:t>
      </w:r>
    </w:p>
    <w:tbl>
      <w:tblPr>
        <w:tblStyle w:val="ARtable1"/>
        <w:tblW w:w="5000" w:type="pct"/>
        <w:tblLook w:val="00E0" w:firstRow="1" w:lastRow="1" w:firstColumn="1" w:lastColumn="0" w:noHBand="0" w:noVBand="0"/>
      </w:tblPr>
      <w:tblGrid>
        <w:gridCol w:w="3542"/>
        <w:gridCol w:w="1521"/>
        <w:gridCol w:w="1523"/>
        <w:gridCol w:w="1521"/>
        <w:gridCol w:w="1521"/>
      </w:tblGrid>
      <w:tr w:rsidR="006E51BF" w:rsidRPr="00E804D1" w14:paraId="73902991" w14:textId="77777777" w:rsidTr="00304BA9">
        <w:trPr>
          <w:cnfStyle w:val="100000000000" w:firstRow="1" w:lastRow="0" w:firstColumn="0" w:lastColumn="0" w:oddVBand="0" w:evenVBand="0" w:oddHBand="0" w:evenHBand="0" w:firstRowFirstColumn="0" w:firstRowLastColumn="0" w:lastRowFirstColumn="0" w:lastRowLastColumn="0"/>
          <w:trHeight w:val="1205"/>
          <w:tblHeader/>
        </w:trPr>
        <w:tc>
          <w:tcPr>
            <w:tcW w:w="1839" w:type="pct"/>
            <w:hideMark/>
          </w:tcPr>
          <w:p w14:paraId="5A6716EC" w14:textId="77777777" w:rsidR="006E51BF" w:rsidRPr="00E804D1" w:rsidRDefault="006E51BF">
            <w:pPr>
              <w:pStyle w:val="ARfintablecolhead"/>
              <w:rPr>
                <w:lang w:eastAsia="en-AU"/>
              </w:rPr>
            </w:pPr>
            <w:r w:rsidRPr="00E804D1">
              <w:rPr>
                <w:lang w:eastAsia="en-AU"/>
              </w:rPr>
              <w:t>2026</w:t>
            </w:r>
          </w:p>
        </w:tc>
        <w:tc>
          <w:tcPr>
            <w:cnfStyle w:val="000001000000" w:firstRow="0" w:lastRow="0" w:firstColumn="0" w:lastColumn="0" w:oddVBand="0" w:evenVBand="1" w:oddHBand="0" w:evenHBand="0" w:firstRowFirstColumn="0" w:firstRowLastColumn="0" w:lastRowFirstColumn="0" w:lastRowLastColumn="0"/>
            <w:tcW w:w="790" w:type="pct"/>
            <w:tcMar>
              <w:right w:w="0" w:type="nil"/>
            </w:tcMar>
            <w:hideMark/>
          </w:tcPr>
          <w:p w14:paraId="3FE74010" w14:textId="77777777" w:rsidR="006E51BF" w:rsidRPr="00E804D1" w:rsidRDefault="006E51BF">
            <w:pPr>
              <w:pStyle w:val="ARfintablecolheadright"/>
              <w:rPr>
                <w:lang w:eastAsia="en-AU"/>
              </w:rPr>
            </w:pPr>
            <w:r w:rsidRPr="00E804D1">
              <w:rPr>
                <w:lang w:eastAsia="en-AU"/>
              </w:rPr>
              <w:t>Cash and deposits</w:t>
            </w:r>
          </w:p>
          <w:p w14:paraId="259187F8" w14:textId="77777777" w:rsidR="006E51BF" w:rsidRPr="00E804D1" w:rsidRDefault="006E51BF">
            <w:pPr>
              <w:pStyle w:val="ARfintablecolheadright"/>
              <w:rPr>
                <w:lang w:eastAsia="en-AU"/>
              </w:rPr>
            </w:pPr>
            <w:r w:rsidRPr="00E804D1">
              <w:rPr>
                <w:lang w:eastAsia="en-AU"/>
              </w:rPr>
              <w:t>$M</w:t>
            </w:r>
          </w:p>
        </w:tc>
        <w:tc>
          <w:tcPr>
            <w:tcW w:w="791" w:type="pct"/>
            <w:tcMar>
              <w:right w:w="0" w:type="nil"/>
            </w:tcMar>
            <w:hideMark/>
          </w:tcPr>
          <w:p w14:paraId="5B1A0CFC" w14:textId="3B1BD175" w:rsidR="006E51BF" w:rsidRPr="00E804D1"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804D1">
              <w:rPr>
                <w:lang w:eastAsia="en-AU"/>
              </w:rPr>
              <w:t>Financial</w:t>
            </w:r>
            <w:r w:rsidR="004B6B51">
              <w:rPr>
                <w:lang w:eastAsia="en-AU"/>
              </w:rPr>
              <w:br/>
            </w:r>
            <w:r w:rsidRPr="00E804D1">
              <w:rPr>
                <w:lang w:eastAsia="en-AU"/>
              </w:rPr>
              <w:t xml:space="preserve"> assets at amortised cost (AC)</w:t>
            </w:r>
          </w:p>
          <w:p w14:paraId="1170FBDD" w14:textId="77777777" w:rsidR="006E51BF" w:rsidRPr="00E804D1"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804D1">
              <w:rPr>
                <w:lang w:eastAsia="en-AU"/>
              </w:rPr>
              <w:t>$M</w:t>
            </w:r>
          </w:p>
        </w:tc>
        <w:tc>
          <w:tcPr>
            <w:cnfStyle w:val="000001000000" w:firstRow="0" w:lastRow="0" w:firstColumn="0" w:lastColumn="0" w:oddVBand="0" w:evenVBand="1" w:oddHBand="0" w:evenHBand="0" w:firstRowFirstColumn="0" w:firstRowLastColumn="0" w:lastRowFirstColumn="0" w:lastRowLastColumn="0"/>
            <w:tcW w:w="790" w:type="pct"/>
            <w:tcMar>
              <w:right w:w="0" w:type="nil"/>
            </w:tcMar>
            <w:hideMark/>
          </w:tcPr>
          <w:p w14:paraId="367AF85F" w14:textId="77777777" w:rsidR="006E51BF" w:rsidRPr="00E804D1" w:rsidRDefault="006E51BF">
            <w:pPr>
              <w:pStyle w:val="ARfintablecolheadright"/>
              <w:rPr>
                <w:lang w:eastAsia="en-AU"/>
              </w:rPr>
            </w:pPr>
            <w:r w:rsidRPr="00E804D1">
              <w:rPr>
                <w:lang w:eastAsia="en-AU"/>
              </w:rPr>
              <w:t>Financial liabilities at amortised cost (AC)</w:t>
            </w:r>
          </w:p>
          <w:p w14:paraId="26971900" w14:textId="77777777" w:rsidR="006E51BF" w:rsidRPr="00E804D1" w:rsidRDefault="006E51BF">
            <w:pPr>
              <w:pStyle w:val="ARfintablecolheadright"/>
              <w:rPr>
                <w:lang w:eastAsia="en-AU"/>
              </w:rPr>
            </w:pPr>
            <w:r w:rsidRPr="00E804D1">
              <w:rPr>
                <w:lang w:eastAsia="en-AU"/>
              </w:rPr>
              <w:t>$M</w:t>
            </w:r>
          </w:p>
        </w:tc>
        <w:tc>
          <w:tcPr>
            <w:tcW w:w="791" w:type="pct"/>
            <w:tcMar>
              <w:right w:w="0" w:type="nil"/>
            </w:tcMar>
            <w:hideMark/>
          </w:tcPr>
          <w:p w14:paraId="0DA6C93A" w14:textId="77777777" w:rsidR="006E51BF" w:rsidRPr="00E804D1"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804D1">
              <w:rPr>
                <w:lang w:eastAsia="en-AU"/>
              </w:rPr>
              <w:t>Total</w:t>
            </w:r>
          </w:p>
          <w:p w14:paraId="528280B3" w14:textId="77777777" w:rsidR="006E51BF" w:rsidRPr="00E804D1"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804D1">
              <w:rPr>
                <w:lang w:eastAsia="en-AU"/>
              </w:rPr>
              <w:t>$M</w:t>
            </w:r>
          </w:p>
        </w:tc>
      </w:tr>
      <w:tr w:rsidR="006E51BF" w:rsidRPr="00E804D1" w14:paraId="39AEC212"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839" w:type="pct"/>
            <w:noWrap/>
            <w:hideMark/>
          </w:tcPr>
          <w:p w14:paraId="7C979802" w14:textId="77777777" w:rsidR="006E51BF" w:rsidRPr="00E804D1" w:rsidRDefault="006E51BF">
            <w:pPr>
              <w:pStyle w:val="ARfintabletextboldcoloured"/>
              <w:rPr>
                <w:lang w:eastAsia="en-AU"/>
              </w:rPr>
            </w:pPr>
            <w:r w:rsidRPr="00E804D1">
              <w:rPr>
                <w:lang w:eastAsia="en-AU"/>
              </w:rPr>
              <w:t xml:space="preserve">Contractual financial assets </w:t>
            </w:r>
          </w:p>
        </w:tc>
        <w:tc>
          <w:tcPr>
            <w:cnfStyle w:val="000001000000" w:firstRow="0" w:lastRow="0" w:firstColumn="0" w:lastColumn="0" w:oddVBand="0" w:evenVBand="1" w:oddHBand="0" w:evenHBand="0" w:firstRowFirstColumn="0" w:firstRowLastColumn="0" w:lastRowFirstColumn="0" w:lastRowLastColumn="0"/>
            <w:tcW w:w="790" w:type="pct"/>
            <w:shd w:val="clear" w:color="auto" w:fill="auto"/>
            <w:noWrap/>
            <w:tcMar>
              <w:right w:w="0" w:type="nil"/>
            </w:tcMar>
            <w:hideMark/>
          </w:tcPr>
          <w:p w14:paraId="5EAF7A23" w14:textId="77777777" w:rsidR="006E51BF" w:rsidRPr="00E804D1" w:rsidRDefault="006E51BF">
            <w:pPr>
              <w:pStyle w:val="ARfintabletextright"/>
              <w:rPr>
                <w:lang w:eastAsia="en-AU"/>
              </w:rPr>
            </w:pPr>
          </w:p>
        </w:tc>
        <w:tc>
          <w:tcPr>
            <w:tcW w:w="791" w:type="pct"/>
            <w:noWrap/>
            <w:tcMar>
              <w:right w:w="0" w:type="nil"/>
            </w:tcMar>
            <w:hideMark/>
          </w:tcPr>
          <w:p w14:paraId="0CED82D6" w14:textId="77777777" w:rsidR="006E51BF" w:rsidRPr="00E804D1" w:rsidRDefault="006E51BF">
            <w:pPr>
              <w:pStyle w:val="ARfintabletextright"/>
              <w:cnfStyle w:val="000000100000" w:firstRow="0" w:lastRow="0" w:firstColumn="0" w:lastColumn="0" w:oddVBand="0" w:evenVBand="0" w:oddHBand="1" w:evenHBand="0" w:firstRowFirstColumn="0" w:firstRowLastColumn="0" w:lastRowFirstColumn="0" w:lastRowLastColumn="0"/>
              <w:rPr>
                <w:color w:val="000000"/>
                <w:lang w:eastAsia="en-AU"/>
              </w:rPr>
            </w:pPr>
          </w:p>
        </w:tc>
        <w:tc>
          <w:tcPr>
            <w:cnfStyle w:val="000001000000" w:firstRow="0" w:lastRow="0" w:firstColumn="0" w:lastColumn="0" w:oddVBand="0" w:evenVBand="1" w:oddHBand="0" w:evenHBand="0" w:firstRowFirstColumn="0" w:firstRowLastColumn="0" w:lastRowFirstColumn="0" w:lastRowLastColumn="0"/>
            <w:tcW w:w="790" w:type="pct"/>
            <w:shd w:val="clear" w:color="auto" w:fill="auto"/>
            <w:noWrap/>
            <w:tcMar>
              <w:right w:w="0" w:type="nil"/>
            </w:tcMar>
            <w:hideMark/>
          </w:tcPr>
          <w:p w14:paraId="0EC0F15C" w14:textId="77777777" w:rsidR="006E51BF" w:rsidRPr="00E804D1" w:rsidRDefault="006E51BF">
            <w:pPr>
              <w:pStyle w:val="ARfintabletextright"/>
              <w:rPr>
                <w:color w:val="000000"/>
                <w:lang w:eastAsia="en-AU"/>
              </w:rPr>
            </w:pPr>
          </w:p>
        </w:tc>
        <w:tc>
          <w:tcPr>
            <w:tcW w:w="791" w:type="pct"/>
            <w:noWrap/>
            <w:tcMar>
              <w:right w:w="0" w:type="nil"/>
            </w:tcMar>
            <w:hideMark/>
          </w:tcPr>
          <w:p w14:paraId="1AF810F2" w14:textId="77777777" w:rsidR="006E51BF" w:rsidRPr="00E804D1" w:rsidRDefault="006E51BF">
            <w:pPr>
              <w:pStyle w:val="ARfintabletextright"/>
              <w:cnfStyle w:val="000000100000" w:firstRow="0" w:lastRow="0" w:firstColumn="0" w:lastColumn="0" w:oddVBand="0" w:evenVBand="0" w:oddHBand="1" w:evenHBand="0" w:firstRowFirstColumn="0" w:firstRowLastColumn="0" w:lastRowFirstColumn="0" w:lastRowLastColumn="0"/>
              <w:rPr>
                <w:color w:val="000000"/>
                <w:lang w:eastAsia="en-AU"/>
              </w:rPr>
            </w:pPr>
          </w:p>
        </w:tc>
      </w:tr>
      <w:tr w:rsidR="006E51BF" w:rsidRPr="00E804D1" w14:paraId="28E7E10E"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839" w:type="pct"/>
            <w:noWrap/>
            <w:hideMark/>
          </w:tcPr>
          <w:p w14:paraId="00580230" w14:textId="77777777" w:rsidR="006E51BF" w:rsidRPr="00E804D1" w:rsidRDefault="006E51BF">
            <w:pPr>
              <w:pStyle w:val="ARfintabletext"/>
              <w:rPr>
                <w:lang w:eastAsia="en-AU"/>
              </w:rPr>
            </w:pPr>
            <w:r w:rsidRPr="00E804D1">
              <w:rPr>
                <w:lang w:eastAsia="en-AU"/>
              </w:rPr>
              <w:t xml:space="preserve">Cash and deposits </w:t>
            </w:r>
          </w:p>
        </w:tc>
        <w:tc>
          <w:tcPr>
            <w:cnfStyle w:val="000001000000" w:firstRow="0" w:lastRow="0" w:firstColumn="0" w:lastColumn="0" w:oddVBand="0" w:evenVBand="1" w:oddHBand="0" w:evenHBand="0" w:firstRowFirstColumn="0" w:firstRowLastColumn="0" w:lastRowFirstColumn="0" w:lastRowLastColumn="0"/>
            <w:tcW w:w="790" w:type="pct"/>
            <w:noWrap/>
            <w:tcMar>
              <w:right w:w="0" w:type="nil"/>
            </w:tcMar>
            <w:hideMark/>
          </w:tcPr>
          <w:p w14:paraId="4B589027" w14:textId="77777777" w:rsidR="006E51BF" w:rsidRPr="00E804D1" w:rsidRDefault="006E51BF">
            <w:pPr>
              <w:pStyle w:val="ARfintabletextright"/>
              <w:rPr>
                <w:lang w:eastAsia="en-AU"/>
              </w:rPr>
            </w:pPr>
            <w:r w:rsidRPr="00E804D1">
              <w:rPr>
                <w:lang w:eastAsia="en-AU"/>
              </w:rPr>
              <w:t>994.2</w:t>
            </w:r>
          </w:p>
        </w:tc>
        <w:tc>
          <w:tcPr>
            <w:tcW w:w="791" w:type="pct"/>
            <w:noWrap/>
            <w:tcMar>
              <w:right w:w="0" w:type="nil"/>
            </w:tcMar>
            <w:hideMark/>
          </w:tcPr>
          <w:p w14:paraId="1F9F0229" w14:textId="77777777" w:rsidR="006E51BF" w:rsidRPr="00E804D1"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90" w:type="pct"/>
            <w:noWrap/>
            <w:tcMar>
              <w:right w:w="0" w:type="nil"/>
            </w:tcMar>
            <w:hideMark/>
          </w:tcPr>
          <w:p w14:paraId="3222A687" w14:textId="77777777" w:rsidR="006E51BF" w:rsidRPr="00E804D1" w:rsidRDefault="006E51BF">
            <w:pPr>
              <w:pStyle w:val="ARfintabletextright"/>
              <w:rPr>
                <w:lang w:eastAsia="en-AU"/>
              </w:rPr>
            </w:pPr>
            <w:r>
              <w:rPr>
                <w:lang w:eastAsia="en-AU"/>
              </w:rPr>
              <w:t>–</w:t>
            </w:r>
          </w:p>
        </w:tc>
        <w:tc>
          <w:tcPr>
            <w:tcW w:w="791" w:type="pct"/>
            <w:noWrap/>
            <w:tcMar>
              <w:right w:w="0" w:type="nil"/>
            </w:tcMar>
            <w:hideMark/>
          </w:tcPr>
          <w:p w14:paraId="765B5564" w14:textId="77777777" w:rsidR="006E51BF" w:rsidRPr="00E804D1"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r w:rsidRPr="00E804D1">
              <w:rPr>
                <w:color w:val="000000"/>
                <w:lang w:eastAsia="en-AU"/>
              </w:rPr>
              <w:t>994.2</w:t>
            </w:r>
          </w:p>
        </w:tc>
      </w:tr>
      <w:tr w:rsidR="006E51BF" w:rsidRPr="00E804D1" w14:paraId="2FB9F79A"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839" w:type="pct"/>
            <w:tcBorders>
              <w:bottom w:val="single" w:sz="4" w:space="0" w:color="BFBFBF" w:themeColor="accent2"/>
            </w:tcBorders>
            <w:noWrap/>
            <w:hideMark/>
          </w:tcPr>
          <w:p w14:paraId="62B19626" w14:textId="77777777" w:rsidR="006E51BF" w:rsidRPr="00E804D1" w:rsidRDefault="006E51BF">
            <w:pPr>
              <w:pStyle w:val="ARfintabletext"/>
              <w:rPr>
                <w:lang w:eastAsia="en-AU"/>
              </w:rPr>
            </w:pPr>
            <w:r w:rsidRPr="00E804D1">
              <w:rPr>
                <w:lang w:eastAsia="en-AU"/>
              </w:rPr>
              <w:t xml:space="preserve">Receivables </w:t>
            </w:r>
            <w:r w:rsidRPr="00E804D1">
              <w:rPr>
                <w:vertAlign w:val="superscript"/>
                <w:lang w:eastAsia="en-AU"/>
              </w:rPr>
              <w:t>(</w:t>
            </w:r>
            <w:proofErr w:type="spellStart"/>
            <w:r w:rsidRPr="00E804D1">
              <w:rPr>
                <w:vertAlign w:val="superscript"/>
                <w:lang w:eastAsia="en-AU"/>
              </w:rPr>
              <w:t>i</w:t>
            </w:r>
            <w:proofErr w:type="spellEnd"/>
            <w:r w:rsidRPr="00E804D1">
              <w:rPr>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790" w:type="pct"/>
            <w:tcBorders>
              <w:bottom w:val="single" w:sz="4" w:space="0" w:color="BFBFBF" w:themeColor="accent2"/>
            </w:tcBorders>
            <w:noWrap/>
            <w:tcMar>
              <w:right w:w="0" w:type="nil"/>
            </w:tcMar>
            <w:hideMark/>
          </w:tcPr>
          <w:p w14:paraId="51DA1542" w14:textId="77777777" w:rsidR="006E51BF" w:rsidRPr="00E804D1" w:rsidRDefault="006E51BF">
            <w:pPr>
              <w:pStyle w:val="ARfintabletextright"/>
              <w:rPr>
                <w:lang w:eastAsia="en-AU"/>
              </w:rPr>
            </w:pPr>
            <w:r>
              <w:rPr>
                <w:lang w:eastAsia="en-AU"/>
              </w:rPr>
              <w:t>–</w:t>
            </w:r>
          </w:p>
        </w:tc>
        <w:tc>
          <w:tcPr>
            <w:tcW w:w="791" w:type="pct"/>
            <w:tcBorders>
              <w:bottom w:val="single" w:sz="4" w:space="0" w:color="BFBFBF" w:themeColor="accent2"/>
            </w:tcBorders>
            <w:noWrap/>
            <w:tcMar>
              <w:right w:w="0" w:type="nil"/>
            </w:tcMar>
            <w:hideMark/>
          </w:tcPr>
          <w:p w14:paraId="366E5C92" w14:textId="77777777" w:rsidR="006E51BF" w:rsidRPr="00E804D1"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E804D1">
              <w:rPr>
                <w:lang w:eastAsia="en-AU"/>
              </w:rPr>
              <w:t>479.4</w:t>
            </w:r>
          </w:p>
        </w:tc>
        <w:tc>
          <w:tcPr>
            <w:cnfStyle w:val="000001000000" w:firstRow="0" w:lastRow="0" w:firstColumn="0" w:lastColumn="0" w:oddVBand="0" w:evenVBand="1" w:oddHBand="0" w:evenHBand="0" w:firstRowFirstColumn="0" w:firstRowLastColumn="0" w:lastRowFirstColumn="0" w:lastRowLastColumn="0"/>
            <w:tcW w:w="790" w:type="pct"/>
            <w:tcBorders>
              <w:bottom w:val="single" w:sz="4" w:space="0" w:color="BFBFBF" w:themeColor="accent2"/>
            </w:tcBorders>
            <w:noWrap/>
            <w:tcMar>
              <w:right w:w="0" w:type="nil"/>
            </w:tcMar>
            <w:hideMark/>
          </w:tcPr>
          <w:p w14:paraId="42E20D7A" w14:textId="77777777" w:rsidR="006E51BF" w:rsidRPr="00E804D1" w:rsidRDefault="006E51BF">
            <w:pPr>
              <w:pStyle w:val="ARfintabletextright"/>
              <w:rPr>
                <w:lang w:eastAsia="en-AU"/>
              </w:rPr>
            </w:pPr>
            <w:r>
              <w:rPr>
                <w:lang w:eastAsia="en-AU"/>
              </w:rPr>
              <w:t>–</w:t>
            </w:r>
          </w:p>
        </w:tc>
        <w:tc>
          <w:tcPr>
            <w:tcW w:w="791" w:type="pct"/>
            <w:tcBorders>
              <w:bottom w:val="single" w:sz="4" w:space="0" w:color="BFBFBF" w:themeColor="accent2"/>
            </w:tcBorders>
            <w:noWrap/>
            <w:tcMar>
              <w:right w:w="0" w:type="nil"/>
            </w:tcMar>
            <w:hideMark/>
          </w:tcPr>
          <w:p w14:paraId="752BE340" w14:textId="77777777" w:rsidR="006E51BF" w:rsidRPr="00E804D1" w:rsidRDefault="006E51BF">
            <w:pPr>
              <w:pStyle w:val="ARfintabletextright"/>
              <w:cnfStyle w:val="000000100000" w:firstRow="0" w:lastRow="0" w:firstColumn="0" w:lastColumn="0" w:oddVBand="0" w:evenVBand="0" w:oddHBand="1" w:evenHBand="0" w:firstRowFirstColumn="0" w:firstRowLastColumn="0" w:lastRowFirstColumn="0" w:lastRowLastColumn="0"/>
              <w:rPr>
                <w:color w:val="000000"/>
                <w:lang w:eastAsia="en-AU"/>
              </w:rPr>
            </w:pPr>
            <w:r w:rsidRPr="00E804D1">
              <w:rPr>
                <w:color w:val="000000"/>
                <w:lang w:eastAsia="en-AU"/>
              </w:rPr>
              <w:t>479.4</w:t>
            </w:r>
          </w:p>
        </w:tc>
      </w:tr>
      <w:tr w:rsidR="006E51BF" w:rsidRPr="00E804D1" w14:paraId="6014485A"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839" w:type="pct"/>
            <w:tcBorders>
              <w:top w:val="single" w:sz="4" w:space="0" w:color="BFBFBF" w:themeColor="accent2"/>
              <w:bottom w:val="single" w:sz="4" w:space="0" w:color="000000" w:themeColor="text1"/>
            </w:tcBorders>
            <w:noWrap/>
            <w:hideMark/>
          </w:tcPr>
          <w:p w14:paraId="0C5C9169" w14:textId="77777777" w:rsidR="006E51BF" w:rsidRPr="00E804D1" w:rsidRDefault="006E51BF">
            <w:pPr>
              <w:pStyle w:val="ARfintabletext"/>
              <w:rPr>
                <w:lang w:eastAsia="en-AU"/>
              </w:rPr>
            </w:pPr>
            <w:r w:rsidRPr="00E804D1">
              <w:rPr>
                <w:lang w:eastAsia="en-AU"/>
              </w:rPr>
              <w:t>Loans</w:t>
            </w:r>
          </w:p>
        </w:tc>
        <w:tc>
          <w:tcPr>
            <w:cnfStyle w:val="000001000000" w:firstRow="0" w:lastRow="0" w:firstColumn="0" w:lastColumn="0" w:oddVBand="0" w:evenVBand="1" w:oddHBand="0" w:evenHBand="0" w:firstRowFirstColumn="0" w:firstRowLastColumn="0" w:lastRowFirstColumn="0" w:lastRowLastColumn="0"/>
            <w:tcW w:w="790" w:type="pct"/>
            <w:tcBorders>
              <w:top w:val="single" w:sz="4" w:space="0" w:color="BFBFBF" w:themeColor="accent2"/>
              <w:bottom w:val="single" w:sz="4" w:space="0" w:color="000000" w:themeColor="text1"/>
            </w:tcBorders>
            <w:noWrap/>
            <w:tcMar>
              <w:right w:w="0" w:type="nil"/>
            </w:tcMar>
            <w:hideMark/>
          </w:tcPr>
          <w:p w14:paraId="5643210A" w14:textId="77777777" w:rsidR="006E51BF" w:rsidRPr="00E804D1" w:rsidRDefault="006E51BF">
            <w:pPr>
              <w:pStyle w:val="ARfintabletextright"/>
              <w:rPr>
                <w:lang w:eastAsia="en-AU"/>
              </w:rPr>
            </w:pPr>
            <w:r>
              <w:rPr>
                <w:lang w:eastAsia="en-AU"/>
              </w:rPr>
              <w:t>–</w:t>
            </w:r>
          </w:p>
        </w:tc>
        <w:tc>
          <w:tcPr>
            <w:tcW w:w="791" w:type="pct"/>
            <w:tcBorders>
              <w:top w:val="single" w:sz="4" w:space="0" w:color="BFBFBF" w:themeColor="accent2"/>
              <w:bottom w:val="single" w:sz="4" w:space="0" w:color="000000" w:themeColor="text1"/>
            </w:tcBorders>
            <w:noWrap/>
            <w:tcMar>
              <w:right w:w="0" w:type="nil"/>
            </w:tcMar>
            <w:hideMark/>
          </w:tcPr>
          <w:p w14:paraId="685769CD" w14:textId="77777777" w:rsidR="006E51BF" w:rsidRPr="00E804D1"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E804D1">
              <w:rPr>
                <w:lang w:eastAsia="en-AU"/>
              </w:rPr>
              <w:t>26.2</w:t>
            </w:r>
          </w:p>
        </w:tc>
        <w:tc>
          <w:tcPr>
            <w:cnfStyle w:val="000001000000" w:firstRow="0" w:lastRow="0" w:firstColumn="0" w:lastColumn="0" w:oddVBand="0" w:evenVBand="1" w:oddHBand="0" w:evenHBand="0" w:firstRowFirstColumn="0" w:firstRowLastColumn="0" w:lastRowFirstColumn="0" w:lastRowLastColumn="0"/>
            <w:tcW w:w="790" w:type="pct"/>
            <w:tcBorders>
              <w:top w:val="single" w:sz="4" w:space="0" w:color="BFBFBF" w:themeColor="accent2"/>
              <w:bottom w:val="single" w:sz="4" w:space="0" w:color="000000" w:themeColor="text1"/>
            </w:tcBorders>
            <w:noWrap/>
            <w:tcMar>
              <w:right w:w="0" w:type="nil"/>
            </w:tcMar>
            <w:hideMark/>
          </w:tcPr>
          <w:p w14:paraId="7C82D042" w14:textId="77777777" w:rsidR="006E51BF" w:rsidRPr="00E804D1" w:rsidRDefault="006E51BF">
            <w:pPr>
              <w:pStyle w:val="ARfintabletextright"/>
              <w:rPr>
                <w:lang w:eastAsia="en-AU"/>
              </w:rPr>
            </w:pPr>
            <w:r>
              <w:rPr>
                <w:lang w:eastAsia="en-AU"/>
              </w:rPr>
              <w:t>–</w:t>
            </w:r>
          </w:p>
        </w:tc>
        <w:tc>
          <w:tcPr>
            <w:tcW w:w="791" w:type="pct"/>
            <w:tcBorders>
              <w:top w:val="single" w:sz="4" w:space="0" w:color="BFBFBF" w:themeColor="accent2"/>
              <w:bottom w:val="single" w:sz="4" w:space="0" w:color="000000" w:themeColor="text1"/>
            </w:tcBorders>
            <w:noWrap/>
            <w:tcMar>
              <w:right w:w="0" w:type="nil"/>
            </w:tcMar>
            <w:hideMark/>
          </w:tcPr>
          <w:p w14:paraId="417C7EAB" w14:textId="77777777" w:rsidR="006E51BF" w:rsidRPr="00E804D1"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r w:rsidRPr="00E804D1">
              <w:rPr>
                <w:color w:val="000000"/>
                <w:lang w:eastAsia="en-AU"/>
              </w:rPr>
              <w:t>26.2</w:t>
            </w:r>
          </w:p>
        </w:tc>
      </w:tr>
      <w:tr w:rsidR="006E51BF" w:rsidRPr="00E804D1" w14:paraId="1DA73892"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839" w:type="pct"/>
            <w:tcBorders>
              <w:top w:val="single" w:sz="4" w:space="0" w:color="000000" w:themeColor="text1"/>
              <w:bottom w:val="single" w:sz="4" w:space="0" w:color="000000" w:themeColor="text1"/>
            </w:tcBorders>
            <w:noWrap/>
            <w:hideMark/>
          </w:tcPr>
          <w:p w14:paraId="0528838F" w14:textId="77777777" w:rsidR="006E51BF" w:rsidRPr="00E804D1" w:rsidRDefault="006E51BF">
            <w:pPr>
              <w:pStyle w:val="ARfintabletextbold"/>
              <w:rPr>
                <w:lang w:eastAsia="en-AU"/>
              </w:rPr>
            </w:pPr>
            <w:r w:rsidRPr="00E804D1">
              <w:rPr>
                <w:lang w:eastAsia="en-AU"/>
              </w:rPr>
              <w:t xml:space="preserve">Total contractual financial assets </w:t>
            </w:r>
          </w:p>
        </w:tc>
        <w:tc>
          <w:tcPr>
            <w:cnfStyle w:val="000001000000" w:firstRow="0" w:lastRow="0" w:firstColumn="0" w:lastColumn="0" w:oddVBand="0" w:evenVBand="1" w:oddHBand="0" w:evenHBand="0" w:firstRowFirstColumn="0" w:firstRowLastColumn="0" w:lastRowFirstColumn="0" w:lastRowLastColumn="0"/>
            <w:tcW w:w="790" w:type="pct"/>
            <w:tcBorders>
              <w:top w:val="single" w:sz="4" w:space="0" w:color="000000" w:themeColor="text1"/>
              <w:bottom w:val="single" w:sz="4" w:space="0" w:color="000000" w:themeColor="text1"/>
            </w:tcBorders>
            <w:noWrap/>
            <w:tcMar>
              <w:right w:w="0" w:type="nil"/>
            </w:tcMar>
            <w:hideMark/>
          </w:tcPr>
          <w:p w14:paraId="7E4BB6C6" w14:textId="77777777" w:rsidR="006E51BF" w:rsidRPr="00E804D1" w:rsidRDefault="006E51BF">
            <w:pPr>
              <w:pStyle w:val="ARfintabletextboldright"/>
              <w:rPr>
                <w:lang w:eastAsia="en-AU"/>
              </w:rPr>
            </w:pPr>
            <w:r w:rsidRPr="00E804D1">
              <w:rPr>
                <w:lang w:eastAsia="en-AU"/>
              </w:rPr>
              <w:t>994.2</w:t>
            </w:r>
          </w:p>
        </w:tc>
        <w:tc>
          <w:tcPr>
            <w:tcW w:w="791" w:type="pct"/>
            <w:tcBorders>
              <w:top w:val="single" w:sz="4" w:space="0" w:color="000000" w:themeColor="text1"/>
              <w:bottom w:val="single" w:sz="4" w:space="0" w:color="000000" w:themeColor="text1"/>
            </w:tcBorders>
            <w:noWrap/>
            <w:tcMar>
              <w:right w:w="0" w:type="nil"/>
            </w:tcMar>
            <w:hideMark/>
          </w:tcPr>
          <w:p w14:paraId="39AFC21E" w14:textId="77777777" w:rsidR="006E51BF" w:rsidRPr="00E804D1"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E804D1">
              <w:rPr>
                <w:lang w:eastAsia="en-AU"/>
              </w:rPr>
              <w:t>505.6</w:t>
            </w:r>
          </w:p>
        </w:tc>
        <w:tc>
          <w:tcPr>
            <w:cnfStyle w:val="000001000000" w:firstRow="0" w:lastRow="0" w:firstColumn="0" w:lastColumn="0" w:oddVBand="0" w:evenVBand="1" w:oddHBand="0" w:evenHBand="0" w:firstRowFirstColumn="0" w:firstRowLastColumn="0" w:lastRowFirstColumn="0" w:lastRowLastColumn="0"/>
            <w:tcW w:w="790" w:type="pct"/>
            <w:tcBorders>
              <w:top w:val="single" w:sz="4" w:space="0" w:color="000000" w:themeColor="text1"/>
              <w:bottom w:val="single" w:sz="4" w:space="0" w:color="000000" w:themeColor="text1"/>
            </w:tcBorders>
            <w:noWrap/>
            <w:tcMar>
              <w:right w:w="0" w:type="nil"/>
            </w:tcMar>
            <w:hideMark/>
          </w:tcPr>
          <w:p w14:paraId="26B6B9DD" w14:textId="77777777" w:rsidR="006E51BF" w:rsidRPr="00E804D1" w:rsidRDefault="006E51BF">
            <w:pPr>
              <w:pStyle w:val="ARfintabletextboldright"/>
              <w:rPr>
                <w:lang w:eastAsia="en-AU"/>
              </w:rPr>
            </w:pPr>
            <w:r>
              <w:rPr>
                <w:lang w:eastAsia="en-AU"/>
              </w:rPr>
              <w:t>–</w:t>
            </w:r>
          </w:p>
        </w:tc>
        <w:tc>
          <w:tcPr>
            <w:tcW w:w="791" w:type="pct"/>
            <w:tcBorders>
              <w:top w:val="single" w:sz="4" w:space="0" w:color="000000" w:themeColor="text1"/>
              <w:bottom w:val="single" w:sz="4" w:space="0" w:color="000000" w:themeColor="text1"/>
            </w:tcBorders>
            <w:noWrap/>
            <w:tcMar>
              <w:right w:w="0" w:type="nil"/>
            </w:tcMar>
            <w:hideMark/>
          </w:tcPr>
          <w:p w14:paraId="4B051945" w14:textId="77777777" w:rsidR="006E51BF" w:rsidRPr="00E804D1"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E804D1">
              <w:rPr>
                <w:lang w:eastAsia="en-AU"/>
              </w:rPr>
              <w:t>1,499.8</w:t>
            </w:r>
          </w:p>
        </w:tc>
      </w:tr>
      <w:tr w:rsidR="006E51BF" w:rsidRPr="00E804D1" w14:paraId="170FC069"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839" w:type="pct"/>
            <w:tcBorders>
              <w:top w:val="single" w:sz="4" w:space="0" w:color="000000" w:themeColor="text1"/>
            </w:tcBorders>
            <w:noWrap/>
            <w:hideMark/>
          </w:tcPr>
          <w:p w14:paraId="3331FDF9" w14:textId="77777777" w:rsidR="006E51BF" w:rsidRPr="00E804D1" w:rsidRDefault="006E51BF">
            <w:pPr>
              <w:pStyle w:val="ARfintabletextboldcoloured"/>
              <w:rPr>
                <w:lang w:eastAsia="en-AU"/>
              </w:rPr>
            </w:pPr>
            <w:r w:rsidRPr="00E804D1">
              <w:rPr>
                <w:lang w:eastAsia="en-AU"/>
              </w:rPr>
              <w:t xml:space="preserve">Contractual financial liabilities </w:t>
            </w:r>
          </w:p>
        </w:tc>
        <w:tc>
          <w:tcPr>
            <w:cnfStyle w:val="000001000000" w:firstRow="0" w:lastRow="0" w:firstColumn="0" w:lastColumn="0" w:oddVBand="0" w:evenVBand="1" w:oddHBand="0" w:evenHBand="0" w:firstRowFirstColumn="0" w:firstRowLastColumn="0" w:lastRowFirstColumn="0" w:lastRowLastColumn="0"/>
            <w:tcW w:w="790" w:type="pct"/>
            <w:tcBorders>
              <w:top w:val="single" w:sz="4" w:space="0" w:color="000000" w:themeColor="text1"/>
            </w:tcBorders>
            <w:shd w:val="clear" w:color="auto" w:fill="auto"/>
            <w:noWrap/>
            <w:tcMar>
              <w:right w:w="0" w:type="nil"/>
            </w:tcMar>
            <w:hideMark/>
          </w:tcPr>
          <w:p w14:paraId="1FE9177F" w14:textId="77777777" w:rsidR="006E51BF" w:rsidRPr="00E804D1" w:rsidRDefault="006E51BF">
            <w:pPr>
              <w:pStyle w:val="ARfintabletextright"/>
              <w:rPr>
                <w:lang w:eastAsia="en-AU"/>
              </w:rPr>
            </w:pPr>
          </w:p>
        </w:tc>
        <w:tc>
          <w:tcPr>
            <w:tcW w:w="791" w:type="pct"/>
            <w:tcBorders>
              <w:top w:val="single" w:sz="4" w:space="0" w:color="000000" w:themeColor="text1"/>
            </w:tcBorders>
            <w:noWrap/>
            <w:tcMar>
              <w:right w:w="0" w:type="nil"/>
            </w:tcMar>
            <w:hideMark/>
          </w:tcPr>
          <w:p w14:paraId="4C37150A" w14:textId="77777777" w:rsidR="006E51BF" w:rsidRPr="00E804D1"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790" w:type="pct"/>
            <w:tcBorders>
              <w:top w:val="single" w:sz="4" w:space="0" w:color="000000" w:themeColor="text1"/>
            </w:tcBorders>
            <w:shd w:val="clear" w:color="auto" w:fill="auto"/>
            <w:noWrap/>
            <w:tcMar>
              <w:right w:w="0" w:type="nil"/>
            </w:tcMar>
            <w:hideMark/>
          </w:tcPr>
          <w:p w14:paraId="782EF96B" w14:textId="77777777" w:rsidR="006E51BF" w:rsidRPr="00E804D1" w:rsidRDefault="006E51BF">
            <w:pPr>
              <w:pStyle w:val="ARfintabletextright"/>
              <w:rPr>
                <w:lang w:eastAsia="en-AU"/>
              </w:rPr>
            </w:pPr>
          </w:p>
        </w:tc>
        <w:tc>
          <w:tcPr>
            <w:tcW w:w="791" w:type="pct"/>
            <w:tcBorders>
              <w:top w:val="single" w:sz="4" w:space="0" w:color="000000" w:themeColor="text1"/>
            </w:tcBorders>
            <w:noWrap/>
            <w:tcMar>
              <w:right w:w="0" w:type="nil"/>
            </w:tcMar>
            <w:hideMark/>
          </w:tcPr>
          <w:p w14:paraId="3D238771" w14:textId="77777777" w:rsidR="006E51BF" w:rsidRPr="00E804D1"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r>
      <w:tr w:rsidR="006E51BF" w:rsidRPr="00E804D1" w14:paraId="0CE8D15B"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839" w:type="pct"/>
            <w:noWrap/>
            <w:hideMark/>
          </w:tcPr>
          <w:p w14:paraId="52554520" w14:textId="77777777" w:rsidR="006E51BF" w:rsidRPr="00E804D1" w:rsidRDefault="006E51BF">
            <w:pPr>
              <w:pStyle w:val="ARfintabletext"/>
              <w:rPr>
                <w:lang w:eastAsia="en-AU"/>
              </w:rPr>
            </w:pPr>
            <w:r w:rsidRPr="00E804D1">
              <w:rPr>
                <w:lang w:eastAsia="en-AU"/>
              </w:rPr>
              <w:t xml:space="preserve">Payables </w:t>
            </w:r>
            <w:r w:rsidRPr="00E804D1">
              <w:rPr>
                <w:vertAlign w:val="superscript"/>
                <w:lang w:eastAsia="en-AU"/>
              </w:rPr>
              <w:t>(</w:t>
            </w:r>
            <w:proofErr w:type="spellStart"/>
            <w:r w:rsidRPr="00E804D1">
              <w:rPr>
                <w:vertAlign w:val="superscript"/>
                <w:lang w:eastAsia="en-AU"/>
              </w:rPr>
              <w:t>i</w:t>
            </w:r>
            <w:proofErr w:type="spellEnd"/>
            <w:r w:rsidRPr="00E804D1">
              <w:rPr>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790" w:type="pct"/>
            <w:noWrap/>
            <w:tcMar>
              <w:right w:w="0" w:type="nil"/>
            </w:tcMar>
            <w:hideMark/>
          </w:tcPr>
          <w:p w14:paraId="2C49B352" w14:textId="77777777" w:rsidR="006E51BF" w:rsidRPr="00E804D1" w:rsidRDefault="006E51BF">
            <w:pPr>
              <w:pStyle w:val="ARfintabletextright"/>
              <w:rPr>
                <w:lang w:eastAsia="en-AU"/>
              </w:rPr>
            </w:pPr>
            <w:r>
              <w:rPr>
                <w:lang w:eastAsia="en-AU"/>
              </w:rPr>
              <w:t>–</w:t>
            </w:r>
          </w:p>
        </w:tc>
        <w:tc>
          <w:tcPr>
            <w:tcW w:w="791" w:type="pct"/>
            <w:noWrap/>
            <w:tcMar>
              <w:right w:w="0" w:type="nil"/>
            </w:tcMar>
            <w:hideMark/>
          </w:tcPr>
          <w:p w14:paraId="22710A56" w14:textId="77777777" w:rsidR="006E51BF" w:rsidRPr="00E804D1"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90" w:type="pct"/>
            <w:noWrap/>
            <w:tcMar>
              <w:right w:w="0" w:type="nil"/>
            </w:tcMar>
            <w:hideMark/>
          </w:tcPr>
          <w:p w14:paraId="65A64BE6" w14:textId="77777777" w:rsidR="006E51BF" w:rsidRPr="00E804D1" w:rsidRDefault="006E51BF">
            <w:pPr>
              <w:pStyle w:val="ARfintabletextright"/>
              <w:rPr>
                <w:lang w:eastAsia="en-AU"/>
              </w:rPr>
            </w:pPr>
            <w:r w:rsidRPr="00E804D1">
              <w:rPr>
                <w:lang w:eastAsia="en-AU"/>
              </w:rPr>
              <w:t>485.8</w:t>
            </w:r>
          </w:p>
        </w:tc>
        <w:tc>
          <w:tcPr>
            <w:tcW w:w="791" w:type="pct"/>
            <w:noWrap/>
            <w:tcMar>
              <w:right w:w="0" w:type="nil"/>
            </w:tcMar>
            <w:hideMark/>
          </w:tcPr>
          <w:p w14:paraId="37BA9B69" w14:textId="77777777" w:rsidR="006E51BF" w:rsidRPr="00E804D1"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E804D1">
              <w:rPr>
                <w:lang w:eastAsia="en-AU"/>
              </w:rPr>
              <w:t>485.8</w:t>
            </w:r>
          </w:p>
        </w:tc>
      </w:tr>
      <w:tr w:rsidR="006E51BF" w:rsidRPr="00E804D1" w14:paraId="784D7C62"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839" w:type="pct"/>
            <w:noWrap/>
            <w:hideMark/>
          </w:tcPr>
          <w:p w14:paraId="5AB44B1A" w14:textId="77777777" w:rsidR="006E51BF" w:rsidRPr="00E804D1" w:rsidRDefault="006E51BF">
            <w:pPr>
              <w:pStyle w:val="ARfintabletext"/>
              <w:rPr>
                <w:lang w:eastAsia="en-AU"/>
              </w:rPr>
            </w:pPr>
            <w:r w:rsidRPr="00E804D1">
              <w:rPr>
                <w:lang w:eastAsia="en-AU"/>
              </w:rPr>
              <w:t>Borrowings</w:t>
            </w:r>
            <w:r w:rsidRPr="00E804D1">
              <w:rPr>
                <w:sz w:val="17"/>
                <w:szCs w:val="17"/>
                <w:vertAlign w:val="superscript"/>
                <w:lang w:eastAsia="en-AU"/>
              </w:rPr>
              <w:t xml:space="preserve"> (</w:t>
            </w:r>
            <w:proofErr w:type="spellStart"/>
            <w:r w:rsidRPr="00E804D1">
              <w:rPr>
                <w:sz w:val="17"/>
                <w:szCs w:val="17"/>
                <w:vertAlign w:val="superscript"/>
                <w:lang w:eastAsia="en-AU"/>
              </w:rPr>
              <w:t>i</w:t>
            </w:r>
            <w:proofErr w:type="spellEnd"/>
            <w:r w:rsidRPr="00E804D1">
              <w:rPr>
                <w:sz w:val="17"/>
                <w:szCs w:val="17"/>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790" w:type="pct"/>
            <w:noWrap/>
            <w:tcMar>
              <w:right w:w="0" w:type="nil"/>
            </w:tcMar>
            <w:hideMark/>
          </w:tcPr>
          <w:p w14:paraId="51B20361" w14:textId="77777777" w:rsidR="006E51BF" w:rsidRPr="00E804D1" w:rsidRDefault="006E51BF">
            <w:pPr>
              <w:pStyle w:val="ARfintabletextright"/>
              <w:rPr>
                <w:lang w:eastAsia="en-AU"/>
              </w:rPr>
            </w:pPr>
            <w:r>
              <w:rPr>
                <w:lang w:eastAsia="en-AU"/>
              </w:rPr>
              <w:t>–</w:t>
            </w:r>
          </w:p>
        </w:tc>
        <w:tc>
          <w:tcPr>
            <w:tcW w:w="791" w:type="pct"/>
            <w:noWrap/>
            <w:tcMar>
              <w:right w:w="0" w:type="nil"/>
            </w:tcMar>
            <w:hideMark/>
          </w:tcPr>
          <w:p w14:paraId="35387F66" w14:textId="77777777" w:rsidR="006E51BF" w:rsidRPr="00E804D1"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90" w:type="pct"/>
            <w:noWrap/>
            <w:tcMar>
              <w:right w:w="0" w:type="nil"/>
            </w:tcMar>
            <w:hideMark/>
          </w:tcPr>
          <w:p w14:paraId="537C39C1" w14:textId="77777777" w:rsidR="006E51BF" w:rsidRPr="00E804D1" w:rsidRDefault="006E51BF">
            <w:pPr>
              <w:pStyle w:val="ARfintabletextright"/>
              <w:rPr>
                <w:lang w:eastAsia="en-AU"/>
              </w:rPr>
            </w:pPr>
            <w:r w:rsidRPr="00E804D1">
              <w:rPr>
                <w:lang w:eastAsia="en-AU"/>
              </w:rPr>
              <w:t>877.6</w:t>
            </w:r>
          </w:p>
        </w:tc>
        <w:tc>
          <w:tcPr>
            <w:tcW w:w="791" w:type="pct"/>
            <w:noWrap/>
            <w:tcMar>
              <w:right w:w="0" w:type="nil"/>
            </w:tcMar>
            <w:hideMark/>
          </w:tcPr>
          <w:p w14:paraId="5FC088D0" w14:textId="77777777" w:rsidR="006E51BF" w:rsidRPr="00E804D1"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E804D1">
              <w:rPr>
                <w:lang w:eastAsia="en-AU"/>
              </w:rPr>
              <w:t>877.6</w:t>
            </w:r>
          </w:p>
        </w:tc>
      </w:tr>
      <w:tr w:rsidR="006E51BF" w:rsidRPr="00E804D1" w14:paraId="744134EE"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1839" w:type="pct"/>
            <w:noWrap/>
            <w:hideMark/>
          </w:tcPr>
          <w:p w14:paraId="4FA9C039" w14:textId="77777777" w:rsidR="006E51BF" w:rsidRPr="00E804D1" w:rsidRDefault="006E51BF">
            <w:pPr>
              <w:pStyle w:val="ARfintabletextbold"/>
              <w:rPr>
                <w:lang w:eastAsia="en-AU"/>
              </w:rPr>
            </w:pPr>
            <w:r w:rsidRPr="00E804D1">
              <w:rPr>
                <w:lang w:eastAsia="en-AU"/>
              </w:rPr>
              <w:t xml:space="preserve">Total contractual financial liabilities </w:t>
            </w:r>
          </w:p>
        </w:tc>
        <w:tc>
          <w:tcPr>
            <w:cnfStyle w:val="000001000000" w:firstRow="0" w:lastRow="0" w:firstColumn="0" w:lastColumn="0" w:oddVBand="0" w:evenVBand="1" w:oddHBand="0" w:evenHBand="0" w:firstRowFirstColumn="0" w:firstRowLastColumn="0" w:lastRowFirstColumn="0" w:lastRowLastColumn="0"/>
            <w:tcW w:w="790" w:type="pct"/>
            <w:noWrap/>
            <w:tcMar>
              <w:right w:w="0" w:type="nil"/>
            </w:tcMar>
            <w:hideMark/>
          </w:tcPr>
          <w:p w14:paraId="3E403807" w14:textId="77777777" w:rsidR="006E51BF" w:rsidRPr="00E804D1" w:rsidRDefault="006E51BF">
            <w:pPr>
              <w:pStyle w:val="ARfintabletextboldright"/>
              <w:rPr>
                <w:lang w:eastAsia="en-AU"/>
              </w:rPr>
            </w:pPr>
            <w:r>
              <w:rPr>
                <w:lang w:eastAsia="en-AU"/>
              </w:rPr>
              <w:t>–</w:t>
            </w:r>
          </w:p>
        </w:tc>
        <w:tc>
          <w:tcPr>
            <w:tcW w:w="791" w:type="pct"/>
            <w:noWrap/>
            <w:tcMar>
              <w:right w:w="0" w:type="nil"/>
            </w:tcMar>
            <w:hideMark/>
          </w:tcPr>
          <w:p w14:paraId="40B23EE8" w14:textId="77777777" w:rsidR="006E51BF" w:rsidRPr="00E804D1"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90" w:type="pct"/>
            <w:noWrap/>
            <w:tcMar>
              <w:right w:w="0" w:type="nil"/>
            </w:tcMar>
            <w:hideMark/>
          </w:tcPr>
          <w:p w14:paraId="1124265F" w14:textId="77777777" w:rsidR="006E51BF" w:rsidRPr="00E804D1" w:rsidRDefault="006E51BF">
            <w:pPr>
              <w:pStyle w:val="ARfintabletextboldright"/>
              <w:rPr>
                <w:lang w:eastAsia="en-AU"/>
              </w:rPr>
            </w:pPr>
            <w:r w:rsidRPr="00E804D1">
              <w:rPr>
                <w:lang w:eastAsia="en-AU"/>
              </w:rPr>
              <w:t>1,363.4</w:t>
            </w:r>
          </w:p>
        </w:tc>
        <w:tc>
          <w:tcPr>
            <w:tcW w:w="791" w:type="pct"/>
            <w:noWrap/>
            <w:tcMar>
              <w:right w:w="0" w:type="nil"/>
            </w:tcMar>
            <w:hideMark/>
          </w:tcPr>
          <w:p w14:paraId="32E0C70E" w14:textId="77777777" w:rsidR="006E51BF" w:rsidRPr="00E804D1"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E804D1">
              <w:rPr>
                <w:lang w:eastAsia="en-AU"/>
              </w:rPr>
              <w:t>1,363.4</w:t>
            </w:r>
          </w:p>
        </w:tc>
      </w:tr>
    </w:tbl>
    <w:p w14:paraId="04988E4B" w14:textId="77777777" w:rsidR="006E51BF" w:rsidRDefault="006E51BF">
      <w:pPr>
        <w:pStyle w:val="ARfinbody"/>
      </w:pPr>
    </w:p>
    <w:tbl>
      <w:tblPr>
        <w:tblStyle w:val="ARtable1"/>
        <w:tblW w:w="5000" w:type="pct"/>
        <w:tblLook w:val="00E0" w:firstRow="1" w:lastRow="1" w:firstColumn="1" w:lastColumn="0" w:noHBand="0" w:noVBand="0"/>
      </w:tblPr>
      <w:tblGrid>
        <w:gridCol w:w="3542"/>
        <w:gridCol w:w="1521"/>
        <w:gridCol w:w="1523"/>
        <w:gridCol w:w="1521"/>
        <w:gridCol w:w="1521"/>
      </w:tblGrid>
      <w:tr w:rsidR="006E51BF" w:rsidRPr="00E804D1" w14:paraId="7433E837" w14:textId="77777777" w:rsidTr="00304BA9">
        <w:trPr>
          <w:cnfStyle w:val="100000000000" w:firstRow="1" w:lastRow="0" w:firstColumn="0" w:lastColumn="0" w:oddVBand="0" w:evenVBand="0" w:oddHBand="0" w:evenHBand="0" w:firstRowFirstColumn="0" w:firstRowLastColumn="0" w:lastRowFirstColumn="0" w:lastRowLastColumn="0"/>
          <w:trHeight w:val="1155"/>
          <w:tblHeader/>
        </w:trPr>
        <w:tc>
          <w:tcPr>
            <w:tcW w:w="1839" w:type="pct"/>
            <w:hideMark/>
          </w:tcPr>
          <w:p w14:paraId="6B978239" w14:textId="77777777" w:rsidR="006E51BF" w:rsidRPr="00E804D1" w:rsidRDefault="006E51BF">
            <w:pPr>
              <w:pStyle w:val="ARfintablecolhead"/>
              <w:rPr>
                <w:lang w:eastAsia="en-AU"/>
              </w:rPr>
            </w:pPr>
            <w:r w:rsidRPr="00E804D1">
              <w:rPr>
                <w:lang w:eastAsia="en-AU"/>
              </w:rPr>
              <w:t>2025</w:t>
            </w:r>
          </w:p>
        </w:tc>
        <w:tc>
          <w:tcPr>
            <w:cnfStyle w:val="000001000000" w:firstRow="0" w:lastRow="0" w:firstColumn="0" w:lastColumn="0" w:oddVBand="0" w:evenVBand="1" w:oddHBand="0" w:evenHBand="0" w:firstRowFirstColumn="0" w:firstRowLastColumn="0" w:lastRowFirstColumn="0" w:lastRowLastColumn="0"/>
            <w:tcW w:w="790" w:type="pct"/>
            <w:tcMar>
              <w:right w:w="0" w:type="nil"/>
            </w:tcMar>
            <w:hideMark/>
          </w:tcPr>
          <w:p w14:paraId="2E6BC0A4" w14:textId="77777777" w:rsidR="006E51BF" w:rsidRPr="00E804D1" w:rsidRDefault="006E51BF">
            <w:pPr>
              <w:pStyle w:val="ARfintablecolheadright"/>
              <w:rPr>
                <w:lang w:eastAsia="en-AU"/>
              </w:rPr>
            </w:pPr>
            <w:r w:rsidRPr="00E804D1">
              <w:rPr>
                <w:lang w:eastAsia="en-AU"/>
              </w:rPr>
              <w:t>Cash</w:t>
            </w:r>
            <w:r>
              <w:rPr>
                <w:lang w:eastAsia="en-AU"/>
              </w:rPr>
              <w:t xml:space="preserve"> </w:t>
            </w:r>
            <w:r w:rsidRPr="00E804D1">
              <w:rPr>
                <w:lang w:eastAsia="en-AU"/>
              </w:rPr>
              <w:t>and</w:t>
            </w:r>
            <w:r>
              <w:rPr>
                <w:lang w:eastAsia="en-AU"/>
              </w:rPr>
              <w:t xml:space="preserve"> </w:t>
            </w:r>
            <w:r w:rsidRPr="00E804D1">
              <w:rPr>
                <w:lang w:eastAsia="en-AU"/>
              </w:rPr>
              <w:t>deposits</w:t>
            </w:r>
          </w:p>
          <w:p w14:paraId="76CA17D6" w14:textId="77777777" w:rsidR="006E51BF" w:rsidRPr="00E804D1" w:rsidRDefault="006E51BF">
            <w:pPr>
              <w:pStyle w:val="ARfintablecolheadright"/>
              <w:rPr>
                <w:lang w:eastAsia="en-AU"/>
              </w:rPr>
            </w:pPr>
            <w:r w:rsidRPr="00E804D1">
              <w:rPr>
                <w:lang w:eastAsia="en-AU"/>
              </w:rPr>
              <w:t>$M</w:t>
            </w:r>
          </w:p>
        </w:tc>
        <w:tc>
          <w:tcPr>
            <w:tcW w:w="791" w:type="pct"/>
            <w:tcMar>
              <w:right w:w="0" w:type="nil"/>
            </w:tcMar>
            <w:hideMark/>
          </w:tcPr>
          <w:p w14:paraId="420158CA" w14:textId="77777777" w:rsidR="006E51BF" w:rsidRPr="00E804D1"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804D1">
              <w:rPr>
                <w:lang w:eastAsia="en-AU"/>
              </w:rPr>
              <w:t>Financial</w:t>
            </w:r>
            <w:r>
              <w:rPr>
                <w:lang w:eastAsia="en-AU"/>
              </w:rPr>
              <w:t xml:space="preserve"> </w:t>
            </w:r>
            <w:r w:rsidRPr="00E804D1">
              <w:rPr>
                <w:lang w:eastAsia="en-AU"/>
              </w:rPr>
              <w:t>assets</w:t>
            </w:r>
            <w:r>
              <w:rPr>
                <w:lang w:eastAsia="en-AU"/>
              </w:rPr>
              <w:t xml:space="preserve"> </w:t>
            </w:r>
            <w:r w:rsidRPr="00E804D1">
              <w:rPr>
                <w:lang w:eastAsia="en-AU"/>
              </w:rPr>
              <w:t>at</w:t>
            </w:r>
            <w:r>
              <w:rPr>
                <w:lang w:eastAsia="en-AU"/>
              </w:rPr>
              <w:t xml:space="preserve"> </w:t>
            </w:r>
            <w:r w:rsidRPr="00E804D1">
              <w:rPr>
                <w:lang w:eastAsia="en-AU"/>
              </w:rPr>
              <w:t>amortised</w:t>
            </w:r>
            <w:r>
              <w:rPr>
                <w:lang w:eastAsia="en-AU"/>
              </w:rPr>
              <w:t xml:space="preserve"> </w:t>
            </w:r>
            <w:r w:rsidRPr="00E804D1">
              <w:rPr>
                <w:lang w:eastAsia="en-AU"/>
              </w:rPr>
              <w:t>cost</w:t>
            </w:r>
            <w:r>
              <w:rPr>
                <w:lang w:eastAsia="en-AU"/>
              </w:rPr>
              <w:t xml:space="preserve"> </w:t>
            </w:r>
            <w:r w:rsidRPr="00E804D1">
              <w:rPr>
                <w:lang w:eastAsia="en-AU"/>
              </w:rPr>
              <w:t>(AC)</w:t>
            </w:r>
          </w:p>
          <w:p w14:paraId="48B81486" w14:textId="77777777" w:rsidR="006E51BF" w:rsidRPr="00E804D1"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804D1">
              <w:rPr>
                <w:lang w:eastAsia="en-AU"/>
              </w:rPr>
              <w:t>$M</w:t>
            </w:r>
          </w:p>
        </w:tc>
        <w:tc>
          <w:tcPr>
            <w:cnfStyle w:val="000001000000" w:firstRow="0" w:lastRow="0" w:firstColumn="0" w:lastColumn="0" w:oddVBand="0" w:evenVBand="1" w:oddHBand="0" w:evenHBand="0" w:firstRowFirstColumn="0" w:firstRowLastColumn="0" w:lastRowFirstColumn="0" w:lastRowLastColumn="0"/>
            <w:tcW w:w="790" w:type="pct"/>
            <w:tcMar>
              <w:right w:w="0" w:type="nil"/>
            </w:tcMar>
            <w:hideMark/>
          </w:tcPr>
          <w:p w14:paraId="58F83C09" w14:textId="77777777" w:rsidR="006E51BF" w:rsidRPr="00E804D1" w:rsidRDefault="006E51BF">
            <w:pPr>
              <w:pStyle w:val="ARfintablecolheadright"/>
              <w:rPr>
                <w:lang w:eastAsia="en-AU"/>
              </w:rPr>
            </w:pPr>
            <w:r w:rsidRPr="00E804D1">
              <w:rPr>
                <w:lang w:eastAsia="en-AU"/>
              </w:rPr>
              <w:t>Financial</w:t>
            </w:r>
            <w:r>
              <w:rPr>
                <w:lang w:eastAsia="en-AU"/>
              </w:rPr>
              <w:t xml:space="preserve"> </w:t>
            </w:r>
            <w:r w:rsidRPr="00E804D1">
              <w:rPr>
                <w:lang w:eastAsia="en-AU"/>
              </w:rPr>
              <w:t>liabilities</w:t>
            </w:r>
            <w:r>
              <w:rPr>
                <w:lang w:eastAsia="en-AU"/>
              </w:rPr>
              <w:t xml:space="preserve"> </w:t>
            </w:r>
            <w:r w:rsidRPr="00E804D1">
              <w:rPr>
                <w:lang w:eastAsia="en-AU"/>
              </w:rPr>
              <w:t>at</w:t>
            </w:r>
            <w:r>
              <w:rPr>
                <w:lang w:eastAsia="en-AU"/>
              </w:rPr>
              <w:t xml:space="preserve"> </w:t>
            </w:r>
            <w:r w:rsidRPr="00E804D1">
              <w:rPr>
                <w:lang w:eastAsia="en-AU"/>
              </w:rPr>
              <w:t>amortised</w:t>
            </w:r>
            <w:r>
              <w:rPr>
                <w:lang w:eastAsia="en-AU"/>
              </w:rPr>
              <w:t xml:space="preserve"> </w:t>
            </w:r>
            <w:r w:rsidRPr="00E804D1">
              <w:rPr>
                <w:lang w:eastAsia="en-AU"/>
              </w:rPr>
              <w:t>cost</w:t>
            </w:r>
            <w:r>
              <w:rPr>
                <w:lang w:eastAsia="en-AU"/>
              </w:rPr>
              <w:t xml:space="preserve"> </w:t>
            </w:r>
            <w:r w:rsidRPr="00E804D1">
              <w:rPr>
                <w:lang w:eastAsia="en-AU"/>
              </w:rPr>
              <w:t>(AC)</w:t>
            </w:r>
          </w:p>
          <w:p w14:paraId="4623F990" w14:textId="77777777" w:rsidR="006E51BF" w:rsidRPr="00E804D1" w:rsidRDefault="006E51BF">
            <w:pPr>
              <w:pStyle w:val="ARfintablecolheadright"/>
              <w:rPr>
                <w:lang w:eastAsia="en-AU"/>
              </w:rPr>
            </w:pPr>
            <w:r w:rsidRPr="00E804D1">
              <w:rPr>
                <w:lang w:eastAsia="en-AU"/>
              </w:rPr>
              <w:t>$M</w:t>
            </w:r>
          </w:p>
        </w:tc>
        <w:tc>
          <w:tcPr>
            <w:tcW w:w="791" w:type="pct"/>
            <w:tcMar>
              <w:right w:w="0" w:type="nil"/>
            </w:tcMar>
            <w:hideMark/>
          </w:tcPr>
          <w:p w14:paraId="6D29F069" w14:textId="77777777" w:rsidR="006E51BF" w:rsidRPr="00E804D1"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804D1">
              <w:rPr>
                <w:lang w:eastAsia="en-AU"/>
              </w:rPr>
              <w:t>Total</w:t>
            </w:r>
          </w:p>
          <w:p w14:paraId="7CF8E9F2" w14:textId="77777777" w:rsidR="006E51BF" w:rsidRPr="00E804D1"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804D1">
              <w:rPr>
                <w:lang w:eastAsia="en-AU"/>
              </w:rPr>
              <w:t>$M</w:t>
            </w:r>
          </w:p>
        </w:tc>
      </w:tr>
      <w:tr w:rsidR="006E51BF" w:rsidRPr="00E804D1" w14:paraId="40F42478"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839" w:type="pct"/>
            <w:noWrap/>
            <w:hideMark/>
          </w:tcPr>
          <w:p w14:paraId="06607733" w14:textId="77777777" w:rsidR="006E51BF" w:rsidRPr="00E804D1" w:rsidRDefault="006E51BF">
            <w:pPr>
              <w:pStyle w:val="ARfintabletextboldcoloured"/>
              <w:rPr>
                <w:lang w:eastAsia="en-AU"/>
              </w:rPr>
            </w:pPr>
            <w:r w:rsidRPr="00E804D1">
              <w:rPr>
                <w:lang w:eastAsia="en-AU"/>
              </w:rPr>
              <w:t xml:space="preserve">Contractual financial assets </w:t>
            </w:r>
          </w:p>
        </w:tc>
        <w:tc>
          <w:tcPr>
            <w:cnfStyle w:val="000001000000" w:firstRow="0" w:lastRow="0" w:firstColumn="0" w:lastColumn="0" w:oddVBand="0" w:evenVBand="1" w:oddHBand="0" w:evenHBand="0" w:firstRowFirstColumn="0" w:firstRowLastColumn="0" w:lastRowFirstColumn="0" w:lastRowLastColumn="0"/>
            <w:tcW w:w="790" w:type="pct"/>
            <w:shd w:val="clear" w:color="auto" w:fill="auto"/>
            <w:noWrap/>
            <w:tcMar>
              <w:right w:w="0" w:type="nil"/>
            </w:tcMar>
            <w:hideMark/>
          </w:tcPr>
          <w:p w14:paraId="3DC9A4B0" w14:textId="77777777" w:rsidR="006E51BF" w:rsidRPr="00E804D1" w:rsidRDefault="006E51BF">
            <w:pPr>
              <w:pStyle w:val="ARfintabletextright"/>
              <w:rPr>
                <w:lang w:eastAsia="en-AU"/>
              </w:rPr>
            </w:pPr>
          </w:p>
        </w:tc>
        <w:tc>
          <w:tcPr>
            <w:tcW w:w="791" w:type="pct"/>
            <w:noWrap/>
            <w:tcMar>
              <w:right w:w="0" w:type="nil"/>
            </w:tcMar>
            <w:hideMark/>
          </w:tcPr>
          <w:p w14:paraId="7BBFC083" w14:textId="77777777" w:rsidR="006E51BF" w:rsidRPr="00E804D1"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790" w:type="pct"/>
            <w:shd w:val="clear" w:color="auto" w:fill="auto"/>
            <w:noWrap/>
            <w:tcMar>
              <w:right w:w="0" w:type="nil"/>
            </w:tcMar>
            <w:hideMark/>
          </w:tcPr>
          <w:p w14:paraId="064953DC" w14:textId="77777777" w:rsidR="006E51BF" w:rsidRPr="00E804D1" w:rsidRDefault="006E51BF">
            <w:pPr>
              <w:pStyle w:val="ARfintabletextright"/>
              <w:rPr>
                <w:lang w:eastAsia="en-AU"/>
              </w:rPr>
            </w:pPr>
          </w:p>
        </w:tc>
        <w:tc>
          <w:tcPr>
            <w:tcW w:w="791" w:type="pct"/>
            <w:noWrap/>
            <w:tcMar>
              <w:right w:w="0" w:type="nil"/>
            </w:tcMar>
            <w:hideMark/>
          </w:tcPr>
          <w:p w14:paraId="4622D28C" w14:textId="77777777" w:rsidR="006E51BF" w:rsidRPr="00E804D1"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E804D1" w14:paraId="7F70FB06"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839" w:type="pct"/>
            <w:noWrap/>
            <w:hideMark/>
          </w:tcPr>
          <w:p w14:paraId="7127E0BD" w14:textId="77777777" w:rsidR="006E51BF" w:rsidRPr="00E804D1" w:rsidRDefault="006E51BF">
            <w:pPr>
              <w:pStyle w:val="ARfintabletext"/>
              <w:rPr>
                <w:lang w:eastAsia="en-AU"/>
              </w:rPr>
            </w:pPr>
            <w:r w:rsidRPr="00E804D1">
              <w:rPr>
                <w:lang w:eastAsia="en-AU"/>
              </w:rPr>
              <w:t xml:space="preserve">Cash and deposits </w:t>
            </w:r>
          </w:p>
        </w:tc>
        <w:tc>
          <w:tcPr>
            <w:cnfStyle w:val="000001000000" w:firstRow="0" w:lastRow="0" w:firstColumn="0" w:lastColumn="0" w:oddVBand="0" w:evenVBand="1" w:oddHBand="0" w:evenHBand="0" w:firstRowFirstColumn="0" w:firstRowLastColumn="0" w:lastRowFirstColumn="0" w:lastRowLastColumn="0"/>
            <w:tcW w:w="790" w:type="pct"/>
            <w:noWrap/>
            <w:tcMar>
              <w:right w:w="0" w:type="nil"/>
            </w:tcMar>
            <w:hideMark/>
          </w:tcPr>
          <w:p w14:paraId="21E5A800" w14:textId="77777777" w:rsidR="006E51BF" w:rsidRPr="00E804D1" w:rsidRDefault="006E51BF">
            <w:pPr>
              <w:pStyle w:val="ARfintabletextright"/>
              <w:rPr>
                <w:lang w:eastAsia="en-AU"/>
              </w:rPr>
            </w:pPr>
            <w:r w:rsidRPr="00E804D1">
              <w:rPr>
                <w:lang w:eastAsia="en-AU"/>
              </w:rPr>
              <w:t>1,312.2</w:t>
            </w:r>
          </w:p>
        </w:tc>
        <w:tc>
          <w:tcPr>
            <w:tcW w:w="791" w:type="pct"/>
            <w:noWrap/>
            <w:tcMar>
              <w:right w:w="0" w:type="nil"/>
            </w:tcMar>
            <w:hideMark/>
          </w:tcPr>
          <w:p w14:paraId="026ACCDD" w14:textId="77777777" w:rsidR="006E51BF" w:rsidRPr="00E804D1"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90" w:type="pct"/>
            <w:noWrap/>
            <w:tcMar>
              <w:right w:w="0" w:type="nil"/>
            </w:tcMar>
            <w:hideMark/>
          </w:tcPr>
          <w:p w14:paraId="5641EAFD" w14:textId="77777777" w:rsidR="006E51BF" w:rsidRPr="00E804D1" w:rsidRDefault="006E51BF">
            <w:pPr>
              <w:pStyle w:val="ARfintabletextright"/>
              <w:rPr>
                <w:lang w:eastAsia="en-AU"/>
              </w:rPr>
            </w:pPr>
            <w:r>
              <w:rPr>
                <w:lang w:eastAsia="en-AU"/>
              </w:rPr>
              <w:t>–</w:t>
            </w:r>
          </w:p>
        </w:tc>
        <w:tc>
          <w:tcPr>
            <w:tcW w:w="791" w:type="pct"/>
            <w:noWrap/>
            <w:tcMar>
              <w:right w:w="0" w:type="nil"/>
            </w:tcMar>
            <w:hideMark/>
          </w:tcPr>
          <w:p w14:paraId="39E0C84D" w14:textId="77777777" w:rsidR="006E51BF" w:rsidRPr="00E804D1"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E804D1">
              <w:rPr>
                <w:lang w:eastAsia="en-AU"/>
              </w:rPr>
              <w:t>1,312.2</w:t>
            </w:r>
          </w:p>
        </w:tc>
      </w:tr>
      <w:tr w:rsidR="006E51BF" w:rsidRPr="00E804D1" w14:paraId="359FBBB3"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839" w:type="pct"/>
            <w:tcBorders>
              <w:bottom w:val="single" w:sz="4" w:space="0" w:color="BFBFBF" w:themeColor="accent2"/>
            </w:tcBorders>
            <w:noWrap/>
            <w:hideMark/>
          </w:tcPr>
          <w:p w14:paraId="2C5B1934" w14:textId="77777777" w:rsidR="006E51BF" w:rsidRPr="00E804D1" w:rsidRDefault="006E51BF">
            <w:pPr>
              <w:pStyle w:val="ARfintabletext"/>
              <w:rPr>
                <w:lang w:eastAsia="en-AU"/>
              </w:rPr>
            </w:pPr>
            <w:r w:rsidRPr="00E804D1">
              <w:rPr>
                <w:lang w:eastAsia="en-AU"/>
              </w:rPr>
              <w:t xml:space="preserve">Receivables </w:t>
            </w:r>
            <w:r w:rsidRPr="00E804D1">
              <w:rPr>
                <w:szCs w:val="18"/>
                <w:vertAlign w:val="superscript"/>
                <w:lang w:eastAsia="en-AU"/>
              </w:rPr>
              <w:t>(</w:t>
            </w:r>
            <w:proofErr w:type="spellStart"/>
            <w:r w:rsidRPr="00E804D1">
              <w:rPr>
                <w:szCs w:val="18"/>
                <w:vertAlign w:val="superscript"/>
                <w:lang w:eastAsia="en-AU"/>
              </w:rPr>
              <w:t>i</w:t>
            </w:r>
            <w:proofErr w:type="spellEnd"/>
            <w:r w:rsidRPr="00E804D1">
              <w:rPr>
                <w:szCs w:val="18"/>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790" w:type="pct"/>
            <w:tcBorders>
              <w:bottom w:val="single" w:sz="4" w:space="0" w:color="BFBFBF" w:themeColor="accent2"/>
            </w:tcBorders>
            <w:noWrap/>
            <w:tcMar>
              <w:right w:w="0" w:type="nil"/>
            </w:tcMar>
            <w:hideMark/>
          </w:tcPr>
          <w:p w14:paraId="3DE2BBD4" w14:textId="77777777" w:rsidR="006E51BF" w:rsidRPr="00E804D1" w:rsidRDefault="006E51BF">
            <w:pPr>
              <w:pStyle w:val="ARfintabletextright"/>
              <w:rPr>
                <w:lang w:eastAsia="en-AU"/>
              </w:rPr>
            </w:pPr>
            <w:r>
              <w:rPr>
                <w:lang w:eastAsia="en-AU"/>
              </w:rPr>
              <w:t>–</w:t>
            </w:r>
          </w:p>
        </w:tc>
        <w:tc>
          <w:tcPr>
            <w:tcW w:w="791" w:type="pct"/>
            <w:tcBorders>
              <w:bottom w:val="single" w:sz="4" w:space="0" w:color="BFBFBF" w:themeColor="accent2"/>
            </w:tcBorders>
            <w:noWrap/>
            <w:tcMar>
              <w:right w:w="0" w:type="nil"/>
            </w:tcMar>
            <w:hideMark/>
          </w:tcPr>
          <w:p w14:paraId="3E4C88FC" w14:textId="77777777" w:rsidR="006E51BF" w:rsidRPr="00E804D1"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E804D1">
              <w:rPr>
                <w:lang w:eastAsia="en-AU"/>
              </w:rPr>
              <w:t>225.4</w:t>
            </w:r>
          </w:p>
        </w:tc>
        <w:tc>
          <w:tcPr>
            <w:cnfStyle w:val="000001000000" w:firstRow="0" w:lastRow="0" w:firstColumn="0" w:lastColumn="0" w:oddVBand="0" w:evenVBand="1" w:oddHBand="0" w:evenHBand="0" w:firstRowFirstColumn="0" w:firstRowLastColumn="0" w:lastRowFirstColumn="0" w:lastRowLastColumn="0"/>
            <w:tcW w:w="790" w:type="pct"/>
            <w:tcBorders>
              <w:bottom w:val="single" w:sz="4" w:space="0" w:color="BFBFBF" w:themeColor="accent2"/>
            </w:tcBorders>
            <w:noWrap/>
            <w:tcMar>
              <w:right w:w="0" w:type="nil"/>
            </w:tcMar>
            <w:hideMark/>
          </w:tcPr>
          <w:p w14:paraId="193004A4" w14:textId="77777777" w:rsidR="006E51BF" w:rsidRPr="00E804D1" w:rsidRDefault="006E51BF">
            <w:pPr>
              <w:pStyle w:val="ARfintabletextright"/>
              <w:rPr>
                <w:lang w:eastAsia="en-AU"/>
              </w:rPr>
            </w:pPr>
            <w:r>
              <w:rPr>
                <w:lang w:eastAsia="en-AU"/>
              </w:rPr>
              <w:t>–</w:t>
            </w:r>
          </w:p>
        </w:tc>
        <w:tc>
          <w:tcPr>
            <w:tcW w:w="791" w:type="pct"/>
            <w:tcBorders>
              <w:bottom w:val="single" w:sz="4" w:space="0" w:color="BFBFBF" w:themeColor="accent2"/>
            </w:tcBorders>
            <w:noWrap/>
            <w:tcMar>
              <w:right w:w="0" w:type="nil"/>
            </w:tcMar>
            <w:hideMark/>
          </w:tcPr>
          <w:p w14:paraId="622EB9EE" w14:textId="77777777" w:rsidR="006E51BF" w:rsidRPr="00E804D1"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E804D1">
              <w:rPr>
                <w:lang w:eastAsia="en-AU"/>
              </w:rPr>
              <w:t>225.4</w:t>
            </w:r>
          </w:p>
        </w:tc>
      </w:tr>
      <w:tr w:rsidR="006E51BF" w:rsidRPr="00E804D1" w14:paraId="32969594"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839" w:type="pct"/>
            <w:tcBorders>
              <w:top w:val="single" w:sz="4" w:space="0" w:color="BFBFBF" w:themeColor="accent2"/>
              <w:bottom w:val="single" w:sz="4" w:space="0" w:color="000000" w:themeColor="text1"/>
            </w:tcBorders>
            <w:noWrap/>
            <w:hideMark/>
          </w:tcPr>
          <w:p w14:paraId="4BF08C81" w14:textId="0D528490" w:rsidR="006E51BF" w:rsidRPr="00E804D1" w:rsidRDefault="006E51BF">
            <w:pPr>
              <w:pStyle w:val="ARfintabletext"/>
              <w:rPr>
                <w:lang w:eastAsia="en-AU"/>
              </w:rPr>
            </w:pPr>
            <w:r w:rsidRPr="00E804D1">
              <w:rPr>
                <w:lang w:eastAsia="en-AU"/>
              </w:rPr>
              <w:t>Loans</w:t>
            </w:r>
            <w:r w:rsidR="000D67BA">
              <w:rPr>
                <w:lang w:eastAsia="en-AU"/>
              </w:rPr>
              <w:t xml:space="preserve"> </w:t>
            </w:r>
          </w:p>
        </w:tc>
        <w:tc>
          <w:tcPr>
            <w:cnfStyle w:val="000001000000" w:firstRow="0" w:lastRow="0" w:firstColumn="0" w:lastColumn="0" w:oddVBand="0" w:evenVBand="1" w:oddHBand="0" w:evenHBand="0" w:firstRowFirstColumn="0" w:firstRowLastColumn="0" w:lastRowFirstColumn="0" w:lastRowLastColumn="0"/>
            <w:tcW w:w="790" w:type="pct"/>
            <w:tcBorders>
              <w:top w:val="single" w:sz="4" w:space="0" w:color="BFBFBF" w:themeColor="accent2"/>
              <w:bottom w:val="single" w:sz="4" w:space="0" w:color="000000" w:themeColor="text1"/>
            </w:tcBorders>
            <w:noWrap/>
            <w:tcMar>
              <w:right w:w="0" w:type="nil"/>
            </w:tcMar>
            <w:hideMark/>
          </w:tcPr>
          <w:p w14:paraId="664B1FD4" w14:textId="77777777" w:rsidR="006E51BF" w:rsidRPr="00E804D1" w:rsidRDefault="006E51BF">
            <w:pPr>
              <w:pStyle w:val="ARfintabletextright"/>
              <w:rPr>
                <w:lang w:eastAsia="en-AU"/>
              </w:rPr>
            </w:pPr>
            <w:r>
              <w:rPr>
                <w:lang w:eastAsia="en-AU"/>
              </w:rPr>
              <w:t>–</w:t>
            </w:r>
          </w:p>
        </w:tc>
        <w:tc>
          <w:tcPr>
            <w:tcW w:w="791" w:type="pct"/>
            <w:tcBorders>
              <w:top w:val="single" w:sz="4" w:space="0" w:color="BFBFBF" w:themeColor="accent2"/>
              <w:bottom w:val="single" w:sz="4" w:space="0" w:color="000000" w:themeColor="text1"/>
            </w:tcBorders>
            <w:noWrap/>
            <w:tcMar>
              <w:right w:w="0" w:type="nil"/>
            </w:tcMar>
            <w:hideMark/>
          </w:tcPr>
          <w:p w14:paraId="6B110897" w14:textId="77777777" w:rsidR="006E51BF" w:rsidRPr="00E804D1"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E804D1">
              <w:rPr>
                <w:lang w:eastAsia="en-AU"/>
              </w:rPr>
              <w:t>66.7</w:t>
            </w:r>
          </w:p>
        </w:tc>
        <w:tc>
          <w:tcPr>
            <w:cnfStyle w:val="000001000000" w:firstRow="0" w:lastRow="0" w:firstColumn="0" w:lastColumn="0" w:oddVBand="0" w:evenVBand="1" w:oddHBand="0" w:evenHBand="0" w:firstRowFirstColumn="0" w:firstRowLastColumn="0" w:lastRowFirstColumn="0" w:lastRowLastColumn="0"/>
            <w:tcW w:w="790" w:type="pct"/>
            <w:tcBorders>
              <w:top w:val="single" w:sz="4" w:space="0" w:color="BFBFBF" w:themeColor="accent2"/>
              <w:bottom w:val="single" w:sz="4" w:space="0" w:color="000000" w:themeColor="text1"/>
            </w:tcBorders>
            <w:noWrap/>
            <w:tcMar>
              <w:right w:w="0" w:type="nil"/>
            </w:tcMar>
            <w:hideMark/>
          </w:tcPr>
          <w:p w14:paraId="07837D5F" w14:textId="77777777" w:rsidR="006E51BF" w:rsidRPr="00E804D1" w:rsidRDefault="006E51BF">
            <w:pPr>
              <w:pStyle w:val="ARfintabletextright"/>
              <w:rPr>
                <w:lang w:eastAsia="en-AU"/>
              </w:rPr>
            </w:pPr>
            <w:r>
              <w:rPr>
                <w:lang w:eastAsia="en-AU"/>
              </w:rPr>
              <w:t>–</w:t>
            </w:r>
          </w:p>
        </w:tc>
        <w:tc>
          <w:tcPr>
            <w:tcW w:w="791" w:type="pct"/>
            <w:tcBorders>
              <w:top w:val="single" w:sz="4" w:space="0" w:color="BFBFBF" w:themeColor="accent2"/>
              <w:bottom w:val="single" w:sz="4" w:space="0" w:color="000000" w:themeColor="text1"/>
            </w:tcBorders>
            <w:noWrap/>
            <w:tcMar>
              <w:right w:w="0" w:type="nil"/>
            </w:tcMar>
            <w:hideMark/>
          </w:tcPr>
          <w:p w14:paraId="5A6D6A5F" w14:textId="77777777" w:rsidR="006E51BF" w:rsidRPr="00E804D1"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E804D1">
              <w:rPr>
                <w:lang w:eastAsia="en-AU"/>
              </w:rPr>
              <w:t>66.7</w:t>
            </w:r>
          </w:p>
        </w:tc>
      </w:tr>
      <w:tr w:rsidR="006E51BF" w:rsidRPr="00E804D1" w14:paraId="0D134353"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839" w:type="pct"/>
            <w:tcBorders>
              <w:top w:val="single" w:sz="4" w:space="0" w:color="000000" w:themeColor="text1"/>
              <w:bottom w:val="single" w:sz="4" w:space="0" w:color="000000" w:themeColor="text1"/>
            </w:tcBorders>
            <w:noWrap/>
            <w:hideMark/>
          </w:tcPr>
          <w:p w14:paraId="55F52B27" w14:textId="77777777" w:rsidR="006E51BF" w:rsidRPr="00E804D1" w:rsidRDefault="006E51BF">
            <w:pPr>
              <w:pStyle w:val="ARfintabletextbold"/>
              <w:rPr>
                <w:lang w:eastAsia="en-AU"/>
              </w:rPr>
            </w:pPr>
            <w:r w:rsidRPr="00E804D1">
              <w:rPr>
                <w:lang w:eastAsia="en-AU"/>
              </w:rPr>
              <w:t xml:space="preserve">Total contractual financial assets </w:t>
            </w:r>
          </w:p>
        </w:tc>
        <w:tc>
          <w:tcPr>
            <w:cnfStyle w:val="000001000000" w:firstRow="0" w:lastRow="0" w:firstColumn="0" w:lastColumn="0" w:oddVBand="0" w:evenVBand="1" w:oddHBand="0" w:evenHBand="0" w:firstRowFirstColumn="0" w:firstRowLastColumn="0" w:lastRowFirstColumn="0" w:lastRowLastColumn="0"/>
            <w:tcW w:w="790" w:type="pct"/>
            <w:tcBorders>
              <w:top w:val="single" w:sz="4" w:space="0" w:color="000000" w:themeColor="text1"/>
              <w:bottom w:val="single" w:sz="4" w:space="0" w:color="000000" w:themeColor="text1"/>
            </w:tcBorders>
            <w:noWrap/>
            <w:tcMar>
              <w:right w:w="0" w:type="nil"/>
            </w:tcMar>
            <w:hideMark/>
          </w:tcPr>
          <w:p w14:paraId="39854F96" w14:textId="77777777" w:rsidR="006E51BF" w:rsidRPr="00E804D1" w:rsidRDefault="006E51BF">
            <w:pPr>
              <w:pStyle w:val="ARfintabletextboldright"/>
              <w:rPr>
                <w:lang w:eastAsia="en-AU"/>
              </w:rPr>
            </w:pPr>
            <w:r w:rsidRPr="00E804D1">
              <w:rPr>
                <w:lang w:eastAsia="en-AU"/>
              </w:rPr>
              <w:t>1,312.2</w:t>
            </w:r>
          </w:p>
        </w:tc>
        <w:tc>
          <w:tcPr>
            <w:tcW w:w="791" w:type="pct"/>
            <w:tcBorders>
              <w:top w:val="single" w:sz="4" w:space="0" w:color="000000" w:themeColor="text1"/>
              <w:bottom w:val="single" w:sz="4" w:space="0" w:color="000000" w:themeColor="text1"/>
            </w:tcBorders>
            <w:noWrap/>
            <w:tcMar>
              <w:right w:w="0" w:type="nil"/>
            </w:tcMar>
            <w:hideMark/>
          </w:tcPr>
          <w:p w14:paraId="4A4AEDDB" w14:textId="77777777" w:rsidR="006E51BF" w:rsidRPr="00E804D1"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E804D1">
              <w:rPr>
                <w:lang w:eastAsia="en-AU"/>
              </w:rPr>
              <w:t>292.1</w:t>
            </w:r>
          </w:p>
        </w:tc>
        <w:tc>
          <w:tcPr>
            <w:cnfStyle w:val="000001000000" w:firstRow="0" w:lastRow="0" w:firstColumn="0" w:lastColumn="0" w:oddVBand="0" w:evenVBand="1" w:oddHBand="0" w:evenHBand="0" w:firstRowFirstColumn="0" w:firstRowLastColumn="0" w:lastRowFirstColumn="0" w:lastRowLastColumn="0"/>
            <w:tcW w:w="790" w:type="pct"/>
            <w:tcBorders>
              <w:top w:val="single" w:sz="4" w:space="0" w:color="000000" w:themeColor="text1"/>
              <w:bottom w:val="single" w:sz="4" w:space="0" w:color="000000" w:themeColor="text1"/>
            </w:tcBorders>
            <w:noWrap/>
            <w:tcMar>
              <w:right w:w="0" w:type="nil"/>
            </w:tcMar>
            <w:hideMark/>
          </w:tcPr>
          <w:p w14:paraId="3793C586" w14:textId="77777777" w:rsidR="006E51BF" w:rsidRPr="00E804D1" w:rsidRDefault="006E51BF">
            <w:pPr>
              <w:pStyle w:val="ARfintabletextboldright"/>
              <w:rPr>
                <w:lang w:eastAsia="en-AU"/>
              </w:rPr>
            </w:pPr>
            <w:r>
              <w:rPr>
                <w:lang w:eastAsia="en-AU"/>
              </w:rPr>
              <w:t>–</w:t>
            </w:r>
          </w:p>
        </w:tc>
        <w:tc>
          <w:tcPr>
            <w:tcW w:w="791" w:type="pct"/>
            <w:tcBorders>
              <w:top w:val="single" w:sz="4" w:space="0" w:color="000000" w:themeColor="text1"/>
              <w:bottom w:val="single" w:sz="4" w:space="0" w:color="000000" w:themeColor="text1"/>
            </w:tcBorders>
            <w:noWrap/>
            <w:tcMar>
              <w:right w:w="0" w:type="nil"/>
            </w:tcMar>
            <w:hideMark/>
          </w:tcPr>
          <w:p w14:paraId="3B0D6CCA" w14:textId="77777777" w:rsidR="006E51BF" w:rsidRPr="00E804D1"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E804D1">
              <w:rPr>
                <w:lang w:eastAsia="en-AU"/>
              </w:rPr>
              <w:t>1,604.3</w:t>
            </w:r>
          </w:p>
        </w:tc>
      </w:tr>
      <w:tr w:rsidR="006E51BF" w:rsidRPr="00E804D1" w14:paraId="1E96CF8B"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839" w:type="pct"/>
            <w:tcBorders>
              <w:top w:val="single" w:sz="4" w:space="0" w:color="000000" w:themeColor="text1"/>
            </w:tcBorders>
            <w:noWrap/>
            <w:hideMark/>
          </w:tcPr>
          <w:p w14:paraId="370A74A2" w14:textId="77777777" w:rsidR="006E51BF" w:rsidRPr="00E804D1" w:rsidRDefault="006E51BF">
            <w:pPr>
              <w:pStyle w:val="ARfintabletextboldcoloured"/>
              <w:rPr>
                <w:lang w:eastAsia="en-AU"/>
              </w:rPr>
            </w:pPr>
            <w:r w:rsidRPr="00E804D1">
              <w:rPr>
                <w:lang w:eastAsia="en-AU"/>
              </w:rPr>
              <w:t xml:space="preserve">Contractual financial liabilities </w:t>
            </w:r>
          </w:p>
        </w:tc>
        <w:tc>
          <w:tcPr>
            <w:cnfStyle w:val="000001000000" w:firstRow="0" w:lastRow="0" w:firstColumn="0" w:lastColumn="0" w:oddVBand="0" w:evenVBand="1" w:oddHBand="0" w:evenHBand="0" w:firstRowFirstColumn="0" w:firstRowLastColumn="0" w:lastRowFirstColumn="0" w:lastRowLastColumn="0"/>
            <w:tcW w:w="790" w:type="pct"/>
            <w:tcBorders>
              <w:top w:val="single" w:sz="4" w:space="0" w:color="000000" w:themeColor="text1"/>
            </w:tcBorders>
            <w:shd w:val="clear" w:color="auto" w:fill="auto"/>
            <w:noWrap/>
            <w:tcMar>
              <w:right w:w="0" w:type="nil"/>
            </w:tcMar>
            <w:hideMark/>
          </w:tcPr>
          <w:p w14:paraId="27294E82" w14:textId="77777777" w:rsidR="006E51BF" w:rsidRPr="00E804D1" w:rsidRDefault="006E51BF">
            <w:pPr>
              <w:pStyle w:val="ARfintabletextright"/>
              <w:rPr>
                <w:lang w:eastAsia="en-AU"/>
              </w:rPr>
            </w:pPr>
          </w:p>
        </w:tc>
        <w:tc>
          <w:tcPr>
            <w:tcW w:w="791" w:type="pct"/>
            <w:tcBorders>
              <w:top w:val="single" w:sz="4" w:space="0" w:color="000000" w:themeColor="text1"/>
            </w:tcBorders>
            <w:noWrap/>
            <w:tcMar>
              <w:right w:w="0" w:type="nil"/>
            </w:tcMar>
            <w:hideMark/>
          </w:tcPr>
          <w:p w14:paraId="76B59B07" w14:textId="77777777" w:rsidR="006E51BF" w:rsidRPr="00E804D1"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790" w:type="pct"/>
            <w:tcBorders>
              <w:top w:val="single" w:sz="4" w:space="0" w:color="000000" w:themeColor="text1"/>
            </w:tcBorders>
            <w:shd w:val="clear" w:color="auto" w:fill="auto"/>
            <w:noWrap/>
            <w:tcMar>
              <w:right w:w="0" w:type="nil"/>
            </w:tcMar>
            <w:hideMark/>
          </w:tcPr>
          <w:p w14:paraId="30095886" w14:textId="77777777" w:rsidR="006E51BF" w:rsidRPr="00E804D1" w:rsidRDefault="006E51BF">
            <w:pPr>
              <w:pStyle w:val="ARfintabletextright"/>
              <w:rPr>
                <w:lang w:eastAsia="en-AU"/>
              </w:rPr>
            </w:pPr>
          </w:p>
        </w:tc>
        <w:tc>
          <w:tcPr>
            <w:tcW w:w="791" w:type="pct"/>
            <w:tcBorders>
              <w:top w:val="single" w:sz="4" w:space="0" w:color="000000" w:themeColor="text1"/>
            </w:tcBorders>
            <w:noWrap/>
            <w:tcMar>
              <w:right w:w="0" w:type="nil"/>
            </w:tcMar>
            <w:hideMark/>
          </w:tcPr>
          <w:p w14:paraId="7195E59E" w14:textId="77777777" w:rsidR="006E51BF" w:rsidRPr="00E804D1"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r>
      <w:tr w:rsidR="006E51BF" w:rsidRPr="00E804D1" w14:paraId="08EF8C0E"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839" w:type="pct"/>
            <w:noWrap/>
            <w:hideMark/>
          </w:tcPr>
          <w:p w14:paraId="1AA4C5C4" w14:textId="77777777" w:rsidR="006E51BF" w:rsidRPr="00E804D1" w:rsidRDefault="006E51BF">
            <w:pPr>
              <w:pStyle w:val="ARfintabletext"/>
              <w:rPr>
                <w:lang w:eastAsia="en-AU"/>
              </w:rPr>
            </w:pPr>
            <w:r w:rsidRPr="00E804D1">
              <w:rPr>
                <w:lang w:eastAsia="en-AU"/>
              </w:rPr>
              <w:t xml:space="preserve">Payables </w:t>
            </w:r>
            <w:r w:rsidRPr="00E804D1">
              <w:rPr>
                <w:szCs w:val="18"/>
                <w:vertAlign w:val="superscript"/>
                <w:lang w:eastAsia="en-AU"/>
              </w:rPr>
              <w:t>(</w:t>
            </w:r>
            <w:proofErr w:type="spellStart"/>
            <w:r w:rsidRPr="00E804D1">
              <w:rPr>
                <w:szCs w:val="18"/>
                <w:vertAlign w:val="superscript"/>
                <w:lang w:eastAsia="en-AU"/>
              </w:rPr>
              <w:t>i</w:t>
            </w:r>
            <w:proofErr w:type="spellEnd"/>
            <w:r w:rsidRPr="00E804D1">
              <w:rPr>
                <w:szCs w:val="18"/>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790" w:type="pct"/>
            <w:noWrap/>
            <w:tcMar>
              <w:right w:w="0" w:type="nil"/>
            </w:tcMar>
            <w:hideMark/>
          </w:tcPr>
          <w:p w14:paraId="3E43A182" w14:textId="77777777" w:rsidR="006E51BF" w:rsidRPr="00E804D1" w:rsidRDefault="006E51BF">
            <w:pPr>
              <w:pStyle w:val="ARfintabletextright"/>
              <w:rPr>
                <w:lang w:eastAsia="en-AU"/>
              </w:rPr>
            </w:pPr>
            <w:r>
              <w:rPr>
                <w:lang w:eastAsia="en-AU"/>
              </w:rPr>
              <w:t>–</w:t>
            </w:r>
          </w:p>
        </w:tc>
        <w:tc>
          <w:tcPr>
            <w:tcW w:w="791" w:type="pct"/>
            <w:noWrap/>
            <w:tcMar>
              <w:right w:w="0" w:type="nil"/>
            </w:tcMar>
            <w:hideMark/>
          </w:tcPr>
          <w:p w14:paraId="4397BFA2" w14:textId="77777777" w:rsidR="006E51BF" w:rsidRPr="00E804D1"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90" w:type="pct"/>
            <w:noWrap/>
            <w:tcMar>
              <w:right w:w="0" w:type="nil"/>
            </w:tcMar>
            <w:hideMark/>
          </w:tcPr>
          <w:p w14:paraId="2F9F87AA" w14:textId="77777777" w:rsidR="006E51BF" w:rsidRPr="00E804D1" w:rsidRDefault="006E51BF">
            <w:pPr>
              <w:pStyle w:val="ARfintabletextright"/>
              <w:rPr>
                <w:lang w:eastAsia="en-AU"/>
              </w:rPr>
            </w:pPr>
            <w:r w:rsidRPr="00E804D1">
              <w:rPr>
                <w:lang w:eastAsia="en-AU"/>
              </w:rPr>
              <w:t>449.7</w:t>
            </w:r>
          </w:p>
        </w:tc>
        <w:tc>
          <w:tcPr>
            <w:tcW w:w="791" w:type="pct"/>
            <w:noWrap/>
            <w:tcMar>
              <w:right w:w="0" w:type="nil"/>
            </w:tcMar>
            <w:hideMark/>
          </w:tcPr>
          <w:p w14:paraId="1624481F" w14:textId="77777777" w:rsidR="006E51BF" w:rsidRPr="00E804D1"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E804D1">
              <w:rPr>
                <w:lang w:eastAsia="en-AU"/>
              </w:rPr>
              <w:t>449.7</w:t>
            </w:r>
          </w:p>
        </w:tc>
      </w:tr>
      <w:tr w:rsidR="006E51BF" w:rsidRPr="00E804D1" w14:paraId="2984EBEB"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839" w:type="pct"/>
            <w:noWrap/>
            <w:hideMark/>
          </w:tcPr>
          <w:p w14:paraId="68DCB0CD" w14:textId="77777777" w:rsidR="006E51BF" w:rsidRPr="00E804D1" w:rsidRDefault="006E51BF">
            <w:pPr>
              <w:pStyle w:val="ARfintabletext"/>
              <w:rPr>
                <w:lang w:eastAsia="en-AU"/>
              </w:rPr>
            </w:pPr>
            <w:r w:rsidRPr="00E804D1">
              <w:rPr>
                <w:lang w:eastAsia="en-AU"/>
              </w:rPr>
              <w:t>Borrowings</w:t>
            </w:r>
            <w:r w:rsidRPr="00E804D1">
              <w:rPr>
                <w:sz w:val="17"/>
                <w:szCs w:val="17"/>
                <w:vertAlign w:val="superscript"/>
                <w:lang w:eastAsia="en-AU"/>
              </w:rPr>
              <w:t xml:space="preserve"> (</w:t>
            </w:r>
            <w:proofErr w:type="spellStart"/>
            <w:r w:rsidRPr="00E804D1">
              <w:rPr>
                <w:sz w:val="17"/>
                <w:szCs w:val="17"/>
                <w:vertAlign w:val="superscript"/>
                <w:lang w:eastAsia="en-AU"/>
              </w:rPr>
              <w:t>i</w:t>
            </w:r>
            <w:proofErr w:type="spellEnd"/>
            <w:r w:rsidRPr="00E804D1">
              <w:rPr>
                <w:sz w:val="17"/>
                <w:szCs w:val="17"/>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790" w:type="pct"/>
            <w:noWrap/>
            <w:tcMar>
              <w:right w:w="0" w:type="nil"/>
            </w:tcMar>
            <w:hideMark/>
          </w:tcPr>
          <w:p w14:paraId="75779FC1" w14:textId="77777777" w:rsidR="006E51BF" w:rsidRPr="00E804D1" w:rsidRDefault="006E51BF">
            <w:pPr>
              <w:pStyle w:val="ARfintabletextright"/>
              <w:rPr>
                <w:lang w:eastAsia="en-AU"/>
              </w:rPr>
            </w:pPr>
            <w:r>
              <w:rPr>
                <w:lang w:eastAsia="en-AU"/>
              </w:rPr>
              <w:t>–</w:t>
            </w:r>
          </w:p>
        </w:tc>
        <w:tc>
          <w:tcPr>
            <w:tcW w:w="791" w:type="pct"/>
            <w:noWrap/>
            <w:tcMar>
              <w:right w:w="0" w:type="nil"/>
            </w:tcMar>
            <w:hideMark/>
          </w:tcPr>
          <w:p w14:paraId="0938B5EA" w14:textId="77777777" w:rsidR="006E51BF" w:rsidRPr="00E804D1"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90" w:type="pct"/>
            <w:noWrap/>
            <w:tcMar>
              <w:right w:w="0" w:type="nil"/>
            </w:tcMar>
            <w:hideMark/>
          </w:tcPr>
          <w:p w14:paraId="5FA77CCA" w14:textId="77777777" w:rsidR="006E51BF" w:rsidRPr="00E804D1" w:rsidRDefault="006E51BF">
            <w:pPr>
              <w:pStyle w:val="ARfintabletextright"/>
              <w:rPr>
                <w:lang w:eastAsia="en-AU"/>
              </w:rPr>
            </w:pPr>
            <w:r w:rsidRPr="00E804D1">
              <w:rPr>
                <w:lang w:eastAsia="en-AU"/>
              </w:rPr>
              <w:t>737.0</w:t>
            </w:r>
          </w:p>
        </w:tc>
        <w:tc>
          <w:tcPr>
            <w:tcW w:w="791" w:type="pct"/>
            <w:noWrap/>
            <w:tcMar>
              <w:right w:w="0" w:type="nil"/>
            </w:tcMar>
            <w:hideMark/>
          </w:tcPr>
          <w:p w14:paraId="376B46B9" w14:textId="77777777" w:rsidR="006E51BF" w:rsidRPr="00E804D1"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E804D1">
              <w:rPr>
                <w:lang w:eastAsia="en-AU"/>
              </w:rPr>
              <w:t>737.0</w:t>
            </w:r>
          </w:p>
        </w:tc>
      </w:tr>
      <w:tr w:rsidR="006E51BF" w:rsidRPr="00E804D1" w14:paraId="54568710"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1839" w:type="pct"/>
            <w:noWrap/>
            <w:hideMark/>
          </w:tcPr>
          <w:p w14:paraId="6B5B5F80" w14:textId="77777777" w:rsidR="006E51BF" w:rsidRPr="00E804D1" w:rsidRDefault="006E51BF">
            <w:pPr>
              <w:pStyle w:val="ARfintabletextbold"/>
              <w:rPr>
                <w:lang w:eastAsia="en-AU"/>
              </w:rPr>
            </w:pPr>
            <w:r w:rsidRPr="00E804D1">
              <w:rPr>
                <w:lang w:eastAsia="en-AU"/>
              </w:rPr>
              <w:t xml:space="preserve">Total contractual financial liabilities </w:t>
            </w:r>
          </w:p>
        </w:tc>
        <w:tc>
          <w:tcPr>
            <w:cnfStyle w:val="000001000000" w:firstRow="0" w:lastRow="0" w:firstColumn="0" w:lastColumn="0" w:oddVBand="0" w:evenVBand="1" w:oddHBand="0" w:evenHBand="0" w:firstRowFirstColumn="0" w:firstRowLastColumn="0" w:lastRowFirstColumn="0" w:lastRowLastColumn="0"/>
            <w:tcW w:w="790" w:type="pct"/>
            <w:noWrap/>
            <w:tcMar>
              <w:right w:w="0" w:type="nil"/>
            </w:tcMar>
            <w:hideMark/>
          </w:tcPr>
          <w:p w14:paraId="2B6B9621" w14:textId="77777777" w:rsidR="006E51BF" w:rsidRPr="00E804D1" w:rsidRDefault="006E51BF">
            <w:pPr>
              <w:pStyle w:val="ARfintabletextboldright"/>
              <w:rPr>
                <w:lang w:eastAsia="en-AU"/>
              </w:rPr>
            </w:pPr>
            <w:r>
              <w:rPr>
                <w:lang w:eastAsia="en-AU"/>
              </w:rPr>
              <w:t>–</w:t>
            </w:r>
          </w:p>
        </w:tc>
        <w:tc>
          <w:tcPr>
            <w:tcW w:w="791" w:type="pct"/>
            <w:noWrap/>
            <w:tcMar>
              <w:right w:w="0" w:type="nil"/>
            </w:tcMar>
            <w:hideMark/>
          </w:tcPr>
          <w:p w14:paraId="596B47BA" w14:textId="77777777" w:rsidR="006E51BF" w:rsidRPr="00E804D1"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90" w:type="pct"/>
            <w:noWrap/>
            <w:tcMar>
              <w:right w:w="0" w:type="nil"/>
            </w:tcMar>
            <w:hideMark/>
          </w:tcPr>
          <w:p w14:paraId="03AB9F50" w14:textId="77777777" w:rsidR="006E51BF" w:rsidRPr="00E804D1" w:rsidRDefault="006E51BF">
            <w:pPr>
              <w:pStyle w:val="ARfintabletextboldright"/>
              <w:rPr>
                <w:lang w:eastAsia="en-AU"/>
              </w:rPr>
            </w:pPr>
            <w:r w:rsidRPr="00E804D1">
              <w:rPr>
                <w:lang w:eastAsia="en-AU"/>
              </w:rPr>
              <w:t>1,186.7</w:t>
            </w:r>
          </w:p>
        </w:tc>
        <w:tc>
          <w:tcPr>
            <w:tcW w:w="791" w:type="pct"/>
            <w:noWrap/>
            <w:tcMar>
              <w:right w:w="0" w:type="nil"/>
            </w:tcMar>
            <w:hideMark/>
          </w:tcPr>
          <w:p w14:paraId="6A0B7363" w14:textId="77777777" w:rsidR="006E51BF" w:rsidRPr="00E804D1"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E804D1">
              <w:rPr>
                <w:lang w:eastAsia="en-AU"/>
              </w:rPr>
              <w:t>1,186.7</w:t>
            </w:r>
          </w:p>
        </w:tc>
      </w:tr>
    </w:tbl>
    <w:p w14:paraId="16885272" w14:textId="77777777" w:rsidR="006E51BF" w:rsidRPr="00E804D1" w:rsidRDefault="006E51BF">
      <w:pPr>
        <w:pStyle w:val="ARfintablenote"/>
        <w:rPr>
          <w:lang w:eastAsia="en-AU"/>
        </w:rPr>
      </w:pPr>
      <w:r w:rsidRPr="00E804D1">
        <w:rPr>
          <w:lang w:eastAsia="en-AU"/>
        </w:rPr>
        <w:t xml:space="preserve">Note: </w:t>
      </w:r>
    </w:p>
    <w:p w14:paraId="06CFACE5" w14:textId="77777777" w:rsidR="006E51BF" w:rsidRPr="00E804D1" w:rsidRDefault="006E51BF" w:rsidP="006E51BF">
      <w:pPr>
        <w:pStyle w:val="ARfintablenoteroman"/>
        <w:numPr>
          <w:ilvl w:val="0"/>
          <w:numId w:val="73"/>
        </w:numPr>
      </w:pPr>
      <w:r w:rsidRPr="00E804D1">
        <w:t xml:space="preserve">The total amounts disclosed here exclude statutory amounts e.g. amounts owing to/from Victorian Government and GST input tax credit recoverable and taxes payable. Refer to Note 6.1 for the breakdown of contractual and statutory receivables, </w:t>
      </w:r>
      <w:proofErr w:type="gramStart"/>
      <w:r w:rsidRPr="00E804D1">
        <w:t>Note</w:t>
      </w:r>
      <w:proofErr w:type="gramEnd"/>
      <w:r w:rsidRPr="00E804D1">
        <w:t xml:space="preserve"> 6.3 for the breakdown of contractual and statutory payables, and Note 7.1 for the breakdown of borrowings.</w:t>
      </w:r>
    </w:p>
    <w:p w14:paraId="6828799F" w14:textId="65086108" w:rsidR="006E51BF" w:rsidRPr="005E3EAF" w:rsidRDefault="006E51BF">
      <w:pPr>
        <w:pStyle w:val="Heading5"/>
        <w:rPr>
          <w:lang w:eastAsia="en-AU"/>
        </w:rPr>
      </w:pPr>
      <w:r w:rsidRPr="005E3EAF">
        <w:rPr>
          <w:lang w:eastAsia="en-AU"/>
        </w:rPr>
        <w:t xml:space="preserve">8.1.2 </w:t>
      </w:r>
      <w:r>
        <w:rPr>
          <w:lang w:eastAsia="en-AU"/>
        </w:rPr>
        <w:tab/>
      </w:r>
      <w:r w:rsidRPr="005E3EAF">
        <w:rPr>
          <w:lang w:eastAsia="en-AU"/>
        </w:rPr>
        <w:t>Financial instruments: Net holding gain/(loss) on financial instruments by category</w:t>
      </w:r>
    </w:p>
    <w:tbl>
      <w:tblPr>
        <w:tblStyle w:val="ARtable1"/>
        <w:tblW w:w="5000" w:type="pct"/>
        <w:tblLook w:val="00E0" w:firstRow="1" w:lastRow="1" w:firstColumn="1" w:lastColumn="0" w:noHBand="0" w:noVBand="0"/>
      </w:tblPr>
      <w:tblGrid>
        <w:gridCol w:w="7789"/>
        <w:gridCol w:w="1839"/>
      </w:tblGrid>
      <w:tr w:rsidR="006E51BF" w:rsidRPr="005E3EAF" w14:paraId="78FDF27C" w14:textId="77777777" w:rsidTr="00304BA9">
        <w:trPr>
          <w:cnfStyle w:val="100000000000" w:firstRow="1" w:lastRow="0" w:firstColumn="0" w:lastColumn="0" w:oddVBand="0" w:evenVBand="0" w:oddHBand="0" w:evenHBand="0" w:firstRowFirstColumn="0" w:firstRowLastColumn="0" w:lastRowFirstColumn="0" w:lastRowLastColumn="0"/>
          <w:trHeight w:val="719"/>
        </w:trPr>
        <w:tc>
          <w:tcPr>
            <w:tcW w:w="4045" w:type="pct"/>
            <w:hideMark/>
          </w:tcPr>
          <w:p w14:paraId="73CEBDF2" w14:textId="77777777" w:rsidR="006E51BF" w:rsidRPr="005E3EAF"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955" w:type="pct"/>
            <w:tcMar>
              <w:right w:w="0" w:type="nil"/>
            </w:tcMar>
            <w:hideMark/>
          </w:tcPr>
          <w:p w14:paraId="5D59F069" w14:textId="77777777" w:rsidR="006E51BF" w:rsidRPr="005E3EAF" w:rsidRDefault="006E51BF">
            <w:pPr>
              <w:pStyle w:val="ARfintablecolheadright"/>
              <w:rPr>
                <w:lang w:eastAsia="en-AU"/>
              </w:rPr>
            </w:pPr>
            <w:r w:rsidRPr="005E3EAF">
              <w:rPr>
                <w:lang w:eastAsia="en-AU"/>
              </w:rPr>
              <w:t>Total interest income/(expense)</w:t>
            </w:r>
          </w:p>
          <w:p w14:paraId="5E68E3F4" w14:textId="77777777" w:rsidR="006E51BF" w:rsidRPr="005E3EAF" w:rsidRDefault="006E51BF">
            <w:pPr>
              <w:pStyle w:val="ARfintablecolheadright"/>
              <w:rPr>
                <w:lang w:eastAsia="en-AU"/>
              </w:rPr>
            </w:pPr>
            <w:r w:rsidRPr="005E3EAF">
              <w:rPr>
                <w:lang w:eastAsia="en-AU"/>
              </w:rPr>
              <w:t>$M</w:t>
            </w:r>
          </w:p>
        </w:tc>
      </w:tr>
      <w:tr w:rsidR="006E51BF" w:rsidRPr="005E3EAF" w14:paraId="1459B8E7"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4045" w:type="pct"/>
            <w:noWrap/>
          </w:tcPr>
          <w:p w14:paraId="414C8000" w14:textId="77777777" w:rsidR="006E51BF" w:rsidRPr="005E3EAF" w:rsidRDefault="006E51BF">
            <w:pPr>
              <w:pStyle w:val="ARfintabletextboldcoloured"/>
              <w:rPr>
                <w:lang w:eastAsia="en-AU"/>
              </w:rPr>
            </w:pPr>
            <w:r w:rsidRPr="005E3EAF">
              <w:rPr>
                <w:lang w:eastAsia="en-AU"/>
              </w:rPr>
              <w:t>2026</w:t>
            </w:r>
          </w:p>
        </w:tc>
        <w:tc>
          <w:tcPr>
            <w:cnfStyle w:val="000001000000" w:firstRow="0" w:lastRow="0" w:firstColumn="0" w:lastColumn="0" w:oddVBand="0" w:evenVBand="1" w:oddHBand="0" w:evenHBand="0" w:firstRowFirstColumn="0" w:firstRowLastColumn="0" w:lastRowFirstColumn="0" w:lastRowLastColumn="0"/>
            <w:tcW w:w="955" w:type="pct"/>
            <w:shd w:val="clear" w:color="auto" w:fill="auto"/>
            <w:noWrap/>
            <w:tcMar>
              <w:right w:w="0" w:type="nil"/>
            </w:tcMar>
          </w:tcPr>
          <w:p w14:paraId="2ED74AB4" w14:textId="77777777" w:rsidR="006E51BF" w:rsidRPr="005E3EAF" w:rsidRDefault="006E51BF">
            <w:pPr>
              <w:pStyle w:val="ARfintabletextright"/>
              <w:rPr>
                <w:lang w:eastAsia="en-AU"/>
              </w:rPr>
            </w:pPr>
          </w:p>
        </w:tc>
      </w:tr>
      <w:tr w:rsidR="006E51BF" w:rsidRPr="005E3EAF" w14:paraId="16C037B1"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4045" w:type="pct"/>
            <w:noWrap/>
            <w:hideMark/>
          </w:tcPr>
          <w:p w14:paraId="511743C5" w14:textId="77777777" w:rsidR="006E51BF" w:rsidRPr="005E3EAF" w:rsidRDefault="006E51BF">
            <w:pPr>
              <w:pStyle w:val="ARfintabletextbold"/>
              <w:rPr>
                <w:lang w:eastAsia="en-AU"/>
              </w:rPr>
            </w:pPr>
            <w:r w:rsidRPr="00624317">
              <w:t>Contractual</w:t>
            </w:r>
            <w:r w:rsidRPr="005E3EAF">
              <w:rPr>
                <w:lang w:eastAsia="en-AU"/>
              </w:rPr>
              <w:t xml:space="preserve"> financial assets</w:t>
            </w:r>
          </w:p>
        </w:tc>
        <w:tc>
          <w:tcPr>
            <w:cnfStyle w:val="000001000000" w:firstRow="0" w:lastRow="0" w:firstColumn="0" w:lastColumn="0" w:oddVBand="0" w:evenVBand="1" w:oddHBand="0" w:evenHBand="0" w:firstRowFirstColumn="0" w:firstRowLastColumn="0" w:lastRowFirstColumn="0" w:lastRowLastColumn="0"/>
            <w:tcW w:w="955" w:type="pct"/>
            <w:shd w:val="clear" w:color="auto" w:fill="auto"/>
            <w:noWrap/>
            <w:tcMar>
              <w:right w:w="0" w:type="nil"/>
            </w:tcMar>
            <w:hideMark/>
          </w:tcPr>
          <w:p w14:paraId="048FABD8" w14:textId="77777777" w:rsidR="006E51BF" w:rsidRPr="005E3EAF" w:rsidRDefault="006E51BF">
            <w:pPr>
              <w:pStyle w:val="ARfintabletextright"/>
              <w:rPr>
                <w:lang w:eastAsia="en-AU"/>
              </w:rPr>
            </w:pPr>
          </w:p>
        </w:tc>
      </w:tr>
      <w:tr w:rsidR="006E51BF" w:rsidRPr="005E3EAF" w14:paraId="46757293"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4045" w:type="pct"/>
            <w:tcBorders>
              <w:bottom w:val="single" w:sz="4" w:space="0" w:color="BFBFBF" w:themeColor="accent2"/>
            </w:tcBorders>
            <w:noWrap/>
            <w:hideMark/>
          </w:tcPr>
          <w:p w14:paraId="672539F2" w14:textId="77777777" w:rsidR="006E51BF" w:rsidRPr="005E3EAF" w:rsidRDefault="006E51BF">
            <w:pPr>
              <w:pStyle w:val="ARfintabletext"/>
              <w:rPr>
                <w:lang w:eastAsia="en-AU"/>
              </w:rPr>
            </w:pPr>
            <w:r w:rsidRPr="005E3EAF">
              <w:rPr>
                <w:lang w:eastAsia="en-AU"/>
              </w:rPr>
              <w:t xml:space="preserve">Loans </w:t>
            </w:r>
          </w:p>
        </w:tc>
        <w:tc>
          <w:tcPr>
            <w:cnfStyle w:val="000001000000" w:firstRow="0" w:lastRow="0" w:firstColumn="0" w:lastColumn="0" w:oddVBand="0" w:evenVBand="1" w:oddHBand="0" w:evenHBand="0" w:firstRowFirstColumn="0" w:firstRowLastColumn="0" w:lastRowFirstColumn="0" w:lastRowLastColumn="0"/>
            <w:tcW w:w="955" w:type="pct"/>
            <w:tcBorders>
              <w:bottom w:val="single" w:sz="4" w:space="0" w:color="BFBFBF" w:themeColor="accent2"/>
            </w:tcBorders>
            <w:noWrap/>
            <w:tcMar>
              <w:right w:w="0" w:type="nil"/>
            </w:tcMar>
            <w:hideMark/>
          </w:tcPr>
          <w:p w14:paraId="1A2CDF0B" w14:textId="77777777" w:rsidR="006E51BF" w:rsidRPr="005E3EAF" w:rsidRDefault="006E51BF">
            <w:pPr>
              <w:pStyle w:val="ARfintabletextright"/>
              <w:rPr>
                <w:lang w:eastAsia="en-AU"/>
              </w:rPr>
            </w:pPr>
            <w:r w:rsidRPr="005E3EAF">
              <w:rPr>
                <w:lang w:eastAsia="en-AU"/>
              </w:rPr>
              <w:t>4.7</w:t>
            </w:r>
          </w:p>
        </w:tc>
      </w:tr>
      <w:tr w:rsidR="006E51BF" w:rsidRPr="005E3EAF" w14:paraId="1761FDC8"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4045" w:type="pct"/>
            <w:tcBorders>
              <w:top w:val="single" w:sz="4" w:space="0" w:color="BFBFBF" w:themeColor="accent2"/>
              <w:bottom w:val="single" w:sz="4" w:space="0" w:color="000000" w:themeColor="text1"/>
            </w:tcBorders>
            <w:noWrap/>
            <w:hideMark/>
          </w:tcPr>
          <w:p w14:paraId="22B9597B" w14:textId="77777777" w:rsidR="006E51BF" w:rsidRPr="005E3EAF" w:rsidRDefault="006E51BF">
            <w:pPr>
              <w:pStyle w:val="ARfintabletext"/>
              <w:rPr>
                <w:lang w:eastAsia="en-AU"/>
              </w:rPr>
            </w:pPr>
            <w:r w:rsidRPr="005E3EAF">
              <w:rPr>
                <w:lang w:eastAsia="en-AU"/>
              </w:rPr>
              <w:t xml:space="preserve">Short-term investments </w:t>
            </w:r>
            <w:r>
              <w:rPr>
                <w:lang w:eastAsia="en-AU"/>
              </w:rPr>
              <w:t>–</w:t>
            </w:r>
            <w:r w:rsidRPr="005E3EAF">
              <w:rPr>
                <w:lang w:eastAsia="en-AU"/>
              </w:rPr>
              <w:t xml:space="preserve"> term deposits</w:t>
            </w:r>
          </w:p>
        </w:tc>
        <w:tc>
          <w:tcPr>
            <w:cnfStyle w:val="000001000000" w:firstRow="0" w:lastRow="0" w:firstColumn="0" w:lastColumn="0" w:oddVBand="0" w:evenVBand="1" w:oddHBand="0" w:evenHBand="0" w:firstRowFirstColumn="0" w:firstRowLastColumn="0" w:lastRowFirstColumn="0" w:lastRowLastColumn="0"/>
            <w:tcW w:w="955" w:type="pct"/>
            <w:tcBorders>
              <w:top w:val="single" w:sz="4" w:space="0" w:color="BFBFBF" w:themeColor="accent2"/>
              <w:bottom w:val="single" w:sz="4" w:space="0" w:color="000000" w:themeColor="text1"/>
            </w:tcBorders>
            <w:noWrap/>
            <w:tcMar>
              <w:right w:w="0" w:type="nil"/>
            </w:tcMar>
            <w:hideMark/>
          </w:tcPr>
          <w:p w14:paraId="3BAA82A0" w14:textId="77777777" w:rsidR="006E51BF" w:rsidRPr="005E3EAF" w:rsidRDefault="006E51BF">
            <w:pPr>
              <w:pStyle w:val="ARfintabletextright"/>
              <w:rPr>
                <w:lang w:eastAsia="en-AU"/>
              </w:rPr>
            </w:pPr>
            <w:r w:rsidRPr="005E3EAF">
              <w:rPr>
                <w:lang w:eastAsia="en-AU"/>
              </w:rPr>
              <w:t>38.5</w:t>
            </w:r>
          </w:p>
        </w:tc>
      </w:tr>
      <w:tr w:rsidR="006E51BF" w:rsidRPr="005E3EAF" w14:paraId="3431CDA1"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4045" w:type="pct"/>
            <w:tcBorders>
              <w:top w:val="single" w:sz="4" w:space="0" w:color="000000" w:themeColor="text1"/>
              <w:bottom w:val="single" w:sz="4" w:space="0" w:color="000000" w:themeColor="text1"/>
            </w:tcBorders>
            <w:noWrap/>
            <w:hideMark/>
          </w:tcPr>
          <w:p w14:paraId="2551AA57" w14:textId="77777777" w:rsidR="006E51BF" w:rsidRPr="005E3EAF" w:rsidRDefault="006E51BF">
            <w:pPr>
              <w:pStyle w:val="ARfintabletextbold"/>
              <w:rPr>
                <w:lang w:eastAsia="en-AU"/>
              </w:rPr>
            </w:pPr>
            <w:r w:rsidRPr="005E3EAF">
              <w:rPr>
                <w:lang w:eastAsia="en-AU"/>
              </w:rPr>
              <w:t>Total contractual financial assets</w:t>
            </w:r>
          </w:p>
        </w:tc>
        <w:tc>
          <w:tcPr>
            <w:cnfStyle w:val="000001000000" w:firstRow="0" w:lastRow="0" w:firstColumn="0" w:lastColumn="0" w:oddVBand="0" w:evenVBand="1" w:oddHBand="0" w:evenHBand="0" w:firstRowFirstColumn="0" w:firstRowLastColumn="0" w:lastRowFirstColumn="0" w:lastRowLastColumn="0"/>
            <w:tcW w:w="955" w:type="pct"/>
            <w:tcBorders>
              <w:top w:val="single" w:sz="4" w:space="0" w:color="000000" w:themeColor="text1"/>
              <w:bottom w:val="single" w:sz="4" w:space="0" w:color="000000" w:themeColor="text1"/>
            </w:tcBorders>
            <w:noWrap/>
            <w:tcMar>
              <w:right w:w="0" w:type="nil"/>
            </w:tcMar>
            <w:hideMark/>
          </w:tcPr>
          <w:p w14:paraId="4900866D" w14:textId="77777777" w:rsidR="006E51BF" w:rsidRPr="005E3EAF" w:rsidRDefault="006E51BF">
            <w:pPr>
              <w:pStyle w:val="ARfintabletextboldright"/>
              <w:rPr>
                <w:lang w:eastAsia="en-AU"/>
              </w:rPr>
            </w:pPr>
            <w:r w:rsidRPr="005E3EAF">
              <w:rPr>
                <w:lang w:eastAsia="en-AU"/>
              </w:rPr>
              <w:t>43.2</w:t>
            </w:r>
          </w:p>
        </w:tc>
      </w:tr>
      <w:tr w:rsidR="006E51BF" w:rsidRPr="005E3EAF" w14:paraId="5B8FF427"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4045" w:type="pct"/>
            <w:tcBorders>
              <w:top w:val="single" w:sz="4" w:space="0" w:color="000000" w:themeColor="text1"/>
            </w:tcBorders>
            <w:noWrap/>
            <w:hideMark/>
          </w:tcPr>
          <w:p w14:paraId="75AA5EA5" w14:textId="77777777" w:rsidR="006E51BF" w:rsidRPr="005E3EAF" w:rsidRDefault="006E51BF">
            <w:pPr>
              <w:pStyle w:val="ARfintabletextbold"/>
              <w:rPr>
                <w:lang w:eastAsia="en-AU"/>
              </w:rPr>
            </w:pPr>
            <w:r w:rsidRPr="005E3EAF">
              <w:rPr>
                <w:lang w:eastAsia="en-AU"/>
              </w:rPr>
              <w:t>Contractual financial liabilities</w:t>
            </w:r>
          </w:p>
        </w:tc>
        <w:tc>
          <w:tcPr>
            <w:cnfStyle w:val="000001000000" w:firstRow="0" w:lastRow="0" w:firstColumn="0" w:lastColumn="0" w:oddVBand="0" w:evenVBand="1" w:oddHBand="0" w:evenHBand="0" w:firstRowFirstColumn="0" w:firstRowLastColumn="0" w:lastRowFirstColumn="0" w:lastRowLastColumn="0"/>
            <w:tcW w:w="955" w:type="pct"/>
            <w:tcBorders>
              <w:top w:val="single" w:sz="4" w:space="0" w:color="000000" w:themeColor="text1"/>
            </w:tcBorders>
            <w:shd w:val="clear" w:color="auto" w:fill="auto"/>
            <w:noWrap/>
            <w:tcMar>
              <w:right w:w="0" w:type="nil"/>
            </w:tcMar>
            <w:hideMark/>
          </w:tcPr>
          <w:p w14:paraId="23FDD2E2" w14:textId="77777777" w:rsidR="006E51BF" w:rsidRPr="005E3EAF" w:rsidRDefault="006E51BF">
            <w:pPr>
              <w:pStyle w:val="ARfintabletextright"/>
              <w:rPr>
                <w:lang w:eastAsia="en-AU"/>
              </w:rPr>
            </w:pPr>
          </w:p>
        </w:tc>
      </w:tr>
      <w:tr w:rsidR="006E51BF" w:rsidRPr="005E3EAF" w14:paraId="284AE800"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4045" w:type="pct"/>
            <w:tcBorders>
              <w:bottom w:val="single" w:sz="4" w:space="0" w:color="BFBFBF" w:themeColor="accent2"/>
            </w:tcBorders>
            <w:noWrap/>
            <w:hideMark/>
          </w:tcPr>
          <w:p w14:paraId="3C966405" w14:textId="77777777" w:rsidR="006E51BF" w:rsidRPr="005E3EAF" w:rsidRDefault="006E51BF">
            <w:pPr>
              <w:pStyle w:val="ARfintabletext"/>
              <w:rPr>
                <w:lang w:eastAsia="en-AU"/>
              </w:rPr>
            </w:pPr>
            <w:r w:rsidRPr="005E3EAF">
              <w:rPr>
                <w:lang w:eastAsia="en-AU"/>
              </w:rPr>
              <w:t xml:space="preserve">Payables </w:t>
            </w:r>
            <w:r w:rsidRPr="005E3EAF">
              <w:rPr>
                <w:szCs w:val="18"/>
                <w:vertAlign w:val="superscript"/>
                <w:lang w:eastAsia="en-AU"/>
              </w:rPr>
              <w:t>(</w:t>
            </w:r>
            <w:proofErr w:type="spellStart"/>
            <w:r w:rsidRPr="005E3EAF">
              <w:rPr>
                <w:szCs w:val="18"/>
                <w:vertAlign w:val="superscript"/>
                <w:lang w:eastAsia="en-AU"/>
              </w:rPr>
              <w:t>i</w:t>
            </w:r>
            <w:proofErr w:type="spellEnd"/>
            <w:r w:rsidRPr="005E3EAF">
              <w:rPr>
                <w:szCs w:val="18"/>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955" w:type="pct"/>
            <w:tcBorders>
              <w:bottom w:val="single" w:sz="4" w:space="0" w:color="BFBFBF" w:themeColor="accent2"/>
            </w:tcBorders>
            <w:noWrap/>
            <w:tcMar>
              <w:right w:w="0" w:type="nil"/>
            </w:tcMar>
            <w:hideMark/>
          </w:tcPr>
          <w:p w14:paraId="7087E436" w14:textId="77777777" w:rsidR="006E51BF" w:rsidRPr="005E3EAF" w:rsidRDefault="006E51BF">
            <w:pPr>
              <w:pStyle w:val="ARfintabletextright"/>
              <w:rPr>
                <w:lang w:eastAsia="en-AU"/>
              </w:rPr>
            </w:pPr>
            <w:r>
              <w:rPr>
                <w:lang w:eastAsia="en-AU"/>
              </w:rPr>
              <w:t>–</w:t>
            </w:r>
          </w:p>
        </w:tc>
      </w:tr>
      <w:tr w:rsidR="006E51BF" w:rsidRPr="005E3EAF" w14:paraId="35C1EC5D"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4045" w:type="pct"/>
            <w:tcBorders>
              <w:top w:val="single" w:sz="4" w:space="0" w:color="BFBFBF" w:themeColor="accent2"/>
              <w:bottom w:val="single" w:sz="4" w:space="0" w:color="000000" w:themeColor="text1"/>
            </w:tcBorders>
            <w:noWrap/>
            <w:hideMark/>
          </w:tcPr>
          <w:p w14:paraId="5CB30F8E" w14:textId="77777777" w:rsidR="006E51BF" w:rsidRPr="005E3EAF" w:rsidRDefault="006E51BF">
            <w:pPr>
              <w:pStyle w:val="ARfintabletext"/>
              <w:rPr>
                <w:lang w:eastAsia="en-AU"/>
              </w:rPr>
            </w:pPr>
            <w:r w:rsidRPr="005E3EAF">
              <w:rPr>
                <w:lang w:eastAsia="en-AU"/>
              </w:rPr>
              <w:t>Borrowings</w:t>
            </w:r>
          </w:p>
        </w:tc>
        <w:tc>
          <w:tcPr>
            <w:cnfStyle w:val="000001000000" w:firstRow="0" w:lastRow="0" w:firstColumn="0" w:lastColumn="0" w:oddVBand="0" w:evenVBand="1" w:oddHBand="0" w:evenHBand="0" w:firstRowFirstColumn="0" w:firstRowLastColumn="0" w:lastRowFirstColumn="0" w:lastRowLastColumn="0"/>
            <w:tcW w:w="955" w:type="pct"/>
            <w:tcBorders>
              <w:top w:val="single" w:sz="4" w:space="0" w:color="BFBFBF" w:themeColor="accent2"/>
              <w:bottom w:val="single" w:sz="4" w:space="0" w:color="000000" w:themeColor="text1"/>
            </w:tcBorders>
            <w:noWrap/>
            <w:tcMar>
              <w:right w:w="0" w:type="nil"/>
            </w:tcMar>
            <w:hideMark/>
          </w:tcPr>
          <w:p w14:paraId="5C68A655" w14:textId="77777777" w:rsidR="006E51BF" w:rsidRPr="005E3EAF" w:rsidRDefault="006E51BF">
            <w:pPr>
              <w:pStyle w:val="ARfintabletextright"/>
              <w:rPr>
                <w:lang w:eastAsia="en-AU"/>
              </w:rPr>
            </w:pPr>
            <w:r w:rsidRPr="005E3EAF">
              <w:rPr>
                <w:lang w:eastAsia="en-AU"/>
              </w:rPr>
              <w:t>(49.7)</w:t>
            </w:r>
          </w:p>
        </w:tc>
      </w:tr>
      <w:tr w:rsidR="006E51BF" w:rsidRPr="005E3EAF" w14:paraId="51B667F3"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4045" w:type="pct"/>
            <w:tcBorders>
              <w:top w:val="single" w:sz="4" w:space="0" w:color="000000" w:themeColor="text1"/>
              <w:bottom w:val="single" w:sz="4" w:space="0" w:color="000000" w:themeColor="text1"/>
            </w:tcBorders>
            <w:noWrap/>
            <w:hideMark/>
          </w:tcPr>
          <w:p w14:paraId="6B956B52" w14:textId="77777777" w:rsidR="006E51BF" w:rsidRPr="005E3EAF" w:rsidRDefault="006E51BF">
            <w:pPr>
              <w:pStyle w:val="ARfintabletextbold"/>
              <w:rPr>
                <w:lang w:eastAsia="en-AU"/>
              </w:rPr>
            </w:pPr>
            <w:r w:rsidRPr="005E3EAF">
              <w:rPr>
                <w:lang w:eastAsia="en-AU"/>
              </w:rPr>
              <w:t>Total contractual financial liabilities</w:t>
            </w:r>
          </w:p>
        </w:tc>
        <w:tc>
          <w:tcPr>
            <w:cnfStyle w:val="000001000000" w:firstRow="0" w:lastRow="0" w:firstColumn="0" w:lastColumn="0" w:oddVBand="0" w:evenVBand="1" w:oddHBand="0" w:evenHBand="0" w:firstRowFirstColumn="0" w:firstRowLastColumn="0" w:lastRowFirstColumn="0" w:lastRowLastColumn="0"/>
            <w:tcW w:w="955" w:type="pct"/>
            <w:tcBorders>
              <w:top w:val="single" w:sz="4" w:space="0" w:color="000000" w:themeColor="text1"/>
              <w:bottom w:val="single" w:sz="4" w:space="0" w:color="000000" w:themeColor="text1"/>
            </w:tcBorders>
            <w:noWrap/>
            <w:tcMar>
              <w:right w:w="0" w:type="nil"/>
            </w:tcMar>
            <w:hideMark/>
          </w:tcPr>
          <w:p w14:paraId="5E432A30" w14:textId="77777777" w:rsidR="006E51BF" w:rsidRPr="005E3EAF" w:rsidRDefault="006E51BF">
            <w:pPr>
              <w:pStyle w:val="ARfintabletextboldright"/>
              <w:rPr>
                <w:lang w:eastAsia="en-AU"/>
              </w:rPr>
            </w:pPr>
            <w:r w:rsidRPr="005E3EAF">
              <w:rPr>
                <w:lang w:eastAsia="en-AU"/>
              </w:rPr>
              <w:t>(49.7)</w:t>
            </w:r>
          </w:p>
        </w:tc>
      </w:tr>
      <w:tr w:rsidR="006E51BF" w:rsidRPr="005E3EAF" w14:paraId="76C0BE2B"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4045" w:type="pct"/>
            <w:tcBorders>
              <w:top w:val="single" w:sz="4" w:space="0" w:color="000000" w:themeColor="text1"/>
            </w:tcBorders>
            <w:noWrap/>
            <w:hideMark/>
          </w:tcPr>
          <w:p w14:paraId="5DBEC06C" w14:textId="77777777" w:rsidR="006E51BF" w:rsidRPr="005E3EAF" w:rsidRDefault="006E51BF">
            <w:pPr>
              <w:pStyle w:val="ARfintabletextboldcoloured"/>
              <w:rPr>
                <w:lang w:eastAsia="en-AU"/>
              </w:rPr>
            </w:pPr>
            <w:r w:rsidRPr="005E3EAF">
              <w:rPr>
                <w:lang w:eastAsia="en-AU"/>
              </w:rPr>
              <w:t>2025</w:t>
            </w:r>
          </w:p>
        </w:tc>
        <w:tc>
          <w:tcPr>
            <w:cnfStyle w:val="000001000000" w:firstRow="0" w:lastRow="0" w:firstColumn="0" w:lastColumn="0" w:oddVBand="0" w:evenVBand="1" w:oddHBand="0" w:evenHBand="0" w:firstRowFirstColumn="0" w:firstRowLastColumn="0" w:lastRowFirstColumn="0" w:lastRowLastColumn="0"/>
            <w:tcW w:w="955" w:type="pct"/>
            <w:tcBorders>
              <w:top w:val="single" w:sz="4" w:space="0" w:color="000000" w:themeColor="text1"/>
            </w:tcBorders>
            <w:shd w:val="clear" w:color="auto" w:fill="auto"/>
            <w:noWrap/>
            <w:tcMar>
              <w:right w:w="0" w:type="nil"/>
            </w:tcMar>
            <w:hideMark/>
          </w:tcPr>
          <w:p w14:paraId="79E8E5B1" w14:textId="77777777" w:rsidR="006E51BF" w:rsidRPr="005E3EAF" w:rsidRDefault="006E51BF">
            <w:pPr>
              <w:pStyle w:val="ARfintabletextright"/>
              <w:rPr>
                <w:lang w:eastAsia="en-AU"/>
              </w:rPr>
            </w:pPr>
          </w:p>
        </w:tc>
      </w:tr>
      <w:tr w:rsidR="006E51BF" w:rsidRPr="005E3EAF" w14:paraId="282B5B0A"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4045" w:type="pct"/>
            <w:noWrap/>
            <w:hideMark/>
          </w:tcPr>
          <w:p w14:paraId="5B4C7606" w14:textId="77777777" w:rsidR="006E51BF" w:rsidRPr="005E3EAF" w:rsidRDefault="006E51BF">
            <w:pPr>
              <w:pStyle w:val="ARfintabletextbold"/>
              <w:rPr>
                <w:lang w:eastAsia="en-AU"/>
              </w:rPr>
            </w:pPr>
            <w:r w:rsidRPr="005E3EAF">
              <w:rPr>
                <w:lang w:eastAsia="en-AU"/>
              </w:rPr>
              <w:t>Contractual financial assets</w:t>
            </w:r>
          </w:p>
        </w:tc>
        <w:tc>
          <w:tcPr>
            <w:cnfStyle w:val="000001000000" w:firstRow="0" w:lastRow="0" w:firstColumn="0" w:lastColumn="0" w:oddVBand="0" w:evenVBand="1" w:oddHBand="0" w:evenHBand="0" w:firstRowFirstColumn="0" w:firstRowLastColumn="0" w:lastRowFirstColumn="0" w:lastRowLastColumn="0"/>
            <w:tcW w:w="955" w:type="pct"/>
            <w:shd w:val="clear" w:color="auto" w:fill="auto"/>
            <w:noWrap/>
            <w:tcMar>
              <w:right w:w="0" w:type="nil"/>
            </w:tcMar>
            <w:hideMark/>
          </w:tcPr>
          <w:p w14:paraId="1F58AE81" w14:textId="77777777" w:rsidR="006E51BF" w:rsidRPr="005E3EAF" w:rsidRDefault="006E51BF">
            <w:pPr>
              <w:pStyle w:val="ARfintabletextright"/>
              <w:rPr>
                <w:lang w:eastAsia="en-AU"/>
              </w:rPr>
            </w:pPr>
          </w:p>
        </w:tc>
      </w:tr>
      <w:tr w:rsidR="006E51BF" w:rsidRPr="005E3EAF" w14:paraId="4C9A68F5"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4045" w:type="pct"/>
            <w:tcBorders>
              <w:bottom w:val="single" w:sz="4" w:space="0" w:color="BFBFBF" w:themeColor="accent2"/>
            </w:tcBorders>
            <w:noWrap/>
            <w:hideMark/>
          </w:tcPr>
          <w:p w14:paraId="22504FBF" w14:textId="77777777" w:rsidR="006E51BF" w:rsidRPr="005E3EAF" w:rsidRDefault="006E51BF">
            <w:pPr>
              <w:pStyle w:val="ARfintabletext"/>
              <w:rPr>
                <w:lang w:eastAsia="en-AU"/>
              </w:rPr>
            </w:pPr>
            <w:r w:rsidRPr="005E3EAF">
              <w:rPr>
                <w:lang w:eastAsia="en-AU"/>
              </w:rPr>
              <w:t xml:space="preserve">Loans </w:t>
            </w:r>
          </w:p>
        </w:tc>
        <w:tc>
          <w:tcPr>
            <w:cnfStyle w:val="000001000000" w:firstRow="0" w:lastRow="0" w:firstColumn="0" w:lastColumn="0" w:oddVBand="0" w:evenVBand="1" w:oddHBand="0" w:evenHBand="0" w:firstRowFirstColumn="0" w:firstRowLastColumn="0" w:lastRowFirstColumn="0" w:lastRowLastColumn="0"/>
            <w:tcW w:w="955" w:type="pct"/>
            <w:tcBorders>
              <w:bottom w:val="single" w:sz="4" w:space="0" w:color="BFBFBF" w:themeColor="accent2"/>
            </w:tcBorders>
            <w:noWrap/>
            <w:tcMar>
              <w:right w:w="0" w:type="nil"/>
            </w:tcMar>
            <w:hideMark/>
          </w:tcPr>
          <w:p w14:paraId="7E10264E" w14:textId="77777777" w:rsidR="006E51BF" w:rsidRPr="005E3EAF" w:rsidRDefault="006E51BF">
            <w:pPr>
              <w:pStyle w:val="ARfintabletextright"/>
              <w:rPr>
                <w:lang w:eastAsia="en-AU"/>
              </w:rPr>
            </w:pPr>
            <w:r w:rsidRPr="005E3EAF">
              <w:rPr>
                <w:lang w:eastAsia="en-AU"/>
              </w:rPr>
              <w:t>5.8</w:t>
            </w:r>
          </w:p>
        </w:tc>
      </w:tr>
      <w:tr w:rsidR="006E51BF" w:rsidRPr="005E3EAF" w14:paraId="0437B3CB"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4045" w:type="pct"/>
            <w:tcBorders>
              <w:top w:val="single" w:sz="4" w:space="0" w:color="BFBFBF" w:themeColor="accent2"/>
              <w:bottom w:val="single" w:sz="4" w:space="0" w:color="000000" w:themeColor="text1"/>
            </w:tcBorders>
            <w:noWrap/>
            <w:hideMark/>
          </w:tcPr>
          <w:p w14:paraId="5AB96B20" w14:textId="77777777" w:rsidR="006E51BF" w:rsidRPr="005E3EAF" w:rsidRDefault="006E51BF">
            <w:pPr>
              <w:pStyle w:val="ARfintabletext"/>
              <w:rPr>
                <w:lang w:eastAsia="en-AU"/>
              </w:rPr>
            </w:pPr>
            <w:r w:rsidRPr="005E3EAF">
              <w:rPr>
                <w:lang w:eastAsia="en-AU"/>
              </w:rPr>
              <w:t xml:space="preserve">Short-term investments </w:t>
            </w:r>
            <w:r>
              <w:rPr>
                <w:lang w:eastAsia="en-AU"/>
              </w:rPr>
              <w:t>–</w:t>
            </w:r>
            <w:r w:rsidRPr="005E3EAF">
              <w:rPr>
                <w:lang w:eastAsia="en-AU"/>
              </w:rPr>
              <w:t xml:space="preserve"> term deposits</w:t>
            </w:r>
          </w:p>
        </w:tc>
        <w:tc>
          <w:tcPr>
            <w:cnfStyle w:val="000001000000" w:firstRow="0" w:lastRow="0" w:firstColumn="0" w:lastColumn="0" w:oddVBand="0" w:evenVBand="1" w:oddHBand="0" w:evenHBand="0" w:firstRowFirstColumn="0" w:firstRowLastColumn="0" w:lastRowFirstColumn="0" w:lastRowLastColumn="0"/>
            <w:tcW w:w="955" w:type="pct"/>
            <w:tcBorders>
              <w:top w:val="single" w:sz="4" w:space="0" w:color="BFBFBF" w:themeColor="accent2"/>
              <w:bottom w:val="single" w:sz="4" w:space="0" w:color="000000" w:themeColor="text1"/>
            </w:tcBorders>
            <w:noWrap/>
            <w:tcMar>
              <w:right w:w="0" w:type="nil"/>
            </w:tcMar>
            <w:hideMark/>
          </w:tcPr>
          <w:p w14:paraId="164F8897" w14:textId="77777777" w:rsidR="006E51BF" w:rsidRPr="005E3EAF" w:rsidRDefault="006E51BF">
            <w:pPr>
              <w:pStyle w:val="ARfintabletextright"/>
              <w:rPr>
                <w:lang w:eastAsia="en-AU"/>
              </w:rPr>
            </w:pPr>
            <w:r w:rsidRPr="005E3EAF">
              <w:rPr>
                <w:lang w:eastAsia="en-AU"/>
              </w:rPr>
              <w:t>37.5</w:t>
            </w:r>
          </w:p>
        </w:tc>
      </w:tr>
      <w:tr w:rsidR="006E51BF" w:rsidRPr="005E3EAF" w14:paraId="34799A25"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4045" w:type="pct"/>
            <w:tcBorders>
              <w:top w:val="single" w:sz="4" w:space="0" w:color="000000" w:themeColor="text1"/>
              <w:bottom w:val="single" w:sz="4" w:space="0" w:color="000000" w:themeColor="text1"/>
            </w:tcBorders>
            <w:noWrap/>
            <w:hideMark/>
          </w:tcPr>
          <w:p w14:paraId="67F9294B" w14:textId="77777777" w:rsidR="006E51BF" w:rsidRPr="005E3EAF" w:rsidRDefault="006E51BF">
            <w:pPr>
              <w:pStyle w:val="ARfintabletextbold"/>
              <w:rPr>
                <w:lang w:eastAsia="en-AU"/>
              </w:rPr>
            </w:pPr>
            <w:r w:rsidRPr="005E3EAF">
              <w:rPr>
                <w:lang w:eastAsia="en-AU"/>
              </w:rPr>
              <w:t>Total contractual financial assets</w:t>
            </w:r>
          </w:p>
        </w:tc>
        <w:tc>
          <w:tcPr>
            <w:cnfStyle w:val="000001000000" w:firstRow="0" w:lastRow="0" w:firstColumn="0" w:lastColumn="0" w:oddVBand="0" w:evenVBand="1" w:oddHBand="0" w:evenHBand="0" w:firstRowFirstColumn="0" w:firstRowLastColumn="0" w:lastRowFirstColumn="0" w:lastRowLastColumn="0"/>
            <w:tcW w:w="955" w:type="pct"/>
            <w:tcBorders>
              <w:top w:val="single" w:sz="4" w:space="0" w:color="000000" w:themeColor="text1"/>
              <w:bottom w:val="single" w:sz="4" w:space="0" w:color="000000" w:themeColor="text1"/>
            </w:tcBorders>
            <w:noWrap/>
            <w:tcMar>
              <w:right w:w="0" w:type="nil"/>
            </w:tcMar>
            <w:hideMark/>
          </w:tcPr>
          <w:p w14:paraId="5CB20513" w14:textId="77777777" w:rsidR="006E51BF" w:rsidRPr="005E3EAF" w:rsidRDefault="006E51BF">
            <w:pPr>
              <w:pStyle w:val="ARfintabletextboldright"/>
              <w:rPr>
                <w:lang w:eastAsia="en-AU"/>
              </w:rPr>
            </w:pPr>
            <w:r w:rsidRPr="005E3EAF">
              <w:rPr>
                <w:lang w:eastAsia="en-AU"/>
              </w:rPr>
              <w:t>43.3</w:t>
            </w:r>
          </w:p>
        </w:tc>
      </w:tr>
      <w:tr w:rsidR="006E51BF" w:rsidRPr="005E3EAF" w14:paraId="2334EAF1"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4045" w:type="pct"/>
            <w:tcBorders>
              <w:top w:val="single" w:sz="4" w:space="0" w:color="000000" w:themeColor="text1"/>
            </w:tcBorders>
            <w:noWrap/>
            <w:hideMark/>
          </w:tcPr>
          <w:p w14:paraId="381B5B07" w14:textId="77777777" w:rsidR="006E51BF" w:rsidRPr="005E3EAF" w:rsidRDefault="006E51BF">
            <w:pPr>
              <w:pStyle w:val="ARfintabletextboldcoloured"/>
              <w:rPr>
                <w:lang w:eastAsia="en-AU"/>
              </w:rPr>
            </w:pPr>
            <w:r w:rsidRPr="005E3EAF">
              <w:rPr>
                <w:lang w:eastAsia="en-AU"/>
              </w:rPr>
              <w:t>Contractual financial liabilities</w:t>
            </w:r>
          </w:p>
        </w:tc>
        <w:tc>
          <w:tcPr>
            <w:cnfStyle w:val="000001000000" w:firstRow="0" w:lastRow="0" w:firstColumn="0" w:lastColumn="0" w:oddVBand="0" w:evenVBand="1" w:oddHBand="0" w:evenHBand="0" w:firstRowFirstColumn="0" w:firstRowLastColumn="0" w:lastRowFirstColumn="0" w:lastRowLastColumn="0"/>
            <w:tcW w:w="955" w:type="pct"/>
            <w:tcBorders>
              <w:top w:val="single" w:sz="4" w:space="0" w:color="000000" w:themeColor="text1"/>
            </w:tcBorders>
            <w:shd w:val="clear" w:color="auto" w:fill="auto"/>
            <w:noWrap/>
            <w:tcMar>
              <w:right w:w="0" w:type="nil"/>
            </w:tcMar>
            <w:hideMark/>
          </w:tcPr>
          <w:p w14:paraId="0C7FF05E" w14:textId="77777777" w:rsidR="006E51BF" w:rsidRPr="005E3EAF" w:rsidRDefault="006E51BF">
            <w:pPr>
              <w:pStyle w:val="ARfintabletextright"/>
              <w:rPr>
                <w:color w:val="000000"/>
                <w:lang w:eastAsia="en-AU"/>
              </w:rPr>
            </w:pPr>
          </w:p>
        </w:tc>
      </w:tr>
      <w:tr w:rsidR="006E51BF" w:rsidRPr="005E3EAF" w14:paraId="21ADB3FC"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4045" w:type="pct"/>
            <w:noWrap/>
            <w:hideMark/>
          </w:tcPr>
          <w:p w14:paraId="4025DA25" w14:textId="77777777" w:rsidR="006E51BF" w:rsidRPr="005E3EAF" w:rsidRDefault="006E51BF">
            <w:pPr>
              <w:pStyle w:val="ARfintabletext"/>
              <w:rPr>
                <w:lang w:eastAsia="en-AU"/>
              </w:rPr>
            </w:pPr>
            <w:r w:rsidRPr="005E3EAF">
              <w:rPr>
                <w:lang w:eastAsia="en-AU"/>
              </w:rPr>
              <w:t xml:space="preserve">Payables </w:t>
            </w:r>
            <w:r w:rsidRPr="005E3EAF">
              <w:rPr>
                <w:szCs w:val="18"/>
                <w:vertAlign w:val="superscript"/>
                <w:lang w:eastAsia="en-AU"/>
              </w:rPr>
              <w:t>(</w:t>
            </w:r>
            <w:proofErr w:type="spellStart"/>
            <w:r w:rsidRPr="005E3EAF">
              <w:rPr>
                <w:szCs w:val="18"/>
                <w:vertAlign w:val="superscript"/>
                <w:lang w:eastAsia="en-AU"/>
              </w:rPr>
              <w:t>i</w:t>
            </w:r>
            <w:proofErr w:type="spellEnd"/>
            <w:r w:rsidRPr="005E3EAF">
              <w:rPr>
                <w:szCs w:val="18"/>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955" w:type="pct"/>
            <w:noWrap/>
            <w:tcMar>
              <w:right w:w="0" w:type="nil"/>
            </w:tcMar>
            <w:hideMark/>
          </w:tcPr>
          <w:p w14:paraId="072E98EF" w14:textId="77777777" w:rsidR="006E51BF" w:rsidRPr="005E3EAF" w:rsidRDefault="006E51BF">
            <w:pPr>
              <w:pStyle w:val="ARfintabletextright"/>
              <w:rPr>
                <w:lang w:eastAsia="en-AU"/>
              </w:rPr>
            </w:pPr>
            <w:r>
              <w:rPr>
                <w:lang w:eastAsia="en-AU"/>
              </w:rPr>
              <w:t>–</w:t>
            </w:r>
          </w:p>
        </w:tc>
      </w:tr>
      <w:tr w:rsidR="006E51BF" w:rsidRPr="005E3EAF" w14:paraId="1B0E4A99"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4045" w:type="pct"/>
            <w:noWrap/>
            <w:hideMark/>
          </w:tcPr>
          <w:p w14:paraId="1FDE9601" w14:textId="77777777" w:rsidR="006E51BF" w:rsidRPr="005E3EAF" w:rsidRDefault="006E51BF">
            <w:pPr>
              <w:pStyle w:val="ARfintabletext"/>
              <w:rPr>
                <w:lang w:eastAsia="en-AU"/>
              </w:rPr>
            </w:pPr>
            <w:r w:rsidRPr="005E3EAF">
              <w:rPr>
                <w:lang w:eastAsia="en-AU"/>
              </w:rPr>
              <w:t>Borrowings</w:t>
            </w:r>
          </w:p>
        </w:tc>
        <w:tc>
          <w:tcPr>
            <w:cnfStyle w:val="000001000000" w:firstRow="0" w:lastRow="0" w:firstColumn="0" w:lastColumn="0" w:oddVBand="0" w:evenVBand="1" w:oddHBand="0" w:evenHBand="0" w:firstRowFirstColumn="0" w:firstRowLastColumn="0" w:lastRowFirstColumn="0" w:lastRowLastColumn="0"/>
            <w:tcW w:w="955" w:type="pct"/>
            <w:noWrap/>
            <w:tcMar>
              <w:right w:w="0" w:type="nil"/>
            </w:tcMar>
            <w:hideMark/>
          </w:tcPr>
          <w:p w14:paraId="392D5478" w14:textId="77777777" w:rsidR="006E51BF" w:rsidRPr="005E3EAF" w:rsidRDefault="006E51BF">
            <w:pPr>
              <w:pStyle w:val="ARfintabletextright"/>
              <w:rPr>
                <w:lang w:eastAsia="en-AU"/>
              </w:rPr>
            </w:pPr>
            <w:r w:rsidRPr="005E3EAF">
              <w:rPr>
                <w:lang w:eastAsia="en-AU"/>
              </w:rPr>
              <w:t>(36.9)</w:t>
            </w:r>
          </w:p>
        </w:tc>
      </w:tr>
      <w:tr w:rsidR="006E51BF" w:rsidRPr="005E3EAF" w14:paraId="70CAAA9E"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4045" w:type="pct"/>
            <w:noWrap/>
            <w:hideMark/>
          </w:tcPr>
          <w:p w14:paraId="0E50A29B" w14:textId="77777777" w:rsidR="006E51BF" w:rsidRPr="005E3EAF" w:rsidRDefault="006E51BF">
            <w:pPr>
              <w:pStyle w:val="ARfintabletextbold"/>
              <w:rPr>
                <w:lang w:eastAsia="en-AU"/>
              </w:rPr>
            </w:pPr>
            <w:r w:rsidRPr="005E3EAF">
              <w:rPr>
                <w:lang w:eastAsia="en-AU"/>
              </w:rPr>
              <w:t>Total contractual financial liabilities</w:t>
            </w:r>
          </w:p>
        </w:tc>
        <w:tc>
          <w:tcPr>
            <w:cnfStyle w:val="000001000000" w:firstRow="0" w:lastRow="0" w:firstColumn="0" w:lastColumn="0" w:oddVBand="0" w:evenVBand="1" w:oddHBand="0" w:evenHBand="0" w:firstRowFirstColumn="0" w:firstRowLastColumn="0" w:lastRowFirstColumn="0" w:lastRowLastColumn="0"/>
            <w:tcW w:w="955" w:type="pct"/>
            <w:noWrap/>
            <w:tcMar>
              <w:right w:w="0" w:type="nil"/>
            </w:tcMar>
            <w:hideMark/>
          </w:tcPr>
          <w:p w14:paraId="467AD1AD" w14:textId="77777777" w:rsidR="006E51BF" w:rsidRPr="005E3EAF" w:rsidRDefault="006E51BF">
            <w:pPr>
              <w:pStyle w:val="ARfintablecolheadright"/>
              <w:rPr>
                <w:lang w:eastAsia="en-AU"/>
              </w:rPr>
            </w:pPr>
            <w:r w:rsidRPr="005E3EAF">
              <w:rPr>
                <w:lang w:eastAsia="en-AU"/>
              </w:rPr>
              <w:t>(36.9)</w:t>
            </w:r>
          </w:p>
        </w:tc>
      </w:tr>
    </w:tbl>
    <w:p w14:paraId="2A006842" w14:textId="77777777" w:rsidR="006E51BF" w:rsidRPr="005E3EAF" w:rsidRDefault="006E51BF">
      <w:pPr>
        <w:pStyle w:val="ARfintablenote"/>
        <w:rPr>
          <w:lang w:eastAsia="en-AU"/>
        </w:rPr>
      </w:pPr>
      <w:r w:rsidRPr="005E3EAF">
        <w:rPr>
          <w:lang w:eastAsia="en-AU"/>
        </w:rPr>
        <w:t>Note:</w:t>
      </w:r>
    </w:p>
    <w:p w14:paraId="6CAC855D" w14:textId="77777777" w:rsidR="006E51BF" w:rsidRPr="005E3EAF" w:rsidRDefault="006E51BF" w:rsidP="006E51BF">
      <w:pPr>
        <w:pStyle w:val="ARfintablenoteroman"/>
        <w:numPr>
          <w:ilvl w:val="0"/>
          <w:numId w:val="74"/>
        </w:numPr>
      </w:pPr>
      <w:r w:rsidRPr="005E3EAF">
        <w:t xml:space="preserve">The total amounts disclosed here exclude statutory amounts, for example, amounts owing to/from Victorian Government and GST input tax credit recoverable and taxes payable. </w:t>
      </w:r>
    </w:p>
    <w:p w14:paraId="31853560" w14:textId="77777777" w:rsidR="006E51BF" w:rsidRDefault="006E51BF" w:rsidP="00E44E3F">
      <w:pPr>
        <w:pStyle w:val="ARfinbodyaftertableorfigure"/>
      </w:pPr>
      <w:r w:rsidRPr="005E3EAF">
        <w:t>The net holding gains or losses disclosed above are determined as follows:</w:t>
      </w:r>
    </w:p>
    <w:p w14:paraId="5E5D6FA0" w14:textId="77777777" w:rsidR="006E51BF" w:rsidRDefault="006E51BF" w:rsidP="006E51BF">
      <w:pPr>
        <w:pStyle w:val="ARfinbullet1"/>
        <w:numPr>
          <w:ilvl w:val="0"/>
          <w:numId w:val="13"/>
        </w:numPr>
        <w:ind w:left="284" w:hanging="284"/>
      </w:pPr>
      <w:r w:rsidRPr="005E3EAF">
        <w:t>for cash and cash equivalents, loans and receivables, the net gain or loss is calculated by taking the movement in the fair value of the asset, the interest income, and minus any impairment recognised in the net result</w:t>
      </w:r>
    </w:p>
    <w:p w14:paraId="41903F77" w14:textId="77777777" w:rsidR="006E51BF" w:rsidRDefault="006E51BF" w:rsidP="006E51BF">
      <w:pPr>
        <w:pStyle w:val="ARfinbullet1"/>
        <w:numPr>
          <w:ilvl w:val="0"/>
          <w:numId w:val="13"/>
        </w:numPr>
        <w:ind w:left="284" w:hanging="284"/>
      </w:pPr>
      <w:r w:rsidRPr="005E3EAF">
        <w:t xml:space="preserve">for financial liabilities measured at amortised cost, the net gain or loss is the interest expense. </w:t>
      </w:r>
    </w:p>
    <w:p w14:paraId="55DF991D" w14:textId="77777777" w:rsidR="006E51BF" w:rsidRDefault="006E51BF">
      <w:pPr>
        <w:spacing w:after="0" w:line="240" w:lineRule="auto"/>
        <w:rPr>
          <w:rFonts w:eastAsia="Times"/>
          <w:sz w:val="18"/>
          <w:lang w:eastAsia="en-AU"/>
        </w:rPr>
      </w:pPr>
      <w:r>
        <w:rPr>
          <w:lang w:eastAsia="en-AU"/>
        </w:rPr>
        <w:br w:type="page"/>
      </w:r>
    </w:p>
    <w:p w14:paraId="7E01C20D" w14:textId="019C5227" w:rsidR="006E51BF" w:rsidRPr="00FE77F8" w:rsidRDefault="006E51BF">
      <w:pPr>
        <w:pStyle w:val="Heading5"/>
        <w:rPr>
          <w:lang w:eastAsia="en-AU"/>
        </w:rPr>
      </w:pPr>
      <w:r w:rsidRPr="00FE77F8">
        <w:rPr>
          <w:lang w:eastAsia="en-AU"/>
        </w:rPr>
        <w:t xml:space="preserve">8.1.3 </w:t>
      </w:r>
      <w:r>
        <w:rPr>
          <w:lang w:eastAsia="en-AU"/>
        </w:rPr>
        <w:tab/>
      </w:r>
      <w:r w:rsidRPr="00FE77F8">
        <w:rPr>
          <w:lang w:eastAsia="en-AU"/>
        </w:rPr>
        <w:t>Financial risk management objectives and policies</w:t>
      </w:r>
    </w:p>
    <w:p w14:paraId="247E68BB" w14:textId="77777777" w:rsidR="006E51BF" w:rsidRDefault="006E51BF">
      <w:pPr>
        <w:pStyle w:val="ARfinbody"/>
        <w:rPr>
          <w:lang w:eastAsia="en-AU"/>
        </w:rPr>
      </w:pPr>
      <w:r w:rsidRPr="00FE77F8">
        <w:rPr>
          <w:lang w:eastAsia="en-AU"/>
        </w:rPr>
        <w:t xml:space="preserve">The department does not </w:t>
      </w:r>
      <w:proofErr w:type="gramStart"/>
      <w:r w:rsidRPr="00FE77F8">
        <w:rPr>
          <w:lang w:eastAsia="en-AU"/>
        </w:rPr>
        <w:t>enter into</w:t>
      </w:r>
      <w:proofErr w:type="gramEnd"/>
      <w:r w:rsidRPr="00FE77F8">
        <w:rPr>
          <w:lang w:eastAsia="en-AU"/>
        </w:rPr>
        <w:t xml:space="preserve"> derivative financial instruments to manage its exposure to interest rates.</w:t>
      </w:r>
    </w:p>
    <w:p w14:paraId="20849917" w14:textId="54320E8A" w:rsidR="006E51BF" w:rsidRDefault="006E51BF">
      <w:pPr>
        <w:pStyle w:val="ARfinbody"/>
        <w:rPr>
          <w:lang w:eastAsia="en-AU"/>
        </w:rPr>
      </w:pPr>
      <w:r w:rsidRPr="00FE77F8">
        <w:rPr>
          <w:lang w:eastAsia="en-AU"/>
        </w:rPr>
        <w:t xml:space="preserve">The department does not </w:t>
      </w:r>
      <w:proofErr w:type="gramStart"/>
      <w:r w:rsidRPr="00FE77F8">
        <w:rPr>
          <w:lang w:eastAsia="en-AU"/>
        </w:rPr>
        <w:t>enter into</w:t>
      </w:r>
      <w:proofErr w:type="gramEnd"/>
      <w:r w:rsidRPr="00FE77F8">
        <w:rPr>
          <w:lang w:eastAsia="en-AU"/>
        </w:rPr>
        <w:t xml:space="preserve"> or trade financial instruments, including derivative financial instruments, for</w:t>
      </w:r>
      <w:r w:rsidR="00171537">
        <w:rPr>
          <w:lang w:eastAsia="en-AU"/>
        </w:rPr>
        <w:t> </w:t>
      </w:r>
      <w:r w:rsidRPr="00FE77F8">
        <w:rPr>
          <w:lang w:eastAsia="en-AU"/>
        </w:rPr>
        <w:t>speculative purposes.</w:t>
      </w:r>
    </w:p>
    <w:p w14:paraId="19F1C1F4" w14:textId="77777777" w:rsidR="006E51BF" w:rsidRDefault="006E51BF">
      <w:pPr>
        <w:pStyle w:val="ARfinbody"/>
        <w:rPr>
          <w:lang w:eastAsia="en-AU"/>
        </w:rPr>
      </w:pPr>
      <w:r w:rsidRPr="00FE77F8">
        <w:rPr>
          <w:lang w:eastAsia="en-AU"/>
        </w:rPr>
        <w:t>The department’s principal financial instruments comprise:</w:t>
      </w:r>
    </w:p>
    <w:p w14:paraId="6AAA62C3" w14:textId="77777777" w:rsidR="006E51BF" w:rsidRDefault="006E51BF" w:rsidP="006E51BF">
      <w:pPr>
        <w:pStyle w:val="ARfinbullet1"/>
        <w:ind w:left="284" w:hanging="284"/>
      </w:pPr>
      <w:r w:rsidRPr="00FE77F8">
        <w:t>cash and cash equivalents</w:t>
      </w:r>
    </w:p>
    <w:p w14:paraId="259BCABA" w14:textId="77777777" w:rsidR="006E51BF" w:rsidRDefault="006E51BF" w:rsidP="006E51BF">
      <w:pPr>
        <w:pStyle w:val="ARfinbullet1"/>
        <w:numPr>
          <w:ilvl w:val="0"/>
          <w:numId w:val="13"/>
        </w:numPr>
        <w:ind w:left="284" w:hanging="284"/>
      </w:pPr>
      <w:r w:rsidRPr="00FE77F8">
        <w:t>receivables (excluding statutory receivables)</w:t>
      </w:r>
    </w:p>
    <w:p w14:paraId="64BD0D05" w14:textId="77777777" w:rsidR="006E51BF" w:rsidRDefault="006E51BF" w:rsidP="006E51BF">
      <w:pPr>
        <w:pStyle w:val="ARfinbullet1"/>
        <w:numPr>
          <w:ilvl w:val="0"/>
          <w:numId w:val="13"/>
        </w:numPr>
        <w:ind w:left="284" w:hanging="284"/>
      </w:pPr>
      <w:r w:rsidRPr="00FE77F8">
        <w:t>payables (excluding statutory payables)</w:t>
      </w:r>
    </w:p>
    <w:p w14:paraId="43A975A6" w14:textId="77777777" w:rsidR="006E51BF" w:rsidRDefault="006E51BF" w:rsidP="006E51BF">
      <w:pPr>
        <w:pStyle w:val="ARfinbullet1"/>
        <w:numPr>
          <w:ilvl w:val="0"/>
          <w:numId w:val="13"/>
        </w:numPr>
        <w:ind w:left="284" w:hanging="284"/>
      </w:pPr>
      <w:r w:rsidRPr="00FE77F8">
        <w:t>borrowings (including lease liabilities)</w:t>
      </w:r>
    </w:p>
    <w:p w14:paraId="57132C4F" w14:textId="77777777" w:rsidR="006E51BF" w:rsidRPr="00FE77F8" w:rsidRDefault="006E51BF">
      <w:pPr>
        <w:pStyle w:val="ARfinbody"/>
        <w:rPr>
          <w:lang w:eastAsia="en-AU"/>
        </w:rPr>
      </w:pPr>
      <w:r w:rsidRPr="00FE77F8">
        <w:rPr>
          <w:lang w:eastAsia="en-AU"/>
        </w:rPr>
        <w:t>Details of the significant accounting policies and methods adopted, including the criteria for recognition, the basis of measurement, and the basis on which income and expenses are recognised, with respect to each class of financial asset, financial liability and equity instrument above are disclosed in Note 8.3 Fair value determination.</w:t>
      </w:r>
    </w:p>
    <w:p w14:paraId="1597A5B9" w14:textId="77777777" w:rsidR="006E51BF" w:rsidRDefault="006E51BF">
      <w:pPr>
        <w:pStyle w:val="ARfinbody"/>
        <w:rPr>
          <w:lang w:eastAsia="en-AU"/>
        </w:rPr>
      </w:pPr>
      <w:r w:rsidRPr="00FE77F8">
        <w:rPr>
          <w:lang w:eastAsia="en-AU"/>
        </w:rPr>
        <w:t>The main purpose in holding financial instruments is to prudentially manage the department’s financial risks within the government policy parameters. The department uses different methods to measure and manage the different risks to which it is exposed.</w:t>
      </w:r>
    </w:p>
    <w:p w14:paraId="75BD6792" w14:textId="77777777" w:rsidR="006E51BF" w:rsidRPr="00FE77F8" w:rsidRDefault="006E51BF">
      <w:pPr>
        <w:pStyle w:val="ARfinbody"/>
        <w:rPr>
          <w:lang w:eastAsia="en-AU"/>
        </w:rPr>
      </w:pPr>
      <w:r w:rsidRPr="00FE77F8">
        <w:rPr>
          <w:lang w:eastAsia="en-AU"/>
        </w:rPr>
        <w:t>The carrying amounts of the department's contractual financial assets and financial liabilities by category are disclosed in</w:t>
      </w:r>
      <w:r>
        <w:rPr>
          <w:lang w:eastAsia="en-AU"/>
        </w:rPr>
        <w:t> </w:t>
      </w:r>
      <w:r w:rsidRPr="00FE77F8">
        <w:rPr>
          <w:lang w:eastAsia="en-AU"/>
        </w:rPr>
        <w:t>Note 8.1.1 Financial instruments: Categorisation.</w:t>
      </w:r>
    </w:p>
    <w:p w14:paraId="7E3B432C" w14:textId="77777777" w:rsidR="006E51BF" w:rsidRPr="00CD0CF8" w:rsidRDefault="006E51BF">
      <w:pPr>
        <w:pStyle w:val="Heading6"/>
      </w:pPr>
      <w:r w:rsidRPr="00CD0CF8">
        <w:t>8.1.3.1 Financial instruments: credit risk</w:t>
      </w:r>
    </w:p>
    <w:p w14:paraId="428CE7FE" w14:textId="77777777" w:rsidR="006E51BF" w:rsidRPr="00CD0CF8" w:rsidRDefault="006E51BF">
      <w:pPr>
        <w:pStyle w:val="ARfinbody"/>
        <w:rPr>
          <w:lang w:eastAsia="en-AU"/>
        </w:rPr>
      </w:pPr>
      <w:r w:rsidRPr="00CD0CF8">
        <w:rPr>
          <w:lang w:eastAsia="en-AU"/>
        </w:rPr>
        <w:t>Credit risk refers to the possibility that a borrower will default on its financial obligations as and when they fall due. The</w:t>
      </w:r>
      <w:r>
        <w:rPr>
          <w:lang w:eastAsia="en-AU"/>
        </w:rPr>
        <w:t> </w:t>
      </w:r>
      <w:r w:rsidRPr="00CD0CF8">
        <w:rPr>
          <w:lang w:eastAsia="en-AU"/>
        </w:rPr>
        <w:t xml:space="preserve">department's exposure to credit risk arises from the potential default of a counter party on their contractual obligations resulting in financial loss to the department. </w:t>
      </w:r>
    </w:p>
    <w:p w14:paraId="32ACE29A" w14:textId="77777777" w:rsidR="006E51BF" w:rsidRPr="00CD0CF8" w:rsidRDefault="006E51BF">
      <w:pPr>
        <w:pStyle w:val="ARfinbody"/>
        <w:rPr>
          <w:lang w:eastAsia="en-AU"/>
        </w:rPr>
      </w:pPr>
      <w:r w:rsidRPr="00CD0CF8">
        <w:rPr>
          <w:lang w:eastAsia="en-AU"/>
        </w:rPr>
        <w:t>Credit risk associated with the department's contractual financial assets is minimal because the main debtor is the Victorian Government. For debtors other than the Victorian Government and home loan recipients, it is the department’s policy to only deal with entities with high credit ratings of a minimum triple-B rating and to obtain sufficient collateral or credit enhancements, where appropriate. In addition, the department does not engage in hedging for its contractual financial assets.</w:t>
      </w:r>
    </w:p>
    <w:p w14:paraId="2D7DF3EE" w14:textId="77777777" w:rsidR="006E51BF" w:rsidRPr="00CD0CF8" w:rsidRDefault="006E51BF">
      <w:pPr>
        <w:pStyle w:val="ARfinbody"/>
        <w:rPr>
          <w:lang w:eastAsia="en-AU"/>
        </w:rPr>
      </w:pPr>
      <w:r w:rsidRPr="00CD0CF8">
        <w:rPr>
          <w:lang w:eastAsia="en-AU"/>
        </w:rPr>
        <w:t xml:space="preserve">Provision of impairment for financial assets is calculated based on </w:t>
      </w:r>
      <w:proofErr w:type="gramStart"/>
      <w:r w:rsidRPr="00CD0CF8">
        <w:rPr>
          <w:lang w:eastAsia="en-AU"/>
        </w:rPr>
        <w:t>past experience</w:t>
      </w:r>
      <w:proofErr w:type="gramEnd"/>
      <w:r w:rsidRPr="00CD0CF8">
        <w:rPr>
          <w:lang w:eastAsia="en-AU"/>
        </w:rPr>
        <w:t>, and current and expected changes in client credit ratings, or based on the assumptions about risk of default and expected credit loss rates. Tenant loans are made up of small amounts therefore the likelihood of default is considered immaterial.</w:t>
      </w:r>
    </w:p>
    <w:p w14:paraId="5403BDF6" w14:textId="77777777" w:rsidR="006E51BF" w:rsidRPr="00CD0CF8" w:rsidRDefault="006E51BF">
      <w:pPr>
        <w:pStyle w:val="ARfinbody"/>
        <w:rPr>
          <w:lang w:eastAsia="en-AU"/>
        </w:rPr>
      </w:pPr>
      <w:r w:rsidRPr="00CD0CF8">
        <w:rPr>
          <w:lang w:eastAsia="en-AU"/>
        </w:rPr>
        <w:t>Contract financial assets are written off against the carrying amount when there is no reasonable expectation of recovery. Bad debt written off by mutual consent is classified as a transaction expense. Bad debt written off following a unilateral decision is recognised as other economic flows in the net result.</w:t>
      </w:r>
    </w:p>
    <w:p w14:paraId="2E9B71AA" w14:textId="77777777" w:rsidR="006E51BF" w:rsidRDefault="006E51BF">
      <w:pPr>
        <w:pStyle w:val="ARfinbody"/>
        <w:rPr>
          <w:lang w:eastAsia="en-AU"/>
        </w:rPr>
      </w:pPr>
      <w:r w:rsidRPr="00CD0CF8">
        <w:rPr>
          <w:lang w:eastAsia="en-AU"/>
        </w:rPr>
        <w:t>The department does not have material credit risk as the department mainly holds financial assets that are non-interest bearing except for cash and cash equivalents which are mainly cash at bank. As with the policy for debtors, the department's policy is to only deal with domestic banks with high credit ratings.</w:t>
      </w:r>
    </w:p>
    <w:p w14:paraId="1C6464CC" w14:textId="77777777" w:rsidR="006E51BF" w:rsidRPr="00CD0CF8" w:rsidRDefault="006E51BF">
      <w:pPr>
        <w:pStyle w:val="ARfinbody"/>
        <w:rPr>
          <w:lang w:eastAsia="en-AU"/>
        </w:rPr>
      </w:pPr>
      <w:r w:rsidRPr="00CD0CF8">
        <w:rPr>
          <w:lang w:eastAsia="en-AU"/>
        </w:rPr>
        <w:t>Except as otherwise detailed in the following table, the carrying amount of contractual financial assets recorded in the financial report statements, net of any allowances for losses, represents the department's maximum exposure to credit risk without taking account of the value of any collateral obtained.</w:t>
      </w:r>
    </w:p>
    <w:p w14:paraId="527B9803" w14:textId="77777777" w:rsidR="006E51BF" w:rsidRDefault="006E51BF">
      <w:pPr>
        <w:pStyle w:val="ARfinbody"/>
        <w:rPr>
          <w:lang w:eastAsia="en-AU"/>
        </w:rPr>
      </w:pPr>
      <w:r w:rsidRPr="00CD0CF8">
        <w:rPr>
          <w:lang w:eastAsia="en-AU"/>
        </w:rPr>
        <w:t>There has been no material change to the department's credit risk profile in 2025</w:t>
      </w:r>
      <w:r>
        <w:rPr>
          <w:lang w:eastAsia="en-AU"/>
        </w:rPr>
        <w:t>–</w:t>
      </w:r>
      <w:r w:rsidRPr="00CD0CF8">
        <w:rPr>
          <w:lang w:eastAsia="en-AU"/>
        </w:rPr>
        <w:t>26.</w:t>
      </w:r>
    </w:p>
    <w:p w14:paraId="6A8383E1" w14:textId="77777777" w:rsidR="006E51BF" w:rsidRDefault="006E51BF">
      <w:pPr>
        <w:spacing w:after="0" w:line="240" w:lineRule="auto"/>
        <w:rPr>
          <w:rFonts w:eastAsia="Times"/>
          <w:sz w:val="18"/>
          <w:lang w:eastAsia="en-AU"/>
        </w:rPr>
      </w:pPr>
      <w:r>
        <w:rPr>
          <w:lang w:eastAsia="en-AU"/>
        </w:rPr>
        <w:br w:type="page"/>
      </w:r>
    </w:p>
    <w:p w14:paraId="526731F1" w14:textId="77777777" w:rsidR="006E51BF" w:rsidRPr="00CD0CF8" w:rsidRDefault="006E51BF">
      <w:pPr>
        <w:pStyle w:val="Heading7"/>
        <w:rPr>
          <w:lang w:eastAsia="en-AU"/>
        </w:rPr>
      </w:pPr>
      <w:r w:rsidRPr="00CD0CF8">
        <w:rPr>
          <w:lang w:eastAsia="en-AU"/>
        </w:rPr>
        <w:t>Credit quality of contractual financial assets</w:t>
      </w:r>
    </w:p>
    <w:tbl>
      <w:tblPr>
        <w:tblStyle w:val="ARtable1"/>
        <w:tblW w:w="5000" w:type="pct"/>
        <w:tblLayout w:type="fixed"/>
        <w:tblLook w:val="00E0" w:firstRow="1" w:lastRow="1" w:firstColumn="1" w:lastColumn="0" w:noHBand="0" w:noVBand="0"/>
      </w:tblPr>
      <w:tblGrid>
        <w:gridCol w:w="4108"/>
        <w:gridCol w:w="1379"/>
        <w:gridCol w:w="1381"/>
        <w:gridCol w:w="1379"/>
        <w:gridCol w:w="1381"/>
      </w:tblGrid>
      <w:tr w:rsidR="006E51BF" w:rsidRPr="00CD0CF8" w14:paraId="0572F392" w14:textId="77777777" w:rsidTr="00304BA9">
        <w:trPr>
          <w:cnfStyle w:val="100000000000" w:firstRow="1" w:lastRow="0" w:firstColumn="0" w:lastColumn="0" w:oddVBand="0" w:evenVBand="0" w:oddHBand="0" w:evenHBand="0" w:firstRowFirstColumn="0" w:firstRowLastColumn="0" w:lastRowFirstColumn="0" w:lastRowLastColumn="0"/>
          <w:trHeight w:val="20"/>
          <w:tblHeader/>
        </w:trPr>
        <w:tc>
          <w:tcPr>
            <w:tcW w:w="2134" w:type="pct"/>
            <w:noWrap/>
            <w:hideMark/>
          </w:tcPr>
          <w:p w14:paraId="5BF3D745" w14:textId="77777777" w:rsidR="006E51BF" w:rsidRPr="00CD0CF8"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716" w:type="pct"/>
            <w:tcMar>
              <w:right w:w="0" w:type="nil"/>
            </w:tcMar>
            <w:hideMark/>
          </w:tcPr>
          <w:p w14:paraId="34966169" w14:textId="77777777" w:rsidR="006E51BF" w:rsidRPr="00CD0CF8" w:rsidRDefault="006E51BF">
            <w:pPr>
              <w:pStyle w:val="ARfintablecolheadright"/>
              <w:rPr>
                <w:lang w:eastAsia="en-AU"/>
              </w:rPr>
            </w:pPr>
            <w:r w:rsidRPr="00CD0CF8">
              <w:rPr>
                <w:lang w:eastAsia="en-AU"/>
              </w:rPr>
              <w:t>Financial institutions A plus credit rating</w:t>
            </w:r>
          </w:p>
          <w:p w14:paraId="0823CFD7" w14:textId="77777777" w:rsidR="006E51BF" w:rsidRPr="00CD0CF8" w:rsidRDefault="006E51BF">
            <w:pPr>
              <w:pStyle w:val="ARfintablecolheadright"/>
              <w:rPr>
                <w:lang w:eastAsia="en-AU"/>
              </w:rPr>
            </w:pPr>
            <w:r w:rsidRPr="00CD0CF8">
              <w:rPr>
                <w:lang w:eastAsia="en-AU"/>
              </w:rPr>
              <w:t>Total</w:t>
            </w:r>
          </w:p>
          <w:p w14:paraId="60E924A6" w14:textId="77777777" w:rsidR="006E51BF" w:rsidRPr="00CD0CF8" w:rsidRDefault="006E51BF">
            <w:pPr>
              <w:pStyle w:val="ARfintablecolheadright"/>
              <w:rPr>
                <w:lang w:eastAsia="en-AU"/>
              </w:rPr>
            </w:pPr>
            <w:r w:rsidRPr="00CD0CF8">
              <w:rPr>
                <w:lang w:eastAsia="en-AU"/>
              </w:rPr>
              <w:t>$M</w:t>
            </w:r>
          </w:p>
        </w:tc>
        <w:tc>
          <w:tcPr>
            <w:tcW w:w="717" w:type="pct"/>
            <w:tcMar>
              <w:right w:w="0" w:type="nil"/>
            </w:tcMar>
            <w:hideMark/>
          </w:tcPr>
          <w:p w14:paraId="6B2FE153" w14:textId="77777777" w:rsidR="006E51BF" w:rsidRPr="00CD0CF8"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CD0CF8">
              <w:rPr>
                <w:lang w:eastAsia="en-AU"/>
              </w:rPr>
              <w:t>Government agencies double-A credit rating</w:t>
            </w:r>
          </w:p>
          <w:p w14:paraId="26E41202" w14:textId="77777777" w:rsidR="006E51BF" w:rsidRPr="00CD0CF8"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CD0CF8">
              <w:rPr>
                <w:lang w:eastAsia="en-AU"/>
              </w:rPr>
              <w:t xml:space="preserve">Total </w:t>
            </w:r>
            <w:r w:rsidRPr="00CD0CF8">
              <w:rPr>
                <w:vertAlign w:val="superscript"/>
                <w:lang w:eastAsia="en-AU"/>
              </w:rPr>
              <w:t>(</w:t>
            </w:r>
            <w:proofErr w:type="spellStart"/>
            <w:r w:rsidRPr="00CD0CF8">
              <w:rPr>
                <w:vertAlign w:val="superscript"/>
                <w:lang w:eastAsia="en-AU"/>
              </w:rPr>
              <w:t>i</w:t>
            </w:r>
            <w:proofErr w:type="spellEnd"/>
            <w:r w:rsidRPr="00CD0CF8">
              <w:rPr>
                <w:vertAlign w:val="superscript"/>
                <w:lang w:eastAsia="en-AU"/>
              </w:rPr>
              <w:t>)</w:t>
            </w:r>
          </w:p>
          <w:p w14:paraId="16939D16" w14:textId="77777777" w:rsidR="006E51BF" w:rsidRPr="00CD0CF8"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CD0CF8">
              <w:rPr>
                <w:lang w:eastAsia="en-AU"/>
              </w:rPr>
              <w:t>$M</w:t>
            </w:r>
          </w:p>
        </w:tc>
        <w:tc>
          <w:tcPr>
            <w:cnfStyle w:val="000001000000" w:firstRow="0" w:lastRow="0" w:firstColumn="0" w:lastColumn="0" w:oddVBand="0" w:evenVBand="1" w:oddHBand="0" w:evenHBand="0" w:firstRowFirstColumn="0" w:firstRowLastColumn="0" w:lastRowFirstColumn="0" w:lastRowLastColumn="0"/>
            <w:tcW w:w="716" w:type="pct"/>
            <w:tcMar>
              <w:right w:w="0" w:type="nil"/>
            </w:tcMar>
            <w:hideMark/>
          </w:tcPr>
          <w:p w14:paraId="37FE1DF9" w14:textId="77777777" w:rsidR="006E51BF" w:rsidRPr="00CD0CF8" w:rsidRDefault="006E51BF">
            <w:pPr>
              <w:pStyle w:val="ARfintablecolheadright"/>
              <w:rPr>
                <w:lang w:eastAsia="en-AU"/>
              </w:rPr>
            </w:pPr>
            <w:r w:rsidRPr="00CD0CF8">
              <w:rPr>
                <w:lang w:eastAsia="en-AU"/>
              </w:rPr>
              <w:t>Credit ratings not disclosed</w:t>
            </w:r>
          </w:p>
          <w:p w14:paraId="2AD0B027" w14:textId="77777777" w:rsidR="006E51BF" w:rsidRPr="00CD0CF8" w:rsidRDefault="006E51BF">
            <w:pPr>
              <w:pStyle w:val="ARfintablecolheadright"/>
              <w:rPr>
                <w:lang w:eastAsia="en-AU"/>
              </w:rPr>
            </w:pPr>
            <w:r w:rsidRPr="00CD0CF8">
              <w:rPr>
                <w:lang w:eastAsia="en-AU"/>
              </w:rPr>
              <w:t>$M</w:t>
            </w:r>
          </w:p>
        </w:tc>
        <w:tc>
          <w:tcPr>
            <w:tcW w:w="717" w:type="pct"/>
            <w:tcMar>
              <w:right w:w="0" w:type="nil"/>
            </w:tcMar>
            <w:hideMark/>
          </w:tcPr>
          <w:p w14:paraId="230281B7" w14:textId="77777777" w:rsidR="006E51BF" w:rsidRPr="00CD0CF8"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CD0CF8">
              <w:rPr>
                <w:lang w:eastAsia="en-AU"/>
              </w:rPr>
              <w:t>Total</w:t>
            </w:r>
          </w:p>
          <w:p w14:paraId="32371024" w14:textId="77777777" w:rsidR="006E51BF" w:rsidRPr="00CD0CF8"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CD0CF8">
              <w:rPr>
                <w:lang w:eastAsia="en-AU"/>
              </w:rPr>
              <w:t>$M</w:t>
            </w:r>
          </w:p>
        </w:tc>
      </w:tr>
      <w:tr w:rsidR="006E51BF" w:rsidRPr="00CD0CF8" w14:paraId="37B5348F"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134" w:type="pct"/>
          </w:tcPr>
          <w:p w14:paraId="25F6EE40" w14:textId="77777777" w:rsidR="006E51BF" w:rsidRPr="00CD0CF8" w:rsidRDefault="006E51BF">
            <w:pPr>
              <w:pStyle w:val="ARfintablecolhead"/>
              <w:rPr>
                <w:lang w:eastAsia="en-AU"/>
              </w:rPr>
            </w:pPr>
            <w:r w:rsidRPr="00CD0CF8">
              <w:rPr>
                <w:lang w:eastAsia="en-AU"/>
              </w:rPr>
              <w:t>2026</w:t>
            </w:r>
          </w:p>
        </w:tc>
        <w:tc>
          <w:tcPr>
            <w:cnfStyle w:val="000001000000" w:firstRow="0" w:lastRow="0" w:firstColumn="0" w:lastColumn="0" w:oddVBand="0" w:evenVBand="1" w:oddHBand="0" w:evenHBand="0" w:firstRowFirstColumn="0" w:firstRowLastColumn="0" w:lastRowFirstColumn="0" w:lastRowLastColumn="0"/>
            <w:tcW w:w="716" w:type="pct"/>
            <w:shd w:val="clear" w:color="auto" w:fill="auto"/>
            <w:noWrap/>
            <w:tcMar>
              <w:right w:w="0" w:type="nil"/>
            </w:tcMar>
          </w:tcPr>
          <w:p w14:paraId="0D1EC84C" w14:textId="77777777" w:rsidR="006E51BF" w:rsidRPr="00CD0CF8" w:rsidRDefault="006E51BF">
            <w:pPr>
              <w:pStyle w:val="ARfintabletextright"/>
              <w:rPr>
                <w:lang w:eastAsia="en-AU"/>
              </w:rPr>
            </w:pPr>
          </w:p>
        </w:tc>
        <w:tc>
          <w:tcPr>
            <w:tcW w:w="717" w:type="pct"/>
            <w:noWrap/>
            <w:tcMar>
              <w:right w:w="0" w:type="nil"/>
            </w:tcMar>
          </w:tcPr>
          <w:p w14:paraId="70F6C42D" w14:textId="77777777" w:rsidR="006E51BF" w:rsidRPr="00CD0CF8"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716" w:type="pct"/>
            <w:shd w:val="clear" w:color="auto" w:fill="auto"/>
            <w:noWrap/>
            <w:tcMar>
              <w:right w:w="0" w:type="nil"/>
            </w:tcMar>
          </w:tcPr>
          <w:p w14:paraId="45D0F7DF" w14:textId="77777777" w:rsidR="006E51BF" w:rsidRDefault="006E51BF">
            <w:pPr>
              <w:pStyle w:val="ARfintabletextright"/>
              <w:rPr>
                <w:lang w:eastAsia="en-AU"/>
              </w:rPr>
            </w:pPr>
          </w:p>
        </w:tc>
        <w:tc>
          <w:tcPr>
            <w:tcW w:w="717" w:type="pct"/>
            <w:noWrap/>
            <w:tcMar>
              <w:right w:w="0" w:type="nil"/>
            </w:tcMar>
          </w:tcPr>
          <w:p w14:paraId="7CC1F3DC" w14:textId="77777777" w:rsidR="006E51BF" w:rsidRPr="00CD0CF8"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CD0CF8" w14:paraId="71CEE267"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134" w:type="pct"/>
            <w:hideMark/>
          </w:tcPr>
          <w:p w14:paraId="3DAE32AF" w14:textId="77777777" w:rsidR="006E51BF" w:rsidRPr="00CD0CF8" w:rsidRDefault="006E51BF">
            <w:pPr>
              <w:pStyle w:val="ARfintabletext"/>
              <w:rPr>
                <w:lang w:eastAsia="en-AU"/>
              </w:rPr>
            </w:pPr>
            <w:r w:rsidRPr="00CD0CF8">
              <w:rPr>
                <w:lang w:eastAsia="en-AU"/>
              </w:rPr>
              <w:t>Cash and deposits (not assessed for impairment due to the nature of cash)</w:t>
            </w:r>
          </w:p>
        </w:tc>
        <w:tc>
          <w:tcPr>
            <w:cnfStyle w:val="000001000000" w:firstRow="0" w:lastRow="0" w:firstColumn="0" w:lastColumn="0" w:oddVBand="0" w:evenVBand="1" w:oddHBand="0" w:evenHBand="0" w:firstRowFirstColumn="0" w:firstRowLastColumn="0" w:lastRowFirstColumn="0" w:lastRowLastColumn="0"/>
            <w:tcW w:w="716" w:type="pct"/>
            <w:noWrap/>
            <w:tcMar>
              <w:right w:w="0" w:type="nil"/>
            </w:tcMar>
            <w:hideMark/>
          </w:tcPr>
          <w:p w14:paraId="5EDB2A28" w14:textId="77777777" w:rsidR="006E51BF" w:rsidRPr="00CD0CF8" w:rsidRDefault="006E51BF">
            <w:pPr>
              <w:pStyle w:val="ARfintabletextright"/>
              <w:rPr>
                <w:lang w:eastAsia="en-AU"/>
              </w:rPr>
            </w:pPr>
            <w:r w:rsidRPr="00CD0CF8">
              <w:rPr>
                <w:lang w:eastAsia="en-AU"/>
              </w:rPr>
              <w:t>926.5</w:t>
            </w:r>
          </w:p>
        </w:tc>
        <w:tc>
          <w:tcPr>
            <w:tcW w:w="717" w:type="pct"/>
            <w:noWrap/>
            <w:tcMar>
              <w:right w:w="0" w:type="nil"/>
            </w:tcMar>
            <w:hideMark/>
          </w:tcPr>
          <w:p w14:paraId="18ED1E6B" w14:textId="77777777" w:rsidR="006E51BF" w:rsidRPr="00CD0CF8"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CD0CF8">
              <w:rPr>
                <w:lang w:eastAsia="en-AU"/>
              </w:rPr>
              <w:t>67.7</w:t>
            </w:r>
          </w:p>
        </w:tc>
        <w:tc>
          <w:tcPr>
            <w:cnfStyle w:val="000001000000" w:firstRow="0" w:lastRow="0" w:firstColumn="0" w:lastColumn="0" w:oddVBand="0" w:evenVBand="1" w:oddHBand="0" w:evenHBand="0" w:firstRowFirstColumn="0" w:firstRowLastColumn="0" w:lastRowFirstColumn="0" w:lastRowLastColumn="0"/>
            <w:tcW w:w="716" w:type="pct"/>
            <w:noWrap/>
            <w:tcMar>
              <w:right w:w="0" w:type="nil"/>
            </w:tcMar>
            <w:hideMark/>
          </w:tcPr>
          <w:p w14:paraId="5BB4B933" w14:textId="77777777" w:rsidR="006E51BF" w:rsidRPr="00CD0CF8" w:rsidRDefault="006E51BF">
            <w:pPr>
              <w:pStyle w:val="ARfintabletextright"/>
              <w:rPr>
                <w:lang w:eastAsia="en-AU"/>
              </w:rPr>
            </w:pPr>
            <w:r>
              <w:rPr>
                <w:lang w:eastAsia="en-AU"/>
              </w:rPr>
              <w:t>–</w:t>
            </w:r>
          </w:p>
        </w:tc>
        <w:tc>
          <w:tcPr>
            <w:tcW w:w="717" w:type="pct"/>
            <w:noWrap/>
            <w:tcMar>
              <w:right w:w="0" w:type="nil"/>
            </w:tcMar>
            <w:hideMark/>
          </w:tcPr>
          <w:p w14:paraId="3F31BA8F" w14:textId="77777777" w:rsidR="006E51BF" w:rsidRPr="00CD0CF8"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CD0CF8">
              <w:rPr>
                <w:lang w:eastAsia="en-AU"/>
              </w:rPr>
              <w:t>994.2</w:t>
            </w:r>
          </w:p>
        </w:tc>
      </w:tr>
      <w:tr w:rsidR="006E51BF" w:rsidRPr="00CD0CF8" w14:paraId="48DF961A"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134" w:type="pct"/>
            <w:hideMark/>
          </w:tcPr>
          <w:p w14:paraId="28D07D2F" w14:textId="77777777" w:rsidR="006E51BF" w:rsidRPr="00CD0CF8" w:rsidRDefault="006E51BF">
            <w:pPr>
              <w:pStyle w:val="ARfintabletext"/>
              <w:rPr>
                <w:lang w:eastAsia="en-AU"/>
              </w:rPr>
            </w:pPr>
            <w:r w:rsidRPr="00CD0CF8">
              <w:rPr>
                <w:lang w:eastAsia="en-AU"/>
              </w:rPr>
              <w:t xml:space="preserve">Contractual receivables applying the simplified approach for impairment </w:t>
            </w:r>
            <w:r w:rsidRPr="00CD0CF8">
              <w:rPr>
                <w:szCs w:val="18"/>
                <w:vertAlign w:val="superscript"/>
                <w:lang w:eastAsia="en-AU"/>
              </w:rPr>
              <w:t>(ii)(iii)</w:t>
            </w:r>
          </w:p>
        </w:tc>
        <w:tc>
          <w:tcPr>
            <w:cnfStyle w:val="000001000000" w:firstRow="0" w:lastRow="0" w:firstColumn="0" w:lastColumn="0" w:oddVBand="0" w:evenVBand="1" w:oddHBand="0" w:evenHBand="0" w:firstRowFirstColumn="0" w:firstRowLastColumn="0" w:lastRowFirstColumn="0" w:lastRowLastColumn="0"/>
            <w:tcW w:w="716" w:type="pct"/>
            <w:noWrap/>
            <w:tcMar>
              <w:right w:w="0" w:type="nil"/>
            </w:tcMar>
            <w:hideMark/>
          </w:tcPr>
          <w:p w14:paraId="615F3FFA" w14:textId="77777777" w:rsidR="006E51BF" w:rsidRPr="00CD0CF8" w:rsidRDefault="006E51BF">
            <w:pPr>
              <w:pStyle w:val="ARfintabletextright"/>
              <w:rPr>
                <w:lang w:eastAsia="en-AU"/>
              </w:rPr>
            </w:pPr>
            <w:r>
              <w:rPr>
                <w:lang w:eastAsia="en-AU"/>
              </w:rPr>
              <w:t>–</w:t>
            </w:r>
          </w:p>
        </w:tc>
        <w:tc>
          <w:tcPr>
            <w:tcW w:w="717" w:type="pct"/>
            <w:noWrap/>
            <w:tcMar>
              <w:right w:w="0" w:type="nil"/>
            </w:tcMar>
            <w:hideMark/>
          </w:tcPr>
          <w:p w14:paraId="1E2633BD" w14:textId="77777777" w:rsidR="006E51BF" w:rsidRPr="00CD0CF8"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444.3</w:t>
            </w:r>
          </w:p>
        </w:tc>
        <w:tc>
          <w:tcPr>
            <w:cnfStyle w:val="000001000000" w:firstRow="0" w:lastRow="0" w:firstColumn="0" w:lastColumn="0" w:oddVBand="0" w:evenVBand="1" w:oddHBand="0" w:evenHBand="0" w:firstRowFirstColumn="0" w:firstRowLastColumn="0" w:lastRowFirstColumn="0" w:lastRowLastColumn="0"/>
            <w:tcW w:w="716" w:type="pct"/>
            <w:noWrap/>
            <w:tcMar>
              <w:right w:w="0" w:type="nil"/>
            </w:tcMar>
            <w:hideMark/>
          </w:tcPr>
          <w:p w14:paraId="3A9B8BF0" w14:textId="77777777" w:rsidR="006E51BF" w:rsidRPr="00CD0CF8" w:rsidRDefault="006E51BF">
            <w:pPr>
              <w:pStyle w:val="ARfintabletextright"/>
              <w:rPr>
                <w:lang w:eastAsia="en-AU"/>
              </w:rPr>
            </w:pPr>
            <w:r>
              <w:rPr>
                <w:lang w:eastAsia="en-AU"/>
              </w:rPr>
              <w:t>35.1</w:t>
            </w:r>
          </w:p>
        </w:tc>
        <w:tc>
          <w:tcPr>
            <w:tcW w:w="717" w:type="pct"/>
            <w:noWrap/>
            <w:tcMar>
              <w:right w:w="0" w:type="nil"/>
            </w:tcMar>
            <w:hideMark/>
          </w:tcPr>
          <w:p w14:paraId="7C544B74" w14:textId="77777777" w:rsidR="006E51BF" w:rsidRPr="00CD0CF8"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CD0CF8">
              <w:rPr>
                <w:lang w:eastAsia="en-AU"/>
              </w:rPr>
              <w:t>479.4</w:t>
            </w:r>
          </w:p>
        </w:tc>
      </w:tr>
      <w:tr w:rsidR="006E51BF" w:rsidRPr="00CD0CF8" w14:paraId="19B6F594"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134" w:type="pct"/>
            <w:tcBorders>
              <w:bottom w:val="single" w:sz="4" w:space="0" w:color="BFBFBF" w:themeColor="accent2"/>
            </w:tcBorders>
            <w:noWrap/>
            <w:hideMark/>
          </w:tcPr>
          <w:p w14:paraId="448E521D" w14:textId="77777777" w:rsidR="006E51BF" w:rsidRPr="00CD0CF8" w:rsidRDefault="006E51BF">
            <w:pPr>
              <w:pStyle w:val="ARfintabletext"/>
              <w:rPr>
                <w:lang w:eastAsia="en-AU"/>
              </w:rPr>
            </w:pPr>
            <w:r w:rsidRPr="00CD0CF8">
              <w:rPr>
                <w:lang w:eastAsia="en-AU"/>
              </w:rPr>
              <w:t xml:space="preserve">Loans </w:t>
            </w:r>
            <w:r w:rsidRPr="00CD0CF8">
              <w:rPr>
                <w:szCs w:val="18"/>
                <w:vertAlign w:val="superscript"/>
                <w:lang w:eastAsia="en-AU"/>
              </w:rPr>
              <w:t>(iii)</w:t>
            </w:r>
          </w:p>
        </w:tc>
        <w:tc>
          <w:tcPr>
            <w:cnfStyle w:val="000001000000" w:firstRow="0" w:lastRow="0" w:firstColumn="0" w:lastColumn="0" w:oddVBand="0" w:evenVBand="1" w:oddHBand="0" w:evenHBand="0" w:firstRowFirstColumn="0" w:firstRowLastColumn="0" w:lastRowFirstColumn="0" w:lastRowLastColumn="0"/>
            <w:tcW w:w="716" w:type="pct"/>
            <w:tcBorders>
              <w:bottom w:val="single" w:sz="4" w:space="0" w:color="BFBFBF" w:themeColor="accent2"/>
            </w:tcBorders>
            <w:noWrap/>
            <w:tcMar>
              <w:right w:w="0" w:type="nil"/>
            </w:tcMar>
            <w:hideMark/>
          </w:tcPr>
          <w:p w14:paraId="22F1073E" w14:textId="77777777" w:rsidR="006E51BF" w:rsidRPr="00CD0CF8" w:rsidRDefault="006E51BF">
            <w:pPr>
              <w:pStyle w:val="ARfintabletextright"/>
              <w:rPr>
                <w:lang w:eastAsia="en-AU"/>
              </w:rPr>
            </w:pPr>
            <w:r>
              <w:rPr>
                <w:lang w:eastAsia="en-AU"/>
              </w:rPr>
              <w:t>–</w:t>
            </w:r>
          </w:p>
        </w:tc>
        <w:tc>
          <w:tcPr>
            <w:tcW w:w="717" w:type="pct"/>
            <w:tcBorders>
              <w:bottom w:val="single" w:sz="4" w:space="0" w:color="BFBFBF" w:themeColor="accent2"/>
            </w:tcBorders>
            <w:noWrap/>
            <w:tcMar>
              <w:right w:w="0" w:type="nil"/>
            </w:tcMar>
            <w:hideMark/>
          </w:tcPr>
          <w:p w14:paraId="13AF8DCC" w14:textId="77777777" w:rsidR="006E51BF" w:rsidRPr="00CD0CF8"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16" w:type="pct"/>
            <w:tcBorders>
              <w:bottom w:val="single" w:sz="4" w:space="0" w:color="BFBFBF" w:themeColor="accent2"/>
            </w:tcBorders>
            <w:noWrap/>
            <w:tcMar>
              <w:right w:w="0" w:type="nil"/>
            </w:tcMar>
            <w:hideMark/>
          </w:tcPr>
          <w:p w14:paraId="50DF8E65" w14:textId="77777777" w:rsidR="006E51BF" w:rsidRPr="00CD0CF8" w:rsidRDefault="006E51BF">
            <w:pPr>
              <w:pStyle w:val="ARfintabletextright"/>
              <w:rPr>
                <w:lang w:eastAsia="en-AU"/>
              </w:rPr>
            </w:pPr>
            <w:r w:rsidRPr="00CD0CF8">
              <w:rPr>
                <w:lang w:eastAsia="en-AU"/>
              </w:rPr>
              <w:t>26.2</w:t>
            </w:r>
          </w:p>
        </w:tc>
        <w:tc>
          <w:tcPr>
            <w:tcW w:w="717" w:type="pct"/>
            <w:tcBorders>
              <w:bottom w:val="single" w:sz="4" w:space="0" w:color="BFBFBF" w:themeColor="accent2"/>
            </w:tcBorders>
            <w:noWrap/>
            <w:tcMar>
              <w:right w:w="0" w:type="nil"/>
            </w:tcMar>
            <w:hideMark/>
          </w:tcPr>
          <w:p w14:paraId="2B6696E1" w14:textId="77777777" w:rsidR="006E51BF" w:rsidRPr="00CD0CF8"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CD0CF8">
              <w:rPr>
                <w:lang w:eastAsia="en-AU"/>
              </w:rPr>
              <w:t>26.2</w:t>
            </w:r>
          </w:p>
        </w:tc>
      </w:tr>
      <w:tr w:rsidR="006E51BF" w:rsidRPr="00CD0CF8" w14:paraId="1E1F581B"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134" w:type="pct"/>
            <w:tcBorders>
              <w:top w:val="single" w:sz="4" w:space="0" w:color="BFBFBF" w:themeColor="accent2"/>
              <w:bottom w:val="single" w:sz="4" w:space="0" w:color="000000" w:themeColor="text1"/>
            </w:tcBorders>
            <w:noWrap/>
            <w:hideMark/>
          </w:tcPr>
          <w:p w14:paraId="1AF7FF51" w14:textId="77777777" w:rsidR="006E51BF" w:rsidRPr="00CD0CF8" w:rsidRDefault="006E51BF">
            <w:pPr>
              <w:pStyle w:val="ARfintabletext"/>
              <w:rPr>
                <w:lang w:eastAsia="en-AU"/>
              </w:rPr>
            </w:pPr>
            <w:r w:rsidRPr="00CD0CF8">
              <w:rPr>
                <w:lang w:eastAsia="en-AU"/>
              </w:rPr>
              <w:t xml:space="preserve">Statutory receivables </w:t>
            </w:r>
            <w:r>
              <w:rPr>
                <w:lang w:eastAsia="en-AU"/>
              </w:rPr>
              <w:br/>
            </w:r>
            <w:r w:rsidRPr="00CD0CF8">
              <w:rPr>
                <w:lang w:eastAsia="en-AU"/>
              </w:rPr>
              <w:t>(with no impairment loss recognised)</w:t>
            </w:r>
          </w:p>
        </w:tc>
        <w:tc>
          <w:tcPr>
            <w:cnfStyle w:val="000001000000" w:firstRow="0" w:lastRow="0" w:firstColumn="0" w:lastColumn="0" w:oddVBand="0" w:evenVBand="1" w:oddHBand="0" w:evenHBand="0" w:firstRowFirstColumn="0" w:firstRowLastColumn="0" w:lastRowFirstColumn="0" w:lastRowLastColumn="0"/>
            <w:tcW w:w="716" w:type="pct"/>
            <w:tcBorders>
              <w:top w:val="single" w:sz="4" w:space="0" w:color="BFBFBF" w:themeColor="accent2"/>
              <w:bottom w:val="single" w:sz="4" w:space="0" w:color="000000" w:themeColor="text1"/>
            </w:tcBorders>
            <w:noWrap/>
            <w:tcMar>
              <w:right w:w="0" w:type="nil"/>
            </w:tcMar>
            <w:hideMark/>
          </w:tcPr>
          <w:p w14:paraId="370A8405" w14:textId="77777777" w:rsidR="006E51BF" w:rsidRPr="00CD0CF8" w:rsidRDefault="006E51BF">
            <w:pPr>
              <w:pStyle w:val="ARfintabletextright"/>
              <w:rPr>
                <w:lang w:eastAsia="en-AU"/>
              </w:rPr>
            </w:pPr>
            <w:r w:rsidRPr="00CD0CF8">
              <w:rPr>
                <w:lang w:eastAsia="en-AU"/>
              </w:rPr>
              <w:t>875.8</w:t>
            </w:r>
          </w:p>
        </w:tc>
        <w:tc>
          <w:tcPr>
            <w:tcW w:w="717" w:type="pct"/>
            <w:tcBorders>
              <w:top w:val="single" w:sz="4" w:space="0" w:color="BFBFBF" w:themeColor="accent2"/>
              <w:bottom w:val="single" w:sz="4" w:space="0" w:color="000000" w:themeColor="text1"/>
            </w:tcBorders>
            <w:noWrap/>
            <w:tcMar>
              <w:right w:w="0" w:type="nil"/>
            </w:tcMar>
            <w:hideMark/>
          </w:tcPr>
          <w:p w14:paraId="29777322" w14:textId="77777777" w:rsidR="006E51BF" w:rsidRPr="00CD0CF8"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16" w:type="pct"/>
            <w:tcBorders>
              <w:top w:val="single" w:sz="4" w:space="0" w:color="BFBFBF" w:themeColor="accent2"/>
              <w:bottom w:val="single" w:sz="4" w:space="0" w:color="000000" w:themeColor="text1"/>
            </w:tcBorders>
            <w:noWrap/>
            <w:tcMar>
              <w:right w:w="0" w:type="nil"/>
            </w:tcMar>
            <w:hideMark/>
          </w:tcPr>
          <w:p w14:paraId="6688A57B" w14:textId="77777777" w:rsidR="006E51BF" w:rsidRPr="00CD0CF8" w:rsidRDefault="006E51BF">
            <w:pPr>
              <w:pStyle w:val="ARfintabletextright"/>
              <w:rPr>
                <w:lang w:eastAsia="en-AU"/>
              </w:rPr>
            </w:pPr>
            <w:r>
              <w:rPr>
                <w:lang w:eastAsia="en-AU"/>
              </w:rPr>
              <w:t>–</w:t>
            </w:r>
          </w:p>
        </w:tc>
        <w:tc>
          <w:tcPr>
            <w:tcW w:w="717" w:type="pct"/>
            <w:tcBorders>
              <w:top w:val="single" w:sz="4" w:space="0" w:color="BFBFBF" w:themeColor="accent2"/>
              <w:bottom w:val="single" w:sz="4" w:space="0" w:color="000000" w:themeColor="text1"/>
            </w:tcBorders>
            <w:noWrap/>
            <w:tcMar>
              <w:right w:w="0" w:type="nil"/>
            </w:tcMar>
            <w:hideMark/>
          </w:tcPr>
          <w:p w14:paraId="2341607D" w14:textId="77777777" w:rsidR="006E51BF" w:rsidRPr="00CD0CF8"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CD0CF8">
              <w:rPr>
                <w:lang w:eastAsia="en-AU"/>
              </w:rPr>
              <w:t>875.8</w:t>
            </w:r>
          </w:p>
        </w:tc>
      </w:tr>
      <w:tr w:rsidR="006E51BF" w:rsidRPr="00CD0CF8" w14:paraId="0FE17F6A" w14:textId="77777777" w:rsidTr="00304BA9">
        <w:trPr>
          <w:cnfStyle w:val="000000010000" w:firstRow="0" w:lastRow="0" w:firstColumn="0" w:lastColumn="0" w:oddVBand="0" w:evenVBand="0" w:oddHBand="0" w:evenHBand="1" w:firstRowFirstColumn="0" w:firstRowLastColumn="0" w:lastRowFirstColumn="0" w:lastRowLastColumn="0"/>
          <w:trHeight w:val="93"/>
        </w:trPr>
        <w:tc>
          <w:tcPr>
            <w:tcW w:w="2134" w:type="pct"/>
            <w:tcBorders>
              <w:top w:val="single" w:sz="4" w:space="0" w:color="000000" w:themeColor="text1"/>
              <w:bottom w:val="single" w:sz="4" w:space="0" w:color="000000" w:themeColor="text1"/>
            </w:tcBorders>
            <w:noWrap/>
            <w:hideMark/>
          </w:tcPr>
          <w:p w14:paraId="3383BC3B" w14:textId="77777777" w:rsidR="006E51BF" w:rsidRPr="00CD0CF8" w:rsidRDefault="006E51BF">
            <w:pPr>
              <w:pStyle w:val="ARfintabletextbold"/>
              <w:rPr>
                <w:lang w:eastAsia="en-AU"/>
              </w:rPr>
            </w:pPr>
            <w:r w:rsidRPr="00CD0CF8">
              <w:rPr>
                <w:lang w:eastAsia="en-AU"/>
              </w:rPr>
              <w:t>Total financial assets</w:t>
            </w:r>
          </w:p>
        </w:tc>
        <w:tc>
          <w:tcPr>
            <w:cnfStyle w:val="000001000000" w:firstRow="0" w:lastRow="0" w:firstColumn="0" w:lastColumn="0" w:oddVBand="0" w:evenVBand="1" w:oddHBand="0" w:evenHBand="0" w:firstRowFirstColumn="0" w:firstRowLastColumn="0" w:lastRowFirstColumn="0" w:lastRowLastColumn="0"/>
            <w:tcW w:w="716" w:type="pct"/>
            <w:tcBorders>
              <w:top w:val="single" w:sz="4" w:space="0" w:color="000000" w:themeColor="text1"/>
              <w:bottom w:val="single" w:sz="4" w:space="0" w:color="000000" w:themeColor="text1"/>
            </w:tcBorders>
            <w:noWrap/>
            <w:tcMar>
              <w:right w:w="0" w:type="nil"/>
            </w:tcMar>
            <w:hideMark/>
          </w:tcPr>
          <w:p w14:paraId="5FD8F4A7" w14:textId="77777777" w:rsidR="006E51BF" w:rsidRPr="00CD0CF8" w:rsidRDefault="006E51BF">
            <w:pPr>
              <w:pStyle w:val="ARfintabletextboldright"/>
              <w:rPr>
                <w:lang w:eastAsia="en-AU"/>
              </w:rPr>
            </w:pPr>
            <w:r w:rsidRPr="00CD0CF8">
              <w:rPr>
                <w:lang w:eastAsia="en-AU"/>
              </w:rPr>
              <w:t>1,802.3</w:t>
            </w:r>
          </w:p>
        </w:tc>
        <w:tc>
          <w:tcPr>
            <w:tcW w:w="717" w:type="pct"/>
            <w:tcBorders>
              <w:top w:val="single" w:sz="4" w:space="0" w:color="000000" w:themeColor="text1"/>
              <w:bottom w:val="single" w:sz="4" w:space="0" w:color="000000" w:themeColor="text1"/>
            </w:tcBorders>
            <w:noWrap/>
            <w:tcMar>
              <w:right w:w="0" w:type="nil"/>
            </w:tcMar>
            <w:hideMark/>
          </w:tcPr>
          <w:p w14:paraId="212EA6FA" w14:textId="77777777" w:rsidR="006E51BF" w:rsidRPr="00CD0CF8"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512.0</w:t>
            </w:r>
          </w:p>
        </w:tc>
        <w:tc>
          <w:tcPr>
            <w:cnfStyle w:val="000001000000" w:firstRow="0" w:lastRow="0" w:firstColumn="0" w:lastColumn="0" w:oddVBand="0" w:evenVBand="1" w:oddHBand="0" w:evenHBand="0" w:firstRowFirstColumn="0" w:firstRowLastColumn="0" w:lastRowFirstColumn="0" w:lastRowLastColumn="0"/>
            <w:tcW w:w="716" w:type="pct"/>
            <w:tcBorders>
              <w:top w:val="single" w:sz="4" w:space="0" w:color="000000" w:themeColor="text1"/>
              <w:bottom w:val="single" w:sz="4" w:space="0" w:color="000000" w:themeColor="text1"/>
            </w:tcBorders>
            <w:noWrap/>
            <w:tcMar>
              <w:right w:w="0" w:type="nil"/>
            </w:tcMar>
            <w:hideMark/>
          </w:tcPr>
          <w:p w14:paraId="15C88569" w14:textId="77777777" w:rsidR="006E51BF" w:rsidRPr="00CD0CF8" w:rsidRDefault="006E51BF">
            <w:pPr>
              <w:pStyle w:val="ARfintabletextboldright"/>
              <w:rPr>
                <w:lang w:eastAsia="en-AU"/>
              </w:rPr>
            </w:pPr>
            <w:r>
              <w:rPr>
                <w:lang w:eastAsia="en-AU"/>
              </w:rPr>
              <w:t>61.3</w:t>
            </w:r>
          </w:p>
        </w:tc>
        <w:tc>
          <w:tcPr>
            <w:tcW w:w="717" w:type="pct"/>
            <w:tcBorders>
              <w:top w:val="single" w:sz="4" w:space="0" w:color="000000" w:themeColor="text1"/>
              <w:bottom w:val="single" w:sz="4" w:space="0" w:color="000000" w:themeColor="text1"/>
            </w:tcBorders>
            <w:noWrap/>
            <w:tcMar>
              <w:right w:w="0" w:type="nil"/>
            </w:tcMar>
            <w:hideMark/>
          </w:tcPr>
          <w:p w14:paraId="48B2D6A6" w14:textId="77777777" w:rsidR="006E51BF" w:rsidRPr="00CD0CF8"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CD0CF8">
              <w:rPr>
                <w:lang w:eastAsia="en-AU"/>
              </w:rPr>
              <w:t>2,375.6</w:t>
            </w:r>
          </w:p>
        </w:tc>
      </w:tr>
      <w:tr w:rsidR="006E51BF" w:rsidRPr="00CD0CF8" w14:paraId="748BA2D7"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134" w:type="pct"/>
            <w:tcBorders>
              <w:top w:val="single" w:sz="4" w:space="0" w:color="000000" w:themeColor="text1"/>
            </w:tcBorders>
            <w:noWrap/>
            <w:hideMark/>
          </w:tcPr>
          <w:p w14:paraId="58E1C891" w14:textId="77777777" w:rsidR="006E51BF" w:rsidRPr="00CD0CF8" w:rsidRDefault="006E51BF">
            <w:pPr>
              <w:pStyle w:val="ARfintabletextboldcoloured"/>
              <w:rPr>
                <w:lang w:eastAsia="en-AU"/>
              </w:rPr>
            </w:pPr>
            <w:r w:rsidRPr="00CD0CF8">
              <w:rPr>
                <w:lang w:eastAsia="en-AU"/>
              </w:rPr>
              <w:t>2025</w:t>
            </w:r>
          </w:p>
        </w:tc>
        <w:tc>
          <w:tcPr>
            <w:cnfStyle w:val="000001000000" w:firstRow="0" w:lastRow="0" w:firstColumn="0" w:lastColumn="0" w:oddVBand="0" w:evenVBand="1" w:oddHBand="0" w:evenHBand="0" w:firstRowFirstColumn="0" w:firstRowLastColumn="0" w:lastRowFirstColumn="0" w:lastRowLastColumn="0"/>
            <w:tcW w:w="716" w:type="pct"/>
            <w:tcBorders>
              <w:top w:val="single" w:sz="4" w:space="0" w:color="000000" w:themeColor="text1"/>
            </w:tcBorders>
            <w:shd w:val="clear" w:color="auto" w:fill="auto"/>
            <w:tcMar>
              <w:right w:w="0" w:type="nil"/>
            </w:tcMar>
            <w:hideMark/>
          </w:tcPr>
          <w:p w14:paraId="68D85251" w14:textId="77777777" w:rsidR="006E51BF" w:rsidRPr="00CD0CF8" w:rsidRDefault="006E51BF">
            <w:pPr>
              <w:pStyle w:val="ARfintabletextright"/>
              <w:rPr>
                <w:lang w:eastAsia="en-AU"/>
              </w:rPr>
            </w:pPr>
          </w:p>
        </w:tc>
        <w:tc>
          <w:tcPr>
            <w:tcW w:w="717" w:type="pct"/>
            <w:tcBorders>
              <w:top w:val="single" w:sz="4" w:space="0" w:color="000000" w:themeColor="text1"/>
            </w:tcBorders>
            <w:tcMar>
              <w:right w:w="0" w:type="nil"/>
            </w:tcMar>
            <w:hideMark/>
          </w:tcPr>
          <w:p w14:paraId="4DDADFFE" w14:textId="77777777" w:rsidR="006E51BF" w:rsidRPr="00CD0CF8"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716" w:type="pct"/>
            <w:tcBorders>
              <w:top w:val="single" w:sz="4" w:space="0" w:color="000000" w:themeColor="text1"/>
            </w:tcBorders>
            <w:shd w:val="clear" w:color="auto" w:fill="auto"/>
            <w:tcMar>
              <w:right w:w="0" w:type="nil"/>
            </w:tcMar>
            <w:hideMark/>
          </w:tcPr>
          <w:p w14:paraId="60CFE2B2" w14:textId="77777777" w:rsidR="006E51BF" w:rsidRPr="00CD0CF8" w:rsidRDefault="006E51BF">
            <w:pPr>
              <w:pStyle w:val="ARfintabletextright"/>
              <w:rPr>
                <w:lang w:eastAsia="en-AU"/>
              </w:rPr>
            </w:pPr>
          </w:p>
        </w:tc>
        <w:tc>
          <w:tcPr>
            <w:tcW w:w="717" w:type="pct"/>
            <w:tcBorders>
              <w:top w:val="single" w:sz="4" w:space="0" w:color="000000" w:themeColor="text1"/>
            </w:tcBorders>
            <w:noWrap/>
            <w:tcMar>
              <w:right w:w="0" w:type="nil"/>
            </w:tcMar>
            <w:hideMark/>
          </w:tcPr>
          <w:p w14:paraId="2238B52F" w14:textId="77777777" w:rsidR="006E51BF" w:rsidRPr="00CD0CF8"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CD0CF8" w14:paraId="7F246D48"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134" w:type="pct"/>
            <w:hideMark/>
          </w:tcPr>
          <w:p w14:paraId="2BF2F8FC" w14:textId="77777777" w:rsidR="006E51BF" w:rsidRPr="00CD0CF8" w:rsidRDefault="006E51BF">
            <w:pPr>
              <w:pStyle w:val="ARfintabletext"/>
              <w:rPr>
                <w:lang w:eastAsia="en-AU"/>
              </w:rPr>
            </w:pPr>
            <w:r w:rsidRPr="00CD0CF8">
              <w:rPr>
                <w:lang w:eastAsia="en-AU"/>
              </w:rPr>
              <w:t>Cash and deposits (not assessed for impairment due to the nature of cash)</w:t>
            </w:r>
          </w:p>
        </w:tc>
        <w:tc>
          <w:tcPr>
            <w:cnfStyle w:val="000001000000" w:firstRow="0" w:lastRow="0" w:firstColumn="0" w:lastColumn="0" w:oddVBand="0" w:evenVBand="1" w:oddHBand="0" w:evenHBand="0" w:firstRowFirstColumn="0" w:firstRowLastColumn="0" w:lastRowFirstColumn="0" w:lastRowLastColumn="0"/>
            <w:tcW w:w="716" w:type="pct"/>
            <w:noWrap/>
            <w:tcMar>
              <w:right w:w="0" w:type="nil"/>
            </w:tcMar>
            <w:hideMark/>
          </w:tcPr>
          <w:p w14:paraId="23469E29" w14:textId="77777777" w:rsidR="006E51BF" w:rsidRPr="00CD0CF8" w:rsidRDefault="006E51BF">
            <w:pPr>
              <w:pStyle w:val="ARfintabletextright"/>
              <w:rPr>
                <w:lang w:eastAsia="en-AU"/>
              </w:rPr>
            </w:pPr>
            <w:r w:rsidRPr="00CD0CF8">
              <w:rPr>
                <w:lang w:eastAsia="en-AU"/>
              </w:rPr>
              <w:t>1,262.3</w:t>
            </w:r>
          </w:p>
        </w:tc>
        <w:tc>
          <w:tcPr>
            <w:tcW w:w="717" w:type="pct"/>
            <w:noWrap/>
            <w:tcMar>
              <w:right w:w="0" w:type="nil"/>
            </w:tcMar>
            <w:hideMark/>
          </w:tcPr>
          <w:p w14:paraId="672E50BA" w14:textId="77777777" w:rsidR="006E51BF" w:rsidRPr="00CD0CF8"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CD0CF8">
              <w:rPr>
                <w:lang w:eastAsia="en-AU"/>
              </w:rPr>
              <w:t>49.9</w:t>
            </w:r>
          </w:p>
        </w:tc>
        <w:tc>
          <w:tcPr>
            <w:cnfStyle w:val="000001000000" w:firstRow="0" w:lastRow="0" w:firstColumn="0" w:lastColumn="0" w:oddVBand="0" w:evenVBand="1" w:oddHBand="0" w:evenHBand="0" w:firstRowFirstColumn="0" w:firstRowLastColumn="0" w:lastRowFirstColumn="0" w:lastRowLastColumn="0"/>
            <w:tcW w:w="716" w:type="pct"/>
            <w:noWrap/>
            <w:tcMar>
              <w:right w:w="0" w:type="nil"/>
            </w:tcMar>
            <w:hideMark/>
          </w:tcPr>
          <w:p w14:paraId="76DBD47F" w14:textId="77777777" w:rsidR="006E51BF" w:rsidRPr="00CD0CF8" w:rsidRDefault="006E51BF">
            <w:pPr>
              <w:pStyle w:val="ARfintabletextright"/>
              <w:rPr>
                <w:lang w:eastAsia="en-AU"/>
              </w:rPr>
            </w:pPr>
            <w:r>
              <w:rPr>
                <w:lang w:eastAsia="en-AU"/>
              </w:rPr>
              <w:t>–</w:t>
            </w:r>
          </w:p>
        </w:tc>
        <w:tc>
          <w:tcPr>
            <w:tcW w:w="717" w:type="pct"/>
            <w:noWrap/>
            <w:tcMar>
              <w:right w:w="0" w:type="nil"/>
            </w:tcMar>
            <w:hideMark/>
          </w:tcPr>
          <w:p w14:paraId="6A73FFAD" w14:textId="77777777" w:rsidR="006E51BF" w:rsidRPr="00CD0CF8"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CD0CF8">
              <w:rPr>
                <w:lang w:eastAsia="en-AU"/>
              </w:rPr>
              <w:t>1,312.2</w:t>
            </w:r>
          </w:p>
        </w:tc>
      </w:tr>
      <w:tr w:rsidR="006E51BF" w:rsidRPr="00CD0CF8" w14:paraId="794888E1"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134" w:type="pct"/>
            <w:hideMark/>
          </w:tcPr>
          <w:p w14:paraId="33815067" w14:textId="77777777" w:rsidR="006E51BF" w:rsidRPr="00CD0CF8" w:rsidRDefault="006E51BF">
            <w:pPr>
              <w:pStyle w:val="ARfintabletext"/>
              <w:rPr>
                <w:lang w:eastAsia="en-AU"/>
              </w:rPr>
            </w:pPr>
            <w:r w:rsidRPr="00CD0CF8">
              <w:rPr>
                <w:lang w:eastAsia="en-AU"/>
              </w:rPr>
              <w:t xml:space="preserve">Contractual receivables applying the simplified approach for impairment </w:t>
            </w:r>
            <w:r w:rsidRPr="00CD0CF8">
              <w:rPr>
                <w:szCs w:val="18"/>
                <w:vertAlign w:val="superscript"/>
                <w:lang w:eastAsia="en-AU"/>
              </w:rPr>
              <w:t>(ii)(iii)</w:t>
            </w:r>
          </w:p>
        </w:tc>
        <w:tc>
          <w:tcPr>
            <w:cnfStyle w:val="000001000000" w:firstRow="0" w:lastRow="0" w:firstColumn="0" w:lastColumn="0" w:oddVBand="0" w:evenVBand="1" w:oddHBand="0" w:evenHBand="0" w:firstRowFirstColumn="0" w:firstRowLastColumn="0" w:lastRowFirstColumn="0" w:lastRowLastColumn="0"/>
            <w:tcW w:w="716" w:type="pct"/>
            <w:noWrap/>
            <w:tcMar>
              <w:right w:w="0" w:type="nil"/>
            </w:tcMar>
            <w:hideMark/>
          </w:tcPr>
          <w:p w14:paraId="02F652F8" w14:textId="77777777" w:rsidR="006E51BF" w:rsidRPr="00CD0CF8" w:rsidRDefault="006E51BF">
            <w:pPr>
              <w:pStyle w:val="ARfintabletextright"/>
              <w:rPr>
                <w:lang w:eastAsia="en-AU"/>
              </w:rPr>
            </w:pPr>
            <w:r>
              <w:rPr>
                <w:lang w:eastAsia="en-AU"/>
              </w:rPr>
              <w:t>–</w:t>
            </w:r>
          </w:p>
        </w:tc>
        <w:tc>
          <w:tcPr>
            <w:tcW w:w="717" w:type="pct"/>
            <w:noWrap/>
            <w:tcMar>
              <w:right w:w="0" w:type="nil"/>
            </w:tcMar>
            <w:hideMark/>
          </w:tcPr>
          <w:p w14:paraId="3ED99583" w14:textId="77777777" w:rsidR="006E51BF" w:rsidRPr="00CD0CF8"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179.5</w:t>
            </w:r>
          </w:p>
        </w:tc>
        <w:tc>
          <w:tcPr>
            <w:cnfStyle w:val="000001000000" w:firstRow="0" w:lastRow="0" w:firstColumn="0" w:lastColumn="0" w:oddVBand="0" w:evenVBand="1" w:oddHBand="0" w:evenHBand="0" w:firstRowFirstColumn="0" w:firstRowLastColumn="0" w:lastRowFirstColumn="0" w:lastRowLastColumn="0"/>
            <w:tcW w:w="716" w:type="pct"/>
            <w:noWrap/>
            <w:tcMar>
              <w:right w:w="0" w:type="nil"/>
            </w:tcMar>
            <w:hideMark/>
          </w:tcPr>
          <w:p w14:paraId="3C499CE2" w14:textId="77777777" w:rsidR="006E51BF" w:rsidRPr="00CD0CF8" w:rsidRDefault="006E51BF">
            <w:pPr>
              <w:pStyle w:val="ARfintabletextright"/>
              <w:rPr>
                <w:lang w:eastAsia="en-AU"/>
              </w:rPr>
            </w:pPr>
            <w:r>
              <w:rPr>
                <w:lang w:eastAsia="en-AU"/>
              </w:rPr>
              <w:t>45.9</w:t>
            </w:r>
          </w:p>
        </w:tc>
        <w:tc>
          <w:tcPr>
            <w:tcW w:w="717" w:type="pct"/>
            <w:noWrap/>
            <w:tcMar>
              <w:right w:w="0" w:type="nil"/>
            </w:tcMar>
            <w:hideMark/>
          </w:tcPr>
          <w:p w14:paraId="6F144FDB" w14:textId="77777777" w:rsidR="006E51BF" w:rsidRPr="00CD0CF8"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CD0CF8">
              <w:rPr>
                <w:lang w:eastAsia="en-AU"/>
              </w:rPr>
              <w:t>225.4</w:t>
            </w:r>
          </w:p>
        </w:tc>
      </w:tr>
      <w:tr w:rsidR="006E51BF" w:rsidRPr="00CD0CF8" w14:paraId="594A24FC"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134" w:type="pct"/>
            <w:noWrap/>
            <w:hideMark/>
          </w:tcPr>
          <w:p w14:paraId="6EB8178C" w14:textId="77777777" w:rsidR="006E51BF" w:rsidRPr="00CD0CF8" w:rsidRDefault="006E51BF">
            <w:pPr>
              <w:pStyle w:val="ARfintabletext"/>
              <w:rPr>
                <w:lang w:eastAsia="en-AU"/>
              </w:rPr>
            </w:pPr>
            <w:r w:rsidRPr="00CD0CF8">
              <w:rPr>
                <w:lang w:eastAsia="en-AU"/>
              </w:rPr>
              <w:t xml:space="preserve">Loans </w:t>
            </w:r>
            <w:r w:rsidRPr="00CD0CF8">
              <w:rPr>
                <w:szCs w:val="18"/>
                <w:vertAlign w:val="superscript"/>
                <w:lang w:eastAsia="en-AU"/>
              </w:rPr>
              <w:t>(iii)</w:t>
            </w:r>
          </w:p>
        </w:tc>
        <w:tc>
          <w:tcPr>
            <w:cnfStyle w:val="000001000000" w:firstRow="0" w:lastRow="0" w:firstColumn="0" w:lastColumn="0" w:oddVBand="0" w:evenVBand="1" w:oddHBand="0" w:evenHBand="0" w:firstRowFirstColumn="0" w:firstRowLastColumn="0" w:lastRowFirstColumn="0" w:lastRowLastColumn="0"/>
            <w:tcW w:w="716" w:type="pct"/>
            <w:noWrap/>
            <w:tcMar>
              <w:right w:w="0" w:type="nil"/>
            </w:tcMar>
            <w:hideMark/>
          </w:tcPr>
          <w:p w14:paraId="276C40C9" w14:textId="77777777" w:rsidR="006E51BF" w:rsidRPr="00CD0CF8" w:rsidRDefault="006E51BF">
            <w:pPr>
              <w:pStyle w:val="ARfintabletextright"/>
              <w:rPr>
                <w:lang w:eastAsia="en-AU"/>
              </w:rPr>
            </w:pPr>
            <w:r>
              <w:rPr>
                <w:lang w:eastAsia="en-AU"/>
              </w:rPr>
              <w:t>–</w:t>
            </w:r>
          </w:p>
        </w:tc>
        <w:tc>
          <w:tcPr>
            <w:tcW w:w="717" w:type="pct"/>
            <w:noWrap/>
            <w:tcMar>
              <w:right w:w="0" w:type="nil"/>
            </w:tcMar>
            <w:hideMark/>
          </w:tcPr>
          <w:p w14:paraId="7EFE1A49" w14:textId="77777777" w:rsidR="006E51BF" w:rsidRPr="00CD0CF8"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16" w:type="pct"/>
            <w:noWrap/>
            <w:tcMar>
              <w:right w:w="0" w:type="nil"/>
            </w:tcMar>
            <w:hideMark/>
          </w:tcPr>
          <w:p w14:paraId="7543565B" w14:textId="77777777" w:rsidR="006E51BF" w:rsidRPr="00CD0CF8" w:rsidRDefault="006E51BF">
            <w:pPr>
              <w:pStyle w:val="ARfintabletextright"/>
              <w:rPr>
                <w:lang w:eastAsia="en-AU"/>
              </w:rPr>
            </w:pPr>
            <w:r w:rsidRPr="00CD0CF8">
              <w:rPr>
                <w:lang w:eastAsia="en-AU"/>
              </w:rPr>
              <w:t>66.7</w:t>
            </w:r>
          </w:p>
        </w:tc>
        <w:tc>
          <w:tcPr>
            <w:tcW w:w="717" w:type="pct"/>
            <w:noWrap/>
            <w:tcMar>
              <w:right w:w="0" w:type="nil"/>
            </w:tcMar>
            <w:hideMark/>
          </w:tcPr>
          <w:p w14:paraId="3354DA5E" w14:textId="77777777" w:rsidR="006E51BF" w:rsidRPr="00CD0CF8"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CD0CF8">
              <w:rPr>
                <w:lang w:eastAsia="en-AU"/>
              </w:rPr>
              <w:t>66.7</w:t>
            </w:r>
          </w:p>
        </w:tc>
      </w:tr>
      <w:tr w:rsidR="006E51BF" w:rsidRPr="00CD0CF8" w14:paraId="1F5CF022"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134" w:type="pct"/>
            <w:noWrap/>
            <w:hideMark/>
          </w:tcPr>
          <w:p w14:paraId="0C79B36A" w14:textId="77777777" w:rsidR="006E51BF" w:rsidRPr="00CD0CF8" w:rsidRDefault="006E51BF">
            <w:pPr>
              <w:pStyle w:val="ARfintabletext"/>
              <w:rPr>
                <w:lang w:eastAsia="en-AU"/>
              </w:rPr>
            </w:pPr>
            <w:r w:rsidRPr="00CD0CF8">
              <w:rPr>
                <w:lang w:eastAsia="en-AU"/>
              </w:rPr>
              <w:t xml:space="preserve">Statutory receivables </w:t>
            </w:r>
            <w:r>
              <w:rPr>
                <w:lang w:eastAsia="en-AU"/>
              </w:rPr>
              <w:br/>
            </w:r>
            <w:r w:rsidRPr="00CD0CF8">
              <w:rPr>
                <w:lang w:eastAsia="en-AU"/>
              </w:rPr>
              <w:t>(with no impairment loss</w:t>
            </w:r>
            <w:r>
              <w:rPr>
                <w:lang w:eastAsia="en-AU"/>
              </w:rPr>
              <w:t> </w:t>
            </w:r>
            <w:r w:rsidRPr="00CD0CF8">
              <w:rPr>
                <w:lang w:eastAsia="en-AU"/>
              </w:rPr>
              <w:t>recognised)</w:t>
            </w:r>
          </w:p>
        </w:tc>
        <w:tc>
          <w:tcPr>
            <w:cnfStyle w:val="000001000000" w:firstRow="0" w:lastRow="0" w:firstColumn="0" w:lastColumn="0" w:oddVBand="0" w:evenVBand="1" w:oddHBand="0" w:evenHBand="0" w:firstRowFirstColumn="0" w:firstRowLastColumn="0" w:lastRowFirstColumn="0" w:lastRowLastColumn="0"/>
            <w:tcW w:w="716" w:type="pct"/>
            <w:noWrap/>
            <w:tcMar>
              <w:right w:w="0" w:type="nil"/>
            </w:tcMar>
            <w:hideMark/>
          </w:tcPr>
          <w:p w14:paraId="33E49125" w14:textId="77777777" w:rsidR="006E51BF" w:rsidRPr="00CD0CF8" w:rsidRDefault="006E51BF">
            <w:pPr>
              <w:pStyle w:val="ARfintabletextright"/>
              <w:rPr>
                <w:lang w:eastAsia="en-AU"/>
              </w:rPr>
            </w:pPr>
            <w:r w:rsidRPr="00CD0CF8">
              <w:rPr>
                <w:lang w:eastAsia="en-AU"/>
              </w:rPr>
              <w:t>849.2</w:t>
            </w:r>
          </w:p>
        </w:tc>
        <w:tc>
          <w:tcPr>
            <w:tcW w:w="717" w:type="pct"/>
            <w:noWrap/>
            <w:tcMar>
              <w:right w:w="0" w:type="nil"/>
            </w:tcMar>
            <w:hideMark/>
          </w:tcPr>
          <w:p w14:paraId="62A115A7" w14:textId="77777777" w:rsidR="006E51BF" w:rsidRPr="00CD0CF8"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16" w:type="pct"/>
            <w:noWrap/>
            <w:tcMar>
              <w:right w:w="0" w:type="nil"/>
            </w:tcMar>
            <w:hideMark/>
          </w:tcPr>
          <w:p w14:paraId="58C88002" w14:textId="77777777" w:rsidR="006E51BF" w:rsidRPr="00CD0CF8" w:rsidRDefault="006E51BF">
            <w:pPr>
              <w:pStyle w:val="ARfintabletextright"/>
              <w:rPr>
                <w:lang w:eastAsia="en-AU"/>
              </w:rPr>
            </w:pPr>
            <w:r>
              <w:rPr>
                <w:lang w:eastAsia="en-AU"/>
              </w:rPr>
              <w:t>–</w:t>
            </w:r>
          </w:p>
        </w:tc>
        <w:tc>
          <w:tcPr>
            <w:tcW w:w="717" w:type="pct"/>
            <w:noWrap/>
            <w:tcMar>
              <w:right w:w="0" w:type="nil"/>
            </w:tcMar>
            <w:hideMark/>
          </w:tcPr>
          <w:p w14:paraId="1EE3AC7D" w14:textId="77777777" w:rsidR="006E51BF" w:rsidRPr="00CD0CF8"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CD0CF8">
              <w:rPr>
                <w:lang w:eastAsia="en-AU"/>
              </w:rPr>
              <w:t>849.2</w:t>
            </w:r>
          </w:p>
        </w:tc>
      </w:tr>
      <w:tr w:rsidR="006E51BF" w:rsidRPr="00CD0CF8" w14:paraId="4E59F33A"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2134" w:type="pct"/>
            <w:noWrap/>
            <w:hideMark/>
          </w:tcPr>
          <w:p w14:paraId="4B750F15" w14:textId="77777777" w:rsidR="006E51BF" w:rsidRPr="00CD0CF8" w:rsidRDefault="006E51BF">
            <w:pPr>
              <w:pStyle w:val="ARfintabletextbold"/>
              <w:rPr>
                <w:lang w:eastAsia="en-AU"/>
              </w:rPr>
            </w:pPr>
            <w:r w:rsidRPr="00CD0CF8">
              <w:rPr>
                <w:lang w:eastAsia="en-AU"/>
              </w:rPr>
              <w:t>Total financial assets</w:t>
            </w:r>
          </w:p>
        </w:tc>
        <w:tc>
          <w:tcPr>
            <w:cnfStyle w:val="000001000000" w:firstRow="0" w:lastRow="0" w:firstColumn="0" w:lastColumn="0" w:oddVBand="0" w:evenVBand="1" w:oddHBand="0" w:evenHBand="0" w:firstRowFirstColumn="0" w:firstRowLastColumn="0" w:lastRowFirstColumn="0" w:lastRowLastColumn="0"/>
            <w:tcW w:w="716" w:type="pct"/>
            <w:noWrap/>
            <w:tcMar>
              <w:right w:w="0" w:type="nil"/>
            </w:tcMar>
            <w:hideMark/>
          </w:tcPr>
          <w:p w14:paraId="64D08473" w14:textId="77777777" w:rsidR="006E51BF" w:rsidRPr="00CD0CF8" w:rsidRDefault="006E51BF">
            <w:pPr>
              <w:pStyle w:val="ARfintabletextboldright"/>
              <w:rPr>
                <w:lang w:eastAsia="en-AU"/>
              </w:rPr>
            </w:pPr>
            <w:r w:rsidRPr="00CD0CF8">
              <w:rPr>
                <w:lang w:eastAsia="en-AU"/>
              </w:rPr>
              <w:t>2,111.5</w:t>
            </w:r>
          </w:p>
        </w:tc>
        <w:tc>
          <w:tcPr>
            <w:tcW w:w="717" w:type="pct"/>
            <w:noWrap/>
            <w:tcMar>
              <w:right w:w="0" w:type="nil"/>
            </w:tcMar>
            <w:hideMark/>
          </w:tcPr>
          <w:p w14:paraId="2E76183B" w14:textId="77777777" w:rsidR="006E51BF" w:rsidRPr="00CD0CF8"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Pr>
                <w:lang w:eastAsia="en-AU"/>
              </w:rPr>
              <w:t>229.4</w:t>
            </w:r>
          </w:p>
        </w:tc>
        <w:tc>
          <w:tcPr>
            <w:cnfStyle w:val="000001000000" w:firstRow="0" w:lastRow="0" w:firstColumn="0" w:lastColumn="0" w:oddVBand="0" w:evenVBand="1" w:oddHBand="0" w:evenHBand="0" w:firstRowFirstColumn="0" w:firstRowLastColumn="0" w:lastRowFirstColumn="0" w:lastRowLastColumn="0"/>
            <w:tcW w:w="716" w:type="pct"/>
            <w:noWrap/>
            <w:tcMar>
              <w:right w:w="0" w:type="nil"/>
            </w:tcMar>
            <w:hideMark/>
          </w:tcPr>
          <w:p w14:paraId="038C4ADB" w14:textId="77777777" w:rsidR="006E51BF" w:rsidRPr="00CD0CF8" w:rsidRDefault="006E51BF">
            <w:pPr>
              <w:pStyle w:val="ARfintabletextboldright"/>
              <w:rPr>
                <w:lang w:eastAsia="en-AU"/>
              </w:rPr>
            </w:pPr>
            <w:r>
              <w:rPr>
                <w:lang w:eastAsia="en-AU"/>
              </w:rPr>
              <w:t>112.6</w:t>
            </w:r>
          </w:p>
        </w:tc>
        <w:tc>
          <w:tcPr>
            <w:tcW w:w="717" w:type="pct"/>
            <w:noWrap/>
            <w:tcMar>
              <w:right w:w="0" w:type="nil"/>
            </w:tcMar>
            <w:hideMark/>
          </w:tcPr>
          <w:p w14:paraId="3820689C" w14:textId="77777777" w:rsidR="006E51BF" w:rsidRPr="00CD0CF8"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CD0CF8">
              <w:rPr>
                <w:lang w:eastAsia="en-AU"/>
              </w:rPr>
              <w:t>2,453.5</w:t>
            </w:r>
          </w:p>
        </w:tc>
      </w:tr>
    </w:tbl>
    <w:p w14:paraId="6BD4C7A4" w14:textId="77777777" w:rsidR="006E51BF" w:rsidRPr="00CD0CF8" w:rsidRDefault="006E51BF">
      <w:pPr>
        <w:pStyle w:val="ARfintablenote"/>
        <w:rPr>
          <w:lang w:eastAsia="en-AU"/>
        </w:rPr>
      </w:pPr>
      <w:r w:rsidRPr="00CD0CF8">
        <w:rPr>
          <w:lang w:eastAsia="en-AU"/>
        </w:rPr>
        <w:t>Notes:</w:t>
      </w:r>
    </w:p>
    <w:p w14:paraId="5CFBDB08" w14:textId="77777777" w:rsidR="006E51BF" w:rsidRPr="00CD0CF8" w:rsidRDefault="006E51BF" w:rsidP="006E51BF">
      <w:pPr>
        <w:pStyle w:val="ARfintablenoteroman"/>
        <w:numPr>
          <w:ilvl w:val="0"/>
          <w:numId w:val="75"/>
        </w:numPr>
      </w:pPr>
      <w:r w:rsidRPr="00CD0CF8">
        <w:t xml:space="preserve">State of Victoria credit rating was downgraded from AAA to AA as </w:t>
      </w:r>
      <w:proofErr w:type="gramStart"/>
      <w:r w:rsidRPr="00CD0CF8">
        <w:t>at</w:t>
      </w:r>
      <w:proofErr w:type="gramEnd"/>
      <w:r w:rsidRPr="00CD0CF8">
        <w:t xml:space="preserve"> 30 June 2021.</w:t>
      </w:r>
    </w:p>
    <w:p w14:paraId="450EB6DF" w14:textId="77777777" w:rsidR="006E51BF" w:rsidRPr="00CD0CF8" w:rsidRDefault="006E51BF" w:rsidP="006E51BF">
      <w:pPr>
        <w:pStyle w:val="ARfintablenoteroman"/>
        <w:numPr>
          <w:ilvl w:val="0"/>
          <w:numId w:val="15"/>
        </w:numPr>
      </w:pPr>
      <w:r w:rsidRPr="00CD0CF8">
        <w:t>The total amounts disclosed here exclude statutory amounts, for example, amounts owing from Victorian Government, GST input tax credit recoverable and other taxes payable.</w:t>
      </w:r>
    </w:p>
    <w:p w14:paraId="608A513E" w14:textId="77777777" w:rsidR="006E51BF" w:rsidRPr="00CD0CF8" w:rsidRDefault="006E51BF" w:rsidP="006E51BF">
      <w:pPr>
        <w:pStyle w:val="ARfintablenoteroman"/>
        <w:numPr>
          <w:ilvl w:val="0"/>
          <w:numId w:val="15"/>
        </w:numPr>
      </w:pPr>
      <w:r w:rsidRPr="00CD0CF8">
        <w:t>The carrying amounts consist of amounts due from numerous counterparties for which no credit ratings have been disclosed due</w:t>
      </w:r>
      <w:r>
        <w:t> </w:t>
      </w:r>
      <w:r w:rsidRPr="00CD0CF8">
        <w:t>to</w:t>
      </w:r>
      <w:r>
        <w:t> </w:t>
      </w:r>
      <w:r w:rsidRPr="00CD0CF8">
        <w:t>impracticability.</w:t>
      </w:r>
    </w:p>
    <w:p w14:paraId="355B9542" w14:textId="77777777" w:rsidR="006E51BF" w:rsidRDefault="006E51BF">
      <w:pPr>
        <w:pStyle w:val="Heading8"/>
      </w:pPr>
      <w:r w:rsidRPr="0015454D">
        <w:t xml:space="preserve">Impairment of financial assets under AASB 9 </w:t>
      </w:r>
    </w:p>
    <w:p w14:paraId="1579E7BC" w14:textId="77777777" w:rsidR="006E51BF" w:rsidRDefault="006E51BF">
      <w:pPr>
        <w:pStyle w:val="ARfinbody"/>
        <w:rPr>
          <w:lang w:eastAsia="en-AU"/>
        </w:rPr>
      </w:pPr>
      <w:r w:rsidRPr="0015454D">
        <w:rPr>
          <w:lang w:eastAsia="en-AU"/>
        </w:rPr>
        <w:t>The department records the allowance for expected credit loss for the relevant financial instruments applying AASB 9's Expected Credit Loss approach. Subject to AASB 9 impairment assessment includes the department's contractual receivables and statutory receivables.</w:t>
      </w:r>
    </w:p>
    <w:p w14:paraId="00BBDA36" w14:textId="77777777" w:rsidR="006E51BF" w:rsidRPr="0015454D" w:rsidRDefault="006E51BF">
      <w:pPr>
        <w:pStyle w:val="ARfinbody"/>
        <w:rPr>
          <w:lang w:eastAsia="en-AU"/>
        </w:rPr>
      </w:pPr>
      <w:r w:rsidRPr="0015454D">
        <w:rPr>
          <w:lang w:eastAsia="en-AU"/>
        </w:rPr>
        <w:t>Equity instruments are not subject to impairment under AASB 9. Other financial assets mandatorily measured or designated at fair value through net result are not subject to impairment assessment under AASB 9. While cash and cash equivalents are also subject to the impairment requirements of AASB 9, the identified impairment loss was</w:t>
      </w:r>
      <w:r>
        <w:rPr>
          <w:lang w:eastAsia="en-AU"/>
        </w:rPr>
        <w:t> </w:t>
      </w:r>
      <w:r w:rsidRPr="0015454D">
        <w:rPr>
          <w:lang w:eastAsia="en-AU"/>
        </w:rPr>
        <w:t>immaterial.</w:t>
      </w:r>
    </w:p>
    <w:p w14:paraId="41AF04F6" w14:textId="77777777" w:rsidR="006E51BF" w:rsidRDefault="006E51BF">
      <w:pPr>
        <w:pStyle w:val="Heading8"/>
      </w:pPr>
      <w:r w:rsidRPr="0015454D">
        <w:t>Contractual receivables at amortised cost</w:t>
      </w:r>
    </w:p>
    <w:p w14:paraId="725E25CF" w14:textId="77777777" w:rsidR="006E51BF" w:rsidRDefault="006E51BF">
      <w:pPr>
        <w:pStyle w:val="ARfinbody"/>
        <w:rPr>
          <w:lang w:eastAsia="en-AU"/>
        </w:rPr>
      </w:pPr>
      <w:r w:rsidRPr="0015454D">
        <w:rPr>
          <w:lang w:eastAsia="en-AU"/>
        </w:rPr>
        <w:t xml:space="preserve">The department applies the AASB 9's simplified approach for all contractual receivables to measure expected credit losses using a lifetime expected loss allowance based on the assumptions about risk of default and expected loss rates. The department has grouped contractual receivables on shared credit risk characteristics and days past due and selected the expected credit loss rate based on the department's </w:t>
      </w:r>
      <w:proofErr w:type="gramStart"/>
      <w:r w:rsidRPr="0015454D">
        <w:rPr>
          <w:lang w:eastAsia="en-AU"/>
        </w:rPr>
        <w:t>past history</w:t>
      </w:r>
      <w:proofErr w:type="gramEnd"/>
      <w:r w:rsidRPr="0015454D">
        <w:rPr>
          <w:lang w:eastAsia="en-AU"/>
        </w:rPr>
        <w:t>, existing market conditions, as well as forward-looking estimates at the end of financial year.</w:t>
      </w:r>
      <w:r>
        <w:rPr>
          <w:lang w:eastAsia="en-AU"/>
        </w:rPr>
        <w:br w:type="page"/>
      </w:r>
    </w:p>
    <w:p w14:paraId="20DD76B4" w14:textId="77777777" w:rsidR="006E51BF" w:rsidRPr="0015454D" w:rsidRDefault="006E51BF">
      <w:pPr>
        <w:pStyle w:val="ARfinbodybeforetableorfigure"/>
      </w:pPr>
      <w:r w:rsidRPr="0015454D">
        <w:t>On this basis, the department determines the loss allowance at the end of the financial year as follows:</w:t>
      </w:r>
    </w:p>
    <w:tbl>
      <w:tblPr>
        <w:tblStyle w:val="ARtable1"/>
        <w:tblW w:w="5000" w:type="pct"/>
        <w:tblLayout w:type="fixed"/>
        <w:tblLook w:val="00E0" w:firstRow="1" w:lastRow="1" w:firstColumn="1" w:lastColumn="0" w:noHBand="0" w:noVBand="0"/>
      </w:tblPr>
      <w:tblGrid>
        <w:gridCol w:w="2549"/>
        <w:gridCol w:w="1132"/>
        <w:gridCol w:w="1134"/>
        <w:gridCol w:w="963"/>
        <w:gridCol w:w="963"/>
        <w:gridCol w:w="963"/>
        <w:gridCol w:w="963"/>
        <w:gridCol w:w="961"/>
      </w:tblGrid>
      <w:tr w:rsidR="006E51BF" w:rsidRPr="0015454D" w14:paraId="105A9356" w14:textId="77777777" w:rsidTr="00304BA9">
        <w:trPr>
          <w:cnfStyle w:val="100000000000" w:firstRow="1" w:lastRow="0" w:firstColumn="0" w:lastColumn="0" w:oddVBand="0" w:evenVBand="0" w:oddHBand="0" w:evenHBand="0" w:firstRowFirstColumn="0" w:firstRowLastColumn="0" w:lastRowFirstColumn="0" w:lastRowLastColumn="0"/>
          <w:trHeight w:val="20"/>
          <w:tblHeader/>
        </w:trPr>
        <w:tc>
          <w:tcPr>
            <w:tcW w:w="1324" w:type="pct"/>
          </w:tcPr>
          <w:p w14:paraId="247C2C3C" w14:textId="77777777" w:rsidR="006E51BF" w:rsidRPr="0015454D" w:rsidRDefault="006E51BF">
            <w:pPr>
              <w:pStyle w:val="ARfintablecolheadright"/>
              <w:rPr>
                <w:lang w:eastAsia="en-AU"/>
              </w:rPr>
            </w:pPr>
          </w:p>
        </w:tc>
        <w:tc>
          <w:tcPr>
            <w:cnfStyle w:val="000001000000" w:firstRow="0" w:lastRow="0" w:firstColumn="0" w:lastColumn="0" w:oddVBand="0" w:evenVBand="1" w:oddHBand="0" w:evenHBand="0" w:firstRowFirstColumn="0" w:firstRowLastColumn="0" w:lastRowFirstColumn="0" w:lastRowLastColumn="0"/>
            <w:tcW w:w="588" w:type="pct"/>
            <w:tcMar>
              <w:right w:w="0" w:type="nil"/>
            </w:tcMar>
          </w:tcPr>
          <w:p w14:paraId="4AB9CF71" w14:textId="77777777" w:rsidR="006E51BF" w:rsidRPr="0015454D" w:rsidRDefault="006E51BF">
            <w:pPr>
              <w:pStyle w:val="ARfintablecolheadright"/>
              <w:rPr>
                <w:lang w:eastAsia="en-AU"/>
              </w:rPr>
            </w:pPr>
            <w:r w:rsidRPr="0015454D">
              <w:rPr>
                <w:lang w:eastAsia="en-AU"/>
              </w:rPr>
              <w:t>Gross amount</w:t>
            </w:r>
          </w:p>
          <w:p w14:paraId="5557ED21" w14:textId="77777777" w:rsidR="006E51BF" w:rsidRPr="0015454D" w:rsidRDefault="006E51BF">
            <w:pPr>
              <w:pStyle w:val="ARfintablecolheadright"/>
              <w:rPr>
                <w:lang w:eastAsia="en-AU"/>
              </w:rPr>
            </w:pPr>
            <w:r w:rsidRPr="0015454D">
              <w:rPr>
                <w:lang w:eastAsia="en-AU"/>
              </w:rPr>
              <w:t>$M</w:t>
            </w:r>
          </w:p>
        </w:tc>
        <w:tc>
          <w:tcPr>
            <w:tcW w:w="589" w:type="pct"/>
            <w:tcMar>
              <w:right w:w="0" w:type="nil"/>
            </w:tcMar>
          </w:tcPr>
          <w:p w14:paraId="2930E4FB" w14:textId="77777777" w:rsidR="006E51BF" w:rsidRPr="0015454D"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15454D">
              <w:rPr>
                <w:lang w:eastAsia="en-AU"/>
              </w:rPr>
              <w:t xml:space="preserve">Not past due and not impaired </w:t>
            </w:r>
            <w:r w:rsidRPr="0015454D">
              <w:rPr>
                <w:vertAlign w:val="superscript"/>
                <w:lang w:eastAsia="en-AU"/>
              </w:rPr>
              <w:t>(</w:t>
            </w:r>
            <w:proofErr w:type="spellStart"/>
            <w:r w:rsidRPr="0015454D">
              <w:rPr>
                <w:vertAlign w:val="superscript"/>
                <w:lang w:eastAsia="en-AU"/>
              </w:rPr>
              <w:t>i</w:t>
            </w:r>
            <w:proofErr w:type="spellEnd"/>
            <w:r w:rsidRPr="0015454D">
              <w:rPr>
                <w:vertAlign w:val="superscript"/>
                <w:lang w:eastAsia="en-AU"/>
              </w:rPr>
              <w:t>)</w:t>
            </w:r>
          </w:p>
          <w:p w14:paraId="53CD2A6E" w14:textId="77777777" w:rsidR="006E51BF" w:rsidRPr="0015454D"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15454D">
              <w:rPr>
                <w:lang w:eastAsia="en-AU"/>
              </w:rPr>
              <w:t>$M</w:t>
            </w:r>
          </w:p>
        </w:tc>
        <w:tc>
          <w:tcPr>
            <w:cnfStyle w:val="000001000000" w:firstRow="0" w:lastRow="0" w:firstColumn="0" w:lastColumn="0" w:oddVBand="0" w:evenVBand="1" w:oddHBand="0" w:evenHBand="0" w:firstRowFirstColumn="0" w:firstRowLastColumn="0" w:lastRowFirstColumn="0" w:lastRowLastColumn="0"/>
            <w:tcW w:w="500" w:type="pct"/>
            <w:tcBorders>
              <w:top w:val="single" w:sz="4" w:space="0" w:color="000000" w:themeColor="text1"/>
            </w:tcBorders>
            <w:tcMar>
              <w:right w:w="0" w:type="nil"/>
            </w:tcMar>
          </w:tcPr>
          <w:p w14:paraId="04500047" w14:textId="380E7B62" w:rsidR="00D12D22" w:rsidRDefault="00D12D22">
            <w:pPr>
              <w:pStyle w:val="ARfintablecolheadright"/>
              <w:rPr>
                <w:lang w:eastAsia="en-AU"/>
              </w:rPr>
            </w:pPr>
            <w:r w:rsidRPr="0015454D">
              <w:rPr>
                <w:lang w:eastAsia="en-AU"/>
              </w:rPr>
              <w:t>Past due</w:t>
            </w:r>
          </w:p>
          <w:p w14:paraId="00E18F1D" w14:textId="3C437E45" w:rsidR="006E51BF" w:rsidRPr="0015454D" w:rsidRDefault="006E51BF">
            <w:pPr>
              <w:pStyle w:val="ARfintablecolheadright"/>
              <w:rPr>
                <w:lang w:eastAsia="en-AU"/>
              </w:rPr>
            </w:pPr>
            <w:r w:rsidRPr="0015454D">
              <w:rPr>
                <w:lang w:eastAsia="en-AU"/>
              </w:rPr>
              <w:t>Less than</w:t>
            </w:r>
            <w:r w:rsidRPr="0015454D">
              <w:rPr>
                <w:lang w:eastAsia="en-AU"/>
              </w:rPr>
              <w:br/>
              <w:t>1 month</w:t>
            </w:r>
          </w:p>
          <w:p w14:paraId="683BF425" w14:textId="77777777" w:rsidR="006E51BF" w:rsidRPr="0015454D" w:rsidRDefault="006E51BF">
            <w:pPr>
              <w:pStyle w:val="ARfintablecolheadright"/>
              <w:rPr>
                <w:lang w:eastAsia="en-AU"/>
              </w:rPr>
            </w:pPr>
            <w:r w:rsidRPr="0015454D">
              <w:rPr>
                <w:lang w:eastAsia="en-AU"/>
              </w:rPr>
              <w:t>$M</w:t>
            </w:r>
          </w:p>
        </w:tc>
        <w:tc>
          <w:tcPr>
            <w:tcW w:w="500" w:type="pct"/>
            <w:tcBorders>
              <w:top w:val="single" w:sz="4" w:space="0" w:color="000000" w:themeColor="text1"/>
            </w:tcBorders>
            <w:shd w:val="clear" w:color="auto" w:fill="E7E6E6" w:themeFill="background2"/>
            <w:tcMar>
              <w:right w:w="0" w:type="nil"/>
            </w:tcMar>
          </w:tcPr>
          <w:p w14:paraId="5960655D" w14:textId="1EA03DD6" w:rsidR="00D12D22" w:rsidRDefault="00D12D22">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15454D">
              <w:rPr>
                <w:lang w:eastAsia="en-AU"/>
              </w:rPr>
              <w:t>Past due</w:t>
            </w:r>
          </w:p>
          <w:p w14:paraId="5F121A83" w14:textId="0C2743CA" w:rsidR="006E51BF" w:rsidRPr="0015454D"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15454D">
              <w:rPr>
                <w:lang w:eastAsia="en-AU"/>
              </w:rPr>
              <w:t>1</w:t>
            </w:r>
            <w:r>
              <w:rPr>
                <w:lang w:eastAsia="en-AU"/>
              </w:rPr>
              <w:t>–</w:t>
            </w:r>
            <w:r w:rsidRPr="0015454D">
              <w:rPr>
                <w:lang w:eastAsia="en-AU"/>
              </w:rPr>
              <w:t>3</w:t>
            </w:r>
            <w:r w:rsidRPr="0015454D">
              <w:rPr>
                <w:lang w:eastAsia="en-AU"/>
              </w:rPr>
              <w:br/>
              <w:t>months</w:t>
            </w:r>
          </w:p>
          <w:p w14:paraId="54900E8C" w14:textId="77777777" w:rsidR="006E51BF" w:rsidRPr="0015454D"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15454D">
              <w:rPr>
                <w:lang w:eastAsia="en-AU"/>
              </w:rPr>
              <w:t>$M</w:t>
            </w:r>
          </w:p>
        </w:tc>
        <w:tc>
          <w:tcPr>
            <w:cnfStyle w:val="000001000000" w:firstRow="0" w:lastRow="0" w:firstColumn="0" w:lastColumn="0" w:oddVBand="0" w:evenVBand="1" w:oddHBand="0" w:evenHBand="0" w:firstRowFirstColumn="0" w:firstRowLastColumn="0" w:lastRowFirstColumn="0" w:lastRowLastColumn="0"/>
            <w:tcW w:w="500" w:type="pct"/>
            <w:tcBorders>
              <w:top w:val="single" w:sz="4" w:space="0" w:color="000000" w:themeColor="text1"/>
            </w:tcBorders>
            <w:shd w:val="clear" w:color="auto" w:fill="E7E6E6" w:themeFill="background2"/>
            <w:tcMar>
              <w:right w:w="0" w:type="nil"/>
            </w:tcMar>
          </w:tcPr>
          <w:p w14:paraId="1F7D633B" w14:textId="04710F6A" w:rsidR="00D12D22" w:rsidRDefault="00D12D22">
            <w:pPr>
              <w:pStyle w:val="ARfintablecolheadright"/>
              <w:rPr>
                <w:lang w:eastAsia="en-AU"/>
              </w:rPr>
            </w:pPr>
            <w:r w:rsidRPr="0015454D">
              <w:rPr>
                <w:lang w:eastAsia="en-AU"/>
              </w:rPr>
              <w:t>Past due</w:t>
            </w:r>
          </w:p>
          <w:p w14:paraId="358AED79" w14:textId="621D777A" w:rsidR="006E51BF" w:rsidRPr="0015454D" w:rsidRDefault="006E51BF">
            <w:pPr>
              <w:pStyle w:val="ARfintablecolheadright"/>
              <w:rPr>
                <w:lang w:eastAsia="en-AU"/>
              </w:rPr>
            </w:pPr>
            <w:r w:rsidRPr="0015454D">
              <w:rPr>
                <w:lang w:eastAsia="en-AU"/>
              </w:rPr>
              <w:t>3 months</w:t>
            </w:r>
            <w:r w:rsidR="00F77100">
              <w:rPr>
                <w:lang w:eastAsia="en-AU"/>
              </w:rPr>
              <w:t xml:space="preserve"> </w:t>
            </w:r>
            <w:r>
              <w:rPr>
                <w:lang w:eastAsia="en-AU"/>
              </w:rPr>
              <w:t>–</w:t>
            </w:r>
            <w:r w:rsidR="00F77100">
              <w:rPr>
                <w:lang w:eastAsia="en-AU"/>
              </w:rPr>
              <w:t xml:space="preserve"> </w:t>
            </w:r>
            <w:r w:rsidRPr="0015454D">
              <w:rPr>
                <w:lang w:eastAsia="en-AU"/>
              </w:rPr>
              <w:t>1 year</w:t>
            </w:r>
          </w:p>
          <w:p w14:paraId="2DC501EA" w14:textId="77777777" w:rsidR="006E51BF" w:rsidRPr="0015454D" w:rsidRDefault="006E51BF">
            <w:pPr>
              <w:pStyle w:val="ARfintablecolheadright"/>
              <w:rPr>
                <w:lang w:eastAsia="en-AU"/>
              </w:rPr>
            </w:pPr>
            <w:r w:rsidRPr="0015454D">
              <w:rPr>
                <w:lang w:eastAsia="en-AU"/>
              </w:rPr>
              <w:t>$M</w:t>
            </w:r>
          </w:p>
        </w:tc>
        <w:tc>
          <w:tcPr>
            <w:tcW w:w="500" w:type="pct"/>
            <w:tcBorders>
              <w:top w:val="single" w:sz="4" w:space="0" w:color="000000" w:themeColor="text1"/>
            </w:tcBorders>
            <w:shd w:val="clear" w:color="auto" w:fill="E7E6E6" w:themeFill="background2"/>
            <w:tcMar>
              <w:right w:w="0" w:type="nil"/>
            </w:tcMar>
          </w:tcPr>
          <w:p w14:paraId="4FE87835" w14:textId="006912BA" w:rsidR="00D12D22" w:rsidRDefault="00D12D22">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15454D">
              <w:rPr>
                <w:lang w:eastAsia="en-AU"/>
              </w:rPr>
              <w:t>Past due</w:t>
            </w:r>
          </w:p>
          <w:p w14:paraId="79E7485E" w14:textId="28549518" w:rsidR="006E51BF" w:rsidRPr="0015454D"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15454D">
              <w:rPr>
                <w:lang w:eastAsia="en-AU"/>
              </w:rPr>
              <w:t>1</w:t>
            </w:r>
            <w:r>
              <w:rPr>
                <w:lang w:eastAsia="en-AU"/>
              </w:rPr>
              <w:t>–</w:t>
            </w:r>
            <w:r w:rsidRPr="0015454D">
              <w:rPr>
                <w:lang w:eastAsia="en-AU"/>
              </w:rPr>
              <w:t>5</w:t>
            </w:r>
            <w:r w:rsidRPr="0015454D">
              <w:rPr>
                <w:lang w:eastAsia="en-AU"/>
              </w:rPr>
              <w:br/>
              <w:t>years</w:t>
            </w:r>
          </w:p>
          <w:p w14:paraId="38D04099" w14:textId="77777777" w:rsidR="006E51BF" w:rsidRPr="0015454D"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15454D">
              <w:rPr>
                <w:lang w:eastAsia="en-AU"/>
              </w:rPr>
              <w:t>$M</w:t>
            </w:r>
          </w:p>
        </w:tc>
        <w:tc>
          <w:tcPr>
            <w:cnfStyle w:val="000001000000" w:firstRow="0" w:lastRow="0" w:firstColumn="0" w:lastColumn="0" w:oddVBand="0" w:evenVBand="1" w:oddHBand="0" w:evenHBand="0" w:firstRowFirstColumn="0" w:firstRowLastColumn="0" w:lastRowFirstColumn="0" w:lastRowLastColumn="0"/>
            <w:tcW w:w="499" w:type="pct"/>
            <w:tcBorders>
              <w:top w:val="single" w:sz="4" w:space="0" w:color="000000" w:themeColor="text1"/>
            </w:tcBorders>
            <w:tcMar>
              <w:right w:w="0" w:type="nil"/>
            </w:tcMar>
          </w:tcPr>
          <w:p w14:paraId="70AD010E" w14:textId="5A002C68" w:rsidR="00D12D22" w:rsidRDefault="00D12D22">
            <w:pPr>
              <w:pStyle w:val="ARfintablecolheadright"/>
              <w:rPr>
                <w:lang w:eastAsia="en-AU"/>
              </w:rPr>
            </w:pPr>
            <w:r w:rsidRPr="0015454D">
              <w:rPr>
                <w:lang w:eastAsia="en-AU"/>
              </w:rPr>
              <w:t>Past due</w:t>
            </w:r>
          </w:p>
          <w:p w14:paraId="284B1090" w14:textId="245875D4" w:rsidR="006E51BF" w:rsidRPr="0015454D" w:rsidRDefault="006E51BF">
            <w:pPr>
              <w:pStyle w:val="ARfintablecolheadright"/>
              <w:rPr>
                <w:lang w:eastAsia="en-AU"/>
              </w:rPr>
            </w:pPr>
            <w:r w:rsidRPr="0015454D">
              <w:rPr>
                <w:lang w:eastAsia="en-AU"/>
              </w:rPr>
              <w:t>Total</w:t>
            </w:r>
          </w:p>
          <w:p w14:paraId="62C73C20" w14:textId="77777777" w:rsidR="006E51BF" w:rsidRPr="0015454D" w:rsidRDefault="006E51BF">
            <w:pPr>
              <w:pStyle w:val="ARfintablecolheadright"/>
              <w:rPr>
                <w:lang w:eastAsia="en-AU"/>
              </w:rPr>
            </w:pPr>
            <w:r w:rsidRPr="0015454D">
              <w:rPr>
                <w:lang w:eastAsia="en-AU"/>
              </w:rPr>
              <w:t>$M</w:t>
            </w:r>
          </w:p>
        </w:tc>
      </w:tr>
      <w:tr w:rsidR="006E51BF" w:rsidRPr="0015454D" w14:paraId="212D2AD3"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324" w:type="pct"/>
            <w:hideMark/>
          </w:tcPr>
          <w:p w14:paraId="7DD2F972" w14:textId="77777777" w:rsidR="006E51BF" w:rsidRPr="0015454D" w:rsidRDefault="006E51BF">
            <w:pPr>
              <w:pStyle w:val="ARfintabletextboldcoloured"/>
              <w:rPr>
                <w:lang w:eastAsia="en-AU"/>
              </w:rPr>
            </w:pPr>
            <w:r w:rsidRPr="0015454D">
              <w:rPr>
                <w:lang w:eastAsia="en-AU"/>
              </w:rPr>
              <w:t>2026</w:t>
            </w:r>
          </w:p>
        </w:tc>
        <w:tc>
          <w:tcPr>
            <w:cnfStyle w:val="000001000000" w:firstRow="0" w:lastRow="0" w:firstColumn="0" w:lastColumn="0" w:oddVBand="0" w:evenVBand="1" w:oddHBand="0" w:evenHBand="0" w:firstRowFirstColumn="0" w:firstRowLastColumn="0" w:lastRowFirstColumn="0" w:lastRowLastColumn="0"/>
            <w:tcW w:w="588" w:type="pct"/>
            <w:shd w:val="clear" w:color="auto" w:fill="auto"/>
            <w:tcMar>
              <w:right w:w="0" w:type="nil"/>
            </w:tcMar>
          </w:tcPr>
          <w:p w14:paraId="21B874E4" w14:textId="77777777" w:rsidR="006E51BF" w:rsidRPr="0058568D" w:rsidRDefault="006E51BF">
            <w:pPr>
              <w:pStyle w:val="ARfintabletextright"/>
            </w:pPr>
          </w:p>
        </w:tc>
        <w:tc>
          <w:tcPr>
            <w:tcW w:w="589" w:type="pct"/>
            <w:tcMar>
              <w:right w:w="0" w:type="nil"/>
            </w:tcMar>
          </w:tcPr>
          <w:p w14:paraId="3C6906A6" w14:textId="77777777" w:rsidR="006E51BF" w:rsidRPr="0058568D" w:rsidRDefault="006E51BF">
            <w:pPr>
              <w:pStyle w:val="ARfintabletextrigh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500" w:type="pct"/>
            <w:shd w:val="clear" w:color="auto" w:fill="auto"/>
            <w:tcMar>
              <w:right w:w="0" w:type="nil"/>
            </w:tcMar>
          </w:tcPr>
          <w:p w14:paraId="2430F482" w14:textId="77777777" w:rsidR="006E51BF" w:rsidRPr="0058568D" w:rsidRDefault="006E51BF">
            <w:pPr>
              <w:pStyle w:val="ARfintabletextright"/>
            </w:pPr>
          </w:p>
        </w:tc>
        <w:tc>
          <w:tcPr>
            <w:tcW w:w="500" w:type="pct"/>
            <w:tcMar>
              <w:right w:w="0" w:type="nil"/>
            </w:tcMar>
          </w:tcPr>
          <w:p w14:paraId="0520EFC7" w14:textId="77777777" w:rsidR="006E51BF" w:rsidRPr="0058568D" w:rsidRDefault="006E51BF">
            <w:pPr>
              <w:pStyle w:val="ARfintabletextrigh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500" w:type="pct"/>
            <w:shd w:val="clear" w:color="auto" w:fill="auto"/>
            <w:tcMar>
              <w:right w:w="0" w:type="nil"/>
            </w:tcMar>
          </w:tcPr>
          <w:p w14:paraId="5B9B62E2" w14:textId="77777777" w:rsidR="006E51BF" w:rsidRPr="0058568D" w:rsidRDefault="006E51BF">
            <w:pPr>
              <w:pStyle w:val="ARfintabletextright"/>
            </w:pPr>
          </w:p>
        </w:tc>
        <w:tc>
          <w:tcPr>
            <w:tcW w:w="500" w:type="pct"/>
            <w:tcMar>
              <w:right w:w="0" w:type="nil"/>
            </w:tcMar>
          </w:tcPr>
          <w:p w14:paraId="732D5DC7" w14:textId="77777777" w:rsidR="006E51BF" w:rsidRPr="0058568D" w:rsidRDefault="006E51BF">
            <w:pPr>
              <w:pStyle w:val="ARfintabletextrigh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99" w:type="pct"/>
            <w:shd w:val="clear" w:color="auto" w:fill="auto"/>
            <w:tcMar>
              <w:right w:w="0" w:type="nil"/>
            </w:tcMar>
          </w:tcPr>
          <w:p w14:paraId="2E7387CA" w14:textId="77777777" w:rsidR="006E51BF" w:rsidRPr="0058568D" w:rsidRDefault="006E51BF">
            <w:pPr>
              <w:pStyle w:val="ARfintabletextright"/>
            </w:pPr>
          </w:p>
        </w:tc>
      </w:tr>
      <w:tr w:rsidR="006E51BF" w:rsidRPr="0015454D" w14:paraId="7D4F2E4F"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324" w:type="pct"/>
            <w:tcBorders>
              <w:bottom w:val="single" w:sz="4" w:space="0" w:color="BFBFBF" w:themeColor="accent2"/>
            </w:tcBorders>
            <w:hideMark/>
          </w:tcPr>
          <w:p w14:paraId="5CD09D58" w14:textId="77777777" w:rsidR="006E51BF" w:rsidRPr="0015454D" w:rsidRDefault="006E51BF">
            <w:pPr>
              <w:pStyle w:val="ARfintabletextbold"/>
              <w:rPr>
                <w:lang w:eastAsia="en-AU"/>
              </w:rPr>
            </w:pPr>
            <w:r w:rsidRPr="0015454D">
              <w:rPr>
                <w:lang w:eastAsia="en-AU"/>
              </w:rPr>
              <w:t>Expected loss rate</w:t>
            </w:r>
          </w:p>
        </w:tc>
        <w:tc>
          <w:tcPr>
            <w:cnfStyle w:val="000001000000" w:firstRow="0" w:lastRow="0" w:firstColumn="0" w:lastColumn="0" w:oddVBand="0" w:evenVBand="1" w:oddHBand="0" w:evenHBand="0" w:firstRowFirstColumn="0" w:firstRowLastColumn="0" w:lastRowFirstColumn="0" w:lastRowLastColumn="0"/>
            <w:tcW w:w="588" w:type="pct"/>
            <w:tcBorders>
              <w:bottom w:val="single" w:sz="4" w:space="0" w:color="BFBFBF" w:themeColor="accent2"/>
            </w:tcBorders>
            <w:tcMar>
              <w:right w:w="0" w:type="nil"/>
            </w:tcMar>
            <w:hideMark/>
          </w:tcPr>
          <w:p w14:paraId="4A3117C1" w14:textId="77777777" w:rsidR="006E51BF" w:rsidRPr="0058568D" w:rsidRDefault="006E51BF">
            <w:pPr>
              <w:pStyle w:val="ARfintabletextright"/>
            </w:pPr>
          </w:p>
        </w:tc>
        <w:tc>
          <w:tcPr>
            <w:tcW w:w="589" w:type="pct"/>
            <w:tcBorders>
              <w:bottom w:val="single" w:sz="4" w:space="0" w:color="BFBFBF" w:themeColor="accent2"/>
            </w:tcBorders>
            <w:tcMar>
              <w:right w:w="0" w:type="nil"/>
            </w:tcMar>
            <w:hideMark/>
          </w:tcPr>
          <w:p w14:paraId="58691856" w14:textId="77777777" w:rsidR="006E51BF" w:rsidRPr="0058568D"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58568D">
              <w:t>0%</w:t>
            </w:r>
          </w:p>
        </w:tc>
        <w:tc>
          <w:tcPr>
            <w:cnfStyle w:val="000001000000" w:firstRow="0" w:lastRow="0" w:firstColumn="0" w:lastColumn="0" w:oddVBand="0" w:evenVBand="1" w:oddHBand="0" w:evenHBand="0" w:firstRowFirstColumn="0" w:firstRowLastColumn="0" w:lastRowFirstColumn="0" w:lastRowLastColumn="0"/>
            <w:tcW w:w="500" w:type="pct"/>
            <w:tcBorders>
              <w:bottom w:val="single" w:sz="4" w:space="0" w:color="BFBFBF" w:themeColor="accent2"/>
            </w:tcBorders>
            <w:tcMar>
              <w:right w:w="0" w:type="nil"/>
            </w:tcMar>
            <w:hideMark/>
          </w:tcPr>
          <w:p w14:paraId="52D7712F" w14:textId="77777777" w:rsidR="006E51BF" w:rsidRPr="0058568D" w:rsidRDefault="006E51BF">
            <w:pPr>
              <w:pStyle w:val="ARfintabletextright"/>
            </w:pPr>
            <w:r w:rsidRPr="0058568D">
              <w:t>1%</w:t>
            </w:r>
          </w:p>
        </w:tc>
        <w:tc>
          <w:tcPr>
            <w:tcW w:w="500" w:type="pct"/>
            <w:tcBorders>
              <w:bottom w:val="single" w:sz="4" w:space="0" w:color="BFBFBF" w:themeColor="accent2"/>
            </w:tcBorders>
            <w:shd w:val="clear" w:color="auto" w:fill="E7E6E6" w:themeFill="background2"/>
            <w:tcMar>
              <w:right w:w="0" w:type="nil"/>
            </w:tcMar>
            <w:hideMark/>
          </w:tcPr>
          <w:p w14:paraId="2E1DFF07" w14:textId="77777777" w:rsidR="006E51BF" w:rsidRPr="0058568D"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58568D">
              <w:t>1%</w:t>
            </w:r>
          </w:p>
        </w:tc>
        <w:tc>
          <w:tcPr>
            <w:cnfStyle w:val="000001000000" w:firstRow="0" w:lastRow="0" w:firstColumn="0" w:lastColumn="0" w:oddVBand="0" w:evenVBand="1" w:oddHBand="0" w:evenHBand="0" w:firstRowFirstColumn="0" w:firstRowLastColumn="0" w:lastRowFirstColumn="0" w:lastRowLastColumn="0"/>
            <w:tcW w:w="500" w:type="pct"/>
            <w:tcBorders>
              <w:bottom w:val="single" w:sz="4" w:space="0" w:color="BFBFBF" w:themeColor="accent2"/>
            </w:tcBorders>
            <w:shd w:val="clear" w:color="auto" w:fill="E7E6E6" w:themeFill="background2"/>
            <w:tcMar>
              <w:right w:w="0" w:type="nil"/>
            </w:tcMar>
            <w:hideMark/>
          </w:tcPr>
          <w:p w14:paraId="4FCD790C" w14:textId="77777777" w:rsidR="006E51BF" w:rsidRPr="0058568D" w:rsidRDefault="006E51BF">
            <w:pPr>
              <w:pStyle w:val="ARfintabletextright"/>
            </w:pPr>
            <w:r w:rsidRPr="0058568D">
              <w:t>1%</w:t>
            </w:r>
          </w:p>
        </w:tc>
        <w:tc>
          <w:tcPr>
            <w:tcW w:w="500" w:type="pct"/>
            <w:tcBorders>
              <w:bottom w:val="single" w:sz="4" w:space="0" w:color="BFBFBF" w:themeColor="accent2"/>
            </w:tcBorders>
            <w:shd w:val="clear" w:color="auto" w:fill="E7E6E6" w:themeFill="background2"/>
            <w:tcMar>
              <w:right w:w="0" w:type="nil"/>
            </w:tcMar>
            <w:hideMark/>
          </w:tcPr>
          <w:p w14:paraId="18A9A278" w14:textId="77777777" w:rsidR="006E51BF" w:rsidRPr="0058568D" w:rsidRDefault="006E51BF">
            <w:pPr>
              <w:pStyle w:val="ARfintabletextright"/>
              <w:cnfStyle w:val="000000010000" w:firstRow="0" w:lastRow="0" w:firstColumn="0" w:lastColumn="0" w:oddVBand="0" w:evenVBand="0" w:oddHBand="0" w:evenHBand="1" w:firstRowFirstColumn="0" w:firstRowLastColumn="0" w:lastRowFirstColumn="0" w:lastRowLastColumn="0"/>
            </w:pPr>
            <w:r>
              <w:t>23</w:t>
            </w:r>
            <w:r w:rsidRPr="0058568D">
              <w:t>%</w:t>
            </w:r>
          </w:p>
        </w:tc>
        <w:tc>
          <w:tcPr>
            <w:cnfStyle w:val="000001000000" w:firstRow="0" w:lastRow="0" w:firstColumn="0" w:lastColumn="0" w:oddVBand="0" w:evenVBand="1" w:oddHBand="0" w:evenHBand="0" w:firstRowFirstColumn="0" w:firstRowLastColumn="0" w:lastRowFirstColumn="0" w:lastRowLastColumn="0"/>
            <w:tcW w:w="499" w:type="pct"/>
            <w:tcBorders>
              <w:bottom w:val="single" w:sz="4" w:space="0" w:color="BFBFBF" w:themeColor="accent2"/>
            </w:tcBorders>
            <w:noWrap/>
            <w:tcMar>
              <w:right w:w="0" w:type="nil"/>
            </w:tcMar>
            <w:hideMark/>
          </w:tcPr>
          <w:p w14:paraId="3ECA98A8" w14:textId="77777777" w:rsidR="006E51BF" w:rsidRPr="0058568D" w:rsidRDefault="006E51BF">
            <w:pPr>
              <w:pStyle w:val="ARfintabletextright"/>
            </w:pPr>
          </w:p>
        </w:tc>
      </w:tr>
      <w:tr w:rsidR="006E51BF" w:rsidRPr="0015454D" w14:paraId="3192E12F"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324" w:type="pct"/>
            <w:tcBorders>
              <w:top w:val="single" w:sz="4" w:space="0" w:color="BFBFBF" w:themeColor="accent2"/>
              <w:bottom w:val="single" w:sz="4" w:space="0" w:color="000000" w:themeColor="text1"/>
            </w:tcBorders>
            <w:noWrap/>
            <w:hideMark/>
          </w:tcPr>
          <w:p w14:paraId="61B07F43" w14:textId="77777777" w:rsidR="006E51BF" w:rsidRPr="0015454D" w:rsidRDefault="006E51BF">
            <w:pPr>
              <w:pStyle w:val="ARfintabletext"/>
              <w:rPr>
                <w:lang w:eastAsia="en-AU"/>
              </w:rPr>
            </w:pPr>
            <w:r w:rsidRPr="0015454D">
              <w:rPr>
                <w:lang w:eastAsia="en-AU"/>
              </w:rPr>
              <w:t xml:space="preserve">Gross carrying </w:t>
            </w:r>
            <w:proofErr w:type="gramStart"/>
            <w:r w:rsidRPr="0015454D">
              <w:rPr>
                <w:lang w:eastAsia="en-AU"/>
              </w:rPr>
              <w:t>amount</w:t>
            </w:r>
            <w:proofErr w:type="gramEnd"/>
            <w:r w:rsidRPr="0015454D">
              <w:rPr>
                <w:lang w:eastAsia="en-AU"/>
              </w:rPr>
              <w:t xml:space="preserve"> of contractual receivables</w:t>
            </w:r>
          </w:p>
        </w:tc>
        <w:tc>
          <w:tcPr>
            <w:cnfStyle w:val="000001000000" w:firstRow="0" w:lastRow="0" w:firstColumn="0" w:lastColumn="0" w:oddVBand="0" w:evenVBand="1" w:oddHBand="0" w:evenHBand="0" w:firstRowFirstColumn="0" w:firstRowLastColumn="0" w:lastRowFirstColumn="0" w:lastRowLastColumn="0"/>
            <w:tcW w:w="588" w:type="pct"/>
            <w:tcBorders>
              <w:top w:val="single" w:sz="4" w:space="0" w:color="BFBFBF" w:themeColor="accent2"/>
              <w:bottom w:val="single" w:sz="4" w:space="0" w:color="000000" w:themeColor="text1"/>
            </w:tcBorders>
            <w:noWrap/>
            <w:tcMar>
              <w:right w:w="0" w:type="nil"/>
            </w:tcMar>
            <w:hideMark/>
          </w:tcPr>
          <w:p w14:paraId="4B0F2334" w14:textId="77777777" w:rsidR="006E51BF" w:rsidRPr="0058568D" w:rsidRDefault="006E51BF">
            <w:pPr>
              <w:pStyle w:val="ARfintabletextright"/>
            </w:pPr>
            <w:r w:rsidRPr="0058568D">
              <w:t>485.4</w:t>
            </w:r>
          </w:p>
        </w:tc>
        <w:tc>
          <w:tcPr>
            <w:tcW w:w="589" w:type="pct"/>
            <w:tcBorders>
              <w:top w:val="single" w:sz="4" w:space="0" w:color="BFBFBF" w:themeColor="accent2"/>
              <w:bottom w:val="single" w:sz="4" w:space="0" w:color="000000" w:themeColor="text1"/>
            </w:tcBorders>
            <w:noWrap/>
            <w:tcMar>
              <w:right w:w="0" w:type="nil"/>
            </w:tcMar>
            <w:hideMark/>
          </w:tcPr>
          <w:p w14:paraId="1EC65104" w14:textId="77777777" w:rsidR="006E51BF" w:rsidRPr="0058568D"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58568D">
              <w:t>101.1</w:t>
            </w:r>
          </w:p>
        </w:tc>
        <w:tc>
          <w:tcPr>
            <w:cnfStyle w:val="000001000000" w:firstRow="0" w:lastRow="0" w:firstColumn="0" w:lastColumn="0" w:oddVBand="0" w:evenVBand="1" w:oddHBand="0" w:evenHBand="0" w:firstRowFirstColumn="0" w:firstRowLastColumn="0" w:lastRowFirstColumn="0" w:lastRowLastColumn="0"/>
            <w:tcW w:w="500" w:type="pct"/>
            <w:tcBorders>
              <w:top w:val="single" w:sz="4" w:space="0" w:color="BFBFBF" w:themeColor="accent2"/>
              <w:bottom w:val="single" w:sz="4" w:space="0" w:color="000000" w:themeColor="text1"/>
            </w:tcBorders>
            <w:noWrap/>
            <w:tcMar>
              <w:right w:w="0" w:type="nil"/>
            </w:tcMar>
            <w:hideMark/>
          </w:tcPr>
          <w:p w14:paraId="391ED91A" w14:textId="77777777" w:rsidR="006E51BF" w:rsidRPr="0058568D" w:rsidRDefault="006E51BF">
            <w:pPr>
              <w:pStyle w:val="ARfintabletextright"/>
            </w:pPr>
            <w:r w:rsidRPr="0058568D">
              <w:t>59.</w:t>
            </w:r>
            <w:r>
              <w:t>7</w:t>
            </w:r>
          </w:p>
        </w:tc>
        <w:tc>
          <w:tcPr>
            <w:tcW w:w="500" w:type="pct"/>
            <w:tcBorders>
              <w:top w:val="single" w:sz="4" w:space="0" w:color="BFBFBF" w:themeColor="accent2"/>
              <w:bottom w:val="single" w:sz="4" w:space="0" w:color="000000" w:themeColor="text1"/>
            </w:tcBorders>
            <w:shd w:val="clear" w:color="auto" w:fill="E7E6E6" w:themeFill="background2"/>
            <w:noWrap/>
            <w:tcMar>
              <w:right w:w="0" w:type="nil"/>
            </w:tcMar>
            <w:hideMark/>
          </w:tcPr>
          <w:p w14:paraId="6F7B7B55" w14:textId="77777777" w:rsidR="006E51BF" w:rsidRPr="0058568D" w:rsidRDefault="006E51BF">
            <w:pPr>
              <w:pStyle w:val="ARfintabletextright"/>
              <w:cnfStyle w:val="000000100000" w:firstRow="0" w:lastRow="0" w:firstColumn="0" w:lastColumn="0" w:oddVBand="0" w:evenVBand="0" w:oddHBand="1" w:evenHBand="0" w:firstRowFirstColumn="0" w:firstRowLastColumn="0" w:lastRowFirstColumn="0" w:lastRowLastColumn="0"/>
            </w:pPr>
            <w:r>
              <w:t>39.5</w:t>
            </w:r>
          </w:p>
        </w:tc>
        <w:tc>
          <w:tcPr>
            <w:cnfStyle w:val="000001000000" w:firstRow="0" w:lastRow="0" w:firstColumn="0" w:lastColumn="0" w:oddVBand="0" w:evenVBand="1" w:oddHBand="0" w:evenHBand="0" w:firstRowFirstColumn="0" w:firstRowLastColumn="0" w:lastRowFirstColumn="0" w:lastRowLastColumn="0"/>
            <w:tcW w:w="500" w:type="pct"/>
            <w:tcBorders>
              <w:top w:val="single" w:sz="4" w:space="0" w:color="BFBFBF" w:themeColor="accent2"/>
              <w:bottom w:val="single" w:sz="4" w:space="0" w:color="000000" w:themeColor="text1"/>
            </w:tcBorders>
            <w:shd w:val="clear" w:color="auto" w:fill="E7E6E6" w:themeFill="background2"/>
            <w:noWrap/>
            <w:tcMar>
              <w:right w:w="0" w:type="nil"/>
            </w:tcMar>
            <w:hideMark/>
          </w:tcPr>
          <w:p w14:paraId="6F375141" w14:textId="77777777" w:rsidR="006E51BF" w:rsidRPr="0058568D" w:rsidRDefault="006E51BF">
            <w:pPr>
              <w:pStyle w:val="ARfintabletextright"/>
            </w:pPr>
            <w:r>
              <w:t>271.8</w:t>
            </w:r>
          </w:p>
        </w:tc>
        <w:tc>
          <w:tcPr>
            <w:tcW w:w="500" w:type="pct"/>
            <w:tcBorders>
              <w:top w:val="single" w:sz="4" w:space="0" w:color="BFBFBF" w:themeColor="accent2"/>
              <w:bottom w:val="single" w:sz="4" w:space="0" w:color="000000" w:themeColor="text1"/>
            </w:tcBorders>
            <w:shd w:val="clear" w:color="auto" w:fill="E7E6E6" w:themeFill="background2"/>
            <w:noWrap/>
            <w:tcMar>
              <w:right w:w="0" w:type="nil"/>
            </w:tcMar>
            <w:hideMark/>
          </w:tcPr>
          <w:p w14:paraId="383521AD" w14:textId="77777777" w:rsidR="006E51BF" w:rsidRPr="0058568D" w:rsidRDefault="006E51BF">
            <w:pPr>
              <w:pStyle w:val="ARfintabletextright"/>
              <w:cnfStyle w:val="000000100000" w:firstRow="0" w:lastRow="0" w:firstColumn="0" w:lastColumn="0" w:oddVBand="0" w:evenVBand="0" w:oddHBand="1" w:evenHBand="0" w:firstRowFirstColumn="0" w:firstRowLastColumn="0" w:lastRowFirstColumn="0" w:lastRowLastColumn="0"/>
            </w:pPr>
            <w:r>
              <w:t>13.4</w:t>
            </w:r>
          </w:p>
        </w:tc>
        <w:tc>
          <w:tcPr>
            <w:cnfStyle w:val="000001000000" w:firstRow="0" w:lastRow="0" w:firstColumn="0" w:lastColumn="0" w:oddVBand="0" w:evenVBand="1" w:oddHBand="0" w:evenHBand="0" w:firstRowFirstColumn="0" w:firstRowLastColumn="0" w:lastRowFirstColumn="0" w:lastRowLastColumn="0"/>
            <w:tcW w:w="499" w:type="pct"/>
            <w:tcBorders>
              <w:top w:val="single" w:sz="4" w:space="0" w:color="BFBFBF" w:themeColor="accent2"/>
              <w:bottom w:val="single" w:sz="4" w:space="0" w:color="000000" w:themeColor="text1"/>
            </w:tcBorders>
            <w:noWrap/>
            <w:tcMar>
              <w:right w:w="0" w:type="nil"/>
            </w:tcMar>
            <w:hideMark/>
          </w:tcPr>
          <w:p w14:paraId="6959B573" w14:textId="77777777" w:rsidR="006E51BF" w:rsidRPr="0058568D" w:rsidRDefault="006E51BF">
            <w:pPr>
              <w:pStyle w:val="ARfintabletextright"/>
            </w:pPr>
            <w:r w:rsidRPr="0058568D">
              <w:t>485.4</w:t>
            </w:r>
          </w:p>
        </w:tc>
      </w:tr>
      <w:tr w:rsidR="006E51BF" w:rsidRPr="0015454D" w14:paraId="25C20F2B"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324" w:type="pct"/>
            <w:tcBorders>
              <w:top w:val="single" w:sz="4" w:space="0" w:color="000000" w:themeColor="text1"/>
              <w:bottom w:val="single" w:sz="4" w:space="0" w:color="000000" w:themeColor="text1"/>
            </w:tcBorders>
            <w:noWrap/>
            <w:hideMark/>
          </w:tcPr>
          <w:p w14:paraId="6AD58AD5" w14:textId="77777777" w:rsidR="006E51BF" w:rsidRPr="0015454D" w:rsidRDefault="006E51BF">
            <w:pPr>
              <w:pStyle w:val="ARfintabletextbold"/>
              <w:rPr>
                <w:lang w:eastAsia="en-AU"/>
              </w:rPr>
            </w:pPr>
            <w:r w:rsidRPr="0015454D">
              <w:rPr>
                <w:lang w:eastAsia="en-AU"/>
              </w:rPr>
              <w:t>Loss allowance</w:t>
            </w:r>
          </w:p>
        </w:tc>
        <w:tc>
          <w:tcPr>
            <w:cnfStyle w:val="000001000000" w:firstRow="0" w:lastRow="0" w:firstColumn="0" w:lastColumn="0" w:oddVBand="0" w:evenVBand="1" w:oddHBand="0" w:evenHBand="0" w:firstRowFirstColumn="0" w:firstRowLastColumn="0" w:lastRowFirstColumn="0" w:lastRowLastColumn="0"/>
            <w:tcW w:w="588" w:type="pct"/>
            <w:tcBorders>
              <w:top w:val="single" w:sz="4" w:space="0" w:color="000000" w:themeColor="text1"/>
              <w:bottom w:val="single" w:sz="4" w:space="0" w:color="000000" w:themeColor="text1"/>
            </w:tcBorders>
            <w:shd w:val="clear" w:color="auto" w:fill="auto"/>
            <w:noWrap/>
            <w:tcMar>
              <w:right w:w="0" w:type="nil"/>
            </w:tcMar>
            <w:hideMark/>
          </w:tcPr>
          <w:p w14:paraId="1D3C0784" w14:textId="77777777" w:rsidR="006E51BF" w:rsidRPr="0058568D" w:rsidRDefault="006E51BF">
            <w:pPr>
              <w:pStyle w:val="ARfintabletextright"/>
            </w:pPr>
          </w:p>
        </w:tc>
        <w:tc>
          <w:tcPr>
            <w:tcW w:w="589" w:type="pct"/>
            <w:tcBorders>
              <w:top w:val="single" w:sz="4" w:space="0" w:color="000000" w:themeColor="text1"/>
              <w:bottom w:val="single" w:sz="4" w:space="0" w:color="000000" w:themeColor="text1"/>
            </w:tcBorders>
            <w:noWrap/>
            <w:tcMar>
              <w:right w:w="0" w:type="nil"/>
            </w:tcMar>
            <w:hideMark/>
          </w:tcPr>
          <w:p w14:paraId="22F9096E" w14:textId="77777777" w:rsidR="006E51BF" w:rsidRPr="0058568D"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58568D">
              <w:t>–</w:t>
            </w:r>
          </w:p>
        </w:tc>
        <w:tc>
          <w:tcPr>
            <w:cnfStyle w:val="000001000000" w:firstRow="0" w:lastRow="0" w:firstColumn="0" w:lastColumn="0" w:oddVBand="0" w:evenVBand="1" w:oddHBand="0" w:evenHBand="0" w:firstRowFirstColumn="0" w:firstRowLastColumn="0" w:lastRowFirstColumn="0" w:lastRowLastColumn="0"/>
            <w:tcW w:w="500" w:type="pct"/>
            <w:tcBorders>
              <w:top w:val="single" w:sz="4" w:space="0" w:color="000000" w:themeColor="text1"/>
              <w:bottom w:val="single" w:sz="4" w:space="0" w:color="000000" w:themeColor="text1"/>
            </w:tcBorders>
            <w:shd w:val="clear" w:color="auto" w:fill="auto"/>
            <w:noWrap/>
            <w:tcMar>
              <w:right w:w="0" w:type="nil"/>
            </w:tcMar>
            <w:hideMark/>
          </w:tcPr>
          <w:p w14:paraId="46EB7676" w14:textId="77777777" w:rsidR="006E51BF" w:rsidRPr="0058568D" w:rsidRDefault="006E51BF">
            <w:pPr>
              <w:pStyle w:val="ARfintabletextright"/>
            </w:pPr>
            <w:r w:rsidRPr="0058568D">
              <w:t>0.5</w:t>
            </w:r>
          </w:p>
        </w:tc>
        <w:tc>
          <w:tcPr>
            <w:tcW w:w="500" w:type="pct"/>
            <w:tcBorders>
              <w:top w:val="single" w:sz="4" w:space="0" w:color="000000" w:themeColor="text1"/>
              <w:bottom w:val="single" w:sz="4" w:space="0" w:color="000000" w:themeColor="text1"/>
            </w:tcBorders>
            <w:noWrap/>
            <w:tcMar>
              <w:right w:w="0" w:type="nil"/>
            </w:tcMar>
            <w:hideMark/>
          </w:tcPr>
          <w:p w14:paraId="522C5ADE" w14:textId="77777777" w:rsidR="006E51BF" w:rsidRPr="0058568D"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58568D">
              <w:t>0.3</w:t>
            </w:r>
          </w:p>
        </w:tc>
        <w:tc>
          <w:tcPr>
            <w:cnfStyle w:val="000001000000" w:firstRow="0" w:lastRow="0" w:firstColumn="0" w:lastColumn="0" w:oddVBand="0" w:evenVBand="1" w:oddHBand="0" w:evenHBand="0" w:firstRowFirstColumn="0" w:firstRowLastColumn="0" w:lastRowFirstColumn="0" w:lastRowLastColumn="0"/>
            <w:tcW w:w="500" w:type="pct"/>
            <w:tcBorders>
              <w:top w:val="single" w:sz="4" w:space="0" w:color="000000" w:themeColor="text1"/>
              <w:bottom w:val="single" w:sz="4" w:space="0" w:color="000000" w:themeColor="text1"/>
            </w:tcBorders>
            <w:shd w:val="clear" w:color="auto" w:fill="auto"/>
            <w:noWrap/>
            <w:tcMar>
              <w:right w:w="0" w:type="nil"/>
            </w:tcMar>
            <w:hideMark/>
          </w:tcPr>
          <w:p w14:paraId="0AA6D3DD" w14:textId="77777777" w:rsidR="006E51BF" w:rsidRPr="0058568D" w:rsidRDefault="006E51BF">
            <w:pPr>
              <w:pStyle w:val="ARfintabletextright"/>
            </w:pPr>
            <w:r w:rsidRPr="0058568D">
              <w:t>2.2</w:t>
            </w:r>
          </w:p>
        </w:tc>
        <w:tc>
          <w:tcPr>
            <w:tcW w:w="500" w:type="pct"/>
            <w:tcBorders>
              <w:top w:val="single" w:sz="4" w:space="0" w:color="000000" w:themeColor="text1"/>
              <w:bottom w:val="single" w:sz="4" w:space="0" w:color="000000" w:themeColor="text1"/>
            </w:tcBorders>
            <w:noWrap/>
            <w:tcMar>
              <w:right w:w="0" w:type="nil"/>
            </w:tcMar>
            <w:hideMark/>
          </w:tcPr>
          <w:p w14:paraId="3D1A7743" w14:textId="77777777" w:rsidR="006E51BF" w:rsidRPr="0058568D"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58568D">
              <w:t>3.0</w:t>
            </w:r>
          </w:p>
        </w:tc>
        <w:tc>
          <w:tcPr>
            <w:cnfStyle w:val="000001000000" w:firstRow="0" w:lastRow="0" w:firstColumn="0" w:lastColumn="0" w:oddVBand="0" w:evenVBand="1" w:oddHBand="0" w:evenHBand="0" w:firstRowFirstColumn="0" w:firstRowLastColumn="0" w:lastRowFirstColumn="0" w:lastRowLastColumn="0"/>
            <w:tcW w:w="499" w:type="pct"/>
            <w:tcBorders>
              <w:top w:val="single" w:sz="4" w:space="0" w:color="000000" w:themeColor="text1"/>
              <w:bottom w:val="single" w:sz="4" w:space="0" w:color="000000" w:themeColor="text1"/>
            </w:tcBorders>
            <w:shd w:val="clear" w:color="auto" w:fill="auto"/>
            <w:noWrap/>
            <w:tcMar>
              <w:right w:w="0" w:type="nil"/>
            </w:tcMar>
            <w:hideMark/>
          </w:tcPr>
          <w:p w14:paraId="3B5E2519" w14:textId="77777777" w:rsidR="006E51BF" w:rsidRPr="0058568D" w:rsidRDefault="006E51BF">
            <w:pPr>
              <w:pStyle w:val="ARfintabletextright"/>
            </w:pPr>
            <w:r w:rsidRPr="0058568D">
              <w:t>6.0</w:t>
            </w:r>
          </w:p>
        </w:tc>
      </w:tr>
      <w:tr w:rsidR="006E51BF" w:rsidRPr="0015454D" w14:paraId="0BFF3631"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324" w:type="pct"/>
            <w:tcBorders>
              <w:top w:val="single" w:sz="4" w:space="0" w:color="000000" w:themeColor="text1"/>
            </w:tcBorders>
            <w:noWrap/>
            <w:hideMark/>
          </w:tcPr>
          <w:p w14:paraId="20CCAB5B" w14:textId="77777777" w:rsidR="006E51BF" w:rsidRPr="0015454D" w:rsidRDefault="006E51BF">
            <w:pPr>
              <w:pStyle w:val="ARfintabletextboldcoloured"/>
              <w:rPr>
                <w:lang w:eastAsia="en-AU"/>
              </w:rPr>
            </w:pPr>
            <w:r w:rsidRPr="0015454D">
              <w:rPr>
                <w:lang w:eastAsia="en-AU"/>
              </w:rPr>
              <w:t>2025</w:t>
            </w:r>
          </w:p>
        </w:tc>
        <w:tc>
          <w:tcPr>
            <w:cnfStyle w:val="000001000000" w:firstRow="0" w:lastRow="0" w:firstColumn="0" w:lastColumn="0" w:oddVBand="0" w:evenVBand="1" w:oddHBand="0" w:evenHBand="0" w:firstRowFirstColumn="0" w:firstRowLastColumn="0" w:lastRowFirstColumn="0" w:lastRowLastColumn="0"/>
            <w:tcW w:w="588" w:type="pct"/>
            <w:tcBorders>
              <w:top w:val="single" w:sz="4" w:space="0" w:color="000000" w:themeColor="text1"/>
            </w:tcBorders>
            <w:shd w:val="clear" w:color="auto" w:fill="auto"/>
            <w:tcMar>
              <w:right w:w="0" w:type="nil"/>
            </w:tcMar>
            <w:hideMark/>
          </w:tcPr>
          <w:p w14:paraId="66D68784" w14:textId="77777777" w:rsidR="006E51BF" w:rsidRPr="0058568D" w:rsidRDefault="006E51BF">
            <w:pPr>
              <w:pStyle w:val="ARfintabletextright"/>
            </w:pPr>
          </w:p>
        </w:tc>
        <w:tc>
          <w:tcPr>
            <w:tcW w:w="589" w:type="pct"/>
            <w:tcBorders>
              <w:top w:val="single" w:sz="4" w:space="0" w:color="000000" w:themeColor="text1"/>
            </w:tcBorders>
            <w:tcMar>
              <w:right w:w="0" w:type="nil"/>
            </w:tcMar>
            <w:hideMark/>
          </w:tcPr>
          <w:p w14:paraId="4F19BB67" w14:textId="77777777" w:rsidR="006E51BF" w:rsidRPr="0058568D" w:rsidRDefault="006E51BF">
            <w:pPr>
              <w:pStyle w:val="ARfintabletextrigh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500" w:type="pct"/>
            <w:tcBorders>
              <w:top w:val="single" w:sz="4" w:space="0" w:color="000000" w:themeColor="text1"/>
            </w:tcBorders>
            <w:shd w:val="clear" w:color="auto" w:fill="auto"/>
            <w:tcMar>
              <w:right w:w="0" w:type="nil"/>
            </w:tcMar>
            <w:hideMark/>
          </w:tcPr>
          <w:p w14:paraId="29374033" w14:textId="77777777" w:rsidR="006E51BF" w:rsidRPr="0058568D" w:rsidRDefault="006E51BF">
            <w:pPr>
              <w:pStyle w:val="ARfintabletextright"/>
            </w:pPr>
          </w:p>
        </w:tc>
        <w:tc>
          <w:tcPr>
            <w:tcW w:w="500" w:type="pct"/>
            <w:tcBorders>
              <w:top w:val="single" w:sz="4" w:space="0" w:color="000000" w:themeColor="text1"/>
            </w:tcBorders>
            <w:tcMar>
              <w:right w:w="0" w:type="nil"/>
            </w:tcMar>
            <w:hideMark/>
          </w:tcPr>
          <w:p w14:paraId="47A6BFF1" w14:textId="77777777" w:rsidR="006E51BF" w:rsidRPr="0058568D" w:rsidRDefault="006E51BF">
            <w:pPr>
              <w:pStyle w:val="ARfintabletextrigh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500" w:type="pct"/>
            <w:tcBorders>
              <w:top w:val="single" w:sz="4" w:space="0" w:color="000000" w:themeColor="text1"/>
            </w:tcBorders>
            <w:shd w:val="clear" w:color="auto" w:fill="auto"/>
            <w:tcMar>
              <w:right w:w="0" w:type="nil"/>
            </w:tcMar>
            <w:hideMark/>
          </w:tcPr>
          <w:p w14:paraId="631E4B1A" w14:textId="77777777" w:rsidR="006E51BF" w:rsidRPr="0058568D" w:rsidRDefault="006E51BF">
            <w:pPr>
              <w:pStyle w:val="ARfintabletextright"/>
            </w:pPr>
          </w:p>
        </w:tc>
        <w:tc>
          <w:tcPr>
            <w:tcW w:w="500" w:type="pct"/>
            <w:tcBorders>
              <w:top w:val="single" w:sz="4" w:space="0" w:color="000000" w:themeColor="text1"/>
            </w:tcBorders>
            <w:tcMar>
              <w:right w:w="0" w:type="nil"/>
            </w:tcMar>
            <w:hideMark/>
          </w:tcPr>
          <w:p w14:paraId="1C341A63" w14:textId="77777777" w:rsidR="006E51BF" w:rsidRPr="0058568D" w:rsidRDefault="006E51BF">
            <w:pPr>
              <w:pStyle w:val="ARfintabletextrigh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99" w:type="pct"/>
            <w:tcBorders>
              <w:top w:val="single" w:sz="4" w:space="0" w:color="000000" w:themeColor="text1"/>
            </w:tcBorders>
            <w:shd w:val="clear" w:color="auto" w:fill="auto"/>
            <w:noWrap/>
            <w:tcMar>
              <w:right w:w="0" w:type="nil"/>
            </w:tcMar>
            <w:hideMark/>
          </w:tcPr>
          <w:p w14:paraId="15E4F7B2" w14:textId="77777777" w:rsidR="006E51BF" w:rsidRPr="0058568D" w:rsidRDefault="006E51BF">
            <w:pPr>
              <w:pStyle w:val="ARfintabletextright"/>
            </w:pPr>
          </w:p>
        </w:tc>
      </w:tr>
      <w:tr w:rsidR="006E51BF" w:rsidRPr="0015454D" w14:paraId="78DB0087"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1324" w:type="pct"/>
            <w:hideMark/>
          </w:tcPr>
          <w:p w14:paraId="58CEB710" w14:textId="77777777" w:rsidR="006E51BF" w:rsidRPr="0015454D" w:rsidRDefault="006E51BF">
            <w:pPr>
              <w:pStyle w:val="ARfintabletextbold"/>
              <w:rPr>
                <w:lang w:eastAsia="en-AU"/>
              </w:rPr>
            </w:pPr>
            <w:r w:rsidRPr="0015454D">
              <w:rPr>
                <w:lang w:eastAsia="en-AU"/>
              </w:rPr>
              <w:t>Expected loss rate</w:t>
            </w:r>
          </w:p>
        </w:tc>
        <w:tc>
          <w:tcPr>
            <w:cnfStyle w:val="000001000000" w:firstRow="0" w:lastRow="0" w:firstColumn="0" w:lastColumn="0" w:oddVBand="0" w:evenVBand="1" w:oddHBand="0" w:evenHBand="0" w:firstRowFirstColumn="0" w:firstRowLastColumn="0" w:lastRowFirstColumn="0" w:lastRowLastColumn="0"/>
            <w:tcW w:w="588" w:type="pct"/>
            <w:tcMar>
              <w:right w:w="0" w:type="nil"/>
            </w:tcMar>
            <w:hideMark/>
          </w:tcPr>
          <w:p w14:paraId="0D51C2AC" w14:textId="77777777" w:rsidR="006E51BF" w:rsidRPr="0058568D" w:rsidRDefault="006E51BF">
            <w:pPr>
              <w:pStyle w:val="ARfintabletextright"/>
            </w:pPr>
          </w:p>
        </w:tc>
        <w:tc>
          <w:tcPr>
            <w:tcW w:w="589" w:type="pct"/>
            <w:tcMar>
              <w:right w:w="0" w:type="nil"/>
            </w:tcMar>
            <w:hideMark/>
          </w:tcPr>
          <w:p w14:paraId="14A5FC81" w14:textId="77777777" w:rsidR="006E51BF" w:rsidRPr="0058568D"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58568D">
              <w:t>0%</w:t>
            </w:r>
          </w:p>
        </w:tc>
        <w:tc>
          <w:tcPr>
            <w:cnfStyle w:val="000001000000" w:firstRow="0" w:lastRow="0" w:firstColumn="0" w:lastColumn="0" w:oddVBand="0" w:evenVBand="1" w:oddHBand="0" w:evenHBand="0" w:firstRowFirstColumn="0" w:firstRowLastColumn="0" w:lastRowFirstColumn="0" w:lastRowLastColumn="0"/>
            <w:tcW w:w="500" w:type="pct"/>
            <w:tcMar>
              <w:right w:w="0" w:type="nil"/>
            </w:tcMar>
            <w:hideMark/>
          </w:tcPr>
          <w:p w14:paraId="3ED4A74C" w14:textId="77777777" w:rsidR="006E51BF" w:rsidRPr="0058568D" w:rsidRDefault="006E51BF">
            <w:pPr>
              <w:pStyle w:val="ARfintabletextright"/>
            </w:pPr>
            <w:r w:rsidRPr="0058568D">
              <w:t>0%</w:t>
            </w:r>
          </w:p>
        </w:tc>
        <w:tc>
          <w:tcPr>
            <w:tcW w:w="500" w:type="pct"/>
            <w:shd w:val="clear" w:color="auto" w:fill="E7E6E6" w:themeFill="background2"/>
            <w:tcMar>
              <w:right w:w="0" w:type="nil"/>
            </w:tcMar>
            <w:hideMark/>
          </w:tcPr>
          <w:p w14:paraId="7F22DE8E" w14:textId="77777777" w:rsidR="006E51BF" w:rsidRPr="0058568D"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58568D">
              <w:t>1%</w:t>
            </w:r>
          </w:p>
        </w:tc>
        <w:tc>
          <w:tcPr>
            <w:cnfStyle w:val="000001000000" w:firstRow="0" w:lastRow="0" w:firstColumn="0" w:lastColumn="0" w:oddVBand="0" w:evenVBand="1" w:oddHBand="0" w:evenHBand="0" w:firstRowFirstColumn="0" w:firstRowLastColumn="0" w:lastRowFirstColumn="0" w:lastRowLastColumn="0"/>
            <w:tcW w:w="500" w:type="pct"/>
            <w:shd w:val="clear" w:color="auto" w:fill="E7E6E6" w:themeFill="background2"/>
            <w:tcMar>
              <w:right w:w="0" w:type="nil"/>
            </w:tcMar>
            <w:hideMark/>
          </w:tcPr>
          <w:p w14:paraId="77C0E684" w14:textId="77777777" w:rsidR="006E51BF" w:rsidRPr="0058568D" w:rsidRDefault="006E51BF">
            <w:pPr>
              <w:pStyle w:val="ARfintabletextright"/>
            </w:pPr>
            <w:r w:rsidRPr="0058568D">
              <w:t>25%</w:t>
            </w:r>
          </w:p>
        </w:tc>
        <w:tc>
          <w:tcPr>
            <w:tcW w:w="500" w:type="pct"/>
            <w:shd w:val="clear" w:color="auto" w:fill="E7E6E6" w:themeFill="background2"/>
            <w:tcMar>
              <w:right w:w="0" w:type="nil"/>
            </w:tcMar>
            <w:hideMark/>
          </w:tcPr>
          <w:p w14:paraId="3E585CC0" w14:textId="77777777" w:rsidR="006E51BF" w:rsidRPr="0058568D"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58568D">
              <w:t>52%</w:t>
            </w:r>
          </w:p>
        </w:tc>
        <w:tc>
          <w:tcPr>
            <w:cnfStyle w:val="000001000000" w:firstRow="0" w:lastRow="0" w:firstColumn="0" w:lastColumn="0" w:oddVBand="0" w:evenVBand="1" w:oddHBand="0" w:evenHBand="0" w:firstRowFirstColumn="0" w:firstRowLastColumn="0" w:lastRowFirstColumn="0" w:lastRowLastColumn="0"/>
            <w:tcW w:w="499" w:type="pct"/>
            <w:tcMar>
              <w:right w:w="0" w:type="nil"/>
            </w:tcMar>
            <w:hideMark/>
          </w:tcPr>
          <w:p w14:paraId="5EEB02E5" w14:textId="77777777" w:rsidR="006E51BF" w:rsidRPr="0058568D" w:rsidRDefault="006E51BF">
            <w:pPr>
              <w:pStyle w:val="ARfintabletextright"/>
            </w:pPr>
          </w:p>
        </w:tc>
      </w:tr>
      <w:tr w:rsidR="006E51BF" w:rsidRPr="0015454D" w14:paraId="4337F521"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1324" w:type="pct"/>
            <w:noWrap/>
            <w:hideMark/>
          </w:tcPr>
          <w:p w14:paraId="04B0261F" w14:textId="77777777" w:rsidR="006E51BF" w:rsidRPr="0015454D" w:rsidRDefault="006E51BF">
            <w:pPr>
              <w:pStyle w:val="ARfintabletext"/>
              <w:rPr>
                <w:lang w:eastAsia="en-AU"/>
              </w:rPr>
            </w:pPr>
            <w:r w:rsidRPr="0015454D">
              <w:rPr>
                <w:lang w:eastAsia="en-AU"/>
              </w:rPr>
              <w:t xml:space="preserve">Gross carrying </w:t>
            </w:r>
            <w:proofErr w:type="gramStart"/>
            <w:r w:rsidRPr="0015454D">
              <w:rPr>
                <w:lang w:eastAsia="en-AU"/>
              </w:rPr>
              <w:t>amount</w:t>
            </w:r>
            <w:proofErr w:type="gramEnd"/>
            <w:r w:rsidRPr="0015454D">
              <w:rPr>
                <w:lang w:eastAsia="en-AU"/>
              </w:rPr>
              <w:t xml:space="preserve"> of contractual receivables </w:t>
            </w:r>
          </w:p>
        </w:tc>
        <w:tc>
          <w:tcPr>
            <w:cnfStyle w:val="000001000000" w:firstRow="0" w:lastRow="0" w:firstColumn="0" w:lastColumn="0" w:oddVBand="0" w:evenVBand="1" w:oddHBand="0" w:evenHBand="0" w:firstRowFirstColumn="0" w:firstRowLastColumn="0" w:lastRowFirstColumn="0" w:lastRowLastColumn="0"/>
            <w:tcW w:w="588" w:type="pct"/>
            <w:noWrap/>
            <w:tcMar>
              <w:right w:w="0" w:type="nil"/>
            </w:tcMar>
            <w:hideMark/>
          </w:tcPr>
          <w:p w14:paraId="74B3161A" w14:textId="77777777" w:rsidR="006E51BF" w:rsidRPr="0058568D" w:rsidRDefault="006E51BF">
            <w:pPr>
              <w:pStyle w:val="ARfintabletextright"/>
            </w:pPr>
            <w:r w:rsidRPr="0058568D">
              <w:t>235.1</w:t>
            </w:r>
          </w:p>
        </w:tc>
        <w:tc>
          <w:tcPr>
            <w:tcW w:w="589" w:type="pct"/>
            <w:noWrap/>
            <w:tcMar>
              <w:right w:w="0" w:type="nil"/>
            </w:tcMar>
            <w:hideMark/>
          </w:tcPr>
          <w:p w14:paraId="1563CF0C" w14:textId="77777777" w:rsidR="006E51BF" w:rsidRPr="0058568D"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58568D">
              <w:t>117.0</w:t>
            </w:r>
          </w:p>
        </w:tc>
        <w:tc>
          <w:tcPr>
            <w:cnfStyle w:val="000001000000" w:firstRow="0" w:lastRow="0" w:firstColumn="0" w:lastColumn="0" w:oddVBand="0" w:evenVBand="1" w:oddHBand="0" w:evenHBand="0" w:firstRowFirstColumn="0" w:firstRowLastColumn="0" w:lastRowFirstColumn="0" w:lastRowLastColumn="0"/>
            <w:tcW w:w="500" w:type="pct"/>
            <w:noWrap/>
            <w:tcMar>
              <w:right w:w="0" w:type="nil"/>
            </w:tcMar>
            <w:hideMark/>
          </w:tcPr>
          <w:p w14:paraId="310AAC8B" w14:textId="77777777" w:rsidR="006E51BF" w:rsidRPr="0058568D" w:rsidRDefault="006E51BF">
            <w:pPr>
              <w:pStyle w:val="ARfintabletextright"/>
            </w:pPr>
            <w:r w:rsidRPr="0058568D">
              <w:t>77.8</w:t>
            </w:r>
          </w:p>
        </w:tc>
        <w:tc>
          <w:tcPr>
            <w:tcW w:w="500" w:type="pct"/>
            <w:shd w:val="clear" w:color="auto" w:fill="E7E6E6" w:themeFill="background2"/>
            <w:noWrap/>
            <w:tcMar>
              <w:right w:w="0" w:type="nil"/>
            </w:tcMar>
            <w:hideMark/>
          </w:tcPr>
          <w:p w14:paraId="018A1848" w14:textId="77777777" w:rsidR="006E51BF" w:rsidRPr="0058568D"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58568D">
              <w:t>11.7</w:t>
            </w:r>
          </w:p>
        </w:tc>
        <w:tc>
          <w:tcPr>
            <w:cnfStyle w:val="000001000000" w:firstRow="0" w:lastRow="0" w:firstColumn="0" w:lastColumn="0" w:oddVBand="0" w:evenVBand="1" w:oddHBand="0" w:evenHBand="0" w:firstRowFirstColumn="0" w:firstRowLastColumn="0" w:lastRowFirstColumn="0" w:lastRowLastColumn="0"/>
            <w:tcW w:w="500" w:type="pct"/>
            <w:shd w:val="clear" w:color="auto" w:fill="E7E6E6" w:themeFill="background2"/>
            <w:noWrap/>
            <w:tcMar>
              <w:right w:w="0" w:type="nil"/>
            </w:tcMar>
            <w:hideMark/>
          </w:tcPr>
          <w:p w14:paraId="29D23615" w14:textId="77777777" w:rsidR="006E51BF" w:rsidRPr="0058568D" w:rsidRDefault="006E51BF">
            <w:pPr>
              <w:pStyle w:val="ARfintabletextright"/>
            </w:pPr>
            <w:r w:rsidRPr="0058568D">
              <w:t>18.7</w:t>
            </w:r>
          </w:p>
        </w:tc>
        <w:tc>
          <w:tcPr>
            <w:tcW w:w="500" w:type="pct"/>
            <w:shd w:val="clear" w:color="auto" w:fill="E7E6E6" w:themeFill="background2"/>
            <w:noWrap/>
            <w:tcMar>
              <w:right w:w="0" w:type="nil"/>
            </w:tcMar>
            <w:hideMark/>
          </w:tcPr>
          <w:p w14:paraId="007198C1" w14:textId="77777777" w:rsidR="006E51BF" w:rsidRPr="0058568D"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58568D">
              <w:t>9.9</w:t>
            </w:r>
          </w:p>
        </w:tc>
        <w:tc>
          <w:tcPr>
            <w:cnfStyle w:val="000001000000" w:firstRow="0" w:lastRow="0" w:firstColumn="0" w:lastColumn="0" w:oddVBand="0" w:evenVBand="1" w:oddHBand="0" w:evenHBand="0" w:firstRowFirstColumn="0" w:firstRowLastColumn="0" w:lastRowFirstColumn="0" w:lastRowLastColumn="0"/>
            <w:tcW w:w="499" w:type="pct"/>
            <w:noWrap/>
            <w:tcMar>
              <w:right w:w="0" w:type="nil"/>
            </w:tcMar>
            <w:hideMark/>
          </w:tcPr>
          <w:p w14:paraId="20FDC9EB" w14:textId="77777777" w:rsidR="006E51BF" w:rsidRPr="0058568D" w:rsidRDefault="006E51BF">
            <w:pPr>
              <w:pStyle w:val="ARfintabletextright"/>
            </w:pPr>
            <w:r>
              <w:t>235.1</w:t>
            </w:r>
          </w:p>
        </w:tc>
      </w:tr>
      <w:tr w:rsidR="006E51BF" w:rsidRPr="0015454D" w14:paraId="0C13404D"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1324" w:type="pct"/>
            <w:noWrap/>
            <w:hideMark/>
          </w:tcPr>
          <w:p w14:paraId="54C3DBE3" w14:textId="77777777" w:rsidR="006E51BF" w:rsidRPr="0015454D" w:rsidRDefault="006E51BF">
            <w:pPr>
              <w:pStyle w:val="ARfintabletextbold"/>
              <w:rPr>
                <w:lang w:eastAsia="en-AU"/>
              </w:rPr>
            </w:pPr>
            <w:r w:rsidRPr="0015454D">
              <w:rPr>
                <w:lang w:eastAsia="en-AU"/>
              </w:rPr>
              <w:t>Loss allowance</w:t>
            </w:r>
          </w:p>
        </w:tc>
        <w:tc>
          <w:tcPr>
            <w:cnfStyle w:val="000001000000" w:firstRow="0" w:lastRow="0" w:firstColumn="0" w:lastColumn="0" w:oddVBand="0" w:evenVBand="1" w:oddHBand="0" w:evenHBand="0" w:firstRowFirstColumn="0" w:firstRowLastColumn="0" w:lastRowFirstColumn="0" w:lastRowLastColumn="0"/>
            <w:tcW w:w="588" w:type="pct"/>
            <w:noWrap/>
            <w:tcMar>
              <w:right w:w="0" w:type="nil"/>
            </w:tcMar>
            <w:hideMark/>
          </w:tcPr>
          <w:p w14:paraId="78D778B1" w14:textId="77777777" w:rsidR="006E51BF" w:rsidRPr="0015454D" w:rsidRDefault="006E51BF">
            <w:pPr>
              <w:pStyle w:val="ARfintabletextboldright"/>
              <w:rPr>
                <w:lang w:eastAsia="en-AU"/>
              </w:rPr>
            </w:pPr>
          </w:p>
        </w:tc>
        <w:tc>
          <w:tcPr>
            <w:tcW w:w="589" w:type="pct"/>
            <w:noWrap/>
            <w:tcMar>
              <w:right w:w="0" w:type="nil"/>
            </w:tcMar>
            <w:hideMark/>
          </w:tcPr>
          <w:p w14:paraId="7D3E0759" w14:textId="77777777" w:rsidR="006E51BF" w:rsidRPr="0015454D" w:rsidRDefault="006E51BF">
            <w:pPr>
              <w:pStyle w:val="ARfintabletextboldright"/>
              <w:cnfStyle w:val="010000000000" w:firstRow="0" w:lastRow="1" w:firstColumn="0" w:lastColumn="0" w:oddVBand="0" w:evenVBand="0" w:oddHBand="0" w:evenHBand="0" w:firstRowFirstColumn="0" w:firstRowLastColumn="0" w:lastRowFirstColumn="0" w:lastRowLastColumn="0"/>
              <w:rPr>
                <w:color w:val="000000"/>
                <w:lang w:eastAsia="en-AU"/>
              </w:rPr>
            </w:pPr>
            <w:r>
              <w:rPr>
                <w:color w:val="000000"/>
                <w:lang w:eastAsia="en-AU"/>
              </w:rPr>
              <w:t>–</w:t>
            </w:r>
          </w:p>
        </w:tc>
        <w:tc>
          <w:tcPr>
            <w:cnfStyle w:val="000001000000" w:firstRow="0" w:lastRow="0" w:firstColumn="0" w:lastColumn="0" w:oddVBand="0" w:evenVBand="1" w:oddHBand="0" w:evenHBand="0" w:firstRowFirstColumn="0" w:firstRowLastColumn="0" w:lastRowFirstColumn="0" w:lastRowLastColumn="0"/>
            <w:tcW w:w="500" w:type="pct"/>
            <w:noWrap/>
            <w:tcMar>
              <w:right w:w="0" w:type="nil"/>
            </w:tcMar>
            <w:hideMark/>
          </w:tcPr>
          <w:p w14:paraId="4FACD4A5" w14:textId="77777777" w:rsidR="006E51BF" w:rsidRPr="0015454D" w:rsidRDefault="006E51BF">
            <w:pPr>
              <w:pStyle w:val="ARfintabletextboldright"/>
              <w:rPr>
                <w:color w:val="000000"/>
                <w:lang w:eastAsia="en-AU"/>
              </w:rPr>
            </w:pPr>
            <w:r>
              <w:rPr>
                <w:color w:val="000000"/>
                <w:lang w:eastAsia="en-AU"/>
              </w:rPr>
              <w:t>–</w:t>
            </w:r>
          </w:p>
        </w:tc>
        <w:tc>
          <w:tcPr>
            <w:tcW w:w="500" w:type="pct"/>
            <w:shd w:val="clear" w:color="auto" w:fill="E7E6E6" w:themeFill="background2"/>
            <w:noWrap/>
            <w:tcMar>
              <w:right w:w="0" w:type="nil"/>
            </w:tcMar>
            <w:hideMark/>
          </w:tcPr>
          <w:p w14:paraId="3466ACC3" w14:textId="77777777" w:rsidR="006E51BF" w:rsidRPr="0015454D" w:rsidRDefault="006E51BF">
            <w:pPr>
              <w:pStyle w:val="ARfintabletextboldright"/>
              <w:cnfStyle w:val="010000000000" w:firstRow="0" w:lastRow="1" w:firstColumn="0" w:lastColumn="0" w:oddVBand="0" w:evenVBand="0" w:oddHBand="0" w:evenHBand="0" w:firstRowFirstColumn="0" w:firstRowLastColumn="0" w:lastRowFirstColumn="0" w:lastRowLastColumn="0"/>
              <w:rPr>
                <w:color w:val="000000"/>
                <w:lang w:eastAsia="en-AU"/>
              </w:rPr>
            </w:pPr>
            <w:r w:rsidRPr="0015454D">
              <w:rPr>
                <w:color w:val="000000"/>
                <w:lang w:eastAsia="en-AU"/>
              </w:rPr>
              <w:t>0.1</w:t>
            </w:r>
          </w:p>
        </w:tc>
        <w:tc>
          <w:tcPr>
            <w:cnfStyle w:val="000001000000" w:firstRow="0" w:lastRow="0" w:firstColumn="0" w:lastColumn="0" w:oddVBand="0" w:evenVBand="1" w:oddHBand="0" w:evenHBand="0" w:firstRowFirstColumn="0" w:firstRowLastColumn="0" w:lastRowFirstColumn="0" w:lastRowLastColumn="0"/>
            <w:tcW w:w="500" w:type="pct"/>
            <w:shd w:val="clear" w:color="auto" w:fill="E7E6E6" w:themeFill="background2"/>
            <w:noWrap/>
            <w:tcMar>
              <w:right w:w="0" w:type="nil"/>
            </w:tcMar>
            <w:hideMark/>
          </w:tcPr>
          <w:p w14:paraId="61FE811D" w14:textId="77777777" w:rsidR="006E51BF" w:rsidRPr="0015454D" w:rsidRDefault="006E51BF">
            <w:pPr>
              <w:pStyle w:val="ARfintabletextboldright"/>
              <w:rPr>
                <w:color w:val="000000"/>
                <w:lang w:eastAsia="en-AU"/>
              </w:rPr>
            </w:pPr>
            <w:r w:rsidRPr="0015454D">
              <w:rPr>
                <w:color w:val="000000"/>
                <w:lang w:eastAsia="en-AU"/>
              </w:rPr>
              <w:t>4.6</w:t>
            </w:r>
          </w:p>
        </w:tc>
        <w:tc>
          <w:tcPr>
            <w:tcW w:w="500" w:type="pct"/>
            <w:shd w:val="clear" w:color="auto" w:fill="E7E6E6" w:themeFill="background2"/>
            <w:noWrap/>
            <w:tcMar>
              <w:right w:w="0" w:type="nil"/>
            </w:tcMar>
            <w:hideMark/>
          </w:tcPr>
          <w:p w14:paraId="7BAC324A" w14:textId="77777777" w:rsidR="006E51BF" w:rsidRPr="0015454D" w:rsidRDefault="006E51BF">
            <w:pPr>
              <w:pStyle w:val="ARfintabletextboldright"/>
              <w:cnfStyle w:val="010000000000" w:firstRow="0" w:lastRow="1" w:firstColumn="0" w:lastColumn="0" w:oddVBand="0" w:evenVBand="0" w:oddHBand="0" w:evenHBand="0" w:firstRowFirstColumn="0" w:firstRowLastColumn="0" w:lastRowFirstColumn="0" w:lastRowLastColumn="0"/>
              <w:rPr>
                <w:color w:val="000000"/>
                <w:lang w:eastAsia="en-AU"/>
              </w:rPr>
            </w:pPr>
            <w:r w:rsidRPr="0015454D">
              <w:rPr>
                <w:color w:val="000000"/>
                <w:lang w:eastAsia="en-AU"/>
              </w:rPr>
              <w:t>5.0</w:t>
            </w:r>
          </w:p>
        </w:tc>
        <w:tc>
          <w:tcPr>
            <w:cnfStyle w:val="000001000000" w:firstRow="0" w:lastRow="0" w:firstColumn="0" w:lastColumn="0" w:oddVBand="0" w:evenVBand="1" w:oddHBand="0" w:evenHBand="0" w:firstRowFirstColumn="0" w:firstRowLastColumn="0" w:lastRowFirstColumn="0" w:lastRowLastColumn="0"/>
            <w:tcW w:w="499" w:type="pct"/>
            <w:noWrap/>
            <w:tcMar>
              <w:right w:w="0" w:type="nil"/>
            </w:tcMar>
            <w:hideMark/>
          </w:tcPr>
          <w:p w14:paraId="18122B49" w14:textId="77777777" w:rsidR="006E51BF" w:rsidRPr="0015454D" w:rsidRDefault="006E51BF">
            <w:pPr>
              <w:pStyle w:val="ARfintabletextboldright"/>
              <w:rPr>
                <w:color w:val="000000"/>
                <w:lang w:eastAsia="en-AU"/>
              </w:rPr>
            </w:pPr>
            <w:r w:rsidRPr="0015454D">
              <w:rPr>
                <w:color w:val="000000"/>
                <w:lang w:eastAsia="en-AU"/>
              </w:rPr>
              <w:t>9.7</w:t>
            </w:r>
          </w:p>
        </w:tc>
      </w:tr>
    </w:tbl>
    <w:p w14:paraId="599686F7" w14:textId="77777777" w:rsidR="006E51BF" w:rsidRPr="0015454D" w:rsidRDefault="006E51BF">
      <w:pPr>
        <w:pStyle w:val="ARfintablenote"/>
        <w:rPr>
          <w:lang w:eastAsia="en-AU"/>
        </w:rPr>
      </w:pPr>
      <w:r w:rsidRPr="0015454D">
        <w:rPr>
          <w:lang w:eastAsia="en-AU"/>
        </w:rPr>
        <w:t>Note:</w:t>
      </w:r>
    </w:p>
    <w:p w14:paraId="7EC48605" w14:textId="77777777" w:rsidR="006E51BF" w:rsidRPr="0015454D" w:rsidRDefault="006E51BF" w:rsidP="006E51BF">
      <w:pPr>
        <w:pStyle w:val="ARfintablenoteroman"/>
        <w:numPr>
          <w:ilvl w:val="0"/>
          <w:numId w:val="76"/>
        </w:numPr>
      </w:pPr>
      <w:r w:rsidRPr="0015454D">
        <w:t>The amounts disclosed here include repayments of borrowings that are not scheduled to be repaid in the next 12 months.</w:t>
      </w:r>
    </w:p>
    <w:p w14:paraId="14C4509A" w14:textId="77777777" w:rsidR="006E51BF" w:rsidRPr="0015454D" w:rsidRDefault="006E51BF">
      <w:pPr>
        <w:pStyle w:val="ARfinbodyaftertableorfigure"/>
      </w:pPr>
      <w:r w:rsidRPr="0015454D">
        <w:t>The average credit period for receivables is 30 days.</w:t>
      </w:r>
    </w:p>
    <w:p w14:paraId="4A54D672" w14:textId="77777777" w:rsidR="006E51BF" w:rsidRPr="0015454D" w:rsidRDefault="006E51BF">
      <w:pPr>
        <w:pStyle w:val="ARfinbodybeforetableorfigure"/>
      </w:pPr>
      <w:r w:rsidRPr="0015454D">
        <w:t>Reconciliation of movement in the loss allowance for contractual receivables is shown as follows:</w:t>
      </w:r>
    </w:p>
    <w:tbl>
      <w:tblPr>
        <w:tblStyle w:val="ARtable1"/>
        <w:tblW w:w="5000" w:type="pct"/>
        <w:tblLook w:val="00E0" w:firstRow="1" w:lastRow="1" w:firstColumn="1" w:lastColumn="0" w:noHBand="0" w:noVBand="0"/>
      </w:tblPr>
      <w:tblGrid>
        <w:gridCol w:w="6516"/>
        <w:gridCol w:w="1556"/>
        <w:gridCol w:w="1556"/>
      </w:tblGrid>
      <w:tr w:rsidR="006E51BF" w:rsidRPr="0015454D" w14:paraId="18320FCA" w14:textId="77777777" w:rsidTr="00304BA9">
        <w:trPr>
          <w:cnfStyle w:val="100000000000" w:firstRow="1" w:lastRow="0" w:firstColumn="0" w:lastColumn="0" w:oddVBand="0" w:evenVBand="0" w:oddHBand="0" w:evenHBand="0" w:firstRowFirstColumn="0" w:firstRowLastColumn="0" w:lastRowFirstColumn="0" w:lastRowLastColumn="0"/>
          <w:trHeight w:val="20"/>
          <w:tblHeader/>
        </w:trPr>
        <w:tc>
          <w:tcPr>
            <w:tcW w:w="3383" w:type="pct"/>
            <w:noWrap/>
          </w:tcPr>
          <w:p w14:paraId="33B3BD97" w14:textId="77777777" w:rsidR="006E51BF" w:rsidRPr="0015454D"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117D0C18" w14:textId="77777777" w:rsidR="006E51BF" w:rsidRPr="0015454D" w:rsidRDefault="006E51BF">
            <w:pPr>
              <w:pStyle w:val="ARfintablecolheadright"/>
              <w:rPr>
                <w:lang w:eastAsia="en-AU"/>
              </w:rPr>
            </w:pPr>
            <w:r w:rsidRPr="0015454D">
              <w:rPr>
                <w:lang w:eastAsia="en-AU"/>
              </w:rPr>
              <w:t>2026</w:t>
            </w:r>
          </w:p>
          <w:p w14:paraId="0545BE14" w14:textId="77777777" w:rsidR="006E51BF" w:rsidRPr="0015454D" w:rsidRDefault="006E51BF">
            <w:pPr>
              <w:pStyle w:val="ARfintablecolheadright"/>
              <w:rPr>
                <w:lang w:eastAsia="en-AU"/>
              </w:rPr>
            </w:pPr>
            <w:r w:rsidRPr="0015454D">
              <w:rPr>
                <w:lang w:eastAsia="en-AU"/>
              </w:rPr>
              <w:t>$M</w:t>
            </w:r>
          </w:p>
        </w:tc>
        <w:tc>
          <w:tcPr>
            <w:tcW w:w="808" w:type="pct"/>
            <w:noWrap/>
            <w:tcMar>
              <w:right w:w="0" w:type="nil"/>
            </w:tcMar>
            <w:hideMark/>
          </w:tcPr>
          <w:p w14:paraId="5F99B212" w14:textId="77777777" w:rsidR="006E51BF" w:rsidRPr="0015454D"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15454D">
              <w:rPr>
                <w:lang w:eastAsia="en-AU"/>
              </w:rPr>
              <w:t>2025</w:t>
            </w:r>
          </w:p>
          <w:p w14:paraId="26514E35" w14:textId="77777777" w:rsidR="006E51BF" w:rsidRPr="0015454D"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15454D">
              <w:rPr>
                <w:lang w:eastAsia="en-AU"/>
              </w:rPr>
              <w:t>$M</w:t>
            </w:r>
          </w:p>
        </w:tc>
      </w:tr>
      <w:tr w:rsidR="006E51BF" w:rsidRPr="0015454D" w14:paraId="006FA522"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53946544" w14:textId="77777777" w:rsidR="006E51BF" w:rsidRPr="0015454D" w:rsidRDefault="006E51BF">
            <w:pPr>
              <w:pStyle w:val="ARfintabletextbold"/>
              <w:rPr>
                <w:lang w:eastAsia="en-AU"/>
              </w:rPr>
            </w:pPr>
            <w:r w:rsidRPr="0015454D">
              <w:rPr>
                <w:lang w:eastAsia="en-AU"/>
              </w:rPr>
              <w:t>Balance at beginning of the year</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7EFDB3F9" w14:textId="77777777" w:rsidR="006E51BF" w:rsidRPr="0015454D" w:rsidRDefault="006E51BF">
            <w:pPr>
              <w:pStyle w:val="ARfintabletextboldright"/>
              <w:rPr>
                <w:lang w:eastAsia="en-AU"/>
              </w:rPr>
            </w:pPr>
            <w:r w:rsidRPr="0015454D">
              <w:rPr>
                <w:lang w:eastAsia="en-AU"/>
              </w:rPr>
              <w:t>(9.7)</w:t>
            </w:r>
          </w:p>
        </w:tc>
        <w:tc>
          <w:tcPr>
            <w:tcW w:w="808" w:type="pct"/>
            <w:noWrap/>
            <w:tcMar>
              <w:right w:w="0" w:type="nil"/>
            </w:tcMar>
            <w:hideMark/>
          </w:tcPr>
          <w:p w14:paraId="65EE423A" w14:textId="77777777" w:rsidR="006E51BF" w:rsidRPr="0015454D"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15454D">
              <w:rPr>
                <w:lang w:eastAsia="en-AU"/>
              </w:rPr>
              <w:t>(7.1)</w:t>
            </w:r>
          </w:p>
        </w:tc>
      </w:tr>
      <w:tr w:rsidR="006E51BF" w:rsidRPr="0015454D" w14:paraId="675B1CE0"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561EB8B5" w14:textId="77777777" w:rsidR="006E51BF" w:rsidRPr="0015454D" w:rsidRDefault="006E51BF">
            <w:pPr>
              <w:pStyle w:val="ARfintabletextbold"/>
              <w:rPr>
                <w:lang w:eastAsia="en-AU"/>
              </w:rPr>
            </w:pPr>
            <w:r w:rsidRPr="0015454D">
              <w:rPr>
                <w:lang w:eastAsia="en-AU"/>
              </w:rPr>
              <w:t>Opening loss allowance</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73A0C9CC" w14:textId="77777777" w:rsidR="006E51BF" w:rsidRPr="0015454D" w:rsidRDefault="006E51BF">
            <w:pPr>
              <w:pStyle w:val="ARfintabletextboldright"/>
              <w:rPr>
                <w:lang w:eastAsia="en-AU"/>
              </w:rPr>
            </w:pPr>
            <w:r w:rsidRPr="0015454D">
              <w:rPr>
                <w:lang w:eastAsia="en-AU"/>
              </w:rPr>
              <w:t>(9.7)</w:t>
            </w:r>
          </w:p>
        </w:tc>
        <w:tc>
          <w:tcPr>
            <w:tcW w:w="808" w:type="pct"/>
            <w:noWrap/>
            <w:tcMar>
              <w:right w:w="0" w:type="nil"/>
            </w:tcMar>
            <w:hideMark/>
          </w:tcPr>
          <w:p w14:paraId="7A6A9ECD" w14:textId="77777777" w:rsidR="006E51BF" w:rsidRPr="0015454D"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15454D">
              <w:rPr>
                <w:lang w:eastAsia="en-AU"/>
              </w:rPr>
              <w:t>(7.1)</w:t>
            </w:r>
          </w:p>
        </w:tc>
      </w:tr>
      <w:tr w:rsidR="006E51BF" w:rsidRPr="0015454D" w14:paraId="73681448"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2D6FA7B3" w14:textId="77777777" w:rsidR="006E51BF" w:rsidRPr="0015454D" w:rsidRDefault="006E51BF">
            <w:pPr>
              <w:pStyle w:val="ARfintabletext"/>
              <w:rPr>
                <w:lang w:eastAsia="en-AU"/>
              </w:rPr>
            </w:pPr>
            <w:r w:rsidRPr="0015454D">
              <w:rPr>
                <w:lang w:eastAsia="en-AU"/>
              </w:rPr>
              <w:t>Decrease/(increase) in provision recognised in the net result</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2F814E34" w14:textId="77777777" w:rsidR="006E51BF" w:rsidRPr="0015454D" w:rsidRDefault="006E51BF">
            <w:pPr>
              <w:pStyle w:val="ARfintabletextright"/>
              <w:rPr>
                <w:lang w:eastAsia="en-AU"/>
              </w:rPr>
            </w:pPr>
            <w:r w:rsidRPr="0015454D">
              <w:rPr>
                <w:lang w:eastAsia="en-AU"/>
              </w:rPr>
              <w:t>1.4</w:t>
            </w:r>
          </w:p>
        </w:tc>
        <w:tc>
          <w:tcPr>
            <w:tcW w:w="808" w:type="pct"/>
            <w:noWrap/>
            <w:tcMar>
              <w:right w:w="0" w:type="nil"/>
            </w:tcMar>
            <w:hideMark/>
          </w:tcPr>
          <w:p w14:paraId="0EA1E202" w14:textId="77777777" w:rsidR="006E51BF" w:rsidRPr="0015454D"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15454D">
              <w:rPr>
                <w:lang w:eastAsia="en-AU"/>
              </w:rPr>
              <w:t>(5.9)</w:t>
            </w:r>
          </w:p>
        </w:tc>
      </w:tr>
      <w:tr w:rsidR="006E51BF" w:rsidRPr="0015454D" w14:paraId="5E0372C3"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hideMark/>
          </w:tcPr>
          <w:p w14:paraId="7ADEF8C7" w14:textId="77777777" w:rsidR="006E51BF" w:rsidRPr="0015454D" w:rsidRDefault="006E51BF">
            <w:pPr>
              <w:pStyle w:val="ARfintabletext"/>
              <w:rPr>
                <w:lang w:eastAsia="en-AU"/>
              </w:rPr>
            </w:pPr>
            <w:r w:rsidRPr="0015454D">
              <w:rPr>
                <w:lang w:eastAsia="en-AU"/>
              </w:rPr>
              <w:t>Reversal of provision of receivables written off during the year as uncollectible</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56FAD66A" w14:textId="77777777" w:rsidR="006E51BF" w:rsidRPr="0015454D" w:rsidRDefault="006E51BF">
            <w:pPr>
              <w:pStyle w:val="ARfintabletextright"/>
              <w:rPr>
                <w:lang w:eastAsia="en-AU"/>
              </w:rPr>
            </w:pPr>
            <w:r w:rsidRPr="0015454D">
              <w:rPr>
                <w:lang w:eastAsia="en-AU"/>
              </w:rPr>
              <w:t>2.3</w:t>
            </w:r>
          </w:p>
        </w:tc>
        <w:tc>
          <w:tcPr>
            <w:tcW w:w="808" w:type="pct"/>
            <w:noWrap/>
            <w:tcMar>
              <w:right w:w="0" w:type="nil"/>
            </w:tcMar>
            <w:hideMark/>
          </w:tcPr>
          <w:p w14:paraId="70007E8A" w14:textId="77777777" w:rsidR="006E51BF" w:rsidRPr="0015454D"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15454D">
              <w:rPr>
                <w:lang w:eastAsia="en-AU"/>
              </w:rPr>
              <w:t>3.3</w:t>
            </w:r>
          </w:p>
        </w:tc>
      </w:tr>
      <w:tr w:rsidR="006E51BF" w:rsidRPr="0015454D" w14:paraId="061BD892"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3383" w:type="pct"/>
            <w:noWrap/>
            <w:hideMark/>
          </w:tcPr>
          <w:p w14:paraId="45567BC8" w14:textId="77777777" w:rsidR="006E51BF" w:rsidRPr="0015454D" w:rsidRDefault="006E51BF">
            <w:pPr>
              <w:pStyle w:val="ARfintabletextbold"/>
              <w:rPr>
                <w:lang w:eastAsia="en-AU"/>
              </w:rPr>
            </w:pPr>
            <w:r w:rsidRPr="0015454D">
              <w:rPr>
                <w:lang w:eastAsia="en-AU"/>
              </w:rPr>
              <w:t>Balance at the end of the year</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21D77270" w14:textId="77777777" w:rsidR="006E51BF" w:rsidRPr="0015454D" w:rsidRDefault="006E51BF">
            <w:pPr>
              <w:pStyle w:val="ARfintabletextboldright"/>
              <w:rPr>
                <w:lang w:eastAsia="en-AU"/>
              </w:rPr>
            </w:pPr>
            <w:r w:rsidRPr="0015454D">
              <w:rPr>
                <w:lang w:eastAsia="en-AU"/>
              </w:rPr>
              <w:t>(6.0)</w:t>
            </w:r>
          </w:p>
        </w:tc>
        <w:tc>
          <w:tcPr>
            <w:tcW w:w="808" w:type="pct"/>
            <w:noWrap/>
            <w:tcMar>
              <w:right w:w="0" w:type="nil"/>
            </w:tcMar>
            <w:hideMark/>
          </w:tcPr>
          <w:p w14:paraId="614DF0CD" w14:textId="77777777" w:rsidR="006E51BF" w:rsidRPr="0015454D"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15454D">
              <w:rPr>
                <w:lang w:eastAsia="en-AU"/>
              </w:rPr>
              <w:t>(9.7)</w:t>
            </w:r>
          </w:p>
        </w:tc>
      </w:tr>
    </w:tbl>
    <w:p w14:paraId="75500252" w14:textId="77777777" w:rsidR="006E51BF" w:rsidRPr="001D040D" w:rsidRDefault="006E51BF">
      <w:pPr>
        <w:pStyle w:val="ARfinbodyaftertableorfigure"/>
      </w:pPr>
      <w:r w:rsidRPr="001D040D">
        <w:t xml:space="preserve">Credit loss </w:t>
      </w:r>
      <w:r w:rsidRPr="00E10132">
        <w:t>allowance</w:t>
      </w:r>
      <w:r w:rsidRPr="001D040D">
        <w:t xml:space="preserve"> is classified as other economic flows in the net result. Contractual receivables are written off when there is no reasonable expectation of recovery and impairment losses are classified as a transaction expense. Subsequent recoveries of amounts previously written off are credited against the same line item.</w:t>
      </w:r>
    </w:p>
    <w:p w14:paraId="19760737" w14:textId="77777777" w:rsidR="006E51BF" w:rsidRPr="006855DE" w:rsidRDefault="006E51BF">
      <w:pPr>
        <w:pStyle w:val="Heading8"/>
      </w:pPr>
      <w:r w:rsidRPr="001D040D">
        <w:t>Statutory receivables at amortised cost</w:t>
      </w:r>
    </w:p>
    <w:p w14:paraId="5FFF9388" w14:textId="77777777" w:rsidR="006E51BF" w:rsidRDefault="006E51BF">
      <w:pPr>
        <w:pStyle w:val="ARfinbody"/>
        <w:rPr>
          <w:lang w:eastAsia="en-AU"/>
        </w:rPr>
      </w:pPr>
      <w:r w:rsidRPr="001D040D">
        <w:rPr>
          <w:lang w:eastAsia="en-AU"/>
        </w:rPr>
        <w:t>The department's non-contractual receivables arising from statutory requirements are not financial instruments. However, they are nevertheless recognised and measured in accordance with AASB 9 requirements as if those receivables are financial instruments.</w:t>
      </w:r>
    </w:p>
    <w:p w14:paraId="6ACBBE57" w14:textId="6D086A69" w:rsidR="006E51BF" w:rsidRPr="001D040D" w:rsidRDefault="006E51BF">
      <w:pPr>
        <w:pStyle w:val="ARfinbody"/>
        <w:rPr>
          <w:lang w:eastAsia="en-AU"/>
        </w:rPr>
      </w:pPr>
      <w:r w:rsidRPr="001D040D">
        <w:rPr>
          <w:lang w:eastAsia="en-AU"/>
        </w:rPr>
        <w:t xml:space="preserve">Statutory receivables are considered to have low credit risk, </w:t>
      </w:r>
      <w:proofErr w:type="gramStart"/>
      <w:r w:rsidRPr="001D040D">
        <w:rPr>
          <w:lang w:eastAsia="en-AU"/>
        </w:rPr>
        <w:t>taking into account</w:t>
      </w:r>
      <w:proofErr w:type="gramEnd"/>
      <w:r w:rsidRPr="001D040D">
        <w:rPr>
          <w:lang w:eastAsia="en-AU"/>
        </w:rPr>
        <w:t xml:space="preserve"> the counterparty's credit rating, </w:t>
      </w:r>
      <w:r w:rsidR="00F77100">
        <w:rPr>
          <w:lang w:eastAsia="en-AU"/>
        </w:rPr>
        <w:br/>
      </w:r>
      <w:r w:rsidRPr="001D040D">
        <w:rPr>
          <w:lang w:eastAsia="en-AU"/>
        </w:rPr>
        <w:t>risk of default and capacity to meet contractual cash flow obligations in the near term. As a result, the loss allowance recognised for these financial assets during the period was limited to 12 months of expected losses. No loss allowance has been recognised.</w:t>
      </w:r>
    </w:p>
    <w:p w14:paraId="25520C10" w14:textId="77777777" w:rsidR="006E51BF" w:rsidRPr="00290B92" w:rsidRDefault="006E51BF">
      <w:pPr>
        <w:pStyle w:val="Heading6"/>
      </w:pPr>
      <w:r w:rsidRPr="00290B92">
        <w:t>8.1.3.2 Financial instruments: market risk</w:t>
      </w:r>
    </w:p>
    <w:p w14:paraId="57A59069" w14:textId="77777777" w:rsidR="006E51BF" w:rsidRPr="00E10132" w:rsidRDefault="006E51BF">
      <w:pPr>
        <w:pStyle w:val="ARfinbody"/>
      </w:pPr>
      <w:r w:rsidRPr="00290B92">
        <w:rPr>
          <w:lang w:eastAsia="en-AU"/>
        </w:rPr>
        <w:t xml:space="preserve">The department’s exposure to market risk is primarily through interest rate risk. The department's exposure to </w:t>
      </w:r>
      <w:r w:rsidRPr="00E10132">
        <w:t>other price risks is insignificant. Objectives, policies and processes used to manage the risk are disclosed below.</w:t>
      </w:r>
    </w:p>
    <w:p w14:paraId="05A1FABE" w14:textId="77777777" w:rsidR="006E51BF" w:rsidRPr="00290B92" w:rsidRDefault="006E51BF">
      <w:pPr>
        <w:pStyle w:val="ARfinbody"/>
        <w:rPr>
          <w:lang w:eastAsia="en-AU"/>
        </w:rPr>
      </w:pPr>
      <w:r w:rsidRPr="00E10132">
        <w:t>The tables that follow show the impact on the department’s net result and equity for each category of financial</w:t>
      </w:r>
      <w:r w:rsidRPr="00290B92">
        <w:rPr>
          <w:lang w:eastAsia="en-AU"/>
        </w:rPr>
        <w:t xml:space="preserve"> instrument held by the department at the end of the reporting period, if the above movements were to occur.</w:t>
      </w:r>
    </w:p>
    <w:p w14:paraId="321D0266" w14:textId="77777777" w:rsidR="006E51BF" w:rsidRPr="00290B92" w:rsidRDefault="006E51BF">
      <w:pPr>
        <w:pStyle w:val="Heading7"/>
        <w:rPr>
          <w:lang w:eastAsia="en-AU"/>
        </w:rPr>
      </w:pPr>
      <w:r w:rsidRPr="00290B92">
        <w:rPr>
          <w:lang w:eastAsia="en-AU"/>
        </w:rPr>
        <w:t>Interest rate risk</w:t>
      </w:r>
    </w:p>
    <w:p w14:paraId="1DF1BF73" w14:textId="77777777" w:rsidR="006E51BF" w:rsidRPr="00E10132" w:rsidRDefault="006E51BF">
      <w:pPr>
        <w:pStyle w:val="ARfinbody"/>
      </w:pPr>
      <w:r w:rsidRPr="00E10132">
        <w:t>Cash flow interest rate risk is the risk that the future cash flows of a financial instrument will fluctuate because of changes in market interest rates. The department has minimal exposure to cash flow interest rate risks through cash and deposits and short-term deposits.</w:t>
      </w:r>
    </w:p>
    <w:p w14:paraId="5E4A61B0" w14:textId="77777777" w:rsidR="006E51BF" w:rsidRDefault="006E51BF">
      <w:pPr>
        <w:pStyle w:val="ARfinbody"/>
      </w:pPr>
      <w:r w:rsidRPr="00E10132">
        <w:t>Interest rate exposures are insignificant and arise predominantly from liabilities bearing variable interest rates.</w:t>
      </w:r>
    </w:p>
    <w:p w14:paraId="3CDF28A4" w14:textId="77777777" w:rsidR="006E51BF" w:rsidRPr="00290B92" w:rsidRDefault="006E51BF">
      <w:pPr>
        <w:pStyle w:val="ARfinbody"/>
        <w:rPr>
          <w:lang w:eastAsia="en-AU"/>
        </w:rPr>
      </w:pPr>
      <w:r w:rsidRPr="00E10132">
        <w:t>Th</w:t>
      </w:r>
      <w:r w:rsidRPr="00290B92">
        <w:rPr>
          <w:lang w:eastAsia="en-AU"/>
        </w:rPr>
        <w:t>e carrying amounts of financial assets and financial liabilities that are exposed to interest rates and the department's sensitivity to interest rate risk are set out in the table that follows.</w:t>
      </w:r>
    </w:p>
    <w:p w14:paraId="5826EAC7" w14:textId="77777777" w:rsidR="006E51BF" w:rsidRPr="00290B92" w:rsidRDefault="006E51BF">
      <w:pPr>
        <w:pStyle w:val="Heading7"/>
        <w:rPr>
          <w:lang w:eastAsia="en-AU"/>
        </w:rPr>
      </w:pPr>
      <w:r w:rsidRPr="00290B92">
        <w:rPr>
          <w:lang w:eastAsia="en-AU"/>
        </w:rPr>
        <w:t>Interest rate exposure of financial instruments</w:t>
      </w:r>
    </w:p>
    <w:tbl>
      <w:tblPr>
        <w:tblStyle w:val="ARtable1"/>
        <w:tblW w:w="5000" w:type="pct"/>
        <w:tblLook w:val="00E0" w:firstRow="1" w:lastRow="1" w:firstColumn="1" w:lastColumn="0" w:noHBand="0" w:noVBand="0"/>
      </w:tblPr>
      <w:tblGrid>
        <w:gridCol w:w="2550"/>
        <w:gridCol w:w="1273"/>
        <w:gridCol w:w="1273"/>
        <w:gridCol w:w="1510"/>
        <w:gridCol w:w="1510"/>
        <w:gridCol w:w="1512"/>
      </w:tblGrid>
      <w:tr w:rsidR="006E51BF" w:rsidRPr="00290B92" w14:paraId="5E3EC50D" w14:textId="77777777" w:rsidTr="00304BA9">
        <w:trPr>
          <w:cnfStyle w:val="100000000000" w:firstRow="1" w:lastRow="0" w:firstColumn="0" w:lastColumn="0" w:oddVBand="0" w:evenVBand="0" w:oddHBand="0" w:evenHBand="0" w:firstRowFirstColumn="0" w:firstRowLastColumn="0" w:lastRowFirstColumn="0" w:lastRowLastColumn="0"/>
          <w:trHeight w:val="1205"/>
          <w:tblHeader/>
        </w:trPr>
        <w:tc>
          <w:tcPr>
            <w:tcW w:w="1324" w:type="pct"/>
          </w:tcPr>
          <w:p w14:paraId="6E1F39A2" w14:textId="77777777" w:rsidR="006E51BF" w:rsidRPr="00290B92"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661" w:type="pct"/>
            <w:tcMar>
              <w:right w:w="0" w:type="nil"/>
            </w:tcMar>
          </w:tcPr>
          <w:p w14:paraId="3EF2E9FF" w14:textId="77777777" w:rsidR="006E51BF" w:rsidRPr="00290B92" w:rsidRDefault="006E51BF">
            <w:pPr>
              <w:pStyle w:val="ARfintablecolheadright"/>
              <w:rPr>
                <w:lang w:eastAsia="en-AU"/>
              </w:rPr>
            </w:pPr>
            <w:r w:rsidRPr="00290B92">
              <w:rPr>
                <w:lang w:eastAsia="en-AU"/>
              </w:rPr>
              <w:t>Weighted average effective interest rate</w:t>
            </w:r>
          </w:p>
          <w:p w14:paraId="0807B614" w14:textId="77777777" w:rsidR="006E51BF" w:rsidRPr="00290B92" w:rsidRDefault="006E51BF">
            <w:pPr>
              <w:pStyle w:val="ARfintablecolheadright"/>
              <w:rPr>
                <w:lang w:eastAsia="en-AU"/>
              </w:rPr>
            </w:pPr>
            <w:r w:rsidRPr="00290B92">
              <w:rPr>
                <w:lang w:eastAsia="en-AU"/>
              </w:rPr>
              <w:t>(%)</w:t>
            </w:r>
          </w:p>
        </w:tc>
        <w:tc>
          <w:tcPr>
            <w:tcW w:w="661" w:type="pct"/>
            <w:tcMar>
              <w:right w:w="0" w:type="nil"/>
            </w:tcMar>
          </w:tcPr>
          <w:p w14:paraId="2AE0D9F6" w14:textId="77777777" w:rsidR="006E51BF" w:rsidRPr="00290B92"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290B92">
              <w:rPr>
                <w:lang w:eastAsia="en-AU"/>
              </w:rPr>
              <w:t>Carrying amount</w:t>
            </w:r>
          </w:p>
          <w:p w14:paraId="0F166ACB" w14:textId="77777777" w:rsidR="006E51BF" w:rsidRPr="00290B92"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290B92">
              <w:rPr>
                <w:lang w:eastAsia="en-AU"/>
              </w:rPr>
              <w:t>$M</w:t>
            </w:r>
          </w:p>
        </w:tc>
        <w:tc>
          <w:tcPr>
            <w:cnfStyle w:val="000001000000" w:firstRow="0" w:lastRow="0" w:firstColumn="0" w:lastColumn="0" w:oddVBand="0" w:evenVBand="1" w:oddHBand="0" w:evenHBand="0" w:firstRowFirstColumn="0" w:firstRowLastColumn="0" w:lastRowFirstColumn="0" w:lastRowLastColumn="0"/>
            <w:tcW w:w="784" w:type="pct"/>
            <w:tcBorders>
              <w:top w:val="single" w:sz="4" w:space="0" w:color="000000" w:themeColor="text1"/>
            </w:tcBorders>
            <w:tcMar>
              <w:right w:w="0" w:type="nil"/>
            </w:tcMar>
          </w:tcPr>
          <w:p w14:paraId="4BB41144" w14:textId="6F72DABA" w:rsidR="00D12D22" w:rsidRDefault="00D12D22">
            <w:pPr>
              <w:pStyle w:val="ARfintablecolheadright"/>
              <w:rPr>
                <w:lang w:eastAsia="en-AU"/>
              </w:rPr>
            </w:pPr>
            <w:r w:rsidRPr="00290B92">
              <w:rPr>
                <w:lang w:eastAsia="en-AU"/>
              </w:rPr>
              <w:t>Interest rate exposure</w:t>
            </w:r>
          </w:p>
          <w:p w14:paraId="6A0B989A" w14:textId="53B46C85" w:rsidR="006E51BF" w:rsidRPr="00290B92" w:rsidRDefault="006E51BF">
            <w:pPr>
              <w:pStyle w:val="ARfintablecolheadright"/>
              <w:rPr>
                <w:lang w:eastAsia="en-AU"/>
              </w:rPr>
            </w:pPr>
            <w:r w:rsidRPr="00290B92">
              <w:rPr>
                <w:lang w:eastAsia="en-AU"/>
              </w:rPr>
              <w:t>Fixed interest rate</w:t>
            </w:r>
          </w:p>
          <w:p w14:paraId="59EA4840" w14:textId="77777777" w:rsidR="006E51BF" w:rsidRPr="00290B92" w:rsidRDefault="006E51BF">
            <w:pPr>
              <w:pStyle w:val="ARfintablecolheadright"/>
              <w:rPr>
                <w:lang w:eastAsia="en-AU"/>
              </w:rPr>
            </w:pPr>
            <w:r w:rsidRPr="00290B92">
              <w:rPr>
                <w:lang w:eastAsia="en-AU"/>
              </w:rPr>
              <w:t>$M</w:t>
            </w:r>
          </w:p>
        </w:tc>
        <w:tc>
          <w:tcPr>
            <w:tcW w:w="784" w:type="pct"/>
            <w:tcBorders>
              <w:top w:val="single" w:sz="4" w:space="0" w:color="000000" w:themeColor="text1"/>
            </w:tcBorders>
            <w:shd w:val="clear" w:color="auto" w:fill="E7E6E6" w:themeFill="background2"/>
            <w:tcMar>
              <w:right w:w="0" w:type="nil"/>
            </w:tcMar>
          </w:tcPr>
          <w:p w14:paraId="7137BB25" w14:textId="243E0C15" w:rsidR="00D12D22" w:rsidRDefault="00D12D22">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290B92">
              <w:rPr>
                <w:lang w:eastAsia="en-AU"/>
              </w:rPr>
              <w:t>Interest rate exposure</w:t>
            </w:r>
          </w:p>
          <w:p w14:paraId="0BE2A634" w14:textId="56074D92" w:rsidR="006E51BF" w:rsidRPr="00290B92"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290B92">
              <w:rPr>
                <w:lang w:eastAsia="en-AU"/>
              </w:rPr>
              <w:t>Variable interest rate</w:t>
            </w:r>
          </w:p>
          <w:p w14:paraId="110EE266" w14:textId="77777777" w:rsidR="006E51BF" w:rsidRPr="00290B92"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290B92">
              <w:rPr>
                <w:lang w:eastAsia="en-AU"/>
              </w:rPr>
              <w:t>$M</w:t>
            </w:r>
          </w:p>
        </w:tc>
        <w:tc>
          <w:tcPr>
            <w:cnfStyle w:val="000001000000" w:firstRow="0" w:lastRow="0" w:firstColumn="0" w:lastColumn="0" w:oddVBand="0" w:evenVBand="1" w:oddHBand="0" w:evenHBand="0" w:firstRowFirstColumn="0" w:firstRowLastColumn="0" w:lastRowFirstColumn="0" w:lastRowLastColumn="0"/>
            <w:tcW w:w="785" w:type="pct"/>
            <w:tcBorders>
              <w:top w:val="single" w:sz="4" w:space="0" w:color="000000" w:themeColor="text1"/>
            </w:tcBorders>
            <w:tcMar>
              <w:right w:w="0" w:type="nil"/>
            </w:tcMar>
          </w:tcPr>
          <w:p w14:paraId="3CEB0501" w14:textId="7B623480" w:rsidR="00D12D22" w:rsidRDefault="00D12D22">
            <w:pPr>
              <w:pStyle w:val="ARfintablecolheadright"/>
              <w:rPr>
                <w:lang w:eastAsia="en-AU"/>
              </w:rPr>
            </w:pPr>
            <w:r w:rsidRPr="00290B92">
              <w:rPr>
                <w:lang w:eastAsia="en-AU"/>
              </w:rPr>
              <w:t>Interest rate exposure</w:t>
            </w:r>
          </w:p>
          <w:p w14:paraId="03101DCD" w14:textId="021363DF" w:rsidR="006E51BF" w:rsidRPr="00290B92" w:rsidRDefault="006E51BF">
            <w:pPr>
              <w:pStyle w:val="ARfintablecolheadright"/>
              <w:rPr>
                <w:lang w:eastAsia="en-AU"/>
              </w:rPr>
            </w:pPr>
            <w:r w:rsidRPr="00290B92">
              <w:rPr>
                <w:lang w:eastAsia="en-AU"/>
              </w:rPr>
              <w:t>Non-interest bearing</w:t>
            </w:r>
          </w:p>
          <w:p w14:paraId="1C540489" w14:textId="77777777" w:rsidR="006E51BF" w:rsidRPr="00290B92" w:rsidRDefault="006E51BF">
            <w:pPr>
              <w:pStyle w:val="ARfintablecolheadright"/>
              <w:rPr>
                <w:lang w:eastAsia="en-AU"/>
              </w:rPr>
            </w:pPr>
            <w:r w:rsidRPr="00290B92">
              <w:rPr>
                <w:lang w:eastAsia="en-AU"/>
              </w:rPr>
              <w:t>$M</w:t>
            </w:r>
          </w:p>
        </w:tc>
      </w:tr>
      <w:tr w:rsidR="006E51BF" w:rsidRPr="00290B92" w14:paraId="16F59F06" w14:textId="77777777" w:rsidTr="00304BA9">
        <w:trPr>
          <w:cnfStyle w:val="000000100000" w:firstRow="0" w:lastRow="0" w:firstColumn="0" w:lastColumn="0" w:oddVBand="0" w:evenVBand="0" w:oddHBand="1" w:evenHBand="0" w:firstRowFirstColumn="0" w:firstRowLastColumn="0" w:lastRowFirstColumn="0" w:lastRowLastColumn="0"/>
          <w:trHeight w:val="270"/>
        </w:trPr>
        <w:tc>
          <w:tcPr>
            <w:tcW w:w="1324" w:type="pct"/>
            <w:noWrap/>
          </w:tcPr>
          <w:p w14:paraId="291A66EE" w14:textId="77777777" w:rsidR="006E51BF" w:rsidRPr="00290B92" w:rsidRDefault="006E51BF">
            <w:pPr>
              <w:pStyle w:val="ARfintabletextboldcoloured"/>
              <w:rPr>
                <w:lang w:eastAsia="en-AU"/>
              </w:rPr>
            </w:pPr>
            <w:r w:rsidRPr="00290B92">
              <w:rPr>
                <w:lang w:eastAsia="en-AU"/>
              </w:rPr>
              <w:t>2026</w:t>
            </w:r>
          </w:p>
        </w:tc>
        <w:tc>
          <w:tcPr>
            <w:cnfStyle w:val="000001000000" w:firstRow="0" w:lastRow="0" w:firstColumn="0" w:lastColumn="0" w:oddVBand="0" w:evenVBand="1" w:oddHBand="0" w:evenHBand="0" w:firstRowFirstColumn="0" w:firstRowLastColumn="0" w:lastRowFirstColumn="0" w:lastRowLastColumn="0"/>
            <w:tcW w:w="661" w:type="pct"/>
            <w:shd w:val="clear" w:color="auto" w:fill="auto"/>
            <w:noWrap/>
            <w:tcMar>
              <w:right w:w="0" w:type="nil"/>
            </w:tcMar>
          </w:tcPr>
          <w:p w14:paraId="74EB7ED1" w14:textId="77777777" w:rsidR="006E51BF" w:rsidRPr="00290B92" w:rsidRDefault="006E51BF">
            <w:pPr>
              <w:pStyle w:val="ARfintabletextright"/>
              <w:rPr>
                <w:lang w:eastAsia="en-AU"/>
              </w:rPr>
            </w:pPr>
          </w:p>
        </w:tc>
        <w:tc>
          <w:tcPr>
            <w:tcW w:w="661" w:type="pct"/>
            <w:noWrap/>
            <w:tcMar>
              <w:right w:w="0" w:type="nil"/>
            </w:tcMar>
          </w:tcPr>
          <w:p w14:paraId="096D0746"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784" w:type="pct"/>
            <w:shd w:val="clear" w:color="auto" w:fill="auto"/>
            <w:noWrap/>
            <w:tcMar>
              <w:right w:w="0" w:type="nil"/>
            </w:tcMar>
          </w:tcPr>
          <w:p w14:paraId="36BCB8E9" w14:textId="77777777" w:rsidR="006E51BF" w:rsidRPr="00290B92" w:rsidRDefault="006E51BF">
            <w:pPr>
              <w:pStyle w:val="ARfintabletextright"/>
              <w:rPr>
                <w:lang w:eastAsia="en-AU"/>
              </w:rPr>
            </w:pPr>
          </w:p>
        </w:tc>
        <w:tc>
          <w:tcPr>
            <w:tcW w:w="784" w:type="pct"/>
            <w:noWrap/>
            <w:tcMar>
              <w:right w:w="0" w:type="nil"/>
            </w:tcMar>
          </w:tcPr>
          <w:p w14:paraId="010E8A21"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785" w:type="pct"/>
            <w:shd w:val="clear" w:color="auto" w:fill="auto"/>
            <w:noWrap/>
            <w:tcMar>
              <w:right w:w="0" w:type="nil"/>
            </w:tcMar>
          </w:tcPr>
          <w:p w14:paraId="25D5D268" w14:textId="77777777" w:rsidR="006E51BF" w:rsidRPr="00290B92" w:rsidRDefault="006E51BF">
            <w:pPr>
              <w:pStyle w:val="ARfintabletextright"/>
              <w:rPr>
                <w:lang w:eastAsia="en-AU"/>
              </w:rPr>
            </w:pPr>
          </w:p>
        </w:tc>
      </w:tr>
      <w:tr w:rsidR="006E51BF" w:rsidRPr="00290B92" w14:paraId="105D1941" w14:textId="77777777" w:rsidTr="00304BA9">
        <w:trPr>
          <w:cnfStyle w:val="000000010000" w:firstRow="0" w:lastRow="0" w:firstColumn="0" w:lastColumn="0" w:oddVBand="0" w:evenVBand="0" w:oddHBand="0" w:evenHBand="1" w:firstRowFirstColumn="0" w:firstRowLastColumn="0" w:lastRowFirstColumn="0" w:lastRowLastColumn="0"/>
          <w:trHeight w:val="270"/>
        </w:trPr>
        <w:tc>
          <w:tcPr>
            <w:tcW w:w="1324" w:type="pct"/>
            <w:noWrap/>
            <w:hideMark/>
          </w:tcPr>
          <w:p w14:paraId="67E273D8" w14:textId="77777777" w:rsidR="006E51BF" w:rsidRPr="00290B92" w:rsidRDefault="006E51BF">
            <w:pPr>
              <w:pStyle w:val="ARfintabletextbold"/>
              <w:rPr>
                <w:lang w:eastAsia="en-AU"/>
              </w:rPr>
            </w:pPr>
            <w:r w:rsidRPr="00290B92">
              <w:rPr>
                <w:lang w:eastAsia="en-AU"/>
              </w:rPr>
              <w:t>Financial assets</w:t>
            </w:r>
          </w:p>
        </w:tc>
        <w:tc>
          <w:tcPr>
            <w:cnfStyle w:val="000001000000" w:firstRow="0" w:lastRow="0" w:firstColumn="0" w:lastColumn="0" w:oddVBand="0" w:evenVBand="1" w:oddHBand="0" w:evenHBand="0" w:firstRowFirstColumn="0" w:firstRowLastColumn="0" w:lastRowFirstColumn="0" w:lastRowLastColumn="0"/>
            <w:tcW w:w="661" w:type="pct"/>
            <w:shd w:val="clear" w:color="auto" w:fill="auto"/>
            <w:noWrap/>
            <w:tcMar>
              <w:right w:w="0" w:type="nil"/>
            </w:tcMar>
            <w:hideMark/>
          </w:tcPr>
          <w:p w14:paraId="758312AC" w14:textId="77777777" w:rsidR="006E51BF" w:rsidRPr="00290B92" w:rsidRDefault="006E51BF">
            <w:pPr>
              <w:pStyle w:val="ARfintabletextright"/>
              <w:rPr>
                <w:lang w:eastAsia="en-AU"/>
              </w:rPr>
            </w:pPr>
            <w:r w:rsidRPr="00290B92">
              <w:rPr>
                <w:lang w:eastAsia="en-AU"/>
              </w:rPr>
              <w:t> </w:t>
            </w:r>
          </w:p>
        </w:tc>
        <w:tc>
          <w:tcPr>
            <w:tcW w:w="661" w:type="pct"/>
            <w:noWrap/>
            <w:tcMar>
              <w:right w:w="0" w:type="nil"/>
            </w:tcMar>
            <w:hideMark/>
          </w:tcPr>
          <w:p w14:paraId="407059E7" w14:textId="77777777" w:rsidR="006E51BF" w:rsidRPr="00290B92"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784" w:type="pct"/>
            <w:shd w:val="clear" w:color="auto" w:fill="auto"/>
            <w:noWrap/>
            <w:tcMar>
              <w:right w:w="0" w:type="nil"/>
            </w:tcMar>
            <w:hideMark/>
          </w:tcPr>
          <w:p w14:paraId="3135D1DA" w14:textId="77777777" w:rsidR="006E51BF" w:rsidRPr="00290B92" w:rsidRDefault="006E51BF">
            <w:pPr>
              <w:pStyle w:val="ARfintabletextright"/>
              <w:rPr>
                <w:lang w:eastAsia="en-AU"/>
              </w:rPr>
            </w:pPr>
          </w:p>
        </w:tc>
        <w:tc>
          <w:tcPr>
            <w:tcW w:w="784" w:type="pct"/>
            <w:noWrap/>
            <w:tcMar>
              <w:right w:w="0" w:type="nil"/>
            </w:tcMar>
            <w:hideMark/>
          </w:tcPr>
          <w:p w14:paraId="78C0775A" w14:textId="77777777" w:rsidR="006E51BF" w:rsidRPr="00290B92"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785" w:type="pct"/>
            <w:shd w:val="clear" w:color="auto" w:fill="auto"/>
            <w:noWrap/>
            <w:tcMar>
              <w:right w:w="0" w:type="nil"/>
            </w:tcMar>
            <w:hideMark/>
          </w:tcPr>
          <w:p w14:paraId="0AAFABC3" w14:textId="77777777" w:rsidR="006E51BF" w:rsidRPr="00290B92" w:rsidRDefault="006E51BF">
            <w:pPr>
              <w:pStyle w:val="ARfintabletextright"/>
              <w:rPr>
                <w:lang w:eastAsia="en-AU"/>
              </w:rPr>
            </w:pPr>
          </w:p>
        </w:tc>
      </w:tr>
      <w:tr w:rsidR="006E51BF" w:rsidRPr="00290B92" w14:paraId="12F3BDC0" w14:textId="77777777" w:rsidTr="00304BA9">
        <w:trPr>
          <w:cnfStyle w:val="000000100000" w:firstRow="0" w:lastRow="0" w:firstColumn="0" w:lastColumn="0" w:oddVBand="0" w:evenVBand="0" w:oddHBand="1" w:evenHBand="0" w:firstRowFirstColumn="0" w:firstRowLastColumn="0" w:lastRowFirstColumn="0" w:lastRowLastColumn="0"/>
          <w:trHeight w:val="270"/>
        </w:trPr>
        <w:tc>
          <w:tcPr>
            <w:tcW w:w="1324" w:type="pct"/>
            <w:noWrap/>
            <w:hideMark/>
          </w:tcPr>
          <w:p w14:paraId="5E9E9C0B" w14:textId="77777777" w:rsidR="006E51BF" w:rsidRPr="00290B92" w:rsidRDefault="006E51BF">
            <w:pPr>
              <w:pStyle w:val="ARfintabletext"/>
              <w:rPr>
                <w:lang w:eastAsia="en-AU"/>
              </w:rPr>
            </w:pPr>
            <w:r w:rsidRPr="00290B92">
              <w:rPr>
                <w:lang w:eastAsia="en-AU"/>
              </w:rPr>
              <w:t>Cash and deposits</w:t>
            </w:r>
          </w:p>
        </w:tc>
        <w:tc>
          <w:tcPr>
            <w:cnfStyle w:val="000001000000" w:firstRow="0" w:lastRow="0" w:firstColumn="0" w:lastColumn="0" w:oddVBand="0" w:evenVBand="1" w:oddHBand="0" w:evenHBand="0" w:firstRowFirstColumn="0" w:firstRowLastColumn="0" w:lastRowFirstColumn="0" w:lastRowLastColumn="0"/>
            <w:tcW w:w="661" w:type="pct"/>
            <w:noWrap/>
            <w:tcMar>
              <w:right w:w="0" w:type="nil"/>
            </w:tcMar>
            <w:hideMark/>
          </w:tcPr>
          <w:p w14:paraId="05D52C24" w14:textId="77777777" w:rsidR="006E51BF" w:rsidRPr="00290B92" w:rsidRDefault="006E51BF">
            <w:pPr>
              <w:pStyle w:val="ARfintabletextright"/>
              <w:rPr>
                <w:lang w:eastAsia="en-AU"/>
              </w:rPr>
            </w:pPr>
            <w:r w:rsidRPr="00290B92">
              <w:rPr>
                <w:lang w:eastAsia="en-AU"/>
              </w:rPr>
              <w:t>4.1%</w:t>
            </w:r>
          </w:p>
        </w:tc>
        <w:tc>
          <w:tcPr>
            <w:tcW w:w="661" w:type="pct"/>
            <w:noWrap/>
            <w:tcMar>
              <w:right w:w="0" w:type="nil"/>
            </w:tcMar>
            <w:hideMark/>
          </w:tcPr>
          <w:p w14:paraId="5E0B01E5"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290B92">
              <w:rPr>
                <w:lang w:eastAsia="en-AU"/>
              </w:rPr>
              <w:t>994.2</w:t>
            </w:r>
          </w:p>
        </w:tc>
        <w:tc>
          <w:tcPr>
            <w:cnfStyle w:val="000001000000" w:firstRow="0" w:lastRow="0" w:firstColumn="0" w:lastColumn="0" w:oddVBand="0" w:evenVBand="1" w:oddHBand="0" w:evenHBand="0" w:firstRowFirstColumn="0" w:firstRowLastColumn="0" w:lastRowFirstColumn="0" w:lastRowLastColumn="0"/>
            <w:tcW w:w="784" w:type="pct"/>
            <w:noWrap/>
            <w:tcMar>
              <w:right w:w="0" w:type="nil"/>
            </w:tcMar>
            <w:hideMark/>
          </w:tcPr>
          <w:p w14:paraId="67549D75" w14:textId="77777777" w:rsidR="006E51BF" w:rsidRPr="00290B92" w:rsidRDefault="006E51BF">
            <w:pPr>
              <w:pStyle w:val="ARfintabletextright"/>
              <w:rPr>
                <w:lang w:eastAsia="en-AU"/>
              </w:rPr>
            </w:pPr>
            <w:r>
              <w:rPr>
                <w:lang w:eastAsia="en-AU"/>
              </w:rPr>
              <w:t>–</w:t>
            </w:r>
          </w:p>
        </w:tc>
        <w:tc>
          <w:tcPr>
            <w:tcW w:w="784" w:type="pct"/>
            <w:shd w:val="clear" w:color="auto" w:fill="E7E6E6" w:themeFill="background2"/>
            <w:noWrap/>
            <w:tcMar>
              <w:right w:w="0" w:type="nil"/>
            </w:tcMar>
            <w:hideMark/>
          </w:tcPr>
          <w:p w14:paraId="34298798"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290B92">
              <w:rPr>
                <w:lang w:eastAsia="en-AU"/>
              </w:rPr>
              <w:t>921.7</w:t>
            </w:r>
          </w:p>
        </w:tc>
        <w:tc>
          <w:tcPr>
            <w:cnfStyle w:val="000001000000" w:firstRow="0" w:lastRow="0" w:firstColumn="0" w:lastColumn="0" w:oddVBand="0" w:evenVBand="1" w:oddHBand="0" w:evenHBand="0" w:firstRowFirstColumn="0" w:firstRowLastColumn="0" w:lastRowFirstColumn="0" w:lastRowLastColumn="0"/>
            <w:tcW w:w="785" w:type="pct"/>
            <w:noWrap/>
            <w:tcMar>
              <w:right w:w="0" w:type="nil"/>
            </w:tcMar>
            <w:hideMark/>
          </w:tcPr>
          <w:p w14:paraId="38438FE3" w14:textId="77777777" w:rsidR="006E51BF" w:rsidRPr="00290B92" w:rsidRDefault="006E51BF">
            <w:pPr>
              <w:pStyle w:val="ARfintabletextright"/>
              <w:rPr>
                <w:lang w:eastAsia="en-AU"/>
              </w:rPr>
            </w:pPr>
            <w:r w:rsidRPr="00290B92">
              <w:rPr>
                <w:lang w:eastAsia="en-AU"/>
              </w:rPr>
              <w:t>72.5</w:t>
            </w:r>
          </w:p>
        </w:tc>
      </w:tr>
      <w:tr w:rsidR="006E51BF" w:rsidRPr="00290B92" w14:paraId="351ED7F8" w14:textId="77777777" w:rsidTr="00304BA9">
        <w:trPr>
          <w:cnfStyle w:val="000000010000" w:firstRow="0" w:lastRow="0" w:firstColumn="0" w:lastColumn="0" w:oddVBand="0" w:evenVBand="0" w:oddHBand="0" w:evenHBand="1" w:firstRowFirstColumn="0" w:firstRowLastColumn="0" w:lastRowFirstColumn="0" w:lastRowLastColumn="0"/>
          <w:trHeight w:val="270"/>
        </w:trPr>
        <w:tc>
          <w:tcPr>
            <w:tcW w:w="1324" w:type="pct"/>
            <w:tcBorders>
              <w:bottom w:val="single" w:sz="4" w:space="0" w:color="BFBFBF" w:themeColor="accent2"/>
            </w:tcBorders>
            <w:noWrap/>
            <w:hideMark/>
          </w:tcPr>
          <w:p w14:paraId="2BC330C3" w14:textId="77777777" w:rsidR="006E51BF" w:rsidRPr="00290B92" w:rsidRDefault="006E51BF">
            <w:pPr>
              <w:pStyle w:val="ARfintabletext"/>
              <w:rPr>
                <w:lang w:eastAsia="en-AU"/>
              </w:rPr>
            </w:pPr>
            <w:r w:rsidRPr="00290B92">
              <w:rPr>
                <w:lang w:eastAsia="en-AU"/>
              </w:rPr>
              <w:t xml:space="preserve">Receivables </w:t>
            </w:r>
            <w:r w:rsidRPr="00290B92">
              <w:rPr>
                <w:szCs w:val="18"/>
                <w:vertAlign w:val="superscript"/>
                <w:lang w:eastAsia="en-AU"/>
              </w:rPr>
              <w:t>(</w:t>
            </w:r>
            <w:proofErr w:type="spellStart"/>
            <w:r w:rsidRPr="00290B92">
              <w:rPr>
                <w:szCs w:val="18"/>
                <w:vertAlign w:val="superscript"/>
                <w:lang w:eastAsia="en-AU"/>
              </w:rPr>
              <w:t>i</w:t>
            </w:r>
            <w:proofErr w:type="spellEnd"/>
            <w:r w:rsidRPr="00290B92">
              <w:rPr>
                <w:szCs w:val="18"/>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661" w:type="pct"/>
            <w:tcBorders>
              <w:bottom w:val="single" w:sz="4" w:space="0" w:color="BFBFBF" w:themeColor="accent2"/>
            </w:tcBorders>
            <w:noWrap/>
            <w:tcMar>
              <w:right w:w="0" w:type="nil"/>
            </w:tcMar>
            <w:hideMark/>
          </w:tcPr>
          <w:p w14:paraId="7A3283A6" w14:textId="77777777" w:rsidR="006E51BF" w:rsidRPr="00290B92" w:rsidRDefault="006E51BF">
            <w:pPr>
              <w:pStyle w:val="ARfintabletextright"/>
              <w:rPr>
                <w:lang w:eastAsia="en-AU"/>
              </w:rPr>
            </w:pPr>
            <w:r w:rsidRPr="00290B92">
              <w:rPr>
                <w:lang w:eastAsia="en-AU"/>
              </w:rPr>
              <w:t> </w:t>
            </w:r>
          </w:p>
        </w:tc>
        <w:tc>
          <w:tcPr>
            <w:tcW w:w="661" w:type="pct"/>
            <w:tcBorders>
              <w:bottom w:val="single" w:sz="4" w:space="0" w:color="BFBFBF" w:themeColor="accent2"/>
            </w:tcBorders>
            <w:noWrap/>
            <w:tcMar>
              <w:right w:w="0" w:type="nil"/>
            </w:tcMar>
            <w:hideMark/>
          </w:tcPr>
          <w:p w14:paraId="7EF17D33" w14:textId="77777777" w:rsidR="006E51BF" w:rsidRPr="00290B92"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290B92">
              <w:rPr>
                <w:lang w:eastAsia="en-AU"/>
              </w:rPr>
              <w:t>479.4</w:t>
            </w:r>
          </w:p>
        </w:tc>
        <w:tc>
          <w:tcPr>
            <w:cnfStyle w:val="000001000000" w:firstRow="0" w:lastRow="0" w:firstColumn="0" w:lastColumn="0" w:oddVBand="0" w:evenVBand="1" w:oddHBand="0" w:evenHBand="0" w:firstRowFirstColumn="0" w:firstRowLastColumn="0" w:lastRowFirstColumn="0" w:lastRowLastColumn="0"/>
            <w:tcW w:w="784" w:type="pct"/>
            <w:tcBorders>
              <w:bottom w:val="single" w:sz="4" w:space="0" w:color="BFBFBF" w:themeColor="accent2"/>
            </w:tcBorders>
            <w:noWrap/>
            <w:tcMar>
              <w:right w:w="0" w:type="nil"/>
            </w:tcMar>
            <w:hideMark/>
          </w:tcPr>
          <w:p w14:paraId="115CFE26" w14:textId="77777777" w:rsidR="006E51BF" w:rsidRPr="00290B92" w:rsidRDefault="006E51BF">
            <w:pPr>
              <w:pStyle w:val="ARfintabletextright"/>
              <w:rPr>
                <w:lang w:eastAsia="en-AU"/>
              </w:rPr>
            </w:pPr>
            <w:r>
              <w:rPr>
                <w:lang w:eastAsia="en-AU"/>
              </w:rPr>
              <w:t>–</w:t>
            </w:r>
          </w:p>
        </w:tc>
        <w:tc>
          <w:tcPr>
            <w:tcW w:w="784" w:type="pct"/>
            <w:tcBorders>
              <w:bottom w:val="single" w:sz="4" w:space="0" w:color="BFBFBF" w:themeColor="accent2"/>
            </w:tcBorders>
            <w:shd w:val="clear" w:color="auto" w:fill="E7E6E6" w:themeFill="background2"/>
            <w:noWrap/>
            <w:tcMar>
              <w:right w:w="0" w:type="nil"/>
            </w:tcMar>
            <w:hideMark/>
          </w:tcPr>
          <w:p w14:paraId="378EAB95" w14:textId="77777777" w:rsidR="006E51BF" w:rsidRPr="00290B92"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85" w:type="pct"/>
            <w:tcBorders>
              <w:bottom w:val="single" w:sz="4" w:space="0" w:color="BFBFBF" w:themeColor="accent2"/>
            </w:tcBorders>
            <w:noWrap/>
            <w:tcMar>
              <w:right w:w="0" w:type="nil"/>
            </w:tcMar>
            <w:hideMark/>
          </w:tcPr>
          <w:p w14:paraId="77593A4F" w14:textId="77777777" w:rsidR="006E51BF" w:rsidRPr="00290B92" w:rsidRDefault="006E51BF">
            <w:pPr>
              <w:pStyle w:val="ARfintabletextright"/>
              <w:rPr>
                <w:lang w:eastAsia="en-AU"/>
              </w:rPr>
            </w:pPr>
            <w:r w:rsidRPr="00290B92">
              <w:rPr>
                <w:lang w:eastAsia="en-AU"/>
              </w:rPr>
              <w:t>479.4</w:t>
            </w:r>
          </w:p>
        </w:tc>
      </w:tr>
      <w:tr w:rsidR="006E51BF" w:rsidRPr="00290B92" w14:paraId="6916A8E3" w14:textId="77777777" w:rsidTr="00304BA9">
        <w:trPr>
          <w:cnfStyle w:val="000000100000" w:firstRow="0" w:lastRow="0" w:firstColumn="0" w:lastColumn="0" w:oddVBand="0" w:evenVBand="0" w:oddHBand="1" w:evenHBand="0" w:firstRowFirstColumn="0" w:firstRowLastColumn="0" w:lastRowFirstColumn="0" w:lastRowLastColumn="0"/>
          <w:trHeight w:val="270"/>
        </w:trPr>
        <w:tc>
          <w:tcPr>
            <w:tcW w:w="1324" w:type="pct"/>
            <w:tcBorders>
              <w:top w:val="single" w:sz="4" w:space="0" w:color="BFBFBF" w:themeColor="accent2"/>
              <w:bottom w:val="single" w:sz="4" w:space="0" w:color="000000" w:themeColor="text1"/>
            </w:tcBorders>
            <w:noWrap/>
            <w:hideMark/>
          </w:tcPr>
          <w:p w14:paraId="7B5014E4" w14:textId="77777777" w:rsidR="006E51BF" w:rsidRPr="00290B92" w:rsidRDefault="006E51BF">
            <w:pPr>
              <w:pStyle w:val="ARfintabletext"/>
              <w:rPr>
                <w:lang w:eastAsia="en-AU"/>
              </w:rPr>
            </w:pPr>
            <w:r w:rsidRPr="00290B92">
              <w:rPr>
                <w:lang w:eastAsia="en-AU"/>
              </w:rPr>
              <w:t xml:space="preserve">Loans </w:t>
            </w:r>
          </w:p>
        </w:tc>
        <w:tc>
          <w:tcPr>
            <w:cnfStyle w:val="000001000000" w:firstRow="0" w:lastRow="0" w:firstColumn="0" w:lastColumn="0" w:oddVBand="0" w:evenVBand="1" w:oddHBand="0" w:evenHBand="0" w:firstRowFirstColumn="0" w:firstRowLastColumn="0" w:lastRowFirstColumn="0" w:lastRowLastColumn="0"/>
            <w:tcW w:w="661" w:type="pct"/>
            <w:tcBorders>
              <w:top w:val="single" w:sz="4" w:space="0" w:color="BFBFBF" w:themeColor="accent2"/>
              <w:bottom w:val="single" w:sz="4" w:space="0" w:color="000000" w:themeColor="text1"/>
            </w:tcBorders>
            <w:noWrap/>
            <w:tcMar>
              <w:right w:w="0" w:type="nil"/>
            </w:tcMar>
            <w:hideMark/>
          </w:tcPr>
          <w:p w14:paraId="4A3E59D3" w14:textId="77777777" w:rsidR="006E51BF" w:rsidRPr="00290B92" w:rsidRDefault="006E51BF">
            <w:pPr>
              <w:pStyle w:val="ARfintabletextright"/>
              <w:rPr>
                <w:lang w:eastAsia="en-AU"/>
              </w:rPr>
            </w:pPr>
            <w:r w:rsidRPr="00290B92">
              <w:rPr>
                <w:lang w:eastAsia="en-AU"/>
              </w:rPr>
              <w:t>1.4%</w:t>
            </w:r>
          </w:p>
        </w:tc>
        <w:tc>
          <w:tcPr>
            <w:tcW w:w="661" w:type="pct"/>
            <w:tcBorders>
              <w:top w:val="single" w:sz="4" w:space="0" w:color="BFBFBF" w:themeColor="accent2"/>
              <w:bottom w:val="single" w:sz="4" w:space="0" w:color="000000" w:themeColor="text1"/>
            </w:tcBorders>
            <w:noWrap/>
            <w:tcMar>
              <w:right w:w="0" w:type="nil"/>
            </w:tcMar>
            <w:hideMark/>
          </w:tcPr>
          <w:p w14:paraId="5508DC2D"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290B92">
              <w:rPr>
                <w:lang w:eastAsia="en-AU"/>
              </w:rPr>
              <w:t>26.2</w:t>
            </w:r>
          </w:p>
        </w:tc>
        <w:tc>
          <w:tcPr>
            <w:cnfStyle w:val="000001000000" w:firstRow="0" w:lastRow="0" w:firstColumn="0" w:lastColumn="0" w:oddVBand="0" w:evenVBand="1" w:oddHBand="0" w:evenHBand="0" w:firstRowFirstColumn="0" w:firstRowLastColumn="0" w:lastRowFirstColumn="0" w:lastRowLastColumn="0"/>
            <w:tcW w:w="784" w:type="pct"/>
            <w:tcBorders>
              <w:top w:val="single" w:sz="4" w:space="0" w:color="BFBFBF" w:themeColor="accent2"/>
              <w:bottom w:val="single" w:sz="4" w:space="0" w:color="000000" w:themeColor="text1"/>
            </w:tcBorders>
            <w:noWrap/>
            <w:tcMar>
              <w:right w:w="0" w:type="nil"/>
            </w:tcMar>
            <w:hideMark/>
          </w:tcPr>
          <w:p w14:paraId="4FF39319" w14:textId="77777777" w:rsidR="006E51BF" w:rsidRPr="00290B92" w:rsidRDefault="006E51BF">
            <w:pPr>
              <w:pStyle w:val="ARfintabletextright"/>
              <w:rPr>
                <w:lang w:eastAsia="en-AU"/>
              </w:rPr>
            </w:pPr>
            <w:r w:rsidRPr="00290B92">
              <w:rPr>
                <w:lang w:eastAsia="en-AU"/>
              </w:rPr>
              <w:t>0.3</w:t>
            </w:r>
          </w:p>
        </w:tc>
        <w:tc>
          <w:tcPr>
            <w:tcW w:w="784" w:type="pct"/>
            <w:tcBorders>
              <w:top w:val="single" w:sz="4" w:space="0" w:color="BFBFBF" w:themeColor="accent2"/>
              <w:bottom w:val="single" w:sz="4" w:space="0" w:color="000000" w:themeColor="text1"/>
            </w:tcBorders>
            <w:shd w:val="clear" w:color="auto" w:fill="E7E6E6" w:themeFill="background2"/>
            <w:noWrap/>
            <w:tcMar>
              <w:right w:w="0" w:type="nil"/>
            </w:tcMar>
            <w:hideMark/>
          </w:tcPr>
          <w:p w14:paraId="4E5EFD5F"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85" w:type="pct"/>
            <w:tcBorders>
              <w:top w:val="single" w:sz="4" w:space="0" w:color="BFBFBF" w:themeColor="accent2"/>
              <w:bottom w:val="single" w:sz="4" w:space="0" w:color="000000" w:themeColor="text1"/>
            </w:tcBorders>
            <w:noWrap/>
            <w:tcMar>
              <w:right w:w="0" w:type="nil"/>
            </w:tcMar>
            <w:hideMark/>
          </w:tcPr>
          <w:p w14:paraId="2D2B16CE" w14:textId="77777777" w:rsidR="006E51BF" w:rsidRPr="00290B92" w:rsidRDefault="006E51BF">
            <w:pPr>
              <w:pStyle w:val="ARfintabletextright"/>
              <w:rPr>
                <w:lang w:eastAsia="en-AU"/>
              </w:rPr>
            </w:pPr>
            <w:r w:rsidRPr="00290B92">
              <w:rPr>
                <w:lang w:eastAsia="en-AU"/>
              </w:rPr>
              <w:t>25.9</w:t>
            </w:r>
          </w:p>
        </w:tc>
      </w:tr>
      <w:tr w:rsidR="006E51BF" w:rsidRPr="00290B92" w14:paraId="01AEACA4" w14:textId="77777777" w:rsidTr="00304BA9">
        <w:trPr>
          <w:cnfStyle w:val="000000010000" w:firstRow="0" w:lastRow="0" w:firstColumn="0" w:lastColumn="0" w:oddVBand="0" w:evenVBand="0" w:oddHBand="0" w:evenHBand="1" w:firstRowFirstColumn="0" w:firstRowLastColumn="0" w:lastRowFirstColumn="0" w:lastRowLastColumn="0"/>
          <w:trHeight w:val="280"/>
        </w:trPr>
        <w:tc>
          <w:tcPr>
            <w:tcW w:w="1324" w:type="pct"/>
            <w:tcBorders>
              <w:top w:val="single" w:sz="4" w:space="0" w:color="000000" w:themeColor="text1"/>
              <w:bottom w:val="single" w:sz="4" w:space="0" w:color="000000" w:themeColor="text1"/>
            </w:tcBorders>
            <w:noWrap/>
            <w:hideMark/>
          </w:tcPr>
          <w:p w14:paraId="2559F451" w14:textId="77777777" w:rsidR="006E51BF" w:rsidRPr="00290B92" w:rsidRDefault="006E51BF">
            <w:pPr>
              <w:pStyle w:val="ARfintabletextbold"/>
              <w:rPr>
                <w:lang w:eastAsia="en-AU"/>
              </w:rPr>
            </w:pPr>
            <w:r w:rsidRPr="00290B92">
              <w:rPr>
                <w:lang w:eastAsia="en-AU"/>
              </w:rPr>
              <w:t>Total financial assets</w:t>
            </w:r>
          </w:p>
        </w:tc>
        <w:tc>
          <w:tcPr>
            <w:cnfStyle w:val="000001000000" w:firstRow="0" w:lastRow="0" w:firstColumn="0" w:lastColumn="0" w:oddVBand="0" w:evenVBand="1" w:oddHBand="0" w:evenHBand="0" w:firstRowFirstColumn="0" w:firstRowLastColumn="0" w:lastRowFirstColumn="0" w:lastRowLastColumn="0"/>
            <w:tcW w:w="661" w:type="pct"/>
            <w:tcBorders>
              <w:top w:val="single" w:sz="4" w:space="0" w:color="000000" w:themeColor="text1"/>
              <w:bottom w:val="single" w:sz="4" w:space="0" w:color="000000" w:themeColor="text1"/>
            </w:tcBorders>
            <w:noWrap/>
            <w:tcMar>
              <w:right w:w="0" w:type="nil"/>
            </w:tcMar>
            <w:hideMark/>
          </w:tcPr>
          <w:p w14:paraId="06FE97D4" w14:textId="77777777" w:rsidR="006E51BF" w:rsidRPr="00290B92" w:rsidRDefault="006E51BF">
            <w:pPr>
              <w:pStyle w:val="ARfintabletextright"/>
              <w:rPr>
                <w:lang w:eastAsia="en-AU"/>
              </w:rPr>
            </w:pPr>
            <w:r w:rsidRPr="00290B92">
              <w:rPr>
                <w:lang w:eastAsia="en-AU"/>
              </w:rPr>
              <w:t> </w:t>
            </w:r>
          </w:p>
        </w:tc>
        <w:tc>
          <w:tcPr>
            <w:tcW w:w="661" w:type="pct"/>
            <w:tcBorders>
              <w:top w:val="single" w:sz="4" w:space="0" w:color="000000" w:themeColor="text1"/>
              <w:bottom w:val="single" w:sz="4" w:space="0" w:color="000000" w:themeColor="text1"/>
            </w:tcBorders>
            <w:noWrap/>
            <w:tcMar>
              <w:right w:w="0" w:type="nil"/>
            </w:tcMar>
            <w:hideMark/>
          </w:tcPr>
          <w:p w14:paraId="70134FAB" w14:textId="77777777" w:rsidR="006E51BF" w:rsidRPr="00290B92"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290B92">
              <w:rPr>
                <w:lang w:eastAsia="en-AU"/>
              </w:rPr>
              <w:t>1,499.8</w:t>
            </w:r>
          </w:p>
        </w:tc>
        <w:tc>
          <w:tcPr>
            <w:cnfStyle w:val="000001000000" w:firstRow="0" w:lastRow="0" w:firstColumn="0" w:lastColumn="0" w:oddVBand="0" w:evenVBand="1" w:oddHBand="0" w:evenHBand="0" w:firstRowFirstColumn="0" w:firstRowLastColumn="0" w:lastRowFirstColumn="0" w:lastRowLastColumn="0"/>
            <w:tcW w:w="784" w:type="pct"/>
            <w:tcBorders>
              <w:top w:val="single" w:sz="4" w:space="0" w:color="000000" w:themeColor="text1"/>
              <w:bottom w:val="single" w:sz="4" w:space="0" w:color="000000" w:themeColor="text1"/>
            </w:tcBorders>
            <w:noWrap/>
            <w:tcMar>
              <w:right w:w="0" w:type="nil"/>
            </w:tcMar>
            <w:hideMark/>
          </w:tcPr>
          <w:p w14:paraId="2FE4410B" w14:textId="77777777" w:rsidR="006E51BF" w:rsidRPr="00290B92" w:rsidRDefault="006E51BF">
            <w:pPr>
              <w:pStyle w:val="ARfintabletextboldright"/>
              <w:rPr>
                <w:lang w:eastAsia="en-AU"/>
              </w:rPr>
            </w:pPr>
            <w:r w:rsidRPr="00290B92">
              <w:rPr>
                <w:lang w:eastAsia="en-AU"/>
              </w:rPr>
              <w:t>0.3</w:t>
            </w:r>
          </w:p>
        </w:tc>
        <w:tc>
          <w:tcPr>
            <w:tcW w:w="784"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62A00874" w14:textId="77777777" w:rsidR="006E51BF" w:rsidRPr="00290B92"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290B92">
              <w:rPr>
                <w:lang w:eastAsia="en-AU"/>
              </w:rPr>
              <w:t>921.7</w:t>
            </w:r>
          </w:p>
        </w:tc>
        <w:tc>
          <w:tcPr>
            <w:cnfStyle w:val="000001000000" w:firstRow="0" w:lastRow="0" w:firstColumn="0" w:lastColumn="0" w:oddVBand="0" w:evenVBand="1" w:oddHBand="0" w:evenHBand="0" w:firstRowFirstColumn="0" w:firstRowLastColumn="0" w:lastRowFirstColumn="0" w:lastRowLastColumn="0"/>
            <w:tcW w:w="785" w:type="pct"/>
            <w:tcBorders>
              <w:top w:val="single" w:sz="4" w:space="0" w:color="000000" w:themeColor="text1"/>
              <w:bottom w:val="single" w:sz="4" w:space="0" w:color="000000" w:themeColor="text1"/>
            </w:tcBorders>
            <w:noWrap/>
            <w:tcMar>
              <w:right w:w="0" w:type="nil"/>
            </w:tcMar>
            <w:hideMark/>
          </w:tcPr>
          <w:p w14:paraId="30713298" w14:textId="77777777" w:rsidR="006E51BF" w:rsidRPr="00290B92" w:rsidRDefault="006E51BF">
            <w:pPr>
              <w:pStyle w:val="ARfintabletextboldright"/>
              <w:rPr>
                <w:lang w:eastAsia="en-AU"/>
              </w:rPr>
            </w:pPr>
            <w:r w:rsidRPr="00290B92">
              <w:rPr>
                <w:lang w:eastAsia="en-AU"/>
              </w:rPr>
              <w:t>577.7</w:t>
            </w:r>
          </w:p>
        </w:tc>
      </w:tr>
      <w:tr w:rsidR="006E51BF" w:rsidRPr="00290B92" w14:paraId="44767E23" w14:textId="77777777" w:rsidTr="00304BA9">
        <w:trPr>
          <w:cnfStyle w:val="000000100000" w:firstRow="0" w:lastRow="0" w:firstColumn="0" w:lastColumn="0" w:oddVBand="0" w:evenVBand="0" w:oddHBand="1" w:evenHBand="0" w:firstRowFirstColumn="0" w:firstRowLastColumn="0" w:lastRowFirstColumn="0" w:lastRowLastColumn="0"/>
          <w:trHeight w:val="270"/>
        </w:trPr>
        <w:tc>
          <w:tcPr>
            <w:tcW w:w="1324" w:type="pct"/>
            <w:tcBorders>
              <w:top w:val="single" w:sz="4" w:space="0" w:color="000000" w:themeColor="text1"/>
            </w:tcBorders>
            <w:noWrap/>
            <w:hideMark/>
          </w:tcPr>
          <w:p w14:paraId="2521C4A1" w14:textId="77777777" w:rsidR="006E51BF" w:rsidRPr="00290B92" w:rsidRDefault="006E51BF">
            <w:pPr>
              <w:pStyle w:val="ARfintabletextbold"/>
              <w:rPr>
                <w:lang w:eastAsia="en-AU"/>
              </w:rPr>
            </w:pPr>
            <w:r w:rsidRPr="00290B92">
              <w:rPr>
                <w:lang w:eastAsia="en-AU"/>
              </w:rPr>
              <w:t>Financial liabilities</w:t>
            </w:r>
          </w:p>
        </w:tc>
        <w:tc>
          <w:tcPr>
            <w:cnfStyle w:val="000001000000" w:firstRow="0" w:lastRow="0" w:firstColumn="0" w:lastColumn="0" w:oddVBand="0" w:evenVBand="1" w:oddHBand="0" w:evenHBand="0" w:firstRowFirstColumn="0" w:firstRowLastColumn="0" w:lastRowFirstColumn="0" w:lastRowLastColumn="0"/>
            <w:tcW w:w="661" w:type="pct"/>
            <w:tcBorders>
              <w:top w:val="single" w:sz="4" w:space="0" w:color="000000" w:themeColor="text1"/>
            </w:tcBorders>
            <w:shd w:val="clear" w:color="auto" w:fill="auto"/>
            <w:noWrap/>
            <w:tcMar>
              <w:right w:w="0" w:type="nil"/>
            </w:tcMar>
            <w:hideMark/>
          </w:tcPr>
          <w:p w14:paraId="1B811F0C" w14:textId="77777777" w:rsidR="006E51BF" w:rsidRPr="00290B92" w:rsidRDefault="006E51BF">
            <w:pPr>
              <w:pStyle w:val="ARfintabletextright"/>
              <w:rPr>
                <w:lang w:eastAsia="en-AU"/>
              </w:rPr>
            </w:pPr>
            <w:r w:rsidRPr="00290B92">
              <w:rPr>
                <w:lang w:eastAsia="en-AU"/>
              </w:rPr>
              <w:t> </w:t>
            </w:r>
          </w:p>
        </w:tc>
        <w:tc>
          <w:tcPr>
            <w:tcW w:w="661" w:type="pct"/>
            <w:tcBorders>
              <w:top w:val="single" w:sz="4" w:space="0" w:color="000000" w:themeColor="text1"/>
            </w:tcBorders>
            <w:noWrap/>
            <w:tcMar>
              <w:right w:w="0" w:type="nil"/>
            </w:tcMar>
            <w:hideMark/>
          </w:tcPr>
          <w:p w14:paraId="4390CF93"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784" w:type="pct"/>
            <w:tcBorders>
              <w:top w:val="single" w:sz="4" w:space="0" w:color="000000" w:themeColor="text1"/>
            </w:tcBorders>
            <w:shd w:val="clear" w:color="auto" w:fill="auto"/>
            <w:noWrap/>
            <w:tcMar>
              <w:right w:w="0" w:type="nil"/>
            </w:tcMar>
            <w:hideMark/>
          </w:tcPr>
          <w:p w14:paraId="2578076E" w14:textId="77777777" w:rsidR="006E51BF" w:rsidRPr="00290B92" w:rsidRDefault="006E51BF">
            <w:pPr>
              <w:pStyle w:val="ARfintabletextright"/>
              <w:rPr>
                <w:lang w:eastAsia="en-AU"/>
              </w:rPr>
            </w:pPr>
          </w:p>
        </w:tc>
        <w:tc>
          <w:tcPr>
            <w:tcW w:w="784" w:type="pct"/>
            <w:tcBorders>
              <w:top w:val="single" w:sz="4" w:space="0" w:color="000000" w:themeColor="text1"/>
            </w:tcBorders>
            <w:noWrap/>
            <w:tcMar>
              <w:right w:w="0" w:type="nil"/>
            </w:tcMar>
            <w:hideMark/>
          </w:tcPr>
          <w:p w14:paraId="08C1D650"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785" w:type="pct"/>
            <w:tcBorders>
              <w:top w:val="single" w:sz="4" w:space="0" w:color="000000" w:themeColor="text1"/>
            </w:tcBorders>
            <w:shd w:val="clear" w:color="auto" w:fill="auto"/>
            <w:noWrap/>
            <w:tcMar>
              <w:right w:w="0" w:type="nil"/>
            </w:tcMar>
            <w:hideMark/>
          </w:tcPr>
          <w:p w14:paraId="0F477C41" w14:textId="77777777" w:rsidR="006E51BF" w:rsidRPr="00290B92" w:rsidRDefault="006E51BF">
            <w:pPr>
              <w:pStyle w:val="ARfintabletextright"/>
              <w:rPr>
                <w:lang w:eastAsia="en-AU"/>
              </w:rPr>
            </w:pPr>
          </w:p>
        </w:tc>
      </w:tr>
      <w:tr w:rsidR="006E51BF" w:rsidRPr="00290B92" w14:paraId="5D9DFE37" w14:textId="77777777" w:rsidTr="00304BA9">
        <w:trPr>
          <w:cnfStyle w:val="000000010000" w:firstRow="0" w:lastRow="0" w:firstColumn="0" w:lastColumn="0" w:oddVBand="0" w:evenVBand="0" w:oddHBand="0" w:evenHBand="1" w:firstRowFirstColumn="0" w:firstRowLastColumn="0" w:lastRowFirstColumn="0" w:lastRowLastColumn="0"/>
          <w:trHeight w:val="270"/>
        </w:trPr>
        <w:tc>
          <w:tcPr>
            <w:tcW w:w="1324" w:type="pct"/>
            <w:tcBorders>
              <w:bottom w:val="single" w:sz="4" w:space="0" w:color="BFBFBF" w:themeColor="accent2"/>
            </w:tcBorders>
            <w:noWrap/>
            <w:hideMark/>
          </w:tcPr>
          <w:p w14:paraId="10D1EB38" w14:textId="77777777" w:rsidR="006E51BF" w:rsidRPr="00290B92" w:rsidRDefault="006E51BF">
            <w:pPr>
              <w:pStyle w:val="ARfintabletext"/>
              <w:rPr>
                <w:lang w:eastAsia="en-AU"/>
              </w:rPr>
            </w:pPr>
            <w:r w:rsidRPr="00290B92">
              <w:rPr>
                <w:lang w:eastAsia="en-AU"/>
              </w:rPr>
              <w:t xml:space="preserve">Payables </w:t>
            </w:r>
            <w:r w:rsidRPr="00290B92">
              <w:rPr>
                <w:szCs w:val="18"/>
                <w:vertAlign w:val="superscript"/>
                <w:lang w:eastAsia="en-AU"/>
              </w:rPr>
              <w:t>(</w:t>
            </w:r>
            <w:proofErr w:type="spellStart"/>
            <w:r w:rsidRPr="00290B92">
              <w:rPr>
                <w:szCs w:val="18"/>
                <w:vertAlign w:val="superscript"/>
                <w:lang w:eastAsia="en-AU"/>
              </w:rPr>
              <w:t>i</w:t>
            </w:r>
            <w:proofErr w:type="spellEnd"/>
            <w:r w:rsidRPr="00290B92">
              <w:rPr>
                <w:szCs w:val="18"/>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661" w:type="pct"/>
            <w:tcBorders>
              <w:bottom w:val="single" w:sz="4" w:space="0" w:color="BFBFBF" w:themeColor="accent2"/>
            </w:tcBorders>
            <w:noWrap/>
            <w:tcMar>
              <w:right w:w="0" w:type="nil"/>
            </w:tcMar>
            <w:hideMark/>
          </w:tcPr>
          <w:p w14:paraId="60398966" w14:textId="77777777" w:rsidR="006E51BF" w:rsidRPr="00290B92" w:rsidRDefault="006E51BF">
            <w:pPr>
              <w:pStyle w:val="ARfintabletextright"/>
              <w:rPr>
                <w:lang w:eastAsia="en-AU"/>
              </w:rPr>
            </w:pPr>
            <w:r w:rsidRPr="00290B92">
              <w:rPr>
                <w:lang w:eastAsia="en-AU"/>
              </w:rPr>
              <w:t> </w:t>
            </w:r>
          </w:p>
        </w:tc>
        <w:tc>
          <w:tcPr>
            <w:tcW w:w="661" w:type="pct"/>
            <w:tcBorders>
              <w:bottom w:val="single" w:sz="4" w:space="0" w:color="BFBFBF" w:themeColor="accent2"/>
            </w:tcBorders>
            <w:noWrap/>
            <w:tcMar>
              <w:right w:w="0" w:type="nil"/>
            </w:tcMar>
            <w:hideMark/>
          </w:tcPr>
          <w:p w14:paraId="1A5907E4" w14:textId="77777777" w:rsidR="006E51BF" w:rsidRPr="00290B92"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290B92">
              <w:rPr>
                <w:lang w:eastAsia="en-AU"/>
              </w:rPr>
              <w:t>485.8</w:t>
            </w:r>
          </w:p>
        </w:tc>
        <w:tc>
          <w:tcPr>
            <w:cnfStyle w:val="000001000000" w:firstRow="0" w:lastRow="0" w:firstColumn="0" w:lastColumn="0" w:oddVBand="0" w:evenVBand="1" w:oddHBand="0" w:evenHBand="0" w:firstRowFirstColumn="0" w:firstRowLastColumn="0" w:lastRowFirstColumn="0" w:lastRowLastColumn="0"/>
            <w:tcW w:w="784" w:type="pct"/>
            <w:tcBorders>
              <w:bottom w:val="single" w:sz="4" w:space="0" w:color="BFBFBF" w:themeColor="accent2"/>
            </w:tcBorders>
            <w:noWrap/>
            <w:tcMar>
              <w:right w:w="0" w:type="nil"/>
            </w:tcMar>
            <w:hideMark/>
          </w:tcPr>
          <w:p w14:paraId="649076A4" w14:textId="77777777" w:rsidR="006E51BF" w:rsidRPr="00290B92" w:rsidRDefault="006E51BF">
            <w:pPr>
              <w:pStyle w:val="ARfintabletextright"/>
              <w:rPr>
                <w:lang w:eastAsia="en-AU"/>
              </w:rPr>
            </w:pPr>
            <w:r w:rsidRPr="00290B92">
              <w:rPr>
                <w:lang w:eastAsia="en-AU"/>
              </w:rPr>
              <w:t>1.0</w:t>
            </w:r>
          </w:p>
        </w:tc>
        <w:tc>
          <w:tcPr>
            <w:tcW w:w="784" w:type="pct"/>
            <w:tcBorders>
              <w:bottom w:val="single" w:sz="4" w:space="0" w:color="BFBFBF" w:themeColor="accent2"/>
            </w:tcBorders>
            <w:shd w:val="clear" w:color="auto" w:fill="E7E6E6" w:themeFill="background2"/>
            <w:noWrap/>
            <w:tcMar>
              <w:right w:w="0" w:type="nil"/>
            </w:tcMar>
            <w:hideMark/>
          </w:tcPr>
          <w:p w14:paraId="15244FFE" w14:textId="77777777" w:rsidR="006E51BF" w:rsidRPr="00290B92"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85" w:type="pct"/>
            <w:tcBorders>
              <w:bottom w:val="single" w:sz="4" w:space="0" w:color="BFBFBF" w:themeColor="accent2"/>
            </w:tcBorders>
            <w:noWrap/>
            <w:tcMar>
              <w:right w:w="0" w:type="nil"/>
            </w:tcMar>
            <w:hideMark/>
          </w:tcPr>
          <w:p w14:paraId="2D1D71A8" w14:textId="77777777" w:rsidR="006E51BF" w:rsidRPr="00290B92" w:rsidRDefault="006E51BF">
            <w:pPr>
              <w:pStyle w:val="ARfintabletextright"/>
              <w:rPr>
                <w:lang w:eastAsia="en-AU"/>
              </w:rPr>
            </w:pPr>
            <w:r w:rsidRPr="00290B92">
              <w:rPr>
                <w:lang w:eastAsia="en-AU"/>
              </w:rPr>
              <w:t>484.8</w:t>
            </w:r>
          </w:p>
        </w:tc>
      </w:tr>
      <w:tr w:rsidR="006E51BF" w:rsidRPr="00290B92" w14:paraId="39D7774B" w14:textId="77777777" w:rsidTr="00304BA9">
        <w:trPr>
          <w:cnfStyle w:val="000000100000" w:firstRow="0" w:lastRow="0" w:firstColumn="0" w:lastColumn="0" w:oddVBand="0" w:evenVBand="0" w:oddHBand="1" w:evenHBand="0" w:firstRowFirstColumn="0" w:firstRowLastColumn="0" w:lastRowFirstColumn="0" w:lastRowLastColumn="0"/>
          <w:trHeight w:val="290"/>
        </w:trPr>
        <w:tc>
          <w:tcPr>
            <w:tcW w:w="1324" w:type="pct"/>
            <w:tcBorders>
              <w:top w:val="single" w:sz="4" w:space="0" w:color="BFBFBF" w:themeColor="accent2"/>
              <w:bottom w:val="single" w:sz="4" w:space="0" w:color="000000" w:themeColor="text1"/>
            </w:tcBorders>
            <w:noWrap/>
            <w:hideMark/>
          </w:tcPr>
          <w:p w14:paraId="112E6910" w14:textId="77777777" w:rsidR="006E51BF" w:rsidRPr="00290B92" w:rsidRDefault="006E51BF">
            <w:pPr>
              <w:pStyle w:val="ARfintabletext"/>
              <w:rPr>
                <w:lang w:eastAsia="en-AU"/>
              </w:rPr>
            </w:pPr>
            <w:r w:rsidRPr="00290B92">
              <w:rPr>
                <w:lang w:eastAsia="en-AU"/>
              </w:rPr>
              <w:t xml:space="preserve">Borrowings </w:t>
            </w:r>
            <w:r w:rsidRPr="00290B92">
              <w:rPr>
                <w:vertAlign w:val="superscript"/>
                <w:lang w:eastAsia="en-AU"/>
              </w:rPr>
              <w:t>(</w:t>
            </w:r>
            <w:proofErr w:type="spellStart"/>
            <w:r w:rsidRPr="00290B92">
              <w:rPr>
                <w:vertAlign w:val="superscript"/>
                <w:lang w:eastAsia="en-AU"/>
              </w:rPr>
              <w:t>i</w:t>
            </w:r>
            <w:proofErr w:type="spellEnd"/>
            <w:r w:rsidRPr="00290B92">
              <w:rPr>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661" w:type="pct"/>
            <w:tcBorders>
              <w:top w:val="single" w:sz="4" w:space="0" w:color="BFBFBF" w:themeColor="accent2"/>
              <w:bottom w:val="single" w:sz="4" w:space="0" w:color="000000" w:themeColor="text1"/>
            </w:tcBorders>
            <w:noWrap/>
            <w:tcMar>
              <w:right w:w="0" w:type="nil"/>
            </w:tcMar>
            <w:hideMark/>
          </w:tcPr>
          <w:p w14:paraId="3C813F90" w14:textId="77777777" w:rsidR="006E51BF" w:rsidRPr="00290B92" w:rsidRDefault="006E51BF">
            <w:pPr>
              <w:pStyle w:val="ARfintabletextright"/>
              <w:rPr>
                <w:lang w:eastAsia="en-AU"/>
              </w:rPr>
            </w:pPr>
            <w:r w:rsidRPr="00290B92">
              <w:rPr>
                <w:lang w:eastAsia="en-AU"/>
              </w:rPr>
              <w:t>6.0%</w:t>
            </w:r>
          </w:p>
        </w:tc>
        <w:tc>
          <w:tcPr>
            <w:tcW w:w="661" w:type="pct"/>
            <w:tcBorders>
              <w:top w:val="single" w:sz="4" w:space="0" w:color="BFBFBF" w:themeColor="accent2"/>
              <w:bottom w:val="single" w:sz="4" w:space="0" w:color="000000" w:themeColor="text1"/>
            </w:tcBorders>
            <w:noWrap/>
            <w:tcMar>
              <w:right w:w="0" w:type="nil"/>
            </w:tcMar>
            <w:hideMark/>
          </w:tcPr>
          <w:p w14:paraId="45704C5B"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290B92">
              <w:rPr>
                <w:lang w:eastAsia="en-AU"/>
              </w:rPr>
              <w:t>877.6</w:t>
            </w:r>
          </w:p>
        </w:tc>
        <w:tc>
          <w:tcPr>
            <w:cnfStyle w:val="000001000000" w:firstRow="0" w:lastRow="0" w:firstColumn="0" w:lastColumn="0" w:oddVBand="0" w:evenVBand="1" w:oddHBand="0" w:evenHBand="0" w:firstRowFirstColumn="0" w:firstRowLastColumn="0" w:lastRowFirstColumn="0" w:lastRowLastColumn="0"/>
            <w:tcW w:w="784" w:type="pct"/>
            <w:tcBorders>
              <w:top w:val="single" w:sz="4" w:space="0" w:color="BFBFBF" w:themeColor="accent2"/>
              <w:bottom w:val="single" w:sz="4" w:space="0" w:color="000000" w:themeColor="text1"/>
            </w:tcBorders>
            <w:noWrap/>
            <w:tcMar>
              <w:right w:w="0" w:type="nil"/>
            </w:tcMar>
            <w:hideMark/>
          </w:tcPr>
          <w:p w14:paraId="002E1F1F" w14:textId="77777777" w:rsidR="006E51BF" w:rsidRPr="00290B92" w:rsidRDefault="006E51BF">
            <w:pPr>
              <w:pStyle w:val="ARfintabletextright"/>
              <w:rPr>
                <w:lang w:eastAsia="en-AU"/>
              </w:rPr>
            </w:pPr>
            <w:r w:rsidRPr="00290B92">
              <w:rPr>
                <w:lang w:eastAsia="en-AU"/>
              </w:rPr>
              <w:t>877.6</w:t>
            </w:r>
          </w:p>
        </w:tc>
        <w:tc>
          <w:tcPr>
            <w:tcW w:w="784" w:type="pct"/>
            <w:tcBorders>
              <w:top w:val="single" w:sz="4" w:space="0" w:color="BFBFBF" w:themeColor="accent2"/>
              <w:bottom w:val="single" w:sz="4" w:space="0" w:color="000000" w:themeColor="text1"/>
            </w:tcBorders>
            <w:shd w:val="clear" w:color="auto" w:fill="E7E6E6" w:themeFill="background2"/>
            <w:noWrap/>
            <w:tcMar>
              <w:right w:w="0" w:type="nil"/>
            </w:tcMar>
            <w:hideMark/>
          </w:tcPr>
          <w:p w14:paraId="046C967F"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85" w:type="pct"/>
            <w:tcBorders>
              <w:top w:val="single" w:sz="4" w:space="0" w:color="BFBFBF" w:themeColor="accent2"/>
              <w:bottom w:val="single" w:sz="4" w:space="0" w:color="000000" w:themeColor="text1"/>
            </w:tcBorders>
            <w:noWrap/>
            <w:tcMar>
              <w:right w:w="0" w:type="nil"/>
            </w:tcMar>
            <w:hideMark/>
          </w:tcPr>
          <w:p w14:paraId="54D63C63" w14:textId="77777777" w:rsidR="006E51BF" w:rsidRPr="00290B92" w:rsidRDefault="006E51BF">
            <w:pPr>
              <w:pStyle w:val="ARfintabletextright"/>
              <w:rPr>
                <w:lang w:eastAsia="en-AU"/>
              </w:rPr>
            </w:pPr>
            <w:r>
              <w:rPr>
                <w:lang w:eastAsia="en-AU"/>
              </w:rPr>
              <w:t>–</w:t>
            </w:r>
          </w:p>
        </w:tc>
      </w:tr>
      <w:tr w:rsidR="006E51BF" w:rsidRPr="00290B92" w14:paraId="44EE6382" w14:textId="77777777" w:rsidTr="00304BA9">
        <w:trPr>
          <w:cnfStyle w:val="000000010000" w:firstRow="0" w:lastRow="0" w:firstColumn="0" w:lastColumn="0" w:oddVBand="0" w:evenVBand="0" w:oddHBand="0" w:evenHBand="1" w:firstRowFirstColumn="0" w:firstRowLastColumn="0" w:lastRowFirstColumn="0" w:lastRowLastColumn="0"/>
          <w:trHeight w:val="280"/>
        </w:trPr>
        <w:tc>
          <w:tcPr>
            <w:tcW w:w="1324" w:type="pct"/>
            <w:tcBorders>
              <w:top w:val="single" w:sz="4" w:space="0" w:color="000000" w:themeColor="text1"/>
              <w:bottom w:val="single" w:sz="4" w:space="0" w:color="000000" w:themeColor="text1"/>
            </w:tcBorders>
            <w:noWrap/>
            <w:hideMark/>
          </w:tcPr>
          <w:p w14:paraId="1A085D54" w14:textId="77777777" w:rsidR="006E51BF" w:rsidRPr="00290B92" w:rsidRDefault="006E51BF">
            <w:pPr>
              <w:pStyle w:val="ARfintabletextbold"/>
              <w:rPr>
                <w:lang w:eastAsia="en-AU"/>
              </w:rPr>
            </w:pPr>
            <w:r w:rsidRPr="00290B92">
              <w:rPr>
                <w:lang w:eastAsia="en-AU"/>
              </w:rPr>
              <w:t>Total financial liabilities</w:t>
            </w:r>
          </w:p>
        </w:tc>
        <w:tc>
          <w:tcPr>
            <w:cnfStyle w:val="000001000000" w:firstRow="0" w:lastRow="0" w:firstColumn="0" w:lastColumn="0" w:oddVBand="0" w:evenVBand="1" w:oddHBand="0" w:evenHBand="0" w:firstRowFirstColumn="0" w:firstRowLastColumn="0" w:lastRowFirstColumn="0" w:lastRowLastColumn="0"/>
            <w:tcW w:w="661" w:type="pct"/>
            <w:tcBorders>
              <w:top w:val="single" w:sz="4" w:space="0" w:color="000000" w:themeColor="text1"/>
              <w:bottom w:val="single" w:sz="4" w:space="0" w:color="000000" w:themeColor="text1"/>
            </w:tcBorders>
            <w:noWrap/>
            <w:tcMar>
              <w:right w:w="0" w:type="nil"/>
            </w:tcMar>
            <w:hideMark/>
          </w:tcPr>
          <w:p w14:paraId="4DF11444" w14:textId="77777777" w:rsidR="006E51BF" w:rsidRPr="00290B92" w:rsidRDefault="006E51BF">
            <w:pPr>
              <w:pStyle w:val="ARfintabletextright"/>
              <w:rPr>
                <w:lang w:eastAsia="en-AU"/>
              </w:rPr>
            </w:pPr>
            <w:r w:rsidRPr="00290B92">
              <w:rPr>
                <w:lang w:eastAsia="en-AU"/>
              </w:rPr>
              <w:t> </w:t>
            </w:r>
          </w:p>
        </w:tc>
        <w:tc>
          <w:tcPr>
            <w:tcW w:w="661" w:type="pct"/>
            <w:tcBorders>
              <w:top w:val="single" w:sz="4" w:space="0" w:color="000000" w:themeColor="text1"/>
              <w:bottom w:val="single" w:sz="4" w:space="0" w:color="000000" w:themeColor="text1"/>
            </w:tcBorders>
            <w:noWrap/>
            <w:tcMar>
              <w:right w:w="0" w:type="nil"/>
            </w:tcMar>
            <w:hideMark/>
          </w:tcPr>
          <w:p w14:paraId="34A349BF" w14:textId="77777777" w:rsidR="006E51BF" w:rsidRPr="00290B92"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290B92">
              <w:rPr>
                <w:lang w:eastAsia="en-AU"/>
              </w:rPr>
              <w:t>1,363.4</w:t>
            </w:r>
          </w:p>
        </w:tc>
        <w:tc>
          <w:tcPr>
            <w:cnfStyle w:val="000001000000" w:firstRow="0" w:lastRow="0" w:firstColumn="0" w:lastColumn="0" w:oddVBand="0" w:evenVBand="1" w:oddHBand="0" w:evenHBand="0" w:firstRowFirstColumn="0" w:firstRowLastColumn="0" w:lastRowFirstColumn="0" w:lastRowLastColumn="0"/>
            <w:tcW w:w="784" w:type="pct"/>
            <w:tcBorders>
              <w:top w:val="single" w:sz="4" w:space="0" w:color="000000" w:themeColor="text1"/>
              <w:bottom w:val="single" w:sz="4" w:space="0" w:color="000000" w:themeColor="text1"/>
            </w:tcBorders>
            <w:noWrap/>
            <w:tcMar>
              <w:right w:w="0" w:type="nil"/>
            </w:tcMar>
            <w:hideMark/>
          </w:tcPr>
          <w:p w14:paraId="77510471" w14:textId="77777777" w:rsidR="006E51BF" w:rsidRPr="00290B92" w:rsidRDefault="006E51BF">
            <w:pPr>
              <w:pStyle w:val="ARfintabletextboldright"/>
              <w:rPr>
                <w:lang w:eastAsia="en-AU"/>
              </w:rPr>
            </w:pPr>
            <w:r w:rsidRPr="00290B92">
              <w:rPr>
                <w:lang w:eastAsia="en-AU"/>
              </w:rPr>
              <w:t>878.6</w:t>
            </w:r>
          </w:p>
        </w:tc>
        <w:tc>
          <w:tcPr>
            <w:tcW w:w="784"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7A245E01" w14:textId="77777777" w:rsidR="006E51BF" w:rsidRPr="00290B92"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85" w:type="pct"/>
            <w:tcBorders>
              <w:top w:val="single" w:sz="4" w:space="0" w:color="000000" w:themeColor="text1"/>
              <w:bottom w:val="single" w:sz="4" w:space="0" w:color="000000" w:themeColor="text1"/>
            </w:tcBorders>
            <w:noWrap/>
            <w:tcMar>
              <w:right w:w="0" w:type="nil"/>
            </w:tcMar>
            <w:hideMark/>
          </w:tcPr>
          <w:p w14:paraId="60374F69" w14:textId="77777777" w:rsidR="006E51BF" w:rsidRPr="00290B92" w:rsidRDefault="006E51BF">
            <w:pPr>
              <w:pStyle w:val="ARfintabletextboldright"/>
              <w:rPr>
                <w:lang w:eastAsia="en-AU"/>
              </w:rPr>
            </w:pPr>
            <w:r w:rsidRPr="00290B92">
              <w:rPr>
                <w:lang w:eastAsia="en-AU"/>
              </w:rPr>
              <w:t>484.8</w:t>
            </w:r>
          </w:p>
        </w:tc>
      </w:tr>
      <w:tr w:rsidR="006E51BF" w:rsidRPr="00290B92" w14:paraId="2FAF0CDC" w14:textId="77777777" w:rsidTr="00304BA9">
        <w:trPr>
          <w:cnfStyle w:val="000000100000" w:firstRow="0" w:lastRow="0" w:firstColumn="0" w:lastColumn="0" w:oddVBand="0" w:evenVBand="0" w:oddHBand="1" w:evenHBand="0" w:firstRowFirstColumn="0" w:firstRowLastColumn="0" w:lastRowFirstColumn="0" w:lastRowLastColumn="0"/>
          <w:trHeight w:val="270"/>
        </w:trPr>
        <w:tc>
          <w:tcPr>
            <w:tcW w:w="1324" w:type="pct"/>
            <w:noWrap/>
            <w:hideMark/>
          </w:tcPr>
          <w:p w14:paraId="086C4F71" w14:textId="77777777" w:rsidR="006E51BF" w:rsidRPr="00290B92" w:rsidRDefault="006E51BF">
            <w:pPr>
              <w:pStyle w:val="ARfintabletextboldcoloured"/>
              <w:rPr>
                <w:lang w:eastAsia="en-AU"/>
              </w:rPr>
            </w:pPr>
            <w:r w:rsidRPr="00290B92">
              <w:rPr>
                <w:lang w:eastAsia="en-AU"/>
              </w:rPr>
              <w:t>2025</w:t>
            </w:r>
          </w:p>
        </w:tc>
        <w:tc>
          <w:tcPr>
            <w:cnfStyle w:val="000001000000" w:firstRow="0" w:lastRow="0" w:firstColumn="0" w:lastColumn="0" w:oddVBand="0" w:evenVBand="1" w:oddHBand="0" w:evenHBand="0" w:firstRowFirstColumn="0" w:firstRowLastColumn="0" w:lastRowFirstColumn="0" w:lastRowLastColumn="0"/>
            <w:tcW w:w="661" w:type="pct"/>
            <w:shd w:val="clear" w:color="auto" w:fill="auto"/>
            <w:tcMar>
              <w:right w:w="0" w:type="nil"/>
            </w:tcMar>
            <w:hideMark/>
          </w:tcPr>
          <w:p w14:paraId="3E305407" w14:textId="77777777" w:rsidR="006E51BF" w:rsidRPr="00290B92" w:rsidRDefault="006E51BF">
            <w:pPr>
              <w:pStyle w:val="ARfintabletextright"/>
              <w:rPr>
                <w:lang w:eastAsia="en-AU"/>
              </w:rPr>
            </w:pPr>
            <w:r w:rsidRPr="00290B92">
              <w:rPr>
                <w:lang w:eastAsia="en-AU"/>
              </w:rPr>
              <w:t> </w:t>
            </w:r>
          </w:p>
        </w:tc>
        <w:tc>
          <w:tcPr>
            <w:tcW w:w="661" w:type="pct"/>
            <w:tcMar>
              <w:right w:w="0" w:type="nil"/>
            </w:tcMar>
            <w:hideMark/>
          </w:tcPr>
          <w:p w14:paraId="5F14704D"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784" w:type="pct"/>
            <w:shd w:val="clear" w:color="auto" w:fill="auto"/>
            <w:tcMar>
              <w:right w:w="0" w:type="nil"/>
            </w:tcMar>
            <w:hideMark/>
          </w:tcPr>
          <w:p w14:paraId="2E25190F" w14:textId="77777777" w:rsidR="006E51BF" w:rsidRPr="00290B92" w:rsidRDefault="006E51BF">
            <w:pPr>
              <w:pStyle w:val="ARfintabletextright"/>
              <w:rPr>
                <w:lang w:eastAsia="en-AU"/>
              </w:rPr>
            </w:pPr>
          </w:p>
        </w:tc>
        <w:tc>
          <w:tcPr>
            <w:tcW w:w="784" w:type="pct"/>
            <w:tcMar>
              <w:right w:w="0" w:type="nil"/>
            </w:tcMar>
            <w:hideMark/>
          </w:tcPr>
          <w:p w14:paraId="603F1B2E"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785" w:type="pct"/>
            <w:shd w:val="clear" w:color="auto" w:fill="auto"/>
            <w:tcMar>
              <w:right w:w="0" w:type="nil"/>
            </w:tcMar>
            <w:hideMark/>
          </w:tcPr>
          <w:p w14:paraId="70029F88" w14:textId="77777777" w:rsidR="006E51BF" w:rsidRPr="00290B92" w:rsidRDefault="006E51BF">
            <w:pPr>
              <w:pStyle w:val="ARfintabletextright"/>
              <w:rPr>
                <w:lang w:eastAsia="en-AU"/>
              </w:rPr>
            </w:pPr>
          </w:p>
        </w:tc>
      </w:tr>
      <w:tr w:rsidR="006E51BF" w:rsidRPr="00290B92" w14:paraId="1D5AB1E4" w14:textId="77777777" w:rsidTr="00304BA9">
        <w:trPr>
          <w:cnfStyle w:val="000000010000" w:firstRow="0" w:lastRow="0" w:firstColumn="0" w:lastColumn="0" w:oddVBand="0" w:evenVBand="0" w:oddHBand="0" w:evenHBand="1" w:firstRowFirstColumn="0" w:firstRowLastColumn="0" w:lastRowFirstColumn="0" w:lastRowLastColumn="0"/>
          <w:trHeight w:val="270"/>
        </w:trPr>
        <w:tc>
          <w:tcPr>
            <w:tcW w:w="1324" w:type="pct"/>
            <w:noWrap/>
            <w:hideMark/>
          </w:tcPr>
          <w:p w14:paraId="698D0F7D" w14:textId="77777777" w:rsidR="006E51BF" w:rsidRPr="00290B92" w:rsidRDefault="006E51BF">
            <w:pPr>
              <w:pStyle w:val="ARfintabletextbold"/>
              <w:rPr>
                <w:lang w:eastAsia="en-AU"/>
              </w:rPr>
            </w:pPr>
            <w:r w:rsidRPr="00290B92">
              <w:rPr>
                <w:lang w:eastAsia="en-AU"/>
              </w:rPr>
              <w:t>Financial assets</w:t>
            </w:r>
          </w:p>
        </w:tc>
        <w:tc>
          <w:tcPr>
            <w:cnfStyle w:val="000001000000" w:firstRow="0" w:lastRow="0" w:firstColumn="0" w:lastColumn="0" w:oddVBand="0" w:evenVBand="1" w:oddHBand="0" w:evenHBand="0" w:firstRowFirstColumn="0" w:firstRowLastColumn="0" w:lastRowFirstColumn="0" w:lastRowLastColumn="0"/>
            <w:tcW w:w="661" w:type="pct"/>
            <w:shd w:val="clear" w:color="auto" w:fill="auto"/>
            <w:noWrap/>
            <w:tcMar>
              <w:right w:w="0" w:type="nil"/>
            </w:tcMar>
            <w:hideMark/>
          </w:tcPr>
          <w:p w14:paraId="639817C2" w14:textId="77777777" w:rsidR="006E51BF" w:rsidRPr="00290B92" w:rsidRDefault="006E51BF">
            <w:pPr>
              <w:pStyle w:val="ARfintabletextright"/>
              <w:rPr>
                <w:lang w:eastAsia="en-AU"/>
              </w:rPr>
            </w:pPr>
            <w:r w:rsidRPr="00290B92">
              <w:rPr>
                <w:lang w:eastAsia="en-AU"/>
              </w:rPr>
              <w:t> </w:t>
            </w:r>
          </w:p>
        </w:tc>
        <w:tc>
          <w:tcPr>
            <w:tcW w:w="661" w:type="pct"/>
            <w:noWrap/>
            <w:tcMar>
              <w:right w:w="0" w:type="nil"/>
            </w:tcMar>
            <w:hideMark/>
          </w:tcPr>
          <w:p w14:paraId="5CD45626" w14:textId="77777777" w:rsidR="006E51BF" w:rsidRPr="00290B92"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784" w:type="pct"/>
            <w:shd w:val="clear" w:color="auto" w:fill="auto"/>
            <w:noWrap/>
            <w:tcMar>
              <w:right w:w="0" w:type="nil"/>
            </w:tcMar>
            <w:hideMark/>
          </w:tcPr>
          <w:p w14:paraId="58F9E67D" w14:textId="77777777" w:rsidR="006E51BF" w:rsidRPr="00290B92" w:rsidRDefault="006E51BF">
            <w:pPr>
              <w:pStyle w:val="ARfintabletextright"/>
              <w:rPr>
                <w:lang w:eastAsia="en-AU"/>
              </w:rPr>
            </w:pPr>
          </w:p>
        </w:tc>
        <w:tc>
          <w:tcPr>
            <w:tcW w:w="784" w:type="pct"/>
            <w:noWrap/>
            <w:tcMar>
              <w:right w:w="0" w:type="nil"/>
            </w:tcMar>
            <w:hideMark/>
          </w:tcPr>
          <w:p w14:paraId="060C3ED4" w14:textId="77777777" w:rsidR="006E51BF" w:rsidRPr="00290B92"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785" w:type="pct"/>
            <w:shd w:val="clear" w:color="auto" w:fill="auto"/>
            <w:noWrap/>
            <w:tcMar>
              <w:right w:w="0" w:type="nil"/>
            </w:tcMar>
            <w:hideMark/>
          </w:tcPr>
          <w:p w14:paraId="1ED2F055" w14:textId="77777777" w:rsidR="006E51BF" w:rsidRPr="00290B92" w:rsidRDefault="006E51BF">
            <w:pPr>
              <w:pStyle w:val="ARfintabletextright"/>
              <w:rPr>
                <w:lang w:eastAsia="en-AU"/>
              </w:rPr>
            </w:pPr>
          </w:p>
        </w:tc>
      </w:tr>
      <w:tr w:rsidR="006E51BF" w:rsidRPr="00290B92" w14:paraId="35E68829" w14:textId="77777777" w:rsidTr="00304BA9">
        <w:trPr>
          <w:cnfStyle w:val="000000100000" w:firstRow="0" w:lastRow="0" w:firstColumn="0" w:lastColumn="0" w:oddVBand="0" w:evenVBand="0" w:oddHBand="1" w:evenHBand="0" w:firstRowFirstColumn="0" w:firstRowLastColumn="0" w:lastRowFirstColumn="0" w:lastRowLastColumn="0"/>
          <w:trHeight w:val="270"/>
        </w:trPr>
        <w:tc>
          <w:tcPr>
            <w:tcW w:w="1324" w:type="pct"/>
            <w:noWrap/>
            <w:hideMark/>
          </w:tcPr>
          <w:p w14:paraId="3B673678" w14:textId="77777777" w:rsidR="006E51BF" w:rsidRPr="00290B92" w:rsidRDefault="006E51BF">
            <w:pPr>
              <w:pStyle w:val="ARfintabletext"/>
              <w:rPr>
                <w:lang w:eastAsia="en-AU"/>
              </w:rPr>
            </w:pPr>
            <w:r w:rsidRPr="00290B92">
              <w:rPr>
                <w:lang w:eastAsia="en-AU"/>
              </w:rPr>
              <w:t>Cash and deposits</w:t>
            </w:r>
          </w:p>
        </w:tc>
        <w:tc>
          <w:tcPr>
            <w:cnfStyle w:val="000001000000" w:firstRow="0" w:lastRow="0" w:firstColumn="0" w:lastColumn="0" w:oddVBand="0" w:evenVBand="1" w:oddHBand="0" w:evenHBand="0" w:firstRowFirstColumn="0" w:firstRowLastColumn="0" w:lastRowFirstColumn="0" w:lastRowLastColumn="0"/>
            <w:tcW w:w="661" w:type="pct"/>
            <w:noWrap/>
            <w:tcMar>
              <w:right w:w="0" w:type="nil"/>
            </w:tcMar>
            <w:hideMark/>
          </w:tcPr>
          <w:p w14:paraId="01A16DBE" w14:textId="77777777" w:rsidR="006E51BF" w:rsidRPr="00290B92" w:rsidRDefault="006E51BF">
            <w:pPr>
              <w:pStyle w:val="ARfintabletextright"/>
              <w:rPr>
                <w:lang w:eastAsia="en-AU"/>
              </w:rPr>
            </w:pPr>
            <w:r w:rsidRPr="00290B92">
              <w:rPr>
                <w:lang w:eastAsia="en-AU"/>
              </w:rPr>
              <w:t>4.2%</w:t>
            </w:r>
          </w:p>
        </w:tc>
        <w:tc>
          <w:tcPr>
            <w:tcW w:w="661" w:type="pct"/>
            <w:noWrap/>
            <w:tcMar>
              <w:right w:w="0" w:type="nil"/>
            </w:tcMar>
            <w:hideMark/>
          </w:tcPr>
          <w:p w14:paraId="28FBC4D4"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290B92">
              <w:rPr>
                <w:lang w:eastAsia="en-AU"/>
              </w:rPr>
              <w:t>1,312.2</w:t>
            </w:r>
          </w:p>
        </w:tc>
        <w:tc>
          <w:tcPr>
            <w:cnfStyle w:val="000001000000" w:firstRow="0" w:lastRow="0" w:firstColumn="0" w:lastColumn="0" w:oddVBand="0" w:evenVBand="1" w:oddHBand="0" w:evenHBand="0" w:firstRowFirstColumn="0" w:firstRowLastColumn="0" w:lastRowFirstColumn="0" w:lastRowLastColumn="0"/>
            <w:tcW w:w="784" w:type="pct"/>
            <w:noWrap/>
            <w:tcMar>
              <w:right w:w="0" w:type="nil"/>
            </w:tcMar>
            <w:hideMark/>
          </w:tcPr>
          <w:p w14:paraId="5DBAB256" w14:textId="77777777" w:rsidR="006E51BF" w:rsidRPr="00290B92" w:rsidRDefault="006E51BF">
            <w:pPr>
              <w:pStyle w:val="ARfintabletextright"/>
              <w:rPr>
                <w:lang w:eastAsia="en-AU"/>
              </w:rPr>
            </w:pPr>
            <w:r>
              <w:rPr>
                <w:lang w:eastAsia="en-AU"/>
              </w:rPr>
              <w:t>–</w:t>
            </w:r>
          </w:p>
        </w:tc>
        <w:tc>
          <w:tcPr>
            <w:tcW w:w="784" w:type="pct"/>
            <w:shd w:val="clear" w:color="auto" w:fill="E7E6E6" w:themeFill="background2"/>
            <w:noWrap/>
            <w:tcMar>
              <w:right w:w="0" w:type="nil"/>
            </w:tcMar>
            <w:hideMark/>
          </w:tcPr>
          <w:p w14:paraId="5E5870DC"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290B92">
              <w:rPr>
                <w:lang w:eastAsia="en-AU"/>
              </w:rPr>
              <w:t>1,258.8</w:t>
            </w:r>
          </w:p>
        </w:tc>
        <w:tc>
          <w:tcPr>
            <w:cnfStyle w:val="000001000000" w:firstRow="0" w:lastRow="0" w:firstColumn="0" w:lastColumn="0" w:oddVBand="0" w:evenVBand="1" w:oddHBand="0" w:evenHBand="0" w:firstRowFirstColumn="0" w:firstRowLastColumn="0" w:lastRowFirstColumn="0" w:lastRowLastColumn="0"/>
            <w:tcW w:w="785" w:type="pct"/>
            <w:noWrap/>
            <w:tcMar>
              <w:right w:w="0" w:type="nil"/>
            </w:tcMar>
            <w:hideMark/>
          </w:tcPr>
          <w:p w14:paraId="01EE8164" w14:textId="77777777" w:rsidR="006E51BF" w:rsidRPr="00290B92" w:rsidRDefault="006E51BF">
            <w:pPr>
              <w:pStyle w:val="ARfintabletextright"/>
              <w:rPr>
                <w:lang w:eastAsia="en-AU"/>
              </w:rPr>
            </w:pPr>
            <w:r w:rsidRPr="00290B92">
              <w:rPr>
                <w:lang w:eastAsia="en-AU"/>
              </w:rPr>
              <w:t>53.4</w:t>
            </w:r>
          </w:p>
        </w:tc>
      </w:tr>
      <w:tr w:rsidR="006E51BF" w:rsidRPr="00290B92" w14:paraId="7523A759" w14:textId="77777777" w:rsidTr="00304BA9">
        <w:trPr>
          <w:cnfStyle w:val="000000010000" w:firstRow="0" w:lastRow="0" w:firstColumn="0" w:lastColumn="0" w:oddVBand="0" w:evenVBand="0" w:oddHBand="0" w:evenHBand="1" w:firstRowFirstColumn="0" w:firstRowLastColumn="0" w:lastRowFirstColumn="0" w:lastRowLastColumn="0"/>
          <w:trHeight w:val="290"/>
        </w:trPr>
        <w:tc>
          <w:tcPr>
            <w:tcW w:w="1324" w:type="pct"/>
            <w:tcBorders>
              <w:bottom w:val="single" w:sz="4" w:space="0" w:color="BFBFBF" w:themeColor="accent2"/>
            </w:tcBorders>
            <w:noWrap/>
            <w:hideMark/>
          </w:tcPr>
          <w:p w14:paraId="68025487" w14:textId="77777777" w:rsidR="006E51BF" w:rsidRPr="00290B92" w:rsidRDefault="006E51BF">
            <w:pPr>
              <w:pStyle w:val="ARfintabletext"/>
              <w:rPr>
                <w:lang w:eastAsia="en-AU"/>
              </w:rPr>
            </w:pPr>
            <w:r w:rsidRPr="00290B92">
              <w:rPr>
                <w:lang w:eastAsia="en-AU"/>
              </w:rPr>
              <w:t>Receivables</w:t>
            </w:r>
            <w:r w:rsidRPr="00290B92">
              <w:rPr>
                <w:vertAlign w:val="superscript"/>
                <w:lang w:eastAsia="en-AU"/>
              </w:rPr>
              <w:t xml:space="preserve"> </w:t>
            </w:r>
            <w:r w:rsidRPr="00290B92">
              <w:rPr>
                <w:szCs w:val="18"/>
                <w:vertAlign w:val="superscript"/>
                <w:lang w:eastAsia="en-AU"/>
              </w:rPr>
              <w:t>(</w:t>
            </w:r>
            <w:proofErr w:type="spellStart"/>
            <w:r w:rsidRPr="00290B92">
              <w:rPr>
                <w:szCs w:val="18"/>
                <w:vertAlign w:val="superscript"/>
                <w:lang w:eastAsia="en-AU"/>
              </w:rPr>
              <w:t>i</w:t>
            </w:r>
            <w:proofErr w:type="spellEnd"/>
            <w:r w:rsidRPr="00290B92">
              <w:rPr>
                <w:szCs w:val="18"/>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661" w:type="pct"/>
            <w:tcBorders>
              <w:bottom w:val="single" w:sz="4" w:space="0" w:color="BFBFBF" w:themeColor="accent2"/>
            </w:tcBorders>
            <w:noWrap/>
            <w:tcMar>
              <w:right w:w="0" w:type="nil"/>
            </w:tcMar>
            <w:hideMark/>
          </w:tcPr>
          <w:p w14:paraId="3C71A266" w14:textId="77777777" w:rsidR="006E51BF" w:rsidRPr="00290B92" w:rsidRDefault="006E51BF">
            <w:pPr>
              <w:pStyle w:val="ARfintabletextright"/>
              <w:rPr>
                <w:lang w:eastAsia="en-AU"/>
              </w:rPr>
            </w:pPr>
            <w:r w:rsidRPr="00290B92">
              <w:rPr>
                <w:lang w:eastAsia="en-AU"/>
              </w:rPr>
              <w:t> </w:t>
            </w:r>
          </w:p>
        </w:tc>
        <w:tc>
          <w:tcPr>
            <w:tcW w:w="661" w:type="pct"/>
            <w:tcBorders>
              <w:bottom w:val="single" w:sz="4" w:space="0" w:color="BFBFBF" w:themeColor="accent2"/>
            </w:tcBorders>
            <w:noWrap/>
            <w:tcMar>
              <w:right w:w="0" w:type="nil"/>
            </w:tcMar>
            <w:hideMark/>
          </w:tcPr>
          <w:p w14:paraId="6E6FF759" w14:textId="77777777" w:rsidR="006E51BF" w:rsidRPr="00290B92"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290B92">
              <w:rPr>
                <w:lang w:eastAsia="en-AU"/>
              </w:rPr>
              <w:t>225.4</w:t>
            </w:r>
          </w:p>
        </w:tc>
        <w:tc>
          <w:tcPr>
            <w:cnfStyle w:val="000001000000" w:firstRow="0" w:lastRow="0" w:firstColumn="0" w:lastColumn="0" w:oddVBand="0" w:evenVBand="1" w:oddHBand="0" w:evenHBand="0" w:firstRowFirstColumn="0" w:firstRowLastColumn="0" w:lastRowFirstColumn="0" w:lastRowLastColumn="0"/>
            <w:tcW w:w="784" w:type="pct"/>
            <w:tcBorders>
              <w:bottom w:val="single" w:sz="4" w:space="0" w:color="BFBFBF" w:themeColor="accent2"/>
            </w:tcBorders>
            <w:noWrap/>
            <w:tcMar>
              <w:right w:w="0" w:type="nil"/>
            </w:tcMar>
            <w:hideMark/>
          </w:tcPr>
          <w:p w14:paraId="5870F86F" w14:textId="77777777" w:rsidR="006E51BF" w:rsidRPr="00290B92" w:rsidRDefault="006E51BF">
            <w:pPr>
              <w:pStyle w:val="ARfintabletextright"/>
              <w:rPr>
                <w:lang w:eastAsia="en-AU"/>
              </w:rPr>
            </w:pPr>
            <w:r>
              <w:rPr>
                <w:lang w:eastAsia="en-AU"/>
              </w:rPr>
              <w:t>–</w:t>
            </w:r>
          </w:p>
        </w:tc>
        <w:tc>
          <w:tcPr>
            <w:tcW w:w="784" w:type="pct"/>
            <w:tcBorders>
              <w:bottom w:val="single" w:sz="4" w:space="0" w:color="BFBFBF" w:themeColor="accent2"/>
            </w:tcBorders>
            <w:shd w:val="clear" w:color="auto" w:fill="E7E6E6" w:themeFill="background2"/>
            <w:noWrap/>
            <w:tcMar>
              <w:right w:w="0" w:type="nil"/>
            </w:tcMar>
            <w:hideMark/>
          </w:tcPr>
          <w:p w14:paraId="00F791C5" w14:textId="77777777" w:rsidR="006E51BF" w:rsidRPr="00290B92"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85" w:type="pct"/>
            <w:tcBorders>
              <w:bottom w:val="single" w:sz="4" w:space="0" w:color="BFBFBF" w:themeColor="accent2"/>
            </w:tcBorders>
            <w:noWrap/>
            <w:tcMar>
              <w:right w:w="0" w:type="nil"/>
            </w:tcMar>
            <w:hideMark/>
          </w:tcPr>
          <w:p w14:paraId="349FE512" w14:textId="77777777" w:rsidR="006E51BF" w:rsidRPr="00290B92" w:rsidRDefault="006E51BF">
            <w:pPr>
              <w:pStyle w:val="ARfintabletextright"/>
              <w:rPr>
                <w:lang w:eastAsia="en-AU"/>
              </w:rPr>
            </w:pPr>
            <w:r w:rsidRPr="00290B92">
              <w:rPr>
                <w:lang w:eastAsia="en-AU"/>
              </w:rPr>
              <w:t>225.4</w:t>
            </w:r>
          </w:p>
        </w:tc>
      </w:tr>
      <w:tr w:rsidR="006E51BF" w:rsidRPr="00290B92" w14:paraId="7A971E72" w14:textId="77777777" w:rsidTr="00304BA9">
        <w:trPr>
          <w:cnfStyle w:val="000000100000" w:firstRow="0" w:lastRow="0" w:firstColumn="0" w:lastColumn="0" w:oddVBand="0" w:evenVBand="0" w:oddHBand="1" w:evenHBand="0" w:firstRowFirstColumn="0" w:firstRowLastColumn="0" w:lastRowFirstColumn="0" w:lastRowLastColumn="0"/>
          <w:trHeight w:val="270"/>
        </w:trPr>
        <w:tc>
          <w:tcPr>
            <w:tcW w:w="1324" w:type="pct"/>
            <w:tcBorders>
              <w:top w:val="single" w:sz="4" w:space="0" w:color="BFBFBF" w:themeColor="accent2"/>
              <w:bottom w:val="single" w:sz="4" w:space="0" w:color="000000" w:themeColor="text1"/>
            </w:tcBorders>
            <w:noWrap/>
            <w:hideMark/>
          </w:tcPr>
          <w:p w14:paraId="73D7F56E" w14:textId="77777777" w:rsidR="006E51BF" w:rsidRPr="00290B92" w:rsidRDefault="006E51BF">
            <w:pPr>
              <w:pStyle w:val="ARfintabletext"/>
              <w:rPr>
                <w:lang w:eastAsia="en-AU"/>
              </w:rPr>
            </w:pPr>
            <w:r w:rsidRPr="00290B92">
              <w:rPr>
                <w:lang w:eastAsia="en-AU"/>
              </w:rPr>
              <w:t xml:space="preserve">Loans </w:t>
            </w:r>
          </w:p>
        </w:tc>
        <w:tc>
          <w:tcPr>
            <w:cnfStyle w:val="000001000000" w:firstRow="0" w:lastRow="0" w:firstColumn="0" w:lastColumn="0" w:oddVBand="0" w:evenVBand="1" w:oddHBand="0" w:evenHBand="0" w:firstRowFirstColumn="0" w:firstRowLastColumn="0" w:lastRowFirstColumn="0" w:lastRowLastColumn="0"/>
            <w:tcW w:w="661" w:type="pct"/>
            <w:tcBorders>
              <w:top w:val="single" w:sz="4" w:space="0" w:color="BFBFBF" w:themeColor="accent2"/>
              <w:bottom w:val="single" w:sz="4" w:space="0" w:color="000000" w:themeColor="text1"/>
            </w:tcBorders>
            <w:noWrap/>
            <w:tcMar>
              <w:right w:w="0" w:type="nil"/>
            </w:tcMar>
            <w:hideMark/>
          </w:tcPr>
          <w:p w14:paraId="3EEF7B5E" w14:textId="77777777" w:rsidR="006E51BF" w:rsidRPr="00290B92" w:rsidRDefault="006E51BF">
            <w:pPr>
              <w:pStyle w:val="ARfintabletextright"/>
              <w:rPr>
                <w:lang w:eastAsia="en-AU"/>
              </w:rPr>
            </w:pPr>
            <w:r w:rsidRPr="00290B92">
              <w:rPr>
                <w:lang w:eastAsia="en-AU"/>
              </w:rPr>
              <w:t>1.4%</w:t>
            </w:r>
          </w:p>
        </w:tc>
        <w:tc>
          <w:tcPr>
            <w:tcW w:w="661" w:type="pct"/>
            <w:tcBorders>
              <w:top w:val="single" w:sz="4" w:space="0" w:color="BFBFBF" w:themeColor="accent2"/>
              <w:bottom w:val="single" w:sz="4" w:space="0" w:color="000000" w:themeColor="text1"/>
            </w:tcBorders>
            <w:noWrap/>
            <w:tcMar>
              <w:right w:w="0" w:type="nil"/>
            </w:tcMar>
            <w:hideMark/>
          </w:tcPr>
          <w:p w14:paraId="045C891D"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290B92">
              <w:rPr>
                <w:lang w:eastAsia="en-AU"/>
              </w:rPr>
              <w:t>66.7</w:t>
            </w:r>
          </w:p>
        </w:tc>
        <w:tc>
          <w:tcPr>
            <w:cnfStyle w:val="000001000000" w:firstRow="0" w:lastRow="0" w:firstColumn="0" w:lastColumn="0" w:oddVBand="0" w:evenVBand="1" w:oddHBand="0" w:evenHBand="0" w:firstRowFirstColumn="0" w:firstRowLastColumn="0" w:lastRowFirstColumn="0" w:lastRowLastColumn="0"/>
            <w:tcW w:w="784" w:type="pct"/>
            <w:tcBorders>
              <w:top w:val="single" w:sz="4" w:space="0" w:color="BFBFBF" w:themeColor="accent2"/>
              <w:bottom w:val="single" w:sz="4" w:space="0" w:color="000000" w:themeColor="text1"/>
            </w:tcBorders>
            <w:noWrap/>
            <w:tcMar>
              <w:right w:w="0" w:type="nil"/>
            </w:tcMar>
            <w:hideMark/>
          </w:tcPr>
          <w:p w14:paraId="6D04C758" w14:textId="77777777" w:rsidR="006E51BF" w:rsidRPr="00290B92" w:rsidRDefault="006E51BF">
            <w:pPr>
              <w:pStyle w:val="ARfintabletextright"/>
              <w:rPr>
                <w:lang w:eastAsia="en-AU"/>
              </w:rPr>
            </w:pPr>
            <w:r w:rsidRPr="00290B92">
              <w:rPr>
                <w:lang w:eastAsia="en-AU"/>
              </w:rPr>
              <w:t>0.3</w:t>
            </w:r>
          </w:p>
        </w:tc>
        <w:tc>
          <w:tcPr>
            <w:tcW w:w="784" w:type="pct"/>
            <w:tcBorders>
              <w:top w:val="single" w:sz="4" w:space="0" w:color="BFBFBF" w:themeColor="accent2"/>
              <w:bottom w:val="single" w:sz="4" w:space="0" w:color="000000" w:themeColor="text1"/>
            </w:tcBorders>
            <w:shd w:val="clear" w:color="auto" w:fill="E7E6E6" w:themeFill="background2"/>
            <w:noWrap/>
            <w:tcMar>
              <w:right w:w="0" w:type="nil"/>
            </w:tcMar>
            <w:hideMark/>
          </w:tcPr>
          <w:p w14:paraId="6B606271"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85" w:type="pct"/>
            <w:tcBorders>
              <w:top w:val="single" w:sz="4" w:space="0" w:color="BFBFBF" w:themeColor="accent2"/>
              <w:bottom w:val="single" w:sz="4" w:space="0" w:color="000000" w:themeColor="text1"/>
            </w:tcBorders>
            <w:noWrap/>
            <w:tcMar>
              <w:right w:w="0" w:type="nil"/>
            </w:tcMar>
            <w:hideMark/>
          </w:tcPr>
          <w:p w14:paraId="6BAD8368" w14:textId="77777777" w:rsidR="006E51BF" w:rsidRPr="00290B92" w:rsidRDefault="006E51BF">
            <w:pPr>
              <w:pStyle w:val="ARfintabletextright"/>
              <w:rPr>
                <w:lang w:eastAsia="en-AU"/>
              </w:rPr>
            </w:pPr>
            <w:r w:rsidRPr="00290B92">
              <w:rPr>
                <w:lang w:eastAsia="en-AU"/>
              </w:rPr>
              <w:t>66.4</w:t>
            </w:r>
          </w:p>
        </w:tc>
      </w:tr>
      <w:tr w:rsidR="006E51BF" w:rsidRPr="00290B92" w14:paraId="4AD29A0E" w14:textId="77777777" w:rsidTr="00304BA9">
        <w:trPr>
          <w:cnfStyle w:val="000000010000" w:firstRow="0" w:lastRow="0" w:firstColumn="0" w:lastColumn="0" w:oddVBand="0" w:evenVBand="0" w:oddHBand="0" w:evenHBand="1" w:firstRowFirstColumn="0" w:firstRowLastColumn="0" w:lastRowFirstColumn="0" w:lastRowLastColumn="0"/>
          <w:trHeight w:val="280"/>
        </w:trPr>
        <w:tc>
          <w:tcPr>
            <w:tcW w:w="1324" w:type="pct"/>
            <w:tcBorders>
              <w:top w:val="single" w:sz="4" w:space="0" w:color="000000" w:themeColor="text1"/>
              <w:bottom w:val="single" w:sz="4" w:space="0" w:color="000000" w:themeColor="text1"/>
            </w:tcBorders>
            <w:noWrap/>
            <w:hideMark/>
          </w:tcPr>
          <w:p w14:paraId="1277EA63" w14:textId="77777777" w:rsidR="006E51BF" w:rsidRPr="00290B92" w:rsidRDefault="006E51BF">
            <w:pPr>
              <w:pStyle w:val="ARfintabletextbold"/>
              <w:rPr>
                <w:lang w:eastAsia="en-AU"/>
              </w:rPr>
            </w:pPr>
            <w:r w:rsidRPr="00290B92">
              <w:rPr>
                <w:lang w:eastAsia="en-AU"/>
              </w:rPr>
              <w:t>Total financial assets</w:t>
            </w:r>
          </w:p>
        </w:tc>
        <w:tc>
          <w:tcPr>
            <w:cnfStyle w:val="000001000000" w:firstRow="0" w:lastRow="0" w:firstColumn="0" w:lastColumn="0" w:oddVBand="0" w:evenVBand="1" w:oddHBand="0" w:evenHBand="0" w:firstRowFirstColumn="0" w:firstRowLastColumn="0" w:lastRowFirstColumn="0" w:lastRowLastColumn="0"/>
            <w:tcW w:w="661" w:type="pct"/>
            <w:tcBorders>
              <w:top w:val="single" w:sz="4" w:space="0" w:color="000000" w:themeColor="text1"/>
              <w:bottom w:val="single" w:sz="4" w:space="0" w:color="000000" w:themeColor="text1"/>
            </w:tcBorders>
            <w:noWrap/>
            <w:tcMar>
              <w:right w:w="0" w:type="nil"/>
            </w:tcMar>
            <w:hideMark/>
          </w:tcPr>
          <w:p w14:paraId="1D678BE5" w14:textId="77777777" w:rsidR="006E51BF" w:rsidRPr="00290B92" w:rsidRDefault="006E51BF">
            <w:pPr>
              <w:pStyle w:val="ARfintabletextboldright"/>
              <w:rPr>
                <w:lang w:eastAsia="en-AU"/>
              </w:rPr>
            </w:pPr>
          </w:p>
        </w:tc>
        <w:tc>
          <w:tcPr>
            <w:tcW w:w="661" w:type="pct"/>
            <w:tcBorders>
              <w:top w:val="single" w:sz="4" w:space="0" w:color="000000" w:themeColor="text1"/>
              <w:bottom w:val="single" w:sz="4" w:space="0" w:color="000000" w:themeColor="text1"/>
            </w:tcBorders>
            <w:noWrap/>
            <w:tcMar>
              <w:right w:w="0" w:type="nil"/>
            </w:tcMar>
            <w:hideMark/>
          </w:tcPr>
          <w:p w14:paraId="286E7EF3" w14:textId="77777777" w:rsidR="006E51BF" w:rsidRPr="00290B92"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290B92">
              <w:rPr>
                <w:lang w:eastAsia="en-AU"/>
              </w:rPr>
              <w:t>1,604.3</w:t>
            </w:r>
          </w:p>
        </w:tc>
        <w:tc>
          <w:tcPr>
            <w:cnfStyle w:val="000001000000" w:firstRow="0" w:lastRow="0" w:firstColumn="0" w:lastColumn="0" w:oddVBand="0" w:evenVBand="1" w:oddHBand="0" w:evenHBand="0" w:firstRowFirstColumn="0" w:firstRowLastColumn="0" w:lastRowFirstColumn="0" w:lastRowLastColumn="0"/>
            <w:tcW w:w="784" w:type="pct"/>
            <w:tcBorders>
              <w:top w:val="single" w:sz="4" w:space="0" w:color="000000" w:themeColor="text1"/>
              <w:bottom w:val="single" w:sz="4" w:space="0" w:color="000000" w:themeColor="text1"/>
            </w:tcBorders>
            <w:noWrap/>
            <w:tcMar>
              <w:right w:w="0" w:type="nil"/>
            </w:tcMar>
            <w:hideMark/>
          </w:tcPr>
          <w:p w14:paraId="3208F0F1" w14:textId="77777777" w:rsidR="006E51BF" w:rsidRPr="00290B92" w:rsidRDefault="006E51BF">
            <w:pPr>
              <w:pStyle w:val="ARfintabletextboldright"/>
              <w:rPr>
                <w:lang w:eastAsia="en-AU"/>
              </w:rPr>
            </w:pPr>
            <w:r w:rsidRPr="00290B92">
              <w:rPr>
                <w:lang w:eastAsia="en-AU"/>
              </w:rPr>
              <w:t>0.3</w:t>
            </w:r>
          </w:p>
        </w:tc>
        <w:tc>
          <w:tcPr>
            <w:tcW w:w="784"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1C101E07" w14:textId="77777777" w:rsidR="006E51BF" w:rsidRPr="00290B92"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290B92">
              <w:rPr>
                <w:lang w:eastAsia="en-AU"/>
              </w:rPr>
              <w:t>1,258.8</w:t>
            </w:r>
          </w:p>
        </w:tc>
        <w:tc>
          <w:tcPr>
            <w:cnfStyle w:val="000001000000" w:firstRow="0" w:lastRow="0" w:firstColumn="0" w:lastColumn="0" w:oddVBand="0" w:evenVBand="1" w:oddHBand="0" w:evenHBand="0" w:firstRowFirstColumn="0" w:firstRowLastColumn="0" w:lastRowFirstColumn="0" w:lastRowLastColumn="0"/>
            <w:tcW w:w="785" w:type="pct"/>
            <w:tcBorders>
              <w:top w:val="single" w:sz="4" w:space="0" w:color="000000" w:themeColor="text1"/>
              <w:bottom w:val="single" w:sz="4" w:space="0" w:color="000000" w:themeColor="text1"/>
            </w:tcBorders>
            <w:noWrap/>
            <w:tcMar>
              <w:right w:w="0" w:type="nil"/>
            </w:tcMar>
            <w:hideMark/>
          </w:tcPr>
          <w:p w14:paraId="315CA92B" w14:textId="77777777" w:rsidR="006E51BF" w:rsidRPr="00290B92" w:rsidRDefault="006E51BF">
            <w:pPr>
              <w:pStyle w:val="ARfintabletextboldright"/>
              <w:rPr>
                <w:lang w:eastAsia="en-AU"/>
              </w:rPr>
            </w:pPr>
            <w:r w:rsidRPr="00290B92">
              <w:rPr>
                <w:lang w:eastAsia="en-AU"/>
              </w:rPr>
              <w:t>345.2</w:t>
            </w:r>
          </w:p>
        </w:tc>
      </w:tr>
      <w:tr w:rsidR="006E51BF" w:rsidRPr="00290B92" w14:paraId="775E1913" w14:textId="77777777" w:rsidTr="00304BA9">
        <w:trPr>
          <w:cnfStyle w:val="000000100000" w:firstRow="0" w:lastRow="0" w:firstColumn="0" w:lastColumn="0" w:oddVBand="0" w:evenVBand="0" w:oddHBand="1" w:evenHBand="0" w:firstRowFirstColumn="0" w:firstRowLastColumn="0" w:lastRowFirstColumn="0" w:lastRowLastColumn="0"/>
          <w:trHeight w:val="270"/>
        </w:trPr>
        <w:tc>
          <w:tcPr>
            <w:tcW w:w="1324" w:type="pct"/>
            <w:tcBorders>
              <w:top w:val="single" w:sz="4" w:space="0" w:color="000000" w:themeColor="text1"/>
            </w:tcBorders>
            <w:noWrap/>
            <w:hideMark/>
          </w:tcPr>
          <w:p w14:paraId="0C6CF736" w14:textId="77777777" w:rsidR="006E51BF" w:rsidRPr="00290B92" w:rsidRDefault="006E51BF">
            <w:pPr>
              <w:pStyle w:val="ARfintabletextbold"/>
              <w:rPr>
                <w:lang w:eastAsia="en-AU"/>
              </w:rPr>
            </w:pPr>
            <w:r w:rsidRPr="00290B92">
              <w:rPr>
                <w:lang w:eastAsia="en-AU"/>
              </w:rPr>
              <w:t>Financial liabilities</w:t>
            </w:r>
          </w:p>
        </w:tc>
        <w:tc>
          <w:tcPr>
            <w:cnfStyle w:val="000001000000" w:firstRow="0" w:lastRow="0" w:firstColumn="0" w:lastColumn="0" w:oddVBand="0" w:evenVBand="1" w:oddHBand="0" w:evenHBand="0" w:firstRowFirstColumn="0" w:firstRowLastColumn="0" w:lastRowFirstColumn="0" w:lastRowLastColumn="0"/>
            <w:tcW w:w="661" w:type="pct"/>
            <w:tcBorders>
              <w:top w:val="single" w:sz="4" w:space="0" w:color="000000" w:themeColor="text1"/>
            </w:tcBorders>
            <w:shd w:val="clear" w:color="auto" w:fill="auto"/>
            <w:noWrap/>
            <w:tcMar>
              <w:right w:w="0" w:type="nil"/>
            </w:tcMar>
            <w:hideMark/>
          </w:tcPr>
          <w:p w14:paraId="4B548A37" w14:textId="77777777" w:rsidR="006E51BF" w:rsidRPr="00290B92" w:rsidRDefault="006E51BF">
            <w:pPr>
              <w:pStyle w:val="ARfintabletextright"/>
              <w:rPr>
                <w:lang w:eastAsia="en-AU"/>
              </w:rPr>
            </w:pPr>
          </w:p>
        </w:tc>
        <w:tc>
          <w:tcPr>
            <w:tcW w:w="661" w:type="pct"/>
            <w:tcBorders>
              <w:top w:val="single" w:sz="4" w:space="0" w:color="000000" w:themeColor="text1"/>
            </w:tcBorders>
            <w:noWrap/>
            <w:tcMar>
              <w:right w:w="0" w:type="nil"/>
            </w:tcMar>
            <w:hideMark/>
          </w:tcPr>
          <w:p w14:paraId="05473148"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784" w:type="pct"/>
            <w:tcBorders>
              <w:top w:val="single" w:sz="4" w:space="0" w:color="000000" w:themeColor="text1"/>
            </w:tcBorders>
            <w:shd w:val="clear" w:color="auto" w:fill="auto"/>
            <w:noWrap/>
            <w:tcMar>
              <w:right w:w="0" w:type="nil"/>
            </w:tcMar>
            <w:hideMark/>
          </w:tcPr>
          <w:p w14:paraId="173A4DB5" w14:textId="77777777" w:rsidR="006E51BF" w:rsidRPr="00290B92" w:rsidRDefault="006E51BF">
            <w:pPr>
              <w:pStyle w:val="ARfintabletextright"/>
              <w:rPr>
                <w:lang w:eastAsia="en-AU"/>
              </w:rPr>
            </w:pPr>
          </w:p>
        </w:tc>
        <w:tc>
          <w:tcPr>
            <w:tcW w:w="784" w:type="pct"/>
            <w:tcBorders>
              <w:top w:val="single" w:sz="4" w:space="0" w:color="000000" w:themeColor="text1"/>
            </w:tcBorders>
            <w:noWrap/>
            <w:tcMar>
              <w:right w:w="0" w:type="nil"/>
            </w:tcMar>
            <w:hideMark/>
          </w:tcPr>
          <w:p w14:paraId="32C3D539"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785" w:type="pct"/>
            <w:tcBorders>
              <w:top w:val="single" w:sz="4" w:space="0" w:color="000000" w:themeColor="text1"/>
            </w:tcBorders>
            <w:shd w:val="clear" w:color="auto" w:fill="auto"/>
            <w:noWrap/>
            <w:tcMar>
              <w:right w:w="0" w:type="nil"/>
            </w:tcMar>
            <w:hideMark/>
          </w:tcPr>
          <w:p w14:paraId="1DD7B597" w14:textId="77777777" w:rsidR="006E51BF" w:rsidRPr="00290B92" w:rsidRDefault="006E51BF">
            <w:pPr>
              <w:pStyle w:val="ARfintabletextright"/>
              <w:rPr>
                <w:lang w:eastAsia="en-AU"/>
              </w:rPr>
            </w:pPr>
          </w:p>
        </w:tc>
      </w:tr>
      <w:tr w:rsidR="006E51BF" w:rsidRPr="00290B92" w14:paraId="246DC5E8" w14:textId="77777777" w:rsidTr="00304BA9">
        <w:trPr>
          <w:cnfStyle w:val="000000010000" w:firstRow="0" w:lastRow="0" w:firstColumn="0" w:lastColumn="0" w:oddVBand="0" w:evenVBand="0" w:oddHBand="0" w:evenHBand="1" w:firstRowFirstColumn="0" w:firstRowLastColumn="0" w:lastRowFirstColumn="0" w:lastRowLastColumn="0"/>
          <w:trHeight w:val="270"/>
        </w:trPr>
        <w:tc>
          <w:tcPr>
            <w:tcW w:w="1324" w:type="pct"/>
            <w:noWrap/>
            <w:hideMark/>
          </w:tcPr>
          <w:p w14:paraId="6FF4E915" w14:textId="77777777" w:rsidR="006E51BF" w:rsidRPr="00290B92" w:rsidRDefault="006E51BF">
            <w:pPr>
              <w:pStyle w:val="ARfintabletext"/>
              <w:rPr>
                <w:lang w:eastAsia="en-AU"/>
              </w:rPr>
            </w:pPr>
            <w:r w:rsidRPr="00290B92">
              <w:rPr>
                <w:lang w:eastAsia="en-AU"/>
              </w:rPr>
              <w:t xml:space="preserve">Payables </w:t>
            </w:r>
            <w:r w:rsidRPr="00290B92">
              <w:rPr>
                <w:szCs w:val="18"/>
                <w:vertAlign w:val="superscript"/>
                <w:lang w:eastAsia="en-AU"/>
              </w:rPr>
              <w:t>(</w:t>
            </w:r>
            <w:proofErr w:type="spellStart"/>
            <w:r w:rsidRPr="00290B92">
              <w:rPr>
                <w:szCs w:val="18"/>
                <w:vertAlign w:val="superscript"/>
                <w:lang w:eastAsia="en-AU"/>
              </w:rPr>
              <w:t>i</w:t>
            </w:r>
            <w:proofErr w:type="spellEnd"/>
            <w:r w:rsidRPr="00290B92">
              <w:rPr>
                <w:szCs w:val="18"/>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661" w:type="pct"/>
            <w:noWrap/>
            <w:tcMar>
              <w:right w:w="0" w:type="nil"/>
            </w:tcMar>
            <w:hideMark/>
          </w:tcPr>
          <w:p w14:paraId="219EBC26" w14:textId="77777777" w:rsidR="006E51BF" w:rsidRPr="00290B92" w:rsidRDefault="006E51BF">
            <w:pPr>
              <w:pStyle w:val="ARfintabletextright"/>
              <w:rPr>
                <w:lang w:eastAsia="en-AU"/>
              </w:rPr>
            </w:pPr>
          </w:p>
        </w:tc>
        <w:tc>
          <w:tcPr>
            <w:tcW w:w="661" w:type="pct"/>
            <w:noWrap/>
            <w:tcMar>
              <w:right w:w="0" w:type="nil"/>
            </w:tcMar>
            <w:hideMark/>
          </w:tcPr>
          <w:p w14:paraId="61A4B879" w14:textId="77777777" w:rsidR="006E51BF" w:rsidRPr="00290B92"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290B92">
              <w:rPr>
                <w:lang w:eastAsia="en-AU"/>
              </w:rPr>
              <w:t>449.7</w:t>
            </w:r>
          </w:p>
        </w:tc>
        <w:tc>
          <w:tcPr>
            <w:cnfStyle w:val="000001000000" w:firstRow="0" w:lastRow="0" w:firstColumn="0" w:lastColumn="0" w:oddVBand="0" w:evenVBand="1" w:oddHBand="0" w:evenHBand="0" w:firstRowFirstColumn="0" w:firstRowLastColumn="0" w:lastRowFirstColumn="0" w:lastRowLastColumn="0"/>
            <w:tcW w:w="784" w:type="pct"/>
            <w:noWrap/>
            <w:tcMar>
              <w:right w:w="0" w:type="nil"/>
            </w:tcMar>
            <w:hideMark/>
          </w:tcPr>
          <w:p w14:paraId="0745DC6B" w14:textId="77777777" w:rsidR="006E51BF" w:rsidRPr="00290B92" w:rsidRDefault="006E51BF">
            <w:pPr>
              <w:pStyle w:val="ARfintabletextright"/>
              <w:rPr>
                <w:lang w:eastAsia="en-AU"/>
              </w:rPr>
            </w:pPr>
            <w:r w:rsidRPr="00290B92">
              <w:rPr>
                <w:lang w:eastAsia="en-AU"/>
              </w:rPr>
              <w:t>1.0</w:t>
            </w:r>
          </w:p>
        </w:tc>
        <w:tc>
          <w:tcPr>
            <w:tcW w:w="784" w:type="pct"/>
            <w:shd w:val="clear" w:color="auto" w:fill="E7E6E6" w:themeFill="background2"/>
            <w:noWrap/>
            <w:tcMar>
              <w:right w:w="0" w:type="nil"/>
            </w:tcMar>
            <w:hideMark/>
          </w:tcPr>
          <w:p w14:paraId="1E259BE9" w14:textId="77777777" w:rsidR="006E51BF" w:rsidRPr="00290B92"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85" w:type="pct"/>
            <w:noWrap/>
            <w:tcMar>
              <w:right w:w="0" w:type="nil"/>
            </w:tcMar>
            <w:hideMark/>
          </w:tcPr>
          <w:p w14:paraId="23DB0579" w14:textId="77777777" w:rsidR="006E51BF" w:rsidRPr="00290B92" w:rsidRDefault="006E51BF">
            <w:pPr>
              <w:pStyle w:val="ARfintabletextright"/>
              <w:rPr>
                <w:lang w:eastAsia="en-AU"/>
              </w:rPr>
            </w:pPr>
            <w:r w:rsidRPr="00290B92">
              <w:rPr>
                <w:lang w:eastAsia="en-AU"/>
              </w:rPr>
              <w:t>448.7</w:t>
            </w:r>
          </w:p>
        </w:tc>
      </w:tr>
      <w:tr w:rsidR="006E51BF" w:rsidRPr="00290B92" w14:paraId="533A956D" w14:textId="77777777" w:rsidTr="00304BA9">
        <w:trPr>
          <w:cnfStyle w:val="000000100000" w:firstRow="0" w:lastRow="0" w:firstColumn="0" w:lastColumn="0" w:oddVBand="0" w:evenVBand="0" w:oddHBand="1" w:evenHBand="0" w:firstRowFirstColumn="0" w:firstRowLastColumn="0" w:lastRowFirstColumn="0" w:lastRowLastColumn="0"/>
          <w:trHeight w:val="290"/>
        </w:trPr>
        <w:tc>
          <w:tcPr>
            <w:tcW w:w="1324" w:type="pct"/>
            <w:noWrap/>
            <w:hideMark/>
          </w:tcPr>
          <w:p w14:paraId="224E0BAE" w14:textId="77777777" w:rsidR="006E51BF" w:rsidRPr="00290B92" w:rsidRDefault="006E51BF">
            <w:pPr>
              <w:pStyle w:val="ARfintabletext"/>
              <w:rPr>
                <w:lang w:eastAsia="en-AU"/>
              </w:rPr>
            </w:pPr>
            <w:r w:rsidRPr="00290B92">
              <w:rPr>
                <w:lang w:eastAsia="en-AU"/>
              </w:rPr>
              <w:t xml:space="preserve">Borrowings </w:t>
            </w:r>
            <w:r w:rsidRPr="00290B92">
              <w:rPr>
                <w:vertAlign w:val="superscript"/>
                <w:lang w:eastAsia="en-AU"/>
              </w:rPr>
              <w:t>(</w:t>
            </w:r>
            <w:proofErr w:type="spellStart"/>
            <w:r w:rsidRPr="00290B92">
              <w:rPr>
                <w:vertAlign w:val="superscript"/>
                <w:lang w:eastAsia="en-AU"/>
              </w:rPr>
              <w:t>i</w:t>
            </w:r>
            <w:proofErr w:type="spellEnd"/>
            <w:r w:rsidRPr="00290B92">
              <w:rPr>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661" w:type="pct"/>
            <w:noWrap/>
            <w:tcMar>
              <w:right w:w="0" w:type="nil"/>
            </w:tcMar>
            <w:hideMark/>
          </w:tcPr>
          <w:p w14:paraId="2722E71B" w14:textId="77777777" w:rsidR="006E51BF" w:rsidRPr="00290B92" w:rsidRDefault="006E51BF">
            <w:pPr>
              <w:pStyle w:val="ARfintabletextright"/>
              <w:rPr>
                <w:lang w:eastAsia="en-AU"/>
              </w:rPr>
            </w:pPr>
            <w:r w:rsidRPr="00290B92">
              <w:rPr>
                <w:lang w:eastAsia="en-AU"/>
              </w:rPr>
              <w:t>6.0%</w:t>
            </w:r>
          </w:p>
        </w:tc>
        <w:tc>
          <w:tcPr>
            <w:tcW w:w="661" w:type="pct"/>
            <w:noWrap/>
            <w:tcMar>
              <w:right w:w="0" w:type="nil"/>
            </w:tcMar>
            <w:hideMark/>
          </w:tcPr>
          <w:p w14:paraId="0108C8EF"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290B92">
              <w:rPr>
                <w:lang w:eastAsia="en-AU"/>
              </w:rPr>
              <w:t>737.0</w:t>
            </w:r>
          </w:p>
        </w:tc>
        <w:tc>
          <w:tcPr>
            <w:cnfStyle w:val="000001000000" w:firstRow="0" w:lastRow="0" w:firstColumn="0" w:lastColumn="0" w:oddVBand="0" w:evenVBand="1" w:oddHBand="0" w:evenHBand="0" w:firstRowFirstColumn="0" w:firstRowLastColumn="0" w:lastRowFirstColumn="0" w:lastRowLastColumn="0"/>
            <w:tcW w:w="784" w:type="pct"/>
            <w:noWrap/>
            <w:tcMar>
              <w:right w:w="0" w:type="nil"/>
            </w:tcMar>
            <w:hideMark/>
          </w:tcPr>
          <w:p w14:paraId="49112F4C" w14:textId="77777777" w:rsidR="006E51BF" w:rsidRPr="00290B92" w:rsidRDefault="006E51BF">
            <w:pPr>
              <w:pStyle w:val="ARfintabletextright"/>
              <w:rPr>
                <w:lang w:eastAsia="en-AU"/>
              </w:rPr>
            </w:pPr>
            <w:r w:rsidRPr="00290B92">
              <w:rPr>
                <w:lang w:eastAsia="en-AU"/>
              </w:rPr>
              <w:t>735.9</w:t>
            </w:r>
          </w:p>
        </w:tc>
        <w:tc>
          <w:tcPr>
            <w:tcW w:w="784" w:type="pct"/>
            <w:shd w:val="clear" w:color="auto" w:fill="E7E6E6" w:themeFill="background2"/>
            <w:noWrap/>
            <w:tcMar>
              <w:right w:w="0" w:type="nil"/>
            </w:tcMar>
            <w:hideMark/>
          </w:tcPr>
          <w:p w14:paraId="33505279" w14:textId="77777777" w:rsidR="006E51BF" w:rsidRPr="00290B92"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85" w:type="pct"/>
            <w:noWrap/>
            <w:tcMar>
              <w:right w:w="0" w:type="nil"/>
            </w:tcMar>
            <w:hideMark/>
          </w:tcPr>
          <w:p w14:paraId="2B78C56C" w14:textId="77777777" w:rsidR="006E51BF" w:rsidRPr="00290B92" w:rsidRDefault="006E51BF">
            <w:pPr>
              <w:pStyle w:val="ARfintabletextright"/>
              <w:rPr>
                <w:lang w:eastAsia="en-AU"/>
              </w:rPr>
            </w:pPr>
            <w:r w:rsidRPr="00290B92">
              <w:rPr>
                <w:lang w:eastAsia="en-AU"/>
              </w:rPr>
              <w:t>1.1</w:t>
            </w:r>
          </w:p>
        </w:tc>
      </w:tr>
      <w:tr w:rsidR="006E51BF" w:rsidRPr="00290B92" w14:paraId="29FECCCF" w14:textId="77777777" w:rsidTr="00304BA9">
        <w:trPr>
          <w:cnfStyle w:val="010000000000" w:firstRow="0" w:lastRow="1" w:firstColumn="0" w:lastColumn="0" w:oddVBand="0" w:evenVBand="0" w:oddHBand="0" w:evenHBand="0" w:firstRowFirstColumn="0" w:firstRowLastColumn="0" w:lastRowFirstColumn="0" w:lastRowLastColumn="0"/>
          <w:trHeight w:val="280"/>
        </w:trPr>
        <w:tc>
          <w:tcPr>
            <w:tcW w:w="1324" w:type="pct"/>
            <w:noWrap/>
            <w:hideMark/>
          </w:tcPr>
          <w:p w14:paraId="09836499" w14:textId="77777777" w:rsidR="006E51BF" w:rsidRPr="00290B92" w:rsidRDefault="006E51BF">
            <w:pPr>
              <w:pStyle w:val="ARfintabletextbold"/>
              <w:rPr>
                <w:lang w:eastAsia="en-AU"/>
              </w:rPr>
            </w:pPr>
            <w:r w:rsidRPr="00290B92">
              <w:rPr>
                <w:lang w:eastAsia="en-AU"/>
              </w:rPr>
              <w:t>Total financial liabilities</w:t>
            </w:r>
          </w:p>
        </w:tc>
        <w:tc>
          <w:tcPr>
            <w:cnfStyle w:val="000001000000" w:firstRow="0" w:lastRow="0" w:firstColumn="0" w:lastColumn="0" w:oddVBand="0" w:evenVBand="1" w:oddHBand="0" w:evenHBand="0" w:firstRowFirstColumn="0" w:firstRowLastColumn="0" w:lastRowFirstColumn="0" w:lastRowLastColumn="0"/>
            <w:tcW w:w="661" w:type="pct"/>
            <w:noWrap/>
            <w:tcMar>
              <w:right w:w="0" w:type="nil"/>
            </w:tcMar>
            <w:hideMark/>
          </w:tcPr>
          <w:p w14:paraId="10B6E793" w14:textId="77777777" w:rsidR="006E51BF" w:rsidRPr="00290B92" w:rsidRDefault="006E51BF">
            <w:pPr>
              <w:pStyle w:val="ARfintabletextboldright"/>
              <w:rPr>
                <w:lang w:eastAsia="en-AU"/>
              </w:rPr>
            </w:pPr>
          </w:p>
        </w:tc>
        <w:tc>
          <w:tcPr>
            <w:tcW w:w="661" w:type="pct"/>
            <w:noWrap/>
            <w:tcMar>
              <w:right w:w="0" w:type="nil"/>
            </w:tcMar>
            <w:hideMark/>
          </w:tcPr>
          <w:p w14:paraId="53DEA966" w14:textId="77777777" w:rsidR="006E51BF" w:rsidRPr="00290B92"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290B92">
              <w:rPr>
                <w:lang w:eastAsia="en-AU"/>
              </w:rPr>
              <w:t>1,186.7</w:t>
            </w:r>
          </w:p>
        </w:tc>
        <w:tc>
          <w:tcPr>
            <w:cnfStyle w:val="000001000000" w:firstRow="0" w:lastRow="0" w:firstColumn="0" w:lastColumn="0" w:oddVBand="0" w:evenVBand="1" w:oddHBand="0" w:evenHBand="0" w:firstRowFirstColumn="0" w:firstRowLastColumn="0" w:lastRowFirstColumn="0" w:lastRowLastColumn="0"/>
            <w:tcW w:w="784" w:type="pct"/>
            <w:noWrap/>
            <w:tcMar>
              <w:right w:w="0" w:type="nil"/>
            </w:tcMar>
            <w:hideMark/>
          </w:tcPr>
          <w:p w14:paraId="20159456" w14:textId="77777777" w:rsidR="006E51BF" w:rsidRPr="00290B92" w:rsidRDefault="006E51BF">
            <w:pPr>
              <w:pStyle w:val="ARfintabletextboldright"/>
              <w:rPr>
                <w:lang w:eastAsia="en-AU"/>
              </w:rPr>
            </w:pPr>
            <w:r w:rsidRPr="00290B92">
              <w:rPr>
                <w:lang w:eastAsia="en-AU"/>
              </w:rPr>
              <w:t>736.9</w:t>
            </w:r>
          </w:p>
        </w:tc>
        <w:tc>
          <w:tcPr>
            <w:tcW w:w="784" w:type="pct"/>
            <w:shd w:val="clear" w:color="auto" w:fill="E7E6E6" w:themeFill="background2"/>
            <w:noWrap/>
            <w:tcMar>
              <w:right w:w="0" w:type="nil"/>
            </w:tcMar>
            <w:hideMark/>
          </w:tcPr>
          <w:p w14:paraId="76E85864" w14:textId="77777777" w:rsidR="006E51BF" w:rsidRPr="00290B92"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85" w:type="pct"/>
            <w:noWrap/>
            <w:tcMar>
              <w:right w:w="0" w:type="nil"/>
            </w:tcMar>
            <w:hideMark/>
          </w:tcPr>
          <w:p w14:paraId="4A93FA86" w14:textId="77777777" w:rsidR="006E51BF" w:rsidRPr="00290B92" w:rsidRDefault="006E51BF">
            <w:pPr>
              <w:pStyle w:val="ARfintabletextboldright"/>
              <w:rPr>
                <w:lang w:eastAsia="en-AU"/>
              </w:rPr>
            </w:pPr>
            <w:r w:rsidRPr="00290B92">
              <w:rPr>
                <w:lang w:eastAsia="en-AU"/>
              </w:rPr>
              <w:t>449.8</w:t>
            </w:r>
          </w:p>
        </w:tc>
      </w:tr>
    </w:tbl>
    <w:p w14:paraId="2F03EAC8" w14:textId="77777777" w:rsidR="006E51BF" w:rsidRPr="00290B92" w:rsidRDefault="006E51BF">
      <w:pPr>
        <w:pStyle w:val="ARfintablenote"/>
        <w:rPr>
          <w:lang w:eastAsia="en-AU"/>
        </w:rPr>
      </w:pPr>
      <w:r w:rsidRPr="00290B92">
        <w:rPr>
          <w:lang w:eastAsia="en-AU"/>
        </w:rPr>
        <w:t xml:space="preserve">Note: </w:t>
      </w:r>
    </w:p>
    <w:p w14:paraId="4452BC5E" w14:textId="75F57E1F" w:rsidR="006E51BF" w:rsidRDefault="006E51BF" w:rsidP="006E51BF">
      <w:pPr>
        <w:pStyle w:val="ARfintablenoteroman"/>
        <w:numPr>
          <w:ilvl w:val="0"/>
          <w:numId w:val="77"/>
        </w:numPr>
      </w:pPr>
      <w:r w:rsidRPr="00290B92">
        <w:t>The carrying amounts disclosed here exclude statutory amounts, for example, amounts owing to/from Victorian Government and</w:t>
      </w:r>
      <w:r w:rsidR="00171537">
        <w:t> </w:t>
      </w:r>
      <w:r w:rsidRPr="00290B92">
        <w:t>GST input tax credit recoverable and taxes payable.</w:t>
      </w:r>
    </w:p>
    <w:p w14:paraId="35114774" w14:textId="77777777" w:rsidR="006E51BF" w:rsidRDefault="006E51BF">
      <w:pPr>
        <w:pStyle w:val="Heading7"/>
        <w:rPr>
          <w:lang w:eastAsia="en-AU"/>
        </w:rPr>
      </w:pPr>
      <w:r w:rsidRPr="00037649">
        <w:rPr>
          <w:lang w:eastAsia="en-AU"/>
        </w:rPr>
        <w:t>Sensitivity disclosure analysis and assumptions</w:t>
      </w:r>
    </w:p>
    <w:p w14:paraId="72EEF6CB" w14:textId="77777777" w:rsidR="006E51BF" w:rsidRPr="00E10132" w:rsidRDefault="006E51BF">
      <w:pPr>
        <w:pStyle w:val="ARfinbody"/>
      </w:pPr>
      <w:r w:rsidRPr="00037649">
        <w:rPr>
          <w:lang w:eastAsia="en-AU"/>
        </w:rPr>
        <w:t xml:space="preserve">The department’s sensitivity to market risk is determined based on the observed range of actual historical data for the </w:t>
      </w:r>
      <w:r w:rsidRPr="00E10132">
        <w:t>preceding five-year period, with all variables other than the primary risk variable held constant. The department’s fund managers cannot be expected to predict movements in market rates and prices. Sensitivity analyses are shown for illustrative purposes only. The following movements are ‘reasonably possible’ over the next 12 months.</w:t>
      </w:r>
    </w:p>
    <w:p w14:paraId="547EB8CA" w14:textId="77777777" w:rsidR="006E51BF" w:rsidRPr="00E10132" w:rsidRDefault="006E51BF">
      <w:pPr>
        <w:pStyle w:val="ARfinbody"/>
      </w:pPr>
      <w:r w:rsidRPr="00E10132">
        <w:t>A shift of +1.0% and -0.5% (2025: +1.0% and -0.5%) in market interest rates (AUD) from year-end rates.</w:t>
      </w:r>
    </w:p>
    <w:p w14:paraId="1C83FEB8" w14:textId="77777777" w:rsidR="006E51BF" w:rsidRPr="00E10132" w:rsidRDefault="006E51BF">
      <w:pPr>
        <w:pStyle w:val="ARfinbody"/>
      </w:pPr>
      <w:r w:rsidRPr="00E10132">
        <w:t>Several loan programs have loans with interest rates linked to movement in the consumer price index (CPI). The total balances outstanding under these programs have reduced to a level that any changes to the CPI have a limited impact on the amount of interest charged and no new lending is made under these programs.</w:t>
      </w:r>
    </w:p>
    <w:p w14:paraId="0ECF8A73" w14:textId="77777777" w:rsidR="006E51BF" w:rsidRDefault="006E51BF">
      <w:pPr>
        <w:pStyle w:val="ARfinbody"/>
        <w:rPr>
          <w:lang w:eastAsia="en-AU"/>
        </w:rPr>
      </w:pPr>
      <w:r w:rsidRPr="00E10132">
        <w:t>The table below</w:t>
      </w:r>
      <w:r w:rsidRPr="00037649">
        <w:rPr>
          <w:lang w:eastAsia="en-AU"/>
        </w:rPr>
        <w:t xml:space="preserve"> discloses the impact on the department’s net result and equity for each category of financial instrument held by the department at the end of the reporting period.</w:t>
      </w:r>
    </w:p>
    <w:p w14:paraId="4AFF1AB2" w14:textId="77777777" w:rsidR="006E51BF" w:rsidRDefault="006E51BF">
      <w:pPr>
        <w:spacing w:after="0" w:line="240" w:lineRule="auto"/>
        <w:rPr>
          <w:rFonts w:eastAsia="Times"/>
          <w:sz w:val="18"/>
          <w:lang w:eastAsia="en-AU"/>
        </w:rPr>
      </w:pPr>
      <w:r>
        <w:rPr>
          <w:lang w:eastAsia="en-AU"/>
        </w:rPr>
        <w:br w:type="page"/>
      </w:r>
    </w:p>
    <w:p w14:paraId="37AFEBFE" w14:textId="77777777" w:rsidR="006E51BF" w:rsidRDefault="006E51BF" w:rsidP="003C4E55">
      <w:pPr>
        <w:pStyle w:val="Heading7"/>
        <w:spacing w:after="120"/>
        <w:rPr>
          <w:lang w:eastAsia="en-AU"/>
        </w:rPr>
      </w:pPr>
      <w:r w:rsidRPr="00037649">
        <w:rPr>
          <w:lang w:eastAsia="en-AU"/>
        </w:rPr>
        <w:t xml:space="preserve">Interest rate risk sensitivity </w:t>
      </w:r>
      <w:r w:rsidRPr="003C4E55">
        <w:t>analysis</w:t>
      </w:r>
    </w:p>
    <w:tbl>
      <w:tblPr>
        <w:tblStyle w:val="ARtable1"/>
        <w:tblW w:w="5000" w:type="pct"/>
        <w:tblLayout w:type="fixed"/>
        <w:tblLook w:val="00E0" w:firstRow="1" w:lastRow="1" w:firstColumn="1" w:lastColumn="0" w:noHBand="0" w:noVBand="0"/>
      </w:tblPr>
      <w:tblGrid>
        <w:gridCol w:w="2549"/>
        <w:gridCol w:w="1458"/>
        <w:gridCol w:w="1411"/>
        <w:gridCol w:w="1346"/>
        <w:gridCol w:w="1431"/>
        <w:gridCol w:w="1433"/>
      </w:tblGrid>
      <w:tr w:rsidR="006E51BF" w:rsidRPr="00037649" w14:paraId="3C0C5804" w14:textId="77777777" w:rsidTr="00304BA9">
        <w:trPr>
          <w:cnfStyle w:val="100000000000" w:firstRow="1" w:lastRow="0" w:firstColumn="0" w:lastColumn="0" w:oddVBand="0" w:evenVBand="0" w:oddHBand="0" w:evenHBand="0" w:firstRowFirstColumn="0" w:firstRowLastColumn="0" w:lastRowFirstColumn="0" w:lastRowLastColumn="0"/>
          <w:trHeight w:val="20"/>
          <w:tblHeader/>
        </w:trPr>
        <w:tc>
          <w:tcPr>
            <w:tcW w:w="1324" w:type="pct"/>
            <w:noWrap/>
          </w:tcPr>
          <w:p w14:paraId="2745CD7F" w14:textId="77777777" w:rsidR="006E51BF" w:rsidRPr="00037649" w:rsidRDefault="006E51BF">
            <w:pPr>
              <w:pStyle w:val="ARfintablecolhead"/>
              <w:rPr>
                <w:lang w:eastAsia="en-AU"/>
              </w:rPr>
            </w:pPr>
            <w:r w:rsidRPr="00037649">
              <w:rPr>
                <w:lang w:eastAsia="en-AU"/>
              </w:rPr>
              <w:t>2026</w:t>
            </w:r>
          </w:p>
        </w:tc>
        <w:tc>
          <w:tcPr>
            <w:cnfStyle w:val="000001000000" w:firstRow="0" w:lastRow="0" w:firstColumn="0" w:lastColumn="0" w:oddVBand="0" w:evenVBand="1" w:oddHBand="0" w:evenHBand="0" w:firstRowFirstColumn="0" w:firstRowLastColumn="0" w:lastRowFirstColumn="0" w:lastRowLastColumn="0"/>
            <w:tcW w:w="757" w:type="pct"/>
            <w:tcMar>
              <w:right w:w="0" w:type="nil"/>
            </w:tcMar>
          </w:tcPr>
          <w:p w14:paraId="3BE94F96" w14:textId="77777777" w:rsidR="006E51BF" w:rsidRPr="00037649" w:rsidRDefault="006E51BF">
            <w:pPr>
              <w:pStyle w:val="ARfintablecolheadright"/>
              <w:rPr>
                <w:lang w:eastAsia="en-AU"/>
              </w:rPr>
            </w:pPr>
            <w:r w:rsidRPr="00037649">
              <w:rPr>
                <w:lang w:eastAsia="en-AU"/>
              </w:rPr>
              <w:t>Carrying</w:t>
            </w:r>
            <w:r w:rsidRPr="00037649">
              <w:rPr>
                <w:lang w:eastAsia="en-AU"/>
              </w:rPr>
              <w:br/>
              <w:t>amount</w:t>
            </w:r>
          </w:p>
          <w:p w14:paraId="009F0E27" w14:textId="77777777" w:rsidR="006E51BF" w:rsidRPr="00037649" w:rsidRDefault="006E51BF">
            <w:pPr>
              <w:pStyle w:val="ARfintablecolheadright"/>
              <w:rPr>
                <w:lang w:eastAsia="en-AU"/>
              </w:rPr>
            </w:pPr>
            <w:r w:rsidRPr="00037649">
              <w:rPr>
                <w:lang w:eastAsia="en-AU"/>
              </w:rPr>
              <w:t>$M</w:t>
            </w:r>
          </w:p>
        </w:tc>
        <w:tc>
          <w:tcPr>
            <w:tcW w:w="733" w:type="pct"/>
            <w:tcBorders>
              <w:top w:val="single" w:sz="4" w:space="0" w:color="000000" w:themeColor="text1"/>
            </w:tcBorders>
            <w:noWrap/>
            <w:tcMar>
              <w:right w:w="0" w:type="nil"/>
            </w:tcMar>
          </w:tcPr>
          <w:p w14:paraId="1B62B211" w14:textId="5FC56592" w:rsidR="003C4E55" w:rsidRDefault="003C4E55">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37649">
              <w:rPr>
                <w:lang w:eastAsia="en-AU"/>
              </w:rPr>
              <w:t>Interest rate risk</w:t>
            </w:r>
          </w:p>
          <w:p w14:paraId="70EEADC8" w14:textId="63003E4B" w:rsidR="006E51BF" w:rsidRPr="00037649"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37649">
              <w:rPr>
                <w:lang w:eastAsia="en-AU"/>
              </w:rPr>
              <w:t>-0.50%</w:t>
            </w:r>
          </w:p>
          <w:p w14:paraId="0F8DB3AB" w14:textId="77777777" w:rsidR="006E51BF" w:rsidRPr="00037649"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37649">
              <w:rPr>
                <w:lang w:eastAsia="en-AU"/>
              </w:rPr>
              <w:t xml:space="preserve"> Net result </w:t>
            </w:r>
          </w:p>
          <w:p w14:paraId="4A325640" w14:textId="77777777" w:rsidR="006E51BF" w:rsidRPr="00037649"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37649">
              <w:rPr>
                <w:lang w:eastAsia="en-AU"/>
              </w:rPr>
              <w:t>$M</w:t>
            </w:r>
          </w:p>
        </w:tc>
        <w:tc>
          <w:tcPr>
            <w:cnfStyle w:val="000001000000" w:firstRow="0" w:lastRow="0" w:firstColumn="0" w:lastColumn="0" w:oddVBand="0" w:evenVBand="1" w:oddHBand="0" w:evenHBand="0" w:firstRowFirstColumn="0" w:firstRowLastColumn="0" w:lastRowFirstColumn="0" w:lastRowLastColumn="0"/>
            <w:tcW w:w="699" w:type="pct"/>
            <w:tcBorders>
              <w:top w:val="single" w:sz="4" w:space="0" w:color="000000" w:themeColor="text1"/>
            </w:tcBorders>
            <w:shd w:val="clear" w:color="auto" w:fill="auto"/>
            <w:noWrap/>
            <w:tcMar>
              <w:right w:w="0" w:type="nil"/>
            </w:tcMar>
          </w:tcPr>
          <w:p w14:paraId="62A8F288" w14:textId="177E3509" w:rsidR="003C4E55" w:rsidRDefault="003C4E55">
            <w:pPr>
              <w:pStyle w:val="ARfintablecolheadright"/>
              <w:rPr>
                <w:lang w:eastAsia="en-AU"/>
              </w:rPr>
            </w:pPr>
            <w:r w:rsidRPr="00037649">
              <w:rPr>
                <w:lang w:eastAsia="en-AU"/>
              </w:rPr>
              <w:t>Interest rate risk</w:t>
            </w:r>
          </w:p>
          <w:p w14:paraId="0823B8C2" w14:textId="34560274" w:rsidR="006E51BF" w:rsidRPr="00037649" w:rsidRDefault="006E51BF">
            <w:pPr>
              <w:pStyle w:val="ARfintablecolheadright"/>
              <w:rPr>
                <w:lang w:eastAsia="en-AU"/>
              </w:rPr>
            </w:pPr>
            <w:r w:rsidRPr="00037649">
              <w:rPr>
                <w:lang w:eastAsia="en-AU"/>
              </w:rPr>
              <w:t>+1.00%</w:t>
            </w:r>
          </w:p>
          <w:p w14:paraId="5D73A658" w14:textId="77777777" w:rsidR="006E51BF" w:rsidRPr="00037649" w:rsidRDefault="006E51BF">
            <w:pPr>
              <w:pStyle w:val="ARfintablecolheadright"/>
              <w:rPr>
                <w:lang w:eastAsia="en-AU"/>
              </w:rPr>
            </w:pPr>
            <w:r w:rsidRPr="00037649">
              <w:rPr>
                <w:lang w:eastAsia="en-AU"/>
              </w:rPr>
              <w:t xml:space="preserve"> Net result </w:t>
            </w:r>
          </w:p>
          <w:p w14:paraId="38C15CD4" w14:textId="77777777" w:rsidR="006E51BF" w:rsidRPr="00037649" w:rsidRDefault="006E51BF">
            <w:pPr>
              <w:pStyle w:val="ARfintablecolheadright"/>
              <w:rPr>
                <w:lang w:eastAsia="en-AU"/>
              </w:rPr>
            </w:pPr>
            <w:r w:rsidRPr="00037649">
              <w:rPr>
                <w:lang w:eastAsia="en-AU"/>
              </w:rPr>
              <w:t>$M</w:t>
            </w:r>
          </w:p>
        </w:tc>
        <w:tc>
          <w:tcPr>
            <w:tcW w:w="743" w:type="pct"/>
            <w:tcBorders>
              <w:top w:val="single" w:sz="4" w:space="0" w:color="000000" w:themeColor="text1"/>
            </w:tcBorders>
            <w:shd w:val="clear" w:color="auto" w:fill="E7E6E6" w:themeFill="background2"/>
            <w:noWrap/>
            <w:tcMar>
              <w:right w:w="0" w:type="nil"/>
            </w:tcMar>
          </w:tcPr>
          <w:p w14:paraId="26B5F6FB" w14:textId="126AF495" w:rsidR="003C4E55" w:rsidRDefault="003C4E55">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37649">
              <w:rPr>
                <w:lang w:eastAsia="en-AU"/>
              </w:rPr>
              <w:t>Consumer Price Index (CPI)</w:t>
            </w:r>
          </w:p>
          <w:p w14:paraId="6D130934" w14:textId="066D35CF" w:rsidR="006E51BF" w:rsidRPr="00037649"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37649">
              <w:rPr>
                <w:lang w:eastAsia="en-AU"/>
              </w:rPr>
              <w:t>-0.25%</w:t>
            </w:r>
          </w:p>
          <w:p w14:paraId="0E550814" w14:textId="77777777" w:rsidR="006E51BF" w:rsidRPr="00037649"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37649">
              <w:rPr>
                <w:lang w:eastAsia="en-AU"/>
              </w:rPr>
              <w:t xml:space="preserve"> Net result </w:t>
            </w:r>
          </w:p>
          <w:p w14:paraId="6F23A83A" w14:textId="77777777" w:rsidR="006E51BF" w:rsidRPr="00037649"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37649">
              <w:rPr>
                <w:lang w:eastAsia="en-AU"/>
              </w:rPr>
              <w:t>$M</w:t>
            </w:r>
          </w:p>
        </w:tc>
        <w:tc>
          <w:tcPr>
            <w:cnfStyle w:val="000001000000" w:firstRow="0" w:lastRow="0" w:firstColumn="0" w:lastColumn="0" w:oddVBand="0" w:evenVBand="1" w:oddHBand="0" w:evenHBand="0" w:firstRowFirstColumn="0" w:firstRowLastColumn="0" w:lastRowFirstColumn="0" w:lastRowLastColumn="0"/>
            <w:tcW w:w="744" w:type="pct"/>
            <w:tcBorders>
              <w:top w:val="single" w:sz="4" w:space="0" w:color="000000" w:themeColor="text1"/>
            </w:tcBorders>
            <w:noWrap/>
            <w:tcMar>
              <w:right w:w="0" w:type="nil"/>
            </w:tcMar>
          </w:tcPr>
          <w:p w14:paraId="3B366AA5" w14:textId="4963BD88" w:rsidR="003C4E55" w:rsidRDefault="003C4E55">
            <w:pPr>
              <w:pStyle w:val="ARfintablecolheadright"/>
              <w:rPr>
                <w:lang w:eastAsia="en-AU"/>
              </w:rPr>
            </w:pPr>
            <w:r w:rsidRPr="00037649">
              <w:rPr>
                <w:lang w:eastAsia="en-AU"/>
              </w:rPr>
              <w:t>Consumer Price Index (CPI)</w:t>
            </w:r>
          </w:p>
          <w:p w14:paraId="45F9A56B" w14:textId="2DD0B82D" w:rsidR="006E51BF" w:rsidRPr="00037649" w:rsidRDefault="006E51BF">
            <w:pPr>
              <w:pStyle w:val="ARfintablecolheadright"/>
              <w:rPr>
                <w:lang w:eastAsia="en-AU"/>
              </w:rPr>
            </w:pPr>
            <w:r w:rsidRPr="00037649">
              <w:rPr>
                <w:lang w:eastAsia="en-AU"/>
              </w:rPr>
              <w:t>+1.5%</w:t>
            </w:r>
          </w:p>
          <w:p w14:paraId="154BC687" w14:textId="77777777" w:rsidR="006E51BF" w:rsidRPr="00037649" w:rsidRDefault="006E51BF">
            <w:pPr>
              <w:pStyle w:val="ARfintablecolheadright"/>
              <w:rPr>
                <w:lang w:eastAsia="en-AU"/>
              </w:rPr>
            </w:pPr>
            <w:r w:rsidRPr="00037649">
              <w:rPr>
                <w:lang w:eastAsia="en-AU"/>
              </w:rPr>
              <w:t xml:space="preserve"> Net result </w:t>
            </w:r>
          </w:p>
          <w:p w14:paraId="170BD58E" w14:textId="77777777" w:rsidR="006E51BF" w:rsidRPr="00037649" w:rsidRDefault="006E51BF">
            <w:pPr>
              <w:pStyle w:val="ARfintablecolheadright"/>
              <w:rPr>
                <w:lang w:eastAsia="en-AU"/>
              </w:rPr>
            </w:pPr>
            <w:r w:rsidRPr="00037649">
              <w:rPr>
                <w:lang w:eastAsia="en-AU"/>
              </w:rPr>
              <w:t>$M</w:t>
            </w:r>
          </w:p>
        </w:tc>
      </w:tr>
      <w:tr w:rsidR="006E51BF" w:rsidRPr="00037649" w14:paraId="5A0E30DF" w14:textId="77777777" w:rsidTr="00304BA9">
        <w:trPr>
          <w:cnfStyle w:val="000000100000" w:firstRow="0" w:lastRow="0" w:firstColumn="0" w:lastColumn="0" w:oddVBand="0" w:evenVBand="0" w:oddHBand="1" w:evenHBand="0" w:firstRowFirstColumn="0" w:firstRowLastColumn="0" w:lastRowFirstColumn="0" w:lastRowLastColumn="0"/>
          <w:trHeight w:val="270"/>
        </w:trPr>
        <w:tc>
          <w:tcPr>
            <w:tcW w:w="1324" w:type="pct"/>
            <w:noWrap/>
            <w:hideMark/>
          </w:tcPr>
          <w:p w14:paraId="40996A78" w14:textId="77777777" w:rsidR="006E51BF" w:rsidRPr="00037649" w:rsidRDefault="006E51BF">
            <w:pPr>
              <w:pStyle w:val="ARfintabletextboldcoloured"/>
              <w:rPr>
                <w:lang w:eastAsia="en-AU"/>
              </w:rPr>
            </w:pPr>
            <w:r w:rsidRPr="00037649">
              <w:rPr>
                <w:lang w:eastAsia="en-AU"/>
              </w:rPr>
              <w:t>Contractual financial assets</w:t>
            </w:r>
          </w:p>
        </w:tc>
        <w:tc>
          <w:tcPr>
            <w:cnfStyle w:val="000001000000" w:firstRow="0" w:lastRow="0" w:firstColumn="0" w:lastColumn="0" w:oddVBand="0" w:evenVBand="1" w:oddHBand="0" w:evenHBand="0" w:firstRowFirstColumn="0" w:firstRowLastColumn="0" w:lastRowFirstColumn="0" w:lastRowLastColumn="0"/>
            <w:tcW w:w="757" w:type="pct"/>
            <w:shd w:val="clear" w:color="auto" w:fill="auto"/>
            <w:noWrap/>
            <w:tcMar>
              <w:right w:w="0" w:type="nil"/>
            </w:tcMar>
            <w:hideMark/>
          </w:tcPr>
          <w:p w14:paraId="58964F57" w14:textId="77777777" w:rsidR="006E51BF" w:rsidRPr="00037649" w:rsidRDefault="006E51BF">
            <w:pPr>
              <w:pStyle w:val="ARfintabletextright"/>
              <w:rPr>
                <w:lang w:eastAsia="en-AU"/>
              </w:rPr>
            </w:pPr>
          </w:p>
        </w:tc>
        <w:tc>
          <w:tcPr>
            <w:tcW w:w="733" w:type="pct"/>
            <w:noWrap/>
            <w:tcMar>
              <w:right w:w="0" w:type="nil"/>
            </w:tcMar>
            <w:hideMark/>
          </w:tcPr>
          <w:p w14:paraId="196E9CF7" w14:textId="77777777" w:rsidR="006E51BF" w:rsidRPr="00037649" w:rsidRDefault="006E51BF">
            <w:pPr>
              <w:pStyle w:val="ARfintabletextrigh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AU"/>
              </w:rPr>
            </w:pPr>
          </w:p>
        </w:tc>
        <w:tc>
          <w:tcPr>
            <w:cnfStyle w:val="000001000000" w:firstRow="0" w:lastRow="0" w:firstColumn="0" w:lastColumn="0" w:oddVBand="0" w:evenVBand="1" w:oddHBand="0" w:evenHBand="0" w:firstRowFirstColumn="0" w:firstRowLastColumn="0" w:lastRowFirstColumn="0" w:lastRowLastColumn="0"/>
            <w:tcW w:w="699" w:type="pct"/>
            <w:shd w:val="clear" w:color="auto" w:fill="auto"/>
            <w:noWrap/>
            <w:tcMar>
              <w:right w:w="0" w:type="nil"/>
            </w:tcMar>
            <w:hideMark/>
          </w:tcPr>
          <w:p w14:paraId="438879D6" w14:textId="77777777" w:rsidR="006E51BF" w:rsidRPr="00037649" w:rsidRDefault="006E51BF">
            <w:pPr>
              <w:pStyle w:val="ARfintabletextright"/>
              <w:rPr>
                <w:rFonts w:ascii="Times New Roman" w:hAnsi="Times New Roman"/>
                <w:lang w:eastAsia="en-AU"/>
              </w:rPr>
            </w:pPr>
          </w:p>
        </w:tc>
        <w:tc>
          <w:tcPr>
            <w:tcW w:w="743" w:type="pct"/>
            <w:noWrap/>
            <w:tcMar>
              <w:right w:w="0" w:type="nil"/>
            </w:tcMar>
            <w:hideMark/>
          </w:tcPr>
          <w:p w14:paraId="65B6D2DE" w14:textId="77777777" w:rsidR="006E51BF" w:rsidRPr="00037649"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744" w:type="pct"/>
            <w:shd w:val="clear" w:color="auto" w:fill="auto"/>
            <w:noWrap/>
            <w:tcMar>
              <w:right w:w="0" w:type="nil"/>
            </w:tcMar>
            <w:hideMark/>
          </w:tcPr>
          <w:p w14:paraId="31C47D78" w14:textId="77777777" w:rsidR="006E51BF" w:rsidRPr="00037649" w:rsidRDefault="006E51BF">
            <w:pPr>
              <w:pStyle w:val="ARfintabletextright"/>
              <w:rPr>
                <w:lang w:eastAsia="en-AU"/>
              </w:rPr>
            </w:pPr>
          </w:p>
        </w:tc>
      </w:tr>
      <w:tr w:rsidR="006E51BF" w:rsidRPr="00037649" w14:paraId="0ECA4A6F" w14:textId="77777777" w:rsidTr="00304BA9">
        <w:trPr>
          <w:cnfStyle w:val="000000010000" w:firstRow="0" w:lastRow="0" w:firstColumn="0" w:lastColumn="0" w:oddVBand="0" w:evenVBand="0" w:oddHBand="0" w:evenHBand="1" w:firstRowFirstColumn="0" w:firstRowLastColumn="0" w:lastRowFirstColumn="0" w:lastRowLastColumn="0"/>
          <w:trHeight w:val="270"/>
        </w:trPr>
        <w:tc>
          <w:tcPr>
            <w:tcW w:w="1324" w:type="pct"/>
            <w:noWrap/>
            <w:hideMark/>
          </w:tcPr>
          <w:p w14:paraId="6D75B167" w14:textId="77777777" w:rsidR="006E51BF" w:rsidRPr="00037649" w:rsidRDefault="006E51BF">
            <w:pPr>
              <w:pStyle w:val="ARfintabletext"/>
              <w:rPr>
                <w:lang w:eastAsia="en-AU"/>
              </w:rPr>
            </w:pPr>
            <w:r w:rsidRPr="00037649">
              <w:rPr>
                <w:lang w:eastAsia="en-AU"/>
              </w:rPr>
              <w:t xml:space="preserve">Cash and deposits </w:t>
            </w:r>
            <w:r w:rsidRPr="00037649">
              <w:rPr>
                <w:szCs w:val="18"/>
                <w:vertAlign w:val="superscript"/>
                <w:lang w:eastAsia="en-AU"/>
              </w:rPr>
              <w:t>(</w:t>
            </w:r>
            <w:proofErr w:type="spellStart"/>
            <w:r w:rsidRPr="00037649">
              <w:rPr>
                <w:szCs w:val="18"/>
                <w:vertAlign w:val="superscript"/>
                <w:lang w:eastAsia="en-AU"/>
              </w:rPr>
              <w:t>i</w:t>
            </w:r>
            <w:proofErr w:type="spellEnd"/>
            <w:r w:rsidRPr="00037649">
              <w:rPr>
                <w:szCs w:val="18"/>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757" w:type="pct"/>
            <w:noWrap/>
            <w:tcMar>
              <w:right w:w="0" w:type="nil"/>
            </w:tcMar>
            <w:hideMark/>
          </w:tcPr>
          <w:p w14:paraId="5723A6D1" w14:textId="77777777" w:rsidR="006E51BF" w:rsidRPr="00037649" w:rsidRDefault="006E51BF">
            <w:pPr>
              <w:pStyle w:val="ARfintabletextright"/>
              <w:rPr>
                <w:lang w:eastAsia="en-AU"/>
              </w:rPr>
            </w:pPr>
            <w:r w:rsidRPr="00037649">
              <w:rPr>
                <w:lang w:eastAsia="en-AU"/>
              </w:rPr>
              <w:t>994.2</w:t>
            </w:r>
          </w:p>
        </w:tc>
        <w:tc>
          <w:tcPr>
            <w:tcW w:w="733" w:type="pct"/>
            <w:noWrap/>
            <w:tcMar>
              <w:right w:w="0" w:type="nil"/>
            </w:tcMar>
            <w:hideMark/>
          </w:tcPr>
          <w:p w14:paraId="0DC37712" w14:textId="77777777" w:rsidR="006E51BF" w:rsidRPr="00037649"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037649">
              <w:rPr>
                <w:lang w:eastAsia="en-AU"/>
              </w:rPr>
              <w:t>(4.6)</w:t>
            </w:r>
          </w:p>
        </w:tc>
        <w:tc>
          <w:tcPr>
            <w:cnfStyle w:val="000001000000" w:firstRow="0" w:lastRow="0" w:firstColumn="0" w:lastColumn="0" w:oddVBand="0" w:evenVBand="1" w:oddHBand="0" w:evenHBand="0" w:firstRowFirstColumn="0" w:firstRowLastColumn="0" w:lastRowFirstColumn="0" w:lastRowLastColumn="0"/>
            <w:tcW w:w="699" w:type="pct"/>
            <w:shd w:val="clear" w:color="auto" w:fill="auto"/>
            <w:noWrap/>
            <w:tcMar>
              <w:right w:w="0" w:type="nil"/>
            </w:tcMar>
            <w:hideMark/>
          </w:tcPr>
          <w:p w14:paraId="1EBBAA88" w14:textId="77777777" w:rsidR="006E51BF" w:rsidRPr="00037649" w:rsidRDefault="006E51BF">
            <w:pPr>
              <w:pStyle w:val="ARfintabletextright"/>
              <w:rPr>
                <w:lang w:eastAsia="en-AU"/>
              </w:rPr>
            </w:pPr>
            <w:r w:rsidRPr="00037649">
              <w:rPr>
                <w:lang w:eastAsia="en-AU"/>
              </w:rPr>
              <w:t>9.2</w:t>
            </w:r>
          </w:p>
        </w:tc>
        <w:tc>
          <w:tcPr>
            <w:tcW w:w="743" w:type="pct"/>
            <w:shd w:val="clear" w:color="auto" w:fill="E7E6E6" w:themeFill="background2"/>
            <w:noWrap/>
            <w:tcMar>
              <w:right w:w="0" w:type="nil"/>
            </w:tcMar>
            <w:hideMark/>
          </w:tcPr>
          <w:p w14:paraId="2089F7B4" w14:textId="77777777" w:rsidR="006E51BF" w:rsidRPr="00037649"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44" w:type="pct"/>
            <w:noWrap/>
            <w:tcMar>
              <w:right w:w="0" w:type="nil"/>
            </w:tcMar>
            <w:hideMark/>
          </w:tcPr>
          <w:p w14:paraId="67F07520" w14:textId="77777777" w:rsidR="006E51BF" w:rsidRPr="00037649" w:rsidRDefault="006E51BF">
            <w:pPr>
              <w:pStyle w:val="ARfintabletextright"/>
              <w:rPr>
                <w:lang w:eastAsia="en-AU"/>
              </w:rPr>
            </w:pPr>
            <w:r>
              <w:rPr>
                <w:lang w:eastAsia="en-AU"/>
              </w:rPr>
              <w:t>–</w:t>
            </w:r>
          </w:p>
        </w:tc>
      </w:tr>
      <w:tr w:rsidR="006E51BF" w:rsidRPr="00037649" w14:paraId="7630887B" w14:textId="77777777" w:rsidTr="00304BA9">
        <w:trPr>
          <w:cnfStyle w:val="000000100000" w:firstRow="0" w:lastRow="0" w:firstColumn="0" w:lastColumn="0" w:oddVBand="0" w:evenVBand="0" w:oddHBand="1" w:evenHBand="0" w:firstRowFirstColumn="0" w:firstRowLastColumn="0" w:lastRowFirstColumn="0" w:lastRowLastColumn="0"/>
          <w:trHeight w:val="270"/>
        </w:trPr>
        <w:tc>
          <w:tcPr>
            <w:tcW w:w="1324" w:type="pct"/>
            <w:tcBorders>
              <w:bottom w:val="single" w:sz="4" w:space="0" w:color="BFBFBF" w:themeColor="accent2"/>
            </w:tcBorders>
            <w:noWrap/>
            <w:hideMark/>
          </w:tcPr>
          <w:p w14:paraId="019636D4" w14:textId="77777777" w:rsidR="006E51BF" w:rsidRPr="00037649" w:rsidRDefault="006E51BF">
            <w:pPr>
              <w:pStyle w:val="ARfintabletext"/>
              <w:rPr>
                <w:lang w:eastAsia="en-AU"/>
              </w:rPr>
            </w:pPr>
            <w:r w:rsidRPr="00037649">
              <w:rPr>
                <w:lang w:eastAsia="en-AU"/>
              </w:rPr>
              <w:t xml:space="preserve">Receivables </w:t>
            </w:r>
            <w:r w:rsidRPr="00037649">
              <w:rPr>
                <w:szCs w:val="18"/>
                <w:vertAlign w:val="superscript"/>
                <w:lang w:eastAsia="en-AU"/>
              </w:rPr>
              <w:t>(ii)(iii)</w:t>
            </w:r>
          </w:p>
        </w:tc>
        <w:tc>
          <w:tcPr>
            <w:cnfStyle w:val="000001000000" w:firstRow="0" w:lastRow="0" w:firstColumn="0" w:lastColumn="0" w:oddVBand="0" w:evenVBand="1" w:oddHBand="0" w:evenHBand="0" w:firstRowFirstColumn="0" w:firstRowLastColumn="0" w:lastRowFirstColumn="0" w:lastRowLastColumn="0"/>
            <w:tcW w:w="757" w:type="pct"/>
            <w:tcBorders>
              <w:bottom w:val="single" w:sz="4" w:space="0" w:color="BFBFBF" w:themeColor="accent2"/>
            </w:tcBorders>
            <w:noWrap/>
            <w:tcMar>
              <w:right w:w="0" w:type="nil"/>
            </w:tcMar>
            <w:hideMark/>
          </w:tcPr>
          <w:p w14:paraId="7AC226D3" w14:textId="77777777" w:rsidR="006E51BF" w:rsidRPr="00037649" w:rsidRDefault="006E51BF">
            <w:pPr>
              <w:pStyle w:val="ARfintabletextright"/>
              <w:rPr>
                <w:lang w:eastAsia="en-AU"/>
              </w:rPr>
            </w:pPr>
            <w:r w:rsidRPr="00037649">
              <w:rPr>
                <w:lang w:eastAsia="en-AU"/>
              </w:rPr>
              <w:t>479.4</w:t>
            </w:r>
          </w:p>
        </w:tc>
        <w:tc>
          <w:tcPr>
            <w:tcW w:w="733" w:type="pct"/>
            <w:tcBorders>
              <w:bottom w:val="single" w:sz="4" w:space="0" w:color="BFBFBF" w:themeColor="accent2"/>
            </w:tcBorders>
            <w:noWrap/>
            <w:tcMar>
              <w:right w:w="0" w:type="nil"/>
            </w:tcMar>
            <w:hideMark/>
          </w:tcPr>
          <w:p w14:paraId="05585542" w14:textId="77777777" w:rsidR="006E51BF" w:rsidRPr="00037649"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99" w:type="pct"/>
            <w:tcBorders>
              <w:bottom w:val="single" w:sz="4" w:space="0" w:color="BFBFBF" w:themeColor="accent2"/>
            </w:tcBorders>
            <w:shd w:val="clear" w:color="auto" w:fill="auto"/>
            <w:noWrap/>
            <w:tcMar>
              <w:right w:w="0" w:type="nil"/>
            </w:tcMar>
            <w:hideMark/>
          </w:tcPr>
          <w:p w14:paraId="28CB7382" w14:textId="77777777" w:rsidR="006E51BF" w:rsidRPr="00037649" w:rsidRDefault="006E51BF">
            <w:pPr>
              <w:pStyle w:val="ARfintabletextright"/>
              <w:rPr>
                <w:rFonts w:ascii="Times New Roman" w:hAnsi="Times New Roman"/>
                <w:lang w:eastAsia="en-AU"/>
              </w:rPr>
            </w:pPr>
            <w:r>
              <w:rPr>
                <w:lang w:eastAsia="en-AU"/>
              </w:rPr>
              <w:t>–</w:t>
            </w:r>
          </w:p>
        </w:tc>
        <w:tc>
          <w:tcPr>
            <w:tcW w:w="743" w:type="pct"/>
            <w:tcBorders>
              <w:bottom w:val="single" w:sz="4" w:space="0" w:color="BFBFBF" w:themeColor="accent2"/>
            </w:tcBorders>
            <w:shd w:val="clear" w:color="auto" w:fill="E7E6E6" w:themeFill="background2"/>
            <w:noWrap/>
            <w:tcMar>
              <w:right w:w="0" w:type="nil"/>
            </w:tcMar>
            <w:hideMark/>
          </w:tcPr>
          <w:p w14:paraId="201B145A" w14:textId="77777777" w:rsidR="006E51BF" w:rsidRPr="00037649"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44" w:type="pct"/>
            <w:tcBorders>
              <w:bottom w:val="single" w:sz="4" w:space="0" w:color="BFBFBF" w:themeColor="accent2"/>
            </w:tcBorders>
            <w:noWrap/>
            <w:tcMar>
              <w:right w:w="0" w:type="nil"/>
            </w:tcMar>
            <w:hideMark/>
          </w:tcPr>
          <w:p w14:paraId="49E8772B" w14:textId="77777777" w:rsidR="006E51BF" w:rsidRPr="00037649" w:rsidRDefault="006E51BF">
            <w:pPr>
              <w:pStyle w:val="ARfintabletextright"/>
              <w:rPr>
                <w:lang w:eastAsia="en-AU"/>
              </w:rPr>
            </w:pPr>
            <w:r>
              <w:rPr>
                <w:lang w:eastAsia="en-AU"/>
              </w:rPr>
              <w:t>–</w:t>
            </w:r>
          </w:p>
        </w:tc>
      </w:tr>
      <w:tr w:rsidR="006E51BF" w:rsidRPr="00037649" w14:paraId="59771EFD" w14:textId="77777777" w:rsidTr="00304BA9">
        <w:trPr>
          <w:cnfStyle w:val="000000010000" w:firstRow="0" w:lastRow="0" w:firstColumn="0" w:lastColumn="0" w:oddVBand="0" w:evenVBand="0" w:oddHBand="0" w:evenHBand="1" w:firstRowFirstColumn="0" w:firstRowLastColumn="0" w:lastRowFirstColumn="0" w:lastRowLastColumn="0"/>
          <w:trHeight w:val="270"/>
        </w:trPr>
        <w:tc>
          <w:tcPr>
            <w:tcW w:w="1324" w:type="pct"/>
            <w:tcBorders>
              <w:top w:val="single" w:sz="4" w:space="0" w:color="BFBFBF" w:themeColor="accent2"/>
              <w:bottom w:val="single" w:sz="4" w:space="0" w:color="000000" w:themeColor="text1"/>
            </w:tcBorders>
            <w:noWrap/>
            <w:hideMark/>
          </w:tcPr>
          <w:p w14:paraId="3EF0CB0C" w14:textId="77777777" w:rsidR="006E51BF" w:rsidRPr="00037649" w:rsidRDefault="006E51BF">
            <w:pPr>
              <w:pStyle w:val="ARfintabletext"/>
              <w:rPr>
                <w:lang w:eastAsia="en-AU"/>
              </w:rPr>
            </w:pPr>
            <w:r w:rsidRPr="00037649">
              <w:rPr>
                <w:lang w:eastAsia="en-AU"/>
              </w:rPr>
              <w:t xml:space="preserve">Loans </w:t>
            </w:r>
            <w:r w:rsidRPr="00037649">
              <w:rPr>
                <w:szCs w:val="18"/>
                <w:vertAlign w:val="superscript"/>
                <w:lang w:eastAsia="en-AU"/>
              </w:rPr>
              <w:t>(iii)</w:t>
            </w:r>
          </w:p>
        </w:tc>
        <w:tc>
          <w:tcPr>
            <w:cnfStyle w:val="000001000000" w:firstRow="0" w:lastRow="0" w:firstColumn="0" w:lastColumn="0" w:oddVBand="0" w:evenVBand="1" w:oddHBand="0" w:evenHBand="0" w:firstRowFirstColumn="0" w:firstRowLastColumn="0" w:lastRowFirstColumn="0" w:lastRowLastColumn="0"/>
            <w:tcW w:w="757" w:type="pct"/>
            <w:tcBorders>
              <w:top w:val="single" w:sz="4" w:space="0" w:color="BFBFBF" w:themeColor="accent2"/>
              <w:bottom w:val="single" w:sz="4" w:space="0" w:color="000000" w:themeColor="text1"/>
            </w:tcBorders>
            <w:noWrap/>
            <w:tcMar>
              <w:right w:w="0" w:type="nil"/>
            </w:tcMar>
            <w:hideMark/>
          </w:tcPr>
          <w:p w14:paraId="36AA68A5" w14:textId="77777777" w:rsidR="006E51BF" w:rsidRPr="00037649" w:rsidRDefault="006E51BF">
            <w:pPr>
              <w:pStyle w:val="ARfintabletextright"/>
              <w:rPr>
                <w:lang w:eastAsia="en-AU"/>
              </w:rPr>
            </w:pPr>
            <w:r w:rsidRPr="00037649">
              <w:rPr>
                <w:lang w:eastAsia="en-AU"/>
              </w:rPr>
              <w:t>26.2</w:t>
            </w:r>
          </w:p>
        </w:tc>
        <w:tc>
          <w:tcPr>
            <w:tcW w:w="733" w:type="pct"/>
            <w:tcBorders>
              <w:top w:val="single" w:sz="4" w:space="0" w:color="BFBFBF" w:themeColor="accent2"/>
              <w:bottom w:val="single" w:sz="4" w:space="0" w:color="000000" w:themeColor="text1"/>
            </w:tcBorders>
            <w:noWrap/>
            <w:tcMar>
              <w:right w:w="0" w:type="nil"/>
            </w:tcMar>
            <w:hideMark/>
          </w:tcPr>
          <w:p w14:paraId="427D6140" w14:textId="77777777" w:rsidR="006E51BF" w:rsidRPr="00037649"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99" w:type="pct"/>
            <w:tcBorders>
              <w:top w:val="single" w:sz="4" w:space="0" w:color="BFBFBF" w:themeColor="accent2"/>
              <w:bottom w:val="single" w:sz="4" w:space="0" w:color="000000" w:themeColor="text1"/>
            </w:tcBorders>
            <w:shd w:val="clear" w:color="auto" w:fill="auto"/>
            <w:noWrap/>
            <w:tcMar>
              <w:right w:w="0" w:type="nil"/>
            </w:tcMar>
            <w:hideMark/>
          </w:tcPr>
          <w:p w14:paraId="5F08AFE3" w14:textId="77777777" w:rsidR="006E51BF" w:rsidRPr="00037649" w:rsidRDefault="006E51BF">
            <w:pPr>
              <w:pStyle w:val="ARfintabletextright"/>
              <w:rPr>
                <w:lang w:eastAsia="en-AU"/>
              </w:rPr>
            </w:pPr>
            <w:r>
              <w:rPr>
                <w:lang w:eastAsia="en-AU"/>
              </w:rPr>
              <w:t>–</w:t>
            </w:r>
          </w:p>
        </w:tc>
        <w:tc>
          <w:tcPr>
            <w:tcW w:w="743" w:type="pct"/>
            <w:tcBorders>
              <w:top w:val="single" w:sz="4" w:space="0" w:color="BFBFBF" w:themeColor="accent2"/>
              <w:bottom w:val="single" w:sz="4" w:space="0" w:color="000000" w:themeColor="text1"/>
            </w:tcBorders>
            <w:shd w:val="clear" w:color="auto" w:fill="E7E6E6" w:themeFill="background2"/>
            <w:noWrap/>
            <w:tcMar>
              <w:right w:w="0" w:type="nil"/>
            </w:tcMar>
            <w:hideMark/>
          </w:tcPr>
          <w:p w14:paraId="6B5076EC" w14:textId="77777777" w:rsidR="006E51BF" w:rsidRPr="00037649"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44" w:type="pct"/>
            <w:tcBorders>
              <w:top w:val="single" w:sz="4" w:space="0" w:color="BFBFBF" w:themeColor="accent2"/>
              <w:bottom w:val="single" w:sz="4" w:space="0" w:color="000000" w:themeColor="text1"/>
            </w:tcBorders>
            <w:noWrap/>
            <w:tcMar>
              <w:right w:w="0" w:type="nil"/>
            </w:tcMar>
            <w:hideMark/>
          </w:tcPr>
          <w:p w14:paraId="08EF2550" w14:textId="77777777" w:rsidR="006E51BF" w:rsidRPr="00037649" w:rsidRDefault="006E51BF">
            <w:pPr>
              <w:pStyle w:val="ARfintabletextright"/>
              <w:rPr>
                <w:lang w:eastAsia="en-AU"/>
              </w:rPr>
            </w:pPr>
            <w:r>
              <w:rPr>
                <w:lang w:eastAsia="en-AU"/>
              </w:rPr>
              <w:t>–</w:t>
            </w:r>
          </w:p>
        </w:tc>
      </w:tr>
      <w:tr w:rsidR="006E51BF" w:rsidRPr="00037649" w14:paraId="5AFA8C57" w14:textId="77777777" w:rsidTr="00304BA9">
        <w:trPr>
          <w:cnfStyle w:val="000000100000" w:firstRow="0" w:lastRow="0" w:firstColumn="0" w:lastColumn="0" w:oddVBand="0" w:evenVBand="0" w:oddHBand="1" w:evenHBand="0" w:firstRowFirstColumn="0" w:firstRowLastColumn="0" w:lastRowFirstColumn="0" w:lastRowLastColumn="0"/>
          <w:trHeight w:val="280"/>
        </w:trPr>
        <w:tc>
          <w:tcPr>
            <w:tcW w:w="1324" w:type="pct"/>
            <w:tcBorders>
              <w:top w:val="single" w:sz="4" w:space="0" w:color="000000" w:themeColor="text1"/>
              <w:bottom w:val="single" w:sz="4" w:space="0" w:color="000000" w:themeColor="text1"/>
            </w:tcBorders>
            <w:noWrap/>
            <w:hideMark/>
          </w:tcPr>
          <w:p w14:paraId="49ECC134" w14:textId="77777777" w:rsidR="006E51BF" w:rsidRPr="00037649" w:rsidRDefault="006E51BF">
            <w:pPr>
              <w:pStyle w:val="ARfintabletextbold"/>
              <w:rPr>
                <w:lang w:eastAsia="en-AU"/>
              </w:rPr>
            </w:pPr>
            <w:r w:rsidRPr="00037649">
              <w:rPr>
                <w:lang w:eastAsia="en-AU"/>
              </w:rPr>
              <w:t>Total impact</w:t>
            </w:r>
          </w:p>
        </w:tc>
        <w:tc>
          <w:tcPr>
            <w:cnfStyle w:val="000001000000" w:firstRow="0" w:lastRow="0" w:firstColumn="0" w:lastColumn="0" w:oddVBand="0" w:evenVBand="1" w:oddHBand="0" w:evenHBand="0" w:firstRowFirstColumn="0" w:firstRowLastColumn="0" w:lastRowFirstColumn="0" w:lastRowLastColumn="0"/>
            <w:tcW w:w="757" w:type="pct"/>
            <w:tcBorders>
              <w:top w:val="single" w:sz="4" w:space="0" w:color="000000" w:themeColor="text1"/>
              <w:bottom w:val="single" w:sz="4" w:space="0" w:color="000000" w:themeColor="text1"/>
            </w:tcBorders>
            <w:noWrap/>
            <w:tcMar>
              <w:right w:w="0" w:type="nil"/>
            </w:tcMar>
            <w:hideMark/>
          </w:tcPr>
          <w:p w14:paraId="1ABCB3F2" w14:textId="77777777" w:rsidR="006E51BF" w:rsidRPr="00037649" w:rsidRDefault="006E51BF">
            <w:pPr>
              <w:pStyle w:val="ARfintabletextboldright"/>
              <w:rPr>
                <w:lang w:eastAsia="en-AU"/>
              </w:rPr>
            </w:pPr>
            <w:r w:rsidRPr="00037649">
              <w:rPr>
                <w:lang w:eastAsia="en-AU"/>
              </w:rPr>
              <w:t>1,499.8</w:t>
            </w:r>
          </w:p>
        </w:tc>
        <w:tc>
          <w:tcPr>
            <w:tcW w:w="733" w:type="pct"/>
            <w:tcBorders>
              <w:top w:val="single" w:sz="4" w:space="0" w:color="000000" w:themeColor="text1"/>
              <w:bottom w:val="single" w:sz="4" w:space="0" w:color="000000" w:themeColor="text1"/>
            </w:tcBorders>
            <w:noWrap/>
            <w:tcMar>
              <w:right w:w="0" w:type="nil"/>
            </w:tcMar>
            <w:hideMark/>
          </w:tcPr>
          <w:p w14:paraId="54500C67" w14:textId="77777777" w:rsidR="006E51BF" w:rsidRPr="00037649"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037649">
              <w:rPr>
                <w:lang w:eastAsia="en-AU"/>
              </w:rPr>
              <w:t>(4.6)</w:t>
            </w:r>
          </w:p>
        </w:tc>
        <w:tc>
          <w:tcPr>
            <w:cnfStyle w:val="000001000000" w:firstRow="0" w:lastRow="0" w:firstColumn="0" w:lastColumn="0" w:oddVBand="0" w:evenVBand="1" w:oddHBand="0" w:evenHBand="0" w:firstRowFirstColumn="0" w:firstRowLastColumn="0" w:lastRowFirstColumn="0" w:lastRowLastColumn="0"/>
            <w:tcW w:w="699" w:type="pct"/>
            <w:tcBorders>
              <w:top w:val="single" w:sz="4" w:space="0" w:color="000000" w:themeColor="text1"/>
              <w:bottom w:val="single" w:sz="4" w:space="0" w:color="000000" w:themeColor="text1"/>
            </w:tcBorders>
            <w:shd w:val="clear" w:color="auto" w:fill="auto"/>
            <w:noWrap/>
            <w:tcMar>
              <w:right w:w="0" w:type="nil"/>
            </w:tcMar>
            <w:hideMark/>
          </w:tcPr>
          <w:p w14:paraId="1DF89BD2" w14:textId="77777777" w:rsidR="006E51BF" w:rsidRPr="00037649" w:rsidRDefault="006E51BF">
            <w:pPr>
              <w:pStyle w:val="ARfintabletextboldright"/>
              <w:rPr>
                <w:lang w:eastAsia="en-AU"/>
              </w:rPr>
            </w:pPr>
            <w:r w:rsidRPr="00037649">
              <w:rPr>
                <w:lang w:eastAsia="en-AU"/>
              </w:rPr>
              <w:t>9.2</w:t>
            </w:r>
          </w:p>
        </w:tc>
        <w:tc>
          <w:tcPr>
            <w:tcW w:w="743"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657E76F1" w14:textId="77777777" w:rsidR="006E51BF" w:rsidRPr="00037649"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44" w:type="pct"/>
            <w:tcBorders>
              <w:top w:val="single" w:sz="4" w:space="0" w:color="000000" w:themeColor="text1"/>
              <w:bottom w:val="single" w:sz="4" w:space="0" w:color="000000" w:themeColor="text1"/>
            </w:tcBorders>
            <w:noWrap/>
            <w:tcMar>
              <w:right w:w="0" w:type="nil"/>
            </w:tcMar>
            <w:hideMark/>
          </w:tcPr>
          <w:p w14:paraId="3FA5E979" w14:textId="77777777" w:rsidR="006E51BF" w:rsidRPr="00037649" w:rsidRDefault="006E51BF">
            <w:pPr>
              <w:pStyle w:val="ARfintabletextboldright"/>
              <w:rPr>
                <w:lang w:eastAsia="en-AU"/>
              </w:rPr>
            </w:pPr>
            <w:r>
              <w:rPr>
                <w:lang w:eastAsia="en-AU"/>
              </w:rPr>
              <w:t>–</w:t>
            </w:r>
          </w:p>
        </w:tc>
      </w:tr>
      <w:tr w:rsidR="006E51BF" w:rsidRPr="00037649" w14:paraId="0AF3BDEB" w14:textId="77777777" w:rsidTr="00304BA9">
        <w:trPr>
          <w:cnfStyle w:val="000000010000" w:firstRow="0" w:lastRow="0" w:firstColumn="0" w:lastColumn="0" w:oddVBand="0" w:evenVBand="0" w:oddHBand="0" w:evenHBand="1" w:firstRowFirstColumn="0" w:firstRowLastColumn="0" w:lastRowFirstColumn="0" w:lastRowLastColumn="0"/>
          <w:trHeight w:val="270"/>
        </w:trPr>
        <w:tc>
          <w:tcPr>
            <w:tcW w:w="1324" w:type="pct"/>
            <w:tcBorders>
              <w:top w:val="single" w:sz="4" w:space="0" w:color="000000" w:themeColor="text1"/>
            </w:tcBorders>
            <w:noWrap/>
          </w:tcPr>
          <w:p w14:paraId="58E6C716" w14:textId="77777777" w:rsidR="006E51BF" w:rsidRPr="00037649" w:rsidRDefault="006E51BF">
            <w:pPr>
              <w:pStyle w:val="ARfintabletextboldcoloured"/>
              <w:rPr>
                <w:lang w:eastAsia="en-AU"/>
              </w:rPr>
            </w:pPr>
            <w:r w:rsidRPr="00037649">
              <w:rPr>
                <w:lang w:eastAsia="en-AU"/>
              </w:rPr>
              <w:t>Contractual financial liabilities</w:t>
            </w:r>
          </w:p>
        </w:tc>
        <w:tc>
          <w:tcPr>
            <w:cnfStyle w:val="000001000000" w:firstRow="0" w:lastRow="0" w:firstColumn="0" w:lastColumn="0" w:oddVBand="0" w:evenVBand="1" w:oddHBand="0" w:evenHBand="0" w:firstRowFirstColumn="0" w:firstRowLastColumn="0" w:lastRowFirstColumn="0" w:lastRowLastColumn="0"/>
            <w:tcW w:w="757" w:type="pct"/>
            <w:tcBorders>
              <w:top w:val="single" w:sz="4" w:space="0" w:color="000000" w:themeColor="text1"/>
            </w:tcBorders>
            <w:shd w:val="clear" w:color="auto" w:fill="auto"/>
            <w:noWrap/>
            <w:tcMar>
              <w:right w:w="0" w:type="nil"/>
            </w:tcMar>
          </w:tcPr>
          <w:p w14:paraId="28707CE5" w14:textId="77777777" w:rsidR="006E51BF" w:rsidRPr="00037649" w:rsidRDefault="006E51BF">
            <w:pPr>
              <w:pStyle w:val="ARfintabletextright"/>
              <w:rPr>
                <w:lang w:eastAsia="en-AU"/>
              </w:rPr>
            </w:pPr>
          </w:p>
        </w:tc>
        <w:tc>
          <w:tcPr>
            <w:tcW w:w="733" w:type="pct"/>
            <w:tcBorders>
              <w:top w:val="single" w:sz="4" w:space="0" w:color="000000" w:themeColor="text1"/>
            </w:tcBorders>
            <w:noWrap/>
            <w:tcMar>
              <w:right w:w="0" w:type="nil"/>
            </w:tcMar>
          </w:tcPr>
          <w:p w14:paraId="7E74383A" w14:textId="77777777" w:rsidR="006E51BF" w:rsidRPr="00037649"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699" w:type="pct"/>
            <w:tcBorders>
              <w:top w:val="single" w:sz="4" w:space="0" w:color="000000" w:themeColor="text1"/>
            </w:tcBorders>
            <w:shd w:val="clear" w:color="auto" w:fill="auto"/>
            <w:noWrap/>
            <w:tcMar>
              <w:right w:w="0" w:type="nil"/>
            </w:tcMar>
          </w:tcPr>
          <w:p w14:paraId="4B9DFD82" w14:textId="77777777" w:rsidR="006E51BF" w:rsidRPr="00037649" w:rsidRDefault="006E51BF">
            <w:pPr>
              <w:pStyle w:val="ARfintabletextright"/>
              <w:rPr>
                <w:lang w:eastAsia="en-AU"/>
              </w:rPr>
            </w:pPr>
          </w:p>
        </w:tc>
        <w:tc>
          <w:tcPr>
            <w:tcW w:w="743" w:type="pct"/>
            <w:tcBorders>
              <w:top w:val="single" w:sz="4" w:space="0" w:color="000000" w:themeColor="text1"/>
            </w:tcBorders>
            <w:noWrap/>
            <w:tcMar>
              <w:right w:w="0" w:type="nil"/>
            </w:tcMar>
          </w:tcPr>
          <w:p w14:paraId="0713488F" w14:textId="77777777" w:rsidR="006E51BF" w:rsidRPr="00037649"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744" w:type="pct"/>
            <w:tcBorders>
              <w:top w:val="single" w:sz="4" w:space="0" w:color="000000" w:themeColor="text1"/>
            </w:tcBorders>
            <w:shd w:val="clear" w:color="auto" w:fill="auto"/>
            <w:noWrap/>
            <w:tcMar>
              <w:right w:w="0" w:type="nil"/>
            </w:tcMar>
          </w:tcPr>
          <w:p w14:paraId="09D351BF" w14:textId="77777777" w:rsidR="006E51BF" w:rsidRPr="00037649" w:rsidRDefault="006E51BF">
            <w:pPr>
              <w:pStyle w:val="ARfintabletextright"/>
              <w:rPr>
                <w:lang w:eastAsia="en-AU"/>
              </w:rPr>
            </w:pPr>
          </w:p>
        </w:tc>
      </w:tr>
      <w:tr w:rsidR="006E51BF" w:rsidRPr="00037649" w14:paraId="2C0C8D89" w14:textId="77777777" w:rsidTr="00304BA9">
        <w:trPr>
          <w:cnfStyle w:val="000000100000" w:firstRow="0" w:lastRow="0" w:firstColumn="0" w:lastColumn="0" w:oddVBand="0" w:evenVBand="0" w:oddHBand="1" w:evenHBand="0" w:firstRowFirstColumn="0" w:firstRowLastColumn="0" w:lastRowFirstColumn="0" w:lastRowLastColumn="0"/>
          <w:trHeight w:val="270"/>
        </w:trPr>
        <w:tc>
          <w:tcPr>
            <w:tcW w:w="1324" w:type="pct"/>
            <w:noWrap/>
            <w:hideMark/>
          </w:tcPr>
          <w:p w14:paraId="43C99652" w14:textId="77777777" w:rsidR="006E51BF" w:rsidRPr="00037649" w:rsidRDefault="006E51BF">
            <w:pPr>
              <w:pStyle w:val="ARfintabletext"/>
              <w:rPr>
                <w:lang w:eastAsia="en-AU"/>
              </w:rPr>
            </w:pPr>
            <w:r w:rsidRPr="00037649">
              <w:rPr>
                <w:lang w:eastAsia="en-AU"/>
              </w:rPr>
              <w:t xml:space="preserve">Payables </w:t>
            </w:r>
            <w:r w:rsidRPr="00037649">
              <w:rPr>
                <w:szCs w:val="18"/>
                <w:vertAlign w:val="superscript"/>
                <w:lang w:eastAsia="en-AU"/>
              </w:rPr>
              <w:t>(iii)</w:t>
            </w:r>
          </w:p>
        </w:tc>
        <w:tc>
          <w:tcPr>
            <w:cnfStyle w:val="000001000000" w:firstRow="0" w:lastRow="0" w:firstColumn="0" w:lastColumn="0" w:oddVBand="0" w:evenVBand="1" w:oddHBand="0" w:evenHBand="0" w:firstRowFirstColumn="0" w:firstRowLastColumn="0" w:lastRowFirstColumn="0" w:lastRowLastColumn="0"/>
            <w:tcW w:w="757" w:type="pct"/>
            <w:noWrap/>
            <w:tcMar>
              <w:right w:w="0" w:type="nil"/>
            </w:tcMar>
            <w:hideMark/>
          </w:tcPr>
          <w:p w14:paraId="2798993D" w14:textId="77777777" w:rsidR="006E51BF" w:rsidRPr="00037649" w:rsidRDefault="006E51BF">
            <w:pPr>
              <w:pStyle w:val="ARfintabletextright"/>
              <w:rPr>
                <w:lang w:eastAsia="en-AU"/>
              </w:rPr>
            </w:pPr>
            <w:r w:rsidRPr="00037649">
              <w:rPr>
                <w:lang w:eastAsia="en-AU"/>
              </w:rPr>
              <w:t>485.8</w:t>
            </w:r>
          </w:p>
        </w:tc>
        <w:tc>
          <w:tcPr>
            <w:tcW w:w="733" w:type="pct"/>
            <w:noWrap/>
            <w:tcMar>
              <w:right w:w="0" w:type="nil"/>
            </w:tcMar>
            <w:hideMark/>
          </w:tcPr>
          <w:p w14:paraId="243B7DA6" w14:textId="77777777" w:rsidR="006E51BF" w:rsidRPr="00037649"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99" w:type="pct"/>
            <w:shd w:val="clear" w:color="auto" w:fill="auto"/>
            <w:noWrap/>
            <w:tcMar>
              <w:right w:w="0" w:type="nil"/>
            </w:tcMar>
            <w:hideMark/>
          </w:tcPr>
          <w:p w14:paraId="194FFD88" w14:textId="77777777" w:rsidR="006E51BF" w:rsidRPr="00037649" w:rsidRDefault="006E51BF">
            <w:pPr>
              <w:pStyle w:val="ARfintabletextright"/>
              <w:rPr>
                <w:lang w:eastAsia="en-AU"/>
              </w:rPr>
            </w:pPr>
            <w:r>
              <w:rPr>
                <w:lang w:eastAsia="en-AU"/>
              </w:rPr>
              <w:t>–</w:t>
            </w:r>
          </w:p>
        </w:tc>
        <w:tc>
          <w:tcPr>
            <w:tcW w:w="743" w:type="pct"/>
            <w:shd w:val="clear" w:color="auto" w:fill="E7E6E6" w:themeFill="background2"/>
            <w:noWrap/>
            <w:tcMar>
              <w:right w:w="0" w:type="nil"/>
            </w:tcMar>
            <w:hideMark/>
          </w:tcPr>
          <w:p w14:paraId="2CBE1509" w14:textId="77777777" w:rsidR="006E51BF" w:rsidRPr="00037649"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44" w:type="pct"/>
            <w:noWrap/>
            <w:tcMar>
              <w:right w:w="0" w:type="nil"/>
            </w:tcMar>
            <w:hideMark/>
          </w:tcPr>
          <w:p w14:paraId="1339D0D1" w14:textId="77777777" w:rsidR="006E51BF" w:rsidRPr="00037649" w:rsidRDefault="006E51BF">
            <w:pPr>
              <w:pStyle w:val="ARfintabletextright"/>
              <w:rPr>
                <w:lang w:eastAsia="en-AU"/>
              </w:rPr>
            </w:pPr>
            <w:r>
              <w:rPr>
                <w:lang w:eastAsia="en-AU"/>
              </w:rPr>
              <w:t>–</w:t>
            </w:r>
          </w:p>
        </w:tc>
      </w:tr>
      <w:tr w:rsidR="006E51BF" w:rsidRPr="00037649" w14:paraId="45775AE0" w14:textId="77777777" w:rsidTr="00304BA9">
        <w:trPr>
          <w:cnfStyle w:val="000000010000" w:firstRow="0" w:lastRow="0" w:firstColumn="0" w:lastColumn="0" w:oddVBand="0" w:evenVBand="0" w:oddHBand="0" w:evenHBand="1" w:firstRowFirstColumn="0" w:firstRowLastColumn="0" w:lastRowFirstColumn="0" w:lastRowLastColumn="0"/>
          <w:trHeight w:val="290"/>
        </w:trPr>
        <w:tc>
          <w:tcPr>
            <w:tcW w:w="1324" w:type="pct"/>
            <w:noWrap/>
            <w:hideMark/>
          </w:tcPr>
          <w:p w14:paraId="789E8FAA" w14:textId="77777777" w:rsidR="006E51BF" w:rsidRPr="00037649" w:rsidRDefault="006E51BF">
            <w:pPr>
              <w:pStyle w:val="ARfintabletext"/>
              <w:rPr>
                <w:lang w:eastAsia="en-AU"/>
              </w:rPr>
            </w:pPr>
            <w:r w:rsidRPr="00037649">
              <w:rPr>
                <w:lang w:eastAsia="en-AU"/>
              </w:rPr>
              <w:t>Borrowings</w:t>
            </w:r>
            <w:r w:rsidRPr="00037649">
              <w:rPr>
                <w:vertAlign w:val="superscript"/>
                <w:lang w:eastAsia="en-AU"/>
              </w:rPr>
              <w:t xml:space="preserve"> (</w:t>
            </w:r>
            <w:r w:rsidRPr="00037649">
              <w:rPr>
                <w:szCs w:val="18"/>
                <w:vertAlign w:val="superscript"/>
                <w:lang w:eastAsia="en-AU"/>
              </w:rPr>
              <w:t>iv)</w:t>
            </w:r>
          </w:p>
        </w:tc>
        <w:tc>
          <w:tcPr>
            <w:cnfStyle w:val="000001000000" w:firstRow="0" w:lastRow="0" w:firstColumn="0" w:lastColumn="0" w:oddVBand="0" w:evenVBand="1" w:oddHBand="0" w:evenHBand="0" w:firstRowFirstColumn="0" w:firstRowLastColumn="0" w:lastRowFirstColumn="0" w:lastRowLastColumn="0"/>
            <w:tcW w:w="757" w:type="pct"/>
            <w:noWrap/>
            <w:tcMar>
              <w:right w:w="0" w:type="nil"/>
            </w:tcMar>
            <w:hideMark/>
          </w:tcPr>
          <w:p w14:paraId="75FA7739" w14:textId="77777777" w:rsidR="006E51BF" w:rsidRPr="00037649" w:rsidRDefault="006E51BF">
            <w:pPr>
              <w:pStyle w:val="ARfintabletextright"/>
              <w:rPr>
                <w:lang w:eastAsia="en-AU"/>
              </w:rPr>
            </w:pPr>
            <w:r w:rsidRPr="00037649">
              <w:rPr>
                <w:lang w:eastAsia="en-AU"/>
              </w:rPr>
              <w:t>877.6</w:t>
            </w:r>
          </w:p>
        </w:tc>
        <w:tc>
          <w:tcPr>
            <w:tcW w:w="733" w:type="pct"/>
            <w:noWrap/>
            <w:tcMar>
              <w:right w:w="0" w:type="nil"/>
            </w:tcMar>
            <w:hideMark/>
          </w:tcPr>
          <w:p w14:paraId="24BCB953" w14:textId="77777777" w:rsidR="006E51BF" w:rsidRPr="00037649"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99" w:type="pct"/>
            <w:shd w:val="clear" w:color="auto" w:fill="auto"/>
            <w:noWrap/>
            <w:tcMar>
              <w:right w:w="0" w:type="nil"/>
            </w:tcMar>
            <w:hideMark/>
          </w:tcPr>
          <w:p w14:paraId="771E631D" w14:textId="77777777" w:rsidR="006E51BF" w:rsidRPr="00037649" w:rsidRDefault="006E51BF">
            <w:pPr>
              <w:pStyle w:val="ARfintabletextright"/>
              <w:rPr>
                <w:lang w:eastAsia="en-AU"/>
              </w:rPr>
            </w:pPr>
            <w:r>
              <w:rPr>
                <w:lang w:eastAsia="en-AU"/>
              </w:rPr>
              <w:t>–</w:t>
            </w:r>
          </w:p>
        </w:tc>
        <w:tc>
          <w:tcPr>
            <w:tcW w:w="743" w:type="pct"/>
            <w:shd w:val="clear" w:color="auto" w:fill="E7E6E6" w:themeFill="background2"/>
            <w:noWrap/>
            <w:tcMar>
              <w:right w:w="0" w:type="nil"/>
            </w:tcMar>
            <w:hideMark/>
          </w:tcPr>
          <w:p w14:paraId="63CD580D" w14:textId="77777777" w:rsidR="006E51BF" w:rsidRPr="00037649"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44" w:type="pct"/>
            <w:noWrap/>
            <w:tcMar>
              <w:right w:w="0" w:type="nil"/>
            </w:tcMar>
            <w:hideMark/>
          </w:tcPr>
          <w:p w14:paraId="57B7E920" w14:textId="77777777" w:rsidR="006E51BF" w:rsidRPr="00037649" w:rsidRDefault="006E51BF">
            <w:pPr>
              <w:pStyle w:val="ARfintabletextright"/>
              <w:rPr>
                <w:lang w:eastAsia="en-AU"/>
              </w:rPr>
            </w:pPr>
            <w:r>
              <w:rPr>
                <w:lang w:eastAsia="en-AU"/>
              </w:rPr>
              <w:t>–</w:t>
            </w:r>
          </w:p>
        </w:tc>
      </w:tr>
      <w:tr w:rsidR="006E51BF" w:rsidRPr="00037649" w14:paraId="5D9CF053" w14:textId="77777777" w:rsidTr="00304BA9">
        <w:trPr>
          <w:cnfStyle w:val="010000000000" w:firstRow="0" w:lastRow="1" w:firstColumn="0" w:lastColumn="0" w:oddVBand="0" w:evenVBand="0" w:oddHBand="0" w:evenHBand="0" w:firstRowFirstColumn="0" w:firstRowLastColumn="0" w:lastRowFirstColumn="0" w:lastRowLastColumn="0"/>
          <w:trHeight w:val="280"/>
        </w:trPr>
        <w:tc>
          <w:tcPr>
            <w:tcW w:w="1324" w:type="pct"/>
            <w:noWrap/>
            <w:hideMark/>
          </w:tcPr>
          <w:p w14:paraId="0EE60C95" w14:textId="77777777" w:rsidR="006E51BF" w:rsidRPr="00037649" w:rsidRDefault="006E51BF">
            <w:pPr>
              <w:pStyle w:val="ARfintabletextbold"/>
              <w:rPr>
                <w:lang w:eastAsia="en-AU"/>
              </w:rPr>
            </w:pPr>
            <w:r w:rsidRPr="00037649">
              <w:rPr>
                <w:lang w:eastAsia="en-AU"/>
              </w:rPr>
              <w:t>Total impact</w:t>
            </w:r>
          </w:p>
        </w:tc>
        <w:tc>
          <w:tcPr>
            <w:cnfStyle w:val="000001000000" w:firstRow="0" w:lastRow="0" w:firstColumn="0" w:lastColumn="0" w:oddVBand="0" w:evenVBand="1" w:oddHBand="0" w:evenHBand="0" w:firstRowFirstColumn="0" w:firstRowLastColumn="0" w:lastRowFirstColumn="0" w:lastRowLastColumn="0"/>
            <w:tcW w:w="757" w:type="pct"/>
            <w:noWrap/>
            <w:tcMar>
              <w:right w:w="0" w:type="nil"/>
            </w:tcMar>
            <w:hideMark/>
          </w:tcPr>
          <w:p w14:paraId="2A7D755D" w14:textId="77777777" w:rsidR="006E51BF" w:rsidRPr="00037649" w:rsidRDefault="006E51BF">
            <w:pPr>
              <w:pStyle w:val="ARfintabletextright"/>
              <w:rPr>
                <w:lang w:eastAsia="en-AU"/>
              </w:rPr>
            </w:pPr>
            <w:r w:rsidRPr="00037649">
              <w:rPr>
                <w:lang w:eastAsia="en-AU"/>
              </w:rPr>
              <w:t>1,363.4</w:t>
            </w:r>
          </w:p>
        </w:tc>
        <w:tc>
          <w:tcPr>
            <w:tcW w:w="733" w:type="pct"/>
            <w:noWrap/>
            <w:tcMar>
              <w:right w:w="0" w:type="nil"/>
            </w:tcMar>
            <w:hideMark/>
          </w:tcPr>
          <w:p w14:paraId="2A0C4455" w14:textId="77777777" w:rsidR="006E51BF" w:rsidRPr="00037649" w:rsidRDefault="006E51BF">
            <w:pPr>
              <w:pStyle w:val="ARfintabletextright"/>
              <w:cnfStyle w:val="010000000000" w:firstRow="0" w:lastRow="1" w:firstColumn="0" w:lastColumn="0" w:oddVBand="0" w:evenVBand="0" w:oddHBand="0"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99" w:type="pct"/>
            <w:shd w:val="clear" w:color="auto" w:fill="auto"/>
            <w:noWrap/>
            <w:tcMar>
              <w:right w:w="0" w:type="nil"/>
            </w:tcMar>
            <w:hideMark/>
          </w:tcPr>
          <w:p w14:paraId="33A638A9" w14:textId="77777777" w:rsidR="006E51BF" w:rsidRPr="00037649" w:rsidRDefault="006E51BF">
            <w:pPr>
              <w:pStyle w:val="ARfintabletextright"/>
              <w:rPr>
                <w:lang w:eastAsia="en-AU"/>
              </w:rPr>
            </w:pPr>
            <w:r>
              <w:rPr>
                <w:lang w:eastAsia="en-AU"/>
              </w:rPr>
              <w:t>–</w:t>
            </w:r>
          </w:p>
        </w:tc>
        <w:tc>
          <w:tcPr>
            <w:tcW w:w="743" w:type="pct"/>
            <w:shd w:val="clear" w:color="auto" w:fill="E7E6E6" w:themeFill="background2"/>
            <w:noWrap/>
            <w:tcMar>
              <w:right w:w="0" w:type="nil"/>
            </w:tcMar>
            <w:hideMark/>
          </w:tcPr>
          <w:p w14:paraId="0AD885B0" w14:textId="77777777" w:rsidR="006E51BF" w:rsidRPr="00037649" w:rsidRDefault="006E51BF">
            <w:pPr>
              <w:pStyle w:val="ARfintabletextright"/>
              <w:ind w:right="20"/>
              <w:cnfStyle w:val="010000000000" w:firstRow="0" w:lastRow="1" w:firstColumn="0" w:lastColumn="0" w:oddVBand="0" w:evenVBand="0" w:oddHBand="0"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44" w:type="pct"/>
            <w:noWrap/>
            <w:tcMar>
              <w:right w:w="0" w:type="nil"/>
            </w:tcMar>
            <w:hideMark/>
          </w:tcPr>
          <w:p w14:paraId="2F8D5FB2" w14:textId="77777777" w:rsidR="006E51BF" w:rsidRPr="00037649" w:rsidRDefault="006E51BF">
            <w:pPr>
              <w:pStyle w:val="ARfintabletextright"/>
              <w:rPr>
                <w:lang w:eastAsia="en-AU"/>
              </w:rPr>
            </w:pPr>
            <w:r>
              <w:rPr>
                <w:lang w:eastAsia="en-AU"/>
              </w:rPr>
              <w:t>–</w:t>
            </w:r>
          </w:p>
        </w:tc>
      </w:tr>
    </w:tbl>
    <w:p w14:paraId="68BC96FD" w14:textId="77777777" w:rsidR="006E51BF" w:rsidRDefault="006E51BF">
      <w:pPr>
        <w:pStyle w:val="ARfinbody"/>
      </w:pPr>
    </w:p>
    <w:tbl>
      <w:tblPr>
        <w:tblStyle w:val="ARtable1"/>
        <w:tblW w:w="5000" w:type="pct"/>
        <w:tblLayout w:type="fixed"/>
        <w:tblLook w:val="00E0" w:firstRow="1" w:lastRow="1" w:firstColumn="1" w:lastColumn="0" w:noHBand="0" w:noVBand="0"/>
      </w:tblPr>
      <w:tblGrid>
        <w:gridCol w:w="2549"/>
        <w:gridCol w:w="1458"/>
        <w:gridCol w:w="1411"/>
        <w:gridCol w:w="1346"/>
        <w:gridCol w:w="1431"/>
        <w:gridCol w:w="1433"/>
      </w:tblGrid>
      <w:tr w:rsidR="006E51BF" w:rsidRPr="00037649" w14:paraId="0028854D" w14:textId="77777777" w:rsidTr="00304BA9">
        <w:trPr>
          <w:cnfStyle w:val="100000000000" w:firstRow="1" w:lastRow="0" w:firstColumn="0" w:lastColumn="0" w:oddVBand="0" w:evenVBand="0" w:oddHBand="0" w:evenHBand="0" w:firstRowFirstColumn="0" w:firstRowLastColumn="0" w:lastRowFirstColumn="0" w:lastRowLastColumn="0"/>
          <w:trHeight w:val="860"/>
          <w:tblHeader/>
        </w:trPr>
        <w:tc>
          <w:tcPr>
            <w:tcW w:w="1324" w:type="pct"/>
            <w:noWrap/>
          </w:tcPr>
          <w:p w14:paraId="62ADCDD3" w14:textId="77777777" w:rsidR="006E51BF" w:rsidRPr="00037649" w:rsidRDefault="006E51BF">
            <w:pPr>
              <w:pStyle w:val="ARfintablecolhead"/>
              <w:rPr>
                <w:lang w:eastAsia="en-AU"/>
              </w:rPr>
            </w:pPr>
            <w:r w:rsidRPr="00037649">
              <w:rPr>
                <w:lang w:eastAsia="en-AU"/>
              </w:rPr>
              <w:t>2025</w:t>
            </w:r>
          </w:p>
        </w:tc>
        <w:tc>
          <w:tcPr>
            <w:cnfStyle w:val="000001000000" w:firstRow="0" w:lastRow="0" w:firstColumn="0" w:lastColumn="0" w:oddVBand="0" w:evenVBand="1" w:oddHBand="0" w:evenHBand="0" w:firstRowFirstColumn="0" w:firstRowLastColumn="0" w:lastRowFirstColumn="0" w:lastRowLastColumn="0"/>
            <w:tcW w:w="757" w:type="pct"/>
            <w:tcMar>
              <w:right w:w="0" w:type="nil"/>
            </w:tcMar>
          </w:tcPr>
          <w:p w14:paraId="40BDFA7C" w14:textId="77777777" w:rsidR="006E51BF" w:rsidRPr="00037649" w:rsidRDefault="006E51BF">
            <w:pPr>
              <w:pStyle w:val="ARfintablecolheadright"/>
              <w:rPr>
                <w:lang w:eastAsia="en-AU"/>
              </w:rPr>
            </w:pPr>
            <w:r w:rsidRPr="00037649">
              <w:rPr>
                <w:lang w:eastAsia="en-AU"/>
              </w:rPr>
              <w:t>Carrying</w:t>
            </w:r>
            <w:r w:rsidRPr="00037649">
              <w:rPr>
                <w:lang w:eastAsia="en-AU"/>
              </w:rPr>
              <w:br/>
              <w:t>amount</w:t>
            </w:r>
          </w:p>
          <w:p w14:paraId="533F30ED" w14:textId="77777777" w:rsidR="006E51BF" w:rsidRPr="00037649" w:rsidRDefault="006E51BF">
            <w:pPr>
              <w:pStyle w:val="ARfintablecolheadright"/>
              <w:rPr>
                <w:lang w:eastAsia="en-AU"/>
              </w:rPr>
            </w:pPr>
            <w:r w:rsidRPr="00037649">
              <w:rPr>
                <w:lang w:eastAsia="en-AU"/>
              </w:rPr>
              <w:t>$M</w:t>
            </w:r>
          </w:p>
        </w:tc>
        <w:tc>
          <w:tcPr>
            <w:tcW w:w="733" w:type="pct"/>
            <w:tcBorders>
              <w:top w:val="single" w:sz="4" w:space="0" w:color="000000" w:themeColor="text1"/>
            </w:tcBorders>
            <w:noWrap/>
            <w:tcMar>
              <w:right w:w="0" w:type="nil"/>
            </w:tcMar>
          </w:tcPr>
          <w:p w14:paraId="5DF4712D" w14:textId="23760E8B" w:rsidR="00696D7E" w:rsidRDefault="00696D7E">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37649">
              <w:rPr>
                <w:lang w:eastAsia="en-AU"/>
              </w:rPr>
              <w:t>Interest rate risk</w:t>
            </w:r>
          </w:p>
          <w:p w14:paraId="3A44D1AF" w14:textId="608EB64C" w:rsidR="006E51BF" w:rsidRPr="00037649"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Pr>
                <w:lang w:eastAsia="en-AU"/>
              </w:rPr>
              <w:t>-</w:t>
            </w:r>
            <w:r w:rsidRPr="00037649">
              <w:rPr>
                <w:lang w:eastAsia="en-AU"/>
              </w:rPr>
              <w:t>0.50%</w:t>
            </w:r>
          </w:p>
          <w:p w14:paraId="7D2CFB64" w14:textId="77777777" w:rsidR="006E51BF" w:rsidRPr="00037649"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37649">
              <w:rPr>
                <w:lang w:eastAsia="en-AU"/>
              </w:rPr>
              <w:t>Net</w:t>
            </w:r>
            <w:r>
              <w:rPr>
                <w:lang w:eastAsia="en-AU"/>
              </w:rPr>
              <w:t xml:space="preserve"> </w:t>
            </w:r>
            <w:r w:rsidRPr="00037649">
              <w:rPr>
                <w:lang w:eastAsia="en-AU"/>
              </w:rPr>
              <w:t>result</w:t>
            </w:r>
          </w:p>
          <w:p w14:paraId="41B51CD8" w14:textId="77777777" w:rsidR="006E51BF" w:rsidRPr="00037649"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37649">
              <w:rPr>
                <w:lang w:eastAsia="en-AU"/>
              </w:rPr>
              <w:t>$M</w:t>
            </w:r>
          </w:p>
        </w:tc>
        <w:tc>
          <w:tcPr>
            <w:cnfStyle w:val="000001000000" w:firstRow="0" w:lastRow="0" w:firstColumn="0" w:lastColumn="0" w:oddVBand="0" w:evenVBand="1" w:oddHBand="0" w:evenHBand="0" w:firstRowFirstColumn="0" w:firstRowLastColumn="0" w:lastRowFirstColumn="0" w:lastRowLastColumn="0"/>
            <w:tcW w:w="699" w:type="pct"/>
            <w:tcBorders>
              <w:top w:val="single" w:sz="4" w:space="0" w:color="000000" w:themeColor="text1"/>
            </w:tcBorders>
            <w:shd w:val="clear" w:color="auto" w:fill="auto"/>
            <w:noWrap/>
            <w:tcMar>
              <w:right w:w="0" w:type="nil"/>
            </w:tcMar>
          </w:tcPr>
          <w:p w14:paraId="67C53575" w14:textId="0318A146" w:rsidR="00696D7E" w:rsidRDefault="00696D7E">
            <w:pPr>
              <w:pStyle w:val="ARfintablecolheadright"/>
              <w:rPr>
                <w:lang w:eastAsia="en-AU"/>
              </w:rPr>
            </w:pPr>
            <w:r w:rsidRPr="00037649">
              <w:rPr>
                <w:lang w:eastAsia="en-AU"/>
              </w:rPr>
              <w:t>Interest rate risk</w:t>
            </w:r>
          </w:p>
          <w:p w14:paraId="5C206B80" w14:textId="05A6B6F3" w:rsidR="006E51BF" w:rsidRPr="00037649" w:rsidRDefault="006E51BF">
            <w:pPr>
              <w:pStyle w:val="ARfintablecolheadright"/>
              <w:rPr>
                <w:lang w:eastAsia="en-AU"/>
              </w:rPr>
            </w:pPr>
            <w:r w:rsidRPr="00037649">
              <w:rPr>
                <w:lang w:eastAsia="en-AU"/>
              </w:rPr>
              <w:t>+1.00%</w:t>
            </w:r>
          </w:p>
          <w:p w14:paraId="62C8EFF4" w14:textId="77777777" w:rsidR="006E51BF" w:rsidRPr="00037649" w:rsidRDefault="006E51BF">
            <w:pPr>
              <w:pStyle w:val="ARfintablecolheadright"/>
              <w:rPr>
                <w:lang w:eastAsia="en-AU"/>
              </w:rPr>
            </w:pPr>
            <w:r w:rsidRPr="00037649">
              <w:rPr>
                <w:lang w:eastAsia="en-AU"/>
              </w:rPr>
              <w:t>Net</w:t>
            </w:r>
            <w:r>
              <w:rPr>
                <w:lang w:eastAsia="en-AU"/>
              </w:rPr>
              <w:t xml:space="preserve"> </w:t>
            </w:r>
            <w:r w:rsidRPr="00037649">
              <w:rPr>
                <w:lang w:eastAsia="en-AU"/>
              </w:rPr>
              <w:t>result</w:t>
            </w:r>
          </w:p>
          <w:p w14:paraId="51AA5767" w14:textId="77777777" w:rsidR="006E51BF" w:rsidRPr="00037649" w:rsidRDefault="006E51BF">
            <w:pPr>
              <w:pStyle w:val="ARfintablecolheadright"/>
              <w:rPr>
                <w:lang w:eastAsia="en-AU"/>
              </w:rPr>
            </w:pPr>
            <w:r w:rsidRPr="00037649">
              <w:rPr>
                <w:lang w:eastAsia="en-AU"/>
              </w:rPr>
              <w:t>$M</w:t>
            </w:r>
          </w:p>
        </w:tc>
        <w:tc>
          <w:tcPr>
            <w:tcW w:w="743" w:type="pct"/>
            <w:tcBorders>
              <w:top w:val="single" w:sz="4" w:space="0" w:color="000000" w:themeColor="text1"/>
            </w:tcBorders>
            <w:shd w:val="clear" w:color="auto" w:fill="E7E6E6" w:themeFill="background2"/>
            <w:noWrap/>
            <w:tcMar>
              <w:right w:w="0" w:type="nil"/>
            </w:tcMar>
          </w:tcPr>
          <w:p w14:paraId="17B23599" w14:textId="126BB964" w:rsidR="00696D7E" w:rsidRDefault="00696D7E">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37649">
              <w:rPr>
                <w:lang w:eastAsia="en-AU"/>
              </w:rPr>
              <w:t>Consumer Price Index (CPI)</w:t>
            </w:r>
          </w:p>
          <w:p w14:paraId="0EE7FC9D" w14:textId="13A0B7A7" w:rsidR="006E51BF" w:rsidRPr="00037649"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Pr>
                <w:lang w:eastAsia="en-AU"/>
              </w:rPr>
              <w:t>-</w:t>
            </w:r>
            <w:r w:rsidRPr="00037649">
              <w:rPr>
                <w:lang w:eastAsia="en-AU"/>
              </w:rPr>
              <w:t>0.25%</w:t>
            </w:r>
          </w:p>
          <w:p w14:paraId="74D2BF9D" w14:textId="77777777" w:rsidR="006E51BF" w:rsidRPr="00037649"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37649">
              <w:rPr>
                <w:lang w:eastAsia="en-AU"/>
              </w:rPr>
              <w:t>Net</w:t>
            </w:r>
            <w:r>
              <w:rPr>
                <w:lang w:eastAsia="en-AU"/>
              </w:rPr>
              <w:t xml:space="preserve"> </w:t>
            </w:r>
            <w:r w:rsidRPr="00037649">
              <w:rPr>
                <w:lang w:eastAsia="en-AU"/>
              </w:rPr>
              <w:t>result</w:t>
            </w:r>
          </w:p>
          <w:p w14:paraId="540DED29" w14:textId="77777777" w:rsidR="006E51BF" w:rsidRPr="00037649"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37649">
              <w:rPr>
                <w:lang w:eastAsia="en-AU"/>
              </w:rPr>
              <w:t>$M</w:t>
            </w:r>
          </w:p>
        </w:tc>
        <w:tc>
          <w:tcPr>
            <w:cnfStyle w:val="000001000000" w:firstRow="0" w:lastRow="0" w:firstColumn="0" w:lastColumn="0" w:oddVBand="0" w:evenVBand="1" w:oddHBand="0" w:evenHBand="0" w:firstRowFirstColumn="0" w:firstRowLastColumn="0" w:lastRowFirstColumn="0" w:lastRowLastColumn="0"/>
            <w:tcW w:w="744" w:type="pct"/>
            <w:tcBorders>
              <w:top w:val="single" w:sz="4" w:space="0" w:color="000000" w:themeColor="text1"/>
            </w:tcBorders>
            <w:noWrap/>
            <w:tcMar>
              <w:right w:w="0" w:type="nil"/>
            </w:tcMar>
          </w:tcPr>
          <w:p w14:paraId="773E1344" w14:textId="49B3F284" w:rsidR="00696D7E" w:rsidRDefault="00696D7E">
            <w:pPr>
              <w:pStyle w:val="ARfintablecolheadright"/>
              <w:rPr>
                <w:lang w:eastAsia="en-AU"/>
              </w:rPr>
            </w:pPr>
            <w:r w:rsidRPr="00037649">
              <w:rPr>
                <w:lang w:eastAsia="en-AU"/>
              </w:rPr>
              <w:t>Consumer Price Index (CPI)</w:t>
            </w:r>
          </w:p>
          <w:p w14:paraId="355012F0" w14:textId="2ABEDD57" w:rsidR="006E51BF" w:rsidRPr="00037649" w:rsidRDefault="006E51BF">
            <w:pPr>
              <w:pStyle w:val="ARfintablecolheadright"/>
              <w:rPr>
                <w:lang w:eastAsia="en-AU"/>
              </w:rPr>
            </w:pPr>
            <w:r w:rsidRPr="00037649">
              <w:rPr>
                <w:lang w:eastAsia="en-AU"/>
              </w:rPr>
              <w:t>+1.5%</w:t>
            </w:r>
          </w:p>
          <w:p w14:paraId="5BF3613F" w14:textId="77777777" w:rsidR="006E51BF" w:rsidRPr="00037649" w:rsidRDefault="006E51BF">
            <w:pPr>
              <w:pStyle w:val="ARfintablecolheadright"/>
              <w:rPr>
                <w:lang w:eastAsia="en-AU"/>
              </w:rPr>
            </w:pPr>
            <w:r w:rsidRPr="00037649">
              <w:rPr>
                <w:lang w:eastAsia="en-AU"/>
              </w:rPr>
              <w:t>Net</w:t>
            </w:r>
            <w:r>
              <w:rPr>
                <w:lang w:eastAsia="en-AU"/>
              </w:rPr>
              <w:t xml:space="preserve"> </w:t>
            </w:r>
            <w:r w:rsidRPr="00037649">
              <w:rPr>
                <w:lang w:eastAsia="en-AU"/>
              </w:rPr>
              <w:t>result</w:t>
            </w:r>
          </w:p>
          <w:p w14:paraId="22E6827C" w14:textId="77777777" w:rsidR="006E51BF" w:rsidRPr="00037649" w:rsidRDefault="006E51BF">
            <w:pPr>
              <w:pStyle w:val="ARfintablecolheadright"/>
              <w:rPr>
                <w:lang w:eastAsia="en-AU"/>
              </w:rPr>
            </w:pPr>
            <w:r w:rsidRPr="00037649">
              <w:rPr>
                <w:lang w:eastAsia="en-AU"/>
              </w:rPr>
              <w:t>$M</w:t>
            </w:r>
          </w:p>
        </w:tc>
      </w:tr>
      <w:tr w:rsidR="006E51BF" w:rsidRPr="00037649" w14:paraId="686FC166" w14:textId="77777777" w:rsidTr="00304BA9">
        <w:trPr>
          <w:cnfStyle w:val="000000100000" w:firstRow="0" w:lastRow="0" w:firstColumn="0" w:lastColumn="0" w:oddVBand="0" w:evenVBand="0" w:oddHBand="1" w:evenHBand="0" w:firstRowFirstColumn="0" w:firstRowLastColumn="0" w:lastRowFirstColumn="0" w:lastRowLastColumn="0"/>
          <w:trHeight w:val="270"/>
        </w:trPr>
        <w:tc>
          <w:tcPr>
            <w:tcW w:w="1324" w:type="pct"/>
            <w:noWrap/>
            <w:hideMark/>
          </w:tcPr>
          <w:p w14:paraId="2D8E7B91" w14:textId="77777777" w:rsidR="006E51BF" w:rsidRPr="00037649" w:rsidRDefault="006E51BF">
            <w:pPr>
              <w:pStyle w:val="ARfintabletextboldcoloured"/>
              <w:rPr>
                <w:lang w:eastAsia="en-AU"/>
              </w:rPr>
            </w:pPr>
            <w:r w:rsidRPr="00037649">
              <w:rPr>
                <w:lang w:eastAsia="en-AU"/>
              </w:rPr>
              <w:t>Contractual financial assets</w:t>
            </w:r>
          </w:p>
        </w:tc>
        <w:tc>
          <w:tcPr>
            <w:cnfStyle w:val="000001000000" w:firstRow="0" w:lastRow="0" w:firstColumn="0" w:lastColumn="0" w:oddVBand="0" w:evenVBand="1" w:oddHBand="0" w:evenHBand="0" w:firstRowFirstColumn="0" w:firstRowLastColumn="0" w:lastRowFirstColumn="0" w:lastRowLastColumn="0"/>
            <w:tcW w:w="757" w:type="pct"/>
            <w:shd w:val="clear" w:color="auto" w:fill="auto"/>
            <w:noWrap/>
            <w:tcMar>
              <w:right w:w="0" w:type="nil"/>
            </w:tcMar>
            <w:hideMark/>
          </w:tcPr>
          <w:p w14:paraId="4E27440A" w14:textId="77777777" w:rsidR="006E51BF" w:rsidRPr="00037649" w:rsidRDefault="006E51BF">
            <w:pPr>
              <w:pStyle w:val="ARfinbody"/>
              <w:rPr>
                <w:color w:val="000000"/>
                <w:sz w:val="20"/>
                <w:lang w:eastAsia="en-AU"/>
              </w:rPr>
            </w:pPr>
          </w:p>
        </w:tc>
        <w:tc>
          <w:tcPr>
            <w:tcW w:w="733" w:type="pct"/>
            <w:noWrap/>
            <w:tcMar>
              <w:right w:w="0" w:type="nil"/>
            </w:tcMar>
            <w:hideMark/>
          </w:tcPr>
          <w:p w14:paraId="536A1E1B" w14:textId="77777777" w:rsidR="006E51BF" w:rsidRPr="00037649" w:rsidRDefault="006E51BF">
            <w:pPr>
              <w:pStyle w:val="ARfinbody"/>
              <w:cnfStyle w:val="000000100000" w:firstRow="0" w:lastRow="0" w:firstColumn="0" w:lastColumn="0" w:oddVBand="0" w:evenVBand="0" w:oddHBand="1" w:evenHBand="0" w:firstRowFirstColumn="0" w:firstRowLastColumn="0" w:lastRowFirstColumn="0" w:lastRowLastColumn="0"/>
              <w:rPr>
                <w:color w:val="000000"/>
                <w:sz w:val="20"/>
                <w:lang w:eastAsia="en-AU"/>
              </w:rPr>
            </w:pPr>
          </w:p>
        </w:tc>
        <w:tc>
          <w:tcPr>
            <w:cnfStyle w:val="000001000000" w:firstRow="0" w:lastRow="0" w:firstColumn="0" w:lastColumn="0" w:oddVBand="0" w:evenVBand="1" w:oddHBand="0" w:evenHBand="0" w:firstRowFirstColumn="0" w:firstRowLastColumn="0" w:lastRowFirstColumn="0" w:lastRowLastColumn="0"/>
            <w:tcW w:w="699" w:type="pct"/>
            <w:shd w:val="clear" w:color="auto" w:fill="auto"/>
            <w:noWrap/>
            <w:tcMar>
              <w:right w:w="0" w:type="nil"/>
            </w:tcMar>
            <w:hideMark/>
          </w:tcPr>
          <w:p w14:paraId="2911CFEC" w14:textId="77777777" w:rsidR="006E51BF" w:rsidRPr="00037649" w:rsidRDefault="006E51BF">
            <w:pPr>
              <w:pStyle w:val="ARfinbody"/>
              <w:rPr>
                <w:color w:val="000000"/>
                <w:sz w:val="20"/>
                <w:lang w:eastAsia="en-AU"/>
              </w:rPr>
            </w:pPr>
          </w:p>
        </w:tc>
        <w:tc>
          <w:tcPr>
            <w:tcW w:w="743" w:type="pct"/>
            <w:noWrap/>
            <w:tcMar>
              <w:right w:w="0" w:type="nil"/>
            </w:tcMar>
            <w:hideMark/>
          </w:tcPr>
          <w:p w14:paraId="2B62499B" w14:textId="77777777" w:rsidR="006E51BF" w:rsidRPr="00037649" w:rsidRDefault="006E51BF">
            <w:pPr>
              <w:pStyle w:val="ARfinbody"/>
              <w:cnfStyle w:val="000000100000" w:firstRow="0" w:lastRow="0" w:firstColumn="0" w:lastColumn="0" w:oddVBand="0" w:evenVBand="0" w:oddHBand="1" w:evenHBand="0" w:firstRowFirstColumn="0" w:firstRowLastColumn="0" w:lastRowFirstColumn="0" w:lastRowLastColumn="0"/>
              <w:rPr>
                <w:color w:val="000000"/>
                <w:sz w:val="20"/>
                <w:lang w:eastAsia="en-AU"/>
              </w:rPr>
            </w:pPr>
          </w:p>
        </w:tc>
        <w:tc>
          <w:tcPr>
            <w:cnfStyle w:val="000001000000" w:firstRow="0" w:lastRow="0" w:firstColumn="0" w:lastColumn="0" w:oddVBand="0" w:evenVBand="1" w:oddHBand="0" w:evenHBand="0" w:firstRowFirstColumn="0" w:firstRowLastColumn="0" w:lastRowFirstColumn="0" w:lastRowLastColumn="0"/>
            <w:tcW w:w="744" w:type="pct"/>
            <w:shd w:val="clear" w:color="auto" w:fill="auto"/>
            <w:noWrap/>
            <w:tcMar>
              <w:right w:w="0" w:type="nil"/>
            </w:tcMar>
            <w:hideMark/>
          </w:tcPr>
          <w:p w14:paraId="74AE93FA" w14:textId="77777777" w:rsidR="006E51BF" w:rsidRPr="00037649" w:rsidRDefault="006E51BF">
            <w:pPr>
              <w:pStyle w:val="ARfinbody"/>
              <w:rPr>
                <w:color w:val="000000"/>
                <w:sz w:val="20"/>
                <w:lang w:eastAsia="en-AU"/>
              </w:rPr>
            </w:pPr>
          </w:p>
        </w:tc>
      </w:tr>
      <w:tr w:rsidR="006E51BF" w:rsidRPr="00037649" w14:paraId="6351F56D" w14:textId="77777777" w:rsidTr="00304BA9">
        <w:trPr>
          <w:cnfStyle w:val="000000010000" w:firstRow="0" w:lastRow="0" w:firstColumn="0" w:lastColumn="0" w:oddVBand="0" w:evenVBand="0" w:oddHBand="0" w:evenHBand="1" w:firstRowFirstColumn="0" w:firstRowLastColumn="0" w:lastRowFirstColumn="0" w:lastRowLastColumn="0"/>
          <w:trHeight w:val="270"/>
        </w:trPr>
        <w:tc>
          <w:tcPr>
            <w:tcW w:w="1324" w:type="pct"/>
            <w:noWrap/>
            <w:hideMark/>
          </w:tcPr>
          <w:p w14:paraId="225B4F55" w14:textId="77777777" w:rsidR="006E51BF" w:rsidRPr="00037649" w:rsidRDefault="006E51BF">
            <w:pPr>
              <w:pStyle w:val="ARfintabletext"/>
              <w:rPr>
                <w:lang w:eastAsia="en-AU"/>
              </w:rPr>
            </w:pPr>
            <w:r w:rsidRPr="00037649">
              <w:rPr>
                <w:lang w:eastAsia="en-AU"/>
              </w:rPr>
              <w:t xml:space="preserve">Cash and deposits </w:t>
            </w:r>
            <w:r w:rsidRPr="00037649">
              <w:rPr>
                <w:szCs w:val="18"/>
                <w:vertAlign w:val="superscript"/>
                <w:lang w:eastAsia="en-AU"/>
              </w:rPr>
              <w:t>(</w:t>
            </w:r>
            <w:proofErr w:type="spellStart"/>
            <w:r w:rsidRPr="00037649">
              <w:rPr>
                <w:szCs w:val="18"/>
                <w:vertAlign w:val="superscript"/>
                <w:lang w:eastAsia="en-AU"/>
              </w:rPr>
              <w:t>i</w:t>
            </w:r>
            <w:proofErr w:type="spellEnd"/>
            <w:r w:rsidRPr="00037649">
              <w:rPr>
                <w:szCs w:val="18"/>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757" w:type="pct"/>
            <w:noWrap/>
            <w:tcMar>
              <w:right w:w="0" w:type="nil"/>
            </w:tcMar>
            <w:hideMark/>
          </w:tcPr>
          <w:p w14:paraId="23FF2B39" w14:textId="77777777" w:rsidR="006E51BF" w:rsidRPr="00037649" w:rsidRDefault="006E51BF">
            <w:pPr>
              <w:pStyle w:val="ARfintabletextright"/>
              <w:rPr>
                <w:lang w:eastAsia="en-AU"/>
              </w:rPr>
            </w:pPr>
            <w:r w:rsidRPr="00037649">
              <w:rPr>
                <w:lang w:eastAsia="en-AU"/>
              </w:rPr>
              <w:t>1,312.2</w:t>
            </w:r>
          </w:p>
        </w:tc>
        <w:tc>
          <w:tcPr>
            <w:tcW w:w="733" w:type="pct"/>
            <w:noWrap/>
            <w:tcMar>
              <w:right w:w="0" w:type="nil"/>
            </w:tcMar>
            <w:hideMark/>
          </w:tcPr>
          <w:p w14:paraId="0F29FE28" w14:textId="77777777" w:rsidR="006E51BF" w:rsidRPr="00037649"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037649">
              <w:rPr>
                <w:lang w:eastAsia="en-AU"/>
              </w:rPr>
              <w:t>(6.3)</w:t>
            </w:r>
          </w:p>
        </w:tc>
        <w:tc>
          <w:tcPr>
            <w:cnfStyle w:val="000001000000" w:firstRow="0" w:lastRow="0" w:firstColumn="0" w:lastColumn="0" w:oddVBand="0" w:evenVBand="1" w:oddHBand="0" w:evenHBand="0" w:firstRowFirstColumn="0" w:firstRowLastColumn="0" w:lastRowFirstColumn="0" w:lastRowLastColumn="0"/>
            <w:tcW w:w="699" w:type="pct"/>
            <w:shd w:val="clear" w:color="auto" w:fill="auto"/>
            <w:noWrap/>
            <w:tcMar>
              <w:right w:w="0" w:type="nil"/>
            </w:tcMar>
            <w:hideMark/>
          </w:tcPr>
          <w:p w14:paraId="5907ECD7" w14:textId="77777777" w:rsidR="006E51BF" w:rsidRPr="00037649" w:rsidRDefault="006E51BF">
            <w:pPr>
              <w:pStyle w:val="ARfintabletextright"/>
              <w:rPr>
                <w:lang w:eastAsia="en-AU"/>
              </w:rPr>
            </w:pPr>
            <w:r w:rsidRPr="00037649">
              <w:rPr>
                <w:lang w:eastAsia="en-AU"/>
              </w:rPr>
              <w:t>12.6</w:t>
            </w:r>
          </w:p>
        </w:tc>
        <w:tc>
          <w:tcPr>
            <w:tcW w:w="743" w:type="pct"/>
            <w:shd w:val="clear" w:color="auto" w:fill="E7E6E6" w:themeFill="background2"/>
            <w:noWrap/>
            <w:tcMar>
              <w:right w:w="0" w:type="nil"/>
            </w:tcMar>
            <w:hideMark/>
          </w:tcPr>
          <w:p w14:paraId="2015E9AC" w14:textId="77777777" w:rsidR="006E51BF" w:rsidRPr="00037649"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44" w:type="pct"/>
            <w:noWrap/>
            <w:tcMar>
              <w:right w:w="0" w:type="nil"/>
            </w:tcMar>
            <w:hideMark/>
          </w:tcPr>
          <w:p w14:paraId="03B21EBD" w14:textId="77777777" w:rsidR="006E51BF" w:rsidRPr="00037649" w:rsidRDefault="006E51BF">
            <w:pPr>
              <w:pStyle w:val="ARfintabletextright"/>
              <w:rPr>
                <w:lang w:eastAsia="en-AU"/>
              </w:rPr>
            </w:pPr>
            <w:r>
              <w:rPr>
                <w:lang w:eastAsia="en-AU"/>
              </w:rPr>
              <w:t>–</w:t>
            </w:r>
          </w:p>
        </w:tc>
      </w:tr>
      <w:tr w:rsidR="006E51BF" w:rsidRPr="00037649" w14:paraId="4F9F1BD1" w14:textId="77777777" w:rsidTr="00304BA9">
        <w:trPr>
          <w:cnfStyle w:val="000000100000" w:firstRow="0" w:lastRow="0" w:firstColumn="0" w:lastColumn="0" w:oddVBand="0" w:evenVBand="0" w:oddHBand="1" w:evenHBand="0" w:firstRowFirstColumn="0" w:firstRowLastColumn="0" w:lastRowFirstColumn="0" w:lastRowLastColumn="0"/>
          <w:trHeight w:val="270"/>
        </w:trPr>
        <w:tc>
          <w:tcPr>
            <w:tcW w:w="1324" w:type="pct"/>
            <w:tcBorders>
              <w:bottom w:val="single" w:sz="4" w:space="0" w:color="BFBFBF" w:themeColor="accent2"/>
            </w:tcBorders>
            <w:noWrap/>
            <w:hideMark/>
          </w:tcPr>
          <w:p w14:paraId="5A413C59" w14:textId="77777777" w:rsidR="006E51BF" w:rsidRPr="00037649" w:rsidRDefault="006E51BF">
            <w:pPr>
              <w:pStyle w:val="ARfintabletext"/>
              <w:rPr>
                <w:lang w:eastAsia="en-AU"/>
              </w:rPr>
            </w:pPr>
            <w:r w:rsidRPr="00037649">
              <w:rPr>
                <w:lang w:eastAsia="en-AU"/>
              </w:rPr>
              <w:t xml:space="preserve">Receivables </w:t>
            </w:r>
            <w:r w:rsidRPr="00037649">
              <w:rPr>
                <w:szCs w:val="18"/>
                <w:vertAlign w:val="superscript"/>
                <w:lang w:eastAsia="en-AU"/>
              </w:rPr>
              <w:t>(ii)(iii)</w:t>
            </w:r>
          </w:p>
        </w:tc>
        <w:tc>
          <w:tcPr>
            <w:cnfStyle w:val="000001000000" w:firstRow="0" w:lastRow="0" w:firstColumn="0" w:lastColumn="0" w:oddVBand="0" w:evenVBand="1" w:oddHBand="0" w:evenHBand="0" w:firstRowFirstColumn="0" w:firstRowLastColumn="0" w:lastRowFirstColumn="0" w:lastRowLastColumn="0"/>
            <w:tcW w:w="757" w:type="pct"/>
            <w:tcBorders>
              <w:bottom w:val="single" w:sz="4" w:space="0" w:color="BFBFBF" w:themeColor="accent2"/>
            </w:tcBorders>
            <w:noWrap/>
            <w:tcMar>
              <w:right w:w="0" w:type="nil"/>
            </w:tcMar>
            <w:hideMark/>
          </w:tcPr>
          <w:p w14:paraId="13B515CD" w14:textId="77777777" w:rsidR="006E51BF" w:rsidRPr="00037649" w:rsidRDefault="006E51BF">
            <w:pPr>
              <w:pStyle w:val="ARfintabletextright"/>
              <w:rPr>
                <w:lang w:eastAsia="en-AU"/>
              </w:rPr>
            </w:pPr>
            <w:r w:rsidRPr="00037649">
              <w:rPr>
                <w:lang w:eastAsia="en-AU"/>
              </w:rPr>
              <w:t>225.4</w:t>
            </w:r>
          </w:p>
        </w:tc>
        <w:tc>
          <w:tcPr>
            <w:tcW w:w="733" w:type="pct"/>
            <w:tcBorders>
              <w:bottom w:val="single" w:sz="4" w:space="0" w:color="BFBFBF" w:themeColor="accent2"/>
            </w:tcBorders>
            <w:noWrap/>
            <w:tcMar>
              <w:right w:w="0" w:type="nil"/>
            </w:tcMar>
            <w:hideMark/>
          </w:tcPr>
          <w:p w14:paraId="2512096E" w14:textId="77777777" w:rsidR="006E51BF" w:rsidRPr="00037649"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99" w:type="pct"/>
            <w:tcBorders>
              <w:bottom w:val="single" w:sz="4" w:space="0" w:color="BFBFBF" w:themeColor="accent2"/>
            </w:tcBorders>
            <w:shd w:val="clear" w:color="auto" w:fill="auto"/>
            <w:noWrap/>
            <w:tcMar>
              <w:right w:w="0" w:type="nil"/>
            </w:tcMar>
            <w:hideMark/>
          </w:tcPr>
          <w:p w14:paraId="40007E07" w14:textId="77777777" w:rsidR="006E51BF" w:rsidRPr="00037649" w:rsidRDefault="006E51BF">
            <w:pPr>
              <w:pStyle w:val="ARfintabletextright"/>
              <w:rPr>
                <w:lang w:eastAsia="en-AU"/>
              </w:rPr>
            </w:pPr>
            <w:r>
              <w:rPr>
                <w:lang w:eastAsia="en-AU"/>
              </w:rPr>
              <w:t>–</w:t>
            </w:r>
          </w:p>
        </w:tc>
        <w:tc>
          <w:tcPr>
            <w:tcW w:w="743" w:type="pct"/>
            <w:tcBorders>
              <w:bottom w:val="single" w:sz="4" w:space="0" w:color="BFBFBF" w:themeColor="accent2"/>
            </w:tcBorders>
            <w:shd w:val="clear" w:color="auto" w:fill="E7E6E6" w:themeFill="background2"/>
            <w:noWrap/>
            <w:tcMar>
              <w:right w:w="0" w:type="nil"/>
            </w:tcMar>
            <w:hideMark/>
          </w:tcPr>
          <w:p w14:paraId="6DEFADCE" w14:textId="77777777" w:rsidR="006E51BF" w:rsidRPr="00037649"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44" w:type="pct"/>
            <w:tcBorders>
              <w:bottom w:val="single" w:sz="4" w:space="0" w:color="BFBFBF" w:themeColor="accent2"/>
            </w:tcBorders>
            <w:noWrap/>
            <w:tcMar>
              <w:right w:w="0" w:type="nil"/>
            </w:tcMar>
            <w:hideMark/>
          </w:tcPr>
          <w:p w14:paraId="1EEB9AD2" w14:textId="77777777" w:rsidR="006E51BF" w:rsidRPr="00037649" w:rsidRDefault="006E51BF">
            <w:pPr>
              <w:pStyle w:val="ARfintabletextright"/>
              <w:rPr>
                <w:lang w:eastAsia="en-AU"/>
              </w:rPr>
            </w:pPr>
            <w:r>
              <w:rPr>
                <w:lang w:eastAsia="en-AU"/>
              </w:rPr>
              <w:t>–</w:t>
            </w:r>
          </w:p>
        </w:tc>
      </w:tr>
      <w:tr w:rsidR="006E51BF" w:rsidRPr="00037649" w14:paraId="22958A7C" w14:textId="77777777" w:rsidTr="00304BA9">
        <w:trPr>
          <w:cnfStyle w:val="000000010000" w:firstRow="0" w:lastRow="0" w:firstColumn="0" w:lastColumn="0" w:oddVBand="0" w:evenVBand="0" w:oddHBand="0" w:evenHBand="1" w:firstRowFirstColumn="0" w:firstRowLastColumn="0" w:lastRowFirstColumn="0" w:lastRowLastColumn="0"/>
          <w:trHeight w:val="270"/>
        </w:trPr>
        <w:tc>
          <w:tcPr>
            <w:tcW w:w="1324" w:type="pct"/>
            <w:tcBorders>
              <w:top w:val="single" w:sz="4" w:space="0" w:color="BFBFBF" w:themeColor="accent2"/>
              <w:bottom w:val="single" w:sz="4" w:space="0" w:color="000000" w:themeColor="text1"/>
            </w:tcBorders>
            <w:noWrap/>
            <w:hideMark/>
          </w:tcPr>
          <w:p w14:paraId="25FAFD3D" w14:textId="77777777" w:rsidR="006E51BF" w:rsidRPr="00037649" w:rsidRDefault="006E51BF">
            <w:pPr>
              <w:pStyle w:val="ARfintabletext"/>
              <w:rPr>
                <w:lang w:eastAsia="en-AU"/>
              </w:rPr>
            </w:pPr>
            <w:r w:rsidRPr="00037649">
              <w:rPr>
                <w:lang w:eastAsia="en-AU"/>
              </w:rPr>
              <w:t xml:space="preserve">Loans </w:t>
            </w:r>
            <w:r w:rsidRPr="00037649">
              <w:rPr>
                <w:szCs w:val="18"/>
                <w:vertAlign w:val="superscript"/>
                <w:lang w:eastAsia="en-AU"/>
              </w:rPr>
              <w:t>(iii)</w:t>
            </w:r>
          </w:p>
        </w:tc>
        <w:tc>
          <w:tcPr>
            <w:cnfStyle w:val="000001000000" w:firstRow="0" w:lastRow="0" w:firstColumn="0" w:lastColumn="0" w:oddVBand="0" w:evenVBand="1" w:oddHBand="0" w:evenHBand="0" w:firstRowFirstColumn="0" w:firstRowLastColumn="0" w:lastRowFirstColumn="0" w:lastRowLastColumn="0"/>
            <w:tcW w:w="757" w:type="pct"/>
            <w:tcBorders>
              <w:top w:val="single" w:sz="4" w:space="0" w:color="BFBFBF" w:themeColor="accent2"/>
              <w:bottom w:val="single" w:sz="4" w:space="0" w:color="000000" w:themeColor="text1"/>
            </w:tcBorders>
            <w:noWrap/>
            <w:tcMar>
              <w:right w:w="0" w:type="nil"/>
            </w:tcMar>
            <w:hideMark/>
          </w:tcPr>
          <w:p w14:paraId="28D1DE9C" w14:textId="77777777" w:rsidR="006E51BF" w:rsidRPr="00037649" w:rsidRDefault="006E51BF">
            <w:pPr>
              <w:pStyle w:val="ARfintabletextright"/>
              <w:rPr>
                <w:lang w:eastAsia="en-AU"/>
              </w:rPr>
            </w:pPr>
            <w:r w:rsidRPr="00037649">
              <w:rPr>
                <w:lang w:eastAsia="en-AU"/>
              </w:rPr>
              <w:t>66.7</w:t>
            </w:r>
          </w:p>
        </w:tc>
        <w:tc>
          <w:tcPr>
            <w:tcW w:w="733" w:type="pct"/>
            <w:tcBorders>
              <w:top w:val="single" w:sz="4" w:space="0" w:color="BFBFBF" w:themeColor="accent2"/>
              <w:bottom w:val="single" w:sz="4" w:space="0" w:color="000000" w:themeColor="text1"/>
            </w:tcBorders>
            <w:noWrap/>
            <w:tcMar>
              <w:right w:w="0" w:type="nil"/>
            </w:tcMar>
            <w:hideMark/>
          </w:tcPr>
          <w:p w14:paraId="1655CB29" w14:textId="77777777" w:rsidR="006E51BF" w:rsidRPr="00037649"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99" w:type="pct"/>
            <w:tcBorders>
              <w:top w:val="single" w:sz="4" w:space="0" w:color="BFBFBF" w:themeColor="accent2"/>
              <w:bottom w:val="single" w:sz="4" w:space="0" w:color="000000" w:themeColor="text1"/>
            </w:tcBorders>
            <w:shd w:val="clear" w:color="auto" w:fill="auto"/>
            <w:noWrap/>
            <w:tcMar>
              <w:right w:w="0" w:type="nil"/>
            </w:tcMar>
            <w:hideMark/>
          </w:tcPr>
          <w:p w14:paraId="745F981E" w14:textId="77777777" w:rsidR="006E51BF" w:rsidRPr="00037649" w:rsidRDefault="006E51BF">
            <w:pPr>
              <w:pStyle w:val="ARfintabletextright"/>
              <w:rPr>
                <w:lang w:eastAsia="en-AU"/>
              </w:rPr>
            </w:pPr>
            <w:r>
              <w:rPr>
                <w:lang w:eastAsia="en-AU"/>
              </w:rPr>
              <w:t>–</w:t>
            </w:r>
          </w:p>
        </w:tc>
        <w:tc>
          <w:tcPr>
            <w:tcW w:w="743" w:type="pct"/>
            <w:tcBorders>
              <w:top w:val="single" w:sz="4" w:space="0" w:color="BFBFBF" w:themeColor="accent2"/>
              <w:bottom w:val="single" w:sz="4" w:space="0" w:color="000000" w:themeColor="text1"/>
            </w:tcBorders>
            <w:shd w:val="clear" w:color="auto" w:fill="E7E6E6" w:themeFill="background2"/>
            <w:noWrap/>
            <w:tcMar>
              <w:right w:w="0" w:type="nil"/>
            </w:tcMar>
            <w:hideMark/>
          </w:tcPr>
          <w:p w14:paraId="125BA7E5" w14:textId="77777777" w:rsidR="006E51BF" w:rsidRPr="00037649"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44" w:type="pct"/>
            <w:tcBorders>
              <w:top w:val="single" w:sz="4" w:space="0" w:color="BFBFBF" w:themeColor="accent2"/>
              <w:bottom w:val="single" w:sz="4" w:space="0" w:color="000000" w:themeColor="text1"/>
            </w:tcBorders>
            <w:noWrap/>
            <w:tcMar>
              <w:right w:w="0" w:type="nil"/>
            </w:tcMar>
            <w:hideMark/>
          </w:tcPr>
          <w:p w14:paraId="6144AC5E" w14:textId="77777777" w:rsidR="006E51BF" w:rsidRPr="00037649" w:rsidRDefault="006E51BF">
            <w:pPr>
              <w:pStyle w:val="ARfintabletextright"/>
              <w:rPr>
                <w:lang w:eastAsia="en-AU"/>
              </w:rPr>
            </w:pPr>
            <w:r>
              <w:rPr>
                <w:lang w:eastAsia="en-AU"/>
              </w:rPr>
              <w:t>–</w:t>
            </w:r>
          </w:p>
        </w:tc>
      </w:tr>
      <w:tr w:rsidR="006E51BF" w:rsidRPr="00037649" w14:paraId="25F107DD" w14:textId="77777777" w:rsidTr="00304BA9">
        <w:trPr>
          <w:cnfStyle w:val="000000100000" w:firstRow="0" w:lastRow="0" w:firstColumn="0" w:lastColumn="0" w:oddVBand="0" w:evenVBand="0" w:oddHBand="1" w:evenHBand="0" w:firstRowFirstColumn="0" w:firstRowLastColumn="0" w:lastRowFirstColumn="0" w:lastRowLastColumn="0"/>
          <w:trHeight w:val="280"/>
        </w:trPr>
        <w:tc>
          <w:tcPr>
            <w:tcW w:w="1324" w:type="pct"/>
            <w:tcBorders>
              <w:top w:val="single" w:sz="4" w:space="0" w:color="000000" w:themeColor="text1"/>
              <w:bottom w:val="single" w:sz="4" w:space="0" w:color="000000" w:themeColor="text1"/>
            </w:tcBorders>
            <w:noWrap/>
            <w:hideMark/>
          </w:tcPr>
          <w:p w14:paraId="5DEE85F2" w14:textId="77777777" w:rsidR="006E51BF" w:rsidRPr="00037649" w:rsidRDefault="006E51BF">
            <w:pPr>
              <w:pStyle w:val="ARfintabletextbold"/>
              <w:rPr>
                <w:lang w:eastAsia="en-AU"/>
              </w:rPr>
            </w:pPr>
            <w:r w:rsidRPr="00037649">
              <w:rPr>
                <w:lang w:eastAsia="en-AU"/>
              </w:rPr>
              <w:t>Total impact</w:t>
            </w:r>
          </w:p>
        </w:tc>
        <w:tc>
          <w:tcPr>
            <w:cnfStyle w:val="000001000000" w:firstRow="0" w:lastRow="0" w:firstColumn="0" w:lastColumn="0" w:oddVBand="0" w:evenVBand="1" w:oddHBand="0" w:evenHBand="0" w:firstRowFirstColumn="0" w:firstRowLastColumn="0" w:lastRowFirstColumn="0" w:lastRowLastColumn="0"/>
            <w:tcW w:w="757" w:type="pct"/>
            <w:tcBorders>
              <w:top w:val="single" w:sz="4" w:space="0" w:color="000000" w:themeColor="text1"/>
              <w:bottom w:val="single" w:sz="4" w:space="0" w:color="000000" w:themeColor="text1"/>
            </w:tcBorders>
            <w:noWrap/>
            <w:tcMar>
              <w:right w:w="0" w:type="nil"/>
            </w:tcMar>
            <w:hideMark/>
          </w:tcPr>
          <w:p w14:paraId="22957905" w14:textId="77777777" w:rsidR="006E51BF" w:rsidRPr="00037649" w:rsidRDefault="006E51BF">
            <w:pPr>
              <w:pStyle w:val="ARfintabletextboldright"/>
              <w:rPr>
                <w:lang w:eastAsia="en-AU"/>
              </w:rPr>
            </w:pPr>
            <w:r w:rsidRPr="00037649">
              <w:rPr>
                <w:lang w:eastAsia="en-AU"/>
              </w:rPr>
              <w:t>1,604.3</w:t>
            </w:r>
          </w:p>
        </w:tc>
        <w:tc>
          <w:tcPr>
            <w:tcW w:w="733" w:type="pct"/>
            <w:tcBorders>
              <w:top w:val="single" w:sz="4" w:space="0" w:color="000000" w:themeColor="text1"/>
              <w:bottom w:val="single" w:sz="4" w:space="0" w:color="000000" w:themeColor="text1"/>
            </w:tcBorders>
            <w:noWrap/>
            <w:tcMar>
              <w:right w:w="0" w:type="nil"/>
            </w:tcMar>
            <w:hideMark/>
          </w:tcPr>
          <w:p w14:paraId="5B508211" w14:textId="77777777" w:rsidR="006E51BF" w:rsidRPr="00037649"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037649">
              <w:rPr>
                <w:lang w:eastAsia="en-AU"/>
              </w:rPr>
              <w:t>(6.3)</w:t>
            </w:r>
          </w:p>
        </w:tc>
        <w:tc>
          <w:tcPr>
            <w:cnfStyle w:val="000001000000" w:firstRow="0" w:lastRow="0" w:firstColumn="0" w:lastColumn="0" w:oddVBand="0" w:evenVBand="1" w:oddHBand="0" w:evenHBand="0" w:firstRowFirstColumn="0" w:firstRowLastColumn="0" w:lastRowFirstColumn="0" w:lastRowLastColumn="0"/>
            <w:tcW w:w="699" w:type="pct"/>
            <w:tcBorders>
              <w:top w:val="single" w:sz="4" w:space="0" w:color="000000" w:themeColor="text1"/>
              <w:bottom w:val="single" w:sz="4" w:space="0" w:color="000000" w:themeColor="text1"/>
            </w:tcBorders>
            <w:shd w:val="clear" w:color="auto" w:fill="auto"/>
            <w:noWrap/>
            <w:tcMar>
              <w:right w:w="0" w:type="nil"/>
            </w:tcMar>
            <w:hideMark/>
          </w:tcPr>
          <w:p w14:paraId="3A9AAA6E" w14:textId="77777777" w:rsidR="006E51BF" w:rsidRPr="00037649" w:rsidRDefault="006E51BF">
            <w:pPr>
              <w:pStyle w:val="ARfintabletextboldright"/>
              <w:rPr>
                <w:lang w:eastAsia="en-AU"/>
              </w:rPr>
            </w:pPr>
            <w:r w:rsidRPr="00037649">
              <w:rPr>
                <w:lang w:eastAsia="en-AU"/>
              </w:rPr>
              <w:t>12.6</w:t>
            </w:r>
          </w:p>
        </w:tc>
        <w:tc>
          <w:tcPr>
            <w:tcW w:w="743"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5A891926" w14:textId="77777777" w:rsidR="006E51BF" w:rsidRPr="00037649"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744" w:type="pct"/>
            <w:tcBorders>
              <w:top w:val="single" w:sz="4" w:space="0" w:color="000000" w:themeColor="text1"/>
              <w:bottom w:val="single" w:sz="4" w:space="0" w:color="000000" w:themeColor="text1"/>
            </w:tcBorders>
            <w:noWrap/>
            <w:tcMar>
              <w:right w:w="0" w:type="nil"/>
            </w:tcMar>
            <w:hideMark/>
          </w:tcPr>
          <w:p w14:paraId="5896A2D1" w14:textId="77777777" w:rsidR="006E51BF" w:rsidRPr="00037649" w:rsidRDefault="006E51BF">
            <w:pPr>
              <w:pStyle w:val="ARfintabletextboldright"/>
              <w:rPr>
                <w:lang w:eastAsia="en-AU"/>
              </w:rPr>
            </w:pPr>
            <w:r>
              <w:rPr>
                <w:lang w:eastAsia="en-AU"/>
              </w:rPr>
              <w:t>–</w:t>
            </w:r>
          </w:p>
        </w:tc>
      </w:tr>
      <w:tr w:rsidR="006E51BF" w:rsidRPr="00037649" w14:paraId="53340C54" w14:textId="77777777" w:rsidTr="00304BA9">
        <w:trPr>
          <w:cnfStyle w:val="000000010000" w:firstRow="0" w:lastRow="0" w:firstColumn="0" w:lastColumn="0" w:oddVBand="0" w:evenVBand="0" w:oddHBand="0" w:evenHBand="1" w:firstRowFirstColumn="0" w:firstRowLastColumn="0" w:lastRowFirstColumn="0" w:lastRowLastColumn="0"/>
          <w:trHeight w:val="270"/>
        </w:trPr>
        <w:tc>
          <w:tcPr>
            <w:tcW w:w="1324" w:type="pct"/>
            <w:tcBorders>
              <w:top w:val="single" w:sz="4" w:space="0" w:color="000000" w:themeColor="text1"/>
            </w:tcBorders>
            <w:noWrap/>
          </w:tcPr>
          <w:p w14:paraId="2AC77E41" w14:textId="77777777" w:rsidR="006E51BF" w:rsidRPr="00037649" w:rsidRDefault="006E51BF">
            <w:pPr>
              <w:pStyle w:val="ARfintabletextbold"/>
              <w:rPr>
                <w:lang w:eastAsia="en-AU"/>
              </w:rPr>
            </w:pPr>
            <w:r w:rsidRPr="00037649">
              <w:rPr>
                <w:lang w:eastAsia="en-AU"/>
              </w:rPr>
              <w:t>Contractual financial liabilities</w:t>
            </w:r>
          </w:p>
        </w:tc>
        <w:tc>
          <w:tcPr>
            <w:cnfStyle w:val="000001000000" w:firstRow="0" w:lastRow="0" w:firstColumn="0" w:lastColumn="0" w:oddVBand="0" w:evenVBand="1" w:oddHBand="0" w:evenHBand="0" w:firstRowFirstColumn="0" w:firstRowLastColumn="0" w:lastRowFirstColumn="0" w:lastRowLastColumn="0"/>
            <w:tcW w:w="757" w:type="pct"/>
            <w:tcBorders>
              <w:top w:val="single" w:sz="4" w:space="0" w:color="000000" w:themeColor="text1"/>
            </w:tcBorders>
            <w:shd w:val="clear" w:color="auto" w:fill="auto"/>
            <w:noWrap/>
            <w:tcMar>
              <w:right w:w="0" w:type="nil"/>
            </w:tcMar>
          </w:tcPr>
          <w:p w14:paraId="42435CB4" w14:textId="77777777" w:rsidR="006E51BF" w:rsidRPr="00037649" w:rsidRDefault="006E51BF">
            <w:pPr>
              <w:pStyle w:val="ARfintabletextright"/>
              <w:rPr>
                <w:color w:val="000000"/>
                <w:lang w:eastAsia="en-AU"/>
              </w:rPr>
            </w:pPr>
          </w:p>
        </w:tc>
        <w:tc>
          <w:tcPr>
            <w:tcW w:w="733" w:type="pct"/>
            <w:tcBorders>
              <w:top w:val="single" w:sz="4" w:space="0" w:color="000000" w:themeColor="text1"/>
            </w:tcBorders>
            <w:noWrap/>
            <w:tcMar>
              <w:right w:w="0" w:type="nil"/>
            </w:tcMar>
          </w:tcPr>
          <w:p w14:paraId="2D483E1B" w14:textId="77777777" w:rsidR="006E51BF" w:rsidRPr="00037649"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p>
        </w:tc>
        <w:tc>
          <w:tcPr>
            <w:cnfStyle w:val="000001000000" w:firstRow="0" w:lastRow="0" w:firstColumn="0" w:lastColumn="0" w:oddVBand="0" w:evenVBand="1" w:oddHBand="0" w:evenHBand="0" w:firstRowFirstColumn="0" w:firstRowLastColumn="0" w:lastRowFirstColumn="0" w:lastRowLastColumn="0"/>
            <w:tcW w:w="699" w:type="pct"/>
            <w:tcBorders>
              <w:top w:val="single" w:sz="4" w:space="0" w:color="000000" w:themeColor="text1"/>
            </w:tcBorders>
            <w:shd w:val="clear" w:color="auto" w:fill="auto"/>
            <w:noWrap/>
            <w:tcMar>
              <w:right w:w="0" w:type="nil"/>
            </w:tcMar>
          </w:tcPr>
          <w:p w14:paraId="47836E0C" w14:textId="77777777" w:rsidR="006E51BF" w:rsidRPr="00037649" w:rsidRDefault="006E51BF">
            <w:pPr>
              <w:pStyle w:val="ARfintabletextright"/>
              <w:rPr>
                <w:color w:val="000000"/>
                <w:lang w:eastAsia="en-AU"/>
              </w:rPr>
            </w:pPr>
          </w:p>
        </w:tc>
        <w:tc>
          <w:tcPr>
            <w:tcW w:w="743" w:type="pct"/>
            <w:tcBorders>
              <w:top w:val="single" w:sz="4" w:space="0" w:color="000000" w:themeColor="text1"/>
            </w:tcBorders>
            <w:noWrap/>
            <w:tcMar>
              <w:right w:w="0" w:type="nil"/>
            </w:tcMar>
          </w:tcPr>
          <w:p w14:paraId="18218CD7" w14:textId="77777777" w:rsidR="006E51BF" w:rsidRPr="00037649"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p>
        </w:tc>
        <w:tc>
          <w:tcPr>
            <w:cnfStyle w:val="000001000000" w:firstRow="0" w:lastRow="0" w:firstColumn="0" w:lastColumn="0" w:oddVBand="0" w:evenVBand="1" w:oddHBand="0" w:evenHBand="0" w:firstRowFirstColumn="0" w:firstRowLastColumn="0" w:lastRowFirstColumn="0" w:lastRowLastColumn="0"/>
            <w:tcW w:w="744" w:type="pct"/>
            <w:tcBorders>
              <w:top w:val="single" w:sz="4" w:space="0" w:color="000000" w:themeColor="text1"/>
            </w:tcBorders>
            <w:shd w:val="clear" w:color="auto" w:fill="auto"/>
            <w:noWrap/>
            <w:tcMar>
              <w:right w:w="0" w:type="nil"/>
            </w:tcMar>
          </w:tcPr>
          <w:p w14:paraId="5A24DCB6" w14:textId="77777777" w:rsidR="006E51BF" w:rsidRPr="00037649" w:rsidRDefault="006E51BF">
            <w:pPr>
              <w:pStyle w:val="ARfintabletextright"/>
              <w:rPr>
                <w:color w:val="000000"/>
                <w:lang w:eastAsia="en-AU"/>
              </w:rPr>
            </w:pPr>
          </w:p>
        </w:tc>
      </w:tr>
      <w:tr w:rsidR="006E51BF" w:rsidRPr="00037649" w14:paraId="6F007452" w14:textId="77777777" w:rsidTr="00304BA9">
        <w:trPr>
          <w:cnfStyle w:val="000000100000" w:firstRow="0" w:lastRow="0" w:firstColumn="0" w:lastColumn="0" w:oddVBand="0" w:evenVBand="0" w:oddHBand="1" w:evenHBand="0" w:firstRowFirstColumn="0" w:firstRowLastColumn="0" w:lastRowFirstColumn="0" w:lastRowLastColumn="0"/>
          <w:trHeight w:val="270"/>
        </w:trPr>
        <w:tc>
          <w:tcPr>
            <w:tcW w:w="1324" w:type="pct"/>
            <w:noWrap/>
            <w:hideMark/>
          </w:tcPr>
          <w:p w14:paraId="0EC9E708" w14:textId="77777777" w:rsidR="006E51BF" w:rsidRPr="00037649" w:rsidRDefault="006E51BF">
            <w:pPr>
              <w:pStyle w:val="ARfintabletext"/>
              <w:rPr>
                <w:lang w:eastAsia="en-AU"/>
              </w:rPr>
            </w:pPr>
            <w:r w:rsidRPr="00037649">
              <w:rPr>
                <w:lang w:eastAsia="en-AU"/>
              </w:rPr>
              <w:t xml:space="preserve">Payables </w:t>
            </w:r>
            <w:r w:rsidRPr="00037649">
              <w:rPr>
                <w:szCs w:val="18"/>
                <w:vertAlign w:val="superscript"/>
                <w:lang w:eastAsia="en-AU"/>
              </w:rPr>
              <w:t>(iii)</w:t>
            </w:r>
          </w:p>
        </w:tc>
        <w:tc>
          <w:tcPr>
            <w:cnfStyle w:val="000001000000" w:firstRow="0" w:lastRow="0" w:firstColumn="0" w:lastColumn="0" w:oddVBand="0" w:evenVBand="1" w:oddHBand="0" w:evenHBand="0" w:firstRowFirstColumn="0" w:firstRowLastColumn="0" w:lastRowFirstColumn="0" w:lastRowLastColumn="0"/>
            <w:tcW w:w="757" w:type="pct"/>
            <w:noWrap/>
            <w:tcMar>
              <w:right w:w="0" w:type="nil"/>
            </w:tcMar>
            <w:hideMark/>
          </w:tcPr>
          <w:p w14:paraId="72B0E2B0" w14:textId="77777777" w:rsidR="006E51BF" w:rsidRPr="00037649" w:rsidRDefault="006E51BF">
            <w:pPr>
              <w:pStyle w:val="ARfintabletextright"/>
              <w:rPr>
                <w:color w:val="000000"/>
                <w:lang w:eastAsia="en-AU"/>
              </w:rPr>
            </w:pPr>
            <w:r w:rsidRPr="00037649">
              <w:rPr>
                <w:color w:val="000000"/>
                <w:lang w:eastAsia="en-AU"/>
              </w:rPr>
              <w:t>449.7</w:t>
            </w:r>
          </w:p>
        </w:tc>
        <w:tc>
          <w:tcPr>
            <w:tcW w:w="733" w:type="pct"/>
            <w:noWrap/>
            <w:tcMar>
              <w:right w:w="0" w:type="nil"/>
            </w:tcMar>
            <w:hideMark/>
          </w:tcPr>
          <w:p w14:paraId="06F57067" w14:textId="77777777" w:rsidR="006E51BF" w:rsidRPr="00037649" w:rsidRDefault="006E51BF">
            <w:pPr>
              <w:pStyle w:val="ARfintabletextright"/>
              <w:cnfStyle w:val="000000100000" w:firstRow="0" w:lastRow="0" w:firstColumn="0" w:lastColumn="0" w:oddVBand="0" w:evenVBand="0" w:oddHBand="1" w:evenHBand="0" w:firstRowFirstColumn="0" w:firstRowLastColumn="0" w:lastRowFirstColumn="0" w:lastRowLastColumn="0"/>
              <w:rPr>
                <w:color w:val="000000"/>
                <w:lang w:eastAsia="en-AU"/>
              </w:rPr>
            </w:pPr>
            <w:r>
              <w:rPr>
                <w:color w:val="000000"/>
                <w:lang w:eastAsia="en-AU"/>
              </w:rPr>
              <w:t>–</w:t>
            </w:r>
          </w:p>
        </w:tc>
        <w:tc>
          <w:tcPr>
            <w:cnfStyle w:val="000001000000" w:firstRow="0" w:lastRow="0" w:firstColumn="0" w:lastColumn="0" w:oddVBand="0" w:evenVBand="1" w:oddHBand="0" w:evenHBand="0" w:firstRowFirstColumn="0" w:firstRowLastColumn="0" w:lastRowFirstColumn="0" w:lastRowLastColumn="0"/>
            <w:tcW w:w="699" w:type="pct"/>
            <w:shd w:val="clear" w:color="auto" w:fill="auto"/>
            <w:noWrap/>
            <w:tcMar>
              <w:right w:w="0" w:type="nil"/>
            </w:tcMar>
            <w:hideMark/>
          </w:tcPr>
          <w:p w14:paraId="10E5D9A4" w14:textId="77777777" w:rsidR="006E51BF" w:rsidRPr="00037649" w:rsidRDefault="006E51BF">
            <w:pPr>
              <w:pStyle w:val="ARfintabletextright"/>
              <w:rPr>
                <w:color w:val="000000"/>
                <w:lang w:eastAsia="en-AU"/>
              </w:rPr>
            </w:pPr>
            <w:r>
              <w:rPr>
                <w:color w:val="000000"/>
                <w:lang w:eastAsia="en-AU"/>
              </w:rPr>
              <w:t>–</w:t>
            </w:r>
          </w:p>
        </w:tc>
        <w:tc>
          <w:tcPr>
            <w:tcW w:w="743" w:type="pct"/>
            <w:shd w:val="clear" w:color="auto" w:fill="E7E6E6" w:themeFill="background2"/>
            <w:noWrap/>
            <w:tcMar>
              <w:right w:w="0" w:type="nil"/>
            </w:tcMar>
            <w:hideMark/>
          </w:tcPr>
          <w:p w14:paraId="5CDB2139" w14:textId="77777777" w:rsidR="006E51BF" w:rsidRPr="00037649" w:rsidRDefault="006E51BF">
            <w:pPr>
              <w:pStyle w:val="ARfintabletextright"/>
              <w:cnfStyle w:val="000000100000" w:firstRow="0" w:lastRow="0" w:firstColumn="0" w:lastColumn="0" w:oddVBand="0" w:evenVBand="0" w:oddHBand="1" w:evenHBand="0" w:firstRowFirstColumn="0" w:firstRowLastColumn="0" w:lastRowFirstColumn="0" w:lastRowLastColumn="0"/>
              <w:rPr>
                <w:color w:val="000000"/>
                <w:lang w:eastAsia="en-AU"/>
              </w:rPr>
            </w:pPr>
            <w:r>
              <w:rPr>
                <w:color w:val="000000"/>
                <w:lang w:eastAsia="en-AU"/>
              </w:rPr>
              <w:t>–</w:t>
            </w:r>
          </w:p>
        </w:tc>
        <w:tc>
          <w:tcPr>
            <w:cnfStyle w:val="000001000000" w:firstRow="0" w:lastRow="0" w:firstColumn="0" w:lastColumn="0" w:oddVBand="0" w:evenVBand="1" w:oddHBand="0" w:evenHBand="0" w:firstRowFirstColumn="0" w:firstRowLastColumn="0" w:lastRowFirstColumn="0" w:lastRowLastColumn="0"/>
            <w:tcW w:w="744" w:type="pct"/>
            <w:noWrap/>
            <w:tcMar>
              <w:right w:w="0" w:type="nil"/>
            </w:tcMar>
            <w:hideMark/>
          </w:tcPr>
          <w:p w14:paraId="5D966DD5" w14:textId="77777777" w:rsidR="006E51BF" w:rsidRPr="00037649" w:rsidRDefault="006E51BF">
            <w:pPr>
              <w:pStyle w:val="ARfintabletextright"/>
              <w:rPr>
                <w:color w:val="000000"/>
                <w:lang w:eastAsia="en-AU"/>
              </w:rPr>
            </w:pPr>
            <w:r>
              <w:rPr>
                <w:color w:val="000000"/>
                <w:lang w:eastAsia="en-AU"/>
              </w:rPr>
              <w:t>–</w:t>
            </w:r>
          </w:p>
        </w:tc>
      </w:tr>
      <w:tr w:rsidR="006E51BF" w:rsidRPr="00037649" w14:paraId="74228E96" w14:textId="77777777" w:rsidTr="00304BA9">
        <w:trPr>
          <w:cnfStyle w:val="000000010000" w:firstRow="0" w:lastRow="0" w:firstColumn="0" w:lastColumn="0" w:oddVBand="0" w:evenVBand="0" w:oddHBand="0" w:evenHBand="1" w:firstRowFirstColumn="0" w:firstRowLastColumn="0" w:lastRowFirstColumn="0" w:lastRowLastColumn="0"/>
          <w:trHeight w:val="300"/>
        </w:trPr>
        <w:tc>
          <w:tcPr>
            <w:tcW w:w="1324" w:type="pct"/>
            <w:noWrap/>
            <w:hideMark/>
          </w:tcPr>
          <w:p w14:paraId="7F7B55DC" w14:textId="77777777" w:rsidR="006E51BF" w:rsidRPr="00037649" w:rsidRDefault="006E51BF">
            <w:pPr>
              <w:pStyle w:val="ARfintabletext"/>
              <w:rPr>
                <w:lang w:eastAsia="en-AU"/>
              </w:rPr>
            </w:pPr>
            <w:r w:rsidRPr="00037649">
              <w:rPr>
                <w:lang w:eastAsia="en-AU"/>
              </w:rPr>
              <w:t>Borrowings</w:t>
            </w:r>
            <w:r w:rsidRPr="00037649">
              <w:rPr>
                <w:vertAlign w:val="superscript"/>
                <w:lang w:eastAsia="en-AU"/>
              </w:rPr>
              <w:t xml:space="preserve"> (</w:t>
            </w:r>
            <w:r w:rsidRPr="00037649">
              <w:rPr>
                <w:szCs w:val="18"/>
                <w:vertAlign w:val="superscript"/>
                <w:lang w:eastAsia="en-AU"/>
              </w:rPr>
              <w:t>iv)</w:t>
            </w:r>
          </w:p>
        </w:tc>
        <w:tc>
          <w:tcPr>
            <w:cnfStyle w:val="000001000000" w:firstRow="0" w:lastRow="0" w:firstColumn="0" w:lastColumn="0" w:oddVBand="0" w:evenVBand="1" w:oddHBand="0" w:evenHBand="0" w:firstRowFirstColumn="0" w:firstRowLastColumn="0" w:lastRowFirstColumn="0" w:lastRowLastColumn="0"/>
            <w:tcW w:w="757" w:type="pct"/>
            <w:noWrap/>
            <w:tcMar>
              <w:right w:w="0" w:type="nil"/>
            </w:tcMar>
            <w:hideMark/>
          </w:tcPr>
          <w:p w14:paraId="3999E4AA" w14:textId="77777777" w:rsidR="006E51BF" w:rsidRPr="00037649" w:rsidRDefault="006E51BF">
            <w:pPr>
              <w:pStyle w:val="ARfintabletextright"/>
              <w:rPr>
                <w:lang w:eastAsia="en-AU"/>
              </w:rPr>
            </w:pPr>
            <w:r w:rsidRPr="00037649">
              <w:rPr>
                <w:lang w:eastAsia="en-AU"/>
              </w:rPr>
              <w:t>737.0</w:t>
            </w:r>
          </w:p>
        </w:tc>
        <w:tc>
          <w:tcPr>
            <w:tcW w:w="733" w:type="pct"/>
            <w:noWrap/>
            <w:tcMar>
              <w:right w:w="0" w:type="nil"/>
            </w:tcMar>
            <w:hideMark/>
          </w:tcPr>
          <w:p w14:paraId="5FE61E74" w14:textId="77777777" w:rsidR="006E51BF" w:rsidRPr="00037649"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r>
              <w:rPr>
                <w:color w:val="000000"/>
                <w:lang w:eastAsia="en-AU"/>
              </w:rPr>
              <w:t>–</w:t>
            </w:r>
          </w:p>
        </w:tc>
        <w:tc>
          <w:tcPr>
            <w:cnfStyle w:val="000001000000" w:firstRow="0" w:lastRow="0" w:firstColumn="0" w:lastColumn="0" w:oddVBand="0" w:evenVBand="1" w:oddHBand="0" w:evenHBand="0" w:firstRowFirstColumn="0" w:firstRowLastColumn="0" w:lastRowFirstColumn="0" w:lastRowLastColumn="0"/>
            <w:tcW w:w="699" w:type="pct"/>
            <w:shd w:val="clear" w:color="auto" w:fill="auto"/>
            <w:noWrap/>
            <w:tcMar>
              <w:right w:w="0" w:type="nil"/>
            </w:tcMar>
            <w:hideMark/>
          </w:tcPr>
          <w:p w14:paraId="1A2B3A09" w14:textId="77777777" w:rsidR="006E51BF" w:rsidRPr="00037649" w:rsidRDefault="006E51BF">
            <w:pPr>
              <w:pStyle w:val="ARfintabletextright"/>
              <w:rPr>
                <w:color w:val="000000"/>
                <w:lang w:eastAsia="en-AU"/>
              </w:rPr>
            </w:pPr>
            <w:r>
              <w:rPr>
                <w:color w:val="000000"/>
                <w:lang w:eastAsia="en-AU"/>
              </w:rPr>
              <w:t>–</w:t>
            </w:r>
          </w:p>
        </w:tc>
        <w:tc>
          <w:tcPr>
            <w:tcW w:w="743" w:type="pct"/>
            <w:shd w:val="clear" w:color="auto" w:fill="E7E6E6" w:themeFill="background2"/>
            <w:noWrap/>
            <w:tcMar>
              <w:right w:w="0" w:type="nil"/>
            </w:tcMar>
            <w:hideMark/>
          </w:tcPr>
          <w:p w14:paraId="075E2258" w14:textId="77777777" w:rsidR="006E51BF" w:rsidRPr="00037649"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r>
              <w:rPr>
                <w:color w:val="000000"/>
                <w:lang w:eastAsia="en-AU"/>
              </w:rPr>
              <w:t>–</w:t>
            </w:r>
          </w:p>
        </w:tc>
        <w:tc>
          <w:tcPr>
            <w:cnfStyle w:val="000001000000" w:firstRow="0" w:lastRow="0" w:firstColumn="0" w:lastColumn="0" w:oddVBand="0" w:evenVBand="1" w:oddHBand="0" w:evenHBand="0" w:firstRowFirstColumn="0" w:firstRowLastColumn="0" w:lastRowFirstColumn="0" w:lastRowLastColumn="0"/>
            <w:tcW w:w="744" w:type="pct"/>
            <w:noWrap/>
            <w:tcMar>
              <w:right w:w="0" w:type="nil"/>
            </w:tcMar>
            <w:hideMark/>
          </w:tcPr>
          <w:p w14:paraId="415850DA" w14:textId="77777777" w:rsidR="006E51BF" w:rsidRPr="00037649" w:rsidRDefault="006E51BF">
            <w:pPr>
              <w:pStyle w:val="ARfintabletextright"/>
              <w:rPr>
                <w:color w:val="000000"/>
                <w:lang w:eastAsia="en-AU"/>
              </w:rPr>
            </w:pPr>
            <w:r>
              <w:rPr>
                <w:color w:val="000000"/>
                <w:lang w:eastAsia="en-AU"/>
              </w:rPr>
              <w:t>–</w:t>
            </w:r>
          </w:p>
        </w:tc>
      </w:tr>
      <w:tr w:rsidR="006E51BF" w:rsidRPr="00037649" w14:paraId="51A0EE20" w14:textId="77777777" w:rsidTr="00304BA9">
        <w:trPr>
          <w:cnfStyle w:val="010000000000" w:firstRow="0" w:lastRow="1" w:firstColumn="0" w:lastColumn="0" w:oddVBand="0" w:evenVBand="0" w:oddHBand="0" w:evenHBand="0" w:firstRowFirstColumn="0" w:firstRowLastColumn="0" w:lastRowFirstColumn="0" w:lastRowLastColumn="0"/>
          <w:trHeight w:val="280"/>
        </w:trPr>
        <w:tc>
          <w:tcPr>
            <w:tcW w:w="1324" w:type="pct"/>
            <w:noWrap/>
            <w:hideMark/>
          </w:tcPr>
          <w:p w14:paraId="6CC51710" w14:textId="77777777" w:rsidR="006E51BF" w:rsidRPr="00037649" w:rsidRDefault="006E51BF">
            <w:pPr>
              <w:pStyle w:val="ARfintabletextbold"/>
              <w:rPr>
                <w:lang w:eastAsia="en-AU"/>
              </w:rPr>
            </w:pPr>
            <w:r w:rsidRPr="00037649">
              <w:rPr>
                <w:lang w:eastAsia="en-AU"/>
              </w:rPr>
              <w:t>Total impact</w:t>
            </w:r>
          </w:p>
        </w:tc>
        <w:tc>
          <w:tcPr>
            <w:cnfStyle w:val="000001000000" w:firstRow="0" w:lastRow="0" w:firstColumn="0" w:lastColumn="0" w:oddVBand="0" w:evenVBand="1" w:oddHBand="0" w:evenHBand="0" w:firstRowFirstColumn="0" w:firstRowLastColumn="0" w:lastRowFirstColumn="0" w:lastRowLastColumn="0"/>
            <w:tcW w:w="757" w:type="pct"/>
            <w:noWrap/>
            <w:tcMar>
              <w:right w:w="0" w:type="nil"/>
            </w:tcMar>
            <w:hideMark/>
          </w:tcPr>
          <w:p w14:paraId="6012A357" w14:textId="77777777" w:rsidR="006E51BF" w:rsidRPr="00037649" w:rsidRDefault="006E51BF">
            <w:pPr>
              <w:pStyle w:val="ARfintabletextboldright"/>
              <w:rPr>
                <w:lang w:eastAsia="en-AU"/>
              </w:rPr>
            </w:pPr>
            <w:r w:rsidRPr="00037649">
              <w:rPr>
                <w:lang w:eastAsia="en-AU"/>
              </w:rPr>
              <w:t>1,186.7</w:t>
            </w:r>
          </w:p>
        </w:tc>
        <w:tc>
          <w:tcPr>
            <w:tcW w:w="733" w:type="pct"/>
            <w:noWrap/>
            <w:tcMar>
              <w:right w:w="0" w:type="nil"/>
            </w:tcMar>
            <w:hideMark/>
          </w:tcPr>
          <w:p w14:paraId="46113B6A" w14:textId="77777777" w:rsidR="006E51BF" w:rsidRPr="00037649" w:rsidRDefault="006E51BF">
            <w:pPr>
              <w:pStyle w:val="ARfintabletextboldright"/>
              <w:cnfStyle w:val="010000000000" w:firstRow="0" w:lastRow="1" w:firstColumn="0" w:lastColumn="0" w:oddVBand="0" w:evenVBand="0" w:oddHBand="0" w:evenHBand="0" w:firstRowFirstColumn="0" w:firstRowLastColumn="0" w:lastRowFirstColumn="0" w:lastRowLastColumn="0"/>
              <w:rPr>
                <w:color w:val="000000"/>
                <w:lang w:eastAsia="en-AU"/>
              </w:rPr>
            </w:pPr>
            <w:r>
              <w:rPr>
                <w:color w:val="000000"/>
                <w:lang w:eastAsia="en-AU"/>
              </w:rPr>
              <w:t>–</w:t>
            </w:r>
          </w:p>
        </w:tc>
        <w:tc>
          <w:tcPr>
            <w:cnfStyle w:val="000001000000" w:firstRow="0" w:lastRow="0" w:firstColumn="0" w:lastColumn="0" w:oddVBand="0" w:evenVBand="1" w:oddHBand="0" w:evenHBand="0" w:firstRowFirstColumn="0" w:firstRowLastColumn="0" w:lastRowFirstColumn="0" w:lastRowLastColumn="0"/>
            <w:tcW w:w="699" w:type="pct"/>
            <w:shd w:val="clear" w:color="auto" w:fill="auto"/>
            <w:noWrap/>
            <w:tcMar>
              <w:right w:w="0" w:type="nil"/>
            </w:tcMar>
            <w:hideMark/>
          </w:tcPr>
          <w:p w14:paraId="1E21202F" w14:textId="77777777" w:rsidR="006E51BF" w:rsidRPr="00037649" w:rsidRDefault="006E51BF">
            <w:pPr>
              <w:pStyle w:val="ARfintabletextboldright"/>
              <w:rPr>
                <w:color w:val="000000"/>
                <w:lang w:eastAsia="en-AU"/>
              </w:rPr>
            </w:pPr>
            <w:r>
              <w:rPr>
                <w:color w:val="000000"/>
                <w:lang w:eastAsia="en-AU"/>
              </w:rPr>
              <w:t>–</w:t>
            </w:r>
          </w:p>
        </w:tc>
        <w:tc>
          <w:tcPr>
            <w:tcW w:w="743" w:type="pct"/>
            <w:shd w:val="clear" w:color="auto" w:fill="E7E6E6" w:themeFill="background2"/>
            <w:noWrap/>
            <w:tcMar>
              <w:right w:w="0" w:type="nil"/>
            </w:tcMar>
            <w:hideMark/>
          </w:tcPr>
          <w:p w14:paraId="77DC7A45" w14:textId="77777777" w:rsidR="006E51BF" w:rsidRPr="00037649" w:rsidRDefault="006E51BF">
            <w:pPr>
              <w:pStyle w:val="ARfintabletextboldright"/>
              <w:cnfStyle w:val="010000000000" w:firstRow="0" w:lastRow="1" w:firstColumn="0" w:lastColumn="0" w:oddVBand="0" w:evenVBand="0" w:oddHBand="0" w:evenHBand="0" w:firstRowFirstColumn="0" w:firstRowLastColumn="0" w:lastRowFirstColumn="0" w:lastRowLastColumn="0"/>
              <w:rPr>
                <w:color w:val="000000"/>
                <w:lang w:eastAsia="en-AU"/>
              </w:rPr>
            </w:pPr>
            <w:r>
              <w:rPr>
                <w:color w:val="000000"/>
                <w:lang w:eastAsia="en-AU"/>
              </w:rPr>
              <w:t>–</w:t>
            </w:r>
          </w:p>
        </w:tc>
        <w:tc>
          <w:tcPr>
            <w:cnfStyle w:val="000001000000" w:firstRow="0" w:lastRow="0" w:firstColumn="0" w:lastColumn="0" w:oddVBand="0" w:evenVBand="1" w:oddHBand="0" w:evenHBand="0" w:firstRowFirstColumn="0" w:firstRowLastColumn="0" w:lastRowFirstColumn="0" w:lastRowLastColumn="0"/>
            <w:tcW w:w="744" w:type="pct"/>
            <w:noWrap/>
            <w:tcMar>
              <w:right w:w="0" w:type="nil"/>
            </w:tcMar>
            <w:hideMark/>
          </w:tcPr>
          <w:p w14:paraId="604BA90B" w14:textId="77777777" w:rsidR="006E51BF" w:rsidRPr="00037649" w:rsidRDefault="006E51BF">
            <w:pPr>
              <w:pStyle w:val="ARfintabletextboldright"/>
              <w:rPr>
                <w:color w:val="000000"/>
                <w:lang w:eastAsia="en-AU"/>
              </w:rPr>
            </w:pPr>
            <w:r>
              <w:rPr>
                <w:color w:val="000000"/>
                <w:lang w:eastAsia="en-AU"/>
              </w:rPr>
              <w:t>–</w:t>
            </w:r>
          </w:p>
        </w:tc>
      </w:tr>
    </w:tbl>
    <w:p w14:paraId="25DC2761" w14:textId="77777777" w:rsidR="006E51BF" w:rsidRPr="00037649" w:rsidRDefault="006E51BF">
      <w:pPr>
        <w:pStyle w:val="ARfintablenote"/>
        <w:rPr>
          <w:lang w:eastAsia="en-AU"/>
        </w:rPr>
      </w:pPr>
      <w:r w:rsidRPr="00037649">
        <w:rPr>
          <w:lang w:eastAsia="en-AU"/>
        </w:rPr>
        <w:t xml:space="preserve">Notes: </w:t>
      </w:r>
    </w:p>
    <w:p w14:paraId="09DF8158" w14:textId="77777777" w:rsidR="006E51BF" w:rsidRPr="00037649" w:rsidRDefault="006E51BF" w:rsidP="006E51BF">
      <w:pPr>
        <w:pStyle w:val="ARfintablenoteroman"/>
        <w:numPr>
          <w:ilvl w:val="0"/>
          <w:numId w:val="78"/>
        </w:numPr>
      </w:pPr>
      <w:r w:rsidRPr="00037649">
        <w:t>All cash and deposits are held in Australian dollars and were held on deposits at fixed and variable interest rates. This item is not subject to any other identified risk sensitivities.</w:t>
      </w:r>
    </w:p>
    <w:p w14:paraId="5E71BCEC" w14:textId="77777777" w:rsidR="006E51BF" w:rsidRPr="00037649" w:rsidRDefault="006E51BF" w:rsidP="006E51BF">
      <w:pPr>
        <w:pStyle w:val="ARfintablenoteroman"/>
        <w:numPr>
          <w:ilvl w:val="0"/>
          <w:numId w:val="15"/>
        </w:numPr>
      </w:pPr>
      <w:r w:rsidRPr="00037649">
        <w:t>The carrying amount is denominated in Australian dollars and is non-interest bearing. This item is not subject to the identified risk</w:t>
      </w:r>
      <w:r>
        <w:t> </w:t>
      </w:r>
      <w:r w:rsidRPr="00037649">
        <w:t>sensitivities.</w:t>
      </w:r>
    </w:p>
    <w:p w14:paraId="4C698D2A" w14:textId="76E73640" w:rsidR="006E51BF" w:rsidRPr="00037649" w:rsidRDefault="006E51BF" w:rsidP="006E51BF">
      <w:pPr>
        <w:pStyle w:val="ARfintablenoteroman"/>
        <w:numPr>
          <w:ilvl w:val="0"/>
          <w:numId w:val="15"/>
        </w:numPr>
      </w:pPr>
      <w:r w:rsidRPr="00037649">
        <w:t xml:space="preserve">The total amounts disclosed here exclude statutory amounts, for example, amounts owing to/from Victorian Government </w:t>
      </w:r>
      <w:r w:rsidR="00F77100">
        <w:br/>
      </w:r>
      <w:r w:rsidRPr="00037649">
        <w:t xml:space="preserve">and GST input tax credit recoverable and taxes payable. </w:t>
      </w:r>
    </w:p>
    <w:p w14:paraId="08595F86" w14:textId="77777777" w:rsidR="006E51BF" w:rsidRDefault="006E51BF" w:rsidP="006E51BF">
      <w:pPr>
        <w:pStyle w:val="ARfintablenoteroman"/>
        <w:numPr>
          <w:ilvl w:val="0"/>
          <w:numId w:val="15"/>
        </w:numPr>
      </w:pPr>
      <w:r w:rsidRPr="00037649">
        <w:t>Borrowings are denominated in Australian dollars. $670.7 million (2025: $527.2 million) relates to Service concession financial liability and $77.1 million (2025: $79.1 million) relates to lease liabilities.</w:t>
      </w:r>
    </w:p>
    <w:p w14:paraId="67B2544B" w14:textId="77777777" w:rsidR="006E51BF" w:rsidRPr="00573214" w:rsidRDefault="006E51BF">
      <w:pPr>
        <w:pStyle w:val="Heading4"/>
        <w:rPr>
          <w:lang w:eastAsia="en-AU"/>
        </w:rPr>
      </w:pPr>
      <w:r w:rsidRPr="00573214">
        <w:rPr>
          <w:lang w:eastAsia="en-AU"/>
        </w:rPr>
        <w:t xml:space="preserve">8.2 </w:t>
      </w:r>
      <w:r>
        <w:rPr>
          <w:lang w:eastAsia="en-AU"/>
        </w:rPr>
        <w:tab/>
      </w:r>
      <w:r w:rsidRPr="00573214">
        <w:rPr>
          <w:lang w:eastAsia="en-AU"/>
        </w:rPr>
        <w:t>Contingent assets and contingent liabilities</w:t>
      </w:r>
    </w:p>
    <w:p w14:paraId="3F58BF6D" w14:textId="77777777" w:rsidR="006E51BF" w:rsidRPr="00E10132" w:rsidRDefault="006E51BF">
      <w:pPr>
        <w:pStyle w:val="ARfinbody"/>
      </w:pPr>
      <w:r w:rsidRPr="00E10132">
        <w:t>Contingent assets and contingent liabilities are not recognised in the balance sheet, but are disclosed by way of a disclosure and, if quantifiable, are stated at nominal value. Contingent assets and liabilities are presented inclusive of</w:t>
      </w:r>
      <w:r>
        <w:t> </w:t>
      </w:r>
      <w:r w:rsidRPr="00E10132">
        <w:t xml:space="preserve">GST receivable or payable respectively. </w:t>
      </w:r>
    </w:p>
    <w:p w14:paraId="4AB48DF1" w14:textId="77777777" w:rsidR="006E51BF" w:rsidRPr="00E10132" w:rsidRDefault="006E51BF">
      <w:pPr>
        <w:pStyle w:val="Heading9"/>
      </w:pPr>
      <w:r w:rsidRPr="00E10132">
        <w:t>Contingent assets</w:t>
      </w:r>
    </w:p>
    <w:p w14:paraId="0BB62C1F" w14:textId="77777777" w:rsidR="006E51BF" w:rsidRDefault="006E51BF">
      <w:pPr>
        <w:pStyle w:val="ARfinbody"/>
        <w:rPr>
          <w:lang w:eastAsia="en-AU"/>
        </w:rPr>
      </w:pPr>
      <w:r w:rsidRPr="00E10132">
        <w:t>Contingent assets are possible assets that arise from past events, whose existence will be confirmed only by the occurrence</w:t>
      </w:r>
      <w:r w:rsidRPr="00573214">
        <w:rPr>
          <w:lang w:eastAsia="en-AU"/>
        </w:rPr>
        <w:t xml:space="preserve"> or non-occurrence of one or more uncertain future events not wholly within the control of</w:t>
      </w:r>
      <w:r>
        <w:rPr>
          <w:lang w:eastAsia="en-AU"/>
        </w:rPr>
        <w:t> </w:t>
      </w:r>
      <w:r w:rsidRPr="00573214">
        <w:rPr>
          <w:lang w:eastAsia="en-AU"/>
        </w:rPr>
        <w:t>the</w:t>
      </w:r>
      <w:r>
        <w:rPr>
          <w:lang w:eastAsia="en-AU"/>
        </w:rPr>
        <w:t> </w:t>
      </w:r>
      <w:r w:rsidRPr="00573214">
        <w:rPr>
          <w:lang w:eastAsia="en-AU"/>
        </w:rPr>
        <w:t>entity.</w:t>
      </w:r>
    </w:p>
    <w:p w14:paraId="66C7655F" w14:textId="54ED1C3C" w:rsidR="006E51BF" w:rsidRDefault="006E51BF">
      <w:pPr>
        <w:pStyle w:val="ARfinbodybeforetableorfigure"/>
      </w:pPr>
      <w:r w:rsidRPr="00573214">
        <w:t>These are classified as either quantifiable, where the potential economic benefit is known, or non-quantifiable.</w:t>
      </w:r>
    </w:p>
    <w:tbl>
      <w:tblPr>
        <w:tblStyle w:val="ARtable1"/>
        <w:tblW w:w="5000" w:type="pct"/>
        <w:tblLook w:val="00E0" w:firstRow="1" w:lastRow="1" w:firstColumn="1" w:lastColumn="0" w:noHBand="0" w:noVBand="0"/>
      </w:tblPr>
      <w:tblGrid>
        <w:gridCol w:w="6514"/>
        <w:gridCol w:w="1556"/>
        <w:gridCol w:w="1558"/>
      </w:tblGrid>
      <w:tr w:rsidR="006E51BF" w:rsidRPr="00573214" w14:paraId="085380FF" w14:textId="77777777" w:rsidTr="00304BA9">
        <w:trPr>
          <w:cnfStyle w:val="100000000000" w:firstRow="1" w:lastRow="0" w:firstColumn="0" w:lastColumn="0" w:oddVBand="0" w:evenVBand="0" w:oddHBand="0" w:evenHBand="0" w:firstRowFirstColumn="0" w:firstRowLastColumn="0" w:lastRowFirstColumn="0" w:lastRowLastColumn="0"/>
          <w:trHeight w:val="20"/>
          <w:tblHeader/>
        </w:trPr>
        <w:tc>
          <w:tcPr>
            <w:tcW w:w="3383" w:type="pct"/>
            <w:noWrap/>
          </w:tcPr>
          <w:p w14:paraId="0A88CBA0" w14:textId="77777777" w:rsidR="006E51BF" w:rsidRPr="00573214"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3CF871FF" w14:textId="77777777" w:rsidR="006E51BF" w:rsidRPr="00573214" w:rsidRDefault="006E51BF">
            <w:pPr>
              <w:pStyle w:val="ARfintablecolheadright"/>
              <w:rPr>
                <w:lang w:eastAsia="en-AU"/>
              </w:rPr>
            </w:pPr>
            <w:r w:rsidRPr="00573214">
              <w:rPr>
                <w:lang w:eastAsia="en-AU"/>
              </w:rPr>
              <w:t>2026</w:t>
            </w:r>
          </w:p>
          <w:p w14:paraId="223A184F" w14:textId="77777777" w:rsidR="006E51BF" w:rsidRPr="00573214" w:rsidRDefault="006E51BF">
            <w:pPr>
              <w:pStyle w:val="ARfintablecolheadright"/>
              <w:rPr>
                <w:lang w:eastAsia="en-AU"/>
              </w:rPr>
            </w:pPr>
            <w:r w:rsidRPr="00573214">
              <w:rPr>
                <w:lang w:eastAsia="en-AU"/>
              </w:rPr>
              <w:t>$M</w:t>
            </w:r>
          </w:p>
        </w:tc>
        <w:tc>
          <w:tcPr>
            <w:tcW w:w="809" w:type="pct"/>
            <w:noWrap/>
            <w:tcMar>
              <w:right w:w="0" w:type="nil"/>
            </w:tcMar>
            <w:hideMark/>
          </w:tcPr>
          <w:p w14:paraId="29C34BEB" w14:textId="77777777" w:rsidR="006E51BF" w:rsidRPr="00573214"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573214">
              <w:rPr>
                <w:lang w:eastAsia="en-AU"/>
              </w:rPr>
              <w:t>2025</w:t>
            </w:r>
          </w:p>
          <w:p w14:paraId="44443935" w14:textId="77777777" w:rsidR="006E51BF" w:rsidRPr="00573214"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573214">
              <w:rPr>
                <w:lang w:eastAsia="en-AU"/>
              </w:rPr>
              <w:t>$M</w:t>
            </w:r>
          </w:p>
        </w:tc>
      </w:tr>
      <w:tr w:rsidR="006E51BF" w:rsidRPr="00573214" w14:paraId="2393A2B9"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068868D8" w14:textId="77777777" w:rsidR="006E51BF" w:rsidRPr="00573214" w:rsidRDefault="006E51BF" w:rsidP="00F77100">
            <w:pPr>
              <w:pStyle w:val="ARfintabletextboldcoloured"/>
              <w:rPr>
                <w:lang w:eastAsia="en-AU"/>
              </w:rPr>
            </w:pPr>
            <w:r w:rsidRPr="00573214">
              <w:rPr>
                <w:lang w:eastAsia="en-AU"/>
              </w:rPr>
              <w:t xml:space="preserve">Quantifiable </w:t>
            </w:r>
            <w:r w:rsidRPr="00F77100">
              <w:t>contingent</w:t>
            </w:r>
            <w:r w:rsidRPr="00573214">
              <w:rPr>
                <w:lang w:eastAsia="en-AU"/>
              </w:rPr>
              <w:t xml:space="preserve"> assets</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3A2ACE68" w14:textId="77777777" w:rsidR="006E51BF" w:rsidRPr="00573214" w:rsidRDefault="006E51BF">
            <w:pPr>
              <w:pStyle w:val="ARfintabletextright"/>
              <w:rPr>
                <w:lang w:eastAsia="en-AU"/>
              </w:rPr>
            </w:pPr>
          </w:p>
        </w:tc>
        <w:tc>
          <w:tcPr>
            <w:tcW w:w="809" w:type="pct"/>
            <w:noWrap/>
            <w:tcMar>
              <w:right w:w="0" w:type="nil"/>
            </w:tcMar>
            <w:hideMark/>
          </w:tcPr>
          <w:p w14:paraId="173D3E81" w14:textId="77777777" w:rsidR="006E51BF" w:rsidRPr="00573214"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573214" w14:paraId="335838F7"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71D64E19" w14:textId="77777777" w:rsidR="006E51BF" w:rsidRPr="00573214" w:rsidRDefault="006E51BF" w:rsidP="00F77100">
            <w:pPr>
              <w:pStyle w:val="ARfintabletext"/>
              <w:rPr>
                <w:lang w:eastAsia="en-AU"/>
              </w:rPr>
            </w:pPr>
            <w:r w:rsidRPr="00573214">
              <w:rPr>
                <w:lang w:eastAsia="en-AU"/>
              </w:rPr>
              <w:t xml:space="preserve">Details and </w:t>
            </w:r>
            <w:r w:rsidRPr="00F77100">
              <w:t>estimates</w:t>
            </w:r>
            <w:r w:rsidRPr="00573214">
              <w:rPr>
                <w:lang w:eastAsia="en-AU"/>
              </w:rPr>
              <w:t xml:space="preserve"> of contingent assets are as follows: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457F0C71" w14:textId="77777777" w:rsidR="006E51BF" w:rsidRPr="00573214" w:rsidRDefault="006E51BF">
            <w:pPr>
              <w:pStyle w:val="ARfintabletextright"/>
              <w:rPr>
                <w:lang w:eastAsia="en-AU"/>
              </w:rPr>
            </w:pPr>
          </w:p>
        </w:tc>
        <w:tc>
          <w:tcPr>
            <w:tcW w:w="809" w:type="pct"/>
            <w:noWrap/>
            <w:tcMar>
              <w:right w:w="0" w:type="nil"/>
            </w:tcMar>
            <w:hideMark/>
          </w:tcPr>
          <w:p w14:paraId="360D3287" w14:textId="77777777" w:rsidR="006E51BF" w:rsidRPr="00573214"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r>
      <w:tr w:rsidR="006E51BF" w:rsidRPr="00573214" w14:paraId="7E4A1D0D"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5A8E1FFD" w14:textId="77777777" w:rsidR="006E51BF" w:rsidRPr="00573214" w:rsidRDefault="006E51BF" w:rsidP="006E51BF">
            <w:pPr>
              <w:pStyle w:val="ARfinnumberalpha"/>
              <w:rPr>
                <w:lang w:eastAsia="en-AU"/>
              </w:rPr>
            </w:pPr>
            <w:r w:rsidRPr="00573214">
              <w:rPr>
                <w:lang w:eastAsia="en-AU"/>
              </w:rPr>
              <w:t>Bank</w:t>
            </w:r>
            <w:r>
              <w:rPr>
                <w:lang w:eastAsia="en-AU"/>
              </w:rPr>
              <w:t xml:space="preserve"> </w:t>
            </w:r>
            <w:r w:rsidRPr="00573214">
              <w:rPr>
                <w:lang w:eastAsia="en-AU"/>
              </w:rPr>
              <w:t>guarantee</w:t>
            </w:r>
            <w:r>
              <w:rPr>
                <w:lang w:eastAsia="en-AU"/>
              </w:rPr>
              <w:t xml:space="preserve"> </w:t>
            </w:r>
            <w:r w:rsidRPr="00573214">
              <w:rPr>
                <w:lang w:eastAsia="en-AU"/>
              </w:rPr>
              <w:t>held</w:t>
            </w:r>
            <w:r>
              <w:rPr>
                <w:lang w:eastAsia="en-AU"/>
              </w:rPr>
              <w:t xml:space="preserve"> </w:t>
            </w:r>
            <w:r w:rsidRPr="00573214">
              <w:rPr>
                <w:lang w:eastAsia="en-AU"/>
              </w:rPr>
              <w:t>fo</w:t>
            </w:r>
            <w:r>
              <w:rPr>
                <w:lang w:eastAsia="en-AU"/>
              </w:rPr>
              <w:t>r</w:t>
            </w:r>
            <w:r w:rsidRPr="00573214">
              <w:rPr>
                <w:lang w:eastAsia="en-AU"/>
              </w:rPr>
              <w:t>:</w:t>
            </w:r>
            <w:r>
              <w:rPr>
                <w:lang w:eastAsia="en-AU"/>
              </w:rPr>
              <w:t xml:space="preserve"> </w:t>
            </w:r>
            <w:r w:rsidRPr="00573214">
              <w:rPr>
                <w:lang w:eastAsia="en-AU"/>
              </w:rPr>
              <w:t>building</w:t>
            </w:r>
            <w:r>
              <w:rPr>
                <w:lang w:eastAsia="en-AU"/>
              </w:rPr>
              <w:t xml:space="preserve"> </w:t>
            </w:r>
            <w:r w:rsidRPr="00573214">
              <w:rPr>
                <w:lang w:eastAsia="en-AU"/>
              </w:rPr>
              <w:t>contracts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196E18F6" w14:textId="77777777" w:rsidR="006E51BF" w:rsidRPr="00573214" w:rsidRDefault="006E51BF">
            <w:pPr>
              <w:pStyle w:val="ARfintabletextright"/>
              <w:rPr>
                <w:lang w:eastAsia="en-AU"/>
              </w:rPr>
            </w:pPr>
            <w:r w:rsidRPr="00573214">
              <w:rPr>
                <w:lang w:eastAsia="en-AU"/>
              </w:rPr>
              <w:t>45.0</w:t>
            </w:r>
          </w:p>
        </w:tc>
        <w:tc>
          <w:tcPr>
            <w:tcW w:w="809" w:type="pct"/>
            <w:noWrap/>
            <w:tcMar>
              <w:right w:w="0" w:type="nil"/>
            </w:tcMar>
            <w:hideMark/>
          </w:tcPr>
          <w:p w14:paraId="2FC045FF" w14:textId="77777777" w:rsidR="006E51BF" w:rsidRPr="00573214"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573214">
              <w:rPr>
                <w:lang w:eastAsia="en-AU"/>
              </w:rPr>
              <w:t xml:space="preserve">52.6 </w:t>
            </w:r>
          </w:p>
        </w:tc>
      </w:tr>
      <w:tr w:rsidR="006E51BF" w:rsidRPr="00573214" w14:paraId="51C9604A"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3383" w:type="pct"/>
            <w:noWrap/>
            <w:hideMark/>
          </w:tcPr>
          <w:p w14:paraId="7C497E9E" w14:textId="77777777" w:rsidR="006E51BF" w:rsidRPr="00573214" w:rsidRDefault="006E51BF">
            <w:pPr>
              <w:pStyle w:val="ARfintabletextbold"/>
              <w:rPr>
                <w:lang w:eastAsia="en-AU"/>
              </w:rPr>
            </w:pPr>
            <w:r w:rsidRPr="00573214">
              <w:rPr>
                <w:lang w:eastAsia="en-AU"/>
              </w:rPr>
              <w:t xml:space="preserve">Total </w:t>
            </w:r>
          </w:p>
        </w:tc>
        <w:tc>
          <w:tcPr>
            <w:cnfStyle w:val="000001000000" w:firstRow="0" w:lastRow="0" w:firstColumn="0" w:lastColumn="0" w:oddVBand="0" w:evenVBand="1" w:oddHBand="0" w:evenHBand="0" w:firstRowFirstColumn="0" w:firstRowLastColumn="0" w:lastRowFirstColumn="0" w:lastRowLastColumn="0"/>
            <w:tcW w:w="808" w:type="pct"/>
            <w:tcMar>
              <w:right w:w="0" w:type="nil"/>
            </w:tcMar>
            <w:hideMark/>
          </w:tcPr>
          <w:p w14:paraId="2A8B8031" w14:textId="77777777" w:rsidR="006E51BF" w:rsidRPr="00573214" w:rsidRDefault="006E51BF">
            <w:pPr>
              <w:pStyle w:val="ARfintabletextboldright"/>
              <w:rPr>
                <w:lang w:eastAsia="en-AU"/>
              </w:rPr>
            </w:pPr>
            <w:r w:rsidRPr="00573214">
              <w:rPr>
                <w:lang w:eastAsia="en-AU"/>
              </w:rPr>
              <w:t>45.0</w:t>
            </w:r>
          </w:p>
        </w:tc>
        <w:tc>
          <w:tcPr>
            <w:tcW w:w="809" w:type="pct"/>
            <w:tcMar>
              <w:right w:w="0" w:type="nil"/>
            </w:tcMar>
            <w:hideMark/>
          </w:tcPr>
          <w:p w14:paraId="44C196F7" w14:textId="77777777" w:rsidR="006E51BF" w:rsidRPr="00573214"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573214">
              <w:rPr>
                <w:lang w:eastAsia="en-AU"/>
              </w:rPr>
              <w:t>52.6</w:t>
            </w:r>
          </w:p>
        </w:tc>
      </w:tr>
    </w:tbl>
    <w:p w14:paraId="357FD990" w14:textId="77777777" w:rsidR="006E51BF" w:rsidRDefault="006E51BF">
      <w:pPr>
        <w:pStyle w:val="Heading8"/>
      </w:pPr>
      <w:r w:rsidRPr="00573214">
        <w:t>Contingent liabilities</w:t>
      </w:r>
    </w:p>
    <w:p w14:paraId="04CA4B9F" w14:textId="77777777" w:rsidR="006E51BF" w:rsidRDefault="006E51BF">
      <w:pPr>
        <w:pStyle w:val="ARfinbody"/>
        <w:rPr>
          <w:lang w:eastAsia="en-AU"/>
        </w:rPr>
      </w:pPr>
      <w:r w:rsidRPr="00573214">
        <w:rPr>
          <w:lang w:eastAsia="en-AU"/>
        </w:rPr>
        <w:t>Contingent liabilities are:</w:t>
      </w:r>
    </w:p>
    <w:p w14:paraId="5FC3D239" w14:textId="77777777" w:rsidR="006E51BF" w:rsidRDefault="006E51BF" w:rsidP="006E51BF">
      <w:pPr>
        <w:pStyle w:val="ARfinbullet1"/>
        <w:numPr>
          <w:ilvl w:val="0"/>
          <w:numId w:val="13"/>
        </w:numPr>
        <w:ind w:left="284" w:hanging="284"/>
      </w:pPr>
      <w:r w:rsidRPr="00573214">
        <w:t xml:space="preserve">possible obligations that arise from past events, whose existence will be confirmed only by the occurrence or </w:t>
      </w:r>
      <w:r>
        <w:br/>
      </w:r>
      <w:r w:rsidRPr="00573214">
        <w:t>non-occurrence of one or more uncertain future events not wholly within the control of the entity, or</w:t>
      </w:r>
    </w:p>
    <w:p w14:paraId="7664CF23" w14:textId="77777777" w:rsidR="006E51BF" w:rsidRDefault="006E51BF" w:rsidP="006E51BF">
      <w:pPr>
        <w:pStyle w:val="ARfinbullet1"/>
        <w:numPr>
          <w:ilvl w:val="0"/>
          <w:numId w:val="13"/>
        </w:numPr>
        <w:ind w:left="284" w:hanging="284"/>
      </w:pPr>
      <w:r w:rsidRPr="00573214">
        <w:t>present obligations that arise from past events but are not recognised because:</w:t>
      </w:r>
    </w:p>
    <w:p w14:paraId="146B6A47" w14:textId="77777777" w:rsidR="006E51BF" w:rsidRDefault="006E51BF" w:rsidP="006E51BF">
      <w:pPr>
        <w:pStyle w:val="ARfinbullet2"/>
        <w:ind w:left="568" w:hanging="284"/>
      </w:pPr>
      <w:r w:rsidRPr="00573214">
        <w:t>it is not probable that an outflow of resources embodying economic benefits will be required to settle the obligations, or</w:t>
      </w:r>
    </w:p>
    <w:p w14:paraId="77D8E34E" w14:textId="77777777" w:rsidR="006E51BF" w:rsidRDefault="006E51BF" w:rsidP="006E51BF">
      <w:pPr>
        <w:pStyle w:val="ARfinbullet2"/>
        <w:ind w:left="568" w:hanging="284"/>
      </w:pPr>
      <w:r w:rsidRPr="00573214">
        <w:t>the amount of the obligations cannot be measured with sufficient reliability.</w:t>
      </w:r>
    </w:p>
    <w:p w14:paraId="56952C68" w14:textId="77777777" w:rsidR="006E51BF" w:rsidRPr="00573214" w:rsidRDefault="006E51BF">
      <w:pPr>
        <w:pStyle w:val="ARfinbodybeforetableorfigure"/>
      </w:pPr>
      <w:r w:rsidRPr="00573214">
        <w:t xml:space="preserve">Contingent liabilities are </w:t>
      </w:r>
      <w:r w:rsidRPr="002A0818">
        <w:t>also</w:t>
      </w:r>
      <w:r w:rsidRPr="00573214">
        <w:t xml:space="preserve"> classified as either quantifiable or non-quantifiable.</w:t>
      </w:r>
    </w:p>
    <w:tbl>
      <w:tblPr>
        <w:tblStyle w:val="ARtable1"/>
        <w:tblW w:w="5000" w:type="pct"/>
        <w:tblLayout w:type="fixed"/>
        <w:tblLook w:val="00E0" w:firstRow="1" w:lastRow="1" w:firstColumn="1" w:lastColumn="0" w:noHBand="0" w:noVBand="0"/>
      </w:tblPr>
      <w:tblGrid>
        <w:gridCol w:w="6514"/>
        <w:gridCol w:w="1556"/>
        <w:gridCol w:w="1558"/>
      </w:tblGrid>
      <w:tr w:rsidR="006E51BF" w:rsidRPr="00573214" w14:paraId="137ACEC4" w14:textId="77777777" w:rsidTr="00304BA9">
        <w:trPr>
          <w:cnfStyle w:val="100000000000" w:firstRow="1" w:lastRow="0" w:firstColumn="0" w:lastColumn="0" w:oddVBand="0" w:evenVBand="0" w:oddHBand="0" w:evenHBand="0" w:firstRowFirstColumn="0" w:firstRowLastColumn="0" w:lastRowFirstColumn="0" w:lastRowLastColumn="0"/>
          <w:trHeight w:val="20"/>
          <w:tblHeader/>
        </w:trPr>
        <w:tc>
          <w:tcPr>
            <w:tcW w:w="3383" w:type="pct"/>
            <w:noWrap/>
            <w:hideMark/>
          </w:tcPr>
          <w:p w14:paraId="33D58266" w14:textId="77777777" w:rsidR="006E51BF" w:rsidRPr="002A0818" w:rsidRDefault="006E51BF">
            <w:pPr>
              <w:pStyle w:val="ARfintablecolhead"/>
            </w:pP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20F85D1F" w14:textId="77777777" w:rsidR="006E51BF" w:rsidRPr="00573214" w:rsidRDefault="006E51BF">
            <w:pPr>
              <w:pStyle w:val="ARfintablecolheadright"/>
              <w:rPr>
                <w:lang w:eastAsia="en-AU"/>
              </w:rPr>
            </w:pPr>
            <w:r w:rsidRPr="00573214">
              <w:rPr>
                <w:lang w:eastAsia="en-AU"/>
              </w:rPr>
              <w:t>2026</w:t>
            </w:r>
          </w:p>
          <w:p w14:paraId="73192E79" w14:textId="77777777" w:rsidR="006E51BF" w:rsidRPr="00573214" w:rsidRDefault="006E51BF">
            <w:pPr>
              <w:pStyle w:val="ARfintablecolheadright"/>
              <w:rPr>
                <w:lang w:eastAsia="en-AU"/>
              </w:rPr>
            </w:pPr>
            <w:r w:rsidRPr="00573214">
              <w:rPr>
                <w:lang w:eastAsia="en-AU"/>
              </w:rPr>
              <w:t>$M</w:t>
            </w:r>
          </w:p>
        </w:tc>
        <w:tc>
          <w:tcPr>
            <w:tcW w:w="809" w:type="pct"/>
            <w:noWrap/>
            <w:tcMar>
              <w:right w:w="0" w:type="nil"/>
            </w:tcMar>
            <w:hideMark/>
          </w:tcPr>
          <w:p w14:paraId="2818CB59" w14:textId="77777777" w:rsidR="006E51BF" w:rsidRPr="00573214"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573214">
              <w:rPr>
                <w:lang w:eastAsia="en-AU"/>
              </w:rPr>
              <w:t>2025</w:t>
            </w:r>
          </w:p>
          <w:p w14:paraId="5A3DE4AE" w14:textId="77777777" w:rsidR="006E51BF" w:rsidRPr="00573214"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573214">
              <w:rPr>
                <w:lang w:eastAsia="en-AU"/>
              </w:rPr>
              <w:t>$M</w:t>
            </w:r>
          </w:p>
        </w:tc>
      </w:tr>
      <w:tr w:rsidR="006E51BF" w:rsidRPr="00573214" w14:paraId="085219D7"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695AE9BA" w14:textId="77777777" w:rsidR="006E51BF" w:rsidRPr="00573214" w:rsidRDefault="006E51BF">
            <w:pPr>
              <w:pStyle w:val="ARfintabletextboldcoloured"/>
              <w:rPr>
                <w:lang w:eastAsia="en-AU"/>
              </w:rPr>
            </w:pPr>
            <w:r w:rsidRPr="00573214">
              <w:rPr>
                <w:lang w:eastAsia="en-AU"/>
              </w:rPr>
              <w:t xml:space="preserve">Quantifiable contingent liabilities </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5FC56B12" w14:textId="77777777" w:rsidR="006E51BF" w:rsidRPr="00573214" w:rsidRDefault="006E51BF">
            <w:pPr>
              <w:pStyle w:val="ARfintabletextright"/>
              <w:rPr>
                <w:lang w:eastAsia="en-AU"/>
              </w:rPr>
            </w:pPr>
          </w:p>
        </w:tc>
        <w:tc>
          <w:tcPr>
            <w:tcW w:w="809" w:type="pct"/>
            <w:noWrap/>
            <w:tcMar>
              <w:right w:w="0" w:type="nil"/>
            </w:tcMar>
            <w:hideMark/>
          </w:tcPr>
          <w:p w14:paraId="33A97DF6" w14:textId="77777777" w:rsidR="006E51BF" w:rsidRPr="00573214"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573214" w14:paraId="5C0E6AAD"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50B60DEB" w14:textId="77777777" w:rsidR="006E51BF" w:rsidRPr="00573214" w:rsidRDefault="006E51BF" w:rsidP="006E51BF">
            <w:pPr>
              <w:pStyle w:val="ARfinnumberalpha"/>
              <w:numPr>
                <w:ilvl w:val="0"/>
                <w:numId w:val="79"/>
              </w:numPr>
              <w:rPr>
                <w:lang w:eastAsia="en-AU"/>
              </w:rPr>
            </w:pPr>
            <w:r w:rsidRPr="00573214">
              <w:rPr>
                <w:lang w:eastAsia="en-AU"/>
              </w:rPr>
              <w:t xml:space="preserve">The department has estimated that potential liability exists in respect of </w:t>
            </w:r>
            <w:proofErr w:type="gramStart"/>
            <w:r w:rsidRPr="00573214">
              <w:rPr>
                <w:lang w:eastAsia="en-AU"/>
              </w:rPr>
              <w:t>a number of</w:t>
            </w:r>
            <w:proofErr w:type="gramEnd"/>
            <w:r w:rsidRPr="00573214">
              <w:rPr>
                <w:lang w:eastAsia="en-AU"/>
              </w:rPr>
              <w:t xml:space="preserve"> legal actions instigated by clients and their representatives, employees and others, and other contractual liabilities.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7340CEC7" w14:textId="77777777" w:rsidR="006E51BF" w:rsidRPr="00573214" w:rsidRDefault="006E51BF">
            <w:pPr>
              <w:pStyle w:val="ARfintabletextright"/>
              <w:rPr>
                <w:lang w:eastAsia="en-AU"/>
              </w:rPr>
            </w:pPr>
            <w:r w:rsidRPr="00573214">
              <w:rPr>
                <w:lang w:eastAsia="en-AU"/>
              </w:rPr>
              <w:t>0.7</w:t>
            </w:r>
          </w:p>
        </w:tc>
        <w:tc>
          <w:tcPr>
            <w:tcW w:w="809" w:type="pct"/>
            <w:tcMar>
              <w:right w:w="0" w:type="nil"/>
            </w:tcMar>
            <w:hideMark/>
          </w:tcPr>
          <w:p w14:paraId="1849A367" w14:textId="77777777" w:rsidR="006E51BF" w:rsidRPr="00573214"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r>
      <w:tr w:rsidR="006E51BF" w:rsidRPr="00573214" w14:paraId="02134850"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3383" w:type="pct"/>
            <w:noWrap/>
            <w:hideMark/>
          </w:tcPr>
          <w:p w14:paraId="301F5AE5" w14:textId="77777777" w:rsidR="006E51BF" w:rsidRPr="00573214" w:rsidRDefault="006E51BF">
            <w:pPr>
              <w:pStyle w:val="ARfintabletextbold"/>
              <w:rPr>
                <w:lang w:eastAsia="en-AU"/>
              </w:rPr>
            </w:pPr>
            <w:r w:rsidRPr="00573214">
              <w:rPr>
                <w:lang w:eastAsia="en-AU"/>
              </w:rPr>
              <w:t xml:space="preserve">Total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3DEEDA2F" w14:textId="77777777" w:rsidR="006E51BF" w:rsidRPr="00573214" w:rsidRDefault="006E51BF">
            <w:pPr>
              <w:pStyle w:val="ARfintabletextboldright"/>
              <w:rPr>
                <w:lang w:eastAsia="en-AU"/>
              </w:rPr>
            </w:pPr>
            <w:r w:rsidRPr="00573214">
              <w:rPr>
                <w:lang w:eastAsia="en-AU"/>
              </w:rPr>
              <w:t>0.7</w:t>
            </w:r>
          </w:p>
        </w:tc>
        <w:tc>
          <w:tcPr>
            <w:tcW w:w="809" w:type="pct"/>
            <w:noWrap/>
            <w:tcMar>
              <w:right w:w="0" w:type="nil"/>
            </w:tcMar>
            <w:hideMark/>
          </w:tcPr>
          <w:p w14:paraId="0F35127F" w14:textId="77777777" w:rsidR="006E51BF" w:rsidRPr="00573214"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Pr>
                <w:lang w:eastAsia="en-AU"/>
              </w:rPr>
              <w:t>–</w:t>
            </w:r>
          </w:p>
        </w:tc>
      </w:tr>
    </w:tbl>
    <w:p w14:paraId="38C9E50D" w14:textId="77777777" w:rsidR="006E51BF" w:rsidRDefault="006E51BF">
      <w:pPr>
        <w:pStyle w:val="Heading8"/>
      </w:pPr>
      <w:r w:rsidRPr="00573214">
        <w:t>Non-quantifiable contingent liabilities</w:t>
      </w:r>
    </w:p>
    <w:p w14:paraId="34650236" w14:textId="77777777" w:rsidR="006E51BF" w:rsidRPr="002A0818" w:rsidRDefault="006E51BF">
      <w:pPr>
        <w:pStyle w:val="ARfinbody"/>
      </w:pPr>
      <w:r w:rsidRPr="00573214">
        <w:rPr>
          <w:lang w:eastAsia="en-AU"/>
        </w:rPr>
        <w:t xml:space="preserve">From time to time the </w:t>
      </w:r>
      <w:r w:rsidRPr="002A0818">
        <w:t xml:space="preserve">department </w:t>
      </w:r>
      <w:proofErr w:type="gramStart"/>
      <w:r w:rsidRPr="002A0818">
        <w:t>enters into</w:t>
      </w:r>
      <w:proofErr w:type="gramEnd"/>
      <w:r w:rsidRPr="002A0818">
        <w:t xml:space="preserve"> arrangements with other parties to compensate them for losses they might incur </w:t>
      </w:r>
      <w:proofErr w:type="gramStart"/>
      <w:r w:rsidRPr="002A0818">
        <w:t>as a result of</w:t>
      </w:r>
      <w:proofErr w:type="gramEnd"/>
      <w:r w:rsidRPr="002A0818">
        <w:t xml:space="preserve"> transactions they </w:t>
      </w:r>
      <w:proofErr w:type="gramStart"/>
      <w:r w:rsidRPr="002A0818">
        <w:t>enter into</w:t>
      </w:r>
      <w:proofErr w:type="gramEnd"/>
      <w:r w:rsidRPr="002A0818">
        <w:t xml:space="preserve">. The arrangements are evaluated to establish whether they represent onerous contracts, contingent liabilities or whether they are executory in nature. </w:t>
      </w:r>
    </w:p>
    <w:p w14:paraId="22129DF9" w14:textId="77777777" w:rsidR="006E51BF" w:rsidRPr="00573214" w:rsidRDefault="006E51BF">
      <w:pPr>
        <w:pStyle w:val="ARfinbody"/>
        <w:rPr>
          <w:lang w:eastAsia="en-AU"/>
        </w:rPr>
      </w:pPr>
      <w:r w:rsidRPr="002A0818">
        <w:t xml:space="preserve">There are </w:t>
      </w:r>
      <w:proofErr w:type="gramStart"/>
      <w:r w:rsidRPr="002A0818">
        <w:t>a number of</w:t>
      </w:r>
      <w:proofErr w:type="gramEnd"/>
      <w:r w:rsidRPr="002A0818">
        <w:t xml:space="preserve"> litigations</w:t>
      </w:r>
      <w:r w:rsidRPr="00573214">
        <w:rPr>
          <w:lang w:eastAsia="en-AU"/>
        </w:rPr>
        <w:t xml:space="preserve"> under way at balance date, the details of which are not disclosed in order not to prejudice the cases. Contingent liabilities are not secured over any of the assets of the </w:t>
      </w:r>
      <w:r>
        <w:rPr>
          <w:lang w:eastAsia="en-AU"/>
        </w:rPr>
        <w:t>d</w:t>
      </w:r>
      <w:r w:rsidRPr="00573214">
        <w:rPr>
          <w:lang w:eastAsia="en-AU"/>
        </w:rPr>
        <w:t>epartment.</w:t>
      </w:r>
    </w:p>
    <w:p w14:paraId="3F431074" w14:textId="77777777" w:rsidR="006E51BF" w:rsidRDefault="006E51BF">
      <w:pPr>
        <w:pStyle w:val="Heading9"/>
      </w:pPr>
      <w:r w:rsidRPr="00573214">
        <w:t>Insurance claims</w:t>
      </w:r>
    </w:p>
    <w:p w14:paraId="0ADB186C" w14:textId="77777777" w:rsidR="006E51BF" w:rsidRPr="002A0818" w:rsidRDefault="006E51BF">
      <w:pPr>
        <w:pStyle w:val="ARfinbody"/>
      </w:pPr>
      <w:r w:rsidRPr="00573214">
        <w:rPr>
          <w:lang w:eastAsia="en-AU"/>
        </w:rPr>
        <w:t xml:space="preserve">The department engaged the Victorian Managed Insurance Authority (VMIA) under a claims administration </w:t>
      </w:r>
      <w:r w:rsidRPr="002A0818">
        <w:t>agreement to manage its insurance arrangements, including those related to self-insured historical abuse claims that are civil in nature</w:t>
      </w:r>
      <w:r>
        <w:t xml:space="preserve"> and Community Service Organisations (CSOs) insurance program</w:t>
      </w:r>
      <w:r w:rsidRPr="002A0818">
        <w:t>.</w:t>
      </w:r>
    </w:p>
    <w:p w14:paraId="12449864" w14:textId="77777777" w:rsidR="006E51BF" w:rsidRPr="002A0818" w:rsidRDefault="006E51BF">
      <w:pPr>
        <w:pStyle w:val="ARfinbody"/>
      </w:pPr>
      <w:r w:rsidRPr="002A0818">
        <w:t>For self-insured historical abuse claims</w:t>
      </w:r>
      <w:r>
        <w:t xml:space="preserve"> and CSOs insurance program</w:t>
      </w:r>
      <w:r w:rsidRPr="002A0818">
        <w:t xml:space="preserve">, the department has been served with </w:t>
      </w:r>
      <w:proofErr w:type="gramStart"/>
      <w:r w:rsidRPr="002A0818">
        <w:t>a number of</w:t>
      </w:r>
      <w:proofErr w:type="gramEnd"/>
      <w:r w:rsidRPr="002A0818">
        <w:t xml:space="preserve"> claims and the amount provided is based on assessed claims lodged on the basis that these represent present obligations in line with the requirements of AASB 137.</w:t>
      </w:r>
    </w:p>
    <w:p w14:paraId="6C96EDCC" w14:textId="6D2C861C" w:rsidR="006E51BF" w:rsidRDefault="006E51BF">
      <w:pPr>
        <w:pStyle w:val="ARfinbody"/>
        <w:rPr>
          <w:lang w:eastAsia="en-AU"/>
        </w:rPr>
      </w:pPr>
      <w:r w:rsidRPr="002A0818">
        <w:t>Possible future claims</w:t>
      </w:r>
      <w:r w:rsidRPr="00573214">
        <w:rPr>
          <w:lang w:eastAsia="en-AU"/>
        </w:rPr>
        <w:t xml:space="preserve"> may or may not arise from future claimants and these possible liabilities can only be confirmed by claims being made and subsequent assessment.</w:t>
      </w:r>
      <w:r w:rsidR="000D67BA">
        <w:rPr>
          <w:lang w:eastAsia="en-AU"/>
        </w:rPr>
        <w:t xml:space="preserve"> </w:t>
      </w:r>
      <w:r w:rsidRPr="00573214">
        <w:rPr>
          <w:lang w:eastAsia="en-AU"/>
        </w:rPr>
        <w:t>Given these circumstances, it is impracticable to accurately quantify the full financial effects of these potential future claims.</w:t>
      </w:r>
    </w:p>
    <w:p w14:paraId="7026BB04" w14:textId="77777777" w:rsidR="006E51BF" w:rsidRPr="00F012BE" w:rsidRDefault="006E51BF">
      <w:pPr>
        <w:pStyle w:val="Heading4"/>
        <w:rPr>
          <w:lang w:eastAsia="en-AU"/>
        </w:rPr>
      </w:pPr>
      <w:r w:rsidRPr="00F012BE">
        <w:rPr>
          <w:lang w:eastAsia="en-AU"/>
        </w:rPr>
        <w:t xml:space="preserve">8.3 </w:t>
      </w:r>
      <w:r>
        <w:rPr>
          <w:lang w:eastAsia="en-AU"/>
        </w:rPr>
        <w:tab/>
      </w:r>
      <w:r w:rsidRPr="00F012BE">
        <w:rPr>
          <w:lang w:eastAsia="en-AU"/>
        </w:rPr>
        <w:t>Fair value determination</w:t>
      </w:r>
    </w:p>
    <w:p w14:paraId="18E182AA" w14:textId="77777777" w:rsidR="006E51BF" w:rsidRDefault="006E51BF">
      <w:pPr>
        <w:pStyle w:val="Heading5"/>
        <w:rPr>
          <w:lang w:eastAsia="en-AU"/>
        </w:rPr>
      </w:pPr>
      <w:r w:rsidRPr="00F012BE">
        <w:rPr>
          <w:lang w:eastAsia="en-AU"/>
        </w:rPr>
        <w:t>Significant judgement: Fair value measurements of assets and liabilities</w:t>
      </w:r>
    </w:p>
    <w:p w14:paraId="1E5E7120" w14:textId="77777777" w:rsidR="006E51BF" w:rsidRPr="002A0818" w:rsidRDefault="006E51BF">
      <w:pPr>
        <w:pStyle w:val="ARfinbody"/>
      </w:pPr>
      <w:r w:rsidRPr="00F012BE">
        <w:rPr>
          <w:lang w:eastAsia="en-AU"/>
        </w:rPr>
        <w:t xml:space="preserve">Fair value determination </w:t>
      </w:r>
      <w:r w:rsidRPr="002A0818">
        <w:t>requires judgement and the use of assumptions. This section discloses the most significant assumptions used in determining fair values. Changes to assumptions could have a material impact on the results and financial position of the department.</w:t>
      </w:r>
    </w:p>
    <w:p w14:paraId="2826A966" w14:textId="77777777" w:rsidR="006E51BF" w:rsidRPr="002A0818" w:rsidRDefault="006E51BF">
      <w:pPr>
        <w:pStyle w:val="ARfinbody"/>
      </w:pPr>
      <w:r w:rsidRPr="002A0818">
        <w:t xml:space="preserve">This section sets out information on how the department determined fair value for financial reporting purposes. Fair value is the price that would be received to sell an asset or paid to transfer a liability in an orderly transaction between market participants at the measurement date. </w:t>
      </w:r>
    </w:p>
    <w:p w14:paraId="0D2979CE" w14:textId="77777777" w:rsidR="00DB1A70" w:rsidRDefault="00DB1A70">
      <w:pPr>
        <w:spacing w:after="0" w:line="240" w:lineRule="auto"/>
        <w:rPr>
          <w:rFonts w:eastAsia="Times"/>
          <w:sz w:val="18"/>
        </w:rPr>
      </w:pPr>
      <w:r>
        <w:br w:type="page"/>
      </w:r>
    </w:p>
    <w:p w14:paraId="6E3D808C" w14:textId="5582920A" w:rsidR="006E51BF" w:rsidRDefault="006E51BF">
      <w:pPr>
        <w:pStyle w:val="ARfinbody"/>
        <w:rPr>
          <w:lang w:eastAsia="en-AU"/>
        </w:rPr>
      </w:pPr>
      <w:r w:rsidRPr="002A0818">
        <w:t>The following assets and liabilities</w:t>
      </w:r>
      <w:r w:rsidRPr="00F012BE">
        <w:rPr>
          <w:lang w:eastAsia="en-AU"/>
        </w:rPr>
        <w:t xml:space="preserve"> are carried at fair value: </w:t>
      </w:r>
    </w:p>
    <w:p w14:paraId="48797A89" w14:textId="77777777" w:rsidR="006E51BF" w:rsidRDefault="006E51BF" w:rsidP="006E51BF">
      <w:pPr>
        <w:pStyle w:val="ARfinbullet1"/>
        <w:numPr>
          <w:ilvl w:val="0"/>
          <w:numId w:val="13"/>
        </w:numPr>
        <w:ind w:left="284" w:hanging="284"/>
      </w:pPr>
      <w:r w:rsidRPr="00F012BE">
        <w:t>financial assets and liabilities at fair value through profit or loss</w:t>
      </w:r>
    </w:p>
    <w:p w14:paraId="775EC763" w14:textId="77777777" w:rsidR="006E51BF" w:rsidRDefault="006E51BF" w:rsidP="006E51BF">
      <w:pPr>
        <w:pStyle w:val="ARfinbullet1"/>
        <w:numPr>
          <w:ilvl w:val="0"/>
          <w:numId w:val="13"/>
        </w:numPr>
        <w:ind w:left="284" w:hanging="284"/>
      </w:pPr>
      <w:r w:rsidRPr="00F012BE">
        <w:t xml:space="preserve">financial assets at fair value through other comprehensive income </w:t>
      </w:r>
    </w:p>
    <w:p w14:paraId="0A141735" w14:textId="77777777" w:rsidR="006E51BF" w:rsidRDefault="006E51BF" w:rsidP="006E51BF">
      <w:pPr>
        <w:pStyle w:val="ARfinbullet1"/>
        <w:numPr>
          <w:ilvl w:val="0"/>
          <w:numId w:val="13"/>
        </w:numPr>
        <w:ind w:left="284" w:hanging="284"/>
      </w:pPr>
      <w:r w:rsidRPr="00F012BE">
        <w:t>land, buildings, infrastructure, plant and equipment (excluding right-of-use assets)</w:t>
      </w:r>
    </w:p>
    <w:p w14:paraId="3FCAF1A5" w14:textId="77777777" w:rsidR="006E51BF" w:rsidRPr="002A0818" w:rsidRDefault="006E51BF">
      <w:pPr>
        <w:pStyle w:val="ARfinbody"/>
      </w:pPr>
      <w:r w:rsidRPr="00F012BE">
        <w:rPr>
          <w:lang w:eastAsia="en-AU"/>
        </w:rPr>
        <w:t xml:space="preserve">In </w:t>
      </w:r>
      <w:r w:rsidRPr="002A0818">
        <w:t>addition, the fair values of other assets and liabilities which are carried at amortised cost also need to be determined for disclosure purposes.</w:t>
      </w:r>
    </w:p>
    <w:p w14:paraId="67A512EB" w14:textId="77777777" w:rsidR="006E51BF" w:rsidRPr="002A0818" w:rsidRDefault="006E51BF">
      <w:pPr>
        <w:pStyle w:val="ARfinbody"/>
      </w:pPr>
      <w:r w:rsidRPr="002A0818">
        <w:t xml:space="preserve">The department determines the policies and procedures for determining fair values for both financial and non-financial assets and liabilities as required. </w:t>
      </w:r>
    </w:p>
    <w:p w14:paraId="42D3A241" w14:textId="77777777" w:rsidR="006E51BF" w:rsidRPr="002A0818" w:rsidRDefault="006E51BF">
      <w:pPr>
        <w:pStyle w:val="Heading6"/>
      </w:pPr>
      <w:r w:rsidRPr="002A0818">
        <w:t>Fair value hierarchy</w:t>
      </w:r>
    </w:p>
    <w:p w14:paraId="4C046C22" w14:textId="77777777" w:rsidR="006E51BF" w:rsidRDefault="006E51BF">
      <w:pPr>
        <w:pStyle w:val="ARfinbody"/>
        <w:rPr>
          <w:lang w:eastAsia="en-AU"/>
        </w:rPr>
      </w:pPr>
      <w:r w:rsidRPr="002A0818">
        <w:t xml:space="preserve">In determining fair values, </w:t>
      </w:r>
      <w:proofErr w:type="gramStart"/>
      <w:r w:rsidRPr="002A0818">
        <w:t>a number of</w:t>
      </w:r>
      <w:proofErr w:type="gramEnd"/>
      <w:r w:rsidRPr="002A0818">
        <w:t xml:space="preserve"> inputs are used. To increase consistency and comparability in the financial statements, these inputs are categorised into three levels, also known as the fair value hierarchy. The levels are as</w:t>
      </w:r>
      <w:r>
        <w:rPr>
          <w:lang w:eastAsia="en-AU"/>
        </w:rPr>
        <w:t> </w:t>
      </w:r>
      <w:r w:rsidRPr="00F012BE">
        <w:rPr>
          <w:lang w:eastAsia="en-AU"/>
        </w:rPr>
        <w:t>follows:</w:t>
      </w:r>
    </w:p>
    <w:p w14:paraId="60B529FE" w14:textId="77777777" w:rsidR="006E51BF" w:rsidRDefault="006E51BF" w:rsidP="006E51BF">
      <w:pPr>
        <w:pStyle w:val="ARfinbullet1"/>
        <w:numPr>
          <w:ilvl w:val="0"/>
          <w:numId w:val="13"/>
        </w:numPr>
        <w:ind w:left="284" w:hanging="284"/>
      </w:pPr>
      <w:r w:rsidRPr="00F012BE">
        <w:t>Level 1 – Quoted (unadjusted) market prices in active markets for identical assets or liabilities</w:t>
      </w:r>
    </w:p>
    <w:p w14:paraId="2118E6B8" w14:textId="77777777" w:rsidR="006E51BF" w:rsidRDefault="006E51BF" w:rsidP="006E51BF">
      <w:pPr>
        <w:pStyle w:val="ARfinbullet1"/>
        <w:numPr>
          <w:ilvl w:val="0"/>
          <w:numId w:val="13"/>
        </w:numPr>
        <w:ind w:left="284" w:hanging="284"/>
      </w:pPr>
      <w:r w:rsidRPr="00F012BE">
        <w:t>Level 2 – Valuation techniques for which the lowest level input that is significant to the fair value measurement is directly or indirectly observable</w:t>
      </w:r>
    </w:p>
    <w:p w14:paraId="5357D478" w14:textId="77777777" w:rsidR="006E51BF" w:rsidRDefault="006E51BF" w:rsidP="006E51BF">
      <w:pPr>
        <w:pStyle w:val="ARfinbullet1"/>
        <w:numPr>
          <w:ilvl w:val="0"/>
          <w:numId w:val="13"/>
        </w:numPr>
        <w:ind w:left="284" w:hanging="284"/>
      </w:pPr>
      <w:r w:rsidRPr="00F012BE">
        <w:t>Level 3 – Valuation techniques for which the lowest level input that is significant to the fair value measurement is</w:t>
      </w:r>
      <w:r>
        <w:t> </w:t>
      </w:r>
      <w:r w:rsidRPr="00F012BE">
        <w:t>unobservable</w:t>
      </w:r>
    </w:p>
    <w:p w14:paraId="6B7EDF33" w14:textId="77777777" w:rsidR="006E51BF" w:rsidRPr="002A0818" w:rsidRDefault="006E51BF">
      <w:pPr>
        <w:pStyle w:val="ARfinbody"/>
      </w:pPr>
      <w:r w:rsidRPr="002A0818">
        <w:t>The department determines whether transfers have occurred between levels in the hierarchy by reassessing categorisation (based on the lowest level input that is significant to the fair value measurement as a whole) at the</w:t>
      </w:r>
      <w:r>
        <w:t> </w:t>
      </w:r>
      <w:r w:rsidRPr="002A0818">
        <w:t>end</w:t>
      </w:r>
      <w:r>
        <w:t> </w:t>
      </w:r>
      <w:r w:rsidRPr="002A0818">
        <w:t>of</w:t>
      </w:r>
      <w:r>
        <w:t> </w:t>
      </w:r>
      <w:r w:rsidRPr="002A0818">
        <w:t>each reporting period.</w:t>
      </w:r>
    </w:p>
    <w:p w14:paraId="7D459F09" w14:textId="77777777" w:rsidR="006E51BF" w:rsidRPr="002A0818" w:rsidRDefault="006E51BF">
      <w:pPr>
        <w:pStyle w:val="ARfinbody"/>
      </w:pPr>
      <w:r w:rsidRPr="002A0818">
        <w:t>The Valuer-General Victoria (VGV) is the department's independent valuation agency. The department, in conjunction with VGV, monitors changes in the fair value of each asset and liability through relevant data sources to determine whether revaluation is required.</w:t>
      </w:r>
    </w:p>
    <w:p w14:paraId="72F311AE" w14:textId="77777777" w:rsidR="006E51BF" w:rsidRPr="002A0818" w:rsidRDefault="006E51BF">
      <w:pPr>
        <w:pStyle w:val="Heading6"/>
      </w:pPr>
      <w:r w:rsidRPr="002A0818">
        <w:t>How this section is structured</w:t>
      </w:r>
    </w:p>
    <w:p w14:paraId="71FA3253" w14:textId="77777777" w:rsidR="006E51BF" w:rsidRDefault="006E51BF">
      <w:pPr>
        <w:pStyle w:val="ARfinbody"/>
        <w:rPr>
          <w:lang w:eastAsia="en-AU"/>
        </w:rPr>
      </w:pPr>
      <w:r w:rsidRPr="002A0818">
        <w:t>For those asse</w:t>
      </w:r>
      <w:r w:rsidRPr="00F012BE">
        <w:rPr>
          <w:lang w:eastAsia="en-AU"/>
        </w:rPr>
        <w:t>ts and liabilities for which fair values are determined, the following disclosures are provided:</w:t>
      </w:r>
    </w:p>
    <w:p w14:paraId="26698C92" w14:textId="77777777" w:rsidR="006E51BF" w:rsidRDefault="006E51BF" w:rsidP="006E51BF">
      <w:pPr>
        <w:pStyle w:val="ARfinbullet1"/>
        <w:numPr>
          <w:ilvl w:val="0"/>
          <w:numId w:val="13"/>
        </w:numPr>
        <w:ind w:left="284" w:hanging="284"/>
      </w:pPr>
      <w:r w:rsidRPr="00F012BE">
        <w:t>carrying amount and the fair value (which would be the same for those assets measured at fair value)</w:t>
      </w:r>
    </w:p>
    <w:p w14:paraId="3A427E9A" w14:textId="77777777" w:rsidR="006E51BF" w:rsidRDefault="006E51BF" w:rsidP="006E51BF">
      <w:pPr>
        <w:pStyle w:val="ARfinbullet1"/>
        <w:numPr>
          <w:ilvl w:val="0"/>
          <w:numId w:val="13"/>
        </w:numPr>
        <w:ind w:left="284" w:hanging="284"/>
      </w:pPr>
      <w:r w:rsidRPr="00F012BE">
        <w:t>which level of the fair value hierarchy was used to determine the fair value</w:t>
      </w:r>
    </w:p>
    <w:p w14:paraId="23FFB150" w14:textId="77777777" w:rsidR="006E51BF" w:rsidRDefault="006E51BF" w:rsidP="006E51BF">
      <w:pPr>
        <w:pStyle w:val="ARfinbullet1"/>
        <w:numPr>
          <w:ilvl w:val="0"/>
          <w:numId w:val="13"/>
        </w:numPr>
        <w:ind w:left="284" w:hanging="284"/>
      </w:pPr>
      <w:r w:rsidRPr="00F012BE">
        <w:t>in respect of those assets and liabilities subject to fair value determination using Level 3 inputs:</w:t>
      </w:r>
    </w:p>
    <w:p w14:paraId="23421BF6" w14:textId="77777777" w:rsidR="006E51BF" w:rsidRDefault="006E51BF" w:rsidP="006E51BF">
      <w:pPr>
        <w:pStyle w:val="ARfinbullet2"/>
        <w:ind w:left="568" w:hanging="284"/>
      </w:pPr>
      <w:r w:rsidRPr="00F012BE">
        <w:t>a reconciliation of the movements in fair values from the beginning of the year to the end</w:t>
      </w:r>
    </w:p>
    <w:p w14:paraId="3A37744D" w14:textId="77777777" w:rsidR="006E51BF" w:rsidRDefault="006E51BF" w:rsidP="006E51BF">
      <w:pPr>
        <w:pStyle w:val="ARfinbullet2"/>
        <w:ind w:left="568" w:hanging="284"/>
      </w:pPr>
      <w:r w:rsidRPr="00F012BE">
        <w:t xml:space="preserve">details of significant unobservable inputs used in the fair value determination. </w:t>
      </w:r>
    </w:p>
    <w:p w14:paraId="7C756FD5" w14:textId="77777777" w:rsidR="006E51BF" w:rsidRDefault="006E51BF">
      <w:pPr>
        <w:pStyle w:val="ARfinbody"/>
        <w:rPr>
          <w:lang w:eastAsia="en-AU"/>
        </w:rPr>
      </w:pPr>
      <w:r w:rsidRPr="00F012BE">
        <w:rPr>
          <w:lang w:eastAsia="en-AU"/>
        </w:rPr>
        <w:t xml:space="preserve">This </w:t>
      </w:r>
      <w:r w:rsidRPr="00E75A07">
        <w:t>section</w:t>
      </w:r>
      <w:r w:rsidRPr="00F012BE">
        <w:rPr>
          <w:lang w:eastAsia="en-AU"/>
        </w:rPr>
        <w:t xml:space="preserve"> is divided between disclosures in connection with fair value determination for financial instruments (refer Note 8.3.1) and non-financial physical assets (refer Note 8.3.2).</w:t>
      </w:r>
    </w:p>
    <w:p w14:paraId="5F8C6253" w14:textId="77777777" w:rsidR="006E51BF" w:rsidRPr="00F012BE" w:rsidRDefault="006E51BF">
      <w:pPr>
        <w:pStyle w:val="Heading5"/>
        <w:rPr>
          <w:lang w:eastAsia="en-AU"/>
        </w:rPr>
      </w:pPr>
      <w:r w:rsidRPr="00F012BE">
        <w:rPr>
          <w:lang w:eastAsia="en-AU"/>
        </w:rPr>
        <w:t xml:space="preserve">8.3.1 </w:t>
      </w:r>
      <w:r>
        <w:rPr>
          <w:lang w:eastAsia="en-AU"/>
        </w:rPr>
        <w:tab/>
      </w:r>
      <w:r w:rsidRPr="00F012BE">
        <w:rPr>
          <w:lang w:eastAsia="en-AU"/>
        </w:rPr>
        <w:t xml:space="preserve">Fair value determination of financial assets and liabilities </w:t>
      </w:r>
    </w:p>
    <w:p w14:paraId="27A4E185" w14:textId="77777777" w:rsidR="006E51BF" w:rsidRDefault="006E51BF">
      <w:pPr>
        <w:pStyle w:val="ARfinbody"/>
        <w:rPr>
          <w:lang w:eastAsia="en-AU"/>
        </w:rPr>
      </w:pPr>
      <w:r w:rsidRPr="00F012BE">
        <w:rPr>
          <w:lang w:eastAsia="en-AU"/>
        </w:rPr>
        <w:t xml:space="preserve">The </w:t>
      </w:r>
      <w:r w:rsidRPr="00E75A07">
        <w:t>fair</w:t>
      </w:r>
      <w:r w:rsidRPr="00F012BE">
        <w:rPr>
          <w:lang w:eastAsia="en-AU"/>
        </w:rPr>
        <w:t xml:space="preserve"> values and net fair values of financial assets and liabilities are determined as follows:</w:t>
      </w:r>
    </w:p>
    <w:p w14:paraId="7B6C7D36" w14:textId="77777777" w:rsidR="006E51BF" w:rsidRDefault="006E51BF" w:rsidP="006E51BF">
      <w:pPr>
        <w:pStyle w:val="ARfinbullet1"/>
        <w:numPr>
          <w:ilvl w:val="0"/>
          <w:numId w:val="13"/>
        </w:numPr>
        <w:ind w:left="284" w:hanging="284"/>
      </w:pPr>
      <w:r w:rsidRPr="00F012BE">
        <w:t xml:space="preserve">Level 1 </w:t>
      </w:r>
      <w:r>
        <w:t>–</w:t>
      </w:r>
      <w:r w:rsidRPr="00F012BE">
        <w:t xml:space="preserve"> the fair value of financial instruments with standard terms and conditions and traded in active liquid markets are determined with reference to quoted market prices</w:t>
      </w:r>
    </w:p>
    <w:p w14:paraId="0C0C6EEA" w14:textId="77777777" w:rsidR="006E51BF" w:rsidRDefault="006E51BF" w:rsidP="006E51BF">
      <w:pPr>
        <w:pStyle w:val="ARfinbullet1"/>
        <w:numPr>
          <w:ilvl w:val="0"/>
          <w:numId w:val="13"/>
        </w:numPr>
        <w:ind w:left="284" w:hanging="284"/>
      </w:pPr>
      <w:r w:rsidRPr="00F012BE">
        <w:t xml:space="preserve">Level 2 </w:t>
      </w:r>
      <w:r>
        <w:t>–</w:t>
      </w:r>
      <w:r w:rsidRPr="00F012BE">
        <w:t xml:space="preserve"> the fair value is determined using inputs other than quoted prices that are observable for the financial asset or liability, either directly or indirectly</w:t>
      </w:r>
    </w:p>
    <w:p w14:paraId="5407C8DE" w14:textId="77777777" w:rsidR="006E51BF" w:rsidRDefault="006E51BF" w:rsidP="006E51BF">
      <w:pPr>
        <w:pStyle w:val="ARfinbullet1"/>
        <w:numPr>
          <w:ilvl w:val="0"/>
          <w:numId w:val="13"/>
        </w:numPr>
        <w:ind w:left="284" w:hanging="284"/>
      </w:pPr>
      <w:r w:rsidRPr="00F012BE">
        <w:t xml:space="preserve">Level 3 </w:t>
      </w:r>
      <w:r>
        <w:t>–</w:t>
      </w:r>
      <w:r w:rsidRPr="00F012BE">
        <w:t xml:space="preserve"> the fair value is determined in accordance with generally accepted pricing models based on discounted cash flow analysis using unobservable market inputs.</w:t>
      </w:r>
    </w:p>
    <w:p w14:paraId="49B1DFE3" w14:textId="40FEE772" w:rsidR="00DB1A70" w:rsidRDefault="006E51BF">
      <w:pPr>
        <w:pStyle w:val="ARfinbody"/>
        <w:rPr>
          <w:lang w:eastAsia="en-AU"/>
        </w:rPr>
      </w:pPr>
      <w:r w:rsidRPr="00F012BE">
        <w:rPr>
          <w:lang w:eastAsia="en-AU"/>
        </w:rPr>
        <w:t>The department currently holds a range of financial instruments that are recorded in the financial statements where the carrying amounts are a reasonable approximation of fair values, either due to their short-term nature or with the expectation that they will be paid in full by the end of the 2025</w:t>
      </w:r>
      <w:r>
        <w:rPr>
          <w:lang w:eastAsia="en-AU"/>
        </w:rPr>
        <w:t>–</w:t>
      </w:r>
      <w:r w:rsidRPr="00F012BE">
        <w:rPr>
          <w:lang w:eastAsia="en-AU"/>
        </w:rPr>
        <w:t>26 reporting period.</w:t>
      </w:r>
    </w:p>
    <w:p w14:paraId="0E01CA39" w14:textId="77777777" w:rsidR="00DB1A70" w:rsidRDefault="00DB1A70">
      <w:pPr>
        <w:spacing w:after="0" w:line="240" w:lineRule="auto"/>
        <w:rPr>
          <w:rFonts w:eastAsia="Times"/>
          <w:sz w:val="18"/>
          <w:lang w:eastAsia="en-AU"/>
        </w:rPr>
      </w:pPr>
      <w:r>
        <w:rPr>
          <w:lang w:eastAsia="en-AU"/>
        </w:rPr>
        <w:br w:type="page"/>
      </w:r>
    </w:p>
    <w:p w14:paraId="47E6EF3E" w14:textId="77777777" w:rsidR="006E51BF" w:rsidRPr="00EF1B8C" w:rsidRDefault="006E51BF">
      <w:pPr>
        <w:pStyle w:val="Heading5"/>
        <w:rPr>
          <w:lang w:eastAsia="en-AU"/>
        </w:rPr>
      </w:pPr>
      <w:r w:rsidRPr="00EF1B8C">
        <w:rPr>
          <w:lang w:eastAsia="en-AU"/>
        </w:rPr>
        <w:t xml:space="preserve">8.3.2 </w:t>
      </w:r>
      <w:r>
        <w:rPr>
          <w:lang w:eastAsia="en-AU"/>
        </w:rPr>
        <w:tab/>
      </w:r>
      <w:r w:rsidRPr="00EF1B8C">
        <w:rPr>
          <w:lang w:eastAsia="en-AU"/>
        </w:rPr>
        <w:t xml:space="preserve">Fair value determination of non-financial physical assets </w:t>
      </w:r>
    </w:p>
    <w:p w14:paraId="0174E6F5" w14:textId="77777777" w:rsidR="006E51BF" w:rsidRPr="00BE4F91" w:rsidRDefault="006E51BF" w:rsidP="009D2C12">
      <w:pPr>
        <w:pStyle w:val="Heading6"/>
      </w:pPr>
      <w:r w:rsidRPr="00EF1B8C">
        <w:t>Fair value measurement hierarchy</w:t>
      </w:r>
    </w:p>
    <w:tbl>
      <w:tblPr>
        <w:tblStyle w:val="ARtable1"/>
        <w:tblW w:w="5000" w:type="pct"/>
        <w:tblLayout w:type="fixed"/>
        <w:tblLook w:val="00E0" w:firstRow="1" w:lastRow="1" w:firstColumn="1" w:lastColumn="0" w:noHBand="0" w:noVBand="0"/>
      </w:tblPr>
      <w:tblGrid>
        <w:gridCol w:w="4674"/>
        <w:gridCol w:w="1416"/>
        <w:gridCol w:w="1180"/>
        <w:gridCol w:w="1180"/>
        <w:gridCol w:w="1178"/>
      </w:tblGrid>
      <w:tr w:rsidR="006E51BF" w:rsidRPr="00EF1B8C" w14:paraId="33154B84" w14:textId="77777777" w:rsidTr="00304BA9">
        <w:trPr>
          <w:cnfStyle w:val="100000000000" w:firstRow="1" w:lastRow="0" w:firstColumn="0" w:lastColumn="0" w:oddVBand="0" w:evenVBand="0" w:oddHBand="0" w:evenHBand="0" w:firstRowFirstColumn="0" w:firstRowLastColumn="0" w:lastRowFirstColumn="0" w:lastRowLastColumn="0"/>
          <w:trHeight w:val="20"/>
          <w:tblHeader/>
        </w:trPr>
        <w:tc>
          <w:tcPr>
            <w:tcW w:w="2427" w:type="pct"/>
            <w:noWrap/>
          </w:tcPr>
          <w:p w14:paraId="4163B8C1" w14:textId="77777777" w:rsidR="006E51BF" w:rsidRPr="00A600DE" w:rsidRDefault="006E51BF">
            <w:pPr>
              <w:pStyle w:val="ARfintablecolheadright"/>
              <w:jc w:val="left"/>
              <w:rPr>
                <w:lang w:eastAsia="en-AU"/>
              </w:rPr>
            </w:pPr>
            <w:r w:rsidRPr="00A600DE">
              <w:rPr>
                <w:lang w:eastAsia="en-AU"/>
              </w:rPr>
              <w:t>2026</w:t>
            </w:r>
          </w:p>
        </w:tc>
        <w:tc>
          <w:tcPr>
            <w:cnfStyle w:val="000001000000" w:firstRow="0" w:lastRow="0" w:firstColumn="0" w:lastColumn="0" w:oddVBand="0" w:evenVBand="1" w:oddHBand="0" w:evenHBand="0" w:firstRowFirstColumn="0" w:firstRowLastColumn="0" w:lastRowFirstColumn="0" w:lastRowLastColumn="0"/>
            <w:tcW w:w="735" w:type="pct"/>
            <w:noWrap/>
            <w:tcMar>
              <w:right w:w="0" w:type="nil"/>
            </w:tcMar>
          </w:tcPr>
          <w:p w14:paraId="29B39DBB" w14:textId="77777777" w:rsidR="006E51BF" w:rsidRPr="00A600DE" w:rsidRDefault="006E51BF">
            <w:pPr>
              <w:pStyle w:val="ARfintablecolheadright"/>
              <w:rPr>
                <w:lang w:eastAsia="en-AU"/>
              </w:rPr>
            </w:pPr>
            <w:r w:rsidRPr="00A600DE">
              <w:rPr>
                <w:lang w:eastAsia="en-AU"/>
              </w:rPr>
              <w:t>Carrying amount</w:t>
            </w:r>
          </w:p>
          <w:p w14:paraId="6AB6CBB3" w14:textId="77777777" w:rsidR="006E51BF" w:rsidRPr="00A600DE" w:rsidRDefault="006E51BF">
            <w:pPr>
              <w:pStyle w:val="ARfintablecolheadright"/>
              <w:rPr>
                <w:lang w:eastAsia="en-AU"/>
              </w:rPr>
            </w:pPr>
            <w:r w:rsidRPr="00A600DE">
              <w:rPr>
                <w:lang w:eastAsia="en-AU"/>
              </w:rPr>
              <w:t>$M</w:t>
            </w:r>
          </w:p>
        </w:tc>
        <w:tc>
          <w:tcPr>
            <w:tcW w:w="613" w:type="pct"/>
            <w:tcBorders>
              <w:top w:val="single" w:sz="4" w:space="0" w:color="000000" w:themeColor="text1"/>
            </w:tcBorders>
            <w:noWrap/>
            <w:tcMar>
              <w:right w:w="0" w:type="nil"/>
            </w:tcMar>
          </w:tcPr>
          <w:p w14:paraId="73013FA4" w14:textId="22E8B180" w:rsidR="003C4E55" w:rsidRDefault="003C4E55">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600DE">
              <w:rPr>
                <w:lang w:eastAsia="en-AU"/>
              </w:rPr>
              <w:t>Fair value measure</w:t>
            </w:r>
            <w:r>
              <w:rPr>
                <w:lang w:eastAsia="en-AU"/>
              </w:rPr>
              <w:t>-</w:t>
            </w:r>
            <w:proofErr w:type="spellStart"/>
            <w:r w:rsidRPr="00A600DE">
              <w:rPr>
                <w:lang w:eastAsia="en-AU"/>
              </w:rPr>
              <w:t>ment</w:t>
            </w:r>
            <w:proofErr w:type="spellEnd"/>
            <w:r w:rsidRPr="00A600DE">
              <w:rPr>
                <w:lang w:eastAsia="en-AU"/>
              </w:rPr>
              <w:t xml:space="preserve"> at end of reporting period using:</w:t>
            </w:r>
          </w:p>
          <w:p w14:paraId="01B177C9" w14:textId="5D8FDC3F" w:rsidR="006E51BF" w:rsidRPr="00A600DE"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600DE">
              <w:rPr>
                <w:lang w:eastAsia="en-AU"/>
              </w:rPr>
              <w:t xml:space="preserve">Level 1 </w:t>
            </w:r>
            <w:r w:rsidRPr="00A600DE">
              <w:rPr>
                <w:vertAlign w:val="superscript"/>
                <w:lang w:eastAsia="en-AU"/>
              </w:rPr>
              <w:t>(</w:t>
            </w:r>
            <w:proofErr w:type="spellStart"/>
            <w:r w:rsidRPr="00A600DE">
              <w:rPr>
                <w:vertAlign w:val="superscript"/>
                <w:lang w:eastAsia="en-AU"/>
              </w:rPr>
              <w:t>i</w:t>
            </w:r>
            <w:proofErr w:type="spellEnd"/>
            <w:r w:rsidRPr="00A600DE">
              <w:rPr>
                <w:vertAlign w:val="superscript"/>
                <w:lang w:eastAsia="en-AU"/>
              </w:rPr>
              <w:t>)</w:t>
            </w:r>
          </w:p>
          <w:p w14:paraId="104D00C3" w14:textId="77777777" w:rsidR="006E51BF" w:rsidRPr="00A600DE"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600DE">
              <w:rPr>
                <w:lang w:eastAsia="en-AU"/>
              </w:rPr>
              <w:t>$M</w:t>
            </w:r>
          </w:p>
        </w:tc>
        <w:tc>
          <w:tcPr>
            <w:cnfStyle w:val="000001000000" w:firstRow="0" w:lastRow="0" w:firstColumn="0" w:lastColumn="0" w:oddVBand="0" w:evenVBand="1" w:oddHBand="0" w:evenHBand="0" w:firstRowFirstColumn="0" w:firstRowLastColumn="0" w:lastRowFirstColumn="0" w:lastRowLastColumn="0"/>
            <w:tcW w:w="613" w:type="pct"/>
            <w:tcBorders>
              <w:top w:val="single" w:sz="4" w:space="0" w:color="000000" w:themeColor="text1"/>
            </w:tcBorders>
            <w:shd w:val="clear" w:color="auto" w:fill="auto"/>
            <w:noWrap/>
            <w:tcMar>
              <w:right w:w="0" w:type="nil"/>
            </w:tcMar>
          </w:tcPr>
          <w:p w14:paraId="40B10FFA" w14:textId="53EE3711" w:rsidR="003C4E55" w:rsidRDefault="003C4E55">
            <w:pPr>
              <w:pStyle w:val="ARfintablecolheadright"/>
              <w:rPr>
                <w:lang w:eastAsia="en-AU"/>
              </w:rPr>
            </w:pPr>
            <w:r w:rsidRPr="00A600DE">
              <w:rPr>
                <w:lang w:eastAsia="en-AU"/>
              </w:rPr>
              <w:t>Fair value measure</w:t>
            </w:r>
            <w:r>
              <w:rPr>
                <w:lang w:eastAsia="en-AU"/>
              </w:rPr>
              <w:t>-</w:t>
            </w:r>
            <w:proofErr w:type="spellStart"/>
            <w:r w:rsidRPr="00A600DE">
              <w:rPr>
                <w:lang w:eastAsia="en-AU"/>
              </w:rPr>
              <w:t>ment</w:t>
            </w:r>
            <w:proofErr w:type="spellEnd"/>
            <w:r w:rsidRPr="00A600DE">
              <w:rPr>
                <w:lang w:eastAsia="en-AU"/>
              </w:rPr>
              <w:t xml:space="preserve"> at end of reporting period using:</w:t>
            </w:r>
          </w:p>
          <w:p w14:paraId="7522E8CB" w14:textId="11F35FDB" w:rsidR="006E51BF" w:rsidRPr="00A600DE" w:rsidRDefault="006E51BF">
            <w:pPr>
              <w:pStyle w:val="ARfintablecolheadright"/>
              <w:rPr>
                <w:lang w:eastAsia="en-AU"/>
              </w:rPr>
            </w:pPr>
            <w:r w:rsidRPr="00A600DE">
              <w:rPr>
                <w:lang w:eastAsia="en-AU"/>
              </w:rPr>
              <w:t xml:space="preserve">Level 2 </w:t>
            </w:r>
            <w:r w:rsidRPr="00A600DE">
              <w:rPr>
                <w:vertAlign w:val="superscript"/>
                <w:lang w:eastAsia="en-AU"/>
              </w:rPr>
              <w:t>(</w:t>
            </w:r>
            <w:proofErr w:type="spellStart"/>
            <w:r w:rsidRPr="00A600DE">
              <w:rPr>
                <w:vertAlign w:val="superscript"/>
                <w:lang w:eastAsia="en-AU"/>
              </w:rPr>
              <w:t>i</w:t>
            </w:r>
            <w:proofErr w:type="spellEnd"/>
            <w:r w:rsidRPr="00A600DE">
              <w:rPr>
                <w:vertAlign w:val="superscript"/>
                <w:lang w:eastAsia="en-AU"/>
              </w:rPr>
              <w:t>)</w:t>
            </w:r>
          </w:p>
          <w:p w14:paraId="5749AE2E" w14:textId="77777777" w:rsidR="006E51BF" w:rsidRPr="00A600DE" w:rsidRDefault="006E51BF">
            <w:pPr>
              <w:pStyle w:val="ARfintablecolheadright"/>
              <w:rPr>
                <w:lang w:eastAsia="en-AU"/>
              </w:rPr>
            </w:pPr>
            <w:r w:rsidRPr="00A600DE">
              <w:rPr>
                <w:lang w:eastAsia="en-AU"/>
              </w:rPr>
              <w:t>$M</w:t>
            </w:r>
          </w:p>
        </w:tc>
        <w:tc>
          <w:tcPr>
            <w:tcW w:w="612" w:type="pct"/>
            <w:tcBorders>
              <w:top w:val="single" w:sz="4" w:space="0" w:color="000000" w:themeColor="text1"/>
            </w:tcBorders>
            <w:noWrap/>
            <w:tcMar>
              <w:right w:w="0" w:type="nil"/>
            </w:tcMar>
          </w:tcPr>
          <w:p w14:paraId="28A1595A" w14:textId="74C37086" w:rsidR="003C4E55" w:rsidRDefault="003C4E55">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600DE">
              <w:rPr>
                <w:lang w:eastAsia="en-AU"/>
              </w:rPr>
              <w:t>Fair value measure</w:t>
            </w:r>
            <w:r>
              <w:rPr>
                <w:lang w:eastAsia="en-AU"/>
              </w:rPr>
              <w:t>-</w:t>
            </w:r>
            <w:proofErr w:type="spellStart"/>
            <w:r w:rsidRPr="00A600DE">
              <w:rPr>
                <w:lang w:eastAsia="en-AU"/>
              </w:rPr>
              <w:t>ment</w:t>
            </w:r>
            <w:proofErr w:type="spellEnd"/>
            <w:r w:rsidRPr="00A600DE">
              <w:rPr>
                <w:lang w:eastAsia="en-AU"/>
              </w:rPr>
              <w:t xml:space="preserve"> at end of reporting period using:</w:t>
            </w:r>
          </w:p>
          <w:p w14:paraId="40ABED0F" w14:textId="63BEC53B" w:rsidR="006E51BF" w:rsidRPr="00A600DE"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600DE">
              <w:rPr>
                <w:lang w:eastAsia="en-AU"/>
              </w:rPr>
              <w:t xml:space="preserve">Level 3 </w:t>
            </w:r>
            <w:r w:rsidRPr="00A600DE">
              <w:rPr>
                <w:vertAlign w:val="superscript"/>
                <w:lang w:eastAsia="en-AU"/>
              </w:rPr>
              <w:t>(</w:t>
            </w:r>
            <w:proofErr w:type="spellStart"/>
            <w:r w:rsidRPr="00A600DE">
              <w:rPr>
                <w:vertAlign w:val="superscript"/>
                <w:lang w:eastAsia="en-AU"/>
              </w:rPr>
              <w:t>i</w:t>
            </w:r>
            <w:proofErr w:type="spellEnd"/>
            <w:r w:rsidRPr="00A600DE">
              <w:rPr>
                <w:vertAlign w:val="superscript"/>
                <w:lang w:eastAsia="en-AU"/>
              </w:rPr>
              <w:t>)</w:t>
            </w:r>
          </w:p>
          <w:p w14:paraId="1EB223D4" w14:textId="77777777" w:rsidR="006E51BF" w:rsidRPr="00A600DE"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A600DE">
              <w:rPr>
                <w:lang w:eastAsia="en-AU"/>
              </w:rPr>
              <w:t>$M</w:t>
            </w:r>
          </w:p>
        </w:tc>
      </w:tr>
      <w:tr w:rsidR="006E51BF" w:rsidRPr="00EF1B8C" w14:paraId="4441C551"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427" w:type="pct"/>
            <w:noWrap/>
            <w:hideMark/>
          </w:tcPr>
          <w:p w14:paraId="52FED614" w14:textId="77777777" w:rsidR="006E51BF" w:rsidRPr="00A600DE" w:rsidRDefault="006E51BF">
            <w:pPr>
              <w:pStyle w:val="ARfintabletextboldcoloured"/>
              <w:rPr>
                <w:lang w:eastAsia="en-AU"/>
              </w:rPr>
            </w:pPr>
            <w:r w:rsidRPr="00A600DE">
              <w:rPr>
                <w:lang w:eastAsia="en-AU"/>
              </w:rPr>
              <w:t xml:space="preserve">Land at fair value </w:t>
            </w:r>
            <w:r w:rsidRPr="00A600DE">
              <w:rPr>
                <w:vertAlign w:val="superscript"/>
                <w:lang w:eastAsia="en-AU"/>
              </w:rPr>
              <w:t>(ii)</w:t>
            </w:r>
          </w:p>
        </w:tc>
        <w:tc>
          <w:tcPr>
            <w:cnfStyle w:val="000001000000" w:firstRow="0" w:lastRow="0" w:firstColumn="0" w:lastColumn="0" w:oddVBand="0" w:evenVBand="1" w:oddHBand="0" w:evenHBand="0" w:firstRowFirstColumn="0" w:firstRowLastColumn="0" w:lastRowFirstColumn="0" w:lastRowLastColumn="0"/>
            <w:tcW w:w="735" w:type="pct"/>
            <w:shd w:val="clear" w:color="auto" w:fill="auto"/>
            <w:noWrap/>
            <w:tcMar>
              <w:right w:w="0" w:type="nil"/>
            </w:tcMar>
            <w:hideMark/>
          </w:tcPr>
          <w:p w14:paraId="15678FEA" w14:textId="77777777" w:rsidR="006E51BF" w:rsidRPr="00A600DE" w:rsidRDefault="006E51BF">
            <w:pPr>
              <w:pStyle w:val="ARfintabletextright"/>
              <w:rPr>
                <w:lang w:eastAsia="en-AU"/>
              </w:rPr>
            </w:pPr>
          </w:p>
        </w:tc>
        <w:tc>
          <w:tcPr>
            <w:tcW w:w="613" w:type="pct"/>
            <w:noWrap/>
            <w:tcMar>
              <w:right w:w="0" w:type="nil"/>
            </w:tcMar>
            <w:hideMark/>
          </w:tcPr>
          <w:p w14:paraId="4108C4E5" w14:textId="77777777" w:rsidR="006E51BF" w:rsidRPr="00A600DE"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613" w:type="pct"/>
            <w:shd w:val="clear" w:color="auto" w:fill="auto"/>
            <w:noWrap/>
            <w:tcMar>
              <w:right w:w="0" w:type="nil"/>
            </w:tcMar>
            <w:hideMark/>
          </w:tcPr>
          <w:p w14:paraId="08766A93" w14:textId="77777777" w:rsidR="006E51BF" w:rsidRPr="00A600DE" w:rsidRDefault="006E51BF">
            <w:pPr>
              <w:pStyle w:val="ARfintabletextright"/>
              <w:rPr>
                <w:lang w:eastAsia="en-AU"/>
              </w:rPr>
            </w:pPr>
          </w:p>
        </w:tc>
        <w:tc>
          <w:tcPr>
            <w:tcW w:w="612" w:type="pct"/>
            <w:noWrap/>
            <w:tcMar>
              <w:right w:w="0" w:type="nil"/>
            </w:tcMar>
            <w:hideMark/>
          </w:tcPr>
          <w:p w14:paraId="41E333AA" w14:textId="77777777" w:rsidR="006E51BF" w:rsidRPr="00A600DE"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EF1B8C" w14:paraId="4A558579"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427" w:type="pct"/>
            <w:tcBorders>
              <w:bottom w:val="single" w:sz="4" w:space="0" w:color="BFBFBF" w:themeColor="accent2"/>
            </w:tcBorders>
            <w:noWrap/>
            <w:hideMark/>
          </w:tcPr>
          <w:p w14:paraId="2A3B95FC" w14:textId="77777777" w:rsidR="006E51BF" w:rsidRPr="00A600DE" w:rsidRDefault="006E51BF">
            <w:pPr>
              <w:pStyle w:val="ARfintabletext"/>
              <w:rPr>
                <w:lang w:eastAsia="en-AU"/>
              </w:rPr>
            </w:pPr>
            <w:r w:rsidRPr="00A600DE">
              <w:rPr>
                <w:lang w:eastAsia="en-AU"/>
              </w:rPr>
              <w:t>Non-specialised land</w:t>
            </w:r>
          </w:p>
        </w:tc>
        <w:tc>
          <w:tcPr>
            <w:cnfStyle w:val="000001000000" w:firstRow="0" w:lastRow="0" w:firstColumn="0" w:lastColumn="0" w:oddVBand="0" w:evenVBand="1" w:oddHBand="0" w:evenHBand="0" w:firstRowFirstColumn="0" w:firstRowLastColumn="0" w:lastRowFirstColumn="0" w:lastRowLastColumn="0"/>
            <w:tcW w:w="735" w:type="pct"/>
            <w:tcBorders>
              <w:bottom w:val="single" w:sz="4" w:space="0" w:color="BFBFBF" w:themeColor="accent2"/>
            </w:tcBorders>
            <w:noWrap/>
            <w:tcMar>
              <w:right w:w="0" w:type="nil"/>
            </w:tcMar>
            <w:hideMark/>
          </w:tcPr>
          <w:p w14:paraId="4AF5AB0E" w14:textId="77777777" w:rsidR="006E51BF" w:rsidRPr="00A600DE" w:rsidRDefault="006E51BF">
            <w:pPr>
              <w:pStyle w:val="ARfintabletextright"/>
              <w:rPr>
                <w:lang w:eastAsia="en-AU"/>
              </w:rPr>
            </w:pPr>
            <w:r w:rsidRPr="00A600DE">
              <w:rPr>
                <w:lang w:eastAsia="en-AU"/>
              </w:rPr>
              <w:t>24,065.2</w:t>
            </w:r>
          </w:p>
        </w:tc>
        <w:tc>
          <w:tcPr>
            <w:tcW w:w="613" w:type="pct"/>
            <w:tcBorders>
              <w:bottom w:val="single" w:sz="4" w:space="0" w:color="BFBFBF" w:themeColor="accent2"/>
            </w:tcBorders>
            <w:noWrap/>
            <w:tcMar>
              <w:right w:w="0" w:type="nil"/>
            </w:tcMar>
            <w:hideMark/>
          </w:tcPr>
          <w:p w14:paraId="4DB00F01" w14:textId="77777777" w:rsidR="006E51BF" w:rsidRPr="00A600DE"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A600DE">
              <w:rPr>
                <w:lang w:eastAsia="en-AU"/>
              </w:rPr>
              <w:t>–</w:t>
            </w:r>
          </w:p>
        </w:tc>
        <w:tc>
          <w:tcPr>
            <w:cnfStyle w:val="000001000000" w:firstRow="0" w:lastRow="0" w:firstColumn="0" w:lastColumn="0" w:oddVBand="0" w:evenVBand="1" w:oddHBand="0" w:evenHBand="0" w:firstRowFirstColumn="0" w:firstRowLastColumn="0" w:lastRowFirstColumn="0" w:lastRowLastColumn="0"/>
            <w:tcW w:w="613" w:type="pct"/>
            <w:tcBorders>
              <w:bottom w:val="single" w:sz="4" w:space="0" w:color="BFBFBF" w:themeColor="accent2"/>
            </w:tcBorders>
            <w:shd w:val="clear" w:color="auto" w:fill="auto"/>
            <w:noWrap/>
            <w:tcMar>
              <w:right w:w="0" w:type="nil"/>
            </w:tcMar>
            <w:hideMark/>
          </w:tcPr>
          <w:p w14:paraId="763C67CF" w14:textId="77777777" w:rsidR="006E51BF" w:rsidRPr="00A600DE" w:rsidRDefault="006E51BF">
            <w:pPr>
              <w:pStyle w:val="ARfintabletextright"/>
              <w:rPr>
                <w:lang w:eastAsia="en-AU"/>
              </w:rPr>
            </w:pPr>
            <w:r w:rsidRPr="00A600DE">
              <w:rPr>
                <w:lang w:eastAsia="en-AU"/>
              </w:rPr>
              <w:t>24,065.2</w:t>
            </w:r>
          </w:p>
        </w:tc>
        <w:tc>
          <w:tcPr>
            <w:tcW w:w="612" w:type="pct"/>
            <w:tcBorders>
              <w:bottom w:val="single" w:sz="4" w:space="0" w:color="BFBFBF" w:themeColor="accent2"/>
            </w:tcBorders>
            <w:noWrap/>
            <w:tcMar>
              <w:right w:w="0" w:type="nil"/>
            </w:tcMar>
            <w:hideMark/>
          </w:tcPr>
          <w:p w14:paraId="06677739" w14:textId="77777777" w:rsidR="006E51BF" w:rsidRPr="00A600DE"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A600DE">
              <w:rPr>
                <w:lang w:eastAsia="en-AU"/>
              </w:rPr>
              <w:t>–</w:t>
            </w:r>
          </w:p>
        </w:tc>
      </w:tr>
      <w:tr w:rsidR="006E51BF" w:rsidRPr="00EF1B8C" w14:paraId="2358272B"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427" w:type="pct"/>
            <w:tcBorders>
              <w:top w:val="single" w:sz="4" w:space="0" w:color="BFBFBF" w:themeColor="accent2"/>
              <w:bottom w:val="single" w:sz="4" w:space="0" w:color="000000" w:themeColor="text1"/>
            </w:tcBorders>
            <w:noWrap/>
            <w:hideMark/>
          </w:tcPr>
          <w:p w14:paraId="4DEE3C89" w14:textId="77777777" w:rsidR="006E51BF" w:rsidRPr="00A600DE" w:rsidRDefault="006E51BF">
            <w:pPr>
              <w:pStyle w:val="ARfintabletext"/>
              <w:rPr>
                <w:lang w:eastAsia="en-AU"/>
              </w:rPr>
            </w:pPr>
            <w:r w:rsidRPr="00A600DE">
              <w:rPr>
                <w:lang w:eastAsia="en-AU"/>
              </w:rPr>
              <w:t>Specialised land</w:t>
            </w:r>
          </w:p>
        </w:tc>
        <w:tc>
          <w:tcPr>
            <w:cnfStyle w:val="000001000000" w:firstRow="0" w:lastRow="0" w:firstColumn="0" w:lastColumn="0" w:oddVBand="0" w:evenVBand="1" w:oddHBand="0" w:evenHBand="0" w:firstRowFirstColumn="0" w:firstRowLastColumn="0" w:lastRowFirstColumn="0" w:lastRowLastColumn="0"/>
            <w:tcW w:w="735" w:type="pct"/>
            <w:tcBorders>
              <w:top w:val="single" w:sz="4" w:space="0" w:color="BFBFBF" w:themeColor="accent2"/>
              <w:bottom w:val="single" w:sz="4" w:space="0" w:color="000000" w:themeColor="text1"/>
            </w:tcBorders>
            <w:noWrap/>
            <w:tcMar>
              <w:right w:w="0" w:type="nil"/>
            </w:tcMar>
            <w:hideMark/>
          </w:tcPr>
          <w:p w14:paraId="47953BD8" w14:textId="77777777" w:rsidR="006E51BF" w:rsidRPr="00A600DE" w:rsidRDefault="006E51BF">
            <w:pPr>
              <w:pStyle w:val="ARfintabletextright"/>
              <w:rPr>
                <w:lang w:eastAsia="en-AU"/>
              </w:rPr>
            </w:pPr>
            <w:r w:rsidRPr="00A600DE">
              <w:rPr>
                <w:lang w:eastAsia="en-AU"/>
              </w:rPr>
              <w:t>164.1</w:t>
            </w:r>
          </w:p>
        </w:tc>
        <w:tc>
          <w:tcPr>
            <w:tcW w:w="613" w:type="pct"/>
            <w:tcBorders>
              <w:top w:val="single" w:sz="4" w:space="0" w:color="BFBFBF" w:themeColor="accent2"/>
              <w:bottom w:val="single" w:sz="4" w:space="0" w:color="000000" w:themeColor="text1"/>
            </w:tcBorders>
            <w:noWrap/>
            <w:tcMar>
              <w:right w:w="0" w:type="nil"/>
            </w:tcMar>
            <w:hideMark/>
          </w:tcPr>
          <w:p w14:paraId="4325B2C6" w14:textId="77777777" w:rsidR="006E51BF" w:rsidRPr="00A600DE"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A600DE">
              <w:rPr>
                <w:lang w:eastAsia="en-AU"/>
              </w:rPr>
              <w:t>–</w:t>
            </w:r>
          </w:p>
        </w:tc>
        <w:tc>
          <w:tcPr>
            <w:cnfStyle w:val="000001000000" w:firstRow="0" w:lastRow="0" w:firstColumn="0" w:lastColumn="0" w:oddVBand="0" w:evenVBand="1" w:oddHBand="0" w:evenHBand="0" w:firstRowFirstColumn="0" w:firstRowLastColumn="0" w:lastRowFirstColumn="0" w:lastRowLastColumn="0"/>
            <w:tcW w:w="613" w:type="pct"/>
            <w:tcBorders>
              <w:top w:val="single" w:sz="4" w:space="0" w:color="BFBFBF" w:themeColor="accent2"/>
              <w:bottom w:val="single" w:sz="4" w:space="0" w:color="000000" w:themeColor="text1"/>
            </w:tcBorders>
            <w:shd w:val="clear" w:color="auto" w:fill="auto"/>
            <w:noWrap/>
            <w:tcMar>
              <w:right w:w="0" w:type="nil"/>
            </w:tcMar>
            <w:hideMark/>
          </w:tcPr>
          <w:p w14:paraId="18481F96" w14:textId="77777777" w:rsidR="006E51BF" w:rsidRPr="00A600DE" w:rsidRDefault="006E51BF">
            <w:pPr>
              <w:pStyle w:val="ARfintabletextright"/>
              <w:rPr>
                <w:lang w:eastAsia="en-AU"/>
              </w:rPr>
            </w:pPr>
            <w:r w:rsidRPr="00A600DE">
              <w:rPr>
                <w:lang w:eastAsia="en-AU"/>
              </w:rPr>
              <w:t>–</w:t>
            </w:r>
          </w:p>
        </w:tc>
        <w:tc>
          <w:tcPr>
            <w:tcW w:w="612" w:type="pct"/>
            <w:tcBorders>
              <w:top w:val="single" w:sz="4" w:space="0" w:color="BFBFBF" w:themeColor="accent2"/>
              <w:bottom w:val="single" w:sz="4" w:space="0" w:color="000000" w:themeColor="text1"/>
            </w:tcBorders>
            <w:noWrap/>
            <w:tcMar>
              <w:right w:w="0" w:type="nil"/>
            </w:tcMar>
            <w:hideMark/>
          </w:tcPr>
          <w:p w14:paraId="21F0862D" w14:textId="77777777" w:rsidR="006E51BF" w:rsidRPr="00A600DE"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A600DE">
              <w:rPr>
                <w:lang w:eastAsia="en-AU"/>
              </w:rPr>
              <w:t>164.1</w:t>
            </w:r>
          </w:p>
        </w:tc>
      </w:tr>
      <w:tr w:rsidR="006E51BF" w:rsidRPr="00EF1B8C" w14:paraId="03DA22FE"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427" w:type="pct"/>
            <w:tcBorders>
              <w:top w:val="single" w:sz="4" w:space="0" w:color="000000" w:themeColor="text1"/>
              <w:bottom w:val="single" w:sz="4" w:space="0" w:color="000000" w:themeColor="text1"/>
            </w:tcBorders>
            <w:noWrap/>
            <w:hideMark/>
          </w:tcPr>
          <w:p w14:paraId="07E366A7" w14:textId="77777777" w:rsidR="006E51BF" w:rsidRPr="00A600DE" w:rsidRDefault="006E51BF">
            <w:pPr>
              <w:pStyle w:val="ARfintabletextbold"/>
              <w:rPr>
                <w:lang w:eastAsia="en-AU"/>
              </w:rPr>
            </w:pPr>
            <w:r w:rsidRPr="00A600DE">
              <w:rPr>
                <w:lang w:eastAsia="en-AU"/>
              </w:rPr>
              <w:t>Total land at fair value</w:t>
            </w:r>
          </w:p>
        </w:tc>
        <w:tc>
          <w:tcPr>
            <w:cnfStyle w:val="000001000000" w:firstRow="0" w:lastRow="0" w:firstColumn="0" w:lastColumn="0" w:oddVBand="0" w:evenVBand="1" w:oddHBand="0" w:evenHBand="0" w:firstRowFirstColumn="0" w:firstRowLastColumn="0" w:lastRowFirstColumn="0" w:lastRowLastColumn="0"/>
            <w:tcW w:w="735" w:type="pct"/>
            <w:tcBorders>
              <w:top w:val="single" w:sz="4" w:space="0" w:color="000000" w:themeColor="text1"/>
              <w:bottom w:val="single" w:sz="4" w:space="0" w:color="000000" w:themeColor="text1"/>
            </w:tcBorders>
            <w:noWrap/>
            <w:tcMar>
              <w:right w:w="0" w:type="nil"/>
            </w:tcMar>
            <w:hideMark/>
          </w:tcPr>
          <w:p w14:paraId="39E5D9D4" w14:textId="77777777" w:rsidR="006E51BF" w:rsidRPr="00A600DE" w:rsidRDefault="006E51BF">
            <w:pPr>
              <w:pStyle w:val="ARfintabletextboldright"/>
              <w:rPr>
                <w:lang w:eastAsia="en-AU"/>
              </w:rPr>
            </w:pPr>
            <w:r w:rsidRPr="00A600DE">
              <w:rPr>
                <w:lang w:eastAsia="en-AU"/>
              </w:rPr>
              <w:t>24,229.3</w:t>
            </w:r>
          </w:p>
        </w:tc>
        <w:tc>
          <w:tcPr>
            <w:tcW w:w="613" w:type="pct"/>
            <w:tcBorders>
              <w:top w:val="single" w:sz="4" w:space="0" w:color="000000" w:themeColor="text1"/>
              <w:bottom w:val="single" w:sz="4" w:space="0" w:color="000000" w:themeColor="text1"/>
            </w:tcBorders>
            <w:noWrap/>
            <w:tcMar>
              <w:right w:w="0" w:type="nil"/>
            </w:tcMar>
            <w:hideMark/>
          </w:tcPr>
          <w:p w14:paraId="41E26698" w14:textId="77777777" w:rsidR="006E51BF" w:rsidRPr="00A600DE"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A600DE">
              <w:rPr>
                <w:lang w:eastAsia="en-AU"/>
              </w:rPr>
              <w:t>–</w:t>
            </w:r>
          </w:p>
        </w:tc>
        <w:tc>
          <w:tcPr>
            <w:cnfStyle w:val="000001000000" w:firstRow="0" w:lastRow="0" w:firstColumn="0" w:lastColumn="0" w:oddVBand="0" w:evenVBand="1" w:oddHBand="0" w:evenHBand="0" w:firstRowFirstColumn="0" w:firstRowLastColumn="0" w:lastRowFirstColumn="0" w:lastRowLastColumn="0"/>
            <w:tcW w:w="613" w:type="pct"/>
            <w:tcBorders>
              <w:top w:val="single" w:sz="4" w:space="0" w:color="000000" w:themeColor="text1"/>
              <w:bottom w:val="single" w:sz="4" w:space="0" w:color="000000" w:themeColor="text1"/>
            </w:tcBorders>
            <w:shd w:val="clear" w:color="auto" w:fill="auto"/>
            <w:noWrap/>
            <w:tcMar>
              <w:right w:w="0" w:type="nil"/>
            </w:tcMar>
            <w:hideMark/>
          </w:tcPr>
          <w:p w14:paraId="2586A120" w14:textId="77777777" w:rsidR="006E51BF" w:rsidRPr="00A600DE" w:rsidRDefault="006E51BF">
            <w:pPr>
              <w:pStyle w:val="ARfintabletextboldright"/>
              <w:rPr>
                <w:lang w:eastAsia="en-AU"/>
              </w:rPr>
            </w:pPr>
            <w:r w:rsidRPr="00A600DE">
              <w:rPr>
                <w:lang w:eastAsia="en-AU"/>
              </w:rPr>
              <w:t>24,065.2</w:t>
            </w:r>
          </w:p>
        </w:tc>
        <w:tc>
          <w:tcPr>
            <w:tcW w:w="612" w:type="pct"/>
            <w:tcBorders>
              <w:top w:val="single" w:sz="4" w:space="0" w:color="000000" w:themeColor="text1"/>
              <w:bottom w:val="single" w:sz="4" w:space="0" w:color="000000" w:themeColor="text1"/>
            </w:tcBorders>
            <w:noWrap/>
            <w:tcMar>
              <w:right w:w="0" w:type="nil"/>
            </w:tcMar>
            <w:hideMark/>
          </w:tcPr>
          <w:p w14:paraId="38DFFC2D" w14:textId="77777777" w:rsidR="006E51BF" w:rsidRPr="00A600DE"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A600DE">
              <w:rPr>
                <w:lang w:eastAsia="en-AU"/>
              </w:rPr>
              <w:t>164.1</w:t>
            </w:r>
          </w:p>
        </w:tc>
      </w:tr>
      <w:tr w:rsidR="006E51BF" w:rsidRPr="00EF1B8C" w14:paraId="252B8E77"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427" w:type="pct"/>
            <w:tcBorders>
              <w:top w:val="single" w:sz="4" w:space="0" w:color="000000" w:themeColor="text1"/>
            </w:tcBorders>
            <w:noWrap/>
            <w:hideMark/>
          </w:tcPr>
          <w:p w14:paraId="627D192D" w14:textId="77777777" w:rsidR="006E51BF" w:rsidRPr="00A600DE" w:rsidRDefault="006E51BF">
            <w:pPr>
              <w:pStyle w:val="ARfintabletextboldcoloured"/>
              <w:rPr>
                <w:lang w:eastAsia="en-AU"/>
              </w:rPr>
            </w:pPr>
            <w:r w:rsidRPr="00A600DE">
              <w:rPr>
                <w:lang w:eastAsia="en-AU"/>
              </w:rPr>
              <w:t xml:space="preserve">Buildings at fair value </w:t>
            </w:r>
            <w:r w:rsidRPr="00A600DE">
              <w:rPr>
                <w:vertAlign w:val="superscript"/>
                <w:lang w:eastAsia="en-AU"/>
              </w:rPr>
              <w:t>(ii)</w:t>
            </w:r>
          </w:p>
        </w:tc>
        <w:tc>
          <w:tcPr>
            <w:cnfStyle w:val="000001000000" w:firstRow="0" w:lastRow="0" w:firstColumn="0" w:lastColumn="0" w:oddVBand="0" w:evenVBand="1" w:oddHBand="0" w:evenHBand="0" w:firstRowFirstColumn="0" w:firstRowLastColumn="0" w:lastRowFirstColumn="0" w:lastRowLastColumn="0"/>
            <w:tcW w:w="735" w:type="pct"/>
            <w:tcBorders>
              <w:top w:val="single" w:sz="4" w:space="0" w:color="000000" w:themeColor="text1"/>
            </w:tcBorders>
            <w:shd w:val="clear" w:color="auto" w:fill="auto"/>
            <w:noWrap/>
            <w:tcMar>
              <w:right w:w="0" w:type="nil"/>
            </w:tcMar>
            <w:hideMark/>
          </w:tcPr>
          <w:p w14:paraId="743BC84F" w14:textId="77777777" w:rsidR="006E51BF" w:rsidRPr="00A600DE" w:rsidRDefault="006E51BF">
            <w:pPr>
              <w:pStyle w:val="ARfintabletextright"/>
              <w:rPr>
                <w:lang w:eastAsia="en-AU"/>
              </w:rPr>
            </w:pPr>
          </w:p>
        </w:tc>
        <w:tc>
          <w:tcPr>
            <w:tcW w:w="613" w:type="pct"/>
            <w:tcBorders>
              <w:top w:val="single" w:sz="4" w:space="0" w:color="000000" w:themeColor="text1"/>
            </w:tcBorders>
            <w:noWrap/>
            <w:tcMar>
              <w:right w:w="0" w:type="nil"/>
            </w:tcMar>
            <w:hideMark/>
          </w:tcPr>
          <w:p w14:paraId="34806D4B" w14:textId="77777777" w:rsidR="006E51BF" w:rsidRPr="00A600DE"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613" w:type="pct"/>
            <w:tcBorders>
              <w:top w:val="single" w:sz="4" w:space="0" w:color="000000" w:themeColor="text1"/>
            </w:tcBorders>
            <w:shd w:val="clear" w:color="auto" w:fill="auto"/>
            <w:noWrap/>
            <w:tcMar>
              <w:right w:w="0" w:type="nil"/>
            </w:tcMar>
            <w:hideMark/>
          </w:tcPr>
          <w:p w14:paraId="3DEDB3FB" w14:textId="77777777" w:rsidR="006E51BF" w:rsidRPr="00A600DE" w:rsidRDefault="006E51BF">
            <w:pPr>
              <w:pStyle w:val="ARfintabletextright"/>
              <w:rPr>
                <w:lang w:eastAsia="en-AU"/>
              </w:rPr>
            </w:pPr>
          </w:p>
        </w:tc>
        <w:tc>
          <w:tcPr>
            <w:tcW w:w="612" w:type="pct"/>
            <w:tcBorders>
              <w:top w:val="single" w:sz="4" w:space="0" w:color="000000" w:themeColor="text1"/>
            </w:tcBorders>
            <w:noWrap/>
            <w:tcMar>
              <w:right w:w="0" w:type="nil"/>
            </w:tcMar>
            <w:hideMark/>
          </w:tcPr>
          <w:p w14:paraId="631E86F0" w14:textId="77777777" w:rsidR="006E51BF" w:rsidRPr="00A600DE"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EF1B8C" w14:paraId="419DBFBF"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427" w:type="pct"/>
            <w:tcBorders>
              <w:bottom w:val="single" w:sz="4" w:space="0" w:color="BFBFBF" w:themeColor="accent2"/>
            </w:tcBorders>
            <w:noWrap/>
            <w:hideMark/>
          </w:tcPr>
          <w:p w14:paraId="13052694" w14:textId="77777777" w:rsidR="006E51BF" w:rsidRPr="00EF1B8C" w:rsidRDefault="006E51BF">
            <w:pPr>
              <w:pStyle w:val="ARfintabletext"/>
              <w:rPr>
                <w:lang w:eastAsia="en-AU"/>
              </w:rPr>
            </w:pPr>
            <w:r w:rsidRPr="00EF1B8C">
              <w:rPr>
                <w:lang w:eastAsia="en-AU"/>
              </w:rPr>
              <w:t>Non-specialised buildings</w:t>
            </w:r>
          </w:p>
        </w:tc>
        <w:tc>
          <w:tcPr>
            <w:cnfStyle w:val="000001000000" w:firstRow="0" w:lastRow="0" w:firstColumn="0" w:lastColumn="0" w:oddVBand="0" w:evenVBand="1" w:oddHBand="0" w:evenHBand="0" w:firstRowFirstColumn="0" w:firstRowLastColumn="0" w:lastRowFirstColumn="0" w:lastRowLastColumn="0"/>
            <w:tcW w:w="735" w:type="pct"/>
            <w:tcBorders>
              <w:bottom w:val="single" w:sz="4" w:space="0" w:color="BFBFBF" w:themeColor="accent2"/>
            </w:tcBorders>
            <w:noWrap/>
            <w:tcMar>
              <w:right w:w="0" w:type="nil"/>
            </w:tcMar>
            <w:hideMark/>
          </w:tcPr>
          <w:p w14:paraId="47A5A9D9" w14:textId="77777777" w:rsidR="006E51BF" w:rsidRPr="00EF1B8C" w:rsidRDefault="006E51BF">
            <w:pPr>
              <w:pStyle w:val="ARfintabletextright"/>
              <w:rPr>
                <w:lang w:eastAsia="en-AU"/>
              </w:rPr>
            </w:pPr>
            <w:r w:rsidRPr="00EF1B8C">
              <w:rPr>
                <w:lang w:eastAsia="en-AU"/>
              </w:rPr>
              <w:t>12,593.1</w:t>
            </w:r>
          </w:p>
        </w:tc>
        <w:tc>
          <w:tcPr>
            <w:tcW w:w="613" w:type="pct"/>
            <w:tcBorders>
              <w:bottom w:val="single" w:sz="4" w:space="0" w:color="BFBFBF" w:themeColor="accent2"/>
            </w:tcBorders>
            <w:noWrap/>
            <w:tcMar>
              <w:right w:w="0" w:type="nil"/>
            </w:tcMar>
            <w:hideMark/>
          </w:tcPr>
          <w:p w14:paraId="3971B882" w14:textId="77777777" w:rsidR="006E51BF" w:rsidRPr="00EF1B8C"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13" w:type="pct"/>
            <w:tcBorders>
              <w:bottom w:val="single" w:sz="4" w:space="0" w:color="BFBFBF" w:themeColor="accent2"/>
            </w:tcBorders>
            <w:shd w:val="clear" w:color="auto" w:fill="auto"/>
            <w:noWrap/>
            <w:tcMar>
              <w:right w:w="0" w:type="nil"/>
            </w:tcMar>
            <w:hideMark/>
          </w:tcPr>
          <w:p w14:paraId="5AC0226D" w14:textId="77777777" w:rsidR="006E51BF" w:rsidRPr="00EF1B8C" w:rsidRDefault="006E51BF">
            <w:pPr>
              <w:pStyle w:val="ARfintabletextright"/>
              <w:rPr>
                <w:lang w:eastAsia="en-AU"/>
              </w:rPr>
            </w:pPr>
            <w:r w:rsidRPr="00EF1B8C">
              <w:rPr>
                <w:lang w:eastAsia="en-AU"/>
              </w:rPr>
              <w:t>12,593.1</w:t>
            </w:r>
          </w:p>
        </w:tc>
        <w:tc>
          <w:tcPr>
            <w:tcW w:w="612" w:type="pct"/>
            <w:tcBorders>
              <w:bottom w:val="single" w:sz="4" w:space="0" w:color="BFBFBF" w:themeColor="accent2"/>
            </w:tcBorders>
            <w:noWrap/>
            <w:tcMar>
              <w:right w:w="0" w:type="nil"/>
            </w:tcMar>
            <w:hideMark/>
          </w:tcPr>
          <w:p w14:paraId="17F58937" w14:textId="77777777" w:rsidR="006E51BF" w:rsidRPr="00EF1B8C"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r>
      <w:tr w:rsidR="006E51BF" w:rsidRPr="00EF1B8C" w14:paraId="5D4EFCD3"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427" w:type="pct"/>
            <w:tcBorders>
              <w:top w:val="single" w:sz="4" w:space="0" w:color="BFBFBF" w:themeColor="accent2"/>
              <w:bottom w:val="single" w:sz="4" w:space="0" w:color="000000" w:themeColor="text1"/>
            </w:tcBorders>
            <w:noWrap/>
            <w:hideMark/>
          </w:tcPr>
          <w:p w14:paraId="5BD1E823" w14:textId="77777777" w:rsidR="006E51BF" w:rsidRPr="00EF1B8C" w:rsidRDefault="006E51BF">
            <w:pPr>
              <w:pStyle w:val="ARfintabletext"/>
              <w:rPr>
                <w:lang w:eastAsia="en-AU"/>
              </w:rPr>
            </w:pPr>
            <w:r w:rsidRPr="00EF1B8C">
              <w:rPr>
                <w:lang w:eastAsia="en-AU"/>
              </w:rPr>
              <w:t>Specialised buildings</w:t>
            </w:r>
          </w:p>
        </w:tc>
        <w:tc>
          <w:tcPr>
            <w:cnfStyle w:val="000001000000" w:firstRow="0" w:lastRow="0" w:firstColumn="0" w:lastColumn="0" w:oddVBand="0" w:evenVBand="1" w:oddHBand="0" w:evenHBand="0" w:firstRowFirstColumn="0" w:firstRowLastColumn="0" w:lastRowFirstColumn="0" w:lastRowLastColumn="0"/>
            <w:tcW w:w="735" w:type="pct"/>
            <w:tcBorders>
              <w:top w:val="single" w:sz="4" w:space="0" w:color="BFBFBF" w:themeColor="accent2"/>
              <w:bottom w:val="single" w:sz="4" w:space="0" w:color="000000" w:themeColor="text1"/>
            </w:tcBorders>
            <w:noWrap/>
            <w:tcMar>
              <w:right w:w="0" w:type="nil"/>
            </w:tcMar>
            <w:hideMark/>
          </w:tcPr>
          <w:p w14:paraId="1EC37A2F" w14:textId="77777777" w:rsidR="006E51BF" w:rsidRPr="00EF1B8C" w:rsidRDefault="006E51BF">
            <w:pPr>
              <w:pStyle w:val="ARfintabletextright"/>
              <w:rPr>
                <w:lang w:eastAsia="en-AU"/>
              </w:rPr>
            </w:pPr>
            <w:r w:rsidRPr="00EF1B8C">
              <w:rPr>
                <w:lang w:eastAsia="en-AU"/>
              </w:rPr>
              <w:t>445.3</w:t>
            </w:r>
          </w:p>
        </w:tc>
        <w:tc>
          <w:tcPr>
            <w:tcW w:w="613" w:type="pct"/>
            <w:tcBorders>
              <w:top w:val="single" w:sz="4" w:space="0" w:color="BFBFBF" w:themeColor="accent2"/>
              <w:bottom w:val="single" w:sz="4" w:space="0" w:color="000000" w:themeColor="text1"/>
            </w:tcBorders>
            <w:noWrap/>
            <w:tcMar>
              <w:right w:w="0" w:type="nil"/>
            </w:tcMar>
            <w:hideMark/>
          </w:tcPr>
          <w:p w14:paraId="4C330D07" w14:textId="77777777" w:rsidR="006E51BF" w:rsidRPr="00EF1B8C"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13" w:type="pct"/>
            <w:tcBorders>
              <w:top w:val="single" w:sz="4" w:space="0" w:color="BFBFBF" w:themeColor="accent2"/>
              <w:bottom w:val="single" w:sz="4" w:space="0" w:color="000000" w:themeColor="text1"/>
            </w:tcBorders>
            <w:shd w:val="clear" w:color="auto" w:fill="auto"/>
            <w:noWrap/>
            <w:tcMar>
              <w:right w:w="0" w:type="nil"/>
            </w:tcMar>
            <w:hideMark/>
          </w:tcPr>
          <w:p w14:paraId="5D87A8F9" w14:textId="77777777" w:rsidR="006E51BF" w:rsidRPr="00EF1B8C" w:rsidRDefault="006E51BF">
            <w:pPr>
              <w:pStyle w:val="ARfintabletextright"/>
              <w:rPr>
                <w:lang w:eastAsia="en-AU"/>
              </w:rPr>
            </w:pPr>
            <w:r>
              <w:rPr>
                <w:lang w:eastAsia="en-AU"/>
              </w:rPr>
              <w:t>–</w:t>
            </w:r>
          </w:p>
        </w:tc>
        <w:tc>
          <w:tcPr>
            <w:tcW w:w="612" w:type="pct"/>
            <w:tcBorders>
              <w:top w:val="single" w:sz="4" w:space="0" w:color="BFBFBF" w:themeColor="accent2"/>
              <w:bottom w:val="single" w:sz="4" w:space="0" w:color="000000" w:themeColor="text1"/>
            </w:tcBorders>
            <w:noWrap/>
            <w:tcMar>
              <w:right w:w="0" w:type="nil"/>
            </w:tcMar>
            <w:hideMark/>
          </w:tcPr>
          <w:p w14:paraId="386A33B8" w14:textId="77777777" w:rsidR="006E51BF" w:rsidRPr="00EF1B8C"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EF1B8C">
              <w:rPr>
                <w:lang w:eastAsia="en-AU"/>
              </w:rPr>
              <w:t>445.3</w:t>
            </w:r>
          </w:p>
        </w:tc>
      </w:tr>
      <w:tr w:rsidR="006E51BF" w:rsidRPr="00EF1B8C" w14:paraId="24587720"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427" w:type="pct"/>
            <w:tcBorders>
              <w:top w:val="single" w:sz="4" w:space="0" w:color="000000" w:themeColor="text1"/>
              <w:bottom w:val="single" w:sz="4" w:space="0" w:color="000000" w:themeColor="text1"/>
            </w:tcBorders>
            <w:noWrap/>
            <w:hideMark/>
          </w:tcPr>
          <w:p w14:paraId="3A460278" w14:textId="77777777" w:rsidR="006E51BF" w:rsidRPr="00EF1B8C" w:rsidRDefault="006E51BF">
            <w:pPr>
              <w:pStyle w:val="ARfintabletextbold"/>
              <w:rPr>
                <w:lang w:eastAsia="en-AU"/>
              </w:rPr>
            </w:pPr>
            <w:r w:rsidRPr="00EF1B8C">
              <w:rPr>
                <w:lang w:eastAsia="en-AU"/>
              </w:rPr>
              <w:t>Total buildings at fair value</w:t>
            </w:r>
          </w:p>
        </w:tc>
        <w:tc>
          <w:tcPr>
            <w:cnfStyle w:val="000001000000" w:firstRow="0" w:lastRow="0" w:firstColumn="0" w:lastColumn="0" w:oddVBand="0" w:evenVBand="1" w:oddHBand="0" w:evenHBand="0" w:firstRowFirstColumn="0" w:firstRowLastColumn="0" w:lastRowFirstColumn="0" w:lastRowLastColumn="0"/>
            <w:tcW w:w="735" w:type="pct"/>
            <w:tcBorders>
              <w:top w:val="single" w:sz="4" w:space="0" w:color="000000" w:themeColor="text1"/>
              <w:bottom w:val="single" w:sz="4" w:space="0" w:color="000000" w:themeColor="text1"/>
            </w:tcBorders>
            <w:noWrap/>
            <w:tcMar>
              <w:right w:w="0" w:type="nil"/>
            </w:tcMar>
            <w:hideMark/>
          </w:tcPr>
          <w:p w14:paraId="2AD98AF0" w14:textId="77777777" w:rsidR="006E51BF" w:rsidRPr="00EF1B8C" w:rsidRDefault="006E51BF">
            <w:pPr>
              <w:pStyle w:val="ARfintabletextboldright"/>
              <w:rPr>
                <w:lang w:eastAsia="en-AU"/>
              </w:rPr>
            </w:pPr>
            <w:r w:rsidRPr="00EF1B8C">
              <w:rPr>
                <w:lang w:eastAsia="en-AU"/>
              </w:rPr>
              <w:t>13,038.4</w:t>
            </w:r>
          </w:p>
        </w:tc>
        <w:tc>
          <w:tcPr>
            <w:tcW w:w="613" w:type="pct"/>
            <w:tcBorders>
              <w:top w:val="single" w:sz="4" w:space="0" w:color="000000" w:themeColor="text1"/>
              <w:bottom w:val="single" w:sz="4" w:space="0" w:color="000000" w:themeColor="text1"/>
            </w:tcBorders>
            <w:noWrap/>
            <w:tcMar>
              <w:right w:w="0" w:type="nil"/>
            </w:tcMar>
            <w:hideMark/>
          </w:tcPr>
          <w:p w14:paraId="76B3EEC1" w14:textId="77777777" w:rsidR="006E51BF" w:rsidRPr="00EF1B8C"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13" w:type="pct"/>
            <w:tcBorders>
              <w:top w:val="single" w:sz="4" w:space="0" w:color="000000" w:themeColor="text1"/>
              <w:bottom w:val="single" w:sz="4" w:space="0" w:color="000000" w:themeColor="text1"/>
            </w:tcBorders>
            <w:shd w:val="clear" w:color="auto" w:fill="auto"/>
            <w:noWrap/>
            <w:tcMar>
              <w:right w:w="0" w:type="nil"/>
            </w:tcMar>
            <w:hideMark/>
          </w:tcPr>
          <w:p w14:paraId="6FDB4C95" w14:textId="77777777" w:rsidR="006E51BF" w:rsidRPr="00EF1B8C" w:rsidRDefault="006E51BF">
            <w:pPr>
              <w:pStyle w:val="ARfintabletextboldright"/>
              <w:rPr>
                <w:lang w:eastAsia="en-AU"/>
              </w:rPr>
            </w:pPr>
            <w:r w:rsidRPr="00EF1B8C">
              <w:rPr>
                <w:lang w:eastAsia="en-AU"/>
              </w:rPr>
              <w:t>12,593.1</w:t>
            </w:r>
          </w:p>
        </w:tc>
        <w:tc>
          <w:tcPr>
            <w:tcW w:w="612" w:type="pct"/>
            <w:tcBorders>
              <w:top w:val="single" w:sz="4" w:space="0" w:color="000000" w:themeColor="text1"/>
              <w:bottom w:val="single" w:sz="4" w:space="0" w:color="000000" w:themeColor="text1"/>
            </w:tcBorders>
            <w:noWrap/>
            <w:tcMar>
              <w:right w:w="0" w:type="nil"/>
            </w:tcMar>
            <w:hideMark/>
          </w:tcPr>
          <w:p w14:paraId="4B15F4AD" w14:textId="77777777" w:rsidR="006E51BF" w:rsidRPr="00EF1B8C"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EF1B8C">
              <w:rPr>
                <w:lang w:eastAsia="en-AU"/>
              </w:rPr>
              <w:t>445.3</w:t>
            </w:r>
          </w:p>
        </w:tc>
      </w:tr>
      <w:tr w:rsidR="006E51BF" w:rsidRPr="00EF1B8C" w14:paraId="0F5B1D05"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427" w:type="pct"/>
            <w:tcBorders>
              <w:top w:val="single" w:sz="4" w:space="0" w:color="000000" w:themeColor="text1"/>
            </w:tcBorders>
            <w:noWrap/>
          </w:tcPr>
          <w:p w14:paraId="70DEDE23" w14:textId="63A83611" w:rsidR="006E51BF" w:rsidRPr="00EF1B8C" w:rsidRDefault="006E51BF">
            <w:pPr>
              <w:pStyle w:val="ARfintabletextboldcoloured"/>
              <w:rPr>
                <w:lang w:eastAsia="en-AU"/>
              </w:rPr>
            </w:pPr>
            <w:r w:rsidRPr="00EF1B8C">
              <w:rPr>
                <w:lang w:eastAsia="en-AU"/>
              </w:rPr>
              <w:t>Plant, equipment and vehicles at fair value</w:t>
            </w:r>
            <w:r w:rsidR="00F77100">
              <w:rPr>
                <w:lang w:eastAsia="en-AU"/>
              </w:rPr>
              <w:t xml:space="preserve"> </w:t>
            </w:r>
            <w:r w:rsidRPr="00EF1B8C">
              <w:rPr>
                <w:vertAlign w:val="superscript"/>
                <w:lang w:eastAsia="en-AU"/>
              </w:rPr>
              <w:t>(ii)</w:t>
            </w:r>
          </w:p>
        </w:tc>
        <w:tc>
          <w:tcPr>
            <w:cnfStyle w:val="000001000000" w:firstRow="0" w:lastRow="0" w:firstColumn="0" w:lastColumn="0" w:oddVBand="0" w:evenVBand="1" w:oddHBand="0" w:evenHBand="0" w:firstRowFirstColumn="0" w:firstRowLastColumn="0" w:lastRowFirstColumn="0" w:lastRowLastColumn="0"/>
            <w:tcW w:w="735" w:type="pct"/>
            <w:tcBorders>
              <w:top w:val="single" w:sz="4" w:space="0" w:color="000000" w:themeColor="text1"/>
            </w:tcBorders>
            <w:shd w:val="clear" w:color="auto" w:fill="auto"/>
            <w:noWrap/>
            <w:tcMar>
              <w:right w:w="0" w:type="nil"/>
            </w:tcMar>
          </w:tcPr>
          <w:p w14:paraId="30FCEAEA" w14:textId="77777777" w:rsidR="006E51BF" w:rsidRPr="00EF1B8C" w:rsidRDefault="006E51BF">
            <w:pPr>
              <w:pStyle w:val="ARfintabletextright"/>
              <w:rPr>
                <w:lang w:eastAsia="en-AU"/>
              </w:rPr>
            </w:pPr>
          </w:p>
        </w:tc>
        <w:tc>
          <w:tcPr>
            <w:tcW w:w="613" w:type="pct"/>
            <w:tcBorders>
              <w:top w:val="single" w:sz="4" w:space="0" w:color="000000" w:themeColor="text1"/>
            </w:tcBorders>
            <w:noWrap/>
            <w:tcMar>
              <w:right w:w="0" w:type="nil"/>
            </w:tcMar>
          </w:tcPr>
          <w:p w14:paraId="71CCD2C5" w14:textId="77777777" w:rsidR="006E51BF"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613" w:type="pct"/>
            <w:tcBorders>
              <w:top w:val="single" w:sz="4" w:space="0" w:color="000000" w:themeColor="text1"/>
            </w:tcBorders>
            <w:shd w:val="clear" w:color="auto" w:fill="auto"/>
            <w:noWrap/>
            <w:tcMar>
              <w:right w:w="0" w:type="nil"/>
            </w:tcMar>
          </w:tcPr>
          <w:p w14:paraId="59BEBF82" w14:textId="77777777" w:rsidR="006E51BF" w:rsidRPr="00EF1B8C" w:rsidRDefault="006E51BF">
            <w:pPr>
              <w:pStyle w:val="ARfintabletextright"/>
              <w:rPr>
                <w:lang w:eastAsia="en-AU"/>
              </w:rPr>
            </w:pPr>
          </w:p>
        </w:tc>
        <w:tc>
          <w:tcPr>
            <w:tcW w:w="612" w:type="pct"/>
            <w:tcBorders>
              <w:top w:val="single" w:sz="4" w:space="0" w:color="000000" w:themeColor="text1"/>
            </w:tcBorders>
            <w:noWrap/>
            <w:tcMar>
              <w:right w:w="0" w:type="nil"/>
            </w:tcMar>
          </w:tcPr>
          <w:p w14:paraId="05C5C675" w14:textId="77777777" w:rsidR="006E51BF"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EF1B8C" w14:paraId="643CF6C7"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427" w:type="pct"/>
            <w:noWrap/>
            <w:hideMark/>
          </w:tcPr>
          <w:p w14:paraId="35750A3B" w14:textId="77777777" w:rsidR="006E51BF" w:rsidRPr="00EF1B8C" w:rsidRDefault="006E51BF">
            <w:pPr>
              <w:pStyle w:val="ARfintabletext"/>
              <w:rPr>
                <w:lang w:eastAsia="en-AU"/>
              </w:rPr>
            </w:pPr>
            <w:r w:rsidRPr="00EF1B8C">
              <w:rPr>
                <w:lang w:eastAsia="en-AU"/>
              </w:rPr>
              <w:t>Plant and equipment</w:t>
            </w:r>
          </w:p>
        </w:tc>
        <w:tc>
          <w:tcPr>
            <w:cnfStyle w:val="000001000000" w:firstRow="0" w:lastRow="0" w:firstColumn="0" w:lastColumn="0" w:oddVBand="0" w:evenVBand="1" w:oddHBand="0" w:evenHBand="0" w:firstRowFirstColumn="0" w:firstRowLastColumn="0" w:lastRowFirstColumn="0" w:lastRowLastColumn="0"/>
            <w:tcW w:w="735" w:type="pct"/>
            <w:noWrap/>
            <w:tcMar>
              <w:right w:w="0" w:type="nil"/>
            </w:tcMar>
            <w:hideMark/>
          </w:tcPr>
          <w:p w14:paraId="661642DC" w14:textId="77777777" w:rsidR="006E51BF" w:rsidRPr="00EF1B8C" w:rsidRDefault="006E51BF">
            <w:pPr>
              <w:pStyle w:val="ARfintabletextright"/>
              <w:rPr>
                <w:lang w:eastAsia="en-AU"/>
              </w:rPr>
            </w:pPr>
            <w:r w:rsidRPr="00EF1B8C">
              <w:rPr>
                <w:lang w:eastAsia="en-AU"/>
              </w:rPr>
              <w:t>9.2</w:t>
            </w:r>
          </w:p>
        </w:tc>
        <w:tc>
          <w:tcPr>
            <w:tcW w:w="613" w:type="pct"/>
            <w:noWrap/>
            <w:tcMar>
              <w:right w:w="0" w:type="nil"/>
            </w:tcMar>
            <w:hideMark/>
          </w:tcPr>
          <w:p w14:paraId="7F0FF26C" w14:textId="77777777" w:rsidR="006E51BF" w:rsidRPr="00EF1B8C"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13" w:type="pct"/>
            <w:shd w:val="clear" w:color="auto" w:fill="auto"/>
            <w:noWrap/>
            <w:tcMar>
              <w:right w:w="0" w:type="nil"/>
            </w:tcMar>
            <w:hideMark/>
          </w:tcPr>
          <w:p w14:paraId="21D406C8" w14:textId="77777777" w:rsidR="006E51BF" w:rsidRPr="00EF1B8C" w:rsidRDefault="006E51BF">
            <w:pPr>
              <w:pStyle w:val="ARfintabletextright"/>
              <w:rPr>
                <w:lang w:eastAsia="en-AU"/>
              </w:rPr>
            </w:pPr>
            <w:r w:rsidRPr="00EF1B8C">
              <w:rPr>
                <w:lang w:eastAsia="en-AU"/>
              </w:rPr>
              <w:t>9.2</w:t>
            </w:r>
          </w:p>
        </w:tc>
        <w:tc>
          <w:tcPr>
            <w:tcW w:w="612" w:type="pct"/>
            <w:noWrap/>
            <w:tcMar>
              <w:right w:w="0" w:type="nil"/>
            </w:tcMar>
            <w:hideMark/>
          </w:tcPr>
          <w:p w14:paraId="5E14EFB6" w14:textId="77777777" w:rsidR="006E51BF" w:rsidRPr="00EF1B8C"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r>
      <w:tr w:rsidR="006E51BF" w:rsidRPr="00EF1B8C" w14:paraId="75991A0C"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2427" w:type="pct"/>
            <w:noWrap/>
            <w:hideMark/>
          </w:tcPr>
          <w:p w14:paraId="11D40C15" w14:textId="77777777" w:rsidR="006E51BF" w:rsidRPr="00EF1B8C" w:rsidRDefault="006E51BF">
            <w:pPr>
              <w:pStyle w:val="ARfintabletextbold"/>
              <w:rPr>
                <w:lang w:eastAsia="en-AU"/>
              </w:rPr>
            </w:pPr>
            <w:r w:rsidRPr="00EF1B8C">
              <w:rPr>
                <w:lang w:eastAsia="en-AU"/>
              </w:rPr>
              <w:t>Total plant, equipment and vehicles at fair value</w:t>
            </w:r>
          </w:p>
        </w:tc>
        <w:tc>
          <w:tcPr>
            <w:cnfStyle w:val="000001000000" w:firstRow="0" w:lastRow="0" w:firstColumn="0" w:lastColumn="0" w:oddVBand="0" w:evenVBand="1" w:oddHBand="0" w:evenHBand="0" w:firstRowFirstColumn="0" w:firstRowLastColumn="0" w:lastRowFirstColumn="0" w:lastRowLastColumn="0"/>
            <w:tcW w:w="735" w:type="pct"/>
            <w:noWrap/>
            <w:tcMar>
              <w:right w:w="0" w:type="nil"/>
            </w:tcMar>
            <w:hideMark/>
          </w:tcPr>
          <w:p w14:paraId="0EE048AA" w14:textId="77777777" w:rsidR="006E51BF" w:rsidRPr="00EF1B8C" w:rsidRDefault="006E51BF">
            <w:pPr>
              <w:pStyle w:val="ARfintabletextboldright"/>
              <w:rPr>
                <w:lang w:eastAsia="en-AU"/>
              </w:rPr>
            </w:pPr>
            <w:r w:rsidRPr="00EF1B8C">
              <w:rPr>
                <w:lang w:eastAsia="en-AU"/>
              </w:rPr>
              <w:t>9.2</w:t>
            </w:r>
          </w:p>
        </w:tc>
        <w:tc>
          <w:tcPr>
            <w:tcW w:w="613" w:type="pct"/>
            <w:noWrap/>
            <w:tcMar>
              <w:right w:w="0" w:type="nil"/>
            </w:tcMar>
            <w:hideMark/>
          </w:tcPr>
          <w:p w14:paraId="4D505CBA" w14:textId="77777777" w:rsidR="006E51BF" w:rsidRPr="00EF1B8C"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13" w:type="pct"/>
            <w:shd w:val="clear" w:color="auto" w:fill="auto"/>
            <w:noWrap/>
            <w:tcMar>
              <w:right w:w="0" w:type="nil"/>
            </w:tcMar>
            <w:hideMark/>
          </w:tcPr>
          <w:p w14:paraId="1F02238A" w14:textId="77777777" w:rsidR="006E51BF" w:rsidRPr="00EF1B8C" w:rsidRDefault="006E51BF">
            <w:pPr>
              <w:pStyle w:val="ARfintabletextboldright"/>
              <w:rPr>
                <w:lang w:eastAsia="en-AU"/>
              </w:rPr>
            </w:pPr>
            <w:r w:rsidRPr="00EF1B8C">
              <w:rPr>
                <w:lang w:eastAsia="en-AU"/>
              </w:rPr>
              <w:t>9.2</w:t>
            </w:r>
          </w:p>
        </w:tc>
        <w:tc>
          <w:tcPr>
            <w:tcW w:w="612" w:type="pct"/>
            <w:noWrap/>
            <w:tcMar>
              <w:right w:w="0" w:type="nil"/>
            </w:tcMar>
            <w:hideMark/>
          </w:tcPr>
          <w:p w14:paraId="301A220D" w14:textId="77777777" w:rsidR="006E51BF" w:rsidRPr="00EF1B8C"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Pr>
                <w:lang w:eastAsia="en-AU"/>
              </w:rPr>
              <w:t>–</w:t>
            </w:r>
          </w:p>
        </w:tc>
      </w:tr>
    </w:tbl>
    <w:p w14:paraId="0D892996" w14:textId="77777777" w:rsidR="006E51BF" w:rsidRDefault="006E51BF">
      <w:pPr>
        <w:pStyle w:val="ARfinbody"/>
      </w:pPr>
    </w:p>
    <w:tbl>
      <w:tblPr>
        <w:tblStyle w:val="ARtable1"/>
        <w:tblW w:w="5000" w:type="pct"/>
        <w:tblLayout w:type="fixed"/>
        <w:tblLook w:val="00E0" w:firstRow="1" w:lastRow="1" w:firstColumn="1" w:lastColumn="0" w:noHBand="0" w:noVBand="0"/>
      </w:tblPr>
      <w:tblGrid>
        <w:gridCol w:w="4674"/>
        <w:gridCol w:w="1416"/>
        <w:gridCol w:w="1180"/>
        <w:gridCol w:w="1180"/>
        <w:gridCol w:w="1178"/>
      </w:tblGrid>
      <w:tr w:rsidR="006E51BF" w:rsidRPr="00EF1B8C" w14:paraId="4AC2588E" w14:textId="77777777" w:rsidTr="00304BA9">
        <w:trPr>
          <w:cnfStyle w:val="100000000000" w:firstRow="1" w:lastRow="0" w:firstColumn="0" w:lastColumn="0" w:oddVBand="0" w:evenVBand="0" w:oddHBand="0" w:evenHBand="0" w:firstRowFirstColumn="0" w:firstRowLastColumn="0" w:lastRowFirstColumn="0" w:lastRowLastColumn="0"/>
          <w:trHeight w:val="20"/>
          <w:tblHeader/>
        </w:trPr>
        <w:tc>
          <w:tcPr>
            <w:tcW w:w="2427" w:type="pct"/>
            <w:noWrap/>
          </w:tcPr>
          <w:p w14:paraId="1C0449E3" w14:textId="77777777" w:rsidR="006E51BF" w:rsidRPr="00EF1B8C" w:rsidRDefault="006E51BF">
            <w:pPr>
              <w:pStyle w:val="ARfintablecolhead"/>
              <w:rPr>
                <w:lang w:eastAsia="en-AU"/>
              </w:rPr>
            </w:pPr>
            <w:r w:rsidRPr="00EF1B8C">
              <w:rPr>
                <w:lang w:eastAsia="en-AU"/>
              </w:rPr>
              <w:t>2025</w:t>
            </w:r>
          </w:p>
        </w:tc>
        <w:tc>
          <w:tcPr>
            <w:cnfStyle w:val="000001000000" w:firstRow="0" w:lastRow="0" w:firstColumn="0" w:lastColumn="0" w:oddVBand="0" w:evenVBand="1" w:oddHBand="0" w:evenHBand="0" w:firstRowFirstColumn="0" w:firstRowLastColumn="0" w:lastRowFirstColumn="0" w:lastRowLastColumn="0"/>
            <w:tcW w:w="735" w:type="pct"/>
            <w:noWrap/>
            <w:tcMar>
              <w:right w:w="0" w:type="nil"/>
            </w:tcMar>
          </w:tcPr>
          <w:p w14:paraId="6B933BF7" w14:textId="77777777" w:rsidR="006E51BF" w:rsidRPr="00EF1B8C" w:rsidRDefault="006E51BF">
            <w:pPr>
              <w:pStyle w:val="ARfintablecolheadright"/>
              <w:rPr>
                <w:lang w:eastAsia="en-AU"/>
              </w:rPr>
            </w:pPr>
            <w:r w:rsidRPr="00EF1B8C">
              <w:rPr>
                <w:lang w:eastAsia="en-AU"/>
              </w:rPr>
              <w:t>Carrying amount</w:t>
            </w:r>
          </w:p>
          <w:p w14:paraId="0A705CE8" w14:textId="77777777" w:rsidR="006E51BF" w:rsidRPr="00EF1B8C" w:rsidRDefault="006E51BF">
            <w:pPr>
              <w:pStyle w:val="ARfintablecolheadright"/>
              <w:rPr>
                <w:lang w:eastAsia="en-AU"/>
              </w:rPr>
            </w:pPr>
            <w:r w:rsidRPr="00EF1B8C">
              <w:rPr>
                <w:lang w:eastAsia="en-AU"/>
              </w:rPr>
              <w:t>$M</w:t>
            </w:r>
          </w:p>
        </w:tc>
        <w:tc>
          <w:tcPr>
            <w:tcW w:w="613" w:type="pct"/>
            <w:tcBorders>
              <w:top w:val="single" w:sz="4" w:space="0" w:color="000000" w:themeColor="text1"/>
            </w:tcBorders>
            <w:noWrap/>
            <w:tcMar>
              <w:right w:w="0" w:type="nil"/>
            </w:tcMar>
          </w:tcPr>
          <w:p w14:paraId="74301F8A" w14:textId="7B9459A6" w:rsidR="003C4E55" w:rsidRDefault="003C4E55">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F1B8C">
              <w:rPr>
                <w:lang w:eastAsia="en-AU"/>
              </w:rPr>
              <w:t>Fair value measure</w:t>
            </w:r>
            <w:r>
              <w:rPr>
                <w:lang w:eastAsia="en-AU"/>
              </w:rPr>
              <w:t>-</w:t>
            </w:r>
            <w:proofErr w:type="spellStart"/>
            <w:r w:rsidRPr="00EF1B8C">
              <w:rPr>
                <w:lang w:eastAsia="en-AU"/>
              </w:rPr>
              <w:t>ment</w:t>
            </w:r>
            <w:proofErr w:type="spellEnd"/>
            <w:r w:rsidRPr="00EF1B8C">
              <w:rPr>
                <w:lang w:eastAsia="en-AU"/>
              </w:rPr>
              <w:t xml:space="preserve"> at end of reporting period using:</w:t>
            </w:r>
          </w:p>
          <w:p w14:paraId="13A8F299" w14:textId="5CB3AE3C" w:rsidR="006E51BF" w:rsidRPr="00EF1B8C"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F1B8C">
              <w:rPr>
                <w:lang w:eastAsia="en-AU"/>
              </w:rPr>
              <w:t xml:space="preserve">Level 1 </w:t>
            </w:r>
            <w:r w:rsidRPr="00EF1B8C">
              <w:rPr>
                <w:vertAlign w:val="superscript"/>
                <w:lang w:eastAsia="en-AU"/>
              </w:rPr>
              <w:t>(</w:t>
            </w:r>
            <w:proofErr w:type="spellStart"/>
            <w:r w:rsidRPr="00EF1B8C">
              <w:rPr>
                <w:vertAlign w:val="superscript"/>
                <w:lang w:eastAsia="en-AU"/>
              </w:rPr>
              <w:t>i</w:t>
            </w:r>
            <w:proofErr w:type="spellEnd"/>
            <w:r w:rsidRPr="00EF1B8C">
              <w:rPr>
                <w:vertAlign w:val="superscript"/>
                <w:lang w:eastAsia="en-AU"/>
              </w:rPr>
              <w:t>)</w:t>
            </w:r>
          </w:p>
          <w:p w14:paraId="536F818B" w14:textId="77777777" w:rsidR="006E51BF" w:rsidRPr="00EF1B8C"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F1B8C">
              <w:rPr>
                <w:lang w:eastAsia="en-AU"/>
              </w:rPr>
              <w:t>$M</w:t>
            </w:r>
          </w:p>
        </w:tc>
        <w:tc>
          <w:tcPr>
            <w:cnfStyle w:val="000001000000" w:firstRow="0" w:lastRow="0" w:firstColumn="0" w:lastColumn="0" w:oddVBand="0" w:evenVBand="1" w:oddHBand="0" w:evenHBand="0" w:firstRowFirstColumn="0" w:firstRowLastColumn="0" w:lastRowFirstColumn="0" w:lastRowLastColumn="0"/>
            <w:tcW w:w="613" w:type="pct"/>
            <w:tcBorders>
              <w:top w:val="single" w:sz="4" w:space="0" w:color="000000" w:themeColor="text1"/>
            </w:tcBorders>
            <w:shd w:val="clear" w:color="auto" w:fill="auto"/>
            <w:noWrap/>
            <w:tcMar>
              <w:right w:w="0" w:type="nil"/>
            </w:tcMar>
          </w:tcPr>
          <w:p w14:paraId="58FA74CC" w14:textId="0EB392ED" w:rsidR="003C4E55" w:rsidRDefault="003C4E55">
            <w:pPr>
              <w:pStyle w:val="ARfintablecolheadright"/>
              <w:rPr>
                <w:lang w:eastAsia="en-AU"/>
              </w:rPr>
            </w:pPr>
            <w:r w:rsidRPr="00EF1B8C">
              <w:rPr>
                <w:lang w:eastAsia="en-AU"/>
              </w:rPr>
              <w:t>Fair value measure</w:t>
            </w:r>
            <w:r w:rsidR="00B24A67">
              <w:rPr>
                <w:lang w:eastAsia="en-AU"/>
              </w:rPr>
              <w:t>-</w:t>
            </w:r>
            <w:proofErr w:type="spellStart"/>
            <w:r w:rsidRPr="00EF1B8C">
              <w:rPr>
                <w:lang w:eastAsia="en-AU"/>
              </w:rPr>
              <w:t>ment</w:t>
            </w:r>
            <w:proofErr w:type="spellEnd"/>
            <w:r w:rsidRPr="00EF1B8C">
              <w:rPr>
                <w:lang w:eastAsia="en-AU"/>
              </w:rPr>
              <w:t xml:space="preserve"> at end of reporting period using:</w:t>
            </w:r>
          </w:p>
          <w:p w14:paraId="77C9808B" w14:textId="7536F8FA" w:rsidR="006E51BF" w:rsidRPr="00EF1B8C" w:rsidRDefault="006E51BF">
            <w:pPr>
              <w:pStyle w:val="ARfintablecolheadright"/>
              <w:rPr>
                <w:lang w:eastAsia="en-AU"/>
              </w:rPr>
            </w:pPr>
            <w:r w:rsidRPr="00EF1B8C">
              <w:rPr>
                <w:lang w:eastAsia="en-AU"/>
              </w:rPr>
              <w:t xml:space="preserve">Level 2 </w:t>
            </w:r>
            <w:r w:rsidRPr="00EF1B8C">
              <w:rPr>
                <w:vertAlign w:val="superscript"/>
                <w:lang w:eastAsia="en-AU"/>
              </w:rPr>
              <w:t>(</w:t>
            </w:r>
            <w:proofErr w:type="spellStart"/>
            <w:r w:rsidRPr="00EF1B8C">
              <w:rPr>
                <w:vertAlign w:val="superscript"/>
                <w:lang w:eastAsia="en-AU"/>
              </w:rPr>
              <w:t>i</w:t>
            </w:r>
            <w:proofErr w:type="spellEnd"/>
            <w:r w:rsidRPr="00EF1B8C">
              <w:rPr>
                <w:vertAlign w:val="superscript"/>
                <w:lang w:eastAsia="en-AU"/>
              </w:rPr>
              <w:t>)(ii)</w:t>
            </w:r>
          </w:p>
          <w:p w14:paraId="0855468A" w14:textId="77777777" w:rsidR="006E51BF" w:rsidRPr="00EF1B8C" w:rsidRDefault="006E51BF">
            <w:pPr>
              <w:pStyle w:val="ARfintablecolheadright"/>
              <w:rPr>
                <w:lang w:eastAsia="en-AU"/>
              </w:rPr>
            </w:pPr>
            <w:r w:rsidRPr="00EF1B8C">
              <w:rPr>
                <w:lang w:eastAsia="en-AU"/>
              </w:rPr>
              <w:t>$M</w:t>
            </w:r>
          </w:p>
        </w:tc>
        <w:tc>
          <w:tcPr>
            <w:tcW w:w="613" w:type="pct"/>
            <w:tcBorders>
              <w:top w:val="single" w:sz="4" w:space="0" w:color="000000" w:themeColor="text1"/>
            </w:tcBorders>
            <w:noWrap/>
            <w:tcMar>
              <w:right w:w="0" w:type="nil"/>
            </w:tcMar>
          </w:tcPr>
          <w:p w14:paraId="3D5E60B9" w14:textId="33360C6F" w:rsidR="003C4E55" w:rsidRDefault="00B24A67">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F1B8C">
              <w:rPr>
                <w:lang w:eastAsia="en-AU"/>
              </w:rPr>
              <w:t>Fair value measure</w:t>
            </w:r>
            <w:r>
              <w:rPr>
                <w:lang w:eastAsia="en-AU"/>
              </w:rPr>
              <w:t>-</w:t>
            </w:r>
            <w:proofErr w:type="spellStart"/>
            <w:r w:rsidRPr="00EF1B8C">
              <w:rPr>
                <w:lang w:eastAsia="en-AU"/>
              </w:rPr>
              <w:t>ment</w:t>
            </w:r>
            <w:proofErr w:type="spellEnd"/>
            <w:r w:rsidRPr="00EF1B8C">
              <w:rPr>
                <w:lang w:eastAsia="en-AU"/>
              </w:rPr>
              <w:t xml:space="preserve"> at end of reporting period using:</w:t>
            </w:r>
          </w:p>
          <w:p w14:paraId="4A7FE14B" w14:textId="1B5F9831" w:rsidR="006E51BF" w:rsidRPr="00EF1B8C"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F1B8C">
              <w:rPr>
                <w:lang w:eastAsia="en-AU"/>
              </w:rPr>
              <w:t xml:space="preserve">Level 3 </w:t>
            </w:r>
            <w:r w:rsidRPr="00EF1B8C">
              <w:rPr>
                <w:vertAlign w:val="superscript"/>
                <w:lang w:eastAsia="en-AU"/>
              </w:rPr>
              <w:t>(</w:t>
            </w:r>
            <w:proofErr w:type="spellStart"/>
            <w:r w:rsidRPr="00EF1B8C">
              <w:rPr>
                <w:vertAlign w:val="superscript"/>
                <w:lang w:eastAsia="en-AU"/>
              </w:rPr>
              <w:t>i</w:t>
            </w:r>
            <w:proofErr w:type="spellEnd"/>
            <w:r w:rsidRPr="00EF1B8C">
              <w:rPr>
                <w:vertAlign w:val="superscript"/>
                <w:lang w:eastAsia="en-AU"/>
              </w:rPr>
              <w:t>)</w:t>
            </w:r>
          </w:p>
          <w:p w14:paraId="26F2C6D3" w14:textId="77777777" w:rsidR="006E51BF" w:rsidRPr="00EF1B8C"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EF1B8C">
              <w:rPr>
                <w:lang w:eastAsia="en-AU"/>
              </w:rPr>
              <w:t>$M</w:t>
            </w:r>
          </w:p>
        </w:tc>
      </w:tr>
      <w:tr w:rsidR="006E51BF" w:rsidRPr="00EF1B8C" w14:paraId="2677CDD3"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427" w:type="pct"/>
            <w:noWrap/>
            <w:hideMark/>
          </w:tcPr>
          <w:p w14:paraId="1CCC1981" w14:textId="77777777" w:rsidR="006E51BF" w:rsidRPr="00EF1B8C" w:rsidRDefault="006E51BF">
            <w:pPr>
              <w:pStyle w:val="ARfintabletextboldcoloured"/>
              <w:rPr>
                <w:lang w:eastAsia="en-AU"/>
              </w:rPr>
            </w:pPr>
            <w:r w:rsidRPr="00EF1B8C">
              <w:rPr>
                <w:lang w:eastAsia="en-AU"/>
              </w:rPr>
              <w:t>Land at fair value</w:t>
            </w:r>
          </w:p>
        </w:tc>
        <w:tc>
          <w:tcPr>
            <w:cnfStyle w:val="000001000000" w:firstRow="0" w:lastRow="0" w:firstColumn="0" w:lastColumn="0" w:oddVBand="0" w:evenVBand="1" w:oddHBand="0" w:evenHBand="0" w:firstRowFirstColumn="0" w:firstRowLastColumn="0" w:lastRowFirstColumn="0" w:lastRowLastColumn="0"/>
            <w:tcW w:w="735" w:type="pct"/>
            <w:shd w:val="clear" w:color="auto" w:fill="auto"/>
            <w:noWrap/>
            <w:tcMar>
              <w:right w:w="0" w:type="nil"/>
            </w:tcMar>
            <w:hideMark/>
          </w:tcPr>
          <w:p w14:paraId="5CFB1C24" w14:textId="77777777" w:rsidR="006E51BF" w:rsidRPr="00EF1B8C" w:rsidRDefault="006E51BF">
            <w:pPr>
              <w:pStyle w:val="ARfintabletextright"/>
              <w:rPr>
                <w:lang w:eastAsia="en-AU"/>
              </w:rPr>
            </w:pPr>
          </w:p>
        </w:tc>
        <w:tc>
          <w:tcPr>
            <w:tcW w:w="613" w:type="pct"/>
            <w:noWrap/>
            <w:tcMar>
              <w:right w:w="0" w:type="nil"/>
            </w:tcMar>
            <w:hideMark/>
          </w:tcPr>
          <w:p w14:paraId="28736659" w14:textId="77777777" w:rsidR="006E51BF" w:rsidRPr="00EF1B8C"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613" w:type="pct"/>
            <w:shd w:val="clear" w:color="auto" w:fill="auto"/>
            <w:noWrap/>
            <w:tcMar>
              <w:right w:w="0" w:type="nil"/>
            </w:tcMar>
            <w:hideMark/>
          </w:tcPr>
          <w:p w14:paraId="6E2A32EE" w14:textId="77777777" w:rsidR="006E51BF" w:rsidRPr="00EF1B8C" w:rsidRDefault="006E51BF">
            <w:pPr>
              <w:pStyle w:val="ARfintabletextright"/>
              <w:rPr>
                <w:lang w:eastAsia="en-AU"/>
              </w:rPr>
            </w:pPr>
          </w:p>
        </w:tc>
        <w:tc>
          <w:tcPr>
            <w:tcW w:w="613" w:type="pct"/>
            <w:noWrap/>
            <w:tcMar>
              <w:right w:w="0" w:type="nil"/>
            </w:tcMar>
            <w:hideMark/>
          </w:tcPr>
          <w:p w14:paraId="63F0C30E" w14:textId="77777777" w:rsidR="006E51BF" w:rsidRPr="00EF1B8C"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EF1B8C" w14:paraId="05EE5893"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427" w:type="pct"/>
            <w:tcBorders>
              <w:bottom w:val="single" w:sz="4" w:space="0" w:color="BFBFBF" w:themeColor="accent2"/>
            </w:tcBorders>
            <w:noWrap/>
            <w:hideMark/>
          </w:tcPr>
          <w:p w14:paraId="5D1FD40B" w14:textId="77777777" w:rsidR="006E51BF" w:rsidRPr="00EF1B8C" w:rsidRDefault="006E51BF">
            <w:pPr>
              <w:pStyle w:val="ARfintabletext"/>
              <w:rPr>
                <w:lang w:eastAsia="en-AU"/>
              </w:rPr>
            </w:pPr>
            <w:r w:rsidRPr="00EF1B8C">
              <w:rPr>
                <w:lang w:eastAsia="en-AU"/>
              </w:rPr>
              <w:t>Non-specialised land</w:t>
            </w:r>
          </w:p>
        </w:tc>
        <w:tc>
          <w:tcPr>
            <w:cnfStyle w:val="000001000000" w:firstRow="0" w:lastRow="0" w:firstColumn="0" w:lastColumn="0" w:oddVBand="0" w:evenVBand="1" w:oddHBand="0" w:evenHBand="0" w:firstRowFirstColumn="0" w:firstRowLastColumn="0" w:lastRowFirstColumn="0" w:lastRowLastColumn="0"/>
            <w:tcW w:w="735" w:type="pct"/>
            <w:tcBorders>
              <w:bottom w:val="single" w:sz="4" w:space="0" w:color="BFBFBF" w:themeColor="accent2"/>
            </w:tcBorders>
            <w:noWrap/>
            <w:tcMar>
              <w:right w:w="0" w:type="nil"/>
            </w:tcMar>
            <w:hideMark/>
          </w:tcPr>
          <w:p w14:paraId="29169346" w14:textId="77777777" w:rsidR="006E51BF" w:rsidRPr="00EF1B8C" w:rsidRDefault="006E51BF">
            <w:pPr>
              <w:pStyle w:val="ARfintabletextright"/>
              <w:rPr>
                <w:lang w:eastAsia="en-AU"/>
              </w:rPr>
            </w:pPr>
            <w:r w:rsidRPr="00EF1B8C">
              <w:rPr>
                <w:lang w:eastAsia="en-AU"/>
              </w:rPr>
              <w:t>24,068.5</w:t>
            </w:r>
          </w:p>
        </w:tc>
        <w:tc>
          <w:tcPr>
            <w:tcW w:w="613" w:type="pct"/>
            <w:tcBorders>
              <w:bottom w:val="single" w:sz="4" w:space="0" w:color="BFBFBF" w:themeColor="accent2"/>
            </w:tcBorders>
            <w:noWrap/>
            <w:tcMar>
              <w:right w:w="0" w:type="nil"/>
            </w:tcMar>
            <w:hideMark/>
          </w:tcPr>
          <w:p w14:paraId="621C9FC5" w14:textId="77777777" w:rsidR="006E51BF" w:rsidRPr="00EF1B8C"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13" w:type="pct"/>
            <w:tcBorders>
              <w:bottom w:val="single" w:sz="4" w:space="0" w:color="BFBFBF" w:themeColor="accent2"/>
            </w:tcBorders>
            <w:shd w:val="clear" w:color="auto" w:fill="auto"/>
            <w:noWrap/>
            <w:tcMar>
              <w:right w:w="0" w:type="nil"/>
            </w:tcMar>
            <w:hideMark/>
          </w:tcPr>
          <w:p w14:paraId="7F2A435F" w14:textId="77777777" w:rsidR="006E51BF" w:rsidRPr="00EF1B8C" w:rsidRDefault="006E51BF">
            <w:pPr>
              <w:pStyle w:val="ARfintabletextright"/>
              <w:rPr>
                <w:lang w:eastAsia="en-AU"/>
              </w:rPr>
            </w:pPr>
            <w:r w:rsidRPr="00EF1B8C">
              <w:rPr>
                <w:lang w:eastAsia="en-AU"/>
              </w:rPr>
              <w:t>24,068.5</w:t>
            </w:r>
          </w:p>
        </w:tc>
        <w:tc>
          <w:tcPr>
            <w:tcW w:w="613" w:type="pct"/>
            <w:tcBorders>
              <w:bottom w:val="single" w:sz="4" w:space="0" w:color="BFBFBF" w:themeColor="accent2"/>
            </w:tcBorders>
            <w:noWrap/>
            <w:tcMar>
              <w:right w:w="0" w:type="nil"/>
            </w:tcMar>
            <w:hideMark/>
          </w:tcPr>
          <w:p w14:paraId="1367888E" w14:textId="77777777" w:rsidR="006E51BF" w:rsidRPr="00EF1B8C"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r>
      <w:tr w:rsidR="006E51BF" w:rsidRPr="00EF1B8C" w14:paraId="588E9F2F"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427" w:type="pct"/>
            <w:tcBorders>
              <w:top w:val="single" w:sz="4" w:space="0" w:color="BFBFBF" w:themeColor="accent2"/>
              <w:bottom w:val="single" w:sz="4" w:space="0" w:color="000000" w:themeColor="text1"/>
            </w:tcBorders>
            <w:noWrap/>
            <w:hideMark/>
          </w:tcPr>
          <w:p w14:paraId="23C8C098" w14:textId="77777777" w:rsidR="006E51BF" w:rsidRPr="00EF1B8C" w:rsidRDefault="006E51BF">
            <w:pPr>
              <w:pStyle w:val="ARfintabletext"/>
              <w:rPr>
                <w:lang w:eastAsia="en-AU"/>
              </w:rPr>
            </w:pPr>
            <w:r w:rsidRPr="00EF1B8C">
              <w:rPr>
                <w:lang w:eastAsia="en-AU"/>
              </w:rPr>
              <w:t>Specialised land</w:t>
            </w:r>
          </w:p>
        </w:tc>
        <w:tc>
          <w:tcPr>
            <w:cnfStyle w:val="000001000000" w:firstRow="0" w:lastRow="0" w:firstColumn="0" w:lastColumn="0" w:oddVBand="0" w:evenVBand="1" w:oddHBand="0" w:evenHBand="0" w:firstRowFirstColumn="0" w:firstRowLastColumn="0" w:lastRowFirstColumn="0" w:lastRowLastColumn="0"/>
            <w:tcW w:w="735" w:type="pct"/>
            <w:tcBorders>
              <w:top w:val="single" w:sz="4" w:space="0" w:color="BFBFBF" w:themeColor="accent2"/>
              <w:bottom w:val="single" w:sz="4" w:space="0" w:color="000000" w:themeColor="text1"/>
            </w:tcBorders>
            <w:noWrap/>
            <w:tcMar>
              <w:right w:w="0" w:type="nil"/>
            </w:tcMar>
            <w:hideMark/>
          </w:tcPr>
          <w:p w14:paraId="67913BBE" w14:textId="77777777" w:rsidR="006E51BF" w:rsidRPr="00EF1B8C" w:rsidRDefault="006E51BF">
            <w:pPr>
              <w:pStyle w:val="ARfintabletextright"/>
              <w:rPr>
                <w:lang w:eastAsia="en-AU"/>
              </w:rPr>
            </w:pPr>
            <w:r w:rsidRPr="00EF1B8C">
              <w:rPr>
                <w:lang w:eastAsia="en-AU"/>
              </w:rPr>
              <w:t>164.1</w:t>
            </w:r>
          </w:p>
        </w:tc>
        <w:tc>
          <w:tcPr>
            <w:tcW w:w="613" w:type="pct"/>
            <w:tcBorders>
              <w:top w:val="single" w:sz="4" w:space="0" w:color="BFBFBF" w:themeColor="accent2"/>
              <w:bottom w:val="single" w:sz="4" w:space="0" w:color="000000" w:themeColor="text1"/>
            </w:tcBorders>
            <w:noWrap/>
            <w:tcMar>
              <w:right w:w="0" w:type="nil"/>
            </w:tcMar>
            <w:hideMark/>
          </w:tcPr>
          <w:p w14:paraId="49ADCE86" w14:textId="77777777" w:rsidR="006E51BF" w:rsidRPr="00EF1B8C"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13" w:type="pct"/>
            <w:tcBorders>
              <w:top w:val="single" w:sz="4" w:space="0" w:color="BFBFBF" w:themeColor="accent2"/>
              <w:bottom w:val="single" w:sz="4" w:space="0" w:color="000000" w:themeColor="text1"/>
            </w:tcBorders>
            <w:shd w:val="clear" w:color="auto" w:fill="auto"/>
            <w:noWrap/>
            <w:tcMar>
              <w:right w:w="0" w:type="nil"/>
            </w:tcMar>
            <w:hideMark/>
          </w:tcPr>
          <w:p w14:paraId="2BD8D71A" w14:textId="77777777" w:rsidR="006E51BF" w:rsidRPr="00EF1B8C" w:rsidRDefault="006E51BF">
            <w:pPr>
              <w:pStyle w:val="ARfintabletextright"/>
              <w:rPr>
                <w:lang w:eastAsia="en-AU"/>
              </w:rPr>
            </w:pPr>
            <w:r>
              <w:rPr>
                <w:lang w:eastAsia="en-AU"/>
              </w:rPr>
              <w:t>–</w:t>
            </w:r>
          </w:p>
        </w:tc>
        <w:tc>
          <w:tcPr>
            <w:tcW w:w="613" w:type="pct"/>
            <w:tcBorders>
              <w:top w:val="single" w:sz="4" w:space="0" w:color="BFBFBF" w:themeColor="accent2"/>
              <w:bottom w:val="single" w:sz="4" w:space="0" w:color="000000" w:themeColor="text1"/>
            </w:tcBorders>
            <w:noWrap/>
            <w:tcMar>
              <w:right w:w="0" w:type="nil"/>
            </w:tcMar>
            <w:hideMark/>
          </w:tcPr>
          <w:p w14:paraId="38C0D3EB" w14:textId="77777777" w:rsidR="006E51BF" w:rsidRPr="00EF1B8C"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EF1B8C">
              <w:rPr>
                <w:lang w:eastAsia="en-AU"/>
              </w:rPr>
              <w:t>164.1</w:t>
            </w:r>
          </w:p>
        </w:tc>
      </w:tr>
      <w:tr w:rsidR="006E51BF" w:rsidRPr="00EF1B8C" w14:paraId="71B68221"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427" w:type="pct"/>
            <w:tcBorders>
              <w:top w:val="single" w:sz="4" w:space="0" w:color="000000" w:themeColor="text1"/>
              <w:bottom w:val="single" w:sz="4" w:space="0" w:color="000000" w:themeColor="text1"/>
            </w:tcBorders>
            <w:noWrap/>
            <w:hideMark/>
          </w:tcPr>
          <w:p w14:paraId="727DAC7B" w14:textId="77777777" w:rsidR="006E51BF" w:rsidRPr="00EF1B8C" w:rsidRDefault="006E51BF">
            <w:pPr>
              <w:pStyle w:val="ARfintabletextbold"/>
              <w:rPr>
                <w:lang w:eastAsia="en-AU"/>
              </w:rPr>
            </w:pPr>
            <w:r w:rsidRPr="00EF1B8C">
              <w:rPr>
                <w:lang w:eastAsia="en-AU"/>
              </w:rPr>
              <w:t>Total land at fair value</w:t>
            </w:r>
          </w:p>
        </w:tc>
        <w:tc>
          <w:tcPr>
            <w:cnfStyle w:val="000001000000" w:firstRow="0" w:lastRow="0" w:firstColumn="0" w:lastColumn="0" w:oddVBand="0" w:evenVBand="1" w:oddHBand="0" w:evenHBand="0" w:firstRowFirstColumn="0" w:firstRowLastColumn="0" w:lastRowFirstColumn="0" w:lastRowLastColumn="0"/>
            <w:tcW w:w="735" w:type="pct"/>
            <w:tcBorders>
              <w:top w:val="single" w:sz="4" w:space="0" w:color="000000" w:themeColor="text1"/>
              <w:bottom w:val="single" w:sz="4" w:space="0" w:color="000000" w:themeColor="text1"/>
            </w:tcBorders>
            <w:noWrap/>
            <w:tcMar>
              <w:right w:w="0" w:type="nil"/>
            </w:tcMar>
            <w:hideMark/>
          </w:tcPr>
          <w:p w14:paraId="5A4EE5CA" w14:textId="77777777" w:rsidR="006E51BF" w:rsidRPr="00EF1B8C" w:rsidRDefault="006E51BF">
            <w:pPr>
              <w:pStyle w:val="ARfintabletextboldright"/>
              <w:rPr>
                <w:lang w:eastAsia="en-AU"/>
              </w:rPr>
            </w:pPr>
            <w:r w:rsidRPr="00EF1B8C">
              <w:rPr>
                <w:lang w:eastAsia="en-AU"/>
              </w:rPr>
              <w:t>24,232.5</w:t>
            </w:r>
          </w:p>
        </w:tc>
        <w:tc>
          <w:tcPr>
            <w:tcW w:w="613" w:type="pct"/>
            <w:tcBorders>
              <w:top w:val="single" w:sz="4" w:space="0" w:color="000000" w:themeColor="text1"/>
              <w:bottom w:val="single" w:sz="4" w:space="0" w:color="000000" w:themeColor="text1"/>
            </w:tcBorders>
            <w:noWrap/>
            <w:tcMar>
              <w:right w:w="0" w:type="nil"/>
            </w:tcMar>
            <w:hideMark/>
          </w:tcPr>
          <w:p w14:paraId="1FD26102" w14:textId="77777777" w:rsidR="006E51BF" w:rsidRPr="00EF1B8C"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13" w:type="pct"/>
            <w:tcBorders>
              <w:top w:val="single" w:sz="4" w:space="0" w:color="000000" w:themeColor="text1"/>
              <w:bottom w:val="single" w:sz="4" w:space="0" w:color="000000" w:themeColor="text1"/>
            </w:tcBorders>
            <w:shd w:val="clear" w:color="auto" w:fill="auto"/>
            <w:noWrap/>
            <w:tcMar>
              <w:right w:w="0" w:type="nil"/>
            </w:tcMar>
            <w:hideMark/>
          </w:tcPr>
          <w:p w14:paraId="64E04F68" w14:textId="77777777" w:rsidR="006E51BF" w:rsidRPr="00EF1B8C" w:rsidRDefault="006E51BF">
            <w:pPr>
              <w:pStyle w:val="ARfintabletextboldright"/>
              <w:rPr>
                <w:lang w:eastAsia="en-AU"/>
              </w:rPr>
            </w:pPr>
            <w:r w:rsidRPr="00EF1B8C">
              <w:rPr>
                <w:lang w:eastAsia="en-AU"/>
              </w:rPr>
              <w:t>24,068.5</w:t>
            </w:r>
          </w:p>
        </w:tc>
        <w:tc>
          <w:tcPr>
            <w:tcW w:w="613" w:type="pct"/>
            <w:tcBorders>
              <w:top w:val="single" w:sz="4" w:space="0" w:color="000000" w:themeColor="text1"/>
              <w:bottom w:val="single" w:sz="4" w:space="0" w:color="000000" w:themeColor="text1"/>
            </w:tcBorders>
            <w:noWrap/>
            <w:tcMar>
              <w:right w:w="0" w:type="nil"/>
            </w:tcMar>
            <w:hideMark/>
          </w:tcPr>
          <w:p w14:paraId="0C534624" w14:textId="77777777" w:rsidR="006E51BF" w:rsidRPr="00EF1B8C"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EF1B8C">
              <w:rPr>
                <w:lang w:eastAsia="en-AU"/>
              </w:rPr>
              <w:t>164.1</w:t>
            </w:r>
          </w:p>
        </w:tc>
      </w:tr>
      <w:tr w:rsidR="006E51BF" w:rsidRPr="00EF1B8C" w14:paraId="0B0916CE"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427" w:type="pct"/>
            <w:tcBorders>
              <w:top w:val="single" w:sz="4" w:space="0" w:color="000000" w:themeColor="text1"/>
            </w:tcBorders>
            <w:noWrap/>
            <w:hideMark/>
          </w:tcPr>
          <w:p w14:paraId="01AB2EE4" w14:textId="77777777" w:rsidR="006E51BF" w:rsidRPr="00EF1B8C" w:rsidRDefault="006E51BF">
            <w:pPr>
              <w:pStyle w:val="ARfintabletextboldcoloured"/>
              <w:rPr>
                <w:lang w:eastAsia="en-AU"/>
              </w:rPr>
            </w:pPr>
            <w:r w:rsidRPr="00EF1B8C">
              <w:rPr>
                <w:lang w:eastAsia="en-AU"/>
              </w:rPr>
              <w:t>Buildings at fair value</w:t>
            </w:r>
          </w:p>
        </w:tc>
        <w:tc>
          <w:tcPr>
            <w:cnfStyle w:val="000001000000" w:firstRow="0" w:lastRow="0" w:firstColumn="0" w:lastColumn="0" w:oddVBand="0" w:evenVBand="1" w:oddHBand="0" w:evenHBand="0" w:firstRowFirstColumn="0" w:firstRowLastColumn="0" w:lastRowFirstColumn="0" w:lastRowLastColumn="0"/>
            <w:tcW w:w="735" w:type="pct"/>
            <w:tcBorders>
              <w:top w:val="single" w:sz="4" w:space="0" w:color="000000" w:themeColor="text1"/>
            </w:tcBorders>
            <w:shd w:val="clear" w:color="auto" w:fill="auto"/>
            <w:noWrap/>
            <w:tcMar>
              <w:right w:w="0" w:type="nil"/>
            </w:tcMar>
            <w:hideMark/>
          </w:tcPr>
          <w:p w14:paraId="1F32A0E5" w14:textId="77777777" w:rsidR="006E51BF" w:rsidRPr="00EF1B8C" w:rsidRDefault="006E51BF">
            <w:pPr>
              <w:pStyle w:val="ARfintabletextright"/>
              <w:rPr>
                <w:lang w:eastAsia="en-AU"/>
              </w:rPr>
            </w:pPr>
          </w:p>
        </w:tc>
        <w:tc>
          <w:tcPr>
            <w:tcW w:w="613" w:type="pct"/>
            <w:tcBorders>
              <w:top w:val="single" w:sz="4" w:space="0" w:color="000000" w:themeColor="text1"/>
            </w:tcBorders>
            <w:noWrap/>
            <w:tcMar>
              <w:right w:w="0" w:type="nil"/>
            </w:tcMar>
            <w:hideMark/>
          </w:tcPr>
          <w:p w14:paraId="74533048" w14:textId="77777777" w:rsidR="006E51BF" w:rsidRPr="00EF1B8C"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613" w:type="pct"/>
            <w:tcBorders>
              <w:top w:val="single" w:sz="4" w:space="0" w:color="000000" w:themeColor="text1"/>
            </w:tcBorders>
            <w:shd w:val="clear" w:color="auto" w:fill="auto"/>
            <w:noWrap/>
            <w:tcMar>
              <w:right w:w="0" w:type="nil"/>
            </w:tcMar>
            <w:hideMark/>
          </w:tcPr>
          <w:p w14:paraId="367028C0" w14:textId="77777777" w:rsidR="006E51BF" w:rsidRPr="00EF1B8C" w:rsidRDefault="006E51BF">
            <w:pPr>
              <w:pStyle w:val="ARfintabletextright"/>
              <w:rPr>
                <w:lang w:eastAsia="en-AU"/>
              </w:rPr>
            </w:pPr>
          </w:p>
        </w:tc>
        <w:tc>
          <w:tcPr>
            <w:tcW w:w="613" w:type="pct"/>
            <w:tcBorders>
              <w:top w:val="single" w:sz="4" w:space="0" w:color="000000" w:themeColor="text1"/>
            </w:tcBorders>
            <w:noWrap/>
            <w:tcMar>
              <w:right w:w="0" w:type="nil"/>
            </w:tcMar>
            <w:hideMark/>
          </w:tcPr>
          <w:p w14:paraId="07D82B7D" w14:textId="77777777" w:rsidR="006E51BF" w:rsidRPr="00EF1B8C"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EF1B8C" w14:paraId="6C9225CB"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427" w:type="pct"/>
            <w:tcBorders>
              <w:bottom w:val="single" w:sz="4" w:space="0" w:color="BFBFBF" w:themeColor="accent2"/>
            </w:tcBorders>
            <w:noWrap/>
            <w:hideMark/>
          </w:tcPr>
          <w:p w14:paraId="76BC9FBE" w14:textId="77777777" w:rsidR="006E51BF" w:rsidRPr="00EF1B8C" w:rsidRDefault="006E51BF">
            <w:pPr>
              <w:pStyle w:val="ARfintabletext"/>
              <w:rPr>
                <w:lang w:eastAsia="en-AU"/>
              </w:rPr>
            </w:pPr>
            <w:r w:rsidRPr="00EF1B8C">
              <w:rPr>
                <w:lang w:eastAsia="en-AU"/>
              </w:rPr>
              <w:t>Non-specialised buildings</w:t>
            </w:r>
          </w:p>
        </w:tc>
        <w:tc>
          <w:tcPr>
            <w:cnfStyle w:val="000001000000" w:firstRow="0" w:lastRow="0" w:firstColumn="0" w:lastColumn="0" w:oddVBand="0" w:evenVBand="1" w:oddHBand="0" w:evenHBand="0" w:firstRowFirstColumn="0" w:firstRowLastColumn="0" w:lastRowFirstColumn="0" w:lastRowLastColumn="0"/>
            <w:tcW w:w="735" w:type="pct"/>
            <w:tcBorders>
              <w:bottom w:val="single" w:sz="4" w:space="0" w:color="BFBFBF" w:themeColor="accent2"/>
            </w:tcBorders>
            <w:noWrap/>
            <w:tcMar>
              <w:right w:w="0" w:type="nil"/>
            </w:tcMar>
            <w:hideMark/>
          </w:tcPr>
          <w:p w14:paraId="3D494418" w14:textId="77777777" w:rsidR="006E51BF" w:rsidRPr="00EF1B8C" w:rsidRDefault="006E51BF">
            <w:pPr>
              <w:pStyle w:val="ARfintabletextright"/>
              <w:rPr>
                <w:lang w:eastAsia="en-AU"/>
              </w:rPr>
            </w:pPr>
            <w:r w:rsidRPr="00EF1B8C">
              <w:rPr>
                <w:lang w:eastAsia="en-AU"/>
              </w:rPr>
              <w:t>13,063.7</w:t>
            </w:r>
          </w:p>
        </w:tc>
        <w:tc>
          <w:tcPr>
            <w:tcW w:w="613" w:type="pct"/>
            <w:tcBorders>
              <w:bottom w:val="single" w:sz="4" w:space="0" w:color="BFBFBF" w:themeColor="accent2"/>
            </w:tcBorders>
            <w:noWrap/>
            <w:tcMar>
              <w:right w:w="0" w:type="nil"/>
            </w:tcMar>
            <w:hideMark/>
          </w:tcPr>
          <w:p w14:paraId="3EC6212A" w14:textId="77777777" w:rsidR="006E51BF" w:rsidRPr="00EF1B8C"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13" w:type="pct"/>
            <w:tcBorders>
              <w:bottom w:val="single" w:sz="4" w:space="0" w:color="BFBFBF" w:themeColor="accent2"/>
            </w:tcBorders>
            <w:shd w:val="clear" w:color="auto" w:fill="auto"/>
            <w:noWrap/>
            <w:tcMar>
              <w:right w:w="0" w:type="nil"/>
            </w:tcMar>
            <w:hideMark/>
          </w:tcPr>
          <w:p w14:paraId="51F316EF" w14:textId="77777777" w:rsidR="006E51BF" w:rsidRPr="00EF1B8C" w:rsidRDefault="006E51BF">
            <w:pPr>
              <w:pStyle w:val="ARfintabletextright"/>
              <w:rPr>
                <w:lang w:eastAsia="en-AU"/>
              </w:rPr>
            </w:pPr>
            <w:r w:rsidRPr="00EF1B8C">
              <w:rPr>
                <w:lang w:eastAsia="en-AU"/>
              </w:rPr>
              <w:t>13,063.7</w:t>
            </w:r>
          </w:p>
        </w:tc>
        <w:tc>
          <w:tcPr>
            <w:tcW w:w="613" w:type="pct"/>
            <w:tcBorders>
              <w:bottom w:val="single" w:sz="4" w:space="0" w:color="BFBFBF" w:themeColor="accent2"/>
            </w:tcBorders>
            <w:noWrap/>
            <w:tcMar>
              <w:right w:w="0" w:type="nil"/>
            </w:tcMar>
            <w:hideMark/>
          </w:tcPr>
          <w:p w14:paraId="75C39E05" w14:textId="77777777" w:rsidR="006E51BF" w:rsidRPr="00EF1B8C"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r>
      <w:tr w:rsidR="006E51BF" w:rsidRPr="00EF1B8C" w14:paraId="56F865A3"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427" w:type="pct"/>
            <w:tcBorders>
              <w:top w:val="single" w:sz="4" w:space="0" w:color="BFBFBF" w:themeColor="accent2"/>
              <w:bottom w:val="single" w:sz="4" w:space="0" w:color="000000" w:themeColor="text1"/>
            </w:tcBorders>
            <w:noWrap/>
            <w:hideMark/>
          </w:tcPr>
          <w:p w14:paraId="3DC0BFE0" w14:textId="77777777" w:rsidR="006E51BF" w:rsidRPr="00EF1B8C" w:rsidRDefault="006E51BF">
            <w:pPr>
              <w:pStyle w:val="ARfintabletext"/>
              <w:rPr>
                <w:lang w:eastAsia="en-AU"/>
              </w:rPr>
            </w:pPr>
            <w:r w:rsidRPr="00EF1B8C">
              <w:rPr>
                <w:lang w:eastAsia="en-AU"/>
              </w:rPr>
              <w:t>Specialised buildings</w:t>
            </w:r>
          </w:p>
        </w:tc>
        <w:tc>
          <w:tcPr>
            <w:cnfStyle w:val="000001000000" w:firstRow="0" w:lastRow="0" w:firstColumn="0" w:lastColumn="0" w:oddVBand="0" w:evenVBand="1" w:oddHBand="0" w:evenHBand="0" w:firstRowFirstColumn="0" w:firstRowLastColumn="0" w:lastRowFirstColumn="0" w:lastRowLastColumn="0"/>
            <w:tcW w:w="735" w:type="pct"/>
            <w:tcBorders>
              <w:top w:val="single" w:sz="4" w:space="0" w:color="BFBFBF" w:themeColor="accent2"/>
              <w:bottom w:val="single" w:sz="4" w:space="0" w:color="000000" w:themeColor="text1"/>
            </w:tcBorders>
            <w:noWrap/>
            <w:tcMar>
              <w:right w:w="0" w:type="nil"/>
            </w:tcMar>
            <w:hideMark/>
          </w:tcPr>
          <w:p w14:paraId="268DDA34" w14:textId="77777777" w:rsidR="006E51BF" w:rsidRPr="00EF1B8C" w:rsidRDefault="006E51BF">
            <w:pPr>
              <w:pStyle w:val="ARfintabletextright"/>
              <w:rPr>
                <w:lang w:eastAsia="en-AU"/>
              </w:rPr>
            </w:pPr>
            <w:r w:rsidRPr="00EF1B8C">
              <w:rPr>
                <w:lang w:eastAsia="en-AU"/>
              </w:rPr>
              <w:t>126.9</w:t>
            </w:r>
          </w:p>
        </w:tc>
        <w:tc>
          <w:tcPr>
            <w:tcW w:w="613" w:type="pct"/>
            <w:tcBorders>
              <w:top w:val="single" w:sz="4" w:space="0" w:color="BFBFBF" w:themeColor="accent2"/>
              <w:bottom w:val="single" w:sz="4" w:space="0" w:color="000000" w:themeColor="text1"/>
            </w:tcBorders>
            <w:noWrap/>
            <w:tcMar>
              <w:right w:w="0" w:type="nil"/>
            </w:tcMar>
            <w:hideMark/>
          </w:tcPr>
          <w:p w14:paraId="2AF8D0F6" w14:textId="77777777" w:rsidR="006E51BF" w:rsidRPr="00EF1B8C"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13" w:type="pct"/>
            <w:tcBorders>
              <w:top w:val="single" w:sz="4" w:space="0" w:color="BFBFBF" w:themeColor="accent2"/>
              <w:bottom w:val="single" w:sz="4" w:space="0" w:color="000000" w:themeColor="text1"/>
            </w:tcBorders>
            <w:shd w:val="clear" w:color="auto" w:fill="auto"/>
            <w:noWrap/>
            <w:tcMar>
              <w:right w:w="0" w:type="nil"/>
            </w:tcMar>
            <w:hideMark/>
          </w:tcPr>
          <w:p w14:paraId="26753F91" w14:textId="77777777" w:rsidR="006E51BF" w:rsidRPr="00EF1B8C" w:rsidRDefault="006E51BF">
            <w:pPr>
              <w:pStyle w:val="ARfintabletextright"/>
              <w:rPr>
                <w:lang w:eastAsia="en-AU"/>
              </w:rPr>
            </w:pPr>
            <w:r>
              <w:rPr>
                <w:lang w:eastAsia="en-AU"/>
              </w:rPr>
              <w:t>–</w:t>
            </w:r>
          </w:p>
        </w:tc>
        <w:tc>
          <w:tcPr>
            <w:tcW w:w="613" w:type="pct"/>
            <w:tcBorders>
              <w:top w:val="single" w:sz="4" w:space="0" w:color="BFBFBF" w:themeColor="accent2"/>
              <w:bottom w:val="single" w:sz="4" w:space="0" w:color="000000" w:themeColor="text1"/>
            </w:tcBorders>
            <w:noWrap/>
            <w:tcMar>
              <w:right w:w="0" w:type="nil"/>
            </w:tcMar>
            <w:hideMark/>
          </w:tcPr>
          <w:p w14:paraId="7B145B1D" w14:textId="77777777" w:rsidR="006E51BF" w:rsidRPr="00EF1B8C"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EF1B8C">
              <w:rPr>
                <w:lang w:eastAsia="en-AU"/>
              </w:rPr>
              <w:t>126.9</w:t>
            </w:r>
          </w:p>
        </w:tc>
      </w:tr>
      <w:tr w:rsidR="006E51BF" w:rsidRPr="00EF1B8C" w14:paraId="51B0F849"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427" w:type="pct"/>
            <w:tcBorders>
              <w:top w:val="single" w:sz="4" w:space="0" w:color="000000" w:themeColor="text1"/>
              <w:bottom w:val="single" w:sz="4" w:space="0" w:color="000000" w:themeColor="text1"/>
            </w:tcBorders>
            <w:noWrap/>
            <w:hideMark/>
          </w:tcPr>
          <w:p w14:paraId="12601308" w14:textId="77777777" w:rsidR="006E51BF" w:rsidRPr="00EF1B8C" w:rsidRDefault="006E51BF">
            <w:pPr>
              <w:pStyle w:val="ARfintabletextbold"/>
              <w:rPr>
                <w:lang w:eastAsia="en-AU"/>
              </w:rPr>
            </w:pPr>
            <w:r w:rsidRPr="00EF1B8C">
              <w:rPr>
                <w:lang w:eastAsia="en-AU"/>
              </w:rPr>
              <w:t>Total buildings at fair value</w:t>
            </w:r>
          </w:p>
        </w:tc>
        <w:tc>
          <w:tcPr>
            <w:cnfStyle w:val="000001000000" w:firstRow="0" w:lastRow="0" w:firstColumn="0" w:lastColumn="0" w:oddVBand="0" w:evenVBand="1" w:oddHBand="0" w:evenHBand="0" w:firstRowFirstColumn="0" w:firstRowLastColumn="0" w:lastRowFirstColumn="0" w:lastRowLastColumn="0"/>
            <w:tcW w:w="735" w:type="pct"/>
            <w:tcBorders>
              <w:top w:val="single" w:sz="4" w:space="0" w:color="000000" w:themeColor="text1"/>
              <w:bottom w:val="single" w:sz="4" w:space="0" w:color="000000" w:themeColor="text1"/>
            </w:tcBorders>
            <w:noWrap/>
            <w:tcMar>
              <w:right w:w="0" w:type="nil"/>
            </w:tcMar>
            <w:hideMark/>
          </w:tcPr>
          <w:p w14:paraId="0AC6D434" w14:textId="77777777" w:rsidR="006E51BF" w:rsidRPr="00EF1B8C" w:rsidRDefault="006E51BF">
            <w:pPr>
              <w:pStyle w:val="ARfintabletextboldright"/>
              <w:rPr>
                <w:lang w:eastAsia="en-AU"/>
              </w:rPr>
            </w:pPr>
            <w:r w:rsidRPr="00EF1B8C">
              <w:rPr>
                <w:lang w:eastAsia="en-AU"/>
              </w:rPr>
              <w:t>13,190.5</w:t>
            </w:r>
          </w:p>
        </w:tc>
        <w:tc>
          <w:tcPr>
            <w:tcW w:w="613" w:type="pct"/>
            <w:tcBorders>
              <w:top w:val="single" w:sz="4" w:space="0" w:color="000000" w:themeColor="text1"/>
              <w:bottom w:val="single" w:sz="4" w:space="0" w:color="000000" w:themeColor="text1"/>
            </w:tcBorders>
            <w:noWrap/>
            <w:tcMar>
              <w:right w:w="0" w:type="nil"/>
            </w:tcMar>
            <w:hideMark/>
          </w:tcPr>
          <w:p w14:paraId="08C78E82" w14:textId="77777777" w:rsidR="006E51BF" w:rsidRPr="00EF1B8C"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13" w:type="pct"/>
            <w:tcBorders>
              <w:top w:val="single" w:sz="4" w:space="0" w:color="000000" w:themeColor="text1"/>
              <w:bottom w:val="single" w:sz="4" w:space="0" w:color="000000" w:themeColor="text1"/>
            </w:tcBorders>
            <w:shd w:val="clear" w:color="auto" w:fill="auto"/>
            <w:noWrap/>
            <w:tcMar>
              <w:right w:w="0" w:type="nil"/>
            </w:tcMar>
            <w:hideMark/>
          </w:tcPr>
          <w:p w14:paraId="6AB2CCDE" w14:textId="77777777" w:rsidR="006E51BF" w:rsidRPr="00EF1B8C" w:rsidRDefault="006E51BF">
            <w:pPr>
              <w:pStyle w:val="ARfintabletextboldright"/>
              <w:rPr>
                <w:lang w:eastAsia="en-AU"/>
              </w:rPr>
            </w:pPr>
            <w:r w:rsidRPr="00EF1B8C">
              <w:rPr>
                <w:lang w:eastAsia="en-AU"/>
              </w:rPr>
              <w:t>13,063.7</w:t>
            </w:r>
          </w:p>
        </w:tc>
        <w:tc>
          <w:tcPr>
            <w:tcW w:w="613" w:type="pct"/>
            <w:tcBorders>
              <w:top w:val="single" w:sz="4" w:space="0" w:color="000000" w:themeColor="text1"/>
              <w:bottom w:val="single" w:sz="4" w:space="0" w:color="000000" w:themeColor="text1"/>
            </w:tcBorders>
            <w:noWrap/>
            <w:tcMar>
              <w:right w:w="0" w:type="nil"/>
            </w:tcMar>
            <w:hideMark/>
          </w:tcPr>
          <w:p w14:paraId="686A50F7" w14:textId="77777777" w:rsidR="006E51BF" w:rsidRPr="00EF1B8C"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EF1B8C">
              <w:rPr>
                <w:lang w:eastAsia="en-AU"/>
              </w:rPr>
              <w:t>126.9</w:t>
            </w:r>
          </w:p>
        </w:tc>
      </w:tr>
      <w:tr w:rsidR="006E51BF" w:rsidRPr="00EF1B8C" w14:paraId="6C923197" w14:textId="77777777" w:rsidTr="00304BA9">
        <w:trPr>
          <w:cnfStyle w:val="000000100000" w:firstRow="0" w:lastRow="0" w:firstColumn="0" w:lastColumn="0" w:oddVBand="0" w:evenVBand="0" w:oddHBand="1" w:evenHBand="0" w:firstRowFirstColumn="0" w:firstRowLastColumn="0" w:lastRowFirstColumn="0" w:lastRowLastColumn="0"/>
          <w:trHeight w:val="20"/>
        </w:trPr>
        <w:tc>
          <w:tcPr>
            <w:tcW w:w="2427" w:type="pct"/>
            <w:tcBorders>
              <w:top w:val="single" w:sz="4" w:space="0" w:color="000000" w:themeColor="text1"/>
            </w:tcBorders>
            <w:noWrap/>
          </w:tcPr>
          <w:p w14:paraId="0D31D939" w14:textId="77777777" w:rsidR="006E51BF" w:rsidRPr="00EF1B8C" w:rsidRDefault="006E51BF">
            <w:pPr>
              <w:pStyle w:val="ARfintabletextboldcoloured"/>
              <w:rPr>
                <w:lang w:eastAsia="en-AU"/>
              </w:rPr>
            </w:pPr>
            <w:r w:rsidRPr="00EF1B8C">
              <w:rPr>
                <w:lang w:eastAsia="en-AU"/>
              </w:rPr>
              <w:t>Plant, equipment and vehicles at fair value</w:t>
            </w:r>
          </w:p>
        </w:tc>
        <w:tc>
          <w:tcPr>
            <w:cnfStyle w:val="000001000000" w:firstRow="0" w:lastRow="0" w:firstColumn="0" w:lastColumn="0" w:oddVBand="0" w:evenVBand="1" w:oddHBand="0" w:evenHBand="0" w:firstRowFirstColumn="0" w:firstRowLastColumn="0" w:lastRowFirstColumn="0" w:lastRowLastColumn="0"/>
            <w:tcW w:w="735" w:type="pct"/>
            <w:tcBorders>
              <w:top w:val="single" w:sz="4" w:space="0" w:color="000000" w:themeColor="text1"/>
            </w:tcBorders>
            <w:shd w:val="clear" w:color="auto" w:fill="auto"/>
            <w:noWrap/>
            <w:tcMar>
              <w:right w:w="0" w:type="nil"/>
            </w:tcMar>
          </w:tcPr>
          <w:p w14:paraId="4C6704DF" w14:textId="77777777" w:rsidR="006E51BF" w:rsidRPr="00EF1B8C" w:rsidRDefault="006E51BF">
            <w:pPr>
              <w:pStyle w:val="ARfintabletextright"/>
              <w:rPr>
                <w:lang w:eastAsia="en-AU"/>
              </w:rPr>
            </w:pPr>
          </w:p>
        </w:tc>
        <w:tc>
          <w:tcPr>
            <w:tcW w:w="613" w:type="pct"/>
            <w:tcBorders>
              <w:top w:val="single" w:sz="4" w:space="0" w:color="000000" w:themeColor="text1"/>
            </w:tcBorders>
            <w:noWrap/>
            <w:tcMar>
              <w:right w:w="0" w:type="nil"/>
            </w:tcMar>
          </w:tcPr>
          <w:p w14:paraId="2732BC73" w14:textId="77777777" w:rsidR="006E51BF" w:rsidRPr="00EF1B8C"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613" w:type="pct"/>
            <w:tcBorders>
              <w:top w:val="single" w:sz="4" w:space="0" w:color="000000" w:themeColor="text1"/>
            </w:tcBorders>
            <w:shd w:val="clear" w:color="auto" w:fill="auto"/>
            <w:noWrap/>
            <w:tcMar>
              <w:right w:w="0" w:type="nil"/>
            </w:tcMar>
          </w:tcPr>
          <w:p w14:paraId="60744EA8" w14:textId="77777777" w:rsidR="006E51BF" w:rsidRPr="00EF1B8C" w:rsidRDefault="006E51BF">
            <w:pPr>
              <w:pStyle w:val="ARfintabletextright"/>
              <w:rPr>
                <w:lang w:eastAsia="en-AU"/>
              </w:rPr>
            </w:pPr>
          </w:p>
        </w:tc>
        <w:tc>
          <w:tcPr>
            <w:tcW w:w="613" w:type="pct"/>
            <w:tcBorders>
              <w:top w:val="single" w:sz="4" w:space="0" w:color="000000" w:themeColor="text1"/>
            </w:tcBorders>
            <w:noWrap/>
            <w:tcMar>
              <w:right w:w="0" w:type="nil"/>
            </w:tcMar>
          </w:tcPr>
          <w:p w14:paraId="68FA7CCA" w14:textId="77777777" w:rsidR="006E51BF" w:rsidRPr="00EF1B8C"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EF1B8C" w14:paraId="2AE60918" w14:textId="77777777" w:rsidTr="00304BA9">
        <w:trPr>
          <w:cnfStyle w:val="000000010000" w:firstRow="0" w:lastRow="0" w:firstColumn="0" w:lastColumn="0" w:oddVBand="0" w:evenVBand="0" w:oddHBand="0" w:evenHBand="1" w:firstRowFirstColumn="0" w:firstRowLastColumn="0" w:lastRowFirstColumn="0" w:lastRowLastColumn="0"/>
          <w:trHeight w:val="20"/>
        </w:trPr>
        <w:tc>
          <w:tcPr>
            <w:tcW w:w="2427" w:type="pct"/>
            <w:noWrap/>
            <w:hideMark/>
          </w:tcPr>
          <w:p w14:paraId="3F855063" w14:textId="77777777" w:rsidR="006E51BF" w:rsidRPr="00186BE6" w:rsidRDefault="006E51BF">
            <w:pPr>
              <w:pStyle w:val="ARfintabletext"/>
            </w:pPr>
            <w:r w:rsidRPr="00EF1B8C">
              <w:rPr>
                <w:lang w:eastAsia="en-AU"/>
              </w:rPr>
              <w:t>Plant and equipment</w:t>
            </w:r>
          </w:p>
        </w:tc>
        <w:tc>
          <w:tcPr>
            <w:cnfStyle w:val="000001000000" w:firstRow="0" w:lastRow="0" w:firstColumn="0" w:lastColumn="0" w:oddVBand="0" w:evenVBand="1" w:oddHBand="0" w:evenHBand="0" w:firstRowFirstColumn="0" w:firstRowLastColumn="0" w:lastRowFirstColumn="0" w:lastRowLastColumn="0"/>
            <w:tcW w:w="735" w:type="pct"/>
            <w:noWrap/>
            <w:tcMar>
              <w:right w:w="0" w:type="nil"/>
            </w:tcMar>
            <w:hideMark/>
          </w:tcPr>
          <w:p w14:paraId="7869BA68" w14:textId="77777777" w:rsidR="006E51BF" w:rsidRPr="00EF1B8C" w:rsidRDefault="006E51BF">
            <w:pPr>
              <w:pStyle w:val="ARfintabletextright"/>
              <w:rPr>
                <w:lang w:eastAsia="en-AU"/>
              </w:rPr>
            </w:pPr>
            <w:r w:rsidRPr="00EF1B8C">
              <w:rPr>
                <w:lang w:eastAsia="en-AU"/>
              </w:rPr>
              <w:t>0.3</w:t>
            </w:r>
          </w:p>
        </w:tc>
        <w:tc>
          <w:tcPr>
            <w:tcW w:w="613" w:type="pct"/>
            <w:noWrap/>
            <w:tcMar>
              <w:right w:w="0" w:type="nil"/>
            </w:tcMar>
            <w:hideMark/>
          </w:tcPr>
          <w:p w14:paraId="0B211CD3" w14:textId="77777777" w:rsidR="006E51BF" w:rsidRPr="00EF1B8C"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13" w:type="pct"/>
            <w:shd w:val="clear" w:color="auto" w:fill="auto"/>
            <w:noWrap/>
            <w:tcMar>
              <w:right w:w="0" w:type="nil"/>
            </w:tcMar>
            <w:hideMark/>
          </w:tcPr>
          <w:p w14:paraId="105B73A4" w14:textId="77777777" w:rsidR="006E51BF" w:rsidRPr="00EF1B8C" w:rsidRDefault="006E51BF">
            <w:pPr>
              <w:pStyle w:val="ARfintabletextright"/>
              <w:rPr>
                <w:lang w:eastAsia="en-AU"/>
              </w:rPr>
            </w:pPr>
            <w:r w:rsidRPr="00EF1B8C">
              <w:rPr>
                <w:lang w:eastAsia="en-AU"/>
              </w:rPr>
              <w:t>0.3</w:t>
            </w:r>
          </w:p>
        </w:tc>
        <w:tc>
          <w:tcPr>
            <w:tcW w:w="613" w:type="pct"/>
            <w:noWrap/>
            <w:tcMar>
              <w:right w:w="0" w:type="nil"/>
            </w:tcMar>
            <w:hideMark/>
          </w:tcPr>
          <w:p w14:paraId="1F701BC5" w14:textId="77777777" w:rsidR="006E51BF" w:rsidRPr="00EF1B8C"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r>
      <w:tr w:rsidR="006E51BF" w:rsidRPr="00EF1B8C" w14:paraId="6FAC437B" w14:textId="77777777" w:rsidTr="00304BA9">
        <w:trPr>
          <w:cnfStyle w:val="010000000000" w:firstRow="0" w:lastRow="1" w:firstColumn="0" w:lastColumn="0" w:oddVBand="0" w:evenVBand="0" w:oddHBand="0" w:evenHBand="0" w:firstRowFirstColumn="0" w:firstRowLastColumn="0" w:lastRowFirstColumn="0" w:lastRowLastColumn="0"/>
          <w:trHeight w:val="20"/>
        </w:trPr>
        <w:tc>
          <w:tcPr>
            <w:tcW w:w="2427" w:type="pct"/>
            <w:noWrap/>
            <w:hideMark/>
          </w:tcPr>
          <w:p w14:paraId="55F79DDB" w14:textId="77777777" w:rsidR="006E51BF" w:rsidRPr="00EF1B8C" w:rsidRDefault="006E51BF">
            <w:pPr>
              <w:pStyle w:val="ARfintabletextbold"/>
              <w:rPr>
                <w:lang w:eastAsia="en-AU"/>
              </w:rPr>
            </w:pPr>
            <w:r w:rsidRPr="00EF1B8C">
              <w:rPr>
                <w:lang w:eastAsia="en-AU"/>
              </w:rPr>
              <w:t>Total plant, equipment and vehicles at fair value</w:t>
            </w:r>
          </w:p>
        </w:tc>
        <w:tc>
          <w:tcPr>
            <w:cnfStyle w:val="000001000000" w:firstRow="0" w:lastRow="0" w:firstColumn="0" w:lastColumn="0" w:oddVBand="0" w:evenVBand="1" w:oddHBand="0" w:evenHBand="0" w:firstRowFirstColumn="0" w:firstRowLastColumn="0" w:lastRowFirstColumn="0" w:lastRowLastColumn="0"/>
            <w:tcW w:w="735" w:type="pct"/>
            <w:noWrap/>
            <w:tcMar>
              <w:right w:w="0" w:type="nil"/>
            </w:tcMar>
            <w:hideMark/>
          </w:tcPr>
          <w:p w14:paraId="176FC6FC" w14:textId="77777777" w:rsidR="006E51BF" w:rsidRPr="00EF1B8C" w:rsidRDefault="006E51BF">
            <w:pPr>
              <w:pStyle w:val="ARfintabletextboldright"/>
              <w:rPr>
                <w:lang w:eastAsia="en-AU"/>
              </w:rPr>
            </w:pPr>
            <w:r w:rsidRPr="00EF1B8C">
              <w:rPr>
                <w:lang w:eastAsia="en-AU"/>
              </w:rPr>
              <w:t>0.3</w:t>
            </w:r>
          </w:p>
        </w:tc>
        <w:tc>
          <w:tcPr>
            <w:tcW w:w="613" w:type="pct"/>
            <w:noWrap/>
            <w:tcMar>
              <w:right w:w="0" w:type="nil"/>
            </w:tcMar>
            <w:hideMark/>
          </w:tcPr>
          <w:p w14:paraId="36315EA8" w14:textId="77777777" w:rsidR="006E51BF" w:rsidRPr="00042B26" w:rsidRDefault="006E51BF">
            <w:pPr>
              <w:pStyle w:val="ARfintabletextboldright"/>
              <w:cnfStyle w:val="010000000000" w:firstRow="0" w:lastRow="1" w:firstColumn="0" w:lastColumn="0" w:oddVBand="0" w:evenVBand="0" w:oddHBand="0" w:evenHBand="0" w:firstRowFirstColumn="0" w:firstRowLastColumn="0" w:lastRowFirstColumn="0" w:lastRowLastColumn="0"/>
            </w:pPr>
            <w:r w:rsidRPr="00042B26">
              <w:t>–</w:t>
            </w:r>
          </w:p>
        </w:tc>
        <w:tc>
          <w:tcPr>
            <w:cnfStyle w:val="000001000000" w:firstRow="0" w:lastRow="0" w:firstColumn="0" w:lastColumn="0" w:oddVBand="0" w:evenVBand="1" w:oddHBand="0" w:evenHBand="0" w:firstRowFirstColumn="0" w:firstRowLastColumn="0" w:lastRowFirstColumn="0" w:lastRowLastColumn="0"/>
            <w:tcW w:w="613" w:type="pct"/>
            <w:shd w:val="clear" w:color="auto" w:fill="auto"/>
            <w:noWrap/>
            <w:tcMar>
              <w:right w:w="0" w:type="nil"/>
            </w:tcMar>
            <w:hideMark/>
          </w:tcPr>
          <w:p w14:paraId="1F0913D9" w14:textId="77777777" w:rsidR="006E51BF" w:rsidRPr="00042B26" w:rsidRDefault="006E51BF">
            <w:pPr>
              <w:pStyle w:val="ARfintabletextboldright"/>
            </w:pPr>
            <w:r w:rsidRPr="00042B26">
              <w:t>0.3</w:t>
            </w:r>
          </w:p>
        </w:tc>
        <w:tc>
          <w:tcPr>
            <w:tcW w:w="613" w:type="pct"/>
            <w:noWrap/>
            <w:tcMar>
              <w:right w:w="0" w:type="nil"/>
            </w:tcMar>
            <w:hideMark/>
          </w:tcPr>
          <w:p w14:paraId="3A4B23E1" w14:textId="77777777" w:rsidR="006E51BF" w:rsidRPr="00042B26" w:rsidRDefault="006E51BF">
            <w:pPr>
              <w:pStyle w:val="ARfintabletextboldright"/>
              <w:cnfStyle w:val="010000000000" w:firstRow="0" w:lastRow="1" w:firstColumn="0" w:lastColumn="0" w:oddVBand="0" w:evenVBand="0" w:oddHBand="0" w:evenHBand="0" w:firstRowFirstColumn="0" w:firstRowLastColumn="0" w:lastRowFirstColumn="0" w:lastRowLastColumn="0"/>
            </w:pPr>
            <w:r w:rsidRPr="00042B26">
              <w:t>–</w:t>
            </w:r>
          </w:p>
        </w:tc>
      </w:tr>
    </w:tbl>
    <w:p w14:paraId="3EA5B03B" w14:textId="77777777" w:rsidR="006E51BF" w:rsidRPr="00EF1B8C" w:rsidRDefault="006E51BF">
      <w:pPr>
        <w:pStyle w:val="ARfintablenote"/>
        <w:rPr>
          <w:lang w:eastAsia="en-AU"/>
        </w:rPr>
      </w:pPr>
      <w:r w:rsidRPr="00EF1B8C">
        <w:rPr>
          <w:lang w:eastAsia="en-AU"/>
        </w:rPr>
        <w:t>Note:</w:t>
      </w:r>
    </w:p>
    <w:p w14:paraId="7566ACA9" w14:textId="76B065F6" w:rsidR="006E51BF" w:rsidRPr="00EF1B8C" w:rsidRDefault="006E51BF" w:rsidP="006E51BF">
      <w:pPr>
        <w:pStyle w:val="ARfintablenoteroman"/>
        <w:numPr>
          <w:ilvl w:val="0"/>
          <w:numId w:val="81"/>
        </w:numPr>
      </w:pPr>
      <w:r w:rsidRPr="00EF1B8C">
        <w:t>Classified in accordance with the fair value hierarchy. The department, in conjunction with the VGV, monitors the changes in the</w:t>
      </w:r>
      <w:r w:rsidR="00F77100">
        <w:t> </w:t>
      </w:r>
      <w:r w:rsidRPr="00EF1B8C">
        <w:t>fair value of building and land assets through relevant data sources to determine whether revaluation is required.</w:t>
      </w:r>
    </w:p>
    <w:p w14:paraId="7EFAB871" w14:textId="6517D397" w:rsidR="009D2C12" w:rsidRDefault="006E51BF" w:rsidP="006E51BF">
      <w:pPr>
        <w:pStyle w:val="ARfintablenoteroman"/>
        <w:numPr>
          <w:ilvl w:val="0"/>
          <w:numId w:val="15"/>
        </w:numPr>
        <w:spacing w:after="240"/>
      </w:pPr>
      <w:r w:rsidRPr="00EF1B8C">
        <w:t>As a result of a change in FRD 104 Leases effective for reporting periods from 30 June 2026, right-of-use assets are measured at cost for 2025</w:t>
      </w:r>
      <w:r>
        <w:t>–</w:t>
      </w:r>
      <w:r w:rsidRPr="00EF1B8C">
        <w:t>26. The comparative information for 2024</w:t>
      </w:r>
      <w:r>
        <w:t>–</w:t>
      </w:r>
      <w:r w:rsidRPr="00EF1B8C">
        <w:t>25 is not restated and is reported at the previously determined fair value. For further information, refer to Note 9.4.</w:t>
      </w:r>
    </w:p>
    <w:p w14:paraId="5E1D322D" w14:textId="77777777" w:rsidR="009D2C12" w:rsidRDefault="009D2C12">
      <w:pPr>
        <w:spacing w:after="0" w:line="240" w:lineRule="auto"/>
        <w:rPr>
          <w:sz w:val="16"/>
          <w:lang w:eastAsia="en-AU"/>
        </w:rPr>
      </w:pPr>
      <w:r>
        <w:br w:type="page"/>
      </w:r>
    </w:p>
    <w:p w14:paraId="7382BA5D" w14:textId="77777777" w:rsidR="006E51BF" w:rsidRPr="00972F2A" w:rsidRDefault="006E51BF">
      <w:pPr>
        <w:pStyle w:val="ARfinbody"/>
      </w:pPr>
      <w:r w:rsidRPr="009E061E">
        <w:rPr>
          <w:rStyle w:val="Strong"/>
          <w:lang w:eastAsia="en-AU"/>
        </w:rPr>
        <w:t>Non-specialised land and non-specialised buildings</w:t>
      </w:r>
      <w:r w:rsidRPr="00EF1B8C">
        <w:rPr>
          <w:lang w:eastAsia="en-AU"/>
        </w:rPr>
        <w:t xml:space="preserve"> are </w:t>
      </w:r>
      <w:r w:rsidRPr="00972F2A">
        <w:t xml:space="preserve">valued using the market approach, whereby assets are compared to recent comparable sales or sales of comparable assets that are considered to have nominal value. </w:t>
      </w:r>
    </w:p>
    <w:p w14:paraId="7934709A" w14:textId="3C813B8E" w:rsidR="00DB1A70" w:rsidRDefault="006E51BF">
      <w:pPr>
        <w:pStyle w:val="ARfinbody"/>
      </w:pPr>
      <w:r w:rsidRPr="00972F2A">
        <w:t>Homes Victoria land and buildings are primarily held in Level 2 as it is considered that each residential dwelling assessed has an active and liquid market. As such, the market value of each residential asset has been determined by reference to the current property market for similar assets.</w:t>
      </w:r>
    </w:p>
    <w:p w14:paraId="6BD0B6A8" w14:textId="77777777" w:rsidR="006E51BF" w:rsidRPr="00972F2A" w:rsidRDefault="006E51BF">
      <w:pPr>
        <w:pStyle w:val="ARfinbody"/>
      </w:pPr>
      <w:r w:rsidRPr="002B47C5">
        <w:rPr>
          <w:rStyle w:val="Strong"/>
        </w:rPr>
        <w:t>Specialised land and specialised buildings:</w:t>
      </w:r>
      <w:r w:rsidRPr="00972F2A">
        <w:t xml:space="preserve"> The market approach is used for specialised land, although may be adjusted for the community service obligation (CSO) to reflect the specialised nature of the land being valued. </w:t>
      </w:r>
    </w:p>
    <w:p w14:paraId="40FC4ED5" w14:textId="77777777" w:rsidR="006E51BF" w:rsidRPr="00972F2A" w:rsidRDefault="006E51BF">
      <w:pPr>
        <w:pStyle w:val="ARfinbody"/>
      </w:pPr>
      <w:r w:rsidRPr="00972F2A">
        <w:t xml:space="preserve">The CSO adjustment </w:t>
      </w:r>
      <w:proofErr w:type="gramStart"/>
      <w:r w:rsidRPr="00972F2A">
        <w:t>is a reflection of</w:t>
      </w:r>
      <w:proofErr w:type="gramEnd"/>
      <w:r w:rsidRPr="00972F2A">
        <w:t xml:space="preserve"> the valuer’s assessment of the impact of restrictions associated with an asset to the extent that is also equally applicable to market participants. This approach is </w:t>
      </w:r>
      <w:proofErr w:type="gramStart"/>
      <w:r w:rsidRPr="00972F2A">
        <w:t>in light of</w:t>
      </w:r>
      <w:proofErr w:type="gramEnd"/>
      <w:r w:rsidRPr="00972F2A">
        <w:t xml:space="preserve"> the highest and best use consideration required for fair value </w:t>
      </w:r>
      <w:proofErr w:type="gramStart"/>
      <w:r w:rsidRPr="00972F2A">
        <w:t>measurement, and</w:t>
      </w:r>
      <w:proofErr w:type="gramEnd"/>
      <w:r w:rsidRPr="00972F2A">
        <w:t xml:space="preserve"> </w:t>
      </w:r>
      <w:proofErr w:type="gramStart"/>
      <w:r w:rsidRPr="00972F2A">
        <w:t>takes into account</w:t>
      </w:r>
      <w:proofErr w:type="gramEnd"/>
      <w:r w:rsidRPr="00972F2A">
        <w:t xml:space="preserve"> the use of the asset that is physically possible, legally permissible, and financially feasible. As adjustments of CSO are considered as significant unobservable inputs, specialised land with a CSO adjustment would primarily be classified as Level 3 assets. </w:t>
      </w:r>
    </w:p>
    <w:p w14:paraId="2A690856" w14:textId="77777777" w:rsidR="006E51BF" w:rsidRPr="00972F2A" w:rsidRDefault="006E51BF">
      <w:pPr>
        <w:pStyle w:val="ARfinbody"/>
      </w:pPr>
      <w:r w:rsidRPr="00972F2A">
        <w:t xml:space="preserve">For </w:t>
      </w:r>
      <w:proofErr w:type="gramStart"/>
      <w:r w:rsidRPr="00972F2A">
        <w:t>the majority of</w:t>
      </w:r>
      <w:proofErr w:type="gramEnd"/>
      <w:r w:rsidRPr="00972F2A">
        <w:t xml:space="preserve"> the department’s specialised buildings, the current replacement cost method is used, adjusting for the associated depreciations. As depreciation adjustments are considered as significant, unobservable inputs in nature, specialised buildings are primarily classified as Level 3 fair value measurements. </w:t>
      </w:r>
    </w:p>
    <w:p w14:paraId="1A71A59C" w14:textId="77777777" w:rsidR="006E51BF" w:rsidRPr="00972F2A" w:rsidRDefault="006E51BF">
      <w:pPr>
        <w:pStyle w:val="ARfinbody"/>
      </w:pPr>
      <w:r w:rsidRPr="00972F2A">
        <w:t>An independent valuation of the departments’ land and buildings was performed by the Valuer-General Victoria in financial year 2023</w:t>
      </w:r>
      <w:r>
        <w:t>–</w:t>
      </w:r>
      <w:r w:rsidRPr="00972F2A">
        <w:t>24. The effective date of the valuation is 30 June 2024.</w:t>
      </w:r>
    </w:p>
    <w:p w14:paraId="14EB0766" w14:textId="77777777" w:rsidR="006E51BF" w:rsidRPr="00972F2A" w:rsidRDefault="006E51BF">
      <w:pPr>
        <w:pStyle w:val="ARfinbody"/>
      </w:pPr>
      <w:r w:rsidRPr="00FB3157">
        <w:rPr>
          <w:rStyle w:val="Strong"/>
        </w:rPr>
        <w:t>Vehicles</w:t>
      </w:r>
      <w:r w:rsidRPr="00972F2A">
        <w:t xml:space="preserve"> are valued using the current replacement cost method. The department acquires new vehicles and at times disposes of them before the end of their economic life. The process of acquisition, use and disposal in the market is managed by experienced fleet managers in the department who set relevant depreciation rates during use to reflect the utilisation of the vehicles. </w:t>
      </w:r>
    </w:p>
    <w:p w14:paraId="17879099" w14:textId="77777777" w:rsidR="006E51BF" w:rsidRPr="00EF1B8C" w:rsidRDefault="006E51BF">
      <w:pPr>
        <w:pStyle w:val="ARfinbody"/>
        <w:rPr>
          <w:sz w:val="20"/>
          <w:lang w:eastAsia="en-AU"/>
        </w:rPr>
      </w:pPr>
      <w:r w:rsidRPr="00FB3157">
        <w:rPr>
          <w:rStyle w:val="Strong"/>
        </w:rPr>
        <w:t>Plant and equipment</w:t>
      </w:r>
      <w:r w:rsidRPr="00972F2A">
        <w:t xml:space="preserve"> </w:t>
      </w:r>
      <w:proofErr w:type="gramStart"/>
      <w:r w:rsidRPr="00972F2A">
        <w:t>is</w:t>
      </w:r>
      <w:proofErr w:type="gramEnd"/>
      <w:r w:rsidRPr="00972F2A">
        <w:t xml:space="preserve"> held at fair value. When plant and equipment is specialised in use, such that it is rarely sold other than as part of a going concern, fair value is</w:t>
      </w:r>
      <w:r w:rsidRPr="00EF1B8C">
        <w:rPr>
          <w:sz w:val="20"/>
          <w:lang w:eastAsia="en-AU"/>
        </w:rPr>
        <w:t xml:space="preserve"> determined using the current replacement cost method.</w:t>
      </w:r>
    </w:p>
    <w:p w14:paraId="46C30E6E" w14:textId="77777777" w:rsidR="006E51BF" w:rsidRDefault="006E51BF">
      <w:pPr>
        <w:pStyle w:val="ARfinbody"/>
        <w:rPr>
          <w:lang w:eastAsia="en-AU"/>
        </w:rPr>
      </w:pPr>
      <w:r w:rsidRPr="00EF1B8C">
        <w:rPr>
          <w:lang w:eastAsia="en-AU"/>
        </w:rPr>
        <w:t xml:space="preserve">There were </w:t>
      </w:r>
      <w:r w:rsidRPr="00972F2A">
        <w:t>no</w:t>
      </w:r>
      <w:r w:rsidRPr="00EF1B8C">
        <w:rPr>
          <w:lang w:eastAsia="en-AU"/>
        </w:rPr>
        <w:t xml:space="preserve"> changes in valuation techniques throughout the period to 30 June 2026. </w:t>
      </w:r>
    </w:p>
    <w:p w14:paraId="440D6B6D" w14:textId="77777777" w:rsidR="006E51BF" w:rsidRPr="00EF1B8C" w:rsidRDefault="006E51BF">
      <w:pPr>
        <w:pStyle w:val="ARfinbody"/>
        <w:rPr>
          <w:lang w:eastAsia="en-AU"/>
        </w:rPr>
      </w:pPr>
      <w:r w:rsidRPr="00EF1B8C">
        <w:rPr>
          <w:lang w:eastAsia="en-AU"/>
        </w:rPr>
        <w:t xml:space="preserve">For all assets measured at fair value, the current use is considered the highest and best use. </w:t>
      </w:r>
    </w:p>
    <w:p w14:paraId="51DF09CA" w14:textId="77777777" w:rsidR="006E51BF" w:rsidRPr="00972F2A" w:rsidRDefault="006E51BF">
      <w:pPr>
        <w:pStyle w:val="ARfinbody"/>
      </w:pPr>
      <w:r w:rsidRPr="00972F2A">
        <w:t xml:space="preserve">AASB 2022-10 </w:t>
      </w:r>
      <w:r w:rsidRPr="00105DB4">
        <w:rPr>
          <w:rStyle w:val="Emphasis"/>
          <w:lang w:eastAsia="en-AU"/>
        </w:rPr>
        <w:t>Amendments to Australian Accounting Standards – Fair Value Measurement of Non-Financial Assets of Not-for-Profit Public Sector Entities</w:t>
      </w:r>
      <w:r w:rsidRPr="00EF1B8C">
        <w:rPr>
          <w:lang w:eastAsia="en-AU"/>
        </w:rPr>
        <w:t xml:space="preserve"> amended </w:t>
      </w:r>
      <w:r w:rsidRPr="00972F2A">
        <w:t>AASB 13 by adding Appendix F Australian implementation guidance for not-for-profit public sector entities. Appendix F explains and illustrates the application of the principles in AASB 13 on developing unobservable inputs and the application of the cost approach. These clarifications are mandatorily applicable annual reporting periods beginning on or after 1 January 2024.</w:t>
      </w:r>
    </w:p>
    <w:p w14:paraId="5B0ED7BE" w14:textId="77777777" w:rsidR="00DB1A70" w:rsidRDefault="006E51BF">
      <w:pPr>
        <w:pStyle w:val="ARfinbodybeforetableorfigure"/>
      </w:pPr>
      <w:r w:rsidRPr="00972F2A">
        <w:t>FRD 103 permits Victorian public sector entities to apply Appendix F of AASB 13 in their next scheduled formal asset revaluation or interim revaluation (whichever is earlier). Annual fair value assessments for 30 June 2026 using indices did not give rise to material changes in the value of plant and equipment. In accordance with FRD 103, the department will apply Appendix F of AASB 13 prospectively in its next scheduled formal revaluation in 2028</w:t>
      </w:r>
      <w:r>
        <w:t>-29</w:t>
      </w:r>
      <w:r w:rsidRPr="00972F2A">
        <w:t xml:space="preserve"> or interim revaluation process (whichever is earlier). Based on the 2026 fair value assessment using the VGV Land and Building indices, the estimated movements were approximately 4.6% for land and 5.6% for </w:t>
      </w:r>
      <w:proofErr w:type="gramStart"/>
      <w:r w:rsidRPr="00972F2A">
        <w:t>buildings, and</w:t>
      </w:r>
      <w:proofErr w:type="gramEnd"/>
      <w:r w:rsidRPr="00972F2A">
        <w:t xml:space="preserve"> were deemed not material</w:t>
      </w:r>
      <w:r w:rsidRPr="00EF1B8C">
        <w:t>.</w:t>
      </w:r>
    </w:p>
    <w:p w14:paraId="0C21ED98" w14:textId="77777777" w:rsidR="006E51BF" w:rsidRPr="000C16E7" w:rsidRDefault="006E51BF">
      <w:pPr>
        <w:pStyle w:val="Heading8"/>
        <w:spacing w:after="120"/>
      </w:pPr>
      <w:r w:rsidRPr="000C16E7">
        <w:t xml:space="preserve">Reconciliation of Level 3 fair </w:t>
      </w:r>
      <w:r w:rsidRPr="00970111">
        <w:t>value</w:t>
      </w:r>
      <w:r w:rsidRPr="000C16E7">
        <w:t xml:space="preserve"> movements</w:t>
      </w:r>
    </w:p>
    <w:tbl>
      <w:tblPr>
        <w:tblStyle w:val="ARtable1"/>
        <w:tblW w:w="5000" w:type="pct"/>
        <w:tblLook w:val="00E0" w:firstRow="1" w:lastRow="1" w:firstColumn="1" w:lastColumn="0" w:noHBand="0" w:noVBand="0"/>
      </w:tblPr>
      <w:tblGrid>
        <w:gridCol w:w="4956"/>
        <w:gridCol w:w="1558"/>
        <w:gridCol w:w="1558"/>
        <w:gridCol w:w="1556"/>
      </w:tblGrid>
      <w:tr w:rsidR="006E51BF" w:rsidRPr="000C16E7" w14:paraId="1AF4A552" w14:textId="77777777" w:rsidTr="004A6D92">
        <w:trPr>
          <w:cnfStyle w:val="100000000000" w:firstRow="1" w:lastRow="0" w:firstColumn="0" w:lastColumn="0" w:oddVBand="0" w:evenVBand="0" w:oddHBand="0" w:evenHBand="0" w:firstRowFirstColumn="0" w:firstRowLastColumn="0" w:lastRowFirstColumn="0" w:lastRowLastColumn="0"/>
          <w:trHeight w:val="20"/>
          <w:tblHeader/>
        </w:trPr>
        <w:tc>
          <w:tcPr>
            <w:tcW w:w="2574" w:type="pct"/>
            <w:noWrap/>
            <w:hideMark/>
          </w:tcPr>
          <w:p w14:paraId="0CA4974B" w14:textId="77777777" w:rsidR="006E51BF" w:rsidRPr="000C16E7" w:rsidRDefault="006E51BF">
            <w:pPr>
              <w:pStyle w:val="ARfintablecolhead"/>
              <w:rPr>
                <w:lang w:eastAsia="en-AU"/>
              </w:rPr>
            </w:pPr>
            <w:r w:rsidRPr="000C16E7">
              <w:rPr>
                <w:lang w:eastAsia="en-AU"/>
              </w:rPr>
              <w:t>2026</w:t>
            </w:r>
          </w:p>
        </w:tc>
        <w:tc>
          <w:tcPr>
            <w:cnfStyle w:val="000001000000" w:firstRow="0" w:lastRow="0" w:firstColumn="0" w:lastColumn="0" w:oddVBand="0" w:evenVBand="1" w:oddHBand="0" w:evenHBand="0" w:firstRowFirstColumn="0" w:firstRowLastColumn="0" w:lastRowFirstColumn="0" w:lastRowLastColumn="0"/>
            <w:tcW w:w="809" w:type="pct"/>
            <w:tcMar>
              <w:right w:w="0" w:type="nil"/>
            </w:tcMar>
            <w:hideMark/>
          </w:tcPr>
          <w:p w14:paraId="214CDF21" w14:textId="77777777" w:rsidR="006E51BF" w:rsidRPr="000C16E7" w:rsidRDefault="006E51BF">
            <w:pPr>
              <w:pStyle w:val="ARfintablecolheadright"/>
              <w:rPr>
                <w:lang w:eastAsia="en-AU"/>
              </w:rPr>
            </w:pPr>
            <w:r w:rsidRPr="000C16E7">
              <w:rPr>
                <w:lang w:eastAsia="en-AU"/>
              </w:rPr>
              <w:t>Specialised</w:t>
            </w:r>
            <w:r w:rsidRPr="000C16E7">
              <w:rPr>
                <w:lang w:eastAsia="en-AU"/>
              </w:rPr>
              <w:br/>
              <w:t>land</w:t>
            </w:r>
          </w:p>
          <w:p w14:paraId="1D18C863" w14:textId="77777777" w:rsidR="006E51BF" w:rsidRPr="000C16E7" w:rsidRDefault="006E51BF">
            <w:pPr>
              <w:pStyle w:val="ARfintablecolheadright"/>
              <w:rPr>
                <w:lang w:eastAsia="en-AU"/>
              </w:rPr>
            </w:pPr>
            <w:r w:rsidRPr="000C16E7">
              <w:rPr>
                <w:lang w:eastAsia="en-AU"/>
              </w:rPr>
              <w:t>$M</w:t>
            </w:r>
          </w:p>
        </w:tc>
        <w:tc>
          <w:tcPr>
            <w:tcW w:w="809" w:type="pct"/>
            <w:tcMar>
              <w:right w:w="0" w:type="nil"/>
            </w:tcMar>
            <w:hideMark/>
          </w:tcPr>
          <w:p w14:paraId="5ACC37CF" w14:textId="77777777" w:rsidR="006E51BF" w:rsidRPr="000C16E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C16E7">
              <w:rPr>
                <w:lang w:eastAsia="en-AU"/>
              </w:rPr>
              <w:t>Specialised</w:t>
            </w:r>
            <w:r w:rsidRPr="000C16E7">
              <w:rPr>
                <w:lang w:eastAsia="en-AU"/>
              </w:rPr>
              <w:br/>
              <w:t>buildings</w:t>
            </w:r>
          </w:p>
          <w:p w14:paraId="6785E2BA" w14:textId="77777777" w:rsidR="006E51BF" w:rsidRPr="000C16E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C16E7">
              <w:rPr>
                <w:lang w:eastAsia="en-AU"/>
              </w:rPr>
              <w:t>$M</w:t>
            </w:r>
          </w:p>
        </w:tc>
        <w:tc>
          <w:tcPr>
            <w:cnfStyle w:val="000001000000" w:firstRow="0" w:lastRow="0" w:firstColumn="0" w:lastColumn="0" w:oddVBand="0" w:evenVBand="1" w:oddHBand="0" w:evenHBand="0" w:firstRowFirstColumn="0" w:firstRowLastColumn="0" w:lastRowFirstColumn="0" w:lastRowLastColumn="0"/>
            <w:tcW w:w="809" w:type="pct"/>
            <w:tcMar>
              <w:right w:w="0" w:type="nil"/>
            </w:tcMar>
            <w:hideMark/>
          </w:tcPr>
          <w:p w14:paraId="1657F44E" w14:textId="77777777" w:rsidR="006E51BF" w:rsidRPr="000C16E7" w:rsidRDefault="006E51BF">
            <w:pPr>
              <w:pStyle w:val="ARfintablecolheadright"/>
              <w:rPr>
                <w:lang w:eastAsia="en-AU"/>
              </w:rPr>
            </w:pPr>
            <w:r w:rsidRPr="000C16E7">
              <w:rPr>
                <w:lang w:eastAsia="en-AU"/>
              </w:rPr>
              <w:t>Total</w:t>
            </w:r>
          </w:p>
          <w:p w14:paraId="47441C0B" w14:textId="77777777" w:rsidR="006E51BF" w:rsidRPr="000C16E7" w:rsidRDefault="006E51BF">
            <w:pPr>
              <w:pStyle w:val="ARfintablecolheadright"/>
              <w:rPr>
                <w:lang w:eastAsia="en-AU"/>
              </w:rPr>
            </w:pPr>
            <w:r w:rsidRPr="000C16E7">
              <w:rPr>
                <w:lang w:eastAsia="en-AU"/>
              </w:rPr>
              <w:t>$M</w:t>
            </w:r>
          </w:p>
        </w:tc>
      </w:tr>
      <w:tr w:rsidR="006E51BF" w:rsidRPr="000C16E7" w14:paraId="06C37544"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2574" w:type="pct"/>
            <w:noWrap/>
            <w:hideMark/>
          </w:tcPr>
          <w:p w14:paraId="3676EDAB" w14:textId="77777777" w:rsidR="006E51BF" w:rsidRPr="000C16E7" w:rsidRDefault="006E51BF">
            <w:pPr>
              <w:pStyle w:val="ARfintabletextbold"/>
              <w:rPr>
                <w:lang w:eastAsia="en-AU"/>
              </w:rPr>
            </w:pPr>
            <w:r w:rsidRPr="000C16E7">
              <w:rPr>
                <w:lang w:eastAsia="en-AU"/>
              </w:rPr>
              <w:t>Opening balance</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0B88796A" w14:textId="77777777" w:rsidR="006E51BF" w:rsidRPr="000C16E7" w:rsidRDefault="006E51BF">
            <w:pPr>
              <w:pStyle w:val="ARfintabletextboldright"/>
              <w:rPr>
                <w:lang w:eastAsia="en-AU"/>
              </w:rPr>
            </w:pPr>
            <w:r w:rsidRPr="000C16E7">
              <w:rPr>
                <w:lang w:eastAsia="en-AU"/>
              </w:rPr>
              <w:t>164.1</w:t>
            </w:r>
          </w:p>
        </w:tc>
        <w:tc>
          <w:tcPr>
            <w:tcW w:w="809" w:type="pct"/>
            <w:noWrap/>
            <w:tcMar>
              <w:right w:w="0" w:type="nil"/>
            </w:tcMar>
            <w:hideMark/>
          </w:tcPr>
          <w:p w14:paraId="0DA68524" w14:textId="77777777" w:rsidR="006E51BF" w:rsidRPr="000C16E7"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0C16E7">
              <w:rPr>
                <w:lang w:eastAsia="en-AU"/>
              </w:rPr>
              <w:t>126.9</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484E814E" w14:textId="77777777" w:rsidR="006E51BF" w:rsidRPr="000C16E7" w:rsidRDefault="006E51BF">
            <w:pPr>
              <w:pStyle w:val="ARfintabletextboldright"/>
              <w:rPr>
                <w:lang w:eastAsia="en-AU"/>
              </w:rPr>
            </w:pPr>
            <w:r w:rsidRPr="000C16E7">
              <w:rPr>
                <w:lang w:eastAsia="en-AU"/>
              </w:rPr>
              <w:t>291.0</w:t>
            </w:r>
          </w:p>
        </w:tc>
      </w:tr>
      <w:tr w:rsidR="006E51BF" w:rsidRPr="000C16E7" w14:paraId="58B6A813"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2574" w:type="pct"/>
            <w:noWrap/>
            <w:hideMark/>
          </w:tcPr>
          <w:p w14:paraId="137662B6" w14:textId="77777777" w:rsidR="006E51BF" w:rsidRPr="000C16E7" w:rsidRDefault="006E51BF">
            <w:pPr>
              <w:pStyle w:val="ARfintabletext"/>
              <w:rPr>
                <w:lang w:eastAsia="en-AU"/>
              </w:rPr>
            </w:pPr>
            <w:r w:rsidRPr="000C16E7">
              <w:rPr>
                <w:lang w:eastAsia="en-AU"/>
              </w:rPr>
              <w:t>Additions</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3FB58BA7" w14:textId="77777777" w:rsidR="006E51BF" w:rsidRPr="000C16E7" w:rsidRDefault="006E51BF">
            <w:pPr>
              <w:pStyle w:val="ARfintabletextright"/>
              <w:rPr>
                <w:lang w:eastAsia="en-AU"/>
              </w:rPr>
            </w:pPr>
            <w:r>
              <w:rPr>
                <w:lang w:eastAsia="en-AU"/>
              </w:rPr>
              <w:t>–</w:t>
            </w:r>
          </w:p>
        </w:tc>
        <w:tc>
          <w:tcPr>
            <w:tcW w:w="809" w:type="pct"/>
            <w:noWrap/>
            <w:tcMar>
              <w:right w:w="0" w:type="nil"/>
            </w:tcMar>
            <w:hideMark/>
          </w:tcPr>
          <w:p w14:paraId="32BB4D9A" w14:textId="77777777" w:rsidR="006E51BF" w:rsidRPr="000C16E7"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569CCECE" w14:textId="77777777" w:rsidR="006E51BF" w:rsidRPr="000C16E7" w:rsidRDefault="006E51BF">
            <w:pPr>
              <w:pStyle w:val="ARfintabletextright"/>
              <w:rPr>
                <w:lang w:eastAsia="en-AU"/>
              </w:rPr>
            </w:pPr>
            <w:r>
              <w:rPr>
                <w:lang w:eastAsia="en-AU"/>
              </w:rPr>
              <w:t>–</w:t>
            </w:r>
          </w:p>
        </w:tc>
      </w:tr>
      <w:tr w:rsidR="006E51BF" w:rsidRPr="000C16E7" w14:paraId="5525B072"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2574" w:type="pct"/>
            <w:noWrap/>
            <w:hideMark/>
          </w:tcPr>
          <w:p w14:paraId="725AC8AD" w14:textId="77777777" w:rsidR="006E51BF" w:rsidRPr="000C16E7" w:rsidRDefault="006E51BF">
            <w:pPr>
              <w:pStyle w:val="ARfintabletext"/>
              <w:rPr>
                <w:lang w:eastAsia="en-AU"/>
              </w:rPr>
            </w:pPr>
            <w:r w:rsidRPr="000C16E7">
              <w:rPr>
                <w:lang w:eastAsia="en-AU"/>
              </w:rPr>
              <w:t>Capitalisation of work in progress</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1FD184A5" w14:textId="77777777" w:rsidR="006E51BF" w:rsidRPr="000C16E7" w:rsidRDefault="006E51BF">
            <w:pPr>
              <w:pStyle w:val="ARfintabletextright"/>
              <w:rPr>
                <w:lang w:eastAsia="en-AU"/>
              </w:rPr>
            </w:pPr>
            <w:r>
              <w:rPr>
                <w:lang w:eastAsia="en-AU"/>
              </w:rPr>
              <w:t>–</w:t>
            </w:r>
          </w:p>
        </w:tc>
        <w:tc>
          <w:tcPr>
            <w:tcW w:w="809" w:type="pct"/>
            <w:noWrap/>
            <w:tcMar>
              <w:right w:w="0" w:type="nil"/>
            </w:tcMar>
            <w:hideMark/>
          </w:tcPr>
          <w:p w14:paraId="43DA61B8" w14:textId="77777777" w:rsidR="006E51BF" w:rsidRPr="000C16E7"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0C16E7">
              <w:rPr>
                <w:lang w:eastAsia="en-AU"/>
              </w:rPr>
              <w:t>2.4</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2BE39707" w14:textId="77777777" w:rsidR="006E51BF" w:rsidRPr="000C16E7" w:rsidRDefault="006E51BF">
            <w:pPr>
              <w:pStyle w:val="ARfintabletextright"/>
              <w:rPr>
                <w:lang w:eastAsia="en-AU"/>
              </w:rPr>
            </w:pPr>
            <w:r w:rsidRPr="000C16E7">
              <w:rPr>
                <w:lang w:eastAsia="en-AU"/>
              </w:rPr>
              <w:t>2.4</w:t>
            </w:r>
          </w:p>
        </w:tc>
      </w:tr>
      <w:tr w:rsidR="006E51BF" w:rsidRPr="000C16E7" w14:paraId="53A8E3E0"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2574" w:type="pct"/>
            <w:noWrap/>
            <w:hideMark/>
          </w:tcPr>
          <w:p w14:paraId="21EEFB81" w14:textId="77777777" w:rsidR="006E51BF" w:rsidRPr="000C16E7" w:rsidRDefault="006E51BF">
            <w:pPr>
              <w:pStyle w:val="ARfintabletext"/>
              <w:rPr>
                <w:lang w:eastAsia="en-AU"/>
              </w:rPr>
            </w:pPr>
            <w:r w:rsidRPr="000C16E7">
              <w:rPr>
                <w:lang w:eastAsia="en-AU"/>
              </w:rPr>
              <w:t>Reassessment of lease payments</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68334187" w14:textId="77777777" w:rsidR="006E51BF" w:rsidRPr="000C16E7" w:rsidRDefault="006E51BF">
            <w:pPr>
              <w:pStyle w:val="ARfintabletextright"/>
              <w:rPr>
                <w:lang w:eastAsia="en-AU"/>
              </w:rPr>
            </w:pPr>
            <w:r>
              <w:rPr>
                <w:lang w:eastAsia="en-AU"/>
              </w:rPr>
              <w:t>–</w:t>
            </w:r>
          </w:p>
        </w:tc>
        <w:tc>
          <w:tcPr>
            <w:tcW w:w="809" w:type="pct"/>
            <w:noWrap/>
            <w:tcMar>
              <w:right w:w="0" w:type="nil"/>
            </w:tcMar>
            <w:hideMark/>
          </w:tcPr>
          <w:p w14:paraId="1165C4B1" w14:textId="77777777" w:rsidR="006E51BF" w:rsidRPr="000C16E7"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08377C51" w14:textId="77777777" w:rsidR="006E51BF" w:rsidRPr="000C16E7" w:rsidRDefault="006E51BF">
            <w:pPr>
              <w:pStyle w:val="ARfintabletextright"/>
              <w:rPr>
                <w:lang w:eastAsia="en-AU"/>
              </w:rPr>
            </w:pPr>
            <w:r>
              <w:rPr>
                <w:lang w:eastAsia="en-AU"/>
              </w:rPr>
              <w:t>–</w:t>
            </w:r>
          </w:p>
        </w:tc>
      </w:tr>
      <w:tr w:rsidR="006E51BF" w:rsidRPr="000C16E7" w14:paraId="648B0EA4"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2574" w:type="pct"/>
            <w:noWrap/>
            <w:hideMark/>
          </w:tcPr>
          <w:p w14:paraId="113AE7E9" w14:textId="77777777" w:rsidR="006E51BF" w:rsidRPr="000C16E7" w:rsidRDefault="006E51BF">
            <w:pPr>
              <w:pStyle w:val="ARfintabletext"/>
              <w:rPr>
                <w:lang w:eastAsia="en-AU"/>
              </w:rPr>
            </w:pPr>
            <w:r w:rsidRPr="000C16E7">
              <w:rPr>
                <w:lang w:eastAsia="en-AU"/>
              </w:rPr>
              <w:t>Increase/(decrease) in make-good provision</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1BDF9FD3" w14:textId="77777777" w:rsidR="006E51BF" w:rsidRPr="000C16E7" w:rsidRDefault="006E51BF">
            <w:pPr>
              <w:pStyle w:val="ARfintabletextright"/>
              <w:rPr>
                <w:lang w:eastAsia="en-AU"/>
              </w:rPr>
            </w:pPr>
            <w:r>
              <w:rPr>
                <w:lang w:eastAsia="en-AU"/>
              </w:rPr>
              <w:t>–</w:t>
            </w:r>
          </w:p>
        </w:tc>
        <w:tc>
          <w:tcPr>
            <w:tcW w:w="809" w:type="pct"/>
            <w:noWrap/>
            <w:tcMar>
              <w:right w:w="0" w:type="nil"/>
            </w:tcMar>
            <w:hideMark/>
          </w:tcPr>
          <w:p w14:paraId="6D0334BF" w14:textId="77777777" w:rsidR="006E51BF" w:rsidRPr="000C16E7"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2F0B6E16" w14:textId="77777777" w:rsidR="006E51BF" w:rsidRPr="000C16E7" w:rsidRDefault="006E51BF">
            <w:pPr>
              <w:pStyle w:val="ARfintabletextright"/>
              <w:rPr>
                <w:lang w:eastAsia="en-AU"/>
              </w:rPr>
            </w:pPr>
            <w:r>
              <w:rPr>
                <w:lang w:eastAsia="en-AU"/>
              </w:rPr>
              <w:t>–</w:t>
            </w:r>
          </w:p>
        </w:tc>
      </w:tr>
      <w:tr w:rsidR="006E51BF" w:rsidRPr="000C16E7" w14:paraId="540D25A9"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2574" w:type="pct"/>
            <w:noWrap/>
            <w:hideMark/>
          </w:tcPr>
          <w:p w14:paraId="45BDA2D0" w14:textId="77777777" w:rsidR="006E51BF" w:rsidRPr="000C16E7" w:rsidRDefault="006E51BF">
            <w:pPr>
              <w:pStyle w:val="ARfintabletext"/>
              <w:rPr>
                <w:lang w:eastAsia="en-AU"/>
              </w:rPr>
            </w:pPr>
            <w:r w:rsidRPr="000C16E7">
              <w:rPr>
                <w:lang w:eastAsia="en-AU"/>
              </w:rPr>
              <w:t>Disposals</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171BDB5C" w14:textId="77777777" w:rsidR="006E51BF" w:rsidRPr="000C16E7" w:rsidRDefault="006E51BF">
            <w:pPr>
              <w:pStyle w:val="ARfintabletextright"/>
              <w:rPr>
                <w:lang w:eastAsia="en-AU"/>
              </w:rPr>
            </w:pPr>
            <w:r>
              <w:rPr>
                <w:lang w:eastAsia="en-AU"/>
              </w:rPr>
              <w:t>–</w:t>
            </w:r>
          </w:p>
        </w:tc>
        <w:tc>
          <w:tcPr>
            <w:tcW w:w="809" w:type="pct"/>
            <w:noWrap/>
            <w:tcMar>
              <w:right w:w="0" w:type="nil"/>
            </w:tcMar>
            <w:hideMark/>
          </w:tcPr>
          <w:p w14:paraId="22BB0B13" w14:textId="77777777" w:rsidR="006E51BF" w:rsidRPr="000C16E7"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7CA4A9A5" w14:textId="77777777" w:rsidR="006E51BF" w:rsidRPr="000C16E7" w:rsidRDefault="006E51BF">
            <w:pPr>
              <w:pStyle w:val="ARfintabletextright"/>
              <w:rPr>
                <w:lang w:eastAsia="en-AU"/>
              </w:rPr>
            </w:pPr>
            <w:r>
              <w:rPr>
                <w:lang w:eastAsia="en-AU"/>
              </w:rPr>
              <w:t>–</w:t>
            </w:r>
          </w:p>
        </w:tc>
      </w:tr>
      <w:tr w:rsidR="006E51BF" w:rsidRPr="000C16E7" w14:paraId="088C41BB"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2574" w:type="pct"/>
            <w:noWrap/>
            <w:hideMark/>
          </w:tcPr>
          <w:p w14:paraId="176AB504" w14:textId="77777777" w:rsidR="006E51BF" w:rsidRPr="000C16E7" w:rsidRDefault="006E51BF">
            <w:pPr>
              <w:pStyle w:val="ARfintabletext"/>
              <w:rPr>
                <w:lang w:eastAsia="en-AU"/>
              </w:rPr>
            </w:pPr>
            <w:r w:rsidRPr="000C16E7">
              <w:rPr>
                <w:lang w:eastAsia="en-AU"/>
              </w:rPr>
              <w:t>Capital contributed from asset transfers</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73AF0E27" w14:textId="77777777" w:rsidR="006E51BF" w:rsidRPr="000C16E7" w:rsidRDefault="006E51BF">
            <w:pPr>
              <w:pStyle w:val="ARfintabletextright"/>
              <w:rPr>
                <w:lang w:eastAsia="en-AU"/>
              </w:rPr>
            </w:pPr>
            <w:r>
              <w:rPr>
                <w:lang w:eastAsia="en-AU"/>
              </w:rPr>
              <w:t>–</w:t>
            </w:r>
          </w:p>
        </w:tc>
        <w:tc>
          <w:tcPr>
            <w:tcW w:w="809" w:type="pct"/>
            <w:noWrap/>
            <w:tcMar>
              <w:right w:w="0" w:type="nil"/>
            </w:tcMar>
            <w:hideMark/>
          </w:tcPr>
          <w:p w14:paraId="1DBED4BF" w14:textId="77777777" w:rsidR="006E51BF" w:rsidRPr="000C16E7"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3CF4707D" w14:textId="77777777" w:rsidR="006E51BF" w:rsidRPr="000C16E7" w:rsidRDefault="006E51BF">
            <w:pPr>
              <w:pStyle w:val="ARfintabletextright"/>
              <w:rPr>
                <w:lang w:eastAsia="en-AU"/>
              </w:rPr>
            </w:pPr>
            <w:r>
              <w:rPr>
                <w:lang w:eastAsia="en-AU"/>
              </w:rPr>
              <w:t>–</w:t>
            </w:r>
          </w:p>
        </w:tc>
      </w:tr>
      <w:tr w:rsidR="006E51BF" w:rsidRPr="000C16E7" w14:paraId="50CCC8A7"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2574" w:type="pct"/>
            <w:tcBorders>
              <w:bottom w:val="single" w:sz="4" w:space="0" w:color="BFBFBF" w:themeColor="accent2"/>
            </w:tcBorders>
            <w:noWrap/>
            <w:hideMark/>
          </w:tcPr>
          <w:p w14:paraId="07C26001" w14:textId="77777777" w:rsidR="006E51BF" w:rsidRPr="000C16E7" w:rsidRDefault="006E51BF">
            <w:pPr>
              <w:pStyle w:val="ARfintabletext"/>
              <w:rPr>
                <w:lang w:eastAsia="en-AU"/>
              </w:rPr>
            </w:pPr>
            <w:r w:rsidRPr="000C16E7">
              <w:rPr>
                <w:lang w:eastAsia="en-AU"/>
              </w:rPr>
              <w:t>Transfers in/(out) of Level 3</w:t>
            </w:r>
          </w:p>
        </w:tc>
        <w:tc>
          <w:tcPr>
            <w:cnfStyle w:val="000001000000" w:firstRow="0" w:lastRow="0" w:firstColumn="0" w:lastColumn="0" w:oddVBand="0" w:evenVBand="1" w:oddHBand="0" w:evenHBand="0" w:firstRowFirstColumn="0" w:firstRowLastColumn="0" w:lastRowFirstColumn="0" w:lastRowLastColumn="0"/>
            <w:tcW w:w="809" w:type="pct"/>
            <w:tcBorders>
              <w:bottom w:val="single" w:sz="4" w:space="0" w:color="BFBFBF" w:themeColor="accent2"/>
            </w:tcBorders>
            <w:noWrap/>
            <w:tcMar>
              <w:right w:w="0" w:type="nil"/>
            </w:tcMar>
            <w:hideMark/>
          </w:tcPr>
          <w:p w14:paraId="46E9BB43" w14:textId="77777777" w:rsidR="006E51BF" w:rsidRPr="000C16E7" w:rsidRDefault="006E51BF">
            <w:pPr>
              <w:pStyle w:val="ARfintabletextright"/>
              <w:rPr>
                <w:lang w:eastAsia="en-AU"/>
              </w:rPr>
            </w:pPr>
            <w:r>
              <w:rPr>
                <w:lang w:eastAsia="en-AU"/>
              </w:rPr>
              <w:t>–</w:t>
            </w:r>
          </w:p>
        </w:tc>
        <w:tc>
          <w:tcPr>
            <w:tcW w:w="809" w:type="pct"/>
            <w:tcBorders>
              <w:bottom w:val="single" w:sz="4" w:space="0" w:color="BFBFBF" w:themeColor="accent2"/>
            </w:tcBorders>
            <w:noWrap/>
            <w:tcMar>
              <w:right w:w="0" w:type="nil"/>
            </w:tcMar>
            <w:hideMark/>
          </w:tcPr>
          <w:p w14:paraId="0FC1DC53" w14:textId="77777777" w:rsidR="006E51BF" w:rsidRPr="000C16E7"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0C16E7">
              <w:rPr>
                <w:lang w:eastAsia="en-AU"/>
              </w:rPr>
              <w:t>334.9</w:t>
            </w:r>
          </w:p>
        </w:tc>
        <w:tc>
          <w:tcPr>
            <w:cnfStyle w:val="000001000000" w:firstRow="0" w:lastRow="0" w:firstColumn="0" w:lastColumn="0" w:oddVBand="0" w:evenVBand="1" w:oddHBand="0" w:evenHBand="0" w:firstRowFirstColumn="0" w:firstRowLastColumn="0" w:lastRowFirstColumn="0" w:lastRowLastColumn="0"/>
            <w:tcW w:w="809" w:type="pct"/>
            <w:tcBorders>
              <w:bottom w:val="single" w:sz="4" w:space="0" w:color="BFBFBF" w:themeColor="accent2"/>
            </w:tcBorders>
            <w:noWrap/>
            <w:tcMar>
              <w:right w:w="0" w:type="nil"/>
            </w:tcMar>
            <w:hideMark/>
          </w:tcPr>
          <w:p w14:paraId="1B2E0D9C" w14:textId="77777777" w:rsidR="006E51BF" w:rsidRPr="000C16E7" w:rsidRDefault="006E51BF">
            <w:pPr>
              <w:pStyle w:val="ARfintabletextright"/>
              <w:rPr>
                <w:lang w:eastAsia="en-AU"/>
              </w:rPr>
            </w:pPr>
            <w:r w:rsidRPr="000C16E7">
              <w:rPr>
                <w:lang w:eastAsia="en-AU"/>
              </w:rPr>
              <w:t>334.9</w:t>
            </w:r>
          </w:p>
        </w:tc>
      </w:tr>
      <w:tr w:rsidR="006E51BF" w:rsidRPr="000C16E7" w14:paraId="2F7A1ACD"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2574" w:type="pct"/>
            <w:tcBorders>
              <w:top w:val="single" w:sz="4" w:space="0" w:color="BFBFBF" w:themeColor="accent2"/>
              <w:bottom w:val="single" w:sz="4" w:space="0" w:color="000000" w:themeColor="text1"/>
            </w:tcBorders>
            <w:noWrap/>
            <w:hideMark/>
          </w:tcPr>
          <w:p w14:paraId="5B3A843C" w14:textId="77777777" w:rsidR="006E51BF" w:rsidRPr="000C16E7" w:rsidRDefault="006E51BF">
            <w:pPr>
              <w:pStyle w:val="ARfintabletext"/>
              <w:rPr>
                <w:lang w:eastAsia="en-AU"/>
              </w:rPr>
            </w:pPr>
            <w:r w:rsidRPr="000C16E7">
              <w:rPr>
                <w:lang w:eastAsia="en-AU"/>
              </w:rPr>
              <w:t>Depreciation</w:t>
            </w:r>
          </w:p>
        </w:tc>
        <w:tc>
          <w:tcPr>
            <w:cnfStyle w:val="000001000000" w:firstRow="0" w:lastRow="0" w:firstColumn="0" w:lastColumn="0" w:oddVBand="0" w:evenVBand="1" w:oddHBand="0" w:evenHBand="0" w:firstRowFirstColumn="0" w:firstRowLastColumn="0" w:lastRowFirstColumn="0" w:lastRowLastColumn="0"/>
            <w:tcW w:w="809" w:type="pct"/>
            <w:tcBorders>
              <w:top w:val="single" w:sz="4" w:space="0" w:color="BFBFBF" w:themeColor="accent2"/>
              <w:bottom w:val="single" w:sz="4" w:space="0" w:color="000000" w:themeColor="text1"/>
            </w:tcBorders>
            <w:noWrap/>
            <w:tcMar>
              <w:right w:w="0" w:type="nil"/>
            </w:tcMar>
            <w:hideMark/>
          </w:tcPr>
          <w:p w14:paraId="6EEFDC44" w14:textId="77777777" w:rsidR="006E51BF" w:rsidRPr="000C16E7" w:rsidRDefault="006E51BF">
            <w:pPr>
              <w:pStyle w:val="ARfintabletextright"/>
              <w:rPr>
                <w:lang w:eastAsia="en-AU"/>
              </w:rPr>
            </w:pPr>
            <w:r>
              <w:rPr>
                <w:lang w:eastAsia="en-AU"/>
              </w:rPr>
              <w:t>–</w:t>
            </w:r>
          </w:p>
        </w:tc>
        <w:tc>
          <w:tcPr>
            <w:tcW w:w="809" w:type="pct"/>
            <w:tcBorders>
              <w:top w:val="single" w:sz="4" w:space="0" w:color="BFBFBF" w:themeColor="accent2"/>
              <w:bottom w:val="single" w:sz="4" w:space="0" w:color="000000" w:themeColor="text1"/>
            </w:tcBorders>
            <w:noWrap/>
            <w:tcMar>
              <w:right w:w="0" w:type="nil"/>
            </w:tcMar>
            <w:hideMark/>
          </w:tcPr>
          <w:p w14:paraId="02E2212E" w14:textId="77777777" w:rsidR="006E51BF" w:rsidRPr="000C16E7"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0C16E7">
              <w:rPr>
                <w:lang w:eastAsia="en-AU"/>
              </w:rPr>
              <w:t>(18.0)</w:t>
            </w:r>
          </w:p>
        </w:tc>
        <w:tc>
          <w:tcPr>
            <w:cnfStyle w:val="000001000000" w:firstRow="0" w:lastRow="0" w:firstColumn="0" w:lastColumn="0" w:oddVBand="0" w:evenVBand="1" w:oddHBand="0" w:evenHBand="0" w:firstRowFirstColumn="0" w:firstRowLastColumn="0" w:lastRowFirstColumn="0" w:lastRowLastColumn="0"/>
            <w:tcW w:w="809" w:type="pct"/>
            <w:tcBorders>
              <w:top w:val="single" w:sz="4" w:space="0" w:color="BFBFBF" w:themeColor="accent2"/>
              <w:bottom w:val="single" w:sz="4" w:space="0" w:color="000000" w:themeColor="text1"/>
            </w:tcBorders>
            <w:noWrap/>
            <w:tcMar>
              <w:right w:w="0" w:type="nil"/>
            </w:tcMar>
            <w:hideMark/>
          </w:tcPr>
          <w:p w14:paraId="381F9A95" w14:textId="77777777" w:rsidR="006E51BF" w:rsidRPr="000C16E7" w:rsidRDefault="006E51BF">
            <w:pPr>
              <w:pStyle w:val="ARfintabletextright"/>
              <w:rPr>
                <w:lang w:eastAsia="en-AU"/>
              </w:rPr>
            </w:pPr>
            <w:r w:rsidRPr="000C16E7">
              <w:rPr>
                <w:lang w:eastAsia="en-AU"/>
              </w:rPr>
              <w:t>(18.0)</w:t>
            </w:r>
          </w:p>
        </w:tc>
      </w:tr>
      <w:tr w:rsidR="006E51BF" w:rsidRPr="000C16E7" w14:paraId="110E553B"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2574" w:type="pct"/>
            <w:tcBorders>
              <w:top w:val="single" w:sz="4" w:space="0" w:color="000000" w:themeColor="text1"/>
              <w:bottom w:val="single" w:sz="4" w:space="0" w:color="000000" w:themeColor="text1"/>
            </w:tcBorders>
            <w:hideMark/>
          </w:tcPr>
          <w:p w14:paraId="7A62FEB0" w14:textId="77777777" w:rsidR="006E51BF" w:rsidRPr="000C16E7" w:rsidRDefault="006E51BF">
            <w:pPr>
              <w:pStyle w:val="ARfintabletextbold"/>
              <w:rPr>
                <w:lang w:eastAsia="en-AU"/>
              </w:rPr>
            </w:pPr>
            <w:r w:rsidRPr="000C16E7">
              <w:rPr>
                <w:lang w:eastAsia="en-AU"/>
              </w:rPr>
              <w:t>Subtotal of gains or losses recognised in net result</w:t>
            </w:r>
          </w:p>
        </w:tc>
        <w:tc>
          <w:tcPr>
            <w:cnfStyle w:val="000001000000" w:firstRow="0" w:lastRow="0" w:firstColumn="0" w:lastColumn="0" w:oddVBand="0" w:evenVBand="1" w:oddHBand="0" w:evenHBand="0" w:firstRowFirstColumn="0" w:firstRowLastColumn="0" w:lastRowFirstColumn="0" w:lastRowLastColumn="0"/>
            <w:tcW w:w="809" w:type="pct"/>
            <w:tcBorders>
              <w:top w:val="single" w:sz="4" w:space="0" w:color="000000" w:themeColor="text1"/>
              <w:bottom w:val="single" w:sz="4" w:space="0" w:color="000000" w:themeColor="text1"/>
            </w:tcBorders>
            <w:noWrap/>
            <w:tcMar>
              <w:right w:w="0" w:type="nil"/>
            </w:tcMar>
            <w:hideMark/>
          </w:tcPr>
          <w:p w14:paraId="42D1AC6F" w14:textId="77777777" w:rsidR="006E51BF" w:rsidRPr="000C16E7" w:rsidRDefault="006E51BF">
            <w:pPr>
              <w:pStyle w:val="ARfintabletextboldright"/>
              <w:rPr>
                <w:lang w:eastAsia="en-AU"/>
              </w:rPr>
            </w:pPr>
            <w:r>
              <w:rPr>
                <w:lang w:eastAsia="en-AU"/>
              </w:rPr>
              <w:t>–</w:t>
            </w:r>
          </w:p>
        </w:tc>
        <w:tc>
          <w:tcPr>
            <w:tcW w:w="809" w:type="pct"/>
            <w:tcBorders>
              <w:top w:val="single" w:sz="4" w:space="0" w:color="000000" w:themeColor="text1"/>
              <w:bottom w:val="single" w:sz="4" w:space="0" w:color="000000" w:themeColor="text1"/>
            </w:tcBorders>
            <w:noWrap/>
            <w:tcMar>
              <w:right w:w="0" w:type="nil"/>
            </w:tcMar>
            <w:hideMark/>
          </w:tcPr>
          <w:p w14:paraId="00D0F9F7" w14:textId="77777777" w:rsidR="006E51BF" w:rsidRPr="000C16E7"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0C16E7">
              <w:rPr>
                <w:lang w:eastAsia="en-AU"/>
              </w:rPr>
              <w:t>(18.0)</w:t>
            </w:r>
          </w:p>
        </w:tc>
        <w:tc>
          <w:tcPr>
            <w:cnfStyle w:val="000001000000" w:firstRow="0" w:lastRow="0" w:firstColumn="0" w:lastColumn="0" w:oddVBand="0" w:evenVBand="1" w:oddHBand="0" w:evenHBand="0" w:firstRowFirstColumn="0" w:firstRowLastColumn="0" w:lastRowFirstColumn="0" w:lastRowLastColumn="0"/>
            <w:tcW w:w="809" w:type="pct"/>
            <w:tcBorders>
              <w:top w:val="single" w:sz="4" w:space="0" w:color="000000" w:themeColor="text1"/>
              <w:bottom w:val="single" w:sz="4" w:space="0" w:color="000000" w:themeColor="text1"/>
            </w:tcBorders>
            <w:noWrap/>
            <w:tcMar>
              <w:right w:w="0" w:type="nil"/>
            </w:tcMar>
            <w:hideMark/>
          </w:tcPr>
          <w:p w14:paraId="6C1231D3" w14:textId="77777777" w:rsidR="006E51BF" w:rsidRPr="000C16E7" w:rsidRDefault="006E51BF">
            <w:pPr>
              <w:pStyle w:val="ARfintabletextboldright"/>
              <w:rPr>
                <w:lang w:eastAsia="en-AU"/>
              </w:rPr>
            </w:pPr>
            <w:r w:rsidRPr="000C16E7">
              <w:rPr>
                <w:lang w:eastAsia="en-AU"/>
              </w:rPr>
              <w:t>(18.0)</w:t>
            </w:r>
          </w:p>
        </w:tc>
      </w:tr>
      <w:tr w:rsidR="006E51BF" w:rsidRPr="000C16E7" w14:paraId="2010EF22"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2574" w:type="pct"/>
            <w:tcBorders>
              <w:top w:val="single" w:sz="4" w:space="0" w:color="000000" w:themeColor="text1"/>
            </w:tcBorders>
            <w:hideMark/>
          </w:tcPr>
          <w:p w14:paraId="6DE874E6" w14:textId="77777777" w:rsidR="006E51BF" w:rsidRPr="000C16E7" w:rsidRDefault="006E51BF">
            <w:pPr>
              <w:pStyle w:val="ARfintabletextbold"/>
              <w:rPr>
                <w:lang w:eastAsia="en-AU"/>
              </w:rPr>
            </w:pPr>
            <w:r w:rsidRPr="000C16E7">
              <w:rPr>
                <w:lang w:eastAsia="en-AU"/>
              </w:rPr>
              <w:t xml:space="preserve">Gains or losses recognised in other economic flows </w:t>
            </w:r>
            <w:r>
              <w:rPr>
                <w:lang w:eastAsia="en-AU"/>
              </w:rPr>
              <w:t>–</w:t>
            </w:r>
            <w:r w:rsidRPr="000C16E7">
              <w:rPr>
                <w:lang w:eastAsia="en-AU"/>
              </w:rPr>
              <w:t>other comprehensive income</w:t>
            </w:r>
          </w:p>
        </w:tc>
        <w:tc>
          <w:tcPr>
            <w:cnfStyle w:val="000001000000" w:firstRow="0" w:lastRow="0" w:firstColumn="0" w:lastColumn="0" w:oddVBand="0" w:evenVBand="1" w:oddHBand="0" w:evenHBand="0" w:firstRowFirstColumn="0" w:firstRowLastColumn="0" w:lastRowFirstColumn="0" w:lastRowLastColumn="0"/>
            <w:tcW w:w="809" w:type="pct"/>
            <w:tcBorders>
              <w:top w:val="single" w:sz="4" w:space="0" w:color="000000" w:themeColor="text1"/>
            </w:tcBorders>
            <w:noWrap/>
            <w:tcMar>
              <w:right w:w="0" w:type="nil"/>
            </w:tcMar>
            <w:hideMark/>
          </w:tcPr>
          <w:p w14:paraId="09D98BCD" w14:textId="77777777" w:rsidR="006E51BF" w:rsidRPr="000C16E7" w:rsidRDefault="006E51BF">
            <w:pPr>
              <w:pStyle w:val="ARfintabletextright"/>
              <w:rPr>
                <w:lang w:eastAsia="en-AU"/>
              </w:rPr>
            </w:pPr>
          </w:p>
        </w:tc>
        <w:tc>
          <w:tcPr>
            <w:tcW w:w="809" w:type="pct"/>
            <w:tcBorders>
              <w:top w:val="single" w:sz="4" w:space="0" w:color="000000" w:themeColor="text1"/>
            </w:tcBorders>
            <w:noWrap/>
            <w:tcMar>
              <w:right w:w="0" w:type="nil"/>
            </w:tcMar>
            <w:hideMark/>
          </w:tcPr>
          <w:p w14:paraId="79D4EED7" w14:textId="77777777" w:rsidR="006E51BF" w:rsidRPr="000C16E7"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809" w:type="pct"/>
            <w:tcBorders>
              <w:top w:val="single" w:sz="4" w:space="0" w:color="000000" w:themeColor="text1"/>
            </w:tcBorders>
            <w:noWrap/>
            <w:tcMar>
              <w:right w:w="0" w:type="nil"/>
            </w:tcMar>
            <w:hideMark/>
          </w:tcPr>
          <w:p w14:paraId="78DBB739" w14:textId="77777777" w:rsidR="006E51BF" w:rsidRPr="000C16E7" w:rsidRDefault="006E51BF">
            <w:pPr>
              <w:pStyle w:val="ARfintabletextright"/>
              <w:rPr>
                <w:lang w:eastAsia="en-AU"/>
              </w:rPr>
            </w:pPr>
          </w:p>
        </w:tc>
      </w:tr>
      <w:tr w:rsidR="006E51BF" w:rsidRPr="000C16E7" w14:paraId="4804ED86"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2574" w:type="pct"/>
            <w:noWrap/>
            <w:hideMark/>
          </w:tcPr>
          <w:p w14:paraId="44B2B4B5" w14:textId="77777777" w:rsidR="006E51BF" w:rsidRPr="000C16E7" w:rsidRDefault="006E51BF">
            <w:pPr>
              <w:pStyle w:val="ARfintabletext"/>
              <w:rPr>
                <w:lang w:eastAsia="en-AU"/>
              </w:rPr>
            </w:pPr>
            <w:r w:rsidRPr="000C16E7">
              <w:rPr>
                <w:lang w:eastAsia="en-AU"/>
              </w:rPr>
              <w:t>Net revaluation increments/(decrements)</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16CB56ED" w14:textId="77777777" w:rsidR="006E51BF" w:rsidRPr="000C16E7" w:rsidRDefault="006E51BF">
            <w:pPr>
              <w:pStyle w:val="ARfintabletextright"/>
              <w:rPr>
                <w:lang w:eastAsia="en-AU"/>
              </w:rPr>
            </w:pPr>
            <w:r>
              <w:rPr>
                <w:lang w:eastAsia="en-AU"/>
              </w:rPr>
              <w:t>–</w:t>
            </w:r>
          </w:p>
        </w:tc>
        <w:tc>
          <w:tcPr>
            <w:tcW w:w="809" w:type="pct"/>
            <w:noWrap/>
            <w:tcMar>
              <w:right w:w="0" w:type="nil"/>
            </w:tcMar>
            <w:hideMark/>
          </w:tcPr>
          <w:p w14:paraId="11D28D67" w14:textId="77777777" w:rsidR="006E51BF" w:rsidRPr="000C16E7"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0C16E7">
              <w:rPr>
                <w:lang w:eastAsia="en-AU"/>
              </w:rPr>
              <w:t>(1.0)</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558770F3" w14:textId="77777777" w:rsidR="006E51BF" w:rsidRPr="000C16E7" w:rsidRDefault="006E51BF">
            <w:pPr>
              <w:pStyle w:val="ARfintabletextright"/>
              <w:rPr>
                <w:lang w:eastAsia="en-AU"/>
              </w:rPr>
            </w:pPr>
            <w:r w:rsidRPr="000C16E7">
              <w:rPr>
                <w:lang w:eastAsia="en-AU"/>
              </w:rPr>
              <w:t>(1.0)</w:t>
            </w:r>
          </w:p>
        </w:tc>
      </w:tr>
      <w:tr w:rsidR="006E51BF" w:rsidRPr="000C16E7" w14:paraId="56802579"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2574" w:type="pct"/>
            <w:hideMark/>
          </w:tcPr>
          <w:p w14:paraId="0018FFF5" w14:textId="77777777" w:rsidR="006E51BF" w:rsidRPr="000C16E7" w:rsidRDefault="006E51BF">
            <w:pPr>
              <w:pStyle w:val="ARfintabletextbold"/>
              <w:rPr>
                <w:lang w:eastAsia="en-AU"/>
              </w:rPr>
            </w:pPr>
            <w:r w:rsidRPr="000C16E7">
              <w:rPr>
                <w:lang w:eastAsia="en-AU"/>
              </w:rPr>
              <w:t>Subtotal of gains or losses recognised in other economic</w:t>
            </w:r>
            <w:r>
              <w:rPr>
                <w:lang w:eastAsia="en-AU"/>
              </w:rPr>
              <w:t> </w:t>
            </w:r>
            <w:r w:rsidRPr="000C16E7">
              <w:rPr>
                <w:lang w:eastAsia="en-AU"/>
              </w:rPr>
              <w:t>flows</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5A1FF80D" w14:textId="77777777" w:rsidR="006E51BF" w:rsidRPr="000C16E7" w:rsidRDefault="006E51BF">
            <w:pPr>
              <w:pStyle w:val="ARfintabletextboldright"/>
              <w:rPr>
                <w:lang w:eastAsia="en-AU"/>
              </w:rPr>
            </w:pPr>
            <w:r>
              <w:rPr>
                <w:lang w:eastAsia="en-AU"/>
              </w:rPr>
              <w:t>–</w:t>
            </w:r>
          </w:p>
        </w:tc>
        <w:tc>
          <w:tcPr>
            <w:tcW w:w="809" w:type="pct"/>
            <w:noWrap/>
            <w:tcMar>
              <w:right w:w="0" w:type="nil"/>
            </w:tcMar>
            <w:hideMark/>
          </w:tcPr>
          <w:p w14:paraId="177BDE59" w14:textId="77777777" w:rsidR="006E51BF" w:rsidRPr="000C16E7"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0C16E7">
              <w:rPr>
                <w:lang w:eastAsia="en-AU"/>
              </w:rPr>
              <w:t>(1.0)</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060DB25C" w14:textId="77777777" w:rsidR="006E51BF" w:rsidRPr="000C16E7" w:rsidRDefault="006E51BF">
            <w:pPr>
              <w:pStyle w:val="ARfintabletextboldright"/>
              <w:rPr>
                <w:lang w:eastAsia="en-AU"/>
              </w:rPr>
            </w:pPr>
            <w:r w:rsidRPr="000C16E7">
              <w:rPr>
                <w:lang w:eastAsia="en-AU"/>
              </w:rPr>
              <w:t>(1.0)</w:t>
            </w:r>
          </w:p>
        </w:tc>
      </w:tr>
      <w:tr w:rsidR="006E51BF" w:rsidRPr="000C16E7" w14:paraId="054DE8B7" w14:textId="77777777" w:rsidTr="004A6D92">
        <w:trPr>
          <w:cnfStyle w:val="010000000000" w:firstRow="0" w:lastRow="1" w:firstColumn="0" w:lastColumn="0" w:oddVBand="0" w:evenVBand="0" w:oddHBand="0" w:evenHBand="0" w:firstRowFirstColumn="0" w:firstRowLastColumn="0" w:lastRowFirstColumn="0" w:lastRowLastColumn="0"/>
          <w:trHeight w:val="20"/>
        </w:trPr>
        <w:tc>
          <w:tcPr>
            <w:tcW w:w="2574" w:type="pct"/>
            <w:noWrap/>
            <w:hideMark/>
          </w:tcPr>
          <w:p w14:paraId="0D2A79B0" w14:textId="77777777" w:rsidR="006E51BF" w:rsidRPr="000C16E7" w:rsidRDefault="006E51BF">
            <w:pPr>
              <w:pStyle w:val="ARfintabletextbold"/>
              <w:rPr>
                <w:lang w:eastAsia="en-AU"/>
              </w:rPr>
            </w:pPr>
            <w:r w:rsidRPr="000C16E7">
              <w:rPr>
                <w:lang w:eastAsia="en-AU"/>
              </w:rPr>
              <w:t>Closing balance</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318B098A" w14:textId="77777777" w:rsidR="006E51BF" w:rsidRPr="000C16E7" w:rsidRDefault="006E51BF">
            <w:pPr>
              <w:pStyle w:val="ARfintabletextboldright"/>
              <w:rPr>
                <w:lang w:eastAsia="en-AU"/>
              </w:rPr>
            </w:pPr>
            <w:r w:rsidRPr="000C16E7">
              <w:rPr>
                <w:lang w:eastAsia="en-AU"/>
              </w:rPr>
              <w:t>164.1</w:t>
            </w:r>
          </w:p>
        </w:tc>
        <w:tc>
          <w:tcPr>
            <w:tcW w:w="809" w:type="pct"/>
            <w:noWrap/>
            <w:tcMar>
              <w:right w:w="0" w:type="nil"/>
            </w:tcMar>
            <w:hideMark/>
          </w:tcPr>
          <w:p w14:paraId="3DF9BA3D" w14:textId="77777777" w:rsidR="006E51BF" w:rsidRPr="000C16E7"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0C16E7">
              <w:rPr>
                <w:lang w:eastAsia="en-AU"/>
              </w:rPr>
              <w:t>445.3</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306A9E76" w14:textId="77777777" w:rsidR="006E51BF" w:rsidRPr="000C16E7" w:rsidRDefault="006E51BF">
            <w:pPr>
              <w:pStyle w:val="ARfintabletextboldright"/>
              <w:rPr>
                <w:lang w:eastAsia="en-AU"/>
              </w:rPr>
            </w:pPr>
            <w:r w:rsidRPr="000C16E7">
              <w:rPr>
                <w:lang w:eastAsia="en-AU"/>
              </w:rPr>
              <w:t>609.4</w:t>
            </w:r>
          </w:p>
        </w:tc>
      </w:tr>
    </w:tbl>
    <w:p w14:paraId="18E571C6" w14:textId="77777777" w:rsidR="006E51BF" w:rsidRDefault="006E51BF">
      <w:pPr>
        <w:pStyle w:val="ARfinbody"/>
      </w:pPr>
    </w:p>
    <w:tbl>
      <w:tblPr>
        <w:tblStyle w:val="ARtable1"/>
        <w:tblW w:w="5000" w:type="pct"/>
        <w:tblLook w:val="00E0" w:firstRow="1" w:lastRow="1" w:firstColumn="1" w:lastColumn="0" w:noHBand="0" w:noVBand="0"/>
      </w:tblPr>
      <w:tblGrid>
        <w:gridCol w:w="4956"/>
        <w:gridCol w:w="1558"/>
        <w:gridCol w:w="1558"/>
        <w:gridCol w:w="1556"/>
      </w:tblGrid>
      <w:tr w:rsidR="006E51BF" w:rsidRPr="000C16E7" w14:paraId="6CBE7505" w14:textId="77777777" w:rsidTr="004A6D92">
        <w:trPr>
          <w:cnfStyle w:val="100000000000" w:firstRow="1" w:lastRow="0" w:firstColumn="0" w:lastColumn="0" w:oddVBand="0" w:evenVBand="0" w:oddHBand="0" w:evenHBand="0" w:firstRowFirstColumn="0" w:firstRowLastColumn="0" w:lastRowFirstColumn="0" w:lastRowLastColumn="0"/>
          <w:trHeight w:val="20"/>
          <w:tblHeader/>
        </w:trPr>
        <w:tc>
          <w:tcPr>
            <w:tcW w:w="2574" w:type="pct"/>
            <w:noWrap/>
            <w:hideMark/>
          </w:tcPr>
          <w:p w14:paraId="354A82BC" w14:textId="77777777" w:rsidR="006E51BF" w:rsidRPr="000C16E7" w:rsidRDefault="006E51BF">
            <w:pPr>
              <w:pStyle w:val="ARfintablecolhead"/>
              <w:rPr>
                <w:lang w:eastAsia="en-AU"/>
              </w:rPr>
            </w:pPr>
            <w:r w:rsidRPr="000C16E7">
              <w:rPr>
                <w:lang w:eastAsia="en-AU"/>
              </w:rPr>
              <w:t>2025</w:t>
            </w:r>
          </w:p>
        </w:tc>
        <w:tc>
          <w:tcPr>
            <w:cnfStyle w:val="000001000000" w:firstRow="0" w:lastRow="0" w:firstColumn="0" w:lastColumn="0" w:oddVBand="0" w:evenVBand="1" w:oddHBand="0" w:evenHBand="0" w:firstRowFirstColumn="0" w:firstRowLastColumn="0" w:lastRowFirstColumn="0" w:lastRowLastColumn="0"/>
            <w:tcW w:w="809" w:type="pct"/>
            <w:tcMar>
              <w:right w:w="0" w:type="nil"/>
            </w:tcMar>
            <w:hideMark/>
          </w:tcPr>
          <w:p w14:paraId="06863CEB" w14:textId="77777777" w:rsidR="006E51BF" w:rsidRPr="000C16E7" w:rsidRDefault="006E51BF">
            <w:pPr>
              <w:pStyle w:val="ARfintablecolheadright"/>
              <w:rPr>
                <w:lang w:eastAsia="en-AU"/>
              </w:rPr>
            </w:pPr>
            <w:r w:rsidRPr="000C16E7">
              <w:rPr>
                <w:lang w:eastAsia="en-AU"/>
              </w:rPr>
              <w:t>Specialised</w:t>
            </w:r>
            <w:r w:rsidRPr="000C16E7">
              <w:rPr>
                <w:lang w:eastAsia="en-AU"/>
              </w:rPr>
              <w:br/>
              <w:t>land</w:t>
            </w:r>
          </w:p>
          <w:p w14:paraId="66DBB5F2" w14:textId="77777777" w:rsidR="006E51BF" w:rsidRPr="000C16E7" w:rsidRDefault="006E51BF">
            <w:pPr>
              <w:pStyle w:val="ARfintablecolheadright"/>
              <w:rPr>
                <w:lang w:eastAsia="en-AU"/>
              </w:rPr>
            </w:pPr>
            <w:r w:rsidRPr="000C16E7">
              <w:rPr>
                <w:lang w:eastAsia="en-AU"/>
              </w:rPr>
              <w:t>$M</w:t>
            </w:r>
          </w:p>
        </w:tc>
        <w:tc>
          <w:tcPr>
            <w:tcW w:w="809" w:type="pct"/>
            <w:tcMar>
              <w:right w:w="0" w:type="nil"/>
            </w:tcMar>
            <w:hideMark/>
          </w:tcPr>
          <w:p w14:paraId="15DFF60F" w14:textId="77777777" w:rsidR="006E51BF" w:rsidRPr="000C16E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C16E7">
              <w:rPr>
                <w:lang w:eastAsia="en-AU"/>
              </w:rPr>
              <w:t>Specialised</w:t>
            </w:r>
            <w:r w:rsidRPr="000C16E7">
              <w:rPr>
                <w:lang w:eastAsia="en-AU"/>
              </w:rPr>
              <w:br/>
              <w:t>buildings</w:t>
            </w:r>
          </w:p>
          <w:p w14:paraId="4BEF5B90" w14:textId="77777777" w:rsidR="006E51BF" w:rsidRPr="000C16E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C16E7">
              <w:rPr>
                <w:lang w:eastAsia="en-AU"/>
              </w:rPr>
              <w:t>$M</w:t>
            </w:r>
          </w:p>
        </w:tc>
        <w:tc>
          <w:tcPr>
            <w:cnfStyle w:val="000001000000" w:firstRow="0" w:lastRow="0" w:firstColumn="0" w:lastColumn="0" w:oddVBand="0" w:evenVBand="1" w:oddHBand="0" w:evenHBand="0" w:firstRowFirstColumn="0" w:firstRowLastColumn="0" w:lastRowFirstColumn="0" w:lastRowLastColumn="0"/>
            <w:tcW w:w="809" w:type="pct"/>
            <w:tcMar>
              <w:right w:w="0" w:type="nil"/>
            </w:tcMar>
            <w:hideMark/>
          </w:tcPr>
          <w:p w14:paraId="38989368" w14:textId="77777777" w:rsidR="006E51BF" w:rsidRPr="000C16E7" w:rsidRDefault="006E51BF">
            <w:pPr>
              <w:pStyle w:val="ARfintablecolheadright"/>
              <w:rPr>
                <w:lang w:eastAsia="en-AU"/>
              </w:rPr>
            </w:pPr>
            <w:r w:rsidRPr="000C16E7">
              <w:rPr>
                <w:lang w:eastAsia="en-AU"/>
              </w:rPr>
              <w:t>Total</w:t>
            </w:r>
          </w:p>
          <w:p w14:paraId="505BCC6E" w14:textId="77777777" w:rsidR="006E51BF" w:rsidRPr="000C16E7" w:rsidRDefault="006E51BF">
            <w:pPr>
              <w:pStyle w:val="ARfintablecolheadright"/>
              <w:rPr>
                <w:lang w:eastAsia="en-AU"/>
              </w:rPr>
            </w:pPr>
            <w:r w:rsidRPr="000C16E7">
              <w:rPr>
                <w:lang w:eastAsia="en-AU"/>
              </w:rPr>
              <w:t>$M</w:t>
            </w:r>
          </w:p>
        </w:tc>
      </w:tr>
      <w:tr w:rsidR="006E51BF" w:rsidRPr="000C16E7" w14:paraId="780D68F7"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2574" w:type="pct"/>
            <w:hideMark/>
          </w:tcPr>
          <w:p w14:paraId="619C3195" w14:textId="77777777" w:rsidR="006E51BF" w:rsidRPr="000C16E7" w:rsidRDefault="006E51BF">
            <w:pPr>
              <w:pStyle w:val="ARfintabletextbold"/>
              <w:rPr>
                <w:lang w:eastAsia="en-AU"/>
              </w:rPr>
            </w:pPr>
            <w:r w:rsidRPr="000C16E7">
              <w:rPr>
                <w:lang w:eastAsia="en-AU"/>
              </w:rPr>
              <w:t>Opening balance</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40270934" w14:textId="77777777" w:rsidR="006E51BF" w:rsidRPr="000C16E7" w:rsidRDefault="006E51BF">
            <w:pPr>
              <w:pStyle w:val="ARfintabletextboldright"/>
              <w:rPr>
                <w:lang w:eastAsia="en-AU"/>
              </w:rPr>
            </w:pPr>
            <w:r w:rsidRPr="000C16E7">
              <w:rPr>
                <w:lang w:eastAsia="en-AU"/>
              </w:rPr>
              <w:t>170.2</w:t>
            </w:r>
          </w:p>
        </w:tc>
        <w:tc>
          <w:tcPr>
            <w:tcW w:w="809" w:type="pct"/>
            <w:noWrap/>
            <w:tcMar>
              <w:right w:w="0" w:type="nil"/>
            </w:tcMar>
            <w:hideMark/>
          </w:tcPr>
          <w:p w14:paraId="3498F532" w14:textId="77777777" w:rsidR="006E51BF" w:rsidRPr="000C16E7"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0C16E7">
              <w:rPr>
                <w:lang w:eastAsia="en-AU"/>
              </w:rPr>
              <w:t>146.6</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6B0348D1" w14:textId="77777777" w:rsidR="006E51BF" w:rsidRPr="000C16E7" w:rsidRDefault="006E51BF">
            <w:pPr>
              <w:pStyle w:val="ARfintabletextboldright"/>
              <w:rPr>
                <w:lang w:eastAsia="en-AU"/>
              </w:rPr>
            </w:pPr>
            <w:r w:rsidRPr="000C16E7">
              <w:rPr>
                <w:lang w:eastAsia="en-AU"/>
              </w:rPr>
              <w:t>316.8</w:t>
            </w:r>
          </w:p>
        </w:tc>
      </w:tr>
      <w:tr w:rsidR="006E51BF" w:rsidRPr="000C16E7" w14:paraId="180866ED"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2574" w:type="pct"/>
            <w:noWrap/>
            <w:hideMark/>
          </w:tcPr>
          <w:p w14:paraId="3580D36D" w14:textId="77777777" w:rsidR="006E51BF" w:rsidRPr="000C16E7" w:rsidRDefault="006E51BF">
            <w:pPr>
              <w:pStyle w:val="ARfintabletext"/>
              <w:rPr>
                <w:lang w:eastAsia="en-AU"/>
              </w:rPr>
            </w:pPr>
            <w:r w:rsidRPr="000C16E7">
              <w:rPr>
                <w:lang w:eastAsia="en-AU"/>
              </w:rPr>
              <w:t>Additions</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2A3BD4A4" w14:textId="77777777" w:rsidR="006E51BF" w:rsidRPr="000C16E7" w:rsidRDefault="006E51BF">
            <w:pPr>
              <w:pStyle w:val="ARfintabletextright"/>
              <w:rPr>
                <w:lang w:eastAsia="en-AU"/>
              </w:rPr>
            </w:pPr>
            <w:r>
              <w:rPr>
                <w:lang w:eastAsia="en-AU"/>
              </w:rPr>
              <w:t>–</w:t>
            </w:r>
          </w:p>
        </w:tc>
        <w:tc>
          <w:tcPr>
            <w:tcW w:w="809" w:type="pct"/>
            <w:noWrap/>
            <w:tcMar>
              <w:right w:w="0" w:type="nil"/>
            </w:tcMar>
            <w:hideMark/>
          </w:tcPr>
          <w:p w14:paraId="54595B76" w14:textId="77777777" w:rsidR="006E51BF" w:rsidRPr="000C16E7"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0316AD71" w14:textId="77777777" w:rsidR="006E51BF" w:rsidRPr="000C16E7" w:rsidRDefault="006E51BF">
            <w:pPr>
              <w:pStyle w:val="ARfintabletextright"/>
              <w:rPr>
                <w:lang w:eastAsia="en-AU"/>
              </w:rPr>
            </w:pPr>
            <w:r>
              <w:rPr>
                <w:lang w:eastAsia="en-AU"/>
              </w:rPr>
              <w:t>–</w:t>
            </w:r>
          </w:p>
        </w:tc>
      </w:tr>
      <w:tr w:rsidR="006E51BF" w:rsidRPr="000C16E7" w14:paraId="4359C3F7"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2574" w:type="pct"/>
            <w:noWrap/>
            <w:hideMark/>
          </w:tcPr>
          <w:p w14:paraId="15613F49" w14:textId="77777777" w:rsidR="006E51BF" w:rsidRPr="000C16E7" w:rsidRDefault="006E51BF">
            <w:pPr>
              <w:pStyle w:val="ARfintabletext"/>
              <w:rPr>
                <w:lang w:eastAsia="en-AU"/>
              </w:rPr>
            </w:pPr>
            <w:r w:rsidRPr="000C16E7">
              <w:rPr>
                <w:lang w:eastAsia="en-AU"/>
              </w:rPr>
              <w:t>Capitalisation of work in progress</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4EC58BF1" w14:textId="77777777" w:rsidR="006E51BF" w:rsidRPr="000C16E7" w:rsidRDefault="006E51BF">
            <w:pPr>
              <w:pStyle w:val="ARfintabletextright"/>
              <w:rPr>
                <w:lang w:eastAsia="en-AU"/>
              </w:rPr>
            </w:pPr>
            <w:r>
              <w:rPr>
                <w:lang w:eastAsia="en-AU"/>
              </w:rPr>
              <w:t>–</w:t>
            </w:r>
          </w:p>
        </w:tc>
        <w:tc>
          <w:tcPr>
            <w:tcW w:w="809" w:type="pct"/>
            <w:noWrap/>
            <w:tcMar>
              <w:right w:w="0" w:type="nil"/>
            </w:tcMar>
            <w:hideMark/>
          </w:tcPr>
          <w:p w14:paraId="0B966DC7" w14:textId="77777777" w:rsidR="006E51BF" w:rsidRPr="000C16E7"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0C16E7">
              <w:rPr>
                <w:lang w:eastAsia="en-AU"/>
              </w:rPr>
              <w:t>2.5</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24FE1AE0" w14:textId="77777777" w:rsidR="006E51BF" w:rsidRPr="000C16E7" w:rsidRDefault="006E51BF">
            <w:pPr>
              <w:pStyle w:val="ARfintabletextright"/>
              <w:rPr>
                <w:lang w:eastAsia="en-AU"/>
              </w:rPr>
            </w:pPr>
            <w:r w:rsidRPr="000C16E7">
              <w:rPr>
                <w:lang w:eastAsia="en-AU"/>
              </w:rPr>
              <w:t>2.5</w:t>
            </w:r>
          </w:p>
        </w:tc>
      </w:tr>
      <w:tr w:rsidR="006E51BF" w:rsidRPr="000C16E7" w14:paraId="39C6119A"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2574" w:type="pct"/>
            <w:noWrap/>
            <w:hideMark/>
          </w:tcPr>
          <w:p w14:paraId="65BFA43C" w14:textId="77777777" w:rsidR="006E51BF" w:rsidRPr="000C16E7" w:rsidRDefault="006E51BF">
            <w:pPr>
              <w:pStyle w:val="ARfintabletext"/>
              <w:rPr>
                <w:lang w:eastAsia="en-AU"/>
              </w:rPr>
            </w:pPr>
            <w:r w:rsidRPr="000C16E7">
              <w:rPr>
                <w:lang w:eastAsia="en-AU"/>
              </w:rPr>
              <w:t>Reassessment of lease payments</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040C72E8" w14:textId="77777777" w:rsidR="006E51BF" w:rsidRPr="000C16E7" w:rsidRDefault="006E51BF">
            <w:pPr>
              <w:pStyle w:val="ARfintabletextright"/>
              <w:rPr>
                <w:lang w:eastAsia="en-AU"/>
              </w:rPr>
            </w:pPr>
            <w:r>
              <w:rPr>
                <w:lang w:eastAsia="en-AU"/>
              </w:rPr>
              <w:t>–</w:t>
            </w:r>
          </w:p>
        </w:tc>
        <w:tc>
          <w:tcPr>
            <w:tcW w:w="809" w:type="pct"/>
            <w:noWrap/>
            <w:tcMar>
              <w:right w:w="0" w:type="nil"/>
            </w:tcMar>
            <w:hideMark/>
          </w:tcPr>
          <w:p w14:paraId="6CA0F157" w14:textId="77777777" w:rsidR="006E51BF" w:rsidRPr="000C16E7"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7557863F" w14:textId="77777777" w:rsidR="006E51BF" w:rsidRPr="000C16E7" w:rsidRDefault="006E51BF">
            <w:pPr>
              <w:pStyle w:val="ARfintabletextright"/>
              <w:rPr>
                <w:lang w:eastAsia="en-AU"/>
              </w:rPr>
            </w:pPr>
            <w:r>
              <w:rPr>
                <w:lang w:eastAsia="en-AU"/>
              </w:rPr>
              <w:t>–</w:t>
            </w:r>
          </w:p>
        </w:tc>
      </w:tr>
      <w:tr w:rsidR="006E51BF" w:rsidRPr="000C16E7" w14:paraId="4C84414A"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2574" w:type="pct"/>
            <w:noWrap/>
            <w:hideMark/>
          </w:tcPr>
          <w:p w14:paraId="7E9E1E61" w14:textId="77777777" w:rsidR="006E51BF" w:rsidRPr="000C16E7" w:rsidRDefault="006E51BF">
            <w:pPr>
              <w:pStyle w:val="ARfintabletext"/>
              <w:rPr>
                <w:lang w:eastAsia="en-AU"/>
              </w:rPr>
            </w:pPr>
            <w:r w:rsidRPr="000C16E7">
              <w:rPr>
                <w:lang w:eastAsia="en-AU"/>
              </w:rPr>
              <w:t>Increase/(decrease) in make-good provision</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13005C7D" w14:textId="77777777" w:rsidR="006E51BF" w:rsidRPr="000C16E7" w:rsidRDefault="006E51BF">
            <w:pPr>
              <w:pStyle w:val="ARfintabletextright"/>
              <w:rPr>
                <w:lang w:eastAsia="en-AU"/>
              </w:rPr>
            </w:pPr>
            <w:r>
              <w:rPr>
                <w:lang w:eastAsia="en-AU"/>
              </w:rPr>
              <w:t>–</w:t>
            </w:r>
          </w:p>
        </w:tc>
        <w:tc>
          <w:tcPr>
            <w:tcW w:w="809" w:type="pct"/>
            <w:noWrap/>
            <w:tcMar>
              <w:right w:w="0" w:type="nil"/>
            </w:tcMar>
            <w:hideMark/>
          </w:tcPr>
          <w:p w14:paraId="0FE8D498" w14:textId="77777777" w:rsidR="006E51BF" w:rsidRPr="000C16E7"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723092FF" w14:textId="77777777" w:rsidR="006E51BF" w:rsidRPr="000C16E7" w:rsidRDefault="006E51BF">
            <w:pPr>
              <w:pStyle w:val="ARfintabletextright"/>
              <w:rPr>
                <w:lang w:eastAsia="en-AU"/>
              </w:rPr>
            </w:pPr>
            <w:r>
              <w:rPr>
                <w:lang w:eastAsia="en-AU"/>
              </w:rPr>
              <w:t>–</w:t>
            </w:r>
          </w:p>
        </w:tc>
      </w:tr>
      <w:tr w:rsidR="006E51BF" w:rsidRPr="000C16E7" w14:paraId="359248DB"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2574" w:type="pct"/>
            <w:noWrap/>
            <w:hideMark/>
          </w:tcPr>
          <w:p w14:paraId="08C98914" w14:textId="77777777" w:rsidR="006E51BF" w:rsidRPr="000C16E7" w:rsidRDefault="006E51BF">
            <w:pPr>
              <w:pStyle w:val="ARfintabletext"/>
              <w:rPr>
                <w:lang w:eastAsia="en-AU"/>
              </w:rPr>
            </w:pPr>
            <w:r w:rsidRPr="000C16E7">
              <w:rPr>
                <w:lang w:eastAsia="en-AU"/>
              </w:rPr>
              <w:t>Disposals</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369C8BE6" w14:textId="77777777" w:rsidR="006E51BF" w:rsidRPr="000C16E7" w:rsidRDefault="006E51BF">
            <w:pPr>
              <w:pStyle w:val="ARfintabletextright"/>
              <w:rPr>
                <w:lang w:eastAsia="en-AU"/>
              </w:rPr>
            </w:pPr>
            <w:r>
              <w:rPr>
                <w:lang w:eastAsia="en-AU"/>
              </w:rPr>
              <w:t>–</w:t>
            </w:r>
          </w:p>
        </w:tc>
        <w:tc>
          <w:tcPr>
            <w:tcW w:w="809" w:type="pct"/>
            <w:noWrap/>
            <w:tcMar>
              <w:right w:w="0" w:type="nil"/>
            </w:tcMar>
            <w:hideMark/>
          </w:tcPr>
          <w:p w14:paraId="2EAFC2E8" w14:textId="77777777" w:rsidR="006E51BF" w:rsidRPr="000C16E7"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27D51BA5" w14:textId="77777777" w:rsidR="006E51BF" w:rsidRPr="000C16E7" w:rsidRDefault="006E51BF">
            <w:pPr>
              <w:pStyle w:val="ARfintabletextright"/>
              <w:rPr>
                <w:lang w:eastAsia="en-AU"/>
              </w:rPr>
            </w:pPr>
            <w:r>
              <w:rPr>
                <w:lang w:eastAsia="en-AU"/>
              </w:rPr>
              <w:t>–</w:t>
            </w:r>
          </w:p>
        </w:tc>
      </w:tr>
      <w:tr w:rsidR="006E51BF" w:rsidRPr="000C16E7" w14:paraId="0825DA89"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2574" w:type="pct"/>
            <w:noWrap/>
            <w:hideMark/>
          </w:tcPr>
          <w:p w14:paraId="4801D113" w14:textId="77777777" w:rsidR="006E51BF" w:rsidRPr="000C16E7" w:rsidRDefault="006E51BF">
            <w:pPr>
              <w:pStyle w:val="ARfintabletext"/>
              <w:rPr>
                <w:lang w:eastAsia="en-AU"/>
              </w:rPr>
            </w:pPr>
            <w:r w:rsidRPr="000C16E7">
              <w:rPr>
                <w:lang w:eastAsia="en-AU"/>
              </w:rPr>
              <w:t>Capital contributed from asset transfers</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08BEA5BD" w14:textId="77777777" w:rsidR="006E51BF" w:rsidRPr="000C16E7" w:rsidRDefault="006E51BF">
            <w:pPr>
              <w:pStyle w:val="ARfintabletextright"/>
              <w:rPr>
                <w:lang w:eastAsia="en-AU"/>
              </w:rPr>
            </w:pPr>
            <w:r w:rsidRPr="000C16E7">
              <w:rPr>
                <w:lang w:eastAsia="en-AU"/>
              </w:rPr>
              <w:t>(6.2)</w:t>
            </w:r>
          </w:p>
        </w:tc>
        <w:tc>
          <w:tcPr>
            <w:tcW w:w="809" w:type="pct"/>
            <w:noWrap/>
            <w:tcMar>
              <w:right w:w="0" w:type="nil"/>
            </w:tcMar>
            <w:hideMark/>
          </w:tcPr>
          <w:p w14:paraId="14E9035A" w14:textId="77777777" w:rsidR="006E51BF" w:rsidRPr="000C16E7"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0C16E7">
              <w:rPr>
                <w:lang w:eastAsia="en-AU"/>
              </w:rPr>
              <w:t>(0.6)</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4A32564E" w14:textId="77777777" w:rsidR="006E51BF" w:rsidRPr="000C16E7" w:rsidRDefault="006E51BF">
            <w:pPr>
              <w:pStyle w:val="ARfintabletextright"/>
              <w:rPr>
                <w:lang w:eastAsia="en-AU"/>
              </w:rPr>
            </w:pPr>
            <w:r w:rsidRPr="000C16E7">
              <w:rPr>
                <w:lang w:eastAsia="en-AU"/>
              </w:rPr>
              <w:t>(6.8)</w:t>
            </w:r>
          </w:p>
        </w:tc>
      </w:tr>
      <w:tr w:rsidR="006E51BF" w:rsidRPr="000C16E7" w14:paraId="6CCB5ABE"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2574" w:type="pct"/>
            <w:tcBorders>
              <w:bottom w:val="single" w:sz="4" w:space="0" w:color="BFBFBF" w:themeColor="accent2"/>
            </w:tcBorders>
            <w:hideMark/>
          </w:tcPr>
          <w:p w14:paraId="2F3D7856" w14:textId="77777777" w:rsidR="006E51BF" w:rsidRPr="000C16E7" w:rsidRDefault="006E51BF">
            <w:pPr>
              <w:pStyle w:val="ARfintabletextbold"/>
              <w:rPr>
                <w:lang w:eastAsia="en-AU"/>
              </w:rPr>
            </w:pPr>
            <w:r w:rsidRPr="000C16E7">
              <w:rPr>
                <w:lang w:eastAsia="en-AU"/>
              </w:rPr>
              <w:t>Gains or losses recognised in net result</w:t>
            </w:r>
          </w:p>
        </w:tc>
        <w:tc>
          <w:tcPr>
            <w:cnfStyle w:val="000001000000" w:firstRow="0" w:lastRow="0" w:firstColumn="0" w:lastColumn="0" w:oddVBand="0" w:evenVBand="1" w:oddHBand="0" w:evenHBand="0" w:firstRowFirstColumn="0" w:firstRowLastColumn="0" w:lastRowFirstColumn="0" w:lastRowLastColumn="0"/>
            <w:tcW w:w="809" w:type="pct"/>
            <w:tcBorders>
              <w:bottom w:val="single" w:sz="4" w:space="0" w:color="BFBFBF" w:themeColor="accent2"/>
            </w:tcBorders>
            <w:shd w:val="clear" w:color="auto" w:fill="auto"/>
            <w:noWrap/>
            <w:tcMar>
              <w:right w:w="0" w:type="nil"/>
            </w:tcMar>
            <w:hideMark/>
          </w:tcPr>
          <w:p w14:paraId="643E486B" w14:textId="77777777" w:rsidR="006E51BF" w:rsidRPr="000C16E7" w:rsidRDefault="006E51BF">
            <w:pPr>
              <w:pStyle w:val="ARfintabletextright"/>
              <w:rPr>
                <w:lang w:eastAsia="en-AU"/>
              </w:rPr>
            </w:pPr>
          </w:p>
        </w:tc>
        <w:tc>
          <w:tcPr>
            <w:tcW w:w="809" w:type="pct"/>
            <w:tcBorders>
              <w:bottom w:val="single" w:sz="4" w:space="0" w:color="BFBFBF" w:themeColor="accent2"/>
            </w:tcBorders>
            <w:noWrap/>
            <w:tcMar>
              <w:right w:w="0" w:type="nil"/>
            </w:tcMar>
            <w:hideMark/>
          </w:tcPr>
          <w:p w14:paraId="446D0E28" w14:textId="77777777" w:rsidR="006E51BF" w:rsidRPr="000C16E7"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809" w:type="pct"/>
            <w:tcBorders>
              <w:bottom w:val="single" w:sz="4" w:space="0" w:color="BFBFBF" w:themeColor="accent2"/>
            </w:tcBorders>
            <w:noWrap/>
            <w:tcMar>
              <w:right w:w="0" w:type="nil"/>
            </w:tcMar>
            <w:hideMark/>
          </w:tcPr>
          <w:p w14:paraId="26C4F3D8" w14:textId="77777777" w:rsidR="006E51BF" w:rsidRPr="000C16E7" w:rsidRDefault="006E51BF">
            <w:pPr>
              <w:pStyle w:val="ARfintabletextright"/>
              <w:rPr>
                <w:lang w:eastAsia="en-AU"/>
              </w:rPr>
            </w:pPr>
          </w:p>
        </w:tc>
      </w:tr>
      <w:tr w:rsidR="006E51BF" w:rsidRPr="000C16E7" w14:paraId="2199EB35"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2574" w:type="pct"/>
            <w:tcBorders>
              <w:top w:val="single" w:sz="4" w:space="0" w:color="BFBFBF" w:themeColor="accent2"/>
              <w:bottom w:val="single" w:sz="4" w:space="0" w:color="000000" w:themeColor="text1"/>
            </w:tcBorders>
            <w:noWrap/>
            <w:hideMark/>
          </w:tcPr>
          <w:p w14:paraId="50650A7B" w14:textId="77777777" w:rsidR="006E51BF" w:rsidRPr="000C16E7" w:rsidRDefault="006E51BF">
            <w:pPr>
              <w:pStyle w:val="ARfintabletext"/>
              <w:rPr>
                <w:lang w:eastAsia="en-AU"/>
              </w:rPr>
            </w:pPr>
            <w:r w:rsidRPr="000C16E7">
              <w:rPr>
                <w:lang w:eastAsia="en-AU"/>
              </w:rPr>
              <w:t>Depreciation</w:t>
            </w:r>
          </w:p>
        </w:tc>
        <w:tc>
          <w:tcPr>
            <w:cnfStyle w:val="000001000000" w:firstRow="0" w:lastRow="0" w:firstColumn="0" w:lastColumn="0" w:oddVBand="0" w:evenVBand="1" w:oddHBand="0" w:evenHBand="0" w:firstRowFirstColumn="0" w:firstRowLastColumn="0" w:lastRowFirstColumn="0" w:lastRowLastColumn="0"/>
            <w:tcW w:w="809" w:type="pct"/>
            <w:tcBorders>
              <w:top w:val="single" w:sz="4" w:space="0" w:color="BFBFBF" w:themeColor="accent2"/>
              <w:bottom w:val="single" w:sz="4" w:space="0" w:color="000000" w:themeColor="text1"/>
            </w:tcBorders>
            <w:noWrap/>
            <w:tcMar>
              <w:right w:w="0" w:type="nil"/>
            </w:tcMar>
            <w:hideMark/>
          </w:tcPr>
          <w:p w14:paraId="4F4FFA68" w14:textId="77777777" w:rsidR="006E51BF" w:rsidRPr="000C16E7" w:rsidRDefault="006E51BF">
            <w:pPr>
              <w:pStyle w:val="ARfintabletextboldright"/>
              <w:rPr>
                <w:lang w:eastAsia="en-AU"/>
              </w:rPr>
            </w:pPr>
            <w:r>
              <w:rPr>
                <w:lang w:eastAsia="en-AU"/>
              </w:rPr>
              <w:t>–</w:t>
            </w:r>
          </w:p>
        </w:tc>
        <w:tc>
          <w:tcPr>
            <w:tcW w:w="809" w:type="pct"/>
            <w:tcBorders>
              <w:top w:val="single" w:sz="4" w:space="0" w:color="BFBFBF" w:themeColor="accent2"/>
              <w:bottom w:val="single" w:sz="4" w:space="0" w:color="000000" w:themeColor="text1"/>
            </w:tcBorders>
            <w:noWrap/>
            <w:tcMar>
              <w:right w:w="0" w:type="nil"/>
            </w:tcMar>
            <w:hideMark/>
          </w:tcPr>
          <w:p w14:paraId="4A464CEF" w14:textId="77777777" w:rsidR="006E51BF" w:rsidRPr="000C16E7"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0C16E7">
              <w:rPr>
                <w:lang w:eastAsia="en-AU"/>
              </w:rPr>
              <w:t>(20.0)</w:t>
            </w:r>
          </w:p>
        </w:tc>
        <w:tc>
          <w:tcPr>
            <w:cnfStyle w:val="000001000000" w:firstRow="0" w:lastRow="0" w:firstColumn="0" w:lastColumn="0" w:oddVBand="0" w:evenVBand="1" w:oddHBand="0" w:evenHBand="0" w:firstRowFirstColumn="0" w:firstRowLastColumn="0" w:lastRowFirstColumn="0" w:lastRowLastColumn="0"/>
            <w:tcW w:w="809" w:type="pct"/>
            <w:tcBorders>
              <w:top w:val="single" w:sz="4" w:space="0" w:color="BFBFBF" w:themeColor="accent2"/>
              <w:bottom w:val="single" w:sz="4" w:space="0" w:color="000000" w:themeColor="text1"/>
            </w:tcBorders>
            <w:noWrap/>
            <w:tcMar>
              <w:right w:w="0" w:type="nil"/>
            </w:tcMar>
            <w:hideMark/>
          </w:tcPr>
          <w:p w14:paraId="06024EE9" w14:textId="77777777" w:rsidR="006E51BF" w:rsidRPr="000C16E7" w:rsidRDefault="006E51BF">
            <w:pPr>
              <w:pStyle w:val="ARfintabletextboldright"/>
              <w:rPr>
                <w:lang w:eastAsia="en-AU"/>
              </w:rPr>
            </w:pPr>
            <w:r w:rsidRPr="000C16E7">
              <w:rPr>
                <w:lang w:eastAsia="en-AU"/>
              </w:rPr>
              <w:t>(20.0)</w:t>
            </w:r>
          </w:p>
        </w:tc>
      </w:tr>
      <w:tr w:rsidR="006E51BF" w:rsidRPr="000C16E7" w14:paraId="2CB29FD7"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2574" w:type="pct"/>
            <w:tcBorders>
              <w:top w:val="single" w:sz="4" w:space="0" w:color="000000" w:themeColor="text1"/>
              <w:bottom w:val="single" w:sz="4" w:space="0" w:color="000000" w:themeColor="text1"/>
            </w:tcBorders>
            <w:hideMark/>
          </w:tcPr>
          <w:p w14:paraId="28E10A53" w14:textId="77777777" w:rsidR="006E51BF" w:rsidRPr="000C16E7" w:rsidRDefault="006E51BF">
            <w:pPr>
              <w:pStyle w:val="ARfintabletextbold"/>
              <w:rPr>
                <w:lang w:eastAsia="en-AU"/>
              </w:rPr>
            </w:pPr>
            <w:r w:rsidRPr="000C16E7">
              <w:rPr>
                <w:lang w:eastAsia="en-AU"/>
              </w:rPr>
              <w:t>Subtotal of gains or losses recognised in net result</w:t>
            </w:r>
          </w:p>
        </w:tc>
        <w:tc>
          <w:tcPr>
            <w:cnfStyle w:val="000001000000" w:firstRow="0" w:lastRow="0" w:firstColumn="0" w:lastColumn="0" w:oddVBand="0" w:evenVBand="1" w:oddHBand="0" w:evenHBand="0" w:firstRowFirstColumn="0" w:firstRowLastColumn="0" w:lastRowFirstColumn="0" w:lastRowLastColumn="0"/>
            <w:tcW w:w="809" w:type="pct"/>
            <w:tcBorders>
              <w:top w:val="single" w:sz="4" w:space="0" w:color="000000" w:themeColor="text1"/>
              <w:bottom w:val="single" w:sz="4" w:space="0" w:color="000000" w:themeColor="text1"/>
            </w:tcBorders>
            <w:noWrap/>
            <w:tcMar>
              <w:right w:w="0" w:type="nil"/>
            </w:tcMar>
            <w:hideMark/>
          </w:tcPr>
          <w:p w14:paraId="5C55E339" w14:textId="77777777" w:rsidR="006E51BF" w:rsidRPr="000C16E7" w:rsidRDefault="006E51BF">
            <w:pPr>
              <w:pStyle w:val="ARfintabletextboldright"/>
              <w:rPr>
                <w:lang w:eastAsia="en-AU"/>
              </w:rPr>
            </w:pPr>
            <w:r>
              <w:rPr>
                <w:lang w:eastAsia="en-AU"/>
              </w:rPr>
              <w:t>–</w:t>
            </w:r>
          </w:p>
        </w:tc>
        <w:tc>
          <w:tcPr>
            <w:tcW w:w="809" w:type="pct"/>
            <w:tcBorders>
              <w:top w:val="single" w:sz="4" w:space="0" w:color="000000" w:themeColor="text1"/>
              <w:bottom w:val="single" w:sz="4" w:space="0" w:color="000000" w:themeColor="text1"/>
            </w:tcBorders>
            <w:noWrap/>
            <w:tcMar>
              <w:right w:w="0" w:type="nil"/>
            </w:tcMar>
            <w:hideMark/>
          </w:tcPr>
          <w:p w14:paraId="65FAF013" w14:textId="77777777" w:rsidR="006E51BF" w:rsidRPr="000C16E7"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0C16E7">
              <w:rPr>
                <w:lang w:eastAsia="en-AU"/>
              </w:rPr>
              <w:t>(20.0)</w:t>
            </w:r>
          </w:p>
        </w:tc>
        <w:tc>
          <w:tcPr>
            <w:cnfStyle w:val="000001000000" w:firstRow="0" w:lastRow="0" w:firstColumn="0" w:lastColumn="0" w:oddVBand="0" w:evenVBand="1" w:oddHBand="0" w:evenHBand="0" w:firstRowFirstColumn="0" w:firstRowLastColumn="0" w:lastRowFirstColumn="0" w:lastRowLastColumn="0"/>
            <w:tcW w:w="809" w:type="pct"/>
            <w:tcBorders>
              <w:top w:val="single" w:sz="4" w:space="0" w:color="000000" w:themeColor="text1"/>
              <w:bottom w:val="single" w:sz="4" w:space="0" w:color="000000" w:themeColor="text1"/>
            </w:tcBorders>
            <w:noWrap/>
            <w:tcMar>
              <w:right w:w="0" w:type="nil"/>
            </w:tcMar>
            <w:hideMark/>
          </w:tcPr>
          <w:p w14:paraId="66D8F818" w14:textId="77777777" w:rsidR="006E51BF" w:rsidRPr="000C16E7" w:rsidRDefault="006E51BF">
            <w:pPr>
              <w:pStyle w:val="ARfintabletextboldright"/>
              <w:rPr>
                <w:lang w:eastAsia="en-AU"/>
              </w:rPr>
            </w:pPr>
            <w:r w:rsidRPr="000C16E7">
              <w:rPr>
                <w:lang w:eastAsia="en-AU"/>
              </w:rPr>
              <w:t>(20.0)</w:t>
            </w:r>
          </w:p>
        </w:tc>
      </w:tr>
      <w:tr w:rsidR="006E51BF" w:rsidRPr="000C16E7" w14:paraId="2A0B78D2"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2574" w:type="pct"/>
            <w:tcBorders>
              <w:top w:val="single" w:sz="4" w:space="0" w:color="000000" w:themeColor="text1"/>
              <w:bottom w:val="single" w:sz="4" w:space="0" w:color="BFBFBF" w:themeColor="accent2"/>
            </w:tcBorders>
            <w:hideMark/>
          </w:tcPr>
          <w:p w14:paraId="5BAABCE4" w14:textId="77777777" w:rsidR="006E51BF" w:rsidRPr="000C16E7" w:rsidRDefault="006E51BF">
            <w:pPr>
              <w:pStyle w:val="ARfintabletextbold"/>
              <w:rPr>
                <w:lang w:eastAsia="en-AU"/>
              </w:rPr>
            </w:pPr>
            <w:r w:rsidRPr="000C16E7">
              <w:rPr>
                <w:lang w:eastAsia="en-AU"/>
              </w:rPr>
              <w:t xml:space="preserve">Gains or losses recognised in other economic flows </w:t>
            </w:r>
            <w:r>
              <w:rPr>
                <w:lang w:eastAsia="en-AU"/>
              </w:rPr>
              <w:t>–</w:t>
            </w:r>
            <w:r w:rsidRPr="000C16E7">
              <w:rPr>
                <w:lang w:eastAsia="en-AU"/>
              </w:rPr>
              <w:t xml:space="preserve"> other comprehensive income</w:t>
            </w:r>
          </w:p>
        </w:tc>
        <w:tc>
          <w:tcPr>
            <w:cnfStyle w:val="000001000000" w:firstRow="0" w:lastRow="0" w:firstColumn="0" w:lastColumn="0" w:oddVBand="0" w:evenVBand="1" w:oddHBand="0" w:evenHBand="0" w:firstRowFirstColumn="0" w:firstRowLastColumn="0" w:lastRowFirstColumn="0" w:lastRowLastColumn="0"/>
            <w:tcW w:w="809" w:type="pct"/>
            <w:tcBorders>
              <w:top w:val="single" w:sz="4" w:space="0" w:color="000000" w:themeColor="text1"/>
              <w:bottom w:val="single" w:sz="4" w:space="0" w:color="BFBFBF" w:themeColor="accent2"/>
            </w:tcBorders>
            <w:shd w:val="clear" w:color="auto" w:fill="auto"/>
            <w:noWrap/>
            <w:tcMar>
              <w:right w:w="0" w:type="nil"/>
            </w:tcMar>
            <w:hideMark/>
          </w:tcPr>
          <w:p w14:paraId="401D631A" w14:textId="77777777" w:rsidR="006E51BF" w:rsidRPr="000C16E7" w:rsidRDefault="006E51BF">
            <w:pPr>
              <w:pStyle w:val="ARfintabletextboldright"/>
              <w:rPr>
                <w:lang w:eastAsia="en-AU"/>
              </w:rPr>
            </w:pPr>
          </w:p>
        </w:tc>
        <w:tc>
          <w:tcPr>
            <w:tcW w:w="809" w:type="pct"/>
            <w:tcBorders>
              <w:top w:val="single" w:sz="4" w:space="0" w:color="000000" w:themeColor="text1"/>
              <w:bottom w:val="single" w:sz="4" w:space="0" w:color="BFBFBF" w:themeColor="accent2"/>
            </w:tcBorders>
            <w:noWrap/>
            <w:tcMar>
              <w:right w:w="0" w:type="nil"/>
            </w:tcMar>
            <w:hideMark/>
          </w:tcPr>
          <w:p w14:paraId="426FA1FB" w14:textId="77777777" w:rsidR="006E51BF" w:rsidRPr="000C16E7"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809" w:type="pct"/>
            <w:tcBorders>
              <w:top w:val="single" w:sz="4" w:space="0" w:color="000000" w:themeColor="text1"/>
              <w:bottom w:val="single" w:sz="4" w:space="0" w:color="BFBFBF" w:themeColor="accent2"/>
            </w:tcBorders>
            <w:shd w:val="clear" w:color="auto" w:fill="auto"/>
            <w:noWrap/>
            <w:tcMar>
              <w:right w:w="0" w:type="nil"/>
            </w:tcMar>
            <w:hideMark/>
          </w:tcPr>
          <w:p w14:paraId="4FA5E33D" w14:textId="77777777" w:rsidR="006E51BF" w:rsidRPr="000C16E7" w:rsidRDefault="006E51BF">
            <w:pPr>
              <w:pStyle w:val="ARfintabletextboldright"/>
              <w:rPr>
                <w:lang w:eastAsia="en-AU"/>
              </w:rPr>
            </w:pPr>
          </w:p>
        </w:tc>
      </w:tr>
      <w:tr w:rsidR="006E51BF" w:rsidRPr="000C16E7" w14:paraId="26429A3C"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2574" w:type="pct"/>
            <w:tcBorders>
              <w:top w:val="single" w:sz="4" w:space="0" w:color="BFBFBF" w:themeColor="accent2"/>
              <w:bottom w:val="single" w:sz="4" w:space="0" w:color="000000" w:themeColor="text1"/>
            </w:tcBorders>
            <w:noWrap/>
            <w:hideMark/>
          </w:tcPr>
          <w:p w14:paraId="1526EC14" w14:textId="77777777" w:rsidR="006E51BF" w:rsidRPr="000C16E7" w:rsidRDefault="006E51BF">
            <w:pPr>
              <w:pStyle w:val="ARfinbody"/>
              <w:rPr>
                <w:sz w:val="20"/>
                <w:lang w:eastAsia="en-AU"/>
              </w:rPr>
            </w:pPr>
            <w:r w:rsidRPr="000C16E7">
              <w:rPr>
                <w:sz w:val="20"/>
                <w:lang w:eastAsia="en-AU"/>
              </w:rPr>
              <w:t>Net revaluation increments/(decrements)</w:t>
            </w:r>
          </w:p>
        </w:tc>
        <w:tc>
          <w:tcPr>
            <w:cnfStyle w:val="000001000000" w:firstRow="0" w:lastRow="0" w:firstColumn="0" w:lastColumn="0" w:oddVBand="0" w:evenVBand="1" w:oddHBand="0" w:evenHBand="0" w:firstRowFirstColumn="0" w:firstRowLastColumn="0" w:lastRowFirstColumn="0" w:lastRowLastColumn="0"/>
            <w:tcW w:w="809" w:type="pct"/>
            <w:tcBorders>
              <w:top w:val="single" w:sz="4" w:space="0" w:color="BFBFBF" w:themeColor="accent2"/>
              <w:bottom w:val="single" w:sz="4" w:space="0" w:color="000000" w:themeColor="text1"/>
            </w:tcBorders>
            <w:tcMar>
              <w:right w:w="0" w:type="nil"/>
            </w:tcMar>
            <w:hideMark/>
          </w:tcPr>
          <w:p w14:paraId="113B824D" w14:textId="77777777" w:rsidR="006E51BF" w:rsidRPr="000C16E7" w:rsidRDefault="006E51BF">
            <w:pPr>
              <w:pStyle w:val="ARfintabletextright"/>
              <w:rPr>
                <w:lang w:eastAsia="en-AU"/>
              </w:rPr>
            </w:pPr>
            <w:r>
              <w:rPr>
                <w:lang w:eastAsia="en-AU"/>
              </w:rPr>
              <w:t>–</w:t>
            </w:r>
          </w:p>
        </w:tc>
        <w:tc>
          <w:tcPr>
            <w:tcW w:w="809" w:type="pct"/>
            <w:tcBorders>
              <w:top w:val="single" w:sz="4" w:space="0" w:color="BFBFBF" w:themeColor="accent2"/>
              <w:bottom w:val="single" w:sz="4" w:space="0" w:color="000000" w:themeColor="text1"/>
            </w:tcBorders>
            <w:tcMar>
              <w:right w:w="0" w:type="nil"/>
            </w:tcMar>
            <w:hideMark/>
          </w:tcPr>
          <w:p w14:paraId="33027EF1" w14:textId="77777777" w:rsidR="006E51BF" w:rsidRPr="000C16E7"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0C16E7">
              <w:rPr>
                <w:lang w:eastAsia="en-AU"/>
              </w:rPr>
              <w:t>(1.6)</w:t>
            </w:r>
          </w:p>
        </w:tc>
        <w:tc>
          <w:tcPr>
            <w:cnfStyle w:val="000001000000" w:firstRow="0" w:lastRow="0" w:firstColumn="0" w:lastColumn="0" w:oddVBand="0" w:evenVBand="1" w:oddHBand="0" w:evenHBand="0" w:firstRowFirstColumn="0" w:firstRowLastColumn="0" w:lastRowFirstColumn="0" w:lastRowLastColumn="0"/>
            <w:tcW w:w="809" w:type="pct"/>
            <w:tcBorders>
              <w:top w:val="single" w:sz="4" w:space="0" w:color="BFBFBF" w:themeColor="accent2"/>
              <w:bottom w:val="single" w:sz="4" w:space="0" w:color="000000" w:themeColor="text1"/>
            </w:tcBorders>
            <w:tcMar>
              <w:right w:w="0" w:type="nil"/>
            </w:tcMar>
            <w:hideMark/>
          </w:tcPr>
          <w:p w14:paraId="01CCBB85" w14:textId="77777777" w:rsidR="006E51BF" w:rsidRPr="000C16E7" w:rsidRDefault="006E51BF">
            <w:pPr>
              <w:pStyle w:val="ARfintabletextright"/>
              <w:rPr>
                <w:lang w:eastAsia="en-AU"/>
              </w:rPr>
            </w:pPr>
            <w:r w:rsidRPr="000C16E7">
              <w:rPr>
                <w:lang w:eastAsia="en-AU"/>
              </w:rPr>
              <w:t>(1.6)</w:t>
            </w:r>
          </w:p>
        </w:tc>
      </w:tr>
      <w:tr w:rsidR="006E51BF" w:rsidRPr="000C16E7" w14:paraId="37243166"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2574" w:type="pct"/>
            <w:tcBorders>
              <w:top w:val="single" w:sz="4" w:space="0" w:color="000000" w:themeColor="text1"/>
              <w:bottom w:val="single" w:sz="4" w:space="0" w:color="000000" w:themeColor="text1"/>
            </w:tcBorders>
            <w:hideMark/>
          </w:tcPr>
          <w:p w14:paraId="6423BD20" w14:textId="77777777" w:rsidR="006E51BF" w:rsidRPr="000C16E7" w:rsidRDefault="006E51BF">
            <w:pPr>
              <w:pStyle w:val="ARfintabletextbold"/>
              <w:rPr>
                <w:lang w:eastAsia="en-AU"/>
              </w:rPr>
            </w:pPr>
            <w:r w:rsidRPr="000C16E7">
              <w:rPr>
                <w:lang w:eastAsia="en-AU"/>
              </w:rPr>
              <w:t>Subtotal of gains or losses recognised in other economic flows</w:t>
            </w:r>
          </w:p>
        </w:tc>
        <w:tc>
          <w:tcPr>
            <w:cnfStyle w:val="000001000000" w:firstRow="0" w:lastRow="0" w:firstColumn="0" w:lastColumn="0" w:oddVBand="0" w:evenVBand="1" w:oddHBand="0" w:evenHBand="0" w:firstRowFirstColumn="0" w:firstRowLastColumn="0" w:lastRowFirstColumn="0" w:lastRowLastColumn="0"/>
            <w:tcW w:w="809" w:type="pct"/>
            <w:tcBorders>
              <w:top w:val="single" w:sz="4" w:space="0" w:color="000000" w:themeColor="text1"/>
              <w:bottom w:val="single" w:sz="4" w:space="0" w:color="000000" w:themeColor="text1"/>
            </w:tcBorders>
            <w:noWrap/>
            <w:tcMar>
              <w:right w:w="0" w:type="nil"/>
            </w:tcMar>
            <w:hideMark/>
          </w:tcPr>
          <w:p w14:paraId="4A1B507D" w14:textId="77777777" w:rsidR="006E51BF" w:rsidRPr="000C16E7" w:rsidRDefault="006E51BF">
            <w:pPr>
              <w:pStyle w:val="ARfintabletextboldright"/>
              <w:rPr>
                <w:lang w:eastAsia="en-AU"/>
              </w:rPr>
            </w:pPr>
            <w:r>
              <w:rPr>
                <w:lang w:eastAsia="en-AU"/>
              </w:rPr>
              <w:t>–</w:t>
            </w:r>
          </w:p>
        </w:tc>
        <w:tc>
          <w:tcPr>
            <w:tcW w:w="809" w:type="pct"/>
            <w:tcBorders>
              <w:top w:val="single" w:sz="4" w:space="0" w:color="000000" w:themeColor="text1"/>
              <w:bottom w:val="single" w:sz="4" w:space="0" w:color="000000" w:themeColor="text1"/>
            </w:tcBorders>
            <w:noWrap/>
            <w:tcMar>
              <w:right w:w="0" w:type="nil"/>
            </w:tcMar>
            <w:hideMark/>
          </w:tcPr>
          <w:p w14:paraId="14EB996A" w14:textId="77777777" w:rsidR="006E51BF" w:rsidRPr="000C16E7"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0C16E7">
              <w:rPr>
                <w:lang w:eastAsia="en-AU"/>
              </w:rPr>
              <w:t>(1.6)</w:t>
            </w:r>
          </w:p>
        </w:tc>
        <w:tc>
          <w:tcPr>
            <w:cnfStyle w:val="000001000000" w:firstRow="0" w:lastRow="0" w:firstColumn="0" w:lastColumn="0" w:oddVBand="0" w:evenVBand="1" w:oddHBand="0" w:evenHBand="0" w:firstRowFirstColumn="0" w:firstRowLastColumn="0" w:lastRowFirstColumn="0" w:lastRowLastColumn="0"/>
            <w:tcW w:w="809" w:type="pct"/>
            <w:tcBorders>
              <w:top w:val="single" w:sz="4" w:space="0" w:color="000000" w:themeColor="text1"/>
              <w:bottom w:val="single" w:sz="4" w:space="0" w:color="000000" w:themeColor="text1"/>
            </w:tcBorders>
            <w:noWrap/>
            <w:tcMar>
              <w:right w:w="0" w:type="nil"/>
            </w:tcMar>
            <w:hideMark/>
          </w:tcPr>
          <w:p w14:paraId="2D692E5B" w14:textId="77777777" w:rsidR="006E51BF" w:rsidRPr="000C16E7" w:rsidRDefault="006E51BF">
            <w:pPr>
              <w:pStyle w:val="ARfintabletextboldright"/>
              <w:rPr>
                <w:lang w:eastAsia="en-AU"/>
              </w:rPr>
            </w:pPr>
            <w:r w:rsidRPr="000C16E7">
              <w:rPr>
                <w:lang w:eastAsia="en-AU"/>
              </w:rPr>
              <w:t>(1.6)</w:t>
            </w:r>
          </w:p>
        </w:tc>
      </w:tr>
      <w:tr w:rsidR="006E51BF" w:rsidRPr="000C16E7" w14:paraId="59093A1A" w14:textId="77777777" w:rsidTr="004A6D92">
        <w:trPr>
          <w:cnfStyle w:val="010000000000" w:firstRow="0" w:lastRow="1" w:firstColumn="0" w:lastColumn="0" w:oddVBand="0" w:evenVBand="0" w:oddHBand="0" w:evenHBand="0" w:firstRowFirstColumn="0" w:firstRowLastColumn="0" w:lastRowFirstColumn="0" w:lastRowLastColumn="0"/>
          <w:trHeight w:val="20"/>
        </w:trPr>
        <w:tc>
          <w:tcPr>
            <w:tcW w:w="2574" w:type="pct"/>
            <w:hideMark/>
          </w:tcPr>
          <w:p w14:paraId="0287F5D1" w14:textId="77777777" w:rsidR="006E51BF" w:rsidRPr="000C16E7" w:rsidRDefault="006E51BF">
            <w:pPr>
              <w:pStyle w:val="ARfintabletextbold"/>
              <w:rPr>
                <w:lang w:eastAsia="en-AU"/>
              </w:rPr>
            </w:pPr>
            <w:r w:rsidRPr="000C16E7">
              <w:rPr>
                <w:lang w:eastAsia="en-AU"/>
              </w:rPr>
              <w:t>Closing balance</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34EE0BA6" w14:textId="77777777" w:rsidR="006E51BF" w:rsidRPr="000C16E7" w:rsidRDefault="006E51BF">
            <w:pPr>
              <w:pStyle w:val="ARfintabletextboldright"/>
              <w:rPr>
                <w:lang w:eastAsia="en-AU"/>
              </w:rPr>
            </w:pPr>
            <w:r w:rsidRPr="000C16E7">
              <w:rPr>
                <w:lang w:eastAsia="en-AU"/>
              </w:rPr>
              <w:t>164.1</w:t>
            </w:r>
          </w:p>
        </w:tc>
        <w:tc>
          <w:tcPr>
            <w:tcW w:w="809" w:type="pct"/>
            <w:noWrap/>
            <w:tcMar>
              <w:right w:w="0" w:type="nil"/>
            </w:tcMar>
            <w:hideMark/>
          </w:tcPr>
          <w:p w14:paraId="2B41A60A" w14:textId="77777777" w:rsidR="006E51BF" w:rsidRPr="000C16E7"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0C16E7">
              <w:rPr>
                <w:lang w:eastAsia="en-AU"/>
              </w:rPr>
              <w:t>126.9</w:t>
            </w:r>
          </w:p>
        </w:tc>
        <w:tc>
          <w:tcPr>
            <w:cnfStyle w:val="000001000000" w:firstRow="0" w:lastRow="0" w:firstColumn="0" w:lastColumn="0" w:oddVBand="0" w:evenVBand="1" w:oddHBand="0" w:evenHBand="0" w:firstRowFirstColumn="0" w:firstRowLastColumn="0" w:lastRowFirstColumn="0" w:lastRowLastColumn="0"/>
            <w:tcW w:w="809" w:type="pct"/>
            <w:noWrap/>
            <w:tcMar>
              <w:right w:w="0" w:type="nil"/>
            </w:tcMar>
            <w:hideMark/>
          </w:tcPr>
          <w:p w14:paraId="108BAA19" w14:textId="77777777" w:rsidR="006E51BF" w:rsidRPr="000C16E7" w:rsidRDefault="006E51BF">
            <w:pPr>
              <w:pStyle w:val="ARfintabletextboldright"/>
              <w:rPr>
                <w:lang w:eastAsia="en-AU"/>
              </w:rPr>
            </w:pPr>
            <w:r w:rsidRPr="000C16E7">
              <w:rPr>
                <w:lang w:eastAsia="en-AU"/>
              </w:rPr>
              <w:t>291.0</w:t>
            </w:r>
          </w:p>
        </w:tc>
      </w:tr>
    </w:tbl>
    <w:p w14:paraId="5206DA0D" w14:textId="77B30979" w:rsidR="006E51BF" w:rsidRDefault="006E51BF" w:rsidP="00DB1A70">
      <w:pPr>
        <w:pStyle w:val="ARBody"/>
      </w:pPr>
    </w:p>
    <w:p w14:paraId="6BE8000F" w14:textId="77777777" w:rsidR="006E51BF" w:rsidRPr="00212F8E" w:rsidRDefault="006E51BF">
      <w:pPr>
        <w:pStyle w:val="Heading6"/>
        <w:spacing w:after="120"/>
      </w:pPr>
      <w:r w:rsidRPr="00DA7BAF">
        <w:t>Description of significant unobservable inputs to Level 3 valuations</w:t>
      </w:r>
    </w:p>
    <w:tbl>
      <w:tblPr>
        <w:tblStyle w:val="ARtable1"/>
        <w:tblW w:w="5000" w:type="pct"/>
        <w:tblLook w:val="00A0" w:firstRow="1" w:lastRow="0" w:firstColumn="1" w:lastColumn="0" w:noHBand="0" w:noVBand="0"/>
      </w:tblPr>
      <w:tblGrid>
        <w:gridCol w:w="2684"/>
        <w:gridCol w:w="3258"/>
        <w:gridCol w:w="3686"/>
      </w:tblGrid>
      <w:tr w:rsidR="006E51BF" w:rsidRPr="00DA7BAF" w14:paraId="0B44B96D" w14:textId="77777777">
        <w:trPr>
          <w:cnfStyle w:val="100000000000" w:firstRow="1" w:lastRow="0" w:firstColumn="0" w:lastColumn="0" w:oddVBand="0" w:evenVBand="0" w:oddHBand="0" w:evenHBand="0" w:firstRowFirstColumn="0" w:firstRowLastColumn="0" w:lastRowFirstColumn="0" w:lastRowLastColumn="0"/>
          <w:trHeight w:val="270"/>
        </w:trPr>
        <w:tc>
          <w:tcPr>
            <w:tcW w:w="1394" w:type="pct"/>
            <w:noWrap/>
            <w:hideMark/>
          </w:tcPr>
          <w:p w14:paraId="3E572966" w14:textId="77777777" w:rsidR="006E51BF" w:rsidRPr="00DA7BAF"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1692" w:type="pct"/>
            <w:tcMar>
              <w:left w:w="113" w:type="dxa"/>
            </w:tcMar>
            <w:hideMark/>
          </w:tcPr>
          <w:p w14:paraId="30DC01E7" w14:textId="77777777" w:rsidR="006E51BF" w:rsidRPr="00DA7BAF" w:rsidRDefault="006E51BF">
            <w:pPr>
              <w:pStyle w:val="ARfintablecolhead"/>
              <w:rPr>
                <w:lang w:eastAsia="en-AU"/>
              </w:rPr>
            </w:pPr>
            <w:r w:rsidRPr="00DA7BAF">
              <w:rPr>
                <w:lang w:eastAsia="en-AU"/>
              </w:rPr>
              <w:t>Valuation technique</w:t>
            </w:r>
          </w:p>
        </w:tc>
        <w:tc>
          <w:tcPr>
            <w:tcW w:w="1914" w:type="pct"/>
            <w:tcMar>
              <w:left w:w="113" w:type="dxa"/>
            </w:tcMar>
            <w:hideMark/>
          </w:tcPr>
          <w:p w14:paraId="0341B837" w14:textId="77777777" w:rsidR="006E51BF" w:rsidRPr="00DA7BAF" w:rsidRDefault="006E51BF">
            <w:pPr>
              <w:pStyle w:val="ARfintablecolhead"/>
              <w:cnfStyle w:val="100000000000" w:firstRow="1" w:lastRow="0" w:firstColumn="0" w:lastColumn="0" w:oddVBand="0" w:evenVBand="0" w:oddHBand="0" w:evenHBand="0" w:firstRowFirstColumn="0" w:firstRowLastColumn="0" w:lastRowFirstColumn="0" w:lastRowLastColumn="0"/>
              <w:rPr>
                <w:lang w:eastAsia="en-AU"/>
              </w:rPr>
            </w:pPr>
            <w:r w:rsidRPr="00DA7BAF">
              <w:rPr>
                <w:lang w:eastAsia="en-AU"/>
              </w:rPr>
              <w:t>Significant Unobservable Inputs</w:t>
            </w:r>
          </w:p>
        </w:tc>
      </w:tr>
      <w:tr w:rsidR="006E51BF" w:rsidRPr="00DA7BAF" w14:paraId="07DDEC80" w14:textId="77777777">
        <w:trPr>
          <w:cnfStyle w:val="000000100000" w:firstRow="0" w:lastRow="0" w:firstColumn="0" w:lastColumn="0" w:oddVBand="0" w:evenVBand="0" w:oddHBand="1" w:evenHBand="0" w:firstRowFirstColumn="0" w:firstRowLastColumn="0" w:lastRowFirstColumn="0" w:lastRowLastColumn="0"/>
          <w:trHeight w:val="615"/>
        </w:trPr>
        <w:tc>
          <w:tcPr>
            <w:tcW w:w="1394" w:type="pct"/>
            <w:tcBorders>
              <w:top w:val="single" w:sz="4" w:space="0" w:color="000000" w:themeColor="text1"/>
              <w:bottom w:val="single" w:sz="4" w:space="0" w:color="000000" w:themeColor="text1"/>
            </w:tcBorders>
            <w:noWrap/>
            <w:hideMark/>
          </w:tcPr>
          <w:p w14:paraId="668A3ADA" w14:textId="77777777" w:rsidR="006E51BF" w:rsidRPr="00DA7BAF" w:rsidRDefault="006E51BF">
            <w:pPr>
              <w:pStyle w:val="ARfintabletextboldcoloured"/>
              <w:rPr>
                <w:lang w:eastAsia="en-AU"/>
              </w:rPr>
            </w:pPr>
            <w:r w:rsidRPr="00DA7BAF">
              <w:rPr>
                <w:lang w:eastAsia="en-AU"/>
              </w:rPr>
              <w:t>Specialised land</w:t>
            </w:r>
          </w:p>
        </w:tc>
        <w:tc>
          <w:tcPr>
            <w:cnfStyle w:val="000001000000" w:firstRow="0" w:lastRow="0" w:firstColumn="0" w:lastColumn="0" w:oddVBand="0" w:evenVBand="1" w:oddHBand="0" w:evenHBand="0" w:firstRowFirstColumn="0" w:firstRowLastColumn="0" w:lastRowFirstColumn="0" w:lastRowLastColumn="0"/>
            <w:tcW w:w="1692" w:type="pct"/>
            <w:tcBorders>
              <w:top w:val="single" w:sz="4" w:space="0" w:color="000000" w:themeColor="text1"/>
              <w:bottom w:val="single" w:sz="4" w:space="0" w:color="000000" w:themeColor="text1"/>
            </w:tcBorders>
            <w:tcMar>
              <w:left w:w="113" w:type="dxa"/>
            </w:tcMar>
            <w:hideMark/>
          </w:tcPr>
          <w:p w14:paraId="6000AD21" w14:textId="77777777" w:rsidR="006E51BF" w:rsidRPr="00DA7BAF" w:rsidRDefault="006E51BF">
            <w:pPr>
              <w:pStyle w:val="ARfintabletext"/>
              <w:rPr>
                <w:lang w:eastAsia="en-AU"/>
              </w:rPr>
            </w:pPr>
            <w:r w:rsidRPr="00DA7BAF">
              <w:rPr>
                <w:lang w:eastAsia="en-AU"/>
              </w:rPr>
              <w:t>Market approach</w:t>
            </w:r>
          </w:p>
        </w:tc>
        <w:tc>
          <w:tcPr>
            <w:tcW w:w="1914" w:type="pct"/>
            <w:tcBorders>
              <w:top w:val="single" w:sz="4" w:space="0" w:color="000000" w:themeColor="text1"/>
              <w:bottom w:val="single" w:sz="4" w:space="0" w:color="000000" w:themeColor="text1"/>
            </w:tcBorders>
            <w:tcMar>
              <w:left w:w="113" w:type="dxa"/>
            </w:tcMar>
            <w:hideMark/>
          </w:tcPr>
          <w:p w14:paraId="14FEA3C8" w14:textId="77777777" w:rsidR="006E51BF" w:rsidRPr="00DA7BAF" w:rsidRDefault="006E51BF">
            <w:pPr>
              <w:pStyle w:val="ARfintabletext"/>
              <w:cnfStyle w:val="000000100000" w:firstRow="0" w:lastRow="0" w:firstColumn="0" w:lastColumn="0" w:oddVBand="0" w:evenVBand="0" w:oddHBand="1" w:evenHBand="0" w:firstRowFirstColumn="0" w:firstRowLastColumn="0" w:lastRowFirstColumn="0" w:lastRowLastColumn="0"/>
              <w:rPr>
                <w:lang w:eastAsia="en-AU"/>
              </w:rPr>
            </w:pPr>
            <w:r w:rsidRPr="00DA7BAF">
              <w:rPr>
                <w:lang w:eastAsia="en-AU"/>
              </w:rPr>
              <w:t>Community Service Obligation (CSO) adjustment (rate 20</w:t>
            </w:r>
            <w:r>
              <w:rPr>
                <w:lang w:eastAsia="en-AU"/>
              </w:rPr>
              <w:t>–</w:t>
            </w:r>
            <w:r w:rsidRPr="00DA7BAF">
              <w:rPr>
                <w:lang w:eastAsia="en-AU"/>
              </w:rPr>
              <w:t>80%)</w:t>
            </w:r>
          </w:p>
        </w:tc>
      </w:tr>
      <w:tr w:rsidR="006E51BF" w:rsidRPr="00DA7BAF" w14:paraId="34A69495" w14:textId="77777777">
        <w:trPr>
          <w:cnfStyle w:val="000000010000" w:firstRow="0" w:lastRow="0" w:firstColumn="0" w:lastColumn="0" w:oddVBand="0" w:evenVBand="0" w:oddHBand="0" w:evenHBand="1" w:firstRowFirstColumn="0" w:firstRowLastColumn="0" w:lastRowFirstColumn="0" w:lastRowLastColumn="0"/>
          <w:trHeight w:val="435"/>
        </w:trPr>
        <w:tc>
          <w:tcPr>
            <w:tcW w:w="1394" w:type="pct"/>
            <w:tcBorders>
              <w:top w:val="single" w:sz="4" w:space="0" w:color="000000" w:themeColor="text1"/>
              <w:bottom w:val="nil"/>
            </w:tcBorders>
            <w:noWrap/>
            <w:hideMark/>
          </w:tcPr>
          <w:p w14:paraId="67C6B0DB" w14:textId="77777777" w:rsidR="006E51BF" w:rsidRPr="00DA7BAF" w:rsidRDefault="006E51BF">
            <w:pPr>
              <w:pStyle w:val="ARfintabletextboldcoloured"/>
              <w:rPr>
                <w:lang w:eastAsia="en-AU"/>
              </w:rPr>
            </w:pPr>
            <w:r w:rsidRPr="00DA7BAF">
              <w:rPr>
                <w:lang w:eastAsia="en-AU"/>
              </w:rPr>
              <w:t>Specialised buildings</w:t>
            </w:r>
          </w:p>
        </w:tc>
        <w:tc>
          <w:tcPr>
            <w:cnfStyle w:val="000001000000" w:firstRow="0" w:lastRow="0" w:firstColumn="0" w:lastColumn="0" w:oddVBand="0" w:evenVBand="1" w:oddHBand="0" w:evenHBand="0" w:firstRowFirstColumn="0" w:firstRowLastColumn="0" w:lastRowFirstColumn="0" w:lastRowLastColumn="0"/>
            <w:tcW w:w="1692" w:type="pct"/>
            <w:tcBorders>
              <w:top w:val="single" w:sz="4" w:space="0" w:color="000000" w:themeColor="text1"/>
              <w:bottom w:val="nil"/>
            </w:tcBorders>
            <w:tcMar>
              <w:left w:w="113" w:type="dxa"/>
            </w:tcMar>
            <w:hideMark/>
          </w:tcPr>
          <w:p w14:paraId="4C7BB0E7" w14:textId="77777777" w:rsidR="006E51BF" w:rsidRPr="00DA7BAF" w:rsidRDefault="006E51BF">
            <w:pPr>
              <w:pStyle w:val="ARfintabletext"/>
              <w:rPr>
                <w:lang w:eastAsia="en-AU"/>
              </w:rPr>
            </w:pPr>
            <w:r w:rsidRPr="00DA7BAF">
              <w:rPr>
                <w:lang w:eastAsia="en-AU"/>
              </w:rPr>
              <w:t>Current replacement cost</w:t>
            </w:r>
          </w:p>
        </w:tc>
        <w:tc>
          <w:tcPr>
            <w:tcW w:w="1914" w:type="pct"/>
            <w:tcBorders>
              <w:top w:val="single" w:sz="4" w:space="0" w:color="000000" w:themeColor="text1"/>
            </w:tcBorders>
            <w:tcMar>
              <w:left w:w="113" w:type="dxa"/>
            </w:tcMar>
            <w:hideMark/>
          </w:tcPr>
          <w:p w14:paraId="403E649C" w14:textId="77777777" w:rsidR="006E51BF" w:rsidRPr="00DA7BAF" w:rsidRDefault="006E51BF">
            <w:pPr>
              <w:pStyle w:val="ARfintabletext"/>
              <w:cnfStyle w:val="000000010000" w:firstRow="0" w:lastRow="0" w:firstColumn="0" w:lastColumn="0" w:oddVBand="0" w:evenVBand="0" w:oddHBand="0" w:evenHBand="1" w:firstRowFirstColumn="0" w:firstRowLastColumn="0" w:lastRowFirstColumn="0" w:lastRowLastColumn="0"/>
              <w:rPr>
                <w:lang w:eastAsia="en-AU"/>
              </w:rPr>
            </w:pPr>
            <w:r w:rsidRPr="00DA7BAF">
              <w:rPr>
                <w:lang w:eastAsia="en-AU"/>
              </w:rPr>
              <w:t>Direct cost per square metre</w:t>
            </w:r>
          </w:p>
        </w:tc>
      </w:tr>
      <w:tr w:rsidR="006E51BF" w:rsidRPr="00DA7BAF" w14:paraId="126F415B" w14:textId="77777777">
        <w:trPr>
          <w:cnfStyle w:val="000000100000" w:firstRow="0" w:lastRow="0" w:firstColumn="0" w:lastColumn="0" w:oddVBand="0" w:evenVBand="0" w:oddHBand="1" w:evenHBand="0" w:firstRowFirstColumn="0" w:firstRowLastColumn="0" w:lastRowFirstColumn="0" w:lastRowLastColumn="0"/>
          <w:trHeight w:val="435"/>
        </w:trPr>
        <w:tc>
          <w:tcPr>
            <w:tcW w:w="1394" w:type="pct"/>
            <w:tcBorders>
              <w:bottom w:val="single" w:sz="4" w:space="0" w:color="000000" w:themeColor="text1"/>
            </w:tcBorders>
            <w:noWrap/>
            <w:hideMark/>
          </w:tcPr>
          <w:p w14:paraId="759EDEC9" w14:textId="77777777" w:rsidR="006E51BF" w:rsidRPr="00DA7BAF" w:rsidRDefault="006E51BF">
            <w:pPr>
              <w:pStyle w:val="ARfintabletextboldcoloured"/>
              <w:rPr>
                <w:lang w:eastAsia="en-AU"/>
              </w:rPr>
            </w:pPr>
          </w:p>
        </w:tc>
        <w:tc>
          <w:tcPr>
            <w:cnfStyle w:val="000001000000" w:firstRow="0" w:lastRow="0" w:firstColumn="0" w:lastColumn="0" w:oddVBand="0" w:evenVBand="1" w:oddHBand="0" w:evenHBand="0" w:firstRowFirstColumn="0" w:firstRowLastColumn="0" w:lastRowFirstColumn="0" w:lastRowLastColumn="0"/>
            <w:tcW w:w="1692" w:type="pct"/>
            <w:tcBorders>
              <w:bottom w:val="single" w:sz="4" w:space="0" w:color="000000" w:themeColor="text1"/>
            </w:tcBorders>
            <w:tcMar>
              <w:left w:w="113" w:type="dxa"/>
            </w:tcMar>
            <w:hideMark/>
          </w:tcPr>
          <w:p w14:paraId="6AD5A9DF" w14:textId="77777777" w:rsidR="006E51BF" w:rsidRPr="00DA7BAF" w:rsidRDefault="006E51BF">
            <w:pPr>
              <w:pStyle w:val="ARfintabletext"/>
              <w:rPr>
                <w:lang w:eastAsia="en-AU"/>
              </w:rPr>
            </w:pPr>
          </w:p>
        </w:tc>
        <w:tc>
          <w:tcPr>
            <w:tcW w:w="1914" w:type="pct"/>
            <w:tcBorders>
              <w:bottom w:val="single" w:sz="4" w:space="0" w:color="000000" w:themeColor="text1"/>
            </w:tcBorders>
            <w:tcMar>
              <w:left w:w="113" w:type="dxa"/>
            </w:tcMar>
            <w:hideMark/>
          </w:tcPr>
          <w:p w14:paraId="21E2BCBC" w14:textId="77777777" w:rsidR="006E51BF" w:rsidRPr="00DA7BAF" w:rsidRDefault="006E51BF">
            <w:pPr>
              <w:pStyle w:val="ARfintabletext"/>
              <w:cnfStyle w:val="000000100000" w:firstRow="0" w:lastRow="0" w:firstColumn="0" w:lastColumn="0" w:oddVBand="0" w:evenVBand="0" w:oddHBand="1" w:evenHBand="0" w:firstRowFirstColumn="0" w:firstRowLastColumn="0" w:lastRowFirstColumn="0" w:lastRowLastColumn="0"/>
              <w:rPr>
                <w:lang w:eastAsia="en-AU"/>
              </w:rPr>
            </w:pPr>
            <w:r w:rsidRPr="00DA7BAF">
              <w:rPr>
                <w:lang w:eastAsia="en-AU"/>
              </w:rPr>
              <w:t>Useful life of specialised buildings</w:t>
            </w:r>
          </w:p>
        </w:tc>
      </w:tr>
      <w:tr w:rsidR="006E51BF" w:rsidRPr="00DA7BAF" w14:paraId="4865FF9E" w14:textId="77777777">
        <w:trPr>
          <w:cnfStyle w:val="000000010000" w:firstRow="0" w:lastRow="0" w:firstColumn="0" w:lastColumn="0" w:oddVBand="0" w:evenVBand="0" w:oddHBand="0" w:evenHBand="1" w:firstRowFirstColumn="0" w:firstRowLastColumn="0" w:lastRowFirstColumn="0" w:lastRowLastColumn="0"/>
          <w:trHeight w:val="435"/>
        </w:trPr>
        <w:tc>
          <w:tcPr>
            <w:tcW w:w="1394" w:type="pct"/>
            <w:tcBorders>
              <w:top w:val="single" w:sz="4" w:space="0" w:color="000000" w:themeColor="text1"/>
              <w:bottom w:val="nil"/>
            </w:tcBorders>
            <w:noWrap/>
            <w:hideMark/>
          </w:tcPr>
          <w:p w14:paraId="512AF75B" w14:textId="77777777" w:rsidR="006E51BF" w:rsidRPr="00DA7BAF" w:rsidRDefault="006E51BF">
            <w:pPr>
              <w:pStyle w:val="ARfintabletextboldcoloured"/>
              <w:rPr>
                <w:lang w:eastAsia="en-AU"/>
              </w:rPr>
            </w:pPr>
            <w:r w:rsidRPr="00DA7BAF">
              <w:rPr>
                <w:lang w:eastAsia="en-AU"/>
              </w:rPr>
              <w:t>Plant and equipment</w:t>
            </w:r>
          </w:p>
        </w:tc>
        <w:tc>
          <w:tcPr>
            <w:cnfStyle w:val="000001000000" w:firstRow="0" w:lastRow="0" w:firstColumn="0" w:lastColumn="0" w:oddVBand="0" w:evenVBand="1" w:oddHBand="0" w:evenHBand="0" w:firstRowFirstColumn="0" w:firstRowLastColumn="0" w:lastRowFirstColumn="0" w:lastRowLastColumn="0"/>
            <w:tcW w:w="1692" w:type="pct"/>
            <w:tcBorders>
              <w:top w:val="single" w:sz="4" w:space="0" w:color="000000" w:themeColor="text1"/>
              <w:bottom w:val="nil"/>
            </w:tcBorders>
            <w:tcMar>
              <w:left w:w="113" w:type="dxa"/>
            </w:tcMar>
            <w:hideMark/>
          </w:tcPr>
          <w:p w14:paraId="786039D8" w14:textId="77777777" w:rsidR="006E51BF" w:rsidRPr="00DA7BAF" w:rsidRDefault="006E51BF">
            <w:pPr>
              <w:pStyle w:val="ARfintabletext"/>
              <w:rPr>
                <w:lang w:eastAsia="en-AU"/>
              </w:rPr>
            </w:pPr>
            <w:r w:rsidRPr="00DA7BAF">
              <w:rPr>
                <w:lang w:eastAsia="en-AU"/>
              </w:rPr>
              <w:t>Current replacement cost</w:t>
            </w:r>
          </w:p>
        </w:tc>
        <w:tc>
          <w:tcPr>
            <w:tcW w:w="1914" w:type="pct"/>
            <w:tcBorders>
              <w:top w:val="single" w:sz="4" w:space="0" w:color="000000" w:themeColor="text1"/>
              <w:bottom w:val="single" w:sz="4" w:space="0" w:color="BFBFBF" w:themeColor="accent2"/>
            </w:tcBorders>
            <w:tcMar>
              <w:left w:w="113" w:type="dxa"/>
            </w:tcMar>
            <w:hideMark/>
          </w:tcPr>
          <w:p w14:paraId="1E9800DE" w14:textId="77777777" w:rsidR="006E51BF" w:rsidRPr="00DA7BAF" w:rsidRDefault="006E51BF">
            <w:pPr>
              <w:pStyle w:val="ARfintabletext"/>
              <w:cnfStyle w:val="000000010000" w:firstRow="0" w:lastRow="0" w:firstColumn="0" w:lastColumn="0" w:oddVBand="0" w:evenVBand="0" w:oddHBand="0" w:evenHBand="1" w:firstRowFirstColumn="0" w:firstRowLastColumn="0" w:lastRowFirstColumn="0" w:lastRowLastColumn="0"/>
              <w:rPr>
                <w:lang w:eastAsia="en-AU"/>
              </w:rPr>
            </w:pPr>
            <w:r w:rsidRPr="00DA7BAF">
              <w:rPr>
                <w:lang w:eastAsia="en-AU"/>
              </w:rPr>
              <w:t>Useful life of equipment</w:t>
            </w:r>
          </w:p>
        </w:tc>
      </w:tr>
      <w:tr w:rsidR="006E51BF" w:rsidRPr="00DA7BAF" w14:paraId="6D3CE1B8" w14:textId="77777777">
        <w:trPr>
          <w:cnfStyle w:val="000000100000" w:firstRow="0" w:lastRow="0" w:firstColumn="0" w:lastColumn="0" w:oddVBand="0" w:evenVBand="0" w:oddHBand="1" w:evenHBand="0" w:firstRowFirstColumn="0" w:firstRowLastColumn="0" w:lastRowFirstColumn="0" w:lastRowLastColumn="0"/>
          <w:trHeight w:val="270"/>
        </w:trPr>
        <w:tc>
          <w:tcPr>
            <w:tcW w:w="1394" w:type="pct"/>
            <w:tcBorders>
              <w:bottom w:val="single" w:sz="4" w:space="0" w:color="000000" w:themeColor="text1"/>
            </w:tcBorders>
            <w:noWrap/>
            <w:hideMark/>
          </w:tcPr>
          <w:p w14:paraId="0C0C285E" w14:textId="77777777" w:rsidR="006E51BF" w:rsidRPr="00DA7BAF" w:rsidRDefault="006E51BF">
            <w:pPr>
              <w:pStyle w:val="ARfintabletext"/>
              <w:rPr>
                <w:lang w:eastAsia="en-AU"/>
              </w:rPr>
            </w:pPr>
          </w:p>
        </w:tc>
        <w:tc>
          <w:tcPr>
            <w:cnfStyle w:val="000001000000" w:firstRow="0" w:lastRow="0" w:firstColumn="0" w:lastColumn="0" w:oddVBand="0" w:evenVBand="1" w:oddHBand="0" w:evenHBand="0" w:firstRowFirstColumn="0" w:firstRowLastColumn="0" w:lastRowFirstColumn="0" w:lastRowLastColumn="0"/>
            <w:tcW w:w="1692" w:type="pct"/>
            <w:tcBorders>
              <w:bottom w:val="single" w:sz="4" w:space="0" w:color="000000" w:themeColor="text1"/>
            </w:tcBorders>
            <w:tcMar>
              <w:left w:w="113" w:type="dxa"/>
            </w:tcMar>
            <w:hideMark/>
          </w:tcPr>
          <w:p w14:paraId="49755B11" w14:textId="77777777" w:rsidR="006E51BF" w:rsidRPr="00DA7BAF" w:rsidRDefault="006E51BF">
            <w:pPr>
              <w:pStyle w:val="ARfintabletext"/>
              <w:rPr>
                <w:lang w:eastAsia="en-AU"/>
              </w:rPr>
            </w:pPr>
            <w:r w:rsidRPr="00DA7BAF">
              <w:rPr>
                <w:lang w:eastAsia="en-AU"/>
              </w:rPr>
              <w:t> </w:t>
            </w:r>
          </w:p>
        </w:tc>
        <w:tc>
          <w:tcPr>
            <w:tcW w:w="1914" w:type="pct"/>
            <w:tcBorders>
              <w:top w:val="single" w:sz="4" w:space="0" w:color="BFBFBF" w:themeColor="accent2"/>
              <w:bottom w:val="single" w:sz="4" w:space="0" w:color="000000" w:themeColor="text1"/>
            </w:tcBorders>
            <w:tcMar>
              <w:left w:w="113" w:type="dxa"/>
            </w:tcMar>
            <w:hideMark/>
          </w:tcPr>
          <w:p w14:paraId="36336881" w14:textId="77777777" w:rsidR="006E51BF" w:rsidRPr="00DA7BAF" w:rsidRDefault="006E51BF">
            <w:pPr>
              <w:pStyle w:val="ARfintabletext"/>
              <w:cnfStyle w:val="000000100000" w:firstRow="0" w:lastRow="0" w:firstColumn="0" w:lastColumn="0" w:oddVBand="0" w:evenVBand="0" w:oddHBand="1" w:evenHBand="0" w:firstRowFirstColumn="0" w:firstRowLastColumn="0" w:lastRowFirstColumn="0" w:lastRowLastColumn="0"/>
              <w:rPr>
                <w:lang w:eastAsia="en-AU"/>
              </w:rPr>
            </w:pPr>
            <w:r w:rsidRPr="00DA7BAF">
              <w:rPr>
                <w:lang w:eastAsia="en-AU"/>
              </w:rPr>
              <w:t>Cost per unit</w:t>
            </w:r>
          </w:p>
        </w:tc>
      </w:tr>
    </w:tbl>
    <w:p w14:paraId="53AC4D46" w14:textId="77777777" w:rsidR="006E51BF" w:rsidRPr="00DA7BAF" w:rsidRDefault="006E51BF">
      <w:pPr>
        <w:pStyle w:val="ARfintablenote"/>
        <w:rPr>
          <w:lang w:eastAsia="en-AU"/>
        </w:rPr>
      </w:pPr>
      <w:r w:rsidRPr="00DA7BAF">
        <w:rPr>
          <w:lang w:eastAsia="en-AU"/>
        </w:rPr>
        <w:t>Significant unobservable inputs have remained unchanged since June 2025.</w:t>
      </w:r>
    </w:p>
    <w:p w14:paraId="141D52F8" w14:textId="77777777" w:rsidR="006E51BF" w:rsidRDefault="006E51BF">
      <w:pPr>
        <w:spacing w:after="0" w:line="240" w:lineRule="auto"/>
        <w:rPr>
          <w:rFonts w:eastAsia="Times"/>
          <w:sz w:val="20"/>
          <w:lang w:eastAsia="en-AU"/>
        </w:rPr>
      </w:pPr>
      <w:r>
        <w:rPr>
          <w:sz w:val="20"/>
          <w:lang w:eastAsia="en-AU"/>
        </w:rPr>
        <w:br w:type="page"/>
      </w:r>
    </w:p>
    <w:p w14:paraId="4404B415" w14:textId="77777777" w:rsidR="006E51BF" w:rsidRPr="002C758A" w:rsidRDefault="006E51BF" w:rsidP="00E44E3F">
      <w:pPr>
        <w:pStyle w:val="Heading3financials"/>
        <w:spacing w:before="0"/>
        <w:rPr>
          <w:lang w:eastAsia="en-AU"/>
        </w:rPr>
      </w:pPr>
      <w:bookmarkStart w:id="304" w:name="_Toc241068552"/>
      <w:r w:rsidRPr="002C758A">
        <w:rPr>
          <w:lang w:eastAsia="en-AU"/>
        </w:rPr>
        <w:t xml:space="preserve">9. </w:t>
      </w:r>
      <w:r>
        <w:rPr>
          <w:lang w:eastAsia="en-AU"/>
        </w:rPr>
        <w:tab/>
      </w:r>
      <w:bookmarkStart w:id="305" w:name="Otherdisclosures"/>
      <w:r w:rsidRPr="002C758A">
        <w:rPr>
          <w:lang w:eastAsia="en-AU"/>
        </w:rPr>
        <w:t>Other disclosures</w:t>
      </w:r>
      <w:bookmarkEnd w:id="304"/>
      <w:bookmarkEnd w:id="305"/>
    </w:p>
    <w:p w14:paraId="037D681E" w14:textId="77777777" w:rsidR="006E51BF" w:rsidRDefault="006E51BF">
      <w:pPr>
        <w:pStyle w:val="Heading4"/>
        <w:rPr>
          <w:lang w:eastAsia="en-AU"/>
        </w:rPr>
      </w:pPr>
      <w:r w:rsidRPr="002C758A">
        <w:rPr>
          <w:lang w:eastAsia="en-AU"/>
        </w:rPr>
        <w:t>Introduction</w:t>
      </w:r>
    </w:p>
    <w:p w14:paraId="7D0FFC3E" w14:textId="65F45C54" w:rsidR="006E51BF" w:rsidRDefault="006E51BF">
      <w:pPr>
        <w:pStyle w:val="ARfinbody"/>
        <w:rPr>
          <w:sz w:val="20"/>
          <w:lang w:eastAsia="en-AU"/>
        </w:rPr>
      </w:pPr>
      <w:r w:rsidRPr="002C758A">
        <w:rPr>
          <w:sz w:val="20"/>
          <w:lang w:eastAsia="en-AU"/>
        </w:rPr>
        <w:t xml:space="preserve">This section includes additional material disclosures required by accounting standards or otherwise, </w:t>
      </w:r>
      <w:r w:rsidR="00171537">
        <w:rPr>
          <w:sz w:val="20"/>
          <w:lang w:eastAsia="en-AU"/>
        </w:rPr>
        <w:br/>
      </w:r>
      <w:r w:rsidRPr="002C758A">
        <w:rPr>
          <w:sz w:val="20"/>
          <w:lang w:eastAsia="en-AU"/>
        </w:rPr>
        <w:t>for the understanding of this financial report.</w:t>
      </w:r>
    </w:p>
    <w:p w14:paraId="694CE350" w14:textId="77777777" w:rsidR="006E51BF" w:rsidRDefault="006E51BF">
      <w:pPr>
        <w:pStyle w:val="Heading4"/>
        <w:rPr>
          <w:lang w:eastAsia="en-AU"/>
        </w:rPr>
      </w:pPr>
      <w:r w:rsidRPr="002C758A">
        <w:rPr>
          <w:lang w:eastAsia="en-AU"/>
        </w:rPr>
        <w:t>Structure</w:t>
      </w:r>
    </w:p>
    <w:p w14:paraId="45B95997" w14:textId="77777777" w:rsidR="006E51BF" w:rsidRDefault="006E51BF">
      <w:pPr>
        <w:pStyle w:val="ARfinstructure1"/>
        <w:ind w:left="567" w:hanging="567"/>
        <w:rPr>
          <w:lang w:eastAsia="en-AU"/>
        </w:rPr>
      </w:pPr>
      <w:r w:rsidRPr="002C758A">
        <w:rPr>
          <w:lang w:eastAsia="en-AU"/>
        </w:rPr>
        <w:t xml:space="preserve">9.1 </w:t>
      </w:r>
      <w:r>
        <w:rPr>
          <w:lang w:eastAsia="en-AU"/>
        </w:rPr>
        <w:tab/>
      </w:r>
      <w:r w:rsidRPr="002C758A">
        <w:rPr>
          <w:lang w:eastAsia="en-AU"/>
        </w:rPr>
        <w:t>Ex-gratia expenses</w:t>
      </w:r>
    </w:p>
    <w:p w14:paraId="72AED46A" w14:textId="77777777" w:rsidR="006E51BF" w:rsidRDefault="006E51BF">
      <w:pPr>
        <w:pStyle w:val="ARfinstructure1"/>
        <w:ind w:left="567" w:hanging="567"/>
        <w:rPr>
          <w:lang w:eastAsia="en-AU"/>
        </w:rPr>
      </w:pPr>
      <w:r w:rsidRPr="002C758A">
        <w:rPr>
          <w:lang w:eastAsia="en-AU"/>
        </w:rPr>
        <w:t xml:space="preserve">9.2 </w:t>
      </w:r>
      <w:r>
        <w:rPr>
          <w:lang w:eastAsia="en-AU"/>
        </w:rPr>
        <w:tab/>
      </w:r>
      <w:r w:rsidRPr="002C758A">
        <w:rPr>
          <w:lang w:eastAsia="en-AU"/>
        </w:rPr>
        <w:t>Other economic flows included in net result</w:t>
      </w:r>
    </w:p>
    <w:p w14:paraId="3817C930" w14:textId="77777777" w:rsidR="006E51BF" w:rsidRDefault="006E51BF">
      <w:pPr>
        <w:pStyle w:val="ARfinstructure1"/>
        <w:ind w:left="567" w:hanging="567"/>
        <w:rPr>
          <w:lang w:eastAsia="en-AU"/>
        </w:rPr>
      </w:pPr>
      <w:r w:rsidRPr="002C758A">
        <w:rPr>
          <w:lang w:eastAsia="en-AU"/>
        </w:rPr>
        <w:t xml:space="preserve">9.3 </w:t>
      </w:r>
      <w:r>
        <w:rPr>
          <w:lang w:eastAsia="en-AU"/>
        </w:rPr>
        <w:tab/>
      </w:r>
      <w:r w:rsidRPr="002C758A">
        <w:rPr>
          <w:lang w:eastAsia="en-AU"/>
        </w:rPr>
        <w:t>Reserves</w:t>
      </w:r>
    </w:p>
    <w:p w14:paraId="038E18D3" w14:textId="77777777" w:rsidR="006E51BF" w:rsidRDefault="006E51BF">
      <w:pPr>
        <w:pStyle w:val="ARfinstructure1"/>
        <w:ind w:left="567" w:hanging="567"/>
        <w:rPr>
          <w:lang w:eastAsia="en-AU"/>
        </w:rPr>
      </w:pPr>
      <w:r w:rsidRPr="002C758A">
        <w:rPr>
          <w:lang w:eastAsia="en-AU"/>
        </w:rPr>
        <w:t xml:space="preserve">9.4 </w:t>
      </w:r>
      <w:r>
        <w:rPr>
          <w:lang w:eastAsia="en-AU"/>
        </w:rPr>
        <w:tab/>
      </w:r>
      <w:r w:rsidRPr="002C758A">
        <w:rPr>
          <w:lang w:eastAsia="en-AU"/>
        </w:rPr>
        <w:t>Changes in accounting policy</w:t>
      </w:r>
    </w:p>
    <w:p w14:paraId="7D5AF6B8" w14:textId="77777777" w:rsidR="006E51BF" w:rsidRDefault="006E51BF">
      <w:pPr>
        <w:pStyle w:val="ARfinstructure1"/>
        <w:ind w:left="567" w:hanging="567"/>
        <w:rPr>
          <w:lang w:eastAsia="en-AU"/>
        </w:rPr>
      </w:pPr>
      <w:r w:rsidRPr="002C758A">
        <w:rPr>
          <w:lang w:eastAsia="en-AU"/>
        </w:rPr>
        <w:t xml:space="preserve">9.5 </w:t>
      </w:r>
      <w:r>
        <w:rPr>
          <w:lang w:eastAsia="en-AU"/>
        </w:rPr>
        <w:tab/>
      </w:r>
      <w:r w:rsidRPr="002C758A">
        <w:rPr>
          <w:lang w:eastAsia="en-AU"/>
        </w:rPr>
        <w:t>Entities included in the Department of Families, Fairness and Housing financial statements pursuant to section 53(1)(b) of the FMA</w:t>
      </w:r>
    </w:p>
    <w:p w14:paraId="25B7E728" w14:textId="77777777" w:rsidR="006E51BF" w:rsidRDefault="006E51BF">
      <w:pPr>
        <w:pStyle w:val="ARfinstructure1"/>
        <w:ind w:left="567" w:hanging="567"/>
        <w:rPr>
          <w:lang w:eastAsia="en-AU"/>
        </w:rPr>
      </w:pPr>
      <w:r w:rsidRPr="002C758A">
        <w:rPr>
          <w:lang w:eastAsia="en-AU"/>
        </w:rPr>
        <w:t xml:space="preserve">9.6 </w:t>
      </w:r>
      <w:r>
        <w:rPr>
          <w:lang w:eastAsia="en-AU"/>
        </w:rPr>
        <w:tab/>
      </w:r>
      <w:r w:rsidRPr="002C758A">
        <w:rPr>
          <w:lang w:eastAsia="en-AU"/>
        </w:rPr>
        <w:t>Responsible persons</w:t>
      </w:r>
    </w:p>
    <w:p w14:paraId="1B2BBC2E" w14:textId="77777777" w:rsidR="006E51BF" w:rsidRDefault="006E51BF">
      <w:pPr>
        <w:pStyle w:val="ARfinstructure1"/>
        <w:ind w:left="567" w:hanging="567"/>
        <w:rPr>
          <w:lang w:eastAsia="en-AU"/>
        </w:rPr>
      </w:pPr>
      <w:r w:rsidRPr="002C758A">
        <w:rPr>
          <w:lang w:eastAsia="en-AU"/>
        </w:rPr>
        <w:t xml:space="preserve">9.7 </w:t>
      </w:r>
      <w:r>
        <w:rPr>
          <w:lang w:eastAsia="en-AU"/>
        </w:rPr>
        <w:tab/>
      </w:r>
      <w:r w:rsidRPr="002C758A">
        <w:rPr>
          <w:lang w:eastAsia="en-AU"/>
        </w:rPr>
        <w:t>Remuneration of executives</w:t>
      </w:r>
    </w:p>
    <w:p w14:paraId="77DEF199" w14:textId="77777777" w:rsidR="006E51BF" w:rsidRDefault="006E51BF">
      <w:pPr>
        <w:pStyle w:val="ARfinstructure1"/>
        <w:ind w:left="567" w:hanging="567"/>
        <w:rPr>
          <w:lang w:eastAsia="en-AU"/>
        </w:rPr>
      </w:pPr>
      <w:r w:rsidRPr="002C758A">
        <w:rPr>
          <w:lang w:eastAsia="en-AU"/>
        </w:rPr>
        <w:t xml:space="preserve">9.8 </w:t>
      </w:r>
      <w:r>
        <w:rPr>
          <w:lang w:eastAsia="en-AU"/>
        </w:rPr>
        <w:tab/>
      </w:r>
      <w:r w:rsidRPr="002C758A">
        <w:rPr>
          <w:lang w:eastAsia="en-AU"/>
        </w:rPr>
        <w:t>Related parties</w:t>
      </w:r>
    </w:p>
    <w:p w14:paraId="3EE75FF6" w14:textId="77777777" w:rsidR="006E51BF" w:rsidRDefault="006E51BF">
      <w:pPr>
        <w:pStyle w:val="ARfinstructure1"/>
        <w:ind w:left="567" w:hanging="567"/>
        <w:rPr>
          <w:lang w:eastAsia="en-AU"/>
        </w:rPr>
      </w:pPr>
      <w:r w:rsidRPr="002C758A">
        <w:rPr>
          <w:lang w:eastAsia="en-AU"/>
        </w:rPr>
        <w:t xml:space="preserve">9.9 </w:t>
      </w:r>
      <w:r>
        <w:rPr>
          <w:lang w:eastAsia="en-AU"/>
        </w:rPr>
        <w:tab/>
      </w:r>
      <w:r w:rsidRPr="002C758A">
        <w:rPr>
          <w:lang w:eastAsia="en-AU"/>
        </w:rPr>
        <w:t>Remuneration of auditors</w:t>
      </w:r>
    </w:p>
    <w:p w14:paraId="4D593111" w14:textId="77777777" w:rsidR="006E51BF" w:rsidRDefault="006E51BF">
      <w:pPr>
        <w:pStyle w:val="ARfinstructure1"/>
        <w:ind w:left="567" w:hanging="567"/>
        <w:rPr>
          <w:lang w:eastAsia="en-AU"/>
        </w:rPr>
      </w:pPr>
      <w:r w:rsidRPr="002C758A">
        <w:rPr>
          <w:lang w:eastAsia="en-AU"/>
        </w:rPr>
        <w:t xml:space="preserve">9.10 </w:t>
      </w:r>
      <w:r>
        <w:rPr>
          <w:lang w:eastAsia="en-AU"/>
        </w:rPr>
        <w:tab/>
      </w:r>
      <w:r w:rsidRPr="002C758A">
        <w:rPr>
          <w:lang w:eastAsia="en-AU"/>
        </w:rPr>
        <w:t>Subsequent events</w:t>
      </w:r>
    </w:p>
    <w:p w14:paraId="71BC24B3" w14:textId="77777777" w:rsidR="006E51BF" w:rsidRDefault="006E51BF">
      <w:pPr>
        <w:pStyle w:val="ARfinstructure1"/>
        <w:ind w:left="567" w:hanging="567"/>
        <w:rPr>
          <w:lang w:eastAsia="en-AU"/>
        </w:rPr>
      </w:pPr>
      <w:r w:rsidRPr="002C758A">
        <w:rPr>
          <w:lang w:eastAsia="en-AU"/>
        </w:rPr>
        <w:t xml:space="preserve">9.11 </w:t>
      </w:r>
      <w:r>
        <w:rPr>
          <w:lang w:eastAsia="en-AU"/>
        </w:rPr>
        <w:tab/>
      </w:r>
      <w:r w:rsidRPr="002C758A">
        <w:rPr>
          <w:lang w:eastAsia="en-AU"/>
        </w:rPr>
        <w:t>Other accounting policies</w:t>
      </w:r>
    </w:p>
    <w:p w14:paraId="59D8EAD3" w14:textId="77777777" w:rsidR="006E51BF" w:rsidRDefault="006E51BF">
      <w:pPr>
        <w:pStyle w:val="ARfinstructure1"/>
        <w:ind w:left="567" w:hanging="567"/>
        <w:rPr>
          <w:lang w:eastAsia="en-AU"/>
        </w:rPr>
      </w:pPr>
      <w:r w:rsidRPr="002C758A">
        <w:rPr>
          <w:lang w:eastAsia="en-AU"/>
        </w:rPr>
        <w:t xml:space="preserve">9.12 </w:t>
      </w:r>
      <w:r>
        <w:rPr>
          <w:lang w:eastAsia="en-AU"/>
        </w:rPr>
        <w:tab/>
      </w:r>
      <w:r w:rsidRPr="002C758A">
        <w:rPr>
          <w:lang w:eastAsia="en-AU"/>
        </w:rPr>
        <w:t>Australian Accounting Standards issued that are not yet effective</w:t>
      </w:r>
    </w:p>
    <w:p w14:paraId="71B58DF8" w14:textId="77777777" w:rsidR="006E51BF" w:rsidRDefault="006E51BF">
      <w:pPr>
        <w:pStyle w:val="ARfinstructure1"/>
        <w:ind w:left="567" w:hanging="567"/>
        <w:rPr>
          <w:lang w:eastAsia="en-AU"/>
        </w:rPr>
      </w:pPr>
      <w:r w:rsidRPr="002C758A">
        <w:rPr>
          <w:lang w:eastAsia="en-AU"/>
        </w:rPr>
        <w:t xml:space="preserve">9.13 </w:t>
      </w:r>
      <w:r>
        <w:rPr>
          <w:lang w:eastAsia="en-AU"/>
        </w:rPr>
        <w:tab/>
      </w:r>
      <w:r w:rsidRPr="002C758A">
        <w:rPr>
          <w:lang w:eastAsia="en-AU"/>
        </w:rPr>
        <w:t>Glossary of technical terms</w:t>
      </w:r>
    </w:p>
    <w:p w14:paraId="5D1463D2" w14:textId="77777777" w:rsidR="006E51BF" w:rsidRPr="002C758A" w:rsidRDefault="006E51BF">
      <w:pPr>
        <w:pStyle w:val="ARfinstructure1"/>
        <w:ind w:left="567" w:hanging="567"/>
        <w:rPr>
          <w:lang w:eastAsia="en-AU"/>
        </w:rPr>
      </w:pPr>
      <w:r w:rsidRPr="002C758A">
        <w:rPr>
          <w:lang w:eastAsia="en-AU"/>
        </w:rPr>
        <w:t xml:space="preserve">9.14 </w:t>
      </w:r>
      <w:r>
        <w:rPr>
          <w:lang w:eastAsia="en-AU"/>
        </w:rPr>
        <w:tab/>
      </w:r>
      <w:r w:rsidRPr="002C758A">
        <w:rPr>
          <w:lang w:eastAsia="en-AU"/>
        </w:rPr>
        <w:t>Style conventions</w:t>
      </w:r>
    </w:p>
    <w:p w14:paraId="72464B86" w14:textId="77777777" w:rsidR="006E51BF" w:rsidRPr="002C758A" w:rsidRDefault="006E51BF">
      <w:pPr>
        <w:pStyle w:val="Heading4"/>
        <w:rPr>
          <w:lang w:eastAsia="en-AU"/>
        </w:rPr>
      </w:pPr>
      <w:bookmarkStart w:id="306" w:name="Exgratiaexpenses"/>
      <w:r w:rsidRPr="002C758A">
        <w:rPr>
          <w:lang w:eastAsia="en-AU"/>
        </w:rPr>
        <w:t xml:space="preserve">9.1 </w:t>
      </w:r>
      <w:r>
        <w:rPr>
          <w:lang w:eastAsia="en-AU"/>
        </w:rPr>
        <w:tab/>
      </w:r>
      <w:r w:rsidRPr="002C758A">
        <w:rPr>
          <w:lang w:eastAsia="en-AU"/>
        </w:rPr>
        <w:t>Ex-gratia expenses</w:t>
      </w:r>
    </w:p>
    <w:bookmarkEnd w:id="306"/>
    <w:p w14:paraId="0DCC4486" w14:textId="77777777" w:rsidR="006E51BF" w:rsidRPr="002C758A" w:rsidRDefault="006E51BF">
      <w:pPr>
        <w:pStyle w:val="ARfinbody"/>
        <w:rPr>
          <w:lang w:eastAsia="en-AU"/>
        </w:rPr>
      </w:pPr>
      <w:r w:rsidRPr="002C758A">
        <w:rPr>
          <w:lang w:eastAsia="en-AU"/>
        </w:rPr>
        <w:t xml:space="preserve">Ex-gratia expenses are the voluntary payments of money or other non-monetary benefit (for example a write off) that is not made </w:t>
      </w:r>
      <w:r w:rsidRPr="00E738C9">
        <w:t>either</w:t>
      </w:r>
      <w:r w:rsidRPr="002C758A">
        <w:rPr>
          <w:lang w:eastAsia="en-AU"/>
        </w:rPr>
        <w:t xml:space="preserve"> to acquire goods, services or other benefits for the entity or to meet a legal liability, or to settle or resolve a possible legal liability of or claim against the entity. </w:t>
      </w:r>
    </w:p>
    <w:p w14:paraId="706D916F" w14:textId="77777777" w:rsidR="006E51BF" w:rsidRPr="002C758A" w:rsidRDefault="006E51BF">
      <w:pPr>
        <w:pStyle w:val="ARfinbody"/>
        <w:rPr>
          <w:lang w:eastAsia="en-AU"/>
        </w:rPr>
      </w:pPr>
      <w:r w:rsidRPr="002C758A">
        <w:rPr>
          <w:lang w:eastAsia="en-AU"/>
        </w:rPr>
        <w:t>There were no ex-gratia expense items greater than or equal to $5,000 in the current and previous year.</w:t>
      </w:r>
    </w:p>
    <w:p w14:paraId="3671377A" w14:textId="77777777" w:rsidR="006E51BF" w:rsidRPr="000C4386" w:rsidRDefault="006E51BF">
      <w:pPr>
        <w:pStyle w:val="Heading4"/>
        <w:rPr>
          <w:lang w:eastAsia="en-AU"/>
        </w:rPr>
      </w:pPr>
      <w:r w:rsidRPr="000C4386">
        <w:rPr>
          <w:lang w:eastAsia="en-AU"/>
        </w:rPr>
        <w:t xml:space="preserve">9.2 </w:t>
      </w:r>
      <w:r>
        <w:rPr>
          <w:lang w:eastAsia="en-AU"/>
        </w:rPr>
        <w:tab/>
      </w:r>
      <w:r w:rsidRPr="000C4386">
        <w:rPr>
          <w:lang w:eastAsia="en-AU"/>
        </w:rPr>
        <w:t>Other economic flows included in net result</w:t>
      </w:r>
    </w:p>
    <w:p w14:paraId="306A0961" w14:textId="77777777" w:rsidR="006E51BF" w:rsidRDefault="006E51BF">
      <w:pPr>
        <w:pStyle w:val="ARfinbody"/>
        <w:rPr>
          <w:lang w:eastAsia="en-AU"/>
        </w:rPr>
      </w:pPr>
      <w:r w:rsidRPr="000C4386">
        <w:rPr>
          <w:lang w:eastAsia="en-AU"/>
        </w:rPr>
        <w:t xml:space="preserve">Other economic flows are changes in the volume or value of an asset or liability that do not result from transactions. Other gains/(losses) from other economic flows include the gains or losses from: </w:t>
      </w:r>
    </w:p>
    <w:p w14:paraId="6EF6A1B5" w14:textId="53501A43" w:rsidR="006E51BF" w:rsidRDefault="006E51BF" w:rsidP="006E51BF">
      <w:pPr>
        <w:pStyle w:val="ARfinbullet1"/>
        <w:numPr>
          <w:ilvl w:val="0"/>
          <w:numId w:val="13"/>
        </w:numPr>
        <w:ind w:left="284" w:hanging="284"/>
      </w:pPr>
      <w:r w:rsidRPr="000C4386">
        <w:t>the revaluation of the present value of the long service leave liability due to changes in the bond interest rates and</w:t>
      </w:r>
      <w:r w:rsidR="00171537">
        <w:t> </w:t>
      </w:r>
      <w:r w:rsidRPr="000C4386">
        <w:t>the effects of changes in actuarial assumptions</w:t>
      </w:r>
    </w:p>
    <w:p w14:paraId="06A683EF" w14:textId="77777777" w:rsidR="006E51BF" w:rsidRDefault="006E51BF" w:rsidP="006E51BF">
      <w:pPr>
        <w:pStyle w:val="ARfinbullet1"/>
        <w:numPr>
          <w:ilvl w:val="0"/>
          <w:numId w:val="13"/>
        </w:numPr>
        <w:ind w:left="284" w:hanging="284"/>
      </w:pPr>
      <w:r w:rsidRPr="000C4386">
        <w:t>other revaluations on the value of outstanding insurance claims and liabilities</w:t>
      </w:r>
    </w:p>
    <w:p w14:paraId="3D201FF2" w14:textId="77777777" w:rsidR="006E51BF" w:rsidRDefault="006E51BF" w:rsidP="006E51BF">
      <w:pPr>
        <w:pStyle w:val="ARfinbullet1"/>
        <w:numPr>
          <w:ilvl w:val="0"/>
          <w:numId w:val="13"/>
        </w:numPr>
        <w:ind w:left="284" w:hanging="284"/>
      </w:pPr>
      <w:r w:rsidRPr="000C4386">
        <w:t>bad debt expenses.</w:t>
      </w:r>
    </w:p>
    <w:p w14:paraId="147662A1" w14:textId="77777777" w:rsidR="006E51BF" w:rsidRDefault="006E51BF">
      <w:pPr>
        <w:spacing w:after="0" w:line="240" w:lineRule="auto"/>
        <w:rPr>
          <w:rFonts w:eastAsia="Times"/>
          <w:sz w:val="18"/>
          <w:lang w:eastAsia="en-AU"/>
        </w:rPr>
      </w:pPr>
      <w:r>
        <w:rPr>
          <w:lang w:eastAsia="en-AU"/>
        </w:rPr>
        <w:br w:type="page"/>
      </w:r>
    </w:p>
    <w:tbl>
      <w:tblPr>
        <w:tblStyle w:val="ARtable1"/>
        <w:tblW w:w="5000" w:type="pct"/>
        <w:tblLook w:val="00E0" w:firstRow="1" w:lastRow="1" w:firstColumn="1" w:lastColumn="0" w:noHBand="0" w:noVBand="0"/>
      </w:tblPr>
      <w:tblGrid>
        <w:gridCol w:w="6514"/>
        <w:gridCol w:w="1556"/>
        <w:gridCol w:w="1558"/>
      </w:tblGrid>
      <w:tr w:rsidR="006E51BF" w:rsidRPr="000C4386" w14:paraId="6F4B0EF4" w14:textId="77777777" w:rsidTr="004A6D92">
        <w:trPr>
          <w:cnfStyle w:val="100000000000" w:firstRow="1" w:lastRow="0" w:firstColumn="0" w:lastColumn="0" w:oddVBand="0" w:evenVBand="0" w:oddHBand="0" w:evenHBand="0" w:firstRowFirstColumn="0" w:firstRowLastColumn="0" w:lastRowFirstColumn="0" w:lastRowLastColumn="0"/>
          <w:trHeight w:val="20"/>
          <w:tblHeader/>
        </w:trPr>
        <w:tc>
          <w:tcPr>
            <w:tcW w:w="3383" w:type="pct"/>
            <w:noWrap/>
          </w:tcPr>
          <w:p w14:paraId="1CB27A8E" w14:textId="77777777" w:rsidR="006E51BF" w:rsidRPr="000C4386"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61458AE" w14:textId="77777777" w:rsidR="006E51BF" w:rsidRPr="000C4386" w:rsidRDefault="006E51BF">
            <w:pPr>
              <w:pStyle w:val="ARfintablecolheadright"/>
              <w:rPr>
                <w:lang w:eastAsia="en-AU"/>
              </w:rPr>
            </w:pPr>
            <w:r w:rsidRPr="000C4386">
              <w:rPr>
                <w:lang w:eastAsia="en-AU"/>
              </w:rPr>
              <w:t>2026</w:t>
            </w:r>
          </w:p>
          <w:p w14:paraId="559ABC70" w14:textId="77777777" w:rsidR="006E51BF" w:rsidRPr="000C4386" w:rsidRDefault="006E51BF">
            <w:pPr>
              <w:pStyle w:val="ARfintablecolheadright"/>
              <w:rPr>
                <w:lang w:eastAsia="en-AU"/>
              </w:rPr>
            </w:pPr>
            <w:r w:rsidRPr="000C4386">
              <w:rPr>
                <w:lang w:eastAsia="en-AU"/>
              </w:rPr>
              <w:t>$M</w:t>
            </w:r>
          </w:p>
        </w:tc>
        <w:tc>
          <w:tcPr>
            <w:tcW w:w="809" w:type="pct"/>
            <w:noWrap/>
            <w:tcMar>
              <w:right w:w="0" w:type="nil"/>
            </w:tcMar>
            <w:hideMark/>
          </w:tcPr>
          <w:p w14:paraId="2C3BFB7E" w14:textId="77777777" w:rsidR="006E51BF" w:rsidRPr="000C4386"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C4386">
              <w:rPr>
                <w:lang w:eastAsia="en-AU"/>
              </w:rPr>
              <w:t>2025</w:t>
            </w:r>
          </w:p>
          <w:p w14:paraId="142BCC58" w14:textId="77777777" w:rsidR="006E51BF" w:rsidRPr="000C4386"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0C4386">
              <w:rPr>
                <w:lang w:eastAsia="en-AU"/>
              </w:rPr>
              <w:t>$M</w:t>
            </w:r>
          </w:p>
        </w:tc>
      </w:tr>
      <w:tr w:rsidR="006E51BF" w:rsidRPr="000C4386" w14:paraId="4AEA480A"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2D898F51" w14:textId="77777777" w:rsidR="006E51BF" w:rsidRPr="000C4386" w:rsidRDefault="006E51BF">
            <w:pPr>
              <w:pStyle w:val="ARfintabletextboldcoloured"/>
              <w:rPr>
                <w:lang w:eastAsia="en-AU"/>
              </w:rPr>
            </w:pPr>
            <w:r w:rsidRPr="000C4386">
              <w:rPr>
                <w:lang w:eastAsia="en-AU"/>
              </w:rPr>
              <w:t>(a) Net gain/(loss) on non-financial assets</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114BE6D4" w14:textId="77777777" w:rsidR="006E51BF" w:rsidRPr="000C4386" w:rsidRDefault="006E51BF">
            <w:pPr>
              <w:pStyle w:val="ARfintabletextright"/>
              <w:rPr>
                <w:lang w:eastAsia="en-AU"/>
              </w:rPr>
            </w:pPr>
          </w:p>
        </w:tc>
        <w:tc>
          <w:tcPr>
            <w:tcW w:w="809" w:type="pct"/>
            <w:noWrap/>
            <w:tcMar>
              <w:right w:w="0" w:type="nil"/>
            </w:tcMar>
            <w:hideMark/>
          </w:tcPr>
          <w:p w14:paraId="27E302AC" w14:textId="77777777" w:rsidR="006E51BF" w:rsidRPr="000C438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0C4386" w14:paraId="7E922B6C"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3383" w:type="pct"/>
            <w:noWrap/>
          </w:tcPr>
          <w:p w14:paraId="18DA9362" w14:textId="77777777" w:rsidR="006E51BF" w:rsidRPr="000C4386" w:rsidRDefault="006E51BF">
            <w:pPr>
              <w:pStyle w:val="ARfintabletextbold"/>
              <w:rPr>
                <w:lang w:eastAsia="en-AU"/>
              </w:rPr>
            </w:pPr>
            <w:r w:rsidRPr="000C4386">
              <w:rPr>
                <w:lang w:eastAsia="en-AU"/>
              </w:rPr>
              <w:t>Proceeds from disposal of non-financial physical assets</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tcPr>
          <w:p w14:paraId="1454D1B9" w14:textId="77777777" w:rsidR="006E51BF" w:rsidRPr="000C4386" w:rsidRDefault="006E51BF">
            <w:pPr>
              <w:pStyle w:val="ARfintabletextright"/>
              <w:rPr>
                <w:lang w:eastAsia="en-AU"/>
              </w:rPr>
            </w:pPr>
          </w:p>
        </w:tc>
        <w:tc>
          <w:tcPr>
            <w:tcW w:w="809" w:type="pct"/>
            <w:noWrap/>
            <w:tcMar>
              <w:right w:w="0" w:type="nil"/>
            </w:tcMar>
          </w:tcPr>
          <w:p w14:paraId="14FE65C0" w14:textId="77777777" w:rsidR="006E51BF" w:rsidRPr="000C438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r>
      <w:tr w:rsidR="006E51BF" w:rsidRPr="000C4386" w14:paraId="5F8067BC"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4898C2AC" w14:textId="77777777" w:rsidR="006E51BF" w:rsidRPr="000C4386" w:rsidRDefault="006E51BF">
            <w:pPr>
              <w:pStyle w:val="ARfintabletext"/>
              <w:rPr>
                <w:lang w:eastAsia="en-AU"/>
              </w:rPr>
            </w:pPr>
            <w:r w:rsidRPr="000C4386">
              <w:rPr>
                <w:lang w:eastAsia="en-AU"/>
              </w:rPr>
              <w:t>Land</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277124D1" w14:textId="77777777" w:rsidR="006E51BF" w:rsidRPr="000C4386" w:rsidRDefault="006E51BF">
            <w:pPr>
              <w:pStyle w:val="ARfintabletextright"/>
              <w:rPr>
                <w:lang w:eastAsia="en-AU"/>
              </w:rPr>
            </w:pPr>
            <w:r w:rsidRPr="000C4386">
              <w:rPr>
                <w:lang w:eastAsia="en-AU"/>
              </w:rPr>
              <w:t>90.6</w:t>
            </w:r>
          </w:p>
        </w:tc>
        <w:tc>
          <w:tcPr>
            <w:tcW w:w="809" w:type="pct"/>
            <w:noWrap/>
            <w:tcMar>
              <w:right w:w="0" w:type="nil"/>
            </w:tcMar>
            <w:hideMark/>
          </w:tcPr>
          <w:p w14:paraId="3A9E21B8" w14:textId="77777777" w:rsidR="006E51BF" w:rsidRPr="000C438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0C4386">
              <w:rPr>
                <w:lang w:eastAsia="en-AU"/>
              </w:rPr>
              <w:t>48.5</w:t>
            </w:r>
          </w:p>
        </w:tc>
      </w:tr>
      <w:tr w:rsidR="006E51BF" w:rsidRPr="000C4386" w14:paraId="0BBA1FFB"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5C18739B" w14:textId="77777777" w:rsidR="006E51BF" w:rsidRPr="000C4386" w:rsidRDefault="006E51BF">
            <w:pPr>
              <w:pStyle w:val="ARfintabletext"/>
              <w:rPr>
                <w:lang w:eastAsia="en-AU"/>
              </w:rPr>
            </w:pPr>
            <w:r w:rsidRPr="000C4386">
              <w:rPr>
                <w:lang w:eastAsia="en-AU"/>
              </w:rPr>
              <w:t>Buildings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3117F91F" w14:textId="77777777" w:rsidR="006E51BF" w:rsidRPr="000C4386" w:rsidRDefault="006E51BF">
            <w:pPr>
              <w:pStyle w:val="ARfintabletextright"/>
              <w:rPr>
                <w:lang w:eastAsia="en-AU"/>
              </w:rPr>
            </w:pPr>
            <w:r w:rsidRPr="000C4386">
              <w:rPr>
                <w:lang w:eastAsia="en-AU"/>
              </w:rPr>
              <w:t>210.8</w:t>
            </w:r>
          </w:p>
        </w:tc>
        <w:tc>
          <w:tcPr>
            <w:tcW w:w="809" w:type="pct"/>
            <w:noWrap/>
            <w:tcMar>
              <w:right w:w="0" w:type="nil"/>
            </w:tcMar>
            <w:hideMark/>
          </w:tcPr>
          <w:p w14:paraId="7FBCDEBE" w14:textId="77777777" w:rsidR="006E51BF" w:rsidRPr="000C438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0C4386">
              <w:rPr>
                <w:lang w:eastAsia="en-AU"/>
              </w:rPr>
              <w:t>40.3</w:t>
            </w:r>
          </w:p>
        </w:tc>
      </w:tr>
      <w:tr w:rsidR="006E51BF" w:rsidRPr="000C4386" w14:paraId="4FACDCF1"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3383" w:type="pct"/>
            <w:tcBorders>
              <w:bottom w:val="single" w:sz="4" w:space="0" w:color="BFBFBF" w:themeColor="accent2"/>
            </w:tcBorders>
            <w:noWrap/>
            <w:hideMark/>
          </w:tcPr>
          <w:p w14:paraId="7E698485" w14:textId="77777777" w:rsidR="006E51BF" w:rsidRPr="000C4386" w:rsidRDefault="006E51BF">
            <w:pPr>
              <w:pStyle w:val="ARfintabletext"/>
              <w:rPr>
                <w:lang w:eastAsia="en-AU"/>
              </w:rPr>
            </w:pPr>
            <w:r w:rsidRPr="000C4386">
              <w:rPr>
                <w:lang w:eastAsia="en-AU"/>
              </w:rPr>
              <w:t>Shared home ownership scheme</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310DE631" w14:textId="77777777" w:rsidR="006E51BF" w:rsidRPr="000C4386" w:rsidRDefault="006E51BF">
            <w:pPr>
              <w:pStyle w:val="ARfintabletextright"/>
              <w:rPr>
                <w:lang w:eastAsia="en-AU"/>
              </w:rPr>
            </w:pPr>
            <w:r w:rsidRPr="000C4386">
              <w:rPr>
                <w:lang w:eastAsia="en-AU"/>
              </w:rPr>
              <w:t>1.9</w:t>
            </w:r>
          </w:p>
        </w:tc>
        <w:tc>
          <w:tcPr>
            <w:tcW w:w="809" w:type="pct"/>
            <w:tcBorders>
              <w:bottom w:val="single" w:sz="4" w:space="0" w:color="BFBFBF" w:themeColor="accent2"/>
            </w:tcBorders>
            <w:noWrap/>
            <w:tcMar>
              <w:right w:w="0" w:type="nil"/>
            </w:tcMar>
            <w:hideMark/>
          </w:tcPr>
          <w:p w14:paraId="7D44B3A6" w14:textId="77777777" w:rsidR="006E51BF" w:rsidRPr="000C438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0C4386">
              <w:rPr>
                <w:lang w:eastAsia="en-AU"/>
              </w:rPr>
              <w:t>1.9</w:t>
            </w:r>
          </w:p>
        </w:tc>
      </w:tr>
      <w:tr w:rsidR="006E51BF" w:rsidRPr="000C4386" w14:paraId="7EE49F34"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noWrap/>
            <w:hideMark/>
          </w:tcPr>
          <w:p w14:paraId="35A4EA49" w14:textId="77777777" w:rsidR="006E51BF" w:rsidRPr="000C4386" w:rsidRDefault="006E51BF">
            <w:pPr>
              <w:pStyle w:val="ARfintabletext"/>
              <w:rPr>
                <w:lang w:eastAsia="en-AU"/>
              </w:rPr>
            </w:pPr>
            <w:r w:rsidRPr="000C4386">
              <w:rPr>
                <w:lang w:eastAsia="en-AU"/>
              </w:rPr>
              <w:t>Miscellaneous assets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12BCB91B" w14:textId="77777777" w:rsidR="006E51BF" w:rsidRPr="000C4386" w:rsidRDefault="006E51BF">
            <w:pPr>
              <w:pStyle w:val="ARfintabletextright"/>
              <w:rPr>
                <w:lang w:eastAsia="en-AU"/>
              </w:rPr>
            </w:pPr>
            <w:r w:rsidRPr="000C4386">
              <w:rPr>
                <w:lang w:eastAsia="en-AU"/>
              </w:rPr>
              <w:t>10.6</w:t>
            </w:r>
          </w:p>
        </w:tc>
        <w:tc>
          <w:tcPr>
            <w:tcW w:w="809" w:type="pct"/>
            <w:tcBorders>
              <w:top w:val="single" w:sz="4" w:space="0" w:color="BFBFBF" w:themeColor="accent2"/>
              <w:bottom w:val="single" w:sz="4" w:space="0" w:color="000000" w:themeColor="text1"/>
            </w:tcBorders>
            <w:noWrap/>
            <w:tcMar>
              <w:right w:w="0" w:type="nil"/>
            </w:tcMar>
            <w:hideMark/>
          </w:tcPr>
          <w:p w14:paraId="6D15F854" w14:textId="77777777" w:rsidR="006E51BF" w:rsidRPr="000C438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0C4386">
              <w:rPr>
                <w:lang w:eastAsia="en-AU"/>
              </w:rPr>
              <w:t>10.6</w:t>
            </w:r>
          </w:p>
        </w:tc>
      </w:tr>
      <w:tr w:rsidR="006E51BF" w:rsidRPr="000C4386" w14:paraId="408B3F6D"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hideMark/>
          </w:tcPr>
          <w:p w14:paraId="23BC954A" w14:textId="77777777" w:rsidR="006E51BF" w:rsidRPr="000C4386" w:rsidRDefault="006E51BF">
            <w:pPr>
              <w:pStyle w:val="ARfintabletextbold"/>
              <w:rPr>
                <w:lang w:eastAsia="en-AU"/>
              </w:rPr>
            </w:pPr>
            <w:r w:rsidRPr="000C4386">
              <w:rPr>
                <w:lang w:eastAsia="en-AU"/>
              </w:rPr>
              <w:t>Total revenue from disposal of non-financial physical assets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14B7F40E" w14:textId="77777777" w:rsidR="006E51BF" w:rsidRPr="000C4386" w:rsidRDefault="006E51BF">
            <w:pPr>
              <w:pStyle w:val="ARfintabletextboldright"/>
              <w:rPr>
                <w:lang w:eastAsia="en-AU"/>
              </w:rPr>
            </w:pPr>
            <w:r w:rsidRPr="000C4386">
              <w:rPr>
                <w:lang w:eastAsia="en-AU"/>
              </w:rPr>
              <w:t>313.9</w:t>
            </w:r>
          </w:p>
        </w:tc>
        <w:tc>
          <w:tcPr>
            <w:tcW w:w="809" w:type="pct"/>
            <w:tcBorders>
              <w:top w:val="single" w:sz="4" w:space="0" w:color="000000" w:themeColor="text1"/>
              <w:bottom w:val="single" w:sz="4" w:space="0" w:color="000000" w:themeColor="text1"/>
            </w:tcBorders>
            <w:noWrap/>
            <w:tcMar>
              <w:right w:w="0" w:type="nil"/>
            </w:tcMar>
            <w:hideMark/>
          </w:tcPr>
          <w:p w14:paraId="701A6B17" w14:textId="77777777" w:rsidR="006E51BF" w:rsidRPr="000C4386"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0C4386">
              <w:rPr>
                <w:lang w:eastAsia="en-AU"/>
              </w:rPr>
              <w:t>101.3</w:t>
            </w:r>
          </w:p>
        </w:tc>
      </w:tr>
      <w:tr w:rsidR="006E51BF" w:rsidRPr="000C4386" w14:paraId="0083265B"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tcBorders>
            <w:noWrap/>
            <w:hideMark/>
          </w:tcPr>
          <w:p w14:paraId="390D0BFE" w14:textId="77777777" w:rsidR="006E51BF" w:rsidRPr="000C4386" w:rsidRDefault="006E51BF">
            <w:pPr>
              <w:pStyle w:val="ARfintabletextbold"/>
              <w:rPr>
                <w:lang w:eastAsia="en-AU"/>
              </w:rPr>
            </w:pPr>
            <w:r w:rsidRPr="000C4386">
              <w:rPr>
                <w:lang w:eastAsia="en-AU"/>
              </w:rPr>
              <w:t>Costs on disposal of non-financial physical assets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tcMar>
              <w:right w:w="0" w:type="nil"/>
            </w:tcMar>
            <w:hideMark/>
          </w:tcPr>
          <w:p w14:paraId="4491EF7B" w14:textId="77777777" w:rsidR="006E51BF" w:rsidRPr="000C4386" w:rsidRDefault="006E51BF">
            <w:pPr>
              <w:pStyle w:val="ARfintabletextright"/>
              <w:rPr>
                <w:lang w:eastAsia="en-AU"/>
              </w:rPr>
            </w:pPr>
          </w:p>
        </w:tc>
        <w:tc>
          <w:tcPr>
            <w:tcW w:w="809" w:type="pct"/>
            <w:tcBorders>
              <w:top w:val="single" w:sz="4" w:space="0" w:color="000000" w:themeColor="text1"/>
            </w:tcBorders>
            <w:noWrap/>
            <w:tcMar>
              <w:right w:w="0" w:type="nil"/>
            </w:tcMar>
            <w:hideMark/>
          </w:tcPr>
          <w:p w14:paraId="2D9D2437" w14:textId="77777777" w:rsidR="006E51BF" w:rsidRPr="000C438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r>
      <w:tr w:rsidR="006E51BF" w:rsidRPr="000C4386" w14:paraId="0326F56C"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42631267" w14:textId="77777777" w:rsidR="006E51BF" w:rsidRPr="000C4386" w:rsidRDefault="006E51BF">
            <w:pPr>
              <w:pStyle w:val="ARfintabletext"/>
              <w:rPr>
                <w:lang w:eastAsia="en-AU"/>
              </w:rPr>
            </w:pPr>
            <w:r w:rsidRPr="000C4386">
              <w:rPr>
                <w:lang w:eastAsia="en-AU"/>
              </w:rPr>
              <w:t>Land</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6DC5CCBD" w14:textId="77777777" w:rsidR="006E51BF" w:rsidRPr="000C4386" w:rsidRDefault="006E51BF">
            <w:pPr>
              <w:pStyle w:val="ARfintabletextright"/>
              <w:rPr>
                <w:lang w:eastAsia="en-AU"/>
              </w:rPr>
            </w:pPr>
            <w:r w:rsidRPr="000C4386">
              <w:rPr>
                <w:lang w:eastAsia="en-AU"/>
              </w:rPr>
              <w:t>102.0</w:t>
            </w:r>
          </w:p>
        </w:tc>
        <w:tc>
          <w:tcPr>
            <w:tcW w:w="809" w:type="pct"/>
            <w:noWrap/>
            <w:tcMar>
              <w:right w:w="0" w:type="nil"/>
            </w:tcMar>
            <w:hideMark/>
          </w:tcPr>
          <w:p w14:paraId="584C535D" w14:textId="77777777" w:rsidR="006E51BF" w:rsidRPr="000C438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0C4386">
              <w:rPr>
                <w:lang w:eastAsia="en-AU"/>
              </w:rPr>
              <w:t>62.3</w:t>
            </w:r>
          </w:p>
        </w:tc>
      </w:tr>
      <w:tr w:rsidR="006E51BF" w:rsidRPr="000C4386" w14:paraId="6D971539"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08A1F386" w14:textId="77777777" w:rsidR="006E51BF" w:rsidRPr="000C4386" w:rsidRDefault="006E51BF">
            <w:pPr>
              <w:pStyle w:val="ARfintabletext"/>
              <w:rPr>
                <w:lang w:eastAsia="en-AU"/>
              </w:rPr>
            </w:pPr>
            <w:r w:rsidRPr="000C4386">
              <w:rPr>
                <w:lang w:eastAsia="en-AU"/>
              </w:rPr>
              <w:t>Buildings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48081381" w14:textId="77777777" w:rsidR="006E51BF" w:rsidRPr="000C4386" w:rsidRDefault="006E51BF">
            <w:pPr>
              <w:pStyle w:val="ARfintabletextright"/>
              <w:rPr>
                <w:lang w:eastAsia="en-AU"/>
              </w:rPr>
            </w:pPr>
            <w:r w:rsidRPr="000C4386">
              <w:rPr>
                <w:lang w:eastAsia="en-AU"/>
              </w:rPr>
              <w:t>205.5</w:t>
            </w:r>
          </w:p>
        </w:tc>
        <w:tc>
          <w:tcPr>
            <w:tcW w:w="809" w:type="pct"/>
            <w:noWrap/>
            <w:tcMar>
              <w:right w:w="0" w:type="nil"/>
            </w:tcMar>
            <w:hideMark/>
          </w:tcPr>
          <w:p w14:paraId="78E112B1" w14:textId="77777777" w:rsidR="006E51BF" w:rsidRPr="000C438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0C4386">
              <w:rPr>
                <w:lang w:eastAsia="en-AU"/>
              </w:rPr>
              <w:t>36.4</w:t>
            </w:r>
          </w:p>
        </w:tc>
      </w:tr>
      <w:tr w:rsidR="006E51BF" w:rsidRPr="000C4386" w14:paraId="5F60B98E"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3383" w:type="pct"/>
            <w:tcBorders>
              <w:bottom w:val="single" w:sz="4" w:space="0" w:color="BFBFBF" w:themeColor="accent2"/>
            </w:tcBorders>
            <w:noWrap/>
            <w:hideMark/>
          </w:tcPr>
          <w:p w14:paraId="58160E89" w14:textId="77777777" w:rsidR="006E51BF" w:rsidRPr="000C4386" w:rsidRDefault="006E51BF">
            <w:pPr>
              <w:pStyle w:val="ARfintabletext"/>
              <w:rPr>
                <w:lang w:eastAsia="en-AU"/>
              </w:rPr>
            </w:pPr>
            <w:r w:rsidRPr="000C4386">
              <w:rPr>
                <w:lang w:eastAsia="en-AU"/>
              </w:rPr>
              <w:t>Shared home ownership scheme</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61388E16" w14:textId="77777777" w:rsidR="006E51BF" w:rsidRPr="000C4386" w:rsidRDefault="006E51BF">
            <w:pPr>
              <w:pStyle w:val="ARfintabletextright"/>
              <w:rPr>
                <w:lang w:eastAsia="en-AU"/>
              </w:rPr>
            </w:pPr>
            <w:r w:rsidRPr="000C4386">
              <w:rPr>
                <w:lang w:eastAsia="en-AU"/>
              </w:rPr>
              <w:t>2.0</w:t>
            </w:r>
          </w:p>
        </w:tc>
        <w:tc>
          <w:tcPr>
            <w:tcW w:w="809" w:type="pct"/>
            <w:tcBorders>
              <w:bottom w:val="single" w:sz="4" w:space="0" w:color="BFBFBF" w:themeColor="accent2"/>
            </w:tcBorders>
            <w:noWrap/>
            <w:tcMar>
              <w:right w:w="0" w:type="nil"/>
            </w:tcMar>
            <w:hideMark/>
          </w:tcPr>
          <w:p w14:paraId="51AFC68C" w14:textId="77777777" w:rsidR="006E51BF" w:rsidRPr="000C438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0C4386">
              <w:rPr>
                <w:lang w:eastAsia="en-AU"/>
              </w:rPr>
              <w:t>2.1</w:t>
            </w:r>
          </w:p>
        </w:tc>
      </w:tr>
      <w:tr w:rsidR="006E51BF" w:rsidRPr="000C4386" w14:paraId="3BE2A4D1"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noWrap/>
            <w:hideMark/>
          </w:tcPr>
          <w:p w14:paraId="1CBB6E7B" w14:textId="77777777" w:rsidR="006E51BF" w:rsidRPr="000C4386" w:rsidRDefault="006E51BF">
            <w:pPr>
              <w:pStyle w:val="ARfintabletext"/>
              <w:rPr>
                <w:lang w:eastAsia="en-AU"/>
              </w:rPr>
            </w:pPr>
            <w:r w:rsidRPr="000C4386">
              <w:rPr>
                <w:lang w:eastAsia="en-AU"/>
              </w:rPr>
              <w:t>Miscellaneous assets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5D8A1BC1" w14:textId="77777777" w:rsidR="006E51BF" w:rsidRPr="000C4386" w:rsidRDefault="006E51BF">
            <w:pPr>
              <w:pStyle w:val="ARfintabletextright"/>
              <w:rPr>
                <w:lang w:eastAsia="en-AU"/>
              </w:rPr>
            </w:pPr>
            <w:r w:rsidRPr="000C4386">
              <w:rPr>
                <w:lang w:eastAsia="en-AU"/>
              </w:rPr>
              <w:t>7.8</w:t>
            </w:r>
          </w:p>
        </w:tc>
        <w:tc>
          <w:tcPr>
            <w:tcW w:w="809" w:type="pct"/>
            <w:tcBorders>
              <w:top w:val="single" w:sz="4" w:space="0" w:color="BFBFBF" w:themeColor="accent2"/>
              <w:bottom w:val="single" w:sz="4" w:space="0" w:color="000000" w:themeColor="text1"/>
            </w:tcBorders>
            <w:noWrap/>
            <w:tcMar>
              <w:right w:w="0" w:type="nil"/>
            </w:tcMar>
            <w:hideMark/>
          </w:tcPr>
          <w:p w14:paraId="1657A85D" w14:textId="77777777" w:rsidR="006E51BF" w:rsidRPr="000C438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0C4386">
              <w:rPr>
                <w:lang w:eastAsia="en-AU"/>
              </w:rPr>
              <w:t>7.0</w:t>
            </w:r>
          </w:p>
        </w:tc>
      </w:tr>
      <w:tr w:rsidR="006E51BF" w:rsidRPr="000C4386" w14:paraId="4F21C720"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tcPr>
          <w:p w14:paraId="00D9C623" w14:textId="77777777" w:rsidR="006E51BF" w:rsidRPr="000C4386" w:rsidRDefault="006E51BF">
            <w:pPr>
              <w:pStyle w:val="ARfintabletextbold"/>
              <w:rPr>
                <w:lang w:eastAsia="en-AU"/>
              </w:rPr>
            </w:pPr>
            <w:r w:rsidRPr="000C4386">
              <w:rPr>
                <w:lang w:eastAsia="en-AU"/>
              </w:rPr>
              <w:t>Total costs on disposal of non-financial physical assets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tcPr>
          <w:p w14:paraId="3D92E8E2" w14:textId="77777777" w:rsidR="006E51BF" w:rsidRPr="000C4386" w:rsidRDefault="006E51BF">
            <w:pPr>
              <w:pStyle w:val="ARfintabletextboldright"/>
              <w:rPr>
                <w:lang w:eastAsia="en-AU"/>
              </w:rPr>
            </w:pPr>
            <w:r w:rsidRPr="000C4386">
              <w:rPr>
                <w:lang w:eastAsia="en-AU"/>
              </w:rPr>
              <w:t>317.3</w:t>
            </w:r>
          </w:p>
        </w:tc>
        <w:tc>
          <w:tcPr>
            <w:tcW w:w="809" w:type="pct"/>
            <w:tcBorders>
              <w:top w:val="single" w:sz="4" w:space="0" w:color="000000" w:themeColor="text1"/>
              <w:bottom w:val="single" w:sz="4" w:space="0" w:color="000000" w:themeColor="text1"/>
            </w:tcBorders>
            <w:noWrap/>
            <w:tcMar>
              <w:right w:w="0" w:type="nil"/>
            </w:tcMar>
          </w:tcPr>
          <w:p w14:paraId="47FCFA79" w14:textId="77777777" w:rsidR="006E51BF" w:rsidRPr="000C4386"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107.8</w:t>
            </w:r>
          </w:p>
        </w:tc>
      </w:tr>
      <w:tr w:rsidR="006E51BF" w:rsidRPr="000C4386" w14:paraId="464F8667"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hideMark/>
          </w:tcPr>
          <w:p w14:paraId="5DE1084A" w14:textId="77777777" w:rsidR="006E51BF" w:rsidRPr="000C4386" w:rsidRDefault="006E51BF">
            <w:pPr>
              <w:pStyle w:val="ARfintabletextbold"/>
              <w:rPr>
                <w:lang w:eastAsia="en-AU"/>
              </w:rPr>
            </w:pPr>
            <w:r w:rsidRPr="000C4386">
              <w:rPr>
                <w:lang w:eastAsia="en-AU"/>
              </w:rPr>
              <w:t>Net gain/(loss) on disposal of non-financial assets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1D07EDC7" w14:textId="77777777" w:rsidR="006E51BF" w:rsidRPr="000C4386" w:rsidRDefault="006E51BF">
            <w:pPr>
              <w:pStyle w:val="ARfintabletextboldright"/>
              <w:rPr>
                <w:lang w:eastAsia="en-AU"/>
              </w:rPr>
            </w:pPr>
            <w:r w:rsidRPr="000C4386">
              <w:rPr>
                <w:lang w:eastAsia="en-AU"/>
              </w:rPr>
              <w:t>(3.6)</w:t>
            </w:r>
          </w:p>
        </w:tc>
        <w:tc>
          <w:tcPr>
            <w:tcW w:w="809" w:type="pct"/>
            <w:tcBorders>
              <w:top w:val="single" w:sz="4" w:space="0" w:color="000000" w:themeColor="text1"/>
              <w:bottom w:val="single" w:sz="4" w:space="0" w:color="000000" w:themeColor="text1"/>
            </w:tcBorders>
            <w:noWrap/>
            <w:tcMar>
              <w:right w:w="0" w:type="nil"/>
            </w:tcMar>
            <w:hideMark/>
          </w:tcPr>
          <w:p w14:paraId="5439BE8A" w14:textId="77777777" w:rsidR="006E51BF" w:rsidRPr="000C4386"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0C4386">
              <w:rPr>
                <w:lang w:eastAsia="en-AU"/>
              </w:rPr>
              <w:t>(6.5)</w:t>
            </w:r>
          </w:p>
        </w:tc>
      </w:tr>
      <w:tr w:rsidR="006E51BF" w:rsidRPr="000C4386" w14:paraId="7F916DB6"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bottom w:val="single" w:sz="4" w:space="0" w:color="BFBFBF" w:themeColor="accent2"/>
            </w:tcBorders>
            <w:noWrap/>
            <w:hideMark/>
          </w:tcPr>
          <w:p w14:paraId="73E40830" w14:textId="77777777" w:rsidR="006E51BF" w:rsidRPr="000C4386" w:rsidRDefault="006E51BF">
            <w:pPr>
              <w:pStyle w:val="ARfintabletextboldcoloured"/>
              <w:rPr>
                <w:lang w:eastAsia="en-AU"/>
              </w:rPr>
            </w:pPr>
            <w:r w:rsidRPr="000C4386">
              <w:rPr>
                <w:lang w:eastAsia="en-AU"/>
              </w:rPr>
              <w:t>(b) Net gain/(loss) on financial instruments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BFBFBF" w:themeColor="accent2"/>
            </w:tcBorders>
            <w:shd w:val="clear" w:color="auto" w:fill="auto"/>
            <w:noWrap/>
            <w:tcMar>
              <w:right w:w="0" w:type="nil"/>
            </w:tcMar>
            <w:hideMark/>
          </w:tcPr>
          <w:p w14:paraId="0E1B136D" w14:textId="77777777" w:rsidR="006E51BF" w:rsidRPr="000C4386" w:rsidRDefault="006E51BF">
            <w:pPr>
              <w:pStyle w:val="ARfintabletextright"/>
              <w:rPr>
                <w:lang w:eastAsia="en-AU"/>
              </w:rPr>
            </w:pPr>
          </w:p>
        </w:tc>
        <w:tc>
          <w:tcPr>
            <w:tcW w:w="809" w:type="pct"/>
            <w:tcBorders>
              <w:top w:val="single" w:sz="4" w:space="0" w:color="000000" w:themeColor="text1"/>
              <w:bottom w:val="single" w:sz="4" w:space="0" w:color="BFBFBF" w:themeColor="accent2"/>
            </w:tcBorders>
            <w:noWrap/>
            <w:tcMar>
              <w:right w:w="0" w:type="nil"/>
            </w:tcMar>
            <w:hideMark/>
          </w:tcPr>
          <w:p w14:paraId="3FC4E4FC" w14:textId="77777777" w:rsidR="006E51BF" w:rsidRPr="000C438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0C4386" w14:paraId="1A0DE656"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noWrap/>
            <w:hideMark/>
          </w:tcPr>
          <w:p w14:paraId="092ADAFA" w14:textId="77777777" w:rsidR="006E51BF" w:rsidRPr="000C4386" w:rsidRDefault="006E51BF">
            <w:pPr>
              <w:pStyle w:val="ARfintabletext"/>
              <w:rPr>
                <w:lang w:eastAsia="en-AU"/>
              </w:rPr>
            </w:pPr>
            <w:r w:rsidRPr="000C4386">
              <w:rPr>
                <w:lang w:eastAsia="en-AU"/>
              </w:rPr>
              <w:t>Net gain/(loss) on financial instruments and statutory receivables/payables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4C1F6609" w14:textId="77777777" w:rsidR="006E51BF" w:rsidRPr="000C4386" w:rsidRDefault="006E51BF">
            <w:pPr>
              <w:pStyle w:val="ARfintabletextright"/>
              <w:rPr>
                <w:lang w:eastAsia="en-AU"/>
              </w:rPr>
            </w:pPr>
            <w:r w:rsidRPr="000C4386">
              <w:rPr>
                <w:lang w:eastAsia="en-AU"/>
              </w:rPr>
              <w:t>1.2</w:t>
            </w:r>
          </w:p>
        </w:tc>
        <w:tc>
          <w:tcPr>
            <w:tcW w:w="809" w:type="pct"/>
            <w:tcBorders>
              <w:top w:val="single" w:sz="4" w:space="0" w:color="BFBFBF" w:themeColor="accent2"/>
              <w:bottom w:val="single" w:sz="4" w:space="0" w:color="000000" w:themeColor="text1"/>
            </w:tcBorders>
            <w:noWrap/>
            <w:tcMar>
              <w:right w:w="0" w:type="nil"/>
            </w:tcMar>
            <w:hideMark/>
          </w:tcPr>
          <w:p w14:paraId="6B9A5077" w14:textId="77777777" w:rsidR="006E51BF" w:rsidRPr="000C438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0C4386">
              <w:rPr>
                <w:lang w:eastAsia="en-AU"/>
              </w:rPr>
              <w:t>3.2</w:t>
            </w:r>
          </w:p>
        </w:tc>
      </w:tr>
      <w:tr w:rsidR="006E51BF" w:rsidRPr="000C4386" w14:paraId="1D32AFF4"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hideMark/>
          </w:tcPr>
          <w:p w14:paraId="224A2385" w14:textId="77777777" w:rsidR="006E51BF" w:rsidRPr="000C4386" w:rsidRDefault="006E51BF">
            <w:pPr>
              <w:pStyle w:val="ARfintabletextbold"/>
              <w:rPr>
                <w:lang w:eastAsia="en-AU"/>
              </w:rPr>
            </w:pPr>
            <w:r w:rsidRPr="000C4386">
              <w:rPr>
                <w:lang w:eastAsia="en-AU"/>
              </w:rPr>
              <w:t>Total net gain/(loss) on financial instruments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11417A97" w14:textId="77777777" w:rsidR="006E51BF" w:rsidRPr="000C4386" w:rsidRDefault="006E51BF">
            <w:pPr>
              <w:pStyle w:val="ARfintabletextboldright"/>
              <w:rPr>
                <w:lang w:eastAsia="en-AU"/>
              </w:rPr>
            </w:pPr>
            <w:r w:rsidRPr="000C4386">
              <w:rPr>
                <w:lang w:eastAsia="en-AU"/>
              </w:rPr>
              <w:t>1.2</w:t>
            </w:r>
          </w:p>
        </w:tc>
        <w:tc>
          <w:tcPr>
            <w:tcW w:w="809" w:type="pct"/>
            <w:tcBorders>
              <w:top w:val="single" w:sz="4" w:space="0" w:color="000000" w:themeColor="text1"/>
              <w:bottom w:val="single" w:sz="4" w:space="0" w:color="000000" w:themeColor="text1"/>
            </w:tcBorders>
            <w:noWrap/>
            <w:tcMar>
              <w:right w:w="0" w:type="nil"/>
            </w:tcMar>
            <w:hideMark/>
          </w:tcPr>
          <w:p w14:paraId="18089B18" w14:textId="77777777" w:rsidR="006E51BF" w:rsidRPr="000C4386"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0C4386">
              <w:rPr>
                <w:lang w:eastAsia="en-AU"/>
              </w:rPr>
              <w:t>3.2</w:t>
            </w:r>
          </w:p>
        </w:tc>
      </w:tr>
      <w:tr w:rsidR="006E51BF" w:rsidRPr="000C4386" w14:paraId="2E5F29BB"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tcBorders>
            <w:noWrap/>
            <w:hideMark/>
          </w:tcPr>
          <w:p w14:paraId="3C94DB03" w14:textId="77777777" w:rsidR="006E51BF" w:rsidRPr="000C4386" w:rsidRDefault="006E51BF">
            <w:pPr>
              <w:pStyle w:val="ARfintabletextboldcoloured"/>
              <w:rPr>
                <w:lang w:eastAsia="en-AU"/>
              </w:rPr>
            </w:pPr>
            <w:r w:rsidRPr="000C4386">
              <w:rPr>
                <w:lang w:eastAsia="en-AU"/>
              </w:rPr>
              <w:t>(c) Other gains/(losses) from other economic flows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tcMar>
              <w:right w:w="0" w:type="nil"/>
            </w:tcMar>
            <w:hideMark/>
          </w:tcPr>
          <w:p w14:paraId="35A2E4D9" w14:textId="77777777" w:rsidR="006E51BF" w:rsidRPr="000C4386" w:rsidRDefault="006E51BF">
            <w:pPr>
              <w:pStyle w:val="ARfintabletextright"/>
              <w:rPr>
                <w:lang w:eastAsia="en-AU"/>
              </w:rPr>
            </w:pPr>
          </w:p>
        </w:tc>
        <w:tc>
          <w:tcPr>
            <w:tcW w:w="809" w:type="pct"/>
            <w:tcBorders>
              <w:top w:val="single" w:sz="4" w:space="0" w:color="000000" w:themeColor="text1"/>
            </w:tcBorders>
            <w:noWrap/>
            <w:tcMar>
              <w:right w:w="0" w:type="nil"/>
            </w:tcMar>
            <w:hideMark/>
          </w:tcPr>
          <w:p w14:paraId="45321BBE" w14:textId="77777777" w:rsidR="006E51BF" w:rsidRPr="000C438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p>
        </w:tc>
      </w:tr>
      <w:tr w:rsidR="006E51BF" w:rsidRPr="000C4386" w14:paraId="5CB734DE"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13D0BF61" w14:textId="77777777" w:rsidR="006E51BF" w:rsidRPr="000C4386" w:rsidRDefault="006E51BF">
            <w:pPr>
              <w:pStyle w:val="ARfintabletext"/>
              <w:rPr>
                <w:lang w:eastAsia="en-AU"/>
              </w:rPr>
            </w:pPr>
            <w:r w:rsidRPr="000C4386">
              <w:rPr>
                <w:lang w:eastAsia="en-AU"/>
              </w:rPr>
              <w:t>Net gain/(loss) arising from revaluation of long service leave liability</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4A4ABAEA" w14:textId="77777777" w:rsidR="006E51BF" w:rsidRPr="000C4386" w:rsidRDefault="006E51BF">
            <w:pPr>
              <w:pStyle w:val="ARfintabletextright"/>
              <w:rPr>
                <w:lang w:eastAsia="en-AU"/>
              </w:rPr>
            </w:pPr>
            <w:r w:rsidRPr="000C4386">
              <w:rPr>
                <w:lang w:eastAsia="en-AU"/>
              </w:rPr>
              <w:t>3.7</w:t>
            </w:r>
          </w:p>
        </w:tc>
        <w:tc>
          <w:tcPr>
            <w:tcW w:w="809" w:type="pct"/>
            <w:noWrap/>
            <w:tcMar>
              <w:right w:w="0" w:type="nil"/>
            </w:tcMar>
            <w:hideMark/>
          </w:tcPr>
          <w:p w14:paraId="2FF17235" w14:textId="77777777" w:rsidR="006E51BF" w:rsidRPr="000C438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0C4386">
              <w:rPr>
                <w:lang w:eastAsia="en-AU"/>
              </w:rPr>
              <w:t>(4.9)</w:t>
            </w:r>
          </w:p>
        </w:tc>
      </w:tr>
      <w:tr w:rsidR="006E51BF" w:rsidRPr="000C4386" w14:paraId="636688ED" w14:textId="77777777" w:rsidTr="004A6D92">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7B740BC6" w14:textId="77777777" w:rsidR="006E51BF" w:rsidRPr="000C4386" w:rsidRDefault="006E51BF">
            <w:pPr>
              <w:pStyle w:val="ARfintabletext"/>
              <w:rPr>
                <w:lang w:eastAsia="en-AU"/>
              </w:rPr>
            </w:pPr>
            <w:r w:rsidRPr="000C4386">
              <w:rPr>
                <w:lang w:eastAsia="en-AU"/>
              </w:rPr>
              <w:t>Revaluation and adjustments of insurance claims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2DF4B70C" w14:textId="77777777" w:rsidR="006E51BF" w:rsidRPr="000C4386" w:rsidRDefault="006E51BF">
            <w:pPr>
              <w:pStyle w:val="ARfintabletextright"/>
              <w:rPr>
                <w:lang w:eastAsia="en-AU"/>
              </w:rPr>
            </w:pPr>
            <w:r w:rsidRPr="000C4386">
              <w:rPr>
                <w:lang w:eastAsia="en-AU"/>
              </w:rPr>
              <w:t>32.6</w:t>
            </w:r>
          </w:p>
        </w:tc>
        <w:tc>
          <w:tcPr>
            <w:tcW w:w="809" w:type="pct"/>
            <w:noWrap/>
            <w:tcMar>
              <w:right w:w="0" w:type="nil"/>
            </w:tcMar>
            <w:hideMark/>
          </w:tcPr>
          <w:p w14:paraId="201F149D" w14:textId="77777777" w:rsidR="006E51BF" w:rsidRPr="000C438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0C4386">
              <w:rPr>
                <w:lang w:eastAsia="en-AU"/>
              </w:rPr>
              <w:t>(38.5)</w:t>
            </w:r>
          </w:p>
        </w:tc>
      </w:tr>
      <w:tr w:rsidR="006E51BF" w:rsidRPr="000C4386" w14:paraId="771D3CEF" w14:textId="77777777" w:rsidTr="004A6D92">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6F9FC748" w14:textId="77777777" w:rsidR="006E51BF" w:rsidRPr="000C4386" w:rsidRDefault="006E51BF">
            <w:pPr>
              <w:pStyle w:val="ARfintabletext"/>
              <w:rPr>
                <w:lang w:eastAsia="en-AU"/>
              </w:rPr>
            </w:pPr>
            <w:r w:rsidRPr="000C4386">
              <w:rPr>
                <w:lang w:eastAsia="en-AU"/>
              </w:rPr>
              <w:t>Bad debt expenses</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5FAD1788" w14:textId="77777777" w:rsidR="006E51BF" w:rsidRPr="000C4386" w:rsidRDefault="006E51BF">
            <w:pPr>
              <w:pStyle w:val="ARfintabletextright"/>
              <w:rPr>
                <w:lang w:eastAsia="en-AU"/>
              </w:rPr>
            </w:pPr>
            <w:r w:rsidRPr="000C4386">
              <w:rPr>
                <w:lang w:eastAsia="en-AU"/>
              </w:rPr>
              <w:t>1.6</w:t>
            </w:r>
          </w:p>
        </w:tc>
        <w:tc>
          <w:tcPr>
            <w:tcW w:w="809" w:type="pct"/>
            <w:noWrap/>
            <w:tcMar>
              <w:right w:w="0" w:type="nil"/>
            </w:tcMar>
            <w:hideMark/>
          </w:tcPr>
          <w:p w14:paraId="0E6C9859" w14:textId="77777777" w:rsidR="006E51BF" w:rsidRPr="000C438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0C4386">
              <w:rPr>
                <w:lang w:eastAsia="en-AU"/>
              </w:rPr>
              <w:t>(5.8)</w:t>
            </w:r>
          </w:p>
        </w:tc>
      </w:tr>
      <w:tr w:rsidR="006E51BF" w:rsidRPr="000C4386" w14:paraId="6D810C99" w14:textId="77777777" w:rsidTr="004A6D92">
        <w:trPr>
          <w:cnfStyle w:val="010000000000" w:firstRow="0" w:lastRow="1" w:firstColumn="0" w:lastColumn="0" w:oddVBand="0" w:evenVBand="0" w:oddHBand="0" w:evenHBand="0" w:firstRowFirstColumn="0" w:firstRowLastColumn="0" w:lastRowFirstColumn="0" w:lastRowLastColumn="0"/>
          <w:trHeight w:val="20"/>
        </w:trPr>
        <w:tc>
          <w:tcPr>
            <w:tcW w:w="3383" w:type="pct"/>
            <w:hideMark/>
          </w:tcPr>
          <w:p w14:paraId="37B79C47" w14:textId="77777777" w:rsidR="006E51BF" w:rsidRPr="000C4386" w:rsidRDefault="006E51BF">
            <w:pPr>
              <w:pStyle w:val="ARfintabletextbold"/>
              <w:rPr>
                <w:lang w:eastAsia="en-AU"/>
              </w:rPr>
            </w:pPr>
            <w:r w:rsidRPr="000C4386">
              <w:rPr>
                <w:lang w:eastAsia="en-AU"/>
              </w:rPr>
              <w:t>Total other gains/(losses) from other economic flows</w:t>
            </w:r>
          </w:p>
        </w:tc>
        <w:tc>
          <w:tcPr>
            <w:cnfStyle w:val="000001000000" w:firstRow="0" w:lastRow="0" w:firstColumn="0" w:lastColumn="0" w:oddVBand="0" w:evenVBand="1" w:oddHBand="0" w:evenHBand="0" w:firstRowFirstColumn="0" w:firstRowLastColumn="0" w:lastRowFirstColumn="0" w:lastRowLastColumn="0"/>
            <w:tcW w:w="808" w:type="pct"/>
            <w:tcMar>
              <w:right w:w="0" w:type="nil"/>
            </w:tcMar>
            <w:hideMark/>
          </w:tcPr>
          <w:p w14:paraId="19F32896" w14:textId="77777777" w:rsidR="006E51BF" w:rsidRPr="000C4386" w:rsidRDefault="006E51BF">
            <w:pPr>
              <w:pStyle w:val="ARfintabletextboldright"/>
              <w:rPr>
                <w:lang w:eastAsia="en-AU"/>
              </w:rPr>
            </w:pPr>
            <w:r w:rsidRPr="000C4386">
              <w:rPr>
                <w:lang w:eastAsia="en-AU"/>
              </w:rPr>
              <w:t>37.9</w:t>
            </w:r>
          </w:p>
        </w:tc>
        <w:tc>
          <w:tcPr>
            <w:tcW w:w="809" w:type="pct"/>
            <w:noWrap/>
            <w:tcMar>
              <w:right w:w="0" w:type="nil"/>
            </w:tcMar>
            <w:hideMark/>
          </w:tcPr>
          <w:p w14:paraId="2068BF56" w14:textId="77777777" w:rsidR="006E51BF" w:rsidRPr="000C4386"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0C4386">
              <w:rPr>
                <w:lang w:eastAsia="en-AU"/>
              </w:rPr>
              <w:t>(49.2)</w:t>
            </w:r>
          </w:p>
        </w:tc>
      </w:tr>
    </w:tbl>
    <w:p w14:paraId="0ACD38EE" w14:textId="77777777" w:rsidR="006E51BF" w:rsidRPr="00346B33" w:rsidRDefault="006E51BF">
      <w:pPr>
        <w:pStyle w:val="Heading4"/>
        <w:rPr>
          <w:lang w:eastAsia="en-AU"/>
        </w:rPr>
      </w:pPr>
      <w:r w:rsidRPr="00346B33">
        <w:rPr>
          <w:lang w:eastAsia="en-AU"/>
        </w:rPr>
        <w:t xml:space="preserve">9.3 </w:t>
      </w:r>
      <w:r>
        <w:rPr>
          <w:lang w:eastAsia="en-AU"/>
        </w:rPr>
        <w:tab/>
      </w:r>
      <w:bookmarkStart w:id="307" w:name="Reserves"/>
      <w:r w:rsidRPr="00346B33">
        <w:rPr>
          <w:lang w:eastAsia="en-AU"/>
        </w:rPr>
        <w:t>Reserves</w:t>
      </w:r>
      <w:bookmarkEnd w:id="307"/>
    </w:p>
    <w:tbl>
      <w:tblPr>
        <w:tblStyle w:val="ARtable1"/>
        <w:tblW w:w="5000" w:type="pct"/>
        <w:tblLook w:val="00E0" w:firstRow="1" w:lastRow="1" w:firstColumn="1" w:lastColumn="0" w:noHBand="0" w:noVBand="0"/>
      </w:tblPr>
      <w:tblGrid>
        <w:gridCol w:w="6514"/>
        <w:gridCol w:w="1556"/>
        <w:gridCol w:w="1558"/>
      </w:tblGrid>
      <w:tr w:rsidR="006E51BF" w:rsidRPr="00346B33" w14:paraId="5FAE3A3B" w14:textId="77777777" w:rsidTr="004A6D92">
        <w:trPr>
          <w:cnfStyle w:val="100000000000" w:firstRow="1" w:lastRow="0" w:firstColumn="0" w:lastColumn="0" w:oddVBand="0" w:evenVBand="0" w:oddHBand="0" w:evenHBand="0" w:firstRowFirstColumn="0" w:firstRowLastColumn="0" w:lastRowFirstColumn="0" w:lastRowLastColumn="0"/>
          <w:trHeight w:val="574"/>
          <w:tblHeader/>
        </w:trPr>
        <w:tc>
          <w:tcPr>
            <w:tcW w:w="3383" w:type="pct"/>
            <w:noWrap/>
            <w:hideMark/>
          </w:tcPr>
          <w:p w14:paraId="7E0DB2F0" w14:textId="77777777" w:rsidR="006E51BF" w:rsidRPr="00346B33" w:rsidRDefault="006E51BF">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6E968F08" w14:textId="77777777" w:rsidR="006E51BF" w:rsidRPr="00346B33" w:rsidRDefault="006E51BF">
            <w:pPr>
              <w:pStyle w:val="ARfintablecolheadright"/>
              <w:rPr>
                <w:lang w:eastAsia="en-AU"/>
              </w:rPr>
            </w:pPr>
            <w:r w:rsidRPr="00346B33">
              <w:rPr>
                <w:lang w:eastAsia="en-AU"/>
              </w:rPr>
              <w:t>2026</w:t>
            </w:r>
          </w:p>
          <w:p w14:paraId="20FA0AD6" w14:textId="77777777" w:rsidR="006E51BF" w:rsidRPr="00346B33" w:rsidRDefault="006E51BF">
            <w:pPr>
              <w:pStyle w:val="ARfintablecolheadright"/>
              <w:rPr>
                <w:lang w:eastAsia="en-AU"/>
              </w:rPr>
            </w:pPr>
            <w:r w:rsidRPr="00346B33">
              <w:rPr>
                <w:lang w:eastAsia="en-AU"/>
              </w:rPr>
              <w:t>$M</w:t>
            </w:r>
          </w:p>
        </w:tc>
        <w:tc>
          <w:tcPr>
            <w:tcW w:w="809" w:type="pct"/>
            <w:noWrap/>
            <w:tcMar>
              <w:right w:w="0" w:type="nil"/>
            </w:tcMar>
            <w:hideMark/>
          </w:tcPr>
          <w:p w14:paraId="337E80FF" w14:textId="77777777" w:rsidR="006E51BF" w:rsidRPr="00346B33"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46B33">
              <w:rPr>
                <w:lang w:eastAsia="en-AU"/>
              </w:rPr>
              <w:t>2025</w:t>
            </w:r>
          </w:p>
          <w:p w14:paraId="17277488" w14:textId="77777777" w:rsidR="006E51BF" w:rsidRPr="00346B33"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46B33">
              <w:rPr>
                <w:lang w:eastAsia="en-AU"/>
              </w:rPr>
              <w:t>$M</w:t>
            </w:r>
          </w:p>
        </w:tc>
      </w:tr>
      <w:tr w:rsidR="006E51BF" w:rsidRPr="00346B33" w14:paraId="0B02D1DA" w14:textId="77777777" w:rsidTr="004A6D92">
        <w:trPr>
          <w:cnfStyle w:val="000000100000" w:firstRow="0" w:lastRow="0" w:firstColumn="0" w:lastColumn="0" w:oddVBand="0" w:evenVBand="0" w:oddHBand="1" w:evenHBand="0" w:firstRowFirstColumn="0" w:firstRowLastColumn="0" w:lastRowFirstColumn="0" w:lastRowLastColumn="0"/>
          <w:trHeight w:val="270"/>
        </w:trPr>
        <w:tc>
          <w:tcPr>
            <w:tcW w:w="3383" w:type="pct"/>
            <w:noWrap/>
            <w:hideMark/>
          </w:tcPr>
          <w:p w14:paraId="39FCC572" w14:textId="77777777" w:rsidR="006E51BF" w:rsidRPr="00346B33" w:rsidRDefault="006E51BF">
            <w:pPr>
              <w:pStyle w:val="ARfintabletextboldcoloured"/>
              <w:rPr>
                <w:lang w:eastAsia="en-AU"/>
              </w:rPr>
            </w:pPr>
            <w:r w:rsidRPr="00346B33">
              <w:rPr>
                <w:lang w:eastAsia="en-AU"/>
              </w:rPr>
              <w:t>(a) Accumulated surplus/(deficit)</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tcMar>
              <w:right w:w="0" w:type="nil"/>
            </w:tcMar>
            <w:hideMark/>
          </w:tcPr>
          <w:p w14:paraId="312F825A" w14:textId="77777777" w:rsidR="006E51BF" w:rsidRPr="00346B33" w:rsidRDefault="006E51BF">
            <w:pPr>
              <w:pStyle w:val="ARfintabletextright"/>
              <w:rPr>
                <w:lang w:eastAsia="en-AU"/>
              </w:rPr>
            </w:pPr>
          </w:p>
        </w:tc>
        <w:tc>
          <w:tcPr>
            <w:tcW w:w="809" w:type="pct"/>
            <w:noWrap/>
            <w:tcMar>
              <w:right w:w="0" w:type="nil"/>
            </w:tcMar>
            <w:hideMark/>
          </w:tcPr>
          <w:p w14:paraId="06A88BAB" w14:textId="77777777" w:rsidR="006E51BF" w:rsidRPr="00346B33"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346B33" w14:paraId="75B562EA" w14:textId="77777777" w:rsidTr="004A6D92">
        <w:trPr>
          <w:cnfStyle w:val="000000010000" w:firstRow="0" w:lastRow="0" w:firstColumn="0" w:lastColumn="0" w:oddVBand="0" w:evenVBand="0" w:oddHBand="0" w:evenHBand="1" w:firstRowFirstColumn="0" w:firstRowLastColumn="0" w:lastRowFirstColumn="0" w:lastRowLastColumn="0"/>
          <w:trHeight w:val="270"/>
        </w:trPr>
        <w:tc>
          <w:tcPr>
            <w:tcW w:w="3383" w:type="pct"/>
            <w:noWrap/>
            <w:hideMark/>
          </w:tcPr>
          <w:p w14:paraId="06394A8D" w14:textId="77777777" w:rsidR="006E51BF" w:rsidRPr="00346B33" w:rsidRDefault="006E51BF">
            <w:pPr>
              <w:pStyle w:val="ARfintabletext"/>
              <w:rPr>
                <w:lang w:eastAsia="en-AU"/>
              </w:rPr>
            </w:pPr>
            <w:r w:rsidRPr="00346B33">
              <w:rPr>
                <w:lang w:eastAsia="en-AU"/>
              </w:rPr>
              <w:t>Balance at beginning of financial year</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5EEDB918" w14:textId="77777777" w:rsidR="006E51BF" w:rsidRPr="00346B33" w:rsidRDefault="006E51BF">
            <w:pPr>
              <w:pStyle w:val="ARfintabletextright"/>
              <w:rPr>
                <w:lang w:eastAsia="en-AU"/>
              </w:rPr>
            </w:pPr>
            <w:r w:rsidRPr="00346B33">
              <w:rPr>
                <w:lang w:eastAsia="en-AU"/>
              </w:rPr>
              <w:t>(978.8)</w:t>
            </w:r>
          </w:p>
        </w:tc>
        <w:tc>
          <w:tcPr>
            <w:tcW w:w="809" w:type="pct"/>
            <w:noWrap/>
            <w:tcMar>
              <w:right w:w="0" w:type="nil"/>
            </w:tcMar>
            <w:hideMark/>
          </w:tcPr>
          <w:p w14:paraId="60E2BE8F" w14:textId="77777777" w:rsidR="006E51BF" w:rsidRPr="00346B33"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346B33">
              <w:rPr>
                <w:lang w:eastAsia="en-AU"/>
              </w:rPr>
              <w:t>(455.4)</w:t>
            </w:r>
          </w:p>
        </w:tc>
      </w:tr>
      <w:tr w:rsidR="006E51BF" w:rsidRPr="00346B33" w14:paraId="071254AC" w14:textId="77777777" w:rsidTr="004A6D92">
        <w:trPr>
          <w:cnfStyle w:val="000000100000" w:firstRow="0" w:lastRow="0" w:firstColumn="0" w:lastColumn="0" w:oddVBand="0" w:evenVBand="0" w:oddHBand="1" w:evenHBand="0" w:firstRowFirstColumn="0" w:firstRowLastColumn="0" w:lastRowFirstColumn="0" w:lastRowLastColumn="0"/>
          <w:trHeight w:val="290"/>
        </w:trPr>
        <w:tc>
          <w:tcPr>
            <w:tcW w:w="3383" w:type="pct"/>
            <w:noWrap/>
            <w:hideMark/>
          </w:tcPr>
          <w:p w14:paraId="4AA0AB96" w14:textId="77777777" w:rsidR="006E51BF" w:rsidRPr="00346B33" w:rsidRDefault="006E51BF">
            <w:pPr>
              <w:pStyle w:val="ARfintabletext"/>
              <w:rPr>
                <w:lang w:eastAsia="en-AU"/>
              </w:rPr>
            </w:pPr>
            <w:r w:rsidRPr="00346B33">
              <w:rPr>
                <w:lang w:eastAsia="en-AU"/>
              </w:rPr>
              <w:t xml:space="preserve">Adjustment </w:t>
            </w:r>
            <w:r w:rsidRPr="00346B33">
              <w:rPr>
                <w:vertAlign w:val="superscript"/>
                <w:lang w:eastAsia="en-AU"/>
              </w:rPr>
              <w:t>(</w:t>
            </w:r>
            <w:proofErr w:type="spellStart"/>
            <w:r w:rsidRPr="00346B33">
              <w:rPr>
                <w:vertAlign w:val="superscript"/>
                <w:lang w:eastAsia="en-AU"/>
              </w:rPr>
              <w:t>i</w:t>
            </w:r>
            <w:proofErr w:type="spellEnd"/>
            <w:r w:rsidRPr="00346B33">
              <w:rPr>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10E367A5" w14:textId="77777777" w:rsidR="006E51BF" w:rsidRPr="00346B33" w:rsidRDefault="006E51BF">
            <w:pPr>
              <w:pStyle w:val="ARfintabletextright"/>
              <w:rPr>
                <w:lang w:eastAsia="en-AU"/>
              </w:rPr>
            </w:pPr>
            <w:r w:rsidRPr="00346B33">
              <w:rPr>
                <w:lang w:eastAsia="en-AU"/>
              </w:rPr>
              <w:t>54.7</w:t>
            </w:r>
          </w:p>
        </w:tc>
        <w:tc>
          <w:tcPr>
            <w:tcW w:w="809" w:type="pct"/>
            <w:noWrap/>
            <w:tcMar>
              <w:right w:w="0" w:type="nil"/>
            </w:tcMar>
            <w:hideMark/>
          </w:tcPr>
          <w:p w14:paraId="7F0BE9B9" w14:textId="77777777" w:rsidR="006E51BF" w:rsidRPr="00346B33"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r>
      <w:tr w:rsidR="006E51BF" w:rsidRPr="00346B33" w14:paraId="498E93BA" w14:textId="77777777" w:rsidTr="004A6D92">
        <w:trPr>
          <w:cnfStyle w:val="000000010000" w:firstRow="0" w:lastRow="0" w:firstColumn="0" w:lastColumn="0" w:oddVBand="0" w:evenVBand="0" w:oddHBand="0" w:evenHBand="1" w:firstRowFirstColumn="0" w:firstRowLastColumn="0" w:lastRowFirstColumn="0" w:lastRowLastColumn="0"/>
          <w:trHeight w:val="270"/>
        </w:trPr>
        <w:tc>
          <w:tcPr>
            <w:tcW w:w="3383" w:type="pct"/>
            <w:tcBorders>
              <w:bottom w:val="single" w:sz="4" w:space="0" w:color="BFBFBF" w:themeColor="accent2"/>
            </w:tcBorders>
            <w:noWrap/>
            <w:hideMark/>
          </w:tcPr>
          <w:p w14:paraId="654704B4" w14:textId="77777777" w:rsidR="006E51BF" w:rsidRPr="00346B33" w:rsidRDefault="006E51BF">
            <w:pPr>
              <w:pStyle w:val="ARfintabletext"/>
              <w:rPr>
                <w:lang w:eastAsia="en-AU"/>
              </w:rPr>
            </w:pPr>
            <w:r w:rsidRPr="00346B33">
              <w:rPr>
                <w:lang w:eastAsia="en-AU"/>
              </w:rPr>
              <w:t>Net result for the year</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708C4C66" w14:textId="77777777" w:rsidR="006E51BF" w:rsidRPr="00346B33" w:rsidRDefault="006E51BF">
            <w:pPr>
              <w:pStyle w:val="ARfintabletextright"/>
              <w:rPr>
                <w:lang w:eastAsia="en-AU"/>
              </w:rPr>
            </w:pPr>
            <w:r w:rsidRPr="00346B33">
              <w:rPr>
                <w:lang w:eastAsia="en-AU"/>
              </w:rPr>
              <w:t>(462.1)</w:t>
            </w:r>
          </w:p>
        </w:tc>
        <w:tc>
          <w:tcPr>
            <w:tcW w:w="809" w:type="pct"/>
            <w:tcBorders>
              <w:bottom w:val="single" w:sz="4" w:space="0" w:color="BFBFBF" w:themeColor="accent2"/>
            </w:tcBorders>
            <w:noWrap/>
            <w:tcMar>
              <w:right w:w="0" w:type="nil"/>
            </w:tcMar>
            <w:hideMark/>
          </w:tcPr>
          <w:p w14:paraId="515BCB2E" w14:textId="77777777" w:rsidR="006E51BF" w:rsidRPr="00346B33"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346B33">
              <w:rPr>
                <w:lang w:eastAsia="en-AU"/>
              </w:rPr>
              <w:t>(522.2)</w:t>
            </w:r>
          </w:p>
        </w:tc>
      </w:tr>
      <w:tr w:rsidR="006E51BF" w:rsidRPr="00346B33" w14:paraId="5C486EE7" w14:textId="77777777" w:rsidTr="004A6D92">
        <w:trPr>
          <w:cnfStyle w:val="000000100000" w:firstRow="0" w:lastRow="0" w:firstColumn="0" w:lastColumn="0" w:oddVBand="0" w:evenVBand="0" w:oddHBand="1" w:evenHBand="0" w:firstRowFirstColumn="0" w:firstRowLastColumn="0" w:lastRowFirstColumn="0" w:lastRowLastColumn="0"/>
          <w:trHeight w:val="270"/>
        </w:trPr>
        <w:tc>
          <w:tcPr>
            <w:tcW w:w="3383" w:type="pct"/>
            <w:tcBorders>
              <w:top w:val="single" w:sz="4" w:space="0" w:color="BFBFBF" w:themeColor="accent2"/>
              <w:bottom w:val="single" w:sz="4" w:space="0" w:color="000000" w:themeColor="text1"/>
            </w:tcBorders>
            <w:noWrap/>
            <w:hideMark/>
          </w:tcPr>
          <w:p w14:paraId="7DC6359C" w14:textId="77777777" w:rsidR="006E51BF" w:rsidRPr="00346B33" w:rsidRDefault="006E51BF">
            <w:pPr>
              <w:pStyle w:val="ARfintabletext"/>
              <w:rPr>
                <w:lang w:eastAsia="en-AU"/>
              </w:rPr>
            </w:pPr>
            <w:r w:rsidRPr="00346B33">
              <w:rPr>
                <w:lang w:eastAsia="en-AU"/>
              </w:rPr>
              <w:t>Remeasurement of superannuation defined benefit plans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3803A938" w14:textId="77777777" w:rsidR="006E51BF" w:rsidRPr="00346B33" w:rsidRDefault="006E51BF">
            <w:pPr>
              <w:pStyle w:val="ARfintabletextright"/>
              <w:rPr>
                <w:lang w:eastAsia="en-AU"/>
              </w:rPr>
            </w:pPr>
            <w:r w:rsidRPr="00346B33">
              <w:rPr>
                <w:lang w:eastAsia="en-AU"/>
              </w:rPr>
              <w:t>0.7</w:t>
            </w:r>
          </w:p>
        </w:tc>
        <w:tc>
          <w:tcPr>
            <w:tcW w:w="809" w:type="pct"/>
            <w:tcBorders>
              <w:top w:val="single" w:sz="4" w:space="0" w:color="BFBFBF" w:themeColor="accent2"/>
              <w:bottom w:val="single" w:sz="4" w:space="0" w:color="000000" w:themeColor="text1"/>
            </w:tcBorders>
            <w:noWrap/>
            <w:tcMar>
              <w:right w:w="0" w:type="nil"/>
            </w:tcMar>
            <w:hideMark/>
          </w:tcPr>
          <w:p w14:paraId="7F7F9372" w14:textId="77777777" w:rsidR="006E51BF" w:rsidRPr="00346B33"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346B33">
              <w:rPr>
                <w:lang w:eastAsia="en-AU"/>
              </w:rPr>
              <w:t>(1.2)</w:t>
            </w:r>
          </w:p>
        </w:tc>
      </w:tr>
      <w:tr w:rsidR="006E51BF" w:rsidRPr="00346B33" w14:paraId="176BA92B" w14:textId="77777777" w:rsidTr="004A6D92">
        <w:trPr>
          <w:cnfStyle w:val="000000010000" w:firstRow="0" w:lastRow="0" w:firstColumn="0" w:lastColumn="0" w:oddVBand="0" w:evenVBand="0" w:oddHBand="0" w:evenHBand="1" w:firstRowFirstColumn="0" w:firstRowLastColumn="0" w:lastRowFirstColumn="0" w:lastRowLastColumn="0"/>
          <w:trHeight w:val="280"/>
        </w:trPr>
        <w:tc>
          <w:tcPr>
            <w:tcW w:w="3383" w:type="pct"/>
            <w:tcBorders>
              <w:top w:val="single" w:sz="4" w:space="0" w:color="000000" w:themeColor="text1"/>
              <w:bottom w:val="single" w:sz="4" w:space="0" w:color="000000" w:themeColor="text1"/>
            </w:tcBorders>
            <w:noWrap/>
            <w:hideMark/>
          </w:tcPr>
          <w:p w14:paraId="61D382BC" w14:textId="77777777" w:rsidR="006E51BF" w:rsidRPr="00346B33" w:rsidRDefault="006E51BF">
            <w:pPr>
              <w:pStyle w:val="ARfintabletextbold"/>
              <w:rPr>
                <w:lang w:eastAsia="en-AU"/>
              </w:rPr>
            </w:pPr>
            <w:r w:rsidRPr="00346B33">
              <w:rPr>
                <w:lang w:eastAsia="en-AU"/>
              </w:rPr>
              <w:t>Balance at the end of financial year</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0A4B58F1" w14:textId="77777777" w:rsidR="006E51BF" w:rsidRPr="00346B33" w:rsidRDefault="006E51BF">
            <w:pPr>
              <w:pStyle w:val="ARfintabletextboldright"/>
              <w:rPr>
                <w:lang w:eastAsia="en-AU"/>
              </w:rPr>
            </w:pPr>
            <w:r w:rsidRPr="00346B33">
              <w:rPr>
                <w:lang w:eastAsia="en-AU"/>
              </w:rPr>
              <w:t>(1,385.5)</w:t>
            </w:r>
          </w:p>
        </w:tc>
        <w:tc>
          <w:tcPr>
            <w:tcW w:w="809" w:type="pct"/>
            <w:tcBorders>
              <w:top w:val="single" w:sz="4" w:space="0" w:color="000000" w:themeColor="text1"/>
              <w:bottom w:val="single" w:sz="4" w:space="0" w:color="000000" w:themeColor="text1"/>
            </w:tcBorders>
            <w:noWrap/>
            <w:tcMar>
              <w:right w:w="0" w:type="nil"/>
            </w:tcMar>
            <w:hideMark/>
          </w:tcPr>
          <w:p w14:paraId="079FC595" w14:textId="77777777" w:rsidR="006E51BF" w:rsidRPr="00346B33"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346B33">
              <w:rPr>
                <w:lang w:eastAsia="en-AU"/>
              </w:rPr>
              <w:t>(978.8)</w:t>
            </w:r>
          </w:p>
        </w:tc>
      </w:tr>
      <w:tr w:rsidR="006E51BF" w:rsidRPr="00346B33" w14:paraId="2B4C2ECA" w14:textId="77777777" w:rsidTr="004A6D92">
        <w:trPr>
          <w:cnfStyle w:val="000000100000" w:firstRow="0" w:lastRow="0" w:firstColumn="0" w:lastColumn="0" w:oddVBand="0" w:evenVBand="0" w:oddHBand="1" w:evenHBand="0" w:firstRowFirstColumn="0" w:firstRowLastColumn="0" w:lastRowFirstColumn="0" w:lastRowLastColumn="0"/>
          <w:trHeight w:val="270"/>
        </w:trPr>
        <w:tc>
          <w:tcPr>
            <w:tcW w:w="3383" w:type="pct"/>
            <w:tcBorders>
              <w:top w:val="single" w:sz="4" w:space="0" w:color="000000" w:themeColor="text1"/>
            </w:tcBorders>
            <w:noWrap/>
            <w:hideMark/>
          </w:tcPr>
          <w:p w14:paraId="18458767" w14:textId="77777777" w:rsidR="006E51BF" w:rsidRPr="00346B33" w:rsidRDefault="006E51BF">
            <w:pPr>
              <w:pStyle w:val="ARfintabletextboldcoloured"/>
              <w:rPr>
                <w:lang w:eastAsia="en-AU"/>
              </w:rPr>
            </w:pPr>
            <w:r w:rsidRPr="00346B33">
              <w:rPr>
                <w:lang w:eastAsia="en-AU"/>
              </w:rPr>
              <w:t>(b) Physical asset revaluation surplus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tcMar>
              <w:right w:w="0" w:type="nil"/>
            </w:tcMar>
            <w:hideMark/>
          </w:tcPr>
          <w:p w14:paraId="3E683769" w14:textId="77777777" w:rsidR="006E51BF" w:rsidRPr="00346B33" w:rsidRDefault="006E51BF">
            <w:pPr>
              <w:pStyle w:val="ARfintabletextright"/>
              <w:rPr>
                <w:lang w:eastAsia="en-AU"/>
              </w:rPr>
            </w:pPr>
          </w:p>
        </w:tc>
        <w:tc>
          <w:tcPr>
            <w:tcW w:w="809" w:type="pct"/>
            <w:tcBorders>
              <w:top w:val="single" w:sz="4" w:space="0" w:color="000000" w:themeColor="text1"/>
            </w:tcBorders>
            <w:noWrap/>
            <w:tcMar>
              <w:right w:w="0" w:type="nil"/>
            </w:tcMar>
            <w:hideMark/>
          </w:tcPr>
          <w:p w14:paraId="3F228B70" w14:textId="77777777" w:rsidR="006E51BF" w:rsidRPr="00346B33"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346B33" w14:paraId="4C8DE74D" w14:textId="77777777" w:rsidTr="004A6D92">
        <w:trPr>
          <w:cnfStyle w:val="000000010000" w:firstRow="0" w:lastRow="0" w:firstColumn="0" w:lastColumn="0" w:oddVBand="0" w:evenVBand="0" w:oddHBand="0" w:evenHBand="1" w:firstRowFirstColumn="0" w:firstRowLastColumn="0" w:lastRowFirstColumn="0" w:lastRowLastColumn="0"/>
          <w:trHeight w:val="270"/>
        </w:trPr>
        <w:tc>
          <w:tcPr>
            <w:tcW w:w="3383" w:type="pct"/>
            <w:tcBorders>
              <w:bottom w:val="single" w:sz="4" w:space="0" w:color="BFBFBF" w:themeColor="accent2"/>
            </w:tcBorders>
            <w:noWrap/>
            <w:hideMark/>
          </w:tcPr>
          <w:p w14:paraId="24ABD2D3" w14:textId="77777777" w:rsidR="006E51BF" w:rsidRPr="00346B33" w:rsidRDefault="006E51BF">
            <w:pPr>
              <w:pStyle w:val="ARfintabletext"/>
              <w:rPr>
                <w:lang w:eastAsia="en-AU"/>
              </w:rPr>
            </w:pPr>
            <w:r w:rsidRPr="00346B33">
              <w:rPr>
                <w:lang w:eastAsia="en-AU"/>
              </w:rPr>
              <w:t>Balance at beginning of financial year</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6EC3C184" w14:textId="77777777" w:rsidR="006E51BF" w:rsidRPr="00346B33" w:rsidRDefault="006E51BF">
            <w:pPr>
              <w:pStyle w:val="ARfintabletextright"/>
              <w:rPr>
                <w:lang w:eastAsia="en-AU"/>
              </w:rPr>
            </w:pPr>
            <w:r w:rsidRPr="00346B33">
              <w:rPr>
                <w:lang w:eastAsia="en-AU"/>
              </w:rPr>
              <w:t>8,754.5</w:t>
            </w:r>
          </w:p>
        </w:tc>
        <w:tc>
          <w:tcPr>
            <w:tcW w:w="809" w:type="pct"/>
            <w:tcBorders>
              <w:bottom w:val="single" w:sz="4" w:space="0" w:color="BFBFBF" w:themeColor="accent2"/>
            </w:tcBorders>
            <w:noWrap/>
            <w:tcMar>
              <w:right w:w="0" w:type="nil"/>
            </w:tcMar>
            <w:hideMark/>
          </w:tcPr>
          <w:p w14:paraId="66E3CF20" w14:textId="77777777" w:rsidR="006E51BF" w:rsidRPr="00346B33"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346B33">
              <w:rPr>
                <w:lang w:eastAsia="en-AU"/>
              </w:rPr>
              <w:t>8,756.2</w:t>
            </w:r>
          </w:p>
        </w:tc>
      </w:tr>
      <w:tr w:rsidR="006E51BF" w:rsidRPr="00346B33" w14:paraId="45035BC8" w14:textId="77777777" w:rsidTr="004A6D92">
        <w:trPr>
          <w:cnfStyle w:val="000000100000" w:firstRow="0" w:lastRow="0" w:firstColumn="0" w:lastColumn="0" w:oddVBand="0" w:evenVBand="0" w:oddHBand="1" w:evenHBand="0" w:firstRowFirstColumn="0" w:firstRowLastColumn="0" w:lastRowFirstColumn="0" w:lastRowLastColumn="0"/>
          <w:trHeight w:val="280"/>
        </w:trPr>
        <w:tc>
          <w:tcPr>
            <w:tcW w:w="3383" w:type="pct"/>
            <w:tcBorders>
              <w:top w:val="single" w:sz="4" w:space="0" w:color="BFBFBF" w:themeColor="accent2"/>
              <w:bottom w:val="single" w:sz="4" w:space="0" w:color="000000" w:themeColor="text1"/>
            </w:tcBorders>
            <w:noWrap/>
          </w:tcPr>
          <w:p w14:paraId="7AEF454B" w14:textId="77777777" w:rsidR="006E51BF" w:rsidRPr="00346B33" w:rsidRDefault="006E51BF">
            <w:pPr>
              <w:pStyle w:val="ARfintabletext"/>
              <w:rPr>
                <w:lang w:eastAsia="en-AU"/>
              </w:rPr>
            </w:pPr>
            <w:r w:rsidRPr="00346B33">
              <w:rPr>
                <w:lang w:eastAsia="en-AU"/>
              </w:rPr>
              <w:t>Revaluation increments/(decrements) of land and buildings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tcPr>
          <w:p w14:paraId="484243A9" w14:textId="77777777" w:rsidR="006E51BF" w:rsidRPr="00346B33" w:rsidRDefault="006E51BF">
            <w:pPr>
              <w:pStyle w:val="ARfintabletextright"/>
              <w:rPr>
                <w:lang w:eastAsia="en-AU"/>
              </w:rPr>
            </w:pPr>
            <w:r w:rsidRPr="00346B33">
              <w:rPr>
                <w:lang w:eastAsia="en-AU"/>
              </w:rPr>
              <w:t>43.3</w:t>
            </w:r>
          </w:p>
        </w:tc>
        <w:tc>
          <w:tcPr>
            <w:tcW w:w="809" w:type="pct"/>
            <w:tcBorders>
              <w:top w:val="single" w:sz="4" w:space="0" w:color="BFBFBF" w:themeColor="accent2"/>
              <w:bottom w:val="single" w:sz="4" w:space="0" w:color="000000" w:themeColor="text1"/>
            </w:tcBorders>
            <w:noWrap/>
            <w:tcMar>
              <w:right w:w="0" w:type="nil"/>
            </w:tcMar>
          </w:tcPr>
          <w:p w14:paraId="312A7626" w14:textId="77777777" w:rsidR="006E51BF" w:rsidRPr="00346B33"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346B33">
              <w:rPr>
                <w:lang w:eastAsia="en-AU"/>
              </w:rPr>
              <w:t>(1.7)</w:t>
            </w:r>
          </w:p>
        </w:tc>
      </w:tr>
      <w:tr w:rsidR="006E51BF" w:rsidRPr="00346B33" w14:paraId="0C834E25" w14:textId="77777777" w:rsidTr="004A6D92">
        <w:trPr>
          <w:cnfStyle w:val="000000010000" w:firstRow="0" w:lastRow="0" w:firstColumn="0" w:lastColumn="0" w:oddVBand="0" w:evenVBand="0" w:oddHBand="0" w:evenHBand="1" w:firstRowFirstColumn="0" w:firstRowLastColumn="0" w:lastRowFirstColumn="0" w:lastRowLastColumn="0"/>
          <w:trHeight w:val="280"/>
        </w:trPr>
        <w:tc>
          <w:tcPr>
            <w:tcW w:w="3383" w:type="pct"/>
            <w:tcBorders>
              <w:top w:val="single" w:sz="4" w:space="0" w:color="000000" w:themeColor="text1"/>
              <w:bottom w:val="single" w:sz="4" w:space="0" w:color="000000" w:themeColor="text1"/>
            </w:tcBorders>
            <w:noWrap/>
            <w:hideMark/>
          </w:tcPr>
          <w:p w14:paraId="2CE4E88A" w14:textId="77777777" w:rsidR="006E51BF" w:rsidRPr="00346B33" w:rsidRDefault="006E51BF">
            <w:pPr>
              <w:pStyle w:val="ARfintabletextbold"/>
              <w:rPr>
                <w:lang w:eastAsia="en-AU"/>
              </w:rPr>
            </w:pPr>
            <w:r w:rsidRPr="00346B33">
              <w:rPr>
                <w:lang w:eastAsia="en-AU"/>
              </w:rPr>
              <w:t>Balance at the end of financial year</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64B9CAA6" w14:textId="77777777" w:rsidR="006E51BF" w:rsidRPr="00346B33" w:rsidRDefault="006E51BF">
            <w:pPr>
              <w:pStyle w:val="ARfintabletextboldright"/>
              <w:rPr>
                <w:lang w:eastAsia="en-AU"/>
              </w:rPr>
            </w:pPr>
            <w:r w:rsidRPr="00346B33">
              <w:rPr>
                <w:lang w:eastAsia="en-AU"/>
              </w:rPr>
              <w:t>8,797.8</w:t>
            </w:r>
          </w:p>
        </w:tc>
        <w:tc>
          <w:tcPr>
            <w:tcW w:w="809" w:type="pct"/>
            <w:tcBorders>
              <w:top w:val="single" w:sz="4" w:space="0" w:color="000000" w:themeColor="text1"/>
              <w:bottom w:val="single" w:sz="4" w:space="0" w:color="000000" w:themeColor="text1"/>
            </w:tcBorders>
            <w:noWrap/>
            <w:tcMar>
              <w:right w:w="0" w:type="nil"/>
            </w:tcMar>
            <w:hideMark/>
          </w:tcPr>
          <w:p w14:paraId="46A03E50" w14:textId="77777777" w:rsidR="006E51BF" w:rsidRPr="00346B33"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346B33">
              <w:rPr>
                <w:lang w:eastAsia="en-AU"/>
              </w:rPr>
              <w:t>8,754.5</w:t>
            </w:r>
          </w:p>
        </w:tc>
      </w:tr>
      <w:tr w:rsidR="006E51BF" w:rsidRPr="00346B33" w14:paraId="508E5C98" w14:textId="77777777" w:rsidTr="004A6D92">
        <w:trPr>
          <w:cnfStyle w:val="000000100000" w:firstRow="0" w:lastRow="0" w:firstColumn="0" w:lastColumn="0" w:oddVBand="0" w:evenVBand="0" w:oddHBand="1" w:evenHBand="0" w:firstRowFirstColumn="0" w:firstRowLastColumn="0" w:lastRowFirstColumn="0" w:lastRowLastColumn="0"/>
          <w:trHeight w:val="270"/>
        </w:trPr>
        <w:tc>
          <w:tcPr>
            <w:tcW w:w="3383" w:type="pct"/>
            <w:tcBorders>
              <w:top w:val="single" w:sz="4" w:space="0" w:color="000000" w:themeColor="text1"/>
            </w:tcBorders>
            <w:noWrap/>
            <w:hideMark/>
          </w:tcPr>
          <w:p w14:paraId="24599512" w14:textId="77777777" w:rsidR="006E51BF" w:rsidRPr="00346B33" w:rsidRDefault="006E51BF">
            <w:pPr>
              <w:pStyle w:val="ARfintabletextbold"/>
              <w:rPr>
                <w:lang w:eastAsia="en-AU"/>
              </w:rPr>
            </w:pPr>
            <w:r w:rsidRPr="00346B33">
              <w:rPr>
                <w:lang w:eastAsia="en-AU"/>
              </w:rPr>
              <w:t>Physical asset revaluation surplus represented by:</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tcMar>
              <w:right w:w="0" w:type="nil"/>
            </w:tcMar>
            <w:hideMark/>
          </w:tcPr>
          <w:p w14:paraId="1BB88CC9" w14:textId="77777777" w:rsidR="006E51BF" w:rsidRPr="00346B33" w:rsidRDefault="006E51BF">
            <w:pPr>
              <w:pStyle w:val="ARfintabletextright"/>
              <w:rPr>
                <w:lang w:eastAsia="en-AU"/>
              </w:rPr>
            </w:pPr>
          </w:p>
        </w:tc>
        <w:tc>
          <w:tcPr>
            <w:tcW w:w="809" w:type="pct"/>
            <w:tcBorders>
              <w:top w:val="single" w:sz="4" w:space="0" w:color="000000" w:themeColor="text1"/>
            </w:tcBorders>
            <w:noWrap/>
            <w:tcMar>
              <w:right w:w="0" w:type="nil"/>
            </w:tcMar>
            <w:hideMark/>
          </w:tcPr>
          <w:p w14:paraId="11FDCC2C" w14:textId="77777777" w:rsidR="006E51BF" w:rsidRPr="00346B33"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346B33" w14:paraId="28DD4EFF" w14:textId="77777777" w:rsidTr="004A6D92">
        <w:trPr>
          <w:cnfStyle w:val="000000010000" w:firstRow="0" w:lastRow="0" w:firstColumn="0" w:lastColumn="0" w:oddVBand="0" w:evenVBand="0" w:oddHBand="0" w:evenHBand="1" w:firstRowFirstColumn="0" w:firstRowLastColumn="0" w:lastRowFirstColumn="0" w:lastRowLastColumn="0"/>
          <w:trHeight w:val="270"/>
        </w:trPr>
        <w:tc>
          <w:tcPr>
            <w:tcW w:w="3383" w:type="pct"/>
            <w:tcBorders>
              <w:bottom w:val="single" w:sz="4" w:space="0" w:color="BFBFBF" w:themeColor="accent2"/>
            </w:tcBorders>
            <w:noWrap/>
            <w:hideMark/>
          </w:tcPr>
          <w:p w14:paraId="00831E4C" w14:textId="77777777" w:rsidR="006E51BF" w:rsidRPr="00346B33" w:rsidRDefault="006E51BF" w:rsidP="006E51BF">
            <w:pPr>
              <w:pStyle w:val="ARfintablebullet1"/>
              <w:numPr>
                <w:ilvl w:val="0"/>
                <w:numId w:val="13"/>
              </w:numPr>
              <w:ind w:left="170" w:hanging="170"/>
            </w:pPr>
            <w:r w:rsidRPr="00346B33">
              <w:t>Land</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412DEC60" w14:textId="77777777" w:rsidR="006E51BF" w:rsidRPr="00346B33" w:rsidRDefault="006E51BF">
            <w:pPr>
              <w:pStyle w:val="ARfintabletextright"/>
              <w:rPr>
                <w:lang w:eastAsia="en-AU"/>
              </w:rPr>
            </w:pPr>
            <w:r w:rsidRPr="00346B33">
              <w:rPr>
                <w:lang w:eastAsia="en-AU"/>
              </w:rPr>
              <w:t>6,072.5</w:t>
            </w:r>
          </w:p>
        </w:tc>
        <w:tc>
          <w:tcPr>
            <w:tcW w:w="809" w:type="pct"/>
            <w:tcBorders>
              <w:bottom w:val="single" w:sz="4" w:space="0" w:color="BFBFBF" w:themeColor="accent2"/>
            </w:tcBorders>
            <w:noWrap/>
            <w:tcMar>
              <w:right w:w="0" w:type="nil"/>
            </w:tcMar>
            <w:hideMark/>
          </w:tcPr>
          <w:p w14:paraId="19D20382" w14:textId="77777777" w:rsidR="006E51BF" w:rsidRPr="00346B33"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346B33">
              <w:rPr>
                <w:lang w:eastAsia="en-AU"/>
              </w:rPr>
              <w:t>6,076.9</w:t>
            </w:r>
          </w:p>
        </w:tc>
      </w:tr>
      <w:tr w:rsidR="006E51BF" w:rsidRPr="00346B33" w14:paraId="2A6DF468" w14:textId="77777777" w:rsidTr="004A6D92">
        <w:trPr>
          <w:cnfStyle w:val="000000100000" w:firstRow="0" w:lastRow="0" w:firstColumn="0" w:lastColumn="0" w:oddVBand="0" w:evenVBand="0" w:oddHBand="1" w:evenHBand="0" w:firstRowFirstColumn="0" w:firstRowLastColumn="0" w:lastRowFirstColumn="0" w:lastRowLastColumn="0"/>
          <w:trHeight w:val="270"/>
        </w:trPr>
        <w:tc>
          <w:tcPr>
            <w:tcW w:w="3383" w:type="pct"/>
            <w:tcBorders>
              <w:top w:val="single" w:sz="4" w:space="0" w:color="BFBFBF" w:themeColor="accent2"/>
              <w:bottom w:val="single" w:sz="4" w:space="0" w:color="000000" w:themeColor="text1"/>
            </w:tcBorders>
            <w:noWrap/>
            <w:hideMark/>
          </w:tcPr>
          <w:p w14:paraId="4D2C4C07" w14:textId="77777777" w:rsidR="006E51BF" w:rsidRPr="00346B33" w:rsidRDefault="006E51BF" w:rsidP="006E51BF">
            <w:pPr>
              <w:pStyle w:val="ARfintablebullet1"/>
              <w:numPr>
                <w:ilvl w:val="0"/>
                <w:numId w:val="13"/>
              </w:numPr>
              <w:ind w:left="170" w:hanging="170"/>
            </w:pPr>
            <w:r w:rsidRPr="00346B33">
              <w:t>Buildings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376D75A5" w14:textId="77777777" w:rsidR="006E51BF" w:rsidRPr="00346B33" w:rsidRDefault="006E51BF">
            <w:pPr>
              <w:pStyle w:val="ARfintabletextright"/>
              <w:rPr>
                <w:lang w:eastAsia="en-AU"/>
              </w:rPr>
            </w:pPr>
            <w:r w:rsidRPr="00346B33">
              <w:rPr>
                <w:lang w:eastAsia="en-AU"/>
              </w:rPr>
              <w:t>2,725.3</w:t>
            </w:r>
          </w:p>
        </w:tc>
        <w:tc>
          <w:tcPr>
            <w:tcW w:w="809" w:type="pct"/>
            <w:tcBorders>
              <w:top w:val="single" w:sz="4" w:space="0" w:color="BFBFBF" w:themeColor="accent2"/>
              <w:bottom w:val="single" w:sz="4" w:space="0" w:color="000000" w:themeColor="text1"/>
            </w:tcBorders>
            <w:noWrap/>
            <w:tcMar>
              <w:right w:w="0" w:type="nil"/>
            </w:tcMar>
            <w:hideMark/>
          </w:tcPr>
          <w:p w14:paraId="7D471141" w14:textId="77777777" w:rsidR="006E51BF" w:rsidRPr="00346B33"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346B33">
              <w:rPr>
                <w:lang w:eastAsia="en-AU"/>
              </w:rPr>
              <w:t>2,677.6</w:t>
            </w:r>
          </w:p>
        </w:tc>
      </w:tr>
      <w:tr w:rsidR="006E51BF" w:rsidRPr="00346B33" w14:paraId="2BE319C3" w14:textId="77777777" w:rsidTr="004A6D92">
        <w:trPr>
          <w:cnfStyle w:val="000000010000" w:firstRow="0" w:lastRow="0" w:firstColumn="0" w:lastColumn="0" w:oddVBand="0" w:evenVBand="0" w:oddHBand="0" w:evenHBand="1" w:firstRowFirstColumn="0" w:firstRowLastColumn="0" w:lastRowFirstColumn="0" w:lastRowLastColumn="0"/>
          <w:trHeight w:val="280"/>
        </w:trPr>
        <w:tc>
          <w:tcPr>
            <w:tcW w:w="3383" w:type="pct"/>
            <w:tcBorders>
              <w:top w:val="single" w:sz="4" w:space="0" w:color="000000" w:themeColor="text1"/>
              <w:bottom w:val="single" w:sz="4" w:space="0" w:color="000000" w:themeColor="text1"/>
            </w:tcBorders>
            <w:noWrap/>
            <w:hideMark/>
          </w:tcPr>
          <w:p w14:paraId="5746151E" w14:textId="77777777" w:rsidR="006E51BF" w:rsidRPr="00346B33" w:rsidRDefault="006E51BF">
            <w:pPr>
              <w:pStyle w:val="ARfintabletextbold"/>
              <w:rPr>
                <w:lang w:eastAsia="en-AU"/>
              </w:rPr>
            </w:pPr>
            <w:r w:rsidRPr="00346B33">
              <w:rPr>
                <w:lang w:eastAsia="en-AU"/>
              </w:rPr>
              <w:t>Total physical asset revaluation surplus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36A509D9" w14:textId="77777777" w:rsidR="006E51BF" w:rsidRPr="00346B33" w:rsidRDefault="006E51BF">
            <w:pPr>
              <w:pStyle w:val="ARfintabletextboldright"/>
              <w:rPr>
                <w:lang w:eastAsia="en-AU"/>
              </w:rPr>
            </w:pPr>
            <w:r w:rsidRPr="00346B33">
              <w:rPr>
                <w:lang w:eastAsia="en-AU"/>
              </w:rPr>
              <w:t>8,797.8</w:t>
            </w:r>
          </w:p>
        </w:tc>
        <w:tc>
          <w:tcPr>
            <w:tcW w:w="809" w:type="pct"/>
            <w:tcBorders>
              <w:top w:val="single" w:sz="4" w:space="0" w:color="000000" w:themeColor="text1"/>
              <w:bottom w:val="single" w:sz="4" w:space="0" w:color="000000" w:themeColor="text1"/>
            </w:tcBorders>
            <w:noWrap/>
            <w:tcMar>
              <w:right w:w="0" w:type="nil"/>
            </w:tcMar>
            <w:hideMark/>
          </w:tcPr>
          <w:p w14:paraId="74779D86" w14:textId="77777777" w:rsidR="006E51BF" w:rsidRPr="00346B33" w:rsidRDefault="006E51BF">
            <w:pPr>
              <w:pStyle w:val="ARfintabletextboldright"/>
              <w:cnfStyle w:val="000000010000" w:firstRow="0" w:lastRow="0" w:firstColumn="0" w:lastColumn="0" w:oddVBand="0" w:evenVBand="0" w:oddHBand="0" w:evenHBand="1" w:firstRowFirstColumn="0" w:firstRowLastColumn="0" w:lastRowFirstColumn="0" w:lastRowLastColumn="0"/>
              <w:rPr>
                <w:lang w:eastAsia="en-AU"/>
              </w:rPr>
            </w:pPr>
            <w:r w:rsidRPr="00346B33">
              <w:rPr>
                <w:lang w:eastAsia="en-AU"/>
              </w:rPr>
              <w:t>8,754.5</w:t>
            </w:r>
          </w:p>
        </w:tc>
      </w:tr>
      <w:tr w:rsidR="006E51BF" w:rsidRPr="00346B33" w14:paraId="46775CFC" w14:textId="77777777" w:rsidTr="004A6D92">
        <w:trPr>
          <w:cnfStyle w:val="000000100000" w:firstRow="0" w:lastRow="0" w:firstColumn="0" w:lastColumn="0" w:oddVBand="0" w:evenVBand="0" w:oddHBand="1" w:evenHBand="0" w:firstRowFirstColumn="0" w:firstRowLastColumn="0" w:lastRowFirstColumn="0" w:lastRowLastColumn="0"/>
          <w:trHeight w:val="270"/>
        </w:trPr>
        <w:tc>
          <w:tcPr>
            <w:tcW w:w="3383" w:type="pct"/>
            <w:tcBorders>
              <w:top w:val="single" w:sz="4" w:space="0" w:color="000000" w:themeColor="text1"/>
            </w:tcBorders>
            <w:noWrap/>
            <w:hideMark/>
          </w:tcPr>
          <w:p w14:paraId="42601FE3" w14:textId="77777777" w:rsidR="006E51BF" w:rsidRPr="00346B33" w:rsidRDefault="006E51BF">
            <w:pPr>
              <w:pStyle w:val="ARfintabletextboldcoloured"/>
              <w:rPr>
                <w:lang w:eastAsia="en-AU"/>
              </w:rPr>
            </w:pPr>
            <w:r w:rsidRPr="00346B33">
              <w:rPr>
                <w:lang w:eastAsia="en-AU"/>
              </w:rPr>
              <w:t>(c) Contributed capital</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tcMar>
              <w:right w:w="0" w:type="nil"/>
            </w:tcMar>
            <w:hideMark/>
          </w:tcPr>
          <w:p w14:paraId="7CB41D54" w14:textId="77777777" w:rsidR="006E51BF" w:rsidRPr="00346B33" w:rsidRDefault="006E51BF">
            <w:pPr>
              <w:pStyle w:val="ARfintabletextright"/>
              <w:rPr>
                <w:lang w:eastAsia="en-AU"/>
              </w:rPr>
            </w:pPr>
          </w:p>
        </w:tc>
        <w:tc>
          <w:tcPr>
            <w:tcW w:w="809" w:type="pct"/>
            <w:tcBorders>
              <w:top w:val="single" w:sz="4" w:space="0" w:color="000000" w:themeColor="text1"/>
            </w:tcBorders>
            <w:noWrap/>
            <w:tcMar>
              <w:right w:w="0" w:type="nil"/>
            </w:tcMar>
            <w:hideMark/>
          </w:tcPr>
          <w:p w14:paraId="24D625DD" w14:textId="77777777" w:rsidR="006E51BF" w:rsidRPr="00346B33"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p>
        </w:tc>
      </w:tr>
      <w:tr w:rsidR="006E51BF" w:rsidRPr="00346B33" w14:paraId="355797EB" w14:textId="77777777" w:rsidTr="004A6D92">
        <w:trPr>
          <w:cnfStyle w:val="000000010000" w:firstRow="0" w:lastRow="0" w:firstColumn="0" w:lastColumn="0" w:oddVBand="0" w:evenVBand="0" w:oddHBand="0" w:evenHBand="1" w:firstRowFirstColumn="0" w:firstRowLastColumn="0" w:lastRowFirstColumn="0" w:lastRowLastColumn="0"/>
          <w:trHeight w:val="270"/>
        </w:trPr>
        <w:tc>
          <w:tcPr>
            <w:tcW w:w="3383" w:type="pct"/>
            <w:noWrap/>
            <w:hideMark/>
          </w:tcPr>
          <w:p w14:paraId="6C37173F" w14:textId="77777777" w:rsidR="006E51BF" w:rsidRPr="00346B33" w:rsidRDefault="006E51BF">
            <w:pPr>
              <w:pStyle w:val="ARfintabletext"/>
              <w:rPr>
                <w:lang w:eastAsia="en-AU"/>
              </w:rPr>
            </w:pPr>
            <w:r w:rsidRPr="00346B33">
              <w:rPr>
                <w:lang w:eastAsia="en-AU"/>
              </w:rPr>
              <w:t>Balance at beginning of financial year</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1883B4B7" w14:textId="77777777" w:rsidR="006E51BF" w:rsidRPr="00346B33" w:rsidRDefault="006E51BF">
            <w:pPr>
              <w:pStyle w:val="ARfintabletextright"/>
              <w:rPr>
                <w:lang w:eastAsia="en-AU"/>
              </w:rPr>
            </w:pPr>
            <w:r w:rsidRPr="00346B33">
              <w:rPr>
                <w:lang w:eastAsia="en-AU"/>
              </w:rPr>
              <w:t>31,318.1</w:t>
            </w:r>
          </w:p>
        </w:tc>
        <w:tc>
          <w:tcPr>
            <w:tcW w:w="809" w:type="pct"/>
            <w:noWrap/>
            <w:tcMar>
              <w:right w:w="0" w:type="nil"/>
            </w:tcMar>
            <w:hideMark/>
          </w:tcPr>
          <w:p w14:paraId="0FB88875" w14:textId="77777777" w:rsidR="006E51BF" w:rsidRPr="00346B33"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346B33">
              <w:rPr>
                <w:lang w:eastAsia="en-AU"/>
              </w:rPr>
              <w:t>30,261.5</w:t>
            </w:r>
          </w:p>
        </w:tc>
      </w:tr>
      <w:tr w:rsidR="006E51BF" w:rsidRPr="00346B33" w14:paraId="4993B935" w14:textId="77777777" w:rsidTr="004A6D92">
        <w:trPr>
          <w:cnfStyle w:val="000000100000" w:firstRow="0" w:lastRow="0" w:firstColumn="0" w:lastColumn="0" w:oddVBand="0" w:evenVBand="0" w:oddHBand="1" w:evenHBand="0" w:firstRowFirstColumn="0" w:firstRowLastColumn="0" w:lastRowFirstColumn="0" w:lastRowLastColumn="0"/>
          <w:trHeight w:val="270"/>
        </w:trPr>
        <w:tc>
          <w:tcPr>
            <w:tcW w:w="3383" w:type="pct"/>
            <w:tcBorders>
              <w:bottom w:val="single" w:sz="4" w:space="0" w:color="BFBFBF" w:themeColor="accent2"/>
            </w:tcBorders>
            <w:noWrap/>
            <w:hideMark/>
          </w:tcPr>
          <w:p w14:paraId="7C6BDAAC" w14:textId="77777777" w:rsidR="006E51BF" w:rsidRPr="00346B33" w:rsidRDefault="006E51BF">
            <w:pPr>
              <w:pStyle w:val="ARfintabletext"/>
              <w:rPr>
                <w:lang w:eastAsia="en-AU"/>
              </w:rPr>
            </w:pPr>
            <w:r w:rsidRPr="00346B33">
              <w:rPr>
                <w:lang w:eastAsia="en-AU"/>
              </w:rPr>
              <w:t>Asset transfer via capital contribution</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tcMar>
              <w:right w:w="0" w:type="nil"/>
            </w:tcMar>
            <w:hideMark/>
          </w:tcPr>
          <w:p w14:paraId="50B1038D" w14:textId="77777777" w:rsidR="006E51BF" w:rsidRPr="00346B33" w:rsidRDefault="006E51BF">
            <w:pPr>
              <w:pStyle w:val="ARfintabletextright"/>
              <w:rPr>
                <w:lang w:eastAsia="en-AU"/>
              </w:rPr>
            </w:pPr>
            <w:r>
              <w:rPr>
                <w:lang w:eastAsia="en-AU"/>
              </w:rPr>
              <w:t>–</w:t>
            </w:r>
          </w:p>
        </w:tc>
        <w:tc>
          <w:tcPr>
            <w:tcW w:w="809" w:type="pct"/>
            <w:tcBorders>
              <w:bottom w:val="single" w:sz="4" w:space="0" w:color="BFBFBF" w:themeColor="accent2"/>
            </w:tcBorders>
            <w:noWrap/>
            <w:tcMar>
              <w:right w:w="0" w:type="nil"/>
            </w:tcMar>
            <w:hideMark/>
          </w:tcPr>
          <w:p w14:paraId="31E216DC" w14:textId="77777777" w:rsidR="006E51BF" w:rsidRPr="00346B33"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346B33">
              <w:rPr>
                <w:lang w:eastAsia="en-AU"/>
              </w:rPr>
              <w:t>(6.8)</w:t>
            </w:r>
          </w:p>
        </w:tc>
      </w:tr>
      <w:tr w:rsidR="006E51BF" w:rsidRPr="00346B33" w14:paraId="015B27D5" w14:textId="77777777" w:rsidTr="004A6D92">
        <w:trPr>
          <w:cnfStyle w:val="000000010000" w:firstRow="0" w:lastRow="0" w:firstColumn="0" w:lastColumn="0" w:oddVBand="0" w:evenVBand="0" w:oddHBand="0" w:evenHBand="1" w:firstRowFirstColumn="0" w:firstRowLastColumn="0" w:lastRowFirstColumn="0" w:lastRowLastColumn="0"/>
          <w:trHeight w:val="270"/>
        </w:trPr>
        <w:tc>
          <w:tcPr>
            <w:tcW w:w="3383" w:type="pct"/>
            <w:tcBorders>
              <w:top w:val="single" w:sz="4" w:space="0" w:color="BFBFBF" w:themeColor="accent2"/>
              <w:bottom w:val="single" w:sz="4" w:space="0" w:color="000000" w:themeColor="text1"/>
            </w:tcBorders>
            <w:noWrap/>
            <w:hideMark/>
          </w:tcPr>
          <w:p w14:paraId="43350470" w14:textId="77777777" w:rsidR="006E51BF" w:rsidRPr="00346B33" w:rsidRDefault="006E51BF">
            <w:pPr>
              <w:pStyle w:val="ARfintabletext"/>
              <w:rPr>
                <w:lang w:eastAsia="en-AU"/>
              </w:rPr>
            </w:pPr>
            <w:r w:rsidRPr="00346B33">
              <w:rPr>
                <w:lang w:eastAsia="en-AU"/>
              </w:rPr>
              <w:t>Capital contributions by Victorian State Government</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tcMar>
              <w:right w:w="0" w:type="nil"/>
            </w:tcMar>
            <w:hideMark/>
          </w:tcPr>
          <w:p w14:paraId="63F822E3" w14:textId="77777777" w:rsidR="006E51BF" w:rsidRPr="00346B33" w:rsidRDefault="006E51BF">
            <w:pPr>
              <w:pStyle w:val="ARfintabletextright"/>
              <w:rPr>
                <w:lang w:eastAsia="en-AU"/>
              </w:rPr>
            </w:pPr>
            <w:r w:rsidRPr="00346B33">
              <w:rPr>
                <w:lang w:eastAsia="en-AU"/>
              </w:rPr>
              <w:t>661.6</w:t>
            </w:r>
          </w:p>
        </w:tc>
        <w:tc>
          <w:tcPr>
            <w:tcW w:w="809" w:type="pct"/>
            <w:tcBorders>
              <w:top w:val="single" w:sz="4" w:space="0" w:color="BFBFBF" w:themeColor="accent2"/>
              <w:bottom w:val="single" w:sz="4" w:space="0" w:color="000000" w:themeColor="text1"/>
            </w:tcBorders>
            <w:noWrap/>
            <w:tcMar>
              <w:right w:w="0" w:type="nil"/>
            </w:tcMar>
            <w:hideMark/>
          </w:tcPr>
          <w:p w14:paraId="415F5560" w14:textId="77777777" w:rsidR="006E51BF" w:rsidRPr="00346B33"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346B33">
              <w:rPr>
                <w:lang w:eastAsia="en-AU"/>
              </w:rPr>
              <w:t>1,063.4</w:t>
            </w:r>
          </w:p>
        </w:tc>
      </w:tr>
      <w:tr w:rsidR="006E51BF" w:rsidRPr="00346B33" w14:paraId="1F970111" w14:textId="77777777" w:rsidTr="004A6D92">
        <w:trPr>
          <w:cnfStyle w:val="000000100000" w:firstRow="0" w:lastRow="0" w:firstColumn="0" w:lastColumn="0" w:oddVBand="0" w:evenVBand="0" w:oddHBand="1" w:evenHBand="0" w:firstRowFirstColumn="0" w:firstRowLastColumn="0" w:lastRowFirstColumn="0" w:lastRowLastColumn="0"/>
          <w:trHeight w:val="280"/>
        </w:trPr>
        <w:tc>
          <w:tcPr>
            <w:tcW w:w="3383" w:type="pct"/>
            <w:tcBorders>
              <w:top w:val="single" w:sz="4" w:space="0" w:color="000000" w:themeColor="text1"/>
              <w:bottom w:val="single" w:sz="4" w:space="0" w:color="000000" w:themeColor="text1"/>
            </w:tcBorders>
            <w:noWrap/>
            <w:hideMark/>
          </w:tcPr>
          <w:p w14:paraId="2113D5B2" w14:textId="77777777" w:rsidR="006E51BF" w:rsidRPr="00346B33" w:rsidRDefault="006E51BF">
            <w:pPr>
              <w:pStyle w:val="ARfintabletextbold"/>
              <w:rPr>
                <w:lang w:eastAsia="en-AU"/>
              </w:rPr>
            </w:pPr>
            <w:r w:rsidRPr="00346B33">
              <w:rPr>
                <w:lang w:eastAsia="en-AU"/>
              </w:rPr>
              <w:t>Balance at the end of financial year</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tcMar>
              <w:right w:w="0" w:type="nil"/>
            </w:tcMar>
            <w:hideMark/>
          </w:tcPr>
          <w:p w14:paraId="10F9D3CD" w14:textId="77777777" w:rsidR="006E51BF" w:rsidRPr="00346B33" w:rsidRDefault="006E51BF">
            <w:pPr>
              <w:pStyle w:val="ARfintabletextboldright"/>
              <w:rPr>
                <w:lang w:eastAsia="en-AU"/>
              </w:rPr>
            </w:pPr>
            <w:r w:rsidRPr="00346B33">
              <w:rPr>
                <w:lang w:eastAsia="en-AU"/>
              </w:rPr>
              <w:t>31,979.7</w:t>
            </w:r>
          </w:p>
        </w:tc>
        <w:tc>
          <w:tcPr>
            <w:tcW w:w="809" w:type="pct"/>
            <w:tcBorders>
              <w:top w:val="single" w:sz="4" w:space="0" w:color="000000" w:themeColor="text1"/>
              <w:bottom w:val="single" w:sz="4" w:space="0" w:color="000000" w:themeColor="text1"/>
            </w:tcBorders>
            <w:noWrap/>
            <w:tcMar>
              <w:right w:w="0" w:type="nil"/>
            </w:tcMar>
            <w:hideMark/>
          </w:tcPr>
          <w:p w14:paraId="5B3F1F0C" w14:textId="77777777" w:rsidR="006E51BF" w:rsidRPr="00346B33"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346B33">
              <w:rPr>
                <w:lang w:eastAsia="en-AU"/>
              </w:rPr>
              <w:t>31,318.1</w:t>
            </w:r>
          </w:p>
        </w:tc>
      </w:tr>
      <w:tr w:rsidR="006E51BF" w:rsidRPr="00346B33" w14:paraId="27B4E121" w14:textId="77777777" w:rsidTr="004A6D92">
        <w:trPr>
          <w:cnfStyle w:val="010000000000" w:firstRow="0" w:lastRow="1" w:firstColumn="0" w:lastColumn="0" w:oddVBand="0" w:evenVBand="0" w:oddHBand="0" w:evenHBand="0" w:firstRowFirstColumn="0" w:firstRowLastColumn="0" w:lastRowFirstColumn="0" w:lastRowLastColumn="0"/>
          <w:trHeight w:val="280"/>
        </w:trPr>
        <w:tc>
          <w:tcPr>
            <w:tcW w:w="3383" w:type="pct"/>
            <w:noWrap/>
            <w:hideMark/>
          </w:tcPr>
          <w:p w14:paraId="7F10A1F8" w14:textId="77777777" w:rsidR="006E51BF" w:rsidRPr="00346B33" w:rsidRDefault="006E51BF">
            <w:pPr>
              <w:pStyle w:val="ARfintabletextbold"/>
              <w:rPr>
                <w:lang w:eastAsia="en-AU"/>
              </w:rPr>
            </w:pPr>
            <w:r w:rsidRPr="00346B33">
              <w:rPr>
                <w:lang w:eastAsia="en-AU"/>
              </w:rPr>
              <w:t>Total equity</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3C229B29" w14:textId="77777777" w:rsidR="006E51BF" w:rsidRPr="00346B33" w:rsidRDefault="006E51BF">
            <w:pPr>
              <w:pStyle w:val="ARfintabletextboldright"/>
              <w:rPr>
                <w:lang w:eastAsia="en-AU"/>
              </w:rPr>
            </w:pPr>
            <w:r w:rsidRPr="00346B33">
              <w:rPr>
                <w:lang w:eastAsia="en-AU"/>
              </w:rPr>
              <w:t>39,392.0</w:t>
            </w:r>
          </w:p>
        </w:tc>
        <w:tc>
          <w:tcPr>
            <w:tcW w:w="809" w:type="pct"/>
            <w:noWrap/>
            <w:tcMar>
              <w:right w:w="0" w:type="nil"/>
            </w:tcMar>
            <w:hideMark/>
          </w:tcPr>
          <w:p w14:paraId="16A7354F" w14:textId="77777777" w:rsidR="006E51BF" w:rsidRPr="00346B33"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346B33">
              <w:rPr>
                <w:lang w:eastAsia="en-AU"/>
              </w:rPr>
              <w:t>39,093.8</w:t>
            </w:r>
          </w:p>
        </w:tc>
      </w:tr>
    </w:tbl>
    <w:p w14:paraId="612D8920" w14:textId="77777777" w:rsidR="006E51BF" w:rsidRPr="00346B33" w:rsidRDefault="006E51BF">
      <w:pPr>
        <w:pStyle w:val="ARfintablenote"/>
        <w:rPr>
          <w:lang w:eastAsia="en-AU"/>
        </w:rPr>
      </w:pPr>
      <w:r w:rsidRPr="00346B33">
        <w:rPr>
          <w:lang w:eastAsia="en-AU"/>
        </w:rPr>
        <w:t>Notes:</w:t>
      </w:r>
    </w:p>
    <w:p w14:paraId="2AF27E2C" w14:textId="77777777" w:rsidR="006E51BF" w:rsidRPr="00346B33" w:rsidRDefault="006E51BF" w:rsidP="006E51BF">
      <w:pPr>
        <w:pStyle w:val="ARfintablenoteroman"/>
        <w:numPr>
          <w:ilvl w:val="0"/>
          <w:numId w:val="82"/>
        </w:numPr>
      </w:pPr>
      <w:r w:rsidRPr="00346B33">
        <w:t>Homes Victoria received a favourable Private Binding Ruling during 2025</w:t>
      </w:r>
      <w:r>
        <w:t>–</w:t>
      </w:r>
      <w:r w:rsidRPr="00346B33">
        <w:t xml:space="preserve">26 confirming the Australian Tax Office accepts that the supplies of accommodation to tenants with a disability should be GST-free under the </w:t>
      </w:r>
      <w:r w:rsidRPr="00105DB4">
        <w:rPr>
          <w:rStyle w:val="Emphasis"/>
        </w:rPr>
        <w:t>A New Tax System (Goods and Services Tax) Act 1999</w:t>
      </w:r>
      <w:r w:rsidRPr="00346B33">
        <w:t xml:space="preserve">. Accordingly, Homes Victoria is entitled to claim back the GST paid on eligible costs relating to those GST-free supplies as an input tax credit. Retrospective claims on both operating and capital expenses can be made in arrears. As a result, an adjustment was made to the opening balance of the accumulated surplus/(deficit) </w:t>
      </w:r>
      <w:r>
        <w:t xml:space="preserve">and physical asset revaluation </w:t>
      </w:r>
      <w:r w:rsidRPr="00346B33">
        <w:t>for 2025</w:t>
      </w:r>
      <w:r>
        <w:t>–</w:t>
      </w:r>
      <w:r w:rsidRPr="00346B33">
        <w:t>26 to reflect GST recovered on expense accounts for prior years.</w:t>
      </w:r>
    </w:p>
    <w:p w14:paraId="33DF26E4" w14:textId="77777777" w:rsidR="006E51BF" w:rsidRPr="00346B33" w:rsidRDefault="006E51BF">
      <w:pPr>
        <w:pStyle w:val="Heading4"/>
        <w:rPr>
          <w:rFonts w:ascii="Times New Roman" w:hAnsi="Times New Roman"/>
          <w:sz w:val="20"/>
          <w:lang w:eastAsia="en-AU"/>
        </w:rPr>
      </w:pPr>
      <w:r w:rsidRPr="00346B33">
        <w:rPr>
          <w:lang w:eastAsia="en-AU"/>
        </w:rPr>
        <w:t xml:space="preserve">9.4 </w:t>
      </w:r>
      <w:r>
        <w:rPr>
          <w:lang w:eastAsia="en-AU"/>
        </w:rPr>
        <w:tab/>
      </w:r>
      <w:r w:rsidRPr="00346B33">
        <w:rPr>
          <w:lang w:eastAsia="en-AU"/>
        </w:rPr>
        <w:t>Changes in accounting policy</w:t>
      </w:r>
    </w:p>
    <w:p w14:paraId="12E3C88E" w14:textId="77777777" w:rsidR="006E51BF" w:rsidRDefault="006E51BF">
      <w:pPr>
        <w:pStyle w:val="Heading5"/>
        <w:rPr>
          <w:lang w:eastAsia="en-AU"/>
        </w:rPr>
      </w:pPr>
      <w:r w:rsidRPr="00346B33">
        <w:rPr>
          <w:lang w:eastAsia="en-AU"/>
        </w:rPr>
        <w:t>Right-of-use assets</w:t>
      </w:r>
    </w:p>
    <w:p w14:paraId="4791AD40" w14:textId="77777777" w:rsidR="006E51BF" w:rsidRPr="00E37DFC" w:rsidRDefault="006E51BF">
      <w:pPr>
        <w:pStyle w:val="ARfinbody"/>
      </w:pPr>
      <w:r w:rsidRPr="00346B33">
        <w:rPr>
          <w:lang w:eastAsia="en-AU"/>
        </w:rPr>
        <w:t xml:space="preserve">The department has made a change in accounting policy to change the measurement basis from the revaluation model </w:t>
      </w:r>
      <w:r w:rsidRPr="00E37DFC">
        <w:t>to the cost model for the subsequent measurement of right-of-use assets arising from market leases, in accordance with the updated requirements under FRD 104.</w:t>
      </w:r>
    </w:p>
    <w:p w14:paraId="3AB05CE6" w14:textId="77777777" w:rsidR="006E51BF" w:rsidRPr="00E37DFC" w:rsidRDefault="006E51BF">
      <w:pPr>
        <w:pStyle w:val="ARfinbody"/>
      </w:pPr>
      <w:r w:rsidRPr="00E37DFC">
        <w:t>Previously, the department had measured all right-of-use assets arising from market leases using the revaluation model under AASB 13. Following the change in accounting policy, the Department will measure all right-of-use assets using the cost model. Right-of-use assets measured using the cost model are held at cost less accumulated depreciation and impairment and any adjustments for remeasurement of lease liability. Periodic revaluations are not required; however, the cost model requires annual impairment assessments in accordance with AASB 136.</w:t>
      </w:r>
    </w:p>
    <w:p w14:paraId="1AE8A592" w14:textId="77777777" w:rsidR="006E51BF" w:rsidRDefault="006E51BF">
      <w:pPr>
        <w:pStyle w:val="ARfinbody"/>
        <w:rPr>
          <w:lang w:eastAsia="en-AU"/>
        </w:rPr>
      </w:pPr>
      <w:r w:rsidRPr="00E37DFC">
        <w:t>Upon the adoption of the cost model, the department has applied a modified retrospective approach. The approach takes the right-of-use</w:t>
      </w:r>
      <w:r w:rsidRPr="00346B33">
        <w:rPr>
          <w:lang w:eastAsia="en-AU"/>
        </w:rPr>
        <w:t xml:space="preserve"> asset’s carrying amounts recorded under the revaluation model as </w:t>
      </w:r>
      <w:proofErr w:type="gramStart"/>
      <w:r w:rsidRPr="00346B33">
        <w:rPr>
          <w:lang w:eastAsia="en-AU"/>
        </w:rPr>
        <w:t>at</w:t>
      </w:r>
      <w:proofErr w:type="gramEnd"/>
      <w:r w:rsidRPr="00346B33">
        <w:rPr>
          <w:lang w:eastAsia="en-AU"/>
        </w:rPr>
        <w:t xml:space="preserve"> 30 June 2025 as the right-of-use asset’s opening balances on application of the cost model. </w:t>
      </w:r>
    </w:p>
    <w:p w14:paraId="6A24867D" w14:textId="77777777" w:rsidR="006E51BF" w:rsidRPr="00346B33" w:rsidRDefault="006E51BF">
      <w:pPr>
        <w:pStyle w:val="ARfinbody"/>
        <w:rPr>
          <w:lang w:eastAsia="en-AU"/>
        </w:rPr>
      </w:pPr>
      <w:r w:rsidRPr="00346B33">
        <w:rPr>
          <w:lang w:eastAsia="en-AU"/>
        </w:rPr>
        <w:t>Accordingly, the comparative information presented is not restated and is reported at the previously determined fair</w:t>
      </w:r>
      <w:r>
        <w:rPr>
          <w:lang w:eastAsia="en-AU"/>
        </w:rPr>
        <w:t> </w:t>
      </w:r>
      <w:r w:rsidRPr="00346B33">
        <w:rPr>
          <w:lang w:eastAsia="en-AU"/>
        </w:rPr>
        <w:t>value.</w:t>
      </w:r>
    </w:p>
    <w:p w14:paraId="164848F2" w14:textId="77777777" w:rsidR="006E51BF" w:rsidRDefault="006E51BF">
      <w:pPr>
        <w:pStyle w:val="Heading5"/>
        <w:rPr>
          <w:lang w:eastAsia="en-AU"/>
        </w:rPr>
      </w:pPr>
      <w:r w:rsidRPr="00346B33">
        <w:rPr>
          <w:lang w:eastAsia="en-AU"/>
        </w:rPr>
        <w:t>Right-of-use assets arising from significantly below-market leases</w:t>
      </w:r>
    </w:p>
    <w:p w14:paraId="6E233617" w14:textId="77777777" w:rsidR="006E51BF" w:rsidRDefault="006E51BF">
      <w:pPr>
        <w:pStyle w:val="ARfinbody"/>
        <w:rPr>
          <w:lang w:eastAsia="en-AU"/>
        </w:rPr>
      </w:pPr>
      <w:r w:rsidRPr="00346B33">
        <w:rPr>
          <w:lang w:eastAsia="en-AU"/>
        </w:rPr>
        <w:t xml:space="preserve">The department is not required to make any adjustments to right-of-use assets arising from significantly below-market leases, </w:t>
      </w:r>
      <w:r w:rsidRPr="00E37DFC">
        <w:t>including</w:t>
      </w:r>
      <w:r w:rsidRPr="00346B33">
        <w:rPr>
          <w:lang w:eastAsia="en-AU"/>
        </w:rPr>
        <w:t xml:space="preserve"> peppercorn leases, as the department already measures these right-of-use assets using the cost model in accordance with AASB 16 and FRD 104, and are thus not impacted as a result of this accounting policy change.</w:t>
      </w:r>
    </w:p>
    <w:p w14:paraId="57DF09D0" w14:textId="77777777" w:rsidR="006E51BF" w:rsidRDefault="006E51BF">
      <w:pPr>
        <w:pStyle w:val="Heading5"/>
        <w:rPr>
          <w:lang w:eastAsia="en-AU"/>
        </w:rPr>
      </w:pPr>
      <w:r w:rsidRPr="00346B33">
        <w:rPr>
          <w:lang w:eastAsia="en-AU"/>
        </w:rPr>
        <w:t>Impacts on financial statements</w:t>
      </w:r>
    </w:p>
    <w:p w14:paraId="22885B56" w14:textId="77777777" w:rsidR="006E51BF" w:rsidRDefault="006E51BF">
      <w:pPr>
        <w:pStyle w:val="ARfinbody"/>
        <w:rPr>
          <w:lang w:eastAsia="en-AU"/>
        </w:rPr>
      </w:pPr>
      <w:r w:rsidRPr="00346B33">
        <w:rPr>
          <w:lang w:eastAsia="en-AU"/>
        </w:rPr>
        <w:t xml:space="preserve">On transition to the cost model, there was no impact on the department’s financial statements. No impairment was </w:t>
      </w:r>
      <w:r w:rsidRPr="00E37DFC">
        <w:t>identified</w:t>
      </w:r>
      <w:r w:rsidRPr="00346B33">
        <w:rPr>
          <w:lang w:eastAsia="en-AU"/>
        </w:rPr>
        <w:t xml:space="preserve"> by the Department for the right-of-use asset held as </w:t>
      </w:r>
      <w:proofErr w:type="gramStart"/>
      <w:r w:rsidRPr="00346B33">
        <w:rPr>
          <w:lang w:eastAsia="en-AU"/>
        </w:rPr>
        <w:t>at</w:t>
      </w:r>
      <w:proofErr w:type="gramEnd"/>
      <w:r w:rsidRPr="00346B33">
        <w:rPr>
          <w:lang w:eastAsia="en-AU"/>
        </w:rPr>
        <w:t xml:space="preserve"> 30 June 2026</w:t>
      </w:r>
      <w:r>
        <w:rPr>
          <w:lang w:eastAsia="en-AU"/>
        </w:rPr>
        <w:t>.</w:t>
      </w:r>
    </w:p>
    <w:p w14:paraId="6424C5DC" w14:textId="77777777" w:rsidR="006E51BF" w:rsidRPr="00E37DFC" w:rsidRDefault="006E51BF">
      <w:pPr>
        <w:pStyle w:val="Heading4"/>
        <w:ind w:left="567" w:hanging="567"/>
      </w:pPr>
      <w:r w:rsidRPr="00D81DA6">
        <w:rPr>
          <w:lang w:eastAsia="en-AU"/>
        </w:rPr>
        <w:t xml:space="preserve">9.5 </w:t>
      </w:r>
      <w:r>
        <w:rPr>
          <w:lang w:eastAsia="en-AU"/>
        </w:rPr>
        <w:tab/>
      </w:r>
      <w:r w:rsidRPr="00D81DA6">
        <w:rPr>
          <w:lang w:eastAsia="en-AU"/>
        </w:rPr>
        <w:t xml:space="preserve">Entities </w:t>
      </w:r>
      <w:r w:rsidRPr="00E37DFC">
        <w:t>included in the Department of Families, Fairness and Housing financial statements pursuant to section 53(1)(b) of the FMA</w:t>
      </w:r>
    </w:p>
    <w:p w14:paraId="71C77E08" w14:textId="77777777" w:rsidR="006E51BF" w:rsidRPr="00105DB4" w:rsidRDefault="006E51BF">
      <w:pPr>
        <w:pStyle w:val="ARfinbody"/>
        <w:rPr>
          <w:rStyle w:val="Emphasis"/>
          <w:lang w:eastAsia="en-AU"/>
        </w:rPr>
      </w:pPr>
      <w:r w:rsidRPr="00E37DFC">
        <w:t>The financial information</w:t>
      </w:r>
      <w:r w:rsidRPr="00D81DA6">
        <w:rPr>
          <w:lang w:eastAsia="en-AU"/>
        </w:rPr>
        <w:t xml:space="preserve"> of the following entities has been included into the department’s 2025</w:t>
      </w:r>
      <w:r>
        <w:rPr>
          <w:lang w:eastAsia="en-AU"/>
        </w:rPr>
        <w:t>–</w:t>
      </w:r>
      <w:r w:rsidRPr="00D81DA6">
        <w:rPr>
          <w:lang w:eastAsia="en-AU"/>
        </w:rPr>
        <w:t xml:space="preserve">26 financial statements pursuant to a determination made by the Minister for Finance under s. 53(1)(b) of the </w:t>
      </w:r>
      <w:r w:rsidRPr="00105DB4">
        <w:rPr>
          <w:rStyle w:val="Emphasis"/>
          <w:lang w:eastAsia="en-AU"/>
        </w:rPr>
        <w:t>Financial Management Act 1994:</w:t>
      </w:r>
    </w:p>
    <w:p w14:paraId="0D3AF571" w14:textId="77777777" w:rsidR="006E51BF" w:rsidRDefault="006E51BF" w:rsidP="006E51BF">
      <w:pPr>
        <w:pStyle w:val="ARfinbullet1"/>
        <w:numPr>
          <w:ilvl w:val="0"/>
          <w:numId w:val="13"/>
        </w:numPr>
        <w:ind w:left="284" w:hanging="284"/>
      </w:pPr>
      <w:r w:rsidRPr="00D81DA6">
        <w:t>Homes Victoria (from 1 February 2021)</w:t>
      </w:r>
    </w:p>
    <w:p w14:paraId="29E69F55" w14:textId="77777777" w:rsidR="006E51BF" w:rsidRDefault="006E51BF" w:rsidP="006E51BF">
      <w:pPr>
        <w:pStyle w:val="ARfinbullet1"/>
        <w:numPr>
          <w:ilvl w:val="0"/>
          <w:numId w:val="13"/>
        </w:numPr>
        <w:ind w:left="284" w:hanging="284"/>
      </w:pPr>
      <w:r w:rsidRPr="00D81DA6">
        <w:t>Commission for Children and Young People (from 1 July 2015)</w:t>
      </w:r>
    </w:p>
    <w:p w14:paraId="0F7B4AF6" w14:textId="77777777" w:rsidR="006E51BF" w:rsidRDefault="006E51BF" w:rsidP="006E51BF">
      <w:pPr>
        <w:pStyle w:val="ARfinbullet1"/>
        <w:numPr>
          <w:ilvl w:val="0"/>
          <w:numId w:val="13"/>
        </w:numPr>
        <w:ind w:left="284" w:hanging="284"/>
      </w:pPr>
      <w:r w:rsidRPr="00D81DA6">
        <w:t>Disability Worker Registration Board (from 1 June 2020)</w:t>
      </w:r>
    </w:p>
    <w:p w14:paraId="07F772FF" w14:textId="77777777" w:rsidR="006E51BF" w:rsidRDefault="006E51BF" w:rsidP="006E51BF">
      <w:pPr>
        <w:pStyle w:val="ARfinbullet1"/>
        <w:numPr>
          <w:ilvl w:val="0"/>
          <w:numId w:val="13"/>
        </w:numPr>
        <w:ind w:left="284" w:hanging="284"/>
      </w:pPr>
      <w:r w:rsidRPr="00D81DA6">
        <w:t>Victorian Disability Worker Commission (from 1 June 2020)</w:t>
      </w:r>
    </w:p>
    <w:p w14:paraId="3B0359E2" w14:textId="77777777" w:rsidR="006E51BF" w:rsidRDefault="006E51BF" w:rsidP="006E51BF">
      <w:pPr>
        <w:pStyle w:val="ARfinbullet1"/>
        <w:numPr>
          <w:ilvl w:val="0"/>
          <w:numId w:val="13"/>
        </w:numPr>
        <w:ind w:left="284" w:hanging="284"/>
      </w:pPr>
      <w:r w:rsidRPr="00D81DA6">
        <w:t>Respect Victoria (from 1 February 2021)</w:t>
      </w:r>
    </w:p>
    <w:p w14:paraId="0A9C0441" w14:textId="77777777" w:rsidR="006E51BF" w:rsidRDefault="006E51BF" w:rsidP="006E51BF">
      <w:pPr>
        <w:pStyle w:val="ARfinbullet1"/>
        <w:numPr>
          <w:ilvl w:val="0"/>
          <w:numId w:val="13"/>
        </w:numPr>
        <w:ind w:left="284" w:hanging="284"/>
      </w:pPr>
      <w:r w:rsidRPr="00D81DA6">
        <w:t>Victorian Veterans Council (from 1 February 2021)</w:t>
      </w:r>
    </w:p>
    <w:p w14:paraId="1E5BDA3A" w14:textId="77777777" w:rsidR="006E51BF" w:rsidRPr="00D81DA6" w:rsidRDefault="006E51BF" w:rsidP="006E51BF">
      <w:pPr>
        <w:pStyle w:val="ARfinbullet1"/>
        <w:numPr>
          <w:ilvl w:val="0"/>
          <w:numId w:val="13"/>
        </w:numPr>
        <w:ind w:left="284" w:hanging="284"/>
      </w:pPr>
      <w:r w:rsidRPr="00D81DA6">
        <w:t>Social Services Regulator (from 1 July 2024)</w:t>
      </w:r>
    </w:p>
    <w:p w14:paraId="44CFA7C8" w14:textId="77777777" w:rsidR="006E51BF" w:rsidRPr="00D81DA6" w:rsidRDefault="006E51BF">
      <w:pPr>
        <w:pStyle w:val="ARfinbody"/>
        <w:rPr>
          <w:lang w:eastAsia="en-AU"/>
        </w:rPr>
      </w:pPr>
      <w:r w:rsidRPr="00D81DA6">
        <w:rPr>
          <w:lang w:eastAsia="en-AU"/>
        </w:rPr>
        <w:t xml:space="preserve">The financial effects of each of those entities, except Homes Victoria, were trivial to the financial statements, both individually and in aggregate. Therefore, those entities are </w:t>
      </w:r>
      <w:r w:rsidRPr="0041400D">
        <w:t>reported</w:t>
      </w:r>
      <w:r w:rsidRPr="00D81DA6">
        <w:rPr>
          <w:lang w:eastAsia="en-AU"/>
        </w:rPr>
        <w:t xml:space="preserve"> in aggregate, together with the </w:t>
      </w:r>
      <w:r w:rsidRPr="00E37DFC">
        <w:t>Department</w:t>
      </w:r>
      <w:r w:rsidRPr="00D81DA6">
        <w:rPr>
          <w:lang w:eastAsia="en-AU"/>
        </w:rPr>
        <w:t xml:space="preserve"> of Families, Fairness and Housing in the table below.</w:t>
      </w:r>
    </w:p>
    <w:p w14:paraId="6D646CC9" w14:textId="77777777" w:rsidR="006E51BF" w:rsidRDefault="006E51BF">
      <w:pPr>
        <w:spacing w:after="0" w:line="240" w:lineRule="auto"/>
        <w:rPr>
          <w:rFonts w:eastAsia="Times"/>
          <w:sz w:val="18"/>
        </w:rPr>
      </w:pPr>
      <w:r>
        <w:br w:type="page"/>
      </w:r>
    </w:p>
    <w:tbl>
      <w:tblPr>
        <w:tblStyle w:val="ARtable1"/>
        <w:tblW w:w="5000" w:type="pct"/>
        <w:tblLayout w:type="fixed"/>
        <w:tblLook w:val="00A0" w:firstRow="1" w:lastRow="0" w:firstColumn="1" w:lastColumn="0" w:noHBand="0" w:noVBand="0"/>
      </w:tblPr>
      <w:tblGrid>
        <w:gridCol w:w="1838"/>
        <w:gridCol w:w="1358"/>
        <w:gridCol w:w="1196"/>
        <w:gridCol w:w="849"/>
        <w:gridCol w:w="849"/>
        <w:gridCol w:w="884"/>
        <w:gridCol w:w="886"/>
        <w:gridCol w:w="884"/>
        <w:gridCol w:w="884"/>
      </w:tblGrid>
      <w:tr w:rsidR="006E51BF" w:rsidRPr="00D81DA6" w14:paraId="7C4D2529" w14:textId="77777777" w:rsidTr="00735BAF">
        <w:trPr>
          <w:cnfStyle w:val="100000000000" w:firstRow="1" w:lastRow="0" w:firstColumn="0" w:lastColumn="0" w:oddVBand="0" w:evenVBand="0" w:oddHBand="0" w:evenHBand="0" w:firstRowFirstColumn="0" w:firstRowLastColumn="0" w:lastRowFirstColumn="0" w:lastRowLastColumn="0"/>
          <w:trHeight w:val="20"/>
          <w:tblHeader/>
        </w:trPr>
        <w:tc>
          <w:tcPr>
            <w:tcW w:w="955" w:type="pct"/>
            <w:noWrap/>
          </w:tcPr>
          <w:p w14:paraId="47065553" w14:textId="77777777" w:rsidR="006E51BF" w:rsidRPr="00D81DA6" w:rsidRDefault="006E51BF">
            <w:pPr>
              <w:pStyle w:val="ARfinbody"/>
              <w:rPr>
                <w:sz w:val="20"/>
                <w:lang w:eastAsia="en-AU"/>
              </w:rPr>
            </w:pPr>
          </w:p>
        </w:tc>
        <w:tc>
          <w:tcPr>
            <w:cnfStyle w:val="000001000000" w:firstRow="0" w:lastRow="0" w:firstColumn="0" w:lastColumn="0" w:oddVBand="0" w:evenVBand="1" w:oddHBand="0" w:evenHBand="0" w:firstRowFirstColumn="0" w:firstRowLastColumn="0" w:lastRowFirstColumn="0" w:lastRowLastColumn="0"/>
            <w:tcW w:w="705" w:type="pct"/>
            <w:noWrap/>
            <w:tcMar>
              <w:right w:w="0" w:type="nil"/>
            </w:tcMar>
            <w:hideMark/>
          </w:tcPr>
          <w:p w14:paraId="050C6839" w14:textId="22E5755D" w:rsidR="000232CF" w:rsidRDefault="000232CF">
            <w:pPr>
              <w:pStyle w:val="ARfintablecolheadright"/>
              <w:rPr>
                <w:sz w:val="16"/>
                <w:szCs w:val="16"/>
                <w:lang w:eastAsia="en-AU"/>
              </w:rPr>
            </w:pPr>
            <w:r w:rsidRPr="000232CF">
              <w:rPr>
                <w:sz w:val="16"/>
                <w:szCs w:val="16"/>
              </w:rPr>
              <w:t>Department of Families, Fairness and Housing</w:t>
            </w:r>
          </w:p>
          <w:p w14:paraId="59042B37" w14:textId="350467BC" w:rsidR="006E51BF" w:rsidRPr="000232CF" w:rsidRDefault="006E51BF">
            <w:pPr>
              <w:pStyle w:val="ARfintablecolheadright"/>
              <w:rPr>
                <w:sz w:val="16"/>
                <w:szCs w:val="16"/>
                <w:lang w:eastAsia="en-AU"/>
              </w:rPr>
            </w:pPr>
            <w:r w:rsidRPr="000232CF">
              <w:rPr>
                <w:sz w:val="16"/>
                <w:szCs w:val="16"/>
                <w:lang w:eastAsia="en-AU"/>
              </w:rPr>
              <w:t>2026</w:t>
            </w:r>
          </w:p>
          <w:p w14:paraId="0FFAC390" w14:textId="77777777" w:rsidR="006E51BF" w:rsidRPr="000232CF" w:rsidRDefault="006E51BF">
            <w:pPr>
              <w:pStyle w:val="ARfintablecolheadright"/>
              <w:rPr>
                <w:sz w:val="16"/>
                <w:szCs w:val="16"/>
                <w:lang w:eastAsia="en-AU"/>
              </w:rPr>
            </w:pPr>
            <w:r w:rsidRPr="000232CF">
              <w:rPr>
                <w:sz w:val="16"/>
                <w:szCs w:val="16"/>
                <w:lang w:eastAsia="en-AU"/>
              </w:rPr>
              <w:t>$M</w:t>
            </w:r>
          </w:p>
        </w:tc>
        <w:tc>
          <w:tcPr>
            <w:tcW w:w="621" w:type="pct"/>
            <w:tcBorders>
              <w:top w:val="single" w:sz="4" w:space="0" w:color="000000" w:themeColor="text1"/>
            </w:tcBorders>
            <w:shd w:val="clear" w:color="auto" w:fill="E7E6E6" w:themeFill="background2"/>
            <w:noWrap/>
            <w:tcMar>
              <w:right w:w="0" w:type="nil"/>
            </w:tcMar>
            <w:hideMark/>
          </w:tcPr>
          <w:p w14:paraId="5181FF5D" w14:textId="57D43724" w:rsidR="000232CF" w:rsidRDefault="000232CF">
            <w:pPr>
              <w:pStyle w:val="ARfintablecolheadright"/>
              <w:cnfStyle w:val="100000000000" w:firstRow="1" w:lastRow="0" w:firstColumn="0" w:lastColumn="0" w:oddVBand="0" w:evenVBand="0" w:oddHBand="0" w:evenHBand="0" w:firstRowFirstColumn="0" w:firstRowLastColumn="0" w:lastRowFirstColumn="0" w:lastRowLastColumn="0"/>
              <w:rPr>
                <w:color w:val="000000"/>
                <w:sz w:val="16"/>
                <w:szCs w:val="16"/>
                <w:lang w:eastAsia="en-AU"/>
              </w:rPr>
            </w:pPr>
            <w:r w:rsidRPr="000232CF">
              <w:rPr>
                <w:sz w:val="16"/>
                <w:szCs w:val="16"/>
              </w:rPr>
              <w:t>Department of Families, Fairness and Housing</w:t>
            </w:r>
          </w:p>
          <w:p w14:paraId="222D11FA" w14:textId="48070CC7" w:rsidR="006E51BF" w:rsidRPr="000232CF"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sz w:val="16"/>
                <w:szCs w:val="16"/>
                <w:lang w:eastAsia="en-AU"/>
              </w:rPr>
            </w:pPr>
            <w:r w:rsidRPr="000232CF">
              <w:rPr>
                <w:color w:val="000000"/>
                <w:sz w:val="16"/>
                <w:szCs w:val="16"/>
                <w:lang w:eastAsia="en-AU"/>
              </w:rPr>
              <w:t>2025</w:t>
            </w:r>
          </w:p>
          <w:p w14:paraId="3617732C" w14:textId="77777777" w:rsidR="006E51BF" w:rsidRPr="000232CF"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sz w:val="16"/>
                <w:szCs w:val="16"/>
                <w:lang w:eastAsia="en-AU"/>
              </w:rPr>
            </w:pPr>
            <w:r w:rsidRPr="000232CF">
              <w:rPr>
                <w:sz w:val="16"/>
                <w:szCs w:val="16"/>
                <w:lang w:eastAsia="en-AU"/>
              </w:rPr>
              <w:t>$M</w:t>
            </w:r>
          </w:p>
        </w:tc>
        <w:tc>
          <w:tcPr>
            <w:cnfStyle w:val="000001000000" w:firstRow="0" w:lastRow="0" w:firstColumn="0" w:lastColumn="0" w:oddVBand="0" w:evenVBand="1" w:oddHBand="0" w:evenHBand="0" w:firstRowFirstColumn="0" w:firstRowLastColumn="0" w:lastRowFirstColumn="0" w:lastRowLastColumn="0"/>
            <w:tcW w:w="441" w:type="pct"/>
            <w:tcBorders>
              <w:top w:val="single" w:sz="4" w:space="0" w:color="000000" w:themeColor="text1"/>
            </w:tcBorders>
            <w:shd w:val="clear" w:color="auto" w:fill="auto"/>
            <w:noWrap/>
            <w:tcMar>
              <w:right w:w="0" w:type="nil"/>
            </w:tcMar>
            <w:hideMark/>
          </w:tcPr>
          <w:p w14:paraId="2A1DA45D" w14:textId="0FFE3C03" w:rsidR="000232CF" w:rsidRDefault="000232CF">
            <w:pPr>
              <w:pStyle w:val="ARfintablecolheadright"/>
              <w:rPr>
                <w:sz w:val="16"/>
                <w:szCs w:val="16"/>
                <w:lang w:eastAsia="en-AU"/>
              </w:rPr>
            </w:pPr>
            <w:r w:rsidRPr="000232CF">
              <w:rPr>
                <w:sz w:val="16"/>
                <w:szCs w:val="16"/>
              </w:rPr>
              <w:t>Homes Victoria</w:t>
            </w:r>
          </w:p>
          <w:p w14:paraId="3CAA202C" w14:textId="032E8129" w:rsidR="006E51BF" w:rsidRPr="000232CF" w:rsidRDefault="006E51BF">
            <w:pPr>
              <w:pStyle w:val="ARfintablecolheadright"/>
              <w:rPr>
                <w:sz w:val="16"/>
                <w:szCs w:val="16"/>
                <w:lang w:eastAsia="en-AU"/>
              </w:rPr>
            </w:pPr>
            <w:r w:rsidRPr="000232CF">
              <w:rPr>
                <w:sz w:val="16"/>
                <w:szCs w:val="16"/>
                <w:lang w:eastAsia="en-AU"/>
              </w:rPr>
              <w:t>2026</w:t>
            </w:r>
          </w:p>
          <w:p w14:paraId="65A112DF" w14:textId="77777777" w:rsidR="006E51BF" w:rsidRPr="000232CF" w:rsidRDefault="006E51BF">
            <w:pPr>
              <w:pStyle w:val="ARfintablecolheadright"/>
              <w:rPr>
                <w:sz w:val="16"/>
                <w:szCs w:val="16"/>
                <w:lang w:eastAsia="en-AU"/>
              </w:rPr>
            </w:pPr>
            <w:r w:rsidRPr="000232CF">
              <w:rPr>
                <w:sz w:val="16"/>
                <w:szCs w:val="16"/>
                <w:lang w:eastAsia="en-AU"/>
              </w:rPr>
              <w:t>$M</w:t>
            </w:r>
          </w:p>
        </w:tc>
        <w:tc>
          <w:tcPr>
            <w:tcW w:w="441" w:type="pct"/>
            <w:tcBorders>
              <w:top w:val="single" w:sz="4" w:space="0" w:color="000000" w:themeColor="text1"/>
            </w:tcBorders>
            <w:noWrap/>
            <w:tcMar>
              <w:right w:w="0" w:type="nil"/>
            </w:tcMar>
            <w:hideMark/>
          </w:tcPr>
          <w:p w14:paraId="3A804949" w14:textId="2750F664" w:rsidR="000232CF" w:rsidRDefault="000232CF">
            <w:pPr>
              <w:pStyle w:val="ARfintablecolheadright"/>
              <w:cnfStyle w:val="100000000000" w:firstRow="1" w:lastRow="0" w:firstColumn="0" w:lastColumn="0" w:oddVBand="0" w:evenVBand="0" w:oddHBand="0" w:evenHBand="0" w:firstRowFirstColumn="0" w:firstRowLastColumn="0" w:lastRowFirstColumn="0" w:lastRowLastColumn="0"/>
              <w:rPr>
                <w:color w:val="000000"/>
                <w:sz w:val="16"/>
                <w:szCs w:val="16"/>
                <w:lang w:eastAsia="en-AU"/>
              </w:rPr>
            </w:pPr>
            <w:r w:rsidRPr="000232CF">
              <w:rPr>
                <w:sz w:val="16"/>
                <w:szCs w:val="16"/>
              </w:rPr>
              <w:t>Homes Victoria</w:t>
            </w:r>
          </w:p>
          <w:p w14:paraId="6F5DDB83" w14:textId="4E374C8B" w:rsidR="006E51BF" w:rsidRPr="000232CF"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sz w:val="16"/>
                <w:szCs w:val="16"/>
                <w:lang w:eastAsia="en-AU"/>
              </w:rPr>
            </w:pPr>
            <w:r w:rsidRPr="000232CF">
              <w:rPr>
                <w:color w:val="000000"/>
                <w:sz w:val="16"/>
                <w:szCs w:val="16"/>
                <w:lang w:eastAsia="en-AU"/>
              </w:rPr>
              <w:t>2025</w:t>
            </w:r>
          </w:p>
          <w:p w14:paraId="7EBB1D02" w14:textId="77777777" w:rsidR="006E51BF" w:rsidRPr="000232CF"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sz w:val="16"/>
                <w:szCs w:val="16"/>
                <w:lang w:eastAsia="en-AU"/>
              </w:rPr>
            </w:pPr>
            <w:r w:rsidRPr="000232CF">
              <w:rPr>
                <w:sz w:val="16"/>
                <w:szCs w:val="16"/>
                <w:lang w:eastAsia="en-AU"/>
              </w:rPr>
              <w:t>$M</w:t>
            </w:r>
          </w:p>
        </w:tc>
        <w:tc>
          <w:tcPr>
            <w:cnfStyle w:val="000001000000" w:firstRow="0" w:lastRow="0" w:firstColumn="0" w:lastColumn="0" w:oddVBand="0" w:evenVBand="1" w:oddHBand="0" w:evenHBand="0" w:firstRowFirstColumn="0" w:firstRowLastColumn="0" w:lastRowFirstColumn="0" w:lastRowLastColumn="0"/>
            <w:tcW w:w="459" w:type="pct"/>
            <w:tcBorders>
              <w:top w:val="single" w:sz="4" w:space="0" w:color="000000" w:themeColor="text1"/>
            </w:tcBorders>
            <w:noWrap/>
            <w:tcMar>
              <w:right w:w="0" w:type="nil"/>
            </w:tcMar>
            <w:hideMark/>
          </w:tcPr>
          <w:p w14:paraId="17C09DEE" w14:textId="29A1A076" w:rsidR="000232CF" w:rsidRDefault="000232CF">
            <w:pPr>
              <w:pStyle w:val="ARfintablecolheadright"/>
              <w:rPr>
                <w:sz w:val="16"/>
                <w:szCs w:val="16"/>
                <w:lang w:eastAsia="en-AU"/>
              </w:rPr>
            </w:pPr>
            <w:proofErr w:type="spellStart"/>
            <w:r w:rsidRPr="000232CF">
              <w:rPr>
                <w:sz w:val="16"/>
                <w:szCs w:val="16"/>
              </w:rPr>
              <w:t>Elimin</w:t>
            </w:r>
            <w:r>
              <w:rPr>
                <w:sz w:val="16"/>
                <w:szCs w:val="16"/>
              </w:rPr>
              <w:t>-</w:t>
            </w:r>
            <w:r w:rsidRPr="000232CF">
              <w:rPr>
                <w:sz w:val="16"/>
                <w:szCs w:val="16"/>
              </w:rPr>
              <w:t>ations</w:t>
            </w:r>
            <w:proofErr w:type="spellEnd"/>
            <w:r w:rsidRPr="000232CF">
              <w:rPr>
                <w:sz w:val="16"/>
                <w:szCs w:val="16"/>
              </w:rPr>
              <w:t xml:space="preserve"> and adjust</w:t>
            </w:r>
            <w:r>
              <w:rPr>
                <w:sz w:val="16"/>
                <w:szCs w:val="16"/>
              </w:rPr>
              <w:t>-</w:t>
            </w:r>
            <w:proofErr w:type="spellStart"/>
            <w:r w:rsidRPr="000232CF">
              <w:rPr>
                <w:sz w:val="16"/>
                <w:szCs w:val="16"/>
              </w:rPr>
              <w:t>ments</w:t>
            </w:r>
            <w:proofErr w:type="spellEnd"/>
          </w:p>
          <w:p w14:paraId="6B54CFA2" w14:textId="668858B9" w:rsidR="006E51BF" w:rsidRPr="000232CF" w:rsidRDefault="006E51BF">
            <w:pPr>
              <w:pStyle w:val="ARfintablecolheadright"/>
              <w:rPr>
                <w:sz w:val="16"/>
                <w:szCs w:val="16"/>
                <w:lang w:eastAsia="en-AU"/>
              </w:rPr>
            </w:pPr>
            <w:r w:rsidRPr="000232CF">
              <w:rPr>
                <w:sz w:val="16"/>
                <w:szCs w:val="16"/>
                <w:lang w:eastAsia="en-AU"/>
              </w:rPr>
              <w:t>2026</w:t>
            </w:r>
          </w:p>
          <w:p w14:paraId="2FAE6813" w14:textId="77777777" w:rsidR="006E51BF" w:rsidRPr="000232CF" w:rsidRDefault="006E51BF">
            <w:pPr>
              <w:pStyle w:val="ARfintablecolheadright"/>
              <w:rPr>
                <w:sz w:val="16"/>
                <w:szCs w:val="16"/>
                <w:lang w:eastAsia="en-AU"/>
              </w:rPr>
            </w:pPr>
            <w:r w:rsidRPr="000232CF">
              <w:rPr>
                <w:sz w:val="16"/>
                <w:szCs w:val="16"/>
                <w:lang w:eastAsia="en-AU"/>
              </w:rPr>
              <w:t>$M</w:t>
            </w:r>
          </w:p>
        </w:tc>
        <w:tc>
          <w:tcPr>
            <w:tcW w:w="460" w:type="pct"/>
            <w:tcBorders>
              <w:top w:val="single" w:sz="4" w:space="0" w:color="000000" w:themeColor="text1"/>
            </w:tcBorders>
            <w:shd w:val="clear" w:color="auto" w:fill="E7E6E6" w:themeFill="background2"/>
            <w:noWrap/>
            <w:tcMar>
              <w:right w:w="0" w:type="nil"/>
            </w:tcMar>
            <w:hideMark/>
          </w:tcPr>
          <w:p w14:paraId="29EDD1BF" w14:textId="5E5991BD" w:rsidR="000232CF" w:rsidRDefault="000232CF">
            <w:pPr>
              <w:pStyle w:val="ARfintablecolheadright"/>
              <w:cnfStyle w:val="100000000000" w:firstRow="1" w:lastRow="0" w:firstColumn="0" w:lastColumn="0" w:oddVBand="0" w:evenVBand="0" w:oddHBand="0" w:evenHBand="0" w:firstRowFirstColumn="0" w:firstRowLastColumn="0" w:lastRowFirstColumn="0" w:lastRowLastColumn="0"/>
              <w:rPr>
                <w:color w:val="000000"/>
                <w:sz w:val="16"/>
                <w:szCs w:val="16"/>
                <w:lang w:eastAsia="en-AU"/>
              </w:rPr>
            </w:pPr>
            <w:proofErr w:type="spellStart"/>
            <w:r w:rsidRPr="000232CF">
              <w:rPr>
                <w:sz w:val="16"/>
                <w:szCs w:val="16"/>
              </w:rPr>
              <w:t>Elimin</w:t>
            </w:r>
            <w:r>
              <w:rPr>
                <w:sz w:val="16"/>
                <w:szCs w:val="16"/>
              </w:rPr>
              <w:t>-</w:t>
            </w:r>
            <w:r w:rsidRPr="000232CF">
              <w:rPr>
                <w:sz w:val="16"/>
                <w:szCs w:val="16"/>
              </w:rPr>
              <w:t>ations</w:t>
            </w:r>
            <w:proofErr w:type="spellEnd"/>
            <w:r w:rsidRPr="000232CF">
              <w:rPr>
                <w:sz w:val="16"/>
                <w:szCs w:val="16"/>
              </w:rPr>
              <w:t xml:space="preserve"> and adjust</w:t>
            </w:r>
            <w:r>
              <w:rPr>
                <w:sz w:val="16"/>
                <w:szCs w:val="16"/>
              </w:rPr>
              <w:t>-</w:t>
            </w:r>
            <w:proofErr w:type="spellStart"/>
            <w:r w:rsidRPr="000232CF">
              <w:rPr>
                <w:sz w:val="16"/>
                <w:szCs w:val="16"/>
              </w:rPr>
              <w:t>ments</w:t>
            </w:r>
            <w:proofErr w:type="spellEnd"/>
          </w:p>
          <w:p w14:paraId="50DB5BDF" w14:textId="53777C71" w:rsidR="006E51BF" w:rsidRPr="000232CF"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sz w:val="16"/>
                <w:szCs w:val="16"/>
                <w:lang w:eastAsia="en-AU"/>
              </w:rPr>
            </w:pPr>
            <w:r w:rsidRPr="000232CF">
              <w:rPr>
                <w:color w:val="000000"/>
                <w:sz w:val="16"/>
                <w:szCs w:val="16"/>
                <w:lang w:eastAsia="en-AU"/>
              </w:rPr>
              <w:t>2025</w:t>
            </w:r>
          </w:p>
          <w:p w14:paraId="0A6051FB" w14:textId="77777777" w:rsidR="006E51BF" w:rsidRPr="000232CF"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sz w:val="16"/>
                <w:szCs w:val="16"/>
                <w:lang w:eastAsia="en-AU"/>
              </w:rPr>
            </w:pPr>
            <w:r w:rsidRPr="000232CF">
              <w:rPr>
                <w:sz w:val="16"/>
                <w:szCs w:val="16"/>
                <w:lang w:eastAsia="en-AU"/>
              </w:rPr>
              <w:t>$M</w:t>
            </w:r>
          </w:p>
        </w:tc>
        <w:tc>
          <w:tcPr>
            <w:cnfStyle w:val="000001000000" w:firstRow="0" w:lastRow="0" w:firstColumn="0" w:lastColumn="0" w:oddVBand="0" w:evenVBand="1" w:oddHBand="0" w:evenHBand="0" w:firstRowFirstColumn="0" w:firstRowLastColumn="0" w:lastRowFirstColumn="0" w:lastRowLastColumn="0"/>
            <w:tcW w:w="459" w:type="pct"/>
            <w:tcBorders>
              <w:top w:val="single" w:sz="4" w:space="0" w:color="000000" w:themeColor="text1"/>
            </w:tcBorders>
            <w:shd w:val="clear" w:color="auto" w:fill="auto"/>
            <w:noWrap/>
            <w:tcMar>
              <w:right w:w="0" w:type="nil"/>
            </w:tcMar>
            <w:hideMark/>
          </w:tcPr>
          <w:p w14:paraId="0A4BA87C" w14:textId="1A048F99" w:rsidR="000232CF" w:rsidRDefault="000232CF">
            <w:pPr>
              <w:pStyle w:val="ARfintablecolheadright"/>
              <w:rPr>
                <w:sz w:val="16"/>
                <w:szCs w:val="16"/>
                <w:lang w:eastAsia="en-AU"/>
              </w:rPr>
            </w:pPr>
            <w:r w:rsidRPr="000232CF">
              <w:rPr>
                <w:sz w:val="16"/>
                <w:szCs w:val="16"/>
              </w:rPr>
              <w:t>Total</w:t>
            </w:r>
          </w:p>
          <w:p w14:paraId="2C35C71A" w14:textId="239445EF" w:rsidR="006E51BF" w:rsidRPr="000232CF" w:rsidRDefault="006E51BF">
            <w:pPr>
              <w:pStyle w:val="ARfintablecolheadright"/>
              <w:rPr>
                <w:sz w:val="16"/>
                <w:szCs w:val="16"/>
                <w:lang w:eastAsia="en-AU"/>
              </w:rPr>
            </w:pPr>
            <w:r w:rsidRPr="000232CF">
              <w:rPr>
                <w:sz w:val="16"/>
                <w:szCs w:val="16"/>
                <w:lang w:eastAsia="en-AU"/>
              </w:rPr>
              <w:t>2026</w:t>
            </w:r>
          </w:p>
          <w:p w14:paraId="2623FDC6" w14:textId="77777777" w:rsidR="006E51BF" w:rsidRPr="000232CF" w:rsidRDefault="006E51BF">
            <w:pPr>
              <w:pStyle w:val="ARfintablecolheadright"/>
              <w:rPr>
                <w:sz w:val="16"/>
                <w:szCs w:val="16"/>
                <w:lang w:eastAsia="en-AU"/>
              </w:rPr>
            </w:pPr>
            <w:r w:rsidRPr="000232CF">
              <w:rPr>
                <w:sz w:val="16"/>
                <w:szCs w:val="16"/>
                <w:lang w:eastAsia="en-AU"/>
              </w:rPr>
              <w:t>$M</w:t>
            </w:r>
          </w:p>
        </w:tc>
        <w:tc>
          <w:tcPr>
            <w:tcW w:w="460" w:type="pct"/>
            <w:tcBorders>
              <w:top w:val="single" w:sz="4" w:space="0" w:color="000000" w:themeColor="text1"/>
            </w:tcBorders>
            <w:noWrap/>
            <w:tcMar>
              <w:right w:w="0" w:type="nil"/>
            </w:tcMar>
            <w:hideMark/>
          </w:tcPr>
          <w:p w14:paraId="64438357" w14:textId="7BD7B597" w:rsidR="000232CF" w:rsidRDefault="000232CF">
            <w:pPr>
              <w:pStyle w:val="ARfintablecolheadright"/>
              <w:cnfStyle w:val="100000000000" w:firstRow="1" w:lastRow="0" w:firstColumn="0" w:lastColumn="0" w:oddVBand="0" w:evenVBand="0" w:oddHBand="0" w:evenHBand="0" w:firstRowFirstColumn="0" w:firstRowLastColumn="0" w:lastRowFirstColumn="0" w:lastRowLastColumn="0"/>
              <w:rPr>
                <w:color w:val="000000"/>
                <w:sz w:val="16"/>
                <w:szCs w:val="16"/>
                <w:lang w:eastAsia="en-AU"/>
              </w:rPr>
            </w:pPr>
            <w:r w:rsidRPr="000232CF">
              <w:rPr>
                <w:sz w:val="16"/>
                <w:szCs w:val="16"/>
              </w:rPr>
              <w:t>Total</w:t>
            </w:r>
          </w:p>
          <w:p w14:paraId="4DCB59CA" w14:textId="138B5B8A" w:rsidR="006E51BF" w:rsidRPr="000232CF"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sz w:val="16"/>
                <w:szCs w:val="16"/>
                <w:lang w:eastAsia="en-AU"/>
              </w:rPr>
            </w:pPr>
            <w:r w:rsidRPr="000232CF">
              <w:rPr>
                <w:color w:val="000000"/>
                <w:sz w:val="16"/>
                <w:szCs w:val="16"/>
                <w:lang w:eastAsia="en-AU"/>
              </w:rPr>
              <w:t>2025</w:t>
            </w:r>
          </w:p>
          <w:p w14:paraId="0D407174" w14:textId="77777777" w:rsidR="006E51BF" w:rsidRPr="000232CF"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sz w:val="16"/>
                <w:szCs w:val="16"/>
                <w:lang w:eastAsia="en-AU"/>
              </w:rPr>
            </w:pPr>
            <w:r w:rsidRPr="000232CF">
              <w:rPr>
                <w:sz w:val="16"/>
                <w:szCs w:val="16"/>
                <w:lang w:eastAsia="en-AU"/>
              </w:rPr>
              <w:t>$M</w:t>
            </w:r>
          </w:p>
        </w:tc>
      </w:tr>
      <w:tr w:rsidR="006E51BF" w:rsidRPr="00D81DA6" w14:paraId="483258C5" w14:textId="77777777" w:rsidTr="00735BAF">
        <w:trPr>
          <w:cnfStyle w:val="000000100000" w:firstRow="0" w:lastRow="0" w:firstColumn="0" w:lastColumn="0" w:oddVBand="0" w:evenVBand="0" w:oddHBand="1" w:evenHBand="0" w:firstRowFirstColumn="0" w:firstRowLastColumn="0" w:lastRowFirstColumn="0" w:lastRowLastColumn="0"/>
          <w:trHeight w:val="20"/>
        </w:trPr>
        <w:tc>
          <w:tcPr>
            <w:tcW w:w="955" w:type="pct"/>
            <w:tcBorders>
              <w:top w:val="single" w:sz="4" w:space="0" w:color="000000" w:themeColor="text1"/>
              <w:bottom w:val="single" w:sz="4" w:space="0" w:color="000000" w:themeColor="text1"/>
            </w:tcBorders>
            <w:hideMark/>
          </w:tcPr>
          <w:p w14:paraId="369794AD" w14:textId="77777777" w:rsidR="006E51BF" w:rsidRPr="00D81DA6" w:rsidRDefault="006E51BF">
            <w:pPr>
              <w:pStyle w:val="ARfintabletextboldcoloured"/>
              <w:rPr>
                <w:lang w:eastAsia="en-AU"/>
              </w:rPr>
            </w:pPr>
            <w:r w:rsidRPr="00D81DA6">
              <w:rPr>
                <w:lang w:eastAsia="en-AU"/>
              </w:rPr>
              <w:t>Total revenue and income from</w:t>
            </w:r>
            <w:r>
              <w:rPr>
                <w:lang w:eastAsia="en-AU"/>
              </w:rPr>
              <w:t> </w:t>
            </w:r>
            <w:r w:rsidRPr="00D81DA6">
              <w:rPr>
                <w:lang w:eastAsia="en-AU"/>
              </w:rPr>
              <w:t>transactions</w:t>
            </w:r>
          </w:p>
        </w:tc>
        <w:tc>
          <w:tcPr>
            <w:cnfStyle w:val="000001000000" w:firstRow="0" w:lastRow="0" w:firstColumn="0" w:lastColumn="0" w:oddVBand="0" w:evenVBand="1" w:oddHBand="0" w:evenHBand="0" w:firstRowFirstColumn="0" w:firstRowLastColumn="0" w:lastRowFirstColumn="0" w:lastRowLastColumn="0"/>
            <w:tcW w:w="705" w:type="pct"/>
            <w:tcBorders>
              <w:top w:val="single" w:sz="4" w:space="0" w:color="000000" w:themeColor="text1"/>
              <w:bottom w:val="single" w:sz="4" w:space="0" w:color="000000" w:themeColor="text1"/>
            </w:tcBorders>
            <w:noWrap/>
            <w:tcMar>
              <w:right w:w="0" w:type="nil"/>
            </w:tcMar>
            <w:hideMark/>
          </w:tcPr>
          <w:p w14:paraId="702F7135" w14:textId="77777777" w:rsidR="006E51BF" w:rsidRPr="00D81DA6" w:rsidRDefault="006E51BF">
            <w:pPr>
              <w:pStyle w:val="ARfintabletextright"/>
              <w:rPr>
                <w:color w:val="000000"/>
                <w:lang w:eastAsia="en-AU"/>
              </w:rPr>
            </w:pPr>
            <w:r w:rsidRPr="00D81DA6">
              <w:rPr>
                <w:color w:val="000000"/>
                <w:lang w:eastAsia="en-AU"/>
              </w:rPr>
              <w:t>5,407.9</w:t>
            </w:r>
          </w:p>
        </w:tc>
        <w:tc>
          <w:tcPr>
            <w:tcW w:w="621"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6716FF94" w14:textId="77777777" w:rsidR="006E51BF" w:rsidRPr="00D81DA6" w:rsidRDefault="006E51BF">
            <w:pPr>
              <w:pStyle w:val="ARfintabletextright"/>
              <w:cnfStyle w:val="000000100000" w:firstRow="0" w:lastRow="0" w:firstColumn="0" w:lastColumn="0" w:oddVBand="0" w:evenVBand="0" w:oddHBand="1" w:evenHBand="0" w:firstRowFirstColumn="0" w:firstRowLastColumn="0" w:lastRowFirstColumn="0" w:lastRowLastColumn="0"/>
              <w:rPr>
                <w:color w:val="000000"/>
                <w:lang w:eastAsia="en-AU"/>
              </w:rPr>
            </w:pPr>
            <w:r w:rsidRPr="00D81DA6">
              <w:rPr>
                <w:color w:val="000000"/>
                <w:lang w:eastAsia="en-AU"/>
              </w:rPr>
              <w:t>5,675.9</w:t>
            </w:r>
          </w:p>
        </w:tc>
        <w:tc>
          <w:tcPr>
            <w:cnfStyle w:val="000001000000" w:firstRow="0" w:lastRow="0" w:firstColumn="0" w:lastColumn="0" w:oddVBand="0" w:evenVBand="1" w:oddHBand="0" w:evenHBand="0" w:firstRowFirstColumn="0" w:firstRowLastColumn="0" w:lastRowFirstColumn="0" w:lastRowLastColumn="0"/>
            <w:tcW w:w="441" w:type="pct"/>
            <w:tcBorders>
              <w:top w:val="single" w:sz="4" w:space="0" w:color="000000" w:themeColor="text1"/>
              <w:bottom w:val="single" w:sz="4" w:space="0" w:color="000000" w:themeColor="text1"/>
            </w:tcBorders>
            <w:shd w:val="clear" w:color="auto" w:fill="auto"/>
            <w:noWrap/>
            <w:tcMar>
              <w:right w:w="0" w:type="nil"/>
            </w:tcMar>
            <w:hideMark/>
          </w:tcPr>
          <w:p w14:paraId="7857BE62" w14:textId="77777777" w:rsidR="006E51BF" w:rsidRPr="00D81DA6" w:rsidRDefault="006E51BF">
            <w:pPr>
              <w:pStyle w:val="ARfintabletextright"/>
              <w:rPr>
                <w:color w:val="000000"/>
                <w:lang w:eastAsia="en-AU"/>
              </w:rPr>
            </w:pPr>
            <w:r w:rsidRPr="00D81DA6">
              <w:rPr>
                <w:color w:val="000000"/>
                <w:lang w:eastAsia="en-AU"/>
              </w:rPr>
              <w:t>1,671.8</w:t>
            </w:r>
          </w:p>
        </w:tc>
        <w:tc>
          <w:tcPr>
            <w:tcW w:w="441" w:type="pct"/>
            <w:tcBorders>
              <w:top w:val="single" w:sz="4" w:space="0" w:color="000000" w:themeColor="text1"/>
              <w:bottom w:val="single" w:sz="4" w:space="0" w:color="000000" w:themeColor="text1"/>
            </w:tcBorders>
            <w:noWrap/>
            <w:tcMar>
              <w:right w:w="0" w:type="nil"/>
            </w:tcMar>
            <w:hideMark/>
          </w:tcPr>
          <w:p w14:paraId="592FABD6" w14:textId="77777777" w:rsidR="006E51BF" w:rsidRPr="00D81DA6" w:rsidRDefault="006E51BF">
            <w:pPr>
              <w:pStyle w:val="ARfintabletextright"/>
              <w:cnfStyle w:val="000000100000" w:firstRow="0" w:lastRow="0" w:firstColumn="0" w:lastColumn="0" w:oddVBand="0" w:evenVBand="0" w:oddHBand="1" w:evenHBand="0" w:firstRowFirstColumn="0" w:firstRowLastColumn="0" w:lastRowFirstColumn="0" w:lastRowLastColumn="0"/>
              <w:rPr>
                <w:color w:val="000000"/>
                <w:lang w:eastAsia="en-AU"/>
              </w:rPr>
            </w:pPr>
            <w:r w:rsidRPr="00D81DA6">
              <w:rPr>
                <w:color w:val="000000"/>
                <w:lang w:eastAsia="en-AU"/>
              </w:rPr>
              <w:t>1,681.4</w:t>
            </w:r>
          </w:p>
        </w:tc>
        <w:tc>
          <w:tcPr>
            <w:cnfStyle w:val="000001000000" w:firstRow="0" w:lastRow="0" w:firstColumn="0" w:lastColumn="0" w:oddVBand="0" w:evenVBand="1" w:oddHBand="0" w:evenHBand="0" w:firstRowFirstColumn="0" w:firstRowLastColumn="0" w:lastRowFirstColumn="0" w:lastRowLastColumn="0"/>
            <w:tcW w:w="459" w:type="pct"/>
            <w:tcBorders>
              <w:top w:val="single" w:sz="4" w:space="0" w:color="000000" w:themeColor="text1"/>
              <w:bottom w:val="single" w:sz="4" w:space="0" w:color="000000" w:themeColor="text1"/>
            </w:tcBorders>
            <w:noWrap/>
            <w:tcMar>
              <w:right w:w="0" w:type="nil"/>
            </w:tcMar>
            <w:hideMark/>
          </w:tcPr>
          <w:p w14:paraId="14E022DC" w14:textId="77777777" w:rsidR="006E51BF" w:rsidRPr="00D81DA6" w:rsidRDefault="006E51BF">
            <w:pPr>
              <w:pStyle w:val="ARfintabletextright"/>
              <w:rPr>
                <w:color w:val="000000"/>
                <w:lang w:eastAsia="en-AU"/>
              </w:rPr>
            </w:pPr>
            <w:r w:rsidRPr="00D81DA6">
              <w:rPr>
                <w:color w:val="000000"/>
                <w:lang w:eastAsia="en-AU"/>
              </w:rPr>
              <w:t>(16.2)</w:t>
            </w:r>
          </w:p>
        </w:tc>
        <w:tc>
          <w:tcPr>
            <w:tcW w:w="460"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75A61DE5" w14:textId="77777777" w:rsidR="006E51BF" w:rsidRPr="00D81DA6" w:rsidRDefault="006E51BF">
            <w:pPr>
              <w:pStyle w:val="ARfintabletextright"/>
              <w:cnfStyle w:val="000000100000" w:firstRow="0" w:lastRow="0" w:firstColumn="0" w:lastColumn="0" w:oddVBand="0" w:evenVBand="0" w:oddHBand="1" w:evenHBand="0" w:firstRowFirstColumn="0" w:firstRowLastColumn="0" w:lastRowFirstColumn="0" w:lastRowLastColumn="0"/>
              <w:rPr>
                <w:color w:val="000000"/>
                <w:lang w:eastAsia="en-AU"/>
              </w:rPr>
            </w:pPr>
            <w:r w:rsidRPr="00D81DA6">
              <w:rPr>
                <w:color w:val="000000"/>
                <w:lang w:eastAsia="en-AU"/>
              </w:rPr>
              <w:t>(15.5)</w:t>
            </w:r>
          </w:p>
        </w:tc>
        <w:tc>
          <w:tcPr>
            <w:cnfStyle w:val="000001000000" w:firstRow="0" w:lastRow="0" w:firstColumn="0" w:lastColumn="0" w:oddVBand="0" w:evenVBand="1" w:oddHBand="0" w:evenHBand="0" w:firstRowFirstColumn="0" w:firstRowLastColumn="0" w:lastRowFirstColumn="0" w:lastRowLastColumn="0"/>
            <w:tcW w:w="459" w:type="pct"/>
            <w:tcBorders>
              <w:top w:val="single" w:sz="4" w:space="0" w:color="000000" w:themeColor="text1"/>
              <w:bottom w:val="single" w:sz="4" w:space="0" w:color="000000" w:themeColor="text1"/>
            </w:tcBorders>
            <w:shd w:val="clear" w:color="auto" w:fill="auto"/>
            <w:noWrap/>
            <w:tcMar>
              <w:right w:w="0" w:type="nil"/>
            </w:tcMar>
            <w:hideMark/>
          </w:tcPr>
          <w:p w14:paraId="00D5E171" w14:textId="77777777" w:rsidR="006E51BF" w:rsidRPr="00D81DA6" w:rsidRDefault="006E51BF">
            <w:pPr>
              <w:pStyle w:val="ARfintabletextright"/>
              <w:rPr>
                <w:color w:val="000000"/>
                <w:lang w:eastAsia="en-AU"/>
              </w:rPr>
            </w:pPr>
            <w:r w:rsidRPr="00D81DA6">
              <w:rPr>
                <w:color w:val="000000"/>
                <w:lang w:eastAsia="en-AU"/>
              </w:rPr>
              <w:t>7,063.4</w:t>
            </w:r>
          </w:p>
        </w:tc>
        <w:tc>
          <w:tcPr>
            <w:tcW w:w="460" w:type="pct"/>
            <w:tcBorders>
              <w:top w:val="single" w:sz="4" w:space="0" w:color="000000" w:themeColor="text1"/>
              <w:bottom w:val="single" w:sz="4" w:space="0" w:color="000000" w:themeColor="text1"/>
            </w:tcBorders>
            <w:noWrap/>
            <w:tcMar>
              <w:right w:w="0" w:type="nil"/>
            </w:tcMar>
            <w:hideMark/>
          </w:tcPr>
          <w:p w14:paraId="28365A49" w14:textId="77777777" w:rsidR="006E51BF" w:rsidRPr="00D81DA6" w:rsidRDefault="006E51BF">
            <w:pPr>
              <w:pStyle w:val="ARfintabletextright"/>
              <w:cnfStyle w:val="000000100000" w:firstRow="0" w:lastRow="0" w:firstColumn="0" w:lastColumn="0" w:oddVBand="0" w:evenVBand="0" w:oddHBand="1" w:evenHBand="0" w:firstRowFirstColumn="0" w:firstRowLastColumn="0" w:lastRowFirstColumn="0" w:lastRowLastColumn="0"/>
              <w:rPr>
                <w:color w:val="000000"/>
                <w:lang w:eastAsia="en-AU"/>
              </w:rPr>
            </w:pPr>
            <w:r w:rsidRPr="00D81DA6">
              <w:rPr>
                <w:color w:val="000000"/>
                <w:lang w:eastAsia="en-AU"/>
              </w:rPr>
              <w:t>7,341.8</w:t>
            </w:r>
          </w:p>
        </w:tc>
      </w:tr>
      <w:tr w:rsidR="006E51BF" w:rsidRPr="00D81DA6" w14:paraId="065A9FDC" w14:textId="77777777" w:rsidTr="00735BAF">
        <w:trPr>
          <w:cnfStyle w:val="000000010000" w:firstRow="0" w:lastRow="0" w:firstColumn="0" w:lastColumn="0" w:oddVBand="0" w:evenVBand="0" w:oddHBand="0" w:evenHBand="1" w:firstRowFirstColumn="0" w:firstRowLastColumn="0" w:lastRowFirstColumn="0" w:lastRowLastColumn="0"/>
          <w:trHeight w:val="20"/>
        </w:trPr>
        <w:tc>
          <w:tcPr>
            <w:tcW w:w="955" w:type="pct"/>
            <w:tcBorders>
              <w:top w:val="single" w:sz="4" w:space="0" w:color="000000" w:themeColor="text1"/>
              <w:bottom w:val="single" w:sz="4" w:space="0" w:color="000000" w:themeColor="text1"/>
            </w:tcBorders>
            <w:noWrap/>
            <w:hideMark/>
          </w:tcPr>
          <w:p w14:paraId="4E845006" w14:textId="77777777" w:rsidR="006E51BF" w:rsidRPr="00D81DA6" w:rsidRDefault="006E51BF">
            <w:pPr>
              <w:pStyle w:val="ARfintabletextboldcoloured"/>
              <w:rPr>
                <w:lang w:eastAsia="en-AU"/>
              </w:rPr>
            </w:pPr>
            <w:r w:rsidRPr="00D81DA6">
              <w:rPr>
                <w:lang w:eastAsia="en-AU"/>
              </w:rPr>
              <w:t>Total expenses from transactions</w:t>
            </w:r>
          </w:p>
        </w:tc>
        <w:tc>
          <w:tcPr>
            <w:cnfStyle w:val="000001000000" w:firstRow="0" w:lastRow="0" w:firstColumn="0" w:lastColumn="0" w:oddVBand="0" w:evenVBand="1" w:oddHBand="0" w:evenHBand="0" w:firstRowFirstColumn="0" w:firstRowLastColumn="0" w:lastRowFirstColumn="0" w:lastRowLastColumn="0"/>
            <w:tcW w:w="705" w:type="pct"/>
            <w:tcBorders>
              <w:top w:val="single" w:sz="4" w:space="0" w:color="000000" w:themeColor="text1"/>
              <w:bottom w:val="single" w:sz="4" w:space="0" w:color="000000" w:themeColor="text1"/>
            </w:tcBorders>
            <w:noWrap/>
            <w:tcMar>
              <w:right w:w="0" w:type="nil"/>
            </w:tcMar>
            <w:hideMark/>
          </w:tcPr>
          <w:p w14:paraId="44FEDF3B" w14:textId="77777777" w:rsidR="006E51BF" w:rsidRPr="00D81DA6" w:rsidRDefault="006E51BF">
            <w:pPr>
              <w:pStyle w:val="ARfintabletextright"/>
              <w:rPr>
                <w:color w:val="000000"/>
                <w:lang w:eastAsia="en-AU"/>
              </w:rPr>
            </w:pPr>
            <w:r w:rsidRPr="00D81DA6">
              <w:rPr>
                <w:color w:val="000000"/>
                <w:lang w:eastAsia="en-AU"/>
              </w:rPr>
              <w:t>5,458.9</w:t>
            </w:r>
          </w:p>
        </w:tc>
        <w:tc>
          <w:tcPr>
            <w:tcW w:w="621"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00C6A73D" w14:textId="77777777" w:rsidR="006E51BF" w:rsidRPr="00D81DA6"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r w:rsidRPr="00D81DA6">
              <w:rPr>
                <w:color w:val="000000"/>
                <w:lang w:eastAsia="en-AU"/>
              </w:rPr>
              <w:t>5,801.2</w:t>
            </w:r>
          </w:p>
        </w:tc>
        <w:tc>
          <w:tcPr>
            <w:cnfStyle w:val="000001000000" w:firstRow="0" w:lastRow="0" w:firstColumn="0" w:lastColumn="0" w:oddVBand="0" w:evenVBand="1" w:oddHBand="0" w:evenHBand="0" w:firstRowFirstColumn="0" w:firstRowLastColumn="0" w:lastRowFirstColumn="0" w:lastRowLastColumn="0"/>
            <w:tcW w:w="441" w:type="pct"/>
            <w:tcBorders>
              <w:top w:val="single" w:sz="4" w:space="0" w:color="000000" w:themeColor="text1"/>
              <w:bottom w:val="single" w:sz="4" w:space="0" w:color="000000" w:themeColor="text1"/>
            </w:tcBorders>
            <w:shd w:val="clear" w:color="auto" w:fill="auto"/>
            <w:noWrap/>
            <w:tcMar>
              <w:right w:w="0" w:type="nil"/>
            </w:tcMar>
            <w:hideMark/>
          </w:tcPr>
          <w:p w14:paraId="600A899A" w14:textId="77777777" w:rsidR="006E51BF" w:rsidRPr="00D81DA6" w:rsidRDefault="006E51BF">
            <w:pPr>
              <w:pStyle w:val="ARfintabletextright"/>
              <w:rPr>
                <w:color w:val="000000"/>
                <w:lang w:eastAsia="en-AU"/>
              </w:rPr>
            </w:pPr>
            <w:r w:rsidRPr="00D81DA6">
              <w:rPr>
                <w:color w:val="000000"/>
                <w:lang w:eastAsia="en-AU"/>
              </w:rPr>
              <w:t>2,118.5</w:t>
            </w:r>
          </w:p>
        </w:tc>
        <w:tc>
          <w:tcPr>
            <w:tcW w:w="441" w:type="pct"/>
            <w:tcBorders>
              <w:top w:val="single" w:sz="4" w:space="0" w:color="000000" w:themeColor="text1"/>
              <w:bottom w:val="single" w:sz="4" w:space="0" w:color="000000" w:themeColor="text1"/>
            </w:tcBorders>
            <w:noWrap/>
            <w:tcMar>
              <w:right w:w="0" w:type="nil"/>
            </w:tcMar>
            <w:hideMark/>
          </w:tcPr>
          <w:p w14:paraId="0F4DCCDD" w14:textId="77777777" w:rsidR="006E51BF" w:rsidRPr="00D81DA6"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r w:rsidRPr="00D81DA6">
              <w:rPr>
                <w:color w:val="000000"/>
                <w:lang w:eastAsia="en-AU"/>
              </w:rPr>
              <w:t>2,025.8</w:t>
            </w:r>
          </w:p>
        </w:tc>
        <w:tc>
          <w:tcPr>
            <w:cnfStyle w:val="000001000000" w:firstRow="0" w:lastRow="0" w:firstColumn="0" w:lastColumn="0" w:oddVBand="0" w:evenVBand="1" w:oddHBand="0" w:evenHBand="0" w:firstRowFirstColumn="0" w:firstRowLastColumn="0" w:lastRowFirstColumn="0" w:lastRowLastColumn="0"/>
            <w:tcW w:w="459" w:type="pct"/>
            <w:tcBorders>
              <w:top w:val="single" w:sz="4" w:space="0" w:color="000000" w:themeColor="text1"/>
              <w:bottom w:val="single" w:sz="4" w:space="0" w:color="000000" w:themeColor="text1"/>
            </w:tcBorders>
            <w:noWrap/>
            <w:tcMar>
              <w:right w:w="0" w:type="nil"/>
            </w:tcMar>
            <w:hideMark/>
          </w:tcPr>
          <w:p w14:paraId="36B8F927" w14:textId="77777777" w:rsidR="006E51BF" w:rsidRPr="00D81DA6" w:rsidRDefault="006E51BF">
            <w:pPr>
              <w:pStyle w:val="ARfintabletextright"/>
              <w:rPr>
                <w:color w:val="000000"/>
                <w:lang w:eastAsia="en-AU"/>
              </w:rPr>
            </w:pPr>
            <w:r w:rsidRPr="00D81DA6">
              <w:rPr>
                <w:color w:val="000000"/>
                <w:lang w:eastAsia="en-AU"/>
              </w:rPr>
              <w:t>(16.2)</w:t>
            </w:r>
          </w:p>
        </w:tc>
        <w:tc>
          <w:tcPr>
            <w:tcW w:w="460"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713B0FDA" w14:textId="77777777" w:rsidR="006E51BF" w:rsidRPr="00D81DA6"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r w:rsidRPr="00D81DA6">
              <w:rPr>
                <w:color w:val="000000"/>
                <w:lang w:eastAsia="en-AU"/>
              </w:rPr>
              <w:t>(15.5)</w:t>
            </w:r>
          </w:p>
        </w:tc>
        <w:tc>
          <w:tcPr>
            <w:cnfStyle w:val="000001000000" w:firstRow="0" w:lastRow="0" w:firstColumn="0" w:lastColumn="0" w:oddVBand="0" w:evenVBand="1" w:oddHBand="0" w:evenHBand="0" w:firstRowFirstColumn="0" w:firstRowLastColumn="0" w:lastRowFirstColumn="0" w:lastRowLastColumn="0"/>
            <w:tcW w:w="459" w:type="pct"/>
            <w:tcBorders>
              <w:top w:val="single" w:sz="4" w:space="0" w:color="000000" w:themeColor="text1"/>
              <w:bottom w:val="single" w:sz="4" w:space="0" w:color="000000" w:themeColor="text1"/>
            </w:tcBorders>
            <w:shd w:val="clear" w:color="auto" w:fill="auto"/>
            <w:noWrap/>
            <w:tcMar>
              <w:right w:w="0" w:type="nil"/>
            </w:tcMar>
            <w:hideMark/>
          </w:tcPr>
          <w:p w14:paraId="01DC115D" w14:textId="77777777" w:rsidR="006E51BF" w:rsidRPr="00D81DA6" w:rsidRDefault="006E51BF">
            <w:pPr>
              <w:pStyle w:val="ARfintabletextright"/>
              <w:rPr>
                <w:color w:val="000000"/>
                <w:lang w:eastAsia="en-AU"/>
              </w:rPr>
            </w:pPr>
            <w:r w:rsidRPr="00D81DA6">
              <w:rPr>
                <w:color w:val="000000"/>
                <w:lang w:eastAsia="en-AU"/>
              </w:rPr>
              <w:t>7,561.0</w:t>
            </w:r>
          </w:p>
        </w:tc>
        <w:tc>
          <w:tcPr>
            <w:tcW w:w="460" w:type="pct"/>
            <w:tcBorders>
              <w:top w:val="single" w:sz="4" w:space="0" w:color="000000" w:themeColor="text1"/>
              <w:bottom w:val="single" w:sz="4" w:space="0" w:color="000000" w:themeColor="text1"/>
            </w:tcBorders>
            <w:noWrap/>
            <w:tcMar>
              <w:right w:w="0" w:type="nil"/>
            </w:tcMar>
            <w:hideMark/>
          </w:tcPr>
          <w:p w14:paraId="7292D74D" w14:textId="77777777" w:rsidR="006E51BF" w:rsidRPr="00D81DA6"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r w:rsidRPr="00D81DA6">
              <w:rPr>
                <w:color w:val="000000"/>
                <w:lang w:eastAsia="en-AU"/>
              </w:rPr>
              <w:t>7,811.5</w:t>
            </w:r>
          </w:p>
        </w:tc>
      </w:tr>
      <w:tr w:rsidR="006E51BF" w:rsidRPr="00D81DA6" w14:paraId="0587144A" w14:textId="77777777" w:rsidTr="00735BAF">
        <w:trPr>
          <w:cnfStyle w:val="000000100000" w:firstRow="0" w:lastRow="0" w:firstColumn="0" w:lastColumn="0" w:oddVBand="0" w:evenVBand="0" w:oddHBand="1" w:evenHBand="0" w:firstRowFirstColumn="0" w:firstRowLastColumn="0" w:lastRowFirstColumn="0" w:lastRowLastColumn="0"/>
          <w:trHeight w:val="20"/>
        </w:trPr>
        <w:tc>
          <w:tcPr>
            <w:tcW w:w="955" w:type="pct"/>
            <w:tcBorders>
              <w:top w:val="single" w:sz="4" w:space="0" w:color="000000" w:themeColor="text1"/>
              <w:bottom w:val="single" w:sz="4" w:space="0" w:color="000000" w:themeColor="text1"/>
            </w:tcBorders>
            <w:noWrap/>
            <w:hideMark/>
          </w:tcPr>
          <w:p w14:paraId="5DB38147" w14:textId="77777777" w:rsidR="006E51BF" w:rsidRPr="00D81DA6" w:rsidRDefault="006E51BF">
            <w:pPr>
              <w:pStyle w:val="ARfintabletextboldcoloured"/>
              <w:rPr>
                <w:lang w:eastAsia="en-AU"/>
              </w:rPr>
            </w:pPr>
            <w:r w:rsidRPr="00D81DA6">
              <w:rPr>
                <w:lang w:eastAsia="en-AU"/>
              </w:rPr>
              <w:t>Net result from transactions</w:t>
            </w:r>
          </w:p>
        </w:tc>
        <w:tc>
          <w:tcPr>
            <w:cnfStyle w:val="000001000000" w:firstRow="0" w:lastRow="0" w:firstColumn="0" w:lastColumn="0" w:oddVBand="0" w:evenVBand="1" w:oddHBand="0" w:evenHBand="0" w:firstRowFirstColumn="0" w:firstRowLastColumn="0" w:lastRowFirstColumn="0" w:lastRowLastColumn="0"/>
            <w:tcW w:w="705" w:type="pct"/>
            <w:tcBorders>
              <w:top w:val="single" w:sz="4" w:space="0" w:color="000000" w:themeColor="text1"/>
              <w:bottom w:val="single" w:sz="4" w:space="0" w:color="000000" w:themeColor="text1"/>
            </w:tcBorders>
            <w:noWrap/>
            <w:tcMar>
              <w:right w:w="0" w:type="nil"/>
            </w:tcMar>
            <w:hideMark/>
          </w:tcPr>
          <w:p w14:paraId="4A737023" w14:textId="77777777" w:rsidR="006E51BF" w:rsidRPr="00D81DA6" w:rsidRDefault="006E51BF">
            <w:pPr>
              <w:pStyle w:val="ARfintabletextright"/>
              <w:rPr>
                <w:color w:val="000000"/>
                <w:lang w:eastAsia="en-AU"/>
              </w:rPr>
            </w:pPr>
            <w:r w:rsidRPr="00D81DA6">
              <w:rPr>
                <w:color w:val="000000"/>
                <w:lang w:eastAsia="en-AU"/>
              </w:rPr>
              <w:t>(51.0)</w:t>
            </w:r>
          </w:p>
        </w:tc>
        <w:tc>
          <w:tcPr>
            <w:tcW w:w="621"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49A1C568" w14:textId="77777777" w:rsidR="006E51BF" w:rsidRPr="00D81DA6" w:rsidRDefault="006E51BF">
            <w:pPr>
              <w:pStyle w:val="ARfintabletextright"/>
              <w:cnfStyle w:val="000000100000" w:firstRow="0" w:lastRow="0" w:firstColumn="0" w:lastColumn="0" w:oddVBand="0" w:evenVBand="0" w:oddHBand="1" w:evenHBand="0" w:firstRowFirstColumn="0" w:firstRowLastColumn="0" w:lastRowFirstColumn="0" w:lastRowLastColumn="0"/>
              <w:rPr>
                <w:color w:val="000000"/>
                <w:lang w:eastAsia="en-AU"/>
              </w:rPr>
            </w:pPr>
            <w:r w:rsidRPr="00D81DA6">
              <w:rPr>
                <w:color w:val="000000"/>
                <w:lang w:eastAsia="en-AU"/>
              </w:rPr>
              <w:t>(125.3)</w:t>
            </w:r>
          </w:p>
        </w:tc>
        <w:tc>
          <w:tcPr>
            <w:cnfStyle w:val="000001000000" w:firstRow="0" w:lastRow="0" w:firstColumn="0" w:lastColumn="0" w:oddVBand="0" w:evenVBand="1" w:oddHBand="0" w:evenHBand="0" w:firstRowFirstColumn="0" w:firstRowLastColumn="0" w:lastRowFirstColumn="0" w:lastRowLastColumn="0"/>
            <w:tcW w:w="441" w:type="pct"/>
            <w:tcBorders>
              <w:top w:val="single" w:sz="4" w:space="0" w:color="000000" w:themeColor="text1"/>
              <w:bottom w:val="single" w:sz="4" w:space="0" w:color="000000" w:themeColor="text1"/>
            </w:tcBorders>
            <w:shd w:val="clear" w:color="auto" w:fill="auto"/>
            <w:noWrap/>
            <w:tcMar>
              <w:right w:w="0" w:type="nil"/>
            </w:tcMar>
            <w:hideMark/>
          </w:tcPr>
          <w:p w14:paraId="5E1F06B0" w14:textId="77777777" w:rsidR="006E51BF" w:rsidRPr="00D81DA6" w:rsidRDefault="006E51BF">
            <w:pPr>
              <w:pStyle w:val="ARfintabletextright"/>
              <w:rPr>
                <w:color w:val="000000"/>
                <w:lang w:eastAsia="en-AU"/>
              </w:rPr>
            </w:pPr>
            <w:r w:rsidRPr="00D81DA6">
              <w:rPr>
                <w:color w:val="000000"/>
                <w:lang w:eastAsia="en-AU"/>
              </w:rPr>
              <w:t>(446.7)</w:t>
            </w:r>
          </w:p>
        </w:tc>
        <w:tc>
          <w:tcPr>
            <w:tcW w:w="441" w:type="pct"/>
            <w:tcBorders>
              <w:top w:val="single" w:sz="4" w:space="0" w:color="000000" w:themeColor="text1"/>
              <w:bottom w:val="single" w:sz="4" w:space="0" w:color="000000" w:themeColor="text1"/>
            </w:tcBorders>
            <w:noWrap/>
            <w:tcMar>
              <w:right w:w="0" w:type="nil"/>
            </w:tcMar>
            <w:hideMark/>
          </w:tcPr>
          <w:p w14:paraId="67507AF5" w14:textId="77777777" w:rsidR="006E51BF" w:rsidRPr="00D81DA6" w:rsidRDefault="006E51BF">
            <w:pPr>
              <w:pStyle w:val="ARfintabletextright"/>
              <w:cnfStyle w:val="000000100000" w:firstRow="0" w:lastRow="0" w:firstColumn="0" w:lastColumn="0" w:oddVBand="0" w:evenVBand="0" w:oddHBand="1" w:evenHBand="0" w:firstRowFirstColumn="0" w:firstRowLastColumn="0" w:lastRowFirstColumn="0" w:lastRowLastColumn="0"/>
              <w:rPr>
                <w:color w:val="000000"/>
                <w:lang w:eastAsia="en-AU"/>
              </w:rPr>
            </w:pPr>
            <w:r w:rsidRPr="00D81DA6">
              <w:rPr>
                <w:color w:val="000000"/>
                <w:lang w:eastAsia="en-AU"/>
              </w:rPr>
              <w:t>(344.4)</w:t>
            </w:r>
          </w:p>
        </w:tc>
        <w:tc>
          <w:tcPr>
            <w:cnfStyle w:val="000001000000" w:firstRow="0" w:lastRow="0" w:firstColumn="0" w:lastColumn="0" w:oddVBand="0" w:evenVBand="1" w:oddHBand="0" w:evenHBand="0" w:firstRowFirstColumn="0" w:firstRowLastColumn="0" w:lastRowFirstColumn="0" w:lastRowLastColumn="0"/>
            <w:tcW w:w="459" w:type="pct"/>
            <w:tcBorders>
              <w:top w:val="single" w:sz="4" w:space="0" w:color="000000" w:themeColor="text1"/>
              <w:bottom w:val="single" w:sz="4" w:space="0" w:color="000000" w:themeColor="text1"/>
            </w:tcBorders>
            <w:noWrap/>
            <w:tcMar>
              <w:right w:w="0" w:type="nil"/>
            </w:tcMar>
            <w:hideMark/>
          </w:tcPr>
          <w:p w14:paraId="1589EDDC" w14:textId="77777777" w:rsidR="006E51BF" w:rsidRPr="00D81DA6" w:rsidRDefault="006E51BF">
            <w:pPr>
              <w:pStyle w:val="ARfintabletextright"/>
              <w:rPr>
                <w:color w:val="000000"/>
                <w:lang w:eastAsia="en-AU"/>
              </w:rPr>
            </w:pPr>
            <w:r>
              <w:rPr>
                <w:color w:val="000000"/>
                <w:lang w:eastAsia="en-AU"/>
              </w:rPr>
              <w:t>–</w:t>
            </w:r>
          </w:p>
        </w:tc>
        <w:tc>
          <w:tcPr>
            <w:tcW w:w="460"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6776D721" w14:textId="77777777" w:rsidR="006E51BF" w:rsidRPr="00D81DA6" w:rsidRDefault="006E51BF">
            <w:pPr>
              <w:pStyle w:val="ARfintabletextright"/>
              <w:cnfStyle w:val="000000100000" w:firstRow="0" w:lastRow="0" w:firstColumn="0" w:lastColumn="0" w:oddVBand="0" w:evenVBand="0" w:oddHBand="1" w:evenHBand="0" w:firstRowFirstColumn="0" w:firstRowLastColumn="0" w:lastRowFirstColumn="0" w:lastRowLastColumn="0"/>
              <w:rPr>
                <w:color w:val="000000"/>
                <w:lang w:eastAsia="en-AU"/>
              </w:rPr>
            </w:pPr>
            <w:r>
              <w:rPr>
                <w:color w:val="000000"/>
                <w:lang w:eastAsia="en-AU"/>
              </w:rPr>
              <w:t>–</w:t>
            </w:r>
          </w:p>
        </w:tc>
        <w:tc>
          <w:tcPr>
            <w:cnfStyle w:val="000001000000" w:firstRow="0" w:lastRow="0" w:firstColumn="0" w:lastColumn="0" w:oddVBand="0" w:evenVBand="1" w:oddHBand="0" w:evenHBand="0" w:firstRowFirstColumn="0" w:firstRowLastColumn="0" w:lastRowFirstColumn="0" w:lastRowLastColumn="0"/>
            <w:tcW w:w="459" w:type="pct"/>
            <w:tcBorders>
              <w:top w:val="single" w:sz="4" w:space="0" w:color="000000" w:themeColor="text1"/>
              <w:bottom w:val="single" w:sz="4" w:space="0" w:color="000000" w:themeColor="text1"/>
            </w:tcBorders>
            <w:shd w:val="clear" w:color="auto" w:fill="auto"/>
            <w:noWrap/>
            <w:tcMar>
              <w:right w:w="0" w:type="nil"/>
            </w:tcMar>
            <w:hideMark/>
          </w:tcPr>
          <w:p w14:paraId="5527EE65" w14:textId="77777777" w:rsidR="006E51BF" w:rsidRPr="00D81DA6" w:rsidRDefault="006E51BF">
            <w:pPr>
              <w:pStyle w:val="ARfintabletextright"/>
              <w:rPr>
                <w:color w:val="000000"/>
                <w:lang w:eastAsia="en-AU"/>
              </w:rPr>
            </w:pPr>
            <w:r w:rsidRPr="00D81DA6">
              <w:rPr>
                <w:color w:val="000000"/>
                <w:lang w:eastAsia="en-AU"/>
              </w:rPr>
              <w:t>(497.6)</w:t>
            </w:r>
          </w:p>
        </w:tc>
        <w:tc>
          <w:tcPr>
            <w:tcW w:w="460" w:type="pct"/>
            <w:tcBorders>
              <w:top w:val="single" w:sz="4" w:space="0" w:color="000000" w:themeColor="text1"/>
              <w:bottom w:val="single" w:sz="4" w:space="0" w:color="000000" w:themeColor="text1"/>
            </w:tcBorders>
            <w:noWrap/>
            <w:tcMar>
              <w:right w:w="0" w:type="nil"/>
            </w:tcMar>
            <w:hideMark/>
          </w:tcPr>
          <w:p w14:paraId="77F1779F" w14:textId="77777777" w:rsidR="006E51BF" w:rsidRPr="00D81DA6" w:rsidRDefault="006E51BF">
            <w:pPr>
              <w:pStyle w:val="ARfintabletextright"/>
              <w:cnfStyle w:val="000000100000" w:firstRow="0" w:lastRow="0" w:firstColumn="0" w:lastColumn="0" w:oddVBand="0" w:evenVBand="0" w:oddHBand="1" w:evenHBand="0" w:firstRowFirstColumn="0" w:firstRowLastColumn="0" w:lastRowFirstColumn="0" w:lastRowLastColumn="0"/>
              <w:rPr>
                <w:color w:val="000000"/>
                <w:lang w:eastAsia="en-AU"/>
              </w:rPr>
            </w:pPr>
            <w:r w:rsidRPr="00D81DA6">
              <w:rPr>
                <w:color w:val="000000"/>
                <w:lang w:eastAsia="en-AU"/>
              </w:rPr>
              <w:t>(469.7)</w:t>
            </w:r>
          </w:p>
        </w:tc>
      </w:tr>
      <w:tr w:rsidR="006E51BF" w:rsidRPr="00D81DA6" w14:paraId="69EEEBAF" w14:textId="77777777" w:rsidTr="00735BAF">
        <w:trPr>
          <w:cnfStyle w:val="000000010000" w:firstRow="0" w:lastRow="0" w:firstColumn="0" w:lastColumn="0" w:oddVBand="0" w:evenVBand="0" w:oddHBand="0" w:evenHBand="1" w:firstRowFirstColumn="0" w:firstRowLastColumn="0" w:lastRowFirstColumn="0" w:lastRowLastColumn="0"/>
          <w:trHeight w:val="20"/>
        </w:trPr>
        <w:tc>
          <w:tcPr>
            <w:tcW w:w="955" w:type="pct"/>
            <w:tcBorders>
              <w:top w:val="single" w:sz="4" w:space="0" w:color="000000" w:themeColor="text1"/>
              <w:bottom w:val="single" w:sz="4" w:space="0" w:color="000000" w:themeColor="text1"/>
            </w:tcBorders>
            <w:noWrap/>
            <w:hideMark/>
          </w:tcPr>
          <w:p w14:paraId="2A22025F" w14:textId="77777777" w:rsidR="006E51BF" w:rsidRPr="00D81DA6" w:rsidRDefault="006E51BF">
            <w:pPr>
              <w:pStyle w:val="ARfintabletextboldcoloured"/>
              <w:rPr>
                <w:lang w:eastAsia="en-AU"/>
              </w:rPr>
            </w:pPr>
            <w:r w:rsidRPr="00D81DA6">
              <w:rPr>
                <w:lang w:eastAsia="en-AU"/>
              </w:rPr>
              <w:t>Total assets</w:t>
            </w:r>
          </w:p>
        </w:tc>
        <w:tc>
          <w:tcPr>
            <w:cnfStyle w:val="000001000000" w:firstRow="0" w:lastRow="0" w:firstColumn="0" w:lastColumn="0" w:oddVBand="0" w:evenVBand="1" w:oddHBand="0" w:evenHBand="0" w:firstRowFirstColumn="0" w:firstRowLastColumn="0" w:lastRowFirstColumn="0" w:lastRowLastColumn="0"/>
            <w:tcW w:w="705" w:type="pct"/>
            <w:tcBorders>
              <w:top w:val="single" w:sz="4" w:space="0" w:color="000000" w:themeColor="text1"/>
              <w:bottom w:val="single" w:sz="4" w:space="0" w:color="000000" w:themeColor="text1"/>
            </w:tcBorders>
            <w:noWrap/>
            <w:tcMar>
              <w:right w:w="0" w:type="nil"/>
            </w:tcMar>
            <w:hideMark/>
          </w:tcPr>
          <w:p w14:paraId="75C1C5C8" w14:textId="77777777" w:rsidR="006E51BF" w:rsidRPr="00D81DA6" w:rsidRDefault="006E51BF">
            <w:pPr>
              <w:pStyle w:val="ARfintabletextright"/>
              <w:rPr>
                <w:color w:val="000000"/>
                <w:lang w:eastAsia="en-AU"/>
              </w:rPr>
            </w:pPr>
            <w:r w:rsidRPr="00D81DA6">
              <w:rPr>
                <w:color w:val="000000"/>
                <w:lang w:eastAsia="en-AU"/>
              </w:rPr>
              <w:t>2,688.1</w:t>
            </w:r>
          </w:p>
        </w:tc>
        <w:tc>
          <w:tcPr>
            <w:tcW w:w="621"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25CD909B" w14:textId="77777777" w:rsidR="006E51BF" w:rsidRPr="00D81DA6"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r w:rsidRPr="00D81DA6">
              <w:rPr>
                <w:color w:val="000000"/>
                <w:lang w:eastAsia="en-AU"/>
              </w:rPr>
              <w:t>2,662.1</w:t>
            </w:r>
          </w:p>
        </w:tc>
        <w:tc>
          <w:tcPr>
            <w:cnfStyle w:val="000001000000" w:firstRow="0" w:lastRow="0" w:firstColumn="0" w:lastColumn="0" w:oddVBand="0" w:evenVBand="1" w:oddHBand="0" w:evenHBand="0" w:firstRowFirstColumn="0" w:firstRowLastColumn="0" w:lastRowFirstColumn="0" w:lastRowLastColumn="0"/>
            <w:tcW w:w="441" w:type="pct"/>
            <w:tcBorders>
              <w:top w:val="single" w:sz="4" w:space="0" w:color="000000" w:themeColor="text1"/>
              <w:bottom w:val="single" w:sz="4" w:space="0" w:color="000000" w:themeColor="text1"/>
            </w:tcBorders>
            <w:shd w:val="clear" w:color="auto" w:fill="auto"/>
            <w:noWrap/>
            <w:tcMar>
              <w:right w:w="0" w:type="nil"/>
            </w:tcMar>
            <w:hideMark/>
          </w:tcPr>
          <w:p w14:paraId="5A314307" w14:textId="77777777" w:rsidR="006E51BF" w:rsidRPr="00D81DA6" w:rsidRDefault="006E51BF">
            <w:pPr>
              <w:pStyle w:val="ARfintabletextright"/>
              <w:rPr>
                <w:color w:val="000000"/>
                <w:lang w:eastAsia="en-AU"/>
              </w:rPr>
            </w:pPr>
            <w:r w:rsidRPr="00D81DA6">
              <w:rPr>
                <w:color w:val="000000"/>
                <w:lang w:eastAsia="en-AU"/>
              </w:rPr>
              <w:t>39,308.4</w:t>
            </w:r>
          </w:p>
        </w:tc>
        <w:tc>
          <w:tcPr>
            <w:tcW w:w="441" w:type="pct"/>
            <w:tcBorders>
              <w:top w:val="single" w:sz="4" w:space="0" w:color="000000" w:themeColor="text1"/>
              <w:bottom w:val="single" w:sz="4" w:space="0" w:color="000000" w:themeColor="text1"/>
            </w:tcBorders>
            <w:noWrap/>
            <w:tcMar>
              <w:right w:w="0" w:type="nil"/>
            </w:tcMar>
            <w:hideMark/>
          </w:tcPr>
          <w:p w14:paraId="2EE550A4" w14:textId="77777777" w:rsidR="006E51BF" w:rsidRPr="00D81DA6"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r w:rsidRPr="00D81DA6">
              <w:rPr>
                <w:color w:val="000000"/>
                <w:lang w:eastAsia="en-AU"/>
              </w:rPr>
              <w:t>38,848.2</w:t>
            </w:r>
          </w:p>
        </w:tc>
        <w:tc>
          <w:tcPr>
            <w:cnfStyle w:val="000001000000" w:firstRow="0" w:lastRow="0" w:firstColumn="0" w:lastColumn="0" w:oddVBand="0" w:evenVBand="1" w:oddHBand="0" w:evenHBand="0" w:firstRowFirstColumn="0" w:firstRowLastColumn="0" w:lastRowFirstColumn="0" w:lastRowLastColumn="0"/>
            <w:tcW w:w="459" w:type="pct"/>
            <w:tcBorders>
              <w:top w:val="single" w:sz="4" w:space="0" w:color="000000" w:themeColor="text1"/>
              <w:bottom w:val="single" w:sz="4" w:space="0" w:color="000000" w:themeColor="text1"/>
            </w:tcBorders>
            <w:noWrap/>
            <w:tcMar>
              <w:right w:w="0" w:type="nil"/>
            </w:tcMar>
            <w:hideMark/>
          </w:tcPr>
          <w:p w14:paraId="2E53690A" w14:textId="77777777" w:rsidR="006E51BF" w:rsidRPr="00D81DA6" w:rsidRDefault="006E51BF">
            <w:pPr>
              <w:pStyle w:val="ARfintabletextright"/>
              <w:rPr>
                <w:color w:val="000000"/>
                <w:lang w:eastAsia="en-AU"/>
              </w:rPr>
            </w:pPr>
            <w:r w:rsidRPr="00D81DA6">
              <w:rPr>
                <w:color w:val="000000"/>
                <w:lang w:eastAsia="en-AU"/>
              </w:rPr>
              <w:t>(10.0)</w:t>
            </w:r>
          </w:p>
        </w:tc>
        <w:tc>
          <w:tcPr>
            <w:tcW w:w="460"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50F166B8" w14:textId="77777777" w:rsidR="006E51BF" w:rsidRPr="00D81DA6"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r w:rsidRPr="00D81DA6">
              <w:rPr>
                <w:color w:val="000000"/>
                <w:lang w:eastAsia="en-AU"/>
              </w:rPr>
              <w:t>(14.6)</w:t>
            </w:r>
          </w:p>
        </w:tc>
        <w:tc>
          <w:tcPr>
            <w:cnfStyle w:val="000001000000" w:firstRow="0" w:lastRow="0" w:firstColumn="0" w:lastColumn="0" w:oddVBand="0" w:evenVBand="1" w:oddHBand="0" w:evenHBand="0" w:firstRowFirstColumn="0" w:firstRowLastColumn="0" w:lastRowFirstColumn="0" w:lastRowLastColumn="0"/>
            <w:tcW w:w="459" w:type="pct"/>
            <w:tcBorders>
              <w:top w:val="single" w:sz="4" w:space="0" w:color="000000" w:themeColor="text1"/>
              <w:bottom w:val="single" w:sz="4" w:space="0" w:color="000000" w:themeColor="text1"/>
            </w:tcBorders>
            <w:shd w:val="clear" w:color="auto" w:fill="auto"/>
            <w:noWrap/>
            <w:tcMar>
              <w:right w:w="0" w:type="nil"/>
            </w:tcMar>
            <w:hideMark/>
          </w:tcPr>
          <w:p w14:paraId="57FE82A0" w14:textId="77777777" w:rsidR="006E51BF" w:rsidRPr="00D81DA6" w:rsidRDefault="006E51BF">
            <w:pPr>
              <w:pStyle w:val="ARfintabletextright"/>
              <w:rPr>
                <w:color w:val="000000"/>
                <w:lang w:eastAsia="en-AU"/>
              </w:rPr>
            </w:pPr>
            <w:r w:rsidRPr="00D81DA6">
              <w:rPr>
                <w:color w:val="000000"/>
                <w:lang w:eastAsia="en-AU"/>
              </w:rPr>
              <w:t>41,986.6</w:t>
            </w:r>
          </w:p>
        </w:tc>
        <w:tc>
          <w:tcPr>
            <w:tcW w:w="460" w:type="pct"/>
            <w:tcBorders>
              <w:top w:val="single" w:sz="4" w:space="0" w:color="000000" w:themeColor="text1"/>
              <w:bottom w:val="single" w:sz="4" w:space="0" w:color="000000" w:themeColor="text1"/>
            </w:tcBorders>
            <w:noWrap/>
            <w:tcMar>
              <w:right w:w="0" w:type="nil"/>
            </w:tcMar>
            <w:hideMark/>
          </w:tcPr>
          <w:p w14:paraId="59E60F89" w14:textId="77777777" w:rsidR="006E51BF" w:rsidRPr="00D81DA6" w:rsidRDefault="006E51BF">
            <w:pPr>
              <w:pStyle w:val="ARfintabletextright"/>
              <w:cnfStyle w:val="000000010000" w:firstRow="0" w:lastRow="0" w:firstColumn="0" w:lastColumn="0" w:oddVBand="0" w:evenVBand="0" w:oddHBand="0" w:evenHBand="1" w:firstRowFirstColumn="0" w:firstRowLastColumn="0" w:lastRowFirstColumn="0" w:lastRowLastColumn="0"/>
              <w:rPr>
                <w:color w:val="000000"/>
                <w:lang w:eastAsia="en-AU"/>
              </w:rPr>
            </w:pPr>
            <w:r w:rsidRPr="00D81DA6">
              <w:rPr>
                <w:color w:val="000000"/>
                <w:lang w:eastAsia="en-AU"/>
              </w:rPr>
              <w:t>41,495.7</w:t>
            </w:r>
          </w:p>
        </w:tc>
      </w:tr>
      <w:tr w:rsidR="006E51BF" w:rsidRPr="00D81DA6" w14:paraId="4EF85909" w14:textId="77777777" w:rsidTr="00735BAF">
        <w:trPr>
          <w:cnfStyle w:val="000000100000" w:firstRow="0" w:lastRow="0" w:firstColumn="0" w:lastColumn="0" w:oddVBand="0" w:evenVBand="0" w:oddHBand="1" w:evenHBand="0" w:firstRowFirstColumn="0" w:firstRowLastColumn="0" w:lastRowFirstColumn="0" w:lastRowLastColumn="0"/>
          <w:trHeight w:val="20"/>
        </w:trPr>
        <w:tc>
          <w:tcPr>
            <w:tcW w:w="955" w:type="pct"/>
            <w:tcBorders>
              <w:top w:val="single" w:sz="4" w:space="0" w:color="000000" w:themeColor="text1"/>
              <w:bottom w:val="single" w:sz="4" w:space="0" w:color="000000" w:themeColor="text1"/>
            </w:tcBorders>
            <w:hideMark/>
          </w:tcPr>
          <w:p w14:paraId="0DD48E84" w14:textId="77777777" w:rsidR="006E51BF" w:rsidRPr="00D81DA6" w:rsidRDefault="006E51BF">
            <w:pPr>
              <w:pStyle w:val="ARfintabletextboldcoloured"/>
              <w:rPr>
                <w:lang w:eastAsia="en-AU"/>
              </w:rPr>
            </w:pPr>
            <w:r w:rsidRPr="00D81DA6">
              <w:rPr>
                <w:lang w:eastAsia="en-AU"/>
              </w:rPr>
              <w:t>Total liabilities</w:t>
            </w:r>
          </w:p>
        </w:tc>
        <w:tc>
          <w:tcPr>
            <w:cnfStyle w:val="000001000000" w:firstRow="0" w:lastRow="0" w:firstColumn="0" w:lastColumn="0" w:oddVBand="0" w:evenVBand="1" w:oddHBand="0" w:evenHBand="0" w:firstRowFirstColumn="0" w:firstRowLastColumn="0" w:lastRowFirstColumn="0" w:lastRowLastColumn="0"/>
            <w:tcW w:w="705" w:type="pct"/>
            <w:tcBorders>
              <w:top w:val="single" w:sz="4" w:space="0" w:color="000000" w:themeColor="text1"/>
              <w:bottom w:val="single" w:sz="4" w:space="0" w:color="000000" w:themeColor="text1"/>
            </w:tcBorders>
            <w:noWrap/>
            <w:tcMar>
              <w:right w:w="0" w:type="nil"/>
            </w:tcMar>
            <w:hideMark/>
          </w:tcPr>
          <w:p w14:paraId="2E6C0DAF" w14:textId="77777777" w:rsidR="006E51BF" w:rsidRPr="00D81DA6" w:rsidRDefault="006E51BF">
            <w:pPr>
              <w:pStyle w:val="ARfintabletextright"/>
              <w:rPr>
                <w:lang w:eastAsia="en-AU"/>
              </w:rPr>
            </w:pPr>
            <w:r w:rsidRPr="00D81DA6">
              <w:rPr>
                <w:lang w:eastAsia="en-AU"/>
              </w:rPr>
              <w:t>1,377.2</w:t>
            </w:r>
          </w:p>
        </w:tc>
        <w:tc>
          <w:tcPr>
            <w:tcW w:w="621"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0255C11A" w14:textId="77777777" w:rsidR="006E51BF" w:rsidRPr="00D81DA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D81DA6">
              <w:rPr>
                <w:lang w:eastAsia="en-AU"/>
              </w:rPr>
              <w:t>1,350.7</w:t>
            </w:r>
          </w:p>
        </w:tc>
        <w:tc>
          <w:tcPr>
            <w:cnfStyle w:val="000001000000" w:firstRow="0" w:lastRow="0" w:firstColumn="0" w:lastColumn="0" w:oddVBand="0" w:evenVBand="1" w:oddHBand="0" w:evenHBand="0" w:firstRowFirstColumn="0" w:firstRowLastColumn="0" w:lastRowFirstColumn="0" w:lastRowLastColumn="0"/>
            <w:tcW w:w="441" w:type="pct"/>
            <w:tcBorders>
              <w:top w:val="single" w:sz="4" w:space="0" w:color="000000" w:themeColor="text1"/>
              <w:bottom w:val="single" w:sz="4" w:space="0" w:color="000000" w:themeColor="text1"/>
            </w:tcBorders>
            <w:shd w:val="clear" w:color="auto" w:fill="auto"/>
            <w:noWrap/>
            <w:tcMar>
              <w:right w:w="0" w:type="nil"/>
            </w:tcMar>
            <w:hideMark/>
          </w:tcPr>
          <w:p w14:paraId="2EDDC3B6" w14:textId="77777777" w:rsidR="006E51BF" w:rsidRPr="00D81DA6" w:rsidRDefault="006E51BF">
            <w:pPr>
              <w:pStyle w:val="ARfintabletextright"/>
              <w:rPr>
                <w:lang w:eastAsia="en-AU"/>
              </w:rPr>
            </w:pPr>
            <w:r w:rsidRPr="00D81DA6">
              <w:rPr>
                <w:lang w:eastAsia="en-AU"/>
              </w:rPr>
              <w:t>1,227.4</w:t>
            </w:r>
          </w:p>
        </w:tc>
        <w:tc>
          <w:tcPr>
            <w:tcW w:w="441" w:type="pct"/>
            <w:tcBorders>
              <w:top w:val="single" w:sz="4" w:space="0" w:color="000000" w:themeColor="text1"/>
              <w:bottom w:val="single" w:sz="4" w:space="0" w:color="000000" w:themeColor="text1"/>
            </w:tcBorders>
            <w:noWrap/>
            <w:tcMar>
              <w:right w:w="0" w:type="nil"/>
            </w:tcMar>
            <w:hideMark/>
          </w:tcPr>
          <w:p w14:paraId="0CA9D89E" w14:textId="77777777" w:rsidR="006E51BF" w:rsidRPr="00D81DA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D81DA6">
              <w:rPr>
                <w:lang w:eastAsia="en-AU"/>
              </w:rPr>
              <w:t>1,065.8</w:t>
            </w:r>
          </w:p>
        </w:tc>
        <w:tc>
          <w:tcPr>
            <w:cnfStyle w:val="000001000000" w:firstRow="0" w:lastRow="0" w:firstColumn="0" w:lastColumn="0" w:oddVBand="0" w:evenVBand="1" w:oddHBand="0" w:evenHBand="0" w:firstRowFirstColumn="0" w:firstRowLastColumn="0" w:lastRowFirstColumn="0" w:lastRowLastColumn="0"/>
            <w:tcW w:w="459" w:type="pct"/>
            <w:tcBorders>
              <w:top w:val="single" w:sz="4" w:space="0" w:color="000000" w:themeColor="text1"/>
              <w:bottom w:val="single" w:sz="4" w:space="0" w:color="000000" w:themeColor="text1"/>
            </w:tcBorders>
            <w:noWrap/>
            <w:tcMar>
              <w:right w:w="0" w:type="nil"/>
            </w:tcMar>
            <w:hideMark/>
          </w:tcPr>
          <w:p w14:paraId="6AE7D20E" w14:textId="77777777" w:rsidR="006E51BF" w:rsidRPr="00D81DA6" w:rsidRDefault="006E51BF">
            <w:pPr>
              <w:pStyle w:val="ARfintabletextright"/>
              <w:rPr>
                <w:lang w:eastAsia="en-AU"/>
              </w:rPr>
            </w:pPr>
            <w:r w:rsidRPr="00D81DA6">
              <w:rPr>
                <w:lang w:eastAsia="en-AU"/>
              </w:rPr>
              <w:t>(10.0)</w:t>
            </w:r>
          </w:p>
        </w:tc>
        <w:tc>
          <w:tcPr>
            <w:tcW w:w="460"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5A7246D0" w14:textId="77777777" w:rsidR="006E51BF" w:rsidRPr="00D81DA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D81DA6">
              <w:rPr>
                <w:lang w:eastAsia="en-AU"/>
              </w:rPr>
              <w:t>(14.6)</w:t>
            </w:r>
          </w:p>
        </w:tc>
        <w:tc>
          <w:tcPr>
            <w:cnfStyle w:val="000001000000" w:firstRow="0" w:lastRow="0" w:firstColumn="0" w:lastColumn="0" w:oddVBand="0" w:evenVBand="1" w:oddHBand="0" w:evenHBand="0" w:firstRowFirstColumn="0" w:firstRowLastColumn="0" w:lastRowFirstColumn="0" w:lastRowLastColumn="0"/>
            <w:tcW w:w="459" w:type="pct"/>
            <w:tcBorders>
              <w:top w:val="single" w:sz="4" w:space="0" w:color="000000" w:themeColor="text1"/>
              <w:bottom w:val="single" w:sz="4" w:space="0" w:color="000000" w:themeColor="text1"/>
            </w:tcBorders>
            <w:shd w:val="clear" w:color="auto" w:fill="auto"/>
            <w:noWrap/>
            <w:tcMar>
              <w:right w:w="0" w:type="nil"/>
            </w:tcMar>
            <w:hideMark/>
          </w:tcPr>
          <w:p w14:paraId="6D1390C5" w14:textId="77777777" w:rsidR="006E51BF" w:rsidRPr="00D81DA6" w:rsidRDefault="006E51BF">
            <w:pPr>
              <w:pStyle w:val="ARfintabletextright"/>
              <w:rPr>
                <w:lang w:eastAsia="en-AU"/>
              </w:rPr>
            </w:pPr>
            <w:r w:rsidRPr="00D81DA6">
              <w:rPr>
                <w:lang w:eastAsia="en-AU"/>
              </w:rPr>
              <w:t>2,594.6</w:t>
            </w:r>
          </w:p>
        </w:tc>
        <w:tc>
          <w:tcPr>
            <w:tcW w:w="460" w:type="pct"/>
            <w:tcBorders>
              <w:top w:val="single" w:sz="4" w:space="0" w:color="000000" w:themeColor="text1"/>
              <w:bottom w:val="single" w:sz="4" w:space="0" w:color="000000" w:themeColor="text1"/>
            </w:tcBorders>
            <w:noWrap/>
            <w:tcMar>
              <w:right w:w="0" w:type="nil"/>
            </w:tcMar>
            <w:hideMark/>
          </w:tcPr>
          <w:p w14:paraId="22A5D565" w14:textId="77777777" w:rsidR="006E51BF" w:rsidRPr="00D81DA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D81DA6">
              <w:rPr>
                <w:lang w:eastAsia="en-AU"/>
              </w:rPr>
              <w:t>2,401.9</w:t>
            </w:r>
          </w:p>
        </w:tc>
      </w:tr>
    </w:tbl>
    <w:p w14:paraId="287C83D7" w14:textId="77777777" w:rsidR="006E51BF" w:rsidRPr="00373F8F" w:rsidRDefault="006E51BF">
      <w:pPr>
        <w:pStyle w:val="Heading4"/>
        <w:rPr>
          <w:lang w:eastAsia="en-AU"/>
        </w:rPr>
      </w:pPr>
      <w:bookmarkStart w:id="308" w:name="Responsiblepersons"/>
      <w:r w:rsidRPr="00373F8F">
        <w:rPr>
          <w:lang w:eastAsia="en-AU"/>
        </w:rPr>
        <w:t xml:space="preserve">9.6 </w:t>
      </w:r>
      <w:r>
        <w:rPr>
          <w:lang w:eastAsia="en-AU"/>
        </w:rPr>
        <w:tab/>
      </w:r>
      <w:r w:rsidRPr="00373F8F">
        <w:rPr>
          <w:lang w:eastAsia="en-AU"/>
        </w:rPr>
        <w:t>Responsible persons</w:t>
      </w:r>
    </w:p>
    <w:bookmarkEnd w:id="308"/>
    <w:p w14:paraId="4BDA9337" w14:textId="77777777" w:rsidR="006E51BF" w:rsidRPr="00373F8F" w:rsidRDefault="006E51BF">
      <w:pPr>
        <w:pStyle w:val="ARfinbody"/>
        <w:rPr>
          <w:lang w:eastAsia="en-AU"/>
        </w:rPr>
      </w:pPr>
      <w:r w:rsidRPr="00373F8F">
        <w:rPr>
          <w:lang w:eastAsia="en-AU"/>
        </w:rPr>
        <w:t xml:space="preserve">In accordance with the Directions of the Minister for Finance under the </w:t>
      </w:r>
      <w:r w:rsidRPr="00105DB4">
        <w:rPr>
          <w:rStyle w:val="Emphasis"/>
          <w:lang w:eastAsia="en-AU"/>
        </w:rPr>
        <w:t>Financial Management Act 1994</w:t>
      </w:r>
      <w:r w:rsidRPr="00373F8F">
        <w:rPr>
          <w:lang w:eastAsia="en-AU"/>
        </w:rPr>
        <w:t xml:space="preserve"> the following disclosures are made for the responsible persons for the reporting period.</w:t>
      </w:r>
    </w:p>
    <w:p w14:paraId="1B4E8318" w14:textId="77777777" w:rsidR="006E51BF" w:rsidRPr="00373F8F" w:rsidRDefault="006E51BF">
      <w:pPr>
        <w:pStyle w:val="Heading5"/>
        <w:rPr>
          <w:lang w:eastAsia="en-AU"/>
        </w:rPr>
      </w:pPr>
      <w:r w:rsidRPr="00373F8F">
        <w:rPr>
          <w:lang w:eastAsia="en-AU"/>
        </w:rPr>
        <w:t>Names</w:t>
      </w:r>
    </w:p>
    <w:p w14:paraId="2E07E897" w14:textId="68447BAF" w:rsidR="006E51BF" w:rsidRPr="00F4135B" w:rsidRDefault="006E51BF">
      <w:pPr>
        <w:pStyle w:val="ARfinbodybeforetableorfigure"/>
      </w:pPr>
      <w:r w:rsidRPr="00373F8F">
        <w:t>The persons who held the positions of Ministers and Accountable Officers</w:t>
      </w:r>
      <w:r w:rsidR="00F77100">
        <w:t xml:space="preserve"> </w:t>
      </w:r>
      <w:r w:rsidRPr="00373F8F">
        <w:rPr>
          <w:vertAlign w:val="superscript"/>
        </w:rPr>
        <w:t>(</w:t>
      </w:r>
      <w:proofErr w:type="spellStart"/>
      <w:r w:rsidRPr="00373F8F">
        <w:rPr>
          <w:vertAlign w:val="superscript"/>
        </w:rPr>
        <w:t>i</w:t>
      </w:r>
      <w:proofErr w:type="spellEnd"/>
      <w:r w:rsidRPr="00373F8F">
        <w:rPr>
          <w:vertAlign w:val="superscript"/>
        </w:rPr>
        <w:t>)</w:t>
      </w:r>
      <w:r w:rsidRPr="00373F8F">
        <w:t xml:space="preserve"> in the department were as</w:t>
      </w:r>
      <w:r>
        <w:t> </w:t>
      </w:r>
      <w:r w:rsidRPr="00373F8F">
        <w:t>follows:</w:t>
      </w:r>
    </w:p>
    <w:tbl>
      <w:tblPr>
        <w:tblStyle w:val="ARtable1"/>
        <w:tblW w:w="5000" w:type="pct"/>
        <w:tblLook w:val="00A0" w:firstRow="1" w:lastRow="0" w:firstColumn="1" w:lastColumn="0" w:noHBand="0" w:noVBand="0"/>
      </w:tblPr>
      <w:tblGrid>
        <w:gridCol w:w="3661"/>
        <w:gridCol w:w="2786"/>
        <w:gridCol w:w="3181"/>
      </w:tblGrid>
      <w:tr w:rsidR="006E51BF" w:rsidRPr="00373F8F" w14:paraId="6DAA868C" w14:textId="77777777">
        <w:trPr>
          <w:cnfStyle w:val="100000000000" w:firstRow="1" w:lastRow="0" w:firstColumn="0" w:lastColumn="0" w:oddVBand="0" w:evenVBand="0" w:oddHBand="0" w:evenHBand="0" w:firstRowFirstColumn="0" w:firstRowLastColumn="0" w:lastRowFirstColumn="0" w:lastRowLastColumn="0"/>
          <w:trHeight w:val="20"/>
          <w:tblHeader/>
        </w:trPr>
        <w:tc>
          <w:tcPr>
            <w:tcW w:w="1666" w:type="pct"/>
            <w:hideMark/>
          </w:tcPr>
          <w:p w14:paraId="0072BD87" w14:textId="77777777" w:rsidR="006E51BF" w:rsidRPr="00373F8F" w:rsidRDefault="006E51BF">
            <w:pPr>
              <w:pStyle w:val="ARfintablecolhead"/>
              <w:rPr>
                <w:lang w:eastAsia="en-AU"/>
              </w:rPr>
            </w:pPr>
            <w:r w:rsidRPr="00373F8F">
              <w:rPr>
                <w:lang w:eastAsia="en-AU"/>
              </w:rPr>
              <w:t>Relevant office</w:t>
            </w:r>
          </w:p>
        </w:tc>
        <w:tc>
          <w:tcPr>
            <w:cnfStyle w:val="000001000000" w:firstRow="0" w:lastRow="0" w:firstColumn="0" w:lastColumn="0" w:oddVBand="0" w:evenVBand="1" w:oddHBand="0" w:evenHBand="0" w:firstRowFirstColumn="0" w:firstRowLastColumn="0" w:lastRowFirstColumn="0" w:lastRowLastColumn="0"/>
            <w:tcW w:w="1667" w:type="pct"/>
            <w:tcMar>
              <w:left w:w="113" w:type="dxa"/>
            </w:tcMar>
            <w:hideMark/>
          </w:tcPr>
          <w:p w14:paraId="4CDDA142" w14:textId="77777777" w:rsidR="006E51BF" w:rsidRPr="00373F8F" w:rsidRDefault="006E51BF">
            <w:pPr>
              <w:pStyle w:val="ARfintablecolhead"/>
              <w:rPr>
                <w:lang w:eastAsia="en-AU"/>
              </w:rPr>
            </w:pPr>
            <w:r w:rsidRPr="00373F8F">
              <w:rPr>
                <w:lang w:eastAsia="en-AU"/>
              </w:rPr>
              <w:t>Minister or Accountable Officer</w:t>
            </w:r>
          </w:p>
        </w:tc>
        <w:tc>
          <w:tcPr>
            <w:tcW w:w="1667" w:type="pct"/>
            <w:tcMar>
              <w:left w:w="113" w:type="dxa"/>
            </w:tcMar>
            <w:hideMark/>
          </w:tcPr>
          <w:p w14:paraId="6D804A2D" w14:textId="77777777" w:rsidR="006E51BF" w:rsidRPr="00373F8F" w:rsidRDefault="006E51BF">
            <w:pPr>
              <w:pStyle w:val="ARfintablecolhead"/>
              <w:cnfStyle w:val="100000000000" w:firstRow="1" w:lastRow="0" w:firstColumn="0" w:lastColumn="0" w:oddVBand="0" w:evenVBand="0" w:oddHBand="0" w:evenHBand="0" w:firstRowFirstColumn="0" w:firstRowLastColumn="0" w:lastRowFirstColumn="0" w:lastRowLastColumn="0"/>
              <w:rPr>
                <w:lang w:eastAsia="en-AU"/>
              </w:rPr>
            </w:pPr>
            <w:r w:rsidRPr="00373F8F">
              <w:rPr>
                <w:lang w:eastAsia="en-AU"/>
              </w:rPr>
              <w:t>Period</w:t>
            </w:r>
          </w:p>
        </w:tc>
      </w:tr>
      <w:tr w:rsidR="006E51BF" w:rsidRPr="00373F8F" w14:paraId="519C99CF" w14:textId="77777777">
        <w:trPr>
          <w:cnfStyle w:val="000000100000" w:firstRow="0" w:lastRow="0" w:firstColumn="0" w:lastColumn="0" w:oddVBand="0" w:evenVBand="0" w:oddHBand="1" w:evenHBand="0" w:firstRowFirstColumn="0" w:firstRowLastColumn="0" w:lastRowFirstColumn="0" w:lastRowLastColumn="0"/>
          <w:trHeight w:val="20"/>
        </w:trPr>
        <w:tc>
          <w:tcPr>
            <w:tcW w:w="1666" w:type="pct"/>
            <w:noWrap/>
            <w:hideMark/>
          </w:tcPr>
          <w:p w14:paraId="41F89FC5" w14:textId="77777777" w:rsidR="006E51BF" w:rsidRPr="0041400D" w:rsidRDefault="006E51BF">
            <w:pPr>
              <w:pStyle w:val="ARfintabletext"/>
            </w:pPr>
            <w:r w:rsidRPr="0041400D">
              <w:t>Minister for Disability</w:t>
            </w:r>
          </w:p>
        </w:tc>
        <w:tc>
          <w:tcPr>
            <w:cnfStyle w:val="000001000000" w:firstRow="0" w:lastRow="0" w:firstColumn="0" w:lastColumn="0" w:oddVBand="0" w:evenVBand="1" w:oddHBand="0" w:evenHBand="0" w:firstRowFirstColumn="0" w:firstRowLastColumn="0" w:lastRowFirstColumn="0" w:lastRowLastColumn="0"/>
            <w:tcW w:w="1667" w:type="pct"/>
            <w:noWrap/>
            <w:tcMar>
              <w:left w:w="113" w:type="dxa"/>
            </w:tcMar>
            <w:hideMark/>
          </w:tcPr>
          <w:p w14:paraId="7A162C98" w14:textId="77777777" w:rsidR="006E51BF" w:rsidRPr="0041400D" w:rsidRDefault="006E51BF">
            <w:pPr>
              <w:pStyle w:val="ARfintabletext"/>
            </w:pPr>
            <w:r w:rsidRPr="0041400D">
              <w:t>Hon. Lizzie Blandthorn</w:t>
            </w:r>
          </w:p>
        </w:tc>
        <w:tc>
          <w:tcPr>
            <w:tcW w:w="1667" w:type="pct"/>
            <w:noWrap/>
            <w:tcMar>
              <w:left w:w="113" w:type="dxa"/>
            </w:tcMar>
            <w:hideMark/>
          </w:tcPr>
          <w:p w14:paraId="3FB9AFDD"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1 July 2025 to 30 June 2026</w:t>
            </w:r>
          </w:p>
        </w:tc>
      </w:tr>
      <w:tr w:rsidR="006E51BF" w:rsidRPr="00373F8F" w14:paraId="44438804" w14:textId="77777777">
        <w:trPr>
          <w:cnfStyle w:val="000000010000" w:firstRow="0" w:lastRow="0" w:firstColumn="0" w:lastColumn="0" w:oddVBand="0" w:evenVBand="0" w:oddHBand="0" w:evenHBand="1" w:firstRowFirstColumn="0" w:firstRowLastColumn="0" w:lastRowFirstColumn="0" w:lastRowLastColumn="0"/>
          <w:trHeight w:val="20"/>
        </w:trPr>
        <w:tc>
          <w:tcPr>
            <w:tcW w:w="1666" w:type="pct"/>
            <w:noWrap/>
            <w:hideMark/>
          </w:tcPr>
          <w:p w14:paraId="7FC582F2" w14:textId="77777777" w:rsidR="006E51BF" w:rsidRPr="0041400D" w:rsidRDefault="006E51BF">
            <w:pPr>
              <w:pStyle w:val="ARfintabletext"/>
            </w:pPr>
            <w:r w:rsidRPr="0041400D">
              <w:t>Minister for Children</w:t>
            </w:r>
          </w:p>
        </w:tc>
        <w:tc>
          <w:tcPr>
            <w:cnfStyle w:val="000001000000" w:firstRow="0" w:lastRow="0" w:firstColumn="0" w:lastColumn="0" w:oddVBand="0" w:evenVBand="1" w:oddHBand="0" w:evenHBand="0" w:firstRowFirstColumn="0" w:firstRowLastColumn="0" w:lastRowFirstColumn="0" w:lastRowLastColumn="0"/>
            <w:tcW w:w="1667" w:type="pct"/>
            <w:noWrap/>
            <w:tcMar>
              <w:left w:w="113" w:type="dxa"/>
            </w:tcMar>
            <w:hideMark/>
          </w:tcPr>
          <w:p w14:paraId="573D7B91" w14:textId="77777777" w:rsidR="006E51BF" w:rsidRPr="0041400D" w:rsidRDefault="006E51BF">
            <w:pPr>
              <w:pStyle w:val="ARfintabletext"/>
            </w:pPr>
            <w:r w:rsidRPr="0041400D">
              <w:t>Hon. Lizzie Blandthorn</w:t>
            </w:r>
          </w:p>
        </w:tc>
        <w:tc>
          <w:tcPr>
            <w:tcW w:w="1667" w:type="pct"/>
            <w:noWrap/>
            <w:tcMar>
              <w:left w:w="113" w:type="dxa"/>
            </w:tcMar>
            <w:hideMark/>
          </w:tcPr>
          <w:p w14:paraId="6CBA5B0A" w14:textId="77777777" w:rsidR="006E51BF" w:rsidRPr="0041400D" w:rsidRDefault="006E51BF">
            <w:pPr>
              <w:pStyle w:val="ARfintabletext"/>
              <w:cnfStyle w:val="000000010000" w:firstRow="0" w:lastRow="0" w:firstColumn="0" w:lastColumn="0" w:oddVBand="0" w:evenVBand="0" w:oddHBand="0" w:evenHBand="1" w:firstRowFirstColumn="0" w:firstRowLastColumn="0" w:lastRowFirstColumn="0" w:lastRowLastColumn="0"/>
            </w:pPr>
            <w:r w:rsidRPr="0041400D">
              <w:t>1 July 2025 to 30 June 2026</w:t>
            </w:r>
          </w:p>
        </w:tc>
      </w:tr>
      <w:tr w:rsidR="006E51BF" w:rsidRPr="00373F8F" w14:paraId="048D3693" w14:textId="77777777">
        <w:trPr>
          <w:cnfStyle w:val="000000100000" w:firstRow="0" w:lastRow="0" w:firstColumn="0" w:lastColumn="0" w:oddVBand="0" w:evenVBand="0" w:oddHBand="1" w:evenHBand="0" w:firstRowFirstColumn="0" w:firstRowLastColumn="0" w:lastRowFirstColumn="0" w:lastRowLastColumn="0"/>
          <w:trHeight w:val="20"/>
        </w:trPr>
        <w:tc>
          <w:tcPr>
            <w:tcW w:w="1666" w:type="pct"/>
            <w:noWrap/>
            <w:hideMark/>
          </w:tcPr>
          <w:p w14:paraId="6DC5E52E" w14:textId="77777777" w:rsidR="006E51BF" w:rsidRPr="0041400D" w:rsidRDefault="006E51BF">
            <w:pPr>
              <w:pStyle w:val="ARfintabletext"/>
            </w:pPr>
            <w:r w:rsidRPr="0041400D">
              <w:t>Minister for Veterans</w:t>
            </w:r>
          </w:p>
        </w:tc>
        <w:tc>
          <w:tcPr>
            <w:cnfStyle w:val="000001000000" w:firstRow="0" w:lastRow="0" w:firstColumn="0" w:lastColumn="0" w:oddVBand="0" w:evenVBand="1" w:oddHBand="0" w:evenHBand="0" w:firstRowFirstColumn="0" w:firstRowLastColumn="0" w:lastRowFirstColumn="0" w:lastRowLastColumn="0"/>
            <w:tcW w:w="1667" w:type="pct"/>
            <w:noWrap/>
            <w:tcMar>
              <w:left w:w="113" w:type="dxa"/>
            </w:tcMar>
            <w:hideMark/>
          </w:tcPr>
          <w:p w14:paraId="5BF60CD8" w14:textId="77777777" w:rsidR="006E51BF" w:rsidRPr="0041400D" w:rsidRDefault="006E51BF">
            <w:pPr>
              <w:pStyle w:val="ARfintabletext"/>
            </w:pPr>
            <w:r w:rsidRPr="0041400D">
              <w:t>The Hon. Natalie Suleyman</w:t>
            </w:r>
          </w:p>
        </w:tc>
        <w:tc>
          <w:tcPr>
            <w:tcW w:w="1667" w:type="pct"/>
            <w:noWrap/>
            <w:tcMar>
              <w:left w:w="113" w:type="dxa"/>
            </w:tcMar>
            <w:hideMark/>
          </w:tcPr>
          <w:p w14:paraId="0957B37B"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1 July 2025 to 30 June 2026</w:t>
            </w:r>
          </w:p>
        </w:tc>
      </w:tr>
      <w:tr w:rsidR="006E51BF" w:rsidRPr="00373F8F" w14:paraId="5738FF38" w14:textId="77777777">
        <w:trPr>
          <w:cnfStyle w:val="000000010000" w:firstRow="0" w:lastRow="0" w:firstColumn="0" w:lastColumn="0" w:oddVBand="0" w:evenVBand="0" w:oddHBand="0" w:evenHBand="1" w:firstRowFirstColumn="0" w:firstRowLastColumn="0" w:lastRowFirstColumn="0" w:lastRowLastColumn="0"/>
          <w:trHeight w:val="20"/>
        </w:trPr>
        <w:tc>
          <w:tcPr>
            <w:tcW w:w="1666" w:type="pct"/>
            <w:noWrap/>
            <w:hideMark/>
          </w:tcPr>
          <w:p w14:paraId="3873646B" w14:textId="77777777" w:rsidR="006E51BF" w:rsidRPr="0041400D" w:rsidRDefault="006E51BF">
            <w:pPr>
              <w:pStyle w:val="ARfintabletext"/>
            </w:pPr>
            <w:r w:rsidRPr="0041400D">
              <w:t>Minister for Youth</w:t>
            </w:r>
          </w:p>
        </w:tc>
        <w:tc>
          <w:tcPr>
            <w:cnfStyle w:val="000001000000" w:firstRow="0" w:lastRow="0" w:firstColumn="0" w:lastColumn="0" w:oddVBand="0" w:evenVBand="1" w:oddHBand="0" w:evenHBand="0" w:firstRowFirstColumn="0" w:firstRowLastColumn="0" w:lastRowFirstColumn="0" w:lastRowLastColumn="0"/>
            <w:tcW w:w="1667" w:type="pct"/>
            <w:noWrap/>
            <w:tcMar>
              <w:left w:w="113" w:type="dxa"/>
            </w:tcMar>
            <w:hideMark/>
          </w:tcPr>
          <w:p w14:paraId="3DE02D7F" w14:textId="77777777" w:rsidR="006E51BF" w:rsidRPr="0041400D" w:rsidRDefault="006E51BF">
            <w:pPr>
              <w:pStyle w:val="ARfintabletext"/>
            </w:pPr>
            <w:r w:rsidRPr="0041400D">
              <w:t>The Hon. Natalie Suleyman</w:t>
            </w:r>
          </w:p>
        </w:tc>
        <w:tc>
          <w:tcPr>
            <w:tcW w:w="1667" w:type="pct"/>
            <w:noWrap/>
            <w:tcMar>
              <w:left w:w="113" w:type="dxa"/>
            </w:tcMar>
            <w:hideMark/>
          </w:tcPr>
          <w:p w14:paraId="5C3E25B2" w14:textId="77777777" w:rsidR="006E51BF" w:rsidRPr="0041400D" w:rsidRDefault="006E51BF">
            <w:pPr>
              <w:pStyle w:val="ARfintabletext"/>
              <w:cnfStyle w:val="000000010000" w:firstRow="0" w:lastRow="0" w:firstColumn="0" w:lastColumn="0" w:oddVBand="0" w:evenVBand="0" w:oddHBand="0" w:evenHBand="1" w:firstRowFirstColumn="0" w:firstRowLastColumn="0" w:lastRowFirstColumn="0" w:lastRowLastColumn="0"/>
            </w:pPr>
            <w:r w:rsidRPr="0041400D">
              <w:t>1 July 2025 to 14 April 2026</w:t>
            </w:r>
          </w:p>
        </w:tc>
      </w:tr>
      <w:tr w:rsidR="006E51BF" w:rsidRPr="00373F8F" w14:paraId="34C1ED19" w14:textId="77777777">
        <w:trPr>
          <w:cnfStyle w:val="000000100000" w:firstRow="0" w:lastRow="0" w:firstColumn="0" w:lastColumn="0" w:oddVBand="0" w:evenVBand="0" w:oddHBand="1" w:evenHBand="0" w:firstRowFirstColumn="0" w:firstRowLastColumn="0" w:lastRowFirstColumn="0" w:lastRowLastColumn="0"/>
          <w:trHeight w:val="20"/>
        </w:trPr>
        <w:tc>
          <w:tcPr>
            <w:tcW w:w="1666" w:type="pct"/>
            <w:noWrap/>
            <w:hideMark/>
          </w:tcPr>
          <w:p w14:paraId="40A3F437" w14:textId="77777777" w:rsidR="006E51BF" w:rsidRPr="0041400D" w:rsidRDefault="006E51BF">
            <w:pPr>
              <w:pStyle w:val="ARfintabletext"/>
            </w:pPr>
            <w:r w:rsidRPr="0041400D">
              <w:t>Minister for Youth</w:t>
            </w:r>
          </w:p>
        </w:tc>
        <w:tc>
          <w:tcPr>
            <w:cnfStyle w:val="000001000000" w:firstRow="0" w:lastRow="0" w:firstColumn="0" w:lastColumn="0" w:oddVBand="0" w:evenVBand="1" w:oddHBand="0" w:evenHBand="0" w:firstRowFirstColumn="0" w:firstRowLastColumn="0" w:lastRowFirstColumn="0" w:lastRowLastColumn="0"/>
            <w:tcW w:w="1667" w:type="pct"/>
            <w:noWrap/>
            <w:tcMar>
              <w:left w:w="113" w:type="dxa"/>
            </w:tcMar>
            <w:hideMark/>
          </w:tcPr>
          <w:p w14:paraId="6CDCB8E5" w14:textId="77777777" w:rsidR="006E51BF" w:rsidRPr="0041400D" w:rsidRDefault="006E51BF">
            <w:pPr>
              <w:pStyle w:val="ARfintabletext"/>
            </w:pPr>
            <w:r w:rsidRPr="0041400D">
              <w:t xml:space="preserve">Hon. Luba </w:t>
            </w:r>
            <w:proofErr w:type="spellStart"/>
            <w:r w:rsidRPr="0041400D">
              <w:t>Grigorovitch</w:t>
            </w:r>
            <w:proofErr w:type="spellEnd"/>
          </w:p>
        </w:tc>
        <w:tc>
          <w:tcPr>
            <w:tcW w:w="1667" w:type="pct"/>
            <w:noWrap/>
            <w:tcMar>
              <w:left w:w="113" w:type="dxa"/>
            </w:tcMar>
            <w:hideMark/>
          </w:tcPr>
          <w:p w14:paraId="6AAE1E01"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15 April 2026 to 30 June 2026</w:t>
            </w:r>
          </w:p>
        </w:tc>
      </w:tr>
      <w:tr w:rsidR="006E51BF" w:rsidRPr="00373F8F" w14:paraId="588D9119" w14:textId="77777777">
        <w:trPr>
          <w:cnfStyle w:val="000000010000" w:firstRow="0" w:lastRow="0" w:firstColumn="0" w:lastColumn="0" w:oddVBand="0" w:evenVBand="0" w:oddHBand="0" w:evenHBand="1" w:firstRowFirstColumn="0" w:firstRowLastColumn="0" w:lastRowFirstColumn="0" w:lastRowLastColumn="0"/>
          <w:trHeight w:val="20"/>
        </w:trPr>
        <w:tc>
          <w:tcPr>
            <w:tcW w:w="1666" w:type="pct"/>
            <w:noWrap/>
            <w:hideMark/>
          </w:tcPr>
          <w:p w14:paraId="0EB19EAB" w14:textId="77777777" w:rsidR="006E51BF" w:rsidRPr="0041400D" w:rsidRDefault="006E51BF">
            <w:pPr>
              <w:pStyle w:val="ARfintabletext"/>
            </w:pPr>
            <w:r w:rsidRPr="0041400D">
              <w:t>Minister for Carers and Volunteers</w:t>
            </w:r>
          </w:p>
        </w:tc>
        <w:tc>
          <w:tcPr>
            <w:cnfStyle w:val="000001000000" w:firstRow="0" w:lastRow="0" w:firstColumn="0" w:lastColumn="0" w:oddVBand="0" w:evenVBand="1" w:oddHBand="0" w:evenHBand="0" w:firstRowFirstColumn="0" w:firstRowLastColumn="0" w:lastRowFirstColumn="0" w:lastRowLastColumn="0"/>
            <w:tcW w:w="1667" w:type="pct"/>
            <w:noWrap/>
            <w:tcMar>
              <w:left w:w="113" w:type="dxa"/>
            </w:tcMar>
            <w:hideMark/>
          </w:tcPr>
          <w:p w14:paraId="4F20BDA4" w14:textId="77777777" w:rsidR="006E51BF" w:rsidRPr="0041400D" w:rsidRDefault="006E51BF">
            <w:pPr>
              <w:pStyle w:val="ARfintabletext"/>
            </w:pPr>
            <w:r w:rsidRPr="0041400D">
              <w:t>The Hon. Ros Spence</w:t>
            </w:r>
          </w:p>
        </w:tc>
        <w:tc>
          <w:tcPr>
            <w:tcW w:w="1667" w:type="pct"/>
            <w:noWrap/>
            <w:tcMar>
              <w:left w:w="113" w:type="dxa"/>
            </w:tcMar>
            <w:hideMark/>
          </w:tcPr>
          <w:p w14:paraId="36182D45" w14:textId="77777777" w:rsidR="006E51BF" w:rsidRPr="0041400D" w:rsidRDefault="006E51BF">
            <w:pPr>
              <w:pStyle w:val="ARfintabletext"/>
              <w:cnfStyle w:val="000000010000" w:firstRow="0" w:lastRow="0" w:firstColumn="0" w:lastColumn="0" w:oddVBand="0" w:evenVBand="0" w:oddHBand="0" w:evenHBand="1" w:firstRowFirstColumn="0" w:firstRowLastColumn="0" w:lastRowFirstColumn="0" w:lastRowLastColumn="0"/>
            </w:pPr>
            <w:r w:rsidRPr="0041400D">
              <w:t xml:space="preserve">1 July 2025 to 14 April 2026 </w:t>
            </w:r>
          </w:p>
        </w:tc>
      </w:tr>
      <w:tr w:rsidR="006E51BF" w:rsidRPr="00373F8F" w14:paraId="4BAF0087" w14:textId="77777777">
        <w:trPr>
          <w:cnfStyle w:val="000000100000" w:firstRow="0" w:lastRow="0" w:firstColumn="0" w:lastColumn="0" w:oddVBand="0" w:evenVBand="0" w:oddHBand="1" w:evenHBand="0" w:firstRowFirstColumn="0" w:firstRowLastColumn="0" w:lastRowFirstColumn="0" w:lastRowLastColumn="0"/>
          <w:trHeight w:val="20"/>
        </w:trPr>
        <w:tc>
          <w:tcPr>
            <w:tcW w:w="1666" w:type="pct"/>
            <w:noWrap/>
            <w:hideMark/>
          </w:tcPr>
          <w:p w14:paraId="4A044E8A" w14:textId="77777777" w:rsidR="006E51BF" w:rsidRPr="0041400D" w:rsidRDefault="006E51BF">
            <w:pPr>
              <w:pStyle w:val="ARfintabletext"/>
            </w:pPr>
            <w:r w:rsidRPr="0041400D">
              <w:t>Minister for Carers and Volunteers</w:t>
            </w:r>
          </w:p>
        </w:tc>
        <w:tc>
          <w:tcPr>
            <w:cnfStyle w:val="000001000000" w:firstRow="0" w:lastRow="0" w:firstColumn="0" w:lastColumn="0" w:oddVBand="0" w:evenVBand="1" w:oddHBand="0" w:evenHBand="0" w:firstRowFirstColumn="0" w:firstRowLastColumn="0" w:lastRowFirstColumn="0" w:lastRowLastColumn="0"/>
            <w:tcW w:w="1667" w:type="pct"/>
            <w:noWrap/>
            <w:tcMar>
              <w:left w:w="113" w:type="dxa"/>
            </w:tcMar>
            <w:hideMark/>
          </w:tcPr>
          <w:p w14:paraId="2245D189" w14:textId="77777777" w:rsidR="006E51BF" w:rsidRPr="0041400D" w:rsidRDefault="006E51BF">
            <w:pPr>
              <w:pStyle w:val="ARfintabletext"/>
            </w:pPr>
            <w:r w:rsidRPr="0041400D">
              <w:t xml:space="preserve">Hon. Luba </w:t>
            </w:r>
            <w:proofErr w:type="spellStart"/>
            <w:r w:rsidRPr="0041400D">
              <w:t>Grigorovitch</w:t>
            </w:r>
            <w:proofErr w:type="spellEnd"/>
          </w:p>
        </w:tc>
        <w:tc>
          <w:tcPr>
            <w:tcW w:w="1667" w:type="pct"/>
            <w:noWrap/>
            <w:tcMar>
              <w:left w:w="113" w:type="dxa"/>
            </w:tcMar>
            <w:hideMark/>
          </w:tcPr>
          <w:p w14:paraId="6B844098"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15 April 2026 to 30 June 2026</w:t>
            </w:r>
          </w:p>
        </w:tc>
      </w:tr>
      <w:tr w:rsidR="006E51BF" w:rsidRPr="00373F8F" w14:paraId="3B34BC33" w14:textId="77777777">
        <w:trPr>
          <w:cnfStyle w:val="000000010000" w:firstRow="0" w:lastRow="0" w:firstColumn="0" w:lastColumn="0" w:oddVBand="0" w:evenVBand="0" w:oddHBand="0" w:evenHBand="1" w:firstRowFirstColumn="0" w:firstRowLastColumn="0" w:lastRowFirstColumn="0" w:lastRowLastColumn="0"/>
          <w:trHeight w:val="20"/>
        </w:trPr>
        <w:tc>
          <w:tcPr>
            <w:tcW w:w="1666" w:type="pct"/>
            <w:noWrap/>
            <w:hideMark/>
          </w:tcPr>
          <w:p w14:paraId="13B417E2" w14:textId="77777777" w:rsidR="006E51BF" w:rsidRPr="0041400D" w:rsidRDefault="006E51BF">
            <w:pPr>
              <w:pStyle w:val="ARfintabletext"/>
            </w:pPr>
            <w:r w:rsidRPr="0041400D">
              <w:t>Minister for Prevention of Family Violence</w:t>
            </w:r>
          </w:p>
        </w:tc>
        <w:tc>
          <w:tcPr>
            <w:cnfStyle w:val="000001000000" w:firstRow="0" w:lastRow="0" w:firstColumn="0" w:lastColumn="0" w:oddVBand="0" w:evenVBand="1" w:oddHBand="0" w:evenHBand="0" w:firstRowFirstColumn="0" w:firstRowLastColumn="0" w:lastRowFirstColumn="0" w:lastRowLastColumn="0"/>
            <w:tcW w:w="1667" w:type="pct"/>
            <w:noWrap/>
            <w:tcMar>
              <w:left w:w="113" w:type="dxa"/>
            </w:tcMar>
            <w:hideMark/>
          </w:tcPr>
          <w:p w14:paraId="7F04EE99" w14:textId="77777777" w:rsidR="006E51BF" w:rsidRPr="0041400D" w:rsidRDefault="006E51BF">
            <w:pPr>
              <w:pStyle w:val="ARfintabletext"/>
            </w:pPr>
            <w:r w:rsidRPr="0041400D">
              <w:t>The Hon. Natalie Hutchins</w:t>
            </w:r>
          </w:p>
        </w:tc>
        <w:tc>
          <w:tcPr>
            <w:tcW w:w="1667" w:type="pct"/>
            <w:noWrap/>
            <w:tcMar>
              <w:left w:w="113" w:type="dxa"/>
            </w:tcMar>
            <w:hideMark/>
          </w:tcPr>
          <w:p w14:paraId="7B4257F1" w14:textId="77777777" w:rsidR="006E51BF" w:rsidRPr="0041400D" w:rsidRDefault="006E51BF">
            <w:pPr>
              <w:pStyle w:val="ARfintabletext"/>
              <w:cnfStyle w:val="000000010000" w:firstRow="0" w:lastRow="0" w:firstColumn="0" w:lastColumn="0" w:oddVBand="0" w:evenVBand="0" w:oddHBand="0" w:evenHBand="1" w:firstRowFirstColumn="0" w:firstRowLastColumn="0" w:lastRowFirstColumn="0" w:lastRowLastColumn="0"/>
            </w:pPr>
            <w:r w:rsidRPr="0041400D">
              <w:t>1 July 2025 to 18 December 2025</w:t>
            </w:r>
          </w:p>
        </w:tc>
      </w:tr>
      <w:tr w:rsidR="006E51BF" w:rsidRPr="00373F8F" w14:paraId="7187CE70" w14:textId="77777777">
        <w:trPr>
          <w:cnfStyle w:val="000000100000" w:firstRow="0" w:lastRow="0" w:firstColumn="0" w:lastColumn="0" w:oddVBand="0" w:evenVBand="0" w:oddHBand="1" w:evenHBand="0" w:firstRowFirstColumn="0" w:firstRowLastColumn="0" w:lastRowFirstColumn="0" w:lastRowLastColumn="0"/>
          <w:trHeight w:val="20"/>
        </w:trPr>
        <w:tc>
          <w:tcPr>
            <w:tcW w:w="1666" w:type="pct"/>
            <w:noWrap/>
            <w:hideMark/>
          </w:tcPr>
          <w:p w14:paraId="7124CFE9" w14:textId="77777777" w:rsidR="006E51BF" w:rsidRPr="0041400D" w:rsidRDefault="006E51BF">
            <w:pPr>
              <w:pStyle w:val="ARfintabletext"/>
            </w:pPr>
            <w:r w:rsidRPr="0041400D">
              <w:t>Minister for Prevention of Family Violence</w:t>
            </w:r>
          </w:p>
        </w:tc>
        <w:tc>
          <w:tcPr>
            <w:cnfStyle w:val="000001000000" w:firstRow="0" w:lastRow="0" w:firstColumn="0" w:lastColumn="0" w:oddVBand="0" w:evenVBand="1" w:oddHBand="0" w:evenHBand="0" w:firstRowFirstColumn="0" w:firstRowLastColumn="0" w:lastRowFirstColumn="0" w:lastRowLastColumn="0"/>
            <w:tcW w:w="1667" w:type="pct"/>
            <w:noWrap/>
            <w:tcMar>
              <w:left w:w="113" w:type="dxa"/>
            </w:tcMar>
            <w:hideMark/>
          </w:tcPr>
          <w:p w14:paraId="2C490040" w14:textId="77777777" w:rsidR="006E51BF" w:rsidRPr="0041400D" w:rsidRDefault="006E51BF">
            <w:pPr>
              <w:pStyle w:val="ARfintabletext"/>
            </w:pPr>
            <w:r w:rsidRPr="0041400D">
              <w:t>Ingrid Stitt MP</w:t>
            </w:r>
          </w:p>
        </w:tc>
        <w:tc>
          <w:tcPr>
            <w:tcW w:w="1667" w:type="pct"/>
            <w:noWrap/>
            <w:tcMar>
              <w:left w:w="113" w:type="dxa"/>
            </w:tcMar>
            <w:hideMark/>
          </w:tcPr>
          <w:p w14:paraId="079B7297"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 xml:space="preserve">19 December 2025 to 14 April 2026 </w:t>
            </w:r>
          </w:p>
        </w:tc>
      </w:tr>
      <w:tr w:rsidR="006E51BF" w:rsidRPr="00373F8F" w14:paraId="5A364665" w14:textId="77777777">
        <w:trPr>
          <w:cnfStyle w:val="000000010000" w:firstRow="0" w:lastRow="0" w:firstColumn="0" w:lastColumn="0" w:oddVBand="0" w:evenVBand="0" w:oddHBand="0" w:evenHBand="1" w:firstRowFirstColumn="0" w:firstRowLastColumn="0" w:lastRowFirstColumn="0" w:lastRowLastColumn="0"/>
          <w:trHeight w:val="20"/>
        </w:trPr>
        <w:tc>
          <w:tcPr>
            <w:tcW w:w="1666" w:type="pct"/>
            <w:noWrap/>
            <w:hideMark/>
          </w:tcPr>
          <w:p w14:paraId="020798C0" w14:textId="77777777" w:rsidR="006E51BF" w:rsidRPr="0041400D" w:rsidRDefault="006E51BF">
            <w:pPr>
              <w:pStyle w:val="ARfintabletext"/>
            </w:pPr>
            <w:r w:rsidRPr="0041400D">
              <w:t>Minister for Prevention of Family Violence</w:t>
            </w:r>
          </w:p>
        </w:tc>
        <w:tc>
          <w:tcPr>
            <w:cnfStyle w:val="000001000000" w:firstRow="0" w:lastRow="0" w:firstColumn="0" w:lastColumn="0" w:oddVBand="0" w:evenVBand="1" w:oddHBand="0" w:evenHBand="0" w:firstRowFirstColumn="0" w:firstRowLastColumn="0" w:lastRowFirstColumn="0" w:lastRowLastColumn="0"/>
            <w:tcW w:w="1667" w:type="pct"/>
            <w:noWrap/>
            <w:tcMar>
              <w:left w:w="113" w:type="dxa"/>
            </w:tcMar>
            <w:hideMark/>
          </w:tcPr>
          <w:p w14:paraId="787BAD2D" w14:textId="77777777" w:rsidR="006E51BF" w:rsidRPr="0041400D" w:rsidRDefault="006E51BF">
            <w:pPr>
              <w:pStyle w:val="ARfintabletext"/>
            </w:pPr>
            <w:r w:rsidRPr="0041400D">
              <w:t>The Hon. Melissa Horne</w:t>
            </w:r>
          </w:p>
        </w:tc>
        <w:tc>
          <w:tcPr>
            <w:tcW w:w="1667" w:type="pct"/>
            <w:noWrap/>
            <w:tcMar>
              <w:left w:w="113" w:type="dxa"/>
            </w:tcMar>
            <w:hideMark/>
          </w:tcPr>
          <w:p w14:paraId="3BAF96BB" w14:textId="77777777" w:rsidR="006E51BF" w:rsidRPr="0041400D" w:rsidRDefault="006E51BF">
            <w:pPr>
              <w:pStyle w:val="ARfintabletext"/>
              <w:cnfStyle w:val="000000010000" w:firstRow="0" w:lastRow="0" w:firstColumn="0" w:lastColumn="0" w:oddVBand="0" w:evenVBand="0" w:oddHBand="0" w:evenHBand="1" w:firstRowFirstColumn="0" w:firstRowLastColumn="0" w:lastRowFirstColumn="0" w:lastRowLastColumn="0"/>
            </w:pPr>
            <w:r w:rsidRPr="0041400D">
              <w:t>15 April 2026 to 30 June 2026</w:t>
            </w:r>
          </w:p>
        </w:tc>
      </w:tr>
      <w:tr w:rsidR="006E51BF" w:rsidRPr="00373F8F" w14:paraId="3E2DEC17" w14:textId="77777777">
        <w:trPr>
          <w:cnfStyle w:val="000000100000" w:firstRow="0" w:lastRow="0" w:firstColumn="0" w:lastColumn="0" w:oddVBand="0" w:evenVBand="0" w:oddHBand="1" w:evenHBand="0" w:firstRowFirstColumn="0" w:firstRowLastColumn="0" w:lastRowFirstColumn="0" w:lastRowLastColumn="0"/>
          <w:trHeight w:val="20"/>
        </w:trPr>
        <w:tc>
          <w:tcPr>
            <w:tcW w:w="1666" w:type="pct"/>
            <w:noWrap/>
            <w:hideMark/>
          </w:tcPr>
          <w:p w14:paraId="6F376EF3" w14:textId="77777777" w:rsidR="006E51BF" w:rsidRPr="0041400D" w:rsidRDefault="006E51BF">
            <w:pPr>
              <w:pStyle w:val="ARfintabletext"/>
            </w:pPr>
            <w:r w:rsidRPr="0041400D">
              <w:t>Minister for Women</w:t>
            </w:r>
          </w:p>
        </w:tc>
        <w:tc>
          <w:tcPr>
            <w:cnfStyle w:val="000001000000" w:firstRow="0" w:lastRow="0" w:firstColumn="0" w:lastColumn="0" w:oddVBand="0" w:evenVBand="1" w:oddHBand="0" w:evenHBand="0" w:firstRowFirstColumn="0" w:firstRowLastColumn="0" w:lastRowFirstColumn="0" w:lastRowLastColumn="0"/>
            <w:tcW w:w="1667" w:type="pct"/>
            <w:noWrap/>
            <w:tcMar>
              <w:left w:w="113" w:type="dxa"/>
            </w:tcMar>
            <w:hideMark/>
          </w:tcPr>
          <w:p w14:paraId="3CA84D73" w14:textId="77777777" w:rsidR="006E51BF" w:rsidRPr="0041400D" w:rsidRDefault="006E51BF">
            <w:pPr>
              <w:pStyle w:val="ARfintabletext"/>
            </w:pPr>
            <w:r w:rsidRPr="0041400D">
              <w:t>The Hon. Natalie Hutchins</w:t>
            </w:r>
          </w:p>
        </w:tc>
        <w:tc>
          <w:tcPr>
            <w:tcW w:w="1667" w:type="pct"/>
            <w:noWrap/>
            <w:tcMar>
              <w:left w:w="113" w:type="dxa"/>
            </w:tcMar>
            <w:hideMark/>
          </w:tcPr>
          <w:p w14:paraId="1FB00148"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1 July 2025 to 18 December 2025</w:t>
            </w:r>
          </w:p>
        </w:tc>
      </w:tr>
      <w:tr w:rsidR="006E51BF" w:rsidRPr="00373F8F" w14:paraId="345F16F0" w14:textId="77777777">
        <w:trPr>
          <w:cnfStyle w:val="000000010000" w:firstRow="0" w:lastRow="0" w:firstColumn="0" w:lastColumn="0" w:oddVBand="0" w:evenVBand="0" w:oddHBand="0" w:evenHBand="1" w:firstRowFirstColumn="0" w:firstRowLastColumn="0" w:lastRowFirstColumn="0" w:lastRowLastColumn="0"/>
          <w:trHeight w:val="20"/>
        </w:trPr>
        <w:tc>
          <w:tcPr>
            <w:tcW w:w="1666" w:type="pct"/>
            <w:noWrap/>
            <w:hideMark/>
          </w:tcPr>
          <w:p w14:paraId="02C70C65" w14:textId="77777777" w:rsidR="006E51BF" w:rsidRPr="0041400D" w:rsidRDefault="006E51BF">
            <w:pPr>
              <w:pStyle w:val="ARfintabletext"/>
            </w:pPr>
            <w:r w:rsidRPr="0041400D">
              <w:t>Minister for Women</w:t>
            </w:r>
          </w:p>
        </w:tc>
        <w:tc>
          <w:tcPr>
            <w:cnfStyle w:val="000001000000" w:firstRow="0" w:lastRow="0" w:firstColumn="0" w:lastColumn="0" w:oddVBand="0" w:evenVBand="1" w:oddHBand="0" w:evenHBand="0" w:firstRowFirstColumn="0" w:firstRowLastColumn="0" w:lastRowFirstColumn="0" w:lastRowLastColumn="0"/>
            <w:tcW w:w="1667" w:type="pct"/>
            <w:noWrap/>
            <w:tcMar>
              <w:left w:w="113" w:type="dxa"/>
            </w:tcMar>
            <w:hideMark/>
          </w:tcPr>
          <w:p w14:paraId="29333098" w14:textId="77777777" w:rsidR="006E51BF" w:rsidRPr="0041400D" w:rsidRDefault="006E51BF">
            <w:pPr>
              <w:pStyle w:val="ARfintabletext"/>
            </w:pPr>
            <w:r w:rsidRPr="0041400D">
              <w:t>Hon. Mary-Anne Thomas</w:t>
            </w:r>
          </w:p>
        </w:tc>
        <w:tc>
          <w:tcPr>
            <w:tcW w:w="1667" w:type="pct"/>
            <w:noWrap/>
            <w:tcMar>
              <w:left w:w="113" w:type="dxa"/>
            </w:tcMar>
            <w:hideMark/>
          </w:tcPr>
          <w:p w14:paraId="2BDC1003" w14:textId="77777777" w:rsidR="006E51BF" w:rsidRPr="0041400D" w:rsidRDefault="006E51BF">
            <w:pPr>
              <w:pStyle w:val="ARfintabletext"/>
              <w:cnfStyle w:val="000000010000" w:firstRow="0" w:lastRow="0" w:firstColumn="0" w:lastColumn="0" w:oddVBand="0" w:evenVBand="0" w:oddHBand="0" w:evenHBand="1" w:firstRowFirstColumn="0" w:firstRowLastColumn="0" w:lastRowFirstColumn="0" w:lastRowLastColumn="0"/>
            </w:pPr>
            <w:r w:rsidRPr="0041400D">
              <w:t xml:space="preserve">18 December 2025 to 14 April 2026 </w:t>
            </w:r>
          </w:p>
        </w:tc>
      </w:tr>
      <w:tr w:rsidR="006E51BF" w:rsidRPr="00373F8F" w14:paraId="791B617B" w14:textId="77777777">
        <w:trPr>
          <w:cnfStyle w:val="000000100000" w:firstRow="0" w:lastRow="0" w:firstColumn="0" w:lastColumn="0" w:oddVBand="0" w:evenVBand="0" w:oddHBand="1" w:evenHBand="0" w:firstRowFirstColumn="0" w:firstRowLastColumn="0" w:lastRowFirstColumn="0" w:lastRowLastColumn="0"/>
          <w:trHeight w:val="20"/>
        </w:trPr>
        <w:tc>
          <w:tcPr>
            <w:tcW w:w="1666" w:type="pct"/>
            <w:noWrap/>
            <w:hideMark/>
          </w:tcPr>
          <w:p w14:paraId="3EFFB27B" w14:textId="77777777" w:rsidR="006E51BF" w:rsidRPr="0041400D" w:rsidRDefault="006E51BF">
            <w:pPr>
              <w:pStyle w:val="ARfintabletext"/>
            </w:pPr>
            <w:r w:rsidRPr="0041400D">
              <w:t>Minister for Women and Girls</w:t>
            </w:r>
          </w:p>
        </w:tc>
        <w:tc>
          <w:tcPr>
            <w:cnfStyle w:val="000001000000" w:firstRow="0" w:lastRow="0" w:firstColumn="0" w:lastColumn="0" w:oddVBand="0" w:evenVBand="1" w:oddHBand="0" w:evenHBand="0" w:firstRowFirstColumn="0" w:firstRowLastColumn="0" w:lastRowFirstColumn="0" w:lastRowLastColumn="0"/>
            <w:tcW w:w="1667" w:type="pct"/>
            <w:noWrap/>
            <w:tcMar>
              <w:left w:w="113" w:type="dxa"/>
            </w:tcMar>
            <w:hideMark/>
          </w:tcPr>
          <w:p w14:paraId="726EE27C" w14:textId="77777777" w:rsidR="006E51BF" w:rsidRPr="0041400D" w:rsidRDefault="006E51BF">
            <w:pPr>
              <w:pStyle w:val="ARfintabletext"/>
            </w:pPr>
            <w:r w:rsidRPr="0041400D">
              <w:t>The Hon. Gabrielle Williams</w:t>
            </w:r>
          </w:p>
        </w:tc>
        <w:tc>
          <w:tcPr>
            <w:tcW w:w="1667" w:type="pct"/>
            <w:noWrap/>
            <w:tcMar>
              <w:left w:w="113" w:type="dxa"/>
            </w:tcMar>
            <w:hideMark/>
          </w:tcPr>
          <w:p w14:paraId="22F3AC08"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15 April 2026 to 30 June 2026</w:t>
            </w:r>
          </w:p>
        </w:tc>
      </w:tr>
      <w:tr w:rsidR="006E51BF" w:rsidRPr="00373F8F" w14:paraId="3E87CA0F" w14:textId="77777777">
        <w:trPr>
          <w:cnfStyle w:val="000000010000" w:firstRow="0" w:lastRow="0" w:firstColumn="0" w:lastColumn="0" w:oddVBand="0" w:evenVBand="0" w:oddHBand="0" w:evenHBand="1" w:firstRowFirstColumn="0" w:firstRowLastColumn="0" w:lastRowFirstColumn="0" w:lastRowLastColumn="0"/>
          <w:trHeight w:val="20"/>
        </w:trPr>
        <w:tc>
          <w:tcPr>
            <w:tcW w:w="1666" w:type="pct"/>
            <w:noWrap/>
            <w:hideMark/>
          </w:tcPr>
          <w:p w14:paraId="2A779CD4" w14:textId="77777777" w:rsidR="006E51BF" w:rsidRPr="0041400D" w:rsidRDefault="006E51BF">
            <w:pPr>
              <w:pStyle w:val="ARfintabletext"/>
            </w:pPr>
            <w:r w:rsidRPr="0041400D">
              <w:t>Minister for Housing and Building</w:t>
            </w:r>
          </w:p>
        </w:tc>
        <w:tc>
          <w:tcPr>
            <w:cnfStyle w:val="000001000000" w:firstRow="0" w:lastRow="0" w:firstColumn="0" w:lastColumn="0" w:oddVBand="0" w:evenVBand="1" w:oddHBand="0" w:evenHBand="0" w:firstRowFirstColumn="0" w:firstRowLastColumn="0" w:lastRowFirstColumn="0" w:lastRowLastColumn="0"/>
            <w:tcW w:w="1667" w:type="pct"/>
            <w:noWrap/>
            <w:tcMar>
              <w:left w:w="113" w:type="dxa"/>
            </w:tcMar>
            <w:hideMark/>
          </w:tcPr>
          <w:p w14:paraId="49C82F48" w14:textId="77777777" w:rsidR="006E51BF" w:rsidRPr="0041400D" w:rsidRDefault="006E51BF">
            <w:pPr>
              <w:pStyle w:val="ARfintabletext"/>
            </w:pPr>
            <w:r w:rsidRPr="0041400D">
              <w:t>Hon. Harriet Shing</w:t>
            </w:r>
          </w:p>
        </w:tc>
        <w:tc>
          <w:tcPr>
            <w:tcW w:w="1667" w:type="pct"/>
            <w:noWrap/>
            <w:tcMar>
              <w:left w:w="113" w:type="dxa"/>
            </w:tcMar>
            <w:hideMark/>
          </w:tcPr>
          <w:p w14:paraId="1FCAB4D3" w14:textId="77777777" w:rsidR="006E51BF" w:rsidRPr="0041400D" w:rsidRDefault="006E51BF">
            <w:pPr>
              <w:pStyle w:val="ARfintabletext"/>
              <w:cnfStyle w:val="000000010000" w:firstRow="0" w:lastRow="0" w:firstColumn="0" w:lastColumn="0" w:oddVBand="0" w:evenVBand="0" w:oddHBand="0" w:evenHBand="1" w:firstRowFirstColumn="0" w:firstRowLastColumn="0" w:lastRowFirstColumn="0" w:lastRowLastColumn="0"/>
            </w:pPr>
            <w:r w:rsidRPr="0041400D">
              <w:t>1 July 2025 to 14 April 2026</w:t>
            </w:r>
          </w:p>
        </w:tc>
      </w:tr>
      <w:tr w:rsidR="006E51BF" w:rsidRPr="00373F8F" w14:paraId="1729EEAA" w14:textId="77777777">
        <w:trPr>
          <w:cnfStyle w:val="000000100000" w:firstRow="0" w:lastRow="0" w:firstColumn="0" w:lastColumn="0" w:oddVBand="0" w:evenVBand="0" w:oddHBand="1" w:evenHBand="0" w:firstRowFirstColumn="0" w:firstRowLastColumn="0" w:lastRowFirstColumn="0" w:lastRowLastColumn="0"/>
          <w:trHeight w:val="20"/>
        </w:trPr>
        <w:tc>
          <w:tcPr>
            <w:tcW w:w="1666" w:type="pct"/>
            <w:noWrap/>
            <w:hideMark/>
          </w:tcPr>
          <w:p w14:paraId="7A5F7F42" w14:textId="77777777" w:rsidR="006E51BF" w:rsidRPr="0041400D" w:rsidRDefault="006E51BF">
            <w:pPr>
              <w:pStyle w:val="ARfintabletext"/>
            </w:pPr>
            <w:r w:rsidRPr="0041400D">
              <w:t>Minister for Housing and Building</w:t>
            </w:r>
          </w:p>
        </w:tc>
        <w:tc>
          <w:tcPr>
            <w:cnfStyle w:val="000001000000" w:firstRow="0" w:lastRow="0" w:firstColumn="0" w:lastColumn="0" w:oddVBand="0" w:evenVBand="1" w:oddHBand="0" w:evenHBand="0" w:firstRowFirstColumn="0" w:firstRowLastColumn="0" w:lastRowFirstColumn="0" w:lastRowLastColumn="0"/>
            <w:tcW w:w="1667" w:type="pct"/>
            <w:noWrap/>
            <w:tcMar>
              <w:left w:w="113" w:type="dxa"/>
            </w:tcMar>
            <w:hideMark/>
          </w:tcPr>
          <w:p w14:paraId="3CA1F0B3" w14:textId="77777777" w:rsidR="006E51BF" w:rsidRPr="0041400D" w:rsidRDefault="006E51BF">
            <w:pPr>
              <w:pStyle w:val="ARfintabletext"/>
            </w:pPr>
            <w:r w:rsidRPr="0041400D">
              <w:t>The Hon. Nick Staikos</w:t>
            </w:r>
          </w:p>
        </w:tc>
        <w:tc>
          <w:tcPr>
            <w:tcW w:w="1667" w:type="pct"/>
            <w:noWrap/>
            <w:tcMar>
              <w:left w:w="113" w:type="dxa"/>
            </w:tcMar>
            <w:hideMark/>
          </w:tcPr>
          <w:p w14:paraId="2B9BE842"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15 April 2026 to 30 June 2026</w:t>
            </w:r>
          </w:p>
        </w:tc>
      </w:tr>
      <w:tr w:rsidR="006E51BF" w:rsidRPr="00373F8F" w14:paraId="2C76304F" w14:textId="77777777">
        <w:trPr>
          <w:cnfStyle w:val="000000010000" w:firstRow="0" w:lastRow="0" w:firstColumn="0" w:lastColumn="0" w:oddVBand="0" w:evenVBand="0" w:oddHBand="0" w:evenHBand="1" w:firstRowFirstColumn="0" w:firstRowLastColumn="0" w:lastRowFirstColumn="0" w:lastRowLastColumn="0"/>
          <w:trHeight w:val="20"/>
        </w:trPr>
        <w:tc>
          <w:tcPr>
            <w:tcW w:w="1666" w:type="pct"/>
            <w:noWrap/>
            <w:hideMark/>
          </w:tcPr>
          <w:p w14:paraId="3EB5BC8F" w14:textId="77777777" w:rsidR="006E51BF" w:rsidRPr="0041400D" w:rsidRDefault="006E51BF">
            <w:pPr>
              <w:pStyle w:val="ARfintabletext"/>
            </w:pPr>
            <w:r w:rsidRPr="0041400D">
              <w:t>Minister for Equality</w:t>
            </w:r>
          </w:p>
        </w:tc>
        <w:tc>
          <w:tcPr>
            <w:cnfStyle w:val="000001000000" w:firstRow="0" w:lastRow="0" w:firstColumn="0" w:lastColumn="0" w:oddVBand="0" w:evenVBand="1" w:oddHBand="0" w:evenHBand="0" w:firstRowFirstColumn="0" w:firstRowLastColumn="0" w:lastRowFirstColumn="0" w:lastRowLastColumn="0"/>
            <w:tcW w:w="1667" w:type="pct"/>
            <w:noWrap/>
            <w:tcMar>
              <w:left w:w="113" w:type="dxa"/>
            </w:tcMar>
            <w:hideMark/>
          </w:tcPr>
          <w:p w14:paraId="5D0F9AC1" w14:textId="77777777" w:rsidR="006E51BF" w:rsidRPr="0041400D" w:rsidRDefault="006E51BF">
            <w:pPr>
              <w:pStyle w:val="ARfintabletext"/>
            </w:pPr>
            <w:r w:rsidRPr="0041400D">
              <w:t>The Hon. Vicki Ward</w:t>
            </w:r>
          </w:p>
        </w:tc>
        <w:tc>
          <w:tcPr>
            <w:tcW w:w="1667" w:type="pct"/>
            <w:noWrap/>
            <w:tcMar>
              <w:left w:w="113" w:type="dxa"/>
            </w:tcMar>
            <w:hideMark/>
          </w:tcPr>
          <w:p w14:paraId="3AB0D207" w14:textId="77777777" w:rsidR="006E51BF" w:rsidRPr="0041400D" w:rsidRDefault="006E51BF">
            <w:pPr>
              <w:pStyle w:val="ARfintabletext"/>
              <w:cnfStyle w:val="000000010000" w:firstRow="0" w:lastRow="0" w:firstColumn="0" w:lastColumn="0" w:oddVBand="0" w:evenVBand="0" w:oddHBand="0" w:evenHBand="1" w:firstRowFirstColumn="0" w:firstRowLastColumn="0" w:lastRowFirstColumn="0" w:lastRowLastColumn="0"/>
            </w:pPr>
            <w:r w:rsidRPr="0041400D">
              <w:t>1 July 2025 to 30 June 2026</w:t>
            </w:r>
          </w:p>
        </w:tc>
      </w:tr>
      <w:tr w:rsidR="006E51BF" w:rsidRPr="00373F8F" w14:paraId="60E86556" w14:textId="77777777">
        <w:trPr>
          <w:cnfStyle w:val="000000100000" w:firstRow="0" w:lastRow="0" w:firstColumn="0" w:lastColumn="0" w:oddVBand="0" w:evenVBand="0" w:oddHBand="1" w:evenHBand="0" w:firstRowFirstColumn="0" w:firstRowLastColumn="0" w:lastRowFirstColumn="0" w:lastRowLastColumn="0"/>
          <w:trHeight w:val="20"/>
        </w:trPr>
        <w:tc>
          <w:tcPr>
            <w:tcW w:w="1666" w:type="pct"/>
            <w:noWrap/>
            <w:hideMark/>
          </w:tcPr>
          <w:p w14:paraId="4D281167" w14:textId="77777777" w:rsidR="006E51BF" w:rsidRPr="0041400D" w:rsidRDefault="006E51BF">
            <w:pPr>
              <w:pStyle w:val="ARfintabletext"/>
            </w:pPr>
            <w:r w:rsidRPr="0041400D">
              <w:t>Minister for Ageing</w:t>
            </w:r>
          </w:p>
        </w:tc>
        <w:tc>
          <w:tcPr>
            <w:cnfStyle w:val="000001000000" w:firstRow="0" w:lastRow="0" w:firstColumn="0" w:lastColumn="0" w:oddVBand="0" w:evenVBand="1" w:oddHBand="0" w:evenHBand="0" w:firstRowFirstColumn="0" w:firstRowLastColumn="0" w:lastRowFirstColumn="0" w:lastRowLastColumn="0"/>
            <w:tcW w:w="1667" w:type="pct"/>
            <w:noWrap/>
            <w:tcMar>
              <w:left w:w="113" w:type="dxa"/>
            </w:tcMar>
            <w:hideMark/>
          </w:tcPr>
          <w:p w14:paraId="153079EE" w14:textId="77777777" w:rsidR="006E51BF" w:rsidRPr="0041400D" w:rsidRDefault="006E51BF">
            <w:pPr>
              <w:pStyle w:val="ARfintabletext"/>
            </w:pPr>
            <w:r w:rsidRPr="0041400D">
              <w:t>Ingrid Stitt MP</w:t>
            </w:r>
          </w:p>
        </w:tc>
        <w:tc>
          <w:tcPr>
            <w:tcW w:w="1667" w:type="pct"/>
            <w:noWrap/>
            <w:tcMar>
              <w:left w:w="113" w:type="dxa"/>
            </w:tcMar>
            <w:hideMark/>
          </w:tcPr>
          <w:p w14:paraId="7FC26D4F"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1 July 2025 to 30 June 2026</w:t>
            </w:r>
          </w:p>
        </w:tc>
      </w:tr>
      <w:tr w:rsidR="006E51BF" w:rsidRPr="00373F8F" w14:paraId="3B7F9CAA" w14:textId="77777777">
        <w:trPr>
          <w:cnfStyle w:val="000000010000" w:firstRow="0" w:lastRow="0" w:firstColumn="0" w:lastColumn="0" w:oddVBand="0" w:evenVBand="0" w:oddHBand="0" w:evenHBand="1" w:firstRowFirstColumn="0" w:firstRowLastColumn="0" w:lastRowFirstColumn="0" w:lastRowLastColumn="0"/>
          <w:trHeight w:val="20"/>
        </w:trPr>
        <w:tc>
          <w:tcPr>
            <w:tcW w:w="1666" w:type="pct"/>
            <w:noWrap/>
            <w:hideMark/>
          </w:tcPr>
          <w:p w14:paraId="4E8474F9" w14:textId="77777777" w:rsidR="006E51BF" w:rsidRPr="0041400D" w:rsidRDefault="006E51BF">
            <w:pPr>
              <w:pStyle w:val="ARfintabletext"/>
            </w:pPr>
            <w:r w:rsidRPr="0041400D">
              <w:t>Secretary</w:t>
            </w:r>
          </w:p>
        </w:tc>
        <w:tc>
          <w:tcPr>
            <w:cnfStyle w:val="000001000000" w:firstRow="0" w:lastRow="0" w:firstColumn="0" w:lastColumn="0" w:oddVBand="0" w:evenVBand="1" w:oddHBand="0" w:evenHBand="0" w:firstRowFirstColumn="0" w:firstRowLastColumn="0" w:lastRowFirstColumn="0" w:lastRowLastColumn="0"/>
            <w:tcW w:w="1667" w:type="pct"/>
            <w:noWrap/>
            <w:tcMar>
              <w:left w:w="113" w:type="dxa"/>
            </w:tcMar>
            <w:hideMark/>
          </w:tcPr>
          <w:p w14:paraId="4A886167" w14:textId="77777777" w:rsidR="006E51BF" w:rsidRPr="0041400D" w:rsidRDefault="006E51BF">
            <w:pPr>
              <w:pStyle w:val="ARfintabletext"/>
            </w:pPr>
            <w:r w:rsidRPr="0041400D">
              <w:t>Peta McCammon</w:t>
            </w:r>
          </w:p>
        </w:tc>
        <w:tc>
          <w:tcPr>
            <w:tcW w:w="1667" w:type="pct"/>
            <w:noWrap/>
            <w:tcMar>
              <w:left w:w="113" w:type="dxa"/>
            </w:tcMar>
            <w:hideMark/>
          </w:tcPr>
          <w:p w14:paraId="6D0D8A4D" w14:textId="77777777" w:rsidR="006E51BF" w:rsidRPr="0041400D" w:rsidRDefault="006E51BF">
            <w:pPr>
              <w:pStyle w:val="ARfintabletext"/>
              <w:cnfStyle w:val="000000010000" w:firstRow="0" w:lastRow="0" w:firstColumn="0" w:lastColumn="0" w:oddVBand="0" w:evenVBand="0" w:oddHBand="0" w:evenHBand="1" w:firstRowFirstColumn="0" w:firstRowLastColumn="0" w:lastRowFirstColumn="0" w:lastRowLastColumn="0"/>
            </w:pPr>
            <w:r w:rsidRPr="0041400D">
              <w:t>1 July 2025 to 30 June 2026</w:t>
            </w:r>
          </w:p>
        </w:tc>
      </w:tr>
    </w:tbl>
    <w:p w14:paraId="29AA06CB" w14:textId="77777777" w:rsidR="006E51BF" w:rsidRDefault="006E51BF">
      <w:pPr>
        <w:pStyle w:val="ARfinbodybeforetableorfigure"/>
        <w:spacing w:before="240"/>
      </w:pPr>
      <w:r>
        <w:br w:type="page"/>
      </w:r>
    </w:p>
    <w:p w14:paraId="7AD355D6" w14:textId="77777777" w:rsidR="006E51BF" w:rsidRPr="00373F8F" w:rsidRDefault="006E51BF">
      <w:pPr>
        <w:pStyle w:val="ARfinbodybeforetableorfigure"/>
      </w:pPr>
      <w:r w:rsidRPr="00373F8F">
        <w:t>The persons who acted in the positions of Minister and of Accountable Officers</w:t>
      </w:r>
      <w:r w:rsidRPr="00373F8F">
        <w:rPr>
          <w:vertAlign w:val="superscript"/>
        </w:rPr>
        <w:t xml:space="preserve"> (</w:t>
      </w:r>
      <w:proofErr w:type="spellStart"/>
      <w:r w:rsidRPr="00373F8F">
        <w:rPr>
          <w:vertAlign w:val="superscript"/>
        </w:rPr>
        <w:t>i</w:t>
      </w:r>
      <w:proofErr w:type="spellEnd"/>
      <w:r w:rsidRPr="00373F8F">
        <w:rPr>
          <w:vertAlign w:val="superscript"/>
        </w:rPr>
        <w:t>)</w:t>
      </w:r>
      <w:r w:rsidRPr="00373F8F">
        <w:t xml:space="preserve"> in the department were as follows:</w:t>
      </w:r>
    </w:p>
    <w:tbl>
      <w:tblPr>
        <w:tblStyle w:val="ARtable1"/>
        <w:tblW w:w="5000" w:type="pct"/>
        <w:tblLayout w:type="fixed"/>
        <w:tblLook w:val="00A0" w:firstRow="1" w:lastRow="0" w:firstColumn="1" w:lastColumn="0" w:noHBand="0" w:noVBand="0"/>
      </w:tblPr>
      <w:tblGrid>
        <w:gridCol w:w="3399"/>
        <w:gridCol w:w="2549"/>
        <w:gridCol w:w="3680"/>
      </w:tblGrid>
      <w:tr w:rsidR="006E51BF" w:rsidRPr="00373F8F" w14:paraId="6F0F728E" w14:textId="77777777">
        <w:trPr>
          <w:cnfStyle w:val="100000000000" w:firstRow="1" w:lastRow="0" w:firstColumn="0" w:lastColumn="0" w:oddVBand="0" w:evenVBand="0" w:oddHBand="0" w:evenHBand="0" w:firstRowFirstColumn="0" w:firstRowLastColumn="0" w:lastRowFirstColumn="0" w:lastRowLastColumn="0"/>
          <w:trHeight w:val="20"/>
          <w:tblHeader/>
        </w:trPr>
        <w:tc>
          <w:tcPr>
            <w:tcW w:w="1765" w:type="pct"/>
            <w:hideMark/>
          </w:tcPr>
          <w:p w14:paraId="1890E682" w14:textId="77777777" w:rsidR="006E51BF" w:rsidRPr="0041400D" w:rsidRDefault="006E51BF">
            <w:pPr>
              <w:pStyle w:val="ARfintablecolhead"/>
            </w:pPr>
            <w:r w:rsidRPr="0041400D">
              <w:t>Relevant office</w:t>
            </w:r>
          </w:p>
        </w:tc>
        <w:tc>
          <w:tcPr>
            <w:cnfStyle w:val="000001000000" w:firstRow="0" w:lastRow="0" w:firstColumn="0" w:lastColumn="0" w:oddVBand="0" w:evenVBand="1" w:oddHBand="0" w:evenHBand="0" w:firstRowFirstColumn="0" w:firstRowLastColumn="0" w:lastRowFirstColumn="0" w:lastRowLastColumn="0"/>
            <w:tcW w:w="1324" w:type="pct"/>
            <w:tcMar>
              <w:left w:w="113" w:type="dxa"/>
            </w:tcMar>
            <w:hideMark/>
          </w:tcPr>
          <w:p w14:paraId="09E7D522" w14:textId="77777777" w:rsidR="006E51BF" w:rsidRPr="0041400D" w:rsidRDefault="006E51BF">
            <w:pPr>
              <w:pStyle w:val="ARfintablecolhead"/>
            </w:pPr>
            <w:r w:rsidRPr="0041400D">
              <w:t xml:space="preserve">Acting Minister or </w:t>
            </w:r>
            <w:r>
              <w:br/>
            </w:r>
            <w:r w:rsidRPr="0041400D">
              <w:t>Accountable Officer</w:t>
            </w:r>
          </w:p>
        </w:tc>
        <w:tc>
          <w:tcPr>
            <w:tcW w:w="1911" w:type="pct"/>
            <w:tcMar>
              <w:left w:w="113" w:type="dxa"/>
            </w:tcMar>
            <w:hideMark/>
          </w:tcPr>
          <w:p w14:paraId="1DE82CE8" w14:textId="77777777" w:rsidR="006E51BF" w:rsidRPr="0041400D" w:rsidRDefault="006E51BF">
            <w:pPr>
              <w:pStyle w:val="ARfintablecolhead"/>
              <w:cnfStyle w:val="100000000000" w:firstRow="1" w:lastRow="0" w:firstColumn="0" w:lastColumn="0" w:oddVBand="0" w:evenVBand="0" w:oddHBand="0" w:evenHBand="0" w:firstRowFirstColumn="0" w:firstRowLastColumn="0" w:lastRowFirstColumn="0" w:lastRowLastColumn="0"/>
            </w:pPr>
            <w:r w:rsidRPr="0041400D">
              <w:t>Period</w:t>
            </w:r>
          </w:p>
        </w:tc>
      </w:tr>
      <w:tr w:rsidR="006E51BF" w:rsidRPr="00373F8F" w14:paraId="7F443BF4" w14:textId="77777777">
        <w:trPr>
          <w:cnfStyle w:val="000000100000" w:firstRow="0" w:lastRow="0" w:firstColumn="0" w:lastColumn="0" w:oddVBand="0" w:evenVBand="0" w:oddHBand="1" w:evenHBand="0" w:firstRowFirstColumn="0" w:firstRowLastColumn="0" w:lastRowFirstColumn="0" w:lastRowLastColumn="0"/>
          <w:trHeight w:val="20"/>
        </w:trPr>
        <w:tc>
          <w:tcPr>
            <w:tcW w:w="1765" w:type="pct"/>
            <w:tcBorders>
              <w:top w:val="single" w:sz="4" w:space="0" w:color="000000" w:themeColor="text1"/>
              <w:bottom w:val="nil"/>
            </w:tcBorders>
            <w:noWrap/>
            <w:hideMark/>
          </w:tcPr>
          <w:p w14:paraId="3EAAAD38" w14:textId="77777777" w:rsidR="006E51BF" w:rsidRPr="0041400D" w:rsidRDefault="006E51BF">
            <w:pPr>
              <w:pStyle w:val="ARfintabletext"/>
            </w:pPr>
            <w:r w:rsidRPr="0041400D">
              <w:t>Acting Minister for Veterans</w:t>
            </w:r>
          </w:p>
        </w:tc>
        <w:tc>
          <w:tcPr>
            <w:cnfStyle w:val="000001000000" w:firstRow="0" w:lastRow="0" w:firstColumn="0" w:lastColumn="0" w:oddVBand="0" w:evenVBand="1" w:oddHBand="0" w:evenHBand="0" w:firstRowFirstColumn="0" w:firstRowLastColumn="0" w:lastRowFirstColumn="0" w:lastRowLastColumn="0"/>
            <w:tcW w:w="1324" w:type="pct"/>
            <w:noWrap/>
            <w:tcMar>
              <w:left w:w="113" w:type="dxa"/>
            </w:tcMar>
            <w:hideMark/>
          </w:tcPr>
          <w:p w14:paraId="34C40C18" w14:textId="77777777" w:rsidR="006E51BF" w:rsidRPr="0041400D" w:rsidRDefault="006E51BF">
            <w:pPr>
              <w:pStyle w:val="ARfintabletext"/>
            </w:pPr>
            <w:r w:rsidRPr="0041400D">
              <w:t>Hon. Lizzie Blandthorn</w:t>
            </w:r>
          </w:p>
        </w:tc>
        <w:tc>
          <w:tcPr>
            <w:tcW w:w="1911" w:type="pct"/>
            <w:noWrap/>
            <w:tcMar>
              <w:left w:w="113" w:type="dxa"/>
            </w:tcMar>
            <w:hideMark/>
          </w:tcPr>
          <w:p w14:paraId="6010CAE2"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1 July 2025 to 4 July 2025</w:t>
            </w:r>
          </w:p>
        </w:tc>
      </w:tr>
      <w:tr w:rsidR="006E51BF" w:rsidRPr="00373F8F" w14:paraId="7D3E44D8" w14:textId="77777777">
        <w:trPr>
          <w:cnfStyle w:val="000000010000" w:firstRow="0" w:lastRow="0" w:firstColumn="0" w:lastColumn="0" w:oddVBand="0" w:evenVBand="0" w:oddHBand="0" w:evenHBand="1" w:firstRowFirstColumn="0" w:firstRowLastColumn="0" w:lastRowFirstColumn="0" w:lastRowLastColumn="0"/>
          <w:trHeight w:val="20"/>
        </w:trPr>
        <w:tc>
          <w:tcPr>
            <w:tcW w:w="1765" w:type="pct"/>
            <w:tcBorders>
              <w:bottom w:val="nil"/>
            </w:tcBorders>
            <w:noWrap/>
            <w:hideMark/>
          </w:tcPr>
          <w:p w14:paraId="77BD0981" w14:textId="77777777" w:rsidR="006E51BF" w:rsidRPr="0041400D" w:rsidRDefault="006E51BF">
            <w:pPr>
              <w:pStyle w:val="ARfintabletext"/>
            </w:pPr>
          </w:p>
        </w:tc>
        <w:tc>
          <w:tcPr>
            <w:cnfStyle w:val="000001000000" w:firstRow="0" w:lastRow="0" w:firstColumn="0" w:lastColumn="0" w:oddVBand="0" w:evenVBand="1" w:oddHBand="0" w:evenHBand="0" w:firstRowFirstColumn="0" w:firstRowLastColumn="0" w:lastRowFirstColumn="0" w:lastRowLastColumn="0"/>
            <w:tcW w:w="1324" w:type="pct"/>
            <w:tcBorders>
              <w:bottom w:val="single" w:sz="4" w:space="0" w:color="BFBFBF" w:themeColor="accent2"/>
            </w:tcBorders>
            <w:noWrap/>
            <w:tcMar>
              <w:left w:w="113" w:type="dxa"/>
            </w:tcMar>
            <w:hideMark/>
          </w:tcPr>
          <w:p w14:paraId="2A22A276" w14:textId="77777777" w:rsidR="006E51BF" w:rsidRPr="0041400D" w:rsidRDefault="006E51BF">
            <w:pPr>
              <w:pStyle w:val="ARfintabletext"/>
            </w:pPr>
            <w:r w:rsidRPr="0041400D">
              <w:t>The Hon. Danny Pearson</w:t>
            </w:r>
          </w:p>
        </w:tc>
        <w:tc>
          <w:tcPr>
            <w:tcW w:w="1911" w:type="pct"/>
            <w:tcBorders>
              <w:bottom w:val="single" w:sz="4" w:space="0" w:color="BFBFBF" w:themeColor="accent2"/>
            </w:tcBorders>
            <w:tcMar>
              <w:left w:w="113" w:type="dxa"/>
            </w:tcMar>
            <w:hideMark/>
          </w:tcPr>
          <w:p w14:paraId="0DBF4171" w14:textId="77777777" w:rsidR="006E51BF" w:rsidRPr="0041400D" w:rsidRDefault="006E51BF">
            <w:pPr>
              <w:pStyle w:val="ARfintabletext"/>
              <w:cnfStyle w:val="000000010000" w:firstRow="0" w:lastRow="0" w:firstColumn="0" w:lastColumn="0" w:oddVBand="0" w:evenVBand="0" w:oddHBand="0" w:evenHBand="1" w:firstRowFirstColumn="0" w:firstRowLastColumn="0" w:lastRowFirstColumn="0" w:lastRowLastColumn="0"/>
            </w:pPr>
            <w:r w:rsidRPr="0041400D">
              <w:t>5 July 2025 to 12 July 2025</w:t>
            </w:r>
          </w:p>
        </w:tc>
      </w:tr>
      <w:tr w:rsidR="006E51BF" w:rsidRPr="00373F8F" w14:paraId="0CF7A201" w14:textId="77777777">
        <w:trPr>
          <w:cnfStyle w:val="000000100000" w:firstRow="0" w:lastRow="0" w:firstColumn="0" w:lastColumn="0" w:oddVBand="0" w:evenVBand="0" w:oddHBand="1" w:evenHBand="0" w:firstRowFirstColumn="0" w:firstRowLastColumn="0" w:lastRowFirstColumn="0" w:lastRowLastColumn="0"/>
          <w:trHeight w:val="20"/>
        </w:trPr>
        <w:tc>
          <w:tcPr>
            <w:tcW w:w="1765" w:type="pct"/>
            <w:tcBorders>
              <w:bottom w:val="single" w:sz="4" w:space="0" w:color="000000" w:themeColor="text1"/>
            </w:tcBorders>
            <w:noWrap/>
            <w:hideMark/>
          </w:tcPr>
          <w:p w14:paraId="58E40688" w14:textId="77777777" w:rsidR="006E51BF" w:rsidRPr="0041400D" w:rsidRDefault="006E51BF">
            <w:pPr>
              <w:pStyle w:val="ARfintabletext"/>
            </w:pPr>
          </w:p>
        </w:tc>
        <w:tc>
          <w:tcPr>
            <w:cnfStyle w:val="000001000000" w:firstRow="0" w:lastRow="0" w:firstColumn="0" w:lastColumn="0" w:oddVBand="0" w:evenVBand="1" w:oddHBand="0" w:evenHBand="0" w:firstRowFirstColumn="0" w:firstRowLastColumn="0" w:lastRowFirstColumn="0" w:lastRowLastColumn="0"/>
            <w:tcW w:w="1324" w:type="pct"/>
            <w:tcBorders>
              <w:top w:val="single" w:sz="4" w:space="0" w:color="BFBFBF" w:themeColor="accent2"/>
              <w:bottom w:val="single" w:sz="4" w:space="0" w:color="000000" w:themeColor="text1"/>
            </w:tcBorders>
            <w:noWrap/>
            <w:tcMar>
              <w:left w:w="113" w:type="dxa"/>
            </w:tcMar>
            <w:hideMark/>
          </w:tcPr>
          <w:p w14:paraId="3EDB772F" w14:textId="77777777" w:rsidR="006E51BF" w:rsidRPr="0041400D" w:rsidRDefault="006E51BF">
            <w:pPr>
              <w:pStyle w:val="ARfintabletext"/>
            </w:pPr>
            <w:r w:rsidRPr="0041400D">
              <w:t>The Hon. Vicki Ward</w:t>
            </w:r>
          </w:p>
        </w:tc>
        <w:tc>
          <w:tcPr>
            <w:tcW w:w="1911" w:type="pct"/>
            <w:tcBorders>
              <w:top w:val="single" w:sz="4" w:space="0" w:color="BFBFBF" w:themeColor="accent2"/>
              <w:bottom w:val="single" w:sz="4" w:space="0" w:color="000000" w:themeColor="text1"/>
            </w:tcBorders>
            <w:noWrap/>
            <w:tcMar>
              <w:left w:w="113" w:type="dxa"/>
            </w:tcMar>
            <w:hideMark/>
          </w:tcPr>
          <w:p w14:paraId="04780F82"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13 July 2025 to 25 July 2025</w:t>
            </w:r>
          </w:p>
        </w:tc>
      </w:tr>
      <w:tr w:rsidR="006E51BF" w:rsidRPr="00373F8F" w14:paraId="63921C20" w14:textId="77777777">
        <w:trPr>
          <w:cnfStyle w:val="000000010000" w:firstRow="0" w:lastRow="0" w:firstColumn="0" w:lastColumn="0" w:oddVBand="0" w:evenVBand="0" w:oddHBand="0" w:evenHBand="1" w:firstRowFirstColumn="0" w:firstRowLastColumn="0" w:lastRowFirstColumn="0" w:lastRowLastColumn="0"/>
          <w:trHeight w:val="20"/>
        </w:trPr>
        <w:tc>
          <w:tcPr>
            <w:tcW w:w="1765" w:type="pct"/>
            <w:tcBorders>
              <w:top w:val="single" w:sz="4" w:space="0" w:color="000000" w:themeColor="text1"/>
              <w:bottom w:val="nil"/>
            </w:tcBorders>
            <w:noWrap/>
            <w:hideMark/>
          </w:tcPr>
          <w:p w14:paraId="130EC78C" w14:textId="77777777" w:rsidR="006E51BF" w:rsidRPr="0041400D" w:rsidRDefault="006E51BF">
            <w:pPr>
              <w:pStyle w:val="ARfintabletext"/>
            </w:pPr>
            <w:r w:rsidRPr="0041400D">
              <w:t>Acting Minister for Youth</w:t>
            </w:r>
          </w:p>
        </w:tc>
        <w:tc>
          <w:tcPr>
            <w:cnfStyle w:val="000001000000" w:firstRow="0" w:lastRow="0" w:firstColumn="0" w:lastColumn="0" w:oddVBand="0" w:evenVBand="1" w:oddHBand="0" w:evenHBand="0" w:firstRowFirstColumn="0" w:firstRowLastColumn="0" w:lastRowFirstColumn="0" w:lastRowLastColumn="0"/>
            <w:tcW w:w="1324" w:type="pct"/>
            <w:tcBorders>
              <w:top w:val="single" w:sz="4" w:space="0" w:color="000000" w:themeColor="text1"/>
            </w:tcBorders>
            <w:noWrap/>
            <w:tcMar>
              <w:left w:w="113" w:type="dxa"/>
            </w:tcMar>
            <w:hideMark/>
          </w:tcPr>
          <w:p w14:paraId="390A0EC4" w14:textId="77777777" w:rsidR="006E51BF" w:rsidRPr="0041400D" w:rsidRDefault="006E51BF">
            <w:pPr>
              <w:pStyle w:val="ARfintabletext"/>
            </w:pPr>
            <w:r w:rsidRPr="0041400D">
              <w:t>Hon. Lizzie Blandthorn</w:t>
            </w:r>
          </w:p>
        </w:tc>
        <w:tc>
          <w:tcPr>
            <w:tcW w:w="1911" w:type="pct"/>
            <w:tcBorders>
              <w:top w:val="single" w:sz="4" w:space="0" w:color="000000" w:themeColor="text1"/>
            </w:tcBorders>
            <w:noWrap/>
            <w:tcMar>
              <w:left w:w="113" w:type="dxa"/>
            </w:tcMar>
            <w:hideMark/>
          </w:tcPr>
          <w:p w14:paraId="51E544ED" w14:textId="77777777" w:rsidR="006E51BF" w:rsidRPr="0041400D" w:rsidRDefault="006E51BF">
            <w:pPr>
              <w:pStyle w:val="ARfintabletext"/>
              <w:cnfStyle w:val="000000010000" w:firstRow="0" w:lastRow="0" w:firstColumn="0" w:lastColumn="0" w:oddVBand="0" w:evenVBand="0" w:oddHBand="0" w:evenHBand="1" w:firstRowFirstColumn="0" w:firstRowLastColumn="0" w:lastRowFirstColumn="0" w:lastRowLastColumn="0"/>
            </w:pPr>
            <w:r w:rsidRPr="0041400D">
              <w:t>1 July 2025 to 4 July 2025</w:t>
            </w:r>
          </w:p>
        </w:tc>
      </w:tr>
      <w:tr w:rsidR="006E51BF" w:rsidRPr="00373F8F" w14:paraId="6B41CDB0" w14:textId="77777777">
        <w:trPr>
          <w:cnfStyle w:val="000000100000" w:firstRow="0" w:lastRow="0" w:firstColumn="0" w:lastColumn="0" w:oddVBand="0" w:evenVBand="0" w:oddHBand="1" w:evenHBand="0" w:firstRowFirstColumn="0" w:firstRowLastColumn="0" w:lastRowFirstColumn="0" w:lastRowLastColumn="0"/>
          <w:trHeight w:val="20"/>
        </w:trPr>
        <w:tc>
          <w:tcPr>
            <w:tcW w:w="1765" w:type="pct"/>
            <w:tcBorders>
              <w:bottom w:val="nil"/>
            </w:tcBorders>
            <w:noWrap/>
            <w:hideMark/>
          </w:tcPr>
          <w:p w14:paraId="774DE445" w14:textId="77777777" w:rsidR="006E51BF" w:rsidRPr="0041400D" w:rsidRDefault="006E51BF">
            <w:pPr>
              <w:pStyle w:val="ARfintabletext"/>
            </w:pPr>
          </w:p>
        </w:tc>
        <w:tc>
          <w:tcPr>
            <w:cnfStyle w:val="000001000000" w:firstRow="0" w:lastRow="0" w:firstColumn="0" w:lastColumn="0" w:oddVBand="0" w:evenVBand="1" w:oddHBand="0" w:evenHBand="0" w:firstRowFirstColumn="0" w:firstRowLastColumn="0" w:lastRowFirstColumn="0" w:lastRowLastColumn="0"/>
            <w:tcW w:w="1324" w:type="pct"/>
            <w:tcBorders>
              <w:bottom w:val="single" w:sz="4" w:space="0" w:color="BFBFBF" w:themeColor="accent2"/>
            </w:tcBorders>
            <w:noWrap/>
            <w:tcMar>
              <w:left w:w="113" w:type="dxa"/>
            </w:tcMar>
            <w:hideMark/>
          </w:tcPr>
          <w:p w14:paraId="023B1372" w14:textId="77777777" w:rsidR="006E51BF" w:rsidRPr="0041400D" w:rsidRDefault="006E51BF">
            <w:pPr>
              <w:pStyle w:val="ARfintabletext"/>
            </w:pPr>
            <w:r w:rsidRPr="0041400D">
              <w:t>The Hon. Danny Pearson</w:t>
            </w:r>
          </w:p>
        </w:tc>
        <w:tc>
          <w:tcPr>
            <w:tcW w:w="1911" w:type="pct"/>
            <w:tcBorders>
              <w:bottom w:val="single" w:sz="4" w:space="0" w:color="BFBFBF" w:themeColor="accent2"/>
            </w:tcBorders>
            <w:noWrap/>
            <w:tcMar>
              <w:left w:w="113" w:type="dxa"/>
            </w:tcMar>
            <w:hideMark/>
          </w:tcPr>
          <w:p w14:paraId="2F65B0F1"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5 July 2025 to 12 July 2025</w:t>
            </w:r>
          </w:p>
        </w:tc>
      </w:tr>
      <w:tr w:rsidR="006E51BF" w:rsidRPr="00373F8F" w14:paraId="234BE5CE" w14:textId="77777777">
        <w:trPr>
          <w:cnfStyle w:val="000000010000" w:firstRow="0" w:lastRow="0" w:firstColumn="0" w:lastColumn="0" w:oddVBand="0" w:evenVBand="0" w:oddHBand="0" w:evenHBand="1" w:firstRowFirstColumn="0" w:firstRowLastColumn="0" w:lastRowFirstColumn="0" w:lastRowLastColumn="0"/>
          <w:trHeight w:val="20"/>
        </w:trPr>
        <w:tc>
          <w:tcPr>
            <w:tcW w:w="1765" w:type="pct"/>
            <w:tcBorders>
              <w:bottom w:val="single" w:sz="4" w:space="0" w:color="000000" w:themeColor="text1"/>
            </w:tcBorders>
            <w:noWrap/>
            <w:hideMark/>
          </w:tcPr>
          <w:p w14:paraId="567CDC5C" w14:textId="77777777" w:rsidR="006E51BF" w:rsidRPr="0041400D" w:rsidRDefault="006E51BF">
            <w:pPr>
              <w:pStyle w:val="ARfintabletext"/>
            </w:pPr>
          </w:p>
        </w:tc>
        <w:tc>
          <w:tcPr>
            <w:cnfStyle w:val="000001000000" w:firstRow="0" w:lastRow="0" w:firstColumn="0" w:lastColumn="0" w:oddVBand="0" w:evenVBand="1" w:oddHBand="0" w:evenHBand="0" w:firstRowFirstColumn="0" w:firstRowLastColumn="0" w:lastRowFirstColumn="0" w:lastRowLastColumn="0"/>
            <w:tcW w:w="1324" w:type="pct"/>
            <w:tcBorders>
              <w:top w:val="single" w:sz="4" w:space="0" w:color="BFBFBF" w:themeColor="accent2"/>
              <w:bottom w:val="single" w:sz="4" w:space="0" w:color="000000" w:themeColor="text1"/>
            </w:tcBorders>
            <w:noWrap/>
            <w:tcMar>
              <w:left w:w="113" w:type="dxa"/>
            </w:tcMar>
            <w:hideMark/>
          </w:tcPr>
          <w:p w14:paraId="0F1EA658" w14:textId="77777777" w:rsidR="006E51BF" w:rsidRPr="0041400D" w:rsidRDefault="006E51BF">
            <w:pPr>
              <w:pStyle w:val="ARfintabletext"/>
            </w:pPr>
            <w:r w:rsidRPr="0041400D">
              <w:t>The Hon. Vicki Ward</w:t>
            </w:r>
          </w:p>
        </w:tc>
        <w:tc>
          <w:tcPr>
            <w:tcW w:w="1911" w:type="pct"/>
            <w:tcBorders>
              <w:top w:val="single" w:sz="4" w:space="0" w:color="BFBFBF" w:themeColor="accent2"/>
              <w:bottom w:val="single" w:sz="4" w:space="0" w:color="000000" w:themeColor="text1"/>
            </w:tcBorders>
            <w:tcMar>
              <w:left w:w="113" w:type="dxa"/>
            </w:tcMar>
            <w:hideMark/>
          </w:tcPr>
          <w:p w14:paraId="25E0272E" w14:textId="77777777" w:rsidR="006E51BF" w:rsidRPr="0041400D" w:rsidRDefault="006E51BF">
            <w:pPr>
              <w:pStyle w:val="ARfintabletext"/>
              <w:cnfStyle w:val="000000010000" w:firstRow="0" w:lastRow="0" w:firstColumn="0" w:lastColumn="0" w:oddVBand="0" w:evenVBand="0" w:oddHBand="0" w:evenHBand="1" w:firstRowFirstColumn="0" w:firstRowLastColumn="0" w:lastRowFirstColumn="0" w:lastRowLastColumn="0"/>
            </w:pPr>
            <w:r w:rsidRPr="0041400D">
              <w:t>13 July 2025 to 25 July 2025</w:t>
            </w:r>
          </w:p>
        </w:tc>
      </w:tr>
      <w:tr w:rsidR="006E51BF" w:rsidRPr="00373F8F" w14:paraId="60FBA55C" w14:textId="77777777">
        <w:trPr>
          <w:cnfStyle w:val="000000100000" w:firstRow="0" w:lastRow="0" w:firstColumn="0" w:lastColumn="0" w:oddVBand="0" w:evenVBand="0" w:oddHBand="1" w:evenHBand="0" w:firstRowFirstColumn="0" w:firstRowLastColumn="0" w:lastRowFirstColumn="0" w:lastRowLastColumn="0"/>
          <w:trHeight w:val="20"/>
        </w:trPr>
        <w:tc>
          <w:tcPr>
            <w:tcW w:w="1765" w:type="pct"/>
            <w:tcBorders>
              <w:top w:val="single" w:sz="4" w:space="0" w:color="000000" w:themeColor="text1"/>
              <w:bottom w:val="nil"/>
            </w:tcBorders>
            <w:noWrap/>
            <w:hideMark/>
          </w:tcPr>
          <w:p w14:paraId="31BBDE5D" w14:textId="77777777" w:rsidR="006E51BF" w:rsidRPr="0041400D" w:rsidRDefault="006E51BF">
            <w:pPr>
              <w:pStyle w:val="ARfintabletext"/>
            </w:pPr>
            <w:r w:rsidRPr="0041400D">
              <w:t>Acting Minister for Disability</w:t>
            </w:r>
          </w:p>
        </w:tc>
        <w:tc>
          <w:tcPr>
            <w:cnfStyle w:val="000001000000" w:firstRow="0" w:lastRow="0" w:firstColumn="0" w:lastColumn="0" w:oddVBand="0" w:evenVBand="1" w:oddHBand="0" w:evenHBand="0" w:firstRowFirstColumn="0" w:firstRowLastColumn="0" w:lastRowFirstColumn="0" w:lastRowLastColumn="0"/>
            <w:tcW w:w="1324" w:type="pct"/>
            <w:tcBorders>
              <w:top w:val="single" w:sz="4" w:space="0" w:color="000000" w:themeColor="text1"/>
            </w:tcBorders>
            <w:noWrap/>
            <w:tcMar>
              <w:left w:w="113" w:type="dxa"/>
            </w:tcMar>
            <w:hideMark/>
          </w:tcPr>
          <w:p w14:paraId="0F4E570D" w14:textId="77777777" w:rsidR="006E51BF" w:rsidRPr="0041400D" w:rsidRDefault="006E51BF">
            <w:pPr>
              <w:pStyle w:val="ARfintabletext"/>
            </w:pPr>
            <w:r w:rsidRPr="0041400D">
              <w:t>Hon. Harriet Shing</w:t>
            </w:r>
          </w:p>
        </w:tc>
        <w:tc>
          <w:tcPr>
            <w:tcW w:w="1911" w:type="pct"/>
            <w:tcBorders>
              <w:top w:val="single" w:sz="4" w:space="0" w:color="000000" w:themeColor="text1"/>
            </w:tcBorders>
            <w:noWrap/>
            <w:tcMar>
              <w:left w:w="113" w:type="dxa"/>
            </w:tcMar>
            <w:hideMark/>
          </w:tcPr>
          <w:p w14:paraId="4B6E4937"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22 December 2025 to 4 January 2026</w:t>
            </w:r>
          </w:p>
        </w:tc>
      </w:tr>
      <w:tr w:rsidR="006E51BF" w:rsidRPr="00373F8F" w14:paraId="30B7BC5C" w14:textId="77777777">
        <w:trPr>
          <w:cnfStyle w:val="000000010000" w:firstRow="0" w:lastRow="0" w:firstColumn="0" w:lastColumn="0" w:oddVBand="0" w:evenVBand="0" w:oddHBand="0" w:evenHBand="1" w:firstRowFirstColumn="0" w:firstRowLastColumn="0" w:lastRowFirstColumn="0" w:lastRowLastColumn="0"/>
          <w:trHeight w:val="20"/>
        </w:trPr>
        <w:tc>
          <w:tcPr>
            <w:tcW w:w="1765" w:type="pct"/>
            <w:tcBorders>
              <w:bottom w:val="nil"/>
            </w:tcBorders>
            <w:noWrap/>
            <w:hideMark/>
          </w:tcPr>
          <w:p w14:paraId="3103A738" w14:textId="77777777" w:rsidR="006E51BF" w:rsidRPr="0041400D" w:rsidRDefault="006E51BF">
            <w:pPr>
              <w:pStyle w:val="ARfintabletext"/>
            </w:pPr>
          </w:p>
        </w:tc>
        <w:tc>
          <w:tcPr>
            <w:cnfStyle w:val="000001000000" w:firstRow="0" w:lastRow="0" w:firstColumn="0" w:lastColumn="0" w:oddVBand="0" w:evenVBand="1" w:oddHBand="0" w:evenHBand="0" w:firstRowFirstColumn="0" w:firstRowLastColumn="0" w:lastRowFirstColumn="0" w:lastRowLastColumn="0"/>
            <w:tcW w:w="1324" w:type="pct"/>
            <w:noWrap/>
            <w:tcMar>
              <w:left w:w="113" w:type="dxa"/>
            </w:tcMar>
            <w:hideMark/>
          </w:tcPr>
          <w:p w14:paraId="7432DF4A" w14:textId="77777777" w:rsidR="006E51BF" w:rsidRPr="0041400D" w:rsidRDefault="006E51BF">
            <w:pPr>
              <w:pStyle w:val="ARfintabletext"/>
            </w:pPr>
            <w:r w:rsidRPr="0041400D">
              <w:t>The Hon. Ros Spence</w:t>
            </w:r>
          </w:p>
        </w:tc>
        <w:tc>
          <w:tcPr>
            <w:tcW w:w="1911" w:type="pct"/>
            <w:noWrap/>
            <w:tcMar>
              <w:left w:w="113" w:type="dxa"/>
            </w:tcMar>
            <w:hideMark/>
          </w:tcPr>
          <w:p w14:paraId="5EAD12D1" w14:textId="77777777" w:rsidR="006E51BF" w:rsidRPr="0041400D" w:rsidRDefault="006E51BF">
            <w:pPr>
              <w:pStyle w:val="ARfintabletext"/>
              <w:cnfStyle w:val="000000010000" w:firstRow="0" w:lastRow="0" w:firstColumn="0" w:lastColumn="0" w:oddVBand="0" w:evenVBand="0" w:oddHBand="0" w:evenHBand="1" w:firstRowFirstColumn="0" w:firstRowLastColumn="0" w:lastRowFirstColumn="0" w:lastRowLastColumn="0"/>
            </w:pPr>
            <w:r w:rsidRPr="0041400D">
              <w:t>5 January 2026 to 8 January 2026</w:t>
            </w:r>
          </w:p>
        </w:tc>
      </w:tr>
      <w:tr w:rsidR="006E51BF" w:rsidRPr="00373F8F" w14:paraId="123B9830" w14:textId="77777777">
        <w:trPr>
          <w:cnfStyle w:val="000000100000" w:firstRow="0" w:lastRow="0" w:firstColumn="0" w:lastColumn="0" w:oddVBand="0" w:evenVBand="0" w:oddHBand="1" w:evenHBand="0" w:firstRowFirstColumn="0" w:firstRowLastColumn="0" w:lastRowFirstColumn="0" w:lastRowLastColumn="0"/>
          <w:trHeight w:val="20"/>
        </w:trPr>
        <w:tc>
          <w:tcPr>
            <w:tcW w:w="1765" w:type="pct"/>
            <w:tcBorders>
              <w:bottom w:val="nil"/>
            </w:tcBorders>
            <w:noWrap/>
            <w:hideMark/>
          </w:tcPr>
          <w:p w14:paraId="13C1E67F" w14:textId="77777777" w:rsidR="006E51BF" w:rsidRPr="0041400D" w:rsidRDefault="006E51BF">
            <w:pPr>
              <w:pStyle w:val="ARfintabletext"/>
            </w:pPr>
          </w:p>
        </w:tc>
        <w:tc>
          <w:tcPr>
            <w:cnfStyle w:val="000001000000" w:firstRow="0" w:lastRow="0" w:firstColumn="0" w:lastColumn="0" w:oddVBand="0" w:evenVBand="1" w:oddHBand="0" w:evenHBand="0" w:firstRowFirstColumn="0" w:firstRowLastColumn="0" w:lastRowFirstColumn="0" w:lastRowLastColumn="0"/>
            <w:tcW w:w="1324" w:type="pct"/>
            <w:tcBorders>
              <w:bottom w:val="single" w:sz="4" w:space="0" w:color="BFBFBF" w:themeColor="accent2"/>
            </w:tcBorders>
            <w:noWrap/>
            <w:tcMar>
              <w:left w:w="113" w:type="dxa"/>
            </w:tcMar>
            <w:hideMark/>
          </w:tcPr>
          <w:p w14:paraId="10B45E25" w14:textId="77777777" w:rsidR="006E51BF" w:rsidRPr="0041400D" w:rsidRDefault="006E51BF">
            <w:pPr>
              <w:pStyle w:val="ARfintabletext"/>
            </w:pPr>
            <w:r w:rsidRPr="0041400D">
              <w:t>Hon. Natalie Suleyman</w:t>
            </w:r>
          </w:p>
        </w:tc>
        <w:tc>
          <w:tcPr>
            <w:tcW w:w="1911" w:type="pct"/>
            <w:tcBorders>
              <w:bottom w:val="single" w:sz="4" w:space="0" w:color="BFBFBF" w:themeColor="accent2"/>
            </w:tcBorders>
            <w:noWrap/>
            <w:tcMar>
              <w:left w:w="113" w:type="dxa"/>
            </w:tcMar>
            <w:hideMark/>
          </w:tcPr>
          <w:p w14:paraId="728C7A45"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9 January 2026 to 11 January 2026</w:t>
            </w:r>
          </w:p>
        </w:tc>
      </w:tr>
      <w:tr w:rsidR="006E51BF" w:rsidRPr="00373F8F" w14:paraId="6350C31A" w14:textId="77777777">
        <w:trPr>
          <w:cnfStyle w:val="000000010000" w:firstRow="0" w:lastRow="0" w:firstColumn="0" w:lastColumn="0" w:oddVBand="0" w:evenVBand="0" w:oddHBand="0" w:evenHBand="1" w:firstRowFirstColumn="0" w:firstRowLastColumn="0" w:lastRowFirstColumn="0" w:lastRowLastColumn="0"/>
          <w:trHeight w:val="20"/>
        </w:trPr>
        <w:tc>
          <w:tcPr>
            <w:tcW w:w="1765" w:type="pct"/>
            <w:tcBorders>
              <w:bottom w:val="single" w:sz="4" w:space="0" w:color="000000" w:themeColor="text1"/>
            </w:tcBorders>
            <w:noWrap/>
            <w:hideMark/>
          </w:tcPr>
          <w:p w14:paraId="134A2B4D" w14:textId="77777777" w:rsidR="006E51BF" w:rsidRPr="0041400D" w:rsidRDefault="006E51BF">
            <w:pPr>
              <w:pStyle w:val="ARfintabletext"/>
            </w:pPr>
          </w:p>
        </w:tc>
        <w:tc>
          <w:tcPr>
            <w:cnfStyle w:val="000001000000" w:firstRow="0" w:lastRow="0" w:firstColumn="0" w:lastColumn="0" w:oddVBand="0" w:evenVBand="1" w:oddHBand="0" w:evenHBand="0" w:firstRowFirstColumn="0" w:firstRowLastColumn="0" w:lastRowFirstColumn="0" w:lastRowLastColumn="0"/>
            <w:tcW w:w="1324" w:type="pct"/>
            <w:tcBorders>
              <w:top w:val="single" w:sz="4" w:space="0" w:color="BFBFBF" w:themeColor="accent2"/>
              <w:bottom w:val="single" w:sz="4" w:space="0" w:color="000000" w:themeColor="text1"/>
            </w:tcBorders>
            <w:noWrap/>
            <w:tcMar>
              <w:left w:w="113" w:type="dxa"/>
            </w:tcMar>
            <w:hideMark/>
          </w:tcPr>
          <w:p w14:paraId="1F6BF5DA" w14:textId="77777777" w:rsidR="006E51BF" w:rsidRPr="0041400D" w:rsidRDefault="006E51BF">
            <w:pPr>
              <w:pStyle w:val="ARfintabletext"/>
            </w:pPr>
            <w:r w:rsidRPr="0041400D">
              <w:t>The Hon. Melissa Horne</w:t>
            </w:r>
          </w:p>
        </w:tc>
        <w:tc>
          <w:tcPr>
            <w:tcW w:w="1911" w:type="pct"/>
            <w:tcBorders>
              <w:top w:val="single" w:sz="4" w:space="0" w:color="BFBFBF" w:themeColor="accent2"/>
              <w:bottom w:val="single" w:sz="4" w:space="0" w:color="000000" w:themeColor="text1"/>
            </w:tcBorders>
            <w:noWrap/>
            <w:tcMar>
              <w:left w:w="113" w:type="dxa"/>
            </w:tcMar>
            <w:hideMark/>
          </w:tcPr>
          <w:p w14:paraId="0BC36D9C" w14:textId="77777777" w:rsidR="006E51BF" w:rsidRPr="0041400D" w:rsidRDefault="006E51BF">
            <w:pPr>
              <w:pStyle w:val="ARfintabletext"/>
              <w:cnfStyle w:val="000000010000" w:firstRow="0" w:lastRow="0" w:firstColumn="0" w:lastColumn="0" w:oddVBand="0" w:evenVBand="0" w:oddHBand="0" w:evenHBand="1" w:firstRowFirstColumn="0" w:firstRowLastColumn="0" w:lastRowFirstColumn="0" w:lastRowLastColumn="0"/>
            </w:pPr>
            <w:r w:rsidRPr="0041400D">
              <w:t>29 June 2026 to 30 June 2026</w:t>
            </w:r>
          </w:p>
        </w:tc>
      </w:tr>
      <w:tr w:rsidR="006E51BF" w:rsidRPr="00373F8F" w14:paraId="08B273D7" w14:textId="77777777">
        <w:trPr>
          <w:cnfStyle w:val="000000100000" w:firstRow="0" w:lastRow="0" w:firstColumn="0" w:lastColumn="0" w:oddVBand="0" w:evenVBand="0" w:oddHBand="1" w:evenHBand="0" w:firstRowFirstColumn="0" w:firstRowLastColumn="0" w:lastRowFirstColumn="0" w:lastRowLastColumn="0"/>
          <w:trHeight w:val="20"/>
        </w:trPr>
        <w:tc>
          <w:tcPr>
            <w:tcW w:w="1765" w:type="pct"/>
            <w:tcBorders>
              <w:top w:val="single" w:sz="4" w:space="0" w:color="000000" w:themeColor="text1"/>
              <w:bottom w:val="nil"/>
            </w:tcBorders>
            <w:noWrap/>
            <w:hideMark/>
          </w:tcPr>
          <w:p w14:paraId="2C599696" w14:textId="77777777" w:rsidR="006E51BF" w:rsidRPr="0041400D" w:rsidRDefault="006E51BF">
            <w:pPr>
              <w:pStyle w:val="ARfintabletext"/>
            </w:pPr>
            <w:r w:rsidRPr="0041400D">
              <w:t>Acting Minister for Children</w:t>
            </w:r>
          </w:p>
        </w:tc>
        <w:tc>
          <w:tcPr>
            <w:cnfStyle w:val="000001000000" w:firstRow="0" w:lastRow="0" w:firstColumn="0" w:lastColumn="0" w:oddVBand="0" w:evenVBand="1" w:oddHBand="0" w:evenHBand="0" w:firstRowFirstColumn="0" w:firstRowLastColumn="0" w:lastRowFirstColumn="0" w:lastRowLastColumn="0"/>
            <w:tcW w:w="1324" w:type="pct"/>
            <w:tcBorders>
              <w:top w:val="single" w:sz="4" w:space="0" w:color="000000" w:themeColor="text1"/>
            </w:tcBorders>
            <w:noWrap/>
            <w:tcMar>
              <w:left w:w="113" w:type="dxa"/>
            </w:tcMar>
            <w:hideMark/>
          </w:tcPr>
          <w:p w14:paraId="03F2BFAE" w14:textId="77777777" w:rsidR="006E51BF" w:rsidRPr="0041400D" w:rsidRDefault="006E51BF">
            <w:pPr>
              <w:pStyle w:val="ARfintabletext"/>
            </w:pPr>
            <w:r w:rsidRPr="0041400D">
              <w:t>Hon. Harriet Shing</w:t>
            </w:r>
          </w:p>
        </w:tc>
        <w:tc>
          <w:tcPr>
            <w:tcW w:w="1911" w:type="pct"/>
            <w:tcBorders>
              <w:top w:val="single" w:sz="4" w:space="0" w:color="000000" w:themeColor="text1"/>
            </w:tcBorders>
            <w:noWrap/>
            <w:tcMar>
              <w:left w:w="113" w:type="dxa"/>
            </w:tcMar>
            <w:hideMark/>
          </w:tcPr>
          <w:p w14:paraId="12B018C2"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22 December 2025 to 4 January 2026</w:t>
            </w:r>
          </w:p>
        </w:tc>
      </w:tr>
      <w:tr w:rsidR="006E51BF" w:rsidRPr="00373F8F" w14:paraId="2468BC17" w14:textId="77777777">
        <w:trPr>
          <w:cnfStyle w:val="000000010000" w:firstRow="0" w:lastRow="0" w:firstColumn="0" w:lastColumn="0" w:oddVBand="0" w:evenVBand="0" w:oddHBand="0" w:evenHBand="1" w:firstRowFirstColumn="0" w:firstRowLastColumn="0" w:lastRowFirstColumn="0" w:lastRowLastColumn="0"/>
          <w:trHeight w:val="20"/>
        </w:trPr>
        <w:tc>
          <w:tcPr>
            <w:tcW w:w="1765" w:type="pct"/>
            <w:tcBorders>
              <w:bottom w:val="nil"/>
            </w:tcBorders>
            <w:hideMark/>
          </w:tcPr>
          <w:p w14:paraId="4112BCC6" w14:textId="77777777" w:rsidR="006E51BF" w:rsidRPr="0041400D" w:rsidRDefault="006E51BF">
            <w:pPr>
              <w:pStyle w:val="ARfintabletext"/>
            </w:pPr>
          </w:p>
        </w:tc>
        <w:tc>
          <w:tcPr>
            <w:cnfStyle w:val="000001000000" w:firstRow="0" w:lastRow="0" w:firstColumn="0" w:lastColumn="0" w:oddVBand="0" w:evenVBand="1" w:oddHBand="0" w:evenHBand="0" w:firstRowFirstColumn="0" w:firstRowLastColumn="0" w:lastRowFirstColumn="0" w:lastRowLastColumn="0"/>
            <w:tcW w:w="1324" w:type="pct"/>
            <w:noWrap/>
            <w:tcMar>
              <w:left w:w="113" w:type="dxa"/>
            </w:tcMar>
            <w:hideMark/>
          </w:tcPr>
          <w:p w14:paraId="06E0BE37" w14:textId="77777777" w:rsidR="006E51BF" w:rsidRPr="0041400D" w:rsidRDefault="006E51BF">
            <w:pPr>
              <w:pStyle w:val="ARfintabletext"/>
            </w:pPr>
            <w:r w:rsidRPr="0041400D">
              <w:t>The Hon. Ros Spence</w:t>
            </w:r>
          </w:p>
        </w:tc>
        <w:tc>
          <w:tcPr>
            <w:tcW w:w="1911" w:type="pct"/>
            <w:noWrap/>
            <w:tcMar>
              <w:left w:w="113" w:type="dxa"/>
            </w:tcMar>
            <w:hideMark/>
          </w:tcPr>
          <w:p w14:paraId="76EE05FD" w14:textId="77777777" w:rsidR="006E51BF" w:rsidRPr="0041400D" w:rsidRDefault="006E51BF">
            <w:pPr>
              <w:pStyle w:val="ARfintabletext"/>
              <w:cnfStyle w:val="000000010000" w:firstRow="0" w:lastRow="0" w:firstColumn="0" w:lastColumn="0" w:oddVBand="0" w:evenVBand="0" w:oddHBand="0" w:evenHBand="1" w:firstRowFirstColumn="0" w:firstRowLastColumn="0" w:lastRowFirstColumn="0" w:lastRowLastColumn="0"/>
            </w:pPr>
            <w:r w:rsidRPr="0041400D">
              <w:t>5 January 2026 to 8 January 2026</w:t>
            </w:r>
          </w:p>
        </w:tc>
      </w:tr>
      <w:tr w:rsidR="006E51BF" w:rsidRPr="00373F8F" w14:paraId="7D68AC2B" w14:textId="77777777">
        <w:trPr>
          <w:cnfStyle w:val="000000100000" w:firstRow="0" w:lastRow="0" w:firstColumn="0" w:lastColumn="0" w:oddVBand="0" w:evenVBand="0" w:oddHBand="1" w:evenHBand="0" w:firstRowFirstColumn="0" w:firstRowLastColumn="0" w:lastRowFirstColumn="0" w:lastRowLastColumn="0"/>
          <w:trHeight w:val="20"/>
        </w:trPr>
        <w:tc>
          <w:tcPr>
            <w:tcW w:w="1765" w:type="pct"/>
            <w:tcBorders>
              <w:bottom w:val="nil"/>
            </w:tcBorders>
            <w:hideMark/>
          </w:tcPr>
          <w:p w14:paraId="61047786" w14:textId="77777777" w:rsidR="006E51BF" w:rsidRPr="0041400D" w:rsidRDefault="006E51BF">
            <w:pPr>
              <w:pStyle w:val="ARfintabletext"/>
            </w:pPr>
          </w:p>
        </w:tc>
        <w:tc>
          <w:tcPr>
            <w:cnfStyle w:val="000001000000" w:firstRow="0" w:lastRow="0" w:firstColumn="0" w:lastColumn="0" w:oddVBand="0" w:evenVBand="1" w:oddHBand="0" w:evenHBand="0" w:firstRowFirstColumn="0" w:firstRowLastColumn="0" w:lastRowFirstColumn="0" w:lastRowLastColumn="0"/>
            <w:tcW w:w="1324" w:type="pct"/>
            <w:tcBorders>
              <w:bottom w:val="single" w:sz="4" w:space="0" w:color="BFBFBF" w:themeColor="accent2"/>
            </w:tcBorders>
            <w:noWrap/>
            <w:tcMar>
              <w:left w:w="113" w:type="dxa"/>
            </w:tcMar>
            <w:hideMark/>
          </w:tcPr>
          <w:p w14:paraId="036A403A" w14:textId="77777777" w:rsidR="006E51BF" w:rsidRPr="0041400D" w:rsidRDefault="006E51BF">
            <w:pPr>
              <w:pStyle w:val="ARfintabletext"/>
            </w:pPr>
            <w:r w:rsidRPr="0041400D">
              <w:t>Hon. Natalie Suleyman</w:t>
            </w:r>
          </w:p>
        </w:tc>
        <w:tc>
          <w:tcPr>
            <w:tcW w:w="1911" w:type="pct"/>
            <w:tcBorders>
              <w:bottom w:val="single" w:sz="4" w:space="0" w:color="BFBFBF" w:themeColor="accent2"/>
            </w:tcBorders>
            <w:noWrap/>
            <w:tcMar>
              <w:left w:w="113" w:type="dxa"/>
            </w:tcMar>
            <w:hideMark/>
          </w:tcPr>
          <w:p w14:paraId="1E2E9DCE"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9 January 2026 to 11 January 2026</w:t>
            </w:r>
          </w:p>
        </w:tc>
      </w:tr>
      <w:tr w:rsidR="006E51BF" w:rsidRPr="00373F8F" w14:paraId="6CDBFEEC" w14:textId="77777777">
        <w:trPr>
          <w:cnfStyle w:val="000000010000" w:firstRow="0" w:lastRow="0" w:firstColumn="0" w:lastColumn="0" w:oddVBand="0" w:evenVBand="0" w:oddHBand="0" w:evenHBand="1" w:firstRowFirstColumn="0" w:firstRowLastColumn="0" w:lastRowFirstColumn="0" w:lastRowLastColumn="0"/>
          <w:trHeight w:val="20"/>
        </w:trPr>
        <w:tc>
          <w:tcPr>
            <w:tcW w:w="1765" w:type="pct"/>
            <w:tcBorders>
              <w:bottom w:val="single" w:sz="4" w:space="0" w:color="000000" w:themeColor="text1"/>
            </w:tcBorders>
            <w:hideMark/>
          </w:tcPr>
          <w:p w14:paraId="33A1E0A3" w14:textId="77777777" w:rsidR="006E51BF" w:rsidRPr="0041400D" w:rsidRDefault="006E51BF">
            <w:pPr>
              <w:pStyle w:val="ARfintabletext"/>
            </w:pPr>
          </w:p>
        </w:tc>
        <w:tc>
          <w:tcPr>
            <w:cnfStyle w:val="000001000000" w:firstRow="0" w:lastRow="0" w:firstColumn="0" w:lastColumn="0" w:oddVBand="0" w:evenVBand="1" w:oddHBand="0" w:evenHBand="0" w:firstRowFirstColumn="0" w:firstRowLastColumn="0" w:lastRowFirstColumn="0" w:lastRowLastColumn="0"/>
            <w:tcW w:w="1324" w:type="pct"/>
            <w:tcBorders>
              <w:top w:val="single" w:sz="4" w:space="0" w:color="BFBFBF" w:themeColor="accent2"/>
              <w:bottom w:val="single" w:sz="4" w:space="0" w:color="000000" w:themeColor="text1"/>
            </w:tcBorders>
            <w:noWrap/>
            <w:tcMar>
              <w:left w:w="113" w:type="dxa"/>
            </w:tcMar>
            <w:hideMark/>
          </w:tcPr>
          <w:p w14:paraId="6433A029" w14:textId="77777777" w:rsidR="006E51BF" w:rsidRPr="0041400D" w:rsidRDefault="006E51BF">
            <w:pPr>
              <w:pStyle w:val="ARfintabletext"/>
            </w:pPr>
            <w:r w:rsidRPr="0041400D">
              <w:t>The Hon. Melissa Horne</w:t>
            </w:r>
          </w:p>
        </w:tc>
        <w:tc>
          <w:tcPr>
            <w:tcW w:w="1911" w:type="pct"/>
            <w:tcBorders>
              <w:top w:val="single" w:sz="4" w:space="0" w:color="BFBFBF" w:themeColor="accent2"/>
              <w:bottom w:val="single" w:sz="4" w:space="0" w:color="000000" w:themeColor="text1"/>
            </w:tcBorders>
            <w:noWrap/>
            <w:tcMar>
              <w:left w:w="113" w:type="dxa"/>
            </w:tcMar>
            <w:hideMark/>
          </w:tcPr>
          <w:p w14:paraId="2B9421A8" w14:textId="77777777" w:rsidR="006E51BF" w:rsidRPr="0041400D" w:rsidRDefault="006E51BF">
            <w:pPr>
              <w:pStyle w:val="ARfintabletext"/>
              <w:cnfStyle w:val="000000010000" w:firstRow="0" w:lastRow="0" w:firstColumn="0" w:lastColumn="0" w:oddVBand="0" w:evenVBand="0" w:oddHBand="0" w:evenHBand="1" w:firstRowFirstColumn="0" w:firstRowLastColumn="0" w:lastRowFirstColumn="0" w:lastRowLastColumn="0"/>
            </w:pPr>
            <w:r w:rsidRPr="0041400D">
              <w:t>29 June 2026 to 30 June 2026</w:t>
            </w:r>
          </w:p>
        </w:tc>
      </w:tr>
      <w:tr w:rsidR="006E51BF" w:rsidRPr="00373F8F" w14:paraId="236AAA68" w14:textId="77777777">
        <w:trPr>
          <w:cnfStyle w:val="000000100000" w:firstRow="0" w:lastRow="0" w:firstColumn="0" w:lastColumn="0" w:oddVBand="0" w:evenVBand="0" w:oddHBand="1" w:evenHBand="0" w:firstRowFirstColumn="0" w:firstRowLastColumn="0" w:lastRowFirstColumn="0" w:lastRowLastColumn="0"/>
          <w:trHeight w:val="20"/>
        </w:trPr>
        <w:tc>
          <w:tcPr>
            <w:tcW w:w="1765" w:type="pct"/>
            <w:tcBorders>
              <w:top w:val="single" w:sz="4" w:space="0" w:color="000000" w:themeColor="text1"/>
              <w:bottom w:val="single" w:sz="4" w:space="0" w:color="000000" w:themeColor="text1"/>
            </w:tcBorders>
            <w:noWrap/>
            <w:hideMark/>
          </w:tcPr>
          <w:p w14:paraId="4ECF9C38" w14:textId="77777777" w:rsidR="006E51BF" w:rsidRPr="00F77100" w:rsidRDefault="006E51BF">
            <w:pPr>
              <w:pStyle w:val="ARfintabletext"/>
              <w:rPr>
                <w:spacing w:val="-4"/>
              </w:rPr>
            </w:pPr>
            <w:r w:rsidRPr="00F77100">
              <w:rPr>
                <w:spacing w:val="-4"/>
              </w:rPr>
              <w:t>Acting Minister for Carers and Volunteers</w:t>
            </w:r>
          </w:p>
        </w:tc>
        <w:tc>
          <w:tcPr>
            <w:cnfStyle w:val="000001000000" w:firstRow="0" w:lastRow="0" w:firstColumn="0" w:lastColumn="0" w:oddVBand="0" w:evenVBand="1" w:oddHBand="0" w:evenHBand="0" w:firstRowFirstColumn="0" w:firstRowLastColumn="0" w:lastRowFirstColumn="0" w:lastRowLastColumn="0"/>
            <w:tcW w:w="1324" w:type="pct"/>
            <w:tcBorders>
              <w:top w:val="single" w:sz="4" w:space="0" w:color="000000" w:themeColor="text1"/>
              <w:bottom w:val="single" w:sz="4" w:space="0" w:color="000000" w:themeColor="text1"/>
            </w:tcBorders>
            <w:noWrap/>
            <w:tcMar>
              <w:left w:w="113" w:type="dxa"/>
            </w:tcMar>
            <w:hideMark/>
          </w:tcPr>
          <w:p w14:paraId="0DA8ED2F" w14:textId="77777777" w:rsidR="006E51BF" w:rsidRPr="0041400D" w:rsidRDefault="006E51BF">
            <w:pPr>
              <w:pStyle w:val="ARfintabletext"/>
            </w:pPr>
            <w:r w:rsidRPr="0041400D">
              <w:t>The Hon. Vicki Ward</w:t>
            </w:r>
          </w:p>
        </w:tc>
        <w:tc>
          <w:tcPr>
            <w:tcW w:w="1911" w:type="pct"/>
            <w:tcBorders>
              <w:top w:val="single" w:sz="4" w:space="0" w:color="000000" w:themeColor="text1"/>
              <w:bottom w:val="single" w:sz="4" w:space="0" w:color="000000" w:themeColor="text1"/>
            </w:tcBorders>
            <w:tcMar>
              <w:left w:w="113" w:type="dxa"/>
            </w:tcMar>
            <w:hideMark/>
          </w:tcPr>
          <w:p w14:paraId="249FD993"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5 July 2025 to 27 July 2025</w:t>
            </w:r>
            <w:r w:rsidRPr="0041400D">
              <w:br/>
              <w:t>9 January 2026 to 25 January 2026</w:t>
            </w:r>
          </w:p>
        </w:tc>
      </w:tr>
      <w:tr w:rsidR="006E51BF" w:rsidRPr="00373F8F" w14:paraId="19411D04" w14:textId="77777777">
        <w:trPr>
          <w:cnfStyle w:val="000000010000" w:firstRow="0" w:lastRow="0" w:firstColumn="0" w:lastColumn="0" w:oddVBand="0" w:evenVBand="0" w:oddHBand="0" w:evenHBand="1" w:firstRowFirstColumn="0" w:firstRowLastColumn="0" w:lastRowFirstColumn="0" w:lastRowLastColumn="0"/>
          <w:trHeight w:val="20"/>
        </w:trPr>
        <w:tc>
          <w:tcPr>
            <w:tcW w:w="1765" w:type="pct"/>
            <w:tcBorders>
              <w:top w:val="single" w:sz="4" w:space="0" w:color="000000" w:themeColor="text1"/>
              <w:bottom w:val="single" w:sz="4" w:space="0" w:color="000000" w:themeColor="text1"/>
            </w:tcBorders>
            <w:noWrap/>
            <w:hideMark/>
          </w:tcPr>
          <w:p w14:paraId="4E180EA1" w14:textId="77777777" w:rsidR="006E51BF" w:rsidRPr="0041400D" w:rsidRDefault="006E51BF">
            <w:pPr>
              <w:pStyle w:val="ARfintabletext"/>
            </w:pPr>
            <w:r w:rsidRPr="0041400D">
              <w:t>Acting Minister for Women and Girls</w:t>
            </w:r>
          </w:p>
        </w:tc>
        <w:tc>
          <w:tcPr>
            <w:cnfStyle w:val="000001000000" w:firstRow="0" w:lastRow="0" w:firstColumn="0" w:lastColumn="0" w:oddVBand="0" w:evenVBand="1" w:oddHBand="0" w:evenHBand="0" w:firstRowFirstColumn="0" w:firstRowLastColumn="0" w:lastRowFirstColumn="0" w:lastRowLastColumn="0"/>
            <w:tcW w:w="1324" w:type="pct"/>
            <w:tcBorders>
              <w:top w:val="single" w:sz="4" w:space="0" w:color="000000" w:themeColor="text1"/>
              <w:bottom w:val="single" w:sz="4" w:space="0" w:color="000000" w:themeColor="text1"/>
            </w:tcBorders>
            <w:noWrap/>
            <w:tcMar>
              <w:left w:w="113" w:type="dxa"/>
            </w:tcMar>
            <w:hideMark/>
          </w:tcPr>
          <w:p w14:paraId="0BF60ED5" w14:textId="77777777" w:rsidR="006E51BF" w:rsidRPr="0041400D" w:rsidRDefault="006E51BF">
            <w:pPr>
              <w:pStyle w:val="ARfintabletext"/>
            </w:pPr>
            <w:r w:rsidRPr="0041400D">
              <w:t>The Hon. Vicki Ward</w:t>
            </w:r>
          </w:p>
        </w:tc>
        <w:tc>
          <w:tcPr>
            <w:tcW w:w="1911" w:type="pct"/>
            <w:tcBorders>
              <w:top w:val="single" w:sz="4" w:space="0" w:color="000000" w:themeColor="text1"/>
              <w:bottom w:val="single" w:sz="4" w:space="0" w:color="000000" w:themeColor="text1"/>
            </w:tcBorders>
            <w:noWrap/>
            <w:tcMar>
              <w:left w:w="113" w:type="dxa"/>
            </w:tcMar>
            <w:hideMark/>
          </w:tcPr>
          <w:p w14:paraId="79A3BAC5" w14:textId="77777777" w:rsidR="006E51BF" w:rsidRPr="0041400D" w:rsidRDefault="006E51BF">
            <w:pPr>
              <w:pStyle w:val="ARfintabletext"/>
              <w:cnfStyle w:val="000000010000" w:firstRow="0" w:lastRow="0" w:firstColumn="0" w:lastColumn="0" w:oddVBand="0" w:evenVBand="0" w:oddHBand="0" w:evenHBand="1" w:firstRowFirstColumn="0" w:firstRowLastColumn="0" w:lastRowFirstColumn="0" w:lastRowLastColumn="0"/>
            </w:pPr>
            <w:r w:rsidRPr="0041400D">
              <w:t>1 July 2025 to 1 August 2025</w:t>
            </w:r>
          </w:p>
        </w:tc>
      </w:tr>
      <w:tr w:rsidR="006E51BF" w:rsidRPr="00373F8F" w14:paraId="15702DA4" w14:textId="77777777">
        <w:trPr>
          <w:cnfStyle w:val="000000100000" w:firstRow="0" w:lastRow="0" w:firstColumn="0" w:lastColumn="0" w:oddVBand="0" w:evenVBand="0" w:oddHBand="1" w:evenHBand="0" w:firstRowFirstColumn="0" w:firstRowLastColumn="0" w:lastRowFirstColumn="0" w:lastRowLastColumn="0"/>
          <w:trHeight w:val="20"/>
        </w:trPr>
        <w:tc>
          <w:tcPr>
            <w:tcW w:w="1765" w:type="pct"/>
            <w:tcBorders>
              <w:top w:val="single" w:sz="4" w:space="0" w:color="000000" w:themeColor="text1"/>
              <w:bottom w:val="single" w:sz="4" w:space="0" w:color="000000" w:themeColor="text1"/>
            </w:tcBorders>
            <w:noWrap/>
            <w:hideMark/>
          </w:tcPr>
          <w:p w14:paraId="7202E942" w14:textId="7C8AEAED" w:rsidR="006E51BF" w:rsidRPr="0041400D" w:rsidRDefault="006E51BF">
            <w:pPr>
              <w:pStyle w:val="ARfintabletext"/>
            </w:pPr>
            <w:r w:rsidRPr="0041400D">
              <w:t>Acting Minister for Prevention of Family</w:t>
            </w:r>
            <w:r w:rsidR="00F77100">
              <w:t> </w:t>
            </w:r>
            <w:r w:rsidRPr="0041400D">
              <w:t>Violence</w:t>
            </w:r>
          </w:p>
        </w:tc>
        <w:tc>
          <w:tcPr>
            <w:cnfStyle w:val="000001000000" w:firstRow="0" w:lastRow="0" w:firstColumn="0" w:lastColumn="0" w:oddVBand="0" w:evenVBand="1" w:oddHBand="0" w:evenHBand="0" w:firstRowFirstColumn="0" w:firstRowLastColumn="0" w:lastRowFirstColumn="0" w:lastRowLastColumn="0"/>
            <w:tcW w:w="1324" w:type="pct"/>
            <w:tcBorders>
              <w:top w:val="single" w:sz="4" w:space="0" w:color="000000" w:themeColor="text1"/>
              <w:bottom w:val="single" w:sz="4" w:space="0" w:color="000000" w:themeColor="text1"/>
            </w:tcBorders>
            <w:noWrap/>
            <w:tcMar>
              <w:left w:w="113" w:type="dxa"/>
            </w:tcMar>
            <w:hideMark/>
          </w:tcPr>
          <w:p w14:paraId="74BB7BC4" w14:textId="77777777" w:rsidR="006E51BF" w:rsidRPr="0041400D" w:rsidRDefault="006E51BF">
            <w:pPr>
              <w:pStyle w:val="ARfintabletext"/>
            </w:pPr>
            <w:r w:rsidRPr="0041400D">
              <w:t>The Hon. Vicki Ward</w:t>
            </w:r>
          </w:p>
        </w:tc>
        <w:tc>
          <w:tcPr>
            <w:tcW w:w="1911" w:type="pct"/>
            <w:tcBorders>
              <w:top w:val="single" w:sz="4" w:space="0" w:color="000000" w:themeColor="text1"/>
              <w:bottom w:val="single" w:sz="4" w:space="0" w:color="000000" w:themeColor="text1"/>
            </w:tcBorders>
            <w:noWrap/>
            <w:tcMar>
              <w:left w:w="113" w:type="dxa"/>
            </w:tcMar>
            <w:hideMark/>
          </w:tcPr>
          <w:p w14:paraId="5787F288"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1 July 2025 to 1 August 2025</w:t>
            </w:r>
          </w:p>
        </w:tc>
      </w:tr>
      <w:tr w:rsidR="006E51BF" w:rsidRPr="00373F8F" w14:paraId="559D4975" w14:textId="77777777">
        <w:trPr>
          <w:cnfStyle w:val="000000010000" w:firstRow="0" w:lastRow="0" w:firstColumn="0" w:lastColumn="0" w:oddVBand="0" w:evenVBand="0" w:oddHBand="0" w:evenHBand="1" w:firstRowFirstColumn="0" w:firstRowLastColumn="0" w:lastRowFirstColumn="0" w:lastRowLastColumn="0"/>
          <w:trHeight w:val="20"/>
        </w:trPr>
        <w:tc>
          <w:tcPr>
            <w:tcW w:w="1765" w:type="pct"/>
            <w:tcBorders>
              <w:top w:val="single" w:sz="4" w:space="0" w:color="000000" w:themeColor="text1"/>
              <w:bottom w:val="nil"/>
            </w:tcBorders>
            <w:noWrap/>
            <w:hideMark/>
          </w:tcPr>
          <w:p w14:paraId="0B93A514" w14:textId="77777777" w:rsidR="006E51BF" w:rsidRPr="0041400D" w:rsidRDefault="006E51BF">
            <w:pPr>
              <w:pStyle w:val="ARfintabletext"/>
            </w:pPr>
            <w:r w:rsidRPr="0041400D">
              <w:t>Acting Minister for Housing and Building</w:t>
            </w:r>
          </w:p>
        </w:tc>
        <w:tc>
          <w:tcPr>
            <w:cnfStyle w:val="000001000000" w:firstRow="0" w:lastRow="0" w:firstColumn="0" w:lastColumn="0" w:oddVBand="0" w:evenVBand="1" w:oddHBand="0" w:evenHBand="0" w:firstRowFirstColumn="0" w:firstRowLastColumn="0" w:lastRowFirstColumn="0" w:lastRowLastColumn="0"/>
            <w:tcW w:w="1324" w:type="pct"/>
            <w:tcBorders>
              <w:top w:val="single" w:sz="4" w:space="0" w:color="000000" w:themeColor="text1"/>
              <w:bottom w:val="single" w:sz="4" w:space="0" w:color="BFBFBF" w:themeColor="accent2"/>
            </w:tcBorders>
            <w:noWrap/>
            <w:tcMar>
              <w:left w:w="113" w:type="dxa"/>
            </w:tcMar>
            <w:hideMark/>
          </w:tcPr>
          <w:p w14:paraId="3A30A218" w14:textId="77777777" w:rsidR="006E51BF" w:rsidRPr="0041400D" w:rsidRDefault="006E51BF">
            <w:pPr>
              <w:pStyle w:val="ARfintabletext"/>
            </w:pPr>
            <w:r w:rsidRPr="0041400D">
              <w:t>Hon. Lizzie Blandthorn</w:t>
            </w:r>
          </w:p>
        </w:tc>
        <w:tc>
          <w:tcPr>
            <w:tcW w:w="1911" w:type="pct"/>
            <w:tcBorders>
              <w:top w:val="single" w:sz="4" w:space="0" w:color="000000" w:themeColor="text1"/>
              <w:bottom w:val="single" w:sz="4" w:space="0" w:color="BFBFBF" w:themeColor="accent2"/>
            </w:tcBorders>
            <w:tcMar>
              <w:left w:w="113" w:type="dxa"/>
            </w:tcMar>
            <w:hideMark/>
          </w:tcPr>
          <w:p w14:paraId="76C7448A" w14:textId="77777777" w:rsidR="006E51BF" w:rsidRPr="0041400D" w:rsidRDefault="006E51BF">
            <w:pPr>
              <w:pStyle w:val="ARfintabletext"/>
              <w:cnfStyle w:val="000000010000" w:firstRow="0" w:lastRow="0" w:firstColumn="0" w:lastColumn="0" w:oddVBand="0" w:evenVBand="0" w:oddHBand="0" w:evenHBand="1" w:firstRowFirstColumn="0" w:firstRowLastColumn="0" w:lastRowFirstColumn="0" w:lastRowLastColumn="0"/>
            </w:pPr>
            <w:r w:rsidRPr="0041400D">
              <w:t>30 August 2025 to 6 September 2025</w:t>
            </w:r>
            <w:r w:rsidRPr="0041400D">
              <w:br/>
              <w:t>15 January 2026 to 25 January 2026</w:t>
            </w:r>
          </w:p>
        </w:tc>
      </w:tr>
      <w:tr w:rsidR="006E51BF" w:rsidRPr="00373F8F" w14:paraId="48D7329B" w14:textId="77777777">
        <w:trPr>
          <w:cnfStyle w:val="000000100000" w:firstRow="0" w:lastRow="0" w:firstColumn="0" w:lastColumn="0" w:oddVBand="0" w:evenVBand="0" w:oddHBand="1" w:evenHBand="0" w:firstRowFirstColumn="0" w:firstRowLastColumn="0" w:lastRowFirstColumn="0" w:lastRowLastColumn="0"/>
          <w:trHeight w:val="20"/>
        </w:trPr>
        <w:tc>
          <w:tcPr>
            <w:tcW w:w="1765" w:type="pct"/>
            <w:tcBorders>
              <w:bottom w:val="single" w:sz="4" w:space="0" w:color="000000" w:themeColor="text1"/>
            </w:tcBorders>
            <w:noWrap/>
            <w:hideMark/>
          </w:tcPr>
          <w:p w14:paraId="0E17F9EE" w14:textId="77777777" w:rsidR="006E51BF" w:rsidRPr="0041400D" w:rsidRDefault="006E51BF">
            <w:pPr>
              <w:pStyle w:val="ARfintabletext"/>
            </w:pPr>
          </w:p>
        </w:tc>
        <w:tc>
          <w:tcPr>
            <w:cnfStyle w:val="000001000000" w:firstRow="0" w:lastRow="0" w:firstColumn="0" w:lastColumn="0" w:oddVBand="0" w:evenVBand="1" w:oddHBand="0" w:evenHBand="0" w:firstRowFirstColumn="0" w:firstRowLastColumn="0" w:lastRowFirstColumn="0" w:lastRowLastColumn="0"/>
            <w:tcW w:w="1324" w:type="pct"/>
            <w:tcBorders>
              <w:top w:val="single" w:sz="4" w:space="0" w:color="BFBFBF" w:themeColor="accent2"/>
              <w:bottom w:val="single" w:sz="4" w:space="0" w:color="000000" w:themeColor="text1"/>
            </w:tcBorders>
            <w:noWrap/>
            <w:tcMar>
              <w:left w:w="113" w:type="dxa"/>
            </w:tcMar>
            <w:hideMark/>
          </w:tcPr>
          <w:p w14:paraId="48DBCC91" w14:textId="77777777" w:rsidR="006E51BF" w:rsidRPr="0041400D" w:rsidRDefault="006E51BF">
            <w:pPr>
              <w:pStyle w:val="ARfintabletext"/>
            </w:pPr>
            <w:r w:rsidRPr="0041400D">
              <w:t>Hon. Natalie Suleyman</w:t>
            </w:r>
          </w:p>
        </w:tc>
        <w:tc>
          <w:tcPr>
            <w:tcW w:w="1911" w:type="pct"/>
            <w:tcBorders>
              <w:top w:val="single" w:sz="4" w:space="0" w:color="BFBFBF" w:themeColor="accent2"/>
              <w:bottom w:val="single" w:sz="4" w:space="0" w:color="000000" w:themeColor="text1"/>
            </w:tcBorders>
            <w:noWrap/>
            <w:tcMar>
              <w:left w:w="113" w:type="dxa"/>
            </w:tcMar>
            <w:hideMark/>
          </w:tcPr>
          <w:p w14:paraId="3343BDDA"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5 January 2026 to 14 January 2026</w:t>
            </w:r>
          </w:p>
        </w:tc>
      </w:tr>
      <w:tr w:rsidR="006E51BF" w:rsidRPr="00373F8F" w14:paraId="5D79EB8E" w14:textId="77777777">
        <w:trPr>
          <w:cnfStyle w:val="000000010000" w:firstRow="0" w:lastRow="0" w:firstColumn="0" w:lastColumn="0" w:oddVBand="0" w:evenVBand="0" w:oddHBand="0" w:evenHBand="1" w:firstRowFirstColumn="0" w:firstRowLastColumn="0" w:lastRowFirstColumn="0" w:lastRowLastColumn="0"/>
          <w:trHeight w:val="20"/>
        </w:trPr>
        <w:tc>
          <w:tcPr>
            <w:tcW w:w="1765" w:type="pct"/>
            <w:tcBorders>
              <w:top w:val="single" w:sz="4" w:space="0" w:color="000000" w:themeColor="text1"/>
              <w:bottom w:val="nil"/>
            </w:tcBorders>
            <w:noWrap/>
            <w:hideMark/>
          </w:tcPr>
          <w:p w14:paraId="02BD390E" w14:textId="77777777" w:rsidR="006E51BF" w:rsidRPr="0041400D" w:rsidRDefault="006E51BF">
            <w:pPr>
              <w:pStyle w:val="ARfintabletext"/>
            </w:pPr>
            <w:r w:rsidRPr="0041400D">
              <w:t>Acting Secretary</w:t>
            </w:r>
          </w:p>
        </w:tc>
        <w:tc>
          <w:tcPr>
            <w:cnfStyle w:val="000001000000" w:firstRow="0" w:lastRow="0" w:firstColumn="0" w:lastColumn="0" w:oddVBand="0" w:evenVBand="1" w:oddHBand="0" w:evenHBand="0" w:firstRowFirstColumn="0" w:firstRowLastColumn="0" w:lastRowFirstColumn="0" w:lastRowLastColumn="0"/>
            <w:tcW w:w="1324" w:type="pct"/>
            <w:tcBorders>
              <w:top w:val="single" w:sz="4" w:space="0" w:color="000000" w:themeColor="text1"/>
              <w:bottom w:val="single" w:sz="4" w:space="0" w:color="BFBFBF" w:themeColor="accent2"/>
            </w:tcBorders>
            <w:noWrap/>
            <w:tcMar>
              <w:left w:w="113" w:type="dxa"/>
            </w:tcMar>
            <w:hideMark/>
          </w:tcPr>
          <w:p w14:paraId="30429246" w14:textId="77777777" w:rsidR="006E51BF" w:rsidRPr="0041400D" w:rsidRDefault="006E51BF">
            <w:pPr>
              <w:pStyle w:val="ARfintabletext"/>
            </w:pPr>
            <w:r w:rsidRPr="0041400D">
              <w:t>Danny O'Kelly</w:t>
            </w:r>
          </w:p>
        </w:tc>
        <w:tc>
          <w:tcPr>
            <w:tcW w:w="1911" w:type="pct"/>
            <w:tcBorders>
              <w:top w:val="single" w:sz="4" w:space="0" w:color="000000" w:themeColor="text1"/>
              <w:bottom w:val="single" w:sz="4" w:space="0" w:color="BFBFBF" w:themeColor="accent2"/>
            </w:tcBorders>
            <w:noWrap/>
            <w:tcMar>
              <w:left w:w="113" w:type="dxa"/>
            </w:tcMar>
            <w:hideMark/>
          </w:tcPr>
          <w:p w14:paraId="04F24627" w14:textId="77777777" w:rsidR="006E51BF" w:rsidRPr="0041400D" w:rsidRDefault="006E51BF">
            <w:pPr>
              <w:pStyle w:val="ARfintabletext"/>
              <w:cnfStyle w:val="000000010000" w:firstRow="0" w:lastRow="0" w:firstColumn="0" w:lastColumn="0" w:oddVBand="0" w:evenVBand="0" w:oddHBand="0" w:evenHBand="1" w:firstRowFirstColumn="0" w:firstRowLastColumn="0" w:lastRowFirstColumn="0" w:lastRowLastColumn="0"/>
            </w:pPr>
            <w:r w:rsidRPr="0041400D">
              <w:t>9 September 2025 to 9 September 2025</w:t>
            </w:r>
          </w:p>
        </w:tc>
      </w:tr>
      <w:tr w:rsidR="006E51BF" w:rsidRPr="00373F8F" w14:paraId="255C5809" w14:textId="77777777">
        <w:trPr>
          <w:cnfStyle w:val="000000100000" w:firstRow="0" w:lastRow="0" w:firstColumn="0" w:lastColumn="0" w:oddVBand="0" w:evenVBand="0" w:oddHBand="1" w:evenHBand="0" w:firstRowFirstColumn="0" w:firstRowLastColumn="0" w:lastRowFirstColumn="0" w:lastRowLastColumn="0"/>
          <w:trHeight w:val="20"/>
        </w:trPr>
        <w:tc>
          <w:tcPr>
            <w:tcW w:w="1765" w:type="pct"/>
            <w:tcBorders>
              <w:bottom w:val="single" w:sz="4" w:space="0" w:color="000000" w:themeColor="text1"/>
            </w:tcBorders>
            <w:noWrap/>
            <w:hideMark/>
          </w:tcPr>
          <w:p w14:paraId="294E98EE" w14:textId="77777777" w:rsidR="006E51BF" w:rsidRPr="0041400D" w:rsidRDefault="006E51BF">
            <w:pPr>
              <w:pStyle w:val="ARfintabletext"/>
            </w:pPr>
          </w:p>
        </w:tc>
        <w:tc>
          <w:tcPr>
            <w:cnfStyle w:val="000001000000" w:firstRow="0" w:lastRow="0" w:firstColumn="0" w:lastColumn="0" w:oddVBand="0" w:evenVBand="1" w:oddHBand="0" w:evenHBand="0" w:firstRowFirstColumn="0" w:firstRowLastColumn="0" w:lastRowFirstColumn="0" w:lastRowLastColumn="0"/>
            <w:tcW w:w="1324" w:type="pct"/>
            <w:tcBorders>
              <w:top w:val="single" w:sz="4" w:space="0" w:color="BFBFBF" w:themeColor="accent2"/>
              <w:bottom w:val="single" w:sz="4" w:space="0" w:color="000000" w:themeColor="text1"/>
            </w:tcBorders>
            <w:noWrap/>
            <w:tcMar>
              <w:left w:w="113" w:type="dxa"/>
            </w:tcMar>
            <w:hideMark/>
          </w:tcPr>
          <w:p w14:paraId="474D9CFB" w14:textId="77777777" w:rsidR="006E51BF" w:rsidRPr="0041400D" w:rsidRDefault="006E51BF">
            <w:pPr>
              <w:pStyle w:val="ARfintabletext"/>
            </w:pPr>
            <w:r w:rsidRPr="0041400D">
              <w:t>Simon Newport</w:t>
            </w:r>
          </w:p>
        </w:tc>
        <w:tc>
          <w:tcPr>
            <w:tcW w:w="1911" w:type="pct"/>
            <w:tcBorders>
              <w:top w:val="single" w:sz="4" w:space="0" w:color="BFBFBF" w:themeColor="accent2"/>
              <w:bottom w:val="single" w:sz="4" w:space="0" w:color="000000" w:themeColor="text1"/>
            </w:tcBorders>
            <w:noWrap/>
            <w:tcMar>
              <w:left w:w="113" w:type="dxa"/>
            </w:tcMar>
            <w:hideMark/>
          </w:tcPr>
          <w:p w14:paraId="078C1DB5" w14:textId="77777777" w:rsidR="006E51BF" w:rsidRPr="0041400D" w:rsidRDefault="006E51BF">
            <w:pPr>
              <w:pStyle w:val="ARfintabletext"/>
              <w:cnfStyle w:val="000000100000" w:firstRow="0" w:lastRow="0" w:firstColumn="0" w:lastColumn="0" w:oddVBand="0" w:evenVBand="0" w:oddHBand="1" w:evenHBand="0" w:firstRowFirstColumn="0" w:firstRowLastColumn="0" w:lastRowFirstColumn="0" w:lastRowLastColumn="0"/>
            </w:pPr>
            <w:r w:rsidRPr="0041400D">
              <w:t>5 January 2026 to 18 January 2026</w:t>
            </w:r>
          </w:p>
        </w:tc>
      </w:tr>
    </w:tbl>
    <w:p w14:paraId="62AA1C59" w14:textId="77777777" w:rsidR="006E51BF" w:rsidRPr="00373F8F" w:rsidRDefault="006E51BF" w:rsidP="006E51BF">
      <w:pPr>
        <w:pStyle w:val="ARfintablenoteroman"/>
        <w:numPr>
          <w:ilvl w:val="0"/>
          <w:numId w:val="83"/>
        </w:numPr>
      </w:pPr>
      <w:r w:rsidRPr="00373F8F">
        <w:t>The Secretary (as the Accountable Officer) and Acting Secretary are included in the above tables.</w:t>
      </w:r>
    </w:p>
    <w:p w14:paraId="330E5C52" w14:textId="77777777" w:rsidR="006E51BF" w:rsidRPr="005938C7" w:rsidRDefault="006E51BF">
      <w:pPr>
        <w:pStyle w:val="Heading5"/>
        <w:rPr>
          <w:lang w:eastAsia="en-AU"/>
        </w:rPr>
      </w:pPr>
      <w:r w:rsidRPr="00373F8F">
        <w:rPr>
          <w:lang w:eastAsia="en-AU"/>
        </w:rPr>
        <w:t>Remuneration</w:t>
      </w:r>
    </w:p>
    <w:p w14:paraId="48F89566" w14:textId="78638B3E" w:rsidR="006E51BF" w:rsidRPr="00373F8F" w:rsidRDefault="006E51BF">
      <w:pPr>
        <w:pStyle w:val="ARfinbody"/>
        <w:rPr>
          <w:lang w:eastAsia="en-AU"/>
        </w:rPr>
      </w:pPr>
      <w:r w:rsidRPr="00373F8F">
        <w:rPr>
          <w:lang w:eastAsia="en-AU"/>
        </w:rPr>
        <w:t>Remuneration received or receivable by the Accountable Officers</w:t>
      </w:r>
      <w:r w:rsidR="00F77100">
        <w:rPr>
          <w:lang w:eastAsia="en-AU"/>
        </w:rPr>
        <w:t xml:space="preserve"> </w:t>
      </w:r>
      <w:r w:rsidRPr="00373F8F">
        <w:rPr>
          <w:vertAlign w:val="superscript"/>
          <w:lang w:eastAsia="en-AU"/>
        </w:rPr>
        <w:t>(</w:t>
      </w:r>
      <w:proofErr w:type="spellStart"/>
      <w:r w:rsidRPr="00373F8F">
        <w:rPr>
          <w:vertAlign w:val="superscript"/>
          <w:lang w:eastAsia="en-AU"/>
        </w:rPr>
        <w:t>i</w:t>
      </w:r>
      <w:proofErr w:type="spellEnd"/>
      <w:r w:rsidRPr="00373F8F">
        <w:rPr>
          <w:vertAlign w:val="superscript"/>
          <w:lang w:eastAsia="en-AU"/>
        </w:rPr>
        <w:t>)</w:t>
      </w:r>
      <w:r w:rsidRPr="00373F8F">
        <w:rPr>
          <w:lang w:eastAsia="en-AU"/>
        </w:rPr>
        <w:t xml:space="preserve"> in connection with the management of the department during the reporting period was in the range:</w:t>
      </w:r>
    </w:p>
    <w:tbl>
      <w:tblPr>
        <w:tblStyle w:val="ARtable1"/>
        <w:tblW w:w="5000" w:type="pct"/>
        <w:tblLook w:val="00E0" w:firstRow="1" w:lastRow="1" w:firstColumn="1" w:lastColumn="0" w:noHBand="0" w:noVBand="0"/>
      </w:tblPr>
      <w:tblGrid>
        <w:gridCol w:w="6514"/>
        <w:gridCol w:w="1556"/>
        <w:gridCol w:w="1558"/>
      </w:tblGrid>
      <w:tr w:rsidR="006E51BF" w:rsidRPr="00373F8F" w14:paraId="100C1F8E" w14:textId="77777777" w:rsidTr="00735BAF">
        <w:trPr>
          <w:cnfStyle w:val="100000000000" w:firstRow="1" w:lastRow="0" w:firstColumn="0" w:lastColumn="0" w:oddVBand="0" w:evenVBand="0" w:oddHBand="0" w:evenHBand="0" w:firstRowFirstColumn="0" w:firstRowLastColumn="0" w:lastRowFirstColumn="0" w:lastRowLastColumn="0"/>
          <w:trHeight w:val="20"/>
          <w:tblHeader/>
        </w:trPr>
        <w:tc>
          <w:tcPr>
            <w:tcW w:w="3383" w:type="pct"/>
            <w:noWrap/>
            <w:hideMark/>
          </w:tcPr>
          <w:p w14:paraId="03883B35" w14:textId="77777777" w:rsidR="006E51BF" w:rsidRPr="00373F8F" w:rsidRDefault="006E51BF">
            <w:pPr>
              <w:pStyle w:val="ARfintablecolhead"/>
              <w:rPr>
                <w:lang w:eastAsia="en-AU"/>
              </w:rPr>
            </w:pPr>
            <w:r w:rsidRPr="00373F8F">
              <w:rPr>
                <w:lang w:eastAsia="en-AU"/>
              </w:rPr>
              <w:t xml:space="preserve">Income band </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1C5408DE" w14:textId="77777777" w:rsidR="006E51BF" w:rsidRPr="00373F8F" w:rsidRDefault="006E51BF">
            <w:pPr>
              <w:pStyle w:val="ARfintablecolheadright"/>
              <w:rPr>
                <w:lang w:eastAsia="en-AU"/>
              </w:rPr>
            </w:pPr>
            <w:r w:rsidRPr="00373F8F">
              <w:rPr>
                <w:lang w:eastAsia="en-AU"/>
              </w:rPr>
              <w:t>30 June 2026</w:t>
            </w:r>
          </w:p>
        </w:tc>
        <w:tc>
          <w:tcPr>
            <w:tcW w:w="809" w:type="pct"/>
            <w:noWrap/>
            <w:tcMar>
              <w:right w:w="0" w:type="nil"/>
            </w:tcMar>
            <w:hideMark/>
          </w:tcPr>
          <w:p w14:paraId="5EE4F15B" w14:textId="77777777" w:rsidR="006E51BF" w:rsidRPr="00373F8F"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73F8F">
              <w:rPr>
                <w:lang w:eastAsia="en-AU"/>
              </w:rPr>
              <w:t>30 June 2025</w:t>
            </w:r>
          </w:p>
        </w:tc>
      </w:tr>
      <w:tr w:rsidR="006E51BF" w:rsidRPr="00373F8F" w14:paraId="4D770F1C" w14:textId="77777777" w:rsidTr="00735BAF">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3C2348DA" w14:textId="77777777" w:rsidR="006E51BF" w:rsidRPr="00921C51" w:rsidRDefault="006E51BF">
            <w:pPr>
              <w:pStyle w:val="ARfintabletext"/>
            </w:pPr>
            <w:r w:rsidRPr="00921C51">
              <w:t xml:space="preserve">$0 </w:t>
            </w:r>
            <w:r>
              <w:t>–</w:t>
            </w:r>
            <w:r w:rsidRPr="00921C51">
              <w:t xml:space="preserve"> $9,999</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30AEAADD" w14:textId="77777777" w:rsidR="006E51BF" w:rsidRPr="00373F8F" w:rsidRDefault="006E51BF">
            <w:pPr>
              <w:pStyle w:val="ARfintabletextright"/>
              <w:rPr>
                <w:lang w:eastAsia="en-AU"/>
              </w:rPr>
            </w:pPr>
            <w:r w:rsidRPr="00373F8F">
              <w:rPr>
                <w:lang w:eastAsia="en-AU"/>
              </w:rPr>
              <w:t>1</w:t>
            </w:r>
          </w:p>
        </w:tc>
        <w:tc>
          <w:tcPr>
            <w:tcW w:w="809" w:type="pct"/>
            <w:noWrap/>
            <w:tcMar>
              <w:right w:w="0" w:type="nil"/>
            </w:tcMar>
            <w:hideMark/>
          </w:tcPr>
          <w:p w14:paraId="37DDA7B1" w14:textId="77777777" w:rsidR="006E51BF" w:rsidRPr="00373F8F"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373F8F">
              <w:rPr>
                <w:lang w:eastAsia="en-AU"/>
              </w:rPr>
              <w:t>3</w:t>
            </w:r>
          </w:p>
        </w:tc>
      </w:tr>
      <w:tr w:rsidR="006E51BF" w:rsidRPr="00373F8F" w14:paraId="79D23962" w14:textId="77777777" w:rsidTr="00735BAF">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6B8B8EE5" w14:textId="77777777" w:rsidR="006E51BF" w:rsidRPr="00921C51" w:rsidRDefault="006E51BF">
            <w:pPr>
              <w:pStyle w:val="ARfintabletext"/>
            </w:pPr>
            <w:r w:rsidRPr="00921C51">
              <w:t xml:space="preserve">$10,000 </w:t>
            </w:r>
            <w:r>
              <w:t>–</w:t>
            </w:r>
            <w:r w:rsidRPr="00921C51">
              <w:t xml:space="preserve"> $19,999</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63F5CC58" w14:textId="77777777" w:rsidR="006E51BF" w:rsidRPr="00373F8F" w:rsidRDefault="006E51BF">
            <w:pPr>
              <w:pStyle w:val="ARfintabletextright"/>
              <w:rPr>
                <w:lang w:eastAsia="en-AU"/>
              </w:rPr>
            </w:pPr>
            <w:r w:rsidRPr="00373F8F">
              <w:rPr>
                <w:lang w:eastAsia="en-AU"/>
              </w:rPr>
              <w:t>1</w:t>
            </w:r>
          </w:p>
        </w:tc>
        <w:tc>
          <w:tcPr>
            <w:tcW w:w="809" w:type="pct"/>
            <w:noWrap/>
            <w:tcMar>
              <w:right w:w="0" w:type="nil"/>
            </w:tcMar>
            <w:hideMark/>
          </w:tcPr>
          <w:p w14:paraId="67AD2E33" w14:textId="77777777" w:rsidR="006E51BF" w:rsidRPr="00373F8F"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373F8F">
              <w:rPr>
                <w:lang w:eastAsia="en-AU"/>
              </w:rPr>
              <w:t>1</w:t>
            </w:r>
          </w:p>
        </w:tc>
      </w:tr>
      <w:tr w:rsidR="006E51BF" w:rsidRPr="00373F8F" w14:paraId="5D21A90D" w14:textId="77777777" w:rsidTr="00735BAF">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10F06329" w14:textId="77777777" w:rsidR="006E51BF" w:rsidRPr="00921C51" w:rsidRDefault="006E51BF">
            <w:pPr>
              <w:pStyle w:val="ARfintabletext"/>
            </w:pPr>
            <w:r w:rsidRPr="00921C51">
              <w:t xml:space="preserve">$630,000 </w:t>
            </w:r>
            <w:r>
              <w:t>–</w:t>
            </w:r>
            <w:r w:rsidRPr="00921C51">
              <w:t xml:space="preserve"> $639,999</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7118C76D" w14:textId="77777777" w:rsidR="006E51BF" w:rsidRPr="00373F8F" w:rsidRDefault="006E51BF">
            <w:pPr>
              <w:pStyle w:val="ARfintabletextright"/>
              <w:rPr>
                <w:lang w:eastAsia="en-AU"/>
              </w:rPr>
            </w:pPr>
            <w:r>
              <w:rPr>
                <w:lang w:eastAsia="en-AU"/>
              </w:rPr>
              <w:t>–</w:t>
            </w:r>
          </w:p>
        </w:tc>
        <w:tc>
          <w:tcPr>
            <w:tcW w:w="809" w:type="pct"/>
            <w:noWrap/>
            <w:tcMar>
              <w:right w:w="0" w:type="nil"/>
            </w:tcMar>
            <w:hideMark/>
          </w:tcPr>
          <w:p w14:paraId="5EA78EE4" w14:textId="77777777" w:rsidR="006E51BF" w:rsidRPr="00373F8F"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373F8F">
              <w:rPr>
                <w:lang w:eastAsia="en-AU"/>
              </w:rPr>
              <w:t>1</w:t>
            </w:r>
          </w:p>
        </w:tc>
      </w:tr>
      <w:tr w:rsidR="006E51BF" w:rsidRPr="00373F8F" w14:paraId="5982C805" w14:textId="77777777" w:rsidTr="00735BAF">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6F5F4AF6" w14:textId="77777777" w:rsidR="006E51BF" w:rsidRPr="00921C51" w:rsidRDefault="006E51BF">
            <w:pPr>
              <w:pStyle w:val="ARfintabletext"/>
            </w:pPr>
            <w:r w:rsidRPr="00921C51">
              <w:t xml:space="preserve">$640,000 </w:t>
            </w:r>
            <w:r>
              <w:t>–</w:t>
            </w:r>
            <w:r w:rsidRPr="00921C51">
              <w:t xml:space="preserve"> $649,999</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35CBA725" w14:textId="77777777" w:rsidR="006E51BF" w:rsidRPr="00373F8F" w:rsidRDefault="006E51BF">
            <w:pPr>
              <w:pStyle w:val="ARfintabletextright"/>
              <w:rPr>
                <w:lang w:eastAsia="en-AU"/>
              </w:rPr>
            </w:pPr>
            <w:r w:rsidRPr="00373F8F">
              <w:rPr>
                <w:lang w:eastAsia="en-AU"/>
              </w:rPr>
              <w:t>1</w:t>
            </w:r>
          </w:p>
        </w:tc>
        <w:tc>
          <w:tcPr>
            <w:tcW w:w="809" w:type="pct"/>
            <w:noWrap/>
            <w:tcMar>
              <w:right w:w="0" w:type="nil"/>
            </w:tcMar>
            <w:hideMark/>
          </w:tcPr>
          <w:p w14:paraId="60D7FFF2" w14:textId="77777777" w:rsidR="006E51BF" w:rsidRPr="00373F8F"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r>
      <w:tr w:rsidR="006E51BF" w:rsidRPr="00373F8F" w14:paraId="6332EE0E" w14:textId="77777777" w:rsidTr="00735BAF">
        <w:trPr>
          <w:cnfStyle w:val="010000000000" w:firstRow="0" w:lastRow="1" w:firstColumn="0" w:lastColumn="0" w:oddVBand="0" w:evenVBand="0" w:oddHBand="0" w:evenHBand="0" w:firstRowFirstColumn="0" w:firstRowLastColumn="0" w:lastRowFirstColumn="0" w:lastRowLastColumn="0"/>
          <w:trHeight w:val="20"/>
        </w:trPr>
        <w:tc>
          <w:tcPr>
            <w:tcW w:w="3383" w:type="pct"/>
            <w:noWrap/>
            <w:hideMark/>
          </w:tcPr>
          <w:p w14:paraId="0940513F" w14:textId="77777777" w:rsidR="006E51BF" w:rsidRPr="00921C51" w:rsidRDefault="006E51BF">
            <w:pPr>
              <w:pStyle w:val="ARfintabletextbold"/>
            </w:pPr>
            <w:r w:rsidRPr="00921C51">
              <w:t>Total</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037980CF" w14:textId="77777777" w:rsidR="006E51BF" w:rsidRPr="00373F8F" w:rsidRDefault="006E51BF">
            <w:pPr>
              <w:pStyle w:val="ARfintabletextboldright"/>
              <w:rPr>
                <w:lang w:eastAsia="en-AU"/>
              </w:rPr>
            </w:pPr>
            <w:r w:rsidRPr="00373F8F">
              <w:rPr>
                <w:lang w:eastAsia="en-AU"/>
              </w:rPr>
              <w:t>3</w:t>
            </w:r>
          </w:p>
        </w:tc>
        <w:tc>
          <w:tcPr>
            <w:tcW w:w="809" w:type="pct"/>
            <w:noWrap/>
            <w:tcMar>
              <w:right w:w="0" w:type="nil"/>
            </w:tcMar>
            <w:hideMark/>
          </w:tcPr>
          <w:p w14:paraId="674F2B09" w14:textId="77777777" w:rsidR="006E51BF" w:rsidRPr="00373F8F"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373F8F">
              <w:rPr>
                <w:lang w:eastAsia="en-AU"/>
              </w:rPr>
              <w:t>5</w:t>
            </w:r>
          </w:p>
        </w:tc>
      </w:tr>
    </w:tbl>
    <w:p w14:paraId="33E37D9B" w14:textId="77777777" w:rsidR="006E51BF" w:rsidRPr="00373F8F" w:rsidRDefault="006E51BF">
      <w:pPr>
        <w:pStyle w:val="ARfintablenote"/>
        <w:rPr>
          <w:lang w:eastAsia="en-AU"/>
        </w:rPr>
      </w:pPr>
      <w:r w:rsidRPr="00373F8F">
        <w:rPr>
          <w:lang w:eastAsia="en-AU"/>
        </w:rPr>
        <w:t>Note:</w:t>
      </w:r>
    </w:p>
    <w:p w14:paraId="39567A14" w14:textId="77777777" w:rsidR="006E51BF" w:rsidRPr="00373F8F" w:rsidRDefault="006E51BF" w:rsidP="006E51BF">
      <w:pPr>
        <w:pStyle w:val="ARfintablenoteroman"/>
        <w:numPr>
          <w:ilvl w:val="0"/>
          <w:numId w:val="84"/>
        </w:numPr>
      </w:pPr>
      <w:r w:rsidRPr="00373F8F">
        <w:t>The Secretary (as the Accountable Officer) and Acting Secretary are included in the above tables.</w:t>
      </w:r>
    </w:p>
    <w:p w14:paraId="459611C7" w14:textId="77777777" w:rsidR="006E51BF" w:rsidRPr="009B45C6" w:rsidRDefault="006E51BF">
      <w:pPr>
        <w:pStyle w:val="Heading4"/>
        <w:rPr>
          <w:lang w:eastAsia="en-AU"/>
        </w:rPr>
      </w:pPr>
      <w:r w:rsidRPr="009B45C6">
        <w:rPr>
          <w:lang w:eastAsia="en-AU"/>
        </w:rPr>
        <w:t xml:space="preserve">9.7 </w:t>
      </w:r>
      <w:r>
        <w:rPr>
          <w:lang w:eastAsia="en-AU"/>
        </w:rPr>
        <w:tab/>
      </w:r>
      <w:r w:rsidRPr="009B45C6">
        <w:rPr>
          <w:lang w:eastAsia="en-AU"/>
        </w:rPr>
        <w:t>Remuneration of executives</w:t>
      </w:r>
    </w:p>
    <w:p w14:paraId="2934E832" w14:textId="77777777" w:rsidR="006E51BF" w:rsidRPr="00794F80" w:rsidRDefault="006E51BF">
      <w:pPr>
        <w:pStyle w:val="ARfinbody"/>
      </w:pPr>
      <w:r w:rsidRPr="009B45C6">
        <w:rPr>
          <w:lang w:eastAsia="en-AU"/>
        </w:rPr>
        <w:t xml:space="preserve">The numbers of executive officers, other than Ministers and Accountable Officers, and their total remuneration during the </w:t>
      </w:r>
      <w:r w:rsidRPr="00794F80">
        <w:t>reporting period are shown in the table below. Total annualised employee equivalent provides a measure of full-time equivalent executive officers over the reporting period.</w:t>
      </w:r>
    </w:p>
    <w:p w14:paraId="6DBC8507" w14:textId="77777777" w:rsidR="006E51BF" w:rsidRDefault="006E51BF">
      <w:pPr>
        <w:pStyle w:val="ARfinbody"/>
        <w:rPr>
          <w:lang w:eastAsia="en-AU"/>
        </w:rPr>
      </w:pPr>
      <w:r w:rsidRPr="00794F80">
        <w:t>Remuneration comprises employee benefits in all forms of consideration paid, payable or provided by the entity, or on behalf of the entity</w:t>
      </w:r>
      <w:r w:rsidRPr="009B45C6">
        <w:rPr>
          <w:lang w:eastAsia="en-AU"/>
        </w:rPr>
        <w:t xml:space="preserve">, in exchange for services rendered, and is disclosed in the following categories. </w:t>
      </w:r>
    </w:p>
    <w:p w14:paraId="74484697" w14:textId="77777777" w:rsidR="006E51BF" w:rsidRDefault="006E51BF">
      <w:pPr>
        <w:pStyle w:val="ARfinbody"/>
        <w:rPr>
          <w:lang w:eastAsia="en-AU"/>
        </w:rPr>
      </w:pPr>
      <w:r w:rsidRPr="009B45C6">
        <w:rPr>
          <w:rStyle w:val="Strong"/>
          <w:lang w:eastAsia="en-AU"/>
        </w:rPr>
        <w:t>Short-term employee benefits</w:t>
      </w:r>
      <w:r w:rsidRPr="009B45C6">
        <w:rPr>
          <w:lang w:eastAsia="en-AU"/>
        </w:rPr>
        <w:t xml:space="preserve"> include amounts such as wages, salaries, annual leave or sick leave that are usually paid or payable on a regular basis, as well as non-monetary benefits such as allowances and free or subsidised goods or</w:t>
      </w:r>
      <w:r>
        <w:rPr>
          <w:lang w:eastAsia="en-AU"/>
        </w:rPr>
        <w:t> </w:t>
      </w:r>
      <w:r w:rsidRPr="009B45C6">
        <w:rPr>
          <w:lang w:eastAsia="en-AU"/>
        </w:rPr>
        <w:t xml:space="preserve">services. </w:t>
      </w:r>
    </w:p>
    <w:p w14:paraId="13C9022C" w14:textId="77777777" w:rsidR="006E51BF" w:rsidRDefault="006E51BF">
      <w:pPr>
        <w:pStyle w:val="ARfinbody"/>
        <w:rPr>
          <w:lang w:eastAsia="en-AU"/>
        </w:rPr>
      </w:pPr>
      <w:r w:rsidRPr="009B45C6">
        <w:rPr>
          <w:rStyle w:val="Strong"/>
          <w:lang w:eastAsia="en-AU"/>
        </w:rPr>
        <w:t>Post-employment benefits</w:t>
      </w:r>
      <w:r w:rsidRPr="009B45C6">
        <w:rPr>
          <w:lang w:eastAsia="en-AU"/>
        </w:rPr>
        <w:t xml:space="preserve"> include pensions and other </w:t>
      </w:r>
      <w:r w:rsidRPr="00794F80">
        <w:t>retirement</w:t>
      </w:r>
      <w:r w:rsidRPr="009B45C6">
        <w:rPr>
          <w:lang w:eastAsia="en-AU"/>
        </w:rPr>
        <w:t xml:space="preserve"> benefits paid or payable on a discrete basis when employment has ceased. </w:t>
      </w:r>
    </w:p>
    <w:p w14:paraId="21651A71" w14:textId="77777777" w:rsidR="006E51BF" w:rsidRDefault="006E51BF">
      <w:pPr>
        <w:pStyle w:val="ARfinbody"/>
        <w:rPr>
          <w:lang w:eastAsia="en-AU"/>
        </w:rPr>
      </w:pPr>
      <w:r w:rsidRPr="009B45C6">
        <w:rPr>
          <w:rStyle w:val="Strong"/>
          <w:lang w:eastAsia="en-AU"/>
        </w:rPr>
        <w:t>Other long-term benefits</w:t>
      </w:r>
      <w:r w:rsidRPr="009B45C6">
        <w:rPr>
          <w:lang w:eastAsia="en-AU"/>
        </w:rPr>
        <w:t xml:space="preserve"> include long service leave, other long service benefit or deferred compensation. </w:t>
      </w:r>
    </w:p>
    <w:p w14:paraId="3EB42D54" w14:textId="77777777" w:rsidR="006E51BF" w:rsidRPr="009B45C6" w:rsidRDefault="006E51BF">
      <w:pPr>
        <w:pStyle w:val="ARfinbody"/>
        <w:rPr>
          <w:lang w:eastAsia="en-AU"/>
        </w:rPr>
      </w:pPr>
      <w:r w:rsidRPr="009B45C6">
        <w:rPr>
          <w:rStyle w:val="Strong"/>
          <w:lang w:eastAsia="en-AU"/>
        </w:rPr>
        <w:t>Termination benefits</w:t>
      </w:r>
      <w:r w:rsidRPr="009B45C6">
        <w:rPr>
          <w:lang w:eastAsia="en-AU"/>
        </w:rPr>
        <w:t xml:space="preserve"> include termination of </w:t>
      </w:r>
      <w:r w:rsidRPr="00794F80">
        <w:t>employment</w:t>
      </w:r>
      <w:r w:rsidRPr="009B45C6">
        <w:rPr>
          <w:lang w:eastAsia="en-AU"/>
        </w:rPr>
        <w:t xml:space="preserve"> payments, such as severance packages.</w:t>
      </w:r>
    </w:p>
    <w:tbl>
      <w:tblPr>
        <w:tblStyle w:val="ARtable1"/>
        <w:tblW w:w="5000" w:type="pct"/>
        <w:tblLook w:val="00E0" w:firstRow="1" w:lastRow="1" w:firstColumn="1" w:lastColumn="0" w:noHBand="0" w:noVBand="0"/>
      </w:tblPr>
      <w:tblGrid>
        <w:gridCol w:w="5914"/>
        <w:gridCol w:w="1857"/>
        <w:gridCol w:w="1857"/>
      </w:tblGrid>
      <w:tr w:rsidR="006E51BF" w:rsidRPr="009B45C6" w14:paraId="079DD09B" w14:textId="77777777" w:rsidTr="00735BAF">
        <w:trPr>
          <w:cnfStyle w:val="100000000000" w:firstRow="1" w:lastRow="0" w:firstColumn="0" w:lastColumn="0" w:oddVBand="0" w:evenVBand="0" w:oddHBand="0" w:evenHBand="0" w:firstRowFirstColumn="0" w:firstRowLastColumn="0" w:lastRowFirstColumn="0" w:lastRowLastColumn="0"/>
          <w:trHeight w:val="20"/>
          <w:tblHeader/>
        </w:trPr>
        <w:tc>
          <w:tcPr>
            <w:tcW w:w="3071" w:type="pct"/>
            <w:noWrap/>
            <w:hideMark/>
          </w:tcPr>
          <w:p w14:paraId="53F1D90D" w14:textId="77777777" w:rsidR="006E51BF" w:rsidRPr="009B45C6" w:rsidRDefault="006E51BF">
            <w:pPr>
              <w:pStyle w:val="ARfintablecolhead"/>
              <w:rPr>
                <w:lang w:eastAsia="en-AU"/>
              </w:rPr>
            </w:pPr>
            <w:r w:rsidRPr="009B45C6">
              <w:rPr>
                <w:lang w:eastAsia="en-AU"/>
              </w:rPr>
              <w:t xml:space="preserve">Remuneration of executive officers </w:t>
            </w:r>
          </w:p>
          <w:p w14:paraId="00209C05" w14:textId="77777777" w:rsidR="006E51BF" w:rsidRPr="009B45C6" w:rsidRDefault="006E51BF">
            <w:pPr>
              <w:pStyle w:val="ARfintablecolhead"/>
              <w:rPr>
                <w:lang w:eastAsia="en-AU"/>
              </w:rPr>
            </w:pPr>
            <w:r w:rsidRPr="009B45C6">
              <w:rPr>
                <w:lang w:eastAsia="en-AU"/>
              </w:rPr>
              <w:t>(including key management personnel disclosed in Note 9.7)</w:t>
            </w:r>
          </w:p>
        </w:tc>
        <w:tc>
          <w:tcPr>
            <w:cnfStyle w:val="000001000000" w:firstRow="0" w:lastRow="0" w:firstColumn="0" w:lastColumn="0" w:oddVBand="0" w:evenVBand="1" w:oddHBand="0" w:evenHBand="0" w:firstRowFirstColumn="0" w:firstRowLastColumn="0" w:lastRowFirstColumn="0" w:lastRowLastColumn="0"/>
            <w:tcW w:w="964" w:type="pct"/>
            <w:tcBorders>
              <w:top w:val="single" w:sz="4" w:space="0" w:color="000000" w:themeColor="text1"/>
            </w:tcBorders>
            <w:noWrap/>
            <w:tcMar>
              <w:right w:w="0" w:type="nil"/>
            </w:tcMar>
            <w:hideMark/>
          </w:tcPr>
          <w:p w14:paraId="69D7DE5E" w14:textId="015B0E6E" w:rsidR="00CF0F12" w:rsidRDefault="00CF0F12">
            <w:pPr>
              <w:pStyle w:val="ARfintablecolheadright"/>
              <w:rPr>
                <w:lang w:eastAsia="en-AU"/>
              </w:rPr>
            </w:pPr>
            <w:r w:rsidRPr="009B45C6">
              <w:t>Total remuneration</w:t>
            </w:r>
          </w:p>
          <w:p w14:paraId="7E0E2C8D" w14:textId="26B0DB40" w:rsidR="006E51BF" w:rsidRPr="009B45C6" w:rsidRDefault="006E51BF">
            <w:pPr>
              <w:pStyle w:val="ARfintablecolheadright"/>
              <w:rPr>
                <w:lang w:eastAsia="en-AU"/>
              </w:rPr>
            </w:pPr>
            <w:r w:rsidRPr="009B45C6">
              <w:rPr>
                <w:lang w:eastAsia="en-AU"/>
              </w:rPr>
              <w:t>2026</w:t>
            </w:r>
          </w:p>
          <w:p w14:paraId="00D01B08" w14:textId="77777777" w:rsidR="006E51BF" w:rsidRPr="009B45C6" w:rsidRDefault="006E51BF">
            <w:pPr>
              <w:pStyle w:val="ARfintablecolheadright"/>
              <w:rPr>
                <w:lang w:eastAsia="en-AU"/>
              </w:rPr>
            </w:pPr>
            <w:r w:rsidRPr="009B45C6">
              <w:rPr>
                <w:lang w:eastAsia="en-AU"/>
              </w:rPr>
              <w:t>$M</w:t>
            </w:r>
          </w:p>
        </w:tc>
        <w:tc>
          <w:tcPr>
            <w:tcW w:w="964" w:type="pct"/>
            <w:tcBorders>
              <w:top w:val="single" w:sz="4" w:space="0" w:color="000000" w:themeColor="text1"/>
            </w:tcBorders>
            <w:shd w:val="clear" w:color="auto" w:fill="E7E6E6" w:themeFill="background2"/>
            <w:noWrap/>
            <w:tcMar>
              <w:right w:w="0" w:type="nil"/>
            </w:tcMar>
            <w:hideMark/>
          </w:tcPr>
          <w:p w14:paraId="14E07723" w14:textId="024738CF" w:rsidR="00CF0F12" w:rsidRDefault="00CF0F12">
            <w:pPr>
              <w:pStyle w:val="ARfintablecolheadright"/>
              <w:cnfStyle w:val="100000000000" w:firstRow="1" w:lastRow="0" w:firstColumn="0" w:lastColumn="0" w:oddVBand="0" w:evenVBand="0" w:oddHBand="0" w:evenHBand="0" w:firstRowFirstColumn="0" w:firstRowLastColumn="0" w:lastRowFirstColumn="0" w:lastRowLastColumn="0"/>
              <w:rPr>
                <w:color w:val="000000"/>
                <w:lang w:eastAsia="en-AU"/>
              </w:rPr>
            </w:pPr>
            <w:r w:rsidRPr="009B45C6">
              <w:t>Total remuneration</w:t>
            </w:r>
          </w:p>
          <w:p w14:paraId="4AA9C2DE" w14:textId="197ABE3A" w:rsidR="006E51BF" w:rsidRPr="009B45C6"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lang w:eastAsia="en-AU"/>
              </w:rPr>
            </w:pPr>
            <w:r w:rsidRPr="009B45C6">
              <w:rPr>
                <w:color w:val="000000"/>
                <w:lang w:eastAsia="en-AU"/>
              </w:rPr>
              <w:t>2025</w:t>
            </w:r>
          </w:p>
          <w:p w14:paraId="6DA5AAFE" w14:textId="77777777" w:rsidR="006E51BF" w:rsidRPr="009B45C6"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lang w:eastAsia="en-AU"/>
              </w:rPr>
            </w:pPr>
            <w:r w:rsidRPr="009B45C6">
              <w:rPr>
                <w:lang w:eastAsia="en-AU"/>
              </w:rPr>
              <w:t>$M</w:t>
            </w:r>
          </w:p>
        </w:tc>
      </w:tr>
      <w:tr w:rsidR="006E51BF" w:rsidRPr="009B45C6" w14:paraId="34FFD28E" w14:textId="77777777" w:rsidTr="00735BAF">
        <w:trPr>
          <w:cnfStyle w:val="000000100000" w:firstRow="0" w:lastRow="0" w:firstColumn="0" w:lastColumn="0" w:oddVBand="0" w:evenVBand="0" w:oddHBand="1" w:evenHBand="0" w:firstRowFirstColumn="0" w:firstRowLastColumn="0" w:lastRowFirstColumn="0" w:lastRowLastColumn="0"/>
          <w:trHeight w:val="20"/>
        </w:trPr>
        <w:tc>
          <w:tcPr>
            <w:tcW w:w="3071" w:type="pct"/>
            <w:noWrap/>
            <w:hideMark/>
          </w:tcPr>
          <w:p w14:paraId="4C588760" w14:textId="77777777" w:rsidR="006E51BF" w:rsidRPr="009B45C6" w:rsidRDefault="006E51BF">
            <w:pPr>
              <w:pStyle w:val="ARfintabletext"/>
              <w:rPr>
                <w:lang w:eastAsia="en-AU"/>
              </w:rPr>
            </w:pPr>
            <w:r w:rsidRPr="009B45C6">
              <w:rPr>
                <w:lang w:eastAsia="en-AU"/>
              </w:rPr>
              <w:t>Short-term employee benefits</w:t>
            </w:r>
          </w:p>
        </w:tc>
        <w:tc>
          <w:tcPr>
            <w:cnfStyle w:val="000001000000" w:firstRow="0" w:lastRow="0" w:firstColumn="0" w:lastColumn="0" w:oddVBand="0" w:evenVBand="1" w:oddHBand="0" w:evenHBand="0" w:firstRowFirstColumn="0" w:firstRowLastColumn="0" w:lastRowFirstColumn="0" w:lastRowLastColumn="0"/>
            <w:tcW w:w="964" w:type="pct"/>
            <w:noWrap/>
            <w:tcMar>
              <w:right w:w="0" w:type="nil"/>
            </w:tcMar>
            <w:hideMark/>
          </w:tcPr>
          <w:p w14:paraId="7B4E4922" w14:textId="77777777" w:rsidR="006E51BF" w:rsidRPr="009B45C6" w:rsidRDefault="006E51BF">
            <w:pPr>
              <w:pStyle w:val="ARfintabletextright"/>
              <w:rPr>
                <w:rFonts w:ascii="Calibri" w:hAnsi="Calibri" w:cs="Calibri"/>
                <w:color w:val="000000"/>
                <w:lang w:eastAsia="en-AU"/>
              </w:rPr>
            </w:pPr>
            <w:r w:rsidRPr="009B45C6">
              <w:rPr>
                <w:rFonts w:ascii="Calibri" w:hAnsi="Calibri" w:cs="Calibri"/>
                <w:color w:val="000000"/>
                <w:lang w:eastAsia="en-AU"/>
              </w:rPr>
              <w:t>49.0</w:t>
            </w:r>
          </w:p>
        </w:tc>
        <w:tc>
          <w:tcPr>
            <w:tcW w:w="964" w:type="pct"/>
            <w:shd w:val="clear" w:color="auto" w:fill="E7E6E6" w:themeFill="background2"/>
            <w:noWrap/>
            <w:tcMar>
              <w:right w:w="0" w:type="nil"/>
            </w:tcMar>
            <w:hideMark/>
          </w:tcPr>
          <w:p w14:paraId="0558A6B3" w14:textId="77777777" w:rsidR="006E51BF" w:rsidRPr="009B45C6" w:rsidRDefault="006E51BF">
            <w:pPr>
              <w:pStyle w:val="ARfintabletext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AU"/>
              </w:rPr>
            </w:pPr>
            <w:r w:rsidRPr="009B45C6">
              <w:rPr>
                <w:rFonts w:ascii="Calibri" w:hAnsi="Calibri" w:cs="Calibri"/>
                <w:color w:val="000000"/>
                <w:lang w:eastAsia="en-AU"/>
              </w:rPr>
              <w:t>48.3</w:t>
            </w:r>
          </w:p>
        </w:tc>
      </w:tr>
      <w:tr w:rsidR="006E51BF" w:rsidRPr="009B45C6" w14:paraId="0FFAD36C" w14:textId="77777777" w:rsidTr="00735BAF">
        <w:trPr>
          <w:cnfStyle w:val="000000010000" w:firstRow="0" w:lastRow="0" w:firstColumn="0" w:lastColumn="0" w:oddVBand="0" w:evenVBand="0" w:oddHBand="0" w:evenHBand="1" w:firstRowFirstColumn="0" w:firstRowLastColumn="0" w:lastRowFirstColumn="0" w:lastRowLastColumn="0"/>
          <w:trHeight w:val="20"/>
        </w:trPr>
        <w:tc>
          <w:tcPr>
            <w:tcW w:w="3071" w:type="pct"/>
            <w:noWrap/>
            <w:hideMark/>
          </w:tcPr>
          <w:p w14:paraId="553D6DE6" w14:textId="77777777" w:rsidR="006E51BF" w:rsidRPr="009B45C6" w:rsidRDefault="006E51BF">
            <w:pPr>
              <w:pStyle w:val="ARfintabletext"/>
              <w:rPr>
                <w:lang w:eastAsia="en-AU"/>
              </w:rPr>
            </w:pPr>
            <w:r w:rsidRPr="009B45C6">
              <w:rPr>
                <w:lang w:eastAsia="en-AU"/>
              </w:rPr>
              <w:t>Post-employment benefits</w:t>
            </w:r>
          </w:p>
        </w:tc>
        <w:tc>
          <w:tcPr>
            <w:cnfStyle w:val="000001000000" w:firstRow="0" w:lastRow="0" w:firstColumn="0" w:lastColumn="0" w:oddVBand="0" w:evenVBand="1" w:oddHBand="0" w:evenHBand="0" w:firstRowFirstColumn="0" w:firstRowLastColumn="0" w:lastRowFirstColumn="0" w:lastRowLastColumn="0"/>
            <w:tcW w:w="964" w:type="pct"/>
            <w:noWrap/>
            <w:tcMar>
              <w:right w:w="0" w:type="nil"/>
            </w:tcMar>
            <w:hideMark/>
          </w:tcPr>
          <w:p w14:paraId="30ADE201" w14:textId="77777777" w:rsidR="006E51BF" w:rsidRPr="009B45C6" w:rsidRDefault="006E51BF">
            <w:pPr>
              <w:pStyle w:val="ARfintabletextright"/>
              <w:rPr>
                <w:lang w:eastAsia="en-AU"/>
              </w:rPr>
            </w:pPr>
            <w:r w:rsidRPr="009B45C6">
              <w:rPr>
                <w:lang w:eastAsia="en-AU"/>
              </w:rPr>
              <w:t>5.3</w:t>
            </w:r>
          </w:p>
        </w:tc>
        <w:tc>
          <w:tcPr>
            <w:tcW w:w="964" w:type="pct"/>
            <w:shd w:val="clear" w:color="auto" w:fill="E7E6E6" w:themeFill="background2"/>
            <w:noWrap/>
            <w:tcMar>
              <w:right w:w="0" w:type="nil"/>
            </w:tcMar>
            <w:hideMark/>
          </w:tcPr>
          <w:p w14:paraId="19C404DA" w14:textId="77777777" w:rsidR="006E51BF" w:rsidRPr="009B45C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9B45C6">
              <w:rPr>
                <w:lang w:eastAsia="en-AU"/>
              </w:rPr>
              <w:t>5.0</w:t>
            </w:r>
          </w:p>
        </w:tc>
      </w:tr>
      <w:tr w:rsidR="006E51BF" w:rsidRPr="009B45C6" w14:paraId="24A5EAD0" w14:textId="77777777" w:rsidTr="00735BAF">
        <w:trPr>
          <w:cnfStyle w:val="000000100000" w:firstRow="0" w:lastRow="0" w:firstColumn="0" w:lastColumn="0" w:oddVBand="0" w:evenVBand="0" w:oddHBand="1" w:evenHBand="0" w:firstRowFirstColumn="0" w:firstRowLastColumn="0" w:lastRowFirstColumn="0" w:lastRowLastColumn="0"/>
          <w:trHeight w:val="20"/>
        </w:trPr>
        <w:tc>
          <w:tcPr>
            <w:tcW w:w="3071" w:type="pct"/>
            <w:tcBorders>
              <w:bottom w:val="single" w:sz="4" w:space="0" w:color="BFBFBF" w:themeColor="accent2"/>
            </w:tcBorders>
            <w:noWrap/>
            <w:hideMark/>
          </w:tcPr>
          <w:p w14:paraId="248DA0DD" w14:textId="77777777" w:rsidR="006E51BF" w:rsidRPr="009B45C6" w:rsidRDefault="006E51BF">
            <w:pPr>
              <w:pStyle w:val="ARfintabletext"/>
              <w:rPr>
                <w:lang w:eastAsia="en-AU"/>
              </w:rPr>
            </w:pPr>
            <w:r w:rsidRPr="009B45C6">
              <w:rPr>
                <w:lang w:eastAsia="en-AU"/>
              </w:rPr>
              <w:t>Other long-term benefits</w:t>
            </w:r>
          </w:p>
        </w:tc>
        <w:tc>
          <w:tcPr>
            <w:cnfStyle w:val="000001000000" w:firstRow="0" w:lastRow="0" w:firstColumn="0" w:lastColumn="0" w:oddVBand="0" w:evenVBand="1" w:oddHBand="0" w:evenHBand="0" w:firstRowFirstColumn="0" w:firstRowLastColumn="0" w:lastRowFirstColumn="0" w:lastRowLastColumn="0"/>
            <w:tcW w:w="964" w:type="pct"/>
            <w:tcBorders>
              <w:bottom w:val="single" w:sz="4" w:space="0" w:color="BFBFBF" w:themeColor="accent2"/>
            </w:tcBorders>
            <w:noWrap/>
            <w:tcMar>
              <w:right w:w="0" w:type="nil"/>
            </w:tcMar>
            <w:hideMark/>
          </w:tcPr>
          <w:p w14:paraId="686114D3" w14:textId="77777777" w:rsidR="006E51BF" w:rsidRPr="009B45C6" w:rsidRDefault="006E51BF">
            <w:pPr>
              <w:pStyle w:val="ARfintabletextright"/>
              <w:rPr>
                <w:lang w:eastAsia="en-AU"/>
              </w:rPr>
            </w:pPr>
            <w:r w:rsidRPr="009B45C6">
              <w:rPr>
                <w:lang w:eastAsia="en-AU"/>
              </w:rPr>
              <w:t>1.2</w:t>
            </w:r>
          </w:p>
        </w:tc>
        <w:tc>
          <w:tcPr>
            <w:tcW w:w="964" w:type="pct"/>
            <w:tcBorders>
              <w:bottom w:val="single" w:sz="4" w:space="0" w:color="BFBFBF" w:themeColor="accent2"/>
            </w:tcBorders>
            <w:shd w:val="clear" w:color="auto" w:fill="E7E6E6" w:themeFill="background2"/>
            <w:noWrap/>
            <w:tcMar>
              <w:right w:w="0" w:type="nil"/>
            </w:tcMar>
            <w:hideMark/>
          </w:tcPr>
          <w:p w14:paraId="6F68DAFC" w14:textId="77777777" w:rsidR="006E51BF" w:rsidRPr="009B45C6" w:rsidRDefault="006E51BF">
            <w:pPr>
              <w:pStyle w:val="ARfintabletextright"/>
              <w:cnfStyle w:val="000000100000" w:firstRow="0" w:lastRow="0" w:firstColumn="0" w:lastColumn="0" w:oddVBand="0" w:evenVBand="0" w:oddHBand="1" w:evenHBand="0" w:firstRowFirstColumn="0" w:firstRowLastColumn="0" w:lastRowFirstColumn="0" w:lastRowLastColumn="0"/>
              <w:rPr>
                <w:lang w:eastAsia="en-AU"/>
              </w:rPr>
            </w:pPr>
            <w:r w:rsidRPr="009B45C6">
              <w:rPr>
                <w:lang w:eastAsia="en-AU"/>
              </w:rPr>
              <w:t>1.2</w:t>
            </w:r>
          </w:p>
        </w:tc>
      </w:tr>
      <w:tr w:rsidR="006E51BF" w:rsidRPr="009B45C6" w14:paraId="2543ACC7" w14:textId="77777777" w:rsidTr="00735BAF">
        <w:trPr>
          <w:cnfStyle w:val="000000010000" w:firstRow="0" w:lastRow="0" w:firstColumn="0" w:lastColumn="0" w:oddVBand="0" w:evenVBand="0" w:oddHBand="0" w:evenHBand="1" w:firstRowFirstColumn="0" w:firstRowLastColumn="0" w:lastRowFirstColumn="0" w:lastRowLastColumn="0"/>
          <w:trHeight w:val="20"/>
        </w:trPr>
        <w:tc>
          <w:tcPr>
            <w:tcW w:w="3071" w:type="pct"/>
            <w:tcBorders>
              <w:top w:val="single" w:sz="4" w:space="0" w:color="BFBFBF" w:themeColor="accent2"/>
              <w:bottom w:val="single" w:sz="4" w:space="0" w:color="000000" w:themeColor="text1"/>
            </w:tcBorders>
            <w:noWrap/>
            <w:hideMark/>
          </w:tcPr>
          <w:p w14:paraId="0C2DEB62" w14:textId="77777777" w:rsidR="006E51BF" w:rsidRPr="009B45C6" w:rsidRDefault="006E51BF">
            <w:pPr>
              <w:pStyle w:val="ARfintabletext"/>
              <w:rPr>
                <w:lang w:eastAsia="en-AU"/>
              </w:rPr>
            </w:pPr>
            <w:r w:rsidRPr="009B45C6">
              <w:rPr>
                <w:lang w:eastAsia="en-AU"/>
              </w:rPr>
              <w:t>Termination benefits</w:t>
            </w:r>
          </w:p>
        </w:tc>
        <w:tc>
          <w:tcPr>
            <w:cnfStyle w:val="000001000000" w:firstRow="0" w:lastRow="0" w:firstColumn="0" w:lastColumn="0" w:oddVBand="0" w:evenVBand="1" w:oddHBand="0" w:evenHBand="0" w:firstRowFirstColumn="0" w:firstRowLastColumn="0" w:lastRowFirstColumn="0" w:lastRowLastColumn="0"/>
            <w:tcW w:w="964" w:type="pct"/>
            <w:tcBorders>
              <w:top w:val="single" w:sz="4" w:space="0" w:color="BFBFBF" w:themeColor="accent2"/>
              <w:bottom w:val="single" w:sz="4" w:space="0" w:color="000000" w:themeColor="text1"/>
            </w:tcBorders>
            <w:noWrap/>
            <w:tcMar>
              <w:right w:w="0" w:type="nil"/>
            </w:tcMar>
            <w:hideMark/>
          </w:tcPr>
          <w:p w14:paraId="58ABBC75" w14:textId="77777777" w:rsidR="006E51BF" w:rsidRPr="009B45C6" w:rsidRDefault="006E51BF">
            <w:pPr>
              <w:pStyle w:val="ARfintabletextright"/>
              <w:rPr>
                <w:lang w:eastAsia="en-AU"/>
              </w:rPr>
            </w:pPr>
            <w:r w:rsidRPr="009B45C6">
              <w:rPr>
                <w:lang w:eastAsia="en-AU"/>
              </w:rPr>
              <w:t>2.3</w:t>
            </w:r>
          </w:p>
        </w:tc>
        <w:tc>
          <w:tcPr>
            <w:tcW w:w="964" w:type="pct"/>
            <w:tcBorders>
              <w:top w:val="single" w:sz="4" w:space="0" w:color="BFBFBF" w:themeColor="accent2"/>
              <w:bottom w:val="single" w:sz="4" w:space="0" w:color="000000" w:themeColor="text1"/>
            </w:tcBorders>
            <w:shd w:val="clear" w:color="auto" w:fill="E7E6E6" w:themeFill="background2"/>
            <w:noWrap/>
            <w:tcMar>
              <w:right w:w="0" w:type="nil"/>
            </w:tcMar>
            <w:hideMark/>
          </w:tcPr>
          <w:p w14:paraId="4F69B4A3" w14:textId="77777777" w:rsidR="006E51BF" w:rsidRPr="009B45C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9B45C6">
              <w:rPr>
                <w:lang w:eastAsia="en-AU"/>
              </w:rPr>
              <w:t>0.5</w:t>
            </w:r>
          </w:p>
        </w:tc>
      </w:tr>
      <w:tr w:rsidR="006E51BF" w:rsidRPr="009B45C6" w14:paraId="1798F09E" w14:textId="77777777" w:rsidTr="00735BAF">
        <w:trPr>
          <w:cnfStyle w:val="000000100000" w:firstRow="0" w:lastRow="0" w:firstColumn="0" w:lastColumn="0" w:oddVBand="0" w:evenVBand="0" w:oddHBand="1" w:evenHBand="0" w:firstRowFirstColumn="0" w:firstRowLastColumn="0" w:lastRowFirstColumn="0" w:lastRowLastColumn="0"/>
          <w:trHeight w:val="20"/>
        </w:trPr>
        <w:tc>
          <w:tcPr>
            <w:tcW w:w="3071" w:type="pct"/>
            <w:tcBorders>
              <w:top w:val="single" w:sz="4" w:space="0" w:color="000000" w:themeColor="text1"/>
              <w:bottom w:val="single" w:sz="4" w:space="0" w:color="000000" w:themeColor="text1"/>
            </w:tcBorders>
            <w:noWrap/>
            <w:hideMark/>
          </w:tcPr>
          <w:p w14:paraId="304826C9" w14:textId="77777777" w:rsidR="006E51BF" w:rsidRPr="009B45C6" w:rsidRDefault="006E51BF">
            <w:pPr>
              <w:pStyle w:val="ARfintabletextbold"/>
              <w:rPr>
                <w:lang w:eastAsia="en-AU"/>
              </w:rPr>
            </w:pPr>
            <w:r w:rsidRPr="009B45C6">
              <w:rPr>
                <w:lang w:eastAsia="en-AU"/>
              </w:rPr>
              <w:t>Total remuneration</w:t>
            </w:r>
            <w:r w:rsidRPr="009B45C6">
              <w:rPr>
                <w:vertAlign w:val="superscript"/>
                <w:lang w:eastAsia="en-AU"/>
              </w:rPr>
              <w:t xml:space="preserve"> (</w:t>
            </w:r>
            <w:proofErr w:type="spellStart"/>
            <w:r w:rsidRPr="009B45C6">
              <w:rPr>
                <w:vertAlign w:val="superscript"/>
                <w:lang w:eastAsia="en-AU"/>
              </w:rPr>
              <w:t>i</w:t>
            </w:r>
            <w:proofErr w:type="spellEnd"/>
            <w:r w:rsidRPr="009B45C6">
              <w:rPr>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964" w:type="pct"/>
            <w:tcBorders>
              <w:top w:val="single" w:sz="4" w:space="0" w:color="000000" w:themeColor="text1"/>
              <w:bottom w:val="single" w:sz="4" w:space="0" w:color="000000" w:themeColor="text1"/>
            </w:tcBorders>
            <w:noWrap/>
            <w:tcMar>
              <w:right w:w="0" w:type="nil"/>
            </w:tcMar>
            <w:hideMark/>
          </w:tcPr>
          <w:p w14:paraId="5B04B45A" w14:textId="77777777" w:rsidR="006E51BF" w:rsidRPr="009B45C6" w:rsidRDefault="006E51BF">
            <w:pPr>
              <w:pStyle w:val="ARfintabletextboldright"/>
              <w:rPr>
                <w:lang w:eastAsia="en-AU"/>
              </w:rPr>
            </w:pPr>
            <w:r w:rsidRPr="009B45C6">
              <w:rPr>
                <w:lang w:eastAsia="en-AU"/>
              </w:rPr>
              <w:t>57.8</w:t>
            </w:r>
          </w:p>
        </w:tc>
        <w:tc>
          <w:tcPr>
            <w:tcW w:w="964"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5E87B789" w14:textId="77777777" w:rsidR="006E51BF" w:rsidRPr="009B45C6" w:rsidRDefault="006E51BF">
            <w:pPr>
              <w:pStyle w:val="ARfintabletextboldright"/>
              <w:cnfStyle w:val="000000100000" w:firstRow="0" w:lastRow="0" w:firstColumn="0" w:lastColumn="0" w:oddVBand="0" w:evenVBand="0" w:oddHBand="1" w:evenHBand="0" w:firstRowFirstColumn="0" w:firstRowLastColumn="0" w:lastRowFirstColumn="0" w:lastRowLastColumn="0"/>
              <w:rPr>
                <w:lang w:eastAsia="en-AU"/>
              </w:rPr>
            </w:pPr>
            <w:r w:rsidRPr="009B45C6">
              <w:rPr>
                <w:lang w:eastAsia="en-AU"/>
              </w:rPr>
              <w:t>55.0</w:t>
            </w:r>
          </w:p>
        </w:tc>
      </w:tr>
      <w:tr w:rsidR="006E51BF" w:rsidRPr="009B45C6" w14:paraId="5023CD94" w14:textId="77777777" w:rsidTr="00735BAF">
        <w:trPr>
          <w:cnfStyle w:val="000000010000" w:firstRow="0" w:lastRow="0" w:firstColumn="0" w:lastColumn="0" w:oddVBand="0" w:evenVBand="0" w:oddHBand="0" w:evenHBand="1" w:firstRowFirstColumn="0" w:firstRowLastColumn="0" w:lastRowFirstColumn="0" w:lastRowLastColumn="0"/>
          <w:trHeight w:val="20"/>
        </w:trPr>
        <w:tc>
          <w:tcPr>
            <w:tcW w:w="3071" w:type="pct"/>
            <w:tcBorders>
              <w:top w:val="single" w:sz="4" w:space="0" w:color="000000" w:themeColor="text1"/>
              <w:bottom w:val="single" w:sz="4" w:space="0" w:color="000000" w:themeColor="text1"/>
            </w:tcBorders>
            <w:noWrap/>
            <w:hideMark/>
          </w:tcPr>
          <w:p w14:paraId="61539BD0" w14:textId="77777777" w:rsidR="006E51BF" w:rsidRPr="009B45C6" w:rsidRDefault="006E51BF">
            <w:pPr>
              <w:pStyle w:val="ARfintabletextbold"/>
              <w:rPr>
                <w:lang w:eastAsia="en-AU"/>
              </w:rPr>
            </w:pPr>
            <w:r w:rsidRPr="009B45C6">
              <w:rPr>
                <w:lang w:eastAsia="en-AU"/>
              </w:rPr>
              <w:t xml:space="preserve">Total number of executives </w:t>
            </w:r>
            <w:r w:rsidRPr="009B45C6">
              <w:rPr>
                <w:vertAlign w:val="superscript"/>
                <w:lang w:eastAsia="en-AU"/>
              </w:rPr>
              <w:t>(</w:t>
            </w:r>
            <w:proofErr w:type="spellStart"/>
            <w:r w:rsidRPr="009B45C6">
              <w:rPr>
                <w:vertAlign w:val="superscript"/>
                <w:lang w:eastAsia="en-AU"/>
              </w:rPr>
              <w:t>i</w:t>
            </w:r>
            <w:proofErr w:type="spellEnd"/>
            <w:r w:rsidRPr="009B45C6">
              <w:rPr>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964" w:type="pct"/>
            <w:tcBorders>
              <w:top w:val="single" w:sz="4" w:space="0" w:color="000000" w:themeColor="text1"/>
              <w:bottom w:val="single" w:sz="4" w:space="0" w:color="000000" w:themeColor="text1"/>
            </w:tcBorders>
            <w:noWrap/>
            <w:tcMar>
              <w:right w:w="0" w:type="nil"/>
            </w:tcMar>
            <w:hideMark/>
          </w:tcPr>
          <w:p w14:paraId="5F8D602A" w14:textId="77777777" w:rsidR="006E51BF" w:rsidRPr="009B45C6" w:rsidRDefault="006E51BF">
            <w:pPr>
              <w:pStyle w:val="ARfintabletextright"/>
              <w:rPr>
                <w:lang w:eastAsia="en-AU"/>
              </w:rPr>
            </w:pPr>
            <w:r w:rsidRPr="009B45C6">
              <w:rPr>
                <w:lang w:eastAsia="en-AU"/>
              </w:rPr>
              <w:t>230</w:t>
            </w:r>
          </w:p>
        </w:tc>
        <w:tc>
          <w:tcPr>
            <w:tcW w:w="964" w:type="pct"/>
            <w:tcBorders>
              <w:top w:val="single" w:sz="4" w:space="0" w:color="000000" w:themeColor="text1"/>
              <w:bottom w:val="single" w:sz="4" w:space="0" w:color="000000" w:themeColor="text1"/>
            </w:tcBorders>
            <w:shd w:val="clear" w:color="auto" w:fill="E7E6E6" w:themeFill="background2"/>
            <w:noWrap/>
            <w:tcMar>
              <w:right w:w="0" w:type="nil"/>
            </w:tcMar>
            <w:hideMark/>
          </w:tcPr>
          <w:p w14:paraId="4DAF10C9" w14:textId="77777777" w:rsidR="006E51BF" w:rsidRPr="009B45C6" w:rsidRDefault="006E51BF">
            <w:pPr>
              <w:pStyle w:val="ARfintabletextright"/>
              <w:cnfStyle w:val="000000010000" w:firstRow="0" w:lastRow="0" w:firstColumn="0" w:lastColumn="0" w:oddVBand="0" w:evenVBand="0" w:oddHBand="0" w:evenHBand="1" w:firstRowFirstColumn="0" w:firstRowLastColumn="0" w:lastRowFirstColumn="0" w:lastRowLastColumn="0"/>
              <w:rPr>
                <w:lang w:eastAsia="en-AU"/>
              </w:rPr>
            </w:pPr>
            <w:r w:rsidRPr="009B45C6">
              <w:rPr>
                <w:lang w:eastAsia="en-AU"/>
              </w:rPr>
              <w:t>216</w:t>
            </w:r>
          </w:p>
        </w:tc>
      </w:tr>
      <w:tr w:rsidR="006E51BF" w:rsidRPr="009B45C6" w14:paraId="3E70CEA1" w14:textId="77777777" w:rsidTr="00735BAF">
        <w:trPr>
          <w:cnfStyle w:val="010000000000" w:firstRow="0" w:lastRow="1" w:firstColumn="0" w:lastColumn="0" w:oddVBand="0" w:evenVBand="0" w:oddHBand="0" w:evenHBand="0" w:firstRowFirstColumn="0" w:firstRowLastColumn="0" w:lastRowFirstColumn="0" w:lastRowLastColumn="0"/>
          <w:trHeight w:val="20"/>
        </w:trPr>
        <w:tc>
          <w:tcPr>
            <w:tcW w:w="3071" w:type="pct"/>
            <w:hideMark/>
          </w:tcPr>
          <w:p w14:paraId="08928973" w14:textId="77777777" w:rsidR="006E51BF" w:rsidRPr="009B45C6" w:rsidRDefault="006E51BF">
            <w:pPr>
              <w:pStyle w:val="ARfintabletextbold"/>
              <w:rPr>
                <w:lang w:eastAsia="en-AU"/>
              </w:rPr>
            </w:pPr>
            <w:r w:rsidRPr="009B45C6">
              <w:rPr>
                <w:lang w:eastAsia="en-AU"/>
              </w:rPr>
              <w:t xml:space="preserve">Total annualised employee equivalent (AEE) </w:t>
            </w:r>
            <w:r w:rsidRPr="009B45C6">
              <w:rPr>
                <w:vertAlign w:val="superscript"/>
                <w:lang w:eastAsia="en-AU"/>
              </w:rPr>
              <w:t>(</w:t>
            </w:r>
            <w:proofErr w:type="spellStart"/>
            <w:r w:rsidRPr="009B45C6">
              <w:rPr>
                <w:vertAlign w:val="superscript"/>
                <w:lang w:eastAsia="en-AU"/>
              </w:rPr>
              <w:t>i</w:t>
            </w:r>
            <w:proofErr w:type="spellEnd"/>
            <w:r w:rsidRPr="009B45C6">
              <w:rPr>
                <w:vertAlign w:val="superscript"/>
                <w:lang w:eastAsia="en-AU"/>
              </w:rPr>
              <w:t>)(ii)</w:t>
            </w:r>
          </w:p>
        </w:tc>
        <w:tc>
          <w:tcPr>
            <w:cnfStyle w:val="000001000000" w:firstRow="0" w:lastRow="0" w:firstColumn="0" w:lastColumn="0" w:oddVBand="0" w:evenVBand="1" w:oddHBand="0" w:evenHBand="0" w:firstRowFirstColumn="0" w:firstRowLastColumn="0" w:lastRowFirstColumn="0" w:lastRowLastColumn="0"/>
            <w:tcW w:w="964" w:type="pct"/>
            <w:noWrap/>
            <w:tcMar>
              <w:right w:w="0" w:type="nil"/>
            </w:tcMar>
            <w:hideMark/>
          </w:tcPr>
          <w:p w14:paraId="78AFBCB8" w14:textId="77777777" w:rsidR="006E51BF" w:rsidRPr="009B45C6" w:rsidRDefault="006E51BF">
            <w:pPr>
              <w:pStyle w:val="ARfintabletextboldright"/>
              <w:rPr>
                <w:lang w:eastAsia="en-AU"/>
              </w:rPr>
            </w:pPr>
            <w:r w:rsidRPr="009B45C6">
              <w:rPr>
                <w:lang w:eastAsia="en-AU"/>
              </w:rPr>
              <w:t>192.3</w:t>
            </w:r>
          </w:p>
        </w:tc>
        <w:tc>
          <w:tcPr>
            <w:tcW w:w="964" w:type="pct"/>
            <w:shd w:val="clear" w:color="auto" w:fill="E7E6E6" w:themeFill="background2"/>
            <w:noWrap/>
            <w:tcMar>
              <w:right w:w="0" w:type="nil"/>
            </w:tcMar>
            <w:hideMark/>
          </w:tcPr>
          <w:p w14:paraId="08E7C4AD" w14:textId="77777777" w:rsidR="006E51BF" w:rsidRPr="009B45C6" w:rsidRDefault="006E51BF">
            <w:pPr>
              <w:pStyle w:val="ARfintabletextboldright"/>
              <w:cnfStyle w:val="010000000000" w:firstRow="0" w:lastRow="1" w:firstColumn="0" w:lastColumn="0" w:oddVBand="0" w:evenVBand="0" w:oddHBand="0" w:evenHBand="0" w:firstRowFirstColumn="0" w:firstRowLastColumn="0" w:lastRowFirstColumn="0" w:lastRowLastColumn="0"/>
              <w:rPr>
                <w:lang w:eastAsia="en-AU"/>
              </w:rPr>
            </w:pPr>
            <w:r w:rsidRPr="009B45C6">
              <w:rPr>
                <w:lang w:eastAsia="en-AU"/>
              </w:rPr>
              <w:t>196.1</w:t>
            </w:r>
          </w:p>
        </w:tc>
      </w:tr>
    </w:tbl>
    <w:p w14:paraId="08B3CFA8" w14:textId="77777777" w:rsidR="006E51BF" w:rsidRPr="009B45C6" w:rsidRDefault="006E51BF">
      <w:pPr>
        <w:pStyle w:val="ARfintablenote"/>
        <w:rPr>
          <w:lang w:eastAsia="en-AU"/>
        </w:rPr>
      </w:pPr>
      <w:r w:rsidRPr="009B45C6">
        <w:rPr>
          <w:lang w:eastAsia="en-AU"/>
        </w:rPr>
        <w:t>Notes:</w:t>
      </w:r>
    </w:p>
    <w:p w14:paraId="75321959" w14:textId="77777777" w:rsidR="006E51BF" w:rsidRPr="009B45C6" w:rsidRDefault="006E51BF" w:rsidP="006E51BF">
      <w:pPr>
        <w:pStyle w:val="ARfintablenoteroman"/>
        <w:numPr>
          <w:ilvl w:val="0"/>
          <w:numId w:val="85"/>
        </w:numPr>
      </w:pPr>
      <w:r w:rsidRPr="009B45C6">
        <w:t>Total figures for 2024</w:t>
      </w:r>
      <w:r>
        <w:t>–</w:t>
      </w:r>
      <w:r w:rsidRPr="009B45C6">
        <w:t>25 and 2025</w:t>
      </w:r>
      <w:r>
        <w:t>–</w:t>
      </w:r>
      <w:r w:rsidRPr="009B45C6">
        <w:t>26 include the remuneration of the Chief Finance Officer (CFO) who delivered services, as an executive officer to the department but is employed by the Department of Treasury and Finance.</w:t>
      </w:r>
    </w:p>
    <w:p w14:paraId="1E0369D0" w14:textId="77777777" w:rsidR="006E51BF" w:rsidRPr="009B45C6" w:rsidRDefault="006E51BF" w:rsidP="006E51BF">
      <w:pPr>
        <w:pStyle w:val="ARfintablenoteroman"/>
        <w:numPr>
          <w:ilvl w:val="0"/>
          <w:numId w:val="15"/>
        </w:numPr>
      </w:pPr>
      <w:r w:rsidRPr="009B45C6">
        <w:t>Annualised employee equivalent is based on the time fraction worked over the reporting period.</w:t>
      </w:r>
    </w:p>
    <w:p w14:paraId="03FF1B6B" w14:textId="77777777" w:rsidR="006E51BF" w:rsidRPr="00971671" w:rsidRDefault="006E51BF">
      <w:pPr>
        <w:pStyle w:val="Heading4"/>
        <w:rPr>
          <w:lang w:eastAsia="en-AU"/>
        </w:rPr>
      </w:pPr>
      <w:r w:rsidRPr="00971671">
        <w:rPr>
          <w:lang w:eastAsia="en-AU"/>
        </w:rPr>
        <w:t xml:space="preserve">9.8 </w:t>
      </w:r>
      <w:r>
        <w:rPr>
          <w:lang w:eastAsia="en-AU"/>
        </w:rPr>
        <w:tab/>
      </w:r>
      <w:r w:rsidRPr="00971671">
        <w:rPr>
          <w:lang w:eastAsia="en-AU"/>
        </w:rPr>
        <w:t>Related parties</w:t>
      </w:r>
    </w:p>
    <w:p w14:paraId="6CCB9CF4" w14:textId="77777777" w:rsidR="006E51BF" w:rsidRPr="00971671" w:rsidRDefault="006E51BF">
      <w:pPr>
        <w:pStyle w:val="ARfinbody"/>
      </w:pPr>
      <w:r w:rsidRPr="00971671">
        <w:t>The department is a wholly owned and controlled entity of the State of Victoria.</w:t>
      </w:r>
    </w:p>
    <w:p w14:paraId="5A51289C" w14:textId="77777777" w:rsidR="006E51BF" w:rsidRDefault="006E51BF">
      <w:pPr>
        <w:pStyle w:val="ARfinbody"/>
      </w:pPr>
      <w:r w:rsidRPr="00971671">
        <w:t xml:space="preserve">The following entities have been included into the department's financial statements pursuant to the determination made by the Minister for Finance under s. 53(1)(b) of the </w:t>
      </w:r>
      <w:r w:rsidRPr="00105DB4">
        <w:rPr>
          <w:rStyle w:val="Emphasis"/>
        </w:rPr>
        <w:t>Financial Management Act 1994</w:t>
      </w:r>
      <w:r w:rsidRPr="00971671">
        <w:t>:</w:t>
      </w:r>
    </w:p>
    <w:p w14:paraId="768FDF21" w14:textId="77777777" w:rsidR="006E51BF" w:rsidRDefault="006E51BF" w:rsidP="006E51BF">
      <w:pPr>
        <w:pStyle w:val="ARfinbullet1"/>
        <w:numPr>
          <w:ilvl w:val="0"/>
          <w:numId w:val="13"/>
        </w:numPr>
        <w:ind w:left="284" w:hanging="284"/>
      </w:pPr>
      <w:r w:rsidRPr="00971671">
        <w:t>Commission for Children and Young People</w:t>
      </w:r>
    </w:p>
    <w:p w14:paraId="086FFBDD" w14:textId="77777777" w:rsidR="006E51BF" w:rsidRDefault="006E51BF" w:rsidP="006E51BF">
      <w:pPr>
        <w:pStyle w:val="ARfinbullet1"/>
        <w:numPr>
          <w:ilvl w:val="0"/>
          <w:numId w:val="13"/>
        </w:numPr>
        <w:ind w:left="284" w:hanging="284"/>
      </w:pPr>
      <w:r w:rsidRPr="00971671">
        <w:t xml:space="preserve">Homes Victoria </w:t>
      </w:r>
    </w:p>
    <w:p w14:paraId="4B1DFEF6" w14:textId="77777777" w:rsidR="006E51BF" w:rsidRDefault="006E51BF" w:rsidP="006E51BF">
      <w:pPr>
        <w:pStyle w:val="ARfinbullet1"/>
        <w:numPr>
          <w:ilvl w:val="0"/>
          <w:numId w:val="13"/>
        </w:numPr>
        <w:ind w:left="284" w:hanging="284"/>
      </w:pPr>
      <w:r w:rsidRPr="00971671">
        <w:t>Disability Worker Registration Board</w:t>
      </w:r>
    </w:p>
    <w:p w14:paraId="58CB0D9D" w14:textId="77777777" w:rsidR="006E51BF" w:rsidRDefault="006E51BF" w:rsidP="006E51BF">
      <w:pPr>
        <w:pStyle w:val="ARfinbullet1"/>
        <w:numPr>
          <w:ilvl w:val="0"/>
          <w:numId w:val="13"/>
        </w:numPr>
        <w:ind w:left="284" w:hanging="284"/>
      </w:pPr>
      <w:r w:rsidRPr="00971671">
        <w:t xml:space="preserve">Victorian Disability Worker Commission </w:t>
      </w:r>
    </w:p>
    <w:p w14:paraId="00D62F9C" w14:textId="77777777" w:rsidR="006E51BF" w:rsidRDefault="006E51BF" w:rsidP="006E51BF">
      <w:pPr>
        <w:pStyle w:val="ARfinbullet1"/>
        <w:numPr>
          <w:ilvl w:val="0"/>
          <w:numId w:val="13"/>
        </w:numPr>
        <w:ind w:left="284" w:hanging="284"/>
      </w:pPr>
      <w:r w:rsidRPr="00971671">
        <w:t>Respect Victoria</w:t>
      </w:r>
    </w:p>
    <w:p w14:paraId="33ED128B" w14:textId="77777777" w:rsidR="006E51BF" w:rsidRDefault="006E51BF" w:rsidP="006E51BF">
      <w:pPr>
        <w:pStyle w:val="ARfinbullet1"/>
        <w:numPr>
          <w:ilvl w:val="0"/>
          <w:numId w:val="13"/>
        </w:numPr>
        <w:ind w:left="284" w:hanging="284"/>
      </w:pPr>
      <w:r w:rsidRPr="00971671">
        <w:t>Victorian Veterans Council</w:t>
      </w:r>
    </w:p>
    <w:p w14:paraId="28ED320B" w14:textId="77777777" w:rsidR="006E51BF" w:rsidRPr="00971671" w:rsidRDefault="006E51BF" w:rsidP="006E51BF">
      <w:pPr>
        <w:pStyle w:val="ARfinbullet1"/>
        <w:numPr>
          <w:ilvl w:val="0"/>
          <w:numId w:val="13"/>
        </w:numPr>
        <w:ind w:left="284" w:hanging="284"/>
      </w:pPr>
      <w:r w:rsidRPr="00971671">
        <w:t>Social Services Regulator</w:t>
      </w:r>
    </w:p>
    <w:p w14:paraId="2EA5A348" w14:textId="77777777" w:rsidR="006E51BF" w:rsidRDefault="006E51BF">
      <w:pPr>
        <w:pStyle w:val="ARfinbody"/>
        <w:rPr>
          <w:lang w:eastAsia="en-AU"/>
        </w:rPr>
      </w:pPr>
      <w:r w:rsidRPr="006D77DA">
        <w:t>Related</w:t>
      </w:r>
      <w:r w:rsidRPr="00971671">
        <w:rPr>
          <w:lang w:eastAsia="en-AU"/>
        </w:rPr>
        <w:t xml:space="preserve"> parties of the department and the </w:t>
      </w:r>
      <w:proofErr w:type="gramStart"/>
      <w:r w:rsidRPr="00971671">
        <w:rPr>
          <w:lang w:eastAsia="en-AU"/>
        </w:rPr>
        <w:t>above mentioned</w:t>
      </w:r>
      <w:proofErr w:type="gramEnd"/>
      <w:r w:rsidRPr="00971671">
        <w:rPr>
          <w:lang w:eastAsia="en-AU"/>
        </w:rPr>
        <w:t xml:space="preserve"> administrative offices and entities include:</w:t>
      </w:r>
    </w:p>
    <w:p w14:paraId="2375C3BB" w14:textId="77777777" w:rsidR="006E51BF" w:rsidRDefault="006E51BF" w:rsidP="006E51BF">
      <w:pPr>
        <w:pStyle w:val="ARfinbullet1"/>
        <w:numPr>
          <w:ilvl w:val="0"/>
          <w:numId w:val="13"/>
        </w:numPr>
        <w:ind w:left="284" w:hanging="284"/>
      </w:pPr>
      <w:r w:rsidRPr="00971671">
        <w:t>all key management personnel and their close family members and personal business interests (controlled entities, joint ventures and entities they have significant influence over)</w:t>
      </w:r>
    </w:p>
    <w:p w14:paraId="77E2B276" w14:textId="77777777" w:rsidR="006E51BF" w:rsidRDefault="006E51BF" w:rsidP="006E51BF">
      <w:pPr>
        <w:pStyle w:val="ARfinbullet1"/>
        <w:numPr>
          <w:ilvl w:val="0"/>
          <w:numId w:val="13"/>
        </w:numPr>
        <w:ind w:left="284" w:hanging="284"/>
      </w:pPr>
      <w:r w:rsidRPr="00971671">
        <w:t>all cabinet ministers and their close family members</w:t>
      </w:r>
    </w:p>
    <w:p w14:paraId="4EE5530A" w14:textId="77777777" w:rsidR="006E51BF" w:rsidRDefault="006E51BF" w:rsidP="006E51BF">
      <w:pPr>
        <w:pStyle w:val="ARfinbullet1"/>
        <w:numPr>
          <w:ilvl w:val="0"/>
          <w:numId w:val="13"/>
        </w:numPr>
        <w:ind w:left="284" w:hanging="284"/>
      </w:pPr>
      <w:r w:rsidRPr="00971671">
        <w:t>all departments and public sector entities that are controlled and consolidated into the whole of state consolidated financial statements.</w:t>
      </w:r>
    </w:p>
    <w:p w14:paraId="4EAF73BC" w14:textId="77777777" w:rsidR="006E51BF" w:rsidRPr="00971671" w:rsidRDefault="006E51BF">
      <w:pPr>
        <w:pStyle w:val="ARfinbody"/>
        <w:rPr>
          <w:lang w:eastAsia="en-AU"/>
        </w:rPr>
      </w:pPr>
      <w:r w:rsidRPr="00971671">
        <w:rPr>
          <w:lang w:eastAsia="en-AU"/>
        </w:rPr>
        <w:t>All related party transactions have been entered into on an arm's length basis.</w:t>
      </w:r>
    </w:p>
    <w:p w14:paraId="3BF7C99D" w14:textId="77777777" w:rsidR="006E51BF" w:rsidRDefault="006E51BF">
      <w:pPr>
        <w:pStyle w:val="Heading5"/>
        <w:rPr>
          <w:lang w:eastAsia="en-AU"/>
        </w:rPr>
      </w:pPr>
      <w:r w:rsidRPr="00971671">
        <w:rPr>
          <w:lang w:eastAsia="en-AU"/>
        </w:rPr>
        <w:t>Significant transactions with government-related entities</w:t>
      </w:r>
    </w:p>
    <w:p w14:paraId="2BFE6F77" w14:textId="77777777" w:rsidR="006E51BF" w:rsidRPr="006D77DA" w:rsidRDefault="006E51BF">
      <w:pPr>
        <w:pStyle w:val="ARfinbody"/>
      </w:pPr>
      <w:r w:rsidRPr="00971671">
        <w:rPr>
          <w:lang w:eastAsia="en-AU"/>
        </w:rPr>
        <w:t xml:space="preserve">The department received funding and made </w:t>
      </w:r>
      <w:r w:rsidRPr="006D77DA">
        <w:t>payments to the Consolidated Fund of $341.8 million (2025: $285.3 million) and $4,707.2 million (2025: $4,952.9 million) respectively.</w:t>
      </w:r>
    </w:p>
    <w:p w14:paraId="5B07037E" w14:textId="77777777" w:rsidR="006E51BF" w:rsidRDefault="006E51BF">
      <w:pPr>
        <w:pStyle w:val="ARfinbody"/>
        <w:rPr>
          <w:lang w:eastAsia="en-AU"/>
        </w:rPr>
      </w:pPr>
      <w:r w:rsidRPr="006D77DA">
        <w:t>Refer to Note 2.4.2 and 3.1.2 for other government-related</w:t>
      </w:r>
      <w:r w:rsidRPr="00971671">
        <w:rPr>
          <w:lang w:eastAsia="en-AU"/>
        </w:rPr>
        <w:t xml:space="preserve"> entity transactions.</w:t>
      </w:r>
    </w:p>
    <w:p w14:paraId="371DDBC1" w14:textId="77777777" w:rsidR="006E51BF" w:rsidRDefault="006E51BF">
      <w:pPr>
        <w:spacing w:after="0" w:line="240" w:lineRule="auto"/>
        <w:rPr>
          <w:rFonts w:eastAsia="Times"/>
          <w:sz w:val="18"/>
          <w:lang w:eastAsia="en-AU"/>
        </w:rPr>
      </w:pPr>
      <w:r>
        <w:rPr>
          <w:lang w:eastAsia="en-AU"/>
        </w:rPr>
        <w:br w:type="page"/>
      </w:r>
    </w:p>
    <w:p w14:paraId="0F8452EF" w14:textId="77777777" w:rsidR="006E51BF" w:rsidRPr="00971671" w:rsidRDefault="006E51BF">
      <w:pPr>
        <w:pStyle w:val="Heading5"/>
        <w:rPr>
          <w:lang w:eastAsia="en-AU"/>
        </w:rPr>
      </w:pPr>
      <w:r w:rsidRPr="00971671">
        <w:rPr>
          <w:lang w:eastAsia="en-AU"/>
        </w:rPr>
        <w:t>Key management personnel</w:t>
      </w:r>
    </w:p>
    <w:p w14:paraId="626E49CD" w14:textId="77777777" w:rsidR="006E51BF" w:rsidRPr="00971671" w:rsidRDefault="006E51BF">
      <w:pPr>
        <w:pStyle w:val="ARfinbody"/>
        <w:rPr>
          <w:lang w:eastAsia="en-AU"/>
        </w:rPr>
      </w:pPr>
      <w:r w:rsidRPr="009A1AC8">
        <w:rPr>
          <w:rStyle w:val="Strong"/>
        </w:rPr>
        <w:t>Key management personnel</w:t>
      </w:r>
      <w:r w:rsidRPr="00971671">
        <w:rPr>
          <w:lang w:eastAsia="en-AU"/>
        </w:rPr>
        <w:t xml:space="preserve"> of the department include </w:t>
      </w:r>
      <w:r w:rsidRPr="006D77DA">
        <w:t>the</w:t>
      </w:r>
      <w:r w:rsidRPr="00971671">
        <w:rPr>
          <w:lang w:eastAsia="en-AU"/>
        </w:rPr>
        <w:t xml:space="preserve"> Portfolio Ministers: Hon. Lizzie Blandthorn, Hon. Natalie Suleyman, Hon. Luba Grigorovitch, The Hon. Ros Spence, The Hon. Natalie Hutchins, Ingrid Stitt MP, The Hon. Melissa Horne, Hon. Mary-Anne Thomas, The Hon. </w:t>
      </w:r>
      <w:r w:rsidRPr="009A1AC8">
        <w:t>Gabrielle</w:t>
      </w:r>
      <w:r w:rsidRPr="00971671">
        <w:rPr>
          <w:lang w:eastAsia="en-AU"/>
        </w:rPr>
        <w:t xml:space="preserve"> Williams, Hon. Harriet Shing, The Hon. Nick Staikos, The Hon. Vicki Ward, The Hon. Danny Pearson, Secretary Peta McCammon and </w:t>
      </w:r>
      <w:r w:rsidRPr="007F5895">
        <w:t>members</w:t>
      </w:r>
      <w:r w:rsidRPr="00971671">
        <w:rPr>
          <w:lang w:eastAsia="en-AU"/>
        </w:rPr>
        <w:t xml:space="preserve"> of the senior executive team, which</w:t>
      </w:r>
      <w:r>
        <w:rPr>
          <w:lang w:eastAsia="en-AU"/>
        </w:rPr>
        <w:t> </w:t>
      </w:r>
      <w:r w:rsidRPr="00971671">
        <w:rPr>
          <w:lang w:eastAsia="en-AU"/>
        </w:rPr>
        <w:t>includes:</w:t>
      </w:r>
    </w:p>
    <w:tbl>
      <w:tblPr>
        <w:tblStyle w:val="ARtable1"/>
        <w:tblW w:w="5000" w:type="pct"/>
        <w:tblLook w:val="00A0" w:firstRow="1" w:lastRow="0" w:firstColumn="1" w:lastColumn="0" w:noHBand="0" w:noVBand="0"/>
      </w:tblPr>
      <w:tblGrid>
        <w:gridCol w:w="1943"/>
        <w:gridCol w:w="1656"/>
        <w:gridCol w:w="3339"/>
        <w:gridCol w:w="2690"/>
      </w:tblGrid>
      <w:tr w:rsidR="006E51BF" w:rsidRPr="00971671" w14:paraId="4C594FE7" w14:textId="77777777">
        <w:trPr>
          <w:cnfStyle w:val="100000000000" w:firstRow="1" w:lastRow="0" w:firstColumn="0" w:lastColumn="0" w:oddVBand="0" w:evenVBand="0" w:oddHBand="0" w:evenHBand="0" w:firstRowFirstColumn="0" w:firstRowLastColumn="0" w:lastRowFirstColumn="0" w:lastRowLastColumn="0"/>
          <w:trHeight w:val="20"/>
          <w:tblHeader/>
        </w:trPr>
        <w:tc>
          <w:tcPr>
            <w:tcW w:w="1009" w:type="pct"/>
            <w:noWrap/>
            <w:hideMark/>
          </w:tcPr>
          <w:p w14:paraId="3C123968" w14:textId="77777777" w:rsidR="006E51BF" w:rsidRPr="006D77DA" w:rsidRDefault="006E51BF" w:rsidP="00F77100">
            <w:pPr>
              <w:pStyle w:val="ARfintablecolhead8pt"/>
              <w:spacing w:before="40" w:after="40"/>
            </w:pPr>
            <w:r w:rsidRPr="006D77DA">
              <w:t>Entity</w:t>
            </w:r>
          </w:p>
        </w:tc>
        <w:tc>
          <w:tcPr>
            <w:cnfStyle w:val="000001000000" w:firstRow="0" w:lastRow="0" w:firstColumn="0" w:lastColumn="0" w:oddVBand="0" w:evenVBand="1" w:oddHBand="0" w:evenHBand="0" w:firstRowFirstColumn="0" w:firstRowLastColumn="0" w:lastRowFirstColumn="0" w:lastRowLastColumn="0"/>
            <w:tcW w:w="860" w:type="pct"/>
            <w:noWrap/>
            <w:tcMar>
              <w:left w:w="113" w:type="dxa"/>
            </w:tcMar>
            <w:hideMark/>
          </w:tcPr>
          <w:p w14:paraId="22310EE5" w14:textId="77777777" w:rsidR="006E51BF" w:rsidRPr="006D77DA" w:rsidRDefault="006E51BF" w:rsidP="00F77100">
            <w:pPr>
              <w:pStyle w:val="ARfintablecolhead8pt"/>
              <w:spacing w:before="40" w:after="40"/>
            </w:pPr>
            <w:r w:rsidRPr="006D77DA">
              <w:t xml:space="preserve">Key management </w:t>
            </w:r>
            <w:r>
              <w:br/>
            </w:r>
            <w:r w:rsidRPr="006D77DA">
              <w:t>personnel</w:t>
            </w:r>
          </w:p>
        </w:tc>
        <w:tc>
          <w:tcPr>
            <w:tcW w:w="1734" w:type="pct"/>
            <w:noWrap/>
            <w:tcMar>
              <w:left w:w="113" w:type="dxa"/>
            </w:tcMar>
            <w:hideMark/>
          </w:tcPr>
          <w:p w14:paraId="4F151EF0" w14:textId="77777777" w:rsidR="006E51BF" w:rsidRPr="006D77DA" w:rsidRDefault="006E51BF" w:rsidP="00F77100">
            <w:pPr>
              <w:pStyle w:val="ARfintablecolhead8pt"/>
              <w:spacing w:before="40" w:after="40"/>
              <w:cnfStyle w:val="100000000000" w:firstRow="1" w:lastRow="0" w:firstColumn="0" w:lastColumn="0" w:oddVBand="0" w:evenVBand="0" w:oddHBand="0" w:evenHBand="0" w:firstRowFirstColumn="0" w:firstRowLastColumn="0" w:lastRowFirstColumn="0" w:lastRowLastColumn="0"/>
            </w:pPr>
            <w:r w:rsidRPr="006D77DA">
              <w:t>Position title</w:t>
            </w:r>
          </w:p>
        </w:tc>
        <w:tc>
          <w:tcPr>
            <w:cnfStyle w:val="000001000000" w:firstRow="0" w:lastRow="0" w:firstColumn="0" w:lastColumn="0" w:oddVBand="0" w:evenVBand="1" w:oddHBand="0" w:evenHBand="0" w:firstRowFirstColumn="0" w:firstRowLastColumn="0" w:lastRowFirstColumn="0" w:lastRowLastColumn="0"/>
            <w:tcW w:w="1397" w:type="pct"/>
            <w:noWrap/>
            <w:tcMar>
              <w:left w:w="113" w:type="dxa"/>
            </w:tcMar>
            <w:hideMark/>
          </w:tcPr>
          <w:p w14:paraId="7850BC6B" w14:textId="77777777" w:rsidR="006E51BF" w:rsidRPr="006D77DA" w:rsidRDefault="006E51BF" w:rsidP="00F77100">
            <w:pPr>
              <w:pStyle w:val="ARfintablecolhead8pt"/>
              <w:spacing w:before="40" w:after="40"/>
            </w:pPr>
            <w:r w:rsidRPr="006D77DA">
              <w:t>Period</w:t>
            </w:r>
          </w:p>
        </w:tc>
      </w:tr>
      <w:tr w:rsidR="006E51BF" w:rsidRPr="00971671" w14:paraId="562551C9" w14:textId="77777777">
        <w:trPr>
          <w:cnfStyle w:val="000000100000" w:firstRow="0" w:lastRow="0" w:firstColumn="0" w:lastColumn="0" w:oddVBand="0" w:evenVBand="0" w:oddHBand="1" w:evenHBand="0"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195B34A6"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tcMar>
              <w:left w:w="113" w:type="dxa"/>
            </w:tcMar>
            <w:hideMark/>
          </w:tcPr>
          <w:p w14:paraId="5AFF9513" w14:textId="77777777" w:rsidR="006E51BF" w:rsidRPr="006D77DA" w:rsidRDefault="006E51BF" w:rsidP="00F77100">
            <w:pPr>
              <w:pStyle w:val="ARfintabletextpt8"/>
              <w:spacing w:before="40" w:after="40"/>
            </w:pPr>
            <w:r w:rsidRPr="006D77DA">
              <w:t>Raylene Harradine</w:t>
            </w:r>
          </w:p>
        </w:tc>
        <w:tc>
          <w:tcPr>
            <w:tcW w:w="1734" w:type="pct"/>
            <w:tcBorders>
              <w:top w:val="single" w:sz="4" w:space="0" w:color="000000" w:themeColor="text1"/>
              <w:bottom w:val="single" w:sz="4" w:space="0" w:color="000000" w:themeColor="text1"/>
            </w:tcBorders>
            <w:tcMar>
              <w:left w:w="113" w:type="dxa"/>
            </w:tcMar>
            <w:hideMark/>
          </w:tcPr>
          <w:p w14:paraId="1A06F2C4" w14:textId="77777777" w:rsidR="006E51BF" w:rsidRPr="006D77DA" w:rsidRDefault="006E51BF" w:rsidP="00F77100">
            <w:pPr>
              <w:pStyle w:val="ARfintabletextpt8"/>
              <w:spacing w:before="40" w:after="40"/>
              <w:cnfStyle w:val="000000100000" w:firstRow="0" w:lastRow="0" w:firstColumn="0" w:lastColumn="0" w:oddVBand="0" w:evenVBand="0" w:oddHBand="1" w:evenHBand="0" w:firstRowFirstColumn="0" w:firstRowLastColumn="0" w:lastRowFirstColumn="0" w:lastRowLastColumn="0"/>
            </w:pPr>
            <w:r w:rsidRPr="006D77DA">
              <w:t xml:space="preserve">Deputy Secretary, Aboriginal </w:t>
            </w:r>
            <w:r>
              <w:br/>
            </w:r>
            <w:r w:rsidRPr="006D77DA">
              <w:t>Self-Determination and Outcomes</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179BFC28" w14:textId="77777777" w:rsidR="006E51BF" w:rsidRPr="006D77DA" w:rsidRDefault="006E51BF" w:rsidP="00F77100">
            <w:pPr>
              <w:pStyle w:val="ARfintabletextpt8"/>
              <w:spacing w:before="40" w:after="40"/>
            </w:pPr>
            <w:r w:rsidRPr="006D77DA">
              <w:t>1 July 2025 to 30 June 2026</w:t>
            </w:r>
          </w:p>
        </w:tc>
      </w:tr>
      <w:tr w:rsidR="006E51BF" w:rsidRPr="00971671" w14:paraId="367A1DEB" w14:textId="77777777">
        <w:trPr>
          <w:cnfStyle w:val="000000010000" w:firstRow="0" w:lastRow="0" w:firstColumn="0" w:lastColumn="0" w:oddVBand="0" w:evenVBand="0" w:oddHBand="0" w:evenHBand="1"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70BF8241"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tcMar>
              <w:left w:w="113" w:type="dxa"/>
            </w:tcMar>
            <w:hideMark/>
          </w:tcPr>
          <w:p w14:paraId="7DF4E993" w14:textId="77777777" w:rsidR="006E51BF" w:rsidRPr="006D77DA" w:rsidRDefault="006E51BF" w:rsidP="00F77100">
            <w:pPr>
              <w:pStyle w:val="ARfintabletextpt8"/>
              <w:spacing w:before="40" w:after="40"/>
            </w:pPr>
            <w:r w:rsidRPr="006D77DA">
              <w:t>Annette Lancy</w:t>
            </w:r>
          </w:p>
        </w:tc>
        <w:tc>
          <w:tcPr>
            <w:tcW w:w="1734" w:type="pct"/>
            <w:tcBorders>
              <w:top w:val="single" w:sz="4" w:space="0" w:color="000000" w:themeColor="text1"/>
              <w:bottom w:val="single" w:sz="4" w:space="0" w:color="000000" w:themeColor="text1"/>
            </w:tcBorders>
            <w:tcMar>
              <w:left w:w="113" w:type="dxa"/>
            </w:tcMar>
            <w:hideMark/>
          </w:tcPr>
          <w:p w14:paraId="37B1B73F" w14:textId="77777777" w:rsidR="006E51BF" w:rsidRPr="006D77DA" w:rsidRDefault="006E51BF" w:rsidP="00F77100">
            <w:pPr>
              <w:pStyle w:val="ARfintabletextpt8"/>
              <w:spacing w:before="40" w:after="40"/>
              <w:cnfStyle w:val="000000010000" w:firstRow="0" w:lastRow="0" w:firstColumn="0" w:lastColumn="0" w:oddVBand="0" w:evenVBand="0" w:oddHBand="0" w:evenHBand="1" w:firstRowFirstColumn="0" w:firstRowLastColumn="0" w:lastRowFirstColumn="0" w:lastRowLastColumn="0"/>
            </w:pPr>
            <w:r w:rsidRPr="006D77DA">
              <w:t>Deputy Secretary, Children and Families</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37CFB5B1" w14:textId="77777777" w:rsidR="006E51BF" w:rsidRPr="006D77DA" w:rsidRDefault="006E51BF" w:rsidP="00F77100">
            <w:pPr>
              <w:pStyle w:val="ARfintabletextpt8"/>
              <w:spacing w:before="40" w:after="40"/>
            </w:pPr>
            <w:r w:rsidRPr="006D77DA">
              <w:t>1 July 2025 to 30 June 2026</w:t>
            </w:r>
          </w:p>
        </w:tc>
      </w:tr>
      <w:tr w:rsidR="006E51BF" w:rsidRPr="00971671" w14:paraId="73E53E1E" w14:textId="77777777">
        <w:trPr>
          <w:cnfStyle w:val="000000100000" w:firstRow="0" w:lastRow="0" w:firstColumn="0" w:lastColumn="0" w:oddVBand="0" w:evenVBand="0" w:oddHBand="1" w:evenHBand="0"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05DA9951"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2E385CD8" w14:textId="77777777" w:rsidR="006E51BF" w:rsidRPr="006D77DA" w:rsidRDefault="006E51BF" w:rsidP="00F77100">
            <w:pPr>
              <w:pStyle w:val="ARfintabletextpt8"/>
              <w:spacing w:before="40" w:after="40"/>
            </w:pPr>
            <w:r w:rsidRPr="006D77DA">
              <w:t>David Atkinson</w:t>
            </w:r>
          </w:p>
        </w:tc>
        <w:tc>
          <w:tcPr>
            <w:tcW w:w="1734" w:type="pct"/>
            <w:tcBorders>
              <w:top w:val="single" w:sz="4" w:space="0" w:color="000000" w:themeColor="text1"/>
              <w:bottom w:val="single" w:sz="4" w:space="0" w:color="000000" w:themeColor="text1"/>
            </w:tcBorders>
            <w:tcMar>
              <w:left w:w="113" w:type="dxa"/>
            </w:tcMar>
            <w:hideMark/>
          </w:tcPr>
          <w:p w14:paraId="434E8896" w14:textId="77777777" w:rsidR="006E51BF" w:rsidRPr="006D77DA" w:rsidRDefault="006E51BF" w:rsidP="00F77100">
            <w:pPr>
              <w:pStyle w:val="ARfintabletextpt8"/>
              <w:spacing w:before="40" w:after="40"/>
              <w:cnfStyle w:val="000000100000" w:firstRow="0" w:lastRow="0" w:firstColumn="0" w:lastColumn="0" w:oddVBand="0" w:evenVBand="0" w:oddHBand="1" w:evenHBand="0" w:firstRowFirstColumn="0" w:firstRowLastColumn="0" w:lastRowFirstColumn="0" w:lastRowLastColumn="0"/>
            </w:pPr>
            <w:r w:rsidRPr="006D77DA">
              <w:t>Acting Deputy Secretary, Children and</w:t>
            </w:r>
            <w:r>
              <w:t> </w:t>
            </w:r>
            <w:r w:rsidRPr="006D77DA">
              <w:t>Families</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36DAAC39" w14:textId="77777777" w:rsidR="006E51BF" w:rsidRDefault="006E51BF" w:rsidP="00F77100">
            <w:pPr>
              <w:pStyle w:val="ARfintabletextpt8"/>
              <w:spacing w:before="40" w:after="40"/>
            </w:pPr>
            <w:r w:rsidRPr="006D77DA">
              <w:t>1 July 2025 to 18 July 2025</w:t>
            </w:r>
          </w:p>
          <w:p w14:paraId="7E0DD65A" w14:textId="77777777" w:rsidR="006E51BF" w:rsidRPr="006D77DA" w:rsidRDefault="006E51BF" w:rsidP="00F77100">
            <w:pPr>
              <w:pStyle w:val="ARfintabletextpt8"/>
              <w:spacing w:before="40" w:after="40"/>
            </w:pPr>
            <w:r w:rsidRPr="006D77DA">
              <w:t>30 March 2026 to 17 April 2026</w:t>
            </w:r>
          </w:p>
        </w:tc>
      </w:tr>
      <w:tr w:rsidR="006E51BF" w:rsidRPr="00971671" w14:paraId="27E39FEE" w14:textId="77777777">
        <w:trPr>
          <w:cnfStyle w:val="000000010000" w:firstRow="0" w:lastRow="0" w:firstColumn="0" w:lastColumn="0" w:oddVBand="0" w:evenVBand="0" w:oddHBand="0" w:evenHBand="1"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3C8CF5D1"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tcMar>
              <w:left w:w="113" w:type="dxa"/>
            </w:tcMar>
            <w:hideMark/>
          </w:tcPr>
          <w:p w14:paraId="06BF2294" w14:textId="77777777" w:rsidR="006E51BF" w:rsidRPr="006D77DA" w:rsidRDefault="006E51BF" w:rsidP="00F77100">
            <w:pPr>
              <w:pStyle w:val="ARfintabletextpt8"/>
              <w:spacing w:before="40" w:after="40"/>
            </w:pPr>
            <w:r w:rsidRPr="006D77DA">
              <w:t>Danny O'Kelly</w:t>
            </w:r>
          </w:p>
        </w:tc>
        <w:tc>
          <w:tcPr>
            <w:tcW w:w="1734" w:type="pct"/>
            <w:tcBorders>
              <w:top w:val="single" w:sz="4" w:space="0" w:color="000000" w:themeColor="text1"/>
              <w:bottom w:val="single" w:sz="4" w:space="0" w:color="000000" w:themeColor="text1"/>
            </w:tcBorders>
            <w:tcMar>
              <w:left w:w="113" w:type="dxa"/>
            </w:tcMar>
            <w:hideMark/>
          </w:tcPr>
          <w:p w14:paraId="6D9E3E76" w14:textId="77777777" w:rsidR="006E51BF" w:rsidRPr="006D77DA" w:rsidRDefault="006E51BF" w:rsidP="00F77100">
            <w:pPr>
              <w:pStyle w:val="ARfintabletextpt8"/>
              <w:spacing w:before="40" w:after="40"/>
              <w:cnfStyle w:val="000000010000" w:firstRow="0" w:lastRow="0" w:firstColumn="0" w:lastColumn="0" w:oddVBand="0" w:evenVBand="0" w:oddHBand="0" w:evenHBand="1" w:firstRowFirstColumn="0" w:firstRowLastColumn="0" w:lastRowFirstColumn="0" w:lastRowLastColumn="0"/>
            </w:pPr>
            <w:r w:rsidRPr="006D77DA">
              <w:t>Deputy Secretary, Community Operations and Practice Leadership</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6ACF25A2" w14:textId="77777777" w:rsidR="006E51BF" w:rsidRPr="006D77DA" w:rsidRDefault="006E51BF" w:rsidP="00F77100">
            <w:pPr>
              <w:pStyle w:val="ARfintabletextpt8"/>
              <w:spacing w:before="40" w:after="40"/>
            </w:pPr>
            <w:r w:rsidRPr="006D77DA">
              <w:t>1 July 2025 to 30 June 2026</w:t>
            </w:r>
          </w:p>
        </w:tc>
      </w:tr>
      <w:tr w:rsidR="006E51BF" w:rsidRPr="00971671" w14:paraId="23DC5176" w14:textId="77777777">
        <w:trPr>
          <w:cnfStyle w:val="000000100000" w:firstRow="0" w:lastRow="0" w:firstColumn="0" w:lastColumn="0" w:oddVBand="0" w:evenVBand="0" w:oddHBand="1" w:evenHBand="0"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627B2C79"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tcMar>
              <w:left w:w="113" w:type="dxa"/>
            </w:tcMar>
            <w:hideMark/>
          </w:tcPr>
          <w:p w14:paraId="2A6614F2" w14:textId="77777777" w:rsidR="006E51BF" w:rsidRPr="006D77DA" w:rsidRDefault="006E51BF" w:rsidP="00F77100">
            <w:pPr>
              <w:pStyle w:val="ARfintabletextpt8"/>
              <w:spacing w:before="40" w:after="40"/>
            </w:pPr>
            <w:r w:rsidRPr="006D77DA">
              <w:t>Kelly Stanton</w:t>
            </w:r>
          </w:p>
        </w:tc>
        <w:tc>
          <w:tcPr>
            <w:tcW w:w="1734" w:type="pct"/>
            <w:tcBorders>
              <w:top w:val="single" w:sz="4" w:space="0" w:color="000000" w:themeColor="text1"/>
              <w:bottom w:val="single" w:sz="4" w:space="0" w:color="000000" w:themeColor="text1"/>
            </w:tcBorders>
            <w:tcMar>
              <w:left w:w="113" w:type="dxa"/>
            </w:tcMar>
            <w:hideMark/>
          </w:tcPr>
          <w:p w14:paraId="293E4C7A" w14:textId="77777777" w:rsidR="006E51BF" w:rsidRPr="006D77DA" w:rsidRDefault="006E51BF" w:rsidP="00F77100">
            <w:pPr>
              <w:pStyle w:val="ARfintabletextpt8"/>
              <w:spacing w:before="40" w:after="40"/>
              <w:cnfStyle w:val="000000100000" w:firstRow="0" w:lastRow="0" w:firstColumn="0" w:lastColumn="0" w:oddVBand="0" w:evenVBand="0" w:oddHBand="1" w:evenHBand="0" w:firstRowFirstColumn="0" w:firstRowLastColumn="0" w:lastRowFirstColumn="0" w:lastRowLastColumn="0"/>
            </w:pPr>
            <w:r w:rsidRPr="006D77DA">
              <w:t>Acting Deputy Secretary, Community Operations and Practice</w:t>
            </w:r>
            <w:r>
              <w:t> </w:t>
            </w:r>
            <w:r w:rsidRPr="006D77DA">
              <w:t>Leadership</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56089F83" w14:textId="77777777" w:rsidR="006E51BF" w:rsidRPr="006D77DA" w:rsidRDefault="006E51BF" w:rsidP="00F77100">
            <w:pPr>
              <w:pStyle w:val="ARfintabletextpt8"/>
              <w:spacing w:before="40" w:after="40"/>
            </w:pPr>
            <w:r w:rsidRPr="006D77DA">
              <w:t>26 July 2025 to 17 August 2025</w:t>
            </w:r>
          </w:p>
        </w:tc>
      </w:tr>
      <w:tr w:rsidR="006E51BF" w:rsidRPr="00971671" w14:paraId="0054EB28" w14:textId="77777777">
        <w:trPr>
          <w:cnfStyle w:val="000000010000" w:firstRow="0" w:lastRow="0" w:firstColumn="0" w:lastColumn="0" w:oddVBand="0" w:evenVBand="0" w:oddHBand="0" w:evenHBand="1"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562DF2C8"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3BC7D778" w14:textId="77777777" w:rsidR="006E51BF" w:rsidRPr="006D77DA" w:rsidRDefault="006E51BF" w:rsidP="00F77100">
            <w:pPr>
              <w:pStyle w:val="ARfintabletextpt8"/>
              <w:spacing w:before="40" w:after="40"/>
            </w:pPr>
            <w:r w:rsidRPr="006D77DA">
              <w:t>Jenny Litsas</w:t>
            </w:r>
          </w:p>
        </w:tc>
        <w:tc>
          <w:tcPr>
            <w:tcW w:w="1734" w:type="pct"/>
            <w:tcBorders>
              <w:top w:val="single" w:sz="4" w:space="0" w:color="000000" w:themeColor="text1"/>
              <w:bottom w:val="single" w:sz="4" w:space="0" w:color="000000" w:themeColor="text1"/>
            </w:tcBorders>
            <w:tcMar>
              <w:left w:w="113" w:type="dxa"/>
            </w:tcMar>
            <w:hideMark/>
          </w:tcPr>
          <w:p w14:paraId="7CA1F73F" w14:textId="77777777" w:rsidR="006E51BF" w:rsidRPr="006D77DA" w:rsidRDefault="006E51BF" w:rsidP="00F77100">
            <w:pPr>
              <w:pStyle w:val="ARfintabletextpt8"/>
              <w:spacing w:before="40" w:after="40"/>
              <w:cnfStyle w:val="000000010000" w:firstRow="0" w:lastRow="0" w:firstColumn="0" w:lastColumn="0" w:oddVBand="0" w:evenVBand="0" w:oddHBand="0" w:evenHBand="1" w:firstRowFirstColumn="0" w:firstRowLastColumn="0" w:lastRowFirstColumn="0" w:lastRowLastColumn="0"/>
            </w:pPr>
            <w:r w:rsidRPr="006D77DA">
              <w:t>Acting Deputy Secretary, Community Operations and Practice</w:t>
            </w:r>
            <w:r>
              <w:t> </w:t>
            </w:r>
            <w:r w:rsidRPr="006D77DA">
              <w:t>Leadership</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6C97383A" w14:textId="77777777" w:rsidR="006E51BF" w:rsidRPr="006D77DA" w:rsidRDefault="006E51BF" w:rsidP="00F77100">
            <w:pPr>
              <w:pStyle w:val="ARfintabletextpt8"/>
              <w:spacing w:before="40" w:after="40"/>
            </w:pPr>
            <w:r w:rsidRPr="006D77DA">
              <w:t xml:space="preserve">17 January 2026 to </w:t>
            </w:r>
            <w:r>
              <w:br/>
            </w:r>
            <w:r w:rsidRPr="006D77DA">
              <w:t>1 February 2026</w:t>
            </w:r>
          </w:p>
        </w:tc>
      </w:tr>
      <w:tr w:rsidR="006E51BF" w:rsidRPr="00971671" w14:paraId="3D5704BE" w14:textId="77777777">
        <w:trPr>
          <w:cnfStyle w:val="000000100000" w:firstRow="0" w:lastRow="0" w:firstColumn="0" w:lastColumn="0" w:oddVBand="0" w:evenVBand="0" w:oddHBand="1" w:evenHBand="0"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54CE082A"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7F1C1AA8" w14:textId="77777777" w:rsidR="006E51BF" w:rsidRPr="006D77DA" w:rsidRDefault="006E51BF" w:rsidP="00F77100">
            <w:pPr>
              <w:pStyle w:val="ARfintabletextpt8"/>
              <w:spacing w:before="40" w:after="40"/>
            </w:pPr>
            <w:r w:rsidRPr="006D77DA">
              <w:t>Kirstie-Lee Lomas</w:t>
            </w:r>
          </w:p>
        </w:tc>
        <w:tc>
          <w:tcPr>
            <w:tcW w:w="1734" w:type="pct"/>
            <w:tcBorders>
              <w:top w:val="single" w:sz="4" w:space="0" w:color="000000" w:themeColor="text1"/>
              <w:bottom w:val="single" w:sz="4" w:space="0" w:color="000000" w:themeColor="text1"/>
            </w:tcBorders>
            <w:tcMar>
              <w:left w:w="113" w:type="dxa"/>
            </w:tcMar>
            <w:hideMark/>
          </w:tcPr>
          <w:p w14:paraId="7437A0BB" w14:textId="77777777" w:rsidR="006E51BF" w:rsidRPr="006D77DA" w:rsidRDefault="006E51BF" w:rsidP="00F77100">
            <w:pPr>
              <w:pStyle w:val="ARfintabletextpt8"/>
              <w:spacing w:before="40" w:after="40"/>
              <w:cnfStyle w:val="000000100000" w:firstRow="0" w:lastRow="0" w:firstColumn="0" w:lastColumn="0" w:oddVBand="0" w:evenVBand="0" w:oddHBand="1" w:evenHBand="0" w:firstRowFirstColumn="0" w:firstRowLastColumn="0" w:lastRowFirstColumn="0" w:lastRowLastColumn="0"/>
            </w:pPr>
            <w:r w:rsidRPr="006D77DA">
              <w:t>Chief Practitioner, Office of Professional</w:t>
            </w:r>
            <w:r>
              <w:t> </w:t>
            </w:r>
            <w:r w:rsidRPr="006D77DA">
              <w:t>Practice</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151E0FF6" w14:textId="77777777" w:rsidR="006E51BF" w:rsidRPr="006D77DA" w:rsidRDefault="006E51BF" w:rsidP="00F77100">
            <w:pPr>
              <w:pStyle w:val="ARfintabletextpt8"/>
              <w:spacing w:before="40" w:after="40"/>
            </w:pPr>
            <w:r w:rsidRPr="006D77DA">
              <w:t>1 July 2025 to 30 June 2026</w:t>
            </w:r>
          </w:p>
        </w:tc>
      </w:tr>
      <w:tr w:rsidR="006E51BF" w:rsidRPr="00971671" w14:paraId="675846EC" w14:textId="77777777">
        <w:trPr>
          <w:cnfStyle w:val="000000010000" w:firstRow="0" w:lastRow="0" w:firstColumn="0" w:lastColumn="0" w:oddVBand="0" w:evenVBand="0" w:oddHBand="0" w:evenHBand="1"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4E5DC597"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7E720027" w14:textId="77777777" w:rsidR="006E51BF" w:rsidRPr="006D77DA" w:rsidRDefault="006E51BF" w:rsidP="00F77100">
            <w:pPr>
              <w:pStyle w:val="ARfintabletextpt8"/>
              <w:spacing w:before="40" w:after="40"/>
            </w:pPr>
            <w:r w:rsidRPr="006D77DA">
              <w:t>Linda Gerdtz</w:t>
            </w:r>
          </w:p>
        </w:tc>
        <w:tc>
          <w:tcPr>
            <w:tcW w:w="1734" w:type="pct"/>
            <w:tcBorders>
              <w:top w:val="single" w:sz="4" w:space="0" w:color="000000" w:themeColor="text1"/>
              <w:bottom w:val="single" w:sz="4" w:space="0" w:color="000000" w:themeColor="text1"/>
            </w:tcBorders>
            <w:tcMar>
              <w:left w:w="113" w:type="dxa"/>
            </w:tcMar>
            <w:hideMark/>
          </w:tcPr>
          <w:p w14:paraId="767CD140" w14:textId="77777777" w:rsidR="006E51BF" w:rsidRPr="006D77DA" w:rsidRDefault="006E51BF" w:rsidP="00F77100">
            <w:pPr>
              <w:pStyle w:val="ARfintabletextpt8"/>
              <w:spacing w:before="40" w:after="40"/>
              <w:cnfStyle w:val="000000010000" w:firstRow="0" w:lastRow="0" w:firstColumn="0" w:lastColumn="0" w:oddVBand="0" w:evenVBand="0" w:oddHBand="0" w:evenHBand="1" w:firstRowFirstColumn="0" w:firstRowLastColumn="0" w:lastRowFirstColumn="0" w:lastRowLastColumn="0"/>
            </w:pPr>
            <w:r w:rsidRPr="006D77DA">
              <w:t>Acting Chief Practitioner, Office of</w:t>
            </w:r>
            <w:r>
              <w:t> </w:t>
            </w:r>
            <w:r w:rsidRPr="006D77DA">
              <w:t>Professional Practice</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2D747279" w14:textId="77777777" w:rsidR="006E51BF" w:rsidRPr="006D77DA" w:rsidRDefault="006E51BF" w:rsidP="00F77100">
            <w:pPr>
              <w:pStyle w:val="ARfintabletextpt8"/>
              <w:spacing w:before="40" w:after="40"/>
            </w:pPr>
            <w:r w:rsidRPr="006D77DA">
              <w:t xml:space="preserve">3 November 2025 to </w:t>
            </w:r>
            <w:r>
              <w:br/>
            </w:r>
            <w:r w:rsidRPr="006D77DA">
              <w:t>14 November 2025</w:t>
            </w:r>
          </w:p>
        </w:tc>
      </w:tr>
      <w:tr w:rsidR="006E51BF" w:rsidRPr="00971671" w14:paraId="6D085568" w14:textId="77777777">
        <w:trPr>
          <w:cnfStyle w:val="000000100000" w:firstRow="0" w:lastRow="0" w:firstColumn="0" w:lastColumn="0" w:oddVBand="0" w:evenVBand="0" w:oddHBand="1" w:evenHBand="0"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40A5CA10"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3345AB18" w14:textId="77777777" w:rsidR="006E51BF" w:rsidRPr="006D77DA" w:rsidRDefault="006E51BF" w:rsidP="00F77100">
            <w:pPr>
              <w:pStyle w:val="ARfintabletextpt8"/>
              <w:spacing w:before="40" w:after="40"/>
            </w:pPr>
            <w:r w:rsidRPr="006D77DA">
              <w:t>Nicola Quin</w:t>
            </w:r>
          </w:p>
        </w:tc>
        <w:tc>
          <w:tcPr>
            <w:tcW w:w="1734" w:type="pct"/>
            <w:tcBorders>
              <w:top w:val="single" w:sz="4" w:space="0" w:color="000000" w:themeColor="text1"/>
              <w:bottom w:val="single" w:sz="4" w:space="0" w:color="000000" w:themeColor="text1"/>
            </w:tcBorders>
            <w:tcMar>
              <w:left w:w="113" w:type="dxa"/>
            </w:tcMar>
            <w:hideMark/>
          </w:tcPr>
          <w:p w14:paraId="12C1850C" w14:textId="77777777" w:rsidR="006E51BF" w:rsidRPr="006D77DA" w:rsidRDefault="006E51BF" w:rsidP="00F77100">
            <w:pPr>
              <w:pStyle w:val="ARfintabletextpt8"/>
              <w:spacing w:before="40" w:after="40"/>
              <w:cnfStyle w:val="000000100000" w:firstRow="0" w:lastRow="0" w:firstColumn="0" w:lastColumn="0" w:oddVBand="0" w:evenVBand="0" w:oddHBand="1" w:evenHBand="0" w:firstRowFirstColumn="0" w:firstRowLastColumn="0" w:lastRowFirstColumn="0" w:lastRowLastColumn="0"/>
            </w:pPr>
            <w:r w:rsidRPr="006D77DA">
              <w:t xml:space="preserve">Deputy Secretary, Corporate </w:t>
            </w:r>
            <w:r>
              <w:br/>
            </w:r>
            <w:r w:rsidRPr="006D77DA">
              <w:t>and Delivery</w:t>
            </w:r>
            <w:r>
              <w:t> </w:t>
            </w:r>
            <w:r w:rsidRPr="006D77DA">
              <w:t>Services</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2519E238" w14:textId="77777777" w:rsidR="006E51BF" w:rsidRPr="006D77DA" w:rsidRDefault="006E51BF" w:rsidP="00F77100">
            <w:pPr>
              <w:pStyle w:val="ARfintabletextpt8"/>
              <w:spacing w:before="40" w:after="40"/>
            </w:pPr>
            <w:r w:rsidRPr="006D77DA">
              <w:t>1 July 2025 to 1 August 2025</w:t>
            </w:r>
          </w:p>
        </w:tc>
      </w:tr>
      <w:tr w:rsidR="006E51BF" w:rsidRPr="00971671" w14:paraId="48952B12" w14:textId="77777777">
        <w:trPr>
          <w:cnfStyle w:val="000000010000" w:firstRow="0" w:lastRow="0" w:firstColumn="0" w:lastColumn="0" w:oddVBand="0" w:evenVBand="0" w:oddHBand="0" w:evenHBand="1"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73C17987"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60602EE5" w14:textId="77777777" w:rsidR="006E51BF" w:rsidRPr="006D77DA" w:rsidRDefault="006E51BF" w:rsidP="00F77100">
            <w:pPr>
              <w:pStyle w:val="ARfintabletextpt8"/>
              <w:spacing w:before="40" w:after="40"/>
            </w:pPr>
            <w:r w:rsidRPr="006D77DA">
              <w:t>Drew Warne-Smith</w:t>
            </w:r>
          </w:p>
        </w:tc>
        <w:tc>
          <w:tcPr>
            <w:tcW w:w="1734" w:type="pct"/>
            <w:tcBorders>
              <w:top w:val="single" w:sz="4" w:space="0" w:color="000000" w:themeColor="text1"/>
              <w:bottom w:val="single" w:sz="4" w:space="0" w:color="000000" w:themeColor="text1"/>
            </w:tcBorders>
            <w:tcMar>
              <w:left w:w="113" w:type="dxa"/>
            </w:tcMar>
            <w:hideMark/>
          </w:tcPr>
          <w:p w14:paraId="64F3F4F6" w14:textId="77777777" w:rsidR="006E51BF" w:rsidRPr="006D77DA" w:rsidRDefault="006E51BF" w:rsidP="00F77100">
            <w:pPr>
              <w:pStyle w:val="ARfintabletextpt8"/>
              <w:spacing w:before="40" w:after="40"/>
              <w:cnfStyle w:val="000000010000" w:firstRow="0" w:lastRow="0" w:firstColumn="0" w:lastColumn="0" w:oddVBand="0" w:evenVBand="0" w:oddHBand="0" w:evenHBand="1" w:firstRowFirstColumn="0" w:firstRowLastColumn="0" w:lastRowFirstColumn="0" w:lastRowLastColumn="0"/>
            </w:pPr>
            <w:r w:rsidRPr="006D77DA">
              <w:t xml:space="preserve">Acting Deputy Secretary, Corporate </w:t>
            </w:r>
            <w:r>
              <w:br/>
            </w:r>
            <w:r w:rsidRPr="006D77DA">
              <w:t>and Delivery Services</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7E095F2D" w14:textId="77777777" w:rsidR="006E51BF" w:rsidRPr="006D77DA" w:rsidRDefault="006E51BF" w:rsidP="00F77100">
            <w:pPr>
              <w:pStyle w:val="ARfintabletextpt8"/>
              <w:spacing w:before="40" w:after="40"/>
            </w:pPr>
            <w:r w:rsidRPr="006D77DA">
              <w:t>4 August 2025 to 4 March 2026</w:t>
            </w:r>
          </w:p>
        </w:tc>
      </w:tr>
      <w:tr w:rsidR="006E51BF" w:rsidRPr="00971671" w14:paraId="35507FD9" w14:textId="77777777">
        <w:trPr>
          <w:cnfStyle w:val="000000100000" w:firstRow="0" w:lastRow="0" w:firstColumn="0" w:lastColumn="0" w:oddVBand="0" w:evenVBand="0" w:oddHBand="1" w:evenHBand="0"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1DA236C5"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731BE640" w14:textId="77777777" w:rsidR="006E51BF" w:rsidRPr="006D77DA" w:rsidRDefault="006E51BF" w:rsidP="00F77100">
            <w:pPr>
              <w:pStyle w:val="ARfintabletextpt8"/>
              <w:spacing w:before="40" w:after="40"/>
            </w:pPr>
            <w:r w:rsidRPr="006D77DA">
              <w:t>Elsie Loh</w:t>
            </w:r>
          </w:p>
        </w:tc>
        <w:tc>
          <w:tcPr>
            <w:tcW w:w="1734" w:type="pct"/>
            <w:tcBorders>
              <w:top w:val="single" w:sz="4" w:space="0" w:color="000000" w:themeColor="text1"/>
              <w:bottom w:val="single" w:sz="4" w:space="0" w:color="000000" w:themeColor="text1"/>
            </w:tcBorders>
            <w:tcMar>
              <w:left w:w="113" w:type="dxa"/>
            </w:tcMar>
            <w:hideMark/>
          </w:tcPr>
          <w:p w14:paraId="105D186B" w14:textId="77777777" w:rsidR="006E51BF" w:rsidRPr="006D77DA" w:rsidRDefault="006E51BF" w:rsidP="00F77100">
            <w:pPr>
              <w:pStyle w:val="ARfintabletextpt8"/>
              <w:spacing w:before="40" w:after="40"/>
              <w:cnfStyle w:val="000000100000" w:firstRow="0" w:lastRow="0" w:firstColumn="0" w:lastColumn="0" w:oddVBand="0" w:evenVBand="0" w:oddHBand="1" w:evenHBand="0" w:firstRowFirstColumn="0" w:firstRowLastColumn="0" w:lastRowFirstColumn="0" w:lastRowLastColumn="0"/>
            </w:pPr>
            <w:r w:rsidRPr="006D77DA">
              <w:t xml:space="preserve">Acting Deputy Secretary, Corporate </w:t>
            </w:r>
            <w:r>
              <w:br/>
            </w:r>
            <w:r w:rsidRPr="006D77DA">
              <w:t>and Delivery Services</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5E7E7B63" w14:textId="77777777" w:rsidR="006E51BF" w:rsidRPr="006D77DA" w:rsidRDefault="006E51BF" w:rsidP="00F77100">
            <w:pPr>
              <w:pStyle w:val="ARfintabletextpt8"/>
              <w:spacing w:before="40" w:after="40"/>
            </w:pPr>
            <w:r w:rsidRPr="006D77DA">
              <w:t>2 January 2026 to 9 January 2026</w:t>
            </w:r>
          </w:p>
        </w:tc>
      </w:tr>
      <w:tr w:rsidR="006E51BF" w:rsidRPr="00971671" w14:paraId="111D173E" w14:textId="77777777">
        <w:trPr>
          <w:cnfStyle w:val="000000010000" w:firstRow="0" w:lastRow="0" w:firstColumn="0" w:lastColumn="0" w:oddVBand="0" w:evenVBand="0" w:oddHBand="0" w:evenHBand="1"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6C457D79"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tcMar>
              <w:left w:w="113" w:type="dxa"/>
            </w:tcMar>
            <w:hideMark/>
          </w:tcPr>
          <w:p w14:paraId="40EB7C66" w14:textId="77777777" w:rsidR="006E51BF" w:rsidRPr="006D77DA" w:rsidRDefault="006E51BF" w:rsidP="00F77100">
            <w:pPr>
              <w:pStyle w:val="ARfintabletextpt8"/>
              <w:spacing w:before="40" w:after="40"/>
            </w:pPr>
            <w:r w:rsidRPr="006D77DA">
              <w:t>Drew Warne-Smith</w:t>
            </w:r>
          </w:p>
        </w:tc>
        <w:tc>
          <w:tcPr>
            <w:tcW w:w="1734" w:type="pct"/>
            <w:tcBorders>
              <w:top w:val="single" w:sz="4" w:space="0" w:color="000000" w:themeColor="text1"/>
              <w:bottom w:val="single" w:sz="4" w:space="0" w:color="000000" w:themeColor="text1"/>
            </w:tcBorders>
            <w:tcMar>
              <w:left w:w="113" w:type="dxa"/>
            </w:tcMar>
            <w:hideMark/>
          </w:tcPr>
          <w:p w14:paraId="25102F32" w14:textId="77777777" w:rsidR="006E51BF" w:rsidRPr="006D77DA" w:rsidRDefault="006E51BF" w:rsidP="00F77100">
            <w:pPr>
              <w:pStyle w:val="ARfintabletextpt8"/>
              <w:spacing w:before="40" w:after="40"/>
              <w:cnfStyle w:val="000000010000" w:firstRow="0" w:lastRow="0" w:firstColumn="0" w:lastColumn="0" w:oddVBand="0" w:evenVBand="0" w:oddHBand="0" w:evenHBand="1" w:firstRowFirstColumn="0" w:firstRowLastColumn="0" w:lastRowFirstColumn="0" w:lastRowLastColumn="0"/>
            </w:pPr>
            <w:r w:rsidRPr="006D77DA">
              <w:t>Deputy Secretary, Corporate and Delivery</w:t>
            </w:r>
            <w:r>
              <w:t> </w:t>
            </w:r>
            <w:r w:rsidRPr="006D77DA">
              <w:t>Services</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78EF5858" w14:textId="77777777" w:rsidR="006E51BF" w:rsidRPr="006D77DA" w:rsidRDefault="006E51BF" w:rsidP="00F77100">
            <w:pPr>
              <w:pStyle w:val="ARfintabletextpt8"/>
              <w:spacing w:before="40" w:after="40"/>
            </w:pPr>
            <w:r w:rsidRPr="006D77DA">
              <w:t>5 March 2026 to 30 June 2026</w:t>
            </w:r>
          </w:p>
        </w:tc>
      </w:tr>
      <w:tr w:rsidR="006E51BF" w:rsidRPr="00971671" w14:paraId="351C3C41" w14:textId="77777777">
        <w:trPr>
          <w:cnfStyle w:val="000000100000" w:firstRow="0" w:lastRow="0" w:firstColumn="0" w:lastColumn="0" w:oddVBand="0" w:evenVBand="0" w:oddHBand="1" w:evenHBand="0"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24114EF6"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tcMar>
              <w:left w:w="113" w:type="dxa"/>
            </w:tcMar>
            <w:hideMark/>
          </w:tcPr>
          <w:p w14:paraId="470EF800" w14:textId="77777777" w:rsidR="006E51BF" w:rsidRPr="006D77DA" w:rsidRDefault="006E51BF" w:rsidP="00F77100">
            <w:pPr>
              <w:pStyle w:val="ARfintabletextpt8"/>
              <w:spacing w:before="40" w:after="40"/>
            </w:pPr>
            <w:r w:rsidRPr="006D77DA">
              <w:t>Cynthia Lahiff</w:t>
            </w:r>
          </w:p>
        </w:tc>
        <w:tc>
          <w:tcPr>
            <w:tcW w:w="1734" w:type="pct"/>
            <w:tcBorders>
              <w:top w:val="single" w:sz="4" w:space="0" w:color="000000" w:themeColor="text1"/>
              <w:bottom w:val="single" w:sz="4" w:space="0" w:color="000000" w:themeColor="text1"/>
            </w:tcBorders>
            <w:tcMar>
              <w:left w:w="113" w:type="dxa"/>
            </w:tcMar>
            <w:hideMark/>
          </w:tcPr>
          <w:p w14:paraId="244D0087" w14:textId="77777777" w:rsidR="006E51BF" w:rsidRPr="006D77DA" w:rsidRDefault="006E51BF" w:rsidP="00F77100">
            <w:pPr>
              <w:pStyle w:val="ARfintabletextpt8"/>
              <w:spacing w:before="40" w:after="40"/>
              <w:cnfStyle w:val="000000100000" w:firstRow="0" w:lastRow="0" w:firstColumn="0" w:lastColumn="0" w:oddVBand="0" w:evenVBand="0" w:oddHBand="1" w:evenHBand="0" w:firstRowFirstColumn="0" w:firstRowLastColumn="0" w:lastRowFirstColumn="0" w:lastRowLastColumn="0"/>
            </w:pPr>
            <w:r w:rsidRPr="006D77DA">
              <w:t>Chief Finance Officer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3919FD6E" w14:textId="77777777" w:rsidR="006E51BF" w:rsidRPr="006D77DA" w:rsidRDefault="006E51BF" w:rsidP="00F77100">
            <w:pPr>
              <w:pStyle w:val="ARfintabletextpt8"/>
              <w:spacing w:before="40" w:after="40"/>
            </w:pPr>
            <w:r w:rsidRPr="006D77DA">
              <w:t>1 July 2025 to 30 June 2026</w:t>
            </w:r>
          </w:p>
        </w:tc>
      </w:tr>
      <w:tr w:rsidR="006E51BF" w:rsidRPr="00971671" w14:paraId="725B3503" w14:textId="77777777">
        <w:trPr>
          <w:cnfStyle w:val="000000010000" w:firstRow="0" w:lastRow="0" w:firstColumn="0" w:lastColumn="0" w:oddVBand="0" w:evenVBand="0" w:oddHBand="0" w:evenHBand="1"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1740548B"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tcMar>
              <w:left w:w="113" w:type="dxa"/>
            </w:tcMar>
            <w:hideMark/>
          </w:tcPr>
          <w:p w14:paraId="19F8248D" w14:textId="77777777" w:rsidR="006E51BF" w:rsidRPr="006D77DA" w:rsidRDefault="006E51BF" w:rsidP="00F77100">
            <w:pPr>
              <w:pStyle w:val="ARfintabletextpt8"/>
              <w:spacing w:before="40" w:after="40"/>
            </w:pPr>
            <w:r w:rsidRPr="006D77DA">
              <w:t>Shane Lay</w:t>
            </w:r>
          </w:p>
        </w:tc>
        <w:tc>
          <w:tcPr>
            <w:tcW w:w="1734" w:type="pct"/>
            <w:tcBorders>
              <w:top w:val="single" w:sz="4" w:space="0" w:color="000000" w:themeColor="text1"/>
              <w:bottom w:val="single" w:sz="4" w:space="0" w:color="000000" w:themeColor="text1"/>
            </w:tcBorders>
            <w:tcMar>
              <w:left w:w="113" w:type="dxa"/>
            </w:tcMar>
            <w:hideMark/>
          </w:tcPr>
          <w:p w14:paraId="5F9EF6B5" w14:textId="77777777" w:rsidR="006E51BF" w:rsidRPr="006D77DA" w:rsidRDefault="006E51BF" w:rsidP="00F77100">
            <w:pPr>
              <w:pStyle w:val="ARfintabletextpt8"/>
              <w:spacing w:before="40" w:after="40"/>
              <w:cnfStyle w:val="000000010000" w:firstRow="0" w:lastRow="0" w:firstColumn="0" w:lastColumn="0" w:oddVBand="0" w:evenVBand="0" w:oddHBand="0" w:evenHBand="1" w:firstRowFirstColumn="0" w:firstRowLastColumn="0" w:lastRowFirstColumn="0" w:lastRowLastColumn="0"/>
            </w:pPr>
            <w:r w:rsidRPr="006D77DA">
              <w:t>Acting Chief Finance Officer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706B7483" w14:textId="77777777" w:rsidR="006E51BF" w:rsidRDefault="006E51BF" w:rsidP="00F77100">
            <w:pPr>
              <w:pStyle w:val="ARfintabletextpt8"/>
              <w:spacing w:before="40" w:after="40"/>
            </w:pPr>
            <w:r w:rsidRPr="006D77DA">
              <w:t>8 September 2025 to 20</w:t>
            </w:r>
            <w:r>
              <w:t> </w:t>
            </w:r>
            <w:r w:rsidRPr="006D77DA">
              <w:t>October</w:t>
            </w:r>
            <w:r>
              <w:t> </w:t>
            </w:r>
            <w:r w:rsidRPr="006D77DA">
              <w:t>2025</w:t>
            </w:r>
          </w:p>
          <w:p w14:paraId="6561C1F8" w14:textId="77777777" w:rsidR="006E51BF" w:rsidRPr="006D77DA" w:rsidRDefault="006E51BF" w:rsidP="00F77100">
            <w:pPr>
              <w:pStyle w:val="ARfintabletextpt8"/>
              <w:spacing w:before="40" w:after="40"/>
            </w:pPr>
            <w:r w:rsidRPr="006D77DA">
              <w:t>14 April 2026 to 13 May 2026</w:t>
            </w:r>
          </w:p>
        </w:tc>
      </w:tr>
      <w:tr w:rsidR="006E51BF" w:rsidRPr="00971671" w14:paraId="0B01A19A" w14:textId="77777777">
        <w:trPr>
          <w:cnfStyle w:val="000000100000" w:firstRow="0" w:lastRow="0" w:firstColumn="0" w:lastColumn="0" w:oddVBand="0" w:evenVBand="0" w:oddHBand="1" w:evenHBand="0"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300D9FD7"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tcMar>
              <w:left w:w="113" w:type="dxa"/>
            </w:tcMar>
            <w:hideMark/>
          </w:tcPr>
          <w:p w14:paraId="15B9B660" w14:textId="77777777" w:rsidR="006E51BF" w:rsidRPr="006D77DA" w:rsidRDefault="006E51BF" w:rsidP="00F77100">
            <w:pPr>
              <w:pStyle w:val="ARfintabletextpt8"/>
              <w:spacing w:before="40" w:after="40"/>
            </w:pPr>
            <w:proofErr w:type="spellStart"/>
            <w:r w:rsidRPr="006D77DA">
              <w:t>Argiri</w:t>
            </w:r>
            <w:proofErr w:type="spellEnd"/>
            <w:r w:rsidRPr="006D77DA">
              <w:t xml:space="preserve"> </w:t>
            </w:r>
            <w:proofErr w:type="spellStart"/>
            <w:r w:rsidRPr="006D77DA">
              <w:t>Alisandratos</w:t>
            </w:r>
            <w:proofErr w:type="spellEnd"/>
          </w:p>
        </w:tc>
        <w:tc>
          <w:tcPr>
            <w:tcW w:w="1734" w:type="pct"/>
            <w:tcBorders>
              <w:top w:val="single" w:sz="4" w:space="0" w:color="000000" w:themeColor="text1"/>
              <w:bottom w:val="single" w:sz="4" w:space="0" w:color="000000" w:themeColor="text1"/>
            </w:tcBorders>
            <w:tcMar>
              <w:left w:w="113" w:type="dxa"/>
            </w:tcMar>
            <w:hideMark/>
          </w:tcPr>
          <w:p w14:paraId="10964E5B" w14:textId="77777777" w:rsidR="006E51BF" w:rsidRPr="006D77DA" w:rsidRDefault="006E51BF" w:rsidP="00F77100">
            <w:pPr>
              <w:pStyle w:val="ARfintabletextpt8"/>
              <w:spacing w:before="40" w:after="40"/>
              <w:cnfStyle w:val="000000100000" w:firstRow="0" w:lastRow="0" w:firstColumn="0" w:lastColumn="0" w:oddVBand="0" w:evenVBand="0" w:oddHBand="1" w:evenHBand="0" w:firstRowFirstColumn="0" w:firstRowLastColumn="0" w:lastRowFirstColumn="0" w:lastRowLastColumn="0"/>
            </w:pPr>
            <w:r w:rsidRPr="006D77DA">
              <w:t>Deputy Secretary, Disability,</w:t>
            </w:r>
            <w:r>
              <w:t> </w:t>
            </w:r>
            <w:r w:rsidRPr="006D77DA">
              <w:t xml:space="preserve">Fairness </w:t>
            </w:r>
            <w:r>
              <w:br/>
            </w:r>
            <w:r w:rsidRPr="006D77DA">
              <w:t>and Emergency</w:t>
            </w:r>
            <w:r>
              <w:t> </w:t>
            </w:r>
            <w:r w:rsidRPr="006D77DA">
              <w:t>Management</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7148A57D" w14:textId="77777777" w:rsidR="006E51BF" w:rsidRPr="006D77DA" w:rsidRDefault="006E51BF" w:rsidP="00F77100">
            <w:pPr>
              <w:pStyle w:val="ARfintabletextpt8"/>
              <w:spacing w:before="40" w:after="40"/>
            </w:pPr>
            <w:r w:rsidRPr="006D77DA">
              <w:t>1 July 2025 to 30 June 2026</w:t>
            </w:r>
          </w:p>
        </w:tc>
      </w:tr>
      <w:tr w:rsidR="006E51BF" w:rsidRPr="00971671" w14:paraId="37E31CE0" w14:textId="77777777">
        <w:trPr>
          <w:cnfStyle w:val="000000010000" w:firstRow="0" w:lastRow="0" w:firstColumn="0" w:lastColumn="0" w:oddVBand="0" w:evenVBand="0" w:oddHBand="0" w:evenHBand="1"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58A147B7"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tcMar>
              <w:left w:w="113" w:type="dxa"/>
            </w:tcMar>
            <w:hideMark/>
          </w:tcPr>
          <w:p w14:paraId="3E492F37" w14:textId="77777777" w:rsidR="006E51BF" w:rsidRPr="006D77DA" w:rsidRDefault="006E51BF" w:rsidP="00F77100">
            <w:pPr>
              <w:pStyle w:val="ARfintabletextpt8"/>
              <w:spacing w:before="40" w:after="40"/>
            </w:pPr>
            <w:r w:rsidRPr="006D77DA">
              <w:t>Rachael Green</w:t>
            </w:r>
          </w:p>
        </w:tc>
        <w:tc>
          <w:tcPr>
            <w:tcW w:w="1734" w:type="pct"/>
            <w:tcBorders>
              <w:top w:val="single" w:sz="4" w:space="0" w:color="000000" w:themeColor="text1"/>
              <w:bottom w:val="single" w:sz="4" w:space="0" w:color="000000" w:themeColor="text1"/>
            </w:tcBorders>
            <w:tcMar>
              <w:left w:w="113" w:type="dxa"/>
            </w:tcMar>
            <w:hideMark/>
          </w:tcPr>
          <w:p w14:paraId="18A534DD" w14:textId="77777777" w:rsidR="006E51BF" w:rsidRPr="006D77DA" w:rsidRDefault="006E51BF" w:rsidP="00F77100">
            <w:pPr>
              <w:pStyle w:val="ARfintabletextpt8"/>
              <w:spacing w:before="40" w:after="40"/>
              <w:cnfStyle w:val="000000010000" w:firstRow="0" w:lastRow="0" w:firstColumn="0" w:lastColumn="0" w:oddVBand="0" w:evenVBand="0" w:oddHBand="0" w:evenHBand="1" w:firstRowFirstColumn="0" w:firstRowLastColumn="0" w:lastRowFirstColumn="0" w:lastRowLastColumn="0"/>
            </w:pPr>
            <w:r w:rsidRPr="006D77DA">
              <w:t>Acting Deputy Secretary, Disability,</w:t>
            </w:r>
            <w:r>
              <w:t> </w:t>
            </w:r>
            <w:r w:rsidRPr="006D77DA">
              <w:t>Fairness and Emergency</w:t>
            </w:r>
            <w:r>
              <w:t> </w:t>
            </w:r>
            <w:r w:rsidRPr="006D77DA">
              <w:t>Management</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14E9BAA2" w14:textId="77777777" w:rsidR="006E51BF" w:rsidRDefault="006E51BF" w:rsidP="00F77100">
            <w:pPr>
              <w:pStyle w:val="ARfintabletextpt8"/>
              <w:spacing w:before="40" w:after="40"/>
            </w:pPr>
            <w:r w:rsidRPr="006D77DA">
              <w:t xml:space="preserve">11 August 2025 to </w:t>
            </w:r>
            <w:r>
              <w:br/>
            </w:r>
            <w:r w:rsidRPr="006D77DA">
              <w:t>26 September</w:t>
            </w:r>
            <w:r>
              <w:t> </w:t>
            </w:r>
            <w:r w:rsidRPr="006D77DA">
              <w:t>2025</w:t>
            </w:r>
          </w:p>
          <w:p w14:paraId="65A9A31B" w14:textId="77777777" w:rsidR="006E51BF" w:rsidRPr="006D77DA" w:rsidRDefault="006E51BF" w:rsidP="00F77100">
            <w:pPr>
              <w:pStyle w:val="ARfintabletextpt8"/>
              <w:spacing w:before="40" w:after="40"/>
            </w:pPr>
            <w:r w:rsidRPr="006D77DA">
              <w:t xml:space="preserve">4 November 2025 to </w:t>
            </w:r>
            <w:r>
              <w:br/>
            </w:r>
            <w:r w:rsidRPr="006D77DA">
              <w:t>31 December</w:t>
            </w:r>
            <w:r>
              <w:t> </w:t>
            </w:r>
            <w:r w:rsidRPr="006D77DA">
              <w:t>2025</w:t>
            </w:r>
          </w:p>
        </w:tc>
      </w:tr>
      <w:tr w:rsidR="006E51BF" w:rsidRPr="00971671" w14:paraId="5BAE2B67" w14:textId="77777777">
        <w:trPr>
          <w:cnfStyle w:val="000000100000" w:firstRow="0" w:lastRow="0" w:firstColumn="0" w:lastColumn="0" w:oddVBand="0" w:evenVBand="0" w:oddHBand="1" w:evenHBand="0"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1ED77D97"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4BF9D6E2" w14:textId="77777777" w:rsidR="006E51BF" w:rsidRPr="006D77DA" w:rsidRDefault="006E51BF" w:rsidP="00F77100">
            <w:pPr>
              <w:pStyle w:val="ARfintabletextpt8"/>
              <w:spacing w:before="40" w:after="40"/>
            </w:pPr>
            <w:r w:rsidRPr="006D77DA">
              <w:t>Andrea Spiteri</w:t>
            </w:r>
          </w:p>
        </w:tc>
        <w:tc>
          <w:tcPr>
            <w:tcW w:w="1734" w:type="pct"/>
            <w:tcBorders>
              <w:top w:val="single" w:sz="4" w:space="0" w:color="000000" w:themeColor="text1"/>
              <w:bottom w:val="single" w:sz="4" w:space="0" w:color="000000" w:themeColor="text1"/>
            </w:tcBorders>
            <w:tcMar>
              <w:left w:w="113" w:type="dxa"/>
            </w:tcMar>
            <w:hideMark/>
          </w:tcPr>
          <w:p w14:paraId="4AB56B73" w14:textId="77777777" w:rsidR="006E51BF" w:rsidRPr="006D77DA" w:rsidRDefault="006E51BF" w:rsidP="00F77100">
            <w:pPr>
              <w:pStyle w:val="ARfintabletextpt8"/>
              <w:spacing w:before="40" w:after="40"/>
              <w:cnfStyle w:val="000000100000" w:firstRow="0" w:lastRow="0" w:firstColumn="0" w:lastColumn="0" w:oddVBand="0" w:evenVBand="0" w:oddHBand="1" w:evenHBand="0" w:firstRowFirstColumn="0" w:firstRowLastColumn="0" w:lastRowFirstColumn="0" w:lastRowLastColumn="0"/>
            </w:pPr>
            <w:r w:rsidRPr="006D77DA">
              <w:t>Acting Deputy Secretary, Disability, Fairness and Emergency Management</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2CE80254" w14:textId="77777777" w:rsidR="006E51BF" w:rsidRPr="006D77DA" w:rsidRDefault="006E51BF" w:rsidP="00F77100">
            <w:pPr>
              <w:pStyle w:val="ARfintabletextpt8"/>
              <w:spacing w:before="40" w:after="40"/>
            </w:pPr>
            <w:r w:rsidRPr="006D77DA">
              <w:t xml:space="preserve">1 December 2025 to </w:t>
            </w:r>
            <w:r>
              <w:br/>
            </w:r>
            <w:r w:rsidRPr="006D77DA">
              <w:t>12 December</w:t>
            </w:r>
            <w:r>
              <w:t> </w:t>
            </w:r>
            <w:r w:rsidRPr="006D77DA">
              <w:t>2025</w:t>
            </w:r>
          </w:p>
        </w:tc>
      </w:tr>
      <w:tr w:rsidR="006E51BF" w:rsidRPr="00971671" w14:paraId="7F25A7F0" w14:textId="77777777">
        <w:trPr>
          <w:cnfStyle w:val="000000010000" w:firstRow="0" w:lastRow="0" w:firstColumn="0" w:lastColumn="0" w:oddVBand="0" w:evenVBand="0" w:oddHBand="0" w:evenHBand="1"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43C3F4EC"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4F97C7CB" w14:textId="77777777" w:rsidR="006E51BF" w:rsidRPr="006D77DA" w:rsidRDefault="006E51BF" w:rsidP="00F77100">
            <w:pPr>
              <w:pStyle w:val="ARfintabletextpt8"/>
              <w:spacing w:before="40" w:after="40"/>
            </w:pPr>
            <w:r w:rsidRPr="006D77DA">
              <w:t>Hayley Parkes</w:t>
            </w:r>
          </w:p>
        </w:tc>
        <w:tc>
          <w:tcPr>
            <w:tcW w:w="1734" w:type="pct"/>
            <w:tcBorders>
              <w:top w:val="single" w:sz="4" w:space="0" w:color="000000" w:themeColor="text1"/>
              <w:bottom w:val="single" w:sz="4" w:space="0" w:color="000000" w:themeColor="text1"/>
            </w:tcBorders>
            <w:tcMar>
              <w:left w:w="113" w:type="dxa"/>
            </w:tcMar>
            <w:hideMark/>
          </w:tcPr>
          <w:p w14:paraId="0CD88A38" w14:textId="77777777" w:rsidR="006E51BF" w:rsidRPr="006D77DA" w:rsidRDefault="006E51BF" w:rsidP="00F77100">
            <w:pPr>
              <w:pStyle w:val="ARfintabletextpt8"/>
              <w:spacing w:before="40" w:after="40"/>
              <w:cnfStyle w:val="000000010000" w:firstRow="0" w:lastRow="0" w:firstColumn="0" w:lastColumn="0" w:oddVBand="0" w:evenVBand="0" w:oddHBand="0" w:evenHBand="1" w:firstRowFirstColumn="0" w:firstRowLastColumn="0" w:lastRowFirstColumn="0" w:lastRowLastColumn="0"/>
            </w:pPr>
            <w:r w:rsidRPr="006D77DA">
              <w:t>Acting Deputy Secretary, Disability,</w:t>
            </w:r>
            <w:r>
              <w:t> </w:t>
            </w:r>
            <w:r w:rsidRPr="006D77DA">
              <w:t>Fairness and Emergency</w:t>
            </w:r>
            <w:r>
              <w:t> </w:t>
            </w:r>
            <w:r w:rsidRPr="006D77DA">
              <w:t>Management</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6A3B4728" w14:textId="77777777" w:rsidR="006E51BF" w:rsidRPr="006D77DA" w:rsidRDefault="006E51BF" w:rsidP="00F77100">
            <w:pPr>
              <w:pStyle w:val="ARfintabletextpt8"/>
              <w:spacing w:before="40" w:after="40"/>
            </w:pPr>
            <w:r w:rsidRPr="006D77DA">
              <w:t>29 June 2026 to 30 June 2026</w:t>
            </w:r>
          </w:p>
        </w:tc>
      </w:tr>
      <w:tr w:rsidR="006E51BF" w:rsidRPr="00971671" w14:paraId="246FF931" w14:textId="77777777">
        <w:trPr>
          <w:cnfStyle w:val="000000100000" w:firstRow="0" w:lastRow="0" w:firstColumn="0" w:lastColumn="0" w:oddVBand="0" w:evenVBand="0" w:oddHBand="1" w:evenHBand="0"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62A89D4B"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tcMar>
              <w:left w:w="113" w:type="dxa"/>
            </w:tcMar>
            <w:hideMark/>
          </w:tcPr>
          <w:p w14:paraId="79A730DE" w14:textId="77777777" w:rsidR="006E51BF" w:rsidRPr="006D77DA" w:rsidRDefault="006E51BF" w:rsidP="00F77100">
            <w:pPr>
              <w:pStyle w:val="ARfintabletextpt8"/>
              <w:spacing w:before="40" w:after="40"/>
            </w:pPr>
            <w:r w:rsidRPr="006D77DA">
              <w:t>Melanie Heenan</w:t>
            </w:r>
          </w:p>
        </w:tc>
        <w:tc>
          <w:tcPr>
            <w:tcW w:w="1734" w:type="pct"/>
            <w:tcBorders>
              <w:top w:val="single" w:sz="4" w:space="0" w:color="000000" w:themeColor="text1"/>
              <w:bottom w:val="single" w:sz="4" w:space="0" w:color="000000" w:themeColor="text1"/>
            </w:tcBorders>
            <w:tcMar>
              <w:left w:w="113" w:type="dxa"/>
            </w:tcMar>
            <w:hideMark/>
          </w:tcPr>
          <w:p w14:paraId="1E0AA0B3" w14:textId="77777777" w:rsidR="006E51BF" w:rsidRPr="006D77DA" w:rsidRDefault="006E51BF" w:rsidP="00F77100">
            <w:pPr>
              <w:pStyle w:val="ARfintabletextpt8"/>
              <w:spacing w:before="40" w:after="40"/>
              <w:cnfStyle w:val="000000100000" w:firstRow="0" w:lastRow="0" w:firstColumn="0" w:lastColumn="0" w:oddVBand="0" w:evenVBand="0" w:oddHBand="1" w:evenHBand="0" w:firstRowFirstColumn="0" w:firstRowLastColumn="0" w:lastRowFirstColumn="0" w:lastRowLastColumn="0"/>
            </w:pPr>
            <w:r w:rsidRPr="006D77DA">
              <w:t>Deputy Secretary, Family Safety</w:t>
            </w:r>
            <w:r>
              <w:t> </w:t>
            </w:r>
            <w:r w:rsidRPr="006D77DA">
              <w:t>Victoria</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18C3A3CF" w14:textId="77777777" w:rsidR="006E51BF" w:rsidRPr="006D77DA" w:rsidRDefault="006E51BF" w:rsidP="00F77100">
            <w:pPr>
              <w:pStyle w:val="ARfintabletextpt8"/>
              <w:spacing w:before="40" w:after="40"/>
            </w:pPr>
            <w:r w:rsidRPr="006D77DA">
              <w:t>1 July 2025 to 30 June 2026</w:t>
            </w:r>
          </w:p>
        </w:tc>
      </w:tr>
      <w:tr w:rsidR="006E51BF" w:rsidRPr="00971671" w14:paraId="0C53F528" w14:textId="77777777">
        <w:trPr>
          <w:cnfStyle w:val="000000010000" w:firstRow="0" w:lastRow="0" w:firstColumn="0" w:lastColumn="0" w:oddVBand="0" w:evenVBand="0" w:oddHBand="0" w:evenHBand="1"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76B7A118"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tcMar>
              <w:left w:w="113" w:type="dxa"/>
            </w:tcMar>
            <w:hideMark/>
          </w:tcPr>
          <w:p w14:paraId="7DABFCD1" w14:textId="77777777" w:rsidR="006E51BF" w:rsidRPr="006D77DA" w:rsidRDefault="006E51BF" w:rsidP="00F77100">
            <w:pPr>
              <w:pStyle w:val="ARfintabletextpt8"/>
              <w:spacing w:before="40" w:after="40"/>
            </w:pPr>
            <w:r w:rsidRPr="006D77DA">
              <w:t>Amber Griffiths</w:t>
            </w:r>
          </w:p>
        </w:tc>
        <w:tc>
          <w:tcPr>
            <w:tcW w:w="1734" w:type="pct"/>
            <w:tcBorders>
              <w:top w:val="single" w:sz="4" w:space="0" w:color="000000" w:themeColor="text1"/>
              <w:bottom w:val="single" w:sz="4" w:space="0" w:color="000000" w:themeColor="text1"/>
            </w:tcBorders>
            <w:tcMar>
              <w:left w:w="113" w:type="dxa"/>
            </w:tcMar>
            <w:hideMark/>
          </w:tcPr>
          <w:p w14:paraId="4A0EDBBB" w14:textId="77777777" w:rsidR="006E51BF" w:rsidRPr="006D77DA" w:rsidRDefault="006E51BF" w:rsidP="00F77100">
            <w:pPr>
              <w:pStyle w:val="ARfintabletextpt8"/>
              <w:spacing w:before="40" w:after="40"/>
              <w:cnfStyle w:val="000000010000" w:firstRow="0" w:lastRow="0" w:firstColumn="0" w:lastColumn="0" w:oddVBand="0" w:evenVBand="0" w:oddHBand="0" w:evenHBand="1" w:firstRowFirstColumn="0" w:firstRowLastColumn="0" w:lastRowFirstColumn="0" w:lastRowLastColumn="0"/>
            </w:pPr>
            <w:r w:rsidRPr="006D77DA">
              <w:t>Acting Deputy Secretary, Family Safety Victoria</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37106DE0" w14:textId="77777777" w:rsidR="006E51BF" w:rsidRPr="006D77DA" w:rsidRDefault="006E51BF" w:rsidP="00F77100">
            <w:pPr>
              <w:pStyle w:val="ARfintabletextpt8"/>
              <w:spacing w:before="40" w:after="40"/>
            </w:pPr>
            <w:r w:rsidRPr="006D77DA">
              <w:t xml:space="preserve">26 February 2026 to </w:t>
            </w:r>
            <w:r>
              <w:br/>
            </w:r>
            <w:r w:rsidRPr="006D77DA">
              <w:t>15 March</w:t>
            </w:r>
            <w:r>
              <w:t> </w:t>
            </w:r>
            <w:r w:rsidRPr="006D77DA">
              <w:t>2026</w:t>
            </w:r>
          </w:p>
        </w:tc>
      </w:tr>
      <w:tr w:rsidR="006E51BF" w:rsidRPr="00971671" w14:paraId="7653B7BA" w14:textId="77777777">
        <w:trPr>
          <w:cnfStyle w:val="000000100000" w:firstRow="0" w:lastRow="0" w:firstColumn="0" w:lastColumn="0" w:oddVBand="0" w:evenVBand="0" w:oddHBand="1" w:evenHBand="0"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0BF0BDA6"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tcMar>
              <w:left w:w="113" w:type="dxa"/>
            </w:tcMar>
            <w:hideMark/>
          </w:tcPr>
          <w:p w14:paraId="2DA85309" w14:textId="77777777" w:rsidR="006E51BF" w:rsidRPr="006D77DA" w:rsidRDefault="006E51BF" w:rsidP="00F77100">
            <w:pPr>
              <w:pStyle w:val="ARfintabletextpt8"/>
              <w:spacing w:before="40" w:after="40"/>
            </w:pPr>
            <w:r w:rsidRPr="006D77DA">
              <w:t>Drew Warne-Smith</w:t>
            </w:r>
          </w:p>
        </w:tc>
        <w:tc>
          <w:tcPr>
            <w:tcW w:w="1734" w:type="pct"/>
            <w:tcBorders>
              <w:top w:val="single" w:sz="4" w:space="0" w:color="000000" w:themeColor="text1"/>
              <w:bottom w:val="single" w:sz="4" w:space="0" w:color="000000" w:themeColor="text1"/>
            </w:tcBorders>
            <w:tcMar>
              <w:left w:w="113" w:type="dxa"/>
            </w:tcMar>
            <w:hideMark/>
          </w:tcPr>
          <w:p w14:paraId="2D864FEB" w14:textId="77777777" w:rsidR="006E51BF" w:rsidRPr="006D77DA" w:rsidRDefault="006E51BF" w:rsidP="00F77100">
            <w:pPr>
              <w:pStyle w:val="ARfintabletextpt8"/>
              <w:spacing w:before="40" w:after="40"/>
              <w:cnfStyle w:val="000000100000" w:firstRow="0" w:lastRow="0" w:firstColumn="0" w:lastColumn="0" w:oddVBand="0" w:evenVBand="0" w:oddHBand="1" w:evenHBand="0" w:firstRowFirstColumn="0" w:firstRowLastColumn="0" w:lastRowFirstColumn="0" w:lastRowLastColumn="0"/>
            </w:pPr>
            <w:r w:rsidRPr="006D77DA">
              <w:t>Deputy Secretary, System Reform, Workforce and Engagement</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14B4C76F" w14:textId="77777777" w:rsidR="006E51BF" w:rsidRPr="006D77DA" w:rsidRDefault="006E51BF" w:rsidP="00F77100">
            <w:pPr>
              <w:pStyle w:val="ARfintabletextpt8"/>
              <w:spacing w:before="40" w:after="40"/>
            </w:pPr>
            <w:r w:rsidRPr="006D77DA">
              <w:t>1 July 2025 to 4 March 2026</w:t>
            </w:r>
          </w:p>
        </w:tc>
      </w:tr>
      <w:tr w:rsidR="006E51BF" w:rsidRPr="00971671" w14:paraId="35705829" w14:textId="77777777">
        <w:trPr>
          <w:cnfStyle w:val="000000010000" w:firstRow="0" w:lastRow="0" w:firstColumn="0" w:lastColumn="0" w:oddVBand="0" w:evenVBand="0" w:oddHBand="0" w:evenHBand="1"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04BC4293"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4552B960" w14:textId="77777777" w:rsidR="006E51BF" w:rsidRPr="006D77DA" w:rsidRDefault="006E51BF" w:rsidP="00F77100">
            <w:pPr>
              <w:pStyle w:val="ARfintabletextpt8"/>
              <w:spacing w:before="40" w:after="40"/>
            </w:pPr>
            <w:r w:rsidRPr="006D77DA">
              <w:t>Ben Richardson</w:t>
            </w:r>
          </w:p>
        </w:tc>
        <w:tc>
          <w:tcPr>
            <w:tcW w:w="1734" w:type="pct"/>
            <w:tcBorders>
              <w:top w:val="single" w:sz="4" w:space="0" w:color="000000" w:themeColor="text1"/>
              <w:bottom w:val="single" w:sz="4" w:space="0" w:color="000000" w:themeColor="text1"/>
            </w:tcBorders>
            <w:tcMar>
              <w:left w:w="113" w:type="dxa"/>
            </w:tcMar>
            <w:hideMark/>
          </w:tcPr>
          <w:p w14:paraId="119E65A7" w14:textId="77777777" w:rsidR="006E51BF" w:rsidRPr="006D77DA" w:rsidRDefault="006E51BF" w:rsidP="00F77100">
            <w:pPr>
              <w:pStyle w:val="ARfintabletextpt8"/>
              <w:spacing w:before="40" w:after="40"/>
              <w:cnfStyle w:val="000000010000" w:firstRow="0" w:lastRow="0" w:firstColumn="0" w:lastColumn="0" w:oddVBand="0" w:evenVBand="0" w:oddHBand="0" w:evenHBand="1" w:firstRowFirstColumn="0" w:firstRowLastColumn="0" w:lastRowFirstColumn="0" w:lastRowLastColumn="0"/>
            </w:pPr>
            <w:r w:rsidRPr="006D77DA">
              <w:t>Acting Deputy Secretary, System Reform, Workforce and Engagement</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04AE7FFA" w14:textId="77777777" w:rsidR="006E51BF" w:rsidRPr="006D77DA" w:rsidRDefault="006E51BF" w:rsidP="00F77100">
            <w:pPr>
              <w:pStyle w:val="ARfintabletextpt8"/>
              <w:spacing w:before="40" w:after="40"/>
            </w:pPr>
            <w:r w:rsidRPr="006D77DA">
              <w:t>14 July 2025 to 27 July 2025</w:t>
            </w:r>
            <w:r w:rsidRPr="006D77DA">
              <w:br/>
              <w:t>4 August 2025 to 29 May 2026</w:t>
            </w:r>
          </w:p>
        </w:tc>
      </w:tr>
      <w:tr w:rsidR="006E51BF" w:rsidRPr="00971671" w14:paraId="26AB39CD" w14:textId="77777777">
        <w:trPr>
          <w:cnfStyle w:val="000000100000" w:firstRow="0" w:lastRow="0" w:firstColumn="0" w:lastColumn="0" w:oddVBand="0" w:evenVBand="0" w:oddHBand="1" w:evenHBand="0"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31F2FB88"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51A853B1" w14:textId="77777777" w:rsidR="006E51BF" w:rsidRPr="006D77DA" w:rsidRDefault="006E51BF" w:rsidP="00F77100">
            <w:pPr>
              <w:pStyle w:val="ARfintabletextpt8"/>
              <w:spacing w:before="40" w:after="40"/>
            </w:pPr>
            <w:r w:rsidRPr="006D77DA">
              <w:t>Rachael Green</w:t>
            </w:r>
          </w:p>
        </w:tc>
        <w:tc>
          <w:tcPr>
            <w:tcW w:w="1734" w:type="pct"/>
            <w:tcBorders>
              <w:top w:val="single" w:sz="4" w:space="0" w:color="000000" w:themeColor="text1"/>
              <w:bottom w:val="single" w:sz="4" w:space="0" w:color="000000" w:themeColor="text1"/>
            </w:tcBorders>
            <w:tcMar>
              <w:left w:w="113" w:type="dxa"/>
            </w:tcMar>
            <w:hideMark/>
          </w:tcPr>
          <w:p w14:paraId="419F8B7C" w14:textId="77777777" w:rsidR="006E51BF" w:rsidRPr="006D77DA" w:rsidRDefault="006E51BF" w:rsidP="00F77100">
            <w:pPr>
              <w:pStyle w:val="ARfintabletextpt8"/>
              <w:spacing w:before="40" w:after="40"/>
              <w:cnfStyle w:val="000000100000" w:firstRow="0" w:lastRow="0" w:firstColumn="0" w:lastColumn="0" w:oddVBand="0" w:evenVBand="0" w:oddHBand="1" w:evenHBand="0" w:firstRowFirstColumn="0" w:firstRowLastColumn="0" w:lastRowFirstColumn="0" w:lastRowLastColumn="0"/>
            </w:pPr>
            <w:r w:rsidRPr="006D77DA">
              <w:t>Acting Deputy Secretary, System Reform, Workforce and Engagement</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20B6FA40" w14:textId="77777777" w:rsidR="006E51BF" w:rsidRPr="006D77DA" w:rsidRDefault="006E51BF" w:rsidP="00F77100">
            <w:pPr>
              <w:pStyle w:val="ARfintabletextpt8"/>
              <w:spacing w:before="40" w:after="40"/>
            </w:pPr>
            <w:r w:rsidRPr="006D77DA">
              <w:t>23 March 2026 to 10 April 2026</w:t>
            </w:r>
          </w:p>
        </w:tc>
      </w:tr>
      <w:tr w:rsidR="006E51BF" w:rsidRPr="00971671" w14:paraId="4E478CE6" w14:textId="77777777">
        <w:trPr>
          <w:cnfStyle w:val="000000010000" w:firstRow="0" w:lastRow="0" w:firstColumn="0" w:lastColumn="0" w:oddVBand="0" w:evenVBand="0" w:oddHBand="0" w:evenHBand="1"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11D52B11"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39E1EA7E" w14:textId="77777777" w:rsidR="006E51BF" w:rsidRPr="006D77DA" w:rsidRDefault="006E51BF" w:rsidP="00F77100">
            <w:pPr>
              <w:pStyle w:val="ARfintabletextpt8"/>
              <w:spacing w:before="40" w:after="40"/>
            </w:pPr>
            <w:r w:rsidRPr="006D77DA">
              <w:t xml:space="preserve">Tess </w:t>
            </w:r>
            <w:proofErr w:type="spellStart"/>
            <w:r w:rsidRPr="006D77DA">
              <w:t>Mullenger</w:t>
            </w:r>
            <w:proofErr w:type="spellEnd"/>
          </w:p>
        </w:tc>
        <w:tc>
          <w:tcPr>
            <w:tcW w:w="1734" w:type="pct"/>
            <w:tcBorders>
              <w:top w:val="single" w:sz="4" w:space="0" w:color="000000" w:themeColor="text1"/>
              <w:bottom w:val="single" w:sz="4" w:space="0" w:color="000000" w:themeColor="text1"/>
            </w:tcBorders>
            <w:tcMar>
              <w:left w:w="113" w:type="dxa"/>
            </w:tcMar>
            <w:hideMark/>
          </w:tcPr>
          <w:p w14:paraId="2AEDA9E8" w14:textId="77777777" w:rsidR="006E51BF" w:rsidRPr="006D77DA" w:rsidRDefault="006E51BF" w:rsidP="00F77100">
            <w:pPr>
              <w:pStyle w:val="ARfintabletextpt8"/>
              <w:spacing w:before="40" w:after="40"/>
              <w:cnfStyle w:val="000000010000" w:firstRow="0" w:lastRow="0" w:firstColumn="0" w:lastColumn="0" w:oddVBand="0" w:evenVBand="0" w:oddHBand="0" w:evenHBand="1" w:firstRowFirstColumn="0" w:firstRowLastColumn="0" w:lastRowFirstColumn="0" w:lastRowLastColumn="0"/>
            </w:pPr>
            <w:r w:rsidRPr="006D77DA">
              <w:t>Acting Deputy Secretary, System</w:t>
            </w:r>
            <w:r>
              <w:t> </w:t>
            </w:r>
            <w:r w:rsidRPr="006D77DA">
              <w:t>Reform, Workforce and</w:t>
            </w:r>
            <w:r>
              <w:t> </w:t>
            </w:r>
            <w:r w:rsidRPr="006D77DA">
              <w:t>Engagement</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7A9C03B7" w14:textId="77777777" w:rsidR="006E51BF" w:rsidRPr="006D77DA" w:rsidRDefault="006E51BF" w:rsidP="00F77100">
            <w:pPr>
              <w:pStyle w:val="ARfintabletextpt8"/>
              <w:spacing w:before="40" w:after="40"/>
            </w:pPr>
            <w:r w:rsidRPr="006D77DA">
              <w:t>13 April 2026 to 18 June 2026</w:t>
            </w:r>
          </w:p>
        </w:tc>
      </w:tr>
      <w:tr w:rsidR="006E51BF" w:rsidRPr="00971671" w14:paraId="209B3640" w14:textId="77777777">
        <w:trPr>
          <w:cnfStyle w:val="000000100000" w:firstRow="0" w:lastRow="0" w:firstColumn="0" w:lastColumn="0" w:oddVBand="0" w:evenVBand="0" w:oddHBand="1" w:evenHBand="0"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29F5327E"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3E9EC492" w14:textId="77777777" w:rsidR="006E51BF" w:rsidRPr="006D77DA" w:rsidRDefault="006E51BF" w:rsidP="00F77100">
            <w:pPr>
              <w:pStyle w:val="ARfintabletextpt8"/>
              <w:spacing w:before="40" w:after="40"/>
            </w:pPr>
            <w:r w:rsidRPr="006D77DA">
              <w:t>Ruth Ward</w:t>
            </w:r>
          </w:p>
        </w:tc>
        <w:tc>
          <w:tcPr>
            <w:tcW w:w="1734" w:type="pct"/>
            <w:tcBorders>
              <w:top w:val="single" w:sz="4" w:space="0" w:color="000000" w:themeColor="text1"/>
              <w:bottom w:val="single" w:sz="4" w:space="0" w:color="000000" w:themeColor="text1"/>
            </w:tcBorders>
            <w:tcMar>
              <w:left w:w="113" w:type="dxa"/>
            </w:tcMar>
            <w:hideMark/>
          </w:tcPr>
          <w:p w14:paraId="6BE7E2BD" w14:textId="77777777" w:rsidR="006E51BF" w:rsidRPr="006D77DA" w:rsidRDefault="006E51BF" w:rsidP="00F77100">
            <w:pPr>
              <w:pStyle w:val="ARfintabletextpt8"/>
              <w:spacing w:before="40" w:after="40"/>
              <w:cnfStyle w:val="000000100000" w:firstRow="0" w:lastRow="0" w:firstColumn="0" w:lastColumn="0" w:oddVBand="0" w:evenVBand="0" w:oddHBand="1" w:evenHBand="0" w:firstRowFirstColumn="0" w:firstRowLastColumn="0" w:lastRowFirstColumn="0" w:lastRowLastColumn="0"/>
            </w:pPr>
            <w:r w:rsidRPr="006D77DA">
              <w:t>Chief of Public Engagement, System Reform, Workforce and</w:t>
            </w:r>
            <w:r>
              <w:t> </w:t>
            </w:r>
            <w:r w:rsidRPr="006D77DA">
              <w:t>Engagement</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39F2545D" w14:textId="77777777" w:rsidR="006E51BF" w:rsidRPr="006D77DA" w:rsidRDefault="006E51BF" w:rsidP="00F77100">
            <w:pPr>
              <w:pStyle w:val="ARfintabletextpt8"/>
              <w:spacing w:before="40" w:after="40"/>
            </w:pPr>
            <w:r w:rsidRPr="006D77DA">
              <w:t>1 July 2025 to 30 June 2026</w:t>
            </w:r>
          </w:p>
        </w:tc>
      </w:tr>
      <w:tr w:rsidR="006E51BF" w:rsidRPr="00971671" w14:paraId="6F2802E4" w14:textId="77777777" w:rsidTr="00F77100">
        <w:trPr>
          <w:cnfStyle w:val="000000010000" w:firstRow="0" w:lastRow="0" w:firstColumn="0" w:lastColumn="0" w:oddVBand="0" w:evenVBand="0" w:oddHBand="0" w:evenHBand="1"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7D7CED25"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3CA2919D" w14:textId="77777777" w:rsidR="006E51BF" w:rsidRPr="006D77DA" w:rsidRDefault="006E51BF" w:rsidP="00F77100">
            <w:pPr>
              <w:pStyle w:val="ARfintabletextpt8"/>
              <w:spacing w:before="40" w:after="40"/>
            </w:pPr>
            <w:r w:rsidRPr="006D77DA">
              <w:t>Lachlan Quick</w:t>
            </w:r>
          </w:p>
        </w:tc>
        <w:tc>
          <w:tcPr>
            <w:tcW w:w="1734" w:type="pct"/>
            <w:tcBorders>
              <w:top w:val="single" w:sz="4" w:space="0" w:color="000000" w:themeColor="text1"/>
              <w:bottom w:val="single" w:sz="4" w:space="0" w:color="000000" w:themeColor="text1"/>
            </w:tcBorders>
            <w:tcMar>
              <w:left w:w="113" w:type="dxa"/>
            </w:tcMar>
            <w:hideMark/>
          </w:tcPr>
          <w:p w14:paraId="43B90089" w14:textId="77777777" w:rsidR="006E51BF" w:rsidRPr="006D77DA" w:rsidRDefault="006E51BF" w:rsidP="00F77100">
            <w:pPr>
              <w:pStyle w:val="ARfintabletextpt8"/>
              <w:spacing w:before="40" w:after="40"/>
              <w:cnfStyle w:val="000000010000" w:firstRow="0" w:lastRow="0" w:firstColumn="0" w:lastColumn="0" w:oddVBand="0" w:evenVBand="0" w:oddHBand="0" w:evenHBand="1" w:firstRowFirstColumn="0" w:firstRowLastColumn="0" w:lastRowFirstColumn="0" w:lastRowLastColumn="0"/>
            </w:pPr>
            <w:r w:rsidRPr="006D77DA">
              <w:t>Acting Chief of Public Engagement, System Reform, Workforce and Engagement</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2B567312" w14:textId="77777777" w:rsidR="006E51BF" w:rsidRDefault="006E51BF" w:rsidP="00F77100">
            <w:pPr>
              <w:pStyle w:val="ARfintabletextpt8"/>
              <w:spacing w:before="40" w:after="40"/>
            </w:pPr>
            <w:r w:rsidRPr="006D77DA">
              <w:t xml:space="preserve">3 November 2025 to </w:t>
            </w:r>
            <w:r>
              <w:br/>
            </w:r>
            <w:r w:rsidRPr="006D77DA">
              <w:t>11 November</w:t>
            </w:r>
            <w:r>
              <w:t> </w:t>
            </w:r>
            <w:r w:rsidRPr="006D77DA">
              <w:t>2025</w:t>
            </w:r>
          </w:p>
          <w:p w14:paraId="2E893136" w14:textId="77777777" w:rsidR="006E51BF" w:rsidRDefault="006E51BF" w:rsidP="00F77100">
            <w:pPr>
              <w:pStyle w:val="ARfintabletextpt8"/>
              <w:spacing w:before="40" w:after="40"/>
            </w:pPr>
            <w:r w:rsidRPr="006D77DA">
              <w:t>16 February 2026 to 3 March 2026</w:t>
            </w:r>
          </w:p>
          <w:p w14:paraId="6031BCE2" w14:textId="77777777" w:rsidR="006E51BF" w:rsidRPr="006D77DA" w:rsidRDefault="006E51BF" w:rsidP="00F77100">
            <w:pPr>
              <w:pStyle w:val="ARfintabletextpt8"/>
              <w:spacing w:before="40" w:after="40"/>
            </w:pPr>
            <w:r w:rsidRPr="006D77DA">
              <w:t>14 May 2026 to 21 May 2026</w:t>
            </w:r>
          </w:p>
        </w:tc>
      </w:tr>
      <w:tr w:rsidR="006E51BF" w:rsidRPr="00971671" w14:paraId="6A4E08D2" w14:textId="77777777">
        <w:trPr>
          <w:cnfStyle w:val="000000100000" w:firstRow="0" w:lastRow="0" w:firstColumn="0" w:lastColumn="0" w:oddVBand="0" w:evenVBand="0" w:oddHBand="1" w:evenHBand="0"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6D03C808"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451DC7A1" w14:textId="77777777" w:rsidR="006E51BF" w:rsidRPr="006D77DA" w:rsidRDefault="006E51BF" w:rsidP="00F77100">
            <w:pPr>
              <w:pStyle w:val="ARfintabletextpt8"/>
              <w:spacing w:before="40" w:after="40"/>
            </w:pPr>
            <w:r w:rsidRPr="006D77DA">
              <w:t>Laura Miller</w:t>
            </w:r>
          </w:p>
        </w:tc>
        <w:tc>
          <w:tcPr>
            <w:tcW w:w="1734" w:type="pct"/>
            <w:tcBorders>
              <w:top w:val="single" w:sz="4" w:space="0" w:color="000000" w:themeColor="text1"/>
              <w:bottom w:val="single" w:sz="4" w:space="0" w:color="000000" w:themeColor="text1"/>
            </w:tcBorders>
            <w:tcMar>
              <w:left w:w="113" w:type="dxa"/>
            </w:tcMar>
            <w:hideMark/>
          </w:tcPr>
          <w:p w14:paraId="2280348C" w14:textId="77777777" w:rsidR="006E51BF" w:rsidRPr="006D77DA" w:rsidRDefault="006E51BF" w:rsidP="00F77100">
            <w:pPr>
              <w:pStyle w:val="ARfintabletextpt8"/>
              <w:spacing w:before="40" w:after="40"/>
              <w:cnfStyle w:val="000000100000" w:firstRow="0" w:lastRow="0" w:firstColumn="0" w:lastColumn="0" w:oddVBand="0" w:evenVBand="0" w:oddHBand="1" w:evenHBand="0" w:firstRowFirstColumn="0" w:firstRowLastColumn="0" w:lastRowFirstColumn="0" w:lastRowLastColumn="0"/>
            </w:pPr>
            <w:r w:rsidRPr="006D77DA">
              <w:t>Acting Chief of Public Engagement, System Reform, Workforce and Engagement</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2B6C9628" w14:textId="430C6DDB" w:rsidR="006E51BF" w:rsidRDefault="006E51BF" w:rsidP="00F77100">
            <w:pPr>
              <w:pStyle w:val="ARfintabletextpt8"/>
              <w:spacing w:before="40" w:after="40"/>
            </w:pPr>
            <w:r w:rsidRPr="006D77DA">
              <w:t xml:space="preserve">3 November 2025 to </w:t>
            </w:r>
            <w:r w:rsidR="00171537">
              <w:br/>
            </w:r>
            <w:r w:rsidRPr="006D77DA">
              <w:t>11 November 2025</w:t>
            </w:r>
            <w:r w:rsidRPr="006D77DA">
              <w:br w:type="page"/>
            </w:r>
          </w:p>
          <w:p w14:paraId="7FC95851" w14:textId="02D861D4" w:rsidR="006E51BF" w:rsidRPr="006D77DA" w:rsidRDefault="006E51BF" w:rsidP="00F77100">
            <w:pPr>
              <w:pStyle w:val="ARfintabletextpt8"/>
              <w:spacing w:before="40" w:after="40"/>
            </w:pPr>
            <w:r w:rsidRPr="006D77DA">
              <w:t xml:space="preserve">2 February 2026 to </w:t>
            </w:r>
            <w:r w:rsidR="006B2225">
              <w:br/>
            </w:r>
            <w:r w:rsidRPr="006D77DA">
              <w:t>13 February 2026</w:t>
            </w:r>
          </w:p>
        </w:tc>
      </w:tr>
      <w:tr w:rsidR="006E51BF" w:rsidRPr="00971671" w14:paraId="50202B8A" w14:textId="77777777">
        <w:trPr>
          <w:cnfStyle w:val="000000010000" w:firstRow="0" w:lastRow="0" w:firstColumn="0" w:lastColumn="0" w:oddVBand="0" w:evenVBand="0" w:oddHBand="0" w:evenHBand="1"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4EB5419F"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1AA348BB" w14:textId="77777777" w:rsidR="006E51BF" w:rsidRPr="006D77DA" w:rsidRDefault="006E51BF" w:rsidP="00F77100">
            <w:pPr>
              <w:pStyle w:val="ARfintabletextpt8"/>
              <w:spacing w:before="40" w:after="40"/>
            </w:pPr>
            <w:r w:rsidRPr="006D77DA">
              <w:t>Simon Newport</w:t>
            </w:r>
          </w:p>
        </w:tc>
        <w:tc>
          <w:tcPr>
            <w:tcW w:w="1734" w:type="pct"/>
            <w:tcBorders>
              <w:top w:val="single" w:sz="4" w:space="0" w:color="000000" w:themeColor="text1"/>
              <w:bottom w:val="single" w:sz="4" w:space="0" w:color="000000" w:themeColor="text1"/>
            </w:tcBorders>
            <w:tcMar>
              <w:left w:w="113" w:type="dxa"/>
            </w:tcMar>
            <w:hideMark/>
          </w:tcPr>
          <w:p w14:paraId="0529EADB" w14:textId="77777777" w:rsidR="006E51BF" w:rsidRPr="006D77DA" w:rsidRDefault="006E51BF" w:rsidP="00F77100">
            <w:pPr>
              <w:pStyle w:val="ARfintabletextpt8"/>
              <w:spacing w:before="40" w:after="40"/>
              <w:cnfStyle w:val="000000010000" w:firstRow="0" w:lastRow="0" w:firstColumn="0" w:lastColumn="0" w:oddVBand="0" w:evenVBand="0" w:oddHBand="0" w:evenHBand="1" w:firstRowFirstColumn="0" w:firstRowLastColumn="0" w:lastRowFirstColumn="0" w:lastRowLastColumn="0"/>
            </w:pPr>
            <w:r w:rsidRPr="006D77DA">
              <w:t>Chief Executive Officer, Homes</w:t>
            </w:r>
            <w:r>
              <w:t> </w:t>
            </w:r>
            <w:r w:rsidRPr="006D77DA">
              <w:t>Victoria</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34237A86" w14:textId="77777777" w:rsidR="006E51BF" w:rsidRPr="006D77DA" w:rsidRDefault="006E51BF" w:rsidP="00F77100">
            <w:pPr>
              <w:pStyle w:val="ARfintabletextpt8"/>
              <w:spacing w:before="40" w:after="40"/>
            </w:pPr>
            <w:r w:rsidRPr="006D77DA">
              <w:t>1 July 2025 to 30 June 2026</w:t>
            </w:r>
          </w:p>
        </w:tc>
      </w:tr>
      <w:tr w:rsidR="006E51BF" w:rsidRPr="00971671" w14:paraId="186C9839" w14:textId="77777777">
        <w:trPr>
          <w:cnfStyle w:val="000000100000" w:firstRow="0" w:lastRow="0" w:firstColumn="0" w:lastColumn="0" w:oddVBand="0" w:evenVBand="0" w:oddHBand="1" w:evenHBand="0"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7D332432"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2E0094EA" w14:textId="77777777" w:rsidR="006E51BF" w:rsidRPr="006D77DA" w:rsidRDefault="006E51BF" w:rsidP="00F77100">
            <w:pPr>
              <w:pStyle w:val="ARfintabletextpt8"/>
              <w:spacing w:before="40" w:after="40"/>
            </w:pPr>
            <w:r w:rsidRPr="006D77DA">
              <w:t>Dannii de Kretser</w:t>
            </w:r>
          </w:p>
        </w:tc>
        <w:tc>
          <w:tcPr>
            <w:tcW w:w="1734" w:type="pct"/>
            <w:tcBorders>
              <w:top w:val="single" w:sz="4" w:space="0" w:color="000000" w:themeColor="text1"/>
              <w:bottom w:val="single" w:sz="4" w:space="0" w:color="000000" w:themeColor="text1"/>
            </w:tcBorders>
            <w:tcMar>
              <w:left w:w="113" w:type="dxa"/>
            </w:tcMar>
            <w:hideMark/>
          </w:tcPr>
          <w:p w14:paraId="675DAD7F" w14:textId="77777777" w:rsidR="006E51BF" w:rsidRPr="006D77DA" w:rsidRDefault="006E51BF" w:rsidP="00F77100">
            <w:pPr>
              <w:pStyle w:val="ARfintabletextpt8"/>
              <w:spacing w:before="40" w:after="40"/>
              <w:cnfStyle w:val="000000100000" w:firstRow="0" w:lastRow="0" w:firstColumn="0" w:lastColumn="0" w:oddVBand="0" w:evenVBand="0" w:oddHBand="1" w:evenHBand="0" w:firstRowFirstColumn="0" w:firstRowLastColumn="0" w:lastRowFirstColumn="0" w:lastRowLastColumn="0"/>
            </w:pPr>
            <w:r w:rsidRPr="006D77DA">
              <w:t>Acting Chief Executive Officer, Homes Victoria</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0FD5CED6" w14:textId="77777777" w:rsidR="006E51BF" w:rsidRPr="006D77DA" w:rsidRDefault="006E51BF" w:rsidP="00F77100">
            <w:pPr>
              <w:pStyle w:val="ARfintabletextpt8"/>
              <w:spacing w:before="40" w:after="40"/>
            </w:pPr>
            <w:r w:rsidRPr="006D77DA">
              <w:t>15 July 2025 to 1 August 2025</w:t>
            </w:r>
          </w:p>
        </w:tc>
      </w:tr>
      <w:tr w:rsidR="006E51BF" w:rsidRPr="00971671" w14:paraId="23FA5398" w14:textId="77777777">
        <w:trPr>
          <w:cnfStyle w:val="000000010000" w:firstRow="0" w:lastRow="0" w:firstColumn="0" w:lastColumn="0" w:oddVBand="0" w:evenVBand="0" w:oddHBand="0" w:evenHBand="1"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19188A31"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5D7A3837" w14:textId="77777777" w:rsidR="006E51BF" w:rsidRPr="006D77DA" w:rsidRDefault="006E51BF" w:rsidP="00F77100">
            <w:pPr>
              <w:pStyle w:val="ARfintabletextpt8"/>
              <w:spacing w:before="40" w:after="40"/>
            </w:pPr>
            <w:r w:rsidRPr="006D77DA">
              <w:t xml:space="preserve">Martin </w:t>
            </w:r>
            <w:proofErr w:type="spellStart"/>
            <w:r w:rsidRPr="006D77DA">
              <w:t>Mccurry</w:t>
            </w:r>
            <w:proofErr w:type="spellEnd"/>
          </w:p>
        </w:tc>
        <w:tc>
          <w:tcPr>
            <w:tcW w:w="1734" w:type="pct"/>
            <w:tcBorders>
              <w:top w:val="single" w:sz="4" w:space="0" w:color="000000" w:themeColor="text1"/>
              <w:bottom w:val="single" w:sz="4" w:space="0" w:color="000000" w:themeColor="text1"/>
            </w:tcBorders>
            <w:tcMar>
              <w:left w:w="113" w:type="dxa"/>
            </w:tcMar>
            <w:hideMark/>
          </w:tcPr>
          <w:p w14:paraId="34CB7B96" w14:textId="77777777" w:rsidR="006E51BF" w:rsidRPr="006D77DA" w:rsidRDefault="006E51BF" w:rsidP="00F77100">
            <w:pPr>
              <w:pStyle w:val="ARfintabletextpt8"/>
              <w:spacing w:before="40" w:after="40"/>
              <w:cnfStyle w:val="000000010000" w:firstRow="0" w:lastRow="0" w:firstColumn="0" w:lastColumn="0" w:oddVBand="0" w:evenVBand="0" w:oddHBand="0" w:evenHBand="1" w:firstRowFirstColumn="0" w:firstRowLastColumn="0" w:lastRowFirstColumn="0" w:lastRowLastColumn="0"/>
            </w:pPr>
            <w:r w:rsidRPr="006D77DA">
              <w:t>Acting Chief Executive Officer, Homes Victoria</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7D50E8A7" w14:textId="77777777" w:rsidR="006E51BF" w:rsidRPr="006D77DA" w:rsidRDefault="006E51BF" w:rsidP="00F77100">
            <w:pPr>
              <w:pStyle w:val="ARfintabletextpt8"/>
              <w:spacing w:before="40" w:after="40"/>
            </w:pPr>
            <w:r w:rsidRPr="006D77DA">
              <w:t>15 April 2026 to 29 April 2026</w:t>
            </w:r>
          </w:p>
        </w:tc>
      </w:tr>
      <w:tr w:rsidR="006E51BF" w:rsidRPr="00971671" w14:paraId="1700E34D" w14:textId="77777777">
        <w:trPr>
          <w:cnfStyle w:val="000000100000" w:firstRow="0" w:lastRow="0" w:firstColumn="0" w:lastColumn="0" w:oddVBand="0" w:evenVBand="0" w:oddHBand="1" w:evenHBand="0"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5565AAAF"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3851EBD1" w14:textId="77777777" w:rsidR="006E51BF" w:rsidRPr="006D77DA" w:rsidRDefault="006E51BF" w:rsidP="00F77100">
            <w:pPr>
              <w:pStyle w:val="ARfintabletextpt8"/>
              <w:spacing w:before="40" w:after="40"/>
            </w:pPr>
            <w:r w:rsidRPr="006D77DA">
              <w:t>Dannii de Kretser</w:t>
            </w:r>
          </w:p>
        </w:tc>
        <w:tc>
          <w:tcPr>
            <w:tcW w:w="1734" w:type="pct"/>
            <w:tcBorders>
              <w:top w:val="single" w:sz="4" w:space="0" w:color="000000" w:themeColor="text1"/>
              <w:bottom w:val="single" w:sz="4" w:space="0" w:color="000000" w:themeColor="text1"/>
            </w:tcBorders>
            <w:tcMar>
              <w:left w:w="113" w:type="dxa"/>
            </w:tcMar>
            <w:hideMark/>
          </w:tcPr>
          <w:p w14:paraId="39D08E83" w14:textId="77777777" w:rsidR="006E51BF" w:rsidRPr="006D77DA" w:rsidRDefault="006E51BF" w:rsidP="00F77100">
            <w:pPr>
              <w:pStyle w:val="ARfintabletextpt8"/>
              <w:spacing w:before="40" w:after="40"/>
              <w:cnfStyle w:val="000000100000" w:firstRow="0" w:lastRow="0" w:firstColumn="0" w:lastColumn="0" w:oddVBand="0" w:evenVBand="0" w:oddHBand="1" w:evenHBand="0" w:firstRowFirstColumn="0" w:firstRowLastColumn="0" w:lastRowFirstColumn="0" w:lastRowLastColumn="0"/>
            </w:pPr>
            <w:r w:rsidRPr="006D77DA">
              <w:t>Deputy CEO, Homes Victoria</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10F80C69" w14:textId="77777777" w:rsidR="006E51BF" w:rsidRPr="006D77DA" w:rsidRDefault="006E51BF" w:rsidP="00F77100">
            <w:pPr>
              <w:pStyle w:val="ARfintabletextpt8"/>
              <w:spacing w:before="40" w:after="40"/>
            </w:pPr>
            <w:r w:rsidRPr="006D77DA">
              <w:t>1 July 2025 to 31 December 2025</w:t>
            </w:r>
          </w:p>
        </w:tc>
      </w:tr>
      <w:tr w:rsidR="006E51BF" w:rsidRPr="00971671" w14:paraId="61EDD1A3" w14:textId="77777777">
        <w:trPr>
          <w:cnfStyle w:val="000000010000" w:firstRow="0" w:lastRow="0" w:firstColumn="0" w:lastColumn="0" w:oddVBand="0" w:evenVBand="0" w:oddHBand="0" w:evenHBand="1" w:firstRowFirstColumn="0" w:firstRowLastColumn="0" w:lastRowFirstColumn="0" w:lastRowLastColumn="0"/>
          <w:trHeight w:val="20"/>
        </w:trPr>
        <w:tc>
          <w:tcPr>
            <w:tcW w:w="1009" w:type="pct"/>
            <w:tcBorders>
              <w:top w:val="single" w:sz="4" w:space="0" w:color="000000" w:themeColor="text1"/>
              <w:bottom w:val="single" w:sz="4" w:space="0" w:color="000000" w:themeColor="text1"/>
            </w:tcBorders>
            <w:hideMark/>
          </w:tcPr>
          <w:p w14:paraId="181CBB92" w14:textId="77777777" w:rsidR="006E51BF" w:rsidRPr="006D77DA" w:rsidRDefault="006E51BF" w:rsidP="00F77100">
            <w:pPr>
              <w:pStyle w:val="ARfintabletextpt8"/>
              <w:spacing w:before="40" w:after="40"/>
            </w:pPr>
            <w:r w:rsidRPr="006D77DA">
              <w:t>Department of Families, Fairness and Housing</w:t>
            </w:r>
          </w:p>
        </w:tc>
        <w:tc>
          <w:tcPr>
            <w:cnfStyle w:val="000001000000" w:firstRow="0" w:lastRow="0" w:firstColumn="0" w:lastColumn="0" w:oddVBand="0" w:evenVBand="1" w:oddHBand="0" w:evenHBand="0" w:firstRowFirstColumn="0" w:firstRowLastColumn="0" w:lastRowFirstColumn="0" w:lastRowLastColumn="0"/>
            <w:tcW w:w="860" w:type="pct"/>
            <w:tcBorders>
              <w:top w:val="single" w:sz="4" w:space="0" w:color="000000" w:themeColor="text1"/>
              <w:bottom w:val="single" w:sz="4" w:space="0" w:color="000000" w:themeColor="text1"/>
            </w:tcBorders>
            <w:noWrap/>
            <w:tcMar>
              <w:left w:w="113" w:type="dxa"/>
            </w:tcMar>
            <w:hideMark/>
          </w:tcPr>
          <w:p w14:paraId="2154852A" w14:textId="77777777" w:rsidR="006E51BF" w:rsidRPr="006D77DA" w:rsidRDefault="006E51BF" w:rsidP="00F77100">
            <w:pPr>
              <w:pStyle w:val="ARfintabletextpt8"/>
              <w:spacing w:before="40" w:after="40"/>
            </w:pPr>
            <w:r w:rsidRPr="006D77DA">
              <w:t>Elsie Loh</w:t>
            </w:r>
          </w:p>
        </w:tc>
        <w:tc>
          <w:tcPr>
            <w:tcW w:w="1734" w:type="pct"/>
            <w:tcBorders>
              <w:top w:val="single" w:sz="4" w:space="0" w:color="000000" w:themeColor="text1"/>
              <w:bottom w:val="single" w:sz="4" w:space="0" w:color="000000" w:themeColor="text1"/>
            </w:tcBorders>
            <w:tcMar>
              <w:left w:w="113" w:type="dxa"/>
            </w:tcMar>
            <w:hideMark/>
          </w:tcPr>
          <w:p w14:paraId="42856DC8" w14:textId="77777777" w:rsidR="006E51BF" w:rsidRPr="006D77DA" w:rsidRDefault="006E51BF" w:rsidP="00F77100">
            <w:pPr>
              <w:pStyle w:val="ARfintabletextpt8"/>
              <w:spacing w:before="40" w:after="40"/>
              <w:cnfStyle w:val="000000010000" w:firstRow="0" w:lastRow="0" w:firstColumn="0" w:lastColumn="0" w:oddVBand="0" w:evenVBand="0" w:oddHBand="0" w:evenHBand="1" w:firstRowFirstColumn="0" w:firstRowLastColumn="0" w:lastRowFirstColumn="0" w:lastRowLastColumn="0"/>
            </w:pPr>
            <w:r w:rsidRPr="006D77DA">
              <w:t>Acting Deputy CEO, Homes Victoria</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13D15D1D" w14:textId="77777777" w:rsidR="006E51BF" w:rsidRPr="006D77DA" w:rsidRDefault="006E51BF" w:rsidP="00F77100">
            <w:pPr>
              <w:pStyle w:val="ARfintabletextpt8"/>
              <w:spacing w:before="40" w:after="40"/>
            </w:pPr>
            <w:r w:rsidRPr="006D77DA">
              <w:t>16 July 2025 to 3 October 2025</w:t>
            </w:r>
          </w:p>
        </w:tc>
      </w:tr>
    </w:tbl>
    <w:p w14:paraId="7B904B94" w14:textId="77777777" w:rsidR="006E51BF" w:rsidRPr="00971671" w:rsidRDefault="006E51BF">
      <w:pPr>
        <w:pStyle w:val="ARfinbodybeforetableorfigure"/>
        <w:spacing w:before="240"/>
      </w:pPr>
      <w:r w:rsidRPr="00C646BE">
        <w:rPr>
          <w:rStyle w:val="Strong"/>
        </w:rPr>
        <w:t>Key management personnel</w:t>
      </w:r>
      <w:r w:rsidRPr="00971671">
        <w:t xml:space="preserve"> of the agencies amalgamated pursuant to s. 53(1)(b) of the </w:t>
      </w:r>
      <w:r w:rsidRPr="00105DB4">
        <w:rPr>
          <w:rStyle w:val="Emphasis"/>
        </w:rPr>
        <w:t>Financial Management Act 1994</w:t>
      </w:r>
      <w:r w:rsidRPr="00971671">
        <w:t xml:space="preserve"> into the department's financial statements include:</w:t>
      </w:r>
    </w:p>
    <w:tbl>
      <w:tblPr>
        <w:tblStyle w:val="ARtable1"/>
        <w:tblW w:w="5000" w:type="pct"/>
        <w:tblLook w:val="00A0" w:firstRow="1" w:lastRow="0" w:firstColumn="1" w:lastColumn="0" w:noHBand="0" w:noVBand="0"/>
      </w:tblPr>
      <w:tblGrid>
        <w:gridCol w:w="1921"/>
        <w:gridCol w:w="1756"/>
        <w:gridCol w:w="3261"/>
        <w:gridCol w:w="2690"/>
      </w:tblGrid>
      <w:tr w:rsidR="006E51BF" w:rsidRPr="00971671" w14:paraId="65087E96" w14:textId="77777777" w:rsidTr="00F77100">
        <w:trPr>
          <w:cnfStyle w:val="100000000000" w:firstRow="1" w:lastRow="0" w:firstColumn="0" w:lastColumn="0" w:oddVBand="0" w:evenVBand="0" w:oddHBand="0" w:evenHBand="0" w:firstRowFirstColumn="0" w:firstRowLastColumn="0" w:lastRowFirstColumn="0" w:lastRowLastColumn="0"/>
          <w:trHeight w:val="20"/>
          <w:tblHeader/>
        </w:trPr>
        <w:tc>
          <w:tcPr>
            <w:tcW w:w="998" w:type="pct"/>
            <w:noWrap/>
            <w:hideMark/>
          </w:tcPr>
          <w:p w14:paraId="69B06626" w14:textId="77777777" w:rsidR="006E51BF" w:rsidRPr="007B0653" w:rsidRDefault="006E51BF" w:rsidP="00F77100">
            <w:pPr>
              <w:pStyle w:val="ARfintablecolhead8pt"/>
              <w:spacing w:before="40" w:after="40"/>
            </w:pPr>
            <w:r w:rsidRPr="007B0653">
              <w:t>Entity</w:t>
            </w:r>
          </w:p>
        </w:tc>
        <w:tc>
          <w:tcPr>
            <w:cnfStyle w:val="000001000000" w:firstRow="0" w:lastRow="0" w:firstColumn="0" w:lastColumn="0" w:oddVBand="0" w:evenVBand="1" w:oddHBand="0" w:evenHBand="0" w:firstRowFirstColumn="0" w:firstRowLastColumn="0" w:lastRowFirstColumn="0" w:lastRowLastColumn="0"/>
            <w:tcW w:w="911" w:type="pct"/>
            <w:tcMar>
              <w:left w:w="113" w:type="dxa"/>
            </w:tcMar>
            <w:hideMark/>
          </w:tcPr>
          <w:p w14:paraId="2F4BA389" w14:textId="77777777" w:rsidR="006E51BF" w:rsidRPr="007B0653" w:rsidRDefault="006E51BF" w:rsidP="00F77100">
            <w:pPr>
              <w:pStyle w:val="ARfintablecolhead8pt"/>
              <w:spacing w:before="40" w:after="40"/>
            </w:pPr>
            <w:r w:rsidRPr="007B0653">
              <w:t>Key management personnel</w:t>
            </w:r>
          </w:p>
        </w:tc>
        <w:tc>
          <w:tcPr>
            <w:tcW w:w="1694" w:type="pct"/>
            <w:noWrap/>
            <w:tcMar>
              <w:left w:w="113" w:type="dxa"/>
            </w:tcMar>
            <w:hideMark/>
          </w:tcPr>
          <w:p w14:paraId="03CD8F8C" w14:textId="77777777" w:rsidR="006E51BF" w:rsidRPr="007B0653" w:rsidRDefault="006E51BF" w:rsidP="00F77100">
            <w:pPr>
              <w:pStyle w:val="ARfintablecolhead8pt"/>
              <w:spacing w:before="40" w:after="40"/>
              <w:cnfStyle w:val="100000000000" w:firstRow="1" w:lastRow="0" w:firstColumn="0" w:lastColumn="0" w:oddVBand="0" w:evenVBand="0" w:oddHBand="0" w:evenHBand="0" w:firstRowFirstColumn="0" w:firstRowLastColumn="0" w:lastRowFirstColumn="0" w:lastRowLastColumn="0"/>
            </w:pPr>
            <w:r w:rsidRPr="007B0653">
              <w:t>Position title</w:t>
            </w:r>
          </w:p>
        </w:tc>
        <w:tc>
          <w:tcPr>
            <w:cnfStyle w:val="000001000000" w:firstRow="0" w:lastRow="0" w:firstColumn="0" w:lastColumn="0" w:oddVBand="0" w:evenVBand="1" w:oddHBand="0" w:evenHBand="0" w:firstRowFirstColumn="0" w:firstRowLastColumn="0" w:lastRowFirstColumn="0" w:lastRowLastColumn="0"/>
            <w:tcW w:w="1397" w:type="pct"/>
            <w:noWrap/>
            <w:tcMar>
              <w:left w:w="113" w:type="dxa"/>
            </w:tcMar>
            <w:hideMark/>
          </w:tcPr>
          <w:p w14:paraId="000899FF" w14:textId="77777777" w:rsidR="006E51BF" w:rsidRPr="007B0653" w:rsidRDefault="006E51BF" w:rsidP="00F77100">
            <w:pPr>
              <w:pStyle w:val="ARfintablecolhead8pt"/>
              <w:spacing w:before="40" w:after="40"/>
            </w:pPr>
            <w:r w:rsidRPr="007B0653">
              <w:t>Period</w:t>
            </w:r>
          </w:p>
        </w:tc>
      </w:tr>
      <w:tr w:rsidR="006E51BF" w:rsidRPr="00971671" w14:paraId="43BE1F90" w14:textId="77777777" w:rsidTr="00F77100">
        <w:trPr>
          <w:cnfStyle w:val="000000100000" w:firstRow="0" w:lastRow="0" w:firstColumn="0" w:lastColumn="0" w:oddVBand="0" w:evenVBand="0" w:oddHBand="1" w:evenHBand="0"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11ED2E1E" w14:textId="77777777" w:rsidR="006E51BF" w:rsidRPr="007B0653" w:rsidRDefault="006E51BF" w:rsidP="00F77100">
            <w:pPr>
              <w:pStyle w:val="ARfintabletext8pt"/>
              <w:spacing w:before="40" w:after="40"/>
              <w:rPr>
                <w:lang w:eastAsia="en-AU"/>
              </w:rPr>
            </w:pPr>
            <w:r w:rsidRPr="007B0653">
              <w:rPr>
                <w:lang w:eastAsia="en-AU"/>
              </w:rPr>
              <w:t>Commission for Children &amp; Young People</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530EEC0B" w14:textId="77777777" w:rsidR="006E51BF" w:rsidRPr="007B0653" w:rsidRDefault="006E51BF" w:rsidP="00F77100">
            <w:pPr>
              <w:pStyle w:val="ARfintabletext8pt"/>
              <w:spacing w:before="40" w:after="40"/>
              <w:rPr>
                <w:lang w:eastAsia="en-AU"/>
              </w:rPr>
            </w:pPr>
            <w:r w:rsidRPr="007B0653">
              <w:rPr>
                <w:lang w:eastAsia="en-AU"/>
              </w:rPr>
              <w:t>Meena Singh</w:t>
            </w:r>
          </w:p>
        </w:tc>
        <w:tc>
          <w:tcPr>
            <w:tcW w:w="1694" w:type="pct"/>
            <w:tcBorders>
              <w:top w:val="single" w:sz="4" w:space="0" w:color="000000" w:themeColor="text1"/>
              <w:bottom w:val="single" w:sz="4" w:space="0" w:color="000000" w:themeColor="text1"/>
            </w:tcBorders>
            <w:tcMar>
              <w:left w:w="113" w:type="dxa"/>
            </w:tcMar>
            <w:hideMark/>
          </w:tcPr>
          <w:p w14:paraId="7E825635" w14:textId="77777777" w:rsidR="006E51BF" w:rsidRPr="007B0653" w:rsidRDefault="006E51BF" w:rsidP="00F77100">
            <w:pPr>
              <w:pStyle w:val="ARfintabletext8p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7B0653">
              <w:rPr>
                <w:lang w:eastAsia="en-AU"/>
              </w:rPr>
              <w:t>Commissioner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693224E4" w14:textId="77777777" w:rsidR="006E51BF" w:rsidRPr="007B0653" w:rsidRDefault="006E51BF" w:rsidP="00F77100">
            <w:pPr>
              <w:pStyle w:val="ARfintabletext8pt"/>
              <w:spacing w:before="40" w:after="40"/>
              <w:rPr>
                <w:lang w:eastAsia="en-AU"/>
              </w:rPr>
            </w:pPr>
            <w:r w:rsidRPr="007B0653">
              <w:rPr>
                <w:lang w:eastAsia="en-AU"/>
              </w:rPr>
              <w:t>1 July 2025 to 19 December 2025</w:t>
            </w:r>
          </w:p>
        </w:tc>
      </w:tr>
      <w:tr w:rsidR="006E51BF" w:rsidRPr="00971671" w14:paraId="50B6D499" w14:textId="77777777" w:rsidTr="00F77100">
        <w:trPr>
          <w:cnfStyle w:val="000000010000" w:firstRow="0" w:lastRow="0" w:firstColumn="0" w:lastColumn="0" w:oddVBand="0" w:evenVBand="0" w:oddHBand="0" w:evenHBand="1"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6FCD9DE4" w14:textId="77777777" w:rsidR="006E51BF" w:rsidRPr="007B0653" w:rsidRDefault="006E51BF" w:rsidP="00F77100">
            <w:pPr>
              <w:pStyle w:val="ARfintabletext8pt"/>
              <w:spacing w:before="40" w:after="40"/>
              <w:rPr>
                <w:lang w:eastAsia="en-AU"/>
              </w:rPr>
            </w:pPr>
            <w:r w:rsidRPr="007B0653">
              <w:rPr>
                <w:lang w:eastAsia="en-AU"/>
              </w:rPr>
              <w:t>Commission for Children &amp; Young People</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3E2F3814" w14:textId="77777777" w:rsidR="006E51BF" w:rsidRPr="007B0653" w:rsidRDefault="006E51BF" w:rsidP="00F77100">
            <w:pPr>
              <w:pStyle w:val="ARfintabletext8pt"/>
              <w:spacing w:before="40" w:after="40"/>
              <w:rPr>
                <w:lang w:eastAsia="en-AU"/>
              </w:rPr>
            </w:pPr>
            <w:r w:rsidRPr="007B0653">
              <w:rPr>
                <w:lang w:eastAsia="en-AU"/>
              </w:rPr>
              <w:t>Dallas Widdicombe</w:t>
            </w:r>
          </w:p>
        </w:tc>
        <w:tc>
          <w:tcPr>
            <w:tcW w:w="1694" w:type="pct"/>
            <w:tcBorders>
              <w:top w:val="single" w:sz="4" w:space="0" w:color="000000" w:themeColor="text1"/>
              <w:bottom w:val="single" w:sz="4" w:space="0" w:color="000000" w:themeColor="text1"/>
            </w:tcBorders>
            <w:tcMar>
              <w:left w:w="113" w:type="dxa"/>
            </w:tcMar>
            <w:hideMark/>
          </w:tcPr>
          <w:p w14:paraId="348721AC" w14:textId="77777777" w:rsidR="006E51BF" w:rsidRPr="007B0653" w:rsidRDefault="006E51BF" w:rsidP="00F77100">
            <w:pPr>
              <w:pStyle w:val="ARfintabletext8p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7B0653">
              <w:rPr>
                <w:lang w:eastAsia="en-AU"/>
              </w:rPr>
              <w:t>Commissioner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3F23851F" w14:textId="77777777" w:rsidR="006E51BF" w:rsidRPr="007B0653" w:rsidRDefault="006E51BF" w:rsidP="00F77100">
            <w:pPr>
              <w:pStyle w:val="ARfintabletext8pt"/>
              <w:spacing w:before="40" w:after="40"/>
              <w:rPr>
                <w:lang w:eastAsia="en-AU"/>
              </w:rPr>
            </w:pPr>
            <w:r w:rsidRPr="007B0653">
              <w:rPr>
                <w:lang w:eastAsia="en-AU"/>
              </w:rPr>
              <w:t>15 June 2026 to 30 June 2026</w:t>
            </w:r>
          </w:p>
        </w:tc>
      </w:tr>
      <w:tr w:rsidR="006E51BF" w:rsidRPr="00971671" w14:paraId="5B116376" w14:textId="77777777" w:rsidTr="00F77100">
        <w:trPr>
          <w:cnfStyle w:val="000000100000" w:firstRow="0" w:lastRow="0" w:firstColumn="0" w:lastColumn="0" w:oddVBand="0" w:evenVBand="0" w:oddHBand="1" w:evenHBand="0"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1106BF5C" w14:textId="77777777" w:rsidR="006E51BF" w:rsidRPr="007B0653" w:rsidRDefault="006E51BF" w:rsidP="00F77100">
            <w:pPr>
              <w:pStyle w:val="ARfintabletext8pt"/>
              <w:spacing w:before="40" w:after="40"/>
              <w:rPr>
                <w:lang w:eastAsia="en-AU"/>
              </w:rPr>
            </w:pPr>
            <w:r w:rsidRPr="007B0653">
              <w:rPr>
                <w:lang w:eastAsia="en-AU"/>
              </w:rPr>
              <w:t>Commission for Children &amp; Young People</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4AE7F4BA" w14:textId="77777777" w:rsidR="006E51BF" w:rsidRPr="007B0653" w:rsidRDefault="006E51BF" w:rsidP="00F77100">
            <w:pPr>
              <w:pStyle w:val="ARfintabletext8pt"/>
              <w:spacing w:before="40" w:after="40"/>
              <w:rPr>
                <w:lang w:eastAsia="en-AU"/>
              </w:rPr>
            </w:pPr>
            <w:r w:rsidRPr="007B0653">
              <w:rPr>
                <w:lang w:eastAsia="en-AU"/>
              </w:rPr>
              <w:t>Meena Singh</w:t>
            </w:r>
          </w:p>
        </w:tc>
        <w:tc>
          <w:tcPr>
            <w:tcW w:w="1694" w:type="pct"/>
            <w:tcBorders>
              <w:top w:val="single" w:sz="4" w:space="0" w:color="000000" w:themeColor="text1"/>
              <w:bottom w:val="single" w:sz="4" w:space="0" w:color="000000" w:themeColor="text1"/>
            </w:tcBorders>
            <w:tcMar>
              <w:left w:w="113" w:type="dxa"/>
            </w:tcMar>
            <w:hideMark/>
          </w:tcPr>
          <w:p w14:paraId="3FA46846" w14:textId="77777777" w:rsidR="006E51BF" w:rsidRPr="007B0653" w:rsidRDefault="006E51BF" w:rsidP="00F77100">
            <w:pPr>
              <w:pStyle w:val="ARfintabletext8p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7B0653">
              <w:rPr>
                <w:lang w:eastAsia="en-AU"/>
              </w:rPr>
              <w:t>Acting Principal Commissioner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21412411" w14:textId="77777777" w:rsidR="006E51BF" w:rsidRPr="007B0653" w:rsidRDefault="006E51BF" w:rsidP="00F77100">
            <w:pPr>
              <w:pStyle w:val="ARfintabletext8pt"/>
              <w:spacing w:before="40" w:after="40"/>
              <w:rPr>
                <w:lang w:eastAsia="en-AU"/>
              </w:rPr>
            </w:pPr>
            <w:r w:rsidRPr="007B0653">
              <w:rPr>
                <w:lang w:eastAsia="en-AU"/>
              </w:rPr>
              <w:t>1 July 2025 to 4 November 2025</w:t>
            </w:r>
          </w:p>
        </w:tc>
      </w:tr>
      <w:tr w:rsidR="006E51BF" w:rsidRPr="00971671" w14:paraId="54A02FDE" w14:textId="77777777" w:rsidTr="00F77100">
        <w:trPr>
          <w:cnfStyle w:val="000000010000" w:firstRow="0" w:lastRow="0" w:firstColumn="0" w:lastColumn="0" w:oddVBand="0" w:evenVBand="0" w:oddHBand="0" w:evenHBand="1"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4521840D" w14:textId="77777777" w:rsidR="006E51BF" w:rsidRPr="007B0653" w:rsidRDefault="006E51BF" w:rsidP="00F77100">
            <w:pPr>
              <w:pStyle w:val="ARfintabletext8pt"/>
              <w:spacing w:before="40" w:after="40"/>
              <w:rPr>
                <w:lang w:eastAsia="en-AU"/>
              </w:rPr>
            </w:pPr>
            <w:r w:rsidRPr="007B0653">
              <w:rPr>
                <w:lang w:eastAsia="en-AU"/>
              </w:rPr>
              <w:t>Commission for Children &amp; Young People</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31D3CCED" w14:textId="77777777" w:rsidR="006E51BF" w:rsidRPr="007B0653" w:rsidRDefault="006E51BF" w:rsidP="00F77100">
            <w:pPr>
              <w:pStyle w:val="ARfintabletext8pt"/>
              <w:spacing w:before="40" w:after="40"/>
              <w:rPr>
                <w:lang w:eastAsia="en-AU"/>
              </w:rPr>
            </w:pPr>
            <w:proofErr w:type="spellStart"/>
            <w:r w:rsidRPr="007B0653">
              <w:rPr>
                <w:lang w:eastAsia="en-AU"/>
              </w:rPr>
              <w:t>Argiri</w:t>
            </w:r>
            <w:proofErr w:type="spellEnd"/>
            <w:r w:rsidRPr="007B0653">
              <w:rPr>
                <w:lang w:eastAsia="en-AU"/>
              </w:rPr>
              <w:t xml:space="preserve"> </w:t>
            </w:r>
            <w:proofErr w:type="spellStart"/>
            <w:r w:rsidRPr="007B0653">
              <w:rPr>
                <w:lang w:eastAsia="en-AU"/>
              </w:rPr>
              <w:t>Alisandratos</w:t>
            </w:r>
            <w:proofErr w:type="spellEnd"/>
          </w:p>
        </w:tc>
        <w:tc>
          <w:tcPr>
            <w:tcW w:w="1694" w:type="pct"/>
            <w:tcBorders>
              <w:top w:val="single" w:sz="4" w:space="0" w:color="000000" w:themeColor="text1"/>
              <w:bottom w:val="single" w:sz="4" w:space="0" w:color="000000" w:themeColor="text1"/>
            </w:tcBorders>
            <w:tcMar>
              <w:left w:w="113" w:type="dxa"/>
            </w:tcMar>
            <w:hideMark/>
          </w:tcPr>
          <w:p w14:paraId="256970A6" w14:textId="77777777" w:rsidR="006E51BF" w:rsidRPr="007B0653" w:rsidRDefault="006E51BF" w:rsidP="00F77100">
            <w:pPr>
              <w:pStyle w:val="ARfintabletext8p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7B0653">
              <w:rPr>
                <w:lang w:eastAsia="en-AU"/>
              </w:rPr>
              <w:t>Acting Principal Commissioner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59134DE5" w14:textId="77777777" w:rsidR="006E51BF" w:rsidRPr="007B0653" w:rsidRDefault="006E51BF" w:rsidP="00F77100">
            <w:pPr>
              <w:pStyle w:val="ARfintabletext8pt"/>
              <w:spacing w:before="40" w:after="40"/>
              <w:rPr>
                <w:lang w:eastAsia="en-AU"/>
              </w:rPr>
            </w:pPr>
            <w:r w:rsidRPr="007B0653">
              <w:rPr>
                <w:lang w:eastAsia="en-AU"/>
              </w:rPr>
              <w:t xml:space="preserve">5 November 2025 to </w:t>
            </w:r>
            <w:r>
              <w:rPr>
                <w:lang w:eastAsia="en-AU"/>
              </w:rPr>
              <w:br/>
            </w:r>
            <w:r w:rsidRPr="007B0653">
              <w:rPr>
                <w:lang w:eastAsia="en-AU"/>
              </w:rPr>
              <w:t>22 December 2025</w:t>
            </w:r>
          </w:p>
        </w:tc>
      </w:tr>
      <w:tr w:rsidR="006E51BF" w:rsidRPr="00971671" w14:paraId="04A07BA2" w14:textId="77777777" w:rsidTr="00F77100">
        <w:trPr>
          <w:cnfStyle w:val="000000100000" w:firstRow="0" w:lastRow="0" w:firstColumn="0" w:lastColumn="0" w:oddVBand="0" w:evenVBand="0" w:oddHBand="1" w:evenHBand="0"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20594426" w14:textId="77777777" w:rsidR="006E51BF" w:rsidRPr="007B0653" w:rsidRDefault="006E51BF" w:rsidP="00F77100">
            <w:pPr>
              <w:pStyle w:val="ARfintabletext8pt"/>
              <w:spacing w:before="40" w:after="40"/>
              <w:rPr>
                <w:lang w:eastAsia="en-AU"/>
              </w:rPr>
            </w:pPr>
            <w:r w:rsidRPr="007B0653">
              <w:rPr>
                <w:lang w:eastAsia="en-AU"/>
              </w:rPr>
              <w:t>Commission for Children &amp; Young People</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1B9819E2" w14:textId="77777777" w:rsidR="006E51BF" w:rsidRPr="007B0653" w:rsidRDefault="006E51BF" w:rsidP="00F77100">
            <w:pPr>
              <w:pStyle w:val="ARfintabletext8pt"/>
              <w:spacing w:before="40" w:after="40"/>
              <w:rPr>
                <w:lang w:eastAsia="en-AU"/>
              </w:rPr>
            </w:pPr>
            <w:r w:rsidRPr="007B0653">
              <w:rPr>
                <w:lang w:eastAsia="en-AU"/>
              </w:rPr>
              <w:t>Tracy Beaton</w:t>
            </w:r>
          </w:p>
        </w:tc>
        <w:tc>
          <w:tcPr>
            <w:tcW w:w="1694" w:type="pct"/>
            <w:tcBorders>
              <w:top w:val="single" w:sz="4" w:space="0" w:color="000000" w:themeColor="text1"/>
              <w:bottom w:val="single" w:sz="4" w:space="0" w:color="000000" w:themeColor="text1"/>
            </w:tcBorders>
            <w:tcMar>
              <w:left w:w="113" w:type="dxa"/>
            </w:tcMar>
            <w:hideMark/>
          </w:tcPr>
          <w:p w14:paraId="3525AFCB" w14:textId="77777777" w:rsidR="006E51BF" w:rsidRPr="007B0653" w:rsidRDefault="006E51BF" w:rsidP="00F77100">
            <w:pPr>
              <w:pStyle w:val="ARfintabletext8p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7B0653">
              <w:rPr>
                <w:lang w:eastAsia="en-AU"/>
              </w:rPr>
              <w:t>Principal Commissioner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01D5DD89" w14:textId="77777777" w:rsidR="006E51BF" w:rsidRPr="007B0653" w:rsidRDefault="006E51BF" w:rsidP="00F77100">
            <w:pPr>
              <w:pStyle w:val="ARfintabletext8pt"/>
              <w:spacing w:before="40" w:after="40"/>
              <w:rPr>
                <w:lang w:eastAsia="en-AU"/>
              </w:rPr>
            </w:pPr>
            <w:r w:rsidRPr="007B0653">
              <w:rPr>
                <w:lang w:eastAsia="en-AU"/>
              </w:rPr>
              <w:t xml:space="preserve">22 December 2025 to </w:t>
            </w:r>
            <w:r>
              <w:rPr>
                <w:lang w:eastAsia="en-AU"/>
              </w:rPr>
              <w:br/>
            </w:r>
            <w:r w:rsidRPr="007B0653">
              <w:rPr>
                <w:lang w:eastAsia="en-AU"/>
              </w:rPr>
              <w:t>30 June 2026</w:t>
            </w:r>
          </w:p>
        </w:tc>
      </w:tr>
      <w:tr w:rsidR="006E51BF" w:rsidRPr="00971671" w14:paraId="14DB7A7D" w14:textId="77777777" w:rsidTr="00F77100">
        <w:trPr>
          <w:cnfStyle w:val="000000010000" w:firstRow="0" w:lastRow="0" w:firstColumn="0" w:lastColumn="0" w:oddVBand="0" w:evenVBand="0" w:oddHBand="0" w:evenHBand="1"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1BB3A570" w14:textId="77777777" w:rsidR="006E51BF" w:rsidRPr="007B0653" w:rsidRDefault="006E51BF" w:rsidP="00F77100">
            <w:pPr>
              <w:pStyle w:val="ARfintabletext8pt"/>
              <w:spacing w:before="40" w:after="40"/>
              <w:rPr>
                <w:lang w:eastAsia="en-AU"/>
              </w:rPr>
            </w:pPr>
            <w:r w:rsidRPr="007B0653">
              <w:rPr>
                <w:lang w:eastAsia="en-AU"/>
              </w:rPr>
              <w:t>Commission for Children &amp; Young People</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55DE6AE8" w14:textId="77777777" w:rsidR="006E51BF" w:rsidRPr="007B0653" w:rsidRDefault="006E51BF" w:rsidP="00F77100">
            <w:pPr>
              <w:pStyle w:val="ARfintabletext8pt"/>
              <w:spacing w:before="40" w:after="40"/>
              <w:rPr>
                <w:lang w:eastAsia="en-AU"/>
              </w:rPr>
            </w:pPr>
            <w:r w:rsidRPr="007B0653">
              <w:rPr>
                <w:lang w:eastAsia="en-AU"/>
              </w:rPr>
              <w:t>Leanne Barnes</w:t>
            </w:r>
          </w:p>
        </w:tc>
        <w:tc>
          <w:tcPr>
            <w:tcW w:w="1694" w:type="pct"/>
            <w:tcBorders>
              <w:top w:val="single" w:sz="4" w:space="0" w:color="000000" w:themeColor="text1"/>
              <w:bottom w:val="single" w:sz="4" w:space="0" w:color="000000" w:themeColor="text1"/>
            </w:tcBorders>
            <w:tcMar>
              <w:left w:w="113" w:type="dxa"/>
            </w:tcMar>
            <w:hideMark/>
          </w:tcPr>
          <w:p w14:paraId="50B81DD6" w14:textId="77777777" w:rsidR="006E51BF" w:rsidRPr="007B0653" w:rsidRDefault="006E51BF" w:rsidP="00F77100">
            <w:pPr>
              <w:pStyle w:val="ARfintabletext8p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7B0653">
              <w:rPr>
                <w:lang w:eastAsia="en-AU"/>
              </w:rPr>
              <w:t>Chief Executive Officer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425D6AEA" w14:textId="77777777" w:rsidR="006E51BF" w:rsidRPr="007B0653" w:rsidRDefault="006E51BF" w:rsidP="00F77100">
            <w:pPr>
              <w:pStyle w:val="ARfintabletext8pt"/>
              <w:spacing w:before="40" w:after="40"/>
              <w:rPr>
                <w:lang w:eastAsia="en-AU"/>
              </w:rPr>
            </w:pPr>
            <w:r w:rsidRPr="007B0653">
              <w:rPr>
                <w:lang w:eastAsia="en-AU"/>
              </w:rPr>
              <w:t>1 July 2025 to 30 June 2026</w:t>
            </w:r>
          </w:p>
        </w:tc>
      </w:tr>
      <w:tr w:rsidR="006E51BF" w:rsidRPr="00971671" w14:paraId="5DA0A6DF" w14:textId="77777777" w:rsidTr="00F77100">
        <w:trPr>
          <w:cnfStyle w:val="000000100000" w:firstRow="0" w:lastRow="0" w:firstColumn="0" w:lastColumn="0" w:oddVBand="0" w:evenVBand="0" w:oddHBand="1" w:evenHBand="0"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42F6BAF7" w14:textId="77777777" w:rsidR="006E51BF" w:rsidRPr="007B0653" w:rsidRDefault="006E51BF" w:rsidP="00F77100">
            <w:pPr>
              <w:pStyle w:val="ARfintabletext8pt"/>
              <w:spacing w:before="40" w:after="40"/>
              <w:rPr>
                <w:lang w:eastAsia="en-AU"/>
              </w:rPr>
            </w:pPr>
            <w:r w:rsidRPr="007B0653">
              <w:rPr>
                <w:lang w:eastAsia="en-AU"/>
              </w:rPr>
              <w:t>Commission for Children &amp; Young People</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0E6F805B" w14:textId="77777777" w:rsidR="006E51BF" w:rsidRPr="007B0653" w:rsidRDefault="006E51BF" w:rsidP="00F77100">
            <w:pPr>
              <w:pStyle w:val="ARfintabletext8pt"/>
              <w:spacing w:before="40" w:after="40"/>
              <w:rPr>
                <w:lang w:eastAsia="en-AU"/>
              </w:rPr>
            </w:pPr>
            <w:r w:rsidRPr="007B0653">
              <w:rPr>
                <w:lang w:eastAsia="en-AU"/>
              </w:rPr>
              <w:t>Emily Sanders</w:t>
            </w:r>
          </w:p>
        </w:tc>
        <w:tc>
          <w:tcPr>
            <w:tcW w:w="1694" w:type="pct"/>
            <w:tcBorders>
              <w:top w:val="single" w:sz="4" w:space="0" w:color="000000" w:themeColor="text1"/>
              <w:bottom w:val="single" w:sz="4" w:space="0" w:color="000000" w:themeColor="text1"/>
            </w:tcBorders>
            <w:tcMar>
              <w:left w:w="113" w:type="dxa"/>
            </w:tcMar>
            <w:hideMark/>
          </w:tcPr>
          <w:p w14:paraId="669BE8BD" w14:textId="77777777" w:rsidR="006E51BF" w:rsidRPr="007B0653" w:rsidRDefault="006E51BF" w:rsidP="00F77100">
            <w:pPr>
              <w:pStyle w:val="ARfintabletext8p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7B0653">
              <w:rPr>
                <w:lang w:eastAsia="en-AU"/>
              </w:rPr>
              <w:t>Acting Chief Executive Officer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063C9805" w14:textId="77777777" w:rsidR="006E51BF" w:rsidRPr="007B0653" w:rsidRDefault="006E51BF" w:rsidP="00F77100">
            <w:pPr>
              <w:pStyle w:val="ARfintabletext8pt"/>
              <w:spacing w:before="40" w:after="40"/>
              <w:rPr>
                <w:lang w:eastAsia="en-AU"/>
              </w:rPr>
            </w:pPr>
            <w:r w:rsidRPr="007B0653">
              <w:rPr>
                <w:lang w:eastAsia="en-AU"/>
              </w:rPr>
              <w:t xml:space="preserve">27 October 2025 to </w:t>
            </w:r>
            <w:r>
              <w:rPr>
                <w:lang w:eastAsia="en-AU"/>
              </w:rPr>
              <w:br/>
            </w:r>
            <w:r w:rsidRPr="007B0653">
              <w:rPr>
                <w:lang w:eastAsia="en-AU"/>
              </w:rPr>
              <w:t>7 November 2025</w:t>
            </w:r>
          </w:p>
        </w:tc>
      </w:tr>
      <w:tr w:rsidR="006E51BF" w:rsidRPr="00971671" w14:paraId="2DDB05BE" w14:textId="77777777" w:rsidTr="00F77100">
        <w:trPr>
          <w:cnfStyle w:val="000000010000" w:firstRow="0" w:lastRow="0" w:firstColumn="0" w:lastColumn="0" w:oddVBand="0" w:evenVBand="0" w:oddHBand="0" w:evenHBand="1"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772E958C" w14:textId="77777777" w:rsidR="006E51BF" w:rsidRPr="007B0653" w:rsidRDefault="006E51BF" w:rsidP="00F77100">
            <w:pPr>
              <w:pStyle w:val="ARfintabletext8pt"/>
              <w:spacing w:before="40" w:after="40"/>
              <w:rPr>
                <w:lang w:eastAsia="en-AU"/>
              </w:rPr>
            </w:pPr>
            <w:r w:rsidRPr="007B0653">
              <w:rPr>
                <w:lang w:eastAsia="en-AU"/>
              </w:rPr>
              <w:t>Commission for Children &amp; Young People</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512C0236" w14:textId="77777777" w:rsidR="006E51BF" w:rsidRPr="007B0653" w:rsidRDefault="006E51BF" w:rsidP="00F77100">
            <w:pPr>
              <w:pStyle w:val="ARfintabletext8pt"/>
              <w:spacing w:before="40" w:after="40"/>
              <w:rPr>
                <w:lang w:eastAsia="en-AU"/>
              </w:rPr>
            </w:pPr>
            <w:r w:rsidRPr="007B0653">
              <w:rPr>
                <w:lang w:eastAsia="en-AU"/>
              </w:rPr>
              <w:t>Todd Sweeney</w:t>
            </w:r>
          </w:p>
        </w:tc>
        <w:tc>
          <w:tcPr>
            <w:tcW w:w="1694" w:type="pct"/>
            <w:tcBorders>
              <w:top w:val="single" w:sz="4" w:space="0" w:color="000000" w:themeColor="text1"/>
              <w:bottom w:val="single" w:sz="4" w:space="0" w:color="000000" w:themeColor="text1"/>
            </w:tcBorders>
            <w:tcMar>
              <w:left w:w="113" w:type="dxa"/>
            </w:tcMar>
            <w:hideMark/>
          </w:tcPr>
          <w:p w14:paraId="205DB041" w14:textId="77777777" w:rsidR="006E51BF" w:rsidRPr="007B0653" w:rsidRDefault="006E51BF" w:rsidP="00F77100">
            <w:pPr>
              <w:pStyle w:val="ARfintabletext8p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7B0653">
              <w:rPr>
                <w:lang w:eastAsia="en-AU"/>
              </w:rPr>
              <w:t>Acting Chief Executive Officer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453F70E6" w14:textId="77777777" w:rsidR="006E51BF" w:rsidRPr="007B0653" w:rsidRDefault="006E51BF" w:rsidP="00F77100">
            <w:pPr>
              <w:pStyle w:val="ARfintabletext8pt"/>
              <w:spacing w:before="40" w:after="40"/>
              <w:rPr>
                <w:lang w:eastAsia="en-AU"/>
              </w:rPr>
            </w:pPr>
            <w:r w:rsidRPr="007B0653">
              <w:rPr>
                <w:lang w:eastAsia="en-AU"/>
              </w:rPr>
              <w:t>30 March 2026 to 17 April 2026</w:t>
            </w:r>
          </w:p>
        </w:tc>
      </w:tr>
      <w:tr w:rsidR="006E51BF" w:rsidRPr="00971671" w14:paraId="24F39429" w14:textId="77777777" w:rsidTr="00F77100">
        <w:trPr>
          <w:cnfStyle w:val="000000100000" w:firstRow="0" w:lastRow="0" w:firstColumn="0" w:lastColumn="0" w:oddVBand="0" w:evenVBand="0" w:oddHBand="1" w:evenHBand="0"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467809DD" w14:textId="77777777" w:rsidR="006E51BF" w:rsidRPr="007B0653" w:rsidRDefault="006E51BF" w:rsidP="00F77100">
            <w:pPr>
              <w:pStyle w:val="ARfintabletext8pt"/>
              <w:spacing w:before="40" w:after="40"/>
              <w:rPr>
                <w:lang w:eastAsia="en-AU"/>
              </w:rPr>
            </w:pPr>
            <w:r w:rsidRPr="007B0653">
              <w:rPr>
                <w:lang w:eastAsia="en-AU"/>
              </w:rPr>
              <w:t>Disability Services Commissioner</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061F33D6" w14:textId="77777777" w:rsidR="006E51BF" w:rsidRPr="007B0653" w:rsidRDefault="006E51BF" w:rsidP="00F77100">
            <w:pPr>
              <w:pStyle w:val="ARfintabletext8pt"/>
              <w:spacing w:before="40" w:after="40"/>
              <w:rPr>
                <w:lang w:eastAsia="en-AU"/>
              </w:rPr>
            </w:pPr>
            <w:r w:rsidRPr="007B0653">
              <w:rPr>
                <w:lang w:eastAsia="en-AU"/>
              </w:rPr>
              <w:t>Jennifer Jackson-Hall</w:t>
            </w:r>
          </w:p>
        </w:tc>
        <w:tc>
          <w:tcPr>
            <w:tcW w:w="1694" w:type="pct"/>
            <w:tcBorders>
              <w:top w:val="single" w:sz="4" w:space="0" w:color="000000" w:themeColor="text1"/>
              <w:bottom w:val="single" w:sz="4" w:space="0" w:color="000000" w:themeColor="text1"/>
            </w:tcBorders>
            <w:tcMar>
              <w:left w:w="113" w:type="dxa"/>
            </w:tcMar>
            <w:hideMark/>
          </w:tcPr>
          <w:p w14:paraId="76145655" w14:textId="77777777" w:rsidR="006E51BF" w:rsidRPr="007B0653" w:rsidRDefault="006E51BF" w:rsidP="00F77100">
            <w:pPr>
              <w:pStyle w:val="ARfintabletext8p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7B0653">
              <w:rPr>
                <w:lang w:eastAsia="en-AU"/>
              </w:rPr>
              <w:t>Commissioner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0540E08F" w14:textId="77777777" w:rsidR="006E51BF" w:rsidRPr="007B0653" w:rsidRDefault="006E51BF" w:rsidP="00F77100">
            <w:pPr>
              <w:pStyle w:val="ARfintabletext8pt"/>
              <w:spacing w:before="40" w:after="40"/>
              <w:rPr>
                <w:lang w:eastAsia="en-AU"/>
              </w:rPr>
            </w:pPr>
            <w:r w:rsidRPr="007B0653">
              <w:rPr>
                <w:lang w:eastAsia="en-AU"/>
              </w:rPr>
              <w:t>1 July 2025 to 30 April 2026</w:t>
            </w:r>
          </w:p>
        </w:tc>
      </w:tr>
      <w:tr w:rsidR="006E51BF" w:rsidRPr="00971671" w14:paraId="3ECA34FD" w14:textId="77777777" w:rsidTr="00F77100">
        <w:trPr>
          <w:cnfStyle w:val="000000010000" w:firstRow="0" w:lastRow="0" w:firstColumn="0" w:lastColumn="0" w:oddVBand="0" w:evenVBand="0" w:oddHBand="0" w:evenHBand="1"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2F87A3F0" w14:textId="77777777" w:rsidR="006E51BF" w:rsidRPr="007B0653" w:rsidRDefault="006E51BF" w:rsidP="00F77100">
            <w:pPr>
              <w:pStyle w:val="ARfintabletext8pt"/>
              <w:spacing w:before="40" w:after="40"/>
              <w:rPr>
                <w:lang w:eastAsia="en-AU"/>
              </w:rPr>
            </w:pPr>
            <w:r w:rsidRPr="007B0653">
              <w:rPr>
                <w:lang w:eastAsia="en-AU"/>
              </w:rPr>
              <w:t>Disability Worker Registration Board of</w:t>
            </w:r>
            <w:r>
              <w:rPr>
                <w:lang w:eastAsia="en-AU"/>
              </w:rPr>
              <w:t> </w:t>
            </w:r>
            <w:r w:rsidRPr="007B0653">
              <w:rPr>
                <w:lang w:eastAsia="en-AU"/>
              </w:rPr>
              <w:t xml:space="preserve">Victoria </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01A90D20" w14:textId="77777777" w:rsidR="006E51BF" w:rsidRPr="007B0653" w:rsidRDefault="006E51BF" w:rsidP="00F77100">
            <w:pPr>
              <w:pStyle w:val="ARfintabletext8pt"/>
              <w:spacing w:before="40" w:after="40"/>
              <w:rPr>
                <w:lang w:eastAsia="en-AU"/>
              </w:rPr>
            </w:pPr>
            <w:r w:rsidRPr="007B0653">
              <w:rPr>
                <w:lang w:eastAsia="en-AU"/>
              </w:rPr>
              <w:t>Melanie Eagle</w:t>
            </w:r>
          </w:p>
        </w:tc>
        <w:tc>
          <w:tcPr>
            <w:tcW w:w="1694" w:type="pct"/>
            <w:tcBorders>
              <w:top w:val="single" w:sz="4" w:space="0" w:color="000000" w:themeColor="text1"/>
              <w:bottom w:val="single" w:sz="4" w:space="0" w:color="000000" w:themeColor="text1"/>
            </w:tcBorders>
            <w:tcMar>
              <w:left w:w="113" w:type="dxa"/>
            </w:tcMar>
            <w:hideMark/>
          </w:tcPr>
          <w:p w14:paraId="4D693D6C" w14:textId="77777777" w:rsidR="006E51BF" w:rsidRPr="007B0653" w:rsidRDefault="006E51BF" w:rsidP="00F77100">
            <w:pPr>
              <w:pStyle w:val="ARfintabletext8p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7B0653">
              <w:rPr>
                <w:lang w:eastAsia="en-AU"/>
              </w:rPr>
              <w:t>Chairperson</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596625EF" w14:textId="77777777" w:rsidR="006E51BF" w:rsidRPr="007B0653" w:rsidRDefault="006E51BF" w:rsidP="00F77100">
            <w:pPr>
              <w:pStyle w:val="ARfintabletext8pt"/>
              <w:spacing w:before="40" w:after="40"/>
              <w:rPr>
                <w:lang w:eastAsia="en-AU"/>
              </w:rPr>
            </w:pPr>
            <w:r w:rsidRPr="007B0653">
              <w:rPr>
                <w:lang w:eastAsia="en-AU"/>
              </w:rPr>
              <w:t>1 July 2025 to 30 June 2026</w:t>
            </w:r>
          </w:p>
        </w:tc>
      </w:tr>
      <w:tr w:rsidR="006E51BF" w:rsidRPr="00971671" w14:paraId="679F29A7" w14:textId="77777777" w:rsidTr="00F77100">
        <w:trPr>
          <w:cnfStyle w:val="000000100000" w:firstRow="0" w:lastRow="0" w:firstColumn="0" w:lastColumn="0" w:oddVBand="0" w:evenVBand="0" w:oddHBand="1" w:evenHBand="0"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6E5FAEB7" w14:textId="77777777" w:rsidR="006E51BF" w:rsidRPr="007B0653" w:rsidRDefault="006E51BF" w:rsidP="00F77100">
            <w:pPr>
              <w:pStyle w:val="ARfintabletext8pt"/>
              <w:spacing w:before="40" w:after="40"/>
              <w:rPr>
                <w:lang w:eastAsia="en-AU"/>
              </w:rPr>
            </w:pPr>
            <w:r w:rsidRPr="007B0653">
              <w:rPr>
                <w:lang w:eastAsia="en-AU"/>
              </w:rPr>
              <w:t>Respect Victoria</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67BE9664" w14:textId="77777777" w:rsidR="006E51BF" w:rsidRPr="007B0653" w:rsidRDefault="006E51BF" w:rsidP="00F77100">
            <w:pPr>
              <w:pStyle w:val="ARfintabletext8pt"/>
              <w:spacing w:before="40" w:after="40"/>
              <w:rPr>
                <w:lang w:eastAsia="en-AU"/>
              </w:rPr>
            </w:pPr>
            <w:r w:rsidRPr="007B0653">
              <w:rPr>
                <w:lang w:eastAsia="en-AU"/>
              </w:rPr>
              <w:t>Helen Bolton</w:t>
            </w:r>
          </w:p>
        </w:tc>
        <w:tc>
          <w:tcPr>
            <w:tcW w:w="1694" w:type="pct"/>
            <w:tcBorders>
              <w:top w:val="single" w:sz="4" w:space="0" w:color="000000" w:themeColor="text1"/>
              <w:bottom w:val="single" w:sz="4" w:space="0" w:color="000000" w:themeColor="text1"/>
            </w:tcBorders>
            <w:tcMar>
              <w:left w:w="113" w:type="dxa"/>
            </w:tcMar>
            <w:hideMark/>
          </w:tcPr>
          <w:p w14:paraId="159C7A89" w14:textId="77777777" w:rsidR="006E51BF" w:rsidRPr="007B0653" w:rsidRDefault="006E51BF" w:rsidP="00F77100">
            <w:pPr>
              <w:pStyle w:val="ARfintabletext8p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7B0653">
              <w:rPr>
                <w:lang w:eastAsia="en-AU"/>
              </w:rPr>
              <w:t>Chief Executive Officer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2F158514" w14:textId="77777777" w:rsidR="006E51BF" w:rsidRPr="007B0653" w:rsidRDefault="006E51BF" w:rsidP="00F77100">
            <w:pPr>
              <w:pStyle w:val="ARfintabletext8pt"/>
              <w:spacing w:before="40" w:after="40"/>
              <w:rPr>
                <w:lang w:eastAsia="en-AU"/>
              </w:rPr>
            </w:pPr>
            <w:r w:rsidRPr="007B0653">
              <w:rPr>
                <w:lang w:eastAsia="en-AU"/>
              </w:rPr>
              <w:t>1 July 2025 to 30 June 2026</w:t>
            </w:r>
          </w:p>
        </w:tc>
      </w:tr>
      <w:tr w:rsidR="006E51BF" w:rsidRPr="00971671" w14:paraId="7596328F" w14:textId="77777777" w:rsidTr="00F77100">
        <w:trPr>
          <w:cnfStyle w:val="000000010000" w:firstRow="0" w:lastRow="0" w:firstColumn="0" w:lastColumn="0" w:oddVBand="0" w:evenVBand="0" w:oddHBand="0" w:evenHBand="1"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600DE041" w14:textId="77777777" w:rsidR="006E51BF" w:rsidRPr="007B0653" w:rsidRDefault="006E51BF" w:rsidP="00F77100">
            <w:pPr>
              <w:pStyle w:val="ARfintabletext8pt"/>
              <w:spacing w:before="40" w:after="40"/>
              <w:rPr>
                <w:lang w:eastAsia="en-AU"/>
              </w:rPr>
            </w:pPr>
            <w:r w:rsidRPr="007B0653">
              <w:rPr>
                <w:lang w:eastAsia="en-AU"/>
              </w:rPr>
              <w:t>Respect Victoria</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0F610FBB" w14:textId="77777777" w:rsidR="006E51BF" w:rsidRPr="007B0653" w:rsidRDefault="006E51BF" w:rsidP="00F77100">
            <w:pPr>
              <w:pStyle w:val="ARfintabletext8pt"/>
              <w:spacing w:before="40" w:after="40"/>
              <w:rPr>
                <w:lang w:eastAsia="en-AU"/>
              </w:rPr>
            </w:pPr>
            <w:r w:rsidRPr="007B0653">
              <w:rPr>
                <w:lang w:eastAsia="en-AU"/>
              </w:rPr>
              <w:t>Jacquie O'Brien</w:t>
            </w:r>
          </w:p>
        </w:tc>
        <w:tc>
          <w:tcPr>
            <w:tcW w:w="1694" w:type="pct"/>
            <w:tcBorders>
              <w:top w:val="single" w:sz="4" w:space="0" w:color="000000" w:themeColor="text1"/>
              <w:bottom w:val="single" w:sz="4" w:space="0" w:color="000000" w:themeColor="text1"/>
            </w:tcBorders>
            <w:tcMar>
              <w:left w:w="113" w:type="dxa"/>
            </w:tcMar>
            <w:hideMark/>
          </w:tcPr>
          <w:p w14:paraId="19A544EA" w14:textId="77777777" w:rsidR="006E51BF" w:rsidRPr="007B0653" w:rsidRDefault="006E51BF" w:rsidP="00F77100">
            <w:pPr>
              <w:pStyle w:val="ARfintabletext8p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7B0653">
              <w:rPr>
                <w:lang w:eastAsia="en-AU"/>
              </w:rPr>
              <w:t>Acting Chief Executive Officer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74517F86" w14:textId="77777777" w:rsidR="006E51BF" w:rsidRPr="007B0653" w:rsidRDefault="006E51BF" w:rsidP="00F77100">
            <w:pPr>
              <w:pStyle w:val="ARfintabletext8pt"/>
              <w:spacing w:before="40" w:after="40"/>
              <w:rPr>
                <w:lang w:eastAsia="en-AU"/>
              </w:rPr>
            </w:pPr>
            <w:r w:rsidRPr="007B0653">
              <w:rPr>
                <w:lang w:eastAsia="en-AU"/>
              </w:rPr>
              <w:t>2 April 2026 to 15 April 2026</w:t>
            </w:r>
          </w:p>
        </w:tc>
      </w:tr>
      <w:tr w:rsidR="006E51BF" w:rsidRPr="00971671" w14:paraId="57036B13" w14:textId="77777777" w:rsidTr="00F77100">
        <w:trPr>
          <w:cnfStyle w:val="000000100000" w:firstRow="0" w:lastRow="0" w:firstColumn="0" w:lastColumn="0" w:oddVBand="0" w:evenVBand="0" w:oddHBand="1" w:evenHBand="0"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1E1E93F5" w14:textId="77777777" w:rsidR="006E51BF" w:rsidRPr="007B0653" w:rsidRDefault="006E51BF" w:rsidP="00F77100">
            <w:pPr>
              <w:pStyle w:val="ARfintabletext8pt"/>
              <w:spacing w:before="40" w:after="40"/>
              <w:rPr>
                <w:lang w:eastAsia="en-AU"/>
              </w:rPr>
            </w:pPr>
            <w:r w:rsidRPr="007B0653">
              <w:rPr>
                <w:lang w:eastAsia="en-AU"/>
              </w:rPr>
              <w:t>Respect Victoria</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161EE929" w14:textId="77777777" w:rsidR="006E51BF" w:rsidRPr="007B0653" w:rsidRDefault="006E51BF" w:rsidP="00F77100">
            <w:pPr>
              <w:pStyle w:val="ARfintabletext8pt"/>
              <w:spacing w:before="40" w:after="40"/>
              <w:rPr>
                <w:lang w:eastAsia="en-AU"/>
              </w:rPr>
            </w:pPr>
            <w:r w:rsidRPr="007B0653">
              <w:rPr>
                <w:lang w:eastAsia="en-AU"/>
              </w:rPr>
              <w:t>Kate Fitz-Gibbon</w:t>
            </w:r>
          </w:p>
        </w:tc>
        <w:tc>
          <w:tcPr>
            <w:tcW w:w="1694" w:type="pct"/>
            <w:tcBorders>
              <w:top w:val="single" w:sz="4" w:space="0" w:color="000000" w:themeColor="text1"/>
              <w:bottom w:val="single" w:sz="4" w:space="0" w:color="000000" w:themeColor="text1"/>
            </w:tcBorders>
            <w:tcMar>
              <w:left w:w="113" w:type="dxa"/>
            </w:tcMar>
            <w:hideMark/>
          </w:tcPr>
          <w:p w14:paraId="3AE3847D" w14:textId="77777777" w:rsidR="006E51BF" w:rsidRPr="007B0653" w:rsidRDefault="006E51BF" w:rsidP="00F77100">
            <w:pPr>
              <w:pStyle w:val="ARfintabletext8p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7B0653">
              <w:rPr>
                <w:lang w:eastAsia="en-AU"/>
              </w:rPr>
              <w:t>Chairperson</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455E8AE6" w14:textId="77777777" w:rsidR="006E51BF" w:rsidRPr="007B0653" w:rsidRDefault="006E51BF" w:rsidP="00F77100">
            <w:pPr>
              <w:pStyle w:val="ARfintabletext8pt"/>
              <w:spacing w:before="40" w:after="40"/>
              <w:rPr>
                <w:lang w:eastAsia="en-AU"/>
              </w:rPr>
            </w:pPr>
            <w:r w:rsidRPr="007B0653">
              <w:rPr>
                <w:lang w:eastAsia="en-AU"/>
              </w:rPr>
              <w:t>1 July 2025 to 30 June 2026</w:t>
            </w:r>
          </w:p>
        </w:tc>
      </w:tr>
      <w:tr w:rsidR="006E51BF" w:rsidRPr="00971671" w14:paraId="239DD2C4" w14:textId="77777777" w:rsidTr="00F77100">
        <w:trPr>
          <w:cnfStyle w:val="000000010000" w:firstRow="0" w:lastRow="0" w:firstColumn="0" w:lastColumn="0" w:oddVBand="0" w:evenVBand="0" w:oddHBand="0" w:evenHBand="1"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392FA9B8" w14:textId="77777777" w:rsidR="006E51BF" w:rsidRPr="007B0653" w:rsidRDefault="006E51BF" w:rsidP="00F77100">
            <w:pPr>
              <w:pStyle w:val="ARfintabletext8pt"/>
              <w:spacing w:before="40" w:after="40"/>
              <w:rPr>
                <w:lang w:eastAsia="en-AU"/>
              </w:rPr>
            </w:pPr>
            <w:r w:rsidRPr="007B0653">
              <w:rPr>
                <w:lang w:eastAsia="en-AU"/>
              </w:rPr>
              <w:t>Respect Victoria</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748ECE4F" w14:textId="77777777" w:rsidR="006E51BF" w:rsidRPr="007B0653" w:rsidRDefault="006E51BF" w:rsidP="00F77100">
            <w:pPr>
              <w:pStyle w:val="ARfintabletext8pt"/>
              <w:spacing w:before="40" w:after="40"/>
              <w:rPr>
                <w:lang w:eastAsia="en-AU"/>
              </w:rPr>
            </w:pPr>
            <w:r w:rsidRPr="007B0653">
              <w:rPr>
                <w:lang w:eastAsia="en-AU"/>
              </w:rPr>
              <w:t>Claudia Fatone</w:t>
            </w:r>
          </w:p>
        </w:tc>
        <w:tc>
          <w:tcPr>
            <w:tcW w:w="1694" w:type="pct"/>
            <w:tcBorders>
              <w:top w:val="single" w:sz="4" w:space="0" w:color="000000" w:themeColor="text1"/>
              <w:bottom w:val="single" w:sz="4" w:space="0" w:color="000000" w:themeColor="text1"/>
            </w:tcBorders>
            <w:tcMar>
              <w:left w:w="113" w:type="dxa"/>
            </w:tcMar>
            <w:hideMark/>
          </w:tcPr>
          <w:p w14:paraId="258D9E11" w14:textId="77777777" w:rsidR="006E51BF" w:rsidRPr="007B0653" w:rsidRDefault="006E51BF" w:rsidP="00F77100">
            <w:pPr>
              <w:pStyle w:val="ARfintabletext8p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7B0653">
              <w:rPr>
                <w:lang w:eastAsia="en-AU"/>
              </w:rPr>
              <w:t>Board Member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44F5C545" w14:textId="77777777" w:rsidR="006E51BF" w:rsidRPr="007B0653" w:rsidRDefault="006E51BF" w:rsidP="00F77100">
            <w:pPr>
              <w:pStyle w:val="ARfintabletext8pt"/>
              <w:spacing w:before="40" w:after="40"/>
              <w:rPr>
                <w:lang w:eastAsia="en-AU"/>
              </w:rPr>
            </w:pPr>
            <w:r w:rsidRPr="007B0653">
              <w:rPr>
                <w:lang w:eastAsia="en-AU"/>
              </w:rPr>
              <w:t>1 July 2025 to 30 June 2026</w:t>
            </w:r>
          </w:p>
        </w:tc>
      </w:tr>
      <w:tr w:rsidR="006E51BF" w:rsidRPr="00971671" w14:paraId="62EC7A84" w14:textId="77777777" w:rsidTr="00F77100">
        <w:trPr>
          <w:cnfStyle w:val="000000100000" w:firstRow="0" w:lastRow="0" w:firstColumn="0" w:lastColumn="0" w:oddVBand="0" w:evenVBand="0" w:oddHBand="1" w:evenHBand="0"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78AB75DA" w14:textId="77777777" w:rsidR="006E51BF" w:rsidRPr="007B0653" w:rsidRDefault="006E51BF" w:rsidP="00F77100">
            <w:pPr>
              <w:pStyle w:val="ARfintabletext8pt"/>
              <w:spacing w:before="40" w:after="40"/>
              <w:rPr>
                <w:lang w:eastAsia="en-AU"/>
              </w:rPr>
            </w:pPr>
            <w:r w:rsidRPr="007B0653">
              <w:rPr>
                <w:lang w:eastAsia="en-AU"/>
              </w:rPr>
              <w:t>Respect Victoria</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64D5256D" w14:textId="77777777" w:rsidR="006E51BF" w:rsidRPr="007B0653" w:rsidRDefault="006E51BF" w:rsidP="00F77100">
            <w:pPr>
              <w:pStyle w:val="ARfintabletext8pt"/>
              <w:spacing w:before="40" w:after="40"/>
              <w:rPr>
                <w:lang w:eastAsia="en-AU"/>
              </w:rPr>
            </w:pPr>
            <w:r w:rsidRPr="007B0653">
              <w:rPr>
                <w:lang w:eastAsia="en-AU"/>
              </w:rPr>
              <w:t>Maxine McKew</w:t>
            </w:r>
          </w:p>
        </w:tc>
        <w:tc>
          <w:tcPr>
            <w:tcW w:w="1694" w:type="pct"/>
            <w:tcBorders>
              <w:top w:val="single" w:sz="4" w:space="0" w:color="000000" w:themeColor="text1"/>
              <w:bottom w:val="single" w:sz="4" w:space="0" w:color="000000" w:themeColor="text1"/>
            </w:tcBorders>
            <w:tcMar>
              <w:left w:w="113" w:type="dxa"/>
            </w:tcMar>
            <w:hideMark/>
          </w:tcPr>
          <w:p w14:paraId="6009C2E7" w14:textId="77777777" w:rsidR="006E51BF" w:rsidRPr="007B0653" w:rsidRDefault="006E51BF" w:rsidP="00F77100">
            <w:pPr>
              <w:pStyle w:val="ARfintabletext8p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7B0653">
              <w:rPr>
                <w:lang w:eastAsia="en-AU"/>
              </w:rPr>
              <w:t>Board Member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7186FEDE" w14:textId="77777777" w:rsidR="006E51BF" w:rsidRPr="007B0653" w:rsidRDefault="006E51BF" w:rsidP="00F77100">
            <w:pPr>
              <w:pStyle w:val="ARfintabletext8pt"/>
              <w:spacing w:before="40" w:after="40"/>
              <w:rPr>
                <w:lang w:eastAsia="en-AU"/>
              </w:rPr>
            </w:pPr>
            <w:r w:rsidRPr="007B0653">
              <w:rPr>
                <w:lang w:eastAsia="en-AU"/>
              </w:rPr>
              <w:t>1 July 2025 to 30 June 2026</w:t>
            </w:r>
          </w:p>
        </w:tc>
      </w:tr>
      <w:tr w:rsidR="006E51BF" w:rsidRPr="00971671" w14:paraId="42087697" w14:textId="77777777" w:rsidTr="00F77100">
        <w:trPr>
          <w:cnfStyle w:val="000000010000" w:firstRow="0" w:lastRow="0" w:firstColumn="0" w:lastColumn="0" w:oddVBand="0" w:evenVBand="0" w:oddHBand="0" w:evenHBand="1"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2524FB23" w14:textId="77777777" w:rsidR="006E51BF" w:rsidRPr="007B0653" w:rsidRDefault="006E51BF" w:rsidP="00F77100">
            <w:pPr>
              <w:pStyle w:val="ARfintabletext8pt"/>
              <w:spacing w:before="40" w:after="40"/>
              <w:rPr>
                <w:lang w:eastAsia="en-AU"/>
              </w:rPr>
            </w:pPr>
            <w:r w:rsidRPr="007B0653">
              <w:rPr>
                <w:lang w:eastAsia="en-AU"/>
              </w:rPr>
              <w:t>Respect Victoria</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16C337BF" w14:textId="77777777" w:rsidR="006E51BF" w:rsidRPr="007B0653" w:rsidRDefault="006E51BF" w:rsidP="00F77100">
            <w:pPr>
              <w:pStyle w:val="ARfintabletext8pt"/>
              <w:spacing w:before="40" w:after="40"/>
              <w:rPr>
                <w:lang w:eastAsia="en-AU"/>
              </w:rPr>
            </w:pPr>
            <w:r w:rsidRPr="007B0653">
              <w:rPr>
                <w:lang w:eastAsia="en-AU"/>
              </w:rPr>
              <w:t>Hang Vo</w:t>
            </w:r>
          </w:p>
        </w:tc>
        <w:tc>
          <w:tcPr>
            <w:tcW w:w="1694" w:type="pct"/>
            <w:tcBorders>
              <w:top w:val="single" w:sz="4" w:space="0" w:color="000000" w:themeColor="text1"/>
              <w:bottom w:val="single" w:sz="4" w:space="0" w:color="000000" w:themeColor="text1"/>
            </w:tcBorders>
            <w:tcMar>
              <w:left w:w="113" w:type="dxa"/>
            </w:tcMar>
            <w:hideMark/>
          </w:tcPr>
          <w:p w14:paraId="5A3E5F8B" w14:textId="77777777" w:rsidR="006E51BF" w:rsidRPr="007B0653" w:rsidRDefault="006E51BF" w:rsidP="00F77100">
            <w:pPr>
              <w:pStyle w:val="ARfintabletext8p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7B0653">
              <w:rPr>
                <w:lang w:eastAsia="en-AU"/>
              </w:rPr>
              <w:t>Board Member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25E44A70" w14:textId="77777777" w:rsidR="006E51BF" w:rsidRPr="007B0653" w:rsidRDefault="006E51BF" w:rsidP="00F77100">
            <w:pPr>
              <w:pStyle w:val="ARfintabletext8pt"/>
              <w:spacing w:before="40" w:after="40"/>
              <w:rPr>
                <w:lang w:eastAsia="en-AU"/>
              </w:rPr>
            </w:pPr>
            <w:r w:rsidRPr="007B0653">
              <w:rPr>
                <w:lang w:eastAsia="en-AU"/>
              </w:rPr>
              <w:t>1 July 2025 to 30 June 2026</w:t>
            </w:r>
          </w:p>
        </w:tc>
      </w:tr>
      <w:tr w:rsidR="006E51BF" w:rsidRPr="00971671" w14:paraId="01072D77" w14:textId="77777777" w:rsidTr="00F77100">
        <w:trPr>
          <w:cnfStyle w:val="000000100000" w:firstRow="0" w:lastRow="0" w:firstColumn="0" w:lastColumn="0" w:oddVBand="0" w:evenVBand="0" w:oddHBand="1" w:evenHBand="0"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59BA58C5" w14:textId="77777777" w:rsidR="006E51BF" w:rsidRPr="007B0653" w:rsidRDefault="006E51BF" w:rsidP="00F77100">
            <w:pPr>
              <w:pStyle w:val="ARfintabletext8pt"/>
              <w:spacing w:before="40" w:after="40"/>
              <w:rPr>
                <w:lang w:eastAsia="en-AU"/>
              </w:rPr>
            </w:pPr>
            <w:r w:rsidRPr="007B0653">
              <w:rPr>
                <w:lang w:eastAsia="en-AU"/>
              </w:rPr>
              <w:t>Respect Victoria</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5CEC5635" w14:textId="77777777" w:rsidR="006E51BF" w:rsidRPr="007B0653" w:rsidRDefault="006E51BF" w:rsidP="00F77100">
            <w:pPr>
              <w:pStyle w:val="ARfintabletext8pt"/>
              <w:spacing w:before="40" w:after="40"/>
              <w:rPr>
                <w:lang w:eastAsia="en-AU"/>
              </w:rPr>
            </w:pPr>
            <w:r w:rsidRPr="007B0653">
              <w:rPr>
                <w:lang w:eastAsia="en-AU"/>
              </w:rPr>
              <w:t>Nesreen Bottriell</w:t>
            </w:r>
          </w:p>
        </w:tc>
        <w:tc>
          <w:tcPr>
            <w:tcW w:w="1694" w:type="pct"/>
            <w:tcBorders>
              <w:top w:val="single" w:sz="4" w:space="0" w:color="000000" w:themeColor="text1"/>
              <w:bottom w:val="single" w:sz="4" w:space="0" w:color="000000" w:themeColor="text1"/>
            </w:tcBorders>
            <w:tcMar>
              <w:left w:w="113" w:type="dxa"/>
            </w:tcMar>
            <w:hideMark/>
          </w:tcPr>
          <w:p w14:paraId="71B40485" w14:textId="77777777" w:rsidR="006E51BF" w:rsidRPr="007B0653" w:rsidRDefault="006E51BF" w:rsidP="00F77100">
            <w:pPr>
              <w:pStyle w:val="ARfintabletext8p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7B0653">
              <w:rPr>
                <w:lang w:eastAsia="en-AU"/>
              </w:rPr>
              <w:t>Board Member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221E5748" w14:textId="77777777" w:rsidR="006E51BF" w:rsidRPr="007B0653" w:rsidRDefault="006E51BF" w:rsidP="00F77100">
            <w:pPr>
              <w:pStyle w:val="ARfintabletext8pt"/>
              <w:spacing w:before="40" w:after="40"/>
              <w:rPr>
                <w:lang w:eastAsia="en-AU"/>
              </w:rPr>
            </w:pPr>
            <w:r w:rsidRPr="007B0653">
              <w:rPr>
                <w:lang w:eastAsia="en-AU"/>
              </w:rPr>
              <w:t>1 July 2025 to 30 June 2026</w:t>
            </w:r>
          </w:p>
        </w:tc>
      </w:tr>
      <w:tr w:rsidR="006E51BF" w:rsidRPr="00971671" w14:paraId="2565E13A" w14:textId="77777777" w:rsidTr="00F77100">
        <w:trPr>
          <w:cnfStyle w:val="000000010000" w:firstRow="0" w:lastRow="0" w:firstColumn="0" w:lastColumn="0" w:oddVBand="0" w:evenVBand="0" w:oddHBand="0" w:evenHBand="1"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0B67EC93" w14:textId="77777777" w:rsidR="006E51BF" w:rsidRPr="007B0653" w:rsidRDefault="006E51BF" w:rsidP="00F77100">
            <w:pPr>
              <w:pStyle w:val="ARfintabletext8pt"/>
              <w:spacing w:before="40" w:after="40"/>
              <w:rPr>
                <w:lang w:eastAsia="en-AU"/>
              </w:rPr>
            </w:pPr>
            <w:r w:rsidRPr="007B0653">
              <w:rPr>
                <w:lang w:eastAsia="en-AU"/>
              </w:rPr>
              <w:t>Respect Victoria</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2CEB7BAD" w14:textId="77777777" w:rsidR="006E51BF" w:rsidRPr="007B0653" w:rsidRDefault="006E51BF" w:rsidP="00F77100">
            <w:pPr>
              <w:pStyle w:val="ARfintabletext8pt"/>
              <w:spacing w:before="40" w:after="40"/>
              <w:rPr>
                <w:lang w:eastAsia="en-AU"/>
              </w:rPr>
            </w:pPr>
            <w:r w:rsidRPr="007B0653">
              <w:rPr>
                <w:lang w:eastAsia="en-AU"/>
              </w:rPr>
              <w:t>Steven Roberts</w:t>
            </w:r>
          </w:p>
        </w:tc>
        <w:tc>
          <w:tcPr>
            <w:tcW w:w="1694" w:type="pct"/>
            <w:tcBorders>
              <w:top w:val="single" w:sz="4" w:space="0" w:color="000000" w:themeColor="text1"/>
              <w:bottom w:val="single" w:sz="4" w:space="0" w:color="000000" w:themeColor="text1"/>
            </w:tcBorders>
            <w:tcMar>
              <w:left w:w="113" w:type="dxa"/>
            </w:tcMar>
            <w:hideMark/>
          </w:tcPr>
          <w:p w14:paraId="60F46AA2" w14:textId="77777777" w:rsidR="006E51BF" w:rsidRPr="007B0653" w:rsidRDefault="006E51BF" w:rsidP="00F77100">
            <w:pPr>
              <w:pStyle w:val="ARfintabletext8p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7B0653">
              <w:rPr>
                <w:lang w:eastAsia="en-AU"/>
              </w:rPr>
              <w:t>Board Member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1BABB5B0" w14:textId="77777777" w:rsidR="006E51BF" w:rsidRPr="007B0653" w:rsidRDefault="006E51BF" w:rsidP="00F77100">
            <w:pPr>
              <w:pStyle w:val="ARfintabletext8pt"/>
              <w:spacing w:before="40" w:after="40"/>
              <w:rPr>
                <w:lang w:eastAsia="en-AU"/>
              </w:rPr>
            </w:pPr>
            <w:r w:rsidRPr="007B0653">
              <w:rPr>
                <w:lang w:eastAsia="en-AU"/>
              </w:rPr>
              <w:t>1 July 2025 to 30 June 2026</w:t>
            </w:r>
          </w:p>
        </w:tc>
      </w:tr>
      <w:tr w:rsidR="006E51BF" w:rsidRPr="00971671" w14:paraId="6AFA2423" w14:textId="77777777" w:rsidTr="00F77100">
        <w:trPr>
          <w:cnfStyle w:val="000000100000" w:firstRow="0" w:lastRow="0" w:firstColumn="0" w:lastColumn="0" w:oddVBand="0" w:evenVBand="0" w:oddHBand="1" w:evenHBand="0"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507E4210" w14:textId="77777777" w:rsidR="006E51BF" w:rsidRPr="007B0653" w:rsidRDefault="006E51BF" w:rsidP="00F77100">
            <w:pPr>
              <w:pStyle w:val="ARfintabletext8pt"/>
              <w:spacing w:before="40" w:after="40"/>
              <w:rPr>
                <w:lang w:eastAsia="en-AU"/>
              </w:rPr>
            </w:pPr>
            <w:r w:rsidRPr="007B0653">
              <w:rPr>
                <w:lang w:eastAsia="en-AU"/>
              </w:rPr>
              <w:t>Respect Victoria</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16B95168" w14:textId="77777777" w:rsidR="006E51BF" w:rsidRPr="007B0653" w:rsidRDefault="006E51BF" w:rsidP="00F77100">
            <w:pPr>
              <w:pStyle w:val="ARfintabletext8pt"/>
              <w:spacing w:before="40" w:after="40"/>
              <w:rPr>
                <w:lang w:eastAsia="en-AU"/>
              </w:rPr>
            </w:pPr>
            <w:r w:rsidRPr="007B0653">
              <w:rPr>
                <w:lang w:eastAsia="en-AU"/>
              </w:rPr>
              <w:t>Jan Noblett</w:t>
            </w:r>
          </w:p>
        </w:tc>
        <w:tc>
          <w:tcPr>
            <w:tcW w:w="1694" w:type="pct"/>
            <w:tcBorders>
              <w:top w:val="single" w:sz="4" w:space="0" w:color="000000" w:themeColor="text1"/>
              <w:bottom w:val="single" w:sz="4" w:space="0" w:color="000000" w:themeColor="text1"/>
            </w:tcBorders>
            <w:tcMar>
              <w:left w:w="113" w:type="dxa"/>
            </w:tcMar>
            <w:hideMark/>
          </w:tcPr>
          <w:p w14:paraId="5E74C458" w14:textId="77777777" w:rsidR="006E51BF" w:rsidRPr="007B0653" w:rsidRDefault="006E51BF" w:rsidP="00F77100">
            <w:pPr>
              <w:pStyle w:val="ARfintabletext8p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7B0653">
              <w:rPr>
                <w:lang w:eastAsia="en-AU"/>
              </w:rPr>
              <w:t>Board Member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409D3B56" w14:textId="77777777" w:rsidR="006E51BF" w:rsidRPr="007B0653" w:rsidRDefault="006E51BF" w:rsidP="00F77100">
            <w:pPr>
              <w:pStyle w:val="ARfintabletext8pt"/>
              <w:spacing w:before="40" w:after="40"/>
              <w:rPr>
                <w:lang w:eastAsia="en-AU"/>
              </w:rPr>
            </w:pPr>
            <w:r w:rsidRPr="007B0653">
              <w:rPr>
                <w:lang w:eastAsia="en-AU"/>
              </w:rPr>
              <w:t>1 July 2025 to 30 June 2026</w:t>
            </w:r>
          </w:p>
        </w:tc>
      </w:tr>
      <w:tr w:rsidR="006E51BF" w:rsidRPr="00971671" w14:paraId="70447C5C" w14:textId="77777777" w:rsidTr="00F77100">
        <w:trPr>
          <w:cnfStyle w:val="000000010000" w:firstRow="0" w:lastRow="0" w:firstColumn="0" w:lastColumn="0" w:oddVBand="0" w:evenVBand="0" w:oddHBand="0" w:evenHBand="1"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19494103" w14:textId="77777777" w:rsidR="006E51BF" w:rsidRPr="007B0653" w:rsidRDefault="006E51BF" w:rsidP="00F77100">
            <w:pPr>
              <w:pStyle w:val="ARfintabletext8pt"/>
              <w:spacing w:before="40" w:after="40"/>
              <w:rPr>
                <w:lang w:eastAsia="en-AU"/>
              </w:rPr>
            </w:pPr>
            <w:r w:rsidRPr="007B0653">
              <w:rPr>
                <w:lang w:eastAsia="en-AU"/>
              </w:rPr>
              <w:t>Victorian Disability Worker Commission</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2A4FD1F4" w14:textId="77777777" w:rsidR="006E51BF" w:rsidRPr="007B0653" w:rsidRDefault="006E51BF" w:rsidP="00F77100">
            <w:pPr>
              <w:pStyle w:val="ARfintabletext8pt"/>
              <w:spacing w:before="40" w:after="40"/>
              <w:rPr>
                <w:lang w:eastAsia="en-AU"/>
              </w:rPr>
            </w:pPr>
            <w:r w:rsidRPr="007B0653">
              <w:rPr>
                <w:lang w:eastAsia="en-AU"/>
              </w:rPr>
              <w:t>Dan Stubbs</w:t>
            </w:r>
          </w:p>
        </w:tc>
        <w:tc>
          <w:tcPr>
            <w:tcW w:w="1694" w:type="pct"/>
            <w:tcBorders>
              <w:top w:val="single" w:sz="4" w:space="0" w:color="000000" w:themeColor="text1"/>
              <w:bottom w:val="single" w:sz="4" w:space="0" w:color="000000" w:themeColor="text1"/>
            </w:tcBorders>
            <w:tcMar>
              <w:left w:w="113" w:type="dxa"/>
            </w:tcMar>
            <w:hideMark/>
          </w:tcPr>
          <w:p w14:paraId="53364A84" w14:textId="77777777" w:rsidR="006E51BF" w:rsidRPr="007B0653" w:rsidRDefault="006E51BF" w:rsidP="00F77100">
            <w:pPr>
              <w:pStyle w:val="ARfintabletext8p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7B0653">
              <w:rPr>
                <w:lang w:eastAsia="en-AU"/>
              </w:rPr>
              <w:t>Commissioner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64D591BA" w14:textId="77777777" w:rsidR="006E51BF" w:rsidRPr="007B0653" w:rsidRDefault="006E51BF" w:rsidP="00F77100">
            <w:pPr>
              <w:pStyle w:val="ARfintabletext8pt"/>
              <w:spacing w:before="40" w:after="40"/>
              <w:rPr>
                <w:lang w:eastAsia="en-AU"/>
              </w:rPr>
            </w:pPr>
            <w:r w:rsidRPr="007B0653">
              <w:rPr>
                <w:lang w:eastAsia="en-AU"/>
              </w:rPr>
              <w:t>1 July 2025 to 7 November 2025</w:t>
            </w:r>
          </w:p>
        </w:tc>
      </w:tr>
      <w:tr w:rsidR="006E51BF" w:rsidRPr="00971671" w14:paraId="2C98C401" w14:textId="77777777" w:rsidTr="00F77100">
        <w:trPr>
          <w:cnfStyle w:val="000000100000" w:firstRow="0" w:lastRow="0" w:firstColumn="0" w:lastColumn="0" w:oddVBand="0" w:evenVBand="0" w:oddHBand="1" w:evenHBand="0"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0E63D5ED" w14:textId="77777777" w:rsidR="006E51BF" w:rsidRPr="007B0653" w:rsidRDefault="006E51BF" w:rsidP="00F77100">
            <w:pPr>
              <w:pStyle w:val="ARfintabletext8pt"/>
              <w:spacing w:before="40" w:after="40"/>
              <w:rPr>
                <w:lang w:eastAsia="en-AU"/>
              </w:rPr>
            </w:pPr>
            <w:r w:rsidRPr="007B0653">
              <w:rPr>
                <w:lang w:eastAsia="en-AU"/>
              </w:rPr>
              <w:t>Victorian Disability Worker Commission</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2712AC5B" w14:textId="77777777" w:rsidR="006E51BF" w:rsidRPr="007B0653" w:rsidRDefault="006E51BF" w:rsidP="00F77100">
            <w:pPr>
              <w:pStyle w:val="ARfintabletext8pt"/>
              <w:spacing w:before="40" w:after="40"/>
              <w:rPr>
                <w:lang w:eastAsia="en-AU"/>
              </w:rPr>
            </w:pPr>
            <w:r w:rsidRPr="007B0653">
              <w:rPr>
                <w:lang w:eastAsia="en-AU"/>
              </w:rPr>
              <w:t>Kate Maddern</w:t>
            </w:r>
          </w:p>
        </w:tc>
        <w:tc>
          <w:tcPr>
            <w:tcW w:w="1694" w:type="pct"/>
            <w:tcBorders>
              <w:top w:val="single" w:sz="4" w:space="0" w:color="000000" w:themeColor="text1"/>
              <w:bottom w:val="single" w:sz="4" w:space="0" w:color="000000" w:themeColor="text1"/>
            </w:tcBorders>
            <w:tcMar>
              <w:left w:w="113" w:type="dxa"/>
            </w:tcMar>
            <w:hideMark/>
          </w:tcPr>
          <w:p w14:paraId="126AEEEF" w14:textId="77777777" w:rsidR="006E51BF" w:rsidRPr="007B0653" w:rsidRDefault="006E51BF" w:rsidP="00F77100">
            <w:pPr>
              <w:pStyle w:val="ARfintabletext8p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7B0653">
              <w:rPr>
                <w:lang w:eastAsia="en-AU"/>
              </w:rPr>
              <w:t>Commissioner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2B5D126E" w14:textId="77777777" w:rsidR="006E51BF" w:rsidRPr="007B0653" w:rsidRDefault="006E51BF" w:rsidP="00F77100">
            <w:pPr>
              <w:pStyle w:val="ARfintabletext8pt"/>
              <w:spacing w:before="40" w:after="40"/>
              <w:rPr>
                <w:lang w:eastAsia="en-AU"/>
              </w:rPr>
            </w:pPr>
            <w:r w:rsidRPr="007B0653">
              <w:rPr>
                <w:lang w:eastAsia="en-AU"/>
              </w:rPr>
              <w:t xml:space="preserve">10 November 2025 to </w:t>
            </w:r>
            <w:r>
              <w:rPr>
                <w:lang w:eastAsia="en-AU"/>
              </w:rPr>
              <w:br/>
            </w:r>
            <w:r w:rsidRPr="007B0653">
              <w:rPr>
                <w:lang w:eastAsia="en-AU"/>
              </w:rPr>
              <w:t>30 June 2026</w:t>
            </w:r>
          </w:p>
        </w:tc>
      </w:tr>
      <w:tr w:rsidR="006E51BF" w:rsidRPr="00971671" w14:paraId="05ED8F6F" w14:textId="77777777" w:rsidTr="00F77100">
        <w:trPr>
          <w:cnfStyle w:val="000000010000" w:firstRow="0" w:lastRow="0" w:firstColumn="0" w:lastColumn="0" w:oddVBand="0" w:evenVBand="0" w:oddHBand="0" w:evenHBand="1"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7BA41D1F" w14:textId="77777777" w:rsidR="006E51BF" w:rsidRPr="007B0653" w:rsidRDefault="006E51BF" w:rsidP="00F77100">
            <w:pPr>
              <w:pStyle w:val="ARfintabletext8pt"/>
              <w:spacing w:before="40" w:after="40"/>
              <w:rPr>
                <w:lang w:eastAsia="en-AU"/>
              </w:rPr>
            </w:pPr>
            <w:r w:rsidRPr="007B0653">
              <w:rPr>
                <w:lang w:eastAsia="en-AU"/>
              </w:rPr>
              <w:t>Victorian Veterans Council</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61FE2865" w14:textId="77777777" w:rsidR="006E51BF" w:rsidRPr="007B0653" w:rsidRDefault="006E51BF" w:rsidP="00F77100">
            <w:pPr>
              <w:pStyle w:val="ARfintabletext8pt"/>
              <w:spacing w:before="40" w:after="40"/>
              <w:rPr>
                <w:lang w:eastAsia="en-AU"/>
              </w:rPr>
            </w:pPr>
            <w:r w:rsidRPr="007B0653">
              <w:rPr>
                <w:lang w:eastAsia="en-AU"/>
              </w:rPr>
              <w:t>Greg Yorke</w:t>
            </w:r>
          </w:p>
        </w:tc>
        <w:tc>
          <w:tcPr>
            <w:tcW w:w="1694" w:type="pct"/>
            <w:tcBorders>
              <w:top w:val="single" w:sz="4" w:space="0" w:color="000000" w:themeColor="text1"/>
              <w:bottom w:val="single" w:sz="4" w:space="0" w:color="000000" w:themeColor="text1"/>
            </w:tcBorders>
            <w:tcMar>
              <w:left w:w="113" w:type="dxa"/>
            </w:tcMar>
            <w:hideMark/>
          </w:tcPr>
          <w:p w14:paraId="6E608786" w14:textId="77777777" w:rsidR="006E51BF" w:rsidRPr="007B0653" w:rsidRDefault="006E51BF" w:rsidP="00F77100">
            <w:pPr>
              <w:pStyle w:val="ARfintabletext8p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7B0653">
              <w:rPr>
                <w:lang w:eastAsia="en-AU"/>
              </w:rPr>
              <w:t>Chairperson</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083C21E9" w14:textId="77777777" w:rsidR="006E51BF" w:rsidRPr="007B0653" w:rsidRDefault="006E51BF" w:rsidP="00F77100">
            <w:pPr>
              <w:pStyle w:val="ARfintabletext8pt"/>
              <w:spacing w:before="40" w:after="40"/>
              <w:rPr>
                <w:lang w:eastAsia="en-AU"/>
              </w:rPr>
            </w:pPr>
            <w:r w:rsidRPr="007B0653">
              <w:rPr>
                <w:lang w:eastAsia="en-AU"/>
              </w:rPr>
              <w:t>1 July 2025 to 30 June 2026</w:t>
            </w:r>
          </w:p>
        </w:tc>
      </w:tr>
      <w:tr w:rsidR="006E51BF" w:rsidRPr="00971671" w14:paraId="723F17F1" w14:textId="77777777" w:rsidTr="00F77100">
        <w:trPr>
          <w:cnfStyle w:val="000000100000" w:firstRow="0" w:lastRow="0" w:firstColumn="0" w:lastColumn="0" w:oddVBand="0" w:evenVBand="0" w:oddHBand="1" w:evenHBand="0"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05A45A1D" w14:textId="77777777" w:rsidR="006E51BF" w:rsidRPr="007B0653" w:rsidRDefault="006E51BF" w:rsidP="00F77100">
            <w:pPr>
              <w:pStyle w:val="ARfintabletext8pt"/>
              <w:spacing w:before="40" w:after="40"/>
              <w:rPr>
                <w:lang w:eastAsia="en-AU"/>
              </w:rPr>
            </w:pPr>
            <w:r w:rsidRPr="007B0653">
              <w:rPr>
                <w:lang w:eastAsia="en-AU"/>
              </w:rPr>
              <w:t>Victorian Veterans Council</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0D21B446" w14:textId="77777777" w:rsidR="006E51BF" w:rsidRPr="007B0653" w:rsidRDefault="006E51BF" w:rsidP="00F77100">
            <w:pPr>
              <w:pStyle w:val="ARfintabletext8pt"/>
              <w:spacing w:before="40" w:after="40"/>
              <w:rPr>
                <w:lang w:eastAsia="en-AU"/>
              </w:rPr>
            </w:pPr>
            <w:r w:rsidRPr="007B0653">
              <w:rPr>
                <w:lang w:eastAsia="en-AU"/>
              </w:rPr>
              <w:t>Brett West</w:t>
            </w:r>
          </w:p>
        </w:tc>
        <w:tc>
          <w:tcPr>
            <w:tcW w:w="1694" w:type="pct"/>
            <w:tcBorders>
              <w:top w:val="single" w:sz="4" w:space="0" w:color="000000" w:themeColor="text1"/>
              <w:bottom w:val="single" w:sz="4" w:space="0" w:color="000000" w:themeColor="text1"/>
            </w:tcBorders>
            <w:tcMar>
              <w:left w:w="113" w:type="dxa"/>
            </w:tcMar>
            <w:hideMark/>
          </w:tcPr>
          <w:p w14:paraId="610D9B93" w14:textId="77777777" w:rsidR="006E51BF" w:rsidRPr="007B0653" w:rsidRDefault="006E51BF" w:rsidP="00F77100">
            <w:pPr>
              <w:pStyle w:val="ARfintabletext8p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7B0653">
              <w:rPr>
                <w:lang w:eastAsia="en-AU"/>
              </w:rPr>
              <w:t>Acting Chairperson</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62162E71" w14:textId="77777777" w:rsidR="006E51BF" w:rsidRPr="007B0653" w:rsidRDefault="006E51BF" w:rsidP="00101BE7">
            <w:pPr>
              <w:pStyle w:val="ARfintabletext8pt"/>
              <w:spacing w:before="40" w:after="60"/>
              <w:rPr>
                <w:lang w:eastAsia="en-AU"/>
              </w:rPr>
            </w:pPr>
            <w:r w:rsidRPr="007B0653">
              <w:rPr>
                <w:lang w:eastAsia="en-AU"/>
              </w:rPr>
              <w:t>1 July 2025 to 15 July 2025</w:t>
            </w:r>
          </w:p>
          <w:p w14:paraId="08008F4E" w14:textId="77777777" w:rsidR="006E51BF" w:rsidRPr="007B0653" w:rsidRDefault="006E51BF" w:rsidP="00101BE7">
            <w:pPr>
              <w:pStyle w:val="ARfintabletext8pt"/>
              <w:spacing w:before="40" w:after="60"/>
              <w:rPr>
                <w:lang w:eastAsia="en-AU"/>
              </w:rPr>
            </w:pPr>
            <w:r w:rsidRPr="007B0653">
              <w:rPr>
                <w:lang w:eastAsia="en-AU"/>
              </w:rPr>
              <w:t xml:space="preserve">15 September 2025 to </w:t>
            </w:r>
            <w:r>
              <w:rPr>
                <w:lang w:eastAsia="en-AU"/>
              </w:rPr>
              <w:br/>
            </w:r>
            <w:r w:rsidRPr="007B0653">
              <w:rPr>
                <w:lang w:eastAsia="en-AU"/>
              </w:rPr>
              <w:t>2 November</w:t>
            </w:r>
            <w:r>
              <w:rPr>
                <w:lang w:eastAsia="en-AU"/>
              </w:rPr>
              <w:t> </w:t>
            </w:r>
            <w:r w:rsidRPr="007B0653">
              <w:rPr>
                <w:lang w:eastAsia="en-AU"/>
              </w:rPr>
              <w:t>2025</w:t>
            </w:r>
          </w:p>
          <w:p w14:paraId="1886462E" w14:textId="77777777" w:rsidR="006E51BF" w:rsidRPr="007B0653" w:rsidRDefault="006E51BF" w:rsidP="00101BE7">
            <w:pPr>
              <w:pStyle w:val="ARfintabletext8pt"/>
              <w:spacing w:before="40" w:after="60"/>
              <w:rPr>
                <w:lang w:eastAsia="en-AU"/>
              </w:rPr>
            </w:pPr>
            <w:r w:rsidRPr="007B0653">
              <w:rPr>
                <w:lang w:eastAsia="en-AU"/>
              </w:rPr>
              <w:t>14 March 2026 to 25 March 2026</w:t>
            </w:r>
          </w:p>
        </w:tc>
      </w:tr>
      <w:tr w:rsidR="006E51BF" w:rsidRPr="00971671" w14:paraId="471E9A5D" w14:textId="77777777" w:rsidTr="00F77100">
        <w:trPr>
          <w:cnfStyle w:val="000000010000" w:firstRow="0" w:lastRow="0" w:firstColumn="0" w:lastColumn="0" w:oddVBand="0" w:evenVBand="0" w:oddHBand="0" w:evenHBand="1"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79867275" w14:textId="77777777" w:rsidR="006E51BF" w:rsidRPr="007B0653" w:rsidRDefault="006E51BF" w:rsidP="00F77100">
            <w:pPr>
              <w:pStyle w:val="ARfintabletext8pt"/>
              <w:spacing w:before="40" w:after="40"/>
              <w:rPr>
                <w:lang w:eastAsia="en-AU"/>
              </w:rPr>
            </w:pPr>
            <w:r w:rsidRPr="007B0653">
              <w:rPr>
                <w:lang w:eastAsia="en-AU"/>
              </w:rPr>
              <w:t>Social Services Regulator</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35E1E0B9" w14:textId="77777777" w:rsidR="006E51BF" w:rsidRPr="007B0653" w:rsidRDefault="006E51BF" w:rsidP="00F77100">
            <w:pPr>
              <w:pStyle w:val="ARfintabletext8pt"/>
              <w:spacing w:before="40" w:after="40"/>
              <w:rPr>
                <w:lang w:eastAsia="en-AU"/>
              </w:rPr>
            </w:pPr>
            <w:r w:rsidRPr="007B0653">
              <w:rPr>
                <w:lang w:eastAsia="en-AU"/>
              </w:rPr>
              <w:t>Jonathan Kaplan</w:t>
            </w:r>
          </w:p>
        </w:tc>
        <w:tc>
          <w:tcPr>
            <w:tcW w:w="1694" w:type="pct"/>
            <w:tcBorders>
              <w:top w:val="single" w:sz="4" w:space="0" w:color="000000" w:themeColor="text1"/>
              <w:bottom w:val="single" w:sz="4" w:space="0" w:color="000000" w:themeColor="text1"/>
            </w:tcBorders>
            <w:tcMar>
              <w:left w:w="113" w:type="dxa"/>
            </w:tcMar>
            <w:hideMark/>
          </w:tcPr>
          <w:p w14:paraId="3576FA8A" w14:textId="77777777" w:rsidR="006E51BF" w:rsidRPr="007B0653" w:rsidRDefault="006E51BF" w:rsidP="00F77100">
            <w:pPr>
              <w:pStyle w:val="ARfintabletext8p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7B0653">
              <w:rPr>
                <w:lang w:eastAsia="en-AU"/>
              </w:rPr>
              <w:t>Social Services Regulator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3076581A" w14:textId="77777777" w:rsidR="006E51BF" w:rsidRPr="007B0653" w:rsidRDefault="006E51BF" w:rsidP="00F77100">
            <w:pPr>
              <w:pStyle w:val="ARfintabletext8pt"/>
              <w:spacing w:before="40" w:after="40"/>
              <w:rPr>
                <w:lang w:eastAsia="en-AU"/>
              </w:rPr>
            </w:pPr>
            <w:r w:rsidRPr="007B0653">
              <w:rPr>
                <w:lang w:eastAsia="en-AU"/>
              </w:rPr>
              <w:t>1 July 2025 to 30 June 2026</w:t>
            </w:r>
          </w:p>
        </w:tc>
      </w:tr>
      <w:tr w:rsidR="006E51BF" w:rsidRPr="00971671" w14:paraId="2418C798" w14:textId="77777777" w:rsidTr="00F77100">
        <w:trPr>
          <w:cnfStyle w:val="000000100000" w:firstRow="0" w:lastRow="0" w:firstColumn="0" w:lastColumn="0" w:oddVBand="0" w:evenVBand="0" w:oddHBand="1" w:evenHBand="0" w:firstRowFirstColumn="0" w:firstRowLastColumn="0" w:lastRowFirstColumn="0" w:lastRowLastColumn="0"/>
          <w:trHeight w:val="20"/>
        </w:trPr>
        <w:tc>
          <w:tcPr>
            <w:tcW w:w="998" w:type="pct"/>
            <w:tcBorders>
              <w:top w:val="single" w:sz="4" w:space="0" w:color="000000" w:themeColor="text1"/>
              <w:bottom w:val="single" w:sz="4" w:space="0" w:color="000000" w:themeColor="text1"/>
            </w:tcBorders>
            <w:hideMark/>
          </w:tcPr>
          <w:p w14:paraId="7C14AF1C" w14:textId="77777777" w:rsidR="006E51BF" w:rsidRPr="007B0653" w:rsidRDefault="006E51BF" w:rsidP="00F77100">
            <w:pPr>
              <w:pStyle w:val="ARfintabletext8pt"/>
              <w:spacing w:before="40" w:after="40"/>
              <w:rPr>
                <w:lang w:eastAsia="en-AU"/>
              </w:rPr>
            </w:pPr>
            <w:r w:rsidRPr="007B0653">
              <w:rPr>
                <w:lang w:eastAsia="en-AU"/>
              </w:rPr>
              <w:t>Social Services Regulator</w:t>
            </w:r>
          </w:p>
        </w:tc>
        <w:tc>
          <w:tcPr>
            <w:cnfStyle w:val="000001000000" w:firstRow="0" w:lastRow="0" w:firstColumn="0" w:lastColumn="0" w:oddVBand="0" w:evenVBand="1" w:oddHBand="0" w:evenHBand="0" w:firstRowFirstColumn="0" w:firstRowLastColumn="0" w:lastRowFirstColumn="0" w:lastRowLastColumn="0"/>
            <w:tcW w:w="911" w:type="pct"/>
            <w:tcBorders>
              <w:top w:val="single" w:sz="4" w:space="0" w:color="000000" w:themeColor="text1"/>
              <w:bottom w:val="single" w:sz="4" w:space="0" w:color="000000" w:themeColor="text1"/>
            </w:tcBorders>
            <w:noWrap/>
            <w:tcMar>
              <w:left w:w="113" w:type="dxa"/>
            </w:tcMar>
            <w:hideMark/>
          </w:tcPr>
          <w:p w14:paraId="408EB065" w14:textId="77777777" w:rsidR="006E51BF" w:rsidRPr="007B0653" w:rsidRDefault="006E51BF" w:rsidP="00F77100">
            <w:pPr>
              <w:pStyle w:val="ARfintabletext8pt"/>
              <w:spacing w:before="40" w:after="40"/>
              <w:rPr>
                <w:lang w:eastAsia="en-AU"/>
              </w:rPr>
            </w:pPr>
            <w:r w:rsidRPr="007B0653">
              <w:rPr>
                <w:lang w:eastAsia="en-AU"/>
              </w:rPr>
              <w:t>Richard Marks</w:t>
            </w:r>
          </w:p>
        </w:tc>
        <w:tc>
          <w:tcPr>
            <w:tcW w:w="1694" w:type="pct"/>
            <w:tcBorders>
              <w:top w:val="single" w:sz="4" w:space="0" w:color="000000" w:themeColor="text1"/>
              <w:bottom w:val="single" w:sz="4" w:space="0" w:color="000000" w:themeColor="text1"/>
            </w:tcBorders>
            <w:tcMar>
              <w:left w:w="113" w:type="dxa"/>
            </w:tcMar>
            <w:hideMark/>
          </w:tcPr>
          <w:p w14:paraId="3D11E9D5" w14:textId="77777777" w:rsidR="006E51BF" w:rsidRPr="007B0653" w:rsidRDefault="006E51BF" w:rsidP="00F77100">
            <w:pPr>
              <w:pStyle w:val="ARfintabletext8p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7B0653">
              <w:rPr>
                <w:lang w:eastAsia="en-AU"/>
              </w:rPr>
              <w:t>Acting Social Services Regulator</w:t>
            </w:r>
          </w:p>
        </w:tc>
        <w:tc>
          <w:tcPr>
            <w:cnfStyle w:val="000001000000" w:firstRow="0" w:lastRow="0" w:firstColumn="0" w:lastColumn="0" w:oddVBand="0" w:evenVBand="1" w:oddHBand="0" w:evenHBand="0" w:firstRowFirstColumn="0" w:firstRowLastColumn="0" w:lastRowFirstColumn="0" w:lastRowLastColumn="0"/>
            <w:tcW w:w="1397" w:type="pct"/>
            <w:tcBorders>
              <w:top w:val="single" w:sz="4" w:space="0" w:color="000000" w:themeColor="text1"/>
              <w:bottom w:val="single" w:sz="4" w:space="0" w:color="000000" w:themeColor="text1"/>
            </w:tcBorders>
            <w:tcMar>
              <w:left w:w="113" w:type="dxa"/>
            </w:tcMar>
            <w:hideMark/>
          </w:tcPr>
          <w:p w14:paraId="734473BB" w14:textId="77777777" w:rsidR="006E51BF" w:rsidRPr="007B0653" w:rsidRDefault="006E51BF" w:rsidP="00F77100">
            <w:pPr>
              <w:pStyle w:val="ARfintabletext8pt"/>
              <w:spacing w:before="40" w:after="40"/>
              <w:rPr>
                <w:lang w:eastAsia="en-AU"/>
              </w:rPr>
            </w:pPr>
            <w:r w:rsidRPr="007B0653">
              <w:rPr>
                <w:lang w:eastAsia="en-AU"/>
              </w:rPr>
              <w:t>1 July 2025 to 18 July 2025</w:t>
            </w:r>
          </w:p>
        </w:tc>
      </w:tr>
    </w:tbl>
    <w:p w14:paraId="5885B851" w14:textId="77777777" w:rsidR="006E51BF" w:rsidRPr="00DF103B" w:rsidRDefault="006E51BF">
      <w:pPr>
        <w:pStyle w:val="Heading5"/>
        <w:rPr>
          <w:lang w:eastAsia="en-AU"/>
        </w:rPr>
      </w:pPr>
      <w:r w:rsidRPr="00DF103B">
        <w:rPr>
          <w:lang w:eastAsia="en-AU"/>
        </w:rPr>
        <w:t>Remuneration of key management personnel</w:t>
      </w:r>
    </w:p>
    <w:p w14:paraId="1CFCD02C" w14:textId="77777777" w:rsidR="006E51BF" w:rsidRPr="00DF103B" w:rsidRDefault="006E51BF">
      <w:pPr>
        <w:pStyle w:val="ARfinbodybeforetableorfigure"/>
      </w:pPr>
      <w:r w:rsidRPr="00DF103B">
        <w:t xml:space="preserve">The compensation detailed </w:t>
      </w:r>
      <w:r w:rsidRPr="007F5895">
        <w:t>below</w:t>
      </w:r>
      <w:r w:rsidRPr="00DF103B">
        <w:t xml:space="preserve"> excludes the salaries and benefits the Portfolio Ministers received. The Ministers' remuneration and allowances are set by the </w:t>
      </w:r>
      <w:r w:rsidRPr="00105DB4">
        <w:rPr>
          <w:rStyle w:val="Emphasis"/>
        </w:rPr>
        <w:t>Parliamentary Salaries and Superannuation Act 1968</w:t>
      </w:r>
      <w:r w:rsidRPr="00DF103B">
        <w:t xml:space="preserve"> and are reported within the State's Annual Financial Report.</w:t>
      </w:r>
    </w:p>
    <w:tbl>
      <w:tblPr>
        <w:tblStyle w:val="ARtable1"/>
        <w:tblW w:w="0" w:type="auto"/>
        <w:tblLayout w:type="fixed"/>
        <w:tblLook w:val="00E0" w:firstRow="1" w:lastRow="1" w:firstColumn="1" w:lastColumn="0" w:noHBand="0" w:noVBand="0"/>
      </w:tblPr>
      <w:tblGrid>
        <w:gridCol w:w="3115"/>
        <w:gridCol w:w="1624"/>
        <w:gridCol w:w="1627"/>
        <w:gridCol w:w="1625"/>
        <w:gridCol w:w="1637"/>
      </w:tblGrid>
      <w:tr w:rsidR="006E51BF" w:rsidRPr="00DF103B" w14:paraId="1F9BAD4C" w14:textId="77777777" w:rsidTr="00735BAF">
        <w:trPr>
          <w:cnfStyle w:val="100000000000" w:firstRow="1" w:lastRow="0" w:firstColumn="0" w:lastColumn="0" w:oddVBand="0" w:evenVBand="0" w:oddHBand="0" w:evenHBand="0" w:firstRowFirstColumn="0" w:firstRowLastColumn="0" w:lastRowFirstColumn="0" w:lastRowLastColumn="0"/>
          <w:trHeight w:val="574"/>
          <w:tblHeader/>
        </w:trPr>
        <w:tc>
          <w:tcPr>
            <w:tcW w:w="3115" w:type="dxa"/>
            <w:noWrap/>
            <w:hideMark/>
          </w:tcPr>
          <w:p w14:paraId="5D198F51" w14:textId="77777777" w:rsidR="006E51BF" w:rsidRPr="00DF103B" w:rsidRDefault="006E51BF">
            <w:pPr>
              <w:pStyle w:val="ARfintablecolhead"/>
              <w:rPr>
                <w:lang w:eastAsia="en-AU"/>
              </w:rPr>
            </w:pPr>
            <w:r w:rsidRPr="00DF103B">
              <w:rPr>
                <w:lang w:eastAsia="en-AU"/>
              </w:rPr>
              <w:t>Compensation of KMPs</w:t>
            </w:r>
          </w:p>
        </w:tc>
        <w:tc>
          <w:tcPr>
            <w:cnfStyle w:val="000001000000" w:firstRow="0" w:lastRow="0" w:firstColumn="0" w:lastColumn="0" w:oddVBand="0" w:evenVBand="1" w:oddHBand="0" w:evenHBand="0" w:firstRowFirstColumn="0" w:firstRowLastColumn="0" w:lastRowFirstColumn="0" w:lastRowLastColumn="0"/>
            <w:tcW w:w="1624" w:type="dxa"/>
            <w:tcBorders>
              <w:top w:val="single" w:sz="4" w:space="0" w:color="000000" w:themeColor="text1"/>
            </w:tcBorders>
            <w:tcMar>
              <w:right w:w="0" w:type="nil"/>
            </w:tcMar>
            <w:hideMark/>
          </w:tcPr>
          <w:p w14:paraId="7D138FAF" w14:textId="653D88B1" w:rsidR="00CF0F12" w:rsidRDefault="00CF0F12">
            <w:pPr>
              <w:pStyle w:val="ARfintablecolheadright"/>
              <w:rPr>
                <w:lang w:eastAsia="en-AU"/>
              </w:rPr>
            </w:pPr>
            <w:r w:rsidRPr="00DF103B">
              <w:rPr>
                <w:lang w:eastAsia="en-AU"/>
              </w:rPr>
              <w:t>Department of Families, Fairness and Housing</w:t>
            </w:r>
          </w:p>
          <w:p w14:paraId="389C1189" w14:textId="07770BFD" w:rsidR="006E51BF" w:rsidRPr="00DF103B" w:rsidRDefault="006E51BF">
            <w:pPr>
              <w:pStyle w:val="ARfintablecolheadright"/>
              <w:rPr>
                <w:lang w:eastAsia="en-AU"/>
              </w:rPr>
            </w:pPr>
            <w:r w:rsidRPr="00DF103B">
              <w:rPr>
                <w:lang w:eastAsia="en-AU"/>
              </w:rPr>
              <w:t>2026</w:t>
            </w:r>
          </w:p>
          <w:p w14:paraId="565978F4" w14:textId="77777777" w:rsidR="006E51BF" w:rsidRPr="00DF103B" w:rsidRDefault="006E51BF">
            <w:pPr>
              <w:pStyle w:val="ARfintablecolheadright"/>
              <w:rPr>
                <w:lang w:eastAsia="en-AU"/>
              </w:rPr>
            </w:pPr>
            <w:r w:rsidRPr="00DF103B">
              <w:rPr>
                <w:lang w:eastAsia="en-AU"/>
              </w:rPr>
              <w:t>$M</w:t>
            </w:r>
          </w:p>
        </w:tc>
        <w:tc>
          <w:tcPr>
            <w:tcW w:w="1627" w:type="dxa"/>
            <w:tcBorders>
              <w:top w:val="single" w:sz="4" w:space="0" w:color="000000" w:themeColor="text1"/>
            </w:tcBorders>
            <w:shd w:val="clear" w:color="auto" w:fill="E7E6E6" w:themeFill="background2"/>
            <w:noWrap/>
            <w:tcMar>
              <w:right w:w="0" w:type="nil"/>
            </w:tcMar>
            <w:hideMark/>
          </w:tcPr>
          <w:p w14:paraId="1DED5140" w14:textId="52999550" w:rsidR="00CF0F12" w:rsidRDefault="00CF0F12">
            <w:pPr>
              <w:pStyle w:val="ARfintablecolheadright"/>
              <w:cnfStyle w:val="100000000000" w:firstRow="1" w:lastRow="0" w:firstColumn="0" w:lastColumn="0" w:oddVBand="0" w:evenVBand="0" w:oddHBand="0" w:evenHBand="0" w:firstRowFirstColumn="0" w:firstRowLastColumn="0" w:lastRowFirstColumn="0" w:lastRowLastColumn="0"/>
              <w:rPr>
                <w:color w:val="000000"/>
                <w:lang w:eastAsia="en-AU"/>
              </w:rPr>
            </w:pPr>
            <w:r w:rsidRPr="00DF103B">
              <w:rPr>
                <w:lang w:eastAsia="en-AU"/>
              </w:rPr>
              <w:t>Department of Families, Fairness and Housing</w:t>
            </w:r>
          </w:p>
          <w:p w14:paraId="41820DB8" w14:textId="727C198E" w:rsidR="006E51BF" w:rsidRPr="00DF103B"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lang w:eastAsia="en-AU"/>
              </w:rPr>
            </w:pPr>
            <w:r w:rsidRPr="00DF103B">
              <w:rPr>
                <w:color w:val="000000"/>
                <w:lang w:eastAsia="en-AU"/>
              </w:rPr>
              <w:t>2025</w:t>
            </w:r>
          </w:p>
          <w:p w14:paraId="355526F5" w14:textId="77777777" w:rsidR="006E51BF" w:rsidRPr="00DF103B"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lang w:eastAsia="en-AU"/>
              </w:rPr>
            </w:pPr>
            <w:r w:rsidRPr="00DF103B">
              <w:rPr>
                <w:lang w:eastAsia="en-AU"/>
              </w:rPr>
              <w:t>$M</w:t>
            </w:r>
          </w:p>
        </w:tc>
        <w:tc>
          <w:tcPr>
            <w:cnfStyle w:val="000001000000" w:firstRow="0" w:lastRow="0" w:firstColumn="0" w:lastColumn="0" w:oddVBand="0" w:evenVBand="1" w:oddHBand="0" w:evenHBand="0" w:firstRowFirstColumn="0" w:firstRowLastColumn="0" w:lastRowFirstColumn="0" w:lastRowLastColumn="0"/>
            <w:tcW w:w="1625" w:type="dxa"/>
            <w:tcBorders>
              <w:top w:val="single" w:sz="4" w:space="0" w:color="000000" w:themeColor="text1"/>
            </w:tcBorders>
            <w:shd w:val="clear" w:color="auto" w:fill="auto"/>
            <w:tcMar>
              <w:right w:w="0" w:type="nil"/>
            </w:tcMar>
            <w:hideMark/>
          </w:tcPr>
          <w:p w14:paraId="6910B62F" w14:textId="6203FF85" w:rsidR="00CF0F12" w:rsidRDefault="00CF0F12">
            <w:pPr>
              <w:pStyle w:val="ARfintablecolheadright"/>
              <w:rPr>
                <w:lang w:eastAsia="en-AU"/>
              </w:rPr>
            </w:pPr>
            <w:r w:rsidRPr="00DF103B">
              <w:rPr>
                <w:lang w:eastAsia="en-AU"/>
              </w:rPr>
              <w:t>Other section 53</w:t>
            </w:r>
          </w:p>
          <w:p w14:paraId="1EC45A0D" w14:textId="3452D70C" w:rsidR="006E51BF" w:rsidRPr="00DF103B" w:rsidRDefault="006E51BF">
            <w:pPr>
              <w:pStyle w:val="ARfintablecolheadright"/>
              <w:rPr>
                <w:lang w:eastAsia="en-AU"/>
              </w:rPr>
            </w:pPr>
            <w:r w:rsidRPr="00DF103B">
              <w:rPr>
                <w:lang w:eastAsia="en-AU"/>
              </w:rPr>
              <w:t>2026</w:t>
            </w:r>
          </w:p>
          <w:p w14:paraId="6DBF5E6A" w14:textId="77777777" w:rsidR="006E51BF" w:rsidRPr="00DF103B" w:rsidRDefault="006E51BF">
            <w:pPr>
              <w:pStyle w:val="ARfintablecolheadright"/>
              <w:rPr>
                <w:lang w:eastAsia="en-AU"/>
              </w:rPr>
            </w:pPr>
            <w:r w:rsidRPr="00DF103B">
              <w:rPr>
                <w:lang w:eastAsia="en-AU"/>
              </w:rPr>
              <w:t>$M</w:t>
            </w:r>
          </w:p>
        </w:tc>
        <w:tc>
          <w:tcPr>
            <w:tcW w:w="1637" w:type="dxa"/>
            <w:tcBorders>
              <w:top w:val="single" w:sz="4" w:space="0" w:color="000000" w:themeColor="text1"/>
            </w:tcBorders>
            <w:noWrap/>
            <w:tcMar>
              <w:right w:w="0" w:type="nil"/>
            </w:tcMar>
            <w:hideMark/>
          </w:tcPr>
          <w:p w14:paraId="043D16FE" w14:textId="20B1D9FA" w:rsidR="00CF0F12" w:rsidRDefault="00CF0F12">
            <w:pPr>
              <w:pStyle w:val="ARfintablecolheadright"/>
              <w:cnfStyle w:val="100000000000" w:firstRow="1" w:lastRow="0" w:firstColumn="0" w:lastColumn="0" w:oddVBand="0" w:evenVBand="0" w:oddHBand="0" w:evenHBand="0" w:firstRowFirstColumn="0" w:firstRowLastColumn="0" w:lastRowFirstColumn="0" w:lastRowLastColumn="0"/>
              <w:rPr>
                <w:color w:val="000000"/>
                <w:lang w:eastAsia="en-AU"/>
              </w:rPr>
            </w:pPr>
            <w:r w:rsidRPr="00DF103B">
              <w:rPr>
                <w:lang w:eastAsia="en-AU"/>
              </w:rPr>
              <w:t>Other section 53</w:t>
            </w:r>
          </w:p>
          <w:p w14:paraId="61960377" w14:textId="412A0636" w:rsidR="006E51BF" w:rsidRPr="00DF103B"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lang w:eastAsia="en-AU"/>
              </w:rPr>
            </w:pPr>
            <w:r w:rsidRPr="00DF103B">
              <w:rPr>
                <w:color w:val="000000"/>
                <w:lang w:eastAsia="en-AU"/>
              </w:rPr>
              <w:t>2025</w:t>
            </w:r>
          </w:p>
          <w:p w14:paraId="530FC8EA" w14:textId="77777777" w:rsidR="006E51BF" w:rsidRPr="00DF103B" w:rsidRDefault="006E51BF">
            <w:pPr>
              <w:pStyle w:val="ARfintablecolheadright"/>
              <w:cnfStyle w:val="100000000000" w:firstRow="1" w:lastRow="0" w:firstColumn="0" w:lastColumn="0" w:oddVBand="0" w:evenVBand="0" w:oddHBand="0" w:evenHBand="0" w:firstRowFirstColumn="0" w:firstRowLastColumn="0" w:lastRowFirstColumn="0" w:lastRowLastColumn="0"/>
              <w:rPr>
                <w:color w:val="000000"/>
                <w:lang w:eastAsia="en-AU"/>
              </w:rPr>
            </w:pPr>
            <w:r w:rsidRPr="00DF103B">
              <w:rPr>
                <w:lang w:eastAsia="en-AU"/>
              </w:rPr>
              <w:t>$M</w:t>
            </w:r>
          </w:p>
        </w:tc>
      </w:tr>
      <w:tr w:rsidR="006E51BF" w:rsidRPr="00DF103B" w14:paraId="17AEA5F7" w14:textId="77777777" w:rsidTr="00735BAF">
        <w:trPr>
          <w:cnfStyle w:val="000000100000" w:firstRow="0" w:lastRow="0" w:firstColumn="0" w:lastColumn="0" w:oddVBand="0" w:evenVBand="0" w:oddHBand="1" w:evenHBand="0" w:firstRowFirstColumn="0" w:firstRowLastColumn="0" w:lastRowFirstColumn="0" w:lastRowLastColumn="0"/>
          <w:trHeight w:val="20"/>
        </w:trPr>
        <w:tc>
          <w:tcPr>
            <w:tcW w:w="3115" w:type="dxa"/>
            <w:noWrap/>
            <w:hideMark/>
          </w:tcPr>
          <w:p w14:paraId="325412DA" w14:textId="77777777" w:rsidR="006E51BF" w:rsidRPr="00DF103B" w:rsidRDefault="006E51BF">
            <w:pPr>
              <w:pStyle w:val="ARfintabletext"/>
              <w:rPr>
                <w:lang w:eastAsia="en-AU"/>
              </w:rPr>
            </w:pPr>
            <w:r w:rsidRPr="00DF103B">
              <w:rPr>
                <w:lang w:eastAsia="en-AU"/>
              </w:rPr>
              <w:t>Short-term employee benefits</w:t>
            </w:r>
          </w:p>
        </w:tc>
        <w:tc>
          <w:tcPr>
            <w:cnfStyle w:val="000001000000" w:firstRow="0" w:lastRow="0" w:firstColumn="0" w:lastColumn="0" w:oddVBand="0" w:evenVBand="1" w:oddHBand="0" w:evenHBand="0" w:firstRowFirstColumn="0" w:firstRowLastColumn="0" w:lastRowFirstColumn="0" w:lastRowLastColumn="0"/>
            <w:tcW w:w="1624" w:type="dxa"/>
            <w:noWrap/>
            <w:tcMar>
              <w:right w:w="0" w:type="nil"/>
            </w:tcMar>
            <w:hideMark/>
          </w:tcPr>
          <w:p w14:paraId="5E6411A8" w14:textId="77777777" w:rsidR="006E51BF" w:rsidRPr="007F5895" w:rsidRDefault="006E51BF">
            <w:pPr>
              <w:pStyle w:val="ARfintabletextright"/>
            </w:pPr>
            <w:r w:rsidRPr="007F5895">
              <w:t>4.9</w:t>
            </w:r>
          </w:p>
        </w:tc>
        <w:tc>
          <w:tcPr>
            <w:tcW w:w="1627" w:type="dxa"/>
            <w:shd w:val="clear" w:color="auto" w:fill="E7E6E6" w:themeFill="background2"/>
            <w:noWrap/>
            <w:tcMar>
              <w:right w:w="0" w:type="nil"/>
            </w:tcMar>
            <w:hideMark/>
          </w:tcPr>
          <w:p w14:paraId="4006396A" w14:textId="77777777" w:rsidR="006E51BF" w:rsidRPr="007F5895"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7F5895">
              <w:t>5.6</w:t>
            </w:r>
          </w:p>
        </w:tc>
        <w:tc>
          <w:tcPr>
            <w:cnfStyle w:val="000001000000" w:firstRow="0" w:lastRow="0" w:firstColumn="0" w:lastColumn="0" w:oddVBand="0" w:evenVBand="1" w:oddHBand="0" w:evenHBand="0" w:firstRowFirstColumn="0" w:firstRowLastColumn="0" w:lastRowFirstColumn="0" w:lastRowLastColumn="0"/>
            <w:tcW w:w="1625" w:type="dxa"/>
            <w:shd w:val="clear" w:color="auto" w:fill="auto"/>
            <w:noWrap/>
            <w:tcMar>
              <w:right w:w="0" w:type="nil"/>
            </w:tcMar>
            <w:hideMark/>
          </w:tcPr>
          <w:p w14:paraId="49D57A1D" w14:textId="77777777" w:rsidR="006E51BF" w:rsidRPr="007F5895" w:rsidRDefault="006E51BF">
            <w:pPr>
              <w:pStyle w:val="ARfintabletextright"/>
            </w:pPr>
            <w:r w:rsidRPr="007F5895">
              <w:t>1.9</w:t>
            </w:r>
          </w:p>
        </w:tc>
        <w:tc>
          <w:tcPr>
            <w:tcW w:w="1637" w:type="dxa"/>
            <w:noWrap/>
            <w:tcMar>
              <w:right w:w="0" w:type="nil"/>
            </w:tcMar>
            <w:hideMark/>
          </w:tcPr>
          <w:p w14:paraId="1DBA85E0" w14:textId="77777777" w:rsidR="006E51BF" w:rsidRPr="007F5895"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7F5895">
              <w:t>1.9</w:t>
            </w:r>
          </w:p>
        </w:tc>
      </w:tr>
      <w:tr w:rsidR="006E51BF" w:rsidRPr="00DF103B" w14:paraId="349695A2" w14:textId="77777777" w:rsidTr="00735BAF">
        <w:trPr>
          <w:cnfStyle w:val="000000010000" w:firstRow="0" w:lastRow="0" w:firstColumn="0" w:lastColumn="0" w:oddVBand="0" w:evenVBand="0" w:oddHBand="0" w:evenHBand="1" w:firstRowFirstColumn="0" w:firstRowLastColumn="0" w:lastRowFirstColumn="0" w:lastRowLastColumn="0"/>
          <w:trHeight w:val="20"/>
        </w:trPr>
        <w:tc>
          <w:tcPr>
            <w:tcW w:w="3115" w:type="dxa"/>
            <w:noWrap/>
            <w:hideMark/>
          </w:tcPr>
          <w:p w14:paraId="2221A210" w14:textId="77777777" w:rsidR="006E51BF" w:rsidRPr="00DF103B" w:rsidRDefault="006E51BF">
            <w:pPr>
              <w:pStyle w:val="ARfintabletext"/>
              <w:rPr>
                <w:lang w:eastAsia="en-AU"/>
              </w:rPr>
            </w:pPr>
            <w:r w:rsidRPr="00DF103B">
              <w:rPr>
                <w:lang w:eastAsia="en-AU"/>
              </w:rPr>
              <w:t>Post-employment benefits</w:t>
            </w:r>
          </w:p>
        </w:tc>
        <w:tc>
          <w:tcPr>
            <w:cnfStyle w:val="000001000000" w:firstRow="0" w:lastRow="0" w:firstColumn="0" w:lastColumn="0" w:oddVBand="0" w:evenVBand="1" w:oddHBand="0" w:evenHBand="0" w:firstRowFirstColumn="0" w:firstRowLastColumn="0" w:lastRowFirstColumn="0" w:lastRowLastColumn="0"/>
            <w:tcW w:w="1624" w:type="dxa"/>
            <w:noWrap/>
            <w:tcMar>
              <w:right w:w="0" w:type="nil"/>
            </w:tcMar>
            <w:hideMark/>
          </w:tcPr>
          <w:p w14:paraId="7F531587" w14:textId="77777777" w:rsidR="006E51BF" w:rsidRPr="007F5895" w:rsidRDefault="006E51BF">
            <w:pPr>
              <w:pStyle w:val="ARfintabletextright"/>
            </w:pPr>
            <w:r w:rsidRPr="007F5895">
              <w:t>0.4</w:t>
            </w:r>
          </w:p>
        </w:tc>
        <w:tc>
          <w:tcPr>
            <w:tcW w:w="1627" w:type="dxa"/>
            <w:shd w:val="clear" w:color="auto" w:fill="E7E6E6" w:themeFill="background2"/>
            <w:noWrap/>
            <w:tcMar>
              <w:right w:w="0" w:type="nil"/>
            </w:tcMar>
            <w:hideMark/>
          </w:tcPr>
          <w:p w14:paraId="316DD474" w14:textId="77777777" w:rsidR="006E51BF" w:rsidRPr="007F5895"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7F5895">
              <w:t>0.4</w:t>
            </w:r>
          </w:p>
        </w:tc>
        <w:tc>
          <w:tcPr>
            <w:cnfStyle w:val="000001000000" w:firstRow="0" w:lastRow="0" w:firstColumn="0" w:lastColumn="0" w:oddVBand="0" w:evenVBand="1" w:oddHBand="0" w:evenHBand="0" w:firstRowFirstColumn="0" w:firstRowLastColumn="0" w:lastRowFirstColumn="0" w:lastRowLastColumn="0"/>
            <w:tcW w:w="1625" w:type="dxa"/>
            <w:shd w:val="clear" w:color="auto" w:fill="auto"/>
            <w:noWrap/>
            <w:tcMar>
              <w:right w:w="0" w:type="nil"/>
            </w:tcMar>
            <w:hideMark/>
          </w:tcPr>
          <w:p w14:paraId="5D7C3C15" w14:textId="77777777" w:rsidR="006E51BF" w:rsidRPr="007F5895" w:rsidRDefault="006E51BF">
            <w:pPr>
              <w:pStyle w:val="ARfintabletextright"/>
            </w:pPr>
            <w:r w:rsidRPr="007F5895">
              <w:t>0.2</w:t>
            </w:r>
          </w:p>
        </w:tc>
        <w:tc>
          <w:tcPr>
            <w:tcW w:w="1637" w:type="dxa"/>
            <w:noWrap/>
            <w:tcMar>
              <w:right w:w="0" w:type="nil"/>
            </w:tcMar>
            <w:hideMark/>
          </w:tcPr>
          <w:p w14:paraId="0219D896" w14:textId="77777777" w:rsidR="006E51BF" w:rsidRPr="007F5895"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7F5895">
              <w:t>0.2</w:t>
            </w:r>
          </w:p>
        </w:tc>
      </w:tr>
      <w:tr w:rsidR="006E51BF" w:rsidRPr="00DF103B" w14:paraId="32716213" w14:textId="77777777" w:rsidTr="00735BAF">
        <w:trPr>
          <w:cnfStyle w:val="000000100000" w:firstRow="0" w:lastRow="0" w:firstColumn="0" w:lastColumn="0" w:oddVBand="0" w:evenVBand="0" w:oddHBand="1" w:evenHBand="0" w:firstRowFirstColumn="0" w:firstRowLastColumn="0" w:lastRowFirstColumn="0" w:lastRowLastColumn="0"/>
          <w:trHeight w:val="20"/>
        </w:trPr>
        <w:tc>
          <w:tcPr>
            <w:tcW w:w="3115" w:type="dxa"/>
            <w:noWrap/>
            <w:hideMark/>
          </w:tcPr>
          <w:p w14:paraId="0FF748F7" w14:textId="77777777" w:rsidR="006E51BF" w:rsidRPr="00DF103B" w:rsidRDefault="006E51BF">
            <w:pPr>
              <w:pStyle w:val="ARfintabletext"/>
              <w:rPr>
                <w:lang w:eastAsia="en-AU"/>
              </w:rPr>
            </w:pPr>
            <w:r w:rsidRPr="00DF103B">
              <w:rPr>
                <w:lang w:eastAsia="en-AU"/>
              </w:rPr>
              <w:t>Other long-term benefits</w:t>
            </w:r>
          </w:p>
        </w:tc>
        <w:tc>
          <w:tcPr>
            <w:cnfStyle w:val="000001000000" w:firstRow="0" w:lastRow="0" w:firstColumn="0" w:lastColumn="0" w:oddVBand="0" w:evenVBand="1" w:oddHBand="0" w:evenHBand="0" w:firstRowFirstColumn="0" w:firstRowLastColumn="0" w:lastRowFirstColumn="0" w:lastRowLastColumn="0"/>
            <w:tcW w:w="1624" w:type="dxa"/>
            <w:noWrap/>
            <w:tcMar>
              <w:right w:w="0" w:type="nil"/>
            </w:tcMar>
            <w:hideMark/>
          </w:tcPr>
          <w:p w14:paraId="1CB6DF6F" w14:textId="77777777" w:rsidR="006E51BF" w:rsidRPr="007F5895" w:rsidRDefault="006E51BF">
            <w:pPr>
              <w:pStyle w:val="ARfintabletextright"/>
            </w:pPr>
            <w:r w:rsidRPr="007F5895">
              <w:t>0.1</w:t>
            </w:r>
          </w:p>
        </w:tc>
        <w:tc>
          <w:tcPr>
            <w:tcW w:w="1627" w:type="dxa"/>
            <w:shd w:val="clear" w:color="auto" w:fill="E7E6E6" w:themeFill="background2"/>
            <w:noWrap/>
            <w:tcMar>
              <w:right w:w="0" w:type="nil"/>
            </w:tcMar>
            <w:hideMark/>
          </w:tcPr>
          <w:p w14:paraId="2EA6658A" w14:textId="77777777" w:rsidR="006E51BF" w:rsidRPr="007F5895"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7F5895">
              <w:t>0.1</w:t>
            </w:r>
          </w:p>
        </w:tc>
        <w:tc>
          <w:tcPr>
            <w:cnfStyle w:val="000001000000" w:firstRow="0" w:lastRow="0" w:firstColumn="0" w:lastColumn="0" w:oddVBand="0" w:evenVBand="1" w:oddHBand="0" w:evenHBand="0" w:firstRowFirstColumn="0" w:firstRowLastColumn="0" w:lastRowFirstColumn="0" w:lastRowLastColumn="0"/>
            <w:tcW w:w="1625" w:type="dxa"/>
            <w:shd w:val="clear" w:color="auto" w:fill="auto"/>
            <w:noWrap/>
            <w:tcMar>
              <w:right w:w="0" w:type="nil"/>
            </w:tcMar>
            <w:hideMark/>
          </w:tcPr>
          <w:p w14:paraId="40922C29" w14:textId="77777777" w:rsidR="006E51BF" w:rsidRPr="007F5895" w:rsidRDefault="006E51BF">
            <w:pPr>
              <w:pStyle w:val="ARfintabletextright"/>
            </w:pPr>
            <w:r w:rsidRPr="007F5895">
              <w:t>0.0</w:t>
            </w:r>
          </w:p>
        </w:tc>
        <w:tc>
          <w:tcPr>
            <w:tcW w:w="1637" w:type="dxa"/>
            <w:noWrap/>
            <w:tcMar>
              <w:right w:w="0" w:type="nil"/>
            </w:tcMar>
            <w:hideMark/>
          </w:tcPr>
          <w:p w14:paraId="42B4F03E" w14:textId="77777777" w:rsidR="006E51BF" w:rsidRPr="007F5895" w:rsidRDefault="006E51BF">
            <w:pPr>
              <w:pStyle w:val="ARfintabletextright"/>
              <w:cnfStyle w:val="000000100000" w:firstRow="0" w:lastRow="0" w:firstColumn="0" w:lastColumn="0" w:oddVBand="0" w:evenVBand="0" w:oddHBand="1" w:evenHBand="0" w:firstRowFirstColumn="0" w:firstRowLastColumn="0" w:lastRowFirstColumn="0" w:lastRowLastColumn="0"/>
            </w:pPr>
            <w:r w:rsidRPr="007F5895">
              <w:t>–</w:t>
            </w:r>
          </w:p>
        </w:tc>
      </w:tr>
      <w:tr w:rsidR="006E51BF" w:rsidRPr="00DF103B" w14:paraId="19963199" w14:textId="77777777" w:rsidTr="00735BAF">
        <w:trPr>
          <w:cnfStyle w:val="000000010000" w:firstRow="0" w:lastRow="0" w:firstColumn="0" w:lastColumn="0" w:oddVBand="0" w:evenVBand="0" w:oddHBand="0" w:evenHBand="1" w:firstRowFirstColumn="0" w:firstRowLastColumn="0" w:lastRowFirstColumn="0" w:lastRowLastColumn="0"/>
          <w:trHeight w:val="20"/>
        </w:trPr>
        <w:tc>
          <w:tcPr>
            <w:tcW w:w="3115" w:type="dxa"/>
            <w:noWrap/>
            <w:hideMark/>
          </w:tcPr>
          <w:p w14:paraId="42CC4DCA" w14:textId="77777777" w:rsidR="006E51BF" w:rsidRPr="00DF103B" w:rsidRDefault="006E51BF">
            <w:pPr>
              <w:pStyle w:val="ARfintabletext"/>
              <w:rPr>
                <w:lang w:eastAsia="en-AU"/>
              </w:rPr>
            </w:pPr>
            <w:r w:rsidRPr="00DF103B">
              <w:rPr>
                <w:lang w:eastAsia="en-AU"/>
              </w:rPr>
              <w:t>Termination benefits</w:t>
            </w:r>
          </w:p>
        </w:tc>
        <w:tc>
          <w:tcPr>
            <w:cnfStyle w:val="000001000000" w:firstRow="0" w:lastRow="0" w:firstColumn="0" w:lastColumn="0" w:oddVBand="0" w:evenVBand="1" w:oddHBand="0" w:evenHBand="0" w:firstRowFirstColumn="0" w:firstRowLastColumn="0" w:lastRowFirstColumn="0" w:lastRowLastColumn="0"/>
            <w:tcW w:w="1624" w:type="dxa"/>
            <w:noWrap/>
            <w:tcMar>
              <w:right w:w="0" w:type="nil"/>
            </w:tcMar>
            <w:hideMark/>
          </w:tcPr>
          <w:p w14:paraId="32D124E3" w14:textId="77777777" w:rsidR="006E51BF" w:rsidRPr="007F5895" w:rsidRDefault="006E51BF">
            <w:pPr>
              <w:pStyle w:val="ARfintabletextright"/>
            </w:pPr>
            <w:r w:rsidRPr="007F5895">
              <w:t>–</w:t>
            </w:r>
          </w:p>
        </w:tc>
        <w:tc>
          <w:tcPr>
            <w:tcW w:w="1627" w:type="dxa"/>
            <w:shd w:val="clear" w:color="auto" w:fill="E7E6E6" w:themeFill="background2"/>
            <w:noWrap/>
            <w:tcMar>
              <w:right w:w="0" w:type="nil"/>
            </w:tcMar>
            <w:hideMark/>
          </w:tcPr>
          <w:p w14:paraId="1C80DE86" w14:textId="77777777" w:rsidR="006E51BF" w:rsidRPr="007F5895"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7F5895">
              <w:t>–</w:t>
            </w:r>
          </w:p>
        </w:tc>
        <w:tc>
          <w:tcPr>
            <w:cnfStyle w:val="000001000000" w:firstRow="0" w:lastRow="0" w:firstColumn="0" w:lastColumn="0" w:oddVBand="0" w:evenVBand="1" w:oddHBand="0" w:evenHBand="0" w:firstRowFirstColumn="0" w:firstRowLastColumn="0" w:lastRowFirstColumn="0" w:lastRowLastColumn="0"/>
            <w:tcW w:w="1625" w:type="dxa"/>
            <w:shd w:val="clear" w:color="auto" w:fill="auto"/>
            <w:noWrap/>
            <w:tcMar>
              <w:right w:w="0" w:type="nil"/>
            </w:tcMar>
            <w:hideMark/>
          </w:tcPr>
          <w:p w14:paraId="16E58E27" w14:textId="77777777" w:rsidR="006E51BF" w:rsidRPr="007F5895" w:rsidRDefault="006E51BF">
            <w:pPr>
              <w:pStyle w:val="ARfintabletextright"/>
            </w:pPr>
            <w:r w:rsidRPr="007F5895">
              <w:t>–</w:t>
            </w:r>
          </w:p>
        </w:tc>
        <w:tc>
          <w:tcPr>
            <w:tcW w:w="1637" w:type="dxa"/>
            <w:noWrap/>
            <w:tcMar>
              <w:right w:w="0" w:type="nil"/>
            </w:tcMar>
            <w:hideMark/>
          </w:tcPr>
          <w:p w14:paraId="7F8B2EFA" w14:textId="77777777" w:rsidR="006E51BF" w:rsidRPr="007F5895" w:rsidRDefault="006E51BF">
            <w:pPr>
              <w:pStyle w:val="ARfintabletextright"/>
              <w:cnfStyle w:val="000000010000" w:firstRow="0" w:lastRow="0" w:firstColumn="0" w:lastColumn="0" w:oddVBand="0" w:evenVBand="0" w:oddHBand="0" w:evenHBand="1" w:firstRowFirstColumn="0" w:firstRowLastColumn="0" w:lastRowFirstColumn="0" w:lastRowLastColumn="0"/>
            </w:pPr>
            <w:r w:rsidRPr="007F5895">
              <w:t>–</w:t>
            </w:r>
          </w:p>
        </w:tc>
      </w:tr>
      <w:tr w:rsidR="006E51BF" w:rsidRPr="00DF103B" w14:paraId="30221741" w14:textId="77777777" w:rsidTr="00735BAF">
        <w:trPr>
          <w:cnfStyle w:val="010000000000" w:firstRow="0" w:lastRow="1" w:firstColumn="0" w:lastColumn="0" w:oddVBand="0" w:evenVBand="0" w:oddHBand="0" w:evenHBand="0" w:firstRowFirstColumn="0" w:firstRowLastColumn="0" w:lastRowFirstColumn="0" w:lastRowLastColumn="0"/>
          <w:trHeight w:val="20"/>
        </w:trPr>
        <w:tc>
          <w:tcPr>
            <w:tcW w:w="3115" w:type="dxa"/>
            <w:noWrap/>
            <w:hideMark/>
          </w:tcPr>
          <w:p w14:paraId="31F968F7" w14:textId="77777777" w:rsidR="006E51BF" w:rsidRPr="00DF103B" w:rsidRDefault="006E51BF">
            <w:pPr>
              <w:pStyle w:val="ARfintabletextbold"/>
              <w:rPr>
                <w:lang w:eastAsia="en-AU"/>
              </w:rPr>
            </w:pPr>
            <w:r w:rsidRPr="00DF103B">
              <w:rPr>
                <w:lang w:eastAsia="en-AU"/>
              </w:rPr>
              <w:t xml:space="preserve">Total </w:t>
            </w:r>
            <w:r w:rsidRPr="00DF103B">
              <w:rPr>
                <w:vertAlign w:val="superscript"/>
                <w:lang w:eastAsia="en-AU"/>
              </w:rPr>
              <w:t>(ii)(iii)</w:t>
            </w:r>
          </w:p>
        </w:tc>
        <w:tc>
          <w:tcPr>
            <w:cnfStyle w:val="000001000000" w:firstRow="0" w:lastRow="0" w:firstColumn="0" w:lastColumn="0" w:oddVBand="0" w:evenVBand="1" w:oddHBand="0" w:evenHBand="0" w:firstRowFirstColumn="0" w:firstRowLastColumn="0" w:lastRowFirstColumn="0" w:lastRowLastColumn="0"/>
            <w:tcW w:w="1624" w:type="dxa"/>
            <w:noWrap/>
            <w:tcMar>
              <w:right w:w="0" w:type="nil"/>
            </w:tcMar>
            <w:hideMark/>
          </w:tcPr>
          <w:p w14:paraId="483C8FEA" w14:textId="77777777" w:rsidR="006E51BF" w:rsidRPr="007F5895" w:rsidRDefault="006E51BF">
            <w:pPr>
              <w:pStyle w:val="ARfintabletextboldright"/>
            </w:pPr>
            <w:r w:rsidRPr="007F5895">
              <w:t>5.4</w:t>
            </w:r>
          </w:p>
        </w:tc>
        <w:tc>
          <w:tcPr>
            <w:tcW w:w="1627" w:type="dxa"/>
            <w:shd w:val="clear" w:color="auto" w:fill="E7E6E6" w:themeFill="background2"/>
            <w:noWrap/>
            <w:tcMar>
              <w:right w:w="0" w:type="nil"/>
            </w:tcMar>
            <w:hideMark/>
          </w:tcPr>
          <w:p w14:paraId="5669E916" w14:textId="77777777" w:rsidR="006E51BF" w:rsidRPr="007F5895" w:rsidRDefault="006E51BF">
            <w:pPr>
              <w:pStyle w:val="ARfintabletextboldright"/>
              <w:cnfStyle w:val="010000000000" w:firstRow="0" w:lastRow="1" w:firstColumn="0" w:lastColumn="0" w:oddVBand="0" w:evenVBand="0" w:oddHBand="0" w:evenHBand="0" w:firstRowFirstColumn="0" w:firstRowLastColumn="0" w:lastRowFirstColumn="0" w:lastRowLastColumn="0"/>
            </w:pPr>
            <w:r w:rsidRPr="007F5895">
              <w:t>6.1</w:t>
            </w:r>
          </w:p>
        </w:tc>
        <w:tc>
          <w:tcPr>
            <w:cnfStyle w:val="000001000000" w:firstRow="0" w:lastRow="0" w:firstColumn="0" w:lastColumn="0" w:oddVBand="0" w:evenVBand="1" w:oddHBand="0" w:evenHBand="0" w:firstRowFirstColumn="0" w:firstRowLastColumn="0" w:lastRowFirstColumn="0" w:lastRowLastColumn="0"/>
            <w:tcW w:w="1625" w:type="dxa"/>
            <w:shd w:val="clear" w:color="auto" w:fill="auto"/>
            <w:noWrap/>
            <w:tcMar>
              <w:right w:w="0" w:type="nil"/>
            </w:tcMar>
            <w:hideMark/>
          </w:tcPr>
          <w:p w14:paraId="381FCC1B" w14:textId="77777777" w:rsidR="006E51BF" w:rsidRPr="007F5895" w:rsidRDefault="006E51BF">
            <w:pPr>
              <w:pStyle w:val="ARfintabletextboldright"/>
            </w:pPr>
            <w:r w:rsidRPr="007F5895">
              <w:t>2.1</w:t>
            </w:r>
          </w:p>
        </w:tc>
        <w:tc>
          <w:tcPr>
            <w:tcW w:w="1637" w:type="dxa"/>
            <w:noWrap/>
            <w:tcMar>
              <w:right w:w="0" w:type="nil"/>
            </w:tcMar>
            <w:hideMark/>
          </w:tcPr>
          <w:p w14:paraId="36E5FCDA" w14:textId="77777777" w:rsidR="006E51BF" w:rsidRPr="007F5895" w:rsidRDefault="006E51BF">
            <w:pPr>
              <w:pStyle w:val="ARfintabletextboldright"/>
              <w:cnfStyle w:val="010000000000" w:firstRow="0" w:lastRow="1" w:firstColumn="0" w:lastColumn="0" w:oddVBand="0" w:evenVBand="0" w:oddHBand="0" w:evenHBand="0" w:firstRowFirstColumn="0" w:firstRowLastColumn="0" w:lastRowFirstColumn="0" w:lastRowLastColumn="0"/>
            </w:pPr>
            <w:r w:rsidRPr="007F5895">
              <w:t>2.1</w:t>
            </w:r>
          </w:p>
        </w:tc>
      </w:tr>
    </w:tbl>
    <w:p w14:paraId="26E2ED36" w14:textId="77777777" w:rsidR="006E51BF" w:rsidRPr="00DF103B" w:rsidRDefault="006E51BF">
      <w:pPr>
        <w:pStyle w:val="ARfintablenote"/>
        <w:rPr>
          <w:lang w:eastAsia="en-AU"/>
        </w:rPr>
      </w:pPr>
      <w:r w:rsidRPr="00DF103B">
        <w:rPr>
          <w:lang w:eastAsia="en-AU"/>
        </w:rPr>
        <w:t>Notes:</w:t>
      </w:r>
    </w:p>
    <w:p w14:paraId="6AB2E6DD" w14:textId="77777777" w:rsidR="006E51BF" w:rsidRPr="00DF103B" w:rsidRDefault="006E51BF" w:rsidP="006E51BF">
      <w:pPr>
        <w:pStyle w:val="ARfintablenoteroman"/>
        <w:numPr>
          <w:ilvl w:val="0"/>
          <w:numId w:val="86"/>
        </w:numPr>
      </w:pPr>
      <w:r w:rsidRPr="00DF103B">
        <w:t>This includes remuneration of KMPs for Commission for Children and Young People, Disability Worker Registration Board of Victoria, Victorian Disability Worker Commission, Disability Services Commissioner, Respect Victoria, Victorian Veterans Council and Social Services Regulator. The remuneration of Homes Victoria's key management personnel is disclosed in the Department of Families, Fairness and Housing for the period 1 July 2025 – 30 June 2026.</w:t>
      </w:r>
    </w:p>
    <w:p w14:paraId="6C4F999A" w14:textId="77777777" w:rsidR="006E51BF" w:rsidRPr="00DF103B" w:rsidRDefault="006E51BF" w:rsidP="006E51BF">
      <w:pPr>
        <w:pStyle w:val="ARfintablenoteroman"/>
        <w:numPr>
          <w:ilvl w:val="0"/>
          <w:numId w:val="15"/>
        </w:numPr>
      </w:pPr>
      <w:r w:rsidRPr="00DF103B">
        <w:t>Total figures for 2024</w:t>
      </w:r>
      <w:r>
        <w:t>–</w:t>
      </w:r>
      <w:r w:rsidRPr="00DF103B">
        <w:t>25 and 2025</w:t>
      </w:r>
      <w:r>
        <w:t>–</w:t>
      </w:r>
      <w:r w:rsidRPr="00DF103B">
        <w:t>26 include the remuneration of the CFO who delivered services, as an executive officer to the department but is employed by the Department of Treasury and Finance.</w:t>
      </w:r>
    </w:p>
    <w:p w14:paraId="44C4A9AC" w14:textId="77777777" w:rsidR="006E51BF" w:rsidRPr="00DF103B" w:rsidRDefault="006E51BF" w:rsidP="006E51BF">
      <w:pPr>
        <w:pStyle w:val="ARfintablenoteroman"/>
        <w:numPr>
          <w:ilvl w:val="0"/>
          <w:numId w:val="15"/>
        </w:numPr>
      </w:pPr>
      <w:r w:rsidRPr="00DF103B">
        <w:t>Note that KMPs are also reported in the disclosure of remuneration of Accountable Officers (refer to Note 9.6) and in the disclosure of remuneration of executive officers (refer to Note 9.7).</w:t>
      </w:r>
    </w:p>
    <w:p w14:paraId="47AE07B9" w14:textId="77777777" w:rsidR="006E51BF" w:rsidRDefault="006E51BF">
      <w:pPr>
        <w:pStyle w:val="Heading5"/>
        <w:rPr>
          <w:lang w:eastAsia="en-AU"/>
        </w:rPr>
      </w:pPr>
      <w:bookmarkStart w:id="309" w:name="_Transactions_and_balances"/>
      <w:bookmarkEnd w:id="309"/>
      <w:r w:rsidRPr="00DF103B">
        <w:rPr>
          <w:lang w:eastAsia="en-AU"/>
        </w:rPr>
        <w:t>Transactions and balances with key management personnel and other related parties</w:t>
      </w:r>
    </w:p>
    <w:p w14:paraId="7A6B0EAF" w14:textId="77777777" w:rsidR="006E51BF" w:rsidRDefault="006E51BF">
      <w:pPr>
        <w:pStyle w:val="ARfinbody"/>
        <w:rPr>
          <w:lang w:eastAsia="en-AU"/>
        </w:rPr>
      </w:pPr>
      <w:r w:rsidRPr="00DF103B">
        <w:rPr>
          <w:lang w:eastAsia="en-AU"/>
        </w:rPr>
        <w:t xml:space="preserve">Given the breadth and depth of state government activities, related parties transact with the Victorian public sector in a manner consistent </w:t>
      </w:r>
      <w:r w:rsidRPr="00124279">
        <w:t>with</w:t>
      </w:r>
      <w:r w:rsidRPr="00DF103B">
        <w:rPr>
          <w:lang w:eastAsia="en-AU"/>
        </w:rPr>
        <w:t xml:space="preserve"> other members of the public, for example stamp duty and other government fees and charges. Further employment of processes within the Victorian public sector </w:t>
      </w:r>
      <w:proofErr w:type="gramStart"/>
      <w:r w:rsidRPr="00DF103B">
        <w:rPr>
          <w:lang w:eastAsia="en-AU"/>
        </w:rPr>
        <w:t>occur</w:t>
      </w:r>
      <w:proofErr w:type="gramEnd"/>
      <w:r w:rsidRPr="00DF103B">
        <w:rPr>
          <w:lang w:eastAsia="en-AU"/>
        </w:rPr>
        <w:t xml:space="preserve"> on terms and conditions consistent with the </w:t>
      </w:r>
      <w:r w:rsidRPr="00105DB4">
        <w:rPr>
          <w:rStyle w:val="Emphasis"/>
          <w:lang w:eastAsia="en-AU"/>
        </w:rPr>
        <w:t>Public Administration Act 2004</w:t>
      </w:r>
      <w:r w:rsidRPr="00DF103B">
        <w:rPr>
          <w:lang w:eastAsia="en-AU"/>
        </w:rPr>
        <w:t xml:space="preserve"> and Codes of Conduct and Standards issued by the Victorian Public Sector Commission. Procurement processes occur on terms and conditions consistent with the Victorian Government Procurement Board requirements. </w:t>
      </w:r>
    </w:p>
    <w:p w14:paraId="781F3E8A" w14:textId="77777777" w:rsidR="006E51BF" w:rsidRDefault="006E51BF">
      <w:pPr>
        <w:pStyle w:val="ARfinbody"/>
        <w:rPr>
          <w:lang w:eastAsia="en-AU"/>
        </w:rPr>
      </w:pPr>
      <w:r w:rsidRPr="00DF103B">
        <w:rPr>
          <w:lang w:eastAsia="en-AU"/>
        </w:rPr>
        <w:t xml:space="preserve">Outside of normal citizen-type transactions, there were no material related party transactions that involved key </w:t>
      </w:r>
      <w:r w:rsidRPr="00124279">
        <w:t>management</w:t>
      </w:r>
      <w:r w:rsidRPr="00DF103B">
        <w:rPr>
          <w:lang w:eastAsia="en-AU"/>
        </w:rPr>
        <w:t xml:space="preserve"> personnel, their close family members and their personal business interests with the department, the Administrative Offices or its s. 53(1)(b) entities.</w:t>
      </w:r>
    </w:p>
    <w:p w14:paraId="61AF34C8" w14:textId="77777777" w:rsidR="006E51BF" w:rsidRPr="00DF103B" w:rsidRDefault="006E51BF">
      <w:pPr>
        <w:pStyle w:val="ARfinbody"/>
        <w:rPr>
          <w:lang w:eastAsia="en-AU"/>
        </w:rPr>
      </w:pPr>
      <w:r w:rsidRPr="00DF103B">
        <w:rPr>
          <w:lang w:eastAsia="en-AU"/>
        </w:rPr>
        <w:t>No provision has been required, nor any expense recognised, for impairment of receivables from related parties.</w:t>
      </w:r>
    </w:p>
    <w:p w14:paraId="1988D837" w14:textId="77777777" w:rsidR="006E51BF" w:rsidRPr="003F7D77" w:rsidRDefault="006E51BF">
      <w:pPr>
        <w:pStyle w:val="Heading4"/>
        <w:rPr>
          <w:sz w:val="20"/>
          <w:lang w:eastAsia="en-AU"/>
        </w:rPr>
      </w:pPr>
      <w:r w:rsidRPr="003F7D77">
        <w:rPr>
          <w:lang w:eastAsia="en-AU"/>
        </w:rPr>
        <w:t xml:space="preserve">9.9 </w:t>
      </w:r>
      <w:r>
        <w:rPr>
          <w:lang w:eastAsia="en-AU"/>
        </w:rPr>
        <w:tab/>
      </w:r>
      <w:r w:rsidRPr="003F7D77">
        <w:rPr>
          <w:lang w:eastAsia="en-AU"/>
        </w:rPr>
        <w:t>Remuneration of auditors</w:t>
      </w:r>
    </w:p>
    <w:tbl>
      <w:tblPr>
        <w:tblStyle w:val="ARtable1"/>
        <w:tblW w:w="5000" w:type="pct"/>
        <w:tblLook w:val="00E0" w:firstRow="1" w:lastRow="1" w:firstColumn="1" w:lastColumn="0" w:noHBand="0" w:noVBand="0"/>
      </w:tblPr>
      <w:tblGrid>
        <w:gridCol w:w="6514"/>
        <w:gridCol w:w="1556"/>
        <w:gridCol w:w="1558"/>
      </w:tblGrid>
      <w:tr w:rsidR="006E51BF" w:rsidRPr="003F7D77" w14:paraId="1CE8D028" w14:textId="77777777" w:rsidTr="00735BAF">
        <w:trPr>
          <w:cnfStyle w:val="100000000000" w:firstRow="1" w:lastRow="0" w:firstColumn="0" w:lastColumn="0" w:oddVBand="0" w:evenVBand="0" w:oddHBand="0" w:evenHBand="0" w:firstRowFirstColumn="0" w:firstRowLastColumn="0" w:lastRowFirstColumn="0" w:lastRowLastColumn="0"/>
          <w:trHeight w:val="550"/>
          <w:tblHeader/>
        </w:trPr>
        <w:tc>
          <w:tcPr>
            <w:tcW w:w="3383" w:type="pct"/>
            <w:noWrap/>
          </w:tcPr>
          <w:p w14:paraId="31DB7D9D" w14:textId="77777777" w:rsidR="006E51BF" w:rsidRPr="003F7D77" w:rsidRDefault="006E51BF">
            <w:pPr>
              <w:pStyle w:val="ARfinbody"/>
              <w:rPr>
                <w:color w:val="000000"/>
                <w:sz w:val="20"/>
                <w:lang w:eastAsia="en-AU"/>
              </w:rPr>
            </w:pP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4C6EBC63" w14:textId="77777777" w:rsidR="006E51BF" w:rsidRPr="003F7D77" w:rsidRDefault="006E51BF">
            <w:pPr>
              <w:pStyle w:val="ARfintablecolheadright"/>
              <w:rPr>
                <w:lang w:eastAsia="en-AU"/>
              </w:rPr>
            </w:pPr>
            <w:r w:rsidRPr="003F7D77">
              <w:rPr>
                <w:lang w:eastAsia="en-AU"/>
              </w:rPr>
              <w:t>2026</w:t>
            </w:r>
          </w:p>
          <w:p w14:paraId="4F3DFF53" w14:textId="77777777" w:rsidR="006E51BF" w:rsidRPr="003F7D77" w:rsidRDefault="006E51BF">
            <w:pPr>
              <w:pStyle w:val="ARfintablecolheadright"/>
              <w:rPr>
                <w:lang w:eastAsia="en-AU"/>
              </w:rPr>
            </w:pPr>
            <w:r w:rsidRPr="003F7D77">
              <w:rPr>
                <w:lang w:eastAsia="en-AU"/>
              </w:rPr>
              <w:t>$</w:t>
            </w:r>
          </w:p>
        </w:tc>
        <w:tc>
          <w:tcPr>
            <w:tcW w:w="809" w:type="pct"/>
            <w:noWrap/>
            <w:tcMar>
              <w:right w:w="0" w:type="nil"/>
            </w:tcMar>
            <w:hideMark/>
          </w:tcPr>
          <w:p w14:paraId="1878F96F" w14:textId="77777777" w:rsidR="006E51BF" w:rsidRPr="003F7D7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F7D77">
              <w:rPr>
                <w:lang w:eastAsia="en-AU"/>
              </w:rPr>
              <w:t>2025</w:t>
            </w:r>
          </w:p>
          <w:p w14:paraId="7405C879" w14:textId="77777777" w:rsidR="006E51BF" w:rsidRPr="003F7D77" w:rsidRDefault="006E51BF">
            <w:pPr>
              <w:pStyle w:val="ARfintablecolheadright"/>
              <w:cnfStyle w:val="100000000000" w:firstRow="1" w:lastRow="0" w:firstColumn="0" w:lastColumn="0" w:oddVBand="0" w:evenVBand="0" w:oddHBand="0" w:evenHBand="0" w:firstRowFirstColumn="0" w:firstRowLastColumn="0" w:lastRowFirstColumn="0" w:lastRowLastColumn="0"/>
              <w:rPr>
                <w:lang w:eastAsia="en-AU"/>
              </w:rPr>
            </w:pPr>
            <w:r w:rsidRPr="003F7D77">
              <w:rPr>
                <w:lang w:eastAsia="en-AU"/>
              </w:rPr>
              <w:t>$</w:t>
            </w:r>
          </w:p>
        </w:tc>
      </w:tr>
      <w:tr w:rsidR="006E51BF" w:rsidRPr="003F7D77" w14:paraId="2AE776F8" w14:textId="77777777" w:rsidTr="00735BAF">
        <w:trPr>
          <w:cnfStyle w:val="010000000000" w:firstRow="0" w:lastRow="1" w:firstColumn="0" w:lastColumn="0" w:oddVBand="0" w:evenVBand="0" w:oddHBand="0" w:evenHBand="0" w:firstRowFirstColumn="0" w:firstRowLastColumn="0" w:lastRowFirstColumn="0" w:lastRowLastColumn="0"/>
          <w:trHeight w:val="270"/>
        </w:trPr>
        <w:tc>
          <w:tcPr>
            <w:tcW w:w="3383" w:type="pct"/>
            <w:noWrap/>
            <w:hideMark/>
          </w:tcPr>
          <w:p w14:paraId="2A864E4C" w14:textId="77777777" w:rsidR="006E51BF" w:rsidRPr="003F7D77" w:rsidRDefault="006E51BF">
            <w:pPr>
              <w:pStyle w:val="ARfintabletext"/>
              <w:rPr>
                <w:lang w:eastAsia="en-AU"/>
              </w:rPr>
            </w:pPr>
            <w:r w:rsidRPr="003F7D77">
              <w:rPr>
                <w:lang w:eastAsia="en-AU"/>
              </w:rPr>
              <w:t xml:space="preserve">Victorian Auditor-General's Office </w:t>
            </w:r>
            <w:r>
              <w:rPr>
                <w:lang w:eastAsia="en-AU"/>
              </w:rPr>
              <w:t>–</w:t>
            </w:r>
            <w:r w:rsidRPr="003F7D77">
              <w:rPr>
                <w:lang w:eastAsia="en-AU"/>
              </w:rPr>
              <w:t xml:space="preserve"> audit of the financial report</w:t>
            </w:r>
          </w:p>
        </w:tc>
        <w:tc>
          <w:tcPr>
            <w:cnfStyle w:val="000001000000" w:firstRow="0" w:lastRow="0" w:firstColumn="0" w:lastColumn="0" w:oddVBand="0" w:evenVBand="1" w:oddHBand="0" w:evenHBand="0" w:firstRowFirstColumn="0" w:firstRowLastColumn="0" w:lastRowFirstColumn="0" w:lastRowLastColumn="0"/>
            <w:tcW w:w="808" w:type="pct"/>
            <w:noWrap/>
            <w:tcMar>
              <w:right w:w="0" w:type="nil"/>
            </w:tcMar>
            <w:hideMark/>
          </w:tcPr>
          <w:p w14:paraId="7D76832F" w14:textId="77777777" w:rsidR="006E51BF" w:rsidRPr="003F7D77" w:rsidRDefault="006E51BF">
            <w:pPr>
              <w:pStyle w:val="ARfintabletextright"/>
              <w:rPr>
                <w:lang w:eastAsia="en-AU"/>
              </w:rPr>
            </w:pPr>
            <w:r w:rsidRPr="003F7D77">
              <w:rPr>
                <w:lang w:eastAsia="en-AU"/>
              </w:rPr>
              <w:t>654,500</w:t>
            </w:r>
          </w:p>
        </w:tc>
        <w:tc>
          <w:tcPr>
            <w:tcW w:w="809" w:type="pct"/>
            <w:noWrap/>
            <w:tcMar>
              <w:right w:w="0" w:type="nil"/>
            </w:tcMar>
            <w:hideMark/>
          </w:tcPr>
          <w:p w14:paraId="4693B083" w14:textId="77777777" w:rsidR="006E51BF" w:rsidRPr="003F7D77" w:rsidRDefault="006E51BF">
            <w:pPr>
              <w:pStyle w:val="ARfintabletextright"/>
              <w:cnfStyle w:val="010000000000" w:firstRow="0" w:lastRow="1" w:firstColumn="0" w:lastColumn="0" w:oddVBand="0" w:evenVBand="0" w:oddHBand="0" w:evenHBand="0" w:firstRowFirstColumn="0" w:firstRowLastColumn="0" w:lastRowFirstColumn="0" w:lastRowLastColumn="0"/>
              <w:rPr>
                <w:lang w:eastAsia="en-AU"/>
              </w:rPr>
            </w:pPr>
            <w:r w:rsidRPr="003F7D77">
              <w:rPr>
                <w:lang w:eastAsia="en-AU"/>
              </w:rPr>
              <w:t>563,000</w:t>
            </w:r>
          </w:p>
        </w:tc>
      </w:tr>
    </w:tbl>
    <w:p w14:paraId="0CCBD8B8" w14:textId="77777777" w:rsidR="006E51BF" w:rsidRPr="00BF5689" w:rsidRDefault="006E51BF">
      <w:pPr>
        <w:pStyle w:val="Heading4"/>
        <w:rPr>
          <w:lang w:eastAsia="en-AU"/>
        </w:rPr>
      </w:pPr>
      <w:r w:rsidRPr="00BF5689">
        <w:rPr>
          <w:lang w:eastAsia="en-AU"/>
        </w:rPr>
        <w:t xml:space="preserve">9.10 </w:t>
      </w:r>
      <w:r>
        <w:rPr>
          <w:lang w:eastAsia="en-AU"/>
        </w:rPr>
        <w:tab/>
      </w:r>
      <w:r w:rsidRPr="00BF5689">
        <w:rPr>
          <w:lang w:eastAsia="en-AU"/>
        </w:rPr>
        <w:t>Subsequent events</w:t>
      </w:r>
    </w:p>
    <w:p w14:paraId="0345CF68" w14:textId="77777777" w:rsidR="006E51BF" w:rsidRPr="00BF5689" w:rsidRDefault="006E51BF">
      <w:pPr>
        <w:pStyle w:val="ARfinbody"/>
        <w:rPr>
          <w:lang w:eastAsia="en-AU"/>
        </w:rPr>
      </w:pPr>
      <w:r w:rsidRPr="00BF5689">
        <w:rPr>
          <w:lang w:eastAsia="en-AU"/>
        </w:rPr>
        <w:t xml:space="preserve">There are no </w:t>
      </w:r>
      <w:r w:rsidRPr="00056D4F">
        <w:t>subsequent</w:t>
      </w:r>
      <w:r w:rsidRPr="00BF5689">
        <w:rPr>
          <w:lang w:eastAsia="en-AU"/>
        </w:rPr>
        <w:t xml:space="preserve"> events for the 2025</w:t>
      </w:r>
      <w:r>
        <w:rPr>
          <w:lang w:eastAsia="en-AU"/>
        </w:rPr>
        <w:t>–</w:t>
      </w:r>
      <w:r w:rsidRPr="00BF5689">
        <w:rPr>
          <w:lang w:eastAsia="en-AU"/>
        </w:rPr>
        <w:t>26 financial year.</w:t>
      </w:r>
    </w:p>
    <w:p w14:paraId="283283FA" w14:textId="77777777" w:rsidR="006E51BF" w:rsidRPr="00F83E34" w:rsidRDefault="006E51BF">
      <w:pPr>
        <w:pStyle w:val="Heading4"/>
        <w:rPr>
          <w:lang w:eastAsia="en-AU"/>
        </w:rPr>
      </w:pPr>
      <w:r w:rsidRPr="00F83E34">
        <w:rPr>
          <w:lang w:eastAsia="en-AU"/>
        </w:rPr>
        <w:t xml:space="preserve">9.11 </w:t>
      </w:r>
      <w:r>
        <w:rPr>
          <w:lang w:eastAsia="en-AU"/>
        </w:rPr>
        <w:tab/>
      </w:r>
      <w:r w:rsidRPr="00F83E34">
        <w:rPr>
          <w:lang w:eastAsia="en-AU"/>
        </w:rPr>
        <w:t>Other accounting policies</w:t>
      </w:r>
    </w:p>
    <w:p w14:paraId="34FDD455" w14:textId="77777777" w:rsidR="006E51BF" w:rsidRDefault="006E51BF">
      <w:pPr>
        <w:pStyle w:val="Heading5"/>
        <w:rPr>
          <w:lang w:eastAsia="en-AU"/>
        </w:rPr>
      </w:pPr>
      <w:r w:rsidRPr="00F83E34">
        <w:rPr>
          <w:lang w:eastAsia="en-AU"/>
        </w:rPr>
        <w:t>Contributions by owners</w:t>
      </w:r>
    </w:p>
    <w:p w14:paraId="08C78870" w14:textId="77777777" w:rsidR="006E51BF" w:rsidRDefault="006E51BF">
      <w:pPr>
        <w:pStyle w:val="ARfinbody"/>
        <w:rPr>
          <w:lang w:eastAsia="en-AU"/>
        </w:rPr>
      </w:pPr>
      <w:r w:rsidRPr="00F83E34">
        <w:rPr>
          <w:lang w:eastAsia="en-AU"/>
        </w:rPr>
        <w:t xml:space="preserve">Consistent with the requirements of AASB 1004 </w:t>
      </w:r>
      <w:r w:rsidRPr="00105DB4">
        <w:rPr>
          <w:rStyle w:val="Emphasis"/>
          <w:lang w:eastAsia="en-AU"/>
        </w:rPr>
        <w:t>Contributions</w:t>
      </w:r>
      <w:r w:rsidRPr="00F83E34">
        <w:rPr>
          <w:lang w:eastAsia="en-AU"/>
        </w:rPr>
        <w:t>, contributions by owners (that is, contributed capital and</w:t>
      </w:r>
      <w:r>
        <w:rPr>
          <w:lang w:eastAsia="en-AU"/>
        </w:rPr>
        <w:t> </w:t>
      </w:r>
      <w:r w:rsidRPr="00056D4F">
        <w:t>its</w:t>
      </w:r>
      <w:r>
        <w:rPr>
          <w:lang w:eastAsia="en-AU"/>
        </w:rPr>
        <w:t> </w:t>
      </w:r>
      <w:r w:rsidRPr="00F83E34">
        <w:rPr>
          <w:lang w:eastAsia="en-AU"/>
        </w:rPr>
        <w:t>repayment) are treated as equity transactions and therefore do not form part of the income and expenses of</w:t>
      </w:r>
      <w:r>
        <w:rPr>
          <w:lang w:eastAsia="en-AU"/>
        </w:rPr>
        <w:t> </w:t>
      </w:r>
      <w:r w:rsidRPr="00F83E34">
        <w:rPr>
          <w:lang w:eastAsia="en-AU"/>
        </w:rPr>
        <w:t>the</w:t>
      </w:r>
      <w:r>
        <w:rPr>
          <w:lang w:eastAsia="en-AU"/>
        </w:rPr>
        <w:t> </w:t>
      </w:r>
      <w:r w:rsidRPr="00F83E34">
        <w:rPr>
          <w:lang w:eastAsia="en-AU"/>
        </w:rPr>
        <w:t>department.</w:t>
      </w:r>
    </w:p>
    <w:p w14:paraId="69C9F612" w14:textId="77777777" w:rsidR="006E51BF" w:rsidRDefault="006E51BF">
      <w:pPr>
        <w:pStyle w:val="ARfinbody"/>
        <w:rPr>
          <w:lang w:eastAsia="en-AU"/>
        </w:rPr>
      </w:pPr>
      <w:r w:rsidRPr="00F83E34">
        <w:rPr>
          <w:lang w:eastAsia="en-AU"/>
        </w:rPr>
        <w:t xml:space="preserve">Additions to net assets that have been designated as </w:t>
      </w:r>
      <w:r w:rsidRPr="00056D4F">
        <w:t>contributions</w:t>
      </w:r>
      <w:r w:rsidRPr="00F83E34">
        <w:rPr>
          <w:lang w:eastAsia="en-AU"/>
        </w:rPr>
        <w:t xml:space="preserve"> by owners are recognised as contributed capital. Other transfers that are </w:t>
      </w:r>
      <w:proofErr w:type="gramStart"/>
      <w:r w:rsidRPr="00F83E34">
        <w:rPr>
          <w:lang w:eastAsia="en-AU"/>
        </w:rPr>
        <w:t>in the nature of contributions</w:t>
      </w:r>
      <w:proofErr w:type="gramEnd"/>
      <w:r w:rsidRPr="00F83E34">
        <w:rPr>
          <w:lang w:eastAsia="en-AU"/>
        </w:rPr>
        <w:t xml:space="preserve"> to or distributions by owners have also been designated as</w:t>
      </w:r>
      <w:r>
        <w:rPr>
          <w:lang w:eastAsia="en-AU"/>
        </w:rPr>
        <w:t> </w:t>
      </w:r>
      <w:r w:rsidRPr="00F83E34">
        <w:rPr>
          <w:lang w:eastAsia="en-AU"/>
        </w:rPr>
        <w:t xml:space="preserve">contributions by owners. </w:t>
      </w:r>
    </w:p>
    <w:p w14:paraId="03F1F206" w14:textId="77777777" w:rsidR="006E51BF" w:rsidRPr="00F83E34" w:rsidRDefault="006E51BF">
      <w:pPr>
        <w:pStyle w:val="ARfinbody"/>
        <w:rPr>
          <w:lang w:eastAsia="en-AU"/>
        </w:rPr>
      </w:pPr>
      <w:r w:rsidRPr="00F83E34">
        <w:rPr>
          <w:lang w:eastAsia="en-AU"/>
        </w:rPr>
        <w:t xml:space="preserve">Transfers of net assets arising from administrative restructurings are treated as distributions to or contributions by owners. </w:t>
      </w:r>
      <w:r w:rsidRPr="00056D4F">
        <w:t>Transfers</w:t>
      </w:r>
      <w:r w:rsidRPr="00F83E34">
        <w:rPr>
          <w:lang w:eastAsia="en-AU"/>
        </w:rPr>
        <w:t xml:space="preserve"> of net liabilities arising from administrative restructurings are treated as distributions to owners.</w:t>
      </w:r>
    </w:p>
    <w:p w14:paraId="73DE8FB7" w14:textId="77777777" w:rsidR="006E51BF" w:rsidRPr="008766E9" w:rsidRDefault="006E51BF">
      <w:pPr>
        <w:pStyle w:val="Heading4"/>
        <w:rPr>
          <w:lang w:eastAsia="en-AU"/>
        </w:rPr>
      </w:pPr>
      <w:r w:rsidRPr="008766E9">
        <w:rPr>
          <w:lang w:eastAsia="en-AU"/>
        </w:rPr>
        <w:t xml:space="preserve">9.12 </w:t>
      </w:r>
      <w:r>
        <w:rPr>
          <w:lang w:eastAsia="en-AU"/>
        </w:rPr>
        <w:tab/>
      </w:r>
      <w:r w:rsidRPr="008766E9">
        <w:rPr>
          <w:lang w:eastAsia="en-AU"/>
        </w:rPr>
        <w:t xml:space="preserve">Australian Accounting Standards issued that are not yet effective </w:t>
      </w:r>
    </w:p>
    <w:p w14:paraId="3C3C60E2" w14:textId="77777777" w:rsidR="006E51BF" w:rsidRPr="008766E9" w:rsidRDefault="006E51BF">
      <w:pPr>
        <w:pStyle w:val="ARfinbody"/>
        <w:rPr>
          <w:lang w:eastAsia="en-AU"/>
        </w:rPr>
      </w:pPr>
      <w:r w:rsidRPr="008766E9">
        <w:rPr>
          <w:lang w:eastAsia="en-AU"/>
        </w:rPr>
        <w:t>Certain new and revised accounting standards have been issued but are not effective for the 2025</w:t>
      </w:r>
      <w:r>
        <w:rPr>
          <w:lang w:eastAsia="en-AU"/>
        </w:rPr>
        <w:t>–</w:t>
      </w:r>
      <w:r w:rsidRPr="008766E9">
        <w:rPr>
          <w:lang w:eastAsia="en-AU"/>
        </w:rPr>
        <w:t xml:space="preserve">26 reporting period. These accounting standards have not been </w:t>
      </w:r>
      <w:r w:rsidRPr="00056D4F">
        <w:t>applied</w:t>
      </w:r>
      <w:r w:rsidRPr="008766E9">
        <w:rPr>
          <w:lang w:eastAsia="en-AU"/>
        </w:rPr>
        <w:t xml:space="preserve"> to the financial statements. </w:t>
      </w:r>
    </w:p>
    <w:p w14:paraId="735D8C40" w14:textId="77777777" w:rsidR="006E51BF" w:rsidRDefault="006E51BF">
      <w:pPr>
        <w:pStyle w:val="Heading5"/>
        <w:rPr>
          <w:sz w:val="20"/>
          <w:lang w:eastAsia="en-AU"/>
        </w:rPr>
      </w:pPr>
      <w:r w:rsidRPr="008766E9">
        <w:t xml:space="preserve">AASB 2022-10 </w:t>
      </w:r>
      <w:r w:rsidRPr="00105DB4">
        <w:rPr>
          <w:rStyle w:val="Emphasis"/>
        </w:rPr>
        <w:t>Amendments to Australian Accounting Standards – Fair Value Measurement of Non-Financial Assets of Not-for-Profit Public Sector Entities</w:t>
      </w:r>
    </w:p>
    <w:p w14:paraId="66DA5E65" w14:textId="77777777" w:rsidR="006E51BF" w:rsidRPr="00C61C0C" w:rsidRDefault="006E51BF">
      <w:pPr>
        <w:pStyle w:val="ARfinbody"/>
      </w:pPr>
      <w:r w:rsidRPr="00C61C0C">
        <w:t xml:space="preserve">AASB 2022-10 </w:t>
      </w:r>
      <w:r w:rsidRPr="00105DB4">
        <w:rPr>
          <w:rStyle w:val="Emphasis"/>
        </w:rPr>
        <w:t>Amendments to Australian Accounting Standards – Fair Value Measurement of Non-Financial Assets of Not-for-Profit Public Sector Entities</w:t>
      </w:r>
      <w:r w:rsidRPr="00C61C0C">
        <w:t xml:space="preserve"> amended AASB 13 by adding Appendix F Australian implementation guidance for not-for-profit public sector entities. Appendix F explains and illustrates the application of the principles in AASB 13 on developing unobservable inputs and the application of the cost approach. These clarifications became mandatorily applicable annual reporting periods beginning on or after 1 January 2024. FRD 103 permits Victorian public sector entities to apply Appendix F of AASB 13 in their next scheduled formal asset revaluation or interim revaluation (whichever is earlier) over the five-year revaluation cycle to 30 June 2029.</w:t>
      </w:r>
    </w:p>
    <w:p w14:paraId="62643F4D" w14:textId="77777777" w:rsidR="006E51BF" w:rsidRDefault="006E51BF">
      <w:pPr>
        <w:pStyle w:val="ARfinbody"/>
        <w:rPr>
          <w:lang w:eastAsia="en-AU"/>
        </w:rPr>
      </w:pPr>
      <w:r w:rsidRPr="008766E9">
        <w:rPr>
          <w:lang w:eastAsia="en-AU"/>
        </w:rPr>
        <w:t xml:space="preserve">In accordance with FRD </w:t>
      </w:r>
      <w:r w:rsidRPr="00CA7B85">
        <w:t>103</w:t>
      </w:r>
      <w:r w:rsidRPr="008766E9">
        <w:rPr>
          <w:lang w:eastAsia="en-AU"/>
        </w:rPr>
        <w:t>, the department will apply Appendix F of AASB 13 in its next scheduled formal revaluation</w:t>
      </w:r>
    </w:p>
    <w:p w14:paraId="3ADD5B6B" w14:textId="77777777" w:rsidR="006E51BF" w:rsidRPr="008766E9" w:rsidRDefault="006E51BF">
      <w:pPr>
        <w:pStyle w:val="ARfinbody"/>
        <w:rPr>
          <w:sz w:val="20"/>
          <w:lang w:eastAsia="en-AU"/>
        </w:rPr>
      </w:pPr>
      <w:r w:rsidRPr="008766E9">
        <w:rPr>
          <w:sz w:val="20"/>
          <w:lang w:eastAsia="en-AU"/>
        </w:rPr>
        <w:t>in 2028</w:t>
      </w:r>
      <w:r>
        <w:rPr>
          <w:sz w:val="20"/>
          <w:lang w:eastAsia="en-AU"/>
        </w:rPr>
        <w:t>–29</w:t>
      </w:r>
      <w:r w:rsidRPr="008766E9">
        <w:rPr>
          <w:sz w:val="20"/>
          <w:lang w:eastAsia="en-AU"/>
        </w:rPr>
        <w:t xml:space="preserve"> or interim revaluation process (whichever is earlier).</w:t>
      </w:r>
    </w:p>
    <w:p w14:paraId="5908E7AB" w14:textId="77777777" w:rsidR="006E51BF" w:rsidRPr="00105DB4" w:rsidRDefault="006E51BF">
      <w:pPr>
        <w:pStyle w:val="Heading5"/>
        <w:rPr>
          <w:rStyle w:val="Emphasis"/>
          <w:lang w:eastAsia="en-AU"/>
        </w:rPr>
      </w:pPr>
      <w:r w:rsidRPr="008766E9">
        <w:rPr>
          <w:sz w:val="20"/>
          <w:lang w:eastAsia="en-AU"/>
        </w:rPr>
        <w:t xml:space="preserve">AASB 17 </w:t>
      </w:r>
      <w:r w:rsidRPr="00105DB4">
        <w:rPr>
          <w:rStyle w:val="Emphasis"/>
          <w:lang w:eastAsia="en-AU"/>
        </w:rPr>
        <w:t>Insurance Contracts</w:t>
      </w:r>
      <w:r w:rsidRPr="008766E9">
        <w:rPr>
          <w:sz w:val="20"/>
          <w:lang w:eastAsia="en-AU"/>
        </w:rPr>
        <w:t xml:space="preserve">, AASB 2022-8 </w:t>
      </w:r>
      <w:r w:rsidRPr="00105DB4">
        <w:rPr>
          <w:rStyle w:val="Emphasis"/>
          <w:lang w:eastAsia="en-AU"/>
        </w:rPr>
        <w:t>Amendments to Australian Accounting Standards – Insurance Contracts: Consequential Amendments</w:t>
      </w:r>
      <w:r w:rsidRPr="008766E9">
        <w:rPr>
          <w:sz w:val="20"/>
          <w:lang w:eastAsia="en-AU"/>
        </w:rPr>
        <w:t xml:space="preserve"> and AASB 2022-9 </w:t>
      </w:r>
      <w:r w:rsidRPr="00105DB4">
        <w:rPr>
          <w:rStyle w:val="Emphasis"/>
          <w:lang w:eastAsia="en-AU"/>
        </w:rPr>
        <w:t>Amendments to Australian Accounting Standards – Insurance Contracts in the Public Sector</w:t>
      </w:r>
    </w:p>
    <w:p w14:paraId="45AC761E" w14:textId="77777777" w:rsidR="006E51BF" w:rsidRDefault="006E51BF">
      <w:pPr>
        <w:pStyle w:val="ARfinbody"/>
        <w:rPr>
          <w:lang w:eastAsia="en-AU"/>
        </w:rPr>
      </w:pPr>
      <w:r w:rsidRPr="008766E9">
        <w:rPr>
          <w:lang w:eastAsia="en-AU"/>
        </w:rPr>
        <w:t xml:space="preserve">AASB 17 replaces AASB 4 </w:t>
      </w:r>
      <w:r w:rsidRPr="00105DB4">
        <w:rPr>
          <w:rStyle w:val="Emphasis"/>
          <w:lang w:eastAsia="en-AU"/>
        </w:rPr>
        <w:t>Insurance Contracts</w:t>
      </w:r>
      <w:r w:rsidRPr="008766E9">
        <w:rPr>
          <w:lang w:eastAsia="en-AU"/>
        </w:rPr>
        <w:t xml:space="preserve">, AASB 1023 </w:t>
      </w:r>
      <w:r w:rsidRPr="00105DB4">
        <w:rPr>
          <w:rStyle w:val="Emphasis"/>
          <w:lang w:eastAsia="en-AU"/>
        </w:rPr>
        <w:t>General Insurance Contracts</w:t>
      </w:r>
      <w:r w:rsidRPr="008766E9">
        <w:rPr>
          <w:lang w:eastAsia="en-AU"/>
        </w:rPr>
        <w:t xml:space="preserve"> and AASB 1038 </w:t>
      </w:r>
      <w:r w:rsidRPr="00105DB4">
        <w:rPr>
          <w:rStyle w:val="Emphasis"/>
          <w:lang w:eastAsia="en-AU"/>
        </w:rPr>
        <w:t xml:space="preserve">Life Insurance Contracts </w:t>
      </w:r>
      <w:r w:rsidRPr="008766E9">
        <w:rPr>
          <w:lang w:eastAsia="en-AU"/>
        </w:rPr>
        <w:t>for</w:t>
      </w:r>
      <w:r w:rsidRPr="008766E9">
        <w:rPr>
          <w:i/>
          <w:iCs/>
          <w:lang w:eastAsia="en-AU"/>
        </w:rPr>
        <w:t xml:space="preserve"> </w:t>
      </w:r>
      <w:r w:rsidRPr="008766E9">
        <w:rPr>
          <w:lang w:eastAsia="en-AU"/>
        </w:rPr>
        <w:t>not-for-profit public sector entities for annual reporting periods beginning on or after 1 July 2026.</w:t>
      </w:r>
    </w:p>
    <w:p w14:paraId="043C456D" w14:textId="77777777" w:rsidR="006E51BF" w:rsidRDefault="006E51BF">
      <w:pPr>
        <w:pStyle w:val="ARfinbody"/>
        <w:rPr>
          <w:lang w:eastAsia="en-AU"/>
        </w:rPr>
      </w:pPr>
      <w:r w:rsidRPr="008766E9">
        <w:rPr>
          <w:lang w:eastAsia="en-AU"/>
        </w:rPr>
        <w:t xml:space="preserve">AASB 2022-9 amends AASB 17 to make public sector-related modifications (e.g. it specifies the pre-requisites, indicators and other considerations </w:t>
      </w:r>
      <w:r w:rsidRPr="00C61C0C">
        <w:t>in</w:t>
      </w:r>
      <w:r w:rsidRPr="008766E9">
        <w:rPr>
          <w:lang w:eastAsia="en-AU"/>
        </w:rPr>
        <w:t xml:space="preserve"> identifying arrangements that fall within the scope of AASB 17 in a public sector context). This Standard applies for annual reporting periods beginning on or after 1 July 2026.</w:t>
      </w:r>
    </w:p>
    <w:p w14:paraId="174028FD" w14:textId="214E9343" w:rsidR="00CF0F12" w:rsidRDefault="006E51BF">
      <w:pPr>
        <w:pStyle w:val="ARfinbody"/>
        <w:rPr>
          <w:lang w:eastAsia="en-AU"/>
        </w:rPr>
      </w:pPr>
      <w:r w:rsidRPr="008766E9">
        <w:rPr>
          <w:lang w:eastAsia="en-AU"/>
        </w:rPr>
        <w:t xml:space="preserve">AASB 2022-8 makes consequential amendments to other Australian Accounting Standards so that public sector entities are permitted to continue to apply </w:t>
      </w:r>
      <w:r w:rsidRPr="00C61C0C">
        <w:t>AASB</w:t>
      </w:r>
      <w:r w:rsidRPr="008766E9">
        <w:rPr>
          <w:lang w:eastAsia="en-AU"/>
        </w:rPr>
        <w:t xml:space="preserve"> 4 and AASB 1023 to annual periods before 1 July 2026. </w:t>
      </w:r>
    </w:p>
    <w:p w14:paraId="5E74367F" w14:textId="77777777" w:rsidR="00CF0F12" w:rsidRDefault="00CF0F12">
      <w:pPr>
        <w:spacing w:after="0" w:line="240" w:lineRule="auto"/>
        <w:rPr>
          <w:rFonts w:eastAsia="Times"/>
          <w:sz w:val="18"/>
          <w:lang w:eastAsia="en-AU"/>
        </w:rPr>
      </w:pPr>
      <w:r>
        <w:rPr>
          <w:lang w:eastAsia="en-AU"/>
        </w:rPr>
        <w:br w:type="page"/>
      </w:r>
    </w:p>
    <w:p w14:paraId="137122D7" w14:textId="690206BC" w:rsidR="006E51BF" w:rsidRPr="00105DB4" w:rsidRDefault="006E51BF">
      <w:pPr>
        <w:pStyle w:val="Heading5"/>
        <w:rPr>
          <w:rStyle w:val="Emphasis"/>
        </w:rPr>
      </w:pPr>
      <w:r w:rsidRPr="00C61C0C">
        <w:t xml:space="preserve">AASB 2024-2 </w:t>
      </w:r>
      <w:r w:rsidRPr="00105DB4">
        <w:rPr>
          <w:rStyle w:val="Emphasis"/>
        </w:rPr>
        <w:t>Amendments to Australian Accounting Standards – Classification and Measurement of Financial Instruments</w:t>
      </w:r>
    </w:p>
    <w:p w14:paraId="76525D08" w14:textId="77777777" w:rsidR="006E51BF" w:rsidRPr="00C61C0C" w:rsidRDefault="006E51BF">
      <w:pPr>
        <w:pStyle w:val="ARfinbody"/>
      </w:pPr>
      <w:r w:rsidRPr="00C61C0C">
        <w:t xml:space="preserve">AASB 2024-2 amends AASB 7 </w:t>
      </w:r>
      <w:r w:rsidRPr="00105DB4">
        <w:rPr>
          <w:rStyle w:val="Emphasis"/>
        </w:rPr>
        <w:t>Financial Instruments: Disclosures</w:t>
      </w:r>
      <w:r w:rsidRPr="00C61C0C">
        <w:t xml:space="preserve"> and AASB 9 </w:t>
      </w:r>
      <w:r w:rsidRPr="00105DB4">
        <w:rPr>
          <w:rStyle w:val="Emphasis"/>
        </w:rPr>
        <w:t>Financial Instruments</w:t>
      </w:r>
      <w:r w:rsidRPr="00C61C0C">
        <w:t>.</w:t>
      </w:r>
    </w:p>
    <w:p w14:paraId="50C7EE52" w14:textId="77777777" w:rsidR="006E51BF" w:rsidRPr="00C61C0C" w:rsidRDefault="006E51BF">
      <w:pPr>
        <w:pStyle w:val="ARfinbody"/>
      </w:pPr>
      <w:r w:rsidRPr="00C61C0C">
        <w:t>AASB 2024-2 amends requirements relating to:</w:t>
      </w:r>
    </w:p>
    <w:p w14:paraId="210EA7B8" w14:textId="77777777" w:rsidR="006E51BF" w:rsidRDefault="006E51BF" w:rsidP="006E51BF">
      <w:pPr>
        <w:pStyle w:val="ARfinbullet1"/>
        <w:numPr>
          <w:ilvl w:val="0"/>
          <w:numId w:val="13"/>
        </w:numPr>
        <w:ind w:left="284" w:hanging="284"/>
      </w:pPr>
      <w:r w:rsidRPr="008766E9">
        <w:t xml:space="preserve">settling financial liabilities using an electronic payment system </w:t>
      </w:r>
    </w:p>
    <w:p w14:paraId="4A44EED9" w14:textId="77777777" w:rsidR="006E51BF" w:rsidRDefault="006E51BF" w:rsidP="006E51BF">
      <w:pPr>
        <w:pStyle w:val="ARfinbullet1"/>
        <w:numPr>
          <w:ilvl w:val="0"/>
          <w:numId w:val="13"/>
        </w:numPr>
        <w:ind w:left="284" w:hanging="284"/>
      </w:pPr>
      <w:r w:rsidRPr="008766E9">
        <w:t>assessing contractual cash flow characteristics of financial assets with environmental, social and corporate governance (ESG) and similar features</w:t>
      </w:r>
    </w:p>
    <w:p w14:paraId="518BCCBA" w14:textId="77777777" w:rsidR="006E51BF" w:rsidRDefault="006E51BF" w:rsidP="006E51BF">
      <w:pPr>
        <w:pStyle w:val="ARfinbullet1"/>
        <w:numPr>
          <w:ilvl w:val="0"/>
          <w:numId w:val="13"/>
        </w:numPr>
        <w:ind w:left="284" w:hanging="284"/>
      </w:pPr>
      <w:r w:rsidRPr="008766E9">
        <w:t>disclosure requirements for investments in equity instruments designated at fair value through other comprehensive income and financial instruments with contingent features that do not relate directly to basic lending risks and costs.</w:t>
      </w:r>
    </w:p>
    <w:p w14:paraId="740C602A" w14:textId="77777777" w:rsidR="00CF0F12" w:rsidRDefault="006E51BF">
      <w:pPr>
        <w:pStyle w:val="ARfinbody"/>
        <w:rPr>
          <w:lang w:eastAsia="en-AU"/>
        </w:rPr>
      </w:pPr>
      <w:r w:rsidRPr="008766E9">
        <w:rPr>
          <w:lang w:eastAsia="en-AU"/>
        </w:rPr>
        <w:t>This amendment applies to annual reporting periods beginning on or after 1 January 2026.</w:t>
      </w:r>
    </w:p>
    <w:p w14:paraId="77CDAB82" w14:textId="77777777" w:rsidR="006E51BF" w:rsidRPr="00105DB4" w:rsidRDefault="006E51BF">
      <w:pPr>
        <w:pStyle w:val="Heading5"/>
        <w:rPr>
          <w:rStyle w:val="Emphasis"/>
          <w:lang w:eastAsia="en-AU"/>
        </w:rPr>
      </w:pPr>
      <w:r w:rsidRPr="008766E9">
        <w:rPr>
          <w:sz w:val="20"/>
          <w:lang w:eastAsia="en-AU"/>
        </w:rPr>
        <w:t>AASB 18</w:t>
      </w:r>
      <w:r w:rsidRPr="00105DB4">
        <w:rPr>
          <w:rStyle w:val="Emphasis"/>
          <w:lang w:eastAsia="en-AU"/>
        </w:rPr>
        <w:t xml:space="preserve"> Presentation and Disclosure of Financial Statements</w:t>
      </w:r>
    </w:p>
    <w:p w14:paraId="28398D8B" w14:textId="77777777" w:rsidR="006E51BF" w:rsidRPr="00EF1336" w:rsidRDefault="006E51BF">
      <w:pPr>
        <w:pStyle w:val="ARfinbody"/>
      </w:pPr>
      <w:r w:rsidRPr="008766E9">
        <w:rPr>
          <w:lang w:eastAsia="en-AU"/>
        </w:rPr>
        <w:t xml:space="preserve">AASB 18 replaces AASB 101 </w:t>
      </w:r>
      <w:r w:rsidRPr="00105DB4">
        <w:rPr>
          <w:rStyle w:val="Emphasis"/>
          <w:lang w:eastAsia="en-AU"/>
        </w:rPr>
        <w:t>Presentation of Financial Statements</w:t>
      </w:r>
      <w:r w:rsidRPr="008766E9">
        <w:rPr>
          <w:lang w:eastAsia="en-AU"/>
        </w:rPr>
        <w:t xml:space="preserve"> to improve how entities communicate in their </w:t>
      </w:r>
      <w:r w:rsidRPr="00EF1336">
        <w:t>financial statements, with a particular focus on information about financial performance in the statement of profit or loss.</w:t>
      </w:r>
    </w:p>
    <w:p w14:paraId="42F7D5F4" w14:textId="77777777" w:rsidR="006E51BF" w:rsidRPr="00EF1336" w:rsidRDefault="006E51BF">
      <w:pPr>
        <w:pStyle w:val="ARfinbody"/>
      </w:pPr>
      <w:r w:rsidRPr="00EF1336">
        <w:t xml:space="preserve">The key presentation and disclosure requirements established by AASB 18 is the presentation of newly defined subtotals in the statement of profit or loss. </w:t>
      </w:r>
    </w:p>
    <w:p w14:paraId="38D7BDEB" w14:textId="77777777" w:rsidR="006E51BF" w:rsidRPr="00EF1336" w:rsidRDefault="006E51BF">
      <w:pPr>
        <w:pStyle w:val="ARfinbody"/>
      </w:pPr>
      <w:r w:rsidRPr="00EF1336">
        <w:t xml:space="preserve">AASB 18 applies to annual reporting periods beginning on or after 1 January 2027 for for-profit entities and applies to annual reporting periods beginning on or after 1 January 2028 for not-for-profit entities. The </w:t>
      </w:r>
      <w:proofErr w:type="gramStart"/>
      <w:r w:rsidRPr="00EF1336">
        <w:t>one year</w:t>
      </w:r>
      <w:proofErr w:type="gramEnd"/>
      <w:r w:rsidRPr="00EF1336">
        <w:t xml:space="preserve"> deferral allows the</w:t>
      </w:r>
      <w:r>
        <w:t> </w:t>
      </w:r>
      <w:r w:rsidRPr="00EF1336">
        <w:t>AASB to consult with stakeholders and consider potential modifications for not-for-profit public sector entities. On 30 October 2025, the AASB released Exposure Draft ED 338 Application of AASB 18 and AASB 17 by Superannuation and Not-for-Profit Entities and Operating Cash Flow Reconciliation, proposing its public sector modifications to AASB 18 for</w:t>
      </w:r>
      <w:r>
        <w:t> </w:t>
      </w:r>
      <w:r w:rsidRPr="00EF1336">
        <w:t xml:space="preserve">public comments by 27 February 2026. </w:t>
      </w:r>
    </w:p>
    <w:p w14:paraId="479DB6C3" w14:textId="77777777" w:rsidR="006E51BF" w:rsidRDefault="006E51BF">
      <w:pPr>
        <w:pStyle w:val="ARfinbody"/>
        <w:rPr>
          <w:lang w:eastAsia="en-AU"/>
        </w:rPr>
      </w:pPr>
      <w:r w:rsidRPr="00EF1336">
        <w:t>The Department is currently</w:t>
      </w:r>
      <w:r w:rsidRPr="008766E9">
        <w:rPr>
          <w:lang w:eastAsia="en-AU"/>
        </w:rPr>
        <w:t xml:space="preserve"> in the process of assessing the potential impact of these standards and amendments.</w:t>
      </w:r>
    </w:p>
    <w:p w14:paraId="0879413E" w14:textId="77777777" w:rsidR="006E51BF" w:rsidRPr="008766E9" w:rsidRDefault="006E51BF">
      <w:pPr>
        <w:pStyle w:val="ARfinbody"/>
        <w:rPr>
          <w:lang w:eastAsia="en-AU"/>
        </w:rPr>
      </w:pPr>
      <w:r w:rsidRPr="008766E9">
        <w:rPr>
          <w:lang w:eastAsia="en-AU"/>
        </w:rPr>
        <w:t xml:space="preserve">A few other standards and amendments have also been issued that apply to future reporting periods; </w:t>
      </w:r>
      <w:proofErr w:type="gramStart"/>
      <w:r w:rsidRPr="008766E9">
        <w:rPr>
          <w:lang w:eastAsia="en-AU"/>
        </w:rPr>
        <w:t>however</w:t>
      </w:r>
      <w:proofErr w:type="gramEnd"/>
      <w:r w:rsidRPr="008766E9">
        <w:rPr>
          <w:lang w:eastAsia="en-AU"/>
        </w:rPr>
        <w:t xml:space="preserve"> they are</w:t>
      </w:r>
      <w:r>
        <w:rPr>
          <w:lang w:eastAsia="en-AU"/>
        </w:rPr>
        <w:t> </w:t>
      </w:r>
      <w:r w:rsidRPr="008766E9">
        <w:rPr>
          <w:lang w:eastAsia="en-AU"/>
        </w:rPr>
        <w:t xml:space="preserve">not </w:t>
      </w:r>
      <w:r w:rsidRPr="0053415C">
        <w:t>expected</w:t>
      </w:r>
      <w:r w:rsidRPr="008766E9">
        <w:rPr>
          <w:lang w:eastAsia="en-AU"/>
        </w:rPr>
        <w:t xml:space="preserve"> to have any significant impact on the financial statements in the period of initial application. </w:t>
      </w:r>
    </w:p>
    <w:p w14:paraId="2EC8984E" w14:textId="77777777" w:rsidR="006E51BF" w:rsidRPr="00B53706" w:rsidRDefault="006E51BF">
      <w:pPr>
        <w:pStyle w:val="Heading4"/>
        <w:rPr>
          <w:lang w:eastAsia="en-AU"/>
        </w:rPr>
      </w:pPr>
      <w:r w:rsidRPr="00B53706">
        <w:rPr>
          <w:lang w:eastAsia="en-AU"/>
        </w:rPr>
        <w:t xml:space="preserve">9.13 </w:t>
      </w:r>
      <w:r>
        <w:rPr>
          <w:lang w:eastAsia="en-AU"/>
        </w:rPr>
        <w:tab/>
      </w:r>
      <w:r w:rsidRPr="00B53706">
        <w:rPr>
          <w:lang w:eastAsia="en-AU"/>
        </w:rPr>
        <w:t>Glossary of technical terms</w:t>
      </w:r>
    </w:p>
    <w:p w14:paraId="6087A553" w14:textId="77777777" w:rsidR="006E51BF" w:rsidRPr="00B53706" w:rsidRDefault="006E51BF">
      <w:pPr>
        <w:pStyle w:val="ARfinbody"/>
        <w:rPr>
          <w:lang w:eastAsia="en-AU"/>
        </w:rPr>
      </w:pPr>
      <w:r w:rsidRPr="00B53706">
        <w:rPr>
          <w:lang w:eastAsia="en-AU"/>
        </w:rPr>
        <w:t>The following is a summary of the major technical terms used in this report.</w:t>
      </w:r>
    </w:p>
    <w:p w14:paraId="4EDE5BCF" w14:textId="77777777" w:rsidR="006E51BF" w:rsidRDefault="006E51BF">
      <w:pPr>
        <w:pStyle w:val="ARfinbody"/>
        <w:rPr>
          <w:lang w:eastAsia="en-AU"/>
        </w:rPr>
      </w:pPr>
      <w:r w:rsidRPr="00696BB3">
        <w:rPr>
          <w:rStyle w:val="Strong"/>
        </w:rPr>
        <w:t>Actuarial gains or losses on superannuation defined benefit plans</w:t>
      </w:r>
      <w:r w:rsidRPr="00B53706">
        <w:rPr>
          <w:lang w:eastAsia="en-AU"/>
        </w:rPr>
        <w:t xml:space="preserve"> are changes in the present value of the</w:t>
      </w:r>
      <w:r>
        <w:rPr>
          <w:lang w:eastAsia="en-AU"/>
        </w:rPr>
        <w:t> </w:t>
      </w:r>
      <w:r w:rsidRPr="00B53706">
        <w:rPr>
          <w:lang w:eastAsia="en-AU"/>
        </w:rPr>
        <w:t xml:space="preserve">superannuation defined benefit liability resulting from: </w:t>
      </w:r>
    </w:p>
    <w:p w14:paraId="4374FB4D" w14:textId="77777777" w:rsidR="006E51BF" w:rsidRDefault="006E51BF" w:rsidP="006E51BF">
      <w:pPr>
        <w:pStyle w:val="ARfinbullet1"/>
        <w:numPr>
          <w:ilvl w:val="0"/>
          <w:numId w:val="13"/>
        </w:numPr>
        <w:ind w:left="284" w:hanging="284"/>
      </w:pPr>
      <w:r w:rsidRPr="00B53706">
        <w:t>experience adjustments (the effects of differences between the previous actuarial assumptions and what has</w:t>
      </w:r>
      <w:r>
        <w:t> </w:t>
      </w:r>
      <w:r w:rsidRPr="00B53706">
        <w:t>occurred)</w:t>
      </w:r>
    </w:p>
    <w:p w14:paraId="79D99069" w14:textId="77777777" w:rsidR="006E51BF" w:rsidRDefault="006E51BF" w:rsidP="006E51BF">
      <w:pPr>
        <w:pStyle w:val="ARfinbullet1"/>
        <w:numPr>
          <w:ilvl w:val="0"/>
          <w:numId w:val="13"/>
        </w:numPr>
        <w:ind w:left="284" w:hanging="284"/>
      </w:pPr>
      <w:r w:rsidRPr="00B53706">
        <w:t xml:space="preserve">the effects of changes in actuarial assumptions. </w:t>
      </w:r>
    </w:p>
    <w:p w14:paraId="2A860B60" w14:textId="77777777" w:rsidR="006E51BF" w:rsidRDefault="006E51BF">
      <w:pPr>
        <w:pStyle w:val="ARfinbody"/>
        <w:rPr>
          <w:lang w:eastAsia="en-AU"/>
        </w:rPr>
      </w:pPr>
      <w:r w:rsidRPr="00696BB3">
        <w:rPr>
          <w:rStyle w:val="Strong"/>
        </w:rPr>
        <w:t xml:space="preserve">Administered item </w:t>
      </w:r>
      <w:r w:rsidRPr="00B53706">
        <w:rPr>
          <w:lang w:eastAsia="en-AU"/>
        </w:rPr>
        <w:t>generally refers to a department lacking the capacity to benefit from that item in the pursuit of the</w:t>
      </w:r>
      <w:r>
        <w:rPr>
          <w:lang w:eastAsia="en-AU"/>
        </w:rPr>
        <w:t> </w:t>
      </w:r>
      <w:r w:rsidRPr="00B53706">
        <w:rPr>
          <w:lang w:eastAsia="en-AU"/>
        </w:rPr>
        <w:t>entity’s objectives and to deny or regulate the access of others to that benefit.</w:t>
      </w:r>
    </w:p>
    <w:p w14:paraId="736F25D5" w14:textId="77777777" w:rsidR="006E51BF" w:rsidRDefault="006E51BF">
      <w:pPr>
        <w:pStyle w:val="ARfinbody"/>
        <w:rPr>
          <w:lang w:eastAsia="en-AU"/>
        </w:rPr>
      </w:pPr>
      <w:r w:rsidRPr="00696BB3">
        <w:rPr>
          <w:rStyle w:val="Strong"/>
        </w:rPr>
        <w:t>Amortisation</w:t>
      </w:r>
      <w:r w:rsidRPr="00B53706">
        <w:rPr>
          <w:lang w:eastAsia="en-AU"/>
        </w:rPr>
        <w:t xml:space="preserve"> is the expense that results from the consumption, extraction or use over time of a non-produced physical or intangible asset. This expense is classified as an ‘other economic flow’.</w:t>
      </w:r>
    </w:p>
    <w:p w14:paraId="0A0B52EB" w14:textId="77777777" w:rsidR="006E51BF" w:rsidRPr="00B53706" w:rsidRDefault="006E51BF">
      <w:pPr>
        <w:pStyle w:val="ARfinbody"/>
        <w:rPr>
          <w:lang w:eastAsia="en-AU"/>
        </w:rPr>
      </w:pPr>
      <w:r w:rsidRPr="00696BB3">
        <w:rPr>
          <w:rStyle w:val="Strong"/>
        </w:rPr>
        <w:t>Associates</w:t>
      </w:r>
      <w:r w:rsidRPr="00B53706">
        <w:rPr>
          <w:lang w:eastAsia="en-AU"/>
        </w:rPr>
        <w:t xml:space="preserve"> are all entities over which an entity has significant influence but not control, generally accompanying a</w:t>
      </w:r>
      <w:r>
        <w:rPr>
          <w:lang w:eastAsia="en-AU"/>
        </w:rPr>
        <w:t> </w:t>
      </w:r>
      <w:r w:rsidRPr="00B53706">
        <w:rPr>
          <w:lang w:eastAsia="en-AU"/>
        </w:rPr>
        <w:t xml:space="preserve">shareholding and voting rights of between 20 per cent and 50 per cent. </w:t>
      </w:r>
    </w:p>
    <w:p w14:paraId="6F78C2A2" w14:textId="77777777" w:rsidR="006E51BF" w:rsidRDefault="006E51BF">
      <w:pPr>
        <w:pStyle w:val="ARfinbody"/>
        <w:rPr>
          <w:lang w:eastAsia="en-AU"/>
        </w:rPr>
      </w:pPr>
      <w:r w:rsidRPr="00696BB3">
        <w:rPr>
          <w:rStyle w:val="Strong"/>
        </w:rPr>
        <w:t>Biological assets</w:t>
      </w:r>
      <w:r w:rsidRPr="00B53706">
        <w:rPr>
          <w:lang w:eastAsia="en-AU"/>
        </w:rPr>
        <w:t xml:space="preserve"> may comprise commercial forests </w:t>
      </w:r>
      <w:proofErr w:type="gramStart"/>
      <w:r w:rsidRPr="00B53706">
        <w:rPr>
          <w:lang w:eastAsia="en-AU"/>
        </w:rPr>
        <w:t>and also</w:t>
      </w:r>
      <w:proofErr w:type="gramEnd"/>
      <w:r w:rsidRPr="00B53706">
        <w:rPr>
          <w:lang w:eastAsia="en-AU"/>
        </w:rPr>
        <w:t xml:space="preserve"> any living animal, plant or agricultural produce that is the</w:t>
      </w:r>
      <w:r>
        <w:rPr>
          <w:lang w:eastAsia="en-AU"/>
        </w:rPr>
        <w:t> </w:t>
      </w:r>
      <w:r w:rsidRPr="00B53706">
        <w:rPr>
          <w:lang w:eastAsia="en-AU"/>
        </w:rPr>
        <w:t>harvested product of biological assets.</w:t>
      </w:r>
    </w:p>
    <w:p w14:paraId="06CFA2B6" w14:textId="77777777" w:rsidR="006E51BF" w:rsidRDefault="006E51BF">
      <w:pPr>
        <w:pStyle w:val="ARfinbody"/>
        <w:rPr>
          <w:lang w:eastAsia="en-AU"/>
        </w:rPr>
      </w:pPr>
      <w:r w:rsidRPr="00696BB3">
        <w:rPr>
          <w:rStyle w:val="Strong"/>
        </w:rPr>
        <w:t xml:space="preserve">Borrowings </w:t>
      </w:r>
      <w:r w:rsidRPr="00B53706">
        <w:rPr>
          <w:lang w:eastAsia="en-AU"/>
        </w:rPr>
        <w:t xml:space="preserve">refers to interest-bearing liabilities mainly raised from public borrowings raised through the Treasury Corporation of Victoria, lease liabilities, service concession arrangements and other interest-bearing arrangements. Borrowings also include </w:t>
      </w:r>
      <w:proofErr w:type="spellStart"/>
      <w:proofErr w:type="gramStart"/>
      <w:r w:rsidRPr="00B53706">
        <w:rPr>
          <w:lang w:eastAsia="en-AU"/>
        </w:rPr>
        <w:t>non interest-bearing</w:t>
      </w:r>
      <w:proofErr w:type="spellEnd"/>
      <w:proofErr w:type="gramEnd"/>
      <w:r w:rsidRPr="00B53706">
        <w:rPr>
          <w:lang w:eastAsia="en-AU"/>
        </w:rPr>
        <w:t xml:space="preserve"> advances from government that are acquired for policy purposes.</w:t>
      </w:r>
    </w:p>
    <w:p w14:paraId="66A1DC48" w14:textId="77777777" w:rsidR="006E51BF" w:rsidRDefault="006E51BF">
      <w:pPr>
        <w:pStyle w:val="ARfinbody"/>
        <w:rPr>
          <w:lang w:eastAsia="en-AU"/>
        </w:rPr>
      </w:pPr>
      <w:r w:rsidRPr="00696BB3">
        <w:rPr>
          <w:rStyle w:val="Strong"/>
        </w:rPr>
        <w:t>Commitments</w:t>
      </w:r>
      <w:r w:rsidRPr="00B53706">
        <w:rPr>
          <w:lang w:eastAsia="en-AU"/>
        </w:rPr>
        <w:t xml:space="preserve"> include those operating, capital and other outsourcing commitments arising from non-cancellable contractual or statutory sources.</w:t>
      </w:r>
    </w:p>
    <w:p w14:paraId="6A8CB0E3" w14:textId="77777777" w:rsidR="006E51BF" w:rsidRDefault="006E51BF">
      <w:pPr>
        <w:pStyle w:val="ARfinbody"/>
        <w:rPr>
          <w:lang w:eastAsia="en-AU"/>
        </w:rPr>
      </w:pPr>
      <w:r w:rsidRPr="00696BB3">
        <w:rPr>
          <w:rStyle w:val="Strong"/>
        </w:rPr>
        <w:t xml:space="preserve">Comprehensive result </w:t>
      </w:r>
      <w:r w:rsidRPr="00B53706">
        <w:rPr>
          <w:lang w:eastAsia="en-AU"/>
        </w:rPr>
        <w:t>is the amount included in the operating statement representing total change in net worth other than transactions with owners as owners.</w:t>
      </w:r>
    </w:p>
    <w:p w14:paraId="326AE289" w14:textId="77777777" w:rsidR="006E51BF" w:rsidRDefault="006E51BF">
      <w:pPr>
        <w:pStyle w:val="ARfinbody"/>
        <w:rPr>
          <w:lang w:eastAsia="en-AU"/>
        </w:rPr>
      </w:pPr>
      <w:r w:rsidRPr="00696BB3">
        <w:rPr>
          <w:rStyle w:val="Strong"/>
        </w:rPr>
        <w:t xml:space="preserve">Controlled item </w:t>
      </w:r>
      <w:r w:rsidRPr="00B53706">
        <w:rPr>
          <w:lang w:eastAsia="en-AU"/>
        </w:rPr>
        <w:t xml:space="preserve">generally refers to the capacity of a department to benefit from that item in the pursuit of the entity’s objectives and to deny or regulate the access of others to that benefit. </w:t>
      </w:r>
    </w:p>
    <w:p w14:paraId="49817517" w14:textId="77777777" w:rsidR="006E51BF" w:rsidRPr="00B53706" w:rsidRDefault="006E51BF">
      <w:pPr>
        <w:pStyle w:val="ARfinbody"/>
        <w:rPr>
          <w:lang w:eastAsia="en-AU"/>
        </w:rPr>
      </w:pPr>
      <w:r w:rsidRPr="00696BB3">
        <w:rPr>
          <w:rStyle w:val="Strong"/>
        </w:rPr>
        <w:t xml:space="preserve">Current grants </w:t>
      </w:r>
      <w:r w:rsidRPr="00B53706">
        <w:rPr>
          <w:lang w:eastAsia="en-AU"/>
        </w:rPr>
        <w:t>are amounts payable or receivable for current purposes for which no economic benefits of equal value are receivable or payable in return.</w:t>
      </w:r>
    </w:p>
    <w:p w14:paraId="0675CC99" w14:textId="77777777" w:rsidR="006E51BF" w:rsidRDefault="006E51BF">
      <w:pPr>
        <w:pStyle w:val="ARfinbody"/>
        <w:rPr>
          <w:lang w:eastAsia="en-AU"/>
        </w:rPr>
      </w:pPr>
      <w:r w:rsidRPr="00696BB3">
        <w:rPr>
          <w:rStyle w:val="Strong"/>
        </w:rPr>
        <w:t>Depreciation</w:t>
      </w:r>
      <w:r w:rsidRPr="00B53706">
        <w:rPr>
          <w:lang w:eastAsia="en-AU"/>
        </w:rPr>
        <w:t xml:space="preserve"> is an expense that arises from the consumption through wear or time of a produced physical or intangible asset. This expense is classified as a ‘transaction’ and so reduces the ‘net result from transaction’.</w:t>
      </w:r>
    </w:p>
    <w:p w14:paraId="7036C9DE" w14:textId="77777777" w:rsidR="006E51BF" w:rsidRDefault="006E51BF">
      <w:pPr>
        <w:pStyle w:val="ARfinbody"/>
        <w:rPr>
          <w:lang w:eastAsia="en-AU"/>
        </w:rPr>
      </w:pPr>
      <w:r w:rsidRPr="00F16399">
        <w:rPr>
          <w:rStyle w:val="Strong"/>
        </w:rPr>
        <w:t>Effective interest method</w:t>
      </w:r>
      <w:r w:rsidRPr="00B53706">
        <w:rPr>
          <w:lang w:eastAsia="en-AU"/>
        </w:rPr>
        <w:t xml:space="preserve"> is the method used to calculate the amortised cost of a financial asset and of allocating interest income over the relevant period. The effective interest rate is the rate that exactly discounts estimated future cash receipts through the expected life of the financial asset or, where appropriate, a shorter period.</w:t>
      </w:r>
    </w:p>
    <w:p w14:paraId="00EB4403" w14:textId="77777777" w:rsidR="006E51BF" w:rsidRDefault="006E51BF">
      <w:pPr>
        <w:pStyle w:val="ARfinbody"/>
        <w:rPr>
          <w:lang w:eastAsia="en-AU"/>
        </w:rPr>
      </w:pPr>
      <w:r w:rsidRPr="00F16399">
        <w:rPr>
          <w:rStyle w:val="Strong"/>
        </w:rPr>
        <w:t xml:space="preserve">Employee benefits expenses </w:t>
      </w:r>
      <w:r w:rsidRPr="00B53706">
        <w:rPr>
          <w:lang w:eastAsia="en-AU"/>
        </w:rPr>
        <w:t>include all costs related to employment including wages and salaries, fringe benefits tax, leave entitlements, redundancy payments, defined benefits superannuation plans, and defined contribution superannuation plans.</w:t>
      </w:r>
    </w:p>
    <w:p w14:paraId="5C9CCC07" w14:textId="77777777" w:rsidR="006E51BF" w:rsidRDefault="006E51BF">
      <w:pPr>
        <w:pStyle w:val="ARfinbody"/>
        <w:rPr>
          <w:lang w:eastAsia="en-AU"/>
        </w:rPr>
      </w:pPr>
      <w:r w:rsidRPr="00906C87">
        <w:rPr>
          <w:rStyle w:val="Strong"/>
        </w:rPr>
        <w:t>Ex gratia expenses</w:t>
      </w:r>
      <w:r w:rsidRPr="00B53706">
        <w:rPr>
          <w:lang w:eastAsia="en-AU"/>
        </w:rPr>
        <w:t xml:space="preserve"> mean the voluntary payment of money or other non-monetary benefit (e.g. a write off) that is not made either to acquire goods, services or other benefits for the entity or to meet a legal liability, or to settle or resolve a</w:t>
      </w:r>
      <w:r>
        <w:rPr>
          <w:lang w:eastAsia="en-AU"/>
        </w:rPr>
        <w:t> </w:t>
      </w:r>
      <w:r w:rsidRPr="00B53706">
        <w:rPr>
          <w:lang w:eastAsia="en-AU"/>
        </w:rPr>
        <w:t>possible legal liability or claim against the entity.</w:t>
      </w:r>
    </w:p>
    <w:p w14:paraId="30D9E64B" w14:textId="77777777" w:rsidR="006853E5" w:rsidRDefault="006E51BF">
      <w:pPr>
        <w:pStyle w:val="ARfinbody"/>
        <w:rPr>
          <w:lang w:eastAsia="en-AU"/>
        </w:rPr>
      </w:pPr>
      <w:r w:rsidRPr="00906C87">
        <w:rPr>
          <w:rStyle w:val="Strong"/>
        </w:rPr>
        <w:t>Finance lease</w:t>
      </w:r>
      <w:r w:rsidRPr="00B53706">
        <w:rPr>
          <w:lang w:eastAsia="en-AU"/>
        </w:rPr>
        <w:t xml:space="preserve"> is a lease that transfers substantially all the risks and rewards incidental to ownership of an</w:t>
      </w:r>
      <w:r>
        <w:rPr>
          <w:lang w:eastAsia="en-AU"/>
        </w:rPr>
        <w:t> </w:t>
      </w:r>
      <w:r w:rsidRPr="00B53706">
        <w:rPr>
          <w:lang w:eastAsia="en-AU"/>
        </w:rPr>
        <w:t>underlying</w:t>
      </w:r>
      <w:r>
        <w:rPr>
          <w:lang w:eastAsia="en-AU"/>
        </w:rPr>
        <w:t> </w:t>
      </w:r>
      <w:r w:rsidRPr="00B53706">
        <w:rPr>
          <w:lang w:eastAsia="en-AU"/>
        </w:rPr>
        <w:t>asset.</w:t>
      </w:r>
    </w:p>
    <w:p w14:paraId="2364CD50" w14:textId="77777777" w:rsidR="006E51BF" w:rsidRDefault="006E51BF">
      <w:pPr>
        <w:pStyle w:val="ARfinbody"/>
        <w:rPr>
          <w:lang w:eastAsia="en-AU"/>
        </w:rPr>
      </w:pPr>
      <w:r w:rsidRPr="00906C87">
        <w:rPr>
          <w:rStyle w:val="Strong"/>
        </w:rPr>
        <w:t>Financial asset</w:t>
      </w:r>
      <w:r w:rsidRPr="00B53706">
        <w:rPr>
          <w:lang w:eastAsia="en-AU"/>
        </w:rPr>
        <w:t xml:space="preserve"> is any asset that is either:</w:t>
      </w:r>
    </w:p>
    <w:p w14:paraId="6D2529C3" w14:textId="77777777" w:rsidR="006E51BF" w:rsidRDefault="006E51BF" w:rsidP="006E51BF">
      <w:pPr>
        <w:pStyle w:val="ARfinbullet1"/>
        <w:numPr>
          <w:ilvl w:val="0"/>
          <w:numId w:val="13"/>
        </w:numPr>
        <w:ind w:left="284" w:hanging="284"/>
      </w:pPr>
      <w:r w:rsidRPr="00B53706">
        <w:t>cash</w:t>
      </w:r>
    </w:p>
    <w:p w14:paraId="45C0046B" w14:textId="77777777" w:rsidR="006E51BF" w:rsidRDefault="006E51BF" w:rsidP="006E51BF">
      <w:pPr>
        <w:pStyle w:val="ARfinbullet1"/>
        <w:numPr>
          <w:ilvl w:val="0"/>
          <w:numId w:val="13"/>
        </w:numPr>
        <w:ind w:left="284" w:hanging="284"/>
      </w:pPr>
      <w:r w:rsidRPr="00B53706">
        <w:t>an equity instrument of another entity</w:t>
      </w:r>
    </w:p>
    <w:p w14:paraId="727649F8" w14:textId="77777777" w:rsidR="006E51BF" w:rsidRDefault="006E51BF" w:rsidP="006E51BF">
      <w:pPr>
        <w:pStyle w:val="ARfinbullet2"/>
        <w:ind w:left="568" w:hanging="284"/>
      </w:pPr>
      <w:r w:rsidRPr="00B53706">
        <w:t>a contractual right to receive cash or another financial asset from another entity or to exchange financial assets or</w:t>
      </w:r>
      <w:r>
        <w:t> </w:t>
      </w:r>
      <w:r w:rsidRPr="00B53706">
        <w:t>financial liabilities with another entity under conditions that are potentially favourable to the entity.</w:t>
      </w:r>
    </w:p>
    <w:p w14:paraId="3F00ABC6" w14:textId="77777777" w:rsidR="006E51BF" w:rsidRDefault="006E51BF" w:rsidP="006E51BF">
      <w:pPr>
        <w:pStyle w:val="ARfinbullet1"/>
        <w:numPr>
          <w:ilvl w:val="0"/>
          <w:numId w:val="13"/>
        </w:numPr>
        <w:ind w:left="284" w:hanging="284"/>
      </w:pPr>
      <w:r w:rsidRPr="00B53706">
        <w:t>A financial asset can also be a contract that will or may be settled in the entity’s own equity instruments and</w:t>
      </w:r>
      <w:r>
        <w:t> </w:t>
      </w:r>
      <w:r w:rsidRPr="00B53706">
        <w:t>is</w:t>
      </w:r>
      <w:r>
        <w:t> </w:t>
      </w:r>
      <w:r w:rsidRPr="00B53706">
        <w:t>either:</w:t>
      </w:r>
    </w:p>
    <w:p w14:paraId="17CAAE5D" w14:textId="77777777" w:rsidR="006E51BF" w:rsidRDefault="006E51BF" w:rsidP="006E51BF">
      <w:pPr>
        <w:pStyle w:val="ARfinbullet2"/>
        <w:ind w:left="568" w:hanging="284"/>
      </w:pPr>
      <w:r w:rsidRPr="00B53706">
        <w:t>a non-derivative for which the entity is or may be obliged to receive a variable number of the entity’s own equity</w:t>
      </w:r>
      <w:r>
        <w:t> </w:t>
      </w:r>
      <w:r w:rsidRPr="00B53706">
        <w:t>instruments</w:t>
      </w:r>
    </w:p>
    <w:p w14:paraId="558FDAAF" w14:textId="77777777" w:rsidR="006E51BF" w:rsidRDefault="006E51BF" w:rsidP="006E51BF">
      <w:pPr>
        <w:pStyle w:val="ARfinbullet2"/>
        <w:ind w:left="568" w:hanging="284"/>
      </w:pPr>
      <w:r w:rsidRPr="00B53706">
        <w:t>a derivative that will or may be settled other than by the exchange of a fixed amount of cash or another financial asset for a fixed number of the entity’s own equity instruments.</w:t>
      </w:r>
    </w:p>
    <w:p w14:paraId="67D7E6D5" w14:textId="77777777" w:rsidR="006853E5" w:rsidRDefault="006E51BF">
      <w:pPr>
        <w:pStyle w:val="ARfinbody"/>
        <w:rPr>
          <w:lang w:eastAsia="en-AU"/>
        </w:rPr>
      </w:pPr>
      <w:r w:rsidRPr="00906C87">
        <w:rPr>
          <w:rStyle w:val="Strong"/>
        </w:rPr>
        <w:t xml:space="preserve">Financial instrument </w:t>
      </w:r>
      <w:r w:rsidRPr="00B53706">
        <w:rPr>
          <w:lang w:eastAsia="en-AU"/>
        </w:rPr>
        <w:t xml:space="preserve">is any contract that gives rise to a financial asset of one entity and a financial liability or equity instrument of another entity. </w:t>
      </w:r>
    </w:p>
    <w:p w14:paraId="4E637567" w14:textId="77777777" w:rsidR="006E51BF" w:rsidRDefault="006E51BF">
      <w:pPr>
        <w:pStyle w:val="ARfinbody"/>
        <w:rPr>
          <w:lang w:eastAsia="en-AU"/>
        </w:rPr>
      </w:pPr>
      <w:r w:rsidRPr="00906C87">
        <w:rPr>
          <w:rStyle w:val="Strong"/>
        </w:rPr>
        <w:t xml:space="preserve">Financial liability </w:t>
      </w:r>
      <w:r w:rsidRPr="00B53706">
        <w:rPr>
          <w:lang w:eastAsia="en-AU"/>
        </w:rPr>
        <w:t>is any liability that is either:</w:t>
      </w:r>
    </w:p>
    <w:p w14:paraId="589BC5C3" w14:textId="77777777" w:rsidR="006E51BF" w:rsidRDefault="006E51BF" w:rsidP="006E51BF">
      <w:pPr>
        <w:pStyle w:val="ARfinbullet1"/>
        <w:numPr>
          <w:ilvl w:val="0"/>
          <w:numId w:val="13"/>
        </w:numPr>
        <w:ind w:left="284" w:hanging="284"/>
      </w:pPr>
      <w:r w:rsidRPr="00B53706">
        <w:t>a contractual obligation to deliver cash or another financial asset to another entity or to exchange financial assets or financial liabilities with another entity under conditions that are potentially unfavourable to the entity</w:t>
      </w:r>
    </w:p>
    <w:p w14:paraId="6AFE9F68" w14:textId="77777777" w:rsidR="006E51BF" w:rsidRDefault="006E51BF" w:rsidP="006E51BF">
      <w:pPr>
        <w:pStyle w:val="ARfinbullet1"/>
        <w:numPr>
          <w:ilvl w:val="0"/>
          <w:numId w:val="13"/>
        </w:numPr>
        <w:ind w:left="284" w:hanging="284"/>
      </w:pPr>
      <w:r w:rsidRPr="00B53706">
        <w:t>a contract that will or may be settled in the entity’s own equity instruments and is either:</w:t>
      </w:r>
    </w:p>
    <w:p w14:paraId="45364341" w14:textId="77777777" w:rsidR="006E51BF" w:rsidRDefault="006E51BF" w:rsidP="006E51BF">
      <w:pPr>
        <w:pStyle w:val="ARfinbullet2"/>
        <w:ind w:left="568" w:hanging="284"/>
      </w:pPr>
      <w:r w:rsidRPr="00B53706">
        <w:t xml:space="preserve">a non-derivative for which the entity is or may be obliged to deliver a variable number of the entity’s own </w:t>
      </w:r>
      <w:r w:rsidRPr="00BD5A3E">
        <w:t>equity</w:t>
      </w:r>
      <w:r>
        <w:t> </w:t>
      </w:r>
      <w:r w:rsidRPr="00BD5A3E">
        <w:t>instruments</w:t>
      </w:r>
    </w:p>
    <w:p w14:paraId="4DBEF2CC" w14:textId="77777777" w:rsidR="006E51BF" w:rsidRPr="00B53706" w:rsidRDefault="006E51BF" w:rsidP="006E51BF">
      <w:pPr>
        <w:pStyle w:val="ARfinbullet2"/>
        <w:ind w:left="568" w:hanging="284"/>
      </w:pPr>
      <w:r w:rsidRPr="00B53706">
        <w:t xml:space="preserve">a derivative that will or may be settled other than by the exchange of a fixed amount of cash or another financial asset for a fixed number of the entity’s own equity instruments. For this purpose, the entity’s own equity instruments do not include instruments that are themselves contracts for the future receipt or delivery of the entity’s own equity instruments. </w:t>
      </w:r>
    </w:p>
    <w:p w14:paraId="31756250" w14:textId="77777777" w:rsidR="006E51BF" w:rsidRDefault="006E51BF">
      <w:pPr>
        <w:pStyle w:val="ARfinbody"/>
        <w:rPr>
          <w:lang w:eastAsia="en-AU"/>
        </w:rPr>
      </w:pPr>
      <w:r w:rsidRPr="00906C87">
        <w:rPr>
          <w:rStyle w:val="Strong"/>
        </w:rPr>
        <w:t xml:space="preserve">Financial statements </w:t>
      </w:r>
      <w:r w:rsidRPr="00B53706">
        <w:rPr>
          <w:lang w:eastAsia="en-AU"/>
        </w:rPr>
        <w:t xml:space="preserve">in the Model report </w:t>
      </w:r>
      <w:proofErr w:type="gramStart"/>
      <w:r w:rsidRPr="00B53706">
        <w:rPr>
          <w:lang w:eastAsia="en-AU"/>
        </w:rPr>
        <w:t>comprises</w:t>
      </w:r>
      <w:proofErr w:type="gramEnd"/>
      <w:r w:rsidRPr="00B53706">
        <w:rPr>
          <w:lang w:eastAsia="en-AU"/>
        </w:rPr>
        <w:t>:</w:t>
      </w:r>
    </w:p>
    <w:p w14:paraId="7F49679B" w14:textId="77777777" w:rsidR="006E51BF" w:rsidRDefault="006E51BF" w:rsidP="006E51BF">
      <w:pPr>
        <w:pStyle w:val="ARfinbullet1"/>
        <w:numPr>
          <w:ilvl w:val="0"/>
          <w:numId w:val="13"/>
        </w:numPr>
        <w:ind w:left="284" w:hanging="284"/>
      </w:pPr>
      <w:r w:rsidRPr="00B53706">
        <w:t>a balance sheet as at the end of the period</w:t>
      </w:r>
    </w:p>
    <w:p w14:paraId="3E18AFA0" w14:textId="77777777" w:rsidR="006E51BF" w:rsidRDefault="006E51BF" w:rsidP="006E51BF">
      <w:pPr>
        <w:pStyle w:val="ARfinbullet1"/>
        <w:numPr>
          <w:ilvl w:val="0"/>
          <w:numId w:val="13"/>
        </w:numPr>
        <w:ind w:left="284" w:hanging="284"/>
      </w:pPr>
      <w:r w:rsidRPr="00B53706">
        <w:t>a comprehensive operating statement for the period</w:t>
      </w:r>
    </w:p>
    <w:p w14:paraId="541672F4" w14:textId="77777777" w:rsidR="006E51BF" w:rsidRDefault="006E51BF" w:rsidP="006E51BF">
      <w:pPr>
        <w:pStyle w:val="ARfinbullet1"/>
        <w:numPr>
          <w:ilvl w:val="0"/>
          <w:numId w:val="13"/>
        </w:numPr>
        <w:ind w:left="284" w:hanging="284"/>
      </w:pPr>
      <w:r w:rsidRPr="00B53706">
        <w:t>a statement of changes in equity for the period</w:t>
      </w:r>
    </w:p>
    <w:p w14:paraId="7C44CEB5" w14:textId="77777777" w:rsidR="006E51BF" w:rsidRDefault="006E51BF" w:rsidP="006E51BF">
      <w:pPr>
        <w:pStyle w:val="ARfinbullet1"/>
        <w:numPr>
          <w:ilvl w:val="0"/>
          <w:numId w:val="13"/>
        </w:numPr>
        <w:ind w:left="284" w:hanging="284"/>
      </w:pPr>
      <w:r w:rsidRPr="00B53706">
        <w:t>a cash flow statement for the period</w:t>
      </w:r>
    </w:p>
    <w:p w14:paraId="76BAEE4F" w14:textId="77777777" w:rsidR="006E51BF" w:rsidRDefault="006E51BF" w:rsidP="006E51BF">
      <w:pPr>
        <w:pStyle w:val="ARfinbullet1"/>
        <w:numPr>
          <w:ilvl w:val="0"/>
          <w:numId w:val="13"/>
        </w:numPr>
        <w:ind w:left="284" w:hanging="284"/>
      </w:pPr>
      <w:r w:rsidRPr="00B53706">
        <w:t>notes, comprising a summary of material accounting policies and other explanatory information</w:t>
      </w:r>
    </w:p>
    <w:p w14:paraId="7C5556F0" w14:textId="77777777" w:rsidR="006E51BF" w:rsidRPr="00105DB4" w:rsidRDefault="006E51BF" w:rsidP="006E51BF">
      <w:pPr>
        <w:pStyle w:val="ARfinbullet1"/>
        <w:numPr>
          <w:ilvl w:val="0"/>
          <w:numId w:val="13"/>
        </w:numPr>
        <w:ind w:left="284" w:hanging="284"/>
        <w:rPr>
          <w:rStyle w:val="Emphasis"/>
        </w:rPr>
      </w:pPr>
      <w:r w:rsidRPr="00B53706">
        <w:t xml:space="preserve">comparative information in respect of the preceding period as specified in paragraph 38 of </w:t>
      </w:r>
      <w:r w:rsidRPr="00105DB4">
        <w:rPr>
          <w:rStyle w:val="Emphasis"/>
        </w:rPr>
        <w:t>AASB 101 Presentation of Financial Statements</w:t>
      </w:r>
    </w:p>
    <w:p w14:paraId="70F53A55" w14:textId="77777777" w:rsidR="006E51BF" w:rsidRDefault="006E51BF" w:rsidP="006E51BF">
      <w:pPr>
        <w:pStyle w:val="ARfinbullet1"/>
        <w:numPr>
          <w:ilvl w:val="0"/>
          <w:numId w:val="13"/>
        </w:numPr>
        <w:ind w:left="284" w:hanging="284"/>
      </w:pPr>
      <w:r w:rsidRPr="00B53706">
        <w:t>a statement of financial position as at the beginning of the preceding period when an entity applies an accounting policy retrospectively or makes a retrospective restatement of items in its financial statements, or when it reclassifies items in its financial statements in accordance with paragraphs 41 of AASB 101.</w:t>
      </w:r>
    </w:p>
    <w:p w14:paraId="0ACBC68B" w14:textId="77777777" w:rsidR="006E51BF" w:rsidRDefault="006E51BF">
      <w:pPr>
        <w:pStyle w:val="ARfinbody"/>
        <w:rPr>
          <w:lang w:eastAsia="en-AU"/>
        </w:rPr>
      </w:pPr>
      <w:r w:rsidRPr="00906C87">
        <w:rPr>
          <w:rStyle w:val="Strong"/>
        </w:rPr>
        <w:t xml:space="preserve">Grant </w:t>
      </w:r>
      <w:r w:rsidRPr="00FB06F0">
        <w:rPr>
          <w:rStyle w:val="Strong"/>
        </w:rPr>
        <w:t>expenses and other transfers</w:t>
      </w:r>
      <w:r w:rsidRPr="00B53706">
        <w:rPr>
          <w:lang w:eastAsia="en-AU"/>
        </w:rPr>
        <w:t xml:space="preserve"> are transactions in which one unit provides goods, services, assets (or extinguishes a liability) or labour to another unit without receiving approximately equal value in return. Grants can either be operating or capital in nature. </w:t>
      </w:r>
    </w:p>
    <w:p w14:paraId="6F3F3469" w14:textId="77777777" w:rsidR="00CF0F12" w:rsidRDefault="00CF0F12">
      <w:pPr>
        <w:spacing w:after="0" w:line="240" w:lineRule="auto"/>
        <w:rPr>
          <w:rFonts w:eastAsia="Times"/>
          <w:sz w:val="18"/>
          <w:lang w:eastAsia="en-AU"/>
        </w:rPr>
      </w:pPr>
      <w:r>
        <w:rPr>
          <w:lang w:eastAsia="en-AU"/>
        </w:rPr>
        <w:br w:type="page"/>
      </w:r>
    </w:p>
    <w:p w14:paraId="468C791E" w14:textId="2EDCFF69" w:rsidR="006E51BF" w:rsidRDefault="006E51BF">
      <w:pPr>
        <w:pStyle w:val="ARfinbody"/>
        <w:rPr>
          <w:lang w:eastAsia="en-AU"/>
        </w:rPr>
      </w:pPr>
      <w:r w:rsidRPr="00B53706">
        <w:rPr>
          <w:lang w:eastAsia="en-AU"/>
        </w:rPr>
        <w:t xml:space="preserve">While grants to governments may result in the provision of some goods or services to the transferor, they do not give the transferor a claim to receive directly benefits of approximately equal value. For this reason, grants are referred to by the AASB as involuntary transfers and are termed non-reciprocal transfers. Receipt and sacrifice of approximately equal value may occur, but only by coincidence. For example, governments are not obliged to provide commensurate benefits, in the form of goods or services, to taxpayers in return for their taxes. </w:t>
      </w:r>
    </w:p>
    <w:p w14:paraId="160F5DB3" w14:textId="77777777" w:rsidR="006E51BF" w:rsidRPr="00B53706" w:rsidRDefault="006E51BF">
      <w:pPr>
        <w:pStyle w:val="ARfinbody"/>
        <w:rPr>
          <w:lang w:eastAsia="en-AU"/>
        </w:rPr>
      </w:pPr>
      <w:r w:rsidRPr="00E85F25">
        <w:rPr>
          <w:rStyle w:val="Strong"/>
        </w:rPr>
        <w:t xml:space="preserve">Grants </w:t>
      </w:r>
      <w:r w:rsidRPr="00B53706">
        <w:rPr>
          <w:lang w:eastAsia="en-AU"/>
        </w:rPr>
        <w:t>can be paid as general-purpose grants, which refer to grants that are not subject to conditions regarding their use. Alternatively, they may be paid as specific purpose grants, which are paid for a particular purpose and/or have conditions attached regarding their use.</w:t>
      </w:r>
    </w:p>
    <w:p w14:paraId="668A61C9" w14:textId="77777777" w:rsidR="006E51BF" w:rsidRDefault="006E51BF">
      <w:pPr>
        <w:pStyle w:val="ARfinbody"/>
        <w:rPr>
          <w:lang w:eastAsia="en-AU"/>
        </w:rPr>
      </w:pPr>
      <w:r w:rsidRPr="00E85F25">
        <w:rPr>
          <w:rStyle w:val="Strong"/>
        </w:rPr>
        <w:t xml:space="preserve">General government sector </w:t>
      </w:r>
      <w:r w:rsidRPr="00B53706">
        <w:rPr>
          <w:lang w:eastAsia="en-AU"/>
        </w:rPr>
        <w:t>comprises all government departments, offices and other bodies engaged in providing services free of charge or at prices significantly below their cost of production. General government services include those that are mainly non-market in nature, those that are largely for collective consumption by the community and those that involve the transfer or redistribution of income. These services are financed mainly through taxes, or other compulsory levies and user charges.</w:t>
      </w:r>
    </w:p>
    <w:p w14:paraId="65D639FA" w14:textId="77777777" w:rsidR="006E51BF" w:rsidRDefault="006E51BF">
      <w:pPr>
        <w:pStyle w:val="ARfinbody"/>
        <w:rPr>
          <w:lang w:eastAsia="en-AU"/>
        </w:rPr>
      </w:pPr>
      <w:r w:rsidRPr="00E85F25">
        <w:rPr>
          <w:rStyle w:val="Strong"/>
        </w:rPr>
        <w:t xml:space="preserve">Grants for </w:t>
      </w:r>
      <w:proofErr w:type="gramStart"/>
      <w:r w:rsidRPr="00E85F25">
        <w:rPr>
          <w:rStyle w:val="Strong"/>
        </w:rPr>
        <w:t>on-passing</w:t>
      </w:r>
      <w:proofErr w:type="gramEnd"/>
      <w:r w:rsidRPr="00B53706">
        <w:rPr>
          <w:lang w:eastAsia="en-AU"/>
        </w:rPr>
        <w:t xml:space="preserve"> are grants paid to one institutional sector (e.g. a State general government entity) to be passed on to another institutional sector (e.g. local government or a private non-profit institution).</w:t>
      </w:r>
    </w:p>
    <w:p w14:paraId="667B237B" w14:textId="142A347B" w:rsidR="006E51BF" w:rsidRDefault="006E51BF">
      <w:pPr>
        <w:pStyle w:val="ARfinbody"/>
        <w:rPr>
          <w:lang w:eastAsia="en-AU"/>
        </w:rPr>
      </w:pPr>
      <w:r w:rsidRPr="00E85F25">
        <w:rPr>
          <w:rStyle w:val="Strong"/>
        </w:rPr>
        <w:t xml:space="preserve">Infrastructure systems </w:t>
      </w:r>
      <w:r w:rsidRPr="00B53706">
        <w:rPr>
          <w:lang w:eastAsia="en-AU"/>
        </w:rPr>
        <w:t>provide essential services used in the delivery of final services or products. They are generally a</w:t>
      </w:r>
      <w:r w:rsidR="00CA682E">
        <w:rPr>
          <w:lang w:eastAsia="en-AU"/>
        </w:rPr>
        <w:t> </w:t>
      </w:r>
      <w:r w:rsidRPr="00B53706">
        <w:rPr>
          <w:lang w:eastAsia="en-AU"/>
        </w:rPr>
        <w:t>complex interconnected network of individual assets and mainly include sewerage systems, water storage and supply systems, and public transport assets owned by the State.</w:t>
      </w:r>
    </w:p>
    <w:p w14:paraId="1D0D0299" w14:textId="77777777" w:rsidR="006E51BF" w:rsidRDefault="006E51BF">
      <w:pPr>
        <w:pStyle w:val="ARfinbody"/>
        <w:rPr>
          <w:lang w:eastAsia="en-AU"/>
        </w:rPr>
      </w:pPr>
      <w:r w:rsidRPr="00E85F25">
        <w:rPr>
          <w:rStyle w:val="Strong"/>
        </w:rPr>
        <w:t>Interest expense</w:t>
      </w:r>
      <w:r w:rsidRPr="00B53706">
        <w:rPr>
          <w:lang w:eastAsia="en-AU"/>
        </w:rPr>
        <w:t xml:space="preserve"> represents costs incurred in connection with borrowings. It includes interest on advances, loans, overdrafts, bonds and bills, deposits, interest components of lease repayments, service concession financial liabilities and amortisation of discounts or premiums in relation to borrowings.</w:t>
      </w:r>
    </w:p>
    <w:p w14:paraId="1729640D" w14:textId="77777777" w:rsidR="006E51BF" w:rsidRDefault="006E51BF">
      <w:pPr>
        <w:pStyle w:val="ARfinbody"/>
        <w:rPr>
          <w:lang w:eastAsia="en-AU"/>
        </w:rPr>
      </w:pPr>
      <w:r w:rsidRPr="008D3A4A">
        <w:rPr>
          <w:rStyle w:val="Strong"/>
        </w:rPr>
        <w:t>Interest income</w:t>
      </w:r>
      <w:r w:rsidRPr="00B53706">
        <w:rPr>
          <w:lang w:eastAsia="en-AU"/>
        </w:rPr>
        <w:t xml:space="preserve"> includes unwinding over time of discounts on financial assets and interest received on bank term deposits and other investments. </w:t>
      </w:r>
    </w:p>
    <w:p w14:paraId="29F0109B" w14:textId="77777777" w:rsidR="006E51BF" w:rsidRDefault="006E51BF">
      <w:pPr>
        <w:pStyle w:val="ARfinbody"/>
        <w:rPr>
          <w:lang w:eastAsia="en-AU"/>
        </w:rPr>
      </w:pPr>
      <w:r w:rsidRPr="008D3A4A">
        <w:rPr>
          <w:rStyle w:val="Strong"/>
        </w:rPr>
        <w:t>Investment properties</w:t>
      </w:r>
      <w:r w:rsidRPr="00B53706">
        <w:rPr>
          <w:lang w:eastAsia="en-AU"/>
        </w:rPr>
        <w:t xml:space="preserve"> are properties held to earn rentals or for capital appreciation or both. Investment properties exclude properties held to meet service delivery objectives of the State of Victoria.</w:t>
      </w:r>
    </w:p>
    <w:p w14:paraId="79B9C187" w14:textId="77777777" w:rsidR="006E51BF" w:rsidRPr="00B53706" w:rsidRDefault="006E51BF">
      <w:pPr>
        <w:pStyle w:val="ARfinbody"/>
        <w:rPr>
          <w:lang w:eastAsia="en-AU"/>
        </w:rPr>
      </w:pPr>
      <w:r w:rsidRPr="008D3A4A">
        <w:rPr>
          <w:rStyle w:val="Strong"/>
        </w:rPr>
        <w:t xml:space="preserve">Joint ventures </w:t>
      </w:r>
      <w:r w:rsidRPr="00B53706">
        <w:rPr>
          <w:lang w:eastAsia="en-AU"/>
        </w:rPr>
        <w:t>are contractual arrangements between the department and one or more other parties to undertake an economic activity that is subject to joint control and have rights to the net assets of the arrangement. Joint control only exists when the strategic financial and operating decisions relating to the activity require the unanimous consent of the parties sharing control (the venturers).</w:t>
      </w:r>
    </w:p>
    <w:p w14:paraId="66425339" w14:textId="77777777" w:rsidR="006E51BF" w:rsidRPr="008D3A4A" w:rsidRDefault="006E51BF">
      <w:pPr>
        <w:pStyle w:val="ARfinbody"/>
        <w:rPr>
          <w:rStyle w:val="Strong"/>
        </w:rPr>
      </w:pPr>
      <w:r w:rsidRPr="008D3A4A">
        <w:rPr>
          <w:rStyle w:val="Strong"/>
        </w:rPr>
        <w:t xml:space="preserve">Leases </w:t>
      </w:r>
      <w:r w:rsidRPr="00B53706">
        <w:rPr>
          <w:lang w:eastAsia="en-AU"/>
        </w:rPr>
        <w:t>are rights conveyed in a contract, or part of a contract, the right to use an asset (the underlying asset) for a</w:t>
      </w:r>
      <w:r>
        <w:rPr>
          <w:lang w:eastAsia="en-AU"/>
        </w:rPr>
        <w:t> </w:t>
      </w:r>
      <w:r w:rsidRPr="00B06BD6">
        <w:t xml:space="preserve">period in exchange for consideration. </w:t>
      </w:r>
    </w:p>
    <w:p w14:paraId="197FA33A" w14:textId="77777777" w:rsidR="006E51BF" w:rsidRDefault="006E51BF">
      <w:pPr>
        <w:pStyle w:val="ARfinbody"/>
        <w:rPr>
          <w:lang w:eastAsia="en-AU"/>
        </w:rPr>
      </w:pPr>
      <w:r w:rsidRPr="008D3A4A">
        <w:rPr>
          <w:rStyle w:val="Strong"/>
        </w:rPr>
        <w:t>Net acquisition of non-financial assets (from transactions)</w:t>
      </w:r>
      <w:r w:rsidRPr="00B53706">
        <w:rPr>
          <w:lang w:eastAsia="en-AU"/>
        </w:rPr>
        <w:t xml:space="preserve"> are purchases (and other acquisitions) of non-financial assets less sales (or disposals) of non-financial assets less depreciation plus changes in inventories and other movements in non-financial assets. Includes only those increases or decreases in non-financial assets resulting from transactions and therefore excludes write offs, impairment write downs and revaluations.</w:t>
      </w:r>
    </w:p>
    <w:p w14:paraId="50A5A2AA" w14:textId="77777777" w:rsidR="006E51BF" w:rsidRDefault="006E51BF">
      <w:pPr>
        <w:pStyle w:val="ARfinbody"/>
        <w:rPr>
          <w:lang w:eastAsia="en-AU"/>
        </w:rPr>
      </w:pPr>
      <w:r w:rsidRPr="008D3A4A">
        <w:rPr>
          <w:rStyle w:val="Strong"/>
        </w:rPr>
        <w:t xml:space="preserve">Net financial liabilities </w:t>
      </w:r>
      <w:proofErr w:type="gramStart"/>
      <w:r w:rsidRPr="00B53706">
        <w:rPr>
          <w:lang w:eastAsia="en-AU"/>
        </w:rPr>
        <w:t>is</w:t>
      </w:r>
      <w:proofErr w:type="gramEnd"/>
      <w:r w:rsidRPr="00B53706">
        <w:rPr>
          <w:lang w:eastAsia="en-AU"/>
        </w:rPr>
        <w:t xml:space="preserve"> calculated as liabilities </w:t>
      </w:r>
      <w:proofErr w:type="gramStart"/>
      <w:r w:rsidRPr="00B53706">
        <w:rPr>
          <w:lang w:eastAsia="en-AU"/>
        </w:rPr>
        <w:t>less</w:t>
      </w:r>
      <w:proofErr w:type="gramEnd"/>
      <w:r w:rsidRPr="00B53706">
        <w:rPr>
          <w:lang w:eastAsia="en-AU"/>
        </w:rPr>
        <w:t xml:space="preserve"> financial assets, other than equity in public non-financial corporations (PNFC) and public financial corporations (PFC). This measure is broader than net debt as it includes significant liabilities, other than borrowings (e.g. accrued employee liabilities such as superannuation and long service leave entitlements). For the PNFC and PFC sectors, it is equal to negative net financial worth.</w:t>
      </w:r>
    </w:p>
    <w:p w14:paraId="7D5E2F3E" w14:textId="77777777" w:rsidR="006E51BF" w:rsidRDefault="006E51BF">
      <w:pPr>
        <w:pStyle w:val="ARfinbody"/>
        <w:rPr>
          <w:lang w:eastAsia="en-AU"/>
        </w:rPr>
      </w:pPr>
      <w:r w:rsidRPr="008D3A4A">
        <w:rPr>
          <w:rStyle w:val="Strong"/>
        </w:rPr>
        <w:t xml:space="preserve">Net financial worth </w:t>
      </w:r>
      <w:r w:rsidRPr="00B53706">
        <w:rPr>
          <w:lang w:eastAsia="en-AU"/>
        </w:rPr>
        <w:t xml:space="preserve">is equal to financial assets minus liabilities. It is a broader measure than net debt as it incorporates provisions made (such as superannuation but excluding depreciation and bad debts) as well as holdings of equity. Net financial worth includes all classes of financial assets and liabilities, only some of which are included in net debt. </w:t>
      </w:r>
    </w:p>
    <w:p w14:paraId="21475569" w14:textId="77777777" w:rsidR="006E51BF" w:rsidRDefault="006E51BF">
      <w:pPr>
        <w:pStyle w:val="ARfinbody"/>
        <w:rPr>
          <w:lang w:eastAsia="en-AU"/>
        </w:rPr>
      </w:pPr>
      <w:r w:rsidRPr="00E807E3">
        <w:rPr>
          <w:rStyle w:val="Strong"/>
        </w:rPr>
        <w:t xml:space="preserve">Net gain on equity </w:t>
      </w:r>
      <w:r w:rsidRPr="00B53706">
        <w:rPr>
          <w:lang w:eastAsia="en-AU"/>
        </w:rPr>
        <w:t>investments in other sector entities measured at proportional share of the carrying amount of net assets/(liabilities) comprises the net gains relating to the equity held by the general government sector in other sector entities. It arises from a change in the carrying amount of net assets of the subsidiaries. The net gains are measured based on the proportional share of the subsidiary’s carrying amount of net assets/(liabilities) before elimination of inter-sector balances.</w:t>
      </w:r>
    </w:p>
    <w:p w14:paraId="48A46899" w14:textId="77777777" w:rsidR="006E51BF" w:rsidRPr="00B53706" w:rsidRDefault="006E51BF">
      <w:pPr>
        <w:pStyle w:val="ARfinbody"/>
        <w:rPr>
          <w:lang w:eastAsia="en-AU"/>
        </w:rPr>
      </w:pPr>
      <w:r w:rsidRPr="00E807E3">
        <w:rPr>
          <w:rStyle w:val="Strong"/>
        </w:rPr>
        <w:t xml:space="preserve">Net lending/borrowing </w:t>
      </w:r>
      <w:r w:rsidRPr="00B53706">
        <w:rPr>
          <w:lang w:eastAsia="en-AU"/>
        </w:rPr>
        <w:t>is the financing requirement of government, calculated as the net operating balance less the net acquisition of non-financial assets. It also equals transactions in financial assets less transactions in liabilities. A positive result reflects a net lending position, and a negative result reflects a net borrowing position.</w:t>
      </w:r>
    </w:p>
    <w:p w14:paraId="664D8C0C" w14:textId="77777777" w:rsidR="006E51BF" w:rsidRDefault="006E51BF">
      <w:pPr>
        <w:pStyle w:val="ARfinbody"/>
        <w:rPr>
          <w:lang w:eastAsia="en-AU"/>
        </w:rPr>
      </w:pPr>
      <w:r w:rsidRPr="00E807E3">
        <w:rPr>
          <w:rStyle w:val="Strong"/>
        </w:rPr>
        <w:t>Net operating balance</w:t>
      </w:r>
      <w:r w:rsidRPr="00B53706">
        <w:rPr>
          <w:lang w:eastAsia="en-AU"/>
        </w:rPr>
        <w:t xml:space="preserve"> or </w:t>
      </w:r>
      <w:r w:rsidRPr="00E807E3">
        <w:rPr>
          <w:rStyle w:val="Strong"/>
        </w:rPr>
        <w:t xml:space="preserve">net result </w:t>
      </w:r>
      <w:r w:rsidRPr="00B53706">
        <w:rPr>
          <w:lang w:eastAsia="en-AU"/>
        </w:rPr>
        <w:t xml:space="preserve">from transactions is a key fiscal aggregate and is revenue from transactions minus expenses from transactions. It is a summary measure of the ongoing sustainability of operations. It excludes gains and losses resulting from changes in price levels and other changes in the volume of assets. It is the component of the change in net worth that is due to transactions and can be attributed directly to government policies. </w:t>
      </w:r>
    </w:p>
    <w:p w14:paraId="480299BA" w14:textId="77777777" w:rsidR="006E51BF" w:rsidRDefault="006E51BF">
      <w:pPr>
        <w:pStyle w:val="ARfinbody"/>
        <w:rPr>
          <w:lang w:eastAsia="en-AU"/>
        </w:rPr>
      </w:pPr>
      <w:r w:rsidRPr="00E557DE">
        <w:rPr>
          <w:rStyle w:val="Strong"/>
        </w:rPr>
        <w:t>Net result</w:t>
      </w:r>
      <w:r w:rsidRPr="00B53706">
        <w:rPr>
          <w:lang w:eastAsia="en-AU"/>
        </w:rPr>
        <w:t xml:space="preserve"> is a measure of financial performance of the operations for the period. It is the net result of items of revenue, gains and expenses (including losses) recognised for the period, excluding those classified as ‘other non-owner movements in equity’. </w:t>
      </w:r>
    </w:p>
    <w:p w14:paraId="26D04798" w14:textId="77777777" w:rsidR="006E51BF" w:rsidRDefault="006E51BF">
      <w:pPr>
        <w:pStyle w:val="ARfinbody"/>
        <w:rPr>
          <w:lang w:eastAsia="en-AU"/>
        </w:rPr>
      </w:pPr>
      <w:r w:rsidRPr="00E557DE">
        <w:rPr>
          <w:rStyle w:val="Strong"/>
        </w:rPr>
        <w:t xml:space="preserve">Net worth </w:t>
      </w:r>
      <w:r w:rsidRPr="00B53706">
        <w:rPr>
          <w:lang w:eastAsia="en-AU"/>
        </w:rPr>
        <w:t xml:space="preserve">is calculated as assets less liabilities, which is an economic measure of wealth. </w:t>
      </w:r>
    </w:p>
    <w:p w14:paraId="1F574F96" w14:textId="77777777" w:rsidR="006E51BF" w:rsidRDefault="006E51BF">
      <w:pPr>
        <w:pStyle w:val="ARfinbody"/>
        <w:rPr>
          <w:lang w:eastAsia="en-AU"/>
        </w:rPr>
      </w:pPr>
      <w:r w:rsidRPr="00E557DE">
        <w:rPr>
          <w:rStyle w:val="Strong"/>
        </w:rPr>
        <w:t xml:space="preserve">Non-financial assets </w:t>
      </w:r>
      <w:r w:rsidRPr="00B53706">
        <w:rPr>
          <w:lang w:eastAsia="en-AU"/>
        </w:rPr>
        <w:t>are all assets that are not financial assets. It includes inventories, land, buildings, infrastructure, road networks, land under roads, plant and equipment, cultural and heritage assets, intangibles and biological assets such as commercial forests.</w:t>
      </w:r>
    </w:p>
    <w:p w14:paraId="7394FE43" w14:textId="77777777" w:rsidR="006E51BF" w:rsidRDefault="006E51BF">
      <w:pPr>
        <w:pStyle w:val="ARfinbody"/>
        <w:rPr>
          <w:lang w:eastAsia="en-AU"/>
        </w:rPr>
      </w:pPr>
      <w:r w:rsidRPr="00E557DE">
        <w:rPr>
          <w:rStyle w:val="Strong"/>
        </w:rPr>
        <w:t xml:space="preserve">Non-financial public sector </w:t>
      </w:r>
      <w:r w:rsidRPr="00B53706">
        <w:rPr>
          <w:lang w:eastAsia="en-AU"/>
        </w:rPr>
        <w:t>represents the consolidated transactions and assets and liabilities of the general government and PNFC sectors. In compiling statistics for the non-financial public sector, transactions and debtor/creditor relationships between sub-sectors are eliminated to avoid double counting.</w:t>
      </w:r>
    </w:p>
    <w:p w14:paraId="35EB4933" w14:textId="77777777" w:rsidR="006E51BF" w:rsidRPr="00B53706" w:rsidRDefault="006E51BF">
      <w:pPr>
        <w:pStyle w:val="ARfinbody"/>
        <w:rPr>
          <w:lang w:eastAsia="en-AU"/>
        </w:rPr>
      </w:pPr>
      <w:r w:rsidRPr="00E557DE">
        <w:rPr>
          <w:rStyle w:val="Strong"/>
        </w:rPr>
        <w:t xml:space="preserve">Non-produced assets </w:t>
      </w:r>
      <w:r w:rsidRPr="00B53706">
        <w:rPr>
          <w:lang w:eastAsia="en-AU"/>
        </w:rPr>
        <w:t xml:space="preserve">are assets needed for production that have not themselves been produced. They include land, subsoil assets, and certain intangible assets. Non-produced intangibles are intangible assets needed for production that have not themselves been produced. They include constructs of society such as patents. </w:t>
      </w:r>
    </w:p>
    <w:p w14:paraId="1E6402EB" w14:textId="77777777" w:rsidR="006E51BF" w:rsidRDefault="006E51BF">
      <w:pPr>
        <w:pStyle w:val="ARfinbody"/>
        <w:rPr>
          <w:lang w:eastAsia="en-AU"/>
        </w:rPr>
      </w:pPr>
      <w:r w:rsidRPr="00E557DE">
        <w:rPr>
          <w:rStyle w:val="Strong"/>
        </w:rPr>
        <w:t xml:space="preserve">Operating result </w:t>
      </w:r>
      <w:r w:rsidRPr="00B53706">
        <w:rPr>
          <w:lang w:eastAsia="en-AU"/>
        </w:rPr>
        <w:t xml:space="preserve">is a measure of financial performance of the operations for the period. It is the net result of items of revenue, gains and expenses (including losses) recognised for the period, excluding those that are classified as ‘other non-owner movements in equity’. Refer also to ‘net result’. </w:t>
      </w:r>
    </w:p>
    <w:p w14:paraId="7DD0BF98" w14:textId="77777777" w:rsidR="006E51BF" w:rsidRPr="00E557DE" w:rsidRDefault="006E51BF">
      <w:pPr>
        <w:pStyle w:val="ARfinbody"/>
        <w:rPr>
          <w:rStyle w:val="Strong"/>
        </w:rPr>
      </w:pPr>
      <w:r w:rsidRPr="00E557DE">
        <w:rPr>
          <w:rStyle w:val="Strong"/>
        </w:rPr>
        <w:t xml:space="preserve">Other economic flows included in net result </w:t>
      </w:r>
      <w:r w:rsidRPr="00B53706">
        <w:rPr>
          <w:lang w:eastAsia="en-AU"/>
        </w:rPr>
        <w:t>are changes in the volume or value of an asset or liability that do not result from transactions. In simple terms, other economic flows are changes arising from market remeasurements. They include gains and losses from disposals, revaluations and impairments of non-current physical and intangible assets; fair value changes of financial instruments and agricultural assets; and depletion of natural assets (</w:t>
      </w:r>
      <w:proofErr w:type="spellStart"/>
      <w:r w:rsidRPr="00B53706">
        <w:rPr>
          <w:lang w:eastAsia="en-AU"/>
        </w:rPr>
        <w:t>non produced</w:t>
      </w:r>
      <w:proofErr w:type="spellEnd"/>
      <w:r w:rsidRPr="00B53706">
        <w:rPr>
          <w:lang w:eastAsia="en-AU"/>
        </w:rPr>
        <w:t xml:space="preserve">) from their </w:t>
      </w:r>
      <w:r w:rsidRPr="00B06BD6">
        <w:t>use or removal.</w:t>
      </w:r>
    </w:p>
    <w:p w14:paraId="4C531C56" w14:textId="77777777" w:rsidR="006E51BF" w:rsidRDefault="006E51BF">
      <w:pPr>
        <w:pStyle w:val="ARfinbody"/>
        <w:rPr>
          <w:lang w:eastAsia="en-AU"/>
        </w:rPr>
      </w:pPr>
      <w:r w:rsidRPr="00E557DE">
        <w:rPr>
          <w:rStyle w:val="Strong"/>
        </w:rPr>
        <w:t>Other economic flows – other comprehensive income</w:t>
      </w:r>
      <w:r w:rsidRPr="00B53706">
        <w:rPr>
          <w:lang w:eastAsia="en-AU"/>
        </w:rPr>
        <w:t xml:space="preserve"> comprises items (including reclassification adjustments) that are not recognised in net result as required or permitted by other Australian Accounting Standards. They include changes in physical asset revaluation surplus; share of net movement in revaluation surplus of associates and joint ventures; and gains and losses on remeasuring available-for-sale financial assets.</w:t>
      </w:r>
    </w:p>
    <w:p w14:paraId="2B72DB4C" w14:textId="77777777" w:rsidR="006E51BF" w:rsidRDefault="006E51BF">
      <w:pPr>
        <w:pStyle w:val="ARfinbody"/>
        <w:rPr>
          <w:lang w:eastAsia="en-AU"/>
        </w:rPr>
      </w:pPr>
      <w:r w:rsidRPr="00E557DE">
        <w:rPr>
          <w:rStyle w:val="Strong"/>
        </w:rPr>
        <w:t>Payables</w:t>
      </w:r>
      <w:r w:rsidRPr="00B53706">
        <w:rPr>
          <w:lang w:eastAsia="en-AU"/>
        </w:rPr>
        <w:t xml:space="preserve"> include short and long-term trade debt and accounts payable, grants, taxes and interest payable.</w:t>
      </w:r>
    </w:p>
    <w:p w14:paraId="7053B418" w14:textId="77777777" w:rsidR="006E51BF" w:rsidRDefault="006E51BF">
      <w:pPr>
        <w:pStyle w:val="ARfinbody"/>
        <w:rPr>
          <w:lang w:eastAsia="en-AU"/>
        </w:rPr>
      </w:pPr>
      <w:r w:rsidRPr="00E557DE">
        <w:rPr>
          <w:rStyle w:val="Strong"/>
        </w:rPr>
        <w:t xml:space="preserve">Produced assets </w:t>
      </w:r>
      <w:r w:rsidRPr="00B53706">
        <w:rPr>
          <w:lang w:eastAsia="en-AU"/>
        </w:rPr>
        <w:t>include buildings, plant and equipment, inventories, cultivated assets and certain intangible assets. Intangible produced assets may include computer software, motion picture films and research and development costs (which does not include the start-up costs associated with capital projects).</w:t>
      </w:r>
    </w:p>
    <w:p w14:paraId="5630F37B" w14:textId="77777777" w:rsidR="006E51BF" w:rsidRDefault="006E51BF">
      <w:pPr>
        <w:pStyle w:val="ARfinbody"/>
        <w:rPr>
          <w:lang w:eastAsia="en-AU"/>
        </w:rPr>
      </w:pPr>
      <w:r w:rsidRPr="00E557DE">
        <w:rPr>
          <w:rStyle w:val="Strong"/>
        </w:rPr>
        <w:t xml:space="preserve">Public financial corporations </w:t>
      </w:r>
      <w:r w:rsidRPr="00B53706">
        <w:rPr>
          <w:lang w:eastAsia="en-AU"/>
        </w:rPr>
        <w:t xml:space="preserve">(PFC) are bodies primarily engaged in the provision of financial intermediation services or auxiliary financial services. They </w:t>
      </w:r>
      <w:proofErr w:type="gramStart"/>
      <w:r w:rsidRPr="00B53706">
        <w:rPr>
          <w:lang w:eastAsia="en-AU"/>
        </w:rPr>
        <w:t>are able to</w:t>
      </w:r>
      <w:proofErr w:type="gramEnd"/>
      <w:r w:rsidRPr="00B53706">
        <w:rPr>
          <w:lang w:eastAsia="en-AU"/>
        </w:rPr>
        <w:t xml:space="preserve"> incur financial liabilities on their own account (e.g. taking deposits, issuing securities or providing insurance services). Estimates are not published for the public financial corporation sector.</w:t>
      </w:r>
    </w:p>
    <w:p w14:paraId="2EF98BC7" w14:textId="77777777" w:rsidR="006E51BF" w:rsidRPr="00B53706" w:rsidRDefault="006E51BF">
      <w:pPr>
        <w:pStyle w:val="ARfinbody"/>
        <w:rPr>
          <w:lang w:eastAsia="en-AU"/>
        </w:rPr>
      </w:pPr>
      <w:r w:rsidRPr="00B53706">
        <w:rPr>
          <w:lang w:eastAsia="en-AU"/>
        </w:rPr>
        <w:t xml:space="preserve">The </w:t>
      </w:r>
      <w:r w:rsidRPr="00E557DE">
        <w:rPr>
          <w:rStyle w:val="Strong"/>
        </w:rPr>
        <w:t>public non-financial corporation</w:t>
      </w:r>
      <w:r w:rsidRPr="00B53706">
        <w:rPr>
          <w:lang w:eastAsia="en-AU"/>
        </w:rPr>
        <w:t xml:space="preserve"> (PNFC) sector comprises bodies mainly engaged in the production of goods and services (of a non-financial nature) for sale in the marketplace at prices that aim to recover most of the costs involved (e.g. water and port authorities). In general, PNFCs are legally distinguishable from the governments that own them.</w:t>
      </w:r>
    </w:p>
    <w:p w14:paraId="36741FD2" w14:textId="77777777" w:rsidR="006E51BF" w:rsidRDefault="006E51BF">
      <w:pPr>
        <w:pStyle w:val="ARfinbody"/>
        <w:rPr>
          <w:lang w:eastAsia="en-AU"/>
        </w:rPr>
      </w:pPr>
      <w:r w:rsidRPr="00E557DE">
        <w:rPr>
          <w:rStyle w:val="Strong"/>
        </w:rPr>
        <w:t>Receivables</w:t>
      </w:r>
      <w:r w:rsidRPr="00B53706">
        <w:rPr>
          <w:lang w:eastAsia="en-AU"/>
        </w:rPr>
        <w:t xml:space="preserve"> include amounts owing from government through appropriation receivable, short and long-term trade credit and accounts receivable, accrued investment income, grants, taxes and interest receivable.</w:t>
      </w:r>
    </w:p>
    <w:p w14:paraId="1FF57C8E" w14:textId="7382E5AE" w:rsidR="006E51BF" w:rsidRDefault="006E51BF">
      <w:pPr>
        <w:pStyle w:val="ARfinbody"/>
        <w:rPr>
          <w:lang w:eastAsia="en-AU"/>
        </w:rPr>
      </w:pPr>
      <w:r w:rsidRPr="00E557DE">
        <w:rPr>
          <w:rStyle w:val="Strong"/>
        </w:rPr>
        <w:t>Sales of goods and services</w:t>
      </w:r>
      <w:r w:rsidRPr="00B53706">
        <w:rPr>
          <w:lang w:eastAsia="en-AU"/>
        </w:rPr>
        <w:t xml:space="preserve"> refers to income from the direct provision of goods and services and includes fees and charges for services rendered, sales of goods and services, fees from regulatory services and work done as an agent for private enterprises. It also includes rental income under leases and on produced assets such as buildings and </w:t>
      </w:r>
      <w:proofErr w:type="gramStart"/>
      <w:r w:rsidRPr="00B53706">
        <w:rPr>
          <w:lang w:eastAsia="en-AU"/>
        </w:rPr>
        <w:t>entertainment, but</w:t>
      </w:r>
      <w:proofErr w:type="gramEnd"/>
      <w:r w:rsidRPr="00B53706">
        <w:rPr>
          <w:lang w:eastAsia="en-AU"/>
        </w:rPr>
        <w:t xml:space="preserve"> excludes rent income from the use of non-produced assets such as land. User charges include sale of</w:t>
      </w:r>
      <w:r w:rsidR="00CA682E">
        <w:rPr>
          <w:lang w:eastAsia="en-AU"/>
        </w:rPr>
        <w:t> </w:t>
      </w:r>
      <w:r w:rsidRPr="00B53706">
        <w:rPr>
          <w:lang w:eastAsia="en-AU"/>
        </w:rPr>
        <w:t xml:space="preserve">goods and services income. </w:t>
      </w:r>
    </w:p>
    <w:p w14:paraId="27B80F15" w14:textId="77777777" w:rsidR="006E51BF" w:rsidRDefault="006E51BF">
      <w:pPr>
        <w:pStyle w:val="ARfinbody"/>
        <w:rPr>
          <w:lang w:eastAsia="en-AU"/>
        </w:rPr>
      </w:pPr>
      <w:r w:rsidRPr="00F91C02">
        <w:rPr>
          <w:rStyle w:val="Strong"/>
        </w:rPr>
        <w:t xml:space="preserve">Service concession arrangement </w:t>
      </w:r>
      <w:r w:rsidRPr="00B53706">
        <w:rPr>
          <w:lang w:eastAsia="en-AU"/>
        </w:rPr>
        <w:t>is a contract effective during the reporting period between a grantor and an operator in which:</w:t>
      </w:r>
    </w:p>
    <w:p w14:paraId="5B2754A5" w14:textId="5FE94E10" w:rsidR="006E51BF" w:rsidRDefault="006E51BF" w:rsidP="006E51BF">
      <w:pPr>
        <w:pStyle w:val="ARfinbullet1"/>
        <w:numPr>
          <w:ilvl w:val="0"/>
          <w:numId w:val="13"/>
        </w:numPr>
        <w:ind w:left="284" w:hanging="284"/>
      </w:pPr>
      <w:r w:rsidRPr="00B53706">
        <w:t>the operator has the right of access to the service concession asset (or assets) to provide public services on behalf of</w:t>
      </w:r>
      <w:r w:rsidR="00CA682E">
        <w:t> </w:t>
      </w:r>
      <w:r w:rsidRPr="00B53706">
        <w:t xml:space="preserve">the grantor for a specified </w:t>
      </w:r>
      <w:proofErr w:type="gramStart"/>
      <w:r w:rsidRPr="00B53706">
        <w:t>period of time</w:t>
      </w:r>
      <w:proofErr w:type="gramEnd"/>
    </w:p>
    <w:p w14:paraId="0EE72ABE" w14:textId="77777777" w:rsidR="006E51BF" w:rsidRDefault="006E51BF" w:rsidP="006E51BF">
      <w:pPr>
        <w:pStyle w:val="ARfinbullet1"/>
        <w:numPr>
          <w:ilvl w:val="0"/>
          <w:numId w:val="13"/>
        </w:numPr>
        <w:ind w:left="284" w:hanging="284"/>
      </w:pPr>
      <w:r w:rsidRPr="00B53706">
        <w:t>the operator is responsible for at least some of the management of the public services provided through the asset and does not act merely as an agent on behalf of the grantor</w:t>
      </w:r>
    </w:p>
    <w:p w14:paraId="555F649C" w14:textId="77777777" w:rsidR="006E51BF" w:rsidRDefault="006E51BF" w:rsidP="006E51BF">
      <w:pPr>
        <w:pStyle w:val="ARfinbullet1"/>
        <w:numPr>
          <w:ilvl w:val="0"/>
          <w:numId w:val="13"/>
        </w:numPr>
        <w:ind w:left="284" w:hanging="284"/>
      </w:pPr>
      <w:r w:rsidRPr="00B53706">
        <w:t>the operator is compensated for its services over the period of the service concession arrangement.</w:t>
      </w:r>
    </w:p>
    <w:p w14:paraId="47A3873E" w14:textId="77777777" w:rsidR="006E51BF" w:rsidRPr="00B53706" w:rsidRDefault="006E51BF">
      <w:pPr>
        <w:pStyle w:val="ARfinbody"/>
        <w:rPr>
          <w:lang w:eastAsia="en-AU"/>
        </w:rPr>
      </w:pPr>
      <w:r w:rsidRPr="00F91C02">
        <w:rPr>
          <w:rStyle w:val="Strong"/>
        </w:rPr>
        <w:t>Supplies and services</w:t>
      </w:r>
      <w:r w:rsidRPr="00B53706">
        <w:rPr>
          <w:lang w:eastAsia="en-AU"/>
        </w:rPr>
        <w:t xml:space="preserve"> generally represent cost of goods sold and the day-to-day running costs, including maintenance costs, incurred in the normal operations of the department. </w:t>
      </w:r>
    </w:p>
    <w:p w14:paraId="04C71B7B" w14:textId="77777777" w:rsidR="00CF0F12" w:rsidRDefault="00CF0F12">
      <w:pPr>
        <w:spacing w:after="0" w:line="240" w:lineRule="auto"/>
        <w:rPr>
          <w:rStyle w:val="Strong"/>
          <w:rFonts w:eastAsia="Times"/>
          <w:sz w:val="18"/>
        </w:rPr>
      </w:pPr>
      <w:r>
        <w:rPr>
          <w:rStyle w:val="Strong"/>
        </w:rPr>
        <w:br w:type="page"/>
      </w:r>
    </w:p>
    <w:p w14:paraId="678835CE" w14:textId="66CA951B" w:rsidR="006E51BF" w:rsidRDefault="006E51BF">
      <w:pPr>
        <w:pStyle w:val="ARfinbody"/>
        <w:rPr>
          <w:lang w:eastAsia="en-AU"/>
        </w:rPr>
      </w:pPr>
      <w:r w:rsidRPr="00794C35">
        <w:rPr>
          <w:rStyle w:val="Strong"/>
        </w:rPr>
        <w:t xml:space="preserve">Taxation income </w:t>
      </w:r>
      <w:r w:rsidRPr="00B53706">
        <w:rPr>
          <w:lang w:eastAsia="en-AU"/>
        </w:rPr>
        <w:t>represents income received from the State’s taxpayers and includes:</w:t>
      </w:r>
    </w:p>
    <w:p w14:paraId="6F850955" w14:textId="77777777" w:rsidR="006E51BF" w:rsidRDefault="006E51BF" w:rsidP="006E51BF">
      <w:pPr>
        <w:pStyle w:val="ARfinbullet1"/>
        <w:numPr>
          <w:ilvl w:val="0"/>
          <w:numId w:val="13"/>
        </w:numPr>
        <w:ind w:left="284" w:hanging="284"/>
      </w:pPr>
      <w:r w:rsidRPr="00B53706">
        <w:t>payroll tax, land tax and duties levied principally on conveyances and land transfers</w:t>
      </w:r>
    </w:p>
    <w:p w14:paraId="5DC3F87D" w14:textId="77777777" w:rsidR="006E51BF" w:rsidRDefault="006E51BF" w:rsidP="006E51BF">
      <w:pPr>
        <w:pStyle w:val="ARfinbullet1"/>
        <w:numPr>
          <w:ilvl w:val="0"/>
          <w:numId w:val="13"/>
        </w:numPr>
        <w:ind w:left="284" w:hanging="284"/>
      </w:pPr>
      <w:r w:rsidRPr="00B53706">
        <w:t>gambling taxes levied mainly on private lotteries, electronic gaming machines, casino operations and racing</w:t>
      </w:r>
    </w:p>
    <w:p w14:paraId="4220C1EE" w14:textId="77777777" w:rsidR="006E51BF" w:rsidRDefault="006E51BF" w:rsidP="006E51BF">
      <w:pPr>
        <w:pStyle w:val="ARfinbullet1"/>
        <w:numPr>
          <w:ilvl w:val="0"/>
          <w:numId w:val="13"/>
        </w:numPr>
        <w:ind w:left="284" w:hanging="284"/>
      </w:pPr>
      <w:r w:rsidRPr="00B53706">
        <w:t>insurance duty relating to compulsory third-party, life and non-life policies</w:t>
      </w:r>
    </w:p>
    <w:p w14:paraId="7DBC9E39" w14:textId="77777777" w:rsidR="006E51BF" w:rsidRDefault="006E51BF" w:rsidP="006E51BF">
      <w:pPr>
        <w:pStyle w:val="ARfinbullet1"/>
        <w:numPr>
          <w:ilvl w:val="0"/>
          <w:numId w:val="13"/>
        </w:numPr>
        <w:ind w:left="284" w:hanging="284"/>
      </w:pPr>
      <w:r w:rsidRPr="00B53706">
        <w:t>insurance company contributions to fire brigades</w:t>
      </w:r>
    </w:p>
    <w:p w14:paraId="480EFDF2" w14:textId="77777777" w:rsidR="006E51BF" w:rsidRDefault="006E51BF" w:rsidP="006E51BF">
      <w:pPr>
        <w:pStyle w:val="ARfinbullet1"/>
        <w:numPr>
          <w:ilvl w:val="0"/>
          <w:numId w:val="13"/>
        </w:numPr>
        <w:ind w:left="284" w:hanging="284"/>
      </w:pPr>
      <w:r w:rsidRPr="00B53706">
        <w:t>motor vehicle taxes, including registration fees and duty on registrations and transfers</w:t>
      </w:r>
    </w:p>
    <w:p w14:paraId="023115E5" w14:textId="77777777" w:rsidR="006E51BF" w:rsidRDefault="006E51BF" w:rsidP="006E51BF">
      <w:pPr>
        <w:pStyle w:val="ARfinbullet1"/>
        <w:numPr>
          <w:ilvl w:val="0"/>
          <w:numId w:val="13"/>
        </w:numPr>
        <w:ind w:left="284" w:hanging="284"/>
      </w:pPr>
      <w:r w:rsidRPr="00B53706">
        <w:t>levies (including the environmental levy) on statutory corporations in other sectors of government</w:t>
      </w:r>
    </w:p>
    <w:p w14:paraId="302191AA" w14:textId="77777777" w:rsidR="006E51BF" w:rsidRDefault="006E51BF" w:rsidP="006E51BF">
      <w:pPr>
        <w:pStyle w:val="ARfinbullet1"/>
        <w:numPr>
          <w:ilvl w:val="0"/>
          <w:numId w:val="13"/>
        </w:numPr>
        <w:ind w:left="284" w:hanging="284"/>
      </w:pPr>
      <w:r w:rsidRPr="00B53706">
        <w:t>other taxes, including landfill levies, licence and concession fees.</w:t>
      </w:r>
    </w:p>
    <w:p w14:paraId="7A5250D0" w14:textId="77777777" w:rsidR="00CF0F12" w:rsidRDefault="006E51BF">
      <w:pPr>
        <w:pStyle w:val="ARfinbody"/>
        <w:rPr>
          <w:lang w:eastAsia="en-AU"/>
        </w:rPr>
      </w:pPr>
      <w:r w:rsidRPr="00794C35">
        <w:rPr>
          <w:rStyle w:val="Strong"/>
        </w:rPr>
        <w:t>Transactions</w:t>
      </w:r>
      <w:r w:rsidRPr="00B53706">
        <w:rPr>
          <w:lang w:eastAsia="en-AU"/>
        </w:rPr>
        <w:t xml:space="preserve"> are those economic flows that are considered to arise </w:t>
      </w:r>
      <w:proofErr w:type="gramStart"/>
      <w:r w:rsidRPr="00B53706">
        <w:rPr>
          <w:lang w:eastAsia="en-AU"/>
        </w:rPr>
        <w:t>as a result of</w:t>
      </w:r>
      <w:proofErr w:type="gramEnd"/>
      <w:r w:rsidRPr="00B53706">
        <w:rPr>
          <w:lang w:eastAsia="en-AU"/>
        </w:rPr>
        <w:t xml:space="preserve"> policy decisions, usually an interaction between two entities by mutual agreement. They also include flows into an entity such as depreciation, where the owner is simultaneously acting as the owner of the depreciating asset and as the consumer of the service provided by the asset. Taxation is regarded as mutually agreed interactions between the government and taxpayers. Transactions can be in kind (e.g. assets provided/given free of charge or for nominal consideration) or where the final consideration is cash. In simple terms, transactions arise from the policy decisions of the Government.</w:t>
      </w:r>
    </w:p>
    <w:p w14:paraId="65B38554" w14:textId="77777777" w:rsidR="006E51BF" w:rsidRPr="004B27D9" w:rsidRDefault="006E51BF">
      <w:pPr>
        <w:pStyle w:val="Heading4"/>
        <w:rPr>
          <w:lang w:eastAsia="en-AU"/>
        </w:rPr>
      </w:pPr>
      <w:r w:rsidRPr="004B27D9">
        <w:rPr>
          <w:lang w:eastAsia="en-AU"/>
        </w:rPr>
        <w:t xml:space="preserve">9.14 </w:t>
      </w:r>
      <w:r>
        <w:rPr>
          <w:lang w:eastAsia="en-AU"/>
        </w:rPr>
        <w:tab/>
      </w:r>
      <w:r w:rsidRPr="004B27D9">
        <w:rPr>
          <w:lang w:eastAsia="en-AU"/>
        </w:rPr>
        <w:t>Style conventions</w:t>
      </w:r>
    </w:p>
    <w:p w14:paraId="330EE219" w14:textId="77777777" w:rsidR="006E51BF" w:rsidRDefault="006E51BF">
      <w:pPr>
        <w:pStyle w:val="ARfinbody"/>
        <w:rPr>
          <w:lang w:eastAsia="en-AU"/>
        </w:rPr>
      </w:pPr>
      <w:r w:rsidRPr="004B27D9">
        <w:rPr>
          <w:lang w:eastAsia="en-AU"/>
        </w:rPr>
        <w:t>Figures in the tables and in the text have been rounded. Discrepancies in tables between totals and sums of components reflect rounding. Percentage variations in all tables are based on the underlying unrounded amounts.</w:t>
      </w:r>
    </w:p>
    <w:p w14:paraId="5D04B937" w14:textId="77777777" w:rsidR="006E51BF" w:rsidRDefault="006E51BF">
      <w:pPr>
        <w:pStyle w:val="ARfinbody"/>
        <w:rPr>
          <w:lang w:eastAsia="en-AU"/>
        </w:rPr>
      </w:pPr>
      <w:r w:rsidRPr="004B27D9">
        <w:rPr>
          <w:lang w:eastAsia="en-AU"/>
        </w:rPr>
        <w:t xml:space="preserve">The notation used in the </w:t>
      </w:r>
      <w:r w:rsidRPr="009F0EF1">
        <w:t>tables</w:t>
      </w:r>
      <w:r w:rsidRPr="004B27D9">
        <w:rPr>
          <w:lang w:eastAsia="en-AU"/>
        </w:rPr>
        <w:t xml:space="preserve"> is as follows:</w:t>
      </w:r>
    </w:p>
    <w:p w14:paraId="19424E8C" w14:textId="61B44E3B" w:rsidR="006E51BF" w:rsidRDefault="00163D28" w:rsidP="006E51BF">
      <w:pPr>
        <w:pStyle w:val="ARfinbullet1"/>
        <w:numPr>
          <w:ilvl w:val="0"/>
          <w:numId w:val="13"/>
        </w:numPr>
        <w:ind w:left="284" w:hanging="284"/>
      </w:pPr>
      <w:r>
        <w:t>–</w:t>
      </w:r>
      <w:r w:rsidR="000D67BA">
        <w:t xml:space="preserve"> </w:t>
      </w:r>
      <w:r w:rsidR="006E51BF" w:rsidRPr="004B27D9">
        <w:t>zero, or rounded to zero</w:t>
      </w:r>
    </w:p>
    <w:p w14:paraId="1FCC02FD" w14:textId="76BAADD8" w:rsidR="006E51BF" w:rsidRDefault="006E51BF" w:rsidP="006E51BF">
      <w:pPr>
        <w:pStyle w:val="ARfinbullet1"/>
        <w:numPr>
          <w:ilvl w:val="0"/>
          <w:numId w:val="13"/>
        </w:numPr>
        <w:ind w:left="284" w:hanging="284"/>
      </w:pPr>
      <w:r w:rsidRPr="004B27D9">
        <w:t>(</w:t>
      </w:r>
      <w:proofErr w:type="spellStart"/>
      <w:r w:rsidRPr="004B27D9">
        <w:t>xxx.x</w:t>
      </w:r>
      <w:proofErr w:type="spellEnd"/>
      <w:r w:rsidRPr="004B27D9">
        <w:t>)</w:t>
      </w:r>
      <w:r w:rsidR="000D67BA">
        <w:t xml:space="preserve"> </w:t>
      </w:r>
      <w:r w:rsidRPr="004B27D9">
        <w:t>negative numbers</w:t>
      </w:r>
    </w:p>
    <w:p w14:paraId="709B6B3D" w14:textId="6D8F5D56" w:rsidR="006E51BF" w:rsidRDefault="006E51BF" w:rsidP="006E51BF">
      <w:pPr>
        <w:pStyle w:val="ARfinbullet1"/>
        <w:numPr>
          <w:ilvl w:val="0"/>
          <w:numId w:val="13"/>
        </w:numPr>
        <w:ind w:left="284" w:hanging="284"/>
      </w:pPr>
      <w:r w:rsidRPr="004B27D9">
        <w:t>20xx</w:t>
      </w:r>
      <w:r w:rsidR="000D67BA">
        <w:t xml:space="preserve"> </w:t>
      </w:r>
      <w:r w:rsidRPr="004B27D9">
        <w:t>year end</w:t>
      </w:r>
    </w:p>
    <w:p w14:paraId="156E005E" w14:textId="00C4A2EE" w:rsidR="006E51BF" w:rsidRPr="009F0EF1" w:rsidRDefault="006E51BF" w:rsidP="006E51BF">
      <w:pPr>
        <w:pStyle w:val="ARfinbullet1"/>
        <w:numPr>
          <w:ilvl w:val="0"/>
          <w:numId w:val="13"/>
        </w:numPr>
        <w:ind w:left="284" w:hanging="284"/>
      </w:pPr>
      <w:r w:rsidRPr="004B27D9">
        <w:t>20xx</w:t>
      </w:r>
      <w:r>
        <w:t>–</w:t>
      </w:r>
      <w:proofErr w:type="gramStart"/>
      <w:r w:rsidRPr="004B27D9">
        <w:t>xx</w:t>
      </w:r>
      <w:r w:rsidR="000D67BA">
        <w:t xml:space="preserve"> </w:t>
      </w:r>
      <w:r w:rsidRPr="004B27D9">
        <w:t>year</w:t>
      </w:r>
      <w:proofErr w:type="gramEnd"/>
      <w:r w:rsidRPr="004B27D9">
        <w:t xml:space="preserve"> period.</w:t>
      </w:r>
    </w:p>
    <w:p w14:paraId="194F7A49" w14:textId="49953D97" w:rsidR="00E16DC3" w:rsidRDefault="006E51BF" w:rsidP="00E44E3F">
      <w:pPr>
        <w:pStyle w:val="ARfinbody"/>
        <w:rPr>
          <w:lang w:eastAsia="en-AU"/>
        </w:rPr>
      </w:pPr>
      <w:r w:rsidRPr="004B27D9">
        <w:rPr>
          <w:lang w:eastAsia="en-AU"/>
        </w:rPr>
        <w:t>The financial statements and notes are presented based on the illustration for a government department in the 2025-26 model report for Victorian Government departments. The presentation of other disclosures is generally consistent with the other disclosures made in earlier publications of the department’s annual reports.</w:t>
      </w:r>
    </w:p>
    <w:p w14:paraId="3C656C6B" w14:textId="6210BEF0" w:rsidR="00CF0F12" w:rsidRDefault="00CF0F12">
      <w:pPr>
        <w:spacing w:after="0" w:line="240" w:lineRule="auto"/>
        <w:rPr>
          <w:rFonts w:eastAsia="Times"/>
          <w:sz w:val="18"/>
          <w:lang w:eastAsia="en-AU"/>
        </w:rPr>
      </w:pPr>
      <w:r>
        <w:rPr>
          <w:lang w:eastAsia="en-AU"/>
        </w:rPr>
        <w:br w:type="page"/>
      </w:r>
    </w:p>
    <w:p w14:paraId="17BAE060" w14:textId="4ABBFDC9" w:rsidR="004944DF" w:rsidRPr="003342F9" w:rsidRDefault="004944DF" w:rsidP="00F962BE">
      <w:pPr>
        <w:pStyle w:val="Heading1"/>
        <w:spacing w:before="0"/>
      </w:pPr>
      <w:bookmarkStart w:id="310" w:name="_Toc149587069"/>
      <w:bookmarkStart w:id="311" w:name="_Toc212039557"/>
      <w:bookmarkStart w:id="312" w:name="_Toc241131732"/>
      <w:r w:rsidRPr="00532DAE">
        <w:t>Section 6: Appendices</w:t>
      </w:r>
      <w:bookmarkEnd w:id="310"/>
      <w:bookmarkEnd w:id="311"/>
      <w:bookmarkEnd w:id="312"/>
    </w:p>
    <w:p w14:paraId="773E8DCD" w14:textId="77777777" w:rsidR="004944DF" w:rsidRPr="00532DAE" w:rsidRDefault="004944DF" w:rsidP="004944DF">
      <w:pPr>
        <w:pStyle w:val="Heading2"/>
        <w:spacing w:before="0"/>
      </w:pPr>
      <w:bookmarkStart w:id="313" w:name="_Hlk75964121"/>
      <w:bookmarkStart w:id="314" w:name="_Toc181101532"/>
      <w:bookmarkStart w:id="315" w:name="_Toc212039558"/>
      <w:bookmarkStart w:id="316" w:name="_Toc241131733"/>
      <w:bookmarkEnd w:id="313"/>
      <w:r w:rsidRPr="00532DAE">
        <w:t>Appendix 1: Budget portfolio outcomes</w:t>
      </w:r>
      <w:bookmarkEnd w:id="314"/>
      <w:bookmarkEnd w:id="315"/>
      <w:bookmarkEnd w:id="316"/>
    </w:p>
    <w:p w14:paraId="6329543C" w14:textId="70B4832B" w:rsidR="004944DF" w:rsidRPr="00107CC5" w:rsidRDefault="004944DF" w:rsidP="00652C2F">
      <w:pPr>
        <w:pStyle w:val="Heading3"/>
        <w:rPr>
          <w:lang w:eastAsia="en-AU"/>
        </w:rPr>
      </w:pPr>
      <w:r w:rsidRPr="004944DF">
        <w:rPr>
          <w:rStyle w:val="Heading3Char"/>
          <w:lang w:eastAsia="en-AU"/>
        </w:rPr>
        <w:t>Comprehensive operating statement for the financial year</w:t>
      </w:r>
      <w:r w:rsidRPr="00107CC5">
        <w:rPr>
          <w:lang w:eastAsia="en-AU"/>
        </w:rPr>
        <w:t xml:space="preserve"> </w:t>
      </w:r>
      <w:r w:rsidRPr="004944DF">
        <w:rPr>
          <w:rStyle w:val="Heading3Char"/>
          <w:lang w:eastAsia="en-AU"/>
        </w:rPr>
        <w:t>ended</w:t>
      </w:r>
      <w:r>
        <w:rPr>
          <w:rStyle w:val="Heading3Char"/>
          <w:lang w:eastAsia="en-AU"/>
        </w:rPr>
        <w:t> </w:t>
      </w:r>
      <w:r w:rsidRPr="004944DF">
        <w:rPr>
          <w:rStyle w:val="Heading3Char"/>
          <w:lang w:eastAsia="en-AU"/>
        </w:rPr>
        <w:t>30</w:t>
      </w:r>
      <w:r>
        <w:rPr>
          <w:rStyle w:val="Heading3Char"/>
          <w:lang w:eastAsia="en-AU"/>
        </w:rPr>
        <w:t> </w:t>
      </w:r>
      <w:r w:rsidRPr="004944DF">
        <w:rPr>
          <w:rStyle w:val="Heading3Char"/>
          <w:lang w:eastAsia="en-AU"/>
        </w:rPr>
        <w:t>June 2026</w:t>
      </w:r>
    </w:p>
    <w:tbl>
      <w:tblPr>
        <w:tblStyle w:val="ARtable1"/>
        <w:tblW w:w="5005" w:type="pct"/>
        <w:tblLook w:val="00E0" w:firstRow="1" w:lastRow="1" w:firstColumn="1" w:lastColumn="0" w:noHBand="0" w:noVBand="0"/>
      </w:tblPr>
      <w:tblGrid>
        <w:gridCol w:w="5099"/>
        <w:gridCol w:w="1270"/>
        <w:gridCol w:w="1270"/>
        <w:gridCol w:w="1272"/>
        <w:gridCol w:w="727"/>
      </w:tblGrid>
      <w:tr w:rsidR="004944DF" w:rsidRPr="00107CC5" w14:paraId="3F570CA0" w14:textId="77777777" w:rsidTr="00CF0F12">
        <w:trPr>
          <w:cnfStyle w:val="100000000000" w:firstRow="1" w:lastRow="0" w:firstColumn="0" w:lastColumn="0" w:oddVBand="0" w:evenVBand="0" w:oddHBand="0" w:evenHBand="0" w:firstRowFirstColumn="0" w:firstRowLastColumn="0" w:lastRowFirstColumn="0" w:lastRowLastColumn="0"/>
          <w:trHeight w:val="20"/>
          <w:tblHeader/>
        </w:trPr>
        <w:tc>
          <w:tcPr>
            <w:tcW w:w="2644" w:type="pct"/>
          </w:tcPr>
          <w:p w14:paraId="2F94A8F3" w14:textId="77777777" w:rsidR="004944DF" w:rsidRPr="008145C7" w:rsidRDefault="004944DF" w:rsidP="00F962BE">
            <w:pPr>
              <w:pStyle w:val="ARtablecolhead"/>
              <w:spacing w:before="20" w:after="20"/>
            </w:pPr>
          </w:p>
        </w:tc>
        <w:tc>
          <w:tcPr>
            <w:cnfStyle w:val="000001000000" w:firstRow="0" w:lastRow="0" w:firstColumn="0" w:lastColumn="0" w:oddVBand="0" w:evenVBand="1" w:oddHBand="0" w:evenHBand="0" w:firstRowFirstColumn="0" w:firstRowLastColumn="0" w:lastRowFirstColumn="0" w:lastRowLastColumn="0"/>
            <w:tcW w:w="659" w:type="pct"/>
            <w:tcBorders>
              <w:top w:val="single" w:sz="4" w:space="0" w:color="000000" w:themeColor="text1"/>
            </w:tcBorders>
          </w:tcPr>
          <w:p w14:paraId="6A1FBC12" w14:textId="1F50A535" w:rsidR="00CF0F12" w:rsidRDefault="00CF0F12" w:rsidP="00F962BE">
            <w:pPr>
              <w:pStyle w:val="ARtablecolheadright"/>
              <w:spacing w:before="20" w:after="20"/>
            </w:pPr>
            <w:r w:rsidRPr="008145C7">
              <w:t>2025–26</w:t>
            </w:r>
          </w:p>
          <w:p w14:paraId="75223017" w14:textId="3B41E5F5" w:rsidR="004944DF" w:rsidRPr="008145C7" w:rsidRDefault="004944DF" w:rsidP="00F962BE">
            <w:pPr>
              <w:pStyle w:val="ARtablecolheadright"/>
              <w:spacing w:before="20" w:after="20"/>
            </w:pPr>
            <w:r w:rsidRPr="008145C7">
              <w:t>Actual</w:t>
            </w:r>
          </w:p>
          <w:p w14:paraId="3B9BDCF0" w14:textId="77777777" w:rsidR="004944DF" w:rsidRPr="008145C7" w:rsidRDefault="004944DF" w:rsidP="00F962BE">
            <w:pPr>
              <w:pStyle w:val="ARtablecolheadright"/>
              <w:spacing w:before="20" w:after="20"/>
            </w:pPr>
            <w:r w:rsidRPr="008145C7">
              <w:t>$M</w:t>
            </w:r>
          </w:p>
        </w:tc>
        <w:tc>
          <w:tcPr>
            <w:tcW w:w="659" w:type="pct"/>
            <w:tcBorders>
              <w:top w:val="single" w:sz="4" w:space="0" w:color="000000" w:themeColor="text1"/>
            </w:tcBorders>
          </w:tcPr>
          <w:p w14:paraId="63D69C95" w14:textId="2666AA86" w:rsidR="00CF0F12" w:rsidRDefault="00CF0F12" w:rsidP="00F962BE">
            <w:pPr>
              <w:pStyle w:val="ARtablecolheadright"/>
              <w:spacing w:before="20" w:after="20"/>
              <w:cnfStyle w:val="100000000000" w:firstRow="1" w:lastRow="0" w:firstColumn="0" w:lastColumn="0" w:oddVBand="0" w:evenVBand="0" w:oddHBand="0" w:evenHBand="0" w:firstRowFirstColumn="0" w:firstRowLastColumn="0" w:lastRowFirstColumn="0" w:lastRowLastColumn="0"/>
            </w:pPr>
            <w:r w:rsidRPr="008145C7">
              <w:t>2025–26</w:t>
            </w:r>
          </w:p>
          <w:p w14:paraId="6577C352" w14:textId="0C4590F4" w:rsidR="004944DF" w:rsidRPr="008145C7" w:rsidRDefault="004944DF" w:rsidP="00F962BE">
            <w:pPr>
              <w:pStyle w:val="ARtablecolheadright"/>
              <w:spacing w:before="20" w:after="20"/>
              <w:cnfStyle w:val="100000000000" w:firstRow="1" w:lastRow="0" w:firstColumn="0" w:lastColumn="0" w:oddVBand="0" w:evenVBand="0" w:oddHBand="0" w:evenHBand="0" w:firstRowFirstColumn="0" w:firstRowLastColumn="0" w:lastRowFirstColumn="0" w:lastRowLastColumn="0"/>
            </w:pPr>
            <w:r w:rsidRPr="008145C7">
              <w:t>Published budget</w:t>
            </w:r>
          </w:p>
          <w:p w14:paraId="3E8CFC5A" w14:textId="77777777" w:rsidR="004944DF" w:rsidRPr="008145C7" w:rsidRDefault="004944DF" w:rsidP="00F962BE">
            <w:pPr>
              <w:pStyle w:val="ARtablecolheadright"/>
              <w:spacing w:before="20" w:after="20"/>
              <w:cnfStyle w:val="100000000000" w:firstRow="1" w:lastRow="0" w:firstColumn="0" w:lastColumn="0" w:oddVBand="0" w:evenVBand="0" w:oddHBand="0" w:evenHBand="0" w:firstRowFirstColumn="0" w:firstRowLastColumn="0" w:lastRowFirstColumn="0" w:lastRowLastColumn="0"/>
            </w:pPr>
            <w:r w:rsidRPr="008145C7">
              <w:t>$M</w:t>
            </w:r>
          </w:p>
        </w:tc>
        <w:tc>
          <w:tcPr>
            <w:cnfStyle w:val="000001000000" w:firstRow="0" w:lastRow="0" w:firstColumn="0" w:lastColumn="0" w:oddVBand="0" w:evenVBand="1" w:oddHBand="0" w:evenHBand="0" w:firstRowFirstColumn="0" w:firstRowLastColumn="0" w:lastRowFirstColumn="0" w:lastRowLastColumn="0"/>
            <w:tcW w:w="660" w:type="pct"/>
          </w:tcPr>
          <w:p w14:paraId="41B9E130" w14:textId="77777777" w:rsidR="004944DF" w:rsidRPr="008145C7" w:rsidRDefault="004944DF" w:rsidP="00F962BE">
            <w:pPr>
              <w:pStyle w:val="ARtablecolheadright"/>
              <w:spacing w:before="20" w:after="20"/>
            </w:pPr>
            <w:r w:rsidRPr="008145C7">
              <w:t>Variation to published budget</w:t>
            </w:r>
          </w:p>
          <w:p w14:paraId="1300B5C6" w14:textId="77777777" w:rsidR="004944DF" w:rsidRPr="008145C7" w:rsidRDefault="004944DF" w:rsidP="00F962BE">
            <w:pPr>
              <w:pStyle w:val="ARtablecolheadright"/>
              <w:spacing w:before="20" w:after="20"/>
            </w:pPr>
            <w:r w:rsidRPr="008145C7">
              <w:t>%</w:t>
            </w:r>
          </w:p>
        </w:tc>
        <w:tc>
          <w:tcPr>
            <w:tcW w:w="377" w:type="pct"/>
          </w:tcPr>
          <w:p w14:paraId="1D4A1D69" w14:textId="77777777" w:rsidR="004944DF" w:rsidRPr="008145C7" w:rsidRDefault="004944DF" w:rsidP="00F962BE">
            <w:pPr>
              <w:pStyle w:val="ARtablecolheadright"/>
              <w:spacing w:before="20" w:after="20"/>
              <w:cnfStyle w:val="100000000000" w:firstRow="1" w:lastRow="0" w:firstColumn="0" w:lastColumn="0" w:oddVBand="0" w:evenVBand="0" w:oddHBand="0" w:evenHBand="0" w:firstRowFirstColumn="0" w:firstRowLastColumn="0" w:lastRowFirstColumn="0" w:lastRowLastColumn="0"/>
            </w:pPr>
            <w:r w:rsidRPr="008145C7">
              <w:t>Notes</w:t>
            </w:r>
          </w:p>
        </w:tc>
      </w:tr>
      <w:tr w:rsidR="004944DF" w:rsidRPr="00107CC5" w14:paraId="4291E903"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4" w:type="pct"/>
            <w:hideMark/>
          </w:tcPr>
          <w:p w14:paraId="098C3AE8" w14:textId="77777777" w:rsidR="004944DF" w:rsidRPr="00107CC5" w:rsidRDefault="004944DF" w:rsidP="00F962BE">
            <w:pPr>
              <w:pStyle w:val="ARTabletextboldcoloured"/>
              <w:spacing w:before="20" w:after="20"/>
              <w:rPr>
                <w:lang w:eastAsia="en-AU"/>
              </w:rPr>
            </w:pPr>
            <w:r w:rsidRPr="00107CC5">
              <w:rPr>
                <w:lang w:eastAsia="en-AU"/>
              </w:rPr>
              <w:t>Net result from continuing operations</w:t>
            </w:r>
          </w:p>
        </w:tc>
        <w:tc>
          <w:tcPr>
            <w:cnfStyle w:val="000001000000" w:firstRow="0" w:lastRow="0" w:firstColumn="0" w:lastColumn="0" w:oddVBand="0" w:evenVBand="1" w:oddHBand="0" w:evenHBand="0" w:firstRowFirstColumn="0" w:firstRowLastColumn="0" w:lastRowFirstColumn="0" w:lastRowLastColumn="0"/>
            <w:tcW w:w="659" w:type="pct"/>
            <w:shd w:val="clear" w:color="auto" w:fill="auto"/>
            <w:hideMark/>
          </w:tcPr>
          <w:p w14:paraId="63BC9585" w14:textId="77777777" w:rsidR="004944DF" w:rsidRPr="00107CC5" w:rsidRDefault="004944DF" w:rsidP="00F962BE">
            <w:pPr>
              <w:pStyle w:val="ARtabletextright"/>
              <w:spacing w:before="20" w:after="20"/>
              <w:rPr>
                <w:lang w:eastAsia="en-AU"/>
              </w:rPr>
            </w:pPr>
          </w:p>
        </w:tc>
        <w:tc>
          <w:tcPr>
            <w:tcW w:w="659" w:type="pct"/>
            <w:hideMark/>
          </w:tcPr>
          <w:p w14:paraId="54C0F4D8" w14:textId="77777777" w:rsidR="004944DF" w:rsidRPr="00107CC5"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660" w:type="pct"/>
            <w:shd w:val="clear" w:color="auto" w:fill="auto"/>
            <w:hideMark/>
          </w:tcPr>
          <w:p w14:paraId="097DE108" w14:textId="77777777" w:rsidR="004944DF" w:rsidRPr="00107CC5" w:rsidRDefault="004944DF" w:rsidP="00F962BE">
            <w:pPr>
              <w:pStyle w:val="ARtabletextright"/>
              <w:spacing w:before="20" w:after="20"/>
              <w:rPr>
                <w:b/>
                <w:bCs/>
                <w:lang w:eastAsia="en-AU"/>
              </w:rPr>
            </w:pPr>
          </w:p>
        </w:tc>
        <w:tc>
          <w:tcPr>
            <w:tcW w:w="377" w:type="pct"/>
            <w:hideMark/>
          </w:tcPr>
          <w:p w14:paraId="3D2EAC39" w14:textId="77777777" w:rsidR="004944DF" w:rsidRPr="00107CC5"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b/>
                <w:bCs/>
                <w:lang w:eastAsia="en-AU"/>
              </w:rPr>
            </w:pPr>
          </w:p>
        </w:tc>
      </w:tr>
      <w:tr w:rsidR="004944DF" w:rsidRPr="00107CC5" w14:paraId="460127C7"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4" w:type="pct"/>
            <w:hideMark/>
          </w:tcPr>
          <w:p w14:paraId="72A4FDEA" w14:textId="77777777" w:rsidR="004944DF" w:rsidRPr="00107CC5" w:rsidRDefault="004944DF" w:rsidP="00F962BE">
            <w:pPr>
              <w:pStyle w:val="ARtabletextbold"/>
              <w:spacing w:before="20" w:after="20"/>
              <w:rPr>
                <w:lang w:eastAsia="en-AU"/>
              </w:rPr>
            </w:pPr>
            <w:r w:rsidRPr="00107CC5">
              <w:rPr>
                <w:lang w:eastAsia="en-AU"/>
              </w:rPr>
              <w:t>Income from transactions</w:t>
            </w:r>
          </w:p>
        </w:tc>
        <w:tc>
          <w:tcPr>
            <w:cnfStyle w:val="000001000000" w:firstRow="0" w:lastRow="0" w:firstColumn="0" w:lastColumn="0" w:oddVBand="0" w:evenVBand="1" w:oddHBand="0" w:evenHBand="0" w:firstRowFirstColumn="0" w:firstRowLastColumn="0" w:lastRowFirstColumn="0" w:lastRowLastColumn="0"/>
            <w:tcW w:w="659" w:type="pct"/>
            <w:shd w:val="clear" w:color="auto" w:fill="auto"/>
            <w:hideMark/>
          </w:tcPr>
          <w:p w14:paraId="3EADF471" w14:textId="77777777" w:rsidR="004944DF" w:rsidRPr="00107CC5" w:rsidRDefault="004944DF" w:rsidP="00F962BE">
            <w:pPr>
              <w:pStyle w:val="ARtabletextright"/>
              <w:spacing w:before="20" w:after="20"/>
              <w:rPr>
                <w:lang w:eastAsia="en-AU"/>
              </w:rPr>
            </w:pPr>
          </w:p>
        </w:tc>
        <w:tc>
          <w:tcPr>
            <w:tcW w:w="659" w:type="pct"/>
            <w:hideMark/>
          </w:tcPr>
          <w:p w14:paraId="32876566" w14:textId="77777777" w:rsidR="004944DF" w:rsidRPr="00107CC5"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660" w:type="pct"/>
            <w:shd w:val="clear" w:color="auto" w:fill="auto"/>
            <w:hideMark/>
          </w:tcPr>
          <w:p w14:paraId="0F49C570" w14:textId="77777777" w:rsidR="004944DF" w:rsidRPr="00107CC5" w:rsidRDefault="004944DF" w:rsidP="00F962BE">
            <w:pPr>
              <w:pStyle w:val="ARtabletextright"/>
              <w:spacing w:before="20" w:after="20"/>
              <w:rPr>
                <w:b/>
                <w:bCs/>
                <w:lang w:eastAsia="en-AU"/>
              </w:rPr>
            </w:pPr>
          </w:p>
        </w:tc>
        <w:tc>
          <w:tcPr>
            <w:tcW w:w="377" w:type="pct"/>
            <w:hideMark/>
          </w:tcPr>
          <w:p w14:paraId="1C2802D3" w14:textId="77777777" w:rsidR="004944DF" w:rsidRPr="00107CC5"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b/>
                <w:bCs/>
                <w:lang w:eastAsia="en-AU"/>
              </w:rPr>
            </w:pPr>
          </w:p>
        </w:tc>
      </w:tr>
      <w:tr w:rsidR="004944DF" w:rsidRPr="00107CC5" w14:paraId="5DD60089"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4" w:type="pct"/>
            <w:hideMark/>
          </w:tcPr>
          <w:p w14:paraId="355FCFF1" w14:textId="77777777" w:rsidR="004944DF" w:rsidRPr="00107CC5" w:rsidRDefault="004944DF" w:rsidP="00F962BE">
            <w:pPr>
              <w:pStyle w:val="ARTabletext"/>
              <w:spacing w:before="20" w:after="20"/>
              <w:rPr>
                <w:lang w:eastAsia="en-AU"/>
              </w:rPr>
            </w:pPr>
            <w:r w:rsidRPr="00107CC5">
              <w:rPr>
                <w:lang w:eastAsia="en-AU"/>
              </w:rPr>
              <w:t>Output appropriations</w:t>
            </w:r>
          </w:p>
        </w:tc>
        <w:tc>
          <w:tcPr>
            <w:cnfStyle w:val="000001000000" w:firstRow="0" w:lastRow="0" w:firstColumn="0" w:lastColumn="0" w:oddVBand="0" w:evenVBand="1" w:oddHBand="0" w:evenHBand="0" w:firstRowFirstColumn="0" w:firstRowLastColumn="0" w:lastRowFirstColumn="0" w:lastRowLastColumn="0"/>
            <w:tcW w:w="659" w:type="pct"/>
            <w:hideMark/>
          </w:tcPr>
          <w:p w14:paraId="37B91171" w14:textId="77777777" w:rsidR="004944DF" w:rsidRPr="00107CC5" w:rsidRDefault="004944DF" w:rsidP="00F962BE">
            <w:pPr>
              <w:pStyle w:val="ARtabletextright"/>
              <w:spacing w:before="20" w:after="20"/>
              <w:rPr>
                <w:lang w:eastAsia="en-AU"/>
              </w:rPr>
            </w:pPr>
            <w:r w:rsidRPr="00107CC5">
              <w:rPr>
                <w:lang w:eastAsia="en-AU"/>
              </w:rPr>
              <w:t>5,902</w:t>
            </w:r>
          </w:p>
        </w:tc>
        <w:tc>
          <w:tcPr>
            <w:tcW w:w="659" w:type="pct"/>
            <w:hideMark/>
          </w:tcPr>
          <w:p w14:paraId="51DEDB11" w14:textId="77777777" w:rsidR="004944DF" w:rsidRPr="00107CC5"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lang w:eastAsia="en-AU"/>
              </w:rPr>
            </w:pPr>
            <w:r w:rsidRPr="00107CC5">
              <w:rPr>
                <w:lang w:eastAsia="en-AU"/>
              </w:rPr>
              <w:t>5,474</w:t>
            </w:r>
          </w:p>
        </w:tc>
        <w:tc>
          <w:tcPr>
            <w:cnfStyle w:val="000001000000" w:firstRow="0" w:lastRow="0" w:firstColumn="0" w:lastColumn="0" w:oddVBand="0" w:evenVBand="1" w:oddHBand="0" w:evenHBand="0" w:firstRowFirstColumn="0" w:firstRowLastColumn="0" w:lastRowFirstColumn="0" w:lastRowLastColumn="0"/>
            <w:tcW w:w="660" w:type="pct"/>
            <w:hideMark/>
          </w:tcPr>
          <w:p w14:paraId="6D86EBCC" w14:textId="77777777" w:rsidR="004944DF" w:rsidRPr="00107CC5" w:rsidRDefault="004944DF" w:rsidP="00F962BE">
            <w:pPr>
              <w:pStyle w:val="ARtabletextright"/>
              <w:spacing w:before="20" w:after="20"/>
              <w:rPr>
                <w:lang w:eastAsia="en-AU"/>
              </w:rPr>
            </w:pPr>
            <w:r w:rsidRPr="00107CC5">
              <w:rPr>
                <w:lang w:eastAsia="en-AU"/>
              </w:rPr>
              <w:t>7.8</w:t>
            </w:r>
          </w:p>
        </w:tc>
        <w:tc>
          <w:tcPr>
            <w:tcW w:w="377" w:type="pct"/>
            <w:hideMark/>
          </w:tcPr>
          <w:p w14:paraId="6C10DC08" w14:textId="77777777" w:rsidR="004944DF" w:rsidRPr="00107CC5"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lang w:eastAsia="en-AU"/>
              </w:rPr>
            </w:pPr>
            <w:r w:rsidRPr="00107CC5">
              <w:rPr>
                <w:lang w:eastAsia="en-AU"/>
              </w:rPr>
              <w:t>(a)</w:t>
            </w:r>
          </w:p>
        </w:tc>
      </w:tr>
      <w:tr w:rsidR="004944DF" w:rsidRPr="00107CC5" w14:paraId="6E7B7645"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4" w:type="pct"/>
            <w:hideMark/>
          </w:tcPr>
          <w:p w14:paraId="75DF7BAE" w14:textId="77777777" w:rsidR="004944DF" w:rsidRPr="00107CC5" w:rsidRDefault="004944DF" w:rsidP="00F962BE">
            <w:pPr>
              <w:pStyle w:val="ARTabletext"/>
              <w:spacing w:before="20" w:after="20"/>
              <w:rPr>
                <w:lang w:eastAsia="en-AU"/>
              </w:rPr>
            </w:pPr>
            <w:r w:rsidRPr="00107CC5">
              <w:rPr>
                <w:lang w:eastAsia="en-AU"/>
              </w:rPr>
              <w:t>Special appropriations</w:t>
            </w:r>
          </w:p>
        </w:tc>
        <w:tc>
          <w:tcPr>
            <w:cnfStyle w:val="000001000000" w:firstRow="0" w:lastRow="0" w:firstColumn="0" w:lastColumn="0" w:oddVBand="0" w:evenVBand="1" w:oddHBand="0" w:evenHBand="0" w:firstRowFirstColumn="0" w:firstRowLastColumn="0" w:lastRowFirstColumn="0" w:lastRowLastColumn="0"/>
            <w:tcW w:w="659" w:type="pct"/>
            <w:hideMark/>
          </w:tcPr>
          <w:p w14:paraId="1998C257" w14:textId="77777777" w:rsidR="004944DF" w:rsidRPr="00107CC5" w:rsidRDefault="004944DF" w:rsidP="00F962BE">
            <w:pPr>
              <w:pStyle w:val="ARtabletextright"/>
              <w:spacing w:before="20" w:after="20"/>
              <w:rPr>
                <w:lang w:eastAsia="en-AU"/>
              </w:rPr>
            </w:pPr>
            <w:r w:rsidRPr="00107CC5">
              <w:rPr>
                <w:lang w:eastAsia="en-AU"/>
              </w:rPr>
              <w:t>80</w:t>
            </w:r>
          </w:p>
        </w:tc>
        <w:tc>
          <w:tcPr>
            <w:tcW w:w="659" w:type="pct"/>
            <w:hideMark/>
          </w:tcPr>
          <w:p w14:paraId="14644E76" w14:textId="77777777" w:rsidR="004944DF" w:rsidRPr="00107CC5"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lang w:eastAsia="en-AU"/>
              </w:rPr>
            </w:pPr>
            <w:r w:rsidRPr="00107CC5">
              <w:rPr>
                <w:lang w:eastAsia="en-AU"/>
              </w:rPr>
              <w:t>69</w:t>
            </w:r>
          </w:p>
        </w:tc>
        <w:tc>
          <w:tcPr>
            <w:cnfStyle w:val="000001000000" w:firstRow="0" w:lastRow="0" w:firstColumn="0" w:lastColumn="0" w:oddVBand="0" w:evenVBand="1" w:oddHBand="0" w:evenHBand="0" w:firstRowFirstColumn="0" w:firstRowLastColumn="0" w:lastRowFirstColumn="0" w:lastRowLastColumn="0"/>
            <w:tcW w:w="660" w:type="pct"/>
            <w:hideMark/>
          </w:tcPr>
          <w:p w14:paraId="6722C9F3" w14:textId="77777777" w:rsidR="004944DF" w:rsidRPr="00107CC5" w:rsidRDefault="004944DF" w:rsidP="00F962BE">
            <w:pPr>
              <w:pStyle w:val="ARtabletextright"/>
              <w:spacing w:before="20" w:after="20"/>
              <w:rPr>
                <w:lang w:eastAsia="en-AU"/>
              </w:rPr>
            </w:pPr>
            <w:r w:rsidRPr="00107CC5">
              <w:rPr>
                <w:lang w:eastAsia="en-AU"/>
              </w:rPr>
              <w:t>15.7</w:t>
            </w:r>
          </w:p>
        </w:tc>
        <w:tc>
          <w:tcPr>
            <w:tcW w:w="377" w:type="pct"/>
            <w:hideMark/>
          </w:tcPr>
          <w:p w14:paraId="3CAA5B40" w14:textId="77777777" w:rsidR="004944DF" w:rsidRPr="00107CC5"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lang w:eastAsia="en-AU"/>
              </w:rPr>
            </w:pPr>
            <w:r w:rsidRPr="00107CC5">
              <w:rPr>
                <w:lang w:eastAsia="en-AU"/>
              </w:rPr>
              <w:t>(b)</w:t>
            </w:r>
          </w:p>
        </w:tc>
      </w:tr>
      <w:tr w:rsidR="004944DF" w:rsidRPr="00107CC5" w14:paraId="38ED9D80"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4" w:type="pct"/>
            <w:hideMark/>
          </w:tcPr>
          <w:p w14:paraId="117534F9" w14:textId="77777777" w:rsidR="004944DF" w:rsidRPr="00107CC5" w:rsidRDefault="004944DF" w:rsidP="00F962BE">
            <w:pPr>
              <w:pStyle w:val="ARTabletext"/>
              <w:spacing w:before="20" w:after="20"/>
              <w:rPr>
                <w:lang w:eastAsia="en-AU"/>
              </w:rPr>
            </w:pPr>
            <w:r w:rsidRPr="00107CC5">
              <w:rPr>
                <w:lang w:eastAsia="en-AU"/>
              </w:rPr>
              <w:t>Grants</w:t>
            </w:r>
          </w:p>
        </w:tc>
        <w:tc>
          <w:tcPr>
            <w:cnfStyle w:val="000001000000" w:firstRow="0" w:lastRow="0" w:firstColumn="0" w:lastColumn="0" w:oddVBand="0" w:evenVBand="1" w:oddHBand="0" w:evenHBand="0" w:firstRowFirstColumn="0" w:firstRowLastColumn="0" w:lastRowFirstColumn="0" w:lastRowLastColumn="0"/>
            <w:tcW w:w="659" w:type="pct"/>
            <w:hideMark/>
          </w:tcPr>
          <w:p w14:paraId="587DEA54" w14:textId="77777777" w:rsidR="004944DF" w:rsidRPr="00107CC5" w:rsidRDefault="004944DF" w:rsidP="00F962BE">
            <w:pPr>
              <w:pStyle w:val="ARtabletextright"/>
              <w:spacing w:before="20" w:after="20"/>
              <w:rPr>
                <w:lang w:eastAsia="en-AU"/>
              </w:rPr>
            </w:pPr>
            <w:r w:rsidRPr="00107CC5">
              <w:rPr>
                <w:lang w:eastAsia="en-AU"/>
              </w:rPr>
              <w:t>68</w:t>
            </w:r>
          </w:p>
        </w:tc>
        <w:tc>
          <w:tcPr>
            <w:tcW w:w="659" w:type="pct"/>
            <w:hideMark/>
          </w:tcPr>
          <w:p w14:paraId="7193895B" w14:textId="77777777" w:rsidR="004944DF" w:rsidRPr="00107CC5"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lang w:eastAsia="en-AU"/>
              </w:rPr>
            </w:pPr>
            <w:r w:rsidRPr="00107CC5">
              <w:rPr>
                <w:lang w:eastAsia="en-AU"/>
              </w:rPr>
              <w:t>26</w:t>
            </w:r>
          </w:p>
        </w:tc>
        <w:tc>
          <w:tcPr>
            <w:cnfStyle w:val="000001000000" w:firstRow="0" w:lastRow="0" w:firstColumn="0" w:lastColumn="0" w:oddVBand="0" w:evenVBand="1" w:oddHBand="0" w:evenHBand="0" w:firstRowFirstColumn="0" w:firstRowLastColumn="0" w:lastRowFirstColumn="0" w:lastRowLastColumn="0"/>
            <w:tcW w:w="660" w:type="pct"/>
            <w:hideMark/>
          </w:tcPr>
          <w:p w14:paraId="44095707" w14:textId="77777777" w:rsidR="004944DF" w:rsidRPr="00107CC5" w:rsidRDefault="004944DF" w:rsidP="00F962BE">
            <w:pPr>
              <w:pStyle w:val="ARtabletextright"/>
              <w:spacing w:before="20" w:after="20"/>
              <w:rPr>
                <w:lang w:eastAsia="en-AU"/>
              </w:rPr>
            </w:pPr>
            <w:r w:rsidRPr="00107CC5">
              <w:rPr>
                <w:lang w:eastAsia="en-AU"/>
              </w:rPr>
              <w:t>159.2</w:t>
            </w:r>
          </w:p>
        </w:tc>
        <w:tc>
          <w:tcPr>
            <w:tcW w:w="377" w:type="pct"/>
            <w:hideMark/>
          </w:tcPr>
          <w:p w14:paraId="355C81D5" w14:textId="77777777" w:rsidR="004944DF" w:rsidRPr="00107CC5"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lang w:eastAsia="en-AU"/>
              </w:rPr>
            </w:pPr>
            <w:r w:rsidRPr="00107CC5">
              <w:rPr>
                <w:lang w:eastAsia="en-AU"/>
              </w:rPr>
              <w:t>(c)</w:t>
            </w:r>
          </w:p>
        </w:tc>
      </w:tr>
      <w:tr w:rsidR="004944DF" w:rsidRPr="00107CC5" w14:paraId="5A187FDF"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4" w:type="pct"/>
            <w:tcBorders>
              <w:bottom w:val="single" w:sz="4" w:space="0" w:color="BFBFBF" w:themeColor="accent2"/>
            </w:tcBorders>
            <w:hideMark/>
          </w:tcPr>
          <w:p w14:paraId="0EBFF82B" w14:textId="77777777" w:rsidR="004944DF" w:rsidRPr="00107CC5" w:rsidRDefault="004944DF" w:rsidP="00F962BE">
            <w:pPr>
              <w:pStyle w:val="ARTabletext"/>
              <w:spacing w:before="20" w:after="20"/>
              <w:rPr>
                <w:lang w:eastAsia="en-AU"/>
              </w:rPr>
            </w:pPr>
            <w:r w:rsidRPr="00107CC5">
              <w:rPr>
                <w:lang w:eastAsia="en-AU"/>
              </w:rPr>
              <w:t xml:space="preserve">Fair value of assets and services received free of charge </w:t>
            </w:r>
            <w:r>
              <w:rPr>
                <w:lang w:eastAsia="en-AU"/>
              </w:rPr>
              <w:br/>
            </w:r>
            <w:r w:rsidRPr="00107CC5">
              <w:rPr>
                <w:lang w:eastAsia="en-AU"/>
              </w:rPr>
              <w:t>or for nominal consideration</w:t>
            </w:r>
          </w:p>
        </w:tc>
        <w:tc>
          <w:tcPr>
            <w:cnfStyle w:val="000001000000" w:firstRow="0" w:lastRow="0" w:firstColumn="0" w:lastColumn="0" w:oddVBand="0" w:evenVBand="1" w:oddHBand="0" w:evenHBand="0" w:firstRowFirstColumn="0" w:firstRowLastColumn="0" w:lastRowFirstColumn="0" w:lastRowLastColumn="0"/>
            <w:tcW w:w="659" w:type="pct"/>
            <w:tcBorders>
              <w:bottom w:val="single" w:sz="4" w:space="0" w:color="BFBFBF" w:themeColor="accent2"/>
            </w:tcBorders>
            <w:hideMark/>
          </w:tcPr>
          <w:p w14:paraId="75A033BA" w14:textId="77777777" w:rsidR="004944DF" w:rsidRPr="00107CC5" w:rsidRDefault="004944DF" w:rsidP="00F962BE">
            <w:pPr>
              <w:pStyle w:val="ARtabletextright"/>
              <w:spacing w:before="20" w:after="20"/>
              <w:rPr>
                <w:lang w:eastAsia="en-AU"/>
              </w:rPr>
            </w:pPr>
            <w:r w:rsidRPr="00107CC5">
              <w:rPr>
                <w:lang w:eastAsia="en-AU"/>
              </w:rPr>
              <w:t>62</w:t>
            </w:r>
          </w:p>
        </w:tc>
        <w:tc>
          <w:tcPr>
            <w:tcW w:w="659" w:type="pct"/>
            <w:tcBorders>
              <w:bottom w:val="single" w:sz="4" w:space="0" w:color="BFBFBF" w:themeColor="accent2"/>
            </w:tcBorders>
            <w:hideMark/>
          </w:tcPr>
          <w:p w14:paraId="1DED69EC" w14:textId="77777777" w:rsidR="004944DF" w:rsidRPr="00107CC5"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lang w:eastAsia="en-AU"/>
              </w:rPr>
            </w:pPr>
            <w:r w:rsidRPr="00107CC5">
              <w:rPr>
                <w:lang w:eastAsia="en-AU"/>
              </w:rPr>
              <w:t>61</w:t>
            </w:r>
          </w:p>
        </w:tc>
        <w:tc>
          <w:tcPr>
            <w:cnfStyle w:val="000001000000" w:firstRow="0" w:lastRow="0" w:firstColumn="0" w:lastColumn="0" w:oddVBand="0" w:evenVBand="1" w:oddHBand="0" w:evenHBand="0" w:firstRowFirstColumn="0" w:firstRowLastColumn="0" w:lastRowFirstColumn="0" w:lastRowLastColumn="0"/>
            <w:tcW w:w="660" w:type="pct"/>
            <w:tcBorders>
              <w:bottom w:val="single" w:sz="4" w:space="0" w:color="BFBFBF" w:themeColor="accent2"/>
            </w:tcBorders>
            <w:hideMark/>
          </w:tcPr>
          <w:p w14:paraId="3805463F" w14:textId="77777777" w:rsidR="004944DF" w:rsidRPr="00107CC5" w:rsidRDefault="004944DF" w:rsidP="00F962BE">
            <w:pPr>
              <w:pStyle w:val="ARtabletextright"/>
              <w:spacing w:before="20" w:after="20"/>
              <w:rPr>
                <w:lang w:eastAsia="en-AU"/>
              </w:rPr>
            </w:pPr>
            <w:r w:rsidRPr="00107CC5">
              <w:rPr>
                <w:lang w:eastAsia="en-AU"/>
              </w:rPr>
              <w:t>1.3</w:t>
            </w:r>
          </w:p>
        </w:tc>
        <w:tc>
          <w:tcPr>
            <w:tcW w:w="377" w:type="pct"/>
            <w:tcBorders>
              <w:bottom w:val="single" w:sz="4" w:space="0" w:color="BFBFBF" w:themeColor="accent2"/>
            </w:tcBorders>
          </w:tcPr>
          <w:p w14:paraId="3D64AB9D" w14:textId="77777777" w:rsidR="004944DF" w:rsidRPr="00E95978"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b/>
                <w:bCs/>
                <w:lang w:eastAsia="en-AU"/>
              </w:rPr>
            </w:pPr>
          </w:p>
        </w:tc>
      </w:tr>
      <w:tr w:rsidR="004944DF" w:rsidRPr="00107CC5" w14:paraId="41103F37"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4" w:type="pct"/>
            <w:tcBorders>
              <w:top w:val="single" w:sz="4" w:space="0" w:color="BFBFBF" w:themeColor="accent2"/>
              <w:bottom w:val="single" w:sz="4" w:space="0" w:color="000000" w:themeColor="text1"/>
            </w:tcBorders>
            <w:hideMark/>
          </w:tcPr>
          <w:p w14:paraId="78EE860B" w14:textId="77777777" w:rsidR="004944DF" w:rsidRPr="00107CC5" w:rsidRDefault="004944DF" w:rsidP="00F962BE">
            <w:pPr>
              <w:pStyle w:val="ARTabletext"/>
              <w:spacing w:before="20" w:after="20"/>
              <w:rPr>
                <w:lang w:eastAsia="en-AU"/>
              </w:rPr>
            </w:pPr>
            <w:r w:rsidRPr="00107CC5">
              <w:rPr>
                <w:lang w:eastAsia="en-AU"/>
              </w:rPr>
              <w:t>Other income</w:t>
            </w:r>
          </w:p>
        </w:tc>
        <w:tc>
          <w:tcPr>
            <w:cnfStyle w:val="000001000000" w:firstRow="0" w:lastRow="0" w:firstColumn="0" w:lastColumn="0" w:oddVBand="0" w:evenVBand="1" w:oddHBand="0" w:evenHBand="0" w:firstRowFirstColumn="0" w:firstRowLastColumn="0" w:lastRowFirstColumn="0" w:lastRowLastColumn="0"/>
            <w:tcW w:w="659" w:type="pct"/>
            <w:tcBorders>
              <w:top w:val="single" w:sz="4" w:space="0" w:color="BFBFBF" w:themeColor="accent2"/>
              <w:bottom w:val="single" w:sz="4" w:space="0" w:color="000000" w:themeColor="text1"/>
            </w:tcBorders>
            <w:hideMark/>
          </w:tcPr>
          <w:p w14:paraId="719953BF" w14:textId="77777777" w:rsidR="004944DF" w:rsidRPr="00107CC5" w:rsidRDefault="004944DF" w:rsidP="00F962BE">
            <w:pPr>
              <w:pStyle w:val="ARtabletextright"/>
              <w:spacing w:before="20" w:after="20"/>
              <w:rPr>
                <w:lang w:eastAsia="en-AU"/>
              </w:rPr>
            </w:pPr>
            <w:r w:rsidRPr="00107CC5">
              <w:rPr>
                <w:lang w:eastAsia="en-AU"/>
              </w:rPr>
              <w:t>(5)</w:t>
            </w:r>
          </w:p>
        </w:tc>
        <w:tc>
          <w:tcPr>
            <w:tcW w:w="659" w:type="pct"/>
            <w:tcBorders>
              <w:top w:val="single" w:sz="4" w:space="0" w:color="BFBFBF" w:themeColor="accent2"/>
              <w:bottom w:val="single" w:sz="4" w:space="0" w:color="000000" w:themeColor="text1"/>
            </w:tcBorders>
            <w:hideMark/>
          </w:tcPr>
          <w:p w14:paraId="222EBB0D" w14:textId="77777777" w:rsidR="004944DF" w:rsidRPr="00107CC5"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lang w:eastAsia="en-AU"/>
              </w:rPr>
            </w:pPr>
            <w:r w:rsidRPr="00107CC5">
              <w:rPr>
                <w:lang w:eastAsia="en-AU"/>
              </w:rPr>
              <w:t>0</w:t>
            </w: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BFBFBF" w:themeColor="accent2"/>
              <w:bottom w:val="single" w:sz="4" w:space="0" w:color="000000" w:themeColor="text1"/>
            </w:tcBorders>
            <w:hideMark/>
          </w:tcPr>
          <w:p w14:paraId="75CAB484" w14:textId="77777777" w:rsidR="004944DF" w:rsidRPr="00107CC5" w:rsidRDefault="004944DF" w:rsidP="00F962BE">
            <w:pPr>
              <w:pStyle w:val="ARtabletextright"/>
              <w:spacing w:before="20" w:after="20"/>
              <w:rPr>
                <w:lang w:eastAsia="en-AU"/>
              </w:rPr>
            </w:pPr>
            <w:r>
              <w:rPr>
                <w:lang w:eastAsia="en-AU"/>
              </w:rPr>
              <w:t>–</w:t>
            </w:r>
          </w:p>
        </w:tc>
        <w:tc>
          <w:tcPr>
            <w:tcW w:w="377" w:type="pct"/>
            <w:tcBorders>
              <w:top w:val="single" w:sz="4" w:space="0" w:color="BFBFBF" w:themeColor="accent2"/>
              <w:bottom w:val="single" w:sz="4" w:space="0" w:color="000000" w:themeColor="text1"/>
            </w:tcBorders>
          </w:tcPr>
          <w:p w14:paraId="7C7C2123" w14:textId="77777777" w:rsidR="004944DF" w:rsidRPr="00E95978"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b/>
                <w:bCs/>
                <w:lang w:eastAsia="en-AU"/>
              </w:rPr>
            </w:pPr>
          </w:p>
        </w:tc>
      </w:tr>
      <w:tr w:rsidR="004944DF" w:rsidRPr="00107CC5" w14:paraId="0C261BE7"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4" w:type="pct"/>
            <w:tcBorders>
              <w:top w:val="single" w:sz="4" w:space="0" w:color="000000" w:themeColor="text1"/>
              <w:bottom w:val="single" w:sz="4" w:space="0" w:color="000000" w:themeColor="text1"/>
            </w:tcBorders>
            <w:hideMark/>
          </w:tcPr>
          <w:p w14:paraId="2755F26E" w14:textId="77777777" w:rsidR="004944DF" w:rsidRPr="00107CC5" w:rsidRDefault="004944DF" w:rsidP="00F962BE">
            <w:pPr>
              <w:pStyle w:val="ARtabletextbold"/>
              <w:spacing w:before="20" w:after="20"/>
              <w:rPr>
                <w:lang w:eastAsia="en-AU"/>
              </w:rPr>
            </w:pPr>
            <w:r w:rsidRPr="00107CC5">
              <w:rPr>
                <w:lang w:eastAsia="en-AU"/>
              </w:rPr>
              <w:t>Total income from transactions</w:t>
            </w:r>
          </w:p>
        </w:tc>
        <w:tc>
          <w:tcPr>
            <w:cnfStyle w:val="000001000000" w:firstRow="0" w:lastRow="0" w:firstColumn="0" w:lastColumn="0" w:oddVBand="0" w:evenVBand="1" w:oddHBand="0" w:evenHBand="0" w:firstRowFirstColumn="0" w:firstRowLastColumn="0" w:lastRowFirstColumn="0" w:lastRowLastColumn="0"/>
            <w:tcW w:w="659" w:type="pct"/>
            <w:tcBorders>
              <w:top w:val="single" w:sz="4" w:space="0" w:color="000000" w:themeColor="text1"/>
              <w:bottom w:val="single" w:sz="4" w:space="0" w:color="000000" w:themeColor="text1"/>
            </w:tcBorders>
            <w:hideMark/>
          </w:tcPr>
          <w:p w14:paraId="27422A72" w14:textId="77777777" w:rsidR="004944DF" w:rsidRPr="00107CC5" w:rsidRDefault="004944DF" w:rsidP="00F962BE">
            <w:pPr>
              <w:pStyle w:val="ARtabletextrightbold"/>
              <w:spacing w:before="20" w:after="20"/>
              <w:rPr>
                <w:lang w:eastAsia="en-AU"/>
              </w:rPr>
            </w:pPr>
            <w:r w:rsidRPr="00107CC5">
              <w:rPr>
                <w:lang w:eastAsia="en-AU"/>
              </w:rPr>
              <w:t>6,108</w:t>
            </w:r>
          </w:p>
        </w:tc>
        <w:tc>
          <w:tcPr>
            <w:tcW w:w="659" w:type="pct"/>
            <w:tcBorders>
              <w:top w:val="single" w:sz="4" w:space="0" w:color="000000" w:themeColor="text1"/>
              <w:bottom w:val="single" w:sz="4" w:space="0" w:color="000000" w:themeColor="text1"/>
            </w:tcBorders>
            <w:hideMark/>
          </w:tcPr>
          <w:p w14:paraId="30633201" w14:textId="77777777" w:rsidR="004944DF" w:rsidRPr="00107CC5" w:rsidRDefault="004944DF" w:rsidP="00F962BE">
            <w:pPr>
              <w:pStyle w:val="ARtabletextrightbold"/>
              <w:spacing w:before="20" w:after="20"/>
              <w:cnfStyle w:val="000000010000" w:firstRow="0" w:lastRow="0" w:firstColumn="0" w:lastColumn="0" w:oddVBand="0" w:evenVBand="0" w:oddHBand="0" w:evenHBand="1" w:firstRowFirstColumn="0" w:firstRowLastColumn="0" w:lastRowFirstColumn="0" w:lastRowLastColumn="0"/>
              <w:rPr>
                <w:lang w:eastAsia="en-AU"/>
              </w:rPr>
            </w:pPr>
            <w:r w:rsidRPr="00107CC5">
              <w:rPr>
                <w:lang w:eastAsia="en-AU"/>
              </w:rPr>
              <w:t>5,631</w:t>
            </w: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000000" w:themeColor="text1"/>
              <w:bottom w:val="single" w:sz="4" w:space="0" w:color="000000" w:themeColor="text1"/>
            </w:tcBorders>
            <w:hideMark/>
          </w:tcPr>
          <w:p w14:paraId="68821AFD" w14:textId="77777777" w:rsidR="004944DF" w:rsidRPr="00107CC5" w:rsidRDefault="004944DF" w:rsidP="00F962BE">
            <w:pPr>
              <w:pStyle w:val="ARtabletextrightbold"/>
              <w:spacing w:before="20" w:after="20"/>
              <w:rPr>
                <w:lang w:eastAsia="en-AU"/>
              </w:rPr>
            </w:pPr>
            <w:r w:rsidRPr="00107CC5">
              <w:rPr>
                <w:lang w:eastAsia="en-AU"/>
              </w:rPr>
              <w:t>8.5</w:t>
            </w:r>
          </w:p>
        </w:tc>
        <w:tc>
          <w:tcPr>
            <w:tcW w:w="377" w:type="pct"/>
            <w:tcBorders>
              <w:top w:val="single" w:sz="4" w:space="0" w:color="000000" w:themeColor="text1"/>
              <w:bottom w:val="single" w:sz="4" w:space="0" w:color="000000" w:themeColor="text1"/>
            </w:tcBorders>
          </w:tcPr>
          <w:p w14:paraId="625258D0" w14:textId="77777777" w:rsidR="004944DF" w:rsidRPr="00E95978" w:rsidRDefault="004944DF" w:rsidP="00F962BE">
            <w:pPr>
              <w:pStyle w:val="ARtabletextrightbold"/>
              <w:spacing w:before="20" w:after="20"/>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107CC5" w14:paraId="21ECF62C"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4" w:type="pct"/>
            <w:tcBorders>
              <w:top w:val="single" w:sz="4" w:space="0" w:color="000000" w:themeColor="text1"/>
            </w:tcBorders>
            <w:hideMark/>
          </w:tcPr>
          <w:p w14:paraId="2D091575" w14:textId="77777777" w:rsidR="004944DF" w:rsidRPr="00107CC5" w:rsidRDefault="004944DF" w:rsidP="00F962BE">
            <w:pPr>
              <w:pStyle w:val="ARTabletextboldcoloured"/>
              <w:spacing w:before="20" w:after="20"/>
              <w:rPr>
                <w:lang w:eastAsia="en-AU"/>
              </w:rPr>
            </w:pPr>
            <w:r w:rsidRPr="00107CC5">
              <w:rPr>
                <w:lang w:eastAsia="en-AU"/>
              </w:rPr>
              <w:t>Expenses from transactions</w:t>
            </w:r>
          </w:p>
        </w:tc>
        <w:tc>
          <w:tcPr>
            <w:cnfStyle w:val="000001000000" w:firstRow="0" w:lastRow="0" w:firstColumn="0" w:lastColumn="0" w:oddVBand="0" w:evenVBand="1" w:oddHBand="0" w:evenHBand="0" w:firstRowFirstColumn="0" w:firstRowLastColumn="0" w:lastRowFirstColumn="0" w:lastRowLastColumn="0"/>
            <w:tcW w:w="659" w:type="pct"/>
            <w:tcBorders>
              <w:top w:val="single" w:sz="4" w:space="0" w:color="000000" w:themeColor="text1"/>
            </w:tcBorders>
            <w:shd w:val="clear" w:color="auto" w:fill="auto"/>
            <w:hideMark/>
          </w:tcPr>
          <w:p w14:paraId="5088E73E" w14:textId="77777777" w:rsidR="004944DF" w:rsidRPr="00107CC5" w:rsidRDefault="004944DF" w:rsidP="00F962BE">
            <w:pPr>
              <w:pStyle w:val="ARtabletextright"/>
              <w:spacing w:before="20" w:after="20"/>
              <w:rPr>
                <w:lang w:eastAsia="en-AU"/>
              </w:rPr>
            </w:pPr>
          </w:p>
        </w:tc>
        <w:tc>
          <w:tcPr>
            <w:tcW w:w="659" w:type="pct"/>
            <w:tcBorders>
              <w:top w:val="single" w:sz="4" w:space="0" w:color="000000" w:themeColor="text1"/>
            </w:tcBorders>
            <w:hideMark/>
          </w:tcPr>
          <w:p w14:paraId="2F1C2924" w14:textId="77777777" w:rsidR="004944DF" w:rsidRPr="00107CC5"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000000" w:themeColor="text1"/>
            </w:tcBorders>
            <w:shd w:val="clear" w:color="auto" w:fill="auto"/>
            <w:hideMark/>
          </w:tcPr>
          <w:p w14:paraId="666307F8" w14:textId="77777777" w:rsidR="004944DF" w:rsidRPr="00107CC5" w:rsidRDefault="004944DF" w:rsidP="00F962BE">
            <w:pPr>
              <w:pStyle w:val="ARtabletextright"/>
              <w:spacing w:before="20" w:after="20"/>
              <w:rPr>
                <w:b/>
                <w:bCs/>
                <w:color w:val="000000"/>
                <w:lang w:eastAsia="en-AU"/>
              </w:rPr>
            </w:pPr>
          </w:p>
        </w:tc>
        <w:tc>
          <w:tcPr>
            <w:tcW w:w="377" w:type="pct"/>
            <w:tcBorders>
              <w:top w:val="single" w:sz="4" w:space="0" w:color="000000" w:themeColor="text1"/>
            </w:tcBorders>
          </w:tcPr>
          <w:p w14:paraId="00359049" w14:textId="77777777" w:rsidR="004944DF" w:rsidRPr="00107CC5"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b/>
                <w:bCs/>
                <w:lang w:eastAsia="en-AU"/>
              </w:rPr>
            </w:pPr>
          </w:p>
        </w:tc>
      </w:tr>
      <w:tr w:rsidR="004944DF" w:rsidRPr="00107CC5" w14:paraId="51F2C15D"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4" w:type="pct"/>
            <w:hideMark/>
          </w:tcPr>
          <w:p w14:paraId="1AACAB90" w14:textId="77777777" w:rsidR="004944DF" w:rsidRPr="00107CC5" w:rsidRDefault="004944DF" w:rsidP="00F962BE">
            <w:pPr>
              <w:pStyle w:val="ARTabletext"/>
              <w:spacing w:before="20" w:after="20"/>
              <w:rPr>
                <w:lang w:eastAsia="en-AU"/>
              </w:rPr>
            </w:pPr>
            <w:r w:rsidRPr="00107CC5">
              <w:rPr>
                <w:lang w:eastAsia="en-AU"/>
              </w:rPr>
              <w:t>Employee benefits</w:t>
            </w:r>
          </w:p>
        </w:tc>
        <w:tc>
          <w:tcPr>
            <w:cnfStyle w:val="000001000000" w:firstRow="0" w:lastRow="0" w:firstColumn="0" w:lastColumn="0" w:oddVBand="0" w:evenVBand="1" w:oddHBand="0" w:evenHBand="0" w:firstRowFirstColumn="0" w:firstRowLastColumn="0" w:lastRowFirstColumn="0" w:lastRowLastColumn="0"/>
            <w:tcW w:w="659" w:type="pct"/>
            <w:hideMark/>
          </w:tcPr>
          <w:p w14:paraId="6D3E704D" w14:textId="77777777" w:rsidR="004944DF" w:rsidRPr="00107CC5" w:rsidRDefault="004944DF" w:rsidP="00F962BE">
            <w:pPr>
              <w:pStyle w:val="ARtabletextright"/>
              <w:spacing w:before="20" w:after="20"/>
              <w:rPr>
                <w:color w:val="000000"/>
                <w:lang w:eastAsia="en-AU"/>
              </w:rPr>
            </w:pPr>
            <w:r w:rsidRPr="00107CC5">
              <w:rPr>
                <w:color w:val="000000"/>
                <w:lang w:eastAsia="en-AU"/>
              </w:rPr>
              <w:t>865</w:t>
            </w:r>
          </w:p>
        </w:tc>
        <w:tc>
          <w:tcPr>
            <w:tcW w:w="659" w:type="pct"/>
            <w:hideMark/>
          </w:tcPr>
          <w:p w14:paraId="0F6734A2" w14:textId="77777777" w:rsidR="004944DF" w:rsidRPr="00107CC5"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color w:val="000000"/>
                <w:lang w:eastAsia="en-AU"/>
              </w:rPr>
            </w:pPr>
            <w:r w:rsidRPr="00107CC5">
              <w:rPr>
                <w:color w:val="000000"/>
                <w:lang w:eastAsia="en-AU"/>
              </w:rPr>
              <w:t>709</w:t>
            </w:r>
          </w:p>
        </w:tc>
        <w:tc>
          <w:tcPr>
            <w:cnfStyle w:val="000001000000" w:firstRow="0" w:lastRow="0" w:firstColumn="0" w:lastColumn="0" w:oddVBand="0" w:evenVBand="1" w:oddHBand="0" w:evenHBand="0" w:firstRowFirstColumn="0" w:firstRowLastColumn="0" w:lastRowFirstColumn="0" w:lastRowLastColumn="0"/>
            <w:tcW w:w="660" w:type="pct"/>
            <w:hideMark/>
          </w:tcPr>
          <w:p w14:paraId="055AEBAB" w14:textId="77777777" w:rsidR="004944DF" w:rsidRPr="00107CC5" w:rsidRDefault="004944DF" w:rsidP="00F962BE">
            <w:pPr>
              <w:pStyle w:val="ARtabletextright"/>
              <w:spacing w:before="20" w:after="20"/>
              <w:rPr>
                <w:color w:val="000000"/>
                <w:lang w:eastAsia="en-AU"/>
              </w:rPr>
            </w:pPr>
            <w:r w:rsidRPr="00107CC5">
              <w:rPr>
                <w:color w:val="000000"/>
                <w:lang w:eastAsia="en-AU"/>
              </w:rPr>
              <w:t>22.0</w:t>
            </w:r>
          </w:p>
        </w:tc>
        <w:tc>
          <w:tcPr>
            <w:tcW w:w="377" w:type="pct"/>
            <w:hideMark/>
          </w:tcPr>
          <w:p w14:paraId="0C0FB72C" w14:textId="77777777" w:rsidR="004944DF" w:rsidRPr="00107CC5"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color w:val="000000"/>
                <w:lang w:eastAsia="en-AU"/>
              </w:rPr>
            </w:pPr>
            <w:r w:rsidRPr="00107CC5">
              <w:rPr>
                <w:color w:val="000000"/>
                <w:lang w:eastAsia="en-AU"/>
              </w:rPr>
              <w:t>(d)</w:t>
            </w:r>
          </w:p>
        </w:tc>
      </w:tr>
      <w:tr w:rsidR="004944DF" w:rsidRPr="00107CC5" w14:paraId="5F933F44"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4" w:type="pct"/>
            <w:hideMark/>
          </w:tcPr>
          <w:p w14:paraId="68F0F755" w14:textId="77777777" w:rsidR="004944DF" w:rsidRPr="00107CC5" w:rsidRDefault="004944DF" w:rsidP="00F962BE">
            <w:pPr>
              <w:pStyle w:val="ARTabletext"/>
              <w:spacing w:before="20" w:after="20"/>
              <w:rPr>
                <w:lang w:eastAsia="en-AU"/>
              </w:rPr>
            </w:pPr>
            <w:r w:rsidRPr="00107CC5">
              <w:rPr>
                <w:lang w:eastAsia="en-AU"/>
              </w:rPr>
              <w:t>Depreciation</w:t>
            </w:r>
          </w:p>
        </w:tc>
        <w:tc>
          <w:tcPr>
            <w:cnfStyle w:val="000001000000" w:firstRow="0" w:lastRow="0" w:firstColumn="0" w:lastColumn="0" w:oddVBand="0" w:evenVBand="1" w:oddHBand="0" w:evenHBand="0" w:firstRowFirstColumn="0" w:firstRowLastColumn="0" w:lastRowFirstColumn="0" w:lastRowLastColumn="0"/>
            <w:tcW w:w="659" w:type="pct"/>
            <w:hideMark/>
          </w:tcPr>
          <w:p w14:paraId="7F4D5CF4" w14:textId="77777777" w:rsidR="004944DF" w:rsidRPr="00107CC5" w:rsidRDefault="004944DF" w:rsidP="00F962BE">
            <w:pPr>
              <w:pStyle w:val="ARtabletextright"/>
              <w:spacing w:before="20" w:after="20"/>
              <w:rPr>
                <w:color w:val="000000"/>
                <w:lang w:eastAsia="en-AU"/>
              </w:rPr>
            </w:pPr>
            <w:r w:rsidRPr="00107CC5">
              <w:rPr>
                <w:color w:val="000000"/>
                <w:lang w:eastAsia="en-AU"/>
              </w:rPr>
              <w:t>42</w:t>
            </w:r>
          </w:p>
        </w:tc>
        <w:tc>
          <w:tcPr>
            <w:tcW w:w="659" w:type="pct"/>
            <w:hideMark/>
          </w:tcPr>
          <w:p w14:paraId="55F3FE1E" w14:textId="77777777" w:rsidR="004944DF" w:rsidRPr="00107CC5"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color w:val="000000"/>
                <w:lang w:eastAsia="en-AU"/>
              </w:rPr>
            </w:pPr>
            <w:r w:rsidRPr="00107CC5">
              <w:rPr>
                <w:color w:val="000000"/>
                <w:lang w:eastAsia="en-AU"/>
              </w:rPr>
              <w:t>49</w:t>
            </w:r>
          </w:p>
        </w:tc>
        <w:tc>
          <w:tcPr>
            <w:cnfStyle w:val="000001000000" w:firstRow="0" w:lastRow="0" w:firstColumn="0" w:lastColumn="0" w:oddVBand="0" w:evenVBand="1" w:oddHBand="0" w:evenHBand="0" w:firstRowFirstColumn="0" w:firstRowLastColumn="0" w:lastRowFirstColumn="0" w:lastRowLastColumn="0"/>
            <w:tcW w:w="660" w:type="pct"/>
            <w:hideMark/>
          </w:tcPr>
          <w:p w14:paraId="0C6899F2" w14:textId="77777777" w:rsidR="004944DF" w:rsidRPr="00107CC5" w:rsidRDefault="004944DF" w:rsidP="00F962BE">
            <w:pPr>
              <w:pStyle w:val="ARtabletextright"/>
              <w:spacing w:before="20" w:after="20"/>
              <w:rPr>
                <w:color w:val="000000"/>
                <w:lang w:eastAsia="en-AU"/>
              </w:rPr>
            </w:pPr>
            <w:r w:rsidRPr="00107CC5">
              <w:rPr>
                <w:color w:val="000000"/>
                <w:lang w:eastAsia="en-AU"/>
              </w:rPr>
              <w:t>(14.2)</w:t>
            </w:r>
          </w:p>
        </w:tc>
        <w:tc>
          <w:tcPr>
            <w:tcW w:w="377" w:type="pct"/>
            <w:hideMark/>
          </w:tcPr>
          <w:p w14:paraId="23E6929C" w14:textId="77777777" w:rsidR="004944DF" w:rsidRPr="00107CC5"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color w:val="000000"/>
                <w:lang w:eastAsia="en-AU"/>
              </w:rPr>
            </w:pPr>
          </w:p>
        </w:tc>
      </w:tr>
      <w:tr w:rsidR="004944DF" w:rsidRPr="00107CC5" w14:paraId="7D447E18"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4" w:type="pct"/>
            <w:hideMark/>
          </w:tcPr>
          <w:p w14:paraId="2EEEF051" w14:textId="77777777" w:rsidR="004944DF" w:rsidRPr="00107CC5" w:rsidRDefault="004944DF" w:rsidP="00F962BE">
            <w:pPr>
              <w:pStyle w:val="ARTabletext"/>
              <w:spacing w:before="20" w:after="20"/>
              <w:rPr>
                <w:lang w:eastAsia="en-AU"/>
              </w:rPr>
            </w:pPr>
            <w:r w:rsidRPr="00107CC5">
              <w:rPr>
                <w:lang w:eastAsia="en-AU"/>
              </w:rPr>
              <w:t>Interest expense</w:t>
            </w:r>
          </w:p>
        </w:tc>
        <w:tc>
          <w:tcPr>
            <w:cnfStyle w:val="000001000000" w:firstRow="0" w:lastRow="0" w:firstColumn="0" w:lastColumn="0" w:oddVBand="0" w:evenVBand="1" w:oddHBand="0" w:evenHBand="0" w:firstRowFirstColumn="0" w:firstRowLastColumn="0" w:lastRowFirstColumn="0" w:lastRowLastColumn="0"/>
            <w:tcW w:w="659" w:type="pct"/>
            <w:hideMark/>
          </w:tcPr>
          <w:p w14:paraId="1F861A63" w14:textId="77777777" w:rsidR="004944DF" w:rsidRPr="00107CC5" w:rsidRDefault="004944DF" w:rsidP="00F962BE">
            <w:pPr>
              <w:pStyle w:val="ARtabletextright"/>
              <w:spacing w:before="20" w:after="20"/>
              <w:rPr>
                <w:color w:val="000000"/>
                <w:lang w:eastAsia="en-AU"/>
              </w:rPr>
            </w:pPr>
            <w:r w:rsidRPr="00107CC5">
              <w:rPr>
                <w:color w:val="000000"/>
                <w:lang w:eastAsia="en-AU"/>
              </w:rPr>
              <w:t>2</w:t>
            </w:r>
          </w:p>
        </w:tc>
        <w:tc>
          <w:tcPr>
            <w:tcW w:w="659" w:type="pct"/>
            <w:hideMark/>
          </w:tcPr>
          <w:p w14:paraId="76AEFBF6" w14:textId="77777777" w:rsidR="004944DF" w:rsidRPr="00107CC5"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color w:val="000000"/>
                <w:lang w:eastAsia="en-AU"/>
              </w:rPr>
            </w:pPr>
            <w:r w:rsidRPr="00107CC5">
              <w:rPr>
                <w:color w:val="000000"/>
                <w:lang w:eastAsia="en-AU"/>
              </w:rPr>
              <w:t>3</w:t>
            </w:r>
          </w:p>
        </w:tc>
        <w:tc>
          <w:tcPr>
            <w:cnfStyle w:val="000001000000" w:firstRow="0" w:lastRow="0" w:firstColumn="0" w:lastColumn="0" w:oddVBand="0" w:evenVBand="1" w:oddHBand="0" w:evenHBand="0" w:firstRowFirstColumn="0" w:firstRowLastColumn="0" w:lastRowFirstColumn="0" w:lastRowLastColumn="0"/>
            <w:tcW w:w="660" w:type="pct"/>
            <w:hideMark/>
          </w:tcPr>
          <w:p w14:paraId="32050ED2" w14:textId="77777777" w:rsidR="004944DF" w:rsidRPr="00107CC5" w:rsidRDefault="004944DF" w:rsidP="00F962BE">
            <w:pPr>
              <w:pStyle w:val="ARtabletextright"/>
              <w:spacing w:before="20" w:after="20"/>
              <w:rPr>
                <w:color w:val="000000"/>
                <w:lang w:eastAsia="en-AU"/>
              </w:rPr>
            </w:pPr>
            <w:r w:rsidRPr="00107CC5">
              <w:rPr>
                <w:color w:val="000000"/>
                <w:lang w:eastAsia="en-AU"/>
              </w:rPr>
              <w:t>(16.7)</w:t>
            </w:r>
          </w:p>
        </w:tc>
        <w:tc>
          <w:tcPr>
            <w:tcW w:w="377" w:type="pct"/>
            <w:hideMark/>
          </w:tcPr>
          <w:p w14:paraId="07164AE9" w14:textId="77777777" w:rsidR="004944DF" w:rsidRPr="00107CC5"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color w:val="000000"/>
                <w:lang w:eastAsia="en-AU"/>
              </w:rPr>
            </w:pPr>
          </w:p>
        </w:tc>
      </w:tr>
      <w:tr w:rsidR="004944DF" w:rsidRPr="00107CC5" w14:paraId="5F2859F9"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4" w:type="pct"/>
            <w:tcBorders>
              <w:bottom w:val="single" w:sz="4" w:space="0" w:color="BFBFBF" w:themeColor="accent2"/>
            </w:tcBorders>
            <w:hideMark/>
          </w:tcPr>
          <w:p w14:paraId="47A65A6D" w14:textId="77777777" w:rsidR="004944DF" w:rsidRPr="00107CC5" w:rsidRDefault="004944DF" w:rsidP="00F962BE">
            <w:pPr>
              <w:pStyle w:val="ARTabletext"/>
              <w:spacing w:before="20" w:after="20"/>
              <w:rPr>
                <w:lang w:eastAsia="en-AU"/>
              </w:rPr>
            </w:pPr>
            <w:r w:rsidRPr="00107CC5">
              <w:rPr>
                <w:lang w:eastAsia="en-AU"/>
              </w:rPr>
              <w:t>Grants and other transfers</w:t>
            </w:r>
          </w:p>
        </w:tc>
        <w:tc>
          <w:tcPr>
            <w:cnfStyle w:val="000001000000" w:firstRow="0" w:lastRow="0" w:firstColumn="0" w:lastColumn="0" w:oddVBand="0" w:evenVBand="1" w:oddHBand="0" w:evenHBand="0" w:firstRowFirstColumn="0" w:firstRowLastColumn="0" w:lastRowFirstColumn="0" w:lastRowLastColumn="0"/>
            <w:tcW w:w="659" w:type="pct"/>
            <w:tcBorders>
              <w:bottom w:val="single" w:sz="4" w:space="0" w:color="BFBFBF" w:themeColor="accent2"/>
            </w:tcBorders>
            <w:hideMark/>
          </w:tcPr>
          <w:p w14:paraId="53E7DD3D" w14:textId="77777777" w:rsidR="004944DF" w:rsidRPr="00107CC5" w:rsidRDefault="004944DF" w:rsidP="00F962BE">
            <w:pPr>
              <w:pStyle w:val="ARtabletextright"/>
              <w:spacing w:before="20" w:after="20"/>
              <w:rPr>
                <w:color w:val="000000"/>
                <w:lang w:eastAsia="en-AU"/>
              </w:rPr>
            </w:pPr>
            <w:r w:rsidRPr="00107CC5">
              <w:rPr>
                <w:color w:val="000000"/>
                <w:lang w:eastAsia="en-AU"/>
              </w:rPr>
              <w:t>1,220</w:t>
            </w:r>
          </w:p>
        </w:tc>
        <w:tc>
          <w:tcPr>
            <w:tcW w:w="659" w:type="pct"/>
            <w:tcBorders>
              <w:bottom w:val="single" w:sz="4" w:space="0" w:color="BFBFBF" w:themeColor="accent2"/>
            </w:tcBorders>
            <w:hideMark/>
          </w:tcPr>
          <w:p w14:paraId="011F5E9B" w14:textId="77777777" w:rsidR="004944DF" w:rsidRPr="00107CC5"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color w:val="000000"/>
                <w:lang w:eastAsia="en-AU"/>
              </w:rPr>
            </w:pPr>
            <w:r w:rsidRPr="00107CC5">
              <w:rPr>
                <w:color w:val="000000"/>
                <w:lang w:eastAsia="en-AU"/>
              </w:rPr>
              <w:t>1,185</w:t>
            </w:r>
          </w:p>
        </w:tc>
        <w:tc>
          <w:tcPr>
            <w:cnfStyle w:val="000001000000" w:firstRow="0" w:lastRow="0" w:firstColumn="0" w:lastColumn="0" w:oddVBand="0" w:evenVBand="1" w:oddHBand="0" w:evenHBand="0" w:firstRowFirstColumn="0" w:firstRowLastColumn="0" w:lastRowFirstColumn="0" w:lastRowLastColumn="0"/>
            <w:tcW w:w="660" w:type="pct"/>
            <w:tcBorders>
              <w:bottom w:val="single" w:sz="4" w:space="0" w:color="BFBFBF" w:themeColor="accent2"/>
            </w:tcBorders>
            <w:hideMark/>
          </w:tcPr>
          <w:p w14:paraId="2B7D13F0" w14:textId="77777777" w:rsidR="004944DF" w:rsidRPr="00107CC5" w:rsidRDefault="004944DF" w:rsidP="00F962BE">
            <w:pPr>
              <w:pStyle w:val="ARtabletextright"/>
              <w:spacing w:before="20" w:after="20"/>
              <w:rPr>
                <w:color w:val="000000"/>
                <w:lang w:eastAsia="en-AU"/>
              </w:rPr>
            </w:pPr>
            <w:r w:rsidRPr="00107CC5">
              <w:rPr>
                <w:color w:val="000000"/>
                <w:lang w:eastAsia="en-AU"/>
              </w:rPr>
              <w:t>2.9</w:t>
            </w:r>
          </w:p>
        </w:tc>
        <w:tc>
          <w:tcPr>
            <w:tcW w:w="377" w:type="pct"/>
            <w:tcBorders>
              <w:bottom w:val="single" w:sz="4" w:space="0" w:color="BFBFBF" w:themeColor="accent2"/>
            </w:tcBorders>
            <w:hideMark/>
          </w:tcPr>
          <w:p w14:paraId="7872976E" w14:textId="77777777" w:rsidR="004944DF" w:rsidRPr="00107CC5"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b/>
                <w:bCs/>
                <w:color w:val="000000"/>
                <w:lang w:eastAsia="en-AU"/>
              </w:rPr>
            </w:pPr>
          </w:p>
        </w:tc>
      </w:tr>
      <w:tr w:rsidR="004944DF" w:rsidRPr="00107CC5" w14:paraId="728B357F"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4" w:type="pct"/>
            <w:tcBorders>
              <w:top w:val="single" w:sz="4" w:space="0" w:color="BFBFBF" w:themeColor="accent2"/>
              <w:bottom w:val="single" w:sz="4" w:space="0" w:color="000000" w:themeColor="text1"/>
            </w:tcBorders>
            <w:hideMark/>
          </w:tcPr>
          <w:p w14:paraId="2A108332" w14:textId="77777777" w:rsidR="004944DF" w:rsidRPr="00107CC5" w:rsidRDefault="004944DF" w:rsidP="00F962BE">
            <w:pPr>
              <w:pStyle w:val="ARTabletext"/>
              <w:spacing w:before="20" w:after="20"/>
              <w:rPr>
                <w:lang w:eastAsia="en-AU"/>
              </w:rPr>
            </w:pPr>
            <w:r w:rsidRPr="00107CC5">
              <w:rPr>
                <w:lang w:eastAsia="en-AU"/>
              </w:rPr>
              <w:t>Other operating expenses</w:t>
            </w:r>
          </w:p>
        </w:tc>
        <w:tc>
          <w:tcPr>
            <w:cnfStyle w:val="000001000000" w:firstRow="0" w:lastRow="0" w:firstColumn="0" w:lastColumn="0" w:oddVBand="0" w:evenVBand="1" w:oddHBand="0" w:evenHBand="0" w:firstRowFirstColumn="0" w:firstRowLastColumn="0" w:lastRowFirstColumn="0" w:lastRowLastColumn="0"/>
            <w:tcW w:w="659" w:type="pct"/>
            <w:tcBorders>
              <w:top w:val="single" w:sz="4" w:space="0" w:color="BFBFBF" w:themeColor="accent2"/>
              <w:bottom w:val="single" w:sz="4" w:space="0" w:color="000000" w:themeColor="text1"/>
            </w:tcBorders>
            <w:hideMark/>
          </w:tcPr>
          <w:p w14:paraId="5685D18E" w14:textId="77777777" w:rsidR="004944DF" w:rsidRPr="00107CC5" w:rsidRDefault="004944DF" w:rsidP="00F962BE">
            <w:pPr>
              <w:pStyle w:val="ARtabletextright"/>
              <w:spacing w:before="20" w:after="20"/>
              <w:rPr>
                <w:color w:val="000000"/>
                <w:lang w:eastAsia="en-AU"/>
              </w:rPr>
            </w:pPr>
            <w:r w:rsidRPr="00107CC5">
              <w:rPr>
                <w:color w:val="000000"/>
                <w:lang w:eastAsia="en-AU"/>
              </w:rPr>
              <w:t>4,070</w:t>
            </w:r>
          </w:p>
        </w:tc>
        <w:tc>
          <w:tcPr>
            <w:tcW w:w="659" w:type="pct"/>
            <w:tcBorders>
              <w:top w:val="single" w:sz="4" w:space="0" w:color="BFBFBF" w:themeColor="accent2"/>
              <w:bottom w:val="single" w:sz="4" w:space="0" w:color="000000" w:themeColor="text1"/>
            </w:tcBorders>
            <w:hideMark/>
          </w:tcPr>
          <w:p w14:paraId="66C51DDC" w14:textId="77777777" w:rsidR="004944DF" w:rsidRPr="00107CC5"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color w:val="000000"/>
                <w:lang w:eastAsia="en-AU"/>
              </w:rPr>
            </w:pPr>
            <w:r w:rsidRPr="00107CC5">
              <w:rPr>
                <w:color w:val="000000"/>
                <w:lang w:eastAsia="en-AU"/>
              </w:rPr>
              <w:t>3,687</w:t>
            </w: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BFBFBF" w:themeColor="accent2"/>
              <w:bottom w:val="single" w:sz="4" w:space="0" w:color="000000" w:themeColor="text1"/>
            </w:tcBorders>
            <w:hideMark/>
          </w:tcPr>
          <w:p w14:paraId="331762A1" w14:textId="77777777" w:rsidR="004944DF" w:rsidRPr="00107CC5" w:rsidRDefault="004944DF" w:rsidP="00F962BE">
            <w:pPr>
              <w:pStyle w:val="ARtabletextright"/>
              <w:spacing w:before="20" w:after="20"/>
              <w:rPr>
                <w:color w:val="000000"/>
                <w:lang w:eastAsia="en-AU"/>
              </w:rPr>
            </w:pPr>
            <w:r w:rsidRPr="00107CC5">
              <w:rPr>
                <w:color w:val="000000"/>
                <w:lang w:eastAsia="en-AU"/>
              </w:rPr>
              <w:t>10.4</w:t>
            </w:r>
          </w:p>
        </w:tc>
        <w:tc>
          <w:tcPr>
            <w:tcW w:w="377" w:type="pct"/>
            <w:tcBorders>
              <w:top w:val="single" w:sz="4" w:space="0" w:color="BFBFBF" w:themeColor="accent2"/>
              <w:bottom w:val="single" w:sz="4" w:space="0" w:color="000000" w:themeColor="text1"/>
            </w:tcBorders>
            <w:hideMark/>
          </w:tcPr>
          <w:p w14:paraId="232F8EEF" w14:textId="77777777" w:rsidR="004944DF" w:rsidRPr="00107CC5"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color w:val="000000"/>
                <w:lang w:eastAsia="en-AU"/>
              </w:rPr>
            </w:pPr>
            <w:r w:rsidRPr="00107CC5">
              <w:rPr>
                <w:color w:val="000000"/>
                <w:lang w:eastAsia="en-AU"/>
              </w:rPr>
              <w:t>(e)</w:t>
            </w:r>
          </w:p>
        </w:tc>
      </w:tr>
      <w:tr w:rsidR="004944DF" w:rsidRPr="00107CC5" w14:paraId="73D57933"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4" w:type="pct"/>
            <w:tcBorders>
              <w:top w:val="single" w:sz="4" w:space="0" w:color="000000" w:themeColor="text1"/>
              <w:bottom w:val="single" w:sz="4" w:space="0" w:color="000000" w:themeColor="text1"/>
            </w:tcBorders>
            <w:hideMark/>
          </w:tcPr>
          <w:p w14:paraId="61903EB3" w14:textId="77777777" w:rsidR="004944DF" w:rsidRPr="00107CC5" w:rsidRDefault="004944DF" w:rsidP="00F962BE">
            <w:pPr>
              <w:pStyle w:val="ARtabletextbold"/>
              <w:spacing w:before="20" w:after="20"/>
              <w:rPr>
                <w:lang w:eastAsia="en-AU"/>
              </w:rPr>
            </w:pPr>
            <w:r w:rsidRPr="00107CC5">
              <w:rPr>
                <w:lang w:eastAsia="en-AU"/>
              </w:rPr>
              <w:t>Total expenses from transactions</w:t>
            </w:r>
          </w:p>
        </w:tc>
        <w:tc>
          <w:tcPr>
            <w:cnfStyle w:val="000001000000" w:firstRow="0" w:lastRow="0" w:firstColumn="0" w:lastColumn="0" w:oddVBand="0" w:evenVBand="1" w:oddHBand="0" w:evenHBand="0" w:firstRowFirstColumn="0" w:firstRowLastColumn="0" w:lastRowFirstColumn="0" w:lastRowLastColumn="0"/>
            <w:tcW w:w="659" w:type="pct"/>
            <w:tcBorders>
              <w:top w:val="single" w:sz="4" w:space="0" w:color="000000" w:themeColor="text1"/>
              <w:bottom w:val="single" w:sz="4" w:space="0" w:color="000000" w:themeColor="text1"/>
            </w:tcBorders>
            <w:hideMark/>
          </w:tcPr>
          <w:p w14:paraId="75C232B7" w14:textId="77777777" w:rsidR="004944DF" w:rsidRPr="00107CC5" w:rsidRDefault="004944DF" w:rsidP="00F962BE">
            <w:pPr>
              <w:pStyle w:val="ARtabletextrightbold"/>
              <w:spacing w:before="20" w:after="20"/>
              <w:rPr>
                <w:lang w:eastAsia="en-AU"/>
              </w:rPr>
            </w:pPr>
            <w:r w:rsidRPr="00107CC5">
              <w:rPr>
                <w:lang w:eastAsia="en-AU"/>
              </w:rPr>
              <w:t>6,200</w:t>
            </w:r>
          </w:p>
        </w:tc>
        <w:tc>
          <w:tcPr>
            <w:tcW w:w="659" w:type="pct"/>
            <w:tcBorders>
              <w:top w:val="single" w:sz="4" w:space="0" w:color="000000" w:themeColor="text1"/>
              <w:bottom w:val="single" w:sz="4" w:space="0" w:color="000000" w:themeColor="text1"/>
            </w:tcBorders>
            <w:hideMark/>
          </w:tcPr>
          <w:p w14:paraId="36208094" w14:textId="77777777" w:rsidR="004944DF" w:rsidRPr="00107CC5" w:rsidRDefault="004944DF" w:rsidP="00F962BE">
            <w:pPr>
              <w:pStyle w:val="ARtabletextrightbold"/>
              <w:spacing w:before="20" w:after="20"/>
              <w:cnfStyle w:val="000000100000" w:firstRow="0" w:lastRow="0" w:firstColumn="0" w:lastColumn="0" w:oddVBand="0" w:evenVBand="0" w:oddHBand="1" w:evenHBand="0" w:firstRowFirstColumn="0" w:firstRowLastColumn="0" w:lastRowFirstColumn="0" w:lastRowLastColumn="0"/>
              <w:rPr>
                <w:lang w:eastAsia="en-AU"/>
              </w:rPr>
            </w:pPr>
            <w:r w:rsidRPr="00107CC5">
              <w:rPr>
                <w:lang w:eastAsia="en-AU"/>
              </w:rPr>
              <w:t>5,633</w:t>
            </w: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000000" w:themeColor="text1"/>
              <w:bottom w:val="single" w:sz="4" w:space="0" w:color="000000" w:themeColor="text1"/>
            </w:tcBorders>
            <w:hideMark/>
          </w:tcPr>
          <w:p w14:paraId="17F18F66" w14:textId="77777777" w:rsidR="004944DF" w:rsidRPr="00107CC5" w:rsidRDefault="004944DF" w:rsidP="00F962BE">
            <w:pPr>
              <w:pStyle w:val="ARtabletextrightbold"/>
              <w:spacing w:before="20" w:after="20"/>
              <w:rPr>
                <w:lang w:eastAsia="en-AU"/>
              </w:rPr>
            </w:pPr>
            <w:r w:rsidRPr="00107CC5">
              <w:rPr>
                <w:lang w:eastAsia="en-AU"/>
              </w:rPr>
              <w:t>10.1</w:t>
            </w:r>
          </w:p>
        </w:tc>
        <w:tc>
          <w:tcPr>
            <w:tcW w:w="377" w:type="pct"/>
            <w:tcBorders>
              <w:top w:val="single" w:sz="4" w:space="0" w:color="000000" w:themeColor="text1"/>
              <w:bottom w:val="single" w:sz="4" w:space="0" w:color="000000" w:themeColor="text1"/>
            </w:tcBorders>
            <w:hideMark/>
          </w:tcPr>
          <w:p w14:paraId="29170988" w14:textId="77777777" w:rsidR="004944DF" w:rsidRPr="00107CC5" w:rsidRDefault="004944DF" w:rsidP="00F962BE">
            <w:pPr>
              <w:pStyle w:val="ARtabletextrightbold"/>
              <w:spacing w:before="20" w:after="20"/>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107CC5" w14:paraId="16FC2FE2"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4" w:type="pct"/>
            <w:tcBorders>
              <w:top w:val="single" w:sz="4" w:space="0" w:color="000000" w:themeColor="text1"/>
              <w:bottom w:val="single" w:sz="4" w:space="0" w:color="000000" w:themeColor="text1"/>
            </w:tcBorders>
            <w:hideMark/>
          </w:tcPr>
          <w:p w14:paraId="5F978EB7" w14:textId="77777777" w:rsidR="004944DF" w:rsidRPr="00107CC5" w:rsidRDefault="004944DF" w:rsidP="00F962BE">
            <w:pPr>
              <w:pStyle w:val="ARtabletextbold"/>
              <w:spacing w:before="20" w:after="20"/>
              <w:rPr>
                <w:lang w:eastAsia="en-AU"/>
              </w:rPr>
            </w:pPr>
            <w:r w:rsidRPr="00107CC5">
              <w:rPr>
                <w:lang w:eastAsia="en-AU"/>
              </w:rPr>
              <w:t>Net result from transactions (net operating balance)</w:t>
            </w:r>
          </w:p>
        </w:tc>
        <w:tc>
          <w:tcPr>
            <w:cnfStyle w:val="000001000000" w:firstRow="0" w:lastRow="0" w:firstColumn="0" w:lastColumn="0" w:oddVBand="0" w:evenVBand="1" w:oddHBand="0" w:evenHBand="0" w:firstRowFirstColumn="0" w:firstRowLastColumn="0" w:lastRowFirstColumn="0" w:lastRowLastColumn="0"/>
            <w:tcW w:w="659" w:type="pct"/>
            <w:tcBorders>
              <w:top w:val="single" w:sz="4" w:space="0" w:color="000000" w:themeColor="text1"/>
              <w:bottom w:val="single" w:sz="4" w:space="0" w:color="000000" w:themeColor="text1"/>
            </w:tcBorders>
            <w:hideMark/>
          </w:tcPr>
          <w:p w14:paraId="544ADF9E" w14:textId="77777777" w:rsidR="004944DF" w:rsidRPr="00107CC5" w:rsidRDefault="004944DF" w:rsidP="00F962BE">
            <w:pPr>
              <w:pStyle w:val="ARtabletextrightbold"/>
              <w:spacing w:before="20" w:after="20"/>
              <w:rPr>
                <w:lang w:eastAsia="en-AU"/>
              </w:rPr>
            </w:pPr>
            <w:r w:rsidRPr="00107CC5">
              <w:rPr>
                <w:lang w:eastAsia="en-AU"/>
              </w:rPr>
              <w:t>(92)</w:t>
            </w:r>
          </w:p>
        </w:tc>
        <w:tc>
          <w:tcPr>
            <w:tcW w:w="659" w:type="pct"/>
            <w:tcBorders>
              <w:top w:val="single" w:sz="4" w:space="0" w:color="000000" w:themeColor="text1"/>
              <w:bottom w:val="single" w:sz="4" w:space="0" w:color="000000" w:themeColor="text1"/>
            </w:tcBorders>
            <w:hideMark/>
          </w:tcPr>
          <w:p w14:paraId="577181C5" w14:textId="77777777" w:rsidR="004944DF" w:rsidRPr="00107CC5" w:rsidRDefault="004944DF" w:rsidP="00F962BE">
            <w:pPr>
              <w:pStyle w:val="ARtabletextrightbold"/>
              <w:spacing w:before="20" w:after="20"/>
              <w:cnfStyle w:val="000000010000" w:firstRow="0" w:lastRow="0" w:firstColumn="0" w:lastColumn="0" w:oddVBand="0" w:evenVBand="0" w:oddHBand="0" w:evenHBand="1" w:firstRowFirstColumn="0" w:firstRowLastColumn="0" w:lastRowFirstColumn="0" w:lastRowLastColumn="0"/>
              <w:rPr>
                <w:lang w:eastAsia="en-AU"/>
              </w:rPr>
            </w:pPr>
            <w:r w:rsidRPr="00107CC5">
              <w:rPr>
                <w:lang w:eastAsia="en-AU"/>
              </w:rPr>
              <w:t>(3)</w:t>
            </w: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000000" w:themeColor="text1"/>
              <w:bottom w:val="single" w:sz="4" w:space="0" w:color="000000" w:themeColor="text1"/>
            </w:tcBorders>
            <w:hideMark/>
          </w:tcPr>
          <w:p w14:paraId="388C4672" w14:textId="77777777" w:rsidR="004944DF" w:rsidRPr="00107CC5" w:rsidRDefault="004944DF" w:rsidP="00F962BE">
            <w:pPr>
              <w:pStyle w:val="ARtabletextrightbold"/>
              <w:spacing w:before="20" w:after="20"/>
              <w:rPr>
                <w:lang w:eastAsia="en-AU"/>
              </w:rPr>
            </w:pPr>
            <w:r w:rsidRPr="00107CC5">
              <w:rPr>
                <w:lang w:eastAsia="en-AU"/>
              </w:rPr>
              <w:t>3,334.6</w:t>
            </w:r>
          </w:p>
        </w:tc>
        <w:tc>
          <w:tcPr>
            <w:tcW w:w="377" w:type="pct"/>
            <w:tcBorders>
              <w:top w:val="single" w:sz="4" w:space="0" w:color="000000" w:themeColor="text1"/>
              <w:bottom w:val="single" w:sz="4" w:space="0" w:color="000000" w:themeColor="text1"/>
            </w:tcBorders>
            <w:hideMark/>
          </w:tcPr>
          <w:p w14:paraId="7877621F" w14:textId="77777777" w:rsidR="004944DF" w:rsidRPr="00107CC5" w:rsidRDefault="004944DF" w:rsidP="00F962BE">
            <w:pPr>
              <w:pStyle w:val="ARtabletextrightbold"/>
              <w:spacing w:before="20" w:after="20"/>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107CC5" w14:paraId="72630DA5"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4" w:type="pct"/>
            <w:tcBorders>
              <w:top w:val="single" w:sz="4" w:space="0" w:color="000000" w:themeColor="text1"/>
            </w:tcBorders>
            <w:hideMark/>
          </w:tcPr>
          <w:p w14:paraId="63C5A4E0" w14:textId="77777777" w:rsidR="004944DF" w:rsidRPr="00107CC5" w:rsidRDefault="004944DF" w:rsidP="00F962BE">
            <w:pPr>
              <w:pStyle w:val="ARTabletextboldcoloured"/>
              <w:spacing w:before="20" w:after="20"/>
              <w:rPr>
                <w:lang w:eastAsia="en-AU"/>
              </w:rPr>
            </w:pPr>
            <w:r w:rsidRPr="00107CC5">
              <w:rPr>
                <w:lang w:eastAsia="en-AU"/>
              </w:rPr>
              <w:t>Other economic flows included in net result</w:t>
            </w:r>
          </w:p>
        </w:tc>
        <w:tc>
          <w:tcPr>
            <w:cnfStyle w:val="000001000000" w:firstRow="0" w:lastRow="0" w:firstColumn="0" w:lastColumn="0" w:oddVBand="0" w:evenVBand="1" w:oddHBand="0" w:evenHBand="0" w:firstRowFirstColumn="0" w:firstRowLastColumn="0" w:lastRowFirstColumn="0" w:lastRowLastColumn="0"/>
            <w:tcW w:w="659" w:type="pct"/>
            <w:tcBorders>
              <w:top w:val="single" w:sz="4" w:space="0" w:color="000000" w:themeColor="text1"/>
            </w:tcBorders>
            <w:shd w:val="clear" w:color="auto" w:fill="auto"/>
            <w:hideMark/>
          </w:tcPr>
          <w:p w14:paraId="305312EC" w14:textId="77777777" w:rsidR="004944DF" w:rsidRPr="00107CC5" w:rsidRDefault="004944DF" w:rsidP="00F962BE">
            <w:pPr>
              <w:pStyle w:val="ARtabletextrightbold"/>
              <w:spacing w:before="20" w:after="20"/>
              <w:rPr>
                <w:lang w:eastAsia="en-AU"/>
              </w:rPr>
            </w:pPr>
          </w:p>
        </w:tc>
        <w:tc>
          <w:tcPr>
            <w:tcW w:w="659" w:type="pct"/>
            <w:tcBorders>
              <w:top w:val="single" w:sz="4" w:space="0" w:color="000000" w:themeColor="text1"/>
            </w:tcBorders>
            <w:hideMark/>
          </w:tcPr>
          <w:p w14:paraId="7E09B0A3" w14:textId="77777777" w:rsidR="004944DF" w:rsidRPr="00107CC5" w:rsidRDefault="004944DF" w:rsidP="00F962BE">
            <w:pPr>
              <w:pStyle w:val="ARtabletextrightbold"/>
              <w:spacing w:before="20" w:after="20"/>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000000" w:themeColor="text1"/>
            </w:tcBorders>
            <w:shd w:val="clear" w:color="auto" w:fill="auto"/>
            <w:hideMark/>
          </w:tcPr>
          <w:p w14:paraId="54CA534D" w14:textId="77777777" w:rsidR="004944DF" w:rsidRPr="00107CC5" w:rsidRDefault="004944DF" w:rsidP="00F962BE">
            <w:pPr>
              <w:pStyle w:val="ARtabletextrightbold"/>
              <w:spacing w:before="20" w:after="20"/>
              <w:rPr>
                <w:lang w:eastAsia="en-AU"/>
              </w:rPr>
            </w:pPr>
          </w:p>
        </w:tc>
        <w:tc>
          <w:tcPr>
            <w:tcW w:w="377" w:type="pct"/>
            <w:tcBorders>
              <w:top w:val="single" w:sz="4" w:space="0" w:color="000000" w:themeColor="text1"/>
            </w:tcBorders>
            <w:hideMark/>
          </w:tcPr>
          <w:p w14:paraId="70EA9500" w14:textId="77777777" w:rsidR="004944DF" w:rsidRPr="00107CC5" w:rsidRDefault="004944DF" w:rsidP="00F962BE">
            <w:pPr>
              <w:pStyle w:val="ARtabletextrightbold"/>
              <w:spacing w:before="20" w:after="20"/>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107CC5" w14:paraId="2DC4FB32"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4" w:type="pct"/>
            <w:hideMark/>
          </w:tcPr>
          <w:p w14:paraId="5D0F5B77" w14:textId="77777777" w:rsidR="004944DF" w:rsidRPr="00107CC5" w:rsidRDefault="004944DF" w:rsidP="00F962BE">
            <w:pPr>
              <w:pStyle w:val="ARTabletext"/>
              <w:spacing w:before="20" w:after="20"/>
              <w:rPr>
                <w:lang w:eastAsia="en-AU"/>
              </w:rPr>
            </w:pPr>
            <w:r w:rsidRPr="00107CC5">
              <w:rPr>
                <w:lang w:eastAsia="en-AU"/>
              </w:rPr>
              <w:t>Net gain/(loss) on non-financial assets</w:t>
            </w:r>
          </w:p>
        </w:tc>
        <w:tc>
          <w:tcPr>
            <w:cnfStyle w:val="000001000000" w:firstRow="0" w:lastRow="0" w:firstColumn="0" w:lastColumn="0" w:oddVBand="0" w:evenVBand="1" w:oddHBand="0" w:evenHBand="0" w:firstRowFirstColumn="0" w:firstRowLastColumn="0" w:lastRowFirstColumn="0" w:lastRowLastColumn="0"/>
            <w:tcW w:w="659" w:type="pct"/>
            <w:hideMark/>
          </w:tcPr>
          <w:p w14:paraId="3134CD0E" w14:textId="77777777" w:rsidR="004944DF" w:rsidRPr="00107CC5" w:rsidRDefault="004944DF" w:rsidP="00F962BE">
            <w:pPr>
              <w:pStyle w:val="ARtabletextright"/>
              <w:spacing w:before="20" w:after="20"/>
              <w:rPr>
                <w:color w:val="000000"/>
                <w:lang w:eastAsia="en-AU"/>
              </w:rPr>
            </w:pPr>
            <w:r w:rsidRPr="00107CC5">
              <w:rPr>
                <w:color w:val="000000"/>
                <w:lang w:eastAsia="en-AU"/>
              </w:rPr>
              <w:t>3</w:t>
            </w:r>
          </w:p>
        </w:tc>
        <w:tc>
          <w:tcPr>
            <w:tcW w:w="659" w:type="pct"/>
            <w:hideMark/>
          </w:tcPr>
          <w:p w14:paraId="51AB7058" w14:textId="77777777" w:rsidR="004944DF" w:rsidRPr="00107CC5"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color w:val="000000"/>
                <w:lang w:eastAsia="en-AU"/>
              </w:rPr>
            </w:pPr>
            <w:r w:rsidRPr="00107CC5">
              <w:rPr>
                <w:color w:val="000000"/>
                <w:lang w:eastAsia="en-AU"/>
              </w:rPr>
              <w:t>(4)</w:t>
            </w:r>
          </w:p>
        </w:tc>
        <w:tc>
          <w:tcPr>
            <w:cnfStyle w:val="000001000000" w:firstRow="0" w:lastRow="0" w:firstColumn="0" w:lastColumn="0" w:oddVBand="0" w:evenVBand="1" w:oddHBand="0" w:evenHBand="0" w:firstRowFirstColumn="0" w:firstRowLastColumn="0" w:lastRowFirstColumn="0" w:lastRowLastColumn="0"/>
            <w:tcW w:w="660" w:type="pct"/>
            <w:hideMark/>
          </w:tcPr>
          <w:p w14:paraId="3901CD24" w14:textId="77777777" w:rsidR="004944DF" w:rsidRPr="00107CC5" w:rsidRDefault="004944DF" w:rsidP="00F962BE">
            <w:pPr>
              <w:pStyle w:val="ARtabletextright"/>
              <w:spacing w:before="20" w:after="20"/>
              <w:rPr>
                <w:color w:val="000000"/>
                <w:lang w:eastAsia="en-AU"/>
              </w:rPr>
            </w:pPr>
            <w:r w:rsidRPr="00107CC5">
              <w:rPr>
                <w:color w:val="000000"/>
                <w:lang w:eastAsia="en-AU"/>
              </w:rPr>
              <w:t>(170.3)</w:t>
            </w:r>
          </w:p>
        </w:tc>
        <w:tc>
          <w:tcPr>
            <w:tcW w:w="377" w:type="pct"/>
            <w:hideMark/>
          </w:tcPr>
          <w:p w14:paraId="1527AA82" w14:textId="77777777" w:rsidR="004944DF" w:rsidRPr="00107CC5"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b/>
                <w:bCs/>
                <w:color w:val="000000"/>
                <w:lang w:eastAsia="en-AU"/>
              </w:rPr>
            </w:pPr>
          </w:p>
        </w:tc>
      </w:tr>
      <w:tr w:rsidR="004944DF" w:rsidRPr="00107CC5" w14:paraId="77CA2FA6"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4" w:type="pct"/>
            <w:tcBorders>
              <w:bottom w:val="single" w:sz="4" w:space="0" w:color="BFBFBF" w:themeColor="accent2"/>
            </w:tcBorders>
            <w:hideMark/>
          </w:tcPr>
          <w:p w14:paraId="78E568F4" w14:textId="77777777" w:rsidR="004944DF" w:rsidRPr="00107CC5" w:rsidRDefault="004944DF" w:rsidP="00F962BE">
            <w:pPr>
              <w:pStyle w:val="ARTabletext"/>
              <w:spacing w:before="20" w:after="20"/>
              <w:rPr>
                <w:lang w:eastAsia="en-AU"/>
              </w:rPr>
            </w:pPr>
            <w:r w:rsidRPr="00107CC5">
              <w:rPr>
                <w:lang w:eastAsia="en-AU"/>
              </w:rPr>
              <w:t>Net gain/(loss) on financial instruments and statutory receivables/payables</w:t>
            </w:r>
          </w:p>
        </w:tc>
        <w:tc>
          <w:tcPr>
            <w:cnfStyle w:val="000001000000" w:firstRow="0" w:lastRow="0" w:firstColumn="0" w:lastColumn="0" w:oddVBand="0" w:evenVBand="1" w:oddHBand="0" w:evenHBand="0" w:firstRowFirstColumn="0" w:firstRowLastColumn="0" w:lastRowFirstColumn="0" w:lastRowLastColumn="0"/>
            <w:tcW w:w="659" w:type="pct"/>
            <w:tcBorders>
              <w:bottom w:val="single" w:sz="4" w:space="0" w:color="BFBFBF" w:themeColor="accent2"/>
            </w:tcBorders>
            <w:hideMark/>
          </w:tcPr>
          <w:p w14:paraId="13F856E6" w14:textId="77777777" w:rsidR="004944DF" w:rsidRPr="00107CC5" w:rsidRDefault="004944DF" w:rsidP="00F962BE">
            <w:pPr>
              <w:pStyle w:val="ARtabletextright"/>
              <w:spacing w:before="20" w:after="20"/>
              <w:rPr>
                <w:color w:val="000000"/>
                <w:lang w:eastAsia="en-AU"/>
              </w:rPr>
            </w:pPr>
            <w:r w:rsidRPr="00107CC5">
              <w:rPr>
                <w:color w:val="000000"/>
                <w:lang w:eastAsia="en-AU"/>
              </w:rPr>
              <w:t>1</w:t>
            </w:r>
          </w:p>
        </w:tc>
        <w:tc>
          <w:tcPr>
            <w:tcW w:w="659" w:type="pct"/>
            <w:tcBorders>
              <w:bottom w:val="single" w:sz="4" w:space="0" w:color="BFBFBF" w:themeColor="accent2"/>
            </w:tcBorders>
            <w:hideMark/>
          </w:tcPr>
          <w:p w14:paraId="392A6B94" w14:textId="77777777" w:rsidR="004944DF" w:rsidRPr="00107CC5"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color w:val="000000"/>
                <w:lang w:eastAsia="en-AU"/>
              </w:rPr>
            </w:pPr>
            <w:r>
              <w:rPr>
                <w:color w:val="000000"/>
                <w:lang w:eastAsia="en-AU"/>
              </w:rPr>
              <w:t>–</w:t>
            </w:r>
          </w:p>
        </w:tc>
        <w:tc>
          <w:tcPr>
            <w:cnfStyle w:val="000001000000" w:firstRow="0" w:lastRow="0" w:firstColumn="0" w:lastColumn="0" w:oddVBand="0" w:evenVBand="1" w:oddHBand="0" w:evenHBand="0" w:firstRowFirstColumn="0" w:firstRowLastColumn="0" w:lastRowFirstColumn="0" w:lastRowLastColumn="0"/>
            <w:tcW w:w="660" w:type="pct"/>
            <w:tcBorders>
              <w:bottom w:val="single" w:sz="4" w:space="0" w:color="BFBFBF" w:themeColor="accent2"/>
            </w:tcBorders>
            <w:hideMark/>
          </w:tcPr>
          <w:p w14:paraId="2B6DE52F" w14:textId="77777777" w:rsidR="004944DF" w:rsidRPr="00107CC5" w:rsidRDefault="004944DF" w:rsidP="00F962BE">
            <w:pPr>
              <w:pStyle w:val="ARtabletextright"/>
              <w:spacing w:before="20" w:after="20"/>
              <w:rPr>
                <w:color w:val="000000"/>
                <w:lang w:eastAsia="en-AU"/>
              </w:rPr>
            </w:pPr>
            <w:r>
              <w:rPr>
                <w:color w:val="000000"/>
                <w:lang w:eastAsia="en-AU"/>
              </w:rPr>
              <w:t>–</w:t>
            </w:r>
          </w:p>
        </w:tc>
        <w:tc>
          <w:tcPr>
            <w:tcW w:w="377" w:type="pct"/>
            <w:tcBorders>
              <w:bottom w:val="single" w:sz="4" w:space="0" w:color="BFBFBF" w:themeColor="accent2"/>
            </w:tcBorders>
            <w:hideMark/>
          </w:tcPr>
          <w:p w14:paraId="31FDFC70" w14:textId="77777777" w:rsidR="004944DF" w:rsidRPr="00107CC5"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b/>
                <w:bCs/>
                <w:color w:val="000000"/>
                <w:lang w:eastAsia="en-AU"/>
              </w:rPr>
            </w:pPr>
          </w:p>
        </w:tc>
      </w:tr>
      <w:tr w:rsidR="004944DF" w:rsidRPr="00107CC5" w14:paraId="215A6B81"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4" w:type="pct"/>
            <w:tcBorders>
              <w:top w:val="single" w:sz="4" w:space="0" w:color="BFBFBF" w:themeColor="accent2"/>
              <w:bottom w:val="single" w:sz="4" w:space="0" w:color="000000" w:themeColor="text1"/>
            </w:tcBorders>
            <w:hideMark/>
          </w:tcPr>
          <w:p w14:paraId="2292E0C7" w14:textId="77777777" w:rsidR="004944DF" w:rsidRPr="00107CC5" w:rsidRDefault="004944DF" w:rsidP="00F962BE">
            <w:pPr>
              <w:pStyle w:val="ARTabletext"/>
              <w:spacing w:before="20" w:after="20"/>
              <w:rPr>
                <w:lang w:eastAsia="en-AU"/>
              </w:rPr>
            </w:pPr>
            <w:r w:rsidRPr="00107CC5">
              <w:rPr>
                <w:lang w:eastAsia="en-AU"/>
              </w:rPr>
              <w:t>Other gains/(losses) from other economic flows</w:t>
            </w:r>
          </w:p>
        </w:tc>
        <w:tc>
          <w:tcPr>
            <w:cnfStyle w:val="000001000000" w:firstRow="0" w:lastRow="0" w:firstColumn="0" w:lastColumn="0" w:oddVBand="0" w:evenVBand="1" w:oddHBand="0" w:evenHBand="0" w:firstRowFirstColumn="0" w:firstRowLastColumn="0" w:lastRowFirstColumn="0" w:lastRowLastColumn="0"/>
            <w:tcW w:w="659" w:type="pct"/>
            <w:tcBorders>
              <w:top w:val="single" w:sz="4" w:space="0" w:color="BFBFBF" w:themeColor="accent2"/>
              <w:bottom w:val="single" w:sz="4" w:space="0" w:color="000000" w:themeColor="text1"/>
            </w:tcBorders>
            <w:hideMark/>
          </w:tcPr>
          <w:p w14:paraId="77C5F44D" w14:textId="77777777" w:rsidR="004944DF" w:rsidRPr="00107CC5" w:rsidRDefault="004944DF" w:rsidP="00F962BE">
            <w:pPr>
              <w:pStyle w:val="ARtabletextright"/>
              <w:spacing w:before="20" w:after="20"/>
              <w:rPr>
                <w:color w:val="000000"/>
                <w:lang w:eastAsia="en-AU"/>
              </w:rPr>
            </w:pPr>
            <w:r w:rsidRPr="00107CC5">
              <w:rPr>
                <w:color w:val="000000"/>
                <w:lang w:eastAsia="en-AU"/>
              </w:rPr>
              <w:t>77</w:t>
            </w:r>
          </w:p>
        </w:tc>
        <w:tc>
          <w:tcPr>
            <w:tcW w:w="659" w:type="pct"/>
            <w:tcBorders>
              <w:top w:val="single" w:sz="4" w:space="0" w:color="BFBFBF" w:themeColor="accent2"/>
              <w:bottom w:val="single" w:sz="4" w:space="0" w:color="000000" w:themeColor="text1"/>
            </w:tcBorders>
            <w:hideMark/>
          </w:tcPr>
          <w:p w14:paraId="003A2F27" w14:textId="77777777" w:rsidR="004944DF" w:rsidRPr="00107CC5"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color w:val="000000"/>
                <w:lang w:eastAsia="en-AU"/>
              </w:rPr>
            </w:pPr>
            <w:r>
              <w:rPr>
                <w:color w:val="000000"/>
                <w:lang w:eastAsia="en-AU"/>
              </w:rPr>
              <w:t>–</w:t>
            </w: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BFBFBF" w:themeColor="accent2"/>
              <w:bottom w:val="single" w:sz="4" w:space="0" w:color="000000" w:themeColor="text1"/>
            </w:tcBorders>
            <w:hideMark/>
          </w:tcPr>
          <w:p w14:paraId="532FA456" w14:textId="77777777" w:rsidR="004944DF" w:rsidRPr="00107CC5" w:rsidRDefault="004944DF" w:rsidP="00F962BE">
            <w:pPr>
              <w:pStyle w:val="ARtabletextright"/>
              <w:spacing w:before="20" w:after="20"/>
              <w:rPr>
                <w:color w:val="000000"/>
                <w:lang w:eastAsia="en-AU"/>
              </w:rPr>
            </w:pPr>
            <w:r>
              <w:rPr>
                <w:color w:val="000000"/>
                <w:lang w:eastAsia="en-AU"/>
              </w:rPr>
              <w:t>–</w:t>
            </w:r>
          </w:p>
        </w:tc>
        <w:tc>
          <w:tcPr>
            <w:tcW w:w="377" w:type="pct"/>
            <w:tcBorders>
              <w:top w:val="single" w:sz="4" w:space="0" w:color="BFBFBF" w:themeColor="accent2"/>
              <w:bottom w:val="single" w:sz="4" w:space="0" w:color="000000" w:themeColor="text1"/>
            </w:tcBorders>
            <w:hideMark/>
          </w:tcPr>
          <w:p w14:paraId="65C067C9" w14:textId="77777777" w:rsidR="004944DF" w:rsidRPr="00107CC5"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b/>
                <w:bCs/>
                <w:color w:val="000000"/>
                <w:lang w:eastAsia="en-AU"/>
              </w:rPr>
            </w:pPr>
          </w:p>
        </w:tc>
      </w:tr>
      <w:tr w:rsidR="004944DF" w:rsidRPr="00107CC5" w14:paraId="76E6EC43"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4" w:type="pct"/>
            <w:tcBorders>
              <w:top w:val="single" w:sz="4" w:space="0" w:color="000000" w:themeColor="text1"/>
              <w:bottom w:val="single" w:sz="4" w:space="0" w:color="000000" w:themeColor="text1"/>
            </w:tcBorders>
            <w:hideMark/>
          </w:tcPr>
          <w:p w14:paraId="24DAF368" w14:textId="77777777" w:rsidR="004944DF" w:rsidRPr="00107CC5" w:rsidRDefault="004944DF" w:rsidP="00F962BE">
            <w:pPr>
              <w:pStyle w:val="ARtabletextbold"/>
              <w:spacing w:before="20" w:after="20"/>
              <w:rPr>
                <w:lang w:eastAsia="en-AU"/>
              </w:rPr>
            </w:pPr>
            <w:r w:rsidRPr="00107CC5">
              <w:rPr>
                <w:lang w:eastAsia="en-AU"/>
              </w:rPr>
              <w:t>Total other economic flows included in net result</w:t>
            </w:r>
          </w:p>
        </w:tc>
        <w:tc>
          <w:tcPr>
            <w:cnfStyle w:val="000001000000" w:firstRow="0" w:lastRow="0" w:firstColumn="0" w:lastColumn="0" w:oddVBand="0" w:evenVBand="1" w:oddHBand="0" w:evenHBand="0" w:firstRowFirstColumn="0" w:firstRowLastColumn="0" w:lastRowFirstColumn="0" w:lastRowLastColumn="0"/>
            <w:tcW w:w="659" w:type="pct"/>
            <w:tcBorders>
              <w:top w:val="single" w:sz="4" w:space="0" w:color="000000" w:themeColor="text1"/>
              <w:bottom w:val="single" w:sz="4" w:space="0" w:color="000000" w:themeColor="text1"/>
            </w:tcBorders>
            <w:hideMark/>
          </w:tcPr>
          <w:p w14:paraId="7EB89174" w14:textId="77777777" w:rsidR="004944DF" w:rsidRPr="00107CC5" w:rsidRDefault="004944DF" w:rsidP="00F962BE">
            <w:pPr>
              <w:pStyle w:val="ARtabletextright"/>
              <w:spacing w:before="20" w:after="20"/>
              <w:rPr>
                <w:b/>
                <w:bCs/>
                <w:color w:val="000000"/>
                <w:lang w:eastAsia="en-AU"/>
              </w:rPr>
            </w:pPr>
            <w:r w:rsidRPr="00107CC5">
              <w:rPr>
                <w:b/>
                <w:bCs/>
                <w:color w:val="000000"/>
                <w:lang w:eastAsia="en-AU"/>
              </w:rPr>
              <w:t>80</w:t>
            </w:r>
          </w:p>
        </w:tc>
        <w:tc>
          <w:tcPr>
            <w:tcW w:w="659" w:type="pct"/>
            <w:tcBorders>
              <w:top w:val="single" w:sz="4" w:space="0" w:color="000000" w:themeColor="text1"/>
              <w:bottom w:val="single" w:sz="4" w:space="0" w:color="000000" w:themeColor="text1"/>
            </w:tcBorders>
            <w:hideMark/>
          </w:tcPr>
          <w:p w14:paraId="09B10395" w14:textId="77777777" w:rsidR="004944DF" w:rsidRPr="00107CC5"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b/>
                <w:bCs/>
                <w:color w:val="000000"/>
                <w:lang w:eastAsia="en-AU"/>
              </w:rPr>
            </w:pPr>
            <w:r w:rsidRPr="00107CC5">
              <w:rPr>
                <w:b/>
                <w:bCs/>
                <w:color w:val="000000"/>
                <w:lang w:eastAsia="en-AU"/>
              </w:rPr>
              <w:t>(4)</w:t>
            </w: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000000" w:themeColor="text1"/>
              <w:bottom w:val="single" w:sz="4" w:space="0" w:color="000000" w:themeColor="text1"/>
            </w:tcBorders>
            <w:hideMark/>
          </w:tcPr>
          <w:p w14:paraId="66E32918" w14:textId="77777777" w:rsidR="004944DF" w:rsidRPr="00107CC5" w:rsidRDefault="004944DF" w:rsidP="00F962BE">
            <w:pPr>
              <w:pStyle w:val="ARtabletextright"/>
              <w:spacing w:before="20" w:after="20"/>
              <w:rPr>
                <w:b/>
                <w:bCs/>
                <w:color w:val="000000"/>
                <w:lang w:eastAsia="en-AU"/>
              </w:rPr>
            </w:pPr>
            <w:r w:rsidRPr="00107CC5">
              <w:rPr>
                <w:b/>
                <w:bCs/>
                <w:color w:val="000000"/>
                <w:lang w:eastAsia="en-AU"/>
              </w:rPr>
              <w:t>(2,244.3)</w:t>
            </w:r>
          </w:p>
        </w:tc>
        <w:tc>
          <w:tcPr>
            <w:tcW w:w="377" w:type="pct"/>
            <w:tcBorders>
              <w:top w:val="single" w:sz="4" w:space="0" w:color="000000" w:themeColor="text1"/>
              <w:bottom w:val="single" w:sz="4" w:space="0" w:color="000000" w:themeColor="text1"/>
            </w:tcBorders>
            <w:hideMark/>
          </w:tcPr>
          <w:p w14:paraId="33AC5FE0" w14:textId="77777777" w:rsidR="004944DF" w:rsidRPr="00107CC5"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b/>
                <w:bCs/>
                <w:color w:val="000000"/>
                <w:lang w:eastAsia="en-AU"/>
              </w:rPr>
            </w:pPr>
          </w:p>
        </w:tc>
      </w:tr>
      <w:tr w:rsidR="004944DF" w:rsidRPr="00107CC5" w14:paraId="0064779B"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4" w:type="pct"/>
            <w:tcBorders>
              <w:top w:val="single" w:sz="4" w:space="0" w:color="000000" w:themeColor="text1"/>
              <w:bottom w:val="single" w:sz="4" w:space="0" w:color="000000" w:themeColor="text1"/>
            </w:tcBorders>
            <w:hideMark/>
          </w:tcPr>
          <w:p w14:paraId="1402C905" w14:textId="77777777" w:rsidR="004944DF" w:rsidRPr="00107CC5" w:rsidRDefault="004944DF" w:rsidP="00F962BE">
            <w:pPr>
              <w:pStyle w:val="ARtabletextbold"/>
              <w:spacing w:before="20" w:after="20"/>
              <w:rPr>
                <w:lang w:eastAsia="en-AU"/>
              </w:rPr>
            </w:pPr>
            <w:r w:rsidRPr="00107CC5">
              <w:rPr>
                <w:lang w:eastAsia="en-AU"/>
              </w:rPr>
              <w:t>Net result</w:t>
            </w:r>
          </w:p>
        </w:tc>
        <w:tc>
          <w:tcPr>
            <w:cnfStyle w:val="000001000000" w:firstRow="0" w:lastRow="0" w:firstColumn="0" w:lastColumn="0" w:oddVBand="0" w:evenVBand="1" w:oddHBand="0" w:evenHBand="0" w:firstRowFirstColumn="0" w:firstRowLastColumn="0" w:lastRowFirstColumn="0" w:lastRowLastColumn="0"/>
            <w:tcW w:w="659" w:type="pct"/>
            <w:tcBorders>
              <w:top w:val="single" w:sz="4" w:space="0" w:color="000000" w:themeColor="text1"/>
              <w:bottom w:val="single" w:sz="4" w:space="0" w:color="000000" w:themeColor="text1"/>
            </w:tcBorders>
            <w:hideMark/>
          </w:tcPr>
          <w:p w14:paraId="49E66FE6" w14:textId="77777777" w:rsidR="004944DF" w:rsidRPr="00107CC5" w:rsidRDefault="004944DF" w:rsidP="00F962BE">
            <w:pPr>
              <w:pStyle w:val="ARtabletextright"/>
              <w:spacing w:before="20" w:after="20"/>
              <w:rPr>
                <w:b/>
                <w:bCs/>
                <w:color w:val="000000"/>
                <w:lang w:eastAsia="en-AU"/>
              </w:rPr>
            </w:pPr>
            <w:r w:rsidRPr="00107CC5">
              <w:rPr>
                <w:b/>
                <w:bCs/>
                <w:color w:val="000000"/>
                <w:lang w:eastAsia="en-AU"/>
              </w:rPr>
              <w:t>(12)</w:t>
            </w:r>
          </w:p>
        </w:tc>
        <w:tc>
          <w:tcPr>
            <w:tcW w:w="659" w:type="pct"/>
            <w:tcBorders>
              <w:top w:val="single" w:sz="4" w:space="0" w:color="000000" w:themeColor="text1"/>
              <w:bottom w:val="single" w:sz="4" w:space="0" w:color="000000" w:themeColor="text1"/>
            </w:tcBorders>
            <w:hideMark/>
          </w:tcPr>
          <w:p w14:paraId="285FB567" w14:textId="77777777" w:rsidR="004944DF" w:rsidRPr="00107CC5"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b/>
                <w:bCs/>
                <w:color w:val="000000"/>
                <w:lang w:eastAsia="en-AU"/>
              </w:rPr>
            </w:pPr>
            <w:r w:rsidRPr="00107CC5">
              <w:rPr>
                <w:b/>
                <w:bCs/>
                <w:color w:val="000000"/>
                <w:lang w:eastAsia="en-AU"/>
              </w:rPr>
              <w:t>(6)</w:t>
            </w: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000000" w:themeColor="text1"/>
              <w:bottom w:val="single" w:sz="4" w:space="0" w:color="000000" w:themeColor="text1"/>
            </w:tcBorders>
            <w:hideMark/>
          </w:tcPr>
          <w:p w14:paraId="7ABF0B01" w14:textId="77777777" w:rsidR="004944DF" w:rsidRPr="00107CC5" w:rsidRDefault="004944DF" w:rsidP="00F962BE">
            <w:pPr>
              <w:pStyle w:val="ARtabletextright"/>
              <w:spacing w:before="20" w:after="20"/>
              <w:rPr>
                <w:b/>
                <w:bCs/>
                <w:color w:val="000000"/>
                <w:lang w:eastAsia="en-AU"/>
              </w:rPr>
            </w:pPr>
            <w:r w:rsidRPr="00107CC5">
              <w:rPr>
                <w:b/>
                <w:bCs/>
                <w:color w:val="000000"/>
                <w:lang w:eastAsia="en-AU"/>
              </w:rPr>
              <w:t>81.3</w:t>
            </w:r>
          </w:p>
        </w:tc>
        <w:tc>
          <w:tcPr>
            <w:tcW w:w="377" w:type="pct"/>
            <w:tcBorders>
              <w:top w:val="single" w:sz="4" w:space="0" w:color="000000" w:themeColor="text1"/>
              <w:bottom w:val="single" w:sz="4" w:space="0" w:color="000000" w:themeColor="text1"/>
            </w:tcBorders>
            <w:hideMark/>
          </w:tcPr>
          <w:p w14:paraId="0E16165C" w14:textId="77777777" w:rsidR="004944DF" w:rsidRPr="00107CC5"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b/>
                <w:bCs/>
                <w:color w:val="000000"/>
                <w:lang w:eastAsia="en-AU"/>
              </w:rPr>
            </w:pPr>
          </w:p>
        </w:tc>
      </w:tr>
      <w:tr w:rsidR="004944DF" w:rsidRPr="00107CC5" w14:paraId="4CA708D7"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4" w:type="pct"/>
            <w:tcBorders>
              <w:top w:val="single" w:sz="4" w:space="0" w:color="000000" w:themeColor="text1"/>
            </w:tcBorders>
            <w:hideMark/>
          </w:tcPr>
          <w:p w14:paraId="294D20EB" w14:textId="77777777" w:rsidR="004944DF" w:rsidRPr="00107CC5" w:rsidRDefault="004944DF" w:rsidP="00F962BE">
            <w:pPr>
              <w:pStyle w:val="ARTabletextboldcoloured"/>
              <w:spacing w:before="20" w:after="20"/>
              <w:rPr>
                <w:lang w:eastAsia="en-AU"/>
              </w:rPr>
            </w:pPr>
            <w:r w:rsidRPr="00107CC5">
              <w:rPr>
                <w:lang w:eastAsia="en-AU"/>
              </w:rPr>
              <w:t>Other economic flows – other comprehensive income</w:t>
            </w:r>
          </w:p>
        </w:tc>
        <w:tc>
          <w:tcPr>
            <w:cnfStyle w:val="000001000000" w:firstRow="0" w:lastRow="0" w:firstColumn="0" w:lastColumn="0" w:oddVBand="0" w:evenVBand="1" w:oddHBand="0" w:evenHBand="0" w:firstRowFirstColumn="0" w:firstRowLastColumn="0" w:lastRowFirstColumn="0" w:lastRowLastColumn="0"/>
            <w:tcW w:w="659" w:type="pct"/>
            <w:tcBorders>
              <w:top w:val="single" w:sz="4" w:space="0" w:color="000000" w:themeColor="text1"/>
            </w:tcBorders>
            <w:shd w:val="clear" w:color="auto" w:fill="auto"/>
            <w:hideMark/>
          </w:tcPr>
          <w:p w14:paraId="0EF4A646" w14:textId="77777777" w:rsidR="004944DF" w:rsidRPr="00107CC5" w:rsidRDefault="004944DF" w:rsidP="00F962BE">
            <w:pPr>
              <w:pStyle w:val="ARtabletextright"/>
              <w:spacing w:before="20" w:after="20"/>
              <w:rPr>
                <w:lang w:eastAsia="en-AU"/>
              </w:rPr>
            </w:pPr>
          </w:p>
        </w:tc>
        <w:tc>
          <w:tcPr>
            <w:tcW w:w="659" w:type="pct"/>
            <w:tcBorders>
              <w:top w:val="single" w:sz="4" w:space="0" w:color="000000" w:themeColor="text1"/>
            </w:tcBorders>
            <w:hideMark/>
          </w:tcPr>
          <w:p w14:paraId="5A9B978E" w14:textId="77777777" w:rsidR="004944DF" w:rsidRPr="00107CC5"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000000" w:themeColor="text1"/>
            </w:tcBorders>
            <w:shd w:val="clear" w:color="auto" w:fill="auto"/>
            <w:hideMark/>
          </w:tcPr>
          <w:p w14:paraId="1E121168" w14:textId="77777777" w:rsidR="004944DF" w:rsidRPr="00107CC5" w:rsidRDefault="004944DF" w:rsidP="00F962BE">
            <w:pPr>
              <w:pStyle w:val="ARtabletextright"/>
              <w:spacing w:before="20" w:after="20"/>
              <w:rPr>
                <w:color w:val="000000"/>
                <w:lang w:eastAsia="en-AU"/>
              </w:rPr>
            </w:pPr>
          </w:p>
        </w:tc>
        <w:tc>
          <w:tcPr>
            <w:tcW w:w="377" w:type="pct"/>
            <w:tcBorders>
              <w:top w:val="single" w:sz="4" w:space="0" w:color="000000" w:themeColor="text1"/>
            </w:tcBorders>
            <w:hideMark/>
          </w:tcPr>
          <w:p w14:paraId="36328F0F" w14:textId="77777777" w:rsidR="004944DF" w:rsidRPr="00107CC5" w:rsidRDefault="004944DF" w:rsidP="00F962BE">
            <w:pPr>
              <w:pStyle w:val="ARtabletextright"/>
              <w:spacing w:before="20" w:after="20"/>
              <w:cnfStyle w:val="000000100000" w:firstRow="0" w:lastRow="0" w:firstColumn="0" w:lastColumn="0" w:oddVBand="0" w:evenVBand="0" w:oddHBand="1" w:evenHBand="0" w:firstRowFirstColumn="0" w:firstRowLastColumn="0" w:lastRowFirstColumn="0" w:lastRowLastColumn="0"/>
              <w:rPr>
                <w:b/>
                <w:bCs/>
                <w:color w:val="000000"/>
                <w:lang w:eastAsia="en-AU"/>
              </w:rPr>
            </w:pPr>
          </w:p>
        </w:tc>
      </w:tr>
      <w:tr w:rsidR="004944DF" w:rsidRPr="00107CC5" w14:paraId="1ED6D45F"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4" w:type="pct"/>
            <w:hideMark/>
          </w:tcPr>
          <w:p w14:paraId="3F0B0A81" w14:textId="77777777" w:rsidR="004944DF" w:rsidRPr="007B370C" w:rsidRDefault="004944DF" w:rsidP="00F962BE">
            <w:pPr>
              <w:pStyle w:val="ARTabletext"/>
              <w:spacing w:before="20" w:after="20"/>
              <w:rPr>
                <w:lang w:val="fr-FR" w:eastAsia="en-AU"/>
              </w:rPr>
            </w:pPr>
            <w:r w:rsidRPr="007B370C">
              <w:rPr>
                <w:lang w:val="fr-FR" w:eastAsia="en-AU"/>
              </w:rPr>
              <w:t>Changes in non-</w:t>
            </w:r>
            <w:proofErr w:type="spellStart"/>
            <w:r w:rsidRPr="007B370C">
              <w:rPr>
                <w:lang w:val="fr-FR" w:eastAsia="en-AU"/>
              </w:rPr>
              <w:t>financial</w:t>
            </w:r>
            <w:proofErr w:type="spellEnd"/>
            <w:r w:rsidRPr="007B370C">
              <w:rPr>
                <w:lang w:val="fr-FR" w:eastAsia="en-AU"/>
              </w:rPr>
              <w:t xml:space="preserve"> asset </w:t>
            </w:r>
            <w:proofErr w:type="spellStart"/>
            <w:r w:rsidRPr="007B370C">
              <w:rPr>
                <w:lang w:val="fr-FR" w:eastAsia="en-AU"/>
              </w:rPr>
              <w:t>revaluation</w:t>
            </w:r>
            <w:proofErr w:type="spellEnd"/>
            <w:r w:rsidRPr="007B370C">
              <w:rPr>
                <w:lang w:val="fr-FR" w:eastAsia="en-AU"/>
              </w:rPr>
              <w:t xml:space="preserve"> surplus</w:t>
            </w:r>
          </w:p>
        </w:tc>
        <w:tc>
          <w:tcPr>
            <w:cnfStyle w:val="000001000000" w:firstRow="0" w:lastRow="0" w:firstColumn="0" w:lastColumn="0" w:oddVBand="0" w:evenVBand="1" w:oddHBand="0" w:evenHBand="0" w:firstRowFirstColumn="0" w:firstRowLastColumn="0" w:lastRowFirstColumn="0" w:lastRowLastColumn="0"/>
            <w:tcW w:w="659" w:type="pct"/>
            <w:hideMark/>
          </w:tcPr>
          <w:p w14:paraId="259ECE02" w14:textId="77777777" w:rsidR="004944DF" w:rsidRPr="00107CC5" w:rsidRDefault="004944DF" w:rsidP="00F962BE">
            <w:pPr>
              <w:pStyle w:val="ARtabletextright"/>
              <w:spacing w:before="20" w:after="20"/>
              <w:rPr>
                <w:color w:val="000000"/>
                <w:lang w:eastAsia="en-AU"/>
              </w:rPr>
            </w:pPr>
            <w:r>
              <w:rPr>
                <w:color w:val="000000"/>
                <w:lang w:eastAsia="en-AU"/>
              </w:rPr>
              <w:t>–</w:t>
            </w:r>
          </w:p>
        </w:tc>
        <w:tc>
          <w:tcPr>
            <w:tcW w:w="659" w:type="pct"/>
            <w:hideMark/>
          </w:tcPr>
          <w:p w14:paraId="5851DFB8" w14:textId="77777777" w:rsidR="004944DF" w:rsidRPr="00107CC5"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color w:val="000000"/>
                <w:lang w:eastAsia="en-AU"/>
              </w:rPr>
            </w:pPr>
            <w:r>
              <w:rPr>
                <w:color w:val="000000"/>
                <w:lang w:eastAsia="en-AU"/>
              </w:rPr>
              <w:t>–</w:t>
            </w:r>
          </w:p>
        </w:tc>
        <w:tc>
          <w:tcPr>
            <w:cnfStyle w:val="000001000000" w:firstRow="0" w:lastRow="0" w:firstColumn="0" w:lastColumn="0" w:oddVBand="0" w:evenVBand="1" w:oddHBand="0" w:evenHBand="0" w:firstRowFirstColumn="0" w:firstRowLastColumn="0" w:lastRowFirstColumn="0" w:lastRowLastColumn="0"/>
            <w:tcW w:w="660" w:type="pct"/>
            <w:hideMark/>
          </w:tcPr>
          <w:p w14:paraId="58006A23" w14:textId="77777777" w:rsidR="004944DF" w:rsidRPr="00107CC5" w:rsidRDefault="004944DF" w:rsidP="00F962BE">
            <w:pPr>
              <w:pStyle w:val="ARtabletextright"/>
              <w:spacing w:before="20" w:after="20"/>
              <w:rPr>
                <w:color w:val="000000"/>
                <w:lang w:eastAsia="en-AU"/>
              </w:rPr>
            </w:pPr>
            <w:r>
              <w:rPr>
                <w:color w:val="000000"/>
                <w:lang w:eastAsia="en-AU"/>
              </w:rPr>
              <w:t>–</w:t>
            </w:r>
          </w:p>
        </w:tc>
        <w:tc>
          <w:tcPr>
            <w:tcW w:w="377" w:type="pct"/>
            <w:hideMark/>
          </w:tcPr>
          <w:p w14:paraId="22F4A7D1" w14:textId="77777777" w:rsidR="004944DF" w:rsidRPr="00107CC5" w:rsidRDefault="004944DF" w:rsidP="00F962BE">
            <w:pPr>
              <w:pStyle w:val="ARtabletextright"/>
              <w:spacing w:before="20" w:after="20"/>
              <w:cnfStyle w:val="000000010000" w:firstRow="0" w:lastRow="0" w:firstColumn="0" w:lastColumn="0" w:oddVBand="0" w:evenVBand="0" w:oddHBand="0" w:evenHBand="1" w:firstRowFirstColumn="0" w:firstRowLastColumn="0" w:lastRowFirstColumn="0" w:lastRowLastColumn="0"/>
              <w:rPr>
                <w:b/>
                <w:bCs/>
                <w:color w:val="000000"/>
                <w:lang w:eastAsia="en-AU"/>
              </w:rPr>
            </w:pPr>
          </w:p>
        </w:tc>
      </w:tr>
      <w:tr w:rsidR="004944DF" w:rsidRPr="00107CC5" w14:paraId="1E893C72"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4" w:type="pct"/>
            <w:hideMark/>
          </w:tcPr>
          <w:p w14:paraId="329DF304" w14:textId="77777777" w:rsidR="004944DF" w:rsidRPr="00107CC5" w:rsidRDefault="004944DF" w:rsidP="00F962BE">
            <w:pPr>
              <w:pStyle w:val="ARtabletextbold"/>
              <w:spacing w:before="20" w:after="20"/>
              <w:rPr>
                <w:lang w:eastAsia="en-AU"/>
              </w:rPr>
            </w:pPr>
            <w:r w:rsidRPr="00107CC5">
              <w:rPr>
                <w:lang w:eastAsia="en-AU"/>
              </w:rPr>
              <w:t xml:space="preserve">Total other economic flows – </w:t>
            </w:r>
            <w:r>
              <w:rPr>
                <w:lang w:eastAsia="en-AU"/>
              </w:rPr>
              <w:br/>
            </w:r>
            <w:r w:rsidRPr="00107CC5">
              <w:rPr>
                <w:lang w:eastAsia="en-AU"/>
              </w:rPr>
              <w:t>other comprehensive income</w:t>
            </w:r>
          </w:p>
        </w:tc>
        <w:tc>
          <w:tcPr>
            <w:cnfStyle w:val="000001000000" w:firstRow="0" w:lastRow="0" w:firstColumn="0" w:lastColumn="0" w:oddVBand="0" w:evenVBand="1" w:oddHBand="0" w:evenHBand="0" w:firstRowFirstColumn="0" w:firstRowLastColumn="0" w:lastRowFirstColumn="0" w:lastRowLastColumn="0"/>
            <w:tcW w:w="659" w:type="pct"/>
            <w:hideMark/>
          </w:tcPr>
          <w:p w14:paraId="7080A443" w14:textId="77777777" w:rsidR="004944DF" w:rsidRPr="00107CC5" w:rsidRDefault="004944DF" w:rsidP="00F962BE">
            <w:pPr>
              <w:pStyle w:val="ARtabletextrightbold"/>
              <w:spacing w:before="20" w:after="20"/>
              <w:rPr>
                <w:lang w:eastAsia="en-AU"/>
              </w:rPr>
            </w:pPr>
            <w:r>
              <w:rPr>
                <w:lang w:eastAsia="en-AU"/>
              </w:rPr>
              <w:t>–</w:t>
            </w:r>
          </w:p>
        </w:tc>
        <w:tc>
          <w:tcPr>
            <w:tcW w:w="659" w:type="pct"/>
            <w:hideMark/>
          </w:tcPr>
          <w:p w14:paraId="122A86F1" w14:textId="77777777" w:rsidR="004944DF" w:rsidRPr="00107CC5" w:rsidRDefault="004944DF" w:rsidP="00F962BE">
            <w:pPr>
              <w:pStyle w:val="ARtabletextrightbold"/>
              <w:spacing w:before="20" w:after="20"/>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60" w:type="pct"/>
            <w:hideMark/>
          </w:tcPr>
          <w:p w14:paraId="048794E9" w14:textId="77777777" w:rsidR="004944DF" w:rsidRPr="00107CC5" w:rsidRDefault="004944DF" w:rsidP="00F962BE">
            <w:pPr>
              <w:pStyle w:val="ARtabletextrightbold"/>
              <w:spacing w:before="20" w:after="20"/>
              <w:rPr>
                <w:lang w:eastAsia="en-AU"/>
              </w:rPr>
            </w:pPr>
            <w:r>
              <w:rPr>
                <w:lang w:eastAsia="en-AU"/>
              </w:rPr>
              <w:t>–</w:t>
            </w:r>
          </w:p>
        </w:tc>
        <w:tc>
          <w:tcPr>
            <w:tcW w:w="377" w:type="pct"/>
            <w:hideMark/>
          </w:tcPr>
          <w:p w14:paraId="60685B73" w14:textId="77777777" w:rsidR="004944DF" w:rsidRPr="00107CC5" w:rsidRDefault="004944DF" w:rsidP="00F962BE">
            <w:pPr>
              <w:pStyle w:val="ARtabletextrightbold"/>
              <w:spacing w:before="20" w:after="20"/>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107CC5" w14:paraId="43618093" w14:textId="77777777" w:rsidTr="00CF0F12">
        <w:trPr>
          <w:cnfStyle w:val="010000000000" w:firstRow="0" w:lastRow="1" w:firstColumn="0" w:lastColumn="0" w:oddVBand="0" w:evenVBand="0" w:oddHBand="0" w:evenHBand="0" w:firstRowFirstColumn="0" w:firstRowLastColumn="0" w:lastRowFirstColumn="0" w:lastRowLastColumn="0"/>
          <w:trHeight w:val="20"/>
        </w:trPr>
        <w:tc>
          <w:tcPr>
            <w:tcW w:w="2644" w:type="pct"/>
            <w:hideMark/>
          </w:tcPr>
          <w:p w14:paraId="11E0A9F3" w14:textId="77777777" w:rsidR="004944DF" w:rsidRPr="008145C7" w:rsidRDefault="004944DF" w:rsidP="00F962BE">
            <w:pPr>
              <w:pStyle w:val="ARtabletextbold"/>
              <w:spacing w:before="20" w:after="20"/>
            </w:pPr>
            <w:r w:rsidRPr="00107CC5">
              <w:rPr>
                <w:lang w:eastAsia="en-AU"/>
              </w:rPr>
              <w:t>Comprehensive result</w:t>
            </w:r>
          </w:p>
        </w:tc>
        <w:tc>
          <w:tcPr>
            <w:cnfStyle w:val="000001000000" w:firstRow="0" w:lastRow="0" w:firstColumn="0" w:lastColumn="0" w:oddVBand="0" w:evenVBand="1" w:oddHBand="0" w:evenHBand="0" w:firstRowFirstColumn="0" w:firstRowLastColumn="0" w:lastRowFirstColumn="0" w:lastRowLastColumn="0"/>
            <w:tcW w:w="659" w:type="pct"/>
            <w:hideMark/>
          </w:tcPr>
          <w:p w14:paraId="72E47C28" w14:textId="77777777" w:rsidR="004944DF" w:rsidRPr="00107CC5" w:rsidRDefault="004944DF" w:rsidP="00F962BE">
            <w:pPr>
              <w:pStyle w:val="ARtabletextrightbold"/>
              <w:spacing w:before="20" w:after="20"/>
              <w:rPr>
                <w:lang w:eastAsia="en-AU"/>
              </w:rPr>
            </w:pPr>
            <w:r w:rsidRPr="00107CC5">
              <w:rPr>
                <w:lang w:eastAsia="en-AU"/>
              </w:rPr>
              <w:t>(12)</w:t>
            </w:r>
          </w:p>
        </w:tc>
        <w:tc>
          <w:tcPr>
            <w:tcW w:w="659" w:type="pct"/>
            <w:hideMark/>
          </w:tcPr>
          <w:p w14:paraId="427C032A" w14:textId="77777777" w:rsidR="004944DF" w:rsidRPr="00107CC5" w:rsidRDefault="004944DF" w:rsidP="00F962BE">
            <w:pPr>
              <w:pStyle w:val="ARtabletextrightbold"/>
              <w:spacing w:before="20" w:after="20"/>
              <w:cnfStyle w:val="010000000000" w:firstRow="0" w:lastRow="1" w:firstColumn="0" w:lastColumn="0" w:oddVBand="0" w:evenVBand="0" w:oddHBand="0" w:evenHBand="0" w:firstRowFirstColumn="0" w:firstRowLastColumn="0" w:lastRowFirstColumn="0" w:lastRowLastColumn="0"/>
              <w:rPr>
                <w:lang w:eastAsia="en-AU"/>
              </w:rPr>
            </w:pPr>
            <w:r w:rsidRPr="00107CC5">
              <w:rPr>
                <w:lang w:eastAsia="en-AU"/>
              </w:rPr>
              <w:t>(6)</w:t>
            </w:r>
          </w:p>
        </w:tc>
        <w:tc>
          <w:tcPr>
            <w:cnfStyle w:val="000001000000" w:firstRow="0" w:lastRow="0" w:firstColumn="0" w:lastColumn="0" w:oddVBand="0" w:evenVBand="1" w:oddHBand="0" w:evenHBand="0" w:firstRowFirstColumn="0" w:firstRowLastColumn="0" w:lastRowFirstColumn="0" w:lastRowLastColumn="0"/>
            <w:tcW w:w="660" w:type="pct"/>
            <w:hideMark/>
          </w:tcPr>
          <w:p w14:paraId="2A924D2F" w14:textId="77777777" w:rsidR="004944DF" w:rsidRPr="00107CC5" w:rsidRDefault="004944DF" w:rsidP="00F962BE">
            <w:pPr>
              <w:pStyle w:val="ARtabletextrightbold"/>
              <w:spacing w:before="20" w:after="20"/>
              <w:rPr>
                <w:lang w:eastAsia="en-AU"/>
              </w:rPr>
            </w:pPr>
            <w:r w:rsidRPr="00107CC5">
              <w:rPr>
                <w:lang w:eastAsia="en-AU"/>
              </w:rPr>
              <w:t>81.3</w:t>
            </w:r>
          </w:p>
        </w:tc>
        <w:tc>
          <w:tcPr>
            <w:tcW w:w="377" w:type="pct"/>
            <w:hideMark/>
          </w:tcPr>
          <w:p w14:paraId="49A7BF44" w14:textId="77777777" w:rsidR="004944DF" w:rsidRPr="00107CC5" w:rsidRDefault="004944DF" w:rsidP="00F962BE">
            <w:pPr>
              <w:pStyle w:val="ARtabletextrightbold"/>
              <w:spacing w:before="20" w:after="20"/>
              <w:cnfStyle w:val="010000000000" w:firstRow="0" w:lastRow="1" w:firstColumn="0" w:lastColumn="0" w:oddVBand="0" w:evenVBand="0" w:oddHBand="0" w:evenHBand="0" w:firstRowFirstColumn="0" w:firstRowLastColumn="0" w:lastRowFirstColumn="0" w:lastRowLastColumn="0"/>
              <w:rPr>
                <w:lang w:eastAsia="en-AU"/>
              </w:rPr>
            </w:pPr>
          </w:p>
        </w:tc>
      </w:tr>
    </w:tbl>
    <w:p w14:paraId="0E8E5E53" w14:textId="1DACE1BF" w:rsidR="004944DF" w:rsidRPr="00107CC5" w:rsidRDefault="004944DF" w:rsidP="00F962BE">
      <w:pPr>
        <w:pStyle w:val="ARtablefootnotealpha"/>
        <w:numPr>
          <w:ilvl w:val="0"/>
          <w:numId w:val="116"/>
        </w:numPr>
      </w:pPr>
      <w:r w:rsidRPr="00107CC5">
        <w:t xml:space="preserve">Actual output appropriation was higher than the published budget mainly due to additional funding from the Commonwealth to deliver the Energy Bill Relief concession payments, the revenue from the Short Stay Levy and the Government’s investments </w:t>
      </w:r>
      <w:r w:rsidR="00AA4BDD">
        <w:br/>
      </w:r>
      <w:r w:rsidRPr="00107CC5">
        <w:t>in the Community service organisations indexation funding.</w:t>
      </w:r>
    </w:p>
    <w:p w14:paraId="06C53E3E" w14:textId="77777777" w:rsidR="004944DF" w:rsidRPr="00107CC5" w:rsidRDefault="004944DF" w:rsidP="004944DF">
      <w:pPr>
        <w:pStyle w:val="ARtablefootnotealpha"/>
        <w:numPr>
          <w:ilvl w:val="0"/>
          <w:numId w:val="45"/>
        </w:numPr>
      </w:pPr>
      <w:r w:rsidRPr="00107CC5">
        <w:t xml:space="preserve">Actual special appropriation was higher than the published budget mainly reflects the increase in accessing funding received in prior years from the Commonwealth under the National Partnership Agreement (NPA) for Family, Domestic and Sexual Violence Responses and the Housing Support Program under Section 10 of the </w:t>
      </w:r>
      <w:r w:rsidRPr="00107CC5">
        <w:rPr>
          <w:rStyle w:val="Emphasis"/>
        </w:rPr>
        <w:t>Financial Management Act 1994</w:t>
      </w:r>
      <w:r w:rsidRPr="00107CC5">
        <w:t xml:space="preserve"> (FMA).</w:t>
      </w:r>
    </w:p>
    <w:p w14:paraId="57F18AD1" w14:textId="77777777" w:rsidR="004944DF" w:rsidRPr="00107CC5" w:rsidRDefault="004944DF" w:rsidP="004944DF">
      <w:pPr>
        <w:pStyle w:val="ARtablefootnotealpha"/>
        <w:numPr>
          <w:ilvl w:val="0"/>
          <w:numId w:val="45"/>
        </w:numPr>
      </w:pPr>
      <w:r w:rsidRPr="00107CC5">
        <w:t>Higher Grants than the published budget was primarily due to the Government's investment in Strengthening Food Security across Victoria, Implementation of Child Safety Reforms, Education Supports for Children in Care and Community Food Relief programs.</w:t>
      </w:r>
    </w:p>
    <w:p w14:paraId="686759E7" w14:textId="77777777" w:rsidR="004944DF" w:rsidRPr="00107CC5" w:rsidRDefault="004944DF" w:rsidP="004944DF">
      <w:pPr>
        <w:pStyle w:val="ARtablefootnotealpha"/>
        <w:numPr>
          <w:ilvl w:val="0"/>
          <w:numId w:val="45"/>
        </w:numPr>
      </w:pPr>
      <w:r w:rsidRPr="00107CC5">
        <w:t>Higher actual employee benefits expenditure than the published budget primarily reflects the Government's additional investments for service delivery.</w:t>
      </w:r>
    </w:p>
    <w:p w14:paraId="5FF0D4EC" w14:textId="77777777" w:rsidR="004944DF" w:rsidRPr="00107CC5" w:rsidRDefault="004944DF" w:rsidP="004944DF">
      <w:pPr>
        <w:pStyle w:val="ARtablefootnotealpha"/>
        <w:numPr>
          <w:ilvl w:val="0"/>
          <w:numId w:val="45"/>
        </w:numPr>
      </w:pPr>
      <w:r w:rsidRPr="00107CC5">
        <w:t>Actual other operating expenses were higher than the published budget primarily reflects the Government policy commitments including civil claims costs for historical institutional child abuse and the expenditure as part of the contribution from the Commonwealth including the Energy Bill Relief concession payments.</w:t>
      </w:r>
    </w:p>
    <w:p w14:paraId="3525520E" w14:textId="77777777" w:rsidR="004944DF" w:rsidRPr="00107CC5" w:rsidRDefault="004944DF" w:rsidP="00652C2F">
      <w:pPr>
        <w:pStyle w:val="Heading3"/>
        <w:rPr>
          <w:lang w:eastAsia="en-AU"/>
        </w:rPr>
      </w:pPr>
      <w:bookmarkStart w:id="317" w:name="Balancesheet"/>
      <w:r w:rsidRPr="00107CC5">
        <w:rPr>
          <w:lang w:eastAsia="en-AU"/>
        </w:rPr>
        <w:t xml:space="preserve">Balance sheet </w:t>
      </w:r>
      <w:bookmarkEnd w:id="317"/>
      <w:r w:rsidRPr="00107CC5">
        <w:rPr>
          <w:lang w:eastAsia="en-AU"/>
        </w:rPr>
        <w:t xml:space="preserve">as </w:t>
      </w:r>
      <w:proofErr w:type="gramStart"/>
      <w:r w:rsidRPr="00107CC5">
        <w:rPr>
          <w:lang w:eastAsia="en-AU"/>
        </w:rPr>
        <w:t>at</w:t>
      </w:r>
      <w:proofErr w:type="gramEnd"/>
      <w:r w:rsidRPr="00107CC5">
        <w:rPr>
          <w:lang w:eastAsia="en-AU"/>
        </w:rPr>
        <w:t xml:space="preserve"> 30 June 2026</w:t>
      </w:r>
    </w:p>
    <w:tbl>
      <w:tblPr>
        <w:tblStyle w:val="ARtable1"/>
        <w:tblW w:w="5033" w:type="pct"/>
        <w:tblLook w:val="00E0" w:firstRow="1" w:lastRow="1" w:firstColumn="1" w:lastColumn="0" w:noHBand="0" w:noVBand="0"/>
      </w:tblPr>
      <w:tblGrid>
        <w:gridCol w:w="5160"/>
        <w:gridCol w:w="1254"/>
        <w:gridCol w:w="1254"/>
        <w:gridCol w:w="1254"/>
        <w:gridCol w:w="770"/>
      </w:tblGrid>
      <w:tr w:rsidR="004944DF" w:rsidRPr="00107CC5" w14:paraId="229B763D" w14:textId="77777777">
        <w:trPr>
          <w:cnfStyle w:val="100000000000" w:firstRow="1" w:lastRow="0" w:firstColumn="0" w:lastColumn="0" w:oddVBand="0" w:evenVBand="0" w:oddHBand="0" w:evenHBand="0" w:firstRowFirstColumn="0" w:firstRowLastColumn="0" w:lastRowFirstColumn="0" w:lastRowLastColumn="0"/>
          <w:trHeight w:val="300"/>
          <w:tblHeader/>
        </w:trPr>
        <w:tc>
          <w:tcPr>
            <w:tcW w:w="2662" w:type="pct"/>
          </w:tcPr>
          <w:p w14:paraId="04DFE9EB" w14:textId="77777777" w:rsidR="004944DF" w:rsidRPr="00107CC5" w:rsidRDefault="004944DF">
            <w:pPr>
              <w:spacing w:after="0" w:line="240" w:lineRule="auto"/>
              <w:rPr>
                <w:rFonts w:cs="Arial"/>
                <w:b/>
                <w:bCs/>
                <w:color w:val="000000"/>
                <w:sz w:val="18"/>
                <w:szCs w:val="18"/>
                <w:lang w:eastAsia="en-AU"/>
              </w:rPr>
            </w:pP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tcBorders>
          </w:tcPr>
          <w:p w14:paraId="4518E654" w14:textId="1BDAB7A6" w:rsidR="00CF0F12" w:rsidRDefault="00CF0F12">
            <w:pPr>
              <w:pStyle w:val="ARtablecolheadright"/>
              <w:rPr>
                <w:lang w:eastAsia="en-AU"/>
              </w:rPr>
            </w:pPr>
            <w:r w:rsidRPr="00107CC5">
              <w:rPr>
                <w:lang w:eastAsia="en-AU"/>
              </w:rPr>
              <w:t>2025</w:t>
            </w:r>
            <w:r>
              <w:rPr>
                <w:lang w:eastAsia="en-AU"/>
              </w:rPr>
              <w:t>–</w:t>
            </w:r>
            <w:r w:rsidRPr="00107CC5">
              <w:rPr>
                <w:lang w:eastAsia="en-AU"/>
              </w:rPr>
              <w:t>26</w:t>
            </w:r>
          </w:p>
          <w:p w14:paraId="1D1D91F3" w14:textId="63300ABD" w:rsidR="004944DF" w:rsidRPr="00107CC5" w:rsidRDefault="004944DF">
            <w:pPr>
              <w:pStyle w:val="ARtablecolheadright"/>
              <w:rPr>
                <w:lang w:eastAsia="en-AU"/>
              </w:rPr>
            </w:pPr>
            <w:r w:rsidRPr="00107CC5">
              <w:rPr>
                <w:lang w:eastAsia="en-AU"/>
              </w:rPr>
              <w:t>Actual</w:t>
            </w:r>
          </w:p>
          <w:p w14:paraId="1274C5E3" w14:textId="77777777" w:rsidR="004944DF" w:rsidRPr="00107CC5" w:rsidRDefault="004944DF">
            <w:pPr>
              <w:pStyle w:val="ARtablecolheadright"/>
              <w:rPr>
                <w:lang w:eastAsia="en-AU"/>
              </w:rPr>
            </w:pPr>
            <w:r w:rsidRPr="00107CC5">
              <w:rPr>
                <w:lang w:eastAsia="en-AU"/>
              </w:rPr>
              <w:t>$M</w:t>
            </w:r>
          </w:p>
        </w:tc>
        <w:tc>
          <w:tcPr>
            <w:tcW w:w="647" w:type="pct"/>
            <w:tcBorders>
              <w:top w:val="single" w:sz="4" w:space="0" w:color="000000" w:themeColor="text1"/>
            </w:tcBorders>
          </w:tcPr>
          <w:p w14:paraId="1DFF38BA" w14:textId="5D48E494" w:rsidR="00CF0F12" w:rsidRDefault="00CF0F12">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107CC5">
              <w:rPr>
                <w:lang w:eastAsia="en-AU"/>
              </w:rPr>
              <w:t>2025</w:t>
            </w:r>
            <w:r>
              <w:rPr>
                <w:lang w:eastAsia="en-AU"/>
              </w:rPr>
              <w:t>–</w:t>
            </w:r>
            <w:r w:rsidRPr="00107CC5">
              <w:rPr>
                <w:lang w:eastAsia="en-AU"/>
              </w:rPr>
              <w:t>26</w:t>
            </w:r>
          </w:p>
          <w:p w14:paraId="24D84831" w14:textId="4BA898EA" w:rsidR="004944DF" w:rsidRPr="00107CC5" w:rsidRDefault="004944DF">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107CC5">
              <w:rPr>
                <w:lang w:eastAsia="en-AU"/>
              </w:rPr>
              <w:t>Published budget</w:t>
            </w:r>
          </w:p>
          <w:p w14:paraId="18565885" w14:textId="77777777" w:rsidR="004944DF" w:rsidRPr="00107CC5" w:rsidRDefault="004944DF">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107CC5">
              <w:rPr>
                <w:lang w:eastAsia="en-AU"/>
              </w:rPr>
              <w:t>$M</w:t>
            </w:r>
          </w:p>
        </w:tc>
        <w:tc>
          <w:tcPr>
            <w:cnfStyle w:val="000001000000" w:firstRow="0" w:lastRow="0" w:firstColumn="0" w:lastColumn="0" w:oddVBand="0" w:evenVBand="1" w:oddHBand="0" w:evenHBand="0" w:firstRowFirstColumn="0" w:firstRowLastColumn="0" w:lastRowFirstColumn="0" w:lastRowLastColumn="0"/>
            <w:tcW w:w="647" w:type="pct"/>
          </w:tcPr>
          <w:p w14:paraId="438E9C31" w14:textId="77777777" w:rsidR="004944DF" w:rsidRPr="00107CC5" w:rsidRDefault="004944DF">
            <w:pPr>
              <w:pStyle w:val="ARtablecolheadright"/>
              <w:rPr>
                <w:lang w:eastAsia="en-AU"/>
              </w:rPr>
            </w:pPr>
            <w:r w:rsidRPr="00107CC5">
              <w:rPr>
                <w:lang w:eastAsia="en-AU"/>
              </w:rPr>
              <w:t>Variation to published budget</w:t>
            </w:r>
          </w:p>
          <w:p w14:paraId="510ACE47" w14:textId="77777777" w:rsidR="004944DF" w:rsidRPr="00107CC5" w:rsidRDefault="004944DF">
            <w:pPr>
              <w:pStyle w:val="ARtablecolheadright"/>
              <w:rPr>
                <w:lang w:eastAsia="en-AU"/>
              </w:rPr>
            </w:pPr>
            <w:r w:rsidRPr="00107CC5">
              <w:rPr>
                <w:lang w:eastAsia="en-AU"/>
              </w:rPr>
              <w:t>%</w:t>
            </w:r>
          </w:p>
        </w:tc>
        <w:tc>
          <w:tcPr>
            <w:tcW w:w="397" w:type="pct"/>
          </w:tcPr>
          <w:p w14:paraId="269868C3" w14:textId="77777777" w:rsidR="004944DF" w:rsidRPr="00107CC5" w:rsidRDefault="004944DF">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107CC5">
              <w:rPr>
                <w:lang w:eastAsia="en-AU"/>
              </w:rPr>
              <w:t>Notes</w:t>
            </w:r>
          </w:p>
          <w:p w14:paraId="3FF7DB0E" w14:textId="77777777" w:rsidR="004944DF" w:rsidRPr="00107CC5" w:rsidRDefault="004944DF">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107CC5">
              <w:rPr>
                <w:lang w:eastAsia="en-AU"/>
              </w:rPr>
              <w:t> </w:t>
            </w:r>
          </w:p>
        </w:tc>
      </w:tr>
      <w:tr w:rsidR="004944DF" w:rsidRPr="00107CC5" w14:paraId="420F304C" w14:textId="77777777">
        <w:trPr>
          <w:cnfStyle w:val="000000100000" w:firstRow="0" w:lastRow="0" w:firstColumn="0" w:lastColumn="0" w:oddVBand="0" w:evenVBand="0" w:oddHBand="1" w:evenHBand="0" w:firstRowFirstColumn="0" w:firstRowLastColumn="0" w:lastRowFirstColumn="0" w:lastRowLastColumn="0"/>
          <w:trHeight w:val="300"/>
        </w:trPr>
        <w:tc>
          <w:tcPr>
            <w:tcW w:w="2662" w:type="pct"/>
            <w:hideMark/>
          </w:tcPr>
          <w:p w14:paraId="4113C6F2" w14:textId="77777777" w:rsidR="004944DF" w:rsidRPr="00107CC5" w:rsidRDefault="004944DF">
            <w:pPr>
              <w:pStyle w:val="ARtabletextbold"/>
              <w:rPr>
                <w:lang w:eastAsia="en-AU"/>
              </w:rPr>
            </w:pPr>
            <w:r w:rsidRPr="00107CC5">
              <w:rPr>
                <w:lang w:eastAsia="en-AU"/>
              </w:rPr>
              <w:t>Assets</w:t>
            </w:r>
          </w:p>
        </w:tc>
        <w:tc>
          <w:tcPr>
            <w:cnfStyle w:val="000001000000" w:firstRow="0" w:lastRow="0" w:firstColumn="0" w:lastColumn="0" w:oddVBand="0" w:evenVBand="1" w:oddHBand="0" w:evenHBand="0" w:firstRowFirstColumn="0" w:firstRowLastColumn="0" w:lastRowFirstColumn="0" w:lastRowLastColumn="0"/>
            <w:tcW w:w="647" w:type="pct"/>
            <w:shd w:val="clear" w:color="auto" w:fill="auto"/>
            <w:hideMark/>
          </w:tcPr>
          <w:p w14:paraId="2EC40204" w14:textId="77777777" w:rsidR="004944DF" w:rsidRPr="00107CC5" w:rsidRDefault="004944DF">
            <w:pPr>
              <w:pStyle w:val="ARtabletextright"/>
              <w:rPr>
                <w:lang w:eastAsia="en-AU"/>
              </w:rPr>
            </w:pPr>
          </w:p>
        </w:tc>
        <w:tc>
          <w:tcPr>
            <w:tcW w:w="647" w:type="pct"/>
            <w:hideMark/>
          </w:tcPr>
          <w:p w14:paraId="308E0D99" w14:textId="77777777" w:rsidR="004944DF" w:rsidRPr="00107CC5"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647" w:type="pct"/>
            <w:shd w:val="clear" w:color="auto" w:fill="auto"/>
            <w:hideMark/>
          </w:tcPr>
          <w:p w14:paraId="54AC7E9F" w14:textId="77777777" w:rsidR="004944DF" w:rsidRPr="00107CC5" w:rsidRDefault="004944DF">
            <w:pPr>
              <w:pStyle w:val="ARtabletextright"/>
              <w:rPr>
                <w:lang w:eastAsia="en-AU"/>
              </w:rPr>
            </w:pPr>
          </w:p>
        </w:tc>
        <w:tc>
          <w:tcPr>
            <w:tcW w:w="397" w:type="pct"/>
            <w:hideMark/>
          </w:tcPr>
          <w:p w14:paraId="78828402" w14:textId="77777777" w:rsidR="004944DF" w:rsidRPr="00107CC5"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107CC5" w14:paraId="6265C9FE" w14:textId="77777777">
        <w:trPr>
          <w:cnfStyle w:val="000000010000" w:firstRow="0" w:lastRow="0" w:firstColumn="0" w:lastColumn="0" w:oddVBand="0" w:evenVBand="0" w:oddHBand="0" w:evenHBand="1" w:firstRowFirstColumn="0" w:firstRowLastColumn="0" w:lastRowFirstColumn="0" w:lastRowLastColumn="0"/>
          <w:trHeight w:val="300"/>
        </w:trPr>
        <w:tc>
          <w:tcPr>
            <w:tcW w:w="2662" w:type="pct"/>
            <w:hideMark/>
          </w:tcPr>
          <w:p w14:paraId="5BBC98EB" w14:textId="77777777" w:rsidR="004944DF" w:rsidRPr="00107CC5" w:rsidRDefault="004944DF">
            <w:pPr>
              <w:pStyle w:val="ARtabletextbold"/>
              <w:rPr>
                <w:lang w:eastAsia="en-AU"/>
              </w:rPr>
            </w:pPr>
            <w:r w:rsidRPr="00107CC5">
              <w:rPr>
                <w:lang w:eastAsia="en-AU"/>
              </w:rPr>
              <w:t>Financial assets</w:t>
            </w:r>
          </w:p>
        </w:tc>
        <w:tc>
          <w:tcPr>
            <w:cnfStyle w:val="000001000000" w:firstRow="0" w:lastRow="0" w:firstColumn="0" w:lastColumn="0" w:oddVBand="0" w:evenVBand="1" w:oddHBand="0" w:evenHBand="0" w:firstRowFirstColumn="0" w:firstRowLastColumn="0" w:lastRowFirstColumn="0" w:lastRowLastColumn="0"/>
            <w:tcW w:w="647" w:type="pct"/>
            <w:shd w:val="clear" w:color="auto" w:fill="auto"/>
            <w:hideMark/>
          </w:tcPr>
          <w:p w14:paraId="6D4349E2" w14:textId="77777777" w:rsidR="004944DF" w:rsidRPr="00107CC5" w:rsidRDefault="004944DF">
            <w:pPr>
              <w:pStyle w:val="ARtabletextright"/>
              <w:rPr>
                <w:lang w:eastAsia="en-AU"/>
              </w:rPr>
            </w:pPr>
          </w:p>
        </w:tc>
        <w:tc>
          <w:tcPr>
            <w:tcW w:w="647" w:type="pct"/>
            <w:hideMark/>
          </w:tcPr>
          <w:p w14:paraId="49764D20" w14:textId="77777777" w:rsidR="004944DF" w:rsidRPr="00107CC5"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647" w:type="pct"/>
            <w:shd w:val="clear" w:color="auto" w:fill="auto"/>
            <w:hideMark/>
          </w:tcPr>
          <w:p w14:paraId="5A799F5D" w14:textId="77777777" w:rsidR="004944DF" w:rsidRPr="00107CC5" w:rsidRDefault="004944DF">
            <w:pPr>
              <w:pStyle w:val="ARtabletextright"/>
              <w:rPr>
                <w:lang w:eastAsia="en-AU"/>
              </w:rPr>
            </w:pPr>
          </w:p>
        </w:tc>
        <w:tc>
          <w:tcPr>
            <w:tcW w:w="397" w:type="pct"/>
            <w:hideMark/>
          </w:tcPr>
          <w:p w14:paraId="06E38B5B" w14:textId="77777777" w:rsidR="004944DF" w:rsidRPr="00107CC5"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107CC5" w14:paraId="088854EF" w14:textId="77777777">
        <w:trPr>
          <w:cnfStyle w:val="000000100000" w:firstRow="0" w:lastRow="0" w:firstColumn="0" w:lastColumn="0" w:oddVBand="0" w:evenVBand="0" w:oddHBand="1" w:evenHBand="0" w:firstRowFirstColumn="0" w:firstRowLastColumn="0" w:lastRowFirstColumn="0" w:lastRowLastColumn="0"/>
          <w:trHeight w:val="300"/>
        </w:trPr>
        <w:tc>
          <w:tcPr>
            <w:tcW w:w="2662" w:type="pct"/>
            <w:hideMark/>
          </w:tcPr>
          <w:p w14:paraId="76030E5B" w14:textId="77777777" w:rsidR="004944DF" w:rsidRPr="00107CC5" w:rsidRDefault="004944DF">
            <w:pPr>
              <w:pStyle w:val="ARTabletext"/>
              <w:rPr>
                <w:lang w:eastAsia="en-AU"/>
              </w:rPr>
            </w:pPr>
            <w:r w:rsidRPr="00107CC5">
              <w:rPr>
                <w:lang w:eastAsia="en-AU"/>
              </w:rPr>
              <w:t>Cash and deposits</w:t>
            </w:r>
          </w:p>
        </w:tc>
        <w:tc>
          <w:tcPr>
            <w:cnfStyle w:val="000001000000" w:firstRow="0" w:lastRow="0" w:firstColumn="0" w:lastColumn="0" w:oddVBand="0" w:evenVBand="1" w:oddHBand="0" w:evenHBand="0" w:firstRowFirstColumn="0" w:firstRowLastColumn="0" w:lastRowFirstColumn="0" w:lastRowLastColumn="0"/>
            <w:tcW w:w="647" w:type="pct"/>
            <w:hideMark/>
          </w:tcPr>
          <w:p w14:paraId="6E4AA747" w14:textId="77777777" w:rsidR="004944DF" w:rsidRPr="00107CC5" w:rsidRDefault="004944DF">
            <w:pPr>
              <w:pStyle w:val="ARtabletextright"/>
              <w:rPr>
                <w:lang w:eastAsia="en-AU"/>
              </w:rPr>
            </w:pPr>
            <w:r w:rsidRPr="00107CC5">
              <w:rPr>
                <w:lang w:eastAsia="en-AU"/>
              </w:rPr>
              <w:t>91</w:t>
            </w:r>
          </w:p>
        </w:tc>
        <w:tc>
          <w:tcPr>
            <w:tcW w:w="647" w:type="pct"/>
            <w:hideMark/>
          </w:tcPr>
          <w:p w14:paraId="41003020" w14:textId="77777777" w:rsidR="004944DF" w:rsidRPr="00107CC5"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107CC5">
              <w:rPr>
                <w:lang w:eastAsia="en-AU"/>
              </w:rPr>
              <w:t>67</w:t>
            </w:r>
          </w:p>
        </w:tc>
        <w:tc>
          <w:tcPr>
            <w:cnfStyle w:val="000001000000" w:firstRow="0" w:lastRow="0" w:firstColumn="0" w:lastColumn="0" w:oddVBand="0" w:evenVBand="1" w:oddHBand="0" w:evenHBand="0" w:firstRowFirstColumn="0" w:firstRowLastColumn="0" w:lastRowFirstColumn="0" w:lastRowLastColumn="0"/>
            <w:tcW w:w="647" w:type="pct"/>
            <w:hideMark/>
          </w:tcPr>
          <w:p w14:paraId="3F4313AB" w14:textId="77777777" w:rsidR="004944DF" w:rsidRPr="00107CC5" w:rsidRDefault="004944DF">
            <w:pPr>
              <w:pStyle w:val="ARtabletextright"/>
              <w:rPr>
                <w:lang w:eastAsia="en-AU"/>
              </w:rPr>
            </w:pPr>
            <w:r w:rsidRPr="00107CC5">
              <w:rPr>
                <w:lang w:eastAsia="en-AU"/>
              </w:rPr>
              <w:t>36.1</w:t>
            </w:r>
          </w:p>
        </w:tc>
        <w:tc>
          <w:tcPr>
            <w:tcW w:w="397" w:type="pct"/>
            <w:hideMark/>
          </w:tcPr>
          <w:p w14:paraId="0B564B02" w14:textId="77777777" w:rsidR="004944DF" w:rsidRPr="00107CC5"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107CC5">
              <w:rPr>
                <w:lang w:eastAsia="en-AU"/>
              </w:rPr>
              <w:t>(a)</w:t>
            </w:r>
          </w:p>
        </w:tc>
      </w:tr>
      <w:tr w:rsidR="004944DF" w:rsidRPr="00107CC5" w14:paraId="6B4D7151" w14:textId="77777777">
        <w:trPr>
          <w:cnfStyle w:val="000000010000" w:firstRow="0" w:lastRow="0" w:firstColumn="0" w:lastColumn="0" w:oddVBand="0" w:evenVBand="0" w:oddHBand="0" w:evenHBand="1" w:firstRowFirstColumn="0" w:firstRowLastColumn="0" w:lastRowFirstColumn="0" w:lastRowLastColumn="0"/>
          <w:trHeight w:val="300"/>
        </w:trPr>
        <w:tc>
          <w:tcPr>
            <w:tcW w:w="2662" w:type="pct"/>
            <w:tcBorders>
              <w:bottom w:val="single" w:sz="4" w:space="0" w:color="BFBFBF" w:themeColor="accent2"/>
            </w:tcBorders>
            <w:hideMark/>
          </w:tcPr>
          <w:p w14:paraId="712F1A0E" w14:textId="77777777" w:rsidR="004944DF" w:rsidRPr="00107CC5" w:rsidRDefault="004944DF">
            <w:pPr>
              <w:pStyle w:val="ARTabletext"/>
              <w:rPr>
                <w:lang w:eastAsia="en-AU"/>
              </w:rPr>
            </w:pPr>
            <w:r w:rsidRPr="00107CC5">
              <w:rPr>
                <w:lang w:eastAsia="en-AU"/>
              </w:rPr>
              <w:t>Receivables from government</w:t>
            </w:r>
          </w:p>
        </w:tc>
        <w:tc>
          <w:tcPr>
            <w:cnfStyle w:val="000001000000" w:firstRow="0" w:lastRow="0" w:firstColumn="0" w:lastColumn="0" w:oddVBand="0" w:evenVBand="1" w:oddHBand="0" w:evenHBand="0" w:firstRowFirstColumn="0" w:firstRowLastColumn="0" w:lastRowFirstColumn="0" w:lastRowLastColumn="0"/>
            <w:tcW w:w="647" w:type="pct"/>
            <w:tcBorders>
              <w:bottom w:val="single" w:sz="4" w:space="0" w:color="BFBFBF" w:themeColor="accent2"/>
            </w:tcBorders>
            <w:hideMark/>
          </w:tcPr>
          <w:p w14:paraId="370784FF" w14:textId="77777777" w:rsidR="004944DF" w:rsidRPr="00107CC5" w:rsidRDefault="004944DF">
            <w:pPr>
              <w:pStyle w:val="ARtabletextright"/>
              <w:rPr>
                <w:lang w:eastAsia="en-AU"/>
              </w:rPr>
            </w:pPr>
            <w:r w:rsidRPr="00107CC5">
              <w:rPr>
                <w:lang w:eastAsia="en-AU"/>
              </w:rPr>
              <w:t>766</w:t>
            </w:r>
          </w:p>
        </w:tc>
        <w:tc>
          <w:tcPr>
            <w:tcW w:w="647" w:type="pct"/>
            <w:tcBorders>
              <w:bottom w:val="single" w:sz="4" w:space="0" w:color="BFBFBF" w:themeColor="accent2"/>
            </w:tcBorders>
            <w:hideMark/>
          </w:tcPr>
          <w:p w14:paraId="3685F27E" w14:textId="77777777" w:rsidR="004944DF" w:rsidRPr="00107CC5"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r w:rsidRPr="00107CC5">
              <w:rPr>
                <w:lang w:eastAsia="en-AU"/>
              </w:rPr>
              <w:t>745</w:t>
            </w:r>
          </w:p>
        </w:tc>
        <w:tc>
          <w:tcPr>
            <w:cnfStyle w:val="000001000000" w:firstRow="0" w:lastRow="0" w:firstColumn="0" w:lastColumn="0" w:oddVBand="0" w:evenVBand="1" w:oddHBand="0" w:evenHBand="0" w:firstRowFirstColumn="0" w:firstRowLastColumn="0" w:lastRowFirstColumn="0" w:lastRowLastColumn="0"/>
            <w:tcW w:w="647" w:type="pct"/>
            <w:tcBorders>
              <w:bottom w:val="single" w:sz="4" w:space="0" w:color="BFBFBF" w:themeColor="accent2"/>
            </w:tcBorders>
            <w:hideMark/>
          </w:tcPr>
          <w:p w14:paraId="4BB4AD08" w14:textId="77777777" w:rsidR="004944DF" w:rsidRPr="00107CC5" w:rsidRDefault="004944DF">
            <w:pPr>
              <w:pStyle w:val="ARtabletextright"/>
              <w:rPr>
                <w:lang w:eastAsia="en-AU"/>
              </w:rPr>
            </w:pPr>
            <w:r w:rsidRPr="00107CC5">
              <w:rPr>
                <w:lang w:eastAsia="en-AU"/>
              </w:rPr>
              <w:t>2.7</w:t>
            </w:r>
          </w:p>
        </w:tc>
        <w:tc>
          <w:tcPr>
            <w:tcW w:w="397" w:type="pct"/>
            <w:tcBorders>
              <w:bottom w:val="single" w:sz="4" w:space="0" w:color="BFBFBF" w:themeColor="accent2"/>
            </w:tcBorders>
            <w:hideMark/>
          </w:tcPr>
          <w:p w14:paraId="6D5EDCE7" w14:textId="77777777" w:rsidR="004944DF" w:rsidRPr="00107CC5"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107CC5" w14:paraId="7F861983" w14:textId="77777777">
        <w:trPr>
          <w:cnfStyle w:val="000000100000" w:firstRow="0" w:lastRow="0" w:firstColumn="0" w:lastColumn="0" w:oddVBand="0" w:evenVBand="0" w:oddHBand="1" w:evenHBand="0" w:firstRowFirstColumn="0" w:firstRowLastColumn="0" w:lastRowFirstColumn="0" w:lastRowLastColumn="0"/>
          <w:trHeight w:val="300"/>
        </w:trPr>
        <w:tc>
          <w:tcPr>
            <w:tcW w:w="2662" w:type="pct"/>
            <w:tcBorders>
              <w:top w:val="single" w:sz="4" w:space="0" w:color="BFBFBF" w:themeColor="accent2"/>
              <w:bottom w:val="single" w:sz="4" w:space="0" w:color="000000" w:themeColor="text1"/>
            </w:tcBorders>
            <w:hideMark/>
          </w:tcPr>
          <w:p w14:paraId="150123BE" w14:textId="77777777" w:rsidR="004944DF" w:rsidRPr="00107CC5" w:rsidRDefault="004944DF">
            <w:pPr>
              <w:pStyle w:val="ARTabletext"/>
              <w:rPr>
                <w:lang w:eastAsia="en-AU"/>
              </w:rPr>
            </w:pPr>
            <w:r w:rsidRPr="00107CC5">
              <w:rPr>
                <w:lang w:eastAsia="en-AU"/>
              </w:rPr>
              <w:t>Other receivables</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BFBFBF" w:themeColor="accent2"/>
              <w:bottom w:val="single" w:sz="4" w:space="0" w:color="000000" w:themeColor="text1"/>
            </w:tcBorders>
            <w:hideMark/>
          </w:tcPr>
          <w:p w14:paraId="67C4F87A" w14:textId="77777777" w:rsidR="004944DF" w:rsidRPr="00107CC5" w:rsidRDefault="004944DF">
            <w:pPr>
              <w:pStyle w:val="ARtabletextright"/>
              <w:rPr>
                <w:lang w:eastAsia="en-AU"/>
              </w:rPr>
            </w:pPr>
            <w:r w:rsidRPr="00107CC5">
              <w:rPr>
                <w:lang w:eastAsia="en-AU"/>
              </w:rPr>
              <w:t>146</w:t>
            </w:r>
          </w:p>
        </w:tc>
        <w:tc>
          <w:tcPr>
            <w:tcW w:w="647" w:type="pct"/>
            <w:tcBorders>
              <w:top w:val="single" w:sz="4" w:space="0" w:color="BFBFBF" w:themeColor="accent2"/>
              <w:bottom w:val="single" w:sz="4" w:space="0" w:color="000000" w:themeColor="text1"/>
            </w:tcBorders>
            <w:hideMark/>
          </w:tcPr>
          <w:p w14:paraId="0A7D52F7" w14:textId="77777777" w:rsidR="004944DF" w:rsidRPr="00107CC5"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107CC5">
              <w:rPr>
                <w:lang w:eastAsia="en-AU"/>
              </w:rPr>
              <w:t>128</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BFBFBF" w:themeColor="accent2"/>
              <w:bottom w:val="single" w:sz="4" w:space="0" w:color="000000" w:themeColor="text1"/>
            </w:tcBorders>
            <w:hideMark/>
          </w:tcPr>
          <w:p w14:paraId="04E47DC3" w14:textId="77777777" w:rsidR="004944DF" w:rsidRPr="00107CC5" w:rsidRDefault="004944DF">
            <w:pPr>
              <w:pStyle w:val="ARtabletextright"/>
              <w:rPr>
                <w:lang w:eastAsia="en-AU"/>
              </w:rPr>
            </w:pPr>
            <w:r w:rsidRPr="00107CC5">
              <w:rPr>
                <w:lang w:eastAsia="en-AU"/>
              </w:rPr>
              <w:t>13.8</w:t>
            </w:r>
          </w:p>
        </w:tc>
        <w:tc>
          <w:tcPr>
            <w:tcW w:w="397" w:type="pct"/>
            <w:tcBorders>
              <w:top w:val="single" w:sz="4" w:space="0" w:color="BFBFBF" w:themeColor="accent2"/>
              <w:bottom w:val="single" w:sz="4" w:space="0" w:color="000000" w:themeColor="text1"/>
            </w:tcBorders>
            <w:hideMark/>
          </w:tcPr>
          <w:p w14:paraId="4CB965E0" w14:textId="77777777" w:rsidR="004944DF" w:rsidRPr="00107CC5"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107CC5">
              <w:rPr>
                <w:lang w:eastAsia="en-AU"/>
              </w:rPr>
              <w:t>(b)</w:t>
            </w:r>
          </w:p>
        </w:tc>
      </w:tr>
      <w:tr w:rsidR="004944DF" w:rsidRPr="00107CC5" w14:paraId="51C502AA" w14:textId="77777777">
        <w:trPr>
          <w:cnfStyle w:val="000000010000" w:firstRow="0" w:lastRow="0" w:firstColumn="0" w:lastColumn="0" w:oddVBand="0" w:evenVBand="0" w:oddHBand="0" w:evenHBand="1" w:firstRowFirstColumn="0" w:firstRowLastColumn="0" w:lastRowFirstColumn="0" w:lastRowLastColumn="0"/>
          <w:trHeight w:val="315"/>
        </w:trPr>
        <w:tc>
          <w:tcPr>
            <w:tcW w:w="2662" w:type="pct"/>
            <w:tcBorders>
              <w:top w:val="single" w:sz="4" w:space="0" w:color="000000" w:themeColor="text1"/>
              <w:bottom w:val="single" w:sz="4" w:space="0" w:color="000000" w:themeColor="text1"/>
            </w:tcBorders>
            <w:hideMark/>
          </w:tcPr>
          <w:p w14:paraId="568DC04F" w14:textId="77777777" w:rsidR="004944DF" w:rsidRPr="00107CC5" w:rsidRDefault="004944DF">
            <w:pPr>
              <w:pStyle w:val="ARtabletextbold"/>
              <w:rPr>
                <w:lang w:eastAsia="en-AU"/>
              </w:rPr>
            </w:pPr>
            <w:r w:rsidRPr="00107CC5">
              <w:rPr>
                <w:lang w:eastAsia="en-AU"/>
              </w:rPr>
              <w:t>Total financial assets</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bottom w:val="single" w:sz="4" w:space="0" w:color="000000" w:themeColor="text1"/>
            </w:tcBorders>
            <w:hideMark/>
          </w:tcPr>
          <w:p w14:paraId="17176B25" w14:textId="77777777" w:rsidR="004944DF" w:rsidRPr="00107CC5" w:rsidRDefault="004944DF">
            <w:pPr>
              <w:pStyle w:val="ARtabletextrightbold"/>
              <w:rPr>
                <w:lang w:eastAsia="en-AU"/>
              </w:rPr>
            </w:pPr>
            <w:r w:rsidRPr="00107CC5">
              <w:rPr>
                <w:lang w:eastAsia="en-AU"/>
              </w:rPr>
              <w:t>1,002</w:t>
            </w:r>
          </w:p>
        </w:tc>
        <w:tc>
          <w:tcPr>
            <w:tcW w:w="647" w:type="pct"/>
            <w:tcBorders>
              <w:top w:val="single" w:sz="4" w:space="0" w:color="000000" w:themeColor="text1"/>
              <w:bottom w:val="single" w:sz="4" w:space="0" w:color="000000" w:themeColor="text1"/>
            </w:tcBorders>
            <w:hideMark/>
          </w:tcPr>
          <w:p w14:paraId="7876391D" w14:textId="77777777" w:rsidR="004944DF" w:rsidRPr="00107CC5" w:rsidRDefault="004944DF">
            <w:pPr>
              <w:pStyle w:val="ARtabletextrightbold"/>
              <w:cnfStyle w:val="000000010000" w:firstRow="0" w:lastRow="0" w:firstColumn="0" w:lastColumn="0" w:oddVBand="0" w:evenVBand="0" w:oddHBand="0" w:evenHBand="1" w:firstRowFirstColumn="0" w:firstRowLastColumn="0" w:lastRowFirstColumn="0" w:lastRowLastColumn="0"/>
              <w:rPr>
                <w:lang w:eastAsia="en-AU"/>
              </w:rPr>
            </w:pPr>
            <w:r w:rsidRPr="00107CC5">
              <w:rPr>
                <w:lang w:eastAsia="en-AU"/>
              </w:rPr>
              <w:t>940</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bottom w:val="single" w:sz="4" w:space="0" w:color="000000" w:themeColor="text1"/>
            </w:tcBorders>
            <w:hideMark/>
          </w:tcPr>
          <w:p w14:paraId="6A7A0318" w14:textId="77777777" w:rsidR="004944DF" w:rsidRPr="00107CC5" w:rsidRDefault="004944DF">
            <w:pPr>
              <w:pStyle w:val="ARtabletextrightbold"/>
              <w:rPr>
                <w:lang w:eastAsia="en-AU"/>
              </w:rPr>
            </w:pPr>
            <w:r w:rsidRPr="00107CC5">
              <w:rPr>
                <w:lang w:eastAsia="en-AU"/>
              </w:rPr>
              <w:t>6.6</w:t>
            </w:r>
          </w:p>
        </w:tc>
        <w:tc>
          <w:tcPr>
            <w:tcW w:w="397" w:type="pct"/>
            <w:tcBorders>
              <w:top w:val="single" w:sz="4" w:space="0" w:color="000000" w:themeColor="text1"/>
              <w:bottom w:val="single" w:sz="4" w:space="0" w:color="000000" w:themeColor="text1"/>
            </w:tcBorders>
            <w:hideMark/>
          </w:tcPr>
          <w:p w14:paraId="65D5AFC5" w14:textId="77777777" w:rsidR="004944DF" w:rsidRPr="00107CC5" w:rsidRDefault="004944DF">
            <w:pPr>
              <w:pStyle w:val="ARtabletextrightbold"/>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107CC5" w14:paraId="51A215FE" w14:textId="77777777">
        <w:trPr>
          <w:cnfStyle w:val="000000100000" w:firstRow="0" w:lastRow="0" w:firstColumn="0" w:lastColumn="0" w:oddVBand="0" w:evenVBand="0" w:oddHBand="1" w:evenHBand="0" w:firstRowFirstColumn="0" w:firstRowLastColumn="0" w:lastRowFirstColumn="0" w:lastRowLastColumn="0"/>
          <w:trHeight w:val="300"/>
        </w:trPr>
        <w:tc>
          <w:tcPr>
            <w:tcW w:w="2662" w:type="pct"/>
            <w:tcBorders>
              <w:top w:val="single" w:sz="4" w:space="0" w:color="000000" w:themeColor="text1"/>
            </w:tcBorders>
            <w:hideMark/>
          </w:tcPr>
          <w:p w14:paraId="0E041565" w14:textId="77777777" w:rsidR="004944DF" w:rsidRPr="00107CC5" w:rsidRDefault="004944DF">
            <w:pPr>
              <w:pStyle w:val="ARTabletextboldcoloured"/>
              <w:rPr>
                <w:lang w:eastAsia="en-AU"/>
              </w:rPr>
            </w:pPr>
            <w:r w:rsidRPr="00107CC5">
              <w:rPr>
                <w:lang w:eastAsia="en-AU"/>
              </w:rPr>
              <w:t>Non-financial assets</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tcBorders>
            <w:shd w:val="clear" w:color="auto" w:fill="auto"/>
            <w:hideMark/>
          </w:tcPr>
          <w:p w14:paraId="4DB56ACE" w14:textId="77777777" w:rsidR="004944DF" w:rsidRPr="00E95978" w:rsidRDefault="004944DF">
            <w:pPr>
              <w:pStyle w:val="ARtabletextright"/>
              <w:rPr>
                <w:b/>
                <w:bCs/>
                <w:lang w:eastAsia="en-AU"/>
              </w:rPr>
            </w:pPr>
          </w:p>
        </w:tc>
        <w:tc>
          <w:tcPr>
            <w:tcW w:w="647" w:type="pct"/>
            <w:tcBorders>
              <w:top w:val="single" w:sz="4" w:space="0" w:color="000000" w:themeColor="text1"/>
            </w:tcBorders>
            <w:hideMark/>
          </w:tcPr>
          <w:p w14:paraId="43CF33A2" w14:textId="77777777" w:rsidR="004944DF" w:rsidRPr="00E95978" w:rsidRDefault="004944DF">
            <w:pPr>
              <w:pStyle w:val="ARtabletextright"/>
              <w:cnfStyle w:val="000000100000" w:firstRow="0" w:lastRow="0" w:firstColumn="0" w:lastColumn="0" w:oddVBand="0" w:evenVBand="0" w:oddHBand="1" w:evenHBand="0" w:firstRowFirstColumn="0" w:firstRowLastColumn="0" w:lastRowFirstColumn="0" w:lastRowLastColumn="0"/>
              <w:rPr>
                <w:b/>
                <w:bCs/>
                <w:lang w:eastAsia="en-AU"/>
              </w:rPr>
            </w:pP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tcBorders>
            <w:shd w:val="clear" w:color="auto" w:fill="auto"/>
            <w:hideMark/>
          </w:tcPr>
          <w:p w14:paraId="7EFC9CAC" w14:textId="77777777" w:rsidR="004944DF" w:rsidRPr="00E95978" w:rsidRDefault="004944DF">
            <w:pPr>
              <w:pStyle w:val="ARtabletextright"/>
              <w:rPr>
                <w:b/>
                <w:bCs/>
                <w:lang w:eastAsia="en-AU"/>
              </w:rPr>
            </w:pPr>
          </w:p>
        </w:tc>
        <w:tc>
          <w:tcPr>
            <w:tcW w:w="397" w:type="pct"/>
            <w:tcBorders>
              <w:top w:val="single" w:sz="4" w:space="0" w:color="000000" w:themeColor="text1"/>
            </w:tcBorders>
            <w:hideMark/>
          </w:tcPr>
          <w:p w14:paraId="3C1375FC" w14:textId="77777777" w:rsidR="004944DF" w:rsidRPr="00107CC5"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107CC5" w14:paraId="31B35E9E" w14:textId="77777777">
        <w:trPr>
          <w:cnfStyle w:val="000000010000" w:firstRow="0" w:lastRow="0" w:firstColumn="0" w:lastColumn="0" w:oddVBand="0" w:evenVBand="0" w:oddHBand="0" w:evenHBand="1" w:firstRowFirstColumn="0" w:firstRowLastColumn="0" w:lastRowFirstColumn="0" w:lastRowLastColumn="0"/>
          <w:trHeight w:val="553"/>
        </w:trPr>
        <w:tc>
          <w:tcPr>
            <w:tcW w:w="2662" w:type="pct"/>
            <w:hideMark/>
          </w:tcPr>
          <w:p w14:paraId="52329C1F" w14:textId="7FB2375F" w:rsidR="004944DF" w:rsidRPr="00107CC5" w:rsidRDefault="004944DF">
            <w:pPr>
              <w:pStyle w:val="ARTabletext"/>
              <w:rPr>
                <w:lang w:eastAsia="en-AU"/>
              </w:rPr>
            </w:pPr>
            <w:r w:rsidRPr="00107CC5">
              <w:rPr>
                <w:lang w:eastAsia="en-AU"/>
              </w:rPr>
              <w:t xml:space="preserve">Non-financial assets classified as held for sale including </w:t>
            </w:r>
            <w:r w:rsidR="00CA682E">
              <w:rPr>
                <w:lang w:eastAsia="en-AU"/>
              </w:rPr>
              <w:br/>
            </w:r>
            <w:r w:rsidRPr="00107CC5">
              <w:rPr>
                <w:lang w:eastAsia="en-AU"/>
              </w:rPr>
              <w:t>disposal group assets</w:t>
            </w:r>
          </w:p>
        </w:tc>
        <w:tc>
          <w:tcPr>
            <w:cnfStyle w:val="000001000000" w:firstRow="0" w:lastRow="0" w:firstColumn="0" w:lastColumn="0" w:oddVBand="0" w:evenVBand="1" w:oddHBand="0" w:evenHBand="0" w:firstRowFirstColumn="0" w:firstRowLastColumn="0" w:lastRowFirstColumn="0" w:lastRowLastColumn="0"/>
            <w:tcW w:w="647" w:type="pct"/>
            <w:hideMark/>
          </w:tcPr>
          <w:p w14:paraId="7A9C2BD9" w14:textId="77777777" w:rsidR="004944DF" w:rsidRPr="00107CC5" w:rsidRDefault="004944DF">
            <w:pPr>
              <w:pStyle w:val="ARtabletextright"/>
              <w:rPr>
                <w:lang w:eastAsia="en-AU"/>
              </w:rPr>
            </w:pPr>
            <w:r w:rsidRPr="00107CC5">
              <w:rPr>
                <w:lang w:eastAsia="en-AU"/>
              </w:rPr>
              <w:t>2</w:t>
            </w:r>
          </w:p>
        </w:tc>
        <w:tc>
          <w:tcPr>
            <w:tcW w:w="647" w:type="pct"/>
            <w:hideMark/>
          </w:tcPr>
          <w:p w14:paraId="544B14D3" w14:textId="77777777" w:rsidR="004944DF" w:rsidRPr="00107CC5"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r w:rsidRPr="00107CC5">
              <w:rPr>
                <w:lang w:eastAsia="en-AU"/>
              </w:rPr>
              <w:t>0</w:t>
            </w:r>
          </w:p>
        </w:tc>
        <w:tc>
          <w:tcPr>
            <w:cnfStyle w:val="000001000000" w:firstRow="0" w:lastRow="0" w:firstColumn="0" w:lastColumn="0" w:oddVBand="0" w:evenVBand="1" w:oddHBand="0" w:evenHBand="0" w:firstRowFirstColumn="0" w:firstRowLastColumn="0" w:lastRowFirstColumn="0" w:lastRowLastColumn="0"/>
            <w:tcW w:w="647" w:type="pct"/>
            <w:hideMark/>
          </w:tcPr>
          <w:p w14:paraId="5F6AB931" w14:textId="77777777" w:rsidR="004944DF" w:rsidRPr="00107CC5" w:rsidRDefault="004944DF">
            <w:pPr>
              <w:pStyle w:val="ARtabletextright"/>
              <w:rPr>
                <w:lang w:eastAsia="en-AU"/>
              </w:rPr>
            </w:pPr>
            <w:r w:rsidRPr="00107CC5">
              <w:rPr>
                <w:lang w:eastAsia="en-AU"/>
              </w:rPr>
              <w:t>363.3</w:t>
            </w:r>
          </w:p>
        </w:tc>
        <w:tc>
          <w:tcPr>
            <w:tcW w:w="397" w:type="pct"/>
            <w:hideMark/>
          </w:tcPr>
          <w:p w14:paraId="1C4F8523" w14:textId="77777777" w:rsidR="004944DF" w:rsidRPr="00107CC5"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107CC5" w14:paraId="7598F457" w14:textId="77777777">
        <w:trPr>
          <w:cnfStyle w:val="000000100000" w:firstRow="0" w:lastRow="0" w:firstColumn="0" w:lastColumn="0" w:oddVBand="0" w:evenVBand="0" w:oddHBand="1" w:evenHBand="0" w:firstRowFirstColumn="0" w:firstRowLastColumn="0" w:lastRowFirstColumn="0" w:lastRowLastColumn="0"/>
          <w:trHeight w:val="300"/>
        </w:trPr>
        <w:tc>
          <w:tcPr>
            <w:tcW w:w="2662" w:type="pct"/>
            <w:hideMark/>
          </w:tcPr>
          <w:p w14:paraId="49419124" w14:textId="77777777" w:rsidR="004944DF" w:rsidRPr="00107CC5" w:rsidRDefault="004944DF">
            <w:pPr>
              <w:pStyle w:val="ARTabletext"/>
              <w:rPr>
                <w:lang w:eastAsia="en-AU"/>
              </w:rPr>
            </w:pPr>
            <w:r w:rsidRPr="00107CC5">
              <w:rPr>
                <w:lang w:eastAsia="en-AU"/>
              </w:rPr>
              <w:t>Property, plant and equipment</w:t>
            </w:r>
          </w:p>
        </w:tc>
        <w:tc>
          <w:tcPr>
            <w:cnfStyle w:val="000001000000" w:firstRow="0" w:lastRow="0" w:firstColumn="0" w:lastColumn="0" w:oddVBand="0" w:evenVBand="1" w:oddHBand="0" w:evenHBand="0" w:firstRowFirstColumn="0" w:firstRowLastColumn="0" w:lastRowFirstColumn="0" w:lastRowLastColumn="0"/>
            <w:tcW w:w="647" w:type="pct"/>
            <w:hideMark/>
          </w:tcPr>
          <w:p w14:paraId="7369DF54" w14:textId="77777777" w:rsidR="004944DF" w:rsidRPr="00107CC5" w:rsidRDefault="004944DF">
            <w:pPr>
              <w:pStyle w:val="ARtabletextright"/>
              <w:rPr>
                <w:lang w:eastAsia="en-AU"/>
              </w:rPr>
            </w:pPr>
            <w:r w:rsidRPr="00107CC5">
              <w:rPr>
                <w:lang w:eastAsia="en-AU"/>
              </w:rPr>
              <w:t>1,638</w:t>
            </w:r>
          </w:p>
        </w:tc>
        <w:tc>
          <w:tcPr>
            <w:tcW w:w="647" w:type="pct"/>
            <w:hideMark/>
          </w:tcPr>
          <w:p w14:paraId="3FA97DC5" w14:textId="77777777" w:rsidR="004944DF" w:rsidRPr="00107CC5"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107CC5">
              <w:rPr>
                <w:lang w:eastAsia="en-AU"/>
              </w:rPr>
              <w:t>1,639</w:t>
            </w:r>
          </w:p>
        </w:tc>
        <w:tc>
          <w:tcPr>
            <w:cnfStyle w:val="000001000000" w:firstRow="0" w:lastRow="0" w:firstColumn="0" w:lastColumn="0" w:oddVBand="0" w:evenVBand="1" w:oddHBand="0" w:evenHBand="0" w:firstRowFirstColumn="0" w:firstRowLastColumn="0" w:lastRowFirstColumn="0" w:lastRowLastColumn="0"/>
            <w:tcW w:w="647" w:type="pct"/>
            <w:hideMark/>
          </w:tcPr>
          <w:p w14:paraId="644AC9E7" w14:textId="77777777" w:rsidR="004944DF" w:rsidRPr="00107CC5" w:rsidRDefault="004944DF">
            <w:pPr>
              <w:pStyle w:val="ARtabletextright"/>
              <w:rPr>
                <w:lang w:eastAsia="en-AU"/>
              </w:rPr>
            </w:pPr>
            <w:r w:rsidRPr="00107CC5">
              <w:rPr>
                <w:lang w:eastAsia="en-AU"/>
              </w:rPr>
              <w:t>(0.0)</w:t>
            </w:r>
          </w:p>
        </w:tc>
        <w:tc>
          <w:tcPr>
            <w:tcW w:w="397" w:type="pct"/>
            <w:hideMark/>
          </w:tcPr>
          <w:p w14:paraId="24308CDE" w14:textId="77777777" w:rsidR="004944DF" w:rsidRPr="00107CC5"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107CC5" w14:paraId="459481C9" w14:textId="77777777">
        <w:trPr>
          <w:cnfStyle w:val="000000010000" w:firstRow="0" w:lastRow="0" w:firstColumn="0" w:lastColumn="0" w:oddVBand="0" w:evenVBand="0" w:oddHBand="0" w:evenHBand="1" w:firstRowFirstColumn="0" w:firstRowLastColumn="0" w:lastRowFirstColumn="0" w:lastRowLastColumn="0"/>
          <w:trHeight w:val="300"/>
        </w:trPr>
        <w:tc>
          <w:tcPr>
            <w:tcW w:w="2662" w:type="pct"/>
            <w:tcBorders>
              <w:bottom w:val="single" w:sz="4" w:space="0" w:color="BFBFBF" w:themeColor="accent2"/>
            </w:tcBorders>
            <w:hideMark/>
          </w:tcPr>
          <w:p w14:paraId="07E2A9B1" w14:textId="77777777" w:rsidR="004944DF" w:rsidRPr="00107CC5" w:rsidRDefault="004944DF">
            <w:pPr>
              <w:pStyle w:val="ARTabletext"/>
              <w:rPr>
                <w:lang w:eastAsia="en-AU"/>
              </w:rPr>
            </w:pPr>
            <w:r w:rsidRPr="00107CC5">
              <w:rPr>
                <w:lang w:eastAsia="en-AU"/>
              </w:rPr>
              <w:t>Intangible assets</w:t>
            </w:r>
          </w:p>
        </w:tc>
        <w:tc>
          <w:tcPr>
            <w:cnfStyle w:val="000001000000" w:firstRow="0" w:lastRow="0" w:firstColumn="0" w:lastColumn="0" w:oddVBand="0" w:evenVBand="1" w:oddHBand="0" w:evenHBand="0" w:firstRowFirstColumn="0" w:firstRowLastColumn="0" w:lastRowFirstColumn="0" w:lastRowLastColumn="0"/>
            <w:tcW w:w="647" w:type="pct"/>
            <w:tcBorders>
              <w:bottom w:val="single" w:sz="4" w:space="0" w:color="BFBFBF" w:themeColor="accent2"/>
            </w:tcBorders>
            <w:hideMark/>
          </w:tcPr>
          <w:p w14:paraId="1D9496FD" w14:textId="77777777" w:rsidR="004944DF" w:rsidRPr="00107CC5" w:rsidRDefault="004944DF">
            <w:pPr>
              <w:pStyle w:val="ARtabletextright"/>
              <w:rPr>
                <w:lang w:eastAsia="en-AU"/>
              </w:rPr>
            </w:pPr>
            <w:r w:rsidRPr="00107CC5">
              <w:rPr>
                <w:lang w:eastAsia="en-AU"/>
              </w:rPr>
              <w:t>34</w:t>
            </w:r>
          </w:p>
        </w:tc>
        <w:tc>
          <w:tcPr>
            <w:tcW w:w="647" w:type="pct"/>
            <w:tcBorders>
              <w:bottom w:val="single" w:sz="4" w:space="0" w:color="BFBFBF" w:themeColor="accent2"/>
            </w:tcBorders>
            <w:hideMark/>
          </w:tcPr>
          <w:p w14:paraId="6871176A" w14:textId="77777777" w:rsidR="004944DF" w:rsidRPr="00107CC5"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r w:rsidRPr="00107CC5">
              <w:rPr>
                <w:lang w:eastAsia="en-AU"/>
              </w:rPr>
              <w:t>24</w:t>
            </w:r>
          </w:p>
        </w:tc>
        <w:tc>
          <w:tcPr>
            <w:cnfStyle w:val="000001000000" w:firstRow="0" w:lastRow="0" w:firstColumn="0" w:lastColumn="0" w:oddVBand="0" w:evenVBand="1" w:oddHBand="0" w:evenHBand="0" w:firstRowFirstColumn="0" w:firstRowLastColumn="0" w:lastRowFirstColumn="0" w:lastRowLastColumn="0"/>
            <w:tcW w:w="647" w:type="pct"/>
            <w:tcBorders>
              <w:bottom w:val="single" w:sz="4" w:space="0" w:color="BFBFBF" w:themeColor="accent2"/>
            </w:tcBorders>
            <w:hideMark/>
          </w:tcPr>
          <w:p w14:paraId="559C1D7D" w14:textId="77777777" w:rsidR="004944DF" w:rsidRPr="00107CC5" w:rsidRDefault="004944DF">
            <w:pPr>
              <w:pStyle w:val="ARtabletextright"/>
              <w:rPr>
                <w:lang w:eastAsia="en-AU"/>
              </w:rPr>
            </w:pPr>
            <w:r w:rsidRPr="00107CC5">
              <w:rPr>
                <w:lang w:eastAsia="en-AU"/>
              </w:rPr>
              <w:t>40.9</w:t>
            </w:r>
          </w:p>
        </w:tc>
        <w:tc>
          <w:tcPr>
            <w:tcW w:w="397" w:type="pct"/>
            <w:tcBorders>
              <w:bottom w:val="single" w:sz="4" w:space="0" w:color="BFBFBF" w:themeColor="accent2"/>
            </w:tcBorders>
            <w:hideMark/>
          </w:tcPr>
          <w:p w14:paraId="61243866" w14:textId="77777777" w:rsidR="004944DF" w:rsidRPr="00107CC5"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107CC5" w14:paraId="2EE77706" w14:textId="77777777">
        <w:trPr>
          <w:cnfStyle w:val="000000100000" w:firstRow="0" w:lastRow="0" w:firstColumn="0" w:lastColumn="0" w:oddVBand="0" w:evenVBand="0" w:oddHBand="1" w:evenHBand="0" w:firstRowFirstColumn="0" w:firstRowLastColumn="0" w:lastRowFirstColumn="0" w:lastRowLastColumn="0"/>
          <w:trHeight w:val="300"/>
        </w:trPr>
        <w:tc>
          <w:tcPr>
            <w:tcW w:w="2662" w:type="pct"/>
            <w:tcBorders>
              <w:top w:val="single" w:sz="4" w:space="0" w:color="BFBFBF" w:themeColor="accent2"/>
              <w:bottom w:val="single" w:sz="4" w:space="0" w:color="000000" w:themeColor="text1"/>
            </w:tcBorders>
            <w:hideMark/>
          </w:tcPr>
          <w:p w14:paraId="6D43E8F6" w14:textId="77777777" w:rsidR="004944DF" w:rsidRPr="00107CC5" w:rsidRDefault="004944DF">
            <w:pPr>
              <w:pStyle w:val="ARTabletext"/>
              <w:rPr>
                <w:lang w:eastAsia="en-AU"/>
              </w:rPr>
            </w:pPr>
            <w:r w:rsidRPr="00107CC5">
              <w:rPr>
                <w:lang w:eastAsia="en-AU"/>
              </w:rPr>
              <w:t>Other</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BFBFBF" w:themeColor="accent2"/>
              <w:bottom w:val="single" w:sz="4" w:space="0" w:color="000000" w:themeColor="text1"/>
            </w:tcBorders>
            <w:hideMark/>
          </w:tcPr>
          <w:p w14:paraId="614D299D" w14:textId="77777777" w:rsidR="004944DF" w:rsidRPr="00107CC5" w:rsidRDefault="004944DF">
            <w:pPr>
              <w:pStyle w:val="ARtabletextright"/>
              <w:rPr>
                <w:lang w:eastAsia="en-AU"/>
              </w:rPr>
            </w:pPr>
            <w:r w:rsidRPr="00107CC5">
              <w:rPr>
                <w:lang w:eastAsia="en-AU"/>
              </w:rPr>
              <w:t>13</w:t>
            </w:r>
          </w:p>
        </w:tc>
        <w:tc>
          <w:tcPr>
            <w:tcW w:w="647" w:type="pct"/>
            <w:tcBorders>
              <w:top w:val="single" w:sz="4" w:space="0" w:color="BFBFBF" w:themeColor="accent2"/>
              <w:bottom w:val="single" w:sz="4" w:space="0" w:color="000000" w:themeColor="text1"/>
            </w:tcBorders>
            <w:hideMark/>
          </w:tcPr>
          <w:p w14:paraId="68425CCD" w14:textId="77777777" w:rsidR="004944DF" w:rsidRPr="00107CC5"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107CC5">
              <w:rPr>
                <w:lang w:eastAsia="en-AU"/>
              </w:rPr>
              <w:t>11</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BFBFBF" w:themeColor="accent2"/>
              <w:bottom w:val="single" w:sz="4" w:space="0" w:color="000000" w:themeColor="text1"/>
            </w:tcBorders>
            <w:hideMark/>
          </w:tcPr>
          <w:p w14:paraId="54EF0C79" w14:textId="77777777" w:rsidR="004944DF" w:rsidRPr="00107CC5" w:rsidRDefault="004944DF">
            <w:pPr>
              <w:pStyle w:val="ARtabletextright"/>
              <w:rPr>
                <w:lang w:eastAsia="en-AU"/>
              </w:rPr>
            </w:pPr>
            <w:r w:rsidRPr="00107CC5">
              <w:rPr>
                <w:lang w:eastAsia="en-AU"/>
              </w:rPr>
              <w:t>17.7</w:t>
            </w:r>
          </w:p>
        </w:tc>
        <w:tc>
          <w:tcPr>
            <w:tcW w:w="397" w:type="pct"/>
            <w:tcBorders>
              <w:top w:val="single" w:sz="4" w:space="0" w:color="BFBFBF" w:themeColor="accent2"/>
              <w:bottom w:val="single" w:sz="4" w:space="0" w:color="000000" w:themeColor="text1"/>
            </w:tcBorders>
            <w:hideMark/>
          </w:tcPr>
          <w:p w14:paraId="71BE5C4A" w14:textId="77777777" w:rsidR="004944DF" w:rsidRPr="00107CC5"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107CC5" w14:paraId="6AC35F43" w14:textId="77777777">
        <w:trPr>
          <w:cnfStyle w:val="000000010000" w:firstRow="0" w:lastRow="0" w:firstColumn="0" w:lastColumn="0" w:oddVBand="0" w:evenVBand="0" w:oddHBand="0" w:evenHBand="1" w:firstRowFirstColumn="0" w:firstRowLastColumn="0" w:lastRowFirstColumn="0" w:lastRowLastColumn="0"/>
          <w:trHeight w:val="300"/>
        </w:trPr>
        <w:tc>
          <w:tcPr>
            <w:tcW w:w="2662" w:type="pct"/>
            <w:tcBorders>
              <w:top w:val="single" w:sz="4" w:space="0" w:color="000000" w:themeColor="text1"/>
              <w:bottom w:val="single" w:sz="4" w:space="0" w:color="000000" w:themeColor="text1"/>
            </w:tcBorders>
            <w:hideMark/>
          </w:tcPr>
          <w:p w14:paraId="00CDE9A4" w14:textId="77777777" w:rsidR="004944DF" w:rsidRPr="00107CC5" w:rsidRDefault="004944DF">
            <w:pPr>
              <w:pStyle w:val="ARtabletextbold"/>
              <w:rPr>
                <w:lang w:eastAsia="en-AU"/>
              </w:rPr>
            </w:pPr>
            <w:r w:rsidRPr="00107CC5">
              <w:rPr>
                <w:lang w:eastAsia="en-AU"/>
              </w:rPr>
              <w:t>Total non-financial assets</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bottom w:val="single" w:sz="4" w:space="0" w:color="000000" w:themeColor="text1"/>
            </w:tcBorders>
            <w:hideMark/>
          </w:tcPr>
          <w:p w14:paraId="7688DE7D" w14:textId="77777777" w:rsidR="004944DF" w:rsidRPr="00107CC5" w:rsidRDefault="004944DF">
            <w:pPr>
              <w:pStyle w:val="ARtabletextrightbold"/>
              <w:rPr>
                <w:lang w:eastAsia="en-AU"/>
              </w:rPr>
            </w:pPr>
            <w:r w:rsidRPr="00107CC5">
              <w:rPr>
                <w:lang w:eastAsia="en-AU"/>
              </w:rPr>
              <w:t>1,686</w:t>
            </w:r>
          </w:p>
        </w:tc>
        <w:tc>
          <w:tcPr>
            <w:tcW w:w="647" w:type="pct"/>
            <w:tcBorders>
              <w:top w:val="single" w:sz="4" w:space="0" w:color="000000" w:themeColor="text1"/>
              <w:bottom w:val="single" w:sz="4" w:space="0" w:color="000000" w:themeColor="text1"/>
            </w:tcBorders>
            <w:hideMark/>
          </w:tcPr>
          <w:p w14:paraId="7BCC5E2A" w14:textId="77777777" w:rsidR="004944DF" w:rsidRPr="00107CC5" w:rsidRDefault="004944DF">
            <w:pPr>
              <w:pStyle w:val="ARtabletextrightbold"/>
              <w:cnfStyle w:val="000000010000" w:firstRow="0" w:lastRow="0" w:firstColumn="0" w:lastColumn="0" w:oddVBand="0" w:evenVBand="0" w:oddHBand="0" w:evenHBand="1" w:firstRowFirstColumn="0" w:firstRowLastColumn="0" w:lastRowFirstColumn="0" w:lastRowLastColumn="0"/>
              <w:rPr>
                <w:lang w:eastAsia="en-AU"/>
              </w:rPr>
            </w:pPr>
            <w:r w:rsidRPr="00107CC5">
              <w:rPr>
                <w:lang w:eastAsia="en-AU"/>
              </w:rPr>
              <w:t>1,674</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bottom w:val="single" w:sz="4" w:space="0" w:color="000000" w:themeColor="text1"/>
            </w:tcBorders>
            <w:hideMark/>
          </w:tcPr>
          <w:p w14:paraId="6A456745" w14:textId="77777777" w:rsidR="004944DF" w:rsidRPr="00107CC5" w:rsidRDefault="004944DF">
            <w:pPr>
              <w:pStyle w:val="ARtabletextrightbold"/>
              <w:rPr>
                <w:lang w:eastAsia="en-AU"/>
              </w:rPr>
            </w:pPr>
            <w:r w:rsidRPr="00107CC5">
              <w:rPr>
                <w:lang w:eastAsia="en-AU"/>
              </w:rPr>
              <w:t>0.8</w:t>
            </w:r>
          </w:p>
        </w:tc>
        <w:tc>
          <w:tcPr>
            <w:tcW w:w="397" w:type="pct"/>
            <w:tcBorders>
              <w:top w:val="single" w:sz="4" w:space="0" w:color="000000" w:themeColor="text1"/>
              <w:bottom w:val="single" w:sz="4" w:space="0" w:color="000000" w:themeColor="text1"/>
            </w:tcBorders>
            <w:hideMark/>
          </w:tcPr>
          <w:p w14:paraId="03979F35" w14:textId="77777777" w:rsidR="004944DF" w:rsidRPr="00107CC5" w:rsidRDefault="004944DF">
            <w:pPr>
              <w:pStyle w:val="ARtabletextrightbold"/>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107CC5" w14:paraId="712E480D" w14:textId="77777777">
        <w:trPr>
          <w:cnfStyle w:val="000000100000" w:firstRow="0" w:lastRow="0" w:firstColumn="0" w:lastColumn="0" w:oddVBand="0" w:evenVBand="0" w:oddHBand="1" w:evenHBand="0" w:firstRowFirstColumn="0" w:firstRowLastColumn="0" w:lastRowFirstColumn="0" w:lastRowLastColumn="0"/>
          <w:trHeight w:val="300"/>
        </w:trPr>
        <w:tc>
          <w:tcPr>
            <w:tcW w:w="2662" w:type="pct"/>
            <w:tcBorders>
              <w:top w:val="single" w:sz="4" w:space="0" w:color="000000" w:themeColor="text1"/>
              <w:bottom w:val="single" w:sz="4" w:space="0" w:color="000000" w:themeColor="text1"/>
            </w:tcBorders>
            <w:hideMark/>
          </w:tcPr>
          <w:p w14:paraId="642A7138" w14:textId="77777777" w:rsidR="004944DF" w:rsidRPr="00107CC5" w:rsidRDefault="004944DF">
            <w:pPr>
              <w:pStyle w:val="ARtabletextbold"/>
              <w:rPr>
                <w:lang w:eastAsia="en-AU"/>
              </w:rPr>
            </w:pPr>
            <w:r w:rsidRPr="00107CC5">
              <w:rPr>
                <w:lang w:eastAsia="en-AU"/>
              </w:rPr>
              <w:t>Total assets</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bottom w:val="single" w:sz="4" w:space="0" w:color="000000" w:themeColor="text1"/>
            </w:tcBorders>
            <w:hideMark/>
          </w:tcPr>
          <w:p w14:paraId="4B46500E" w14:textId="77777777" w:rsidR="004944DF" w:rsidRPr="00107CC5" w:rsidRDefault="004944DF">
            <w:pPr>
              <w:pStyle w:val="ARtabletextrightbold"/>
              <w:rPr>
                <w:lang w:eastAsia="en-AU"/>
              </w:rPr>
            </w:pPr>
            <w:r w:rsidRPr="00107CC5">
              <w:rPr>
                <w:lang w:eastAsia="en-AU"/>
              </w:rPr>
              <w:t>2,688</w:t>
            </w:r>
          </w:p>
        </w:tc>
        <w:tc>
          <w:tcPr>
            <w:tcW w:w="647" w:type="pct"/>
            <w:tcBorders>
              <w:top w:val="single" w:sz="4" w:space="0" w:color="000000" w:themeColor="text1"/>
              <w:bottom w:val="single" w:sz="4" w:space="0" w:color="000000" w:themeColor="text1"/>
            </w:tcBorders>
            <w:hideMark/>
          </w:tcPr>
          <w:p w14:paraId="6379F357" w14:textId="77777777" w:rsidR="004944DF" w:rsidRPr="00107CC5" w:rsidRDefault="004944DF">
            <w:pPr>
              <w:pStyle w:val="ARtabletextrightbold"/>
              <w:cnfStyle w:val="000000100000" w:firstRow="0" w:lastRow="0" w:firstColumn="0" w:lastColumn="0" w:oddVBand="0" w:evenVBand="0" w:oddHBand="1" w:evenHBand="0" w:firstRowFirstColumn="0" w:firstRowLastColumn="0" w:lastRowFirstColumn="0" w:lastRowLastColumn="0"/>
              <w:rPr>
                <w:lang w:eastAsia="en-AU"/>
              </w:rPr>
            </w:pPr>
            <w:r w:rsidRPr="00107CC5">
              <w:rPr>
                <w:lang w:eastAsia="en-AU"/>
              </w:rPr>
              <w:t>2,613</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bottom w:val="single" w:sz="4" w:space="0" w:color="000000" w:themeColor="text1"/>
            </w:tcBorders>
            <w:hideMark/>
          </w:tcPr>
          <w:p w14:paraId="58792AAB" w14:textId="77777777" w:rsidR="004944DF" w:rsidRPr="00107CC5" w:rsidRDefault="004944DF">
            <w:pPr>
              <w:pStyle w:val="ARtabletextrightbold"/>
              <w:rPr>
                <w:lang w:eastAsia="en-AU"/>
              </w:rPr>
            </w:pPr>
            <w:r w:rsidRPr="00107CC5">
              <w:rPr>
                <w:lang w:eastAsia="en-AU"/>
              </w:rPr>
              <w:t>2.9</w:t>
            </w:r>
          </w:p>
        </w:tc>
        <w:tc>
          <w:tcPr>
            <w:tcW w:w="397" w:type="pct"/>
            <w:tcBorders>
              <w:top w:val="single" w:sz="4" w:space="0" w:color="000000" w:themeColor="text1"/>
              <w:bottom w:val="single" w:sz="4" w:space="0" w:color="000000" w:themeColor="text1"/>
            </w:tcBorders>
            <w:hideMark/>
          </w:tcPr>
          <w:p w14:paraId="3B66C8B3" w14:textId="77777777" w:rsidR="004944DF" w:rsidRPr="00107CC5" w:rsidRDefault="004944DF">
            <w:pPr>
              <w:pStyle w:val="ARtabletextrightbold"/>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107CC5" w14:paraId="2D682EE2" w14:textId="77777777">
        <w:trPr>
          <w:cnfStyle w:val="000000010000" w:firstRow="0" w:lastRow="0" w:firstColumn="0" w:lastColumn="0" w:oddVBand="0" w:evenVBand="0" w:oddHBand="0" w:evenHBand="1" w:firstRowFirstColumn="0" w:firstRowLastColumn="0" w:lastRowFirstColumn="0" w:lastRowLastColumn="0"/>
          <w:trHeight w:val="300"/>
        </w:trPr>
        <w:tc>
          <w:tcPr>
            <w:tcW w:w="2662" w:type="pct"/>
            <w:tcBorders>
              <w:top w:val="single" w:sz="4" w:space="0" w:color="000000" w:themeColor="text1"/>
            </w:tcBorders>
            <w:hideMark/>
          </w:tcPr>
          <w:p w14:paraId="178F1070" w14:textId="77777777" w:rsidR="004944DF" w:rsidRPr="00107CC5" w:rsidRDefault="004944DF">
            <w:pPr>
              <w:pStyle w:val="ARTabletextboldcoloured"/>
              <w:rPr>
                <w:lang w:eastAsia="en-AU"/>
              </w:rPr>
            </w:pPr>
            <w:r w:rsidRPr="008145C7">
              <w:t>Liabilities</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tcBorders>
            <w:shd w:val="clear" w:color="auto" w:fill="auto"/>
            <w:hideMark/>
          </w:tcPr>
          <w:p w14:paraId="667659F3" w14:textId="77777777" w:rsidR="004944DF" w:rsidRPr="00E95978" w:rsidRDefault="004944DF">
            <w:pPr>
              <w:pStyle w:val="ARtabletextright"/>
              <w:rPr>
                <w:b/>
                <w:bCs/>
                <w:lang w:eastAsia="en-AU"/>
              </w:rPr>
            </w:pPr>
          </w:p>
        </w:tc>
        <w:tc>
          <w:tcPr>
            <w:tcW w:w="647" w:type="pct"/>
            <w:tcBorders>
              <w:top w:val="single" w:sz="4" w:space="0" w:color="000000" w:themeColor="text1"/>
            </w:tcBorders>
            <w:hideMark/>
          </w:tcPr>
          <w:p w14:paraId="6565A122" w14:textId="77777777" w:rsidR="004944DF" w:rsidRPr="00E95978" w:rsidRDefault="004944DF">
            <w:pPr>
              <w:pStyle w:val="ARtabletextright"/>
              <w:cnfStyle w:val="000000010000" w:firstRow="0" w:lastRow="0" w:firstColumn="0" w:lastColumn="0" w:oddVBand="0" w:evenVBand="0" w:oddHBand="0" w:evenHBand="1" w:firstRowFirstColumn="0" w:firstRowLastColumn="0" w:lastRowFirstColumn="0" w:lastRowLastColumn="0"/>
              <w:rPr>
                <w:b/>
                <w:bCs/>
                <w:lang w:eastAsia="en-AU"/>
              </w:rPr>
            </w:pP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tcBorders>
            <w:shd w:val="clear" w:color="auto" w:fill="auto"/>
            <w:hideMark/>
          </w:tcPr>
          <w:p w14:paraId="06E377BC" w14:textId="77777777" w:rsidR="004944DF" w:rsidRPr="00E95978" w:rsidRDefault="004944DF">
            <w:pPr>
              <w:pStyle w:val="ARtabletextright"/>
              <w:rPr>
                <w:b/>
                <w:bCs/>
                <w:lang w:eastAsia="en-AU"/>
              </w:rPr>
            </w:pPr>
          </w:p>
        </w:tc>
        <w:tc>
          <w:tcPr>
            <w:tcW w:w="397" w:type="pct"/>
            <w:tcBorders>
              <w:top w:val="single" w:sz="4" w:space="0" w:color="000000" w:themeColor="text1"/>
            </w:tcBorders>
            <w:hideMark/>
          </w:tcPr>
          <w:p w14:paraId="5F752DBA" w14:textId="77777777" w:rsidR="004944DF" w:rsidRPr="00107CC5"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107CC5" w14:paraId="194C5F32" w14:textId="77777777">
        <w:trPr>
          <w:cnfStyle w:val="000000100000" w:firstRow="0" w:lastRow="0" w:firstColumn="0" w:lastColumn="0" w:oddVBand="0" w:evenVBand="0" w:oddHBand="1" w:evenHBand="0" w:firstRowFirstColumn="0" w:firstRowLastColumn="0" w:lastRowFirstColumn="0" w:lastRowLastColumn="0"/>
          <w:trHeight w:val="300"/>
        </w:trPr>
        <w:tc>
          <w:tcPr>
            <w:tcW w:w="2662" w:type="pct"/>
            <w:hideMark/>
          </w:tcPr>
          <w:p w14:paraId="10DB66AD" w14:textId="77777777" w:rsidR="004944DF" w:rsidRPr="00107CC5" w:rsidRDefault="004944DF">
            <w:pPr>
              <w:pStyle w:val="ARTabletext"/>
              <w:rPr>
                <w:lang w:eastAsia="en-AU"/>
              </w:rPr>
            </w:pPr>
            <w:r w:rsidRPr="00107CC5">
              <w:rPr>
                <w:lang w:eastAsia="en-AU"/>
              </w:rPr>
              <w:t>Payables</w:t>
            </w:r>
          </w:p>
        </w:tc>
        <w:tc>
          <w:tcPr>
            <w:cnfStyle w:val="000001000000" w:firstRow="0" w:lastRow="0" w:firstColumn="0" w:lastColumn="0" w:oddVBand="0" w:evenVBand="1" w:oddHBand="0" w:evenHBand="0" w:firstRowFirstColumn="0" w:firstRowLastColumn="0" w:lastRowFirstColumn="0" w:lastRowLastColumn="0"/>
            <w:tcW w:w="647" w:type="pct"/>
            <w:hideMark/>
          </w:tcPr>
          <w:p w14:paraId="4BFEB4C4" w14:textId="77777777" w:rsidR="004944DF" w:rsidRPr="00107CC5" w:rsidRDefault="004944DF">
            <w:pPr>
              <w:pStyle w:val="ARtabletextright"/>
              <w:rPr>
                <w:lang w:eastAsia="en-AU"/>
              </w:rPr>
            </w:pPr>
            <w:r w:rsidRPr="00107CC5">
              <w:rPr>
                <w:lang w:eastAsia="en-AU"/>
              </w:rPr>
              <w:t>336</w:t>
            </w:r>
          </w:p>
        </w:tc>
        <w:tc>
          <w:tcPr>
            <w:tcW w:w="647" w:type="pct"/>
            <w:hideMark/>
          </w:tcPr>
          <w:p w14:paraId="0569ACB5" w14:textId="77777777" w:rsidR="004944DF" w:rsidRPr="00107CC5"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107CC5">
              <w:rPr>
                <w:lang w:eastAsia="en-AU"/>
              </w:rPr>
              <w:t>331</w:t>
            </w:r>
          </w:p>
        </w:tc>
        <w:tc>
          <w:tcPr>
            <w:cnfStyle w:val="000001000000" w:firstRow="0" w:lastRow="0" w:firstColumn="0" w:lastColumn="0" w:oddVBand="0" w:evenVBand="1" w:oddHBand="0" w:evenHBand="0" w:firstRowFirstColumn="0" w:firstRowLastColumn="0" w:lastRowFirstColumn="0" w:lastRowLastColumn="0"/>
            <w:tcW w:w="647" w:type="pct"/>
            <w:hideMark/>
          </w:tcPr>
          <w:p w14:paraId="421345A4" w14:textId="77777777" w:rsidR="004944DF" w:rsidRPr="00107CC5" w:rsidRDefault="004944DF">
            <w:pPr>
              <w:pStyle w:val="ARtabletextright"/>
              <w:rPr>
                <w:lang w:eastAsia="en-AU"/>
              </w:rPr>
            </w:pPr>
            <w:r w:rsidRPr="00107CC5">
              <w:rPr>
                <w:lang w:eastAsia="en-AU"/>
              </w:rPr>
              <w:t>1.5</w:t>
            </w:r>
          </w:p>
        </w:tc>
        <w:tc>
          <w:tcPr>
            <w:tcW w:w="397" w:type="pct"/>
            <w:hideMark/>
          </w:tcPr>
          <w:p w14:paraId="78636CA8" w14:textId="77777777" w:rsidR="004944DF" w:rsidRPr="00107CC5"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107CC5" w14:paraId="117FBD64" w14:textId="77777777">
        <w:trPr>
          <w:cnfStyle w:val="000000010000" w:firstRow="0" w:lastRow="0" w:firstColumn="0" w:lastColumn="0" w:oddVBand="0" w:evenVBand="0" w:oddHBand="0" w:evenHBand="1" w:firstRowFirstColumn="0" w:firstRowLastColumn="0" w:lastRowFirstColumn="0" w:lastRowLastColumn="0"/>
          <w:trHeight w:val="300"/>
        </w:trPr>
        <w:tc>
          <w:tcPr>
            <w:tcW w:w="2662" w:type="pct"/>
            <w:tcBorders>
              <w:bottom w:val="single" w:sz="4" w:space="0" w:color="BFBFBF" w:themeColor="accent2"/>
            </w:tcBorders>
            <w:hideMark/>
          </w:tcPr>
          <w:p w14:paraId="21ECC5E0" w14:textId="77777777" w:rsidR="004944DF" w:rsidRPr="00107CC5" w:rsidRDefault="004944DF">
            <w:pPr>
              <w:pStyle w:val="ARTabletext"/>
              <w:rPr>
                <w:lang w:eastAsia="en-AU"/>
              </w:rPr>
            </w:pPr>
            <w:r w:rsidRPr="00107CC5">
              <w:rPr>
                <w:lang w:eastAsia="en-AU"/>
              </w:rPr>
              <w:t>Borrowings</w:t>
            </w:r>
          </w:p>
        </w:tc>
        <w:tc>
          <w:tcPr>
            <w:cnfStyle w:val="000001000000" w:firstRow="0" w:lastRow="0" w:firstColumn="0" w:lastColumn="0" w:oddVBand="0" w:evenVBand="1" w:oddHBand="0" w:evenHBand="0" w:firstRowFirstColumn="0" w:firstRowLastColumn="0" w:lastRowFirstColumn="0" w:lastRowLastColumn="0"/>
            <w:tcW w:w="647" w:type="pct"/>
            <w:tcBorders>
              <w:bottom w:val="single" w:sz="4" w:space="0" w:color="BFBFBF" w:themeColor="accent2"/>
            </w:tcBorders>
            <w:hideMark/>
          </w:tcPr>
          <w:p w14:paraId="136FEB82" w14:textId="77777777" w:rsidR="004944DF" w:rsidRPr="00107CC5" w:rsidRDefault="004944DF">
            <w:pPr>
              <w:pStyle w:val="ARtabletextright"/>
              <w:rPr>
                <w:lang w:eastAsia="en-AU"/>
              </w:rPr>
            </w:pPr>
            <w:r w:rsidRPr="00107CC5">
              <w:rPr>
                <w:lang w:eastAsia="en-AU"/>
              </w:rPr>
              <w:t>46</w:t>
            </w:r>
          </w:p>
        </w:tc>
        <w:tc>
          <w:tcPr>
            <w:tcW w:w="647" w:type="pct"/>
            <w:tcBorders>
              <w:bottom w:val="single" w:sz="4" w:space="0" w:color="BFBFBF" w:themeColor="accent2"/>
            </w:tcBorders>
            <w:hideMark/>
          </w:tcPr>
          <w:p w14:paraId="47AA987E" w14:textId="77777777" w:rsidR="004944DF" w:rsidRPr="00107CC5"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r w:rsidRPr="00107CC5">
              <w:rPr>
                <w:lang w:eastAsia="en-AU"/>
              </w:rPr>
              <w:t>44</w:t>
            </w:r>
          </w:p>
        </w:tc>
        <w:tc>
          <w:tcPr>
            <w:cnfStyle w:val="000001000000" w:firstRow="0" w:lastRow="0" w:firstColumn="0" w:lastColumn="0" w:oddVBand="0" w:evenVBand="1" w:oddHBand="0" w:evenHBand="0" w:firstRowFirstColumn="0" w:firstRowLastColumn="0" w:lastRowFirstColumn="0" w:lastRowLastColumn="0"/>
            <w:tcW w:w="647" w:type="pct"/>
            <w:tcBorders>
              <w:bottom w:val="single" w:sz="4" w:space="0" w:color="BFBFBF" w:themeColor="accent2"/>
            </w:tcBorders>
            <w:hideMark/>
          </w:tcPr>
          <w:p w14:paraId="76A8F170" w14:textId="77777777" w:rsidR="004944DF" w:rsidRPr="00107CC5" w:rsidRDefault="004944DF">
            <w:pPr>
              <w:pStyle w:val="ARtabletextright"/>
              <w:rPr>
                <w:lang w:eastAsia="en-AU"/>
              </w:rPr>
            </w:pPr>
            <w:r w:rsidRPr="00107CC5">
              <w:rPr>
                <w:lang w:eastAsia="en-AU"/>
              </w:rPr>
              <w:t>4.8</w:t>
            </w:r>
          </w:p>
        </w:tc>
        <w:tc>
          <w:tcPr>
            <w:tcW w:w="397" w:type="pct"/>
            <w:tcBorders>
              <w:bottom w:val="single" w:sz="4" w:space="0" w:color="BFBFBF" w:themeColor="accent2"/>
            </w:tcBorders>
            <w:hideMark/>
          </w:tcPr>
          <w:p w14:paraId="4A434375" w14:textId="77777777" w:rsidR="004944DF" w:rsidRPr="00107CC5"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107CC5" w14:paraId="0C487A63" w14:textId="77777777">
        <w:trPr>
          <w:cnfStyle w:val="000000100000" w:firstRow="0" w:lastRow="0" w:firstColumn="0" w:lastColumn="0" w:oddVBand="0" w:evenVBand="0" w:oddHBand="1" w:evenHBand="0" w:firstRowFirstColumn="0" w:firstRowLastColumn="0" w:lastRowFirstColumn="0" w:lastRowLastColumn="0"/>
          <w:trHeight w:val="300"/>
        </w:trPr>
        <w:tc>
          <w:tcPr>
            <w:tcW w:w="2662" w:type="pct"/>
            <w:tcBorders>
              <w:top w:val="single" w:sz="4" w:space="0" w:color="BFBFBF" w:themeColor="accent2"/>
              <w:bottom w:val="single" w:sz="4" w:space="0" w:color="000000" w:themeColor="text1"/>
            </w:tcBorders>
            <w:hideMark/>
          </w:tcPr>
          <w:p w14:paraId="6C916FA8" w14:textId="77777777" w:rsidR="004944DF" w:rsidRPr="00107CC5" w:rsidRDefault="004944DF">
            <w:pPr>
              <w:pStyle w:val="ARTabletext"/>
              <w:rPr>
                <w:lang w:eastAsia="en-AU"/>
              </w:rPr>
            </w:pPr>
            <w:r w:rsidRPr="00107CC5">
              <w:rPr>
                <w:lang w:eastAsia="en-AU"/>
              </w:rPr>
              <w:t>Provisions</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BFBFBF" w:themeColor="accent2"/>
              <w:bottom w:val="single" w:sz="4" w:space="0" w:color="000000" w:themeColor="text1"/>
            </w:tcBorders>
            <w:hideMark/>
          </w:tcPr>
          <w:p w14:paraId="22756111" w14:textId="77777777" w:rsidR="004944DF" w:rsidRPr="00107CC5" w:rsidRDefault="004944DF">
            <w:pPr>
              <w:pStyle w:val="ARtabletextright"/>
              <w:rPr>
                <w:lang w:eastAsia="en-AU"/>
              </w:rPr>
            </w:pPr>
            <w:r w:rsidRPr="00107CC5">
              <w:rPr>
                <w:lang w:eastAsia="en-AU"/>
              </w:rPr>
              <w:t>996</w:t>
            </w:r>
          </w:p>
        </w:tc>
        <w:tc>
          <w:tcPr>
            <w:tcW w:w="647" w:type="pct"/>
            <w:tcBorders>
              <w:top w:val="single" w:sz="4" w:space="0" w:color="BFBFBF" w:themeColor="accent2"/>
              <w:bottom w:val="single" w:sz="4" w:space="0" w:color="000000" w:themeColor="text1"/>
            </w:tcBorders>
            <w:hideMark/>
          </w:tcPr>
          <w:p w14:paraId="0C198559" w14:textId="77777777" w:rsidR="004944DF" w:rsidRPr="00107CC5"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107CC5">
              <w:rPr>
                <w:lang w:eastAsia="en-AU"/>
              </w:rPr>
              <w:t>904</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BFBFBF" w:themeColor="accent2"/>
              <w:bottom w:val="single" w:sz="4" w:space="0" w:color="000000" w:themeColor="text1"/>
            </w:tcBorders>
            <w:hideMark/>
          </w:tcPr>
          <w:p w14:paraId="4A1D5556" w14:textId="77777777" w:rsidR="004944DF" w:rsidRPr="00107CC5" w:rsidRDefault="004944DF">
            <w:pPr>
              <w:pStyle w:val="ARtabletextright"/>
              <w:rPr>
                <w:lang w:eastAsia="en-AU"/>
              </w:rPr>
            </w:pPr>
            <w:r w:rsidRPr="00107CC5">
              <w:rPr>
                <w:lang w:eastAsia="en-AU"/>
              </w:rPr>
              <w:t>10.1</w:t>
            </w:r>
          </w:p>
        </w:tc>
        <w:tc>
          <w:tcPr>
            <w:tcW w:w="397" w:type="pct"/>
            <w:tcBorders>
              <w:top w:val="single" w:sz="4" w:space="0" w:color="BFBFBF" w:themeColor="accent2"/>
              <w:bottom w:val="single" w:sz="4" w:space="0" w:color="000000" w:themeColor="text1"/>
            </w:tcBorders>
            <w:hideMark/>
          </w:tcPr>
          <w:p w14:paraId="625FB24F" w14:textId="77777777" w:rsidR="004944DF" w:rsidRPr="00107CC5"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107CC5">
              <w:rPr>
                <w:lang w:eastAsia="en-AU"/>
              </w:rPr>
              <w:t>(c)</w:t>
            </w:r>
          </w:p>
        </w:tc>
      </w:tr>
      <w:tr w:rsidR="004944DF" w:rsidRPr="00107CC5" w14:paraId="7F99015D" w14:textId="77777777">
        <w:trPr>
          <w:cnfStyle w:val="000000010000" w:firstRow="0" w:lastRow="0" w:firstColumn="0" w:lastColumn="0" w:oddVBand="0" w:evenVBand="0" w:oddHBand="0" w:evenHBand="1" w:firstRowFirstColumn="0" w:firstRowLastColumn="0" w:lastRowFirstColumn="0" w:lastRowLastColumn="0"/>
          <w:trHeight w:val="300"/>
        </w:trPr>
        <w:tc>
          <w:tcPr>
            <w:tcW w:w="2662" w:type="pct"/>
            <w:tcBorders>
              <w:top w:val="single" w:sz="4" w:space="0" w:color="000000" w:themeColor="text1"/>
              <w:bottom w:val="single" w:sz="4" w:space="0" w:color="000000" w:themeColor="text1"/>
            </w:tcBorders>
            <w:hideMark/>
          </w:tcPr>
          <w:p w14:paraId="538BDAD7" w14:textId="77777777" w:rsidR="004944DF" w:rsidRPr="00107CC5" w:rsidRDefault="004944DF">
            <w:pPr>
              <w:pStyle w:val="ARtabletextbold"/>
              <w:rPr>
                <w:lang w:eastAsia="en-AU"/>
              </w:rPr>
            </w:pPr>
            <w:r w:rsidRPr="00107CC5">
              <w:rPr>
                <w:lang w:eastAsia="en-AU"/>
              </w:rPr>
              <w:t>Total liabilities</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bottom w:val="single" w:sz="4" w:space="0" w:color="000000" w:themeColor="text1"/>
            </w:tcBorders>
            <w:hideMark/>
          </w:tcPr>
          <w:p w14:paraId="375750C2" w14:textId="77777777" w:rsidR="004944DF" w:rsidRPr="00107CC5" w:rsidRDefault="004944DF">
            <w:pPr>
              <w:pStyle w:val="ARtabletextrightbold"/>
              <w:rPr>
                <w:lang w:eastAsia="en-AU"/>
              </w:rPr>
            </w:pPr>
            <w:r w:rsidRPr="00107CC5">
              <w:rPr>
                <w:lang w:eastAsia="en-AU"/>
              </w:rPr>
              <w:t>1,377</w:t>
            </w:r>
          </w:p>
        </w:tc>
        <w:tc>
          <w:tcPr>
            <w:tcW w:w="647" w:type="pct"/>
            <w:tcBorders>
              <w:top w:val="single" w:sz="4" w:space="0" w:color="000000" w:themeColor="text1"/>
              <w:bottom w:val="single" w:sz="4" w:space="0" w:color="000000" w:themeColor="text1"/>
            </w:tcBorders>
            <w:hideMark/>
          </w:tcPr>
          <w:p w14:paraId="2BC1F679" w14:textId="77777777" w:rsidR="004944DF" w:rsidRPr="00107CC5" w:rsidRDefault="004944DF">
            <w:pPr>
              <w:pStyle w:val="ARtabletextrightbold"/>
              <w:cnfStyle w:val="000000010000" w:firstRow="0" w:lastRow="0" w:firstColumn="0" w:lastColumn="0" w:oddVBand="0" w:evenVBand="0" w:oddHBand="0" w:evenHBand="1" w:firstRowFirstColumn="0" w:firstRowLastColumn="0" w:lastRowFirstColumn="0" w:lastRowLastColumn="0"/>
              <w:rPr>
                <w:lang w:eastAsia="en-AU"/>
              </w:rPr>
            </w:pPr>
            <w:r w:rsidRPr="00107CC5">
              <w:rPr>
                <w:lang w:eastAsia="en-AU"/>
              </w:rPr>
              <w:t>1,278</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bottom w:val="single" w:sz="4" w:space="0" w:color="000000" w:themeColor="text1"/>
            </w:tcBorders>
            <w:hideMark/>
          </w:tcPr>
          <w:p w14:paraId="4B194B2F" w14:textId="77777777" w:rsidR="004944DF" w:rsidRPr="00107CC5" w:rsidRDefault="004944DF">
            <w:pPr>
              <w:pStyle w:val="ARtabletextrightbold"/>
              <w:rPr>
                <w:lang w:eastAsia="en-AU"/>
              </w:rPr>
            </w:pPr>
            <w:r w:rsidRPr="00107CC5">
              <w:rPr>
                <w:lang w:eastAsia="en-AU"/>
              </w:rPr>
              <w:t>7.7</w:t>
            </w:r>
          </w:p>
        </w:tc>
        <w:tc>
          <w:tcPr>
            <w:tcW w:w="397" w:type="pct"/>
            <w:tcBorders>
              <w:top w:val="single" w:sz="4" w:space="0" w:color="000000" w:themeColor="text1"/>
              <w:bottom w:val="single" w:sz="4" w:space="0" w:color="000000" w:themeColor="text1"/>
            </w:tcBorders>
            <w:hideMark/>
          </w:tcPr>
          <w:p w14:paraId="24663200" w14:textId="77777777" w:rsidR="004944DF" w:rsidRPr="00E95978" w:rsidRDefault="004944DF">
            <w:pPr>
              <w:pStyle w:val="ARtabletextrightbold"/>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107CC5" w14:paraId="708A2AA9" w14:textId="77777777">
        <w:trPr>
          <w:cnfStyle w:val="000000100000" w:firstRow="0" w:lastRow="0" w:firstColumn="0" w:lastColumn="0" w:oddVBand="0" w:evenVBand="0" w:oddHBand="1" w:evenHBand="0" w:firstRowFirstColumn="0" w:firstRowLastColumn="0" w:lastRowFirstColumn="0" w:lastRowLastColumn="0"/>
          <w:trHeight w:val="300"/>
        </w:trPr>
        <w:tc>
          <w:tcPr>
            <w:tcW w:w="2662" w:type="pct"/>
            <w:tcBorders>
              <w:top w:val="single" w:sz="4" w:space="0" w:color="000000" w:themeColor="text1"/>
              <w:bottom w:val="single" w:sz="4" w:space="0" w:color="000000" w:themeColor="text1"/>
            </w:tcBorders>
            <w:hideMark/>
          </w:tcPr>
          <w:p w14:paraId="2BD6450C" w14:textId="77777777" w:rsidR="004944DF" w:rsidRPr="00107CC5" w:rsidRDefault="004944DF">
            <w:pPr>
              <w:pStyle w:val="ARtabletextbold"/>
              <w:rPr>
                <w:lang w:eastAsia="en-AU"/>
              </w:rPr>
            </w:pPr>
            <w:r w:rsidRPr="00107CC5">
              <w:rPr>
                <w:lang w:eastAsia="en-AU"/>
              </w:rPr>
              <w:t>Net assets</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bottom w:val="single" w:sz="4" w:space="0" w:color="000000" w:themeColor="text1"/>
            </w:tcBorders>
            <w:hideMark/>
          </w:tcPr>
          <w:p w14:paraId="5623A55D" w14:textId="77777777" w:rsidR="004944DF" w:rsidRPr="00107CC5" w:rsidRDefault="004944DF">
            <w:pPr>
              <w:pStyle w:val="ARtabletextrightbold"/>
              <w:rPr>
                <w:lang w:eastAsia="en-AU"/>
              </w:rPr>
            </w:pPr>
            <w:r w:rsidRPr="00107CC5">
              <w:rPr>
                <w:lang w:eastAsia="en-AU"/>
              </w:rPr>
              <w:t>1,311</w:t>
            </w:r>
          </w:p>
        </w:tc>
        <w:tc>
          <w:tcPr>
            <w:tcW w:w="647" w:type="pct"/>
            <w:tcBorders>
              <w:top w:val="single" w:sz="4" w:space="0" w:color="000000" w:themeColor="text1"/>
              <w:bottom w:val="single" w:sz="4" w:space="0" w:color="000000" w:themeColor="text1"/>
            </w:tcBorders>
            <w:hideMark/>
          </w:tcPr>
          <w:p w14:paraId="308BCFFB" w14:textId="77777777" w:rsidR="004944DF" w:rsidRPr="00107CC5" w:rsidRDefault="004944DF">
            <w:pPr>
              <w:pStyle w:val="ARtabletextrightbold"/>
              <w:cnfStyle w:val="000000100000" w:firstRow="0" w:lastRow="0" w:firstColumn="0" w:lastColumn="0" w:oddVBand="0" w:evenVBand="0" w:oddHBand="1" w:evenHBand="0" w:firstRowFirstColumn="0" w:firstRowLastColumn="0" w:lastRowFirstColumn="0" w:lastRowLastColumn="0"/>
              <w:rPr>
                <w:lang w:eastAsia="en-AU"/>
              </w:rPr>
            </w:pPr>
            <w:r w:rsidRPr="00107CC5">
              <w:rPr>
                <w:lang w:eastAsia="en-AU"/>
              </w:rPr>
              <w:t>1,335</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bottom w:val="single" w:sz="4" w:space="0" w:color="000000" w:themeColor="text1"/>
            </w:tcBorders>
            <w:hideMark/>
          </w:tcPr>
          <w:p w14:paraId="7EB698EF" w14:textId="77777777" w:rsidR="004944DF" w:rsidRPr="00107CC5" w:rsidRDefault="004944DF">
            <w:pPr>
              <w:pStyle w:val="ARtabletextrightbold"/>
              <w:rPr>
                <w:lang w:eastAsia="en-AU"/>
              </w:rPr>
            </w:pPr>
            <w:r w:rsidRPr="00107CC5">
              <w:rPr>
                <w:lang w:eastAsia="en-AU"/>
              </w:rPr>
              <w:t>(1.8)</w:t>
            </w:r>
          </w:p>
        </w:tc>
        <w:tc>
          <w:tcPr>
            <w:tcW w:w="397" w:type="pct"/>
            <w:tcBorders>
              <w:top w:val="single" w:sz="4" w:space="0" w:color="000000" w:themeColor="text1"/>
              <w:bottom w:val="single" w:sz="4" w:space="0" w:color="000000" w:themeColor="text1"/>
            </w:tcBorders>
            <w:hideMark/>
          </w:tcPr>
          <w:p w14:paraId="3E161757" w14:textId="77777777" w:rsidR="004944DF" w:rsidRPr="00E95978" w:rsidRDefault="004944DF">
            <w:pPr>
              <w:pStyle w:val="ARtabletextrightbold"/>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107CC5" w14:paraId="68775748" w14:textId="77777777">
        <w:trPr>
          <w:cnfStyle w:val="000000010000" w:firstRow="0" w:lastRow="0" w:firstColumn="0" w:lastColumn="0" w:oddVBand="0" w:evenVBand="0" w:oddHBand="0" w:evenHBand="1" w:firstRowFirstColumn="0" w:firstRowLastColumn="0" w:lastRowFirstColumn="0" w:lastRowLastColumn="0"/>
          <w:trHeight w:val="300"/>
        </w:trPr>
        <w:tc>
          <w:tcPr>
            <w:tcW w:w="2662" w:type="pct"/>
            <w:tcBorders>
              <w:top w:val="single" w:sz="4" w:space="0" w:color="000000" w:themeColor="text1"/>
            </w:tcBorders>
            <w:hideMark/>
          </w:tcPr>
          <w:p w14:paraId="7F938F39" w14:textId="77777777" w:rsidR="004944DF" w:rsidRPr="00107CC5" w:rsidRDefault="004944DF">
            <w:pPr>
              <w:pStyle w:val="ARTabletextboldcoloured"/>
              <w:rPr>
                <w:lang w:eastAsia="en-AU"/>
              </w:rPr>
            </w:pPr>
            <w:r w:rsidRPr="00107CC5">
              <w:rPr>
                <w:lang w:eastAsia="en-AU"/>
              </w:rPr>
              <w:t>Equity</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tcBorders>
            <w:shd w:val="clear" w:color="auto" w:fill="auto"/>
            <w:hideMark/>
          </w:tcPr>
          <w:p w14:paraId="5AEA8B65" w14:textId="77777777" w:rsidR="004944DF" w:rsidRPr="00E95978" w:rsidRDefault="004944DF">
            <w:pPr>
              <w:pStyle w:val="ARtabletextright"/>
              <w:rPr>
                <w:b/>
                <w:bCs/>
                <w:lang w:eastAsia="en-AU"/>
              </w:rPr>
            </w:pPr>
          </w:p>
        </w:tc>
        <w:tc>
          <w:tcPr>
            <w:tcW w:w="647" w:type="pct"/>
            <w:tcBorders>
              <w:top w:val="single" w:sz="4" w:space="0" w:color="000000" w:themeColor="text1"/>
            </w:tcBorders>
            <w:hideMark/>
          </w:tcPr>
          <w:p w14:paraId="72F28E1C" w14:textId="77777777" w:rsidR="004944DF" w:rsidRPr="00E95978" w:rsidRDefault="004944DF">
            <w:pPr>
              <w:pStyle w:val="ARtabletextright"/>
              <w:cnfStyle w:val="000000010000" w:firstRow="0" w:lastRow="0" w:firstColumn="0" w:lastColumn="0" w:oddVBand="0" w:evenVBand="0" w:oddHBand="0" w:evenHBand="1" w:firstRowFirstColumn="0" w:firstRowLastColumn="0" w:lastRowFirstColumn="0" w:lastRowLastColumn="0"/>
              <w:rPr>
                <w:b/>
                <w:bCs/>
                <w:lang w:eastAsia="en-AU"/>
              </w:rPr>
            </w:pP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tcBorders>
            <w:shd w:val="clear" w:color="auto" w:fill="auto"/>
            <w:hideMark/>
          </w:tcPr>
          <w:p w14:paraId="5E42C201" w14:textId="77777777" w:rsidR="004944DF" w:rsidRPr="00E95978" w:rsidRDefault="004944DF">
            <w:pPr>
              <w:pStyle w:val="ARtabletextright"/>
              <w:rPr>
                <w:b/>
                <w:bCs/>
                <w:lang w:eastAsia="en-AU"/>
              </w:rPr>
            </w:pPr>
          </w:p>
        </w:tc>
        <w:tc>
          <w:tcPr>
            <w:tcW w:w="397" w:type="pct"/>
            <w:tcBorders>
              <w:top w:val="single" w:sz="4" w:space="0" w:color="000000" w:themeColor="text1"/>
            </w:tcBorders>
            <w:hideMark/>
          </w:tcPr>
          <w:p w14:paraId="421987B1" w14:textId="77777777" w:rsidR="004944DF" w:rsidRPr="00E95978"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107CC5" w14:paraId="5B354E20" w14:textId="77777777">
        <w:trPr>
          <w:cnfStyle w:val="000000100000" w:firstRow="0" w:lastRow="0" w:firstColumn="0" w:lastColumn="0" w:oddVBand="0" w:evenVBand="0" w:oddHBand="1" w:evenHBand="0" w:firstRowFirstColumn="0" w:firstRowLastColumn="0" w:lastRowFirstColumn="0" w:lastRowLastColumn="0"/>
          <w:trHeight w:val="300"/>
        </w:trPr>
        <w:tc>
          <w:tcPr>
            <w:tcW w:w="2662" w:type="pct"/>
            <w:hideMark/>
          </w:tcPr>
          <w:p w14:paraId="455C5805" w14:textId="77777777" w:rsidR="004944DF" w:rsidRPr="00107CC5" w:rsidRDefault="004944DF">
            <w:pPr>
              <w:pStyle w:val="ARTabletext"/>
              <w:rPr>
                <w:lang w:eastAsia="en-AU"/>
              </w:rPr>
            </w:pPr>
            <w:r w:rsidRPr="00107CC5">
              <w:rPr>
                <w:lang w:eastAsia="en-AU"/>
              </w:rPr>
              <w:t>Accumulated surplus/(deficit)</w:t>
            </w:r>
          </w:p>
        </w:tc>
        <w:tc>
          <w:tcPr>
            <w:cnfStyle w:val="000001000000" w:firstRow="0" w:lastRow="0" w:firstColumn="0" w:lastColumn="0" w:oddVBand="0" w:evenVBand="1" w:oddHBand="0" w:evenHBand="0" w:firstRowFirstColumn="0" w:firstRowLastColumn="0" w:lastRowFirstColumn="0" w:lastRowLastColumn="0"/>
            <w:tcW w:w="647" w:type="pct"/>
            <w:hideMark/>
          </w:tcPr>
          <w:p w14:paraId="02A9A31E" w14:textId="77777777" w:rsidR="004944DF" w:rsidRPr="00107CC5" w:rsidRDefault="004944DF">
            <w:pPr>
              <w:pStyle w:val="ARtabletextright"/>
              <w:rPr>
                <w:lang w:eastAsia="en-AU"/>
              </w:rPr>
            </w:pPr>
            <w:r w:rsidRPr="00107CC5">
              <w:rPr>
                <w:lang w:eastAsia="en-AU"/>
              </w:rPr>
              <w:t>(338)</w:t>
            </w:r>
          </w:p>
        </w:tc>
        <w:tc>
          <w:tcPr>
            <w:tcW w:w="647" w:type="pct"/>
            <w:hideMark/>
          </w:tcPr>
          <w:p w14:paraId="40E36D92" w14:textId="77777777" w:rsidR="004944DF" w:rsidRPr="00107CC5"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107CC5">
              <w:rPr>
                <w:lang w:eastAsia="en-AU"/>
              </w:rPr>
              <w:t>(333)</w:t>
            </w:r>
          </w:p>
        </w:tc>
        <w:tc>
          <w:tcPr>
            <w:cnfStyle w:val="000001000000" w:firstRow="0" w:lastRow="0" w:firstColumn="0" w:lastColumn="0" w:oddVBand="0" w:evenVBand="1" w:oddHBand="0" w:evenHBand="0" w:firstRowFirstColumn="0" w:firstRowLastColumn="0" w:lastRowFirstColumn="0" w:lastRowLastColumn="0"/>
            <w:tcW w:w="647" w:type="pct"/>
            <w:hideMark/>
          </w:tcPr>
          <w:p w14:paraId="6FEF524E" w14:textId="77777777" w:rsidR="004944DF" w:rsidRPr="00107CC5" w:rsidRDefault="004944DF">
            <w:pPr>
              <w:pStyle w:val="ARtabletextright"/>
              <w:rPr>
                <w:lang w:eastAsia="en-AU"/>
              </w:rPr>
            </w:pPr>
            <w:r w:rsidRPr="00107CC5">
              <w:rPr>
                <w:lang w:eastAsia="en-AU"/>
              </w:rPr>
              <w:t>1.6</w:t>
            </w:r>
          </w:p>
        </w:tc>
        <w:tc>
          <w:tcPr>
            <w:tcW w:w="397" w:type="pct"/>
            <w:hideMark/>
          </w:tcPr>
          <w:p w14:paraId="4B356A21" w14:textId="77777777" w:rsidR="004944DF" w:rsidRPr="00E95978"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107CC5" w14:paraId="2EBAE291" w14:textId="77777777">
        <w:trPr>
          <w:cnfStyle w:val="000000010000" w:firstRow="0" w:lastRow="0" w:firstColumn="0" w:lastColumn="0" w:oddVBand="0" w:evenVBand="0" w:oddHBand="0" w:evenHBand="1" w:firstRowFirstColumn="0" w:firstRowLastColumn="0" w:lastRowFirstColumn="0" w:lastRowLastColumn="0"/>
          <w:trHeight w:val="300"/>
        </w:trPr>
        <w:tc>
          <w:tcPr>
            <w:tcW w:w="2662" w:type="pct"/>
            <w:hideMark/>
          </w:tcPr>
          <w:p w14:paraId="27030F2C" w14:textId="77777777" w:rsidR="004944DF" w:rsidRPr="00107CC5" w:rsidRDefault="004944DF">
            <w:pPr>
              <w:pStyle w:val="ARTabletext"/>
              <w:rPr>
                <w:lang w:eastAsia="en-AU"/>
              </w:rPr>
            </w:pPr>
            <w:r w:rsidRPr="00107CC5">
              <w:rPr>
                <w:lang w:eastAsia="en-AU"/>
              </w:rPr>
              <w:t>Reserves</w:t>
            </w:r>
          </w:p>
        </w:tc>
        <w:tc>
          <w:tcPr>
            <w:cnfStyle w:val="000001000000" w:firstRow="0" w:lastRow="0" w:firstColumn="0" w:lastColumn="0" w:oddVBand="0" w:evenVBand="1" w:oddHBand="0" w:evenHBand="0" w:firstRowFirstColumn="0" w:firstRowLastColumn="0" w:lastRowFirstColumn="0" w:lastRowLastColumn="0"/>
            <w:tcW w:w="647" w:type="pct"/>
            <w:hideMark/>
          </w:tcPr>
          <w:p w14:paraId="3B69D3E4" w14:textId="77777777" w:rsidR="004944DF" w:rsidRPr="00107CC5" w:rsidRDefault="004944DF">
            <w:pPr>
              <w:pStyle w:val="ARtabletextright"/>
              <w:rPr>
                <w:lang w:eastAsia="en-AU"/>
              </w:rPr>
            </w:pPr>
            <w:r w:rsidRPr="00107CC5">
              <w:rPr>
                <w:lang w:eastAsia="en-AU"/>
              </w:rPr>
              <w:t>271</w:t>
            </w:r>
          </w:p>
        </w:tc>
        <w:tc>
          <w:tcPr>
            <w:tcW w:w="647" w:type="pct"/>
            <w:hideMark/>
          </w:tcPr>
          <w:p w14:paraId="65F2A18D" w14:textId="77777777" w:rsidR="004944DF" w:rsidRPr="00107CC5"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r w:rsidRPr="00107CC5">
              <w:rPr>
                <w:lang w:eastAsia="en-AU"/>
              </w:rPr>
              <w:t>271</w:t>
            </w:r>
          </w:p>
        </w:tc>
        <w:tc>
          <w:tcPr>
            <w:cnfStyle w:val="000001000000" w:firstRow="0" w:lastRow="0" w:firstColumn="0" w:lastColumn="0" w:oddVBand="0" w:evenVBand="1" w:oddHBand="0" w:evenHBand="0" w:firstRowFirstColumn="0" w:firstRowLastColumn="0" w:lastRowFirstColumn="0" w:lastRowLastColumn="0"/>
            <w:tcW w:w="647" w:type="pct"/>
            <w:hideMark/>
          </w:tcPr>
          <w:p w14:paraId="282C8241" w14:textId="77777777" w:rsidR="004944DF" w:rsidRPr="00107CC5" w:rsidRDefault="004944DF">
            <w:pPr>
              <w:pStyle w:val="ARtabletextright"/>
              <w:rPr>
                <w:lang w:eastAsia="en-AU"/>
              </w:rPr>
            </w:pPr>
            <w:r>
              <w:rPr>
                <w:lang w:eastAsia="en-AU"/>
              </w:rPr>
              <w:t>–</w:t>
            </w:r>
          </w:p>
        </w:tc>
        <w:tc>
          <w:tcPr>
            <w:tcW w:w="397" w:type="pct"/>
            <w:hideMark/>
          </w:tcPr>
          <w:p w14:paraId="4E8DBDE5" w14:textId="77777777" w:rsidR="004944DF" w:rsidRPr="00E95978"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107CC5" w14:paraId="5639DAFE" w14:textId="77777777">
        <w:trPr>
          <w:cnfStyle w:val="000000100000" w:firstRow="0" w:lastRow="0" w:firstColumn="0" w:lastColumn="0" w:oddVBand="0" w:evenVBand="0" w:oddHBand="1" w:evenHBand="0" w:firstRowFirstColumn="0" w:firstRowLastColumn="0" w:lastRowFirstColumn="0" w:lastRowLastColumn="0"/>
          <w:trHeight w:val="300"/>
        </w:trPr>
        <w:tc>
          <w:tcPr>
            <w:tcW w:w="2662" w:type="pct"/>
            <w:hideMark/>
          </w:tcPr>
          <w:p w14:paraId="5292AF7D" w14:textId="77777777" w:rsidR="004944DF" w:rsidRPr="00107CC5" w:rsidRDefault="004944DF">
            <w:pPr>
              <w:pStyle w:val="ARTabletext"/>
              <w:rPr>
                <w:lang w:eastAsia="en-AU"/>
              </w:rPr>
            </w:pPr>
            <w:r w:rsidRPr="00107CC5">
              <w:rPr>
                <w:lang w:eastAsia="en-AU"/>
              </w:rPr>
              <w:t>Contributed capital</w:t>
            </w:r>
          </w:p>
        </w:tc>
        <w:tc>
          <w:tcPr>
            <w:cnfStyle w:val="000001000000" w:firstRow="0" w:lastRow="0" w:firstColumn="0" w:lastColumn="0" w:oddVBand="0" w:evenVBand="1" w:oddHBand="0" w:evenHBand="0" w:firstRowFirstColumn="0" w:firstRowLastColumn="0" w:lastRowFirstColumn="0" w:lastRowLastColumn="0"/>
            <w:tcW w:w="647" w:type="pct"/>
            <w:hideMark/>
          </w:tcPr>
          <w:p w14:paraId="60632DF1" w14:textId="77777777" w:rsidR="004944DF" w:rsidRPr="00107CC5" w:rsidRDefault="004944DF">
            <w:pPr>
              <w:pStyle w:val="ARtabletextright"/>
              <w:rPr>
                <w:lang w:eastAsia="en-AU"/>
              </w:rPr>
            </w:pPr>
            <w:r w:rsidRPr="00107CC5">
              <w:rPr>
                <w:lang w:eastAsia="en-AU"/>
              </w:rPr>
              <w:t>1,378</w:t>
            </w:r>
          </w:p>
        </w:tc>
        <w:tc>
          <w:tcPr>
            <w:tcW w:w="647" w:type="pct"/>
            <w:hideMark/>
          </w:tcPr>
          <w:p w14:paraId="57E66718" w14:textId="77777777" w:rsidR="004944DF" w:rsidRPr="00107CC5"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107CC5">
              <w:rPr>
                <w:lang w:eastAsia="en-AU"/>
              </w:rPr>
              <w:t>1,397</w:t>
            </w:r>
          </w:p>
        </w:tc>
        <w:tc>
          <w:tcPr>
            <w:cnfStyle w:val="000001000000" w:firstRow="0" w:lastRow="0" w:firstColumn="0" w:lastColumn="0" w:oddVBand="0" w:evenVBand="1" w:oddHBand="0" w:evenHBand="0" w:firstRowFirstColumn="0" w:firstRowLastColumn="0" w:lastRowFirstColumn="0" w:lastRowLastColumn="0"/>
            <w:tcW w:w="647" w:type="pct"/>
            <w:hideMark/>
          </w:tcPr>
          <w:p w14:paraId="3D0DD6D1" w14:textId="77777777" w:rsidR="004944DF" w:rsidRPr="00107CC5" w:rsidRDefault="004944DF">
            <w:pPr>
              <w:pStyle w:val="ARtabletextright"/>
              <w:rPr>
                <w:lang w:eastAsia="en-AU"/>
              </w:rPr>
            </w:pPr>
            <w:r w:rsidRPr="00107CC5">
              <w:rPr>
                <w:lang w:eastAsia="en-AU"/>
              </w:rPr>
              <w:t>(1.3)</w:t>
            </w:r>
          </w:p>
        </w:tc>
        <w:tc>
          <w:tcPr>
            <w:tcW w:w="397" w:type="pct"/>
            <w:hideMark/>
          </w:tcPr>
          <w:p w14:paraId="56F6D442" w14:textId="77777777" w:rsidR="004944DF" w:rsidRPr="00E95978"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107CC5" w14:paraId="4DC1F98E" w14:textId="77777777">
        <w:trPr>
          <w:cnfStyle w:val="010000000000" w:firstRow="0" w:lastRow="1" w:firstColumn="0" w:lastColumn="0" w:oddVBand="0" w:evenVBand="0" w:oddHBand="0" w:evenHBand="0" w:firstRowFirstColumn="0" w:firstRowLastColumn="0" w:lastRowFirstColumn="0" w:lastRowLastColumn="0"/>
          <w:trHeight w:val="300"/>
        </w:trPr>
        <w:tc>
          <w:tcPr>
            <w:tcW w:w="2662" w:type="pct"/>
            <w:hideMark/>
          </w:tcPr>
          <w:p w14:paraId="04931526" w14:textId="77777777" w:rsidR="004944DF" w:rsidRPr="00107CC5" w:rsidRDefault="004944DF">
            <w:pPr>
              <w:pStyle w:val="ARtabletextbold"/>
              <w:rPr>
                <w:lang w:eastAsia="en-AU"/>
              </w:rPr>
            </w:pPr>
            <w:r w:rsidRPr="00107CC5">
              <w:rPr>
                <w:lang w:eastAsia="en-AU"/>
              </w:rPr>
              <w:t>Total equity</w:t>
            </w:r>
          </w:p>
        </w:tc>
        <w:tc>
          <w:tcPr>
            <w:cnfStyle w:val="000001000000" w:firstRow="0" w:lastRow="0" w:firstColumn="0" w:lastColumn="0" w:oddVBand="0" w:evenVBand="1" w:oddHBand="0" w:evenHBand="0" w:firstRowFirstColumn="0" w:firstRowLastColumn="0" w:lastRowFirstColumn="0" w:lastRowLastColumn="0"/>
            <w:tcW w:w="647" w:type="pct"/>
            <w:hideMark/>
          </w:tcPr>
          <w:p w14:paraId="199F023D" w14:textId="77777777" w:rsidR="004944DF" w:rsidRPr="00107CC5" w:rsidRDefault="004944DF">
            <w:pPr>
              <w:pStyle w:val="ARtabletextrightbold"/>
              <w:rPr>
                <w:lang w:eastAsia="en-AU"/>
              </w:rPr>
            </w:pPr>
            <w:r w:rsidRPr="00107CC5">
              <w:rPr>
                <w:lang w:eastAsia="en-AU"/>
              </w:rPr>
              <w:t>1,311</w:t>
            </w:r>
          </w:p>
        </w:tc>
        <w:tc>
          <w:tcPr>
            <w:tcW w:w="647" w:type="pct"/>
            <w:hideMark/>
          </w:tcPr>
          <w:p w14:paraId="042590D1" w14:textId="77777777" w:rsidR="004944DF" w:rsidRPr="00107CC5" w:rsidRDefault="004944DF">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107CC5">
              <w:rPr>
                <w:lang w:eastAsia="en-AU"/>
              </w:rPr>
              <w:t>1,335</w:t>
            </w:r>
          </w:p>
        </w:tc>
        <w:tc>
          <w:tcPr>
            <w:cnfStyle w:val="000001000000" w:firstRow="0" w:lastRow="0" w:firstColumn="0" w:lastColumn="0" w:oddVBand="0" w:evenVBand="1" w:oddHBand="0" w:evenHBand="0" w:firstRowFirstColumn="0" w:firstRowLastColumn="0" w:lastRowFirstColumn="0" w:lastRowLastColumn="0"/>
            <w:tcW w:w="647" w:type="pct"/>
            <w:hideMark/>
          </w:tcPr>
          <w:p w14:paraId="30314D50" w14:textId="77777777" w:rsidR="004944DF" w:rsidRPr="00107CC5" w:rsidRDefault="004944DF">
            <w:pPr>
              <w:pStyle w:val="ARtabletextrightbold"/>
              <w:rPr>
                <w:lang w:eastAsia="en-AU"/>
              </w:rPr>
            </w:pPr>
            <w:r w:rsidRPr="00107CC5">
              <w:rPr>
                <w:lang w:eastAsia="en-AU"/>
              </w:rPr>
              <w:t>(1.8)</w:t>
            </w:r>
          </w:p>
        </w:tc>
        <w:tc>
          <w:tcPr>
            <w:tcW w:w="397" w:type="pct"/>
            <w:hideMark/>
          </w:tcPr>
          <w:p w14:paraId="6E6FB00E" w14:textId="77777777" w:rsidR="004944DF" w:rsidRPr="00E95978" w:rsidRDefault="004944DF">
            <w:pPr>
              <w:pStyle w:val="ARtabletextright"/>
              <w:cnfStyle w:val="010000000000" w:firstRow="0" w:lastRow="1" w:firstColumn="0" w:lastColumn="0" w:oddVBand="0" w:evenVBand="0" w:oddHBand="0" w:evenHBand="0" w:firstRowFirstColumn="0" w:firstRowLastColumn="0" w:lastRowFirstColumn="0" w:lastRowLastColumn="0"/>
              <w:rPr>
                <w:lang w:eastAsia="en-AU"/>
              </w:rPr>
            </w:pPr>
          </w:p>
        </w:tc>
      </w:tr>
    </w:tbl>
    <w:p w14:paraId="258F88CA" w14:textId="77777777" w:rsidR="004944DF" w:rsidRPr="00107CC5" w:rsidRDefault="004944DF" w:rsidP="004944DF">
      <w:pPr>
        <w:pStyle w:val="ARtablefootnotealpha"/>
        <w:numPr>
          <w:ilvl w:val="0"/>
          <w:numId w:val="46"/>
        </w:numPr>
      </w:pPr>
      <w:r w:rsidRPr="00107CC5">
        <w:t xml:space="preserve">The cash and deposits </w:t>
      </w:r>
      <w:proofErr w:type="gramStart"/>
      <w:r w:rsidRPr="00107CC5">
        <w:t>was</w:t>
      </w:r>
      <w:proofErr w:type="gramEnd"/>
      <w:r w:rsidRPr="00107CC5">
        <w:t xml:space="preserve"> higher than the published budget mainly due to cash flow timing differences.</w:t>
      </w:r>
    </w:p>
    <w:p w14:paraId="0E7F7CCF" w14:textId="77777777" w:rsidR="004944DF" w:rsidRPr="00107CC5" w:rsidRDefault="004944DF" w:rsidP="004944DF">
      <w:pPr>
        <w:pStyle w:val="ARtablefootnotealpha"/>
        <w:numPr>
          <w:ilvl w:val="0"/>
          <w:numId w:val="45"/>
        </w:numPr>
      </w:pPr>
      <w:r w:rsidRPr="00107CC5">
        <w:t xml:space="preserve">The other receivables balance was higher than the published budget primarily due to an increase in the State Administration Unit inter-entity accounts </w:t>
      </w:r>
      <w:proofErr w:type="gramStart"/>
      <w:r w:rsidRPr="00107CC5">
        <w:t>as a result of</w:t>
      </w:r>
      <w:proofErr w:type="gramEnd"/>
      <w:r w:rsidRPr="00107CC5">
        <w:t xml:space="preserve"> timing of funding accessed to settle payments to customers and other accrued obligations, which occurred post the 2025–26 Published Budget. </w:t>
      </w:r>
    </w:p>
    <w:p w14:paraId="4BE3D95B" w14:textId="77777777" w:rsidR="004944DF" w:rsidRDefault="004944DF" w:rsidP="004944DF">
      <w:pPr>
        <w:pStyle w:val="ARtablefootnotealpha"/>
        <w:numPr>
          <w:ilvl w:val="0"/>
          <w:numId w:val="45"/>
        </w:numPr>
      </w:pPr>
      <w:r w:rsidRPr="00107CC5">
        <w:t>The provisions balance was higher than the published budget primarily due to the provisions for Civil claims associated with historical institutional child abuse.</w:t>
      </w:r>
    </w:p>
    <w:p w14:paraId="7F164ED2" w14:textId="77777777" w:rsidR="004944DF" w:rsidRDefault="004944DF" w:rsidP="004944DF">
      <w:pPr>
        <w:rPr>
          <w:rFonts w:cs="Arial"/>
          <w:color w:val="000000"/>
          <w:sz w:val="18"/>
          <w:szCs w:val="18"/>
          <w:lang w:eastAsia="en-AU"/>
        </w:rPr>
      </w:pPr>
      <w:r>
        <w:rPr>
          <w:rFonts w:cs="Arial"/>
          <w:color w:val="000000"/>
          <w:sz w:val="18"/>
          <w:szCs w:val="18"/>
          <w:lang w:eastAsia="en-AU"/>
        </w:rPr>
        <w:br w:type="page"/>
      </w:r>
    </w:p>
    <w:p w14:paraId="15DADB88" w14:textId="77777777" w:rsidR="004944DF" w:rsidRPr="00D70C07" w:rsidRDefault="004944DF" w:rsidP="00652C2F">
      <w:pPr>
        <w:pStyle w:val="Heading3"/>
        <w:rPr>
          <w:lang w:eastAsia="en-AU"/>
        </w:rPr>
      </w:pPr>
      <w:bookmarkStart w:id="318" w:name="_Statement_of_cash"/>
      <w:bookmarkEnd w:id="318"/>
      <w:r w:rsidRPr="00D70C07">
        <w:rPr>
          <w:lang w:eastAsia="en-AU"/>
        </w:rPr>
        <w:t>Statement of cash flows for the financial year ended 30 June 2026</w:t>
      </w:r>
    </w:p>
    <w:tbl>
      <w:tblPr>
        <w:tblStyle w:val="ARtable1"/>
        <w:tblW w:w="5000" w:type="pct"/>
        <w:tblLook w:val="00E0" w:firstRow="1" w:lastRow="1" w:firstColumn="1" w:lastColumn="0" w:noHBand="0" w:noVBand="0"/>
      </w:tblPr>
      <w:tblGrid>
        <w:gridCol w:w="5095"/>
        <w:gridCol w:w="1267"/>
        <w:gridCol w:w="1267"/>
        <w:gridCol w:w="1271"/>
        <w:gridCol w:w="728"/>
      </w:tblGrid>
      <w:tr w:rsidR="004944DF" w:rsidRPr="00D70C07" w14:paraId="5D334D6E" w14:textId="77777777" w:rsidTr="00CF0F12">
        <w:trPr>
          <w:cnfStyle w:val="100000000000" w:firstRow="1" w:lastRow="0" w:firstColumn="0" w:lastColumn="0" w:oddVBand="0" w:evenVBand="0" w:oddHBand="0" w:evenHBand="0" w:firstRowFirstColumn="0" w:firstRowLastColumn="0" w:lastRowFirstColumn="0" w:lastRowLastColumn="0"/>
          <w:trHeight w:val="20"/>
          <w:tblHeader/>
        </w:trPr>
        <w:tc>
          <w:tcPr>
            <w:tcW w:w="2646" w:type="pct"/>
          </w:tcPr>
          <w:p w14:paraId="440FAED7" w14:textId="77777777" w:rsidR="004944DF" w:rsidRPr="00D70C07" w:rsidRDefault="004944DF">
            <w:pPr>
              <w:pStyle w:val="ARtablecolheadright"/>
              <w:rPr>
                <w:lang w:eastAsia="en-AU"/>
              </w:rPr>
            </w:pPr>
          </w:p>
        </w:tc>
        <w:tc>
          <w:tcPr>
            <w:cnfStyle w:val="000001000000" w:firstRow="0" w:lastRow="0" w:firstColumn="0" w:lastColumn="0" w:oddVBand="0" w:evenVBand="1" w:oddHBand="0" w:evenHBand="0" w:firstRowFirstColumn="0" w:firstRowLastColumn="0" w:lastRowFirstColumn="0" w:lastRowLastColumn="0"/>
            <w:tcW w:w="658" w:type="pct"/>
            <w:tcBorders>
              <w:top w:val="single" w:sz="4" w:space="0" w:color="000000" w:themeColor="text1"/>
            </w:tcBorders>
          </w:tcPr>
          <w:p w14:paraId="03C58DC1" w14:textId="78F494D7" w:rsidR="00CF0F12" w:rsidRDefault="00CF0F12">
            <w:pPr>
              <w:pStyle w:val="ARtablecolheadright"/>
              <w:rPr>
                <w:lang w:eastAsia="en-AU"/>
              </w:rPr>
            </w:pPr>
            <w:r w:rsidRPr="00D70C07">
              <w:rPr>
                <w:lang w:eastAsia="en-AU"/>
              </w:rPr>
              <w:t>2025</w:t>
            </w:r>
            <w:r>
              <w:rPr>
                <w:lang w:eastAsia="en-AU"/>
              </w:rPr>
              <w:t>–</w:t>
            </w:r>
            <w:r w:rsidRPr="00D70C07">
              <w:rPr>
                <w:lang w:eastAsia="en-AU"/>
              </w:rPr>
              <w:t>26</w:t>
            </w:r>
          </w:p>
          <w:p w14:paraId="28B34DDE" w14:textId="012BAE2C" w:rsidR="004944DF" w:rsidRPr="00D70C07" w:rsidRDefault="004944DF">
            <w:pPr>
              <w:pStyle w:val="ARtablecolheadright"/>
              <w:rPr>
                <w:lang w:eastAsia="en-AU"/>
              </w:rPr>
            </w:pPr>
            <w:r w:rsidRPr="00D70C07">
              <w:rPr>
                <w:lang w:eastAsia="en-AU"/>
              </w:rPr>
              <w:t>Actual</w:t>
            </w:r>
          </w:p>
          <w:p w14:paraId="01BEF660" w14:textId="77777777" w:rsidR="004944DF" w:rsidRPr="00D70C07" w:rsidRDefault="004944DF">
            <w:pPr>
              <w:pStyle w:val="ARtablecolheadright"/>
              <w:rPr>
                <w:lang w:eastAsia="en-AU"/>
              </w:rPr>
            </w:pPr>
            <w:r w:rsidRPr="00D70C07">
              <w:rPr>
                <w:lang w:eastAsia="en-AU"/>
              </w:rPr>
              <w:t>$M</w:t>
            </w:r>
          </w:p>
        </w:tc>
        <w:tc>
          <w:tcPr>
            <w:tcW w:w="658" w:type="pct"/>
            <w:tcBorders>
              <w:top w:val="single" w:sz="4" w:space="0" w:color="000000" w:themeColor="text1"/>
            </w:tcBorders>
          </w:tcPr>
          <w:p w14:paraId="6C07C55F" w14:textId="110B6257" w:rsidR="00CF0F12" w:rsidRDefault="00CF0F12">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D70C07">
              <w:rPr>
                <w:lang w:eastAsia="en-AU"/>
              </w:rPr>
              <w:t>2025</w:t>
            </w:r>
            <w:r>
              <w:rPr>
                <w:lang w:eastAsia="en-AU"/>
              </w:rPr>
              <w:t>–</w:t>
            </w:r>
            <w:r w:rsidRPr="00D70C07">
              <w:rPr>
                <w:lang w:eastAsia="en-AU"/>
              </w:rPr>
              <w:t>26</w:t>
            </w:r>
          </w:p>
          <w:p w14:paraId="15FE613F" w14:textId="30C40BDC" w:rsidR="004944DF" w:rsidRPr="00D70C07" w:rsidRDefault="004944DF">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D70C07">
              <w:rPr>
                <w:lang w:eastAsia="en-AU"/>
              </w:rPr>
              <w:t>Published budget</w:t>
            </w:r>
          </w:p>
          <w:p w14:paraId="5AE57359" w14:textId="77777777" w:rsidR="004944DF" w:rsidRPr="00D70C07" w:rsidRDefault="004944DF">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D70C07">
              <w:rPr>
                <w:lang w:eastAsia="en-AU"/>
              </w:rPr>
              <w:t>$M</w:t>
            </w:r>
          </w:p>
        </w:tc>
        <w:tc>
          <w:tcPr>
            <w:cnfStyle w:val="000001000000" w:firstRow="0" w:lastRow="0" w:firstColumn="0" w:lastColumn="0" w:oddVBand="0" w:evenVBand="1" w:oddHBand="0" w:evenHBand="0" w:firstRowFirstColumn="0" w:firstRowLastColumn="0" w:lastRowFirstColumn="0" w:lastRowLastColumn="0"/>
            <w:tcW w:w="660" w:type="pct"/>
          </w:tcPr>
          <w:p w14:paraId="2F86F66C" w14:textId="77777777" w:rsidR="004944DF" w:rsidRPr="00D70C07" w:rsidRDefault="004944DF">
            <w:pPr>
              <w:pStyle w:val="ARtablecolheadright"/>
              <w:rPr>
                <w:lang w:eastAsia="en-AU"/>
              </w:rPr>
            </w:pPr>
            <w:r w:rsidRPr="00D70C07">
              <w:rPr>
                <w:lang w:eastAsia="en-AU"/>
              </w:rPr>
              <w:t>Variation to published budget</w:t>
            </w:r>
          </w:p>
          <w:p w14:paraId="67A865F3" w14:textId="77777777" w:rsidR="004944DF" w:rsidRPr="00D70C07" w:rsidRDefault="004944DF">
            <w:pPr>
              <w:pStyle w:val="ARtablecolheadright"/>
              <w:rPr>
                <w:lang w:eastAsia="en-AU"/>
              </w:rPr>
            </w:pPr>
            <w:r w:rsidRPr="00D70C07">
              <w:rPr>
                <w:lang w:eastAsia="en-AU"/>
              </w:rPr>
              <w:t>%</w:t>
            </w:r>
          </w:p>
        </w:tc>
        <w:tc>
          <w:tcPr>
            <w:tcW w:w="378" w:type="pct"/>
          </w:tcPr>
          <w:p w14:paraId="425BF784" w14:textId="77777777" w:rsidR="004944DF" w:rsidRPr="00D70C07" w:rsidRDefault="004944DF">
            <w:pPr>
              <w:pStyle w:val="ARtablecolheadright"/>
              <w:cnfStyle w:val="100000000000" w:firstRow="1" w:lastRow="0" w:firstColumn="0" w:lastColumn="0" w:oddVBand="0" w:evenVBand="0" w:oddHBand="0" w:evenHBand="0" w:firstRowFirstColumn="0" w:firstRowLastColumn="0" w:lastRowFirstColumn="0" w:lastRowLastColumn="0"/>
              <w:rPr>
                <w:lang w:eastAsia="en-AU"/>
              </w:rPr>
            </w:pPr>
            <w:r w:rsidRPr="00D70C07">
              <w:rPr>
                <w:lang w:eastAsia="en-AU"/>
              </w:rPr>
              <w:t>Notes</w:t>
            </w:r>
          </w:p>
        </w:tc>
      </w:tr>
      <w:tr w:rsidR="004944DF" w:rsidRPr="00D70C07" w14:paraId="6B152867"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6" w:type="pct"/>
            <w:hideMark/>
          </w:tcPr>
          <w:p w14:paraId="142E63EF" w14:textId="77777777" w:rsidR="004944DF" w:rsidRPr="00D70C07" w:rsidRDefault="004944DF">
            <w:pPr>
              <w:pStyle w:val="ARTabletextboldcoloured"/>
              <w:rPr>
                <w:lang w:eastAsia="en-AU"/>
              </w:rPr>
            </w:pPr>
            <w:r w:rsidRPr="00D70C07">
              <w:rPr>
                <w:lang w:eastAsia="en-AU"/>
              </w:rPr>
              <w:t>Cash flows from operating activities</w:t>
            </w:r>
          </w:p>
        </w:tc>
        <w:tc>
          <w:tcPr>
            <w:cnfStyle w:val="000001000000" w:firstRow="0" w:lastRow="0" w:firstColumn="0" w:lastColumn="0" w:oddVBand="0" w:evenVBand="1" w:oddHBand="0" w:evenHBand="0" w:firstRowFirstColumn="0" w:firstRowLastColumn="0" w:lastRowFirstColumn="0" w:lastRowLastColumn="0"/>
            <w:tcW w:w="658" w:type="pct"/>
            <w:shd w:val="clear" w:color="auto" w:fill="auto"/>
            <w:hideMark/>
          </w:tcPr>
          <w:p w14:paraId="52BC7BAC" w14:textId="77777777" w:rsidR="004944DF" w:rsidRPr="00D70C07" w:rsidRDefault="004944DF">
            <w:pPr>
              <w:pStyle w:val="ARtabletextright"/>
              <w:rPr>
                <w:lang w:eastAsia="en-AU"/>
              </w:rPr>
            </w:pPr>
          </w:p>
        </w:tc>
        <w:tc>
          <w:tcPr>
            <w:tcW w:w="658" w:type="pct"/>
            <w:hideMark/>
          </w:tcPr>
          <w:p w14:paraId="23E16A00" w14:textId="77777777" w:rsidR="004944DF" w:rsidRPr="00D70C07"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660" w:type="pct"/>
            <w:shd w:val="clear" w:color="auto" w:fill="auto"/>
            <w:hideMark/>
          </w:tcPr>
          <w:p w14:paraId="19AC46C9" w14:textId="77777777" w:rsidR="004944DF" w:rsidRPr="00D70C07" w:rsidRDefault="004944DF">
            <w:pPr>
              <w:pStyle w:val="ARtabletextright"/>
              <w:rPr>
                <w:lang w:eastAsia="en-AU"/>
              </w:rPr>
            </w:pPr>
          </w:p>
        </w:tc>
        <w:tc>
          <w:tcPr>
            <w:tcW w:w="378" w:type="pct"/>
            <w:hideMark/>
          </w:tcPr>
          <w:p w14:paraId="01245D1F" w14:textId="77777777" w:rsidR="004944DF" w:rsidRPr="00D70C07"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D70C07" w14:paraId="3D1717CB"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6" w:type="pct"/>
            <w:hideMark/>
          </w:tcPr>
          <w:p w14:paraId="25BBF5D3" w14:textId="77777777" w:rsidR="004944DF" w:rsidRPr="00D70C07" w:rsidRDefault="004944DF">
            <w:pPr>
              <w:pStyle w:val="ARtabletextbold"/>
              <w:rPr>
                <w:lang w:eastAsia="en-AU"/>
              </w:rPr>
            </w:pPr>
            <w:r w:rsidRPr="00D70C07">
              <w:rPr>
                <w:lang w:eastAsia="en-AU"/>
              </w:rPr>
              <w:t>Receipts</w:t>
            </w:r>
          </w:p>
        </w:tc>
        <w:tc>
          <w:tcPr>
            <w:cnfStyle w:val="000001000000" w:firstRow="0" w:lastRow="0" w:firstColumn="0" w:lastColumn="0" w:oddVBand="0" w:evenVBand="1" w:oddHBand="0" w:evenHBand="0" w:firstRowFirstColumn="0" w:firstRowLastColumn="0" w:lastRowFirstColumn="0" w:lastRowLastColumn="0"/>
            <w:tcW w:w="658" w:type="pct"/>
            <w:shd w:val="clear" w:color="auto" w:fill="auto"/>
            <w:hideMark/>
          </w:tcPr>
          <w:p w14:paraId="36D26F27" w14:textId="77777777" w:rsidR="004944DF" w:rsidRPr="00D70C07" w:rsidRDefault="004944DF">
            <w:pPr>
              <w:pStyle w:val="ARtabletextright"/>
              <w:rPr>
                <w:lang w:eastAsia="en-AU"/>
              </w:rPr>
            </w:pPr>
          </w:p>
        </w:tc>
        <w:tc>
          <w:tcPr>
            <w:tcW w:w="658" w:type="pct"/>
            <w:hideMark/>
          </w:tcPr>
          <w:p w14:paraId="41FEFA4B" w14:textId="77777777" w:rsidR="004944DF" w:rsidRPr="00D70C07"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660" w:type="pct"/>
            <w:shd w:val="clear" w:color="auto" w:fill="auto"/>
            <w:hideMark/>
          </w:tcPr>
          <w:p w14:paraId="6DD4E1E4" w14:textId="77777777" w:rsidR="004944DF" w:rsidRPr="00D70C07" w:rsidRDefault="004944DF">
            <w:pPr>
              <w:pStyle w:val="ARtabletextright"/>
              <w:rPr>
                <w:lang w:eastAsia="en-AU"/>
              </w:rPr>
            </w:pPr>
          </w:p>
        </w:tc>
        <w:tc>
          <w:tcPr>
            <w:tcW w:w="378" w:type="pct"/>
            <w:hideMark/>
          </w:tcPr>
          <w:p w14:paraId="1AEACF15" w14:textId="77777777" w:rsidR="004944DF" w:rsidRPr="00D70C07"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D70C07" w14:paraId="2B953EFB"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6" w:type="pct"/>
            <w:hideMark/>
          </w:tcPr>
          <w:p w14:paraId="39F8A54E" w14:textId="77777777" w:rsidR="004944DF" w:rsidRPr="00D70C07" w:rsidRDefault="004944DF">
            <w:pPr>
              <w:pStyle w:val="ARTabletext"/>
              <w:rPr>
                <w:lang w:eastAsia="en-AU"/>
              </w:rPr>
            </w:pPr>
            <w:r w:rsidRPr="00D70C07">
              <w:rPr>
                <w:lang w:eastAsia="en-AU"/>
              </w:rPr>
              <w:t>Receipts from government</w:t>
            </w:r>
          </w:p>
        </w:tc>
        <w:tc>
          <w:tcPr>
            <w:cnfStyle w:val="000001000000" w:firstRow="0" w:lastRow="0" w:firstColumn="0" w:lastColumn="0" w:oddVBand="0" w:evenVBand="1" w:oddHBand="0" w:evenHBand="0" w:firstRowFirstColumn="0" w:firstRowLastColumn="0" w:lastRowFirstColumn="0" w:lastRowLastColumn="0"/>
            <w:tcW w:w="658" w:type="pct"/>
            <w:hideMark/>
          </w:tcPr>
          <w:p w14:paraId="12EA8405" w14:textId="77777777" w:rsidR="004944DF" w:rsidRPr="00D70C07" w:rsidRDefault="004944DF">
            <w:pPr>
              <w:pStyle w:val="ARtabletextright"/>
              <w:rPr>
                <w:lang w:eastAsia="en-AU"/>
              </w:rPr>
            </w:pPr>
            <w:r w:rsidRPr="00D70C07">
              <w:rPr>
                <w:lang w:eastAsia="en-AU"/>
              </w:rPr>
              <w:t>6,013</w:t>
            </w:r>
          </w:p>
        </w:tc>
        <w:tc>
          <w:tcPr>
            <w:tcW w:w="658" w:type="pct"/>
            <w:hideMark/>
          </w:tcPr>
          <w:p w14:paraId="49D76FC2" w14:textId="77777777" w:rsidR="004944DF" w:rsidRPr="00D70C07"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D70C07">
              <w:rPr>
                <w:lang w:eastAsia="en-AU"/>
              </w:rPr>
              <w:t>5,591</w:t>
            </w:r>
          </w:p>
        </w:tc>
        <w:tc>
          <w:tcPr>
            <w:cnfStyle w:val="000001000000" w:firstRow="0" w:lastRow="0" w:firstColumn="0" w:lastColumn="0" w:oddVBand="0" w:evenVBand="1" w:oddHBand="0" w:evenHBand="0" w:firstRowFirstColumn="0" w:firstRowLastColumn="0" w:lastRowFirstColumn="0" w:lastRowLastColumn="0"/>
            <w:tcW w:w="660" w:type="pct"/>
            <w:hideMark/>
          </w:tcPr>
          <w:p w14:paraId="68E74B4D" w14:textId="77777777" w:rsidR="004944DF" w:rsidRPr="00D70C07" w:rsidRDefault="004944DF">
            <w:pPr>
              <w:pStyle w:val="ARtabletextright"/>
              <w:rPr>
                <w:lang w:eastAsia="en-AU"/>
              </w:rPr>
            </w:pPr>
            <w:r w:rsidRPr="00D70C07">
              <w:rPr>
                <w:lang w:eastAsia="en-AU"/>
              </w:rPr>
              <w:t>7.5</w:t>
            </w:r>
          </w:p>
        </w:tc>
        <w:tc>
          <w:tcPr>
            <w:tcW w:w="378" w:type="pct"/>
            <w:hideMark/>
          </w:tcPr>
          <w:p w14:paraId="0C40C369" w14:textId="77777777" w:rsidR="004944DF" w:rsidRPr="00D70C07"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D70C07">
              <w:rPr>
                <w:lang w:eastAsia="en-AU"/>
              </w:rPr>
              <w:t>(a)</w:t>
            </w:r>
          </w:p>
        </w:tc>
      </w:tr>
      <w:tr w:rsidR="004944DF" w:rsidRPr="00D70C07" w14:paraId="111E8E05"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6" w:type="pct"/>
            <w:tcBorders>
              <w:bottom w:val="single" w:sz="4" w:space="0" w:color="BFBFBF" w:themeColor="accent2"/>
            </w:tcBorders>
            <w:hideMark/>
          </w:tcPr>
          <w:p w14:paraId="179DE0A1" w14:textId="77777777" w:rsidR="004944DF" w:rsidRPr="00D70C07" w:rsidRDefault="004944DF">
            <w:pPr>
              <w:pStyle w:val="ARTabletext"/>
              <w:rPr>
                <w:lang w:eastAsia="en-AU"/>
              </w:rPr>
            </w:pPr>
            <w:r w:rsidRPr="00D70C07">
              <w:rPr>
                <w:lang w:eastAsia="en-AU"/>
              </w:rPr>
              <w:t>Receipts from other entities</w:t>
            </w:r>
          </w:p>
        </w:tc>
        <w:tc>
          <w:tcPr>
            <w:cnfStyle w:val="000001000000" w:firstRow="0" w:lastRow="0" w:firstColumn="0" w:lastColumn="0" w:oddVBand="0" w:evenVBand="1" w:oddHBand="0" w:evenHBand="0" w:firstRowFirstColumn="0" w:firstRowLastColumn="0" w:lastRowFirstColumn="0" w:lastRowLastColumn="0"/>
            <w:tcW w:w="658" w:type="pct"/>
            <w:tcBorders>
              <w:bottom w:val="single" w:sz="4" w:space="0" w:color="BFBFBF" w:themeColor="accent2"/>
            </w:tcBorders>
            <w:hideMark/>
          </w:tcPr>
          <w:p w14:paraId="1EBF31DE" w14:textId="77777777" w:rsidR="004944DF" w:rsidRPr="00D70C07" w:rsidRDefault="004944DF">
            <w:pPr>
              <w:pStyle w:val="ARtabletextright"/>
              <w:rPr>
                <w:lang w:eastAsia="en-AU"/>
              </w:rPr>
            </w:pPr>
            <w:r w:rsidRPr="00D70C07">
              <w:rPr>
                <w:lang w:eastAsia="en-AU"/>
              </w:rPr>
              <w:t>65</w:t>
            </w:r>
          </w:p>
        </w:tc>
        <w:tc>
          <w:tcPr>
            <w:tcW w:w="658" w:type="pct"/>
            <w:tcBorders>
              <w:bottom w:val="single" w:sz="4" w:space="0" w:color="BFBFBF" w:themeColor="accent2"/>
            </w:tcBorders>
            <w:hideMark/>
          </w:tcPr>
          <w:p w14:paraId="27E8E006" w14:textId="77777777" w:rsidR="004944DF" w:rsidRPr="00D70C07"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r w:rsidRPr="00D70C07">
              <w:rPr>
                <w:lang w:eastAsia="en-AU"/>
              </w:rPr>
              <w:t>26</w:t>
            </w:r>
          </w:p>
        </w:tc>
        <w:tc>
          <w:tcPr>
            <w:cnfStyle w:val="000001000000" w:firstRow="0" w:lastRow="0" w:firstColumn="0" w:lastColumn="0" w:oddVBand="0" w:evenVBand="1" w:oddHBand="0" w:evenHBand="0" w:firstRowFirstColumn="0" w:firstRowLastColumn="0" w:lastRowFirstColumn="0" w:lastRowLastColumn="0"/>
            <w:tcW w:w="660" w:type="pct"/>
            <w:tcBorders>
              <w:bottom w:val="single" w:sz="4" w:space="0" w:color="BFBFBF" w:themeColor="accent2"/>
            </w:tcBorders>
            <w:hideMark/>
          </w:tcPr>
          <w:p w14:paraId="2BE71FDF" w14:textId="77777777" w:rsidR="004944DF" w:rsidRPr="00D70C07" w:rsidRDefault="004944DF">
            <w:pPr>
              <w:pStyle w:val="ARtabletextright"/>
              <w:rPr>
                <w:lang w:eastAsia="en-AU"/>
              </w:rPr>
            </w:pPr>
            <w:r w:rsidRPr="00D70C07">
              <w:rPr>
                <w:lang w:eastAsia="en-AU"/>
              </w:rPr>
              <w:t>146.5</w:t>
            </w:r>
          </w:p>
        </w:tc>
        <w:tc>
          <w:tcPr>
            <w:tcW w:w="378" w:type="pct"/>
            <w:tcBorders>
              <w:bottom w:val="single" w:sz="4" w:space="0" w:color="BFBFBF" w:themeColor="accent2"/>
            </w:tcBorders>
            <w:hideMark/>
          </w:tcPr>
          <w:p w14:paraId="5CBE71BF" w14:textId="77777777" w:rsidR="004944DF" w:rsidRPr="00D70C07"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r w:rsidRPr="00D70C07">
              <w:rPr>
                <w:lang w:eastAsia="en-AU"/>
              </w:rPr>
              <w:t>(b)</w:t>
            </w:r>
          </w:p>
        </w:tc>
      </w:tr>
      <w:tr w:rsidR="004944DF" w:rsidRPr="00D70C07" w14:paraId="196D53FA"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6" w:type="pct"/>
            <w:tcBorders>
              <w:top w:val="single" w:sz="4" w:space="0" w:color="BFBFBF" w:themeColor="accent2"/>
              <w:bottom w:val="single" w:sz="4" w:space="0" w:color="000000" w:themeColor="text1"/>
            </w:tcBorders>
            <w:hideMark/>
          </w:tcPr>
          <w:p w14:paraId="5C3B234A" w14:textId="77777777" w:rsidR="004944DF" w:rsidRPr="00D70C07" w:rsidRDefault="004944DF">
            <w:pPr>
              <w:pStyle w:val="ARTabletext"/>
              <w:rPr>
                <w:lang w:eastAsia="en-AU"/>
              </w:rPr>
            </w:pPr>
            <w:r w:rsidRPr="00D70C07">
              <w:rPr>
                <w:lang w:eastAsia="en-AU"/>
              </w:rPr>
              <w:t>Other receipts</w:t>
            </w:r>
          </w:p>
        </w:tc>
        <w:tc>
          <w:tcPr>
            <w:cnfStyle w:val="000001000000" w:firstRow="0" w:lastRow="0" w:firstColumn="0" w:lastColumn="0" w:oddVBand="0" w:evenVBand="1" w:oddHBand="0" w:evenHBand="0" w:firstRowFirstColumn="0" w:firstRowLastColumn="0" w:lastRowFirstColumn="0" w:lastRowLastColumn="0"/>
            <w:tcW w:w="658" w:type="pct"/>
            <w:tcBorders>
              <w:top w:val="single" w:sz="4" w:space="0" w:color="BFBFBF" w:themeColor="accent2"/>
              <w:bottom w:val="single" w:sz="4" w:space="0" w:color="000000" w:themeColor="text1"/>
            </w:tcBorders>
            <w:hideMark/>
          </w:tcPr>
          <w:p w14:paraId="63C5C70A" w14:textId="77777777" w:rsidR="004944DF" w:rsidRPr="00D70C07" w:rsidRDefault="004944DF">
            <w:pPr>
              <w:pStyle w:val="ARtabletextright"/>
              <w:rPr>
                <w:lang w:eastAsia="en-AU"/>
              </w:rPr>
            </w:pPr>
            <w:r w:rsidRPr="00D70C07">
              <w:rPr>
                <w:lang w:eastAsia="en-AU"/>
              </w:rPr>
              <w:t>(10)</w:t>
            </w:r>
          </w:p>
        </w:tc>
        <w:tc>
          <w:tcPr>
            <w:tcW w:w="658" w:type="pct"/>
            <w:tcBorders>
              <w:top w:val="single" w:sz="4" w:space="0" w:color="BFBFBF" w:themeColor="accent2"/>
              <w:bottom w:val="single" w:sz="4" w:space="0" w:color="000000" w:themeColor="text1"/>
            </w:tcBorders>
            <w:hideMark/>
          </w:tcPr>
          <w:p w14:paraId="3571BFD2" w14:textId="77777777" w:rsidR="004944DF" w:rsidRPr="00D70C07"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D70C07">
              <w:rPr>
                <w:lang w:eastAsia="en-AU"/>
              </w:rPr>
              <w:t>6</w:t>
            </w: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BFBFBF" w:themeColor="accent2"/>
              <w:bottom w:val="single" w:sz="4" w:space="0" w:color="000000" w:themeColor="text1"/>
            </w:tcBorders>
            <w:hideMark/>
          </w:tcPr>
          <w:p w14:paraId="67D8B86C" w14:textId="77777777" w:rsidR="004944DF" w:rsidRPr="00D70C07" w:rsidRDefault="004944DF">
            <w:pPr>
              <w:pStyle w:val="ARtabletextright"/>
              <w:rPr>
                <w:lang w:eastAsia="en-AU"/>
              </w:rPr>
            </w:pPr>
            <w:r w:rsidRPr="00D70C07">
              <w:rPr>
                <w:lang w:eastAsia="en-AU"/>
              </w:rPr>
              <w:t>(273)</w:t>
            </w:r>
          </w:p>
        </w:tc>
        <w:tc>
          <w:tcPr>
            <w:tcW w:w="378" w:type="pct"/>
            <w:tcBorders>
              <w:top w:val="single" w:sz="4" w:space="0" w:color="BFBFBF" w:themeColor="accent2"/>
              <w:bottom w:val="single" w:sz="4" w:space="0" w:color="000000" w:themeColor="text1"/>
            </w:tcBorders>
            <w:hideMark/>
          </w:tcPr>
          <w:p w14:paraId="0027FEF9" w14:textId="77777777" w:rsidR="004944DF" w:rsidRPr="00D70C07"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D70C07" w14:paraId="74925649"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6" w:type="pct"/>
            <w:tcBorders>
              <w:top w:val="single" w:sz="4" w:space="0" w:color="000000" w:themeColor="text1"/>
              <w:bottom w:val="single" w:sz="4" w:space="0" w:color="000000" w:themeColor="text1"/>
            </w:tcBorders>
            <w:hideMark/>
          </w:tcPr>
          <w:p w14:paraId="123B562C" w14:textId="77777777" w:rsidR="004944DF" w:rsidRPr="00D70C07" w:rsidRDefault="004944DF">
            <w:pPr>
              <w:pStyle w:val="ARtabletextbold"/>
              <w:rPr>
                <w:lang w:eastAsia="en-AU"/>
              </w:rPr>
            </w:pPr>
            <w:r w:rsidRPr="00D70C07">
              <w:rPr>
                <w:lang w:eastAsia="en-AU"/>
              </w:rPr>
              <w:t>Total receipts</w:t>
            </w:r>
          </w:p>
        </w:tc>
        <w:tc>
          <w:tcPr>
            <w:cnfStyle w:val="000001000000" w:firstRow="0" w:lastRow="0" w:firstColumn="0" w:lastColumn="0" w:oddVBand="0" w:evenVBand="1" w:oddHBand="0" w:evenHBand="0" w:firstRowFirstColumn="0" w:firstRowLastColumn="0" w:lastRowFirstColumn="0" w:lastRowLastColumn="0"/>
            <w:tcW w:w="658" w:type="pct"/>
            <w:tcBorders>
              <w:top w:val="single" w:sz="4" w:space="0" w:color="000000" w:themeColor="text1"/>
              <w:bottom w:val="single" w:sz="4" w:space="0" w:color="000000" w:themeColor="text1"/>
            </w:tcBorders>
            <w:hideMark/>
          </w:tcPr>
          <w:p w14:paraId="0965883F" w14:textId="77777777" w:rsidR="004944DF" w:rsidRPr="00D70C07" w:rsidRDefault="004944DF">
            <w:pPr>
              <w:pStyle w:val="ARtabletextrightbold"/>
              <w:rPr>
                <w:lang w:eastAsia="en-AU"/>
              </w:rPr>
            </w:pPr>
            <w:r w:rsidRPr="00D70C07">
              <w:rPr>
                <w:lang w:eastAsia="en-AU"/>
              </w:rPr>
              <w:t>6,068</w:t>
            </w:r>
          </w:p>
        </w:tc>
        <w:tc>
          <w:tcPr>
            <w:tcW w:w="658" w:type="pct"/>
            <w:tcBorders>
              <w:top w:val="single" w:sz="4" w:space="0" w:color="000000" w:themeColor="text1"/>
              <w:bottom w:val="single" w:sz="4" w:space="0" w:color="000000" w:themeColor="text1"/>
            </w:tcBorders>
            <w:hideMark/>
          </w:tcPr>
          <w:p w14:paraId="17288FA5" w14:textId="77777777" w:rsidR="004944DF" w:rsidRPr="00D70C07" w:rsidRDefault="004944DF">
            <w:pPr>
              <w:pStyle w:val="ARtabletextrightbold"/>
              <w:cnfStyle w:val="000000010000" w:firstRow="0" w:lastRow="0" w:firstColumn="0" w:lastColumn="0" w:oddVBand="0" w:evenVBand="0" w:oddHBand="0" w:evenHBand="1" w:firstRowFirstColumn="0" w:firstRowLastColumn="0" w:lastRowFirstColumn="0" w:lastRowLastColumn="0"/>
              <w:rPr>
                <w:lang w:eastAsia="en-AU"/>
              </w:rPr>
            </w:pPr>
            <w:r w:rsidRPr="00D70C07">
              <w:rPr>
                <w:lang w:eastAsia="en-AU"/>
              </w:rPr>
              <w:t>5,623</w:t>
            </w: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000000" w:themeColor="text1"/>
              <w:bottom w:val="single" w:sz="4" w:space="0" w:color="000000" w:themeColor="text1"/>
            </w:tcBorders>
            <w:hideMark/>
          </w:tcPr>
          <w:p w14:paraId="0A1B5FCD" w14:textId="77777777" w:rsidR="004944DF" w:rsidRPr="00D70C07" w:rsidRDefault="004944DF">
            <w:pPr>
              <w:pStyle w:val="ARtabletextrightbold"/>
              <w:rPr>
                <w:lang w:eastAsia="en-AU"/>
              </w:rPr>
            </w:pPr>
            <w:r w:rsidRPr="00D70C07">
              <w:rPr>
                <w:lang w:eastAsia="en-AU"/>
              </w:rPr>
              <w:t>7.9</w:t>
            </w:r>
          </w:p>
        </w:tc>
        <w:tc>
          <w:tcPr>
            <w:tcW w:w="378" w:type="pct"/>
            <w:tcBorders>
              <w:top w:val="single" w:sz="4" w:space="0" w:color="000000" w:themeColor="text1"/>
              <w:bottom w:val="single" w:sz="4" w:space="0" w:color="000000" w:themeColor="text1"/>
            </w:tcBorders>
            <w:hideMark/>
          </w:tcPr>
          <w:p w14:paraId="5737039C" w14:textId="77777777" w:rsidR="004944DF" w:rsidRPr="00D70C07"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D70C07" w14:paraId="2C8BAFFB"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6" w:type="pct"/>
            <w:tcBorders>
              <w:top w:val="single" w:sz="4" w:space="0" w:color="000000" w:themeColor="text1"/>
            </w:tcBorders>
            <w:hideMark/>
          </w:tcPr>
          <w:p w14:paraId="2D05200A" w14:textId="77777777" w:rsidR="004944DF" w:rsidRPr="00D70C07" w:rsidRDefault="004944DF">
            <w:pPr>
              <w:pStyle w:val="ARTabletextboldcoloured"/>
              <w:rPr>
                <w:lang w:eastAsia="en-AU"/>
              </w:rPr>
            </w:pPr>
            <w:r w:rsidRPr="00D70C07">
              <w:rPr>
                <w:lang w:eastAsia="en-AU"/>
              </w:rPr>
              <w:t>Payments</w:t>
            </w:r>
          </w:p>
        </w:tc>
        <w:tc>
          <w:tcPr>
            <w:cnfStyle w:val="000001000000" w:firstRow="0" w:lastRow="0" w:firstColumn="0" w:lastColumn="0" w:oddVBand="0" w:evenVBand="1" w:oddHBand="0" w:evenHBand="0" w:firstRowFirstColumn="0" w:firstRowLastColumn="0" w:lastRowFirstColumn="0" w:lastRowLastColumn="0"/>
            <w:tcW w:w="658" w:type="pct"/>
            <w:tcBorders>
              <w:top w:val="single" w:sz="4" w:space="0" w:color="000000" w:themeColor="text1"/>
            </w:tcBorders>
            <w:shd w:val="clear" w:color="auto" w:fill="auto"/>
            <w:noWrap/>
            <w:hideMark/>
          </w:tcPr>
          <w:p w14:paraId="38AADA4D" w14:textId="77777777" w:rsidR="004944DF" w:rsidRPr="00E95978" w:rsidRDefault="004944DF">
            <w:pPr>
              <w:pStyle w:val="ARtabletextright"/>
              <w:rPr>
                <w:lang w:eastAsia="en-AU"/>
              </w:rPr>
            </w:pPr>
          </w:p>
        </w:tc>
        <w:tc>
          <w:tcPr>
            <w:tcW w:w="658" w:type="pct"/>
            <w:tcBorders>
              <w:top w:val="single" w:sz="4" w:space="0" w:color="000000" w:themeColor="text1"/>
            </w:tcBorders>
            <w:noWrap/>
            <w:hideMark/>
          </w:tcPr>
          <w:p w14:paraId="0D859E6F" w14:textId="77777777" w:rsidR="004944DF" w:rsidRPr="00E95978"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000000" w:themeColor="text1"/>
            </w:tcBorders>
            <w:shd w:val="clear" w:color="auto" w:fill="auto"/>
            <w:hideMark/>
          </w:tcPr>
          <w:p w14:paraId="5A1BAF5C" w14:textId="77777777" w:rsidR="004944DF" w:rsidRPr="00D70C07" w:rsidRDefault="004944DF">
            <w:pPr>
              <w:pStyle w:val="ARtabletextright"/>
              <w:rPr>
                <w:lang w:eastAsia="en-AU"/>
              </w:rPr>
            </w:pPr>
          </w:p>
        </w:tc>
        <w:tc>
          <w:tcPr>
            <w:tcW w:w="378" w:type="pct"/>
            <w:tcBorders>
              <w:top w:val="single" w:sz="4" w:space="0" w:color="000000" w:themeColor="text1"/>
            </w:tcBorders>
            <w:hideMark/>
          </w:tcPr>
          <w:p w14:paraId="73234E9C" w14:textId="77777777" w:rsidR="004944DF" w:rsidRPr="00D70C07"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D70C07" w14:paraId="195F18D2"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6" w:type="pct"/>
            <w:hideMark/>
          </w:tcPr>
          <w:p w14:paraId="05EB0D06" w14:textId="77777777" w:rsidR="004944DF" w:rsidRPr="00D70C07" w:rsidRDefault="004944DF">
            <w:pPr>
              <w:pStyle w:val="ARTabletext"/>
              <w:rPr>
                <w:lang w:eastAsia="en-AU"/>
              </w:rPr>
            </w:pPr>
            <w:r w:rsidRPr="00D70C07">
              <w:rPr>
                <w:lang w:eastAsia="en-AU"/>
              </w:rPr>
              <w:t>Payments of grants and other transfers</w:t>
            </w:r>
          </w:p>
        </w:tc>
        <w:tc>
          <w:tcPr>
            <w:cnfStyle w:val="000001000000" w:firstRow="0" w:lastRow="0" w:firstColumn="0" w:lastColumn="0" w:oddVBand="0" w:evenVBand="1" w:oddHBand="0" w:evenHBand="0" w:firstRowFirstColumn="0" w:firstRowLastColumn="0" w:lastRowFirstColumn="0" w:lastRowLastColumn="0"/>
            <w:tcW w:w="658" w:type="pct"/>
            <w:hideMark/>
          </w:tcPr>
          <w:p w14:paraId="255F54AE" w14:textId="77777777" w:rsidR="004944DF" w:rsidRPr="00D70C07" w:rsidRDefault="004944DF">
            <w:pPr>
              <w:pStyle w:val="ARtabletextright"/>
              <w:rPr>
                <w:lang w:eastAsia="en-AU"/>
              </w:rPr>
            </w:pPr>
            <w:r w:rsidRPr="00D70C07">
              <w:rPr>
                <w:lang w:eastAsia="en-AU"/>
              </w:rPr>
              <w:t>(1,225)</w:t>
            </w:r>
          </w:p>
        </w:tc>
        <w:tc>
          <w:tcPr>
            <w:tcW w:w="658" w:type="pct"/>
            <w:hideMark/>
          </w:tcPr>
          <w:p w14:paraId="55406536" w14:textId="77777777" w:rsidR="004944DF" w:rsidRPr="00D70C07"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r w:rsidRPr="00D70C07">
              <w:rPr>
                <w:lang w:eastAsia="en-AU"/>
              </w:rPr>
              <w:t>(1,185)</w:t>
            </w:r>
          </w:p>
        </w:tc>
        <w:tc>
          <w:tcPr>
            <w:cnfStyle w:val="000001000000" w:firstRow="0" w:lastRow="0" w:firstColumn="0" w:lastColumn="0" w:oddVBand="0" w:evenVBand="1" w:oddHBand="0" w:evenHBand="0" w:firstRowFirstColumn="0" w:firstRowLastColumn="0" w:lastRowFirstColumn="0" w:lastRowLastColumn="0"/>
            <w:tcW w:w="660" w:type="pct"/>
            <w:hideMark/>
          </w:tcPr>
          <w:p w14:paraId="2277A5D5" w14:textId="77777777" w:rsidR="004944DF" w:rsidRPr="00D70C07" w:rsidRDefault="004944DF">
            <w:pPr>
              <w:pStyle w:val="ARtabletextright"/>
              <w:rPr>
                <w:lang w:eastAsia="en-AU"/>
              </w:rPr>
            </w:pPr>
            <w:r w:rsidRPr="00D70C07">
              <w:rPr>
                <w:lang w:eastAsia="en-AU"/>
              </w:rPr>
              <w:t>3.3</w:t>
            </w:r>
          </w:p>
        </w:tc>
        <w:tc>
          <w:tcPr>
            <w:tcW w:w="378" w:type="pct"/>
            <w:hideMark/>
          </w:tcPr>
          <w:p w14:paraId="63218E5B" w14:textId="77777777" w:rsidR="004944DF" w:rsidRPr="00D70C07"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D70C07" w14:paraId="7A61CCA6"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6" w:type="pct"/>
            <w:tcBorders>
              <w:bottom w:val="single" w:sz="4" w:space="0" w:color="BFBFBF" w:themeColor="accent2"/>
            </w:tcBorders>
            <w:hideMark/>
          </w:tcPr>
          <w:p w14:paraId="7047E902" w14:textId="77777777" w:rsidR="004944DF" w:rsidRPr="00D70C07" w:rsidRDefault="004944DF">
            <w:pPr>
              <w:pStyle w:val="ARTabletext"/>
              <w:rPr>
                <w:lang w:eastAsia="en-AU"/>
              </w:rPr>
            </w:pPr>
            <w:r w:rsidRPr="00D70C07">
              <w:rPr>
                <w:lang w:eastAsia="en-AU"/>
              </w:rPr>
              <w:t>Payments to suppliers and employees</w:t>
            </w:r>
          </w:p>
        </w:tc>
        <w:tc>
          <w:tcPr>
            <w:cnfStyle w:val="000001000000" w:firstRow="0" w:lastRow="0" w:firstColumn="0" w:lastColumn="0" w:oddVBand="0" w:evenVBand="1" w:oddHBand="0" w:evenHBand="0" w:firstRowFirstColumn="0" w:firstRowLastColumn="0" w:lastRowFirstColumn="0" w:lastRowLastColumn="0"/>
            <w:tcW w:w="658" w:type="pct"/>
            <w:tcBorders>
              <w:bottom w:val="single" w:sz="4" w:space="0" w:color="BFBFBF" w:themeColor="accent2"/>
            </w:tcBorders>
            <w:hideMark/>
          </w:tcPr>
          <w:p w14:paraId="11C2DED3" w14:textId="77777777" w:rsidR="004944DF" w:rsidRPr="00D70C07" w:rsidRDefault="004944DF">
            <w:pPr>
              <w:pStyle w:val="ARtabletextright"/>
              <w:rPr>
                <w:lang w:eastAsia="en-AU"/>
              </w:rPr>
            </w:pPr>
            <w:r w:rsidRPr="00D70C07">
              <w:rPr>
                <w:lang w:eastAsia="en-AU"/>
              </w:rPr>
              <w:t>(4,771)</w:t>
            </w:r>
          </w:p>
        </w:tc>
        <w:tc>
          <w:tcPr>
            <w:tcW w:w="658" w:type="pct"/>
            <w:tcBorders>
              <w:bottom w:val="single" w:sz="4" w:space="0" w:color="BFBFBF" w:themeColor="accent2"/>
            </w:tcBorders>
            <w:hideMark/>
          </w:tcPr>
          <w:p w14:paraId="7BEB0A1C" w14:textId="77777777" w:rsidR="004944DF" w:rsidRPr="00D70C07"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D70C07">
              <w:rPr>
                <w:lang w:eastAsia="en-AU"/>
              </w:rPr>
              <w:t>(4,407)</w:t>
            </w:r>
          </w:p>
        </w:tc>
        <w:tc>
          <w:tcPr>
            <w:cnfStyle w:val="000001000000" w:firstRow="0" w:lastRow="0" w:firstColumn="0" w:lastColumn="0" w:oddVBand="0" w:evenVBand="1" w:oddHBand="0" w:evenHBand="0" w:firstRowFirstColumn="0" w:firstRowLastColumn="0" w:lastRowFirstColumn="0" w:lastRowLastColumn="0"/>
            <w:tcW w:w="660" w:type="pct"/>
            <w:tcBorders>
              <w:bottom w:val="single" w:sz="4" w:space="0" w:color="BFBFBF" w:themeColor="accent2"/>
            </w:tcBorders>
            <w:hideMark/>
          </w:tcPr>
          <w:p w14:paraId="02EFBCA0" w14:textId="77777777" w:rsidR="004944DF" w:rsidRPr="00D70C07" w:rsidRDefault="004944DF">
            <w:pPr>
              <w:pStyle w:val="ARtabletextright"/>
              <w:rPr>
                <w:lang w:eastAsia="en-AU"/>
              </w:rPr>
            </w:pPr>
            <w:r w:rsidRPr="00D70C07">
              <w:rPr>
                <w:lang w:eastAsia="en-AU"/>
              </w:rPr>
              <w:t>8.3</w:t>
            </w:r>
          </w:p>
        </w:tc>
        <w:tc>
          <w:tcPr>
            <w:tcW w:w="378" w:type="pct"/>
            <w:tcBorders>
              <w:bottom w:val="single" w:sz="4" w:space="0" w:color="BFBFBF" w:themeColor="accent2"/>
            </w:tcBorders>
            <w:hideMark/>
          </w:tcPr>
          <w:p w14:paraId="422401B1" w14:textId="77777777" w:rsidR="004944DF" w:rsidRPr="00D70C07"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D70C07">
              <w:rPr>
                <w:lang w:eastAsia="en-AU"/>
              </w:rPr>
              <w:t>(c)</w:t>
            </w:r>
          </w:p>
        </w:tc>
      </w:tr>
      <w:tr w:rsidR="004944DF" w:rsidRPr="00D70C07" w14:paraId="55295D03"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6" w:type="pct"/>
            <w:tcBorders>
              <w:top w:val="single" w:sz="4" w:space="0" w:color="BFBFBF" w:themeColor="accent2"/>
              <w:bottom w:val="single" w:sz="4" w:space="0" w:color="000000" w:themeColor="text1"/>
            </w:tcBorders>
            <w:hideMark/>
          </w:tcPr>
          <w:p w14:paraId="14F4FBFC" w14:textId="77777777" w:rsidR="004944DF" w:rsidRPr="00D70C07" w:rsidRDefault="004944DF">
            <w:pPr>
              <w:pStyle w:val="ARTabletext"/>
              <w:rPr>
                <w:lang w:eastAsia="en-AU"/>
              </w:rPr>
            </w:pPr>
            <w:r w:rsidRPr="00D70C07">
              <w:rPr>
                <w:lang w:eastAsia="en-AU"/>
              </w:rPr>
              <w:t>Interest and other costs of finance</w:t>
            </w:r>
          </w:p>
        </w:tc>
        <w:tc>
          <w:tcPr>
            <w:cnfStyle w:val="000001000000" w:firstRow="0" w:lastRow="0" w:firstColumn="0" w:lastColumn="0" w:oddVBand="0" w:evenVBand="1" w:oddHBand="0" w:evenHBand="0" w:firstRowFirstColumn="0" w:firstRowLastColumn="0" w:lastRowFirstColumn="0" w:lastRowLastColumn="0"/>
            <w:tcW w:w="658" w:type="pct"/>
            <w:tcBorders>
              <w:top w:val="single" w:sz="4" w:space="0" w:color="BFBFBF" w:themeColor="accent2"/>
              <w:bottom w:val="single" w:sz="4" w:space="0" w:color="000000" w:themeColor="text1"/>
            </w:tcBorders>
            <w:hideMark/>
          </w:tcPr>
          <w:p w14:paraId="1573B9CE" w14:textId="77777777" w:rsidR="004944DF" w:rsidRPr="00D70C07" w:rsidRDefault="004944DF">
            <w:pPr>
              <w:pStyle w:val="ARtabletextright"/>
              <w:rPr>
                <w:lang w:eastAsia="en-AU"/>
              </w:rPr>
            </w:pPr>
            <w:r w:rsidRPr="00D70C07">
              <w:rPr>
                <w:lang w:eastAsia="en-AU"/>
              </w:rPr>
              <w:t>(2)</w:t>
            </w:r>
          </w:p>
        </w:tc>
        <w:tc>
          <w:tcPr>
            <w:tcW w:w="658" w:type="pct"/>
            <w:tcBorders>
              <w:top w:val="single" w:sz="4" w:space="0" w:color="BFBFBF" w:themeColor="accent2"/>
              <w:bottom w:val="single" w:sz="4" w:space="0" w:color="000000" w:themeColor="text1"/>
            </w:tcBorders>
            <w:hideMark/>
          </w:tcPr>
          <w:p w14:paraId="13ABE3B6" w14:textId="77777777" w:rsidR="004944DF" w:rsidRPr="00D70C07"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r w:rsidRPr="00D70C07">
              <w:rPr>
                <w:lang w:eastAsia="en-AU"/>
              </w:rPr>
              <w:t>(3)</w:t>
            </w: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BFBFBF" w:themeColor="accent2"/>
              <w:bottom w:val="single" w:sz="4" w:space="0" w:color="000000" w:themeColor="text1"/>
            </w:tcBorders>
            <w:hideMark/>
          </w:tcPr>
          <w:p w14:paraId="444B88B8" w14:textId="77777777" w:rsidR="004944DF" w:rsidRPr="00D70C07" w:rsidRDefault="004944DF">
            <w:pPr>
              <w:pStyle w:val="ARtabletextright"/>
              <w:rPr>
                <w:lang w:eastAsia="en-AU"/>
              </w:rPr>
            </w:pPr>
            <w:r w:rsidRPr="00D70C07">
              <w:rPr>
                <w:lang w:eastAsia="en-AU"/>
              </w:rPr>
              <w:t>(16.7)</w:t>
            </w:r>
          </w:p>
        </w:tc>
        <w:tc>
          <w:tcPr>
            <w:tcW w:w="378" w:type="pct"/>
            <w:tcBorders>
              <w:top w:val="single" w:sz="4" w:space="0" w:color="BFBFBF" w:themeColor="accent2"/>
              <w:bottom w:val="single" w:sz="4" w:space="0" w:color="000000" w:themeColor="text1"/>
            </w:tcBorders>
            <w:hideMark/>
          </w:tcPr>
          <w:p w14:paraId="20C8DF40" w14:textId="77777777" w:rsidR="004944DF" w:rsidRPr="00D70C07"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D70C07" w14:paraId="3A2DDEEB"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6" w:type="pct"/>
            <w:tcBorders>
              <w:top w:val="single" w:sz="4" w:space="0" w:color="000000" w:themeColor="text1"/>
              <w:bottom w:val="single" w:sz="4" w:space="0" w:color="000000" w:themeColor="text1"/>
            </w:tcBorders>
            <w:hideMark/>
          </w:tcPr>
          <w:p w14:paraId="2EE20FDC" w14:textId="77777777" w:rsidR="004944DF" w:rsidRPr="00D70C07" w:rsidRDefault="004944DF">
            <w:pPr>
              <w:pStyle w:val="ARtabletextbold"/>
              <w:rPr>
                <w:lang w:eastAsia="en-AU"/>
              </w:rPr>
            </w:pPr>
            <w:r w:rsidRPr="00D70C07">
              <w:rPr>
                <w:lang w:eastAsia="en-AU"/>
              </w:rPr>
              <w:t>Total payments</w:t>
            </w:r>
          </w:p>
        </w:tc>
        <w:tc>
          <w:tcPr>
            <w:cnfStyle w:val="000001000000" w:firstRow="0" w:lastRow="0" w:firstColumn="0" w:lastColumn="0" w:oddVBand="0" w:evenVBand="1" w:oddHBand="0" w:evenHBand="0" w:firstRowFirstColumn="0" w:firstRowLastColumn="0" w:lastRowFirstColumn="0" w:lastRowLastColumn="0"/>
            <w:tcW w:w="658" w:type="pct"/>
            <w:tcBorders>
              <w:top w:val="single" w:sz="4" w:space="0" w:color="000000" w:themeColor="text1"/>
              <w:bottom w:val="single" w:sz="4" w:space="0" w:color="000000" w:themeColor="text1"/>
            </w:tcBorders>
            <w:hideMark/>
          </w:tcPr>
          <w:p w14:paraId="3187479C" w14:textId="77777777" w:rsidR="004944DF" w:rsidRPr="00D70C07" w:rsidRDefault="004944DF">
            <w:pPr>
              <w:pStyle w:val="ARtabletextrightbold"/>
              <w:rPr>
                <w:lang w:eastAsia="en-AU"/>
              </w:rPr>
            </w:pPr>
            <w:r w:rsidRPr="00D70C07">
              <w:rPr>
                <w:lang w:eastAsia="en-AU"/>
              </w:rPr>
              <w:t>(5,999)</w:t>
            </w:r>
          </w:p>
        </w:tc>
        <w:tc>
          <w:tcPr>
            <w:tcW w:w="658" w:type="pct"/>
            <w:tcBorders>
              <w:top w:val="single" w:sz="4" w:space="0" w:color="000000" w:themeColor="text1"/>
              <w:bottom w:val="single" w:sz="4" w:space="0" w:color="000000" w:themeColor="text1"/>
            </w:tcBorders>
            <w:hideMark/>
          </w:tcPr>
          <w:p w14:paraId="2DD2F999" w14:textId="77777777" w:rsidR="004944DF" w:rsidRPr="00D70C07" w:rsidRDefault="004944DF">
            <w:pPr>
              <w:pStyle w:val="ARtabletextrightbold"/>
              <w:cnfStyle w:val="000000100000" w:firstRow="0" w:lastRow="0" w:firstColumn="0" w:lastColumn="0" w:oddVBand="0" w:evenVBand="0" w:oddHBand="1" w:evenHBand="0" w:firstRowFirstColumn="0" w:firstRowLastColumn="0" w:lastRowFirstColumn="0" w:lastRowLastColumn="0"/>
              <w:rPr>
                <w:lang w:eastAsia="en-AU"/>
              </w:rPr>
            </w:pPr>
            <w:r w:rsidRPr="00D70C07">
              <w:rPr>
                <w:lang w:eastAsia="en-AU"/>
              </w:rPr>
              <w:t>(5,595)</w:t>
            </w: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000000" w:themeColor="text1"/>
              <w:bottom w:val="single" w:sz="4" w:space="0" w:color="000000" w:themeColor="text1"/>
            </w:tcBorders>
            <w:hideMark/>
          </w:tcPr>
          <w:p w14:paraId="11BE38D4" w14:textId="77777777" w:rsidR="004944DF" w:rsidRPr="00D70C07" w:rsidRDefault="004944DF">
            <w:pPr>
              <w:pStyle w:val="ARtabletextrightbold"/>
              <w:rPr>
                <w:lang w:eastAsia="en-AU"/>
              </w:rPr>
            </w:pPr>
            <w:r w:rsidRPr="00D70C07">
              <w:rPr>
                <w:lang w:eastAsia="en-AU"/>
              </w:rPr>
              <w:t>7.2</w:t>
            </w:r>
          </w:p>
        </w:tc>
        <w:tc>
          <w:tcPr>
            <w:tcW w:w="378" w:type="pct"/>
            <w:tcBorders>
              <w:top w:val="single" w:sz="4" w:space="0" w:color="000000" w:themeColor="text1"/>
              <w:bottom w:val="single" w:sz="4" w:space="0" w:color="000000" w:themeColor="text1"/>
            </w:tcBorders>
            <w:hideMark/>
          </w:tcPr>
          <w:p w14:paraId="4996D31D" w14:textId="77777777" w:rsidR="004944DF" w:rsidRPr="00D70C07" w:rsidRDefault="004944DF">
            <w:pPr>
              <w:pStyle w:val="ARtabletextrightbold"/>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D70C07" w14:paraId="1DCACE0E"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6" w:type="pct"/>
            <w:tcBorders>
              <w:top w:val="single" w:sz="4" w:space="0" w:color="000000" w:themeColor="text1"/>
              <w:bottom w:val="single" w:sz="4" w:space="0" w:color="000000" w:themeColor="text1"/>
            </w:tcBorders>
            <w:hideMark/>
          </w:tcPr>
          <w:p w14:paraId="0CCDBFFB" w14:textId="77777777" w:rsidR="004944DF" w:rsidRPr="00D70C07" w:rsidRDefault="004944DF">
            <w:pPr>
              <w:pStyle w:val="ARtabletextbold"/>
              <w:rPr>
                <w:lang w:eastAsia="en-AU"/>
              </w:rPr>
            </w:pPr>
            <w:r w:rsidRPr="00D70C07">
              <w:rPr>
                <w:lang w:eastAsia="en-AU"/>
              </w:rPr>
              <w:t>Net cash flows from</w:t>
            </w:r>
            <w:proofErr w:type="gramStart"/>
            <w:r w:rsidRPr="00D70C07">
              <w:rPr>
                <w:lang w:eastAsia="en-AU"/>
              </w:rPr>
              <w:t>/(</w:t>
            </w:r>
            <w:proofErr w:type="gramEnd"/>
            <w:r w:rsidRPr="00D70C07">
              <w:rPr>
                <w:lang w:eastAsia="en-AU"/>
              </w:rPr>
              <w:t>used in) operating activities</w:t>
            </w:r>
          </w:p>
        </w:tc>
        <w:tc>
          <w:tcPr>
            <w:cnfStyle w:val="000001000000" w:firstRow="0" w:lastRow="0" w:firstColumn="0" w:lastColumn="0" w:oddVBand="0" w:evenVBand="1" w:oddHBand="0" w:evenHBand="0" w:firstRowFirstColumn="0" w:firstRowLastColumn="0" w:lastRowFirstColumn="0" w:lastRowLastColumn="0"/>
            <w:tcW w:w="658" w:type="pct"/>
            <w:tcBorders>
              <w:top w:val="single" w:sz="4" w:space="0" w:color="000000" w:themeColor="text1"/>
              <w:bottom w:val="single" w:sz="4" w:space="0" w:color="000000" w:themeColor="text1"/>
            </w:tcBorders>
            <w:hideMark/>
          </w:tcPr>
          <w:p w14:paraId="4C4AB528" w14:textId="77777777" w:rsidR="004944DF" w:rsidRPr="00D70C07" w:rsidRDefault="004944DF">
            <w:pPr>
              <w:pStyle w:val="ARtabletextrightbold"/>
              <w:rPr>
                <w:lang w:eastAsia="en-AU"/>
              </w:rPr>
            </w:pPr>
            <w:r w:rsidRPr="00D70C07">
              <w:rPr>
                <w:lang w:eastAsia="en-AU"/>
              </w:rPr>
              <w:t>70</w:t>
            </w:r>
          </w:p>
        </w:tc>
        <w:tc>
          <w:tcPr>
            <w:tcW w:w="658" w:type="pct"/>
            <w:tcBorders>
              <w:top w:val="single" w:sz="4" w:space="0" w:color="000000" w:themeColor="text1"/>
              <w:bottom w:val="single" w:sz="4" w:space="0" w:color="000000" w:themeColor="text1"/>
            </w:tcBorders>
            <w:hideMark/>
          </w:tcPr>
          <w:p w14:paraId="6914A97A" w14:textId="77777777" w:rsidR="004944DF" w:rsidRPr="00D70C07" w:rsidRDefault="004944DF">
            <w:pPr>
              <w:pStyle w:val="ARtabletextrightbold"/>
              <w:cnfStyle w:val="000000010000" w:firstRow="0" w:lastRow="0" w:firstColumn="0" w:lastColumn="0" w:oddVBand="0" w:evenVBand="0" w:oddHBand="0" w:evenHBand="1" w:firstRowFirstColumn="0" w:firstRowLastColumn="0" w:lastRowFirstColumn="0" w:lastRowLastColumn="0"/>
              <w:rPr>
                <w:lang w:eastAsia="en-AU"/>
              </w:rPr>
            </w:pPr>
            <w:r w:rsidRPr="00D70C07">
              <w:rPr>
                <w:lang w:eastAsia="en-AU"/>
              </w:rPr>
              <w:t>28</w:t>
            </w: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000000" w:themeColor="text1"/>
              <w:bottom w:val="single" w:sz="4" w:space="0" w:color="000000" w:themeColor="text1"/>
            </w:tcBorders>
            <w:hideMark/>
          </w:tcPr>
          <w:p w14:paraId="58B6A761" w14:textId="77777777" w:rsidR="004944DF" w:rsidRPr="00D70C07" w:rsidRDefault="004944DF">
            <w:pPr>
              <w:pStyle w:val="ARtabletextrightbold"/>
              <w:rPr>
                <w:lang w:eastAsia="en-AU"/>
              </w:rPr>
            </w:pPr>
            <w:r w:rsidRPr="00D70C07">
              <w:rPr>
                <w:lang w:eastAsia="en-AU"/>
              </w:rPr>
              <w:t>148.6</w:t>
            </w:r>
          </w:p>
        </w:tc>
        <w:tc>
          <w:tcPr>
            <w:tcW w:w="378" w:type="pct"/>
            <w:tcBorders>
              <w:top w:val="single" w:sz="4" w:space="0" w:color="000000" w:themeColor="text1"/>
              <w:bottom w:val="single" w:sz="4" w:space="0" w:color="000000" w:themeColor="text1"/>
            </w:tcBorders>
            <w:hideMark/>
          </w:tcPr>
          <w:p w14:paraId="724009F4" w14:textId="77777777" w:rsidR="004944DF" w:rsidRPr="00D70C07" w:rsidRDefault="004944DF">
            <w:pPr>
              <w:pStyle w:val="ARtabletextrightbold"/>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D70C07" w14:paraId="51D80712"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6" w:type="pct"/>
            <w:tcBorders>
              <w:top w:val="single" w:sz="4" w:space="0" w:color="000000" w:themeColor="text1"/>
            </w:tcBorders>
            <w:hideMark/>
          </w:tcPr>
          <w:p w14:paraId="084F9EAB" w14:textId="77777777" w:rsidR="004944DF" w:rsidRPr="00D70C07" w:rsidRDefault="004944DF">
            <w:pPr>
              <w:pStyle w:val="ARTabletextboldcoloured"/>
              <w:rPr>
                <w:lang w:eastAsia="en-AU"/>
              </w:rPr>
            </w:pPr>
            <w:r w:rsidRPr="00D70C07">
              <w:rPr>
                <w:lang w:eastAsia="en-AU"/>
              </w:rPr>
              <w:t>Cash flows from investing activities</w:t>
            </w:r>
          </w:p>
        </w:tc>
        <w:tc>
          <w:tcPr>
            <w:cnfStyle w:val="000001000000" w:firstRow="0" w:lastRow="0" w:firstColumn="0" w:lastColumn="0" w:oddVBand="0" w:evenVBand="1" w:oddHBand="0" w:evenHBand="0" w:firstRowFirstColumn="0" w:firstRowLastColumn="0" w:lastRowFirstColumn="0" w:lastRowLastColumn="0"/>
            <w:tcW w:w="658" w:type="pct"/>
            <w:tcBorders>
              <w:top w:val="single" w:sz="4" w:space="0" w:color="000000" w:themeColor="text1"/>
            </w:tcBorders>
            <w:shd w:val="clear" w:color="auto" w:fill="auto"/>
            <w:noWrap/>
            <w:hideMark/>
          </w:tcPr>
          <w:p w14:paraId="7186C6B5" w14:textId="77777777" w:rsidR="004944DF" w:rsidRPr="00F0501A" w:rsidRDefault="004944DF" w:rsidP="00F0501A">
            <w:pPr>
              <w:pStyle w:val="ARtabletextright"/>
            </w:pPr>
          </w:p>
        </w:tc>
        <w:tc>
          <w:tcPr>
            <w:tcW w:w="658" w:type="pct"/>
            <w:tcBorders>
              <w:top w:val="single" w:sz="4" w:space="0" w:color="000000" w:themeColor="text1"/>
            </w:tcBorders>
            <w:noWrap/>
            <w:hideMark/>
          </w:tcPr>
          <w:p w14:paraId="5A81FD9F" w14:textId="77777777" w:rsidR="004944DF" w:rsidRPr="00F0501A" w:rsidRDefault="004944DF" w:rsidP="00F0501A">
            <w:pPr>
              <w:pStyle w:val="ARtabletextrigh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000000" w:themeColor="text1"/>
            </w:tcBorders>
            <w:shd w:val="clear" w:color="auto" w:fill="auto"/>
            <w:hideMark/>
          </w:tcPr>
          <w:p w14:paraId="47EB9DF2" w14:textId="77777777" w:rsidR="004944DF" w:rsidRPr="00F0501A" w:rsidRDefault="004944DF" w:rsidP="00F0501A">
            <w:pPr>
              <w:pStyle w:val="ARtabletextright"/>
            </w:pPr>
          </w:p>
        </w:tc>
        <w:tc>
          <w:tcPr>
            <w:tcW w:w="378" w:type="pct"/>
            <w:tcBorders>
              <w:top w:val="single" w:sz="4" w:space="0" w:color="000000" w:themeColor="text1"/>
            </w:tcBorders>
            <w:hideMark/>
          </w:tcPr>
          <w:p w14:paraId="351716F2" w14:textId="77777777" w:rsidR="004944DF" w:rsidRPr="00D70C07"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D70C07" w14:paraId="45606377"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6" w:type="pct"/>
            <w:hideMark/>
          </w:tcPr>
          <w:p w14:paraId="6794307A" w14:textId="77777777" w:rsidR="004944DF" w:rsidRPr="00D70C07" w:rsidRDefault="004944DF">
            <w:pPr>
              <w:pStyle w:val="ARTabletext"/>
              <w:rPr>
                <w:lang w:eastAsia="en-AU"/>
              </w:rPr>
            </w:pPr>
            <w:r w:rsidRPr="00D70C07">
              <w:rPr>
                <w:lang w:eastAsia="en-AU"/>
              </w:rPr>
              <w:t>Net investment</w:t>
            </w:r>
          </w:p>
        </w:tc>
        <w:tc>
          <w:tcPr>
            <w:cnfStyle w:val="000001000000" w:firstRow="0" w:lastRow="0" w:firstColumn="0" w:lastColumn="0" w:oddVBand="0" w:evenVBand="1" w:oddHBand="0" w:evenHBand="0" w:firstRowFirstColumn="0" w:firstRowLastColumn="0" w:lastRowFirstColumn="0" w:lastRowLastColumn="0"/>
            <w:tcW w:w="658" w:type="pct"/>
            <w:hideMark/>
          </w:tcPr>
          <w:p w14:paraId="3B14AA96" w14:textId="77777777" w:rsidR="004944DF" w:rsidRPr="00D70C07" w:rsidRDefault="004944DF">
            <w:pPr>
              <w:pStyle w:val="ARtabletextright"/>
              <w:rPr>
                <w:lang w:eastAsia="en-AU"/>
              </w:rPr>
            </w:pPr>
            <w:r w:rsidRPr="00D70C07">
              <w:rPr>
                <w:lang w:eastAsia="en-AU"/>
              </w:rPr>
              <w:t>1</w:t>
            </w:r>
          </w:p>
        </w:tc>
        <w:tc>
          <w:tcPr>
            <w:tcW w:w="658" w:type="pct"/>
            <w:hideMark/>
          </w:tcPr>
          <w:p w14:paraId="22E11669" w14:textId="77777777" w:rsidR="004944DF" w:rsidRPr="00D70C07"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60" w:type="pct"/>
            <w:hideMark/>
          </w:tcPr>
          <w:p w14:paraId="30256C6C" w14:textId="77777777" w:rsidR="004944DF" w:rsidRPr="00D70C07" w:rsidRDefault="004944DF">
            <w:pPr>
              <w:pStyle w:val="ARtabletextright"/>
              <w:rPr>
                <w:lang w:eastAsia="en-AU"/>
              </w:rPr>
            </w:pPr>
            <w:r>
              <w:rPr>
                <w:lang w:eastAsia="en-AU"/>
              </w:rPr>
              <w:t>–</w:t>
            </w:r>
          </w:p>
        </w:tc>
        <w:tc>
          <w:tcPr>
            <w:tcW w:w="378" w:type="pct"/>
            <w:hideMark/>
          </w:tcPr>
          <w:p w14:paraId="26BD4081" w14:textId="77777777" w:rsidR="004944DF" w:rsidRPr="00D70C07"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D70C07" w14:paraId="7E18546F"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6" w:type="pct"/>
            <w:hideMark/>
          </w:tcPr>
          <w:p w14:paraId="1DD49477" w14:textId="77777777" w:rsidR="004944DF" w:rsidRPr="00D70C07" w:rsidRDefault="004944DF">
            <w:pPr>
              <w:pStyle w:val="ARTabletext"/>
              <w:rPr>
                <w:lang w:eastAsia="en-AU"/>
              </w:rPr>
            </w:pPr>
            <w:r w:rsidRPr="00D70C07">
              <w:rPr>
                <w:lang w:eastAsia="en-AU"/>
              </w:rPr>
              <w:t>Payments for non-financial assets</w:t>
            </w:r>
          </w:p>
        </w:tc>
        <w:tc>
          <w:tcPr>
            <w:cnfStyle w:val="000001000000" w:firstRow="0" w:lastRow="0" w:firstColumn="0" w:lastColumn="0" w:oddVBand="0" w:evenVBand="1" w:oddHBand="0" w:evenHBand="0" w:firstRowFirstColumn="0" w:firstRowLastColumn="0" w:lastRowFirstColumn="0" w:lastRowLastColumn="0"/>
            <w:tcW w:w="658" w:type="pct"/>
            <w:hideMark/>
          </w:tcPr>
          <w:p w14:paraId="7F505099" w14:textId="77777777" w:rsidR="004944DF" w:rsidRPr="00D70C07" w:rsidRDefault="004944DF">
            <w:pPr>
              <w:pStyle w:val="ARtabletextright"/>
              <w:rPr>
                <w:lang w:eastAsia="en-AU"/>
              </w:rPr>
            </w:pPr>
            <w:r w:rsidRPr="00D70C07">
              <w:rPr>
                <w:lang w:eastAsia="en-AU"/>
              </w:rPr>
              <w:t>(47)</w:t>
            </w:r>
          </w:p>
        </w:tc>
        <w:tc>
          <w:tcPr>
            <w:tcW w:w="658" w:type="pct"/>
            <w:hideMark/>
          </w:tcPr>
          <w:p w14:paraId="473106B3" w14:textId="77777777" w:rsidR="004944DF" w:rsidRPr="00D70C07"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D70C07">
              <w:rPr>
                <w:lang w:eastAsia="en-AU"/>
              </w:rPr>
              <w:t>(56)</w:t>
            </w:r>
          </w:p>
        </w:tc>
        <w:tc>
          <w:tcPr>
            <w:cnfStyle w:val="000001000000" w:firstRow="0" w:lastRow="0" w:firstColumn="0" w:lastColumn="0" w:oddVBand="0" w:evenVBand="1" w:oddHBand="0" w:evenHBand="0" w:firstRowFirstColumn="0" w:firstRowLastColumn="0" w:lastRowFirstColumn="0" w:lastRowLastColumn="0"/>
            <w:tcW w:w="660" w:type="pct"/>
            <w:hideMark/>
          </w:tcPr>
          <w:p w14:paraId="3EDAEA74" w14:textId="77777777" w:rsidR="004944DF" w:rsidRPr="00D70C07" w:rsidRDefault="004944DF">
            <w:pPr>
              <w:pStyle w:val="ARtabletextright"/>
              <w:rPr>
                <w:lang w:eastAsia="en-AU"/>
              </w:rPr>
            </w:pPr>
            <w:r w:rsidRPr="00D70C07">
              <w:rPr>
                <w:lang w:eastAsia="en-AU"/>
              </w:rPr>
              <w:t>(15.9)</w:t>
            </w:r>
          </w:p>
        </w:tc>
        <w:tc>
          <w:tcPr>
            <w:tcW w:w="378" w:type="pct"/>
            <w:hideMark/>
          </w:tcPr>
          <w:p w14:paraId="6F612D6B" w14:textId="77777777" w:rsidR="004944DF" w:rsidRPr="00D70C07"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D70C07" w14:paraId="32098A44"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6" w:type="pct"/>
            <w:tcBorders>
              <w:bottom w:val="single" w:sz="4" w:space="0" w:color="BFBFBF" w:themeColor="accent2"/>
            </w:tcBorders>
            <w:hideMark/>
          </w:tcPr>
          <w:p w14:paraId="066C1C31" w14:textId="77777777" w:rsidR="004944DF" w:rsidRPr="00D70C07" w:rsidRDefault="004944DF">
            <w:pPr>
              <w:pStyle w:val="ARTabletext"/>
              <w:rPr>
                <w:lang w:eastAsia="en-AU"/>
              </w:rPr>
            </w:pPr>
            <w:r w:rsidRPr="00D70C07">
              <w:rPr>
                <w:lang w:eastAsia="en-AU"/>
              </w:rPr>
              <w:t>Proceeds from sale of non-financial assets</w:t>
            </w:r>
          </w:p>
        </w:tc>
        <w:tc>
          <w:tcPr>
            <w:cnfStyle w:val="000001000000" w:firstRow="0" w:lastRow="0" w:firstColumn="0" w:lastColumn="0" w:oddVBand="0" w:evenVBand="1" w:oddHBand="0" w:evenHBand="0" w:firstRowFirstColumn="0" w:firstRowLastColumn="0" w:lastRowFirstColumn="0" w:lastRowLastColumn="0"/>
            <w:tcW w:w="658" w:type="pct"/>
            <w:tcBorders>
              <w:bottom w:val="single" w:sz="4" w:space="0" w:color="BFBFBF" w:themeColor="accent2"/>
            </w:tcBorders>
            <w:hideMark/>
          </w:tcPr>
          <w:p w14:paraId="7C822CA2" w14:textId="77777777" w:rsidR="004944DF" w:rsidRPr="00D70C07" w:rsidRDefault="004944DF">
            <w:pPr>
              <w:pStyle w:val="ARtabletextright"/>
              <w:rPr>
                <w:lang w:eastAsia="en-AU"/>
              </w:rPr>
            </w:pPr>
            <w:r w:rsidRPr="00D70C07">
              <w:rPr>
                <w:lang w:eastAsia="en-AU"/>
              </w:rPr>
              <w:t>11</w:t>
            </w:r>
          </w:p>
        </w:tc>
        <w:tc>
          <w:tcPr>
            <w:tcW w:w="658" w:type="pct"/>
            <w:tcBorders>
              <w:bottom w:val="single" w:sz="4" w:space="0" w:color="BFBFBF" w:themeColor="accent2"/>
            </w:tcBorders>
            <w:hideMark/>
          </w:tcPr>
          <w:p w14:paraId="28F742D5" w14:textId="77777777" w:rsidR="004944DF" w:rsidRPr="00D70C07"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60" w:type="pct"/>
            <w:tcBorders>
              <w:bottom w:val="single" w:sz="4" w:space="0" w:color="BFBFBF" w:themeColor="accent2"/>
            </w:tcBorders>
            <w:hideMark/>
          </w:tcPr>
          <w:p w14:paraId="30CBA226" w14:textId="77777777" w:rsidR="004944DF" w:rsidRPr="00D70C07" w:rsidRDefault="004944DF">
            <w:pPr>
              <w:pStyle w:val="ARtabletextright"/>
              <w:rPr>
                <w:lang w:eastAsia="en-AU"/>
              </w:rPr>
            </w:pPr>
            <w:r>
              <w:rPr>
                <w:lang w:eastAsia="en-AU"/>
              </w:rPr>
              <w:t>–</w:t>
            </w:r>
          </w:p>
        </w:tc>
        <w:tc>
          <w:tcPr>
            <w:tcW w:w="378" w:type="pct"/>
            <w:tcBorders>
              <w:bottom w:val="single" w:sz="4" w:space="0" w:color="BFBFBF" w:themeColor="accent2"/>
            </w:tcBorders>
            <w:hideMark/>
          </w:tcPr>
          <w:p w14:paraId="0F184B33" w14:textId="77777777" w:rsidR="004944DF" w:rsidRPr="00D70C07"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D70C07" w14:paraId="5D30FD16"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6" w:type="pct"/>
            <w:tcBorders>
              <w:top w:val="single" w:sz="4" w:space="0" w:color="BFBFBF" w:themeColor="accent2"/>
              <w:bottom w:val="single" w:sz="4" w:space="0" w:color="000000" w:themeColor="text1"/>
            </w:tcBorders>
            <w:hideMark/>
          </w:tcPr>
          <w:p w14:paraId="330A2906" w14:textId="77777777" w:rsidR="004944DF" w:rsidRPr="00D70C07" w:rsidRDefault="004944DF">
            <w:pPr>
              <w:pStyle w:val="ARTabletext"/>
              <w:rPr>
                <w:lang w:eastAsia="en-AU"/>
              </w:rPr>
            </w:pPr>
            <w:r w:rsidRPr="00D70C07">
              <w:rPr>
                <w:lang w:eastAsia="en-AU"/>
              </w:rPr>
              <w:t>Net loans to other parties</w:t>
            </w:r>
          </w:p>
        </w:tc>
        <w:tc>
          <w:tcPr>
            <w:cnfStyle w:val="000001000000" w:firstRow="0" w:lastRow="0" w:firstColumn="0" w:lastColumn="0" w:oddVBand="0" w:evenVBand="1" w:oddHBand="0" w:evenHBand="0" w:firstRowFirstColumn="0" w:firstRowLastColumn="0" w:lastRowFirstColumn="0" w:lastRowLastColumn="0"/>
            <w:tcW w:w="658" w:type="pct"/>
            <w:tcBorders>
              <w:top w:val="single" w:sz="4" w:space="0" w:color="BFBFBF" w:themeColor="accent2"/>
              <w:bottom w:val="single" w:sz="4" w:space="0" w:color="000000" w:themeColor="text1"/>
            </w:tcBorders>
            <w:hideMark/>
          </w:tcPr>
          <w:p w14:paraId="27D48840" w14:textId="77777777" w:rsidR="004944DF" w:rsidRPr="00D70C07" w:rsidRDefault="004944DF">
            <w:pPr>
              <w:pStyle w:val="ARtabletextright"/>
              <w:rPr>
                <w:lang w:eastAsia="en-AU"/>
              </w:rPr>
            </w:pPr>
            <w:r w:rsidRPr="00D70C07">
              <w:rPr>
                <w:lang w:eastAsia="en-AU"/>
              </w:rPr>
              <w:t>1</w:t>
            </w:r>
          </w:p>
        </w:tc>
        <w:tc>
          <w:tcPr>
            <w:tcW w:w="658" w:type="pct"/>
            <w:tcBorders>
              <w:top w:val="single" w:sz="4" w:space="0" w:color="BFBFBF" w:themeColor="accent2"/>
              <w:bottom w:val="single" w:sz="4" w:space="0" w:color="000000" w:themeColor="text1"/>
            </w:tcBorders>
            <w:hideMark/>
          </w:tcPr>
          <w:p w14:paraId="1F7BB427" w14:textId="77777777" w:rsidR="004944DF" w:rsidRPr="00D70C07"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D70C07">
              <w:rPr>
                <w:lang w:eastAsia="en-AU"/>
              </w:rPr>
              <w:t>3</w:t>
            </w: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BFBFBF" w:themeColor="accent2"/>
              <w:bottom w:val="single" w:sz="4" w:space="0" w:color="000000" w:themeColor="text1"/>
            </w:tcBorders>
            <w:hideMark/>
          </w:tcPr>
          <w:p w14:paraId="67BAF8C8" w14:textId="77777777" w:rsidR="004944DF" w:rsidRPr="00D70C07" w:rsidRDefault="004944DF">
            <w:pPr>
              <w:pStyle w:val="ARtabletextright"/>
              <w:rPr>
                <w:lang w:eastAsia="en-AU"/>
              </w:rPr>
            </w:pPr>
            <w:r w:rsidRPr="00D70C07">
              <w:rPr>
                <w:lang w:eastAsia="en-AU"/>
              </w:rPr>
              <w:t>(61.3)</w:t>
            </w:r>
          </w:p>
        </w:tc>
        <w:tc>
          <w:tcPr>
            <w:tcW w:w="378" w:type="pct"/>
            <w:tcBorders>
              <w:top w:val="single" w:sz="4" w:space="0" w:color="BFBFBF" w:themeColor="accent2"/>
              <w:bottom w:val="single" w:sz="4" w:space="0" w:color="000000" w:themeColor="text1"/>
            </w:tcBorders>
            <w:hideMark/>
          </w:tcPr>
          <w:p w14:paraId="0AE70ED7" w14:textId="77777777" w:rsidR="004944DF" w:rsidRPr="00D70C07"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D70C07" w14:paraId="4C741666"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6" w:type="pct"/>
            <w:tcBorders>
              <w:top w:val="single" w:sz="4" w:space="0" w:color="000000" w:themeColor="text1"/>
              <w:bottom w:val="single" w:sz="4" w:space="0" w:color="000000" w:themeColor="text1"/>
            </w:tcBorders>
            <w:hideMark/>
          </w:tcPr>
          <w:p w14:paraId="3B6A0A90" w14:textId="77777777" w:rsidR="004944DF" w:rsidRPr="00D70C07" w:rsidRDefault="004944DF">
            <w:pPr>
              <w:pStyle w:val="ARtabletextbold"/>
              <w:rPr>
                <w:lang w:eastAsia="en-AU"/>
              </w:rPr>
            </w:pPr>
            <w:r w:rsidRPr="00D70C07">
              <w:rPr>
                <w:lang w:eastAsia="en-AU"/>
              </w:rPr>
              <w:t>Net cash flows from</w:t>
            </w:r>
            <w:proofErr w:type="gramStart"/>
            <w:r w:rsidRPr="00D70C07">
              <w:rPr>
                <w:lang w:eastAsia="en-AU"/>
              </w:rPr>
              <w:t>/(</w:t>
            </w:r>
            <w:proofErr w:type="gramEnd"/>
            <w:r w:rsidRPr="00D70C07">
              <w:rPr>
                <w:lang w:eastAsia="en-AU"/>
              </w:rPr>
              <w:t>used in) investing activities</w:t>
            </w:r>
          </w:p>
        </w:tc>
        <w:tc>
          <w:tcPr>
            <w:cnfStyle w:val="000001000000" w:firstRow="0" w:lastRow="0" w:firstColumn="0" w:lastColumn="0" w:oddVBand="0" w:evenVBand="1" w:oddHBand="0" w:evenHBand="0" w:firstRowFirstColumn="0" w:firstRowLastColumn="0" w:lastRowFirstColumn="0" w:lastRowLastColumn="0"/>
            <w:tcW w:w="658" w:type="pct"/>
            <w:tcBorders>
              <w:top w:val="single" w:sz="4" w:space="0" w:color="000000" w:themeColor="text1"/>
              <w:bottom w:val="single" w:sz="4" w:space="0" w:color="000000" w:themeColor="text1"/>
            </w:tcBorders>
            <w:hideMark/>
          </w:tcPr>
          <w:p w14:paraId="6E23FA6B" w14:textId="77777777" w:rsidR="004944DF" w:rsidRPr="00D70C07" w:rsidRDefault="004944DF">
            <w:pPr>
              <w:pStyle w:val="ARtabletextrightbold"/>
              <w:rPr>
                <w:lang w:eastAsia="en-AU"/>
              </w:rPr>
            </w:pPr>
            <w:r w:rsidRPr="00D70C07">
              <w:rPr>
                <w:lang w:eastAsia="en-AU"/>
              </w:rPr>
              <w:t>(34)</w:t>
            </w:r>
          </w:p>
        </w:tc>
        <w:tc>
          <w:tcPr>
            <w:tcW w:w="658" w:type="pct"/>
            <w:tcBorders>
              <w:top w:val="single" w:sz="4" w:space="0" w:color="000000" w:themeColor="text1"/>
              <w:bottom w:val="single" w:sz="4" w:space="0" w:color="000000" w:themeColor="text1"/>
            </w:tcBorders>
            <w:hideMark/>
          </w:tcPr>
          <w:p w14:paraId="754ADF57" w14:textId="77777777" w:rsidR="004944DF" w:rsidRPr="00D70C07" w:rsidRDefault="004944DF">
            <w:pPr>
              <w:pStyle w:val="ARtabletextrightbold"/>
              <w:cnfStyle w:val="000000010000" w:firstRow="0" w:lastRow="0" w:firstColumn="0" w:lastColumn="0" w:oddVBand="0" w:evenVBand="0" w:oddHBand="0" w:evenHBand="1" w:firstRowFirstColumn="0" w:firstRowLastColumn="0" w:lastRowFirstColumn="0" w:lastRowLastColumn="0"/>
              <w:rPr>
                <w:lang w:eastAsia="en-AU"/>
              </w:rPr>
            </w:pPr>
            <w:r w:rsidRPr="00D70C07">
              <w:rPr>
                <w:lang w:eastAsia="en-AU"/>
              </w:rPr>
              <w:t>(53)</w:t>
            </w: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000000" w:themeColor="text1"/>
              <w:bottom w:val="single" w:sz="4" w:space="0" w:color="000000" w:themeColor="text1"/>
            </w:tcBorders>
            <w:hideMark/>
          </w:tcPr>
          <w:p w14:paraId="54671234" w14:textId="77777777" w:rsidR="004944DF" w:rsidRPr="00D70C07" w:rsidRDefault="004944DF">
            <w:pPr>
              <w:pStyle w:val="ARtabletextrightbold"/>
              <w:rPr>
                <w:lang w:eastAsia="en-AU"/>
              </w:rPr>
            </w:pPr>
            <w:r w:rsidRPr="00D70C07">
              <w:rPr>
                <w:lang w:eastAsia="en-AU"/>
              </w:rPr>
              <w:t>(36.0)</w:t>
            </w:r>
          </w:p>
        </w:tc>
        <w:tc>
          <w:tcPr>
            <w:tcW w:w="378" w:type="pct"/>
            <w:tcBorders>
              <w:top w:val="single" w:sz="4" w:space="0" w:color="000000" w:themeColor="text1"/>
              <w:bottom w:val="single" w:sz="4" w:space="0" w:color="000000" w:themeColor="text1"/>
            </w:tcBorders>
            <w:hideMark/>
          </w:tcPr>
          <w:p w14:paraId="113229A3" w14:textId="77777777" w:rsidR="004944DF" w:rsidRPr="00D70C07" w:rsidRDefault="004944DF">
            <w:pPr>
              <w:pStyle w:val="ARtabletextrightbold"/>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D70C07" w14:paraId="1FCFC8FA"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6" w:type="pct"/>
            <w:tcBorders>
              <w:top w:val="single" w:sz="4" w:space="0" w:color="000000" w:themeColor="text1"/>
            </w:tcBorders>
            <w:hideMark/>
          </w:tcPr>
          <w:p w14:paraId="1C8C2C23" w14:textId="77777777" w:rsidR="004944DF" w:rsidRPr="00D70C07" w:rsidRDefault="004944DF">
            <w:pPr>
              <w:pStyle w:val="ARTabletextboldcoloured"/>
              <w:rPr>
                <w:lang w:eastAsia="en-AU"/>
              </w:rPr>
            </w:pPr>
            <w:r w:rsidRPr="00D70C07">
              <w:rPr>
                <w:lang w:eastAsia="en-AU"/>
              </w:rPr>
              <w:t>Cash flows from financing activities</w:t>
            </w:r>
          </w:p>
        </w:tc>
        <w:tc>
          <w:tcPr>
            <w:cnfStyle w:val="000001000000" w:firstRow="0" w:lastRow="0" w:firstColumn="0" w:lastColumn="0" w:oddVBand="0" w:evenVBand="1" w:oddHBand="0" w:evenHBand="0" w:firstRowFirstColumn="0" w:firstRowLastColumn="0" w:lastRowFirstColumn="0" w:lastRowLastColumn="0"/>
            <w:tcW w:w="658" w:type="pct"/>
            <w:tcBorders>
              <w:top w:val="single" w:sz="4" w:space="0" w:color="000000" w:themeColor="text1"/>
            </w:tcBorders>
            <w:shd w:val="clear" w:color="auto" w:fill="auto"/>
            <w:hideMark/>
          </w:tcPr>
          <w:p w14:paraId="4885EF77" w14:textId="77777777" w:rsidR="004944DF" w:rsidRPr="00F0501A" w:rsidRDefault="004944DF" w:rsidP="00F0501A">
            <w:pPr>
              <w:pStyle w:val="ARtabletextright"/>
            </w:pPr>
          </w:p>
        </w:tc>
        <w:tc>
          <w:tcPr>
            <w:tcW w:w="658" w:type="pct"/>
            <w:tcBorders>
              <w:top w:val="single" w:sz="4" w:space="0" w:color="000000" w:themeColor="text1"/>
            </w:tcBorders>
            <w:hideMark/>
          </w:tcPr>
          <w:p w14:paraId="55407D46" w14:textId="77777777" w:rsidR="004944DF" w:rsidRPr="00F0501A" w:rsidRDefault="004944DF" w:rsidP="00F0501A">
            <w:pPr>
              <w:pStyle w:val="ARtabletextright"/>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000000" w:themeColor="text1"/>
            </w:tcBorders>
            <w:shd w:val="clear" w:color="auto" w:fill="auto"/>
            <w:hideMark/>
          </w:tcPr>
          <w:p w14:paraId="2612C67D" w14:textId="77777777" w:rsidR="004944DF" w:rsidRPr="00F0501A" w:rsidRDefault="004944DF" w:rsidP="00F0501A">
            <w:pPr>
              <w:pStyle w:val="ARtabletextright"/>
            </w:pPr>
          </w:p>
        </w:tc>
        <w:tc>
          <w:tcPr>
            <w:tcW w:w="378" w:type="pct"/>
            <w:tcBorders>
              <w:top w:val="single" w:sz="4" w:space="0" w:color="000000" w:themeColor="text1"/>
            </w:tcBorders>
            <w:hideMark/>
          </w:tcPr>
          <w:p w14:paraId="39557E01" w14:textId="77777777" w:rsidR="004944DF" w:rsidRPr="00D70C07"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D70C07" w14:paraId="6A63E74A"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6" w:type="pct"/>
            <w:hideMark/>
          </w:tcPr>
          <w:p w14:paraId="015DE5C8" w14:textId="77777777" w:rsidR="004944DF" w:rsidRPr="00D70C07" w:rsidRDefault="004944DF">
            <w:pPr>
              <w:pStyle w:val="ARTabletext"/>
              <w:rPr>
                <w:lang w:eastAsia="en-AU"/>
              </w:rPr>
            </w:pPr>
            <w:r w:rsidRPr="00D70C07">
              <w:rPr>
                <w:lang w:eastAsia="en-AU"/>
              </w:rPr>
              <w:t>Owner contributions by state government</w:t>
            </w:r>
          </w:p>
        </w:tc>
        <w:tc>
          <w:tcPr>
            <w:cnfStyle w:val="000001000000" w:firstRow="0" w:lastRow="0" w:firstColumn="0" w:lastColumn="0" w:oddVBand="0" w:evenVBand="1" w:oddHBand="0" w:evenHBand="0" w:firstRowFirstColumn="0" w:firstRowLastColumn="0" w:lastRowFirstColumn="0" w:lastRowLastColumn="0"/>
            <w:tcW w:w="658" w:type="pct"/>
            <w:hideMark/>
          </w:tcPr>
          <w:p w14:paraId="0A44DDA9" w14:textId="77777777" w:rsidR="004944DF" w:rsidRPr="00D70C07" w:rsidRDefault="004944DF">
            <w:pPr>
              <w:pStyle w:val="ARtabletextright"/>
              <w:rPr>
                <w:lang w:eastAsia="en-AU"/>
              </w:rPr>
            </w:pPr>
            <w:r w:rsidRPr="00D70C07">
              <w:rPr>
                <w:lang w:eastAsia="en-AU"/>
              </w:rPr>
              <w:t>11</w:t>
            </w:r>
          </w:p>
        </w:tc>
        <w:tc>
          <w:tcPr>
            <w:tcW w:w="658" w:type="pct"/>
            <w:hideMark/>
          </w:tcPr>
          <w:p w14:paraId="0EF8521F" w14:textId="77777777" w:rsidR="004944DF" w:rsidRPr="00D70C07"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r w:rsidRPr="00D70C07">
              <w:rPr>
                <w:lang w:eastAsia="en-AU"/>
              </w:rPr>
              <w:t>30</w:t>
            </w:r>
          </w:p>
        </w:tc>
        <w:tc>
          <w:tcPr>
            <w:cnfStyle w:val="000001000000" w:firstRow="0" w:lastRow="0" w:firstColumn="0" w:lastColumn="0" w:oddVBand="0" w:evenVBand="1" w:oddHBand="0" w:evenHBand="0" w:firstRowFirstColumn="0" w:firstRowLastColumn="0" w:lastRowFirstColumn="0" w:lastRowLastColumn="0"/>
            <w:tcW w:w="660" w:type="pct"/>
            <w:hideMark/>
          </w:tcPr>
          <w:p w14:paraId="6773374E" w14:textId="77777777" w:rsidR="004944DF" w:rsidRPr="00D70C07" w:rsidRDefault="004944DF">
            <w:pPr>
              <w:pStyle w:val="ARtabletextright"/>
              <w:rPr>
                <w:lang w:eastAsia="en-AU"/>
              </w:rPr>
            </w:pPr>
            <w:r w:rsidRPr="00D70C07">
              <w:rPr>
                <w:lang w:eastAsia="en-AU"/>
              </w:rPr>
              <w:t>(62.9)</w:t>
            </w:r>
          </w:p>
        </w:tc>
        <w:tc>
          <w:tcPr>
            <w:tcW w:w="378" w:type="pct"/>
            <w:hideMark/>
          </w:tcPr>
          <w:p w14:paraId="4A1D8AD5" w14:textId="77777777" w:rsidR="004944DF" w:rsidRPr="00D70C07"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D70C07" w14:paraId="769EDCF1"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6" w:type="pct"/>
            <w:tcBorders>
              <w:bottom w:val="single" w:sz="4" w:space="0" w:color="BFBFBF" w:themeColor="accent2"/>
            </w:tcBorders>
            <w:hideMark/>
          </w:tcPr>
          <w:p w14:paraId="15AD00E4" w14:textId="77777777" w:rsidR="004944DF" w:rsidRPr="00D70C07" w:rsidRDefault="004944DF">
            <w:pPr>
              <w:pStyle w:val="ARTabletext"/>
              <w:rPr>
                <w:lang w:eastAsia="en-AU"/>
              </w:rPr>
            </w:pPr>
            <w:r w:rsidRPr="00D70C07">
              <w:rPr>
                <w:lang w:eastAsia="en-AU"/>
              </w:rPr>
              <w:t>Repayment of right of use leases</w:t>
            </w:r>
          </w:p>
        </w:tc>
        <w:tc>
          <w:tcPr>
            <w:cnfStyle w:val="000001000000" w:firstRow="0" w:lastRow="0" w:firstColumn="0" w:lastColumn="0" w:oddVBand="0" w:evenVBand="1" w:oddHBand="0" w:evenHBand="0" w:firstRowFirstColumn="0" w:firstRowLastColumn="0" w:lastRowFirstColumn="0" w:lastRowLastColumn="0"/>
            <w:tcW w:w="658" w:type="pct"/>
            <w:tcBorders>
              <w:bottom w:val="single" w:sz="4" w:space="0" w:color="BFBFBF" w:themeColor="accent2"/>
            </w:tcBorders>
            <w:hideMark/>
          </w:tcPr>
          <w:p w14:paraId="2907D9BC" w14:textId="77777777" w:rsidR="004944DF" w:rsidRPr="00D70C07" w:rsidRDefault="004944DF">
            <w:pPr>
              <w:pStyle w:val="ARtabletextright"/>
              <w:rPr>
                <w:lang w:eastAsia="en-AU"/>
              </w:rPr>
            </w:pPr>
            <w:r w:rsidRPr="00D70C07">
              <w:rPr>
                <w:lang w:eastAsia="en-AU"/>
              </w:rPr>
              <w:t>(14)</w:t>
            </w:r>
          </w:p>
        </w:tc>
        <w:tc>
          <w:tcPr>
            <w:tcW w:w="658" w:type="pct"/>
            <w:tcBorders>
              <w:bottom w:val="single" w:sz="4" w:space="0" w:color="BFBFBF" w:themeColor="accent2"/>
            </w:tcBorders>
            <w:hideMark/>
          </w:tcPr>
          <w:p w14:paraId="2D38CFE6" w14:textId="77777777" w:rsidR="004944DF" w:rsidRPr="00D70C07"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60" w:type="pct"/>
            <w:tcBorders>
              <w:bottom w:val="single" w:sz="4" w:space="0" w:color="BFBFBF" w:themeColor="accent2"/>
            </w:tcBorders>
            <w:hideMark/>
          </w:tcPr>
          <w:p w14:paraId="778C72C8" w14:textId="77777777" w:rsidR="004944DF" w:rsidRPr="00D70C07" w:rsidRDefault="004944DF">
            <w:pPr>
              <w:pStyle w:val="ARtabletextright"/>
              <w:rPr>
                <w:lang w:eastAsia="en-AU"/>
              </w:rPr>
            </w:pPr>
            <w:r>
              <w:rPr>
                <w:lang w:eastAsia="en-AU"/>
              </w:rPr>
              <w:t>–</w:t>
            </w:r>
          </w:p>
        </w:tc>
        <w:tc>
          <w:tcPr>
            <w:tcW w:w="378" w:type="pct"/>
            <w:tcBorders>
              <w:bottom w:val="single" w:sz="4" w:space="0" w:color="BFBFBF" w:themeColor="accent2"/>
            </w:tcBorders>
            <w:hideMark/>
          </w:tcPr>
          <w:p w14:paraId="621C66C1" w14:textId="77777777" w:rsidR="004944DF" w:rsidRPr="00D70C07"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D70C07" w14:paraId="1A4E9C38"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6" w:type="pct"/>
            <w:tcBorders>
              <w:top w:val="single" w:sz="4" w:space="0" w:color="BFBFBF" w:themeColor="accent2"/>
              <w:bottom w:val="single" w:sz="4" w:space="0" w:color="000000" w:themeColor="text1"/>
            </w:tcBorders>
            <w:hideMark/>
          </w:tcPr>
          <w:p w14:paraId="478EF9CB" w14:textId="77777777" w:rsidR="004944DF" w:rsidRPr="00D70C07" w:rsidRDefault="004944DF">
            <w:pPr>
              <w:pStyle w:val="ARTabletext"/>
              <w:rPr>
                <w:lang w:eastAsia="en-AU"/>
              </w:rPr>
            </w:pPr>
            <w:r w:rsidRPr="00D70C07">
              <w:rPr>
                <w:lang w:eastAsia="en-AU"/>
              </w:rPr>
              <w:t>Net borrowings</w:t>
            </w:r>
          </w:p>
        </w:tc>
        <w:tc>
          <w:tcPr>
            <w:cnfStyle w:val="000001000000" w:firstRow="0" w:lastRow="0" w:firstColumn="0" w:lastColumn="0" w:oddVBand="0" w:evenVBand="1" w:oddHBand="0" w:evenHBand="0" w:firstRowFirstColumn="0" w:firstRowLastColumn="0" w:lastRowFirstColumn="0" w:lastRowLastColumn="0"/>
            <w:tcW w:w="658" w:type="pct"/>
            <w:tcBorders>
              <w:top w:val="single" w:sz="4" w:space="0" w:color="BFBFBF" w:themeColor="accent2"/>
              <w:bottom w:val="single" w:sz="4" w:space="0" w:color="000000" w:themeColor="text1"/>
            </w:tcBorders>
            <w:hideMark/>
          </w:tcPr>
          <w:p w14:paraId="5311BE7B" w14:textId="77777777" w:rsidR="004944DF" w:rsidRPr="00D70C07" w:rsidRDefault="004944DF">
            <w:pPr>
              <w:pStyle w:val="ARtabletextright"/>
              <w:rPr>
                <w:lang w:eastAsia="en-AU"/>
              </w:rPr>
            </w:pPr>
            <w:r w:rsidRPr="00D70C07">
              <w:rPr>
                <w:lang w:eastAsia="en-AU"/>
              </w:rPr>
              <w:t>(5)</w:t>
            </w:r>
          </w:p>
        </w:tc>
        <w:tc>
          <w:tcPr>
            <w:tcW w:w="658" w:type="pct"/>
            <w:tcBorders>
              <w:top w:val="single" w:sz="4" w:space="0" w:color="BFBFBF" w:themeColor="accent2"/>
              <w:bottom w:val="single" w:sz="4" w:space="0" w:color="000000" w:themeColor="text1"/>
            </w:tcBorders>
            <w:hideMark/>
          </w:tcPr>
          <w:p w14:paraId="6AC55770" w14:textId="77777777" w:rsidR="004944DF" w:rsidRPr="00D70C07"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r w:rsidRPr="00D70C07">
              <w:rPr>
                <w:lang w:eastAsia="en-AU"/>
              </w:rPr>
              <w:t>(1)</w:t>
            </w: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BFBFBF" w:themeColor="accent2"/>
              <w:bottom w:val="single" w:sz="4" w:space="0" w:color="000000" w:themeColor="text1"/>
            </w:tcBorders>
            <w:hideMark/>
          </w:tcPr>
          <w:p w14:paraId="2FB84CF7" w14:textId="77777777" w:rsidR="004944DF" w:rsidRPr="00D70C07" w:rsidRDefault="004944DF">
            <w:pPr>
              <w:pStyle w:val="ARtabletextright"/>
              <w:rPr>
                <w:lang w:eastAsia="en-AU"/>
              </w:rPr>
            </w:pPr>
            <w:r w:rsidRPr="00D70C07">
              <w:rPr>
                <w:lang w:eastAsia="en-AU"/>
              </w:rPr>
              <w:t>289.4</w:t>
            </w:r>
          </w:p>
        </w:tc>
        <w:tc>
          <w:tcPr>
            <w:tcW w:w="378" w:type="pct"/>
            <w:tcBorders>
              <w:top w:val="single" w:sz="4" w:space="0" w:color="BFBFBF" w:themeColor="accent2"/>
              <w:bottom w:val="single" w:sz="4" w:space="0" w:color="000000" w:themeColor="text1"/>
            </w:tcBorders>
            <w:hideMark/>
          </w:tcPr>
          <w:p w14:paraId="4C6D5B26" w14:textId="77777777" w:rsidR="004944DF" w:rsidRPr="00D70C07"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D70C07" w14:paraId="0792F59B"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6" w:type="pct"/>
            <w:tcBorders>
              <w:top w:val="single" w:sz="4" w:space="0" w:color="000000" w:themeColor="text1"/>
              <w:bottom w:val="single" w:sz="4" w:space="0" w:color="000000" w:themeColor="text1"/>
            </w:tcBorders>
            <w:hideMark/>
          </w:tcPr>
          <w:p w14:paraId="54CBDAE5" w14:textId="77777777" w:rsidR="004944DF" w:rsidRPr="00D70C07" w:rsidRDefault="004944DF">
            <w:pPr>
              <w:pStyle w:val="ARtabletextbold"/>
              <w:rPr>
                <w:lang w:eastAsia="en-AU"/>
              </w:rPr>
            </w:pPr>
            <w:r w:rsidRPr="00D70C07">
              <w:rPr>
                <w:lang w:eastAsia="en-AU"/>
              </w:rPr>
              <w:t>Net cash flows from</w:t>
            </w:r>
            <w:proofErr w:type="gramStart"/>
            <w:r w:rsidRPr="00D70C07">
              <w:rPr>
                <w:lang w:eastAsia="en-AU"/>
              </w:rPr>
              <w:t>/(</w:t>
            </w:r>
            <w:proofErr w:type="gramEnd"/>
            <w:r w:rsidRPr="00D70C07">
              <w:rPr>
                <w:lang w:eastAsia="en-AU"/>
              </w:rPr>
              <w:t>used in) financing activities</w:t>
            </w:r>
          </w:p>
        </w:tc>
        <w:tc>
          <w:tcPr>
            <w:cnfStyle w:val="000001000000" w:firstRow="0" w:lastRow="0" w:firstColumn="0" w:lastColumn="0" w:oddVBand="0" w:evenVBand="1" w:oddHBand="0" w:evenHBand="0" w:firstRowFirstColumn="0" w:firstRowLastColumn="0" w:lastRowFirstColumn="0" w:lastRowLastColumn="0"/>
            <w:tcW w:w="658" w:type="pct"/>
            <w:tcBorders>
              <w:top w:val="single" w:sz="4" w:space="0" w:color="000000" w:themeColor="text1"/>
              <w:bottom w:val="single" w:sz="4" w:space="0" w:color="000000" w:themeColor="text1"/>
            </w:tcBorders>
            <w:hideMark/>
          </w:tcPr>
          <w:p w14:paraId="2B997921" w14:textId="77777777" w:rsidR="004944DF" w:rsidRPr="00D70C07" w:rsidRDefault="004944DF">
            <w:pPr>
              <w:pStyle w:val="ARtabletextrightbold"/>
              <w:rPr>
                <w:lang w:eastAsia="en-AU"/>
              </w:rPr>
            </w:pPr>
            <w:r w:rsidRPr="00D70C07">
              <w:rPr>
                <w:lang w:eastAsia="en-AU"/>
              </w:rPr>
              <w:t>(8)</w:t>
            </w:r>
          </w:p>
        </w:tc>
        <w:tc>
          <w:tcPr>
            <w:tcW w:w="658" w:type="pct"/>
            <w:tcBorders>
              <w:top w:val="single" w:sz="4" w:space="0" w:color="000000" w:themeColor="text1"/>
              <w:bottom w:val="single" w:sz="4" w:space="0" w:color="000000" w:themeColor="text1"/>
            </w:tcBorders>
            <w:hideMark/>
          </w:tcPr>
          <w:p w14:paraId="39C8BD15" w14:textId="77777777" w:rsidR="004944DF" w:rsidRPr="00D70C07" w:rsidRDefault="004944DF">
            <w:pPr>
              <w:pStyle w:val="ARtabletextrightbold"/>
              <w:cnfStyle w:val="000000100000" w:firstRow="0" w:lastRow="0" w:firstColumn="0" w:lastColumn="0" w:oddVBand="0" w:evenVBand="0" w:oddHBand="1" w:evenHBand="0" w:firstRowFirstColumn="0" w:firstRowLastColumn="0" w:lastRowFirstColumn="0" w:lastRowLastColumn="0"/>
              <w:rPr>
                <w:lang w:eastAsia="en-AU"/>
              </w:rPr>
            </w:pPr>
            <w:r w:rsidRPr="00D70C07">
              <w:rPr>
                <w:lang w:eastAsia="en-AU"/>
              </w:rPr>
              <w:t>29</w:t>
            </w: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000000" w:themeColor="text1"/>
              <w:bottom w:val="single" w:sz="4" w:space="0" w:color="000000" w:themeColor="text1"/>
            </w:tcBorders>
            <w:hideMark/>
          </w:tcPr>
          <w:p w14:paraId="650A9D27" w14:textId="77777777" w:rsidR="004944DF" w:rsidRPr="00D70C07" w:rsidRDefault="004944DF">
            <w:pPr>
              <w:pStyle w:val="ARtabletextrightbold"/>
              <w:rPr>
                <w:lang w:eastAsia="en-AU"/>
              </w:rPr>
            </w:pPr>
            <w:r w:rsidRPr="00D70C07">
              <w:rPr>
                <w:lang w:eastAsia="en-AU"/>
              </w:rPr>
              <w:t>(127.2)</w:t>
            </w:r>
          </w:p>
        </w:tc>
        <w:tc>
          <w:tcPr>
            <w:tcW w:w="378" w:type="pct"/>
            <w:tcBorders>
              <w:top w:val="single" w:sz="4" w:space="0" w:color="000000" w:themeColor="text1"/>
              <w:bottom w:val="single" w:sz="4" w:space="0" w:color="000000" w:themeColor="text1"/>
            </w:tcBorders>
            <w:hideMark/>
          </w:tcPr>
          <w:p w14:paraId="633BC8CB" w14:textId="77777777" w:rsidR="004944DF" w:rsidRPr="00D70C07"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D70C07" w14:paraId="32D077E3" w14:textId="77777777" w:rsidTr="00CF0F12">
        <w:trPr>
          <w:cnfStyle w:val="000000010000" w:firstRow="0" w:lastRow="0" w:firstColumn="0" w:lastColumn="0" w:oddVBand="0" w:evenVBand="0" w:oddHBand="0" w:evenHBand="1" w:firstRowFirstColumn="0" w:firstRowLastColumn="0" w:lastRowFirstColumn="0" w:lastRowLastColumn="0"/>
          <w:trHeight w:val="20"/>
        </w:trPr>
        <w:tc>
          <w:tcPr>
            <w:tcW w:w="2646" w:type="pct"/>
            <w:tcBorders>
              <w:top w:val="single" w:sz="4" w:space="0" w:color="000000" w:themeColor="text1"/>
              <w:bottom w:val="single" w:sz="4" w:space="0" w:color="000000" w:themeColor="text1"/>
            </w:tcBorders>
            <w:hideMark/>
          </w:tcPr>
          <w:p w14:paraId="2BE4F754" w14:textId="77777777" w:rsidR="004944DF" w:rsidRPr="00D70C07" w:rsidRDefault="004944DF">
            <w:pPr>
              <w:pStyle w:val="ARtabletextbold"/>
              <w:rPr>
                <w:lang w:eastAsia="en-AU"/>
              </w:rPr>
            </w:pPr>
            <w:r w:rsidRPr="00D70C07">
              <w:rPr>
                <w:lang w:eastAsia="en-AU"/>
              </w:rPr>
              <w:t>Net increase (decrease) in cash and cash equivalents</w:t>
            </w:r>
          </w:p>
        </w:tc>
        <w:tc>
          <w:tcPr>
            <w:cnfStyle w:val="000001000000" w:firstRow="0" w:lastRow="0" w:firstColumn="0" w:lastColumn="0" w:oddVBand="0" w:evenVBand="1" w:oddHBand="0" w:evenHBand="0" w:firstRowFirstColumn="0" w:firstRowLastColumn="0" w:lastRowFirstColumn="0" w:lastRowLastColumn="0"/>
            <w:tcW w:w="658" w:type="pct"/>
            <w:tcBorders>
              <w:top w:val="single" w:sz="4" w:space="0" w:color="000000" w:themeColor="text1"/>
              <w:bottom w:val="single" w:sz="4" w:space="0" w:color="000000" w:themeColor="text1"/>
            </w:tcBorders>
            <w:hideMark/>
          </w:tcPr>
          <w:p w14:paraId="09F117F4" w14:textId="77777777" w:rsidR="004944DF" w:rsidRPr="00D70C07" w:rsidRDefault="004944DF">
            <w:pPr>
              <w:pStyle w:val="ARtabletextrightbold"/>
              <w:rPr>
                <w:lang w:eastAsia="en-AU"/>
              </w:rPr>
            </w:pPr>
            <w:r w:rsidRPr="00D70C07">
              <w:rPr>
                <w:lang w:eastAsia="en-AU"/>
              </w:rPr>
              <w:t>28</w:t>
            </w:r>
          </w:p>
        </w:tc>
        <w:tc>
          <w:tcPr>
            <w:tcW w:w="658" w:type="pct"/>
            <w:tcBorders>
              <w:top w:val="single" w:sz="4" w:space="0" w:color="000000" w:themeColor="text1"/>
              <w:bottom w:val="single" w:sz="4" w:space="0" w:color="000000" w:themeColor="text1"/>
            </w:tcBorders>
            <w:hideMark/>
          </w:tcPr>
          <w:p w14:paraId="0130953B" w14:textId="77777777" w:rsidR="004944DF" w:rsidRPr="00D70C07" w:rsidRDefault="004944DF">
            <w:pPr>
              <w:pStyle w:val="ARtabletextrightbold"/>
              <w:cnfStyle w:val="000000010000" w:firstRow="0" w:lastRow="0" w:firstColumn="0" w:lastColumn="0" w:oddVBand="0" w:evenVBand="0" w:oddHBand="0" w:evenHBand="1" w:firstRowFirstColumn="0" w:firstRowLastColumn="0" w:lastRowFirstColumn="0" w:lastRowLastColumn="0"/>
              <w:rPr>
                <w:lang w:eastAsia="en-AU"/>
              </w:rPr>
            </w:pPr>
            <w:r w:rsidRPr="00D70C07">
              <w:rPr>
                <w:lang w:eastAsia="en-AU"/>
              </w:rPr>
              <w:t>4</w:t>
            </w: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000000" w:themeColor="text1"/>
              <w:bottom w:val="single" w:sz="4" w:space="0" w:color="000000" w:themeColor="text1"/>
            </w:tcBorders>
            <w:hideMark/>
          </w:tcPr>
          <w:p w14:paraId="3FD9A4A4" w14:textId="77777777" w:rsidR="004944DF" w:rsidRPr="00D70C07" w:rsidRDefault="004944DF">
            <w:pPr>
              <w:pStyle w:val="ARtabletextrightbold"/>
              <w:rPr>
                <w:lang w:eastAsia="en-AU"/>
              </w:rPr>
            </w:pPr>
            <w:r w:rsidRPr="00D70C07">
              <w:rPr>
                <w:lang w:eastAsia="en-AU"/>
              </w:rPr>
              <w:t>638.7</w:t>
            </w:r>
          </w:p>
        </w:tc>
        <w:tc>
          <w:tcPr>
            <w:tcW w:w="378" w:type="pct"/>
            <w:tcBorders>
              <w:top w:val="single" w:sz="4" w:space="0" w:color="000000" w:themeColor="text1"/>
              <w:bottom w:val="single" w:sz="4" w:space="0" w:color="000000" w:themeColor="text1"/>
            </w:tcBorders>
            <w:hideMark/>
          </w:tcPr>
          <w:p w14:paraId="1B8E07DD" w14:textId="77777777" w:rsidR="004944DF" w:rsidRPr="00D70C07"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D70C07" w14:paraId="3ED85A73" w14:textId="77777777" w:rsidTr="00CF0F12">
        <w:trPr>
          <w:cnfStyle w:val="000000100000" w:firstRow="0" w:lastRow="0" w:firstColumn="0" w:lastColumn="0" w:oddVBand="0" w:evenVBand="0" w:oddHBand="1" w:evenHBand="0" w:firstRowFirstColumn="0" w:firstRowLastColumn="0" w:lastRowFirstColumn="0" w:lastRowLastColumn="0"/>
          <w:trHeight w:val="20"/>
        </w:trPr>
        <w:tc>
          <w:tcPr>
            <w:tcW w:w="2646" w:type="pct"/>
            <w:tcBorders>
              <w:top w:val="single" w:sz="4" w:space="0" w:color="000000" w:themeColor="text1"/>
              <w:bottom w:val="single" w:sz="4" w:space="0" w:color="000000" w:themeColor="text1"/>
            </w:tcBorders>
            <w:hideMark/>
          </w:tcPr>
          <w:p w14:paraId="029407B3" w14:textId="77777777" w:rsidR="004944DF" w:rsidRPr="00CA682E" w:rsidRDefault="004944DF">
            <w:pPr>
              <w:pStyle w:val="ARTabletext"/>
              <w:rPr>
                <w:spacing w:val="-4"/>
                <w:lang w:eastAsia="en-AU"/>
              </w:rPr>
            </w:pPr>
            <w:r w:rsidRPr="00CA682E">
              <w:rPr>
                <w:spacing w:val="-4"/>
                <w:lang w:eastAsia="en-AU"/>
              </w:rPr>
              <w:t>Cash and cash equivalents at the beginning of the financial year</w:t>
            </w:r>
          </w:p>
        </w:tc>
        <w:tc>
          <w:tcPr>
            <w:cnfStyle w:val="000001000000" w:firstRow="0" w:lastRow="0" w:firstColumn="0" w:lastColumn="0" w:oddVBand="0" w:evenVBand="1" w:oddHBand="0" w:evenHBand="0" w:firstRowFirstColumn="0" w:firstRowLastColumn="0" w:lastRowFirstColumn="0" w:lastRowLastColumn="0"/>
            <w:tcW w:w="658" w:type="pct"/>
            <w:tcBorders>
              <w:top w:val="single" w:sz="4" w:space="0" w:color="000000" w:themeColor="text1"/>
              <w:bottom w:val="single" w:sz="4" w:space="0" w:color="000000" w:themeColor="text1"/>
            </w:tcBorders>
            <w:hideMark/>
          </w:tcPr>
          <w:p w14:paraId="03F81567" w14:textId="77777777" w:rsidR="004944DF" w:rsidRPr="00D70C07" w:rsidRDefault="004944DF">
            <w:pPr>
              <w:pStyle w:val="ARtabletextright"/>
              <w:rPr>
                <w:lang w:eastAsia="en-AU"/>
              </w:rPr>
            </w:pPr>
            <w:r w:rsidRPr="00D70C07">
              <w:rPr>
                <w:lang w:eastAsia="en-AU"/>
              </w:rPr>
              <w:t>63</w:t>
            </w:r>
          </w:p>
        </w:tc>
        <w:tc>
          <w:tcPr>
            <w:tcW w:w="658" w:type="pct"/>
            <w:tcBorders>
              <w:top w:val="single" w:sz="4" w:space="0" w:color="000000" w:themeColor="text1"/>
              <w:bottom w:val="single" w:sz="4" w:space="0" w:color="000000" w:themeColor="text1"/>
            </w:tcBorders>
            <w:hideMark/>
          </w:tcPr>
          <w:p w14:paraId="5F59CCD0" w14:textId="77777777" w:rsidR="004944DF" w:rsidRPr="00D70C07"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D70C07">
              <w:rPr>
                <w:lang w:eastAsia="en-AU"/>
              </w:rPr>
              <w:t>63</w:t>
            </w:r>
          </w:p>
        </w:tc>
        <w:tc>
          <w:tcPr>
            <w:cnfStyle w:val="000001000000" w:firstRow="0" w:lastRow="0" w:firstColumn="0" w:lastColumn="0" w:oddVBand="0" w:evenVBand="1" w:oddHBand="0" w:evenHBand="0" w:firstRowFirstColumn="0" w:firstRowLastColumn="0" w:lastRowFirstColumn="0" w:lastRowLastColumn="0"/>
            <w:tcW w:w="660" w:type="pct"/>
            <w:tcBorders>
              <w:top w:val="single" w:sz="4" w:space="0" w:color="000000" w:themeColor="text1"/>
              <w:bottom w:val="single" w:sz="4" w:space="0" w:color="000000" w:themeColor="text1"/>
            </w:tcBorders>
            <w:hideMark/>
          </w:tcPr>
          <w:p w14:paraId="13132178" w14:textId="77777777" w:rsidR="004944DF" w:rsidRPr="00D70C07" w:rsidRDefault="004944DF">
            <w:pPr>
              <w:pStyle w:val="ARtabletextright"/>
              <w:rPr>
                <w:lang w:eastAsia="en-AU"/>
              </w:rPr>
            </w:pPr>
            <w:r>
              <w:rPr>
                <w:lang w:eastAsia="en-AU"/>
              </w:rPr>
              <w:t>–</w:t>
            </w:r>
          </w:p>
        </w:tc>
        <w:tc>
          <w:tcPr>
            <w:tcW w:w="378" w:type="pct"/>
            <w:tcBorders>
              <w:top w:val="single" w:sz="4" w:space="0" w:color="000000" w:themeColor="text1"/>
              <w:bottom w:val="single" w:sz="4" w:space="0" w:color="000000" w:themeColor="text1"/>
            </w:tcBorders>
            <w:hideMark/>
          </w:tcPr>
          <w:p w14:paraId="5FF7C1F2" w14:textId="77777777" w:rsidR="004944DF" w:rsidRPr="00E95978"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D70C07" w14:paraId="303C166E" w14:textId="77777777" w:rsidTr="00CF0F12">
        <w:trPr>
          <w:cnfStyle w:val="010000000000" w:firstRow="0" w:lastRow="1" w:firstColumn="0" w:lastColumn="0" w:oddVBand="0" w:evenVBand="0" w:oddHBand="0" w:evenHBand="0" w:firstRowFirstColumn="0" w:firstRowLastColumn="0" w:lastRowFirstColumn="0" w:lastRowLastColumn="0"/>
          <w:trHeight w:val="20"/>
        </w:trPr>
        <w:tc>
          <w:tcPr>
            <w:tcW w:w="2646" w:type="pct"/>
            <w:hideMark/>
          </w:tcPr>
          <w:p w14:paraId="0D12B915" w14:textId="77777777" w:rsidR="004944DF" w:rsidRPr="00D70C07" w:rsidRDefault="004944DF">
            <w:pPr>
              <w:pStyle w:val="ARtabletextbold"/>
              <w:rPr>
                <w:lang w:eastAsia="en-AU"/>
              </w:rPr>
            </w:pPr>
            <w:r w:rsidRPr="00D70C07">
              <w:rPr>
                <w:lang w:eastAsia="en-AU"/>
              </w:rPr>
              <w:t>Cash and cash equivalents at the end of the financial year</w:t>
            </w:r>
          </w:p>
        </w:tc>
        <w:tc>
          <w:tcPr>
            <w:cnfStyle w:val="000001000000" w:firstRow="0" w:lastRow="0" w:firstColumn="0" w:lastColumn="0" w:oddVBand="0" w:evenVBand="1" w:oddHBand="0" w:evenHBand="0" w:firstRowFirstColumn="0" w:firstRowLastColumn="0" w:lastRowFirstColumn="0" w:lastRowLastColumn="0"/>
            <w:tcW w:w="658" w:type="pct"/>
            <w:hideMark/>
          </w:tcPr>
          <w:p w14:paraId="22532329" w14:textId="77777777" w:rsidR="004944DF" w:rsidRPr="00D70C07" w:rsidRDefault="004944DF">
            <w:pPr>
              <w:pStyle w:val="ARtabletextrightbold"/>
              <w:rPr>
                <w:lang w:eastAsia="en-AU"/>
              </w:rPr>
            </w:pPr>
            <w:r w:rsidRPr="00D70C07">
              <w:rPr>
                <w:lang w:eastAsia="en-AU"/>
              </w:rPr>
              <w:t>91</w:t>
            </w:r>
          </w:p>
        </w:tc>
        <w:tc>
          <w:tcPr>
            <w:tcW w:w="658" w:type="pct"/>
            <w:hideMark/>
          </w:tcPr>
          <w:p w14:paraId="6A78AF23" w14:textId="77777777" w:rsidR="004944DF" w:rsidRPr="00D70C07" w:rsidRDefault="004944DF">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D70C07">
              <w:rPr>
                <w:lang w:eastAsia="en-AU"/>
              </w:rPr>
              <w:t>67</w:t>
            </w:r>
          </w:p>
        </w:tc>
        <w:tc>
          <w:tcPr>
            <w:cnfStyle w:val="000001000000" w:firstRow="0" w:lastRow="0" w:firstColumn="0" w:lastColumn="0" w:oddVBand="0" w:evenVBand="1" w:oddHBand="0" w:evenHBand="0" w:firstRowFirstColumn="0" w:firstRowLastColumn="0" w:lastRowFirstColumn="0" w:lastRowLastColumn="0"/>
            <w:tcW w:w="660" w:type="pct"/>
            <w:hideMark/>
          </w:tcPr>
          <w:p w14:paraId="32E3CA5A" w14:textId="77777777" w:rsidR="004944DF" w:rsidRPr="00D70C07" w:rsidRDefault="004944DF">
            <w:pPr>
              <w:pStyle w:val="ARtabletextrightbold"/>
              <w:rPr>
                <w:lang w:eastAsia="en-AU"/>
              </w:rPr>
            </w:pPr>
            <w:r w:rsidRPr="00D70C07">
              <w:rPr>
                <w:lang w:eastAsia="en-AU"/>
              </w:rPr>
              <w:t>36.1</w:t>
            </w:r>
          </w:p>
        </w:tc>
        <w:tc>
          <w:tcPr>
            <w:tcW w:w="378" w:type="pct"/>
            <w:hideMark/>
          </w:tcPr>
          <w:p w14:paraId="67D6A31A" w14:textId="77777777" w:rsidR="004944DF" w:rsidRPr="00E95978" w:rsidRDefault="004944DF">
            <w:pPr>
              <w:pStyle w:val="ARtabletextright"/>
              <w:cnfStyle w:val="010000000000" w:firstRow="0" w:lastRow="1" w:firstColumn="0" w:lastColumn="0" w:oddVBand="0" w:evenVBand="0" w:oddHBand="0" w:evenHBand="0" w:firstRowFirstColumn="0" w:firstRowLastColumn="0" w:lastRowFirstColumn="0" w:lastRowLastColumn="0"/>
              <w:rPr>
                <w:lang w:eastAsia="en-AU"/>
              </w:rPr>
            </w:pPr>
          </w:p>
        </w:tc>
      </w:tr>
    </w:tbl>
    <w:p w14:paraId="0C3548B7" w14:textId="77777777" w:rsidR="004944DF" w:rsidRPr="00D70C07" w:rsidRDefault="004944DF" w:rsidP="004944DF">
      <w:pPr>
        <w:pStyle w:val="ARtablefootnotealpha"/>
        <w:numPr>
          <w:ilvl w:val="0"/>
          <w:numId w:val="49"/>
        </w:numPr>
      </w:pPr>
      <w:r w:rsidRPr="00D70C07">
        <w:t>Actual Receipts from government was higher than the published budget mainly due to funding from the Commonwealth to deliver the Energy Bill Relief concession payments and the Government’s policy commitments including Short Stay Levy and Community Services Organisations Indexation funding.</w:t>
      </w:r>
    </w:p>
    <w:p w14:paraId="73334448" w14:textId="77777777" w:rsidR="004944DF" w:rsidRPr="00D70C07" w:rsidRDefault="004944DF" w:rsidP="004944DF">
      <w:pPr>
        <w:pStyle w:val="ARtablefootnotealpha"/>
        <w:numPr>
          <w:ilvl w:val="0"/>
          <w:numId w:val="45"/>
        </w:numPr>
      </w:pPr>
      <w:r w:rsidRPr="00D70C07">
        <w:t>Receipts from other entities was higher than the published budget mainly due to the Government’s policy commitments including Strengthening food security across Victoria and funding to enable implementation of Child Safety Reforms.</w:t>
      </w:r>
    </w:p>
    <w:p w14:paraId="10CF7A04" w14:textId="77777777" w:rsidR="004944DF" w:rsidRPr="00D70C07" w:rsidRDefault="004944DF" w:rsidP="004944DF">
      <w:pPr>
        <w:pStyle w:val="ARtablefootnotealpha"/>
        <w:numPr>
          <w:ilvl w:val="0"/>
          <w:numId w:val="45"/>
        </w:numPr>
      </w:pPr>
      <w:r w:rsidRPr="00D70C07">
        <w:t>The actual payments to suppliers and employees were higher than the published budget primarily due to increased expenditure as part of Government policy commitments including civil claims costs for historical institutional child abuse</w:t>
      </w:r>
      <w:r>
        <w:t xml:space="preserve"> </w:t>
      </w:r>
      <w:r w:rsidRPr="00D70C07">
        <w:t>and contribution from the Commonwealth including the Energy Bill Relief concession payments.</w:t>
      </w:r>
    </w:p>
    <w:p w14:paraId="0288A8AC" w14:textId="77777777" w:rsidR="004944DF" w:rsidRDefault="004944DF" w:rsidP="004944DF">
      <w:pPr>
        <w:rPr>
          <w:rFonts w:cs="Arial"/>
          <w:color w:val="000000"/>
          <w:sz w:val="18"/>
          <w:szCs w:val="18"/>
          <w:lang w:eastAsia="en-AU"/>
        </w:rPr>
      </w:pPr>
      <w:r>
        <w:rPr>
          <w:rFonts w:cs="Arial"/>
          <w:color w:val="000000"/>
          <w:sz w:val="18"/>
          <w:szCs w:val="18"/>
          <w:lang w:eastAsia="en-AU"/>
        </w:rPr>
        <w:br w:type="page"/>
      </w:r>
    </w:p>
    <w:p w14:paraId="4FBB9152" w14:textId="4FDDED40" w:rsidR="004944DF" w:rsidRPr="0022253C" w:rsidRDefault="004944DF" w:rsidP="00652C2F">
      <w:pPr>
        <w:pStyle w:val="Heading3"/>
        <w:rPr>
          <w:lang w:eastAsia="en-AU"/>
        </w:rPr>
      </w:pPr>
      <w:r w:rsidRPr="0022253C">
        <w:rPr>
          <w:lang w:eastAsia="en-AU"/>
        </w:rPr>
        <w:t>Statement of changes in equity for the financial year ended</w:t>
      </w:r>
      <w:r w:rsidR="00652C2F">
        <w:rPr>
          <w:lang w:eastAsia="en-AU"/>
        </w:rPr>
        <w:t> </w:t>
      </w:r>
      <w:r w:rsidRPr="0022253C">
        <w:rPr>
          <w:lang w:eastAsia="en-AU"/>
        </w:rPr>
        <w:t>30</w:t>
      </w:r>
      <w:r w:rsidR="00652C2F">
        <w:rPr>
          <w:lang w:eastAsia="en-AU"/>
        </w:rPr>
        <w:t> </w:t>
      </w:r>
      <w:r w:rsidRPr="0022253C">
        <w:rPr>
          <w:lang w:eastAsia="en-AU"/>
        </w:rPr>
        <w:t>June</w:t>
      </w:r>
      <w:r w:rsidR="00652C2F">
        <w:rPr>
          <w:lang w:eastAsia="en-AU"/>
        </w:rPr>
        <w:t> </w:t>
      </w:r>
      <w:r w:rsidRPr="0022253C">
        <w:rPr>
          <w:lang w:eastAsia="en-AU"/>
        </w:rPr>
        <w:t>2026</w:t>
      </w:r>
    </w:p>
    <w:tbl>
      <w:tblPr>
        <w:tblStyle w:val="ARtable1"/>
        <w:tblW w:w="5000" w:type="pct"/>
        <w:tblLayout w:type="fixed"/>
        <w:tblLook w:val="00E0" w:firstRow="1" w:lastRow="1" w:firstColumn="1" w:lastColumn="0" w:noHBand="0" w:noVBand="0"/>
      </w:tblPr>
      <w:tblGrid>
        <w:gridCol w:w="3682"/>
        <w:gridCol w:w="1415"/>
        <w:gridCol w:w="1419"/>
        <w:gridCol w:w="1273"/>
        <w:gridCol w:w="996"/>
        <w:gridCol w:w="843"/>
      </w:tblGrid>
      <w:tr w:rsidR="004944DF" w:rsidRPr="0022253C" w14:paraId="09FE1CC5" w14:textId="77777777" w:rsidTr="00535F6C">
        <w:trPr>
          <w:cnfStyle w:val="100000000000" w:firstRow="1" w:lastRow="0" w:firstColumn="0" w:lastColumn="0" w:oddVBand="0" w:evenVBand="0" w:oddHBand="0" w:evenHBand="0" w:firstRowFirstColumn="0" w:firstRowLastColumn="0" w:lastRowFirstColumn="0" w:lastRowLastColumn="0"/>
          <w:trHeight w:val="20"/>
          <w:tblHeader/>
        </w:trPr>
        <w:tc>
          <w:tcPr>
            <w:tcW w:w="1912" w:type="pct"/>
            <w:hideMark/>
          </w:tcPr>
          <w:p w14:paraId="69C2D187" w14:textId="77777777" w:rsidR="004944DF" w:rsidRPr="00F60D24" w:rsidRDefault="004944DF">
            <w:pPr>
              <w:pStyle w:val="ARtablecolheadright"/>
            </w:pPr>
          </w:p>
        </w:tc>
        <w:tc>
          <w:tcPr>
            <w:cnfStyle w:val="000001000000" w:firstRow="0" w:lastRow="0" w:firstColumn="0" w:lastColumn="0" w:oddVBand="0" w:evenVBand="1" w:oddHBand="0" w:evenHBand="0" w:firstRowFirstColumn="0" w:firstRowLastColumn="0" w:lastRowFirstColumn="0" w:lastRowLastColumn="0"/>
            <w:tcW w:w="735" w:type="pct"/>
            <w:hideMark/>
          </w:tcPr>
          <w:p w14:paraId="71ED179C" w14:textId="77777777" w:rsidR="004944DF" w:rsidRPr="00F60D24" w:rsidRDefault="004944DF">
            <w:pPr>
              <w:pStyle w:val="ARtablecolheadright"/>
            </w:pPr>
            <w:r w:rsidRPr="00F60D24">
              <w:t>Accumulated surplus/</w:t>
            </w:r>
            <w:r>
              <w:br/>
            </w:r>
            <w:r w:rsidRPr="00F60D24">
              <w:t>(deficit)</w:t>
            </w:r>
          </w:p>
          <w:p w14:paraId="2FAFA745" w14:textId="77777777" w:rsidR="004944DF" w:rsidRPr="00F60D24" w:rsidRDefault="004944DF">
            <w:pPr>
              <w:pStyle w:val="ARtablecolheadright"/>
            </w:pPr>
            <w:r w:rsidRPr="0022253C">
              <w:rPr>
                <w:rFonts w:cs="Arial"/>
                <w:bCs/>
                <w:color w:val="000000"/>
                <w:szCs w:val="18"/>
                <w:lang w:eastAsia="en-AU"/>
              </w:rPr>
              <w:t>$M</w:t>
            </w:r>
          </w:p>
        </w:tc>
        <w:tc>
          <w:tcPr>
            <w:tcW w:w="737" w:type="pct"/>
            <w:hideMark/>
          </w:tcPr>
          <w:p w14:paraId="00B0D59E" w14:textId="77777777" w:rsidR="004944DF" w:rsidRPr="00F60D24" w:rsidRDefault="004944DF">
            <w:pPr>
              <w:pStyle w:val="ARtablecolheadright"/>
              <w:cnfStyle w:val="100000000000" w:firstRow="1" w:lastRow="0" w:firstColumn="0" w:lastColumn="0" w:oddVBand="0" w:evenVBand="0" w:oddHBand="0" w:evenHBand="0" w:firstRowFirstColumn="0" w:firstRowLastColumn="0" w:lastRowFirstColumn="0" w:lastRowLastColumn="0"/>
            </w:pPr>
            <w:r w:rsidRPr="00F60D24">
              <w:t>Contributions by owner</w:t>
            </w:r>
          </w:p>
          <w:p w14:paraId="1AFFAFD2" w14:textId="77777777" w:rsidR="004944DF" w:rsidRPr="00F60D24" w:rsidRDefault="004944DF">
            <w:pPr>
              <w:pStyle w:val="ARtablecolheadright"/>
              <w:cnfStyle w:val="100000000000" w:firstRow="1" w:lastRow="0" w:firstColumn="0" w:lastColumn="0" w:oddVBand="0" w:evenVBand="0" w:oddHBand="0" w:evenHBand="0" w:firstRowFirstColumn="0" w:firstRowLastColumn="0" w:lastRowFirstColumn="0" w:lastRowLastColumn="0"/>
            </w:pPr>
            <w:r w:rsidRPr="0022253C">
              <w:rPr>
                <w:rFonts w:cs="Arial"/>
                <w:bCs/>
                <w:color w:val="000000"/>
                <w:szCs w:val="18"/>
                <w:lang w:eastAsia="en-AU"/>
              </w:rPr>
              <w:t>$M</w:t>
            </w:r>
          </w:p>
        </w:tc>
        <w:tc>
          <w:tcPr>
            <w:cnfStyle w:val="000001000000" w:firstRow="0" w:lastRow="0" w:firstColumn="0" w:lastColumn="0" w:oddVBand="0" w:evenVBand="1" w:oddHBand="0" w:evenHBand="0" w:firstRowFirstColumn="0" w:firstRowLastColumn="0" w:lastRowFirstColumn="0" w:lastRowLastColumn="0"/>
            <w:tcW w:w="661" w:type="pct"/>
            <w:hideMark/>
          </w:tcPr>
          <w:p w14:paraId="5E08BF37" w14:textId="77777777" w:rsidR="004944DF" w:rsidRPr="00F60D24" w:rsidRDefault="004944DF">
            <w:pPr>
              <w:pStyle w:val="ARtablecolheadright"/>
            </w:pPr>
            <w:r w:rsidRPr="00F60D24">
              <w:t>Revaluation surplus/</w:t>
            </w:r>
            <w:r w:rsidRPr="00F60D24">
              <w:br/>
              <w:t>(deficit)</w:t>
            </w:r>
          </w:p>
          <w:p w14:paraId="109C819B" w14:textId="77777777" w:rsidR="004944DF" w:rsidRPr="00F60D24" w:rsidRDefault="004944DF">
            <w:pPr>
              <w:pStyle w:val="ARtablecolheadright"/>
            </w:pPr>
            <w:r w:rsidRPr="0022253C">
              <w:rPr>
                <w:rFonts w:cs="Arial"/>
                <w:bCs/>
                <w:color w:val="000000"/>
                <w:szCs w:val="18"/>
                <w:lang w:eastAsia="en-AU"/>
              </w:rPr>
              <w:t>$M</w:t>
            </w:r>
          </w:p>
        </w:tc>
        <w:tc>
          <w:tcPr>
            <w:tcW w:w="517" w:type="pct"/>
            <w:hideMark/>
          </w:tcPr>
          <w:p w14:paraId="5F24C038" w14:textId="77777777" w:rsidR="004944DF" w:rsidRPr="00D056EA" w:rsidRDefault="004944DF">
            <w:pPr>
              <w:pStyle w:val="ARtablecolheadright"/>
              <w:cnfStyle w:val="100000000000" w:firstRow="1" w:lastRow="0" w:firstColumn="0" w:lastColumn="0" w:oddVBand="0" w:evenVBand="0" w:oddHBand="0" w:evenHBand="0" w:firstRowFirstColumn="0" w:firstRowLastColumn="0" w:lastRowFirstColumn="0" w:lastRowLastColumn="0"/>
              <w:rPr>
                <w:spacing w:val="-6"/>
              </w:rPr>
            </w:pPr>
            <w:r w:rsidRPr="00D056EA">
              <w:rPr>
                <w:spacing w:val="-6"/>
              </w:rPr>
              <w:t>Other reserves</w:t>
            </w:r>
          </w:p>
          <w:p w14:paraId="1FEF04EE" w14:textId="77777777" w:rsidR="004944DF" w:rsidRPr="00F60D24" w:rsidRDefault="004944DF">
            <w:pPr>
              <w:pStyle w:val="ARtablecolheadright"/>
              <w:cnfStyle w:val="100000000000" w:firstRow="1" w:lastRow="0" w:firstColumn="0" w:lastColumn="0" w:oddVBand="0" w:evenVBand="0" w:oddHBand="0" w:evenHBand="0" w:firstRowFirstColumn="0" w:firstRowLastColumn="0" w:lastRowFirstColumn="0" w:lastRowLastColumn="0"/>
            </w:pPr>
            <w:r w:rsidRPr="0022253C">
              <w:rPr>
                <w:rFonts w:cs="Arial"/>
                <w:bCs/>
                <w:color w:val="000000"/>
                <w:szCs w:val="18"/>
                <w:lang w:eastAsia="en-AU"/>
              </w:rPr>
              <w:t>$M</w:t>
            </w:r>
          </w:p>
        </w:tc>
        <w:tc>
          <w:tcPr>
            <w:cnfStyle w:val="000001000000" w:firstRow="0" w:lastRow="0" w:firstColumn="0" w:lastColumn="0" w:oddVBand="0" w:evenVBand="1" w:oddHBand="0" w:evenHBand="0" w:firstRowFirstColumn="0" w:firstRowLastColumn="0" w:lastRowFirstColumn="0" w:lastRowLastColumn="0"/>
            <w:tcW w:w="438" w:type="pct"/>
            <w:hideMark/>
          </w:tcPr>
          <w:p w14:paraId="2F9CD71C" w14:textId="77777777" w:rsidR="004944DF" w:rsidRPr="00F60D24" w:rsidRDefault="004944DF">
            <w:pPr>
              <w:pStyle w:val="ARtablecolheadright"/>
            </w:pPr>
            <w:r w:rsidRPr="00F60D24">
              <w:t xml:space="preserve">Total equity </w:t>
            </w:r>
          </w:p>
          <w:p w14:paraId="2EF50CF0" w14:textId="77777777" w:rsidR="004944DF" w:rsidRPr="00F60D24" w:rsidRDefault="004944DF">
            <w:pPr>
              <w:pStyle w:val="ARtablecolheadright"/>
            </w:pPr>
            <w:r w:rsidRPr="0022253C">
              <w:rPr>
                <w:rFonts w:cs="Arial"/>
                <w:bCs/>
                <w:color w:val="000000"/>
                <w:szCs w:val="18"/>
                <w:lang w:eastAsia="en-AU"/>
              </w:rPr>
              <w:t>$M</w:t>
            </w:r>
          </w:p>
        </w:tc>
      </w:tr>
      <w:tr w:rsidR="004944DF" w:rsidRPr="0022253C" w14:paraId="1DE573AB" w14:textId="77777777" w:rsidTr="00535F6C">
        <w:trPr>
          <w:cnfStyle w:val="000000100000" w:firstRow="0" w:lastRow="0" w:firstColumn="0" w:lastColumn="0" w:oddVBand="0" w:evenVBand="0" w:oddHBand="1" w:evenHBand="0" w:firstRowFirstColumn="0" w:firstRowLastColumn="0" w:lastRowFirstColumn="0" w:lastRowLastColumn="0"/>
          <w:trHeight w:val="20"/>
        </w:trPr>
        <w:tc>
          <w:tcPr>
            <w:tcW w:w="1912" w:type="pct"/>
            <w:hideMark/>
          </w:tcPr>
          <w:p w14:paraId="74A27347" w14:textId="77777777" w:rsidR="004944DF" w:rsidRPr="0022253C" w:rsidRDefault="004944DF">
            <w:pPr>
              <w:pStyle w:val="ARTabletextboldcoloured"/>
              <w:rPr>
                <w:lang w:eastAsia="en-AU"/>
              </w:rPr>
            </w:pPr>
            <w:r w:rsidRPr="0022253C">
              <w:rPr>
                <w:lang w:eastAsia="en-AU"/>
              </w:rPr>
              <w:t>Opening balance 1 July 2025</w:t>
            </w:r>
          </w:p>
        </w:tc>
        <w:tc>
          <w:tcPr>
            <w:cnfStyle w:val="000001000000" w:firstRow="0" w:lastRow="0" w:firstColumn="0" w:lastColumn="0" w:oddVBand="0" w:evenVBand="1" w:oddHBand="0" w:evenHBand="0" w:firstRowFirstColumn="0" w:firstRowLastColumn="0" w:lastRowFirstColumn="0" w:lastRowLastColumn="0"/>
            <w:tcW w:w="735" w:type="pct"/>
            <w:hideMark/>
          </w:tcPr>
          <w:p w14:paraId="172D5019" w14:textId="77777777" w:rsidR="004944DF" w:rsidRPr="0022253C" w:rsidRDefault="004944DF">
            <w:pPr>
              <w:pStyle w:val="ARtabletextrightbold"/>
              <w:rPr>
                <w:lang w:eastAsia="en-AU"/>
              </w:rPr>
            </w:pPr>
            <w:r w:rsidRPr="0022253C">
              <w:rPr>
                <w:lang w:eastAsia="en-AU"/>
              </w:rPr>
              <w:t>(327)</w:t>
            </w:r>
          </w:p>
        </w:tc>
        <w:tc>
          <w:tcPr>
            <w:tcW w:w="737" w:type="pct"/>
            <w:hideMark/>
          </w:tcPr>
          <w:p w14:paraId="406698BD" w14:textId="77777777" w:rsidR="004944DF" w:rsidRPr="0022253C" w:rsidRDefault="004944DF">
            <w:pPr>
              <w:pStyle w:val="ARtabletextrightbold"/>
              <w:cnfStyle w:val="000000100000" w:firstRow="0" w:lastRow="0" w:firstColumn="0" w:lastColumn="0" w:oddVBand="0" w:evenVBand="0" w:oddHBand="1" w:evenHBand="0" w:firstRowFirstColumn="0" w:firstRowLastColumn="0" w:lastRowFirstColumn="0" w:lastRowLastColumn="0"/>
              <w:rPr>
                <w:lang w:eastAsia="en-AU"/>
              </w:rPr>
            </w:pPr>
            <w:r w:rsidRPr="0022253C">
              <w:rPr>
                <w:lang w:eastAsia="en-AU"/>
              </w:rPr>
              <w:t>1,367</w:t>
            </w:r>
          </w:p>
        </w:tc>
        <w:tc>
          <w:tcPr>
            <w:cnfStyle w:val="000001000000" w:firstRow="0" w:lastRow="0" w:firstColumn="0" w:lastColumn="0" w:oddVBand="0" w:evenVBand="1" w:oddHBand="0" w:evenHBand="0" w:firstRowFirstColumn="0" w:firstRowLastColumn="0" w:lastRowFirstColumn="0" w:lastRowLastColumn="0"/>
            <w:tcW w:w="661" w:type="pct"/>
            <w:hideMark/>
          </w:tcPr>
          <w:p w14:paraId="3AFE5357" w14:textId="77777777" w:rsidR="004944DF" w:rsidRPr="0022253C" w:rsidRDefault="004944DF">
            <w:pPr>
              <w:pStyle w:val="ARtabletextrightbold"/>
              <w:rPr>
                <w:lang w:eastAsia="en-AU"/>
              </w:rPr>
            </w:pPr>
            <w:r w:rsidRPr="0022253C">
              <w:rPr>
                <w:lang w:eastAsia="en-AU"/>
              </w:rPr>
              <w:t>271</w:t>
            </w:r>
          </w:p>
        </w:tc>
        <w:tc>
          <w:tcPr>
            <w:tcW w:w="517" w:type="pct"/>
            <w:hideMark/>
          </w:tcPr>
          <w:p w14:paraId="49D011CA" w14:textId="77777777" w:rsidR="004944DF" w:rsidRPr="0022253C" w:rsidRDefault="004944DF">
            <w:pPr>
              <w:pStyle w:val="ARtabletextrightbold"/>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438" w:type="pct"/>
            <w:hideMark/>
          </w:tcPr>
          <w:p w14:paraId="4E473C69" w14:textId="77777777" w:rsidR="004944DF" w:rsidRPr="0022253C" w:rsidRDefault="004944DF">
            <w:pPr>
              <w:pStyle w:val="ARtabletextrightbold"/>
              <w:rPr>
                <w:lang w:eastAsia="en-AU"/>
              </w:rPr>
            </w:pPr>
            <w:r w:rsidRPr="0022253C">
              <w:rPr>
                <w:lang w:eastAsia="en-AU"/>
              </w:rPr>
              <w:t>1,311</w:t>
            </w:r>
          </w:p>
        </w:tc>
      </w:tr>
      <w:tr w:rsidR="004944DF" w:rsidRPr="0022253C" w14:paraId="237164EF" w14:textId="77777777" w:rsidTr="00535F6C">
        <w:trPr>
          <w:cnfStyle w:val="000000010000" w:firstRow="0" w:lastRow="0" w:firstColumn="0" w:lastColumn="0" w:oddVBand="0" w:evenVBand="0" w:oddHBand="0" w:evenHBand="1" w:firstRowFirstColumn="0" w:firstRowLastColumn="0" w:lastRowFirstColumn="0" w:lastRowLastColumn="0"/>
          <w:trHeight w:val="20"/>
        </w:trPr>
        <w:tc>
          <w:tcPr>
            <w:tcW w:w="1912" w:type="pct"/>
            <w:tcBorders>
              <w:bottom w:val="single" w:sz="4" w:space="0" w:color="BFBFBF" w:themeColor="accent2"/>
            </w:tcBorders>
            <w:hideMark/>
          </w:tcPr>
          <w:p w14:paraId="069333B4" w14:textId="77777777" w:rsidR="004944DF" w:rsidRPr="0022253C" w:rsidRDefault="004944DF">
            <w:pPr>
              <w:pStyle w:val="ARTabletext"/>
              <w:rPr>
                <w:lang w:eastAsia="en-AU"/>
              </w:rPr>
            </w:pPr>
            <w:r w:rsidRPr="0022253C">
              <w:rPr>
                <w:lang w:eastAsia="en-AU"/>
              </w:rPr>
              <w:t>Comprehensive result</w:t>
            </w:r>
          </w:p>
        </w:tc>
        <w:tc>
          <w:tcPr>
            <w:cnfStyle w:val="000001000000" w:firstRow="0" w:lastRow="0" w:firstColumn="0" w:lastColumn="0" w:oddVBand="0" w:evenVBand="1" w:oddHBand="0" w:evenHBand="0" w:firstRowFirstColumn="0" w:firstRowLastColumn="0" w:lastRowFirstColumn="0" w:lastRowLastColumn="0"/>
            <w:tcW w:w="735" w:type="pct"/>
            <w:tcBorders>
              <w:bottom w:val="single" w:sz="4" w:space="0" w:color="BFBFBF" w:themeColor="accent2"/>
            </w:tcBorders>
            <w:hideMark/>
          </w:tcPr>
          <w:p w14:paraId="583325EE" w14:textId="77777777" w:rsidR="004944DF" w:rsidRPr="0022253C" w:rsidRDefault="004944DF">
            <w:pPr>
              <w:pStyle w:val="ARtabletextright"/>
              <w:rPr>
                <w:lang w:eastAsia="en-AU"/>
              </w:rPr>
            </w:pPr>
            <w:r w:rsidRPr="0022253C">
              <w:rPr>
                <w:lang w:eastAsia="en-AU"/>
              </w:rPr>
              <w:t>(12)</w:t>
            </w:r>
          </w:p>
        </w:tc>
        <w:tc>
          <w:tcPr>
            <w:tcW w:w="737" w:type="pct"/>
            <w:tcBorders>
              <w:bottom w:val="single" w:sz="4" w:space="0" w:color="BFBFBF" w:themeColor="accent2"/>
            </w:tcBorders>
            <w:hideMark/>
          </w:tcPr>
          <w:p w14:paraId="3D42F560" w14:textId="77777777" w:rsidR="004944DF" w:rsidRPr="0022253C"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61" w:type="pct"/>
            <w:tcBorders>
              <w:bottom w:val="single" w:sz="4" w:space="0" w:color="BFBFBF" w:themeColor="accent2"/>
            </w:tcBorders>
            <w:hideMark/>
          </w:tcPr>
          <w:p w14:paraId="4CCC3C84" w14:textId="77777777" w:rsidR="004944DF" w:rsidRPr="0022253C" w:rsidRDefault="004944DF">
            <w:pPr>
              <w:pStyle w:val="ARtabletextright"/>
              <w:rPr>
                <w:lang w:eastAsia="en-AU"/>
              </w:rPr>
            </w:pPr>
            <w:r>
              <w:rPr>
                <w:lang w:eastAsia="en-AU"/>
              </w:rPr>
              <w:t>–</w:t>
            </w:r>
          </w:p>
        </w:tc>
        <w:tc>
          <w:tcPr>
            <w:tcW w:w="517" w:type="pct"/>
            <w:tcBorders>
              <w:bottom w:val="single" w:sz="4" w:space="0" w:color="BFBFBF" w:themeColor="accent2"/>
            </w:tcBorders>
            <w:hideMark/>
          </w:tcPr>
          <w:p w14:paraId="523A6939" w14:textId="77777777" w:rsidR="004944DF" w:rsidRPr="0022253C"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438" w:type="pct"/>
            <w:tcBorders>
              <w:bottom w:val="single" w:sz="4" w:space="0" w:color="BFBFBF" w:themeColor="accent2"/>
            </w:tcBorders>
            <w:hideMark/>
          </w:tcPr>
          <w:p w14:paraId="25E37E4F" w14:textId="77777777" w:rsidR="004944DF" w:rsidRPr="0022253C" w:rsidRDefault="004944DF">
            <w:pPr>
              <w:pStyle w:val="ARtabletextright"/>
              <w:rPr>
                <w:lang w:eastAsia="en-AU"/>
              </w:rPr>
            </w:pPr>
            <w:r w:rsidRPr="0022253C">
              <w:rPr>
                <w:lang w:eastAsia="en-AU"/>
              </w:rPr>
              <w:t>(12)</w:t>
            </w:r>
          </w:p>
        </w:tc>
      </w:tr>
      <w:tr w:rsidR="004944DF" w:rsidRPr="0022253C" w14:paraId="3D6FBFCC" w14:textId="77777777" w:rsidTr="00535F6C">
        <w:trPr>
          <w:cnfStyle w:val="000000100000" w:firstRow="0" w:lastRow="0" w:firstColumn="0" w:lastColumn="0" w:oddVBand="0" w:evenVBand="0" w:oddHBand="1" w:evenHBand="0" w:firstRowFirstColumn="0" w:firstRowLastColumn="0" w:lastRowFirstColumn="0" w:lastRowLastColumn="0"/>
          <w:trHeight w:val="20"/>
        </w:trPr>
        <w:tc>
          <w:tcPr>
            <w:tcW w:w="1912" w:type="pct"/>
            <w:tcBorders>
              <w:top w:val="single" w:sz="4" w:space="0" w:color="BFBFBF" w:themeColor="accent2"/>
              <w:bottom w:val="single" w:sz="4" w:space="0" w:color="000000" w:themeColor="text1"/>
            </w:tcBorders>
            <w:hideMark/>
          </w:tcPr>
          <w:p w14:paraId="5039DC32" w14:textId="77777777" w:rsidR="004944DF" w:rsidRPr="0022253C" w:rsidRDefault="004944DF">
            <w:pPr>
              <w:pStyle w:val="ARTabletext"/>
              <w:rPr>
                <w:lang w:eastAsia="en-AU"/>
              </w:rPr>
            </w:pPr>
            <w:r w:rsidRPr="0022253C">
              <w:rPr>
                <w:lang w:eastAsia="en-AU"/>
              </w:rPr>
              <w:t>Transactions with owners in their capacity</w:t>
            </w:r>
            <w:r>
              <w:rPr>
                <w:lang w:eastAsia="en-AU"/>
              </w:rPr>
              <w:t> </w:t>
            </w:r>
            <w:r w:rsidRPr="0022253C">
              <w:rPr>
                <w:lang w:eastAsia="en-AU"/>
              </w:rPr>
              <w:t>as</w:t>
            </w:r>
            <w:r>
              <w:rPr>
                <w:lang w:eastAsia="en-AU"/>
              </w:rPr>
              <w:t> </w:t>
            </w:r>
            <w:r w:rsidRPr="0022253C">
              <w:rPr>
                <w:lang w:eastAsia="en-AU"/>
              </w:rPr>
              <w:t>owners</w:t>
            </w:r>
          </w:p>
        </w:tc>
        <w:tc>
          <w:tcPr>
            <w:cnfStyle w:val="000001000000" w:firstRow="0" w:lastRow="0" w:firstColumn="0" w:lastColumn="0" w:oddVBand="0" w:evenVBand="1" w:oddHBand="0" w:evenHBand="0" w:firstRowFirstColumn="0" w:firstRowLastColumn="0" w:lastRowFirstColumn="0" w:lastRowLastColumn="0"/>
            <w:tcW w:w="735" w:type="pct"/>
            <w:tcBorders>
              <w:top w:val="single" w:sz="4" w:space="0" w:color="BFBFBF" w:themeColor="accent2"/>
              <w:bottom w:val="single" w:sz="4" w:space="0" w:color="000000" w:themeColor="text1"/>
            </w:tcBorders>
            <w:hideMark/>
          </w:tcPr>
          <w:p w14:paraId="56C14CEB" w14:textId="77777777" w:rsidR="004944DF" w:rsidRPr="0022253C" w:rsidRDefault="004944DF">
            <w:pPr>
              <w:pStyle w:val="ARtabletextright"/>
              <w:rPr>
                <w:lang w:eastAsia="en-AU"/>
              </w:rPr>
            </w:pPr>
            <w:r>
              <w:rPr>
                <w:lang w:eastAsia="en-AU"/>
              </w:rPr>
              <w:t>–</w:t>
            </w:r>
          </w:p>
        </w:tc>
        <w:tc>
          <w:tcPr>
            <w:tcW w:w="737" w:type="pct"/>
            <w:tcBorders>
              <w:top w:val="single" w:sz="4" w:space="0" w:color="BFBFBF" w:themeColor="accent2"/>
              <w:bottom w:val="single" w:sz="4" w:space="0" w:color="000000" w:themeColor="text1"/>
            </w:tcBorders>
            <w:hideMark/>
          </w:tcPr>
          <w:p w14:paraId="50B0BCA5" w14:textId="77777777" w:rsidR="004944DF" w:rsidRPr="0022253C"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sidRPr="0022253C">
              <w:rPr>
                <w:lang w:eastAsia="en-AU"/>
              </w:rPr>
              <w:t>11</w:t>
            </w:r>
          </w:p>
        </w:tc>
        <w:tc>
          <w:tcPr>
            <w:cnfStyle w:val="000001000000" w:firstRow="0" w:lastRow="0" w:firstColumn="0" w:lastColumn="0" w:oddVBand="0" w:evenVBand="1" w:oddHBand="0" w:evenHBand="0" w:firstRowFirstColumn="0" w:firstRowLastColumn="0" w:lastRowFirstColumn="0" w:lastRowLastColumn="0"/>
            <w:tcW w:w="661" w:type="pct"/>
            <w:tcBorders>
              <w:top w:val="single" w:sz="4" w:space="0" w:color="BFBFBF" w:themeColor="accent2"/>
              <w:bottom w:val="single" w:sz="4" w:space="0" w:color="000000" w:themeColor="text1"/>
            </w:tcBorders>
            <w:hideMark/>
          </w:tcPr>
          <w:p w14:paraId="2741E7A6" w14:textId="77777777" w:rsidR="004944DF" w:rsidRPr="0022253C" w:rsidRDefault="004944DF">
            <w:pPr>
              <w:pStyle w:val="ARtabletextright"/>
              <w:rPr>
                <w:lang w:eastAsia="en-AU"/>
              </w:rPr>
            </w:pPr>
            <w:r>
              <w:rPr>
                <w:lang w:eastAsia="en-AU"/>
              </w:rPr>
              <w:t>–</w:t>
            </w:r>
          </w:p>
        </w:tc>
        <w:tc>
          <w:tcPr>
            <w:tcW w:w="517" w:type="pct"/>
            <w:tcBorders>
              <w:top w:val="single" w:sz="4" w:space="0" w:color="BFBFBF" w:themeColor="accent2"/>
              <w:bottom w:val="single" w:sz="4" w:space="0" w:color="000000" w:themeColor="text1"/>
            </w:tcBorders>
            <w:hideMark/>
          </w:tcPr>
          <w:p w14:paraId="26609FC0" w14:textId="77777777" w:rsidR="004944DF" w:rsidRPr="0022253C"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438" w:type="pct"/>
            <w:tcBorders>
              <w:top w:val="single" w:sz="4" w:space="0" w:color="BFBFBF" w:themeColor="accent2"/>
              <w:bottom w:val="single" w:sz="4" w:space="0" w:color="000000" w:themeColor="text1"/>
            </w:tcBorders>
            <w:hideMark/>
          </w:tcPr>
          <w:p w14:paraId="63DD576C" w14:textId="77777777" w:rsidR="004944DF" w:rsidRPr="0022253C" w:rsidRDefault="004944DF">
            <w:pPr>
              <w:pStyle w:val="ARtabletextright"/>
              <w:rPr>
                <w:lang w:eastAsia="en-AU"/>
              </w:rPr>
            </w:pPr>
            <w:r w:rsidRPr="0022253C">
              <w:rPr>
                <w:lang w:eastAsia="en-AU"/>
              </w:rPr>
              <w:t>11</w:t>
            </w:r>
          </w:p>
        </w:tc>
      </w:tr>
      <w:tr w:rsidR="004944DF" w:rsidRPr="0022253C" w14:paraId="5D669BC3" w14:textId="77777777" w:rsidTr="00535F6C">
        <w:trPr>
          <w:cnfStyle w:val="000000010000" w:firstRow="0" w:lastRow="0" w:firstColumn="0" w:lastColumn="0" w:oddVBand="0" w:evenVBand="0" w:oddHBand="0" w:evenHBand="1" w:firstRowFirstColumn="0" w:firstRowLastColumn="0" w:lastRowFirstColumn="0" w:lastRowLastColumn="0"/>
          <w:trHeight w:val="20"/>
        </w:trPr>
        <w:tc>
          <w:tcPr>
            <w:tcW w:w="1912" w:type="pct"/>
            <w:tcBorders>
              <w:top w:val="single" w:sz="4" w:space="0" w:color="000000" w:themeColor="text1"/>
              <w:bottom w:val="single" w:sz="4" w:space="0" w:color="000000" w:themeColor="text1"/>
            </w:tcBorders>
            <w:hideMark/>
          </w:tcPr>
          <w:p w14:paraId="031DCEBA" w14:textId="77777777" w:rsidR="004944DF" w:rsidRPr="0022253C" w:rsidRDefault="004944DF">
            <w:pPr>
              <w:pStyle w:val="ARtabletextbold"/>
              <w:rPr>
                <w:lang w:eastAsia="en-AU"/>
              </w:rPr>
            </w:pPr>
            <w:r w:rsidRPr="0022253C">
              <w:rPr>
                <w:lang w:eastAsia="en-AU"/>
              </w:rPr>
              <w:t>Closing balance 30 June 2026 (actual)</w:t>
            </w:r>
          </w:p>
        </w:tc>
        <w:tc>
          <w:tcPr>
            <w:cnfStyle w:val="000001000000" w:firstRow="0" w:lastRow="0" w:firstColumn="0" w:lastColumn="0" w:oddVBand="0" w:evenVBand="1" w:oddHBand="0" w:evenHBand="0" w:firstRowFirstColumn="0" w:firstRowLastColumn="0" w:lastRowFirstColumn="0" w:lastRowLastColumn="0"/>
            <w:tcW w:w="735" w:type="pct"/>
            <w:tcBorders>
              <w:top w:val="single" w:sz="4" w:space="0" w:color="000000" w:themeColor="text1"/>
              <w:bottom w:val="single" w:sz="4" w:space="0" w:color="000000" w:themeColor="text1"/>
            </w:tcBorders>
            <w:hideMark/>
          </w:tcPr>
          <w:p w14:paraId="29907257" w14:textId="77777777" w:rsidR="004944DF" w:rsidRPr="0022253C" w:rsidRDefault="004944DF">
            <w:pPr>
              <w:pStyle w:val="ARtabletextrightbold"/>
              <w:rPr>
                <w:lang w:eastAsia="en-AU"/>
              </w:rPr>
            </w:pPr>
            <w:r w:rsidRPr="0022253C">
              <w:rPr>
                <w:lang w:eastAsia="en-AU"/>
              </w:rPr>
              <w:t>(338)</w:t>
            </w:r>
          </w:p>
        </w:tc>
        <w:tc>
          <w:tcPr>
            <w:tcW w:w="737" w:type="pct"/>
            <w:tcBorders>
              <w:top w:val="single" w:sz="4" w:space="0" w:color="000000" w:themeColor="text1"/>
              <w:bottom w:val="single" w:sz="4" w:space="0" w:color="000000" w:themeColor="text1"/>
            </w:tcBorders>
            <w:hideMark/>
          </w:tcPr>
          <w:p w14:paraId="257F3300" w14:textId="77777777" w:rsidR="004944DF" w:rsidRPr="0022253C" w:rsidRDefault="004944DF">
            <w:pPr>
              <w:pStyle w:val="ARtabletextrightbold"/>
              <w:cnfStyle w:val="000000010000" w:firstRow="0" w:lastRow="0" w:firstColumn="0" w:lastColumn="0" w:oddVBand="0" w:evenVBand="0" w:oddHBand="0" w:evenHBand="1" w:firstRowFirstColumn="0" w:firstRowLastColumn="0" w:lastRowFirstColumn="0" w:lastRowLastColumn="0"/>
              <w:rPr>
                <w:lang w:eastAsia="en-AU"/>
              </w:rPr>
            </w:pPr>
            <w:r w:rsidRPr="0022253C">
              <w:rPr>
                <w:lang w:eastAsia="en-AU"/>
              </w:rPr>
              <w:t>1,378</w:t>
            </w:r>
          </w:p>
        </w:tc>
        <w:tc>
          <w:tcPr>
            <w:cnfStyle w:val="000001000000" w:firstRow="0" w:lastRow="0" w:firstColumn="0" w:lastColumn="0" w:oddVBand="0" w:evenVBand="1" w:oddHBand="0" w:evenHBand="0" w:firstRowFirstColumn="0" w:firstRowLastColumn="0" w:lastRowFirstColumn="0" w:lastRowLastColumn="0"/>
            <w:tcW w:w="661" w:type="pct"/>
            <w:tcBorders>
              <w:top w:val="single" w:sz="4" w:space="0" w:color="000000" w:themeColor="text1"/>
              <w:bottom w:val="single" w:sz="4" w:space="0" w:color="000000" w:themeColor="text1"/>
            </w:tcBorders>
            <w:hideMark/>
          </w:tcPr>
          <w:p w14:paraId="1BD444BE" w14:textId="77777777" w:rsidR="004944DF" w:rsidRPr="0022253C" w:rsidRDefault="004944DF">
            <w:pPr>
              <w:pStyle w:val="ARtabletextrightbold"/>
              <w:rPr>
                <w:lang w:eastAsia="en-AU"/>
              </w:rPr>
            </w:pPr>
            <w:r w:rsidRPr="0022253C">
              <w:rPr>
                <w:lang w:eastAsia="en-AU"/>
              </w:rPr>
              <w:t>271</w:t>
            </w:r>
          </w:p>
        </w:tc>
        <w:tc>
          <w:tcPr>
            <w:tcW w:w="517" w:type="pct"/>
            <w:tcBorders>
              <w:top w:val="single" w:sz="4" w:space="0" w:color="000000" w:themeColor="text1"/>
              <w:bottom w:val="single" w:sz="4" w:space="0" w:color="000000" w:themeColor="text1"/>
            </w:tcBorders>
            <w:hideMark/>
          </w:tcPr>
          <w:p w14:paraId="395DFA46" w14:textId="77777777" w:rsidR="004944DF" w:rsidRPr="0022253C" w:rsidRDefault="004944DF">
            <w:pPr>
              <w:pStyle w:val="ARtabletextrightbold"/>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438" w:type="pct"/>
            <w:tcBorders>
              <w:top w:val="single" w:sz="4" w:space="0" w:color="000000" w:themeColor="text1"/>
              <w:bottom w:val="single" w:sz="4" w:space="0" w:color="000000" w:themeColor="text1"/>
            </w:tcBorders>
            <w:hideMark/>
          </w:tcPr>
          <w:p w14:paraId="655733AF" w14:textId="77777777" w:rsidR="004944DF" w:rsidRPr="0022253C" w:rsidRDefault="004944DF">
            <w:pPr>
              <w:pStyle w:val="ARtabletextrightbold"/>
              <w:rPr>
                <w:lang w:eastAsia="en-AU"/>
              </w:rPr>
            </w:pPr>
            <w:r w:rsidRPr="0022253C">
              <w:rPr>
                <w:lang w:eastAsia="en-AU"/>
              </w:rPr>
              <w:t>1,311</w:t>
            </w:r>
          </w:p>
        </w:tc>
      </w:tr>
      <w:tr w:rsidR="004944DF" w:rsidRPr="0022253C" w14:paraId="29B45720" w14:textId="77777777" w:rsidTr="00535F6C">
        <w:trPr>
          <w:cnfStyle w:val="000000100000" w:firstRow="0" w:lastRow="0" w:firstColumn="0" w:lastColumn="0" w:oddVBand="0" w:evenVBand="0" w:oddHBand="1" w:evenHBand="0" w:firstRowFirstColumn="0" w:firstRowLastColumn="0" w:lastRowFirstColumn="0" w:lastRowLastColumn="0"/>
          <w:trHeight w:val="20"/>
        </w:trPr>
        <w:tc>
          <w:tcPr>
            <w:tcW w:w="1912" w:type="pct"/>
            <w:tcBorders>
              <w:top w:val="single" w:sz="4" w:space="0" w:color="000000" w:themeColor="text1"/>
              <w:bottom w:val="single" w:sz="4" w:space="0" w:color="BFBFBF" w:themeColor="accent2"/>
            </w:tcBorders>
            <w:hideMark/>
          </w:tcPr>
          <w:p w14:paraId="447263DA" w14:textId="77777777" w:rsidR="004944DF" w:rsidRPr="0022253C" w:rsidRDefault="004944DF">
            <w:pPr>
              <w:pStyle w:val="ARTabletext"/>
              <w:rPr>
                <w:lang w:eastAsia="en-AU"/>
              </w:rPr>
            </w:pPr>
            <w:r w:rsidRPr="0022253C">
              <w:rPr>
                <w:lang w:eastAsia="en-AU"/>
              </w:rPr>
              <w:t>Comprehensive result</w:t>
            </w:r>
          </w:p>
        </w:tc>
        <w:tc>
          <w:tcPr>
            <w:cnfStyle w:val="000001000000" w:firstRow="0" w:lastRow="0" w:firstColumn="0" w:lastColumn="0" w:oddVBand="0" w:evenVBand="1" w:oddHBand="0" w:evenHBand="0" w:firstRowFirstColumn="0" w:firstRowLastColumn="0" w:lastRowFirstColumn="0" w:lastRowLastColumn="0"/>
            <w:tcW w:w="735" w:type="pct"/>
            <w:tcBorders>
              <w:top w:val="single" w:sz="4" w:space="0" w:color="000000" w:themeColor="text1"/>
              <w:bottom w:val="single" w:sz="4" w:space="0" w:color="BFBFBF" w:themeColor="accent2"/>
            </w:tcBorders>
            <w:hideMark/>
          </w:tcPr>
          <w:p w14:paraId="736D7E21" w14:textId="77777777" w:rsidR="004944DF" w:rsidRPr="0022253C" w:rsidRDefault="004944DF">
            <w:pPr>
              <w:pStyle w:val="ARtabletextright"/>
              <w:rPr>
                <w:lang w:eastAsia="en-AU"/>
              </w:rPr>
            </w:pPr>
            <w:r w:rsidRPr="0022253C">
              <w:rPr>
                <w:lang w:eastAsia="en-AU"/>
              </w:rPr>
              <w:t>(6)</w:t>
            </w:r>
          </w:p>
        </w:tc>
        <w:tc>
          <w:tcPr>
            <w:tcW w:w="737" w:type="pct"/>
            <w:tcBorders>
              <w:top w:val="single" w:sz="4" w:space="0" w:color="000000" w:themeColor="text1"/>
              <w:bottom w:val="single" w:sz="4" w:space="0" w:color="BFBFBF" w:themeColor="accent2"/>
            </w:tcBorders>
            <w:hideMark/>
          </w:tcPr>
          <w:p w14:paraId="4A8CB352" w14:textId="77777777" w:rsidR="004944DF" w:rsidRPr="0022253C"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61" w:type="pct"/>
            <w:tcBorders>
              <w:top w:val="single" w:sz="4" w:space="0" w:color="000000" w:themeColor="text1"/>
              <w:bottom w:val="single" w:sz="4" w:space="0" w:color="BFBFBF" w:themeColor="accent2"/>
            </w:tcBorders>
            <w:hideMark/>
          </w:tcPr>
          <w:p w14:paraId="12C82A08" w14:textId="77777777" w:rsidR="004944DF" w:rsidRPr="0022253C" w:rsidRDefault="004944DF">
            <w:pPr>
              <w:pStyle w:val="ARtabletextright"/>
              <w:rPr>
                <w:lang w:eastAsia="en-AU"/>
              </w:rPr>
            </w:pPr>
            <w:r>
              <w:rPr>
                <w:lang w:eastAsia="en-AU"/>
              </w:rPr>
              <w:t>–</w:t>
            </w:r>
          </w:p>
        </w:tc>
        <w:tc>
          <w:tcPr>
            <w:tcW w:w="517" w:type="pct"/>
            <w:tcBorders>
              <w:top w:val="single" w:sz="4" w:space="0" w:color="000000" w:themeColor="text1"/>
              <w:bottom w:val="single" w:sz="4" w:space="0" w:color="BFBFBF" w:themeColor="accent2"/>
            </w:tcBorders>
            <w:hideMark/>
          </w:tcPr>
          <w:p w14:paraId="24013532" w14:textId="77777777" w:rsidR="004944DF" w:rsidRPr="0022253C"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438" w:type="pct"/>
            <w:tcBorders>
              <w:top w:val="single" w:sz="4" w:space="0" w:color="000000" w:themeColor="text1"/>
              <w:bottom w:val="single" w:sz="4" w:space="0" w:color="BFBFBF" w:themeColor="accent2"/>
            </w:tcBorders>
            <w:hideMark/>
          </w:tcPr>
          <w:p w14:paraId="5D629328" w14:textId="77777777" w:rsidR="004944DF" w:rsidRPr="0022253C" w:rsidRDefault="004944DF">
            <w:pPr>
              <w:pStyle w:val="ARtabletextright"/>
              <w:rPr>
                <w:lang w:eastAsia="en-AU"/>
              </w:rPr>
            </w:pPr>
            <w:r w:rsidRPr="0022253C">
              <w:rPr>
                <w:lang w:eastAsia="en-AU"/>
              </w:rPr>
              <w:t>(6)</w:t>
            </w:r>
          </w:p>
        </w:tc>
      </w:tr>
      <w:tr w:rsidR="004944DF" w:rsidRPr="0022253C" w14:paraId="3E30D1D3" w14:textId="77777777" w:rsidTr="00535F6C">
        <w:trPr>
          <w:cnfStyle w:val="000000010000" w:firstRow="0" w:lastRow="0" w:firstColumn="0" w:lastColumn="0" w:oddVBand="0" w:evenVBand="0" w:oddHBand="0" w:evenHBand="1" w:firstRowFirstColumn="0" w:firstRowLastColumn="0" w:lastRowFirstColumn="0" w:lastRowLastColumn="0"/>
          <w:trHeight w:val="20"/>
        </w:trPr>
        <w:tc>
          <w:tcPr>
            <w:tcW w:w="1912" w:type="pct"/>
            <w:tcBorders>
              <w:top w:val="single" w:sz="4" w:space="0" w:color="BFBFBF" w:themeColor="accent2"/>
              <w:bottom w:val="single" w:sz="4" w:space="0" w:color="000000" w:themeColor="text1"/>
            </w:tcBorders>
            <w:hideMark/>
          </w:tcPr>
          <w:p w14:paraId="067F2831" w14:textId="77777777" w:rsidR="004944DF" w:rsidRPr="0022253C" w:rsidRDefault="004944DF" w:rsidP="00086E3C">
            <w:pPr>
              <w:pStyle w:val="ARTabletext"/>
              <w:rPr>
                <w:lang w:eastAsia="en-AU"/>
              </w:rPr>
            </w:pPr>
            <w:r w:rsidRPr="0022253C">
              <w:rPr>
                <w:lang w:eastAsia="en-AU"/>
              </w:rPr>
              <w:t xml:space="preserve">Transactions with </w:t>
            </w:r>
            <w:r w:rsidRPr="00086E3C">
              <w:t>owners</w:t>
            </w:r>
            <w:r w:rsidRPr="0022253C">
              <w:rPr>
                <w:lang w:eastAsia="en-AU"/>
              </w:rPr>
              <w:t xml:space="preserve"> in their </w:t>
            </w:r>
            <w:r>
              <w:rPr>
                <w:lang w:eastAsia="en-AU"/>
              </w:rPr>
              <w:br/>
            </w:r>
            <w:r w:rsidRPr="0022253C">
              <w:rPr>
                <w:lang w:eastAsia="en-AU"/>
              </w:rPr>
              <w:t>capacity as owners</w:t>
            </w:r>
          </w:p>
        </w:tc>
        <w:tc>
          <w:tcPr>
            <w:cnfStyle w:val="000001000000" w:firstRow="0" w:lastRow="0" w:firstColumn="0" w:lastColumn="0" w:oddVBand="0" w:evenVBand="1" w:oddHBand="0" w:evenHBand="0" w:firstRowFirstColumn="0" w:firstRowLastColumn="0" w:lastRowFirstColumn="0" w:lastRowLastColumn="0"/>
            <w:tcW w:w="735" w:type="pct"/>
            <w:tcBorders>
              <w:top w:val="single" w:sz="4" w:space="0" w:color="BFBFBF" w:themeColor="accent2"/>
              <w:bottom w:val="single" w:sz="4" w:space="0" w:color="000000" w:themeColor="text1"/>
            </w:tcBorders>
            <w:hideMark/>
          </w:tcPr>
          <w:p w14:paraId="573590CE" w14:textId="77777777" w:rsidR="004944DF" w:rsidRPr="00D056EA" w:rsidRDefault="004944DF">
            <w:pPr>
              <w:pStyle w:val="ARtabletextright"/>
            </w:pPr>
          </w:p>
        </w:tc>
        <w:tc>
          <w:tcPr>
            <w:tcW w:w="737" w:type="pct"/>
            <w:tcBorders>
              <w:top w:val="single" w:sz="4" w:space="0" w:color="BFBFBF" w:themeColor="accent2"/>
              <w:bottom w:val="single" w:sz="4" w:space="0" w:color="000000" w:themeColor="text1"/>
            </w:tcBorders>
            <w:hideMark/>
          </w:tcPr>
          <w:p w14:paraId="3D0100BC" w14:textId="77777777" w:rsidR="004944DF" w:rsidRPr="00D056EA" w:rsidRDefault="004944DF">
            <w:pPr>
              <w:pStyle w:val="ARtabletextright"/>
              <w:cnfStyle w:val="000000010000" w:firstRow="0" w:lastRow="0" w:firstColumn="0" w:lastColumn="0" w:oddVBand="0" w:evenVBand="0" w:oddHBand="0" w:evenHBand="1" w:firstRowFirstColumn="0" w:firstRowLastColumn="0" w:lastRowFirstColumn="0" w:lastRowLastColumn="0"/>
            </w:pPr>
            <w:r w:rsidRPr="00D056EA">
              <w:t>30</w:t>
            </w:r>
          </w:p>
        </w:tc>
        <w:tc>
          <w:tcPr>
            <w:cnfStyle w:val="000001000000" w:firstRow="0" w:lastRow="0" w:firstColumn="0" w:lastColumn="0" w:oddVBand="0" w:evenVBand="1" w:oddHBand="0" w:evenHBand="0" w:firstRowFirstColumn="0" w:firstRowLastColumn="0" w:lastRowFirstColumn="0" w:lastRowLastColumn="0"/>
            <w:tcW w:w="661" w:type="pct"/>
            <w:tcBorders>
              <w:top w:val="single" w:sz="4" w:space="0" w:color="BFBFBF" w:themeColor="accent2"/>
              <w:bottom w:val="single" w:sz="4" w:space="0" w:color="000000" w:themeColor="text1"/>
            </w:tcBorders>
            <w:hideMark/>
          </w:tcPr>
          <w:p w14:paraId="6A85F43A" w14:textId="77777777" w:rsidR="004944DF" w:rsidRPr="00D056EA" w:rsidRDefault="004944DF">
            <w:pPr>
              <w:pStyle w:val="ARtabletextright"/>
            </w:pPr>
            <w:r w:rsidRPr="00D056EA">
              <w:t>–</w:t>
            </w:r>
          </w:p>
        </w:tc>
        <w:tc>
          <w:tcPr>
            <w:tcW w:w="517" w:type="pct"/>
            <w:tcBorders>
              <w:top w:val="single" w:sz="4" w:space="0" w:color="BFBFBF" w:themeColor="accent2"/>
              <w:bottom w:val="single" w:sz="4" w:space="0" w:color="000000" w:themeColor="text1"/>
            </w:tcBorders>
            <w:hideMark/>
          </w:tcPr>
          <w:p w14:paraId="2FF73D4C" w14:textId="77777777" w:rsidR="004944DF" w:rsidRPr="00D056EA" w:rsidRDefault="004944DF">
            <w:pPr>
              <w:pStyle w:val="ARtabletextright"/>
              <w:cnfStyle w:val="000000010000" w:firstRow="0" w:lastRow="0" w:firstColumn="0" w:lastColumn="0" w:oddVBand="0" w:evenVBand="0" w:oddHBand="0" w:evenHBand="1" w:firstRowFirstColumn="0" w:firstRowLastColumn="0" w:lastRowFirstColumn="0" w:lastRowLastColumn="0"/>
            </w:pPr>
            <w:r w:rsidRPr="00D056EA">
              <w:t>–</w:t>
            </w:r>
          </w:p>
        </w:tc>
        <w:tc>
          <w:tcPr>
            <w:cnfStyle w:val="000001000000" w:firstRow="0" w:lastRow="0" w:firstColumn="0" w:lastColumn="0" w:oddVBand="0" w:evenVBand="1" w:oddHBand="0" w:evenHBand="0" w:firstRowFirstColumn="0" w:firstRowLastColumn="0" w:lastRowFirstColumn="0" w:lastRowLastColumn="0"/>
            <w:tcW w:w="438" w:type="pct"/>
            <w:tcBorders>
              <w:top w:val="single" w:sz="4" w:space="0" w:color="BFBFBF" w:themeColor="accent2"/>
              <w:bottom w:val="single" w:sz="4" w:space="0" w:color="000000" w:themeColor="text1"/>
            </w:tcBorders>
            <w:hideMark/>
          </w:tcPr>
          <w:p w14:paraId="3AF7597D" w14:textId="77777777" w:rsidR="004944DF" w:rsidRPr="00D056EA" w:rsidRDefault="004944DF">
            <w:pPr>
              <w:pStyle w:val="ARtabletextright"/>
            </w:pPr>
            <w:r w:rsidRPr="00D056EA">
              <w:t>30</w:t>
            </w:r>
          </w:p>
        </w:tc>
      </w:tr>
      <w:tr w:rsidR="004944DF" w:rsidRPr="0022253C" w14:paraId="5CE7C717" w14:textId="77777777" w:rsidTr="00535F6C">
        <w:trPr>
          <w:cnfStyle w:val="000000100000" w:firstRow="0" w:lastRow="0" w:firstColumn="0" w:lastColumn="0" w:oddVBand="0" w:evenVBand="0" w:oddHBand="1" w:evenHBand="0" w:firstRowFirstColumn="0" w:firstRowLastColumn="0" w:lastRowFirstColumn="0" w:lastRowLastColumn="0"/>
          <w:trHeight w:val="20"/>
        </w:trPr>
        <w:tc>
          <w:tcPr>
            <w:tcW w:w="1912" w:type="pct"/>
            <w:tcBorders>
              <w:top w:val="single" w:sz="4" w:space="0" w:color="000000" w:themeColor="text1"/>
              <w:bottom w:val="single" w:sz="4" w:space="0" w:color="000000" w:themeColor="text1"/>
            </w:tcBorders>
            <w:hideMark/>
          </w:tcPr>
          <w:p w14:paraId="71EE5514" w14:textId="77777777" w:rsidR="004944DF" w:rsidRPr="0022253C" w:rsidRDefault="004944DF">
            <w:pPr>
              <w:pStyle w:val="ARtabletextbold"/>
              <w:rPr>
                <w:lang w:eastAsia="en-AU"/>
              </w:rPr>
            </w:pPr>
            <w:r w:rsidRPr="0022253C">
              <w:rPr>
                <w:lang w:eastAsia="en-AU"/>
              </w:rPr>
              <w:t xml:space="preserve">Closing balance 30 June 2026 </w:t>
            </w:r>
            <w:r>
              <w:rPr>
                <w:lang w:eastAsia="en-AU"/>
              </w:rPr>
              <w:br/>
            </w:r>
            <w:r w:rsidRPr="0022253C">
              <w:rPr>
                <w:lang w:eastAsia="en-AU"/>
              </w:rPr>
              <w:t>(published budget)</w:t>
            </w:r>
          </w:p>
        </w:tc>
        <w:tc>
          <w:tcPr>
            <w:cnfStyle w:val="000001000000" w:firstRow="0" w:lastRow="0" w:firstColumn="0" w:lastColumn="0" w:oddVBand="0" w:evenVBand="1" w:oddHBand="0" w:evenHBand="0" w:firstRowFirstColumn="0" w:firstRowLastColumn="0" w:lastRowFirstColumn="0" w:lastRowLastColumn="0"/>
            <w:tcW w:w="735" w:type="pct"/>
            <w:tcBorders>
              <w:top w:val="single" w:sz="4" w:space="0" w:color="000000" w:themeColor="text1"/>
              <w:bottom w:val="single" w:sz="4" w:space="0" w:color="000000" w:themeColor="text1"/>
            </w:tcBorders>
            <w:hideMark/>
          </w:tcPr>
          <w:p w14:paraId="5F42E0C4" w14:textId="77777777" w:rsidR="004944DF" w:rsidRPr="0022253C" w:rsidRDefault="004944DF">
            <w:pPr>
              <w:pStyle w:val="ARtabletextrightbold"/>
              <w:rPr>
                <w:lang w:eastAsia="en-AU"/>
              </w:rPr>
            </w:pPr>
            <w:r w:rsidRPr="0022253C">
              <w:rPr>
                <w:lang w:eastAsia="en-AU"/>
              </w:rPr>
              <w:t>(333)</w:t>
            </w:r>
          </w:p>
        </w:tc>
        <w:tc>
          <w:tcPr>
            <w:tcW w:w="737" w:type="pct"/>
            <w:tcBorders>
              <w:top w:val="single" w:sz="4" w:space="0" w:color="000000" w:themeColor="text1"/>
              <w:bottom w:val="single" w:sz="4" w:space="0" w:color="000000" w:themeColor="text1"/>
            </w:tcBorders>
            <w:hideMark/>
          </w:tcPr>
          <w:p w14:paraId="23B5ACD3" w14:textId="77777777" w:rsidR="004944DF" w:rsidRPr="0022253C" w:rsidRDefault="004944DF">
            <w:pPr>
              <w:pStyle w:val="ARtabletextrightbold"/>
              <w:cnfStyle w:val="000000100000" w:firstRow="0" w:lastRow="0" w:firstColumn="0" w:lastColumn="0" w:oddVBand="0" w:evenVBand="0" w:oddHBand="1" w:evenHBand="0" w:firstRowFirstColumn="0" w:firstRowLastColumn="0" w:lastRowFirstColumn="0" w:lastRowLastColumn="0"/>
              <w:rPr>
                <w:lang w:eastAsia="en-AU"/>
              </w:rPr>
            </w:pPr>
            <w:r w:rsidRPr="0022253C">
              <w:rPr>
                <w:lang w:eastAsia="en-AU"/>
              </w:rPr>
              <w:t>1,397</w:t>
            </w:r>
          </w:p>
        </w:tc>
        <w:tc>
          <w:tcPr>
            <w:cnfStyle w:val="000001000000" w:firstRow="0" w:lastRow="0" w:firstColumn="0" w:lastColumn="0" w:oddVBand="0" w:evenVBand="1" w:oddHBand="0" w:evenHBand="0" w:firstRowFirstColumn="0" w:firstRowLastColumn="0" w:lastRowFirstColumn="0" w:lastRowLastColumn="0"/>
            <w:tcW w:w="661" w:type="pct"/>
            <w:tcBorders>
              <w:top w:val="single" w:sz="4" w:space="0" w:color="000000" w:themeColor="text1"/>
              <w:bottom w:val="single" w:sz="4" w:space="0" w:color="000000" w:themeColor="text1"/>
            </w:tcBorders>
            <w:hideMark/>
          </w:tcPr>
          <w:p w14:paraId="0BB3EA88" w14:textId="77777777" w:rsidR="004944DF" w:rsidRPr="0022253C" w:rsidRDefault="004944DF">
            <w:pPr>
              <w:pStyle w:val="ARtabletextrightbold"/>
              <w:rPr>
                <w:lang w:eastAsia="en-AU"/>
              </w:rPr>
            </w:pPr>
            <w:r w:rsidRPr="0022253C">
              <w:rPr>
                <w:lang w:eastAsia="en-AU"/>
              </w:rPr>
              <w:t>271</w:t>
            </w:r>
          </w:p>
        </w:tc>
        <w:tc>
          <w:tcPr>
            <w:tcW w:w="517" w:type="pct"/>
            <w:tcBorders>
              <w:top w:val="single" w:sz="4" w:space="0" w:color="000000" w:themeColor="text1"/>
              <w:bottom w:val="single" w:sz="4" w:space="0" w:color="000000" w:themeColor="text1"/>
            </w:tcBorders>
            <w:hideMark/>
          </w:tcPr>
          <w:p w14:paraId="103908A6" w14:textId="77777777" w:rsidR="004944DF" w:rsidRPr="0022253C" w:rsidRDefault="004944DF">
            <w:pPr>
              <w:pStyle w:val="ARtabletextrightbold"/>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438" w:type="pct"/>
            <w:tcBorders>
              <w:top w:val="single" w:sz="4" w:space="0" w:color="000000" w:themeColor="text1"/>
              <w:bottom w:val="single" w:sz="4" w:space="0" w:color="000000" w:themeColor="text1"/>
            </w:tcBorders>
            <w:hideMark/>
          </w:tcPr>
          <w:p w14:paraId="770D8658" w14:textId="77777777" w:rsidR="004944DF" w:rsidRPr="0022253C" w:rsidRDefault="004944DF">
            <w:pPr>
              <w:pStyle w:val="ARtabletextrightbold"/>
              <w:rPr>
                <w:lang w:eastAsia="en-AU"/>
              </w:rPr>
            </w:pPr>
            <w:r w:rsidRPr="0022253C">
              <w:rPr>
                <w:lang w:eastAsia="en-AU"/>
              </w:rPr>
              <w:t>1,335</w:t>
            </w:r>
          </w:p>
        </w:tc>
      </w:tr>
      <w:tr w:rsidR="004944DF" w:rsidRPr="0022253C" w14:paraId="54BDAEDA" w14:textId="77777777" w:rsidTr="00535F6C">
        <w:trPr>
          <w:cnfStyle w:val="000000010000" w:firstRow="0" w:lastRow="0" w:firstColumn="0" w:lastColumn="0" w:oddVBand="0" w:evenVBand="0" w:oddHBand="0" w:evenHBand="1" w:firstRowFirstColumn="0" w:firstRowLastColumn="0" w:lastRowFirstColumn="0" w:lastRowLastColumn="0"/>
          <w:trHeight w:val="20"/>
        </w:trPr>
        <w:tc>
          <w:tcPr>
            <w:tcW w:w="1912" w:type="pct"/>
            <w:tcBorders>
              <w:top w:val="single" w:sz="4" w:space="0" w:color="000000" w:themeColor="text1"/>
            </w:tcBorders>
            <w:hideMark/>
          </w:tcPr>
          <w:p w14:paraId="42CDB790" w14:textId="77777777" w:rsidR="004944DF" w:rsidRPr="0022253C" w:rsidRDefault="004944DF">
            <w:pPr>
              <w:pStyle w:val="ARTabletextboldcoloured"/>
              <w:rPr>
                <w:lang w:eastAsia="en-AU"/>
              </w:rPr>
            </w:pPr>
            <w:r w:rsidRPr="0022253C">
              <w:rPr>
                <w:lang w:eastAsia="en-AU"/>
              </w:rPr>
              <w:t xml:space="preserve">Actual variation to </w:t>
            </w:r>
            <w:r w:rsidRPr="001D1018">
              <w:t>published</w:t>
            </w:r>
            <w:r w:rsidRPr="0022253C">
              <w:rPr>
                <w:lang w:eastAsia="en-AU"/>
              </w:rPr>
              <w:t xml:space="preserve"> budget (%)</w:t>
            </w:r>
          </w:p>
        </w:tc>
        <w:tc>
          <w:tcPr>
            <w:cnfStyle w:val="000001000000" w:firstRow="0" w:lastRow="0" w:firstColumn="0" w:lastColumn="0" w:oddVBand="0" w:evenVBand="1" w:oddHBand="0" w:evenHBand="0" w:firstRowFirstColumn="0" w:firstRowLastColumn="0" w:lastRowFirstColumn="0" w:lastRowLastColumn="0"/>
            <w:tcW w:w="735" w:type="pct"/>
            <w:tcBorders>
              <w:top w:val="single" w:sz="4" w:space="0" w:color="000000" w:themeColor="text1"/>
            </w:tcBorders>
            <w:shd w:val="clear" w:color="auto" w:fill="auto"/>
            <w:hideMark/>
          </w:tcPr>
          <w:p w14:paraId="6907F2F7" w14:textId="77777777" w:rsidR="004944DF" w:rsidRPr="00D056EA" w:rsidRDefault="004944DF">
            <w:pPr>
              <w:pStyle w:val="ARtabletextrightbold"/>
            </w:pPr>
          </w:p>
        </w:tc>
        <w:tc>
          <w:tcPr>
            <w:tcW w:w="737" w:type="pct"/>
            <w:tcBorders>
              <w:top w:val="single" w:sz="4" w:space="0" w:color="000000" w:themeColor="text1"/>
            </w:tcBorders>
            <w:hideMark/>
          </w:tcPr>
          <w:p w14:paraId="7100DDE5" w14:textId="77777777" w:rsidR="004944DF" w:rsidRPr="00D056EA" w:rsidRDefault="004944DF">
            <w:pPr>
              <w:pStyle w:val="ARtabletextrightbold"/>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661" w:type="pct"/>
            <w:tcBorders>
              <w:top w:val="single" w:sz="4" w:space="0" w:color="000000" w:themeColor="text1"/>
            </w:tcBorders>
            <w:shd w:val="clear" w:color="auto" w:fill="auto"/>
            <w:hideMark/>
          </w:tcPr>
          <w:p w14:paraId="494D972C" w14:textId="77777777" w:rsidR="004944DF" w:rsidRPr="00D056EA" w:rsidRDefault="004944DF">
            <w:pPr>
              <w:pStyle w:val="ARtabletextrightbold"/>
            </w:pPr>
          </w:p>
        </w:tc>
        <w:tc>
          <w:tcPr>
            <w:tcW w:w="517" w:type="pct"/>
            <w:tcBorders>
              <w:top w:val="single" w:sz="4" w:space="0" w:color="000000" w:themeColor="text1"/>
            </w:tcBorders>
            <w:hideMark/>
          </w:tcPr>
          <w:p w14:paraId="40AD4BED" w14:textId="77777777" w:rsidR="004944DF" w:rsidRPr="00D056EA" w:rsidRDefault="004944DF">
            <w:pPr>
              <w:pStyle w:val="ARtabletextrightbold"/>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38" w:type="pct"/>
            <w:tcBorders>
              <w:top w:val="single" w:sz="4" w:space="0" w:color="000000" w:themeColor="text1"/>
            </w:tcBorders>
            <w:shd w:val="clear" w:color="auto" w:fill="auto"/>
            <w:hideMark/>
          </w:tcPr>
          <w:p w14:paraId="53468DE0" w14:textId="77777777" w:rsidR="004944DF" w:rsidRPr="00D056EA" w:rsidRDefault="004944DF">
            <w:pPr>
              <w:pStyle w:val="ARtabletextrightbold"/>
            </w:pPr>
          </w:p>
        </w:tc>
      </w:tr>
      <w:tr w:rsidR="004944DF" w:rsidRPr="0022253C" w14:paraId="605D89FF" w14:textId="77777777" w:rsidTr="00535F6C">
        <w:trPr>
          <w:cnfStyle w:val="000000100000" w:firstRow="0" w:lastRow="0" w:firstColumn="0" w:lastColumn="0" w:oddVBand="0" w:evenVBand="0" w:oddHBand="1" w:evenHBand="0" w:firstRowFirstColumn="0" w:firstRowLastColumn="0" w:lastRowFirstColumn="0" w:lastRowLastColumn="0"/>
          <w:trHeight w:val="20"/>
        </w:trPr>
        <w:tc>
          <w:tcPr>
            <w:tcW w:w="1912" w:type="pct"/>
            <w:hideMark/>
          </w:tcPr>
          <w:p w14:paraId="0BE9D14B" w14:textId="77777777" w:rsidR="004944DF" w:rsidRPr="0022253C" w:rsidRDefault="004944DF">
            <w:pPr>
              <w:pStyle w:val="ARTabletext"/>
              <w:rPr>
                <w:lang w:eastAsia="en-AU"/>
              </w:rPr>
            </w:pPr>
            <w:r w:rsidRPr="0022253C">
              <w:rPr>
                <w:lang w:eastAsia="en-AU"/>
              </w:rPr>
              <w:t>Comprehensive result</w:t>
            </w:r>
          </w:p>
        </w:tc>
        <w:tc>
          <w:tcPr>
            <w:cnfStyle w:val="000001000000" w:firstRow="0" w:lastRow="0" w:firstColumn="0" w:lastColumn="0" w:oddVBand="0" w:evenVBand="1" w:oddHBand="0" w:evenHBand="0" w:firstRowFirstColumn="0" w:firstRowLastColumn="0" w:lastRowFirstColumn="0" w:lastRowLastColumn="0"/>
            <w:tcW w:w="735" w:type="pct"/>
            <w:hideMark/>
          </w:tcPr>
          <w:p w14:paraId="240ED389" w14:textId="77777777" w:rsidR="004944DF" w:rsidRPr="0022253C" w:rsidRDefault="004944DF">
            <w:pPr>
              <w:pStyle w:val="ARtabletextright"/>
              <w:rPr>
                <w:lang w:eastAsia="en-AU"/>
              </w:rPr>
            </w:pPr>
            <w:r w:rsidRPr="0022253C">
              <w:rPr>
                <w:lang w:eastAsia="en-AU"/>
              </w:rPr>
              <w:t>81</w:t>
            </w:r>
          </w:p>
        </w:tc>
        <w:tc>
          <w:tcPr>
            <w:tcW w:w="737" w:type="pct"/>
            <w:hideMark/>
          </w:tcPr>
          <w:p w14:paraId="67D5E577" w14:textId="77777777" w:rsidR="004944DF" w:rsidRPr="0022253C"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661" w:type="pct"/>
            <w:hideMark/>
          </w:tcPr>
          <w:p w14:paraId="13D0F700" w14:textId="77777777" w:rsidR="004944DF" w:rsidRPr="0022253C" w:rsidRDefault="004944DF">
            <w:pPr>
              <w:pStyle w:val="ARtabletextright"/>
              <w:rPr>
                <w:lang w:eastAsia="en-AU"/>
              </w:rPr>
            </w:pPr>
            <w:r>
              <w:rPr>
                <w:lang w:eastAsia="en-AU"/>
              </w:rPr>
              <w:t>–</w:t>
            </w:r>
          </w:p>
        </w:tc>
        <w:tc>
          <w:tcPr>
            <w:tcW w:w="517" w:type="pct"/>
            <w:hideMark/>
          </w:tcPr>
          <w:p w14:paraId="52A07CA3" w14:textId="77777777" w:rsidR="004944DF" w:rsidRPr="0022253C" w:rsidRDefault="004944DF">
            <w:pPr>
              <w:pStyle w:val="ARtabletextright"/>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438" w:type="pct"/>
            <w:hideMark/>
          </w:tcPr>
          <w:p w14:paraId="71DA578C" w14:textId="77777777" w:rsidR="004944DF" w:rsidRPr="0022253C" w:rsidRDefault="004944DF">
            <w:pPr>
              <w:pStyle w:val="ARtabletextright"/>
              <w:rPr>
                <w:lang w:eastAsia="en-AU"/>
              </w:rPr>
            </w:pPr>
            <w:r w:rsidRPr="0022253C">
              <w:rPr>
                <w:lang w:eastAsia="en-AU"/>
              </w:rPr>
              <w:t>81</w:t>
            </w:r>
          </w:p>
        </w:tc>
      </w:tr>
      <w:tr w:rsidR="004944DF" w:rsidRPr="0022253C" w14:paraId="47ECD794" w14:textId="77777777" w:rsidTr="00535F6C">
        <w:trPr>
          <w:cnfStyle w:val="000000010000" w:firstRow="0" w:lastRow="0" w:firstColumn="0" w:lastColumn="0" w:oddVBand="0" w:evenVBand="0" w:oddHBand="0" w:evenHBand="1" w:firstRowFirstColumn="0" w:firstRowLastColumn="0" w:lastRowFirstColumn="0" w:lastRowLastColumn="0"/>
          <w:trHeight w:val="20"/>
        </w:trPr>
        <w:tc>
          <w:tcPr>
            <w:tcW w:w="1912" w:type="pct"/>
            <w:hideMark/>
          </w:tcPr>
          <w:p w14:paraId="7F83EA74" w14:textId="77777777" w:rsidR="004944DF" w:rsidRPr="0022253C" w:rsidRDefault="004944DF">
            <w:pPr>
              <w:pStyle w:val="ARTabletext"/>
              <w:rPr>
                <w:lang w:eastAsia="en-AU"/>
              </w:rPr>
            </w:pPr>
            <w:r w:rsidRPr="0022253C">
              <w:rPr>
                <w:lang w:eastAsia="en-AU"/>
              </w:rPr>
              <w:t xml:space="preserve">Transactions with owners in their </w:t>
            </w:r>
            <w:r>
              <w:rPr>
                <w:lang w:eastAsia="en-AU"/>
              </w:rPr>
              <w:br/>
            </w:r>
            <w:r w:rsidRPr="0022253C">
              <w:rPr>
                <w:lang w:eastAsia="en-AU"/>
              </w:rPr>
              <w:t>capacity as owners</w:t>
            </w:r>
          </w:p>
        </w:tc>
        <w:tc>
          <w:tcPr>
            <w:cnfStyle w:val="000001000000" w:firstRow="0" w:lastRow="0" w:firstColumn="0" w:lastColumn="0" w:oddVBand="0" w:evenVBand="1" w:oddHBand="0" w:evenHBand="0" w:firstRowFirstColumn="0" w:firstRowLastColumn="0" w:lastRowFirstColumn="0" w:lastRowLastColumn="0"/>
            <w:tcW w:w="735" w:type="pct"/>
            <w:hideMark/>
          </w:tcPr>
          <w:p w14:paraId="02C656C9" w14:textId="77777777" w:rsidR="004944DF" w:rsidRPr="0022253C" w:rsidRDefault="004944DF">
            <w:pPr>
              <w:pStyle w:val="ARtabletextright"/>
              <w:rPr>
                <w:lang w:eastAsia="en-AU"/>
              </w:rPr>
            </w:pPr>
            <w:r>
              <w:rPr>
                <w:lang w:eastAsia="en-AU"/>
              </w:rPr>
              <w:t>–</w:t>
            </w:r>
          </w:p>
        </w:tc>
        <w:tc>
          <w:tcPr>
            <w:tcW w:w="737" w:type="pct"/>
            <w:hideMark/>
          </w:tcPr>
          <w:p w14:paraId="0DFC0D34" w14:textId="77777777" w:rsidR="004944DF" w:rsidRPr="0022253C"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r w:rsidRPr="0022253C">
              <w:rPr>
                <w:lang w:eastAsia="en-AU"/>
              </w:rPr>
              <w:t>(63)</w:t>
            </w:r>
          </w:p>
        </w:tc>
        <w:tc>
          <w:tcPr>
            <w:cnfStyle w:val="000001000000" w:firstRow="0" w:lastRow="0" w:firstColumn="0" w:lastColumn="0" w:oddVBand="0" w:evenVBand="1" w:oddHBand="0" w:evenHBand="0" w:firstRowFirstColumn="0" w:firstRowLastColumn="0" w:lastRowFirstColumn="0" w:lastRowLastColumn="0"/>
            <w:tcW w:w="661" w:type="pct"/>
            <w:hideMark/>
          </w:tcPr>
          <w:p w14:paraId="19932F81" w14:textId="77777777" w:rsidR="004944DF" w:rsidRPr="0022253C" w:rsidRDefault="004944DF">
            <w:pPr>
              <w:pStyle w:val="ARtabletextright"/>
              <w:rPr>
                <w:lang w:eastAsia="en-AU"/>
              </w:rPr>
            </w:pPr>
            <w:r>
              <w:rPr>
                <w:lang w:eastAsia="en-AU"/>
              </w:rPr>
              <w:t>–</w:t>
            </w:r>
          </w:p>
        </w:tc>
        <w:tc>
          <w:tcPr>
            <w:tcW w:w="517" w:type="pct"/>
            <w:hideMark/>
          </w:tcPr>
          <w:p w14:paraId="3E922767" w14:textId="77777777" w:rsidR="004944DF" w:rsidRPr="0022253C" w:rsidRDefault="004944DF">
            <w:pPr>
              <w:pStyle w:val="ARtabletextright"/>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438" w:type="pct"/>
            <w:hideMark/>
          </w:tcPr>
          <w:p w14:paraId="07FE7576" w14:textId="77777777" w:rsidR="004944DF" w:rsidRPr="0022253C" w:rsidRDefault="004944DF">
            <w:pPr>
              <w:pStyle w:val="ARtabletextright"/>
              <w:rPr>
                <w:lang w:eastAsia="en-AU"/>
              </w:rPr>
            </w:pPr>
            <w:r w:rsidRPr="0022253C">
              <w:rPr>
                <w:lang w:eastAsia="en-AU"/>
              </w:rPr>
              <w:t>(63)</w:t>
            </w:r>
          </w:p>
        </w:tc>
      </w:tr>
      <w:tr w:rsidR="004944DF" w:rsidRPr="0022253C" w14:paraId="15ECCE92" w14:textId="77777777" w:rsidTr="00535F6C">
        <w:trPr>
          <w:cnfStyle w:val="010000000000" w:firstRow="0" w:lastRow="1" w:firstColumn="0" w:lastColumn="0" w:oddVBand="0" w:evenVBand="0" w:oddHBand="0" w:evenHBand="0" w:firstRowFirstColumn="0" w:firstRowLastColumn="0" w:lastRowFirstColumn="0" w:lastRowLastColumn="0"/>
          <w:trHeight w:val="20"/>
        </w:trPr>
        <w:tc>
          <w:tcPr>
            <w:tcW w:w="1912" w:type="pct"/>
            <w:hideMark/>
          </w:tcPr>
          <w:p w14:paraId="64172CF1" w14:textId="77777777" w:rsidR="004944DF" w:rsidRPr="0022253C" w:rsidRDefault="004944DF">
            <w:pPr>
              <w:pStyle w:val="ARtabletextbold"/>
              <w:rPr>
                <w:lang w:eastAsia="en-AU"/>
              </w:rPr>
            </w:pPr>
            <w:r w:rsidRPr="0022253C">
              <w:rPr>
                <w:lang w:eastAsia="en-AU"/>
              </w:rPr>
              <w:t>Closing balance 30 June 2026</w:t>
            </w:r>
          </w:p>
        </w:tc>
        <w:tc>
          <w:tcPr>
            <w:cnfStyle w:val="000001000000" w:firstRow="0" w:lastRow="0" w:firstColumn="0" w:lastColumn="0" w:oddVBand="0" w:evenVBand="1" w:oddHBand="0" w:evenHBand="0" w:firstRowFirstColumn="0" w:firstRowLastColumn="0" w:lastRowFirstColumn="0" w:lastRowLastColumn="0"/>
            <w:tcW w:w="735" w:type="pct"/>
            <w:hideMark/>
          </w:tcPr>
          <w:p w14:paraId="68241422" w14:textId="77777777" w:rsidR="004944DF" w:rsidRPr="0022253C" w:rsidRDefault="004944DF">
            <w:pPr>
              <w:pStyle w:val="ARtabletextrightbold"/>
              <w:rPr>
                <w:lang w:eastAsia="en-AU"/>
              </w:rPr>
            </w:pPr>
            <w:r w:rsidRPr="0022253C">
              <w:rPr>
                <w:lang w:eastAsia="en-AU"/>
              </w:rPr>
              <w:t>2</w:t>
            </w:r>
          </w:p>
        </w:tc>
        <w:tc>
          <w:tcPr>
            <w:tcW w:w="737" w:type="pct"/>
            <w:hideMark/>
          </w:tcPr>
          <w:p w14:paraId="4B253C7C" w14:textId="77777777" w:rsidR="004944DF" w:rsidRPr="0022253C" w:rsidRDefault="004944DF">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sidRPr="0022253C">
              <w:rPr>
                <w:lang w:eastAsia="en-AU"/>
              </w:rPr>
              <w:t>(1)</w:t>
            </w:r>
          </w:p>
        </w:tc>
        <w:tc>
          <w:tcPr>
            <w:cnfStyle w:val="000001000000" w:firstRow="0" w:lastRow="0" w:firstColumn="0" w:lastColumn="0" w:oddVBand="0" w:evenVBand="1" w:oddHBand="0" w:evenHBand="0" w:firstRowFirstColumn="0" w:firstRowLastColumn="0" w:lastRowFirstColumn="0" w:lastRowLastColumn="0"/>
            <w:tcW w:w="661" w:type="pct"/>
            <w:hideMark/>
          </w:tcPr>
          <w:p w14:paraId="6E8E3C9B" w14:textId="77777777" w:rsidR="004944DF" w:rsidRPr="0022253C" w:rsidRDefault="004944DF">
            <w:pPr>
              <w:pStyle w:val="ARtabletextrightbold"/>
              <w:rPr>
                <w:lang w:eastAsia="en-AU"/>
              </w:rPr>
            </w:pPr>
            <w:r>
              <w:rPr>
                <w:lang w:eastAsia="en-AU"/>
              </w:rPr>
              <w:t>–</w:t>
            </w:r>
          </w:p>
        </w:tc>
        <w:tc>
          <w:tcPr>
            <w:tcW w:w="517" w:type="pct"/>
            <w:hideMark/>
          </w:tcPr>
          <w:p w14:paraId="61B80529" w14:textId="77777777" w:rsidR="004944DF" w:rsidRPr="0022253C" w:rsidRDefault="004944DF">
            <w:pPr>
              <w:pStyle w:val="ARtabletextrightbold"/>
              <w:cnfStyle w:val="010000000000" w:firstRow="0" w:lastRow="1" w:firstColumn="0" w:lastColumn="0" w:oddVBand="0" w:evenVBand="0" w:oddHBand="0"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438" w:type="pct"/>
            <w:hideMark/>
          </w:tcPr>
          <w:p w14:paraId="6BAAE3AA" w14:textId="77777777" w:rsidR="004944DF" w:rsidRPr="0022253C" w:rsidRDefault="004944DF">
            <w:pPr>
              <w:pStyle w:val="ARtabletextrightbold"/>
              <w:rPr>
                <w:lang w:eastAsia="en-AU"/>
              </w:rPr>
            </w:pPr>
            <w:r w:rsidRPr="0022253C">
              <w:rPr>
                <w:lang w:eastAsia="en-AU"/>
              </w:rPr>
              <w:t>(2)</w:t>
            </w:r>
          </w:p>
        </w:tc>
      </w:tr>
    </w:tbl>
    <w:p w14:paraId="38BD7A66" w14:textId="77777777" w:rsidR="004944DF" w:rsidRDefault="004944DF" w:rsidP="004944DF">
      <w:pPr>
        <w:rPr>
          <w:rFonts w:cs="Arial"/>
          <w:color w:val="000000"/>
          <w:sz w:val="18"/>
          <w:szCs w:val="18"/>
          <w:lang w:eastAsia="en-AU"/>
        </w:rPr>
      </w:pPr>
      <w:r>
        <w:rPr>
          <w:rFonts w:cs="Arial"/>
          <w:color w:val="000000"/>
          <w:sz w:val="18"/>
          <w:szCs w:val="18"/>
          <w:lang w:eastAsia="en-AU"/>
        </w:rPr>
        <w:br w:type="page"/>
      </w:r>
    </w:p>
    <w:p w14:paraId="580D8035" w14:textId="0B25ED82" w:rsidR="004944DF" w:rsidRPr="0022253C" w:rsidRDefault="004944DF" w:rsidP="00652C2F">
      <w:pPr>
        <w:pStyle w:val="Heading3"/>
        <w:rPr>
          <w:lang w:eastAsia="en-AU"/>
        </w:rPr>
      </w:pPr>
      <w:r w:rsidRPr="0022253C">
        <w:rPr>
          <w:lang w:eastAsia="en-AU"/>
        </w:rPr>
        <w:t>Administered items statement for the financial year ended</w:t>
      </w:r>
      <w:r w:rsidR="00652C2F">
        <w:rPr>
          <w:lang w:eastAsia="en-AU"/>
        </w:rPr>
        <w:t> </w:t>
      </w:r>
      <w:r w:rsidRPr="0022253C">
        <w:rPr>
          <w:lang w:eastAsia="en-AU"/>
        </w:rPr>
        <w:t>30</w:t>
      </w:r>
      <w:r w:rsidR="00652C2F">
        <w:rPr>
          <w:lang w:eastAsia="en-AU"/>
        </w:rPr>
        <w:t> </w:t>
      </w:r>
      <w:r w:rsidRPr="0022253C">
        <w:rPr>
          <w:lang w:eastAsia="en-AU"/>
        </w:rPr>
        <w:t>June</w:t>
      </w:r>
      <w:r w:rsidR="00652C2F">
        <w:rPr>
          <w:lang w:eastAsia="en-AU"/>
        </w:rPr>
        <w:t> </w:t>
      </w:r>
      <w:r w:rsidRPr="0022253C">
        <w:rPr>
          <w:lang w:eastAsia="en-AU"/>
        </w:rPr>
        <w:t>2026</w:t>
      </w:r>
    </w:p>
    <w:tbl>
      <w:tblPr>
        <w:tblStyle w:val="ARtable1"/>
        <w:tblW w:w="9634" w:type="dxa"/>
        <w:tblLayout w:type="fixed"/>
        <w:tblLook w:val="00E0" w:firstRow="1" w:lastRow="1" w:firstColumn="1" w:lastColumn="0" w:noHBand="0" w:noVBand="0"/>
      </w:tblPr>
      <w:tblGrid>
        <w:gridCol w:w="5104"/>
        <w:gridCol w:w="1274"/>
        <w:gridCol w:w="1274"/>
        <w:gridCol w:w="1190"/>
        <w:gridCol w:w="792"/>
      </w:tblGrid>
      <w:tr w:rsidR="004944DF" w:rsidRPr="0022253C" w14:paraId="4C1824A3" w14:textId="77777777" w:rsidTr="00535F6C">
        <w:trPr>
          <w:cnfStyle w:val="100000000000" w:firstRow="1" w:lastRow="0" w:firstColumn="0" w:lastColumn="0" w:oddVBand="0" w:evenVBand="0" w:oddHBand="0" w:evenHBand="0" w:firstRowFirstColumn="0" w:firstRowLastColumn="0" w:lastRowFirstColumn="0" w:lastRowLastColumn="0"/>
          <w:trHeight w:val="300"/>
          <w:tblHeader/>
        </w:trPr>
        <w:tc>
          <w:tcPr>
            <w:tcW w:w="5104" w:type="dxa"/>
          </w:tcPr>
          <w:p w14:paraId="1FDC6E95" w14:textId="77777777" w:rsidR="004944DF" w:rsidRPr="0022253C" w:rsidRDefault="004944DF">
            <w:pPr>
              <w:pStyle w:val="ARtablecolheadright"/>
              <w:spacing w:before="40" w:after="40"/>
              <w:rPr>
                <w:lang w:eastAsia="en-AU"/>
              </w:rPr>
            </w:pP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000000" w:themeColor="text1"/>
            </w:tcBorders>
          </w:tcPr>
          <w:p w14:paraId="25E5D73D" w14:textId="1224086C" w:rsidR="00CF0F12" w:rsidRDefault="00CF0F12">
            <w:pPr>
              <w:pStyle w:val="ARtablecolheadright"/>
              <w:spacing w:before="40" w:after="40"/>
              <w:rPr>
                <w:lang w:eastAsia="en-AU"/>
              </w:rPr>
            </w:pPr>
            <w:r w:rsidRPr="0022253C">
              <w:rPr>
                <w:lang w:eastAsia="en-AU"/>
              </w:rPr>
              <w:t>2025</w:t>
            </w:r>
            <w:r>
              <w:rPr>
                <w:lang w:eastAsia="en-AU"/>
              </w:rPr>
              <w:t>–</w:t>
            </w:r>
            <w:r w:rsidRPr="0022253C">
              <w:rPr>
                <w:lang w:eastAsia="en-AU"/>
              </w:rPr>
              <w:t>26</w:t>
            </w:r>
          </w:p>
          <w:p w14:paraId="668B0BEA" w14:textId="59FEFABC" w:rsidR="004944DF" w:rsidRPr="0022253C" w:rsidRDefault="004944DF">
            <w:pPr>
              <w:pStyle w:val="ARtablecolheadright"/>
              <w:spacing w:before="40" w:after="40"/>
              <w:rPr>
                <w:lang w:eastAsia="en-AU"/>
              </w:rPr>
            </w:pPr>
            <w:r w:rsidRPr="0022253C">
              <w:rPr>
                <w:lang w:eastAsia="en-AU"/>
              </w:rPr>
              <w:t>Actual</w:t>
            </w:r>
          </w:p>
          <w:p w14:paraId="7F54FC47" w14:textId="77777777" w:rsidR="004944DF" w:rsidRPr="0022253C" w:rsidRDefault="004944DF">
            <w:pPr>
              <w:pStyle w:val="ARtablecolheadright"/>
              <w:spacing w:before="40" w:after="40"/>
              <w:rPr>
                <w:lang w:eastAsia="en-AU"/>
              </w:rPr>
            </w:pPr>
            <w:r w:rsidRPr="0022253C">
              <w:rPr>
                <w:lang w:eastAsia="en-AU"/>
              </w:rPr>
              <w:t>$M</w:t>
            </w:r>
          </w:p>
        </w:tc>
        <w:tc>
          <w:tcPr>
            <w:tcW w:w="1274" w:type="dxa"/>
            <w:tcBorders>
              <w:top w:val="single" w:sz="4" w:space="0" w:color="000000" w:themeColor="text1"/>
            </w:tcBorders>
            <w:noWrap/>
          </w:tcPr>
          <w:p w14:paraId="0DAD20AB" w14:textId="372BB7C5" w:rsidR="00CF0F12" w:rsidRDefault="00CF0F12">
            <w:pPr>
              <w:pStyle w:val="ARtablecolheadright"/>
              <w:spacing w:before="40" w:after="40"/>
              <w:cnfStyle w:val="100000000000" w:firstRow="1" w:lastRow="0" w:firstColumn="0" w:lastColumn="0" w:oddVBand="0" w:evenVBand="0" w:oddHBand="0" w:evenHBand="0" w:firstRowFirstColumn="0" w:firstRowLastColumn="0" w:lastRowFirstColumn="0" w:lastRowLastColumn="0"/>
              <w:rPr>
                <w:lang w:eastAsia="en-AU"/>
              </w:rPr>
            </w:pPr>
            <w:r w:rsidRPr="0022253C">
              <w:rPr>
                <w:lang w:eastAsia="en-AU"/>
              </w:rPr>
              <w:t>2025</w:t>
            </w:r>
            <w:r>
              <w:rPr>
                <w:lang w:eastAsia="en-AU"/>
              </w:rPr>
              <w:t>–</w:t>
            </w:r>
            <w:r w:rsidRPr="0022253C">
              <w:rPr>
                <w:lang w:eastAsia="en-AU"/>
              </w:rPr>
              <w:t>26</w:t>
            </w:r>
          </w:p>
          <w:p w14:paraId="7A5F1BB0" w14:textId="7D7F09EF" w:rsidR="004944DF" w:rsidRPr="0022253C" w:rsidRDefault="004944DF">
            <w:pPr>
              <w:pStyle w:val="ARtablecolheadright"/>
              <w:spacing w:before="40" w:after="40"/>
              <w:cnfStyle w:val="100000000000" w:firstRow="1" w:lastRow="0" w:firstColumn="0" w:lastColumn="0" w:oddVBand="0" w:evenVBand="0" w:oddHBand="0" w:evenHBand="0" w:firstRowFirstColumn="0" w:firstRowLastColumn="0" w:lastRowFirstColumn="0" w:lastRowLastColumn="0"/>
              <w:rPr>
                <w:lang w:eastAsia="en-AU"/>
              </w:rPr>
            </w:pPr>
            <w:r w:rsidRPr="0022253C">
              <w:rPr>
                <w:lang w:eastAsia="en-AU"/>
              </w:rPr>
              <w:t>Published budget</w:t>
            </w:r>
          </w:p>
          <w:p w14:paraId="2DB61E5B" w14:textId="77777777" w:rsidR="004944DF" w:rsidRPr="0022253C" w:rsidRDefault="004944DF">
            <w:pPr>
              <w:pStyle w:val="ARtablecolheadright"/>
              <w:spacing w:before="40" w:after="40"/>
              <w:cnfStyle w:val="100000000000" w:firstRow="1" w:lastRow="0" w:firstColumn="0" w:lastColumn="0" w:oddVBand="0" w:evenVBand="0" w:oddHBand="0" w:evenHBand="0" w:firstRowFirstColumn="0" w:firstRowLastColumn="0" w:lastRowFirstColumn="0" w:lastRowLastColumn="0"/>
              <w:rPr>
                <w:lang w:eastAsia="en-AU"/>
              </w:rPr>
            </w:pPr>
            <w:r w:rsidRPr="0022253C">
              <w:rPr>
                <w:lang w:eastAsia="en-AU"/>
              </w:rPr>
              <w:t>$M</w:t>
            </w:r>
          </w:p>
        </w:tc>
        <w:tc>
          <w:tcPr>
            <w:cnfStyle w:val="000001000000" w:firstRow="0" w:lastRow="0" w:firstColumn="0" w:lastColumn="0" w:oddVBand="0" w:evenVBand="1" w:oddHBand="0" w:evenHBand="0" w:firstRowFirstColumn="0" w:firstRowLastColumn="0" w:lastRowFirstColumn="0" w:lastRowLastColumn="0"/>
            <w:tcW w:w="1190" w:type="dxa"/>
            <w:noWrap/>
          </w:tcPr>
          <w:p w14:paraId="3EB766CB" w14:textId="77777777" w:rsidR="004944DF" w:rsidRPr="0022253C" w:rsidRDefault="004944DF">
            <w:pPr>
              <w:pStyle w:val="ARtablecolheadright"/>
              <w:spacing w:before="40" w:after="40"/>
              <w:rPr>
                <w:lang w:eastAsia="en-AU"/>
              </w:rPr>
            </w:pPr>
            <w:r w:rsidRPr="0022253C">
              <w:rPr>
                <w:lang w:eastAsia="en-AU"/>
              </w:rPr>
              <w:t>Variation to published budget</w:t>
            </w:r>
          </w:p>
          <w:p w14:paraId="1CEF5C81" w14:textId="77777777" w:rsidR="004944DF" w:rsidRPr="0022253C" w:rsidRDefault="004944DF">
            <w:pPr>
              <w:pStyle w:val="ARtablecolheadright"/>
              <w:spacing w:before="40" w:after="40"/>
              <w:rPr>
                <w:lang w:eastAsia="en-AU"/>
              </w:rPr>
            </w:pPr>
            <w:r w:rsidRPr="0022253C">
              <w:rPr>
                <w:lang w:eastAsia="en-AU"/>
              </w:rPr>
              <w:t>%</w:t>
            </w:r>
          </w:p>
        </w:tc>
        <w:tc>
          <w:tcPr>
            <w:tcW w:w="792" w:type="dxa"/>
            <w:noWrap/>
          </w:tcPr>
          <w:p w14:paraId="25BC83C7" w14:textId="77777777" w:rsidR="004944DF" w:rsidRPr="0022253C" w:rsidRDefault="004944DF">
            <w:pPr>
              <w:pStyle w:val="ARtablecolheadright"/>
              <w:spacing w:before="40" w:after="40"/>
              <w:cnfStyle w:val="100000000000" w:firstRow="1" w:lastRow="0" w:firstColumn="0" w:lastColumn="0" w:oddVBand="0" w:evenVBand="0" w:oddHBand="0" w:evenHBand="0" w:firstRowFirstColumn="0" w:firstRowLastColumn="0" w:lastRowFirstColumn="0" w:lastRowLastColumn="0"/>
              <w:rPr>
                <w:lang w:eastAsia="en-AU"/>
              </w:rPr>
            </w:pPr>
            <w:r w:rsidRPr="0022253C">
              <w:rPr>
                <w:lang w:eastAsia="en-AU"/>
              </w:rPr>
              <w:t>Notes</w:t>
            </w:r>
          </w:p>
        </w:tc>
      </w:tr>
      <w:tr w:rsidR="004944DF" w:rsidRPr="0022253C" w14:paraId="09B30178" w14:textId="77777777" w:rsidTr="00535F6C">
        <w:trPr>
          <w:cnfStyle w:val="000000100000" w:firstRow="0" w:lastRow="0" w:firstColumn="0" w:lastColumn="0" w:oddVBand="0" w:evenVBand="0" w:oddHBand="1" w:evenHBand="0" w:firstRowFirstColumn="0" w:firstRowLastColumn="0" w:lastRowFirstColumn="0" w:lastRowLastColumn="0"/>
          <w:trHeight w:val="300"/>
        </w:trPr>
        <w:tc>
          <w:tcPr>
            <w:tcW w:w="5104" w:type="dxa"/>
            <w:hideMark/>
          </w:tcPr>
          <w:p w14:paraId="554255A8" w14:textId="77777777" w:rsidR="004944DF" w:rsidRPr="0022253C" w:rsidRDefault="004944DF" w:rsidP="00F962BE">
            <w:pPr>
              <w:pStyle w:val="ARTabletextboldcoloured"/>
              <w:spacing w:before="40" w:after="40"/>
              <w:rPr>
                <w:lang w:eastAsia="en-AU"/>
              </w:rPr>
            </w:pPr>
            <w:r w:rsidRPr="0022253C">
              <w:rPr>
                <w:lang w:eastAsia="en-AU"/>
              </w:rPr>
              <w:t>Administered income</w:t>
            </w:r>
          </w:p>
        </w:tc>
        <w:tc>
          <w:tcPr>
            <w:cnfStyle w:val="000001000000" w:firstRow="0" w:lastRow="0" w:firstColumn="0" w:lastColumn="0" w:oddVBand="0" w:evenVBand="1" w:oddHBand="0" w:evenHBand="0" w:firstRowFirstColumn="0" w:firstRowLastColumn="0" w:lastRowFirstColumn="0" w:lastRowLastColumn="0"/>
            <w:tcW w:w="1274" w:type="dxa"/>
            <w:shd w:val="clear" w:color="auto" w:fill="auto"/>
            <w:hideMark/>
          </w:tcPr>
          <w:p w14:paraId="6CDD0311" w14:textId="77777777" w:rsidR="004944DF" w:rsidRPr="0022253C" w:rsidRDefault="004944DF" w:rsidP="00F962BE">
            <w:pPr>
              <w:pStyle w:val="ARtabletextright"/>
              <w:spacing w:before="40" w:after="40"/>
              <w:rPr>
                <w:lang w:eastAsia="en-AU"/>
              </w:rPr>
            </w:pPr>
          </w:p>
        </w:tc>
        <w:tc>
          <w:tcPr>
            <w:tcW w:w="1274" w:type="dxa"/>
            <w:noWrap/>
            <w:hideMark/>
          </w:tcPr>
          <w:p w14:paraId="75CB98BC"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1190" w:type="dxa"/>
            <w:shd w:val="clear" w:color="auto" w:fill="auto"/>
            <w:noWrap/>
            <w:hideMark/>
          </w:tcPr>
          <w:p w14:paraId="1EAF645A" w14:textId="77777777" w:rsidR="004944DF" w:rsidRPr="0022253C" w:rsidRDefault="004944DF" w:rsidP="00F962BE">
            <w:pPr>
              <w:pStyle w:val="ARtabletextright"/>
              <w:spacing w:before="40" w:after="40"/>
              <w:rPr>
                <w:lang w:eastAsia="en-AU"/>
              </w:rPr>
            </w:pPr>
          </w:p>
        </w:tc>
        <w:tc>
          <w:tcPr>
            <w:tcW w:w="792" w:type="dxa"/>
            <w:noWrap/>
            <w:hideMark/>
          </w:tcPr>
          <w:p w14:paraId="49A99481"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22253C" w14:paraId="41FADA40" w14:textId="77777777" w:rsidTr="00535F6C">
        <w:trPr>
          <w:cnfStyle w:val="000000010000" w:firstRow="0" w:lastRow="0" w:firstColumn="0" w:lastColumn="0" w:oddVBand="0" w:evenVBand="0" w:oddHBand="0" w:evenHBand="1" w:firstRowFirstColumn="0" w:firstRowLastColumn="0" w:lastRowFirstColumn="0" w:lastRowLastColumn="0"/>
          <w:trHeight w:val="300"/>
        </w:trPr>
        <w:tc>
          <w:tcPr>
            <w:tcW w:w="5104" w:type="dxa"/>
            <w:hideMark/>
          </w:tcPr>
          <w:p w14:paraId="334BFB96" w14:textId="77777777" w:rsidR="004944DF" w:rsidRPr="0022253C" w:rsidRDefault="004944DF" w:rsidP="00F962BE">
            <w:pPr>
              <w:pStyle w:val="ARTabletext"/>
              <w:spacing w:before="40" w:after="40"/>
              <w:rPr>
                <w:lang w:eastAsia="en-AU"/>
              </w:rPr>
            </w:pPr>
            <w:r w:rsidRPr="0022253C">
              <w:rPr>
                <w:lang w:eastAsia="en-AU"/>
              </w:rPr>
              <w:t xml:space="preserve">Appropriations </w:t>
            </w:r>
            <w:r>
              <w:rPr>
                <w:lang w:eastAsia="en-AU"/>
              </w:rPr>
              <w:t>–</w:t>
            </w:r>
            <w:r w:rsidRPr="0022253C">
              <w:rPr>
                <w:lang w:eastAsia="en-AU"/>
              </w:rPr>
              <w:t xml:space="preserve"> Payments made on behalf of the State</w:t>
            </w:r>
          </w:p>
        </w:tc>
        <w:tc>
          <w:tcPr>
            <w:cnfStyle w:val="000001000000" w:firstRow="0" w:lastRow="0" w:firstColumn="0" w:lastColumn="0" w:oddVBand="0" w:evenVBand="1" w:oddHBand="0" w:evenHBand="0" w:firstRowFirstColumn="0" w:firstRowLastColumn="0" w:lastRowFirstColumn="0" w:lastRowLastColumn="0"/>
            <w:tcW w:w="1274" w:type="dxa"/>
            <w:hideMark/>
          </w:tcPr>
          <w:p w14:paraId="04FF7CAB" w14:textId="77777777" w:rsidR="004944DF" w:rsidRPr="0022253C" w:rsidRDefault="004944DF" w:rsidP="00F962BE">
            <w:pPr>
              <w:pStyle w:val="ARtabletextright"/>
              <w:spacing w:before="40" w:after="40"/>
              <w:rPr>
                <w:lang w:eastAsia="en-AU"/>
              </w:rPr>
            </w:pPr>
            <w:r w:rsidRPr="0022253C">
              <w:rPr>
                <w:lang w:eastAsia="en-AU"/>
              </w:rPr>
              <w:t>3,083</w:t>
            </w:r>
          </w:p>
        </w:tc>
        <w:tc>
          <w:tcPr>
            <w:tcW w:w="1274" w:type="dxa"/>
            <w:hideMark/>
          </w:tcPr>
          <w:p w14:paraId="585E510F"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22253C">
              <w:rPr>
                <w:lang w:eastAsia="en-AU"/>
              </w:rPr>
              <w:t>3,119</w:t>
            </w:r>
          </w:p>
        </w:tc>
        <w:tc>
          <w:tcPr>
            <w:cnfStyle w:val="000001000000" w:firstRow="0" w:lastRow="0" w:firstColumn="0" w:lastColumn="0" w:oddVBand="0" w:evenVBand="1" w:oddHBand="0" w:evenHBand="0" w:firstRowFirstColumn="0" w:firstRowLastColumn="0" w:lastRowFirstColumn="0" w:lastRowLastColumn="0"/>
            <w:tcW w:w="1190" w:type="dxa"/>
            <w:hideMark/>
          </w:tcPr>
          <w:p w14:paraId="35589B58" w14:textId="77777777" w:rsidR="004944DF" w:rsidRPr="0022253C" w:rsidRDefault="004944DF" w:rsidP="00F962BE">
            <w:pPr>
              <w:pStyle w:val="ARtabletextright"/>
              <w:spacing w:before="40" w:after="40"/>
              <w:rPr>
                <w:lang w:eastAsia="en-AU"/>
              </w:rPr>
            </w:pPr>
            <w:r w:rsidRPr="0022253C">
              <w:rPr>
                <w:lang w:eastAsia="en-AU"/>
              </w:rPr>
              <w:t>(1.2)</w:t>
            </w:r>
          </w:p>
        </w:tc>
        <w:tc>
          <w:tcPr>
            <w:tcW w:w="792" w:type="dxa"/>
            <w:hideMark/>
          </w:tcPr>
          <w:p w14:paraId="234C5237"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22253C" w14:paraId="7DFE500A" w14:textId="77777777" w:rsidTr="00535F6C">
        <w:trPr>
          <w:cnfStyle w:val="000000100000" w:firstRow="0" w:lastRow="0" w:firstColumn="0" w:lastColumn="0" w:oddVBand="0" w:evenVBand="0" w:oddHBand="1" w:evenHBand="0" w:firstRowFirstColumn="0" w:firstRowLastColumn="0" w:lastRowFirstColumn="0" w:lastRowLastColumn="0"/>
          <w:trHeight w:val="300"/>
        </w:trPr>
        <w:tc>
          <w:tcPr>
            <w:tcW w:w="5104" w:type="dxa"/>
            <w:hideMark/>
          </w:tcPr>
          <w:p w14:paraId="4F93B406" w14:textId="77777777" w:rsidR="004944DF" w:rsidRPr="0022253C" w:rsidRDefault="004944DF" w:rsidP="00F962BE">
            <w:pPr>
              <w:pStyle w:val="ARTabletext"/>
              <w:spacing w:before="40" w:after="40"/>
              <w:rPr>
                <w:lang w:eastAsia="en-AU"/>
              </w:rPr>
            </w:pPr>
            <w:r w:rsidRPr="0022253C">
              <w:rPr>
                <w:lang w:eastAsia="en-AU"/>
              </w:rPr>
              <w:t>Sales of goods and services</w:t>
            </w:r>
          </w:p>
        </w:tc>
        <w:tc>
          <w:tcPr>
            <w:cnfStyle w:val="000001000000" w:firstRow="0" w:lastRow="0" w:firstColumn="0" w:lastColumn="0" w:oddVBand="0" w:evenVBand="1" w:oddHBand="0" w:evenHBand="0" w:firstRowFirstColumn="0" w:firstRowLastColumn="0" w:lastRowFirstColumn="0" w:lastRowLastColumn="0"/>
            <w:tcW w:w="1274" w:type="dxa"/>
            <w:hideMark/>
          </w:tcPr>
          <w:p w14:paraId="706E1DCC" w14:textId="77777777" w:rsidR="004944DF" w:rsidRPr="0022253C" w:rsidRDefault="004944DF" w:rsidP="00F962BE">
            <w:pPr>
              <w:pStyle w:val="ARtabletextright"/>
              <w:spacing w:before="40" w:after="40"/>
              <w:rPr>
                <w:lang w:eastAsia="en-AU"/>
              </w:rPr>
            </w:pPr>
            <w:r w:rsidRPr="0022253C">
              <w:rPr>
                <w:lang w:eastAsia="en-AU"/>
              </w:rPr>
              <w:t>65</w:t>
            </w:r>
          </w:p>
        </w:tc>
        <w:tc>
          <w:tcPr>
            <w:tcW w:w="1274" w:type="dxa"/>
            <w:hideMark/>
          </w:tcPr>
          <w:p w14:paraId="4B7A1039"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22253C">
              <w:rPr>
                <w:lang w:eastAsia="en-AU"/>
              </w:rPr>
              <w:t>40</w:t>
            </w:r>
          </w:p>
        </w:tc>
        <w:tc>
          <w:tcPr>
            <w:cnfStyle w:val="000001000000" w:firstRow="0" w:lastRow="0" w:firstColumn="0" w:lastColumn="0" w:oddVBand="0" w:evenVBand="1" w:oddHBand="0" w:evenHBand="0" w:firstRowFirstColumn="0" w:firstRowLastColumn="0" w:lastRowFirstColumn="0" w:lastRowLastColumn="0"/>
            <w:tcW w:w="1190" w:type="dxa"/>
            <w:hideMark/>
          </w:tcPr>
          <w:p w14:paraId="24CD30F4" w14:textId="77777777" w:rsidR="004944DF" w:rsidRPr="0022253C" w:rsidRDefault="004944DF" w:rsidP="00F962BE">
            <w:pPr>
              <w:pStyle w:val="ARtabletextright"/>
              <w:spacing w:before="40" w:after="40"/>
              <w:rPr>
                <w:lang w:eastAsia="en-AU"/>
              </w:rPr>
            </w:pPr>
            <w:r w:rsidRPr="0022253C">
              <w:rPr>
                <w:lang w:eastAsia="en-AU"/>
              </w:rPr>
              <w:t>61.5</w:t>
            </w:r>
          </w:p>
        </w:tc>
        <w:tc>
          <w:tcPr>
            <w:tcW w:w="792" w:type="dxa"/>
            <w:hideMark/>
          </w:tcPr>
          <w:p w14:paraId="6EDBB6BC"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22253C">
              <w:rPr>
                <w:lang w:eastAsia="en-AU"/>
              </w:rPr>
              <w:t>(a)</w:t>
            </w:r>
          </w:p>
        </w:tc>
      </w:tr>
      <w:tr w:rsidR="004944DF" w:rsidRPr="0022253C" w14:paraId="2DB6F474" w14:textId="77777777" w:rsidTr="00535F6C">
        <w:trPr>
          <w:cnfStyle w:val="000000010000" w:firstRow="0" w:lastRow="0" w:firstColumn="0" w:lastColumn="0" w:oddVBand="0" w:evenVBand="0" w:oddHBand="0" w:evenHBand="1" w:firstRowFirstColumn="0" w:firstRowLastColumn="0" w:lastRowFirstColumn="0" w:lastRowLastColumn="0"/>
          <w:trHeight w:val="300"/>
        </w:trPr>
        <w:tc>
          <w:tcPr>
            <w:tcW w:w="5104" w:type="dxa"/>
            <w:tcBorders>
              <w:bottom w:val="single" w:sz="4" w:space="0" w:color="BFBFBF" w:themeColor="accent2"/>
            </w:tcBorders>
            <w:hideMark/>
          </w:tcPr>
          <w:p w14:paraId="205198AE" w14:textId="77777777" w:rsidR="004944DF" w:rsidRPr="0022253C" w:rsidRDefault="004944DF" w:rsidP="00F962BE">
            <w:pPr>
              <w:pStyle w:val="ARTabletext"/>
              <w:spacing w:before="40" w:after="40"/>
              <w:rPr>
                <w:lang w:eastAsia="en-AU"/>
              </w:rPr>
            </w:pPr>
            <w:r w:rsidRPr="0022253C">
              <w:rPr>
                <w:lang w:eastAsia="en-AU"/>
              </w:rPr>
              <w:t>Grants</w:t>
            </w:r>
          </w:p>
        </w:tc>
        <w:tc>
          <w:tcPr>
            <w:cnfStyle w:val="000001000000" w:firstRow="0" w:lastRow="0" w:firstColumn="0" w:lastColumn="0" w:oddVBand="0" w:evenVBand="1" w:oddHBand="0" w:evenHBand="0" w:firstRowFirstColumn="0" w:firstRowLastColumn="0" w:lastRowFirstColumn="0" w:lastRowLastColumn="0"/>
            <w:tcW w:w="1274" w:type="dxa"/>
            <w:tcBorders>
              <w:bottom w:val="single" w:sz="4" w:space="0" w:color="BFBFBF" w:themeColor="accent2"/>
            </w:tcBorders>
            <w:hideMark/>
          </w:tcPr>
          <w:p w14:paraId="755B073A" w14:textId="77777777" w:rsidR="004944DF" w:rsidRPr="0022253C" w:rsidRDefault="004944DF" w:rsidP="00F962BE">
            <w:pPr>
              <w:pStyle w:val="ARtabletextright"/>
              <w:spacing w:before="40" w:after="40"/>
              <w:rPr>
                <w:lang w:eastAsia="en-AU"/>
              </w:rPr>
            </w:pPr>
            <w:r w:rsidRPr="0022253C">
              <w:rPr>
                <w:lang w:eastAsia="en-AU"/>
              </w:rPr>
              <w:t>31</w:t>
            </w:r>
          </w:p>
        </w:tc>
        <w:tc>
          <w:tcPr>
            <w:tcW w:w="1274" w:type="dxa"/>
            <w:tcBorders>
              <w:bottom w:val="single" w:sz="4" w:space="0" w:color="BFBFBF" w:themeColor="accent2"/>
            </w:tcBorders>
            <w:hideMark/>
          </w:tcPr>
          <w:p w14:paraId="403128DE"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22253C">
              <w:rPr>
                <w:lang w:eastAsia="en-AU"/>
              </w:rPr>
              <w:t>18</w:t>
            </w:r>
          </w:p>
        </w:tc>
        <w:tc>
          <w:tcPr>
            <w:cnfStyle w:val="000001000000" w:firstRow="0" w:lastRow="0" w:firstColumn="0" w:lastColumn="0" w:oddVBand="0" w:evenVBand="1" w:oddHBand="0" w:evenHBand="0" w:firstRowFirstColumn="0" w:firstRowLastColumn="0" w:lastRowFirstColumn="0" w:lastRowLastColumn="0"/>
            <w:tcW w:w="1190" w:type="dxa"/>
            <w:tcBorders>
              <w:bottom w:val="single" w:sz="4" w:space="0" w:color="BFBFBF" w:themeColor="accent2"/>
            </w:tcBorders>
            <w:hideMark/>
          </w:tcPr>
          <w:p w14:paraId="38F99C99" w14:textId="77777777" w:rsidR="004944DF" w:rsidRPr="0022253C" w:rsidRDefault="004944DF" w:rsidP="00F962BE">
            <w:pPr>
              <w:pStyle w:val="ARtabletextright"/>
              <w:spacing w:before="40" w:after="40"/>
              <w:rPr>
                <w:lang w:eastAsia="en-AU"/>
              </w:rPr>
            </w:pPr>
            <w:r w:rsidRPr="0022253C">
              <w:rPr>
                <w:lang w:eastAsia="en-AU"/>
              </w:rPr>
              <w:t>75.9</w:t>
            </w:r>
          </w:p>
        </w:tc>
        <w:tc>
          <w:tcPr>
            <w:tcW w:w="792" w:type="dxa"/>
            <w:tcBorders>
              <w:bottom w:val="single" w:sz="4" w:space="0" w:color="BFBFBF" w:themeColor="accent2"/>
            </w:tcBorders>
            <w:hideMark/>
          </w:tcPr>
          <w:p w14:paraId="5AF96C27"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22253C">
              <w:rPr>
                <w:lang w:eastAsia="en-AU"/>
              </w:rPr>
              <w:t>(b)</w:t>
            </w:r>
          </w:p>
        </w:tc>
      </w:tr>
      <w:tr w:rsidR="004944DF" w:rsidRPr="0022253C" w14:paraId="38A14782" w14:textId="77777777" w:rsidTr="00535F6C">
        <w:trPr>
          <w:cnfStyle w:val="000000100000" w:firstRow="0" w:lastRow="0" w:firstColumn="0" w:lastColumn="0" w:oddVBand="0" w:evenVBand="0" w:oddHBand="1" w:evenHBand="0" w:firstRowFirstColumn="0" w:firstRowLastColumn="0" w:lastRowFirstColumn="0" w:lastRowLastColumn="0"/>
          <w:trHeight w:val="300"/>
        </w:trPr>
        <w:tc>
          <w:tcPr>
            <w:tcW w:w="5104" w:type="dxa"/>
            <w:tcBorders>
              <w:top w:val="single" w:sz="4" w:space="0" w:color="BFBFBF" w:themeColor="accent2"/>
              <w:bottom w:val="single" w:sz="4" w:space="0" w:color="000000" w:themeColor="text1"/>
            </w:tcBorders>
            <w:hideMark/>
          </w:tcPr>
          <w:p w14:paraId="5ECCC946" w14:textId="77777777" w:rsidR="004944DF" w:rsidRPr="0022253C" w:rsidRDefault="004944DF" w:rsidP="00F962BE">
            <w:pPr>
              <w:pStyle w:val="ARTabletext"/>
              <w:spacing w:before="40" w:after="40"/>
              <w:rPr>
                <w:lang w:eastAsia="en-AU"/>
              </w:rPr>
            </w:pPr>
            <w:r w:rsidRPr="0022253C">
              <w:rPr>
                <w:lang w:eastAsia="en-AU"/>
              </w:rPr>
              <w:t>Other income</w:t>
            </w: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BFBFBF" w:themeColor="accent2"/>
              <w:bottom w:val="single" w:sz="4" w:space="0" w:color="000000" w:themeColor="text1"/>
            </w:tcBorders>
            <w:hideMark/>
          </w:tcPr>
          <w:p w14:paraId="7152790A" w14:textId="77777777" w:rsidR="004944DF" w:rsidRPr="0022253C" w:rsidRDefault="004944DF" w:rsidP="00F962BE">
            <w:pPr>
              <w:pStyle w:val="ARtabletextright"/>
              <w:spacing w:before="40" w:after="40"/>
              <w:rPr>
                <w:lang w:eastAsia="en-AU"/>
              </w:rPr>
            </w:pPr>
            <w:r w:rsidRPr="0022253C">
              <w:rPr>
                <w:lang w:eastAsia="en-AU"/>
              </w:rPr>
              <w:t>8</w:t>
            </w:r>
          </w:p>
        </w:tc>
        <w:tc>
          <w:tcPr>
            <w:tcW w:w="1274" w:type="dxa"/>
            <w:tcBorders>
              <w:top w:val="single" w:sz="4" w:space="0" w:color="BFBFBF" w:themeColor="accent2"/>
              <w:bottom w:val="single" w:sz="4" w:space="0" w:color="000000" w:themeColor="text1"/>
            </w:tcBorders>
            <w:hideMark/>
          </w:tcPr>
          <w:p w14:paraId="03FA6315"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22253C">
              <w:rPr>
                <w:lang w:eastAsia="en-AU"/>
              </w:rPr>
              <w:t>1</w:t>
            </w:r>
          </w:p>
        </w:tc>
        <w:tc>
          <w:tcPr>
            <w:cnfStyle w:val="000001000000" w:firstRow="0" w:lastRow="0" w:firstColumn="0" w:lastColumn="0" w:oddVBand="0" w:evenVBand="1" w:oddHBand="0" w:evenHBand="0" w:firstRowFirstColumn="0" w:firstRowLastColumn="0" w:lastRowFirstColumn="0" w:lastRowLastColumn="0"/>
            <w:tcW w:w="1190" w:type="dxa"/>
            <w:tcBorders>
              <w:top w:val="single" w:sz="4" w:space="0" w:color="BFBFBF" w:themeColor="accent2"/>
              <w:bottom w:val="single" w:sz="4" w:space="0" w:color="000000" w:themeColor="text1"/>
            </w:tcBorders>
            <w:hideMark/>
          </w:tcPr>
          <w:p w14:paraId="37B7C637" w14:textId="77777777" w:rsidR="004944DF" w:rsidRPr="0022253C" w:rsidRDefault="004944DF" w:rsidP="00F962BE">
            <w:pPr>
              <w:pStyle w:val="ARtabletextright"/>
              <w:spacing w:before="40" w:after="40"/>
              <w:rPr>
                <w:lang w:eastAsia="en-AU"/>
              </w:rPr>
            </w:pPr>
            <w:r w:rsidRPr="0022253C">
              <w:rPr>
                <w:lang w:eastAsia="en-AU"/>
              </w:rPr>
              <w:t>917.2</w:t>
            </w:r>
          </w:p>
        </w:tc>
        <w:tc>
          <w:tcPr>
            <w:tcW w:w="792" w:type="dxa"/>
            <w:tcBorders>
              <w:top w:val="single" w:sz="4" w:space="0" w:color="BFBFBF" w:themeColor="accent2"/>
              <w:bottom w:val="single" w:sz="4" w:space="0" w:color="000000" w:themeColor="text1"/>
            </w:tcBorders>
            <w:hideMark/>
          </w:tcPr>
          <w:p w14:paraId="203BFE8E"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22253C" w14:paraId="1EB7F018" w14:textId="77777777" w:rsidTr="00535F6C">
        <w:trPr>
          <w:cnfStyle w:val="000000010000" w:firstRow="0" w:lastRow="0" w:firstColumn="0" w:lastColumn="0" w:oddVBand="0" w:evenVBand="0" w:oddHBand="0" w:evenHBand="1" w:firstRowFirstColumn="0" w:firstRowLastColumn="0" w:lastRowFirstColumn="0" w:lastRowLastColumn="0"/>
          <w:trHeight w:val="300"/>
        </w:trPr>
        <w:tc>
          <w:tcPr>
            <w:tcW w:w="5104" w:type="dxa"/>
            <w:tcBorders>
              <w:top w:val="single" w:sz="4" w:space="0" w:color="000000" w:themeColor="text1"/>
              <w:bottom w:val="single" w:sz="4" w:space="0" w:color="000000" w:themeColor="text1"/>
            </w:tcBorders>
            <w:hideMark/>
          </w:tcPr>
          <w:p w14:paraId="1E41095D" w14:textId="77777777" w:rsidR="004944DF" w:rsidRPr="0022253C" w:rsidRDefault="004944DF" w:rsidP="00F962BE">
            <w:pPr>
              <w:pStyle w:val="ARtabletextbold"/>
              <w:spacing w:before="40" w:after="40"/>
              <w:rPr>
                <w:lang w:eastAsia="en-AU"/>
              </w:rPr>
            </w:pPr>
            <w:r w:rsidRPr="0022253C">
              <w:rPr>
                <w:lang w:eastAsia="en-AU"/>
              </w:rPr>
              <w:t>Total administered income</w:t>
            </w: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000000" w:themeColor="text1"/>
              <w:bottom w:val="single" w:sz="4" w:space="0" w:color="000000" w:themeColor="text1"/>
            </w:tcBorders>
            <w:hideMark/>
          </w:tcPr>
          <w:p w14:paraId="40110509" w14:textId="77777777" w:rsidR="004944DF" w:rsidRPr="0022253C" w:rsidRDefault="004944DF" w:rsidP="00F962BE">
            <w:pPr>
              <w:pStyle w:val="ARtabletextrightbold"/>
              <w:spacing w:before="40" w:after="40"/>
              <w:rPr>
                <w:lang w:eastAsia="en-AU"/>
              </w:rPr>
            </w:pPr>
            <w:r w:rsidRPr="0022253C">
              <w:rPr>
                <w:lang w:eastAsia="en-AU"/>
              </w:rPr>
              <w:t>3,187</w:t>
            </w:r>
          </w:p>
        </w:tc>
        <w:tc>
          <w:tcPr>
            <w:tcW w:w="1274" w:type="dxa"/>
            <w:tcBorders>
              <w:top w:val="single" w:sz="4" w:space="0" w:color="000000" w:themeColor="text1"/>
              <w:bottom w:val="single" w:sz="4" w:space="0" w:color="000000" w:themeColor="text1"/>
            </w:tcBorders>
            <w:hideMark/>
          </w:tcPr>
          <w:p w14:paraId="67FAF259" w14:textId="77777777" w:rsidR="004944DF" w:rsidRPr="0022253C" w:rsidRDefault="004944DF" w:rsidP="00F962BE">
            <w:pPr>
              <w:pStyle w:val="ARtabletextrightbold"/>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22253C">
              <w:rPr>
                <w:lang w:eastAsia="en-AU"/>
              </w:rPr>
              <w:t>3,178</w:t>
            </w:r>
          </w:p>
        </w:tc>
        <w:tc>
          <w:tcPr>
            <w:cnfStyle w:val="000001000000" w:firstRow="0" w:lastRow="0" w:firstColumn="0" w:lastColumn="0" w:oddVBand="0" w:evenVBand="1" w:oddHBand="0" w:evenHBand="0" w:firstRowFirstColumn="0" w:firstRowLastColumn="0" w:lastRowFirstColumn="0" w:lastRowLastColumn="0"/>
            <w:tcW w:w="1190" w:type="dxa"/>
            <w:tcBorders>
              <w:top w:val="single" w:sz="4" w:space="0" w:color="000000" w:themeColor="text1"/>
              <w:bottom w:val="single" w:sz="4" w:space="0" w:color="000000" w:themeColor="text1"/>
            </w:tcBorders>
            <w:hideMark/>
          </w:tcPr>
          <w:p w14:paraId="2130367F" w14:textId="77777777" w:rsidR="004944DF" w:rsidRPr="0022253C" w:rsidRDefault="004944DF" w:rsidP="00F962BE">
            <w:pPr>
              <w:pStyle w:val="ARtabletextrightbold"/>
              <w:spacing w:before="40" w:after="40"/>
              <w:rPr>
                <w:lang w:eastAsia="en-AU"/>
              </w:rPr>
            </w:pPr>
            <w:r w:rsidRPr="0022253C">
              <w:rPr>
                <w:lang w:eastAsia="en-AU"/>
              </w:rPr>
              <w:t>0.3</w:t>
            </w:r>
          </w:p>
        </w:tc>
        <w:tc>
          <w:tcPr>
            <w:tcW w:w="792" w:type="dxa"/>
            <w:tcBorders>
              <w:top w:val="single" w:sz="4" w:space="0" w:color="000000" w:themeColor="text1"/>
              <w:bottom w:val="single" w:sz="4" w:space="0" w:color="000000" w:themeColor="text1"/>
            </w:tcBorders>
            <w:hideMark/>
          </w:tcPr>
          <w:p w14:paraId="51A76AC5"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b/>
                <w:bCs/>
                <w:lang w:eastAsia="en-AU"/>
              </w:rPr>
            </w:pPr>
          </w:p>
        </w:tc>
      </w:tr>
      <w:tr w:rsidR="004944DF" w:rsidRPr="0022253C" w14:paraId="49D7A9AD" w14:textId="77777777" w:rsidTr="00535F6C">
        <w:trPr>
          <w:cnfStyle w:val="000000100000" w:firstRow="0" w:lastRow="0" w:firstColumn="0" w:lastColumn="0" w:oddVBand="0" w:evenVBand="0" w:oddHBand="1" w:evenHBand="0" w:firstRowFirstColumn="0" w:firstRowLastColumn="0" w:lastRowFirstColumn="0" w:lastRowLastColumn="0"/>
          <w:trHeight w:val="300"/>
        </w:trPr>
        <w:tc>
          <w:tcPr>
            <w:tcW w:w="5104" w:type="dxa"/>
            <w:tcBorders>
              <w:top w:val="single" w:sz="4" w:space="0" w:color="000000" w:themeColor="text1"/>
            </w:tcBorders>
            <w:hideMark/>
          </w:tcPr>
          <w:p w14:paraId="11828B1C" w14:textId="77777777" w:rsidR="004944DF" w:rsidRPr="0022253C" w:rsidRDefault="004944DF" w:rsidP="00F962BE">
            <w:pPr>
              <w:pStyle w:val="ARTabletextboldcoloured"/>
              <w:spacing w:before="40" w:after="40"/>
              <w:rPr>
                <w:lang w:eastAsia="en-AU"/>
              </w:rPr>
            </w:pPr>
            <w:r w:rsidRPr="0022253C">
              <w:rPr>
                <w:lang w:eastAsia="en-AU"/>
              </w:rPr>
              <w:t>Administered expenses</w:t>
            </w: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000000" w:themeColor="text1"/>
            </w:tcBorders>
            <w:shd w:val="clear" w:color="auto" w:fill="auto"/>
            <w:hideMark/>
          </w:tcPr>
          <w:p w14:paraId="581F6219" w14:textId="77777777" w:rsidR="004944DF" w:rsidRPr="0022253C" w:rsidRDefault="004944DF" w:rsidP="00F962BE">
            <w:pPr>
              <w:pStyle w:val="ARtabletextrightbold"/>
              <w:spacing w:before="40" w:after="40"/>
              <w:rPr>
                <w:lang w:eastAsia="en-AU"/>
              </w:rPr>
            </w:pPr>
          </w:p>
        </w:tc>
        <w:tc>
          <w:tcPr>
            <w:tcW w:w="1274" w:type="dxa"/>
            <w:tcBorders>
              <w:top w:val="single" w:sz="4" w:space="0" w:color="000000" w:themeColor="text1"/>
            </w:tcBorders>
            <w:hideMark/>
          </w:tcPr>
          <w:p w14:paraId="47034A60" w14:textId="77777777" w:rsidR="004944DF" w:rsidRPr="0022253C" w:rsidRDefault="004944DF" w:rsidP="00F962BE">
            <w:pPr>
              <w:pStyle w:val="ARtabletextrightbold"/>
              <w:spacing w:before="40" w:after="40"/>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1190" w:type="dxa"/>
            <w:tcBorders>
              <w:top w:val="single" w:sz="4" w:space="0" w:color="000000" w:themeColor="text1"/>
            </w:tcBorders>
            <w:shd w:val="clear" w:color="auto" w:fill="auto"/>
            <w:hideMark/>
          </w:tcPr>
          <w:p w14:paraId="644910ED" w14:textId="77777777" w:rsidR="004944DF" w:rsidRPr="0022253C" w:rsidRDefault="004944DF" w:rsidP="00F962BE">
            <w:pPr>
              <w:pStyle w:val="ARtabletextrightbold"/>
              <w:spacing w:before="40" w:after="40"/>
              <w:rPr>
                <w:lang w:eastAsia="en-AU"/>
              </w:rPr>
            </w:pPr>
          </w:p>
        </w:tc>
        <w:tc>
          <w:tcPr>
            <w:tcW w:w="792" w:type="dxa"/>
            <w:tcBorders>
              <w:top w:val="single" w:sz="4" w:space="0" w:color="000000" w:themeColor="text1"/>
            </w:tcBorders>
            <w:hideMark/>
          </w:tcPr>
          <w:p w14:paraId="621B3BF2"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b/>
                <w:bCs/>
                <w:lang w:eastAsia="en-AU"/>
              </w:rPr>
            </w:pPr>
          </w:p>
        </w:tc>
      </w:tr>
      <w:tr w:rsidR="004944DF" w:rsidRPr="0022253C" w14:paraId="0C8A1B38" w14:textId="77777777" w:rsidTr="00535F6C">
        <w:trPr>
          <w:cnfStyle w:val="000000010000" w:firstRow="0" w:lastRow="0" w:firstColumn="0" w:lastColumn="0" w:oddVBand="0" w:evenVBand="0" w:oddHBand="0" w:evenHBand="1" w:firstRowFirstColumn="0" w:firstRowLastColumn="0" w:lastRowFirstColumn="0" w:lastRowLastColumn="0"/>
          <w:trHeight w:val="300"/>
        </w:trPr>
        <w:tc>
          <w:tcPr>
            <w:tcW w:w="5104" w:type="dxa"/>
            <w:hideMark/>
          </w:tcPr>
          <w:p w14:paraId="719527DD" w14:textId="77777777" w:rsidR="004944DF" w:rsidRPr="0022253C" w:rsidRDefault="004944DF" w:rsidP="00F962BE">
            <w:pPr>
              <w:pStyle w:val="ARTabletext"/>
              <w:spacing w:before="40" w:after="40"/>
              <w:rPr>
                <w:lang w:eastAsia="en-AU"/>
              </w:rPr>
            </w:pPr>
            <w:r w:rsidRPr="0022253C">
              <w:rPr>
                <w:lang w:eastAsia="en-AU"/>
              </w:rPr>
              <w:t>Expenses on behalf of the state</w:t>
            </w:r>
          </w:p>
        </w:tc>
        <w:tc>
          <w:tcPr>
            <w:cnfStyle w:val="000001000000" w:firstRow="0" w:lastRow="0" w:firstColumn="0" w:lastColumn="0" w:oddVBand="0" w:evenVBand="1" w:oddHBand="0" w:evenHBand="0" w:firstRowFirstColumn="0" w:firstRowLastColumn="0" w:lastRowFirstColumn="0" w:lastRowLastColumn="0"/>
            <w:tcW w:w="1274" w:type="dxa"/>
            <w:hideMark/>
          </w:tcPr>
          <w:p w14:paraId="02273736" w14:textId="77777777" w:rsidR="004944DF" w:rsidRPr="0022253C" w:rsidRDefault="004944DF" w:rsidP="00F962BE">
            <w:pPr>
              <w:pStyle w:val="ARtabletextright"/>
              <w:spacing w:before="40" w:after="40"/>
              <w:rPr>
                <w:lang w:eastAsia="en-AU"/>
              </w:rPr>
            </w:pPr>
            <w:r w:rsidRPr="0022253C">
              <w:rPr>
                <w:lang w:eastAsia="en-AU"/>
              </w:rPr>
              <w:t>0</w:t>
            </w:r>
          </w:p>
        </w:tc>
        <w:tc>
          <w:tcPr>
            <w:tcW w:w="1274" w:type="dxa"/>
            <w:hideMark/>
          </w:tcPr>
          <w:p w14:paraId="357DB1B7"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22253C">
              <w:rPr>
                <w:lang w:eastAsia="en-AU"/>
              </w:rPr>
              <w:t>1</w:t>
            </w:r>
          </w:p>
        </w:tc>
        <w:tc>
          <w:tcPr>
            <w:cnfStyle w:val="000001000000" w:firstRow="0" w:lastRow="0" w:firstColumn="0" w:lastColumn="0" w:oddVBand="0" w:evenVBand="1" w:oddHBand="0" w:evenHBand="0" w:firstRowFirstColumn="0" w:firstRowLastColumn="0" w:lastRowFirstColumn="0" w:lastRowLastColumn="0"/>
            <w:tcW w:w="1190" w:type="dxa"/>
            <w:hideMark/>
          </w:tcPr>
          <w:p w14:paraId="32177B92" w14:textId="77777777" w:rsidR="004944DF" w:rsidRPr="0022253C" w:rsidRDefault="004944DF" w:rsidP="00F962BE">
            <w:pPr>
              <w:pStyle w:val="ARtabletextright"/>
              <w:spacing w:before="40" w:after="40"/>
              <w:rPr>
                <w:lang w:eastAsia="en-AU"/>
              </w:rPr>
            </w:pPr>
            <w:r w:rsidRPr="0022253C">
              <w:rPr>
                <w:lang w:eastAsia="en-AU"/>
              </w:rPr>
              <w:t>(84.1)</w:t>
            </w:r>
          </w:p>
        </w:tc>
        <w:tc>
          <w:tcPr>
            <w:tcW w:w="792" w:type="dxa"/>
            <w:hideMark/>
          </w:tcPr>
          <w:p w14:paraId="49EC6276"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b/>
                <w:bCs/>
                <w:lang w:eastAsia="en-AU"/>
              </w:rPr>
            </w:pPr>
          </w:p>
        </w:tc>
      </w:tr>
      <w:tr w:rsidR="004944DF" w:rsidRPr="0022253C" w14:paraId="51716C7A" w14:textId="77777777" w:rsidTr="00535F6C">
        <w:trPr>
          <w:cnfStyle w:val="000000100000" w:firstRow="0" w:lastRow="0" w:firstColumn="0" w:lastColumn="0" w:oddVBand="0" w:evenVBand="0" w:oddHBand="1" w:evenHBand="0" w:firstRowFirstColumn="0" w:firstRowLastColumn="0" w:lastRowFirstColumn="0" w:lastRowLastColumn="0"/>
          <w:trHeight w:val="300"/>
        </w:trPr>
        <w:tc>
          <w:tcPr>
            <w:tcW w:w="5104" w:type="dxa"/>
            <w:tcBorders>
              <w:bottom w:val="single" w:sz="4" w:space="0" w:color="BFBFBF" w:themeColor="accent2"/>
            </w:tcBorders>
            <w:hideMark/>
          </w:tcPr>
          <w:p w14:paraId="2942D85C" w14:textId="77777777" w:rsidR="004944DF" w:rsidRPr="0022253C" w:rsidRDefault="004944DF" w:rsidP="00F962BE">
            <w:pPr>
              <w:pStyle w:val="ARTabletext"/>
              <w:spacing w:before="40" w:after="40"/>
              <w:rPr>
                <w:lang w:eastAsia="en-AU"/>
              </w:rPr>
            </w:pPr>
            <w:r w:rsidRPr="0022253C">
              <w:rPr>
                <w:lang w:eastAsia="en-AU"/>
              </w:rPr>
              <w:t>Grants and other transfers</w:t>
            </w:r>
          </w:p>
        </w:tc>
        <w:tc>
          <w:tcPr>
            <w:cnfStyle w:val="000001000000" w:firstRow="0" w:lastRow="0" w:firstColumn="0" w:lastColumn="0" w:oddVBand="0" w:evenVBand="1" w:oddHBand="0" w:evenHBand="0" w:firstRowFirstColumn="0" w:firstRowLastColumn="0" w:lastRowFirstColumn="0" w:lastRowLastColumn="0"/>
            <w:tcW w:w="1274" w:type="dxa"/>
            <w:tcBorders>
              <w:bottom w:val="single" w:sz="4" w:space="0" w:color="BFBFBF" w:themeColor="accent2"/>
            </w:tcBorders>
            <w:hideMark/>
          </w:tcPr>
          <w:p w14:paraId="047310ED" w14:textId="77777777" w:rsidR="004944DF" w:rsidRPr="0022253C" w:rsidRDefault="004944DF" w:rsidP="00F962BE">
            <w:pPr>
              <w:pStyle w:val="ARtabletextright"/>
              <w:spacing w:before="40" w:after="40"/>
              <w:rPr>
                <w:lang w:eastAsia="en-AU"/>
              </w:rPr>
            </w:pPr>
            <w:r w:rsidRPr="0022253C">
              <w:rPr>
                <w:lang w:eastAsia="en-AU"/>
              </w:rPr>
              <w:t>3,098</w:t>
            </w:r>
          </w:p>
        </w:tc>
        <w:tc>
          <w:tcPr>
            <w:tcW w:w="1274" w:type="dxa"/>
            <w:tcBorders>
              <w:bottom w:val="single" w:sz="4" w:space="0" w:color="BFBFBF" w:themeColor="accent2"/>
            </w:tcBorders>
            <w:hideMark/>
          </w:tcPr>
          <w:p w14:paraId="4D5CFCDC"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22253C">
              <w:rPr>
                <w:lang w:eastAsia="en-AU"/>
              </w:rPr>
              <w:t>3,119</w:t>
            </w:r>
          </w:p>
        </w:tc>
        <w:tc>
          <w:tcPr>
            <w:cnfStyle w:val="000001000000" w:firstRow="0" w:lastRow="0" w:firstColumn="0" w:lastColumn="0" w:oddVBand="0" w:evenVBand="1" w:oddHBand="0" w:evenHBand="0" w:firstRowFirstColumn="0" w:firstRowLastColumn="0" w:lastRowFirstColumn="0" w:lastRowLastColumn="0"/>
            <w:tcW w:w="1190" w:type="dxa"/>
            <w:tcBorders>
              <w:bottom w:val="single" w:sz="4" w:space="0" w:color="BFBFBF" w:themeColor="accent2"/>
            </w:tcBorders>
            <w:hideMark/>
          </w:tcPr>
          <w:p w14:paraId="035D5692" w14:textId="77777777" w:rsidR="004944DF" w:rsidRPr="0022253C" w:rsidRDefault="004944DF" w:rsidP="00F962BE">
            <w:pPr>
              <w:pStyle w:val="ARtabletextright"/>
              <w:spacing w:before="40" w:after="40"/>
              <w:rPr>
                <w:lang w:eastAsia="en-AU"/>
              </w:rPr>
            </w:pPr>
            <w:r w:rsidRPr="0022253C">
              <w:rPr>
                <w:lang w:eastAsia="en-AU"/>
              </w:rPr>
              <w:t>(0.7)</w:t>
            </w:r>
          </w:p>
        </w:tc>
        <w:tc>
          <w:tcPr>
            <w:tcW w:w="792" w:type="dxa"/>
            <w:tcBorders>
              <w:bottom w:val="single" w:sz="4" w:space="0" w:color="BFBFBF" w:themeColor="accent2"/>
            </w:tcBorders>
            <w:hideMark/>
          </w:tcPr>
          <w:p w14:paraId="2ECEDFEE"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22253C" w14:paraId="65D41778" w14:textId="77777777" w:rsidTr="00535F6C">
        <w:trPr>
          <w:cnfStyle w:val="000000010000" w:firstRow="0" w:lastRow="0" w:firstColumn="0" w:lastColumn="0" w:oddVBand="0" w:evenVBand="0" w:oddHBand="0" w:evenHBand="1" w:firstRowFirstColumn="0" w:firstRowLastColumn="0" w:lastRowFirstColumn="0" w:lastRowLastColumn="0"/>
          <w:trHeight w:val="300"/>
        </w:trPr>
        <w:tc>
          <w:tcPr>
            <w:tcW w:w="5104" w:type="dxa"/>
            <w:tcBorders>
              <w:top w:val="single" w:sz="4" w:space="0" w:color="BFBFBF" w:themeColor="accent2"/>
              <w:bottom w:val="single" w:sz="4" w:space="0" w:color="000000" w:themeColor="text1"/>
            </w:tcBorders>
            <w:hideMark/>
          </w:tcPr>
          <w:p w14:paraId="075B54F2" w14:textId="77777777" w:rsidR="004944DF" w:rsidRPr="0022253C" w:rsidRDefault="004944DF" w:rsidP="00F962BE">
            <w:pPr>
              <w:pStyle w:val="ARTabletext"/>
              <w:spacing w:before="40" w:after="40"/>
              <w:rPr>
                <w:lang w:eastAsia="en-AU"/>
              </w:rPr>
            </w:pPr>
            <w:r w:rsidRPr="0022253C">
              <w:rPr>
                <w:lang w:eastAsia="en-AU"/>
              </w:rPr>
              <w:t>Payments into the Consolidated Fund</w:t>
            </w: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BFBFBF" w:themeColor="accent2"/>
              <w:bottom w:val="single" w:sz="4" w:space="0" w:color="000000" w:themeColor="text1"/>
            </w:tcBorders>
            <w:hideMark/>
          </w:tcPr>
          <w:p w14:paraId="55D68C79" w14:textId="77777777" w:rsidR="004944DF" w:rsidRPr="0022253C" w:rsidRDefault="004944DF" w:rsidP="00F962BE">
            <w:pPr>
              <w:pStyle w:val="ARtabletextright"/>
              <w:spacing w:before="40" w:after="40"/>
              <w:rPr>
                <w:lang w:eastAsia="en-AU"/>
              </w:rPr>
            </w:pPr>
            <w:r w:rsidRPr="0022253C">
              <w:rPr>
                <w:lang w:eastAsia="en-AU"/>
              </w:rPr>
              <w:t>87</w:t>
            </w:r>
          </w:p>
        </w:tc>
        <w:tc>
          <w:tcPr>
            <w:tcW w:w="1274" w:type="dxa"/>
            <w:tcBorders>
              <w:top w:val="single" w:sz="4" w:space="0" w:color="BFBFBF" w:themeColor="accent2"/>
              <w:bottom w:val="single" w:sz="4" w:space="0" w:color="000000" w:themeColor="text1"/>
            </w:tcBorders>
            <w:hideMark/>
          </w:tcPr>
          <w:p w14:paraId="22D7DF84"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22253C">
              <w:rPr>
                <w:lang w:eastAsia="en-AU"/>
              </w:rPr>
              <w:t>64</w:t>
            </w:r>
          </w:p>
        </w:tc>
        <w:tc>
          <w:tcPr>
            <w:cnfStyle w:val="000001000000" w:firstRow="0" w:lastRow="0" w:firstColumn="0" w:lastColumn="0" w:oddVBand="0" w:evenVBand="1" w:oddHBand="0" w:evenHBand="0" w:firstRowFirstColumn="0" w:firstRowLastColumn="0" w:lastRowFirstColumn="0" w:lastRowLastColumn="0"/>
            <w:tcW w:w="1190" w:type="dxa"/>
            <w:tcBorders>
              <w:top w:val="single" w:sz="4" w:space="0" w:color="BFBFBF" w:themeColor="accent2"/>
              <w:bottom w:val="single" w:sz="4" w:space="0" w:color="000000" w:themeColor="text1"/>
            </w:tcBorders>
            <w:hideMark/>
          </w:tcPr>
          <w:p w14:paraId="4EA69176" w14:textId="77777777" w:rsidR="004944DF" w:rsidRPr="0022253C" w:rsidRDefault="004944DF" w:rsidP="00F962BE">
            <w:pPr>
              <w:pStyle w:val="ARtabletextright"/>
              <w:spacing w:before="40" w:after="40"/>
              <w:rPr>
                <w:lang w:eastAsia="en-AU"/>
              </w:rPr>
            </w:pPr>
            <w:r w:rsidRPr="0022253C">
              <w:rPr>
                <w:lang w:eastAsia="en-AU"/>
              </w:rPr>
              <w:t>35.6</w:t>
            </w:r>
          </w:p>
        </w:tc>
        <w:tc>
          <w:tcPr>
            <w:tcW w:w="792" w:type="dxa"/>
            <w:tcBorders>
              <w:top w:val="single" w:sz="4" w:space="0" w:color="BFBFBF" w:themeColor="accent2"/>
              <w:bottom w:val="single" w:sz="4" w:space="0" w:color="000000" w:themeColor="text1"/>
            </w:tcBorders>
            <w:hideMark/>
          </w:tcPr>
          <w:p w14:paraId="672732C8"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22253C">
              <w:rPr>
                <w:lang w:eastAsia="en-AU"/>
              </w:rPr>
              <w:t>(c)</w:t>
            </w:r>
          </w:p>
        </w:tc>
      </w:tr>
      <w:tr w:rsidR="004944DF" w:rsidRPr="0022253C" w14:paraId="51D71840" w14:textId="77777777" w:rsidTr="00535F6C">
        <w:trPr>
          <w:cnfStyle w:val="000000100000" w:firstRow="0" w:lastRow="0" w:firstColumn="0" w:lastColumn="0" w:oddVBand="0" w:evenVBand="0" w:oddHBand="1" w:evenHBand="0" w:firstRowFirstColumn="0" w:firstRowLastColumn="0" w:lastRowFirstColumn="0" w:lastRowLastColumn="0"/>
          <w:trHeight w:val="300"/>
        </w:trPr>
        <w:tc>
          <w:tcPr>
            <w:tcW w:w="5104" w:type="dxa"/>
            <w:tcBorders>
              <w:top w:val="single" w:sz="4" w:space="0" w:color="000000" w:themeColor="text1"/>
              <w:bottom w:val="single" w:sz="4" w:space="0" w:color="000000" w:themeColor="text1"/>
            </w:tcBorders>
            <w:hideMark/>
          </w:tcPr>
          <w:p w14:paraId="14953741" w14:textId="77777777" w:rsidR="004944DF" w:rsidRPr="0022253C" w:rsidRDefault="004944DF" w:rsidP="00F962BE">
            <w:pPr>
              <w:pStyle w:val="ARtabletextbold"/>
              <w:spacing w:before="40" w:after="40"/>
              <w:rPr>
                <w:lang w:eastAsia="en-AU"/>
              </w:rPr>
            </w:pPr>
            <w:r w:rsidRPr="0022253C">
              <w:rPr>
                <w:lang w:eastAsia="en-AU"/>
              </w:rPr>
              <w:t>Total administered expenses</w:t>
            </w: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000000" w:themeColor="text1"/>
              <w:bottom w:val="single" w:sz="4" w:space="0" w:color="000000" w:themeColor="text1"/>
            </w:tcBorders>
            <w:hideMark/>
          </w:tcPr>
          <w:p w14:paraId="3B75783A" w14:textId="77777777" w:rsidR="004944DF" w:rsidRPr="0022253C" w:rsidRDefault="004944DF" w:rsidP="00F962BE">
            <w:pPr>
              <w:pStyle w:val="ARtabletextrightbold"/>
              <w:spacing w:before="40" w:after="40"/>
              <w:rPr>
                <w:lang w:eastAsia="en-AU"/>
              </w:rPr>
            </w:pPr>
            <w:r w:rsidRPr="0022253C">
              <w:rPr>
                <w:lang w:eastAsia="en-AU"/>
              </w:rPr>
              <w:t>3,186</w:t>
            </w:r>
          </w:p>
        </w:tc>
        <w:tc>
          <w:tcPr>
            <w:tcW w:w="1274" w:type="dxa"/>
            <w:tcBorders>
              <w:top w:val="single" w:sz="4" w:space="0" w:color="000000" w:themeColor="text1"/>
              <w:bottom w:val="single" w:sz="4" w:space="0" w:color="000000" w:themeColor="text1"/>
            </w:tcBorders>
            <w:hideMark/>
          </w:tcPr>
          <w:p w14:paraId="24922B14" w14:textId="77777777" w:rsidR="004944DF" w:rsidRPr="0022253C" w:rsidRDefault="004944DF" w:rsidP="00F962BE">
            <w:pPr>
              <w:pStyle w:val="ARtabletextrightbold"/>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22253C">
              <w:rPr>
                <w:lang w:eastAsia="en-AU"/>
              </w:rPr>
              <w:t>3,184</w:t>
            </w:r>
          </w:p>
        </w:tc>
        <w:tc>
          <w:tcPr>
            <w:cnfStyle w:val="000001000000" w:firstRow="0" w:lastRow="0" w:firstColumn="0" w:lastColumn="0" w:oddVBand="0" w:evenVBand="1" w:oddHBand="0" w:evenHBand="0" w:firstRowFirstColumn="0" w:firstRowLastColumn="0" w:lastRowFirstColumn="0" w:lastRowLastColumn="0"/>
            <w:tcW w:w="1190" w:type="dxa"/>
            <w:tcBorders>
              <w:top w:val="single" w:sz="4" w:space="0" w:color="000000" w:themeColor="text1"/>
              <w:bottom w:val="single" w:sz="4" w:space="0" w:color="000000" w:themeColor="text1"/>
            </w:tcBorders>
            <w:hideMark/>
          </w:tcPr>
          <w:p w14:paraId="168B6839" w14:textId="77777777" w:rsidR="004944DF" w:rsidRPr="0022253C" w:rsidRDefault="004944DF" w:rsidP="00F962BE">
            <w:pPr>
              <w:pStyle w:val="ARtabletextrightbold"/>
              <w:spacing w:before="40" w:after="40"/>
              <w:rPr>
                <w:lang w:eastAsia="en-AU"/>
              </w:rPr>
            </w:pPr>
            <w:r w:rsidRPr="0022253C">
              <w:rPr>
                <w:lang w:eastAsia="en-AU"/>
              </w:rPr>
              <w:t>0.1</w:t>
            </w:r>
          </w:p>
        </w:tc>
        <w:tc>
          <w:tcPr>
            <w:tcW w:w="792" w:type="dxa"/>
            <w:tcBorders>
              <w:top w:val="single" w:sz="4" w:space="0" w:color="000000" w:themeColor="text1"/>
              <w:bottom w:val="single" w:sz="4" w:space="0" w:color="000000" w:themeColor="text1"/>
            </w:tcBorders>
            <w:hideMark/>
          </w:tcPr>
          <w:p w14:paraId="7D2A10E5"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b/>
                <w:bCs/>
                <w:lang w:eastAsia="en-AU"/>
              </w:rPr>
            </w:pPr>
          </w:p>
        </w:tc>
      </w:tr>
      <w:tr w:rsidR="004944DF" w:rsidRPr="0022253C" w14:paraId="6AF30B2B" w14:textId="77777777" w:rsidTr="00535F6C">
        <w:trPr>
          <w:cnfStyle w:val="000000010000" w:firstRow="0" w:lastRow="0" w:firstColumn="0" w:lastColumn="0" w:oddVBand="0" w:evenVBand="0" w:oddHBand="0" w:evenHBand="1" w:firstRowFirstColumn="0" w:firstRowLastColumn="0" w:lastRowFirstColumn="0" w:lastRowLastColumn="0"/>
          <w:trHeight w:val="300"/>
        </w:trPr>
        <w:tc>
          <w:tcPr>
            <w:tcW w:w="5104" w:type="dxa"/>
            <w:tcBorders>
              <w:top w:val="single" w:sz="4" w:space="0" w:color="000000" w:themeColor="text1"/>
              <w:bottom w:val="single" w:sz="4" w:space="0" w:color="000000" w:themeColor="text1"/>
            </w:tcBorders>
            <w:hideMark/>
          </w:tcPr>
          <w:p w14:paraId="43CA4137" w14:textId="77777777" w:rsidR="004944DF" w:rsidRPr="0022253C" w:rsidRDefault="004944DF" w:rsidP="00F962BE">
            <w:pPr>
              <w:pStyle w:val="ARtabletextbold"/>
              <w:spacing w:before="40" w:after="40"/>
              <w:rPr>
                <w:lang w:eastAsia="en-AU"/>
              </w:rPr>
            </w:pPr>
            <w:r w:rsidRPr="0022253C">
              <w:rPr>
                <w:lang w:eastAsia="en-AU"/>
              </w:rPr>
              <w:t>Income less expenses</w:t>
            </w: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000000" w:themeColor="text1"/>
              <w:bottom w:val="single" w:sz="4" w:space="0" w:color="000000" w:themeColor="text1"/>
            </w:tcBorders>
            <w:hideMark/>
          </w:tcPr>
          <w:p w14:paraId="4134BF62" w14:textId="77777777" w:rsidR="004944DF" w:rsidRPr="0022253C" w:rsidRDefault="004944DF" w:rsidP="00F962BE">
            <w:pPr>
              <w:pStyle w:val="ARtabletextrightbold"/>
              <w:spacing w:before="40" w:after="40"/>
              <w:rPr>
                <w:lang w:eastAsia="en-AU"/>
              </w:rPr>
            </w:pPr>
            <w:r w:rsidRPr="0022253C">
              <w:rPr>
                <w:lang w:eastAsia="en-AU"/>
              </w:rPr>
              <w:t>0</w:t>
            </w:r>
          </w:p>
        </w:tc>
        <w:tc>
          <w:tcPr>
            <w:tcW w:w="1274" w:type="dxa"/>
            <w:tcBorders>
              <w:top w:val="single" w:sz="4" w:space="0" w:color="000000" w:themeColor="text1"/>
              <w:bottom w:val="single" w:sz="4" w:space="0" w:color="000000" w:themeColor="text1"/>
            </w:tcBorders>
            <w:hideMark/>
          </w:tcPr>
          <w:p w14:paraId="1F9EFBBA" w14:textId="77777777" w:rsidR="004944DF" w:rsidRPr="0022253C" w:rsidRDefault="004944DF" w:rsidP="00F962BE">
            <w:pPr>
              <w:pStyle w:val="ARtabletextrightbold"/>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22253C">
              <w:rPr>
                <w:lang w:eastAsia="en-AU"/>
              </w:rPr>
              <w:t>(6)</w:t>
            </w:r>
          </w:p>
        </w:tc>
        <w:tc>
          <w:tcPr>
            <w:cnfStyle w:val="000001000000" w:firstRow="0" w:lastRow="0" w:firstColumn="0" w:lastColumn="0" w:oddVBand="0" w:evenVBand="1" w:oddHBand="0" w:evenHBand="0" w:firstRowFirstColumn="0" w:firstRowLastColumn="0" w:lastRowFirstColumn="0" w:lastRowLastColumn="0"/>
            <w:tcW w:w="1190" w:type="dxa"/>
            <w:tcBorders>
              <w:top w:val="single" w:sz="4" w:space="0" w:color="000000" w:themeColor="text1"/>
              <w:bottom w:val="single" w:sz="4" w:space="0" w:color="000000" w:themeColor="text1"/>
            </w:tcBorders>
            <w:hideMark/>
          </w:tcPr>
          <w:p w14:paraId="312BE257" w14:textId="77777777" w:rsidR="004944DF" w:rsidRPr="0022253C" w:rsidRDefault="004944DF" w:rsidP="00F962BE">
            <w:pPr>
              <w:pStyle w:val="ARtabletextrightbold"/>
              <w:spacing w:before="40" w:after="40"/>
              <w:rPr>
                <w:lang w:eastAsia="en-AU"/>
              </w:rPr>
            </w:pPr>
            <w:r w:rsidRPr="0022253C">
              <w:rPr>
                <w:lang w:eastAsia="en-AU"/>
              </w:rPr>
              <w:t>(105.9)</w:t>
            </w:r>
          </w:p>
        </w:tc>
        <w:tc>
          <w:tcPr>
            <w:tcW w:w="792" w:type="dxa"/>
            <w:tcBorders>
              <w:top w:val="single" w:sz="4" w:space="0" w:color="000000" w:themeColor="text1"/>
              <w:bottom w:val="single" w:sz="4" w:space="0" w:color="000000" w:themeColor="text1"/>
            </w:tcBorders>
            <w:hideMark/>
          </w:tcPr>
          <w:p w14:paraId="7B97004A"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b/>
                <w:bCs/>
                <w:lang w:eastAsia="en-AU"/>
              </w:rPr>
            </w:pPr>
          </w:p>
        </w:tc>
      </w:tr>
      <w:tr w:rsidR="004944DF" w:rsidRPr="0022253C" w14:paraId="180A7BFD" w14:textId="77777777" w:rsidTr="00535F6C">
        <w:trPr>
          <w:cnfStyle w:val="000000100000" w:firstRow="0" w:lastRow="0" w:firstColumn="0" w:lastColumn="0" w:oddVBand="0" w:evenVBand="0" w:oddHBand="1" w:evenHBand="0" w:firstRowFirstColumn="0" w:firstRowLastColumn="0" w:lastRowFirstColumn="0" w:lastRowLastColumn="0"/>
          <w:trHeight w:val="300"/>
        </w:trPr>
        <w:tc>
          <w:tcPr>
            <w:tcW w:w="5104" w:type="dxa"/>
            <w:tcBorders>
              <w:top w:val="single" w:sz="4" w:space="0" w:color="000000" w:themeColor="text1"/>
              <w:bottom w:val="single" w:sz="4" w:space="0" w:color="BFBFBF" w:themeColor="accent2"/>
            </w:tcBorders>
            <w:hideMark/>
          </w:tcPr>
          <w:p w14:paraId="09006D3B" w14:textId="77777777" w:rsidR="004944DF" w:rsidRPr="0022253C" w:rsidRDefault="004944DF" w:rsidP="00F962BE">
            <w:pPr>
              <w:pStyle w:val="ARTabletextboldcoloured"/>
              <w:spacing w:before="40" w:after="40"/>
              <w:rPr>
                <w:lang w:eastAsia="en-AU"/>
              </w:rPr>
            </w:pPr>
            <w:r w:rsidRPr="0022253C">
              <w:rPr>
                <w:lang w:eastAsia="en-AU"/>
              </w:rPr>
              <w:t>Other economic flows included in net result</w:t>
            </w: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000000" w:themeColor="text1"/>
              <w:bottom w:val="single" w:sz="4" w:space="0" w:color="BFBFBF" w:themeColor="accent2"/>
            </w:tcBorders>
            <w:shd w:val="clear" w:color="auto" w:fill="auto"/>
            <w:hideMark/>
          </w:tcPr>
          <w:p w14:paraId="706B269B" w14:textId="77777777" w:rsidR="004944DF" w:rsidRPr="0022253C" w:rsidRDefault="004944DF" w:rsidP="00F962BE">
            <w:pPr>
              <w:pStyle w:val="ARtabletextrightbold"/>
              <w:spacing w:before="40" w:after="40"/>
              <w:rPr>
                <w:lang w:eastAsia="en-AU"/>
              </w:rPr>
            </w:pPr>
          </w:p>
        </w:tc>
        <w:tc>
          <w:tcPr>
            <w:tcW w:w="1274" w:type="dxa"/>
            <w:tcBorders>
              <w:top w:val="single" w:sz="4" w:space="0" w:color="000000" w:themeColor="text1"/>
              <w:bottom w:val="single" w:sz="4" w:space="0" w:color="BFBFBF" w:themeColor="accent2"/>
            </w:tcBorders>
            <w:hideMark/>
          </w:tcPr>
          <w:p w14:paraId="59B4EEA9" w14:textId="77777777" w:rsidR="004944DF" w:rsidRPr="0022253C" w:rsidRDefault="004944DF" w:rsidP="00F962BE">
            <w:pPr>
              <w:pStyle w:val="ARtabletextrightbold"/>
              <w:spacing w:before="40" w:after="40"/>
              <w:cnfStyle w:val="000000100000" w:firstRow="0" w:lastRow="0" w:firstColumn="0" w:lastColumn="0" w:oddVBand="0" w:evenVBand="0" w:oddHBand="1" w:evenHBand="0"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1190" w:type="dxa"/>
            <w:tcBorders>
              <w:top w:val="single" w:sz="4" w:space="0" w:color="000000" w:themeColor="text1"/>
              <w:bottom w:val="single" w:sz="4" w:space="0" w:color="BFBFBF" w:themeColor="accent2"/>
            </w:tcBorders>
            <w:shd w:val="clear" w:color="auto" w:fill="auto"/>
            <w:hideMark/>
          </w:tcPr>
          <w:p w14:paraId="0D34A808" w14:textId="77777777" w:rsidR="004944DF" w:rsidRPr="0022253C" w:rsidRDefault="004944DF" w:rsidP="00F962BE">
            <w:pPr>
              <w:pStyle w:val="ARtabletextrightbold"/>
              <w:spacing w:before="40" w:after="40"/>
              <w:rPr>
                <w:lang w:eastAsia="en-AU"/>
              </w:rPr>
            </w:pPr>
          </w:p>
        </w:tc>
        <w:tc>
          <w:tcPr>
            <w:tcW w:w="792" w:type="dxa"/>
            <w:tcBorders>
              <w:top w:val="single" w:sz="4" w:space="0" w:color="000000" w:themeColor="text1"/>
              <w:bottom w:val="single" w:sz="4" w:space="0" w:color="BFBFBF" w:themeColor="accent2"/>
            </w:tcBorders>
            <w:hideMark/>
          </w:tcPr>
          <w:p w14:paraId="381EFE31"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b/>
                <w:bCs/>
                <w:lang w:eastAsia="en-AU"/>
              </w:rPr>
            </w:pPr>
          </w:p>
        </w:tc>
      </w:tr>
      <w:tr w:rsidR="004944DF" w:rsidRPr="0022253C" w14:paraId="40F58038" w14:textId="77777777" w:rsidTr="00535F6C">
        <w:trPr>
          <w:cnfStyle w:val="000000010000" w:firstRow="0" w:lastRow="0" w:firstColumn="0" w:lastColumn="0" w:oddVBand="0" w:evenVBand="0" w:oddHBand="0" w:evenHBand="1" w:firstRowFirstColumn="0" w:firstRowLastColumn="0" w:lastRowFirstColumn="0" w:lastRowLastColumn="0"/>
          <w:trHeight w:val="300"/>
        </w:trPr>
        <w:tc>
          <w:tcPr>
            <w:tcW w:w="5104" w:type="dxa"/>
            <w:tcBorders>
              <w:top w:val="single" w:sz="4" w:space="0" w:color="BFBFBF" w:themeColor="accent2"/>
              <w:bottom w:val="single" w:sz="4" w:space="0" w:color="000000" w:themeColor="text1"/>
            </w:tcBorders>
            <w:hideMark/>
          </w:tcPr>
          <w:p w14:paraId="654358BF" w14:textId="77777777" w:rsidR="004944DF" w:rsidRPr="0022253C" w:rsidRDefault="004944DF" w:rsidP="00F962BE">
            <w:pPr>
              <w:pStyle w:val="ARTabletext"/>
              <w:spacing w:before="40" w:after="40"/>
              <w:rPr>
                <w:lang w:eastAsia="en-AU"/>
              </w:rPr>
            </w:pPr>
            <w:r w:rsidRPr="0022253C">
              <w:rPr>
                <w:lang w:eastAsia="en-AU"/>
              </w:rPr>
              <w:t>Net gain/(loss) on non-financial assets</w:t>
            </w: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BFBFBF" w:themeColor="accent2"/>
              <w:bottom w:val="single" w:sz="4" w:space="0" w:color="000000" w:themeColor="text1"/>
            </w:tcBorders>
            <w:hideMark/>
          </w:tcPr>
          <w:p w14:paraId="63B08E4C" w14:textId="77777777" w:rsidR="004944DF" w:rsidRPr="0022253C" w:rsidRDefault="004944DF" w:rsidP="00F962BE">
            <w:pPr>
              <w:pStyle w:val="ARtabletextright"/>
              <w:spacing w:before="40" w:after="40"/>
              <w:rPr>
                <w:lang w:eastAsia="en-AU"/>
              </w:rPr>
            </w:pPr>
            <w:r w:rsidRPr="0022253C">
              <w:rPr>
                <w:lang w:eastAsia="en-AU"/>
              </w:rPr>
              <w:t>(1)</w:t>
            </w:r>
          </w:p>
        </w:tc>
        <w:tc>
          <w:tcPr>
            <w:tcW w:w="1274" w:type="dxa"/>
            <w:tcBorders>
              <w:top w:val="single" w:sz="4" w:space="0" w:color="BFBFBF" w:themeColor="accent2"/>
              <w:bottom w:val="single" w:sz="4" w:space="0" w:color="000000" w:themeColor="text1"/>
            </w:tcBorders>
            <w:hideMark/>
          </w:tcPr>
          <w:p w14:paraId="074FDD91"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22253C">
              <w:rPr>
                <w:lang w:eastAsia="en-AU"/>
              </w:rPr>
              <w:t>6</w:t>
            </w:r>
          </w:p>
        </w:tc>
        <w:tc>
          <w:tcPr>
            <w:cnfStyle w:val="000001000000" w:firstRow="0" w:lastRow="0" w:firstColumn="0" w:lastColumn="0" w:oddVBand="0" w:evenVBand="1" w:oddHBand="0" w:evenHBand="0" w:firstRowFirstColumn="0" w:firstRowLastColumn="0" w:lastRowFirstColumn="0" w:lastRowLastColumn="0"/>
            <w:tcW w:w="1190" w:type="dxa"/>
            <w:tcBorders>
              <w:top w:val="single" w:sz="4" w:space="0" w:color="BFBFBF" w:themeColor="accent2"/>
              <w:bottom w:val="single" w:sz="4" w:space="0" w:color="000000" w:themeColor="text1"/>
            </w:tcBorders>
            <w:hideMark/>
          </w:tcPr>
          <w:p w14:paraId="1DF3C2FE" w14:textId="77777777" w:rsidR="004944DF" w:rsidRPr="0022253C" w:rsidRDefault="004944DF" w:rsidP="00F962BE">
            <w:pPr>
              <w:pStyle w:val="ARtabletextright"/>
              <w:spacing w:before="40" w:after="40"/>
              <w:rPr>
                <w:lang w:eastAsia="en-AU"/>
              </w:rPr>
            </w:pPr>
            <w:r w:rsidRPr="0022253C">
              <w:rPr>
                <w:lang w:eastAsia="en-AU"/>
              </w:rPr>
              <w:t>(108.1)</w:t>
            </w:r>
          </w:p>
        </w:tc>
        <w:tc>
          <w:tcPr>
            <w:tcW w:w="792" w:type="dxa"/>
            <w:tcBorders>
              <w:top w:val="single" w:sz="4" w:space="0" w:color="BFBFBF" w:themeColor="accent2"/>
              <w:bottom w:val="single" w:sz="4" w:space="0" w:color="000000" w:themeColor="text1"/>
            </w:tcBorders>
            <w:hideMark/>
          </w:tcPr>
          <w:p w14:paraId="2B8C5068"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b/>
                <w:bCs/>
                <w:lang w:eastAsia="en-AU"/>
              </w:rPr>
            </w:pPr>
          </w:p>
        </w:tc>
      </w:tr>
      <w:tr w:rsidR="004944DF" w:rsidRPr="0022253C" w14:paraId="55BEB002" w14:textId="77777777" w:rsidTr="00535F6C">
        <w:trPr>
          <w:cnfStyle w:val="000000100000" w:firstRow="0" w:lastRow="0" w:firstColumn="0" w:lastColumn="0" w:oddVBand="0" w:evenVBand="0" w:oddHBand="1" w:evenHBand="0" w:firstRowFirstColumn="0" w:firstRowLastColumn="0" w:lastRowFirstColumn="0" w:lastRowLastColumn="0"/>
          <w:trHeight w:val="300"/>
        </w:trPr>
        <w:tc>
          <w:tcPr>
            <w:tcW w:w="5104" w:type="dxa"/>
            <w:tcBorders>
              <w:top w:val="single" w:sz="4" w:space="0" w:color="000000" w:themeColor="text1"/>
              <w:bottom w:val="single" w:sz="4" w:space="0" w:color="000000" w:themeColor="text1"/>
            </w:tcBorders>
            <w:hideMark/>
          </w:tcPr>
          <w:p w14:paraId="2544C767" w14:textId="77777777" w:rsidR="004944DF" w:rsidRPr="0022253C" w:rsidRDefault="004944DF" w:rsidP="00F962BE">
            <w:pPr>
              <w:pStyle w:val="ARtabletextbold"/>
              <w:spacing w:before="40" w:after="40"/>
              <w:rPr>
                <w:lang w:eastAsia="en-AU"/>
              </w:rPr>
            </w:pPr>
            <w:r w:rsidRPr="0022253C">
              <w:rPr>
                <w:lang w:eastAsia="en-AU"/>
              </w:rPr>
              <w:t>Total other economic flows included in net result</w:t>
            </w: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000000" w:themeColor="text1"/>
              <w:bottom w:val="single" w:sz="4" w:space="0" w:color="000000" w:themeColor="text1"/>
            </w:tcBorders>
            <w:hideMark/>
          </w:tcPr>
          <w:p w14:paraId="5AA272D6" w14:textId="77777777" w:rsidR="004944DF" w:rsidRPr="0022253C" w:rsidRDefault="004944DF" w:rsidP="00F962BE">
            <w:pPr>
              <w:pStyle w:val="ARtabletextrightbold"/>
              <w:spacing w:before="40" w:after="40"/>
              <w:rPr>
                <w:lang w:eastAsia="en-AU"/>
              </w:rPr>
            </w:pPr>
            <w:r w:rsidRPr="0022253C">
              <w:rPr>
                <w:lang w:eastAsia="en-AU"/>
              </w:rPr>
              <w:t>(1)</w:t>
            </w:r>
          </w:p>
        </w:tc>
        <w:tc>
          <w:tcPr>
            <w:tcW w:w="1274" w:type="dxa"/>
            <w:tcBorders>
              <w:top w:val="single" w:sz="4" w:space="0" w:color="000000" w:themeColor="text1"/>
              <w:bottom w:val="single" w:sz="4" w:space="0" w:color="000000" w:themeColor="text1"/>
            </w:tcBorders>
            <w:hideMark/>
          </w:tcPr>
          <w:p w14:paraId="251C7354" w14:textId="77777777" w:rsidR="004944DF" w:rsidRPr="0022253C" w:rsidRDefault="004944DF" w:rsidP="00F962BE">
            <w:pPr>
              <w:pStyle w:val="ARtabletextrightbold"/>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22253C">
              <w:rPr>
                <w:lang w:eastAsia="en-AU"/>
              </w:rPr>
              <w:t>6</w:t>
            </w:r>
          </w:p>
        </w:tc>
        <w:tc>
          <w:tcPr>
            <w:cnfStyle w:val="000001000000" w:firstRow="0" w:lastRow="0" w:firstColumn="0" w:lastColumn="0" w:oddVBand="0" w:evenVBand="1" w:oddHBand="0" w:evenHBand="0" w:firstRowFirstColumn="0" w:firstRowLastColumn="0" w:lastRowFirstColumn="0" w:lastRowLastColumn="0"/>
            <w:tcW w:w="1190" w:type="dxa"/>
            <w:tcBorders>
              <w:top w:val="single" w:sz="4" w:space="0" w:color="000000" w:themeColor="text1"/>
              <w:bottom w:val="single" w:sz="4" w:space="0" w:color="000000" w:themeColor="text1"/>
            </w:tcBorders>
            <w:hideMark/>
          </w:tcPr>
          <w:p w14:paraId="4F813375" w14:textId="77777777" w:rsidR="004944DF" w:rsidRPr="0022253C" w:rsidRDefault="004944DF" w:rsidP="00F962BE">
            <w:pPr>
              <w:pStyle w:val="ARtabletextrightbold"/>
              <w:spacing w:before="40" w:after="40"/>
              <w:rPr>
                <w:lang w:eastAsia="en-AU"/>
              </w:rPr>
            </w:pPr>
            <w:r w:rsidRPr="0022253C">
              <w:rPr>
                <w:lang w:eastAsia="en-AU"/>
              </w:rPr>
              <w:t>(108.1)</w:t>
            </w:r>
          </w:p>
        </w:tc>
        <w:tc>
          <w:tcPr>
            <w:tcW w:w="792" w:type="dxa"/>
            <w:tcBorders>
              <w:top w:val="single" w:sz="4" w:space="0" w:color="000000" w:themeColor="text1"/>
              <w:bottom w:val="single" w:sz="4" w:space="0" w:color="000000" w:themeColor="text1"/>
            </w:tcBorders>
            <w:hideMark/>
          </w:tcPr>
          <w:p w14:paraId="2A9FF675"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b/>
                <w:bCs/>
                <w:lang w:eastAsia="en-AU"/>
              </w:rPr>
            </w:pPr>
          </w:p>
        </w:tc>
      </w:tr>
      <w:tr w:rsidR="004944DF" w:rsidRPr="0022253C" w14:paraId="45C7AF2B" w14:textId="77777777" w:rsidTr="00535F6C">
        <w:trPr>
          <w:cnfStyle w:val="000000010000" w:firstRow="0" w:lastRow="0" w:firstColumn="0" w:lastColumn="0" w:oddVBand="0" w:evenVBand="0" w:oddHBand="0" w:evenHBand="1" w:firstRowFirstColumn="0" w:firstRowLastColumn="0" w:lastRowFirstColumn="0" w:lastRowLastColumn="0"/>
          <w:trHeight w:val="300"/>
        </w:trPr>
        <w:tc>
          <w:tcPr>
            <w:tcW w:w="5104" w:type="dxa"/>
            <w:tcBorders>
              <w:top w:val="single" w:sz="4" w:space="0" w:color="000000" w:themeColor="text1"/>
              <w:bottom w:val="single" w:sz="4" w:space="0" w:color="000000" w:themeColor="text1"/>
            </w:tcBorders>
            <w:hideMark/>
          </w:tcPr>
          <w:p w14:paraId="0F731DD6" w14:textId="77777777" w:rsidR="004944DF" w:rsidRPr="0022253C" w:rsidRDefault="004944DF" w:rsidP="00F962BE">
            <w:pPr>
              <w:pStyle w:val="ARtabletextbold"/>
              <w:spacing w:before="40" w:after="40"/>
              <w:rPr>
                <w:lang w:eastAsia="en-AU"/>
              </w:rPr>
            </w:pPr>
            <w:r w:rsidRPr="0022253C">
              <w:rPr>
                <w:lang w:eastAsia="en-AU"/>
              </w:rPr>
              <w:t>Net result</w:t>
            </w: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000000" w:themeColor="text1"/>
              <w:bottom w:val="single" w:sz="4" w:space="0" w:color="000000" w:themeColor="text1"/>
            </w:tcBorders>
            <w:hideMark/>
          </w:tcPr>
          <w:p w14:paraId="4E4C5DCD" w14:textId="77777777" w:rsidR="004944DF" w:rsidRPr="0022253C" w:rsidRDefault="004944DF" w:rsidP="00F962BE">
            <w:pPr>
              <w:pStyle w:val="ARtabletextrightbold"/>
              <w:spacing w:before="40" w:after="40"/>
              <w:rPr>
                <w:lang w:eastAsia="en-AU"/>
              </w:rPr>
            </w:pPr>
            <w:r w:rsidRPr="0022253C">
              <w:rPr>
                <w:lang w:eastAsia="en-AU"/>
              </w:rPr>
              <w:t>(0)</w:t>
            </w:r>
          </w:p>
        </w:tc>
        <w:tc>
          <w:tcPr>
            <w:tcW w:w="1274" w:type="dxa"/>
            <w:tcBorders>
              <w:top w:val="single" w:sz="4" w:space="0" w:color="000000" w:themeColor="text1"/>
              <w:bottom w:val="single" w:sz="4" w:space="0" w:color="000000" w:themeColor="text1"/>
            </w:tcBorders>
            <w:hideMark/>
          </w:tcPr>
          <w:p w14:paraId="62B7711D" w14:textId="77777777" w:rsidR="004944DF" w:rsidRPr="0022253C" w:rsidRDefault="004944DF" w:rsidP="00F962BE">
            <w:pPr>
              <w:pStyle w:val="ARtabletextrightbold"/>
              <w:spacing w:before="40" w:after="40"/>
              <w:cnfStyle w:val="000000010000" w:firstRow="0" w:lastRow="0" w:firstColumn="0" w:lastColumn="0" w:oddVBand="0" w:evenVBand="0" w:oddHBand="0" w:evenHBand="1"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1190" w:type="dxa"/>
            <w:tcBorders>
              <w:top w:val="single" w:sz="4" w:space="0" w:color="000000" w:themeColor="text1"/>
              <w:bottom w:val="single" w:sz="4" w:space="0" w:color="000000" w:themeColor="text1"/>
            </w:tcBorders>
            <w:hideMark/>
          </w:tcPr>
          <w:p w14:paraId="327B581A" w14:textId="77777777" w:rsidR="004944DF" w:rsidRPr="0022253C" w:rsidRDefault="004944DF" w:rsidP="00F962BE">
            <w:pPr>
              <w:pStyle w:val="ARtabletextrightbold"/>
              <w:spacing w:before="40" w:after="40"/>
              <w:rPr>
                <w:lang w:eastAsia="en-AU"/>
              </w:rPr>
            </w:pPr>
            <w:r>
              <w:rPr>
                <w:lang w:eastAsia="en-AU"/>
              </w:rPr>
              <w:t>–</w:t>
            </w:r>
          </w:p>
        </w:tc>
        <w:tc>
          <w:tcPr>
            <w:tcW w:w="792" w:type="dxa"/>
            <w:tcBorders>
              <w:top w:val="single" w:sz="4" w:space="0" w:color="000000" w:themeColor="text1"/>
              <w:bottom w:val="single" w:sz="4" w:space="0" w:color="000000" w:themeColor="text1"/>
            </w:tcBorders>
            <w:hideMark/>
          </w:tcPr>
          <w:p w14:paraId="40EFACDF"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b/>
                <w:bCs/>
                <w:lang w:eastAsia="en-AU"/>
              </w:rPr>
            </w:pPr>
          </w:p>
        </w:tc>
      </w:tr>
      <w:tr w:rsidR="004944DF" w:rsidRPr="0022253C" w14:paraId="3B26D915" w14:textId="77777777" w:rsidTr="00535F6C">
        <w:trPr>
          <w:cnfStyle w:val="000000100000" w:firstRow="0" w:lastRow="0" w:firstColumn="0" w:lastColumn="0" w:oddVBand="0" w:evenVBand="0" w:oddHBand="1" w:evenHBand="0" w:firstRowFirstColumn="0" w:firstRowLastColumn="0" w:lastRowFirstColumn="0" w:lastRowLastColumn="0"/>
          <w:trHeight w:val="300"/>
        </w:trPr>
        <w:tc>
          <w:tcPr>
            <w:tcW w:w="5104" w:type="dxa"/>
            <w:tcBorders>
              <w:top w:val="single" w:sz="4" w:space="0" w:color="000000" w:themeColor="text1"/>
              <w:bottom w:val="single" w:sz="4" w:space="0" w:color="000000" w:themeColor="text1"/>
            </w:tcBorders>
            <w:hideMark/>
          </w:tcPr>
          <w:p w14:paraId="1897DB64" w14:textId="77777777" w:rsidR="004944DF" w:rsidRPr="0022253C" w:rsidRDefault="004944DF" w:rsidP="00F962BE">
            <w:pPr>
              <w:pStyle w:val="ARtabletextbold"/>
              <w:spacing w:before="40" w:after="40"/>
              <w:rPr>
                <w:lang w:eastAsia="en-AU"/>
              </w:rPr>
            </w:pPr>
            <w:r w:rsidRPr="0022253C">
              <w:rPr>
                <w:lang w:eastAsia="en-AU"/>
              </w:rPr>
              <w:t>Comprehensive result</w:t>
            </w: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000000" w:themeColor="text1"/>
              <w:bottom w:val="single" w:sz="4" w:space="0" w:color="000000" w:themeColor="text1"/>
            </w:tcBorders>
            <w:hideMark/>
          </w:tcPr>
          <w:p w14:paraId="14C84BD8" w14:textId="77777777" w:rsidR="004944DF" w:rsidRPr="0022253C" w:rsidRDefault="004944DF" w:rsidP="00F962BE">
            <w:pPr>
              <w:pStyle w:val="ARtabletextrightbold"/>
              <w:spacing w:before="40" w:after="40"/>
              <w:rPr>
                <w:lang w:eastAsia="en-AU"/>
              </w:rPr>
            </w:pPr>
            <w:r w:rsidRPr="0022253C">
              <w:rPr>
                <w:lang w:eastAsia="en-AU"/>
              </w:rPr>
              <w:t>(0)</w:t>
            </w:r>
          </w:p>
        </w:tc>
        <w:tc>
          <w:tcPr>
            <w:tcW w:w="1274" w:type="dxa"/>
            <w:tcBorders>
              <w:top w:val="single" w:sz="4" w:space="0" w:color="000000" w:themeColor="text1"/>
              <w:bottom w:val="single" w:sz="4" w:space="0" w:color="000000" w:themeColor="text1"/>
            </w:tcBorders>
            <w:hideMark/>
          </w:tcPr>
          <w:p w14:paraId="63126001" w14:textId="77777777" w:rsidR="004944DF" w:rsidRPr="0022253C" w:rsidRDefault="004944DF" w:rsidP="00F962BE">
            <w:pPr>
              <w:pStyle w:val="ARtabletextrightbold"/>
              <w:spacing w:before="40" w:after="40"/>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p>
        </w:tc>
        <w:tc>
          <w:tcPr>
            <w:cnfStyle w:val="000001000000" w:firstRow="0" w:lastRow="0" w:firstColumn="0" w:lastColumn="0" w:oddVBand="0" w:evenVBand="1" w:oddHBand="0" w:evenHBand="0" w:firstRowFirstColumn="0" w:firstRowLastColumn="0" w:lastRowFirstColumn="0" w:lastRowLastColumn="0"/>
            <w:tcW w:w="1190" w:type="dxa"/>
            <w:tcBorders>
              <w:top w:val="single" w:sz="4" w:space="0" w:color="000000" w:themeColor="text1"/>
              <w:bottom w:val="single" w:sz="4" w:space="0" w:color="000000" w:themeColor="text1"/>
            </w:tcBorders>
            <w:hideMark/>
          </w:tcPr>
          <w:p w14:paraId="52F9EB97" w14:textId="77777777" w:rsidR="004944DF" w:rsidRPr="0022253C" w:rsidRDefault="004944DF" w:rsidP="00F962BE">
            <w:pPr>
              <w:pStyle w:val="ARtabletextrightbold"/>
              <w:spacing w:before="40" w:after="40"/>
              <w:rPr>
                <w:lang w:eastAsia="en-AU"/>
              </w:rPr>
            </w:pPr>
            <w:r>
              <w:rPr>
                <w:lang w:eastAsia="en-AU"/>
              </w:rPr>
              <w:t>–</w:t>
            </w:r>
          </w:p>
        </w:tc>
        <w:tc>
          <w:tcPr>
            <w:tcW w:w="792" w:type="dxa"/>
            <w:tcBorders>
              <w:top w:val="single" w:sz="4" w:space="0" w:color="000000" w:themeColor="text1"/>
              <w:bottom w:val="single" w:sz="4" w:space="0" w:color="000000" w:themeColor="text1"/>
            </w:tcBorders>
            <w:hideMark/>
          </w:tcPr>
          <w:p w14:paraId="58CFE8E7" w14:textId="77777777" w:rsidR="004944DF" w:rsidRPr="0022253C" w:rsidRDefault="004944DF" w:rsidP="00F962BE">
            <w:pPr>
              <w:pStyle w:val="ARtabletextrightbold"/>
              <w:spacing w:before="40" w:after="40"/>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22253C" w14:paraId="27991666" w14:textId="77777777" w:rsidTr="00535F6C">
        <w:trPr>
          <w:cnfStyle w:val="000000010000" w:firstRow="0" w:lastRow="0" w:firstColumn="0" w:lastColumn="0" w:oddVBand="0" w:evenVBand="0" w:oddHBand="0" w:evenHBand="1" w:firstRowFirstColumn="0" w:firstRowLastColumn="0" w:lastRowFirstColumn="0" w:lastRowLastColumn="0"/>
          <w:trHeight w:val="300"/>
        </w:trPr>
        <w:tc>
          <w:tcPr>
            <w:tcW w:w="5104" w:type="dxa"/>
            <w:tcBorders>
              <w:top w:val="single" w:sz="4" w:space="0" w:color="000000" w:themeColor="text1"/>
            </w:tcBorders>
            <w:hideMark/>
          </w:tcPr>
          <w:p w14:paraId="5C62DB6F" w14:textId="77777777" w:rsidR="004944DF" w:rsidRPr="0022253C" w:rsidRDefault="004944DF" w:rsidP="00F962BE">
            <w:pPr>
              <w:pStyle w:val="ARTabletextboldcoloured"/>
              <w:spacing w:before="40" w:after="40"/>
              <w:rPr>
                <w:lang w:eastAsia="en-AU"/>
              </w:rPr>
            </w:pPr>
            <w:r w:rsidRPr="0022253C">
              <w:rPr>
                <w:lang w:eastAsia="en-AU"/>
              </w:rPr>
              <w:t>Administered assets</w:t>
            </w: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000000" w:themeColor="text1"/>
            </w:tcBorders>
            <w:shd w:val="clear" w:color="auto" w:fill="auto"/>
            <w:hideMark/>
          </w:tcPr>
          <w:p w14:paraId="5789253D" w14:textId="77777777" w:rsidR="004944DF" w:rsidRPr="0022253C" w:rsidRDefault="004944DF" w:rsidP="00F962BE">
            <w:pPr>
              <w:pStyle w:val="ARtabletextrightbold"/>
              <w:spacing w:before="40" w:after="40"/>
              <w:rPr>
                <w:lang w:eastAsia="en-AU"/>
              </w:rPr>
            </w:pPr>
          </w:p>
        </w:tc>
        <w:tc>
          <w:tcPr>
            <w:tcW w:w="1274" w:type="dxa"/>
            <w:tcBorders>
              <w:top w:val="single" w:sz="4" w:space="0" w:color="000000" w:themeColor="text1"/>
            </w:tcBorders>
            <w:hideMark/>
          </w:tcPr>
          <w:p w14:paraId="43666EED" w14:textId="77777777" w:rsidR="004944DF" w:rsidRPr="0022253C" w:rsidRDefault="004944DF" w:rsidP="00F962BE">
            <w:pPr>
              <w:pStyle w:val="ARtabletextrightbold"/>
              <w:spacing w:before="40" w:after="40"/>
              <w:cnfStyle w:val="000000010000" w:firstRow="0" w:lastRow="0" w:firstColumn="0" w:lastColumn="0" w:oddVBand="0" w:evenVBand="0" w:oddHBand="0" w:evenHBand="1"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1190" w:type="dxa"/>
            <w:tcBorders>
              <w:top w:val="single" w:sz="4" w:space="0" w:color="000000" w:themeColor="text1"/>
            </w:tcBorders>
            <w:shd w:val="clear" w:color="auto" w:fill="auto"/>
            <w:hideMark/>
          </w:tcPr>
          <w:p w14:paraId="4BBA44CD" w14:textId="77777777" w:rsidR="004944DF" w:rsidRPr="0022253C" w:rsidRDefault="004944DF" w:rsidP="00F962BE">
            <w:pPr>
              <w:pStyle w:val="ARtabletextrightbold"/>
              <w:spacing w:before="40" w:after="40"/>
              <w:rPr>
                <w:lang w:eastAsia="en-AU"/>
              </w:rPr>
            </w:pPr>
          </w:p>
        </w:tc>
        <w:tc>
          <w:tcPr>
            <w:tcW w:w="792" w:type="dxa"/>
            <w:tcBorders>
              <w:top w:val="single" w:sz="4" w:space="0" w:color="000000" w:themeColor="text1"/>
            </w:tcBorders>
            <w:hideMark/>
          </w:tcPr>
          <w:p w14:paraId="43EE49FC"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b/>
                <w:bCs/>
                <w:lang w:eastAsia="en-AU"/>
              </w:rPr>
            </w:pPr>
          </w:p>
        </w:tc>
      </w:tr>
      <w:tr w:rsidR="004944DF" w:rsidRPr="0022253C" w14:paraId="4A2EBB33" w14:textId="77777777" w:rsidTr="00535F6C">
        <w:trPr>
          <w:cnfStyle w:val="000000100000" w:firstRow="0" w:lastRow="0" w:firstColumn="0" w:lastColumn="0" w:oddVBand="0" w:evenVBand="0" w:oddHBand="1" w:evenHBand="0" w:firstRowFirstColumn="0" w:firstRowLastColumn="0" w:lastRowFirstColumn="0" w:lastRowLastColumn="0"/>
          <w:trHeight w:val="300"/>
        </w:trPr>
        <w:tc>
          <w:tcPr>
            <w:tcW w:w="5104" w:type="dxa"/>
            <w:tcBorders>
              <w:bottom w:val="single" w:sz="4" w:space="0" w:color="BFBFBF" w:themeColor="accent2"/>
            </w:tcBorders>
            <w:hideMark/>
          </w:tcPr>
          <w:p w14:paraId="36FD1654" w14:textId="77777777" w:rsidR="004944DF" w:rsidRPr="0022253C" w:rsidRDefault="004944DF" w:rsidP="00F962BE">
            <w:pPr>
              <w:pStyle w:val="ARTabletext"/>
              <w:spacing w:before="40" w:after="40"/>
              <w:rPr>
                <w:lang w:eastAsia="en-AU"/>
              </w:rPr>
            </w:pPr>
            <w:r w:rsidRPr="0022253C">
              <w:rPr>
                <w:lang w:eastAsia="en-AU"/>
              </w:rPr>
              <w:t>Receivables</w:t>
            </w:r>
          </w:p>
        </w:tc>
        <w:tc>
          <w:tcPr>
            <w:cnfStyle w:val="000001000000" w:firstRow="0" w:lastRow="0" w:firstColumn="0" w:lastColumn="0" w:oddVBand="0" w:evenVBand="1" w:oddHBand="0" w:evenHBand="0" w:firstRowFirstColumn="0" w:firstRowLastColumn="0" w:lastRowFirstColumn="0" w:lastRowLastColumn="0"/>
            <w:tcW w:w="1274" w:type="dxa"/>
            <w:tcBorders>
              <w:bottom w:val="single" w:sz="4" w:space="0" w:color="BFBFBF" w:themeColor="accent2"/>
            </w:tcBorders>
            <w:hideMark/>
          </w:tcPr>
          <w:p w14:paraId="264E751A" w14:textId="77777777" w:rsidR="004944DF" w:rsidRPr="0022253C" w:rsidRDefault="004944DF" w:rsidP="00F962BE">
            <w:pPr>
              <w:pStyle w:val="ARtabletextright"/>
              <w:spacing w:before="40" w:after="40"/>
              <w:rPr>
                <w:lang w:eastAsia="en-AU"/>
              </w:rPr>
            </w:pPr>
            <w:r w:rsidRPr="0022253C">
              <w:rPr>
                <w:lang w:eastAsia="en-AU"/>
              </w:rPr>
              <w:t>3</w:t>
            </w:r>
          </w:p>
        </w:tc>
        <w:tc>
          <w:tcPr>
            <w:tcW w:w="1274" w:type="dxa"/>
            <w:tcBorders>
              <w:bottom w:val="single" w:sz="4" w:space="0" w:color="BFBFBF" w:themeColor="accent2"/>
            </w:tcBorders>
            <w:hideMark/>
          </w:tcPr>
          <w:p w14:paraId="2AEF1F18"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22253C">
              <w:rPr>
                <w:lang w:eastAsia="en-AU"/>
              </w:rPr>
              <w:t>4</w:t>
            </w:r>
          </w:p>
        </w:tc>
        <w:tc>
          <w:tcPr>
            <w:cnfStyle w:val="000001000000" w:firstRow="0" w:lastRow="0" w:firstColumn="0" w:lastColumn="0" w:oddVBand="0" w:evenVBand="1" w:oddHBand="0" w:evenHBand="0" w:firstRowFirstColumn="0" w:firstRowLastColumn="0" w:lastRowFirstColumn="0" w:lastRowLastColumn="0"/>
            <w:tcW w:w="1190" w:type="dxa"/>
            <w:tcBorders>
              <w:bottom w:val="single" w:sz="4" w:space="0" w:color="BFBFBF" w:themeColor="accent2"/>
            </w:tcBorders>
            <w:hideMark/>
          </w:tcPr>
          <w:p w14:paraId="32889B7C" w14:textId="77777777" w:rsidR="004944DF" w:rsidRPr="0022253C" w:rsidRDefault="004944DF" w:rsidP="00F962BE">
            <w:pPr>
              <w:pStyle w:val="ARtabletextright"/>
              <w:spacing w:before="40" w:after="40"/>
              <w:rPr>
                <w:lang w:eastAsia="en-AU"/>
              </w:rPr>
            </w:pPr>
            <w:r w:rsidRPr="0022253C">
              <w:rPr>
                <w:lang w:eastAsia="en-AU"/>
              </w:rPr>
              <w:t>(13.9)</w:t>
            </w:r>
          </w:p>
        </w:tc>
        <w:tc>
          <w:tcPr>
            <w:tcW w:w="792" w:type="dxa"/>
            <w:tcBorders>
              <w:bottom w:val="single" w:sz="4" w:space="0" w:color="BFBFBF" w:themeColor="accent2"/>
            </w:tcBorders>
            <w:hideMark/>
          </w:tcPr>
          <w:p w14:paraId="3DC1ADA0"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b/>
                <w:bCs/>
                <w:lang w:eastAsia="en-AU"/>
              </w:rPr>
            </w:pPr>
          </w:p>
        </w:tc>
      </w:tr>
      <w:tr w:rsidR="004944DF" w:rsidRPr="0022253C" w14:paraId="63F089EA" w14:textId="77777777" w:rsidTr="00535F6C">
        <w:trPr>
          <w:cnfStyle w:val="000000010000" w:firstRow="0" w:lastRow="0" w:firstColumn="0" w:lastColumn="0" w:oddVBand="0" w:evenVBand="0" w:oddHBand="0" w:evenHBand="1" w:firstRowFirstColumn="0" w:firstRowLastColumn="0" w:lastRowFirstColumn="0" w:lastRowLastColumn="0"/>
          <w:trHeight w:val="300"/>
        </w:trPr>
        <w:tc>
          <w:tcPr>
            <w:tcW w:w="5104" w:type="dxa"/>
            <w:tcBorders>
              <w:top w:val="single" w:sz="4" w:space="0" w:color="BFBFBF" w:themeColor="accent2"/>
              <w:bottom w:val="single" w:sz="4" w:space="0" w:color="000000" w:themeColor="text1"/>
            </w:tcBorders>
            <w:hideMark/>
          </w:tcPr>
          <w:p w14:paraId="7DD078D4" w14:textId="77777777" w:rsidR="004944DF" w:rsidRPr="0022253C" w:rsidRDefault="004944DF" w:rsidP="00F962BE">
            <w:pPr>
              <w:pStyle w:val="ARTabletext"/>
              <w:spacing w:before="40" w:after="40"/>
              <w:rPr>
                <w:lang w:eastAsia="en-AU"/>
              </w:rPr>
            </w:pPr>
            <w:r w:rsidRPr="0022253C">
              <w:rPr>
                <w:lang w:eastAsia="en-AU"/>
              </w:rPr>
              <w:t>Other financial assets</w:t>
            </w: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BFBFBF" w:themeColor="accent2"/>
              <w:bottom w:val="single" w:sz="4" w:space="0" w:color="000000" w:themeColor="text1"/>
            </w:tcBorders>
            <w:hideMark/>
          </w:tcPr>
          <w:p w14:paraId="41B84D09" w14:textId="77777777" w:rsidR="004944DF" w:rsidRPr="0022253C" w:rsidRDefault="004944DF" w:rsidP="00F962BE">
            <w:pPr>
              <w:pStyle w:val="ARtabletextright"/>
              <w:spacing w:before="40" w:after="40"/>
              <w:rPr>
                <w:lang w:eastAsia="en-AU"/>
              </w:rPr>
            </w:pPr>
            <w:r w:rsidRPr="0022253C">
              <w:rPr>
                <w:lang w:eastAsia="en-AU"/>
              </w:rPr>
              <w:t>0</w:t>
            </w:r>
          </w:p>
        </w:tc>
        <w:tc>
          <w:tcPr>
            <w:tcW w:w="1274" w:type="dxa"/>
            <w:tcBorders>
              <w:top w:val="single" w:sz="4" w:space="0" w:color="BFBFBF" w:themeColor="accent2"/>
              <w:bottom w:val="single" w:sz="4" w:space="0" w:color="000000" w:themeColor="text1"/>
            </w:tcBorders>
            <w:hideMark/>
          </w:tcPr>
          <w:p w14:paraId="56701B06"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22253C">
              <w:rPr>
                <w:lang w:eastAsia="en-AU"/>
              </w:rPr>
              <w:t>0</w:t>
            </w:r>
          </w:p>
        </w:tc>
        <w:tc>
          <w:tcPr>
            <w:cnfStyle w:val="000001000000" w:firstRow="0" w:lastRow="0" w:firstColumn="0" w:lastColumn="0" w:oddVBand="0" w:evenVBand="1" w:oddHBand="0" w:evenHBand="0" w:firstRowFirstColumn="0" w:firstRowLastColumn="0" w:lastRowFirstColumn="0" w:lastRowLastColumn="0"/>
            <w:tcW w:w="1190" w:type="dxa"/>
            <w:tcBorders>
              <w:top w:val="single" w:sz="4" w:space="0" w:color="BFBFBF" w:themeColor="accent2"/>
              <w:bottom w:val="single" w:sz="4" w:space="0" w:color="000000" w:themeColor="text1"/>
            </w:tcBorders>
            <w:hideMark/>
          </w:tcPr>
          <w:p w14:paraId="25C99D55" w14:textId="77777777" w:rsidR="004944DF" w:rsidRPr="0022253C" w:rsidRDefault="004944DF" w:rsidP="00F962BE">
            <w:pPr>
              <w:pStyle w:val="ARtabletextright"/>
              <w:spacing w:before="40" w:after="40"/>
              <w:rPr>
                <w:lang w:eastAsia="en-AU"/>
              </w:rPr>
            </w:pPr>
            <w:r w:rsidRPr="0022253C">
              <w:rPr>
                <w:lang w:eastAsia="en-AU"/>
              </w:rPr>
              <w:t>0.0</w:t>
            </w:r>
          </w:p>
        </w:tc>
        <w:tc>
          <w:tcPr>
            <w:tcW w:w="792" w:type="dxa"/>
            <w:tcBorders>
              <w:top w:val="single" w:sz="4" w:space="0" w:color="BFBFBF" w:themeColor="accent2"/>
              <w:bottom w:val="single" w:sz="4" w:space="0" w:color="000000" w:themeColor="text1"/>
            </w:tcBorders>
            <w:hideMark/>
          </w:tcPr>
          <w:p w14:paraId="42A58BCA"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b/>
                <w:bCs/>
                <w:lang w:eastAsia="en-AU"/>
              </w:rPr>
            </w:pPr>
          </w:p>
        </w:tc>
      </w:tr>
      <w:tr w:rsidR="004944DF" w:rsidRPr="0022253C" w14:paraId="438661F4" w14:textId="77777777" w:rsidTr="00535F6C">
        <w:trPr>
          <w:cnfStyle w:val="000000100000" w:firstRow="0" w:lastRow="0" w:firstColumn="0" w:lastColumn="0" w:oddVBand="0" w:evenVBand="0" w:oddHBand="1" w:evenHBand="0" w:firstRowFirstColumn="0" w:firstRowLastColumn="0" w:lastRowFirstColumn="0" w:lastRowLastColumn="0"/>
          <w:trHeight w:val="300"/>
        </w:trPr>
        <w:tc>
          <w:tcPr>
            <w:tcW w:w="5104" w:type="dxa"/>
            <w:tcBorders>
              <w:top w:val="single" w:sz="4" w:space="0" w:color="000000" w:themeColor="text1"/>
              <w:bottom w:val="single" w:sz="4" w:space="0" w:color="000000" w:themeColor="text1"/>
            </w:tcBorders>
            <w:hideMark/>
          </w:tcPr>
          <w:p w14:paraId="1DE7C56E" w14:textId="77777777" w:rsidR="004944DF" w:rsidRPr="0022253C" w:rsidRDefault="004944DF" w:rsidP="00F962BE">
            <w:pPr>
              <w:pStyle w:val="ARtabletextbold"/>
              <w:spacing w:before="40" w:after="40"/>
              <w:rPr>
                <w:lang w:eastAsia="en-AU"/>
              </w:rPr>
            </w:pPr>
            <w:r w:rsidRPr="0022253C">
              <w:rPr>
                <w:lang w:eastAsia="en-AU"/>
              </w:rPr>
              <w:t>Total administered assets</w:t>
            </w: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000000" w:themeColor="text1"/>
              <w:bottom w:val="single" w:sz="4" w:space="0" w:color="000000" w:themeColor="text1"/>
            </w:tcBorders>
            <w:hideMark/>
          </w:tcPr>
          <w:p w14:paraId="5F8DC442" w14:textId="77777777" w:rsidR="004944DF" w:rsidRPr="0022253C" w:rsidRDefault="004944DF" w:rsidP="00F962BE">
            <w:pPr>
              <w:pStyle w:val="ARtabletextrightbold"/>
              <w:spacing w:before="40" w:after="40"/>
              <w:rPr>
                <w:lang w:eastAsia="en-AU"/>
              </w:rPr>
            </w:pPr>
            <w:r w:rsidRPr="0022253C">
              <w:rPr>
                <w:lang w:eastAsia="en-AU"/>
              </w:rPr>
              <w:t>3</w:t>
            </w:r>
          </w:p>
        </w:tc>
        <w:tc>
          <w:tcPr>
            <w:tcW w:w="1274" w:type="dxa"/>
            <w:tcBorders>
              <w:top w:val="single" w:sz="4" w:space="0" w:color="000000" w:themeColor="text1"/>
              <w:bottom w:val="single" w:sz="4" w:space="0" w:color="000000" w:themeColor="text1"/>
            </w:tcBorders>
            <w:hideMark/>
          </w:tcPr>
          <w:p w14:paraId="5CAEF3C3" w14:textId="77777777" w:rsidR="004944DF" w:rsidRPr="0022253C" w:rsidRDefault="004944DF" w:rsidP="00F962BE">
            <w:pPr>
              <w:pStyle w:val="ARtabletextrightbold"/>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22253C">
              <w:rPr>
                <w:lang w:eastAsia="en-AU"/>
              </w:rPr>
              <w:t>4</w:t>
            </w:r>
          </w:p>
        </w:tc>
        <w:tc>
          <w:tcPr>
            <w:cnfStyle w:val="000001000000" w:firstRow="0" w:lastRow="0" w:firstColumn="0" w:lastColumn="0" w:oddVBand="0" w:evenVBand="1" w:oddHBand="0" w:evenHBand="0" w:firstRowFirstColumn="0" w:firstRowLastColumn="0" w:lastRowFirstColumn="0" w:lastRowLastColumn="0"/>
            <w:tcW w:w="1190" w:type="dxa"/>
            <w:tcBorders>
              <w:top w:val="single" w:sz="4" w:space="0" w:color="000000" w:themeColor="text1"/>
              <w:bottom w:val="single" w:sz="4" w:space="0" w:color="000000" w:themeColor="text1"/>
            </w:tcBorders>
            <w:hideMark/>
          </w:tcPr>
          <w:p w14:paraId="3ECA6D3C" w14:textId="77777777" w:rsidR="004944DF" w:rsidRPr="0022253C" w:rsidRDefault="004944DF" w:rsidP="00F962BE">
            <w:pPr>
              <w:pStyle w:val="ARtabletextrightbold"/>
              <w:spacing w:before="40" w:after="40"/>
              <w:rPr>
                <w:lang w:eastAsia="en-AU"/>
              </w:rPr>
            </w:pPr>
            <w:r w:rsidRPr="0022253C">
              <w:rPr>
                <w:lang w:eastAsia="en-AU"/>
              </w:rPr>
              <w:t>(26.6)</w:t>
            </w:r>
          </w:p>
        </w:tc>
        <w:tc>
          <w:tcPr>
            <w:tcW w:w="792" w:type="dxa"/>
            <w:tcBorders>
              <w:top w:val="single" w:sz="4" w:space="0" w:color="000000" w:themeColor="text1"/>
              <w:bottom w:val="single" w:sz="4" w:space="0" w:color="000000" w:themeColor="text1"/>
            </w:tcBorders>
            <w:hideMark/>
          </w:tcPr>
          <w:p w14:paraId="76CD7820"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b/>
                <w:bCs/>
                <w:lang w:eastAsia="en-AU"/>
              </w:rPr>
            </w:pPr>
          </w:p>
        </w:tc>
      </w:tr>
      <w:tr w:rsidR="004944DF" w:rsidRPr="0022253C" w14:paraId="3C3F33CB" w14:textId="77777777" w:rsidTr="00535F6C">
        <w:trPr>
          <w:cnfStyle w:val="000000010000" w:firstRow="0" w:lastRow="0" w:firstColumn="0" w:lastColumn="0" w:oddVBand="0" w:evenVBand="0" w:oddHBand="0" w:evenHBand="1" w:firstRowFirstColumn="0" w:firstRowLastColumn="0" w:lastRowFirstColumn="0" w:lastRowLastColumn="0"/>
          <w:trHeight w:val="300"/>
        </w:trPr>
        <w:tc>
          <w:tcPr>
            <w:tcW w:w="5104" w:type="dxa"/>
            <w:tcBorders>
              <w:top w:val="single" w:sz="4" w:space="0" w:color="000000" w:themeColor="text1"/>
              <w:bottom w:val="single" w:sz="4" w:space="0" w:color="BFBFBF" w:themeColor="accent2"/>
            </w:tcBorders>
            <w:hideMark/>
          </w:tcPr>
          <w:p w14:paraId="1568B113" w14:textId="77777777" w:rsidR="004944DF" w:rsidRPr="0022253C" w:rsidRDefault="004944DF" w:rsidP="00F962BE">
            <w:pPr>
              <w:pStyle w:val="ARTabletextboldcoloured"/>
              <w:spacing w:before="40" w:after="40"/>
              <w:rPr>
                <w:lang w:eastAsia="en-AU"/>
              </w:rPr>
            </w:pPr>
            <w:r w:rsidRPr="0022253C">
              <w:rPr>
                <w:lang w:eastAsia="en-AU"/>
              </w:rPr>
              <w:t>Administered liabilities</w:t>
            </w: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000000" w:themeColor="text1"/>
              <w:bottom w:val="single" w:sz="4" w:space="0" w:color="BFBFBF" w:themeColor="accent2"/>
            </w:tcBorders>
            <w:shd w:val="clear" w:color="auto" w:fill="auto"/>
            <w:hideMark/>
          </w:tcPr>
          <w:p w14:paraId="6C5DDACD" w14:textId="77777777" w:rsidR="004944DF" w:rsidRPr="00F962BE" w:rsidRDefault="004944DF" w:rsidP="00F962BE">
            <w:pPr>
              <w:pStyle w:val="ARtabletextrightbold"/>
              <w:spacing w:before="40" w:after="40"/>
            </w:pPr>
          </w:p>
        </w:tc>
        <w:tc>
          <w:tcPr>
            <w:tcW w:w="1274" w:type="dxa"/>
            <w:tcBorders>
              <w:top w:val="single" w:sz="4" w:space="0" w:color="000000" w:themeColor="text1"/>
              <w:bottom w:val="single" w:sz="4" w:space="0" w:color="BFBFBF" w:themeColor="accent2"/>
            </w:tcBorders>
            <w:hideMark/>
          </w:tcPr>
          <w:p w14:paraId="679FCD73" w14:textId="77777777" w:rsidR="004944DF" w:rsidRPr="00F962BE" w:rsidRDefault="004944DF" w:rsidP="00F962BE">
            <w:pPr>
              <w:pStyle w:val="ARtabletextrightbold"/>
              <w:spacing w:before="40" w:after="40"/>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1190" w:type="dxa"/>
            <w:tcBorders>
              <w:top w:val="single" w:sz="4" w:space="0" w:color="000000" w:themeColor="text1"/>
              <w:bottom w:val="single" w:sz="4" w:space="0" w:color="BFBFBF" w:themeColor="accent2"/>
            </w:tcBorders>
            <w:shd w:val="clear" w:color="auto" w:fill="auto"/>
            <w:hideMark/>
          </w:tcPr>
          <w:p w14:paraId="7899B307" w14:textId="77777777" w:rsidR="004944DF" w:rsidRPr="00F962BE" w:rsidRDefault="004944DF" w:rsidP="00F962BE">
            <w:pPr>
              <w:pStyle w:val="ARtabletextrightbold"/>
              <w:spacing w:before="40" w:after="40"/>
            </w:pPr>
          </w:p>
        </w:tc>
        <w:tc>
          <w:tcPr>
            <w:tcW w:w="792" w:type="dxa"/>
            <w:tcBorders>
              <w:top w:val="single" w:sz="4" w:space="0" w:color="000000" w:themeColor="text1"/>
              <w:bottom w:val="single" w:sz="4" w:space="0" w:color="BFBFBF" w:themeColor="accent2"/>
            </w:tcBorders>
            <w:hideMark/>
          </w:tcPr>
          <w:p w14:paraId="3B761638"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b/>
                <w:bCs/>
                <w:lang w:eastAsia="en-AU"/>
              </w:rPr>
            </w:pPr>
          </w:p>
        </w:tc>
      </w:tr>
      <w:tr w:rsidR="004944DF" w:rsidRPr="0022253C" w14:paraId="4E3D0789" w14:textId="77777777" w:rsidTr="00535F6C">
        <w:trPr>
          <w:cnfStyle w:val="000000100000" w:firstRow="0" w:lastRow="0" w:firstColumn="0" w:lastColumn="0" w:oddVBand="0" w:evenVBand="0" w:oddHBand="1" w:evenHBand="0" w:firstRowFirstColumn="0" w:firstRowLastColumn="0" w:lastRowFirstColumn="0" w:lastRowLastColumn="0"/>
          <w:trHeight w:val="300"/>
        </w:trPr>
        <w:tc>
          <w:tcPr>
            <w:tcW w:w="5104" w:type="dxa"/>
            <w:tcBorders>
              <w:top w:val="single" w:sz="4" w:space="0" w:color="BFBFBF" w:themeColor="accent2"/>
              <w:bottom w:val="single" w:sz="4" w:space="0" w:color="000000" w:themeColor="text1"/>
            </w:tcBorders>
            <w:hideMark/>
          </w:tcPr>
          <w:p w14:paraId="5FB2B73B" w14:textId="77777777" w:rsidR="004944DF" w:rsidRPr="0022253C" w:rsidRDefault="004944DF" w:rsidP="00F962BE">
            <w:pPr>
              <w:pStyle w:val="ARTabletext"/>
              <w:spacing w:before="40" w:after="40"/>
              <w:rPr>
                <w:lang w:eastAsia="en-AU"/>
              </w:rPr>
            </w:pPr>
            <w:r w:rsidRPr="0022253C">
              <w:rPr>
                <w:lang w:eastAsia="en-AU"/>
              </w:rPr>
              <w:t>Provisions</w:t>
            </w: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BFBFBF" w:themeColor="accent2"/>
              <w:bottom w:val="single" w:sz="4" w:space="0" w:color="000000" w:themeColor="text1"/>
            </w:tcBorders>
            <w:hideMark/>
          </w:tcPr>
          <w:p w14:paraId="662C2D05" w14:textId="77777777" w:rsidR="004944DF" w:rsidRPr="0022253C" w:rsidRDefault="004944DF" w:rsidP="00F962BE">
            <w:pPr>
              <w:pStyle w:val="ARtabletextright"/>
              <w:spacing w:before="40" w:after="40"/>
              <w:rPr>
                <w:lang w:eastAsia="en-AU"/>
              </w:rPr>
            </w:pPr>
            <w:r w:rsidRPr="0022253C">
              <w:rPr>
                <w:lang w:eastAsia="en-AU"/>
              </w:rPr>
              <w:t>0</w:t>
            </w:r>
          </w:p>
        </w:tc>
        <w:tc>
          <w:tcPr>
            <w:tcW w:w="1274" w:type="dxa"/>
            <w:tcBorders>
              <w:top w:val="single" w:sz="4" w:space="0" w:color="BFBFBF" w:themeColor="accent2"/>
              <w:bottom w:val="single" w:sz="4" w:space="0" w:color="000000" w:themeColor="text1"/>
            </w:tcBorders>
            <w:hideMark/>
          </w:tcPr>
          <w:p w14:paraId="47C809CF"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22253C">
              <w:rPr>
                <w:lang w:eastAsia="en-AU"/>
              </w:rPr>
              <w:t>0</w:t>
            </w:r>
          </w:p>
        </w:tc>
        <w:tc>
          <w:tcPr>
            <w:cnfStyle w:val="000001000000" w:firstRow="0" w:lastRow="0" w:firstColumn="0" w:lastColumn="0" w:oddVBand="0" w:evenVBand="1" w:oddHBand="0" w:evenHBand="0" w:firstRowFirstColumn="0" w:firstRowLastColumn="0" w:lastRowFirstColumn="0" w:lastRowLastColumn="0"/>
            <w:tcW w:w="1190" w:type="dxa"/>
            <w:tcBorders>
              <w:top w:val="single" w:sz="4" w:space="0" w:color="BFBFBF" w:themeColor="accent2"/>
              <w:bottom w:val="single" w:sz="4" w:space="0" w:color="000000" w:themeColor="text1"/>
            </w:tcBorders>
            <w:hideMark/>
          </w:tcPr>
          <w:p w14:paraId="602D20BD" w14:textId="77777777" w:rsidR="004944DF" w:rsidRPr="0022253C" w:rsidRDefault="004944DF" w:rsidP="00F962BE">
            <w:pPr>
              <w:pStyle w:val="ARtabletextright"/>
              <w:spacing w:before="40" w:after="40"/>
              <w:rPr>
                <w:lang w:eastAsia="en-AU"/>
              </w:rPr>
            </w:pPr>
            <w:r>
              <w:rPr>
                <w:lang w:eastAsia="en-AU"/>
              </w:rPr>
              <w:t>–</w:t>
            </w:r>
          </w:p>
        </w:tc>
        <w:tc>
          <w:tcPr>
            <w:tcW w:w="792" w:type="dxa"/>
            <w:tcBorders>
              <w:top w:val="single" w:sz="4" w:space="0" w:color="BFBFBF" w:themeColor="accent2"/>
              <w:bottom w:val="single" w:sz="4" w:space="0" w:color="000000" w:themeColor="text1"/>
            </w:tcBorders>
            <w:hideMark/>
          </w:tcPr>
          <w:p w14:paraId="3E4DEAFF"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b/>
                <w:bCs/>
                <w:lang w:eastAsia="en-AU"/>
              </w:rPr>
            </w:pPr>
          </w:p>
        </w:tc>
      </w:tr>
      <w:tr w:rsidR="004944DF" w:rsidRPr="0022253C" w14:paraId="0E595F9D" w14:textId="77777777" w:rsidTr="00535F6C">
        <w:trPr>
          <w:cnfStyle w:val="000000010000" w:firstRow="0" w:lastRow="0" w:firstColumn="0" w:lastColumn="0" w:oddVBand="0" w:evenVBand="0" w:oddHBand="0" w:evenHBand="1" w:firstRowFirstColumn="0" w:firstRowLastColumn="0" w:lastRowFirstColumn="0" w:lastRowLastColumn="0"/>
          <w:trHeight w:val="300"/>
        </w:trPr>
        <w:tc>
          <w:tcPr>
            <w:tcW w:w="5104" w:type="dxa"/>
            <w:tcBorders>
              <w:top w:val="single" w:sz="4" w:space="0" w:color="000000" w:themeColor="text1"/>
              <w:bottom w:val="single" w:sz="4" w:space="0" w:color="000000" w:themeColor="text1"/>
            </w:tcBorders>
            <w:hideMark/>
          </w:tcPr>
          <w:p w14:paraId="1656F6E0" w14:textId="77777777" w:rsidR="004944DF" w:rsidRPr="0022253C" w:rsidRDefault="004944DF" w:rsidP="00F962BE">
            <w:pPr>
              <w:pStyle w:val="ARtabletextbold"/>
              <w:spacing w:before="40" w:after="40"/>
              <w:rPr>
                <w:lang w:eastAsia="en-AU"/>
              </w:rPr>
            </w:pPr>
            <w:r w:rsidRPr="0022253C">
              <w:rPr>
                <w:lang w:eastAsia="en-AU"/>
              </w:rPr>
              <w:t>Total administered liabilities</w:t>
            </w: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000000" w:themeColor="text1"/>
              <w:bottom w:val="single" w:sz="4" w:space="0" w:color="000000" w:themeColor="text1"/>
            </w:tcBorders>
            <w:hideMark/>
          </w:tcPr>
          <w:p w14:paraId="2149BCA1" w14:textId="77777777" w:rsidR="004944DF" w:rsidRPr="0022253C" w:rsidRDefault="004944DF" w:rsidP="00F962BE">
            <w:pPr>
              <w:pStyle w:val="ARtabletextrightbold"/>
              <w:spacing w:before="40" w:after="40"/>
              <w:rPr>
                <w:lang w:eastAsia="en-AU"/>
              </w:rPr>
            </w:pPr>
            <w:r w:rsidRPr="0022253C">
              <w:rPr>
                <w:lang w:eastAsia="en-AU"/>
              </w:rPr>
              <w:t>0</w:t>
            </w:r>
          </w:p>
        </w:tc>
        <w:tc>
          <w:tcPr>
            <w:tcW w:w="1274" w:type="dxa"/>
            <w:tcBorders>
              <w:top w:val="single" w:sz="4" w:space="0" w:color="000000" w:themeColor="text1"/>
              <w:bottom w:val="single" w:sz="4" w:space="0" w:color="000000" w:themeColor="text1"/>
            </w:tcBorders>
            <w:hideMark/>
          </w:tcPr>
          <w:p w14:paraId="24D62A62" w14:textId="77777777" w:rsidR="004944DF" w:rsidRPr="0022253C" w:rsidRDefault="004944DF" w:rsidP="00F962BE">
            <w:pPr>
              <w:pStyle w:val="ARtabletextrightbold"/>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22253C">
              <w:rPr>
                <w:lang w:eastAsia="en-AU"/>
              </w:rPr>
              <w:t>0</w:t>
            </w:r>
          </w:p>
        </w:tc>
        <w:tc>
          <w:tcPr>
            <w:cnfStyle w:val="000001000000" w:firstRow="0" w:lastRow="0" w:firstColumn="0" w:lastColumn="0" w:oddVBand="0" w:evenVBand="1" w:oddHBand="0" w:evenHBand="0" w:firstRowFirstColumn="0" w:firstRowLastColumn="0" w:lastRowFirstColumn="0" w:lastRowLastColumn="0"/>
            <w:tcW w:w="1190" w:type="dxa"/>
            <w:tcBorders>
              <w:top w:val="single" w:sz="4" w:space="0" w:color="000000" w:themeColor="text1"/>
              <w:bottom w:val="single" w:sz="4" w:space="0" w:color="000000" w:themeColor="text1"/>
            </w:tcBorders>
            <w:hideMark/>
          </w:tcPr>
          <w:p w14:paraId="4724A66D" w14:textId="77777777" w:rsidR="004944DF" w:rsidRPr="0022253C" w:rsidRDefault="004944DF" w:rsidP="00F962BE">
            <w:pPr>
              <w:pStyle w:val="ARtabletextrightbold"/>
              <w:spacing w:before="40" w:after="40"/>
              <w:rPr>
                <w:lang w:eastAsia="en-AU"/>
              </w:rPr>
            </w:pPr>
            <w:r>
              <w:rPr>
                <w:lang w:eastAsia="en-AU"/>
              </w:rPr>
              <w:t>–</w:t>
            </w:r>
          </w:p>
        </w:tc>
        <w:tc>
          <w:tcPr>
            <w:tcW w:w="792" w:type="dxa"/>
            <w:tcBorders>
              <w:top w:val="single" w:sz="4" w:space="0" w:color="000000" w:themeColor="text1"/>
              <w:bottom w:val="single" w:sz="4" w:space="0" w:color="000000" w:themeColor="text1"/>
            </w:tcBorders>
            <w:hideMark/>
          </w:tcPr>
          <w:p w14:paraId="64117F9C"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b/>
                <w:bCs/>
                <w:lang w:eastAsia="en-AU"/>
              </w:rPr>
            </w:pPr>
          </w:p>
        </w:tc>
      </w:tr>
      <w:tr w:rsidR="004944DF" w:rsidRPr="0022253C" w14:paraId="1DDBB55E" w14:textId="77777777" w:rsidTr="00535F6C">
        <w:trPr>
          <w:cnfStyle w:val="000000100000" w:firstRow="0" w:lastRow="0" w:firstColumn="0" w:lastColumn="0" w:oddVBand="0" w:evenVBand="0" w:oddHBand="1" w:evenHBand="0" w:firstRowFirstColumn="0" w:firstRowLastColumn="0" w:lastRowFirstColumn="0" w:lastRowLastColumn="0"/>
          <w:trHeight w:val="300"/>
        </w:trPr>
        <w:tc>
          <w:tcPr>
            <w:tcW w:w="5104" w:type="dxa"/>
            <w:tcBorders>
              <w:top w:val="single" w:sz="4" w:space="0" w:color="000000" w:themeColor="text1"/>
              <w:bottom w:val="single" w:sz="4" w:space="0" w:color="000000" w:themeColor="text1"/>
            </w:tcBorders>
            <w:hideMark/>
          </w:tcPr>
          <w:p w14:paraId="15B5B8A5" w14:textId="77777777" w:rsidR="004944DF" w:rsidRPr="0022253C" w:rsidRDefault="004944DF" w:rsidP="00F962BE">
            <w:pPr>
              <w:pStyle w:val="ARtabletextbold"/>
              <w:spacing w:before="40" w:after="40"/>
              <w:rPr>
                <w:lang w:eastAsia="en-AU"/>
              </w:rPr>
            </w:pPr>
            <w:r w:rsidRPr="0022253C">
              <w:rPr>
                <w:lang w:eastAsia="en-AU"/>
              </w:rPr>
              <w:t>Net assets</w:t>
            </w: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000000" w:themeColor="text1"/>
              <w:bottom w:val="single" w:sz="4" w:space="0" w:color="000000" w:themeColor="text1"/>
            </w:tcBorders>
            <w:hideMark/>
          </w:tcPr>
          <w:p w14:paraId="777944AA" w14:textId="77777777" w:rsidR="004944DF" w:rsidRPr="0022253C" w:rsidRDefault="004944DF" w:rsidP="00F962BE">
            <w:pPr>
              <w:pStyle w:val="ARtabletextrightbold"/>
              <w:spacing w:before="40" w:after="40"/>
              <w:rPr>
                <w:lang w:eastAsia="en-AU"/>
              </w:rPr>
            </w:pPr>
            <w:r w:rsidRPr="0022253C">
              <w:rPr>
                <w:lang w:eastAsia="en-AU"/>
              </w:rPr>
              <w:t>3</w:t>
            </w:r>
          </w:p>
        </w:tc>
        <w:tc>
          <w:tcPr>
            <w:tcW w:w="1274" w:type="dxa"/>
            <w:tcBorders>
              <w:top w:val="single" w:sz="4" w:space="0" w:color="000000" w:themeColor="text1"/>
              <w:bottom w:val="single" w:sz="4" w:space="0" w:color="000000" w:themeColor="text1"/>
            </w:tcBorders>
            <w:hideMark/>
          </w:tcPr>
          <w:p w14:paraId="024C2CD7" w14:textId="77777777" w:rsidR="004944DF" w:rsidRPr="0022253C" w:rsidRDefault="004944DF" w:rsidP="00F962BE">
            <w:pPr>
              <w:pStyle w:val="ARtabletextrightbold"/>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22253C">
              <w:rPr>
                <w:lang w:eastAsia="en-AU"/>
              </w:rPr>
              <w:t>4</w:t>
            </w:r>
          </w:p>
        </w:tc>
        <w:tc>
          <w:tcPr>
            <w:cnfStyle w:val="000001000000" w:firstRow="0" w:lastRow="0" w:firstColumn="0" w:lastColumn="0" w:oddVBand="0" w:evenVBand="1" w:oddHBand="0" w:evenHBand="0" w:firstRowFirstColumn="0" w:firstRowLastColumn="0" w:lastRowFirstColumn="0" w:lastRowLastColumn="0"/>
            <w:tcW w:w="1190" w:type="dxa"/>
            <w:tcBorders>
              <w:top w:val="single" w:sz="4" w:space="0" w:color="000000" w:themeColor="text1"/>
              <w:bottom w:val="single" w:sz="4" w:space="0" w:color="000000" w:themeColor="text1"/>
            </w:tcBorders>
            <w:hideMark/>
          </w:tcPr>
          <w:p w14:paraId="3F60E9FB" w14:textId="77777777" w:rsidR="004944DF" w:rsidRPr="0022253C" w:rsidRDefault="004944DF" w:rsidP="00F962BE">
            <w:pPr>
              <w:pStyle w:val="ARtabletextrightbold"/>
              <w:spacing w:before="40" w:after="40"/>
              <w:rPr>
                <w:lang w:eastAsia="en-AU"/>
              </w:rPr>
            </w:pPr>
            <w:r w:rsidRPr="0022253C">
              <w:rPr>
                <w:lang w:eastAsia="en-AU"/>
              </w:rPr>
              <w:t>(26.6)</w:t>
            </w:r>
          </w:p>
        </w:tc>
        <w:tc>
          <w:tcPr>
            <w:tcW w:w="792" w:type="dxa"/>
            <w:tcBorders>
              <w:top w:val="single" w:sz="4" w:space="0" w:color="000000" w:themeColor="text1"/>
              <w:bottom w:val="single" w:sz="4" w:space="0" w:color="000000" w:themeColor="text1"/>
            </w:tcBorders>
            <w:hideMark/>
          </w:tcPr>
          <w:p w14:paraId="03FD0CAB"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b/>
                <w:bCs/>
                <w:lang w:eastAsia="en-AU"/>
              </w:rPr>
            </w:pPr>
          </w:p>
        </w:tc>
      </w:tr>
      <w:tr w:rsidR="004944DF" w:rsidRPr="0022253C" w14:paraId="40AE4A28" w14:textId="77777777" w:rsidTr="00535F6C">
        <w:trPr>
          <w:cnfStyle w:val="000000010000" w:firstRow="0" w:lastRow="0" w:firstColumn="0" w:lastColumn="0" w:oddVBand="0" w:evenVBand="0" w:oddHBand="0" w:evenHBand="1" w:firstRowFirstColumn="0" w:firstRowLastColumn="0" w:lastRowFirstColumn="0" w:lastRowLastColumn="0"/>
          <w:trHeight w:val="300"/>
        </w:trPr>
        <w:tc>
          <w:tcPr>
            <w:tcW w:w="5104" w:type="dxa"/>
            <w:tcBorders>
              <w:top w:val="single" w:sz="4" w:space="0" w:color="000000" w:themeColor="text1"/>
            </w:tcBorders>
            <w:hideMark/>
          </w:tcPr>
          <w:p w14:paraId="10C9A84D" w14:textId="77777777" w:rsidR="004944DF" w:rsidRPr="0022253C" w:rsidRDefault="004944DF" w:rsidP="00F962BE">
            <w:pPr>
              <w:pStyle w:val="ARTabletextboldcoloured"/>
              <w:spacing w:before="40" w:after="40"/>
              <w:rPr>
                <w:lang w:eastAsia="en-AU"/>
              </w:rPr>
            </w:pPr>
            <w:r w:rsidRPr="0022253C">
              <w:rPr>
                <w:lang w:eastAsia="en-AU"/>
              </w:rPr>
              <w:t>Equity</w:t>
            </w:r>
          </w:p>
        </w:tc>
        <w:tc>
          <w:tcPr>
            <w:cnfStyle w:val="000001000000" w:firstRow="0" w:lastRow="0" w:firstColumn="0" w:lastColumn="0" w:oddVBand="0" w:evenVBand="1" w:oddHBand="0" w:evenHBand="0" w:firstRowFirstColumn="0" w:firstRowLastColumn="0" w:lastRowFirstColumn="0" w:lastRowLastColumn="0"/>
            <w:tcW w:w="1274" w:type="dxa"/>
            <w:tcBorders>
              <w:top w:val="single" w:sz="4" w:space="0" w:color="000000" w:themeColor="text1"/>
            </w:tcBorders>
            <w:shd w:val="clear" w:color="auto" w:fill="auto"/>
            <w:hideMark/>
          </w:tcPr>
          <w:p w14:paraId="234A3A96" w14:textId="77777777" w:rsidR="004944DF" w:rsidRPr="0022253C" w:rsidRDefault="004944DF" w:rsidP="00F962BE">
            <w:pPr>
              <w:pStyle w:val="ARtabletextrightbold"/>
              <w:spacing w:before="40" w:after="40"/>
              <w:rPr>
                <w:lang w:eastAsia="en-AU"/>
              </w:rPr>
            </w:pPr>
          </w:p>
        </w:tc>
        <w:tc>
          <w:tcPr>
            <w:tcW w:w="1274" w:type="dxa"/>
            <w:tcBorders>
              <w:top w:val="single" w:sz="4" w:space="0" w:color="000000" w:themeColor="text1"/>
            </w:tcBorders>
            <w:hideMark/>
          </w:tcPr>
          <w:p w14:paraId="71B65133" w14:textId="77777777" w:rsidR="004944DF" w:rsidRPr="0022253C" w:rsidRDefault="004944DF" w:rsidP="00F962BE">
            <w:pPr>
              <w:pStyle w:val="ARtabletextrightbold"/>
              <w:spacing w:before="40" w:after="40"/>
              <w:cnfStyle w:val="000000010000" w:firstRow="0" w:lastRow="0" w:firstColumn="0" w:lastColumn="0" w:oddVBand="0" w:evenVBand="0" w:oddHBand="0" w:evenHBand="1" w:firstRowFirstColumn="0" w:firstRowLastColumn="0" w:lastRowFirstColumn="0" w:lastRowLastColumn="0"/>
              <w:rPr>
                <w:lang w:eastAsia="en-AU"/>
              </w:rPr>
            </w:pPr>
          </w:p>
        </w:tc>
        <w:tc>
          <w:tcPr>
            <w:cnfStyle w:val="000001000000" w:firstRow="0" w:lastRow="0" w:firstColumn="0" w:lastColumn="0" w:oddVBand="0" w:evenVBand="1" w:oddHBand="0" w:evenHBand="0" w:firstRowFirstColumn="0" w:firstRowLastColumn="0" w:lastRowFirstColumn="0" w:lastRowLastColumn="0"/>
            <w:tcW w:w="1190" w:type="dxa"/>
            <w:tcBorders>
              <w:top w:val="single" w:sz="4" w:space="0" w:color="000000" w:themeColor="text1"/>
            </w:tcBorders>
            <w:shd w:val="clear" w:color="auto" w:fill="auto"/>
            <w:hideMark/>
          </w:tcPr>
          <w:p w14:paraId="7A560104" w14:textId="77777777" w:rsidR="004944DF" w:rsidRPr="0022253C" w:rsidRDefault="004944DF" w:rsidP="00F962BE">
            <w:pPr>
              <w:pStyle w:val="ARtabletextrightbold"/>
              <w:spacing w:before="40" w:after="40"/>
              <w:rPr>
                <w:lang w:eastAsia="en-AU"/>
              </w:rPr>
            </w:pPr>
          </w:p>
        </w:tc>
        <w:tc>
          <w:tcPr>
            <w:tcW w:w="792" w:type="dxa"/>
            <w:tcBorders>
              <w:top w:val="single" w:sz="4" w:space="0" w:color="000000" w:themeColor="text1"/>
            </w:tcBorders>
            <w:hideMark/>
          </w:tcPr>
          <w:p w14:paraId="50720172"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b/>
                <w:bCs/>
                <w:lang w:eastAsia="en-AU"/>
              </w:rPr>
            </w:pPr>
          </w:p>
        </w:tc>
      </w:tr>
      <w:tr w:rsidR="004944DF" w:rsidRPr="0022253C" w14:paraId="11999679" w14:textId="77777777" w:rsidTr="00535F6C">
        <w:trPr>
          <w:cnfStyle w:val="000000100000" w:firstRow="0" w:lastRow="0" w:firstColumn="0" w:lastColumn="0" w:oddVBand="0" w:evenVBand="0" w:oddHBand="1" w:evenHBand="0" w:firstRowFirstColumn="0" w:firstRowLastColumn="0" w:lastRowFirstColumn="0" w:lastRowLastColumn="0"/>
          <w:trHeight w:val="300"/>
        </w:trPr>
        <w:tc>
          <w:tcPr>
            <w:tcW w:w="5104" w:type="dxa"/>
            <w:hideMark/>
          </w:tcPr>
          <w:p w14:paraId="795FAEE7" w14:textId="77777777" w:rsidR="004944DF" w:rsidRPr="0022253C" w:rsidRDefault="004944DF" w:rsidP="00F962BE">
            <w:pPr>
              <w:pStyle w:val="ARTabletext"/>
              <w:spacing w:before="40" w:after="40"/>
              <w:rPr>
                <w:lang w:eastAsia="en-AU"/>
              </w:rPr>
            </w:pPr>
            <w:r w:rsidRPr="0022253C">
              <w:rPr>
                <w:lang w:eastAsia="en-AU"/>
              </w:rPr>
              <w:t>Accumulated surplus/(deficit)</w:t>
            </w:r>
          </w:p>
        </w:tc>
        <w:tc>
          <w:tcPr>
            <w:cnfStyle w:val="000001000000" w:firstRow="0" w:lastRow="0" w:firstColumn="0" w:lastColumn="0" w:oddVBand="0" w:evenVBand="1" w:oddHBand="0" w:evenHBand="0" w:firstRowFirstColumn="0" w:firstRowLastColumn="0" w:lastRowFirstColumn="0" w:lastRowLastColumn="0"/>
            <w:tcW w:w="1274" w:type="dxa"/>
            <w:hideMark/>
          </w:tcPr>
          <w:p w14:paraId="66C5D3F8" w14:textId="77777777" w:rsidR="004944DF" w:rsidRPr="0022253C" w:rsidRDefault="004944DF" w:rsidP="00F962BE">
            <w:pPr>
              <w:pStyle w:val="ARtabletextright"/>
              <w:spacing w:before="40" w:after="40"/>
              <w:rPr>
                <w:lang w:eastAsia="en-AU"/>
              </w:rPr>
            </w:pPr>
            <w:r w:rsidRPr="0022253C">
              <w:rPr>
                <w:lang w:eastAsia="en-AU"/>
              </w:rPr>
              <w:t>1</w:t>
            </w:r>
          </w:p>
        </w:tc>
        <w:tc>
          <w:tcPr>
            <w:tcW w:w="1274" w:type="dxa"/>
            <w:hideMark/>
          </w:tcPr>
          <w:p w14:paraId="4E61BB44"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lang w:eastAsia="en-AU"/>
              </w:rPr>
            </w:pPr>
            <w:r w:rsidRPr="0022253C">
              <w:rPr>
                <w:lang w:eastAsia="en-AU"/>
              </w:rPr>
              <w:t>1</w:t>
            </w:r>
          </w:p>
        </w:tc>
        <w:tc>
          <w:tcPr>
            <w:cnfStyle w:val="000001000000" w:firstRow="0" w:lastRow="0" w:firstColumn="0" w:lastColumn="0" w:oddVBand="0" w:evenVBand="1" w:oddHBand="0" w:evenHBand="0" w:firstRowFirstColumn="0" w:firstRowLastColumn="0" w:lastRowFirstColumn="0" w:lastRowLastColumn="0"/>
            <w:tcW w:w="1190" w:type="dxa"/>
            <w:hideMark/>
          </w:tcPr>
          <w:p w14:paraId="165A084E" w14:textId="77777777" w:rsidR="004944DF" w:rsidRPr="0022253C" w:rsidRDefault="004944DF" w:rsidP="00F962BE">
            <w:pPr>
              <w:pStyle w:val="ARtabletextright"/>
              <w:spacing w:before="40" w:after="40"/>
              <w:rPr>
                <w:lang w:eastAsia="en-AU"/>
              </w:rPr>
            </w:pPr>
            <w:r w:rsidRPr="0022253C">
              <w:rPr>
                <w:lang w:eastAsia="en-AU"/>
              </w:rPr>
              <w:t>(19.3)</w:t>
            </w:r>
          </w:p>
        </w:tc>
        <w:tc>
          <w:tcPr>
            <w:tcW w:w="792" w:type="dxa"/>
            <w:hideMark/>
          </w:tcPr>
          <w:p w14:paraId="16FD61B2" w14:textId="77777777" w:rsidR="004944DF" w:rsidRPr="0022253C" w:rsidRDefault="004944DF" w:rsidP="00F962BE">
            <w:pPr>
              <w:pStyle w:val="ARtabletextright"/>
              <w:spacing w:before="40" w:after="40"/>
              <w:cnfStyle w:val="000000100000" w:firstRow="0" w:lastRow="0" w:firstColumn="0" w:lastColumn="0" w:oddVBand="0" w:evenVBand="0" w:oddHBand="1" w:evenHBand="0" w:firstRowFirstColumn="0" w:firstRowLastColumn="0" w:lastRowFirstColumn="0" w:lastRowLastColumn="0"/>
              <w:rPr>
                <w:lang w:eastAsia="en-AU"/>
              </w:rPr>
            </w:pPr>
          </w:p>
        </w:tc>
      </w:tr>
      <w:tr w:rsidR="004944DF" w:rsidRPr="0022253C" w14:paraId="3CFDD304" w14:textId="77777777" w:rsidTr="00535F6C">
        <w:trPr>
          <w:cnfStyle w:val="000000010000" w:firstRow="0" w:lastRow="0" w:firstColumn="0" w:lastColumn="0" w:oddVBand="0" w:evenVBand="0" w:oddHBand="0" w:evenHBand="1" w:firstRowFirstColumn="0" w:firstRowLastColumn="0" w:lastRowFirstColumn="0" w:lastRowLastColumn="0"/>
          <w:trHeight w:val="300"/>
        </w:trPr>
        <w:tc>
          <w:tcPr>
            <w:tcW w:w="5104" w:type="dxa"/>
            <w:hideMark/>
          </w:tcPr>
          <w:p w14:paraId="4C2E6B42" w14:textId="77777777" w:rsidR="004944DF" w:rsidRPr="0022253C" w:rsidRDefault="004944DF" w:rsidP="00F962BE">
            <w:pPr>
              <w:pStyle w:val="ARTabletext"/>
              <w:spacing w:before="40" w:after="40"/>
              <w:rPr>
                <w:lang w:eastAsia="en-AU"/>
              </w:rPr>
            </w:pPr>
            <w:r w:rsidRPr="0022253C">
              <w:rPr>
                <w:lang w:eastAsia="en-AU"/>
              </w:rPr>
              <w:t>Contributed capital</w:t>
            </w:r>
          </w:p>
        </w:tc>
        <w:tc>
          <w:tcPr>
            <w:cnfStyle w:val="000001000000" w:firstRow="0" w:lastRow="0" w:firstColumn="0" w:lastColumn="0" w:oddVBand="0" w:evenVBand="1" w:oddHBand="0" w:evenHBand="0" w:firstRowFirstColumn="0" w:firstRowLastColumn="0" w:lastRowFirstColumn="0" w:lastRowLastColumn="0"/>
            <w:tcW w:w="1274" w:type="dxa"/>
            <w:hideMark/>
          </w:tcPr>
          <w:p w14:paraId="2BD5B1DF" w14:textId="77777777" w:rsidR="004944DF" w:rsidRPr="0022253C" w:rsidRDefault="004944DF" w:rsidP="00F962BE">
            <w:pPr>
              <w:pStyle w:val="ARtabletextright"/>
              <w:spacing w:before="40" w:after="40"/>
              <w:rPr>
                <w:lang w:eastAsia="en-AU"/>
              </w:rPr>
            </w:pPr>
            <w:r w:rsidRPr="0022253C">
              <w:rPr>
                <w:lang w:eastAsia="en-AU"/>
              </w:rPr>
              <w:t>3</w:t>
            </w:r>
          </w:p>
        </w:tc>
        <w:tc>
          <w:tcPr>
            <w:tcW w:w="1274" w:type="dxa"/>
            <w:hideMark/>
          </w:tcPr>
          <w:p w14:paraId="40158B42"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lang w:eastAsia="en-AU"/>
              </w:rPr>
            </w:pPr>
            <w:r w:rsidRPr="0022253C">
              <w:rPr>
                <w:lang w:eastAsia="en-AU"/>
              </w:rPr>
              <w:t>3</w:t>
            </w:r>
          </w:p>
        </w:tc>
        <w:tc>
          <w:tcPr>
            <w:cnfStyle w:val="000001000000" w:firstRow="0" w:lastRow="0" w:firstColumn="0" w:lastColumn="0" w:oddVBand="0" w:evenVBand="1" w:oddHBand="0" w:evenHBand="0" w:firstRowFirstColumn="0" w:firstRowLastColumn="0" w:lastRowFirstColumn="0" w:lastRowLastColumn="0"/>
            <w:tcW w:w="1190" w:type="dxa"/>
            <w:hideMark/>
          </w:tcPr>
          <w:p w14:paraId="158C3540" w14:textId="77777777" w:rsidR="004944DF" w:rsidRPr="0022253C" w:rsidRDefault="004944DF" w:rsidP="00F962BE">
            <w:pPr>
              <w:pStyle w:val="ARtabletextright"/>
              <w:spacing w:before="40" w:after="40"/>
              <w:rPr>
                <w:lang w:eastAsia="en-AU"/>
              </w:rPr>
            </w:pPr>
            <w:r>
              <w:rPr>
                <w:lang w:eastAsia="en-AU"/>
              </w:rPr>
              <w:t>–</w:t>
            </w:r>
          </w:p>
        </w:tc>
        <w:tc>
          <w:tcPr>
            <w:tcW w:w="792" w:type="dxa"/>
            <w:hideMark/>
          </w:tcPr>
          <w:p w14:paraId="3EE39CA9" w14:textId="77777777" w:rsidR="004944DF" w:rsidRPr="0022253C" w:rsidRDefault="004944DF" w:rsidP="00F962BE">
            <w:pPr>
              <w:pStyle w:val="ARtabletextright"/>
              <w:spacing w:before="40" w:after="40"/>
              <w:cnfStyle w:val="000000010000" w:firstRow="0" w:lastRow="0" w:firstColumn="0" w:lastColumn="0" w:oddVBand="0" w:evenVBand="0" w:oddHBand="0" w:evenHBand="1" w:firstRowFirstColumn="0" w:firstRowLastColumn="0" w:lastRowFirstColumn="0" w:lastRowLastColumn="0"/>
              <w:rPr>
                <w:lang w:eastAsia="en-AU"/>
              </w:rPr>
            </w:pPr>
          </w:p>
        </w:tc>
      </w:tr>
      <w:tr w:rsidR="004944DF" w:rsidRPr="0022253C" w14:paraId="2C2852B1" w14:textId="77777777" w:rsidTr="00535F6C">
        <w:trPr>
          <w:cnfStyle w:val="010000000000" w:firstRow="0" w:lastRow="1" w:firstColumn="0" w:lastColumn="0" w:oddVBand="0" w:evenVBand="0" w:oddHBand="0" w:evenHBand="0" w:firstRowFirstColumn="0" w:firstRowLastColumn="0" w:lastRowFirstColumn="0" w:lastRowLastColumn="0"/>
          <w:trHeight w:val="300"/>
        </w:trPr>
        <w:tc>
          <w:tcPr>
            <w:tcW w:w="5104" w:type="dxa"/>
            <w:noWrap/>
            <w:hideMark/>
          </w:tcPr>
          <w:p w14:paraId="70950F33" w14:textId="77777777" w:rsidR="004944DF" w:rsidRPr="0022253C" w:rsidRDefault="004944DF" w:rsidP="00F962BE">
            <w:pPr>
              <w:pStyle w:val="ARtabletextbold"/>
              <w:spacing w:before="40" w:after="40"/>
              <w:rPr>
                <w:lang w:eastAsia="en-AU"/>
              </w:rPr>
            </w:pPr>
            <w:r w:rsidRPr="0022253C">
              <w:rPr>
                <w:lang w:eastAsia="en-AU"/>
              </w:rPr>
              <w:t>Total equity</w:t>
            </w:r>
          </w:p>
        </w:tc>
        <w:tc>
          <w:tcPr>
            <w:cnfStyle w:val="000001000000" w:firstRow="0" w:lastRow="0" w:firstColumn="0" w:lastColumn="0" w:oddVBand="0" w:evenVBand="1" w:oddHBand="0" w:evenHBand="0" w:firstRowFirstColumn="0" w:firstRowLastColumn="0" w:lastRowFirstColumn="0" w:lastRowLastColumn="0"/>
            <w:tcW w:w="1274" w:type="dxa"/>
            <w:hideMark/>
          </w:tcPr>
          <w:p w14:paraId="2175140F" w14:textId="77777777" w:rsidR="004944DF" w:rsidRPr="0022253C" w:rsidRDefault="004944DF" w:rsidP="00F962BE">
            <w:pPr>
              <w:pStyle w:val="ARtabletextrightbold"/>
              <w:spacing w:before="40" w:after="40"/>
              <w:rPr>
                <w:lang w:eastAsia="en-AU"/>
              </w:rPr>
            </w:pPr>
            <w:r w:rsidRPr="0022253C">
              <w:rPr>
                <w:lang w:eastAsia="en-AU"/>
              </w:rPr>
              <w:t>3</w:t>
            </w:r>
          </w:p>
        </w:tc>
        <w:tc>
          <w:tcPr>
            <w:tcW w:w="1274" w:type="dxa"/>
            <w:hideMark/>
          </w:tcPr>
          <w:p w14:paraId="238F5918" w14:textId="77777777" w:rsidR="004944DF" w:rsidRPr="0022253C" w:rsidRDefault="004944DF" w:rsidP="00F962BE">
            <w:pPr>
              <w:pStyle w:val="ARtabletextrightbold"/>
              <w:spacing w:before="40" w:after="40"/>
              <w:cnfStyle w:val="010000000000" w:firstRow="0" w:lastRow="1" w:firstColumn="0" w:lastColumn="0" w:oddVBand="0" w:evenVBand="0" w:oddHBand="0" w:evenHBand="0" w:firstRowFirstColumn="0" w:firstRowLastColumn="0" w:lastRowFirstColumn="0" w:lastRowLastColumn="0"/>
              <w:rPr>
                <w:lang w:eastAsia="en-AU"/>
              </w:rPr>
            </w:pPr>
            <w:r w:rsidRPr="0022253C">
              <w:rPr>
                <w:lang w:eastAsia="en-AU"/>
              </w:rPr>
              <w:t>3</w:t>
            </w:r>
          </w:p>
        </w:tc>
        <w:tc>
          <w:tcPr>
            <w:cnfStyle w:val="000001000000" w:firstRow="0" w:lastRow="0" w:firstColumn="0" w:lastColumn="0" w:oddVBand="0" w:evenVBand="1" w:oddHBand="0" w:evenHBand="0" w:firstRowFirstColumn="0" w:firstRowLastColumn="0" w:lastRowFirstColumn="0" w:lastRowLastColumn="0"/>
            <w:tcW w:w="1190" w:type="dxa"/>
            <w:hideMark/>
          </w:tcPr>
          <w:p w14:paraId="4D59B8CC" w14:textId="77777777" w:rsidR="004944DF" w:rsidRPr="0022253C" w:rsidRDefault="004944DF" w:rsidP="00F962BE">
            <w:pPr>
              <w:pStyle w:val="ARtabletextrightbold"/>
              <w:spacing w:before="40" w:after="40"/>
              <w:rPr>
                <w:lang w:eastAsia="en-AU"/>
              </w:rPr>
            </w:pPr>
            <w:r w:rsidRPr="0022253C">
              <w:rPr>
                <w:lang w:eastAsia="en-AU"/>
              </w:rPr>
              <w:t>(19.3)</w:t>
            </w:r>
          </w:p>
        </w:tc>
        <w:tc>
          <w:tcPr>
            <w:tcW w:w="792" w:type="dxa"/>
            <w:hideMark/>
          </w:tcPr>
          <w:p w14:paraId="0613441A" w14:textId="77777777" w:rsidR="004944DF" w:rsidRPr="0022253C" w:rsidRDefault="004944DF" w:rsidP="00F962BE">
            <w:pPr>
              <w:pStyle w:val="ARtabletextright"/>
              <w:spacing w:before="40" w:after="40"/>
              <w:cnfStyle w:val="010000000000" w:firstRow="0" w:lastRow="1" w:firstColumn="0" w:lastColumn="0" w:oddVBand="0" w:evenVBand="0" w:oddHBand="0" w:evenHBand="0" w:firstRowFirstColumn="0" w:firstRowLastColumn="0" w:lastRowFirstColumn="0" w:lastRowLastColumn="0"/>
              <w:rPr>
                <w:b/>
                <w:bCs/>
                <w:lang w:eastAsia="en-AU"/>
              </w:rPr>
            </w:pPr>
          </w:p>
        </w:tc>
      </w:tr>
    </w:tbl>
    <w:p w14:paraId="21F92173" w14:textId="77777777" w:rsidR="004944DF" w:rsidRPr="0022253C" w:rsidRDefault="004944DF" w:rsidP="00566B8E">
      <w:pPr>
        <w:pStyle w:val="ARtablefootnotealpha"/>
        <w:numPr>
          <w:ilvl w:val="0"/>
          <w:numId w:val="114"/>
        </w:numPr>
      </w:pPr>
      <w:r w:rsidRPr="0022253C">
        <w:t>The actual Sales of goods and services was higher than the published budget mainly due to the Workers Screening Unit transferred from the Department of Government Services (DGS) as part of machinery of government changes (</w:t>
      </w:r>
      <w:proofErr w:type="spellStart"/>
      <w:r w:rsidRPr="0022253C">
        <w:t>MoG</w:t>
      </w:r>
      <w:proofErr w:type="spellEnd"/>
      <w:r w:rsidRPr="0022253C">
        <w:t>).</w:t>
      </w:r>
    </w:p>
    <w:p w14:paraId="6D8507C0" w14:textId="77777777" w:rsidR="004944DF" w:rsidRPr="0022253C" w:rsidRDefault="004944DF" w:rsidP="004944DF">
      <w:pPr>
        <w:pStyle w:val="ARtablefootnotealpha"/>
        <w:numPr>
          <w:ilvl w:val="0"/>
          <w:numId w:val="45"/>
        </w:numPr>
      </w:pPr>
      <w:r w:rsidRPr="0022253C">
        <w:t>The Grants was higher than the published budget mainly due to the higher grant payments related to Natural Disaster Relief including the extreme heat and extreme fire danger ratings in January 2026.</w:t>
      </w:r>
    </w:p>
    <w:p w14:paraId="23873BD3" w14:textId="77777777" w:rsidR="004944DF" w:rsidRDefault="004944DF" w:rsidP="004944DF">
      <w:pPr>
        <w:pStyle w:val="ARtablefootnotealpha"/>
        <w:numPr>
          <w:ilvl w:val="0"/>
          <w:numId w:val="45"/>
        </w:numPr>
      </w:pPr>
      <w:r w:rsidRPr="0022253C">
        <w:t xml:space="preserve">The Payments into the Consolidated Fund was higher than the published budget mainly due to the Workers Screening Unit transferred from DGS as part of </w:t>
      </w:r>
      <w:proofErr w:type="spellStart"/>
      <w:r w:rsidRPr="0022253C">
        <w:t>MoG</w:t>
      </w:r>
      <w:proofErr w:type="spellEnd"/>
      <w:r w:rsidRPr="0022253C">
        <w:t>.</w:t>
      </w:r>
    </w:p>
    <w:p w14:paraId="55135ED1" w14:textId="590E14F2" w:rsidR="00F962BE" w:rsidRDefault="00F962BE" w:rsidP="004944DF">
      <w:pPr>
        <w:pStyle w:val="ARBody"/>
        <w:rPr>
          <w:lang w:eastAsia="en-AU"/>
        </w:rPr>
      </w:pPr>
      <w:r>
        <w:rPr>
          <w:lang w:eastAsia="en-AU"/>
        </w:rPr>
        <w:br w:type="page"/>
      </w:r>
    </w:p>
    <w:p w14:paraId="68AF6861" w14:textId="77777777" w:rsidR="00F962BE" w:rsidRPr="00D4397B" w:rsidRDefault="00F962BE" w:rsidP="00652C2F">
      <w:pPr>
        <w:pStyle w:val="Heading2"/>
        <w:rPr>
          <w:lang w:eastAsia="en-AU"/>
        </w:rPr>
      </w:pPr>
      <w:bookmarkStart w:id="319" w:name="_Toc241131734"/>
      <w:r w:rsidRPr="00D4397B">
        <w:rPr>
          <w:lang w:eastAsia="en-AU"/>
        </w:rPr>
        <w:t>Appendix</w:t>
      </w:r>
      <w:r>
        <w:rPr>
          <w:lang w:eastAsia="en-AU"/>
        </w:rPr>
        <w:t xml:space="preserve"> 2: </w:t>
      </w:r>
      <w:r w:rsidRPr="00D4397B">
        <w:rPr>
          <w:lang w:eastAsia="en-AU"/>
        </w:rPr>
        <w:t>Homes Victoria</w:t>
      </w:r>
      <w:bookmarkEnd w:id="319"/>
    </w:p>
    <w:p w14:paraId="2C44526B" w14:textId="77777777" w:rsidR="00F962BE" w:rsidRPr="00D4397B" w:rsidRDefault="00F962BE" w:rsidP="00F962BE">
      <w:pPr>
        <w:pStyle w:val="Heading3"/>
        <w:rPr>
          <w:lang w:eastAsia="en-AU"/>
        </w:rPr>
      </w:pPr>
      <w:r w:rsidRPr="00D4397B">
        <w:rPr>
          <w:lang w:eastAsia="en-AU"/>
        </w:rPr>
        <w:t xml:space="preserve">Comprehensive operating statement </w:t>
      </w:r>
      <w:r>
        <w:rPr>
          <w:lang w:eastAsia="en-AU"/>
        </w:rPr>
        <w:br/>
      </w:r>
      <w:r w:rsidRPr="00D4397B">
        <w:rPr>
          <w:lang w:eastAsia="en-AU"/>
        </w:rPr>
        <w:t>for the financial year ended 30 June 2026</w:t>
      </w:r>
    </w:p>
    <w:tbl>
      <w:tblPr>
        <w:tblStyle w:val="ARtable1"/>
        <w:tblW w:w="5000" w:type="pct"/>
        <w:tblLook w:val="00E0" w:firstRow="1" w:lastRow="1" w:firstColumn="1" w:lastColumn="0" w:noHBand="0" w:noVBand="0"/>
      </w:tblPr>
      <w:tblGrid>
        <w:gridCol w:w="6514"/>
        <w:gridCol w:w="1556"/>
        <w:gridCol w:w="1558"/>
      </w:tblGrid>
      <w:tr w:rsidR="00F962BE" w:rsidRPr="00D4397B" w14:paraId="1C6D8E4B" w14:textId="77777777" w:rsidTr="00023F5D">
        <w:trPr>
          <w:cnfStyle w:val="100000000000" w:firstRow="1" w:lastRow="0" w:firstColumn="0" w:lastColumn="0" w:oddVBand="0" w:evenVBand="0" w:oddHBand="0" w:evenHBand="0" w:firstRowFirstColumn="0" w:firstRowLastColumn="0" w:lastRowFirstColumn="0" w:lastRowLastColumn="0"/>
          <w:trHeight w:val="430"/>
          <w:tblHeader/>
        </w:trPr>
        <w:tc>
          <w:tcPr>
            <w:tcW w:w="3383" w:type="pct"/>
            <w:vMerge w:val="restart"/>
            <w:noWrap/>
            <w:hideMark/>
          </w:tcPr>
          <w:p w14:paraId="541A8C0A" w14:textId="77777777" w:rsidR="00F962BE" w:rsidRPr="00D4397B" w:rsidRDefault="00F962BE">
            <w:pPr>
              <w:spacing w:after="0" w:line="240" w:lineRule="auto"/>
              <w:rPr>
                <w:rFonts w:ascii="Times New Roman" w:hAnsi="Times New Roman"/>
                <w:sz w:val="20"/>
                <w:lang w:eastAsia="en-AU"/>
              </w:rPr>
            </w:pPr>
          </w:p>
        </w:tc>
        <w:tc>
          <w:tcPr>
            <w:cnfStyle w:val="000001000000" w:firstRow="0" w:lastRow="0" w:firstColumn="0" w:lastColumn="0" w:oddVBand="0" w:evenVBand="1" w:oddHBand="0" w:evenHBand="0" w:firstRowFirstColumn="0" w:firstRowLastColumn="0" w:lastRowFirstColumn="0" w:lastRowLastColumn="0"/>
            <w:tcW w:w="808" w:type="pct"/>
            <w:vMerge w:val="restart"/>
            <w:noWrap/>
            <w:hideMark/>
          </w:tcPr>
          <w:p w14:paraId="197B4C2E" w14:textId="77777777" w:rsidR="00F962BE" w:rsidRPr="00D4397B" w:rsidRDefault="00F962BE" w:rsidP="00023F5D">
            <w:pPr>
              <w:pStyle w:val="ARtablecolhead"/>
              <w:jc w:val="right"/>
              <w:rPr>
                <w:lang w:eastAsia="en-AU"/>
              </w:rPr>
            </w:pPr>
            <w:r w:rsidRPr="00D4397B">
              <w:rPr>
                <w:lang w:eastAsia="en-AU"/>
              </w:rPr>
              <w:t>2026</w:t>
            </w:r>
          </w:p>
          <w:p w14:paraId="2A262D72" w14:textId="77777777" w:rsidR="00F962BE" w:rsidRPr="00D4397B" w:rsidRDefault="00F962BE" w:rsidP="00023F5D">
            <w:pPr>
              <w:pStyle w:val="ARtablecolhead"/>
              <w:jc w:val="right"/>
              <w:rPr>
                <w:lang w:eastAsia="en-AU"/>
              </w:rPr>
            </w:pPr>
            <w:r w:rsidRPr="00D4397B">
              <w:rPr>
                <w:lang w:eastAsia="en-AU"/>
              </w:rPr>
              <w:t>$M</w:t>
            </w:r>
          </w:p>
        </w:tc>
        <w:tc>
          <w:tcPr>
            <w:tcW w:w="809" w:type="pct"/>
            <w:vMerge w:val="restart"/>
            <w:noWrap/>
            <w:hideMark/>
          </w:tcPr>
          <w:p w14:paraId="15AA32C0" w14:textId="77777777" w:rsidR="00F962BE" w:rsidRPr="00D4397B" w:rsidRDefault="00F962BE" w:rsidP="00023F5D">
            <w:pPr>
              <w:pStyle w:val="ARtablecolhead"/>
              <w:jc w:val="right"/>
              <w:cnfStyle w:val="100000000000" w:firstRow="1" w:lastRow="0" w:firstColumn="0" w:lastColumn="0" w:oddVBand="0" w:evenVBand="0" w:oddHBand="0" w:evenHBand="0" w:firstRowFirstColumn="0" w:firstRowLastColumn="0" w:lastRowFirstColumn="0" w:lastRowLastColumn="0"/>
              <w:rPr>
                <w:lang w:eastAsia="en-AU"/>
              </w:rPr>
            </w:pPr>
            <w:r w:rsidRPr="00D4397B">
              <w:rPr>
                <w:lang w:eastAsia="en-AU"/>
              </w:rPr>
              <w:t>2025</w:t>
            </w:r>
          </w:p>
          <w:p w14:paraId="3D69BC67" w14:textId="77777777" w:rsidR="00F962BE" w:rsidRPr="00D4397B" w:rsidRDefault="00F962BE" w:rsidP="00023F5D">
            <w:pPr>
              <w:pStyle w:val="ARtablecolhead"/>
              <w:jc w:val="right"/>
              <w:cnfStyle w:val="100000000000" w:firstRow="1" w:lastRow="0" w:firstColumn="0" w:lastColumn="0" w:oddVBand="0" w:evenVBand="0" w:oddHBand="0" w:evenHBand="0" w:firstRowFirstColumn="0" w:firstRowLastColumn="0" w:lastRowFirstColumn="0" w:lastRowLastColumn="0"/>
              <w:rPr>
                <w:lang w:eastAsia="en-AU"/>
              </w:rPr>
            </w:pPr>
            <w:r w:rsidRPr="00D4397B">
              <w:rPr>
                <w:lang w:eastAsia="en-AU"/>
              </w:rPr>
              <w:t>$M</w:t>
            </w:r>
          </w:p>
        </w:tc>
      </w:tr>
      <w:tr w:rsidR="00F962BE" w:rsidRPr="00D4397B" w14:paraId="7DAA7A43" w14:textId="77777777" w:rsidTr="00AD1BA0">
        <w:trPr>
          <w:cnfStyle w:val="100000000000" w:firstRow="1" w:lastRow="0" w:firstColumn="0" w:lastColumn="0" w:oddVBand="0" w:evenVBand="0" w:oddHBand="0" w:evenHBand="0" w:firstRowFirstColumn="0" w:firstRowLastColumn="0" w:lastRowFirstColumn="0" w:lastRowLastColumn="0"/>
          <w:trHeight w:val="241"/>
          <w:tblHeader/>
        </w:trPr>
        <w:tc>
          <w:tcPr>
            <w:tcW w:w="3383" w:type="pct"/>
            <w:vMerge/>
            <w:noWrap/>
            <w:hideMark/>
          </w:tcPr>
          <w:p w14:paraId="31F882AD" w14:textId="77777777" w:rsidR="00F962BE" w:rsidRPr="00D4397B" w:rsidRDefault="00F962BE">
            <w:pPr>
              <w:spacing w:after="0" w:line="240" w:lineRule="auto"/>
              <w:rPr>
                <w:rFonts w:ascii="Verdana" w:hAnsi="Verdana" w:cs="Arial"/>
                <w:b/>
                <w:bCs/>
                <w:color w:val="000000"/>
                <w:sz w:val="20"/>
                <w:lang w:eastAsia="en-AU"/>
              </w:rPr>
            </w:pPr>
          </w:p>
        </w:tc>
        <w:tc>
          <w:tcPr>
            <w:cnfStyle w:val="000001000000" w:firstRow="0" w:lastRow="0" w:firstColumn="0" w:lastColumn="0" w:oddVBand="0" w:evenVBand="1" w:oddHBand="0" w:evenHBand="0" w:firstRowFirstColumn="0" w:firstRowLastColumn="0" w:lastRowFirstColumn="0" w:lastRowLastColumn="0"/>
            <w:tcW w:w="808" w:type="pct"/>
            <w:vMerge/>
            <w:noWrap/>
            <w:hideMark/>
          </w:tcPr>
          <w:p w14:paraId="25B9FFDD" w14:textId="77777777" w:rsidR="00F962BE" w:rsidRPr="00D4397B" w:rsidRDefault="00F962BE">
            <w:pPr>
              <w:spacing w:after="0" w:line="240" w:lineRule="auto"/>
              <w:jc w:val="right"/>
              <w:rPr>
                <w:rFonts w:ascii="Verdana" w:hAnsi="Verdana" w:cs="Arial"/>
                <w:b/>
                <w:bCs/>
                <w:color w:val="000000"/>
                <w:sz w:val="20"/>
                <w:lang w:eastAsia="en-AU"/>
              </w:rPr>
            </w:pPr>
          </w:p>
        </w:tc>
        <w:tc>
          <w:tcPr>
            <w:tcW w:w="809" w:type="pct"/>
            <w:vMerge/>
            <w:noWrap/>
            <w:hideMark/>
          </w:tcPr>
          <w:p w14:paraId="6B999308" w14:textId="77777777" w:rsidR="00F962BE" w:rsidRPr="00D4397B" w:rsidRDefault="00F962BE">
            <w:pPr>
              <w:spacing w:after="0" w:line="240" w:lineRule="auto"/>
              <w:jc w:val="right"/>
              <w:cnfStyle w:val="100000000000" w:firstRow="1" w:lastRow="0" w:firstColumn="0" w:lastColumn="0" w:oddVBand="0" w:evenVBand="0" w:oddHBand="0" w:evenHBand="0" w:firstRowFirstColumn="0" w:firstRowLastColumn="0" w:lastRowFirstColumn="0" w:lastRowLastColumn="0"/>
              <w:rPr>
                <w:rFonts w:ascii="Verdana" w:hAnsi="Verdana" w:cs="Arial"/>
                <w:b/>
                <w:bCs/>
                <w:color w:val="000000"/>
                <w:sz w:val="20"/>
                <w:lang w:eastAsia="en-AU"/>
              </w:rPr>
            </w:pPr>
          </w:p>
        </w:tc>
      </w:tr>
      <w:tr w:rsidR="00F962BE" w:rsidRPr="00D4397B" w14:paraId="41F6E208"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hideMark/>
          </w:tcPr>
          <w:p w14:paraId="10214CF6" w14:textId="77777777" w:rsidR="00F962BE" w:rsidRPr="00D4397B" w:rsidRDefault="00F962BE" w:rsidP="00D706E5">
            <w:pPr>
              <w:pStyle w:val="ARTabletextboldcoloured"/>
            </w:pPr>
            <w:r w:rsidRPr="00D4397B">
              <w:t xml:space="preserve">Revenue and income from </w:t>
            </w:r>
            <w:r w:rsidRPr="00B63544">
              <w:t>transactions</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hideMark/>
          </w:tcPr>
          <w:p w14:paraId="68922D24" w14:textId="77777777" w:rsidR="00F962BE" w:rsidRPr="00D4397B" w:rsidRDefault="00F962BE">
            <w:pPr>
              <w:pStyle w:val="ARfintabletextright"/>
              <w:rPr>
                <w:lang w:eastAsia="en-AU"/>
              </w:rPr>
            </w:pPr>
          </w:p>
        </w:tc>
        <w:tc>
          <w:tcPr>
            <w:tcW w:w="809" w:type="pct"/>
            <w:noWrap/>
            <w:hideMark/>
          </w:tcPr>
          <w:p w14:paraId="4ADAAB9F" w14:textId="77777777" w:rsidR="00F962BE" w:rsidRPr="00D4397B" w:rsidRDefault="00F962BE">
            <w:pPr>
              <w:pStyle w:val="ARfintabletextrigh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AU"/>
              </w:rPr>
            </w:pPr>
          </w:p>
        </w:tc>
      </w:tr>
      <w:tr w:rsidR="00F962BE" w:rsidRPr="00D4397B" w14:paraId="7F13E9F4"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hideMark/>
          </w:tcPr>
          <w:p w14:paraId="374A1CA1" w14:textId="77777777" w:rsidR="00F962BE" w:rsidRPr="00D4397B" w:rsidRDefault="00F962BE" w:rsidP="00D706E5">
            <w:pPr>
              <w:pStyle w:val="ARTabletext"/>
            </w:pPr>
            <w:r w:rsidRPr="00D4397B">
              <w:t>Grant from the Department of Families, Fairness and Housing</w:t>
            </w:r>
          </w:p>
        </w:tc>
        <w:tc>
          <w:tcPr>
            <w:cnfStyle w:val="000001000000" w:firstRow="0" w:lastRow="0" w:firstColumn="0" w:lastColumn="0" w:oddVBand="0" w:evenVBand="1" w:oddHBand="0" w:evenHBand="0" w:firstRowFirstColumn="0" w:firstRowLastColumn="0" w:lastRowFirstColumn="0" w:lastRowLastColumn="0"/>
            <w:tcW w:w="808" w:type="pct"/>
            <w:noWrap/>
            <w:hideMark/>
          </w:tcPr>
          <w:p w14:paraId="31393085" w14:textId="77777777" w:rsidR="00F962BE" w:rsidRPr="00D4397B" w:rsidRDefault="00F962BE" w:rsidP="00086E3C">
            <w:pPr>
              <w:pStyle w:val="ARTabletext"/>
              <w:jc w:val="right"/>
            </w:pPr>
            <w:r w:rsidRPr="00D4397B">
              <w:t>716.1</w:t>
            </w:r>
          </w:p>
        </w:tc>
        <w:tc>
          <w:tcPr>
            <w:tcW w:w="809" w:type="pct"/>
            <w:noWrap/>
            <w:hideMark/>
          </w:tcPr>
          <w:p w14:paraId="7A072499" w14:textId="77777777" w:rsidR="00F962BE" w:rsidRPr="00D4397B" w:rsidRDefault="00F962BE" w:rsidP="00086E3C">
            <w:pPr>
              <w:pStyle w:val="ARTabletext"/>
              <w:jc w:val="right"/>
              <w:cnfStyle w:val="000000010000" w:firstRow="0" w:lastRow="0" w:firstColumn="0" w:lastColumn="0" w:oddVBand="0" w:evenVBand="0" w:oddHBand="0" w:evenHBand="1" w:firstRowFirstColumn="0" w:firstRowLastColumn="0" w:lastRowFirstColumn="0" w:lastRowLastColumn="0"/>
            </w:pPr>
            <w:r w:rsidRPr="00D4397B">
              <w:t>788.3</w:t>
            </w:r>
          </w:p>
        </w:tc>
      </w:tr>
      <w:tr w:rsidR="00F962BE" w:rsidRPr="00D4397B" w14:paraId="17C8D58D"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hideMark/>
          </w:tcPr>
          <w:p w14:paraId="3A0336E5" w14:textId="77777777" w:rsidR="00F962BE" w:rsidRPr="00D4397B" w:rsidRDefault="00F962BE" w:rsidP="00D706E5">
            <w:pPr>
              <w:pStyle w:val="ARTabletext"/>
            </w:pPr>
            <w:r w:rsidRPr="00D4397B">
              <w:t>Rental income</w:t>
            </w:r>
          </w:p>
        </w:tc>
        <w:tc>
          <w:tcPr>
            <w:cnfStyle w:val="000001000000" w:firstRow="0" w:lastRow="0" w:firstColumn="0" w:lastColumn="0" w:oddVBand="0" w:evenVBand="1" w:oddHBand="0" w:evenHBand="0" w:firstRowFirstColumn="0" w:firstRowLastColumn="0" w:lastRowFirstColumn="0" w:lastRowLastColumn="0"/>
            <w:tcW w:w="808" w:type="pct"/>
            <w:noWrap/>
            <w:hideMark/>
          </w:tcPr>
          <w:p w14:paraId="285DAF68" w14:textId="77777777" w:rsidR="00F962BE" w:rsidRPr="00D4397B" w:rsidRDefault="00F962BE" w:rsidP="00086E3C">
            <w:pPr>
              <w:pStyle w:val="ARTabletext"/>
              <w:jc w:val="right"/>
            </w:pPr>
            <w:r w:rsidRPr="00D4397B">
              <w:t>625.6</w:t>
            </w:r>
          </w:p>
        </w:tc>
        <w:tc>
          <w:tcPr>
            <w:tcW w:w="809" w:type="pct"/>
            <w:noWrap/>
            <w:hideMark/>
          </w:tcPr>
          <w:p w14:paraId="2D1EF5CF" w14:textId="77777777" w:rsidR="00F962BE" w:rsidRPr="00D4397B" w:rsidRDefault="00F962BE" w:rsidP="00086E3C">
            <w:pPr>
              <w:pStyle w:val="ARTabletext"/>
              <w:jc w:val="right"/>
              <w:cnfStyle w:val="000000100000" w:firstRow="0" w:lastRow="0" w:firstColumn="0" w:lastColumn="0" w:oddVBand="0" w:evenVBand="0" w:oddHBand="1" w:evenHBand="0" w:firstRowFirstColumn="0" w:firstRowLastColumn="0" w:lastRowFirstColumn="0" w:lastRowLastColumn="0"/>
            </w:pPr>
            <w:r w:rsidRPr="00D4397B">
              <w:t>594.6</w:t>
            </w:r>
          </w:p>
        </w:tc>
      </w:tr>
      <w:tr w:rsidR="00F962BE" w:rsidRPr="00D4397B" w14:paraId="33C17534"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tcBorders>
              <w:bottom w:val="single" w:sz="4" w:space="0" w:color="BFBFBF" w:themeColor="accent2"/>
            </w:tcBorders>
            <w:hideMark/>
          </w:tcPr>
          <w:p w14:paraId="0EB5436A" w14:textId="77777777" w:rsidR="00F962BE" w:rsidRPr="00D4397B" w:rsidRDefault="00F962BE" w:rsidP="00D706E5">
            <w:pPr>
              <w:pStyle w:val="ARTabletext"/>
            </w:pPr>
            <w:r w:rsidRPr="00D4397B">
              <w:t>Grants</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hideMark/>
          </w:tcPr>
          <w:p w14:paraId="5AE7EE08" w14:textId="77777777" w:rsidR="00F962BE" w:rsidRPr="00D4397B" w:rsidRDefault="00F962BE" w:rsidP="00086E3C">
            <w:pPr>
              <w:pStyle w:val="ARTabletext"/>
              <w:jc w:val="right"/>
            </w:pPr>
            <w:r w:rsidRPr="00D4397B">
              <w:t>278.5</w:t>
            </w:r>
          </w:p>
        </w:tc>
        <w:tc>
          <w:tcPr>
            <w:tcW w:w="809" w:type="pct"/>
            <w:tcBorders>
              <w:bottom w:val="single" w:sz="4" w:space="0" w:color="BFBFBF" w:themeColor="accent2"/>
            </w:tcBorders>
            <w:noWrap/>
            <w:hideMark/>
          </w:tcPr>
          <w:p w14:paraId="0EA38F69" w14:textId="77777777" w:rsidR="00F962BE" w:rsidRPr="00D4397B" w:rsidRDefault="00F962BE" w:rsidP="00086E3C">
            <w:pPr>
              <w:pStyle w:val="ARTabletext"/>
              <w:jc w:val="right"/>
              <w:cnfStyle w:val="000000010000" w:firstRow="0" w:lastRow="0" w:firstColumn="0" w:lastColumn="0" w:oddVBand="0" w:evenVBand="0" w:oddHBand="0" w:evenHBand="1" w:firstRowFirstColumn="0" w:firstRowLastColumn="0" w:lastRowFirstColumn="0" w:lastRowLastColumn="0"/>
            </w:pPr>
            <w:r w:rsidRPr="00D4397B">
              <w:t>247.8</w:t>
            </w:r>
          </w:p>
        </w:tc>
      </w:tr>
      <w:tr w:rsidR="00F962BE" w:rsidRPr="00D4397B" w14:paraId="27146F05"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hideMark/>
          </w:tcPr>
          <w:p w14:paraId="1FBA1F5D" w14:textId="77777777" w:rsidR="00F962BE" w:rsidRPr="00D4397B" w:rsidRDefault="00F962BE" w:rsidP="00D706E5">
            <w:pPr>
              <w:pStyle w:val="ARTabletext"/>
            </w:pPr>
            <w:r w:rsidRPr="00D4397B">
              <w:t>Other income</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hideMark/>
          </w:tcPr>
          <w:p w14:paraId="4251F399" w14:textId="77777777" w:rsidR="00F962BE" w:rsidRPr="00D4397B" w:rsidRDefault="00F962BE" w:rsidP="00086E3C">
            <w:pPr>
              <w:pStyle w:val="ARTabletext"/>
              <w:jc w:val="right"/>
            </w:pPr>
            <w:r w:rsidRPr="00D4397B">
              <w:t>51.6</w:t>
            </w:r>
          </w:p>
        </w:tc>
        <w:tc>
          <w:tcPr>
            <w:tcW w:w="809" w:type="pct"/>
            <w:tcBorders>
              <w:top w:val="single" w:sz="4" w:space="0" w:color="BFBFBF" w:themeColor="accent2"/>
              <w:bottom w:val="single" w:sz="4" w:space="0" w:color="000000" w:themeColor="text1"/>
            </w:tcBorders>
            <w:noWrap/>
            <w:hideMark/>
          </w:tcPr>
          <w:p w14:paraId="5CFB12FE" w14:textId="77777777" w:rsidR="00F962BE" w:rsidRPr="00D4397B" w:rsidRDefault="00F962BE" w:rsidP="00086E3C">
            <w:pPr>
              <w:pStyle w:val="ARTabletext"/>
              <w:jc w:val="right"/>
              <w:cnfStyle w:val="000000100000" w:firstRow="0" w:lastRow="0" w:firstColumn="0" w:lastColumn="0" w:oddVBand="0" w:evenVBand="0" w:oddHBand="1" w:evenHBand="0" w:firstRowFirstColumn="0" w:firstRowLastColumn="0" w:lastRowFirstColumn="0" w:lastRowLastColumn="0"/>
            </w:pPr>
            <w:r w:rsidRPr="00D4397B">
              <w:t>50.7</w:t>
            </w:r>
          </w:p>
        </w:tc>
      </w:tr>
      <w:tr w:rsidR="00F962BE" w:rsidRPr="00D4397B" w14:paraId="4A259048"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hideMark/>
          </w:tcPr>
          <w:p w14:paraId="55F3D700" w14:textId="77777777" w:rsidR="00F962BE" w:rsidRPr="00D4397B" w:rsidRDefault="00F962BE" w:rsidP="00D706E5">
            <w:pPr>
              <w:pStyle w:val="ARtabletextbold"/>
              <w:rPr>
                <w:lang w:eastAsia="en-AU"/>
              </w:rPr>
            </w:pPr>
            <w:r w:rsidRPr="00D4397B">
              <w:rPr>
                <w:lang w:eastAsia="en-AU"/>
              </w:rPr>
              <w:t>Total revenue and income from transactions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hideMark/>
          </w:tcPr>
          <w:p w14:paraId="068C0015" w14:textId="77777777" w:rsidR="00F962BE" w:rsidRPr="00D4397B" w:rsidRDefault="00F962BE" w:rsidP="00086E3C">
            <w:pPr>
              <w:pStyle w:val="ARtabletextbold"/>
              <w:jc w:val="right"/>
              <w:rPr>
                <w:lang w:eastAsia="en-AU"/>
              </w:rPr>
            </w:pPr>
            <w:r w:rsidRPr="00D4397B">
              <w:rPr>
                <w:lang w:eastAsia="en-AU"/>
              </w:rPr>
              <w:t>1,671.8</w:t>
            </w:r>
          </w:p>
        </w:tc>
        <w:tc>
          <w:tcPr>
            <w:tcW w:w="809" w:type="pct"/>
            <w:tcBorders>
              <w:top w:val="single" w:sz="4" w:space="0" w:color="000000" w:themeColor="text1"/>
              <w:bottom w:val="single" w:sz="4" w:space="0" w:color="000000" w:themeColor="text1"/>
            </w:tcBorders>
            <w:noWrap/>
            <w:hideMark/>
          </w:tcPr>
          <w:p w14:paraId="43EBDA61" w14:textId="77777777" w:rsidR="00F962BE" w:rsidRPr="00D4397B" w:rsidRDefault="00F962BE" w:rsidP="00086E3C">
            <w:pPr>
              <w:pStyle w:val="ARtabletextbold"/>
              <w:jc w:val="right"/>
              <w:cnfStyle w:val="000000010000" w:firstRow="0" w:lastRow="0" w:firstColumn="0" w:lastColumn="0" w:oddVBand="0" w:evenVBand="0" w:oddHBand="0" w:evenHBand="1" w:firstRowFirstColumn="0" w:firstRowLastColumn="0" w:lastRowFirstColumn="0" w:lastRowLastColumn="0"/>
              <w:rPr>
                <w:lang w:eastAsia="en-AU"/>
              </w:rPr>
            </w:pPr>
            <w:r w:rsidRPr="00D4397B">
              <w:rPr>
                <w:lang w:eastAsia="en-AU"/>
              </w:rPr>
              <w:t>1,681.4</w:t>
            </w:r>
          </w:p>
        </w:tc>
      </w:tr>
      <w:tr w:rsidR="00F962BE" w:rsidRPr="00D4397B" w14:paraId="2C483869"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tcBorders>
            <w:hideMark/>
          </w:tcPr>
          <w:p w14:paraId="1E1CFA37" w14:textId="77777777" w:rsidR="00F962BE" w:rsidRPr="00D4397B" w:rsidRDefault="00F962BE" w:rsidP="00D706E5">
            <w:pPr>
              <w:pStyle w:val="ARTabletextboldcoloured"/>
            </w:pPr>
            <w:r w:rsidRPr="00D4397B">
              <w:t>Expenses from transactions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hideMark/>
          </w:tcPr>
          <w:p w14:paraId="58B7E493" w14:textId="77777777" w:rsidR="00F962BE" w:rsidRPr="00D4397B" w:rsidRDefault="00F962BE" w:rsidP="00086E3C">
            <w:pPr>
              <w:pStyle w:val="ARtabletextright"/>
              <w:rPr>
                <w:lang w:eastAsia="en-AU"/>
              </w:rPr>
            </w:pPr>
          </w:p>
        </w:tc>
        <w:tc>
          <w:tcPr>
            <w:tcW w:w="809" w:type="pct"/>
            <w:tcBorders>
              <w:top w:val="single" w:sz="4" w:space="0" w:color="000000" w:themeColor="text1"/>
            </w:tcBorders>
            <w:noWrap/>
            <w:hideMark/>
          </w:tcPr>
          <w:p w14:paraId="21C8B804" w14:textId="77777777" w:rsidR="00F962BE" w:rsidRPr="00D4397B" w:rsidRDefault="00F962BE" w:rsidP="00086E3C">
            <w:pPr>
              <w:pStyle w:val="ARtabletextrigh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AU"/>
              </w:rPr>
            </w:pPr>
          </w:p>
        </w:tc>
      </w:tr>
      <w:tr w:rsidR="00F962BE" w:rsidRPr="00D4397B" w14:paraId="6E30F2F0"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hideMark/>
          </w:tcPr>
          <w:p w14:paraId="69A8EE81" w14:textId="77777777" w:rsidR="00F962BE" w:rsidRPr="00D4397B" w:rsidRDefault="00F962BE" w:rsidP="00D706E5">
            <w:pPr>
              <w:pStyle w:val="ARTabletext"/>
              <w:rPr>
                <w:lang w:eastAsia="en-AU"/>
              </w:rPr>
            </w:pPr>
            <w:r w:rsidRPr="00D4397B">
              <w:rPr>
                <w:lang w:eastAsia="en-AU"/>
              </w:rPr>
              <w:t>Employee benefits</w:t>
            </w:r>
          </w:p>
        </w:tc>
        <w:tc>
          <w:tcPr>
            <w:cnfStyle w:val="000001000000" w:firstRow="0" w:lastRow="0" w:firstColumn="0" w:lastColumn="0" w:oddVBand="0" w:evenVBand="1" w:oddHBand="0" w:evenHBand="0" w:firstRowFirstColumn="0" w:firstRowLastColumn="0" w:lastRowFirstColumn="0" w:lastRowLastColumn="0"/>
            <w:tcW w:w="808" w:type="pct"/>
            <w:noWrap/>
            <w:hideMark/>
          </w:tcPr>
          <w:p w14:paraId="10D2CD51" w14:textId="77777777" w:rsidR="00F962BE" w:rsidRPr="00D4397B" w:rsidRDefault="00F962BE" w:rsidP="00086E3C">
            <w:pPr>
              <w:pStyle w:val="ARTabletext"/>
              <w:jc w:val="right"/>
              <w:rPr>
                <w:lang w:eastAsia="en-AU"/>
              </w:rPr>
            </w:pPr>
            <w:r w:rsidRPr="00D4397B">
              <w:rPr>
                <w:lang w:eastAsia="en-AU"/>
              </w:rPr>
              <w:t>212.6</w:t>
            </w:r>
          </w:p>
        </w:tc>
        <w:tc>
          <w:tcPr>
            <w:tcW w:w="809" w:type="pct"/>
            <w:noWrap/>
            <w:hideMark/>
          </w:tcPr>
          <w:p w14:paraId="021B58F9" w14:textId="77777777" w:rsidR="00F962BE" w:rsidRPr="00D4397B" w:rsidRDefault="00F962BE" w:rsidP="00086E3C">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D4397B">
              <w:rPr>
                <w:lang w:eastAsia="en-AU"/>
              </w:rPr>
              <w:t>213.0</w:t>
            </w:r>
          </w:p>
        </w:tc>
      </w:tr>
      <w:tr w:rsidR="00F962BE" w:rsidRPr="00D4397B" w14:paraId="3A6197DD"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hideMark/>
          </w:tcPr>
          <w:p w14:paraId="66E4E104" w14:textId="77777777" w:rsidR="00F962BE" w:rsidRPr="00D4397B" w:rsidRDefault="00F962BE" w:rsidP="00D706E5">
            <w:pPr>
              <w:pStyle w:val="ARTabletext"/>
              <w:rPr>
                <w:lang w:eastAsia="en-AU"/>
              </w:rPr>
            </w:pPr>
            <w:r w:rsidRPr="00D4397B">
              <w:rPr>
                <w:lang w:eastAsia="en-AU"/>
              </w:rPr>
              <w:t>Depreciation and amortisation</w:t>
            </w:r>
          </w:p>
        </w:tc>
        <w:tc>
          <w:tcPr>
            <w:cnfStyle w:val="000001000000" w:firstRow="0" w:lastRow="0" w:firstColumn="0" w:lastColumn="0" w:oddVBand="0" w:evenVBand="1" w:oddHBand="0" w:evenHBand="0" w:firstRowFirstColumn="0" w:firstRowLastColumn="0" w:lastRowFirstColumn="0" w:lastRowLastColumn="0"/>
            <w:tcW w:w="808" w:type="pct"/>
            <w:noWrap/>
            <w:hideMark/>
          </w:tcPr>
          <w:p w14:paraId="759942B9" w14:textId="77777777" w:rsidR="00F962BE" w:rsidRPr="00D4397B" w:rsidRDefault="00F962BE" w:rsidP="00086E3C">
            <w:pPr>
              <w:pStyle w:val="ARTabletext"/>
              <w:jc w:val="right"/>
              <w:rPr>
                <w:lang w:eastAsia="en-AU"/>
              </w:rPr>
            </w:pPr>
            <w:r w:rsidRPr="00D4397B">
              <w:rPr>
                <w:lang w:eastAsia="en-AU"/>
              </w:rPr>
              <w:t>604.3</w:t>
            </w:r>
          </w:p>
        </w:tc>
        <w:tc>
          <w:tcPr>
            <w:tcW w:w="809" w:type="pct"/>
            <w:noWrap/>
            <w:hideMark/>
          </w:tcPr>
          <w:p w14:paraId="13A19F1B" w14:textId="77777777" w:rsidR="00F962BE" w:rsidRPr="00D4397B" w:rsidRDefault="00F962BE" w:rsidP="00086E3C">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D4397B">
              <w:rPr>
                <w:lang w:eastAsia="en-AU"/>
              </w:rPr>
              <w:t>490.7</w:t>
            </w:r>
          </w:p>
        </w:tc>
      </w:tr>
      <w:tr w:rsidR="00F962BE" w:rsidRPr="00D4397B" w14:paraId="3FED5591"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hideMark/>
          </w:tcPr>
          <w:p w14:paraId="4D0BD6F2" w14:textId="77777777" w:rsidR="00F962BE" w:rsidRPr="00D4397B" w:rsidRDefault="00F962BE" w:rsidP="00D706E5">
            <w:pPr>
              <w:pStyle w:val="ARTabletext"/>
              <w:rPr>
                <w:lang w:eastAsia="en-AU"/>
              </w:rPr>
            </w:pPr>
            <w:r w:rsidRPr="00D4397B">
              <w:rPr>
                <w:lang w:eastAsia="en-AU"/>
              </w:rPr>
              <w:t>Grants and other transfers</w:t>
            </w:r>
          </w:p>
        </w:tc>
        <w:tc>
          <w:tcPr>
            <w:cnfStyle w:val="000001000000" w:firstRow="0" w:lastRow="0" w:firstColumn="0" w:lastColumn="0" w:oddVBand="0" w:evenVBand="1" w:oddHBand="0" w:evenHBand="0" w:firstRowFirstColumn="0" w:firstRowLastColumn="0" w:lastRowFirstColumn="0" w:lastRowLastColumn="0"/>
            <w:tcW w:w="808" w:type="pct"/>
            <w:noWrap/>
            <w:hideMark/>
          </w:tcPr>
          <w:p w14:paraId="5A41DDB3" w14:textId="77777777" w:rsidR="00F962BE" w:rsidRPr="00D4397B" w:rsidRDefault="00F962BE" w:rsidP="00086E3C">
            <w:pPr>
              <w:pStyle w:val="ARTabletext"/>
              <w:jc w:val="right"/>
              <w:rPr>
                <w:lang w:eastAsia="en-AU"/>
              </w:rPr>
            </w:pPr>
            <w:r w:rsidRPr="00D4397B">
              <w:rPr>
                <w:lang w:eastAsia="en-AU"/>
              </w:rPr>
              <w:t>701.2</w:t>
            </w:r>
          </w:p>
        </w:tc>
        <w:tc>
          <w:tcPr>
            <w:tcW w:w="809" w:type="pct"/>
            <w:noWrap/>
            <w:hideMark/>
          </w:tcPr>
          <w:p w14:paraId="2BE3096D" w14:textId="77777777" w:rsidR="00F962BE" w:rsidRPr="00D4397B" w:rsidRDefault="00F962BE" w:rsidP="00086E3C">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D4397B">
              <w:rPr>
                <w:lang w:eastAsia="en-AU"/>
              </w:rPr>
              <w:t>681.9</w:t>
            </w:r>
          </w:p>
        </w:tc>
      </w:tr>
      <w:tr w:rsidR="00F962BE" w:rsidRPr="00D4397B" w14:paraId="762ED21B"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tcBorders>
              <w:bottom w:val="single" w:sz="4" w:space="0" w:color="BFBFBF" w:themeColor="accent2"/>
            </w:tcBorders>
            <w:hideMark/>
          </w:tcPr>
          <w:p w14:paraId="0EF873A5" w14:textId="77777777" w:rsidR="00F962BE" w:rsidRPr="00D4397B" w:rsidRDefault="00F962BE" w:rsidP="00D706E5">
            <w:pPr>
              <w:pStyle w:val="ARTabletext"/>
              <w:rPr>
                <w:lang w:eastAsia="en-AU"/>
              </w:rPr>
            </w:pPr>
            <w:r w:rsidRPr="00D4397B">
              <w:rPr>
                <w:lang w:eastAsia="en-AU"/>
              </w:rPr>
              <w:t>Other operating expenses</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hideMark/>
          </w:tcPr>
          <w:p w14:paraId="6C793DDB" w14:textId="77777777" w:rsidR="00F962BE" w:rsidRPr="00D4397B" w:rsidRDefault="00F962BE" w:rsidP="00086E3C">
            <w:pPr>
              <w:pStyle w:val="ARTabletext"/>
              <w:jc w:val="right"/>
              <w:rPr>
                <w:lang w:eastAsia="en-AU"/>
              </w:rPr>
            </w:pPr>
            <w:r w:rsidRPr="00D4397B">
              <w:rPr>
                <w:lang w:eastAsia="en-AU"/>
              </w:rPr>
              <w:t>123.7</w:t>
            </w:r>
          </w:p>
        </w:tc>
        <w:tc>
          <w:tcPr>
            <w:tcW w:w="809" w:type="pct"/>
            <w:tcBorders>
              <w:bottom w:val="single" w:sz="4" w:space="0" w:color="BFBFBF" w:themeColor="accent2"/>
            </w:tcBorders>
            <w:noWrap/>
            <w:hideMark/>
          </w:tcPr>
          <w:p w14:paraId="0246EE41" w14:textId="77777777" w:rsidR="00F962BE" w:rsidRPr="00D4397B" w:rsidRDefault="00F962BE" w:rsidP="00086E3C">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D4397B">
              <w:rPr>
                <w:lang w:eastAsia="en-AU"/>
              </w:rPr>
              <w:t>116.5</w:t>
            </w:r>
          </w:p>
        </w:tc>
      </w:tr>
      <w:tr w:rsidR="00F962BE" w:rsidRPr="00D4397B" w14:paraId="7EC7F059"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hideMark/>
          </w:tcPr>
          <w:p w14:paraId="7D3F533D" w14:textId="77777777" w:rsidR="00F962BE" w:rsidRPr="00D4397B" w:rsidRDefault="00F962BE" w:rsidP="00D706E5">
            <w:pPr>
              <w:pStyle w:val="ARTabletext"/>
              <w:rPr>
                <w:lang w:eastAsia="en-AU"/>
              </w:rPr>
            </w:pPr>
            <w:r w:rsidRPr="00D4397B">
              <w:rPr>
                <w:lang w:eastAsia="en-AU"/>
              </w:rPr>
              <w:t>Property management expenses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hideMark/>
          </w:tcPr>
          <w:p w14:paraId="01693EA1" w14:textId="77777777" w:rsidR="00F962BE" w:rsidRPr="00D4397B" w:rsidRDefault="00F962BE" w:rsidP="00086E3C">
            <w:pPr>
              <w:pStyle w:val="ARTabletext"/>
              <w:jc w:val="right"/>
              <w:rPr>
                <w:lang w:eastAsia="en-AU"/>
              </w:rPr>
            </w:pPr>
            <w:r w:rsidRPr="00D4397B">
              <w:rPr>
                <w:lang w:eastAsia="en-AU"/>
              </w:rPr>
              <w:t>476.7</w:t>
            </w:r>
          </w:p>
        </w:tc>
        <w:tc>
          <w:tcPr>
            <w:tcW w:w="809" w:type="pct"/>
            <w:tcBorders>
              <w:top w:val="single" w:sz="4" w:space="0" w:color="BFBFBF" w:themeColor="accent2"/>
              <w:bottom w:val="single" w:sz="4" w:space="0" w:color="000000" w:themeColor="text1"/>
            </w:tcBorders>
            <w:noWrap/>
            <w:hideMark/>
          </w:tcPr>
          <w:p w14:paraId="3D945685" w14:textId="77777777" w:rsidR="00F962BE" w:rsidRPr="00D4397B" w:rsidRDefault="00F962BE" w:rsidP="00086E3C">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D4397B">
              <w:rPr>
                <w:lang w:eastAsia="en-AU"/>
              </w:rPr>
              <w:t>523.7</w:t>
            </w:r>
          </w:p>
        </w:tc>
      </w:tr>
      <w:tr w:rsidR="00F962BE" w:rsidRPr="00D4397B" w14:paraId="24E28C00"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hideMark/>
          </w:tcPr>
          <w:p w14:paraId="575C8F4D" w14:textId="77777777" w:rsidR="00F962BE" w:rsidRPr="00D4397B" w:rsidRDefault="00F962BE" w:rsidP="00D706E5">
            <w:pPr>
              <w:pStyle w:val="ARtabletextbold"/>
              <w:rPr>
                <w:lang w:eastAsia="en-AU"/>
              </w:rPr>
            </w:pPr>
            <w:r w:rsidRPr="00D4397B">
              <w:rPr>
                <w:lang w:eastAsia="en-AU"/>
              </w:rPr>
              <w:t>Total expenses from transactions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hideMark/>
          </w:tcPr>
          <w:p w14:paraId="14F25850" w14:textId="77777777" w:rsidR="00F962BE" w:rsidRPr="00D4397B" w:rsidRDefault="00F962BE" w:rsidP="00086E3C">
            <w:pPr>
              <w:pStyle w:val="ARtabletextbold"/>
              <w:jc w:val="right"/>
              <w:rPr>
                <w:lang w:eastAsia="en-AU"/>
              </w:rPr>
            </w:pPr>
            <w:r w:rsidRPr="00D4397B">
              <w:rPr>
                <w:lang w:eastAsia="en-AU"/>
              </w:rPr>
              <w:t>2,118.5</w:t>
            </w:r>
          </w:p>
        </w:tc>
        <w:tc>
          <w:tcPr>
            <w:tcW w:w="809" w:type="pct"/>
            <w:tcBorders>
              <w:top w:val="single" w:sz="4" w:space="0" w:color="000000" w:themeColor="text1"/>
              <w:bottom w:val="single" w:sz="4" w:space="0" w:color="000000" w:themeColor="text1"/>
            </w:tcBorders>
            <w:noWrap/>
            <w:hideMark/>
          </w:tcPr>
          <w:p w14:paraId="3032B8A6" w14:textId="77777777" w:rsidR="00F962BE" w:rsidRPr="00D4397B" w:rsidRDefault="00F962BE" w:rsidP="00086E3C">
            <w:pPr>
              <w:pStyle w:val="ARtabletextbold"/>
              <w:jc w:val="right"/>
              <w:cnfStyle w:val="000000100000" w:firstRow="0" w:lastRow="0" w:firstColumn="0" w:lastColumn="0" w:oddVBand="0" w:evenVBand="0" w:oddHBand="1" w:evenHBand="0" w:firstRowFirstColumn="0" w:firstRowLastColumn="0" w:lastRowFirstColumn="0" w:lastRowLastColumn="0"/>
              <w:rPr>
                <w:lang w:eastAsia="en-AU"/>
              </w:rPr>
            </w:pPr>
            <w:r w:rsidRPr="00D4397B">
              <w:rPr>
                <w:lang w:eastAsia="en-AU"/>
              </w:rPr>
              <w:t>2,025.8</w:t>
            </w:r>
          </w:p>
        </w:tc>
      </w:tr>
      <w:tr w:rsidR="00F962BE" w:rsidRPr="00D4397B" w14:paraId="15B585A7"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hideMark/>
          </w:tcPr>
          <w:p w14:paraId="2221B1B8" w14:textId="77777777" w:rsidR="00F962BE" w:rsidRPr="00D4397B" w:rsidRDefault="00F962BE" w:rsidP="00D706E5">
            <w:pPr>
              <w:pStyle w:val="ARtabletextbold"/>
              <w:rPr>
                <w:lang w:eastAsia="en-AU"/>
              </w:rPr>
            </w:pPr>
            <w:r w:rsidRPr="00D4397B">
              <w:rPr>
                <w:lang w:eastAsia="en-AU"/>
              </w:rPr>
              <w:t xml:space="preserve">Net result from transactions (net operating balance) </w:t>
            </w:r>
            <w:r w:rsidRPr="00D4397B">
              <w:rPr>
                <w:vertAlign w:val="superscript"/>
                <w:lang w:eastAsia="en-AU"/>
              </w:rPr>
              <w:t>(</w:t>
            </w:r>
            <w:proofErr w:type="spellStart"/>
            <w:r w:rsidRPr="00D4397B">
              <w:rPr>
                <w:vertAlign w:val="superscript"/>
                <w:lang w:eastAsia="en-AU"/>
              </w:rPr>
              <w:t>i</w:t>
            </w:r>
            <w:proofErr w:type="spellEnd"/>
            <w:r w:rsidRPr="00D4397B">
              <w:rPr>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hideMark/>
          </w:tcPr>
          <w:p w14:paraId="01ABB1E5" w14:textId="77777777" w:rsidR="00F962BE" w:rsidRPr="00D4397B" w:rsidRDefault="00F962BE" w:rsidP="00086E3C">
            <w:pPr>
              <w:pStyle w:val="ARtabletextbold"/>
              <w:jc w:val="right"/>
              <w:rPr>
                <w:lang w:eastAsia="en-AU"/>
              </w:rPr>
            </w:pPr>
            <w:r w:rsidRPr="00D4397B">
              <w:rPr>
                <w:lang w:eastAsia="en-AU"/>
              </w:rPr>
              <w:t>(446.7)</w:t>
            </w:r>
          </w:p>
        </w:tc>
        <w:tc>
          <w:tcPr>
            <w:tcW w:w="809" w:type="pct"/>
            <w:tcBorders>
              <w:top w:val="single" w:sz="4" w:space="0" w:color="000000" w:themeColor="text1"/>
              <w:bottom w:val="single" w:sz="4" w:space="0" w:color="000000" w:themeColor="text1"/>
            </w:tcBorders>
            <w:noWrap/>
            <w:hideMark/>
          </w:tcPr>
          <w:p w14:paraId="32D44DB2" w14:textId="77777777" w:rsidR="00F962BE" w:rsidRPr="00D4397B" w:rsidRDefault="00F962BE" w:rsidP="00086E3C">
            <w:pPr>
              <w:pStyle w:val="ARtabletextbold"/>
              <w:jc w:val="right"/>
              <w:cnfStyle w:val="000000010000" w:firstRow="0" w:lastRow="0" w:firstColumn="0" w:lastColumn="0" w:oddVBand="0" w:evenVBand="0" w:oddHBand="0" w:evenHBand="1" w:firstRowFirstColumn="0" w:firstRowLastColumn="0" w:lastRowFirstColumn="0" w:lastRowLastColumn="0"/>
              <w:rPr>
                <w:lang w:eastAsia="en-AU"/>
              </w:rPr>
            </w:pPr>
            <w:r w:rsidRPr="00D4397B">
              <w:rPr>
                <w:lang w:eastAsia="en-AU"/>
              </w:rPr>
              <w:t>(344.4)</w:t>
            </w:r>
          </w:p>
        </w:tc>
      </w:tr>
      <w:tr w:rsidR="00F962BE" w:rsidRPr="00D4397B" w14:paraId="3C7D3843"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tcBorders>
            <w:hideMark/>
          </w:tcPr>
          <w:p w14:paraId="6FD515EE" w14:textId="77777777" w:rsidR="00F962BE" w:rsidRPr="00D4397B" w:rsidRDefault="00F962BE" w:rsidP="00D706E5">
            <w:pPr>
              <w:pStyle w:val="ARTabletextboldcoloured"/>
              <w:rPr>
                <w:lang w:eastAsia="en-AU"/>
              </w:rPr>
            </w:pPr>
            <w:r w:rsidRPr="00D4397B">
              <w:rPr>
                <w:lang w:eastAsia="en-AU"/>
              </w:rPr>
              <w:t>Other economic flows included in net result</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hideMark/>
          </w:tcPr>
          <w:p w14:paraId="5CB7497D" w14:textId="77777777" w:rsidR="00F962BE" w:rsidRPr="00D4397B" w:rsidRDefault="00F962BE" w:rsidP="00086E3C">
            <w:pPr>
              <w:pStyle w:val="ARfintabletextright"/>
              <w:rPr>
                <w:lang w:eastAsia="en-AU"/>
              </w:rPr>
            </w:pPr>
          </w:p>
        </w:tc>
        <w:tc>
          <w:tcPr>
            <w:tcW w:w="809" w:type="pct"/>
            <w:tcBorders>
              <w:top w:val="single" w:sz="4" w:space="0" w:color="000000" w:themeColor="text1"/>
            </w:tcBorders>
            <w:noWrap/>
            <w:hideMark/>
          </w:tcPr>
          <w:p w14:paraId="7E8B2E54" w14:textId="77777777" w:rsidR="00F962BE" w:rsidRPr="00D4397B" w:rsidRDefault="00F962BE" w:rsidP="00086E3C">
            <w:pPr>
              <w:pStyle w:val="ARfintabletextrigh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AU"/>
              </w:rPr>
            </w:pPr>
          </w:p>
        </w:tc>
      </w:tr>
      <w:tr w:rsidR="00F962BE" w:rsidRPr="00D4397B" w14:paraId="1490ED97"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tcBorders>
              <w:bottom w:val="single" w:sz="4" w:space="0" w:color="BFBFBF" w:themeColor="accent2"/>
            </w:tcBorders>
            <w:hideMark/>
          </w:tcPr>
          <w:p w14:paraId="2AE443F9" w14:textId="77777777" w:rsidR="00F962BE" w:rsidRPr="00D4397B" w:rsidRDefault="00F962BE" w:rsidP="00D706E5">
            <w:pPr>
              <w:pStyle w:val="ARTabletext"/>
              <w:rPr>
                <w:lang w:eastAsia="en-AU"/>
              </w:rPr>
            </w:pPr>
            <w:r w:rsidRPr="00D4397B">
              <w:rPr>
                <w:lang w:eastAsia="en-AU"/>
              </w:rPr>
              <w:t xml:space="preserve">Net gain/(loss) on non-financial assets </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hideMark/>
          </w:tcPr>
          <w:p w14:paraId="121074F0" w14:textId="77777777" w:rsidR="00F962BE" w:rsidRPr="00D4397B" w:rsidRDefault="00F962BE" w:rsidP="00086E3C">
            <w:pPr>
              <w:pStyle w:val="ARTabletext"/>
              <w:jc w:val="right"/>
              <w:rPr>
                <w:lang w:eastAsia="en-AU"/>
              </w:rPr>
            </w:pPr>
            <w:r w:rsidRPr="00D4397B">
              <w:rPr>
                <w:lang w:eastAsia="en-AU"/>
              </w:rPr>
              <w:t>(6.3)</w:t>
            </w:r>
          </w:p>
        </w:tc>
        <w:tc>
          <w:tcPr>
            <w:tcW w:w="809" w:type="pct"/>
            <w:tcBorders>
              <w:bottom w:val="single" w:sz="4" w:space="0" w:color="BFBFBF" w:themeColor="accent2"/>
            </w:tcBorders>
            <w:noWrap/>
            <w:hideMark/>
          </w:tcPr>
          <w:p w14:paraId="1C62C79F" w14:textId="77777777" w:rsidR="00F962BE" w:rsidRPr="00D4397B" w:rsidRDefault="00F962BE" w:rsidP="00086E3C">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D4397B">
              <w:rPr>
                <w:lang w:eastAsia="en-AU"/>
              </w:rPr>
              <w:t>(9.9)</w:t>
            </w:r>
          </w:p>
        </w:tc>
      </w:tr>
      <w:tr w:rsidR="00F962BE" w:rsidRPr="00D4397B" w14:paraId="40998F2F"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hideMark/>
          </w:tcPr>
          <w:p w14:paraId="16F770A2" w14:textId="77777777" w:rsidR="00F962BE" w:rsidRPr="00D4397B" w:rsidRDefault="00F962BE" w:rsidP="00D706E5">
            <w:pPr>
              <w:pStyle w:val="ARTabletext"/>
              <w:rPr>
                <w:lang w:eastAsia="en-AU"/>
              </w:rPr>
            </w:pPr>
            <w:r w:rsidRPr="00D4397B">
              <w:rPr>
                <w:lang w:eastAsia="en-AU"/>
              </w:rPr>
              <w:t>Other gains/(losses) from other economic flows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hideMark/>
          </w:tcPr>
          <w:p w14:paraId="2DA8A1DD" w14:textId="77777777" w:rsidR="00F962BE" w:rsidRPr="00D4397B" w:rsidRDefault="00F962BE" w:rsidP="00086E3C">
            <w:pPr>
              <w:pStyle w:val="ARTabletext"/>
              <w:jc w:val="right"/>
              <w:rPr>
                <w:lang w:eastAsia="en-AU"/>
              </w:rPr>
            </w:pPr>
            <w:r w:rsidRPr="00D4397B">
              <w:rPr>
                <w:lang w:eastAsia="en-AU"/>
              </w:rPr>
              <w:t>2.4</w:t>
            </w:r>
          </w:p>
        </w:tc>
        <w:tc>
          <w:tcPr>
            <w:tcW w:w="809" w:type="pct"/>
            <w:tcBorders>
              <w:top w:val="single" w:sz="4" w:space="0" w:color="BFBFBF" w:themeColor="accent2"/>
              <w:bottom w:val="single" w:sz="4" w:space="0" w:color="000000" w:themeColor="text1"/>
            </w:tcBorders>
            <w:noWrap/>
            <w:hideMark/>
          </w:tcPr>
          <w:p w14:paraId="395658CD" w14:textId="77777777" w:rsidR="00F962BE" w:rsidRPr="00D4397B" w:rsidRDefault="00F962BE" w:rsidP="00086E3C">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D4397B">
              <w:rPr>
                <w:lang w:eastAsia="en-AU"/>
              </w:rPr>
              <w:t>(5.4)</w:t>
            </w:r>
          </w:p>
        </w:tc>
      </w:tr>
      <w:tr w:rsidR="00F962BE" w:rsidRPr="00D4397B" w14:paraId="452B18FF"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hideMark/>
          </w:tcPr>
          <w:p w14:paraId="5E16C854" w14:textId="77777777" w:rsidR="00F962BE" w:rsidRPr="00D4397B" w:rsidRDefault="00F962BE" w:rsidP="00086E3C">
            <w:pPr>
              <w:pStyle w:val="ARtabletextbold"/>
              <w:rPr>
                <w:lang w:eastAsia="en-AU"/>
              </w:rPr>
            </w:pPr>
            <w:r w:rsidRPr="00D4397B">
              <w:rPr>
                <w:lang w:eastAsia="en-AU"/>
              </w:rPr>
              <w:t>Total other economic flows included in net result</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hideMark/>
          </w:tcPr>
          <w:p w14:paraId="2B101895" w14:textId="77777777" w:rsidR="00F962BE" w:rsidRPr="00D4397B" w:rsidRDefault="00F962BE" w:rsidP="00086E3C">
            <w:pPr>
              <w:pStyle w:val="ARtabletextbold"/>
              <w:jc w:val="right"/>
              <w:rPr>
                <w:lang w:eastAsia="en-AU"/>
              </w:rPr>
            </w:pPr>
            <w:r w:rsidRPr="00D4397B">
              <w:rPr>
                <w:lang w:eastAsia="en-AU"/>
              </w:rPr>
              <w:t>(3.9)</w:t>
            </w:r>
          </w:p>
        </w:tc>
        <w:tc>
          <w:tcPr>
            <w:tcW w:w="809" w:type="pct"/>
            <w:tcBorders>
              <w:top w:val="single" w:sz="4" w:space="0" w:color="000000" w:themeColor="text1"/>
              <w:bottom w:val="single" w:sz="4" w:space="0" w:color="000000" w:themeColor="text1"/>
            </w:tcBorders>
            <w:noWrap/>
            <w:hideMark/>
          </w:tcPr>
          <w:p w14:paraId="238BCC58" w14:textId="77777777" w:rsidR="00F962BE" w:rsidRPr="00D4397B" w:rsidRDefault="00F962BE" w:rsidP="00086E3C">
            <w:pPr>
              <w:pStyle w:val="ARtabletextbold"/>
              <w:jc w:val="right"/>
              <w:cnfStyle w:val="000000010000" w:firstRow="0" w:lastRow="0" w:firstColumn="0" w:lastColumn="0" w:oddVBand="0" w:evenVBand="0" w:oddHBand="0" w:evenHBand="1" w:firstRowFirstColumn="0" w:firstRowLastColumn="0" w:lastRowFirstColumn="0" w:lastRowLastColumn="0"/>
              <w:rPr>
                <w:lang w:eastAsia="en-AU"/>
              </w:rPr>
            </w:pPr>
            <w:r w:rsidRPr="00D4397B">
              <w:rPr>
                <w:lang w:eastAsia="en-AU"/>
              </w:rPr>
              <w:t>(15.3)</w:t>
            </w:r>
          </w:p>
        </w:tc>
      </w:tr>
      <w:tr w:rsidR="00F962BE" w:rsidRPr="00D4397B" w14:paraId="10B49999"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hideMark/>
          </w:tcPr>
          <w:p w14:paraId="216ABDFD" w14:textId="77777777" w:rsidR="00F962BE" w:rsidRPr="00D4397B" w:rsidRDefault="00F962BE" w:rsidP="00086E3C">
            <w:pPr>
              <w:pStyle w:val="ARtabletextbold"/>
              <w:rPr>
                <w:lang w:eastAsia="en-AU"/>
              </w:rPr>
            </w:pPr>
            <w:r w:rsidRPr="00D4397B">
              <w:rPr>
                <w:lang w:eastAsia="en-AU"/>
              </w:rPr>
              <w:t>Net result</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hideMark/>
          </w:tcPr>
          <w:p w14:paraId="1707541A" w14:textId="77777777" w:rsidR="00F962BE" w:rsidRPr="00D4397B" w:rsidRDefault="00F962BE" w:rsidP="00086E3C">
            <w:pPr>
              <w:pStyle w:val="ARtabletextbold"/>
              <w:jc w:val="right"/>
              <w:rPr>
                <w:lang w:eastAsia="en-AU"/>
              </w:rPr>
            </w:pPr>
            <w:r w:rsidRPr="00D4397B">
              <w:rPr>
                <w:lang w:eastAsia="en-AU"/>
              </w:rPr>
              <w:t>(450.6)</w:t>
            </w:r>
          </w:p>
        </w:tc>
        <w:tc>
          <w:tcPr>
            <w:tcW w:w="809" w:type="pct"/>
            <w:tcBorders>
              <w:top w:val="single" w:sz="4" w:space="0" w:color="000000" w:themeColor="text1"/>
              <w:bottom w:val="single" w:sz="4" w:space="0" w:color="000000" w:themeColor="text1"/>
            </w:tcBorders>
            <w:noWrap/>
            <w:hideMark/>
          </w:tcPr>
          <w:p w14:paraId="0F321DF9" w14:textId="77777777" w:rsidR="00F962BE" w:rsidRPr="00D4397B" w:rsidRDefault="00F962BE" w:rsidP="00086E3C">
            <w:pPr>
              <w:pStyle w:val="ARtabletextbold"/>
              <w:jc w:val="right"/>
              <w:cnfStyle w:val="000000100000" w:firstRow="0" w:lastRow="0" w:firstColumn="0" w:lastColumn="0" w:oddVBand="0" w:evenVBand="0" w:oddHBand="1" w:evenHBand="0" w:firstRowFirstColumn="0" w:firstRowLastColumn="0" w:lastRowFirstColumn="0" w:lastRowLastColumn="0"/>
              <w:rPr>
                <w:lang w:eastAsia="en-AU"/>
              </w:rPr>
            </w:pPr>
            <w:r w:rsidRPr="00D4397B">
              <w:rPr>
                <w:lang w:eastAsia="en-AU"/>
              </w:rPr>
              <w:t>(359.7)</w:t>
            </w:r>
          </w:p>
        </w:tc>
      </w:tr>
      <w:tr w:rsidR="00F962BE" w:rsidRPr="00D4397B" w14:paraId="460373EC"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tcBorders>
            <w:hideMark/>
          </w:tcPr>
          <w:p w14:paraId="7B7548A3" w14:textId="77777777" w:rsidR="00F962BE" w:rsidRPr="00D4397B" w:rsidRDefault="00F962BE" w:rsidP="00D706E5">
            <w:pPr>
              <w:pStyle w:val="ARTabletextboldcoloured"/>
            </w:pPr>
            <w:r w:rsidRPr="00D4397B">
              <w:t xml:space="preserve">Other economic flows </w:t>
            </w:r>
            <w:r>
              <w:t>–</w:t>
            </w:r>
            <w:r w:rsidRPr="00D4397B">
              <w:t xml:space="preserve"> other comprehensive income</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hideMark/>
          </w:tcPr>
          <w:p w14:paraId="5D708F0C" w14:textId="77777777" w:rsidR="00F962BE" w:rsidRPr="00D4397B" w:rsidRDefault="00F962BE" w:rsidP="00086E3C">
            <w:pPr>
              <w:pStyle w:val="ARtabletextright"/>
              <w:rPr>
                <w:lang w:eastAsia="en-AU"/>
              </w:rPr>
            </w:pPr>
          </w:p>
        </w:tc>
        <w:tc>
          <w:tcPr>
            <w:tcW w:w="809" w:type="pct"/>
            <w:tcBorders>
              <w:top w:val="single" w:sz="4" w:space="0" w:color="000000" w:themeColor="text1"/>
            </w:tcBorders>
            <w:noWrap/>
            <w:hideMark/>
          </w:tcPr>
          <w:p w14:paraId="422CA6B0" w14:textId="77777777" w:rsidR="00F962BE" w:rsidRPr="00D4397B" w:rsidRDefault="00F962BE" w:rsidP="00086E3C">
            <w:pPr>
              <w:pStyle w:val="ARtabletextright"/>
              <w:cnfStyle w:val="000000010000" w:firstRow="0" w:lastRow="0" w:firstColumn="0" w:lastColumn="0" w:oddVBand="0" w:evenVBand="0" w:oddHBand="0" w:evenHBand="1" w:firstRowFirstColumn="0" w:firstRowLastColumn="0" w:lastRowFirstColumn="0" w:lastRowLastColumn="0"/>
              <w:rPr>
                <w:rFonts w:ascii="Times New Roman" w:hAnsi="Times New Roman"/>
                <w:lang w:eastAsia="en-AU"/>
              </w:rPr>
            </w:pPr>
          </w:p>
        </w:tc>
      </w:tr>
      <w:tr w:rsidR="00F962BE" w:rsidRPr="00D4397B" w14:paraId="5CB84874"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hideMark/>
          </w:tcPr>
          <w:p w14:paraId="0D82F13D" w14:textId="77777777" w:rsidR="00F962BE" w:rsidRPr="00D4397B" w:rsidRDefault="00F962BE" w:rsidP="00D706E5">
            <w:pPr>
              <w:pStyle w:val="ARtabletextbold"/>
            </w:pPr>
            <w:r w:rsidRPr="00D4397B">
              <w:t>Items that will not be reclassified to net result</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hideMark/>
          </w:tcPr>
          <w:p w14:paraId="736D7617" w14:textId="77777777" w:rsidR="00F962BE" w:rsidRPr="00D4397B" w:rsidRDefault="00F962BE" w:rsidP="00086E3C">
            <w:pPr>
              <w:pStyle w:val="ARtabletextright"/>
              <w:rPr>
                <w:lang w:eastAsia="en-AU"/>
              </w:rPr>
            </w:pPr>
          </w:p>
        </w:tc>
        <w:tc>
          <w:tcPr>
            <w:tcW w:w="809" w:type="pct"/>
            <w:noWrap/>
            <w:hideMark/>
          </w:tcPr>
          <w:p w14:paraId="495854C1" w14:textId="77777777" w:rsidR="00F962BE" w:rsidRPr="00D4397B" w:rsidRDefault="00F962BE" w:rsidP="00086E3C">
            <w:pPr>
              <w:pStyle w:val="ARtabletextrigh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AU"/>
              </w:rPr>
            </w:pPr>
          </w:p>
        </w:tc>
      </w:tr>
      <w:tr w:rsidR="00F962BE" w:rsidRPr="00D4397B" w14:paraId="0C790786"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tcBorders>
              <w:bottom w:val="single" w:sz="4" w:space="0" w:color="BFBFBF" w:themeColor="accent2"/>
            </w:tcBorders>
            <w:hideMark/>
          </w:tcPr>
          <w:p w14:paraId="24C069E7" w14:textId="77777777" w:rsidR="00F962BE" w:rsidRPr="00D4397B" w:rsidRDefault="00F962BE" w:rsidP="00D706E5">
            <w:pPr>
              <w:pStyle w:val="ARTabletext"/>
              <w:rPr>
                <w:lang w:eastAsia="en-AU"/>
              </w:rPr>
            </w:pPr>
            <w:r w:rsidRPr="00D4397B">
              <w:rPr>
                <w:lang w:eastAsia="en-AU"/>
              </w:rPr>
              <w:t xml:space="preserve">Changes in physical asset revaluation surplus </w:t>
            </w:r>
            <w:r w:rsidRPr="00D4397B">
              <w:rPr>
                <w:vertAlign w:val="superscript"/>
                <w:lang w:eastAsia="en-AU"/>
              </w:rPr>
              <w:t>(ii)</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hideMark/>
          </w:tcPr>
          <w:p w14:paraId="04AB7BA5" w14:textId="77777777" w:rsidR="00F962BE" w:rsidRPr="00D4397B" w:rsidRDefault="00F962BE" w:rsidP="00086E3C">
            <w:pPr>
              <w:pStyle w:val="ARTabletext"/>
              <w:jc w:val="right"/>
              <w:rPr>
                <w:lang w:eastAsia="en-AU"/>
              </w:rPr>
            </w:pPr>
            <w:r w:rsidRPr="00D4397B">
              <w:rPr>
                <w:lang w:eastAsia="en-AU"/>
              </w:rPr>
              <w:t>43.3</w:t>
            </w:r>
          </w:p>
        </w:tc>
        <w:tc>
          <w:tcPr>
            <w:tcW w:w="809" w:type="pct"/>
            <w:tcBorders>
              <w:bottom w:val="single" w:sz="4" w:space="0" w:color="BFBFBF" w:themeColor="accent2"/>
            </w:tcBorders>
            <w:noWrap/>
            <w:hideMark/>
          </w:tcPr>
          <w:p w14:paraId="41B30950" w14:textId="77777777" w:rsidR="00F962BE" w:rsidRPr="00D4397B" w:rsidRDefault="00F962BE" w:rsidP="00086E3C">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D4397B">
              <w:rPr>
                <w:lang w:eastAsia="en-AU"/>
              </w:rPr>
              <w:t>4.2</w:t>
            </w:r>
          </w:p>
        </w:tc>
      </w:tr>
      <w:tr w:rsidR="00F962BE" w:rsidRPr="00D4397B" w14:paraId="16E932EC"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hideMark/>
          </w:tcPr>
          <w:p w14:paraId="1A2261C5" w14:textId="77777777" w:rsidR="00F962BE" w:rsidRPr="00D4397B" w:rsidRDefault="00F962BE" w:rsidP="00D706E5">
            <w:pPr>
              <w:pStyle w:val="ARTabletext"/>
              <w:rPr>
                <w:lang w:eastAsia="en-AU"/>
              </w:rPr>
            </w:pPr>
            <w:r w:rsidRPr="00D4397B">
              <w:rPr>
                <w:lang w:eastAsia="en-AU"/>
              </w:rPr>
              <w:t>Remeasurement of superannuation defined benefit plans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hideMark/>
          </w:tcPr>
          <w:p w14:paraId="340D7DFC" w14:textId="77777777" w:rsidR="00F962BE" w:rsidRPr="00D4397B" w:rsidRDefault="00F962BE" w:rsidP="00086E3C">
            <w:pPr>
              <w:pStyle w:val="ARTabletext"/>
              <w:jc w:val="right"/>
              <w:rPr>
                <w:lang w:eastAsia="en-AU"/>
              </w:rPr>
            </w:pPr>
            <w:r w:rsidRPr="00D4397B">
              <w:rPr>
                <w:lang w:eastAsia="en-AU"/>
              </w:rPr>
              <w:t>0.7</w:t>
            </w:r>
          </w:p>
        </w:tc>
        <w:tc>
          <w:tcPr>
            <w:tcW w:w="809" w:type="pct"/>
            <w:tcBorders>
              <w:top w:val="single" w:sz="4" w:space="0" w:color="BFBFBF" w:themeColor="accent2"/>
              <w:bottom w:val="single" w:sz="4" w:space="0" w:color="000000" w:themeColor="text1"/>
            </w:tcBorders>
            <w:noWrap/>
            <w:hideMark/>
          </w:tcPr>
          <w:p w14:paraId="04A707F7" w14:textId="77777777" w:rsidR="00F962BE" w:rsidRPr="00D4397B" w:rsidRDefault="00F962BE" w:rsidP="00086E3C">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D4397B">
              <w:rPr>
                <w:lang w:eastAsia="en-AU"/>
              </w:rPr>
              <w:t>(1.2)</w:t>
            </w:r>
          </w:p>
        </w:tc>
      </w:tr>
      <w:tr w:rsidR="00F962BE" w:rsidRPr="00D4397B" w14:paraId="3F5B0FB1"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hideMark/>
          </w:tcPr>
          <w:p w14:paraId="0B535750" w14:textId="77777777" w:rsidR="00F962BE" w:rsidRPr="00D4397B" w:rsidRDefault="00F962BE" w:rsidP="00086E3C">
            <w:pPr>
              <w:pStyle w:val="ARtabletextbold"/>
              <w:rPr>
                <w:lang w:eastAsia="en-AU"/>
              </w:rPr>
            </w:pPr>
            <w:r w:rsidRPr="00D4397B">
              <w:rPr>
                <w:lang w:eastAsia="en-AU"/>
              </w:rPr>
              <w:t xml:space="preserve">Total other economic flows </w:t>
            </w:r>
            <w:r>
              <w:rPr>
                <w:lang w:eastAsia="en-AU"/>
              </w:rPr>
              <w:t>–</w:t>
            </w:r>
            <w:r w:rsidRPr="00D4397B">
              <w:rPr>
                <w:lang w:eastAsia="en-AU"/>
              </w:rPr>
              <w:t xml:space="preserve"> other comprehensive income</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hideMark/>
          </w:tcPr>
          <w:p w14:paraId="174947CB" w14:textId="77777777" w:rsidR="00F962BE" w:rsidRPr="00D4397B" w:rsidRDefault="00F962BE" w:rsidP="00086E3C">
            <w:pPr>
              <w:pStyle w:val="ARtabletextbold"/>
              <w:jc w:val="right"/>
              <w:rPr>
                <w:lang w:eastAsia="en-AU"/>
              </w:rPr>
            </w:pPr>
            <w:r w:rsidRPr="00D4397B">
              <w:rPr>
                <w:lang w:eastAsia="en-AU"/>
              </w:rPr>
              <w:t>44.0</w:t>
            </w:r>
          </w:p>
        </w:tc>
        <w:tc>
          <w:tcPr>
            <w:tcW w:w="809" w:type="pct"/>
            <w:tcBorders>
              <w:top w:val="single" w:sz="4" w:space="0" w:color="000000" w:themeColor="text1"/>
              <w:bottom w:val="single" w:sz="4" w:space="0" w:color="000000" w:themeColor="text1"/>
            </w:tcBorders>
            <w:noWrap/>
            <w:hideMark/>
          </w:tcPr>
          <w:p w14:paraId="71540545" w14:textId="77777777" w:rsidR="00F962BE" w:rsidRPr="00D4397B" w:rsidRDefault="00F962BE" w:rsidP="00086E3C">
            <w:pPr>
              <w:pStyle w:val="ARtabletextbold"/>
              <w:jc w:val="right"/>
              <w:cnfStyle w:val="000000010000" w:firstRow="0" w:lastRow="0" w:firstColumn="0" w:lastColumn="0" w:oddVBand="0" w:evenVBand="0" w:oddHBand="0" w:evenHBand="1" w:firstRowFirstColumn="0" w:firstRowLastColumn="0" w:lastRowFirstColumn="0" w:lastRowLastColumn="0"/>
              <w:rPr>
                <w:lang w:eastAsia="en-AU"/>
              </w:rPr>
            </w:pPr>
            <w:r w:rsidRPr="00D4397B">
              <w:rPr>
                <w:lang w:eastAsia="en-AU"/>
              </w:rPr>
              <w:t>3.0</w:t>
            </w:r>
          </w:p>
        </w:tc>
      </w:tr>
      <w:tr w:rsidR="00F962BE" w:rsidRPr="00D4397B" w14:paraId="2F4C5147" w14:textId="77777777" w:rsidTr="00AD1BA0">
        <w:trPr>
          <w:cnfStyle w:val="010000000000" w:firstRow="0" w:lastRow="1" w:firstColumn="0" w:lastColumn="0" w:oddVBand="0" w:evenVBand="0" w:oddHBand="0" w:evenHBand="0" w:firstRowFirstColumn="0" w:firstRowLastColumn="0" w:lastRowFirstColumn="0" w:lastRowLastColumn="0"/>
          <w:trHeight w:val="20"/>
        </w:trPr>
        <w:tc>
          <w:tcPr>
            <w:tcW w:w="3383" w:type="pct"/>
            <w:hideMark/>
          </w:tcPr>
          <w:p w14:paraId="2375DB3C" w14:textId="77777777" w:rsidR="00F962BE" w:rsidRPr="00D4397B" w:rsidRDefault="00F962BE" w:rsidP="00086E3C">
            <w:pPr>
              <w:pStyle w:val="ARtabletextbold"/>
              <w:rPr>
                <w:lang w:eastAsia="en-AU"/>
              </w:rPr>
            </w:pPr>
            <w:r w:rsidRPr="00D4397B">
              <w:rPr>
                <w:lang w:eastAsia="en-AU"/>
              </w:rPr>
              <w:t>Comprehensive result</w:t>
            </w:r>
          </w:p>
        </w:tc>
        <w:tc>
          <w:tcPr>
            <w:cnfStyle w:val="000001000000" w:firstRow="0" w:lastRow="0" w:firstColumn="0" w:lastColumn="0" w:oddVBand="0" w:evenVBand="1" w:oddHBand="0" w:evenHBand="0" w:firstRowFirstColumn="0" w:firstRowLastColumn="0" w:lastRowFirstColumn="0" w:lastRowLastColumn="0"/>
            <w:tcW w:w="808" w:type="pct"/>
            <w:noWrap/>
            <w:hideMark/>
          </w:tcPr>
          <w:p w14:paraId="7B684FC8" w14:textId="77777777" w:rsidR="00F962BE" w:rsidRPr="00D4397B" w:rsidRDefault="00F962BE" w:rsidP="00086E3C">
            <w:pPr>
              <w:pStyle w:val="ARtabletextbold"/>
              <w:jc w:val="right"/>
              <w:rPr>
                <w:lang w:eastAsia="en-AU"/>
              </w:rPr>
            </w:pPr>
            <w:r w:rsidRPr="00D4397B">
              <w:rPr>
                <w:lang w:eastAsia="en-AU"/>
              </w:rPr>
              <w:t>(406.6)</w:t>
            </w:r>
          </w:p>
        </w:tc>
        <w:tc>
          <w:tcPr>
            <w:tcW w:w="809" w:type="pct"/>
            <w:noWrap/>
            <w:hideMark/>
          </w:tcPr>
          <w:p w14:paraId="6BC99454" w14:textId="77777777" w:rsidR="00F962BE" w:rsidRPr="00D4397B" w:rsidRDefault="00F962BE" w:rsidP="00086E3C">
            <w:pPr>
              <w:pStyle w:val="ARtabletextbold"/>
              <w:jc w:val="right"/>
              <w:cnfStyle w:val="010000000000" w:firstRow="0" w:lastRow="1" w:firstColumn="0" w:lastColumn="0" w:oddVBand="0" w:evenVBand="0" w:oddHBand="0" w:evenHBand="0" w:firstRowFirstColumn="0" w:firstRowLastColumn="0" w:lastRowFirstColumn="0" w:lastRowLastColumn="0"/>
              <w:rPr>
                <w:lang w:eastAsia="en-AU"/>
              </w:rPr>
            </w:pPr>
            <w:r w:rsidRPr="00D4397B">
              <w:rPr>
                <w:lang w:eastAsia="en-AU"/>
              </w:rPr>
              <w:t>(356.7)</w:t>
            </w:r>
          </w:p>
        </w:tc>
      </w:tr>
    </w:tbl>
    <w:p w14:paraId="1DD6E6E3" w14:textId="77777777" w:rsidR="00F962BE" w:rsidRPr="00D4397B" w:rsidRDefault="00F962BE" w:rsidP="00F962BE">
      <w:pPr>
        <w:pStyle w:val="ARfintablenote"/>
        <w:rPr>
          <w:lang w:eastAsia="en-AU"/>
        </w:rPr>
      </w:pPr>
      <w:r w:rsidRPr="00D4397B">
        <w:rPr>
          <w:lang w:eastAsia="en-AU"/>
        </w:rPr>
        <w:t>Notes:</w:t>
      </w:r>
    </w:p>
    <w:p w14:paraId="586460FD" w14:textId="77777777" w:rsidR="00F962BE" w:rsidRPr="00FB55DD" w:rsidRDefault="00F962BE" w:rsidP="00F962BE">
      <w:pPr>
        <w:pStyle w:val="ARfintablenoteroman"/>
        <w:numPr>
          <w:ilvl w:val="0"/>
          <w:numId w:val="87"/>
        </w:numPr>
      </w:pPr>
      <w:r w:rsidRPr="00D4397B">
        <w:t>The 2025–26 net result from transactions of ($446.7) million includes a non-cash depreciation charge of $604.3 million on homes owned by Homes Victoria.  The net operating result from transactions (excluding depreciation) of $157.6 million reflects the timing of government investment to grow social and affordable housing in Victoria.</w:t>
      </w:r>
    </w:p>
    <w:p w14:paraId="1DE9B18A" w14:textId="77777777" w:rsidR="00F962BE" w:rsidRDefault="00F962BE" w:rsidP="00F962BE">
      <w:pPr>
        <w:rPr>
          <w:rFonts w:ascii="Verdana" w:hAnsi="Verdana" w:cs="Arial"/>
          <w:sz w:val="20"/>
          <w:lang w:eastAsia="en-AU"/>
        </w:rPr>
      </w:pPr>
      <w:r>
        <w:rPr>
          <w:rFonts w:ascii="Verdana" w:hAnsi="Verdana" w:cs="Arial"/>
          <w:sz w:val="20"/>
          <w:lang w:eastAsia="en-AU"/>
        </w:rPr>
        <w:br w:type="page"/>
      </w:r>
    </w:p>
    <w:p w14:paraId="294CB6A1" w14:textId="77777777" w:rsidR="00F962BE" w:rsidRPr="006E4BB7" w:rsidRDefault="00F962BE" w:rsidP="00F962BE">
      <w:pPr>
        <w:pStyle w:val="Heading3"/>
        <w:rPr>
          <w:lang w:eastAsia="en-AU"/>
        </w:rPr>
      </w:pPr>
      <w:r w:rsidRPr="006E4BB7">
        <w:rPr>
          <w:lang w:eastAsia="en-AU"/>
        </w:rPr>
        <w:t xml:space="preserve">Balance sheet as </w:t>
      </w:r>
      <w:proofErr w:type="gramStart"/>
      <w:r w:rsidRPr="006E4BB7">
        <w:rPr>
          <w:lang w:eastAsia="en-AU"/>
        </w:rPr>
        <w:t>at</w:t>
      </w:r>
      <w:proofErr w:type="gramEnd"/>
      <w:r w:rsidRPr="006E4BB7">
        <w:rPr>
          <w:lang w:eastAsia="en-AU"/>
        </w:rPr>
        <w:t xml:space="preserve"> 30 June 2026</w:t>
      </w:r>
    </w:p>
    <w:tbl>
      <w:tblPr>
        <w:tblStyle w:val="ARtable1"/>
        <w:tblW w:w="5000" w:type="pct"/>
        <w:tblLook w:val="00E0" w:firstRow="1" w:lastRow="1" w:firstColumn="1" w:lastColumn="0" w:noHBand="0" w:noVBand="0"/>
      </w:tblPr>
      <w:tblGrid>
        <w:gridCol w:w="6514"/>
        <w:gridCol w:w="1556"/>
        <w:gridCol w:w="1558"/>
      </w:tblGrid>
      <w:tr w:rsidR="00F962BE" w:rsidRPr="006E4BB7" w14:paraId="7AE72601" w14:textId="77777777" w:rsidTr="00AD1BA0">
        <w:trPr>
          <w:cnfStyle w:val="100000000000" w:firstRow="1" w:lastRow="0" w:firstColumn="0" w:lastColumn="0" w:oddVBand="0" w:evenVBand="0" w:oddHBand="0" w:evenHBand="0" w:firstRowFirstColumn="0" w:firstRowLastColumn="0" w:lastRowFirstColumn="0" w:lastRowLastColumn="0"/>
          <w:trHeight w:val="287"/>
          <w:tblHeader/>
        </w:trPr>
        <w:tc>
          <w:tcPr>
            <w:tcW w:w="3383" w:type="pct"/>
            <w:vMerge w:val="restart"/>
            <w:noWrap/>
            <w:hideMark/>
          </w:tcPr>
          <w:p w14:paraId="7F06FA81" w14:textId="77777777" w:rsidR="00F962BE" w:rsidRPr="006E4BB7" w:rsidRDefault="00F962BE">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808" w:type="pct"/>
            <w:vMerge w:val="restart"/>
            <w:noWrap/>
            <w:hideMark/>
          </w:tcPr>
          <w:p w14:paraId="49C513A9" w14:textId="77777777" w:rsidR="00F962BE" w:rsidRPr="006E4BB7" w:rsidRDefault="00F962BE" w:rsidP="00086E3C">
            <w:pPr>
              <w:pStyle w:val="ARtablecolhead"/>
              <w:jc w:val="right"/>
              <w:rPr>
                <w:lang w:eastAsia="en-AU"/>
              </w:rPr>
            </w:pPr>
            <w:r w:rsidRPr="006E4BB7">
              <w:rPr>
                <w:lang w:eastAsia="en-AU"/>
              </w:rPr>
              <w:t>2026</w:t>
            </w:r>
          </w:p>
          <w:p w14:paraId="28900A58" w14:textId="77777777" w:rsidR="00F962BE" w:rsidRPr="006E4BB7" w:rsidRDefault="00F962BE" w:rsidP="00086E3C">
            <w:pPr>
              <w:pStyle w:val="ARtablecolhead"/>
              <w:jc w:val="right"/>
              <w:rPr>
                <w:lang w:eastAsia="en-AU"/>
              </w:rPr>
            </w:pPr>
            <w:r w:rsidRPr="006E4BB7">
              <w:rPr>
                <w:lang w:eastAsia="en-AU"/>
              </w:rPr>
              <w:t>$M</w:t>
            </w:r>
          </w:p>
        </w:tc>
        <w:tc>
          <w:tcPr>
            <w:tcW w:w="809" w:type="pct"/>
            <w:vMerge w:val="restart"/>
            <w:noWrap/>
            <w:hideMark/>
          </w:tcPr>
          <w:p w14:paraId="38E9A48A" w14:textId="77777777" w:rsidR="00F962BE" w:rsidRPr="006E4BB7" w:rsidRDefault="00F962BE" w:rsidP="00086E3C">
            <w:pPr>
              <w:pStyle w:val="ARtablecolhead"/>
              <w:jc w:val="right"/>
              <w:cnfStyle w:val="100000000000" w:firstRow="1" w:lastRow="0" w:firstColumn="0" w:lastColumn="0" w:oddVBand="0" w:evenVBand="0" w:oddHBand="0" w:evenHBand="0" w:firstRowFirstColumn="0" w:firstRowLastColumn="0" w:lastRowFirstColumn="0" w:lastRowLastColumn="0"/>
              <w:rPr>
                <w:lang w:eastAsia="en-AU"/>
              </w:rPr>
            </w:pPr>
            <w:r w:rsidRPr="006E4BB7">
              <w:rPr>
                <w:lang w:eastAsia="en-AU"/>
              </w:rPr>
              <w:t>2025</w:t>
            </w:r>
          </w:p>
          <w:p w14:paraId="765A226A" w14:textId="77777777" w:rsidR="00F962BE" w:rsidRPr="006E4BB7" w:rsidRDefault="00F962BE" w:rsidP="00086E3C">
            <w:pPr>
              <w:pStyle w:val="ARtablecolhead"/>
              <w:jc w:val="right"/>
              <w:cnfStyle w:val="100000000000" w:firstRow="1" w:lastRow="0" w:firstColumn="0" w:lastColumn="0" w:oddVBand="0" w:evenVBand="0" w:oddHBand="0" w:evenHBand="0" w:firstRowFirstColumn="0" w:firstRowLastColumn="0" w:lastRowFirstColumn="0" w:lastRowLastColumn="0"/>
              <w:rPr>
                <w:lang w:eastAsia="en-AU"/>
              </w:rPr>
            </w:pPr>
            <w:r w:rsidRPr="006E4BB7">
              <w:rPr>
                <w:lang w:eastAsia="en-AU"/>
              </w:rPr>
              <w:t>$M</w:t>
            </w:r>
          </w:p>
        </w:tc>
      </w:tr>
      <w:tr w:rsidR="00F962BE" w:rsidRPr="006E4BB7" w14:paraId="18319A5F" w14:textId="77777777" w:rsidTr="00AD1BA0">
        <w:trPr>
          <w:cnfStyle w:val="100000000000" w:firstRow="1" w:lastRow="0" w:firstColumn="0" w:lastColumn="0" w:oddVBand="0" w:evenVBand="0" w:oddHBand="0" w:evenHBand="0" w:firstRowFirstColumn="0" w:firstRowLastColumn="0" w:lastRowFirstColumn="0" w:lastRowLastColumn="0"/>
          <w:trHeight w:val="241"/>
          <w:tblHeader/>
        </w:trPr>
        <w:tc>
          <w:tcPr>
            <w:tcW w:w="3383" w:type="pct"/>
            <w:vMerge/>
            <w:tcBorders>
              <w:top w:val="single" w:sz="4" w:space="0" w:color="000000" w:themeColor="text1"/>
            </w:tcBorders>
            <w:noWrap/>
            <w:hideMark/>
          </w:tcPr>
          <w:p w14:paraId="10A9EAFA" w14:textId="77777777" w:rsidR="00F962BE" w:rsidRPr="006E4BB7" w:rsidRDefault="00F962BE">
            <w:pPr>
              <w:spacing w:after="0" w:line="240" w:lineRule="auto"/>
              <w:rPr>
                <w:rFonts w:ascii="Verdana" w:hAnsi="Verdana" w:cs="Arial"/>
                <w:b/>
                <w:bCs/>
                <w:color w:val="000000"/>
                <w:sz w:val="20"/>
                <w:lang w:eastAsia="en-AU"/>
              </w:rPr>
            </w:pPr>
          </w:p>
        </w:tc>
        <w:tc>
          <w:tcPr>
            <w:cnfStyle w:val="000001000000" w:firstRow="0" w:lastRow="0" w:firstColumn="0" w:lastColumn="0" w:oddVBand="0" w:evenVBand="1" w:oddHBand="0" w:evenHBand="0" w:firstRowFirstColumn="0" w:firstRowLastColumn="0" w:lastRowFirstColumn="0" w:lastRowLastColumn="0"/>
            <w:tcW w:w="808" w:type="pct"/>
            <w:vMerge/>
            <w:tcBorders>
              <w:top w:val="single" w:sz="4" w:space="0" w:color="000000" w:themeColor="text1"/>
            </w:tcBorders>
            <w:noWrap/>
            <w:hideMark/>
          </w:tcPr>
          <w:p w14:paraId="61A840F9" w14:textId="77777777" w:rsidR="00F962BE" w:rsidRPr="006E4BB7" w:rsidRDefault="00F962BE">
            <w:pPr>
              <w:spacing w:after="0" w:line="240" w:lineRule="auto"/>
              <w:jc w:val="right"/>
              <w:rPr>
                <w:rFonts w:ascii="Verdana" w:hAnsi="Verdana" w:cs="Arial"/>
                <w:b/>
                <w:bCs/>
                <w:color w:val="000000"/>
                <w:sz w:val="20"/>
                <w:lang w:eastAsia="en-AU"/>
              </w:rPr>
            </w:pPr>
          </w:p>
        </w:tc>
        <w:tc>
          <w:tcPr>
            <w:tcW w:w="809" w:type="pct"/>
            <w:vMerge/>
            <w:noWrap/>
            <w:hideMark/>
          </w:tcPr>
          <w:p w14:paraId="0ED18D97" w14:textId="77777777" w:rsidR="00F962BE" w:rsidRPr="006E4BB7" w:rsidRDefault="00F962BE">
            <w:pPr>
              <w:spacing w:after="0" w:line="240" w:lineRule="auto"/>
              <w:jc w:val="right"/>
              <w:cnfStyle w:val="100000000000" w:firstRow="1" w:lastRow="0" w:firstColumn="0" w:lastColumn="0" w:oddVBand="0" w:evenVBand="0" w:oddHBand="0" w:evenHBand="0" w:firstRowFirstColumn="0" w:firstRowLastColumn="0" w:lastRowFirstColumn="0" w:lastRowLastColumn="0"/>
              <w:rPr>
                <w:rFonts w:ascii="Verdana" w:hAnsi="Verdana" w:cs="Arial"/>
                <w:b/>
                <w:bCs/>
                <w:color w:val="000000"/>
                <w:sz w:val="20"/>
                <w:lang w:eastAsia="en-AU"/>
              </w:rPr>
            </w:pPr>
          </w:p>
        </w:tc>
      </w:tr>
      <w:tr w:rsidR="00F962BE" w:rsidRPr="006E4BB7" w14:paraId="1F184673"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tcBorders>
            <w:noWrap/>
            <w:hideMark/>
          </w:tcPr>
          <w:p w14:paraId="41FBF10C" w14:textId="77777777" w:rsidR="00F962BE" w:rsidRPr="006E4BB7" w:rsidRDefault="00F962BE" w:rsidP="00086E3C">
            <w:pPr>
              <w:pStyle w:val="ARTabletextboldcoloured"/>
            </w:pPr>
            <w:r w:rsidRPr="006E4BB7">
              <w:t>Assets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hideMark/>
          </w:tcPr>
          <w:p w14:paraId="795B3E96" w14:textId="77777777" w:rsidR="00F962BE" w:rsidRPr="006E4BB7" w:rsidRDefault="00F962BE" w:rsidP="00086E3C">
            <w:pPr>
              <w:pStyle w:val="ARtabletextright"/>
              <w:rPr>
                <w:lang w:eastAsia="en-AU"/>
              </w:rPr>
            </w:pPr>
          </w:p>
        </w:tc>
        <w:tc>
          <w:tcPr>
            <w:tcW w:w="809" w:type="pct"/>
            <w:noWrap/>
            <w:hideMark/>
          </w:tcPr>
          <w:p w14:paraId="3C7CE98B" w14:textId="77777777" w:rsidR="00F962BE" w:rsidRPr="006E4BB7" w:rsidRDefault="00F962BE" w:rsidP="00086E3C">
            <w:pPr>
              <w:pStyle w:val="ARtabletextrigh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AU"/>
              </w:rPr>
            </w:pPr>
          </w:p>
        </w:tc>
      </w:tr>
      <w:tr w:rsidR="00F962BE" w:rsidRPr="006E4BB7" w14:paraId="7E6749FA"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hideMark/>
          </w:tcPr>
          <w:p w14:paraId="0153722A" w14:textId="77777777" w:rsidR="00F962BE" w:rsidRPr="006E4BB7" w:rsidRDefault="00F962BE" w:rsidP="00086E3C">
            <w:pPr>
              <w:pStyle w:val="ARtabletextbold"/>
              <w:rPr>
                <w:lang w:eastAsia="en-AU"/>
              </w:rPr>
            </w:pPr>
            <w:r w:rsidRPr="006E4BB7">
              <w:rPr>
                <w:lang w:eastAsia="en-AU"/>
              </w:rPr>
              <w:t>Financial assets</w:t>
            </w:r>
          </w:p>
        </w:tc>
        <w:tc>
          <w:tcPr>
            <w:cnfStyle w:val="000001000000" w:firstRow="0" w:lastRow="0" w:firstColumn="0" w:lastColumn="0" w:oddVBand="0" w:evenVBand="1" w:oddHBand="0" w:evenHBand="0" w:firstRowFirstColumn="0" w:firstRowLastColumn="0" w:lastRowFirstColumn="0" w:lastRowLastColumn="0"/>
            <w:tcW w:w="808" w:type="pct"/>
            <w:shd w:val="clear" w:color="auto" w:fill="auto"/>
            <w:noWrap/>
            <w:hideMark/>
          </w:tcPr>
          <w:p w14:paraId="794F5433" w14:textId="77777777" w:rsidR="00F962BE" w:rsidRPr="006E4BB7" w:rsidRDefault="00F962BE" w:rsidP="00086E3C">
            <w:pPr>
              <w:pStyle w:val="ARtabletextbold"/>
              <w:jc w:val="right"/>
              <w:rPr>
                <w:lang w:eastAsia="en-AU"/>
              </w:rPr>
            </w:pPr>
          </w:p>
        </w:tc>
        <w:tc>
          <w:tcPr>
            <w:tcW w:w="809" w:type="pct"/>
            <w:noWrap/>
            <w:hideMark/>
          </w:tcPr>
          <w:p w14:paraId="735E2967" w14:textId="77777777" w:rsidR="00F962BE" w:rsidRPr="006E4BB7" w:rsidRDefault="00F962BE" w:rsidP="00086E3C">
            <w:pPr>
              <w:pStyle w:val="ARtabletextbold"/>
              <w:jc w:val="right"/>
              <w:cnfStyle w:val="000000010000" w:firstRow="0" w:lastRow="0" w:firstColumn="0" w:lastColumn="0" w:oddVBand="0" w:evenVBand="0" w:oddHBand="0" w:evenHBand="1" w:firstRowFirstColumn="0" w:firstRowLastColumn="0" w:lastRowFirstColumn="0" w:lastRowLastColumn="0"/>
              <w:rPr>
                <w:rFonts w:ascii="Times New Roman" w:hAnsi="Times New Roman"/>
                <w:lang w:eastAsia="en-AU"/>
              </w:rPr>
            </w:pPr>
          </w:p>
        </w:tc>
      </w:tr>
      <w:tr w:rsidR="00F962BE" w:rsidRPr="006E4BB7" w14:paraId="7577A133"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5B8DFBDF" w14:textId="77777777" w:rsidR="00F962BE" w:rsidRPr="006E4BB7" w:rsidRDefault="00F962BE" w:rsidP="00086E3C">
            <w:pPr>
              <w:pStyle w:val="ARTabletext"/>
              <w:rPr>
                <w:lang w:eastAsia="en-AU"/>
              </w:rPr>
            </w:pPr>
            <w:r w:rsidRPr="006E4BB7">
              <w:rPr>
                <w:lang w:eastAsia="en-AU"/>
              </w:rPr>
              <w:t xml:space="preserve">Cash and deposits </w:t>
            </w:r>
            <w:r w:rsidRPr="006E4BB7">
              <w:rPr>
                <w:vertAlign w:val="superscript"/>
                <w:lang w:eastAsia="en-AU"/>
              </w:rPr>
              <w:t>(</w:t>
            </w:r>
            <w:proofErr w:type="spellStart"/>
            <w:r w:rsidRPr="006E4BB7">
              <w:rPr>
                <w:vertAlign w:val="superscript"/>
                <w:lang w:eastAsia="en-AU"/>
              </w:rPr>
              <w:t>i</w:t>
            </w:r>
            <w:proofErr w:type="spellEnd"/>
            <w:r w:rsidRPr="006E4BB7">
              <w:rPr>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808" w:type="pct"/>
            <w:noWrap/>
            <w:hideMark/>
          </w:tcPr>
          <w:p w14:paraId="7104842F" w14:textId="77777777" w:rsidR="00F962BE" w:rsidRPr="006E4BB7" w:rsidRDefault="00F962BE" w:rsidP="00086E3C">
            <w:pPr>
              <w:pStyle w:val="ARTabletext"/>
              <w:jc w:val="right"/>
              <w:rPr>
                <w:lang w:eastAsia="en-AU"/>
              </w:rPr>
            </w:pPr>
            <w:r w:rsidRPr="006E4BB7">
              <w:rPr>
                <w:lang w:eastAsia="en-AU"/>
              </w:rPr>
              <w:t>898.3</w:t>
            </w:r>
          </w:p>
        </w:tc>
        <w:tc>
          <w:tcPr>
            <w:tcW w:w="809" w:type="pct"/>
            <w:noWrap/>
            <w:hideMark/>
          </w:tcPr>
          <w:p w14:paraId="554FE7AC" w14:textId="77777777" w:rsidR="00F962BE" w:rsidRPr="006E4BB7" w:rsidRDefault="00F962BE" w:rsidP="00086E3C">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6E4BB7">
              <w:rPr>
                <w:lang w:eastAsia="en-AU"/>
              </w:rPr>
              <w:t>982.2</w:t>
            </w:r>
          </w:p>
        </w:tc>
      </w:tr>
      <w:tr w:rsidR="00F962BE" w:rsidRPr="006E4BB7" w14:paraId="67DDEDFC"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09701B11" w14:textId="77777777" w:rsidR="00F962BE" w:rsidRPr="006E4BB7" w:rsidRDefault="00F962BE" w:rsidP="00086E3C">
            <w:pPr>
              <w:pStyle w:val="ARTabletext"/>
              <w:rPr>
                <w:lang w:eastAsia="en-AU"/>
              </w:rPr>
            </w:pPr>
            <w:r w:rsidRPr="006E4BB7">
              <w:rPr>
                <w:lang w:eastAsia="en-AU"/>
              </w:rPr>
              <w:t>Restricted cash</w:t>
            </w:r>
          </w:p>
        </w:tc>
        <w:tc>
          <w:tcPr>
            <w:cnfStyle w:val="000001000000" w:firstRow="0" w:lastRow="0" w:firstColumn="0" w:lastColumn="0" w:oddVBand="0" w:evenVBand="1" w:oddHBand="0" w:evenHBand="0" w:firstRowFirstColumn="0" w:firstRowLastColumn="0" w:lastRowFirstColumn="0" w:lastRowLastColumn="0"/>
            <w:tcW w:w="808" w:type="pct"/>
            <w:noWrap/>
            <w:hideMark/>
          </w:tcPr>
          <w:p w14:paraId="2CCB0044" w14:textId="77777777" w:rsidR="00F962BE" w:rsidRPr="006E4BB7" w:rsidRDefault="00F962BE" w:rsidP="00086E3C">
            <w:pPr>
              <w:pStyle w:val="ARTabletext"/>
              <w:jc w:val="right"/>
              <w:rPr>
                <w:lang w:eastAsia="en-AU"/>
              </w:rPr>
            </w:pPr>
            <w:r w:rsidRPr="006E4BB7">
              <w:rPr>
                <w:lang w:eastAsia="en-AU"/>
              </w:rPr>
              <w:t>5.2</w:t>
            </w:r>
          </w:p>
        </w:tc>
        <w:tc>
          <w:tcPr>
            <w:tcW w:w="809" w:type="pct"/>
            <w:noWrap/>
            <w:hideMark/>
          </w:tcPr>
          <w:p w14:paraId="02D6072D" w14:textId="77777777" w:rsidR="00F962BE" w:rsidRPr="006E4BB7" w:rsidRDefault="00F962BE" w:rsidP="00086E3C">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6E4BB7">
              <w:rPr>
                <w:lang w:eastAsia="en-AU"/>
              </w:rPr>
              <w:t>267.1</w:t>
            </w:r>
          </w:p>
        </w:tc>
      </w:tr>
      <w:tr w:rsidR="00F962BE" w:rsidRPr="006E4BB7" w14:paraId="27330555"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tcBorders>
              <w:bottom w:val="single" w:sz="4" w:space="0" w:color="BFBFBF" w:themeColor="accent2"/>
            </w:tcBorders>
            <w:noWrap/>
            <w:hideMark/>
          </w:tcPr>
          <w:p w14:paraId="47FFD5EF" w14:textId="77777777" w:rsidR="00F962BE" w:rsidRPr="006E4BB7" w:rsidRDefault="00F962BE" w:rsidP="00086E3C">
            <w:pPr>
              <w:pStyle w:val="ARTabletext"/>
              <w:rPr>
                <w:lang w:eastAsia="en-AU"/>
              </w:rPr>
            </w:pPr>
            <w:r w:rsidRPr="006E4BB7">
              <w:rPr>
                <w:lang w:eastAsia="en-AU"/>
              </w:rPr>
              <w:t>Receivables</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hideMark/>
          </w:tcPr>
          <w:p w14:paraId="3CBF0632" w14:textId="77777777" w:rsidR="00F962BE" w:rsidRPr="006E4BB7" w:rsidRDefault="00F962BE" w:rsidP="00086E3C">
            <w:pPr>
              <w:pStyle w:val="ARTabletext"/>
              <w:jc w:val="right"/>
              <w:rPr>
                <w:lang w:eastAsia="en-AU"/>
              </w:rPr>
            </w:pPr>
            <w:r w:rsidRPr="006E4BB7">
              <w:rPr>
                <w:lang w:eastAsia="en-AU"/>
              </w:rPr>
              <w:t>454.0</w:t>
            </w:r>
          </w:p>
        </w:tc>
        <w:tc>
          <w:tcPr>
            <w:tcW w:w="809" w:type="pct"/>
            <w:tcBorders>
              <w:bottom w:val="single" w:sz="4" w:space="0" w:color="BFBFBF" w:themeColor="accent2"/>
            </w:tcBorders>
            <w:noWrap/>
            <w:hideMark/>
          </w:tcPr>
          <w:p w14:paraId="075D73E0" w14:textId="77777777" w:rsidR="00F962BE" w:rsidRPr="006E4BB7" w:rsidRDefault="00F962BE" w:rsidP="00086E3C">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6E4BB7">
              <w:rPr>
                <w:lang w:eastAsia="en-AU"/>
              </w:rPr>
              <w:t>160.9</w:t>
            </w:r>
          </w:p>
        </w:tc>
      </w:tr>
      <w:tr w:rsidR="00F962BE" w:rsidRPr="006E4BB7" w14:paraId="42624063"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noWrap/>
            <w:hideMark/>
          </w:tcPr>
          <w:p w14:paraId="6B60671E" w14:textId="77777777" w:rsidR="00F962BE" w:rsidRPr="006E4BB7" w:rsidRDefault="00F962BE" w:rsidP="00086E3C">
            <w:pPr>
              <w:pStyle w:val="ARTabletext"/>
              <w:rPr>
                <w:lang w:eastAsia="en-AU"/>
              </w:rPr>
            </w:pPr>
            <w:r w:rsidRPr="006E4BB7">
              <w:rPr>
                <w:lang w:eastAsia="en-AU"/>
              </w:rPr>
              <w:t xml:space="preserve">Loans </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hideMark/>
          </w:tcPr>
          <w:p w14:paraId="6C60D08C" w14:textId="77777777" w:rsidR="00F962BE" w:rsidRPr="006E4BB7" w:rsidRDefault="00F962BE" w:rsidP="00086E3C">
            <w:pPr>
              <w:pStyle w:val="ARTabletext"/>
              <w:jc w:val="right"/>
              <w:rPr>
                <w:lang w:eastAsia="en-AU"/>
              </w:rPr>
            </w:pPr>
            <w:r w:rsidRPr="006E4BB7">
              <w:rPr>
                <w:lang w:eastAsia="en-AU"/>
              </w:rPr>
              <w:t>26.2</w:t>
            </w:r>
          </w:p>
        </w:tc>
        <w:tc>
          <w:tcPr>
            <w:tcW w:w="809" w:type="pct"/>
            <w:tcBorders>
              <w:top w:val="single" w:sz="4" w:space="0" w:color="BFBFBF" w:themeColor="accent2"/>
              <w:bottom w:val="single" w:sz="4" w:space="0" w:color="000000" w:themeColor="text1"/>
            </w:tcBorders>
            <w:noWrap/>
            <w:hideMark/>
          </w:tcPr>
          <w:p w14:paraId="592D855E" w14:textId="77777777" w:rsidR="00F962BE" w:rsidRPr="006E4BB7" w:rsidRDefault="00F962BE" w:rsidP="00086E3C">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6E4BB7">
              <w:rPr>
                <w:lang w:eastAsia="en-AU"/>
              </w:rPr>
              <w:t>66.7</w:t>
            </w:r>
          </w:p>
        </w:tc>
      </w:tr>
      <w:tr w:rsidR="00F962BE" w:rsidRPr="006E4BB7" w14:paraId="7BCA6D4B"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hideMark/>
          </w:tcPr>
          <w:p w14:paraId="4E4CFC9E" w14:textId="77777777" w:rsidR="00F962BE" w:rsidRPr="006E4BB7" w:rsidRDefault="00F962BE" w:rsidP="00086E3C">
            <w:pPr>
              <w:pStyle w:val="ARtabletextbold"/>
              <w:rPr>
                <w:lang w:eastAsia="en-AU"/>
              </w:rPr>
            </w:pPr>
            <w:r w:rsidRPr="006E4BB7">
              <w:rPr>
                <w:lang w:eastAsia="en-AU"/>
              </w:rPr>
              <w:t>Total financial assets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hideMark/>
          </w:tcPr>
          <w:p w14:paraId="7A840D64" w14:textId="77777777" w:rsidR="00F962BE" w:rsidRPr="006E4BB7" w:rsidRDefault="00F962BE" w:rsidP="00086E3C">
            <w:pPr>
              <w:pStyle w:val="ARtabletextbold"/>
              <w:jc w:val="right"/>
              <w:rPr>
                <w:lang w:eastAsia="en-AU"/>
              </w:rPr>
            </w:pPr>
            <w:r w:rsidRPr="006E4BB7">
              <w:rPr>
                <w:lang w:eastAsia="en-AU"/>
              </w:rPr>
              <w:t>1,383.7</w:t>
            </w:r>
          </w:p>
        </w:tc>
        <w:tc>
          <w:tcPr>
            <w:tcW w:w="809" w:type="pct"/>
            <w:tcBorders>
              <w:top w:val="single" w:sz="4" w:space="0" w:color="000000" w:themeColor="text1"/>
              <w:bottom w:val="single" w:sz="4" w:space="0" w:color="000000" w:themeColor="text1"/>
            </w:tcBorders>
            <w:noWrap/>
            <w:hideMark/>
          </w:tcPr>
          <w:p w14:paraId="3702A6EC" w14:textId="77777777" w:rsidR="00F962BE" w:rsidRPr="006E4BB7" w:rsidRDefault="00F962BE" w:rsidP="00086E3C">
            <w:pPr>
              <w:pStyle w:val="ARtabletextbold"/>
              <w:jc w:val="right"/>
              <w:cnfStyle w:val="000000100000" w:firstRow="0" w:lastRow="0" w:firstColumn="0" w:lastColumn="0" w:oddVBand="0" w:evenVBand="0" w:oddHBand="1" w:evenHBand="0" w:firstRowFirstColumn="0" w:firstRowLastColumn="0" w:lastRowFirstColumn="0" w:lastRowLastColumn="0"/>
              <w:rPr>
                <w:lang w:eastAsia="en-AU"/>
              </w:rPr>
            </w:pPr>
            <w:r w:rsidRPr="006E4BB7">
              <w:rPr>
                <w:lang w:eastAsia="en-AU"/>
              </w:rPr>
              <w:t>1,476.9</w:t>
            </w:r>
          </w:p>
        </w:tc>
      </w:tr>
      <w:tr w:rsidR="00F962BE" w:rsidRPr="006E4BB7" w14:paraId="6945C0F0"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tcBorders>
            <w:noWrap/>
            <w:hideMark/>
          </w:tcPr>
          <w:p w14:paraId="1FCFD3FA" w14:textId="77777777" w:rsidR="00F962BE" w:rsidRPr="006E4BB7" w:rsidRDefault="00F962BE" w:rsidP="00086E3C">
            <w:pPr>
              <w:pStyle w:val="ARTabletextboldcoloured"/>
            </w:pPr>
            <w:proofErr w:type="spellStart"/>
            <w:proofErr w:type="gramStart"/>
            <w:r w:rsidRPr="006E4BB7">
              <w:t>Non financial</w:t>
            </w:r>
            <w:proofErr w:type="spellEnd"/>
            <w:proofErr w:type="gramEnd"/>
            <w:r w:rsidRPr="006E4BB7">
              <w:t xml:space="preserve"> assets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hideMark/>
          </w:tcPr>
          <w:p w14:paraId="0303EFDF" w14:textId="77777777" w:rsidR="00F962BE" w:rsidRPr="006E4BB7" w:rsidRDefault="00F962BE" w:rsidP="00086E3C">
            <w:pPr>
              <w:pStyle w:val="ARTabletextboldcoloured"/>
              <w:jc w:val="right"/>
              <w:rPr>
                <w:lang w:eastAsia="en-AU"/>
              </w:rPr>
            </w:pPr>
          </w:p>
        </w:tc>
        <w:tc>
          <w:tcPr>
            <w:tcW w:w="809" w:type="pct"/>
            <w:tcBorders>
              <w:top w:val="single" w:sz="4" w:space="0" w:color="000000" w:themeColor="text1"/>
            </w:tcBorders>
            <w:noWrap/>
            <w:hideMark/>
          </w:tcPr>
          <w:p w14:paraId="4915ED84" w14:textId="77777777" w:rsidR="00F962BE" w:rsidRPr="006E4BB7" w:rsidRDefault="00F962BE" w:rsidP="00086E3C">
            <w:pPr>
              <w:pStyle w:val="ARTabletextboldcoloured"/>
              <w:jc w:val="right"/>
              <w:cnfStyle w:val="000000010000" w:firstRow="0" w:lastRow="0" w:firstColumn="0" w:lastColumn="0" w:oddVBand="0" w:evenVBand="0" w:oddHBand="0" w:evenHBand="1" w:firstRowFirstColumn="0" w:firstRowLastColumn="0" w:lastRowFirstColumn="0" w:lastRowLastColumn="0"/>
              <w:rPr>
                <w:lang w:eastAsia="en-AU"/>
              </w:rPr>
            </w:pPr>
          </w:p>
        </w:tc>
      </w:tr>
      <w:tr w:rsidR="00F962BE" w:rsidRPr="006E4BB7" w14:paraId="7B52A5EF"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noWrap/>
          </w:tcPr>
          <w:p w14:paraId="34079BD1" w14:textId="77777777" w:rsidR="00F962BE" w:rsidRPr="006E4BB7" w:rsidRDefault="00F962BE" w:rsidP="00086E3C">
            <w:pPr>
              <w:pStyle w:val="ARTabletext"/>
              <w:rPr>
                <w:lang w:eastAsia="en-AU"/>
              </w:rPr>
            </w:pPr>
            <w:r w:rsidRPr="006E4BB7">
              <w:rPr>
                <w:lang w:eastAsia="en-AU"/>
              </w:rPr>
              <w:t xml:space="preserve">Non-financial physical assets classified as held for sale </w:t>
            </w:r>
          </w:p>
        </w:tc>
        <w:tc>
          <w:tcPr>
            <w:cnfStyle w:val="000001000000" w:firstRow="0" w:lastRow="0" w:firstColumn="0" w:lastColumn="0" w:oddVBand="0" w:evenVBand="1" w:oddHBand="0" w:evenHBand="0" w:firstRowFirstColumn="0" w:firstRowLastColumn="0" w:lastRowFirstColumn="0" w:lastRowLastColumn="0"/>
            <w:tcW w:w="808" w:type="pct"/>
            <w:noWrap/>
          </w:tcPr>
          <w:p w14:paraId="22F17898" w14:textId="77777777" w:rsidR="00F962BE" w:rsidRPr="006E4BB7" w:rsidRDefault="00F962BE" w:rsidP="00086E3C">
            <w:pPr>
              <w:pStyle w:val="ARTabletext"/>
              <w:jc w:val="right"/>
              <w:rPr>
                <w:lang w:eastAsia="en-AU"/>
              </w:rPr>
            </w:pPr>
            <w:r w:rsidRPr="006E4BB7">
              <w:rPr>
                <w:lang w:eastAsia="en-AU"/>
              </w:rPr>
              <w:t>2.8</w:t>
            </w:r>
          </w:p>
        </w:tc>
        <w:tc>
          <w:tcPr>
            <w:tcW w:w="809" w:type="pct"/>
            <w:noWrap/>
          </w:tcPr>
          <w:p w14:paraId="24AC26A1" w14:textId="77777777" w:rsidR="00F962BE" w:rsidRPr="006E4BB7" w:rsidRDefault="00F962BE" w:rsidP="00086E3C">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6E4BB7">
              <w:rPr>
                <w:lang w:eastAsia="en-AU"/>
              </w:rPr>
              <w:t>8.4</w:t>
            </w:r>
          </w:p>
        </w:tc>
      </w:tr>
      <w:tr w:rsidR="00F962BE" w:rsidRPr="006E4BB7" w14:paraId="3DE7EACC"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2CB4AB8D" w14:textId="77777777" w:rsidR="00F962BE" w:rsidRPr="006E4BB7" w:rsidRDefault="00F962BE" w:rsidP="00086E3C">
            <w:pPr>
              <w:pStyle w:val="ARTabletext"/>
              <w:rPr>
                <w:lang w:eastAsia="en-AU"/>
              </w:rPr>
            </w:pPr>
            <w:r w:rsidRPr="006E4BB7">
              <w:rPr>
                <w:lang w:eastAsia="en-AU"/>
              </w:rPr>
              <w:t>Property, plant and equipment</w:t>
            </w:r>
          </w:p>
        </w:tc>
        <w:tc>
          <w:tcPr>
            <w:cnfStyle w:val="000001000000" w:firstRow="0" w:lastRow="0" w:firstColumn="0" w:lastColumn="0" w:oddVBand="0" w:evenVBand="1" w:oddHBand="0" w:evenHBand="0" w:firstRowFirstColumn="0" w:firstRowLastColumn="0" w:lastRowFirstColumn="0" w:lastRowLastColumn="0"/>
            <w:tcW w:w="808" w:type="pct"/>
            <w:noWrap/>
            <w:hideMark/>
          </w:tcPr>
          <w:p w14:paraId="2A25FF17" w14:textId="77777777" w:rsidR="00F962BE" w:rsidRPr="006E4BB7" w:rsidRDefault="00F962BE" w:rsidP="00086E3C">
            <w:pPr>
              <w:pStyle w:val="ARTabletext"/>
              <w:jc w:val="right"/>
              <w:rPr>
                <w:lang w:eastAsia="en-AU"/>
              </w:rPr>
            </w:pPr>
            <w:r w:rsidRPr="006E4BB7">
              <w:rPr>
                <w:lang w:eastAsia="en-AU"/>
              </w:rPr>
              <w:t>37,896.9</w:t>
            </w:r>
          </w:p>
        </w:tc>
        <w:tc>
          <w:tcPr>
            <w:tcW w:w="809" w:type="pct"/>
            <w:noWrap/>
            <w:hideMark/>
          </w:tcPr>
          <w:p w14:paraId="0EB7D80C" w14:textId="77777777" w:rsidR="00F962BE" w:rsidRPr="006E4BB7" w:rsidRDefault="00F962BE" w:rsidP="00086E3C">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6E4BB7">
              <w:rPr>
                <w:lang w:eastAsia="en-AU"/>
              </w:rPr>
              <w:t>37,334.3</w:t>
            </w:r>
          </w:p>
        </w:tc>
      </w:tr>
      <w:tr w:rsidR="00F962BE" w:rsidRPr="006E4BB7" w14:paraId="73DA5C33"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052774EC" w14:textId="77777777" w:rsidR="00F962BE" w:rsidRPr="006E4BB7" w:rsidRDefault="00F962BE" w:rsidP="00086E3C">
            <w:pPr>
              <w:pStyle w:val="ARTabletext"/>
              <w:rPr>
                <w:lang w:eastAsia="en-AU"/>
              </w:rPr>
            </w:pPr>
            <w:r w:rsidRPr="006E4BB7">
              <w:rPr>
                <w:lang w:eastAsia="en-AU"/>
              </w:rPr>
              <w:t>Intangible assets</w:t>
            </w:r>
          </w:p>
        </w:tc>
        <w:tc>
          <w:tcPr>
            <w:cnfStyle w:val="000001000000" w:firstRow="0" w:lastRow="0" w:firstColumn="0" w:lastColumn="0" w:oddVBand="0" w:evenVBand="1" w:oddHBand="0" w:evenHBand="0" w:firstRowFirstColumn="0" w:firstRowLastColumn="0" w:lastRowFirstColumn="0" w:lastRowLastColumn="0"/>
            <w:tcW w:w="808" w:type="pct"/>
            <w:noWrap/>
            <w:hideMark/>
          </w:tcPr>
          <w:p w14:paraId="55BD28EC" w14:textId="77777777" w:rsidR="00F962BE" w:rsidRPr="006E4BB7" w:rsidRDefault="00F962BE" w:rsidP="00086E3C">
            <w:pPr>
              <w:pStyle w:val="ARTabletext"/>
              <w:jc w:val="right"/>
              <w:rPr>
                <w:lang w:eastAsia="en-AU"/>
              </w:rPr>
            </w:pPr>
            <w:r w:rsidRPr="006E4BB7">
              <w:rPr>
                <w:lang w:eastAsia="en-AU"/>
              </w:rPr>
              <w:t>25.0</w:t>
            </w:r>
          </w:p>
        </w:tc>
        <w:tc>
          <w:tcPr>
            <w:tcW w:w="809" w:type="pct"/>
            <w:noWrap/>
            <w:hideMark/>
          </w:tcPr>
          <w:p w14:paraId="54D7BF7F" w14:textId="77777777" w:rsidR="00F962BE" w:rsidRPr="006E4BB7" w:rsidRDefault="00F962BE" w:rsidP="00086E3C">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6E4BB7">
              <w:rPr>
                <w:lang w:eastAsia="en-AU"/>
              </w:rPr>
              <w:t>26.8</w:t>
            </w:r>
          </w:p>
        </w:tc>
      </w:tr>
      <w:tr w:rsidR="00F962BE" w:rsidRPr="006E4BB7" w14:paraId="1A4C0131"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tcBorders>
              <w:bottom w:val="single" w:sz="4" w:space="0" w:color="BFBFBF" w:themeColor="accent2"/>
            </w:tcBorders>
            <w:noWrap/>
            <w:hideMark/>
          </w:tcPr>
          <w:p w14:paraId="1B101467" w14:textId="77777777" w:rsidR="00F962BE" w:rsidRPr="006E4BB7" w:rsidRDefault="00F962BE" w:rsidP="00086E3C">
            <w:pPr>
              <w:pStyle w:val="ARTabletext"/>
              <w:rPr>
                <w:lang w:eastAsia="en-AU"/>
              </w:rPr>
            </w:pPr>
            <w:r w:rsidRPr="006E4BB7">
              <w:rPr>
                <w:lang w:eastAsia="en-AU"/>
              </w:rPr>
              <w:t>Other non-financial assets</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hideMark/>
          </w:tcPr>
          <w:p w14:paraId="52EB8145" w14:textId="77777777" w:rsidR="00F962BE" w:rsidRPr="006E4BB7" w:rsidRDefault="00F962BE" w:rsidP="00086E3C">
            <w:pPr>
              <w:pStyle w:val="ARTabletext"/>
              <w:jc w:val="right"/>
              <w:rPr>
                <w:lang w:eastAsia="en-AU"/>
              </w:rPr>
            </w:pPr>
            <w:r>
              <w:rPr>
                <w:lang w:eastAsia="en-AU"/>
              </w:rPr>
              <w:t>–</w:t>
            </w:r>
          </w:p>
        </w:tc>
        <w:tc>
          <w:tcPr>
            <w:tcW w:w="809" w:type="pct"/>
            <w:tcBorders>
              <w:bottom w:val="single" w:sz="4" w:space="0" w:color="BFBFBF" w:themeColor="accent2"/>
            </w:tcBorders>
            <w:noWrap/>
            <w:hideMark/>
          </w:tcPr>
          <w:p w14:paraId="2FCB0358" w14:textId="77777777" w:rsidR="00F962BE" w:rsidRPr="006E4BB7" w:rsidRDefault="00F962BE" w:rsidP="00086E3C">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6E4BB7">
              <w:rPr>
                <w:lang w:eastAsia="en-AU"/>
              </w:rPr>
              <w:t>1.8</w:t>
            </w:r>
          </w:p>
        </w:tc>
      </w:tr>
      <w:tr w:rsidR="00F962BE" w:rsidRPr="006E4BB7" w14:paraId="35EE3AED"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hideMark/>
          </w:tcPr>
          <w:p w14:paraId="70D66D72" w14:textId="77777777" w:rsidR="00F962BE" w:rsidRPr="006E4BB7" w:rsidRDefault="00F962BE" w:rsidP="00086E3C">
            <w:pPr>
              <w:pStyle w:val="ARtabletextbold"/>
              <w:rPr>
                <w:lang w:eastAsia="en-AU"/>
              </w:rPr>
            </w:pPr>
            <w:r w:rsidRPr="006E4BB7">
              <w:rPr>
                <w:lang w:eastAsia="en-AU"/>
              </w:rPr>
              <w:t>Total non-financial assets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hideMark/>
          </w:tcPr>
          <w:p w14:paraId="6D31948A" w14:textId="77777777" w:rsidR="00F962BE" w:rsidRPr="006E4BB7" w:rsidRDefault="00F962BE" w:rsidP="00086E3C">
            <w:pPr>
              <w:pStyle w:val="ARtabletextbold"/>
              <w:jc w:val="right"/>
              <w:rPr>
                <w:lang w:eastAsia="en-AU"/>
              </w:rPr>
            </w:pPr>
            <w:r w:rsidRPr="006E4BB7">
              <w:rPr>
                <w:lang w:eastAsia="en-AU"/>
              </w:rPr>
              <w:t>37,924.7</w:t>
            </w:r>
          </w:p>
        </w:tc>
        <w:tc>
          <w:tcPr>
            <w:tcW w:w="809" w:type="pct"/>
            <w:tcBorders>
              <w:top w:val="single" w:sz="4" w:space="0" w:color="000000" w:themeColor="text1"/>
              <w:bottom w:val="single" w:sz="4" w:space="0" w:color="000000" w:themeColor="text1"/>
            </w:tcBorders>
            <w:noWrap/>
            <w:hideMark/>
          </w:tcPr>
          <w:p w14:paraId="221C6227" w14:textId="77777777" w:rsidR="00F962BE" w:rsidRPr="006E4BB7" w:rsidRDefault="00F962BE" w:rsidP="00086E3C">
            <w:pPr>
              <w:pStyle w:val="ARtabletextbold"/>
              <w:jc w:val="right"/>
              <w:cnfStyle w:val="000000100000" w:firstRow="0" w:lastRow="0" w:firstColumn="0" w:lastColumn="0" w:oddVBand="0" w:evenVBand="0" w:oddHBand="1" w:evenHBand="0" w:firstRowFirstColumn="0" w:firstRowLastColumn="0" w:lastRowFirstColumn="0" w:lastRowLastColumn="0"/>
              <w:rPr>
                <w:lang w:eastAsia="en-AU"/>
              </w:rPr>
            </w:pPr>
            <w:r w:rsidRPr="006E4BB7">
              <w:rPr>
                <w:lang w:eastAsia="en-AU"/>
              </w:rPr>
              <w:t>37,371.3</w:t>
            </w:r>
          </w:p>
        </w:tc>
      </w:tr>
      <w:tr w:rsidR="00F962BE" w:rsidRPr="006E4BB7" w14:paraId="52755A33"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hideMark/>
          </w:tcPr>
          <w:p w14:paraId="0F5757E3" w14:textId="77777777" w:rsidR="00F962BE" w:rsidRPr="006E4BB7" w:rsidRDefault="00F962BE" w:rsidP="00086E3C">
            <w:pPr>
              <w:pStyle w:val="ARtabletextbold"/>
              <w:rPr>
                <w:lang w:eastAsia="en-AU"/>
              </w:rPr>
            </w:pPr>
            <w:r w:rsidRPr="006E4BB7">
              <w:rPr>
                <w:lang w:eastAsia="en-AU"/>
              </w:rPr>
              <w:t>Total assets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hideMark/>
          </w:tcPr>
          <w:p w14:paraId="24D36560" w14:textId="77777777" w:rsidR="00F962BE" w:rsidRPr="006E4BB7" w:rsidRDefault="00F962BE" w:rsidP="00086E3C">
            <w:pPr>
              <w:pStyle w:val="ARtabletextbold"/>
              <w:jc w:val="right"/>
              <w:rPr>
                <w:lang w:eastAsia="en-AU"/>
              </w:rPr>
            </w:pPr>
            <w:r w:rsidRPr="006E4BB7">
              <w:rPr>
                <w:lang w:eastAsia="en-AU"/>
              </w:rPr>
              <w:t>39,308.4</w:t>
            </w:r>
          </w:p>
        </w:tc>
        <w:tc>
          <w:tcPr>
            <w:tcW w:w="809" w:type="pct"/>
            <w:tcBorders>
              <w:top w:val="single" w:sz="4" w:space="0" w:color="000000" w:themeColor="text1"/>
              <w:bottom w:val="single" w:sz="4" w:space="0" w:color="000000" w:themeColor="text1"/>
            </w:tcBorders>
            <w:noWrap/>
            <w:hideMark/>
          </w:tcPr>
          <w:p w14:paraId="5CE4D968" w14:textId="77777777" w:rsidR="00F962BE" w:rsidRPr="006E4BB7" w:rsidRDefault="00F962BE" w:rsidP="00086E3C">
            <w:pPr>
              <w:pStyle w:val="ARtabletextbold"/>
              <w:jc w:val="right"/>
              <w:cnfStyle w:val="000000010000" w:firstRow="0" w:lastRow="0" w:firstColumn="0" w:lastColumn="0" w:oddVBand="0" w:evenVBand="0" w:oddHBand="0" w:evenHBand="1" w:firstRowFirstColumn="0" w:firstRowLastColumn="0" w:lastRowFirstColumn="0" w:lastRowLastColumn="0"/>
              <w:rPr>
                <w:lang w:eastAsia="en-AU"/>
              </w:rPr>
            </w:pPr>
            <w:r w:rsidRPr="006E4BB7">
              <w:rPr>
                <w:lang w:eastAsia="en-AU"/>
              </w:rPr>
              <w:t>38,848.2</w:t>
            </w:r>
          </w:p>
        </w:tc>
      </w:tr>
      <w:tr w:rsidR="00F962BE" w:rsidRPr="006E4BB7" w14:paraId="610277A5"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tcBorders>
            <w:hideMark/>
          </w:tcPr>
          <w:p w14:paraId="7B12342F" w14:textId="77777777" w:rsidR="00F962BE" w:rsidRPr="006E4BB7" w:rsidRDefault="00F962BE" w:rsidP="00086E3C">
            <w:pPr>
              <w:pStyle w:val="ARTabletextboldcoloured"/>
            </w:pPr>
            <w:r w:rsidRPr="006E4BB7">
              <w:t>Liabilities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hideMark/>
          </w:tcPr>
          <w:p w14:paraId="0468F13B" w14:textId="77777777" w:rsidR="00F962BE" w:rsidRPr="006E4BB7" w:rsidRDefault="00F962BE" w:rsidP="00086E3C">
            <w:pPr>
              <w:pStyle w:val="ARtabletextright"/>
              <w:rPr>
                <w:lang w:eastAsia="en-AU"/>
              </w:rPr>
            </w:pPr>
          </w:p>
        </w:tc>
        <w:tc>
          <w:tcPr>
            <w:tcW w:w="809" w:type="pct"/>
            <w:tcBorders>
              <w:top w:val="single" w:sz="4" w:space="0" w:color="000000" w:themeColor="text1"/>
            </w:tcBorders>
            <w:noWrap/>
            <w:hideMark/>
          </w:tcPr>
          <w:p w14:paraId="48FB052D" w14:textId="77777777" w:rsidR="00F962BE" w:rsidRPr="006E4BB7" w:rsidRDefault="00F962BE" w:rsidP="00086E3C">
            <w:pPr>
              <w:pStyle w:val="ARtabletextrigh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AU"/>
              </w:rPr>
            </w:pPr>
          </w:p>
        </w:tc>
      </w:tr>
      <w:tr w:rsidR="00F962BE" w:rsidRPr="006E4BB7" w14:paraId="08E0DD1B"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36B4EF26" w14:textId="77777777" w:rsidR="00F962BE" w:rsidRPr="006E4BB7" w:rsidRDefault="00F962BE" w:rsidP="00086E3C">
            <w:pPr>
              <w:pStyle w:val="ARTabletext"/>
              <w:rPr>
                <w:lang w:eastAsia="en-AU"/>
              </w:rPr>
            </w:pPr>
            <w:r w:rsidRPr="006E4BB7">
              <w:rPr>
                <w:lang w:eastAsia="en-AU"/>
              </w:rPr>
              <w:t>Payables</w:t>
            </w:r>
          </w:p>
        </w:tc>
        <w:tc>
          <w:tcPr>
            <w:cnfStyle w:val="000001000000" w:firstRow="0" w:lastRow="0" w:firstColumn="0" w:lastColumn="0" w:oddVBand="0" w:evenVBand="1" w:oddHBand="0" w:evenHBand="0" w:firstRowFirstColumn="0" w:firstRowLastColumn="0" w:lastRowFirstColumn="0" w:lastRowLastColumn="0"/>
            <w:tcW w:w="808" w:type="pct"/>
            <w:noWrap/>
            <w:hideMark/>
          </w:tcPr>
          <w:p w14:paraId="56476875" w14:textId="77777777" w:rsidR="00F962BE" w:rsidRPr="006E4BB7" w:rsidRDefault="00F962BE" w:rsidP="00086E3C">
            <w:pPr>
              <w:pStyle w:val="ARTabletext"/>
              <w:jc w:val="right"/>
              <w:rPr>
                <w:lang w:eastAsia="en-AU"/>
              </w:rPr>
            </w:pPr>
            <w:r w:rsidRPr="006E4BB7">
              <w:rPr>
                <w:lang w:eastAsia="en-AU"/>
              </w:rPr>
              <w:t>188.9</w:t>
            </w:r>
          </w:p>
        </w:tc>
        <w:tc>
          <w:tcPr>
            <w:tcW w:w="809" w:type="pct"/>
            <w:noWrap/>
            <w:hideMark/>
          </w:tcPr>
          <w:p w14:paraId="0C7F40AD" w14:textId="77777777" w:rsidR="00F962BE" w:rsidRPr="006E4BB7" w:rsidRDefault="00F962BE" w:rsidP="00086E3C">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6E4BB7">
              <w:rPr>
                <w:lang w:eastAsia="en-AU"/>
              </w:rPr>
              <w:t>165.6</w:t>
            </w:r>
          </w:p>
        </w:tc>
      </w:tr>
      <w:tr w:rsidR="00F962BE" w:rsidRPr="006E4BB7" w14:paraId="3908AA98"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358F0763" w14:textId="77777777" w:rsidR="00F962BE" w:rsidRPr="006E4BB7" w:rsidRDefault="00F962BE" w:rsidP="00086E3C">
            <w:pPr>
              <w:pStyle w:val="ARTabletext"/>
              <w:rPr>
                <w:lang w:eastAsia="en-AU"/>
              </w:rPr>
            </w:pPr>
            <w:r w:rsidRPr="006E4BB7">
              <w:rPr>
                <w:lang w:eastAsia="en-AU"/>
              </w:rPr>
              <w:t>Borrowings</w:t>
            </w:r>
          </w:p>
        </w:tc>
        <w:tc>
          <w:tcPr>
            <w:cnfStyle w:val="000001000000" w:firstRow="0" w:lastRow="0" w:firstColumn="0" w:lastColumn="0" w:oddVBand="0" w:evenVBand="1" w:oddHBand="0" w:evenHBand="0" w:firstRowFirstColumn="0" w:firstRowLastColumn="0" w:lastRowFirstColumn="0" w:lastRowLastColumn="0"/>
            <w:tcW w:w="808" w:type="pct"/>
            <w:noWrap/>
            <w:hideMark/>
          </w:tcPr>
          <w:p w14:paraId="4B1B2BBE" w14:textId="77777777" w:rsidR="00F962BE" w:rsidRPr="006E4BB7" w:rsidRDefault="00F962BE" w:rsidP="00086E3C">
            <w:pPr>
              <w:pStyle w:val="ARTabletext"/>
              <w:jc w:val="right"/>
              <w:rPr>
                <w:lang w:eastAsia="en-AU"/>
              </w:rPr>
            </w:pPr>
            <w:r w:rsidRPr="006E4BB7">
              <w:rPr>
                <w:lang w:eastAsia="en-AU"/>
              </w:rPr>
              <w:t>831.9</w:t>
            </w:r>
          </w:p>
        </w:tc>
        <w:tc>
          <w:tcPr>
            <w:tcW w:w="809" w:type="pct"/>
            <w:noWrap/>
            <w:hideMark/>
          </w:tcPr>
          <w:p w14:paraId="6C69FC80" w14:textId="77777777" w:rsidR="00F962BE" w:rsidRPr="006E4BB7" w:rsidRDefault="00F962BE" w:rsidP="00086E3C">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6E4BB7">
              <w:rPr>
                <w:lang w:eastAsia="en-AU"/>
              </w:rPr>
              <w:t>694.9</w:t>
            </w:r>
          </w:p>
        </w:tc>
      </w:tr>
      <w:tr w:rsidR="00F962BE" w:rsidRPr="006E4BB7" w14:paraId="32FE4751"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tcBorders>
              <w:bottom w:val="single" w:sz="4" w:space="0" w:color="BFBFBF" w:themeColor="accent2"/>
            </w:tcBorders>
            <w:noWrap/>
            <w:hideMark/>
          </w:tcPr>
          <w:p w14:paraId="1C8558DF" w14:textId="77777777" w:rsidR="00F962BE" w:rsidRPr="006E4BB7" w:rsidRDefault="00F962BE" w:rsidP="00086E3C">
            <w:pPr>
              <w:pStyle w:val="ARTabletext"/>
              <w:rPr>
                <w:lang w:eastAsia="en-AU"/>
              </w:rPr>
            </w:pPr>
            <w:r w:rsidRPr="006E4BB7">
              <w:rPr>
                <w:lang w:eastAsia="en-AU"/>
              </w:rPr>
              <w:t>Employee related provisions</w:t>
            </w:r>
          </w:p>
        </w:tc>
        <w:tc>
          <w:tcPr>
            <w:cnfStyle w:val="000001000000" w:firstRow="0" w:lastRow="0" w:firstColumn="0" w:lastColumn="0" w:oddVBand="0" w:evenVBand="1" w:oddHBand="0" w:evenHBand="0" w:firstRowFirstColumn="0" w:firstRowLastColumn="0" w:lastRowFirstColumn="0" w:lastRowLastColumn="0"/>
            <w:tcW w:w="808" w:type="pct"/>
            <w:tcBorders>
              <w:bottom w:val="single" w:sz="4" w:space="0" w:color="BFBFBF" w:themeColor="accent2"/>
            </w:tcBorders>
            <w:noWrap/>
            <w:hideMark/>
          </w:tcPr>
          <w:p w14:paraId="42AF19B6" w14:textId="77777777" w:rsidR="00F962BE" w:rsidRPr="006E4BB7" w:rsidRDefault="00F962BE" w:rsidP="00086E3C">
            <w:pPr>
              <w:pStyle w:val="ARTabletext"/>
              <w:jc w:val="right"/>
              <w:rPr>
                <w:lang w:eastAsia="en-AU"/>
              </w:rPr>
            </w:pPr>
            <w:r w:rsidRPr="006E4BB7">
              <w:rPr>
                <w:lang w:eastAsia="en-AU"/>
              </w:rPr>
              <w:t>84.6</w:t>
            </w:r>
          </w:p>
        </w:tc>
        <w:tc>
          <w:tcPr>
            <w:tcW w:w="809" w:type="pct"/>
            <w:tcBorders>
              <w:bottom w:val="single" w:sz="4" w:space="0" w:color="BFBFBF" w:themeColor="accent2"/>
            </w:tcBorders>
            <w:noWrap/>
            <w:hideMark/>
          </w:tcPr>
          <w:p w14:paraId="527A2585" w14:textId="77777777" w:rsidR="00F962BE" w:rsidRPr="006E4BB7" w:rsidRDefault="00F962BE" w:rsidP="00086E3C">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6E4BB7">
              <w:rPr>
                <w:lang w:eastAsia="en-AU"/>
              </w:rPr>
              <w:t>85.5</w:t>
            </w:r>
          </w:p>
        </w:tc>
      </w:tr>
      <w:tr w:rsidR="00F962BE" w:rsidRPr="006E4BB7" w14:paraId="689F1118"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BFBFBF" w:themeColor="accent2"/>
              <w:bottom w:val="single" w:sz="4" w:space="0" w:color="000000" w:themeColor="text1"/>
            </w:tcBorders>
            <w:noWrap/>
            <w:hideMark/>
          </w:tcPr>
          <w:p w14:paraId="6002CCC2" w14:textId="77777777" w:rsidR="00F962BE" w:rsidRPr="006E4BB7" w:rsidRDefault="00F962BE" w:rsidP="00086E3C">
            <w:pPr>
              <w:pStyle w:val="ARTabletext"/>
              <w:rPr>
                <w:lang w:eastAsia="en-AU"/>
              </w:rPr>
            </w:pPr>
            <w:r w:rsidRPr="006E4BB7">
              <w:rPr>
                <w:lang w:eastAsia="en-AU"/>
              </w:rPr>
              <w:t xml:space="preserve">Other liabilities </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BFBFBF" w:themeColor="accent2"/>
              <w:bottom w:val="single" w:sz="4" w:space="0" w:color="000000" w:themeColor="text1"/>
            </w:tcBorders>
            <w:noWrap/>
            <w:hideMark/>
          </w:tcPr>
          <w:p w14:paraId="6676229D" w14:textId="77777777" w:rsidR="00F962BE" w:rsidRPr="006E4BB7" w:rsidRDefault="00F962BE" w:rsidP="00086E3C">
            <w:pPr>
              <w:pStyle w:val="ARTabletext"/>
              <w:jc w:val="right"/>
              <w:rPr>
                <w:lang w:eastAsia="en-AU"/>
              </w:rPr>
            </w:pPr>
            <w:r w:rsidRPr="006E4BB7">
              <w:rPr>
                <w:lang w:eastAsia="en-AU"/>
              </w:rPr>
              <w:t>122.0</w:t>
            </w:r>
          </w:p>
        </w:tc>
        <w:tc>
          <w:tcPr>
            <w:tcW w:w="809" w:type="pct"/>
            <w:tcBorders>
              <w:top w:val="single" w:sz="4" w:space="0" w:color="BFBFBF" w:themeColor="accent2"/>
              <w:bottom w:val="single" w:sz="4" w:space="0" w:color="000000" w:themeColor="text1"/>
            </w:tcBorders>
            <w:noWrap/>
            <w:hideMark/>
          </w:tcPr>
          <w:p w14:paraId="5D1ACFB4" w14:textId="77777777" w:rsidR="00F962BE" w:rsidRPr="006E4BB7" w:rsidRDefault="00F962BE" w:rsidP="00086E3C">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6E4BB7">
              <w:rPr>
                <w:lang w:eastAsia="en-AU"/>
              </w:rPr>
              <w:t>119.8</w:t>
            </w:r>
          </w:p>
        </w:tc>
      </w:tr>
      <w:tr w:rsidR="00F962BE" w:rsidRPr="006E4BB7" w14:paraId="33A41E5F"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hideMark/>
          </w:tcPr>
          <w:p w14:paraId="395FA45B" w14:textId="77777777" w:rsidR="00F962BE" w:rsidRPr="006E4BB7" w:rsidRDefault="00F962BE" w:rsidP="00086E3C">
            <w:pPr>
              <w:pStyle w:val="ARtabletextbold"/>
              <w:rPr>
                <w:lang w:eastAsia="en-AU"/>
              </w:rPr>
            </w:pPr>
            <w:r w:rsidRPr="006E4BB7">
              <w:rPr>
                <w:lang w:eastAsia="en-AU"/>
              </w:rPr>
              <w:t>Total liabilities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hideMark/>
          </w:tcPr>
          <w:p w14:paraId="2530FA59" w14:textId="77777777" w:rsidR="00F962BE" w:rsidRPr="006E4BB7" w:rsidRDefault="00F962BE" w:rsidP="00086E3C">
            <w:pPr>
              <w:pStyle w:val="ARtabletextbold"/>
              <w:jc w:val="right"/>
              <w:rPr>
                <w:lang w:eastAsia="en-AU"/>
              </w:rPr>
            </w:pPr>
            <w:r w:rsidRPr="006E4BB7">
              <w:rPr>
                <w:lang w:eastAsia="en-AU"/>
              </w:rPr>
              <w:t>1,227.4</w:t>
            </w:r>
          </w:p>
        </w:tc>
        <w:tc>
          <w:tcPr>
            <w:tcW w:w="809" w:type="pct"/>
            <w:tcBorders>
              <w:top w:val="single" w:sz="4" w:space="0" w:color="000000" w:themeColor="text1"/>
              <w:bottom w:val="single" w:sz="4" w:space="0" w:color="000000" w:themeColor="text1"/>
            </w:tcBorders>
            <w:noWrap/>
            <w:hideMark/>
          </w:tcPr>
          <w:p w14:paraId="6300E027" w14:textId="77777777" w:rsidR="00F962BE" w:rsidRPr="006E4BB7" w:rsidRDefault="00F962BE" w:rsidP="00086E3C">
            <w:pPr>
              <w:pStyle w:val="ARtabletextbold"/>
              <w:jc w:val="right"/>
              <w:cnfStyle w:val="000000010000" w:firstRow="0" w:lastRow="0" w:firstColumn="0" w:lastColumn="0" w:oddVBand="0" w:evenVBand="0" w:oddHBand="0" w:evenHBand="1" w:firstRowFirstColumn="0" w:firstRowLastColumn="0" w:lastRowFirstColumn="0" w:lastRowLastColumn="0"/>
              <w:rPr>
                <w:lang w:eastAsia="en-AU"/>
              </w:rPr>
            </w:pPr>
            <w:r w:rsidRPr="006E4BB7">
              <w:rPr>
                <w:lang w:eastAsia="en-AU"/>
              </w:rPr>
              <w:t>1,065.8</w:t>
            </w:r>
          </w:p>
        </w:tc>
      </w:tr>
      <w:tr w:rsidR="00F962BE" w:rsidRPr="006E4BB7" w14:paraId="0370A038"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tcBorders>
              <w:top w:val="single" w:sz="4" w:space="0" w:color="000000" w:themeColor="text1"/>
              <w:bottom w:val="single" w:sz="4" w:space="0" w:color="000000" w:themeColor="text1"/>
            </w:tcBorders>
            <w:noWrap/>
            <w:hideMark/>
          </w:tcPr>
          <w:p w14:paraId="3A2DF30F" w14:textId="77777777" w:rsidR="00F962BE" w:rsidRPr="006E4BB7" w:rsidRDefault="00F962BE" w:rsidP="00086E3C">
            <w:pPr>
              <w:pStyle w:val="ARtabletextbold"/>
              <w:rPr>
                <w:lang w:eastAsia="en-AU"/>
              </w:rPr>
            </w:pPr>
            <w:r w:rsidRPr="006E4BB7">
              <w:rPr>
                <w:lang w:eastAsia="en-AU"/>
              </w:rPr>
              <w:t>Net assets</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bottom w:val="single" w:sz="4" w:space="0" w:color="000000" w:themeColor="text1"/>
            </w:tcBorders>
            <w:noWrap/>
            <w:hideMark/>
          </w:tcPr>
          <w:p w14:paraId="0FD26A68" w14:textId="77777777" w:rsidR="00F962BE" w:rsidRPr="006E4BB7" w:rsidRDefault="00F962BE" w:rsidP="00086E3C">
            <w:pPr>
              <w:pStyle w:val="ARtabletextbold"/>
              <w:jc w:val="right"/>
              <w:rPr>
                <w:lang w:eastAsia="en-AU"/>
              </w:rPr>
            </w:pPr>
            <w:r w:rsidRPr="006E4BB7">
              <w:rPr>
                <w:lang w:eastAsia="en-AU"/>
              </w:rPr>
              <w:t>38,081.0</w:t>
            </w:r>
          </w:p>
        </w:tc>
        <w:tc>
          <w:tcPr>
            <w:tcW w:w="809" w:type="pct"/>
            <w:tcBorders>
              <w:top w:val="single" w:sz="4" w:space="0" w:color="000000" w:themeColor="text1"/>
              <w:bottom w:val="single" w:sz="4" w:space="0" w:color="000000" w:themeColor="text1"/>
            </w:tcBorders>
            <w:noWrap/>
            <w:hideMark/>
          </w:tcPr>
          <w:p w14:paraId="1648D719" w14:textId="77777777" w:rsidR="00F962BE" w:rsidRPr="006E4BB7" w:rsidRDefault="00F962BE" w:rsidP="00086E3C">
            <w:pPr>
              <w:pStyle w:val="ARtabletextbold"/>
              <w:jc w:val="right"/>
              <w:cnfStyle w:val="000000100000" w:firstRow="0" w:lastRow="0" w:firstColumn="0" w:lastColumn="0" w:oddVBand="0" w:evenVBand="0" w:oddHBand="1" w:evenHBand="0" w:firstRowFirstColumn="0" w:firstRowLastColumn="0" w:lastRowFirstColumn="0" w:lastRowLastColumn="0"/>
              <w:rPr>
                <w:lang w:eastAsia="en-AU"/>
              </w:rPr>
            </w:pPr>
            <w:r w:rsidRPr="006E4BB7">
              <w:rPr>
                <w:lang w:eastAsia="en-AU"/>
              </w:rPr>
              <w:t>37,782.4</w:t>
            </w:r>
          </w:p>
        </w:tc>
      </w:tr>
      <w:tr w:rsidR="00F962BE" w:rsidRPr="006E4BB7" w14:paraId="0BFDE454"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tcBorders>
              <w:top w:val="single" w:sz="4" w:space="0" w:color="000000" w:themeColor="text1"/>
            </w:tcBorders>
            <w:hideMark/>
          </w:tcPr>
          <w:p w14:paraId="12BF386C" w14:textId="77777777" w:rsidR="00F962BE" w:rsidRPr="006E4BB7" w:rsidRDefault="00F962BE" w:rsidP="00086E3C">
            <w:pPr>
              <w:pStyle w:val="ARTabletextboldcoloured"/>
            </w:pPr>
            <w:r w:rsidRPr="006E4BB7">
              <w:t>Equity</w:t>
            </w:r>
          </w:p>
        </w:tc>
        <w:tc>
          <w:tcPr>
            <w:cnfStyle w:val="000001000000" w:firstRow="0" w:lastRow="0" w:firstColumn="0" w:lastColumn="0" w:oddVBand="0" w:evenVBand="1" w:oddHBand="0" w:evenHBand="0" w:firstRowFirstColumn="0" w:firstRowLastColumn="0" w:lastRowFirstColumn="0" w:lastRowLastColumn="0"/>
            <w:tcW w:w="808" w:type="pct"/>
            <w:tcBorders>
              <w:top w:val="single" w:sz="4" w:space="0" w:color="000000" w:themeColor="text1"/>
            </w:tcBorders>
            <w:shd w:val="clear" w:color="auto" w:fill="auto"/>
            <w:noWrap/>
            <w:hideMark/>
          </w:tcPr>
          <w:p w14:paraId="4CE443ED" w14:textId="77777777" w:rsidR="00F962BE" w:rsidRPr="006E4BB7" w:rsidRDefault="00F962BE" w:rsidP="00086E3C">
            <w:pPr>
              <w:pStyle w:val="ARtabletextright"/>
              <w:rPr>
                <w:lang w:eastAsia="en-AU"/>
              </w:rPr>
            </w:pPr>
          </w:p>
        </w:tc>
        <w:tc>
          <w:tcPr>
            <w:tcW w:w="809" w:type="pct"/>
            <w:tcBorders>
              <w:top w:val="single" w:sz="4" w:space="0" w:color="000000" w:themeColor="text1"/>
            </w:tcBorders>
            <w:noWrap/>
            <w:hideMark/>
          </w:tcPr>
          <w:p w14:paraId="6C0EB9E1" w14:textId="77777777" w:rsidR="00F962BE" w:rsidRPr="006E4BB7" w:rsidRDefault="00F962BE" w:rsidP="00086E3C">
            <w:pPr>
              <w:pStyle w:val="ARtabletextright"/>
              <w:cnfStyle w:val="000000010000" w:firstRow="0" w:lastRow="0" w:firstColumn="0" w:lastColumn="0" w:oddVBand="0" w:evenVBand="0" w:oddHBand="0" w:evenHBand="1" w:firstRowFirstColumn="0" w:firstRowLastColumn="0" w:lastRowFirstColumn="0" w:lastRowLastColumn="0"/>
              <w:rPr>
                <w:rFonts w:ascii="Times New Roman" w:hAnsi="Times New Roman"/>
                <w:lang w:eastAsia="en-AU"/>
              </w:rPr>
            </w:pPr>
          </w:p>
        </w:tc>
      </w:tr>
      <w:tr w:rsidR="00F962BE" w:rsidRPr="006E4BB7" w14:paraId="4956F704"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262D1A19" w14:textId="77777777" w:rsidR="00F962BE" w:rsidRPr="006E4BB7" w:rsidRDefault="00F962BE" w:rsidP="00086E3C">
            <w:pPr>
              <w:pStyle w:val="ARTabletext"/>
              <w:rPr>
                <w:lang w:eastAsia="en-AU"/>
              </w:rPr>
            </w:pPr>
            <w:r w:rsidRPr="006E4BB7">
              <w:rPr>
                <w:lang w:eastAsia="en-AU"/>
              </w:rPr>
              <w:t>Accumulated surplus/(deficit)</w:t>
            </w:r>
          </w:p>
        </w:tc>
        <w:tc>
          <w:tcPr>
            <w:cnfStyle w:val="000001000000" w:firstRow="0" w:lastRow="0" w:firstColumn="0" w:lastColumn="0" w:oddVBand="0" w:evenVBand="1" w:oddHBand="0" w:evenHBand="0" w:firstRowFirstColumn="0" w:firstRowLastColumn="0" w:lastRowFirstColumn="0" w:lastRowLastColumn="0"/>
            <w:tcW w:w="808" w:type="pct"/>
            <w:noWrap/>
            <w:hideMark/>
          </w:tcPr>
          <w:p w14:paraId="2B4EF1AC" w14:textId="77777777" w:rsidR="00F962BE" w:rsidRPr="006E4BB7" w:rsidRDefault="00F962BE" w:rsidP="00086E3C">
            <w:pPr>
              <w:pStyle w:val="ARTabletext"/>
              <w:jc w:val="right"/>
              <w:rPr>
                <w:lang w:eastAsia="en-AU"/>
              </w:rPr>
            </w:pPr>
            <w:r w:rsidRPr="006E4BB7">
              <w:rPr>
                <w:lang w:eastAsia="en-AU"/>
              </w:rPr>
              <w:t>(1,047.2)</w:t>
            </w:r>
          </w:p>
        </w:tc>
        <w:tc>
          <w:tcPr>
            <w:tcW w:w="809" w:type="pct"/>
            <w:noWrap/>
            <w:hideMark/>
          </w:tcPr>
          <w:p w14:paraId="0E9A1CFE" w14:textId="77777777" w:rsidR="00F962BE" w:rsidRPr="006E4BB7" w:rsidRDefault="00F962BE" w:rsidP="00086E3C">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6E4BB7">
              <w:rPr>
                <w:lang w:eastAsia="en-AU"/>
              </w:rPr>
              <w:t>(652.0)</w:t>
            </w:r>
          </w:p>
        </w:tc>
      </w:tr>
      <w:tr w:rsidR="00F962BE" w:rsidRPr="006E4BB7" w14:paraId="55B5E53E" w14:textId="77777777" w:rsidTr="00AD1BA0">
        <w:trPr>
          <w:cnfStyle w:val="000000010000" w:firstRow="0" w:lastRow="0" w:firstColumn="0" w:lastColumn="0" w:oddVBand="0" w:evenVBand="0" w:oddHBand="0" w:evenHBand="1" w:firstRowFirstColumn="0" w:firstRowLastColumn="0" w:lastRowFirstColumn="0" w:lastRowLastColumn="0"/>
          <w:trHeight w:val="20"/>
        </w:trPr>
        <w:tc>
          <w:tcPr>
            <w:tcW w:w="3383" w:type="pct"/>
            <w:noWrap/>
            <w:hideMark/>
          </w:tcPr>
          <w:p w14:paraId="284F3DE1" w14:textId="77777777" w:rsidR="00F962BE" w:rsidRPr="006E4BB7" w:rsidRDefault="00F962BE" w:rsidP="00086E3C">
            <w:pPr>
              <w:pStyle w:val="ARTabletext"/>
              <w:rPr>
                <w:lang w:eastAsia="en-AU"/>
              </w:rPr>
            </w:pPr>
            <w:r w:rsidRPr="006E4BB7">
              <w:rPr>
                <w:lang w:eastAsia="en-AU"/>
              </w:rPr>
              <w:t>Physical asset revaluation surplus</w:t>
            </w:r>
          </w:p>
        </w:tc>
        <w:tc>
          <w:tcPr>
            <w:cnfStyle w:val="000001000000" w:firstRow="0" w:lastRow="0" w:firstColumn="0" w:lastColumn="0" w:oddVBand="0" w:evenVBand="1" w:oddHBand="0" w:evenHBand="0" w:firstRowFirstColumn="0" w:firstRowLastColumn="0" w:lastRowFirstColumn="0" w:lastRowLastColumn="0"/>
            <w:tcW w:w="808" w:type="pct"/>
            <w:noWrap/>
            <w:hideMark/>
          </w:tcPr>
          <w:p w14:paraId="0305AA06" w14:textId="77777777" w:rsidR="00F962BE" w:rsidRPr="006E4BB7" w:rsidRDefault="00F962BE" w:rsidP="00086E3C">
            <w:pPr>
              <w:pStyle w:val="ARTabletext"/>
              <w:jc w:val="right"/>
              <w:rPr>
                <w:lang w:eastAsia="en-AU"/>
              </w:rPr>
            </w:pPr>
            <w:r w:rsidRPr="006E4BB7">
              <w:rPr>
                <w:lang w:eastAsia="en-AU"/>
              </w:rPr>
              <w:t>8,526.7</w:t>
            </w:r>
          </w:p>
        </w:tc>
        <w:tc>
          <w:tcPr>
            <w:tcW w:w="809" w:type="pct"/>
            <w:noWrap/>
            <w:hideMark/>
          </w:tcPr>
          <w:p w14:paraId="0B584E06" w14:textId="77777777" w:rsidR="00F962BE" w:rsidRPr="006E4BB7" w:rsidRDefault="00F962BE" w:rsidP="00086E3C">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6E4BB7">
              <w:rPr>
                <w:lang w:eastAsia="en-AU"/>
              </w:rPr>
              <w:t>8,483.4</w:t>
            </w:r>
          </w:p>
        </w:tc>
      </w:tr>
      <w:tr w:rsidR="00F962BE" w:rsidRPr="006E4BB7" w14:paraId="37B4DB14" w14:textId="77777777" w:rsidTr="00AD1BA0">
        <w:trPr>
          <w:cnfStyle w:val="000000100000" w:firstRow="0" w:lastRow="0" w:firstColumn="0" w:lastColumn="0" w:oddVBand="0" w:evenVBand="0" w:oddHBand="1" w:evenHBand="0" w:firstRowFirstColumn="0" w:firstRowLastColumn="0" w:lastRowFirstColumn="0" w:lastRowLastColumn="0"/>
          <w:trHeight w:val="20"/>
        </w:trPr>
        <w:tc>
          <w:tcPr>
            <w:tcW w:w="3383" w:type="pct"/>
            <w:noWrap/>
            <w:hideMark/>
          </w:tcPr>
          <w:p w14:paraId="3E285AAC" w14:textId="77777777" w:rsidR="00F962BE" w:rsidRPr="006E4BB7" w:rsidRDefault="00F962BE" w:rsidP="00086E3C">
            <w:pPr>
              <w:pStyle w:val="ARTabletext"/>
              <w:rPr>
                <w:lang w:eastAsia="en-AU"/>
              </w:rPr>
            </w:pPr>
            <w:r w:rsidRPr="006E4BB7">
              <w:rPr>
                <w:lang w:eastAsia="en-AU"/>
              </w:rPr>
              <w:t>Contributed capital</w:t>
            </w:r>
          </w:p>
        </w:tc>
        <w:tc>
          <w:tcPr>
            <w:cnfStyle w:val="000001000000" w:firstRow="0" w:lastRow="0" w:firstColumn="0" w:lastColumn="0" w:oddVBand="0" w:evenVBand="1" w:oddHBand="0" w:evenHBand="0" w:firstRowFirstColumn="0" w:firstRowLastColumn="0" w:lastRowFirstColumn="0" w:lastRowLastColumn="0"/>
            <w:tcW w:w="808" w:type="pct"/>
            <w:noWrap/>
            <w:hideMark/>
          </w:tcPr>
          <w:p w14:paraId="2D2B5D44" w14:textId="77777777" w:rsidR="00F962BE" w:rsidRPr="006E4BB7" w:rsidRDefault="00F962BE" w:rsidP="00086E3C">
            <w:pPr>
              <w:pStyle w:val="ARTabletext"/>
              <w:jc w:val="right"/>
              <w:rPr>
                <w:lang w:eastAsia="en-AU"/>
              </w:rPr>
            </w:pPr>
            <w:r w:rsidRPr="006E4BB7">
              <w:rPr>
                <w:lang w:eastAsia="en-AU"/>
              </w:rPr>
              <w:t>30,601.5</w:t>
            </w:r>
          </w:p>
        </w:tc>
        <w:tc>
          <w:tcPr>
            <w:tcW w:w="809" w:type="pct"/>
            <w:noWrap/>
            <w:hideMark/>
          </w:tcPr>
          <w:p w14:paraId="73A5B8F1" w14:textId="77777777" w:rsidR="00F962BE" w:rsidRPr="006E4BB7" w:rsidRDefault="00F962BE" w:rsidP="00086E3C">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6E4BB7">
              <w:rPr>
                <w:lang w:eastAsia="en-AU"/>
              </w:rPr>
              <w:t>29,951.0</w:t>
            </w:r>
          </w:p>
        </w:tc>
      </w:tr>
      <w:tr w:rsidR="00F962BE" w:rsidRPr="006E4BB7" w14:paraId="6632692D" w14:textId="77777777" w:rsidTr="00AD1BA0">
        <w:trPr>
          <w:cnfStyle w:val="010000000000" w:firstRow="0" w:lastRow="1" w:firstColumn="0" w:lastColumn="0" w:oddVBand="0" w:evenVBand="0" w:oddHBand="0" w:evenHBand="0" w:firstRowFirstColumn="0" w:firstRowLastColumn="0" w:lastRowFirstColumn="0" w:lastRowLastColumn="0"/>
          <w:trHeight w:val="20"/>
        </w:trPr>
        <w:tc>
          <w:tcPr>
            <w:tcW w:w="3383" w:type="pct"/>
            <w:noWrap/>
            <w:hideMark/>
          </w:tcPr>
          <w:p w14:paraId="30456CE7" w14:textId="77777777" w:rsidR="00F962BE" w:rsidRPr="006E4BB7" w:rsidRDefault="00F962BE" w:rsidP="00AD1BA0">
            <w:pPr>
              <w:pStyle w:val="ARtabletextbold"/>
              <w:rPr>
                <w:lang w:eastAsia="en-AU"/>
              </w:rPr>
            </w:pPr>
            <w:r w:rsidRPr="006E4BB7">
              <w:rPr>
                <w:lang w:eastAsia="en-AU"/>
              </w:rPr>
              <w:t>Net worth</w:t>
            </w:r>
          </w:p>
        </w:tc>
        <w:tc>
          <w:tcPr>
            <w:cnfStyle w:val="000001000000" w:firstRow="0" w:lastRow="0" w:firstColumn="0" w:lastColumn="0" w:oddVBand="0" w:evenVBand="1" w:oddHBand="0" w:evenHBand="0" w:firstRowFirstColumn="0" w:firstRowLastColumn="0" w:lastRowFirstColumn="0" w:lastRowLastColumn="0"/>
            <w:tcW w:w="808" w:type="pct"/>
            <w:noWrap/>
            <w:hideMark/>
          </w:tcPr>
          <w:p w14:paraId="726F9D33" w14:textId="77777777" w:rsidR="00F962BE" w:rsidRPr="006E4BB7" w:rsidRDefault="00F962BE" w:rsidP="00AD1BA0">
            <w:pPr>
              <w:pStyle w:val="ARtabletextbold"/>
              <w:jc w:val="right"/>
              <w:rPr>
                <w:lang w:eastAsia="en-AU"/>
              </w:rPr>
            </w:pPr>
            <w:r w:rsidRPr="006E4BB7">
              <w:rPr>
                <w:lang w:eastAsia="en-AU"/>
              </w:rPr>
              <w:t>38,081.0</w:t>
            </w:r>
          </w:p>
        </w:tc>
        <w:tc>
          <w:tcPr>
            <w:tcW w:w="809" w:type="pct"/>
            <w:noWrap/>
            <w:hideMark/>
          </w:tcPr>
          <w:p w14:paraId="3EEEB213" w14:textId="77777777" w:rsidR="00F962BE" w:rsidRPr="006E4BB7" w:rsidRDefault="00F962BE" w:rsidP="00AD1BA0">
            <w:pPr>
              <w:pStyle w:val="ARtabletextbold"/>
              <w:jc w:val="right"/>
              <w:cnfStyle w:val="010000000000" w:firstRow="0" w:lastRow="1" w:firstColumn="0" w:lastColumn="0" w:oddVBand="0" w:evenVBand="0" w:oddHBand="0" w:evenHBand="0" w:firstRowFirstColumn="0" w:firstRowLastColumn="0" w:lastRowFirstColumn="0" w:lastRowLastColumn="0"/>
              <w:rPr>
                <w:lang w:eastAsia="en-AU"/>
              </w:rPr>
            </w:pPr>
            <w:r w:rsidRPr="006E4BB7">
              <w:rPr>
                <w:lang w:eastAsia="en-AU"/>
              </w:rPr>
              <w:t>37,782.4</w:t>
            </w:r>
          </w:p>
        </w:tc>
      </w:tr>
    </w:tbl>
    <w:p w14:paraId="36F9E13A" w14:textId="77777777" w:rsidR="00F962BE" w:rsidRPr="006E4BB7" w:rsidRDefault="00F962BE" w:rsidP="00F962BE">
      <w:pPr>
        <w:pStyle w:val="ARfintablenote"/>
        <w:rPr>
          <w:rFonts w:ascii="Times New Roman" w:hAnsi="Times New Roman"/>
          <w:lang w:eastAsia="en-AU"/>
        </w:rPr>
      </w:pPr>
      <w:r w:rsidRPr="006E4BB7">
        <w:rPr>
          <w:lang w:eastAsia="en-AU"/>
        </w:rPr>
        <w:t xml:space="preserve">Notes: </w:t>
      </w:r>
    </w:p>
    <w:p w14:paraId="2B424DE8" w14:textId="77777777" w:rsidR="00F962BE" w:rsidRPr="006E4BB7" w:rsidRDefault="00F962BE" w:rsidP="00F962BE">
      <w:pPr>
        <w:pStyle w:val="ARfintablenoteroman"/>
        <w:numPr>
          <w:ilvl w:val="0"/>
          <w:numId w:val="88"/>
        </w:numPr>
      </w:pPr>
      <w:r w:rsidRPr="006E4BB7">
        <w:t>The cash at bank reflects the planned acquittal of government funding received last financial year and spent this financial year as part of capital programs to continue growing the number of and improving the condition of social housing in Victoria.</w:t>
      </w:r>
    </w:p>
    <w:p w14:paraId="29B37CF9" w14:textId="77777777" w:rsidR="00F962BE" w:rsidRDefault="00F962BE" w:rsidP="00F962BE">
      <w:pPr>
        <w:rPr>
          <w:rFonts w:ascii="Times New Roman" w:hAnsi="Times New Roman"/>
          <w:sz w:val="20"/>
          <w:lang w:eastAsia="en-AU"/>
        </w:rPr>
      </w:pPr>
      <w:r>
        <w:rPr>
          <w:rFonts w:ascii="Times New Roman" w:hAnsi="Times New Roman"/>
          <w:sz w:val="20"/>
          <w:lang w:eastAsia="en-AU"/>
        </w:rPr>
        <w:br w:type="page"/>
      </w:r>
    </w:p>
    <w:p w14:paraId="65CE1F11" w14:textId="77777777" w:rsidR="00F962BE" w:rsidRPr="00880C7C" w:rsidRDefault="00F962BE" w:rsidP="00F962BE">
      <w:pPr>
        <w:pStyle w:val="Heading3"/>
        <w:rPr>
          <w:lang w:eastAsia="en-AU"/>
        </w:rPr>
      </w:pPr>
      <w:bookmarkStart w:id="320" w:name="_Cash_flow_statement"/>
      <w:bookmarkEnd w:id="320"/>
      <w:r w:rsidRPr="00880C7C">
        <w:rPr>
          <w:lang w:eastAsia="en-AU"/>
        </w:rPr>
        <w:t>Cash flow statement for the financial year ended 30 June 2026</w:t>
      </w:r>
    </w:p>
    <w:tbl>
      <w:tblPr>
        <w:tblStyle w:val="ARtable1"/>
        <w:tblW w:w="5000" w:type="pct"/>
        <w:tblLook w:val="00E0" w:firstRow="1" w:lastRow="1" w:firstColumn="1" w:lastColumn="0" w:noHBand="0" w:noVBand="0"/>
      </w:tblPr>
      <w:tblGrid>
        <w:gridCol w:w="6626"/>
        <w:gridCol w:w="1502"/>
        <w:gridCol w:w="1500"/>
      </w:tblGrid>
      <w:tr w:rsidR="00CF2694" w:rsidRPr="00880C7C" w14:paraId="13BA73A3" w14:textId="77777777" w:rsidTr="00CF2694">
        <w:trPr>
          <w:cnfStyle w:val="100000000000" w:firstRow="1" w:lastRow="0" w:firstColumn="0" w:lastColumn="0" w:oddVBand="0" w:evenVBand="0" w:oddHBand="0" w:evenHBand="0" w:firstRowFirstColumn="0" w:firstRowLastColumn="0" w:lastRowFirstColumn="0" w:lastRowLastColumn="0"/>
          <w:trHeight w:val="287"/>
          <w:tblHeader/>
        </w:trPr>
        <w:tc>
          <w:tcPr>
            <w:tcW w:w="3441" w:type="pct"/>
            <w:vMerge w:val="restart"/>
            <w:noWrap/>
            <w:hideMark/>
          </w:tcPr>
          <w:p w14:paraId="2F8ABB60" w14:textId="77777777" w:rsidR="00CF2694" w:rsidRPr="00880C7C" w:rsidRDefault="00CF2694">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780" w:type="pct"/>
            <w:vMerge w:val="restart"/>
            <w:noWrap/>
            <w:hideMark/>
          </w:tcPr>
          <w:p w14:paraId="78431070" w14:textId="77777777" w:rsidR="00CF2694" w:rsidRPr="00880C7C" w:rsidRDefault="00CF2694" w:rsidP="00CF2694">
            <w:pPr>
              <w:pStyle w:val="ARtablecolhead"/>
              <w:jc w:val="right"/>
              <w:rPr>
                <w:lang w:eastAsia="en-AU"/>
              </w:rPr>
            </w:pPr>
            <w:r w:rsidRPr="00880C7C">
              <w:rPr>
                <w:lang w:eastAsia="en-AU"/>
              </w:rPr>
              <w:t>2026</w:t>
            </w:r>
          </w:p>
          <w:p w14:paraId="3FDA8C3A" w14:textId="77777777" w:rsidR="00CF2694" w:rsidRPr="00880C7C" w:rsidRDefault="00CF2694" w:rsidP="00CF2694">
            <w:pPr>
              <w:pStyle w:val="ARtablecolhead"/>
              <w:jc w:val="right"/>
              <w:rPr>
                <w:lang w:eastAsia="en-AU"/>
              </w:rPr>
            </w:pPr>
            <w:r w:rsidRPr="00880C7C">
              <w:rPr>
                <w:lang w:eastAsia="en-AU"/>
              </w:rPr>
              <w:t>$M</w:t>
            </w:r>
          </w:p>
        </w:tc>
        <w:tc>
          <w:tcPr>
            <w:tcW w:w="779" w:type="pct"/>
            <w:vMerge w:val="restart"/>
            <w:noWrap/>
            <w:hideMark/>
          </w:tcPr>
          <w:p w14:paraId="3E426A82" w14:textId="77777777" w:rsidR="00CF2694" w:rsidRPr="00880C7C" w:rsidRDefault="00CF2694" w:rsidP="00CF2694">
            <w:pPr>
              <w:pStyle w:val="ARtablecolhead"/>
              <w:jc w:val="right"/>
              <w:cnfStyle w:val="100000000000" w:firstRow="1" w:lastRow="0" w:firstColumn="0" w:lastColumn="0" w:oddVBand="0" w:evenVBand="0" w:oddHBand="0" w:evenHBand="0" w:firstRowFirstColumn="0" w:firstRowLastColumn="0" w:lastRowFirstColumn="0" w:lastRowLastColumn="0"/>
              <w:rPr>
                <w:lang w:eastAsia="en-AU"/>
              </w:rPr>
            </w:pPr>
            <w:r w:rsidRPr="00880C7C">
              <w:rPr>
                <w:lang w:eastAsia="en-AU"/>
              </w:rPr>
              <w:t>2025</w:t>
            </w:r>
          </w:p>
          <w:p w14:paraId="14FCC41D" w14:textId="77777777" w:rsidR="00CF2694" w:rsidRPr="00880C7C" w:rsidRDefault="00CF2694" w:rsidP="00CF2694">
            <w:pPr>
              <w:pStyle w:val="ARtablecolhead"/>
              <w:jc w:val="right"/>
              <w:cnfStyle w:val="100000000000" w:firstRow="1" w:lastRow="0" w:firstColumn="0" w:lastColumn="0" w:oddVBand="0" w:evenVBand="0" w:oddHBand="0" w:evenHBand="0" w:firstRowFirstColumn="0" w:firstRowLastColumn="0" w:lastRowFirstColumn="0" w:lastRowLastColumn="0"/>
              <w:rPr>
                <w:lang w:eastAsia="en-AU"/>
              </w:rPr>
            </w:pPr>
            <w:r w:rsidRPr="00880C7C">
              <w:rPr>
                <w:lang w:eastAsia="en-AU"/>
              </w:rPr>
              <w:t>$M</w:t>
            </w:r>
          </w:p>
        </w:tc>
      </w:tr>
      <w:tr w:rsidR="00CF2694" w:rsidRPr="00880C7C" w14:paraId="621A15CA" w14:textId="77777777" w:rsidTr="00CF2694">
        <w:trPr>
          <w:cnfStyle w:val="100000000000" w:firstRow="1" w:lastRow="0" w:firstColumn="0" w:lastColumn="0" w:oddVBand="0" w:evenVBand="0" w:oddHBand="0" w:evenHBand="0" w:firstRowFirstColumn="0" w:firstRowLastColumn="0" w:lastRowFirstColumn="0" w:lastRowLastColumn="0"/>
          <w:trHeight w:val="241"/>
          <w:tblHeader/>
        </w:trPr>
        <w:tc>
          <w:tcPr>
            <w:tcW w:w="3441" w:type="pct"/>
            <w:vMerge/>
            <w:noWrap/>
            <w:hideMark/>
          </w:tcPr>
          <w:p w14:paraId="72F2E238" w14:textId="77777777" w:rsidR="00CF2694" w:rsidRPr="00880C7C" w:rsidRDefault="00CF2694">
            <w:pPr>
              <w:spacing w:after="0" w:line="240" w:lineRule="auto"/>
              <w:jc w:val="center"/>
              <w:rPr>
                <w:rFonts w:ascii="Verdana" w:hAnsi="Verdana" w:cs="Arial"/>
                <w:b/>
                <w:bCs/>
                <w:color w:val="000000"/>
                <w:sz w:val="20"/>
                <w:lang w:eastAsia="en-AU"/>
              </w:rPr>
            </w:pPr>
          </w:p>
        </w:tc>
        <w:tc>
          <w:tcPr>
            <w:cnfStyle w:val="000001000000" w:firstRow="0" w:lastRow="0" w:firstColumn="0" w:lastColumn="0" w:oddVBand="0" w:evenVBand="1" w:oddHBand="0" w:evenHBand="0" w:firstRowFirstColumn="0" w:firstRowLastColumn="0" w:lastRowFirstColumn="0" w:lastRowLastColumn="0"/>
            <w:tcW w:w="780" w:type="pct"/>
            <w:vMerge/>
            <w:noWrap/>
            <w:hideMark/>
          </w:tcPr>
          <w:p w14:paraId="6ADD6C69" w14:textId="77777777" w:rsidR="00CF2694" w:rsidRPr="00880C7C" w:rsidRDefault="00CF2694">
            <w:pPr>
              <w:spacing w:after="0" w:line="240" w:lineRule="auto"/>
              <w:jc w:val="right"/>
              <w:rPr>
                <w:rFonts w:ascii="Verdana" w:hAnsi="Verdana" w:cs="Arial"/>
                <w:b/>
                <w:bCs/>
                <w:color w:val="000000"/>
                <w:sz w:val="20"/>
                <w:lang w:eastAsia="en-AU"/>
              </w:rPr>
            </w:pPr>
          </w:p>
        </w:tc>
        <w:tc>
          <w:tcPr>
            <w:tcW w:w="779" w:type="pct"/>
            <w:vMerge/>
            <w:noWrap/>
            <w:hideMark/>
          </w:tcPr>
          <w:p w14:paraId="4B94F1E7" w14:textId="77777777" w:rsidR="00CF2694" w:rsidRPr="00880C7C" w:rsidRDefault="00CF2694">
            <w:pPr>
              <w:spacing w:after="0" w:line="240" w:lineRule="auto"/>
              <w:jc w:val="right"/>
              <w:cnfStyle w:val="100000000000" w:firstRow="1" w:lastRow="0" w:firstColumn="0" w:lastColumn="0" w:oddVBand="0" w:evenVBand="0" w:oddHBand="0" w:evenHBand="0" w:firstRowFirstColumn="0" w:firstRowLastColumn="0" w:lastRowFirstColumn="0" w:lastRowLastColumn="0"/>
              <w:rPr>
                <w:rFonts w:ascii="Verdana" w:hAnsi="Verdana" w:cs="Arial"/>
                <w:b/>
                <w:bCs/>
                <w:color w:val="000000"/>
                <w:sz w:val="20"/>
                <w:lang w:eastAsia="en-AU"/>
              </w:rPr>
            </w:pPr>
          </w:p>
        </w:tc>
      </w:tr>
      <w:tr w:rsidR="00CF2694" w:rsidRPr="00880C7C" w14:paraId="556C84EA" w14:textId="77777777" w:rsidTr="00CF2694">
        <w:trPr>
          <w:cnfStyle w:val="000000100000" w:firstRow="0" w:lastRow="0" w:firstColumn="0" w:lastColumn="0" w:oddVBand="0" w:evenVBand="0" w:oddHBand="1" w:evenHBand="0" w:firstRowFirstColumn="0" w:firstRowLastColumn="0" w:lastRowFirstColumn="0" w:lastRowLastColumn="0"/>
          <w:trHeight w:val="20"/>
        </w:trPr>
        <w:tc>
          <w:tcPr>
            <w:tcW w:w="3441" w:type="pct"/>
            <w:noWrap/>
            <w:hideMark/>
          </w:tcPr>
          <w:p w14:paraId="1DC2D4D4" w14:textId="77777777" w:rsidR="00CF2694" w:rsidRPr="00880C7C" w:rsidRDefault="00CF2694" w:rsidP="00CF2694">
            <w:pPr>
              <w:pStyle w:val="ARTabletextboldcoloured"/>
              <w:rPr>
                <w:lang w:eastAsia="en-AU"/>
              </w:rPr>
            </w:pPr>
            <w:r w:rsidRPr="00880C7C">
              <w:rPr>
                <w:lang w:eastAsia="en-AU"/>
              </w:rPr>
              <w:t>Cash flows from operating activities</w:t>
            </w:r>
          </w:p>
        </w:tc>
        <w:tc>
          <w:tcPr>
            <w:cnfStyle w:val="000001000000" w:firstRow="0" w:lastRow="0" w:firstColumn="0" w:lastColumn="0" w:oddVBand="0" w:evenVBand="1" w:oddHBand="0" w:evenHBand="0" w:firstRowFirstColumn="0" w:firstRowLastColumn="0" w:lastRowFirstColumn="0" w:lastRowLastColumn="0"/>
            <w:tcW w:w="780" w:type="pct"/>
            <w:shd w:val="clear" w:color="auto" w:fill="auto"/>
            <w:noWrap/>
            <w:hideMark/>
          </w:tcPr>
          <w:p w14:paraId="566B98D0" w14:textId="77777777" w:rsidR="00CF2694" w:rsidRPr="00880C7C" w:rsidRDefault="00CF2694" w:rsidP="00CF2694">
            <w:pPr>
              <w:pStyle w:val="ARTabletextboldcoloured"/>
              <w:jc w:val="right"/>
              <w:rPr>
                <w:lang w:eastAsia="en-AU"/>
              </w:rPr>
            </w:pPr>
          </w:p>
        </w:tc>
        <w:tc>
          <w:tcPr>
            <w:tcW w:w="779" w:type="pct"/>
            <w:noWrap/>
            <w:hideMark/>
          </w:tcPr>
          <w:p w14:paraId="78D24E8F" w14:textId="77777777" w:rsidR="00CF2694" w:rsidRPr="00880C7C" w:rsidRDefault="00CF2694" w:rsidP="00CF2694">
            <w:pPr>
              <w:pStyle w:val="ARTabletextboldcoloured"/>
              <w:jc w:val="righ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AU"/>
              </w:rPr>
            </w:pPr>
          </w:p>
        </w:tc>
      </w:tr>
      <w:tr w:rsidR="00CF2694" w:rsidRPr="00880C7C" w14:paraId="7F960DC2" w14:textId="77777777" w:rsidTr="00CF2694">
        <w:trPr>
          <w:cnfStyle w:val="000000010000" w:firstRow="0" w:lastRow="0" w:firstColumn="0" w:lastColumn="0" w:oddVBand="0" w:evenVBand="0" w:oddHBand="0" w:evenHBand="1" w:firstRowFirstColumn="0" w:firstRowLastColumn="0" w:lastRowFirstColumn="0" w:lastRowLastColumn="0"/>
          <w:trHeight w:val="20"/>
        </w:trPr>
        <w:tc>
          <w:tcPr>
            <w:tcW w:w="3441" w:type="pct"/>
            <w:noWrap/>
            <w:hideMark/>
          </w:tcPr>
          <w:p w14:paraId="3F33F22E" w14:textId="77777777" w:rsidR="00CF2694" w:rsidRPr="00880C7C" w:rsidRDefault="00CF2694">
            <w:pPr>
              <w:pStyle w:val="ARfintabletextbold"/>
              <w:rPr>
                <w:lang w:eastAsia="en-AU"/>
              </w:rPr>
            </w:pPr>
            <w:r w:rsidRPr="00880C7C">
              <w:rPr>
                <w:lang w:eastAsia="en-AU"/>
              </w:rPr>
              <w:t>Receipts</w:t>
            </w:r>
          </w:p>
        </w:tc>
        <w:tc>
          <w:tcPr>
            <w:cnfStyle w:val="000001000000" w:firstRow="0" w:lastRow="0" w:firstColumn="0" w:lastColumn="0" w:oddVBand="0" w:evenVBand="1" w:oddHBand="0" w:evenHBand="0" w:firstRowFirstColumn="0" w:firstRowLastColumn="0" w:lastRowFirstColumn="0" w:lastRowLastColumn="0"/>
            <w:tcW w:w="780" w:type="pct"/>
            <w:shd w:val="clear" w:color="auto" w:fill="auto"/>
            <w:noWrap/>
            <w:hideMark/>
          </w:tcPr>
          <w:p w14:paraId="46DE9B23" w14:textId="77777777" w:rsidR="00CF2694" w:rsidRPr="00880C7C" w:rsidRDefault="00CF2694" w:rsidP="00CF2694">
            <w:pPr>
              <w:pStyle w:val="ARfintabletextright"/>
              <w:rPr>
                <w:lang w:eastAsia="en-AU"/>
              </w:rPr>
            </w:pPr>
          </w:p>
        </w:tc>
        <w:tc>
          <w:tcPr>
            <w:tcW w:w="779" w:type="pct"/>
            <w:noWrap/>
            <w:hideMark/>
          </w:tcPr>
          <w:p w14:paraId="64F2720B" w14:textId="77777777" w:rsidR="00CF2694" w:rsidRPr="00880C7C" w:rsidRDefault="00CF2694" w:rsidP="00CF2694">
            <w:pPr>
              <w:pStyle w:val="ARfintabletextright"/>
              <w:cnfStyle w:val="000000010000" w:firstRow="0" w:lastRow="0" w:firstColumn="0" w:lastColumn="0" w:oddVBand="0" w:evenVBand="0" w:oddHBand="0" w:evenHBand="1" w:firstRowFirstColumn="0" w:firstRowLastColumn="0" w:lastRowFirstColumn="0" w:lastRowLastColumn="0"/>
              <w:rPr>
                <w:rFonts w:ascii="Times New Roman" w:hAnsi="Times New Roman"/>
                <w:lang w:eastAsia="en-AU"/>
              </w:rPr>
            </w:pPr>
          </w:p>
        </w:tc>
      </w:tr>
      <w:tr w:rsidR="00CF2694" w:rsidRPr="00880C7C" w14:paraId="4465DEF0" w14:textId="77777777" w:rsidTr="00CF2694">
        <w:trPr>
          <w:cnfStyle w:val="000000100000" w:firstRow="0" w:lastRow="0" w:firstColumn="0" w:lastColumn="0" w:oddVBand="0" w:evenVBand="0" w:oddHBand="1" w:evenHBand="0" w:firstRowFirstColumn="0" w:firstRowLastColumn="0" w:lastRowFirstColumn="0" w:lastRowLastColumn="0"/>
          <w:trHeight w:val="20"/>
        </w:trPr>
        <w:tc>
          <w:tcPr>
            <w:tcW w:w="3441" w:type="pct"/>
            <w:noWrap/>
            <w:hideMark/>
          </w:tcPr>
          <w:p w14:paraId="3A9AC34A" w14:textId="77777777" w:rsidR="00CF2694" w:rsidRPr="00880C7C" w:rsidRDefault="00CF2694" w:rsidP="00CF2694">
            <w:pPr>
              <w:pStyle w:val="ARTabletext"/>
              <w:rPr>
                <w:lang w:eastAsia="en-AU"/>
              </w:rPr>
            </w:pPr>
            <w:r w:rsidRPr="00880C7C">
              <w:rPr>
                <w:lang w:eastAsia="en-AU"/>
              </w:rPr>
              <w:t>Output appropriations</w:t>
            </w:r>
          </w:p>
        </w:tc>
        <w:tc>
          <w:tcPr>
            <w:cnfStyle w:val="000001000000" w:firstRow="0" w:lastRow="0" w:firstColumn="0" w:lastColumn="0" w:oddVBand="0" w:evenVBand="1" w:oddHBand="0" w:evenHBand="0" w:firstRowFirstColumn="0" w:firstRowLastColumn="0" w:lastRowFirstColumn="0" w:lastRowLastColumn="0"/>
            <w:tcW w:w="780" w:type="pct"/>
            <w:noWrap/>
            <w:hideMark/>
          </w:tcPr>
          <w:p w14:paraId="5E42B271" w14:textId="77777777" w:rsidR="00CF2694" w:rsidRPr="00880C7C" w:rsidRDefault="00CF2694" w:rsidP="00CF2694">
            <w:pPr>
              <w:pStyle w:val="ARTabletext"/>
              <w:jc w:val="right"/>
              <w:rPr>
                <w:lang w:eastAsia="en-AU"/>
              </w:rPr>
            </w:pPr>
            <w:r w:rsidRPr="00880C7C">
              <w:rPr>
                <w:lang w:eastAsia="en-AU"/>
              </w:rPr>
              <w:t>703.6</w:t>
            </w:r>
          </w:p>
        </w:tc>
        <w:tc>
          <w:tcPr>
            <w:tcW w:w="779" w:type="pct"/>
            <w:noWrap/>
            <w:hideMark/>
          </w:tcPr>
          <w:p w14:paraId="3FC47A9C" w14:textId="77777777" w:rsidR="00CF2694" w:rsidRPr="00880C7C" w:rsidRDefault="00CF2694" w:rsidP="00CF2694">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880C7C">
              <w:rPr>
                <w:lang w:eastAsia="en-AU"/>
              </w:rPr>
              <w:t>783.2</w:t>
            </w:r>
          </w:p>
        </w:tc>
      </w:tr>
      <w:tr w:rsidR="00CF2694" w:rsidRPr="00880C7C" w14:paraId="09E355E2" w14:textId="77777777" w:rsidTr="00CF2694">
        <w:trPr>
          <w:cnfStyle w:val="000000010000" w:firstRow="0" w:lastRow="0" w:firstColumn="0" w:lastColumn="0" w:oddVBand="0" w:evenVBand="0" w:oddHBand="0" w:evenHBand="1" w:firstRowFirstColumn="0" w:firstRowLastColumn="0" w:lastRowFirstColumn="0" w:lastRowLastColumn="0"/>
          <w:trHeight w:val="20"/>
        </w:trPr>
        <w:tc>
          <w:tcPr>
            <w:tcW w:w="3441" w:type="pct"/>
            <w:noWrap/>
            <w:hideMark/>
          </w:tcPr>
          <w:p w14:paraId="13267DEC" w14:textId="77777777" w:rsidR="00CF2694" w:rsidRPr="00880C7C" w:rsidRDefault="00CF2694" w:rsidP="00CF2694">
            <w:pPr>
              <w:pStyle w:val="ARTabletext"/>
              <w:rPr>
                <w:lang w:eastAsia="en-AU"/>
              </w:rPr>
            </w:pPr>
            <w:r w:rsidRPr="00880C7C">
              <w:rPr>
                <w:lang w:eastAsia="en-AU"/>
              </w:rPr>
              <w:t>Special appropriations</w:t>
            </w:r>
          </w:p>
        </w:tc>
        <w:tc>
          <w:tcPr>
            <w:cnfStyle w:val="000001000000" w:firstRow="0" w:lastRow="0" w:firstColumn="0" w:lastColumn="0" w:oddVBand="0" w:evenVBand="1" w:oddHBand="0" w:evenHBand="0" w:firstRowFirstColumn="0" w:firstRowLastColumn="0" w:lastRowFirstColumn="0" w:lastRowLastColumn="0"/>
            <w:tcW w:w="780" w:type="pct"/>
            <w:noWrap/>
            <w:hideMark/>
          </w:tcPr>
          <w:p w14:paraId="46B98D51" w14:textId="77777777" w:rsidR="00CF2694" w:rsidRPr="00880C7C" w:rsidRDefault="00CF2694" w:rsidP="00CF2694">
            <w:pPr>
              <w:pStyle w:val="ARTabletext"/>
              <w:jc w:val="right"/>
              <w:rPr>
                <w:lang w:eastAsia="en-AU"/>
              </w:rPr>
            </w:pPr>
            <w:r w:rsidRPr="00880C7C">
              <w:rPr>
                <w:lang w:eastAsia="en-AU"/>
              </w:rPr>
              <w:t>12.5</w:t>
            </w:r>
          </w:p>
        </w:tc>
        <w:tc>
          <w:tcPr>
            <w:tcW w:w="779" w:type="pct"/>
            <w:noWrap/>
            <w:hideMark/>
          </w:tcPr>
          <w:p w14:paraId="576F3A4F" w14:textId="77777777" w:rsidR="00CF2694" w:rsidRPr="00880C7C" w:rsidRDefault="00CF2694" w:rsidP="00CF2694">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880C7C">
              <w:rPr>
                <w:lang w:eastAsia="en-AU"/>
              </w:rPr>
              <w:t>5.0</w:t>
            </w:r>
          </w:p>
        </w:tc>
      </w:tr>
      <w:tr w:rsidR="00CF2694" w:rsidRPr="00880C7C" w14:paraId="23ED558E" w14:textId="77777777" w:rsidTr="00CF2694">
        <w:trPr>
          <w:cnfStyle w:val="000000100000" w:firstRow="0" w:lastRow="0" w:firstColumn="0" w:lastColumn="0" w:oddVBand="0" w:evenVBand="0" w:oddHBand="1" w:evenHBand="0" w:firstRowFirstColumn="0" w:firstRowLastColumn="0" w:lastRowFirstColumn="0" w:lastRowLastColumn="0"/>
          <w:trHeight w:val="20"/>
        </w:trPr>
        <w:tc>
          <w:tcPr>
            <w:tcW w:w="3441" w:type="pct"/>
            <w:noWrap/>
            <w:hideMark/>
          </w:tcPr>
          <w:p w14:paraId="71626623" w14:textId="77777777" w:rsidR="00CF2694" w:rsidRPr="00880C7C" w:rsidRDefault="00CF2694" w:rsidP="00CF2694">
            <w:pPr>
              <w:pStyle w:val="ARTabletext"/>
              <w:rPr>
                <w:lang w:eastAsia="en-AU"/>
              </w:rPr>
            </w:pPr>
            <w:r w:rsidRPr="00880C7C">
              <w:rPr>
                <w:lang w:eastAsia="en-AU"/>
              </w:rPr>
              <w:t>Funds from other entities</w:t>
            </w:r>
          </w:p>
        </w:tc>
        <w:tc>
          <w:tcPr>
            <w:cnfStyle w:val="000001000000" w:firstRow="0" w:lastRow="0" w:firstColumn="0" w:lastColumn="0" w:oddVBand="0" w:evenVBand="1" w:oddHBand="0" w:evenHBand="0" w:firstRowFirstColumn="0" w:firstRowLastColumn="0" w:lastRowFirstColumn="0" w:lastRowLastColumn="0"/>
            <w:tcW w:w="780" w:type="pct"/>
            <w:noWrap/>
            <w:hideMark/>
          </w:tcPr>
          <w:p w14:paraId="66F53EE7" w14:textId="77777777" w:rsidR="00CF2694" w:rsidRPr="00880C7C" w:rsidRDefault="00CF2694" w:rsidP="00CF2694">
            <w:pPr>
              <w:pStyle w:val="ARTabletext"/>
              <w:jc w:val="right"/>
              <w:rPr>
                <w:lang w:eastAsia="en-AU"/>
              </w:rPr>
            </w:pPr>
            <w:r w:rsidRPr="00880C7C">
              <w:rPr>
                <w:lang w:eastAsia="en-AU"/>
              </w:rPr>
              <w:t>42.6</w:t>
            </w:r>
          </w:p>
        </w:tc>
        <w:tc>
          <w:tcPr>
            <w:tcW w:w="779" w:type="pct"/>
            <w:noWrap/>
            <w:hideMark/>
          </w:tcPr>
          <w:p w14:paraId="697B1D3A" w14:textId="77777777" w:rsidR="00CF2694" w:rsidRPr="00880C7C" w:rsidRDefault="00CF2694" w:rsidP="00CF2694">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880C7C">
              <w:rPr>
                <w:lang w:eastAsia="en-AU"/>
              </w:rPr>
              <w:t>352.0</w:t>
            </w:r>
          </w:p>
        </w:tc>
      </w:tr>
      <w:tr w:rsidR="00CF2694" w:rsidRPr="00880C7C" w14:paraId="7548E412" w14:textId="77777777" w:rsidTr="00CF2694">
        <w:trPr>
          <w:cnfStyle w:val="000000010000" w:firstRow="0" w:lastRow="0" w:firstColumn="0" w:lastColumn="0" w:oddVBand="0" w:evenVBand="0" w:oddHBand="0" w:evenHBand="1" w:firstRowFirstColumn="0" w:firstRowLastColumn="0" w:lastRowFirstColumn="0" w:lastRowLastColumn="0"/>
          <w:trHeight w:val="20"/>
        </w:trPr>
        <w:tc>
          <w:tcPr>
            <w:tcW w:w="3441" w:type="pct"/>
            <w:noWrap/>
            <w:hideMark/>
          </w:tcPr>
          <w:p w14:paraId="62F7DF0F" w14:textId="77777777" w:rsidR="00CF2694" w:rsidRPr="00880C7C" w:rsidRDefault="00CF2694" w:rsidP="00CF2694">
            <w:pPr>
              <w:pStyle w:val="ARTabletext"/>
              <w:rPr>
                <w:lang w:eastAsia="en-AU"/>
              </w:rPr>
            </w:pPr>
            <w:r w:rsidRPr="00880C7C">
              <w:rPr>
                <w:lang w:eastAsia="en-AU"/>
              </w:rPr>
              <w:t>Rent received</w:t>
            </w:r>
          </w:p>
        </w:tc>
        <w:tc>
          <w:tcPr>
            <w:cnfStyle w:val="000001000000" w:firstRow="0" w:lastRow="0" w:firstColumn="0" w:lastColumn="0" w:oddVBand="0" w:evenVBand="1" w:oddHBand="0" w:evenHBand="0" w:firstRowFirstColumn="0" w:firstRowLastColumn="0" w:lastRowFirstColumn="0" w:lastRowLastColumn="0"/>
            <w:tcW w:w="780" w:type="pct"/>
            <w:noWrap/>
            <w:hideMark/>
          </w:tcPr>
          <w:p w14:paraId="5A351E4F" w14:textId="77777777" w:rsidR="00CF2694" w:rsidRPr="00880C7C" w:rsidRDefault="00CF2694" w:rsidP="00CF2694">
            <w:pPr>
              <w:pStyle w:val="ARTabletext"/>
              <w:jc w:val="right"/>
              <w:rPr>
                <w:lang w:eastAsia="en-AU"/>
              </w:rPr>
            </w:pPr>
            <w:r w:rsidRPr="00880C7C">
              <w:rPr>
                <w:lang w:eastAsia="en-AU"/>
              </w:rPr>
              <w:t>618.0</w:t>
            </w:r>
          </w:p>
        </w:tc>
        <w:tc>
          <w:tcPr>
            <w:tcW w:w="779" w:type="pct"/>
            <w:noWrap/>
            <w:hideMark/>
          </w:tcPr>
          <w:p w14:paraId="42D8B110" w14:textId="77777777" w:rsidR="00CF2694" w:rsidRPr="00880C7C" w:rsidRDefault="00CF2694" w:rsidP="00CF2694">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880C7C">
              <w:rPr>
                <w:lang w:eastAsia="en-AU"/>
              </w:rPr>
              <w:t>587.2</w:t>
            </w:r>
          </w:p>
        </w:tc>
      </w:tr>
      <w:tr w:rsidR="00CF2694" w:rsidRPr="00880C7C" w14:paraId="21415DBA" w14:textId="77777777" w:rsidTr="00CF2694">
        <w:trPr>
          <w:cnfStyle w:val="000000100000" w:firstRow="0" w:lastRow="0" w:firstColumn="0" w:lastColumn="0" w:oddVBand="0" w:evenVBand="0" w:oddHBand="1" w:evenHBand="0" w:firstRowFirstColumn="0" w:firstRowLastColumn="0" w:lastRowFirstColumn="0" w:lastRowLastColumn="0"/>
          <w:trHeight w:val="20"/>
        </w:trPr>
        <w:tc>
          <w:tcPr>
            <w:tcW w:w="3441" w:type="pct"/>
            <w:noWrap/>
            <w:hideMark/>
          </w:tcPr>
          <w:p w14:paraId="08628BFD" w14:textId="77777777" w:rsidR="00CF2694" w:rsidRPr="00880C7C" w:rsidRDefault="00CF2694" w:rsidP="00CF2694">
            <w:pPr>
              <w:pStyle w:val="ARTabletext"/>
              <w:rPr>
                <w:lang w:eastAsia="en-AU"/>
              </w:rPr>
            </w:pPr>
            <w:r w:rsidRPr="00880C7C">
              <w:rPr>
                <w:lang w:eastAsia="en-AU"/>
              </w:rPr>
              <w:t>Interest received</w:t>
            </w:r>
          </w:p>
        </w:tc>
        <w:tc>
          <w:tcPr>
            <w:cnfStyle w:val="000001000000" w:firstRow="0" w:lastRow="0" w:firstColumn="0" w:lastColumn="0" w:oddVBand="0" w:evenVBand="1" w:oddHBand="0" w:evenHBand="0" w:firstRowFirstColumn="0" w:firstRowLastColumn="0" w:lastRowFirstColumn="0" w:lastRowLastColumn="0"/>
            <w:tcW w:w="780" w:type="pct"/>
            <w:noWrap/>
            <w:hideMark/>
          </w:tcPr>
          <w:p w14:paraId="47A12FB8" w14:textId="77777777" w:rsidR="00CF2694" w:rsidRPr="00880C7C" w:rsidRDefault="00CF2694" w:rsidP="00CF2694">
            <w:pPr>
              <w:pStyle w:val="ARTabletext"/>
              <w:jc w:val="right"/>
              <w:rPr>
                <w:lang w:eastAsia="en-AU"/>
              </w:rPr>
            </w:pPr>
            <w:r w:rsidRPr="00880C7C">
              <w:rPr>
                <w:lang w:eastAsia="en-AU"/>
              </w:rPr>
              <w:t>50.7</w:t>
            </w:r>
          </w:p>
        </w:tc>
        <w:tc>
          <w:tcPr>
            <w:tcW w:w="779" w:type="pct"/>
            <w:noWrap/>
            <w:hideMark/>
          </w:tcPr>
          <w:p w14:paraId="0DB07246" w14:textId="77777777" w:rsidR="00CF2694" w:rsidRPr="00880C7C" w:rsidRDefault="00CF2694" w:rsidP="00CF2694">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880C7C">
              <w:rPr>
                <w:lang w:eastAsia="en-AU"/>
              </w:rPr>
              <w:t>37.3</w:t>
            </w:r>
          </w:p>
        </w:tc>
      </w:tr>
      <w:tr w:rsidR="00CF2694" w:rsidRPr="00880C7C" w14:paraId="1597DEF0" w14:textId="77777777" w:rsidTr="00CF2694">
        <w:trPr>
          <w:cnfStyle w:val="000000010000" w:firstRow="0" w:lastRow="0" w:firstColumn="0" w:lastColumn="0" w:oddVBand="0" w:evenVBand="0" w:oddHBand="0" w:evenHBand="1" w:firstRowFirstColumn="0" w:firstRowLastColumn="0" w:lastRowFirstColumn="0" w:lastRowLastColumn="0"/>
          <w:trHeight w:val="20"/>
        </w:trPr>
        <w:tc>
          <w:tcPr>
            <w:tcW w:w="3441" w:type="pct"/>
            <w:tcBorders>
              <w:bottom w:val="single" w:sz="4" w:space="0" w:color="BFBFBF" w:themeColor="accent2"/>
            </w:tcBorders>
            <w:noWrap/>
            <w:hideMark/>
          </w:tcPr>
          <w:p w14:paraId="63B55E97" w14:textId="77777777" w:rsidR="00CF2694" w:rsidRPr="00880C7C" w:rsidRDefault="00CF2694" w:rsidP="00CF2694">
            <w:pPr>
              <w:pStyle w:val="ARTabletext"/>
              <w:rPr>
                <w:lang w:eastAsia="en-AU"/>
              </w:rPr>
            </w:pPr>
            <w:r w:rsidRPr="00880C7C">
              <w:rPr>
                <w:lang w:eastAsia="en-AU"/>
              </w:rPr>
              <w:t>Other receipts</w:t>
            </w:r>
          </w:p>
        </w:tc>
        <w:tc>
          <w:tcPr>
            <w:cnfStyle w:val="000001000000" w:firstRow="0" w:lastRow="0" w:firstColumn="0" w:lastColumn="0" w:oddVBand="0" w:evenVBand="1" w:oddHBand="0" w:evenHBand="0" w:firstRowFirstColumn="0" w:firstRowLastColumn="0" w:lastRowFirstColumn="0" w:lastRowLastColumn="0"/>
            <w:tcW w:w="780" w:type="pct"/>
            <w:tcBorders>
              <w:bottom w:val="single" w:sz="4" w:space="0" w:color="BFBFBF" w:themeColor="accent2"/>
            </w:tcBorders>
            <w:noWrap/>
            <w:hideMark/>
          </w:tcPr>
          <w:p w14:paraId="3FFAC5A2" w14:textId="77777777" w:rsidR="00CF2694" w:rsidRPr="00880C7C" w:rsidRDefault="00CF2694" w:rsidP="00CF2694">
            <w:pPr>
              <w:pStyle w:val="ARTabletext"/>
              <w:jc w:val="right"/>
              <w:rPr>
                <w:lang w:eastAsia="en-AU"/>
              </w:rPr>
            </w:pPr>
            <w:r w:rsidRPr="00880C7C">
              <w:rPr>
                <w:lang w:eastAsia="en-AU"/>
              </w:rPr>
              <w:t>9.7</w:t>
            </w:r>
          </w:p>
        </w:tc>
        <w:tc>
          <w:tcPr>
            <w:tcW w:w="779" w:type="pct"/>
            <w:tcBorders>
              <w:bottom w:val="single" w:sz="4" w:space="0" w:color="BFBFBF" w:themeColor="accent2"/>
            </w:tcBorders>
            <w:noWrap/>
            <w:hideMark/>
          </w:tcPr>
          <w:p w14:paraId="127CBE95" w14:textId="77777777" w:rsidR="00CF2694" w:rsidRPr="00880C7C" w:rsidRDefault="00CF2694" w:rsidP="00CF2694">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880C7C">
              <w:rPr>
                <w:lang w:eastAsia="en-AU"/>
              </w:rPr>
              <w:t>8.7</w:t>
            </w:r>
          </w:p>
        </w:tc>
      </w:tr>
      <w:tr w:rsidR="00CF2694" w:rsidRPr="00880C7C" w14:paraId="2D23325B" w14:textId="77777777" w:rsidTr="00CF2694">
        <w:trPr>
          <w:cnfStyle w:val="000000100000" w:firstRow="0" w:lastRow="0" w:firstColumn="0" w:lastColumn="0" w:oddVBand="0" w:evenVBand="0" w:oddHBand="1" w:evenHBand="0" w:firstRowFirstColumn="0" w:firstRowLastColumn="0" w:lastRowFirstColumn="0" w:lastRowLastColumn="0"/>
          <w:trHeight w:val="20"/>
        </w:trPr>
        <w:tc>
          <w:tcPr>
            <w:tcW w:w="3441" w:type="pct"/>
            <w:tcBorders>
              <w:top w:val="single" w:sz="4" w:space="0" w:color="BFBFBF" w:themeColor="accent2"/>
              <w:bottom w:val="single" w:sz="4" w:space="0" w:color="000000" w:themeColor="text1"/>
            </w:tcBorders>
            <w:noWrap/>
            <w:hideMark/>
          </w:tcPr>
          <w:p w14:paraId="7E504AAA" w14:textId="77777777" w:rsidR="00CF2694" w:rsidRPr="00880C7C" w:rsidRDefault="00CF2694" w:rsidP="00CF2694">
            <w:pPr>
              <w:pStyle w:val="ARTabletext"/>
              <w:rPr>
                <w:lang w:eastAsia="en-AU"/>
              </w:rPr>
            </w:pPr>
            <w:r w:rsidRPr="00880C7C">
              <w:rPr>
                <w:lang w:eastAsia="en-AU"/>
              </w:rPr>
              <w:t xml:space="preserve">GST recovered from Australian Taxation Office </w:t>
            </w:r>
            <w:r w:rsidRPr="00880C7C">
              <w:rPr>
                <w:vertAlign w:val="superscript"/>
                <w:lang w:eastAsia="en-AU"/>
              </w:rPr>
              <w:t>(</w:t>
            </w:r>
            <w:proofErr w:type="spellStart"/>
            <w:r w:rsidRPr="00880C7C">
              <w:rPr>
                <w:vertAlign w:val="superscript"/>
                <w:lang w:eastAsia="en-AU"/>
              </w:rPr>
              <w:t>i</w:t>
            </w:r>
            <w:proofErr w:type="spellEnd"/>
            <w:r w:rsidRPr="00880C7C">
              <w:rPr>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780" w:type="pct"/>
            <w:tcBorders>
              <w:top w:val="single" w:sz="4" w:space="0" w:color="BFBFBF" w:themeColor="accent2"/>
              <w:bottom w:val="single" w:sz="4" w:space="0" w:color="000000" w:themeColor="text1"/>
            </w:tcBorders>
            <w:noWrap/>
            <w:hideMark/>
          </w:tcPr>
          <w:p w14:paraId="694D65C6" w14:textId="77777777" w:rsidR="00CF2694" w:rsidRPr="00880C7C" w:rsidRDefault="00CF2694" w:rsidP="00CF2694">
            <w:pPr>
              <w:pStyle w:val="ARTabletext"/>
              <w:jc w:val="right"/>
              <w:rPr>
                <w:lang w:eastAsia="en-AU"/>
              </w:rPr>
            </w:pPr>
            <w:r w:rsidRPr="00880C7C">
              <w:rPr>
                <w:lang w:eastAsia="en-AU"/>
              </w:rPr>
              <w:t>178.5</w:t>
            </w:r>
          </w:p>
        </w:tc>
        <w:tc>
          <w:tcPr>
            <w:tcW w:w="779" w:type="pct"/>
            <w:tcBorders>
              <w:top w:val="single" w:sz="4" w:space="0" w:color="BFBFBF" w:themeColor="accent2"/>
              <w:bottom w:val="single" w:sz="4" w:space="0" w:color="000000" w:themeColor="text1"/>
            </w:tcBorders>
            <w:noWrap/>
            <w:hideMark/>
          </w:tcPr>
          <w:p w14:paraId="59464D3F" w14:textId="77777777" w:rsidR="00CF2694" w:rsidRPr="00880C7C" w:rsidRDefault="00CF2694" w:rsidP="00CF2694">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880C7C">
              <w:rPr>
                <w:lang w:eastAsia="en-AU"/>
              </w:rPr>
              <w:t>79.1</w:t>
            </w:r>
          </w:p>
        </w:tc>
      </w:tr>
      <w:tr w:rsidR="00CF2694" w:rsidRPr="00880C7C" w14:paraId="41CB69A5" w14:textId="77777777" w:rsidTr="00CF2694">
        <w:trPr>
          <w:cnfStyle w:val="000000010000" w:firstRow="0" w:lastRow="0" w:firstColumn="0" w:lastColumn="0" w:oddVBand="0" w:evenVBand="0" w:oddHBand="0" w:evenHBand="1" w:firstRowFirstColumn="0" w:firstRowLastColumn="0" w:lastRowFirstColumn="0" w:lastRowLastColumn="0"/>
          <w:trHeight w:val="20"/>
        </w:trPr>
        <w:tc>
          <w:tcPr>
            <w:tcW w:w="3441" w:type="pct"/>
            <w:tcBorders>
              <w:top w:val="single" w:sz="4" w:space="0" w:color="000000" w:themeColor="text1"/>
              <w:bottom w:val="single" w:sz="4" w:space="0" w:color="000000" w:themeColor="text1"/>
            </w:tcBorders>
            <w:noWrap/>
            <w:hideMark/>
          </w:tcPr>
          <w:p w14:paraId="3A4F8B1A" w14:textId="77777777" w:rsidR="00CF2694" w:rsidRPr="00880C7C" w:rsidRDefault="00CF2694" w:rsidP="00CF2694">
            <w:pPr>
              <w:pStyle w:val="ARtabletextbold"/>
              <w:rPr>
                <w:lang w:eastAsia="en-AU"/>
              </w:rPr>
            </w:pPr>
            <w:r w:rsidRPr="00880C7C">
              <w:rPr>
                <w:lang w:eastAsia="en-AU"/>
              </w:rPr>
              <w:t>Total receipts</w:t>
            </w:r>
          </w:p>
        </w:tc>
        <w:tc>
          <w:tcPr>
            <w:cnfStyle w:val="000001000000" w:firstRow="0" w:lastRow="0" w:firstColumn="0" w:lastColumn="0" w:oddVBand="0" w:evenVBand="1" w:oddHBand="0" w:evenHBand="0" w:firstRowFirstColumn="0" w:firstRowLastColumn="0" w:lastRowFirstColumn="0" w:lastRowLastColumn="0"/>
            <w:tcW w:w="780" w:type="pct"/>
            <w:tcBorders>
              <w:top w:val="single" w:sz="4" w:space="0" w:color="000000" w:themeColor="text1"/>
              <w:bottom w:val="single" w:sz="4" w:space="0" w:color="000000" w:themeColor="text1"/>
            </w:tcBorders>
            <w:noWrap/>
            <w:hideMark/>
          </w:tcPr>
          <w:p w14:paraId="18982736" w14:textId="77777777" w:rsidR="00CF2694" w:rsidRPr="00880C7C" w:rsidRDefault="00CF2694" w:rsidP="00CF2694">
            <w:pPr>
              <w:pStyle w:val="ARtabletextbold"/>
              <w:jc w:val="right"/>
              <w:rPr>
                <w:lang w:eastAsia="en-AU"/>
              </w:rPr>
            </w:pPr>
            <w:r w:rsidRPr="00880C7C">
              <w:rPr>
                <w:lang w:eastAsia="en-AU"/>
              </w:rPr>
              <w:t>1,615.6</w:t>
            </w:r>
          </w:p>
        </w:tc>
        <w:tc>
          <w:tcPr>
            <w:tcW w:w="779" w:type="pct"/>
            <w:tcBorders>
              <w:top w:val="single" w:sz="4" w:space="0" w:color="000000" w:themeColor="text1"/>
              <w:bottom w:val="single" w:sz="4" w:space="0" w:color="000000" w:themeColor="text1"/>
            </w:tcBorders>
            <w:noWrap/>
            <w:hideMark/>
          </w:tcPr>
          <w:p w14:paraId="2024F007" w14:textId="77777777" w:rsidR="00CF2694" w:rsidRPr="00880C7C" w:rsidRDefault="00CF2694" w:rsidP="00CF2694">
            <w:pPr>
              <w:pStyle w:val="ARtabletextbold"/>
              <w:jc w:val="right"/>
              <w:cnfStyle w:val="000000010000" w:firstRow="0" w:lastRow="0" w:firstColumn="0" w:lastColumn="0" w:oddVBand="0" w:evenVBand="0" w:oddHBand="0" w:evenHBand="1" w:firstRowFirstColumn="0" w:firstRowLastColumn="0" w:lastRowFirstColumn="0" w:lastRowLastColumn="0"/>
              <w:rPr>
                <w:lang w:eastAsia="en-AU"/>
              </w:rPr>
            </w:pPr>
            <w:r w:rsidRPr="00880C7C">
              <w:rPr>
                <w:lang w:eastAsia="en-AU"/>
              </w:rPr>
              <w:t>1,852.5</w:t>
            </w:r>
          </w:p>
        </w:tc>
      </w:tr>
      <w:tr w:rsidR="00CF2694" w:rsidRPr="00880C7C" w14:paraId="76C50BE2" w14:textId="77777777" w:rsidTr="00CF2694">
        <w:trPr>
          <w:cnfStyle w:val="000000100000" w:firstRow="0" w:lastRow="0" w:firstColumn="0" w:lastColumn="0" w:oddVBand="0" w:evenVBand="0" w:oddHBand="1" w:evenHBand="0" w:firstRowFirstColumn="0" w:firstRowLastColumn="0" w:lastRowFirstColumn="0" w:lastRowLastColumn="0"/>
          <w:trHeight w:val="20"/>
        </w:trPr>
        <w:tc>
          <w:tcPr>
            <w:tcW w:w="3441" w:type="pct"/>
            <w:tcBorders>
              <w:top w:val="single" w:sz="4" w:space="0" w:color="000000" w:themeColor="text1"/>
            </w:tcBorders>
            <w:noWrap/>
            <w:hideMark/>
          </w:tcPr>
          <w:p w14:paraId="33A0BB67" w14:textId="77777777" w:rsidR="00CF2694" w:rsidRPr="00880C7C" w:rsidRDefault="00CF2694" w:rsidP="00CF2694">
            <w:pPr>
              <w:pStyle w:val="ARTabletextboldcoloured"/>
              <w:rPr>
                <w:lang w:eastAsia="en-AU"/>
              </w:rPr>
            </w:pPr>
            <w:r w:rsidRPr="00880C7C">
              <w:rPr>
                <w:lang w:eastAsia="en-AU"/>
              </w:rPr>
              <w:t>Payments</w:t>
            </w:r>
          </w:p>
        </w:tc>
        <w:tc>
          <w:tcPr>
            <w:cnfStyle w:val="000001000000" w:firstRow="0" w:lastRow="0" w:firstColumn="0" w:lastColumn="0" w:oddVBand="0" w:evenVBand="1" w:oddHBand="0" w:evenHBand="0" w:firstRowFirstColumn="0" w:firstRowLastColumn="0" w:lastRowFirstColumn="0" w:lastRowLastColumn="0"/>
            <w:tcW w:w="780" w:type="pct"/>
            <w:tcBorders>
              <w:top w:val="single" w:sz="4" w:space="0" w:color="000000" w:themeColor="text1"/>
            </w:tcBorders>
            <w:shd w:val="clear" w:color="auto" w:fill="auto"/>
            <w:noWrap/>
            <w:hideMark/>
          </w:tcPr>
          <w:p w14:paraId="38423DCD" w14:textId="77777777" w:rsidR="00CF2694" w:rsidRPr="00880C7C" w:rsidRDefault="00CF2694" w:rsidP="00CF2694">
            <w:pPr>
              <w:pStyle w:val="ARTabletextboldcoloured"/>
              <w:jc w:val="right"/>
              <w:rPr>
                <w:lang w:eastAsia="en-AU"/>
              </w:rPr>
            </w:pPr>
          </w:p>
        </w:tc>
        <w:tc>
          <w:tcPr>
            <w:tcW w:w="779" w:type="pct"/>
            <w:tcBorders>
              <w:top w:val="single" w:sz="4" w:space="0" w:color="000000" w:themeColor="text1"/>
            </w:tcBorders>
            <w:noWrap/>
            <w:hideMark/>
          </w:tcPr>
          <w:p w14:paraId="6049C414" w14:textId="77777777" w:rsidR="00CF2694" w:rsidRPr="00880C7C" w:rsidRDefault="00CF2694" w:rsidP="00CF2694">
            <w:pPr>
              <w:pStyle w:val="ARTabletextboldcoloured"/>
              <w:jc w:val="righ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AU"/>
              </w:rPr>
            </w:pPr>
          </w:p>
        </w:tc>
      </w:tr>
      <w:tr w:rsidR="00CF2694" w:rsidRPr="00880C7C" w14:paraId="6A0A295E" w14:textId="77777777" w:rsidTr="00CF2694">
        <w:trPr>
          <w:cnfStyle w:val="000000010000" w:firstRow="0" w:lastRow="0" w:firstColumn="0" w:lastColumn="0" w:oddVBand="0" w:evenVBand="0" w:oddHBand="0" w:evenHBand="1" w:firstRowFirstColumn="0" w:firstRowLastColumn="0" w:lastRowFirstColumn="0" w:lastRowLastColumn="0"/>
          <w:trHeight w:val="20"/>
        </w:trPr>
        <w:tc>
          <w:tcPr>
            <w:tcW w:w="3441" w:type="pct"/>
            <w:noWrap/>
            <w:hideMark/>
          </w:tcPr>
          <w:p w14:paraId="0065D930" w14:textId="77777777" w:rsidR="00CF2694" w:rsidRPr="00880C7C" w:rsidRDefault="00CF2694" w:rsidP="00CF2694">
            <w:pPr>
              <w:pStyle w:val="ARTabletext"/>
              <w:rPr>
                <w:lang w:eastAsia="en-AU"/>
              </w:rPr>
            </w:pPr>
            <w:r w:rsidRPr="00880C7C">
              <w:rPr>
                <w:lang w:eastAsia="en-AU"/>
              </w:rPr>
              <w:t>Grants and other transfers</w:t>
            </w:r>
          </w:p>
        </w:tc>
        <w:tc>
          <w:tcPr>
            <w:cnfStyle w:val="000001000000" w:firstRow="0" w:lastRow="0" w:firstColumn="0" w:lastColumn="0" w:oddVBand="0" w:evenVBand="1" w:oddHBand="0" w:evenHBand="0" w:firstRowFirstColumn="0" w:firstRowLastColumn="0" w:lastRowFirstColumn="0" w:lastRowLastColumn="0"/>
            <w:tcW w:w="780" w:type="pct"/>
            <w:noWrap/>
            <w:hideMark/>
          </w:tcPr>
          <w:p w14:paraId="5E49B21F" w14:textId="77777777" w:rsidR="00CF2694" w:rsidRPr="00880C7C" w:rsidRDefault="00CF2694" w:rsidP="00CF2694">
            <w:pPr>
              <w:pStyle w:val="ARTabletext"/>
              <w:jc w:val="right"/>
              <w:rPr>
                <w:lang w:eastAsia="en-AU"/>
              </w:rPr>
            </w:pPr>
            <w:r w:rsidRPr="00880C7C">
              <w:rPr>
                <w:lang w:eastAsia="en-AU"/>
              </w:rPr>
              <w:t>(834.8)</w:t>
            </w:r>
          </w:p>
        </w:tc>
        <w:tc>
          <w:tcPr>
            <w:tcW w:w="779" w:type="pct"/>
            <w:noWrap/>
            <w:hideMark/>
          </w:tcPr>
          <w:p w14:paraId="4C432521" w14:textId="77777777" w:rsidR="00CF2694" w:rsidRPr="00880C7C" w:rsidRDefault="00CF2694" w:rsidP="00CF2694">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880C7C">
              <w:rPr>
                <w:lang w:eastAsia="en-AU"/>
              </w:rPr>
              <w:t>(770.3)</w:t>
            </w:r>
          </w:p>
        </w:tc>
      </w:tr>
      <w:tr w:rsidR="00CF2694" w:rsidRPr="00880C7C" w14:paraId="0619DA5D" w14:textId="77777777" w:rsidTr="00CF2694">
        <w:trPr>
          <w:cnfStyle w:val="000000100000" w:firstRow="0" w:lastRow="0" w:firstColumn="0" w:lastColumn="0" w:oddVBand="0" w:evenVBand="0" w:oddHBand="1" w:evenHBand="0" w:firstRowFirstColumn="0" w:firstRowLastColumn="0" w:lastRowFirstColumn="0" w:lastRowLastColumn="0"/>
          <w:trHeight w:val="20"/>
        </w:trPr>
        <w:tc>
          <w:tcPr>
            <w:tcW w:w="3441" w:type="pct"/>
            <w:noWrap/>
            <w:hideMark/>
          </w:tcPr>
          <w:p w14:paraId="22E1E34D" w14:textId="77777777" w:rsidR="00CF2694" w:rsidRPr="00880C7C" w:rsidRDefault="00CF2694" w:rsidP="00CF2694">
            <w:pPr>
              <w:pStyle w:val="ARTabletext"/>
              <w:rPr>
                <w:color w:val="000000"/>
                <w:lang w:eastAsia="en-AU"/>
              </w:rPr>
            </w:pPr>
            <w:r w:rsidRPr="00880C7C">
              <w:rPr>
                <w:color w:val="000000"/>
                <w:lang w:eastAsia="en-AU"/>
              </w:rPr>
              <w:t>Employee benefits</w:t>
            </w:r>
          </w:p>
        </w:tc>
        <w:tc>
          <w:tcPr>
            <w:cnfStyle w:val="000001000000" w:firstRow="0" w:lastRow="0" w:firstColumn="0" w:lastColumn="0" w:oddVBand="0" w:evenVBand="1" w:oddHBand="0" w:evenHBand="0" w:firstRowFirstColumn="0" w:firstRowLastColumn="0" w:lastRowFirstColumn="0" w:lastRowLastColumn="0"/>
            <w:tcW w:w="780" w:type="pct"/>
            <w:noWrap/>
            <w:hideMark/>
          </w:tcPr>
          <w:p w14:paraId="4ED9C6E1" w14:textId="77777777" w:rsidR="00CF2694" w:rsidRPr="00880C7C" w:rsidRDefault="00CF2694" w:rsidP="00CF2694">
            <w:pPr>
              <w:pStyle w:val="ARTabletext"/>
              <w:jc w:val="right"/>
              <w:rPr>
                <w:lang w:eastAsia="en-AU"/>
              </w:rPr>
            </w:pPr>
            <w:r w:rsidRPr="00880C7C">
              <w:rPr>
                <w:lang w:eastAsia="en-AU"/>
              </w:rPr>
              <w:t>(212.5)</w:t>
            </w:r>
          </w:p>
        </w:tc>
        <w:tc>
          <w:tcPr>
            <w:tcW w:w="779" w:type="pct"/>
            <w:noWrap/>
            <w:hideMark/>
          </w:tcPr>
          <w:p w14:paraId="13AF91A3" w14:textId="77777777" w:rsidR="00CF2694" w:rsidRPr="00880C7C" w:rsidRDefault="00CF2694" w:rsidP="00CF2694">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880C7C">
              <w:rPr>
                <w:lang w:eastAsia="en-AU"/>
              </w:rPr>
              <w:t>(208.6)</w:t>
            </w:r>
          </w:p>
        </w:tc>
      </w:tr>
      <w:tr w:rsidR="00CF2694" w:rsidRPr="00880C7C" w14:paraId="3B63D24C" w14:textId="77777777" w:rsidTr="00CF2694">
        <w:trPr>
          <w:cnfStyle w:val="000000010000" w:firstRow="0" w:lastRow="0" w:firstColumn="0" w:lastColumn="0" w:oddVBand="0" w:evenVBand="0" w:oddHBand="0" w:evenHBand="1" w:firstRowFirstColumn="0" w:firstRowLastColumn="0" w:lastRowFirstColumn="0" w:lastRowLastColumn="0"/>
          <w:trHeight w:val="20"/>
        </w:trPr>
        <w:tc>
          <w:tcPr>
            <w:tcW w:w="3441" w:type="pct"/>
            <w:noWrap/>
            <w:hideMark/>
          </w:tcPr>
          <w:p w14:paraId="28DAC275" w14:textId="77777777" w:rsidR="00CF2694" w:rsidRPr="00880C7C" w:rsidRDefault="00CF2694" w:rsidP="00CF2694">
            <w:pPr>
              <w:pStyle w:val="ARTabletext"/>
              <w:rPr>
                <w:color w:val="000000"/>
                <w:lang w:eastAsia="en-AU"/>
              </w:rPr>
            </w:pPr>
            <w:r w:rsidRPr="00880C7C">
              <w:rPr>
                <w:color w:val="000000"/>
                <w:lang w:eastAsia="en-AU"/>
              </w:rPr>
              <w:t>Supplies and services</w:t>
            </w:r>
          </w:p>
        </w:tc>
        <w:tc>
          <w:tcPr>
            <w:cnfStyle w:val="000001000000" w:firstRow="0" w:lastRow="0" w:firstColumn="0" w:lastColumn="0" w:oddVBand="0" w:evenVBand="1" w:oddHBand="0" w:evenHBand="0" w:firstRowFirstColumn="0" w:firstRowLastColumn="0" w:lastRowFirstColumn="0" w:lastRowLastColumn="0"/>
            <w:tcW w:w="780" w:type="pct"/>
            <w:noWrap/>
            <w:hideMark/>
          </w:tcPr>
          <w:p w14:paraId="6B62BD78" w14:textId="77777777" w:rsidR="00CF2694" w:rsidRPr="00880C7C" w:rsidRDefault="00CF2694" w:rsidP="00CF2694">
            <w:pPr>
              <w:pStyle w:val="ARTabletext"/>
              <w:jc w:val="right"/>
              <w:rPr>
                <w:lang w:eastAsia="en-AU"/>
              </w:rPr>
            </w:pPr>
            <w:r w:rsidRPr="00880C7C">
              <w:rPr>
                <w:lang w:eastAsia="en-AU"/>
              </w:rPr>
              <w:t>(91.4)</w:t>
            </w:r>
          </w:p>
        </w:tc>
        <w:tc>
          <w:tcPr>
            <w:tcW w:w="779" w:type="pct"/>
            <w:noWrap/>
            <w:hideMark/>
          </w:tcPr>
          <w:p w14:paraId="460BA2EC" w14:textId="77777777" w:rsidR="00CF2694" w:rsidRPr="00880C7C" w:rsidRDefault="00CF2694" w:rsidP="00CF2694">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880C7C">
              <w:rPr>
                <w:lang w:eastAsia="en-AU"/>
              </w:rPr>
              <w:t>(55.8)</w:t>
            </w:r>
          </w:p>
        </w:tc>
      </w:tr>
      <w:tr w:rsidR="00CF2694" w:rsidRPr="00880C7C" w14:paraId="18FA1033" w14:textId="77777777" w:rsidTr="00CF2694">
        <w:trPr>
          <w:cnfStyle w:val="000000100000" w:firstRow="0" w:lastRow="0" w:firstColumn="0" w:lastColumn="0" w:oddVBand="0" w:evenVBand="0" w:oddHBand="1" w:evenHBand="0" w:firstRowFirstColumn="0" w:firstRowLastColumn="0" w:lastRowFirstColumn="0" w:lastRowLastColumn="0"/>
          <w:trHeight w:val="20"/>
        </w:trPr>
        <w:tc>
          <w:tcPr>
            <w:tcW w:w="3441" w:type="pct"/>
            <w:tcBorders>
              <w:bottom w:val="single" w:sz="4" w:space="0" w:color="BFBFBF" w:themeColor="accent2"/>
            </w:tcBorders>
            <w:noWrap/>
            <w:hideMark/>
          </w:tcPr>
          <w:p w14:paraId="7F87856C" w14:textId="77777777" w:rsidR="00CF2694" w:rsidRPr="00880C7C" w:rsidRDefault="00CF2694" w:rsidP="00CF2694">
            <w:pPr>
              <w:pStyle w:val="ARTabletext"/>
              <w:rPr>
                <w:color w:val="000000"/>
                <w:lang w:eastAsia="en-AU"/>
              </w:rPr>
            </w:pPr>
            <w:r w:rsidRPr="00880C7C">
              <w:rPr>
                <w:color w:val="000000"/>
                <w:lang w:eastAsia="en-AU"/>
              </w:rPr>
              <w:t>Interest and other costs of finance paid</w:t>
            </w:r>
          </w:p>
        </w:tc>
        <w:tc>
          <w:tcPr>
            <w:cnfStyle w:val="000001000000" w:firstRow="0" w:lastRow="0" w:firstColumn="0" w:lastColumn="0" w:oddVBand="0" w:evenVBand="1" w:oddHBand="0" w:evenHBand="0" w:firstRowFirstColumn="0" w:firstRowLastColumn="0" w:lastRowFirstColumn="0" w:lastRowLastColumn="0"/>
            <w:tcW w:w="780" w:type="pct"/>
            <w:tcBorders>
              <w:bottom w:val="single" w:sz="4" w:space="0" w:color="BFBFBF" w:themeColor="accent2"/>
            </w:tcBorders>
            <w:noWrap/>
            <w:hideMark/>
          </w:tcPr>
          <w:p w14:paraId="0D167BF2" w14:textId="77777777" w:rsidR="00CF2694" w:rsidRPr="00880C7C" w:rsidRDefault="00CF2694" w:rsidP="00CF2694">
            <w:pPr>
              <w:pStyle w:val="ARTabletext"/>
              <w:jc w:val="right"/>
              <w:rPr>
                <w:lang w:eastAsia="en-AU"/>
              </w:rPr>
            </w:pPr>
            <w:r w:rsidRPr="00880C7C">
              <w:rPr>
                <w:lang w:eastAsia="en-AU"/>
              </w:rPr>
              <w:t>(51.8)</w:t>
            </w:r>
          </w:p>
        </w:tc>
        <w:tc>
          <w:tcPr>
            <w:tcW w:w="779" w:type="pct"/>
            <w:tcBorders>
              <w:bottom w:val="single" w:sz="4" w:space="0" w:color="BFBFBF" w:themeColor="accent2"/>
            </w:tcBorders>
            <w:noWrap/>
            <w:hideMark/>
          </w:tcPr>
          <w:p w14:paraId="329DA232" w14:textId="77777777" w:rsidR="00CF2694" w:rsidRPr="00880C7C" w:rsidRDefault="00CF2694" w:rsidP="00CF2694">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880C7C">
              <w:rPr>
                <w:lang w:eastAsia="en-AU"/>
              </w:rPr>
              <w:t>(37.3)</w:t>
            </w:r>
          </w:p>
        </w:tc>
      </w:tr>
      <w:tr w:rsidR="00CF2694" w:rsidRPr="00880C7C" w14:paraId="5D1B38F4" w14:textId="77777777" w:rsidTr="00CF2694">
        <w:trPr>
          <w:cnfStyle w:val="000000010000" w:firstRow="0" w:lastRow="0" w:firstColumn="0" w:lastColumn="0" w:oddVBand="0" w:evenVBand="0" w:oddHBand="0" w:evenHBand="1" w:firstRowFirstColumn="0" w:firstRowLastColumn="0" w:lastRowFirstColumn="0" w:lastRowLastColumn="0"/>
          <w:trHeight w:val="20"/>
        </w:trPr>
        <w:tc>
          <w:tcPr>
            <w:tcW w:w="3441" w:type="pct"/>
            <w:tcBorders>
              <w:top w:val="single" w:sz="4" w:space="0" w:color="BFBFBF" w:themeColor="accent2"/>
              <w:bottom w:val="single" w:sz="4" w:space="0" w:color="000000" w:themeColor="text1"/>
            </w:tcBorders>
            <w:noWrap/>
            <w:hideMark/>
          </w:tcPr>
          <w:p w14:paraId="4C4C45AD" w14:textId="77777777" w:rsidR="00CF2694" w:rsidRPr="00880C7C" w:rsidRDefault="00CF2694" w:rsidP="00CF2694">
            <w:pPr>
              <w:pStyle w:val="ARTabletext"/>
              <w:rPr>
                <w:color w:val="000000"/>
                <w:lang w:eastAsia="en-AU"/>
              </w:rPr>
            </w:pPr>
            <w:r w:rsidRPr="00880C7C">
              <w:rPr>
                <w:color w:val="000000"/>
                <w:lang w:eastAsia="en-AU"/>
              </w:rPr>
              <w:t>Property management expenses</w:t>
            </w:r>
          </w:p>
        </w:tc>
        <w:tc>
          <w:tcPr>
            <w:cnfStyle w:val="000001000000" w:firstRow="0" w:lastRow="0" w:firstColumn="0" w:lastColumn="0" w:oddVBand="0" w:evenVBand="1" w:oddHBand="0" w:evenHBand="0" w:firstRowFirstColumn="0" w:firstRowLastColumn="0" w:lastRowFirstColumn="0" w:lastRowLastColumn="0"/>
            <w:tcW w:w="780" w:type="pct"/>
            <w:tcBorders>
              <w:top w:val="single" w:sz="4" w:space="0" w:color="BFBFBF" w:themeColor="accent2"/>
              <w:bottom w:val="single" w:sz="4" w:space="0" w:color="000000" w:themeColor="text1"/>
            </w:tcBorders>
            <w:noWrap/>
            <w:hideMark/>
          </w:tcPr>
          <w:p w14:paraId="2519CCD3" w14:textId="77777777" w:rsidR="00CF2694" w:rsidRPr="00880C7C" w:rsidRDefault="00CF2694" w:rsidP="00CF2694">
            <w:pPr>
              <w:pStyle w:val="ARTabletext"/>
              <w:jc w:val="right"/>
              <w:rPr>
                <w:lang w:eastAsia="en-AU"/>
              </w:rPr>
            </w:pPr>
            <w:r w:rsidRPr="00880C7C">
              <w:rPr>
                <w:lang w:eastAsia="en-AU"/>
              </w:rPr>
              <w:t>(464.6)</w:t>
            </w:r>
          </w:p>
        </w:tc>
        <w:tc>
          <w:tcPr>
            <w:tcW w:w="779" w:type="pct"/>
            <w:tcBorders>
              <w:top w:val="single" w:sz="4" w:space="0" w:color="BFBFBF" w:themeColor="accent2"/>
              <w:bottom w:val="single" w:sz="4" w:space="0" w:color="000000" w:themeColor="text1"/>
            </w:tcBorders>
            <w:noWrap/>
            <w:hideMark/>
          </w:tcPr>
          <w:p w14:paraId="69D37F5C" w14:textId="77777777" w:rsidR="00CF2694" w:rsidRPr="00880C7C" w:rsidRDefault="00CF2694" w:rsidP="00CF2694">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880C7C">
              <w:rPr>
                <w:lang w:eastAsia="en-AU"/>
              </w:rPr>
              <w:t>(495.6)</w:t>
            </w:r>
          </w:p>
        </w:tc>
      </w:tr>
      <w:tr w:rsidR="00CF2694" w:rsidRPr="00880C7C" w14:paraId="46C4787E" w14:textId="77777777" w:rsidTr="00CF2694">
        <w:trPr>
          <w:cnfStyle w:val="000000100000" w:firstRow="0" w:lastRow="0" w:firstColumn="0" w:lastColumn="0" w:oddVBand="0" w:evenVBand="0" w:oddHBand="1" w:evenHBand="0" w:firstRowFirstColumn="0" w:firstRowLastColumn="0" w:lastRowFirstColumn="0" w:lastRowLastColumn="0"/>
          <w:trHeight w:val="20"/>
        </w:trPr>
        <w:tc>
          <w:tcPr>
            <w:tcW w:w="3441" w:type="pct"/>
            <w:tcBorders>
              <w:top w:val="single" w:sz="4" w:space="0" w:color="000000" w:themeColor="text1"/>
              <w:bottom w:val="single" w:sz="4" w:space="0" w:color="000000" w:themeColor="text1"/>
            </w:tcBorders>
            <w:noWrap/>
            <w:hideMark/>
          </w:tcPr>
          <w:p w14:paraId="7864DD60" w14:textId="77777777" w:rsidR="00CF2694" w:rsidRPr="00880C7C" w:rsidRDefault="00CF2694" w:rsidP="00CF2694">
            <w:pPr>
              <w:pStyle w:val="ARtabletextbold"/>
              <w:rPr>
                <w:lang w:eastAsia="en-AU"/>
              </w:rPr>
            </w:pPr>
            <w:r w:rsidRPr="00880C7C">
              <w:rPr>
                <w:lang w:eastAsia="en-AU"/>
              </w:rPr>
              <w:t>Total payments</w:t>
            </w:r>
          </w:p>
        </w:tc>
        <w:tc>
          <w:tcPr>
            <w:cnfStyle w:val="000001000000" w:firstRow="0" w:lastRow="0" w:firstColumn="0" w:lastColumn="0" w:oddVBand="0" w:evenVBand="1" w:oddHBand="0" w:evenHBand="0" w:firstRowFirstColumn="0" w:firstRowLastColumn="0" w:lastRowFirstColumn="0" w:lastRowLastColumn="0"/>
            <w:tcW w:w="780" w:type="pct"/>
            <w:tcBorders>
              <w:top w:val="single" w:sz="4" w:space="0" w:color="000000" w:themeColor="text1"/>
              <w:bottom w:val="single" w:sz="4" w:space="0" w:color="000000" w:themeColor="text1"/>
            </w:tcBorders>
            <w:noWrap/>
            <w:hideMark/>
          </w:tcPr>
          <w:p w14:paraId="508DABED" w14:textId="77777777" w:rsidR="00CF2694" w:rsidRPr="00880C7C" w:rsidRDefault="00CF2694" w:rsidP="00CF2694">
            <w:pPr>
              <w:pStyle w:val="ARtabletextbold"/>
              <w:jc w:val="right"/>
              <w:rPr>
                <w:lang w:eastAsia="en-AU"/>
              </w:rPr>
            </w:pPr>
            <w:r w:rsidRPr="00880C7C">
              <w:rPr>
                <w:lang w:eastAsia="en-AU"/>
              </w:rPr>
              <w:t>(1,655.1)</w:t>
            </w:r>
          </w:p>
        </w:tc>
        <w:tc>
          <w:tcPr>
            <w:tcW w:w="779" w:type="pct"/>
            <w:tcBorders>
              <w:top w:val="single" w:sz="4" w:space="0" w:color="000000" w:themeColor="text1"/>
              <w:bottom w:val="single" w:sz="4" w:space="0" w:color="000000" w:themeColor="text1"/>
            </w:tcBorders>
            <w:noWrap/>
            <w:hideMark/>
          </w:tcPr>
          <w:p w14:paraId="66098D45" w14:textId="77777777" w:rsidR="00CF2694" w:rsidRPr="00880C7C" w:rsidRDefault="00CF2694" w:rsidP="00CF2694">
            <w:pPr>
              <w:pStyle w:val="ARtabletextbold"/>
              <w:jc w:val="right"/>
              <w:cnfStyle w:val="000000100000" w:firstRow="0" w:lastRow="0" w:firstColumn="0" w:lastColumn="0" w:oddVBand="0" w:evenVBand="0" w:oddHBand="1" w:evenHBand="0" w:firstRowFirstColumn="0" w:firstRowLastColumn="0" w:lastRowFirstColumn="0" w:lastRowLastColumn="0"/>
              <w:rPr>
                <w:lang w:eastAsia="en-AU"/>
              </w:rPr>
            </w:pPr>
            <w:r w:rsidRPr="00880C7C">
              <w:rPr>
                <w:lang w:eastAsia="en-AU"/>
              </w:rPr>
              <w:t>(1,567.6)</w:t>
            </w:r>
          </w:p>
        </w:tc>
      </w:tr>
      <w:tr w:rsidR="00CF2694" w:rsidRPr="00880C7C" w14:paraId="2E6AF594" w14:textId="77777777" w:rsidTr="00CF2694">
        <w:trPr>
          <w:cnfStyle w:val="000000010000" w:firstRow="0" w:lastRow="0" w:firstColumn="0" w:lastColumn="0" w:oddVBand="0" w:evenVBand="0" w:oddHBand="0" w:evenHBand="1" w:firstRowFirstColumn="0" w:firstRowLastColumn="0" w:lastRowFirstColumn="0" w:lastRowLastColumn="0"/>
          <w:trHeight w:val="20"/>
        </w:trPr>
        <w:tc>
          <w:tcPr>
            <w:tcW w:w="3441" w:type="pct"/>
            <w:tcBorders>
              <w:top w:val="single" w:sz="4" w:space="0" w:color="000000" w:themeColor="text1"/>
              <w:bottom w:val="single" w:sz="4" w:space="0" w:color="000000" w:themeColor="text1"/>
            </w:tcBorders>
            <w:noWrap/>
            <w:hideMark/>
          </w:tcPr>
          <w:p w14:paraId="7A4F4513" w14:textId="77777777" w:rsidR="00CF2694" w:rsidRPr="00880C7C" w:rsidRDefault="00CF2694" w:rsidP="00CF2694">
            <w:pPr>
              <w:pStyle w:val="ARtabletextbold"/>
              <w:rPr>
                <w:lang w:eastAsia="en-AU"/>
              </w:rPr>
            </w:pPr>
            <w:r w:rsidRPr="00880C7C">
              <w:rPr>
                <w:lang w:eastAsia="en-AU"/>
              </w:rPr>
              <w:t>Net cash flows from</w:t>
            </w:r>
            <w:proofErr w:type="gramStart"/>
            <w:r w:rsidRPr="00880C7C">
              <w:rPr>
                <w:lang w:eastAsia="en-AU"/>
              </w:rPr>
              <w:t>/(</w:t>
            </w:r>
            <w:proofErr w:type="gramEnd"/>
            <w:r w:rsidRPr="00880C7C">
              <w:rPr>
                <w:lang w:eastAsia="en-AU"/>
              </w:rPr>
              <w:t>used in) operating activities</w:t>
            </w:r>
          </w:p>
        </w:tc>
        <w:tc>
          <w:tcPr>
            <w:cnfStyle w:val="000001000000" w:firstRow="0" w:lastRow="0" w:firstColumn="0" w:lastColumn="0" w:oddVBand="0" w:evenVBand="1" w:oddHBand="0" w:evenHBand="0" w:firstRowFirstColumn="0" w:firstRowLastColumn="0" w:lastRowFirstColumn="0" w:lastRowLastColumn="0"/>
            <w:tcW w:w="780" w:type="pct"/>
            <w:tcBorders>
              <w:top w:val="single" w:sz="4" w:space="0" w:color="000000" w:themeColor="text1"/>
              <w:bottom w:val="single" w:sz="4" w:space="0" w:color="000000" w:themeColor="text1"/>
            </w:tcBorders>
            <w:noWrap/>
            <w:hideMark/>
          </w:tcPr>
          <w:p w14:paraId="4E19D8CC" w14:textId="77777777" w:rsidR="00CF2694" w:rsidRPr="00880C7C" w:rsidRDefault="00CF2694" w:rsidP="00CF2694">
            <w:pPr>
              <w:pStyle w:val="ARtabletextbold"/>
              <w:jc w:val="right"/>
              <w:rPr>
                <w:lang w:eastAsia="en-AU"/>
              </w:rPr>
            </w:pPr>
            <w:r w:rsidRPr="00880C7C">
              <w:rPr>
                <w:lang w:eastAsia="en-AU"/>
              </w:rPr>
              <w:t>(39.5)</w:t>
            </w:r>
          </w:p>
        </w:tc>
        <w:tc>
          <w:tcPr>
            <w:tcW w:w="779" w:type="pct"/>
            <w:tcBorders>
              <w:top w:val="single" w:sz="4" w:space="0" w:color="000000" w:themeColor="text1"/>
              <w:bottom w:val="single" w:sz="4" w:space="0" w:color="000000" w:themeColor="text1"/>
            </w:tcBorders>
            <w:noWrap/>
            <w:hideMark/>
          </w:tcPr>
          <w:p w14:paraId="509EDD5B" w14:textId="77777777" w:rsidR="00CF2694" w:rsidRPr="00880C7C" w:rsidRDefault="00CF2694" w:rsidP="00CF2694">
            <w:pPr>
              <w:pStyle w:val="ARtabletextbold"/>
              <w:jc w:val="right"/>
              <w:cnfStyle w:val="000000010000" w:firstRow="0" w:lastRow="0" w:firstColumn="0" w:lastColumn="0" w:oddVBand="0" w:evenVBand="0" w:oddHBand="0" w:evenHBand="1" w:firstRowFirstColumn="0" w:firstRowLastColumn="0" w:lastRowFirstColumn="0" w:lastRowLastColumn="0"/>
              <w:rPr>
                <w:lang w:eastAsia="en-AU"/>
              </w:rPr>
            </w:pPr>
            <w:r w:rsidRPr="00880C7C">
              <w:rPr>
                <w:lang w:eastAsia="en-AU"/>
              </w:rPr>
              <w:t>284.9</w:t>
            </w:r>
          </w:p>
        </w:tc>
      </w:tr>
      <w:tr w:rsidR="00CF2694" w:rsidRPr="00880C7C" w14:paraId="674360A5" w14:textId="77777777" w:rsidTr="00CF2694">
        <w:trPr>
          <w:cnfStyle w:val="000000100000" w:firstRow="0" w:lastRow="0" w:firstColumn="0" w:lastColumn="0" w:oddVBand="0" w:evenVBand="0" w:oddHBand="1" w:evenHBand="0" w:firstRowFirstColumn="0" w:firstRowLastColumn="0" w:lastRowFirstColumn="0" w:lastRowLastColumn="0"/>
          <w:trHeight w:val="20"/>
        </w:trPr>
        <w:tc>
          <w:tcPr>
            <w:tcW w:w="3441" w:type="pct"/>
            <w:tcBorders>
              <w:top w:val="single" w:sz="4" w:space="0" w:color="000000" w:themeColor="text1"/>
            </w:tcBorders>
            <w:noWrap/>
            <w:hideMark/>
          </w:tcPr>
          <w:p w14:paraId="585C047C" w14:textId="77777777" w:rsidR="00CF2694" w:rsidRPr="00880C7C" w:rsidRDefault="00CF2694" w:rsidP="00CF2694">
            <w:pPr>
              <w:pStyle w:val="ARTabletextboldcoloured"/>
              <w:rPr>
                <w:lang w:eastAsia="en-AU"/>
              </w:rPr>
            </w:pPr>
            <w:r w:rsidRPr="00880C7C">
              <w:rPr>
                <w:lang w:eastAsia="en-AU"/>
              </w:rPr>
              <w:t>Cash flows from investing activities</w:t>
            </w:r>
          </w:p>
        </w:tc>
        <w:tc>
          <w:tcPr>
            <w:cnfStyle w:val="000001000000" w:firstRow="0" w:lastRow="0" w:firstColumn="0" w:lastColumn="0" w:oddVBand="0" w:evenVBand="1" w:oddHBand="0" w:evenHBand="0" w:firstRowFirstColumn="0" w:firstRowLastColumn="0" w:lastRowFirstColumn="0" w:lastRowLastColumn="0"/>
            <w:tcW w:w="780" w:type="pct"/>
            <w:tcBorders>
              <w:top w:val="single" w:sz="4" w:space="0" w:color="000000" w:themeColor="text1"/>
            </w:tcBorders>
            <w:shd w:val="clear" w:color="auto" w:fill="auto"/>
            <w:noWrap/>
            <w:hideMark/>
          </w:tcPr>
          <w:p w14:paraId="5D24DB18" w14:textId="77777777" w:rsidR="00CF2694" w:rsidRPr="00880C7C" w:rsidRDefault="00CF2694" w:rsidP="00CF2694">
            <w:pPr>
              <w:pStyle w:val="ARTabletextboldcoloured"/>
              <w:jc w:val="right"/>
              <w:rPr>
                <w:lang w:eastAsia="en-AU"/>
              </w:rPr>
            </w:pPr>
          </w:p>
        </w:tc>
        <w:tc>
          <w:tcPr>
            <w:tcW w:w="779" w:type="pct"/>
            <w:tcBorders>
              <w:top w:val="single" w:sz="4" w:space="0" w:color="000000" w:themeColor="text1"/>
            </w:tcBorders>
            <w:noWrap/>
            <w:hideMark/>
          </w:tcPr>
          <w:p w14:paraId="69F5FD96" w14:textId="77777777" w:rsidR="00CF2694" w:rsidRPr="00880C7C" w:rsidRDefault="00CF2694" w:rsidP="00CF2694">
            <w:pPr>
              <w:pStyle w:val="ARTabletextboldcoloured"/>
              <w:jc w:val="righ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AU"/>
              </w:rPr>
            </w:pPr>
          </w:p>
        </w:tc>
      </w:tr>
      <w:tr w:rsidR="00CF2694" w:rsidRPr="00880C7C" w14:paraId="2535917A" w14:textId="77777777" w:rsidTr="00CF2694">
        <w:trPr>
          <w:cnfStyle w:val="000000010000" w:firstRow="0" w:lastRow="0" w:firstColumn="0" w:lastColumn="0" w:oddVBand="0" w:evenVBand="0" w:oddHBand="0" w:evenHBand="1" w:firstRowFirstColumn="0" w:firstRowLastColumn="0" w:lastRowFirstColumn="0" w:lastRowLastColumn="0"/>
          <w:trHeight w:val="20"/>
        </w:trPr>
        <w:tc>
          <w:tcPr>
            <w:tcW w:w="3441" w:type="pct"/>
            <w:noWrap/>
            <w:hideMark/>
          </w:tcPr>
          <w:p w14:paraId="1EDF86E4" w14:textId="77777777" w:rsidR="00CF2694" w:rsidRPr="00880C7C" w:rsidRDefault="00CF2694" w:rsidP="00CF2694">
            <w:pPr>
              <w:pStyle w:val="ARTabletext"/>
              <w:rPr>
                <w:lang w:eastAsia="en-AU"/>
              </w:rPr>
            </w:pPr>
            <w:r w:rsidRPr="00880C7C">
              <w:rPr>
                <w:lang w:eastAsia="en-AU"/>
              </w:rPr>
              <w:t>Proceeds from the sale of non-financial assets</w:t>
            </w:r>
          </w:p>
        </w:tc>
        <w:tc>
          <w:tcPr>
            <w:cnfStyle w:val="000001000000" w:firstRow="0" w:lastRow="0" w:firstColumn="0" w:lastColumn="0" w:oddVBand="0" w:evenVBand="1" w:oddHBand="0" w:evenHBand="0" w:firstRowFirstColumn="0" w:firstRowLastColumn="0" w:lastRowFirstColumn="0" w:lastRowLastColumn="0"/>
            <w:tcW w:w="780" w:type="pct"/>
            <w:noWrap/>
            <w:hideMark/>
          </w:tcPr>
          <w:p w14:paraId="0046905B" w14:textId="77777777" w:rsidR="00CF2694" w:rsidRPr="00880C7C" w:rsidRDefault="00CF2694" w:rsidP="00CF2694">
            <w:pPr>
              <w:pStyle w:val="ARTabletext"/>
              <w:jc w:val="right"/>
              <w:rPr>
                <w:lang w:eastAsia="en-AU"/>
              </w:rPr>
            </w:pPr>
            <w:r w:rsidRPr="00880C7C">
              <w:rPr>
                <w:lang w:eastAsia="en-AU"/>
              </w:rPr>
              <w:t>303.1</w:t>
            </w:r>
          </w:p>
        </w:tc>
        <w:tc>
          <w:tcPr>
            <w:tcW w:w="779" w:type="pct"/>
            <w:noWrap/>
            <w:hideMark/>
          </w:tcPr>
          <w:p w14:paraId="2E1C9707" w14:textId="77777777" w:rsidR="00CF2694" w:rsidRPr="00880C7C" w:rsidRDefault="00CF2694" w:rsidP="00CF2694">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880C7C">
              <w:rPr>
                <w:lang w:eastAsia="en-AU"/>
              </w:rPr>
              <w:t>94.8</w:t>
            </w:r>
          </w:p>
        </w:tc>
      </w:tr>
      <w:tr w:rsidR="00CF2694" w:rsidRPr="00880C7C" w14:paraId="5BC6A97B" w14:textId="77777777" w:rsidTr="00CF2694">
        <w:trPr>
          <w:cnfStyle w:val="000000100000" w:firstRow="0" w:lastRow="0" w:firstColumn="0" w:lastColumn="0" w:oddVBand="0" w:evenVBand="0" w:oddHBand="1" w:evenHBand="0" w:firstRowFirstColumn="0" w:firstRowLastColumn="0" w:lastRowFirstColumn="0" w:lastRowLastColumn="0"/>
          <w:trHeight w:val="20"/>
        </w:trPr>
        <w:tc>
          <w:tcPr>
            <w:tcW w:w="3441" w:type="pct"/>
            <w:noWrap/>
            <w:hideMark/>
          </w:tcPr>
          <w:p w14:paraId="131AA940" w14:textId="77777777" w:rsidR="00CF2694" w:rsidRPr="00880C7C" w:rsidRDefault="00CF2694" w:rsidP="00CF2694">
            <w:pPr>
              <w:pStyle w:val="ARTabletext"/>
              <w:rPr>
                <w:lang w:eastAsia="en-AU"/>
              </w:rPr>
            </w:pPr>
            <w:r w:rsidRPr="00880C7C">
              <w:rPr>
                <w:lang w:eastAsia="en-AU"/>
              </w:rPr>
              <w:t>Repayments of loans from other parties</w:t>
            </w:r>
          </w:p>
        </w:tc>
        <w:tc>
          <w:tcPr>
            <w:cnfStyle w:val="000001000000" w:firstRow="0" w:lastRow="0" w:firstColumn="0" w:lastColumn="0" w:oddVBand="0" w:evenVBand="1" w:oddHBand="0" w:evenHBand="0" w:firstRowFirstColumn="0" w:firstRowLastColumn="0" w:lastRowFirstColumn="0" w:lastRowLastColumn="0"/>
            <w:tcW w:w="780" w:type="pct"/>
            <w:noWrap/>
            <w:hideMark/>
          </w:tcPr>
          <w:p w14:paraId="00DBAB02" w14:textId="77777777" w:rsidR="00CF2694" w:rsidRPr="00880C7C" w:rsidRDefault="00CF2694" w:rsidP="00CF2694">
            <w:pPr>
              <w:pStyle w:val="ARTabletext"/>
              <w:jc w:val="right"/>
              <w:rPr>
                <w:lang w:eastAsia="en-AU"/>
              </w:rPr>
            </w:pPr>
            <w:r w:rsidRPr="00880C7C">
              <w:rPr>
                <w:lang w:eastAsia="en-AU"/>
              </w:rPr>
              <w:t>40.5</w:t>
            </w:r>
          </w:p>
        </w:tc>
        <w:tc>
          <w:tcPr>
            <w:tcW w:w="779" w:type="pct"/>
            <w:noWrap/>
            <w:hideMark/>
          </w:tcPr>
          <w:p w14:paraId="063C2C65" w14:textId="77777777" w:rsidR="00CF2694" w:rsidRPr="00880C7C" w:rsidRDefault="00CF2694" w:rsidP="00CF2694">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880C7C">
              <w:rPr>
                <w:lang w:eastAsia="en-AU"/>
              </w:rPr>
              <w:t>0.4</w:t>
            </w:r>
          </w:p>
        </w:tc>
      </w:tr>
      <w:tr w:rsidR="00CF2694" w:rsidRPr="00880C7C" w14:paraId="1F4B1FB8" w14:textId="77777777" w:rsidTr="00CF2694">
        <w:trPr>
          <w:cnfStyle w:val="000000010000" w:firstRow="0" w:lastRow="0" w:firstColumn="0" w:lastColumn="0" w:oddVBand="0" w:evenVBand="0" w:oddHBand="0" w:evenHBand="1" w:firstRowFirstColumn="0" w:firstRowLastColumn="0" w:lastRowFirstColumn="0" w:lastRowLastColumn="0"/>
          <w:trHeight w:val="20"/>
        </w:trPr>
        <w:tc>
          <w:tcPr>
            <w:tcW w:w="3441" w:type="pct"/>
            <w:tcBorders>
              <w:bottom w:val="single" w:sz="4" w:space="0" w:color="BFBFBF" w:themeColor="accent2"/>
            </w:tcBorders>
            <w:noWrap/>
            <w:hideMark/>
          </w:tcPr>
          <w:p w14:paraId="6F60C2A6" w14:textId="77777777" w:rsidR="00CF2694" w:rsidRPr="00880C7C" w:rsidRDefault="00CF2694" w:rsidP="00CF2694">
            <w:pPr>
              <w:pStyle w:val="ARTabletext"/>
              <w:rPr>
                <w:lang w:eastAsia="en-AU"/>
              </w:rPr>
            </w:pPr>
            <w:r w:rsidRPr="00880C7C">
              <w:rPr>
                <w:lang w:eastAsia="en-AU"/>
              </w:rPr>
              <w:t>Payments for non-financial assets</w:t>
            </w:r>
          </w:p>
        </w:tc>
        <w:tc>
          <w:tcPr>
            <w:cnfStyle w:val="000001000000" w:firstRow="0" w:lastRow="0" w:firstColumn="0" w:lastColumn="0" w:oddVBand="0" w:evenVBand="1" w:oddHBand="0" w:evenHBand="0" w:firstRowFirstColumn="0" w:firstRowLastColumn="0" w:lastRowFirstColumn="0" w:lastRowLastColumn="0"/>
            <w:tcW w:w="780" w:type="pct"/>
            <w:tcBorders>
              <w:bottom w:val="single" w:sz="4" w:space="0" w:color="BFBFBF" w:themeColor="accent2"/>
            </w:tcBorders>
            <w:noWrap/>
            <w:hideMark/>
          </w:tcPr>
          <w:p w14:paraId="6E185AE1" w14:textId="77777777" w:rsidR="00CF2694" w:rsidRPr="00880C7C" w:rsidRDefault="00CF2694" w:rsidP="00CF2694">
            <w:pPr>
              <w:pStyle w:val="ARTabletext"/>
              <w:jc w:val="right"/>
              <w:rPr>
                <w:lang w:eastAsia="en-AU"/>
              </w:rPr>
            </w:pPr>
            <w:r w:rsidRPr="00880C7C">
              <w:rPr>
                <w:lang w:eastAsia="en-AU"/>
              </w:rPr>
              <w:t>(1,295.6)</w:t>
            </w:r>
          </w:p>
        </w:tc>
        <w:tc>
          <w:tcPr>
            <w:tcW w:w="779" w:type="pct"/>
            <w:tcBorders>
              <w:bottom w:val="single" w:sz="4" w:space="0" w:color="BFBFBF" w:themeColor="accent2"/>
            </w:tcBorders>
            <w:noWrap/>
            <w:hideMark/>
          </w:tcPr>
          <w:p w14:paraId="37635E41" w14:textId="77777777" w:rsidR="00CF2694" w:rsidRPr="00880C7C" w:rsidRDefault="00CF2694" w:rsidP="00CF2694">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880C7C">
              <w:rPr>
                <w:lang w:eastAsia="en-AU"/>
              </w:rPr>
              <w:t>(783.6)</w:t>
            </w:r>
          </w:p>
        </w:tc>
      </w:tr>
      <w:tr w:rsidR="00CF2694" w:rsidRPr="00880C7C" w14:paraId="2040F372" w14:textId="77777777" w:rsidTr="00CF2694">
        <w:trPr>
          <w:cnfStyle w:val="000000100000" w:firstRow="0" w:lastRow="0" w:firstColumn="0" w:lastColumn="0" w:oddVBand="0" w:evenVBand="0" w:oddHBand="1" w:evenHBand="0" w:firstRowFirstColumn="0" w:firstRowLastColumn="0" w:lastRowFirstColumn="0" w:lastRowLastColumn="0"/>
          <w:trHeight w:val="20"/>
        </w:trPr>
        <w:tc>
          <w:tcPr>
            <w:tcW w:w="3441" w:type="pct"/>
            <w:tcBorders>
              <w:top w:val="single" w:sz="4" w:space="0" w:color="BFBFBF" w:themeColor="accent2"/>
              <w:bottom w:val="single" w:sz="4" w:space="0" w:color="000000" w:themeColor="text1"/>
            </w:tcBorders>
            <w:noWrap/>
            <w:hideMark/>
          </w:tcPr>
          <w:p w14:paraId="200C95D6" w14:textId="77777777" w:rsidR="00CF2694" w:rsidRPr="00880C7C" w:rsidRDefault="00CF2694" w:rsidP="00CF2694">
            <w:pPr>
              <w:pStyle w:val="ARTabletext"/>
              <w:rPr>
                <w:lang w:eastAsia="en-AU"/>
              </w:rPr>
            </w:pPr>
            <w:r w:rsidRPr="00880C7C">
              <w:rPr>
                <w:lang w:eastAsia="en-AU"/>
              </w:rPr>
              <w:t>Client loans granted</w:t>
            </w:r>
          </w:p>
        </w:tc>
        <w:tc>
          <w:tcPr>
            <w:cnfStyle w:val="000001000000" w:firstRow="0" w:lastRow="0" w:firstColumn="0" w:lastColumn="0" w:oddVBand="0" w:evenVBand="1" w:oddHBand="0" w:evenHBand="0" w:firstRowFirstColumn="0" w:firstRowLastColumn="0" w:lastRowFirstColumn="0" w:lastRowLastColumn="0"/>
            <w:tcW w:w="780" w:type="pct"/>
            <w:tcBorders>
              <w:top w:val="single" w:sz="4" w:space="0" w:color="BFBFBF" w:themeColor="accent2"/>
              <w:bottom w:val="single" w:sz="4" w:space="0" w:color="000000" w:themeColor="text1"/>
            </w:tcBorders>
            <w:noWrap/>
            <w:hideMark/>
          </w:tcPr>
          <w:p w14:paraId="1DDCEADE" w14:textId="77777777" w:rsidR="00CF2694" w:rsidRPr="00880C7C" w:rsidRDefault="00CF2694" w:rsidP="00CF2694">
            <w:pPr>
              <w:pStyle w:val="ARTabletext"/>
              <w:jc w:val="right"/>
              <w:rPr>
                <w:lang w:eastAsia="en-AU"/>
              </w:rPr>
            </w:pPr>
            <w:r>
              <w:rPr>
                <w:lang w:eastAsia="en-AU"/>
              </w:rPr>
              <w:t>–</w:t>
            </w:r>
          </w:p>
        </w:tc>
        <w:tc>
          <w:tcPr>
            <w:tcW w:w="779" w:type="pct"/>
            <w:tcBorders>
              <w:top w:val="single" w:sz="4" w:space="0" w:color="BFBFBF" w:themeColor="accent2"/>
              <w:bottom w:val="single" w:sz="4" w:space="0" w:color="000000" w:themeColor="text1"/>
            </w:tcBorders>
            <w:noWrap/>
            <w:hideMark/>
          </w:tcPr>
          <w:p w14:paraId="3F2AFBFF" w14:textId="77777777" w:rsidR="00CF2694" w:rsidRPr="00880C7C" w:rsidRDefault="00CF2694" w:rsidP="00CF2694">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880C7C">
              <w:rPr>
                <w:lang w:eastAsia="en-AU"/>
              </w:rPr>
              <w:t>(38.9)</w:t>
            </w:r>
          </w:p>
        </w:tc>
      </w:tr>
      <w:tr w:rsidR="00CF2694" w:rsidRPr="00880C7C" w14:paraId="6A30A896" w14:textId="77777777" w:rsidTr="00CF2694">
        <w:trPr>
          <w:cnfStyle w:val="000000010000" w:firstRow="0" w:lastRow="0" w:firstColumn="0" w:lastColumn="0" w:oddVBand="0" w:evenVBand="0" w:oddHBand="0" w:evenHBand="1" w:firstRowFirstColumn="0" w:firstRowLastColumn="0" w:lastRowFirstColumn="0" w:lastRowLastColumn="0"/>
          <w:trHeight w:val="20"/>
        </w:trPr>
        <w:tc>
          <w:tcPr>
            <w:tcW w:w="3441" w:type="pct"/>
            <w:tcBorders>
              <w:top w:val="single" w:sz="4" w:space="0" w:color="000000" w:themeColor="text1"/>
              <w:bottom w:val="single" w:sz="4" w:space="0" w:color="000000" w:themeColor="text1"/>
            </w:tcBorders>
            <w:noWrap/>
            <w:hideMark/>
          </w:tcPr>
          <w:p w14:paraId="76C82AC9" w14:textId="77777777" w:rsidR="00CF2694" w:rsidRPr="00880C7C" w:rsidRDefault="00CF2694" w:rsidP="00CF2694">
            <w:pPr>
              <w:pStyle w:val="ARtabletextbold"/>
              <w:rPr>
                <w:lang w:eastAsia="en-AU"/>
              </w:rPr>
            </w:pPr>
            <w:r w:rsidRPr="00880C7C">
              <w:rPr>
                <w:lang w:eastAsia="en-AU"/>
              </w:rPr>
              <w:t>Net cash flows from</w:t>
            </w:r>
            <w:proofErr w:type="gramStart"/>
            <w:r w:rsidRPr="00880C7C">
              <w:rPr>
                <w:lang w:eastAsia="en-AU"/>
              </w:rPr>
              <w:t>/(</w:t>
            </w:r>
            <w:proofErr w:type="gramEnd"/>
            <w:r w:rsidRPr="00880C7C">
              <w:rPr>
                <w:lang w:eastAsia="en-AU"/>
              </w:rPr>
              <w:t>used in) investing activities</w:t>
            </w:r>
          </w:p>
        </w:tc>
        <w:tc>
          <w:tcPr>
            <w:cnfStyle w:val="000001000000" w:firstRow="0" w:lastRow="0" w:firstColumn="0" w:lastColumn="0" w:oddVBand="0" w:evenVBand="1" w:oddHBand="0" w:evenHBand="0" w:firstRowFirstColumn="0" w:firstRowLastColumn="0" w:lastRowFirstColumn="0" w:lastRowLastColumn="0"/>
            <w:tcW w:w="780" w:type="pct"/>
            <w:tcBorders>
              <w:top w:val="single" w:sz="4" w:space="0" w:color="000000" w:themeColor="text1"/>
              <w:bottom w:val="single" w:sz="4" w:space="0" w:color="000000" w:themeColor="text1"/>
            </w:tcBorders>
            <w:noWrap/>
            <w:hideMark/>
          </w:tcPr>
          <w:p w14:paraId="781E6112" w14:textId="77777777" w:rsidR="00CF2694" w:rsidRPr="00880C7C" w:rsidRDefault="00CF2694" w:rsidP="00CF2694">
            <w:pPr>
              <w:pStyle w:val="ARtabletextbold"/>
              <w:jc w:val="right"/>
              <w:rPr>
                <w:lang w:eastAsia="en-AU"/>
              </w:rPr>
            </w:pPr>
            <w:r w:rsidRPr="00880C7C">
              <w:rPr>
                <w:lang w:eastAsia="en-AU"/>
              </w:rPr>
              <w:t>(952.0)</w:t>
            </w:r>
          </w:p>
        </w:tc>
        <w:tc>
          <w:tcPr>
            <w:tcW w:w="779" w:type="pct"/>
            <w:tcBorders>
              <w:top w:val="single" w:sz="4" w:space="0" w:color="000000" w:themeColor="text1"/>
              <w:bottom w:val="single" w:sz="4" w:space="0" w:color="000000" w:themeColor="text1"/>
            </w:tcBorders>
            <w:noWrap/>
            <w:hideMark/>
          </w:tcPr>
          <w:p w14:paraId="407ED9B6" w14:textId="77777777" w:rsidR="00CF2694" w:rsidRPr="00880C7C" w:rsidRDefault="00CF2694" w:rsidP="00CF2694">
            <w:pPr>
              <w:pStyle w:val="ARtabletextbold"/>
              <w:jc w:val="right"/>
              <w:cnfStyle w:val="000000010000" w:firstRow="0" w:lastRow="0" w:firstColumn="0" w:lastColumn="0" w:oddVBand="0" w:evenVBand="0" w:oddHBand="0" w:evenHBand="1" w:firstRowFirstColumn="0" w:firstRowLastColumn="0" w:lastRowFirstColumn="0" w:lastRowLastColumn="0"/>
              <w:rPr>
                <w:color w:val="000000"/>
                <w:lang w:eastAsia="en-AU"/>
              </w:rPr>
            </w:pPr>
            <w:r w:rsidRPr="00880C7C">
              <w:rPr>
                <w:color w:val="000000"/>
                <w:lang w:eastAsia="en-AU"/>
              </w:rPr>
              <w:t>(727.3)</w:t>
            </w:r>
          </w:p>
        </w:tc>
      </w:tr>
      <w:tr w:rsidR="00CF2694" w:rsidRPr="00880C7C" w14:paraId="5E0F2658" w14:textId="77777777" w:rsidTr="00CF2694">
        <w:trPr>
          <w:cnfStyle w:val="000000100000" w:firstRow="0" w:lastRow="0" w:firstColumn="0" w:lastColumn="0" w:oddVBand="0" w:evenVBand="0" w:oddHBand="1" w:evenHBand="0" w:firstRowFirstColumn="0" w:firstRowLastColumn="0" w:lastRowFirstColumn="0" w:lastRowLastColumn="0"/>
          <w:trHeight w:val="20"/>
        </w:trPr>
        <w:tc>
          <w:tcPr>
            <w:tcW w:w="3441" w:type="pct"/>
            <w:tcBorders>
              <w:top w:val="single" w:sz="4" w:space="0" w:color="000000" w:themeColor="text1"/>
            </w:tcBorders>
            <w:noWrap/>
            <w:hideMark/>
          </w:tcPr>
          <w:p w14:paraId="67C07488" w14:textId="77777777" w:rsidR="00CF2694" w:rsidRPr="00880C7C" w:rsidRDefault="00CF2694" w:rsidP="00CF2694">
            <w:pPr>
              <w:pStyle w:val="ARTabletextboldcoloured"/>
              <w:rPr>
                <w:lang w:eastAsia="en-AU"/>
              </w:rPr>
            </w:pPr>
            <w:r w:rsidRPr="00880C7C">
              <w:rPr>
                <w:lang w:eastAsia="en-AU"/>
              </w:rPr>
              <w:t>Cash flows from financing activities</w:t>
            </w:r>
          </w:p>
        </w:tc>
        <w:tc>
          <w:tcPr>
            <w:cnfStyle w:val="000001000000" w:firstRow="0" w:lastRow="0" w:firstColumn="0" w:lastColumn="0" w:oddVBand="0" w:evenVBand="1" w:oddHBand="0" w:evenHBand="0" w:firstRowFirstColumn="0" w:firstRowLastColumn="0" w:lastRowFirstColumn="0" w:lastRowLastColumn="0"/>
            <w:tcW w:w="780" w:type="pct"/>
            <w:tcBorders>
              <w:top w:val="single" w:sz="4" w:space="0" w:color="000000" w:themeColor="text1"/>
            </w:tcBorders>
            <w:shd w:val="clear" w:color="auto" w:fill="auto"/>
            <w:noWrap/>
            <w:hideMark/>
          </w:tcPr>
          <w:p w14:paraId="5D4370C7" w14:textId="77777777" w:rsidR="00CF2694" w:rsidRPr="00880C7C" w:rsidRDefault="00CF2694" w:rsidP="00CF2694">
            <w:pPr>
              <w:pStyle w:val="ARTabletextboldcoloured"/>
              <w:jc w:val="right"/>
              <w:rPr>
                <w:lang w:eastAsia="en-AU"/>
              </w:rPr>
            </w:pPr>
          </w:p>
        </w:tc>
        <w:tc>
          <w:tcPr>
            <w:tcW w:w="779" w:type="pct"/>
            <w:tcBorders>
              <w:top w:val="single" w:sz="4" w:space="0" w:color="000000" w:themeColor="text1"/>
            </w:tcBorders>
            <w:noWrap/>
            <w:hideMark/>
          </w:tcPr>
          <w:p w14:paraId="7F4A674B" w14:textId="77777777" w:rsidR="00CF2694" w:rsidRPr="00880C7C" w:rsidRDefault="00CF2694" w:rsidP="00CF2694">
            <w:pPr>
              <w:pStyle w:val="ARTabletextboldcoloured"/>
              <w:jc w:val="righ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AU"/>
              </w:rPr>
            </w:pPr>
          </w:p>
        </w:tc>
      </w:tr>
      <w:tr w:rsidR="00CF2694" w:rsidRPr="00880C7C" w14:paraId="47153109" w14:textId="77777777" w:rsidTr="00CF2694">
        <w:trPr>
          <w:cnfStyle w:val="000000010000" w:firstRow="0" w:lastRow="0" w:firstColumn="0" w:lastColumn="0" w:oddVBand="0" w:evenVBand="0" w:oddHBand="0" w:evenHBand="1" w:firstRowFirstColumn="0" w:firstRowLastColumn="0" w:lastRowFirstColumn="0" w:lastRowLastColumn="0"/>
          <w:trHeight w:val="20"/>
        </w:trPr>
        <w:tc>
          <w:tcPr>
            <w:tcW w:w="3441" w:type="pct"/>
            <w:noWrap/>
            <w:hideMark/>
          </w:tcPr>
          <w:p w14:paraId="063EF855" w14:textId="77777777" w:rsidR="00CF2694" w:rsidRPr="00880C7C" w:rsidRDefault="00CF2694" w:rsidP="00CF2694">
            <w:pPr>
              <w:pStyle w:val="ARTabletext"/>
              <w:rPr>
                <w:lang w:eastAsia="en-AU"/>
              </w:rPr>
            </w:pPr>
            <w:r w:rsidRPr="00880C7C">
              <w:rPr>
                <w:lang w:eastAsia="en-AU"/>
              </w:rPr>
              <w:t>Net receipts / (payments) for advances</w:t>
            </w:r>
          </w:p>
        </w:tc>
        <w:tc>
          <w:tcPr>
            <w:cnfStyle w:val="000001000000" w:firstRow="0" w:lastRow="0" w:firstColumn="0" w:lastColumn="0" w:oddVBand="0" w:evenVBand="1" w:oddHBand="0" w:evenHBand="0" w:firstRowFirstColumn="0" w:firstRowLastColumn="0" w:lastRowFirstColumn="0" w:lastRowLastColumn="0"/>
            <w:tcW w:w="780" w:type="pct"/>
            <w:noWrap/>
            <w:hideMark/>
          </w:tcPr>
          <w:p w14:paraId="38C979BF" w14:textId="77777777" w:rsidR="00CF2694" w:rsidRPr="00880C7C" w:rsidRDefault="00CF2694" w:rsidP="00CF2694">
            <w:pPr>
              <w:pStyle w:val="ARTabletext"/>
              <w:jc w:val="right"/>
              <w:rPr>
                <w:lang w:eastAsia="en-AU"/>
              </w:rPr>
            </w:pPr>
            <w:r>
              <w:rPr>
                <w:lang w:eastAsia="en-AU"/>
              </w:rPr>
              <w:t>–</w:t>
            </w:r>
          </w:p>
        </w:tc>
        <w:tc>
          <w:tcPr>
            <w:tcW w:w="779" w:type="pct"/>
            <w:noWrap/>
            <w:hideMark/>
          </w:tcPr>
          <w:p w14:paraId="245055F3" w14:textId="77777777" w:rsidR="00CF2694" w:rsidRPr="00880C7C" w:rsidRDefault="00CF2694" w:rsidP="00CF2694">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880C7C">
              <w:rPr>
                <w:lang w:eastAsia="en-AU"/>
              </w:rPr>
              <w:t>(1.0)</w:t>
            </w:r>
          </w:p>
        </w:tc>
      </w:tr>
      <w:tr w:rsidR="00CF2694" w:rsidRPr="00880C7C" w14:paraId="1AA5CCF7" w14:textId="77777777" w:rsidTr="00CF2694">
        <w:trPr>
          <w:cnfStyle w:val="000000100000" w:firstRow="0" w:lastRow="0" w:firstColumn="0" w:lastColumn="0" w:oddVBand="0" w:evenVBand="0" w:oddHBand="1" w:evenHBand="0" w:firstRowFirstColumn="0" w:firstRowLastColumn="0" w:lastRowFirstColumn="0" w:lastRowLastColumn="0"/>
          <w:trHeight w:val="20"/>
        </w:trPr>
        <w:tc>
          <w:tcPr>
            <w:tcW w:w="3441" w:type="pct"/>
            <w:tcBorders>
              <w:bottom w:val="single" w:sz="4" w:space="0" w:color="BFBFBF" w:themeColor="accent2"/>
            </w:tcBorders>
            <w:hideMark/>
          </w:tcPr>
          <w:p w14:paraId="13070E7F" w14:textId="77777777" w:rsidR="00CF2694" w:rsidRPr="00880C7C" w:rsidRDefault="00CF2694" w:rsidP="00CF2694">
            <w:pPr>
              <w:pStyle w:val="ARTabletext"/>
              <w:rPr>
                <w:lang w:eastAsia="en-AU"/>
              </w:rPr>
            </w:pPr>
            <w:r w:rsidRPr="00880C7C">
              <w:rPr>
                <w:lang w:eastAsia="en-AU"/>
              </w:rPr>
              <w:t xml:space="preserve">Owner contributions by Victorian Government </w:t>
            </w:r>
            <w:r>
              <w:rPr>
                <w:lang w:eastAsia="en-AU"/>
              </w:rPr>
              <w:t>–</w:t>
            </w:r>
            <w:r w:rsidRPr="00880C7C">
              <w:rPr>
                <w:lang w:eastAsia="en-AU"/>
              </w:rPr>
              <w:t xml:space="preserve"> appropriation for capital expenditure purposes</w:t>
            </w:r>
          </w:p>
        </w:tc>
        <w:tc>
          <w:tcPr>
            <w:cnfStyle w:val="000001000000" w:firstRow="0" w:lastRow="0" w:firstColumn="0" w:lastColumn="0" w:oddVBand="0" w:evenVBand="1" w:oddHBand="0" w:evenHBand="0" w:firstRowFirstColumn="0" w:firstRowLastColumn="0" w:lastRowFirstColumn="0" w:lastRowLastColumn="0"/>
            <w:tcW w:w="780" w:type="pct"/>
            <w:tcBorders>
              <w:bottom w:val="single" w:sz="4" w:space="0" w:color="BFBFBF" w:themeColor="accent2"/>
            </w:tcBorders>
            <w:noWrap/>
            <w:hideMark/>
          </w:tcPr>
          <w:p w14:paraId="10C3EB04" w14:textId="77777777" w:rsidR="00CF2694" w:rsidRPr="00880C7C" w:rsidRDefault="00CF2694" w:rsidP="00CF2694">
            <w:pPr>
              <w:pStyle w:val="ARTabletext"/>
              <w:jc w:val="right"/>
              <w:rPr>
                <w:lang w:eastAsia="en-AU"/>
              </w:rPr>
            </w:pPr>
            <w:r w:rsidRPr="00880C7C">
              <w:rPr>
                <w:lang w:eastAsia="en-AU"/>
              </w:rPr>
              <w:t>650.4</w:t>
            </w:r>
          </w:p>
        </w:tc>
        <w:tc>
          <w:tcPr>
            <w:tcW w:w="779" w:type="pct"/>
            <w:tcBorders>
              <w:bottom w:val="single" w:sz="4" w:space="0" w:color="BFBFBF" w:themeColor="accent2"/>
            </w:tcBorders>
            <w:noWrap/>
            <w:hideMark/>
          </w:tcPr>
          <w:p w14:paraId="471BB9DE" w14:textId="77777777" w:rsidR="00CF2694" w:rsidRPr="00880C7C" w:rsidRDefault="00CF2694" w:rsidP="00CF2694">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880C7C">
              <w:rPr>
                <w:lang w:eastAsia="en-AU"/>
              </w:rPr>
              <w:t>1,041.6</w:t>
            </w:r>
          </w:p>
        </w:tc>
      </w:tr>
      <w:tr w:rsidR="00CF2694" w:rsidRPr="00880C7C" w14:paraId="362333C7" w14:textId="77777777" w:rsidTr="00CF2694">
        <w:trPr>
          <w:cnfStyle w:val="000000010000" w:firstRow="0" w:lastRow="0" w:firstColumn="0" w:lastColumn="0" w:oddVBand="0" w:evenVBand="0" w:oddHBand="0" w:evenHBand="1" w:firstRowFirstColumn="0" w:firstRowLastColumn="0" w:lastRowFirstColumn="0" w:lastRowLastColumn="0"/>
          <w:trHeight w:val="20"/>
        </w:trPr>
        <w:tc>
          <w:tcPr>
            <w:tcW w:w="3441" w:type="pct"/>
            <w:tcBorders>
              <w:top w:val="single" w:sz="4" w:space="0" w:color="BFBFBF" w:themeColor="accent2"/>
              <w:bottom w:val="single" w:sz="4" w:space="0" w:color="000000" w:themeColor="text1"/>
            </w:tcBorders>
            <w:hideMark/>
          </w:tcPr>
          <w:p w14:paraId="65B4E8A2" w14:textId="77777777" w:rsidR="00CF2694" w:rsidRPr="00880C7C" w:rsidRDefault="00CF2694" w:rsidP="00CF2694">
            <w:pPr>
              <w:pStyle w:val="ARTabletext"/>
              <w:rPr>
                <w:lang w:eastAsia="en-AU"/>
              </w:rPr>
            </w:pPr>
            <w:r w:rsidRPr="00880C7C">
              <w:rPr>
                <w:lang w:eastAsia="en-AU"/>
              </w:rPr>
              <w:t>Repayment/ proceeds of borrowings and principal portion of lease liability</w:t>
            </w:r>
          </w:p>
        </w:tc>
        <w:tc>
          <w:tcPr>
            <w:cnfStyle w:val="000001000000" w:firstRow="0" w:lastRow="0" w:firstColumn="0" w:lastColumn="0" w:oddVBand="0" w:evenVBand="1" w:oddHBand="0" w:evenHBand="0" w:firstRowFirstColumn="0" w:firstRowLastColumn="0" w:lastRowFirstColumn="0" w:lastRowLastColumn="0"/>
            <w:tcW w:w="780" w:type="pct"/>
            <w:tcBorders>
              <w:top w:val="single" w:sz="4" w:space="0" w:color="BFBFBF" w:themeColor="accent2"/>
              <w:bottom w:val="single" w:sz="4" w:space="0" w:color="000000" w:themeColor="text1"/>
            </w:tcBorders>
            <w:noWrap/>
            <w:hideMark/>
          </w:tcPr>
          <w:p w14:paraId="684D84F0" w14:textId="77777777" w:rsidR="00CF2694" w:rsidRPr="00880C7C" w:rsidRDefault="00CF2694" w:rsidP="00CF2694">
            <w:pPr>
              <w:pStyle w:val="ARTabletext"/>
              <w:jc w:val="right"/>
              <w:rPr>
                <w:lang w:eastAsia="en-AU"/>
              </w:rPr>
            </w:pPr>
            <w:r w:rsidRPr="00880C7C">
              <w:rPr>
                <w:lang w:eastAsia="en-AU"/>
              </w:rPr>
              <w:t>(4.7)</w:t>
            </w:r>
          </w:p>
        </w:tc>
        <w:tc>
          <w:tcPr>
            <w:tcW w:w="779" w:type="pct"/>
            <w:tcBorders>
              <w:top w:val="single" w:sz="4" w:space="0" w:color="BFBFBF" w:themeColor="accent2"/>
              <w:bottom w:val="single" w:sz="4" w:space="0" w:color="000000" w:themeColor="text1"/>
            </w:tcBorders>
            <w:noWrap/>
            <w:hideMark/>
          </w:tcPr>
          <w:p w14:paraId="00F1CF39" w14:textId="77777777" w:rsidR="00CF2694" w:rsidRPr="00880C7C" w:rsidRDefault="00CF2694" w:rsidP="00CF2694">
            <w:pPr>
              <w:pStyle w:val="ARTabletext"/>
              <w:jc w:val="right"/>
              <w:cnfStyle w:val="000000010000" w:firstRow="0" w:lastRow="0" w:firstColumn="0" w:lastColumn="0" w:oddVBand="0" w:evenVBand="0" w:oddHBand="0" w:evenHBand="1" w:firstRowFirstColumn="0" w:firstRowLastColumn="0" w:lastRowFirstColumn="0" w:lastRowLastColumn="0"/>
              <w:rPr>
                <w:lang w:eastAsia="en-AU"/>
              </w:rPr>
            </w:pPr>
            <w:r w:rsidRPr="00880C7C">
              <w:rPr>
                <w:lang w:eastAsia="en-AU"/>
              </w:rPr>
              <w:t>(7.1)</w:t>
            </w:r>
          </w:p>
        </w:tc>
      </w:tr>
      <w:tr w:rsidR="00CF2694" w:rsidRPr="00880C7C" w14:paraId="1C323955" w14:textId="77777777" w:rsidTr="00CF2694">
        <w:trPr>
          <w:cnfStyle w:val="000000100000" w:firstRow="0" w:lastRow="0" w:firstColumn="0" w:lastColumn="0" w:oddVBand="0" w:evenVBand="0" w:oddHBand="1" w:evenHBand="0" w:firstRowFirstColumn="0" w:firstRowLastColumn="0" w:lastRowFirstColumn="0" w:lastRowLastColumn="0"/>
          <w:trHeight w:val="20"/>
        </w:trPr>
        <w:tc>
          <w:tcPr>
            <w:tcW w:w="3441" w:type="pct"/>
            <w:tcBorders>
              <w:top w:val="single" w:sz="4" w:space="0" w:color="000000" w:themeColor="text1"/>
              <w:bottom w:val="single" w:sz="4" w:space="0" w:color="000000" w:themeColor="text1"/>
            </w:tcBorders>
            <w:noWrap/>
            <w:hideMark/>
          </w:tcPr>
          <w:p w14:paraId="7F8630CE" w14:textId="77777777" w:rsidR="00CF2694" w:rsidRPr="00880C7C" w:rsidRDefault="00CF2694" w:rsidP="00CF2694">
            <w:pPr>
              <w:pStyle w:val="ARtabletextbold"/>
              <w:rPr>
                <w:lang w:eastAsia="en-AU"/>
              </w:rPr>
            </w:pPr>
            <w:r w:rsidRPr="00880C7C">
              <w:rPr>
                <w:lang w:eastAsia="en-AU"/>
              </w:rPr>
              <w:t>Net cash flows from</w:t>
            </w:r>
            <w:proofErr w:type="gramStart"/>
            <w:r w:rsidRPr="00880C7C">
              <w:rPr>
                <w:lang w:eastAsia="en-AU"/>
              </w:rPr>
              <w:t>/(</w:t>
            </w:r>
            <w:proofErr w:type="gramEnd"/>
            <w:r w:rsidRPr="00880C7C">
              <w:rPr>
                <w:lang w:eastAsia="en-AU"/>
              </w:rPr>
              <w:t>used in) financing activities</w:t>
            </w:r>
          </w:p>
        </w:tc>
        <w:tc>
          <w:tcPr>
            <w:cnfStyle w:val="000001000000" w:firstRow="0" w:lastRow="0" w:firstColumn="0" w:lastColumn="0" w:oddVBand="0" w:evenVBand="1" w:oddHBand="0" w:evenHBand="0" w:firstRowFirstColumn="0" w:firstRowLastColumn="0" w:lastRowFirstColumn="0" w:lastRowLastColumn="0"/>
            <w:tcW w:w="780" w:type="pct"/>
            <w:tcBorders>
              <w:top w:val="single" w:sz="4" w:space="0" w:color="000000" w:themeColor="text1"/>
              <w:bottom w:val="single" w:sz="4" w:space="0" w:color="000000" w:themeColor="text1"/>
            </w:tcBorders>
            <w:noWrap/>
            <w:hideMark/>
          </w:tcPr>
          <w:p w14:paraId="5A0B5508" w14:textId="77777777" w:rsidR="00CF2694" w:rsidRPr="00880C7C" w:rsidRDefault="00CF2694" w:rsidP="00CF2694">
            <w:pPr>
              <w:pStyle w:val="ARtabletextbold"/>
              <w:jc w:val="right"/>
              <w:rPr>
                <w:lang w:eastAsia="en-AU"/>
              </w:rPr>
            </w:pPr>
            <w:r w:rsidRPr="00880C7C">
              <w:rPr>
                <w:lang w:eastAsia="en-AU"/>
              </w:rPr>
              <w:t>645.7</w:t>
            </w:r>
          </w:p>
        </w:tc>
        <w:tc>
          <w:tcPr>
            <w:tcW w:w="779" w:type="pct"/>
            <w:tcBorders>
              <w:top w:val="single" w:sz="4" w:space="0" w:color="000000" w:themeColor="text1"/>
              <w:bottom w:val="single" w:sz="4" w:space="0" w:color="000000" w:themeColor="text1"/>
            </w:tcBorders>
            <w:noWrap/>
            <w:hideMark/>
          </w:tcPr>
          <w:p w14:paraId="7FC9FA08" w14:textId="77777777" w:rsidR="00CF2694" w:rsidRPr="00880C7C" w:rsidRDefault="00CF2694" w:rsidP="00CF2694">
            <w:pPr>
              <w:pStyle w:val="ARtabletextbold"/>
              <w:jc w:val="right"/>
              <w:cnfStyle w:val="000000100000" w:firstRow="0" w:lastRow="0" w:firstColumn="0" w:lastColumn="0" w:oddVBand="0" w:evenVBand="0" w:oddHBand="1" w:evenHBand="0" w:firstRowFirstColumn="0" w:firstRowLastColumn="0" w:lastRowFirstColumn="0" w:lastRowLastColumn="0"/>
              <w:rPr>
                <w:lang w:eastAsia="en-AU"/>
              </w:rPr>
            </w:pPr>
            <w:r w:rsidRPr="00880C7C">
              <w:rPr>
                <w:lang w:eastAsia="en-AU"/>
              </w:rPr>
              <w:t>1,033.5</w:t>
            </w:r>
          </w:p>
        </w:tc>
      </w:tr>
      <w:tr w:rsidR="00CF2694" w:rsidRPr="00880C7C" w14:paraId="470A8F39" w14:textId="77777777" w:rsidTr="00CF2694">
        <w:trPr>
          <w:cnfStyle w:val="000000010000" w:firstRow="0" w:lastRow="0" w:firstColumn="0" w:lastColumn="0" w:oddVBand="0" w:evenVBand="0" w:oddHBand="0" w:evenHBand="1" w:firstRowFirstColumn="0" w:firstRowLastColumn="0" w:lastRowFirstColumn="0" w:lastRowLastColumn="0"/>
          <w:trHeight w:val="20"/>
        </w:trPr>
        <w:tc>
          <w:tcPr>
            <w:tcW w:w="3441" w:type="pct"/>
            <w:tcBorders>
              <w:top w:val="single" w:sz="4" w:space="0" w:color="000000" w:themeColor="text1"/>
              <w:bottom w:val="single" w:sz="4" w:space="0" w:color="000000" w:themeColor="text1"/>
            </w:tcBorders>
            <w:noWrap/>
            <w:hideMark/>
          </w:tcPr>
          <w:p w14:paraId="4DCE23ED" w14:textId="77777777" w:rsidR="00CF2694" w:rsidRPr="00880C7C" w:rsidRDefault="00CF2694" w:rsidP="00CF2694">
            <w:pPr>
              <w:pStyle w:val="ARtabletextbold"/>
              <w:rPr>
                <w:lang w:eastAsia="en-AU"/>
              </w:rPr>
            </w:pPr>
            <w:r w:rsidRPr="00880C7C">
              <w:rPr>
                <w:lang w:eastAsia="en-AU"/>
              </w:rPr>
              <w:t>Net increase/(decrease) in cash and deposits</w:t>
            </w:r>
          </w:p>
        </w:tc>
        <w:tc>
          <w:tcPr>
            <w:cnfStyle w:val="000001000000" w:firstRow="0" w:lastRow="0" w:firstColumn="0" w:lastColumn="0" w:oddVBand="0" w:evenVBand="1" w:oddHBand="0" w:evenHBand="0" w:firstRowFirstColumn="0" w:firstRowLastColumn="0" w:lastRowFirstColumn="0" w:lastRowLastColumn="0"/>
            <w:tcW w:w="780" w:type="pct"/>
            <w:tcBorders>
              <w:top w:val="single" w:sz="4" w:space="0" w:color="000000" w:themeColor="text1"/>
              <w:bottom w:val="single" w:sz="4" w:space="0" w:color="000000" w:themeColor="text1"/>
            </w:tcBorders>
            <w:noWrap/>
            <w:hideMark/>
          </w:tcPr>
          <w:p w14:paraId="78450EAD" w14:textId="77777777" w:rsidR="00CF2694" w:rsidRPr="00880C7C" w:rsidRDefault="00CF2694" w:rsidP="00CF2694">
            <w:pPr>
              <w:pStyle w:val="ARtabletextbold"/>
              <w:jc w:val="right"/>
              <w:rPr>
                <w:lang w:eastAsia="en-AU"/>
              </w:rPr>
            </w:pPr>
            <w:r w:rsidRPr="00880C7C">
              <w:rPr>
                <w:lang w:eastAsia="en-AU"/>
              </w:rPr>
              <w:t>(345.8)</w:t>
            </w:r>
          </w:p>
        </w:tc>
        <w:tc>
          <w:tcPr>
            <w:tcW w:w="779" w:type="pct"/>
            <w:tcBorders>
              <w:top w:val="single" w:sz="4" w:space="0" w:color="000000" w:themeColor="text1"/>
              <w:bottom w:val="single" w:sz="4" w:space="0" w:color="000000" w:themeColor="text1"/>
            </w:tcBorders>
            <w:noWrap/>
            <w:hideMark/>
          </w:tcPr>
          <w:p w14:paraId="0C5107A0" w14:textId="77777777" w:rsidR="00CF2694" w:rsidRPr="00880C7C" w:rsidRDefault="00CF2694" w:rsidP="00CF2694">
            <w:pPr>
              <w:pStyle w:val="ARtabletextbold"/>
              <w:jc w:val="right"/>
              <w:cnfStyle w:val="000000010000" w:firstRow="0" w:lastRow="0" w:firstColumn="0" w:lastColumn="0" w:oddVBand="0" w:evenVBand="0" w:oddHBand="0" w:evenHBand="1" w:firstRowFirstColumn="0" w:firstRowLastColumn="0" w:lastRowFirstColumn="0" w:lastRowLastColumn="0"/>
              <w:rPr>
                <w:lang w:eastAsia="en-AU"/>
              </w:rPr>
            </w:pPr>
            <w:r w:rsidRPr="00880C7C">
              <w:rPr>
                <w:lang w:eastAsia="en-AU"/>
              </w:rPr>
              <w:t>591.1</w:t>
            </w:r>
          </w:p>
        </w:tc>
      </w:tr>
      <w:tr w:rsidR="00CF2694" w:rsidRPr="00880C7C" w14:paraId="2A7D52F8" w14:textId="77777777" w:rsidTr="00CF2694">
        <w:trPr>
          <w:cnfStyle w:val="000000100000" w:firstRow="0" w:lastRow="0" w:firstColumn="0" w:lastColumn="0" w:oddVBand="0" w:evenVBand="0" w:oddHBand="1" w:evenHBand="0" w:firstRowFirstColumn="0" w:firstRowLastColumn="0" w:lastRowFirstColumn="0" w:lastRowLastColumn="0"/>
          <w:trHeight w:val="20"/>
        </w:trPr>
        <w:tc>
          <w:tcPr>
            <w:tcW w:w="3441" w:type="pct"/>
            <w:tcBorders>
              <w:top w:val="single" w:sz="4" w:space="0" w:color="000000" w:themeColor="text1"/>
              <w:bottom w:val="single" w:sz="4" w:space="0" w:color="000000" w:themeColor="text1"/>
            </w:tcBorders>
            <w:noWrap/>
            <w:hideMark/>
          </w:tcPr>
          <w:p w14:paraId="7B2558D1" w14:textId="77777777" w:rsidR="00CF2694" w:rsidRPr="00880C7C" w:rsidRDefault="00CF2694" w:rsidP="00CF2694">
            <w:pPr>
              <w:pStyle w:val="ARTabletext"/>
              <w:rPr>
                <w:lang w:eastAsia="en-AU"/>
              </w:rPr>
            </w:pPr>
            <w:r w:rsidRPr="00880C7C">
              <w:rPr>
                <w:lang w:eastAsia="en-AU"/>
              </w:rPr>
              <w:t>Cash and deposits at beginning of financial year</w:t>
            </w:r>
          </w:p>
        </w:tc>
        <w:tc>
          <w:tcPr>
            <w:cnfStyle w:val="000001000000" w:firstRow="0" w:lastRow="0" w:firstColumn="0" w:lastColumn="0" w:oddVBand="0" w:evenVBand="1" w:oddHBand="0" w:evenHBand="0" w:firstRowFirstColumn="0" w:firstRowLastColumn="0" w:lastRowFirstColumn="0" w:lastRowLastColumn="0"/>
            <w:tcW w:w="780" w:type="pct"/>
            <w:tcBorders>
              <w:top w:val="single" w:sz="4" w:space="0" w:color="000000" w:themeColor="text1"/>
              <w:bottom w:val="single" w:sz="4" w:space="0" w:color="000000" w:themeColor="text1"/>
            </w:tcBorders>
            <w:noWrap/>
            <w:hideMark/>
          </w:tcPr>
          <w:p w14:paraId="62CD4555" w14:textId="77777777" w:rsidR="00CF2694" w:rsidRPr="00880C7C" w:rsidRDefault="00CF2694" w:rsidP="00CF2694">
            <w:pPr>
              <w:pStyle w:val="ARTabletext"/>
              <w:jc w:val="right"/>
              <w:rPr>
                <w:lang w:eastAsia="en-AU"/>
              </w:rPr>
            </w:pPr>
            <w:r w:rsidRPr="00880C7C">
              <w:rPr>
                <w:lang w:eastAsia="en-AU"/>
              </w:rPr>
              <w:t>1,249.3</w:t>
            </w:r>
          </w:p>
        </w:tc>
        <w:tc>
          <w:tcPr>
            <w:tcW w:w="779" w:type="pct"/>
            <w:tcBorders>
              <w:top w:val="single" w:sz="4" w:space="0" w:color="000000" w:themeColor="text1"/>
              <w:bottom w:val="single" w:sz="4" w:space="0" w:color="000000" w:themeColor="text1"/>
            </w:tcBorders>
            <w:noWrap/>
            <w:hideMark/>
          </w:tcPr>
          <w:p w14:paraId="77E9AE02" w14:textId="77777777" w:rsidR="00CF2694" w:rsidRPr="00880C7C" w:rsidRDefault="00CF2694" w:rsidP="00CF2694">
            <w:pPr>
              <w:pStyle w:val="ARTabletext"/>
              <w:jc w:val="right"/>
              <w:cnfStyle w:val="000000100000" w:firstRow="0" w:lastRow="0" w:firstColumn="0" w:lastColumn="0" w:oddVBand="0" w:evenVBand="0" w:oddHBand="1" w:evenHBand="0" w:firstRowFirstColumn="0" w:firstRowLastColumn="0" w:lastRowFirstColumn="0" w:lastRowLastColumn="0"/>
              <w:rPr>
                <w:lang w:eastAsia="en-AU"/>
              </w:rPr>
            </w:pPr>
            <w:r w:rsidRPr="00880C7C">
              <w:rPr>
                <w:lang w:eastAsia="en-AU"/>
              </w:rPr>
              <w:t>658.2</w:t>
            </w:r>
          </w:p>
        </w:tc>
      </w:tr>
      <w:tr w:rsidR="00CF2694" w:rsidRPr="00880C7C" w14:paraId="363A3510" w14:textId="77777777" w:rsidTr="00CF2694">
        <w:trPr>
          <w:cnfStyle w:val="010000000000" w:firstRow="0" w:lastRow="1" w:firstColumn="0" w:lastColumn="0" w:oddVBand="0" w:evenVBand="0" w:oddHBand="0" w:evenHBand="0" w:firstRowFirstColumn="0" w:firstRowLastColumn="0" w:lastRowFirstColumn="0" w:lastRowLastColumn="0"/>
          <w:trHeight w:val="20"/>
        </w:trPr>
        <w:tc>
          <w:tcPr>
            <w:tcW w:w="3441" w:type="pct"/>
            <w:noWrap/>
            <w:hideMark/>
          </w:tcPr>
          <w:p w14:paraId="24E4C2B2" w14:textId="77777777" w:rsidR="00CF2694" w:rsidRPr="00880C7C" w:rsidRDefault="00CF2694" w:rsidP="00CF2694">
            <w:pPr>
              <w:pStyle w:val="ARTabletextboldcoloured"/>
              <w:rPr>
                <w:lang w:eastAsia="en-AU"/>
              </w:rPr>
            </w:pPr>
            <w:r w:rsidRPr="00880C7C">
              <w:rPr>
                <w:lang w:eastAsia="en-AU"/>
              </w:rPr>
              <w:t>Cash and deposits at the end of the financial year</w:t>
            </w:r>
          </w:p>
        </w:tc>
        <w:tc>
          <w:tcPr>
            <w:cnfStyle w:val="000001000000" w:firstRow="0" w:lastRow="0" w:firstColumn="0" w:lastColumn="0" w:oddVBand="0" w:evenVBand="1" w:oddHBand="0" w:evenHBand="0" w:firstRowFirstColumn="0" w:firstRowLastColumn="0" w:lastRowFirstColumn="0" w:lastRowLastColumn="0"/>
            <w:tcW w:w="780" w:type="pct"/>
            <w:noWrap/>
            <w:hideMark/>
          </w:tcPr>
          <w:p w14:paraId="770DEEE4" w14:textId="77777777" w:rsidR="00CF2694" w:rsidRPr="00880C7C" w:rsidRDefault="00CF2694" w:rsidP="00CF2694">
            <w:pPr>
              <w:pStyle w:val="ARTabletextboldcoloured"/>
              <w:jc w:val="right"/>
              <w:rPr>
                <w:lang w:eastAsia="en-AU"/>
              </w:rPr>
            </w:pPr>
            <w:r w:rsidRPr="00880C7C">
              <w:rPr>
                <w:lang w:eastAsia="en-AU"/>
              </w:rPr>
              <w:t>903.5</w:t>
            </w:r>
          </w:p>
        </w:tc>
        <w:tc>
          <w:tcPr>
            <w:tcW w:w="779" w:type="pct"/>
            <w:noWrap/>
            <w:hideMark/>
          </w:tcPr>
          <w:p w14:paraId="6C92A4ED" w14:textId="77777777" w:rsidR="00CF2694" w:rsidRPr="00880C7C" w:rsidRDefault="00CF2694" w:rsidP="00CF2694">
            <w:pPr>
              <w:pStyle w:val="ARTabletextboldcoloured"/>
              <w:jc w:val="right"/>
              <w:cnfStyle w:val="010000000000" w:firstRow="0" w:lastRow="1" w:firstColumn="0" w:lastColumn="0" w:oddVBand="0" w:evenVBand="0" w:oddHBand="0" w:evenHBand="0" w:firstRowFirstColumn="0" w:firstRowLastColumn="0" w:lastRowFirstColumn="0" w:lastRowLastColumn="0"/>
              <w:rPr>
                <w:lang w:eastAsia="en-AU"/>
              </w:rPr>
            </w:pPr>
            <w:r w:rsidRPr="00880C7C">
              <w:rPr>
                <w:lang w:eastAsia="en-AU"/>
              </w:rPr>
              <w:t>1,249.3</w:t>
            </w:r>
          </w:p>
        </w:tc>
      </w:tr>
    </w:tbl>
    <w:p w14:paraId="72127782" w14:textId="77777777" w:rsidR="00F962BE" w:rsidRPr="00880C7C" w:rsidRDefault="00F962BE" w:rsidP="00F962BE">
      <w:pPr>
        <w:pStyle w:val="ARfintablenote"/>
        <w:rPr>
          <w:lang w:eastAsia="en-AU"/>
        </w:rPr>
      </w:pPr>
      <w:r w:rsidRPr="00880C7C">
        <w:rPr>
          <w:lang w:eastAsia="en-AU"/>
        </w:rPr>
        <w:t>Note:</w:t>
      </w:r>
    </w:p>
    <w:p w14:paraId="497FA81E" w14:textId="77777777" w:rsidR="00F962BE" w:rsidRPr="00FE39A1" w:rsidRDefault="00F962BE" w:rsidP="00F962BE">
      <w:pPr>
        <w:pStyle w:val="ARfintablenoteroman"/>
        <w:numPr>
          <w:ilvl w:val="0"/>
          <w:numId w:val="89"/>
        </w:numPr>
      </w:pPr>
      <w:r w:rsidRPr="00880C7C">
        <w:t>GST recovered from the Australian Taxation Office is presented on a net basis.</w:t>
      </w:r>
    </w:p>
    <w:p w14:paraId="41616456" w14:textId="77777777" w:rsidR="00F962BE" w:rsidRDefault="00F962BE" w:rsidP="00F962BE">
      <w:pPr>
        <w:rPr>
          <w:rFonts w:ascii="Times New Roman" w:hAnsi="Times New Roman"/>
          <w:sz w:val="20"/>
          <w:lang w:eastAsia="en-AU"/>
        </w:rPr>
      </w:pPr>
      <w:r>
        <w:rPr>
          <w:rFonts w:ascii="Times New Roman" w:hAnsi="Times New Roman"/>
          <w:sz w:val="20"/>
          <w:lang w:eastAsia="en-AU"/>
        </w:rPr>
        <w:br w:type="page"/>
      </w:r>
    </w:p>
    <w:p w14:paraId="5052FE20" w14:textId="77777777" w:rsidR="00F962BE" w:rsidRDefault="00F962BE" w:rsidP="00F962BE">
      <w:pPr>
        <w:pStyle w:val="Heading3"/>
      </w:pPr>
      <w:r w:rsidRPr="00FE39A1">
        <w:rPr>
          <w:lang w:eastAsia="en-AU"/>
        </w:rPr>
        <w:t xml:space="preserve">Statement of changes in equity </w:t>
      </w:r>
      <w:r>
        <w:rPr>
          <w:lang w:eastAsia="en-AU"/>
        </w:rPr>
        <w:br/>
      </w:r>
      <w:r w:rsidRPr="00FE39A1">
        <w:rPr>
          <w:lang w:eastAsia="en-AU"/>
        </w:rPr>
        <w:t>for the financial year ended 30 June 2026</w:t>
      </w:r>
    </w:p>
    <w:tbl>
      <w:tblPr>
        <w:tblStyle w:val="ARtable1"/>
        <w:tblW w:w="5000" w:type="pct"/>
        <w:tblLook w:val="00E0" w:firstRow="1" w:lastRow="1" w:firstColumn="1" w:lastColumn="0" w:noHBand="0" w:noVBand="0"/>
      </w:tblPr>
      <w:tblGrid>
        <w:gridCol w:w="4760"/>
        <w:gridCol w:w="1187"/>
        <w:gridCol w:w="1313"/>
        <w:gridCol w:w="1246"/>
        <w:gridCol w:w="1122"/>
      </w:tblGrid>
      <w:tr w:rsidR="00F962BE" w:rsidRPr="00FE39A1" w14:paraId="7FEBAEEF" w14:textId="77777777" w:rsidTr="00023F5D">
        <w:trPr>
          <w:cnfStyle w:val="100000000000" w:firstRow="1" w:lastRow="0" w:firstColumn="0" w:lastColumn="0" w:oddVBand="0" w:evenVBand="0" w:oddHBand="0" w:evenHBand="0" w:firstRowFirstColumn="0" w:firstRowLastColumn="0" w:lastRowFirstColumn="0" w:lastRowLastColumn="0"/>
          <w:trHeight w:val="20"/>
          <w:tblHeader/>
        </w:trPr>
        <w:tc>
          <w:tcPr>
            <w:tcW w:w="2411" w:type="pct"/>
            <w:noWrap/>
            <w:hideMark/>
          </w:tcPr>
          <w:p w14:paraId="1AEBE506" w14:textId="77777777" w:rsidR="00F962BE" w:rsidRPr="00FE39A1" w:rsidRDefault="00F962BE">
            <w:pPr>
              <w:pStyle w:val="ARfintablecolhead"/>
              <w:rPr>
                <w:lang w:eastAsia="en-AU"/>
              </w:rPr>
            </w:pPr>
          </w:p>
        </w:tc>
        <w:tc>
          <w:tcPr>
            <w:cnfStyle w:val="000001000000" w:firstRow="0" w:lastRow="0" w:firstColumn="0" w:lastColumn="0" w:oddVBand="0" w:evenVBand="1" w:oddHBand="0" w:evenHBand="0" w:firstRowFirstColumn="0" w:firstRowLastColumn="0" w:lastRowFirstColumn="0" w:lastRowLastColumn="0"/>
            <w:tcW w:w="647" w:type="pct"/>
            <w:hideMark/>
          </w:tcPr>
          <w:p w14:paraId="66BDD106" w14:textId="77777777" w:rsidR="00F962BE" w:rsidRPr="009D0B94" w:rsidRDefault="00F962BE" w:rsidP="00CF2694">
            <w:pPr>
              <w:pStyle w:val="ARtablecolhead"/>
              <w:jc w:val="right"/>
            </w:pPr>
            <w:r w:rsidRPr="009D0B94">
              <w:t>Physical asset revaluation reserve</w:t>
            </w:r>
          </w:p>
          <w:p w14:paraId="1B08B5B7" w14:textId="77777777" w:rsidR="00F962BE" w:rsidRPr="009D0B94" w:rsidRDefault="00F962BE" w:rsidP="00CF2694">
            <w:pPr>
              <w:pStyle w:val="ARtablecolhead"/>
              <w:jc w:val="right"/>
            </w:pPr>
            <w:r w:rsidRPr="009D0B94">
              <w:t>$M</w:t>
            </w:r>
          </w:p>
        </w:tc>
        <w:tc>
          <w:tcPr>
            <w:tcW w:w="647" w:type="pct"/>
            <w:hideMark/>
          </w:tcPr>
          <w:p w14:paraId="382FDB7D" w14:textId="77777777" w:rsidR="00F962BE" w:rsidRPr="009D0B94" w:rsidRDefault="00F962BE" w:rsidP="00CF2694">
            <w:pPr>
              <w:pStyle w:val="ARtablecolhead"/>
              <w:jc w:val="right"/>
              <w:cnfStyle w:val="100000000000" w:firstRow="1" w:lastRow="0" w:firstColumn="0" w:lastColumn="0" w:oddVBand="0" w:evenVBand="0" w:oddHBand="0" w:evenHBand="0" w:firstRowFirstColumn="0" w:firstRowLastColumn="0" w:lastRowFirstColumn="0" w:lastRowLastColumn="0"/>
            </w:pPr>
            <w:r w:rsidRPr="00AA4BDD">
              <w:rPr>
                <w:spacing w:val="-4"/>
              </w:rPr>
              <w:t>Accumulated</w:t>
            </w:r>
            <w:r w:rsidRPr="009D0B94">
              <w:t xml:space="preserve"> surplus / (deficit)</w:t>
            </w:r>
          </w:p>
          <w:p w14:paraId="1F04121E" w14:textId="77777777" w:rsidR="00F962BE" w:rsidRPr="009D0B94" w:rsidRDefault="00F962BE" w:rsidP="00CF2694">
            <w:pPr>
              <w:pStyle w:val="ARtablecolhead"/>
              <w:jc w:val="right"/>
              <w:cnfStyle w:val="100000000000" w:firstRow="1" w:lastRow="0" w:firstColumn="0" w:lastColumn="0" w:oddVBand="0" w:evenVBand="0" w:oddHBand="0" w:evenHBand="0" w:firstRowFirstColumn="0" w:firstRowLastColumn="0" w:lastRowFirstColumn="0" w:lastRowLastColumn="0"/>
            </w:pPr>
            <w:r w:rsidRPr="009D0B94">
              <w:t>$M</w:t>
            </w:r>
          </w:p>
        </w:tc>
        <w:tc>
          <w:tcPr>
            <w:cnfStyle w:val="000001000000" w:firstRow="0" w:lastRow="0" w:firstColumn="0" w:lastColumn="0" w:oddVBand="0" w:evenVBand="1" w:oddHBand="0" w:evenHBand="0" w:firstRowFirstColumn="0" w:firstRowLastColumn="0" w:lastRowFirstColumn="0" w:lastRowLastColumn="0"/>
            <w:tcW w:w="647" w:type="pct"/>
            <w:hideMark/>
          </w:tcPr>
          <w:p w14:paraId="7A37DC37" w14:textId="77777777" w:rsidR="00F962BE" w:rsidRPr="009D0B94" w:rsidRDefault="00F962BE" w:rsidP="00CF2694">
            <w:pPr>
              <w:pStyle w:val="ARtablecolhead"/>
              <w:jc w:val="right"/>
            </w:pPr>
            <w:r w:rsidRPr="009D0B94">
              <w:t>Contributed capital</w:t>
            </w:r>
          </w:p>
          <w:p w14:paraId="4C082995" w14:textId="77777777" w:rsidR="00F962BE" w:rsidRPr="009D0B94" w:rsidRDefault="00F962BE" w:rsidP="00CF2694">
            <w:pPr>
              <w:pStyle w:val="ARtablecolhead"/>
              <w:jc w:val="right"/>
            </w:pPr>
            <w:r w:rsidRPr="009D0B94">
              <w:t>$M</w:t>
            </w:r>
          </w:p>
        </w:tc>
        <w:tc>
          <w:tcPr>
            <w:tcW w:w="647" w:type="pct"/>
            <w:hideMark/>
          </w:tcPr>
          <w:p w14:paraId="70301FDA" w14:textId="77777777" w:rsidR="00F962BE" w:rsidRPr="009D0B94" w:rsidRDefault="00F962BE" w:rsidP="00CF2694">
            <w:pPr>
              <w:pStyle w:val="ARtablecolhead"/>
              <w:jc w:val="right"/>
              <w:cnfStyle w:val="100000000000" w:firstRow="1" w:lastRow="0" w:firstColumn="0" w:lastColumn="0" w:oddVBand="0" w:evenVBand="0" w:oddHBand="0" w:evenHBand="0" w:firstRowFirstColumn="0" w:firstRowLastColumn="0" w:lastRowFirstColumn="0" w:lastRowLastColumn="0"/>
            </w:pPr>
            <w:r w:rsidRPr="009D0B94">
              <w:t>Total</w:t>
            </w:r>
          </w:p>
          <w:p w14:paraId="0142EF87" w14:textId="77777777" w:rsidR="00F962BE" w:rsidRPr="009D0B94" w:rsidRDefault="00F962BE" w:rsidP="00CF2694">
            <w:pPr>
              <w:pStyle w:val="ARtablecolhead"/>
              <w:jc w:val="right"/>
              <w:cnfStyle w:val="100000000000" w:firstRow="1" w:lastRow="0" w:firstColumn="0" w:lastColumn="0" w:oddVBand="0" w:evenVBand="0" w:oddHBand="0" w:evenHBand="0" w:firstRowFirstColumn="0" w:firstRowLastColumn="0" w:lastRowFirstColumn="0" w:lastRowLastColumn="0"/>
            </w:pPr>
            <w:r w:rsidRPr="009D0B94">
              <w:t>$M</w:t>
            </w:r>
          </w:p>
        </w:tc>
      </w:tr>
      <w:tr w:rsidR="00F962BE" w:rsidRPr="00FE39A1" w14:paraId="5A623A89" w14:textId="77777777" w:rsidTr="00023F5D">
        <w:trPr>
          <w:cnfStyle w:val="000000100000" w:firstRow="0" w:lastRow="0" w:firstColumn="0" w:lastColumn="0" w:oddVBand="0" w:evenVBand="0" w:oddHBand="1" w:evenHBand="0" w:firstRowFirstColumn="0" w:firstRowLastColumn="0" w:lastRowFirstColumn="0" w:lastRowLastColumn="0"/>
          <w:trHeight w:val="20"/>
        </w:trPr>
        <w:tc>
          <w:tcPr>
            <w:tcW w:w="2411" w:type="pct"/>
            <w:tcBorders>
              <w:top w:val="single" w:sz="4" w:space="0" w:color="000000" w:themeColor="text1"/>
              <w:bottom w:val="single" w:sz="4" w:space="0" w:color="000000" w:themeColor="text1"/>
            </w:tcBorders>
            <w:noWrap/>
            <w:hideMark/>
          </w:tcPr>
          <w:p w14:paraId="0FA2FD11" w14:textId="77777777" w:rsidR="00F962BE" w:rsidRPr="00FE39A1" w:rsidRDefault="00F962BE" w:rsidP="00023F5D">
            <w:pPr>
              <w:pStyle w:val="ARtabletextbold"/>
              <w:rPr>
                <w:lang w:eastAsia="en-AU"/>
              </w:rPr>
            </w:pPr>
            <w:r w:rsidRPr="00FE39A1">
              <w:rPr>
                <w:lang w:eastAsia="en-AU"/>
              </w:rPr>
              <w:t xml:space="preserve">Balance </w:t>
            </w:r>
            <w:proofErr w:type="gramStart"/>
            <w:r w:rsidRPr="00FE39A1">
              <w:rPr>
                <w:lang w:eastAsia="en-AU"/>
              </w:rPr>
              <w:t>at</w:t>
            </w:r>
            <w:proofErr w:type="gramEnd"/>
            <w:r w:rsidRPr="00FE39A1">
              <w:rPr>
                <w:lang w:eastAsia="en-AU"/>
              </w:rPr>
              <w:t xml:space="preserve"> </w:t>
            </w:r>
            <w:r>
              <w:rPr>
                <w:lang w:eastAsia="en-AU"/>
              </w:rPr>
              <w:t xml:space="preserve">30 June </w:t>
            </w:r>
            <w:r w:rsidRPr="00FE39A1">
              <w:rPr>
                <w:lang w:eastAsia="en-AU"/>
              </w:rPr>
              <w:t>2024</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bottom w:val="single" w:sz="4" w:space="0" w:color="000000" w:themeColor="text1"/>
            </w:tcBorders>
            <w:noWrap/>
            <w:hideMark/>
          </w:tcPr>
          <w:p w14:paraId="7AD325F3" w14:textId="77777777" w:rsidR="00F962BE" w:rsidRPr="00FE39A1" w:rsidRDefault="00F962BE" w:rsidP="00023F5D">
            <w:pPr>
              <w:pStyle w:val="ARtabletextbold"/>
              <w:jc w:val="right"/>
              <w:rPr>
                <w:lang w:eastAsia="en-AU"/>
              </w:rPr>
            </w:pPr>
            <w:r w:rsidRPr="00FE39A1">
              <w:rPr>
                <w:lang w:eastAsia="en-AU"/>
              </w:rPr>
              <w:t>8,479.2</w:t>
            </w:r>
          </w:p>
        </w:tc>
        <w:tc>
          <w:tcPr>
            <w:tcW w:w="647" w:type="pct"/>
            <w:tcBorders>
              <w:top w:val="single" w:sz="4" w:space="0" w:color="000000" w:themeColor="text1"/>
              <w:bottom w:val="single" w:sz="4" w:space="0" w:color="000000" w:themeColor="text1"/>
            </w:tcBorders>
            <w:noWrap/>
            <w:hideMark/>
          </w:tcPr>
          <w:p w14:paraId="1163E500" w14:textId="77777777" w:rsidR="00F962BE" w:rsidRPr="00FE39A1" w:rsidRDefault="00F962BE" w:rsidP="00023F5D">
            <w:pPr>
              <w:pStyle w:val="ARtabletextbold"/>
              <w:jc w:val="right"/>
              <w:cnfStyle w:val="000000100000" w:firstRow="0" w:lastRow="0" w:firstColumn="0" w:lastColumn="0" w:oddVBand="0" w:evenVBand="0" w:oddHBand="1" w:evenHBand="0" w:firstRowFirstColumn="0" w:firstRowLastColumn="0" w:lastRowFirstColumn="0" w:lastRowLastColumn="0"/>
              <w:rPr>
                <w:lang w:eastAsia="en-AU"/>
              </w:rPr>
            </w:pPr>
            <w:r w:rsidRPr="00FE39A1">
              <w:rPr>
                <w:lang w:eastAsia="en-AU"/>
              </w:rPr>
              <w:t>(291.1)</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bottom w:val="single" w:sz="4" w:space="0" w:color="000000" w:themeColor="text1"/>
            </w:tcBorders>
            <w:noWrap/>
            <w:hideMark/>
          </w:tcPr>
          <w:p w14:paraId="4054DF15" w14:textId="77777777" w:rsidR="00F962BE" w:rsidRPr="00FE39A1" w:rsidRDefault="00F962BE" w:rsidP="00023F5D">
            <w:pPr>
              <w:pStyle w:val="ARtabletextbold"/>
              <w:jc w:val="right"/>
              <w:rPr>
                <w:lang w:eastAsia="en-AU"/>
              </w:rPr>
            </w:pPr>
            <w:r w:rsidRPr="00FE39A1">
              <w:rPr>
                <w:lang w:eastAsia="en-AU"/>
              </w:rPr>
              <w:t>28,909.4</w:t>
            </w:r>
          </w:p>
        </w:tc>
        <w:tc>
          <w:tcPr>
            <w:tcW w:w="647" w:type="pct"/>
            <w:tcBorders>
              <w:top w:val="single" w:sz="4" w:space="0" w:color="000000" w:themeColor="text1"/>
              <w:bottom w:val="single" w:sz="4" w:space="0" w:color="000000" w:themeColor="text1"/>
            </w:tcBorders>
            <w:noWrap/>
            <w:hideMark/>
          </w:tcPr>
          <w:p w14:paraId="12FEF74F" w14:textId="77777777" w:rsidR="00F962BE" w:rsidRPr="00FE39A1" w:rsidRDefault="00F962BE" w:rsidP="00023F5D">
            <w:pPr>
              <w:pStyle w:val="ARtabletextbold"/>
              <w:jc w:val="right"/>
              <w:cnfStyle w:val="000000100000" w:firstRow="0" w:lastRow="0" w:firstColumn="0" w:lastColumn="0" w:oddVBand="0" w:evenVBand="0" w:oddHBand="1" w:evenHBand="0" w:firstRowFirstColumn="0" w:firstRowLastColumn="0" w:lastRowFirstColumn="0" w:lastRowLastColumn="0"/>
              <w:rPr>
                <w:lang w:eastAsia="en-AU"/>
              </w:rPr>
            </w:pPr>
            <w:r w:rsidRPr="00FE39A1">
              <w:rPr>
                <w:lang w:eastAsia="en-AU"/>
              </w:rPr>
              <w:t>37,097.5</w:t>
            </w:r>
          </w:p>
        </w:tc>
      </w:tr>
      <w:tr w:rsidR="00F962BE" w:rsidRPr="00FE39A1" w14:paraId="5E7EC3B5" w14:textId="77777777" w:rsidTr="00023F5D">
        <w:trPr>
          <w:cnfStyle w:val="000000010000" w:firstRow="0" w:lastRow="0" w:firstColumn="0" w:lastColumn="0" w:oddVBand="0" w:evenVBand="0" w:oddHBand="0" w:evenHBand="1" w:firstRowFirstColumn="0" w:firstRowLastColumn="0" w:lastRowFirstColumn="0" w:lastRowLastColumn="0"/>
          <w:trHeight w:val="20"/>
        </w:trPr>
        <w:tc>
          <w:tcPr>
            <w:tcW w:w="2411" w:type="pct"/>
            <w:tcBorders>
              <w:top w:val="single" w:sz="4" w:space="0" w:color="000000" w:themeColor="text1"/>
            </w:tcBorders>
            <w:noWrap/>
            <w:hideMark/>
          </w:tcPr>
          <w:p w14:paraId="056C7363" w14:textId="77777777" w:rsidR="00F962BE" w:rsidRPr="00FE39A1" w:rsidRDefault="00F962BE" w:rsidP="00023F5D">
            <w:pPr>
              <w:pStyle w:val="ARTabletext"/>
              <w:rPr>
                <w:lang w:eastAsia="en-AU"/>
              </w:rPr>
            </w:pPr>
            <w:r w:rsidRPr="00FE39A1">
              <w:rPr>
                <w:lang w:eastAsia="en-AU"/>
              </w:rPr>
              <w:t>Net result for the year</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tcBorders>
            <w:noWrap/>
            <w:hideMark/>
          </w:tcPr>
          <w:p w14:paraId="2C9359BC" w14:textId="77777777" w:rsidR="00F962BE" w:rsidRPr="00616542" w:rsidRDefault="00F962BE" w:rsidP="00023F5D">
            <w:pPr>
              <w:pStyle w:val="ARTabletext"/>
              <w:jc w:val="right"/>
            </w:pPr>
            <w:r w:rsidRPr="00616542">
              <w:t>–</w:t>
            </w:r>
          </w:p>
        </w:tc>
        <w:tc>
          <w:tcPr>
            <w:tcW w:w="647" w:type="pct"/>
            <w:tcBorders>
              <w:top w:val="single" w:sz="4" w:space="0" w:color="000000" w:themeColor="text1"/>
            </w:tcBorders>
            <w:noWrap/>
            <w:hideMark/>
          </w:tcPr>
          <w:p w14:paraId="2BE640B0" w14:textId="77777777" w:rsidR="00F962BE" w:rsidRPr="00616542" w:rsidRDefault="00F962BE" w:rsidP="00023F5D">
            <w:pPr>
              <w:pStyle w:val="ARTabletext"/>
              <w:jc w:val="right"/>
              <w:cnfStyle w:val="000000010000" w:firstRow="0" w:lastRow="0" w:firstColumn="0" w:lastColumn="0" w:oddVBand="0" w:evenVBand="0" w:oddHBand="0" w:evenHBand="1" w:firstRowFirstColumn="0" w:firstRowLastColumn="0" w:lastRowFirstColumn="0" w:lastRowLastColumn="0"/>
            </w:pPr>
            <w:r w:rsidRPr="00616542">
              <w:t>(359.7)</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tcBorders>
            <w:noWrap/>
            <w:hideMark/>
          </w:tcPr>
          <w:p w14:paraId="3B4C6D0A" w14:textId="77777777" w:rsidR="00F962BE" w:rsidRPr="00616542" w:rsidRDefault="00F962BE" w:rsidP="00023F5D">
            <w:pPr>
              <w:pStyle w:val="ARTabletext"/>
              <w:jc w:val="right"/>
            </w:pPr>
            <w:r w:rsidRPr="00616542">
              <w:t>–</w:t>
            </w:r>
          </w:p>
        </w:tc>
        <w:tc>
          <w:tcPr>
            <w:tcW w:w="647" w:type="pct"/>
            <w:tcBorders>
              <w:top w:val="single" w:sz="4" w:space="0" w:color="000000" w:themeColor="text1"/>
            </w:tcBorders>
            <w:noWrap/>
            <w:hideMark/>
          </w:tcPr>
          <w:p w14:paraId="7DFFEEF2" w14:textId="77777777" w:rsidR="00F962BE" w:rsidRPr="00616542" w:rsidRDefault="00F962BE" w:rsidP="00023F5D">
            <w:pPr>
              <w:pStyle w:val="ARTabletext"/>
              <w:jc w:val="right"/>
              <w:cnfStyle w:val="000000010000" w:firstRow="0" w:lastRow="0" w:firstColumn="0" w:lastColumn="0" w:oddVBand="0" w:evenVBand="0" w:oddHBand="0" w:evenHBand="1" w:firstRowFirstColumn="0" w:firstRowLastColumn="0" w:lastRowFirstColumn="0" w:lastRowLastColumn="0"/>
            </w:pPr>
            <w:r w:rsidRPr="00616542">
              <w:t>(359.7)</w:t>
            </w:r>
          </w:p>
        </w:tc>
      </w:tr>
      <w:tr w:rsidR="00F962BE" w:rsidRPr="00FE39A1" w14:paraId="49C7EBDA" w14:textId="77777777" w:rsidTr="00023F5D">
        <w:trPr>
          <w:cnfStyle w:val="000000100000" w:firstRow="0" w:lastRow="0" w:firstColumn="0" w:lastColumn="0" w:oddVBand="0" w:evenVBand="0" w:oddHBand="1" w:evenHBand="0" w:firstRowFirstColumn="0" w:firstRowLastColumn="0" w:lastRowFirstColumn="0" w:lastRowLastColumn="0"/>
          <w:trHeight w:val="20"/>
        </w:trPr>
        <w:tc>
          <w:tcPr>
            <w:tcW w:w="2411" w:type="pct"/>
            <w:noWrap/>
          </w:tcPr>
          <w:p w14:paraId="4026D218" w14:textId="77777777" w:rsidR="00F962BE" w:rsidRPr="00FE39A1" w:rsidRDefault="00F962BE" w:rsidP="00023F5D">
            <w:pPr>
              <w:pStyle w:val="ARTabletext"/>
              <w:rPr>
                <w:lang w:eastAsia="en-AU"/>
              </w:rPr>
            </w:pPr>
            <w:r w:rsidRPr="00FE39A1">
              <w:rPr>
                <w:lang w:eastAsia="en-AU"/>
              </w:rPr>
              <w:t>Remeasurement of superannuation defined benefit plans</w:t>
            </w:r>
          </w:p>
        </w:tc>
        <w:tc>
          <w:tcPr>
            <w:cnfStyle w:val="000001000000" w:firstRow="0" w:lastRow="0" w:firstColumn="0" w:lastColumn="0" w:oddVBand="0" w:evenVBand="1" w:oddHBand="0" w:evenHBand="0" w:firstRowFirstColumn="0" w:firstRowLastColumn="0" w:lastRowFirstColumn="0" w:lastRowLastColumn="0"/>
            <w:tcW w:w="647" w:type="pct"/>
            <w:noWrap/>
          </w:tcPr>
          <w:p w14:paraId="2C56A64E" w14:textId="77777777" w:rsidR="00F962BE" w:rsidRPr="00616542" w:rsidRDefault="00F962BE" w:rsidP="00023F5D">
            <w:pPr>
              <w:pStyle w:val="ARTabletext"/>
              <w:jc w:val="right"/>
            </w:pPr>
            <w:r w:rsidRPr="00616542">
              <w:t>–</w:t>
            </w:r>
          </w:p>
        </w:tc>
        <w:tc>
          <w:tcPr>
            <w:tcW w:w="647" w:type="pct"/>
            <w:noWrap/>
          </w:tcPr>
          <w:p w14:paraId="1336D209" w14:textId="77777777" w:rsidR="00F962BE" w:rsidRPr="00616542" w:rsidRDefault="00F962BE" w:rsidP="00023F5D">
            <w:pPr>
              <w:pStyle w:val="ARTabletext"/>
              <w:jc w:val="right"/>
              <w:cnfStyle w:val="000000100000" w:firstRow="0" w:lastRow="0" w:firstColumn="0" w:lastColumn="0" w:oddVBand="0" w:evenVBand="0" w:oddHBand="1" w:evenHBand="0" w:firstRowFirstColumn="0" w:firstRowLastColumn="0" w:lastRowFirstColumn="0" w:lastRowLastColumn="0"/>
            </w:pPr>
            <w:r w:rsidRPr="00616542">
              <w:t>(1.2)</w:t>
            </w:r>
          </w:p>
        </w:tc>
        <w:tc>
          <w:tcPr>
            <w:cnfStyle w:val="000001000000" w:firstRow="0" w:lastRow="0" w:firstColumn="0" w:lastColumn="0" w:oddVBand="0" w:evenVBand="1" w:oddHBand="0" w:evenHBand="0" w:firstRowFirstColumn="0" w:firstRowLastColumn="0" w:lastRowFirstColumn="0" w:lastRowLastColumn="0"/>
            <w:tcW w:w="647" w:type="pct"/>
            <w:noWrap/>
          </w:tcPr>
          <w:p w14:paraId="392452A0" w14:textId="77777777" w:rsidR="00F962BE" w:rsidRPr="00616542" w:rsidRDefault="00F962BE" w:rsidP="00023F5D">
            <w:pPr>
              <w:pStyle w:val="ARTabletext"/>
              <w:jc w:val="right"/>
            </w:pPr>
            <w:r w:rsidRPr="00616542">
              <w:t>–</w:t>
            </w:r>
          </w:p>
        </w:tc>
        <w:tc>
          <w:tcPr>
            <w:tcW w:w="647" w:type="pct"/>
            <w:noWrap/>
          </w:tcPr>
          <w:p w14:paraId="4182962C" w14:textId="77777777" w:rsidR="00F962BE" w:rsidRPr="00616542" w:rsidRDefault="00F962BE" w:rsidP="00023F5D">
            <w:pPr>
              <w:pStyle w:val="ARTabletext"/>
              <w:jc w:val="right"/>
              <w:cnfStyle w:val="000000100000" w:firstRow="0" w:lastRow="0" w:firstColumn="0" w:lastColumn="0" w:oddVBand="0" w:evenVBand="0" w:oddHBand="1" w:evenHBand="0" w:firstRowFirstColumn="0" w:firstRowLastColumn="0" w:lastRowFirstColumn="0" w:lastRowLastColumn="0"/>
            </w:pPr>
            <w:r w:rsidRPr="00616542">
              <w:t>(1.2)</w:t>
            </w:r>
          </w:p>
        </w:tc>
      </w:tr>
      <w:tr w:rsidR="00F962BE" w:rsidRPr="00FE39A1" w14:paraId="14881BAB" w14:textId="77777777" w:rsidTr="00023F5D">
        <w:trPr>
          <w:cnfStyle w:val="000000010000" w:firstRow="0" w:lastRow="0" w:firstColumn="0" w:lastColumn="0" w:oddVBand="0" w:evenVBand="0" w:oddHBand="0" w:evenHBand="1" w:firstRowFirstColumn="0" w:firstRowLastColumn="0" w:lastRowFirstColumn="0" w:lastRowLastColumn="0"/>
          <w:trHeight w:val="20"/>
        </w:trPr>
        <w:tc>
          <w:tcPr>
            <w:tcW w:w="2411" w:type="pct"/>
            <w:tcBorders>
              <w:bottom w:val="single" w:sz="4" w:space="0" w:color="BFBFBF" w:themeColor="accent2"/>
            </w:tcBorders>
            <w:noWrap/>
            <w:hideMark/>
          </w:tcPr>
          <w:p w14:paraId="15AFEA2E" w14:textId="77777777" w:rsidR="00F962BE" w:rsidRPr="00FE39A1" w:rsidRDefault="00F962BE" w:rsidP="00023F5D">
            <w:pPr>
              <w:pStyle w:val="ARTabletext"/>
              <w:rPr>
                <w:lang w:eastAsia="en-AU"/>
              </w:rPr>
            </w:pPr>
            <w:r w:rsidRPr="00FE39A1">
              <w:rPr>
                <w:lang w:eastAsia="en-AU"/>
              </w:rPr>
              <w:t>Changes in physical asset revaluation surplus</w:t>
            </w:r>
          </w:p>
        </w:tc>
        <w:tc>
          <w:tcPr>
            <w:cnfStyle w:val="000001000000" w:firstRow="0" w:lastRow="0" w:firstColumn="0" w:lastColumn="0" w:oddVBand="0" w:evenVBand="1" w:oddHBand="0" w:evenHBand="0" w:firstRowFirstColumn="0" w:firstRowLastColumn="0" w:lastRowFirstColumn="0" w:lastRowLastColumn="0"/>
            <w:tcW w:w="647" w:type="pct"/>
            <w:tcBorders>
              <w:bottom w:val="single" w:sz="4" w:space="0" w:color="BFBFBF" w:themeColor="accent2"/>
            </w:tcBorders>
            <w:noWrap/>
            <w:hideMark/>
          </w:tcPr>
          <w:p w14:paraId="18B7B457" w14:textId="77777777" w:rsidR="00F962BE" w:rsidRPr="00616542" w:rsidRDefault="00F962BE" w:rsidP="00023F5D">
            <w:pPr>
              <w:pStyle w:val="ARTabletext"/>
              <w:jc w:val="right"/>
            </w:pPr>
            <w:r w:rsidRPr="00616542">
              <w:t>4.2</w:t>
            </w:r>
          </w:p>
        </w:tc>
        <w:tc>
          <w:tcPr>
            <w:tcW w:w="647" w:type="pct"/>
            <w:tcBorders>
              <w:bottom w:val="single" w:sz="4" w:space="0" w:color="BFBFBF" w:themeColor="accent2"/>
            </w:tcBorders>
            <w:noWrap/>
            <w:hideMark/>
          </w:tcPr>
          <w:p w14:paraId="5A8E27F9" w14:textId="77777777" w:rsidR="00F962BE" w:rsidRPr="00616542" w:rsidRDefault="00F962BE" w:rsidP="00023F5D">
            <w:pPr>
              <w:pStyle w:val="ARTabletext"/>
              <w:jc w:val="right"/>
              <w:cnfStyle w:val="000000010000" w:firstRow="0" w:lastRow="0" w:firstColumn="0" w:lastColumn="0" w:oddVBand="0" w:evenVBand="0" w:oddHBand="0" w:evenHBand="1" w:firstRowFirstColumn="0" w:firstRowLastColumn="0" w:lastRowFirstColumn="0" w:lastRowLastColumn="0"/>
            </w:pPr>
            <w:r w:rsidRPr="00616542">
              <w:t>–</w:t>
            </w:r>
          </w:p>
        </w:tc>
        <w:tc>
          <w:tcPr>
            <w:cnfStyle w:val="000001000000" w:firstRow="0" w:lastRow="0" w:firstColumn="0" w:lastColumn="0" w:oddVBand="0" w:evenVBand="1" w:oddHBand="0" w:evenHBand="0" w:firstRowFirstColumn="0" w:firstRowLastColumn="0" w:lastRowFirstColumn="0" w:lastRowLastColumn="0"/>
            <w:tcW w:w="647" w:type="pct"/>
            <w:tcBorders>
              <w:bottom w:val="single" w:sz="4" w:space="0" w:color="BFBFBF" w:themeColor="accent2"/>
            </w:tcBorders>
            <w:noWrap/>
            <w:hideMark/>
          </w:tcPr>
          <w:p w14:paraId="1AA06868" w14:textId="77777777" w:rsidR="00F962BE" w:rsidRPr="00616542" w:rsidRDefault="00F962BE" w:rsidP="00023F5D">
            <w:pPr>
              <w:pStyle w:val="ARTabletext"/>
              <w:jc w:val="right"/>
            </w:pPr>
            <w:r w:rsidRPr="00616542">
              <w:t>–</w:t>
            </w:r>
          </w:p>
        </w:tc>
        <w:tc>
          <w:tcPr>
            <w:tcW w:w="647" w:type="pct"/>
            <w:tcBorders>
              <w:bottom w:val="single" w:sz="4" w:space="0" w:color="BFBFBF" w:themeColor="accent2"/>
            </w:tcBorders>
            <w:noWrap/>
            <w:hideMark/>
          </w:tcPr>
          <w:p w14:paraId="16D2154E" w14:textId="77777777" w:rsidR="00F962BE" w:rsidRPr="00616542" w:rsidRDefault="00F962BE" w:rsidP="00023F5D">
            <w:pPr>
              <w:pStyle w:val="ARTabletext"/>
              <w:jc w:val="right"/>
              <w:cnfStyle w:val="000000010000" w:firstRow="0" w:lastRow="0" w:firstColumn="0" w:lastColumn="0" w:oddVBand="0" w:evenVBand="0" w:oddHBand="0" w:evenHBand="1" w:firstRowFirstColumn="0" w:firstRowLastColumn="0" w:lastRowFirstColumn="0" w:lastRowLastColumn="0"/>
            </w:pPr>
            <w:r w:rsidRPr="00616542">
              <w:t>4.2</w:t>
            </w:r>
          </w:p>
        </w:tc>
      </w:tr>
      <w:tr w:rsidR="00F962BE" w:rsidRPr="00FE39A1" w14:paraId="14CD6FAC" w14:textId="77777777" w:rsidTr="00023F5D">
        <w:trPr>
          <w:cnfStyle w:val="000000100000" w:firstRow="0" w:lastRow="0" w:firstColumn="0" w:lastColumn="0" w:oddVBand="0" w:evenVBand="0" w:oddHBand="1" w:evenHBand="0" w:firstRowFirstColumn="0" w:firstRowLastColumn="0" w:lastRowFirstColumn="0" w:lastRowLastColumn="0"/>
          <w:trHeight w:val="20"/>
        </w:trPr>
        <w:tc>
          <w:tcPr>
            <w:tcW w:w="2411" w:type="pct"/>
            <w:tcBorders>
              <w:top w:val="single" w:sz="4" w:space="0" w:color="BFBFBF" w:themeColor="accent2"/>
              <w:bottom w:val="single" w:sz="4" w:space="0" w:color="000000" w:themeColor="text1"/>
            </w:tcBorders>
            <w:noWrap/>
          </w:tcPr>
          <w:p w14:paraId="449A29CA" w14:textId="77777777" w:rsidR="00F962BE" w:rsidRPr="00FE39A1" w:rsidRDefault="00F962BE" w:rsidP="00023F5D">
            <w:pPr>
              <w:pStyle w:val="ARTabletext"/>
              <w:rPr>
                <w:b/>
                <w:bCs/>
                <w:lang w:eastAsia="en-AU"/>
              </w:rPr>
            </w:pPr>
            <w:r w:rsidRPr="00FE39A1">
              <w:rPr>
                <w:lang w:eastAsia="en-AU"/>
              </w:rPr>
              <w:t>Capital contribution by Victorian State Government</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BFBFBF" w:themeColor="accent2"/>
              <w:bottom w:val="single" w:sz="4" w:space="0" w:color="000000" w:themeColor="text1"/>
            </w:tcBorders>
            <w:noWrap/>
          </w:tcPr>
          <w:p w14:paraId="69420CD6" w14:textId="77777777" w:rsidR="00F962BE" w:rsidRPr="00616542" w:rsidRDefault="00F962BE" w:rsidP="00023F5D">
            <w:pPr>
              <w:pStyle w:val="ARTabletext"/>
              <w:jc w:val="right"/>
            </w:pPr>
            <w:r w:rsidRPr="00616542">
              <w:t>–</w:t>
            </w:r>
          </w:p>
        </w:tc>
        <w:tc>
          <w:tcPr>
            <w:tcW w:w="647" w:type="pct"/>
            <w:tcBorders>
              <w:top w:val="single" w:sz="4" w:space="0" w:color="BFBFBF" w:themeColor="accent2"/>
              <w:bottom w:val="single" w:sz="4" w:space="0" w:color="000000" w:themeColor="text1"/>
            </w:tcBorders>
            <w:noWrap/>
          </w:tcPr>
          <w:p w14:paraId="25F36182" w14:textId="77777777" w:rsidR="00F962BE" w:rsidRPr="00616542" w:rsidRDefault="00F962BE" w:rsidP="00023F5D">
            <w:pPr>
              <w:pStyle w:val="ARTabletext"/>
              <w:jc w:val="right"/>
              <w:cnfStyle w:val="000000100000" w:firstRow="0" w:lastRow="0" w:firstColumn="0" w:lastColumn="0" w:oddVBand="0" w:evenVBand="0" w:oddHBand="1" w:evenHBand="0" w:firstRowFirstColumn="0" w:firstRowLastColumn="0" w:lastRowFirstColumn="0" w:lastRowLastColumn="0"/>
            </w:pPr>
            <w:r w:rsidRPr="00616542">
              <w:t>–</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BFBFBF" w:themeColor="accent2"/>
              <w:bottom w:val="single" w:sz="4" w:space="0" w:color="000000" w:themeColor="text1"/>
            </w:tcBorders>
            <w:noWrap/>
          </w:tcPr>
          <w:p w14:paraId="04F0840F" w14:textId="77777777" w:rsidR="00F962BE" w:rsidRPr="00616542" w:rsidRDefault="00F962BE" w:rsidP="00023F5D">
            <w:pPr>
              <w:pStyle w:val="ARTabletext"/>
              <w:jc w:val="right"/>
            </w:pPr>
            <w:r w:rsidRPr="00616542">
              <w:t>1,041.6</w:t>
            </w:r>
          </w:p>
        </w:tc>
        <w:tc>
          <w:tcPr>
            <w:tcW w:w="647" w:type="pct"/>
            <w:tcBorders>
              <w:top w:val="single" w:sz="4" w:space="0" w:color="BFBFBF" w:themeColor="accent2"/>
              <w:bottom w:val="single" w:sz="4" w:space="0" w:color="000000" w:themeColor="text1"/>
            </w:tcBorders>
            <w:noWrap/>
          </w:tcPr>
          <w:p w14:paraId="1A06E009" w14:textId="77777777" w:rsidR="00F962BE" w:rsidRPr="00616542" w:rsidRDefault="00F962BE" w:rsidP="00023F5D">
            <w:pPr>
              <w:pStyle w:val="ARTabletext"/>
              <w:jc w:val="right"/>
              <w:cnfStyle w:val="000000100000" w:firstRow="0" w:lastRow="0" w:firstColumn="0" w:lastColumn="0" w:oddVBand="0" w:evenVBand="0" w:oddHBand="1" w:evenHBand="0" w:firstRowFirstColumn="0" w:firstRowLastColumn="0" w:lastRowFirstColumn="0" w:lastRowLastColumn="0"/>
            </w:pPr>
            <w:r w:rsidRPr="00616542">
              <w:t>1,041.6</w:t>
            </w:r>
          </w:p>
        </w:tc>
      </w:tr>
      <w:tr w:rsidR="00F962BE" w:rsidRPr="00FE39A1" w14:paraId="7DE886CF" w14:textId="77777777" w:rsidTr="00023F5D">
        <w:trPr>
          <w:cnfStyle w:val="000000010000" w:firstRow="0" w:lastRow="0" w:firstColumn="0" w:lastColumn="0" w:oddVBand="0" w:evenVBand="0" w:oddHBand="0" w:evenHBand="1" w:firstRowFirstColumn="0" w:firstRowLastColumn="0" w:lastRowFirstColumn="0" w:lastRowLastColumn="0"/>
          <w:trHeight w:val="20"/>
        </w:trPr>
        <w:tc>
          <w:tcPr>
            <w:tcW w:w="2411" w:type="pct"/>
            <w:tcBorders>
              <w:top w:val="single" w:sz="4" w:space="0" w:color="000000" w:themeColor="text1"/>
              <w:bottom w:val="single" w:sz="4" w:space="0" w:color="000000" w:themeColor="text1"/>
            </w:tcBorders>
            <w:noWrap/>
            <w:hideMark/>
          </w:tcPr>
          <w:p w14:paraId="2841C804" w14:textId="77777777" w:rsidR="00F962BE" w:rsidRPr="00FE39A1" w:rsidRDefault="00F962BE" w:rsidP="00023F5D">
            <w:pPr>
              <w:pStyle w:val="ARtabletextbold"/>
              <w:rPr>
                <w:lang w:eastAsia="en-AU"/>
              </w:rPr>
            </w:pPr>
            <w:r w:rsidRPr="00FE39A1">
              <w:rPr>
                <w:lang w:eastAsia="en-AU"/>
              </w:rPr>
              <w:t xml:space="preserve">Balance </w:t>
            </w:r>
            <w:proofErr w:type="gramStart"/>
            <w:r w:rsidRPr="00FE39A1">
              <w:rPr>
                <w:lang w:eastAsia="en-AU"/>
              </w:rPr>
              <w:t>at</w:t>
            </w:r>
            <w:proofErr w:type="gramEnd"/>
            <w:r w:rsidRPr="00FE39A1">
              <w:rPr>
                <w:lang w:eastAsia="en-AU"/>
              </w:rPr>
              <w:t xml:space="preserve"> 30 June 2025</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bottom w:val="single" w:sz="4" w:space="0" w:color="000000" w:themeColor="text1"/>
            </w:tcBorders>
            <w:noWrap/>
            <w:hideMark/>
          </w:tcPr>
          <w:p w14:paraId="7EA31392" w14:textId="77777777" w:rsidR="00F962BE" w:rsidRPr="00FE39A1" w:rsidRDefault="00F962BE" w:rsidP="00023F5D">
            <w:pPr>
              <w:pStyle w:val="ARtabletextbold"/>
              <w:jc w:val="right"/>
              <w:rPr>
                <w:lang w:eastAsia="en-AU"/>
              </w:rPr>
            </w:pPr>
            <w:r w:rsidRPr="00FE39A1">
              <w:rPr>
                <w:lang w:eastAsia="en-AU"/>
              </w:rPr>
              <w:t>8,483.4</w:t>
            </w:r>
          </w:p>
        </w:tc>
        <w:tc>
          <w:tcPr>
            <w:tcW w:w="647" w:type="pct"/>
            <w:tcBorders>
              <w:top w:val="single" w:sz="4" w:space="0" w:color="000000" w:themeColor="text1"/>
              <w:bottom w:val="single" w:sz="4" w:space="0" w:color="000000" w:themeColor="text1"/>
            </w:tcBorders>
            <w:noWrap/>
            <w:hideMark/>
          </w:tcPr>
          <w:p w14:paraId="5132CB3D" w14:textId="77777777" w:rsidR="00F962BE" w:rsidRPr="00FE39A1" w:rsidRDefault="00F962BE" w:rsidP="00023F5D">
            <w:pPr>
              <w:pStyle w:val="ARtabletextbold"/>
              <w:jc w:val="right"/>
              <w:cnfStyle w:val="000000010000" w:firstRow="0" w:lastRow="0" w:firstColumn="0" w:lastColumn="0" w:oddVBand="0" w:evenVBand="0" w:oddHBand="0" w:evenHBand="1" w:firstRowFirstColumn="0" w:firstRowLastColumn="0" w:lastRowFirstColumn="0" w:lastRowLastColumn="0"/>
              <w:rPr>
                <w:lang w:eastAsia="en-AU"/>
              </w:rPr>
            </w:pPr>
            <w:r w:rsidRPr="00FE39A1">
              <w:rPr>
                <w:lang w:eastAsia="en-AU"/>
              </w:rPr>
              <w:t>(652.0)</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bottom w:val="single" w:sz="4" w:space="0" w:color="000000" w:themeColor="text1"/>
            </w:tcBorders>
            <w:noWrap/>
            <w:hideMark/>
          </w:tcPr>
          <w:p w14:paraId="24ABBF19" w14:textId="77777777" w:rsidR="00F962BE" w:rsidRPr="00FE39A1" w:rsidRDefault="00F962BE" w:rsidP="00023F5D">
            <w:pPr>
              <w:pStyle w:val="ARtabletextbold"/>
              <w:jc w:val="right"/>
              <w:rPr>
                <w:lang w:eastAsia="en-AU"/>
              </w:rPr>
            </w:pPr>
            <w:r w:rsidRPr="00FE39A1">
              <w:rPr>
                <w:lang w:eastAsia="en-AU"/>
              </w:rPr>
              <w:t>29,951.0</w:t>
            </w:r>
          </w:p>
        </w:tc>
        <w:tc>
          <w:tcPr>
            <w:tcW w:w="647" w:type="pct"/>
            <w:tcBorders>
              <w:top w:val="single" w:sz="4" w:space="0" w:color="000000" w:themeColor="text1"/>
              <w:bottom w:val="single" w:sz="4" w:space="0" w:color="000000" w:themeColor="text1"/>
            </w:tcBorders>
            <w:noWrap/>
            <w:hideMark/>
          </w:tcPr>
          <w:p w14:paraId="6BCEF70C" w14:textId="77777777" w:rsidR="00F962BE" w:rsidRPr="00FE39A1" w:rsidRDefault="00F962BE" w:rsidP="00023F5D">
            <w:pPr>
              <w:pStyle w:val="ARtabletextbold"/>
              <w:jc w:val="right"/>
              <w:cnfStyle w:val="000000010000" w:firstRow="0" w:lastRow="0" w:firstColumn="0" w:lastColumn="0" w:oddVBand="0" w:evenVBand="0" w:oddHBand="0" w:evenHBand="1" w:firstRowFirstColumn="0" w:firstRowLastColumn="0" w:lastRowFirstColumn="0" w:lastRowLastColumn="0"/>
              <w:rPr>
                <w:lang w:eastAsia="en-AU"/>
              </w:rPr>
            </w:pPr>
            <w:r w:rsidRPr="00FE39A1">
              <w:rPr>
                <w:lang w:eastAsia="en-AU"/>
              </w:rPr>
              <w:t>37,782.4</w:t>
            </w:r>
          </w:p>
        </w:tc>
      </w:tr>
      <w:tr w:rsidR="00F962BE" w:rsidRPr="00FE39A1" w14:paraId="17275657" w14:textId="77777777" w:rsidTr="00023F5D">
        <w:trPr>
          <w:cnfStyle w:val="000000100000" w:firstRow="0" w:lastRow="0" w:firstColumn="0" w:lastColumn="0" w:oddVBand="0" w:evenVBand="0" w:oddHBand="1" w:evenHBand="0" w:firstRowFirstColumn="0" w:firstRowLastColumn="0" w:lastRowFirstColumn="0" w:lastRowLastColumn="0"/>
          <w:trHeight w:val="20"/>
        </w:trPr>
        <w:tc>
          <w:tcPr>
            <w:tcW w:w="2411" w:type="pct"/>
            <w:tcBorders>
              <w:top w:val="single" w:sz="4" w:space="0" w:color="000000" w:themeColor="text1"/>
            </w:tcBorders>
            <w:noWrap/>
            <w:hideMark/>
          </w:tcPr>
          <w:p w14:paraId="5C88B25A" w14:textId="77777777" w:rsidR="00F962BE" w:rsidRPr="00FE39A1" w:rsidRDefault="00F962BE" w:rsidP="00023F5D">
            <w:pPr>
              <w:pStyle w:val="ARTabletext"/>
              <w:rPr>
                <w:lang w:eastAsia="en-AU"/>
              </w:rPr>
            </w:pPr>
            <w:r w:rsidRPr="00FE39A1">
              <w:rPr>
                <w:lang w:eastAsia="en-AU"/>
              </w:rPr>
              <w:t>Adjustment</w:t>
            </w:r>
            <w:r w:rsidRPr="00FE39A1">
              <w:rPr>
                <w:vertAlign w:val="superscript"/>
                <w:lang w:eastAsia="en-AU"/>
              </w:rPr>
              <w:t>(</w:t>
            </w:r>
            <w:proofErr w:type="spellStart"/>
            <w:r w:rsidRPr="00FE39A1">
              <w:rPr>
                <w:vertAlign w:val="superscript"/>
                <w:lang w:eastAsia="en-AU"/>
              </w:rPr>
              <w:t>i</w:t>
            </w:r>
            <w:proofErr w:type="spellEnd"/>
            <w:r w:rsidRPr="00FE39A1">
              <w:rPr>
                <w:vertAlign w:val="superscript"/>
                <w:lang w:eastAsia="en-AU"/>
              </w:rPr>
              <w:t>)</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tcBorders>
            <w:noWrap/>
            <w:hideMark/>
          </w:tcPr>
          <w:p w14:paraId="032F09FB" w14:textId="77777777" w:rsidR="00F962BE" w:rsidRPr="00616542" w:rsidRDefault="00F962BE" w:rsidP="00023F5D">
            <w:pPr>
              <w:pStyle w:val="ARTabletext"/>
              <w:jc w:val="right"/>
            </w:pPr>
            <w:r w:rsidRPr="00616542">
              <w:t>–</w:t>
            </w:r>
          </w:p>
        </w:tc>
        <w:tc>
          <w:tcPr>
            <w:tcW w:w="647" w:type="pct"/>
            <w:tcBorders>
              <w:top w:val="single" w:sz="4" w:space="0" w:color="000000" w:themeColor="text1"/>
            </w:tcBorders>
            <w:noWrap/>
            <w:hideMark/>
          </w:tcPr>
          <w:p w14:paraId="3E9E8926" w14:textId="77777777" w:rsidR="00F962BE" w:rsidRPr="00616542" w:rsidRDefault="00F962BE" w:rsidP="00023F5D">
            <w:pPr>
              <w:pStyle w:val="ARTabletext"/>
              <w:jc w:val="right"/>
              <w:cnfStyle w:val="000000100000" w:firstRow="0" w:lastRow="0" w:firstColumn="0" w:lastColumn="0" w:oddVBand="0" w:evenVBand="0" w:oddHBand="1" w:evenHBand="0" w:firstRowFirstColumn="0" w:firstRowLastColumn="0" w:lastRowFirstColumn="0" w:lastRowLastColumn="0"/>
            </w:pPr>
            <w:r w:rsidRPr="00616542">
              <w:t>54.7</w:t>
            </w:r>
          </w:p>
        </w:tc>
        <w:tc>
          <w:tcPr>
            <w:cnfStyle w:val="000001000000" w:firstRow="0" w:lastRow="0" w:firstColumn="0" w:lastColumn="0" w:oddVBand="0" w:evenVBand="1" w:oddHBand="0" w:evenHBand="0" w:firstRowFirstColumn="0" w:firstRowLastColumn="0" w:lastRowFirstColumn="0" w:lastRowLastColumn="0"/>
            <w:tcW w:w="647" w:type="pct"/>
            <w:tcBorders>
              <w:top w:val="single" w:sz="4" w:space="0" w:color="000000" w:themeColor="text1"/>
            </w:tcBorders>
            <w:noWrap/>
            <w:hideMark/>
          </w:tcPr>
          <w:p w14:paraId="63003BAA" w14:textId="77777777" w:rsidR="00F962BE" w:rsidRPr="00616542" w:rsidRDefault="00F962BE" w:rsidP="00023F5D">
            <w:pPr>
              <w:pStyle w:val="ARTabletext"/>
              <w:jc w:val="right"/>
            </w:pPr>
            <w:r w:rsidRPr="00616542">
              <w:t>–</w:t>
            </w:r>
          </w:p>
        </w:tc>
        <w:tc>
          <w:tcPr>
            <w:tcW w:w="647" w:type="pct"/>
            <w:tcBorders>
              <w:top w:val="single" w:sz="4" w:space="0" w:color="000000" w:themeColor="text1"/>
            </w:tcBorders>
            <w:noWrap/>
            <w:hideMark/>
          </w:tcPr>
          <w:p w14:paraId="1AFDD6D4" w14:textId="77777777" w:rsidR="00F962BE" w:rsidRPr="00616542" w:rsidRDefault="00F962BE" w:rsidP="00023F5D">
            <w:pPr>
              <w:pStyle w:val="ARTabletext"/>
              <w:jc w:val="right"/>
              <w:cnfStyle w:val="000000100000" w:firstRow="0" w:lastRow="0" w:firstColumn="0" w:lastColumn="0" w:oddVBand="0" w:evenVBand="0" w:oddHBand="1" w:evenHBand="0" w:firstRowFirstColumn="0" w:firstRowLastColumn="0" w:lastRowFirstColumn="0" w:lastRowLastColumn="0"/>
            </w:pPr>
            <w:r w:rsidRPr="00616542">
              <w:t>54.7</w:t>
            </w:r>
          </w:p>
        </w:tc>
      </w:tr>
      <w:tr w:rsidR="00F962BE" w:rsidRPr="00FE39A1" w14:paraId="57D6BC32" w14:textId="77777777" w:rsidTr="00023F5D">
        <w:trPr>
          <w:cnfStyle w:val="000000010000" w:firstRow="0" w:lastRow="0" w:firstColumn="0" w:lastColumn="0" w:oddVBand="0" w:evenVBand="0" w:oddHBand="0" w:evenHBand="1" w:firstRowFirstColumn="0" w:firstRowLastColumn="0" w:lastRowFirstColumn="0" w:lastRowLastColumn="0"/>
          <w:trHeight w:val="20"/>
        </w:trPr>
        <w:tc>
          <w:tcPr>
            <w:tcW w:w="2411" w:type="pct"/>
            <w:noWrap/>
            <w:hideMark/>
          </w:tcPr>
          <w:p w14:paraId="5B27FA7B" w14:textId="77777777" w:rsidR="00F962BE" w:rsidRPr="00FE39A1" w:rsidRDefault="00F962BE" w:rsidP="00023F5D">
            <w:pPr>
              <w:pStyle w:val="ARTabletext"/>
              <w:rPr>
                <w:lang w:eastAsia="en-AU"/>
              </w:rPr>
            </w:pPr>
            <w:r w:rsidRPr="00FE39A1">
              <w:rPr>
                <w:lang w:eastAsia="en-AU"/>
              </w:rPr>
              <w:t>Net result for the year</w:t>
            </w:r>
          </w:p>
        </w:tc>
        <w:tc>
          <w:tcPr>
            <w:cnfStyle w:val="000001000000" w:firstRow="0" w:lastRow="0" w:firstColumn="0" w:lastColumn="0" w:oddVBand="0" w:evenVBand="1" w:oddHBand="0" w:evenHBand="0" w:firstRowFirstColumn="0" w:firstRowLastColumn="0" w:lastRowFirstColumn="0" w:lastRowLastColumn="0"/>
            <w:tcW w:w="647" w:type="pct"/>
            <w:noWrap/>
            <w:hideMark/>
          </w:tcPr>
          <w:p w14:paraId="27C12756" w14:textId="77777777" w:rsidR="00F962BE" w:rsidRPr="00616542" w:rsidRDefault="00F962BE" w:rsidP="00023F5D">
            <w:pPr>
              <w:pStyle w:val="ARTabletext"/>
              <w:jc w:val="right"/>
            </w:pPr>
            <w:r w:rsidRPr="00616542">
              <w:t>–</w:t>
            </w:r>
          </w:p>
        </w:tc>
        <w:tc>
          <w:tcPr>
            <w:tcW w:w="647" w:type="pct"/>
            <w:noWrap/>
            <w:hideMark/>
          </w:tcPr>
          <w:p w14:paraId="380EE23D" w14:textId="77777777" w:rsidR="00F962BE" w:rsidRPr="00616542" w:rsidRDefault="00F962BE" w:rsidP="00023F5D">
            <w:pPr>
              <w:pStyle w:val="ARTabletext"/>
              <w:jc w:val="right"/>
              <w:cnfStyle w:val="000000010000" w:firstRow="0" w:lastRow="0" w:firstColumn="0" w:lastColumn="0" w:oddVBand="0" w:evenVBand="0" w:oddHBand="0" w:evenHBand="1" w:firstRowFirstColumn="0" w:firstRowLastColumn="0" w:lastRowFirstColumn="0" w:lastRowLastColumn="0"/>
            </w:pPr>
            <w:r w:rsidRPr="00616542">
              <w:t>(450.6)</w:t>
            </w:r>
          </w:p>
        </w:tc>
        <w:tc>
          <w:tcPr>
            <w:cnfStyle w:val="000001000000" w:firstRow="0" w:lastRow="0" w:firstColumn="0" w:lastColumn="0" w:oddVBand="0" w:evenVBand="1" w:oddHBand="0" w:evenHBand="0" w:firstRowFirstColumn="0" w:firstRowLastColumn="0" w:lastRowFirstColumn="0" w:lastRowLastColumn="0"/>
            <w:tcW w:w="647" w:type="pct"/>
            <w:noWrap/>
            <w:hideMark/>
          </w:tcPr>
          <w:p w14:paraId="2E0A0964" w14:textId="77777777" w:rsidR="00F962BE" w:rsidRPr="00616542" w:rsidRDefault="00F962BE" w:rsidP="00023F5D">
            <w:pPr>
              <w:pStyle w:val="ARTabletext"/>
              <w:jc w:val="right"/>
            </w:pPr>
            <w:r w:rsidRPr="00616542">
              <w:t>–</w:t>
            </w:r>
          </w:p>
        </w:tc>
        <w:tc>
          <w:tcPr>
            <w:tcW w:w="647" w:type="pct"/>
            <w:noWrap/>
            <w:hideMark/>
          </w:tcPr>
          <w:p w14:paraId="521702E4" w14:textId="77777777" w:rsidR="00F962BE" w:rsidRPr="00616542" w:rsidRDefault="00F962BE" w:rsidP="00023F5D">
            <w:pPr>
              <w:pStyle w:val="ARTabletext"/>
              <w:jc w:val="right"/>
              <w:cnfStyle w:val="000000010000" w:firstRow="0" w:lastRow="0" w:firstColumn="0" w:lastColumn="0" w:oddVBand="0" w:evenVBand="0" w:oddHBand="0" w:evenHBand="1" w:firstRowFirstColumn="0" w:firstRowLastColumn="0" w:lastRowFirstColumn="0" w:lastRowLastColumn="0"/>
            </w:pPr>
            <w:r w:rsidRPr="00616542">
              <w:t>(450.6)</w:t>
            </w:r>
          </w:p>
        </w:tc>
      </w:tr>
      <w:tr w:rsidR="00F962BE" w:rsidRPr="00FE39A1" w14:paraId="2FE0D1D9" w14:textId="77777777" w:rsidTr="00023F5D">
        <w:trPr>
          <w:cnfStyle w:val="000000100000" w:firstRow="0" w:lastRow="0" w:firstColumn="0" w:lastColumn="0" w:oddVBand="0" w:evenVBand="0" w:oddHBand="1" w:evenHBand="0" w:firstRowFirstColumn="0" w:firstRowLastColumn="0" w:lastRowFirstColumn="0" w:lastRowLastColumn="0"/>
          <w:trHeight w:val="20"/>
        </w:trPr>
        <w:tc>
          <w:tcPr>
            <w:tcW w:w="2411" w:type="pct"/>
            <w:noWrap/>
          </w:tcPr>
          <w:p w14:paraId="63FE9C0F" w14:textId="77777777" w:rsidR="00F962BE" w:rsidRPr="00FE39A1" w:rsidRDefault="00F962BE" w:rsidP="00023F5D">
            <w:pPr>
              <w:pStyle w:val="ARTabletext"/>
              <w:rPr>
                <w:color w:val="000000"/>
                <w:lang w:eastAsia="en-AU"/>
              </w:rPr>
            </w:pPr>
            <w:r w:rsidRPr="00FE39A1">
              <w:rPr>
                <w:lang w:eastAsia="en-AU"/>
              </w:rPr>
              <w:t>Remeasurement of superannuation defined benefit plans</w:t>
            </w:r>
          </w:p>
        </w:tc>
        <w:tc>
          <w:tcPr>
            <w:cnfStyle w:val="000001000000" w:firstRow="0" w:lastRow="0" w:firstColumn="0" w:lastColumn="0" w:oddVBand="0" w:evenVBand="1" w:oddHBand="0" w:evenHBand="0" w:firstRowFirstColumn="0" w:firstRowLastColumn="0" w:lastRowFirstColumn="0" w:lastRowLastColumn="0"/>
            <w:tcW w:w="647" w:type="pct"/>
            <w:noWrap/>
          </w:tcPr>
          <w:p w14:paraId="39B5D9BF" w14:textId="77777777" w:rsidR="00F962BE" w:rsidRPr="00616542" w:rsidRDefault="00F962BE" w:rsidP="00023F5D">
            <w:pPr>
              <w:pStyle w:val="ARTabletext"/>
              <w:jc w:val="right"/>
            </w:pPr>
            <w:r w:rsidRPr="00616542">
              <w:t>–</w:t>
            </w:r>
          </w:p>
        </w:tc>
        <w:tc>
          <w:tcPr>
            <w:tcW w:w="647" w:type="pct"/>
            <w:noWrap/>
          </w:tcPr>
          <w:p w14:paraId="106F3640" w14:textId="77777777" w:rsidR="00F962BE" w:rsidRPr="00616542" w:rsidRDefault="00F962BE" w:rsidP="00023F5D">
            <w:pPr>
              <w:pStyle w:val="ARTabletext"/>
              <w:jc w:val="right"/>
              <w:cnfStyle w:val="000000100000" w:firstRow="0" w:lastRow="0" w:firstColumn="0" w:lastColumn="0" w:oddVBand="0" w:evenVBand="0" w:oddHBand="1" w:evenHBand="0" w:firstRowFirstColumn="0" w:firstRowLastColumn="0" w:lastRowFirstColumn="0" w:lastRowLastColumn="0"/>
            </w:pPr>
            <w:r w:rsidRPr="00616542">
              <w:t>0.7</w:t>
            </w:r>
          </w:p>
        </w:tc>
        <w:tc>
          <w:tcPr>
            <w:cnfStyle w:val="000001000000" w:firstRow="0" w:lastRow="0" w:firstColumn="0" w:lastColumn="0" w:oddVBand="0" w:evenVBand="1" w:oddHBand="0" w:evenHBand="0" w:firstRowFirstColumn="0" w:firstRowLastColumn="0" w:lastRowFirstColumn="0" w:lastRowLastColumn="0"/>
            <w:tcW w:w="647" w:type="pct"/>
            <w:noWrap/>
          </w:tcPr>
          <w:p w14:paraId="15810221" w14:textId="77777777" w:rsidR="00F962BE" w:rsidRPr="00616542" w:rsidRDefault="00F962BE" w:rsidP="00023F5D">
            <w:pPr>
              <w:pStyle w:val="ARTabletext"/>
              <w:jc w:val="right"/>
            </w:pPr>
            <w:r w:rsidRPr="00616542">
              <w:t>–</w:t>
            </w:r>
          </w:p>
        </w:tc>
        <w:tc>
          <w:tcPr>
            <w:tcW w:w="647" w:type="pct"/>
            <w:noWrap/>
          </w:tcPr>
          <w:p w14:paraId="113B6D67" w14:textId="77777777" w:rsidR="00F962BE" w:rsidRPr="00616542" w:rsidRDefault="00F962BE" w:rsidP="00023F5D">
            <w:pPr>
              <w:pStyle w:val="ARTabletext"/>
              <w:jc w:val="right"/>
              <w:cnfStyle w:val="000000100000" w:firstRow="0" w:lastRow="0" w:firstColumn="0" w:lastColumn="0" w:oddVBand="0" w:evenVBand="0" w:oddHBand="1" w:evenHBand="0" w:firstRowFirstColumn="0" w:firstRowLastColumn="0" w:lastRowFirstColumn="0" w:lastRowLastColumn="0"/>
            </w:pPr>
            <w:r w:rsidRPr="00616542">
              <w:t>0.7</w:t>
            </w:r>
          </w:p>
        </w:tc>
      </w:tr>
      <w:tr w:rsidR="00F962BE" w:rsidRPr="00FE39A1" w14:paraId="6A285EDD" w14:textId="77777777" w:rsidTr="00023F5D">
        <w:trPr>
          <w:cnfStyle w:val="000000010000" w:firstRow="0" w:lastRow="0" w:firstColumn="0" w:lastColumn="0" w:oddVBand="0" w:evenVBand="0" w:oddHBand="0" w:evenHBand="1" w:firstRowFirstColumn="0" w:firstRowLastColumn="0" w:lastRowFirstColumn="0" w:lastRowLastColumn="0"/>
          <w:trHeight w:val="20"/>
        </w:trPr>
        <w:tc>
          <w:tcPr>
            <w:tcW w:w="2411" w:type="pct"/>
            <w:noWrap/>
            <w:hideMark/>
          </w:tcPr>
          <w:p w14:paraId="5EDF4BF8" w14:textId="77777777" w:rsidR="00F962BE" w:rsidRPr="00FE39A1" w:rsidRDefault="00F962BE" w:rsidP="00023F5D">
            <w:pPr>
              <w:pStyle w:val="ARTabletext"/>
              <w:rPr>
                <w:color w:val="000000"/>
                <w:lang w:eastAsia="en-AU"/>
              </w:rPr>
            </w:pPr>
            <w:r w:rsidRPr="00FE39A1">
              <w:rPr>
                <w:color w:val="000000"/>
                <w:lang w:eastAsia="en-AU"/>
              </w:rPr>
              <w:t>Changes in physical asset revaluation surplus</w:t>
            </w:r>
          </w:p>
        </w:tc>
        <w:tc>
          <w:tcPr>
            <w:cnfStyle w:val="000001000000" w:firstRow="0" w:lastRow="0" w:firstColumn="0" w:lastColumn="0" w:oddVBand="0" w:evenVBand="1" w:oddHBand="0" w:evenHBand="0" w:firstRowFirstColumn="0" w:firstRowLastColumn="0" w:lastRowFirstColumn="0" w:lastRowLastColumn="0"/>
            <w:tcW w:w="647" w:type="pct"/>
            <w:noWrap/>
            <w:hideMark/>
          </w:tcPr>
          <w:p w14:paraId="377256A4" w14:textId="77777777" w:rsidR="00F962BE" w:rsidRPr="00616542" w:rsidRDefault="00F962BE" w:rsidP="00023F5D">
            <w:pPr>
              <w:pStyle w:val="ARTabletext"/>
              <w:jc w:val="right"/>
            </w:pPr>
            <w:r w:rsidRPr="00616542">
              <w:t>43.3</w:t>
            </w:r>
          </w:p>
        </w:tc>
        <w:tc>
          <w:tcPr>
            <w:tcW w:w="647" w:type="pct"/>
            <w:noWrap/>
            <w:hideMark/>
          </w:tcPr>
          <w:p w14:paraId="38729A7C" w14:textId="77777777" w:rsidR="00F962BE" w:rsidRPr="00616542" w:rsidRDefault="00F962BE" w:rsidP="00023F5D">
            <w:pPr>
              <w:pStyle w:val="ARTabletext"/>
              <w:jc w:val="right"/>
              <w:cnfStyle w:val="000000010000" w:firstRow="0" w:lastRow="0" w:firstColumn="0" w:lastColumn="0" w:oddVBand="0" w:evenVBand="0" w:oddHBand="0" w:evenHBand="1" w:firstRowFirstColumn="0" w:firstRowLastColumn="0" w:lastRowFirstColumn="0" w:lastRowLastColumn="0"/>
            </w:pPr>
            <w:r w:rsidRPr="00616542">
              <w:t>–</w:t>
            </w:r>
          </w:p>
        </w:tc>
        <w:tc>
          <w:tcPr>
            <w:cnfStyle w:val="000001000000" w:firstRow="0" w:lastRow="0" w:firstColumn="0" w:lastColumn="0" w:oddVBand="0" w:evenVBand="1" w:oddHBand="0" w:evenHBand="0" w:firstRowFirstColumn="0" w:firstRowLastColumn="0" w:lastRowFirstColumn="0" w:lastRowLastColumn="0"/>
            <w:tcW w:w="647" w:type="pct"/>
            <w:noWrap/>
            <w:hideMark/>
          </w:tcPr>
          <w:p w14:paraId="1F9D56C6" w14:textId="77777777" w:rsidR="00F962BE" w:rsidRPr="00616542" w:rsidRDefault="00F962BE" w:rsidP="00023F5D">
            <w:pPr>
              <w:pStyle w:val="ARTabletext"/>
              <w:jc w:val="right"/>
            </w:pPr>
            <w:r w:rsidRPr="00616542">
              <w:t>–</w:t>
            </w:r>
          </w:p>
        </w:tc>
        <w:tc>
          <w:tcPr>
            <w:tcW w:w="647" w:type="pct"/>
            <w:noWrap/>
            <w:hideMark/>
          </w:tcPr>
          <w:p w14:paraId="7216A798" w14:textId="77777777" w:rsidR="00F962BE" w:rsidRPr="00616542" w:rsidRDefault="00F962BE" w:rsidP="00023F5D">
            <w:pPr>
              <w:pStyle w:val="ARTabletext"/>
              <w:jc w:val="right"/>
              <w:cnfStyle w:val="000000010000" w:firstRow="0" w:lastRow="0" w:firstColumn="0" w:lastColumn="0" w:oddVBand="0" w:evenVBand="0" w:oddHBand="0" w:evenHBand="1" w:firstRowFirstColumn="0" w:firstRowLastColumn="0" w:lastRowFirstColumn="0" w:lastRowLastColumn="0"/>
            </w:pPr>
            <w:r w:rsidRPr="00616542">
              <w:t>43.3</w:t>
            </w:r>
          </w:p>
        </w:tc>
      </w:tr>
      <w:tr w:rsidR="00F962BE" w:rsidRPr="00FE39A1" w14:paraId="7D7E925D" w14:textId="77777777" w:rsidTr="00023F5D">
        <w:trPr>
          <w:cnfStyle w:val="000000100000" w:firstRow="0" w:lastRow="0" w:firstColumn="0" w:lastColumn="0" w:oddVBand="0" w:evenVBand="0" w:oddHBand="1" w:evenHBand="0" w:firstRowFirstColumn="0" w:firstRowLastColumn="0" w:lastRowFirstColumn="0" w:lastRowLastColumn="0"/>
          <w:trHeight w:val="20"/>
        </w:trPr>
        <w:tc>
          <w:tcPr>
            <w:tcW w:w="2411" w:type="pct"/>
            <w:noWrap/>
          </w:tcPr>
          <w:p w14:paraId="29CC2CD0" w14:textId="77777777" w:rsidR="00F962BE" w:rsidRPr="00FE39A1" w:rsidRDefault="00F962BE" w:rsidP="00023F5D">
            <w:pPr>
              <w:pStyle w:val="ARTabletext"/>
              <w:rPr>
                <w:color w:val="000000"/>
                <w:lang w:eastAsia="en-AU"/>
              </w:rPr>
            </w:pPr>
            <w:r w:rsidRPr="00FE39A1">
              <w:rPr>
                <w:color w:val="000000"/>
                <w:lang w:eastAsia="en-AU"/>
              </w:rPr>
              <w:t>Capital contribution by Victorian State Government</w:t>
            </w:r>
          </w:p>
        </w:tc>
        <w:tc>
          <w:tcPr>
            <w:cnfStyle w:val="000001000000" w:firstRow="0" w:lastRow="0" w:firstColumn="0" w:lastColumn="0" w:oddVBand="0" w:evenVBand="1" w:oddHBand="0" w:evenHBand="0" w:firstRowFirstColumn="0" w:firstRowLastColumn="0" w:lastRowFirstColumn="0" w:lastRowLastColumn="0"/>
            <w:tcW w:w="647" w:type="pct"/>
            <w:noWrap/>
          </w:tcPr>
          <w:p w14:paraId="18DFE9F4" w14:textId="77777777" w:rsidR="00F962BE" w:rsidRPr="00616542" w:rsidRDefault="00F962BE" w:rsidP="00023F5D">
            <w:pPr>
              <w:pStyle w:val="ARTabletext"/>
              <w:jc w:val="right"/>
            </w:pPr>
            <w:r w:rsidRPr="00616542">
              <w:t>–</w:t>
            </w:r>
          </w:p>
        </w:tc>
        <w:tc>
          <w:tcPr>
            <w:tcW w:w="647" w:type="pct"/>
            <w:noWrap/>
          </w:tcPr>
          <w:p w14:paraId="611EE691" w14:textId="77777777" w:rsidR="00F962BE" w:rsidRPr="00616542" w:rsidRDefault="00F962BE" w:rsidP="00023F5D">
            <w:pPr>
              <w:pStyle w:val="ARTabletext"/>
              <w:jc w:val="right"/>
              <w:cnfStyle w:val="000000100000" w:firstRow="0" w:lastRow="0" w:firstColumn="0" w:lastColumn="0" w:oddVBand="0" w:evenVBand="0" w:oddHBand="1" w:evenHBand="0" w:firstRowFirstColumn="0" w:firstRowLastColumn="0" w:lastRowFirstColumn="0" w:lastRowLastColumn="0"/>
            </w:pPr>
            <w:r w:rsidRPr="00616542">
              <w:t>–</w:t>
            </w:r>
          </w:p>
        </w:tc>
        <w:tc>
          <w:tcPr>
            <w:cnfStyle w:val="000001000000" w:firstRow="0" w:lastRow="0" w:firstColumn="0" w:lastColumn="0" w:oddVBand="0" w:evenVBand="1" w:oddHBand="0" w:evenHBand="0" w:firstRowFirstColumn="0" w:firstRowLastColumn="0" w:lastRowFirstColumn="0" w:lastRowLastColumn="0"/>
            <w:tcW w:w="647" w:type="pct"/>
            <w:noWrap/>
          </w:tcPr>
          <w:p w14:paraId="798039F7" w14:textId="77777777" w:rsidR="00F962BE" w:rsidRPr="00616542" w:rsidRDefault="00F962BE" w:rsidP="00023F5D">
            <w:pPr>
              <w:pStyle w:val="ARTabletext"/>
              <w:jc w:val="right"/>
            </w:pPr>
            <w:r w:rsidRPr="00616542">
              <w:t>650.5</w:t>
            </w:r>
          </w:p>
        </w:tc>
        <w:tc>
          <w:tcPr>
            <w:tcW w:w="647" w:type="pct"/>
            <w:noWrap/>
          </w:tcPr>
          <w:p w14:paraId="473CAB25" w14:textId="77777777" w:rsidR="00F962BE" w:rsidRPr="00616542" w:rsidRDefault="00F962BE" w:rsidP="00023F5D">
            <w:pPr>
              <w:pStyle w:val="ARTabletext"/>
              <w:jc w:val="right"/>
              <w:cnfStyle w:val="000000100000" w:firstRow="0" w:lastRow="0" w:firstColumn="0" w:lastColumn="0" w:oddVBand="0" w:evenVBand="0" w:oddHBand="1" w:evenHBand="0" w:firstRowFirstColumn="0" w:firstRowLastColumn="0" w:lastRowFirstColumn="0" w:lastRowLastColumn="0"/>
            </w:pPr>
            <w:r w:rsidRPr="00616542">
              <w:t>650.5</w:t>
            </w:r>
          </w:p>
        </w:tc>
      </w:tr>
      <w:tr w:rsidR="00F962BE" w:rsidRPr="00FE39A1" w14:paraId="45E14EFF" w14:textId="77777777" w:rsidTr="00023F5D">
        <w:trPr>
          <w:cnfStyle w:val="010000000000" w:firstRow="0" w:lastRow="1" w:firstColumn="0" w:lastColumn="0" w:oddVBand="0" w:evenVBand="0" w:oddHBand="0" w:evenHBand="0" w:firstRowFirstColumn="0" w:firstRowLastColumn="0" w:lastRowFirstColumn="0" w:lastRowLastColumn="0"/>
          <w:trHeight w:val="20"/>
        </w:trPr>
        <w:tc>
          <w:tcPr>
            <w:tcW w:w="2411" w:type="pct"/>
            <w:noWrap/>
            <w:hideMark/>
          </w:tcPr>
          <w:p w14:paraId="7BC1F783" w14:textId="77777777" w:rsidR="00F962BE" w:rsidRPr="00FE39A1" w:rsidRDefault="00F962BE" w:rsidP="00023F5D">
            <w:pPr>
              <w:pStyle w:val="ARtabletextbold"/>
              <w:rPr>
                <w:lang w:eastAsia="en-AU"/>
              </w:rPr>
            </w:pPr>
            <w:r w:rsidRPr="00FE39A1">
              <w:rPr>
                <w:lang w:eastAsia="en-AU"/>
              </w:rPr>
              <w:t xml:space="preserve">Balance </w:t>
            </w:r>
            <w:proofErr w:type="gramStart"/>
            <w:r w:rsidRPr="00FE39A1">
              <w:rPr>
                <w:lang w:eastAsia="en-AU"/>
              </w:rPr>
              <w:t>at</w:t>
            </w:r>
            <w:proofErr w:type="gramEnd"/>
            <w:r w:rsidRPr="00FE39A1">
              <w:rPr>
                <w:lang w:eastAsia="en-AU"/>
              </w:rPr>
              <w:t xml:space="preserve"> 30 June 2026</w:t>
            </w:r>
          </w:p>
        </w:tc>
        <w:tc>
          <w:tcPr>
            <w:cnfStyle w:val="000001000000" w:firstRow="0" w:lastRow="0" w:firstColumn="0" w:lastColumn="0" w:oddVBand="0" w:evenVBand="1" w:oddHBand="0" w:evenHBand="0" w:firstRowFirstColumn="0" w:firstRowLastColumn="0" w:lastRowFirstColumn="0" w:lastRowLastColumn="0"/>
            <w:tcW w:w="647" w:type="pct"/>
            <w:noWrap/>
            <w:hideMark/>
          </w:tcPr>
          <w:p w14:paraId="5B415500" w14:textId="77777777" w:rsidR="00F962BE" w:rsidRPr="00FE39A1" w:rsidRDefault="00F962BE" w:rsidP="00023F5D">
            <w:pPr>
              <w:pStyle w:val="ARtabletextbold"/>
              <w:jc w:val="right"/>
              <w:rPr>
                <w:lang w:eastAsia="en-AU"/>
              </w:rPr>
            </w:pPr>
            <w:r w:rsidRPr="00FE39A1">
              <w:rPr>
                <w:lang w:eastAsia="en-AU"/>
              </w:rPr>
              <w:t>8,526.7</w:t>
            </w:r>
          </w:p>
        </w:tc>
        <w:tc>
          <w:tcPr>
            <w:tcW w:w="647" w:type="pct"/>
            <w:noWrap/>
            <w:hideMark/>
          </w:tcPr>
          <w:p w14:paraId="7466B6F1" w14:textId="77777777" w:rsidR="00F962BE" w:rsidRPr="00FE39A1" w:rsidRDefault="00F962BE" w:rsidP="00023F5D">
            <w:pPr>
              <w:pStyle w:val="ARtabletextbold"/>
              <w:jc w:val="right"/>
              <w:cnfStyle w:val="010000000000" w:firstRow="0" w:lastRow="1" w:firstColumn="0" w:lastColumn="0" w:oddVBand="0" w:evenVBand="0" w:oddHBand="0" w:evenHBand="0" w:firstRowFirstColumn="0" w:firstRowLastColumn="0" w:lastRowFirstColumn="0" w:lastRowLastColumn="0"/>
              <w:rPr>
                <w:lang w:eastAsia="en-AU"/>
              </w:rPr>
            </w:pPr>
            <w:r w:rsidRPr="00FE39A1">
              <w:rPr>
                <w:lang w:eastAsia="en-AU"/>
              </w:rPr>
              <w:t>(1,047.2)</w:t>
            </w:r>
          </w:p>
        </w:tc>
        <w:tc>
          <w:tcPr>
            <w:cnfStyle w:val="000001000000" w:firstRow="0" w:lastRow="0" w:firstColumn="0" w:lastColumn="0" w:oddVBand="0" w:evenVBand="1" w:oddHBand="0" w:evenHBand="0" w:firstRowFirstColumn="0" w:firstRowLastColumn="0" w:lastRowFirstColumn="0" w:lastRowLastColumn="0"/>
            <w:tcW w:w="647" w:type="pct"/>
            <w:noWrap/>
            <w:hideMark/>
          </w:tcPr>
          <w:p w14:paraId="23852281" w14:textId="77777777" w:rsidR="00F962BE" w:rsidRPr="00FE39A1" w:rsidRDefault="00F962BE" w:rsidP="00023F5D">
            <w:pPr>
              <w:pStyle w:val="ARtabletextbold"/>
              <w:jc w:val="right"/>
              <w:rPr>
                <w:lang w:eastAsia="en-AU"/>
              </w:rPr>
            </w:pPr>
            <w:r w:rsidRPr="00FE39A1">
              <w:rPr>
                <w:lang w:eastAsia="en-AU"/>
              </w:rPr>
              <w:t>30,601.5</w:t>
            </w:r>
          </w:p>
        </w:tc>
        <w:tc>
          <w:tcPr>
            <w:tcW w:w="647" w:type="pct"/>
            <w:noWrap/>
            <w:hideMark/>
          </w:tcPr>
          <w:p w14:paraId="45897885" w14:textId="77777777" w:rsidR="00F962BE" w:rsidRPr="00FE39A1" w:rsidRDefault="00F962BE" w:rsidP="00023F5D">
            <w:pPr>
              <w:pStyle w:val="ARtabletextbold"/>
              <w:jc w:val="right"/>
              <w:cnfStyle w:val="010000000000" w:firstRow="0" w:lastRow="1" w:firstColumn="0" w:lastColumn="0" w:oddVBand="0" w:evenVBand="0" w:oddHBand="0" w:evenHBand="0" w:firstRowFirstColumn="0" w:firstRowLastColumn="0" w:lastRowFirstColumn="0" w:lastRowLastColumn="0"/>
              <w:rPr>
                <w:lang w:eastAsia="en-AU"/>
              </w:rPr>
            </w:pPr>
            <w:r w:rsidRPr="00FE39A1">
              <w:rPr>
                <w:lang w:eastAsia="en-AU"/>
              </w:rPr>
              <w:t>38,081.0</w:t>
            </w:r>
          </w:p>
        </w:tc>
      </w:tr>
    </w:tbl>
    <w:p w14:paraId="6FA06DD1" w14:textId="77777777" w:rsidR="00F962BE" w:rsidRPr="00FE39A1" w:rsidRDefault="00F962BE" w:rsidP="00F962BE">
      <w:pPr>
        <w:pStyle w:val="ARfintablenote"/>
        <w:rPr>
          <w:lang w:eastAsia="en-AU"/>
        </w:rPr>
      </w:pPr>
      <w:r w:rsidRPr="00FE39A1">
        <w:rPr>
          <w:lang w:eastAsia="en-AU"/>
        </w:rPr>
        <w:t>Note:</w:t>
      </w:r>
    </w:p>
    <w:p w14:paraId="0E305C6E" w14:textId="77777777" w:rsidR="00F962BE" w:rsidRDefault="00F962BE" w:rsidP="00023F5D">
      <w:pPr>
        <w:pStyle w:val="ARfintablenoteroman"/>
      </w:pPr>
      <w:r w:rsidRPr="00DB21E3">
        <w:t xml:space="preserve">An adjustment </w:t>
      </w:r>
      <w:r>
        <w:t xml:space="preserve">to </w:t>
      </w:r>
      <w:r w:rsidRPr="00DB21E3">
        <w:t xml:space="preserve">the opening balance of the accumulated surplus / (deficit) for 2025-26 was made </w:t>
      </w:r>
      <w:proofErr w:type="gramStart"/>
      <w:r w:rsidRPr="00DB21E3">
        <w:t>as a result of</w:t>
      </w:r>
      <w:proofErr w:type="gramEnd"/>
      <w:r w:rsidRPr="00DB21E3">
        <w:t xml:space="preserve"> GST recovered on prior year expenses</w:t>
      </w:r>
      <w:r>
        <w:t>.</w:t>
      </w:r>
    </w:p>
    <w:p w14:paraId="66F931BE" w14:textId="45E1A12A" w:rsidR="00F0501A" w:rsidRDefault="00F0501A">
      <w:pPr>
        <w:spacing w:after="0" w:line="240" w:lineRule="auto"/>
        <w:rPr>
          <w:rFonts w:eastAsia="Times"/>
          <w:sz w:val="20"/>
        </w:rPr>
      </w:pPr>
      <w:bookmarkStart w:id="321" w:name="_Toc236666942"/>
      <w:bookmarkStart w:id="322" w:name="_Toc149587072"/>
      <w:bookmarkStart w:id="323" w:name="_Toc212039560"/>
      <w:bookmarkStart w:id="324" w:name="_Toc241131735"/>
      <w:r>
        <w:br w:type="page"/>
      </w:r>
    </w:p>
    <w:p w14:paraId="60908976" w14:textId="1FB11180" w:rsidR="00B15188" w:rsidRDefault="00F962BE" w:rsidP="00F962BE">
      <w:pPr>
        <w:pStyle w:val="Heading2"/>
        <w:spacing w:before="0"/>
      </w:pPr>
      <w:r w:rsidRPr="00B34DE6">
        <w:t>Appendix 3: Grants and transfer payments</w:t>
      </w:r>
      <w:bookmarkEnd w:id="321"/>
      <w:bookmarkEnd w:id="322"/>
      <w:bookmarkEnd w:id="323"/>
      <w:bookmarkEnd w:id="324"/>
    </w:p>
    <w:p w14:paraId="0A622D4D" w14:textId="4CBD92AF" w:rsidR="00F962BE" w:rsidRPr="00A3130C" w:rsidRDefault="00F962BE" w:rsidP="00B15188">
      <w:pPr>
        <w:pStyle w:val="Heading3Grants"/>
        <w:spacing w:before="0"/>
      </w:pPr>
      <w:r w:rsidRPr="00A3130C">
        <w:t>Community Participation – community funding initiatives</w:t>
      </w:r>
    </w:p>
    <w:tbl>
      <w:tblPr>
        <w:tblStyle w:val="ARtable1"/>
        <w:tblW w:w="5000" w:type="pct"/>
        <w:tblLook w:val="00E0" w:firstRow="1" w:lastRow="1" w:firstColumn="1" w:lastColumn="0" w:noHBand="0" w:noVBand="0"/>
      </w:tblPr>
      <w:tblGrid>
        <w:gridCol w:w="8131"/>
        <w:gridCol w:w="1497"/>
      </w:tblGrid>
      <w:tr w:rsidR="00F962BE" w:rsidRPr="00A3130C" w14:paraId="56655C7F" w14:textId="77777777" w:rsidTr="00F0501A">
        <w:trPr>
          <w:cnfStyle w:val="100000000000" w:firstRow="1" w:lastRow="0" w:firstColumn="0" w:lastColumn="0" w:oddVBand="0" w:evenVBand="0" w:oddHBand="0" w:evenHBand="0" w:firstRowFirstColumn="0" w:firstRowLastColumn="0" w:lastRowFirstColumn="0" w:lastRowLastColumn="0"/>
          <w:trHeight w:val="260"/>
          <w:tblHeader/>
        </w:trPr>
        <w:tc>
          <w:tcPr>
            <w:tcW w:w="3655" w:type="pct"/>
            <w:noWrap/>
            <w:hideMark/>
          </w:tcPr>
          <w:p w14:paraId="73708B5B" w14:textId="77777777" w:rsidR="00F962BE" w:rsidRPr="00A3130C" w:rsidRDefault="00F962BE">
            <w:pPr>
              <w:pStyle w:val="ARtablecolhead"/>
              <w:rPr>
                <w:rFonts w:eastAsia="Times"/>
              </w:rPr>
            </w:pPr>
            <w:r w:rsidRPr="00A3130C">
              <w:rPr>
                <w:rFonts w:eastAsia="Times"/>
              </w:rPr>
              <w:t>Organisation</w:t>
            </w:r>
          </w:p>
        </w:tc>
        <w:tc>
          <w:tcPr>
            <w:cnfStyle w:val="000001000000" w:firstRow="0" w:lastRow="0" w:firstColumn="0" w:lastColumn="0" w:oddVBand="0" w:evenVBand="1" w:oddHBand="0" w:evenHBand="0" w:firstRowFirstColumn="0" w:firstRowLastColumn="0" w:lastRowFirstColumn="0" w:lastRowLastColumn="0"/>
            <w:tcW w:w="1345" w:type="pct"/>
            <w:hideMark/>
          </w:tcPr>
          <w:p w14:paraId="3F9F1E97" w14:textId="77777777" w:rsidR="00F962BE" w:rsidRPr="00A3130C" w:rsidRDefault="00F962BE">
            <w:pPr>
              <w:pStyle w:val="ARtablecolhead"/>
              <w:jc w:val="right"/>
              <w:rPr>
                <w:rFonts w:eastAsia="Times"/>
              </w:rPr>
            </w:pPr>
            <w:r w:rsidRPr="00A3130C">
              <w:rPr>
                <w:rFonts w:eastAsia="Times"/>
              </w:rPr>
              <w:t>Payment ($)</w:t>
            </w:r>
          </w:p>
        </w:tc>
      </w:tr>
      <w:tr w:rsidR="00F962BE" w:rsidRPr="00A3130C" w14:paraId="0BB7A3BA"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099A6595" w14:textId="77777777" w:rsidR="00F962BE" w:rsidRPr="00A3130C" w:rsidRDefault="00F962BE">
            <w:pPr>
              <w:pStyle w:val="ARTabletext"/>
              <w:rPr>
                <w:rFonts w:eastAsia="Times"/>
                <w:sz w:val="20"/>
              </w:rPr>
            </w:pPr>
            <w:r w:rsidRPr="00A3130C">
              <w:rPr>
                <w:rFonts w:eastAsia="Times"/>
                <w:sz w:val="20"/>
              </w:rPr>
              <w:t>Aboriginal Community Elders</w:t>
            </w:r>
            <w:r>
              <w:t> </w:t>
            </w:r>
            <w:r w:rsidRPr="00A3130C">
              <w:rPr>
                <w:rFonts w:eastAsia="Times"/>
                <w:sz w:val="20"/>
              </w:rPr>
              <w:t>Services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337B8C2" w14:textId="77777777" w:rsidR="00F962BE" w:rsidRPr="00A3130C" w:rsidRDefault="00F962BE">
            <w:pPr>
              <w:pStyle w:val="ARTabletext"/>
              <w:jc w:val="right"/>
              <w:rPr>
                <w:rFonts w:eastAsia="Times"/>
                <w:sz w:val="20"/>
              </w:rPr>
            </w:pPr>
            <w:r w:rsidRPr="00A3130C">
              <w:rPr>
                <w:rFonts w:eastAsia="Times"/>
                <w:sz w:val="20"/>
              </w:rPr>
              <w:t>61,640</w:t>
            </w:r>
          </w:p>
        </w:tc>
      </w:tr>
      <w:tr w:rsidR="00F962BE" w:rsidRPr="00A3130C" w14:paraId="25AC2D4E"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1F10C15C" w14:textId="77777777" w:rsidR="00F962BE" w:rsidRPr="00A3130C" w:rsidRDefault="00F962BE">
            <w:pPr>
              <w:pStyle w:val="ARTabletext"/>
              <w:rPr>
                <w:rFonts w:eastAsia="Times"/>
                <w:sz w:val="20"/>
              </w:rPr>
            </w:pPr>
            <w:r w:rsidRPr="00A3130C">
              <w:rPr>
                <w:rFonts w:eastAsia="Times"/>
                <w:sz w:val="20"/>
              </w:rPr>
              <w:t>Adass Israel Welfare Fund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0D6A606" w14:textId="77777777" w:rsidR="00F962BE" w:rsidRPr="00A3130C" w:rsidRDefault="00F962BE">
            <w:pPr>
              <w:pStyle w:val="ARTabletext"/>
              <w:jc w:val="right"/>
              <w:rPr>
                <w:rFonts w:eastAsia="Times"/>
                <w:sz w:val="20"/>
              </w:rPr>
            </w:pPr>
            <w:r w:rsidRPr="00A3130C">
              <w:rPr>
                <w:rFonts w:eastAsia="Times"/>
                <w:sz w:val="20"/>
              </w:rPr>
              <w:t>30,000</w:t>
            </w:r>
          </w:p>
        </w:tc>
      </w:tr>
      <w:tr w:rsidR="00F962BE" w:rsidRPr="00A3130C" w14:paraId="1FB46B4D"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952C188" w14:textId="77777777" w:rsidR="00F962BE" w:rsidRPr="00A3130C" w:rsidRDefault="00F962BE">
            <w:pPr>
              <w:pStyle w:val="ARTabletext"/>
              <w:rPr>
                <w:rFonts w:eastAsia="Times"/>
                <w:sz w:val="20"/>
              </w:rPr>
            </w:pPr>
            <w:proofErr w:type="spellStart"/>
            <w:r w:rsidRPr="00A3130C">
              <w:rPr>
                <w:rFonts w:eastAsia="Times"/>
                <w:sz w:val="20"/>
              </w:rPr>
              <w:t>AfriAus</w:t>
            </w:r>
            <w:proofErr w:type="spellEnd"/>
            <w:r w:rsidRPr="00A3130C">
              <w:rPr>
                <w:rFonts w:eastAsia="Times"/>
                <w:sz w:val="20"/>
              </w:rPr>
              <w:t xml:space="preserve"> </w:t>
            </w:r>
            <w:proofErr w:type="spellStart"/>
            <w:r w:rsidRPr="00A3130C">
              <w:rPr>
                <w:rFonts w:eastAsia="Times"/>
                <w:sz w:val="20"/>
              </w:rPr>
              <w:t>iLEAC</w:t>
            </w:r>
            <w:proofErr w:type="spellEnd"/>
            <w:r w:rsidRPr="00A3130C">
              <w:rPr>
                <w:rFonts w:eastAsia="Times"/>
                <w:sz w:val="20"/>
              </w:rPr>
              <w:t xml:space="preserv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6D76116" w14:textId="77777777" w:rsidR="00F962BE" w:rsidRPr="00A3130C" w:rsidRDefault="00F962BE">
            <w:pPr>
              <w:pStyle w:val="ARTabletext"/>
              <w:jc w:val="right"/>
              <w:rPr>
                <w:rFonts w:eastAsia="Times"/>
                <w:sz w:val="20"/>
              </w:rPr>
            </w:pPr>
            <w:r w:rsidRPr="00A3130C">
              <w:rPr>
                <w:rFonts w:eastAsia="Times"/>
                <w:sz w:val="20"/>
              </w:rPr>
              <w:t>62,250</w:t>
            </w:r>
          </w:p>
        </w:tc>
      </w:tr>
      <w:tr w:rsidR="00F962BE" w:rsidRPr="00A3130C" w14:paraId="4827F8AC"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6785286F" w14:textId="77777777" w:rsidR="00F962BE" w:rsidRPr="00A3130C" w:rsidRDefault="00F962BE">
            <w:pPr>
              <w:pStyle w:val="ARTabletext"/>
              <w:rPr>
                <w:rFonts w:eastAsia="Times"/>
                <w:sz w:val="20"/>
              </w:rPr>
            </w:pPr>
            <w:proofErr w:type="gramStart"/>
            <w:r w:rsidRPr="00A3130C">
              <w:rPr>
                <w:rFonts w:eastAsia="Times"/>
                <w:sz w:val="20"/>
              </w:rPr>
              <w:t>African-Australian</w:t>
            </w:r>
            <w:proofErr w:type="gramEnd"/>
            <w:r w:rsidRPr="00A3130C">
              <w:rPr>
                <w:rFonts w:eastAsia="Times"/>
                <w:sz w:val="20"/>
              </w:rPr>
              <w:t xml:space="preserve"> Family and Parenting Support Services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A6D24C1" w14:textId="77777777" w:rsidR="00F962BE" w:rsidRPr="00A3130C" w:rsidRDefault="00F962BE">
            <w:pPr>
              <w:pStyle w:val="ARTabletext"/>
              <w:jc w:val="right"/>
              <w:rPr>
                <w:rFonts w:eastAsia="Times"/>
                <w:sz w:val="20"/>
              </w:rPr>
            </w:pPr>
            <w:r w:rsidRPr="00A3130C">
              <w:rPr>
                <w:rFonts w:eastAsia="Times"/>
                <w:sz w:val="20"/>
              </w:rPr>
              <w:t>60,000</w:t>
            </w:r>
          </w:p>
        </w:tc>
      </w:tr>
      <w:tr w:rsidR="00F962BE" w:rsidRPr="00A3130C" w14:paraId="2BD5FA64"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407BC25D" w14:textId="77777777" w:rsidR="00F962BE" w:rsidRPr="00A3130C" w:rsidRDefault="00F962BE">
            <w:pPr>
              <w:pStyle w:val="ARTabletext"/>
              <w:rPr>
                <w:rFonts w:eastAsia="Times"/>
                <w:sz w:val="20"/>
              </w:rPr>
            </w:pPr>
            <w:r w:rsidRPr="00A3130C">
              <w:rPr>
                <w:rFonts w:eastAsia="Times"/>
                <w:sz w:val="20"/>
              </w:rPr>
              <w:t>Africare Community Services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6DC487E" w14:textId="77777777" w:rsidR="00F962BE" w:rsidRPr="00A3130C" w:rsidRDefault="00F962BE">
            <w:pPr>
              <w:pStyle w:val="ARTabletext"/>
              <w:jc w:val="right"/>
              <w:rPr>
                <w:rFonts w:eastAsia="Times"/>
                <w:sz w:val="20"/>
              </w:rPr>
            </w:pPr>
            <w:r w:rsidRPr="00A3130C">
              <w:rPr>
                <w:rFonts w:eastAsia="Times"/>
                <w:sz w:val="20"/>
              </w:rPr>
              <w:t>17,250</w:t>
            </w:r>
          </w:p>
        </w:tc>
      </w:tr>
      <w:tr w:rsidR="00F962BE" w:rsidRPr="00A3130C" w14:paraId="2C33934F"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4AF3A864" w14:textId="77777777" w:rsidR="00F962BE" w:rsidRPr="00A3130C" w:rsidRDefault="00F962BE">
            <w:pPr>
              <w:pStyle w:val="ARTabletext"/>
              <w:rPr>
                <w:rFonts w:eastAsia="Times"/>
                <w:sz w:val="20"/>
              </w:rPr>
            </w:pPr>
            <w:r w:rsidRPr="00A3130C">
              <w:rPr>
                <w:rFonts w:eastAsia="Times"/>
                <w:sz w:val="20"/>
              </w:rPr>
              <w:t>Ajani Neighbourhood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08FEAE9" w14:textId="77777777" w:rsidR="00F962BE" w:rsidRPr="00A3130C" w:rsidRDefault="00F962BE">
            <w:pPr>
              <w:pStyle w:val="ARTabletext"/>
              <w:jc w:val="right"/>
              <w:rPr>
                <w:rFonts w:eastAsia="Times"/>
                <w:sz w:val="20"/>
              </w:rPr>
            </w:pPr>
            <w:r w:rsidRPr="00A3130C">
              <w:rPr>
                <w:rFonts w:eastAsia="Times"/>
                <w:sz w:val="20"/>
              </w:rPr>
              <w:t>10,613</w:t>
            </w:r>
          </w:p>
        </w:tc>
      </w:tr>
      <w:tr w:rsidR="00F962BE" w:rsidRPr="00A3130C" w14:paraId="43943DA5"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1A70D0C" w14:textId="77777777" w:rsidR="00F962BE" w:rsidRPr="00A3130C" w:rsidRDefault="00F962BE">
            <w:pPr>
              <w:pStyle w:val="ARTabletext"/>
              <w:rPr>
                <w:rFonts w:eastAsia="Times"/>
                <w:sz w:val="20"/>
              </w:rPr>
            </w:pPr>
            <w:r w:rsidRPr="00A3130C">
              <w:rPr>
                <w:rFonts w:eastAsia="Times"/>
                <w:sz w:val="20"/>
              </w:rPr>
              <w:t>Alamein Neighbourhood &amp; Learning</w:t>
            </w:r>
            <w:r>
              <w:rPr>
                <w:rFonts w:eastAsia="Times"/>
                <w:sz w:val="20"/>
              </w:rPr>
              <w:t> </w:t>
            </w:r>
            <w:r w:rsidRPr="00A3130C">
              <w:rPr>
                <w:rFonts w:eastAsia="Times"/>
                <w:sz w:val="20"/>
              </w:rPr>
              <w:t>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0AC786A" w14:textId="77777777" w:rsidR="00F962BE" w:rsidRPr="00A3130C" w:rsidRDefault="00F962BE">
            <w:pPr>
              <w:pStyle w:val="ARTabletext"/>
              <w:jc w:val="right"/>
              <w:rPr>
                <w:rFonts w:eastAsia="Times"/>
                <w:sz w:val="20"/>
              </w:rPr>
            </w:pPr>
            <w:r w:rsidRPr="00A3130C">
              <w:rPr>
                <w:rFonts w:eastAsia="Times"/>
                <w:sz w:val="20"/>
              </w:rPr>
              <w:t>7,018</w:t>
            </w:r>
          </w:p>
        </w:tc>
      </w:tr>
      <w:tr w:rsidR="00F962BE" w:rsidRPr="00A3130C" w14:paraId="54007BE6"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90DB331" w14:textId="77777777" w:rsidR="00F962BE" w:rsidRPr="00A3130C" w:rsidRDefault="00F962BE">
            <w:pPr>
              <w:pStyle w:val="ARTabletext"/>
              <w:rPr>
                <w:rFonts w:eastAsia="Times"/>
                <w:sz w:val="20"/>
              </w:rPr>
            </w:pPr>
            <w:r w:rsidRPr="00A3130C">
              <w:rPr>
                <w:rFonts w:eastAsia="Times"/>
                <w:sz w:val="20"/>
              </w:rPr>
              <w:t>Albury Wodonga and Region Community Care, trading as New Life Care Wodonga</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DA026E3" w14:textId="77777777" w:rsidR="00F962BE" w:rsidRPr="00A3130C" w:rsidRDefault="00F962BE">
            <w:pPr>
              <w:pStyle w:val="ARTabletext"/>
              <w:jc w:val="right"/>
              <w:rPr>
                <w:rFonts w:eastAsia="Times"/>
                <w:sz w:val="20"/>
              </w:rPr>
            </w:pPr>
            <w:r w:rsidRPr="00A3130C">
              <w:rPr>
                <w:rFonts w:eastAsia="Times"/>
                <w:sz w:val="20"/>
              </w:rPr>
              <w:t>15,000</w:t>
            </w:r>
          </w:p>
        </w:tc>
      </w:tr>
      <w:tr w:rsidR="00F962BE" w:rsidRPr="00A3130C" w14:paraId="5A852623"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319E118E" w14:textId="77777777" w:rsidR="00F962BE" w:rsidRPr="00A3130C" w:rsidRDefault="00F962BE">
            <w:pPr>
              <w:pStyle w:val="ARTabletext"/>
              <w:rPr>
                <w:rFonts w:eastAsia="Times"/>
                <w:sz w:val="20"/>
              </w:rPr>
            </w:pPr>
            <w:r w:rsidRPr="00A3130C">
              <w:rPr>
                <w:rFonts w:eastAsia="Times"/>
                <w:sz w:val="20"/>
              </w:rPr>
              <w:t>Alex Makes Meals Group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81436C0" w14:textId="77777777" w:rsidR="00F962BE" w:rsidRPr="00A3130C" w:rsidRDefault="00F962BE">
            <w:pPr>
              <w:pStyle w:val="ARTabletext"/>
              <w:jc w:val="right"/>
              <w:rPr>
                <w:rFonts w:eastAsia="Times"/>
                <w:sz w:val="20"/>
              </w:rPr>
            </w:pPr>
            <w:r w:rsidRPr="00A3130C">
              <w:rPr>
                <w:rFonts w:eastAsia="Times"/>
                <w:sz w:val="20"/>
              </w:rPr>
              <w:t>135,000</w:t>
            </w:r>
          </w:p>
        </w:tc>
      </w:tr>
      <w:tr w:rsidR="00F962BE" w:rsidRPr="00A3130C" w14:paraId="020C5816"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4114E402" w14:textId="77777777" w:rsidR="00F962BE" w:rsidRPr="00A3130C" w:rsidRDefault="00F962BE">
            <w:pPr>
              <w:pStyle w:val="ARTabletext"/>
              <w:rPr>
                <w:rFonts w:eastAsia="Times"/>
                <w:sz w:val="20"/>
              </w:rPr>
            </w:pPr>
            <w:r w:rsidRPr="00A3130C">
              <w:rPr>
                <w:rFonts w:eastAsia="Times"/>
                <w:sz w:val="20"/>
              </w:rPr>
              <w:t>Alphington Community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97BEBA7" w14:textId="77777777" w:rsidR="00F962BE" w:rsidRPr="00A3130C" w:rsidRDefault="00F962BE">
            <w:pPr>
              <w:pStyle w:val="ARTabletext"/>
              <w:jc w:val="right"/>
              <w:rPr>
                <w:rFonts w:eastAsia="Times"/>
                <w:sz w:val="20"/>
              </w:rPr>
            </w:pPr>
            <w:r w:rsidRPr="00A3130C">
              <w:rPr>
                <w:rFonts w:eastAsia="Times"/>
                <w:sz w:val="20"/>
              </w:rPr>
              <w:t>8,800</w:t>
            </w:r>
          </w:p>
        </w:tc>
      </w:tr>
      <w:tr w:rsidR="00F962BE" w:rsidRPr="00A3130C" w14:paraId="1BF4E2A7"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2E9C057B" w14:textId="77777777" w:rsidR="00F962BE" w:rsidRPr="00A3130C" w:rsidRDefault="00F962BE">
            <w:pPr>
              <w:pStyle w:val="ARTabletext"/>
              <w:rPr>
                <w:rFonts w:eastAsia="Times"/>
                <w:sz w:val="20"/>
              </w:rPr>
            </w:pPr>
            <w:r w:rsidRPr="00A3130C">
              <w:rPr>
                <w:rFonts w:eastAsia="Times"/>
                <w:sz w:val="20"/>
              </w:rPr>
              <w:t>Ananda Marga Universal Relief</w:t>
            </w:r>
            <w:r>
              <w:rPr>
                <w:rFonts w:eastAsia="Times"/>
                <w:sz w:val="20"/>
              </w:rPr>
              <w:t> </w:t>
            </w:r>
            <w:r w:rsidRPr="00A3130C">
              <w:rPr>
                <w:rFonts w:eastAsia="Times"/>
                <w:sz w:val="20"/>
              </w:rPr>
              <w:t>Team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328B1016" w14:textId="77777777" w:rsidR="00F962BE" w:rsidRPr="00A3130C" w:rsidRDefault="00F962BE">
            <w:pPr>
              <w:pStyle w:val="ARTabletext"/>
              <w:jc w:val="right"/>
              <w:rPr>
                <w:rFonts w:eastAsia="Times"/>
                <w:sz w:val="20"/>
              </w:rPr>
            </w:pPr>
            <w:r w:rsidRPr="00A3130C">
              <w:rPr>
                <w:rFonts w:eastAsia="Times"/>
                <w:sz w:val="20"/>
              </w:rPr>
              <w:t>74,625</w:t>
            </w:r>
          </w:p>
        </w:tc>
      </w:tr>
      <w:tr w:rsidR="00F962BE" w:rsidRPr="00A3130C" w14:paraId="10433CDB"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1CA7DF29" w14:textId="77777777" w:rsidR="00F962BE" w:rsidRPr="00A3130C" w:rsidRDefault="00F962BE">
            <w:pPr>
              <w:pStyle w:val="ARTabletext"/>
              <w:rPr>
                <w:rFonts w:eastAsia="Times"/>
                <w:sz w:val="20"/>
              </w:rPr>
            </w:pPr>
            <w:r w:rsidRPr="00A3130C">
              <w:rPr>
                <w:rFonts w:eastAsia="Times"/>
                <w:sz w:val="20"/>
              </w:rPr>
              <w:t>Anglicare Victoria</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F28EE1A" w14:textId="77777777" w:rsidR="00F962BE" w:rsidRPr="00A3130C" w:rsidRDefault="00F962BE">
            <w:pPr>
              <w:pStyle w:val="ARTabletext"/>
              <w:jc w:val="right"/>
              <w:rPr>
                <w:rFonts w:eastAsia="Times"/>
                <w:sz w:val="20"/>
              </w:rPr>
            </w:pPr>
            <w:r w:rsidRPr="00A3130C">
              <w:rPr>
                <w:rFonts w:eastAsia="Times"/>
                <w:sz w:val="20"/>
              </w:rPr>
              <w:t>26,250</w:t>
            </w:r>
          </w:p>
        </w:tc>
      </w:tr>
      <w:tr w:rsidR="00F962BE" w:rsidRPr="00A3130C" w14:paraId="4D64F2A8"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7E825620" w14:textId="77777777" w:rsidR="00F962BE" w:rsidRPr="00A3130C" w:rsidRDefault="00F962BE">
            <w:pPr>
              <w:pStyle w:val="ARTabletext"/>
              <w:rPr>
                <w:rFonts w:eastAsia="Times"/>
                <w:sz w:val="20"/>
              </w:rPr>
            </w:pPr>
            <w:r w:rsidRPr="00A3130C">
              <w:rPr>
                <w:rFonts w:eastAsia="Times"/>
                <w:sz w:val="20"/>
              </w:rPr>
              <w:t>Ararat Neighbourhood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92F0F25" w14:textId="77777777" w:rsidR="00F962BE" w:rsidRPr="00A3130C" w:rsidRDefault="00F962BE">
            <w:pPr>
              <w:pStyle w:val="ARTabletext"/>
              <w:jc w:val="right"/>
              <w:rPr>
                <w:rFonts w:eastAsia="Times"/>
                <w:sz w:val="20"/>
              </w:rPr>
            </w:pPr>
            <w:r w:rsidRPr="00A3130C">
              <w:rPr>
                <w:rFonts w:eastAsia="Times"/>
                <w:sz w:val="20"/>
              </w:rPr>
              <w:t>76,125</w:t>
            </w:r>
          </w:p>
        </w:tc>
      </w:tr>
      <w:tr w:rsidR="00F962BE" w:rsidRPr="00A3130C" w14:paraId="4E63FC61"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34BDE64E" w14:textId="77777777" w:rsidR="00F962BE" w:rsidRPr="00A3130C" w:rsidRDefault="00F962BE">
            <w:pPr>
              <w:pStyle w:val="ARTabletext"/>
              <w:rPr>
                <w:rFonts w:eastAsia="Times"/>
                <w:sz w:val="20"/>
              </w:rPr>
            </w:pPr>
            <w:r w:rsidRPr="00A3130C">
              <w:rPr>
                <w:rFonts w:eastAsia="Times"/>
                <w:sz w:val="20"/>
              </w:rPr>
              <w:t>Aspendale Gardens Community</w:t>
            </w:r>
            <w:r>
              <w:rPr>
                <w:rFonts w:eastAsia="Times"/>
                <w:sz w:val="20"/>
              </w:rPr>
              <w:t> </w:t>
            </w:r>
            <w:r w:rsidRPr="00A3130C">
              <w:rPr>
                <w:rFonts w:eastAsia="Times"/>
                <w:sz w:val="20"/>
              </w:rPr>
              <w:t>Service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4391EEA" w14:textId="77777777" w:rsidR="00F962BE" w:rsidRPr="00A3130C" w:rsidRDefault="00F962BE">
            <w:pPr>
              <w:pStyle w:val="ARTabletext"/>
              <w:jc w:val="right"/>
              <w:rPr>
                <w:rFonts w:eastAsia="Times"/>
                <w:sz w:val="20"/>
              </w:rPr>
            </w:pPr>
            <w:r w:rsidRPr="00A3130C">
              <w:rPr>
                <w:rFonts w:eastAsia="Times"/>
                <w:sz w:val="20"/>
              </w:rPr>
              <w:t>4,290</w:t>
            </w:r>
          </w:p>
        </w:tc>
      </w:tr>
      <w:tr w:rsidR="00F962BE" w:rsidRPr="00A3130C" w14:paraId="2456DDCC"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6CD5FB5D" w14:textId="77777777" w:rsidR="00F962BE" w:rsidRPr="00A3130C" w:rsidRDefault="00F962BE">
            <w:pPr>
              <w:pStyle w:val="ARTabletext"/>
              <w:rPr>
                <w:rFonts w:eastAsia="Times"/>
                <w:sz w:val="20"/>
              </w:rPr>
            </w:pPr>
            <w:r w:rsidRPr="00A3130C">
              <w:rPr>
                <w:rFonts w:eastAsia="Times"/>
                <w:sz w:val="20"/>
              </w:rPr>
              <w:t>Australia Hindu Maha Sabha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8190EBA" w14:textId="77777777" w:rsidR="00F962BE" w:rsidRPr="00A3130C" w:rsidRDefault="00F962BE">
            <w:pPr>
              <w:pStyle w:val="ARTabletext"/>
              <w:jc w:val="right"/>
              <w:rPr>
                <w:rFonts w:eastAsia="Times"/>
                <w:sz w:val="20"/>
              </w:rPr>
            </w:pPr>
            <w:r w:rsidRPr="00A3130C">
              <w:rPr>
                <w:rFonts w:eastAsia="Times"/>
                <w:sz w:val="20"/>
              </w:rPr>
              <w:t>7,750</w:t>
            </w:r>
          </w:p>
        </w:tc>
      </w:tr>
      <w:tr w:rsidR="00F962BE" w:rsidRPr="00A3130C" w14:paraId="36B07795"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3387A7FD" w14:textId="77777777" w:rsidR="00F962BE" w:rsidRPr="00A3130C" w:rsidRDefault="00F962BE">
            <w:pPr>
              <w:pStyle w:val="ARTabletext"/>
              <w:rPr>
                <w:rFonts w:eastAsia="Times"/>
                <w:sz w:val="20"/>
              </w:rPr>
            </w:pPr>
            <w:r w:rsidRPr="00A3130C">
              <w:rPr>
                <w:rFonts w:eastAsia="Times"/>
                <w:sz w:val="20"/>
              </w:rPr>
              <w:t>Australian Multicultural Community Services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6445652" w14:textId="77777777" w:rsidR="00F962BE" w:rsidRPr="00A3130C" w:rsidRDefault="00F962BE">
            <w:pPr>
              <w:pStyle w:val="ARTabletext"/>
              <w:jc w:val="right"/>
              <w:rPr>
                <w:rFonts w:eastAsia="Times"/>
                <w:sz w:val="20"/>
              </w:rPr>
            </w:pPr>
            <w:r w:rsidRPr="00A3130C">
              <w:rPr>
                <w:rFonts w:eastAsia="Times"/>
                <w:sz w:val="20"/>
              </w:rPr>
              <w:t>56,250</w:t>
            </w:r>
          </w:p>
        </w:tc>
      </w:tr>
      <w:tr w:rsidR="00F962BE" w:rsidRPr="00A3130C" w14:paraId="7DEFB727"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2AE86945" w14:textId="77777777" w:rsidR="00F962BE" w:rsidRPr="00A3130C" w:rsidRDefault="00F962BE">
            <w:pPr>
              <w:pStyle w:val="ARTabletext"/>
              <w:rPr>
                <w:rFonts w:eastAsia="Times"/>
                <w:sz w:val="20"/>
              </w:rPr>
            </w:pPr>
            <w:r w:rsidRPr="00A3130C">
              <w:rPr>
                <w:rFonts w:eastAsia="Times"/>
                <w:sz w:val="20"/>
              </w:rPr>
              <w:t>Australian Sikh Support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311B4340" w14:textId="77777777" w:rsidR="00F962BE" w:rsidRPr="00A3130C" w:rsidRDefault="00F962BE">
            <w:pPr>
              <w:pStyle w:val="ARTabletext"/>
              <w:jc w:val="right"/>
              <w:rPr>
                <w:rFonts w:eastAsia="Times"/>
                <w:sz w:val="20"/>
              </w:rPr>
            </w:pPr>
            <w:r w:rsidRPr="00A3130C">
              <w:rPr>
                <w:rFonts w:eastAsia="Times"/>
                <w:sz w:val="20"/>
              </w:rPr>
              <w:t>70,000</w:t>
            </w:r>
          </w:p>
        </w:tc>
      </w:tr>
      <w:tr w:rsidR="00F962BE" w:rsidRPr="00A3130C" w14:paraId="35C44E4D"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70524941" w14:textId="77777777" w:rsidR="00F962BE" w:rsidRPr="00A3130C" w:rsidRDefault="00F962BE">
            <w:pPr>
              <w:pStyle w:val="ARTabletext"/>
              <w:rPr>
                <w:rFonts w:eastAsia="Times"/>
                <w:sz w:val="20"/>
              </w:rPr>
            </w:pPr>
            <w:proofErr w:type="gramStart"/>
            <w:r w:rsidRPr="00A3130C">
              <w:rPr>
                <w:rFonts w:eastAsia="Times"/>
                <w:sz w:val="20"/>
              </w:rPr>
              <w:t>Australian-Filipino</w:t>
            </w:r>
            <w:proofErr w:type="gramEnd"/>
            <w:r w:rsidRPr="00A3130C">
              <w:rPr>
                <w:rFonts w:eastAsia="Times"/>
                <w:sz w:val="20"/>
              </w:rPr>
              <w:t xml:space="preserve"> Community Services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FD126A5" w14:textId="77777777" w:rsidR="00F962BE" w:rsidRPr="00A3130C" w:rsidRDefault="00F962BE">
            <w:pPr>
              <w:pStyle w:val="ARTabletext"/>
              <w:jc w:val="right"/>
              <w:rPr>
                <w:rFonts w:eastAsia="Times"/>
                <w:sz w:val="20"/>
              </w:rPr>
            </w:pPr>
            <w:r w:rsidRPr="00A3130C">
              <w:rPr>
                <w:rFonts w:eastAsia="Times"/>
                <w:sz w:val="20"/>
              </w:rPr>
              <w:t>18,750</w:t>
            </w:r>
          </w:p>
        </w:tc>
      </w:tr>
      <w:tr w:rsidR="00F962BE" w:rsidRPr="00A3130C" w14:paraId="6DBDEFC9"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46FCA8F4" w14:textId="77777777" w:rsidR="00F962BE" w:rsidRPr="00A3130C" w:rsidRDefault="00F962BE">
            <w:pPr>
              <w:pStyle w:val="ARTabletext"/>
              <w:rPr>
                <w:rFonts w:eastAsia="Times"/>
                <w:sz w:val="20"/>
              </w:rPr>
            </w:pPr>
            <w:r w:rsidRPr="00A3130C">
              <w:rPr>
                <w:rFonts w:eastAsia="Times"/>
                <w:sz w:val="20"/>
              </w:rPr>
              <w:t>Bairnsdale Neighbourhood House</w:t>
            </w:r>
            <w:r>
              <w:rPr>
                <w:rFonts w:eastAsia="Times"/>
                <w:sz w:val="20"/>
              </w:rPr>
              <w:t> </w:t>
            </w:r>
            <w:r w:rsidRPr="00A3130C">
              <w:rPr>
                <w:rFonts w:eastAsia="Times"/>
                <w:sz w:val="20"/>
              </w:rPr>
              <w:t>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5EA6F55" w14:textId="77777777" w:rsidR="00F962BE" w:rsidRPr="00A3130C" w:rsidRDefault="00F962BE">
            <w:pPr>
              <w:pStyle w:val="ARTabletext"/>
              <w:jc w:val="right"/>
              <w:rPr>
                <w:rFonts w:eastAsia="Times"/>
                <w:sz w:val="20"/>
              </w:rPr>
            </w:pPr>
            <w:r w:rsidRPr="00A3130C">
              <w:rPr>
                <w:rFonts w:eastAsia="Times"/>
                <w:sz w:val="20"/>
              </w:rPr>
              <w:t>61,000</w:t>
            </w:r>
          </w:p>
        </w:tc>
      </w:tr>
      <w:tr w:rsidR="00F962BE" w:rsidRPr="00A3130C" w14:paraId="274ACC7E"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AA4DF0B" w14:textId="77777777" w:rsidR="00F962BE" w:rsidRPr="00A3130C" w:rsidRDefault="00F962BE">
            <w:pPr>
              <w:pStyle w:val="ARTabletext"/>
              <w:rPr>
                <w:rFonts w:eastAsia="Times"/>
                <w:sz w:val="20"/>
              </w:rPr>
            </w:pPr>
            <w:r w:rsidRPr="00A3130C">
              <w:rPr>
                <w:rFonts w:eastAsia="Times"/>
                <w:sz w:val="20"/>
              </w:rPr>
              <w:t xml:space="preserve">Balla </w:t>
            </w:r>
            <w:proofErr w:type="spellStart"/>
            <w:r w:rsidRPr="00A3130C">
              <w:rPr>
                <w:rFonts w:eastAsia="Times"/>
                <w:sz w:val="20"/>
              </w:rPr>
              <w:t>Balla</w:t>
            </w:r>
            <w:proofErr w:type="spellEnd"/>
            <w:r w:rsidRPr="00A3130C">
              <w:rPr>
                <w:rFonts w:eastAsia="Times"/>
                <w:sz w:val="20"/>
              </w:rPr>
              <w:t xml:space="preserve"> Community Centre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20D6790" w14:textId="77777777" w:rsidR="00F962BE" w:rsidRPr="00A3130C" w:rsidRDefault="00F962BE">
            <w:pPr>
              <w:pStyle w:val="ARTabletext"/>
              <w:jc w:val="right"/>
              <w:rPr>
                <w:rFonts w:eastAsia="Times"/>
                <w:sz w:val="20"/>
              </w:rPr>
            </w:pPr>
            <w:r w:rsidRPr="00A3130C">
              <w:rPr>
                <w:rFonts w:eastAsia="Times"/>
                <w:sz w:val="20"/>
              </w:rPr>
              <w:t>18,000</w:t>
            </w:r>
          </w:p>
        </w:tc>
      </w:tr>
      <w:tr w:rsidR="00F962BE" w:rsidRPr="00A3130C" w14:paraId="360DFF18"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7B93B4B1" w14:textId="77777777" w:rsidR="00F962BE" w:rsidRPr="00A3130C" w:rsidRDefault="00F962BE">
            <w:pPr>
              <w:pStyle w:val="ARTabletext"/>
              <w:rPr>
                <w:rFonts w:eastAsia="Times"/>
                <w:sz w:val="20"/>
              </w:rPr>
            </w:pPr>
            <w:r w:rsidRPr="00A3130C">
              <w:rPr>
                <w:rFonts w:eastAsia="Times"/>
                <w:sz w:val="20"/>
              </w:rPr>
              <w:t>Ballarat Neighbourhood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C87EFF8" w14:textId="77777777" w:rsidR="00F962BE" w:rsidRPr="00A3130C" w:rsidRDefault="00F962BE">
            <w:pPr>
              <w:pStyle w:val="ARTabletext"/>
              <w:jc w:val="right"/>
              <w:rPr>
                <w:rFonts w:eastAsia="Times"/>
                <w:sz w:val="20"/>
              </w:rPr>
            </w:pPr>
            <w:r w:rsidRPr="00A3130C">
              <w:rPr>
                <w:rFonts w:eastAsia="Times"/>
                <w:sz w:val="20"/>
              </w:rPr>
              <w:t>35,250</w:t>
            </w:r>
          </w:p>
        </w:tc>
      </w:tr>
      <w:tr w:rsidR="00F962BE" w:rsidRPr="00A3130C" w14:paraId="65687CD7"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52001B40" w14:textId="77777777" w:rsidR="00F962BE" w:rsidRPr="00A3130C" w:rsidRDefault="00F962BE">
            <w:pPr>
              <w:pStyle w:val="ARTabletext"/>
              <w:rPr>
                <w:rFonts w:eastAsia="Times"/>
                <w:sz w:val="20"/>
              </w:rPr>
            </w:pPr>
            <w:r w:rsidRPr="00A3130C">
              <w:rPr>
                <w:rFonts w:eastAsia="Times"/>
                <w:sz w:val="20"/>
              </w:rPr>
              <w:t>Ballarat Regional Multicultural Council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92256CA" w14:textId="77777777" w:rsidR="00F962BE" w:rsidRPr="00A3130C" w:rsidRDefault="00F962BE">
            <w:pPr>
              <w:pStyle w:val="ARTabletext"/>
              <w:jc w:val="right"/>
              <w:rPr>
                <w:rFonts w:eastAsia="Times"/>
                <w:sz w:val="20"/>
              </w:rPr>
            </w:pPr>
            <w:r w:rsidRPr="00A3130C">
              <w:rPr>
                <w:rFonts w:eastAsia="Times"/>
                <w:sz w:val="20"/>
              </w:rPr>
              <w:t>74,125</w:t>
            </w:r>
          </w:p>
        </w:tc>
      </w:tr>
      <w:tr w:rsidR="00F962BE" w:rsidRPr="00A3130C" w14:paraId="4BD2CB5B"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748A2ECD" w14:textId="77777777" w:rsidR="00F962BE" w:rsidRPr="00A3130C" w:rsidRDefault="00F962BE">
            <w:pPr>
              <w:pStyle w:val="ARTabletext"/>
              <w:rPr>
                <w:rFonts w:eastAsia="Times"/>
                <w:sz w:val="20"/>
              </w:rPr>
            </w:pPr>
            <w:r w:rsidRPr="00A3130C">
              <w:rPr>
                <w:rFonts w:eastAsia="Times"/>
                <w:sz w:val="20"/>
              </w:rPr>
              <w:t>Banksia Gardens Association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432617C" w14:textId="77777777" w:rsidR="00F962BE" w:rsidRPr="00A3130C" w:rsidRDefault="00F962BE">
            <w:pPr>
              <w:pStyle w:val="ARTabletext"/>
              <w:jc w:val="right"/>
              <w:rPr>
                <w:rFonts w:eastAsia="Times"/>
                <w:sz w:val="20"/>
              </w:rPr>
            </w:pPr>
            <w:r w:rsidRPr="00A3130C">
              <w:rPr>
                <w:rFonts w:eastAsia="Times"/>
                <w:sz w:val="20"/>
              </w:rPr>
              <w:t>57,500</w:t>
            </w:r>
          </w:p>
        </w:tc>
      </w:tr>
      <w:tr w:rsidR="00F962BE" w:rsidRPr="00A3130C" w14:paraId="0F26EE3D"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70D03EE4" w14:textId="77777777" w:rsidR="00F962BE" w:rsidRPr="00A3130C" w:rsidRDefault="00F962BE">
            <w:pPr>
              <w:pStyle w:val="ARTabletext"/>
              <w:rPr>
                <w:rFonts w:eastAsia="Times"/>
                <w:sz w:val="20"/>
              </w:rPr>
            </w:pPr>
            <w:r w:rsidRPr="00A3130C">
              <w:rPr>
                <w:rFonts w:eastAsia="Times"/>
                <w:sz w:val="20"/>
              </w:rPr>
              <w:t>Bannockburn &amp; District Men's Shed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009B30F" w14:textId="77777777" w:rsidR="00F962BE" w:rsidRPr="00A3130C" w:rsidRDefault="00F962BE">
            <w:pPr>
              <w:pStyle w:val="ARTabletext"/>
              <w:jc w:val="right"/>
              <w:rPr>
                <w:rFonts w:eastAsia="Times"/>
                <w:sz w:val="20"/>
              </w:rPr>
            </w:pPr>
            <w:r w:rsidRPr="00A3130C">
              <w:rPr>
                <w:rFonts w:eastAsia="Times"/>
                <w:sz w:val="20"/>
              </w:rPr>
              <w:t>34,100</w:t>
            </w:r>
          </w:p>
        </w:tc>
      </w:tr>
      <w:tr w:rsidR="00F962BE" w:rsidRPr="00A3130C" w14:paraId="2F134603"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638E5EF2" w14:textId="77777777" w:rsidR="00F962BE" w:rsidRPr="00A3130C" w:rsidRDefault="00F962BE">
            <w:pPr>
              <w:pStyle w:val="ARTabletext"/>
              <w:rPr>
                <w:rFonts w:eastAsia="Times"/>
                <w:sz w:val="20"/>
              </w:rPr>
            </w:pPr>
            <w:r w:rsidRPr="00A3130C">
              <w:rPr>
                <w:rFonts w:eastAsia="Times"/>
                <w:sz w:val="20"/>
              </w:rPr>
              <w:t>Bayside Community Information &amp;</w:t>
            </w:r>
            <w:r>
              <w:rPr>
                <w:rFonts w:eastAsia="Times"/>
                <w:sz w:val="20"/>
              </w:rPr>
              <w:t> </w:t>
            </w:r>
            <w:r w:rsidRPr="00A3130C">
              <w:rPr>
                <w:rFonts w:eastAsia="Times"/>
                <w:sz w:val="20"/>
              </w:rPr>
              <w:t>Support Service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7DD47AA" w14:textId="77777777" w:rsidR="00F962BE" w:rsidRPr="00A3130C" w:rsidRDefault="00F962BE">
            <w:pPr>
              <w:pStyle w:val="ARTabletext"/>
              <w:jc w:val="right"/>
              <w:rPr>
                <w:rFonts w:eastAsia="Times"/>
                <w:sz w:val="20"/>
              </w:rPr>
            </w:pPr>
            <w:r w:rsidRPr="00A3130C">
              <w:rPr>
                <w:rFonts w:eastAsia="Times"/>
                <w:sz w:val="20"/>
              </w:rPr>
              <w:t>20,000</w:t>
            </w:r>
          </w:p>
        </w:tc>
      </w:tr>
      <w:tr w:rsidR="00F962BE" w:rsidRPr="00A3130C" w14:paraId="5C5C273E"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1171A13B" w14:textId="77777777" w:rsidR="00F962BE" w:rsidRPr="00A3130C" w:rsidRDefault="00F962BE">
            <w:pPr>
              <w:pStyle w:val="ARTabletext"/>
              <w:rPr>
                <w:rFonts w:eastAsia="Times"/>
                <w:sz w:val="20"/>
              </w:rPr>
            </w:pPr>
            <w:r w:rsidRPr="00A3130C">
              <w:rPr>
                <w:rFonts w:eastAsia="Times"/>
                <w:sz w:val="20"/>
              </w:rPr>
              <w:t>Belgium Avenue Neighbourhood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F431A7E" w14:textId="77777777" w:rsidR="00F962BE" w:rsidRPr="00A3130C" w:rsidRDefault="00F962BE">
            <w:pPr>
              <w:pStyle w:val="ARTabletext"/>
              <w:jc w:val="right"/>
              <w:rPr>
                <w:rFonts w:eastAsia="Times"/>
                <w:sz w:val="20"/>
              </w:rPr>
            </w:pPr>
            <w:r w:rsidRPr="00A3130C">
              <w:rPr>
                <w:rFonts w:eastAsia="Times"/>
                <w:sz w:val="20"/>
              </w:rPr>
              <w:t>16,704</w:t>
            </w:r>
          </w:p>
        </w:tc>
      </w:tr>
      <w:tr w:rsidR="00F962BE" w:rsidRPr="00A3130C" w14:paraId="03AD266F"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65A5CB3" w14:textId="77777777" w:rsidR="00F962BE" w:rsidRPr="00A3130C" w:rsidRDefault="00F962BE">
            <w:pPr>
              <w:pStyle w:val="ARTabletext"/>
              <w:rPr>
                <w:rFonts w:eastAsia="Times"/>
                <w:sz w:val="20"/>
              </w:rPr>
            </w:pPr>
            <w:r w:rsidRPr="00A3130C">
              <w:rPr>
                <w:rFonts w:eastAsia="Times"/>
                <w:sz w:val="20"/>
              </w:rPr>
              <w:t>Bellarine Living and Learning Centre</w:t>
            </w:r>
            <w:r>
              <w:rPr>
                <w:rFonts w:eastAsia="Times"/>
                <w:sz w:val="20"/>
              </w:rPr>
              <w:t> </w:t>
            </w:r>
            <w:r w:rsidRPr="00A3130C">
              <w:rPr>
                <w:rFonts w:eastAsia="Times"/>
                <w:sz w:val="20"/>
              </w:rPr>
              <w:t>Inc – t/a Whittington Neighbourhood</w:t>
            </w:r>
            <w:r>
              <w:rPr>
                <w:rFonts w:eastAsia="Times"/>
                <w:sz w:val="20"/>
              </w:rPr>
              <w:t> </w:t>
            </w:r>
            <w:r w:rsidRPr="00A3130C">
              <w:rPr>
                <w:rFonts w:eastAsia="Times"/>
                <w:sz w:val="20"/>
              </w:rPr>
              <w:t>House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3A31D6F" w14:textId="77777777" w:rsidR="00F962BE" w:rsidRPr="00A3130C" w:rsidRDefault="00F962BE">
            <w:pPr>
              <w:pStyle w:val="ARTabletext"/>
              <w:jc w:val="right"/>
              <w:rPr>
                <w:rFonts w:eastAsia="Times"/>
                <w:sz w:val="20"/>
              </w:rPr>
            </w:pPr>
            <w:r w:rsidRPr="00A3130C">
              <w:rPr>
                <w:rFonts w:eastAsia="Times"/>
                <w:sz w:val="20"/>
              </w:rPr>
              <w:t>4,951</w:t>
            </w:r>
          </w:p>
        </w:tc>
      </w:tr>
      <w:tr w:rsidR="00F962BE" w:rsidRPr="00A3130C" w14:paraId="06903F74"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4A83483" w14:textId="77777777" w:rsidR="00F962BE" w:rsidRPr="00A3130C" w:rsidRDefault="00F962BE">
            <w:pPr>
              <w:pStyle w:val="ARTabletext"/>
              <w:rPr>
                <w:rFonts w:eastAsia="Times"/>
                <w:sz w:val="20"/>
              </w:rPr>
            </w:pPr>
            <w:r w:rsidRPr="00A3130C">
              <w:rPr>
                <w:rFonts w:eastAsia="Times"/>
                <w:sz w:val="20"/>
              </w:rPr>
              <w:t>Bellarine Woodworkers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3F3444E" w14:textId="77777777" w:rsidR="00F962BE" w:rsidRPr="00A3130C" w:rsidRDefault="00F962BE">
            <w:pPr>
              <w:pStyle w:val="ARTabletext"/>
              <w:jc w:val="right"/>
              <w:rPr>
                <w:rFonts w:eastAsia="Times"/>
                <w:sz w:val="20"/>
              </w:rPr>
            </w:pPr>
            <w:r w:rsidRPr="00A3130C">
              <w:rPr>
                <w:rFonts w:eastAsia="Times"/>
                <w:sz w:val="20"/>
              </w:rPr>
              <w:t>8,000</w:t>
            </w:r>
          </w:p>
        </w:tc>
      </w:tr>
      <w:tr w:rsidR="00F962BE" w:rsidRPr="00A3130C" w14:paraId="3AB9EDED"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66DEF3D2" w14:textId="77777777" w:rsidR="00F962BE" w:rsidRPr="00A3130C" w:rsidRDefault="00F962BE">
            <w:pPr>
              <w:pStyle w:val="ARTabletext"/>
              <w:rPr>
                <w:rFonts w:eastAsia="Times"/>
                <w:sz w:val="20"/>
              </w:rPr>
            </w:pPr>
            <w:r w:rsidRPr="00A3130C">
              <w:rPr>
                <w:rFonts w:eastAsia="Times"/>
                <w:sz w:val="20"/>
              </w:rPr>
              <w:t>Bendigo and District Aboriginal</w:t>
            </w:r>
            <w:r>
              <w:rPr>
                <w:rFonts w:eastAsia="Times"/>
                <w:sz w:val="20"/>
              </w:rPr>
              <w:t> </w:t>
            </w:r>
            <w:r w:rsidRPr="00A3130C">
              <w:rPr>
                <w:rFonts w:eastAsia="Times"/>
                <w:sz w:val="20"/>
              </w:rPr>
              <w:t>Cooperative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23C9F5A" w14:textId="77777777" w:rsidR="00F962BE" w:rsidRPr="00A3130C" w:rsidRDefault="00F962BE">
            <w:pPr>
              <w:pStyle w:val="ARTabletext"/>
              <w:jc w:val="right"/>
              <w:rPr>
                <w:rFonts w:eastAsia="Times"/>
                <w:sz w:val="20"/>
              </w:rPr>
            </w:pPr>
            <w:r w:rsidRPr="00A3130C">
              <w:rPr>
                <w:rFonts w:eastAsia="Times"/>
                <w:sz w:val="20"/>
              </w:rPr>
              <w:t>11,518</w:t>
            </w:r>
          </w:p>
        </w:tc>
      </w:tr>
      <w:tr w:rsidR="00F962BE" w:rsidRPr="00A3130C" w14:paraId="582F6D44"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09E979B6" w14:textId="77777777" w:rsidR="00F962BE" w:rsidRPr="00A3130C" w:rsidRDefault="00F962BE">
            <w:pPr>
              <w:pStyle w:val="ARTabletext"/>
              <w:rPr>
                <w:rFonts w:eastAsia="Times"/>
                <w:sz w:val="20"/>
              </w:rPr>
            </w:pPr>
            <w:r w:rsidRPr="00A3130C">
              <w:rPr>
                <w:rFonts w:eastAsia="Times"/>
                <w:sz w:val="20"/>
              </w:rPr>
              <w:t>Bendigo Community Health Services</w:t>
            </w:r>
            <w:r>
              <w:rPr>
                <w:rFonts w:eastAsia="Times"/>
                <w:sz w:val="20"/>
              </w:rPr>
              <w:t> </w:t>
            </w:r>
            <w:r w:rsidRPr="00A3130C">
              <w:rPr>
                <w:rFonts w:eastAsia="Times"/>
                <w:sz w:val="20"/>
              </w:rPr>
              <w:t>Limited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CEF0213" w14:textId="77777777" w:rsidR="00F962BE" w:rsidRPr="00A3130C" w:rsidRDefault="00F962BE">
            <w:pPr>
              <w:pStyle w:val="ARTabletext"/>
              <w:jc w:val="right"/>
              <w:rPr>
                <w:rFonts w:eastAsia="Times"/>
                <w:sz w:val="20"/>
              </w:rPr>
            </w:pPr>
            <w:r w:rsidRPr="00A3130C">
              <w:rPr>
                <w:rFonts w:eastAsia="Times"/>
                <w:sz w:val="20"/>
              </w:rPr>
              <w:t>32,000</w:t>
            </w:r>
          </w:p>
        </w:tc>
      </w:tr>
      <w:tr w:rsidR="00F962BE" w:rsidRPr="00A3130C" w14:paraId="3BBEFCBB"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2E7FA5CB" w14:textId="77777777" w:rsidR="00F962BE" w:rsidRPr="00A3130C" w:rsidRDefault="00F962BE">
            <w:pPr>
              <w:pStyle w:val="ARTabletext"/>
              <w:rPr>
                <w:rFonts w:eastAsia="Times"/>
                <w:sz w:val="20"/>
              </w:rPr>
            </w:pPr>
            <w:r w:rsidRPr="00A3130C">
              <w:rPr>
                <w:rFonts w:eastAsia="Times"/>
                <w:sz w:val="20"/>
              </w:rPr>
              <w:t>Bendigo Foodshare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2081949" w14:textId="77777777" w:rsidR="00F962BE" w:rsidRPr="00A3130C" w:rsidRDefault="00F962BE">
            <w:pPr>
              <w:pStyle w:val="ARTabletext"/>
              <w:jc w:val="right"/>
              <w:rPr>
                <w:rFonts w:eastAsia="Times"/>
                <w:sz w:val="20"/>
              </w:rPr>
            </w:pPr>
            <w:r w:rsidRPr="00A3130C">
              <w:rPr>
                <w:rFonts w:eastAsia="Times"/>
                <w:sz w:val="20"/>
              </w:rPr>
              <w:t>125,000</w:t>
            </w:r>
          </w:p>
        </w:tc>
      </w:tr>
      <w:tr w:rsidR="00F962BE" w:rsidRPr="00A3130C" w14:paraId="035CB1C7"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8F26B7A" w14:textId="77777777" w:rsidR="00F962BE" w:rsidRPr="00A3130C" w:rsidRDefault="00F962BE">
            <w:pPr>
              <w:pStyle w:val="ARTabletext"/>
              <w:rPr>
                <w:rFonts w:eastAsia="Times"/>
                <w:sz w:val="20"/>
              </w:rPr>
            </w:pPr>
            <w:r w:rsidRPr="00A3130C">
              <w:rPr>
                <w:rFonts w:eastAsia="Times"/>
                <w:sz w:val="20"/>
              </w:rPr>
              <w:t>Ben's Shed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711DD1E" w14:textId="77777777" w:rsidR="00F962BE" w:rsidRPr="00A3130C" w:rsidRDefault="00F962BE">
            <w:pPr>
              <w:pStyle w:val="ARTabletext"/>
              <w:jc w:val="right"/>
              <w:rPr>
                <w:rFonts w:eastAsia="Times"/>
                <w:sz w:val="20"/>
              </w:rPr>
            </w:pPr>
            <w:r w:rsidRPr="00A3130C">
              <w:rPr>
                <w:rFonts w:eastAsia="Times"/>
                <w:sz w:val="20"/>
              </w:rPr>
              <w:t>41,185</w:t>
            </w:r>
          </w:p>
        </w:tc>
      </w:tr>
      <w:tr w:rsidR="00F962BE" w:rsidRPr="00A3130C" w14:paraId="20308194"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161CC5BC" w14:textId="77777777" w:rsidR="00F962BE" w:rsidRPr="00A3130C" w:rsidRDefault="00F962BE">
            <w:pPr>
              <w:pStyle w:val="ARTabletext"/>
              <w:rPr>
                <w:rFonts w:eastAsia="Times"/>
                <w:sz w:val="20"/>
              </w:rPr>
            </w:pPr>
            <w:r w:rsidRPr="00A3130C">
              <w:rPr>
                <w:rFonts w:eastAsia="Times"/>
                <w:sz w:val="20"/>
              </w:rPr>
              <w:t>Berwick District Woodworkers Club</w:t>
            </w:r>
            <w:r>
              <w:rPr>
                <w:rFonts w:eastAsia="Times"/>
                <w:sz w:val="20"/>
              </w:rPr>
              <w:t> </w:t>
            </w:r>
            <w:r w:rsidRPr="00A3130C">
              <w:rPr>
                <w:rFonts w:eastAsia="Times"/>
                <w:sz w:val="20"/>
              </w:rPr>
              <w:t>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8DA77BD" w14:textId="77777777" w:rsidR="00F962BE" w:rsidRPr="00A3130C" w:rsidRDefault="00F962BE">
            <w:pPr>
              <w:pStyle w:val="ARTabletext"/>
              <w:jc w:val="right"/>
              <w:rPr>
                <w:rFonts w:eastAsia="Times"/>
                <w:sz w:val="20"/>
              </w:rPr>
            </w:pPr>
            <w:r w:rsidRPr="00A3130C">
              <w:rPr>
                <w:rFonts w:eastAsia="Times"/>
                <w:sz w:val="20"/>
              </w:rPr>
              <w:t>5,787</w:t>
            </w:r>
          </w:p>
        </w:tc>
      </w:tr>
      <w:tr w:rsidR="00F962BE" w:rsidRPr="00A3130C" w14:paraId="123847BE"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7FE7BE2A" w14:textId="77777777" w:rsidR="00F962BE" w:rsidRPr="00A3130C" w:rsidRDefault="00F962BE">
            <w:pPr>
              <w:pStyle w:val="ARTabletext"/>
              <w:rPr>
                <w:rFonts w:eastAsia="Times"/>
                <w:sz w:val="20"/>
              </w:rPr>
            </w:pPr>
            <w:r w:rsidRPr="00A3130C">
              <w:rPr>
                <w:rFonts w:eastAsia="Times"/>
                <w:sz w:val="20"/>
              </w:rPr>
              <w:t>Big Group Hug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8774252" w14:textId="77777777" w:rsidR="00F962BE" w:rsidRPr="00A3130C" w:rsidRDefault="00F962BE">
            <w:pPr>
              <w:pStyle w:val="ARTabletext"/>
              <w:jc w:val="right"/>
              <w:rPr>
                <w:rFonts w:eastAsia="Times"/>
                <w:sz w:val="20"/>
              </w:rPr>
            </w:pPr>
            <w:r w:rsidRPr="00A3130C">
              <w:rPr>
                <w:rFonts w:eastAsia="Times"/>
                <w:sz w:val="20"/>
              </w:rPr>
              <w:t>18,750</w:t>
            </w:r>
          </w:p>
        </w:tc>
      </w:tr>
      <w:tr w:rsidR="00F962BE" w:rsidRPr="00A3130C" w14:paraId="2BED1397"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1424F28F" w14:textId="77777777" w:rsidR="00F962BE" w:rsidRPr="00A3130C" w:rsidRDefault="00F962BE">
            <w:pPr>
              <w:pStyle w:val="ARTabletext"/>
              <w:rPr>
                <w:rFonts w:eastAsia="Times"/>
                <w:sz w:val="20"/>
              </w:rPr>
            </w:pPr>
            <w:proofErr w:type="spellStart"/>
            <w:r w:rsidRPr="00A3130C">
              <w:rPr>
                <w:rFonts w:eastAsia="Times"/>
                <w:sz w:val="20"/>
              </w:rPr>
              <w:t>Birallee</w:t>
            </w:r>
            <w:proofErr w:type="spellEnd"/>
            <w:r w:rsidRPr="00A3130C">
              <w:rPr>
                <w:rFonts w:eastAsia="Times"/>
                <w:sz w:val="20"/>
              </w:rPr>
              <w:t xml:space="preserve"> Park </w:t>
            </w:r>
            <w:proofErr w:type="spellStart"/>
            <w:r w:rsidRPr="00A3130C">
              <w:rPr>
                <w:rFonts w:eastAsia="Times"/>
                <w:sz w:val="20"/>
              </w:rPr>
              <w:t>Neighborhood</w:t>
            </w:r>
            <w:proofErr w:type="spellEnd"/>
            <w:r w:rsidRPr="00A3130C">
              <w:rPr>
                <w:rFonts w:eastAsia="Times"/>
                <w:sz w:val="20"/>
              </w:rPr>
              <w:t xml:space="preserve"> House</w:t>
            </w:r>
            <w:r>
              <w:rPr>
                <w:rFonts w:eastAsia="Times"/>
                <w:sz w:val="20"/>
              </w:rPr>
              <w:t> </w:t>
            </w:r>
            <w:r w:rsidRPr="00A3130C">
              <w:rPr>
                <w:rFonts w:eastAsia="Times"/>
                <w:sz w:val="20"/>
              </w:rPr>
              <w:t>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87A03B5" w14:textId="77777777" w:rsidR="00F962BE" w:rsidRPr="00A3130C" w:rsidRDefault="00F962BE">
            <w:pPr>
              <w:pStyle w:val="ARTabletext"/>
              <w:jc w:val="right"/>
              <w:rPr>
                <w:rFonts w:eastAsia="Times"/>
                <w:sz w:val="20"/>
              </w:rPr>
            </w:pPr>
            <w:r w:rsidRPr="00A3130C">
              <w:rPr>
                <w:rFonts w:eastAsia="Times"/>
                <w:sz w:val="20"/>
              </w:rPr>
              <w:t>21,613</w:t>
            </w:r>
          </w:p>
        </w:tc>
      </w:tr>
      <w:tr w:rsidR="00F962BE" w:rsidRPr="00A3130C" w14:paraId="37F9D6AE"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411563B8" w14:textId="77777777" w:rsidR="00F962BE" w:rsidRPr="00A3130C" w:rsidRDefault="00F962BE">
            <w:pPr>
              <w:pStyle w:val="ARTabletext"/>
              <w:rPr>
                <w:rFonts w:eastAsia="Times"/>
                <w:sz w:val="20"/>
              </w:rPr>
            </w:pPr>
            <w:proofErr w:type="spellStart"/>
            <w:r w:rsidRPr="00A3130C">
              <w:rPr>
                <w:rFonts w:eastAsia="Times"/>
                <w:sz w:val="20"/>
              </w:rPr>
              <w:t>Boorndawan</w:t>
            </w:r>
            <w:proofErr w:type="spellEnd"/>
            <w:r w:rsidRPr="00A3130C">
              <w:rPr>
                <w:rFonts w:eastAsia="Times"/>
                <w:sz w:val="20"/>
              </w:rPr>
              <w:t xml:space="preserve"> Willam Aboriginal Healing Service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C9F57D7" w14:textId="77777777" w:rsidR="00F962BE" w:rsidRPr="00A3130C" w:rsidRDefault="00F962BE">
            <w:pPr>
              <w:pStyle w:val="ARTabletext"/>
              <w:jc w:val="right"/>
              <w:rPr>
                <w:rFonts w:eastAsia="Times"/>
                <w:sz w:val="20"/>
              </w:rPr>
            </w:pPr>
            <w:r w:rsidRPr="00A3130C">
              <w:rPr>
                <w:rFonts w:eastAsia="Times"/>
                <w:sz w:val="20"/>
              </w:rPr>
              <w:t>43,125</w:t>
            </w:r>
          </w:p>
        </w:tc>
      </w:tr>
      <w:tr w:rsidR="00F962BE" w:rsidRPr="00A3130C" w14:paraId="0DAB2D45"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06ADA98E" w14:textId="77777777" w:rsidR="00F962BE" w:rsidRPr="00A3130C" w:rsidRDefault="00F962BE">
            <w:pPr>
              <w:pStyle w:val="ARTabletext"/>
              <w:rPr>
                <w:rFonts w:eastAsia="Times"/>
                <w:sz w:val="20"/>
              </w:rPr>
            </w:pPr>
            <w:r w:rsidRPr="00A3130C">
              <w:rPr>
                <w:rFonts w:eastAsia="Times"/>
                <w:sz w:val="20"/>
              </w:rPr>
              <w:t>Boys to the Bush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F4E65FB" w14:textId="77777777" w:rsidR="00F962BE" w:rsidRPr="00A3130C" w:rsidRDefault="00F962BE">
            <w:pPr>
              <w:pStyle w:val="ARTabletext"/>
              <w:jc w:val="right"/>
              <w:rPr>
                <w:rFonts w:eastAsia="Times"/>
                <w:sz w:val="20"/>
              </w:rPr>
            </w:pPr>
            <w:r w:rsidRPr="00A3130C">
              <w:rPr>
                <w:rFonts w:eastAsia="Times"/>
                <w:sz w:val="20"/>
              </w:rPr>
              <w:t>34,500</w:t>
            </w:r>
          </w:p>
        </w:tc>
      </w:tr>
      <w:tr w:rsidR="00F962BE" w:rsidRPr="00A3130C" w14:paraId="7D99A1FC"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7AF476CC" w14:textId="77777777" w:rsidR="00F962BE" w:rsidRPr="00A3130C" w:rsidRDefault="00F962BE">
            <w:pPr>
              <w:pStyle w:val="ARTabletext"/>
              <w:rPr>
                <w:rFonts w:eastAsia="Times"/>
                <w:sz w:val="20"/>
              </w:rPr>
            </w:pPr>
            <w:r w:rsidRPr="00A3130C">
              <w:rPr>
                <w:rFonts w:eastAsia="Times"/>
                <w:sz w:val="20"/>
              </w:rPr>
              <w:t>Bright Food Co-op</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F7E5BEF" w14:textId="77777777" w:rsidR="00F962BE" w:rsidRPr="00A3130C" w:rsidRDefault="00F962BE">
            <w:pPr>
              <w:pStyle w:val="ARTabletext"/>
              <w:jc w:val="right"/>
              <w:rPr>
                <w:rFonts w:eastAsia="Times"/>
                <w:sz w:val="20"/>
              </w:rPr>
            </w:pPr>
            <w:r w:rsidRPr="00A3130C">
              <w:rPr>
                <w:rFonts w:eastAsia="Times"/>
                <w:sz w:val="20"/>
              </w:rPr>
              <w:t>50,000</w:t>
            </w:r>
          </w:p>
        </w:tc>
      </w:tr>
      <w:tr w:rsidR="00F962BE" w:rsidRPr="00A3130C" w14:paraId="502B6B96"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09E8294D" w14:textId="77777777" w:rsidR="00F962BE" w:rsidRPr="00A3130C" w:rsidRDefault="00F962BE">
            <w:pPr>
              <w:pStyle w:val="ARTabletext"/>
              <w:rPr>
                <w:rFonts w:eastAsia="Times"/>
                <w:sz w:val="20"/>
              </w:rPr>
            </w:pPr>
            <w:proofErr w:type="spellStart"/>
            <w:r w:rsidRPr="00A3130C">
              <w:rPr>
                <w:rFonts w:eastAsia="Times"/>
                <w:sz w:val="20"/>
              </w:rPr>
              <w:t>Brimbank</w:t>
            </w:r>
            <w:proofErr w:type="spellEnd"/>
            <w:r w:rsidRPr="00A3130C">
              <w:rPr>
                <w:rFonts w:eastAsia="Times"/>
                <w:sz w:val="20"/>
              </w:rPr>
              <w:t xml:space="preserve"> City Council</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A85200D" w14:textId="77777777" w:rsidR="00F962BE" w:rsidRPr="00A3130C" w:rsidRDefault="00F962BE">
            <w:pPr>
              <w:pStyle w:val="ARTabletext"/>
              <w:jc w:val="right"/>
              <w:rPr>
                <w:rFonts w:eastAsia="Times"/>
                <w:sz w:val="20"/>
              </w:rPr>
            </w:pPr>
            <w:r w:rsidRPr="00A3130C">
              <w:rPr>
                <w:rFonts w:eastAsia="Times"/>
                <w:sz w:val="20"/>
              </w:rPr>
              <w:t>100,000</w:t>
            </w:r>
          </w:p>
        </w:tc>
      </w:tr>
      <w:tr w:rsidR="00F962BE" w:rsidRPr="00A3130C" w14:paraId="63A6C7C6"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CCB43AB" w14:textId="77777777" w:rsidR="00F962BE" w:rsidRPr="00A3130C" w:rsidRDefault="00F962BE">
            <w:pPr>
              <w:pStyle w:val="ARTabletext"/>
              <w:rPr>
                <w:rFonts w:eastAsia="Times"/>
                <w:sz w:val="20"/>
              </w:rPr>
            </w:pPr>
            <w:r w:rsidRPr="00A3130C">
              <w:rPr>
                <w:rFonts w:eastAsia="Times"/>
                <w:sz w:val="20"/>
              </w:rPr>
              <w:t>Brunswick Neighbourhood House</w:t>
            </w:r>
            <w:r>
              <w:rPr>
                <w:rFonts w:eastAsia="Times"/>
                <w:sz w:val="20"/>
              </w:rPr>
              <w:t> </w:t>
            </w:r>
            <w:r w:rsidRPr="00A3130C">
              <w:rPr>
                <w:rFonts w:eastAsia="Times"/>
                <w:sz w:val="20"/>
              </w:rPr>
              <w:t>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CEFB95C" w14:textId="77777777" w:rsidR="00F962BE" w:rsidRPr="00A3130C" w:rsidRDefault="00F962BE">
            <w:pPr>
              <w:pStyle w:val="ARTabletext"/>
              <w:jc w:val="right"/>
              <w:rPr>
                <w:rFonts w:eastAsia="Times"/>
                <w:sz w:val="20"/>
              </w:rPr>
            </w:pPr>
            <w:r w:rsidRPr="00A3130C">
              <w:rPr>
                <w:rFonts w:eastAsia="Times"/>
                <w:sz w:val="20"/>
              </w:rPr>
              <w:t>17,250</w:t>
            </w:r>
          </w:p>
        </w:tc>
      </w:tr>
      <w:tr w:rsidR="00F962BE" w:rsidRPr="00A3130C" w14:paraId="2F07E04D"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104AF077" w14:textId="77777777" w:rsidR="00F962BE" w:rsidRPr="00A3130C" w:rsidRDefault="00F962BE">
            <w:pPr>
              <w:pStyle w:val="ARTabletext"/>
              <w:rPr>
                <w:rFonts w:eastAsia="Times"/>
                <w:sz w:val="20"/>
              </w:rPr>
            </w:pPr>
            <w:r w:rsidRPr="00A3130C">
              <w:rPr>
                <w:rFonts w:eastAsia="Times"/>
                <w:sz w:val="20"/>
              </w:rPr>
              <w:t>Building Cultural Connections Australia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5F7D089" w14:textId="77777777" w:rsidR="00F962BE" w:rsidRPr="00A3130C" w:rsidRDefault="00F962BE">
            <w:pPr>
              <w:pStyle w:val="ARTabletext"/>
              <w:jc w:val="right"/>
              <w:rPr>
                <w:rFonts w:eastAsia="Times"/>
                <w:sz w:val="20"/>
              </w:rPr>
            </w:pPr>
            <w:r w:rsidRPr="00A3130C">
              <w:rPr>
                <w:rFonts w:eastAsia="Times"/>
                <w:sz w:val="20"/>
              </w:rPr>
              <w:t>25,000</w:t>
            </w:r>
          </w:p>
        </w:tc>
      </w:tr>
      <w:tr w:rsidR="00F962BE" w:rsidRPr="00A3130C" w14:paraId="6FCE74CE"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5C34BD37" w14:textId="77777777" w:rsidR="00F962BE" w:rsidRPr="00A3130C" w:rsidRDefault="00F962BE">
            <w:pPr>
              <w:pStyle w:val="ARTabletext"/>
              <w:rPr>
                <w:rFonts w:eastAsia="Times"/>
                <w:sz w:val="20"/>
              </w:rPr>
            </w:pPr>
            <w:r w:rsidRPr="00A3130C">
              <w:rPr>
                <w:rFonts w:eastAsia="Times"/>
                <w:sz w:val="20"/>
              </w:rPr>
              <w:t>C Care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E4BDF9D" w14:textId="77777777" w:rsidR="00F962BE" w:rsidRPr="00A3130C" w:rsidRDefault="00F962BE">
            <w:pPr>
              <w:pStyle w:val="ARTabletext"/>
              <w:jc w:val="right"/>
              <w:rPr>
                <w:rFonts w:eastAsia="Times"/>
                <w:sz w:val="20"/>
              </w:rPr>
            </w:pPr>
            <w:r w:rsidRPr="00A3130C">
              <w:rPr>
                <w:rFonts w:eastAsia="Times"/>
                <w:sz w:val="20"/>
              </w:rPr>
              <w:t>60,000</w:t>
            </w:r>
          </w:p>
        </w:tc>
      </w:tr>
      <w:tr w:rsidR="00F962BE" w:rsidRPr="00A3130C" w14:paraId="6C84468F"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E63FCE5" w14:textId="77777777" w:rsidR="00F962BE" w:rsidRPr="00A3130C" w:rsidRDefault="00F962BE">
            <w:pPr>
              <w:pStyle w:val="ARTabletext"/>
              <w:rPr>
                <w:rFonts w:eastAsia="Times"/>
                <w:sz w:val="20"/>
              </w:rPr>
            </w:pPr>
            <w:r w:rsidRPr="00A3130C">
              <w:rPr>
                <w:rFonts w:eastAsia="Times"/>
                <w:sz w:val="20"/>
              </w:rPr>
              <w:t>Camperdown and District Community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3CE9B2FC" w14:textId="77777777" w:rsidR="00F962BE" w:rsidRPr="00A3130C" w:rsidRDefault="00F962BE">
            <w:pPr>
              <w:pStyle w:val="ARTabletext"/>
              <w:jc w:val="right"/>
              <w:rPr>
                <w:rFonts w:eastAsia="Times"/>
                <w:sz w:val="20"/>
              </w:rPr>
            </w:pPr>
            <w:r w:rsidRPr="00A3130C">
              <w:rPr>
                <w:rFonts w:eastAsia="Times"/>
                <w:sz w:val="20"/>
              </w:rPr>
              <w:t>63,750</w:t>
            </w:r>
          </w:p>
        </w:tc>
      </w:tr>
      <w:tr w:rsidR="00F962BE" w:rsidRPr="00A3130C" w14:paraId="22DC662D"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993D410" w14:textId="77777777" w:rsidR="00F962BE" w:rsidRPr="00A3130C" w:rsidRDefault="00F962BE">
            <w:pPr>
              <w:pStyle w:val="ARTabletext"/>
              <w:rPr>
                <w:rFonts w:eastAsia="Times"/>
                <w:sz w:val="20"/>
              </w:rPr>
            </w:pPr>
            <w:r w:rsidRPr="00A3130C">
              <w:rPr>
                <w:rFonts w:eastAsia="Times"/>
                <w:sz w:val="20"/>
              </w:rPr>
              <w:t>Capel Sound Community Hub</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73B23E2" w14:textId="77777777" w:rsidR="00F962BE" w:rsidRPr="00A3130C" w:rsidRDefault="00F962BE">
            <w:pPr>
              <w:pStyle w:val="ARTabletext"/>
              <w:jc w:val="right"/>
              <w:rPr>
                <w:rFonts w:eastAsia="Times"/>
                <w:sz w:val="20"/>
              </w:rPr>
            </w:pPr>
            <w:r w:rsidRPr="00A3130C">
              <w:rPr>
                <w:rFonts w:eastAsia="Times"/>
                <w:sz w:val="20"/>
              </w:rPr>
              <w:t>65,250</w:t>
            </w:r>
          </w:p>
        </w:tc>
      </w:tr>
      <w:tr w:rsidR="00F962BE" w:rsidRPr="00A3130C" w14:paraId="75EA0695"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7C48945A" w14:textId="77777777" w:rsidR="00F962BE" w:rsidRPr="00A3130C" w:rsidRDefault="00F962BE">
            <w:pPr>
              <w:pStyle w:val="ARTabletext"/>
              <w:rPr>
                <w:rFonts w:eastAsia="Times"/>
                <w:sz w:val="20"/>
              </w:rPr>
            </w:pPr>
            <w:proofErr w:type="spellStart"/>
            <w:r w:rsidRPr="00A3130C">
              <w:rPr>
                <w:rFonts w:eastAsia="Times"/>
                <w:sz w:val="20"/>
              </w:rPr>
              <w:t>CareNet</w:t>
            </w:r>
            <w:proofErr w:type="spellEnd"/>
            <w:r w:rsidRPr="00A3130C">
              <w:rPr>
                <w:rFonts w:eastAsia="Times"/>
                <w:sz w:val="20"/>
              </w:rPr>
              <w:t xml:space="preserve">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7702FE5" w14:textId="77777777" w:rsidR="00F962BE" w:rsidRPr="00A3130C" w:rsidRDefault="00F962BE">
            <w:pPr>
              <w:pStyle w:val="ARTabletext"/>
              <w:jc w:val="right"/>
              <w:rPr>
                <w:rFonts w:eastAsia="Times"/>
                <w:sz w:val="20"/>
              </w:rPr>
            </w:pPr>
            <w:r w:rsidRPr="00A3130C">
              <w:rPr>
                <w:rFonts w:eastAsia="Times"/>
                <w:sz w:val="20"/>
              </w:rPr>
              <w:t>12,500</w:t>
            </w:r>
          </w:p>
        </w:tc>
      </w:tr>
      <w:tr w:rsidR="00F962BE" w:rsidRPr="00A3130C" w14:paraId="1C3C9B74"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E0B6A48" w14:textId="77777777" w:rsidR="00F962BE" w:rsidRPr="00A3130C" w:rsidRDefault="00F962BE">
            <w:pPr>
              <w:pStyle w:val="ARTabletext"/>
              <w:rPr>
                <w:rFonts w:eastAsia="Times"/>
                <w:sz w:val="20"/>
              </w:rPr>
            </w:pPr>
            <w:proofErr w:type="spellStart"/>
            <w:r w:rsidRPr="00A3130C">
              <w:rPr>
                <w:rFonts w:eastAsia="Times"/>
                <w:sz w:val="20"/>
              </w:rPr>
              <w:t>CareWorks</w:t>
            </w:r>
            <w:proofErr w:type="spellEnd"/>
            <w:r w:rsidRPr="00A3130C">
              <w:rPr>
                <w:rFonts w:eastAsia="Times"/>
                <w:sz w:val="20"/>
              </w:rPr>
              <w:t xml:space="preserve"> </w:t>
            </w:r>
            <w:proofErr w:type="spellStart"/>
            <w:r w:rsidRPr="00A3130C">
              <w:rPr>
                <w:rFonts w:eastAsia="Times"/>
                <w:sz w:val="20"/>
              </w:rPr>
              <w:t>SunRanges</w:t>
            </w:r>
            <w:proofErr w:type="spellEnd"/>
            <w:r w:rsidRPr="00A3130C">
              <w:rPr>
                <w:rFonts w:eastAsia="Times"/>
                <w:sz w:val="20"/>
              </w:rPr>
              <w:t xml:space="preserv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6F91238" w14:textId="77777777" w:rsidR="00F962BE" w:rsidRPr="00A3130C" w:rsidRDefault="00F962BE">
            <w:pPr>
              <w:pStyle w:val="ARTabletext"/>
              <w:jc w:val="right"/>
              <w:rPr>
                <w:rFonts w:eastAsia="Times"/>
                <w:sz w:val="20"/>
              </w:rPr>
            </w:pPr>
            <w:r w:rsidRPr="00A3130C">
              <w:rPr>
                <w:rFonts w:eastAsia="Times"/>
                <w:sz w:val="20"/>
              </w:rPr>
              <w:t>26,250</w:t>
            </w:r>
          </w:p>
        </w:tc>
      </w:tr>
      <w:tr w:rsidR="00F962BE" w:rsidRPr="00A3130C" w14:paraId="6187D377"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C2471F4" w14:textId="77777777" w:rsidR="00F962BE" w:rsidRPr="00A3130C" w:rsidRDefault="00F962BE">
            <w:pPr>
              <w:pStyle w:val="ARTabletext"/>
              <w:rPr>
                <w:rFonts w:eastAsia="Times"/>
                <w:sz w:val="20"/>
              </w:rPr>
            </w:pPr>
            <w:r w:rsidRPr="00A3130C">
              <w:rPr>
                <w:rFonts w:eastAsia="Times"/>
                <w:sz w:val="20"/>
              </w:rPr>
              <w:t>Carlton Neighbourhood Learning</w:t>
            </w:r>
            <w:r>
              <w:rPr>
                <w:rFonts w:eastAsia="Times"/>
                <w:sz w:val="20"/>
              </w:rPr>
              <w:t> </w:t>
            </w:r>
            <w:r w:rsidRPr="00A3130C">
              <w:rPr>
                <w:rFonts w:eastAsia="Times"/>
                <w:sz w:val="20"/>
              </w:rPr>
              <w:t>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D347C0C" w14:textId="77777777" w:rsidR="00F962BE" w:rsidRPr="00A3130C" w:rsidRDefault="00F962BE">
            <w:pPr>
              <w:pStyle w:val="ARTabletext"/>
              <w:jc w:val="right"/>
              <w:rPr>
                <w:rFonts w:eastAsia="Times"/>
                <w:sz w:val="20"/>
              </w:rPr>
            </w:pPr>
            <w:r w:rsidRPr="00A3130C">
              <w:rPr>
                <w:rFonts w:eastAsia="Times"/>
                <w:sz w:val="20"/>
              </w:rPr>
              <w:t>42,750</w:t>
            </w:r>
          </w:p>
        </w:tc>
      </w:tr>
      <w:tr w:rsidR="00F962BE" w:rsidRPr="00A3130C" w14:paraId="2BB61284"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32C866DB" w14:textId="77777777" w:rsidR="00F962BE" w:rsidRPr="00A3130C" w:rsidRDefault="00F962BE">
            <w:pPr>
              <w:pStyle w:val="ARTabletext"/>
              <w:rPr>
                <w:rFonts w:eastAsia="Times"/>
                <w:sz w:val="20"/>
              </w:rPr>
            </w:pPr>
            <w:r w:rsidRPr="00A3130C">
              <w:rPr>
                <w:rFonts w:eastAsia="Times"/>
                <w:sz w:val="20"/>
              </w:rPr>
              <w:t>Castlemaine Community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D1EA53E" w14:textId="77777777" w:rsidR="00F962BE" w:rsidRPr="00A3130C" w:rsidRDefault="00F962BE">
            <w:pPr>
              <w:pStyle w:val="ARTabletext"/>
              <w:jc w:val="right"/>
              <w:rPr>
                <w:rFonts w:eastAsia="Times"/>
                <w:sz w:val="20"/>
              </w:rPr>
            </w:pPr>
            <w:r w:rsidRPr="00A3130C">
              <w:rPr>
                <w:rFonts w:eastAsia="Times"/>
                <w:sz w:val="20"/>
              </w:rPr>
              <w:t>23,100</w:t>
            </w:r>
          </w:p>
        </w:tc>
      </w:tr>
      <w:tr w:rsidR="00F962BE" w:rsidRPr="00A3130C" w14:paraId="6BBF66B6"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02F12760" w14:textId="77777777" w:rsidR="00F962BE" w:rsidRPr="00A3130C" w:rsidRDefault="00F962BE">
            <w:pPr>
              <w:pStyle w:val="ARTabletext"/>
              <w:rPr>
                <w:rFonts w:eastAsia="Times"/>
                <w:sz w:val="20"/>
              </w:rPr>
            </w:pPr>
            <w:r w:rsidRPr="00A3130C">
              <w:rPr>
                <w:rFonts w:eastAsia="Times"/>
                <w:sz w:val="20"/>
              </w:rPr>
              <w:t>Cheltenham Community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880440C" w14:textId="77777777" w:rsidR="00F962BE" w:rsidRPr="00A3130C" w:rsidRDefault="00F962BE">
            <w:pPr>
              <w:pStyle w:val="ARTabletext"/>
              <w:jc w:val="right"/>
              <w:rPr>
                <w:rFonts w:eastAsia="Times"/>
                <w:sz w:val="20"/>
              </w:rPr>
            </w:pPr>
            <w:r w:rsidRPr="00A3130C">
              <w:rPr>
                <w:rFonts w:eastAsia="Times"/>
                <w:sz w:val="20"/>
              </w:rPr>
              <w:t>56,951</w:t>
            </w:r>
          </w:p>
        </w:tc>
      </w:tr>
      <w:tr w:rsidR="00F962BE" w:rsidRPr="00A3130C" w14:paraId="7EED6EA6"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8D449AE" w14:textId="77777777" w:rsidR="00F962BE" w:rsidRPr="00A3130C" w:rsidRDefault="00F962BE">
            <w:pPr>
              <w:pStyle w:val="ARTabletext"/>
              <w:rPr>
                <w:rFonts w:eastAsia="Times"/>
                <w:sz w:val="20"/>
              </w:rPr>
            </w:pPr>
            <w:r w:rsidRPr="00A3130C">
              <w:rPr>
                <w:rFonts w:eastAsia="Times"/>
                <w:sz w:val="20"/>
              </w:rPr>
              <w:t>City of Greater Dandenong</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31B71E6" w14:textId="77777777" w:rsidR="00F962BE" w:rsidRPr="00A3130C" w:rsidRDefault="00F962BE">
            <w:pPr>
              <w:pStyle w:val="ARTabletext"/>
              <w:jc w:val="right"/>
              <w:rPr>
                <w:rFonts w:eastAsia="Times"/>
                <w:sz w:val="20"/>
              </w:rPr>
            </w:pPr>
            <w:r w:rsidRPr="00A3130C">
              <w:rPr>
                <w:rFonts w:eastAsia="Times"/>
                <w:sz w:val="20"/>
              </w:rPr>
              <w:t>57,000</w:t>
            </w:r>
          </w:p>
        </w:tc>
      </w:tr>
      <w:tr w:rsidR="00F962BE" w:rsidRPr="00A3130C" w14:paraId="1780D786"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75BADE4C" w14:textId="77777777" w:rsidR="00F962BE" w:rsidRPr="00A3130C" w:rsidRDefault="00F962BE">
            <w:pPr>
              <w:pStyle w:val="ARTabletext"/>
              <w:rPr>
                <w:rFonts w:eastAsia="Times"/>
                <w:sz w:val="20"/>
              </w:rPr>
            </w:pPr>
            <w:r w:rsidRPr="00A3130C">
              <w:rPr>
                <w:rFonts w:eastAsia="Times"/>
                <w:sz w:val="20"/>
              </w:rPr>
              <w:t>City of Melbourne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CEEFD87" w14:textId="77777777" w:rsidR="00F962BE" w:rsidRPr="00A3130C" w:rsidRDefault="00F962BE">
            <w:pPr>
              <w:pStyle w:val="ARTabletext"/>
              <w:jc w:val="right"/>
              <w:rPr>
                <w:rFonts w:eastAsia="Times"/>
                <w:sz w:val="20"/>
              </w:rPr>
            </w:pPr>
            <w:r w:rsidRPr="00A3130C">
              <w:rPr>
                <w:rFonts w:eastAsia="Times"/>
                <w:sz w:val="20"/>
              </w:rPr>
              <w:t>70,500</w:t>
            </w:r>
          </w:p>
        </w:tc>
      </w:tr>
      <w:tr w:rsidR="00F962BE" w:rsidRPr="00A3130C" w14:paraId="52B05932"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44D8DAFD" w14:textId="77777777" w:rsidR="00F962BE" w:rsidRPr="00A3130C" w:rsidRDefault="00F962BE">
            <w:pPr>
              <w:pStyle w:val="ARTabletext"/>
              <w:rPr>
                <w:rFonts w:eastAsia="Times"/>
                <w:sz w:val="20"/>
              </w:rPr>
            </w:pPr>
            <w:r w:rsidRPr="00A3130C">
              <w:rPr>
                <w:rFonts w:eastAsia="Times"/>
                <w:sz w:val="20"/>
              </w:rPr>
              <w:t>Cobram Community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E55F54D" w14:textId="77777777" w:rsidR="00F962BE" w:rsidRPr="00A3130C" w:rsidRDefault="00F962BE">
            <w:pPr>
              <w:pStyle w:val="ARTabletext"/>
              <w:jc w:val="right"/>
              <w:rPr>
                <w:rFonts w:eastAsia="Times"/>
                <w:sz w:val="20"/>
              </w:rPr>
            </w:pPr>
            <w:r w:rsidRPr="00A3130C">
              <w:rPr>
                <w:rFonts w:eastAsia="Times"/>
                <w:sz w:val="20"/>
              </w:rPr>
              <w:t>18,750</w:t>
            </w:r>
          </w:p>
        </w:tc>
      </w:tr>
      <w:tr w:rsidR="00F962BE" w:rsidRPr="00A3130C" w14:paraId="1A9D243D"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25AC547" w14:textId="77777777" w:rsidR="00F962BE" w:rsidRPr="00A3130C" w:rsidRDefault="00F962BE">
            <w:pPr>
              <w:pStyle w:val="ARTabletext"/>
              <w:rPr>
                <w:rFonts w:eastAsia="Times"/>
                <w:sz w:val="20"/>
              </w:rPr>
            </w:pPr>
            <w:r w:rsidRPr="00A3130C">
              <w:rPr>
                <w:rFonts w:eastAsia="Times"/>
                <w:sz w:val="20"/>
              </w:rPr>
              <w:t>Coburg and Pascoe Vale Mens</w:t>
            </w:r>
            <w:r>
              <w:rPr>
                <w:rFonts w:eastAsia="Times"/>
                <w:sz w:val="20"/>
              </w:rPr>
              <w:t> </w:t>
            </w:r>
            <w:r w:rsidRPr="00A3130C">
              <w:rPr>
                <w:rFonts w:eastAsia="Times"/>
                <w:sz w:val="20"/>
              </w:rPr>
              <w:t>Shed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F4F2721" w14:textId="77777777" w:rsidR="00F962BE" w:rsidRPr="00A3130C" w:rsidRDefault="00F962BE">
            <w:pPr>
              <w:pStyle w:val="ARTabletext"/>
              <w:jc w:val="right"/>
              <w:rPr>
                <w:rFonts w:eastAsia="Times"/>
                <w:sz w:val="20"/>
              </w:rPr>
            </w:pPr>
            <w:r w:rsidRPr="00A3130C">
              <w:rPr>
                <w:rFonts w:eastAsia="Times"/>
                <w:sz w:val="20"/>
              </w:rPr>
              <w:t>7,581</w:t>
            </w:r>
          </w:p>
        </w:tc>
      </w:tr>
      <w:tr w:rsidR="00F962BE" w:rsidRPr="00A3130C" w14:paraId="19BBF283"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1983E665" w14:textId="77777777" w:rsidR="00F962BE" w:rsidRPr="00A3130C" w:rsidRDefault="00F962BE">
            <w:pPr>
              <w:pStyle w:val="ARTabletext"/>
              <w:rPr>
                <w:rFonts w:eastAsia="Times"/>
                <w:sz w:val="20"/>
              </w:rPr>
            </w:pPr>
            <w:r w:rsidRPr="00A3130C">
              <w:rPr>
                <w:rFonts w:eastAsia="Times"/>
                <w:sz w:val="20"/>
              </w:rPr>
              <w:t>Colac Area Health</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42A66F0" w14:textId="77777777" w:rsidR="00F962BE" w:rsidRPr="00A3130C" w:rsidRDefault="00F962BE">
            <w:pPr>
              <w:pStyle w:val="ARTabletext"/>
              <w:jc w:val="right"/>
              <w:rPr>
                <w:rFonts w:eastAsia="Times"/>
                <w:sz w:val="20"/>
              </w:rPr>
            </w:pPr>
            <w:r w:rsidRPr="00A3130C">
              <w:rPr>
                <w:rFonts w:eastAsia="Times"/>
                <w:sz w:val="20"/>
              </w:rPr>
              <w:t>10,000</w:t>
            </w:r>
          </w:p>
        </w:tc>
      </w:tr>
      <w:tr w:rsidR="00F962BE" w:rsidRPr="00A3130C" w14:paraId="0BA2ED5A"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A533FAA" w14:textId="77777777" w:rsidR="00F962BE" w:rsidRPr="00A3130C" w:rsidRDefault="00F962BE">
            <w:pPr>
              <w:pStyle w:val="ARTabletext"/>
              <w:rPr>
                <w:rFonts w:eastAsia="Times"/>
                <w:sz w:val="20"/>
              </w:rPr>
            </w:pPr>
            <w:r w:rsidRPr="00A3130C">
              <w:rPr>
                <w:rFonts w:eastAsia="Times"/>
                <w:sz w:val="20"/>
              </w:rPr>
              <w:t>Combined Churches Caring Melton</w:t>
            </w:r>
            <w:r>
              <w:rPr>
                <w:rFonts w:eastAsia="Times"/>
                <w:sz w:val="20"/>
              </w:rPr>
              <w:t> </w:t>
            </w:r>
            <w:r w:rsidRPr="00A3130C">
              <w:rPr>
                <w:rFonts w:eastAsia="Times"/>
                <w:sz w:val="20"/>
              </w:rPr>
              <w:t>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6BE3FD0" w14:textId="77777777" w:rsidR="00F962BE" w:rsidRPr="00A3130C" w:rsidRDefault="00F962BE">
            <w:pPr>
              <w:pStyle w:val="ARTabletext"/>
              <w:jc w:val="right"/>
              <w:rPr>
                <w:rFonts w:eastAsia="Times"/>
                <w:sz w:val="20"/>
              </w:rPr>
            </w:pPr>
            <w:r w:rsidRPr="00A3130C">
              <w:rPr>
                <w:rFonts w:eastAsia="Times"/>
                <w:sz w:val="20"/>
              </w:rPr>
              <w:t>45,000</w:t>
            </w:r>
          </w:p>
        </w:tc>
      </w:tr>
      <w:tr w:rsidR="00F962BE" w:rsidRPr="00A3130C" w14:paraId="107DEAFF"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0478408F" w14:textId="77777777" w:rsidR="00F962BE" w:rsidRPr="00A3130C" w:rsidRDefault="00F962BE">
            <w:pPr>
              <w:pStyle w:val="ARTabletext"/>
              <w:rPr>
                <w:rFonts w:eastAsia="Times"/>
                <w:sz w:val="20"/>
              </w:rPr>
            </w:pPr>
            <w:r w:rsidRPr="00A3130C">
              <w:rPr>
                <w:rFonts w:eastAsia="Times"/>
                <w:sz w:val="20"/>
              </w:rPr>
              <w:t>Common Ground Project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4515D88" w14:textId="77777777" w:rsidR="00F962BE" w:rsidRPr="00A3130C" w:rsidRDefault="00F962BE">
            <w:pPr>
              <w:pStyle w:val="ARTabletext"/>
              <w:jc w:val="right"/>
              <w:rPr>
                <w:rFonts w:eastAsia="Times"/>
                <w:sz w:val="20"/>
              </w:rPr>
            </w:pPr>
            <w:r w:rsidRPr="00A3130C">
              <w:rPr>
                <w:rFonts w:eastAsia="Times"/>
                <w:sz w:val="20"/>
              </w:rPr>
              <w:t>36,000</w:t>
            </w:r>
          </w:p>
        </w:tc>
      </w:tr>
      <w:tr w:rsidR="00F962BE" w:rsidRPr="00A3130C" w14:paraId="386BF480"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49AD0224" w14:textId="77777777" w:rsidR="00F962BE" w:rsidRPr="00A3130C" w:rsidRDefault="00F962BE">
            <w:pPr>
              <w:pStyle w:val="ARTabletext"/>
              <w:rPr>
                <w:rFonts w:eastAsia="Times"/>
                <w:sz w:val="20"/>
              </w:rPr>
            </w:pPr>
            <w:r w:rsidRPr="00A3130C">
              <w:rPr>
                <w:rFonts w:eastAsia="Times"/>
                <w:sz w:val="20"/>
              </w:rPr>
              <w:t>Community Centre Swifts Creek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D380030" w14:textId="77777777" w:rsidR="00F962BE" w:rsidRPr="00A3130C" w:rsidRDefault="00F962BE">
            <w:pPr>
              <w:pStyle w:val="ARTabletext"/>
              <w:jc w:val="right"/>
              <w:rPr>
                <w:rFonts w:eastAsia="Times"/>
                <w:sz w:val="20"/>
              </w:rPr>
            </w:pPr>
            <w:r w:rsidRPr="00A3130C">
              <w:rPr>
                <w:rFonts w:eastAsia="Times"/>
                <w:sz w:val="20"/>
              </w:rPr>
              <w:t>18,375</w:t>
            </w:r>
          </w:p>
        </w:tc>
      </w:tr>
      <w:tr w:rsidR="00F962BE" w:rsidRPr="00A3130C" w14:paraId="0DFEAE59"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08F9BC8" w14:textId="77777777" w:rsidR="00F962BE" w:rsidRPr="00A3130C" w:rsidRDefault="00F962BE">
            <w:pPr>
              <w:pStyle w:val="ARTabletext"/>
              <w:rPr>
                <w:rFonts w:eastAsia="Times"/>
                <w:sz w:val="20"/>
              </w:rPr>
            </w:pPr>
            <w:r w:rsidRPr="00A3130C">
              <w:rPr>
                <w:rFonts w:eastAsia="Times"/>
                <w:sz w:val="20"/>
              </w:rPr>
              <w:t>Community Information &amp; Support Victoria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05813DC" w14:textId="77777777" w:rsidR="00F962BE" w:rsidRPr="00A3130C" w:rsidRDefault="00F962BE">
            <w:pPr>
              <w:pStyle w:val="ARTabletext"/>
              <w:jc w:val="right"/>
              <w:rPr>
                <w:rFonts w:eastAsia="Times"/>
                <w:sz w:val="20"/>
              </w:rPr>
            </w:pPr>
            <w:r w:rsidRPr="00A3130C">
              <w:rPr>
                <w:rFonts w:eastAsia="Times"/>
                <w:sz w:val="20"/>
              </w:rPr>
              <w:t>118,375</w:t>
            </w:r>
          </w:p>
        </w:tc>
      </w:tr>
      <w:tr w:rsidR="00F962BE" w:rsidRPr="00A3130C" w14:paraId="3EC8A360"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7E73547C" w14:textId="77777777" w:rsidR="00F962BE" w:rsidRPr="00A3130C" w:rsidRDefault="00F962BE">
            <w:pPr>
              <w:pStyle w:val="ARTabletext"/>
              <w:rPr>
                <w:rFonts w:eastAsia="Times"/>
                <w:sz w:val="20"/>
              </w:rPr>
            </w:pPr>
            <w:r w:rsidRPr="00A3130C">
              <w:rPr>
                <w:rFonts w:eastAsia="Times"/>
                <w:sz w:val="20"/>
              </w:rPr>
              <w:t>Community Support Frankston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97D162E" w14:textId="77777777" w:rsidR="00F962BE" w:rsidRPr="00A3130C" w:rsidRDefault="00F962BE">
            <w:pPr>
              <w:pStyle w:val="ARTabletext"/>
              <w:jc w:val="right"/>
              <w:rPr>
                <w:rFonts w:eastAsia="Times"/>
                <w:sz w:val="20"/>
              </w:rPr>
            </w:pPr>
            <w:r w:rsidRPr="00A3130C">
              <w:rPr>
                <w:rFonts w:eastAsia="Times"/>
                <w:sz w:val="20"/>
              </w:rPr>
              <w:t>18,750</w:t>
            </w:r>
          </w:p>
        </w:tc>
      </w:tr>
      <w:tr w:rsidR="00F962BE" w:rsidRPr="00A3130C" w14:paraId="1374CE3A"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32306A59" w14:textId="77777777" w:rsidR="00F962BE" w:rsidRPr="00A3130C" w:rsidRDefault="00F962BE">
            <w:pPr>
              <w:pStyle w:val="ARTabletext"/>
              <w:rPr>
                <w:rFonts w:eastAsia="Times"/>
                <w:sz w:val="20"/>
              </w:rPr>
            </w:pPr>
            <w:r w:rsidRPr="00A3130C">
              <w:rPr>
                <w:rFonts w:eastAsia="Times"/>
                <w:sz w:val="20"/>
              </w:rPr>
              <w:t>Compassion North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66CB552" w14:textId="77777777" w:rsidR="00F962BE" w:rsidRPr="00A3130C" w:rsidRDefault="00F962BE">
            <w:pPr>
              <w:pStyle w:val="ARTabletext"/>
              <w:jc w:val="right"/>
              <w:rPr>
                <w:rFonts w:eastAsia="Times"/>
                <w:sz w:val="20"/>
              </w:rPr>
            </w:pPr>
            <w:r w:rsidRPr="00A3130C">
              <w:rPr>
                <w:rFonts w:eastAsia="Times"/>
                <w:sz w:val="20"/>
              </w:rPr>
              <w:t>33,750</w:t>
            </w:r>
          </w:p>
        </w:tc>
      </w:tr>
      <w:tr w:rsidR="00F962BE" w:rsidRPr="00A3130C" w14:paraId="2CA4CE1F"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03184CD5" w14:textId="77777777" w:rsidR="00F962BE" w:rsidRPr="00A3130C" w:rsidRDefault="00F962BE">
            <w:pPr>
              <w:pStyle w:val="ARTabletext"/>
              <w:rPr>
                <w:rFonts w:eastAsia="Times"/>
                <w:sz w:val="20"/>
              </w:rPr>
            </w:pPr>
            <w:r w:rsidRPr="00A3130C">
              <w:rPr>
                <w:rFonts w:eastAsia="Times"/>
                <w:sz w:val="20"/>
              </w:rPr>
              <w:t>Congregational Christian Church in</w:t>
            </w:r>
            <w:r>
              <w:rPr>
                <w:rFonts w:eastAsia="Times"/>
                <w:sz w:val="20"/>
              </w:rPr>
              <w:t> </w:t>
            </w:r>
            <w:r w:rsidRPr="00A3130C">
              <w:rPr>
                <w:rFonts w:eastAsia="Times"/>
                <w:sz w:val="20"/>
              </w:rPr>
              <w:t xml:space="preserve">Samoa (EFKS) </w:t>
            </w:r>
            <w:proofErr w:type="spellStart"/>
            <w:r w:rsidRPr="00A3130C">
              <w:rPr>
                <w:rFonts w:eastAsia="Times"/>
                <w:sz w:val="20"/>
              </w:rPr>
              <w:t>Brimbank</w:t>
            </w:r>
            <w:proofErr w:type="spellEnd"/>
            <w:r w:rsidRPr="00A3130C">
              <w:rPr>
                <w:rFonts w:eastAsia="Times"/>
                <w:sz w:val="20"/>
              </w:rPr>
              <w:t xml:space="preserve"> Central</w:t>
            </w:r>
            <w:r>
              <w:rPr>
                <w:rFonts w:eastAsia="Times"/>
                <w:sz w:val="20"/>
              </w:rPr>
              <w:t> </w:t>
            </w:r>
            <w:r w:rsidRPr="00A3130C">
              <w:rPr>
                <w:rFonts w:eastAsia="Times"/>
                <w:sz w:val="20"/>
              </w:rPr>
              <w:t>Parish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6483EFA" w14:textId="77777777" w:rsidR="00F962BE" w:rsidRPr="00A3130C" w:rsidRDefault="00F962BE">
            <w:pPr>
              <w:pStyle w:val="ARTabletext"/>
              <w:jc w:val="right"/>
              <w:rPr>
                <w:rFonts w:eastAsia="Times"/>
                <w:sz w:val="20"/>
              </w:rPr>
            </w:pPr>
            <w:r w:rsidRPr="00A3130C">
              <w:rPr>
                <w:rFonts w:eastAsia="Times"/>
                <w:sz w:val="20"/>
              </w:rPr>
              <w:t>56,250</w:t>
            </w:r>
          </w:p>
        </w:tc>
      </w:tr>
      <w:tr w:rsidR="00F962BE" w:rsidRPr="00A3130C" w14:paraId="1CD9BA39"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498448D0" w14:textId="77777777" w:rsidR="00F962BE" w:rsidRPr="00A3130C" w:rsidRDefault="00F962BE">
            <w:pPr>
              <w:pStyle w:val="ARTabletext"/>
              <w:rPr>
                <w:rFonts w:eastAsia="Times"/>
                <w:sz w:val="20"/>
              </w:rPr>
            </w:pPr>
            <w:r w:rsidRPr="00A3130C">
              <w:rPr>
                <w:rFonts w:eastAsia="Times"/>
                <w:sz w:val="20"/>
              </w:rPr>
              <w:t>Connecting Home Limited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2EA2D53" w14:textId="77777777" w:rsidR="00F962BE" w:rsidRPr="00A3130C" w:rsidRDefault="00F962BE">
            <w:pPr>
              <w:pStyle w:val="ARTabletext"/>
              <w:jc w:val="right"/>
              <w:rPr>
                <w:rFonts w:eastAsia="Times"/>
                <w:sz w:val="20"/>
              </w:rPr>
            </w:pPr>
            <w:r w:rsidRPr="00A3130C">
              <w:rPr>
                <w:rFonts w:eastAsia="Times"/>
                <w:sz w:val="20"/>
              </w:rPr>
              <w:t>51,375</w:t>
            </w:r>
          </w:p>
        </w:tc>
      </w:tr>
      <w:tr w:rsidR="00F962BE" w:rsidRPr="00A3130C" w14:paraId="19CD6350"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67C9D3ED" w14:textId="77777777" w:rsidR="00F962BE" w:rsidRPr="00A3130C" w:rsidRDefault="00F962BE">
            <w:pPr>
              <w:pStyle w:val="ARTabletext"/>
              <w:rPr>
                <w:rFonts w:eastAsia="Times"/>
                <w:sz w:val="20"/>
              </w:rPr>
            </w:pPr>
            <w:r w:rsidRPr="00A3130C">
              <w:rPr>
                <w:rFonts w:eastAsia="Times"/>
                <w:sz w:val="20"/>
              </w:rPr>
              <w:t>Corinella &amp; District Community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4D42648" w14:textId="77777777" w:rsidR="00F962BE" w:rsidRPr="00A3130C" w:rsidRDefault="00F962BE">
            <w:pPr>
              <w:pStyle w:val="ARTabletext"/>
              <w:jc w:val="right"/>
              <w:rPr>
                <w:rFonts w:eastAsia="Times"/>
                <w:sz w:val="20"/>
              </w:rPr>
            </w:pPr>
            <w:r w:rsidRPr="00A3130C">
              <w:rPr>
                <w:rFonts w:eastAsia="Times"/>
                <w:sz w:val="20"/>
              </w:rPr>
              <w:t>25,986</w:t>
            </w:r>
          </w:p>
        </w:tc>
      </w:tr>
      <w:tr w:rsidR="00F962BE" w:rsidRPr="00A3130C" w14:paraId="3AFF45EA"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7767AEA7" w14:textId="77777777" w:rsidR="00F962BE" w:rsidRPr="00A3130C" w:rsidRDefault="00F962BE">
            <w:pPr>
              <w:pStyle w:val="ARTabletext"/>
              <w:rPr>
                <w:rFonts w:eastAsia="Times"/>
                <w:sz w:val="20"/>
              </w:rPr>
            </w:pPr>
            <w:r w:rsidRPr="00A3130C">
              <w:rPr>
                <w:rFonts w:eastAsia="Times"/>
                <w:sz w:val="20"/>
              </w:rPr>
              <w:t>Cornerstone Contact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FA43E84" w14:textId="77777777" w:rsidR="00F962BE" w:rsidRPr="00A3130C" w:rsidRDefault="00F962BE">
            <w:pPr>
              <w:pStyle w:val="ARTabletext"/>
              <w:jc w:val="right"/>
              <w:rPr>
                <w:rFonts w:eastAsia="Times"/>
                <w:sz w:val="20"/>
              </w:rPr>
            </w:pPr>
            <w:r w:rsidRPr="00A3130C">
              <w:rPr>
                <w:rFonts w:eastAsia="Times"/>
                <w:sz w:val="20"/>
              </w:rPr>
              <w:t>53,750</w:t>
            </w:r>
          </w:p>
        </w:tc>
      </w:tr>
      <w:tr w:rsidR="00F962BE" w:rsidRPr="00A3130C" w14:paraId="52668C27"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6E29F46D" w14:textId="77777777" w:rsidR="00F962BE" w:rsidRPr="00A3130C" w:rsidRDefault="00F962BE">
            <w:pPr>
              <w:pStyle w:val="ARTabletext"/>
              <w:rPr>
                <w:rFonts w:eastAsia="Times"/>
                <w:sz w:val="20"/>
              </w:rPr>
            </w:pPr>
            <w:r w:rsidRPr="00A3130C">
              <w:rPr>
                <w:rFonts w:eastAsia="Times"/>
                <w:sz w:val="20"/>
              </w:rPr>
              <w:t>Cranbourne Casey Mens Shed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A92F24E" w14:textId="77777777" w:rsidR="00F962BE" w:rsidRPr="00A3130C" w:rsidRDefault="00F962BE">
            <w:pPr>
              <w:pStyle w:val="ARTabletext"/>
              <w:jc w:val="right"/>
              <w:rPr>
                <w:rFonts w:eastAsia="Times"/>
                <w:sz w:val="20"/>
              </w:rPr>
            </w:pPr>
            <w:r w:rsidRPr="00A3130C">
              <w:rPr>
                <w:rFonts w:eastAsia="Times"/>
                <w:sz w:val="20"/>
              </w:rPr>
              <w:t>3,891</w:t>
            </w:r>
          </w:p>
        </w:tc>
      </w:tr>
      <w:tr w:rsidR="00F962BE" w:rsidRPr="00A3130C" w14:paraId="796BE95C"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431B8AA3" w14:textId="77777777" w:rsidR="00F962BE" w:rsidRPr="00A3130C" w:rsidRDefault="00F962BE">
            <w:pPr>
              <w:pStyle w:val="ARTabletext"/>
              <w:rPr>
                <w:rFonts w:eastAsia="Times"/>
                <w:sz w:val="20"/>
              </w:rPr>
            </w:pPr>
            <w:r w:rsidRPr="00A3130C">
              <w:rPr>
                <w:rFonts w:eastAsia="Times"/>
                <w:sz w:val="20"/>
              </w:rPr>
              <w:t>Creswick Neighbourhood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2A25A39" w14:textId="77777777" w:rsidR="00F962BE" w:rsidRPr="00A3130C" w:rsidRDefault="00F962BE">
            <w:pPr>
              <w:pStyle w:val="ARTabletext"/>
              <w:jc w:val="right"/>
              <w:rPr>
                <w:rFonts w:eastAsia="Times"/>
                <w:sz w:val="20"/>
              </w:rPr>
            </w:pPr>
            <w:r w:rsidRPr="00A3130C">
              <w:rPr>
                <w:rFonts w:eastAsia="Times"/>
                <w:sz w:val="20"/>
              </w:rPr>
              <w:t>10,338</w:t>
            </w:r>
          </w:p>
        </w:tc>
      </w:tr>
      <w:tr w:rsidR="00F962BE" w:rsidRPr="00A3130C" w14:paraId="078D01F1"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3BE47884" w14:textId="77777777" w:rsidR="00F962BE" w:rsidRPr="00A3130C" w:rsidRDefault="00F962BE">
            <w:pPr>
              <w:pStyle w:val="ARTabletext"/>
              <w:rPr>
                <w:rFonts w:eastAsia="Times"/>
                <w:sz w:val="20"/>
              </w:rPr>
            </w:pPr>
            <w:proofErr w:type="spellStart"/>
            <w:r w:rsidRPr="00A3130C">
              <w:rPr>
                <w:rFonts w:eastAsia="Times"/>
                <w:sz w:val="20"/>
              </w:rPr>
              <w:t>Crossenvale</w:t>
            </w:r>
            <w:proofErr w:type="spellEnd"/>
            <w:r w:rsidRPr="00A3130C">
              <w:rPr>
                <w:rFonts w:eastAsia="Times"/>
                <w:sz w:val="20"/>
              </w:rPr>
              <w:t xml:space="preserve"> Community Group</w:t>
            </w:r>
            <w:r>
              <w:rPr>
                <w:rFonts w:eastAsia="Times"/>
                <w:sz w:val="20"/>
              </w:rPr>
              <w:t> </w:t>
            </w:r>
            <w:r w:rsidRPr="00A3130C">
              <w:rPr>
                <w:rFonts w:eastAsia="Times"/>
                <w:sz w:val="20"/>
              </w:rPr>
              <w:t>Incorporated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6F030CD" w14:textId="77777777" w:rsidR="00F962BE" w:rsidRPr="00A3130C" w:rsidRDefault="00F962BE">
            <w:pPr>
              <w:pStyle w:val="ARTabletext"/>
              <w:jc w:val="right"/>
              <w:rPr>
                <w:rFonts w:eastAsia="Times"/>
                <w:sz w:val="20"/>
              </w:rPr>
            </w:pPr>
            <w:r w:rsidRPr="00A3130C">
              <w:rPr>
                <w:rFonts w:eastAsia="Times"/>
                <w:sz w:val="20"/>
              </w:rPr>
              <w:t>10,461</w:t>
            </w:r>
          </w:p>
        </w:tc>
      </w:tr>
      <w:tr w:rsidR="00F962BE" w:rsidRPr="00A3130C" w14:paraId="3D2F3626"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47902961" w14:textId="77777777" w:rsidR="00F962BE" w:rsidRPr="00A3130C" w:rsidRDefault="00F962BE">
            <w:pPr>
              <w:pStyle w:val="ARTabletext"/>
              <w:rPr>
                <w:rFonts w:eastAsia="Times"/>
                <w:sz w:val="20"/>
              </w:rPr>
            </w:pPr>
            <w:r w:rsidRPr="00A3130C">
              <w:rPr>
                <w:rFonts w:eastAsia="Times"/>
                <w:sz w:val="20"/>
              </w:rPr>
              <w:t>Dallas Neighbourhood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0905C3D" w14:textId="77777777" w:rsidR="00F962BE" w:rsidRPr="00A3130C" w:rsidRDefault="00F962BE">
            <w:pPr>
              <w:pStyle w:val="ARTabletext"/>
              <w:jc w:val="right"/>
              <w:rPr>
                <w:rFonts w:eastAsia="Times"/>
                <w:sz w:val="20"/>
              </w:rPr>
            </w:pPr>
            <w:r w:rsidRPr="00A3130C">
              <w:rPr>
                <w:rFonts w:eastAsia="Times"/>
                <w:sz w:val="20"/>
              </w:rPr>
              <w:t>11,250</w:t>
            </w:r>
          </w:p>
        </w:tc>
      </w:tr>
      <w:tr w:rsidR="00F962BE" w:rsidRPr="00A3130C" w14:paraId="08594D81"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73D2D2A" w14:textId="77777777" w:rsidR="00F962BE" w:rsidRPr="00A3130C" w:rsidRDefault="00F962BE">
            <w:pPr>
              <w:pStyle w:val="ARTabletext"/>
              <w:rPr>
                <w:rFonts w:eastAsia="Times"/>
                <w:sz w:val="20"/>
              </w:rPr>
            </w:pPr>
            <w:r w:rsidRPr="00A3130C">
              <w:rPr>
                <w:rFonts w:eastAsia="Times"/>
                <w:sz w:val="20"/>
              </w:rPr>
              <w:t>Dandenong Neighbourhood House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0FA95FF" w14:textId="77777777" w:rsidR="00F962BE" w:rsidRPr="00A3130C" w:rsidRDefault="00F962BE">
            <w:pPr>
              <w:pStyle w:val="ARTabletext"/>
              <w:jc w:val="right"/>
              <w:rPr>
                <w:rFonts w:eastAsia="Times"/>
                <w:sz w:val="20"/>
              </w:rPr>
            </w:pPr>
            <w:r w:rsidRPr="00A3130C">
              <w:rPr>
                <w:rFonts w:eastAsia="Times"/>
                <w:sz w:val="20"/>
              </w:rPr>
              <w:t>63,375</w:t>
            </w:r>
          </w:p>
        </w:tc>
      </w:tr>
      <w:tr w:rsidR="00F962BE" w:rsidRPr="00A3130C" w14:paraId="7F9DAED0"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64FEF69F" w14:textId="77777777" w:rsidR="00F962BE" w:rsidRPr="00A3130C" w:rsidRDefault="00F962BE">
            <w:pPr>
              <w:pStyle w:val="ARTabletext"/>
              <w:rPr>
                <w:rFonts w:eastAsia="Times"/>
                <w:sz w:val="20"/>
              </w:rPr>
            </w:pPr>
            <w:r w:rsidRPr="00A3130C">
              <w:rPr>
                <w:rFonts w:eastAsia="Times"/>
                <w:sz w:val="20"/>
              </w:rPr>
              <w:t>Darebin Information Volunteer Resource Service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4482AC6" w14:textId="77777777" w:rsidR="00F962BE" w:rsidRPr="00A3130C" w:rsidRDefault="00F962BE">
            <w:pPr>
              <w:pStyle w:val="ARTabletext"/>
              <w:jc w:val="right"/>
              <w:rPr>
                <w:rFonts w:eastAsia="Times"/>
                <w:sz w:val="20"/>
              </w:rPr>
            </w:pPr>
            <w:r w:rsidRPr="00A3130C">
              <w:rPr>
                <w:rFonts w:eastAsia="Times"/>
                <w:sz w:val="20"/>
              </w:rPr>
              <w:t>10,613</w:t>
            </w:r>
          </w:p>
        </w:tc>
      </w:tr>
      <w:tr w:rsidR="00F962BE" w:rsidRPr="00A3130C" w14:paraId="317196CC"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F486D4D" w14:textId="77777777" w:rsidR="00F962BE" w:rsidRPr="00A3130C" w:rsidRDefault="00F962BE">
            <w:pPr>
              <w:pStyle w:val="ARTabletext"/>
              <w:rPr>
                <w:rFonts w:eastAsia="Times"/>
                <w:sz w:val="20"/>
              </w:rPr>
            </w:pPr>
            <w:r w:rsidRPr="00A3130C">
              <w:rPr>
                <w:rFonts w:eastAsia="Times"/>
                <w:sz w:val="20"/>
              </w:rPr>
              <w:t>Daylesford Neighbourhood Centre</w:t>
            </w:r>
            <w:r>
              <w:rPr>
                <w:rFonts w:eastAsia="Times"/>
                <w:sz w:val="20"/>
              </w:rPr>
              <w:t> </w:t>
            </w:r>
            <w:r w:rsidRPr="00A3130C">
              <w:rPr>
                <w:rFonts w:eastAsia="Times"/>
                <w:sz w:val="20"/>
              </w:rPr>
              <w:t>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8961A08" w14:textId="77777777" w:rsidR="00F962BE" w:rsidRPr="00A3130C" w:rsidRDefault="00F962BE">
            <w:pPr>
              <w:pStyle w:val="ARTabletext"/>
              <w:jc w:val="right"/>
              <w:rPr>
                <w:rFonts w:eastAsia="Times"/>
                <w:sz w:val="20"/>
              </w:rPr>
            </w:pPr>
            <w:r w:rsidRPr="00A3130C">
              <w:rPr>
                <w:rFonts w:eastAsia="Times"/>
                <w:sz w:val="20"/>
              </w:rPr>
              <w:t>66,750</w:t>
            </w:r>
          </w:p>
        </w:tc>
      </w:tr>
      <w:tr w:rsidR="00F962BE" w:rsidRPr="00A3130C" w14:paraId="06877E93"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6DB2ED8B" w14:textId="77777777" w:rsidR="00F962BE" w:rsidRPr="00A3130C" w:rsidRDefault="00F962BE">
            <w:pPr>
              <w:pStyle w:val="ARTabletext"/>
              <w:rPr>
                <w:rFonts w:eastAsia="Times"/>
                <w:sz w:val="20"/>
              </w:rPr>
            </w:pPr>
            <w:r w:rsidRPr="00A3130C">
              <w:rPr>
                <w:rFonts w:eastAsia="Times"/>
                <w:sz w:val="20"/>
              </w:rPr>
              <w:t>Deans Marsh Community Cottage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44FDABF" w14:textId="77777777" w:rsidR="00F962BE" w:rsidRPr="00A3130C" w:rsidRDefault="00F962BE">
            <w:pPr>
              <w:pStyle w:val="ARTabletext"/>
              <w:jc w:val="right"/>
              <w:rPr>
                <w:rFonts w:eastAsia="Times"/>
                <w:sz w:val="20"/>
              </w:rPr>
            </w:pPr>
            <w:r w:rsidRPr="00A3130C">
              <w:rPr>
                <w:rFonts w:eastAsia="Times"/>
                <w:sz w:val="20"/>
              </w:rPr>
              <w:t>4,408</w:t>
            </w:r>
          </w:p>
        </w:tc>
      </w:tr>
      <w:tr w:rsidR="00F962BE" w:rsidRPr="00A3130C" w14:paraId="1FBC2AE3"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170F6ED3" w14:textId="77777777" w:rsidR="00F962BE" w:rsidRPr="00A3130C" w:rsidRDefault="00F962BE">
            <w:pPr>
              <w:pStyle w:val="ARTabletext"/>
              <w:rPr>
                <w:rFonts w:eastAsia="Times"/>
                <w:sz w:val="20"/>
              </w:rPr>
            </w:pPr>
            <w:proofErr w:type="spellStart"/>
            <w:r w:rsidRPr="00A3130C">
              <w:rPr>
                <w:rFonts w:eastAsia="Times"/>
                <w:sz w:val="20"/>
              </w:rPr>
              <w:t>Djerriwarrh</w:t>
            </w:r>
            <w:proofErr w:type="spellEnd"/>
            <w:r w:rsidRPr="00A3130C">
              <w:rPr>
                <w:rFonts w:eastAsia="Times"/>
                <w:sz w:val="20"/>
              </w:rPr>
              <w:t xml:space="preserve"> Employment </w:t>
            </w:r>
            <w:r>
              <w:rPr>
                <w:rFonts w:eastAsia="Times"/>
                <w:sz w:val="20"/>
              </w:rPr>
              <w:br/>
            </w:r>
            <w:r w:rsidRPr="00A3130C">
              <w:rPr>
                <w:rFonts w:eastAsia="Times"/>
                <w:sz w:val="20"/>
              </w:rPr>
              <w:t>&amp; Education Services</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61B4894" w14:textId="77777777" w:rsidR="00F962BE" w:rsidRPr="00A3130C" w:rsidRDefault="00F962BE">
            <w:pPr>
              <w:pStyle w:val="ARTabletext"/>
              <w:jc w:val="right"/>
              <w:rPr>
                <w:rFonts w:eastAsia="Times"/>
                <w:sz w:val="20"/>
              </w:rPr>
            </w:pPr>
            <w:r w:rsidRPr="00A3130C">
              <w:rPr>
                <w:rFonts w:eastAsia="Times"/>
                <w:sz w:val="20"/>
              </w:rPr>
              <w:t>2,842</w:t>
            </w:r>
          </w:p>
        </w:tc>
      </w:tr>
      <w:tr w:rsidR="00F962BE" w:rsidRPr="00A3130C" w14:paraId="2B0484DB"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10C60722" w14:textId="77777777" w:rsidR="00F962BE" w:rsidRPr="00A3130C" w:rsidRDefault="00F962BE">
            <w:pPr>
              <w:pStyle w:val="ARTabletext"/>
              <w:rPr>
                <w:rFonts w:eastAsia="Times"/>
                <w:sz w:val="20"/>
              </w:rPr>
            </w:pPr>
            <w:r w:rsidRPr="00A3130C">
              <w:rPr>
                <w:rFonts w:eastAsia="Times"/>
                <w:sz w:val="20"/>
              </w:rPr>
              <w:t>Donald Learning Group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80C4D77" w14:textId="77777777" w:rsidR="00F962BE" w:rsidRPr="00A3130C" w:rsidRDefault="00F962BE">
            <w:pPr>
              <w:pStyle w:val="ARTabletext"/>
              <w:jc w:val="right"/>
              <w:rPr>
                <w:rFonts w:eastAsia="Times"/>
                <w:sz w:val="20"/>
              </w:rPr>
            </w:pPr>
            <w:r w:rsidRPr="00A3130C">
              <w:rPr>
                <w:rFonts w:eastAsia="Times"/>
                <w:sz w:val="20"/>
              </w:rPr>
              <w:t>6,181</w:t>
            </w:r>
          </w:p>
        </w:tc>
      </w:tr>
      <w:tr w:rsidR="00F962BE" w:rsidRPr="00A3130C" w14:paraId="214D54A7"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676988FE" w14:textId="77777777" w:rsidR="00F962BE" w:rsidRPr="00A3130C" w:rsidRDefault="00F962BE">
            <w:pPr>
              <w:pStyle w:val="ARTabletext"/>
              <w:rPr>
                <w:rFonts w:eastAsia="Times"/>
                <w:sz w:val="20"/>
              </w:rPr>
            </w:pPr>
            <w:r w:rsidRPr="00A3130C">
              <w:rPr>
                <w:rFonts w:eastAsia="Times"/>
                <w:sz w:val="20"/>
              </w:rPr>
              <w:t>Doveton Neighbourhood Learning</w:t>
            </w:r>
            <w:r>
              <w:rPr>
                <w:rFonts w:eastAsia="Times"/>
                <w:sz w:val="20"/>
              </w:rPr>
              <w:t> </w:t>
            </w:r>
            <w:r w:rsidRPr="00A3130C">
              <w:rPr>
                <w:rFonts w:eastAsia="Times"/>
                <w:sz w:val="20"/>
              </w:rPr>
              <w:t>Centre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6B96465" w14:textId="77777777" w:rsidR="00F962BE" w:rsidRPr="00A3130C" w:rsidRDefault="00F962BE">
            <w:pPr>
              <w:pStyle w:val="ARTabletext"/>
              <w:jc w:val="right"/>
              <w:rPr>
                <w:rFonts w:eastAsia="Times"/>
                <w:sz w:val="20"/>
              </w:rPr>
            </w:pPr>
            <w:r w:rsidRPr="00A3130C">
              <w:rPr>
                <w:rFonts w:eastAsia="Times"/>
                <w:sz w:val="20"/>
              </w:rPr>
              <w:t>25,125</w:t>
            </w:r>
          </w:p>
        </w:tc>
      </w:tr>
      <w:tr w:rsidR="00F962BE" w:rsidRPr="00A3130C" w14:paraId="59174968"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EB55BF7" w14:textId="77777777" w:rsidR="00F962BE" w:rsidRPr="00A3130C" w:rsidRDefault="00F962BE">
            <w:pPr>
              <w:pStyle w:val="ARTabletext"/>
              <w:rPr>
                <w:rFonts w:eastAsia="Times"/>
                <w:sz w:val="20"/>
              </w:rPr>
            </w:pPr>
            <w:r w:rsidRPr="00A3130C">
              <w:rPr>
                <w:rFonts w:eastAsia="Times"/>
                <w:sz w:val="20"/>
              </w:rPr>
              <w:t>Dromana Community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E95EFA3" w14:textId="77777777" w:rsidR="00F962BE" w:rsidRPr="00A3130C" w:rsidRDefault="00F962BE">
            <w:pPr>
              <w:pStyle w:val="ARTabletext"/>
              <w:jc w:val="right"/>
              <w:rPr>
                <w:rFonts w:eastAsia="Times"/>
                <w:sz w:val="20"/>
              </w:rPr>
            </w:pPr>
            <w:r w:rsidRPr="00A3130C">
              <w:rPr>
                <w:rFonts w:eastAsia="Times"/>
                <w:sz w:val="20"/>
              </w:rPr>
              <w:t>7,913</w:t>
            </w:r>
          </w:p>
        </w:tc>
      </w:tr>
      <w:tr w:rsidR="00F962BE" w:rsidRPr="00A3130C" w14:paraId="54321810"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6D680B19" w14:textId="77777777" w:rsidR="00F962BE" w:rsidRPr="00A3130C" w:rsidRDefault="00F962BE">
            <w:pPr>
              <w:pStyle w:val="ARTabletext"/>
              <w:rPr>
                <w:rFonts w:eastAsia="Times"/>
                <w:sz w:val="20"/>
              </w:rPr>
            </w:pPr>
            <w:r w:rsidRPr="00A3130C">
              <w:rPr>
                <w:rFonts w:eastAsia="Times"/>
                <w:sz w:val="20"/>
              </w:rPr>
              <w:t>Drummond Street Services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B7EA2A3" w14:textId="77777777" w:rsidR="00F962BE" w:rsidRPr="00A3130C" w:rsidRDefault="00F962BE">
            <w:pPr>
              <w:pStyle w:val="ARTabletext"/>
              <w:jc w:val="right"/>
              <w:rPr>
                <w:rFonts w:eastAsia="Times"/>
                <w:sz w:val="20"/>
              </w:rPr>
            </w:pPr>
            <w:r w:rsidRPr="00A3130C">
              <w:rPr>
                <w:rFonts w:eastAsia="Times"/>
                <w:sz w:val="20"/>
              </w:rPr>
              <w:t>56,250</w:t>
            </w:r>
          </w:p>
        </w:tc>
      </w:tr>
      <w:tr w:rsidR="00F962BE" w:rsidRPr="00A3130C" w14:paraId="7FBF388A"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0D1F747" w14:textId="77777777" w:rsidR="00F962BE" w:rsidRPr="00A3130C" w:rsidRDefault="00F962BE">
            <w:pPr>
              <w:pStyle w:val="ARTabletext"/>
              <w:rPr>
                <w:rFonts w:eastAsia="Times"/>
                <w:sz w:val="20"/>
              </w:rPr>
            </w:pPr>
            <w:r w:rsidRPr="00A3130C">
              <w:rPr>
                <w:rFonts w:eastAsia="Times"/>
                <w:sz w:val="20"/>
              </w:rPr>
              <w:t>Duke Street Community House Association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320833FD" w14:textId="77777777" w:rsidR="00F962BE" w:rsidRPr="00A3130C" w:rsidRDefault="00F962BE">
            <w:pPr>
              <w:pStyle w:val="ARTabletext"/>
              <w:jc w:val="right"/>
              <w:rPr>
                <w:rFonts w:eastAsia="Times"/>
                <w:sz w:val="20"/>
              </w:rPr>
            </w:pPr>
            <w:r w:rsidRPr="00A3130C">
              <w:rPr>
                <w:rFonts w:eastAsia="Times"/>
                <w:sz w:val="20"/>
              </w:rPr>
              <w:t>68,172</w:t>
            </w:r>
          </w:p>
        </w:tc>
      </w:tr>
      <w:tr w:rsidR="00F962BE" w:rsidRPr="00A3130C" w14:paraId="42226FF3"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65E8F8D9" w14:textId="77777777" w:rsidR="00F962BE" w:rsidRPr="00A3130C" w:rsidRDefault="00F962BE">
            <w:pPr>
              <w:pStyle w:val="ARTabletext"/>
              <w:rPr>
                <w:rFonts w:eastAsia="Times"/>
                <w:sz w:val="20"/>
              </w:rPr>
            </w:pPr>
            <w:r w:rsidRPr="00A3130C">
              <w:rPr>
                <w:rFonts w:eastAsia="Times"/>
                <w:sz w:val="20"/>
              </w:rPr>
              <w:t>Dunolly &amp; District Neighbourhood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359F7A45" w14:textId="77777777" w:rsidR="00F962BE" w:rsidRPr="00A3130C" w:rsidRDefault="00F962BE">
            <w:pPr>
              <w:pStyle w:val="ARTabletext"/>
              <w:jc w:val="right"/>
              <w:rPr>
                <w:rFonts w:eastAsia="Times"/>
                <w:sz w:val="20"/>
              </w:rPr>
            </w:pPr>
            <w:r w:rsidRPr="00A3130C">
              <w:rPr>
                <w:rFonts w:eastAsia="Times"/>
                <w:sz w:val="20"/>
              </w:rPr>
              <w:t>15,000</w:t>
            </w:r>
          </w:p>
        </w:tc>
      </w:tr>
      <w:tr w:rsidR="00F962BE" w:rsidRPr="00A3130C" w14:paraId="19EBC6D6"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3E2D90AC" w14:textId="77777777" w:rsidR="00F962BE" w:rsidRPr="00A3130C" w:rsidRDefault="00F962BE">
            <w:pPr>
              <w:pStyle w:val="ARTabletext"/>
              <w:rPr>
                <w:rFonts w:eastAsia="Times"/>
                <w:sz w:val="20"/>
              </w:rPr>
            </w:pPr>
            <w:r w:rsidRPr="00A3130C">
              <w:rPr>
                <w:rFonts w:eastAsia="Times"/>
                <w:sz w:val="20"/>
              </w:rPr>
              <w:t>Eaglehawk Community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513F6B0" w14:textId="77777777" w:rsidR="00F962BE" w:rsidRPr="00A3130C" w:rsidRDefault="00F962BE">
            <w:pPr>
              <w:pStyle w:val="ARTabletext"/>
              <w:jc w:val="right"/>
              <w:rPr>
                <w:rFonts w:eastAsia="Times"/>
                <w:sz w:val="20"/>
              </w:rPr>
            </w:pPr>
            <w:r w:rsidRPr="00A3130C">
              <w:rPr>
                <w:rFonts w:eastAsia="Times"/>
                <w:sz w:val="20"/>
              </w:rPr>
              <w:t>18,235</w:t>
            </w:r>
          </w:p>
        </w:tc>
      </w:tr>
      <w:tr w:rsidR="00F962BE" w:rsidRPr="00A3130C" w14:paraId="58DAD3B7"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0537ADD4" w14:textId="77777777" w:rsidR="00F962BE" w:rsidRPr="00A3130C" w:rsidRDefault="00F962BE">
            <w:pPr>
              <w:pStyle w:val="ARTabletext"/>
              <w:rPr>
                <w:rFonts w:eastAsia="Times"/>
                <w:sz w:val="20"/>
              </w:rPr>
            </w:pPr>
            <w:r w:rsidRPr="00A3130C">
              <w:rPr>
                <w:rFonts w:eastAsia="Times"/>
                <w:sz w:val="20"/>
              </w:rPr>
              <w:t>East Wimmera Health Service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4144654" w14:textId="77777777" w:rsidR="00F962BE" w:rsidRPr="00A3130C" w:rsidRDefault="00F962BE">
            <w:pPr>
              <w:pStyle w:val="ARTabletext"/>
              <w:jc w:val="right"/>
              <w:rPr>
                <w:rFonts w:eastAsia="Times"/>
                <w:sz w:val="20"/>
              </w:rPr>
            </w:pPr>
            <w:r w:rsidRPr="00A3130C">
              <w:rPr>
                <w:rFonts w:eastAsia="Times"/>
                <w:sz w:val="20"/>
              </w:rPr>
              <w:t>18,750</w:t>
            </w:r>
          </w:p>
        </w:tc>
      </w:tr>
      <w:tr w:rsidR="00F962BE" w:rsidRPr="00A3130C" w14:paraId="44D72E96"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5DF8ED18" w14:textId="77777777" w:rsidR="00F962BE" w:rsidRPr="00A3130C" w:rsidRDefault="00F962BE">
            <w:pPr>
              <w:pStyle w:val="ARTabletext"/>
              <w:rPr>
                <w:rFonts w:eastAsia="Times"/>
                <w:sz w:val="20"/>
              </w:rPr>
            </w:pPr>
            <w:r w:rsidRPr="00A3130C">
              <w:rPr>
                <w:rFonts w:eastAsia="Times"/>
                <w:sz w:val="20"/>
              </w:rPr>
              <w:t>Eastern Emergency Relief Network</w:t>
            </w:r>
            <w:r>
              <w:rPr>
                <w:rFonts w:eastAsia="Times"/>
                <w:sz w:val="20"/>
              </w:rPr>
              <w:t> </w:t>
            </w:r>
            <w:r w:rsidRPr="00A3130C">
              <w:rPr>
                <w:rFonts w:eastAsia="Times"/>
                <w:sz w:val="20"/>
              </w:rPr>
              <w:t>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31AC94DA" w14:textId="77777777" w:rsidR="00F962BE" w:rsidRPr="00A3130C" w:rsidRDefault="00F962BE">
            <w:pPr>
              <w:pStyle w:val="ARTabletext"/>
              <w:jc w:val="right"/>
              <w:rPr>
                <w:rFonts w:eastAsia="Times"/>
                <w:sz w:val="20"/>
              </w:rPr>
            </w:pPr>
            <w:r w:rsidRPr="00A3130C">
              <w:rPr>
                <w:rFonts w:eastAsia="Times"/>
                <w:sz w:val="20"/>
              </w:rPr>
              <w:t>15,000</w:t>
            </w:r>
          </w:p>
        </w:tc>
      </w:tr>
      <w:tr w:rsidR="00F962BE" w:rsidRPr="00A3130C" w14:paraId="71A11932"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0E22FD99" w14:textId="77777777" w:rsidR="00F962BE" w:rsidRPr="00A3130C" w:rsidRDefault="00F962BE">
            <w:pPr>
              <w:pStyle w:val="ARTabletext"/>
              <w:rPr>
                <w:rFonts w:eastAsia="Times"/>
                <w:sz w:val="20"/>
              </w:rPr>
            </w:pPr>
            <w:r w:rsidRPr="00A3130C">
              <w:rPr>
                <w:rFonts w:eastAsia="Times"/>
                <w:sz w:val="20"/>
              </w:rPr>
              <w:t>Eltham and District Woodworkers</w:t>
            </w:r>
            <w:r>
              <w:rPr>
                <w:rFonts w:eastAsia="Times"/>
                <w:sz w:val="20"/>
              </w:rPr>
              <w:t> </w:t>
            </w:r>
            <w:r w:rsidRPr="00A3130C">
              <w:rPr>
                <w:rFonts w:eastAsia="Times"/>
                <w:sz w:val="20"/>
              </w:rPr>
              <w:t>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F678689" w14:textId="77777777" w:rsidR="00F962BE" w:rsidRPr="00A3130C" w:rsidRDefault="00F962BE">
            <w:pPr>
              <w:pStyle w:val="ARTabletext"/>
              <w:jc w:val="right"/>
              <w:rPr>
                <w:rFonts w:eastAsia="Times"/>
                <w:sz w:val="20"/>
              </w:rPr>
            </w:pPr>
            <w:r w:rsidRPr="00A3130C">
              <w:rPr>
                <w:rFonts w:eastAsia="Times"/>
                <w:sz w:val="20"/>
              </w:rPr>
              <w:t>39,596</w:t>
            </w:r>
          </w:p>
        </w:tc>
      </w:tr>
      <w:tr w:rsidR="00F962BE" w:rsidRPr="00A3130C" w14:paraId="2489CD5D"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4C5094DD" w14:textId="77777777" w:rsidR="00F962BE" w:rsidRPr="00A3130C" w:rsidRDefault="00F962BE">
            <w:pPr>
              <w:pStyle w:val="ARTabletext"/>
              <w:rPr>
                <w:rFonts w:eastAsia="Times"/>
                <w:sz w:val="20"/>
              </w:rPr>
            </w:pPr>
            <w:r w:rsidRPr="00A3130C">
              <w:rPr>
                <w:rFonts w:eastAsia="Times"/>
                <w:sz w:val="20"/>
              </w:rPr>
              <w:t>Endeavour Hills Men's Shed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A6BCC4F" w14:textId="77777777" w:rsidR="00F962BE" w:rsidRPr="00A3130C" w:rsidRDefault="00F962BE">
            <w:pPr>
              <w:pStyle w:val="ARTabletext"/>
              <w:jc w:val="right"/>
              <w:rPr>
                <w:rFonts w:eastAsia="Times"/>
                <w:sz w:val="20"/>
              </w:rPr>
            </w:pPr>
            <w:r w:rsidRPr="00A3130C">
              <w:rPr>
                <w:rFonts w:eastAsia="Times"/>
                <w:sz w:val="20"/>
              </w:rPr>
              <w:t>7,000</w:t>
            </w:r>
          </w:p>
        </w:tc>
      </w:tr>
      <w:tr w:rsidR="00F962BE" w:rsidRPr="00A3130C" w14:paraId="66AF7C86"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5983A62" w14:textId="77777777" w:rsidR="00F962BE" w:rsidRPr="00A3130C" w:rsidRDefault="00F962BE">
            <w:pPr>
              <w:pStyle w:val="ARTabletext"/>
              <w:rPr>
                <w:rFonts w:eastAsia="Times"/>
                <w:sz w:val="20"/>
              </w:rPr>
            </w:pPr>
            <w:r w:rsidRPr="00A3130C">
              <w:rPr>
                <w:rFonts w:eastAsia="Times"/>
                <w:sz w:val="20"/>
              </w:rPr>
              <w:t>Enjoy Community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C049406" w14:textId="77777777" w:rsidR="00F962BE" w:rsidRPr="00A3130C" w:rsidRDefault="00F962BE">
            <w:pPr>
              <w:pStyle w:val="ARTabletext"/>
              <w:jc w:val="right"/>
              <w:rPr>
                <w:rFonts w:eastAsia="Times"/>
                <w:sz w:val="20"/>
              </w:rPr>
            </w:pPr>
            <w:r w:rsidRPr="00A3130C">
              <w:rPr>
                <w:rFonts w:eastAsia="Times"/>
                <w:sz w:val="20"/>
              </w:rPr>
              <w:t>20,000</w:t>
            </w:r>
          </w:p>
        </w:tc>
      </w:tr>
      <w:tr w:rsidR="00F962BE" w:rsidRPr="00A3130C" w14:paraId="390E637F"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7549126B" w14:textId="77777777" w:rsidR="00F962BE" w:rsidRPr="00A3130C" w:rsidRDefault="00F962BE">
            <w:pPr>
              <w:pStyle w:val="ARTabletext"/>
              <w:rPr>
                <w:rFonts w:eastAsia="Times"/>
                <w:sz w:val="20"/>
              </w:rPr>
            </w:pPr>
            <w:r w:rsidRPr="00A3130C">
              <w:rPr>
                <w:rFonts w:eastAsia="Times"/>
                <w:sz w:val="20"/>
              </w:rPr>
              <w:t>Ethnic Council of Shepparton and</w:t>
            </w:r>
            <w:r>
              <w:rPr>
                <w:rFonts w:eastAsia="Times"/>
                <w:sz w:val="20"/>
              </w:rPr>
              <w:t> </w:t>
            </w:r>
            <w:r w:rsidRPr="00A3130C">
              <w:rPr>
                <w:rFonts w:eastAsia="Times"/>
                <w:sz w:val="20"/>
              </w:rPr>
              <w:t>District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F5488BD" w14:textId="77777777" w:rsidR="00F962BE" w:rsidRPr="00A3130C" w:rsidRDefault="00F962BE">
            <w:pPr>
              <w:pStyle w:val="ARTabletext"/>
              <w:jc w:val="right"/>
              <w:rPr>
                <w:rFonts w:eastAsia="Times"/>
                <w:sz w:val="20"/>
              </w:rPr>
            </w:pPr>
            <w:r w:rsidRPr="00A3130C">
              <w:rPr>
                <w:rFonts w:eastAsia="Times"/>
                <w:sz w:val="20"/>
              </w:rPr>
              <w:t>63,750</w:t>
            </w:r>
          </w:p>
        </w:tc>
      </w:tr>
      <w:tr w:rsidR="00F962BE" w:rsidRPr="00A3130C" w14:paraId="50053D91"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780BD8BF" w14:textId="77777777" w:rsidR="00F962BE" w:rsidRPr="00A3130C" w:rsidRDefault="00F962BE">
            <w:pPr>
              <w:pStyle w:val="ARTabletext"/>
              <w:rPr>
                <w:rFonts w:eastAsia="Times"/>
                <w:sz w:val="20"/>
              </w:rPr>
            </w:pPr>
            <w:proofErr w:type="spellStart"/>
            <w:r w:rsidRPr="00A3130C">
              <w:rPr>
                <w:rFonts w:eastAsia="Times"/>
                <w:sz w:val="20"/>
              </w:rPr>
              <w:t>FareShare</w:t>
            </w:r>
            <w:proofErr w:type="spellEnd"/>
            <w:r w:rsidRPr="00A3130C">
              <w:rPr>
                <w:rFonts w:eastAsia="Times"/>
                <w:sz w:val="20"/>
              </w:rPr>
              <w:t xml:space="preserve"> Australia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98720E0" w14:textId="77777777" w:rsidR="00F962BE" w:rsidRPr="00A3130C" w:rsidRDefault="00F962BE">
            <w:pPr>
              <w:pStyle w:val="ARTabletext"/>
              <w:jc w:val="right"/>
              <w:rPr>
                <w:rFonts w:eastAsia="Times"/>
                <w:sz w:val="20"/>
              </w:rPr>
            </w:pPr>
            <w:r w:rsidRPr="00A3130C">
              <w:rPr>
                <w:rFonts w:eastAsia="Times"/>
                <w:sz w:val="20"/>
              </w:rPr>
              <w:t>75,000</w:t>
            </w:r>
          </w:p>
        </w:tc>
      </w:tr>
      <w:tr w:rsidR="00F962BE" w:rsidRPr="00A3130C" w14:paraId="3FF75DF9"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7417B7D1" w14:textId="77777777" w:rsidR="00F962BE" w:rsidRPr="00A3130C" w:rsidRDefault="00F962BE">
            <w:pPr>
              <w:pStyle w:val="ARTabletext"/>
              <w:rPr>
                <w:rFonts w:eastAsia="Times"/>
                <w:sz w:val="20"/>
              </w:rPr>
            </w:pPr>
            <w:r w:rsidRPr="00A3130C">
              <w:rPr>
                <w:rFonts w:eastAsia="Times"/>
                <w:sz w:val="20"/>
              </w:rPr>
              <w:t>Find A Penny Foundation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CF3CC74" w14:textId="77777777" w:rsidR="00F962BE" w:rsidRPr="00A3130C" w:rsidRDefault="00F962BE">
            <w:pPr>
              <w:pStyle w:val="ARTabletext"/>
              <w:jc w:val="right"/>
              <w:rPr>
                <w:rFonts w:eastAsia="Times"/>
                <w:sz w:val="20"/>
              </w:rPr>
            </w:pPr>
            <w:r w:rsidRPr="00A3130C">
              <w:rPr>
                <w:rFonts w:eastAsia="Times"/>
                <w:sz w:val="20"/>
              </w:rPr>
              <w:t>56,250</w:t>
            </w:r>
          </w:p>
        </w:tc>
      </w:tr>
      <w:tr w:rsidR="00F962BE" w:rsidRPr="00A3130C" w14:paraId="22781BBA"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0FDCFF83" w14:textId="77777777" w:rsidR="00F962BE" w:rsidRPr="00A3130C" w:rsidRDefault="00F962BE">
            <w:pPr>
              <w:pStyle w:val="ARTabletext"/>
              <w:rPr>
                <w:rFonts w:eastAsia="Times"/>
                <w:sz w:val="20"/>
              </w:rPr>
            </w:pPr>
            <w:r w:rsidRPr="00A3130C">
              <w:rPr>
                <w:rFonts w:eastAsia="Times"/>
                <w:sz w:val="20"/>
              </w:rPr>
              <w:t>Fitzroy Neighbourhood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C430734" w14:textId="77777777" w:rsidR="00F962BE" w:rsidRPr="00A3130C" w:rsidRDefault="00F962BE">
            <w:pPr>
              <w:pStyle w:val="ARTabletext"/>
              <w:jc w:val="right"/>
              <w:rPr>
                <w:rFonts w:eastAsia="Times"/>
                <w:sz w:val="20"/>
              </w:rPr>
            </w:pPr>
            <w:r w:rsidRPr="00A3130C">
              <w:rPr>
                <w:rFonts w:eastAsia="Times"/>
                <w:sz w:val="20"/>
              </w:rPr>
              <w:t>17,625</w:t>
            </w:r>
          </w:p>
        </w:tc>
      </w:tr>
      <w:tr w:rsidR="00F962BE" w:rsidRPr="00A3130C" w14:paraId="12599C44"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74CC6D22" w14:textId="77777777" w:rsidR="00F962BE" w:rsidRPr="00A3130C" w:rsidRDefault="00F962BE">
            <w:pPr>
              <w:pStyle w:val="ARTabletext"/>
              <w:rPr>
                <w:rFonts w:eastAsia="Times"/>
                <w:sz w:val="20"/>
              </w:rPr>
            </w:pPr>
            <w:r w:rsidRPr="00A3130C">
              <w:rPr>
                <w:rFonts w:eastAsia="Times"/>
                <w:sz w:val="20"/>
              </w:rPr>
              <w:t>Five Loaves Charitable Foundation</w:t>
            </w:r>
            <w:r>
              <w:rPr>
                <w:rFonts w:eastAsia="Times"/>
                <w:sz w:val="20"/>
              </w:rPr>
              <w:t> </w:t>
            </w:r>
            <w:r w:rsidRPr="00A3130C">
              <w:rPr>
                <w:rFonts w:eastAsia="Times"/>
                <w:sz w:val="20"/>
              </w:rPr>
              <w:t>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183A4E4" w14:textId="77777777" w:rsidR="00F962BE" w:rsidRPr="00A3130C" w:rsidRDefault="00F962BE">
            <w:pPr>
              <w:pStyle w:val="ARTabletext"/>
              <w:jc w:val="right"/>
              <w:rPr>
                <w:rFonts w:eastAsia="Times"/>
                <w:sz w:val="20"/>
              </w:rPr>
            </w:pPr>
            <w:r w:rsidRPr="00A3130C">
              <w:rPr>
                <w:rFonts w:eastAsia="Times"/>
                <w:sz w:val="20"/>
              </w:rPr>
              <w:t>63,000</w:t>
            </w:r>
          </w:p>
        </w:tc>
      </w:tr>
      <w:tr w:rsidR="00F962BE" w:rsidRPr="00A3130C" w14:paraId="2872D8AD"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12CCA397" w14:textId="77777777" w:rsidR="00F962BE" w:rsidRPr="00A3130C" w:rsidRDefault="00F962BE">
            <w:pPr>
              <w:pStyle w:val="ARTabletext"/>
              <w:rPr>
                <w:rFonts w:eastAsia="Times"/>
                <w:sz w:val="20"/>
              </w:rPr>
            </w:pPr>
            <w:r w:rsidRPr="00A3130C">
              <w:rPr>
                <w:rFonts w:eastAsia="Times"/>
                <w:sz w:val="20"/>
              </w:rPr>
              <w:t>Flowerdale Community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FAC84E3" w14:textId="77777777" w:rsidR="00F962BE" w:rsidRPr="00A3130C" w:rsidRDefault="00F962BE">
            <w:pPr>
              <w:pStyle w:val="ARTabletext"/>
              <w:jc w:val="right"/>
              <w:rPr>
                <w:rFonts w:eastAsia="Times"/>
                <w:sz w:val="20"/>
              </w:rPr>
            </w:pPr>
            <w:r w:rsidRPr="00A3130C">
              <w:rPr>
                <w:rFonts w:eastAsia="Times"/>
                <w:sz w:val="20"/>
              </w:rPr>
              <w:t>7,865</w:t>
            </w:r>
          </w:p>
        </w:tc>
      </w:tr>
      <w:tr w:rsidR="00F962BE" w:rsidRPr="00A3130C" w14:paraId="6B58E85B"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58EF2104" w14:textId="77777777" w:rsidR="00F962BE" w:rsidRPr="00A3130C" w:rsidRDefault="00F962BE">
            <w:pPr>
              <w:pStyle w:val="ARTabletext"/>
              <w:rPr>
                <w:rFonts w:eastAsia="Times"/>
                <w:sz w:val="20"/>
              </w:rPr>
            </w:pPr>
            <w:r w:rsidRPr="00A3130C">
              <w:rPr>
                <w:rFonts w:eastAsia="Times"/>
                <w:sz w:val="20"/>
              </w:rPr>
              <w:t>Food Relief Neerim District</w:t>
            </w:r>
            <w:r>
              <w:rPr>
                <w:rFonts w:eastAsia="Times"/>
                <w:sz w:val="20"/>
              </w:rPr>
              <w:t> </w:t>
            </w:r>
            <w:r w:rsidRPr="00A3130C">
              <w:rPr>
                <w:rFonts w:eastAsia="Times"/>
                <w:sz w:val="20"/>
              </w:rPr>
              <w:t>Incorporated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8D26AD2" w14:textId="77777777" w:rsidR="00F962BE" w:rsidRPr="00A3130C" w:rsidRDefault="00F962BE">
            <w:pPr>
              <w:pStyle w:val="ARTabletext"/>
              <w:jc w:val="right"/>
              <w:rPr>
                <w:rFonts w:eastAsia="Times"/>
                <w:sz w:val="20"/>
              </w:rPr>
            </w:pPr>
            <w:r w:rsidRPr="00A3130C">
              <w:rPr>
                <w:rFonts w:eastAsia="Times"/>
                <w:sz w:val="20"/>
              </w:rPr>
              <w:t>25,000</w:t>
            </w:r>
          </w:p>
        </w:tc>
      </w:tr>
      <w:tr w:rsidR="00F962BE" w:rsidRPr="00A3130C" w14:paraId="3252BEFE"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4CD6E4BE" w14:textId="77777777" w:rsidR="00F962BE" w:rsidRPr="00A3130C" w:rsidRDefault="00F962BE">
            <w:pPr>
              <w:pStyle w:val="ARTabletext"/>
              <w:rPr>
                <w:rFonts w:eastAsia="Times"/>
                <w:sz w:val="20"/>
              </w:rPr>
            </w:pPr>
            <w:r w:rsidRPr="00A3130C">
              <w:rPr>
                <w:rFonts w:eastAsia="Times"/>
                <w:sz w:val="20"/>
              </w:rPr>
              <w:t>Foodbank Victoria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B122643" w14:textId="77777777" w:rsidR="00F962BE" w:rsidRPr="00A3130C" w:rsidRDefault="00F962BE">
            <w:pPr>
              <w:pStyle w:val="ARTabletext"/>
              <w:jc w:val="right"/>
              <w:rPr>
                <w:rFonts w:eastAsia="Times"/>
                <w:sz w:val="20"/>
              </w:rPr>
            </w:pPr>
            <w:r w:rsidRPr="00A3130C">
              <w:rPr>
                <w:rFonts w:eastAsia="Times"/>
                <w:sz w:val="20"/>
              </w:rPr>
              <w:t>1,121,000</w:t>
            </w:r>
          </w:p>
        </w:tc>
      </w:tr>
      <w:tr w:rsidR="00F962BE" w:rsidRPr="00A3130C" w14:paraId="016F0CF5"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B75EA6B" w14:textId="77777777" w:rsidR="00F962BE" w:rsidRPr="00A3130C" w:rsidRDefault="00F962BE">
            <w:pPr>
              <w:pStyle w:val="ARTabletext"/>
              <w:rPr>
                <w:rFonts w:eastAsia="Times"/>
                <w:sz w:val="20"/>
              </w:rPr>
            </w:pPr>
            <w:r w:rsidRPr="00A3130C">
              <w:rPr>
                <w:rFonts w:eastAsia="Times"/>
                <w:sz w:val="20"/>
              </w:rPr>
              <w:t>Forrest &amp; District Neighbourhood</w:t>
            </w:r>
            <w:r>
              <w:rPr>
                <w:rFonts w:eastAsia="Times"/>
                <w:sz w:val="20"/>
              </w:rPr>
              <w:t> </w:t>
            </w:r>
            <w:r w:rsidRPr="00A3130C">
              <w:rPr>
                <w:rFonts w:eastAsia="Times"/>
                <w:sz w:val="20"/>
              </w:rPr>
              <w:t>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5AEE409" w14:textId="77777777" w:rsidR="00F962BE" w:rsidRPr="00A3130C" w:rsidRDefault="00F962BE">
            <w:pPr>
              <w:pStyle w:val="ARTabletext"/>
              <w:jc w:val="right"/>
              <w:rPr>
                <w:rFonts w:eastAsia="Times"/>
                <w:sz w:val="20"/>
              </w:rPr>
            </w:pPr>
            <w:r w:rsidRPr="00A3130C">
              <w:rPr>
                <w:rFonts w:eastAsia="Times"/>
                <w:sz w:val="20"/>
              </w:rPr>
              <w:t>62,993</w:t>
            </w:r>
          </w:p>
        </w:tc>
      </w:tr>
      <w:tr w:rsidR="00F962BE" w:rsidRPr="00A3130C" w14:paraId="483ABA77"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1C50C4C2" w14:textId="77777777" w:rsidR="00F962BE" w:rsidRPr="00A3130C" w:rsidRDefault="00F962BE">
            <w:pPr>
              <w:pStyle w:val="ARTabletext"/>
              <w:rPr>
                <w:rFonts w:eastAsia="Times"/>
                <w:sz w:val="20"/>
              </w:rPr>
            </w:pPr>
            <w:r w:rsidRPr="00A3130C">
              <w:rPr>
                <w:rFonts w:eastAsia="Times"/>
                <w:sz w:val="20"/>
              </w:rPr>
              <w:t>Foundation Murrindindi</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1991154" w14:textId="77777777" w:rsidR="00F962BE" w:rsidRPr="00A3130C" w:rsidRDefault="00F962BE">
            <w:pPr>
              <w:pStyle w:val="ARTabletext"/>
              <w:jc w:val="right"/>
              <w:rPr>
                <w:rFonts w:eastAsia="Times"/>
                <w:sz w:val="20"/>
              </w:rPr>
            </w:pPr>
            <w:r w:rsidRPr="00A3130C">
              <w:rPr>
                <w:rFonts w:eastAsia="Times"/>
                <w:sz w:val="20"/>
              </w:rPr>
              <w:t>8,159</w:t>
            </w:r>
          </w:p>
        </w:tc>
      </w:tr>
      <w:tr w:rsidR="00F962BE" w:rsidRPr="00A3130C" w14:paraId="0A6EE836"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10103B74" w14:textId="77777777" w:rsidR="00F962BE" w:rsidRPr="00A3130C" w:rsidRDefault="00F962BE">
            <w:pPr>
              <w:pStyle w:val="ARTabletext"/>
              <w:rPr>
                <w:rFonts w:eastAsia="Times"/>
                <w:sz w:val="20"/>
              </w:rPr>
            </w:pPr>
            <w:r w:rsidRPr="00A3130C">
              <w:rPr>
                <w:rFonts w:eastAsia="Times"/>
                <w:sz w:val="20"/>
              </w:rPr>
              <w:t>Frankston Churches Community Breakfast Inc – Frankston Brekky</w:t>
            </w:r>
            <w:r>
              <w:rPr>
                <w:rFonts w:eastAsia="Times"/>
                <w:sz w:val="20"/>
              </w:rPr>
              <w:t> </w:t>
            </w:r>
            <w:r w:rsidRPr="00A3130C">
              <w:rPr>
                <w:rFonts w:eastAsia="Times"/>
                <w:sz w:val="20"/>
              </w:rPr>
              <w:t>Club</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9C58AE9" w14:textId="77777777" w:rsidR="00F962BE" w:rsidRPr="00A3130C" w:rsidRDefault="00F962BE">
            <w:pPr>
              <w:pStyle w:val="ARTabletext"/>
              <w:jc w:val="right"/>
              <w:rPr>
                <w:rFonts w:eastAsia="Times"/>
                <w:sz w:val="20"/>
              </w:rPr>
            </w:pPr>
            <w:r w:rsidRPr="00A3130C">
              <w:rPr>
                <w:rFonts w:eastAsia="Times"/>
                <w:sz w:val="20"/>
              </w:rPr>
              <w:t>50,000</w:t>
            </w:r>
          </w:p>
        </w:tc>
      </w:tr>
      <w:tr w:rsidR="00F962BE" w:rsidRPr="00A3130C" w14:paraId="4277D0B0"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BCF11BE" w14:textId="77777777" w:rsidR="00F962BE" w:rsidRPr="00A3130C" w:rsidRDefault="00F962BE">
            <w:pPr>
              <w:pStyle w:val="ARTabletext"/>
              <w:rPr>
                <w:rFonts w:eastAsia="Times"/>
                <w:sz w:val="20"/>
              </w:rPr>
            </w:pPr>
            <w:r w:rsidRPr="00A3130C">
              <w:rPr>
                <w:rFonts w:eastAsia="Times"/>
                <w:sz w:val="20"/>
              </w:rPr>
              <w:t>Geelong Foodshare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31E893B8" w14:textId="77777777" w:rsidR="00F962BE" w:rsidRPr="00A3130C" w:rsidRDefault="00F962BE">
            <w:pPr>
              <w:pStyle w:val="ARTabletext"/>
              <w:jc w:val="right"/>
              <w:rPr>
                <w:rFonts w:eastAsia="Times"/>
                <w:sz w:val="20"/>
              </w:rPr>
            </w:pPr>
            <w:r w:rsidRPr="00A3130C">
              <w:rPr>
                <w:rFonts w:eastAsia="Times"/>
                <w:sz w:val="20"/>
              </w:rPr>
              <w:t>212,500</w:t>
            </w:r>
          </w:p>
        </w:tc>
      </w:tr>
      <w:tr w:rsidR="00F962BE" w:rsidRPr="00A3130C" w14:paraId="69358DE8"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098DB76C" w14:textId="77777777" w:rsidR="00F962BE" w:rsidRPr="00A3130C" w:rsidRDefault="00F962BE">
            <w:pPr>
              <w:pStyle w:val="ARTabletext"/>
              <w:rPr>
                <w:rFonts w:eastAsia="Times"/>
                <w:sz w:val="20"/>
              </w:rPr>
            </w:pPr>
            <w:r w:rsidRPr="00A3130C">
              <w:rPr>
                <w:rFonts w:eastAsia="Times"/>
                <w:sz w:val="20"/>
              </w:rPr>
              <w:t>Gellibrand Community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CC268A7" w14:textId="77777777" w:rsidR="00F962BE" w:rsidRPr="00A3130C" w:rsidRDefault="00F962BE">
            <w:pPr>
              <w:pStyle w:val="ARTabletext"/>
              <w:jc w:val="right"/>
              <w:rPr>
                <w:rFonts w:eastAsia="Times"/>
                <w:sz w:val="20"/>
              </w:rPr>
            </w:pPr>
            <w:r w:rsidRPr="00A3130C">
              <w:rPr>
                <w:rFonts w:eastAsia="Times"/>
                <w:sz w:val="20"/>
              </w:rPr>
              <w:t>48,000</w:t>
            </w:r>
          </w:p>
        </w:tc>
      </w:tr>
      <w:tr w:rsidR="00F962BE" w:rsidRPr="00A3130C" w14:paraId="3831DE28"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4691E2CF" w14:textId="77777777" w:rsidR="00F962BE" w:rsidRPr="00A3130C" w:rsidRDefault="00F962BE">
            <w:pPr>
              <w:pStyle w:val="ARTabletext"/>
              <w:rPr>
                <w:rFonts w:eastAsia="Times"/>
                <w:sz w:val="20"/>
              </w:rPr>
            </w:pPr>
            <w:r w:rsidRPr="00A3130C">
              <w:rPr>
                <w:rFonts w:eastAsia="Times"/>
                <w:sz w:val="20"/>
              </w:rPr>
              <w:t>Girgarre &amp; Community Group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5B6FDC2" w14:textId="77777777" w:rsidR="00F962BE" w:rsidRPr="00A3130C" w:rsidRDefault="00F962BE">
            <w:pPr>
              <w:pStyle w:val="ARTabletext"/>
              <w:jc w:val="right"/>
              <w:rPr>
                <w:rFonts w:eastAsia="Times"/>
                <w:sz w:val="20"/>
              </w:rPr>
            </w:pPr>
            <w:r w:rsidRPr="00A3130C">
              <w:rPr>
                <w:rFonts w:eastAsia="Times"/>
                <w:sz w:val="20"/>
              </w:rPr>
              <w:t>22,500</w:t>
            </w:r>
          </w:p>
        </w:tc>
      </w:tr>
      <w:tr w:rsidR="00F962BE" w:rsidRPr="00A3130C" w14:paraId="00BDA630"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6C2486D6" w14:textId="77777777" w:rsidR="00F962BE" w:rsidRPr="00A3130C" w:rsidRDefault="00F962BE">
            <w:pPr>
              <w:pStyle w:val="ARTabletext"/>
              <w:rPr>
                <w:rFonts w:eastAsia="Times"/>
                <w:sz w:val="20"/>
              </w:rPr>
            </w:pPr>
            <w:r w:rsidRPr="00A3130C">
              <w:rPr>
                <w:rFonts w:eastAsia="Times"/>
                <w:sz w:val="20"/>
              </w:rPr>
              <w:t>Give Where You Live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055A592" w14:textId="77777777" w:rsidR="00F962BE" w:rsidRPr="00A3130C" w:rsidRDefault="00F962BE">
            <w:pPr>
              <w:pStyle w:val="ARTabletext"/>
              <w:jc w:val="right"/>
              <w:rPr>
                <w:rFonts w:eastAsia="Times"/>
                <w:sz w:val="20"/>
              </w:rPr>
            </w:pPr>
            <w:r w:rsidRPr="00A3130C">
              <w:rPr>
                <w:rFonts w:eastAsia="Times"/>
                <w:sz w:val="20"/>
              </w:rPr>
              <w:t>7,875</w:t>
            </w:r>
          </w:p>
        </w:tc>
      </w:tr>
      <w:tr w:rsidR="00F962BE" w:rsidRPr="00A3130C" w14:paraId="43F49B15"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069D323E" w14:textId="77777777" w:rsidR="00F962BE" w:rsidRPr="00A3130C" w:rsidRDefault="00F962BE">
            <w:pPr>
              <w:pStyle w:val="ARTabletext"/>
              <w:rPr>
                <w:rFonts w:eastAsia="Times"/>
                <w:sz w:val="20"/>
              </w:rPr>
            </w:pPr>
            <w:r w:rsidRPr="00A3130C">
              <w:rPr>
                <w:rFonts w:eastAsia="Times"/>
                <w:sz w:val="20"/>
              </w:rPr>
              <w:t>Glen Park Community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79D2DD8" w14:textId="77777777" w:rsidR="00F962BE" w:rsidRPr="00A3130C" w:rsidRDefault="00F962BE">
            <w:pPr>
              <w:pStyle w:val="ARTabletext"/>
              <w:jc w:val="right"/>
              <w:rPr>
                <w:rFonts w:eastAsia="Times"/>
                <w:sz w:val="20"/>
              </w:rPr>
            </w:pPr>
            <w:r w:rsidRPr="00A3130C">
              <w:rPr>
                <w:rFonts w:eastAsia="Times"/>
                <w:sz w:val="20"/>
              </w:rPr>
              <w:t>9,711</w:t>
            </w:r>
          </w:p>
        </w:tc>
      </w:tr>
      <w:tr w:rsidR="00F962BE" w:rsidRPr="00A3130C" w14:paraId="5C3EE8AE"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19EE4687" w14:textId="77777777" w:rsidR="00F962BE" w:rsidRPr="00A3130C" w:rsidRDefault="00F962BE">
            <w:pPr>
              <w:pStyle w:val="ARTabletext"/>
              <w:rPr>
                <w:rFonts w:eastAsia="Times"/>
                <w:sz w:val="20"/>
              </w:rPr>
            </w:pPr>
            <w:r w:rsidRPr="00A3130C">
              <w:rPr>
                <w:rFonts w:eastAsia="Times"/>
                <w:sz w:val="20"/>
              </w:rPr>
              <w:t>Glenroy Neighbourhood Learning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51470F9" w14:textId="77777777" w:rsidR="00F962BE" w:rsidRPr="00A3130C" w:rsidRDefault="00F962BE">
            <w:pPr>
              <w:pStyle w:val="ARTabletext"/>
              <w:jc w:val="right"/>
              <w:rPr>
                <w:rFonts w:eastAsia="Times"/>
                <w:sz w:val="20"/>
              </w:rPr>
            </w:pPr>
            <w:r w:rsidRPr="00A3130C">
              <w:rPr>
                <w:rFonts w:eastAsia="Times"/>
                <w:sz w:val="20"/>
              </w:rPr>
              <w:t>65,422</w:t>
            </w:r>
          </w:p>
        </w:tc>
      </w:tr>
      <w:tr w:rsidR="00F962BE" w:rsidRPr="00A3130C" w14:paraId="33D30617"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74714E73" w14:textId="77777777" w:rsidR="00F962BE" w:rsidRPr="00A3130C" w:rsidRDefault="00F962BE">
            <w:pPr>
              <w:pStyle w:val="ARTabletext"/>
              <w:rPr>
                <w:rFonts w:eastAsia="Times"/>
                <w:sz w:val="20"/>
              </w:rPr>
            </w:pPr>
            <w:r w:rsidRPr="00A3130C">
              <w:rPr>
                <w:rFonts w:eastAsia="Times"/>
                <w:sz w:val="20"/>
              </w:rPr>
              <w:t>Golden Plains Shire Council</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39DB798E" w14:textId="77777777" w:rsidR="00F962BE" w:rsidRPr="00A3130C" w:rsidRDefault="00F962BE">
            <w:pPr>
              <w:pStyle w:val="ARTabletext"/>
              <w:jc w:val="right"/>
              <w:rPr>
                <w:rFonts w:eastAsia="Times"/>
                <w:sz w:val="20"/>
              </w:rPr>
            </w:pPr>
            <w:r w:rsidRPr="00A3130C">
              <w:rPr>
                <w:rFonts w:eastAsia="Times"/>
                <w:sz w:val="20"/>
              </w:rPr>
              <w:t>55,500</w:t>
            </w:r>
          </w:p>
        </w:tc>
      </w:tr>
      <w:tr w:rsidR="00F962BE" w:rsidRPr="00A3130C" w14:paraId="0BAC8788"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419D8176" w14:textId="77777777" w:rsidR="00F962BE" w:rsidRPr="00A3130C" w:rsidRDefault="00F962BE">
            <w:pPr>
              <w:pStyle w:val="ARTabletext"/>
              <w:rPr>
                <w:rFonts w:eastAsia="Times"/>
                <w:sz w:val="20"/>
              </w:rPr>
            </w:pPr>
            <w:r w:rsidRPr="00A3130C">
              <w:rPr>
                <w:rFonts w:eastAsia="Times"/>
                <w:sz w:val="20"/>
              </w:rPr>
              <w:t xml:space="preserve">Goolum </w:t>
            </w:r>
            <w:proofErr w:type="spellStart"/>
            <w:r w:rsidRPr="00A3130C">
              <w:rPr>
                <w:rFonts w:eastAsia="Times"/>
                <w:sz w:val="20"/>
              </w:rPr>
              <w:t>Goolum</w:t>
            </w:r>
            <w:proofErr w:type="spellEnd"/>
            <w:r w:rsidRPr="00A3130C">
              <w:rPr>
                <w:rFonts w:eastAsia="Times"/>
                <w:sz w:val="20"/>
              </w:rPr>
              <w:t xml:space="preserve"> Aboriginal</w:t>
            </w:r>
            <w:r>
              <w:rPr>
                <w:rFonts w:eastAsia="Times"/>
                <w:sz w:val="20"/>
              </w:rPr>
              <w:t> </w:t>
            </w:r>
            <w:r w:rsidRPr="00A3130C">
              <w:rPr>
                <w:rFonts w:eastAsia="Times"/>
                <w:sz w:val="20"/>
              </w:rPr>
              <w:t>Cooperative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27C754A" w14:textId="77777777" w:rsidR="00F962BE" w:rsidRPr="00A3130C" w:rsidRDefault="00F962BE">
            <w:pPr>
              <w:pStyle w:val="ARTabletext"/>
              <w:jc w:val="right"/>
              <w:rPr>
                <w:rFonts w:eastAsia="Times"/>
                <w:sz w:val="20"/>
              </w:rPr>
            </w:pPr>
            <w:r w:rsidRPr="00A3130C">
              <w:rPr>
                <w:rFonts w:eastAsia="Times"/>
                <w:sz w:val="20"/>
              </w:rPr>
              <w:t>75,000</w:t>
            </w:r>
          </w:p>
        </w:tc>
      </w:tr>
      <w:tr w:rsidR="00F962BE" w:rsidRPr="00A3130C" w14:paraId="709E2737"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74D8123E" w14:textId="77777777" w:rsidR="00F962BE" w:rsidRPr="00A3130C" w:rsidRDefault="00F962BE">
            <w:pPr>
              <w:pStyle w:val="ARTabletext"/>
              <w:rPr>
                <w:rFonts w:eastAsia="Times"/>
                <w:sz w:val="20"/>
              </w:rPr>
            </w:pPr>
            <w:r w:rsidRPr="00A3130C">
              <w:rPr>
                <w:rFonts w:eastAsia="Times"/>
                <w:sz w:val="20"/>
              </w:rPr>
              <w:t>Goulburn Valley Woodworkers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040CA50" w14:textId="77777777" w:rsidR="00F962BE" w:rsidRPr="00A3130C" w:rsidRDefault="00F962BE">
            <w:pPr>
              <w:pStyle w:val="ARTabletext"/>
              <w:jc w:val="right"/>
              <w:rPr>
                <w:rFonts w:eastAsia="Times"/>
                <w:sz w:val="20"/>
              </w:rPr>
            </w:pPr>
            <w:r w:rsidRPr="00A3130C">
              <w:rPr>
                <w:rFonts w:eastAsia="Times"/>
                <w:sz w:val="20"/>
              </w:rPr>
              <w:t>10,000</w:t>
            </w:r>
          </w:p>
        </w:tc>
      </w:tr>
      <w:tr w:rsidR="00F962BE" w:rsidRPr="00A3130C" w14:paraId="55C9A013"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7E53661B" w14:textId="77777777" w:rsidR="00F962BE" w:rsidRPr="00A3130C" w:rsidRDefault="00F962BE">
            <w:pPr>
              <w:pStyle w:val="ARTabletext"/>
              <w:rPr>
                <w:rFonts w:eastAsia="Times"/>
                <w:sz w:val="20"/>
              </w:rPr>
            </w:pPr>
            <w:r w:rsidRPr="00A3130C">
              <w:rPr>
                <w:rFonts w:eastAsia="Times"/>
                <w:sz w:val="20"/>
              </w:rPr>
              <w:t>Great Ocean Road Health</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0812732" w14:textId="77777777" w:rsidR="00F962BE" w:rsidRPr="00A3130C" w:rsidRDefault="00F962BE">
            <w:pPr>
              <w:pStyle w:val="ARTabletext"/>
              <w:jc w:val="right"/>
              <w:rPr>
                <w:rFonts w:eastAsia="Times"/>
                <w:sz w:val="20"/>
              </w:rPr>
            </w:pPr>
            <w:r w:rsidRPr="00A3130C">
              <w:rPr>
                <w:rFonts w:eastAsia="Times"/>
                <w:sz w:val="20"/>
              </w:rPr>
              <w:t>34,613</w:t>
            </w:r>
          </w:p>
        </w:tc>
      </w:tr>
      <w:tr w:rsidR="00F962BE" w:rsidRPr="00A3130C" w14:paraId="76F2214A"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330EDCDC" w14:textId="77777777" w:rsidR="00F962BE" w:rsidRPr="00A3130C" w:rsidRDefault="00F962BE">
            <w:pPr>
              <w:pStyle w:val="ARTabletext"/>
              <w:rPr>
                <w:rFonts w:eastAsia="Times"/>
                <w:sz w:val="20"/>
              </w:rPr>
            </w:pPr>
            <w:r w:rsidRPr="00A3130C">
              <w:rPr>
                <w:rFonts w:eastAsia="Times"/>
                <w:sz w:val="20"/>
              </w:rPr>
              <w:t>Greenhills Neighbourhood House</w:t>
            </w:r>
            <w:r>
              <w:rPr>
                <w:rFonts w:eastAsia="Times"/>
                <w:sz w:val="20"/>
              </w:rPr>
              <w:t> </w:t>
            </w:r>
            <w:r w:rsidRPr="00A3130C">
              <w:rPr>
                <w:rFonts w:eastAsia="Times"/>
                <w:sz w:val="20"/>
              </w:rPr>
              <w:t>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C3BA33C" w14:textId="77777777" w:rsidR="00F962BE" w:rsidRPr="00A3130C" w:rsidRDefault="00F962BE">
            <w:pPr>
              <w:pStyle w:val="ARTabletext"/>
              <w:jc w:val="right"/>
              <w:rPr>
                <w:rFonts w:eastAsia="Times"/>
                <w:sz w:val="20"/>
              </w:rPr>
            </w:pPr>
            <w:r w:rsidRPr="00A3130C">
              <w:rPr>
                <w:rFonts w:eastAsia="Times"/>
                <w:sz w:val="20"/>
              </w:rPr>
              <w:t>51,250</w:t>
            </w:r>
          </w:p>
        </w:tc>
      </w:tr>
      <w:tr w:rsidR="00F962BE" w:rsidRPr="00A3130C" w14:paraId="2DECBF25"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41F414AF" w14:textId="77777777" w:rsidR="00F962BE" w:rsidRPr="00A3130C" w:rsidRDefault="00F962BE">
            <w:pPr>
              <w:pStyle w:val="ARTabletext"/>
              <w:rPr>
                <w:rFonts w:eastAsia="Times"/>
                <w:sz w:val="20"/>
              </w:rPr>
            </w:pPr>
            <w:proofErr w:type="spellStart"/>
            <w:r w:rsidRPr="00A3130C">
              <w:rPr>
                <w:rFonts w:eastAsia="Times"/>
                <w:sz w:val="20"/>
              </w:rPr>
              <w:t>Gurduara</w:t>
            </w:r>
            <w:proofErr w:type="spellEnd"/>
            <w:r w:rsidRPr="00A3130C">
              <w:rPr>
                <w:rFonts w:eastAsia="Times"/>
                <w:sz w:val="20"/>
              </w:rPr>
              <w:t xml:space="preserve"> Council </w:t>
            </w:r>
            <w:proofErr w:type="gramStart"/>
            <w:r w:rsidRPr="00A3130C">
              <w:rPr>
                <w:rFonts w:eastAsia="Times"/>
                <w:sz w:val="20"/>
              </w:rPr>
              <w:t>Of</w:t>
            </w:r>
            <w:proofErr w:type="gramEnd"/>
            <w:r w:rsidRPr="00A3130C">
              <w:rPr>
                <w:rFonts w:eastAsia="Times"/>
                <w:sz w:val="20"/>
              </w:rPr>
              <w:t xml:space="preserve"> Victoria</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BCA60B4" w14:textId="77777777" w:rsidR="00F962BE" w:rsidRPr="00A3130C" w:rsidRDefault="00F962BE">
            <w:pPr>
              <w:pStyle w:val="ARTabletext"/>
              <w:jc w:val="right"/>
              <w:rPr>
                <w:rFonts w:eastAsia="Times"/>
                <w:sz w:val="20"/>
              </w:rPr>
            </w:pPr>
            <w:r w:rsidRPr="00A3130C">
              <w:rPr>
                <w:rFonts w:eastAsia="Times"/>
                <w:sz w:val="20"/>
              </w:rPr>
              <w:t>35,000</w:t>
            </w:r>
          </w:p>
        </w:tc>
      </w:tr>
      <w:tr w:rsidR="00F962BE" w:rsidRPr="00A3130C" w14:paraId="31D9A3FE"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6E6DBB8A" w14:textId="77777777" w:rsidR="00F962BE" w:rsidRPr="00A3130C" w:rsidRDefault="00F962BE">
            <w:pPr>
              <w:pStyle w:val="ARTabletext"/>
              <w:rPr>
                <w:rFonts w:eastAsia="Times"/>
                <w:sz w:val="20"/>
              </w:rPr>
            </w:pPr>
            <w:r w:rsidRPr="00A3130C">
              <w:rPr>
                <w:rFonts w:eastAsia="Times"/>
                <w:sz w:val="20"/>
              </w:rPr>
              <w:t>Halal Food Bank Melbourne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2C099D1" w14:textId="77777777" w:rsidR="00F962BE" w:rsidRPr="00A3130C" w:rsidRDefault="00F962BE">
            <w:pPr>
              <w:pStyle w:val="ARTabletext"/>
              <w:jc w:val="right"/>
              <w:rPr>
                <w:rFonts w:eastAsia="Times"/>
                <w:sz w:val="20"/>
              </w:rPr>
            </w:pPr>
            <w:r w:rsidRPr="00A3130C">
              <w:rPr>
                <w:rFonts w:eastAsia="Times"/>
                <w:sz w:val="20"/>
              </w:rPr>
              <w:t>7,875</w:t>
            </w:r>
          </w:p>
        </w:tc>
      </w:tr>
      <w:tr w:rsidR="00F962BE" w:rsidRPr="00A3130C" w14:paraId="108D49DE"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0575228B" w14:textId="77777777" w:rsidR="00F962BE" w:rsidRPr="00A3130C" w:rsidRDefault="00F962BE">
            <w:pPr>
              <w:pStyle w:val="ARTabletext"/>
              <w:rPr>
                <w:rFonts w:eastAsia="Times"/>
                <w:sz w:val="20"/>
              </w:rPr>
            </w:pPr>
            <w:r w:rsidRPr="00A3130C">
              <w:rPr>
                <w:rFonts w:eastAsia="Times"/>
                <w:sz w:val="20"/>
              </w:rPr>
              <w:t xml:space="preserve">Hare Krishna Food </w:t>
            </w:r>
            <w:proofErr w:type="gramStart"/>
            <w:r w:rsidRPr="00A3130C">
              <w:rPr>
                <w:rFonts w:eastAsia="Times"/>
                <w:sz w:val="20"/>
              </w:rPr>
              <w:t>For</w:t>
            </w:r>
            <w:proofErr w:type="gramEnd"/>
            <w:r w:rsidRPr="00A3130C">
              <w:rPr>
                <w:rFonts w:eastAsia="Times"/>
                <w:sz w:val="20"/>
              </w:rPr>
              <w:t xml:space="preserve"> Life Melbourne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9BADBC0" w14:textId="77777777" w:rsidR="00F962BE" w:rsidRPr="00A3130C" w:rsidRDefault="00F962BE">
            <w:pPr>
              <w:pStyle w:val="ARTabletext"/>
              <w:jc w:val="right"/>
              <w:rPr>
                <w:rFonts w:eastAsia="Times"/>
                <w:sz w:val="20"/>
              </w:rPr>
            </w:pPr>
            <w:r w:rsidRPr="00A3130C">
              <w:rPr>
                <w:rFonts w:eastAsia="Times"/>
                <w:sz w:val="20"/>
              </w:rPr>
              <w:t>10,875</w:t>
            </w:r>
          </w:p>
        </w:tc>
      </w:tr>
      <w:tr w:rsidR="00F962BE" w:rsidRPr="00A3130C" w14:paraId="0E929040"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17577988" w14:textId="77777777" w:rsidR="00F962BE" w:rsidRPr="00A3130C" w:rsidRDefault="00F962BE">
            <w:pPr>
              <w:pStyle w:val="ARTabletext"/>
              <w:rPr>
                <w:rFonts w:eastAsia="Times"/>
                <w:sz w:val="20"/>
              </w:rPr>
            </w:pPr>
            <w:r w:rsidRPr="00A3130C">
              <w:rPr>
                <w:rFonts w:eastAsia="Times"/>
                <w:sz w:val="20"/>
              </w:rPr>
              <w:t>Health Futures Australia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1DE0C82" w14:textId="77777777" w:rsidR="00F962BE" w:rsidRPr="00A3130C" w:rsidRDefault="00F962BE">
            <w:pPr>
              <w:pStyle w:val="ARTabletext"/>
              <w:jc w:val="right"/>
              <w:rPr>
                <w:rFonts w:eastAsia="Times"/>
                <w:sz w:val="20"/>
              </w:rPr>
            </w:pPr>
            <w:r w:rsidRPr="00A3130C">
              <w:rPr>
                <w:rFonts w:eastAsia="Times"/>
                <w:sz w:val="20"/>
              </w:rPr>
              <w:t>51,375</w:t>
            </w:r>
          </w:p>
        </w:tc>
      </w:tr>
      <w:tr w:rsidR="00F962BE" w:rsidRPr="00A3130C" w14:paraId="51D1C01F"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7B4A37F" w14:textId="77777777" w:rsidR="00F962BE" w:rsidRPr="00A3130C" w:rsidRDefault="00F962BE">
            <w:pPr>
              <w:pStyle w:val="ARTabletext"/>
              <w:rPr>
                <w:rFonts w:eastAsia="Times"/>
                <w:sz w:val="20"/>
              </w:rPr>
            </w:pPr>
            <w:r w:rsidRPr="00A3130C">
              <w:rPr>
                <w:rFonts w:eastAsia="Times"/>
                <w:sz w:val="20"/>
              </w:rPr>
              <w:t>Hume Mens Shed Craigieburn</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7F0F41C" w14:textId="77777777" w:rsidR="00F962BE" w:rsidRPr="00A3130C" w:rsidRDefault="00F962BE">
            <w:pPr>
              <w:pStyle w:val="ARTabletext"/>
              <w:jc w:val="right"/>
              <w:rPr>
                <w:rFonts w:eastAsia="Times"/>
                <w:sz w:val="20"/>
              </w:rPr>
            </w:pPr>
            <w:r w:rsidRPr="00A3130C">
              <w:rPr>
                <w:rFonts w:eastAsia="Times"/>
                <w:sz w:val="20"/>
              </w:rPr>
              <w:t>16,000</w:t>
            </w:r>
          </w:p>
        </w:tc>
      </w:tr>
      <w:tr w:rsidR="00F962BE" w:rsidRPr="00A3130C" w14:paraId="3C585F41"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76C438F4" w14:textId="77777777" w:rsidR="00F962BE" w:rsidRPr="00A3130C" w:rsidRDefault="00F962BE">
            <w:pPr>
              <w:pStyle w:val="ARTabletext"/>
              <w:rPr>
                <w:rFonts w:eastAsia="Times"/>
                <w:sz w:val="20"/>
              </w:rPr>
            </w:pPr>
            <w:r w:rsidRPr="00A3130C">
              <w:rPr>
                <w:rFonts w:eastAsia="Times"/>
                <w:sz w:val="20"/>
              </w:rPr>
              <w:t xml:space="preserve">Jika </w:t>
            </w:r>
            <w:proofErr w:type="spellStart"/>
            <w:r w:rsidRPr="00A3130C">
              <w:rPr>
                <w:rFonts w:eastAsia="Times"/>
                <w:sz w:val="20"/>
              </w:rPr>
              <w:t>Jika</w:t>
            </w:r>
            <w:proofErr w:type="spellEnd"/>
            <w:r w:rsidRPr="00A3130C">
              <w:rPr>
                <w:rFonts w:eastAsia="Times"/>
                <w:sz w:val="20"/>
              </w:rPr>
              <w:t xml:space="preserve"> Community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0C9E4B8" w14:textId="77777777" w:rsidR="00F962BE" w:rsidRPr="00A3130C" w:rsidRDefault="00F962BE">
            <w:pPr>
              <w:pStyle w:val="ARTabletext"/>
              <w:jc w:val="right"/>
              <w:rPr>
                <w:rFonts w:eastAsia="Times"/>
                <w:sz w:val="20"/>
              </w:rPr>
            </w:pPr>
            <w:r w:rsidRPr="00A3130C">
              <w:rPr>
                <w:rFonts w:eastAsia="Times"/>
                <w:sz w:val="20"/>
              </w:rPr>
              <w:t>20,000</w:t>
            </w:r>
          </w:p>
        </w:tc>
      </w:tr>
      <w:tr w:rsidR="00F962BE" w:rsidRPr="00A3130C" w14:paraId="3C4C09BF"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54B167C" w14:textId="77777777" w:rsidR="00F962BE" w:rsidRPr="00A3130C" w:rsidRDefault="00F962BE">
            <w:pPr>
              <w:pStyle w:val="ARTabletext"/>
              <w:rPr>
                <w:rFonts w:eastAsia="Times"/>
                <w:sz w:val="20"/>
              </w:rPr>
            </w:pPr>
            <w:r w:rsidRPr="00A3130C">
              <w:rPr>
                <w:rFonts w:eastAsia="Times"/>
                <w:sz w:val="20"/>
              </w:rPr>
              <w:t>Kangaroo Flat Community Group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CAA4CAB" w14:textId="77777777" w:rsidR="00F962BE" w:rsidRPr="00A3130C" w:rsidRDefault="00F962BE">
            <w:pPr>
              <w:pStyle w:val="ARTabletext"/>
              <w:jc w:val="right"/>
              <w:rPr>
                <w:rFonts w:eastAsia="Times"/>
                <w:sz w:val="20"/>
              </w:rPr>
            </w:pPr>
            <w:r w:rsidRPr="00A3130C">
              <w:rPr>
                <w:rFonts w:eastAsia="Times"/>
                <w:sz w:val="20"/>
              </w:rPr>
              <w:t>9,850</w:t>
            </w:r>
          </w:p>
        </w:tc>
      </w:tr>
      <w:tr w:rsidR="00F962BE" w:rsidRPr="00A3130C" w14:paraId="7CFCC85A"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4C1EC51E" w14:textId="77777777" w:rsidR="00F962BE" w:rsidRPr="00A3130C" w:rsidRDefault="00F962BE">
            <w:pPr>
              <w:pStyle w:val="ARTabletext"/>
              <w:rPr>
                <w:rFonts w:eastAsia="Times"/>
                <w:sz w:val="20"/>
              </w:rPr>
            </w:pPr>
            <w:r w:rsidRPr="00A3130C">
              <w:rPr>
                <w:rFonts w:eastAsia="Times"/>
                <w:sz w:val="20"/>
              </w:rPr>
              <w:t>Kensington Neighbourhood House</w:t>
            </w:r>
            <w:r>
              <w:rPr>
                <w:rFonts w:eastAsia="Times"/>
                <w:sz w:val="20"/>
              </w:rPr>
              <w:t> </w:t>
            </w:r>
            <w:r w:rsidRPr="00A3130C">
              <w:rPr>
                <w:rFonts w:eastAsia="Times"/>
                <w:sz w:val="20"/>
              </w:rPr>
              <w:t>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37CFCD8" w14:textId="77777777" w:rsidR="00F962BE" w:rsidRPr="00A3130C" w:rsidRDefault="00F962BE">
            <w:pPr>
              <w:pStyle w:val="ARTabletext"/>
              <w:jc w:val="right"/>
              <w:rPr>
                <w:rFonts w:eastAsia="Times"/>
                <w:sz w:val="20"/>
              </w:rPr>
            </w:pPr>
            <w:r w:rsidRPr="00A3130C">
              <w:rPr>
                <w:rFonts w:eastAsia="Times"/>
                <w:sz w:val="20"/>
              </w:rPr>
              <w:t>37,782</w:t>
            </w:r>
          </w:p>
        </w:tc>
      </w:tr>
      <w:tr w:rsidR="00F962BE" w:rsidRPr="00A3130C" w14:paraId="73B0B417"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089F1564" w14:textId="77777777" w:rsidR="00F962BE" w:rsidRPr="00A3130C" w:rsidRDefault="00F962BE">
            <w:pPr>
              <w:pStyle w:val="ARTabletext"/>
              <w:rPr>
                <w:rFonts w:eastAsia="Times"/>
                <w:sz w:val="20"/>
              </w:rPr>
            </w:pPr>
            <w:r w:rsidRPr="00A3130C">
              <w:rPr>
                <w:rFonts w:eastAsia="Times"/>
                <w:sz w:val="20"/>
              </w:rPr>
              <w:t xml:space="preserve">Khalsa </w:t>
            </w:r>
            <w:proofErr w:type="spellStart"/>
            <w:r w:rsidRPr="00A3130C">
              <w:rPr>
                <w:rFonts w:eastAsia="Times"/>
                <w:sz w:val="20"/>
              </w:rPr>
              <w:t>Shaouni</w:t>
            </w:r>
            <w:proofErr w:type="spellEnd"/>
            <w:r w:rsidRPr="00A3130C">
              <w:rPr>
                <w:rFonts w:eastAsia="Times"/>
                <w:sz w:val="20"/>
              </w:rPr>
              <w:t xml:space="preserv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A0457FF" w14:textId="77777777" w:rsidR="00F962BE" w:rsidRPr="00A3130C" w:rsidRDefault="00F962BE">
            <w:pPr>
              <w:pStyle w:val="ARTabletext"/>
              <w:jc w:val="right"/>
              <w:rPr>
                <w:rFonts w:eastAsia="Times"/>
                <w:sz w:val="20"/>
              </w:rPr>
            </w:pPr>
            <w:r w:rsidRPr="00A3130C">
              <w:rPr>
                <w:rFonts w:eastAsia="Times"/>
                <w:sz w:val="20"/>
              </w:rPr>
              <w:t>10,125</w:t>
            </w:r>
          </w:p>
        </w:tc>
      </w:tr>
      <w:tr w:rsidR="00F962BE" w:rsidRPr="00A3130C" w14:paraId="2770CC2C"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CF9CA1E" w14:textId="77777777" w:rsidR="00F962BE" w:rsidRPr="00A3130C" w:rsidRDefault="00F962BE">
            <w:pPr>
              <w:pStyle w:val="ARTabletext"/>
              <w:rPr>
                <w:rFonts w:eastAsia="Times"/>
                <w:sz w:val="20"/>
              </w:rPr>
            </w:pPr>
            <w:r w:rsidRPr="00A3130C">
              <w:rPr>
                <w:rFonts w:eastAsia="Times"/>
                <w:sz w:val="20"/>
              </w:rPr>
              <w:t>Kindness Community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5CBD329" w14:textId="77777777" w:rsidR="00F962BE" w:rsidRPr="00A3130C" w:rsidRDefault="00F962BE">
            <w:pPr>
              <w:pStyle w:val="ARTabletext"/>
              <w:jc w:val="right"/>
              <w:rPr>
                <w:rFonts w:eastAsia="Times"/>
                <w:sz w:val="20"/>
              </w:rPr>
            </w:pPr>
            <w:r w:rsidRPr="00A3130C">
              <w:rPr>
                <w:rFonts w:eastAsia="Times"/>
                <w:sz w:val="20"/>
              </w:rPr>
              <w:t>60,000</w:t>
            </w:r>
          </w:p>
        </w:tc>
      </w:tr>
      <w:tr w:rsidR="00F962BE" w:rsidRPr="00A3130C" w14:paraId="22BC104B"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D558CA0" w14:textId="77777777" w:rsidR="00F962BE" w:rsidRPr="00A3130C" w:rsidRDefault="00F962BE">
            <w:pPr>
              <w:pStyle w:val="ARTabletext"/>
              <w:rPr>
                <w:rFonts w:eastAsia="Times"/>
                <w:sz w:val="20"/>
              </w:rPr>
            </w:pPr>
            <w:r w:rsidRPr="00A3130C">
              <w:rPr>
                <w:rFonts w:eastAsia="Times"/>
                <w:sz w:val="20"/>
              </w:rPr>
              <w:t>Kinglake Ranges Neighbourhood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600AB65" w14:textId="77777777" w:rsidR="00F962BE" w:rsidRPr="00A3130C" w:rsidRDefault="00F962BE">
            <w:pPr>
              <w:pStyle w:val="ARTabletext"/>
              <w:jc w:val="right"/>
              <w:rPr>
                <w:rFonts w:eastAsia="Times"/>
                <w:sz w:val="20"/>
              </w:rPr>
            </w:pPr>
            <w:r w:rsidRPr="00A3130C">
              <w:rPr>
                <w:rFonts w:eastAsia="Times"/>
                <w:sz w:val="20"/>
              </w:rPr>
              <w:t>6,883</w:t>
            </w:r>
          </w:p>
        </w:tc>
      </w:tr>
      <w:tr w:rsidR="00F962BE" w:rsidRPr="00A3130C" w14:paraId="1BBD06D8"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23C9D57B" w14:textId="77777777" w:rsidR="00F962BE" w:rsidRPr="00A3130C" w:rsidRDefault="00F962BE">
            <w:pPr>
              <w:pStyle w:val="ARTabletext"/>
              <w:rPr>
                <w:rFonts w:eastAsia="Times"/>
                <w:sz w:val="20"/>
              </w:rPr>
            </w:pPr>
            <w:r w:rsidRPr="00A3130C">
              <w:rPr>
                <w:rFonts w:eastAsia="Times"/>
                <w:sz w:val="20"/>
              </w:rPr>
              <w:t>Knox Infolink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10F870F" w14:textId="77777777" w:rsidR="00F962BE" w:rsidRPr="00A3130C" w:rsidRDefault="00F962BE">
            <w:pPr>
              <w:pStyle w:val="ARTabletext"/>
              <w:jc w:val="right"/>
              <w:rPr>
                <w:rFonts w:eastAsia="Times"/>
                <w:sz w:val="20"/>
              </w:rPr>
            </w:pPr>
            <w:r w:rsidRPr="00A3130C">
              <w:rPr>
                <w:rFonts w:eastAsia="Times"/>
                <w:sz w:val="20"/>
              </w:rPr>
              <w:t>160,680</w:t>
            </w:r>
          </w:p>
        </w:tc>
      </w:tr>
      <w:tr w:rsidR="00F962BE" w:rsidRPr="00A3130C" w14:paraId="760FA15B"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3DBC4F61" w14:textId="77777777" w:rsidR="00F962BE" w:rsidRPr="00A3130C" w:rsidRDefault="00F962BE">
            <w:pPr>
              <w:pStyle w:val="ARTabletext"/>
              <w:rPr>
                <w:rFonts w:eastAsia="Times"/>
                <w:sz w:val="20"/>
              </w:rPr>
            </w:pPr>
            <w:r w:rsidRPr="00A3130C">
              <w:rPr>
                <w:rFonts w:eastAsia="Times"/>
                <w:sz w:val="20"/>
              </w:rPr>
              <w:t>Kyneton Community House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C3E1DF1" w14:textId="77777777" w:rsidR="00F962BE" w:rsidRPr="00A3130C" w:rsidRDefault="00F962BE">
            <w:pPr>
              <w:pStyle w:val="ARTabletext"/>
              <w:jc w:val="right"/>
              <w:rPr>
                <w:rFonts w:eastAsia="Times"/>
                <w:sz w:val="20"/>
              </w:rPr>
            </w:pPr>
            <w:r w:rsidRPr="00A3130C">
              <w:rPr>
                <w:rFonts w:eastAsia="Times"/>
                <w:sz w:val="20"/>
              </w:rPr>
              <w:t>9,719</w:t>
            </w:r>
          </w:p>
        </w:tc>
      </w:tr>
      <w:tr w:rsidR="00F962BE" w:rsidRPr="00A3130C" w14:paraId="5CA80088"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0AE152C" w14:textId="77777777" w:rsidR="00F962BE" w:rsidRPr="00A3130C" w:rsidRDefault="00F962BE">
            <w:pPr>
              <w:pStyle w:val="ARTabletext"/>
              <w:rPr>
                <w:rFonts w:eastAsia="Times"/>
                <w:sz w:val="20"/>
              </w:rPr>
            </w:pPr>
            <w:r w:rsidRPr="00A3130C">
              <w:rPr>
                <w:rFonts w:eastAsia="Times"/>
                <w:sz w:val="20"/>
              </w:rPr>
              <w:t>Labertouche and District Mens</w:t>
            </w:r>
            <w:r>
              <w:rPr>
                <w:rFonts w:eastAsia="Times"/>
                <w:sz w:val="20"/>
              </w:rPr>
              <w:t> </w:t>
            </w:r>
            <w:r w:rsidRPr="00A3130C">
              <w:rPr>
                <w:rFonts w:eastAsia="Times"/>
                <w:sz w:val="20"/>
              </w:rPr>
              <w:t>Shed</w:t>
            </w:r>
            <w:r>
              <w:rPr>
                <w:rFonts w:eastAsia="Times"/>
                <w:sz w:val="20"/>
              </w:rPr>
              <w:t> </w:t>
            </w:r>
            <w:r w:rsidRPr="00A3130C">
              <w:rPr>
                <w:rFonts w:eastAsia="Times"/>
                <w:sz w:val="20"/>
              </w:rPr>
              <w:t>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16F0F3A" w14:textId="77777777" w:rsidR="00F962BE" w:rsidRPr="00A3130C" w:rsidRDefault="00F962BE">
            <w:pPr>
              <w:pStyle w:val="ARTabletext"/>
              <w:jc w:val="right"/>
              <w:rPr>
                <w:rFonts w:eastAsia="Times"/>
                <w:sz w:val="20"/>
              </w:rPr>
            </w:pPr>
            <w:r w:rsidRPr="00A3130C">
              <w:rPr>
                <w:rFonts w:eastAsia="Times"/>
                <w:sz w:val="20"/>
              </w:rPr>
              <w:t>3,412</w:t>
            </w:r>
          </w:p>
        </w:tc>
      </w:tr>
      <w:tr w:rsidR="00F962BE" w:rsidRPr="00A3130C" w14:paraId="0A4D3040"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342940CA" w14:textId="77777777" w:rsidR="00F962BE" w:rsidRPr="00A3130C" w:rsidRDefault="00F962BE">
            <w:pPr>
              <w:pStyle w:val="ARTabletext"/>
              <w:rPr>
                <w:rFonts w:eastAsia="Times"/>
                <w:sz w:val="20"/>
              </w:rPr>
            </w:pPr>
            <w:r w:rsidRPr="00A3130C">
              <w:rPr>
                <w:rFonts w:eastAsia="Times"/>
                <w:sz w:val="20"/>
              </w:rPr>
              <w:t>Lalor Neighbourhood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DA767FD" w14:textId="77777777" w:rsidR="00F962BE" w:rsidRPr="00A3130C" w:rsidRDefault="00F962BE">
            <w:pPr>
              <w:pStyle w:val="ARTabletext"/>
              <w:jc w:val="right"/>
              <w:rPr>
                <w:rFonts w:eastAsia="Times"/>
                <w:sz w:val="20"/>
              </w:rPr>
            </w:pPr>
            <w:r w:rsidRPr="00A3130C">
              <w:rPr>
                <w:rFonts w:eastAsia="Times"/>
                <w:sz w:val="20"/>
              </w:rPr>
              <w:t>11,250</w:t>
            </w:r>
          </w:p>
        </w:tc>
      </w:tr>
      <w:tr w:rsidR="00F962BE" w:rsidRPr="00A3130C" w14:paraId="206B6968"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4E40CAD6" w14:textId="77777777" w:rsidR="00F962BE" w:rsidRPr="00A3130C" w:rsidRDefault="00F962BE">
            <w:pPr>
              <w:pStyle w:val="ARTabletext"/>
              <w:rPr>
                <w:rFonts w:eastAsia="Times"/>
                <w:sz w:val="20"/>
              </w:rPr>
            </w:pPr>
            <w:r w:rsidRPr="00A3130C">
              <w:rPr>
                <w:rFonts w:eastAsia="Times"/>
                <w:sz w:val="20"/>
              </w:rPr>
              <w:t>Living Learning Pakenham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6B24770" w14:textId="77777777" w:rsidR="00F962BE" w:rsidRPr="00A3130C" w:rsidRDefault="00F962BE">
            <w:pPr>
              <w:pStyle w:val="ARTabletext"/>
              <w:jc w:val="right"/>
              <w:rPr>
                <w:rFonts w:eastAsia="Times"/>
                <w:sz w:val="20"/>
              </w:rPr>
            </w:pPr>
            <w:r w:rsidRPr="00A3130C">
              <w:rPr>
                <w:rFonts w:eastAsia="Times"/>
                <w:sz w:val="20"/>
              </w:rPr>
              <w:t>7,000</w:t>
            </w:r>
          </w:p>
        </w:tc>
      </w:tr>
      <w:tr w:rsidR="00F962BE" w:rsidRPr="00A3130C" w14:paraId="4AB79C16"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53B78CD4" w14:textId="77777777" w:rsidR="00F962BE" w:rsidRPr="00A3130C" w:rsidRDefault="00F962BE">
            <w:pPr>
              <w:pStyle w:val="ARTabletext"/>
              <w:rPr>
                <w:rFonts w:eastAsia="Times"/>
                <w:sz w:val="20"/>
              </w:rPr>
            </w:pPr>
            <w:r w:rsidRPr="00A3130C">
              <w:rPr>
                <w:rFonts w:eastAsia="Times"/>
                <w:sz w:val="20"/>
              </w:rPr>
              <w:t>Loch Sport Men's Shed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3A276E2" w14:textId="77777777" w:rsidR="00F962BE" w:rsidRPr="00A3130C" w:rsidRDefault="00F962BE">
            <w:pPr>
              <w:pStyle w:val="ARTabletext"/>
              <w:jc w:val="right"/>
              <w:rPr>
                <w:rFonts w:eastAsia="Times"/>
                <w:sz w:val="20"/>
              </w:rPr>
            </w:pPr>
            <w:r w:rsidRPr="00A3130C">
              <w:rPr>
                <w:rFonts w:eastAsia="Times"/>
                <w:sz w:val="20"/>
              </w:rPr>
              <w:t>23,714</w:t>
            </w:r>
          </w:p>
        </w:tc>
      </w:tr>
      <w:tr w:rsidR="00F962BE" w:rsidRPr="00A3130C" w14:paraId="28FC21F0"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00EBC59F" w14:textId="77777777" w:rsidR="00F962BE" w:rsidRPr="00A3130C" w:rsidRDefault="00F962BE">
            <w:pPr>
              <w:pStyle w:val="ARTabletext"/>
              <w:rPr>
                <w:rFonts w:eastAsia="Times"/>
                <w:sz w:val="20"/>
              </w:rPr>
            </w:pPr>
            <w:r w:rsidRPr="00A3130C">
              <w:rPr>
                <w:rFonts w:eastAsia="Times"/>
                <w:sz w:val="20"/>
              </w:rPr>
              <w:t>Lockington and District Bush Nursing</w:t>
            </w:r>
            <w:r>
              <w:rPr>
                <w:rFonts w:eastAsia="Times"/>
                <w:sz w:val="20"/>
              </w:rPr>
              <w:t> </w:t>
            </w:r>
            <w:r w:rsidRPr="00A3130C">
              <w:rPr>
                <w:rFonts w:eastAsia="Times"/>
                <w:sz w:val="20"/>
              </w:rPr>
              <w:t>Centre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0091F21" w14:textId="77777777" w:rsidR="00F962BE" w:rsidRPr="00A3130C" w:rsidRDefault="00F962BE">
            <w:pPr>
              <w:pStyle w:val="ARTabletext"/>
              <w:jc w:val="right"/>
              <w:rPr>
                <w:rFonts w:eastAsia="Times"/>
                <w:sz w:val="20"/>
              </w:rPr>
            </w:pPr>
            <w:r w:rsidRPr="00A3130C">
              <w:rPr>
                <w:rFonts w:eastAsia="Times"/>
                <w:sz w:val="20"/>
              </w:rPr>
              <w:t>54,000</w:t>
            </w:r>
          </w:p>
        </w:tc>
      </w:tr>
      <w:tr w:rsidR="00F962BE" w:rsidRPr="00A3130C" w14:paraId="56CABCC2"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6BAEB73F" w14:textId="77777777" w:rsidR="00F962BE" w:rsidRPr="00A3130C" w:rsidRDefault="00F962BE">
            <w:pPr>
              <w:pStyle w:val="ARTabletext"/>
              <w:rPr>
                <w:rFonts w:eastAsia="Times"/>
                <w:sz w:val="20"/>
              </w:rPr>
            </w:pPr>
            <w:r w:rsidRPr="00A3130C">
              <w:rPr>
                <w:rFonts w:eastAsia="Times"/>
                <w:sz w:val="20"/>
              </w:rPr>
              <w:t>Louis Joel Arts and Community</w:t>
            </w:r>
            <w:r>
              <w:rPr>
                <w:rFonts w:eastAsia="Times"/>
                <w:sz w:val="20"/>
              </w:rPr>
              <w:t> </w:t>
            </w:r>
            <w:r w:rsidRPr="00A3130C">
              <w:rPr>
                <w:rFonts w:eastAsia="Times"/>
                <w:sz w:val="20"/>
              </w:rPr>
              <w:t>Centre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8B8DB88" w14:textId="77777777" w:rsidR="00F962BE" w:rsidRPr="00A3130C" w:rsidRDefault="00F962BE">
            <w:pPr>
              <w:pStyle w:val="ARTabletext"/>
              <w:jc w:val="right"/>
              <w:rPr>
                <w:rFonts w:eastAsia="Times"/>
                <w:sz w:val="20"/>
              </w:rPr>
            </w:pPr>
            <w:r w:rsidRPr="00A3130C">
              <w:rPr>
                <w:rFonts w:eastAsia="Times"/>
                <w:sz w:val="20"/>
              </w:rPr>
              <w:t>60,000</w:t>
            </w:r>
          </w:p>
        </w:tc>
      </w:tr>
      <w:tr w:rsidR="00F962BE" w:rsidRPr="00A3130C" w14:paraId="4A690255"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3AB83BD6" w14:textId="77777777" w:rsidR="00F962BE" w:rsidRPr="00A3130C" w:rsidRDefault="00F962BE">
            <w:pPr>
              <w:pStyle w:val="ARTabletext"/>
              <w:rPr>
                <w:rFonts w:eastAsia="Times"/>
                <w:sz w:val="20"/>
              </w:rPr>
            </w:pPr>
            <w:r w:rsidRPr="00A3130C">
              <w:rPr>
                <w:rFonts w:eastAsia="Times"/>
                <w:sz w:val="20"/>
              </w:rPr>
              <w:t>Mallee District Aboriginal Services</w:t>
            </w:r>
            <w:r>
              <w:rPr>
                <w:rFonts w:eastAsia="Times"/>
                <w:sz w:val="20"/>
              </w:rPr>
              <w:t> </w:t>
            </w:r>
            <w:r w:rsidRPr="00A3130C">
              <w:rPr>
                <w:rFonts w:eastAsia="Times"/>
                <w:sz w:val="20"/>
              </w:rPr>
              <w:t>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8DC6705" w14:textId="77777777" w:rsidR="00F962BE" w:rsidRPr="00A3130C" w:rsidRDefault="00F962BE">
            <w:pPr>
              <w:pStyle w:val="ARTabletext"/>
              <w:jc w:val="right"/>
              <w:rPr>
                <w:rFonts w:eastAsia="Times"/>
                <w:sz w:val="20"/>
              </w:rPr>
            </w:pPr>
            <w:r w:rsidRPr="00A3130C">
              <w:rPr>
                <w:rFonts w:eastAsia="Times"/>
                <w:sz w:val="20"/>
              </w:rPr>
              <w:t>18,750</w:t>
            </w:r>
          </w:p>
        </w:tc>
      </w:tr>
      <w:tr w:rsidR="00F962BE" w:rsidRPr="00A3130C" w14:paraId="2617DC99"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398B56B7" w14:textId="77777777" w:rsidR="00F962BE" w:rsidRPr="00A3130C" w:rsidRDefault="00F962BE">
            <w:pPr>
              <w:pStyle w:val="ARTabletext"/>
              <w:rPr>
                <w:rFonts w:eastAsia="Times"/>
                <w:sz w:val="20"/>
              </w:rPr>
            </w:pPr>
            <w:r w:rsidRPr="00A3130C">
              <w:rPr>
                <w:rFonts w:eastAsia="Times"/>
                <w:sz w:val="20"/>
              </w:rPr>
              <w:t>Mallee Track Health and</w:t>
            </w:r>
            <w:r>
              <w:rPr>
                <w:rFonts w:eastAsia="Times"/>
                <w:sz w:val="20"/>
              </w:rPr>
              <w:t> </w:t>
            </w:r>
            <w:r w:rsidRPr="00A3130C">
              <w:rPr>
                <w:rFonts w:eastAsia="Times"/>
                <w:sz w:val="20"/>
              </w:rPr>
              <w:t>Community</w:t>
            </w:r>
            <w:r>
              <w:rPr>
                <w:rFonts w:eastAsia="Times"/>
                <w:sz w:val="20"/>
              </w:rPr>
              <w:t> </w:t>
            </w:r>
            <w:r w:rsidRPr="00A3130C">
              <w:rPr>
                <w:rFonts w:eastAsia="Times"/>
                <w:sz w:val="20"/>
              </w:rPr>
              <w:t>Service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318A6A2C" w14:textId="77777777" w:rsidR="00F962BE" w:rsidRPr="00A3130C" w:rsidRDefault="00F962BE">
            <w:pPr>
              <w:pStyle w:val="ARTabletext"/>
              <w:jc w:val="right"/>
              <w:rPr>
                <w:rFonts w:eastAsia="Times"/>
                <w:sz w:val="20"/>
              </w:rPr>
            </w:pPr>
            <w:r w:rsidRPr="00A3130C">
              <w:rPr>
                <w:rFonts w:eastAsia="Times"/>
                <w:sz w:val="20"/>
              </w:rPr>
              <w:t>20,000</w:t>
            </w:r>
          </w:p>
        </w:tc>
      </w:tr>
      <w:tr w:rsidR="00F962BE" w:rsidRPr="00A3130C" w14:paraId="27A1B7F1"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7C769F69" w14:textId="77777777" w:rsidR="00F962BE" w:rsidRPr="00A3130C" w:rsidRDefault="00F962BE">
            <w:pPr>
              <w:pStyle w:val="ARTabletext"/>
              <w:rPr>
                <w:rFonts w:eastAsia="Times"/>
                <w:sz w:val="20"/>
              </w:rPr>
            </w:pPr>
            <w:r w:rsidRPr="00A3130C">
              <w:rPr>
                <w:rFonts w:eastAsia="Times"/>
                <w:sz w:val="20"/>
              </w:rPr>
              <w:t>Manna Gum Community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DCE8A6F" w14:textId="77777777" w:rsidR="00F962BE" w:rsidRPr="00A3130C" w:rsidRDefault="00F962BE">
            <w:pPr>
              <w:pStyle w:val="ARTabletext"/>
              <w:jc w:val="right"/>
              <w:rPr>
                <w:rFonts w:eastAsia="Times"/>
                <w:sz w:val="20"/>
              </w:rPr>
            </w:pPr>
            <w:r w:rsidRPr="00A3130C">
              <w:rPr>
                <w:rFonts w:eastAsia="Times"/>
                <w:sz w:val="20"/>
              </w:rPr>
              <w:t>10,217</w:t>
            </w:r>
          </w:p>
        </w:tc>
      </w:tr>
      <w:tr w:rsidR="00F962BE" w:rsidRPr="00A3130C" w14:paraId="11565211"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021A5685" w14:textId="77777777" w:rsidR="00F962BE" w:rsidRPr="00A3130C" w:rsidRDefault="00F962BE">
            <w:pPr>
              <w:pStyle w:val="ARTabletext"/>
              <w:rPr>
                <w:rFonts w:eastAsia="Times"/>
                <w:sz w:val="20"/>
              </w:rPr>
            </w:pPr>
            <w:r w:rsidRPr="00A3130C">
              <w:rPr>
                <w:rFonts w:eastAsia="Times"/>
                <w:sz w:val="20"/>
              </w:rPr>
              <w:t>Mansfield Men's Shed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775E81C" w14:textId="77777777" w:rsidR="00F962BE" w:rsidRPr="00A3130C" w:rsidRDefault="00F962BE">
            <w:pPr>
              <w:pStyle w:val="ARTabletext"/>
              <w:jc w:val="right"/>
              <w:rPr>
                <w:rFonts w:eastAsia="Times"/>
                <w:sz w:val="20"/>
              </w:rPr>
            </w:pPr>
            <w:r w:rsidRPr="00A3130C">
              <w:rPr>
                <w:rFonts w:eastAsia="Times"/>
                <w:sz w:val="20"/>
              </w:rPr>
              <w:t>10,000</w:t>
            </w:r>
          </w:p>
        </w:tc>
      </w:tr>
      <w:tr w:rsidR="00F962BE" w:rsidRPr="00A3130C" w14:paraId="69A90ED1"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37972321" w14:textId="77777777" w:rsidR="00F962BE" w:rsidRPr="00A3130C" w:rsidRDefault="00F962BE">
            <w:pPr>
              <w:pStyle w:val="ARTabletext"/>
              <w:rPr>
                <w:rFonts w:eastAsia="Times"/>
                <w:sz w:val="20"/>
              </w:rPr>
            </w:pPr>
            <w:r w:rsidRPr="00A3130C">
              <w:rPr>
                <w:rFonts w:eastAsia="Times"/>
                <w:sz w:val="20"/>
              </w:rPr>
              <w:t>Merri-Bek City Council</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3C2B715F" w14:textId="77777777" w:rsidR="00F962BE" w:rsidRPr="00A3130C" w:rsidRDefault="00F962BE">
            <w:pPr>
              <w:pStyle w:val="ARTabletext"/>
              <w:jc w:val="right"/>
              <w:rPr>
                <w:rFonts w:eastAsia="Times"/>
                <w:sz w:val="20"/>
              </w:rPr>
            </w:pPr>
            <w:r w:rsidRPr="00A3130C">
              <w:rPr>
                <w:rFonts w:eastAsia="Times"/>
                <w:sz w:val="20"/>
              </w:rPr>
              <w:t>33,750</w:t>
            </w:r>
          </w:p>
        </w:tc>
      </w:tr>
      <w:tr w:rsidR="00F962BE" w:rsidRPr="00A3130C" w14:paraId="5D9964CC"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15AA68CE" w14:textId="77777777" w:rsidR="00F962BE" w:rsidRPr="00A3130C" w:rsidRDefault="00F962BE">
            <w:pPr>
              <w:pStyle w:val="ARTabletext"/>
              <w:rPr>
                <w:rFonts w:eastAsia="Times"/>
                <w:sz w:val="20"/>
              </w:rPr>
            </w:pPr>
            <w:r w:rsidRPr="00A3130C">
              <w:rPr>
                <w:rFonts w:eastAsia="Times"/>
                <w:sz w:val="20"/>
              </w:rPr>
              <w:t>MHA Care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5836A7F" w14:textId="77777777" w:rsidR="00F962BE" w:rsidRPr="00A3130C" w:rsidRDefault="00F962BE">
            <w:pPr>
              <w:pStyle w:val="ARTabletext"/>
              <w:jc w:val="right"/>
              <w:rPr>
                <w:rFonts w:eastAsia="Times"/>
                <w:sz w:val="20"/>
              </w:rPr>
            </w:pPr>
            <w:r w:rsidRPr="00A3130C">
              <w:rPr>
                <w:rFonts w:eastAsia="Times"/>
                <w:sz w:val="20"/>
              </w:rPr>
              <w:t>221,000</w:t>
            </w:r>
          </w:p>
        </w:tc>
      </w:tr>
      <w:tr w:rsidR="00F962BE" w:rsidRPr="00A3130C" w14:paraId="439CF1B7"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60BCDE11" w14:textId="77777777" w:rsidR="00F962BE" w:rsidRPr="00A3130C" w:rsidRDefault="00F962BE">
            <w:pPr>
              <w:pStyle w:val="ARTabletext"/>
              <w:rPr>
                <w:rFonts w:eastAsia="Times"/>
                <w:sz w:val="20"/>
              </w:rPr>
            </w:pPr>
            <w:proofErr w:type="spellStart"/>
            <w:r w:rsidRPr="00A3130C">
              <w:rPr>
                <w:rFonts w:eastAsia="Times"/>
                <w:sz w:val="20"/>
              </w:rPr>
              <w:t>Milpara</w:t>
            </w:r>
            <w:proofErr w:type="spellEnd"/>
            <w:r w:rsidRPr="00A3130C">
              <w:rPr>
                <w:rFonts w:eastAsia="Times"/>
                <w:sz w:val="20"/>
              </w:rPr>
              <w:t xml:space="preserve"> Community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8A02AF6" w14:textId="77777777" w:rsidR="00F962BE" w:rsidRPr="00A3130C" w:rsidRDefault="00F962BE">
            <w:pPr>
              <w:pStyle w:val="ARTabletext"/>
              <w:jc w:val="right"/>
              <w:rPr>
                <w:rFonts w:eastAsia="Times"/>
                <w:sz w:val="20"/>
              </w:rPr>
            </w:pPr>
            <w:r w:rsidRPr="00A3130C">
              <w:rPr>
                <w:rFonts w:eastAsia="Times"/>
                <w:sz w:val="20"/>
              </w:rPr>
              <w:t>9,309</w:t>
            </w:r>
          </w:p>
        </w:tc>
      </w:tr>
      <w:tr w:rsidR="00F962BE" w:rsidRPr="00A3130C" w14:paraId="63CF2D6F"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76F1C4DB" w14:textId="77777777" w:rsidR="00F962BE" w:rsidRPr="00A3130C" w:rsidRDefault="00F962BE">
            <w:pPr>
              <w:pStyle w:val="ARTabletext"/>
              <w:rPr>
                <w:rFonts w:eastAsia="Times"/>
                <w:sz w:val="20"/>
              </w:rPr>
            </w:pPr>
            <w:r w:rsidRPr="00A3130C">
              <w:rPr>
                <w:rFonts w:eastAsia="Times"/>
                <w:sz w:val="20"/>
              </w:rPr>
              <w:t>Monash Graduate Association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3419FB6C" w14:textId="77777777" w:rsidR="00F962BE" w:rsidRPr="00A3130C" w:rsidRDefault="00F962BE">
            <w:pPr>
              <w:pStyle w:val="ARTabletext"/>
              <w:jc w:val="right"/>
              <w:rPr>
                <w:rFonts w:eastAsia="Times"/>
                <w:sz w:val="20"/>
              </w:rPr>
            </w:pPr>
            <w:r w:rsidRPr="00A3130C">
              <w:rPr>
                <w:rFonts w:eastAsia="Times"/>
                <w:sz w:val="20"/>
              </w:rPr>
              <w:t>55,000</w:t>
            </w:r>
          </w:p>
        </w:tc>
      </w:tr>
      <w:tr w:rsidR="00F962BE" w:rsidRPr="00A3130C" w14:paraId="745CAF2D"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1E0ED4F1" w14:textId="77777777" w:rsidR="00F962BE" w:rsidRPr="00A3130C" w:rsidRDefault="00F962BE">
            <w:pPr>
              <w:pStyle w:val="ARTabletext"/>
              <w:rPr>
                <w:rFonts w:eastAsia="Times"/>
                <w:sz w:val="20"/>
              </w:rPr>
            </w:pPr>
            <w:r w:rsidRPr="00A3130C">
              <w:rPr>
                <w:rFonts w:eastAsia="Times"/>
                <w:sz w:val="20"/>
              </w:rPr>
              <w:t>Mooroopna Education and Activity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3A0BDE51" w14:textId="77777777" w:rsidR="00F962BE" w:rsidRPr="00A3130C" w:rsidRDefault="00F962BE">
            <w:pPr>
              <w:pStyle w:val="ARTabletext"/>
              <w:jc w:val="right"/>
              <w:rPr>
                <w:rFonts w:eastAsia="Times"/>
                <w:sz w:val="20"/>
              </w:rPr>
            </w:pPr>
            <w:r w:rsidRPr="00A3130C">
              <w:rPr>
                <w:rFonts w:eastAsia="Times"/>
                <w:sz w:val="20"/>
              </w:rPr>
              <w:t>6,000</w:t>
            </w:r>
          </w:p>
        </w:tc>
      </w:tr>
      <w:tr w:rsidR="00F962BE" w:rsidRPr="00A3130C" w14:paraId="48FE3C0A"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2B944D0" w14:textId="77777777" w:rsidR="00F962BE" w:rsidRPr="00A3130C" w:rsidRDefault="00F962BE">
            <w:pPr>
              <w:pStyle w:val="ARTabletext"/>
              <w:rPr>
                <w:rFonts w:eastAsia="Times"/>
                <w:sz w:val="20"/>
              </w:rPr>
            </w:pPr>
            <w:r w:rsidRPr="00A3130C">
              <w:rPr>
                <w:rFonts w:eastAsia="Times"/>
                <w:sz w:val="20"/>
              </w:rPr>
              <w:t>Morwell Neighbourhood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3891B5F5" w14:textId="77777777" w:rsidR="00F962BE" w:rsidRPr="00A3130C" w:rsidRDefault="00F962BE">
            <w:pPr>
              <w:pStyle w:val="ARTabletext"/>
              <w:jc w:val="right"/>
              <w:rPr>
                <w:rFonts w:eastAsia="Times"/>
                <w:sz w:val="20"/>
              </w:rPr>
            </w:pPr>
            <w:r w:rsidRPr="00A3130C">
              <w:rPr>
                <w:rFonts w:eastAsia="Times"/>
                <w:sz w:val="20"/>
              </w:rPr>
              <w:t>54,000</w:t>
            </w:r>
          </w:p>
        </w:tc>
      </w:tr>
      <w:tr w:rsidR="00F962BE" w:rsidRPr="00A3130C" w14:paraId="485E69D0"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C5222C6" w14:textId="77777777" w:rsidR="00F962BE" w:rsidRPr="00A3130C" w:rsidRDefault="00F962BE">
            <w:pPr>
              <w:pStyle w:val="ARTabletext"/>
              <w:rPr>
                <w:rFonts w:eastAsia="Times"/>
                <w:sz w:val="20"/>
              </w:rPr>
            </w:pPr>
            <w:r w:rsidRPr="00A3130C">
              <w:rPr>
                <w:rFonts w:eastAsia="Times"/>
                <w:sz w:val="20"/>
              </w:rPr>
              <w:t>Mount Alexander Shire Council</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60CE949" w14:textId="77777777" w:rsidR="00F962BE" w:rsidRPr="00A3130C" w:rsidRDefault="00F962BE">
            <w:pPr>
              <w:pStyle w:val="ARTabletext"/>
              <w:jc w:val="right"/>
              <w:rPr>
                <w:rFonts w:eastAsia="Times"/>
                <w:sz w:val="20"/>
              </w:rPr>
            </w:pPr>
            <w:r w:rsidRPr="00A3130C">
              <w:rPr>
                <w:rFonts w:eastAsia="Times"/>
                <w:sz w:val="20"/>
              </w:rPr>
              <w:t>50,000</w:t>
            </w:r>
          </w:p>
        </w:tc>
      </w:tr>
      <w:tr w:rsidR="00F962BE" w:rsidRPr="00A3130C" w14:paraId="2BCA1965"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690E37A9" w14:textId="77777777" w:rsidR="00F962BE" w:rsidRPr="00A3130C" w:rsidRDefault="00F962BE">
            <w:pPr>
              <w:pStyle w:val="ARTabletext"/>
              <w:rPr>
                <w:rFonts w:eastAsia="Times"/>
                <w:sz w:val="20"/>
              </w:rPr>
            </w:pPr>
            <w:r w:rsidRPr="00A3130C">
              <w:rPr>
                <w:rFonts w:eastAsia="Times"/>
                <w:sz w:val="20"/>
              </w:rPr>
              <w:t>Mount Eliza Neighbourhood House</w:t>
            </w:r>
            <w:r>
              <w:rPr>
                <w:rFonts w:eastAsia="Times"/>
                <w:sz w:val="20"/>
              </w:rPr>
              <w:t> </w:t>
            </w:r>
            <w:r w:rsidRPr="00A3130C">
              <w:rPr>
                <w:rFonts w:eastAsia="Times"/>
                <w:sz w:val="20"/>
              </w:rPr>
              <w:t>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17A4C33" w14:textId="77777777" w:rsidR="00F962BE" w:rsidRPr="00A3130C" w:rsidRDefault="00F962BE">
            <w:pPr>
              <w:pStyle w:val="ARTabletext"/>
              <w:jc w:val="right"/>
              <w:rPr>
                <w:rFonts w:eastAsia="Times"/>
                <w:sz w:val="20"/>
              </w:rPr>
            </w:pPr>
            <w:r w:rsidRPr="00A3130C">
              <w:rPr>
                <w:rFonts w:eastAsia="Times"/>
                <w:sz w:val="20"/>
              </w:rPr>
              <w:t>15,000</w:t>
            </w:r>
          </w:p>
        </w:tc>
      </w:tr>
      <w:tr w:rsidR="00F962BE" w:rsidRPr="00A3130C" w14:paraId="0E531CCE"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033CFB81" w14:textId="77777777" w:rsidR="00F962BE" w:rsidRPr="00A3130C" w:rsidRDefault="00F962BE">
            <w:pPr>
              <w:pStyle w:val="ARTabletext"/>
              <w:rPr>
                <w:rFonts w:eastAsia="Times"/>
                <w:sz w:val="20"/>
              </w:rPr>
            </w:pPr>
            <w:r w:rsidRPr="00A3130C">
              <w:rPr>
                <w:rFonts w:eastAsia="Times"/>
                <w:sz w:val="20"/>
              </w:rPr>
              <w:t xml:space="preserve">Mountain District </w:t>
            </w:r>
            <w:proofErr w:type="spellStart"/>
            <w:r w:rsidRPr="00A3130C">
              <w:rPr>
                <w:rFonts w:eastAsia="Times"/>
                <w:sz w:val="20"/>
              </w:rPr>
              <w:t>Womens</w:t>
            </w:r>
            <w:proofErr w:type="spellEnd"/>
            <w:r>
              <w:rPr>
                <w:rFonts w:eastAsia="Times"/>
                <w:sz w:val="20"/>
              </w:rPr>
              <w:t> </w:t>
            </w:r>
            <w:r w:rsidRPr="00A3130C">
              <w:rPr>
                <w:rFonts w:eastAsia="Times"/>
                <w:sz w:val="20"/>
              </w:rPr>
              <w:t>Cooperative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5894619" w14:textId="77777777" w:rsidR="00F962BE" w:rsidRPr="00A3130C" w:rsidRDefault="00F962BE">
            <w:pPr>
              <w:pStyle w:val="ARTabletext"/>
              <w:jc w:val="right"/>
              <w:rPr>
                <w:rFonts w:eastAsia="Times"/>
                <w:sz w:val="20"/>
              </w:rPr>
            </w:pPr>
            <w:r w:rsidRPr="00A3130C">
              <w:rPr>
                <w:rFonts w:eastAsia="Times"/>
                <w:sz w:val="20"/>
              </w:rPr>
              <w:t>38,606</w:t>
            </w:r>
          </w:p>
        </w:tc>
      </w:tr>
      <w:tr w:rsidR="00F962BE" w:rsidRPr="00A3130C" w14:paraId="413535DA"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584CEA6" w14:textId="77777777" w:rsidR="00F962BE" w:rsidRPr="00A3130C" w:rsidRDefault="00F962BE">
            <w:pPr>
              <w:pStyle w:val="ARTabletext"/>
              <w:rPr>
                <w:rFonts w:eastAsia="Times"/>
                <w:sz w:val="20"/>
              </w:rPr>
            </w:pPr>
            <w:r w:rsidRPr="00A3130C">
              <w:rPr>
                <w:rFonts w:eastAsia="Times"/>
                <w:sz w:val="20"/>
              </w:rPr>
              <w:t xml:space="preserve">Mullum </w:t>
            </w:r>
            <w:proofErr w:type="spellStart"/>
            <w:r w:rsidRPr="00A3130C">
              <w:rPr>
                <w:rFonts w:eastAsia="Times"/>
                <w:sz w:val="20"/>
              </w:rPr>
              <w:t>Mullum</w:t>
            </w:r>
            <w:proofErr w:type="spellEnd"/>
            <w:r w:rsidRPr="00A3130C">
              <w:rPr>
                <w:rFonts w:eastAsia="Times"/>
                <w:sz w:val="20"/>
              </w:rPr>
              <w:t xml:space="preserve"> Aboriginal Gathering</w:t>
            </w:r>
            <w:r>
              <w:rPr>
                <w:rFonts w:eastAsia="Times"/>
                <w:sz w:val="20"/>
              </w:rPr>
              <w:t> </w:t>
            </w:r>
            <w:r w:rsidRPr="00A3130C">
              <w:rPr>
                <w:rFonts w:eastAsia="Times"/>
                <w:sz w:val="20"/>
              </w:rPr>
              <w:t>Place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2F8788A" w14:textId="77777777" w:rsidR="00F962BE" w:rsidRPr="00A3130C" w:rsidRDefault="00F962BE">
            <w:pPr>
              <w:pStyle w:val="ARTabletext"/>
              <w:jc w:val="right"/>
              <w:rPr>
                <w:rFonts w:eastAsia="Times"/>
                <w:sz w:val="20"/>
              </w:rPr>
            </w:pPr>
            <w:r w:rsidRPr="00A3130C">
              <w:rPr>
                <w:rFonts w:eastAsia="Times"/>
                <w:sz w:val="20"/>
              </w:rPr>
              <w:t>67,000</w:t>
            </w:r>
          </w:p>
        </w:tc>
      </w:tr>
      <w:tr w:rsidR="00F962BE" w:rsidRPr="00A3130C" w14:paraId="54BE4890"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315FBF71" w14:textId="77777777" w:rsidR="00F962BE" w:rsidRPr="00A3130C" w:rsidRDefault="00F962BE">
            <w:pPr>
              <w:pStyle w:val="ARTabletext"/>
              <w:rPr>
                <w:rFonts w:eastAsia="Times"/>
                <w:sz w:val="20"/>
              </w:rPr>
            </w:pPr>
            <w:r w:rsidRPr="00A3130C">
              <w:rPr>
                <w:rFonts w:eastAsia="Times"/>
                <w:sz w:val="20"/>
              </w:rPr>
              <w:t>Multicultural Sudanese Centre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1402453" w14:textId="77777777" w:rsidR="00F962BE" w:rsidRPr="00A3130C" w:rsidRDefault="00F962BE">
            <w:pPr>
              <w:pStyle w:val="ARTabletext"/>
              <w:jc w:val="right"/>
              <w:rPr>
                <w:rFonts w:eastAsia="Times"/>
                <w:sz w:val="20"/>
              </w:rPr>
            </w:pPr>
            <w:r w:rsidRPr="00A3130C">
              <w:rPr>
                <w:rFonts w:eastAsia="Times"/>
                <w:sz w:val="20"/>
              </w:rPr>
              <w:t>57,375</w:t>
            </w:r>
          </w:p>
        </w:tc>
      </w:tr>
      <w:tr w:rsidR="00F962BE" w:rsidRPr="00A3130C" w14:paraId="686BE791"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2F28FEF" w14:textId="77777777" w:rsidR="00F962BE" w:rsidRPr="00A3130C" w:rsidRDefault="00F962BE">
            <w:pPr>
              <w:pStyle w:val="ARTabletext"/>
              <w:rPr>
                <w:rFonts w:eastAsia="Times"/>
                <w:sz w:val="20"/>
              </w:rPr>
            </w:pPr>
            <w:r w:rsidRPr="00A3130C">
              <w:rPr>
                <w:rFonts w:eastAsia="Times"/>
                <w:sz w:val="20"/>
              </w:rPr>
              <w:t>Murtoa and District Neighbourhood</w:t>
            </w:r>
            <w:r>
              <w:rPr>
                <w:rFonts w:eastAsia="Times"/>
                <w:sz w:val="20"/>
              </w:rPr>
              <w:t> </w:t>
            </w:r>
            <w:r w:rsidRPr="00A3130C">
              <w:rPr>
                <w:rFonts w:eastAsia="Times"/>
                <w:sz w:val="20"/>
              </w:rPr>
              <w:t>House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E889293" w14:textId="77777777" w:rsidR="00F962BE" w:rsidRPr="00A3130C" w:rsidRDefault="00F962BE">
            <w:pPr>
              <w:pStyle w:val="ARTabletext"/>
              <w:jc w:val="right"/>
              <w:rPr>
                <w:rFonts w:eastAsia="Times"/>
                <w:sz w:val="20"/>
              </w:rPr>
            </w:pPr>
            <w:r w:rsidRPr="00A3130C">
              <w:rPr>
                <w:rFonts w:eastAsia="Times"/>
                <w:sz w:val="20"/>
              </w:rPr>
              <w:t>1,995</w:t>
            </w:r>
          </w:p>
        </w:tc>
      </w:tr>
      <w:tr w:rsidR="00F962BE" w:rsidRPr="00A3130C" w14:paraId="5A8FE9E0"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0E9FA189" w14:textId="77777777" w:rsidR="00F962BE" w:rsidRPr="00A3130C" w:rsidRDefault="00F962BE">
            <w:pPr>
              <w:pStyle w:val="ARTabletext"/>
              <w:rPr>
                <w:rFonts w:eastAsia="Times"/>
                <w:sz w:val="20"/>
              </w:rPr>
            </w:pPr>
            <w:r w:rsidRPr="00A3130C">
              <w:rPr>
                <w:rFonts w:eastAsia="Times"/>
                <w:sz w:val="20"/>
              </w:rPr>
              <w:t>Myrtleford Neighbourhood Centre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D04C1EA" w14:textId="77777777" w:rsidR="00F962BE" w:rsidRPr="00A3130C" w:rsidRDefault="00F962BE">
            <w:pPr>
              <w:pStyle w:val="ARTabletext"/>
              <w:jc w:val="right"/>
              <w:rPr>
                <w:rFonts w:eastAsia="Times"/>
                <w:sz w:val="20"/>
              </w:rPr>
            </w:pPr>
            <w:r w:rsidRPr="00A3130C">
              <w:rPr>
                <w:rFonts w:eastAsia="Times"/>
                <w:sz w:val="20"/>
              </w:rPr>
              <w:t>9,013</w:t>
            </w:r>
          </w:p>
        </w:tc>
      </w:tr>
      <w:tr w:rsidR="00F962BE" w:rsidRPr="00A3130C" w14:paraId="1DBC99BC"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5E0C153C" w14:textId="77777777" w:rsidR="00F962BE" w:rsidRPr="00A3130C" w:rsidRDefault="00F962BE">
            <w:pPr>
              <w:pStyle w:val="ARTabletext"/>
              <w:rPr>
                <w:rFonts w:eastAsia="Times"/>
                <w:sz w:val="20"/>
              </w:rPr>
            </w:pPr>
            <w:proofErr w:type="spellStart"/>
            <w:r w:rsidRPr="00A3130C">
              <w:rPr>
                <w:rFonts w:eastAsia="Times"/>
                <w:sz w:val="20"/>
              </w:rPr>
              <w:t>Nairm</w:t>
            </w:r>
            <w:proofErr w:type="spellEnd"/>
            <w:r w:rsidRPr="00A3130C">
              <w:rPr>
                <w:rFonts w:eastAsia="Times"/>
                <w:sz w:val="20"/>
              </w:rPr>
              <w:t xml:space="preserve"> Marr </w:t>
            </w:r>
            <w:proofErr w:type="spellStart"/>
            <w:r w:rsidRPr="00A3130C">
              <w:rPr>
                <w:rFonts w:eastAsia="Times"/>
                <w:sz w:val="20"/>
              </w:rPr>
              <w:t>Djambana</w:t>
            </w:r>
            <w:proofErr w:type="spellEnd"/>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09776FE" w14:textId="77777777" w:rsidR="00F962BE" w:rsidRPr="00A3130C" w:rsidRDefault="00F962BE">
            <w:pPr>
              <w:pStyle w:val="ARTabletext"/>
              <w:jc w:val="right"/>
              <w:rPr>
                <w:rFonts w:eastAsia="Times"/>
                <w:sz w:val="20"/>
              </w:rPr>
            </w:pPr>
            <w:r w:rsidRPr="00A3130C">
              <w:rPr>
                <w:rFonts w:eastAsia="Times"/>
                <w:sz w:val="20"/>
              </w:rPr>
              <w:t>17,500</w:t>
            </w:r>
          </w:p>
        </w:tc>
      </w:tr>
      <w:tr w:rsidR="00F962BE" w:rsidRPr="00A3130C" w14:paraId="3994DEA8"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67628242" w14:textId="77777777" w:rsidR="00F962BE" w:rsidRPr="00A3130C" w:rsidRDefault="00F962BE">
            <w:pPr>
              <w:pStyle w:val="ARTabletext"/>
              <w:rPr>
                <w:rFonts w:eastAsia="Times"/>
                <w:sz w:val="20"/>
              </w:rPr>
            </w:pPr>
            <w:r w:rsidRPr="00A3130C">
              <w:rPr>
                <w:rFonts w:eastAsia="Times"/>
                <w:sz w:val="20"/>
              </w:rPr>
              <w:t xml:space="preserve">National Council of Jewish Women of Australia </w:t>
            </w:r>
            <w:proofErr w:type="gramStart"/>
            <w:r w:rsidRPr="00A3130C">
              <w:rPr>
                <w:rFonts w:eastAsia="Times"/>
                <w:sz w:val="20"/>
              </w:rPr>
              <w:t>( Vic</w:t>
            </w:r>
            <w:proofErr w:type="gramEnd"/>
            <w:r w:rsidRPr="00A3130C">
              <w:rPr>
                <w:rFonts w:eastAsia="Times"/>
                <w:sz w:val="20"/>
              </w:rPr>
              <w:t>)</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92C0A53" w14:textId="77777777" w:rsidR="00F962BE" w:rsidRPr="00A3130C" w:rsidRDefault="00F962BE">
            <w:pPr>
              <w:pStyle w:val="ARTabletext"/>
              <w:jc w:val="right"/>
              <w:rPr>
                <w:rFonts w:eastAsia="Times"/>
                <w:sz w:val="20"/>
              </w:rPr>
            </w:pPr>
            <w:r w:rsidRPr="00A3130C">
              <w:rPr>
                <w:rFonts w:eastAsia="Times"/>
                <w:sz w:val="20"/>
              </w:rPr>
              <w:t>16,875</w:t>
            </w:r>
          </w:p>
        </w:tc>
      </w:tr>
      <w:tr w:rsidR="00F962BE" w:rsidRPr="00A3130C" w14:paraId="6DBE8377"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1F2E97F8" w14:textId="77777777" w:rsidR="00F962BE" w:rsidRPr="00A3130C" w:rsidRDefault="00F962BE">
            <w:pPr>
              <w:pStyle w:val="ARTabletext"/>
              <w:rPr>
                <w:rFonts w:eastAsia="Times"/>
                <w:sz w:val="20"/>
              </w:rPr>
            </w:pPr>
            <w:r w:rsidRPr="00A3130C">
              <w:rPr>
                <w:rFonts w:eastAsia="Times"/>
                <w:sz w:val="20"/>
              </w:rPr>
              <w:t>New Peninsula Mount Martha Men's</w:t>
            </w:r>
            <w:r>
              <w:rPr>
                <w:rFonts w:eastAsia="Times"/>
                <w:sz w:val="20"/>
              </w:rPr>
              <w:t> </w:t>
            </w:r>
            <w:r w:rsidRPr="00A3130C">
              <w:rPr>
                <w:rFonts w:eastAsia="Times"/>
                <w:sz w:val="20"/>
              </w:rPr>
              <w:t>Shed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988BCC4" w14:textId="77777777" w:rsidR="00F962BE" w:rsidRPr="00A3130C" w:rsidRDefault="00F962BE">
            <w:pPr>
              <w:pStyle w:val="ARTabletext"/>
              <w:jc w:val="right"/>
              <w:rPr>
                <w:rFonts w:eastAsia="Times"/>
                <w:sz w:val="20"/>
              </w:rPr>
            </w:pPr>
            <w:r w:rsidRPr="00A3130C">
              <w:rPr>
                <w:rFonts w:eastAsia="Times"/>
                <w:sz w:val="20"/>
              </w:rPr>
              <w:t>6,750</w:t>
            </w:r>
          </w:p>
        </w:tc>
      </w:tr>
      <w:tr w:rsidR="00F962BE" w:rsidRPr="00A3130C" w14:paraId="39A7B86E"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40C66B62" w14:textId="77777777" w:rsidR="00F962BE" w:rsidRPr="00A3130C" w:rsidRDefault="00F962BE">
            <w:pPr>
              <w:pStyle w:val="ARTabletext"/>
              <w:rPr>
                <w:rFonts w:eastAsia="Times"/>
                <w:sz w:val="20"/>
              </w:rPr>
            </w:pPr>
            <w:r w:rsidRPr="00A3130C">
              <w:rPr>
                <w:rFonts w:eastAsia="Times"/>
                <w:sz w:val="20"/>
              </w:rPr>
              <w:t>Nillumbik Community Health Service</w:t>
            </w:r>
            <w:r>
              <w:rPr>
                <w:rFonts w:eastAsia="Times"/>
                <w:sz w:val="20"/>
              </w:rPr>
              <w:t> </w:t>
            </w:r>
            <w:r w:rsidRPr="00A3130C">
              <w:rPr>
                <w:rFonts w:eastAsia="Times"/>
                <w:sz w:val="20"/>
              </w:rPr>
              <w:t>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71271E2" w14:textId="77777777" w:rsidR="00F962BE" w:rsidRPr="00A3130C" w:rsidRDefault="00F962BE">
            <w:pPr>
              <w:pStyle w:val="ARTabletext"/>
              <w:jc w:val="right"/>
              <w:rPr>
                <w:rFonts w:eastAsia="Times"/>
                <w:sz w:val="20"/>
              </w:rPr>
            </w:pPr>
            <w:r w:rsidRPr="00A3130C">
              <w:rPr>
                <w:rFonts w:eastAsia="Times"/>
                <w:sz w:val="20"/>
              </w:rPr>
              <w:t>10,000</w:t>
            </w:r>
          </w:p>
        </w:tc>
      </w:tr>
      <w:tr w:rsidR="00F962BE" w:rsidRPr="00A3130C" w14:paraId="002B0A99"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725B18D1" w14:textId="77777777" w:rsidR="00F962BE" w:rsidRPr="00A3130C" w:rsidRDefault="00F962BE">
            <w:pPr>
              <w:pStyle w:val="ARTabletext"/>
              <w:rPr>
                <w:rFonts w:eastAsia="Times"/>
                <w:sz w:val="20"/>
              </w:rPr>
            </w:pPr>
            <w:r w:rsidRPr="00A3130C">
              <w:rPr>
                <w:rFonts w:eastAsia="Times"/>
                <w:sz w:val="20"/>
              </w:rPr>
              <w:t>Norlane Community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BD4075B" w14:textId="77777777" w:rsidR="00F962BE" w:rsidRPr="00A3130C" w:rsidRDefault="00F962BE">
            <w:pPr>
              <w:pStyle w:val="ARTabletext"/>
              <w:jc w:val="right"/>
              <w:rPr>
                <w:rFonts w:eastAsia="Times"/>
                <w:sz w:val="20"/>
              </w:rPr>
            </w:pPr>
            <w:r w:rsidRPr="00A3130C">
              <w:rPr>
                <w:rFonts w:eastAsia="Times"/>
                <w:sz w:val="20"/>
              </w:rPr>
              <w:t>52,913</w:t>
            </w:r>
          </w:p>
        </w:tc>
      </w:tr>
      <w:tr w:rsidR="00F962BE" w:rsidRPr="00A3130C" w14:paraId="367D68C3"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0E424F93" w14:textId="77777777" w:rsidR="00F962BE" w:rsidRPr="00A3130C" w:rsidRDefault="00F962BE">
            <w:pPr>
              <w:pStyle w:val="ARTabletext"/>
              <w:rPr>
                <w:rFonts w:eastAsia="Times"/>
                <w:sz w:val="20"/>
              </w:rPr>
            </w:pPr>
            <w:r w:rsidRPr="00A3130C">
              <w:rPr>
                <w:rFonts w:eastAsia="Times"/>
                <w:sz w:val="20"/>
              </w:rPr>
              <w:t>North &amp; West Melbourne Neighbourhood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0F37287" w14:textId="77777777" w:rsidR="00F962BE" w:rsidRPr="00A3130C" w:rsidRDefault="00F962BE">
            <w:pPr>
              <w:pStyle w:val="ARTabletext"/>
              <w:jc w:val="right"/>
              <w:rPr>
                <w:rFonts w:eastAsia="Times"/>
                <w:sz w:val="20"/>
              </w:rPr>
            </w:pPr>
            <w:r w:rsidRPr="00A3130C">
              <w:rPr>
                <w:rFonts w:eastAsia="Times"/>
                <w:sz w:val="20"/>
              </w:rPr>
              <w:t>65,250</w:t>
            </w:r>
          </w:p>
        </w:tc>
      </w:tr>
      <w:tr w:rsidR="00F962BE" w:rsidRPr="00A3130C" w14:paraId="4BD5609F"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0428C3FB" w14:textId="77777777" w:rsidR="00F962BE" w:rsidRPr="00A3130C" w:rsidRDefault="00F962BE">
            <w:pPr>
              <w:pStyle w:val="ARTabletext"/>
              <w:rPr>
                <w:rFonts w:eastAsia="Times"/>
                <w:sz w:val="20"/>
              </w:rPr>
            </w:pPr>
            <w:r w:rsidRPr="00A3130C">
              <w:rPr>
                <w:rFonts w:eastAsia="Times"/>
                <w:sz w:val="20"/>
              </w:rPr>
              <w:t>North Melbourne Chinese Association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AF31E12" w14:textId="77777777" w:rsidR="00F962BE" w:rsidRPr="00A3130C" w:rsidRDefault="00F962BE">
            <w:pPr>
              <w:pStyle w:val="ARTabletext"/>
              <w:jc w:val="right"/>
              <w:rPr>
                <w:rFonts w:eastAsia="Times"/>
                <w:sz w:val="20"/>
              </w:rPr>
            </w:pPr>
            <w:r w:rsidRPr="00A3130C">
              <w:rPr>
                <w:rFonts w:eastAsia="Times"/>
                <w:sz w:val="20"/>
              </w:rPr>
              <w:t>19,000</w:t>
            </w:r>
          </w:p>
        </w:tc>
      </w:tr>
      <w:tr w:rsidR="00F962BE" w:rsidRPr="00A3130C" w14:paraId="5700FF70"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3E8838F" w14:textId="77777777" w:rsidR="00F962BE" w:rsidRPr="00A3130C" w:rsidRDefault="00F962BE">
            <w:pPr>
              <w:pStyle w:val="ARTabletext"/>
              <w:rPr>
                <w:rFonts w:eastAsia="Times"/>
                <w:sz w:val="20"/>
              </w:rPr>
            </w:pPr>
            <w:r w:rsidRPr="00A3130C">
              <w:rPr>
                <w:rFonts w:eastAsia="Times"/>
                <w:sz w:val="20"/>
              </w:rPr>
              <w:t>North Richmond Community Health</w:t>
            </w:r>
            <w:r>
              <w:rPr>
                <w:rFonts w:eastAsia="Times"/>
                <w:sz w:val="20"/>
              </w:rPr>
              <w:t> </w:t>
            </w:r>
            <w:r w:rsidRPr="00A3130C">
              <w:rPr>
                <w:rFonts w:eastAsia="Times"/>
                <w:sz w:val="20"/>
              </w:rPr>
              <w:t>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A0BEFF3" w14:textId="77777777" w:rsidR="00F962BE" w:rsidRPr="00A3130C" w:rsidRDefault="00F962BE">
            <w:pPr>
              <w:pStyle w:val="ARTabletext"/>
              <w:jc w:val="right"/>
              <w:rPr>
                <w:rFonts w:eastAsia="Times"/>
                <w:sz w:val="20"/>
              </w:rPr>
            </w:pPr>
            <w:r w:rsidRPr="00A3130C">
              <w:rPr>
                <w:rFonts w:eastAsia="Times"/>
                <w:sz w:val="20"/>
              </w:rPr>
              <w:t>18,000</w:t>
            </w:r>
          </w:p>
        </w:tc>
      </w:tr>
      <w:tr w:rsidR="00F962BE" w:rsidRPr="00A3130C" w14:paraId="46C91F1D"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5C545470" w14:textId="77777777" w:rsidR="00F962BE" w:rsidRPr="00A3130C" w:rsidRDefault="00F962BE">
            <w:pPr>
              <w:pStyle w:val="ARTabletext"/>
              <w:rPr>
                <w:rFonts w:eastAsia="Times"/>
                <w:sz w:val="20"/>
              </w:rPr>
            </w:pPr>
            <w:r w:rsidRPr="00A3130C">
              <w:rPr>
                <w:rFonts w:eastAsia="Times"/>
                <w:sz w:val="20"/>
              </w:rPr>
              <w:t>Notting Hill Neighbourhood House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A3823FB" w14:textId="77777777" w:rsidR="00F962BE" w:rsidRPr="00A3130C" w:rsidRDefault="00F962BE">
            <w:pPr>
              <w:pStyle w:val="ARTabletext"/>
              <w:jc w:val="right"/>
              <w:rPr>
                <w:rFonts w:eastAsia="Times"/>
                <w:sz w:val="20"/>
              </w:rPr>
            </w:pPr>
            <w:r w:rsidRPr="00A3130C">
              <w:rPr>
                <w:rFonts w:eastAsia="Times"/>
                <w:sz w:val="20"/>
              </w:rPr>
              <w:t>11,250</w:t>
            </w:r>
          </w:p>
        </w:tc>
      </w:tr>
      <w:tr w:rsidR="00F962BE" w:rsidRPr="00A3130C" w14:paraId="0AAF795F"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2CBB6797" w14:textId="77777777" w:rsidR="00F962BE" w:rsidRPr="00A3130C" w:rsidRDefault="00F962BE">
            <w:pPr>
              <w:pStyle w:val="ARTabletext"/>
              <w:rPr>
                <w:rFonts w:eastAsia="Times"/>
                <w:sz w:val="20"/>
              </w:rPr>
            </w:pPr>
            <w:r w:rsidRPr="00A3130C">
              <w:rPr>
                <w:rFonts w:eastAsia="Times"/>
                <w:sz w:val="20"/>
              </w:rPr>
              <w:t>Nourishing Neighbours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C81CD58" w14:textId="77777777" w:rsidR="00F962BE" w:rsidRPr="00A3130C" w:rsidRDefault="00F962BE">
            <w:pPr>
              <w:pStyle w:val="ARTabletext"/>
              <w:jc w:val="right"/>
              <w:rPr>
                <w:rFonts w:eastAsia="Times"/>
                <w:sz w:val="20"/>
              </w:rPr>
            </w:pPr>
            <w:r w:rsidRPr="00A3130C">
              <w:rPr>
                <w:rFonts w:eastAsia="Times"/>
                <w:sz w:val="20"/>
              </w:rPr>
              <w:t>10,666</w:t>
            </w:r>
          </w:p>
        </w:tc>
      </w:tr>
      <w:tr w:rsidR="00F962BE" w:rsidRPr="00A3130C" w14:paraId="0EDA0819"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08CFE12B" w14:textId="77777777" w:rsidR="00F962BE" w:rsidRPr="00A3130C" w:rsidRDefault="00F962BE">
            <w:pPr>
              <w:pStyle w:val="ARTabletext"/>
              <w:rPr>
                <w:rFonts w:eastAsia="Times"/>
                <w:sz w:val="20"/>
              </w:rPr>
            </w:pPr>
            <w:r w:rsidRPr="00A3130C">
              <w:rPr>
                <w:rFonts w:eastAsia="Times"/>
                <w:sz w:val="20"/>
              </w:rPr>
              <w:t>Numurkah Community Learning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9FDF62E" w14:textId="77777777" w:rsidR="00F962BE" w:rsidRPr="00A3130C" w:rsidRDefault="00F962BE">
            <w:pPr>
              <w:pStyle w:val="ARTabletext"/>
              <w:jc w:val="right"/>
              <w:rPr>
                <w:rFonts w:eastAsia="Times"/>
                <w:sz w:val="20"/>
              </w:rPr>
            </w:pPr>
            <w:r w:rsidRPr="00A3130C">
              <w:rPr>
                <w:rFonts w:eastAsia="Times"/>
                <w:sz w:val="20"/>
              </w:rPr>
              <w:t>18,500</w:t>
            </w:r>
          </w:p>
        </w:tc>
      </w:tr>
      <w:tr w:rsidR="00F962BE" w:rsidRPr="00A3130C" w14:paraId="26936B00"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D756233" w14:textId="77777777" w:rsidR="00F962BE" w:rsidRPr="00A3130C" w:rsidRDefault="00F962BE">
            <w:pPr>
              <w:pStyle w:val="ARTabletext"/>
              <w:rPr>
                <w:rFonts w:eastAsia="Times"/>
                <w:sz w:val="20"/>
              </w:rPr>
            </w:pPr>
            <w:r w:rsidRPr="00A3130C">
              <w:rPr>
                <w:rFonts w:eastAsia="Times"/>
                <w:sz w:val="20"/>
              </w:rPr>
              <w:t>Om Bhandara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B45246D" w14:textId="77777777" w:rsidR="00F962BE" w:rsidRPr="00A3130C" w:rsidRDefault="00F962BE">
            <w:pPr>
              <w:pStyle w:val="ARTabletext"/>
              <w:jc w:val="right"/>
              <w:rPr>
                <w:rFonts w:eastAsia="Times"/>
                <w:sz w:val="20"/>
              </w:rPr>
            </w:pPr>
            <w:r w:rsidRPr="00A3130C">
              <w:rPr>
                <w:rFonts w:eastAsia="Times"/>
                <w:sz w:val="20"/>
              </w:rPr>
              <w:t>20,000</w:t>
            </w:r>
          </w:p>
        </w:tc>
      </w:tr>
      <w:tr w:rsidR="00F962BE" w:rsidRPr="00A3130C" w14:paraId="34B8E1BE"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007CAD28" w14:textId="77777777" w:rsidR="00F962BE" w:rsidRPr="00A3130C" w:rsidRDefault="00F962BE">
            <w:pPr>
              <w:pStyle w:val="ARTabletext"/>
              <w:rPr>
                <w:rFonts w:eastAsia="Times"/>
                <w:sz w:val="20"/>
              </w:rPr>
            </w:pPr>
            <w:r w:rsidRPr="00A3130C">
              <w:rPr>
                <w:rFonts w:eastAsia="Times"/>
                <w:sz w:val="20"/>
              </w:rPr>
              <w:t>Oonah Health &amp; Community Services Aboriginal Corporation</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A0B75F4" w14:textId="77777777" w:rsidR="00F962BE" w:rsidRPr="00A3130C" w:rsidRDefault="00F962BE">
            <w:pPr>
              <w:pStyle w:val="ARTabletext"/>
              <w:jc w:val="right"/>
              <w:rPr>
                <w:rFonts w:eastAsia="Times"/>
                <w:sz w:val="20"/>
              </w:rPr>
            </w:pPr>
            <w:r w:rsidRPr="00A3130C">
              <w:rPr>
                <w:rFonts w:eastAsia="Times"/>
                <w:sz w:val="20"/>
              </w:rPr>
              <w:t>18,750</w:t>
            </w:r>
          </w:p>
        </w:tc>
      </w:tr>
      <w:tr w:rsidR="00F962BE" w:rsidRPr="00A3130C" w14:paraId="6B777BE9"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33B8FBA2" w14:textId="77777777" w:rsidR="00F962BE" w:rsidRPr="00A3130C" w:rsidRDefault="00F962BE">
            <w:pPr>
              <w:pStyle w:val="ARTabletext"/>
              <w:rPr>
                <w:rFonts w:eastAsia="Times"/>
                <w:sz w:val="20"/>
              </w:rPr>
            </w:pPr>
            <w:r w:rsidRPr="00A3130C">
              <w:rPr>
                <w:rFonts w:eastAsia="Times"/>
                <w:sz w:val="20"/>
              </w:rPr>
              <w:t>Open Table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A9A45E0" w14:textId="77777777" w:rsidR="00F962BE" w:rsidRPr="00A3130C" w:rsidRDefault="00F962BE">
            <w:pPr>
              <w:pStyle w:val="ARTabletext"/>
              <w:jc w:val="right"/>
              <w:rPr>
                <w:rFonts w:eastAsia="Times"/>
                <w:sz w:val="20"/>
              </w:rPr>
            </w:pPr>
            <w:r w:rsidRPr="00A3130C">
              <w:rPr>
                <w:rFonts w:eastAsia="Times"/>
                <w:sz w:val="20"/>
              </w:rPr>
              <w:t>60,000</w:t>
            </w:r>
          </w:p>
        </w:tc>
      </w:tr>
      <w:tr w:rsidR="00F962BE" w:rsidRPr="00A3130C" w14:paraId="30B71F9B"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61D99C2B" w14:textId="77777777" w:rsidR="00F962BE" w:rsidRPr="00A3130C" w:rsidRDefault="00F962BE">
            <w:pPr>
              <w:pStyle w:val="ARTabletext"/>
              <w:rPr>
                <w:rFonts w:eastAsia="Times"/>
                <w:sz w:val="20"/>
              </w:rPr>
            </w:pPr>
            <w:proofErr w:type="spellStart"/>
            <w:r w:rsidRPr="00A3130C">
              <w:rPr>
                <w:rFonts w:eastAsia="Times"/>
                <w:sz w:val="20"/>
              </w:rPr>
              <w:t>OzHarvest</w:t>
            </w:r>
            <w:proofErr w:type="spellEnd"/>
            <w:r w:rsidRPr="00A3130C">
              <w:rPr>
                <w:rFonts w:eastAsia="Times"/>
                <w:sz w:val="20"/>
              </w:rPr>
              <w:t xml:space="preserve">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44907A4" w14:textId="77777777" w:rsidR="00F962BE" w:rsidRPr="00A3130C" w:rsidRDefault="00F962BE">
            <w:pPr>
              <w:pStyle w:val="ARTabletext"/>
              <w:jc w:val="right"/>
              <w:rPr>
                <w:rFonts w:eastAsia="Times"/>
                <w:sz w:val="20"/>
              </w:rPr>
            </w:pPr>
            <w:r w:rsidRPr="00A3130C">
              <w:rPr>
                <w:rFonts w:eastAsia="Times"/>
                <w:sz w:val="20"/>
              </w:rPr>
              <w:t>466,000</w:t>
            </w:r>
          </w:p>
        </w:tc>
      </w:tr>
      <w:tr w:rsidR="00F962BE" w:rsidRPr="00A3130C" w14:paraId="19795BAC"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7C444F0D" w14:textId="77777777" w:rsidR="00F962BE" w:rsidRPr="00A3130C" w:rsidRDefault="00F962BE">
            <w:pPr>
              <w:pStyle w:val="ARTabletext"/>
              <w:rPr>
                <w:rFonts w:eastAsia="Times"/>
                <w:sz w:val="20"/>
              </w:rPr>
            </w:pPr>
            <w:r w:rsidRPr="00A3130C">
              <w:rPr>
                <w:rFonts w:eastAsia="Times"/>
                <w:sz w:val="20"/>
              </w:rPr>
              <w:t>Park Towers Community Pantry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399AC71" w14:textId="77777777" w:rsidR="00F962BE" w:rsidRPr="00A3130C" w:rsidRDefault="00F962BE">
            <w:pPr>
              <w:pStyle w:val="ARTabletext"/>
              <w:jc w:val="right"/>
              <w:rPr>
                <w:rFonts w:eastAsia="Times"/>
                <w:sz w:val="20"/>
              </w:rPr>
            </w:pPr>
            <w:r w:rsidRPr="00A3130C">
              <w:rPr>
                <w:rFonts w:eastAsia="Times"/>
                <w:sz w:val="20"/>
              </w:rPr>
              <w:t>63,750</w:t>
            </w:r>
          </w:p>
        </w:tc>
      </w:tr>
      <w:tr w:rsidR="00F962BE" w:rsidRPr="00A3130C" w14:paraId="75E8F1B1"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5FBE892F" w14:textId="77777777" w:rsidR="00F962BE" w:rsidRPr="00A3130C" w:rsidRDefault="00F962BE">
            <w:pPr>
              <w:pStyle w:val="ARTabletext"/>
              <w:rPr>
                <w:rFonts w:eastAsia="Times"/>
                <w:sz w:val="20"/>
              </w:rPr>
            </w:pPr>
            <w:proofErr w:type="spellStart"/>
            <w:r w:rsidRPr="00A3130C">
              <w:rPr>
                <w:rFonts w:eastAsia="Times"/>
                <w:sz w:val="20"/>
              </w:rPr>
              <w:t>PlateitForward</w:t>
            </w:r>
            <w:proofErr w:type="spellEnd"/>
            <w:r w:rsidRPr="00A3130C">
              <w:rPr>
                <w:rFonts w:eastAsia="Times"/>
                <w:sz w:val="20"/>
              </w:rPr>
              <w:t xml:space="preserve">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BA1B6A7" w14:textId="77777777" w:rsidR="00F962BE" w:rsidRPr="00A3130C" w:rsidRDefault="00F962BE">
            <w:pPr>
              <w:pStyle w:val="ARTabletext"/>
              <w:jc w:val="right"/>
              <w:rPr>
                <w:rFonts w:eastAsia="Times"/>
                <w:sz w:val="20"/>
              </w:rPr>
            </w:pPr>
            <w:r w:rsidRPr="00A3130C">
              <w:rPr>
                <w:rFonts w:eastAsia="Times"/>
                <w:sz w:val="20"/>
              </w:rPr>
              <w:t>48,000</w:t>
            </w:r>
          </w:p>
        </w:tc>
      </w:tr>
      <w:tr w:rsidR="00F962BE" w:rsidRPr="00A3130C" w14:paraId="53BF1156"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048D0904" w14:textId="77777777" w:rsidR="00F962BE" w:rsidRPr="00A3130C" w:rsidRDefault="00F962BE">
            <w:pPr>
              <w:pStyle w:val="ARTabletext"/>
              <w:rPr>
                <w:rFonts w:eastAsia="Times"/>
                <w:sz w:val="20"/>
              </w:rPr>
            </w:pPr>
            <w:r w:rsidRPr="00A3130C">
              <w:rPr>
                <w:rFonts w:eastAsia="Times"/>
                <w:sz w:val="20"/>
              </w:rPr>
              <w:t>Preston Neighbourhood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319F9FB8" w14:textId="77777777" w:rsidR="00F962BE" w:rsidRPr="00A3130C" w:rsidRDefault="00F962BE">
            <w:pPr>
              <w:pStyle w:val="ARTabletext"/>
              <w:jc w:val="right"/>
              <w:rPr>
                <w:rFonts w:eastAsia="Times"/>
                <w:sz w:val="20"/>
              </w:rPr>
            </w:pPr>
            <w:r w:rsidRPr="00A3130C">
              <w:rPr>
                <w:rFonts w:eastAsia="Times"/>
                <w:sz w:val="20"/>
              </w:rPr>
              <w:t>52,500</w:t>
            </w:r>
          </w:p>
        </w:tc>
      </w:tr>
      <w:tr w:rsidR="00F962BE" w:rsidRPr="00A3130C" w14:paraId="1FABFFE6"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6408F29F" w14:textId="77777777" w:rsidR="00F962BE" w:rsidRPr="00A3130C" w:rsidRDefault="00F962BE">
            <w:pPr>
              <w:pStyle w:val="ARTabletext"/>
              <w:rPr>
                <w:rFonts w:eastAsia="Times"/>
                <w:sz w:val="20"/>
              </w:rPr>
            </w:pPr>
            <w:r w:rsidRPr="00A3130C">
              <w:rPr>
                <w:rFonts w:eastAsia="Times"/>
                <w:sz w:val="20"/>
              </w:rPr>
              <w:t xml:space="preserve">Quantin </w:t>
            </w:r>
            <w:proofErr w:type="spellStart"/>
            <w:r w:rsidRPr="00A3130C">
              <w:rPr>
                <w:rFonts w:eastAsia="Times"/>
                <w:sz w:val="20"/>
              </w:rPr>
              <w:t>Binnah</w:t>
            </w:r>
            <w:proofErr w:type="spellEnd"/>
            <w:r w:rsidRPr="00A3130C">
              <w:rPr>
                <w:rFonts w:eastAsia="Times"/>
                <w:sz w:val="20"/>
              </w:rPr>
              <w:t xml:space="preserve"> Community Centre</w:t>
            </w:r>
            <w:r>
              <w:rPr>
                <w:rFonts w:eastAsia="Times"/>
                <w:sz w:val="20"/>
              </w:rPr>
              <w:t> </w:t>
            </w:r>
            <w:r w:rsidRPr="00A3130C">
              <w:rPr>
                <w:rFonts w:eastAsia="Times"/>
                <w:sz w:val="20"/>
              </w:rPr>
              <w:t>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650AA8F" w14:textId="77777777" w:rsidR="00F962BE" w:rsidRPr="00A3130C" w:rsidRDefault="00F962BE">
            <w:pPr>
              <w:pStyle w:val="ARTabletext"/>
              <w:jc w:val="right"/>
              <w:rPr>
                <w:rFonts w:eastAsia="Times"/>
                <w:sz w:val="20"/>
              </w:rPr>
            </w:pPr>
            <w:r w:rsidRPr="00A3130C">
              <w:rPr>
                <w:rFonts w:eastAsia="Times"/>
                <w:sz w:val="20"/>
              </w:rPr>
              <w:t>18,000</w:t>
            </w:r>
          </w:p>
        </w:tc>
      </w:tr>
      <w:tr w:rsidR="00F962BE" w:rsidRPr="00A3130C" w14:paraId="3253E1C8"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2484ED21" w14:textId="77777777" w:rsidR="00F962BE" w:rsidRPr="00A3130C" w:rsidRDefault="00F962BE">
            <w:pPr>
              <w:pStyle w:val="ARTabletext"/>
              <w:rPr>
                <w:rFonts w:eastAsia="Times"/>
                <w:sz w:val="20"/>
              </w:rPr>
            </w:pPr>
            <w:r w:rsidRPr="00A3130C">
              <w:rPr>
                <w:rFonts w:eastAsia="Times"/>
                <w:sz w:val="20"/>
              </w:rPr>
              <w:t>Quercus Beechworth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A89C4E9" w14:textId="77777777" w:rsidR="00F962BE" w:rsidRPr="00A3130C" w:rsidRDefault="00F962BE">
            <w:pPr>
              <w:pStyle w:val="ARTabletext"/>
              <w:jc w:val="right"/>
              <w:rPr>
                <w:rFonts w:eastAsia="Times"/>
                <w:sz w:val="20"/>
              </w:rPr>
            </w:pPr>
            <w:r w:rsidRPr="00A3130C">
              <w:rPr>
                <w:rFonts w:eastAsia="Times"/>
                <w:sz w:val="20"/>
              </w:rPr>
              <w:t>25,000</w:t>
            </w:r>
          </w:p>
        </w:tc>
      </w:tr>
      <w:tr w:rsidR="00F962BE" w:rsidRPr="00A3130C" w14:paraId="22D30896"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570985E7" w14:textId="77777777" w:rsidR="00F962BE" w:rsidRPr="00A3130C" w:rsidRDefault="00F962BE">
            <w:pPr>
              <w:pStyle w:val="ARTabletext"/>
              <w:rPr>
                <w:rFonts w:eastAsia="Times"/>
                <w:sz w:val="20"/>
              </w:rPr>
            </w:pPr>
            <w:r w:rsidRPr="00A3130C">
              <w:rPr>
                <w:rFonts w:eastAsia="Times"/>
                <w:sz w:val="20"/>
              </w:rPr>
              <w:t>Red Cliffs Community Resource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362DD5D" w14:textId="77777777" w:rsidR="00F962BE" w:rsidRPr="00A3130C" w:rsidRDefault="00F962BE">
            <w:pPr>
              <w:pStyle w:val="ARTabletext"/>
              <w:jc w:val="right"/>
              <w:rPr>
                <w:rFonts w:eastAsia="Times"/>
                <w:sz w:val="20"/>
              </w:rPr>
            </w:pPr>
            <w:r w:rsidRPr="00A3130C">
              <w:rPr>
                <w:rFonts w:eastAsia="Times"/>
                <w:sz w:val="20"/>
              </w:rPr>
              <w:t>15,000</w:t>
            </w:r>
          </w:p>
        </w:tc>
      </w:tr>
      <w:tr w:rsidR="00F962BE" w:rsidRPr="00A3130C" w14:paraId="0AC79D8F"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14FD2721" w14:textId="77777777" w:rsidR="00F962BE" w:rsidRPr="00A3130C" w:rsidRDefault="00F962BE">
            <w:pPr>
              <w:pStyle w:val="ARTabletext"/>
              <w:rPr>
                <w:rFonts w:eastAsia="Times"/>
                <w:sz w:val="20"/>
              </w:rPr>
            </w:pPr>
            <w:r w:rsidRPr="00A3130C">
              <w:rPr>
                <w:rFonts w:eastAsia="Times"/>
                <w:sz w:val="20"/>
              </w:rPr>
              <w:t>Regional Food Security Alliance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ED2DF26" w14:textId="77777777" w:rsidR="00F962BE" w:rsidRPr="00A3130C" w:rsidRDefault="00F962BE">
            <w:pPr>
              <w:pStyle w:val="ARTabletext"/>
              <w:jc w:val="right"/>
              <w:rPr>
                <w:rFonts w:eastAsia="Times"/>
                <w:sz w:val="20"/>
              </w:rPr>
            </w:pPr>
            <w:r w:rsidRPr="00A3130C">
              <w:rPr>
                <w:rFonts w:eastAsia="Times"/>
                <w:sz w:val="20"/>
              </w:rPr>
              <w:t>70,000</w:t>
            </w:r>
          </w:p>
        </w:tc>
      </w:tr>
      <w:tr w:rsidR="00F962BE" w:rsidRPr="00A3130C" w14:paraId="51D5452C"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6F427E1" w14:textId="77777777" w:rsidR="00F962BE" w:rsidRPr="00A3130C" w:rsidRDefault="00F962BE">
            <w:pPr>
              <w:pStyle w:val="ARTabletext"/>
              <w:rPr>
                <w:rFonts w:eastAsia="Times"/>
                <w:sz w:val="20"/>
              </w:rPr>
            </w:pPr>
            <w:r w:rsidRPr="00A3130C">
              <w:rPr>
                <w:rFonts w:eastAsia="Times"/>
                <w:sz w:val="20"/>
              </w:rPr>
              <w:t>Reservoir Neighbourhood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FAAADAA" w14:textId="77777777" w:rsidR="00F962BE" w:rsidRPr="00A3130C" w:rsidRDefault="00F962BE">
            <w:pPr>
              <w:pStyle w:val="ARTabletext"/>
              <w:jc w:val="right"/>
              <w:rPr>
                <w:rFonts w:eastAsia="Times"/>
                <w:sz w:val="20"/>
              </w:rPr>
            </w:pPr>
            <w:r w:rsidRPr="00A3130C">
              <w:rPr>
                <w:rFonts w:eastAsia="Times"/>
                <w:sz w:val="20"/>
              </w:rPr>
              <w:t>39,628</w:t>
            </w:r>
          </w:p>
        </w:tc>
      </w:tr>
      <w:tr w:rsidR="00F962BE" w:rsidRPr="00A3130C" w14:paraId="1056CF24"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7DCB90E8" w14:textId="77777777" w:rsidR="00F962BE" w:rsidRPr="00A3130C" w:rsidRDefault="00F962BE">
            <w:pPr>
              <w:pStyle w:val="ARTabletext"/>
              <w:rPr>
                <w:rFonts w:eastAsia="Times"/>
                <w:sz w:val="20"/>
              </w:rPr>
            </w:pPr>
            <w:r w:rsidRPr="00A3130C">
              <w:rPr>
                <w:rFonts w:eastAsia="Times"/>
                <w:sz w:val="20"/>
              </w:rPr>
              <w:t>Ringwood Mens Shed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5831204" w14:textId="77777777" w:rsidR="00F962BE" w:rsidRPr="00A3130C" w:rsidRDefault="00F962BE">
            <w:pPr>
              <w:pStyle w:val="ARTabletext"/>
              <w:jc w:val="right"/>
              <w:rPr>
                <w:rFonts w:eastAsia="Times"/>
                <w:sz w:val="20"/>
              </w:rPr>
            </w:pPr>
            <w:r w:rsidRPr="00A3130C">
              <w:rPr>
                <w:rFonts w:eastAsia="Times"/>
                <w:sz w:val="20"/>
              </w:rPr>
              <w:t>2,540</w:t>
            </w:r>
          </w:p>
        </w:tc>
      </w:tr>
      <w:tr w:rsidR="00F962BE" w:rsidRPr="00A3130C" w14:paraId="76F2C93C"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6D554795" w14:textId="77777777" w:rsidR="00F962BE" w:rsidRPr="00A3130C" w:rsidRDefault="00F962BE">
            <w:pPr>
              <w:pStyle w:val="ARTabletext"/>
              <w:rPr>
                <w:rFonts w:eastAsia="Times"/>
                <w:sz w:val="20"/>
              </w:rPr>
            </w:pPr>
            <w:r w:rsidRPr="00A3130C">
              <w:rPr>
                <w:rFonts w:eastAsia="Times"/>
                <w:sz w:val="20"/>
              </w:rPr>
              <w:t>Rochester Community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BA7FF1C" w14:textId="77777777" w:rsidR="00F962BE" w:rsidRPr="00A3130C" w:rsidRDefault="00F962BE">
            <w:pPr>
              <w:pStyle w:val="ARTabletext"/>
              <w:jc w:val="right"/>
              <w:rPr>
                <w:rFonts w:eastAsia="Times"/>
                <w:sz w:val="20"/>
              </w:rPr>
            </w:pPr>
            <w:r w:rsidRPr="00A3130C">
              <w:rPr>
                <w:rFonts w:eastAsia="Times"/>
                <w:sz w:val="20"/>
              </w:rPr>
              <w:t>88,999</w:t>
            </w:r>
          </w:p>
        </w:tc>
      </w:tr>
      <w:tr w:rsidR="00F962BE" w:rsidRPr="00A3130C" w14:paraId="15BCEF64"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B1EEA92" w14:textId="77777777" w:rsidR="00F962BE" w:rsidRPr="00A3130C" w:rsidRDefault="00F962BE">
            <w:pPr>
              <w:pStyle w:val="ARTabletext"/>
              <w:rPr>
                <w:rFonts w:eastAsia="Times"/>
                <w:sz w:val="20"/>
              </w:rPr>
            </w:pPr>
            <w:r w:rsidRPr="00A3130C">
              <w:rPr>
                <w:rFonts w:eastAsia="Times"/>
                <w:sz w:val="20"/>
              </w:rPr>
              <w:t>Romsey Mens Shed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C19D2E8" w14:textId="77777777" w:rsidR="00F962BE" w:rsidRPr="00A3130C" w:rsidRDefault="00F962BE">
            <w:pPr>
              <w:pStyle w:val="ARTabletext"/>
              <w:jc w:val="right"/>
              <w:rPr>
                <w:rFonts w:eastAsia="Times"/>
                <w:sz w:val="20"/>
              </w:rPr>
            </w:pPr>
            <w:r w:rsidRPr="00A3130C">
              <w:rPr>
                <w:rFonts w:eastAsia="Times"/>
                <w:sz w:val="20"/>
              </w:rPr>
              <w:t>48,590</w:t>
            </w:r>
          </w:p>
        </w:tc>
      </w:tr>
      <w:tr w:rsidR="00F962BE" w:rsidRPr="00A3130C" w14:paraId="5DAD5FDF"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0C389264" w14:textId="77777777" w:rsidR="00F962BE" w:rsidRPr="00A3130C" w:rsidRDefault="00F962BE">
            <w:pPr>
              <w:pStyle w:val="ARTabletext"/>
              <w:rPr>
                <w:rFonts w:eastAsia="Times"/>
                <w:sz w:val="20"/>
              </w:rPr>
            </w:pPr>
            <w:proofErr w:type="spellStart"/>
            <w:r w:rsidRPr="00A3130C">
              <w:rPr>
                <w:rFonts w:eastAsia="Times"/>
                <w:sz w:val="20"/>
              </w:rPr>
              <w:t>Rumbalara</w:t>
            </w:r>
            <w:proofErr w:type="spellEnd"/>
            <w:r w:rsidRPr="00A3130C">
              <w:rPr>
                <w:rFonts w:eastAsia="Times"/>
                <w:sz w:val="20"/>
              </w:rPr>
              <w:t xml:space="preserve"> Aboriginal Co-operative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154CF9B" w14:textId="77777777" w:rsidR="00F962BE" w:rsidRPr="00A3130C" w:rsidRDefault="00F962BE">
            <w:pPr>
              <w:pStyle w:val="ARTabletext"/>
              <w:jc w:val="right"/>
              <w:rPr>
                <w:rFonts w:eastAsia="Times"/>
                <w:sz w:val="20"/>
              </w:rPr>
            </w:pPr>
            <w:r w:rsidRPr="00A3130C">
              <w:rPr>
                <w:rFonts w:eastAsia="Times"/>
                <w:sz w:val="20"/>
              </w:rPr>
              <w:t>91,000</w:t>
            </w:r>
          </w:p>
        </w:tc>
      </w:tr>
      <w:tr w:rsidR="00F962BE" w:rsidRPr="00A3130C" w14:paraId="251D1C26"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F43E3DF" w14:textId="77777777" w:rsidR="00F962BE" w:rsidRPr="00A3130C" w:rsidRDefault="00F962BE">
            <w:pPr>
              <w:pStyle w:val="ARTabletext"/>
              <w:rPr>
                <w:rFonts w:eastAsia="Times"/>
                <w:sz w:val="20"/>
              </w:rPr>
            </w:pPr>
            <w:r w:rsidRPr="00A3130C">
              <w:rPr>
                <w:rFonts w:eastAsia="Times"/>
                <w:sz w:val="20"/>
              </w:rPr>
              <w:t>Sacred Heart Soup Kitchen (Group within Parish of Saints Anne and Joachim, Sunraysia)</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A89D780" w14:textId="77777777" w:rsidR="00F962BE" w:rsidRPr="00A3130C" w:rsidRDefault="00F962BE">
            <w:pPr>
              <w:pStyle w:val="ARTabletext"/>
              <w:jc w:val="right"/>
              <w:rPr>
                <w:rFonts w:eastAsia="Times"/>
                <w:sz w:val="20"/>
              </w:rPr>
            </w:pPr>
            <w:r w:rsidRPr="00A3130C">
              <w:rPr>
                <w:rFonts w:eastAsia="Times"/>
                <w:sz w:val="20"/>
              </w:rPr>
              <w:t>34,125</w:t>
            </w:r>
          </w:p>
        </w:tc>
      </w:tr>
      <w:tr w:rsidR="00F962BE" w:rsidRPr="00A3130C" w14:paraId="4B71D0D5"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68CD9EB1" w14:textId="77777777" w:rsidR="00F962BE" w:rsidRPr="00A3130C" w:rsidRDefault="00F962BE">
            <w:pPr>
              <w:pStyle w:val="ARTabletext"/>
              <w:rPr>
                <w:rFonts w:eastAsia="Times"/>
                <w:sz w:val="20"/>
              </w:rPr>
            </w:pPr>
            <w:r w:rsidRPr="00A3130C">
              <w:rPr>
                <w:rFonts w:eastAsia="Times"/>
                <w:sz w:val="20"/>
              </w:rPr>
              <w:t>Sandy Point Community Mens Shed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334DD1AE" w14:textId="77777777" w:rsidR="00F962BE" w:rsidRPr="00A3130C" w:rsidRDefault="00F962BE">
            <w:pPr>
              <w:pStyle w:val="ARTabletext"/>
              <w:jc w:val="right"/>
              <w:rPr>
                <w:rFonts w:eastAsia="Times"/>
                <w:sz w:val="20"/>
              </w:rPr>
            </w:pPr>
            <w:r w:rsidRPr="00A3130C">
              <w:rPr>
                <w:rFonts w:eastAsia="Times"/>
                <w:sz w:val="20"/>
              </w:rPr>
              <w:t>20,000</w:t>
            </w:r>
          </w:p>
        </w:tc>
      </w:tr>
      <w:tr w:rsidR="00F962BE" w:rsidRPr="00A3130C" w14:paraId="00CD1CEB"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6865664D" w14:textId="77777777" w:rsidR="00F962BE" w:rsidRPr="00A3130C" w:rsidRDefault="00F962BE">
            <w:pPr>
              <w:pStyle w:val="ARTabletext"/>
              <w:rPr>
                <w:rFonts w:eastAsia="Times"/>
                <w:sz w:val="20"/>
              </w:rPr>
            </w:pPr>
            <w:proofErr w:type="spellStart"/>
            <w:r w:rsidRPr="00A3130C">
              <w:rPr>
                <w:rFonts w:eastAsia="Times"/>
                <w:sz w:val="20"/>
              </w:rPr>
              <w:t>SecondBite</w:t>
            </w:r>
            <w:proofErr w:type="spellEnd"/>
            <w:r w:rsidRPr="00A3130C">
              <w:rPr>
                <w:rFonts w:eastAsia="Times"/>
                <w:sz w:val="20"/>
              </w:rPr>
              <w:t xml:space="preserve">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5127988" w14:textId="77777777" w:rsidR="00F962BE" w:rsidRPr="00A3130C" w:rsidRDefault="00F962BE">
            <w:pPr>
              <w:pStyle w:val="ARTabletext"/>
              <w:jc w:val="right"/>
              <w:rPr>
                <w:rFonts w:eastAsia="Times"/>
                <w:sz w:val="20"/>
              </w:rPr>
            </w:pPr>
            <w:r w:rsidRPr="00A3130C">
              <w:rPr>
                <w:rFonts w:eastAsia="Times"/>
                <w:sz w:val="20"/>
              </w:rPr>
              <w:t>420,000</w:t>
            </w:r>
          </w:p>
        </w:tc>
      </w:tr>
      <w:tr w:rsidR="00F962BE" w:rsidRPr="00A3130C" w14:paraId="0CE49BFC"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57DB13EC" w14:textId="77777777" w:rsidR="00F962BE" w:rsidRPr="00A3130C" w:rsidRDefault="00F962BE">
            <w:pPr>
              <w:pStyle w:val="ARTabletext"/>
              <w:rPr>
                <w:rFonts w:eastAsia="Times"/>
                <w:sz w:val="20"/>
              </w:rPr>
            </w:pPr>
            <w:r w:rsidRPr="00A3130C">
              <w:rPr>
                <w:rFonts w:eastAsia="Times"/>
                <w:sz w:val="20"/>
              </w:rPr>
              <w:t>Seymour &amp; District Community</w:t>
            </w:r>
            <w:r>
              <w:rPr>
                <w:rFonts w:eastAsia="Times"/>
                <w:sz w:val="20"/>
              </w:rPr>
              <w:t> </w:t>
            </w:r>
            <w:r w:rsidRPr="00A3130C">
              <w:rPr>
                <w:rFonts w:eastAsia="Times"/>
                <w:sz w:val="20"/>
              </w:rPr>
              <w:t>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A98398D" w14:textId="77777777" w:rsidR="00F962BE" w:rsidRPr="00A3130C" w:rsidRDefault="00F962BE">
            <w:pPr>
              <w:pStyle w:val="ARTabletext"/>
              <w:jc w:val="right"/>
              <w:rPr>
                <w:rFonts w:eastAsia="Times"/>
                <w:sz w:val="20"/>
              </w:rPr>
            </w:pPr>
            <w:r w:rsidRPr="00A3130C">
              <w:rPr>
                <w:rFonts w:eastAsia="Times"/>
                <w:sz w:val="20"/>
              </w:rPr>
              <w:t>25,529</w:t>
            </w:r>
          </w:p>
        </w:tc>
      </w:tr>
      <w:tr w:rsidR="00F962BE" w:rsidRPr="00A3130C" w14:paraId="297D3593"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3940CA25" w14:textId="77777777" w:rsidR="00F962BE" w:rsidRPr="00A3130C" w:rsidRDefault="00F962BE">
            <w:pPr>
              <w:pStyle w:val="ARTabletext"/>
              <w:rPr>
                <w:rFonts w:eastAsia="Times"/>
                <w:sz w:val="20"/>
              </w:rPr>
            </w:pPr>
            <w:r w:rsidRPr="00A3130C">
              <w:rPr>
                <w:rFonts w:eastAsia="Times"/>
                <w:sz w:val="20"/>
              </w:rPr>
              <w:t>Somali Elders Group in Victoria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597BEBE" w14:textId="77777777" w:rsidR="00F962BE" w:rsidRPr="00A3130C" w:rsidRDefault="00F962BE">
            <w:pPr>
              <w:pStyle w:val="ARTabletext"/>
              <w:jc w:val="right"/>
              <w:rPr>
                <w:rFonts w:eastAsia="Times"/>
                <w:sz w:val="20"/>
              </w:rPr>
            </w:pPr>
            <w:r w:rsidRPr="00A3130C">
              <w:rPr>
                <w:rFonts w:eastAsia="Times"/>
                <w:sz w:val="20"/>
              </w:rPr>
              <w:t>20,000</w:t>
            </w:r>
          </w:p>
        </w:tc>
      </w:tr>
      <w:tr w:rsidR="00F962BE" w:rsidRPr="00A3130C" w14:paraId="1BCC106B"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437D04DF" w14:textId="77777777" w:rsidR="00F962BE" w:rsidRPr="00A3130C" w:rsidRDefault="00F962BE">
            <w:pPr>
              <w:pStyle w:val="ARTabletext"/>
              <w:rPr>
                <w:rFonts w:eastAsia="Times"/>
                <w:sz w:val="20"/>
              </w:rPr>
            </w:pPr>
            <w:r w:rsidRPr="00A3130C">
              <w:rPr>
                <w:rFonts w:eastAsia="Times"/>
                <w:sz w:val="20"/>
              </w:rPr>
              <w:t>Somali Voice Victoria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E30A8E4" w14:textId="77777777" w:rsidR="00F962BE" w:rsidRPr="00A3130C" w:rsidRDefault="00F962BE">
            <w:pPr>
              <w:pStyle w:val="ARTabletext"/>
              <w:jc w:val="right"/>
              <w:rPr>
                <w:rFonts w:eastAsia="Times"/>
                <w:sz w:val="20"/>
              </w:rPr>
            </w:pPr>
            <w:r w:rsidRPr="00A3130C">
              <w:rPr>
                <w:rFonts w:eastAsia="Times"/>
                <w:sz w:val="20"/>
              </w:rPr>
              <w:t>37,500</w:t>
            </w:r>
          </w:p>
        </w:tc>
      </w:tr>
      <w:tr w:rsidR="00F962BE" w:rsidRPr="00A3130C" w14:paraId="64E7BD27"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7E9E8753" w14:textId="77777777" w:rsidR="00F962BE" w:rsidRPr="00A3130C" w:rsidRDefault="00F962BE">
            <w:pPr>
              <w:pStyle w:val="ARTabletext"/>
              <w:rPr>
                <w:rFonts w:eastAsia="Times"/>
                <w:sz w:val="20"/>
              </w:rPr>
            </w:pPr>
            <w:proofErr w:type="gramStart"/>
            <w:r w:rsidRPr="00A3130C">
              <w:rPr>
                <w:rFonts w:eastAsia="Times"/>
                <w:sz w:val="20"/>
              </w:rPr>
              <w:t>South East</w:t>
            </w:r>
            <w:proofErr w:type="gramEnd"/>
            <w:r w:rsidRPr="00A3130C">
              <w:rPr>
                <w:rFonts w:eastAsia="Times"/>
                <w:sz w:val="20"/>
              </w:rPr>
              <w:t xml:space="preserve"> Community Links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2BA6CAC" w14:textId="77777777" w:rsidR="00F962BE" w:rsidRPr="00A3130C" w:rsidRDefault="00F962BE">
            <w:pPr>
              <w:pStyle w:val="ARTabletext"/>
              <w:jc w:val="right"/>
              <w:rPr>
                <w:rFonts w:eastAsia="Times"/>
                <w:sz w:val="20"/>
              </w:rPr>
            </w:pPr>
            <w:r w:rsidRPr="00A3130C">
              <w:rPr>
                <w:rFonts w:eastAsia="Times"/>
                <w:sz w:val="20"/>
              </w:rPr>
              <w:t>58,625</w:t>
            </w:r>
          </w:p>
        </w:tc>
      </w:tr>
      <w:tr w:rsidR="00F962BE" w:rsidRPr="00A3130C" w14:paraId="133C0CE0"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95063A0" w14:textId="77777777" w:rsidR="00F962BE" w:rsidRPr="00A3130C" w:rsidRDefault="00F962BE">
            <w:pPr>
              <w:pStyle w:val="ARTabletext"/>
              <w:rPr>
                <w:rFonts w:eastAsia="Times"/>
                <w:sz w:val="20"/>
              </w:rPr>
            </w:pPr>
            <w:r w:rsidRPr="00A3130C">
              <w:rPr>
                <w:rFonts w:eastAsia="Times"/>
                <w:sz w:val="20"/>
              </w:rPr>
              <w:t>South Shepparton Community</w:t>
            </w:r>
            <w:r>
              <w:rPr>
                <w:rFonts w:eastAsia="Times"/>
                <w:sz w:val="20"/>
              </w:rPr>
              <w:t> </w:t>
            </w:r>
            <w:r w:rsidRPr="00A3130C">
              <w:rPr>
                <w:rFonts w:eastAsia="Times"/>
                <w:sz w:val="20"/>
              </w:rPr>
              <w:t>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C0ABE88" w14:textId="77777777" w:rsidR="00F962BE" w:rsidRPr="00A3130C" w:rsidRDefault="00F962BE">
            <w:pPr>
              <w:pStyle w:val="ARTabletext"/>
              <w:jc w:val="right"/>
              <w:rPr>
                <w:rFonts w:eastAsia="Times"/>
                <w:sz w:val="20"/>
              </w:rPr>
            </w:pPr>
            <w:r w:rsidRPr="00A3130C">
              <w:rPr>
                <w:rFonts w:eastAsia="Times"/>
                <w:sz w:val="20"/>
              </w:rPr>
              <w:t>6,675</w:t>
            </w:r>
          </w:p>
        </w:tc>
      </w:tr>
      <w:tr w:rsidR="00F962BE" w:rsidRPr="00A3130C" w14:paraId="02E1BC1A"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01C699F6" w14:textId="77777777" w:rsidR="00F962BE" w:rsidRPr="00A3130C" w:rsidRDefault="00F962BE">
            <w:pPr>
              <w:pStyle w:val="ARTabletext"/>
              <w:rPr>
                <w:rFonts w:eastAsia="Times"/>
                <w:sz w:val="20"/>
              </w:rPr>
            </w:pPr>
            <w:r w:rsidRPr="00A3130C">
              <w:rPr>
                <w:rFonts w:eastAsia="Times"/>
                <w:sz w:val="20"/>
              </w:rPr>
              <w:t>South Sudanese Christian Welfare Association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3B0D28C4" w14:textId="77777777" w:rsidR="00F962BE" w:rsidRPr="00A3130C" w:rsidRDefault="00F962BE">
            <w:pPr>
              <w:pStyle w:val="ARTabletext"/>
              <w:jc w:val="right"/>
              <w:rPr>
                <w:rFonts w:eastAsia="Times"/>
                <w:sz w:val="20"/>
              </w:rPr>
            </w:pPr>
            <w:r w:rsidRPr="00A3130C">
              <w:rPr>
                <w:rFonts w:eastAsia="Times"/>
                <w:sz w:val="20"/>
              </w:rPr>
              <w:t>18,750</w:t>
            </w:r>
          </w:p>
        </w:tc>
      </w:tr>
      <w:tr w:rsidR="00F962BE" w:rsidRPr="00A3130C" w14:paraId="483BFEDE"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8F9F435" w14:textId="77777777" w:rsidR="00F962BE" w:rsidRPr="00A3130C" w:rsidRDefault="00F962BE">
            <w:pPr>
              <w:pStyle w:val="ARTabletext"/>
              <w:rPr>
                <w:rFonts w:eastAsia="Times"/>
                <w:sz w:val="20"/>
              </w:rPr>
            </w:pPr>
            <w:r w:rsidRPr="00A3130C">
              <w:rPr>
                <w:rFonts w:eastAsia="Times"/>
                <w:sz w:val="20"/>
              </w:rPr>
              <w:t>Springvale Learning and Activities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81A6907" w14:textId="77777777" w:rsidR="00F962BE" w:rsidRPr="00A3130C" w:rsidRDefault="00F962BE">
            <w:pPr>
              <w:pStyle w:val="ARTabletext"/>
              <w:jc w:val="right"/>
              <w:rPr>
                <w:rFonts w:eastAsia="Times"/>
                <w:sz w:val="20"/>
              </w:rPr>
            </w:pPr>
            <w:r w:rsidRPr="00A3130C">
              <w:rPr>
                <w:rFonts w:eastAsia="Times"/>
                <w:sz w:val="20"/>
              </w:rPr>
              <w:t>11,250</w:t>
            </w:r>
          </w:p>
        </w:tc>
      </w:tr>
      <w:tr w:rsidR="00F962BE" w:rsidRPr="00A3130C" w14:paraId="7B3BB2A6"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40AD75DF" w14:textId="77777777" w:rsidR="00F962BE" w:rsidRPr="00067149" w:rsidRDefault="00F962BE">
            <w:pPr>
              <w:pStyle w:val="ARTabletext"/>
              <w:rPr>
                <w:rFonts w:eastAsia="Times"/>
                <w:sz w:val="20"/>
                <w:lang w:val="da-DK"/>
              </w:rPr>
            </w:pPr>
            <w:r w:rsidRPr="00067149">
              <w:rPr>
                <w:rFonts w:eastAsia="Times"/>
                <w:sz w:val="20"/>
                <w:lang w:val="da-DK"/>
              </w:rPr>
              <w:t>Sri Guru Nanak Satsang Sabha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98FC314" w14:textId="77777777" w:rsidR="00F962BE" w:rsidRPr="00A3130C" w:rsidRDefault="00F962BE">
            <w:pPr>
              <w:pStyle w:val="ARTabletext"/>
              <w:jc w:val="right"/>
              <w:rPr>
                <w:rFonts w:eastAsia="Times"/>
                <w:sz w:val="20"/>
              </w:rPr>
            </w:pPr>
            <w:r w:rsidRPr="00A3130C">
              <w:rPr>
                <w:rFonts w:eastAsia="Times"/>
                <w:sz w:val="20"/>
              </w:rPr>
              <w:t>45,000</w:t>
            </w:r>
          </w:p>
        </w:tc>
      </w:tr>
      <w:tr w:rsidR="00F962BE" w:rsidRPr="00A3130C" w14:paraId="3A506B06"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3C418915" w14:textId="77777777" w:rsidR="00F962BE" w:rsidRPr="00A3130C" w:rsidRDefault="00F962BE">
            <w:pPr>
              <w:pStyle w:val="ARTabletext"/>
              <w:rPr>
                <w:rFonts w:eastAsia="Times"/>
                <w:sz w:val="20"/>
              </w:rPr>
            </w:pPr>
            <w:r w:rsidRPr="00A3130C">
              <w:rPr>
                <w:rFonts w:eastAsia="Times"/>
                <w:sz w:val="20"/>
              </w:rPr>
              <w:t>St Arnaud Neighbourhood House</w:t>
            </w:r>
            <w:r>
              <w:rPr>
                <w:rFonts w:eastAsia="Times"/>
                <w:sz w:val="20"/>
              </w:rPr>
              <w:t> </w:t>
            </w:r>
            <w:r w:rsidRPr="00A3130C">
              <w:rPr>
                <w:rFonts w:eastAsia="Times"/>
                <w:sz w:val="20"/>
              </w:rPr>
              <w:t>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3934D15B" w14:textId="77777777" w:rsidR="00F962BE" w:rsidRPr="00A3130C" w:rsidRDefault="00F962BE">
            <w:pPr>
              <w:pStyle w:val="ARTabletext"/>
              <w:jc w:val="right"/>
              <w:rPr>
                <w:rFonts w:eastAsia="Times"/>
                <w:sz w:val="20"/>
              </w:rPr>
            </w:pPr>
            <w:r w:rsidRPr="00A3130C">
              <w:rPr>
                <w:rFonts w:eastAsia="Times"/>
                <w:sz w:val="20"/>
              </w:rPr>
              <w:t>10,025</w:t>
            </w:r>
          </w:p>
        </w:tc>
      </w:tr>
      <w:tr w:rsidR="00F962BE" w:rsidRPr="00A3130C" w14:paraId="0E85B023"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3A268C4A" w14:textId="77777777" w:rsidR="00F962BE" w:rsidRPr="00A3130C" w:rsidRDefault="00F962BE">
            <w:pPr>
              <w:pStyle w:val="ARTabletext"/>
              <w:rPr>
                <w:rFonts w:eastAsia="Times"/>
                <w:sz w:val="20"/>
              </w:rPr>
            </w:pPr>
            <w:r w:rsidRPr="00A3130C">
              <w:rPr>
                <w:rFonts w:eastAsia="Times"/>
                <w:sz w:val="20"/>
              </w:rPr>
              <w:t>St Kilda Police &amp; Citizens Youth</w:t>
            </w:r>
            <w:r>
              <w:rPr>
                <w:rFonts w:eastAsia="Times"/>
                <w:sz w:val="20"/>
              </w:rPr>
              <w:t> </w:t>
            </w:r>
            <w:r w:rsidRPr="00A3130C">
              <w:rPr>
                <w:rFonts w:eastAsia="Times"/>
                <w:sz w:val="20"/>
              </w:rPr>
              <w:t>Club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3E0B4D1" w14:textId="77777777" w:rsidR="00F962BE" w:rsidRPr="00A3130C" w:rsidRDefault="00F962BE">
            <w:pPr>
              <w:pStyle w:val="ARTabletext"/>
              <w:jc w:val="right"/>
              <w:rPr>
                <w:rFonts w:eastAsia="Times"/>
                <w:sz w:val="20"/>
              </w:rPr>
            </w:pPr>
            <w:r w:rsidRPr="00A3130C">
              <w:rPr>
                <w:rFonts w:eastAsia="Times"/>
                <w:sz w:val="20"/>
              </w:rPr>
              <w:t>61,500</w:t>
            </w:r>
          </w:p>
        </w:tc>
      </w:tr>
      <w:tr w:rsidR="00F962BE" w:rsidRPr="00A3130C" w14:paraId="24B3EBEA"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39C2EC15" w14:textId="77777777" w:rsidR="00F962BE" w:rsidRPr="00A3130C" w:rsidRDefault="00F962BE">
            <w:pPr>
              <w:pStyle w:val="ARTabletext"/>
              <w:rPr>
                <w:rFonts w:eastAsia="Times"/>
                <w:sz w:val="20"/>
              </w:rPr>
            </w:pPr>
            <w:r w:rsidRPr="00A3130C">
              <w:rPr>
                <w:rFonts w:eastAsia="Times"/>
                <w:sz w:val="20"/>
              </w:rPr>
              <w:t>St Mary's House of Welcome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5E7B268" w14:textId="77777777" w:rsidR="00F962BE" w:rsidRPr="00A3130C" w:rsidRDefault="00F962BE">
            <w:pPr>
              <w:pStyle w:val="ARTabletext"/>
              <w:jc w:val="right"/>
              <w:rPr>
                <w:rFonts w:eastAsia="Times"/>
                <w:sz w:val="20"/>
              </w:rPr>
            </w:pPr>
            <w:r w:rsidRPr="00A3130C">
              <w:rPr>
                <w:rFonts w:eastAsia="Times"/>
                <w:sz w:val="20"/>
              </w:rPr>
              <w:t>63,750</w:t>
            </w:r>
          </w:p>
        </w:tc>
      </w:tr>
      <w:tr w:rsidR="00F962BE" w:rsidRPr="00A3130C" w14:paraId="77EBD804"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256E4953" w14:textId="77777777" w:rsidR="00F962BE" w:rsidRPr="00A3130C" w:rsidRDefault="00F962BE">
            <w:pPr>
              <w:pStyle w:val="ARTabletext"/>
              <w:rPr>
                <w:rFonts w:eastAsia="Times"/>
                <w:sz w:val="20"/>
              </w:rPr>
            </w:pPr>
            <w:r w:rsidRPr="00A3130C">
              <w:rPr>
                <w:rFonts w:eastAsia="Times"/>
                <w:sz w:val="20"/>
              </w:rPr>
              <w:t>Sunbury Aboriginal Corporation</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2FFBC6A" w14:textId="77777777" w:rsidR="00F962BE" w:rsidRPr="00A3130C" w:rsidRDefault="00F962BE">
            <w:pPr>
              <w:pStyle w:val="ARTabletext"/>
              <w:jc w:val="right"/>
              <w:rPr>
                <w:rFonts w:eastAsia="Times"/>
                <w:sz w:val="20"/>
              </w:rPr>
            </w:pPr>
            <w:r w:rsidRPr="00A3130C">
              <w:rPr>
                <w:rFonts w:eastAsia="Times"/>
                <w:sz w:val="20"/>
              </w:rPr>
              <w:t>12,500</w:t>
            </w:r>
          </w:p>
        </w:tc>
      </w:tr>
      <w:tr w:rsidR="00F962BE" w:rsidRPr="00A3130C" w14:paraId="5266BA6D"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DCB036C" w14:textId="77777777" w:rsidR="00F962BE" w:rsidRPr="00A3130C" w:rsidRDefault="00F962BE">
            <w:pPr>
              <w:pStyle w:val="ARTabletext"/>
              <w:rPr>
                <w:rFonts w:eastAsia="Times"/>
                <w:sz w:val="20"/>
              </w:rPr>
            </w:pPr>
            <w:r w:rsidRPr="00A3130C">
              <w:rPr>
                <w:rFonts w:eastAsia="Times"/>
                <w:sz w:val="20"/>
              </w:rPr>
              <w:t>Sunraysia Mallee Ethnic Communities Council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04F0459" w14:textId="77777777" w:rsidR="00F962BE" w:rsidRPr="00A3130C" w:rsidRDefault="00F962BE">
            <w:pPr>
              <w:pStyle w:val="ARTabletext"/>
              <w:jc w:val="right"/>
              <w:rPr>
                <w:rFonts w:eastAsia="Times"/>
                <w:sz w:val="20"/>
              </w:rPr>
            </w:pPr>
            <w:r w:rsidRPr="00A3130C">
              <w:rPr>
                <w:rFonts w:eastAsia="Times"/>
                <w:sz w:val="20"/>
              </w:rPr>
              <w:t>8,125</w:t>
            </w:r>
          </w:p>
        </w:tc>
      </w:tr>
      <w:tr w:rsidR="00F962BE" w:rsidRPr="00A3130C" w14:paraId="563DDCAE"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4A0AB73F" w14:textId="77777777" w:rsidR="00F962BE" w:rsidRPr="00A3130C" w:rsidRDefault="00F962BE">
            <w:pPr>
              <w:pStyle w:val="ARTabletext"/>
              <w:rPr>
                <w:rFonts w:eastAsia="Times"/>
                <w:sz w:val="20"/>
              </w:rPr>
            </w:pPr>
            <w:r w:rsidRPr="00A3130C">
              <w:rPr>
                <w:rFonts w:eastAsia="Times"/>
                <w:sz w:val="20"/>
              </w:rPr>
              <w:t>Sustain: The Australian Food Network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824C8F3" w14:textId="77777777" w:rsidR="00F962BE" w:rsidRPr="00A3130C" w:rsidRDefault="00F962BE">
            <w:pPr>
              <w:pStyle w:val="ARTabletext"/>
              <w:jc w:val="right"/>
              <w:rPr>
                <w:rFonts w:eastAsia="Times"/>
                <w:sz w:val="20"/>
              </w:rPr>
            </w:pPr>
            <w:r w:rsidRPr="00A3130C">
              <w:rPr>
                <w:rFonts w:eastAsia="Times"/>
                <w:sz w:val="20"/>
              </w:rPr>
              <w:t>14,375</w:t>
            </w:r>
          </w:p>
        </w:tc>
      </w:tr>
      <w:tr w:rsidR="00F962BE" w:rsidRPr="00A3130C" w14:paraId="432BBE6B"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1E47E737" w14:textId="77777777" w:rsidR="00F962BE" w:rsidRPr="00A3130C" w:rsidRDefault="00F962BE">
            <w:pPr>
              <w:pStyle w:val="ARTabletext"/>
              <w:rPr>
                <w:rFonts w:eastAsia="Times"/>
                <w:sz w:val="20"/>
              </w:rPr>
            </w:pPr>
            <w:r w:rsidRPr="00A3130C">
              <w:rPr>
                <w:rFonts w:eastAsia="Times"/>
                <w:sz w:val="20"/>
              </w:rPr>
              <w:t>Sustainable King Valley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77DE0F4" w14:textId="77777777" w:rsidR="00F962BE" w:rsidRPr="00A3130C" w:rsidRDefault="00F962BE">
            <w:pPr>
              <w:pStyle w:val="ARTabletext"/>
              <w:jc w:val="right"/>
              <w:rPr>
                <w:rFonts w:eastAsia="Times"/>
                <w:sz w:val="20"/>
              </w:rPr>
            </w:pPr>
            <w:r w:rsidRPr="00A3130C">
              <w:rPr>
                <w:rFonts w:eastAsia="Times"/>
                <w:sz w:val="20"/>
              </w:rPr>
              <w:t>14,939</w:t>
            </w:r>
          </w:p>
        </w:tc>
      </w:tr>
      <w:tr w:rsidR="00F962BE" w:rsidRPr="00A3130C" w14:paraId="709AD75B"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0034D72E" w14:textId="77777777" w:rsidR="00F962BE" w:rsidRPr="00A3130C" w:rsidRDefault="00F962BE">
            <w:pPr>
              <w:pStyle w:val="ARTabletext"/>
              <w:rPr>
                <w:rFonts w:eastAsia="Times"/>
                <w:sz w:val="20"/>
              </w:rPr>
            </w:pPr>
            <w:r w:rsidRPr="00A3130C">
              <w:rPr>
                <w:rFonts w:eastAsia="Times"/>
                <w:sz w:val="20"/>
              </w:rPr>
              <w:t>Swan Hill Neighbourhood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62FBE0E" w14:textId="77777777" w:rsidR="00F962BE" w:rsidRPr="00A3130C" w:rsidRDefault="00F962BE">
            <w:pPr>
              <w:pStyle w:val="ARTabletext"/>
              <w:jc w:val="right"/>
              <w:rPr>
                <w:rFonts w:eastAsia="Times"/>
                <w:sz w:val="20"/>
              </w:rPr>
            </w:pPr>
            <w:r w:rsidRPr="00A3130C">
              <w:rPr>
                <w:rFonts w:eastAsia="Times"/>
                <w:sz w:val="20"/>
              </w:rPr>
              <w:t>67,500</w:t>
            </w:r>
          </w:p>
        </w:tc>
      </w:tr>
      <w:tr w:rsidR="00F962BE" w:rsidRPr="00A3130C" w14:paraId="3D9E3E6F"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7F44B613" w14:textId="77777777" w:rsidR="00F962BE" w:rsidRPr="00A3130C" w:rsidRDefault="00F962BE">
            <w:pPr>
              <w:pStyle w:val="ARTabletext"/>
              <w:rPr>
                <w:rFonts w:eastAsia="Times"/>
                <w:sz w:val="20"/>
              </w:rPr>
            </w:pPr>
            <w:r w:rsidRPr="00A3130C">
              <w:rPr>
                <w:rFonts w:eastAsia="Times"/>
                <w:sz w:val="20"/>
              </w:rPr>
              <w:t>The Earth Village Community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A0A063E" w14:textId="77777777" w:rsidR="00F962BE" w:rsidRPr="00A3130C" w:rsidRDefault="00F962BE">
            <w:pPr>
              <w:pStyle w:val="ARTabletext"/>
              <w:jc w:val="right"/>
              <w:rPr>
                <w:rFonts w:eastAsia="Times"/>
                <w:sz w:val="20"/>
              </w:rPr>
            </w:pPr>
            <w:r w:rsidRPr="00A3130C">
              <w:rPr>
                <w:rFonts w:eastAsia="Times"/>
                <w:sz w:val="20"/>
              </w:rPr>
              <w:t>69,038</w:t>
            </w:r>
          </w:p>
        </w:tc>
      </w:tr>
      <w:tr w:rsidR="00F962BE" w:rsidRPr="00A3130C" w14:paraId="0BF9298F"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7ACDEDDB" w14:textId="77777777" w:rsidR="00F962BE" w:rsidRPr="00A3130C" w:rsidRDefault="00F962BE">
            <w:pPr>
              <w:pStyle w:val="ARTabletext"/>
              <w:rPr>
                <w:rFonts w:eastAsia="Times"/>
                <w:sz w:val="20"/>
              </w:rPr>
            </w:pPr>
            <w:r w:rsidRPr="00A3130C">
              <w:rPr>
                <w:rFonts w:eastAsia="Times"/>
                <w:sz w:val="20"/>
              </w:rPr>
              <w:t>The Outpost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92AD9FA" w14:textId="77777777" w:rsidR="00F962BE" w:rsidRPr="00A3130C" w:rsidRDefault="00F962BE">
            <w:pPr>
              <w:pStyle w:val="ARTabletext"/>
              <w:jc w:val="right"/>
              <w:rPr>
                <w:rFonts w:eastAsia="Times"/>
                <w:sz w:val="20"/>
              </w:rPr>
            </w:pPr>
            <w:r w:rsidRPr="00A3130C">
              <w:rPr>
                <w:rFonts w:eastAsia="Times"/>
                <w:sz w:val="20"/>
              </w:rPr>
              <w:t>19,500</w:t>
            </w:r>
          </w:p>
        </w:tc>
      </w:tr>
      <w:tr w:rsidR="00F962BE" w:rsidRPr="00A3130C" w14:paraId="59424A85"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70BC0F57" w14:textId="77777777" w:rsidR="00F962BE" w:rsidRPr="00A3130C" w:rsidRDefault="00F962BE">
            <w:pPr>
              <w:pStyle w:val="ARTabletext"/>
              <w:rPr>
                <w:rFonts w:eastAsia="Times"/>
                <w:sz w:val="20"/>
              </w:rPr>
            </w:pPr>
            <w:r w:rsidRPr="00A3130C">
              <w:rPr>
                <w:rFonts w:eastAsia="Times"/>
                <w:sz w:val="20"/>
              </w:rPr>
              <w:t>The Veggie Empire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9A565E0" w14:textId="77777777" w:rsidR="00F962BE" w:rsidRPr="00A3130C" w:rsidRDefault="00F962BE">
            <w:pPr>
              <w:pStyle w:val="ARTabletext"/>
              <w:jc w:val="right"/>
              <w:rPr>
                <w:rFonts w:eastAsia="Times"/>
                <w:sz w:val="20"/>
              </w:rPr>
            </w:pPr>
            <w:r w:rsidRPr="00A3130C">
              <w:rPr>
                <w:rFonts w:eastAsia="Times"/>
                <w:sz w:val="20"/>
              </w:rPr>
              <w:t>17,625</w:t>
            </w:r>
          </w:p>
        </w:tc>
      </w:tr>
      <w:tr w:rsidR="00F962BE" w:rsidRPr="00A3130C" w14:paraId="7457C7DF"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F31ABCD" w14:textId="77777777" w:rsidR="00F962BE" w:rsidRPr="00A3130C" w:rsidRDefault="00F962BE">
            <w:pPr>
              <w:pStyle w:val="ARTabletext"/>
              <w:rPr>
                <w:rFonts w:eastAsia="Times"/>
                <w:sz w:val="20"/>
              </w:rPr>
            </w:pPr>
            <w:r w:rsidRPr="00A3130C">
              <w:rPr>
                <w:rFonts w:eastAsia="Times"/>
                <w:sz w:val="20"/>
              </w:rPr>
              <w:t>The Venny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F98CF5C" w14:textId="77777777" w:rsidR="00F962BE" w:rsidRPr="00A3130C" w:rsidRDefault="00F962BE">
            <w:pPr>
              <w:pStyle w:val="ARTabletext"/>
              <w:jc w:val="right"/>
              <w:rPr>
                <w:rFonts w:eastAsia="Times"/>
                <w:sz w:val="20"/>
              </w:rPr>
            </w:pPr>
            <w:r w:rsidRPr="00A3130C">
              <w:rPr>
                <w:rFonts w:eastAsia="Times"/>
                <w:sz w:val="20"/>
              </w:rPr>
              <w:t>20,000</w:t>
            </w:r>
          </w:p>
        </w:tc>
      </w:tr>
      <w:tr w:rsidR="00F962BE" w:rsidRPr="00A3130C" w14:paraId="7F4B5BB7"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669BB2D7" w14:textId="77777777" w:rsidR="00F962BE" w:rsidRPr="00A3130C" w:rsidRDefault="00F962BE">
            <w:pPr>
              <w:pStyle w:val="ARTabletext"/>
              <w:rPr>
                <w:rFonts w:eastAsia="Times"/>
                <w:sz w:val="20"/>
              </w:rPr>
            </w:pPr>
            <w:r w:rsidRPr="00A3130C">
              <w:rPr>
                <w:rFonts w:eastAsia="Times"/>
                <w:sz w:val="20"/>
              </w:rPr>
              <w:t>Thorne Harbour Health Ltd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E28D39E" w14:textId="77777777" w:rsidR="00F962BE" w:rsidRPr="00A3130C" w:rsidRDefault="00F962BE">
            <w:pPr>
              <w:pStyle w:val="ARTabletext"/>
              <w:jc w:val="right"/>
              <w:rPr>
                <w:rFonts w:eastAsia="Times"/>
                <w:sz w:val="20"/>
              </w:rPr>
            </w:pPr>
            <w:r w:rsidRPr="00A3130C">
              <w:rPr>
                <w:rFonts w:eastAsia="Times"/>
                <w:sz w:val="20"/>
              </w:rPr>
              <w:t>17,500</w:t>
            </w:r>
          </w:p>
        </w:tc>
      </w:tr>
      <w:tr w:rsidR="00F962BE" w:rsidRPr="00A3130C" w14:paraId="358DA986"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090A7D7C" w14:textId="77777777" w:rsidR="00F962BE" w:rsidRPr="00A3130C" w:rsidRDefault="00F962BE">
            <w:pPr>
              <w:pStyle w:val="ARTabletext"/>
              <w:rPr>
                <w:rFonts w:eastAsia="Times"/>
                <w:sz w:val="20"/>
              </w:rPr>
            </w:pPr>
            <w:r w:rsidRPr="00A3130C">
              <w:rPr>
                <w:rFonts w:eastAsia="Times"/>
                <w:sz w:val="20"/>
              </w:rPr>
              <w:t>Torquay Community Men's Shed</w:t>
            </w:r>
            <w:r>
              <w:rPr>
                <w:rFonts w:eastAsia="Times"/>
                <w:sz w:val="20"/>
              </w:rPr>
              <w:t> </w:t>
            </w:r>
            <w:r w:rsidRPr="00A3130C">
              <w:rPr>
                <w:rFonts w:eastAsia="Times"/>
                <w:sz w:val="20"/>
              </w:rPr>
              <w:t>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27CB737" w14:textId="77777777" w:rsidR="00F962BE" w:rsidRPr="00A3130C" w:rsidRDefault="00F962BE">
            <w:pPr>
              <w:pStyle w:val="ARTabletext"/>
              <w:jc w:val="right"/>
              <w:rPr>
                <w:rFonts w:eastAsia="Times"/>
                <w:sz w:val="20"/>
              </w:rPr>
            </w:pPr>
            <w:r w:rsidRPr="00A3130C">
              <w:rPr>
                <w:rFonts w:eastAsia="Times"/>
                <w:sz w:val="20"/>
              </w:rPr>
              <w:t>15,000</w:t>
            </w:r>
          </w:p>
        </w:tc>
      </w:tr>
      <w:tr w:rsidR="00F962BE" w:rsidRPr="00A3130C" w14:paraId="1B9AEAEC"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16AD4CEE" w14:textId="77777777" w:rsidR="00F962BE" w:rsidRPr="00A3130C" w:rsidRDefault="00F962BE">
            <w:pPr>
              <w:pStyle w:val="ARTabletext"/>
              <w:rPr>
                <w:rFonts w:eastAsia="Times"/>
                <w:sz w:val="20"/>
              </w:rPr>
            </w:pPr>
            <w:r w:rsidRPr="00A3130C">
              <w:rPr>
                <w:rFonts w:eastAsia="Times"/>
                <w:sz w:val="20"/>
              </w:rPr>
              <w:t>Transit Soup Kitchen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16CF25F" w14:textId="77777777" w:rsidR="00F962BE" w:rsidRPr="00A3130C" w:rsidRDefault="00F962BE">
            <w:pPr>
              <w:pStyle w:val="ARTabletext"/>
              <w:jc w:val="right"/>
              <w:rPr>
                <w:rFonts w:eastAsia="Times"/>
                <w:sz w:val="20"/>
              </w:rPr>
            </w:pPr>
            <w:r w:rsidRPr="00A3130C">
              <w:rPr>
                <w:rFonts w:eastAsia="Times"/>
                <w:sz w:val="20"/>
              </w:rPr>
              <w:t>50,000</w:t>
            </w:r>
          </w:p>
        </w:tc>
      </w:tr>
      <w:tr w:rsidR="00F962BE" w:rsidRPr="00A3130C" w14:paraId="4B66F35E"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2133335B" w14:textId="77777777" w:rsidR="00F962BE" w:rsidRPr="00A3130C" w:rsidRDefault="00F962BE">
            <w:pPr>
              <w:pStyle w:val="ARTabletext"/>
              <w:rPr>
                <w:rFonts w:eastAsia="Times"/>
                <w:sz w:val="20"/>
              </w:rPr>
            </w:pPr>
            <w:r w:rsidRPr="00A3130C">
              <w:rPr>
                <w:rFonts w:eastAsia="Times"/>
                <w:sz w:val="20"/>
              </w:rPr>
              <w:t>Transition Town Kensington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445F8CF" w14:textId="77777777" w:rsidR="00F962BE" w:rsidRPr="00A3130C" w:rsidRDefault="00F962BE">
            <w:pPr>
              <w:pStyle w:val="ARTabletext"/>
              <w:jc w:val="right"/>
              <w:rPr>
                <w:rFonts w:eastAsia="Times"/>
                <w:sz w:val="20"/>
              </w:rPr>
            </w:pPr>
            <w:r w:rsidRPr="00A3130C">
              <w:rPr>
                <w:rFonts w:eastAsia="Times"/>
                <w:sz w:val="20"/>
              </w:rPr>
              <w:t>60,000</w:t>
            </w:r>
          </w:p>
        </w:tc>
      </w:tr>
      <w:tr w:rsidR="00F962BE" w:rsidRPr="00A3130C" w14:paraId="33D284DC"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479332A4" w14:textId="77777777" w:rsidR="00F962BE" w:rsidRPr="00A3130C" w:rsidRDefault="00F962BE">
            <w:pPr>
              <w:pStyle w:val="ARTabletext"/>
              <w:rPr>
                <w:rFonts w:eastAsia="Times"/>
                <w:sz w:val="20"/>
              </w:rPr>
            </w:pPr>
            <w:r w:rsidRPr="00A3130C">
              <w:rPr>
                <w:rFonts w:eastAsia="Times"/>
                <w:sz w:val="20"/>
              </w:rPr>
              <w:t>Venus Bay Community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50AA114" w14:textId="77777777" w:rsidR="00F962BE" w:rsidRPr="00A3130C" w:rsidRDefault="00F962BE">
            <w:pPr>
              <w:pStyle w:val="ARTabletext"/>
              <w:jc w:val="right"/>
              <w:rPr>
                <w:rFonts w:eastAsia="Times"/>
                <w:sz w:val="20"/>
              </w:rPr>
            </w:pPr>
            <w:r w:rsidRPr="00A3130C">
              <w:rPr>
                <w:rFonts w:eastAsia="Times"/>
                <w:sz w:val="20"/>
              </w:rPr>
              <w:t>15,000</w:t>
            </w:r>
          </w:p>
        </w:tc>
      </w:tr>
      <w:tr w:rsidR="00F962BE" w:rsidRPr="00A3130C" w14:paraId="6118EA8B"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2E3FCADC" w14:textId="77777777" w:rsidR="00F962BE" w:rsidRPr="00A3130C" w:rsidRDefault="00F962BE">
            <w:pPr>
              <w:pStyle w:val="ARTabletext"/>
              <w:rPr>
                <w:rFonts w:eastAsia="Times"/>
                <w:sz w:val="20"/>
              </w:rPr>
            </w:pPr>
            <w:r w:rsidRPr="00A3130C">
              <w:rPr>
                <w:rFonts w:eastAsia="Times"/>
                <w:sz w:val="20"/>
              </w:rPr>
              <w:t>Victorian Aboriginal Community Controlled Health Organisation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05612B7" w14:textId="77777777" w:rsidR="00F962BE" w:rsidRPr="00A3130C" w:rsidRDefault="00F962BE">
            <w:pPr>
              <w:pStyle w:val="ARTabletext"/>
              <w:jc w:val="right"/>
              <w:rPr>
                <w:rFonts w:eastAsia="Times"/>
                <w:sz w:val="20"/>
              </w:rPr>
            </w:pPr>
            <w:r w:rsidRPr="00A3130C">
              <w:rPr>
                <w:rFonts w:eastAsia="Times"/>
                <w:sz w:val="20"/>
              </w:rPr>
              <w:t>190,000</w:t>
            </w:r>
          </w:p>
        </w:tc>
      </w:tr>
      <w:tr w:rsidR="00F962BE" w:rsidRPr="00A3130C" w14:paraId="2C55042C"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13EABE33" w14:textId="77777777" w:rsidR="00F962BE" w:rsidRPr="00A3130C" w:rsidRDefault="00F962BE">
            <w:pPr>
              <w:pStyle w:val="ARTabletext"/>
              <w:rPr>
                <w:rFonts w:eastAsia="Times"/>
                <w:sz w:val="20"/>
              </w:rPr>
            </w:pPr>
            <w:r w:rsidRPr="00A3130C">
              <w:rPr>
                <w:rFonts w:eastAsia="Times"/>
                <w:sz w:val="20"/>
              </w:rPr>
              <w:t xml:space="preserve">Victorian Sikh </w:t>
            </w:r>
            <w:proofErr w:type="spellStart"/>
            <w:r w:rsidRPr="00A3130C">
              <w:rPr>
                <w:rFonts w:eastAsia="Times"/>
                <w:sz w:val="20"/>
              </w:rPr>
              <w:t>Gurduaras</w:t>
            </w:r>
            <w:proofErr w:type="spellEnd"/>
            <w:r w:rsidRPr="00A3130C">
              <w:rPr>
                <w:rFonts w:eastAsia="Times"/>
                <w:sz w:val="20"/>
              </w:rPr>
              <w:t xml:space="preserve"> Council</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F8F6CFD" w14:textId="77777777" w:rsidR="00F962BE" w:rsidRPr="00A3130C" w:rsidRDefault="00F962BE">
            <w:pPr>
              <w:pStyle w:val="ARTabletext"/>
              <w:jc w:val="right"/>
              <w:rPr>
                <w:rFonts w:eastAsia="Times"/>
                <w:sz w:val="20"/>
              </w:rPr>
            </w:pPr>
            <w:r w:rsidRPr="00A3130C">
              <w:rPr>
                <w:rFonts w:eastAsia="Times"/>
                <w:sz w:val="20"/>
              </w:rPr>
              <w:t>25,000</w:t>
            </w:r>
          </w:p>
        </w:tc>
      </w:tr>
      <w:tr w:rsidR="00F962BE" w:rsidRPr="00A3130C" w14:paraId="297AB651"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48DD2CA" w14:textId="77777777" w:rsidR="00F962BE" w:rsidRPr="00A3130C" w:rsidRDefault="00F962BE">
            <w:pPr>
              <w:pStyle w:val="ARTabletext"/>
              <w:rPr>
                <w:rFonts w:eastAsia="Times"/>
                <w:sz w:val="20"/>
              </w:rPr>
            </w:pPr>
            <w:r w:rsidRPr="00A3130C">
              <w:rPr>
                <w:rFonts w:eastAsia="Times"/>
                <w:sz w:val="20"/>
              </w:rPr>
              <w:t>Village Well Community Centre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FDC822C" w14:textId="77777777" w:rsidR="00F962BE" w:rsidRPr="00A3130C" w:rsidRDefault="00F962BE">
            <w:pPr>
              <w:pStyle w:val="ARTabletext"/>
              <w:jc w:val="right"/>
              <w:rPr>
                <w:rFonts w:eastAsia="Times"/>
                <w:sz w:val="20"/>
              </w:rPr>
            </w:pPr>
            <w:r w:rsidRPr="00A3130C">
              <w:rPr>
                <w:rFonts w:eastAsia="Times"/>
                <w:sz w:val="20"/>
              </w:rPr>
              <w:t>32,625</w:t>
            </w:r>
          </w:p>
        </w:tc>
      </w:tr>
      <w:tr w:rsidR="00F962BE" w:rsidRPr="00A3130C" w14:paraId="4C744B1C"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63B0FD37" w14:textId="77777777" w:rsidR="00F962BE" w:rsidRPr="00A3130C" w:rsidRDefault="00F962BE">
            <w:pPr>
              <w:pStyle w:val="ARTabletext"/>
              <w:rPr>
                <w:rFonts w:eastAsia="Times"/>
                <w:sz w:val="20"/>
              </w:rPr>
            </w:pPr>
            <w:r w:rsidRPr="00A3130C">
              <w:rPr>
                <w:rFonts w:eastAsia="Times"/>
                <w:sz w:val="20"/>
              </w:rPr>
              <w:t>Waminda Inc – t/a Waminda Community House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7EF253D" w14:textId="77777777" w:rsidR="00F962BE" w:rsidRPr="00A3130C" w:rsidRDefault="00F962BE">
            <w:pPr>
              <w:pStyle w:val="ARTabletext"/>
              <w:jc w:val="right"/>
              <w:rPr>
                <w:rFonts w:eastAsia="Times"/>
                <w:sz w:val="20"/>
              </w:rPr>
            </w:pPr>
            <w:r w:rsidRPr="00A3130C">
              <w:rPr>
                <w:rFonts w:eastAsia="Times"/>
                <w:sz w:val="20"/>
              </w:rPr>
              <w:t>43,833</w:t>
            </w:r>
          </w:p>
        </w:tc>
      </w:tr>
      <w:tr w:rsidR="00F962BE" w:rsidRPr="00A3130C" w14:paraId="1C61557A"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2472429F" w14:textId="77777777" w:rsidR="00F962BE" w:rsidRPr="00A3130C" w:rsidRDefault="00F962BE">
            <w:pPr>
              <w:pStyle w:val="ARTabletext"/>
              <w:rPr>
                <w:rFonts w:eastAsia="Times"/>
                <w:sz w:val="20"/>
              </w:rPr>
            </w:pPr>
            <w:r w:rsidRPr="00A3130C">
              <w:rPr>
                <w:rFonts w:eastAsia="Times"/>
                <w:sz w:val="20"/>
              </w:rPr>
              <w:t>Warracknabeal Neighbourhood House &amp; Learning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E72923F" w14:textId="77777777" w:rsidR="00F962BE" w:rsidRPr="00A3130C" w:rsidRDefault="00F962BE">
            <w:pPr>
              <w:pStyle w:val="ARTabletext"/>
              <w:jc w:val="right"/>
              <w:rPr>
                <w:rFonts w:eastAsia="Times"/>
                <w:sz w:val="20"/>
              </w:rPr>
            </w:pPr>
            <w:r w:rsidRPr="00A3130C">
              <w:rPr>
                <w:rFonts w:eastAsia="Times"/>
                <w:sz w:val="20"/>
              </w:rPr>
              <w:t>21,075</w:t>
            </w:r>
          </w:p>
        </w:tc>
      </w:tr>
      <w:tr w:rsidR="00F962BE" w:rsidRPr="00A3130C" w14:paraId="1C8E5543"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5D18F3F3" w14:textId="77777777" w:rsidR="00F962BE" w:rsidRPr="00A3130C" w:rsidRDefault="00F962BE">
            <w:pPr>
              <w:pStyle w:val="ARTabletext"/>
              <w:rPr>
                <w:rFonts w:eastAsia="Times"/>
                <w:sz w:val="20"/>
              </w:rPr>
            </w:pPr>
            <w:r w:rsidRPr="00A3130C">
              <w:rPr>
                <w:rFonts w:eastAsia="Times"/>
                <w:sz w:val="20"/>
              </w:rPr>
              <w:t>Warrnambool &amp; District Food Share</w:t>
            </w:r>
            <w:r>
              <w:rPr>
                <w:rFonts w:eastAsia="Times"/>
                <w:sz w:val="20"/>
              </w:rPr>
              <w:t> </w:t>
            </w:r>
            <w:r w:rsidRPr="00A3130C">
              <w:rPr>
                <w:rFonts w:eastAsia="Times"/>
                <w:sz w:val="20"/>
              </w:rPr>
              <w:t>Inc – t/a Western District Food</w:t>
            </w:r>
            <w:r>
              <w:rPr>
                <w:rFonts w:eastAsia="Times"/>
                <w:sz w:val="20"/>
              </w:rPr>
              <w:t> </w:t>
            </w:r>
            <w:r w:rsidRPr="00A3130C">
              <w:rPr>
                <w:rFonts w:eastAsia="Times"/>
                <w:sz w:val="20"/>
              </w:rPr>
              <w:t>Share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15387D2" w14:textId="77777777" w:rsidR="00F962BE" w:rsidRPr="00A3130C" w:rsidRDefault="00F962BE">
            <w:pPr>
              <w:pStyle w:val="ARTabletext"/>
              <w:jc w:val="right"/>
              <w:rPr>
                <w:rFonts w:eastAsia="Times"/>
                <w:sz w:val="20"/>
              </w:rPr>
            </w:pPr>
            <w:r w:rsidRPr="00A3130C">
              <w:rPr>
                <w:rFonts w:eastAsia="Times"/>
                <w:sz w:val="20"/>
              </w:rPr>
              <w:t>82,500</w:t>
            </w:r>
          </w:p>
        </w:tc>
      </w:tr>
      <w:tr w:rsidR="00F962BE" w:rsidRPr="00A3130C" w14:paraId="119CEFF5"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1B69BA3E" w14:textId="77777777" w:rsidR="00F962BE" w:rsidRPr="00A3130C" w:rsidRDefault="00F962BE">
            <w:pPr>
              <w:pStyle w:val="ARTabletext"/>
              <w:rPr>
                <w:rFonts w:eastAsia="Times"/>
                <w:sz w:val="20"/>
              </w:rPr>
            </w:pPr>
            <w:r w:rsidRPr="00A3130C">
              <w:rPr>
                <w:rFonts w:eastAsia="Times"/>
                <w:sz w:val="20"/>
              </w:rPr>
              <w:t>Warrnambool Neighbourhood &amp;</w:t>
            </w:r>
            <w:r>
              <w:rPr>
                <w:rFonts w:eastAsia="Times"/>
                <w:sz w:val="20"/>
              </w:rPr>
              <w:t> </w:t>
            </w:r>
            <w:r w:rsidRPr="00A3130C">
              <w:rPr>
                <w:rFonts w:eastAsia="Times"/>
                <w:sz w:val="20"/>
              </w:rPr>
              <w:t>Community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21A9A44" w14:textId="77777777" w:rsidR="00F962BE" w:rsidRPr="00A3130C" w:rsidRDefault="00F962BE">
            <w:pPr>
              <w:pStyle w:val="ARTabletext"/>
              <w:jc w:val="right"/>
              <w:rPr>
                <w:rFonts w:eastAsia="Times"/>
                <w:sz w:val="20"/>
              </w:rPr>
            </w:pPr>
            <w:r w:rsidRPr="00A3130C">
              <w:rPr>
                <w:rFonts w:eastAsia="Times"/>
                <w:sz w:val="20"/>
              </w:rPr>
              <w:t>7,065</w:t>
            </w:r>
          </w:p>
        </w:tc>
      </w:tr>
      <w:tr w:rsidR="00F962BE" w:rsidRPr="00A3130C" w14:paraId="54072040"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4CAE47E5" w14:textId="77777777" w:rsidR="00F962BE" w:rsidRPr="00A3130C" w:rsidRDefault="00F962BE">
            <w:pPr>
              <w:pStyle w:val="ARTabletext"/>
              <w:rPr>
                <w:rFonts w:eastAsia="Times"/>
                <w:sz w:val="20"/>
              </w:rPr>
            </w:pPr>
            <w:r w:rsidRPr="00A3130C">
              <w:rPr>
                <w:rFonts w:eastAsia="Times"/>
                <w:sz w:val="20"/>
              </w:rPr>
              <w:t xml:space="preserve">Wathaurong </w:t>
            </w:r>
            <w:proofErr w:type="spellStart"/>
            <w:r w:rsidRPr="00A3130C">
              <w:rPr>
                <w:rFonts w:eastAsia="Times"/>
                <w:sz w:val="20"/>
              </w:rPr>
              <w:t>Booln</w:t>
            </w:r>
            <w:proofErr w:type="spellEnd"/>
            <w:r w:rsidRPr="00A3130C">
              <w:rPr>
                <w:rFonts w:eastAsia="Times"/>
                <w:sz w:val="20"/>
              </w:rPr>
              <w:t xml:space="preserve"> </w:t>
            </w:r>
            <w:proofErr w:type="spellStart"/>
            <w:r w:rsidRPr="00A3130C">
              <w:rPr>
                <w:rFonts w:eastAsia="Times"/>
                <w:sz w:val="20"/>
              </w:rPr>
              <w:t>Booln</w:t>
            </w:r>
            <w:proofErr w:type="spellEnd"/>
            <w:r w:rsidRPr="00A3130C">
              <w:rPr>
                <w:rFonts w:eastAsia="Times"/>
                <w:sz w:val="20"/>
              </w:rPr>
              <w:t xml:space="preserve"> Cultural</w:t>
            </w:r>
            <w:r>
              <w:rPr>
                <w:rFonts w:eastAsia="Times"/>
                <w:sz w:val="20"/>
              </w:rPr>
              <w:t> </w:t>
            </w:r>
            <w:r w:rsidRPr="00A3130C">
              <w:rPr>
                <w:rFonts w:eastAsia="Times"/>
                <w:sz w:val="20"/>
              </w:rPr>
              <w:t>Centre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5508F761" w14:textId="77777777" w:rsidR="00F962BE" w:rsidRPr="00A3130C" w:rsidRDefault="00F962BE">
            <w:pPr>
              <w:pStyle w:val="ARTabletext"/>
              <w:jc w:val="right"/>
              <w:rPr>
                <w:rFonts w:eastAsia="Times"/>
                <w:sz w:val="20"/>
              </w:rPr>
            </w:pPr>
            <w:r w:rsidRPr="00A3130C">
              <w:rPr>
                <w:rFonts w:eastAsia="Times"/>
                <w:sz w:val="20"/>
              </w:rPr>
              <w:t>72,750</w:t>
            </w:r>
          </w:p>
        </w:tc>
      </w:tr>
      <w:tr w:rsidR="00F962BE" w:rsidRPr="00A3130C" w14:paraId="23F187DF"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306D1330" w14:textId="77777777" w:rsidR="00F962BE" w:rsidRPr="00A3130C" w:rsidRDefault="00F962BE">
            <w:pPr>
              <w:pStyle w:val="ARTabletext"/>
              <w:rPr>
                <w:rFonts w:eastAsia="Times"/>
                <w:sz w:val="20"/>
              </w:rPr>
            </w:pPr>
            <w:r w:rsidRPr="00A3130C">
              <w:rPr>
                <w:rFonts w:eastAsia="Times"/>
                <w:sz w:val="20"/>
              </w:rPr>
              <w:t>Wellsprings for Women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385ED68" w14:textId="77777777" w:rsidR="00F962BE" w:rsidRPr="00A3130C" w:rsidRDefault="00F962BE">
            <w:pPr>
              <w:pStyle w:val="ARTabletext"/>
              <w:jc w:val="right"/>
              <w:rPr>
                <w:rFonts w:eastAsia="Times"/>
                <w:sz w:val="20"/>
              </w:rPr>
            </w:pPr>
            <w:r w:rsidRPr="00A3130C">
              <w:rPr>
                <w:rFonts w:eastAsia="Times"/>
                <w:sz w:val="20"/>
              </w:rPr>
              <w:t>68,880</w:t>
            </w:r>
          </w:p>
        </w:tc>
      </w:tr>
      <w:tr w:rsidR="00F962BE" w:rsidRPr="00A3130C" w14:paraId="2AB2FCAE"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03F64EBB" w14:textId="77777777" w:rsidR="00F962BE" w:rsidRPr="00A3130C" w:rsidRDefault="00F962BE">
            <w:pPr>
              <w:pStyle w:val="ARTabletext"/>
              <w:rPr>
                <w:rFonts w:eastAsia="Times"/>
                <w:sz w:val="20"/>
              </w:rPr>
            </w:pPr>
            <w:r w:rsidRPr="00A3130C">
              <w:rPr>
                <w:rFonts w:eastAsia="Times"/>
                <w:sz w:val="20"/>
              </w:rPr>
              <w:t>Wendouree Neighbourhood Centre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B3711CF" w14:textId="77777777" w:rsidR="00F962BE" w:rsidRPr="00A3130C" w:rsidRDefault="00F962BE">
            <w:pPr>
              <w:pStyle w:val="ARTabletext"/>
              <w:jc w:val="right"/>
              <w:rPr>
                <w:rFonts w:eastAsia="Times"/>
                <w:sz w:val="20"/>
              </w:rPr>
            </w:pPr>
            <w:r w:rsidRPr="00A3130C">
              <w:rPr>
                <w:rFonts w:eastAsia="Times"/>
                <w:sz w:val="20"/>
              </w:rPr>
              <w:t>18,375</w:t>
            </w:r>
          </w:p>
        </w:tc>
      </w:tr>
      <w:tr w:rsidR="00F962BE" w:rsidRPr="00A3130C" w14:paraId="4D360E3A"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2F9467D1" w14:textId="77777777" w:rsidR="00F962BE" w:rsidRPr="00A3130C" w:rsidRDefault="00F962BE">
            <w:pPr>
              <w:pStyle w:val="ARTabletext"/>
              <w:rPr>
                <w:rFonts w:eastAsia="Times"/>
                <w:sz w:val="20"/>
              </w:rPr>
            </w:pPr>
            <w:r w:rsidRPr="00A3130C">
              <w:rPr>
                <w:rFonts w:eastAsia="Times"/>
                <w:sz w:val="20"/>
              </w:rPr>
              <w:t>Whittlesea Community Connections</w:t>
            </w:r>
            <w:r>
              <w:rPr>
                <w:rFonts w:eastAsia="Times"/>
                <w:sz w:val="20"/>
              </w:rPr>
              <w:t> </w:t>
            </w:r>
            <w:r w:rsidRPr="00A3130C">
              <w:rPr>
                <w:rFonts w:eastAsia="Times"/>
                <w:sz w:val="20"/>
              </w:rPr>
              <w:t>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6B5F9723" w14:textId="77777777" w:rsidR="00F962BE" w:rsidRPr="00A3130C" w:rsidRDefault="00F962BE">
            <w:pPr>
              <w:pStyle w:val="ARTabletext"/>
              <w:jc w:val="right"/>
              <w:rPr>
                <w:rFonts w:eastAsia="Times"/>
                <w:sz w:val="20"/>
              </w:rPr>
            </w:pPr>
            <w:r w:rsidRPr="00A3130C">
              <w:rPr>
                <w:rFonts w:eastAsia="Times"/>
                <w:sz w:val="20"/>
              </w:rPr>
              <w:t>8,750</w:t>
            </w:r>
          </w:p>
        </w:tc>
      </w:tr>
      <w:tr w:rsidR="00F962BE" w:rsidRPr="00A3130C" w14:paraId="68F1DF72"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DCCB24B" w14:textId="77777777" w:rsidR="00F962BE" w:rsidRPr="00A3130C" w:rsidRDefault="00F962BE">
            <w:pPr>
              <w:pStyle w:val="ARTabletext"/>
              <w:rPr>
                <w:rFonts w:eastAsia="Times"/>
                <w:sz w:val="20"/>
              </w:rPr>
            </w:pPr>
            <w:r w:rsidRPr="00A3130C">
              <w:rPr>
                <w:rFonts w:eastAsia="Times"/>
                <w:sz w:val="20"/>
              </w:rPr>
              <w:t>Whittlesea Community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0E0BE51" w14:textId="77777777" w:rsidR="00F962BE" w:rsidRPr="00A3130C" w:rsidRDefault="00F962BE">
            <w:pPr>
              <w:pStyle w:val="ARTabletext"/>
              <w:jc w:val="right"/>
              <w:rPr>
                <w:rFonts w:eastAsia="Times"/>
                <w:sz w:val="20"/>
              </w:rPr>
            </w:pPr>
            <w:r w:rsidRPr="00A3130C">
              <w:rPr>
                <w:rFonts w:eastAsia="Times"/>
                <w:sz w:val="20"/>
              </w:rPr>
              <w:t>68,354</w:t>
            </w:r>
          </w:p>
        </w:tc>
      </w:tr>
      <w:tr w:rsidR="00F962BE" w:rsidRPr="00A3130C" w14:paraId="2E02AB02"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22161732" w14:textId="77777777" w:rsidR="00F962BE" w:rsidRPr="00A3130C" w:rsidRDefault="00F962BE">
            <w:pPr>
              <w:pStyle w:val="ARTabletext"/>
              <w:rPr>
                <w:rFonts w:eastAsia="Times"/>
                <w:sz w:val="20"/>
              </w:rPr>
            </w:pPr>
            <w:r w:rsidRPr="00A3130C">
              <w:rPr>
                <w:rFonts w:eastAsia="Times"/>
                <w:sz w:val="20"/>
              </w:rPr>
              <w:t>Whittlesea Men's Shed</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44849987" w14:textId="77777777" w:rsidR="00F962BE" w:rsidRPr="00A3130C" w:rsidRDefault="00F962BE">
            <w:pPr>
              <w:pStyle w:val="ARTabletext"/>
              <w:jc w:val="right"/>
              <w:rPr>
                <w:rFonts w:eastAsia="Times"/>
                <w:sz w:val="20"/>
              </w:rPr>
            </w:pPr>
            <w:r w:rsidRPr="00A3130C">
              <w:rPr>
                <w:rFonts w:eastAsia="Times"/>
                <w:sz w:val="20"/>
              </w:rPr>
              <w:t>37,000</w:t>
            </w:r>
          </w:p>
        </w:tc>
      </w:tr>
      <w:tr w:rsidR="00F962BE" w:rsidRPr="00A3130C" w14:paraId="1FB1D00F"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376732D6" w14:textId="77777777" w:rsidR="00F962BE" w:rsidRPr="00A3130C" w:rsidRDefault="00F962BE">
            <w:pPr>
              <w:pStyle w:val="ARTabletext"/>
              <w:rPr>
                <w:rFonts w:eastAsia="Times"/>
                <w:sz w:val="20"/>
              </w:rPr>
            </w:pPr>
            <w:r w:rsidRPr="00A3130C">
              <w:rPr>
                <w:rFonts w:eastAsia="Times"/>
                <w:sz w:val="20"/>
              </w:rPr>
              <w:t>Willum Warrain Aboriginal Association Incorporation</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D15FDAF" w14:textId="77777777" w:rsidR="00F962BE" w:rsidRPr="00A3130C" w:rsidRDefault="00F962BE">
            <w:pPr>
              <w:pStyle w:val="ARTabletext"/>
              <w:jc w:val="right"/>
              <w:rPr>
                <w:rFonts w:eastAsia="Times"/>
                <w:sz w:val="20"/>
              </w:rPr>
            </w:pPr>
            <w:r w:rsidRPr="00A3130C">
              <w:rPr>
                <w:rFonts w:eastAsia="Times"/>
                <w:sz w:val="20"/>
              </w:rPr>
              <w:t>51,568</w:t>
            </w:r>
          </w:p>
        </w:tc>
      </w:tr>
      <w:tr w:rsidR="00F962BE" w:rsidRPr="00A3130C" w14:paraId="64BE81A1"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03878CBF" w14:textId="77777777" w:rsidR="00F962BE" w:rsidRPr="00A3130C" w:rsidRDefault="00F962BE">
            <w:pPr>
              <w:pStyle w:val="ARTabletext"/>
              <w:rPr>
                <w:rFonts w:eastAsia="Times"/>
                <w:sz w:val="20"/>
              </w:rPr>
            </w:pPr>
            <w:r w:rsidRPr="00A3130C">
              <w:rPr>
                <w:rFonts w:eastAsia="Times"/>
                <w:sz w:val="20"/>
              </w:rPr>
              <w:t>Winchelsea Community House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022F1ED5" w14:textId="77777777" w:rsidR="00F962BE" w:rsidRPr="00A3130C" w:rsidRDefault="00F962BE">
            <w:pPr>
              <w:pStyle w:val="ARTabletext"/>
              <w:jc w:val="right"/>
              <w:rPr>
                <w:rFonts w:eastAsia="Times"/>
                <w:sz w:val="20"/>
              </w:rPr>
            </w:pPr>
            <w:r w:rsidRPr="00A3130C">
              <w:rPr>
                <w:rFonts w:eastAsia="Times"/>
                <w:sz w:val="20"/>
              </w:rPr>
              <w:t>10,000</w:t>
            </w:r>
          </w:p>
        </w:tc>
      </w:tr>
      <w:tr w:rsidR="00F962BE" w:rsidRPr="00A3130C" w14:paraId="5FD2EB87"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7B7FFCCA" w14:textId="77777777" w:rsidR="00F962BE" w:rsidRPr="00A3130C" w:rsidRDefault="00F962BE">
            <w:pPr>
              <w:pStyle w:val="ARTabletext"/>
              <w:rPr>
                <w:rFonts w:eastAsia="Times"/>
                <w:sz w:val="20"/>
              </w:rPr>
            </w:pPr>
            <w:r w:rsidRPr="00A3130C">
              <w:rPr>
                <w:rFonts w:eastAsia="Times"/>
                <w:sz w:val="20"/>
              </w:rPr>
              <w:t>Wingate Avenue Community Centre</w:t>
            </w:r>
            <w:r>
              <w:rPr>
                <w:rFonts w:eastAsia="Times"/>
                <w:sz w:val="20"/>
              </w:rPr>
              <w:t> </w:t>
            </w:r>
            <w:r w:rsidRPr="00A3130C">
              <w:rPr>
                <w:rFonts w:eastAsia="Times"/>
                <w:sz w:val="20"/>
              </w:rPr>
              <w:t>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811D986" w14:textId="77777777" w:rsidR="00F962BE" w:rsidRPr="00A3130C" w:rsidRDefault="00F962BE">
            <w:pPr>
              <w:pStyle w:val="ARTabletext"/>
              <w:jc w:val="right"/>
              <w:rPr>
                <w:rFonts w:eastAsia="Times"/>
                <w:sz w:val="20"/>
              </w:rPr>
            </w:pPr>
            <w:r w:rsidRPr="00A3130C">
              <w:rPr>
                <w:rFonts w:eastAsia="Times"/>
                <w:sz w:val="20"/>
              </w:rPr>
              <w:t>62,844</w:t>
            </w:r>
          </w:p>
        </w:tc>
      </w:tr>
      <w:tr w:rsidR="00F962BE" w:rsidRPr="00A3130C" w14:paraId="101FAB5E"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39A29201" w14:textId="77777777" w:rsidR="00F962BE" w:rsidRPr="00A3130C" w:rsidRDefault="00F962BE">
            <w:pPr>
              <w:pStyle w:val="ARTabletext"/>
              <w:rPr>
                <w:rFonts w:eastAsia="Times"/>
                <w:sz w:val="20"/>
              </w:rPr>
            </w:pPr>
            <w:r w:rsidRPr="00A3130C">
              <w:rPr>
                <w:rFonts w:eastAsia="Times"/>
                <w:sz w:val="20"/>
              </w:rPr>
              <w:t>Woodend Neighbourhood House</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CC802C9" w14:textId="77777777" w:rsidR="00F962BE" w:rsidRPr="00A3130C" w:rsidRDefault="00F962BE">
            <w:pPr>
              <w:pStyle w:val="ARTabletext"/>
              <w:jc w:val="right"/>
              <w:rPr>
                <w:rFonts w:eastAsia="Times"/>
                <w:sz w:val="20"/>
              </w:rPr>
            </w:pPr>
            <w:r w:rsidRPr="00A3130C">
              <w:rPr>
                <w:rFonts w:eastAsia="Times"/>
                <w:sz w:val="20"/>
              </w:rPr>
              <w:t>16,875</w:t>
            </w:r>
          </w:p>
        </w:tc>
      </w:tr>
      <w:tr w:rsidR="00F962BE" w:rsidRPr="00A3130C" w14:paraId="5C0C459E"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29FE0087" w14:textId="77777777" w:rsidR="00F962BE" w:rsidRPr="00A3130C" w:rsidRDefault="00F962BE">
            <w:pPr>
              <w:pStyle w:val="ARTabletext"/>
              <w:rPr>
                <w:rFonts w:eastAsia="Times"/>
                <w:sz w:val="20"/>
              </w:rPr>
            </w:pPr>
            <w:r w:rsidRPr="00A3130C">
              <w:rPr>
                <w:rFonts w:eastAsia="Times"/>
                <w:sz w:val="20"/>
              </w:rPr>
              <w:t>Wyndham Park Community</w:t>
            </w:r>
            <w:r>
              <w:rPr>
                <w:rFonts w:eastAsia="Times"/>
                <w:sz w:val="20"/>
              </w:rPr>
              <w:t> </w:t>
            </w:r>
            <w:r w:rsidRPr="00A3130C">
              <w:rPr>
                <w:rFonts w:eastAsia="Times"/>
                <w:sz w:val="20"/>
              </w:rPr>
              <w:t>Centre</w:t>
            </w:r>
            <w:r>
              <w:rPr>
                <w:rFonts w:eastAsia="Times"/>
                <w:sz w:val="20"/>
              </w:rPr>
              <w:t> </w:t>
            </w:r>
            <w:r w:rsidRPr="00A3130C">
              <w:rPr>
                <w:rFonts w:eastAsia="Times"/>
                <w:sz w:val="20"/>
              </w:rPr>
              <w:t>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0670A8C" w14:textId="77777777" w:rsidR="00F962BE" w:rsidRPr="00A3130C" w:rsidRDefault="00F962BE">
            <w:pPr>
              <w:pStyle w:val="ARTabletext"/>
              <w:jc w:val="right"/>
              <w:rPr>
                <w:rFonts w:eastAsia="Times"/>
                <w:sz w:val="20"/>
              </w:rPr>
            </w:pPr>
            <w:r w:rsidRPr="00A3130C">
              <w:rPr>
                <w:rFonts w:eastAsia="Times"/>
                <w:sz w:val="20"/>
              </w:rPr>
              <w:t>122,094</w:t>
            </w:r>
          </w:p>
        </w:tc>
      </w:tr>
      <w:tr w:rsidR="00F962BE" w:rsidRPr="00A3130C" w14:paraId="286F3049"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5DD7B768" w14:textId="77777777" w:rsidR="00F962BE" w:rsidRPr="00A3130C" w:rsidRDefault="00F962BE">
            <w:pPr>
              <w:pStyle w:val="ARTabletext"/>
              <w:rPr>
                <w:rFonts w:eastAsia="Times"/>
                <w:sz w:val="20"/>
              </w:rPr>
            </w:pPr>
            <w:r w:rsidRPr="00A3130C">
              <w:rPr>
                <w:rFonts w:eastAsia="Times"/>
                <w:sz w:val="20"/>
              </w:rPr>
              <w:t>Yarram Neighbourhood House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37A3F809" w14:textId="77777777" w:rsidR="00F962BE" w:rsidRPr="00A3130C" w:rsidRDefault="00F962BE">
            <w:pPr>
              <w:pStyle w:val="ARTabletext"/>
              <w:jc w:val="right"/>
              <w:rPr>
                <w:rFonts w:eastAsia="Times"/>
                <w:sz w:val="20"/>
              </w:rPr>
            </w:pPr>
            <w:r w:rsidRPr="00A3130C">
              <w:rPr>
                <w:rFonts w:eastAsia="Times"/>
                <w:sz w:val="20"/>
              </w:rPr>
              <w:t>10,563</w:t>
            </w:r>
          </w:p>
        </w:tc>
      </w:tr>
      <w:tr w:rsidR="00F962BE" w:rsidRPr="00A3130C" w14:paraId="2E636A8F"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4C9C3124" w14:textId="77777777" w:rsidR="00F962BE" w:rsidRPr="00A3130C" w:rsidRDefault="00F962BE">
            <w:pPr>
              <w:pStyle w:val="ARTabletext"/>
              <w:rPr>
                <w:rFonts w:eastAsia="Times"/>
                <w:sz w:val="20"/>
              </w:rPr>
            </w:pPr>
            <w:r w:rsidRPr="00A3130C">
              <w:rPr>
                <w:rFonts w:eastAsia="Times"/>
                <w:sz w:val="20"/>
              </w:rPr>
              <w:t>Yarrawonga Mulwala Mens Shed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1F161D01" w14:textId="77777777" w:rsidR="00F962BE" w:rsidRPr="00A3130C" w:rsidRDefault="00F962BE">
            <w:pPr>
              <w:pStyle w:val="ARTabletext"/>
              <w:jc w:val="right"/>
              <w:rPr>
                <w:rFonts w:eastAsia="Times"/>
                <w:sz w:val="20"/>
              </w:rPr>
            </w:pPr>
            <w:r w:rsidRPr="00A3130C">
              <w:rPr>
                <w:rFonts w:eastAsia="Times"/>
                <w:sz w:val="20"/>
              </w:rPr>
              <w:t>4,800</w:t>
            </w:r>
          </w:p>
        </w:tc>
      </w:tr>
      <w:tr w:rsidR="00F962BE" w:rsidRPr="00A3130C" w14:paraId="423F66AF" w14:textId="77777777" w:rsidTr="00F0501A">
        <w:trPr>
          <w:cnfStyle w:val="000000100000" w:firstRow="0" w:lastRow="0" w:firstColumn="0" w:lastColumn="0" w:oddVBand="0" w:evenVBand="0" w:oddHBand="1" w:evenHBand="0" w:firstRowFirstColumn="0" w:firstRowLastColumn="0" w:lastRowFirstColumn="0" w:lastRowLastColumn="0"/>
          <w:trHeight w:val="260"/>
        </w:trPr>
        <w:tc>
          <w:tcPr>
            <w:tcW w:w="3655" w:type="pct"/>
            <w:noWrap/>
            <w:hideMark/>
          </w:tcPr>
          <w:p w14:paraId="36FBB675" w14:textId="77777777" w:rsidR="00F962BE" w:rsidRPr="00A3130C" w:rsidRDefault="00F962BE">
            <w:pPr>
              <w:pStyle w:val="ARTabletext"/>
              <w:rPr>
                <w:rFonts w:eastAsia="Times"/>
                <w:sz w:val="20"/>
              </w:rPr>
            </w:pPr>
            <w:r w:rsidRPr="00A3130C">
              <w:rPr>
                <w:rFonts w:eastAsia="Times"/>
                <w:sz w:val="20"/>
              </w:rPr>
              <w:t>Yarrawonga Neighbourhood House</w:t>
            </w:r>
            <w:r>
              <w:rPr>
                <w:rFonts w:eastAsia="Times"/>
                <w:sz w:val="20"/>
              </w:rPr>
              <w:t> </w:t>
            </w:r>
            <w:r w:rsidRPr="00A3130C">
              <w:rPr>
                <w:rFonts w:eastAsia="Times"/>
                <w:sz w:val="20"/>
              </w:rPr>
              <w:t>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71937D6B" w14:textId="77777777" w:rsidR="00F962BE" w:rsidRPr="00A3130C" w:rsidRDefault="00F962BE">
            <w:pPr>
              <w:pStyle w:val="ARTabletext"/>
              <w:jc w:val="right"/>
              <w:rPr>
                <w:rFonts w:eastAsia="Times"/>
                <w:sz w:val="20"/>
              </w:rPr>
            </w:pPr>
            <w:r w:rsidRPr="00A3130C">
              <w:rPr>
                <w:rFonts w:eastAsia="Times"/>
                <w:sz w:val="20"/>
              </w:rPr>
              <w:t>48,375</w:t>
            </w:r>
          </w:p>
        </w:tc>
      </w:tr>
      <w:tr w:rsidR="00F962BE" w:rsidRPr="00A3130C" w14:paraId="1529190B" w14:textId="77777777" w:rsidTr="00F0501A">
        <w:trPr>
          <w:cnfStyle w:val="000000010000" w:firstRow="0" w:lastRow="0" w:firstColumn="0" w:lastColumn="0" w:oddVBand="0" w:evenVBand="0" w:oddHBand="0" w:evenHBand="1" w:firstRowFirstColumn="0" w:firstRowLastColumn="0" w:lastRowFirstColumn="0" w:lastRowLastColumn="0"/>
          <w:trHeight w:val="260"/>
        </w:trPr>
        <w:tc>
          <w:tcPr>
            <w:tcW w:w="3655" w:type="pct"/>
            <w:noWrap/>
            <w:hideMark/>
          </w:tcPr>
          <w:p w14:paraId="1553284F" w14:textId="77777777" w:rsidR="00F962BE" w:rsidRPr="00A3130C" w:rsidRDefault="00F962BE">
            <w:pPr>
              <w:pStyle w:val="ARTabletext"/>
              <w:rPr>
                <w:rFonts w:eastAsia="Times"/>
                <w:sz w:val="20"/>
              </w:rPr>
            </w:pPr>
            <w:r w:rsidRPr="00A3130C">
              <w:rPr>
                <w:rFonts w:eastAsia="Times"/>
                <w:sz w:val="20"/>
              </w:rPr>
              <w:t>Yarrunga Community Centre Inc</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323E2548" w14:textId="77777777" w:rsidR="00F962BE" w:rsidRPr="00A3130C" w:rsidRDefault="00F962BE">
            <w:pPr>
              <w:pStyle w:val="ARTabletext"/>
              <w:jc w:val="right"/>
              <w:rPr>
                <w:rFonts w:eastAsia="Times"/>
                <w:sz w:val="20"/>
              </w:rPr>
            </w:pPr>
            <w:r w:rsidRPr="00A3130C">
              <w:rPr>
                <w:rFonts w:eastAsia="Times"/>
                <w:sz w:val="20"/>
              </w:rPr>
              <w:t>4,500</w:t>
            </w:r>
          </w:p>
        </w:tc>
      </w:tr>
      <w:tr w:rsidR="00F962BE" w:rsidRPr="00A3130C" w14:paraId="4CA7C788" w14:textId="77777777" w:rsidTr="00F0501A">
        <w:trPr>
          <w:cnfStyle w:val="010000000000" w:firstRow="0" w:lastRow="1" w:firstColumn="0" w:lastColumn="0" w:oddVBand="0" w:evenVBand="0" w:oddHBand="0" w:evenHBand="0" w:firstRowFirstColumn="0" w:firstRowLastColumn="0" w:lastRowFirstColumn="0" w:lastRowLastColumn="0"/>
          <w:trHeight w:val="260"/>
        </w:trPr>
        <w:tc>
          <w:tcPr>
            <w:tcW w:w="3655" w:type="pct"/>
            <w:noWrap/>
            <w:hideMark/>
          </w:tcPr>
          <w:p w14:paraId="64B28553" w14:textId="77777777" w:rsidR="00F962BE" w:rsidRPr="00A3130C" w:rsidRDefault="00F962BE">
            <w:pPr>
              <w:pStyle w:val="ARtabletextbold"/>
              <w:rPr>
                <w:rFonts w:eastAsia="Times"/>
              </w:rPr>
            </w:pPr>
            <w:r w:rsidRPr="00A3130C">
              <w:rPr>
                <w:rFonts w:eastAsia="Times"/>
              </w:rPr>
              <w:t xml:space="preserve"> Total</w:t>
            </w:r>
          </w:p>
        </w:tc>
        <w:tc>
          <w:tcPr>
            <w:cnfStyle w:val="000001000000" w:firstRow="0" w:lastRow="0" w:firstColumn="0" w:lastColumn="0" w:oddVBand="0" w:evenVBand="1" w:oddHBand="0" w:evenHBand="0" w:firstRowFirstColumn="0" w:firstRowLastColumn="0" w:lastRowFirstColumn="0" w:lastRowLastColumn="0"/>
            <w:tcW w:w="1345" w:type="pct"/>
            <w:noWrap/>
            <w:hideMark/>
          </w:tcPr>
          <w:p w14:paraId="2FB1A230" w14:textId="77777777" w:rsidR="00F962BE" w:rsidRPr="00A3130C" w:rsidRDefault="00F962BE">
            <w:pPr>
              <w:pStyle w:val="ARtabletextbold"/>
              <w:jc w:val="right"/>
              <w:rPr>
                <w:rFonts w:eastAsia="Times"/>
              </w:rPr>
            </w:pPr>
            <w:r w:rsidRPr="00A3130C">
              <w:rPr>
                <w:rFonts w:eastAsia="Times"/>
              </w:rPr>
              <w:t>10,081,791</w:t>
            </w:r>
          </w:p>
        </w:tc>
      </w:tr>
    </w:tbl>
    <w:p w14:paraId="5B9E79CE" w14:textId="77777777" w:rsidR="00F962BE" w:rsidRPr="00A3130C" w:rsidRDefault="00F962BE" w:rsidP="00F962BE">
      <w:pPr>
        <w:pStyle w:val="Heading3Grants"/>
      </w:pPr>
      <w:r w:rsidRPr="00A3130C">
        <w:t>Disability Programs and Services</w:t>
      </w:r>
    </w:p>
    <w:tbl>
      <w:tblPr>
        <w:tblStyle w:val="ARtable1"/>
        <w:tblW w:w="5000" w:type="pct"/>
        <w:tblLook w:val="00E0" w:firstRow="1" w:lastRow="1" w:firstColumn="1" w:lastColumn="0" w:noHBand="0" w:noVBand="0"/>
      </w:tblPr>
      <w:tblGrid>
        <w:gridCol w:w="8074"/>
        <w:gridCol w:w="1554"/>
      </w:tblGrid>
      <w:tr w:rsidR="00F962BE" w:rsidRPr="00A3130C" w14:paraId="6F98112B" w14:textId="77777777" w:rsidTr="00735BAF">
        <w:trPr>
          <w:cnfStyle w:val="100000000000" w:firstRow="1" w:lastRow="0" w:firstColumn="0" w:lastColumn="0" w:oddVBand="0" w:evenVBand="0" w:oddHBand="0" w:evenHBand="0" w:firstRowFirstColumn="0" w:firstRowLastColumn="0" w:lastRowFirstColumn="0" w:lastRowLastColumn="0"/>
          <w:trHeight w:val="260"/>
          <w:tblHeader/>
        </w:trPr>
        <w:tc>
          <w:tcPr>
            <w:tcW w:w="4193" w:type="pct"/>
            <w:noWrap/>
            <w:hideMark/>
          </w:tcPr>
          <w:p w14:paraId="69B3C606" w14:textId="77777777" w:rsidR="00F962BE" w:rsidRPr="00A3130C" w:rsidRDefault="00F962BE">
            <w:pPr>
              <w:pStyle w:val="ARtablecolhead"/>
              <w:rPr>
                <w:rFonts w:eastAsia="Times"/>
              </w:rPr>
            </w:pPr>
            <w:r w:rsidRPr="00A3130C">
              <w:rPr>
                <w:rFonts w:eastAsia="Times"/>
              </w:rPr>
              <w:t>Organisation</w:t>
            </w:r>
          </w:p>
        </w:tc>
        <w:tc>
          <w:tcPr>
            <w:cnfStyle w:val="000001000000" w:firstRow="0" w:lastRow="0" w:firstColumn="0" w:lastColumn="0" w:oddVBand="0" w:evenVBand="1" w:oddHBand="0" w:evenHBand="0" w:firstRowFirstColumn="0" w:firstRowLastColumn="0" w:lastRowFirstColumn="0" w:lastRowLastColumn="0"/>
            <w:tcW w:w="807" w:type="pct"/>
            <w:vAlign w:val="top"/>
            <w:hideMark/>
          </w:tcPr>
          <w:p w14:paraId="30C0CD7D" w14:textId="77777777" w:rsidR="00F962BE" w:rsidRPr="00A3130C" w:rsidRDefault="00F962BE">
            <w:pPr>
              <w:pStyle w:val="ARtablecolhead"/>
              <w:jc w:val="right"/>
              <w:rPr>
                <w:rFonts w:eastAsia="Times"/>
              </w:rPr>
            </w:pPr>
            <w:r w:rsidRPr="00A3130C">
              <w:rPr>
                <w:rFonts w:eastAsia="Times"/>
              </w:rPr>
              <w:t>Payment ($)</w:t>
            </w:r>
          </w:p>
        </w:tc>
      </w:tr>
      <w:tr w:rsidR="00F962BE" w:rsidRPr="00A3130C" w14:paraId="0EAA9AA2"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37D799E1" w14:textId="77777777" w:rsidR="00F962BE" w:rsidRPr="00A3130C" w:rsidRDefault="00F962BE">
            <w:pPr>
              <w:pStyle w:val="ARTabletext"/>
              <w:rPr>
                <w:rFonts w:eastAsia="Times"/>
              </w:rPr>
            </w:pPr>
            <w:r w:rsidRPr="00A3130C">
              <w:rPr>
                <w:rFonts w:eastAsia="Times"/>
              </w:rPr>
              <w:t>Action for more Independence and Dignity in Accommodation</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65371EEF" w14:textId="77777777" w:rsidR="00F962BE" w:rsidRPr="00A3130C" w:rsidRDefault="00F962BE">
            <w:pPr>
              <w:pStyle w:val="ARTabletext"/>
              <w:jc w:val="right"/>
              <w:rPr>
                <w:rFonts w:eastAsia="Times"/>
              </w:rPr>
            </w:pPr>
            <w:r w:rsidRPr="00A3130C">
              <w:rPr>
                <w:rFonts w:eastAsia="Times"/>
              </w:rPr>
              <w:t>25,498</w:t>
            </w:r>
          </w:p>
        </w:tc>
      </w:tr>
      <w:tr w:rsidR="00F962BE" w:rsidRPr="00A3130C" w14:paraId="4B4A89E3"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41FAEA3B" w14:textId="77777777" w:rsidR="00F962BE" w:rsidRPr="00A3130C" w:rsidRDefault="00F962BE">
            <w:pPr>
              <w:pStyle w:val="ARTabletext"/>
              <w:rPr>
                <w:rFonts w:eastAsia="Times"/>
              </w:rPr>
            </w:pPr>
            <w:proofErr w:type="gramStart"/>
            <w:r w:rsidRPr="00A3130C">
              <w:rPr>
                <w:rFonts w:eastAsia="Times"/>
              </w:rPr>
              <w:t>African-Australian</w:t>
            </w:r>
            <w:proofErr w:type="gramEnd"/>
            <w:r w:rsidRPr="00A3130C">
              <w:rPr>
                <w:rFonts w:eastAsia="Times"/>
              </w:rPr>
              <w:t xml:space="preserve"> Family and Parenting Support Services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1F8A7CF" w14:textId="77777777" w:rsidR="00F962BE" w:rsidRPr="00A3130C" w:rsidRDefault="00F962BE">
            <w:pPr>
              <w:pStyle w:val="ARTabletext"/>
              <w:jc w:val="right"/>
              <w:rPr>
                <w:rFonts w:eastAsia="Times"/>
              </w:rPr>
            </w:pPr>
            <w:r w:rsidRPr="00A3130C">
              <w:rPr>
                <w:rFonts w:eastAsia="Times"/>
              </w:rPr>
              <w:t>6,809</w:t>
            </w:r>
          </w:p>
        </w:tc>
      </w:tr>
      <w:tr w:rsidR="00F962BE" w:rsidRPr="00A3130C" w14:paraId="421F1D64"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0598B391" w14:textId="77777777" w:rsidR="00F962BE" w:rsidRPr="00A3130C" w:rsidRDefault="00F962BE">
            <w:pPr>
              <w:pStyle w:val="ARTabletext"/>
              <w:rPr>
                <w:rFonts w:eastAsia="Times"/>
              </w:rPr>
            </w:pPr>
            <w:r w:rsidRPr="00A3130C">
              <w:rPr>
                <w:rFonts w:eastAsia="Times"/>
              </w:rPr>
              <w:t>Alpine Valleys Autism Community</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4E2D7CF2" w14:textId="77777777" w:rsidR="00F962BE" w:rsidRPr="00A3130C" w:rsidRDefault="00F962BE">
            <w:pPr>
              <w:pStyle w:val="ARTabletext"/>
              <w:jc w:val="right"/>
              <w:rPr>
                <w:rFonts w:eastAsia="Times"/>
              </w:rPr>
            </w:pPr>
            <w:r w:rsidRPr="00A3130C">
              <w:rPr>
                <w:rFonts w:eastAsia="Times"/>
              </w:rPr>
              <w:t>6,809</w:t>
            </w:r>
          </w:p>
        </w:tc>
      </w:tr>
      <w:tr w:rsidR="00F962BE" w:rsidRPr="00A3130C" w14:paraId="4F4B22EA"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3EB75820" w14:textId="77777777" w:rsidR="00F962BE" w:rsidRPr="00A3130C" w:rsidRDefault="00F962BE">
            <w:pPr>
              <w:pStyle w:val="ARTabletext"/>
              <w:rPr>
                <w:rFonts w:eastAsia="Times"/>
              </w:rPr>
            </w:pPr>
            <w:r w:rsidRPr="00A3130C">
              <w:rPr>
                <w:rFonts w:eastAsia="Times"/>
              </w:rPr>
              <w:t>Assist Ability Australia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ABC9274" w14:textId="77777777" w:rsidR="00F962BE" w:rsidRPr="00A3130C" w:rsidRDefault="00F962BE">
            <w:pPr>
              <w:pStyle w:val="ARTabletext"/>
              <w:jc w:val="right"/>
              <w:rPr>
                <w:rFonts w:eastAsia="Times"/>
              </w:rPr>
            </w:pPr>
            <w:r w:rsidRPr="00A3130C">
              <w:rPr>
                <w:rFonts w:eastAsia="Times"/>
              </w:rPr>
              <w:t>10,591</w:t>
            </w:r>
          </w:p>
        </w:tc>
      </w:tr>
      <w:tr w:rsidR="00F962BE" w:rsidRPr="00A3130C" w14:paraId="1BB0129C"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10873C62" w14:textId="77777777" w:rsidR="00F962BE" w:rsidRPr="00A3130C" w:rsidRDefault="00F962BE">
            <w:pPr>
              <w:pStyle w:val="ARTabletext"/>
              <w:rPr>
                <w:rFonts w:eastAsia="Times"/>
              </w:rPr>
            </w:pPr>
            <w:r w:rsidRPr="00A3130C">
              <w:rPr>
                <w:rFonts w:eastAsia="Times"/>
              </w:rPr>
              <w:t>Auspicious Arts Projects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2F24391E" w14:textId="77777777" w:rsidR="00F962BE" w:rsidRPr="00A3130C" w:rsidRDefault="00F962BE">
            <w:pPr>
              <w:pStyle w:val="ARTabletext"/>
              <w:jc w:val="right"/>
              <w:rPr>
                <w:rFonts w:eastAsia="Times"/>
              </w:rPr>
            </w:pPr>
            <w:r w:rsidRPr="00A3130C">
              <w:rPr>
                <w:rFonts w:eastAsia="Times"/>
              </w:rPr>
              <w:t>6,809</w:t>
            </w:r>
          </w:p>
        </w:tc>
      </w:tr>
      <w:tr w:rsidR="00F962BE" w:rsidRPr="00A3130C" w14:paraId="7080857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4CC6B4ED" w14:textId="77777777" w:rsidR="00F962BE" w:rsidRPr="00A3130C" w:rsidRDefault="00F962BE">
            <w:pPr>
              <w:pStyle w:val="ARTabletext"/>
              <w:rPr>
                <w:rFonts w:eastAsia="Times"/>
              </w:rPr>
            </w:pPr>
            <w:r w:rsidRPr="00A3130C">
              <w:rPr>
                <w:rFonts w:eastAsia="Times"/>
              </w:rPr>
              <w:t>Australian Bosnian Women's Association</w:t>
            </w:r>
            <w:r>
              <w:rPr>
                <w:rFonts w:eastAsia="Times"/>
              </w:rPr>
              <w:t> </w:t>
            </w:r>
            <w:r w:rsidRPr="00A3130C">
              <w:rPr>
                <w:rFonts w:eastAsia="Times"/>
              </w:rPr>
              <w:t>Zena Zeni</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7E17C228" w14:textId="77777777" w:rsidR="00F962BE" w:rsidRPr="00A3130C" w:rsidRDefault="00F962BE">
            <w:pPr>
              <w:pStyle w:val="ARTabletext"/>
              <w:jc w:val="right"/>
              <w:rPr>
                <w:rFonts w:eastAsia="Times"/>
              </w:rPr>
            </w:pPr>
            <w:r w:rsidRPr="00A3130C">
              <w:rPr>
                <w:rFonts w:eastAsia="Times"/>
              </w:rPr>
              <w:t>6,809</w:t>
            </w:r>
          </w:p>
        </w:tc>
      </w:tr>
      <w:tr w:rsidR="00F962BE" w:rsidRPr="00A3130C" w14:paraId="58ED0381"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0D8D4010" w14:textId="77777777" w:rsidR="00F962BE" w:rsidRPr="00A3130C" w:rsidRDefault="00F962BE">
            <w:pPr>
              <w:pStyle w:val="ARTabletext"/>
              <w:rPr>
                <w:rFonts w:eastAsia="Times"/>
              </w:rPr>
            </w:pPr>
            <w:r w:rsidRPr="00A3130C">
              <w:rPr>
                <w:rFonts w:eastAsia="Times"/>
              </w:rPr>
              <w:t>Australian Federation of Disability Organisations (AFDO) Ltd</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7EDF55D7" w14:textId="77777777" w:rsidR="00F962BE" w:rsidRPr="00A3130C" w:rsidRDefault="00F962BE">
            <w:pPr>
              <w:pStyle w:val="ARTabletext"/>
              <w:jc w:val="right"/>
              <w:rPr>
                <w:rFonts w:eastAsia="Times"/>
              </w:rPr>
            </w:pPr>
            <w:r w:rsidRPr="00A3130C">
              <w:rPr>
                <w:rFonts w:eastAsia="Times"/>
              </w:rPr>
              <w:t>13,617</w:t>
            </w:r>
          </w:p>
        </w:tc>
      </w:tr>
      <w:tr w:rsidR="00F962BE" w:rsidRPr="00A3130C" w14:paraId="1EF24724"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17AC4302" w14:textId="77777777" w:rsidR="00F962BE" w:rsidRPr="00A3130C" w:rsidRDefault="00F962BE">
            <w:pPr>
              <w:pStyle w:val="ARTabletext"/>
              <w:rPr>
                <w:rFonts w:eastAsia="Times"/>
              </w:rPr>
            </w:pPr>
            <w:r w:rsidRPr="00A3130C">
              <w:rPr>
                <w:rFonts w:eastAsia="Times"/>
              </w:rPr>
              <w:t>Autism Family Support Association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469360B8" w14:textId="77777777" w:rsidR="00F962BE" w:rsidRPr="00A3130C" w:rsidRDefault="00F962BE">
            <w:pPr>
              <w:pStyle w:val="ARTabletext"/>
              <w:jc w:val="right"/>
              <w:rPr>
                <w:rFonts w:eastAsia="Times"/>
              </w:rPr>
            </w:pPr>
            <w:r w:rsidRPr="00A3130C">
              <w:rPr>
                <w:rFonts w:eastAsia="Times"/>
              </w:rPr>
              <w:t>10,591</w:t>
            </w:r>
          </w:p>
        </w:tc>
      </w:tr>
      <w:tr w:rsidR="00F962BE" w:rsidRPr="00A3130C" w14:paraId="30FF4404"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4F9FF0D1" w14:textId="77777777" w:rsidR="00F962BE" w:rsidRPr="00A3130C" w:rsidRDefault="00F962BE">
            <w:pPr>
              <w:pStyle w:val="ARTabletext"/>
              <w:rPr>
                <w:rFonts w:eastAsia="Times"/>
              </w:rPr>
            </w:pPr>
            <w:r w:rsidRPr="00A3130C">
              <w:rPr>
                <w:rFonts w:eastAsia="Times"/>
              </w:rPr>
              <w:t>Autism Valued Incorporated</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45E6595E" w14:textId="77777777" w:rsidR="00F962BE" w:rsidRPr="00A3130C" w:rsidRDefault="00F962BE">
            <w:pPr>
              <w:pStyle w:val="ARTabletext"/>
              <w:jc w:val="right"/>
              <w:rPr>
                <w:rFonts w:eastAsia="Times"/>
              </w:rPr>
            </w:pPr>
            <w:r w:rsidRPr="00A3130C">
              <w:rPr>
                <w:rFonts w:eastAsia="Times"/>
              </w:rPr>
              <w:t>52,153</w:t>
            </w:r>
          </w:p>
        </w:tc>
      </w:tr>
      <w:tr w:rsidR="00F962BE" w:rsidRPr="00A3130C" w14:paraId="46B629E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4BE11143" w14:textId="77777777" w:rsidR="00F962BE" w:rsidRPr="00A3130C" w:rsidRDefault="00F962BE">
            <w:pPr>
              <w:pStyle w:val="ARTabletext"/>
              <w:rPr>
                <w:rFonts w:eastAsia="Times"/>
              </w:rPr>
            </w:pPr>
            <w:r w:rsidRPr="00A3130C">
              <w:rPr>
                <w:rFonts w:eastAsia="Times"/>
              </w:rPr>
              <w:t xml:space="preserve">Autistic-led Regional Culture Arts Neurodiversity Education and Employment (ARCANE) </w:t>
            </w:r>
            <w:proofErr w:type="spellStart"/>
            <w:r w:rsidRPr="00A3130C">
              <w:rPr>
                <w:rFonts w:eastAsia="Times"/>
              </w:rPr>
              <w:t>inc</w:t>
            </w:r>
            <w:proofErr w:type="spellEnd"/>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4601FF1" w14:textId="77777777" w:rsidR="00F962BE" w:rsidRPr="00A3130C" w:rsidRDefault="00F962BE">
            <w:pPr>
              <w:pStyle w:val="ARTabletext"/>
              <w:jc w:val="right"/>
              <w:rPr>
                <w:rFonts w:eastAsia="Times"/>
              </w:rPr>
            </w:pPr>
            <w:r w:rsidRPr="00A3130C">
              <w:rPr>
                <w:rFonts w:eastAsia="Times"/>
              </w:rPr>
              <w:t>13,617</w:t>
            </w:r>
          </w:p>
        </w:tc>
      </w:tr>
      <w:tr w:rsidR="00F962BE" w:rsidRPr="00A3130C" w14:paraId="103192F3"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55727C73" w14:textId="77777777" w:rsidR="00F962BE" w:rsidRPr="00A3130C" w:rsidRDefault="00F962BE">
            <w:pPr>
              <w:pStyle w:val="ARTabletext"/>
              <w:rPr>
                <w:rFonts w:eastAsia="Times"/>
              </w:rPr>
            </w:pPr>
            <w:proofErr w:type="spellStart"/>
            <w:r w:rsidRPr="00A3130C">
              <w:rPr>
                <w:rFonts w:eastAsia="Times"/>
              </w:rPr>
              <w:t>Bakhtar</w:t>
            </w:r>
            <w:proofErr w:type="spellEnd"/>
            <w:r w:rsidRPr="00A3130C">
              <w:rPr>
                <w:rFonts w:eastAsia="Times"/>
              </w:rPr>
              <w:t xml:space="preserve"> Community Organisation</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241D3972" w14:textId="77777777" w:rsidR="00F962BE" w:rsidRPr="00A3130C" w:rsidRDefault="00F962BE">
            <w:pPr>
              <w:pStyle w:val="ARTabletext"/>
              <w:jc w:val="right"/>
              <w:rPr>
                <w:rFonts w:eastAsia="Times"/>
              </w:rPr>
            </w:pPr>
            <w:r w:rsidRPr="00A3130C">
              <w:rPr>
                <w:rFonts w:eastAsia="Times"/>
              </w:rPr>
              <w:t>6,809</w:t>
            </w:r>
          </w:p>
        </w:tc>
      </w:tr>
      <w:tr w:rsidR="00F962BE" w:rsidRPr="00A3130C" w14:paraId="632EDA07"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58DF2129" w14:textId="77777777" w:rsidR="00F962BE" w:rsidRPr="00A3130C" w:rsidRDefault="00F962BE">
            <w:pPr>
              <w:pStyle w:val="ARTabletext"/>
              <w:rPr>
                <w:rFonts w:eastAsia="Times"/>
              </w:rPr>
            </w:pPr>
            <w:r w:rsidRPr="00A3130C">
              <w:rPr>
                <w:rFonts w:eastAsia="Times"/>
              </w:rPr>
              <w:t>Blind Sports and Recreation Victoria</w:t>
            </w:r>
            <w:r>
              <w:rPr>
                <w:rFonts w:eastAsia="Times"/>
              </w:rPr>
              <w:t> </w:t>
            </w:r>
            <w:r w:rsidRPr="00A3130C">
              <w:rPr>
                <w:rFonts w:eastAsia="Times"/>
              </w:rPr>
              <w:t>(BSRV)</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307F42B" w14:textId="77777777" w:rsidR="00F962BE" w:rsidRPr="00A3130C" w:rsidRDefault="00F962BE">
            <w:pPr>
              <w:pStyle w:val="ARTabletext"/>
              <w:jc w:val="right"/>
              <w:rPr>
                <w:rFonts w:eastAsia="Times"/>
              </w:rPr>
            </w:pPr>
            <w:r w:rsidRPr="00A3130C">
              <w:rPr>
                <w:rFonts w:eastAsia="Times"/>
              </w:rPr>
              <w:t>6,809</w:t>
            </w:r>
          </w:p>
        </w:tc>
      </w:tr>
      <w:tr w:rsidR="00F962BE" w:rsidRPr="00A3130C" w14:paraId="2B9EF736"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176F3888" w14:textId="77777777" w:rsidR="00F962BE" w:rsidRPr="00A3130C" w:rsidRDefault="00F962BE">
            <w:pPr>
              <w:pStyle w:val="ARTabletext"/>
              <w:rPr>
                <w:rFonts w:eastAsia="Times"/>
              </w:rPr>
            </w:pPr>
            <w:r w:rsidRPr="00A3130C">
              <w:rPr>
                <w:rFonts w:eastAsia="Times"/>
              </w:rPr>
              <w:t>Brain Injury Matters</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20D878CC" w14:textId="77777777" w:rsidR="00F962BE" w:rsidRPr="00A3130C" w:rsidRDefault="00F962BE">
            <w:pPr>
              <w:pStyle w:val="ARTabletext"/>
              <w:jc w:val="right"/>
              <w:rPr>
                <w:rFonts w:eastAsia="Times"/>
              </w:rPr>
            </w:pPr>
            <w:r w:rsidRPr="00A3130C">
              <w:rPr>
                <w:rFonts w:eastAsia="Times"/>
              </w:rPr>
              <w:t>27,234</w:t>
            </w:r>
          </w:p>
        </w:tc>
      </w:tr>
      <w:tr w:rsidR="00F962BE" w:rsidRPr="00A3130C" w14:paraId="5FF9E4E0"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0C7EA8F0" w14:textId="77777777" w:rsidR="00F962BE" w:rsidRPr="00A3130C" w:rsidRDefault="00F962BE">
            <w:pPr>
              <w:pStyle w:val="ARTabletext"/>
              <w:rPr>
                <w:rFonts w:eastAsia="Times"/>
              </w:rPr>
            </w:pPr>
            <w:r w:rsidRPr="00A3130C">
              <w:rPr>
                <w:rFonts w:eastAsia="Times"/>
              </w:rPr>
              <w:t>Chinese Parents Special Support Network Incorporated</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7223BC40" w14:textId="77777777" w:rsidR="00F962BE" w:rsidRPr="00A3130C" w:rsidRDefault="00F962BE">
            <w:pPr>
              <w:pStyle w:val="ARTabletext"/>
              <w:jc w:val="right"/>
              <w:rPr>
                <w:rFonts w:eastAsia="Times"/>
              </w:rPr>
            </w:pPr>
            <w:r w:rsidRPr="00A3130C">
              <w:rPr>
                <w:rFonts w:eastAsia="Times"/>
              </w:rPr>
              <w:t>10,591</w:t>
            </w:r>
          </w:p>
        </w:tc>
      </w:tr>
      <w:tr w:rsidR="00F962BE" w:rsidRPr="00A3130C" w14:paraId="7394147F"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10CE4882" w14:textId="77777777" w:rsidR="00F962BE" w:rsidRPr="00A3130C" w:rsidRDefault="00F962BE">
            <w:pPr>
              <w:pStyle w:val="ARTabletext"/>
              <w:rPr>
                <w:rFonts w:eastAsia="Times"/>
              </w:rPr>
            </w:pPr>
            <w:r w:rsidRPr="00A3130C">
              <w:rPr>
                <w:rFonts w:eastAsia="Times"/>
              </w:rPr>
              <w:t>Chinese Stroke Support Group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4C0629D" w14:textId="77777777" w:rsidR="00F962BE" w:rsidRPr="00A3130C" w:rsidRDefault="00F962BE">
            <w:pPr>
              <w:pStyle w:val="ARTabletext"/>
              <w:jc w:val="right"/>
              <w:rPr>
                <w:rFonts w:eastAsia="Times"/>
              </w:rPr>
            </w:pPr>
            <w:r w:rsidRPr="00A3130C">
              <w:rPr>
                <w:rFonts w:eastAsia="Times"/>
              </w:rPr>
              <w:t>6,809</w:t>
            </w:r>
          </w:p>
        </w:tc>
      </w:tr>
      <w:tr w:rsidR="00F962BE" w:rsidRPr="00A3130C" w14:paraId="62A34752"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12E348D2" w14:textId="77777777" w:rsidR="00F962BE" w:rsidRPr="00A3130C" w:rsidRDefault="00F962BE">
            <w:pPr>
              <w:pStyle w:val="ARTabletext"/>
              <w:rPr>
                <w:rFonts w:eastAsia="Times"/>
              </w:rPr>
            </w:pPr>
            <w:proofErr w:type="spellStart"/>
            <w:r w:rsidRPr="00A3130C">
              <w:rPr>
                <w:rFonts w:eastAsia="Times"/>
              </w:rPr>
              <w:t>Chrisalis</w:t>
            </w:r>
            <w:proofErr w:type="spellEnd"/>
            <w:r w:rsidRPr="00A3130C">
              <w:rPr>
                <w:rFonts w:eastAsia="Times"/>
              </w:rPr>
              <w:t xml:space="preserve"> Foundation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346D5D5B" w14:textId="77777777" w:rsidR="00F962BE" w:rsidRPr="00A3130C" w:rsidRDefault="00F962BE">
            <w:pPr>
              <w:pStyle w:val="ARTabletext"/>
              <w:jc w:val="right"/>
              <w:rPr>
                <w:rFonts w:eastAsia="Times"/>
              </w:rPr>
            </w:pPr>
            <w:r w:rsidRPr="00A3130C">
              <w:rPr>
                <w:rFonts w:eastAsia="Times"/>
              </w:rPr>
              <w:t>10,591</w:t>
            </w:r>
          </w:p>
        </w:tc>
      </w:tr>
      <w:tr w:rsidR="00F962BE" w:rsidRPr="00A3130C" w14:paraId="75353CF1"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2CF3F7C5" w14:textId="77777777" w:rsidR="00F962BE" w:rsidRPr="00A3130C" w:rsidRDefault="00F962BE">
            <w:pPr>
              <w:pStyle w:val="ARTabletext"/>
              <w:rPr>
                <w:rFonts w:eastAsia="Times"/>
              </w:rPr>
            </w:pPr>
            <w:r w:rsidRPr="00A3130C">
              <w:rPr>
                <w:rFonts w:eastAsia="Times"/>
              </w:rPr>
              <w:t>Chronic Pain Australia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26751862" w14:textId="77777777" w:rsidR="00F962BE" w:rsidRPr="00A3130C" w:rsidRDefault="00F962BE">
            <w:pPr>
              <w:pStyle w:val="ARTabletext"/>
              <w:jc w:val="right"/>
              <w:rPr>
                <w:rFonts w:eastAsia="Times"/>
              </w:rPr>
            </w:pPr>
            <w:r w:rsidRPr="00A3130C">
              <w:rPr>
                <w:rFonts w:eastAsia="Times"/>
              </w:rPr>
              <w:t>6,809</w:t>
            </w:r>
          </w:p>
        </w:tc>
      </w:tr>
      <w:tr w:rsidR="00F962BE" w:rsidRPr="00A3130C" w14:paraId="319DBE62"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166FE57C" w14:textId="77777777" w:rsidR="00F962BE" w:rsidRPr="00A3130C" w:rsidRDefault="00F962BE">
            <w:pPr>
              <w:pStyle w:val="ARTabletext"/>
              <w:rPr>
                <w:rFonts w:eastAsia="Times"/>
              </w:rPr>
            </w:pPr>
            <w:r w:rsidRPr="00A3130C">
              <w:rPr>
                <w:rFonts w:eastAsia="Times"/>
              </w:rPr>
              <w:t xml:space="preserve">Collective of </w:t>
            </w:r>
            <w:proofErr w:type="gramStart"/>
            <w:r w:rsidRPr="00A3130C">
              <w:rPr>
                <w:rFonts w:eastAsia="Times"/>
              </w:rPr>
              <w:t>Self Help</w:t>
            </w:r>
            <w:proofErr w:type="gramEnd"/>
            <w:r w:rsidRPr="00A3130C">
              <w:rPr>
                <w:rFonts w:eastAsia="Times"/>
              </w:rPr>
              <w:t xml:space="preserve"> Groups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DC38A4E" w14:textId="77777777" w:rsidR="00F962BE" w:rsidRPr="00A3130C" w:rsidRDefault="00F962BE">
            <w:pPr>
              <w:pStyle w:val="ARTabletext"/>
              <w:jc w:val="right"/>
              <w:rPr>
                <w:rFonts w:eastAsia="Times"/>
              </w:rPr>
            </w:pPr>
            <w:r w:rsidRPr="00A3130C">
              <w:rPr>
                <w:rFonts w:eastAsia="Times"/>
              </w:rPr>
              <w:t>26,655</w:t>
            </w:r>
          </w:p>
        </w:tc>
      </w:tr>
      <w:tr w:rsidR="00F962BE" w:rsidRPr="00A3130C" w14:paraId="234BE1C1"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0B9D8C99" w14:textId="77777777" w:rsidR="00F962BE" w:rsidRPr="00A3130C" w:rsidRDefault="00F962BE">
            <w:pPr>
              <w:pStyle w:val="ARTabletext"/>
              <w:rPr>
                <w:rFonts w:eastAsia="Times"/>
              </w:rPr>
            </w:pPr>
            <w:r w:rsidRPr="00A3130C">
              <w:rPr>
                <w:rFonts w:eastAsia="Times"/>
              </w:rPr>
              <w:t>Deaf Victoria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362778A3" w14:textId="77777777" w:rsidR="00F962BE" w:rsidRPr="00A3130C" w:rsidRDefault="00F962BE">
            <w:pPr>
              <w:pStyle w:val="ARTabletext"/>
              <w:jc w:val="right"/>
              <w:rPr>
                <w:rFonts w:eastAsia="Times"/>
              </w:rPr>
            </w:pPr>
            <w:r w:rsidRPr="00A3130C">
              <w:rPr>
                <w:rFonts w:eastAsia="Times"/>
              </w:rPr>
              <w:t>6,809</w:t>
            </w:r>
          </w:p>
        </w:tc>
      </w:tr>
      <w:tr w:rsidR="00F962BE" w:rsidRPr="00A3130C" w14:paraId="4430CE2C"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3120691A" w14:textId="77777777" w:rsidR="00F962BE" w:rsidRPr="00A3130C" w:rsidRDefault="00F962BE">
            <w:pPr>
              <w:pStyle w:val="ARTabletext"/>
              <w:rPr>
                <w:rFonts w:eastAsia="Times"/>
              </w:rPr>
            </w:pPr>
            <w:r w:rsidRPr="00A3130C">
              <w:rPr>
                <w:rFonts w:eastAsia="Times"/>
              </w:rPr>
              <w:t>Different Journeys</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436CE8EE" w14:textId="77777777" w:rsidR="00F962BE" w:rsidRPr="00A3130C" w:rsidRDefault="00F962BE">
            <w:pPr>
              <w:pStyle w:val="ARTabletext"/>
              <w:jc w:val="right"/>
              <w:rPr>
                <w:rFonts w:eastAsia="Times"/>
              </w:rPr>
            </w:pPr>
            <w:r w:rsidRPr="00A3130C">
              <w:rPr>
                <w:rFonts w:eastAsia="Times"/>
              </w:rPr>
              <w:t>10,591</w:t>
            </w:r>
          </w:p>
        </w:tc>
      </w:tr>
      <w:tr w:rsidR="00F962BE" w:rsidRPr="00A3130C" w14:paraId="1CA8362D"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1F62546A" w14:textId="77777777" w:rsidR="00F962BE" w:rsidRPr="00A3130C" w:rsidRDefault="00F962BE">
            <w:pPr>
              <w:pStyle w:val="ARTabletext"/>
              <w:rPr>
                <w:rFonts w:eastAsia="Times"/>
              </w:rPr>
            </w:pPr>
            <w:r w:rsidRPr="00A3130C">
              <w:rPr>
                <w:rFonts w:eastAsia="Times"/>
              </w:rPr>
              <w:t>Disability Resources Centre</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A4D259A" w14:textId="77777777" w:rsidR="00F962BE" w:rsidRPr="00A3130C" w:rsidRDefault="00F962BE">
            <w:pPr>
              <w:pStyle w:val="ARTabletext"/>
              <w:jc w:val="right"/>
              <w:rPr>
                <w:rFonts w:eastAsia="Times"/>
              </w:rPr>
            </w:pPr>
            <w:r w:rsidRPr="00A3130C">
              <w:rPr>
                <w:rFonts w:eastAsia="Times"/>
              </w:rPr>
              <w:t>21,182</w:t>
            </w:r>
          </w:p>
        </w:tc>
      </w:tr>
      <w:tr w:rsidR="00F962BE" w:rsidRPr="00A3130C" w14:paraId="7F9D4FB3"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7C331CC8" w14:textId="77777777" w:rsidR="00F962BE" w:rsidRPr="00A3130C" w:rsidRDefault="00F962BE">
            <w:pPr>
              <w:pStyle w:val="ARTabletext"/>
              <w:rPr>
                <w:rFonts w:eastAsia="Times"/>
              </w:rPr>
            </w:pPr>
            <w:r w:rsidRPr="00A3130C">
              <w:rPr>
                <w:rFonts w:eastAsia="Times"/>
              </w:rPr>
              <w:t>Down Syndrome Association of Victoria</w:t>
            </w:r>
            <w:r>
              <w:rPr>
                <w:rFonts w:eastAsia="Times"/>
              </w:rPr>
              <w:t> </w:t>
            </w:r>
            <w:r w:rsidRPr="00A3130C">
              <w:rPr>
                <w:rFonts w:eastAsia="Times"/>
              </w:rPr>
              <w:t>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4FE42CF3" w14:textId="77777777" w:rsidR="00F962BE" w:rsidRPr="00A3130C" w:rsidRDefault="00F962BE">
            <w:pPr>
              <w:pStyle w:val="ARTabletext"/>
              <w:jc w:val="right"/>
              <w:rPr>
                <w:rFonts w:eastAsia="Times"/>
              </w:rPr>
            </w:pPr>
            <w:r w:rsidRPr="00A3130C">
              <w:rPr>
                <w:rFonts w:eastAsia="Times"/>
              </w:rPr>
              <w:t>6,809</w:t>
            </w:r>
          </w:p>
        </w:tc>
      </w:tr>
      <w:tr w:rsidR="00F962BE" w:rsidRPr="00A3130C" w14:paraId="1D17D61B"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510775AB" w14:textId="77777777" w:rsidR="00F962BE" w:rsidRPr="00A3130C" w:rsidRDefault="00F962BE">
            <w:pPr>
              <w:pStyle w:val="ARTabletext"/>
              <w:rPr>
                <w:rFonts w:eastAsia="Times"/>
              </w:rPr>
            </w:pPr>
            <w:r w:rsidRPr="00A3130C">
              <w:rPr>
                <w:rFonts w:eastAsia="Times"/>
              </w:rPr>
              <w:t>East African Women's Foundation</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263A13D7" w14:textId="77777777" w:rsidR="00F962BE" w:rsidRPr="00A3130C" w:rsidRDefault="00F962BE">
            <w:pPr>
              <w:pStyle w:val="ARTabletext"/>
              <w:jc w:val="right"/>
              <w:rPr>
                <w:rFonts w:eastAsia="Times"/>
              </w:rPr>
            </w:pPr>
            <w:r w:rsidRPr="00A3130C">
              <w:rPr>
                <w:rFonts w:eastAsia="Times"/>
              </w:rPr>
              <w:t>10,591</w:t>
            </w:r>
          </w:p>
        </w:tc>
      </w:tr>
      <w:tr w:rsidR="00F962BE" w:rsidRPr="00A3130C" w14:paraId="2BFA7A0B"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367D89B9" w14:textId="77777777" w:rsidR="00F962BE" w:rsidRPr="00A3130C" w:rsidRDefault="00F962BE">
            <w:pPr>
              <w:pStyle w:val="ARTabletext"/>
              <w:rPr>
                <w:rFonts w:eastAsia="Times"/>
              </w:rPr>
            </w:pPr>
            <w:r w:rsidRPr="00A3130C">
              <w:rPr>
                <w:rFonts w:eastAsia="Times"/>
              </w:rPr>
              <w:t>Family Empowerment for Change, Growth, and Social Development</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91955BA" w14:textId="77777777" w:rsidR="00F962BE" w:rsidRPr="00A3130C" w:rsidRDefault="00F962BE">
            <w:pPr>
              <w:pStyle w:val="ARTabletext"/>
              <w:jc w:val="right"/>
              <w:rPr>
                <w:rFonts w:eastAsia="Times"/>
              </w:rPr>
            </w:pPr>
            <w:r w:rsidRPr="00A3130C">
              <w:rPr>
                <w:rFonts w:eastAsia="Times"/>
              </w:rPr>
              <w:t>6,809</w:t>
            </w:r>
          </w:p>
        </w:tc>
      </w:tr>
      <w:tr w:rsidR="00F962BE" w:rsidRPr="00A3130C" w14:paraId="1A77F00F"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4328B7AF" w14:textId="77777777" w:rsidR="00F962BE" w:rsidRPr="00A3130C" w:rsidRDefault="00F962BE">
            <w:pPr>
              <w:pStyle w:val="ARTabletext"/>
              <w:rPr>
                <w:rFonts w:eastAsia="Times"/>
              </w:rPr>
            </w:pPr>
            <w:r w:rsidRPr="00A3130C">
              <w:rPr>
                <w:rFonts w:eastAsia="Times"/>
              </w:rPr>
              <w:t>Fight Parkinsons</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C1B9D8D" w14:textId="77777777" w:rsidR="00F962BE" w:rsidRPr="00A3130C" w:rsidRDefault="00F962BE">
            <w:pPr>
              <w:pStyle w:val="ARTabletext"/>
              <w:jc w:val="right"/>
              <w:rPr>
                <w:rFonts w:eastAsia="Times"/>
              </w:rPr>
            </w:pPr>
            <w:r w:rsidRPr="00A3130C">
              <w:rPr>
                <w:rFonts w:eastAsia="Times"/>
              </w:rPr>
              <w:t>72,971</w:t>
            </w:r>
          </w:p>
        </w:tc>
      </w:tr>
      <w:tr w:rsidR="00F962BE" w:rsidRPr="00A3130C" w14:paraId="464A29C6"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06412E05" w14:textId="77777777" w:rsidR="00F962BE" w:rsidRPr="00A3130C" w:rsidRDefault="00F962BE">
            <w:pPr>
              <w:pStyle w:val="ARTabletext"/>
              <w:rPr>
                <w:rFonts w:eastAsia="Times"/>
              </w:rPr>
            </w:pPr>
            <w:r w:rsidRPr="00A3130C">
              <w:rPr>
                <w:rFonts w:eastAsia="Times"/>
              </w:rPr>
              <w:t xml:space="preserve">Grampians </w:t>
            </w:r>
            <w:proofErr w:type="spellStart"/>
            <w:r w:rsidRPr="00A3130C">
              <w:rPr>
                <w:rFonts w:eastAsia="Times"/>
              </w:rPr>
              <w:t>disAbility</w:t>
            </w:r>
            <w:proofErr w:type="spellEnd"/>
            <w:r w:rsidRPr="00A3130C">
              <w:rPr>
                <w:rFonts w:eastAsia="Times"/>
              </w:rPr>
              <w:t xml:space="preserve"> Advocacy</w:t>
            </w:r>
            <w:r>
              <w:rPr>
                <w:rFonts w:eastAsia="Times"/>
              </w:rPr>
              <w:t> </w:t>
            </w:r>
            <w:r w:rsidRPr="00A3130C">
              <w:rPr>
                <w:rFonts w:eastAsia="Times"/>
              </w:rPr>
              <w:t>Association</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D8F1CA2" w14:textId="77777777" w:rsidR="00F962BE" w:rsidRPr="00A3130C" w:rsidRDefault="00F962BE">
            <w:pPr>
              <w:pStyle w:val="ARTabletext"/>
              <w:jc w:val="right"/>
              <w:rPr>
                <w:rFonts w:eastAsia="Times"/>
              </w:rPr>
            </w:pPr>
            <w:r w:rsidRPr="00A3130C">
              <w:rPr>
                <w:rFonts w:eastAsia="Times"/>
              </w:rPr>
              <w:t>10,591</w:t>
            </w:r>
          </w:p>
        </w:tc>
      </w:tr>
      <w:tr w:rsidR="00F962BE" w:rsidRPr="00A3130C" w14:paraId="42840491"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2631703E" w14:textId="77777777" w:rsidR="00F962BE" w:rsidRPr="00A3130C" w:rsidRDefault="00F962BE">
            <w:pPr>
              <w:pStyle w:val="ARTabletext"/>
              <w:rPr>
                <w:rFonts w:eastAsia="Times"/>
              </w:rPr>
            </w:pPr>
            <w:r w:rsidRPr="00A3130C">
              <w:rPr>
                <w:rFonts w:eastAsia="Times"/>
              </w:rPr>
              <w:t>Hemispherectomy Foundation Australia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1ABAFCC" w14:textId="77777777" w:rsidR="00F962BE" w:rsidRPr="00A3130C" w:rsidRDefault="00F962BE">
            <w:pPr>
              <w:pStyle w:val="ARTabletext"/>
              <w:jc w:val="right"/>
              <w:rPr>
                <w:rFonts w:eastAsia="Times"/>
              </w:rPr>
            </w:pPr>
            <w:r w:rsidRPr="00A3130C">
              <w:rPr>
                <w:rFonts w:eastAsia="Times"/>
              </w:rPr>
              <w:t>10,086</w:t>
            </w:r>
          </w:p>
        </w:tc>
      </w:tr>
      <w:tr w:rsidR="00F962BE" w:rsidRPr="00A3130C" w14:paraId="3F938D8E"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5DB01840" w14:textId="77777777" w:rsidR="00F962BE" w:rsidRPr="00A3130C" w:rsidRDefault="00F962BE">
            <w:pPr>
              <w:pStyle w:val="ARTabletext"/>
              <w:rPr>
                <w:rFonts w:eastAsia="Times"/>
              </w:rPr>
            </w:pPr>
            <w:r w:rsidRPr="00A3130C">
              <w:rPr>
                <w:rFonts w:eastAsia="Times"/>
              </w:rPr>
              <w:t>Inclusive Rainbow Voices</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479F2677" w14:textId="77777777" w:rsidR="00F962BE" w:rsidRPr="00A3130C" w:rsidRDefault="00F962BE">
            <w:pPr>
              <w:pStyle w:val="ARTabletext"/>
              <w:jc w:val="right"/>
              <w:rPr>
                <w:rFonts w:eastAsia="Times"/>
              </w:rPr>
            </w:pPr>
            <w:r w:rsidRPr="00A3130C">
              <w:rPr>
                <w:rFonts w:eastAsia="Times"/>
              </w:rPr>
              <w:t>10,591</w:t>
            </w:r>
          </w:p>
        </w:tc>
      </w:tr>
      <w:tr w:rsidR="00F962BE" w:rsidRPr="00A3130C" w14:paraId="112FA990"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1AAA50C3" w14:textId="77777777" w:rsidR="00F962BE" w:rsidRPr="00A3130C" w:rsidRDefault="00F962BE">
            <w:pPr>
              <w:pStyle w:val="ARTabletext"/>
              <w:rPr>
                <w:rFonts w:eastAsia="Times"/>
              </w:rPr>
            </w:pPr>
            <w:r w:rsidRPr="00A3130C">
              <w:rPr>
                <w:rFonts w:eastAsia="Times"/>
              </w:rPr>
              <w:t>Kyabram Community and</w:t>
            </w:r>
            <w:r>
              <w:rPr>
                <w:rFonts w:eastAsia="Times"/>
              </w:rPr>
              <w:t> </w:t>
            </w:r>
            <w:r w:rsidRPr="00A3130C">
              <w:rPr>
                <w:rFonts w:eastAsia="Times"/>
              </w:rPr>
              <w:t>Learning</w:t>
            </w:r>
            <w:r>
              <w:rPr>
                <w:rFonts w:eastAsia="Times"/>
              </w:rPr>
              <w:t> </w:t>
            </w:r>
            <w:r w:rsidRPr="00A3130C">
              <w:rPr>
                <w:rFonts w:eastAsia="Times"/>
              </w:rPr>
              <w:t>Centre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2E909F5" w14:textId="77777777" w:rsidR="00F962BE" w:rsidRPr="00A3130C" w:rsidRDefault="00F962BE">
            <w:pPr>
              <w:pStyle w:val="ARTabletext"/>
              <w:jc w:val="right"/>
              <w:rPr>
                <w:rFonts w:eastAsia="Times"/>
              </w:rPr>
            </w:pPr>
            <w:r w:rsidRPr="00A3130C">
              <w:rPr>
                <w:rFonts w:eastAsia="Times"/>
              </w:rPr>
              <w:t>10,591</w:t>
            </w:r>
          </w:p>
        </w:tc>
      </w:tr>
      <w:tr w:rsidR="00F962BE" w:rsidRPr="00A3130C" w14:paraId="4F080122"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6C88BD92" w14:textId="77777777" w:rsidR="00F962BE" w:rsidRPr="00A3130C" w:rsidRDefault="00F962BE">
            <w:pPr>
              <w:pStyle w:val="ARTabletext"/>
              <w:rPr>
                <w:rFonts w:eastAsia="Times"/>
              </w:rPr>
            </w:pPr>
            <w:r w:rsidRPr="00A3130C">
              <w:rPr>
                <w:rFonts w:eastAsia="Times"/>
              </w:rPr>
              <w:t>LINE Wangaratta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4DD7616" w14:textId="77777777" w:rsidR="00F962BE" w:rsidRPr="00A3130C" w:rsidRDefault="00F962BE">
            <w:pPr>
              <w:pStyle w:val="ARTabletext"/>
              <w:jc w:val="right"/>
              <w:rPr>
                <w:rFonts w:eastAsia="Times"/>
              </w:rPr>
            </w:pPr>
            <w:r w:rsidRPr="00A3130C">
              <w:rPr>
                <w:rFonts w:eastAsia="Times"/>
              </w:rPr>
              <w:t>6,809</w:t>
            </w:r>
          </w:p>
        </w:tc>
      </w:tr>
      <w:tr w:rsidR="00F962BE" w:rsidRPr="00A3130C" w14:paraId="52276F76"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012058B6" w14:textId="77777777" w:rsidR="00F962BE" w:rsidRPr="00A3130C" w:rsidRDefault="00F962BE">
            <w:pPr>
              <w:pStyle w:val="ARTabletext"/>
              <w:rPr>
                <w:rFonts w:eastAsia="Times"/>
              </w:rPr>
            </w:pPr>
            <w:r w:rsidRPr="00A3130C">
              <w:rPr>
                <w:rFonts w:eastAsia="Times"/>
              </w:rPr>
              <w:t>Manningham Inclusive Community</w:t>
            </w:r>
            <w:r>
              <w:rPr>
                <w:rFonts w:eastAsia="Times"/>
              </w:rPr>
              <w:t> </w:t>
            </w:r>
            <w:r w:rsidRPr="00A3130C">
              <w:rPr>
                <w:rFonts w:eastAsia="Times"/>
              </w:rPr>
              <w:t>Housing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0F7EC0C" w14:textId="77777777" w:rsidR="00F962BE" w:rsidRPr="00A3130C" w:rsidRDefault="00F962BE">
            <w:pPr>
              <w:pStyle w:val="ARTabletext"/>
              <w:jc w:val="right"/>
              <w:rPr>
                <w:rFonts w:eastAsia="Times"/>
              </w:rPr>
            </w:pPr>
            <w:r w:rsidRPr="00A3130C">
              <w:rPr>
                <w:rFonts w:eastAsia="Times"/>
              </w:rPr>
              <w:t>6,940</w:t>
            </w:r>
          </w:p>
        </w:tc>
      </w:tr>
      <w:tr w:rsidR="00F962BE" w:rsidRPr="00A3130C" w14:paraId="398BBBC2"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4DEBE4C6" w14:textId="77777777" w:rsidR="00F962BE" w:rsidRPr="00A3130C" w:rsidRDefault="00F962BE">
            <w:pPr>
              <w:pStyle w:val="ARTabletext"/>
              <w:rPr>
                <w:rFonts w:eastAsia="Times"/>
              </w:rPr>
            </w:pPr>
            <w:r w:rsidRPr="00A3130C">
              <w:rPr>
                <w:rFonts w:eastAsia="Times"/>
              </w:rPr>
              <w:t>Mansfield Support Group for Carers and</w:t>
            </w:r>
            <w:r>
              <w:rPr>
                <w:rFonts w:eastAsia="Times"/>
              </w:rPr>
              <w:t> </w:t>
            </w:r>
            <w:r w:rsidRPr="00A3130C">
              <w:rPr>
                <w:rFonts w:eastAsia="Times"/>
              </w:rPr>
              <w:t>People with Special Needs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6DB450C6" w14:textId="77777777" w:rsidR="00F962BE" w:rsidRPr="00A3130C" w:rsidRDefault="00F962BE">
            <w:pPr>
              <w:pStyle w:val="ARTabletext"/>
              <w:jc w:val="right"/>
              <w:rPr>
                <w:rFonts w:eastAsia="Times"/>
              </w:rPr>
            </w:pPr>
            <w:r w:rsidRPr="00A3130C">
              <w:rPr>
                <w:rFonts w:eastAsia="Times"/>
              </w:rPr>
              <w:t>10,591</w:t>
            </w:r>
          </w:p>
        </w:tc>
      </w:tr>
      <w:tr w:rsidR="00F962BE" w:rsidRPr="00A3130C" w14:paraId="14F7BB09"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40AED6D2" w14:textId="77777777" w:rsidR="00F962BE" w:rsidRPr="00A3130C" w:rsidRDefault="00F962BE">
            <w:pPr>
              <w:pStyle w:val="ARTabletext"/>
              <w:rPr>
                <w:rFonts w:eastAsia="Times"/>
              </w:rPr>
            </w:pPr>
            <w:r w:rsidRPr="00A3130C">
              <w:rPr>
                <w:rFonts w:eastAsia="Times"/>
              </w:rPr>
              <w:t>Mixed Nuts Media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E740BDC" w14:textId="77777777" w:rsidR="00F962BE" w:rsidRPr="00A3130C" w:rsidRDefault="00F962BE">
            <w:pPr>
              <w:pStyle w:val="ARTabletext"/>
              <w:jc w:val="right"/>
              <w:rPr>
                <w:rFonts w:eastAsia="Times"/>
              </w:rPr>
            </w:pPr>
            <w:r w:rsidRPr="00A3130C">
              <w:rPr>
                <w:rFonts w:eastAsia="Times"/>
              </w:rPr>
              <w:t>10,591</w:t>
            </w:r>
          </w:p>
        </w:tc>
      </w:tr>
      <w:tr w:rsidR="00F962BE" w:rsidRPr="00A3130C" w14:paraId="5262CCAE"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7ECF0003" w14:textId="77777777" w:rsidR="00F962BE" w:rsidRPr="00A3130C" w:rsidRDefault="00F962BE">
            <w:pPr>
              <w:pStyle w:val="ARTabletext"/>
              <w:rPr>
                <w:rFonts w:eastAsia="Times"/>
              </w:rPr>
            </w:pPr>
            <w:r w:rsidRPr="00A3130C">
              <w:rPr>
                <w:rFonts w:eastAsia="Times"/>
              </w:rPr>
              <w:t>Monash Student Association (Clayton)</w:t>
            </w:r>
            <w:r>
              <w:rPr>
                <w:rFonts w:eastAsia="Times"/>
              </w:rPr>
              <w:t> </w:t>
            </w:r>
            <w:r w:rsidRPr="00A3130C">
              <w:rPr>
                <w:rFonts w:eastAsia="Times"/>
              </w:rPr>
              <w:t>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664078AF" w14:textId="77777777" w:rsidR="00F962BE" w:rsidRPr="00A3130C" w:rsidRDefault="00F962BE">
            <w:pPr>
              <w:pStyle w:val="ARTabletext"/>
              <w:jc w:val="right"/>
              <w:rPr>
                <w:rFonts w:eastAsia="Times"/>
              </w:rPr>
            </w:pPr>
            <w:r w:rsidRPr="00A3130C">
              <w:rPr>
                <w:rFonts w:eastAsia="Times"/>
              </w:rPr>
              <w:t>5,296</w:t>
            </w:r>
          </w:p>
        </w:tc>
      </w:tr>
      <w:tr w:rsidR="00F962BE" w:rsidRPr="00A3130C" w14:paraId="00BE7EB4"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335319C3" w14:textId="77777777" w:rsidR="00F962BE" w:rsidRPr="00A3130C" w:rsidRDefault="00F962BE">
            <w:pPr>
              <w:pStyle w:val="ARTabletext"/>
              <w:rPr>
                <w:rFonts w:eastAsia="Times"/>
              </w:rPr>
            </w:pPr>
            <w:r w:rsidRPr="00A3130C">
              <w:rPr>
                <w:rFonts w:eastAsia="Times"/>
              </w:rPr>
              <w:t>Mooroopna Education and</w:t>
            </w:r>
            <w:r>
              <w:rPr>
                <w:rFonts w:eastAsia="Times"/>
              </w:rPr>
              <w:t> </w:t>
            </w:r>
            <w:r w:rsidRPr="00A3130C">
              <w:rPr>
                <w:rFonts w:eastAsia="Times"/>
              </w:rPr>
              <w:t>Activity</w:t>
            </w:r>
            <w:r>
              <w:rPr>
                <w:rFonts w:eastAsia="Times"/>
              </w:rPr>
              <w:t> </w:t>
            </w:r>
            <w:r w:rsidRPr="00A3130C">
              <w:rPr>
                <w:rFonts w:eastAsia="Times"/>
              </w:rPr>
              <w:t>Centre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6100C8F" w14:textId="77777777" w:rsidR="00F962BE" w:rsidRPr="00A3130C" w:rsidRDefault="00F962BE">
            <w:pPr>
              <w:pStyle w:val="ARTabletext"/>
              <w:jc w:val="right"/>
              <w:rPr>
                <w:rFonts w:eastAsia="Times"/>
              </w:rPr>
            </w:pPr>
            <w:r w:rsidRPr="00A3130C">
              <w:rPr>
                <w:rFonts w:eastAsia="Times"/>
              </w:rPr>
              <w:t>6,809</w:t>
            </w:r>
          </w:p>
        </w:tc>
      </w:tr>
      <w:tr w:rsidR="00F962BE" w:rsidRPr="00A3130C" w14:paraId="60CB35AD"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270F6E13" w14:textId="77777777" w:rsidR="00F962BE" w:rsidRPr="00A3130C" w:rsidRDefault="00F962BE">
            <w:pPr>
              <w:pStyle w:val="ARTabletext"/>
              <w:rPr>
                <w:rFonts w:eastAsia="Times"/>
              </w:rPr>
            </w:pPr>
            <w:r w:rsidRPr="00A3130C">
              <w:rPr>
                <w:rFonts w:eastAsia="Times"/>
              </w:rPr>
              <w:t>Multicultural Sudanese Centre</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5FE889A" w14:textId="77777777" w:rsidR="00F962BE" w:rsidRPr="00A3130C" w:rsidRDefault="00F962BE">
            <w:pPr>
              <w:pStyle w:val="ARTabletext"/>
              <w:jc w:val="right"/>
              <w:rPr>
                <w:rFonts w:eastAsia="Times"/>
              </w:rPr>
            </w:pPr>
            <w:r w:rsidRPr="00A3130C">
              <w:rPr>
                <w:rFonts w:eastAsia="Times"/>
              </w:rPr>
              <w:t>6,809</w:t>
            </w:r>
          </w:p>
        </w:tc>
      </w:tr>
      <w:tr w:rsidR="00F962BE" w:rsidRPr="00A3130C" w14:paraId="709841B4"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6ED7191B" w14:textId="77777777" w:rsidR="00F962BE" w:rsidRPr="00A3130C" w:rsidRDefault="00F962BE">
            <w:pPr>
              <w:pStyle w:val="ARTabletext"/>
              <w:rPr>
                <w:rFonts w:eastAsia="Times"/>
              </w:rPr>
            </w:pPr>
            <w:r w:rsidRPr="00A3130C">
              <w:rPr>
                <w:rFonts w:eastAsia="Times"/>
              </w:rPr>
              <w:t>Muscular Dystrophy Australia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4CEB0E81" w14:textId="77777777" w:rsidR="00F962BE" w:rsidRPr="00A3130C" w:rsidRDefault="00F962BE">
            <w:pPr>
              <w:pStyle w:val="ARTabletext"/>
              <w:jc w:val="right"/>
              <w:rPr>
                <w:rFonts w:eastAsia="Times"/>
              </w:rPr>
            </w:pPr>
            <w:r w:rsidRPr="00A3130C">
              <w:rPr>
                <w:rFonts w:eastAsia="Times"/>
              </w:rPr>
              <w:t>5,401</w:t>
            </w:r>
          </w:p>
        </w:tc>
      </w:tr>
      <w:tr w:rsidR="00F962BE" w:rsidRPr="00A3130C" w14:paraId="0B486AC0"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1C1D843D" w14:textId="77777777" w:rsidR="00F962BE" w:rsidRPr="00A3130C" w:rsidRDefault="00F962BE">
            <w:pPr>
              <w:pStyle w:val="ARTabletext"/>
              <w:rPr>
                <w:rFonts w:eastAsia="Times"/>
              </w:rPr>
            </w:pPr>
            <w:r w:rsidRPr="00A3130C">
              <w:rPr>
                <w:rFonts w:eastAsia="Times"/>
              </w:rPr>
              <w:t>Music and The Brain Foundation Ltd</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3366D6BA" w14:textId="77777777" w:rsidR="00F962BE" w:rsidRPr="00A3130C" w:rsidRDefault="00F962BE">
            <w:pPr>
              <w:pStyle w:val="ARTabletext"/>
              <w:jc w:val="right"/>
              <w:rPr>
                <w:rFonts w:eastAsia="Times"/>
              </w:rPr>
            </w:pPr>
            <w:r w:rsidRPr="00A3130C">
              <w:rPr>
                <w:rFonts w:eastAsia="Times"/>
              </w:rPr>
              <w:t>6,051</w:t>
            </w:r>
          </w:p>
        </w:tc>
      </w:tr>
      <w:tr w:rsidR="00F962BE" w:rsidRPr="00A3130C" w14:paraId="560BA662"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7433FEAB" w14:textId="77777777" w:rsidR="00F962BE" w:rsidRPr="00A3130C" w:rsidRDefault="00F962BE">
            <w:pPr>
              <w:pStyle w:val="ARTabletext"/>
              <w:rPr>
                <w:rFonts w:eastAsia="Times"/>
              </w:rPr>
            </w:pPr>
            <w:r w:rsidRPr="00A3130C">
              <w:rPr>
                <w:rFonts w:eastAsia="Times"/>
              </w:rPr>
              <w:t>Northern Autism Network</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9BDEBCC" w14:textId="77777777" w:rsidR="00F962BE" w:rsidRPr="00A3130C" w:rsidRDefault="00F962BE">
            <w:pPr>
              <w:pStyle w:val="ARTabletext"/>
              <w:jc w:val="right"/>
              <w:rPr>
                <w:rFonts w:eastAsia="Times"/>
              </w:rPr>
            </w:pPr>
            <w:r w:rsidRPr="00A3130C">
              <w:rPr>
                <w:rFonts w:eastAsia="Times"/>
              </w:rPr>
              <w:t>10,591</w:t>
            </w:r>
          </w:p>
        </w:tc>
      </w:tr>
      <w:tr w:rsidR="00F962BE" w:rsidRPr="00A3130C" w14:paraId="1BC62766"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17FADD10" w14:textId="77777777" w:rsidR="00F962BE" w:rsidRPr="00A3130C" w:rsidRDefault="00F962BE">
            <w:pPr>
              <w:pStyle w:val="ARTabletext"/>
              <w:rPr>
                <w:rFonts w:eastAsia="Times"/>
              </w:rPr>
            </w:pPr>
            <w:proofErr w:type="spellStart"/>
            <w:r w:rsidRPr="00A3130C">
              <w:rPr>
                <w:rFonts w:eastAsia="Times"/>
              </w:rPr>
              <w:t>OdysseyCare</w:t>
            </w:r>
            <w:proofErr w:type="spellEnd"/>
            <w:r w:rsidRPr="00A3130C">
              <w:rPr>
                <w:rFonts w:eastAsia="Times"/>
              </w:rPr>
              <w:t xml:space="preserve"> Solutions</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DFF7207" w14:textId="77777777" w:rsidR="00F962BE" w:rsidRPr="00A3130C" w:rsidRDefault="00F962BE">
            <w:pPr>
              <w:pStyle w:val="ARTabletext"/>
              <w:jc w:val="right"/>
              <w:rPr>
                <w:rFonts w:eastAsia="Times"/>
              </w:rPr>
            </w:pPr>
            <w:r w:rsidRPr="00A3130C">
              <w:rPr>
                <w:rFonts w:eastAsia="Times"/>
              </w:rPr>
              <w:t>6,809</w:t>
            </w:r>
          </w:p>
        </w:tc>
      </w:tr>
      <w:tr w:rsidR="00F962BE" w:rsidRPr="00A3130C" w14:paraId="1C8FFE9A"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1BE23804" w14:textId="77777777" w:rsidR="00F962BE" w:rsidRPr="00A3130C" w:rsidRDefault="00F962BE">
            <w:pPr>
              <w:pStyle w:val="ARTabletext"/>
              <w:rPr>
                <w:rFonts w:eastAsia="Times"/>
              </w:rPr>
            </w:pPr>
            <w:r w:rsidRPr="00A3130C">
              <w:rPr>
                <w:rFonts w:eastAsia="Times"/>
              </w:rPr>
              <w:t>Peninsula Autism Friendship Group</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08BC1A0" w14:textId="77777777" w:rsidR="00F962BE" w:rsidRPr="00A3130C" w:rsidRDefault="00F962BE">
            <w:pPr>
              <w:pStyle w:val="ARTabletext"/>
              <w:jc w:val="right"/>
              <w:rPr>
                <w:rFonts w:eastAsia="Times"/>
              </w:rPr>
            </w:pPr>
            <w:r w:rsidRPr="00A3130C">
              <w:rPr>
                <w:rFonts w:eastAsia="Times"/>
              </w:rPr>
              <w:t>10,591</w:t>
            </w:r>
          </w:p>
        </w:tc>
      </w:tr>
      <w:tr w:rsidR="00F962BE" w:rsidRPr="00A3130C" w14:paraId="6113ED53"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5B272DDD" w14:textId="77777777" w:rsidR="00F962BE" w:rsidRPr="00A3130C" w:rsidRDefault="00F962BE">
            <w:pPr>
              <w:pStyle w:val="ARTabletext"/>
              <w:rPr>
                <w:rFonts w:eastAsia="Times"/>
              </w:rPr>
            </w:pPr>
            <w:r w:rsidRPr="00A3130C">
              <w:rPr>
                <w:rFonts w:eastAsia="Times"/>
              </w:rPr>
              <w:t>People with Multiple Sclerosis Vic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91761E9" w14:textId="77777777" w:rsidR="00F962BE" w:rsidRPr="00A3130C" w:rsidRDefault="00F962BE">
            <w:pPr>
              <w:pStyle w:val="ARTabletext"/>
              <w:jc w:val="right"/>
              <w:rPr>
                <w:rFonts w:eastAsia="Times"/>
              </w:rPr>
            </w:pPr>
            <w:r w:rsidRPr="00A3130C">
              <w:rPr>
                <w:rFonts w:eastAsia="Times"/>
              </w:rPr>
              <w:t>10,553</w:t>
            </w:r>
          </w:p>
        </w:tc>
      </w:tr>
      <w:tr w:rsidR="00F962BE" w:rsidRPr="00A3130C" w14:paraId="6EBDDC7A"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54848682" w14:textId="77777777" w:rsidR="00F962BE" w:rsidRPr="00A3130C" w:rsidRDefault="00F962BE">
            <w:pPr>
              <w:pStyle w:val="ARTabletext"/>
              <w:rPr>
                <w:rFonts w:eastAsia="Times"/>
              </w:rPr>
            </w:pPr>
            <w:r w:rsidRPr="00A3130C">
              <w:rPr>
                <w:rFonts w:eastAsia="Times"/>
              </w:rPr>
              <w:t>Polio Victoria Incorporated – T/a Polio Network Victoria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7B28FEA4" w14:textId="77777777" w:rsidR="00F962BE" w:rsidRPr="00A3130C" w:rsidRDefault="00F962BE">
            <w:pPr>
              <w:pStyle w:val="ARTabletext"/>
              <w:jc w:val="right"/>
              <w:rPr>
                <w:rFonts w:eastAsia="Times"/>
              </w:rPr>
            </w:pPr>
            <w:r w:rsidRPr="00A3130C">
              <w:rPr>
                <w:rFonts w:eastAsia="Times"/>
              </w:rPr>
              <w:t>10,591</w:t>
            </w:r>
          </w:p>
        </w:tc>
      </w:tr>
      <w:tr w:rsidR="00F962BE" w:rsidRPr="00A3130C" w14:paraId="16E34D92"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04C01AC0" w14:textId="77777777" w:rsidR="00F962BE" w:rsidRPr="00A3130C" w:rsidRDefault="00F962BE">
            <w:pPr>
              <w:pStyle w:val="ARTabletext"/>
              <w:rPr>
                <w:rFonts w:eastAsia="Times"/>
              </w:rPr>
            </w:pPr>
            <w:r w:rsidRPr="00A3130C">
              <w:rPr>
                <w:rFonts w:eastAsia="Times"/>
              </w:rPr>
              <w:t>Preston Neighbourhood House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8CEF6EA" w14:textId="77777777" w:rsidR="00F962BE" w:rsidRPr="00A3130C" w:rsidRDefault="00F962BE">
            <w:pPr>
              <w:pStyle w:val="ARTabletext"/>
              <w:jc w:val="right"/>
              <w:rPr>
                <w:rFonts w:eastAsia="Times"/>
              </w:rPr>
            </w:pPr>
            <w:r w:rsidRPr="00A3130C">
              <w:rPr>
                <w:rFonts w:eastAsia="Times"/>
              </w:rPr>
              <w:t>6,052</w:t>
            </w:r>
          </w:p>
        </w:tc>
      </w:tr>
      <w:tr w:rsidR="00F962BE" w:rsidRPr="00A3130C" w14:paraId="6029EC9C"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2923965C" w14:textId="77777777" w:rsidR="00F962BE" w:rsidRPr="00A3130C" w:rsidRDefault="00F962BE">
            <w:pPr>
              <w:pStyle w:val="ARTabletext"/>
              <w:rPr>
                <w:rFonts w:eastAsia="Times"/>
              </w:rPr>
            </w:pPr>
            <w:r w:rsidRPr="00A3130C">
              <w:rPr>
                <w:rFonts w:eastAsia="Times"/>
              </w:rPr>
              <w:t>PS My Family Matters</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54C035D" w14:textId="77777777" w:rsidR="00F962BE" w:rsidRPr="00A3130C" w:rsidRDefault="00F962BE">
            <w:pPr>
              <w:pStyle w:val="ARTabletext"/>
              <w:jc w:val="right"/>
              <w:rPr>
                <w:rFonts w:eastAsia="Times"/>
              </w:rPr>
            </w:pPr>
            <w:r w:rsidRPr="00A3130C">
              <w:rPr>
                <w:rFonts w:eastAsia="Times"/>
              </w:rPr>
              <w:t>10,591</w:t>
            </w:r>
          </w:p>
        </w:tc>
      </w:tr>
      <w:tr w:rsidR="00F962BE" w:rsidRPr="00A3130C" w14:paraId="220DBF2B"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4367171B" w14:textId="77777777" w:rsidR="00F962BE" w:rsidRPr="00A3130C" w:rsidRDefault="00F962BE">
            <w:pPr>
              <w:pStyle w:val="ARTabletext"/>
              <w:rPr>
                <w:rFonts w:eastAsia="Times"/>
              </w:rPr>
            </w:pPr>
            <w:r w:rsidRPr="00A3130C">
              <w:rPr>
                <w:rFonts w:eastAsia="Times"/>
              </w:rPr>
              <w:t xml:space="preserve">Quantin </w:t>
            </w:r>
            <w:proofErr w:type="spellStart"/>
            <w:r w:rsidRPr="00A3130C">
              <w:rPr>
                <w:rFonts w:eastAsia="Times"/>
              </w:rPr>
              <w:t>Binnah</w:t>
            </w:r>
            <w:proofErr w:type="spellEnd"/>
            <w:r w:rsidRPr="00A3130C">
              <w:rPr>
                <w:rFonts w:eastAsia="Times"/>
              </w:rPr>
              <w:t xml:space="preserve"> Community Centre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64EE3901" w14:textId="77777777" w:rsidR="00F962BE" w:rsidRPr="00A3130C" w:rsidRDefault="00F962BE">
            <w:pPr>
              <w:pStyle w:val="ARTabletext"/>
              <w:jc w:val="right"/>
              <w:rPr>
                <w:rFonts w:eastAsia="Times"/>
              </w:rPr>
            </w:pPr>
            <w:r w:rsidRPr="00A3130C">
              <w:rPr>
                <w:rFonts w:eastAsia="Times"/>
              </w:rPr>
              <w:t>4,161</w:t>
            </w:r>
          </w:p>
        </w:tc>
      </w:tr>
      <w:tr w:rsidR="00F962BE" w:rsidRPr="00A3130C" w14:paraId="36841096"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046BAC5E" w14:textId="77777777" w:rsidR="00F962BE" w:rsidRPr="00A3130C" w:rsidRDefault="00F962BE">
            <w:pPr>
              <w:pStyle w:val="ARTabletext"/>
              <w:rPr>
                <w:rFonts w:eastAsia="Times"/>
              </w:rPr>
            </w:pPr>
            <w:proofErr w:type="spellStart"/>
            <w:r w:rsidRPr="00A3130C">
              <w:rPr>
                <w:rFonts w:eastAsia="Times"/>
              </w:rPr>
              <w:t>Salamfest</w:t>
            </w:r>
            <w:proofErr w:type="spellEnd"/>
            <w:r w:rsidRPr="00A3130C">
              <w:rPr>
                <w:rFonts w:eastAsia="Times"/>
              </w:rPr>
              <w:t xml:space="preserve">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31C03A29" w14:textId="77777777" w:rsidR="00F962BE" w:rsidRPr="00A3130C" w:rsidRDefault="00F962BE">
            <w:pPr>
              <w:pStyle w:val="ARTabletext"/>
              <w:jc w:val="right"/>
              <w:rPr>
                <w:rFonts w:eastAsia="Times"/>
              </w:rPr>
            </w:pPr>
            <w:r w:rsidRPr="00A3130C">
              <w:rPr>
                <w:rFonts w:eastAsia="Times"/>
              </w:rPr>
              <w:t>6,809</w:t>
            </w:r>
          </w:p>
        </w:tc>
      </w:tr>
      <w:tr w:rsidR="00F962BE" w:rsidRPr="00A3130C" w14:paraId="282FCEDE"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037D0E3B" w14:textId="77777777" w:rsidR="00F962BE" w:rsidRPr="00A3130C" w:rsidRDefault="00F962BE">
            <w:pPr>
              <w:pStyle w:val="ARTabletext"/>
              <w:rPr>
                <w:rFonts w:eastAsia="Times"/>
              </w:rPr>
            </w:pPr>
            <w:r w:rsidRPr="00A3130C">
              <w:rPr>
                <w:rFonts w:eastAsia="Times"/>
              </w:rPr>
              <w:t>The Association of Hazaras in Victoria</w:t>
            </w:r>
            <w:r>
              <w:rPr>
                <w:rFonts w:eastAsia="Times"/>
              </w:rPr>
              <w:t> </w:t>
            </w:r>
            <w:r w:rsidRPr="00A3130C">
              <w:rPr>
                <w:rFonts w:eastAsia="Times"/>
              </w:rPr>
              <w:t>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6F97A8B3" w14:textId="77777777" w:rsidR="00F962BE" w:rsidRPr="00A3130C" w:rsidRDefault="00F962BE">
            <w:pPr>
              <w:pStyle w:val="ARTabletext"/>
              <w:jc w:val="right"/>
              <w:rPr>
                <w:rFonts w:eastAsia="Times"/>
              </w:rPr>
            </w:pPr>
            <w:r w:rsidRPr="00A3130C">
              <w:rPr>
                <w:rFonts w:eastAsia="Times"/>
              </w:rPr>
              <w:t>6,809</w:t>
            </w:r>
          </w:p>
        </w:tc>
      </w:tr>
      <w:tr w:rsidR="00F962BE" w:rsidRPr="00A3130C" w14:paraId="3460BE14"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4D1FED98" w14:textId="77777777" w:rsidR="00F962BE" w:rsidRPr="00A3130C" w:rsidRDefault="00F962BE">
            <w:pPr>
              <w:pStyle w:val="ARTabletext"/>
              <w:rPr>
                <w:rFonts w:eastAsia="Times"/>
              </w:rPr>
            </w:pPr>
            <w:r w:rsidRPr="00A3130C">
              <w:rPr>
                <w:rFonts w:eastAsia="Times"/>
              </w:rPr>
              <w:t xml:space="preserve">The Trustee for The </w:t>
            </w:r>
            <w:proofErr w:type="spellStart"/>
            <w:r w:rsidRPr="00A3130C">
              <w:rPr>
                <w:rFonts w:eastAsia="Times"/>
              </w:rPr>
              <w:t>Sistar</w:t>
            </w:r>
            <w:proofErr w:type="spellEnd"/>
            <w:r w:rsidRPr="00A3130C">
              <w:rPr>
                <w:rFonts w:eastAsia="Times"/>
              </w:rPr>
              <w:t xml:space="preserve"> Squad Unit</w:t>
            </w:r>
            <w:r>
              <w:rPr>
                <w:rFonts w:eastAsia="Times"/>
              </w:rPr>
              <w:t> </w:t>
            </w:r>
            <w:r w:rsidRPr="00A3130C">
              <w:rPr>
                <w:rFonts w:eastAsia="Times"/>
              </w:rPr>
              <w:t>Trust</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CEABCFB" w14:textId="77777777" w:rsidR="00F962BE" w:rsidRPr="00A3130C" w:rsidRDefault="00F962BE">
            <w:pPr>
              <w:pStyle w:val="ARTabletext"/>
              <w:jc w:val="right"/>
              <w:rPr>
                <w:rFonts w:eastAsia="Times"/>
              </w:rPr>
            </w:pPr>
            <w:r w:rsidRPr="00A3130C">
              <w:rPr>
                <w:rFonts w:eastAsia="Times"/>
              </w:rPr>
              <w:t>6,809</w:t>
            </w:r>
          </w:p>
        </w:tc>
      </w:tr>
      <w:tr w:rsidR="00F962BE" w:rsidRPr="00A3130C" w14:paraId="20B30D69"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7E68D762" w14:textId="77777777" w:rsidR="00F962BE" w:rsidRPr="00A3130C" w:rsidRDefault="00F962BE">
            <w:pPr>
              <w:pStyle w:val="ARTabletext"/>
              <w:rPr>
                <w:rFonts w:eastAsia="Times"/>
              </w:rPr>
            </w:pPr>
            <w:proofErr w:type="spellStart"/>
            <w:r w:rsidRPr="00A3130C">
              <w:rPr>
                <w:rFonts w:eastAsia="Times"/>
              </w:rPr>
              <w:t>UsherKids</w:t>
            </w:r>
            <w:proofErr w:type="spellEnd"/>
            <w:r w:rsidRPr="00A3130C">
              <w:rPr>
                <w:rFonts w:eastAsia="Times"/>
              </w:rPr>
              <w:t xml:space="preserve"> Australia Ltd</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71BCDCE" w14:textId="77777777" w:rsidR="00F962BE" w:rsidRPr="00A3130C" w:rsidRDefault="00F962BE">
            <w:pPr>
              <w:pStyle w:val="ARTabletext"/>
              <w:jc w:val="right"/>
              <w:rPr>
                <w:rFonts w:eastAsia="Times"/>
              </w:rPr>
            </w:pPr>
            <w:r w:rsidRPr="00A3130C">
              <w:rPr>
                <w:rFonts w:eastAsia="Times"/>
              </w:rPr>
              <w:t>10,591</w:t>
            </w:r>
          </w:p>
        </w:tc>
      </w:tr>
      <w:tr w:rsidR="00F962BE" w:rsidRPr="00A3130C" w14:paraId="49CBB9D7"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10164A1E" w14:textId="77777777" w:rsidR="00F962BE" w:rsidRPr="00A3130C" w:rsidRDefault="00F962BE">
            <w:pPr>
              <w:pStyle w:val="ARTabletext"/>
              <w:rPr>
                <w:rFonts w:eastAsia="Times"/>
              </w:rPr>
            </w:pPr>
            <w:r w:rsidRPr="00A3130C">
              <w:rPr>
                <w:rFonts w:eastAsia="Times"/>
              </w:rPr>
              <w:t>Vietnamese Families with Special needs</w:t>
            </w:r>
            <w:r>
              <w:rPr>
                <w:rFonts w:eastAsia="Times"/>
              </w:rPr>
              <w:t> </w:t>
            </w:r>
            <w:r w:rsidRPr="00A3130C">
              <w:rPr>
                <w:rFonts w:eastAsia="Times"/>
              </w:rPr>
              <w:t>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422613A0" w14:textId="77777777" w:rsidR="00F962BE" w:rsidRPr="00A3130C" w:rsidRDefault="00F962BE">
            <w:pPr>
              <w:pStyle w:val="ARTabletext"/>
              <w:jc w:val="right"/>
              <w:rPr>
                <w:rFonts w:eastAsia="Times"/>
              </w:rPr>
            </w:pPr>
            <w:r w:rsidRPr="00A3130C">
              <w:rPr>
                <w:rFonts w:eastAsia="Times"/>
              </w:rPr>
              <w:t>10,591</w:t>
            </w:r>
          </w:p>
        </w:tc>
      </w:tr>
      <w:tr w:rsidR="00F962BE" w:rsidRPr="00A3130C" w14:paraId="6D552761"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27A54958" w14:textId="77777777" w:rsidR="00F962BE" w:rsidRPr="00A3130C" w:rsidRDefault="00F962BE">
            <w:pPr>
              <w:pStyle w:val="ARTabletext"/>
              <w:rPr>
                <w:rFonts w:eastAsia="Times"/>
              </w:rPr>
            </w:pPr>
            <w:r w:rsidRPr="00A3130C">
              <w:rPr>
                <w:rFonts w:eastAsia="Times"/>
              </w:rPr>
              <w:t>Young Ostomates United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AFB7F73" w14:textId="77777777" w:rsidR="00F962BE" w:rsidRPr="00A3130C" w:rsidRDefault="00F962BE">
            <w:pPr>
              <w:pStyle w:val="ARTabletext"/>
              <w:jc w:val="right"/>
              <w:rPr>
                <w:rFonts w:eastAsia="Times"/>
              </w:rPr>
            </w:pPr>
            <w:r w:rsidRPr="00A3130C">
              <w:rPr>
                <w:rFonts w:eastAsia="Times"/>
              </w:rPr>
              <w:t>1,210</w:t>
            </w:r>
          </w:p>
        </w:tc>
      </w:tr>
      <w:tr w:rsidR="00F962BE" w:rsidRPr="00A3130C" w14:paraId="28BCB820" w14:textId="77777777" w:rsidTr="00735BAF">
        <w:trPr>
          <w:cnfStyle w:val="010000000000" w:firstRow="0" w:lastRow="1" w:firstColumn="0" w:lastColumn="0" w:oddVBand="0" w:evenVBand="0" w:oddHBand="0" w:evenHBand="0" w:firstRowFirstColumn="0" w:firstRowLastColumn="0" w:lastRowFirstColumn="0" w:lastRowLastColumn="0"/>
          <w:trHeight w:val="260"/>
        </w:trPr>
        <w:tc>
          <w:tcPr>
            <w:tcW w:w="4193" w:type="pct"/>
            <w:noWrap/>
            <w:hideMark/>
          </w:tcPr>
          <w:p w14:paraId="76D4B4D0" w14:textId="77777777" w:rsidR="00F962BE" w:rsidRPr="00A3130C" w:rsidRDefault="00F962BE">
            <w:pPr>
              <w:pStyle w:val="ARtabletextbold"/>
              <w:rPr>
                <w:rFonts w:eastAsia="Times"/>
              </w:rPr>
            </w:pPr>
            <w:r w:rsidRPr="00A3130C">
              <w:rPr>
                <w:rFonts w:eastAsia="Times"/>
              </w:rPr>
              <w:t>Total</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9298413" w14:textId="77777777" w:rsidR="00F962BE" w:rsidRPr="00A3130C" w:rsidRDefault="00F962BE">
            <w:pPr>
              <w:pStyle w:val="ARtabletextbold"/>
              <w:jc w:val="right"/>
              <w:rPr>
                <w:rFonts w:eastAsia="Times"/>
              </w:rPr>
            </w:pPr>
            <w:r w:rsidRPr="00A3130C">
              <w:rPr>
                <w:rFonts w:eastAsia="Times"/>
              </w:rPr>
              <w:t>611,278</w:t>
            </w:r>
          </w:p>
        </w:tc>
      </w:tr>
    </w:tbl>
    <w:p w14:paraId="6AF07AB0" w14:textId="77777777" w:rsidR="00F962BE" w:rsidRPr="00563E3A" w:rsidRDefault="00F962BE" w:rsidP="00F962BE">
      <w:pPr>
        <w:pStyle w:val="Heading3Grants"/>
      </w:pPr>
      <w:r w:rsidRPr="00A3130C">
        <w:t>Housing Support and Homelessness Assistance</w:t>
      </w:r>
    </w:p>
    <w:tbl>
      <w:tblPr>
        <w:tblStyle w:val="ARtable1"/>
        <w:tblW w:w="5000" w:type="pct"/>
        <w:tblLook w:val="02E0" w:firstRow="1" w:lastRow="1" w:firstColumn="1" w:lastColumn="0" w:noHBand="1" w:noVBand="0"/>
      </w:tblPr>
      <w:tblGrid>
        <w:gridCol w:w="8074"/>
        <w:gridCol w:w="1554"/>
      </w:tblGrid>
      <w:tr w:rsidR="00F962BE" w:rsidRPr="00A3130C" w14:paraId="51F4EF4B" w14:textId="77777777" w:rsidTr="00735BAF">
        <w:trPr>
          <w:cnfStyle w:val="100000000000" w:firstRow="1" w:lastRow="0" w:firstColumn="0" w:lastColumn="0" w:oddVBand="0" w:evenVBand="0" w:oddHBand="0" w:evenHBand="0" w:firstRowFirstColumn="0" w:firstRowLastColumn="0" w:lastRowFirstColumn="0" w:lastRowLastColumn="0"/>
          <w:trHeight w:val="260"/>
          <w:tblHeader/>
        </w:trPr>
        <w:tc>
          <w:tcPr>
            <w:tcW w:w="4193" w:type="pct"/>
            <w:noWrap/>
            <w:hideMark/>
          </w:tcPr>
          <w:p w14:paraId="269FB4B0" w14:textId="77777777" w:rsidR="00F962BE" w:rsidRPr="00A3130C" w:rsidRDefault="00F962BE">
            <w:pPr>
              <w:pStyle w:val="ARtablecolhead"/>
              <w:rPr>
                <w:rFonts w:eastAsia="Times"/>
              </w:rPr>
            </w:pPr>
            <w:r w:rsidRPr="00A3130C">
              <w:rPr>
                <w:rFonts w:eastAsia="Times"/>
              </w:rPr>
              <w:t>Organisation</w:t>
            </w:r>
          </w:p>
        </w:tc>
        <w:tc>
          <w:tcPr>
            <w:cnfStyle w:val="000001000000" w:firstRow="0" w:lastRow="0" w:firstColumn="0" w:lastColumn="0" w:oddVBand="0" w:evenVBand="1" w:oddHBand="0" w:evenHBand="0" w:firstRowFirstColumn="0" w:firstRowLastColumn="0" w:lastRowFirstColumn="0" w:lastRowLastColumn="0"/>
            <w:tcW w:w="807" w:type="pct"/>
            <w:vAlign w:val="top"/>
            <w:hideMark/>
          </w:tcPr>
          <w:p w14:paraId="57E39C6D" w14:textId="77777777" w:rsidR="00F962BE" w:rsidRPr="00A3130C" w:rsidRDefault="00F962BE">
            <w:pPr>
              <w:pStyle w:val="ARtablecolhead"/>
              <w:jc w:val="right"/>
              <w:rPr>
                <w:rFonts w:eastAsia="Times"/>
              </w:rPr>
            </w:pPr>
            <w:r w:rsidRPr="00A3130C">
              <w:rPr>
                <w:rFonts w:eastAsia="Times"/>
              </w:rPr>
              <w:t>Payment ($)</w:t>
            </w:r>
          </w:p>
        </w:tc>
      </w:tr>
      <w:tr w:rsidR="00F962BE" w:rsidRPr="00A3130C" w14:paraId="42B40A85" w14:textId="77777777" w:rsidTr="00735BAF">
        <w:trPr>
          <w:trHeight w:val="260"/>
        </w:trPr>
        <w:tc>
          <w:tcPr>
            <w:tcW w:w="4193" w:type="pct"/>
            <w:noWrap/>
            <w:hideMark/>
          </w:tcPr>
          <w:p w14:paraId="3C8CE717" w14:textId="77777777" w:rsidR="00F962BE" w:rsidRPr="00A3130C" w:rsidRDefault="00F962BE">
            <w:pPr>
              <w:pStyle w:val="ARTabletext"/>
              <w:rPr>
                <w:rFonts w:eastAsia="Times"/>
              </w:rPr>
            </w:pPr>
            <w:r w:rsidRPr="00A3130C">
              <w:rPr>
                <w:rFonts w:eastAsia="Times"/>
              </w:rPr>
              <w:t>Belgium Avenue Neighbourhood House</w:t>
            </w:r>
            <w:r>
              <w:rPr>
                <w:rFonts w:eastAsia="Times"/>
              </w:rPr>
              <w:t> </w:t>
            </w:r>
            <w:r w:rsidRPr="00A3130C">
              <w:rPr>
                <w:rFonts w:eastAsia="Times"/>
              </w:rPr>
              <w:t>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48A24D7" w14:textId="77777777" w:rsidR="00F962BE" w:rsidRPr="00A3130C" w:rsidRDefault="00F962BE">
            <w:pPr>
              <w:pStyle w:val="ARTabletext"/>
              <w:jc w:val="right"/>
              <w:rPr>
                <w:rFonts w:eastAsia="Times"/>
              </w:rPr>
            </w:pPr>
            <w:r w:rsidRPr="00A3130C">
              <w:rPr>
                <w:rFonts w:eastAsia="Times"/>
              </w:rPr>
              <w:t>70,000</w:t>
            </w:r>
          </w:p>
        </w:tc>
      </w:tr>
      <w:tr w:rsidR="00F962BE" w:rsidRPr="00A3130C" w14:paraId="48B25F1D" w14:textId="77777777" w:rsidTr="00735BAF">
        <w:trPr>
          <w:trHeight w:val="260"/>
        </w:trPr>
        <w:tc>
          <w:tcPr>
            <w:tcW w:w="4193" w:type="pct"/>
            <w:noWrap/>
            <w:hideMark/>
          </w:tcPr>
          <w:p w14:paraId="100475EC" w14:textId="77777777" w:rsidR="00F962BE" w:rsidRPr="00A3130C" w:rsidRDefault="00F962BE">
            <w:pPr>
              <w:pStyle w:val="ARTabletext"/>
              <w:rPr>
                <w:rFonts w:eastAsia="Times"/>
              </w:rPr>
            </w:pPr>
            <w:r w:rsidRPr="00A3130C">
              <w:rPr>
                <w:rFonts w:eastAsia="Times"/>
              </w:rPr>
              <w:t>Fitzroy Legal Service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62C9DE7" w14:textId="77777777" w:rsidR="00F962BE" w:rsidRPr="00A3130C" w:rsidRDefault="00F962BE">
            <w:pPr>
              <w:pStyle w:val="ARTabletext"/>
              <w:jc w:val="right"/>
              <w:rPr>
                <w:rFonts w:eastAsia="Times"/>
              </w:rPr>
            </w:pPr>
            <w:r w:rsidRPr="00A3130C">
              <w:rPr>
                <w:rFonts w:eastAsia="Times"/>
              </w:rPr>
              <w:t>110,000</w:t>
            </w:r>
          </w:p>
        </w:tc>
      </w:tr>
      <w:tr w:rsidR="00F962BE" w:rsidRPr="00A3130C" w14:paraId="254EA459" w14:textId="77777777" w:rsidTr="00735BAF">
        <w:trPr>
          <w:trHeight w:val="260"/>
        </w:trPr>
        <w:tc>
          <w:tcPr>
            <w:tcW w:w="4193" w:type="pct"/>
            <w:noWrap/>
            <w:hideMark/>
          </w:tcPr>
          <w:p w14:paraId="7DF7BE36" w14:textId="77777777" w:rsidR="00F962BE" w:rsidRPr="00A3130C" w:rsidRDefault="00F962BE">
            <w:pPr>
              <w:pStyle w:val="ARTabletext"/>
              <w:rPr>
                <w:rFonts w:eastAsia="Times"/>
              </w:rPr>
            </w:pPr>
            <w:r w:rsidRPr="00A3130C">
              <w:rPr>
                <w:rFonts w:eastAsia="Times"/>
              </w:rPr>
              <w:t>The Outpost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2449264A" w14:textId="77777777" w:rsidR="00F962BE" w:rsidRPr="00A3130C" w:rsidRDefault="00F962BE">
            <w:pPr>
              <w:pStyle w:val="ARTabletext"/>
              <w:jc w:val="right"/>
              <w:rPr>
                <w:rFonts w:eastAsia="Times"/>
              </w:rPr>
            </w:pPr>
            <w:r w:rsidRPr="00A3130C">
              <w:rPr>
                <w:rFonts w:eastAsia="Times"/>
              </w:rPr>
              <w:t>51,083</w:t>
            </w:r>
          </w:p>
        </w:tc>
      </w:tr>
      <w:tr w:rsidR="00F962BE" w:rsidRPr="00A3130C" w14:paraId="6B4435D6" w14:textId="77777777" w:rsidTr="00735BAF">
        <w:trPr>
          <w:trHeight w:val="260"/>
        </w:trPr>
        <w:tc>
          <w:tcPr>
            <w:tcW w:w="4193" w:type="pct"/>
            <w:noWrap/>
            <w:hideMark/>
          </w:tcPr>
          <w:p w14:paraId="5503BE67" w14:textId="77777777" w:rsidR="00F962BE" w:rsidRPr="00A3130C" w:rsidRDefault="00F962BE">
            <w:pPr>
              <w:pStyle w:val="ARTabletext"/>
              <w:rPr>
                <w:rFonts w:eastAsia="Times"/>
              </w:rPr>
            </w:pPr>
            <w:r w:rsidRPr="00A3130C">
              <w:rPr>
                <w:rFonts w:eastAsia="Times"/>
              </w:rPr>
              <w:t>Yarra City Council</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BAC479E" w14:textId="77777777" w:rsidR="00F962BE" w:rsidRPr="00A3130C" w:rsidRDefault="00F962BE">
            <w:pPr>
              <w:pStyle w:val="ARTabletext"/>
              <w:jc w:val="right"/>
              <w:rPr>
                <w:rFonts w:eastAsia="Times"/>
              </w:rPr>
            </w:pPr>
            <w:r w:rsidRPr="00A3130C">
              <w:rPr>
                <w:rFonts w:eastAsia="Times"/>
              </w:rPr>
              <w:t>381,400</w:t>
            </w:r>
          </w:p>
        </w:tc>
      </w:tr>
      <w:tr w:rsidR="00F962BE" w:rsidRPr="00A3130C" w14:paraId="1111A1D1" w14:textId="77777777" w:rsidTr="00735BAF">
        <w:trPr>
          <w:cnfStyle w:val="010000000000" w:firstRow="0" w:lastRow="1" w:firstColumn="0" w:lastColumn="0" w:oddVBand="0" w:evenVBand="0" w:oddHBand="0" w:evenHBand="0" w:firstRowFirstColumn="0" w:firstRowLastColumn="0" w:lastRowFirstColumn="0" w:lastRowLastColumn="0"/>
          <w:trHeight w:val="260"/>
        </w:trPr>
        <w:tc>
          <w:tcPr>
            <w:tcW w:w="4193" w:type="pct"/>
            <w:noWrap/>
            <w:hideMark/>
          </w:tcPr>
          <w:p w14:paraId="32D250D9" w14:textId="77777777" w:rsidR="00F962BE" w:rsidRPr="00A3130C" w:rsidRDefault="00F962BE">
            <w:pPr>
              <w:pStyle w:val="ARtabletextbold"/>
              <w:rPr>
                <w:rFonts w:eastAsia="Times"/>
              </w:rPr>
            </w:pPr>
            <w:r w:rsidRPr="00A3130C">
              <w:rPr>
                <w:rFonts w:eastAsia="Times"/>
              </w:rPr>
              <w:t>Total</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49746348" w14:textId="77777777" w:rsidR="00F962BE" w:rsidRPr="00A3130C" w:rsidRDefault="00F962BE">
            <w:pPr>
              <w:pStyle w:val="ARtabletextbold"/>
              <w:jc w:val="right"/>
              <w:rPr>
                <w:rFonts w:eastAsia="Times"/>
              </w:rPr>
            </w:pPr>
            <w:r w:rsidRPr="00A3130C">
              <w:rPr>
                <w:rFonts w:eastAsia="Times"/>
              </w:rPr>
              <w:t>612,483</w:t>
            </w:r>
          </w:p>
        </w:tc>
      </w:tr>
    </w:tbl>
    <w:p w14:paraId="6C798E8A" w14:textId="77777777" w:rsidR="00F962BE" w:rsidRPr="00A3130C" w:rsidRDefault="00F962BE" w:rsidP="00F962BE">
      <w:pPr>
        <w:pStyle w:val="Heading3Grants"/>
      </w:pPr>
      <w:r w:rsidRPr="00A3130C">
        <w:t>LGBTIQA+ equality policy and programs</w:t>
      </w:r>
    </w:p>
    <w:tbl>
      <w:tblPr>
        <w:tblStyle w:val="ARtable1"/>
        <w:tblW w:w="5000" w:type="pct"/>
        <w:tblLook w:val="00E0" w:firstRow="1" w:lastRow="1" w:firstColumn="1" w:lastColumn="0" w:noHBand="0" w:noVBand="0"/>
      </w:tblPr>
      <w:tblGrid>
        <w:gridCol w:w="8074"/>
        <w:gridCol w:w="1554"/>
      </w:tblGrid>
      <w:tr w:rsidR="00F962BE" w:rsidRPr="00A3130C" w14:paraId="479D0076" w14:textId="77777777" w:rsidTr="00735BAF">
        <w:trPr>
          <w:cnfStyle w:val="100000000000" w:firstRow="1" w:lastRow="0" w:firstColumn="0" w:lastColumn="0" w:oddVBand="0" w:evenVBand="0" w:oddHBand="0" w:evenHBand="0" w:firstRowFirstColumn="0" w:firstRowLastColumn="0" w:lastRowFirstColumn="0" w:lastRowLastColumn="0"/>
          <w:trHeight w:val="260"/>
          <w:tblHeader/>
        </w:trPr>
        <w:tc>
          <w:tcPr>
            <w:tcW w:w="4193" w:type="pct"/>
            <w:noWrap/>
            <w:hideMark/>
          </w:tcPr>
          <w:p w14:paraId="0E5E2624" w14:textId="77777777" w:rsidR="00F962BE" w:rsidRPr="00A3130C" w:rsidRDefault="00F962BE">
            <w:pPr>
              <w:pStyle w:val="ARtablecolhead"/>
              <w:rPr>
                <w:rFonts w:eastAsia="Times"/>
              </w:rPr>
            </w:pPr>
            <w:r w:rsidRPr="00A3130C">
              <w:rPr>
                <w:rFonts w:eastAsia="Times"/>
              </w:rPr>
              <w:t>Organisation</w:t>
            </w:r>
          </w:p>
        </w:tc>
        <w:tc>
          <w:tcPr>
            <w:cnfStyle w:val="000001000000" w:firstRow="0" w:lastRow="0" w:firstColumn="0" w:lastColumn="0" w:oddVBand="0" w:evenVBand="1" w:oddHBand="0" w:evenHBand="0" w:firstRowFirstColumn="0" w:firstRowLastColumn="0" w:lastRowFirstColumn="0" w:lastRowLastColumn="0"/>
            <w:tcW w:w="807" w:type="pct"/>
            <w:vAlign w:val="top"/>
            <w:hideMark/>
          </w:tcPr>
          <w:p w14:paraId="4CE9FD08" w14:textId="77777777" w:rsidR="00F962BE" w:rsidRPr="00A3130C" w:rsidRDefault="00F962BE">
            <w:pPr>
              <w:pStyle w:val="ARtablecolhead"/>
              <w:jc w:val="right"/>
              <w:rPr>
                <w:rFonts w:eastAsia="Times"/>
              </w:rPr>
            </w:pPr>
            <w:r w:rsidRPr="00A3130C">
              <w:rPr>
                <w:rFonts w:eastAsia="Times"/>
              </w:rPr>
              <w:t>Payment ($)</w:t>
            </w:r>
          </w:p>
        </w:tc>
      </w:tr>
      <w:tr w:rsidR="00F962BE" w:rsidRPr="00A3130C" w14:paraId="34490D54"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6D277F90" w14:textId="77777777" w:rsidR="00F962BE" w:rsidRPr="00A3130C" w:rsidRDefault="00F962BE">
            <w:pPr>
              <w:pStyle w:val="ARTabletext"/>
              <w:rPr>
                <w:rFonts w:eastAsia="Times"/>
              </w:rPr>
            </w:pPr>
            <w:r w:rsidRPr="00A3130C">
              <w:rPr>
                <w:rFonts w:eastAsia="Times"/>
              </w:rPr>
              <w:t>Africare Community Services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F55A935" w14:textId="77777777" w:rsidR="00F962BE" w:rsidRPr="00A3130C" w:rsidRDefault="00F962BE">
            <w:pPr>
              <w:pStyle w:val="ARTabletext"/>
              <w:jc w:val="right"/>
              <w:rPr>
                <w:rFonts w:eastAsia="Times"/>
              </w:rPr>
            </w:pPr>
            <w:r w:rsidRPr="00A3130C">
              <w:rPr>
                <w:rFonts w:eastAsia="Times"/>
              </w:rPr>
              <w:t>9,600</w:t>
            </w:r>
          </w:p>
        </w:tc>
      </w:tr>
      <w:tr w:rsidR="00F962BE" w:rsidRPr="00A3130C" w14:paraId="52A48E0F"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71911665" w14:textId="77777777" w:rsidR="00F962BE" w:rsidRPr="00A3130C" w:rsidRDefault="00F962BE">
            <w:pPr>
              <w:pStyle w:val="ARTabletext"/>
              <w:rPr>
                <w:rFonts w:eastAsia="Times"/>
              </w:rPr>
            </w:pPr>
            <w:r w:rsidRPr="00A3130C">
              <w:rPr>
                <w:rFonts w:eastAsia="Times"/>
              </w:rPr>
              <w:t>All The Queens Men</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66151A73" w14:textId="77777777" w:rsidR="00F962BE" w:rsidRPr="00A3130C" w:rsidRDefault="00F962BE">
            <w:pPr>
              <w:pStyle w:val="ARTabletext"/>
              <w:jc w:val="right"/>
              <w:rPr>
                <w:rFonts w:eastAsia="Times"/>
              </w:rPr>
            </w:pPr>
            <w:r w:rsidRPr="00A3130C">
              <w:rPr>
                <w:rFonts w:eastAsia="Times"/>
              </w:rPr>
              <w:t>10,000</w:t>
            </w:r>
          </w:p>
        </w:tc>
      </w:tr>
      <w:tr w:rsidR="00F962BE" w:rsidRPr="00A3130C" w14:paraId="48344320"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0DEABEF4" w14:textId="77777777" w:rsidR="00F962BE" w:rsidRPr="00A3130C" w:rsidRDefault="00F962BE">
            <w:pPr>
              <w:pStyle w:val="ARTabletext"/>
              <w:rPr>
                <w:rFonts w:eastAsia="Times"/>
              </w:rPr>
            </w:pPr>
            <w:r w:rsidRPr="00A3130C">
              <w:rPr>
                <w:rFonts w:eastAsia="Times"/>
              </w:rPr>
              <w:t>Amaze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1AC4088" w14:textId="77777777" w:rsidR="00F962BE" w:rsidRPr="00A3130C" w:rsidRDefault="00F962BE">
            <w:pPr>
              <w:pStyle w:val="ARTabletext"/>
              <w:jc w:val="right"/>
              <w:rPr>
                <w:rFonts w:eastAsia="Times"/>
              </w:rPr>
            </w:pPr>
            <w:r w:rsidRPr="00A3130C">
              <w:rPr>
                <w:rFonts w:eastAsia="Times"/>
              </w:rPr>
              <w:t>22,043</w:t>
            </w:r>
          </w:p>
        </w:tc>
      </w:tr>
      <w:tr w:rsidR="00F962BE" w:rsidRPr="00A3130C" w14:paraId="2595AC42"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17FFF26E" w14:textId="77777777" w:rsidR="00F962BE" w:rsidRPr="00A3130C" w:rsidRDefault="00F962BE">
            <w:pPr>
              <w:pStyle w:val="ARTabletext"/>
              <w:rPr>
                <w:rFonts w:eastAsia="Times"/>
              </w:rPr>
            </w:pPr>
            <w:r w:rsidRPr="00A3130C">
              <w:rPr>
                <w:rFonts w:eastAsia="Times"/>
              </w:rPr>
              <w:t>Auspicious Arts Projects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1041B3C" w14:textId="77777777" w:rsidR="00F962BE" w:rsidRPr="00A3130C" w:rsidRDefault="00F962BE">
            <w:pPr>
              <w:pStyle w:val="ARTabletext"/>
              <w:jc w:val="right"/>
              <w:rPr>
                <w:rFonts w:eastAsia="Times"/>
              </w:rPr>
            </w:pPr>
            <w:r w:rsidRPr="00A3130C">
              <w:rPr>
                <w:rFonts w:eastAsia="Times"/>
              </w:rPr>
              <w:t>45,900</w:t>
            </w:r>
          </w:p>
        </w:tc>
      </w:tr>
      <w:tr w:rsidR="00F962BE" w:rsidRPr="00A3130C" w14:paraId="6FFD53FD"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79FE232F" w14:textId="77777777" w:rsidR="00F962BE" w:rsidRPr="00A3130C" w:rsidRDefault="00F962BE">
            <w:pPr>
              <w:pStyle w:val="ARTabletext"/>
              <w:rPr>
                <w:rFonts w:eastAsia="Times"/>
              </w:rPr>
            </w:pPr>
            <w:r w:rsidRPr="00A3130C">
              <w:rPr>
                <w:rFonts w:eastAsia="Times"/>
              </w:rPr>
              <w:t>Australian GLBTIQ Multicultural Council</w:t>
            </w:r>
            <w:r>
              <w:rPr>
                <w:rFonts w:eastAsia="Times"/>
              </w:rPr>
              <w:t> </w:t>
            </w:r>
            <w:r w:rsidRPr="00A3130C">
              <w:rPr>
                <w:rFonts w:eastAsia="Times"/>
              </w:rPr>
              <w:t>(AGMC)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2598BFA8" w14:textId="77777777" w:rsidR="00F962BE" w:rsidRPr="00A3130C" w:rsidRDefault="00F962BE">
            <w:pPr>
              <w:pStyle w:val="ARTabletext"/>
              <w:jc w:val="right"/>
              <w:rPr>
                <w:rFonts w:eastAsia="Times"/>
              </w:rPr>
            </w:pPr>
            <w:r w:rsidRPr="00A3130C">
              <w:rPr>
                <w:rFonts w:eastAsia="Times"/>
              </w:rPr>
              <w:t>27,500</w:t>
            </w:r>
          </w:p>
        </w:tc>
      </w:tr>
      <w:tr w:rsidR="00F962BE" w:rsidRPr="00A3130C" w14:paraId="749DC97C"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648C0772" w14:textId="77777777" w:rsidR="00F962BE" w:rsidRPr="00A3130C" w:rsidRDefault="00F962BE">
            <w:pPr>
              <w:pStyle w:val="ARTabletext"/>
              <w:rPr>
                <w:rFonts w:eastAsia="Times"/>
              </w:rPr>
            </w:pPr>
            <w:r w:rsidRPr="00A3130C">
              <w:rPr>
                <w:rFonts w:eastAsia="Times"/>
              </w:rPr>
              <w:t>Castlemaine Community House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6B06880A" w14:textId="77777777" w:rsidR="00F962BE" w:rsidRPr="00A3130C" w:rsidRDefault="00F962BE">
            <w:pPr>
              <w:pStyle w:val="ARTabletext"/>
              <w:jc w:val="right"/>
              <w:rPr>
                <w:rFonts w:eastAsia="Times"/>
              </w:rPr>
            </w:pPr>
            <w:r w:rsidRPr="00A3130C">
              <w:rPr>
                <w:rFonts w:eastAsia="Times"/>
              </w:rPr>
              <w:t>10,957</w:t>
            </w:r>
          </w:p>
        </w:tc>
      </w:tr>
      <w:tr w:rsidR="00F962BE" w:rsidRPr="00A3130C" w14:paraId="3C98C450"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6447A2F0" w14:textId="77777777" w:rsidR="00F962BE" w:rsidRPr="00A3130C" w:rsidRDefault="00F962BE">
            <w:pPr>
              <w:pStyle w:val="ARTabletext"/>
              <w:rPr>
                <w:rFonts w:eastAsia="Times"/>
              </w:rPr>
            </w:pPr>
            <w:proofErr w:type="spellStart"/>
            <w:r w:rsidRPr="00A3130C">
              <w:rPr>
                <w:rFonts w:eastAsia="Times"/>
              </w:rPr>
              <w:t>ChillOut</w:t>
            </w:r>
            <w:proofErr w:type="spellEnd"/>
            <w:r w:rsidRPr="00A3130C">
              <w:rPr>
                <w:rFonts w:eastAsia="Times"/>
              </w:rPr>
              <w:t xml:space="preserve"> Daylesford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2B42CBFF" w14:textId="77777777" w:rsidR="00F962BE" w:rsidRPr="00A3130C" w:rsidRDefault="00F962BE">
            <w:pPr>
              <w:pStyle w:val="ARTabletext"/>
              <w:jc w:val="right"/>
              <w:rPr>
                <w:rFonts w:eastAsia="Times"/>
              </w:rPr>
            </w:pPr>
            <w:r w:rsidRPr="00A3130C">
              <w:rPr>
                <w:rFonts w:eastAsia="Times"/>
              </w:rPr>
              <w:t>10,000</w:t>
            </w:r>
          </w:p>
        </w:tc>
      </w:tr>
      <w:tr w:rsidR="00F962BE" w:rsidRPr="00A3130C" w14:paraId="3563EAC6"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4BB00043" w14:textId="77777777" w:rsidR="00F962BE" w:rsidRPr="00A3130C" w:rsidRDefault="00F962BE">
            <w:pPr>
              <w:pStyle w:val="ARTabletext"/>
              <w:rPr>
                <w:rFonts w:eastAsia="Times"/>
              </w:rPr>
            </w:pPr>
            <w:r w:rsidRPr="00A3130C">
              <w:rPr>
                <w:rFonts w:eastAsia="Times"/>
              </w:rPr>
              <w:t>Cypher Culture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3A06E3F4" w14:textId="77777777" w:rsidR="00F962BE" w:rsidRPr="00A3130C" w:rsidRDefault="00F962BE">
            <w:pPr>
              <w:pStyle w:val="ARTabletext"/>
              <w:jc w:val="right"/>
              <w:rPr>
                <w:rFonts w:eastAsia="Times"/>
              </w:rPr>
            </w:pPr>
            <w:r w:rsidRPr="00A3130C">
              <w:rPr>
                <w:rFonts w:eastAsia="Times"/>
              </w:rPr>
              <w:t>10,000</w:t>
            </w:r>
          </w:p>
        </w:tc>
      </w:tr>
      <w:tr w:rsidR="00F962BE" w:rsidRPr="00A3130C" w14:paraId="1EA09426"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55326D51" w14:textId="77777777" w:rsidR="00F962BE" w:rsidRPr="00A3130C" w:rsidRDefault="00F962BE">
            <w:pPr>
              <w:pStyle w:val="ARTabletext"/>
              <w:rPr>
                <w:rFonts w:eastAsia="Times"/>
              </w:rPr>
            </w:pPr>
            <w:r w:rsidRPr="00A3130C">
              <w:rPr>
                <w:rFonts w:eastAsia="Times"/>
              </w:rPr>
              <w:t>Dallas Neighbourhood House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A98AFE5" w14:textId="77777777" w:rsidR="00F962BE" w:rsidRPr="00A3130C" w:rsidRDefault="00F962BE">
            <w:pPr>
              <w:pStyle w:val="ARTabletext"/>
              <w:jc w:val="right"/>
              <w:rPr>
                <w:rFonts w:eastAsia="Times"/>
              </w:rPr>
            </w:pPr>
            <w:r w:rsidRPr="00A3130C">
              <w:rPr>
                <w:rFonts w:eastAsia="Times"/>
              </w:rPr>
              <w:t>8,000</w:t>
            </w:r>
          </w:p>
        </w:tc>
      </w:tr>
      <w:tr w:rsidR="00F962BE" w:rsidRPr="00A3130C" w14:paraId="50BC1069"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116032E0" w14:textId="77777777" w:rsidR="00F962BE" w:rsidRPr="00A3130C" w:rsidRDefault="00F962BE">
            <w:pPr>
              <w:pStyle w:val="ARTabletext"/>
              <w:rPr>
                <w:rFonts w:eastAsia="Times"/>
              </w:rPr>
            </w:pPr>
            <w:r w:rsidRPr="00A3130C">
              <w:rPr>
                <w:rFonts w:eastAsia="Times"/>
              </w:rPr>
              <w:t>Divisi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328C7047" w14:textId="77777777" w:rsidR="00F962BE" w:rsidRPr="00A3130C" w:rsidRDefault="00F962BE">
            <w:pPr>
              <w:pStyle w:val="ARTabletext"/>
              <w:jc w:val="right"/>
              <w:rPr>
                <w:rFonts w:eastAsia="Times"/>
              </w:rPr>
            </w:pPr>
            <w:r w:rsidRPr="00A3130C">
              <w:rPr>
                <w:rFonts w:eastAsia="Times"/>
              </w:rPr>
              <w:t>23,000</w:t>
            </w:r>
          </w:p>
        </w:tc>
      </w:tr>
      <w:tr w:rsidR="00F962BE" w:rsidRPr="00A3130C" w14:paraId="1BC480B0"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59CE63F6" w14:textId="77777777" w:rsidR="00F962BE" w:rsidRPr="00A3130C" w:rsidRDefault="00F962BE">
            <w:pPr>
              <w:pStyle w:val="ARTabletext"/>
              <w:rPr>
                <w:rFonts w:eastAsia="Times"/>
              </w:rPr>
            </w:pPr>
            <w:r w:rsidRPr="00A3130C">
              <w:rPr>
                <w:rFonts w:eastAsia="Times"/>
              </w:rPr>
              <w:t>Drummond Street Services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DDDA9B6" w14:textId="77777777" w:rsidR="00F962BE" w:rsidRPr="00A3130C" w:rsidRDefault="00F962BE">
            <w:pPr>
              <w:pStyle w:val="ARTabletext"/>
              <w:jc w:val="right"/>
              <w:rPr>
                <w:rFonts w:eastAsia="Times"/>
              </w:rPr>
            </w:pPr>
            <w:r w:rsidRPr="00A3130C">
              <w:rPr>
                <w:rFonts w:eastAsia="Times"/>
              </w:rPr>
              <w:t>1,060,000</w:t>
            </w:r>
          </w:p>
        </w:tc>
      </w:tr>
      <w:tr w:rsidR="00F962BE" w:rsidRPr="00A3130C" w14:paraId="3ED460D4"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5C89A40C" w14:textId="77777777" w:rsidR="00F962BE" w:rsidRPr="00A3130C" w:rsidRDefault="00F962BE">
            <w:pPr>
              <w:pStyle w:val="ARTabletext"/>
              <w:rPr>
                <w:rFonts w:eastAsia="Times"/>
              </w:rPr>
            </w:pPr>
            <w:r w:rsidRPr="00A3130C">
              <w:rPr>
                <w:rFonts w:eastAsia="Times"/>
              </w:rPr>
              <w:t>Flat Out</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27673E79" w14:textId="77777777" w:rsidR="00F962BE" w:rsidRPr="00A3130C" w:rsidRDefault="00F962BE">
            <w:pPr>
              <w:pStyle w:val="ARTabletext"/>
              <w:jc w:val="right"/>
              <w:rPr>
                <w:rFonts w:eastAsia="Times"/>
              </w:rPr>
            </w:pPr>
            <w:r w:rsidRPr="00A3130C">
              <w:rPr>
                <w:rFonts w:eastAsia="Times"/>
              </w:rPr>
              <w:t>108,100</w:t>
            </w:r>
          </w:p>
        </w:tc>
      </w:tr>
      <w:tr w:rsidR="00F962BE" w:rsidRPr="00A3130C" w14:paraId="75B54B70"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749379AF" w14:textId="77777777" w:rsidR="00F962BE" w:rsidRPr="00A3130C" w:rsidRDefault="00F962BE">
            <w:pPr>
              <w:pStyle w:val="ARTabletext"/>
              <w:rPr>
                <w:rFonts w:eastAsia="Times"/>
              </w:rPr>
            </w:pPr>
            <w:r w:rsidRPr="00A3130C">
              <w:rPr>
                <w:rFonts w:eastAsia="Times"/>
              </w:rPr>
              <w:t>Geelong Pride Film Festival</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8B01227" w14:textId="77777777" w:rsidR="00F962BE" w:rsidRPr="00A3130C" w:rsidRDefault="00F962BE">
            <w:pPr>
              <w:pStyle w:val="ARTabletext"/>
              <w:jc w:val="right"/>
              <w:rPr>
                <w:rFonts w:eastAsia="Times"/>
              </w:rPr>
            </w:pPr>
            <w:r w:rsidRPr="00A3130C">
              <w:rPr>
                <w:rFonts w:eastAsia="Times"/>
              </w:rPr>
              <w:t>9,500</w:t>
            </w:r>
          </w:p>
        </w:tc>
      </w:tr>
      <w:tr w:rsidR="00F962BE" w:rsidRPr="00A3130C" w14:paraId="6EA7816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471C0FC2" w14:textId="77777777" w:rsidR="00F962BE" w:rsidRPr="00A3130C" w:rsidRDefault="00F962BE">
            <w:pPr>
              <w:pStyle w:val="ARTabletext"/>
              <w:rPr>
                <w:rFonts w:eastAsia="Times"/>
              </w:rPr>
            </w:pPr>
            <w:r w:rsidRPr="00A3130C">
              <w:rPr>
                <w:rFonts w:eastAsia="Times"/>
              </w:rPr>
              <w:t>Geelong Rainbow</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A9559EC" w14:textId="77777777" w:rsidR="00F962BE" w:rsidRPr="00A3130C" w:rsidRDefault="00F962BE">
            <w:pPr>
              <w:pStyle w:val="ARTabletext"/>
              <w:jc w:val="right"/>
              <w:rPr>
                <w:rFonts w:eastAsia="Times"/>
              </w:rPr>
            </w:pPr>
            <w:r w:rsidRPr="00A3130C">
              <w:rPr>
                <w:rFonts w:eastAsia="Times"/>
              </w:rPr>
              <w:t>21,000</w:t>
            </w:r>
          </w:p>
        </w:tc>
      </w:tr>
      <w:tr w:rsidR="00F962BE" w:rsidRPr="00A3130C" w14:paraId="3B070421"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2B1C6858" w14:textId="77777777" w:rsidR="00F962BE" w:rsidRPr="00A3130C" w:rsidRDefault="00F962BE">
            <w:pPr>
              <w:pStyle w:val="ARTabletext"/>
              <w:rPr>
                <w:rFonts w:eastAsia="Times"/>
              </w:rPr>
            </w:pPr>
            <w:r w:rsidRPr="00A3130C">
              <w:rPr>
                <w:rFonts w:eastAsia="Times"/>
              </w:rPr>
              <w:t>Gippsland Pride Initiative</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7BDBD1A8" w14:textId="77777777" w:rsidR="00F962BE" w:rsidRPr="00A3130C" w:rsidRDefault="00F962BE">
            <w:pPr>
              <w:pStyle w:val="ARTabletext"/>
              <w:jc w:val="right"/>
              <w:rPr>
                <w:rFonts w:eastAsia="Times"/>
              </w:rPr>
            </w:pPr>
            <w:r w:rsidRPr="00A3130C">
              <w:rPr>
                <w:rFonts w:eastAsia="Times"/>
              </w:rPr>
              <w:t>50,000</w:t>
            </w:r>
          </w:p>
        </w:tc>
      </w:tr>
      <w:tr w:rsidR="00F962BE" w:rsidRPr="00A3130C" w14:paraId="2C5332F5"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1736479F" w14:textId="77777777" w:rsidR="00F962BE" w:rsidRPr="00A3130C" w:rsidRDefault="00F962BE">
            <w:pPr>
              <w:pStyle w:val="ARTabletext"/>
              <w:rPr>
                <w:rFonts w:eastAsia="Times"/>
              </w:rPr>
            </w:pPr>
            <w:r w:rsidRPr="00A3130C">
              <w:rPr>
                <w:rFonts w:eastAsia="Times"/>
              </w:rPr>
              <w:t>Gippsland Ranges Roller Derby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8666C3E" w14:textId="77777777" w:rsidR="00F962BE" w:rsidRPr="00A3130C" w:rsidRDefault="00F962BE">
            <w:pPr>
              <w:pStyle w:val="ARTabletext"/>
              <w:jc w:val="right"/>
              <w:rPr>
                <w:rFonts w:eastAsia="Times"/>
              </w:rPr>
            </w:pPr>
            <w:r w:rsidRPr="00A3130C">
              <w:rPr>
                <w:rFonts w:eastAsia="Times"/>
              </w:rPr>
              <w:t>17,619</w:t>
            </w:r>
          </w:p>
        </w:tc>
      </w:tr>
      <w:tr w:rsidR="00F962BE" w:rsidRPr="00A3130C" w14:paraId="5117EA8A"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0ED6AFD5" w14:textId="77777777" w:rsidR="00F962BE" w:rsidRPr="00A3130C" w:rsidRDefault="00F962BE">
            <w:pPr>
              <w:pStyle w:val="ARTabletext"/>
              <w:rPr>
                <w:rFonts w:eastAsia="Times"/>
              </w:rPr>
            </w:pPr>
            <w:r w:rsidRPr="00A3130C">
              <w:rPr>
                <w:rFonts w:eastAsia="Times"/>
              </w:rPr>
              <w:t>Glen Park Community Centre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D243526" w14:textId="77777777" w:rsidR="00F962BE" w:rsidRPr="00A3130C" w:rsidRDefault="00F962BE">
            <w:pPr>
              <w:pStyle w:val="ARTabletext"/>
              <w:jc w:val="right"/>
              <w:rPr>
                <w:rFonts w:eastAsia="Times"/>
              </w:rPr>
            </w:pPr>
            <w:r w:rsidRPr="00A3130C">
              <w:rPr>
                <w:rFonts w:eastAsia="Times"/>
              </w:rPr>
              <w:t>8,975</w:t>
            </w:r>
          </w:p>
        </w:tc>
      </w:tr>
      <w:tr w:rsidR="00F962BE" w:rsidRPr="00A3130C" w14:paraId="0F7523BB"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1D8D9404" w14:textId="77777777" w:rsidR="00F962BE" w:rsidRPr="00A3130C" w:rsidRDefault="00F962BE">
            <w:pPr>
              <w:pStyle w:val="ARTabletext"/>
              <w:rPr>
                <w:rFonts w:eastAsia="Times"/>
              </w:rPr>
            </w:pPr>
            <w:r w:rsidRPr="00A3130C">
              <w:rPr>
                <w:rFonts w:eastAsia="Times"/>
              </w:rPr>
              <w:t>GLOBE Victoria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B7415CC" w14:textId="77777777" w:rsidR="00F962BE" w:rsidRPr="00A3130C" w:rsidRDefault="00F962BE">
            <w:pPr>
              <w:pStyle w:val="ARTabletext"/>
              <w:jc w:val="right"/>
              <w:rPr>
                <w:rFonts w:eastAsia="Times"/>
              </w:rPr>
            </w:pPr>
            <w:r w:rsidRPr="00A3130C">
              <w:rPr>
                <w:rFonts w:eastAsia="Times"/>
              </w:rPr>
              <w:t>12,500</w:t>
            </w:r>
          </w:p>
        </w:tc>
      </w:tr>
      <w:tr w:rsidR="00F962BE" w:rsidRPr="00A3130C" w14:paraId="107C91FE"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1BE870A3" w14:textId="77777777" w:rsidR="00F962BE" w:rsidRPr="00A3130C" w:rsidRDefault="00F962BE">
            <w:pPr>
              <w:pStyle w:val="ARTabletext"/>
              <w:rPr>
                <w:rFonts w:eastAsia="Times"/>
              </w:rPr>
            </w:pPr>
            <w:r w:rsidRPr="00A3130C">
              <w:rPr>
                <w:rFonts w:eastAsia="Times"/>
              </w:rPr>
              <w:t>Goulburn Valley Pride</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3F35DD6E" w14:textId="77777777" w:rsidR="00F962BE" w:rsidRPr="00A3130C" w:rsidRDefault="00F962BE">
            <w:pPr>
              <w:pStyle w:val="ARTabletext"/>
              <w:jc w:val="right"/>
              <w:rPr>
                <w:rFonts w:eastAsia="Times"/>
              </w:rPr>
            </w:pPr>
            <w:r w:rsidRPr="00A3130C">
              <w:rPr>
                <w:rFonts w:eastAsia="Times"/>
              </w:rPr>
              <w:t>22,500</w:t>
            </w:r>
          </w:p>
        </w:tc>
      </w:tr>
      <w:tr w:rsidR="00F962BE" w:rsidRPr="00A3130C" w14:paraId="4FA9EAEE"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15F96643" w14:textId="77777777" w:rsidR="00F962BE" w:rsidRPr="00A3130C" w:rsidRDefault="00F962BE">
            <w:pPr>
              <w:pStyle w:val="ARTabletext"/>
              <w:rPr>
                <w:rFonts w:eastAsia="Times"/>
              </w:rPr>
            </w:pPr>
            <w:r w:rsidRPr="00A3130C">
              <w:rPr>
                <w:rFonts w:eastAsia="Times"/>
              </w:rPr>
              <w:t>Housing for the Aged Action Group</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BD4D988" w14:textId="77777777" w:rsidR="00F962BE" w:rsidRPr="00A3130C" w:rsidRDefault="00F962BE">
            <w:pPr>
              <w:pStyle w:val="ARTabletext"/>
              <w:jc w:val="right"/>
              <w:rPr>
                <w:rFonts w:eastAsia="Times"/>
              </w:rPr>
            </w:pPr>
            <w:r w:rsidRPr="00A3130C">
              <w:rPr>
                <w:rFonts w:eastAsia="Times"/>
              </w:rPr>
              <w:t>6,680</w:t>
            </w:r>
          </w:p>
        </w:tc>
      </w:tr>
      <w:tr w:rsidR="00F962BE" w:rsidRPr="00A3130C" w14:paraId="2EA9BFDB"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44A692F6" w14:textId="77777777" w:rsidR="00F962BE" w:rsidRPr="00A3130C" w:rsidRDefault="00F962BE">
            <w:pPr>
              <w:pStyle w:val="ARTabletext"/>
              <w:rPr>
                <w:rFonts w:eastAsia="Times"/>
              </w:rPr>
            </w:pPr>
            <w:r w:rsidRPr="00A3130C">
              <w:rPr>
                <w:rFonts w:eastAsia="Times"/>
              </w:rPr>
              <w:t>Inclusive Rainbow Voices</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4560D3CA" w14:textId="77777777" w:rsidR="00F962BE" w:rsidRPr="00A3130C" w:rsidRDefault="00F962BE">
            <w:pPr>
              <w:pStyle w:val="ARTabletext"/>
              <w:jc w:val="right"/>
              <w:rPr>
                <w:rFonts w:eastAsia="Times"/>
              </w:rPr>
            </w:pPr>
            <w:r w:rsidRPr="00A3130C">
              <w:rPr>
                <w:rFonts w:eastAsia="Times"/>
              </w:rPr>
              <w:t>36,000</w:t>
            </w:r>
          </w:p>
        </w:tc>
      </w:tr>
      <w:tr w:rsidR="00F962BE" w:rsidRPr="00A3130C" w14:paraId="56FF017A"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4131F55F" w14:textId="77777777" w:rsidR="00F962BE" w:rsidRPr="00A3130C" w:rsidRDefault="00F962BE">
            <w:pPr>
              <w:pStyle w:val="ARTabletext"/>
              <w:rPr>
                <w:rFonts w:eastAsia="Times"/>
              </w:rPr>
            </w:pPr>
            <w:r w:rsidRPr="00A3130C">
              <w:rPr>
                <w:rFonts w:eastAsia="Times"/>
              </w:rPr>
              <w:t>InterAction for Health and Human Rights</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349F1BEC" w14:textId="77777777" w:rsidR="00F962BE" w:rsidRPr="00A3130C" w:rsidRDefault="00F962BE">
            <w:pPr>
              <w:pStyle w:val="ARTabletext"/>
              <w:jc w:val="right"/>
              <w:rPr>
                <w:rFonts w:eastAsia="Times"/>
              </w:rPr>
            </w:pPr>
            <w:r w:rsidRPr="00A3130C">
              <w:rPr>
                <w:rFonts w:eastAsia="Times"/>
              </w:rPr>
              <w:t>60,000</w:t>
            </w:r>
          </w:p>
        </w:tc>
      </w:tr>
      <w:tr w:rsidR="00F962BE" w:rsidRPr="00A3130C" w14:paraId="352EE6AF"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0FE88FDF" w14:textId="77777777" w:rsidR="00F962BE" w:rsidRPr="00A3130C" w:rsidRDefault="00F962BE">
            <w:pPr>
              <w:pStyle w:val="ARTabletext"/>
              <w:rPr>
                <w:rFonts w:eastAsia="Times"/>
              </w:rPr>
            </w:pPr>
            <w:r w:rsidRPr="00A3130C">
              <w:rPr>
                <w:rFonts w:eastAsia="Times"/>
              </w:rPr>
              <w:t>Joy Melbourne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67E41CB9" w14:textId="77777777" w:rsidR="00F962BE" w:rsidRPr="00A3130C" w:rsidRDefault="00F962BE">
            <w:pPr>
              <w:pStyle w:val="ARTabletext"/>
              <w:jc w:val="right"/>
              <w:rPr>
                <w:rFonts w:eastAsia="Times"/>
              </w:rPr>
            </w:pPr>
            <w:r w:rsidRPr="00A3130C">
              <w:rPr>
                <w:rFonts w:eastAsia="Times"/>
              </w:rPr>
              <w:t>150,000</w:t>
            </w:r>
          </w:p>
        </w:tc>
      </w:tr>
      <w:tr w:rsidR="00F962BE" w:rsidRPr="00A3130C" w14:paraId="3CEE1219"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63549C9E" w14:textId="77777777" w:rsidR="00F962BE" w:rsidRPr="00A3130C" w:rsidRDefault="00F962BE">
            <w:pPr>
              <w:pStyle w:val="ARTabletext"/>
              <w:rPr>
                <w:rFonts w:eastAsia="Times"/>
              </w:rPr>
            </w:pPr>
            <w:r w:rsidRPr="00A3130C">
              <w:rPr>
                <w:rFonts w:eastAsia="Times"/>
              </w:rPr>
              <w:t>La Trobe University</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40093975" w14:textId="77777777" w:rsidR="00F962BE" w:rsidRPr="00A3130C" w:rsidRDefault="00F962BE">
            <w:pPr>
              <w:pStyle w:val="ARTabletext"/>
              <w:jc w:val="right"/>
              <w:rPr>
                <w:rFonts w:eastAsia="Times"/>
              </w:rPr>
            </w:pPr>
            <w:r w:rsidRPr="00A3130C">
              <w:rPr>
                <w:rFonts w:eastAsia="Times"/>
              </w:rPr>
              <w:t>1,670,000</w:t>
            </w:r>
          </w:p>
        </w:tc>
      </w:tr>
      <w:tr w:rsidR="00F962BE" w:rsidRPr="00A3130C" w14:paraId="7FBA821F"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143925B2" w14:textId="77777777" w:rsidR="00F962BE" w:rsidRPr="00A3130C" w:rsidRDefault="00F962BE">
            <w:pPr>
              <w:pStyle w:val="ARTabletext"/>
              <w:rPr>
                <w:rFonts w:eastAsia="Times"/>
              </w:rPr>
            </w:pPr>
            <w:r w:rsidRPr="00A3130C">
              <w:rPr>
                <w:rFonts w:eastAsia="Times"/>
              </w:rPr>
              <w:t>Latrobe Community Health Service Ltd</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6F67E49E" w14:textId="77777777" w:rsidR="00F962BE" w:rsidRPr="00A3130C" w:rsidRDefault="00F962BE">
            <w:pPr>
              <w:pStyle w:val="ARTabletext"/>
              <w:jc w:val="right"/>
              <w:rPr>
                <w:rFonts w:eastAsia="Times"/>
              </w:rPr>
            </w:pPr>
            <w:r w:rsidRPr="00A3130C">
              <w:rPr>
                <w:rFonts w:eastAsia="Times"/>
              </w:rPr>
              <w:t>8,500</w:t>
            </w:r>
          </w:p>
        </w:tc>
      </w:tr>
      <w:tr w:rsidR="00F962BE" w:rsidRPr="00A3130C" w14:paraId="07A5F8AF"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311EE1DD" w14:textId="77777777" w:rsidR="00F962BE" w:rsidRPr="00A3130C" w:rsidRDefault="00F962BE">
            <w:pPr>
              <w:pStyle w:val="ARTabletext"/>
              <w:rPr>
                <w:rFonts w:eastAsia="Times"/>
              </w:rPr>
            </w:pPr>
            <w:r w:rsidRPr="00A3130C">
              <w:rPr>
                <w:rFonts w:eastAsia="Times"/>
              </w:rPr>
              <w:t>Let's Talk About X</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8CBA5D8" w14:textId="77777777" w:rsidR="00F962BE" w:rsidRPr="00A3130C" w:rsidRDefault="00F962BE">
            <w:pPr>
              <w:pStyle w:val="ARTabletext"/>
              <w:jc w:val="right"/>
              <w:rPr>
                <w:rFonts w:eastAsia="Times"/>
              </w:rPr>
            </w:pPr>
            <w:r w:rsidRPr="00A3130C">
              <w:rPr>
                <w:rFonts w:eastAsia="Times"/>
              </w:rPr>
              <w:t>20,238</w:t>
            </w:r>
          </w:p>
        </w:tc>
      </w:tr>
      <w:tr w:rsidR="00F962BE" w:rsidRPr="00A3130C" w14:paraId="30576E8D"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0542014F" w14:textId="77777777" w:rsidR="00F962BE" w:rsidRPr="00A3130C" w:rsidRDefault="00F962BE">
            <w:pPr>
              <w:pStyle w:val="ARTabletext"/>
              <w:rPr>
                <w:rFonts w:eastAsia="Times"/>
              </w:rPr>
            </w:pPr>
            <w:r w:rsidRPr="00A3130C">
              <w:rPr>
                <w:rFonts w:eastAsia="Times"/>
              </w:rPr>
              <w:t>LINE Wangaratta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038DBDC" w14:textId="77777777" w:rsidR="00F962BE" w:rsidRPr="00A3130C" w:rsidRDefault="00F962BE">
            <w:pPr>
              <w:pStyle w:val="ARTabletext"/>
              <w:jc w:val="right"/>
              <w:rPr>
                <w:rFonts w:eastAsia="Times"/>
              </w:rPr>
            </w:pPr>
            <w:r w:rsidRPr="00A3130C">
              <w:rPr>
                <w:rFonts w:eastAsia="Times"/>
              </w:rPr>
              <w:t>60,000</w:t>
            </w:r>
          </w:p>
        </w:tc>
      </w:tr>
      <w:tr w:rsidR="00F962BE" w:rsidRPr="00A3130C" w14:paraId="4F0D1CB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2538D2B8" w14:textId="77777777" w:rsidR="00F962BE" w:rsidRPr="00A3130C" w:rsidRDefault="00F962BE">
            <w:pPr>
              <w:pStyle w:val="ARTabletext"/>
              <w:rPr>
                <w:rFonts w:eastAsia="Times"/>
              </w:rPr>
            </w:pPr>
            <w:r w:rsidRPr="00A3130C">
              <w:rPr>
                <w:rFonts w:eastAsia="Times"/>
              </w:rPr>
              <w:t>Living Positive Victoria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FF898DD" w14:textId="77777777" w:rsidR="00F962BE" w:rsidRPr="00A3130C" w:rsidRDefault="00F962BE">
            <w:pPr>
              <w:pStyle w:val="ARTabletext"/>
              <w:jc w:val="right"/>
              <w:rPr>
                <w:rFonts w:eastAsia="Times"/>
              </w:rPr>
            </w:pPr>
            <w:r w:rsidRPr="00A3130C">
              <w:rPr>
                <w:rFonts w:eastAsia="Times"/>
              </w:rPr>
              <w:t>22,500</w:t>
            </w:r>
          </w:p>
        </w:tc>
      </w:tr>
      <w:tr w:rsidR="00F962BE" w:rsidRPr="00A3130C" w14:paraId="033307B6"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45138ECB" w14:textId="77777777" w:rsidR="00F962BE" w:rsidRPr="00A3130C" w:rsidRDefault="00F962BE">
            <w:pPr>
              <w:pStyle w:val="ARTabletext"/>
              <w:rPr>
                <w:rFonts w:eastAsia="Times"/>
              </w:rPr>
            </w:pPr>
            <w:r w:rsidRPr="00A3130C">
              <w:rPr>
                <w:rFonts w:eastAsia="Times"/>
              </w:rPr>
              <w:t>Mallee Family Care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A59D452" w14:textId="77777777" w:rsidR="00F962BE" w:rsidRPr="00A3130C" w:rsidRDefault="00F962BE">
            <w:pPr>
              <w:pStyle w:val="ARTabletext"/>
              <w:jc w:val="right"/>
              <w:rPr>
                <w:rFonts w:eastAsia="Times"/>
              </w:rPr>
            </w:pPr>
            <w:r w:rsidRPr="00A3130C">
              <w:rPr>
                <w:rFonts w:eastAsia="Times"/>
              </w:rPr>
              <w:t>15,500</w:t>
            </w:r>
          </w:p>
        </w:tc>
      </w:tr>
      <w:tr w:rsidR="00F962BE" w:rsidRPr="00A3130C" w14:paraId="15D86A5F"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57BB9440" w14:textId="77777777" w:rsidR="00F962BE" w:rsidRPr="00A3130C" w:rsidRDefault="00F962BE">
            <w:pPr>
              <w:pStyle w:val="ARTabletext"/>
              <w:rPr>
                <w:rFonts w:eastAsia="Times"/>
              </w:rPr>
            </w:pPr>
            <w:r w:rsidRPr="00A3130C">
              <w:rPr>
                <w:rFonts w:eastAsia="Times"/>
              </w:rPr>
              <w:t>Many Coloured Sky</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23351DD" w14:textId="77777777" w:rsidR="00F962BE" w:rsidRPr="00A3130C" w:rsidRDefault="00F962BE">
            <w:pPr>
              <w:pStyle w:val="ARTabletext"/>
              <w:jc w:val="right"/>
              <w:rPr>
                <w:rFonts w:eastAsia="Times"/>
              </w:rPr>
            </w:pPr>
            <w:r w:rsidRPr="00A3130C">
              <w:rPr>
                <w:rFonts w:eastAsia="Times"/>
              </w:rPr>
              <w:t>83,006</w:t>
            </w:r>
          </w:p>
        </w:tc>
      </w:tr>
      <w:tr w:rsidR="00F962BE" w:rsidRPr="00A3130C" w14:paraId="12A6236C"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2A75853F" w14:textId="77777777" w:rsidR="00F962BE" w:rsidRPr="00A3130C" w:rsidRDefault="00F962BE">
            <w:pPr>
              <w:pStyle w:val="ARTabletext"/>
              <w:rPr>
                <w:rFonts w:eastAsia="Times"/>
              </w:rPr>
            </w:pPr>
            <w:r w:rsidRPr="00A3130C">
              <w:rPr>
                <w:rFonts w:eastAsia="Times"/>
              </w:rPr>
              <w:t>Melbourne Queer Film Festival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79858758" w14:textId="77777777" w:rsidR="00F962BE" w:rsidRPr="00A3130C" w:rsidRDefault="00F962BE">
            <w:pPr>
              <w:pStyle w:val="ARTabletext"/>
              <w:jc w:val="right"/>
              <w:rPr>
                <w:rFonts w:eastAsia="Times"/>
              </w:rPr>
            </w:pPr>
            <w:r w:rsidRPr="00A3130C">
              <w:rPr>
                <w:rFonts w:eastAsia="Times"/>
              </w:rPr>
              <w:t>54,312</w:t>
            </w:r>
          </w:p>
        </w:tc>
      </w:tr>
      <w:tr w:rsidR="00F962BE" w:rsidRPr="00A3130C" w14:paraId="2DF846F7"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0AA9A1CE" w14:textId="77777777" w:rsidR="00F962BE" w:rsidRPr="00A3130C" w:rsidRDefault="00F962BE">
            <w:pPr>
              <w:pStyle w:val="ARTabletext"/>
              <w:rPr>
                <w:rFonts w:eastAsia="Times"/>
              </w:rPr>
            </w:pPr>
            <w:proofErr w:type="spellStart"/>
            <w:r w:rsidRPr="00A3130C">
              <w:rPr>
                <w:rFonts w:eastAsia="Times"/>
              </w:rPr>
              <w:t>Midsumma</w:t>
            </w:r>
            <w:proofErr w:type="spellEnd"/>
            <w:r w:rsidRPr="00A3130C">
              <w:rPr>
                <w:rFonts w:eastAsia="Times"/>
              </w:rPr>
              <w:t xml:space="preserve"> Festival</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28B11ED3" w14:textId="77777777" w:rsidR="00F962BE" w:rsidRPr="00A3130C" w:rsidRDefault="00F962BE">
            <w:pPr>
              <w:pStyle w:val="ARTabletext"/>
              <w:jc w:val="right"/>
              <w:rPr>
                <w:rFonts w:eastAsia="Times"/>
              </w:rPr>
            </w:pPr>
            <w:r w:rsidRPr="00A3130C">
              <w:rPr>
                <w:rFonts w:eastAsia="Times"/>
              </w:rPr>
              <w:t>1,845,000</w:t>
            </w:r>
          </w:p>
        </w:tc>
      </w:tr>
      <w:tr w:rsidR="00F962BE" w:rsidRPr="00A3130C" w14:paraId="04192465"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28C7420E" w14:textId="77777777" w:rsidR="00F962BE" w:rsidRPr="00A3130C" w:rsidRDefault="00F962BE">
            <w:pPr>
              <w:pStyle w:val="ARTabletext"/>
              <w:rPr>
                <w:rFonts w:eastAsia="Times"/>
              </w:rPr>
            </w:pPr>
            <w:r w:rsidRPr="00A3130C">
              <w:rPr>
                <w:rFonts w:eastAsia="Times"/>
              </w:rPr>
              <w:t>Minus18 Foundation</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7F3DE222" w14:textId="77777777" w:rsidR="00F962BE" w:rsidRPr="00A3130C" w:rsidRDefault="00F962BE">
            <w:pPr>
              <w:pStyle w:val="ARTabletext"/>
              <w:jc w:val="right"/>
              <w:rPr>
                <w:rFonts w:eastAsia="Times"/>
              </w:rPr>
            </w:pPr>
            <w:r w:rsidRPr="00A3130C">
              <w:rPr>
                <w:rFonts w:eastAsia="Times"/>
              </w:rPr>
              <w:t>134,260</w:t>
            </w:r>
          </w:p>
        </w:tc>
      </w:tr>
      <w:tr w:rsidR="00F962BE" w:rsidRPr="00A3130C" w14:paraId="5A69C5D5"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5395FBD9" w14:textId="77777777" w:rsidR="00F962BE" w:rsidRPr="00A3130C" w:rsidRDefault="00F962BE">
            <w:pPr>
              <w:pStyle w:val="ARTabletext"/>
              <w:rPr>
                <w:rFonts w:eastAsia="Times"/>
              </w:rPr>
            </w:pPr>
            <w:r w:rsidRPr="00A3130C">
              <w:rPr>
                <w:rFonts w:eastAsia="Times"/>
              </w:rPr>
              <w:t>Northern District Community Health</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3BEBA6C6" w14:textId="77777777" w:rsidR="00F962BE" w:rsidRPr="00A3130C" w:rsidRDefault="00F962BE">
            <w:pPr>
              <w:pStyle w:val="ARTabletext"/>
              <w:jc w:val="right"/>
              <w:rPr>
                <w:rFonts w:eastAsia="Times"/>
              </w:rPr>
            </w:pPr>
            <w:r w:rsidRPr="00A3130C">
              <w:rPr>
                <w:rFonts w:eastAsia="Times"/>
              </w:rPr>
              <w:t>10,000</w:t>
            </w:r>
          </w:p>
        </w:tc>
      </w:tr>
      <w:tr w:rsidR="00F962BE" w:rsidRPr="00A3130C" w14:paraId="299D00BC"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26D7564B" w14:textId="77777777" w:rsidR="00F962BE" w:rsidRPr="00A3130C" w:rsidRDefault="00F962BE">
            <w:pPr>
              <w:pStyle w:val="ARTabletext"/>
              <w:rPr>
                <w:rFonts w:eastAsia="Times"/>
              </w:rPr>
            </w:pPr>
            <w:r w:rsidRPr="00A3130C">
              <w:rPr>
                <w:rFonts w:eastAsia="Times"/>
              </w:rPr>
              <w:t>Pride Cup</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2E1653E3" w14:textId="77777777" w:rsidR="00F962BE" w:rsidRPr="00A3130C" w:rsidRDefault="00F962BE">
            <w:pPr>
              <w:pStyle w:val="ARTabletext"/>
              <w:jc w:val="right"/>
              <w:rPr>
                <w:rFonts w:eastAsia="Times"/>
              </w:rPr>
            </w:pPr>
            <w:r w:rsidRPr="00A3130C">
              <w:rPr>
                <w:rFonts w:eastAsia="Times"/>
              </w:rPr>
              <w:t>15,000</w:t>
            </w:r>
          </w:p>
        </w:tc>
      </w:tr>
      <w:tr w:rsidR="00F962BE" w:rsidRPr="00A3130C" w14:paraId="107E29C2"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0731FAE7" w14:textId="77777777" w:rsidR="00F962BE" w:rsidRPr="00A3130C" w:rsidRDefault="00F962BE">
            <w:pPr>
              <w:pStyle w:val="ARTabletext"/>
              <w:rPr>
                <w:rFonts w:eastAsia="Times"/>
              </w:rPr>
            </w:pPr>
            <w:r w:rsidRPr="00A3130C">
              <w:rPr>
                <w:rFonts w:eastAsia="Times"/>
              </w:rPr>
              <w:t>Proud 2 Play</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237311CA" w14:textId="77777777" w:rsidR="00F962BE" w:rsidRPr="00A3130C" w:rsidRDefault="00F962BE">
            <w:pPr>
              <w:pStyle w:val="ARTabletext"/>
              <w:jc w:val="right"/>
              <w:rPr>
                <w:rFonts w:eastAsia="Times"/>
              </w:rPr>
            </w:pPr>
            <w:r w:rsidRPr="00A3130C">
              <w:rPr>
                <w:rFonts w:eastAsia="Times"/>
              </w:rPr>
              <w:t>50,000</w:t>
            </w:r>
          </w:p>
        </w:tc>
      </w:tr>
      <w:tr w:rsidR="00F962BE" w:rsidRPr="00A3130C" w14:paraId="660C2370"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5314B3DE" w14:textId="77777777" w:rsidR="00F962BE" w:rsidRPr="00A3130C" w:rsidRDefault="00F962BE">
            <w:pPr>
              <w:pStyle w:val="ARTabletext"/>
              <w:rPr>
                <w:rFonts w:eastAsia="Times"/>
              </w:rPr>
            </w:pPr>
            <w:r w:rsidRPr="00A3130C">
              <w:rPr>
                <w:rFonts w:eastAsia="Times"/>
              </w:rPr>
              <w:t>Q-Lit: Victoria's Queer Festival of Words</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C4534EC" w14:textId="77777777" w:rsidR="00F962BE" w:rsidRPr="00A3130C" w:rsidRDefault="00F962BE">
            <w:pPr>
              <w:pStyle w:val="ARTabletext"/>
              <w:jc w:val="right"/>
              <w:rPr>
                <w:rFonts w:eastAsia="Times"/>
              </w:rPr>
            </w:pPr>
            <w:r w:rsidRPr="00A3130C">
              <w:rPr>
                <w:rFonts w:eastAsia="Times"/>
              </w:rPr>
              <w:t>16,500</w:t>
            </w:r>
          </w:p>
        </w:tc>
      </w:tr>
      <w:tr w:rsidR="00F962BE" w:rsidRPr="00A3130C" w14:paraId="426A82E9"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7AB87A7E" w14:textId="77777777" w:rsidR="00F962BE" w:rsidRPr="00A3130C" w:rsidRDefault="00F962BE">
            <w:pPr>
              <w:pStyle w:val="ARTabletext"/>
              <w:rPr>
                <w:rFonts w:eastAsia="Times"/>
              </w:rPr>
            </w:pPr>
            <w:r w:rsidRPr="00A3130C">
              <w:rPr>
                <w:rFonts w:eastAsia="Times"/>
              </w:rPr>
              <w:t>Rural Pride Australia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24028D1" w14:textId="77777777" w:rsidR="00F962BE" w:rsidRPr="00A3130C" w:rsidRDefault="00F962BE">
            <w:pPr>
              <w:pStyle w:val="ARTabletext"/>
              <w:jc w:val="right"/>
              <w:rPr>
                <w:rFonts w:eastAsia="Times"/>
              </w:rPr>
            </w:pPr>
            <w:r w:rsidRPr="00A3130C">
              <w:rPr>
                <w:rFonts w:eastAsia="Times"/>
              </w:rPr>
              <w:t>25,000</w:t>
            </w:r>
          </w:p>
        </w:tc>
      </w:tr>
      <w:tr w:rsidR="00F962BE" w:rsidRPr="00A3130C" w14:paraId="72E39A39"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0B2D0C33" w14:textId="77777777" w:rsidR="00F962BE" w:rsidRPr="00A3130C" w:rsidRDefault="00F962BE">
            <w:pPr>
              <w:pStyle w:val="ARTabletext"/>
              <w:rPr>
                <w:rFonts w:eastAsia="Times"/>
              </w:rPr>
            </w:pPr>
            <w:r w:rsidRPr="00A3130C">
              <w:rPr>
                <w:rFonts w:eastAsia="Times"/>
              </w:rPr>
              <w:t xml:space="preserve">Sunbury and </w:t>
            </w:r>
            <w:proofErr w:type="spellStart"/>
            <w:r w:rsidRPr="00A3130C">
              <w:rPr>
                <w:rFonts w:eastAsia="Times"/>
              </w:rPr>
              <w:t>Cobaw</w:t>
            </w:r>
            <w:proofErr w:type="spellEnd"/>
            <w:r w:rsidRPr="00A3130C">
              <w:rPr>
                <w:rFonts w:eastAsia="Times"/>
              </w:rPr>
              <w:t xml:space="preserve"> Community Health</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A39B50D" w14:textId="77777777" w:rsidR="00F962BE" w:rsidRPr="00A3130C" w:rsidRDefault="00F962BE">
            <w:pPr>
              <w:pStyle w:val="ARTabletext"/>
              <w:jc w:val="right"/>
              <w:rPr>
                <w:rFonts w:eastAsia="Times"/>
              </w:rPr>
            </w:pPr>
            <w:r w:rsidRPr="00A3130C">
              <w:rPr>
                <w:rFonts w:eastAsia="Times"/>
              </w:rPr>
              <w:t>17,332</w:t>
            </w:r>
          </w:p>
        </w:tc>
      </w:tr>
      <w:tr w:rsidR="00F962BE" w:rsidRPr="00A3130C" w14:paraId="764B518C"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20A06921" w14:textId="77777777" w:rsidR="00F962BE" w:rsidRPr="00A3130C" w:rsidRDefault="00F962BE">
            <w:pPr>
              <w:pStyle w:val="ARTabletext"/>
              <w:rPr>
                <w:rFonts w:eastAsia="Times"/>
              </w:rPr>
            </w:pPr>
            <w:r w:rsidRPr="00A3130C">
              <w:rPr>
                <w:rFonts w:eastAsia="Times"/>
              </w:rPr>
              <w:t>Switchboard (Victoria)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44EDEA89" w14:textId="77777777" w:rsidR="00F962BE" w:rsidRPr="00A3130C" w:rsidRDefault="00F962BE">
            <w:pPr>
              <w:pStyle w:val="ARTabletext"/>
              <w:jc w:val="right"/>
              <w:rPr>
                <w:rFonts w:eastAsia="Times"/>
              </w:rPr>
            </w:pPr>
            <w:r w:rsidRPr="00A3130C">
              <w:rPr>
                <w:rFonts w:eastAsia="Times"/>
              </w:rPr>
              <w:t>1,200,000</w:t>
            </w:r>
          </w:p>
        </w:tc>
      </w:tr>
      <w:tr w:rsidR="00F962BE" w:rsidRPr="00A3130C" w14:paraId="5A376CA6"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42846883" w14:textId="77777777" w:rsidR="00F962BE" w:rsidRPr="00A3130C" w:rsidRDefault="00F962BE">
            <w:pPr>
              <w:pStyle w:val="ARTabletext"/>
              <w:rPr>
                <w:rFonts w:eastAsia="Times"/>
              </w:rPr>
            </w:pPr>
            <w:r w:rsidRPr="00A3130C">
              <w:rPr>
                <w:rFonts w:eastAsia="Times"/>
              </w:rPr>
              <w:t>Thorne Harbour Health Ltd</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6CAA3EC8" w14:textId="77777777" w:rsidR="00F962BE" w:rsidRPr="00A3130C" w:rsidRDefault="00F962BE">
            <w:pPr>
              <w:pStyle w:val="ARTabletext"/>
              <w:jc w:val="right"/>
              <w:rPr>
                <w:rFonts w:eastAsia="Times"/>
              </w:rPr>
            </w:pPr>
            <w:r w:rsidRPr="00A3130C">
              <w:rPr>
                <w:rFonts w:eastAsia="Times"/>
              </w:rPr>
              <w:t>109,000</w:t>
            </w:r>
          </w:p>
        </w:tc>
      </w:tr>
      <w:tr w:rsidR="00F962BE" w:rsidRPr="00A3130C" w14:paraId="324274A0"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1B500F06" w14:textId="77777777" w:rsidR="00F962BE" w:rsidRPr="00A3130C" w:rsidRDefault="00F962BE">
            <w:pPr>
              <w:pStyle w:val="ARTabletext"/>
              <w:rPr>
                <w:rFonts w:eastAsia="Times"/>
              </w:rPr>
            </w:pPr>
            <w:r w:rsidRPr="00A3130C">
              <w:rPr>
                <w:rFonts w:eastAsia="Times"/>
              </w:rPr>
              <w:t>tilde: Melbourne Trans and Gender Diverse Film Festival</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695D102D" w14:textId="77777777" w:rsidR="00F962BE" w:rsidRPr="00A3130C" w:rsidRDefault="00F962BE">
            <w:pPr>
              <w:pStyle w:val="ARTabletext"/>
              <w:jc w:val="right"/>
              <w:rPr>
                <w:rFonts w:eastAsia="Times"/>
              </w:rPr>
            </w:pPr>
            <w:r w:rsidRPr="00A3130C">
              <w:rPr>
                <w:rFonts w:eastAsia="Times"/>
              </w:rPr>
              <w:t>37,000</w:t>
            </w:r>
          </w:p>
        </w:tc>
      </w:tr>
      <w:tr w:rsidR="00F962BE" w:rsidRPr="00A3130C" w14:paraId="75EAC632"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3A80F5A4" w14:textId="77777777" w:rsidR="00F962BE" w:rsidRPr="00A3130C" w:rsidRDefault="00F962BE">
            <w:pPr>
              <w:pStyle w:val="ARTabletext"/>
              <w:rPr>
                <w:rFonts w:eastAsia="Times"/>
              </w:rPr>
            </w:pPr>
            <w:r w:rsidRPr="00A3130C">
              <w:rPr>
                <w:rFonts w:eastAsia="Times"/>
              </w:rPr>
              <w:t>Transcend Australia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05C746A" w14:textId="77777777" w:rsidR="00F962BE" w:rsidRPr="00A3130C" w:rsidRDefault="00F962BE">
            <w:pPr>
              <w:pStyle w:val="ARTabletext"/>
              <w:jc w:val="right"/>
              <w:rPr>
                <w:rFonts w:eastAsia="Times"/>
              </w:rPr>
            </w:pPr>
            <w:r w:rsidRPr="00A3130C">
              <w:rPr>
                <w:rFonts w:eastAsia="Times"/>
              </w:rPr>
              <w:t>96,831</w:t>
            </w:r>
          </w:p>
        </w:tc>
      </w:tr>
      <w:tr w:rsidR="00F962BE" w:rsidRPr="00A3130C" w14:paraId="3B85959D"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4AC25524" w14:textId="77777777" w:rsidR="00F962BE" w:rsidRPr="00A3130C" w:rsidRDefault="00F962BE">
            <w:pPr>
              <w:pStyle w:val="ARTabletext"/>
              <w:rPr>
                <w:rFonts w:eastAsia="Times"/>
              </w:rPr>
            </w:pPr>
            <w:r w:rsidRPr="00A3130C">
              <w:rPr>
                <w:rFonts w:eastAsia="Times"/>
              </w:rPr>
              <w:t>Transgender Victoria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C491A60" w14:textId="77777777" w:rsidR="00F962BE" w:rsidRPr="00A3130C" w:rsidRDefault="00F962BE">
            <w:pPr>
              <w:pStyle w:val="ARTabletext"/>
              <w:jc w:val="right"/>
              <w:rPr>
                <w:rFonts w:eastAsia="Times"/>
              </w:rPr>
            </w:pPr>
            <w:r w:rsidRPr="00A3130C">
              <w:rPr>
                <w:rFonts w:eastAsia="Times"/>
              </w:rPr>
              <w:t>643,554</w:t>
            </w:r>
          </w:p>
        </w:tc>
      </w:tr>
      <w:tr w:rsidR="00F962BE" w:rsidRPr="00A3130C" w14:paraId="3440A940"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0EC97F7B" w14:textId="77777777" w:rsidR="00F962BE" w:rsidRPr="00A3130C" w:rsidRDefault="00F962BE">
            <w:pPr>
              <w:pStyle w:val="ARTabletext"/>
              <w:rPr>
                <w:rFonts w:eastAsia="Times"/>
              </w:rPr>
            </w:pPr>
            <w:r w:rsidRPr="00A3130C">
              <w:rPr>
                <w:rFonts w:eastAsia="Times"/>
              </w:rPr>
              <w:t>Uniting (Victoria &amp; Tasmania) Ltd</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632C442F" w14:textId="77777777" w:rsidR="00F962BE" w:rsidRPr="00A3130C" w:rsidRDefault="00F962BE">
            <w:pPr>
              <w:pStyle w:val="ARTabletext"/>
              <w:jc w:val="right"/>
              <w:rPr>
                <w:rFonts w:eastAsia="Times"/>
              </w:rPr>
            </w:pPr>
            <w:r w:rsidRPr="00A3130C">
              <w:rPr>
                <w:rFonts w:eastAsia="Times"/>
              </w:rPr>
              <w:t>7,570</w:t>
            </w:r>
          </w:p>
        </w:tc>
      </w:tr>
      <w:tr w:rsidR="00F962BE" w:rsidRPr="00A3130C" w14:paraId="22C15460"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2FA9BE7D" w14:textId="77777777" w:rsidR="00F962BE" w:rsidRPr="00A3130C" w:rsidRDefault="00F962BE">
            <w:pPr>
              <w:pStyle w:val="ARTabletext"/>
              <w:rPr>
                <w:rFonts w:eastAsia="Times"/>
              </w:rPr>
            </w:pPr>
            <w:r w:rsidRPr="00A3130C">
              <w:rPr>
                <w:rFonts w:eastAsia="Times"/>
              </w:rPr>
              <w:t>Victorian Pride Centre</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DFD8AC4" w14:textId="77777777" w:rsidR="00F962BE" w:rsidRPr="00A3130C" w:rsidRDefault="00F962BE">
            <w:pPr>
              <w:pStyle w:val="ARTabletext"/>
              <w:jc w:val="right"/>
              <w:rPr>
                <w:rFonts w:eastAsia="Times"/>
              </w:rPr>
            </w:pPr>
            <w:r w:rsidRPr="00A3130C">
              <w:rPr>
                <w:rFonts w:eastAsia="Times"/>
              </w:rPr>
              <w:t>93,000</w:t>
            </w:r>
          </w:p>
        </w:tc>
      </w:tr>
      <w:tr w:rsidR="00F962BE" w:rsidRPr="00A3130C" w14:paraId="7B9DB8C4"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6DCEB22D" w14:textId="77777777" w:rsidR="00F962BE" w:rsidRPr="00A3130C" w:rsidRDefault="00F962BE">
            <w:pPr>
              <w:pStyle w:val="ARTabletext"/>
              <w:rPr>
                <w:rFonts w:eastAsia="Times"/>
              </w:rPr>
            </w:pPr>
            <w:proofErr w:type="spellStart"/>
            <w:r w:rsidRPr="00A3130C">
              <w:rPr>
                <w:rFonts w:eastAsia="Times"/>
              </w:rPr>
              <w:t>VincentCare</w:t>
            </w:r>
            <w:proofErr w:type="spellEnd"/>
            <w:r w:rsidRPr="00A3130C">
              <w:rPr>
                <w:rFonts w:eastAsia="Times"/>
              </w:rPr>
              <w:t xml:space="preserve"> Victoria Ltd</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2D96573E" w14:textId="77777777" w:rsidR="00F962BE" w:rsidRPr="00A3130C" w:rsidRDefault="00F962BE">
            <w:pPr>
              <w:pStyle w:val="ARTabletext"/>
              <w:jc w:val="right"/>
              <w:rPr>
                <w:rFonts w:eastAsia="Times"/>
              </w:rPr>
            </w:pPr>
            <w:r w:rsidRPr="00A3130C">
              <w:rPr>
                <w:rFonts w:eastAsia="Times"/>
              </w:rPr>
              <w:t>28,200</w:t>
            </w:r>
          </w:p>
        </w:tc>
      </w:tr>
      <w:tr w:rsidR="00F962BE" w:rsidRPr="00A3130C" w14:paraId="7133CE63"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193" w:type="pct"/>
            <w:noWrap/>
            <w:hideMark/>
          </w:tcPr>
          <w:p w14:paraId="6CC62FD6" w14:textId="77777777" w:rsidR="00F962BE" w:rsidRPr="00A3130C" w:rsidRDefault="00F962BE">
            <w:pPr>
              <w:pStyle w:val="ARTabletext"/>
              <w:rPr>
                <w:rFonts w:eastAsia="Times"/>
              </w:rPr>
            </w:pPr>
            <w:proofErr w:type="spellStart"/>
            <w:r w:rsidRPr="00A3130C">
              <w:rPr>
                <w:rFonts w:eastAsia="Times"/>
              </w:rPr>
              <w:t>Weenthunga</w:t>
            </w:r>
            <w:proofErr w:type="spellEnd"/>
            <w:r w:rsidRPr="00A3130C">
              <w:rPr>
                <w:rFonts w:eastAsia="Times"/>
              </w:rPr>
              <w:t xml:space="preserve"> Health Network</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A260FAB" w14:textId="77777777" w:rsidR="00F962BE" w:rsidRPr="00A3130C" w:rsidRDefault="00F962BE">
            <w:pPr>
              <w:pStyle w:val="ARTabletext"/>
              <w:jc w:val="right"/>
              <w:rPr>
                <w:rFonts w:eastAsia="Times"/>
              </w:rPr>
            </w:pPr>
            <w:r w:rsidRPr="00A3130C">
              <w:rPr>
                <w:rFonts w:eastAsia="Times"/>
              </w:rPr>
              <w:t>9,500</w:t>
            </w:r>
          </w:p>
        </w:tc>
      </w:tr>
      <w:tr w:rsidR="00F962BE" w:rsidRPr="00A3130C" w14:paraId="3278F97E"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193" w:type="pct"/>
            <w:noWrap/>
            <w:hideMark/>
          </w:tcPr>
          <w:p w14:paraId="6B819FCD" w14:textId="77777777" w:rsidR="00F962BE" w:rsidRPr="00A3130C" w:rsidRDefault="00F962BE">
            <w:pPr>
              <w:pStyle w:val="ARTabletext"/>
              <w:rPr>
                <w:rFonts w:eastAsia="Times"/>
              </w:rPr>
            </w:pPr>
            <w:r w:rsidRPr="00A3130C">
              <w:rPr>
                <w:rFonts w:eastAsia="Times"/>
              </w:rPr>
              <w:t>Youth Projects Ltd</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66DC74C8" w14:textId="77777777" w:rsidR="00F962BE" w:rsidRPr="00A3130C" w:rsidRDefault="00F962BE">
            <w:pPr>
              <w:pStyle w:val="ARTabletext"/>
              <w:jc w:val="right"/>
              <w:rPr>
                <w:rFonts w:eastAsia="Times"/>
              </w:rPr>
            </w:pPr>
            <w:r w:rsidRPr="00A3130C">
              <w:rPr>
                <w:rFonts w:eastAsia="Times"/>
              </w:rPr>
              <w:t>22,500</w:t>
            </w:r>
          </w:p>
        </w:tc>
      </w:tr>
      <w:tr w:rsidR="00F962BE" w:rsidRPr="00A3130C" w14:paraId="75B6CC30" w14:textId="77777777" w:rsidTr="00735BAF">
        <w:trPr>
          <w:cnfStyle w:val="010000000000" w:firstRow="0" w:lastRow="1" w:firstColumn="0" w:lastColumn="0" w:oddVBand="0" w:evenVBand="0" w:oddHBand="0" w:evenHBand="0" w:firstRowFirstColumn="0" w:firstRowLastColumn="0" w:lastRowFirstColumn="0" w:lastRowLastColumn="0"/>
          <w:trHeight w:val="260"/>
        </w:trPr>
        <w:tc>
          <w:tcPr>
            <w:tcW w:w="4193" w:type="pct"/>
            <w:noWrap/>
            <w:hideMark/>
          </w:tcPr>
          <w:p w14:paraId="660832A2" w14:textId="77777777" w:rsidR="00F962BE" w:rsidRPr="00A3130C" w:rsidRDefault="00F962BE">
            <w:pPr>
              <w:pStyle w:val="ARtabletextbold"/>
              <w:rPr>
                <w:rFonts w:eastAsia="Times"/>
              </w:rPr>
            </w:pPr>
            <w:r w:rsidRPr="00A3130C">
              <w:rPr>
                <w:rFonts w:eastAsia="Times"/>
              </w:rPr>
              <w:t>Total</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638B6537" w14:textId="77777777" w:rsidR="00F962BE" w:rsidRPr="00A3130C" w:rsidRDefault="00F962BE">
            <w:pPr>
              <w:pStyle w:val="ARtabletextbold"/>
              <w:jc w:val="right"/>
              <w:rPr>
                <w:rFonts w:eastAsia="Times"/>
              </w:rPr>
            </w:pPr>
            <w:r w:rsidRPr="00A3130C">
              <w:rPr>
                <w:rFonts w:eastAsia="Times"/>
              </w:rPr>
              <w:t>8,034,176</w:t>
            </w:r>
          </w:p>
        </w:tc>
      </w:tr>
    </w:tbl>
    <w:p w14:paraId="00C44C25" w14:textId="77777777" w:rsidR="00F962BE" w:rsidRPr="00A3130C" w:rsidRDefault="00F962BE" w:rsidP="00F962BE">
      <w:pPr>
        <w:pStyle w:val="Heading3Grants"/>
      </w:pPr>
      <w:r w:rsidRPr="00A3130C">
        <w:t>Primary Prevention of Family Violence</w:t>
      </w:r>
    </w:p>
    <w:tbl>
      <w:tblPr>
        <w:tblStyle w:val="ARtable1"/>
        <w:tblW w:w="5000" w:type="pct"/>
        <w:tblLook w:val="00E0" w:firstRow="1" w:lastRow="1" w:firstColumn="1" w:lastColumn="0" w:noHBand="0" w:noVBand="0"/>
      </w:tblPr>
      <w:tblGrid>
        <w:gridCol w:w="8074"/>
        <w:gridCol w:w="1554"/>
      </w:tblGrid>
      <w:tr w:rsidR="00F962BE" w:rsidRPr="00A3130C" w14:paraId="11271123" w14:textId="77777777" w:rsidTr="00735BAF">
        <w:trPr>
          <w:cnfStyle w:val="100000000000" w:firstRow="1" w:lastRow="0" w:firstColumn="0" w:lastColumn="0" w:oddVBand="0" w:evenVBand="0" w:oddHBand="0" w:evenHBand="0" w:firstRowFirstColumn="0" w:firstRowLastColumn="0" w:lastRowFirstColumn="0" w:lastRowLastColumn="0"/>
          <w:trHeight w:val="290"/>
          <w:tblHeader/>
        </w:trPr>
        <w:tc>
          <w:tcPr>
            <w:tcW w:w="4193" w:type="pct"/>
            <w:noWrap/>
            <w:hideMark/>
          </w:tcPr>
          <w:p w14:paraId="05A9E0EA" w14:textId="77777777" w:rsidR="00F962BE" w:rsidRPr="00A3130C" w:rsidRDefault="00F962BE">
            <w:pPr>
              <w:pStyle w:val="ARtablecolhead"/>
              <w:rPr>
                <w:rFonts w:eastAsia="Times"/>
              </w:rPr>
            </w:pPr>
            <w:r w:rsidRPr="00A3130C">
              <w:rPr>
                <w:rFonts w:eastAsia="Times"/>
              </w:rPr>
              <w:t>Organisation</w:t>
            </w:r>
          </w:p>
        </w:tc>
        <w:tc>
          <w:tcPr>
            <w:cnfStyle w:val="000001000000" w:firstRow="0" w:lastRow="0" w:firstColumn="0" w:lastColumn="0" w:oddVBand="0" w:evenVBand="1" w:oddHBand="0" w:evenHBand="0" w:firstRowFirstColumn="0" w:firstRowLastColumn="0" w:lastRowFirstColumn="0" w:lastRowLastColumn="0"/>
            <w:tcW w:w="807" w:type="pct"/>
            <w:vAlign w:val="top"/>
            <w:hideMark/>
          </w:tcPr>
          <w:p w14:paraId="612630B2" w14:textId="77777777" w:rsidR="00F962BE" w:rsidRPr="00A3130C" w:rsidRDefault="00F962BE">
            <w:pPr>
              <w:pStyle w:val="ARtablecolhead"/>
              <w:jc w:val="right"/>
              <w:rPr>
                <w:rFonts w:eastAsia="Times"/>
              </w:rPr>
            </w:pPr>
            <w:r w:rsidRPr="00A3130C">
              <w:rPr>
                <w:rFonts w:eastAsia="Times"/>
              </w:rPr>
              <w:t>Payment ($)</w:t>
            </w:r>
          </w:p>
        </w:tc>
      </w:tr>
      <w:tr w:rsidR="00F962BE" w:rsidRPr="00A3130C" w14:paraId="63927048"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22C93898" w14:textId="77777777" w:rsidR="00F962BE" w:rsidRPr="00A3130C" w:rsidRDefault="00F962BE">
            <w:pPr>
              <w:pStyle w:val="ARTabletext"/>
              <w:rPr>
                <w:rFonts w:eastAsia="Times"/>
              </w:rPr>
            </w:pPr>
            <w:proofErr w:type="spellStart"/>
            <w:r w:rsidRPr="00A3130C">
              <w:rPr>
                <w:rFonts w:eastAsia="Times"/>
              </w:rPr>
              <w:t>AfriAus</w:t>
            </w:r>
            <w:proofErr w:type="spellEnd"/>
            <w:r w:rsidRPr="00A3130C">
              <w:rPr>
                <w:rFonts w:eastAsia="Times"/>
              </w:rPr>
              <w:t xml:space="preserve"> </w:t>
            </w:r>
            <w:proofErr w:type="spellStart"/>
            <w:r w:rsidRPr="00A3130C">
              <w:rPr>
                <w:rFonts w:eastAsia="Times"/>
              </w:rPr>
              <w:t>iLEAC</w:t>
            </w:r>
            <w:proofErr w:type="spellEnd"/>
            <w:r w:rsidRPr="00A3130C">
              <w:rPr>
                <w:rFonts w:eastAsia="Times"/>
              </w:rPr>
              <w:t xml:space="preserve">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C8CE0A2" w14:textId="77777777" w:rsidR="00F962BE" w:rsidRPr="00A3130C" w:rsidRDefault="00F962BE">
            <w:pPr>
              <w:pStyle w:val="ARTabletext"/>
              <w:jc w:val="right"/>
              <w:rPr>
                <w:rFonts w:eastAsia="Times"/>
              </w:rPr>
            </w:pPr>
            <w:r w:rsidRPr="00A3130C">
              <w:rPr>
                <w:rFonts w:eastAsia="Times"/>
              </w:rPr>
              <w:t>60,000</w:t>
            </w:r>
          </w:p>
        </w:tc>
      </w:tr>
      <w:tr w:rsidR="00F962BE" w:rsidRPr="00A3130C" w14:paraId="482E6AA7"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03EA544D" w14:textId="77777777" w:rsidR="00F962BE" w:rsidRPr="00A3130C" w:rsidRDefault="00F962BE">
            <w:pPr>
              <w:pStyle w:val="ARTabletext"/>
              <w:rPr>
                <w:rFonts w:eastAsia="Times"/>
              </w:rPr>
            </w:pPr>
            <w:r w:rsidRPr="00A3130C">
              <w:rPr>
                <w:rFonts w:eastAsia="Times"/>
              </w:rPr>
              <w:t>African Family Services Ltd</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4FB0AECA" w14:textId="77777777" w:rsidR="00F962BE" w:rsidRPr="00A3130C" w:rsidRDefault="00F962BE">
            <w:pPr>
              <w:pStyle w:val="ARTabletext"/>
              <w:jc w:val="right"/>
              <w:rPr>
                <w:rFonts w:eastAsia="Times"/>
              </w:rPr>
            </w:pPr>
            <w:r w:rsidRPr="00A3130C">
              <w:rPr>
                <w:rFonts w:eastAsia="Times"/>
              </w:rPr>
              <w:t>250,000</w:t>
            </w:r>
          </w:p>
        </w:tc>
      </w:tr>
      <w:tr w:rsidR="00F962BE" w:rsidRPr="00A3130C" w14:paraId="0AE607B5"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37BE5864" w14:textId="77777777" w:rsidR="00F962BE" w:rsidRPr="00A3130C" w:rsidRDefault="00F962BE">
            <w:pPr>
              <w:pStyle w:val="ARTabletext"/>
              <w:rPr>
                <w:rFonts w:eastAsia="Times"/>
              </w:rPr>
            </w:pPr>
            <w:r w:rsidRPr="00A3130C">
              <w:rPr>
                <w:rFonts w:eastAsia="Times"/>
              </w:rPr>
              <w:t>AMES Australia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C51D85C" w14:textId="77777777" w:rsidR="00F962BE" w:rsidRPr="00A3130C" w:rsidRDefault="00F962BE">
            <w:pPr>
              <w:pStyle w:val="ARTabletext"/>
              <w:jc w:val="right"/>
              <w:rPr>
                <w:rFonts w:eastAsia="Times"/>
              </w:rPr>
            </w:pPr>
            <w:r w:rsidRPr="00A3130C">
              <w:rPr>
                <w:rFonts w:eastAsia="Times"/>
              </w:rPr>
              <w:t>82,500</w:t>
            </w:r>
          </w:p>
        </w:tc>
      </w:tr>
      <w:tr w:rsidR="00F962BE" w:rsidRPr="00A3130C" w14:paraId="116356FD"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35C26CC4" w14:textId="77777777" w:rsidR="00F962BE" w:rsidRPr="00A3130C" w:rsidRDefault="00F962BE">
            <w:pPr>
              <w:pStyle w:val="ARTabletext"/>
              <w:rPr>
                <w:rFonts w:eastAsia="Times"/>
              </w:rPr>
            </w:pPr>
            <w:r w:rsidRPr="00A3130C">
              <w:rPr>
                <w:rFonts w:eastAsia="Times"/>
              </w:rPr>
              <w:t>Annie North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7ED37603" w14:textId="77777777" w:rsidR="00F962BE" w:rsidRPr="00A3130C" w:rsidRDefault="00F962BE">
            <w:pPr>
              <w:pStyle w:val="ARTabletext"/>
              <w:jc w:val="right"/>
              <w:rPr>
                <w:rFonts w:eastAsia="Times"/>
              </w:rPr>
            </w:pPr>
            <w:r w:rsidRPr="00A3130C">
              <w:rPr>
                <w:rFonts w:eastAsia="Times"/>
              </w:rPr>
              <w:t>170,000</w:t>
            </w:r>
          </w:p>
        </w:tc>
      </w:tr>
      <w:tr w:rsidR="00F962BE" w:rsidRPr="00A3130C" w14:paraId="325FA35E"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2B0CF22A" w14:textId="77777777" w:rsidR="00F962BE" w:rsidRPr="00A3130C" w:rsidRDefault="00F962BE">
            <w:pPr>
              <w:pStyle w:val="ARTabletext"/>
              <w:rPr>
                <w:rFonts w:eastAsia="Times"/>
              </w:rPr>
            </w:pPr>
            <w:r w:rsidRPr="00A3130C">
              <w:rPr>
                <w:rFonts w:eastAsia="Times"/>
              </w:rPr>
              <w:t>Arabic Welfare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2AB30F53" w14:textId="77777777" w:rsidR="00F962BE" w:rsidRPr="00A3130C" w:rsidRDefault="00F962BE">
            <w:pPr>
              <w:pStyle w:val="ARTabletext"/>
              <w:jc w:val="right"/>
              <w:rPr>
                <w:rFonts w:eastAsia="Times"/>
              </w:rPr>
            </w:pPr>
            <w:r w:rsidRPr="00A3130C">
              <w:rPr>
                <w:rFonts w:eastAsia="Times"/>
              </w:rPr>
              <w:t>70,000</w:t>
            </w:r>
          </w:p>
        </w:tc>
      </w:tr>
      <w:tr w:rsidR="00F962BE" w:rsidRPr="00A3130C" w14:paraId="63193737"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1A0B1A2D" w14:textId="77777777" w:rsidR="00F962BE" w:rsidRPr="00A3130C" w:rsidRDefault="00F962BE">
            <w:pPr>
              <w:pStyle w:val="ARTabletext"/>
              <w:rPr>
                <w:rFonts w:eastAsia="Times"/>
              </w:rPr>
            </w:pPr>
            <w:r w:rsidRPr="00A3130C">
              <w:rPr>
                <w:rFonts w:eastAsia="Times"/>
              </w:rPr>
              <w:t>Australasian Centre for Human Rights and Health</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36F7FFB3" w14:textId="77777777" w:rsidR="00F962BE" w:rsidRPr="00A3130C" w:rsidRDefault="00F962BE">
            <w:pPr>
              <w:pStyle w:val="ARTabletext"/>
              <w:jc w:val="right"/>
              <w:rPr>
                <w:rFonts w:eastAsia="Times"/>
              </w:rPr>
            </w:pPr>
            <w:r w:rsidRPr="00A3130C">
              <w:rPr>
                <w:rFonts w:eastAsia="Times"/>
              </w:rPr>
              <w:t>80,000</w:t>
            </w:r>
          </w:p>
        </w:tc>
      </w:tr>
      <w:tr w:rsidR="00F962BE" w:rsidRPr="00A3130C" w14:paraId="0AF8283B"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596813DE" w14:textId="77777777" w:rsidR="00F962BE" w:rsidRPr="00A3130C" w:rsidRDefault="00F962BE">
            <w:pPr>
              <w:pStyle w:val="ARTabletext"/>
              <w:rPr>
                <w:rFonts w:eastAsia="Times"/>
              </w:rPr>
            </w:pPr>
            <w:r w:rsidRPr="00A3130C">
              <w:rPr>
                <w:rFonts w:eastAsia="Times"/>
              </w:rPr>
              <w:t>Australian Greek Welfare Society trading as PRONIA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8CF1227" w14:textId="77777777" w:rsidR="00F962BE" w:rsidRPr="00A3130C" w:rsidRDefault="00F962BE">
            <w:pPr>
              <w:pStyle w:val="ARTabletext"/>
              <w:jc w:val="right"/>
              <w:rPr>
                <w:rFonts w:eastAsia="Times"/>
              </w:rPr>
            </w:pPr>
            <w:r w:rsidRPr="00A3130C">
              <w:rPr>
                <w:rFonts w:eastAsia="Times"/>
              </w:rPr>
              <w:t>50,000</w:t>
            </w:r>
          </w:p>
        </w:tc>
      </w:tr>
      <w:tr w:rsidR="00F962BE" w:rsidRPr="00A3130C" w14:paraId="22DB4230"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6D2C0C8A" w14:textId="77777777" w:rsidR="00F962BE" w:rsidRPr="00A3130C" w:rsidRDefault="00F962BE">
            <w:pPr>
              <w:pStyle w:val="ARTabletext"/>
              <w:rPr>
                <w:rFonts w:eastAsia="Times"/>
              </w:rPr>
            </w:pPr>
            <w:r w:rsidRPr="00A3130C">
              <w:rPr>
                <w:rFonts w:eastAsia="Times"/>
              </w:rPr>
              <w:t>Australian Muslim Women's Centre for Human Rights</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4DE9F14F" w14:textId="77777777" w:rsidR="00F962BE" w:rsidRPr="00A3130C" w:rsidRDefault="00F962BE">
            <w:pPr>
              <w:pStyle w:val="ARTabletext"/>
              <w:jc w:val="right"/>
              <w:rPr>
                <w:rFonts w:eastAsia="Times"/>
              </w:rPr>
            </w:pPr>
            <w:r w:rsidRPr="00A3130C">
              <w:rPr>
                <w:rFonts w:eastAsia="Times"/>
              </w:rPr>
              <w:t>270,000</w:t>
            </w:r>
          </w:p>
        </w:tc>
      </w:tr>
      <w:tr w:rsidR="00F962BE" w:rsidRPr="00A3130C" w14:paraId="49C2ABDE"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5086E0C9" w14:textId="77777777" w:rsidR="00F962BE" w:rsidRPr="00A3130C" w:rsidRDefault="00F962BE">
            <w:pPr>
              <w:pStyle w:val="ARTabletext"/>
              <w:rPr>
                <w:rFonts w:eastAsia="Times"/>
              </w:rPr>
            </w:pPr>
            <w:r w:rsidRPr="00A3130C">
              <w:rPr>
                <w:rFonts w:eastAsia="Times"/>
              </w:rPr>
              <w:t>Australian Vietnamese Women's Association</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616A6572" w14:textId="77777777" w:rsidR="00F962BE" w:rsidRPr="00A3130C" w:rsidRDefault="00F962BE">
            <w:pPr>
              <w:pStyle w:val="ARTabletext"/>
              <w:jc w:val="right"/>
              <w:rPr>
                <w:rFonts w:eastAsia="Times"/>
              </w:rPr>
            </w:pPr>
            <w:r w:rsidRPr="00A3130C">
              <w:rPr>
                <w:rFonts w:eastAsia="Times"/>
              </w:rPr>
              <w:t>50,000</w:t>
            </w:r>
          </w:p>
        </w:tc>
      </w:tr>
      <w:tr w:rsidR="00F962BE" w:rsidRPr="00A3130C" w14:paraId="74F4B44C"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4C483B3D" w14:textId="77777777" w:rsidR="00F962BE" w:rsidRPr="00A3130C" w:rsidRDefault="00F962BE">
            <w:pPr>
              <w:pStyle w:val="ARTabletext"/>
              <w:rPr>
                <w:rFonts w:eastAsia="Times"/>
              </w:rPr>
            </w:pPr>
            <w:r w:rsidRPr="00A3130C">
              <w:rPr>
                <w:rFonts w:eastAsia="Times"/>
              </w:rPr>
              <w:t>Benevolence Australia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A1579F7" w14:textId="77777777" w:rsidR="00F962BE" w:rsidRPr="00A3130C" w:rsidRDefault="00F962BE">
            <w:pPr>
              <w:pStyle w:val="ARTabletext"/>
              <w:jc w:val="right"/>
              <w:rPr>
                <w:rFonts w:eastAsia="Times"/>
              </w:rPr>
            </w:pPr>
            <w:r w:rsidRPr="00A3130C">
              <w:rPr>
                <w:rFonts w:eastAsia="Times"/>
              </w:rPr>
              <w:t>52,500</w:t>
            </w:r>
          </w:p>
        </w:tc>
      </w:tr>
      <w:tr w:rsidR="00F962BE" w:rsidRPr="00A3130C" w14:paraId="15649647"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6AB5B0F5" w14:textId="77777777" w:rsidR="00F962BE" w:rsidRPr="00A3130C" w:rsidRDefault="00F962BE">
            <w:pPr>
              <w:pStyle w:val="ARTabletext"/>
              <w:rPr>
                <w:rFonts w:eastAsia="Times"/>
              </w:rPr>
            </w:pPr>
            <w:r w:rsidRPr="00A3130C">
              <w:rPr>
                <w:rFonts w:eastAsia="Times"/>
              </w:rPr>
              <w:t>Berry Street Victoria Incorporated</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7528FD4" w14:textId="77777777" w:rsidR="00F962BE" w:rsidRPr="00A3130C" w:rsidRDefault="00F962BE">
            <w:pPr>
              <w:pStyle w:val="ARTabletext"/>
              <w:jc w:val="right"/>
              <w:rPr>
                <w:rFonts w:eastAsia="Times"/>
              </w:rPr>
            </w:pPr>
            <w:r w:rsidRPr="00A3130C">
              <w:rPr>
                <w:rFonts w:eastAsia="Times"/>
              </w:rPr>
              <w:t>170,000</w:t>
            </w:r>
          </w:p>
        </w:tc>
      </w:tr>
      <w:tr w:rsidR="00F962BE" w:rsidRPr="00A3130C" w14:paraId="112EA8D8"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4EE5E89A" w14:textId="77777777" w:rsidR="00F962BE" w:rsidRPr="00A3130C" w:rsidRDefault="00F962BE">
            <w:pPr>
              <w:pStyle w:val="ARTabletext"/>
              <w:rPr>
                <w:rFonts w:eastAsia="Times"/>
              </w:rPr>
            </w:pPr>
            <w:r w:rsidRPr="00A3130C">
              <w:rPr>
                <w:rFonts w:eastAsia="Times"/>
              </w:rPr>
              <w:t>Board of Imams Victoria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6519285F" w14:textId="77777777" w:rsidR="00F962BE" w:rsidRPr="00A3130C" w:rsidRDefault="00F962BE">
            <w:pPr>
              <w:pStyle w:val="ARTabletext"/>
              <w:jc w:val="right"/>
              <w:rPr>
                <w:rFonts w:eastAsia="Times"/>
              </w:rPr>
            </w:pPr>
            <w:r w:rsidRPr="00A3130C">
              <w:rPr>
                <w:rFonts w:eastAsia="Times"/>
              </w:rPr>
              <w:t>70,000</w:t>
            </w:r>
          </w:p>
        </w:tc>
      </w:tr>
      <w:tr w:rsidR="00F962BE" w:rsidRPr="00A3130C" w14:paraId="21B67FBF"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46102243" w14:textId="77777777" w:rsidR="00F962BE" w:rsidRPr="00A3130C" w:rsidRDefault="00F962BE">
            <w:pPr>
              <w:pStyle w:val="ARTabletext"/>
              <w:rPr>
                <w:rFonts w:eastAsia="Times"/>
              </w:rPr>
            </w:pPr>
            <w:r w:rsidRPr="00A3130C">
              <w:rPr>
                <w:rFonts w:eastAsia="Times"/>
              </w:rPr>
              <w:t>Brotherhood of St Laurence</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73FF3C3A" w14:textId="77777777" w:rsidR="00F962BE" w:rsidRPr="00A3130C" w:rsidRDefault="00F962BE">
            <w:pPr>
              <w:pStyle w:val="ARTabletext"/>
              <w:jc w:val="right"/>
              <w:rPr>
                <w:rFonts w:eastAsia="Times"/>
              </w:rPr>
            </w:pPr>
            <w:r w:rsidRPr="00A3130C">
              <w:rPr>
                <w:rFonts w:eastAsia="Times"/>
              </w:rPr>
              <w:t>82,500</w:t>
            </w:r>
          </w:p>
        </w:tc>
      </w:tr>
      <w:tr w:rsidR="00F962BE" w:rsidRPr="00A3130C" w14:paraId="0624B4D0"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714F93D5" w14:textId="77777777" w:rsidR="00F962BE" w:rsidRPr="00A3130C" w:rsidRDefault="00F962BE">
            <w:pPr>
              <w:pStyle w:val="ARTabletext"/>
              <w:rPr>
                <w:rFonts w:eastAsia="Times"/>
              </w:rPr>
            </w:pPr>
            <w:r w:rsidRPr="00A3130C">
              <w:rPr>
                <w:rFonts w:eastAsia="Times"/>
              </w:rPr>
              <w:t>Centre for Holistic Health</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4E73D3B" w14:textId="77777777" w:rsidR="00F962BE" w:rsidRPr="00A3130C" w:rsidRDefault="00F962BE">
            <w:pPr>
              <w:pStyle w:val="ARTabletext"/>
              <w:jc w:val="right"/>
              <w:rPr>
                <w:rFonts w:eastAsia="Times"/>
              </w:rPr>
            </w:pPr>
            <w:r w:rsidRPr="00A3130C">
              <w:rPr>
                <w:rFonts w:eastAsia="Times"/>
              </w:rPr>
              <w:t>50,000</w:t>
            </w:r>
          </w:p>
        </w:tc>
      </w:tr>
      <w:tr w:rsidR="00F962BE" w:rsidRPr="00A3130C" w14:paraId="7E118995"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493941C4" w14:textId="77777777" w:rsidR="00F962BE" w:rsidRPr="00A3130C" w:rsidRDefault="00F962BE">
            <w:pPr>
              <w:pStyle w:val="ARTabletext"/>
              <w:rPr>
                <w:rFonts w:eastAsia="Times"/>
              </w:rPr>
            </w:pPr>
            <w:r w:rsidRPr="00A3130C">
              <w:rPr>
                <w:rFonts w:eastAsia="Times"/>
              </w:rPr>
              <w:t>Centre for Multicultural Youth</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349CCA81" w14:textId="77777777" w:rsidR="00F962BE" w:rsidRPr="00A3130C" w:rsidRDefault="00F962BE">
            <w:pPr>
              <w:pStyle w:val="ARTabletext"/>
              <w:jc w:val="right"/>
              <w:rPr>
                <w:rFonts w:eastAsia="Times"/>
              </w:rPr>
            </w:pPr>
            <w:r w:rsidRPr="00A3130C">
              <w:rPr>
                <w:rFonts w:eastAsia="Times"/>
              </w:rPr>
              <w:t>233,800</w:t>
            </w:r>
          </w:p>
        </w:tc>
      </w:tr>
      <w:tr w:rsidR="00F962BE" w:rsidRPr="00A3130C" w14:paraId="009ECBBB"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01D8075A" w14:textId="77777777" w:rsidR="00F962BE" w:rsidRPr="00A3130C" w:rsidRDefault="00F962BE">
            <w:pPr>
              <w:pStyle w:val="ARTabletext"/>
              <w:rPr>
                <w:rFonts w:eastAsia="Times"/>
              </w:rPr>
            </w:pPr>
            <w:r w:rsidRPr="00A3130C">
              <w:rPr>
                <w:rFonts w:eastAsia="Times"/>
              </w:rPr>
              <w:t>Community Abundance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79EC2AA" w14:textId="77777777" w:rsidR="00F962BE" w:rsidRPr="00A3130C" w:rsidRDefault="00F962BE">
            <w:pPr>
              <w:pStyle w:val="ARTabletext"/>
              <w:jc w:val="right"/>
              <w:rPr>
                <w:rFonts w:eastAsia="Times"/>
              </w:rPr>
            </w:pPr>
            <w:r w:rsidRPr="00A3130C">
              <w:rPr>
                <w:rFonts w:eastAsia="Times"/>
              </w:rPr>
              <w:t>58,100</w:t>
            </w:r>
          </w:p>
        </w:tc>
      </w:tr>
      <w:tr w:rsidR="00F962BE" w:rsidRPr="00A3130C" w14:paraId="76FEFA6A"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66FA727D" w14:textId="77777777" w:rsidR="00F962BE" w:rsidRPr="00A3130C" w:rsidRDefault="00F962BE">
            <w:pPr>
              <w:pStyle w:val="ARTabletext"/>
              <w:rPr>
                <w:rFonts w:eastAsia="Times"/>
              </w:rPr>
            </w:pPr>
            <w:r w:rsidRPr="00A3130C">
              <w:rPr>
                <w:rFonts w:eastAsia="Times"/>
              </w:rPr>
              <w:t>Ethnic Council of Shepparton and</w:t>
            </w:r>
            <w:r>
              <w:rPr>
                <w:rFonts w:eastAsia="Times"/>
              </w:rPr>
              <w:t> </w:t>
            </w:r>
            <w:r w:rsidRPr="00A3130C">
              <w:rPr>
                <w:rFonts w:eastAsia="Times"/>
              </w:rPr>
              <w:t>District</w:t>
            </w:r>
            <w:r>
              <w:rPr>
                <w:rFonts w:eastAsia="Times"/>
              </w:rPr>
              <w:t> </w:t>
            </w:r>
            <w:r w:rsidRPr="00A3130C">
              <w:rPr>
                <w:rFonts w:eastAsia="Times"/>
              </w:rPr>
              <w:t>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31071009" w14:textId="77777777" w:rsidR="00F962BE" w:rsidRPr="00A3130C" w:rsidRDefault="00F962BE">
            <w:pPr>
              <w:pStyle w:val="ARTabletext"/>
              <w:jc w:val="right"/>
              <w:rPr>
                <w:rFonts w:eastAsia="Times"/>
              </w:rPr>
            </w:pPr>
            <w:r w:rsidRPr="00A3130C">
              <w:rPr>
                <w:rFonts w:eastAsia="Times"/>
              </w:rPr>
              <w:t>52,500</w:t>
            </w:r>
          </w:p>
        </w:tc>
      </w:tr>
      <w:tr w:rsidR="00F962BE" w:rsidRPr="00A3130C" w14:paraId="451B935E"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2ED9A9D9" w14:textId="77777777" w:rsidR="00F962BE" w:rsidRPr="00A3130C" w:rsidRDefault="00F962BE">
            <w:pPr>
              <w:pStyle w:val="ARTabletext"/>
              <w:rPr>
                <w:rFonts w:eastAsia="Times"/>
              </w:rPr>
            </w:pPr>
            <w:r w:rsidRPr="00A3130C">
              <w:rPr>
                <w:rFonts w:eastAsia="Times"/>
              </w:rPr>
              <w:t>Gateway Health</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6F55AEB0" w14:textId="77777777" w:rsidR="00F962BE" w:rsidRPr="00A3130C" w:rsidRDefault="00F962BE">
            <w:pPr>
              <w:pStyle w:val="ARTabletext"/>
              <w:jc w:val="right"/>
              <w:rPr>
                <w:rFonts w:eastAsia="Times"/>
              </w:rPr>
            </w:pPr>
            <w:r w:rsidRPr="00A3130C">
              <w:rPr>
                <w:rFonts w:eastAsia="Times"/>
              </w:rPr>
              <w:t>27,500</w:t>
            </w:r>
          </w:p>
        </w:tc>
      </w:tr>
      <w:tr w:rsidR="00F962BE" w:rsidRPr="00A3130C" w14:paraId="0F348696"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4DF159AF" w14:textId="77777777" w:rsidR="00F962BE" w:rsidRPr="00A3130C" w:rsidRDefault="00F962BE">
            <w:pPr>
              <w:pStyle w:val="ARTabletext"/>
              <w:rPr>
                <w:rFonts w:eastAsia="Times"/>
              </w:rPr>
            </w:pPr>
            <w:proofErr w:type="spellStart"/>
            <w:r w:rsidRPr="00A3130C">
              <w:rPr>
                <w:rFonts w:eastAsia="Times"/>
              </w:rPr>
              <w:t>GenWest</w:t>
            </w:r>
            <w:proofErr w:type="spellEnd"/>
            <w:r w:rsidRPr="00A3130C">
              <w:rPr>
                <w:rFonts w:eastAsia="Times"/>
              </w:rPr>
              <w:t xml:space="preserve">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3F0A74ED" w14:textId="77777777" w:rsidR="00F962BE" w:rsidRPr="00A3130C" w:rsidRDefault="00F962BE">
            <w:pPr>
              <w:pStyle w:val="ARTabletext"/>
              <w:jc w:val="right"/>
              <w:rPr>
                <w:rFonts w:eastAsia="Times"/>
              </w:rPr>
            </w:pPr>
            <w:r w:rsidRPr="00A3130C">
              <w:rPr>
                <w:rFonts w:eastAsia="Times"/>
              </w:rPr>
              <w:t>233,273</w:t>
            </w:r>
          </w:p>
        </w:tc>
      </w:tr>
      <w:tr w:rsidR="00F962BE" w:rsidRPr="00A3130C" w14:paraId="4D02B1EF"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6D1BDDD7" w14:textId="77777777" w:rsidR="00F962BE" w:rsidRPr="00A3130C" w:rsidRDefault="00F962BE">
            <w:pPr>
              <w:pStyle w:val="ARTabletext"/>
              <w:rPr>
                <w:rFonts w:eastAsia="Times"/>
              </w:rPr>
            </w:pPr>
            <w:r w:rsidRPr="00A3130C">
              <w:rPr>
                <w:rFonts w:eastAsia="Times"/>
              </w:rPr>
              <w:t>Gippsland Women's Health</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611A6788" w14:textId="77777777" w:rsidR="00F962BE" w:rsidRPr="00A3130C" w:rsidRDefault="00F962BE">
            <w:pPr>
              <w:pStyle w:val="ARTabletext"/>
              <w:jc w:val="right"/>
              <w:rPr>
                <w:rFonts w:eastAsia="Times"/>
              </w:rPr>
            </w:pPr>
            <w:r w:rsidRPr="00A3130C">
              <w:rPr>
                <w:rFonts w:eastAsia="Times"/>
              </w:rPr>
              <w:t>233,273</w:t>
            </w:r>
          </w:p>
        </w:tc>
      </w:tr>
      <w:tr w:rsidR="00F962BE" w:rsidRPr="00A3130C" w14:paraId="65899289"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7B70FC61" w14:textId="77777777" w:rsidR="00F962BE" w:rsidRPr="00A3130C" w:rsidRDefault="00F962BE">
            <w:pPr>
              <w:pStyle w:val="ARTabletext"/>
              <w:rPr>
                <w:rFonts w:eastAsia="Times"/>
              </w:rPr>
            </w:pPr>
            <w:proofErr w:type="spellStart"/>
            <w:r w:rsidRPr="00A3130C">
              <w:rPr>
                <w:rFonts w:eastAsia="Times"/>
              </w:rPr>
              <w:t>IndianCare</w:t>
            </w:r>
            <w:proofErr w:type="spellEnd"/>
            <w:r w:rsidRPr="00A3130C">
              <w:rPr>
                <w:rFonts w:eastAsia="Times"/>
              </w:rPr>
              <w:t xml:space="preserve">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388F1E48" w14:textId="77777777" w:rsidR="00F962BE" w:rsidRPr="00A3130C" w:rsidRDefault="00F962BE">
            <w:pPr>
              <w:pStyle w:val="ARTabletext"/>
              <w:jc w:val="right"/>
              <w:rPr>
                <w:rFonts w:eastAsia="Times"/>
              </w:rPr>
            </w:pPr>
            <w:r w:rsidRPr="00A3130C">
              <w:rPr>
                <w:rFonts w:eastAsia="Times"/>
              </w:rPr>
              <w:t>60,000</w:t>
            </w:r>
          </w:p>
        </w:tc>
      </w:tr>
      <w:tr w:rsidR="00F962BE" w:rsidRPr="00A3130C" w14:paraId="6ED4DCB2"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69C77E90" w14:textId="77777777" w:rsidR="00F962BE" w:rsidRPr="00A3130C" w:rsidRDefault="00F962BE">
            <w:pPr>
              <w:pStyle w:val="ARTabletext"/>
              <w:rPr>
                <w:rFonts w:eastAsia="Times"/>
              </w:rPr>
            </w:pPr>
            <w:r w:rsidRPr="00A3130C">
              <w:rPr>
                <w:rFonts w:eastAsia="Times"/>
              </w:rPr>
              <w:t>Jesuit Social Services Limited</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254F50A0" w14:textId="77777777" w:rsidR="00F962BE" w:rsidRPr="00A3130C" w:rsidRDefault="00F962BE">
            <w:pPr>
              <w:pStyle w:val="ARTabletext"/>
              <w:jc w:val="right"/>
              <w:rPr>
                <w:rFonts w:eastAsia="Times"/>
              </w:rPr>
            </w:pPr>
            <w:r w:rsidRPr="00A3130C">
              <w:rPr>
                <w:rFonts w:eastAsia="Times"/>
              </w:rPr>
              <w:t>670,000</w:t>
            </w:r>
          </w:p>
        </w:tc>
      </w:tr>
      <w:tr w:rsidR="00F962BE" w:rsidRPr="00A3130C" w14:paraId="0B1C23B5"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772378F2" w14:textId="77777777" w:rsidR="00F962BE" w:rsidRPr="00A3130C" w:rsidRDefault="00F962BE">
            <w:pPr>
              <w:pStyle w:val="ARTabletext"/>
              <w:rPr>
                <w:rFonts w:eastAsia="Times"/>
              </w:rPr>
            </w:pPr>
            <w:r w:rsidRPr="00A3130C">
              <w:rPr>
                <w:rFonts w:eastAsia="Times"/>
              </w:rPr>
              <w:t>Jewish Care (Victoria)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26E3C57D" w14:textId="77777777" w:rsidR="00F962BE" w:rsidRPr="00A3130C" w:rsidRDefault="00F962BE">
            <w:pPr>
              <w:pStyle w:val="ARTabletext"/>
              <w:jc w:val="right"/>
              <w:rPr>
                <w:rFonts w:eastAsia="Times"/>
              </w:rPr>
            </w:pPr>
            <w:r w:rsidRPr="00A3130C">
              <w:rPr>
                <w:rFonts w:eastAsia="Times"/>
              </w:rPr>
              <w:t>70,000</w:t>
            </w:r>
          </w:p>
        </w:tc>
      </w:tr>
      <w:tr w:rsidR="00F962BE" w:rsidRPr="00A3130C" w14:paraId="223953F5"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51927B51" w14:textId="77777777" w:rsidR="00F962BE" w:rsidRPr="00A3130C" w:rsidRDefault="00F962BE">
            <w:pPr>
              <w:pStyle w:val="ARTabletext"/>
              <w:rPr>
                <w:rFonts w:eastAsia="Times"/>
              </w:rPr>
            </w:pPr>
            <w:r w:rsidRPr="00A3130C">
              <w:rPr>
                <w:rFonts w:eastAsia="Times"/>
              </w:rPr>
              <w:t>Latin Stories Australia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7B91C4D7" w14:textId="77777777" w:rsidR="00F962BE" w:rsidRPr="00A3130C" w:rsidRDefault="00F962BE">
            <w:pPr>
              <w:pStyle w:val="ARTabletext"/>
              <w:jc w:val="right"/>
              <w:rPr>
                <w:rFonts w:eastAsia="Times"/>
              </w:rPr>
            </w:pPr>
            <w:r w:rsidRPr="00A3130C">
              <w:rPr>
                <w:rFonts w:eastAsia="Times"/>
              </w:rPr>
              <w:t>45,000</w:t>
            </w:r>
          </w:p>
        </w:tc>
      </w:tr>
      <w:tr w:rsidR="00F962BE" w:rsidRPr="00A3130C" w14:paraId="03B21308"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0C56AE8E" w14:textId="77777777" w:rsidR="00F962BE" w:rsidRPr="00A3130C" w:rsidRDefault="00F962BE">
            <w:pPr>
              <w:pStyle w:val="ARTabletext"/>
              <w:rPr>
                <w:rFonts w:eastAsia="Times"/>
              </w:rPr>
            </w:pPr>
            <w:r w:rsidRPr="00A3130C">
              <w:rPr>
                <w:rFonts w:eastAsia="Times"/>
              </w:rPr>
              <w:t>Melbourne Anglican Diocesan Corporation Ltd</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74733B2D" w14:textId="77777777" w:rsidR="00F962BE" w:rsidRPr="00A3130C" w:rsidRDefault="00F962BE">
            <w:pPr>
              <w:pStyle w:val="ARTabletext"/>
              <w:jc w:val="right"/>
              <w:rPr>
                <w:rFonts w:eastAsia="Times"/>
              </w:rPr>
            </w:pPr>
            <w:r w:rsidRPr="00A3130C">
              <w:rPr>
                <w:rFonts w:eastAsia="Times"/>
              </w:rPr>
              <w:t>63,000</w:t>
            </w:r>
          </w:p>
        </w:tc>
      </w:tr>
      <w:tr w:rsidR="00F962BE" w:rsidRPr="00A3130C" w14:paraId="2234C978"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6190B9C0" w14:textId="77777777" w:rsidR="00F962BE" w:rsidRPr="00A3130C" w:rsidRDefault="00F962BE">
            <w:pPr>
              <w:pStyle w:val="ARTabletext"/>
              <w:rPr>
                <w:rFonts w:eastAsia="Times"/>
              </w:rPr>
            </w:pPr>
            <w:r w:rsidRPr="00A3130C">
              <w:rPr>
                <w:rFonts w:eastAsia="Times"/>
              </w:rPr>
              <w:t>Migrant Information Centre (Eastern Melbourne) Ltd</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832DC29" w14:textId="77777777" w:rsidR="00F962BE" w:rsidRPr="00A3130C" w:rsidRDefault="00F962BE">
            <w:pPr>
              <w:pStyle w:val="ARTabletext"/>
              <w:jc w:val="right"/>
              <w:rPr>
                <w:rFonts w:eastAsia="Times"/>
              </w:rPr>
            </w:pPr>
            <w:r w:rsidRPr="00A3130C">
              <w:rPr>
                <w:rFonts w:eastAsia="Times"/>
              </w:rPr>
              <w:t>240,000</w:t>
            </w:r>
          </w:p>
        </w:tc>
      </w:tr>
      <w:tr w:rsidR="00F962BE" w:rsidRPr="00A3130C" w14:paraId="6931973E"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5E21B963" w14:textId="77777777" w:rsidR="00F962BE" w:rsidRPr="00A3130C" w:rsidRDefault="00F962BE">
            <w:pPr>
              <w:pStyle w:val="ARTabletext"/>
              <w:rPr>
                <w:rFonts w:eastAsia="Times"/>
              </w:rPr>
            </w:pPr>
            <w:r w:rsidRPr="00A3130C">
              <w:rPr>
                <w:rFonts w:eastAsia="Times"/>
              </w:rPr>
              <w:t>Multicultural Centre for Women's Health</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4ED1FF07" w14:textId="77777777" w:rsidR="00F962BE" w:rsidRPr="00A3130C" w:rsidRDefault="00F962BE">
            <w:pPr>
              <w:pStyle w:val="ARTabletext"/>
              <w:jc w:val="right"/>
              <w:rPr>
                <w:rFonts w:eastAsia="Times"/>
              </w:rPr>
            </w:pPr>
            <w:r w:rsidRPr="00A3130C">
              <w:rPr>
                <w:rFonts w:eastAsia="Times"/>
              </w:rPr>
              <w:t>260,773</w:t>
            </w:r>
          </w:p>
        </w:tc>
      </w:tr>
      <w:tr w:rsidR="00F962BE" w:rsidRPr="00A3130C" w14:paraId="4D657007"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2E840E59" w14:textId="77777777" w:rsidR="00F962BE" w:rsidRPr="00A3130C" w:rsidRDefault="00F962BE">
            <w:pPr>
              <w:pStyle w:val="ARTabletext"/>
              <w:rPr>
                <w:rFonts w:eastAsia="Times"/>
              </w:rPr>
            </w:pPr>
            <w:r w:rsidRPr="00A3130C">
              <w:rPr>
                <w:rFonts w:eastAsia="Times"/>
              </w:rPr>
              <w:t>Multicultural Community Services Geelong Inc – t/a Cultura</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B274A98" w14:textId="77777777" w:rsidR="00F962BE" w:rsidRPr="00A3130C" w:rsidRDefault="00F962BE">
            <w:pPr>
              <w:pStyle w:val="ARTabletext"/>
              <w:jc w:val="right"/>
              <w:rPr>
                <w:rFonts w:eastAsia="Times"/>
              </w:rPr>
            </w:pPr>
            <w:r w:rsidRPr="00A3130C">
              <w:rPr>
                <w:rFonts w:eastAsia="Times"/>
              </w:rPr>
              <w:t>252,500</w:t>
            </w:r>
          </w:p>
        </w:tc>
      </w:tr>
      <w:tr w:rsidR="00F962BE" w:rsidRPr="00A3130C" w14:paraId="1B31EF65"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478788F8" w14:textId="77777777" w:rsidR="00F962BE" w:rsidRPr="00A3130C" w:rsidRDefault="00F962BE">
            <w:pPr>
              <w:pStyle w:val="ARTabletext"/>
              <w:rPr>
                <w:rFonts w:eastAsia="Times"/>
              </w:rPr>
            </w:pPr>
            <w:r w:rsidRPr="00A3130C">
              <w:rPr>
                <w:rFonts w:eastAsia="Times"/>
              </w:rPr>
              <w:t>Nillumbik Community Health Service Ltd</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359E766C" w14:textId="77777777" w:rsidR="00F962BE" w:rsidRPr="00A3130C" w:rsidRDefault="00F962BE">
            <w:pPr>
              <w:pStyle w:val="ARTabletext"/>
              <w:jc w:val="right"/>
              <w:rPr>
                <w:rFonts w:eastAsia="Times"/>
              </w:rPr>
            </w:pPr>
            <w:r w:rsidRPr="00A3130C">
              <w:rPr>
                <w:rFonts w:eastAsia="Times"/>
              </w:rPr>
              <w:t>200,000</w:t>
            </w:r>
          </w:p>
        </w:tc>
      </w:tr>
      <w:tr w:rsidR="00F962BE" w:rsidRPr="00A3130C" w14:paraId="216D5D7B"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65B9A738" w14:textId="77777777" w:rsidR="00F962BE" w:rsidRPr="00A3130C" w:rsidRDefault="00F962BE">
            <w:pPr>
              <w:pStyle w:val="ARTabletext"/>
              <w:rPr>
                <w:rFonts w:eastAsia="Times"/>
              </w:rPr>
            </w:pPr>
            <w:r w:rsidRPr="00A3130C">
              <w:rPr>
                <w:rFonts w:eastAsia="Times"/>
              </w:rPr>
              <w:t>Our Watch Limited</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E50EBA8" w14:textId="77777777" w:rsidR="00F962BE" w:rsidRPr="00A3130C" w:rsidRDefault="00F962BE">
            <w:pPr>
              <w:pStyle w:val="ARTabletext"/>
              <w:jc w:val="right"/>
              <w:rPr>
                <w:rFonts w:eastAsia="Times"/>
              </w:rPr>
            </w:pPr>
            <w:r w:rsidRPr="00A3130C">
              <w:rPr>
                <w:rFonts w:eastAsia="Times"/>
              </w:rPr>
              <w:t>589,844</w:t>
            </w:r>
          </w:p>
        </w:tc>
      </w:tr>
      <w:tr w:rsidR="00F962BE" w:rsidRPr="00A3130C" w14:paraId="6E505A51"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7BA7FC2A" w14:textId="77777777" w:rsidR="00F962BE" w:rsidRPr="00A3130C" w:rsidRDefault="00F962BE">
            <w:pPr>
              <w:pStyle w:val="ARTabletext"/>
              <w:rPr>
                <w:rFonts w:eastAsia="Times"/>
              </w:rPr>
            </w:pPr>
            <w:r w:rsidRPr="00A3130C">
              <w:rPr>
                <w:rFonts w:eastAsia="Times"/>
              </w:rPr>
              <w:t>Primary Care Connect</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7681D835" w14:textId="77777777" w:rsidR="00F962BE" w:rsidRPr="00A3130C" w:rsidRDefault="00F962BE">
            <w:pPr>
              <w:pStyle w:val="ARTabletext"/>
              <w:jc w:val="right"/>
              <w:rPr>
                <w:rFonts w:eastAsia="Times"/>
              </w:rPr>
            </w:pPr>
            <w:r w:rsidRPr="00A3130C">
              <w:rPr>
                <w:rFonts w:eastAsia="Times"/>
              </w:rPr>
              <w:t>60,000</w:t>
            </w:r>
          </w:p>
        </w:tc>
      </w:tr>
      <w:tr w:rsidR="00F962BE" w:rsidRPr="00A3130C" w14:paraId="0BA3B3B1"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1BA5D961" w14:textId="77777777" w:rsidR="00F962BE" w:rsidRPr="00A3130C" w:rsidRDefault="00F962BE">
            <w:pPr>
              <w:pStyle w:val="ARTabletext"/>
              <w:rPr>
                <w:rFonts w:eastAsia="Times"/>
              </w:rPr>
            </w:pPr>
            <w:r w:rsidRPr="00A3130C">
              <w:rPr>
                <w:rFonts w:eastAsia="Times"/>
              </w:rPr>
              <w:t>Safe and Equal</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44910CC5" w14:textId="77777777" w:rsidR="00F962BE" w:rsidRPr="00A3130C" w:rsidRDefault="00F962BE">
            <w:pPr>
              <w:pStyle w:val="ARTabletext"/>
              <w:jc w:val="right"/>
              <w:rPr>
                <w:rFonts w:eastAsia="Times"/>
              </w:rPr>
            </w:pPr>
            <w:r w:rsidRPr="00A3130C">
              <w:rPr>
                <w:rFonts w:eastAsia="Times"/>
              </w:rPr>
              <w:t>405,000</w:t>
            </w:r>
          </w:p>
        </w:tc>
      </w:tr>
      <w:tr w:rsidR="00F962BE" w:rsidRPr="00A3130C" w14:paraId="7DCCDFBE"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223143C7" w14:textId="77777777" w:rsidR="00F962BE" w:rsidRPr="00A3130C" w:rsidRDefault="00F962BE">
            <w:pPr>
              <w:pStyle w:val="ARTabletext"/>
              <w:rPr>
                <w:rFonts w:eastAsia="Times"/>
              </w:rPr>
            </w:pPr>
            <w:r w:rsidRPr="00A3130C">
              <w:rPr>
                <w:rFonts w:eastAsia="Times"/>
              </w:rPr>
              <w:t>Safe Steps Family Violence Response Centre</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701DECA" w14:textId="77777777" w:rsidR="00F962BE" w:rsidRPr="00A3130C" w:rsidRDefault="00F962BE">
            <w:pPr>
              <w:pStyle w:val="ARTabletext"/>
              <w:jc w:val="right"/>
              <w:rPr>
                <w:rFonts w:eastAsia="Times"/>
              </w:rPr>
            </w:pPr>
            <w:r w:rsidRPr="00A3130C">
              <w:rPr>
                <w:rFonts w:eastAsia="Times"/>
              </w:rPr>
              <w:t>170,000</w:t>
            </w:r>
          </w:p>
        </w:tc>
      </w:tr>
      <w:tr w:rsidR="00F962BE" w:rsidRPr="00A3130C" w14:paraId="0EC3857F"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37B07F99" w14:textId="77777777" w:rsidR="00F962BE" w:rsidRPr="00A3130C" w:rsidRDefault="00F962BE">
            <w:pPr>
              <w:pStyle w:val="ARTabletext"/>
              <w:rPr>
                <w:rFonts w:eastAsia="Times"/>
              </w:rPr>
            </w:pPr>
            <w:proofErr w:type="gramStart"/>
            <w:r w:rsidRPr="00A3130C">
              <w:rPr>
                <w:rFonts w:eastAsia="Times"/>
              </w:rPr>
              <w:t>South East</w:t>
            </w:r>
            <w:proofErr w:type="gramEnd"/>
            <w:r w:rsidRPr="00A3130C">
              <w:rPr>
                <w:rFonts w:eastAsia="Times"/>
              </w:rPr>
              <w:t xml:space="preserve"> Community Links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91BE8ED" w14:textId="77777777" w:rsidR="00F962BE" w:rsidRPr="00A3130C" w:rsidRDefault="00F962BE">
            <w:pPr>
              <w:pStyle w:val="ARTabletext"/>
              <w:jc w:val="right"/>
              <w:rPr>
                <w:rFonts w:eastAsia="Times"/>
              </w:rPr>
            </w:pPr>
            <w:r w:rsidRPr="00A3130C">
              <w:rPr>
                <w:rFonts w:eastAsia="Times"/>
              </w:rPr>
              <w:t>82,500</w:t>
            </w:r>
          </w:p>
        </w:tc>
      </w:tr>
      <w:tr w:rsidR="00F962BE" w:rsidRPr="00A3130C" w14:paraId="6A5F517D"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7DE511DB" w14:textId="77777777" w:rsidR="00F962BE" w:rsidRPr="00A3130C" w:rsidRDefault="00F962BE">
            <w:pPr>
              <w:pStyle w:val="ARTabletext"/>
              <w:rPr>
                <w:rFonts w:eastAsia="Times"/>
              </w:rPr>
            </w:pPr>
            <w:r w:rsidRPr="00A3130C">
              <w:rPr>
                <w:rFonts w:eastAsia="Times"/>
              </w:rPr>
              <w:t>VICSEG New Futures</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7EAEBA7" w14:textId="77777777" w:rsidR="00F962BE" w:rsidRPr="00A3130C" w:rsidRDefault="00F962BE">
            <w:pPr>
              <w:pStyle w:val="ARTabletext"/>
              <w:jc w:val="right"/>
              <w:rPr>
                <w:rFonts w:eastAsia="Times"/>
              </w:rPr>
            </w:pPr>
            <w:r w:rsidRPr="00A3130C">
              <w:rPr>
                <w:rFonts w:eastAsia="Times"/>
              </w:rPr>
              <w:t>80,000</w:t>
            </w:r>
          </w:p>
        </w:tc>
      </w:tr>
      <w:tr w:rsidR="00F962BE" w:rsidRPr="00A3130C" w14:paraId="5B5839CD"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65C610DC" w14:textId="77777777" w:rsidR="00F962BE" w:rsidRPr="00A3130C" w:rsidRDefault="00F962BE">
            <w:pPr>
              <w:pStyle w:val="ARTabletext"/>
              <w:rPr>
                <w:rFonts w:eastAsia="Times"/>
              </w:rPr>
            </w:pPr>
            <w:r w:rsidRPr="00A3130C">
              <w:rPr>
                <w:rFonts w:eastAsia="Times"/>
              </w:rPr>
              <w:t>Victorian Afghan Associations Network</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7A81A9B3" w14:textId="77777777" w:rsidR="00F962BE" w:rsidRPr="00A3130C" w:rsidRDefault="00F962BE">
            <w:pPr>
              <w:pStyle w:val="ARTabletext"/>
              <w:jc w:val="right"/>
              <w:rPr>
                <w:rFonts w:eastAsia="Times"/>
              </w:rPr>
            </w:pPr>
            <w:r w:rsidRPr="00A3130C">
              <w:rPr>
                <w:rFonts w:eastAsia="Times"/>
              </w:rPr>
              <w:t>50,000</w:t>
            </w:r>
          </w:p>
        </w:tc>
      </w:tr>
      <w:tr w:rsidR="00F962BE" w:rsidRPr="00A3130C" w14:paraId="6CB80102"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62AE5E63" w14:textId="77777777" w:rsidR="00F962BE" w:rsidRPr="00A3130C" w:rsidRDefault="00F962BE">
            <w:pPr>
              <w:pStyle w:val="ARTabletext"/>
              <w:rPr>
                <w:rFonts w:eastAsia="Times"/>
              </w:rPr>
            </w:pPr>
            <w:r w:rsidRPr="00A3130C">
              <w:rPr>
                <w:rFonts w:eastAsia="Times"/>
              </w:rPr>
              <w:t xml:space="preserve">Victorian Sikh </w:t>
            </w:r>
            <w:proofErr w:type="spellStart"/>
            <w:r w:rsidRPr="00A3130C">
              <w:rPr>
                <w:rFonts w:eastAsia="Times"/>
              </w:rPr>
              <w:t>Gurduaras</w:t>
            </w:r>
            <w:proofErr w:type="spellEnd"/>
            <w:r w:rsidRPr="00A3130C">
              <w:rPr>
                <w:rFonts w:eastAsia="Times"/>
              </w:rPr>
              <w:t xml:space="preserve"> Council</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667F1E7" w14:textId="77777777" w:rsidR="00F962BE" w:rsidRPr="00A3130C" w:rsidRDefault="00F962BE">
            <w:pPr>
              <w:pStyle w:val="ARTabletext"/>
              <w:jc w:val="right"/>
              <w:rPr>
                <w:rFonts w:eastAsia="Times"/>
              </w:rPr>
            </w:pPr>
            <w:r w:rsidRPr="00A3130C">
              <w:rPr>
                <w:rFonts w:eastAsia="Times"/>
              </w:rPr>
              <w:t>50,000</w:t>
            </w:r>
          </w:p>
        </w:tc>
      </w:tr>
      <w:tr w:rsidR="00F962BE" w:rsidRPr="00A3130C" w14:paraId="187B3941"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6A0B9E9D" w14:textId="77777777" w:rsidR="00F962BE" w:rsidRPr="00A3130C" w:rsidRDefault="00F962BE">
            <w:pPr>
              <w:pStyle w:val="ARTabletext"/>
              <w:rPr>
                <w:rFonts w:eastAsia="Times"/>
              </w:rPr>
            </w:pPr>
            <w:r w:rsidRPr="00A3130C">
              <w:rPr>
                <w:rFonts w:eastAsia="Times"/>
              </w:rPr>
              <w:t>Wellsprings for Women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5AD0D4A9" w14:textId="77777777" w:rsidR="00F962BE" w:rsidRPr="00A3130C" w:rsidRDefault="00F962BE">
            <w:pPr>
              <w:pStyle w:val="ARTabletext"/>
              <w:jc w:val="right"/>
              <w:rPr>
                <w:rFonts w:eastAsia="Times"/>
              </w:rPr>
            </w:pPr>
            <w:r w:rsidRPr="00A3130C">
              <w:rPr>
                <w:rFonts w:eastAsia="Times"/>
              </w:rPr>
              <w:t>67,500</w:t>
            </w:r>
          </w:p>
        </w:tc>
      </w:tr>
      <w:tr w:rsidR="00F962BE" w:rsidRPr="00A3130C" w14:paraId="54659778"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4A502EA1" w14:textId="77777777" w:rsidR="00F962BE" w:rsidRPr="00A3130C" w:rsidRDefault="00F962BE">
            <w:pPr>
              <w:pStyle w:val="ARTabletext"/>
              <w:rPr>
                <w:rFonts w:eastAsia="Times"/>
              </w:rPr>
            </w:pPr>
            <w:r w:rsidRPr="00A3130C">
              <w:rPr>
                <w:rFonts w:eastAsia="Times"/>
              </w:rPr>
              <w:t>Whittlesea Community Connections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119C34A" w14:textId="77777777" w:rsidR="00F962BE" w:rsidRPr="00A3130C" w:rsidRDefault="00F962BE">
            <w:pPr>
              <w:pStyle w:val="ARTabletext"/>
              <w:jc w:val="right"/>
              <w:rPr>
                <w:rFonts w:eastAsia="Times"/>
              </w:rPr>
            </w:pPr>
            <w:r w:rsidRPr="00A3130C">
              <w:rPr>
                <w:rFonts w:eastAsia="Times"/>
              </w:rPr>
              <w:t>252,500</w:t>
            </w:r>
          </w:p>
        </w:tc>
      </w:tr>
      <w:tr w:rsidR="00F962BE" w:rsidRPr="00A3130C" w14:paraId="7F6BB3D7"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5870A92A" w14:textId="77777777" w:rsidR="00F962BE" w:rsidRPr="00A3130C" w:rsidRDefault="00F962BE">
            <w:pPr>
              <w:pStyle w:val="ARTabletext"/>
              <w:rPr>
                <w:rFonts w:eastAsia="Times"/>
              </w:rPr>
            </w:pPr>
            <w:r w:rsidRPr="00A3130C">
              <w:rPr>
                <w:rFonts w:eastAsia="Times"/>
              </w:rPr>
              <w:t>Women with Disabilities Victoria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75169C00" w14:textId="77777777" w:rsidR="00F962BE" w:rsidRPr="00A3130C" w:rsidRDefault="00F962BE">
            <w:pPr>
              <w:pStyle w:val="ARTabletext"/>
              <w:jc w:val="right"/>
              <w:rPr>
                <w:rFonts w:eastAsia="Times"/>
              </w:rPr>
            </w:pPr>
            <w:r w:rsidRPr="00A3130C">
              <w:rPr>
                <w:rFonts w:eastAsia="Times"/>
              </w:rPr>
              <w:t>526,000</w:t>
            </w:r>
          </w:p>
        </w:tc>
      </w:tr>
      <w:tr w:rsidR="00F962BE" w:rsidRPr="00A3130C" w14:paraId="0F5D7710"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61DF4B72" w14:textId="77777777" w:rsidR="00F962BE" w:rsidRPr="00A3130C" w:rsidRDefault="00F962BE">
            <w:pPr>
              <w:pStyle w:val="ARTabletext"/>
              <w:rPr>
                <w:rFonts w:eastAsia="Times"/>
              </w:rPr>
            </w:pPr>
            <w:r w:rsidRPr="00A3130C">
              <w:rPr>
                <w:rFonts w:eastAsia="Times"/>
              </w:rPr>
              <w:t xml:space="preserve">Women's Health and Wellbeing Barwon </w:t>
            </w:r>
            <w:proofErr w:type="gramStart"/>
            <w:r w:rsidRPr="00A3130C">
              <w:rPr>
                <w:rFonts w:eastAsia="Times"/>
              </w:rPr>
              <w:t>South West</w:t>
            </w:r>
            <w:proofErr w:type="gramEnd"/>
          </w:p>
        </w:tc>
        <w:tc>
          <w:tcPr>
            <w:cnfStyle w:val="000001000000" w:firstRow="0" w:lastRow="0" w:firstColumn="0" w:lastColumn="0" w:oddVBand="0" w:evenVBand="1" w:oddHBand="0" w:evenHBand="0" w:firstRowFirstColumn="0" w:firstRowLastColumn="0" w:lastRowFirstColumn="0" w:lastRowLastColumn="0"/>
            <w:tcW w:w="807" w:type="pct"/>
            <w:noWrap/>
            <w:hideMark/>
          </w:tcPr>
          <w:p w14:paraId="4E5E367F" w14:textId="77777777" w:rsidR="00F962BE" w:rsidRPr="00A3130C" w:rsidRDefault="00F962BE">
            <w:pPr>
              <w:pStyle w:val="ARTabletext"/>
              <w:jc w:val="right"/>
              <w:rPr>
                <w:rFonts w:eastAsia="Times"/>
              </w:rPr>
            </w:pPr>
            <w:r w:rsidRPr="00A3130C">
              <w:rPr>
                <w:rFonts w:eastAsia="Times"/>
              </w:rPr>
              <w:t>233,273</w:t>
            </w:r>
          </w:p>
        </w:tc>
      </w:tr>
      <w:tr w:rsidR="00F962BE" w:rsidRPr="00A3130C" w14:paraId="5990C35A"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0FAD5AE3" w14:textId="77777777" w:rsidR="00F962BE" w:rsidRPr="00A3130C" w:rsidRDefault="00F962BE">
            <w:pPr>
              <w:pStyle w:val="ARTabletext"/>
              <w:rPr>
                <w:rFonts w:eastAsia="Times"/>
              </w:rPr>
            </w:pPr>
            <w:r w:rsidRPr="00A3130C">
              <w:rPr>
                <w:rFonts w:eastAsia="Times"/>
              </w:rPr>
              <w:t>Women's Health East</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884612D" w14:textId="77777777" w:rsidR="00F962BE" w:rsidRPr="00A3130C" w:rsidRDefault="00F962BE">
            <w:pPr>
              <w:pStyle w:val="ARTabletext"/>
              <w:jc w:val="right"/>
              <w:rPr>
                <w:rFonts w:eastAsia="Times"/>
              </w:rPr>
            </w:pPr>
            <w:r w:rsidRPr="00A3130C">
              <w:rPr>
                <w:rFonts w:eastAsia="Times"/>
              </w:rPr>
              <w:t>233,273</w:t>
            </w:r>
          </w:p>
        </w:tc>
      </w:tr>
      <w:tr w:rsidR="00F962BE" w:rsidRPr="00A3130C" w14:paraId="222C5548"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21A342E4" w14:textId="77777777" w:rsidR="00F962BE" w:rsidRPr="00A3130C" w:rsidRDefault="00F962BE">
            <w:pPr>
              <w:pStyle w:val="ARTabletext"/>
              <w:rPr>
                <w:rFonts w:eastAsia="Times"/>
              </w:rPr>
            </w:pPr>
            <w:r w:rsidRPr="00A3130C">
              <w:rPr>
                <w:rFonts w:eastAsia="Times"/>
              </w:rPr>
              <w:t xml:space="preserve">Women's Health Goulburn </w:t>
            </w:r>
            <w:proofErr w:type="gramStart"/>
            <w:r w:rsidRPr="00A3130C">
              <w:rPr>
                <w:rFonts w:eastAsia="Times"/>
              </w:rPr>
              <w:t>North East</w:t>
            </w:r>
            <w:proofErr w:type="gramEnd"/>
            <w:r w:rsidRPr="00A3130C">
              <w:rPr>
                <w:rFonts w:eastAsia="Times"/>
              </w:rPr>
              <w:t xml:space="preserve">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0F49ED96" w14:textId="77777777" w:rsidR="00F962BE" w:rsidRPr="00A3130C" w:rsidRDefault="00F962BE">
            <w:pPr>
              <w:pStyle w:val="ARTabletext"/>
              <w:jc w:val="right"/>
              <w:rPr>
                <w:rFonts w:eastAsia="Times"/>
              </w:rPr>
            </w:pPr>
            <w:r w:rsidRPr="00A3130C">
              <w:rPr>
                <w:rFonts w:eastAsia="Times"/>
              </w:rPr>
              <w:t>233,273</w:t>
            </w:r>
          </w:p>
        </w:tc>
      </w:tr>
      <w:tr w:rsidR="00F962BE" w:rsidRPr="00A3130C" w14:paraId="2CD4352C"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19D07111" w14:textId="77777777" w:rsidR="00F962BE" w:rsidRPr="00A3130C" w:rsidRDefault="00F962BE">
            <w:pPr>
              <w:pStyle w:val="ARTabletext"/>
              <w:rPr>
                <w:rFonts w:eastAsia="Times"/>
              </w:rPr>
            </w:pPr>
            <w:r w:rsidRPr="00A3130C">
              <w:rPr>
                <w:rFonts w:eastAsia="Times"/>
              </w:rPr>
              <w:t>Women's Health Grampians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6C8E5EB5" w14:textId="77777777" w:rsidR="00F962BE" w:rsidRPr="00A3130C" w:rsidRDefault="00F962BE">
            <w:pPr>
              <w:pStyle w:val="ARTabletext"/>
              <w:jc w:val="right"/>
              <w:rPr>
                <w:rFonts w:eastAsia="Times"/>
              </w:rPr>
            </w:pPr>
            <w:r w:rsidRPr="00A3130C">
              <w:rPr>
                <w:rFonts w:eastAsia="Times"/>
              </w:rPr>
              <w:t>233,273</w:t>
            </w:r>
          </w:p>
        </w:tc>
      </w:tr>
      <w:tr w:rsidR="00F962BE" w:rsidRPr="00A3130C" w14:paraId="3D693DDB"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6408B6B8" w14:textId="77777777" w:rsidR="00F962BE" w:rsidRPr="00A3130C" w:rsidRDefault="00F962BE">
            <w:pPr>
              <w:pStyle w:val="ARTabletext"/>
              <w:rPr>
                <w:rFonts w:eastAsia="Times"/>
              </w:rPr>
            </w:pPr>
            <w:r w:rsidRPr="00A3130C">
              <w:rPr>
                <w:rFonts w:eastAsia="Times"/>
              </w:rPr>
              <w:t xml:space="preserve">Women's Health </w:t>
            </w:r>
            <w:proofErr w:type="gramStart"/>
            <w:r w:rsidRPr="00A3130C">
              <w:rPr>
                <w:rFonts w:eastAsia="Times"/>
              </w:rPr>
              <w:t>In</w:t>
            </w:r>
            <w:proofErr w:type="gramEnd"/>
            <w:r w:rsidRPr="00A3130C">
              <w:rPr>
                <w:rFonts w:eastAsia="Times"/>
              </w:rPr>
              <w:t xml:space="preserve"> the North</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3D56939A" w14:textId="77777777" w:rsidR="00F962BE" w:rsidRPr="00A3130C" w:rsidRDefault="00F962BE">
            <w:pPr>
              <w:pStyle w:val="ARTabletext"/>
              <w:jc w:val="right"/>
              <w:rPr>
                <w:rFonts w:eastAsia="Times"/>
              </w:rPr>
            </w:pPr>
            <w:r w:rsidRPr="00A3130C">
              <w:rPr>
                <w:rFonts w:eastAsia="Times"/>
              </w:rPr>
              <w:t>233,273</w:t>
            </w:r>
          </w:p>
        </w:tc>
      </w:tr>
      <w:tr w:rsidR="00F962BE" w:rsidRPr="00A3130C" w14:paraId="2FEC0D7B"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0976DC45" w14:textId="77777777" w:rsidR="00F962BE" w:rsidRPr="00A3130C" w:rsidRDefault="00F962BE">
            <w:pPr>
              <w:pStyle w:val="ARTabletext"/>
              <w:rPr>
                <w:rFonts w:eastAsia="Times"/>
              </w:rPr>
            </w:pPr>
            <w:r w:rsidRPr="00A3130C">
              <w:rPr>
                <w:rFonts w:eastAsia="Times"/>
              </w:rPr>
              <w:t xml:space="preserve">Women's Health in the </w:t>
            </w:r>
            <w:proofErr w:type="gramStart"/>
            <w:r w:rsidRPr="00A3130C">
              <w:rPr>
                <w:rFonts w:eastAsia="Times"/>
              </w:rPr>
              <w:t>South East</w:t>
            </w:r>
            <w:proofErr w:type="gramEnd"/>
          </w:p>
        </w:tc>
        <w:tc>
          <w:tcPr>
            <w:cnfStyle w:val="000001000000" w:firstRow="0" w:lastRow="0" w:firstColumn="0" w:lastColumn="0" w:oddVBand="0" w:evenVBand="1" w:oddHBand="0" w:evenHBand="0" w:firstRowFirstColumn="0" w:firstRowLastColumn="0" w:lastRowFirstColumn="0" w:lastRowLastColumn="0"/>
            <w:tcW w:w="807" w:type="pct"/>
            <w:noWrap/>
            <w:hideMark/>
          </w:tcPr>
          <w:p w14:paraId="2FECF126" w14:textId="77777777" w:rsidR="00F962BE" w:rsidRPr="00A3130C" w:rsidRDefault="00F962BE">
            <w:pPr>
              <w:pStyle w:val="ARTabletext"/>
              <w:jc w:val="right"/>
              <w:rPr>
                <w:rFonts w:eastAsia="Times"/>
              </w:rPr>
            </w:pPr>
            <w:r w:rsidRPr="00A3130C">
              <w:rPr>
                <w:rFonts w:eastAsia="Times"/>
              </w:rPr>
              <w:t>233,273</w:t>
            </w:r>
          </w:p>
        </w:tc>
      </w:tr>
      <w:tr w:rsidR="00F962BE" w:rsidRPr="00A3130C" w14:paraId="599EF09C" w14:textId="77777777" w:rsidTr="00735BAF">
        <w:trPr>
          <w:cnfStyle w:val="000000100000" w:firstRow="0" w:lastRow="0" w:firstColumn="0" w:lastColumn="0" w:oddVBand="0" w:evenVBand="0" w:oddHBand="1" w:evenHBand="0" w:firstRowFirstColumn="0" w:firstRowLastColumn="0" w:lastRowFirstColumn="0" w:lastRowLastColumn="0"/>
          <w:trHeight w:val="290"/>
        </w:trPr>
        <w:tc>
          <w:tcPr>
            <w:tcW w:w="4193" w:type="pct"/>
            <w:noWrap/>
            <w:hideMark/>
          </w:tcPr>
          <w:p w14:paraId="0DCDF6E3" w14:textId="77777777" w:rsidR="00F962BE" w:rsidRPr="00A3130C" w:rsidRDefault="00F962BE">
            <w:pPr>
              <w:pStyle w:val="ARTabletext"/>
              <w:rPr>
                <w:rFonts w:eastAsia="Times"/>
              </w:rPr>
            </w:pPr>
            <w:r w:rsidRPr="00A3130C">
              <w:rPr>
                <w:rFonts w:eastAsia="Times"/>
              </w:rPr>
              <w:t>Women's Health Loddon Mallee</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318515B8" w14:textId="77777777" w:rsidR="00F962BE" w:rsidRPr="00A3130C" w:rsidRDefault="00F962BE">
            <w:pPr>
              <w:pStyle w:val="ARTabletext"/>
              <w:jc w:val="right"/>
              <w:rPr>
                <w:rFonts w:eastAsia="Times"/>
              </w:rPr>
            </w:pPr>
            <w:r w:rsidRPr="00A3130C">
              <w:rPr>
                <w:rFonts w:eastAsia="Times"/>
              </w:rPr>
              <w:t>313,273</w:t>
            </w:r>
          </w:p>
        </w:tc>
      </w:tr>
      <w:tr w:rsidR="00F962BE" w:rsidRPr="00A3130C" w14:paraId="548CA958" w14:textId="77777777" w:rsidTr="00735BAF">
        <w:trPr>
          <w:cnfStyle w:val="000000010000" w:firstRow="0" w:lastRow="0" w:firstColumn="0" w:lastColumn="0" w:oddVBand="0" w:evenVBand="0" w:oddHBand="0" w:evenHBand="1" w:firstRowFirstColumn="0" w:firstRowLastColumn="0" w:lastRowFirstColumn="0" w:lastRowLastColumn="0"/>
          <w:trHeight w:val="290"/>
        </w:trPr>
        <w:tc>
          <w:tcPr>
            <w:tcW w:w="4193" w:type="pct"/>
            <w:noWrap/>
            <w:hideMark/>
          </w:tcPr>
          <w:p w14:paraId="4181766D" w14:textId="77777777" w:rsidR="00F962BE" w:rsidRPr="00A3130C" w:rsidRDefault="00F962BE">
            <w:pPr>
              <w:pStyle w:val="ARTabletext"/>
              <w:rPr>
                <w:rFonts w:eastAsia="Times"/>
              </w:rPr>
            </w:pPr>
            <w:r w:rsidRPr="00A3130C">
              <w:rPr>
                <w:rFonts w:eastAsia="Times"/>
              </w:rPr>
              <w:t>Women's Health Victoria Inc</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1EA900B4" w14:textId="77777777" w:rsidR="00F962BE" w:rsidRPr="00A3130C" w:rsidRDefault="00F962BE">
            <w:pPr>
              <w:pStyle w:val="ARTabletext"/>
              <w:jc w:val="right"/>
              <w:rPr>
                <w:rFonts w:eastAsia="Times"/>
              </w:rPr>
            </w:pPr>
            <w:r w:rsidRPr="00A3130C">
              <w:rPr>
                <w:rFonts w:eastAsia="Times"/>
              </w:rPr>
              <w:t>233,273</w:t>
            </w:r>
          </w:p>
        </w:tc>
      </w:tr>
      <w:tr w:rsidR="00F962BE" w:rsidRPr="00A3130C" w14:paraId="2BF15268" w14:textId="77777777" w:rsidTr="00735BAF">
        <w:trPr>
          <w:cnfStyle w:val="010000000000" w:firstRow="0" w:lastRow="1" w:firstColumn="0" w:lastColumn="0" w:oddVBand="0" w:evenVBand="0" w:oddHBand="0" w:evenHBand="0" w:firstRowFirstColumn="0" w:firstRowLastColumn="0" w:lastRowFirstColumn="0" w:lastRowLastColumn="0"/>
          <w:trHeight w:val="290"/>
        </w:trPr>
        <w:tc>
          <w:tcPr>
            <w:tcW w:w="4193" w:type="pct"/>
            <w:noWrap/>
            <w:hideMark/>
          </w:tcPr>
          <w:p w14:paraId="33497866" w14:textId="77777777" w:rsidR="00F962BE" w:rsidRPr="00A3130C" w:rsidRDefault="00F962BE">
            <w:pPr>
              <w:pStyle w:val="ARtabletextbold"/>
              <w:rPr>
                <w:rFonts w:eastAsia="Times"/>
              </w:rPr>
            </w:pPr>
            <w:r w:rsidRPr="00A3130C">
              <w:rPr>
                <w:rFonts w:eastAsia="Times"/>
              </w:rPr>
              <w:t>Total</w:t>
            </w:r>
          </w:p>
        </w:tc>
        <w:tc>
          <w:tcPr>
            <w:cnfStyle w:val="000001000000" w:firstRow="0" w:lastRow="0" w:firstColumn="0" w:lastColumn="0" w:oddVBand="0" w:evenVBand="1" w:oddHBand="0" w:evenHBand="0" w:firstRowFirstColumn="0" w:firstRowLastColumn="0" w:lastRowFirstColumn="0" w:lastRowLastColumn="0"/>
            <w:tcW w:w="807" w:type="pct"/>
            <w:noWrap/>
            <w:hideMark/>
          </w:tcPr>
          <w:p w14:paraId="249CBC52" w14:textId="77777777" w:rsidR="00F962BE" w:rsidRPr="00A3130C" w:rsidRDefault="00F962BE">
            <w:pPr>
              <w:pStyle w:val="ARtabletextbold"/>
              <w:jc w:val="right"/>
              <w:rPr>
                <w:rFonts w:eastAsia="Times"/>
              </w:rPr>
            </w:pPr>
            <w:r w:rsidRPr="00A3130C">
              <w:rPr>
                <w:rFonts w:eastAsia="Times"/>
              </w:rPr>
              <w:t>8,486,747</w:t>
            </w:r>
          </w:p>
        </w:tc>
      </w:tr>
    </w:tbl>
    <w:p w14:paraId="63F33798" w14:textId="77777777" w:rsidR="00F962BE" w:rsidRPr="00A3130C" w:rsidRDefault="00F962BE" w:rsidP="00F962BE">
      <w:pPr>
        <w:pStyle w:val="ARTablefigurenote"/>
        <w:rPr>
          <w:rFonts w:eastAsia="Times"/>
          <w:sz w:val="20"/>
        </w:rPr>
      </w:pPr>
      <w:r w:rsidRPr="0021553E">
        <w:t>Respect Victoria grant expenditure in 2025-26 is reported in the</w:t>
      </w:r>
      <w:r>
        <w:t> </w:t>
      </w:r>
      <w:r w:rsidRPr="0021553E">
        <w:t>Respect Victoria Annual Report and is not included in the</w:t>
      </w:r>
      <w:r>
        <w:t> </w:t>
      </w:r>
      <w:r w:rsidRPr="0021553E">
        <w:t>table</w:t>
      </w:r>
      <w:r>
        <w:t> </w:t>
      </w:r>
      <w:r w:rsidRPr="0021553E">
        <w:t>above.</w:t>
      </w:r>
    </w:p>
    <w:p w14:paraId="04A8BDEE" w14:textId="77777777" w:rsidR="00F962BE" w:rsidRPr="00A3130C" w:rsidRDefault="00F962BE" w:rsidP="00F962BE">
      <w:pPr>
        <w:pStyle w:val="Heading3Grants"/>
      </w:pPr>
      <w:r w:rsidRPr="00A3130C">
        <w:t>Support to Veterans in Victoria</w:t>
      </w:r>
    </w:p>
    <w:tbl>
      <w:tblPr>
        <w:tblStyle w:val="ARtable1"/>
        <w:tblW w:w="0" w:type="auto"/>
        <w:tblLayout w:type="fixed"/>
        <w:tblLook w:val="00E0" w:firstRow="1" w:lastRow="1" w:firstColumn="1" w:lastColumn="0" w:noHBand="0" w:noVBand="0"/>
      </w:tblPr>
      <w:tblGrid>
        <w:gridCol w:w="8217"/>
        <w:gridCol w:w="1411"/>
      </w:tblGrid>
      <w:tr w:rsidR="00F962BE" w:rsidRPr="00A3130C" w14:paraId="4E7E9B8B" w14:textId="77777777" w:rsidTr="00735BAF">
        <w:trPr>
          <w:cnfStyle w:val="100000000000" w:firstRow="1" w:lastRow="0" w:firstColumn="0" w:lastColumn="0" w:oddVBand="0" w:evenVBand="0" w:oddHBand="0" w:evenHBand="0" w:firstRowFirstColumn="0" w:firstRowLastColumn="0" w:lastRowFirstColumn="0" w:lastRowLastColumn="0"/>
          <w:trHeight w:val="260"/>
          <w:tblHeader/>
        </w:trPr>
        <w:tc>
          <w:tcPr>
            <w:tcW w:w="8217" w:type="dxa"/>
            <w:noWrap/>
            <w:hideMark/>
          </w:tcPr>
          <w:p w14:paraId="588B02AA" w14:textId="77777777" w:rsidR="00F962BE" w:rsidRPr="00A3130C" w:rsidRDefault="00F962BE">
            <w:pPr>
              <w:pStyle w:val="ARtablecolhead"/>
              <w:rPr>
                <w:rFonts w:eastAsia="Times"/>
              </w:rPr>
            </w:pPr>
            <w:r w:rsidRPr="00A3130C">
              <w:rPr>
                <w:rFonts w:eastAsia="Times"/>
              </w:rPr>
              <w:t>Organisation</w:t>
            </w:r>
          </w:p>
        </w:tc>
        <w:tc>
          <w:tcPr>
            <w:cnfStyle w:val="000001000000" w:firstRow="0" w:lastRow="0" w:firstColumn="0" w:lastColumn="0" w:oddVBand="0" w:evenVBand="1" w:oddHBand="0" w:evenHBand="0" w:firstRowFirstColumn="0" w:firstRowLastColumn="0" w:lastRowFirstColumn="0" w:lastRowLastColumn="0"/>
            <w:tcW w:w="1411" w:type="dxa"/>
            <w:vAlign w:val="top"/>
            <w:hideMark/>
          </w:tcPr>
          <w:p w14:paraId="67F21E3B" w14:textId="77777777" w:rsidR="00F962BE" w:rsidRPr="00A3130C" w:rsidRDefault="00F962BE">
            <w:pPr>
              <w:pStyle w:val="ARtablecolhead"/>
              <w:jc w:val="right"/>
              <w:rPr>
                <w:rFonts w:eastAsia="Times"/>
              </w:rPr>
            </w:pPr>
            <w:r w:rsidRPr="00A3130C">
              <w:rPr>
                <w:rFonts w:eastAsia="Times"/>
              </w:rPr>
              <w:t>Payment ($)</w:t>
            </w:r>
          </w:p>
        </w:tc>
      </w:tr>
      <w:tr w:rsidR="00F962BE" w:rsidRPr="00A3130C" w14:paraId="7784BB86"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6A2202BA" w14:textId="77777777" w:rsidR="00F962BE" w:rsidRPr="00A3130C" w:rsidRDefault="00F962BE">
            <w:pPr>
              <w:pStyle w:val="ARTabletext"/>
              <w:rPr>
                <w:rFonts w:eastAsia="Times"/>
              </w:rPr>
            </w:pPr>
            <w:r w:rsidRPr="00A3130C">
              <w:rPr>
                <w:rFonts w:eastAsia="Times"/>
              </w:rPr>
              <w:t>Adventure Works Australia Ltd</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35CF949A" w14:textId="77777777" w:rsidR="00F962BE" w:rsidRPr="00A3130C" w:rsidRDefault="00F962BE">
            <w:pPr>
              <w:pStyle w:val="ARTabletext"/>
              <w:jc w:val="right"/>
              <w:rPr>
                <w:rFonts w:eastAsia="Times"/>
              </w:rPr>
            </w:pPr>
            <w:r w:rsidRPr="00A3130C">
              <w:rPr>
                <w:rFonts w:eastAsia="Times"/>
              </w:rPr>
              <w:t>150,000</w:t>
            </w:r>
          </w:p>
        </w:tc>
      </w:tr>
      <w:tr w:rsidR="00F962BE" w:rsidRPr="00A3130C" w14:paraId="781576E2"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3A1AECE1" w14:textId="77777777" w:rsidR="00F962BE" w:rsidRPr="00A3130C" w:rsidRDefault="00F962BE">
            <w:pPr>
              <w:pStyle w:val="ARTabletext"/>
              <w:rPr>
                <w:rFonts w:eastAsia="Times"/>
              </w:rPr>
            </w:pPr>
            <w:r w:rsidRPr="00A3130C">
              <w:rPr>
                <w:rFonts w:eastAsia="Times"/>
              </w:rPr>
              <w:t>Air Force Association – Victoria</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35FE4E7A" w14:textId="77777777" w:rsidR="00F962BE" w:rsidRPr="00A3130C" w:rsidRDefault="00F962BE">
            <w:pPr>
              <w:pStyle w:val="ARTabletext"/>
              <w:jc w:val="right"/>
              <w:rPr>
                <w:rFonts w:eastAsia="Times"/>
              </w:rPr>
            </w:pPr>
            <w:r w:rsidRPr="00A3130C">
              <w:rPr>
                <w:rFonts w:eastAsia="Times"/>
              </w:rPr>
              <w:t>10,000</w:t>
            </w:r>
          </w:p>
        </w:tc>
      </w:tr>
      <w:tr w:rsidR="00F962BE" w:rsidRPr="00A3130C" w14:paraId="323528D3"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6A7EB0C3" w14:textId="77777777" w:rsidR="00F962BE" w:rsidRPr="00A3130C" w:rsidRDefault="00F962BE">
            <w:pPr>
              <w:pStyle w:val="ARTabletext"/>
              <w:rPr>
                <w:rFonts w:eastAsia="Times"/>
              </w:rPr>
            </w:pPr>
            <w:r w:rsidRPr="00A3130C">
              <w:rPr>
                <w:rFonts w:eastAsia="Times"/>
              </w:rPr>
              <w:t>Ararat Legacy Inc</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19502200" w14:textId="77777777" w:rsidR="00F962BE" w:rsidRPr="00A3130C" w:rsidRDefault="00F962BE">
            <w:pPr>
              <w:pStyle w:val="ARTabletext"/>
              <w:jc w:val="right"/>
              <w:rPr>
                <w:rFonts w:eastAsia="Times"/>
              </w:rPr>
            </w:pPr>
            <w:r w:rsidRPr="00A3130C">
              <w:rPr>
                <w:rFonts w:eastAsia="Times"/>
              </w:rPr>
              <w:t>4,876</w:t>
            </w:r>
          </w:p>
        </w:tc>
      </w:tr>
      <w:tr w:rsidR="00F962BE" w:rsidRPr="00A3130C" w14:paraId="4B1A28FE"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3C6C03CA" w14:textId="77777777" w:rsidR="00F962BE" w:rsidRPr="00A3130C" w:rsidRDefault="00F962BE">
            <w:pPr>
              <w:pStyle w:val="ARTabletext"/>
              <w:rPr>
                <w:rFonts w:eastAsia="Times"/>
              </w:rPr>
            </w:pPr>
            <w:r w:rsidRPr="00A3130C">
              <w:rPr>
                <w:rFonts w:eastAsia="Times"/>
              </w:rPr>
              <w:t>Aussie Veterans Pty Ltd</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16DA2DC2" w14:textId="77777777" w:rsidR="00F962BE" w:rsidRPr="00A3130C" w:rsidRDefault="00F962BE">
            <w:pPr>
              <w:pStyle w:val="ARTabletext"/>
              <w:jc w:val="right"/>
              <w:rPr>
                <w:rFonts w:eastAsia="Times"/>
              </w:rPr>
            </w:pPr>
            <w:r w:rsidRPr="00A3130C">
              <w:rPr>
                <w:rFonts w:eastAsia="Times"/>
              </w:rPr>
              <w:t>100,909</w:t>
            </w:r>
          </w:p>
        </w:tc>
      </w:tr>
      <w:tr w:rsidR="00F962BE" w:rsidRPr="00A3130C" w14:paraId="62EC7189"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45A376FC" w14:textId="77777777" w:rsidR="00F962BE" w:rsidRPr="00A3130C" w:rsidRDefault="00F962BE">
            <w:pPr>
              <w:pStyle w:val="ARTabletext"/>
              <w:rPr>
                <w:rFonts w:eastAsia="Times"/>
              </w:rPr>
            </w:pPr>
            <w:r w:rsidRPr="00A3130C">
              <w:rPr>
                <w:rFonts w:eastAsia="Times"/>
              </w:rPr>
              <w:t>Australian Aircraft Restoration Group / trading as Moorabbin Air Museum</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2B186BCD" w14:textId="77777777" w:rsidR="00F962BE" w:rsidRPr="00A3130C" w:rsidRDefault="00F962BE">
            <w:pPr>
              <w:pStyle w:val="ARTabletext"/>
              <w:jc w:val="right"/>
              <w:rPr>
                <w:rFonts w:eastAsia="Times"/>
              </w:rPr>
            </w:pPr>
            <w:r w:rsidRPr="00A3130C">
              <w:rPr>
                <w:rFonts w:eastAsia="Times"/>
              </w:rPr>
              <w:t>6,617</w:t>
            </w:r>
          </w:p>
        </w:tc>
      </w:tr>
      <w:tr w:rsidR="00F962BE" w:rsidRPr="00A3130C" w14:paraId="2C26E2C6"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23CC7B59" w14:textId="77777777" w:rsidR="00F962BE" w:rsidRPr="00A3130C" w:rsidRDefault="00F962BE">
            <w:pPr>
              <w:pStyle w:val="ARTabletext"/>
              <w:rPr>
                <w:rFonts w:eastAsia="Times"/>
              </w:rPr>
            </w:pPr>
            <w:r w:rsidRPr="00A3130C">
              <w:rPr>
                <w:rFonts w:eastAsia="Times"/>
              </w:rPr>
              <w:t>Australian Living Peace Museum</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76A4D25B" w14:textId="77777777" w:rsidR="00F962BE" w:rsidRPr="00A3130C" w:rsidRDefault="00F962BE">
            <w:pPr>
              <w:pStyle w:val="ARTabletext"/>
              <w:jc w:val="right"/>
              <w:rPr>
                <w:rFonts w:eastAsia="Times"/>
              </w:rPr>
            </w:pPr>
            <w:r w:rsidRPr="00A3130C">
              <w:rPr>
                <w:rFonts w:eastAsia="Times"/>
              </w:rPr>
              <w:t>28,900</w:t>
            </w:r>
          </w:p>
        </w:tc>
      </w:tr>
      <w:tr w:rsidR="00F962BE" w:rsidRPr="00A3130C" w14:paraId="6F0FC38F"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6AD68731" w14:textId="77777777" w:rsidR="00F962BE" w:rsidRPr="00A3130C" w:rsidRDefault="00F962BE">
            <w:pPr>
              <w:pStyle w:val="ARTabletext"/>
              <w:rPr>
                <w:rFonts w:eastAsia="Times"/>
              </w:rPr>
            </w:pPr>
            <w:r w:rsidRPr="00A3130C">
              <w:rPr>
                <w:rFonts w:eastAsia="Times"/>
              </w:rPr>
              <w:t>Australian National Veterans Arts</w:t>
            </w:r>
            <w:r>
              <w:rPr>
                <w:rFonts w:eastAsia="Times"/>
              </w:rPr>
              <w:t> </w:t>
            </w:r>
            <w:r w:rsidRPr="00A3130C">
              <w:rPr>
                <w:rFonts w:eastAsia="Times"/>
              </w:rPr>
              <w:t>Museum</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430D44A8" w14:textId="77777777" w:rsidR="00F962BE" w:rsidRPr="00A3130C" w:rsidRDefault="00F962BE">
            <w:pPr>
              <w:pStyle w:val="ARTabletext"/>
              <w:jc w:val="right"/>
              <w:rPr>
                <w:rFonts w:eastAsia="Times"/>
              </w:rPr>
            </w:pPr>
            <w:r w:rsidRPr="00A3130C">
              <w:rPr>
                <w:rFonts w:eastAsia="Times"/>
              </w:rPr>
              <w:t>155,000</w:t>
            </w:r>
          </w:p>
        </w:tc>
      </w:tr>
      <w:tr w:rsidR="00F962BE" w:rsidRPr="00A3130C" w14:paraId="43E1313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4ACE3FAE" w14:textId="77777777" w:rsidR="00F962BE" w:rsidRPr="00A3130C" w:rsidRDefault="00F962BE">
            <w:pPr>
              <w:pStyle w:val="ARTabletext"/>
              <w:rPr>
                <w:rFonts w:eastAsia="Times"/>
              </w:rPr>
            </w:pPr>
            <w:r w:rsidRPr="00A3130C">
              <w:rPr>
                <w:rFonts w:eastAsia="Times"/>
              </w:rPr>
              <w:t>Avenel Jubilee Park Association</w:t>
            </w:r>
            <w:r>
              <w:rPr>
                <w:rFonts w:eastAsia="Times"/>
              </w:rPr>
              <w:t> </w:t>
            </w:r>
            <w:r w:rsidRPr="00A3130C">
              <w:rPr>
                <w:rFonts w:eastAsia="Times"/>
              </w:rPr>
              <w:t>Incorporated</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656DE46E" w14:textId="77777777" w:rsidR="00F962BE" w:rsidRPr="00A3130C" w:rsidRDefault="00F962BE">
            <w:pPr>
              <w:pStyle w:val="ARTabletext"/>
              <w:jc w:val="right"/>
              <w:rPr>
                <w:rFonts w:eastAsia="Times"/>
              </w:rPr>
            </w:pPr>
            <w:r w:rsidRPr="00A3130C">
              <w:rPr>
                <w:rFonts w:eastAsia="Times"/>
              </w:rPr>
              <w:t>8,000</w:t>
            </w:r>
          </w:p>
        </w:tc>
      </w:tr>
      <w:tr w:rsidR="00F962BE" w:rsidRPr="00A3130C" w14:paraId="68B538AD"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312A0258" w14:textId="77777777" w:rsidR="00F962BE" w:rsidRPr="00A3130C" w:rsidRDefault="00F962BE">
            <w:pPr>
              <w:pStyle w:val="ARTabletext"/>
              <w:rPr>
                <w:rFonts w:eastAsia="Times"/>
              </w:rPr>
            </w:pPr>
            <w:r w:rsidRPr="00A3130C">
              <w:rPr>
                <w:rFonts w:eastAsia="Times"/>
              </w:rPr>
              <w:t xml:space="preserve">Bairnsdale RSL </w:t>
            </w:r>
            <w:proofErr w:type="gramStart"/>
            <w:r w:rsidRPr="00A3130C">
              <w:rPr>
                <w:rFonts w:eastAsia="Times"/>
              </w:rPr>
              <w:t>Sub Branch</w:t>
            </w:r>
            <w:proofErr w:type="gramEnd"/>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33A8AB02" w14:textId="77777777" w:rsidR="00F962BE" w:rsidRPr="00A3130C" w:rsidRDefault="00F962BE">
            <w:pPr>
              <w:pStyle w:val="ARTabletext"/>
              <w:jc w:val="right"/>
              <w:rPr>
                <w:rFonts w:eastAsia="Times"/>
              </w:rPr>
            </w:pPr>
            <w:r w:rsidRPr="00A3130C">
              <w:rPr>
                <w:rFonts w:eastAsia="Times"/>
              </w:rPr>
              <w:t>10,000</w:t>
            </w:r>
          </w:p>
        </w:tc>
      </w:tr>
      <w:tr w:rsidR="00F962BE" w:rsidRPr="00A3130C" w14:paraId="6B4DFC8E"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0B4C3398" w14:textId="77777777" w:rsidR="00F962BE" w:rsidRPr="00A3130C" w:rsidRDefault="00F962BE">
            <w:pPr>
              <w:pStyle w:val="ARTabletext"/>
              <w:rPr>
                <w:rFonts w:eastAsia="Times"/>
              </w:rPr>
            </w:pPr>
            <w:r w:rsidRPr="00A3130C">
              <w:rPr>
                <w:rFonts w:eastAsia="Times"/>
              </w:rPr>
              <w:t>Ballarat Veterans Assistance Centre</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05641388" w14:textId="77777777" w:rsidR="00F962BE" w:rsidRPr="00A3130C" w:rsidRDefault="00F962BE">
            <w:pPr>
              <w:pStyle w:val="ARTabletext"/>
              <w:jc w:val="right"/>
              <w:rPr>
                <w:rFonts w:eastAsia="Times"/>
              </w:rPr>
            </w:pPr>
            <w:r w:rsidRPr="00A3130C">
              <w:rPr>
                <w:rFonts w:eastAsia="Times"/>
              </w:rPr>
              <w:t>75,681</w:t>
            </w:r>
          </w:p>
        </w:tc>
      </w:tr>
      <w:tr w:rsidR="00F962BE" w:rsidRPr="00A3130C" w14:paraId="2C7368B6"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29DEBD9C" w14:textId="77777777" w:rsidR="00F962BE" w:rsidRPr="00A3130C" w:rsidRDefault="00F962BE">
            <w:pPr>
              <w:pStyle w:val="ARTabletext"/>
              <w:rPr>
                <w:rFonts w:eastAsia="Times"/>
              </w:rPr>
            </w:pPr>
            <w:r w:rsidRPr="00A3130C">
              <w:rPr>
                <w:rFonts w:eastAsia="Times"/>
              </w:rPr>
              <w:t>Boronia RSL Sub-Branch Inc</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611CE469" w14:textId="77777777" w:rsidR="00F962BE" w:rsidRPr="00A3130C" w:rsidRDefault="00F962BE">
            <w:pPr>
              <w:pStyle w:val="ARTabletext"/>
              <w:jc w:val="right"/>
              <w:rPr>
                <w:rFonts w:eastAsia="Times"/>
              </w:rPr>
            </w:pPr>
            <w:r w:rsidRPr="00A3130C">
              <w:rPr>
                <w:rFonts w:eastAsia="Times"/>
              </w:rPr>
              <w:t>50,000</w:t>
            </w:r>
          </w:p>
        </w:tc>
      </w:tr>
      <w:tr w:rsidR="00F962BE" w:rsidRPr="00A3130C" w14:paraId="51DDDA13"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6284DC6A" w14:textId="77777777" w:rsidR="00F962BE" w:rsidRPr="00A3130C" w:rsidRDefault="00F962BE">
            <w:pPr>
              <w:pStyle w:val="ARTabletext"/>
              <w:rPr>
                <w:rFonts w:eastAsia="Times"/>
              </w:rPr>
            </w:pPr>
            <w:r w:rsidRPr="00A3130C">
              <w:rPr>
                <w:rFonts w:eastAsia="Times"/>
              </w:rPr>
              <w:t xml:space="preserve">Borough of </w:t>
            </w:r>
            <w:proofErr w:type="spellStart"/>
            <w:r w:rsidRPr="00A3130C">
              <w:rPr>
                <w:rFonts w:eastAsia="Times"/>
              </w:rPr>
              <w:t>Queenscliffe</w:t>
            </w:r>
            <w:proofErr w:type="spellEnd"/>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1E08C798" w14:textId="77777777" w:rsidR="00F962BE" w:rsidRPr="00A3130C" w:rsidRDefault="00F962BE">
            <w:pPr>
              <w:pStyle w:val="ARTabletext"/>
              <w:jc w:val="right"/>
              <w:rPr>
                <w:rFonts w:eastAsia="Times"/>
              </w:rPr>
            </w:pPr>
            <w:r w:rsidRPr="00A3130C">
              <w:rPr>
                <w:rFonts w:eastAsia="Times"/>
              </w:rPr>
              <w:t>29,593</w:t>
            </w:r>
          </w:p>
        </w:tc>
      </w:tr>
      <w:tr w:rsidR="00F962BE" w:rsidRPr="00A3130C" w14:paraId="7CC05F3A"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4703EC29" w14:textId="77777777" w:rsidR="00F962BE" w:rsidRPr="00A3130C" w:rsidRDefault="00F962BE">
            <w:pPr>
              <w:pStyle w:val="ARTabletext"/>
              <w:rPr>
                <w:rFonts w:eastAsia="Times"/>
              </w:rPr>
            </w:pPr>
            <w:r w:rsidRPr="00A3130C">
              <w:rPr>
                <w:rFonts w:eastAsia="Times"/>
              </w:rPr>
              <w:t>Bright RSL Sub-Branch</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7C87B1E3" w14:textId="77777777" w:rsidR="00F962BE" w:rsidRPr="00A3130C" w:rsidRDefault="00F962BE">
            <w:pPr>
              <w:pStyle w:val="ARTabletext"/>
              <w:jc w:val="right"/>
              <w:rPr>
                <w:rFonts w:eastAsia="Times"/>
              </w:rPr>
            </w:pPr>
            <w:r w:rsidRPr="00A3130C">
              <w:rPr>
                <w:rFonts w:eastAsia="Times"/>
              </w:rPr>
              <w:t>1,565</w:t>
            </w:r>
          </w:p>
        </w:tc>
      </w:tr>
      <w:tr w:rsidR="00F962BE" w:rsidRPr="00A3130C" w14:paraId="2EA50096"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7B122762" w14:textId="77777777" w:rsidR="00F962BE" w:rsidRPr="00A3130C" w:rsidRDefault="00F962BE">
            <w:pPr>
              <w:pStyle w:val="ARTabletext"/>
              <w:rPr>
                <w:rFonts w:eastAsia="Times"/>
              </w:rPr>
            </w:pPr>
            <w:r w:rsidRPr="00A3130C">
              <w:rPr>
                <w:rFonts w:eastAsia="Times"/>
              </w:rPr>
              <w:t>Broadford RSL Sub-Branch</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027DC96D" w14:textId="77777777" w:rsidR="00F962BE" w:rsidRPr="00A3130C" w:rsidRDefault="00F962BE">
            <w:pPr>
              <w:pStyle w:val="ARTabletext"/>
              <w:jc w:val="right"/>
              <w:rPr>
                <w:rFonts w:eastAsia="Times"/>
              </w:rPr>
            </w:pPr>
            <w:r w:rsidRPr="00A3130C">
              <w:rPr>
                <w:rFonts w:eastAsia="Times"/>
              </w:rPr>
              <w:t>50,000</w:t>
            </w:r>
          </w:p>
        </w:tc>
      </w:tr>
      <w:tr w:rsidR="00F962BE" w:rsidRPr="00A3130C" w14:paraId="61D86DC5"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0B1457DC" w14:textId="77777777" w:rsidR="00F962BE" w:rsidRPr="00A3130C" w:rsidRDefault="00F962BE">
            <w:pPr>
              <w:pStyle w:val="ARTabletext"/>
              <w:rPr>
                <w:rFonts w:eastAsia="Times"/>
              </w:rPr>
            </w:pPr>
            <w:r w:rsidRPr="00A3130C">
              <w:rPr>
                <w:rFonts w:eastAsia="Times"/>
              </w:rPr>
              <w:t>Carry On (Victoria)</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267B437A" w14:textId="77777777" w:rsidR="00F962BE" w:rsidRPr="00A3130C" w:rsidRDefault="00F962BE">
            <w:pPr>
              <w:pStyle w:val="ARTabletext"/>
              <w:jc w:val="right"/>
              <w:rPr>
                <w:rFonts w:eastAsia="Times"/>
              </w:rPr>
            </w:pPr>
            <w:r w:rsidRPr="00A3130C">
              <w:rPr>
                <w:rFonts w:eastAsia="Times"/>
              </w:rPr>
              <w:t>150,000</w:t>
            </w:r>
          </w:p>
        </w:tc>
      </w:tr>
      <w:tr w:rsidR="00F962BE" w:rsidRPr="00A3130C" w14:paraId="318B0295"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46F7FF39" w14:textId="77777777" w:rsidR="00F962BE" w:rsidRPr="00A3130C" w:rsidRDefault="00F962BE">
            <w:pPr>
              <w:pStyle w:val="ARTabletext"/>
              <w:rPr>
                <w:rFonts w:eastAsia="Times"/>
              </w:rPr>
            </w:pPr>
            <w:r w:rsidRPr="00A3130C">
              <w:rPr>
                <w:rFonts w:eastAsia="Times"/>
              </w:rPr>
              <w:t>City of Port Phillip</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330713B0" w14:textId="77777777" w:rsidR="00F962BE" w:rsidRPr="00A3130C" w:rsidRDefault="00F962BE">
            <w:pPr>
              <w:pStyle w:val="ARTabletext"/>
              <w:jc w:val="right"/>
              <w:rPr>
                <w:rFonts w:eastAsia="Times"/>
              </w:rPr>
            </w:pPr>
            <w:r w:rsidRPr="00A3130C">
              <w:rPr>
                <w:rFonts w:eastAsia="Times"/>
              </w:rPr>
              <w:t>30,000</w:t>
            </w:r>
          </w:p>
        </w:tc>
      </w:tr>
      <w:tr w:rsidR="00F962BE" w:rsidRPr="00A3130C" w14:paraId="266315C6"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3CEED815" w14:textId="77777777" w:rsidR="00F962BE" w:rsidRPr="00A3130C" w:rsidRDefault="00F962BE">
            <w:pPr>
              <w:pStyle w:val="ARTabletext"/>
              <w:rPr>
                <w:rFonts w:eastAsia="Times"/>
              </w:rPr>
            </w:pPr>
            <w:r w:rsidRPr="00A3130C">
              <w:rPr>
                <w:rFonts w:eastAsia="Times"/>
              </w:rPr>
              <w:t>Cobram-Barooga RSL Sub-Branch</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31E4822F" w14:textId="77777777" w:rsidR="00F962BE" w:rsidRPr="00A3130C" w:rsidRDefault="00F962BE">
            <w:pPr>
              <w:pStyle w:val="ARTabletext"/>
              <w:jc w:val="right"/>
              <w:rPr>
                <w:rFonts w:eastAsia="Times"/>
              </w:rPr>
            </w:pPr>
            <w:r w:rsidRPr="00A3130C">
              <w:rPr>
                <w:rFonts w:eastAsia="Times"/>
              </w:rPr>
              <w:t>17,550</w:t>
            </w:r>
          </w:p>
        </w:tc>
      </w:tr>
      <w:tr w:rsidR="00F962BE" w:rsidRPr="00A3130C" w14:paraId="66C36D6E"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42471875" w14:textId="77777777" w:rsidR="00F962BE" w:rsidRPr="00A3130C" w:rsidRDefault="00F962BE">
            <w:pPr>
              <w:pStyle w:val="ARTabletext"/>
              <w:rPr>
                <w:rFonts w:eastAsia="Times"/>
              </w:rPr>
            </w:pPr>
            <w:r w:rsidRPr="00A3130C">
              <w:rPr>
                <w:rFonts w:eastAsia="Times"/>
              </w:rPr>
              <w:t>Colac Legacy Club Inc</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3C821DF1" w14:textId="77777777" w:rsidR="00F962BE" w:rsidRPr="00A3130C" w:rsidRDefault="00F962BE">
            <w:pPr>
              <w:pStyle w:val="ARTabletext"/>
              <w:jc w:val="right"/>
              <w:rPr>
                <w:rFonts w:eastAsia="Times"/>
              </w:rPr>
            </w:pPr>
            <w:r w:rsidRPr="00A3130C">
              <w:rPr>
                <w:rFonts w:eastAsia="Times"/>
              </w:rPr>
              <w:t>13,500</w:t>
            </w:r>
          </w:p>
        </w:tc>
      </w:tr>
      <w:tr w:rsidR="00F962BE" w:rsidRPr="00A3130C" w14:paraId="544D9A41"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724A0EB7" w14:textId="77777777" w:rsidR="00F962BE" w:rsidRPr="00A3130C" w:rsidRDefault="00F962BE">
            <w:pPr>
              <w:pStyle w:val="ARTabletext"/>
              <w:rPr>
                <w:rFonts w:eastAsia="Times"/>
              </w:rPr>
            </w:pPr>
            <w:r w:rsidRPr="00A3130C">
              <w:rPr>
                <w:rFonts w:eastAsia="Times"/>
              </w:rPr>
              <w:t>Doncaster RSL Sub-Branch Incorporation</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1E23890E" w14:textId="77777777" w:rsidR="00F962BE" w:rsidRPr="00A3130C" w:rsidRDefault="00F962BE">
            <w:pPr>
              <w:pStyle w:val="ARTabletext"/>
              <w:jc w:val="right"/>
              <w:rPr>
                <w:rFonts w:eastAsia="Times"/>
              </w:rPr>
            </w:pPr>
            <w:r w:rsidRPr="00A3130C">
              <w:rPr>
                <w:rFonts w:eastAsia="Times"/>
              </w:rPr>
              <w:t>10,000</w:t>
            </w:r>
          </w:p>
        </w:tc>
      </w:tr>
      <w:tr w:rsidR="00F962BE" w:rsidRPr="00A3130C" w14:paraId="4DADEAEF"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402383FC" w14:textId="77777777" w:rsidR="00F962BE" w:rsidRPr="00A3130C" w:rsidRDefault="00F962BE">
            <w:pPr>
              <w:pStyle w:val="ARTabletext"/>
              <w:rPr>
                <w:rFonts w:eastAsia="Times"/>
              </w:rPr>
            </w:pPr>
            <w:r w:rsidRPr="00A3130C">
              <w:rPr>
                <w:rFonts w:eastAsia="Times"/>
              </w:rPr>
              <w:t xml:space="preserve">Flemington / Kensington </w:t>
            </w:r>
            <w:r>
              <w:rPr>
                <w:rFonts w:eastAsia="Times"/>
              </w:rPr>
              <w:br/>
            </w:r>
            <w:r w:rsidRPr="00A3130C">
              <w:rPr>
                <w:rFonts w:eastAsia="Times"/>
              </w:rPr>
              <w:t>RSL Sub-Branch</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2D8B2241" w14:textId="77777777" w:rsidR="00F962BE" w:rsidRPr="00A3130C" w:rsidRDefault="00F962BE">
            <w:pPr>
              <w:pStyle w:val="ARTabletext"/>
              <w:jc w:val="right"/>
              <w:rPr>
                <w:rFonts w:eastAsia="Times"/>
              </w:rPr>
            </w:pPr>
            <w:r w:rsidRPr="00A3130C">
              <w:rPr>
                <w:rFonts w:eastAsia="Times"/>
              </w:rPr>
              <w:t>50,000</w:t>
            </w:r>
          </w:p>
        </w:tc>
      </w:tr>
      <w:tr w:rsidR="00F962BE" w:rsidRPr="00A3130C" w14:paraId="12E2513A"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241AAC11" w14:textId="77777777" w:rsidR="00F962BE" w:rsidRPr="00A3130C" w:rsidRDefault="00F962BE">
            <w:pPr>
              <w:pStyle w:val="ARTabletext"/>
              <w:rPr>
                <w:rFonts w:eastAsia="Times"/>
              </w:rPr>
            </w:pPr>
            <w:r w:rsidRPr="00A3130C">
              <w:rPr>
                <w:rFonts w:eastAsia="Times"/>
              </w:rPr>
              <w:t>Foster RSL Sub-Branch</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2E47C877" w14:textId="77777777" w:rsidR="00F962BE" w:rsidRPr="00A3130C" w:rsidRDefault="00F962BE">
            <w:pPr>
              <w:pStyle w:val="ARTabletext"/>
              <w:jc w:val="right"/>
              <w:rPr>
                <w:rFonts w:eastAsia="Times"/>
              </w:rPr>
            </w:pPr>
            <w:r w:rsidRPr="00A3130C">
              <w:rPr>
                <w:rFonts w:eastAsia="Times"/>
              </w:rPr>
              <w:t>1,785</w:t>
            </w:r>
          </w:p>
        </w:tc>
      </w:tr>
      <w:tr w:rsidR="00F962BE" w:rsidRPr="00A3130C" w14:paraId="23348F23"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0F52E94D" w14:textId="77777777" w:rsidR="00F962BE" w:rsidRPr="00A3130C" w:rsidRDefault="00F962BE">
            <w:pPr>
              <w:pStyle w:val="ARTabletext"/>
              <w:rPr>
                <w:rFonts w:eastAsia="Times"/>
              </w:rPr>
            </w:pPr>
            <w:r w:rsidRPr="00A3130C">
              <w:rPr>
                <w:rFonts w:eastAsia="Times"/>
              </w:rPr>
              <w:t xml:space="preserve">Gisborne RSL </w:t>
            </w:r>
            <w:proofErr w:type="gramStart"/>
            <w:r w:rsidRPr="00A3130C">
              <w:rPr>
                <w:rFonts w:eastAsia="Times"/>
              </w:rPr>
              <w:t>Sub Branch</w:t>
            </w:r>
            <w:proofErr w:type="gramEnd"/>
            <w:r w:rsidRPr="00A3130C">
              <w:rPr>
                <w:rFonts w:eastAsia="Times"/>
              </w:rPr>
              <w:t xml:space="preserve"> Inc</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7ACCF088" w14:textId="77777777" w:rsidR="00F962BE" w:rsidRPr="00A3130C" w:rsidRDefault="00F962BE">
            <w:pPr>
              <w:pStyle w:val="ARTabletext"/>
              <w:jc w:val="right"/>
              <w:rPr>
                <w:rFonts w:eastAsia="Times"/>
              </w:rPr>
            </w:pPr>
            <w:r w:rsidRPr="00A3130C">
              <w:rPr>
                <w:rFonts w:eastAsia="Times"/>
              </w:rPr>
              <w:t>30,000</w:t>
            </w:r>
          </w:p>
        </w:tc>
      </w:tr>
      <w:tr w:rsidR="00F962BE" w:rsidRPr="00A3130C" w14:paraId="5B4070BC"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326403C3" w14:textId="77777777" w:rsidR="00F962BE" w:rsidRPr="00A3130C" w:rsidRDefault="00F962BE">
            <w:pPr>
              <w:pStyle w:val="ARTabletext"/>
              <w:rPr>
                <w:rFonts w:eastAsia="Times"/>
              </w:rPr>
            </w:pPr>
            <w:r w:rsidRPr="00A3130C">
              <w:rPr>
                <w:rFonts w:eastAsia="Times"/>
              </w:rPr>
              <w:t>Goorambat Veterans' Retreat Incorporated</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41F125B5" w14:textId="77777777" w:rsidR="00F962BE" w:rsidRPr="00A3130C" w:rsidRDefault="00F962BE">
            <w:pPr>
              <w:pStyle w:val="ARTabletext"/>
              <w:jc w:val="right"/>
              <w:rPr>
                <w:rFonts w:eastAsia="Times"/>
              </w:rPr>
            </w:pPr>
            <w:r w:rsidRPr="00A3130C">
              <w:rPr>
                <w:rFonts w:eastAsia="Times"/>
              </w:rPr>
              <w:t>50,000</w:t>
            </w:r>
          </w:p>
        </w:tc>
      </w:tr>
      <w:tr w:rsidR="00F962BE" w:rsidRPr="00A3130C" w14:paraId="7B6FC131"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5231D049" w14:textId="77777777" w:rsidR="00F962BE" w:rsidRPr="00A3130C" w:rsidRDefault="00F962BE">
            <w:pPr>
              <w:pStyle w:val="ARTabletext"/>
              <w:rPr>
                <w:rFonts w:eastAsia="Times"/>
              </w:rPr>
            </w:pPr>
            <w:r w:rsidRPr="00A3130C">
              <w:rPr>
                <w:rFonts w:eastAsia="Times"/>
              </w:rPr>
              <w:t>Hawthorn RSL Sub-Branch</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5C106140" w14:textId="77777777" w:rsidR="00F962BE" w:rsidRPr="00A3130C" w:rsidRDefault="00F962BE">
            <w:pPr>
              <w:pStyle w:val="ARTabletext"/>
              <w:jc w:val="right"/>
              <w:rPr>
                <w:rFonts w:eastAsia="Times"/>
              </w:rPr>
            </w:pPr>
            <w:r w:rsidRPr="00A3130C">
              <w:rPr>
                <w:rFonts w:eastAsia="Times"/>
              </w:rPr>
              <w:t>110,900</w:t>
            </w:r>
          </w:p>
        </w:tc>
      </w:tr>
      <w:tr w:rsidR="00F962BE" w:rsidRPr="00A3130C" w14:paraId="59595DA0"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0953790E" w14:textId="77777777" w:rsidR="00F962BE" w:rsidRPr="00A3130C" w:rsidRDefault="00F962BE">
            <w:pPr>
              <w:pStyle w:val="ARTabletext"/>
              <w:rPr>
                <w:rFonts w:eastAsia="Times"/>
              </w:rPr>
            </w:pPr>
            <w:r w:rsidRPr="00A3130C">
              <w:rPr>
                <w:rFonts w:eastAsia="Times"/>
              </w:rPr>
              <w:t>Hepburn Shire Council</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6257B220" w14:textId="77777777" w:rsidR="00F962BE" w:rsidRPr="00A3130C" w:rsidRDefault="00F962BE">
            <w:pPr>
              <w:pStyle w:val="ARTabletext"/>
              <w:jc w:val="right"/>
              <w:rPr>
                <w:rFonts w:eastAsia="Times"/>
              </w:rPr>
            </w:pPr>
            <w:r w:rsidRPr="00A3130C">
              <w:rPr>
                <w:rFonts w:eastAsia="Times"/>
              </w:rPr>
              <w:t>27,306</w:t>
            </w:r>
          </w:p>
        </w:tc>
      </w:tr>
      <w:tr w:rsidR="00F962BE" w:rsidRPr="00A3130C" w14:paraId="5D6CF73F"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5469A175" w14:textId="7558A9A4" w:rsidR="00F962BE" w:rsidRPr="00A3130C" w:rsidRDefault="00F962BE">
            <w:pPr>
              <w:pStyle w:val="ARTabletext"/>
              <w:rPr>
                <w:rFonts w:eastAsia="Times"/>
              </w:rPr>
            </w:pPr>
            <w:r w:rsidRPr="00A3130C">
              <w:rPr>
                <w:rFonts w:eastAsia="Times"/>
              </w:rPr>
              <w:t>I</w:t>
            </w:r>
            <w:r w:rsidR="00907D6E">
              <w:rPr>
                <w:rFonts w:eastAsia="Times"/>
              </w:rPr>
              <w:t>’</w:t>
            </w:r>
            <w:r w:rsidRPr="00A3130C">
              <w:rPr>
                <w:rFonts w:eastAsia="Times"/>
              </w:rPr>
              <w:t>ve Got Your 6 Foundation Ltd</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7363F9A4" w14:textId="77777777" w:rsidR="00F962BE" w:rsidRPr="00A3130C" w:rsidRDefault="00F962BE">
            <w:pPr>
              <w:pStyle w:val="ARTabletext"/>
              <w:jc w:val="right"/>
              <w:rPr>
                <w:rFonts w:eastAsia="Times"/>
              </w:rPr>
            </w:pPr>
            <w:r w:rsidRPr="00A3130C">
              <w:rPr>
                <w:rFonts w:eastAsia="Times"/>
              </w:rPr>
              <w:t>149,902</w:t>
            </w:r>
          </w:p>
        </w:tc>
      </w:tr>
      <w:tr w:rsidR="00F962BE" w:rsidRPr="00A3130C" w14:paraId="5F87C1F3"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385610AB" w14:textId="77777777" w:rsidR="00F962BE" w:rsidRPr="00A3130C" w:rsidRDefault="00F962BE">
            <w:pPr>
              <w:pStyle w:val="ARTabletext"/>
              <w:rPr>
                <w:rFonts w:eastAsia="Times"/>
              </w:rPr>
            </w:pPr>
            <w:r w:rsidRPr="00A3130C">
              <w:rPr>
                <w:rFonts w:eastAsia="Times"/>
              </w:rPr>
              <w:t>Inverleigh RSL Sub-Branch</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58CA2F5C" w14:textId="77777777" w:rsidR="00F962BE" w:rsidRPr="00A3130C" w:rsidRDefault="00F962BE">
            <w:pPr>
              <w:pStyle w:val="ARTabletext"/>
              <w:jc w:val="right"/>
              <w:rPr>
                <w:rFonts w:eastAsia="Times"/>
              </w:rPr>
            </w:pPr>
            <w:r w:rsidRPr="00A3130C">
              <w:rPr>
                <w:rFonts w:eastAsia="Times"/>
              </w:rPr>
              <w:t>46,000</w:t>
            </w:r>
          </w:p>
        </w:tc>
      </w:tr>
      <w:tr w:rsidR="00F962BE" w:rsidRPr="00A3130C" w14:paraId="19F2029E"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762865D5" w14:textId="77777777" w:rsidR="00F962BE" w:rsidRPr="00A3130C" w:rsidRDefault="00F962BE">
            <w:pPr>
              <w:pStyle w:val="ARTabletext"/>
              <w:rPr>
                <w:rFonts w:eastAsia="Times"/>
              </w:rPr>
            </w:pPr>
            <w:r w:rsidRPr="00A3130C">
              <w:rPr>
                <w:rFonts w:eastAsia="Times"/>
              </w:rPr>
              <w:t>Kingston, Friends of the Avenue Inc</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06D7A56D" w14:textId="77777777" w:rsidR="00F962BE" w:rsidRPr="00A3130C" w:rsidRDefault="00F962BE">
            <w:pPr>
              <w:pStyle w:val="ARTabletext"/>
              <w:jc w:val="right"/>
              <w:rPr>
                <w:rFonts w:eastAsia="Times"/>
              </w:rPr>
            </w:pPr>
            <w:r w:rsidRPr="00A3130C">
              <w:rPr>
                <w:rFonts w:eastAsia="Times"/>
              </w:rPr>
              <w:t>30,000</w:t>
            </w:r>
          </w:p>
        </w:tc>
      </w:tr>
      <w:tr w:rsidR="00F962BE" w:rsidRPr="00A3130C" w14:paraId="5CEAAD29"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745B2DD4" w14:textId="77777777" w:rsidR="00F962BE" w:rsidRPr="00A3130C" w:rsidRDefault="00F962BE">
            <w:pPr>
              <w:pStyle w:val="ARTabletext"/>
              <w:rPr>
                <w:rFonts w:eastAsia="Times"/>
              </w:rPr>
            </w:pPr>
            <w:r w:rsidRPr="00A3130C">
              <w:rPr>
                <w:rFonts w:eastAsia="Times"/>
              </w:rPr>
              <w:t>Lara RSL</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68FA1453" w14:textId="77777777" w:rsidR="00F962BE" w:rsidRPr="00A3130C" w:rsidRDefault="00F962BE">
            <w:pPr>
              <w:pStyle w:val="ARTabletext"/>
              <w:jc w:val="right"/>
              <w:rPr>
                <w:rFonts w:eastAsia="Times"/>
              </w:rPr>
            </w:pPr>
            <w:r w:rsidRPr="00A3130C">
              <w:rPr>
                <w:rFonts w:eastAsia="Times"/>
              </w:rPr>
              <w:t>4,000</w:t>
            </w:r>
          </w:p>
        </w:tc>
      </w:tr>
      <w:tr w:rsidR="00F962BE" w:rsidRPr="00A3130C" w14:paraId="320CC5EA"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3201E526" w14:textId="77777777" w:rsidR="00F962BE" w:rsidRPr="00A3130C" w:rsidRDefault="00F962BE">
            <w:pPr>
              <w:pStyle w:val="ARTabletext"/>
              <w:rPr>
                <w:rFonts w:eastAsia="Times"/>
              </w:rPr>
            </w:pPr>
            <w:r w:rsidRPr="00A3130C">
              <w:rPr>
                <w:rFonts w:eastAsia="Times"/>
              </w:rPr>
              <w:t>Lilydale RSL Sub-Branch</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0DC0A1D3" w14:textId="77777777" w:rsidR="00F962BE" w:rsidRPr="00A3130C" w:rsidRDefault="00F962BE">
            <w:pPr>
              <w:pStyle w:val="ARTabletext"/>
              <w:jc w:val="right"/>
              <w:rPr>
                <w:rFonts w:eastAsia="Times"/>
              </w:rPr>
            </w:pPr>
            <w:r w:rsidRPr="00A3130C">
              <w:rPr>
                <w:rFonts w:eastAsia="Times"/>
              </w:rPr>
              <w:t>45,833</w:t>
            </w:r>
          </w:p>
        </w:tc>
      </w:tr>
      <w:tr w:rsidR="00F962BE" w:rsidRPr="00A3130C" w14:paraId="00C7864F"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2F116692" w14:textId="77777777" w:rsidR="00F962BE" w:rsidRPr="00A3130C" w:rsidRDefault="00F962BE">
            <w:pPr>
              <w:pStyle w:val="ARTabletext"/>
              <w:rPr>
                <w:rFonts w:eastAsia="Times"/>
              </w:rPr>
            </w:pPr>
            <w:r w:rsidRPr="00A3130C">
              <w:rPr>
                <w:rFonts w:eastAsia="Times"/>
              </w:rPr>
              <w:t>Macedon Ranges Group of Bendigo Legacy Inc.</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4998AA3B" w14:textId="77777777" w:rsidR="00F962BE" w:rsidRPr="00A3130C" w:rsidRDefault="00F962BE">
            <w:pPr>
              <w:pStyle w:val="ARTabletext"/>
              <w:jc w:val="right"/>
              <w:rPr>
                <w:rFonts w:eastAsia="Times"/>
              </w:rPr>
            </w:pPr>
            <w:r w:rsidRPr="00A3130C">
              <w:rPr>
                <w:rFonts w:eastAsia="Times"/>
              </w:rPr>
              <w:t>7,470</w:t>
            </w:r>
          </w:p>
        </w:tc>
      </w:tr>
      <w:tr w:rsidR="00F962BE" w:rsidRPr="00A3130C" w14:paraId="3C8ACAF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01783542" w14:textId="77777777" w:rsidR="00F962BE" w:rsidRPr="00A3130C" w:rsidRDefault="00F962BE">
            <w:pPr>
              <w:pStyle w:val="ARTabletext"/>
              <w:rPr>
                <w:rFonts w:eastAsia="Times"/>
              </w:rPr>
            </w:pPr>
            <w:r w:rsidRPr="00A3130C">
              <w:rPr>
                <w:rFonts w:eastAsia="Times"/>
              </w:rPr>
              <w:t>Maldon RSL Sub-Branch</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7B9FCD10" w14:textId="77777777" w:rsidR="00F962BE" w:rsidRPr="00A3130C" w:rsidRDefault="00F962BE">
            <w:pPr>
              <w:pStyle w:val="ARTabletext"/>
              <w:jc w:val="right"/>
              <w:rPr>
                <w:rFonts w:eastAsia="Times"/>
              </w:rPr>
            </w:pPr>
            <w:r w:rsidRPr="00A3130C">
              <w:rPr>
                <w:rFonts w:eastAsia="Times"/>
              </w:rPr>
              <w:t>27,937</w:t>
            </w:r>
          </w:p>
        </w:tc>
      </w:tr>
      <w:tr w:rsidR="00F962BE" w:rsidRPr="00A3130C" w14:paraId="38258AD7"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339969D5" w14:textId="77777777" w:rsidR="00F962BE" w:rsidRPr="00A3130C" w:rsidRDefault="00F962BE">
            <w:pPr>
              <w:pStyle w:val="ARTabletext"/>
              <w:rPr>
                <w:rFonts w:eastAsia="Times"/>
              </w:rPr>
            </w:pPr>
            <w:r w:rsidRPr="00A3130C">
              <w:rPr>
                <w:rFonts w:eastAsia="Times"/>
              </w:rPr>
              <w:t>Melbourne Legacy</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1F7DCCC6" w14:textId="77777777" w:rsidR="00F962BE" w:rsidRPr="00A3130C" w:rsidRDefault="00F962BE">
            <w:pPr>
              <w:pStyle w:val="ARTabletext"/>
              <w:jc w:val="right"/>
              <w:rPr>
                <w:rFonts w:eastAsia="Times"/>
              </w:rPr>
            </w:pPr>
            <w:r w:rsidRPr="00A3130C">
              <w:rPr>
                <w:rFonts w:eastAsia="Times"/>
              </w:rPr>
              <w:t>180,000</w:t>
            </w:r>
          </w:p>
        </w:tc>
      </w:tr>
      <w:tr w:rsidR="00F962BE" w:rsidRPr="00A3130C" w14:paraId="75726E66"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134C3BD1" w14:textId="77777777" w:rsidR="00F962BE" w:rsidRPr="00A3130C" w:rsidRDefault="00F962BE">
            <w:pPr>
              <w:pStyle w:val="ARTabletext"/>
              <w:rPr>
                <w:rFonts w:eastAsia="Times"/>
              </w:rPr>
            </w:pPr>
            <w:r w:rsidRPr="00A3130C">
              <w:rPr>
                <w:rFonts w:eastAsia="Times"/>
              </w:rPr>
              <w:t>Montmorency Eltham RSL Sub-Branch</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6E9F6F01" w14:textId="77777777" w:rsidR="00F962BE" w:rsidRPr="00A3130C" w:rsidRDefault="00F962BE">
            <w:pPr>
              <w:pStyle w:val="ARTabletext"/>
              <w:jc w:val="right"/>
              <w:rPr>
                <w:rFonts w:eastAsia="Times"/>
              </w:rPr>
            </w:pPr>
            <w:r w:rsidRPr="00A3130C">
              <w:rPr>
                <w:rFonts w:eastAsia="Times"/>
              </w:rPr>
              <w:t>10,000</w:t>
            </w:r>
          </w:p>
        </w:tc>
      </w:tr>
      <w:tr w:rsidR="00F962BE" w:rsidRPr="00A3130C" w14:paraId="000AE8E0"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420234C4" w14:textId="77777777" w:rsidR="00F962BE" w:rsidRPr="00A3130C" w:rsidRDefault="00F962BE">
            <w:pPr>
              <w:pStyle w:val="ARTabletext"/>
              <w:rPr>
                <w:rFonts w:eastAsia="Times"/>
              </w:rPr>
            </w:pPr>
            <w:r w:rsidRPr="00A3130C">
              <w:rPr>
                <w:rFonts w:eastAsia="Times"/>
              </w:rPr>
              <w:t>Mount Alexander Shire Council</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69AF2AD4" w14:textId="77777777" w:rsidR="00F962BE" w:rsidRPr="00A3130C" w:rsidRDefault="00F962BE">
            <w:pPr>
              <w:pStyle w:val="ARTabletext"/>
              <w:jc w:val="right"/>
              <w:rPr>
                <w:rFonts w:eastAsia="Times"/>
              </w:rPr>
            </w:pPr>
            <w:r w:rsidRPr="00A3130C">
              <w:rPr>
                <w:rFonts w:eastAsia="Times"/>
              </w:rPr>
              <w:t>10,000</w:t>
            </w:r>
          </w:p>
        </w:tc>
      </w:tr>
      <w:tr w:rsidR="00F962BE" w:rsidRPr="00A3130C" w14:paraId="4F754B36"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3D949565" w14:textId="77777777" w:rsidR="00F962BE" w:rsidRPr="00A3130C" w:rsidRDefault="00F962BE">
            <w:pPr>
              <w:pStyle w:val="ARTabletext"/>
              <w:rPr>
                <w:rFonts w:eastAsia="Times"/>
              </w:rPr>
            </w:pPr>
            <w:r w:rsidRPr="00A3130C">
              <w:rPr>
                <w:rFonts w:eastAsia="Times"/>
              </w:rPr>
              <w:t>Mt Macedon ANZAC Day Dawn Service</w:t>
            </w:r>
            <w:r>
              <w:rPr>
                <w:rFonts w:eastAsia="Times"/>
              </w:rPr>
              <w:t> </w:t>
            </w:r>
            <w:r w:rsidRPr="00A3130C">
              <w:rPr>
                <w:rFonts w:eastAsia="Times"/>
              </w:rPr>
              <w:t>Incorporated</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08340A21" w14:textId="77777777" w:rsidR="00F962BE" w:rsidRPr="00A3130C" w:rsidRDefault="00F962BE">
            <w:pPr>
              <w:pStyle w:val="ARTabletext"/>
              <w:jc w:val="right"/>
              <w:rPr>
                <w:rFonts w:eastAsia="Times"/>
              </w:rPr>
            </w:pPr>
            <w:r w:rsidRPr="00A3130C">
              <w:rPr>
                <w:rFonts w:eastAsia="Times"/>
              </w:rPr>
              <w:t>29,726</w:t>
            </w:r>
          </w:p>
        </w:tc>
      </w:tr>
      <w:tr w:rsidR="00F962BE" w:rsidRPr="00A3130C" w14:paraId="23494311"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61D32B6F" w14:textId="77777777" w:rsidR="00F962BE" w:rsidRPr="00A3130C" w:rsidRDefault="00F962BE">
            <w:pPr>
              <w:pStyle w:val="ARTabletext"/>
              <w:rPr>
                <w:rFonts w:eastAsia="Times"/>
              </w:rPr>
            </w:pPr>
            <w:r w:rsidRPr="00A3130C">
              <w:rPr>
                <w:rFonts w:eastAsia="Times"/>
              </w:rPr>
              <w:t>Mt Macedon Memorial Cross Council for Commemorative Services Inc</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7D3632D6" w14:textId="77777777" w:rsidR="00F962BE" w:rsidRPr="00A3130C" w:rsidRDefault="00F962BE">
            <w:pPr>
              <w:pStyle w:val="ARTabletext"/>
              <w:jc w:val="right"/>
              <w:rPr>
                <w:rFonts w:eastAsia="Times"/>
              </w:rPr>
            </w:pPr>
            <w:r w:rsidRPr="00A3130C">
              <w:rPr>
                <w:rFonts w:eastAsia="Times"/>
              </w:rPr>
              <w:t>30,000</w:t>
            </w:r>
          </w:p>
        </w:tc>
      </w:tr>
      <w:tr w:rsidR="00F962BE" w:rsidRPr="00A3130C" w14:paraId="13C50E60"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4C9E9873" w14:textId="77777777" w:rsidR="00F962BE" w:rsidRPr="00A3130C" w:rsidRDefault="00F962BE">
            <w:pPr>
              <w:pStyle w:val="ARTabletext"/>
              <w:rPr>
                <w:rFonts w:eastAsia="Times"/>
              </w:rPr>
            </w:pPr>
            <w:r w:rsidRPr="00A3130C">
              <w:rPr>
                <w:rFonts w:eastAsia="Times"/>
              </w:rPr>
              <w:t>Museum of Chinese Australian History</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7B4B533C" w14:textId="77777777" w:rsidR="00F962BE" w:rsidRPr="00A3130C" w:rsidRDefault="00F962BE">
            <w:pPr>
              <w:pStyle w:val="ARTabletext"/>
              <w:jc w:val="right"/>
              <w:rPr>
                <w:rFonts w:eastAsia="Times"/>
              </w:rPr>
            </w:pPr>
            <w:r w:rsidRPr="00A3130C">
              <w:rPr>
                <w:rFonts w:eastAsia="Times"/>
              </w:rPr>
              <w:t>22,552</w:t>
            </w:r>
          </w:p>
        </w:tc>
      </w:tr>
      <w:tr w:rsidR="00F962BE" w:rsidRPr="00A3130C" w14:paraId="472EC141"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09C529CF" w14:textId="77777777" w:rsidR="00F962BE" w:rsidRPr="00A3130C" w:rsidRDefault="00F962BE">
            <w:pPr>
              <w:pStyle w:val="ARTabletext"/>
              <w:rPr>
                <w:rFonts w:eastAsia="Times"/>
              </w:rPr>
            </w:pPr>
            <w:r w:rsidRPr="00A3130C">
              <w:rPr>
                <w:rFonts w:eastAsia="Times"/>
              </w:rPr>
              <w:t>Music and The Brain Foundation Ltd</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6BE18EC3" w14:textId="77777777" w:rsidR="00F962BE" w:rsidRPr="00A3130C" w:rsidRDefault="00F962BE">
            <w:pPr>
              <w:pStyle w:val="ARTabletext"/>
              <w:jc w:val="right"/>
              <w:rPr>
                <w:rFonts w:eastAsia="Times"/>
              </w:rPr>
            </w:pPr>
            <w:r w:rsidRPr="00A3130C">
              <w:rPr>
                <w:rFonts w:eastAsia="Times"/>
              </w:rPr>
              <w:t>19,950</w:t>
            </w:r>
          </w:p>
        </w:tc>
      </w:tr>
      <w:tr w:rsidR="00F962BE" w:rsidRPr="00A3130C" w14:paraId="0555A367"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67B8C289" w14:textId="77777777" w:rsidR="00F962BE" w:rsidRPr="00A3130C" w:rsidRDefault="00F962BE">
            <w:pPr>
              <w:pStyle w:val="ARTabletext"/>
              <w:rPr>
                <w:rFonts w:eastAsia="Times"/>
              </w:rPr>
            </w:pPr>
            <w:r w:rsidRPr="00A3130C">
              <w:rPr>
                <w:rFonts w:eastAsia="Times"/>
              </w:rPr>
              <w:t>Myrtleford RSL Sub-Branch Inc</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360BFF80" w14:textId="77777777" w:rsidR="00F962BE" w:rsidRPr="00A3130C" w:rsidRDefault="00F962BE">
            <w:pPr>
              <w:pStyle w:val="ARTabletext"/>
              <w:jc w:val="right"/>
              <w:rPr>
                <w:rFonts w:eastAsia="Times"/>
              </w:rPr>
            </w:pPr>
            <w:r w:rsidRPr="00A3130C">
              <w:rPr>
                <w:rFonts w:eastAsia="Times"/>
              </w:rPr>
              <w:t>9,950</w:t>
            </w:r>
          </w:p>
        </w:tc>
      </w:tr>
      <w:tr w:rsidR="00F962BE" w:rsidRPr="00A3130C" w14:paraId="4DD156CE"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416A47FC" w14:textId="77777777" w:rsidR="00F962BE" w:rsidRPr="00A3130C" w:rsidRDefault="00F962BE">
            <w:pPr>
              <w:pStyle w:val="ARTabletext"/>
              <w:rPr>
                <w:rFonts w:eastAsia="Times"/>
              </w:rPr>
            </w:pPr>
            <w:r w:rsidRPr="00A3130C">
              <w:rPr>
                <w:rFonts w:eastAsia="Times"/>
              </w:rPr>
              <w:t>Mysia Recreation Reserve Committee of</w:t>
            </w:r>
            <w:r>
              <w:rPr>
                <w:rFonts w:eastAsia="Times"/>
              </w:rPr>
              <w:t> </w:t>
            </w:r>
            <w:r w:rsidRPr="00A3130C">
              <w:rPr>
                <w:rFonts w:eastAsia="Times"/>
              </w:rPr>
              <w:t>Management</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255876C6" w14:textId="77777777" w:rsidR="00F962BE" w:rsidRPr="00A3130C" w:rsidRDefault="00F962BE">
            <w:pPr>
              <w:pStyle w:val="ARTabletext"/>
              <w:jc w:val="right"/>
              <w:rPr>
                <w:rFonts w:eastAsia="Times"/>
              </w:rPr>
            </w:pPr>
            <w:r w:rsidRPr="00A3130C">
              <w:rPr>
                <w:rFonts w:eastAsia="Times"/>
              </w:rPr>
              <w:t>3,287</w:t>
            </w:r>
          </w:p>
        </w:tc>
      </w:tr>
      <w:tr w:rsidR="00F962BE" w:rsidRPr="00A3130C" w14:paraId="2E02E35F"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72FC049C" w14:textId="77777777" w:rsidR="00F962BE" w:rsidRPr="00A3130C" w:rsidRDefault="00F962BE">
            <w:pPr>
              <w:pStyle w:val="ARTabletext"/>
              <w:rPr>
                <w:rFonts w:eastAsia="Times"/>
              </w:rPr>
            </w:pPr>
            <w:r w:rsidRPr="00A3130C">
              <w:rPr>
                <w:rFonts w:eastAsia="Times"/>
              </w:rPr>
              <w:t>Oakleigh Carnegie RSL Sub-Branch</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4949C477" w14:textId="77777777" w:rsidR="00F962BE" w:rsidRPr="00A3130C" w:rsidRDefault="00F962BE">
            <w:pPr>
              <w:pStyle w:val="ARTabletext"/>
              <w:jc w:val="right"/>
              <w:rPr>
                <w:rFonts w:eastAsia="Times"/>
              </w:rPr>
            </w:pPr>
            <w:r w:rsidRPr="00A3130C">
              <w:rPr>
                <w:rFonts w:eastAsia="Times"/>
              </w:rPr>
              <w:t>10,203</w:t>
            </w:r>
          </w:p>
        </w:tc>
      </w:tr>
      <w:tr w:rsidR="00F962BE" w:rsidRPr="00A3130C" w14:paraId="0AA8FBC4"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3FD97AB2" w14:textId="77777777" w:rsidR="00F962BE" w:rsidRPr="00A3130C" w:rsidRDefault="00F962BE">
            <w:pPr>
              <w:pStyle w:val="ARTabletext"/>
              <w:rPr>
                <w:rFonts w:eastAsia="Times"/>
              </w:rPr>
            </w:pPr>
            <w:r w:rsidRPr="00A3130C">
              <w:rPr>
                <w:rFonts w:eastAsia="Times"/>
              </w:rPr>
              <w:t>Path of the Horse Ltd</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1544C792" w14:textId="77777777" w:rsidR="00F962BE" w:rsidRPr="00A3130C" w:rsidRDefault="00F962BE">
            <w:pPr>
              <w:pStyle w:val="ARTabletext"/>
              <w:jc w:val="right"/>
              <w:rPr>
                <w:rFonts w:eastAsia="Times"/>
              </w:rPr>
            </w:pPr>
            <w:r w:rsidRPr="00A3130C">
              <w:rPr>
                <w:rFonts w:eastAsia="Times"/>
              </w:rPr>
              <w:t>93,166</w:t>
            </w:r>
          </w:p>
        </w:tc>
      </w:tr>
      <w:tr w:rsidR="00F962BE" w:rsidRPr="00A3130C" w14:paraId="3F46D59F"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0FCF4BDF" w14:textId="77777777" w:rsidR="00F962BE" w:rsidRPr="00A3130C" w:rsidRDefault="00F962BE">
            <w:pPr>
              <w:pStyle w:val="ARTabletext"/>
              <w:rPr>
                <w:rFonts w:eastAsia="Times"/>
              </w:rPr>
            </w:pPr>
            <w:r w:rsidRPr="00A3130C">
              <w:rPr>
                <w:rFonts w:eastAsia="Times"/>
              </w:rPr>
              <w:t xml:space="preserve">Paynesville RSL </w:t>
            </w:r>
            <w:proofErr w:type="gramStart"/>
            <w:r w:rsidRPr="00A3130C">
              <w:rPr>
                <w:rFonts w:eastAsia="Times"/>
              </w:rPr>
              <w:t>Sub Branch</w:t>
            </w:r>
            <w:proofErr w:type="gramEnd"/>
            <w:r w:rsidRPr="00A3130C">
              <w:rPr>
                <w:rFonts w:eastAsia="Times"/>
              </w:rPr>
              <w:t xml:space="preserve"> Inc.</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1E9E704C" w14:textId="77777777" w:rsidR="00F962BE" w:rsidRPr="00A3130C" w:rsidRDefault="00F962BE">
            <w:pPr>
              <w:pStyle w:val="ARTabletext"/>
              <w:jc w:val="right"/>
              <w:rPr>
                <w:rFonts w:eastAsia="Times"/>
              </w:rPr>
            </w:pPr>
            <w:r w:rsidRPr="00A3130C">
              <w:rPr>
                <w:rFonts w:eastAsia="Times"/>
              </w:rPr>
              <w:t>5,910</w:t>
            </w:r>
          </w:p>
        </w:tc>
      </w:tr>
      <w:tr w:rsidR="00F962BE" w:rsidRPr="00A3130C" w14:paraId="7D0F165D"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1B7E0F94" w14:textId="77777777" w:rsidR="00F962BE" w:rsidRPr="00A3130C" w:rsidRDefault="00F962BE">
            <w:pPr>
              <w:pStyle w:val="ARTabletext"/>
              <w:rPr>
                <w:rFonts w:eastAsia="Times"/>
              </w:rPr>
            </w:pPr>
            <w:r w:rsidRPr="00A3130C">
              <w:rPr>
                <w:rFonts w:eastAsia="Times"/>
              </w:rPr>
              <w:t>Returned &amp; Services League of Australia Victorian Branch</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4E2859EF" w14:textId="77777777" w:rsidR="00F962BE" w:rsidRPr="00A3130C" w:rsidRDefault="00F962BE">
            <w:pPr>
              <w:pStyle w:val="ARTabletext"/>
              <w:jc w:val="right"/>
              <w:rPr>
                <w:rFonts w:eastAsia="Times"/>
              </w:rPr>
            </w:pPr>
            <w:r w:rsidRPr="00A3130C">
              <w:rPr>
                <w:rFonts w:eastAsia="Times"/>
              </w:rPr>
              <w:t>440,000</w:t>
            </w:r>
          </w:p>
        </w:tc>
      </w:tr>
      <w:tr w:rsidR="00F962BE" w:rsidRPr="00A3130C" w14:paraId="17A8D73B"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46D9E73E" w14:textId="77777777" w:rsidR="00F962BE" w:rsidRPr="00A3130C" w:rsidRDefault="00F962BE">
            <w:pPr>
              <w:pStyle w:val="ARTabletext"/>
              <w:rPr>
                <w:rFonts w:eastAsia="Times"/>
              </w:rPr>
            </w:pPr>
            <w:r w:rsidRPr="00A3130C">
              <w:rPr>
                <w:rFonts w:eastAsia="Times"/>
              </w:rPr>
              <w:t>Rochester RSL Sub-Branch</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3089204C" w14:textId="77777777" w:rsidR="00F962BE" w:rsidRPr="00A3130C" w:rsidRDefault="00F962BE">
            <w:pPr>
              <w:pStyle w:val="ARTabletext"/>
              <w:jc w:val="right"/>
              <w:rPr>
                <w:rFonts w:eastAsia="Times"/>
              </w:rPr>
            </w:pPr>
            <w:r w:rsidRPr="00A3130C">
              <w:rPr>
                <w:rFonts w:eastAsia="Times"/>
              </w:rPr>
              <w:t>5,894</w:t>
            </w:r>
          </w:p>
        </w:tc>
      </w:tr>
      <w:tr w:rsidR="00F962BE" w:rsidRPr="00A3130C" w14:paraId="11866605"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4355C12F" w14:textId="77777777" w:rsidR="00F962BE" w:rsidRPr="00A3130C" w:rsidRDefault="00F962BE">
            <w:pPr>
              <w:pStyle w:val="ARTabletext"/>
              <w:rPr>
                <w:rFonts w:eastAsia="Times"/>
              </w:rPr>
            </w:pPr>
            <w:r w:rsidRPr="00A3130C">
              <w:rPr>
                <w:rFonts w:eastAsia="Times"/>
              </w:rPr>
              <w:t>Rotary Club of Beaufort</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4BE0FE3E" w14:textId="77777777" w:rsidR="00F962BE" w:rsidRPr="00A3130C" w:rsidRDefault="00F962BE">
            <w:pPr>
              <w:pStyle w:val="ARTabletext"/>
              <w:jc w:val="right"/>
              <w:rPr>
                <w:rFonts w:eastAsia="Times"/>
              </w:rPr>
            </w:pPr>
            <w:r w:rsidRPr="00A3130C">
              <w:rPr>
                <w:rFonts w:eastAsia="Times"/>
              </w:rPr>
              <w:t>1,800</w:t>
            </w:r>
          </w:p>
        </w:tc>
      </w:tr>
      <w:tr w:rsidR="00F962BE" w:rsidRPr="00A3130C" w14:paraId="7842CBBA"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6C048AF5" w14:textId="77777777" w:rsidR="00F962BE" w:rsidRPr="00A3130C" w:rsidRDefault="00F962BE">
            <w:pPr>
              <w:pStyle w:val="ARTabletext"/>
              <w:rPr>
                <w:rFonts w:eastAsia="Times"/>
              </w:rPr>
            </w:pPr>
            <w:r w:rsidRPr="00A3130C">
              <w:rPr>
                <w:rFonts w:eastAsia="Times"/>
              </w:rPr>
              <w:t>Rotary Club of Boronia</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0553BB3D" w14:textId="77777777" w:rsidR="00F962BE" w:rsidRPr="00A3130C" w:rsidRDefault="00F962BE">
            <w:pPr>
              <w:pStyle w:val="ARTabletext"/>
              <w:jc w:val="right"/>
              <w:rPr>
                <w:rFonts w:eastAsia="Times"/>
              </w:rPr>
            </w:pPr>
            <w:r w:rsidRPr="00A3130C">
              <w:rPr>
                <w:rFonts w:eastAsia="Times"/>
              </w:rPr>
              <w:t>3,024</w:t>
            </w:r>
          </w:p>
        </w:tc>
      </w:tr>
      <w:tr w:rsidR="00F962BE" w:rsidRPr="00A3130C" w14:paraId="174E8251"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358EA418" w14:textId="77777777" w:rsidR="00F962BE" w:rsidRPr="00A3130C" w:rsidRDefault="00F962BE">
            <w:pPr>
              <w:pStyle w:val="ARTabletext"/>
              <w:rPr>
                <w:rFonts w:eastAsia="Times"/>
              </w:rPr>
            </w:pPr>
            <w:r w:rsidRPr="00A3130C">
              <w:rPr>
                <w:rFonts w:eastAsia="Times"/>
              </w:rPr>
              <w:t>Rotary Club of Manningham City Inc</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3C39FA92" w14:textId="77777777" w:rsidR="00F962BE" w:rsidRPr="00A3130C" w:rsidRDefault="00F962BE">
            <w:pPr>
              <w:pStyle w:val="ARTabletext"/>
              <w:jc w:val="right"/>
              <w:rPr>
                <w:rFonts w:eastAsia="Times"/>
              </w:rPr>
            </w:pPr>
            <w:r w:rsidRPr="00A3130C">
              <w:rPr>
                <w:rFonts w:eastAsia="Times"/>
              </w:rPr>
              <w:t>6,883</w:t>
            </w:r>
          </w:p>
        </w:tc>
      </w:tr>
      <w:tr w:rsidR="00F962BE" w:rsidRPr="00A3130C" w14:paraId="01309769"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39EA17A5" w14:textId="77777777" w:rsidR="00F962BE" w:rsidRPr="00A3130C" w:rsidRDefault="00F962BE">
            <w:pPr>
              <w:pStyle w:val="ARTabletext"/>
              <w:rPr>
                <w:rFonts w:eastAsia="Times"/>
              </w:rPr>
            </w:pPr>
            <w:r w:rsidRPr="00A3130C">
              <w:rPr>
                <w:rFonts w:eastAsia="Times"/>
              </w:rPr>
              <w:t>Save our services Australia</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6499F3F3" w14:textId="77777777" w:rsidR="00F962BE" w:rsidRPr="00A3130C" w:rsidRDefault="00F962BE">
            <w:pPr>
              <w:pStyle w:val="ARTabletext"/>
              <w:jc w:val="right"/>
              <w:rPr>
                <w:rFonts w:eastAsia="Times"/>
              </w:rPr>
            </w:pPr>
            <w:r w:rsidRPr="00A3130C">
              <w:rPr>
                <w:rFonts w:eastAsia="Times"/>
              </w:rPr>
              <w:t>46,668</w:t>
            </w:r>
          </w:p>
        </w:tc>
      </w:tr>
      <w:tr w:rsidR="00F962BE" w:rsidRPr="00A3130C" w14:paraId="776CCFE7"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402D3A5C" w14:textId="77777777" w:rsidR="00F962BE" w:rsidRPr="00A3130C" w:rsidRDefault="00F962BE">
            <w:pPr>
              <w:pStyle w:val="ARTabletext"/>
              <w:rPr>
                <w:rFonts w:eastAsia="Times"/>
              </w:rPr>
            </w:pPr>
            <w:r w:rsidRPr="00A3130C">
              <w:rPr>
                <w:rFonts w:eastAsia="Times"/>
              </w:rPr>
              <w:t>Shrine of Remembrance</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2224C380" w14:textId="77777777" w:rsidR="00F962BE" w:rsidRPr="00A3130C" w:rsidRDefault="00F962BE">
            <w:pPr>
              <w:pStyle w:val="ARTabletext"/>
              <w:jc w:val="right"/>
              <w:rPr>
                <w:rFonts w:eastAsia="Times"/>
              </w:rPr>
            </w:pPr>
            <w:r w:rsidRPr="00A3130C">
              <w:rPr>
                <w:rFonts w:eastAsia="Times"/>
              </w:rPr>
              <w:t>689,270</w:t>
            </w:r>
          </w:p>
        </w:tc>
      </w:tr>
      <w:tr w:rsidR="00F962BE" w:rsidRPr="00A3130C" w14:paraId="3B16068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2470B8EC" w14:textId="77777777" w:rsidR="00F962BE" w:rsidRPr="00A3130C" w:rsidRDefault="00F962BE">
            <w:pPr>
              <w:pStyle w:val="ARTabletext"/>
              <w:rPr>
                <w:rFonts w:eastAsia="Times"/>
              </w:rPr>
            </w:pPr>
            <w:r w:rsidRPr="00A3130C">
              <w:rPr>
                <w:rFonts w:eastAsia="Times"/>
              </w:rPr>
              <w:t>Soldier On</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1372EDB5" w14:textId="77777777" w:rsidR="00F962BE" w:rsidRPr="00A3130C" w:rsidRDefault="00F962BE">
            <w:pPr>
              <w:pStyle w:val="ARTabletext"/>
              <w:jc w:val="right"/>
              <w:rPr>
                <w:rFonts w:eastAsia="Times"/>
              </w:rPr>
            </w:pPr>
            <w:r w:rsidRPr="00A3130C">
              <w:rPr>
                <w:rFonts w:eastAsia="Times"/>
              </w:rPr>
              <w:t>42,350</w:t>
            </w:r>
          </w:p>
        </w:tc>
      </w:tr>
      <w:tr w:rsidR="00F962BE" w:rsidRPr="00A3130C" w14:paraId="1C6BE7ED"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570557B6" w14:textId="77777777" w:rsidR="00F962BE" w:rsidRPr="00A3130C" w:rsidRDefault="00F962BE">
            <w:pPr>
              <w:pStyle w:val="ARTabletext"/>
              <w:rPr>
                <w:rFonts w:eastAsia="Times"/>
              </w:rPr>
            </w:pPr>
            <w:r w:rsidRPr="00A3130C">
              <w:rPr>
                <w:rFonts w:eastAsia="Times"/>
              </w:rPr>
              <w:t>Sorrento Portsea RSL Sub-Branch Inc</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0302C5D3" w14:textId="77777777" w:rsidR="00F962BE" w:rsidRPr="00A3130C" w:rsidRDefault="00F962BE">
            <w:pPr>
              <w:pStyle w:val="ARTabletext"/>
              <w:jc w:val="right"/>
              <w:rPr>
                <w:rFonts w:eastAsia="Times"/>
              </w:rPr>
            </w:pPr>
            <w:r w:rsidRPr="00A3130C">
              <w:rPr>
                <w:rFonts w:eastAsia="Times"/>
              </w:rPr>
              <w:t>10,000</w:t>
            </w:r>
          </w:p>
        </w:tc>
      </w:tr>
      <w:tr w:rsidR="00F962BE" w:rsidRPr="00A3130C" w14:paraId="4473F885"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72AD3262" w14:textId="77777777" w:rsidR="00F962BE" w:rsidRPr="00A3130C" w:rsidRDefault="00F962BE">
            <w:pPr>
              <w:pStyle w:val="ARTabletext"/>
              <w:rPr>
                <w:rFonts w:eastAsia="Times"/>
              </w:rPr>
            </w:pPr>
            <w:r w:rsidRPr="00A3130C">
              <w:rPr>
                <w:rFonts w:eastAsia="Times"/>
              </w:rPr>
              <w:t>The Legacy Club of Ballarat Inc</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7972CEC9" w14:textId="77777777" w:rsidR="00F962BE" w:rsidRPr="00A3130C" w:rsidRDefault="00F962BE">
            <w:pPr>
              <w:pStyle w:val="ARTabletext"/>
              <w:jc w:val="right"/>
              <w:rPr>
                <w:rFonts w:eastAsia="Times"/>
              </w:rPr>
            </w:pPr>
            <w:r w:rsidRPr="00A3130C">
              <w:rPr>
                <w:rFonts w:eastAsia="Times"/>
              </w:rPr>
              <w:t>24,900</w:t>
            </w:r>
          </w:p>
        </w:tc>
      </w:tr>
      <w:tr w:rsidR="00F962BE" w:rsidRPr="00A3130C" w14:paraId="0D64C087"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3011D7C4" w14:textId="77777777" w:rsidR="00F962BE" w:rsidRPr="00A3130C" w:rsidRDefault="00F962BE">
            <w:pPr>
              <w:pStyle w:val="ARTabletext"/>
              <w:rPr>
                <w:rFonts w:eastAsia="Times"/>
              </w:rPr>
            </w:pPr>
            <w:r w:rsidRPr="00A3130C">
              <w:rPr>
                <w:rFonts w:eastAsia="Times"/>
              </w:rPr>
              <w:t>The Scout Association of Australia Victorian Branch</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378F3EB0" w14:textId="77777777" w:rsidR="00F962BE" w:rsidRPr="00A3130C" w:rsidRDefault="00F962BE">
            <w:pPr>
              <w:pStyle w:val="ARTabletext"/>
              <w:jc w:val="right"/>
              <w:rPr>
                <w:rFonts w:eastAsia="Times"/>
              </w:rPr>
            </w:pPr>
            <w:r w:rsidRPr="00A3130C">
              <w:rPr>
                <w:rFonts w:eastAsia="Times"/>
              </w:rPr>
              <w:t>30,000</w:t>
            </w:r>
          </w:p>
        </w:tc>
      </w:tr>
      <w:tr w:rsidR="00F962BE" w:rsidRPr="00A3130C" w14:paraId="54F89497"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6D3AC5AB" w14:textId="77777777" w:rsidR="00F962BE" w:rsidRPr="00A3130C" w:rsidRDefault="00F962BE">
            <w:pPr>
              <w:pStyle w:val="ARTabletext"/>
              <w:rPr>
                <w:rFonts w:eastAsia="Times"/>
              </w:rPr>
            </w:pPr>
            <w:r w:rsidRPr="00A3130C">
              <w:rPr>
                <w:rFonts w:eastAsia="Times"/>
              </w:rPr>
              <w:t xml:space="preserve">The Working </w:t>
            </w:r>
            <w:proofErr w:type="spellStart"/>
            <w:r w:rsidRPr="00A3130C">
              <w:rPr>
                <w:rFonts w:eastAsia="Times"/>
              </w:rPr>
              <w:t>Lajiik</w:t>
            </w:r>
            <w:proofErr w:type="spellEnd"/>
            <w:r w:rsidRPr="00A3130C">
              <w:rPr>
                <w:rFonts w:eastAsia="Times"/>
              </w:rPr>
              <w:t xml:space="preserve"> for Community Association</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02BE2E08" w14:textId="77777777" w:rsidR="00F962BE" w:rsidRPr="00A3130C" w:rsidRDefault="00F962BE">
            <w:pPr>
              <w:pStyle w:val="ARTabletext"/>
              <w:jc w:val="right"/>
              <w:rPr>
                <w:rFonts w:eastAsia="Times"/>
              </w:rPr>
            </w:pPr>
            <w:r w:rsidRPr="00A3130C">
              <w:rPr>
                <w:rFonts w:eastAsia="Times"/>
              </w:rPr>
              <w:t>30,000</w:t>
            </w:r>
          </w:p>
        </w:tc>
      </w:tr>
      <w:tr w:rsidR="00F962BE" w:rsidRPr="00A3130C" w14:paraId="626CBCB9"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5F693AB9" w14:textId="77777777" w:rsidR="00F962BE" w:rsidRPr="00A3130C" w:rsidRDefault="00F962BE">
            <w:pPr>
              <w:pStyle w:val="ARTabletext"/>
              <w:rPr>
                <w:rFonts w:eastAsia="Times"/>
              </w:rPr>
            </w:pPr>
            <w:r w:rsidRPr="00A3130C">
              <w:rPr>
                <w:rFonts w:eastAsia="Times"/>
              </w:rPr>
              <w:t>This Story Australia Ltd.</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62FEC231" w14:textId="77777777" w:rsidR="00F962BE" w:rsidRPr="00A3130C" w:rsidRDefault="00F962BE">
            <w:pPr>
              <w:pStyle w:val="ARTabletext"/>
              <w:jc w:val="right"/>
              <w:rPr>
                <w:rFonts w:eastAsia="Times"/>
              </w:rPr>
            </w:pPr>
            <w:r w:rsidRPr="00A3130C">
              <w:rPr>
                <w:rFonts w:eastAsia="Times"/>
              </w:rPr>
              <w:t>29,500</w:t>
            </w:r>
          </w:p>
        </w:tc>
      </w:tr>
      <w:tr w:rsidR="00F962BE" w:rsidRPr="00A3130C" w14:paraId="40882409"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0090E6C5" w14:textId="77777777" w:rsidR="00F962BE" w:rsidRPr="00A3130C" w:rsidRDefault="00F962BE">
            <w:pPr>
              <w:pStyle w:val="ARTabletext"/>
              <w:rPr>
                <w:rFonts w:eastAsia="Times"/>
              </w:rPr>
            </w:pPr>
            <w:r w:rsidRPr="00A3130C">
              <w:rPr>
                <w:rFonts w:eastAsia="Times"/>
              </w:rPr>
              <w:t>Torquay RSL Sub-Branch</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51F1B3B6" w14:textId="77777777" w:rsidR="00F962BE" w:rsidRPr="00A3130C" w:rsidRDefault="00F962BE">
            <w:pPr>
              <w:pStyle w:val="ARTabletext"/>
              <w:jc w:val="right"/>
              <w:rPr>
                <w:rFonts w:eastAsia="Times"/>
              </w:rPr>
            </w:pPr>
            <w:r w:rsidRPr="00A3130C">
              <w:rPr>
                <w:rFonts w:eastAsia="Times"/>
              </w:rPr>
              <w:t>30,000</w:t>
            </w:r>
          </w:p>
        </w:tc>
      </w:tr>
      <w:tr w:rsidR="00F962BE" w:rsidRPr="00A3130C" w14:paraId="76A977BF"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41DB472F" w14:textId="77777777" w:rsidR="00F962BE" w:rsidRPr="00A3130C" w:rsidRDefault="00F962BE">
            <w:pPr>
              <w:pStyle w:val="ARTabletext"/>
              <w:rPr>
                <w:rFonts w:eastAsia="Times"/>
              </w:rPr>
            </w:pPr>
            <w:r w:rsidRPr="00A3130C">
              <w:rPr>
                <w:rFonts w:eastAsia="Times"/>
              </w:rPr>
              <w:t>Vasey RSL Care</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1446AEB8" w14:textId="77777777" w:rsidR="00F962BE" w:rsidRPr="00A3130C" w:rsidRDefault="00F962BE">
            <w:pPr>
              <w:pStyle w:val="ARTabletext"/>
              <w:jc w:val="right"/>
              <w:rPr>
                <w:rFonts w:eastAsia="Times"/>
              </w:rPr>
            </w:pPr>
            <w:r w:rsidRPr="00A3130C">
              <w:rPr>
                <w:rFonts w:eastAsia="Times"/>
              </w:rPr>
              <w:t>209,366</w:t>
            </w:r>
          </w:p>
        </w:tc>
      </w:tr>
      <w:tr w:rsidR="00F962BE" w:rsidRPr="00A3130C" w14:paraId="17067CB5"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5E63CF59" w14:textId="77777777" w:rsidR="00F962BE" w:rsidRPr="00A3130C" w:rsidRDefault="00F962BE">
            <w:pPr>
              <w:pStyle w:val="ARTabletext"/>
              <w:rPr>
                <w:rFonts w:eastAsia="Times"/>
              </w:rPr>
            </w:pPr>
            <w:r w:rsidRPr="00A3130C">
              <w:rPr>
                <w:rFonts w:eastAsia="Times"/>
              </w:rPr>
              <w:t>Vietnam Veterans Federation Vic</w:t>
            </w:r>
            <w:r>
              <w:rPr>
                <w:rFonts w:eastAsia="Times"/>
              </w:rPr>
              <w:t> </w:t>
            </w:r>
            <w:r w:rsidRPr="00A3130C">
              <w:rPr>
                <w:rFonts w:eastAsia="Times"/>
              </w:rPr>
              <w:t>Branch</w:t>
            </w:r>
            <w:r>
              <w:rPr>
                <w:rFonts w:eastAsia="Times"/>
              </w:rPr>
              <w:t> </w:t>
            </w:r>
            <w:r w:rsidRPr="00A3130C">
              <w:rPr>
                <w:rFonts w:eastAsia="Times"/>
              </w:rPr>
              <w:t>Inc</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36167801" w14:textId="77777777" w:rsidR="00F962BE" w:rsidRPr="00A3130C" w:rsidRDefault="00F962BE">
            <w:pPr>
              <w:pStyle w:val="ARTabletext"/>
              <w:jc w:val="right"/>
              <w:rPr>
                <w:rFonts w:eastAsia="Times"/>
              </w:rPr>
            </w:pPr>
            <w:r w:rsidRPr="00A3130C">
              <w:rPr>
                <w:rFonts w:eastAsia="Times"/>
              </w:rPr>
              <w:t>15,000</w:t>
            </w:r>
          </w:p>
        </w:tc>
      </w:tr>
      <w:tr w:rsidR="00F962BE" w:rsidRPr="00A3130C" w14:paraId="18ABDA5A"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6EEAE406" w14:textId="77777777" w:rsidR="00F962BE" w:rsidRPr="00A3130C" w:rsidRDefault="00F962BE">
            <w:pPr>
              <w:pStyle w:val="ARTabletext"/>
              <w:rPr>
                <w:rFonts w:eastAsia="Times"/>
              </w:rPr>
            </w:pPr>
            <w:r w:rsidRPr="00A3130C">
              <w:rPr>
                <w:rFonts w:eastAsia="Times"/>
              </w:rPr>
              <w:t>Wangaratta RSL Sub-Branch</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443AA3D4" w14:textId="77777777" w:rsidR="00F962BE" w:rsidRPr="00A3130C" w:rsidRDefault="00F962BE">
            <w:pPr>
              <w:pStyle w:val="ARTabletext"/>
              <w:jc w:val="right"/>
              <w:rPr>
                <w:rFonts w:eastAsia="Times"/>
              </w:rPr>
            </w:pPr>
            <w:r w:rsidRPr="00A3130C">
              <w:rPr>
                <w:rFonts w:eastAsia="Times"/>
              </w:rPr>
              <w:t>50,000</w:t>
            </w:r>
          </w:p>
        </w:tc>
      </w:tr>
      <w:tr w:rsidR="00F962BE" w:rsidRPr="00A3130C" w14:paraId="5DFF4D0B"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13E47C79" w14:textId="77777777" w:rsidR="00F962BE" w:rsidRPr="00A3130C" w:rsidRDefault="00F962BE">
            <w:pPr>
              <w:pStyle w:val="ARTabletext"/>
              <w:rPr>
                <w:rFonts w:eastAsia="Times"/>
              </w:rPr>
            </w:pPr>
            <w:r w:rsidRPr="00A3130C">
              <w:rPr>
                <w:rFonts w:eastAsia="Times"/>
              </w:rPr>
              <w:t>Waverley RSL Sub-Branch Inc</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3F87F643" w14:textId="77777777" w:rsidR="00F962BE" w:rsidRPr="00A3130C" w:rsidRDefault="00F962BE">
            <w:pPr>
              <w:pStyle w:val="ARTabletext"/>
              <w:jc w:val="right"/>
              <w:rPr>
                <w:rFonts w:eastAsia="Times"/>
              </w:rPr>
            </w:pPr>
            <w:r w:rsidRPr="00A3130C">
              <w:rPr>
                <w:rFonts w:eastAsia="Times"/>
              </w:rPr>
              <w:t>23,976</w:t>
            </w:r>
          </w:p>
        </w:tc>
      </w:tr>
      <w:tr w:rsidR="00F962BE" w:rsidRPr="00A3130C" w14:paraId="2A00E3E7"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263B7DA2" w14:textId="77777777" w:rsidR="00F962BE" w:rsidRPr="00A3130C" w:rsidRDefault="00F962BE">
            <w:pPr>
              <w:pStyle w:val="ARTabletext"/>
              <w:rPr>
                <w:rFonts w:eastAsia="Times"/>
              </w:rPr>
            </w:pPr>
            <w:r w:rsidRPr="00A3130C">
              <w:rPr>
                <w:rFonts w:eastAsia="Times"/>
              </w:rPr>
              <w:t xml:space="preserve">Wedderburn Korong Vale R.S.L. </w:t>
            </w:r>
            <w:proofErr w:type="gramStart"/>
            <w:r w:rsidRPr="00A3130C">
              <w:rPr>
                <w:rFonts w:eastAsia="Times"/>
              </w:rPr>
              <w:t>Sub</w:t>
            </w:r>
            <w:r>
              <w:rPr>
                <w:rFonts w:eastAsia="Times"/>
              </w:rPr>
              <w:t> </w:t>
            </w:r>
            <w:r w:rsidRPr="00A3130C">
              <w:rPr>
                <w:rFonts w:eastAsia="Times"/>
              </w:rPr>
              <w:t>Branch</w:t>
            </w:r>
            <w:proofErr w:type="gramEnd"/>
            <w:r w:rsidRPr="00A3130C">
              <w:rPr>
                <w:rFonts w:eastAsia="Times"/>
              </w:rPr>
              <w:t xml:space="preserve"> Inc.</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534F7323" w14:textId="77777777" w:rsidR="00F962BE" w:rsidRPr="00A3130C" w:rsidRDefault="00F962BE">
            <w:pPr>
              <w:pStyle w:val="ARTabletext"/>
              <w:jc w:val="right"/>
              <w:rPr>
                <w:rFonts w:eastAsia="Times"/>
              </w:rPr>
            </w:pPr>
            <w:r w:rsidRPr="00A3130C">
              <w:rPr>
                <w:rFonts w:eastAsia="Times"/>
              </w:rPr>
              <w:t>7,700</w:t>
            </w:r>
          </w:p>
        </w:tc>
      </w:tr>
      <w:tr w:rsidR="00F962BE" w:rsidRPr="00A3130C" w14:paraId="002CB537"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7F33D4C1" w14:textId="77777777" w:rsidR="00F962BE" w:rsidRPr="00A3130C" w:rsidRDefault="00F962BE">
            <w:pPr>
              <w:pStyle w:val="ARTabletext"/>
              <w:rPr>
                <w:rFonts w:eastAsia="Times"/>
              </w:rPr>
            </w:pPr>
            <w:r w:rsidRPr="00A3130C">
              <w:rPr>
                <w:rFonts w:eastAsia="Times"/>
              </w:rPr>
              <w:t>Wodonga Institute of TAFE</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0275E707" w14:textId="77777777" w:rsidR="00F962BE" w:rsidRPr="00A3130C" w:rsidRDefault="00F962BE">
            <w:pPr>
              <w:pStyle w:val="ARTabletext"/>
              <w:jc w:val="right"/>
              <w:rPr>
                <w:rFonts w:eastAsia="Times"/>
              </w:rPr>
            </w:pPr>
            <w:r w:rsidRPr="00A3130C">
              <w:rPr>
                <w:rFonts w:eastAsia="Times"/>
              </w:rPr>
              <w:t>200,000</w:t>
            </w:r>
          </w:p>
        </w:tc>
      </w:tr>
      <w:tr w:rsidR="00F962BE" w:rsidRPr="00A3130C" w14:paraId="31C457F3" w14:textId="77777777" w:rsidTr="00735BAF">
        <w:trPr>
          <w:cnfStyle w:val="010000000000" w:firstRow="0" w:lastRow="1" w:firstColumn="0" w:lastColumn="0" w:oddVBand="0" w:evenVBand="0" w:oddHBand="0" w:evenHBand="0" w:firstRowFirstColumn="0" w:firstRowLastColumn="0" w:lastRowFirstColumn="0" w:lastRowLastColumn="0"/>
          <w:trHeight w:val="260"/>
        </w:trPr>
        <w:tc>
          <w:tcPr>
            <w:tcW w:w="8217" w:type="dxa"/>
            <w:noWrap/>
            <w:hideMark/>
          </w:tcPr>
          <w:p w14:paraId="4E309EE7" w14:textId="77777777" w:rsidR="00F962BE" w:rsidRPr="00A3130C" w:rsidRDefault="00F962BE">
            <w:pPr>
              <w:pStyle w:val="ARtabletextbold"/>
              <w:rPr>
                <w:rFonts w:eastAsia="Times"/>
              </w:rPr>
            </w:pPr>
            <w:r w:rsidRPr="00A3130C">
              <w:rPr>
                <w:rFonts w:eastAsia="Times"/>
              </w:rPr>
              <w:t>Total</w:t>
            </w:r>
          </w:p>
        </w:tc>
        <w:tc>
          <w:tcPr>
            <w:cnfStyle w:val="000001000000" w:firstRow="0" w:lastRow="0" w:firstColumn="0" w:lastColumn="0" w:oddVBand="0" w:evenVBand="1" w:oddHBand="0" w:evenHBand="0" w:firstRowFirstColumn="0" w:firstRowLastColumn="0" w:lastRowFirstColumn="0" w:lastRowLastColumn="0"/>
            <w:tcW w:w="1411" w:type="dxa"/>
            <w:noWrap/>
            <w:hideMark/>
          </w:tcPr>
          <w:p w14:paraId="3A4CDCEE" w14:textId="77777777" w:rsidR="00F962BE" w:rsidRPr="00A3130C" w:rsidRDefault="00F962BE">
            <w:pPr>
              <w:pStyle w:val="ARtabletextbold"/>
              <w:jc w:val="right"/>
              <w:rPr>
                <w:rFonts w:eastAsia="Times"/>
              </w:rPr>
            </w:pPr>
            <w:r w:rsidRPr="00A3130C">
              <w:rPr>
                <w:rFonts w:eastAsia="Times"/>
              </w:rPr>
              <w:t>3,804,401</w:t>
            </w:r>
          </w:p>
        </w:tc>
      </w:tr>
    </w:tbl>
    <w:p w14:paraId="546ED5AD" w14:textId="77777777" w:rsidR="00F962BE" w:rsidRPr="00A3130C" w:rsidRDefault="00F962BE" w:rsidP="00F962BE">
      <w:pPr>
        <w:pStyle w:val="Heading3Grants"/>
      </w:pPr>
      <w:r w:rsidRPr="00A3130C">
        <w:t>Women’s policy</w:t>
      </w:r>
    </w:p>
    <w:tbl>
      <w:tblPr>
        <w:tblStyle w:val="ARtable1"/>
        <w:tblW w:w="9638" w:type="dxa"/>
        <w:tblLayout w:type="fixed"/>
        <w:tblLook w:val="00E0" w:firstRow="1" w:lastRow="1" w:firstColumn="1" w:lastColumn="0" w:noHBand="0" w:noVBand="0"/>
      </w:tblPr>
      <w:tblGrid>
        <w:gridCol w:w="8217"/>
        <w:gridCol w:w="1421"/>
      </w:tblGrid>
      <w:tr w:rsidR="00F962BE" w:rsidRPr="00A3130C" w14:paraId="48D18DA3" w14:textId="77777777" w:rsidTr="00735BAF">
        <w:trPr>
          <w:cnfStyle w:val="100000000000" w:firstRow="1" w:lastRow="0" w:firstColumn="0" w:lastColumn="0" w:oddVBand="0" w:evenVBand="0" w:oddHBand="0" w:evenHBand="0" w:firstRowFirstColumn="0" w:firstRowLastColumn="0" w:lastRowFirstColumn="0" w:lastRowLastColumn="0"/>
          <w:trHeight w:val="260"/>
          <w:tblHeader/>
        </w:trPr>
        <w:tc>
          <w:tcPr>
            <w:tcW w:w="8217" w:type="dxa"/>
            <w:noWrap/>
            <w:hideMark/>
          </w:tcPr>
          <w:p w14:paraId="3B0823DE" w14:textId="77777777" w:rsidR="00F962BE" w:rsidRPr="00A3130C" w:rsidRDefault="00F962BE">
            <w:pPr>
              <w:pStyle w:val="ARtablecolhead"/>
              <w:rPr>
                <w:rFonts w:eastAsia="Times"/>
              </w:rPr>
            </w:pPr>
            <w:r w:rsidRPr="00A3130C">
              <w:rPr>
                <w:rFonts w:eastAsia="Times"/>
              </w:rPr>
              <w:t>Organisation</w:t>
            </w:r>
          </w:p>
        </w:tc>
        <w:tc>
          <w:tcPr>
            <w:cnfStyle w:val="000001000000" w:firstRow="0" w:lastRow="0" w:firstColumn="0" w:lastColumn="0" w:oddVBand="0" w:evenVBand="1" w:oddHBand="0" w:evenHBand="0" w:firstRowFirstColumn="0" w:firstRowLastColumn="0" w:lastRowFirstColumn="0" w:lastRowLastColumn="0"/>
            <w:tcW w:w="1421" w:type="dxa"/>
            <w:vAlign w:val="top"/>
            <w:hideMark/>
          </w:tcPr>
          <w:p w14:paraId="4254C335" w14:textId="77777777" w:rsidR="00F962BE" w:rsidRPr="00A3130C" w:rsidRDefault="00F962BE">
            <w:pPr>
              <w:pStyle w:val="ARtablecolhead"/>
              <w:jc w:val="right"/>
              <w:rPr>
                <w:rFonts w:eastAsia="Times"/>
              </w:rPr>
            </w:pPr>
            <w:r w:rsidRPr="00A3130C">
              <w:rPr>
                <w:rFonts w:eastAsia="Times"/>
              </w:rPr>
              <w:t>Payment ($)</w:t>
            </w:r>
          </w:p>
        </w:tc>
      </w:tr>
      <w:tr w:rsidR="00F962BE" w:rsidRPr="00A3130C" w14:paraId="3E4E9EB7"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2A3387B3" w14:textId="77777777" w:rsidR="00F962BE" w:rsidRPr="00A3130C" w:rsidRDefault="00F962BE">
            <w:pPr>
              <w:pStyle w:val="ARTabletext"/>
              <w:rPr>
                <w:rFonts w:eastAsia="Times"/>
              </w:rPr>
            </w:pPr>
            <w:r w:rsidRPr="00A3130C">
              <w:rPr>
                <w:rFonts w:eastAsia="Times"/>
              </w:rPr>
              <w:t>Ai Group Limited</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15E99D92" w14:textId="77777777" w:rsidR="00F962BE" w:rsidRPr="00A3130C" w:rsidRDefault="00F962BE">
            <w:pPr>
              <w:pStyle w:val="ARTabletext"/>
              <w:jc w:val="right"/>
              <w:rPr>
                <w:rFonts w:eastAsia="Times"/>
              </w:rPr>
            </w:pPr>
            <w:r w:rsidRPr="00A3130C">
              <w:rPr>
                <w:rFonts w:eastAsia="Times"/>
              </w:rPr>
              <w:t>2,000</w:t>
            </w:r>
          </w:p>
        </w:tc>
      </w:tr>
      <w:tr w:rsidR="00F962BE" w:rsidRPr="00A3130C" w14:paraId="3156726C"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692BA08E" w14:textId="77777777" w:rsidR="00F962BE" w:rsidRPr="00A3130C" w:rsidRDefault="00F962BE">
            <w:pPr>
              <w:pStyle w:val="ARTabletext"/>
              <w:rPr>
                <w:rFonts w:eastAsia="Times"/>
              </w:rPr>
            </w:pPr>
            <w:r w:rsidRPr="00A3130C">
              <w:rPr>
                <w:rFonts w:eastAsia="Times"/>
              </w:rPr>
              <w:t>Australian National University</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49BB4BC4" w14:textId="77777777" w:rsidR="00F962BE" w:rsidRPr="00A3130C" w:rsidRDefault="00F962BE">
            <w:pPr>
              <w:pStyle w:val="ARTabletext"/>
              <w:jc w:val="right"/>
              <w:rPr>
                <w:rFonts w:eastAsia="Times"/>
              </w:rPr>
            </w:pPr>
            <w:r w:rsidRPr="00A3130C">
              <w:rPr>
                <w:rFonts w:eastAsia="Times"/>
              </w:rPr>
              <w:t>159,357</w:t>
            </w:r>
          </w:p>
        </w:tc>
      </w:tr>
      <w:tr w:rsidR="00F962BE" w:rsidRPr="00A3130C" w14:paraId="585BAC9B"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5C70795E" w14:textId="77777777" w:rsidR="00F962BE" w:rsidRPr="00A3130C" w:rsidRDefault="00F962BE">
            <w:pPr>
              <w:pStyle w:val="ARTabletext"/>
              <w:rPr>
                <w:rFonts w:eastAsia="Times"/>
              </w:rPr>
            </w:pPr>
            <w:proofErr w:type="spellStart"/>
            <w:r w:rsidRPr="00A3130C">
              <w:rPr>
                <w:rFonts w:eastAsia="Times"/>
              </w:rPr>
              <w:t>Djirra</w:t>
            </w:r>
            <w:proofErr w:type="spellEnd"/>
            <w:r w:rsidRPr="00A3130C">
              <w:rPr>
                <w:rFonts w:eastAsia="Times"/>
              </w:rPr>
              <w:t xml:space="preserve"> (Previously Aboriginal &amp; Torres Strait Islander Corporation Family Violence Prevention &amp; Legal Service)</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61ECE6B6" w14:textId="77777777" w:rsidR="00F962BE" w:rsidRPr="00A3130C" w:rsidRDefault="00F962BE">
            <w:pPr>
              <w:pStyle w:val="ARTabletext"/>
              <w:jc w:val="right"/>
              <w:rPr>
                <w:rFonts w:eastAsia="Times"/>
              </w:rPr>
            </w:pPr>
            <w:r w:rsidRPr="00A3130C">
              <w:rPr>
                <w:rFonts w:eastAsia="Times"/>
              </w:rPr>
              <w:t>150,000</w:t>
            </w:r>
          </w:p>
        </w:tc>
      </w:tr>
      <w:tr w:rsidR="00F962BE" w:rsidRPr="00A3130C" w14:paraId="517065BC"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4FF9A401" w14:textId="77777777" w:rsidR="00F962BE" w:rsidRPr="00A3130C" w:rsidRDefault="00F962BE">
            <w:pPr>
              <w:pStyle w:val="ARTabletext"/>
              <w:rPr>
                <w:rFonts w:eastAsia="Times"/>
              </w:rPr>
            </w:pPr>
            <w:r w:rsidRPr="00A3130C">
              <w:rPr>
                <w:rFonts w:eastAsia="Times"/>
              </w:rPr>
              <w:t>Ethnic Communities' Council of Victoria</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37159135" w14:textId="77777777" w:rsidR="00F962BE" w:rsidRPr="00A3130C" w:rsidRDefault="00F962BE">
            <w:pPr>
              <w:pStyle w:val="ARTabletext"/>
              <w:jc w:val="right"/>
              <w:rPr>
                <w:rFonts w:eastAsia="Times"/>
              </w:rPr>
            </w:pPr>
            <w:r w:rsidRPr="00A3130C">
              <w:rPr>
                <w:rFonts w:eastAsia="Times"/>
              </w:rPr>
              <w:t>50,000</w:t>
            </w:r>
          </w:p>
        </w:tc>
      </w:tr>
      <w:tr w:rsidR="00F962BE" w:rsidRPr="00A3130C" w14:paraId="3EF19264"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5FFBC213" w14:textId="77777777" w:rsidR="00F962BE" w:rsidRPr="00A3130C" w:rsidRDefault="00F962BE">
            <w:pPr>
              <w:pStyle w:val="ARTabletext"/>
              <w:rPr>
                <w:rFonts w:eastAsia="Times"/>
              </w:rPr>
            </w:pPr>
            <w:r w:rsidRPr="00A3130C">
              <w:rPr>
                <w:rFonts w:eastAsia="Times"/>
              </w:rPr>
              <w:t>Geelong Manufacturing Council</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58513881" w14:textId="77777777" w:rsidR="00F962BE" w:rsidRPr="00A3130C" w:rsidRDefault="00F962BE">
            <w:pPr>
              <w:pStyle w:val="ARTabletext"/>
              <w:jc w:val="right"/>
              <w:rPr>
                <w:rFonts w:eastAsia="Times"/>
              </w:rPr>
            </w:pPr>
            <w:r w:rsidRPr="00A3130C">
              <w:rPr>
                <w:rFonts w:eastAsia="Times"/>
              </w:rPr>
              <w:t>2,000</w:t>
            </w:r>
          </w:p>
        </w:tc>
      </w:tr>
      <w:tr w:rsidR="00F962BE" w:rsidRPr="00A3130C" w14:paraId="3AFE5CBF"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5489E4E3" w14:textId="77777777" w:rsidR="00F962BE" w:rsidRPr="00A3130C" w:rsidRDefault="00F962BE">
            <w:pPr>
              <w:pStyle w:val="ARTabletext"/>
              <w:rPr>
                <w:rFonts w:eastAsia="Times"/>
              </w:rPr>
            </w:pPr>
            <w:r w:rsidRPr="00A3130C">
              <w:rPr>
                <w:rFonts w:eastAsia="Times"/>
              </w:rPr>
              <w:t>Gender Equity Victoria (GEN VIC)</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491EBB25" w14:textId="77777777" w:rsidR="00F962BE" w:rsidRPr="00A3130C" w:rsidRDefault="00F962BE">
            <w:pPr>
              <w:pStyle w:val="ARTabletext"/>
              <w:jc w:val="right"/>
              <w:rPr>
                <w:rFonts w:eastAsia="Times"/>
              </w:rPr>
            </w:pPr>
            <w:r w:rsidRPr="00A3130C">
              <w:rPr>
                <w:rFonts w:eastAsia="Times"/>
              </w:rPr>
              <w:t>2,000</w:t>
            </w:r>
          </w:p>
        </w:tc>
      </w:tr>
      <w:tr w:rsidR="00F962BE" w:rsidRPr="00A3130C" w14:paraId="7B0487EA"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4B38F137" w14:textId="77777777" w:rsidR="00F962BE" w:rsidRPr="00A3130C" w:rsidRDefault="00F962BE">
            <w:pPr>
              <w:pStyle w:val="ARTabletext"/>
              <w:rPr>
                <w:rFonts w:eastAsia="Times"/>
              </w:rPr>
            </w:pPr>
            <w:r w:rsidRPr="00A3130C">
              <w:rPr>
                <w:rFonts w:eastAsia="Times"/>
              </w:rPr>
              <w:t>Gippsland Women's Health</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628A9F0C" w14:textId="77777777" w:rsidR="00F962BE" w:rsidRPr="00A3130C" w:rsidRDefault="00F962BE">
            <w:pPr>
              <w:pStyle w:val="ARTabletext"/>
              <w:jc w:val="right"/>
              <w:rPr>
                <w:rFonts w:eastAsia="Times"/>
              </w:rPr>
            </w:pPr>
            <w:r w:rsidRPr="00A3130C">
              <w:rPr>
                <w:rFonts w:eastAsia="Times"/>
              </w:rPr>
              <w:t>2,000</w:t>
            </w:r>
          </w:p>
        </w:tc>
      </w:tr>
      <w:tr w:rsidR="00F962BE" w:rsidRPr="00A3130C" w14:paraId="10B494CF"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77DF262C" w14:textId="77777777" w:rsidR="00F962BE" w:rsidRPr="00A3130C" w:rsidRDefault="00F962BE">
            <w:pPr>
              <w:pStyle w:val="ARTabletext"/>
              <w:rPr>
                <w:rFonts w:eastAsia="Times"/>
              </w:rPr>
            </w:pPr>
            <w:r w:rsidRPr="00A3130C">
              <w:rPr>
                <w:rFonts w:eastAsia="Times"/>
              </w:rPr>
              <w:t>McClelland Sculpture Park + Gallery</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46C86417" w14:textId="77777777" w:rsidR="00F962BE" w:rsidRPr="00A3130C" w:rsidRDefault="00F962BE">
            <w:pPr>
              <w:pStyle w:val="ARTabletext"/>
              <w:jc w:val="right"/>
              <w:rPr>
                <w:rFonts w:eastAsia="Times"/>
              </w:rPr>
            </w:pPr>
            <w:r w:rsidRPr="00A3130C">
              <w:rPr>
                <w:rFonts w:eastAsia="Times"/>
              </w:rPr>
              <w:t>21,000</w:t>
            </w:r>
          </w:p>
        </w:tc>
      </w:tr>
      <w:tr w:rsidR="00F962BE" w:rsidRPr="00A3130C" w14:paraId="32C1CDD5"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7ABD837D" w14:textId="77777777" w:rsidR="00F962BE" w:rsidRPr="00A3130C" w:rsidRDefault="00F962BE">
            <w:pPr>
              <w:pStyle w:val="ARTabletext"/>
              <w:rPr>
                <w:rFonts w:eastAsia="Times"/>
              </w:rPr>
            </w:pPr>
            <w:r w:rsidRPr="00A3130C">
              <w:rPr>
                <w:rFonts w:eastAsia="Times"/>
              </w:rPr>
              <w:t>NECA Education &amp; Careers</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536A5EC0" w14:textId="77777777" w:rsidR="00F962BE" w:rsidRPr="00A3130C" w:rsidRDefault="00F962BE">
            <w:pPr>
              <w:pStyle w:val="ARTabletext"/>
              <w:jc w:val="right"/>
              <w:rPr>
                <w:rFonts w:eastAsia="Times"/>
              </w:rPr>
            </w:pPr>
            <w:r w:rsidRPr="00A3130C">
              <w:rPr>
                <w:rFonts w:eastAsia="Times"/>
              </w:rPr>
              <w:t>2,000</w:t>
            </w:r>
          </w:p>
        </w:tc>
      </w:tr>
      <w:tr w:rsidR="00F962BE" w:rsidRPr="00A3130C" w14:paraId="109385DB"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5002354D" w14:textId="77777777" w:rsidR="00F962BE" w:rsidRPr="00A3130C" w:rsidRDefault="00F962BE">
            <w:pPr>
              <w:pStyle w:val="ARTabletext"/>
              <w:rPr>
                <w:rFonts w:eastAsia="Times"/>
              </w:rPr>
            </w:pPr>
            <w:r w:rsidRPr="00A3130C">
              <w:rPr>
                <w:rFonts w:eastAsia="Times"/>
              </w:rPr>
              <w:t>Our Community Pty Ltd</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7FC3AB67" w14:textId="77777777" w:rsidR="00F962BE" w:rsidRPr="00A3130C" w:rsidRDefault="00F962BE">
            <w:pPr>
              <w:pStyle w:val="ARTabletext"/>
              <w:jc w:val="right"/>
              <w:rPr>
                <w:rFonts w:eastAsia="Times"/>
              </w:rPr>
            </w:pPr>
            <w:r w:rsidRPr="00A3130C">
              <w:rPr>
                <w:rFonts w:eastAsia="Times"/>
              </w:rPr>
              <w:t>2,000</w:t>
            </w:r>
          </w:p>
        </w:tc>
      </w:tr>
      <w:tr w:rsidR="00F962BE" w:rsidRPr="00A3130C" w14:paraId="4C3468C3"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0682EAB8" w14:textId="77777777" w:rsidR="00F962BE" w:rsidRPr="00A3130C" w:rsidRDefault="00F962BE">
            <w:pPr>
              <w:pStyle w:val="ARTabletext"/>
              <w:rPr>
                <w:rFonts w:eastAsia="Times"/>
              </w:rPr>
            </w:pPr>
            <w:r w:rsidRPr="00A3130C">
              <w:rPr>
                <w:rFonts w:eastAsia="Times"/>
              </w:rPr>
              <w:t>Queen Victoria Women's Centre</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6773453F" w14:textId="77777777" w:rsidR="00F962BE" w:rsidRPr="00A3130C" w:rsidRDefault="00F962BE">
            <w:pPr>
              <w:pStyle w:val="ARTabletext"/>
              <w:jc w:val="right"/>
              <w:rPr>
                <w:rFonts w:eastAsia="Times"/>
              </w:rPr>
            </w:pPr>
            <w:r w:rsidRPr="00A3130C">
              <w:rPr>
                <w:rFonts w:eastAsia="Times"/>
              </w:rPr>
              <w:t>448,000</w:t>
            </w:r>
          </w:p>
        </w:tc>
      </w:tr>
      <w:tr w:rsidR="00F962BE" w:rsidRPr="00A3130C" w14:paraId="4B08D984"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11A3E9BE" w14:textId="77777777" w:rsidR="00F962BE" w:rsidRPr="00A3130C" w:rsidRDefault="00F962BE">
            <w:pPr>
              <w:pStyle w:val="ARTabletext"/>
              <w:rPr>
                <w:rFonts w:eastAsia="Times"/>
              </w:rPr>
            </w:pPr>
            <w:proofErr w:type="spellStart"/>
            <w:r w:rsidRPr="00A3130C">
              <w:rPr>
                <w:rFonts w:eastAsia="Times"/>
              </w:rPr>
              <w:t>SisterWorks</w:t>
            </w:r>
            <w:proofErr w:type="spellEnd"/>
            <w:r w:rsidRPr="00A3130C">
              <w:rPr>
                <w:rFonts w:eastAsia="Times"/>
              </w:rPr>
              <w:t xml:space="preserve"> Incorporated</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584ADCE3" w14:textId="77777777" w:rsidR="00F962BE" w:rsidRPr="00A3130C" w:rsidRDefault="00F962BE">
            <w:pPr>
              <w:pStyle w:val="ARTabletext"/>
              <w:jc w:val="right"/>
              <w:rPr>
                <w:rFonts w:eastAsia="Times"/>
              </w:rPr>
            </w:pPr>
            <w:r w:rsidRPr="00A3130C">
              <w:rPr>
                <w:rFonts w:eastAsia="Times"/>
              </w:rPr>
              <w:t>2,000</w:t>
            </w:r>
          </w:p>
        </w:tc>
      </w:tr>
      <w:tr w:rsidR="00F962BE" w:rsidRPr="00A3130C" w14:paraId="2F33B849"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2D8D69C2" w14:textId="77777777" w:rsidR="00F962BE" w:rsidRPr="00A3130C" w:rsidRDefault="00F962BE">
            <w:pPr>
              <w:pStyle w:val="ARTabletext"/>
              <w:rPr>
                <w:rFonts w:eastAsia="Times"/>
              </w:rPr>
            </w:pPr>
            <w:r w:rsidRPr="00A3130C">
              <w:rPr>
                <w:rFonts w:eastAsia="Times"/>
              </w:rPr>
              <w:t>Springvale Monash Legal Service Inc</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251EF1EC" w14:textId="77777777" w:rsidR="00F962BE" w:rsidRPr="00A3130C" w:rsidRDefault="00F962BE">
            <w:pPr>
              <w:pStyle w:val="ARTabletext"/>
              <w:jc w:val="right"/>
              <w:rPr>
                <w:rFonts w:eastAsia="Times"/>
              </w:rPr>
            </w:pPr>
            <w:r w:rsidRPr="00A3130C">
              <w:rPr>
                <w:rFonts w:eastAsia="Times"/>
              </w:rPr>
              <w:t>480,000</w:t>
            </w:r>
          </w:p>
        </w:tc>
      </w:tr>
      <w:tr w:rsidR="00F962BE" w:rsidRPr="00A3130C" w14:paraId="0008894C"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6E31A248" w14:textId="77777777" w:rsidR="00F962BE" w:rsidRPr="00A3130C" w:rsidRDefault="00F962BE">
            <w:pPr>
              <w:pStyle w:val="ARTabletext"/>
              <w:rPr>
                <w:rFonts w:eastAsia="Times"/>
              </w:rPr>
            </w:pPr>
            <w:r w:rsidRPr="00A3130C">
              <w:rPr>
                <w:rFonts w:eastAsia="Times"/>
              </w:rPr>
              <w:t>Victorian Aboriginal Community Controlled Health Organisation Inc</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012B953A" w14:textId="77777777" w:rsidR="00F962BE" w:rsidRPr="00A3130C" w:rsidRDefault="00F962BE">
            <w:pPr>
              <w:pStyle w:val="ARTabletext"/>
              <w:jc w:val="right"/>
              <w:rPr>
                <w:rFonts w:eastAsia="Times"/>
              </w:rPr>
            </w:pPr>
            <w:r w:rsidRPr="00A3130C">
              <w:rPr>
                <w:rFonts w:eastAsia="Times"/>
              </w:rPr>
              <w:t>50,036</w:t>
            </w:r>
          </w:p>
        </w:tc>
      </w:tr>
      <w:tr w:rsidR="00F962BE" w:rsidRPr="00A3130C" w14:paraId="47B208C1"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6287D710" w14:textId="77777777" w:rsidR="00F962BE" w:rsidRPr="00A3130C" w:rsidRDefault="00F962BE">
            <w:pPr>
              <w:pStyle w:val="ARTabletext"/>
              <w:rPr>
                <w:rFonts w:eastAsia="Times"/>
              </w:rPr>
            </w:pPr>
            <w:r w:rsidRPr="00A3130C">
              <w:rPr>
                <w:rFonts w:eastAsia="Times"/>
              </w:rPr>
              <w:t>Victorian Chamber of Commerce and</w:t>
            </w:r>
            <w:r>
              <w:rPr>
                <w:rFonts w:eastAsia="Times"/>
              </w:rPr>
              <w:t> </w:t>
            </w:r>
            <w:r w:rsidRPr="00A3130C">
              <w:rPr>
                <w:rFonts w:eastAsia="Times"/>
              </w:rPr>
              <w:t>Industry</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10527DD5" w14:textId="77777777" w:rsidR="00F962BE" w:rsidRPr="00A3130C" w:rsidRDefault="00F962BE">
            <w:pPr>
              <w:pStyle w:val="ARTabletext"/>
              <w:jc w:val="right"/>
              <w:rPr>
                <w:rFonts w:eastAsia="Times"/>
              </w:rPr>
            </w:pPr>
            <w:r w:rsidRPr="00A3130C">
              <w:rPr>
                <w:rFonts w:eastAsia="Times"/>
              </w:rPr>
              <w:t>595,000</w:t>
            </w:r>
          </w:p>
        </w:tc>
      </w:tr>
      <w:tr w:rsidR="00F962BE" w:rsidRPr="00A3130C" w14:paraId="37DF3D50"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1406ACAE" w14:textId="77777777" w:rsidR="00F962BE" w:rsidRPr="00A3130C" w:rsidRDefault="00F962BE">
            <w:pPr>
              <w:pStyle w:val="ARTabletext"/>
              <w:rPr>
                <w:rFonts w:eastAsia="Times"/>
              </w:rPr>
            </w:pPr>
            <w:r w:rsidRPr="00A3130C">
              <w:rPr>
                <w:rFonts w:eastAsia="Times"/>
              </w:rPr>
              <w:t>Victorian Trades Hall Council</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5F1B5D82" w14:textId="77777777" w:rsidR="00F962BE" w:rsidRPr="00A3130C" w:rsidRDefault="00F962BE">
            <w:pPr>
              <w:pStyle w:val="ARTabletext"/>
              <w:jc w:val="right"/>
              <w:rPr>
                <w:rFonts w:eastAsia="Times"/>
              </w:rPr>
            </w:pPr>
            <w:r w:rsidRPr="00A3130C">
              <w:rPr>
                <w:rFonts w:eastAsia="Times"/>
              </w:rPr>
              <w:t>1,195,000</w:t>
            </w:r>
          </w:p>
        </w:tc>
      </w:tr>
      <w:tr w:rsidR="00F962BE" w:rsidRPr="00A3130C" w14:paraId="3057BE7D"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0A3FEDEC" w14:textId="77777777" w:rsidR="00F962BE" w:rsidRPr="00A3130C" w:rsidRDefault="00F962BE">
            <w:pPr>
              <w:pStyle w:val="ARTabletext"/>
              <w:rPr>
                <w:rFonts w:eastAsia="Times"/>
              </w:rPr>
            </w:pPr>
            <w:r w:rsidRPr="00A3130C">
              <w:rPr>
                <w:rFonts w:eastAsia="Times"/>
              </w:rPr>
              <w:t>Women of Colour Australia</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519731A1" w14:textId="77777777" w:rsidR="00F962BE" w:rsidRPr="00A3130C" w:rsidRDefault="00F962BE">
            <w:pPr>
              <w:pStyle w:val="ARTabletext"/>
              <w:jc w:val="right"/>
              <w:rPr>
                <w:rFonts w:eastAsia="Times"/>
              </w:rPr>
            </w:pPr>
            <w:r w:rsidRPr="00A3130C">
              <w:rPr>
                <w:rFonts w:eastAsia="Times"/>
              </w:rPr>
              <w:t>2,000</w:t>
            </w:r>
          </w:p>
        </w:tc>
      </w:tr>
      <w:tr w:rsidR="00F962BE" w:rsidRPr="00A3130C" w14:paraId="10ACC851"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31338273" w14:textId="77777777" w:rsidR="00F962BE" w:rsidRPr="00A3130C" w:rsidRDefault="00F962BE">
            <w:pPr>
              <w:pStyle w:val="ARTabletext"/>
              <w:rPr>
                <w:rFonts w:eastAsia="Times"/>
              </w:rPr>
            </w:pPr>
            <w:r w:rsidRPr="00A3130C">
              <w:rPr>
                <w:rFonts w:eastAsia="Times"/>
              </w:rPr>
              <w:t>Women with Disabilities Victoria Inc</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202042BB" w14:textId="77777777" w:rsidR="00F962BE" w:rsidRPr="00A3130C" w:rsidRDefault="00F962BE">
            <w:pPr>
              <w:pStyle w:val="ARTabletext"/>
              <w:jc w:val="right"/>
              <w:rPr>
                <w:rFonts w:eastAsia="Times"/>
              </w:rPr>
            </w:pPr>
            <w:r w:rsidRPr="00A3130C">
              <w:rPr>
                <w:rFonts w:eastAsia="Times"/>
              </w:rPr>
              <w:t>60,000</w:t>
            </w:r>
          </w:p>
        </w:tc>
      </w:tr>
      <w:tr w:rsidR="00F962BE" w:rsidRPr="00A3130C" w14:paraId="796D2D38"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4F8D90BC" w14:textId="77777777" w:rsidR="00F962BE" w:rsidRPr="00A3130C" w:rsidRDefault="00F962BE">
            <w:pPr>
              <w:pStyle w:val="ARTabletext"/>
              <w:rPr>
                <w:rFonts w:eastAsia="Times"/>
              </w:rPr>
            </w:pPr>
            <w:r w:rsidRPr="00A3130C">
              <w:rPr>
                <w:rFonts w:eastAsia="Times"/>
              </w:rPr>
              <w:t>Women's Health Grampians Inc</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04F656D0" w14:textId="77777777" w:rsidR="00F962BE" w:rsidRPr="00A3130C" w:rsidRDefault="00F962BE">
            <w:pPr>
              <w:pStyle w:val="ARTabletext"/>
              <w:jc w:val="right"/>
              <w:rPr>
                <w:rFonts w:eastAsia="Times"/>
              </w:rPr>
            </w:pPr>
            <w:r w:rsidRPr="00A3130C">
              <w:rPr>
                <w:rFonts w:eastAsia="Times"/>
              </w:rPr>
              <w:t>2,000</w:t>
            </w:r>
          </w:p>
        </w:tc>
      </w:tr>
      <w:tr w:rsidR="00F962BE" w:rsidRPr="00A3130C" w14:paraId="23A60869"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8217" w:type="dxa"/>
            <w:noWrap/>
            <w:hideMark/>
          </w:tcPr>
          <w:p w14:paraId="6C6CBE5E" w14:textId="77777777" w:rsidR="00F962BE" w:rsidRPr="00A3130C" w:rsidRDefault="00F962BE">
            <w:pPr>
              <w:pStyle w:val="ARTabletext"/>
              <w:rPr>
                <w:rFonts w:eastAsia="Times"/>
              </w:rPr>
            </w:pPr>
            <w:r w:rsidRPr="00A3130C">
              <w:rPr>
                <w:rFonts w:eastAsia="Times"/>
              </w:rPr>
              <w:t xml:space="preserve">Women's Health in the </w:t>
            </w:r>
            <w:proofErr w:type="gramStart"/>
            <w:r w:rsidRPr="00A3130C">
              <w:rPr>
                <w:rFonts w:eastAsia="Times"/>
              </w:rPr>
              <w:t>South East</w:t>
            </w:r>
            <w:proofErr w:type="gramEnd"/>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22D01443" w14:textId="77777777" w:rsidR="00F962BE" w:rsidRPr="00A3130C" w:rsidRDefault="00F962BE">
            <w:pPr>
              <w:pStyle w:val="ARTabletext"/>
              <w:jc w:val="right"/>
              <w:rPr>
                <w:rFonts w:eastAsia="Times"/>
              </w:rPr>
            </w:pPr>
            <w:r w:rsidRPr="00A3130C">
              <w:rPr>
                <w:rFonts w:eastAsia="Times"/>
              </w:rPr>
              <w:t>2,000</w:t>
            </w:r>
          </w:p>
        </w:tc>
      </w:tr>
      <w:tr w:rsidR="00F962BE" w:rsidRPr="00A3130C" w14:paraId="27551E87"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8217" w:type="dxa"/>
            <w:noWrap/>
            <w:hideMark/>
          </w:tcPr>
          <w:p w14:paraId="339D7538" w14:textId="77777777" w:rsidR="00F962BE" w:rsidRPr="00A3130C" w:rsidRDefault="00F962BE">
            <w:pPr>
              <w:pStyle w:val="ARTabletext"/>
              <w:rPr>
                <w:rFonts w:eastAsia="Times"/>
              </w:rPr>
            </w:pPr>
            <w:r w:rsidRPr="00A3130C">
              <w:rPr>
                <w:rFonts w:eastAsia="Times"/>
              </w:rPr>
              <w:t>Youth Affairs Council of Victoria Inc</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3AA6AD5A" w14:textId="77777777" w:rsidR="00F962BE" w:rsidRPr="00A3130C" w:rsidRDefault="00F962BE">
            <w:pPr>
              <w:pStyle w:val="ARTabletext"/>
              <w:jc w:val="right"/>
              <w:rPr>
                <w:rFonts w:eastAsia="Times"/>
              </w:rPr>
            </w:pPr>
            <w:r w:rsidRPr="00A3130C">
              <w:rPr>
                <w:rFonts w:eastAsia="Times"/>
              </w:rPr>
              <w:t>50,000</w:t>
            </w:r>
          </w:p>
        </w:tc>
      </w:tr>
      <w:tr w:rsidR="00F962BE" w:rsidRPr="00A3130C" w14:paraId="553A133F" w14:textId="77777777" w:rsidTr="00735BAF">
        <w:trPr>
          <w:cnfStyle w:val="010000000000" w:firstRow="0" w:lastRow="1" w:firstColumn="0" w:lastColumn="0" w:oddVBand="0" w:evenVBand="0" w:oddHBand="0" w:evenHBand="0" w:firstRowFirstColumn="0" w:firstRowLastColumn="0" w:lastRowFirstColumn="0" w:lastRowLastColumn="0"/>
          <w:trHeight w:val="260"/>
        </w:trPr>
        <w:tc>
          <w:tcPr>
            <w:tcW w:w="8217" w:type="dxa"/>
            <w:noWrap/>
            <w:hideMark/>
          </w:tcPr>
          <w:p w14:paraId="0780E9CD" w14:textId="77777777" w:rsidR="00F962BE" w:rsidRPr="00A3130C" w:rsidRDefault="00F962BE">
            <w:pPr>
              <w:pStyle w:val="ARtabletextbold"/>
              <w:rPr>
                <w:rFonts w:eastAsia="Times"/>
              </w:rPr>
            </w:pPr>
            <w:r w:rsidRPr="00A3130C">
              <w:rPr>
                <w:rFonts w:eastAsia="Times"/>
              </w:rPr>
              <w:t>Total</w:t>
            </w:r>
          </w:p>
        </w:tc>
        <w:tc>
          <w:tcPr>
            <w:cnfStyle w:val="000001000000" w:firstRow="0" w:lastRow="0" w:firstColumn="0" w:lastColumn="0" w:oddVBand="0" w:evenVBand="1" w:oddHBand="0" w:evenHBand="0" w:firstRowFirstColumn="0" w:firstRowLastColumn="0" w:lastRowFirstColumn="0" w:lastRowLastColumn="0"/>
            <w:tcW w:w="1421" w:type="dxa"/>
            <w:noWrap/>
            <w:hideMark/>
          </w:tcPr>
          <w:p w14:paraId="77961F42" w14:textId="77777777" w:rsidR="00F962BE" w:rsidRPr="00A3130C" w:rsidRDefault="00F962BE">
            <w:pPr>
              <w:pStyle w:val="ARtabletextbold"/>
              <w:jc w:val="right"/>
              <w:rPr>
                <w:rFonts w:eastAsia="Times"/>
              </w:rPr>
            </w:pPr>
            <w:r w:rsidRPr="00A3130C">
              <w:rPr>
                <w:rFonts w:eastAsia="Times"/>
              </w:rPr>
              <w:t>3,278,393</w:t>
            </w:r>
          </w:p>
        </w:tc>
      </w:tr>
    </w:tbl>
    <w:p w14:paraId="300143DC" w14:textId="77777777" w:rsidR="00F962BE" w:rsidRPr="00A3130C" w:rsidRDefault="00F962BE" w:rsidP="00F962BE">
      <w:pPr>
        <w:pStyle w:val="Heading3Grants"/>
      </w:pPr>
      <w:r w:rsidRPr="00A3130C">
        <w:t>Youth</w:t>
      </w:r>
    </w:p>
    <w:tbl>
      <w:tblPr>
        <w:tblStyle w:val="ARtable1"/>
        <w:tblW w:w="5000" w:type="pct"/>
        <w:tblLook w:val="00E0" w:firstRow="1" w:lastRow="1" w:firstColumn="1" w:lastColumn="0" w:noHBand="0" w:noVBand="0"/>
      </w:tblPr>
      <w:tblGrid>
        <w:gridCol w:w="8217"/>
        <w:gridCol w:w="1411"/>
      </w:tblGrid>
      <w:tr w:rsidR="00F962BE" w:rsidRPr="00A3130C" w14:paraId="077E554E" w14:textId="77777777" w:rsidTr="00735BAF">
        <w:trPr>
          <w:cnfStyle w:val="100000000000" w:firstRow="1" w:lastRow="0" w:firstColumn="0" w:lastColumn="0" w:oddVBand="0" w:evenVBand="0" w:oddHBand="0" w:evenHBand="0" w:firstRowFirstColumn="0" w:firstRowLastColumn="0" w:lastRowFirstColumn="0" w:lastRowLastColumn="0"/>
          <w:trHeight w:val="260"/>
          <w:tblHeader/>
        </w:trPr>
        <w:tc>
          <w:tcPr>
            <w:tcW w:w="4267" w:type="pct"/>
            <w:noWrap/>
            <w:hideMark/>
          </w:tcPr>
          <w:p w14:paraId="3B951EF2" w14:textId="77777777" w:rsidR="00F962BE" w:rsidRPr="00A3130C" w:rsidRDefault="00F962BE">
            <w:pPr>
              <w:pStyle w:val="ARtablecolhead"/>
              <w:rPr>
                <w:rFonts w:eastAsia="Times"/>
              </w:rPr>
            </w:pPr>
            <w:r w:rsidRPr="00A3130C">
              <w:rPr>
                <w:rFonts w:eastAsia="Times"/>
              </w:rPr>
              <w:t>Organisation</w:t>
            </w:r>
          </w:p>
        </w:tc>
        <w:tc>
          <w:tcPr>
            <w:cnfStyle w:val="000001000000" w:firstRow="0" w:lastRow="0" w:firstColumn="0" w:lastColumn="0" w:oddVBand="0" w:evenVBand="1" w:oddHBand="0" w:evenHBand="0" w:firstRowFirstColumn="0" w:firstRowLastColumn="0" w:lastRowFirstColumn="0" w:lastRowLastColumn="0"/>
            <w:tcW w:w="733" w:type="pct"/>
            <w:vAlign w:val="top"/>
            <w:hideMark/>
          </w:tcPr>
          <w:p w14:paraId="62D10374" w14:textId="77777777" w:rsidR="00F962BE" w:rsidRPr="00A3130C" w:rsidRDefault="00F962BE">
            <w:pPr>
              <w:pStyle w:val="ARtablecolhead"/>
              <w:jc w:val="right"/>
              <w:rPr>
                <w:rFonts w:eastAsia="Times"/>
              </w:rPr>
            </w:pPr>
            <w:r w:rsidRPr="00A3130C">
              <w:rPr>
                <w:rFonts w:eastAsia="Times"/>
              </w:rPr>
              <w:t>Payment ($)</w:t>
            </w:r>
          </w:p>
        </w:tc>
      </w:tr>
      <w:tr w:rsidR="00F962BE" w:rsidRPr="00A3130C" w14:paraId="3B97A8CA"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149B54D9" w14:textId="77777777" w:rsidR="00F962BE" w:rsidRPr="00A3130C" w:rsidRDefault="00F962BE">
            <w:pPr>
              <w:pStyle w:val="ARTabletext"/>
              <w:rPr>
                <w:rFonts w:eastAsia="Times"/>
              </w:rPr>
            </w:pPr>
            <w:r w:rsidRPr="00A3130C">
              <w:rPr>
                <w:rFonts w:eastAsia="Times"/>
              </w:rPr>
              <w:t>Africa Day Australia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612D58F" w14:textId="77777777" w:rsidR="00F962BE" w:rsidRPr="00A3130C" w:rsidRDefault="00F962BE">
            <w:pPr>
              <w:pStyle w:val="ARTabletext"/>
              <w:jc w:val="right"/>
              <w:rPr>
                <w:rFonts w:eastAsia="Times"/>
              </w:rPr>
            </w:pPr>
            <w:r w:rsidRPr="00A3130C">
              <w:rPr>
                <w:rFonts w:eastAsia="Times"/>
              </w:rPr>
              <w:t>2,000</w:t>
            </w:r>
          </w:p>
        </w:tc>
      </w:tr>
      <w:tr w:rsidR="00F962BE" w:rsidRPr="00A3130C" w14:paraId="127F578C"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44331F0E" w14:textId="77777777" w:rsidR="00F962BE" w:rsidRPr="00A3130C" w:rsidRDefault="00F962BE">
            <w:pPr>
              <w:pStyle w:val="ARTabletext"/>
              <w:rPr>
                <w:rFonts w:eastAsia="Times"/>
              </w:rPr>
            </w:pPr>
            <w:r w:rsidRPr="00A3130C">
              <w:rPr>
                <w:rFonts w:eastAsia="Times"/>
              </w:rPr>
              <w:t>Africare Community Services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83B3579" w14:textId="77777777" w:rsidR="00F962BE" w:rsidRPr="00A3130C" w:rsidRDefault="00F962BE">
            <w:pPr>
              <w:pStyle w:val="ARTabletext"/>
              <w:jc w:val="right"/>
              <w:rPr>
                <w:rFonts w:eastAsia="Times"/>
              </w:rPr>
            </w:pPr>
            <w:r w:rsidRPr="00A3130C">
              <w:rPr>
                <w:rFonts w:eastAsia="Times"/>
              </w:rPr>
              <w:t>30,000</w:t>
            </w:r>
          </w:p>
        </w:tc>
      </w:tr>
      <w:tr w:rsidR="00F962BE" w:rsidRPr="00A3130C" w14:paraId="5FB8A3F8"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3A4E619D" w14:textId="77777777" w:rsidR="00F962BE" w:rsidRPr="00A3130C" w:rsidRDefault="00F962BE">
            <w:pPr>
              <w:pStyle w:val="ARTabletext"/>
              <w:rPr>
                <w:rFonts w:eastAsia="Times"/>
              </w:rPr>
            </w:pPr>
            <w:r w:rsidRPr="00A3130C">
              <w:rPr>
                <w:rFonts w:eastAsia="Times"/>
              </w:rPr>
              <w:t>Al Hussein Cultural Association</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C039003" w14:textId="77777777" w:rsidR="00F962BE" w:rsidRPr="00A3130C" w:rsidRDefault="00F962BE">
            <w:pPr>
              <w:pStyle w:val="ARTabletext"/>
              <w:jc w:val="right"/>
              <w:rPr>
                <w:rFonts w:eastAsia="Times"/>
              </w:rPr>
            </w:pPr>
            <w:r w:rsidRPr="00A3130C">
              <w:rPr>
                <w:rFonts w:eastAsia="Times"/>
              </w:rPr>
              <w:t>2,000</w:t>
            </w:r>
          </w:p>
        </w:tc>
      </w:tr>
      <w:tr w:rsidR="00F962BE" w:rsidRPr="00A3130C" w14:paraId="13D81934"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49775C0D" w14:textId="77777777" w:rsidR="00F962BE" w:rsidRPr="00A3130C" w:rsidRDefault="00F962BE">
            <w:pPr>
              <w:pStyle w:val="ARTabletext"/>
              <w:rPr>
                <w:rFonts w:eastAsia="Times"/>
              </w:rPr>
            </w:pPr>
            <w:r w:rsidRPr="00A3130C">
              <w:rPr>
                <w:rFonts w:eastAsia="Times"/>
              </w:rPr>
              <w:t xml:space="preserve">Al </w:t>
            </w:r>
            <w:proofErr w:type="spellStart"/>
            <w:r w:rsidRPr="00A3130C">
              <w:rPr>
                <w:rFonts w:eastAsia="Times"/>
              </w:rPr>
              <w:t>Siraat</w:t>
            </w:r>
            <w:proofErr w:type="spellEnd"/>
            <w:r w:rsidRPr="00A3130C">
              <w:rPr>
                <w:rFonts w:eastAsia="Times"/>
              </w:rPr>
              <w:t xml:space="preserve"> College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3133B57" w14:textId="77777777" w:rsidR="00F962BE" w:rsidRPr="00A3130C" w:rsidRDefault="00F962BE">
            <w:pPr>
              <w:pStyle w:val="ARTabletext"/>
              <w:jc w:val="right"/>
              <w:rPr>
                <w:rFonts w:eastAsia="Times"/>
              </w:rPr>
            </w:pPr>
            <w:r w:rsidRPr="00A3130C">
              <w:rPr>
                <w:rFonts w:eastAsia="Times"/>
              </w:rPr>
              <w:t>2,000</w:t>
            </w:r>
          </w:p>
        </w:tc>
      </w:tr>
      <w:tr w:rsidR="00F962BE" w:rsidRPr="00A3130C" w14:paraId="31790536"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644B93E4" w14:textId="77777777" w:rsidR="00F962BE" w:rsidRPr="00A3130C" w:rsidRDefault="00F962BE">
            <w:pPr>
              <w:pStyle w:val="ARTabletext"/>
              <w:rPr>
                <w:rFonts w:eastAsia="Times"/>
              </w:rPr>
            </w:pPr>
            <w:r w:rsidRPr="00A3130C">
              <w:rPr>
                <w:rFonts w:eastAsia="Times"/>
              </w:rPr>
              <w:t>Al-Hussein Arabic School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27584EB" w14:textId="77777777" w:rsidR="00F962BE" w:rsidRPr="00A3130C" w:rsidRDefault="00F962BE">
            <w:pPr>
              <w:pStyle w:val="ARTabletext"/>
              <w:jc w:val="right"/>
              <w:rPr>
                <w:rFonts w:eastAsia="Times"/>
              </w:rPr>
            </w:pPr>
            <w:r w:rsidRPr="00A3130C">
              <w:rPr>
                <w:rFonts w:eastAsia="Times"/>
              </w:rPr>
              <w:t>2,000</w:t>
            </w:r>
          </w:p>
        </w:tc>
      </w:tr>
      <w:tr w:rsidR="00F962BE" w:rsidRPr="00A3130C" w14:paraId="2D1E85A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0AC9BA4B" w14:textId="77777777" w:rsidR="00F962BE" w:rsidRPr="00A3130C" w:rsidRDefault="00F962BE">
            <w:pPr>
              <w:pStyle w:val="ARTabletext"/>
              <w:rPr>
                <w:rFonts w:eastAsia="Times"/>
              </w:rPr>
            </w:pPr>
            <w:r w:rsidRPr="00A3130C">
              <w:rPr>
                <w:rFonts w:eastAsia="Times"/>
              </w:rPr>
              <w:t>Alpine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7FC8245" w14:textId="77777777" w:rsidR="00F962BE" w:rsidRPr="00A3130C" w:rsidRDefault="00F962BE">
            <w:pPr>
              <w:pStyle w:val="ARTabletext"/>
              <w:jc w:val="right"/>
              <w:rPr>
                <w:rFonts w:eastAsia="Times"/>
              </w:rPr>
            </w:pPr>
            <w:r w:rsidRPr="00A3130C">
              <w:rPr>
                <w:rFonts w:eastAsia="Times"/>
              </w:rPr>
              <w:t>40,000</w:t>
            </w:r>
          </w:p>
        </w:tc>
      </w:tr>
      <w:tr w:rsidR="00F962BE" w:rsidRPr="00A3130C" w14:paraId="11EE6A86"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06FA49CA" w14:textId="77777777" w:rsidR="00F962BE" w:rsidRPr="00A3130C" w:rsidRDefault="00F962BE">
            <w:pPr>
              <w:pStyle w:val="ARTabletext"/>
              <w:rPr>
                <w:rFonts w:eastAsia="Times"/>
              </w:rPr>
            </w:pPr>
            <w:r w:rsidRPr="00A3130C">
              <w:rPr>
                <w:rFonts w:eastAsia="Times"/>
              </w:rPr>
              <w:t>Anglicare Victoria</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AED6FFF" w14:textId="77777777" w:rsidR="00F962BE" w:rsidRPr="00A3130C" w:rsidRDefault="00F962BE">
            <w:pPr>
              <w:pStyle w:val="ARTabletext"/>
              <w:jc w:val="right"/>
              <w:rPr>
                <w:rFonts w:eastAsia="Times"/>
              </w:rPr>
            </w:pPr>
            <w:r w:rsidRPr="00A3130C">
              <w:rPr>
                <w:rFonts w:eastAsia="Times"/>
              </w:rPr>
              <w:t>2,000</w:t>
            </w:r>
          </w:p>
        </w:tc>
      </w:tr>
      <w:tr w:rsidR="00F962BE" w:rsidRPr="00A3130C" w14:paraId="591FF00B"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027944D7" w14:textId="77777777" w:rsidR="00F962BE" w:rsidRPr="00A3130C" w:rsidRDefault="00F962BE">
            <w:pPr>
              <w:pStyle w:val="ARTabletext"/>
              <w:rPr>
                <w:rFonts w:eastAsia="Times"/>
              </w:rPr>
            </w:pPr>
            <w:r w:rsidRPr="00A3130C">
              <w:rPr>
                <w:rFonts w:eastAsia="Times"/>
              </w:rPr>
              <w:t>Ararat Rural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1529B64" w14:textId="77777777" w:rsidR="00F962BE" w:rsidRPr="00A3130C" w:rsidRDefault="00F962BE">
            <w:pPr>
              <w:pStyle w:val="ARTabletext"/>
              <w:jc w:val="right"/>
              <w:rPr>
                <w:rFonts w:eastAsia="Times"/>
              </w:rPr>
            </w:pPr>
            <w:r w:rsidRPr="00A3130C">
              <w:rPr>
                <w:rFonts w:eastAsia="Times"/>
              </w:rPr>
              <w:t>54,999</w:t>
            </w:r>
          </w:p>
        </w:tc>
      </w:tr>
      <w:tr w:rsidR="00F962BE" w:rsidRPr="00A3130C" w14:paraId="6AC2AD4E"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3948C6FC" w14:textId="77777777" w:rsidR="00F962BE" w:rsidRPr="00A3130C" w:rsidRDefault="00F962BE">
            <w:pPr>
              <w:pStyle w:val="ARTabletext"/>
              <w:rPr>
                <w:rFonts w:eastAsia="Times"/>
              </w:rPr>
            </w:pPr>
            <w:proofErr w:type="spellStart"/>
            <w:r w:rsidRPr="00A3130C">
              <w:rPr>
                <w:rFonts w:eastAsia="Times"/>
              </w:rPr>
              <w:t>Artlight</w:t>
            </w:r>
            <w:proofErr w:type="spellEnd"/>
            <w:r w:rsidRPr="00A3130C">
              <w:rPr>
                <w:rFonts w:eastAsia="Times"/>
              </w:rPr>
              <w:t xml:space="preserve"> Artists Incorporated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80674FC" w14:textId="77777777" w:rsidR="00F962BE" w:rsidRPr="00A3130C" w:rsidRDefault="00F962BE">
            <w:pPr>
              <w:pStyle w:val="ARTabletext"/>
              <w:jc w:val="right"/>
              <w:rPr>
                <w:rFonts w:eastAsia="Times"/>
              </w:rPr>
            </w:pPr>
            <w:r w:rsidRPr="00A3130C">
              <w:rPr>
                <w:rFonts w:eastAsia="Times"/>
              </w:rPr>
              <w:t>8,000</w:t>
            </w:r>
          </w:p>
        </w:tc>
      </w:tr>
      <w:tr w:rsidR="00F962BE" w:rsidRPr="00A3130C" w14:paraId="27C56432"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497F674C" w14:textId="77777777" w:rsidR="00F962BE" w:rsidRPr="00A3130C" w:rsidRDefault="00F962BE">
            <w:pPr>
              <w:pStyle w:val="ARTabletext"/>
              <w:rPr>
                <w:rFonts w:eastAsia="Times"/>
              </w:rPr>
            </w:pPr>
            <w:proofErr w:type="spellStart"/>
            <w:r w:rsidRPr="00A3130C">
              <w:rPr>
                <w:rFonts w:eastAsia="Times"/>
              </w:rPr>
              <w:t>AusSudan</w:t>
            </w:r>
            <w:proofErr w:type="spellEnd"/>
            <w:r w:rsidRPr="00A3130C">
              <w:rPr>
                <w:rFonts w:eastAsia="Times"/>
              </w:rPr>
              <w:t xml:space="preserve"> Aid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7AA9FE8" w14:textId="77777777" w:rsidR="00F962BE" w:rsidRPr="00A3130C" w:rsidRDefault="00F962BE">
            <w:pPr>
              <w:pStyle w:val="ARTabletext"/>
              <w:jc w:val="right"/>
              <w:rPr>
                <w:rFonts w:eastAsia="Times"/>
              </w:rPr>
            </w:pPr>
            <w:r w:rsidRPr="00A3130C">
              <w:rPr>
                <w:rFonts w:eastAsia="Times"/>
              </w:rPr>
              <w:t>2,000</w:t>
            </w:r>
          </w:p>
        </w:tc>
      </w:tr>
      <w:tr w:rsidR="00F962BE" w:rsidRPr="00A3130C" w14:paraId="58AE3185"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5AA18EA1" w14:textId="77777777" w:rsidR="00F962BE" w:rsidRPr="00A3130C" w:rsidRDefault="00F962BE">
            <w:pPr>
              <w:pStyle w:val="ARTabletext"/>
              <w:rPr>
                <w:rFonts w:eastAsia="Times"/>
              </w:rPr>
            </w:pPr>
            <w:proofErr w:type="gramStart"/>
            <w:r w:rsidRPr="00A3130C">
              <w:rPr>
                <w:rFonts w:eastAsia="Times"/>
              </w:rPr>
              <w:t>Australian-Filipino</w:t>
            </w:r>
            <w:proofErr w:type="gramEnd"/>
            <w:r w:rsidRPr="00A3130C">
              <w:rPr>
                <w:rFonts w:eastAsia="Times"/>
              </w:rPr>
              <w:t xml:space="preserve"> Community</w:t>
            </w:r>
            <w:r>
              <w:rPr>
                <w:rFonts w:eastAsia="Times"/>
              </w:rPr>
              <w:t> </w:t>
            </w:r>
            <w:r w:rsidRPr="00A3130C">
              <w:rPr>
                <w:rFonts w:eastAsia="Times"/>
              </w:rPr>
              <w:t>Services</w:t>
            </w:r>
            <w:r>
              <w:rPr>
                <w:rFonts w:eastAsia="Times"/>
              </w:rPr>
              <w:t> </w:t>
            </w:r>
            <w:r w:rsidRPr="00A3130C">
              <w:rPr>
                <w:rFonts w:eastAsia="Times"/>
              </w:rPr>
              <w:t>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2E9A6BC" w14:textId="77777777" w:rsidR="00F962BE" w:rsidRPr="00A3130C" w:rsidRDefault="00F962BE">
            <w:pPr>
              <w:pStyle w:val="ARTabletext"/>
              <w:jc w:val="right"/>
              <w:rPr>
                <w:rFonts w:eastAsia="Times"/>
              </w:rPr>
            </w:pPr>
            <w:r w:rsidRPr="00A3130C">
              <w:rPr>
                <w:rFonts w:eastAsia="Times"/>
              </w:rPr>
              <w:t>45,000</w:t>
            </w:r>
          </w:p>
        </w:tc>
      </w:tr>
      <w:tr w:rsidR="00F962BE" w:rsidRPr="00A3130C" w14:paraId="4FE2F2E7"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2DAE9024" w14:textId="77777777" w:rsidR="00F962BE" w:rsidRPr="00067149" w:rsidRDefault="00F962BE">
            <w:pPr>
              <w:pStyle w:val="ARTabletext"/>
              <w:rPr>
                <w:rFonts w:eastAsia="Times"/>
                <w:lang w:val="it-IT"/>
              </w:rPr>
            </w:pPr>
            <w:r w:rsidRPr="00067149">
              <w:rPr>
                <w:rFonts w:eastAsia="Times"/>
                <w:lang w:val="it-IT"/>
              </w:rPr>
              <w:t>Ballarat International Foto Biennale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1CDC70E0" w14:textId="77777777" w:rsidR="00F962BE" w:rsidRPr="00A3130C" w:rsidRDefault="00F962BE">
            <w:pPr>
              <w:pStyle w:val="ARTabletext"/>
              <w:jc w:val="right"/>
              <w:rPr>
                <w:rFonts w:eastAsia="Times"/>
              </w:rPr>
            </w:pPr>
            <w:r w:rsidRPr="00A3130C">
              <w:rPr>
                <w:rFonts w:eastAsia="Times"/>
              </w:rPr>
              <w:t>2,000</w:t>
            </w:r>
          </w:p>
        </w:tc>
      </w:tr>
      <w:tr w:rsidR="00F962BE" w:rsidRPr="00A3130C" w14:paraId="66D42E95"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508D643B" w14:textId="77777777" w:rsidR="00F962BE" w:rsidRPr="00A3130C" w:rsidRDefault="00F962BE">
            <w:pPr>
              <w:pStyle w:val="ARTabletext"/>
              <w:rPr>
                <w:rFonts w:eastAsia="Times"/>
              </w:rPr>
            </w:pPr>
            <w:r w:rsidRPr="00A3130C">
              <w:rPr>
                <w:rFonts w:eastAsia="Times"/>
              </w:rPr>
              <w:t>Ballarat Specialist School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B4AFCE1" w14:textId="77777777" w:rsidR="00F962BE" w:rsidRPr="00A3130C" w:rsidRDefault="00F962BE">
            <w:pPr>
              <w:pStyle w:val="ARTabletext"/>
              <w:jc w:val="right"/>
              <w:rPr>
                <w:rFonts w:eastAsia="Times"/>
              </w:rPr>
            </w:pPr>
            <w:r w:rsidRPr="00A3130C">
              <w:rPr>
                <w:rFonts w:eastAsia="Times"/>
              </w:rPr>
              <w:t>12,000</w:t>
            </w:r>
          </w:p>
        </w:tc>
      </w:tr>
      <w:tr w:rsidR="00F962BE" w:rsidRPr="00A3130C" w14:paraId="4D148D85"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750C0B14" w14:textId="77777777" w:rsidR="00F962BE" w:rsidRPr="00A3130C" w:rsidRDefault="00F962BE">
            <w:pPr>
              <w:pStyle w:val="ARTabletext"/>
              <w:rPr>
                <w:rFonts w:eastAsia="Times"/>
              </w:rPr>
            </w:pPr>
            <w:r w:rsidRPr="00A3130C">
              <w:rPr>
                <w:rFonts w:eastAsia="Times"/>
              </w:rPr>
              <w:t>Banyule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A11EF41" w14:textId="77777777" w:rsidR="00F962BE" w:rsidRPr="00A3130C" w:rsidRDefault="00F962BE">
            <w:pPr>
              <w:pStyle w:val="ARTabletext"/>
              <w:jc w:val="right"/>
              <w:rPr>
                <w:rFonts w:eastAsia="Times"/>
              </w:rPr>
            </w:pPr>
            <w:r w:rsidRPr="00A3130C">
              <w:rPr>
                <w:rFonts w:eastAsia="Times"/>
              </w:rPr>
              <w:t>88,666</w:t>
            </w:r>
          </w:p>
        </w:tc>
      </w:tr>
      <w:tr w:rsidR="00F962BE" w:rsidRPr="00A3130C" w14:paraId="7FDC8EC2"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2885F94A" w14:textId="77777777" w:rsidR="00F962BE" w:rsidRPr="00A3130C" w:rsidRDefault="00F962BE">
            <w:pPr>
              <w:pStyle w:val="ARTabletext"/>
              <w:rPr>
                <w:rFonts w:eastAsia="Times"/>
              </w:rPr>
            </w:pPr>
            <w:r w:rsidRPr="00A3130C">
              <w:rPr>
                <w:rFonts w:eastAsia="Times"/>
              </w:rPr>
              <w:t>Barwon Valley School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6B95AC8" w14:textId="77777777" w:rsidR="00F962BE" w:rsidRPr="00A3130C" w:rsidRDefault="00F962BE">
            <w:pPr>
              <w:pStyle w:val="ARTabletext"/>
              <w:jc w:val="right"/>
              <w:rPr>
                <w:rFonts w:eastAsia="Times"/>
              </w:rPr>
            </w:pPr>
            <w:r w:rsidRPr="00A3130C">
              <w:rPr>
                <w:rFonts w:eastAsia="Times"/>
              </w:rPr>
              <w:t>12,000</w:t>
            </w:r>
          </w:p>
        </w:tc>
      </w:tr>
      <w:tr w:rsidR="00F962BE" w:rsidRPr="00A3130C" w14:paraId="0985D5BC"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4B5D9C17" w14:textId="77777777" w:rsidR="00F962BE" w:rsidRPr="00A3130C" w:rsidRDefault="00F962BE">
            <w:pPr>
              <w:pStyle w:val="ARTabletext"/>
              <w:rPr>
                <w:rFonts w:eastAsia="Times"/>
              </w:rPr>
            </w:pPr>
            <w:r w:rsidRPr="00A3130C">
              <w:rPr>
                <w:rFonts w:eastAsia="Times"/>
              </w:rPr>
              <w:t>Bass Coast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13A02AF" w14:textId="77777777" w:rsidR="00F962BE" w:rsidRPr="00A3130C" w:rsidRDefault="00F962BE">
            <w:pPr>
              <w:pStyle w:val="ARTabletext"/>
              <w:jc w:val="right"/>
              <w:rPr>
                <w:rFonts w:eastAsia="Times"/>
              </w:rPr>
            </w:pPr>
            <w:r w:rsidRPr="00A3130C">
              <w:rPr>
                <w:rFonts w:eastAsia="Times"/>
              </w:rPr>
              <w:t>48,600</w:t>
            </w:r>
          </w:p>
        </w:tc>
      </w:tr>
      <w:tr w:rsidR="00F962BE" w:rsidRPr="00A3130C" w14:paraId="42B9D52D"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6E653ED2" w14:textId="77777777" w:rsidR="00F962BE" w:rsidRPr="00A3130C" w:rsidRDefault="00F962BE">
            <w:pPr>
              <w:pStyle w:val="ARTabletext"/>
              <w:rPr>
                <w:rFonts w:eastAsia="Times"/>
              </w:rPr>
            </w:pPr>
            <w:r w:rsidRPr="00A3130C">
              <w:rPr>
                <w:rFonts w:eastAsia="Times"/>
              </w:rPr>
              <w:t xml:space="preserve">Baw </w:t>
            </w:r>
            <w:proofErr w:type="spellStart"/>
            <w:r w:rsidRPr="00A3130C">
              <w:rPr>
                <w:rFonts w:eastAsia="Times"/>
              </w:rPr>
              <w:t>Baw</w:t>
            </w:r>
            <w:proofErr w:type="spellEnd"/>
            <w:r w:rsidRPr="00A3130C">
              <w:rPr>
                <w:rFonts w:eastAsia="Times"/>
              </w:rPr>
              <w:t xml:space="preserve"> Latrobe Local Learning and</w:t>
            </w:r>
            <w:r>
              <w:rPr>
                <w:rFonts w:eastAsia="Times"/>
              </w:rPr>
              <w:t> </w:t>
            </w:r>
            <w:r w:rsidRPr="00A3130C">
              <w:rPr>
                <w:rFonts w:eastAsia="Times"/>
              </w:rPr>
              <w:t>Employment Network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D2800F7" w14:textId="77777777" w:rsidR="00F962BE" w:rsidRPr="00A3130C" w:rsidRDefault="00F962BE">
            <w:pPr>
              <w:pStyle w:val="ARTabletext"/>
              <w:jc w:val="right"/>
              <w:rPr>
                <w:rFonts w:eastAsia="Times"/>
              </w:rPr>
            </w:pPr>
            <w:r w:rsidRPr="00A3130C">
              <w:rPr>
                <w:rFonts w:eastAsia="Times"/>
              </w:rPr>
              <w:t>55,000</w:t>
            </w:r>
          </w:p>
        </w:tc>
      </w:tr>
      <w:tr w:rsidR="00F962BE" w:rsidRPr="00A3130C" w14:paraId="5EDB88D1"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6E340A31" w14:textId="77777777" w:rsidR="00F962BE" w:rsidRPr="00A3130C" w:rsidRDefault="00F962BE">
            <w:pPr>
              <w:pStyle w:val="ARTabletext"/>
              <w:rPr>
                <w:rFonts w:eastAsia="Times"/>
              </w:rPr>
            </w:pPr>
            <w:r w:rsidRPr="00A3130C">
              <w:rPr>
                <w:rFonts w:eastAsia="Times"/>
              </w:rPr>
              <w:t xml:space="preserve">Baw </w:t>
            </w:r>
            <w:proofErr w:type="spellStart"/>
            <w:r w:rsidRPr="00A3130C">
              <w:rPr>
                <w:rFonts w:eastAsia="Times"/>
              </w:rPr>
              <w:t>Baw</w:t>
            </w:r>
            <w:proofErr w:type="spellEnd"/>
            <w:r w:rsidRPr="00A3130C">
              <w:rPr>
                <w:rFonts w:eastAsia="Times"/>
              </w:rPr>
              <w:t xml:space="preserve">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D77FAC0" w14:textId="77777777" w:rsidR="00F962BE" w:rsidRPr="00A3130C" w:rsidRDefault="00F962BE">
            <w:pPr>
              <w:pStyle w:val="ARTabletext"/>
              <w:jc w:val="right"/>
              <w:rPr>
                <w:rFonts w:eastAsia="Times"/>
              </w:rPr>
            </w:pPr>
            <w:r w:rsidRPr="00A3130C">
              <w:rPr>
                <w:rFonts w:eastAsia="Times"/>
              </w:rPr>
              <w:t>99,999</w:t>
            </w:r>
          </w:p>
        </w:tc>
      </w:tr>
      <w:tr w:rsidR="00F962BE" w:rsidRPr="00A3130C" w14:paraId="53128A68"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271C9770" w14:textId="77777777" w:rsidR="00F962BE" w:rsidRPr="00A3130C" w:rsidRDefault="00F962BE">
            <w:pPr>
              <w:pStyle w:val="ARTabletext"/>
              <w:rPr>
                <w:rFonts w:eastAsia="Times"/>
              </w:rPr>
            </w:pPr>
            <w:r w:rsidRPr="00A3130C">
              <w:rPr>
                <w:rFonts w:eastAsia="Times"/>
              </w:rPr>
              <w:t>Bayside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EEA718B" w14:textId="77777777" w:rsidR="00F962BE" w:rsidRPr="00A3130C" w:rsidRDefault="00F962BE">
            <w:pPr>
              <w:pStyle w:val="ARTabletext"/>
              <w:jc w:val="right"/>
              <w:rPr>
                <w:rFonts w:eastAsia="Times"/>
              </w:rPr>
            </w:pPr>
            <w:r w:rsidRPr="00A3130C">
              <w:rPr>
                <w:rFonts w:eastAsia="Times"/>
              </w:rPr>
              <w:t>42,000</w:t>
            </w:r>
          </w:p>
        </w:tc>
      </w:tr>
      <w:tr w:rsidR="00F962BE" w:rsidRPr="00A3130C" w14:paraId="1E1F7FE0"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0954985E" w14:textId="77777777" w:rsidR="00F962BE" w:rsidRPr="00A3130C" w:rsidRDefault="00F962BE">
            <w:pPr>
              <w:pStyle w:val="ARTabletext"/>
              <w:rPr>
                <w:rFonts w:eastAsia="Times"/>
              </w:rPr>
            </w:pPr>
            <w:r w:rsidRPr="00A3130C">
              <w:rPr>
                <w:rFonts w:eastAsia="Times"/>
              </w:rPr>
              <w:t>Beaufort Guides Support Group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D6606CC" w14:textId="77777777" w:rsidR="00F962BE" w:rsidRPr="00A3130C" w:rsidRDefault="00F962BE">
            <w:pPr>
              <w:pStyle w:val="ARTabletext"/>
              <w:jc w:val="right"/>
              <w:rPr>
                <w:rFonts w:eastAsia="Times"/>
              </w:rPr>
            </w:pPr>
            <w:r w:rsidRPr="00A3130C">
              <w:rPr>
                <w:rFonts w:eastAsia="Times"/>
              </w:rPr>
              <w:t>50,000</w:t>
            </w:r>
          </w:p>
        </w:tc>
      </w:tr>
      <w:tr w:rsidR="00F962BE" w:rsidRPr="00A3130C" w14:paraId="689D0EC8"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39797DF5" w14:textId="77777777" w:rsidR="00F962BE" w:rsidRPr="00A3130C" w:rsidRDefault="00F962BE">
            <w:pPr>
              <w:pStyle w:val="ARTabletext"/>
              <w:rPr>
                <w:rFonts w:eastAsia="Times"/>
              </w:rPr>
            </w:pPr>
            <w:r w:rsidRPr="00A3130C">
              <w:rPr>
                <w:rFonts w:eastAsia="Times"/>
              </w:rPr>
              <w:t>Benalla Rural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4E1E1B8" w14:textId="77777777" w:rsidR="00F962BE" w:rsidRPr="00A3130C" w:rsidRDefault="00F962BE">
            <w:pPr>
              <w:pStyle w:val="ARTabletext"/>
              <w:jc w:val="right"/>
              <w:rPr>
                <w:rFonts w:eastAsia="Times"/>
              </w:rPr>
            </w:pPr>
            <w:r w:rsidRPr="00A3130C">
              <w:rPr>
                <w:rFonts w:eastAsia="Times"/>
              </w:rPr>
              <w:t>79,999</w:t>
            </w:r>
          </w:p>
        </w:tc>
      </w:tr>
      <w:tr w:rsidR="00F962BE" w:rsidRPr="00A3130C" w14:paraId="19084B61"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6C4CFEAC" w14:textId="77777777" w:rsidR="00F962BE" w:rsidRPr="00A3130C" w:rsidRDefault="00F962BE">
            <w:pPr>
              <w:pStyle w:val="ARTabletext"/>
              <w:rPr>
                <w:rFonts w:eastAsia="Times"/>
              </w:rPr>
            </w:pPr>
            <w:r w:rsidRPr="00A3130C">
              <w:rPr>
                <w:rFonts w:eastAsia="Times"/>
              </w:rPr>
              <w:t>Bendigo and District Aboriginal</w:t>
            </w:r>
            <w:r>
              <w:rPr>
                <w:rFonts w:eastAsia="Times"/>
              </w:rPr>
              <w:t> </w:t>
            </w:r>
            <w:r w:rsidRPr="00A3130C">
              <w:rPr>
                <w:rFonts w:eastAsia="Times"/>
              </w:rPr>
              <w:t>Cooperative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0D2FB87" w14:textId="77777777" w:rsidR="00F962BE" w:rsidRPr="00A3130C" w:rsidRDefault="00F962BE">
            <w:pPr>
              <w:pStyle w:val="ARTabletext"/>
              <w:jc w:val="right"/>
              <w:rPr>
                <w:rFonts w:eastAsia="Times"/>
              </w:rPr>
            </w:pPr>
            <w:r w:rsidRPr="00A3130C">
              <w:rPr>
                <w:rFonts w:eastAsia="Times"/>
              </w:rPr>
              <w:t>67,500</w:t>
            </w:r>
          </w:p>
        </w:tc>
      </w:tr>
      <w:tr w:rsidR="00F962BE" w:rsidRPr="00A3130C" w14:paraId="1D74735E"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6E4079D7" w14:textId="77777777" w:rsidR="00F962BE" w:rsidRPr="00A3130C" w:rsidRDefault="00F962BE">
            <w:pPr>
              <w:pStyle w:val="ARTabletext"/>
              <w:rPr>
                <w:rFonts w:eastAsia="Times"/>
              </w:rPr>
            </w:pPr>
            <w:r w:rsidRPr="00A3130C">
              <w:rPr>
                <w:rFonts w:eastAsia="Times"/>
              </w:rPr>
              <w:t>Berry Street Victoria Incorporated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A8F1063" w14:textId="77777777" w:rsidR="00F962BE" w:rsidRPr="00A3130C" w:rsidRDefault="00F962BE">
            <w:pPr>
              <w:pStyle w:val="ARTabletext"/>
              <w:jc w:val="right"/>
              <w:rPr>
                <w:rFonts w:eastAsia="Times"/>
              </w:rPr>
            </w:pPr>
            <w:r w:rsidRPr="00A3130C">
              <w:rPr>
                <w:rFonts w:eastAsia="Times"/>
              </w:rPr>
              <w:t>114,999</w:t>
            </w:r>
          </w:p>
        </w:tc>
      </w:tr>
      <w:tr w:rsidR="00F962BE" w:rsidRPr="00A3130C" w14:paraId="489AA8F7"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177AA8FB" w14:textId="77777777" w:rsidR="00F962BE" w:rsidRPr="00A3130C" w:rsidRDefault="00F962BE">
            <w:pPr>
              <w:pStyle w:val="ARTabletext"/>
              <w:rPr>
                <w:rFonts w:eastAsia="Times"/>
              </w:rPr>
            </w:pPr>
            <w:r w:rsidRPr="00A3130C">
              <w:rPr>
                <w:rFonts w:eastAsia="Times"/>
              </w:rPr>
              <w:t>Birchip Neighbourhood House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7B151C4" w14:textId="77777777" w:rsidR="00F962BE" w:rsidRPr="00A3130C" w:rsidRDefault="00F962BE">
            <w:pPr>
              <w:pStyle w:val="ARTabletext"/>
              <w:jc w:val="right"/>
              <w:rPr>
                <w:rFonts w:eastAsia="Times"/>
              </w:rPr>
            </w:pPr>
            <w:r w:rsidRPr="00A3130C">
              <w:rPr>
                <w:rFonts w:eastAsia="Times"/>
              </w:rPr>
              <w:t>42,000</w:t>
            </w:r>
          </w:p>
        </w:tc>
      </w:tr>
      <w:tr w:rsidR="00F962BE" w:rsidRPr="00A3130C" w14:paraId="729C49B8"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7050E09F" w14:textId="77777777" w:rsidR="00F962BE" w:rsidRPr="00A3130C" w:rsidRDefault="00F962BE">
            <w:pPr>
              <w:pStyle w:val="ARTabletext"/>
              <w:rPr>
                <w:rFonts w:eastAsia="Times"/>
              </w:rPr>
            </w:pPr>
            <w:r w:rsidRPr="00A3130C">
              <w:rPr>
                <w:rFonts w:eastAsia="Times"/>
              </w:rPr>
              <w:t>Birchip P-12 School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9C62C3F" w14:textId="77777777" w:rsidR="00F962BE" w:rsidRPr="00A3130C" w:rsidRDefault="00F962BE">
            <w:pPr>
              <w:pStyle w:val="ARTabletext"/>
              <w:jc w:val="right"/>
              <w:rPr>
                <w:rFonts w:eastAsia="Times"/>
              </w:rPr>
            </w:pPr>
            <w:r w:rsidRPr="00A3130C">
              <w:rPr>
                <w:rFonts w:eastAsia="Times"/>
              </w:rPr>
              <w:t>14,000</w:t>
            </w:r>
          </w:p>
        </w:tc>
      </w:tr>
      <w:tr w:rsidR="00F962BE" w:rsidRPr="00A3130C" w14:paraId="31BC3529"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70C51A11" w14:textId="77777777" w:rsidR="00F962BE" w:rsidRPr="00A3130C" w:rsidRDefault="00F962BE">
            <w:pPr>
              <w:pStyle w:val="ARTabletext"/>
              <w:rPr>
                <w:rFonts w:eastAsia="Times"/>
              </w:rPr>
            </w:pPr>
            <w:r w:rsidRPr="00A3130C">
              <w:rPr>
                <w:rFonts w:eastAsia="Times"/>
              </w:rPr>
              <w:t>Bluebird Foundation</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485F2B0" w14:textId="77777777" w:rsidR="00F962BE" w:rsidRPr="00A3130C" w:rsidRDefault="00F962BE">
            <w:pPr>
              <w:pStyle w:val="ARTabletext"/>
              <w:jc w:val="right"/>
              <w:rPr>
                <w:rFonts w:eastAsia="Times"/>
              </w:rPr>
            </w:pPr>
            <w:r w:rsidRPr="00A3130C">
              <w:rPr>
                <w:rFonts w:eastAsia="Times"/>
              </w:rPr>
              <w:t>2,000</w:t>
            </w:r>
          </w:p>
        </w:tc>
      </w:tr>
      <w:tr w:rsidR="00F962BE" w:rsidRPr="00A3130C" w14:paraId="18FB1588"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1C503CF7" w14:textId="77777777" w:rsidR="00F962BE" w:rsidRPr="00A3130C" w:rsidRDefault="00F962BE">
            <w:pPr>
              <w:pStyle w:val="ARTabletext"/>
              <w:rPr>
                <w:rFonts w:eastAsia="Times"/>
              </w:rPr>
            </w:pPr>
            <w:proofErr w:type="spellStart"/>
            <w:r w:rsidRPr="00A3130C">
              <w:rPr>
                <w:rFonts w:eastAsia="Times"/>
              </w:rPr>
              <w:t>Brimbank</w:t>
            </w:r>
            <w:proofErr w:type="spellEnd"/>
            <w:r w:rsidRPr="00A3130C">
              <w:rPr>
                <w:rFonts w:eastAsia="Times"/>
              </w:rPr>
              <w:t xml:space="preserve">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D3F85C1" w14:textId="77777777" w:rsidR="00F962BE" w:rsidRPr="00A3130C" w:rsidRDefault="00F962BE">
            <w:pPr>
              <w:pStyle w:val="ARTabletext"/>
              <w:jc w:val="right"/>
              <w:rPr>
                <w:rFonts w:eastAsia="Times"/>
              </w:rPr>
            </w:pPr>
            <w:r w:rsidRPr="00A3130C">
              <w:rPr>
                <w:rFonts w:eastAsia="Times"/>
              </w:rPr>
              <w:t>40,000</w:t>
            </w:r>
          </w:p>
        </w:tc>
      </w:tr>
      <w:tr w:rsidR="00F962BE" w:rsidRPr="00A3130C" w14:paraId="19755AAA"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7375C2C4" w14:textId="77777777" w:rsidR="00F962BE" w:rsidRPr="00A3130C" w:rsidRDefault="00F962BE">
            <w:pPr>
              <w:pStyle w:val="ARTabletext"/>
              <w:rPr>
                <w:rFonts w:eastAsia="Times"/>
              </w:rPr>
            </w:pPr>
            <w:r w:rsidRPr="00A3130C">
              <w:rPr>
                <w:rFonts w:eastAsia="Times"/>
              </w:rPr>
              <w:t>Brophy Family and Youth Services</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7BDDA88" w14:textId="77777777" w:rsidR="00F962BE" w:rsidRPr="00A3130C" w:rsidRDefault="00F962BE">
            <w:pPr>
              <w:pStyle w:val="ARTabletext"/>
              <w:jc w:val="right"/>
              <w:rPr>
                <w:rFonts w:eastAsia="Times"/>
              </w:rPr>
            </w:pPr>
            <w:r w:rsidRPr="00A3130C">
              <w:rPr>
                <w:rFonts w:eastAsia="Times"/>
              </w:rPr>
              <w:t>2,000</w:t>
            </w:r>
          </w:p>
        </w:tc>
      </w:tr>
      <w:tr w:rsidR="00F962BE" w:rsidRPr="00A3130C" w14:paraId="5FD0E38B"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4623FBA2" w14:textId="77777777" w:rsidR="00F962BE" w:rsidRPr="00A3130C" w:rsidRDefault="00F962BE">
            <w:pPr>
              <w:pStyle w:val="ARTabletext"/>
              <w:rPr>
                <w:rFonts w:eastAsia="Times"/>
              </w:rPr>
            </w:pPr>
            <w:proofErr w:type="spellStart"/>
            <w:r w:rsidRPr="00A3130C">
              <w:rPr>
                <w:rFonts w:eastAsia="Times"/>
              </w:rPr>
              <w:t>Buloke</w:t>
            </w:r>
            <w:proofErr w:type="spellEnd"/>
            <w:r w:rsidRPr="00A3130C">
              <w:rPr>
                <w:rFonts w:eastAsia="Times"/>
              </w:rPr>
              <w:t xml:space="preserve">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D794174" w14:textId="77777777" w:rsidR="00F962BE" w:rsidRPr="00A3130C" w:rsidRDefault="00F962BE">
            <w:pPr>
              <w:pStyle w:val="ARTabletext"/>
              <w:jc w:val="right"/>
              <w:rPr>
                <w:rFonts w:eastAsia="Times"/>
              </w:rPr>
            </w:pPr>
            <w:r w:rsidRPr="00A3130C">
              <w:rPr>
                <w:rFonts w:eastAsia="Times"/>
              </w:rPr>
              <w:t>2,000</w:t>
            </w:r>
          </w:p>
        </w:tc>
      </w:tr>
      <w:tr w:rsidR="00F962BE" w:rsidRPr="00A3130C" w14:paraId="4AAEBD3E"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6BB6349E" w14:textId="77777777" w:rsidR="00F962BE" w:rsidRPr="00A3130C" w:rsidRDefault="00F962BE">
            <w:pPr>
              <w:pStyle w:val="ARTabletext"/>
              <w:rPr>
                <w:rFonts w:eastAsia="Times"/>
              </w:rPr>
            </w:pPr>
            <w:proofErr w:type="spellStart"/>
            <w:r w:rsidRPr="00A3130C">
              <w:rPr>
                <w:rFonts w:eastAsia="Times"/>
              </w:rPr>
              <w:t>Burrinja</w:t>
            </w:r>
            <w:proofErr w:type="spellEnd"/>
            <w:r w:rsidRPr="00A3130C">
              <w:rPr>
                <w:rFonts w:eastAsia="Times"/>
              </w:rPr>
              <w:t xml:space="preserve"> Cultural Centre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80D8B88" w14:textId="77777777" w:rsidR="00F962BE" w:rsidRPr="00A3130C" w:rsidRDefault="00F962BE">
            <w:pPr>
              <w:pStyle w:val="ARTabletext"/>
              <w:jc w:val="right"/>
              <w:rPr>
                <w:rFonts w:eastAsia="Times"/>
              </w:rPr>
            </w:pPr>
            <w:r w:rsidRPr="00A3130C">
              <w:rPr>
                <w:rFonts w:eastAsia="Times"/>
              </w:rPr>
              <w:t>2,000</w:t>
            </w:r>
          </w:p>
        </w:tc>
      </w:tr>
      <w:tr w:rsidR="00F962BE" w:rsidRPr="00A3130C" w14:paraId="46F19EF1"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2C9ECF63" w14:textId="77777777" w:rsidR="00F962BE" w:rsidRPr="00A3130C" w:rsidRDefault="00F962BE">
            <w:pPr>
              <w:pStyle w:val="ARTabletext"/>
              <w:rPr>
                <w:rFonts w:eastAsia="Times"/>
              </w:rPr>
            </w:pPr>
            <w:r w:rsidRPr="00A3130C">
              <w:rPr>
                <w:rFonts w:eastAsia="Times"/>
              </w:rPr>
              <w:t>Campaspe Cohuna Local Learning and</w:t>
            </w:r>
            <w:r>
              <w:rPr>
                <w:rFonts w:eastAsia="Times"/>
              </w:rPr>
              <w:t> </w:t>
            </w:r>
            <w:r w:rsidRPr="00A3130C">
              <w:rPr>
                <w:rFonts w:eastAsia="Times"/>
              </w:rPr>
              <w:t>Employment Network</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386D6F7" w14:textId="77777777" w:rsidR="00F962BE" w:rsidRPr="00A3130C" w:rsidRDefault="00F962BE">
            <w:pPr>
              <w:pStyle w:val="ARTabletext"/>
              <w:jc w:val="right"/>
              <w:rPr>
                <w:rFonts w:eastAsia="Times"/>
              </w:rPr>
            </w:pPr>
            <w:r w:rsidRPr="00A3130C">
              <w:rPr>
                <w:rFonts w:eastAsia="Times"/>
              </w:rPr>
              <w:t>2,000</w:t>
            </w:r>
          </w:p>
        </w:tc>
      </w:tr>
      <w:tr w:rsidR="00F962BE" w:rsidRPr="00A3130C" w14:paraId="202F6E94"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3E6B5BE4" w14:textId="77777777" w:rsidR="00F962BE" w:rsidRPr="00A3130C" w:rsidRDefault="00F962BE">
            <w:pPr>
              <w:pStyle w:val="ARTabletext"/>
              <w:rPr>
                <w:rFonts w:eastAsia="Times"/>
              </w:rPr>
            </w:pPr>
            <w:r w:rsidRPr="00A3130C">
              <w:rPr>
                <w:rFonts w:eastAsia="Times"/>
              </w:rPr>
              <w:t>Campaspe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7B11996" w14:textId="77777777" w:rsidR="00F962BE" w:rsidRPr="00A3130C" w:rsidRDefault="00F962BE">
            <w:pPr>
              <w:pStyle w:val="ARTabletext"/>
              <w:jc w:val="right"/>
              <w:rPr>
                <w:rFonts w:eastAsia="Times"/>
              </w:rPr>
            </w:pPr>
            <w:r w:rsidRPr="00A3130C">
              <w:rPr>
                <w:rFonts w:eastAsia="Times"/>
              </w:rPr>
              <w:t>99,999</w:t>
            </w:r>
          </w:p>
        </w:tc>
      </w:tr>
      <w:tr w:rsidR="00F962BE" w:rsidRPr="00A3130C" w14:paraId="3551A074"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56B1EA7F" w14:textId="77777777" w:rsidR="00F962BE" w:rsidRPr="00A3130C" w:rsidRDefault="00F962BE">
            <w:pPr>
              <w:pStyle w:val="ARTabletext"/>
              <w:rPr>
                <w:rFonts w:eastAsia="Times"/>
              </w:rPr>
            </w:pPr>
            <w:r w:rsidRPr="00A3130C">
              <w:rPr>
                <w:rFonts w:eastAsia="Times"/>
              </w:rPr>
              <w:t>Cardinia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27DF5F6" w14:textId="77777777" w:rsidR="00F962BE" w:rsidRPr="00A3130C" w:rsidRDefault="00F962BE">
            <w:pPr>
              <w:pStyle w:val="ARTabletext"/>
              <w:jc w:val="right"/>
              <w:rPr>
                <w:rFonts w:eastAsia="Times"/>
              </w:rPr>
            </w:pPr>
            <w:r w:rsidRPr="00A3130C">
              <w:rPr>
                <w:rFonts w:eastAsia="Times"/>
              </w:rPr>
              <w:t>91,999</w:t>
            </w:r>
          </w:p>
        </w:tc>
      </w:tr>
      <w:tr w:rsidR="00F962BE" w:rsidRPr="00A3130C" w14:paraId="765164A7"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178563ED" w14:textId="77777777" w:rsidR="00F962BE" w:rsidRPr="00A3130C" w:rsidRDefault="00F962BE">
            <w:pPr>
              <w:pStyle w:val="ARTabletext"/>
              <w:rPr>
                <w:rFonts w:eastAsia="Times"/>
              </w:rPr>
            </w:pPr>
            <w:r w:rsidRPr="00A3130C">
              <w:rPr>
                <w:rFonts w:eastAsia="Times"/>
              </w:rPr>
              <w:t>Castlemaine Secondary College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3574726" w14:textId="77777777" w:rsidR="00F962BE" w:rsidRPr="00A3130C" w:rsidRDefault="00F962BE">
            <w:pPr>
              <w:pStyle w:val="ARTabletext"/>
              <w:jc w:val="right"/>
              <w:rPr>
                <w:rFonts w:eastAsia="Times"/>
              </w:rPr>
            </w:pPr>
            <w:r w:rsidRPr="00A3130C">
              <w:rPr>
                <w:rFonts w:eastAsia="Times"/>
              </w:rPr>
              <w:t>12,000</w:t>
            </w:r>
          </w:p>
        </w:tc>
      </w:tr>
      <w:tr w:rsidR="00F962BE" w:rsidRPr="00A3130C" w14:paraId="1CC21E65"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2B8F5195" w14:textId="77777777" w:rsidR="00F962BE" w:rsidRPr="00A3130C" w:rsidRDefault="00F962BE">
            <w:pPr>
              <w:pStyle w:val="ARTabletext"/>
              <w:rPr>
                <w:rFonts w:eastAsia="Times"/>
              </w:rPr>
            </w:pPr>
            <w:proofErr w:type="spellStart"/>
            <w:r w:rsidRPr="00A3130C">
              <w:rPr>
                <w:rFonts w:eastAsia="Times"/>
              </w:rPr>
              <w:t>CatholicCare</w:t>
            </w:r>
            <w:proofErr w:type="spellEnd"/>
            <w:r w:rsidRPr="00A3130C">
              <w:rPr>
                <w:rFonts w:eastAsia="Times"/>
              </w:rPr>
              <w:t xml:space="preserve"> Victoria Ltd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4397ECC" w14:textId="77777777" w:rsidR="00F962BE" w:rsidRPr="00A3130C" w:rsidRDefault="00F962BE">
            <w:pPr>
              <w:pStyle w:val="ARTabletext"/>
              <w:jc w:val="right"/>
              <w:rPr>
                <w:rFonts w:eastAsia="Times"/>
              </w:rPr>
            </w:pPr>
            <w:r w:rsidRPr="00A3130C">
              <w:rPr>
                <w:rFonts w:eastAsia="Times"/>
              </w:rPr>
              <w:t>65,000</w:t>
            </w:r>
          </w:p>
        </w:tc>
      </w:tr>
      <w:tr w:rsidR="00F962BE" w:rsidRPr="00A3130C" w14:paraId="4F79486C"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5E14CAB4" w14:textId="77777777" w:rsidR="00F962BE" w:rsidRPr="00A3130C" w:rsidRDefault="00F962BE">
            <w:pPr>
              <w:pStyle w:val="ARTabletext"/>
              <w:rPr>
                <w:rFonts w:eastAsia="Times"/>
              </w:rPr>
            </w:pPr>
            <w:r w:rsidRPr="00A3130C">
              <w:rPr>
                <w:rFonts w:eastAsia="Times"/>
              </w:rPr>
              <w:t>Central Goldfields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EB13634" w14:textId="77777777" w:rsidR="00F962BE" w:rsidRPr="00A3130C" w:rsidRDefault="00F962BE">
            <w:pPr>
              <w:pStyle w:val="ARTabletext"/>
              <w:jc w:val="right"/>
              <w:rPr>
                <w:rFonts w:eastAsia="Times"/>
              </w:rPr>
            </w:pPr>
            <w:r w:rsidRPr="00A3130C">
              <w:rPr>
                <w:rFonts w:eastAsia="Times"/>
              </w:rPr>
              <w:t>91,999</w:t>
            </w:r>
          </w:p>
        </w:tc>
      </w:tr>
      <w:tr w:rsidR="00F962BE" w:rsidRPr="00A3130C" w14:paraId="5E7670BC"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7ADC47C6" w14:textId="77777777" w:rsidR="00F962BE" w:rsidRPr="00A3130C" w:rsidRDefault="00F962BE">
            <w:pPr>
              <w:pStyle w:val="ARTabletext"/>
              <w:rPr>
                <w:rFonts w:eastAsia="Times"/>
              </w:rPr>
            </w:pPr>
            <w:r w:rsidRPr="00A3130C">
              <w:rPr>
                <w:rFonts w:eastAsia="Times"/>
              </w:rPr>
              <w:t>Centre for Multicultural Youth</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FBA7063" w14:textId="77777777" w:rsidR="00F962BE" w:rsidRPr="00A3130C" w:rsidRDefault="00F962BE">
            <w:pPr>
              <w:pStyle w:val="ARTabletext"/>
              <w:jc w:val="right"/>
              <w:rPr>
                <w:rFonts w:eastAsia="Times"/>
              </w:rPr>
            </w:pPr>
            <w:r w:rsidRPr="00A3130C">
              <w:rPr>
                <w:rFonts w:eastAsia="Times"/>
              </w:rPr>
              <w:t>7,231,310</w:t>
            </w:r>
          </w:p>
        </w:tc>
      </w:tr>
      <w:tr w:rsidR="00F962BE" w:rsidRPr="00A3130C" w14:paraId="1FC5425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00CFD65C" w14:textId="77777777" w:rsidR="00F962BE" w:rsidRPr="007B370C" w:rsidRDefault="00F962BE">
            <w:pPr>
              <w:pStyle w:val="ARTabletext"/>
              <w:rPr>
                <w:rFonts w:eastAsia="Times"/>
                <w:lang w:val="fr-FR"/>
              </w:rPr>
            </w:pPr>
            <w:r w:rsidRPr="007B370C">
              <w:rPr>
                <w:rFonts w:eastAsia="Times"/>
                <w:lang w:val="fr-FR"/>
              </w:rPr>
              <w:t xml:space="preserve">Charles La Trobe P-12 </w:t>
            </w:r>
            <w:proofErr w:type="spellStart"/>
            <w:r w:rsidRPr="007B370C">
              <w:rPr>
                <w:rFonts w:eastAsia="Times"/>
                <w:lang w:val="fr-FR"/>
              </w:rPr>
              <w:t>College</w:t>
            </w:r>
            <w:proofErr w:type="spellEnd"/>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05F36C7" w14:textId="77777777" w:rsidR="00F962BE" w:rsidRPr="00A3130C" w:rsidRDefault="00F962BE">
            <w:pPr>
              <w:pStyle w:val="ARTabletext"/>
              <w:jc w:val="right"/>
              <w:rPr>
                <w:rFonts w:eastAsia="Times"/>
              </w:rPr>
            </w:pPr>
            <w:r w:rsidRPr="00A3130C">
              <w:rPr>
                <w:rFonts w:eastAsia="Times"/>
              </w:rPr>
              <w:t>17,500</w:t>
            </w:r>
          </w:p>
        </w:tc>
      </w:tr>
      <w:tr w:rsidR="00F962BE" w:rsidRPr="00A3130C" w14:paraId="5A0CF299"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6D8EE4EF" w14:textId="77777777" w:rsidR="00F962BE" w:rsidRPr="00A3130C" w:rsidRDefault="00F962BE">
            <w:pPr>
              <w:pStyle w:val="ARTabletext"/>
              <w:rPr>
                <w:rFonts w:eastAsia="Times"/>
              </w:rPr>
            </w:pPr>
            <w:r w:rsidRPr="00A3130C">
              <w:rPr>
                <w:rFonts w:eastAsia="Times"/>
              </w:rPr>
              <w:t>Cheltenham Community Centre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1DF1A328" w14:textId="77777777" w:rsidR="00F962BE" w:rsidRPr="00A3130C" w:rsidRDefault="00F962BE">
            <w:pPr>
              <w:pStyle w:val="ARTabletext"/>
              <w:jc w:val="right"/>
              <w:rPr>
                <w:rFonts w:eastAsia="Times"/>
              </w:rPr>
            </w:pPr>
            <w:r w:rsidRPr="00A3130C">
              <w:rPr>
                <w:rFonts w:eastAsia="Times"/>
              </w:rPr>
              <w:t>53,333</w:t>
            </w:r>
          </w:p>
        </w:tc>
      </w:tr>
      <w:tr w:rsidR="00F962BE" w:rsidRPr="00A3130C" w14:paraId="79457297"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3DC3B2D8" w14:textId="77777777" w:rsidR="00F962BE" w:rsidRPr="00A3130C" w:rsidRDefault="00F962BE">
            <w:pPr>
              <w:pStyle w:val="ARTabletext"/>
              <w:rPr>
                <w:rFonts w:eastAsia="Times"/>
              </w:rPr>
            </w:pPr>
            <w:r w:rsidRPr="00A3130C">
              <w:rPr>
                <w:rFonts w:eastAsia="Times"/>
              </w:rPr>
              <w:t>City of Ballarat</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17B0EB74" w14:textId="77777777" w:rsidR="00F962BE" w:rsidRPr="00A3130C" w:rsidRDefault="00F962BE">
            <w:pPr>
              <w:pStyle w:val="ARTabletext"/>
              <w:jc w:val="right"/>
              <w:rPr>
                <w:rFonts w:eastAsia="Times"/>
              </w:rPr>
            </w:pPr>
            <w:r w:rsidRPr="00A3130C">
              <w:rPr>
                <w:rFonts w:eastAsia="Times"/>
              </w:rPr>
              <w:t>42,000</w:t>
            </w:r>
          </w:p>
        </w:tc>
      </w:tr>
      <w:tr w:rsidR="00F962BE" w:rsidRPr="00A3130C" w14:paraId="24D45D29"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784A068F" w14:textId="77777777" w:rsidR="00F962BE" w:rsidRPr="00A3130C" w:rsidRDefault="00F962BE">
            <w:pPr>
              <w:pStyle w:val="ARTabletext"/>
              <w:rPr>
                <w:rFonts w:eastAsia="Times"/>
              </w:rPr>
            </w:pPr>
            <w:r w:rsidRPr="00A3130C">
              <w:rPr>
                <w:rFonts w:eastAsia="Times"/>
              </w:rPr>
              <w:t>City of Casey</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AEA97F5" w14:textId="77777777" w:rsidR="00F962BE" w:rsidRPr="00A3130C" w:rsidRDefault="00F962BE">
            <w:pPr>
              <w:pStyle w:val="ARTabletext"/>
              <w:jc w:val="right"/>
              <w:rPr>
                <w:rFonts w:eastAsia="Times"/>
              </w:rPr>
            </w:pPr>
            <w:r w:rsidRPr="00A3130C">
              <w:rPr>
                <w:rFonts w:eastAsia="Times"/>
              </w:rPr>
              <w:t>40,000</w:t>
            </w:r>
          </w:p>
        </w:tc>
      </w:tr>
      <w:tr w:rsidR="00F962BE" w:rsidRPr="00A3130C" w14:paraId="7F2EAF13"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0206A87E" w14:textId="77777777" w:rsidR="00F962BE" w:rsidRPr="00A3130C" w:rsidRDefault="00F962BE">
            <w:pPr>
              <w:pStyle w:val="ARTabletext"/>
              <w:rPr>
                <w:rFonts w:eastAsia="Times"/>
              </w:rPr>
            </w:pPr>
            <w:r w:rsidRPr="00A3130C">
              <w:rPr>
                <w:rFonts w:eastAsia="Times"/>
              </w:rPr>
              <w:t>City of Greater Bendigo</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47A9EE6" w14:textId="77777777" w:rsidR="00F962BE" w:rsidRPr="00A3130C" w:rsidRDefault="00F962BE">
            <w:pPr>
              <w:pStyle w:val="ARTabletext"/>
              <w:jc w:val="right"/>
              <w:rPr>
                <w:rFonts w:eastAsia="Times"/>
              </w:rPr>
            </w:pPr>
            <w:r w:rsidRPr="00A3130C">
              <w:rPr>
                <w:rFonts w:eastAsia="Times"/>
              </w:rPr>
              <w:t>42,000</w:t>
            </w:r>
          </w:p>
        </w:tc>
      </w:tr>
      <w:tr w:rsidR="00F962BE" w:rsidRPr="00A3130C" w14:paraId="05FCAE3F"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3CFF74B9" w14:textId="77777777" w:rsidR="00F962BE" w:rsidRPr="00A3130C" w:rsidRDefault="00F962BE">
            <w:pPr>
              <w:pStyle w:val="ARTabletext"/>
              <w:rPr>
                <w:rFonts w:eastAsia="Times"/>
              </w:rPr>
            </w:pPr>
            <w:r w:rsidRPr="00A3130C">
              <w:rPr>
                <w:rFonts w:eastAsia="Times"/>
              </w:rPr>
              <w:t>City of Greater Dandenong</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F2DAAC2" w14:textId="77777777" w:rsidR="00F962BE" w:rsidRPr="00A3130C" w:rsidRDefault="00F962BE">
            <w:pPr>
              <w:pStyle w:val="ARTabletext"/>
              <w:jc w:val="right"/>
              <w:rPr>
                <w:rFonts w:eastAsia="Times"/>
              </w:rPr>
            </w:pPr>
            <w:r w:rsidRPr="00A3130C">
              <w:rPr>
                <w:rFonts w:eastAsia="Times"/>
              </w:rPr>
              <w:t>89,999</w:t>
            </w:r>
          </w:p>
        </w:tc>
      </w:tr>
      <w:tr w:rsidR="00F962BE" w:rsidRPr="00A3130C" w14:paraId="51C29AFB"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49B54B3A" w14:textId="77777777" w:rsidR="00F962BE" w:rsidRPr="00A3130C" w:rsidRDefault="00F962BE">
            <w:pPr>
              <w:pStyle w:val="ARTabletext"/>
              <w:rPr>
                <w:rFonts w:eastAsia="Times"/>
              </w:rPr>
            </w:pPr>
            <w:r w:rsidRPr="00A3130C">
              <w:rPr>
                <w:rFonts w:eastAsia="Times"/>
              </w:rPr>
              <w:t>City of Greater Geelong</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B13CD95" w14:textId="77777777" w:rsidR="00F962BE" w:rsidRPr="00A3130C" w:rsidRDefault="00F962BE">
            <w:pPr>
              <w:pStyle w:val="ARTabletext"/>
              <w:jc w:val="right"/>
              <w:rPr>
                <w:rFonts w:eastAsia="Times"/>
              </w:rPr>
            </w:pPr>
            <w:r w:rsidRPr="00A3130C">
              <w:rPr>
                <w:rFonts w:eastAsia="Times"/>
              </w:rPr>
              <w:t>66,999</w:t>
            </w:r>
          </w:p>
        </w:tc>
      </w:tr>
      <w:tr w:rsidR="00F962BE" w:rsidRPr="00A3130C" w14:paraId="30221E01"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31C05E75" w14:textId="77777777" w:rsidR="00F962BE" w:rsidRPr="00A3130C" w:rsidRDefault="00F962BE">
            <w:pPr>
              <w:pStyle w:val="ARTabletext"/>
              <w:rPr>
                <w:rFonts w:eastAsia="Times"/>
              </w:rPr>
            </w:pPr>
            <w:r w:rsidRPr="00A3130C">
              <w:rPr>
                <w:rFonts w:eastAsia="Times"/>
              </w:rPr>
              <w:t>City of Melbourne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BF48F16" w14:textId="77777777" w:rsidR="00F962BE" w:rsidRPr="00A3130C" w:rsidRDefault="00F962BE">
            <w:pPr>
              <w:pStyle w:val="ARTabletext"/>
              <w:jc w:val="right"/>
              <w:rPr>
                <w:rFonts w:eastAsia="Times"/>
              </w:rPr>
            </w:pPr>
            <w:r w:rsidRPr="00A3130C">
              <w:rPr>
                <w:rFonts w:eastAsia="Times"/>
              </w:rPr>
              <w:t>2,000</w:t>
            </w:r>
          </w:p>
        </w:tc>
      </w:tr>
      <w:tr w:rsidR="00F962BE" w:rsidRPr="00A3130C" w14:paraId="415EBDC0"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27E5CC21" w14:textId="77777777" w:rsidR="00F962BE" w:rsidRPr="00A3130C" w:rsidRDefault="00F962BE">
            <w:pPr>
              <w:pStyle w:val="ARTabletext"/>
              <w:rPr>
                <w:rFonts w:eastAsia="Times"/>
              </w:rPr>
            </w:pPr>
            <w:r w:rsidRPr="00A3130C">
              <w:rPr>
                <w:rFonts w:eastAsia="Times"/>
              </w:rPr>
              <w:t>City of Monash</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5D4D792" w14:textId="77777777" w:rsidR="00F962BE" w:rsidRPr="00A3130C" w:rsidRDefault="00F962BE">
            <w:pPr>
              <w:pStyle w:val="ARTabletext"/>
              <w:jc w:val="right"/>
              <w:rPr>
                <w:rFonts w:eastAsia="Times"/>
              </w:rPr>
            </w:pPr>
            <w:r w:rsidRPr="00A3130C">
              <w:rPr>
                <w:rFonts w:eastAsia="Times"/>
              </w:rPr>
              <w:t>52,000</w:t>
            </w:r>
          </w:p>
        </w:tc>
      </w:tr>
      <w:tr w:rsidR="00F962BE" w:rsidRPr="00A3130C" w14:paraId="62954FB4"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6AA2540D" w14:textId="77777777" w:rsidR="00F962BE" w:rsidRPr="00A3130C" w:rsidRDefault="00F962BE">
            <w:pPr>
              <w:pStyle w:val="ARTabletext"/>
              <w:rPr>
                <w:rFonts w:eastAsia="Times"/>
              </w:rPr>
            </w:pPr>
            <w:r w:rsidRPr="00A3130C">
              <w:rPr>
                <w:rFonts w:eastAsia="Times"/>
              </w:rPr>
              <w:t>City of Port Phillip</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07F66BD" w14:textId="77777777" w:rsidR="00F962BE" w:rsidRPr="00A3130C" w:rsidRDefault="00F962BE">
            <w:pPr>
              <w:pStyle w:val="ARTabletext"/>
              <w:jc w:val="right"/>
              <w:rPr>
                <w:rFonts w:eastAsia="Times"/>
              </w:rPr>
            </w:pPr>
            <w:r w:rsidRPr="00A3130C">
              <w:rPr>
                <w:rFonts w:eastAsia="Times"/>
              </w:rPr>
              <w:t>52,000</w:t>
            </w:r>
          </w:p>
        </w:tc>
      </w:tr>
      <w:tr w:rsidR="00F962BE" w:rsidRPr="00A3130C" w14:paraId="1234DD44"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151F8DBA" w14:textId="77777777" w:rsidR="00F962BE" w:rsidRPr="00A3130C" w:rsidRDefault="00F962BE">
            <w:pPr>
              <w:pStyle w:val="ARTabletext"/>
              <w:rPr>
                <w:rFonts w:eastAsia="Times"/>
              </w:rPr>
            </w:pPr>
            <w:r w:rsidRPr="00A3130C">
              <w:rPr>
                <w:rFonts w:eastAsia="Times"/>
              </w:rPr>
              <w:t>City of Whittlesea</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68CCA2B" w14:textId="77777777" w:rsidR="00F962BE" w:rsidRPr="00A3130C" w:rsidRDefault="00F962BE">
            <w:pPr>
              <w:pStyle w:val="ARTabletext"/>
              <w:jc w:val="right"/>
              <w:rPr>
                <w:rFonts w:eastAsia="Times"/>
              </w:rPr>
            </w:pPr>
            <w:r w:rsidRPr="00A3130C">
              <w:rPr>
                <w:rFonts w:eastAsia="Times"/>
              </w:rPr>
              <w:t>40,000</w:t>
            </w:r>
          </w:p>
        </w:tc>
      </w:tr>
      <w:tr w:rsidR="00F962BE" w:rsidRPr="00A3130C" w14:paraId="7F711A28"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1119471B" w14:textId="77777777" w:rsidR="00F962BE" w:rsidRPr="00A3130C" w:rsidRDefault="00F962BE">
            <w:pPr>
              <w:pStyle w:val="ARTabletext"/>
              <w:rPr>
                <w:rFonts w:eastAsia="Times"/>
              </w:rPr>
            </w:pPr>
            <w:r w:rsidRPr="00A3130C">
              <w:rPr>
                <w:rFonts w:eastAsia="Times"/>
              </w:rPr>
              <w:t>Clunes Neighbourhood House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11C9A2A4" w14:textId="77777777" w:rsidR="00F962BE" w:rsidRPr="00A3130C" w:rsidRDefault="00F962BE">
            <w:pPr>
              <w:pStyle w:val="ARTabletext"/>
              <w:jc w:val="right"/>
              <w:rPr>
                <w:rFonts w:eastAsia="Times"/>
              </w:rPr>
            </w:pPr>
            <w:r w:rsidRPr="00A3130C">
              <w:rPr>
                <w:rFonts w:eastAsia="Times"/>
              </w:rPr>
              <w:t>12,000</w:t>
            </w:r>
          </w:p>
        </w:tc>
      </w:tr>
      <w:tr w:rsidR="00F962BE" w:rsidRPr="00A3130C" w14:paraId="6C58BDF5"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310573A8" w14:textId="77777777" w:rsidR="00F962BE" w:rsidRPr="00A3130C" w:rsidRDefault="00F962BE">
            <w:pPr>
              <w:pStyle w:val="ARTabletext"/>
              <w:rPr>
                <w:rFonts w:eastAsia="Times"/>
              </w:rPr>
            </w:pPr>
            <w:r w:rsidRPr="00A3130C">
              <w:rPr>
                <w:rFonts w:eastAsia="Times"/>
              </w:rPr>
              <w:t>Cobden Technical School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932C913" w14:textId="77777777" w:rsidR="00F962BE" w:rsidRPr="00A3130C" w:rsidRDefault="00F962BE">
            <w:pPr>
              <w:pStyle w:val="ARTabletext"/>
              <w:jc w:val="right"/>
              <w:rPr>
                <w:rFonts w:eastAsia="Times"/>
              </w:rPr>
            </w:pPr>
            <w:r w:rsidRPr="00A3130C">
              <w:rPr>
                <w:rFonts w:eastAsia="Times"/>
              </w:rPr>
              <w:t>12,000</w:t>
            </w:r>
          </w:p>
        </w:tc>
      </w:tr>
      <w:tr w:rsidR="00F962BE" w:rsidRPr="00A3130C" w14:paraId="2ED02303"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237C5AF7" w14:textId="77777777" w:rsidR="00F962BE" w:rsidRPr="00A3130C" w:rsidRDefault="00F962BE">
            <w:pPr>
              <w:pStyle w:val="ARTabletext"/>
              <w:rPr>
                <w:rFonts w:eastAsia="Times"/>
              </w:rPr>
            </w:pPr>
            <w:r w:rsidRPr="00A3130C">
              <w:rPr>
                <w:rFonts w:eastAsia="Times"/>
              </w:rPr>
              <w:t>Colac Otway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4BA6C0D" w14:textId="77777777" w:rsidR="00F962BE" w:rsidRPr="00A3130C" w:rsidRDefault="00F962BE">
            <w:pPr>
              <w:pStyle w:val="ARTabletext"/>
              <w:jc w:val="right"/>
              <w:rPr>
                <w:rFonts w:eastAsia="Times"/>
              </w:rPr>
            </w:pPr>
            <w:r w:rsidRPr="00A3130C">
              <w:rPr>
                <w:rFonts w:eastAsia="Times"/>
              </w:rPr>
              <w:t>58,666</w:t>
            </w:r>
          </w:p>
        </w:tc>
      </w:tr>
      <w:tr w:rsidR="00F962BE" w:rsidRPr="00A3130C" w14:paraId="21D87DFE"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01DC0056" w14:textId="77777777" w:rsidR="00F962BE" w:rsidRPr="00A3130C" w:rsidRDefault="00F962BE">
            <w:pPr>
              <w:pStyle w:val="ARTabletext"/>
              <w:rPr>
                <w:rFonts w:eastAsia="Times"/>
              </w:rPr>
            </w:pPr>
            <w:r w:rsidRPr="00A3130C">
              <w:rPr>
                <w:rFonts w:eastAsia="Times"/>
              </w:rPr>
              <w:t>Colac Specialist School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0059956" w14:textId="77777777" w:rsidR="00F962BE" w:rsidRPr="00A3130C" w:rsidRDefault="00F962BE">
            <w:pPr>
              <w:pStyle w:val="ARTabletext"/>
              <w:jc w:val="right"/>
              <w:rPr>
                <w:rFonts w:eastAsia="Times"/>
              </w:rPr>
            </w:pPr>
            <w:r w:rsidRPr="00A3130C">
              <w:rPr>
                <w:rFonts w:eastAsia="Times"/>
              </w:rPr>
              <w:t>12,000</w:t>
            </w:r>
          </w:p>
        </w:tc>
      </w:tr>
      <w:tr w:rsidR="00F962BE" w:rsidRPr="00A3130C" w14:paraId="6DF6D143"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09664C86" w14:textId="77777777" w:rsidR="00F962BE" w:rsidRPr="00A3130C" w:rsidRDefault="00F962BE">
            <w:pPr>
              <w:pStyle w:val="ARTabletext"/>
              <w:rPr>
                <w:rFonts w:eastAsia="Times"/>
              </w:rPr>
            </w:pPr>
            <w:r w:rsidRPr="00A3130C">
              <w:rPr>
                <w:rFonts w:eastAsia="Times"/>
              </w:rPr>
              <w:t>Community Bike Hub</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4925C97" w14:textId="77777777" w:rsidR="00F962BE" w:rsidRPr="00A3130C" w:rsidRDefault="00F962BE">
            <w:pPr>
              <w:pStyle w:val="ARTabletext"/>
              <w:jc w:val="right"/>
              <w:rPr>
                <w:rFonts w:eastAsia="Times"/>
              </w:rPr>
            </w:pPr>
            <w:r w:rsidRPr="00A3130C">
              <w:rPr>
                <w:rFonts w:eastAsia="Times"/>
              </w:rPr>
              <w:t>20,000</w:t>
            </w:r>
          </w:p>
        </w:tc>
      </w:tr>
      <w:tr w:rsidR="00F962BE" w:rsidRPr="00A3130C" w14:paraId="2DAF3316"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30C6F153" w14:textId="77777777" w:rsidR="00F962BE" w:rsidRPr="00A3130C" w:rsidRDefault="00F962BE">
            <w:pPr>
              <w:pStyle w:val="ARTabletext"/>
              <w:rPr>
                <w:rFonts w:eastAsia="Times"/>
              </w:rPr>
            </w:pPr>
            <w:r w:rsidRPr="00A3130C">
              <w:rPr>
                <w:rFonts w:eastAsia="Times"/>
              </w:rPr>
              <w:t>Community Health Advancement and</w:t>
            </w:r>
            <w:r>
              <w:rPr>
                <w:rFonts w:eastAsia="Times"/>
              </w:rPr>
              <w:t> </w:t>
            </w:r>
            <w:r w:rsidRPr="00A3130C">
              <w:rPr>
                <w:rFonts w:eastAsia="Times"/>
              </w:rPr>
              <w:t>Student Engagement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B24CBE7" w14:textId="77777777" w:rsidR="00F962BE" w:rsidRPr="00A3130C" w:rsidRDefault="00F962BE">
            <w:pPr>
              <w:pStyle w:val="ARTabletext"/>
              <w:jc w:val="right"/>
              <w:rPr>
                <w:rFonts w:eastAsia="Times"/>
              </w:rPr>
            </w:pPr>
            <w:r w:rsidRPr="00A3130C">
              <w:rPr>
                <w:rFonts w:eastAsia="Times"/>
              </w:rPr>
              <w:t>27,000</w:t>
            </w:r>
          </w:p>
        </w:tc>
      </w:tr>
      <w:tr w:rsidR="00F962BE" w:rsidRPr="00A3130C" w14:paraId="35AB8374"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3547A87D" w14:textId="77777777" w:rsidR="00F962BE" w:rsidRPr="00A3130C" w:rsidRDefault="00F962BE">
            <w:pPr>
              <w:pStyle w:val="ARTabletext"/>
              <w:rPr>
                <w:rFonts w:eastAsia="Times"/>
              </w:rPr>
            </w:pPr>
            <w:r w:rsidRPr="00A3130C">
              <w:rPr>
                <w:rFonts w:eastAsia="Times"/>
              </w:rPr>
              <w:t>Corangamite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1917808E" w14:textId="77777777" w:rsidR="00F962BE" w:rsidRPr="00A3130C" w:rsidRDefault="00F962BE">
            <w:pPr>
              <w:pStyle w:val="ARTabletext"/>
              <w:jc w:val="right"/>
              <w:rPr>
                <w:rFonts w:eastAsia="Times"/>
              </w:rPr>
            </w:pPr>
            <w:r w:rsidRPr="00A3130C">
              <w:rPr>
                <w:rFonts w:eastAsia="Times"/>
              </w:rPr>
              <w:t>88,666</w:t>
            </w:r>
          </w:p>
        </w:tc>
      </w:tr>
      <w:tr w:rsidR="00F962BE" w:rsidRPr="00A3130C" w14:paraId="7A3E399F"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0FDED801" w14:textId="77777777" w:rsidR="00F962BE" w:rsidRPr="00A3130C" w:rsidRDefault="00F962BE">
            <w:pPr>
              <w:pStyle w:val="ARTabletext"/>
              <w:rPr>
                <w:rFonts w:eastAsia="Times"/>
              </w:rPr>
            </w:pPr>
            <w:r w:rsidRPr="00A3130C">
              <w:rPr>
                <w:rFonts w:eastAsia="Times"/>
              </w:rPr>
              <w:t>Croydon Special Developmental School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3115030" w14:textId="77777777" w:rsidR="00F962BE" w:rsidRPr="00A3130C" w:rsidRDefault="00F962BE">
            <w:pPr>
              <w:pStyle w:val="ARTabletext"/>
              <w:jc w:val="right"/>
              <w:rPr>
                <w:rFonts w:eastAsia="Times"/>
              </w:rPr>
            </w:pPr>
            <w:r w:rsidRPr="00A3130C">
              <w:rPr>
                <w:rFonts w:eastAsia="Times"/>
              </w:rPr>
              <w:t>12,000</w:t>
            </w:r>
          </w:p>
        </w:tc>
      </w:tr>
      <w:tr w:rsidR="00F962BE" w:rsidRPr="00A3130C" w14:paraId="45F5FDFA"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40357017" w14:textId="77777777" w:rsidR="00F962BE" w:rsidRPr="00A3130C" w:rsidRDefault="00F962BE">
            <w:pPr>
              <w:pStyle w:val="ARTabletext"/>
              <w:rPr>
                <w:rFonts w:eastAsia="Times"/>
              </w:rPr>
            </w:pPr>
            <w:r w:rsidRPr="00A3130C">
              <w:rPr>
                <w:rFonts w:eastAsia="Times"/>
              </w:rPr>
              <w:t xml:space="preserve">Cultural Centre of </w:t>
            </w:r>
            <w:proofErr w:type="spellStart"/>
            <w:r w:rsidRPr="00A3130C">
              <w:rPr>
                <w:rFonts w:eastAsia="Times"/>
              </w:rPr>
              <w:t>Florinians</w:t>
            </w:r>
            <w:proofErr w:type="spellEnd"/>
            <w:r w:rsidRPr="00A3130C">
              <w:rPr>
                <w:rFonts w:eastAsia="Times"/>
              </w:rPr>
              <w:t xml:space="preserve"> Aristotelis</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D19E869" w14:textId="77777777" w:rsidR="00F962BE" w:rsidRPr="00A3130C" w:rsidRDefault="00F962BE">
            <w:pPr>
              <w:pStyle w:val="ARTabletext"/>
              <w:jc w:val="right"/>
              <w:rPr>
                <w:rFonts w:eastAsia="Times"/>
              </w:rPr>
            </w:pPr>
            <w:r w:rsidRPr="00A3130C">
              <w:rPr>
                <w:rFonts w:eastAsia="Times"/>
              </w:rPr>
              <w:t>2,000</w:t>
            </w:r>
          </w:p>
        </w:tc>
      </w:tr>
      <w:tr w:rsidR="00F962BE" w:rsidRPr="00A3130C" w14:paraId="1065381B"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091D4700" w14:textId="77777777" w:rsidR="00F962BE" w:rsidRPr="00A3130C" w:rsidRDefault="00F962BE">
            <w:pPr>
              <w:pStyle w:val="ARTabletext"/>
              <w:rPr>
                <w:rFonts w:eastAsia="Times"/>
              </w:rPr>
            </w:pPr>
            <w:r w:rsidRPr="00A3130C">
              <w:rPr>
                <w:rFonts w:eastAsia="Times"/>
              </w:rPr>
              <w:t>Cultural Infusion Foundation Ltd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339830C" w14:textId="77777777" w:rsidR="00F962BE" w:rsidRPr="00A3130C" w:rsidRDefault="00F962BE">
            <w:pPr>
              <w:pStyle w:val="ARTabletext"/>
              <w:jc w:val="right"/>
              <w:rPr>
                <w:rFonts w:eastAsia="Times"/>
              </w:rPr>
            </w:pPr>
            <w:r w:rsidRPr="00A3130C">
              <w:rPr>
                <w:rFonts w:eastAsia="Times"/>
              </w:rPr>
              <w:t>52,500</w:t>
            </w:r>
          </w:p>
        </w:tc>
      </w:tr>
      <w:tr w:rsidR="00F962BE" w:rsidRPr="00A3130C" w14:paraId="34BAF7CF"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162627FF" w14:textId="77777777" w:rsidR="00F962BE" w:rsidRPr="00A3130C" w:rsidRDefault="00F962BE">
            <w:pPr>
              <w:pStyle w:val="ARTabletext"/>
              <w:rPr>
                <w:rFonts w:eastAsia="Times"/>
              </w:rPr>
            </w:pPr>
            <w:r w:rsidRPr="00A3130C">
              <w:rPr>
                <w:rFonts w:eastAsia="Times"/>
              </w:rPr>
              <w:t>Cypher Culture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0D9205A" w14:textId="77777777" w:rsidR="00F962BE" w:rsidRPr="00A3130C" w:rsidRDefault="00F962BE">
            <w:pPr>
              <w:pStyle w:val="ARTabletext"/>
              <w:jc w:val="right"/>
              <w:rPr>
                <w:rFonts w:eastAsia="Times"/>
              </w:rPr>
            </w:pPr>
            <w:r w:rsidRPr="00A3130C">
              <w:rPr>
                <w:rFonts w:eastAsia="Times"/>
              </w:rPr>
              <w:t>32,000</w:t>
            </w:r>
          </w:p>
        </w:tc>
      </w:tr>
      <w:tr w:rsidR="00F962BE" w:rsidRPr="00A3130C" w14:paraId="456B67B9"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03C1953F" w14:textId="77777777" w:rsidR="00F962BE" w:rsidRPr="00A3130C" w:rsidRDefault="00F962BE">
            <w:pPr>
              <w:pStyle w:val="ARTabletext"/>
              <w:rPr>
                <w:rFonts w:eastAsia="Times"/>
              </w:rPr>
            </w:pPr>
            <w:r w:rsidRPr="00A3130C">
              <w:rPr>
                <w:rFonts w:eastAsia="Times"/>
              </w:rPr>
              <w:t>Darebin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4874B95" w14:textId="77777777" w:rsidR="00F962BE" w:rsidRPr="00A3130C" w:rsidRDefault="00F962BE">
            <w:pPr>
              <w:pStyle w:val="ARTabletext"/>
              <w:jc w:val="right"/>
              <w:rPr>
                <w:rFonts w:eastAsia="Times"/>
              </w:rPr>
            </w:pPr>
            <w:r w:rsidRPr="00A3130C">
              <w:rPr>
                <w:rFonts w:eastAsia="Times"/>
              </w:rPr>
              <w:t>38,666</w:t>
            </w:r>
          </w:p>
        </w:tc>
      </w:tr>
      <w:tr w:rsidR="00F962BE" w:rsidRPr="00A3130C" w14:paraId="27F22E41"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447700D2" w14:textId="77777777" w:rsidR="00F962BE" w:rsidRPr="00A3130C" w:rsidRDefault="00F962BE">
            <w:pPr>
              <w:pStyle w:val="ARTabletext"/>
              <w:rPr>
                <w:rFonts w:eastAsia="Times"/>
              </w:rPr>
            </w:pPr>
            <w:proofErr w:type="spellStart"/>
            <w:r w:rsidRPr="00A3130C">
              <w:rPr>
                <w:rFonts w:eastAsia="Times"/>
              </w:rPr>
              <w:t>Dhauwurd</w:t>
            </w:r>
            <w:proofErr w:type="spellEnd"/>
            <w:r w:rsidRPr="00A3130C">
              <w:rPr>
                <w:rFonts w:eastAsia="Times"/>
              </w:rPr>
              <w:t>-Wurrung Elderly and Community Health Service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4673F40" w14:textId="77777777" w:rsidR="00F962BE" w:rsidRPr="00A3130C" w:rsidRDefault="00F962BE">
            <w:pPr>
              <w:pStyle w:val="ARTabletext"/>
              <w:jc w:val="right"/>
              <w:rPr>
                <w:rFonts w:eastAsia="Times"/>
              </w:rPr>
            </w:pPr>
            <w:r w:rsidRPr="00A3130C">
              <w:rPr>
                <w:rFonts w:eastAsia="Times"/>
              </w:rPr>
              <w:t>2,000</w:t>
            </w:r>
          </w:p>
        </w:tc>
      </w:tr>
      <w:tr w:rsidR="00F962BE" w:rsidRPr="00A3130C" w14:paraId="5105A1A7"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10E52957" w14:textId="77777777" w:rsidR="00F962BE" w:rsidRPr="00A3130C" w:rsidRDefault="00F962BE">
            <w:pPr>
              <w:pStyle w:val="ARTabletext"/>
              <w:rPr>
                <w:rFonts w:eastAsia="Times"/>
              </w:rPr>
            </w:pPr>
            <w:r w:rsidRPr="00A3130C">
              <w:rPr>
                <w:rFonts w:eastAsia="Times"/>
              </w:rPr>
              <w:t>Different Journeys</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26FAB26" w14:textId="77777777" w:rsidR="00F962BE" w:rsidRPr="00A3130C" w:rsidRDefault="00F962BE">
            <w:pPr>
              <w:pStyle w:val="ARTabletext"/>
              <w:jc w:val="right"/>
              <w:rPr>
                <w:rFonts w:eastAsia="Times"/>
              </w:rPr>
            </w:pPr>
            <w:r w:rsidRPr="00A3130C">
              <w:rPr>
                <w:rFonts w:eastAsia="Times"/>
              </w:rPr>
              <w:t>50,000</w:t>
            </w:r>
          </w:p>
        </w:tc>
      </w:tr>
      <w:tr w:rsidR="00F962BE" w:rsidRPr="00A3130C" w14:paraId="2ED3E07E"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60175D21" w14:textId="77777777" w:rsidR="00F962BE" w:rsidRPr="00A3130C" w:rsidRDefault="00F962BE">
            <w:pPr>
              <w:pStyle w:val="ARTabletext"/>
              <w:rPr>
                <w:rFonts w:eastAsia="Times"/>
              </w:rPr>
            </w:pPr>
            <w:r w:rsidRPr="00A3130C">
              <w:rPr>
                <w:rFonts w:eastAsia="Times"/>
              </w:rPr>
              <w:t>Dimboola Memorial Secondary College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B5CB68B" w14:textId="77777777" w:rsidR="00F962BE" w:rsidRPr="00A3130C" w:rsidRDefault="00F962BE">
            <w:pPr>
              <w:pStyle w:val="ARTabletext"/>
              <w:jc w:val="right"/>
              <w:rPr>
                <w:rFonts w:eastAsia="Times"/>
              </w:rPr>
            </w:pPr>
            <w:r w:rsidRPr="00A3130C">
              <w:rPr>
                <w:rFonts w:eastAsia="Times"/>
              </w:rPr>
              <w:t>15,000</w:t>
            </w:r>
          </w:p>
        </w:tc>
      </w:tr>
      <w:tr w:rsidR="00F962BE" w:rsidRPr="00A3130C" w14:paraId="2205AFD3"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11580E21" w14:textId="77777777" w:rsidR="00F962BE" w:rsidRPr="00A3130C" w:rsidRDefault="00F962BE">
            <w:pPr>
              <w:pStyle w:val="ARTabletext"/>
              <w:rPr>
                <w:rFonts w:eastAsia="Times"/>
              </w:rPr>
            </w:pPr>
            <w:r w:rsidRPr="00A3130C">
              <w:rPr>
                <w:rFonts w:eastAsia="Times"/>
              </w:rPr>
              <w:t>Down Syndrome Association of</w:t>
            </w:r>
            <w:r>
              <w:rPr>
                <w:rFonts w:eastAsia="Times"/>
              </w:rPr>
              <w:t> </w:t>
            </w:r>
            <w:r w:rsidRPr="00A3130C">
              <w:rPr>
                <w:rFonts w:eastAsia="Times"/>
              </w:rPr>
              <w:t>Victoria</w:t>
            </w:r>
            <w:r>
              <w:rPr>
                <w:rFonts w:eastAsia="Times"/>
              </w:rPr>
              <w:t> </w:t>
            </w:r>
            <w:r w:rsidRPr="00A3130C">
              <w:rPr>
                <w:rFonts w:eastAsia="Times"/>
              </w:rPr>
              <w:t>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A22BEFC" w14:textId="77777777" w:rsidR="00F962BE" w:rsidRPr="00A3130C" w:rsidRDefault="00F962BE">
            <w:pPr>
              <w:pStyle w:val="ARTabletext"/>
              <w:jc w:val="right"/>
              <w:rPr>
                <w:rFonts w:eastAsia="Times"/>
              </w:rPr>
            </w:pPr>
            <w:r w:rsidRPr="00A3130C">
              <w:rPr>
                <w:rFonts w:eastAsia="Times"/>
              </w:rPr>
              <w:t>2,000</w:t>
            </w:r>
          </w:p>
        </w:tc>
      </w:tr>
      <w:tr w:rsidR="00F962BE" w:rsidRPr="00A3130C" w14:paraId="484A3015"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4F37093E" w14:textId="77777777" w:rsidR="00F962BE" w:rsidRPr="00A3130C" w:rsidRDefault="00F962BE">
            <w:pPr>
              <w:pStyle w:val="ARTabletext"/>
              <w:rPr>
                <w:rFonts w:eastAsia="Times"/>
              </w:rPr>
            </w:pPr>
            <w:r w:rsidRPr="00A3130C">
              <w:rPr>
                <w:rFonts w:eastAsia="Times"/>
              </w:rPr>
              <w:t>Drummond Street Services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D6A7654" w14:textId="77777777" w:rsidR="00F962BE" w:rsidRPr="00A3130C" w:rsidRDefault="00F962BE">
            <w:pPr>
              <w:pStyle w:val="ARTabletext"/>
              <w:jc w:val="right"/>
              <w:rPr>
                <w:rFonts w:eastAsia="Times"/>
              </w:rPr>
            </w:pPr>
            <w:r w:rsidRPr="00A3130C">
              <w:rPr>
                <w:rFonts w:eastAsia="Times"/>
              </w:rPr>
              <w:t>50,000</w:t>
            </w:r>
          </w:p>
        </w:tc>
      </w:tr>
      <w:tr w:rsidR="00F962BE" w:rsidRPr="00A3130C" w14:paraId="716A4975"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61237EFA" w14:textId="77777777" w:rsidR="00F962BE" w:rsidRPr="00A3130C" w:rsidRDefault="00F962BE">
            <w:pPr>
              <w:pStyle w:val="ARTabletext"/>
              <w:rPr>
                <w:rFonts w:eastAsia="Times"/>
              </w:rPr>
            </w:pPr>
            <w:r w:rsidRPr="00A3130C">
              <w:rPr>
                <w:rFonts w:eastAsia="Times"/>
              </w:rPr>
              <w:t>EACH Ltd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9CB257F" w14:textId="77777777" w:rsidR="00F962BE" w:rsidRPr="00A3130C" w:rsidRDefault="00F962BE">
            <w:pPr>
              <w:pStyle w:val="ARTabletext"/>
              <w:jc w:val="right"/>
              <w:rPr>
                <w:rFonts w:eastAsia="Times"/>
              </w:rPr>
            </w:pPr>
            <w:r w:rsidRPr="00A3130C">
              <w:rPr>
                <w:rFonts w:eastAsia="Times"/>
              </w:rPr>
              <w:t>61,999</w:t>
            </w:r>
          </w:p>
        </w:tc>
      </w:tr>
      <w:tr w:rsidR="00F962BE" w:rsidRPr="00A3130C" w14:paraId="1749409B"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159102EB" w14:textId="77777777" w:rsidR="00F962BE" w:rsidRPr="00A3130C" w:rsidRDefault="00F962BE">
            <w:pPr>
              <w:pStyle w:val="ARTabletext"/>
              <w:rPr>
                <w:rFonts w:eastAsia="Times"/>
              </w:rPr>
            </w:pPr>
            <w:r w:rsidRPr="00A3130C">
              <w:rPr>
                <w:rFonts w:eastAsia="Times"/>
              </w:rPr>
              <w:t>East Gippsland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729BD1F" w14:textId="77777777" w:rsidR="00F962BE" w:rsidRPr="00A3130C" w:rsidRDefault="00F962BE">
            <w:pPr>
              <w:pStyle w:val="ARTabletext"/>
              <w:jc w:val="right"/>
              <w:rPr>
                <w:rFonts w:eastAsia="Times"/>
              </w:rPr>
            </w:pPr>
            <w:r w:rsidRPr="00A3130C">
              <w:rPr>
                <w:rFonts w:eastAsia="Times"/>
              </w:rPr>
              <w:t>59,999</w:t>
            </w:r>
          </w:p>
        </w:tc>
      </w:tr>
      <w:tr w:rsidR="00F962BE" w:rsidRPr="00A3130C" w14:paraId="4A649A5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704034FA" w14:textId="77777777" w:rsidR="00F962BE" w:rsidRPr="00A3130C" w:rsidRDefault="00F962BE">
            <w:pPr>
              <w:pStyle w:val="ARTabletext"/>
              <w:rPr>
                <w:rFonts w:eastAsia="Times"/>
              </w:rPr>
            </w:pPr>
            <w:r w:rsidRPr="00A3130C">
              <w:rPr>
                <w:rFonts w:eastAsia="Times"/>
              </w:rPr>
              <w:t>East Wimmera Health Service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A3D3D46" w14:textId="77777777" w:rsidR="00F962BE" w:rsidRPr="00A3130C" w:rsidRDefault="00F962BE">
            <w:pPr>
              <w:pStyle w:val="ARTabletext"/>
              <w:jc w:val="right"/>
              <w:rPr>
                <w:rFonts w:eastAsia="Times"/>
              </w:rPr>
            </w:pPr>
            <w:r w:rsidRPr="00A3130C">
              <w:rPr>
                <w:rFonts w:eastAsia="Times"/>
              </w:rPr>
              <w:t>2,000</w:t>
            </w:r>
          </w:p>
        </w:tc>
      </w:tr>
      <w:tr w:rsidR="00F962BE" w:rsidRPr="00A3130C" w14:paraId="3EF5AB83"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1081FBBC" w14:textId="77777777" w:rsidR="00F962BE" w:rsidRPr="00A3130C" w:rsidRDefault="00F962BE">
            <w:pPr>
              <w:pStyle w:val="ARTabletext"/>
              <w:rPr>
                <w:rFonts w:eastAsia="Times"/>
              </w:rPr>
            </w:pPr>
            <w:r w:rsidRPr="00A3130C">
              <w:rPr>
                <w:rFonts w:eastAsia="Times"/>
              </w:rPr>
              <w:t>Echuca Twin Rivers Specialist School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5A32600" w14:textId="77777777" w:rsidR="00F962BE" w:rsidRPr="00A3130C" w:rsidRDefault="00F962BE">
            <w:pPr>
              <w:pStyle w:val="ARTabletext"/>
              <w:jc w:val="right"/>
              <w:rPr>
                <w:rFonts w:eastAsia="Times"/>
              </w:rPr>
            </w:pPr>
            <w:r w:rsidRPr="00A3130C">
              <w:rPr>
                <w:rFonts w:eastAsia="Times"/>
              </w:rPr>
              <w:t>12,000</w:t>
            </w:r>
          </w:p>
        </w:tc>
      </w:tr>
      <w:tr w:rsidR="00F962BE" w:rsidRPr="00A3130C" w14:paraId="07E9D4E3"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71C18E70" w14:textId="77777777" w:rsidR="00F962BE" w:rsidRPr="00A3130C" w:rsidRDefault="00F962BE">
            <w:pPr>
              <w:pStyle w:val="ARTabletext"/>
              <w:rPr>
                <w:rFonts w:eastAsia="Times"/>
              </w:rPr>
            </w:pPr>
            <w:r w:rsidRPr="00A3130C">
              <w:rPr>
                <w:rFonts w:eastAsia="Times"/>
              </w:rPr>
              <w:t>Emerson School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9825454" w14:textId="77777777" w:rsidR="00F962BE" w:rsidRPr="00A3130C" w:rsidRDefault="00F962BE">
            <w:pPr>
              <w:pStyle w:val="ARTabletext"/>
              <w:jc w:val="right"/>
              <w:rPr>
                <w:rFonts w:eastAsia="Times"/>
              </w:rPr>
            </w:pPr>
            <w:r w:rsidRPr="00A3130C">
              <w:rPr>
                <w:rFonts w:eastAsia="Times"/>
              </w:rPr>
              <w:t>12,000</w:t>
            </w:r>
          </w:p>
        </w:tc>
      </w:tr>
      <w:tr w:rsidR="00F962BE" w:rsidRPr="00A3130C" w14:paraId="06738438"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3098CF0C" w14:textId="77777777" w:rsidR="00F962BE" w:rsidRPr="00A3130C" w:rsidRDefault="00F962BE">
            <w:pPr>
              <w:pStyle w:val="ARTabletext"/>
              <w:rPr>
                <w:rFonts w:eastAsia="Times"/>
              </w:rPr>
            </w:pPr>
            <w:r w:rsidRPr="00A3130C">
              <w:rPr>
                <w:rFonts w:eastAsia="Times"/>
              </w:rPr>
              <w:t>Epping Secondary College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14BDD3E" w14:textId="77777777" w:rsidR="00F962BE" w:rsidRPr="00A3130C" w:rsidRDefault="00F962BE">
            <w:pPr>
              <w:pStyle w:val="ARTabletext"/>
              <w:jc w:val="right"/>
              <w:rPr>
                <w:rFonts w:eastAsia="Times"/>
              </w:rPr>
            </w:pPr>
            <w:r w:rsidRPr="00A3130C">
              <w:rPr>
                <w:rFonts w:eastAsia="Times"/>
              </w:rPr>
              <w:t>12,000</w:t>
            </w:r>
          </w:p>
        </w:tc>
      </w:tr>
      <w:tr w:rsidR="00F962BE" w:rsidRPr="00A3130C" w14:paraId="11719443"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18A41304" w14:textId="77777777" w:rsidR="00F962BE" w:rsidRPr="00A3130C" w:rsidRDefault="00F962BE">
            <w:pPr>
              <w:pStyle w:val="ARTabletext"/>
              <w:rPr>
                <w:rFonts w:eastAsia="Times"/>
              </w:rPr>
            </w:pPr>
            <w:r w:rsidRPr="00A3130C">
              <w:rPr>
                <w:rFonts w:eastAsia="Times"/>
              </w:rPr>
              <w:t>Eritrean Families in Hume and the</w:t>
            </w:r>
            <w:r>
              <w:rPr>
                <w:rFonts w:eastAsia="Times"/>
              </w:rPr>
              <w:t> </w:t>
            </w:r>
            <w:r w:rsidRPr="00A3130C">
              <w:rPr>
                <w:rFonts w:eastAsia="Times"/>
              </w:rPr>
              <w:t>North</w:t>
            </w:r>
            <w:r>
              <w:rPr>
                <w:rFonts w:eastAsia="Times"/>
              </w:rPr>
              <w:t> </w:t>
            </w:r>
            <w:r w:rsidRPr="00A3130C">
              <w:rPr>
                <w:rFonts w:eastAsia="Times"/>
              </w:rPr>
              <w:t>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97A3C8B" w14:textId="77777777" w:rsidR="00F962BE" w:rsidRPr="00A3130C" w:rsidRDefault="00F962BE">
            <w:pPr>
              <w:pStyle w:val="ARTabletext"/>
              <w:jc w:val="right"/>
              <w:rPr>
                <w:rFonts w:eastAsia="Times"/>
              </w:rPr>
            </w:pPr>
            <w:r w:rsidRPr="00A3130C">
              <w:rPr>
                <w:rFonts w:eastAsia="Times"/>
              </w:rPr>
              <w:t>2,000</w:t>
            </w:r>
          </w:p>
        </w:tc>
      </w:tr>
      <w:tr w:rsidR="00F962BE" w:rsidRPr="00A3130C" w14:paraId="26FE3570"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4D519A2B" w14:textId="77777777" w:rsidR="00F962BE" w:rsidRPr="00A3130C" w:rsidRDefault="00F962BE">
            <w:pPr>
              <w:pStyle w:val="ARTabletext"/>
              <w:rPr>
                <w:rFonts w:eastAsia="Times"/>
              </w:rPr>
            </w:pPr>
            <w:r w:rsidRPr="00A3130C">
              <w:rPr>
                <w:rFonts w:eastAsia="Times"/>
              </w:rPr>
              <w:t>Evolve Community HUB Ltd.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E943691" w14:textId="77777777" w:rsidR="00F962BE" w:rsidRPr="00A3130C" w:rsidRDefault="00F962BE">
            <w:pPr>
              <w:pStyle w:val="ARTabletext"/>
              <w:jc w:val="right"/>
              <w:rPr>
                <w:rFonts w:eastAsia="Times"/>
              </w:rPr>
            </w:pPr>
            <w:r w:rsidRPr="00A3130C">
              <w:rPr>
                <w:rFonts w:eastAsia="Times"/>
              </w:rPr>
              <w:t>2,000</w:t>
            </w:r>
          </w:p>
        </w:tc>
      </w:tr>
      <w:tr w:rsidR="00F962BE" w:rsidRPr="00A3130C" w14:paraId="04079017"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0154DE96" w14:textId="77777777" w:rsidR="00F962BE" w:rsidRPr="00A3130C" w:rsidRDefault="00F962BE">
            <w:pPr>
              <w:pStyle w:val="ARTabletext"/>
              <w:rPr>
                <w:rFonts w:eastAsia="Times"/>
              </w:rPr>
            </w:pPr>
            <w:r w:rsidRPr="00A3130C">
              <w:rPr>
                <w:rFonts w:eastAsia="Times"/>
              </w:rPr>
              <w:t>Expression Australia</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FEBCC40" w14:textId="77777777" w:rsidR="00F962BE" w:rsidRPr="00A3130C" w:rsidRDefault="00F962BE">
            <w:pPr>
              <w:pStyle w:val="ARTabletext"/>
              <w:jc w:val="right"/>
              <w:rPr>
                <w:rFonts w:eastAsia="Times"/>
              </w:rPr>
            </w:pPr>
            <w:r w:rsidRPr="00A3130C">
              <w:rPr>
                <w:rFonts w:eastAsia="Times"/>
              </w:rPr>
              <w:t>12,000</w:t>
            </w:r>
          </w:p>
        </w:tc>
      </w:tr>
      <w:tr w:rsidR="00F962BE" w:rsidRPr="00A3130C" w14:paraId="51A6FB60"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312F835B" w14:textId="77777777" w:rsidR="00F962BE" w:rsidRPr="00A3130C" w:rsidRDefault="00F962BE">
            <w:pPr>
              <w:pStyle w:val="ARTabletext"/>
              <w:rPr>
                <w:rFonts w:eastAsia="Times"/>
              </w:rPr>
            </w:pPr>
            <w:r w:rsidRPr="00A3130C">
              <w:rPr>
                <w:rFonts w:eastAsia="Times"/>
              </w:rPr>
              <w:t>Frankston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6CF16B6" w14:textId="77777777" w:rsidR="00F962BE" w:rsidRPr="00A3130C" w:rsidRDefault="00F962BE">
            <w:pPr>
              <w:pStyle w:val="ARTabletext"/>
              <w:jc w:val="right"/>
              <w:rPr>
                <w:rFonts w:eastAsia="Times"/>
              </w:rPr>
            </w:pPr>
            <w:r w:rsidRPr="00A3130C">
              <w:rPr>
                <w:rFonts w:eastAsia="Times"/>
              </w:rPr>
              <w:t>42,000</w:t>
            </w:r>
          </w:p>
        </w:tc>
      </w:tr>
      <w:tr w:rsidR="00F962BE" w:rsidRPr="00A3130C" w14:paraId="78B613BE"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0E067D5D" w14:textId="77777777" w:rsidR="00F962BE" w:rsidRPr="00A3130C" w:rsidRDefault="00F962BE">
            <w:pPr>
              <w:pStyle w:val="ARTabletext"/>
              <w:rPr>
                <w:rFonts w:eastAsia="Times"/>
              </w:rPr>
            </w:pPr>
            <w:r w:rsidRPr="00A3130C">
              <w:rPr>
                <w:rFonts w:eastAsia="Times"/>
              </w:rPr>
              <w:t>Gateway Health</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A040EBC" w14:textId="77777777" w:rsidR="00F962BE" w:rsidRPr="00A3130C" w:rsidRDefault="00F962BE">
            <w:pPr>
              <w:pStyle w:val="ARTabletext"/>
              <w:jc w:val="right"/>
              <w:rPr>
                <w:rFonts w:eastAsia="Times"/>
              </w:rPr>
            </w:pPr>
            <w:r w:rsidRPr="00A3130C">
              <w:rPr>
                <w:rFonts w:eastAsia="Times"/>
              </w:rPr>
              <w:t>37,666</w:t>
            </w:r>
          </w:p>
        </w:tc>
      </w:tr>
      <w:tr w:rsidR="00F962BE" w:rsidRPr="00A3130C" w14:paraId="5B32C964"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7C204ADE" w14:textId="77777777" w:rsidR="00F962BE" w:rsidRPr="00A3130C" w:rsidRDefault="00F962BE">
            <w:pPr>
              <w:pStyle w:val="ARTabletext"/>
              <w:rPr>
                <w:rFonts w:eastAsia="Times"/>
              </w:rPr>
            </w:pPr>
            <w:r w:rsidRPr="00A3130C">
              <w:rPr>
                <w:rFonts w:eastAsia="Times"/>
              </w:rPr>
              <w:t>Girl Guides Association of Victoria</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DE527BF" w14:textId="77777777" w:rsidR="00F962BE" w:rsidRPr="00A3130C" w:rsidRDefault="00F962BE">
            <w:pPr>
              <w:pStyle w:val="ARTabletext"/>
              <w:jc w:val="right"/>
              <w:rPr>
                <w:rFonts w:eastAsia="Times"/>
              </w:rPr>
            </w:pPr>
            <w:r w:rsidRPr="00A3130C">
              <w:rPr>
                <w:rFonts w:eastAsia="Times"/>
              </w:rPr>
              <w:t>250,000</w:t>
            </w:r>
          </w:p>
        </w:tc>
      </w:tr>
      <w:tr w:rsidR="00F962BE" w:rsidRPr="00A3130C" w14:paraId="14678F33"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4664D6AC" w14:textId="77777777" w:rsidR="00F962BE" w:rsidRPr="00A3130C" w:rsidRDefault="00F962BE">
            <w:pPr>
              <w:pStyle w:val="ARTabletext"/>
              <w:rPr>
                <w:rFonts w:eastAsia="Times"/>
              </w:rPr>
            </w:pPr>
            <w:r w:rsidRPr="00A3130C">
              <w:rPr>
                <w:rFonts w:eastAsia="Times"/>
              </w:rPr>
              <w:t>Glen Eira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58C5A0E" w14:textId="77777777" w:rsidR="00F962BE" w:rsidRPr="00A3130C" w:rsidRDefault="00F962BE">
            <w:pPr>
              <w:pStyle w:val="ARTabletext"/>
              <w:jc w:val="right"/>
              <w:rPr>
                <w:rFonts w:eastAsia="Times"/>
              </w:rPr>
            </w:pPr>
            <w:r w:rsidRPr="00A3130C">
              <w:rPr>
                <w:rFonts w:eastAsia="Times"/>
              </w:rPr>
              <w:t>32,000</w:t>
            </w:r>
          </w:p>
        </w:tc>
      </w:tr>
      <w:tr w:rsidR="00F962BE" w:rsidRPr="00A3130C" w14:paraId="03F0C16E"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63ED4F46" w14:textId="77777777" w:rsidR="00F962BE" w:rsidRPr="00A3130C" w:rsidRDefault="00F962BE">
            <w:pPr>
              <w:pStyle w:val="ARTabletext"/>
              <w:rPr>
                <w:rFonts w:eastAsia="Times"/>
              </w:rPr>
            </w:pPr>
            <w:r w:rsidRPr="00A3130C">
              <w:rPr>
                <w:rFonts w:eastAsia="Times"/>
              </w:rPr>
              <w:t>Glenelg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2070FAA" w14:textId="77777777" w:rsidR="00F962BE" w:rsidRPr="00A3130C" w:rsidRDefault="00F962BE">
            <w:pPr>
              <w:pStyle w:val="ARTabletext"/>
              <w:jc w:val="right"/>
              <w:rPr>
                <w:rFonts w:eastAsia="Times"/>
              </w:rPr>
            </w:pPr>
            <w:r w:rsidRPr="00A3130C">
              <w:rPr>
                <w:rFonts w:eastAsia="Times"/>
              </w:rPr>
              <w:t>91,999</w:t>
            </w:r>
          </w:p>
        </w:tc>
      </w:tr>
      <w:tr w:rsidR="00F962BE" w:rsidRPr="00A3130C" w14:paraId="7D92069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4639562D" w14:textId="77777777" w:rsidR="00F962BE" w:rsidRPr="00A3130C" w:rsidRDefault="00F962BE">
            <w:pPr>
              <w:pStyle w:val="ARTabletext"/>
              <w:rPr>
                <w:rFonts w:eastAsia="Times"/>
              </w:rPr>
            </w:pPr>
            <w:r w:rsidRPr="00A3130C">
              <w:rPr>
                <w:rFonts w:eastAsia="Times"/>
              </w:rPr>
              <w:t>Golden Plains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0ABE58D" w14:textId="77777777" w:rsidR="00F962BE" w:rsidRPr="00A3130C" w:rsidRDefault="00F962BE">
            <w:pPr>
              <w:pStyle w:val="ARTabletext"/>
              <w:jc w:val="right"/>
              <w:rPr>
                <w:rFonts w:eastAsia="Times"/>
              </w:rPr>
            </w:pPr>
            <w:r w:rsidRPr="00A3130C">
              <w:rPr>
                <w:rFonts w:eastAsia="Times"/>
              </w:rPr>
              <w:t>98,666</w:t>
            </w:r>
          </w:p>
        </w:tc>
      </w:tr>
      <w:tr w:rsidR="00F962BE" w:rsidRPr="00A3130C" w14:paraId="1C9DB246"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6613F425" w14:textId="77777777" w:rsidR="00F962BE" w:rsidRPr="00A3130C" w:rsidRDefault="00F962BE">
            <w:pPr>
              <w:pStyle w:val="ARTabletext"/>
              <w:rPr>
                <w:rFonts w:eastAsia="Times"/>
              </w:rPr>
            </w:pPr>
            <w:r w:rsidRPr="00A3130C">
              <w:rPr>
                <w:rFonts w:eastAsia="Times"/>
              </w:rPr>
              <w:t>Grampians Community Health</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68A2442" w14:textId="77777777" w:rsidR="00F962BE" w:rsidRPr="00A3130C" w:rsidRDefault="00F962BE">
            <w:pPr>
              <w:pStyle w:val="ARTabletext"/>
              <w:jc w:val="right"/>
              <w:rPr>
                <w:rFonts w:eastAsia="Times"/>
              </w:rPr>
            </w:pPr>
            <w:r w:rsidRPr="00A3130C">
              <w:rPr>
                <w:rFonts w:eastAsia="Times"/>
              </w:rPr>
              <w:t>40,000</w:t>
            </w:r>
          </w:p>
        </w:tc>
      </w:tr>
      <w:tr w:rsidR="00F962BE" w:rsidRPr="00A3130C" w14:paraId="7FF0B750"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68CCE70B" w14:textId="77777777" w:rsidR="00F962BE" w:rsidRPr="00A3130C" w:rsidRDefault="00F962BE">
            <w:pPr>
              <w:pStyle w:val="ARTabletext"/>
              <w:rPr>
                <w:rFonts w:eastAsia="Times"/>
              </w:rPr>
            </w:pPr>
            <w:r w:rsidRPr="00A3130C">
              <w:rPr>
                <w:rFonts w:eastAsia="Times"/>
              </w:rPr>
              <w:t>Great Ocean Road Health</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17C87301" w14:textId="77777777" w:rsidR="00F962BE" w:rsidRPr="00A3130C" w:rsidRDefault="00F962BE">
            <w:pPr>
              <w:pStyle w:val="ARTabletext"/>
              <w:jc w:val="right"/>
              <w:rPr>
                <w:rFonts w:eastAsia="Times"/>
              </w:rPr>
            </w:pPr>
            <w:r w:rsidRPr="00A3130C">
              <w:rPr>
                <w:rFonts w:eastAsia="Times"/>
              </w:rPr>
              <w:t>2,000</w:t>
            </w:r>
          </w:p>
        </w:tc>
      </w:tr>
      <w:tr w:rsidR="00F962BE" w:rsidRPr="00A3130C" w14:paraId="5631145F"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50B582FB" w14:textId="77777777" w:rsidR="00F962BE" w:rsidRPr="00A3130C" w:rsidRDefault="00F962BE">
            <w:pPr>
              <w:pStyle w:val="ARTabletext"/>
              <w:rPr>
                <w:rFonts w:eastAsia="Times"/>
              </w:rPr>
            </w:pPr>
            <w:r w:rsidRPr="00A3130C">
              <w:rPr>
                <w:rFonts w:eastAsia="Times"/>
              </w:rPr>
              <w:t>Greater Shepparton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E6EA808" w14:textId="77777777" w:rsidR="00F962BE" w:rsidRPr="00A3130C" w:rsidRDefault="00F962BE">
            <w:pPr>
              <w:pStyle w:val="ARTabletext"/>
              <w:jc w:val="right"/>
              <w:rPr>
                <w:rFonts w:eastAsia="Times"/>
              </w:rPr>
            </w:pPr>
            <w:r w:rsidRPr="00A3130C">
              <w:rPr>
                <w:rFonts w:eastAsia="Times"/>
              </w:rPr>
              <w:t>40,000</w:t>
            </w:r>
          </w:p>
        </w:tc>
      </w:tr>
      <w:tr w:rsidR="00F962BE" w:rsidRPr="00A3130C" w14:paraId="5A474A51"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33E755B5" w14:textId="77777777" w:rsidR="00F962BE" w:rsidRPr="00A3130C" w:rsidRDefault="00F962BE">
            <w:pPr>
              <w:pStyle w:val="ARTabletext"/>
              <w:rPr>
                <w:rFonts w:eastAsia="Times"/>
              </w:rPr>
            </w:pPr>
            <w:r w:rsidRPr="00A3130C">
              <w:rPr>
                <w:rFonts w:eastAsia="Times"/>
              </w:rPr>
              <w:t>Greater Shepparton Secondary College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CCFC863" w14:textId="77777777" w:rsidR="00F962BE" w:rsidRPr="00A3130C" w:rsidRDefault="00F962BE">
            <w:pPr>
              <w:pStyle w:val="ARTabletext"/>
              <w:jc w:val="right"/>
              <w:rPr>
                <w:rFonts w:eastAsia="Times"/>
              </w:rPr>
            </w:pPr>
            <w:r w:rsidRPr="00A3130C">
              <w:rPr>
                <w:rFonts w:eastAsia="Times"/>
              </w:rPr>
              <w:t>12,000</w:t>
            </w:r>
          </w:p>
        </w:tc>
      </w:tr>
      <w:tr w:rsidR="00F962BE" w:rsidRPr="00A3130C" w14:paraId="0B4C7E34"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7BFAE2C8" w14:textId="77777777" w:rsidR="00F962BE" w:rsidRPr="00A3130C" w:rsidRDefault="00F962BE">
            <w:pPr>
              <w:pStyle w:val="ARTabletext"/>
              <w:rPr>
                <w:rFonts w:eastAsia="Times"/>
              </w:rPr>
            </w:pPr>
            <w:r w:rsidRPr="00A3130C">
              <w:rPr>
                <w:rFonts w:eastAsia="Times"/>
              </w:rPr>
              <w:t>Hamlyn Views School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2DB1F4B" w14:textId="77777777" w:rsidR="00F962BE" w:rsidRPr="00A3130C" w:rsidRDefault="00F962BE">
            <w:pPr>
              <w:pStyle w:val="ARTabletext"/>
              <w:jc w:val="right"/>
              <w:rPr>
                <w:rFonts w:eastAsia="Times"/>
              </w:rPr>
            </w:pPr>
            <w:r w:rsidRPr="00A3130C">
              <w:rPr>
                <w:rFonts w:eastAsia="Times"/>
              </w:rPr>
              <w:t>15,000</w:t>
            </w:r>
          </w:p>
        </w:tc>
      </w:tr>
      <w:tr w:rsidR="00F962BE" w:rsidRPr="00A3130C" w14:paraId="32DD2FC4"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10925155" w14:textId="77777777" w:rsidR="00F962BE" w:rsidRPr="00A3130C" w:rsidRDefault="00F962BE">
            <w:pPr>
              <w:pStyle w:val="ARTabletext"/>
              <w:rPr>
                <w:rFonts w:eastAsia="Times"/>
              </w:rPr>
            </w:pPr>
            <w:r w:rsidRPr="00A3130C">
              <w:rPr>
                <w:rFonts w:eastAsia="Times"/>
              </w:rPr>
              <w:t>Heatherwood School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846E572" w14:textId="77777777" w:rsidR="00F962BE" w:rsidRPr="00A3130C" w:rsidRDefault="00F962BE">
            <w:pPr>
              <w:pStyle w:val="ARTabletext"/>
              <w:jc w:val="right"/>
              <w:rPr>
                <w:rFonts w:eastAsia="Times"/>
              </w:rPr>
            </w:pPr>
            <w:r w:rsidRPr="00A3130C">
              <w:rPr>
                <w:rFonts w:eastAsia="Times"/>
              </w:rPr>
              <w:t>12,000</w:t>
            </w:r>
          </w:p>
        </w:tc>
      </w:tr>
      <w:tr w:rsidR="00F962BE" w:rsidRPr="00A3130C" w14:paraId="61F97ED7"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6A7E3483" w14:textId="77777777" w:rsidR="00F962BE" w:rsidRPr="00A3130C" w:rsidRDefault="00F962BE">
            <w:pPr>
              <w:pStyle w:val="ARTabletext"/>
              <w:rPr>
                <w:rFonts w:eastAsia="Times"/>
              </w:rPr>
            </w:pPr>
            <w:r w:rsidRPr="00A3130C">
              <w:rPr>
                <w:rFonts w:eastAsia="Times"/>
              </w:rPr>
              <w:t>Hepburn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6B17C48" w14:textId="77777777" w:rsidR="00F962BE" w:rsidRPr="00A3130C" w:rsidRDefault="00F962BE">
            <w:pPr>
              <w:pStyle w:val="ARTabletext"/>
              <w:jc w:val="right"/>
              <w:rPr>
                <w:rFonts w:eastAsia="Times"/>
              </w:rPr>
            </w:pPr>
            <w:r w:rsidRPr="00A3130C">
              <w:rPr>
                <w:rFonts w:eastAsia="Times"/>
              </w:rPr>
              <w:t>40,000</w:t>
            </w:r>
          </w:p>
        </w:tc>
      </w:tr>
      <w:tr w:rsidR="00F962BE" w:rsidRPr="00A3130C" w14:paraId="612C5E90"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3B83F026" w14:textId="77777777" w:rsidR="00F962BE" w:rsidRPr="00A3130C" w:rsidRDefault="00F962BE">
            <w:pPr>
              <w:pStyle w:val="ARTabletext"/>
              <w:rPr>
                <w:rFonts w:eastAsia="Times"/>
              </w:rPr>
            </w:pPr>
            <w:r w:rsidRPr="00A3130C">
              <w:rPr>
                <w:rFonts w:eastAsia="Times"/>
              </w:rPr>
              <w:t>Heywood and District Secondary College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FA0A6D0" w14:textId="77777777" w:rsidR="00F962BE" w:rsidRPr="00A3130C" w:rsidRDefault="00F962BE">
            <w:pPr>
              <w:pStyle w:val="ARTabletext"/>
              <w:jc w:val="right"/>
              <w:rPr>
                <w:rFonts w:eastAsia="Times"/>
              </w:rPr>
            </w:pPr>
            <w:r w:rsidRPr="00A3130C">
              <w:rPr>
                <w:rFonts w:eastAsia="Times"/>
              </w:rPr>
              <w:t>15,000</w:t>
            </w:r>
          </w:p>
        </w:tc>
      </w:tr>
      <w:tr w:rsidR="00F962BE" w:rsidRPr="00A3130C" w14:paraId="5A8302F9"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7E34B4D1" w14:textId="77777777" w:rsidR="00F962BE" w:rsidRPr="00A3130C" w:rsidRDefault="00F962BE">
            <w:pPr>
              <w:pStyle w:val="ARTabletext"/>
              <w:rPr>
                <w:rFonts w:eastAsia="Times"/>
              </w:rPr>
            </w:pPr>
            <w:proofErr w:type="spellStart"/>
            <w:r w:rsidRPr="00A3130C">
              <w:rPr>
                <w:rFonts w:eastAsia="Times"/>
              </w:rPr>
              <w:t>Himilo</w:t>
            </w:r>
            <w:proofErr w:type="spellEnd"/>
            <w:r w:rsidRPr="00A3130C">
              <w:rPr>
                <w:rFonts w:eastAsia="Times"/>
              </w:rPr>
              <w:t xml:space="preserve"> Ltd.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709B574" w14:textId="77777777" w:rsidR="00F962BE" w:rsidRPr="00A3130C" w:rsidRDefault="00F962BE">
            <w:pPr>
              <w:pStyle w:val="ARTabletext"/>
              <w:jc w:val="right"/>
              <w:rPr>
                <w:rFonts w:eastAsia="Times"/>
              </w:rPr>
            </w:pPr>
            <w:r w:rsidRPr="00A3130C">
              <w:rPr>
                <w:rFonts w:eastAsia="Times"/>
              </w:rPr>
              <w:t>416,667</w:t>
            </w:r>
          </w:p>
        </w:tc>
      </w:tr>
      <w:tr w:rsidR="00F962BE" w:rsidRPr="00A3130C" w14:paraId="3F1A54CD"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6F15F082" w14:textId="77777777" w:rsidR="00F962BE" w:rsidRPr="00A3130C" w:rsidRDefault="00F962BE">
            <w:pPr>
              <w:pStyle w:val="ARTabletext"/>
              <w:rPr>
                <w:rFonts w:eastAsia="Times"/>
              </w:rPr>
            </w:pPr>
            <w:r w:rsidRPr="00A3130C">
              <w:rPr>
                <w:rFonts w:eastAsia="Times"/>
              </w:rPr>
              <w:t>Hindmarsh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7B89434" w14:textId="77777777" w:rsidR="00F962BE" w:rsidRPr="00A3130C" w:rsidRDefault="00F962BE">
            <w:pPr>
              <w:pStyle w:val="ARTabletext"/>
              <w:jc w:val="right"/>
              <w:rPr>
                <w:rFonts w:eastAsia="Times"/>
              </w:rPr>
            </w:pPr>
            <w:r w:rsidRPr="00A3130C">
              <w:rPr>
                <w:rFonts w:eastAsia="Times"/>
              </w:rPr>
              <w:t>94,999</w:t>
            </w:r>
          </w:p>
        </w:tc>
      </w:tr>
      <w:tr w:rsidR="00F962BE" w:rsidRPr="00A3130C" w14:paraId="5C590964"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70340201" w14:textId="77777777" w:rsidR="00F962BE" w:rsidRPr="00A3130C" w:rsidRDefault="00F962BE">
            <w:pPr>
              <w:pStyle w:val="ARTabletext"/>
              <w:rPr>
                <w:rFonts w:eastAsia="Times"/>
              </w:rPr>
            </w:pPr>
            <w:proofErr w:type="spellStart"/>
            <w:r w:rsidRPr="00A3130C">
              <w:rPr>
                <w:rFonts w:eastAsia="Times"/>
              </w:rPr>
              <w:t>HipHopportunities</w:t>
            </w:r>
            <w:proofErr w:type="spellEnd"/>
            <w:r w:rsidRPr="00A3130C">
              <w:rPr>
                <w:rFonts w:eastAsia="Times"/>
              </w:rPr>
              <w:t xml:space="preserve"> for Youth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163DCFC9" w14:textId="77777777" w:rsidR="00F962BE" w:rsidRPr="00A3130C" w:rsidRDefault="00F962BE">
            <w:pPr>
              <w:pStyle w:val="ARTabletext"/>
              <w:jc w:val="right"/>
              <w:rPr>
                <w:rFonts w:eastAsia="Times"/>
              </w:rPr>
            </w:pPr>
            <w:r w:rsidRPr="00A3130C">
              <w:rPr>
                <w:rFonts w:eastAsia="Times"/>
              </w:rPr>
              <w:t>59,924</w:t>
            </w:r>
          </w:p>
        </w:tc>
      </w:tr>
      <w:tr w:rsidR="00F962BE" w:rsidRPr="00A3130C" w14:paraId="5762D9A0"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5ECA2415" w14:textId="77777777" w:rsidR="00F962BE" w:rsidRPr="00A3130C" w:rsidRDefault="00F962BE">
            <w:pPr>
              <w:pStyle w:val="ARTabletext"/>
              <w:rPr>
                <w:rFonts w:eastAsia="Times"/>
              </w:rPr>
            </w:pPr>
            <w:r w:rsidRPr="00A3130C">
              <w:rPr>
                <w:rFonts w:eastAsia="Times"/>
              </w:rPr>
              <w:t>Hobsons Bay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BD722E8" w14:textId="77777777" w:rsidR="00F962BE" w:rsidRPr="00A3130C" w:rsidRDefault="00F962BE">
            <w:pPr>
              <w:pStyle w:val="ARTabletext"/>
              <w:jc w:val="right"/>
              <w:rPr>
                <w:rFonts w:eastAsia="Times"/>
              </w:rPr>
            </w:pPr>
            <w:r w:rsidRPr="00A3130C">
              <w:rPr>
                <w:rFonts w:eastAsia="Times"/>
              </w:rPr>
              <w:t>88,666</w:t>
            </w:r>
          </w:p>
        </w:tc>
      </w:tr>
      <w:tr w:rsidR="00F962BE" w:rsidRPr="00A3130C" w14:paraId="142DC9AF"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0643A393" w14:textId="77777777" w:rsidR="00F962BE" w:rsidRPr="00A3130C" w:rsidRDefault="00F962BE">
            <w:pPr>
              <w:pStyle w:val="ARTabletext"/>
              <w:rPr>
                <w:rFonts w:eastAsia="Times"/>
              </w:rPr>
            </w:pPr>
            <w:r w:rsidRPr="00A3130C">
              <w:rPr>
                <w:rFonts w:eastAsia="Times"/>
              </w:rPr>
              <w:t>Hopetoun P-12 College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BE6E6B6" w14:textId="77777777" w:rsidR="00F962BE" w:rsidRPr="00A3130C" w:rsidRDefault="00F962BE">
            <w:pPr>
              <w:pStyle w:val="ARTabletext"/>
              <w:jc w:val="right"/>
              <w:rPr>
                <w:rFonts w:eastAsia="Times"/>
              </w:rPr>
            </w:pPr>
            <w:r w:rsidRPr="00A3130C">
              <w:rPr>
                <w:rFonts w:eastAsia="Times"/>
              </w:rPr>
              <w:t>12,000</w:t>
            </w:r>
          </w:p>
        </w:tc>
      </w:tr>
      <w:tr w:rsidR="00F962BE" w:rsidRPr="00A3130C" w14:paraId="7A7A5E4C"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3B9EF1E7" w14:textId="77777777" w:rsidR="00F962BE" w:rsidRPr="00A3130C" w:rsidRDefault="00F962BE">
            <w:pPr>
              <w:pStyle w:val="ARTabletext"/>
              <w:rPr>
                <w:rFonts w:eastAsia="Times"/>
              </w:rPr>
            </w:pPr>
            <w:r w:rsidRPr="00A3130C">
              <w:rPr>
                <w:rFonts w:eastAsia="Times"/>
              </w:rPr>
              <w:t>Horsham Rural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BB2EEA7" w14:textId="77777777" w:rsidR="00F962BE" w:rsidRPr="00A3130C" w:rsidRDefault="00F962BE">
            <w:pPr>
              <w:pStyle w:val="ARTabletext"/>
              <w:jc w:val="right"/>
              <w:rPr>
                <w:rFonts w:eastAsia="Times"/>
              </w:rPr>
            </w:pPr>
            <w:r w:rsidRPr="00A3130C">
              <w:rPr>
                <w:rFonts w:eastAsia="Times"/>
              </w:rPr>
              <w:t>99,999</w:t>
            </w:r>
          </w:p>
        </w:tc>
      </w:tr>
      <w:tr w:rsidR="00F962BE" w:rsidRPr="00A3130C" w14:paraId="0A52D0F9"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43807D73" w14:textId="77777777" w:rsidR="00F962BE" w:rsidRPr="00A3130C" w:rsidRDefault="00F962BE">
            <w:pPr>
              <w:pStyle w:val="ARTabletext"/>
              <w:rPr>
                <w:rFonts w:eastAsia="Times"/>
              </w:rPr>
            </w:pPr>
            <w:r w:rsidRPr="00A3130C">
              <w:rPr>
                <w:rFonts w:eastAsia="Times"/>
              </w:rPr>
              <w:t>Hume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35977B9" w14:textId="77777777" w:rsidR="00F962BE" w:rsidRPr="00A3130C" w:rsidRDefault="00F962BE">
            <w:pPr>
              <w:pStyle w:val="ARTabletext"/>
              <w:jc w:val="right"/>
              <w:rPr>
                <w:rFonts w:eastAsia="Times"/>
              </w:rPr>
            </w:pPr>
            <w:r w:rsidRPr="00A3130C">
              <w:rPr>
                <w:rFonts w:eastAsia="Times"/>
              </w:rPr>
              <w:t>94,999</w:t>
            </w:r>
          </w:p>
        </w:tc>
      </w:tr>
      <w:tr w:rsidR="00F962BE" w:rsidRPr="00A3130C" w14:paraId="1F48D9BF"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26278EFD" w14:textId="77777777" w:rsidR="00F962BE" w:rsidRPr="00A3130C" w:rsidRDefault="00F962BE">
            <w:pPr>
              <w:pStyle w:val="ARTabletext"/>
              <w:rPr>
                <w:rFonts w:eastAsia="Times"/>
              </w:rPr>
            </w:pPr>
            <w:r w:rsidRPr="00A3130C">
              <w:rPr>
                <w:rFonts w:eastAsia="Times"/>
              </w:rPr>
              <w:t>Indigo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6A55208" w14:textId="77777777" w:rsidR="00F962BE" w:rsidRPr="00A3130C" w:rsidRDefault="00F962BE">
            <w:pPr>
              <w:pStyle w:val="ARTabletext"/>
              <w:jc w:val="right"/>
              <w:rPr>
                <w:rFonts w:eastAsia="Times"/>
              </w:rPr>
            </w:pPr>
            <w:r w:rsidRPr="00A3130C">
              <w:rPr>
                <w:rFonts w:eastAsia="Times"/>
              </w:rPr>
              <w:t>40,000</w:t>
            </w:r>
          </w:p>
        </w:tc>
      </w:tr>
      <w:tr w:rsidR="00F962BE" w:rsidRPr="00A3130C" w14:paraId="51B82D71"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48D629E3" w14:textId="77777777" w:rsidR="00F962BE" w:rsidRPr="00A3130C" w:rsidRDefault="00F962BE">
            <w:pPr>
              <w:pStyle w:val="ARTabletext"/>
              <w:rPr>
                <w:rFonts w:eastAsia="Times"/>
              </w:rPr>
            </w:pPr>
            <w:r w:rsidRPr="00A3130C">
              <w:rPr>
                <w:rFonts w:eastAsia="Times"/>
              </w:rPr>
              <w:t xml:space="preserve">Initiative For Peace </w:t>
            </w:r>
            <w:proofErr w:type="gramStart"/>
            <w:r w:rsidRPr="00A3130C">
              <w:rPr>
                <w:rFonts w:eastAsia="Times"/>
              </w:rPr>
              <w:t>And</w:t>
            </w:r>
            <w:proofErr w:type="gramEnd"/>
            <w:r w:rsidRPr="00A3130C">
              <w:rPr>
                <w:rFonts w:eastAsia="Times"/>
              </w:rPr>
              <w:t xml:space="preserve"> Development</w:t>
            </w:r>
            <w:r>
              <w:rPr>
                <w:rFonts w:eastAsia="Times"/>
              </w:rPr>
              <w:t> </w:t>
            </w:r>
            <w:r w:rsidRPr="00A3130C">
              <w:rPr>
                <w:rFonts w:eastAsia="Times"/>
              </w:rPr>
              <w:t>IPD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B11B777" w14:textId="77777777" w:rsidR="00F962BE" w:rsidRPr="00A3130C" w:rsidRDefault="00F962BE">
            <w:pPr>
              <w:pStyle w:val="ARTabletext"/>
              <w:jc w:val="right"/>
              <w:rPr>
                <w:rFonts w:eastAsia="Times"/>
              </w:rPr>
            </w:pPr>
            <w:r w:rsidRPr="00A3130C">
              <w:rPr>
                <w:rFonts w:eastAsia="Times"/>
              </w:rPr>
              <w:t>2,000</w:t>
            </w:r>
          </w:p>
        </w:tc>
      </w:tr>
      <w:tr w:rsidR="00F962BE" w:rsidRPr="00A3130C" w14:paraId="68E43713"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21B42065" w14:textId="77777777" w:rsidR="00F962BE" w:rsidRPr="00A3130C" w:rsidRDefault="00F962BE">
            <w:pPr>
              <w:pStyle w:val="ARTabletext"/>
              <w:rPr>
                <w:rFonts w:eastAsia="Times"/>
              </w:rPr>
            </w:pPr>
            <w:proofErr w:type="spellStart"/>
            <w:r w:rsidRPr="00A3130C">
              <w:rPr>
                <w:rFonts w:eastAsia="Times"/>
              </w:rPr>
              <w:t>Intereach</w:t>
            </w:r>
            <w:proofErr w:type="spellEnd"/>
            <w:r w:rsidRPr="00A3130C">
              <w:rPr>
                <w:rFonts w:eastAsia="Times"/>
              </w:rPr>
              <w:t xml:space="preserve"> Limited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164B7C17" w14:textId="77777777" w:rsidR="00F962BE" w:rsidRPr="00A3130C" w:rsidRDefault="00F962BE">
            <w:pPr>
              <w:pStyle w:val="ARTabletext"/>
              <w:jc w:val="right"/>
              <w:rPr>
                <w:rFonts w:eastAsia="Times"/>
              </w:rPr>
            </w:pPr>
            <w:r w:rsidRPr="00A3130C">
              <w:rPr>
                <w:rFonts w:eastAsia="Times"/>
              </w:rPr>
              <w:t>1,906</w:t>
            </w:r>
          </w:p>
        </w:tc>
      </w:tr>
      <w:tr w:rsidR="00F962BE" w:rsidRPr="00A3130C" w14:paraId="1EFD8AF5"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1621C100" w14:textId="77777777" w:rsidR="00F962BE" w:rsidRPr="00A3130C" w:rsidRDefault="00F962BE">
            <w:pPr>
              <w:pStyle w:val="ARTabletext"/>
              <w:rPr>
                <w:rFonts w:eastAsia="Times"/>
              </w:rPr>
            </w:pPr>
            <w:proofErr w:type="spellStart"/>
            <w:r w:rsidRPr="00A3130C">
              <w:rPr>
                <w:rFonts w:eastAsia="Times"/>
              </w:rPr>
              <w:t>Karaval</w:t>
            </w:r>
            <w:proofErr w:type="spellEnd"/>
            <w:r w:rsidRPr="00A3130C">
              <w:rPr>
                <w:rFonts w:eastAsia="Times"/>
              </w:rPr>
              <w:t xml:space="preserve"> </w:t>
            </w:r>
            <w:proofErr w:type="spellStart"/>
            <w:r w:rsidRPr="00A3130C">
              <w:rPr>
                <w:rFonts w:eastAsia="Times"/>
              </w:rPr>
              <w:t>Konkans</w:t>
            </w:r>
            <w:proofErr w:type="spellEnd"/>
            <w:r w:rsidRPr="00A3130C">
              <w:rPr>
                <w:rFonts w:eastAsia="Times"/>
              </w:rPr>
              <w:t xml:space="preserve"> Australia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7F5E276" w14:textId="77777777" w:rsidR="00F962BE" w:rsidRPr="00A3130C" w:rsidRDefault="00F962BE">
            <w:pPr>
              <w:pStyle w:val="ARTabletext"/>
              <w:jc w:val="right"/>
              <w:rPr>
                <w:rFonts w:eastAsia="Times"/>
              </w:rPr>
            </w:pPr>
            <w:r w:rsidRPr="00A3130C">
              <w:rPr>
                <w:rFonts w:eastAsia="Times"/>
              </w:rPr>
              <w:t>2,000</w:t>
            </w:r>
          </w:p>
        </w:tc>
      </w:tr>
      <w:tr w:rsidR="00F962BE" w:rsidRPr="00A3130C" w14:paraId="19EE80DC"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7FC8946B" w14:textId="77777777" w:rsidR="00F962BE" w:rsidRPr="00A3130C" w:rsidRDefault="00F962BE">
            <w:pPr>
              <w:pStyle w:val="ARTabletext"/>
              <w:rPr>
                <w:rFonts w:eastAsia="Times"/>
              </w:rPr>
            </w:pPr>
            <w:r w:rsidRPr="00A3130C">
              <w:rPr>
                <w:rFonts w:eastAsia="Times"/>
              </w:rPr>
              <w:t>Keilor Downs College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CF2CEA5" w14:textId="77777777" w:rsidR="00F962BE" w:rsidRPr="00A3130C" w:rsidRDefault="00F962BE">
            <w:pPr>
              <w:pStyle w:val="ARTabletext"/>
              <w:jc w:val="right"/>
              <w:rPr>
                <w:rFonts w:eastAsia="Times"/>
              </w:rPr>
            </w:pPr>
            <w:r w:rsidRPr="00A3130C">
              <w:rPr>
                <w:rFonts w:eastAsia="Times"/>
              </w:rPr>
              <w:t>12,000</w:t>
            </w:r>
          </w:p>
        </w:tc>
      </w:tr>
      <w:tr w:rsidR="00F962BE" w:rsidRPr="00A3130C" w14:paraId="22220B09"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6DD2477E" w14:textId="77777777" w:rsidR="00F962BE" w:rsidRPr="00A3130C" w:rsidRDefault="00F962BE">
            <w:pPr>
              <w:pStyle w:val="ARTabletext"/>
              <w:rPr>
                <w:rFonts w:eastAsia="Times"/>
              </w:rPr>
            </w:pPr>
            <w:r w:rsidRPr="00A3130C">
              <w:rPr>
                <w:rFonts w:eastAsia="Times"/>
              </w:rPr>
              <w:t>Kensington Neighbourhood House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70DA93B" w14:textId="77777777" w:rsidR="00F962BE" w:rsidRPr="00A3130C" w:rsidRDefault="00F962BE">
            <w:pPr>
              <w:pStyle w:val="ARTabletext"/>
              <w:jc w:val="right"/>
              <w:rPr>
                <w:rFonts w:eastAsia="Times"/>
              </w:rPr>
            </w:pPr>
            <w:r w:rsidRPr="00A3130C">
              <w:rPr>
                <w:rFonts w:eastAsia="Times"/>
              </w:rPr>
              <w:t>2,000</w:t>
            </w:r>
          </w:p>
        </w:tc>
      </w:tr>
      <w:tr w:rsidR="00F962BE" w:rsidRPr="00A3130C" w14:paraId="57395C8D"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0F0E2081" w14:textId="77777777" w:rsidR="00F962BE" w:rsidRPr="00A3130C" w:rsidRDefault="00F962BE">
            <w:pPr>
              <w:pStyle w:val="ARTabletext"/>
              <w:rPr>
                <w:rFonts w:eastAsia="Times"/>
              </w:rPr>
            </w:pPr>
            <w:r w:rsidRPr="00A3130C">
              <w:rPr>
                <w:rFonts w:eastAsia="Times"/>
              </w:rPr>
              <w:t>Knox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C01AC3D" w14:textId="77777777" w:rsidR="00F962BE" w:rsidRPr="00A3130C" w:rsidRDefault="00F962BE">
            <w:pPr>
              <w:pStyle w:val="ARTabletext"/>
              <w:jc w:val="right"/>
              <w:rPr>
                <w:rFonts w:eastAsia="Times"/>
              </w:rPr>
            </w:pPr>
            <w:r w:rsidRPr="00A3130C">
              <w:rPr>
                <w:rFonts w:eastAsia="Times"/>
              </w:rPr>
              <w:t>56,599</w:t>
            </w:r>
          </w:p>
        </w:tc>
      </w:tr>
      <w:tr w:rsidR="00F962BE" w:rsidRPr="00A3130C" w14:paraId="6F757DE9"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4EA0767F" w14:textId="77777777" w:rsidR="00F962BE" w:rsidRPr="00A3130C" w:rsidRDefault="00F962BE">
            <w:pPr>
              <w:pStyle w:val="ARTabletext"/>
              <w:rPr>
                <w:rFonts w:eastAsia="Times"/>
              </w:rPr>
            </w:pPr>
            <w:r w:rsidRPr="00A3130C">
              <w:rPr>
                <w:rFonts w:eastAsia="Times"/>
              </w:rPr>
              <w:t>Launch Housing</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CEEC7D7" w14:textId="77777777" w:rsidR="00F962BE" w:rsidRPr="00A3130C" w:rsidRDefault="00F962BE">
            <w:pPr>
              <w:pStyle w:val="ARTabletext"/>
              <w:jc w:val="right"/>
              <w:rPr>
                <w:rFonts w:eastAsia="Times"/>
              </w:rPr>
            </w:pPr>
            <w:r w:rsidRPr="00A3130C">
              <w:rPr>
                <w:rFonts w:eastAsia="Times"/>
              </w:rPr>
              <w:t>30,000</w:t>
            </w:r>
          </w:p>
        </w:tc>
      </w:tr>
      <w:tr w:rsidR="00F962BE" w:rsidRPr="00A3130C" w14:paraId="40FE3F4E"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096C48C3" w14:textId="77777777" w:rsidR="00F962BE" w:rsidRPr="00A3130C" w:rsidRDefault="00F962BE">
            <w:pPr>
              <w:pStyle w:val="ARTabletext"/>
              <w:rPr>
                <w:rFonts w:eastAsia="Times"/>
              </w:rPr>
            </w:pPr>
            <w:r w:rsidRPr="00A3130C">
              <w:rPr>
                <w:rFonts w:eastAsia="Times"/>
              </w:rPr>
              <w:t>Liberty Unity Organization Life Global Foundation Australia (LUOLGFA)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1A3010B9" w14:textId="77777777" w:rsidR="00F962BE" w:rsidRPr="00A3130C" w:rsidRDefault="00F962BE">
            <w:pPr>
              <w:pStyle w:val="ARTabletext"/>
              <w:jc w:val="right"/>
              <w:rPr>
                <w:rFonts w:eastAsia="Times"/>
              </w:rPr>
            </w:pPr>
            <w:r w:rsidRPr="00A3130C">
              <w:rPr>
                <w:rFonts w:eastAsia="Times"/>
              </w:rPr>
              <w:t>2,000</w:t>
            </w:r>
          </w:p>
        </w:tc>
      </w:tr>
      <w:tr w:rsidR="00F962BE" w:rsidRPr="00A3130C" w14:paraId="66391A1D"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74CF72B7" w14:textId="77777777" w:rsidR="00F962BE" w:rsidRPr="00A3130C" w:rsidRDefault="00F962BE">
            <w:pPr>
              <w:pStyle w:val="ARTabletext"/>
              <w:rPr>
                <w:rFonts w:eastAsia="Times"/>
              </w:rPr>
            </w:pPr>
            <w:r w:rsidRPr="00A3130C">
              <w:rPr>
                <w:rFonts w:eastAsia="Times"/>
              </w:rPr>
              <w:t>Linden New Art</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570DF73" w14:textId="77777777" w:rsidR="00F962BE" w:rsidRPr="00A3130C" w:rsidRDefault="00F962BE">
            <w:pPr>
              <w:pStyle w:val="ARTabletext"/>
              <w:jc w:val="right"/>
              <w:rPr>
                <w:rFonts w:eastAsia="Times"/>
              </w:rPr>
            </w:pPr>
            <w:r w:rsidRPr="00A3130C">
              <w:rPr>
                <w:rFonts w:eastAsia="Times"/>
              </w:rPr>
              <w:t>2,000</w:t>
            </w:r>
          </w:p>
        </w:tc>
      </w:tr>
      <w:tr w:rsidR="00F962BE" w:rsidRPr="00A3130C" w14:paraId="64B66ABD"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37ABB47C" w14:textId="77777777" w:rsidR="00F962BE" w:rsidRPr="00A3130C" w:rsidRDefault="00F962BE">
            <w:pPr>
              <w:pStyle w:val="ARTabletext"/>
              <w:rPr>
                <w:rFonts w:eastAsia="Times"/>
              </w:rPr>
            </w:pPr>
            <w:r w:rsidRPr="00A3130C">
              <w:rPr>
                <w:rFonts w:eastAsia="Times"/>
              </w:rPr>
              <w:t>Little Dreamers Australia Co Ltd.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137CCBE" w14:textId="77777777" w:rsidR="00F962BE" w:rsidRPr="00A3130C" w:rsidRDefault="00F962BE">
            <w:pPr>
              <w:pStyle w:val="ARTabletext"/>
              <w:jc w:val="right"/>
              <w:rPr>
                <w:rFonts w:eastAsia="Times"/>
              </w:rPr>
            </w:pPr>
            <w:r w:rsidRPr="00A3130C">
              <w:rPr>
                <w:rFonts w:eastAsia="Times"/>
              </w:rPr>
              <w:t>65,000</w:t>
            </w:r>
          </w:p>
        </w:tc>
      </w:tr>
      <w:tr w:rsidR="00F962BE" w:rsidRPr="00A3130C" w14:paraId="5B1BD2C3"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4529CD12" w14:textId="77777777" w:rsidR="00F962BE" w:rsidRPr="00A3130C" w:rsidRDefault="00F962BE">
            <w:pPr>
              <w:pStyle w:val="ARTabletext"/>
              <w:rPr>
                <w:rFonts w:eastAsia="Times"/>
              </w:rPr>
            </w:pPr>
            <w:r w:rsidRPr="00A3130C">
              <w:rPr>
                <w:rFonts w:eastAsia="Times"/>
              </w:rPr>
              <w:t>Macedon Ranges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FAD0168" w14:textId="77777777" w:rsidR="00F962BE" w:rsidRPr="00A3130C" w:rsidRDefault="00F962BE">
            <w:pPr>
              <w:pStyle w:val="ARTabletext"/>
              <w:jc w:val="right"/>
              <w:rPr>
                <w:rFonts w:eastAsia="Times"/>
              </w:rPr>
            </w:pPr>
            <w:r w:rsidRPr="00A3130C">
              <w:rPr>
                <w:rFonts w:eastAsia="Times"/>
              </w:rPr>
              <w:t>87,999</w:t>
            </w:r>
          </w:p>
        </w:tc>
      </w:tr>
      <w:tr w:rsidR="00F962BE" w:rsidRPr="00A3130C" w14:paraId="6D598D3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557176E7" w14:textId="77777777" w:rsidR="00F962BE" w:rsidRPr="00A3130C" w:rsidRDefault="00F962BE">
            <w:pPr>
              <w:pStyle w:val="ARTabletext"/>
              <w:rPr>
                <w:rFonts w:eastAsia="Times"/>
              </w:rPr>
            </w:pPr>
            <w:r w:rsidRPr="00A3130C">
              <w:rPr>
                <w:rFonts w:eastAsia="Times"/>
              </w:rPr>
              <w:t>Mallee Track Health and Community</w:t>
            </w:r>
            <w:r>
              <w:rPr>
                <w:rFonts w:eastAsia="Times"/>
              </w:rPr>
              <w:t> </w:t>
            </w:r>
            <w:r w:rsidRPr="00A3130C">
              <w:rPr>
                <w:rFonts w:eastAsia="Times"/>
              </w:rPr>
              <w:t>Service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CEB639E" w14:textId="77777777" w:rsidR="00F962BE" w:rsidRPr="00A3130C" w:rsidRDefault="00F962BE">
            <w:pPr>
              <w:pStyle w:val="ARTabletext"/>
              <w:jc w:val="right"/>
              <w:rPr>
                <w:rFonts w:eastAsia="Times"/>
              </w:rPr>
            </w:pPr>
            <w:r w:rsidRPr="00A3130C">
              <w:rPr>
                <w:rFonts w:eastAsia="Times"/>
              </w:rPr>
              <w:t>2,000</w:t>
            </w:r>
          </w:p>
        </w:tc>
      </w:tr>
      <w:tr w:rsidR="00F962BE" w:rsidRPr="00A3130C" w14:paraId="4DBB4D1B"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1F8BA20B" w14:textId="77777777" w:rsidR="00F962BE" w:rsidRPr="00A3130C" w:rsidRDefault="00F962BE">
            <w:pPr>
              <w:pStyle w:val="ARTabletext"/>
              <w:rPr>
                <w:rFonts w:eastAsia="Times"/>
              </w:rPr>
            </w:pPr>
            <w:r w:rsidRPr="00A3130C">
              <w:rPr>
                <w:rFonts w:eastAsia="Times"/>
              </w:rPr>
              <w:t>Mansfield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AD44DD9" w14:textId="77777777" w:rsidR="00F962BE" w:rsidRPr="00A3130C" w:rsidRDefault="00F962BE">
            <w:pPr>
              <w:pStyle w:val="ARTabletext"/>
              <w:jc w:val="right"/>
              <w:rPr>
                <w:rFonts w:eastAsia="Times"/>
              </w:rPr>
            </w:pPr>
            <w:r w:rsidRPr="00A3130C">
              <w:rPr>
                <w:rFonts w:eastAsia="Times"/>
              </w:rPr>
              <w:t>81,666</w:t>
            </w:r>
          </w:p>
        </w:tc>
      </w:tr>
      <w:tr w:rsidR="00F962BE" w:rsidRPr="00A3130C" w14:paraId="3910255F"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2589E565" w14:textId="77777777" w:rsidR="00F962BE" w:rsidRPr="00A3130C" w:rsidRDefault="00F962BE">
            <w:pPr>
              <w:pStyle w:val="ARTabletext"/>
              <w:rPr>
                <w:rFonts w:eastAsia="Times"/>
              </w:rPr>
            </w:pPr>
            <w:r w:rsidRPr="00A3130C">
              <w:rPr>
                <w:rFonts w:eastAsia="Times"/>
              </w:rPr>
              <w:t>Maribyrnong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6320C57" w14:textId="77777777" w:rsidR="00F962BE" w:rsidRPr="00A3130C" w:rsidRDefault="00F962BE">
            <w:pPr>
              <w:pStyle w:val="ARTabletext"/>
              <w:jc w:val="right"/>
              <w:rPr>
                <w:rFonts w:eastAsia="Times"/>
              </w:rPr>
            </w:pPr>
            <w:r w:rsidRPr="00A3130C">
              <w:rPr>
                <w:rFonts w:eastAsia="Times"/>
              </w:rPr>
              <w:t>89,999</w:t>
            </w:r>
          </w:p>
        </w:tc>
      </w:tr>
      <w:tr w:rsidR="00F962BE" w:rsidRPr="00A3130C" w14:paraId="4C488243"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3B767718" w14:textId="77777777" w:rsidR="00F962BE" w:rsidRPr="00A3130C" w:rsidRDefault="00F962BE">
            <w:pPr>
              <w:pStyle w:val="ARTabletext"/>
              <w:rPr>
                <w:rFonts w:eastAsia="Times"/>
              </w:rPr>
            </w:pPr>
            <w:r w:rsidRPr="00A3130C">
              <w:rPr>
                <w:rFonts w:eastAsia="Times"/>
              </w:rPr>
              <w:t>Maroondah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AC3956E" w14:textId="77777777" w:rsidR="00F962BE" w:rsidRPr="00A3130C" w:rsidRDefault="00F962BE">
            <w:pPr>
              <w:pStyle w:val="ARTabletext"/>
              <w:jc w:val="right"/>
              <w:rPr>
                <w:rFonts w:eastAsia="Times"/>
              </w:rPr>
            </w:pPr>
            <w:r w:rsidRPr="00A3130C">
              <w:rPr>
                <w:rFonts w:eastAsia="Times"/>
              </w:rPr>
              <w:t>1,000</w:t>
            </w:r>
          </w:p>
        </w:tc>
      </w:tr>
      <w:tr w:rsidR="00F962BE" w:rsidRPr="00A3130C" w14:paraId="6FFAA4A0"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14BA345C" w14:textId="77777777" w:rsidR="00F962BE" w:rsidRPr="00A3130C" w:rsidRDefault="00F962BE">
            <w:pPr>
              <w:pStyle w:val="ARTabletext"/>
              <w:rPr>
                <w:rFonts w:eastAsia="Times"/>
              </w:rPr>
            </w:pPr>
            <w:r w:rsidRPr="00A3130C">
              <w:rPr>
                <w:rFonts w:eastAsia="Times"/>
              </w:rPr>
              <w:t>Melton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677761A" w14:textId="77777777" w:rsidR="00F962BE" w:rsidRPr="00A3130C" w:rsidRDefault="00F962BE">
            <w:pPr>
              <w:pStyle w:val="ARTabletext"/>
              <w:jc w:val="right"/>
              <w:rPr>
                <w:rFonts w:eastAsia="Times"/>
              </w:rPr>
            </w:pPr>
            <w:r w:rsidRPr="00A3130C">
              <w:rPr>
                <w:rFonts w:eastAsia="Times"/>
              </w:rPr>
              <w:t>81,999</w:t>
            </w:r>
          </w:p>
        </w:tc>
      </w:tr>
      <w:tr w:rsidR="00F962BE" w:rsidRPr="00A3130C" w14:paraId="235509F9"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7D8A7E84" w14:textId="77777777" w:rsidR="00F962BE" w:rsidRPr="00A3130C" w:rsidRDefault="00F962BE">
            <w:pPr>
              <w:pStyle w:val="ARTabletext"/>
              <w:rPr>
                <w:rFonts w:eastAsia="Times"/>
              </w:rPr>
            </w:pPr>
            <w:r w:rsidRPr="00A3130C">
              <w:rPr>
                <w:rFonts w:eastAsia="Times"/>
              </w:rPr>
              <w:t xml:space="preserve">Merri Community Health Services Ltd trading as </w:t>
            </w:r>
            <w:proofErr w:type="spellStart"/>
            <w:r w:rsidRPr="00A3130C">
              <w:rPr>
                <w:rFonts w:eastAsia="Times"/>
              </w:rPr>
              <w:t>Holstep</w:t>
            </w:r>
            <w:proofErr w:type="spellEnd"/>
            <w:r w:rsidRPr="00A3130C">
              <w:rPr>
                <w:rFonts w:eastAsia="Times"/>
              </w:rPr>
              <w:t xml:space="preserve"> Health</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524797A" w14:textId="77777777" w:rsidR="00F962BE" w:rsidRPr="00A3130C" w:rsidRDefault="00F962BE">
            <w:pPr>
              <w:pStyle w:val="ARTabletext"/>
              <w:jc w:val="right"/>
              <w:rPr>
                <w:rFonts w:eastAsia="Times"/>
              </w:rPr>
            </w:pPr>
            <w:r w:rsidRPr="00A3130C">
              <w:rPr>
                <w:rFonts w:eastAsia="Times"/>
              </w:rPr>
              <w:t>635,843</w:t>
            </w:r>
          </w:p>
        </w:tc>
      </w:tr>
      <w:tr w:rsidR="00F962BE" w:rsidRPr="00A3130C" w14:paraId="3F4293B7"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106C6855" w14:textId="77777777" w:rsidR="00F962BE" w:rsidRPr="00A3130C" w:rsidRDefault="00F962BE">
            <w:pPr>
              <w:pStyle w:val="ARTabletext"/>
              <w:rPr>
                <w:rFonts w:eastAsia="Times"/>
              </w:rPr>
            </w:pPr>
            <w:r w:rsidRPr="00A3130C">
              <w:rPr>
                <w:rFonts w:eastAsia="Times"/>
              </w:rPr>
              <w:t>Merri-Bek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9EB344F" w14:textId="77777777" w:rsidR="00F962BE" w:rsidRPr="00A3130C" w:rsidRDefault="00F962BE">
            <w:pPr>
              <w:pStyle w:val="ARTabletext"/>
              <w:jc w:val="right"/>
              <w:rPr>
                <w:rFonts w:eastAsia="Times"/>
              </w:rPr>
            </w:pPr>
            <w:r w:rsidRPr="00A3130C">
              <w:rPr>
                <w:rFonts w:eastAsia="Times"/>
              </w:rPr>
              <w:t>38,666</w:t>
            </w:r>
          </w:p>
        </w:tc>
      </w:tr>
      <w:tr w:rsidR="00F962BE" w:rsidRPr="00A3130C" w14:paraId="57FC8037"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7829A539" w14:textId="77777777" w:rsidR="00F962BE" w:rsidRPr="00A3130C" w:rsidRDefault="00F962BE">
            <w:pPr>
              <w:pStyle w:val="ARTabletext"/>
              <w:rPr>
                <w:rFonts w:eastAsia="Times"/>
              </w:rPr>
            </w:pPr>
            <w:r w:rsidRPr="00A3130C">
              <w:rPr>
                <w:rFonts w:eastAsia="Times"/>
              </w:rPr>
              <w:t>Mildura Rural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0B4826D" w14:textId="77777777" w:rsidR="00F962BE" w:rsidRPr="00A3130C" w:rsidRDefault="00F962BE">
            <w:pPr>
              <w:pStyle w:val="ARTabletext"/>
              <w:jc w:val="right"/>
              <w:rPr>
                <w:rFonts w:eastAsia="Times"/>
              </w:rPr>
            </w:pPr>
            <w:r w:rsidRPr="00A3130C">
              <w:rPr>
                <w:rFonts w:eastAsia="Times"/>
              </w:rPr>
              <w:t>99,999</w:t>
            </w:r>
          </w:p>
        </w:tc>
      </w:tr>
      <w:tr w:rsidR="00F962BE" w:rsidRPr="00A3130C" w14:paraId="40B07252"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0CCF981F" w14:textId="77777777" w:rsidR="00F962BE" w:rsidRPr="00A3130C" w:rsidRDefault="00F962BE">
            <w:pPr>
              <w:pStyle w:val="ARTabletext"/>
              <w:rPr>
                <w:rFonts w:eastAsia="Times"/>
              </w:rPr>
            </w:pPr>
            <w:r w:rsidRPr="00A3130C">
              <w:rPr>
                <w:rFonts w:eastAsia="Times"/>
              </w:rPr>
              <w:t>Minus18 Foundation</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130BA472" w14:textId="77777777" w:rsidR="00F962BE" w:rsidRPr="00A3130C" w:rsidRDefault="00F962BE">
            <w:pPr>
              <w:pStyle w:val="ARTabletext"/>
              <w:jc w:val="right"/>
              <w:rPr>
                <w:rFonts w:eastAsia="Times"/>
              </w:rPr>
            </w:pPr>
            <w:r w:rsidRPr="00A3130C">
              <w:rPr>
                <w:rFonts w:eastAsia="Times"/>
              </w:rPr>
              <w:t>30,000</w:t>
            </w:r>
          </w:p>
        </w:tc>
      </w:tr>
      <w:tr w:rsidR="00F962BE" w:rsidRPr="00A3130C" w14:paraId="515EC60B"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4C1E8383" w14:textId="77777777" w:rsidR="00F962BE" w:rsidRPr="00A3130C" w:rsidRDefault="00F962BE">
            <w:pPr>
              <w:pStyle w:val="ARTabletext"/>
              <w:rPr>
                <w:rFonts w:eastAsia="Times"/>
              </w:rPr>
            </w:pPr>
            <w:r w:rsidRPr="00A3130C">
              <w:rPr>
                <w:rFonts w:eastAsia="Times"/>
              </w:rPr>
              <w:t>Mitchell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9A81C9E" w14:textId="77777777" w:rsidR="00F962BE" w:rsidRPr="00A3130C" w:rsidRDefault="00F962BE">
            <w:pPr>
              <w:pStyle w:val="ARTabletext"/>
              <w:jc w:val="right"/>
              <w:rPr>
                <w:rFonts w:eastAsia="Times"/>
              </w:rPr>
            </w:pPr>
            <w:r w:rsidRPr="00A3130C">
              <w:rPr>
                <w:rFonts w:eastAsia="Times"/>
              </w:rPr>
              <w:t>101,999</w:t>
            </w:r>
          </w:p>
        </w:tc>
      </w:tr>
      <w:tr w:rsidR="00F962BE" w:rsidRPr="00A3130C" w14:paraId="3C2806B0"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3BE07C5F" w14:textId="77777777" w:rsidR="00F962BE" w:rsidRPr="00A3130C" w:rsidRDefault="00F962BE">
            <w:pPr>
              <w:pStyle w:val="ARTabletext"/>
              <w:rPr>
                <w:rFonts w:eastAsia="Times"/>
              </w:rPr>
            </w:pPr>
            <w:proofErr w:type="spellStart"/>
            <w:r w:rsidRPr="00A3130C">
              <w:rPr>
                <w:rFonts w:eastAsia="Times"/>
              </w:rPr>
              <w:t>M'mbembe</w:t>
            </w:r>
            <w:proofErr w:type="spellEnd"/>
            <w:r w:rsidRPr="00A3130C">
              <w:rPr>
                <w:rFonts w:eastAsia="Times"/>
              </w:rPr>
              <w:t xml:space="preserve"> M'mbondo Victoria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E102354" w14:textId="77777777" w:rsidR="00F962BE" w:rsidRPr="00A3130C" w:rsidRDefault="00F962BE">
            <w:pPr>
              <w:pStyle w:val="ARTabletext"/>
              <w:jc w:val="right"/>
              <w:rPr>
                <w:rFonts w:eastAsia="Times"/>
              </w:rPr>
            </w:pPr>
            <w:r w:rsidRPr="00A3130C">
              <w:rPr>
                <w:rFonts w:eastAsia="Times"/>
              </w:rPr>
              <w:t>2,000</w:t>
            </w:r>
          </w:p>
        </w:tc>
      </w:tr>
      <w:tr w:rsidR="00F962BE" w:rsidRPr="00A3130C" w14:paraId="77BD7FF8"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6695581D" w14:textId="77777777" w:rsidR="00F962BE" w:rsidRPr="00A3130C" w:rsidRDefault="00F962BE">
            <w:pPr>
              <w:pStyle w:val="ARTabletext"/>
              <w:rPr>
                <w:rFonts w:eastAsia="Times"/>
              </w:rPr>
            </w:pPr>
            <w:r w:rsidRPr="00A3130C">
              <w:rPr>
                <w:rFonts w:eastAsia="Times"/>
              </w:rPr>
              <w:t>Moira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A6249FF" w14:textId="77777777" w:rsidR="00F962BE" w:rsidRPr="00A3130C" w:rsidRDefault="00F962BE">
            <w:pPr>
              <w:pStyle w:val="ARTabletext"/>
              <w:jc w:val="right"/>
              <w:rPr>
                <w:rFonts w:eastAsia="Times"/>
              </w:rPr>
            </w:pPr>
            <w:r w:rsidRPr="00A3130C">
              <w:rPr>
                <w:rFonts w:eastAsia="Times"/>
              </w:rPr>
              <w:t>40,000</w:t>
            </w:r>
          </w:p>
        </w:tc>
      </w:tr>
      <w:tr w:rsidR="00F962BE" w:rsidRPr="00A3130C" w14:paraId="02AB6CAA"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3BE3401C" w14:textId="77777777" w:rsidR="00F962BE" w:rsidRPr="00A3130C" w:rsidRDefault="00F962BE">
            <w:pPr>
              <w:pStyle w:val="ARTabletext"/>
              <w:rPr>
                <w:rFonts w:eastAsia="Times"/>
              </w:rPr>
            </w:pPr>
            <w:r w:rsidRPr="00A3130C">
              <w:rPr>
                <w:rFonts w:eastAsia="Times"/>
              </w:rPr>
              <w:t>Monash Student Association (Clayton)</w:t>
            </w:r>
            <w:r>
              <w:rPr>
                <w:rFonts w:eastAsia="Times"/>
              </w:rPr>
              <w:t> </w:t>
            </w:r>
            <w:r w:rsidRPr="00A3130C">
              <w:rPr>
                <w:rFonts w:eastAsia="Times"/>
              </w:rPr>
              <w:t>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181F451F" w14:textId="77777777" w:rsidR="00F962BE" w:rsidRPr="00A3130C" w:rsidRDefault="00F962BE">
            <w:pPr>
              <w:pStyle w:val="ARTabletext"/>
              <w:jc w:val="right"/>
              <w:rPr>
                <w:rFonts w:eastAsia="Times"/>
              </w:rPr>
            </w:pPr>
            <w:r w:rsidRPr="00A3130C">
              <w:rPr>
                <w:rFonts w:eastAsia="Times"/>
              </w:rPr>
              <w:t>2,000</w:t>
            </w:r>
          </w:p>
        </w:tc>
      </w:tr>
      <w:tr w:rsidR="00F962BE" w:rsidRPr="00A3130C" w14:paraId="51894331"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0574644B" w14:textId="77777777" w:rsidR="00F962BE" w:rsidRPr="00A3130C" w:rsidRDefault="00F962BE">
            <w:pPr>
              <w:pStyle w:val="ARTabletext"/>
              <w:rPr>
                <w:rFonts w:eastAsia="Times"/>
              </w:rPr>
            </w:pPr>
            <w:r w:rsidRPr="00A3130C">
              <w:rPr>
                <w:rFonts w:eastAsia="Times"/>
              </w:rPr>
              <w:t>Moonee Valley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D383D01" w14:textId="77777777" w:rsidR="00F962BE" w:rsidRPr="00A3130C" w:rsidRDefault="00F962BE">
            <w:pPr>
              <w:pStyle w:val="ARTabletext"/>
              <w:jc w:val="right"/>
              <w:rPr>
                <w:rFonts w:eastAsia="Times"/>
              </w:rPr>
            </w:pPr>
            <w:r w:rsidRPr="00A3130C">
              <w:rPr>
                <w:rFonts w:eastAsia="Times"/>
              </w:rPr>
              <w:t>86,666</w:t>
            </w:r>
          </w:p>
        </w:tc>
      </w:tr>
      <w:tr w:rsidR="00F962BE" w:rsidRPr="00A3130C" w14:paraId="7A946E3D"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19E398AD" w14:textId="77777777" w:rsidR="00F962BE" w:rsidRPr="00A3130C" w:rsidRDefault="00F962BE">
            <w:pPr>
              <w:pStyle w:val="ARTabletext"/>
              <w:rPr>
                <w:rFonts w:eastAsia="Times"/>
              </w:rPr>
            </w:pPr>
            <w:r w:rsidRPr="00A3130C">
              <w:rPr>
                <w:rFonts w:eastAsia="Times"/>
              </w:rPr>
              <w:t>Moorabool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B64F193" w14:textId="77777777" w:rsidR="00F962BE" w:rsidRPr="00A3130C" w:rsidRDefault="00F962BE">
            <w:pPr>
              <w:pStyle w:val="ARTabletext"/>
              <w:jc w:val="right"/>
              <w:rPr>
                <w:rFonts w:eastAsia="Times"/>
              </w:rPr>
            </w:pPr>
            <w:r w:rsidRPr="00A3130C">
              <w:rPr>
                <w:rFonts w:eastAsia="Times"/>
              </w:rPr>
              <w:t>64,999</w:t>
            </w:r>
          </w:p>
        </w:tc>
      </w:tr>
      <w:tr w:rsidR="00F962BE" w:rsidRPr="00A3130C" w14:paraId="7653928D"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2B561232" w14:textId="77777777" w:rsidR="00F962BE" w:rsidRPr="00A3130C" w:rsidRDefault="00F962BE">
            <w:pPr>
              <w:pStyle w:val="ARTabletext"/>
              <w:rPr>
                <w:rFonts w:eastAsia="Times"/>
              </w:rPr>
            </w:pPr>
            <w:r w:rsidRPr="00A3130C">
              <w:rPr>
                <w:rFonts w:eastAsia="Times"/>
              </w:rPr>
              <w:t>Mornington Peninsula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004E1B5" w14:textId="77777777" w:rsidR="00F962BE" w:rsidRPr="00A3130C" w:rsidRDefault="00F962BE">
            <w:pPr>
              <w:pStyle w:val="ARTabletext"/>
              <w:jc w:val="right"/>
              <w:rPr>
                <w:rFonts w:eastAsia="Times"/>
              </w:rPr>
            </w:pPr>
            <w:r w:rsidRPr="00A3130C">
              <w:rPr>
                <w:rFonts w:eastAsia="Times"/>
              </w:rPr>
              <w:t>48,066</w:t>
            </w:r>
          </w:p>
        </w:tc>
      </w:tr>
      <w:tr w:rsidR="00F962BE" w:rsidRPr="00A3130C" w14:paraId="795EBAFB"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7F2A1518" w14:textId="77777777" w:rsidR="00F962BE" w:rsidRPr="00A3130C" w:rsidRDefault="00F962BE">
            <w:pPr>
              <w:pStyle w:val="ARTabletext"/>
              <w:rPr>
                <w:rFonts w:eastAsia="Times"/>
              </w:rPr>
            </w:pPr>
            <w:r w:rsidRPr="00A3130C">
              <w:rPr>
                <w:rFonts w:eastAsia="Times"/>
              </w:rPr>
              <w:t>Mount Alexander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C782CE3" w14:textId="77777777" w:rsidR="00F962BE" w:rsidRPr="00A3130C" w:rsidRDefault="00F962BE">
            <w:pPr>
              <w:pStyle w:val="ARTabletext"/>
              <w:jc w:val="right"/>
              <w:rPr>
                <w:rFonts w:eastAsia="Times"/>
              </w:rPr>
            </w:pPr>
            <w:r w:rsidRPr="00A3130C">
              <w:rPr>
                <w:rFonts w:eastAsia="Times"/>
              </w:rPr>
              <w:t>98,666</w:t>
            </w:r>
          </w:p>
        </w:tc>
      </w:tr>
      <w:tr w:rsidR="00F962BE" w:rsidRPr="00A3130C" w14:paraId="03437A5F"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42382A11" w14:textId="77777777" w:rsidR="00F962BE" w:rsidRPr="00A3130C" w:rsidRDefault="00F962BE">
            <w:pPr>
              <w:pStyle w:val="ARTabletext"/>
              <w:rPr>
                <w:rFonts w:eastAsia="Times"/>
              </w:rPr>
            </w:pPr>
            <w:r w:rsidRPr="00A3130C">
              <w:rPr>
                <w:rFonts w:eastAsia="Times"/>
              </w:rPr>
              <w:t>Mountain District Radio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FB2A3D1" w14:textId="77777777" w:rsidR="00F962BE" w:rsidRPr="00A3130C" w:rsidRDefault="00F962BE">
            <w:pPr>
              <w:pStyle w:val="ARTabletext"/>
              <w:jc w:val="right"/>
              <w:rPr>
                <w:rFonts w:eastAsia="Times"/>
              </w:rPr>
            </w:pPr>
            <w:r w:rsidRPr="00A3130C">
              <w:rPr>
                <w:rFonts w:eastAsia="Times"/>
              </w:rPr>
              <w:t>2,000</w:t>
            </w:r>
          </w:p>
        </w:tc>
      </w:tr>
      <w:tr w:rsidR="00F962BE" w:rsidRPr="00A3130C" w14:paraId="0EA6E416"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4EBA4249" w14:textId="77777777" w:rsidR="00F962BE" w:rsidRPr="00A3130C" w:rsidRDefault="00F962BE">
            <w:pPr>
              <w:pStyle w:val="ARTabletext"/>
              <w:rPr>
                <w:rFonts w:eastAsia="Times"/>
              </w:rPr>
            </w:pPr>
            <w:r w:rsidRPr="00A3130C">
              <w:rPr>
                <w:rFonts w:eastAsia="Times"/>
              </w:rPr>
              <w:t>Moyne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A8DD811" w14:textId="77777777" w:rsidR="00F962BE" w:rsidRPr="00A3130C" w:rsidRDefault="00F962BE">
            <w:pPr>
              <w:pStyle w:val="ARTabletext"/>
              <w:jc w:val="right"/>
              <w:rPr>
                <w:rFonts w:eastAsia="Times"/>
              </w:rPr>
            </w:pPr>
            <w:r w:rsidRPr="00A3130C">
              <w:rPr>
                <w:rFonts w:eastAsia="Times"/>
              </w:rPr>
              <w:t>101,999</w:t>
            </w:r>
          </w:p>
        </w:tc>
      </w:tr>
      <w:tr w:rsidR="00F962BE" w:rsidRPr="00A3130C" w14:paraId="3554121A"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3388E6A7" w14:textId="77777777" w:rsidR="00F962BE" w:rsidRPr="00A3130C" w:rsidRDefault="00F962BE">
            <w:pPr>
              <w:pStyle w:val="ARTabletext"/>
              <w:rPr>
                <w:rFonts w:eastAsia="Times"/>
              </w:rPr>
            </w:pPr>
            <w:r w:rsidRPr="00A3130C">
              <w:rPr>
                <w:rFonts w:eastAsia="Times"/>
              </w:rPr>
              <w:t xml:space="preserve">Mullum </w:t>
            </w:r>
            <w:proofErr w:type="spellStart"/>
            <w:r w:rsidRPr="00A3130C">
              <w:rPr>
                <w:rFonts w:eastAsia="Times"/>
              </w:rPr>
              <w:t>Mullum</w:t>
            </w:r>
            <w:proofErr w:type="spellEnd"/>
            <w:r w:rsidRPr="00A3130C">
              <w:rPr>
                <w:rFonts w:eastAsia="Times"/>
              </w:rPr>
              <w:t xml:space="preserve"> Aboriginal Gathering Place Ltd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6055329" w14:textId="77777777" w:rsidR="00F962BE" w:rsidRPr="00A3130C" w:rsidRDefault="00F962BE">
            <w:pPr>
              <w:pStyle w:val="ARTabletext"/>
              <w:jc w:val="right"/>
              <w:rPr>
                <w:rFonts w:eastAsia="Times"/>
              </w:rPr>
            </w:pPr>
            <w:r w:rsidRPr="00A3130C">
              <w:rPr>
                <w:rFonts w:eastAsia="Times"/>
              </w:rPr>
              <w:t>128,800</w:t>
            </w:r>
          </w:p>
        </w:tc>
      </w:tr>
      <w:tr w:rsidR="00F962BE" w:rsidRPr="00A3130C" w14:paraId="2826C339"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754750D9" w14:textId="77777777" w:rsidR="00F962BE" w:rsidRPr="00A3130C" w:rsidRDefault="00F962BE">
            <w:pPr>
              <w:pStyle w:val="ARTabletext"/>
              <w:rPr>
                <w:rFonts w:eastAsia="Times"/>
              </w:rPr>
            </w:pPr>
            <w:r w:rsidRPr="00A3130C">
              <w:rPr>
                <w:rFonts w:eastAsia="Times"/>
              </w:rPr>
              <w:t>Multicultural Youth Group (MYG)</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BF59A21" w14:textId="77777777" w:rsidR="00F962BE" w:rsidRPr="00A3130C" w:rsidRDefault="00F962BE">
            <w:pPr>
              <w:pStyle w:val="ARTabletext"/>
              <w:jc w:val="right"/>
              <w:rPr>
                <w:rFonts w:eastAsia="Times"/>
              </w:rPr>
            </w:pPr>
            <w:r w:rsidRPr="00A3130C">
              <w:rPr>
                <w:rFonts w:eastAsia="Times"/>
              </w:rPr>
              <w:t>2,500</w:t>
            </w:r>
          </w:p>
        </w:tc>
      </w:tr>
      <w:tr w:rsidR="00F962BE" w:rsidRPr="00A3130C" w14:paraId="366F1F6A"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721C3660" w14:textId="77777777" w:rsidR="00F962BE" w:rsidRPr="00A3130C" w:rsidRDefault="00F962BE">
            <w:pPr>
              <w:pStyle w:val="ARTabletext"/>
              <w:rPr>
                <w:rFonts w:eastAsia="Times"/>
              </w:rPr>
            </w:pPr>
            <w:r w:rsidRPr="00A3130C">
              <w:rPr>
                <w:rFonts w:eastAsia="Times"/>
              </w:rPr>
              <w:t>Murrindindi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F5EE474" w14:textId="77777777" w:rsidR="00F962BE" w:rsidRPr="00A3130C" w:rsidRDefault="00F962BE">
            <w:pPr>
              <w:pStyle w:val="ARTabletext"/>
              <w:jc w:val="right"/>
              <w:rPr>
                <w:rFonts w:eastAsia="Times"/>
              </w:rPr>
            </w:pPr>
            <w:r w:rsidRPr="00A3130C">
              <w:rPr>
                <w:rFonts w:eastAsia="Times"/>
              </w:rPr>
              <w:t>20,000</w:t>
            </w:r>
          </w:p>
        </w:tc>
      </w:tr>
      <w:tr w:rsidR="00F962BE" w:rsidRPr="00A3130C" w14:paraId="421E2D46"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60150736" w14:textId="77777777" w:rsidR="00F962BE" w:rsidRPr="00A3130C" w:rsidRDefault="00F962BE">
            <w:pPr>
              <w:pStyle w:val="ARTabletext"/>
              <w:rPr>
                <w:rFonts w:eastAsia="Times"/>
              </w:rPr>
            </w:pPr>
            <w:r w:rsidRPr="00A3130C">
              <w:rPr>
                <w:rFonts w:eastAsia="Times"/>
              </w:rPr>
              <w:t>Murtoa College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1C29D6D" w14:textId="77777777" w:rsidR="00F962BE" w:rsidRPr="00A3130C" w:rsidRDefault="00F962BE">
            <w:pPr>
              <w:pStyle w:val="ARTabletext"/>
              <w:jc w:val="right"/>
              <w:rPr>
                <w:rFonts w:eastAsia="Times"/>
              </w:rPr>
            </w:pPr>
            <w:r w:rsidRPr="00A3130C">
              <w:rPr>
                <w:rFonts w:eastAsia="Times"/>
              </w:rPr>
              <w:t>12,000</w:t>
            </w:r>
          </w:p>
        </w:tc>
      </w:tr>
      <w:tr w:rsidR="00F962BE" w:rsidRPr="00A3130C" w14:paraId="15C12794"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1ABBA5A2" w14:textId="77777777" w:rsidR="00F962BE" w:rsidRPr="00A3130C" w:rsidRDefault="00F962BE">
            <w:pPr>
              <w:pStyle w:val="ARTabletext"/>
              <w:rPr>
                <w:rFonts w:eastAsia="Times"/>
              </w:rPr>
            </w:pPr>
            <w:r w:rsidRPr="00A3130C">
              <w:rPr>
                <w:rFonts w:eastAsia="Times"/>
              </w:rPr>
              <w:t>Nelson Park School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BCDEB1B" w14:textId="77777777" w:rsidR="00F962BE" w:rsidRPr="00A3130C" w:rsidRDefault="00F962BE">
            <w:pPr>
              <w:pStyle w:val="ARTabletext"/>
              <w:jc w:val="right"/>
              <w:rPr>
                <w:rFonts w:eastAsia="Times"/>
              </w:rPr>
            </w:pPr>
            <w:r w:rsidRPr="00A3130C">
              <w:rPr>
                <w:rFonts w:eastAsia="Times"/>
              </w:rPr>
              <w:t>15,000</w:t>
            </w:r>
          </w:p>
        </w:tc>
      </w:tr>
      <w:tr w:rsidR="00F962BE" w:rsidRPr="00A3130C" w14:paraId="1DBDB42C"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2E181828" w14:textId="77777777" w:rsidR="00F962BE" w:rsidRPr="00A3130C" w:rsidRDefault="00F962BE">
            <w:pPr>
              <w:pStyle w:val="ARTabletext"/>
              <w:rPr>
                <w:rFonts w:eastAsia="Times"/>
              </w:rPr>
            </w:pPr>
            <w:r w:rsidRPr="00A3130C">
              <w:rPr>
                <w:rFonts w:eastAsia="Times"/>
              </w:rPr>
              <w:t>Nillumbik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D6383A1" w14:textId="77777777" w:rsidR="00F962BE" w:rsidRPr="00A3130C" w:rsidRDefault="00F962BE">
            <w:pPr>
              <w:pStyle w:val="ARTabletext"/>
              <w:jc w:val="right"/>
              <w:rPr>
                <w:rFonts w:eastAsia="Times"/>
              </w:rPr>
            </w:pPr>
            <w:r w:rsidRPr="00A3130C">
              <w:rPr>
                <w:rFonts w:eastAsia="Times"/>
              </w:rPr>
              <w:t>52,000</w:t>
            </w:r>
          </w:p>
        </w:tc>
      </w:tr>
      <w:tr w:rsidR="00F962BE" w:rsidRPr="00A3130C" w14:paraId="3A446087"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11B5B90E" w14:textId="77777777" w:rsidR="00F962BE" w:rsidRPr="00A3130C" w:rsidRDefault="00F962BE">
            <w:pPr>
              <w:pStyle w:val="ARTabletext"/>
              <w:rPr>
                <w:rFonts w:eastAsia="Times"/>
              </w:rPr>
            </w:pPr>
            <w:r w:rsidRPr="00A3130C">
              <w:rPr>
                <w:rFonts w:eastAsia="Times"/>
              </w:rPr>
              <w:t>North Central Local Learning &amp;</w:t>
            </w:r>
            <w:r>
              <w:rPr>
                <w:rFonts w:eastAsia="Times"/>
              </w:rPr>
              <w:t> </w:t>
            </w:r>
            <w:r w:rsidRPr="00A3130C">
              <w:rPr>
                <w:rFonts w:eastAsia="Times"/>
              </w:rPr>
              <w:t>Employment Network</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38902FD" w14:textId="77777777" w:rsidR="00F962BE" w:rsidRPr="00A3130C" w:rsidRDefault="00F962BE">
            <w:pPr>
              <w:pStyle w:val="ARTabletext"/>
              <w:jc w:val="right"/>
              <w:rPr>
                <w:rFonts w:eastAsia="Times"/>
              </w:rPr>
            </w:pPr>
            <w:r w:rsidRPr="00A3130C">
              <w:rPr>
                <w:rFonts w:eastAsia="Times"/>
              </w:rPr>
              <w:t>59,999</w:t>
            </w:r>
          </w:p>
        </w:tc>
      </w:tr>
      <w:tr w:rsidR="00F962BE" w:rsidRPr="00A3130C" w14:paraId="1ABF8159"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6C37F2DB" w14:textId="77777777" w:rsidR="00F962BE" w:rsidRPr="00A3130C" w:rsidRDefault="00F962BE">
            <w:pPr>
              <w:pStyle w:val="ARTabletext"/>
              <w:rPr>
                <w:rFonts w:eastAsia="Times"/>
              </w:rPr>
            </w:pPr>
            <w:r w:rsidRPr="00A3130C">
              <w:rPr>
                <w:rFonts w:eastAsia="Times"/>
              </w:rPr>
              <w:t>Northern District Community Health</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96CB744" w14:textId="77777777" w:rsidR="00F962BE" w:rsidRPr="00A3130C" w:rsidRDefault="00F962BE">
            <w:pPr>
              <w:pStyle w:val="ARTabletext"/>
              <w:jc w:val="right"/>
              <w:rPr>
                <w:rFonts w:eastAsia="Times"/>
              </w:rPr>
            </w:pPr>
            <w:r w:rsidRPr="00A3130C">
              <w:rPr>
                <w:rFonts w:eastAsia="Times"/>
              </w:rPr>
              <w:t>133,999</w:t>
            </w:r>
          </w:p>
        </w:tc>
      </w:tr>
      <w:tr w:rsidR="00F962BE" w:rsidRPr="00A3130C" w14:paraId="591EE3F5"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3FD1FE69" w14:textId="77777777" w:rsidR="00F962BE" w:rsidRPr="00A3130C" w:rsidRDefault="00F962BE">
            <w:pPr>
              <w:pStyle w:val="ARTabletext"/>
              <w:rPr>
                <w:rFonts w:eastAsia="Times"/>
              </w:rPr>
            </w:pPr>
            <w:r w:rsidRPr="00A3130C">
              <w:rPr>
                <w:rFonts w:eastAsia="Times"/>
              </w:rPr>
              <w:t>Officer Specialist School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619DC21" w14:textId="77777777" w:rsidR="00F962BE" w:rsidRPr="00A3130C" w:rsidRDefault="00F962BE">
            <w:pPr>
              <w:pStyle w:val="ARTabletext"/>
              <w:jc w:val="right"/>
              <w:rPr>
                <w:rFonts w:eastAsia="Times"/>
              </w:rPr>
            </w:pPr>
            <w:r w:rsidRPr="00A3130C">
              <w:rPr>
                <w:rFonts w:eastAsia="Times"/>
              </w:rPr>
              <w:t>15,000</w:t>
            </w:r>
          </w:p>
        </w:tc>
      </w:tr>
      <w:tr w:rsidR="00F962BE" w:rsidRPr="00A3130C" w14:paraId="1DB4FA2C"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111C2585" w14:textId="77777777" w:rsidR="00F962BE" w:rsidRPr="00A3130C" w:rsidRDefault="00F962BE">
            <w:pPr>
              <w:pStyle w:val="ARTabletext"/>
              <w:rPr>
                <w:rFonts w:eastAsia="Times"/>
              </w:rPr>
            </w:pPr>
            <w:r w:rsidRPr="00A3130C">
              <w:rPr>
                <w:rFonts w:eastAsia="Times"/>
              </w:rPr>
              <w:t>Old Orchard Primary School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FD807ED" w14:textId="77777777" w:rsidR="00F962BE" w:rsidRPr="00A3130C" w:rsidRDefault="00F962BE">
            <w:pPr>
              <w:pStyle w:val="ARTabletext"/>
              <w:jc w:val="right"/>
              <w:rPr>
                <w:rFonts w:eastAsia="Times"/>
              </w:rPr>
            </w:pPr>
            <w:r w:rsidRPr="00A3130C">
              <w:rPr>
                <w:rFonts w:eastAsia="Times"/>
              </w:rPr>
              <w:t>2,000</w:t>
            </w:r>
          </w:p>
        </w:tc>
      </w:tr>
      <w:tr w:rsidR="00F962BE" w:rsidRPr="00A3130C" w14:paraId="6357C0D0"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42EE3331" w14:textId="77777777" w:rsidR="00F962BE" w:rsidRPr="00A3130C" w:rsidRDefault="00F962BE">
            <w:pPr>
              <w:pStyle w:val="ARTabletext"/>
              <w:rPr>
                <w:rFonts w:eastAsia="Times"/>
              </w:rPr>
            </w:pPr>
            <w:r w:rsidRPr="00A3130C">
              <w:rPr>
                <w:rFonts w:eastAsia="Times"/>
              </w:rPr>
              <w:t>Omeo District Health</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72EA409" w14:textId="77777777" w:rsidR="00F962BE" w:rsidRPr="00A3130C" w:rsidRDefault="00F962BE">
            <w:pPr>
              <w:pStyle w:val="ARTabletext"/>
              <w:jc w:val="right"/>
              <w:rPr>
                <w:rFonts w:eastAsia="Times"/>
              </w:rPr>
            </w:pPr>
            <w:r w:rsidRPr="00A3130C">
              <w:rPr>
                <w:rFonts w:eastAsia="Times"/>
              </w:rPr>
              <w:t>2,000</w:t>
            </w:r>
          </w:p>
        </w:tc>
      </w:tr>
      <w:tr w:rsidR="00F962BE" w:rsidRPr="00A3130C" w14:paraId="317BAE1E"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388CD9B5" w14:textId="77777777" w:rsidR="00F962BE" w:rsidRPr="00A3130C" w:rsidRDefault="00F962BE">
            <w:pPr>
              <w:pStyle w:val="ARTabletext"/>
              <w:rPr>
                <w:rFonts w:eastAsia="Times"/>
              </w:rPr>
            </w:pPr>
            <w:r w:rsidRPr="00A3130C">
              <w:rPr>
                <w:rFonts w:eastAsia="Times"/>
              </w:rPr>
              <w:t>Open House Christian Involvement</w:t>
            </w:r>
            <w:r>
              <w:rPr>
                <w:rFonts w:eastAsia="Times"/>
              </w:rPr>
              <w:t> </w:t>
            </w:r>
            <w:r w:rsidRPr="00A3130C">
              <w:rPr>
                <w:rFonts w:eastAsia="Times"/>
              </w:rPr>
              <w:t>Centres</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E88CF0C" w14:textId="77777777" w:rsidR="00F962BE" w:rsidRPr="00A3130C" w:rsidRDefault="00F962BE">
            <w:pPr>
              <w:pStyle w:val="ARTabletext"/>
              <w:jc w:val="right"/>
              <w:rPr>
                <w:rFonts w:eastAsia="Times"/>
              </w:rPr>
            </w:pPr>
            <w:r w:rsidRPr="00A3130C">
              <w:rPr>
                <w:rFonts w:eastAsia="Times"/>
              </w:rPr>
              <w:t>2,000</w:t>
            </w:r>
          </w:p>
        </w:tc>
      </w:tr>
      <w:tr w:rsidR="00F962BE" w:rsidRPr="00A3130C" w14:paraId="0FE92D29"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70D3758F" w14:textId="77777777" w:rsidR="00F962BE" w:rsidRPr="00A3130C" w:rsidRDefault="00F962BE">
            <w:pPr>
              <w:pStyle w:val="ARTabletext"/>
              <w:rPr>
                <w:rFonts w:eastAsia="Times"/>
              </w:rPr>
            </w:pPr>
            <w:r w:rsidRPr="00A3130C">
              <w:rPr>
                <w:rFonts w:eastAsia="Times"/>
              </w:rPr>
              <w:t>Operation Newstart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B51E5C8" w14:textId="77777777" w:rsidR="00F962BE" w:rsidRPr="00A3130C" w:rsidRDefault="00F962BE">
            <w:pPr>
              <w:pStyle w:val="ARTabletext"/>
              <w:jc w:val="right"/>
              <w:rPr>
                <w:rFonts w:eastAsia="Times"/>
              </w:rPr>
            </w:pPr>
            <w:r w:rsidRPr="00A3130C">
              <w:rPr>
                <w:rFonts w:eastAsia="Times"/>
              </w:rPr>
              <w:t>45,000</w:t>
            </w:r>
          </w:p>
        </w:tc>
      </w:tr>
      <w:tr w:rsidR="00F962BE" w:rsidRPr="00A3130C" w14:paraId="1E271FDD"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7F7628FA" w14:textId="77777777" w:rsidR="00F962BE" w:rsidRPr="00A3130C" w:rsidRDefault="00F962BE">
            <w:pPr>
              <w:pStyle w:val="ARTabletext"/>
              <w:rPr>
                <w:rFonts w:eastAsia="Times"/>
              </w:rPr>
            </w:pPr>
            <w:proofErr w:type="spellStart"/>
            <w:r w:rsidRPr="00A3130C">
              <w:rPr>
                <w:rFonts w:eastAsia="Times"/>
              </w:rPr>
              <w:t>Orygen</w:t>
            </w:r>
            <w:proofErr w:type="spellEnd"/>
            <w:r w:rsidRPr="00A3130C">
              <w:rPr>
                <w:rFonts w:eastAsia="Times"/>
              </w:rPr>
              <w:t xml:space="preserve"> Ltd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30EE9AA" w14:textId="77777777" w:rsidR="00F962BE" w:rsidRPr="00A3130C" w:rsidRDefault="00F962BE">
            <w:pPr>
              <w:pStyle w:val="ARTabletext"/>
              <w:jc w:val="right"/>
              <w:rPr>
                <w:rFonts w:eastAsia="Times"/>
              </w:rPr>
            </w:pPr>
            <w:r w:rsidRPr="00A3130C">
              <w:rPr>
                <w:rFonts w:eastAsia="Times"/>
              </w:rPr>
              <w:t>2,000</w:t>
            </w:r>
          </w:p>
        </w:tc>
      </w:tr>
      <w:tr w:rsidR="00F962BE" w:rsidRPr="00A3130C" w14:paraId="1FBD32BB"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5DFE138F" w14:textId="77777777" w:rsidR="00F962BE" w:rsidRPr="00A3130C" w:rsidRDefault="00F962BE">
            <w:pPr>
              <w:pStyle w:val="ARTabletext"/>
              <w:rPr>
                <w:rFonts w:eastAsia="Times"/>
              </w:rPr>
            </w:pPr>
            <w:r w:rsidRPr="00A3130C">
              <w:rPr>
                <w:rFonts w:eastAsia="Times"/>
              </w:rPr>
              <w:t>Peak Play Academy</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7415094" w14:textId="77777777" w:rsidR="00F962BE" w:rsidRPr="00A3130C" w:rsidRDefault="00F962BE">
            <w:pPr>
              <w:pStyle w:val="ARTabletext"/>
              <w:jc w:val="right"/>
              <w:rPr>
                <w:rFonts w:eastAsia="Times"/>
              </w:rPr>
            </w:pPr>
            <w:r w:rsidRPr="00A3130C">
              <w:rPr>
                <w:rFonts w:eastAsia="Times"/>
              </w:rPr>
              <w:t>2,000</w:t>
            </w:r>
          </w:p>
        </w:tc>
      </w:tr>
      <w:tr w:rsidR="00F962BE" w:rsidRPr="00A3130C" w14:paraId="00409CEC"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384FF83D" w14:textId="77777777" w:rsidR="00F962BE" w:rsidRPr="00A3130C" w:rsidRDefault="00F962BE">
            <w:pPr>
              <w:pStyle w:val="ARTabletext"/>
              <w:rPr>
                <w:rFonts w:eastAsia="Times"/>
              </w:rPr>
            </w:pPr>
            <w:r w:rsidRPr="00A3130C">
              <w:rPr>
                <w:rFonts w:eastAsia="Times"/>
              </w:rPr>
              <w:t>Perfect Ballers Incorporated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EF320DC" w14:textId="77777777" w:rsidR="00F962BE" w:rsidRPr="00A3130C" w:rsidRDefault="00F962BE">
            <w:pPr>
              <w:pStyle w:val="ARTabletext"/>
              <w:jc w:val="right"/>
              <w:rPr>
                <w:rFonts w:eastAsia="Times"/>
              </w:rPr>
            </w:pPr>
            <w:r w:rsidRPr="00A3130C">
              <w:rPr>
                <w:rFonts w:eastAsia="Times"/>
              </w:rPr>
              <w:t>2,000</w:t>
            </w:r>
          </w:p>
        </w:tc>
      </w:tr>
      <w:tr w:rsidR="00F962BE" w:rsidRPr="00A3130C" w14:paraId="7203B97A"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49D0CD18" w14:textId="77777777" w:rsidR="00F962BE" w:rsidRPr="00A3130C" w:rsidRDefault="00F962BE">
            <w:pPr>
              <w:pStyle w:val="ARTabletext"/>
              <w:rPr>
                <w:rFonts w:eastAsia="Times"/>
              </w:rPr>
            </w:pPr>
            <w:r w:rsidRPr="00A3130C">
              <w:rPr>
                <w:rFonts w:eastAsia="Times"/>
              </w:rPr>
              <w:t>Preston Neighbourhood House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A58F6DF" w14:textId="77777777" w:rsidR="00F962BE" w:rsidRPr="00A3130C" w:rsidRDefault="00F962BE">
            <w:pPr>
              <w:pStyle w:val="ARTabletext"/>
              <w:jc w:val="right"/>
              <w:rPr>
                <w:rFonts w:eastAsia="Times"/>
              </w:rPr>
            </w:pPr>
            <w:r w:rsidRPr="00A3130C">
              <w:rPr>
                <w:rFonts w:eastAsia="Times"/>
              </w:rPr>
              <w:t>56,666</w:t>
            </w:r>
          </w:p>
        </w:tc>
      </w:tr>
      <w:tr w:rsidR="00F962BE" w:rsidRPr="00A3130C" w14:paraId="3D2E571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13EF6FD0" w14:textId="77777777" w:rsidR="00F962BE" w:rsidRPr="00A3130C" w:rsidRDefault="00F962BE">
            <w:pPr>
              <w:pStyle w:val="ARTabletext"/>
              <w:rPr>
                <w:rFonts w:eastAsia="Times"/>
              </w:rPr>
            </w:pPr>
            <w:r w:rsidRPr="00A3130C">
              <w:rPr>
                <w:rFonts w:eastAsia="Times"/>
              </w:rPr>
              <w:t>Pyrenees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3A14704" w14:textId="77777777" w:rsidR="00F962BE" w:rsidRPr="00A3130C" w:rsidRDefault="00F962BE">
            <w:pPr>
              <w:pStyle w:val="ARTabletext"/>
              <w:jc w:val="right"/>
              <w:rPr>
                <w:rFonts w:eastAsia="Times"/>
              </w:rPr>
            </w:pPr>
            <w:r w:rsidRPr="00A3130C">
              <w:rPr>
                <w:rFonts w:eastAsia="Times"/>
              </w:rPr>
              <w:t>40,000</w:t>
            </w:r>
          </w:p>
        </w:tc>
      </w:tr>
      <w:tr w:rsidR="00F962BE" w:rsidRPr="00A3130C" w14:paraId="483BBE2E"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35D00A1D" w14:textId="77777777" w:rsidR="00F962BE" w:rsidRPr="00A3130C" w:rsidRDefault="00F962BE">
            <w:pPr>
              <w:pStyle w:val="ARTabletext"/>
              <w:rPr>
                <w:rFonts w:eastAsia="Times"/>
              </w:rPr>
            </w:pPr>
            <w:r w:rsidRPr="00A3130C">
              <w:rPr>
                <w:rFonts w:eastAsia="Times"/>
              </w:rPr>
              <w:t>Queenscliff Music Festival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920BE93" w14:textId="77777777" w:rsidR="00F962BE" w:rsidRPr="00A3130C" w:rsidRDefault="00F962BE">
            <w:pPr>
              <w:pStyle w:val="ARTabletext"/>
              <w:jc w:val="right"/>
              <w:rPr>
                <w:rFonts w:eastAsia="Times"/>
              </w:rPr>
            </w:pPr>
            <w:r w:rsidRPr="00A3130C">
              <w:rPr>
                <w:rFonts w:eastAsia="Times"/>
              </w:rPr>
              <w:t>40,000</w:t>
            </w:r>
          </w:p>
        </w:tc>
      </w:tr>
      <w:tr w:rsidR="00F962BE" w:rsidRPr="00A3130C" w14:paraId="7CBF80B1"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36FBCE11" w14:textId="77777777" w:rsidR="00F962BE" w:rsidRPr="00A3130C" w:rsidRDefault="00F962BE">
            <w:pPr>
              <w:pStyle w:val="ARTabletext"/>
              <w:rPr>
                <w:rFonts w:eastAsia="Times"/>
              </w:rPr>
            </w:pPr>
            <w:r w:rsidRPr="00A3130C">
              <w:rPr>
                <w:rFonts w:eastAsia="Times"/>
              </w:rPr>
              <w:t>Raise Foundation</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51D3678" w14:textId="77777777" w:rsidR="00F962BE" w:rsidRPr="00A3130C" w:rsidRDefault="00F962BE">
            <w:pPr>
              <w:pStyle w:val="ARTabletext"/>
              <w:jc w:val="right"/>
              <w:rPr>
                <w:rFonts w:eastAsia="Times"/>
              </w:rPr>
            </w:pPr>
            <w:r w:rsidRPr="00A3130C">
              <w:rPr>
                <w:rFonts w:eastAsia="Times"/>
              </w:rPr>
              <w:t>65,000</w:t>
            </w:r>
          </w:p>
        </w:tc>
      </w:tr>
      <w:tr w:rsidR="00F962BE" w:rsidRPr="00A3130C" w14:paraId="785C8886"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59B9041B" w14:textId="77777777" w:rsidR="00F962BE" w:rsidRPr="00A3130C" w:rsidRDefault="00F962BE">
            <w:pPr>
              <w:pStyle w:val="ARTabletext"/>
              <w:rPr>
                <w:rFonts w:eastAsia="Times"/>
              </w:rPr>
            </w:pPr>
            <w:r w:rsidRPr="00A3130C">
              <w:rPr>
                <w:rFonts w:eastAsia="Times"/>
              </w:rPr>
              <w:t>Red Cliffs Secondary College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9DF58C0" w14:textId="77777777" w:rsidR="00F962BE" w:rsidRPr="00A3130C" w:rsidRDefault="00F962BE">
            <w:pPr>
              <w:pStyle w:val="ARTabletext"/>
              <w:jc w:val="right"/>
              <w:rPr>
                <w:rFonts w:eastAsia="Times"/>
              </w:rPr>
            </w:pPr>
            <w:r w:rsidRPr="00A3130C">
              <w:rPr>
                <w:rFonts w:eastAsia="Times"/>
              </w:rPr>
              <w:t>12,000</w:t>
            </w:r>
          </w:p>
        </w:tc>
      </w:tr>
      <w:tr w:rsidR="00F962BE" w:rsidRPr="00A3130C" w14:paraId="74F710A9"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10EE8786" w14:textId="77777777" w:rsidR="00F962BE" w:rsidRPr="00A3130C" w:rsidRDefault="00F962BE">
            <w:pPr>
              <w:pStyle w:val="ARTabletext"/>
              <w:rPr>
                <w:rFonts w:eastAsia="Times"/>
              </w:rPr>
            </w:pPr>
            <w:r w:rsidRPr="00A3130C">
              <w:rPr>
                <w:rFonts w:eastAsia="Times"/>
              </w:rPr>
              <w:t>Rite Mentoring Incorporated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9D1E97C" w14:textId="77777777" w:rsidR="00F962BE" w:rsidRPr="00A3130C" w:rsidRDefault="00F962BE">
            <w:pPr>
              <w:pStyle w:val="ARTabletext"/>
              <w:jc w:val="right"/>
              <w:rPr>
                <w:rFonts w:eastAsia="Times"/>
              </w:rPr>
            </w:pPr>
            <w:r w:rsidRPr="00A3130C">
              <w:rPr>
                <w:rFonts w:eastAsia="Times"/>
              </w:rPr>
              <w:t>57,500</w:t>
            </w:r>
          </w:p>
        </w:tc>
      </w:tr>
      <w:tr w:rsidR="00F962BE" w:rsidRPr="00A3130C" w14:paraId="20D45E30"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454722B3" w14:textId="77777777" w:rsidR="00F962BE" w:rsidRPr="00A3130C" w:rsidRDefault="00F962BE">
            <w:pPr>
              <w:pStyle w:val="ARTabletext"/>
              <w:rPr>
                <w:rFonts w:eastAsia="Times"/>
              </w:rPr>
            </w:pPr>
            <w:proofErr w:type="spellStart"/>
            <w:r w:rsidRPr="00A3130C">
              <w:rPr>
                <w:rFonts w:eastAsia="Times"/>
              </w:rPr>
              <w:t>Rumbalara</w:t>
            </w:r>
            <w:proofErr w:type="spellEnd"/>
            <w:r w:rsidRPr="00A3130C">
              <w:rPr>
                <w:rFonts w:eastAsia="Times"/>
              </w:rPr>
              <w:t xml:space="preserve"> Football and Netball Club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50AF7E1" w14:textId="77777777" w:rsidR="00F962BE" w:rsidRPr="00A3130C" w:rsidRDefault="00F962BE">
            <w:pPr>
              <w:pStyle w:val="ARTabletext"/>
              <w:jc w:val="right"/>
              <w:rPr>
                <w:rFonts w:eastAsia="Times"/>
              </w:rPr>
            </w:pPr>
            <w:r w:rsidRPr="00A3130C">
              <w:rPr>
                <w:rFonts w:eastAsia="Times"/>
              </w:rPr>
              <w:t>128,800</w:t>
            </w:r>
          </w:p>
        </w:tc>
      </w:tr>
      <w:tr w:rsidR="00F962BE" w:rsidRPr="00A3130C" w14:paraId="6B2FFA23"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0E2E1D0D" w14:textId="77777777" w:rsidR="00F962BE" w:rsidRPr="00A3130C" w:rsidRDefault="00F962BE">
            <w:pPr>
              <w:pStyle w:val="ARTabletext"/>
              <w:rPr>
                <w:rFonts w:eastAsia="Times"/>
              </w:rPr>
            </w:pPr>
            <w:r w:rsidRPr="00A3130C">
              <w:rPr>
                <w:rFonts w:eastAsia="Times"/>
              </w:rPr>
              <w:t>Selby Community House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1A1D2563" w14:textId="77777777" w:rsidR="00F962BE" w:rsidRPr="00A3130C" w:rsidRDefault="00F962BE">
            <w:pPr>
              <w:pStyle w:val="ARTabletext"/>
              <w:jc w:val="right"/>
              <w:rPr>
                <w:rFonts w:eastAsia="Times"/>
              </w:rPr>
            </w:pPr>
            <w:r w:rsidRPr="00A3130C">
              <w:rPr>
                <w:rFonts w:eastAsia="Times"/>
              </w:rPr>
              <w:t>2,000</w:t>
            </w:r>
          </w:p>
        </w:tc>
      </w:tr>
      <w:tr w:rsidR="00F962BE" w:rsidRPr="00A3130C" w14:paraId="13BCE6BE"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2A9C133E" w14:textId="77777777" w:rsidR="00F962BE" w:rsidRPr="00A3130C" w:rsidRDefault="00F962BE">
            <w:pPr>
              <w:pStyle w:val="ARTabletext"/>
              <w:rPr>
                <w:rFonts w:eastAsia="Times"/>
              </w:rPr>
            </w:pPr>
            <w:r w:rsidRPr="00A3130C">
              <w:rPr>
                <w:rFonts w:eastAsia="Times"/>
              </w:rPr>
              <w:t>SENVIC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09AF52F" w14:textId="77777777" w:rsidR="00F962BE" w:rsidRPr="00A3130C" w:rsidRDefault="00F962BE">
            <w:pPr>
              <w:pStyle w:val="ARTabletext"/>
              <w:jc w:val="right"/>
              <w:rPr>
                <w:rFonts w:eastAsia="Times"/>
              </w:rPr>
            </w:pPr>
            <w:r w:rsidRPr="00A3130C">
              <w:rPr>
                <w:rFonts w:eastAsia="Times"/>
              </w:rPr>
              <w:t>50,000</w:t>
            </w:r>
          </w:p>
        </w:tc>
      </w:tr>
      <w:tr w:rsidR="00F962BE" w:rsidRPr="00A3130C" w14:paraId="68A1FB66"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50ECB242" w14:textId="77777777" w:rsidR="00F962BE" w:rsidRPr="00A3130C" w:rsidRDefault="00F962BE">
            <w:pPr>
              <w:pStyle w:val="ARTabletext"/>
              <w:rPr>
                <w:rFonts w:eastAsia="Times"/>
              </w:rPr>
            </w:pPr>
            <w:proofErr w:type="spellStart"/>
            <w:r w:rsidRPr="00A3130C">
              <w:rPr>
                <w:rFonts w:eastAsia="Times"/>
              </w:rPr>
              <w:t>Shugoofa</w:t>
            </w:r>
            <w:proofErr w:type="spellEnd"/>
            <w:r w:rsidRPr="00A3130C">
              <w:rPr>
                <w:rFonts w:eastAsia="Times"/>
              </w:rPr>
              <w:t xml:space="preserve"> Incorporated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37F6066" w14:textId="77777777" w:rsidR="00F962BE" w:rsidRPr="00A3130C" w:rsidRDefault="00F962BE">
            <w:pPr>
              <w:pStyle w:val="ARTabletext"/>
              <w:jc w:val="right"/>
              <w:rPr>
                <w:rFonts w:eastAsia="Times"/>
              </w:rPr>
            </w:pPr>
            <w:r w:rsidRPr="00A3130C">
              <w:rPr>
                <w:rFonts w:eastAsia="Times"/>
              </w:rPr>
              <w:t>2,000</w:t>
            </w:r>
          </w:p>
        </w:tc>
      </w:tr>
      <w:tr w:rsidR="00F962BE" w:rsidRPr="00A3130C" w14:paraId="4889DDCC"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293669CC" w14:textId="77777777" w:rsidR="00F962BE" w:rsidRPr="00A3130C" w:rsidRDefault="00F962BE">
            <w:pPr>
              <w:pStyle w:val="ARTabletext"/>
              <w:rPr>
                <w:rFonts w:eastAsia="Times"/>
              </w:rPr>
            </w:pPr>
            <w:r w:rsidRPr="00A3130C">
              <w:rPr>
                <w:rFonts w:eastAsia="Times"/>
              </w:rPr>
              <w:t>Somali Voice Victoria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785869C" w14:textId="77777777" w:rsidR="00F962BE" w:rsidRPr="00A3130C" w:rsidRDefault="00F962BE">
            <w:pPr>
              <w:pStyle w:val="ARTabletext"/>
              <w:jc w:val="right"/>
              <w:rPr>
                <w:rFonts w:eastAsia="Times"/>
              </w:rPr>
            </w:pPr>
            <w:r w:rsidRPr="00A3130C">
              <w:rPr>
                <w:rFonts w:eastAsia="Times"/>
              </w:rPr>
              <w:t>2,000</w:t>
            </w:r>
          </w:p>
        </w:tc>
      </w:tr>
      <w:tr w:rsidR="00F962BE" w:rsidRPr="00A3130C" w14:paraId="6EDD514F"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6C0EADC1" w14:textId="77777777" w:rsidR="00F962BE" w:rsidRPr="00A3130C" w:rsidRDefault="00F962BE">
            <w:pPr>
              <w:pStyle w:val="ARTabletext"/>
              <w:rPr>
                <w:rFonts w:eastAsia="Times"/>
              </w:rPr>
            </w:pPr>
            <w:proofErr w:type="gramStart"/>
            <w:r w:rsidRPr="00A3130C">
              <w:rPr>
                <w:rFonts w:eastAsia="Times"/>
              </w:rPr>
              <w:t>South East</w:t>
            </w:r>
            <w:proofErr w:type="gramEnd"/>
            <w:r w:rsidRPr="00A3130C">
              <w:rPr>
                <w:rFonts w:eastAsia="Times"/>
              </w:rPr>
              <w:t xml:space="preserve"> Community Links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A2CAC5E" w14:textId="77777777" w:rsidR="00F962BE" w:rsidRPr="00A3130C" w:rsidRDefault="00F962BE">
            <w:pPr>
              <w:pStyle w:val="ARTabletext"/>
              <w:jc w:val="right"/>
              <w:rPr>
                <w:rFonts w:eastAsia="Times"/>
              </w:rPr>
            </w:pPr>
            <w:r w:rsidRPr="00A3130C">
              <w:rPr>
                <w:rFonts w:eastAsia="Times"/>
              </w:rPr>
              <w:t>154,999</w:t>
            </w:r>
          </w:p>
        </w:tc>
      </w:tr>
      <w:tr w:rsidR="00F962BE" w:rsidRPr="00A3130C" w14:paraId="444B3719"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3B85489F" w14:textId="77777777" w:rsidR="00F962BE" w:rsidRPr="00A3130C" w:rsidRDefault="00F962BE">
            <w:pPr>
              <w:pStyle w:val="ARTabletext"/>
              <w:rPr>
                <w:rFonts w:eastAsia="Times"/>
              </w:rPr>
            </w:pPr>
            <w:r w:rsidRPr="00A3130C">
              <w:rPr>
                <w:rFonts w:eastAsia="Times"/>
              </w:rPr>
              <w:t>South Gippsland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33FDE99" w14:textId="77777777" w:rsidR="00F962BE" w:rsidRPr="00A3130C" w:rsidRDefault="00F962BE">
            <w:pPr>
              <w:pStyle w:val="ARTabletext"/>
              <w:jc w:val="right"/>
              <w:rPr>
                <w:rFonts w:eastAsia="Times"/>
              </w:rPr>
            </w:pPr>
            <w:r w:rsidRPr="00A3130C">
              <w:rPr>
                <w:rFonts w:eastAsia="Times"/>
              </w:rPr>
              <w:t>42,000</w:t>
            </w:r>
          </w:p>
        </w:tc>
      </w:tr>
      <w:tr w:rsidR="00F962BE" w:rsidRPr="00A3130C" w14:paraId="057A1401"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148D97AC" w14:textId="77777777" w:rsidR="00F962BE" w:rsidRPr="00A3130C" w:rsidRDefault="00F962BE">
            <w:pPr>
              <w:pStyle w:val="ARTabletext"/>
              <w:rPr>
                <w:rFonts w:eastAsia="Times"/>
              </w:rPr>
            </w:pPr>
            <w:r w:rsidRPr="00A3130C">
              <w:rPr>
                <w:rFonts w:eastAsia="Times"/>
              </w:rPr>
              <w:t>Southern Grampians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170066F2" w14:textId="77777777" w:rsidR="00F962BE" w:rsidRPr="00A3130C" w:rsidRDefault="00F962BE">
            <w:pPr>
              <w:pStyle w:val="ARTabletext"/>
              <w:jc w:val="right"/>
              <w:rPr>
                <w:rFonts w:eastAsia="Times"/>
              </w:rPr>
            </w:pPr>
            <w:r w:rsidRPr="00A3130C">
              <w:rPr>
                <w:rFonts w:eastAsia="Times"/>
              </w:rPr>
              <w:t>41,970</w:t>
            </w:r>
          </w:p>
        </w:tc>
      </w:tr>
      <w:tr w:rsidR="00F962BE" w:rsidRPr="00A3130C" w14:paraId="6A528E17"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375E25C8" w14:textId="77777777" w:rsidR="00F962BE" w:rsidRPr="00A3130C" w:rsidRDefault="00F962BE">
            <w:pPr>
              <w:pStyle w:val="ARTabletext"/>
              <w:rPr>
                <w:rFonts w:eastAsia="Times"/>
              </w:rPr>
            </w:pPr>
            <w:r w:rsidRPr="00A3130C">
              <w:rPr>
                <w:rFonts w:eastAsia="Times"/>
              </w:rPr>
              <w:t>St Columba's College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1DC4512" w14:textId="77777777" w:rsidR="00F962BE" w:rsidRPr="00A3130C" w:rsidRDefault="00F962BE">
            <w:pPr>
              <w:pStyle w:val="ARTabletext"/>
              <w:jc w:val="right"/>
              <w:rPr>
                <w:rFonts w:eastAsia="Times"/>
              </w:rPr>
            </w:pPr>
            <w:r w:rsidRPr="00A3130C">
              <w:rPr>
                <w:rFonts w:eastAsia="Times"/>
              </w:rPr>
              <w:t>2,000</w:t>
            </w:r>
          </w:p>
        </w:tc>
      </w:tr>
      <w:tr w:rsidR="00F962BE" w:rsidRPr="00A3130C" w14:paraId="16E12D35"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7C21FE4A" w14:textId="77777777" w:rsidR="00F962BE" w:rsidRPr="00A3130C" w:rsidRDefault="00F962BE">
            <w:pPr>
              <w:pStyle w:val="ARTabletext"/>
              <w:rPr>
                <w:rFonts w:eastAsia="Times"/>
              </w:rPr>
            </w:pPr>
            <w:r w:rsidRPr="00A3130C">
              <w:rPr>
                <w:rFonts w:eastAsia="Times"/>
              </w:rPr>
              <w:t>St Helena Secondary College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F255957" w14:textId="77777777" w:rsidR="00F962BE" w:rsidRPr="00A3130C" w:rsidRDefault="00F962BE">
            <w:pPr>
              <w:pStyle w:val="ARTabletext"/>
              <w:jc w:val="right"/>
              <w:rPr>
                <w:rFonts w:eastAsia="Times"/>
              </w:rPr>
            </w:pPr>
            <w:r w:rsidRPr="00A3130C">
              <w:rPr>
                <w:rFonts w:eastAsia="Times"/>
              </w:rPr>
              <w:t>2,000</w:t>
            </w:r>
          </w:p>
        </w:tc>
      </w:tr>
      <w:tr w:rsidR="00F962BE" w:rsidRPr="00A3130C" w14:paraId="2BEB676A"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5790127C" w14:textId="77777777" w:rsidR="00F962BE" w:rsidRPr="00A3130C" w:rsidRDefault="00F962BE">
            <w:pPr>
              <w:pStyle w:val="ARTabletext"/>
              <w:rPr>
                <w:rFonts w:eastAsia="Times"/>
              </w:rPr>
            </w:pPr>
            <w:r w:rsidRPr="00A3130C">
              <w:rPr>
                <w:rFonts w:eastAsia="Times"/>
              </w:rPr>
              <w:t>Standing Tall in Warrnambool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D21FCC8" w14:textId="77777777" w:rsidR="00F962BE" w:rsidRPr="00A3130C" w:rsidRDefault="00F962BE">
            <w:pPr>
              <w:pStyle w:val="ARTabletext"/>
              <w:jc w:val="right"/>
              <w:rPr>
                <w:rFonts w:eastAsia="Times"/>
              </w:rPr>
            </w:pPr>
            <w:r w:rsidRPr="00A3130C">
              <w:rPr>
                <w:rFonts w:eastAsia="Times"/>
              </w:rPr>
              <w:t>40,000</w:t>
            </w:r>
          </w:p>
        </w:tc>
      </w:tr>
      <w:tr w:rsidR="00F962BE" w:rsidRPr="00A3130C" w14:paraId="72BF9435"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00EB106C" w14:textId="77777777" w:rsidR="00F962BE" w:rsidRPr="00A3130C" w:rsidRDefault="00F962BE">
            <w:pPr>
              <w:pStyle w:val="ARTabletext"/>
              <w:rPr>
                <w:rFonts w:eastAsia="Times"/>
              </w:rPr>
            </w:pPr>
            <w:r w:rsidRPr="00A3130C">
              <w:rPr>
                <w:rFonts w:eastAsia="Times"/>
              </w:rPr>
              <w:t>Stonnington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4E1BA94" w14:textId="77777777" w:rsidR="00F962BE" w:rsidRPr="00A3130C" w:rsidRDefault="00F962BE">
            <w:pPr>
              <w:pStyle w:val="ARTabletext"/>
              <w:jc w:val="right"/>
              <w:rPr>
                <w:rFonts w:eastAsia="Times"/>
              </w:rPr>
            </w:pPr>
            <w:r w:rsidRPr="00A3130C">
              <w:rPr>
                <w:rFonts w:eastAsia="Times"/>
              </w:rPr>
              <w:t>40,000</w:t>
            </w:r>
          </w:p>
        </w:tc>
      </w:tr>
      <w:tr w:rsidR="00F962BE" w:rsidRPr="00A3130C" w14:paraId="1D4EEE2C"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3AA5B5C2" w14:textId="77777777" w:rsidR="00F962BE" w:rsidRPr="00A3130C" w:rsidRDefault="00F962BE">
            <w:pPr>
              <w:pStyle w:val="ARTabletext"/>
              <w:rPr>
                <w:rFonts w:eastAsia="Times"/>
              </w:rPr>
            </w:pPr>
            <w:r w:rsidRPr="00A3130C">
              <w:rPr>
                <w:rFonts w:eastAsia="Times"/>
              </w:rPr>
              <w:t>Strathbogie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23A9ABD" w14:textId="77777777" w:rsidR="00F962BE" w:rsidRPr="00A3130C" w:rsidRDefault="00F962BE">
            <w:pPr>
              <w:pStyle w:val="ARTabletext"/>
              <w:jc w:val="right"/>
              <w:rPr>
                <w:rFonts w:eastAsia="Times"/>
              </w:rPr>
            </w:pPr>
            <w:r w:rsidRPr="00A3130C">
              <w:rPr>
                <w:rFonts w:eastAsia="Times"/>
              </w:rPr>
              <w:t>94,999</w:t>
            </w:r>
          </w:p>
        </w:tc>
      </w:tr>
      <w:tr w:rsidR="00F962BE" w:rsidRPr="00A3130C" w14:paraId="103939B1"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7813D996" w14:textId="77777777" w:rsidR="00F962BE" w:rsidRPr="00A3130C" w:rsidRDefault="00F962BE">
            <w:pPr>
              <w:pStyle w:val="ARTabletext"/>
              <w:rPr>
                <w:rFonts w:eastAsia="Times"/>
              </w:rPr>
            </w:pPr>
            <w:r w:rsidRPr="00A3130C">
              <w:rPr>
                <w:rFonts w:eastAsia="Times"/>
              </w:rPr>
              <w:t>Student Youth Network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C8F4AE7" w14:textId="77777777" w:rsidR="00F962BE" w:rsidRPr="00A3130C" w:rsidRDefault="00F962BE">
            <w:pPr>
              <w:pStyle w:val="ARTabletext"/>
              <w:jc w:val="right"/>
              <w:rPr>
                <w:rFonts w:eastAsia="Times"/>
              </w:rPr>
            </w:pPr>
            <w:r w:rsidRPr="00A3130C">
              <w:rPr>
                <w:rFonts w:eastAsia="Times"/>
              </w:rPr>
              <w:t>120,000</w:t>
            </w:r>
          </w:p>
        </w:tc>
      </w:tr>
      <w:tr w:rsidR="00F962BE" w:rsidRPr="00A3130C" w14:paraId="04BB75AF"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7E66F07F" w14:textId="77777777" w:rsidR="00F962BE" w:rsidRPr="00A3130C" w:rsidRDefault="00F962BE">
            <w:pPr>
              <w:pStyle w:val="ARTabletext"/>
              <w:rPr>
                <w:rFonts w:eastAsia="Times"/>
              </w:rPr>
            </w:pPr>
            <w:r w:rsidRPr="00A3130C">
              <w:rPr>
                <w:rFonts w:eastAsia="Times"/>
              </w:rPr>
              <w:t>Sudd Foundation Ltd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E2536FD" w14:textId="77777777" w:rsidR="00F962BE" w:rsidRPr="00A3130C" w:rsidRDefault="00F962BE">
            <w:pPr>
              <w:pStyle w:val="ARTabletext"/>
              <w:jc w:val="right"/>
              <w:rPr>
                <w:rFonts w:eastAsia="Times"/>
              </w:rPr>
            </w:pPr>
            <w:r w:rsidRPr="00A3130C">
              <w:rPr>
                <w:rFonts w:eastAsia="Times"/>
              </w:rPr>
              <w:t>2,000</w:t>
            </w:r>
          </w:p>
        </w:tc>
      </w:tr>
      <w:tr w:rsidR="00F962BE" w:rsidRPr="00A3130C" w14:paraId="50BF7A49"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269E7206" w14:textId="77777777" w:rsidR="00F962BE" w:rsidRPr="00A3130C" w:rsidRDefault="00F962BE">
            <w:pPr>
              <w:pStyle w:val="ARTabletext"/>
              <w:rPr>
                <w:rFonts w:eastAsia="Times"/>
              </w:rPr>
            </w:pPr>
            <w:r w:rsidRPr="00A3130C">
              <w:rPr>
                <w:rFonts w:eastAsia="Times"/>
              </w:rPr>
              <w:t>Surf Coast Shire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789138B" w14:textId="77777777" w:rsidR="00F962BE" w:rsidRPr="00A3130C" w:rsidRDefault="00F962BE">
            <w:pPr>
              <w:pStyle w:val="ARTabletext"/>
              <w:jc w:val="right"/>
              <w:rPr>
                <w:rFonts w:eastAsia="Times"/>
              </w:rPr>
            </w:pPr>
            <w:r w:rsidRPr="00A3130C">
              <w:rPr>
                <w:rFonts w:eastAsia="Times"/>
              </w:rPr>
              <w:t>111,999</w:t>
            </w:r>
          </w:p>
        </w:tc>
      </w:tr>
      <w:tr w:rsidR="00F962BE" w:rsidRPr="00A3130C" w14:paraId="0DDB3D16"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5CC32499" w14:textId="77777777" w:rsidR="00F962BE" w:rsidRPr="00A3130C" w:rsidRDefault="00F962BE">
            <w:pPr>
              <w:pStyle w:val="ARTabletext"/>
              <w:rPr>
                <w:rFonts w:eastAsia="Times"/>
              </w:rPr>
            </w:pPr>
            <w:r w:rsidRPr="00A3130C">
              <w:rPr>
                <w:rFonts w:eastAsia="Times"/>
              </w:rPr>
              <w:t>Swan Hill College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55FF8DE" w14:textId="77777777" w:rsidR="00F962BE" w:rsidRPr="00A3130C" w:rsidRDefault="00F962BE">
            <w:pPr>
              <w:pStyle w:val="ARTabletext"/>
              <w:jc w:val="right"/>
              <w:rPr>
                <w:rFonts w:eastAsia="Times"/>
              </w:rPr>
            </w:pPr>
            <w:r w:rsidRPr="00A3130C">
              <w:rPr>
                <w:rFonts w:eastAsia="Times"/>
              </w:rPr>
              <w:t>15,000</w:t>
            </w:r>
          </w:p>
        </w:tc>
      </w:tr>
      <w:tr w:rsidR="00F962BE" w:rsidRPr="00A3130C" w14:paraId="454985E3"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2EC31FB4" w14:textId="77777777" w:rsidR="00F962BE" w:rsidRPr="00A3130C" w:rsidRDefault="00F962BE">
            <w:pPr>
              <w:pStyle w:val="ARTabletext"/>
              <w:rPr>
                <w:rFonts w:eastAsia="Times"/>
              </w:rPr>
            </w:pPr>
            <w:r w:rsidRPr="00A3130C">
              <w:rPr>
                <w:rFonts w:eastAsia="Times"/>
              </w:rPr>
              <w:t>Swan Hill Rural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EA40466" w14:textId="77777777" w:rsidR="00F962BE" w:rsidRPr="00A3130C" w:rsidRDefault="00F962BE">
            <w:pPr>
              <w:pStyle w:val="ARTabletext"/>
              <w:jc w:val="right"/>
              <w:rPr>
                <w:rFonts w:eastAsia="Times"/>
              </w:rPr>
            </w:pPr>
            <w:r w:rsidRPr="00A3130C">
              <w:rPr>
                <w:rFonts w:eastAsia="Times"/>
              </w:rPr>
              <w:t>59,999</w:t>
            </w:r>
          </w:p>
        </w:tc>
      </w:tr>
      <w:tr w:rsidR="00F962BE" w:rsidRPr="00A3130C" w14:paraId="5C93F80B"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30A21E39" w14:textId="77777777" w:rsidR="00F962BE" w:rsidRPr="00A3130C" w:rsidRDefault="00F962BE">
            <w:pPr>
              <w:pStyle w:val="ARTabletext"/>
              <w:rPr>
                <w:rFonts w:eastAsia="Times"/>
              </w:rPr>
            </w:pPr>
            <w:r w:rsidRPr="00A3130C">
              <w:rPr>
                <w:rFonts w:eastAsia="Times"/>
              </w:rPr>
              <w:t>Temple Beth Israel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66E327E" w14:textId="77777777" w:rsidR="00F962BE" w:rsidRPr="00A3130C" w:rsidRDefault="00F962BE">
            <w:pPr>
              <w:pStyle w:val="ARTabletext"/>
              <w:jc w:val="right"/>
              <w:rPr>
                <w:rFonts w:eastAsia="Times"/>
              </w:rPr>
            </w:pPr>
            <w:r w:rsidRPr="00A3130C">
              <w:rPr>
                <w:rFonts w:eastAsia="Times"/>
              </w:rPr>
              <w:t>2,000</w:t>
            </w:r>
          </w:p>
        </w:tc>
      </w:tr>
      <w:tr w:rsidR="00F962BE" w:rsidRPr="00A3130C" w14:paraId="782F718B"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339FA9E5" w14:textId="77777777" w:rsidR="00F962BE" w:rsidRPr="00A3130C" w:rsidRDefault="00F962BE">
            <w:pPr>
              <w:pStyle w:val="ARTabletext"/>
              <w:rPr>
                <w:rFonts w:eastAsia="Times"/>
              </w:rPr>
            </w:pPr>
            <w:r w:rsidRPr="00A3130C">
              <w:rPr>
                <w:rFonts w:eastAsia="Times"/>
              </w:rPr>
              <w:t>The Bridge Youth Service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F457F40" w14:textId="77777777" w:rsidR="00F962BE" w:rsidRPr="00A3130C" w:rsidRDefault="00F962BE">
            <w:pPr>
              <w:pStyle w:val="ARTabletext"/>
              <w:jc w:val="right"/>
              <w:rPr>
                <w:rFonts w:eastAsia="Times"/>
              </w:rPr>
            </w:pPr>
            <w:r w:rsidRPr="00A3130C">
              <w:rPr>
                <w:rFonts w:eastAsia="Times"/>
              </w:rPr>
              <w:t>25,000</w:t>
            </w:r>
          </w:p>
        </w:tc>
      </w:tr>
      <w:tr w:rsidR="00F962BE" w:rsidRPr="00A3130C" w14:paraId="0D588A73"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4F23E3A5" w14:textId="77777777" w:rsidR="00F962BE" w:rsidRPr="00A3130C" w:rsidRDefault="00F962BE">
            <w:pPr>
              <w:pStyle w:val="ARTabletext"/>
              <w:rPr>
                <w:rFonts w:eastAsia="Times"/>
              </w:rPr>
            </w:pPr>
            <w:r w:rsidRPr="00A3130C">
              <w:rPr>
                <w:rFonts w:eastAsia="Times"/>
              </w:rPr>
              <w:t>The Learning and Life Centre (Huddle)</w:t>
            </w:r>
            <w:r>
              <w:rPr>
                <w:rFonts w:eastAsia="Times"/>
              </w:rPr>
              <w:t> </w:t>
            </w:r>
            <w:r w:rsidRPr="00A3130C">
              <w:rPr>
                <w:rFonts w:eastAsia="Times"/>
              </w:rPr>
              <w:t>LTD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EE11E6A" w14:textId="77777777" w:rsidR="00F962BE" w:rsidRPr="00A3130C" w:rsidRDefault="00F962BE">
            <w:pPr>
              <w:pStyle w:val="ARTabletext"/>
              <w:jc w:val="right"/>
              <w:rPr>
                <w:rFonts w:eastAsia="Times"/>
              </w:rPr>
            </w:pPr>
            <w:r w:rsidRPr="00A3130C">
              <w:rPr>
                <w:rFonts w:eastAsia="Times"/>
              </w:rPr>
              <w:t>1,052,510</w:t>
            </w:r>
          </w:p>
        </w:tc>
      </w:tr>
      <w:tr w:rsidR="00F962BE" w:rsidRPr="00A3130C" w14:paraId="3700FEA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18C40B43" w14:textId="77777777" w:rsidR="00F962BE" w:rsidRPr="00A3130C" w:rsidRDefault="00F962BE">
            <w:pPr>
              <w:pStyle w:val="ARTabletext"/>
              <w:rPr>
                <w:rFonts w:eastAsia="Times"/>
              </w:rPr>
            </w:pPr>
            <w:r w:rsidRPr="00A3130C">
              <w:rPr>
                <w:rFonts w:eastAsia="Times"/>
              </w:rPr>
              <w:t xml:space="preserve">The </w:t>
            </w:r>
            <w:proofErr w:type="gramStart"/>
            <w:r w:rsidRPr="00A3130C">
              <w:rPr>
                <w:rFonts w:eastAsia="Times"/>
              </w:rPr>
              <w:t>Push ?</w:t>
            </w:r>
            <w:proofErr w:type="gramEnd"/>
            <w:r w:rsidRPr="00A3130C">
              <w:rPr>
                <w:rFonts w:eastAsia="Times"/>
              </w:rPr>
              <w:t xml:space="preserve"> Youth Music Organisation</w:t>
            </w:r>
            <w:r>
              <w:rPr>
                <w:rFonts w:eastAsia="Times"/>
              </w:rPr>
              <w:t> </w:t>
            </w:r>
            <w:r w:rsidRPr="00A3130C">
              <w:rPr>
                <w:rFonts w:eastAsia="Times"/>
              </w:rPr>
              <w:t>LTD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3F0C6A2" w14:textId="77777777" w:rsidR="00F962BE" w:rsidRPr="00A3130C" w:rsidRDefault="00F962BE">
            <w:pPr>
              <w:pStyle w:val="ARTabletext"/>
              <w:jc w:val="right"/>
              <w:rPr>
                <w:rFonts w:eastAsia="Times"/>
              </w:rPr>
            </w:pPr>
            <w:r w:rsidRPr="00A3130C">
              <w:rPr>
                <w:rFonts w:eastAsia="Times"/>
              </w:rPr>
              <w:t>450,000</w:t>
            </w:r>
          </w:p>
        </w:tc>
      </w:tr>
      <w:tr w:rsidR="00F962BE" w:rsidRPr="00A3130C" w14:paraId="62C4C1AA"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3C3649A6" w14:textId="77777777" w:rsidR="00F962BE" w:rsidRPr="00A3130C" w:rsidRDefault="00F962BE">
            <w:pPr>
              <w:pStyle w:val="ARTabletext"/>
              <w:rPr>
                <w:rFonts w:eastAsia="Times"/>
              </w:rPr>
            </w:pPr>
            <w:r w:rsidRPr="00A3130C">
              <w:rPr>
                <w:rFonts w:eastAsia="Times"/>
              </w:rPr>
              <w:t>The Reach Foundation</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9B43E40" w14:textId="77777777" w:rsidR="00F962BE" w:rsidRPr="00A3130C" w:rsidRDefault="00F962BE">
            <w:pPr>
              <w:pStyle w:val="ARTabletext"/>
              <w:jc w:val="right"/>
              <w:rPr>
                <w:rFonts w:eastAsia="Times"/>
              </w:rPr>
            </w:pPr>
            <w:r w:rsidRPr="00A3130C">
              <w:rPr>
                <w:rFonts w:eastAsia="Times"/>
              </w:rPr>
              <w:t>40,000</w:t>
            </w:r>
          </w:p>
        </w:tc>
      </w:tr>
      <w:tr w:rsidR="00F962BE" w:rsidRPr="00A3130C" w14:paraId="3179A67A"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31467B3D" w14:textId="77777777" w:rsidR="00F962BE" w:rsidRPr="00A3130C" w:rsidRDefault="00F962BE">
            <w:pPr>
              <w:pStyle w:val="ARTabletext"/>
              <w:rPr>
                <w:rFonts w:eastAsia="Times"/>
              </w:rPr>
            </w:pPr>
            <w:r w:rsidRPr="00A3130C">
              <w:rPr>
                <w:rFonts w:eastAsia="Times"/>
              </w:rPr>
              <w:t>The Scout Association of Australia Victorian Branch</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7F29CE3" w14:textId="77777777" w:rsidR="00F962BE" w:rsidRPr="00A3130C" w:rsidRDefault="00F962BE">
            <w:pPr>
              <w:pStyle w:val="ARTabletext"/>
              <w:jc w:val="right"/>
              <w:rPr>
                <w:rFonts w:eastAsia="Times"/>
              </w:rPr>
            </w:pPr>
            <w:r w:rsidRPr="00A3130C">
              <w:rPr>
                <w:rFonts w:eastAsia="Times"/>
              </w:rPr>
              <w:t>1,056,500</w:t>
            </w:r>
          </w:p>
        </w:tc>
      </w:tr>
      <w:tr w:rsidR="00F962BE" w:rsidRPr="00A3130C" w14:paraId="2E401541"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22F47375" w14:textId="77777777" w:rsidR="00F962BE" w:rsidRPr="00A3130C" w:rsidRDefault="00F962BE">
            <w:pPr>
              <w:pStyle w:val="ARTabletext"/>
              <w:rPr>
                <w:rFonts w:eastAsia="Times"/>
              </w:rPr>
            </w:pPr>
            <w:r w:rsidRPr="00A3130C">
              <w:rPr>
                <w:rFonts w:eastAsia="Times"/>
              </w:rPr>
              <w:t>The Trustee for The Salvation Army (Victoria) Property Trust</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16FE20E1" w14:textId="77777777" w:rsidR="00F962BE" w:rsidRPr="00A3130C" w:rsidRDefault="00F962BE">
            <w:pPr>
              <w:pStyle w:val="ARTabletext"/>
              <w:jc w:val="right"/>
              <w:rPr>
                <w:rFonts w:eastAsia="Times"/>
              </w:rPr>
            </w:pPr>
            <w:r w:rsidRPr="00A3130C">
              <w:rPr>
                <w:rFonts w:eastAsia="Times"/>
              </w:rPr>
              <w:t>90,332</w:t>
            </w:r>
          </w:p>
        </w:tc>
      </w:tr>
      <w:tr w:rsidR="00F962BE" w:rsidRPr="00A3130C" w14:paraId="527766EB"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6B7C3D52" w14:textId="77777777" w:rsidR="00F962BE" w:rsidRPr="00A3130C" w:rsidRDefault="00F962BE">
            <w:pPr>
              <w:pStyle w:val="ARTabletext"/>
              <w:rPr>
                <w:rFonts w:eastAsia="Times"/>
              </w:rPr>
            </w:pPr>
            <w:r w:rsidRPr="00A3130C">
              <w:rPr>
                <w:rFonts w:eastAsia="Times"/>
              </w:rPr>
              <w:t>The Victorian Aboriginal Child Care</w:t>
            </w:r>
            <w:r>
              <w:rPr>
                <w:rFonts w:eastAsia="Times"/>
              </w:rPr>
              <w:t> </w:t>
            </w:r>
            <w:r w:rsidRPr="00A3130C">
              <w:rPr>
                <w:rFonts w:eastAsia="Times"/>
              </w:rPr>
              <w:t>Agency</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18496369" w14:textId="77777777" w:rsidR="00F962BE" w:rsidRPr="00A3130C" w:rsidRDefault="00F962BE">
            <w:pPr>
              <w:pStyle w:val="ARTabletext"/>
              <w:jc w:val="right"/>
              <w:rPr>
                <w:rFonts w:eastAsia="Times"/>
              </w:rPr>
            </w:pPr>
            <w:r w:rsidRPr="00A3130C">
              <w:rPr>
                <w:rFonts w:eastAsia="Times"/>
              </w:rPr>
              <w:t>50,000</w:t>
            </w:r>
          </w:p>
        </w:tc>
      </w:tr>
      <w:tr w:rsidR="00F962BE" w:rsidRPr="00A3130C" w14:paraId="50ECB584"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49B432EA" w14:textId="77777777" w:rsidR="00F962BE" w:rsidRPr="00A3130C" w:rsidRDefault="00F962BE">
            <w:pPr>
              <w:pStyle w:val="ARTabletext"/>
              <w:rPr>
                <w:rFonts w:eastAsia="Times"/>
              </w:rPr>
            </w:pPr>
            <w:r w:rsidRPr="00A3130C">
              <w:rPr>
                <w:rFonts w:eastAsia="Times"/>
              </w:rPr>
              <w:t>Towong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1122A47" w14:textId="77777777" w:rsidR="00F962BE" w:rsidRPr="00A3130C" w:rsidRDefault="00F962BE">
            <w:pPr>
              <w:pStyle w:val="ARTabletext"/>
              <w:jc w:val="right"/>
              <w:rPr>
                <w:rFonts w:eastAsia="Times"/>
              </w:rPr>
            </w:pPr>
            <w:r w:rsidRPr="00A3130C">
              <w:rPr>
                <w:rFonts w:eastAsia="Times"/>
              </w:rPr>
              <w:t>2,000</w:t>
            </w:r>
          </w:p>
        </w:tc>
      </w:tr>
      <w:tr w:rsidR="00F962BE" w:rsidRPr="00A3130C" w14:paraId="2DCB3E64"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23FC6CFC" w14:textId="77777777" w:rsidR="00F962BE" w:rsidRPr="00A3130C" w:rsidRDefault="00F962BE">
            <w:pPr>
              <w:pStyle w:val="ARTabletext"/>
              <w:rPr>
                <w:rFonts w:eastAsia="Times"/>
              </w:rPr>
            </w:pPr>
            <w:r w:rsidRPr="00A3130C">
              <w:rPr>
                <w:rFonts w:eastAsia="Times"/>
              </w:rPr>
              <w:t>UN Youth Victoria</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5EDC5D5" w14:textId="77777777" w:rsidR="00F962BE" w:rsidRPr="00A3130C" w:rsidRDefault="00F962BE">
            <w:pPr>
              <w:pStyle w:val="ARTabletext"/>
              <w:jc w:val="right"/>
              <w:rPr>
                <w:rFonts w:eastAsia="Times"/>
              </w:rPr>
            </w:pPr>
            <w:r w:rsidRPr="00A3130C">
              <w:rPr>
                <w:rFonts w:eastAsia="Times"/>
              </w:rPr>
              <w:t>2,000</w:t>
            </w:r>
          </w:p>
        </w:tc>
      </w:tr>
      <w:tr w:rsidR="00F962BE" w:rsidRPr="00A3130C" w14:paraId="2DDE0A37"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69255D24" w14:textId="77777777" w:rsidR="00F962BE" w:rsidRPr="00A3130C" w:rsidRDefault="00F962BE">
            <w:pPr>
              <w:pStyle w:val="ARTabletext"/>
              <w:rPr>
                <w:rFonts w:eastAsia="Times"/>
              </w:rPr>
            </w:pPr>
            <w:r w:rsidRPr="00A3130C">
              <w:rPr>
                <w:rFonts w:eastAsia="Times"/>
              </w:rPr>
              <w:t>Uniting (Victoria &amp; Tasmania) Ltd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9730D9C" w14:textId="77777777" w:rsidR="00F962BE" w:rsidRPr="00A3130C" w:rsidRDefault="00F962BE">
            <w:pPr>
              <w:pStyle w:val="ARTabletext"/>
              <w:jc w:val="right"/>
              <w:rPr>
                <w:rFonts w:eastAsia="Times"/>
              </w:rPr>
            </w:pPr>
            <w:r w:rsidRPr="00A3130C">
              <w:rPr>
                <w:rFonts w:eastAsia="Times"/>
              </w:rPr>
              <w:t>1,052,510</w:t>
            </w:r>
          </w:p>
        </w:tc>
      </w:tr>
      <w:tr w:rsidR="00F962BE" w:rsidRPr="00A3130C" w14:paraId="620D429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3A3AB314" w14:textId="77777777" w:rsidR="00F962BE" w:rsidRPr="00A3130C" w:rsidRDefault="00F962BE">
            <w:pPr>
              <w:pStyle w:val="ARTabletext"/>
              <w:rPr>
                <w:rFonts w:eastAsia="Times"/>
              </w:rPr>
            </w:pPr>
            <w:r w:rsidRPr="00A3130C">
              <w:rPr>
                <w:rFonts w:eastAsia="Times"/>
              </w:rPr>
              <w:t>Unity Libyan Youth Association</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8F4CA99" w14:textId="77777777" w:rsidR="00F962BE" w:rsidRPr="00A3130C" w:rsidRDefault="00F962BE">
            <w:pPr>
              <w:pStyle w:val="ARTabletext"/>
              <w:jc w:val="right"/>
              <w:rPr>
                <w:rFonts w:eastAsia="Times"/>
              </w:rPr>
            </w:pPr>
            <w:r w:rsidRPr="00A3130C">
              <w:rPr>
                <w:rFonts w:eastAsia="Times"/>
              </w:rPr>
              <w:t>2,000</w:t>
            </w:r>
          </w:p>
        </w:tc>
      </w:tr>
      <w:tr w:rsidR="00F962BE" w:rsidRPr="00A3130C" w14:paraId="7F3F18BA"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31C0BA87" w14:textId="77777777" w:rsidR="00F962BE" w:rsidRPr="00A3130C" w:rsidRDefault="00F962BE">
            <w:pPr>
              <w:pStyle w:val="ARTabletext"/>
              <w:rPr>
                <w:rFonts w:eastAsia="Times"/>
              </w:rPr>
            </w:pPr>
            <w:r w:rsidRPr="00A3130C">
              <w:rPr>
                <w:rFonts w:eastAsia="Times"/>
              </w:rPr>
              <w:t>Victorian Aboriginal Health Service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9C0A9CE" w14:textId="77777777" w:rsidR="00F962BE" w:rsidRPr="00A3130C" w:rsidRDefault="00F962BE">
            <w:pPr>
              <w:pStyle w:val="ARTabletext"/>
              <w:jc w:val="right"/>
              <w:rPr>
                <w:rFonts w:eastAsia="Times"/>
              </w:rPr>
            </w:pPr>
            <w:r w:rsidRPr="00A3130C">
              <w:rPr>
                <w:rFonts w:eastAsia="Times"/>
              </w:rPr>
              <w:t>128,800</w:t>
            </w:r>
          </w:p>
        </w:tc>
      </w:tr>
      <w:tr w:rsidR="00F962BE" w:rsidRPr="00A3130C" w14:paraId="59824A9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32A4900E" w14:textId="77777777" w:rsidR="00F962BE" w:rsidRPr="00A3130C" w:rsidRDefault="00F962BE">
            <w:pPr>
              <w:pStyle w:val="ARTabletext"/>
              <w:rPr>
                <w:rFonts w:eastAsia="Times"/>
              </w:rPr>
            </w:pPr>
            <w:r w:rsidRPr="00A3130C">
              <w:rPr>
                <w:rFonts w:eastAsia="Times"/>
              </w:rPr>
              <w:t>Victorian Aboriginal Legal Service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E3745EB" w14:textId="77777777" w:rsidR="00F962BE" w:rsidRPr="00A3130C" w:rsidRDefault="00F962BE">
            <w:pPr>
              <w:pStyle w:val="ARTabletext"/>
              <w:jc w:val="right"/>
              <w:rPr>
                <w:rFonts w:eastAsia="Times"/>
              </w:rPr>
            </w:pPr>
            <w:r w:rsidRPr="00A3130C">
              <w:rPr>
                <w:rFonts w:eastAsia="Times"/>
              </w:rPr>
              <w:t>346,000</w:t>
            </w:r>
          </w:p>
        </w:tc>
      </w:tr>
      <w:tr w:rsidR="00F962BE" w:rsidRPr="00A3130C" w14:paraId="492DC7E0"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76749DBB" w14:textId="77777777" w:rsidR="00F962BE" w:rsidRPr="00A3130C" w:rsidRDefault="00F962BE">
            <w:pPr>
              <w:pStyle w:val="ARTabletext"/>
              <w:rPr>
                <w:rFonts w:eastAsia="Times"/>
              </w:rPr>
            </w:pPr>
            <w:r w:rsidRPr="00A3130C">
              <w:rPr>
                <w:rFonts w:eastAsia="Times"/>
              </w:rPr>
              <w:t>Victorian Arabic Social Services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2D3FA14" w14:textId="77777777" w:rsidR="00F962BE" w:rsidRPr="00A3130C" w:rsidRDefault="00F962BE">
            <w:pPr>
              <w:pStyle w:val="ARTabletext"/>
              <w:jc w:val="right"/>
              <w:rPr>
                <w:rFonts w:eastAsia="Times"/>
              </w:rPr>
            </w:pPr>
            <w:r w:rsidRPr="00A3130C">
              <w:rPr>
                <w:rFonts w:eastAsia="Times"/>
              </w:rPr>
              <w:t>23,000</w:t>
            </w:r>
          </w:p>
        </w:tc>
      </w:tr>
      <w:tr w:rsidR="00F962BE" w:rsidRPr="00A3130C" w14:paraId="1DBE630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7C59CAE4" w14:textId="2DF79A7A" w:rsidR="00F962BE" w:rsidRPr="00A3130C" w:rsidRDefault="00F962BE">
            <w:pPr>
              <w:pStyle w:val="ARTabletext"/>
              <w:rPr>
                <w:rFonts w:eastAsia="Times"/>
              </w:rPr>
            </w:pPr>
            <w:r w:rsidRPr="00A3130C">
              <w:rPr>
                <w:rFonts w:eastAsia="Times"/>
              </w:rPr>
              <w:t xml:space="preserve">Victorian </w:t>
            </w:r>
            <w:r w:rsidR="00907D6E" w:rsidRPr="00A3130C">
              <w:rPr>
                <w:rFonts w:eastAsia="Times"/>
              </w:rPr>
              <w:t>YMCA</w:t>
            </w:r>
            <w:r w:rsidRPr="00A3130C">
              <w:rPr>
                <w:rFonts w:eastAsia="Times"/>
              </w:rPr>
              <w:t xml:space="preserve"> Youth &amp; Community Services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1BC989F6" w14:textId="77777777" w:rsidR="00F962BE" w:rsidRPr="00A3130C" w:rsidRDefault="00F962BE">
            <w:pPr>
              <w:pStyle w:val="ARTabletext"/>
              <w:jc w:val="right"/>
              <w:rPr>
                <w:rFonts w:eastAsia="Times"/>
              </w:rPr>
            </w:pPr>
            <w:r w:rsidRPr="00A3130C">
              <w:rPr>
                <w:rFonts w:eastAsia="Times"/>
              </w:rPr>
              <w:t>172,270</w:t>
            </w:r>
          </w:p>
        </w:tc>
      </w:tr>
      <w:tr w:rsidR="00F962BE" w:rsidRPr="00A3130C" w14:paraId="4374CC82"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2BE9FA61" w14:textId="77777777" w:rsidR="00F962BE" w:rsidRPr="00A3130C" w:rsidRDefault="00F962BE">
            <w:pPr>
              <w:pStyle w:val="ARTabletext"/>
              <w:rPr>
                <w:rFonts w:eastAsia="Times"/>
              </w:rPr>
            </w:pPr>
            <w:r w:rsidRPr="00A3130C">
              <w:rPr>
                <w:rFonts w:eastAsia="Times"/>
              </w:rPr>
              <w:t>Virtual School Victoria</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A373839" w14:textId="77777777" w:rsidR="00F962BE" w:rsidRPr="00A3130C" w:rsidRDefault="00F962BE">
            <w:pPr>
              <w:pStyle w:val="ARTabletext"/>
              <w:jc w:val="right"/>
              <w:rPr>
                <w:rFonts w:eastAsia="Times"/>
              </w:rPr>
            </w:pPr>
            <w:r w:rsidRPr="00A3130C">
              <w:rPr>
                <w:rFonts w:eastAsia="Times"/>
              </w:rPr>
              <w:t>14,000</w:t>
            </w:r>
          </w:p>
        </w:tc>
      </w:tr>
      <w:tr w:rsidR="00F962BE" w:rsidRPr="00A3130C" w14:paraId="10A505AD"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72D65CFB" w14:textId="77777777" w:rsidR="00F962BE" w:rsidRPr="00A3130C" w:rsidRDefault="00F962BE">
            <w:pPr>
              <w:pStyle w:val="ARTabletext"/>
              <w:rPr>
                <w:rFonts w:eastAsia="Times"/>
              </w:rPr>
            </w:pPr>
            <w:proofErr w:type="spellStart"/>
            <w:r w:rsidRPr="00A3130C">
              <w:rPr>
                <w:rFonts w:eastAsia="Times"/>
              </w:rPr>
              <w:t>Wakakirri</w:t>
            </w:r>
            <w:proofErr w:type="spellEnd"/>
            <w:r w:rsidRPr="00A3130C">
              <w:rPr>
                <w:rFonts w:eastAsia="Times"/>
              </w:rPr>
              <w:t xml:space="preserve"> Story-Dance Association</w:t>
            </w:r>
            <w:r>
              <w:rPr>
                <w:rFonts w:eastAsia="Times"/>
              </w:rPr>
              <w:t> </w:t>
            </w:r>
            <w:r w:rsidRPr="00A3130C">
              <w:rPr>
                <w:rFonts w:eastAsia="Times"/>
              </w:rPr>
              <w:t>Incorporated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4BA0D82" w14:textId="77777777" w:rsidR="00F962BE" w:rsidRPr="00A3130C" w:rsidRDefault="00F962BE">
            <w:pPr>
              <w:pStyle w:val="ARTabletext"/>
              <w:jc w:val="right"/>
              <w:rPr>
                <w:rFonts w:eastAsia="Times"/>
              </w:rPr>
            </w:pPr>
            <w:r w:rsidRPr="00A3130C">
              <w:rPr>
                <w:rFonts w:eastAsia="Times"/>
              </w:rPr>
              <w:t>22,000</w:t>
            </w:r>
          </w:p>
        </w:tc>
      </w:tr>
      <w:tr w:rsidR="00F962BE" w:rsidRPr="00A3130C" w14:paraId="0F03B33A"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25D78256" w14:textId="77777777" w:rsidR="00F962BE" w:rsidRPr="00A3130C" w:rsidRDefault="00F962BE">
            <w:pPr>
              <w:pStyle w:val="ARTabletext"/>
              <w:rPr>
                <w:rFonts w:eastAsia="Times"/>
              </w:rPr>
            </w:pPr>
            <w:r w:rsidRPr="00A3130C">
              <w:rPr>
                <w:rFonts w:eastAsia="Times"/>
              </w:rPr>
              <w:t>Wangaratta Rural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7AFD177" w14:textId="77777777" w:rsidR="00F962BE" w:rsidRPr="00A3130C" w:rsidRDefault="00F962BE">
            <w:pPr>
              <w:pStyle w:val="ARTabletext"/>
              <w:jc w:val="right"/>
              <w:rPr>
                <w:rFonts w:eastAsia="Times"/>
              </w:rPr>
            </w:pPr>
            <w:r w:rsidRPr="00A3130C">
              <w:rPr>
                <w:rFonts w:eastAsia="Times"/>
              </w:rPr>
              <w:t>91,999</w:t>
            </w:r>
          </w:p>
        </w:tc>
      </w:tr>
      <w:tr w:rsidR="00F962BE" w:rsidRPr="00A3130C" w14:paraId="6920269B"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1BFF6840" w14:textId="77777777" w:rsidR="00F962BE" w:rsidRPr="00A3130C" w:rsidRDefault="00F962BE">
            <w:pPr>
              <w:pStyle w:val="ARTabletext"/>
              <w:rPr>
                <w:rFonts w:eastAsia="Times"/>
              </w:rPr>
            </w:pPr>
            <w:r w:rsidRPr="00A3130C">
              <w:rPr>
                <w:rFonts w:eastAsia="Times"/>
              </w:rPr>
              <w:t>Warragul and District Specialist School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04F3139" w14:textId="77777777" w:rsidR="00F962BE" w:rsidRPr="00A3130C" w:rsidRDefault="00F962BE">
            <w:pPr>
              <w:pStyle w:val="ARTabletext"/>
              <w:jc w:val="right"/>
              <w:rPr>
                <w:rFonts w:eastAsia="Times"/>
              </w:rPr>
            </w:pPr>
            <w:r w:rsidRPr="00A3130C">
              <w:rPr>
                <w:rFonts w:eastAsia="Times"/>
              </w:rPr>
              <w:t>14,000</w:t>
            </w:r>
          </w:p>
        </w:tc>
      </w:tr>
      <w:tr w:rsidR="00F962BE" w:rsidRPr="00A3130C" w14:paraId="0F61D5BC"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1175EC6A" w14:textId="77777777" w:rsidR="00F962BE" w:rsidRPr="00A3130C" w:rsidRDefault="00F962BE">
            <w:pPr>
              <w:pStyle w:val="ARTabletext"/>
              <w:rPr>
                <w:rFonts w:eastAsia="Times"/>
              </w:rPr>
            </w:pPr>
            <w:r w:rsidRPr="00A3130C">
              <w:rPr>
                <w:rFonts w:eastAsia="Times"/>
              </w:rPr>
              <w:t>Warrnambool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3FB6BC2" w14:textId="77777777" w:rsidR="00F962BE" w:rsidRPr="00A3130C" w:rsidRDefault="00F962BE">
            <w:pPr>
              <w:pStyle w:val="ARTabletext"/>
              <w:jc w:val="right"/>
              <w:rPr>
                <w:rFonts w:eastAsia="Times"/>
              </w:rPr>
            </w:pPr>
            <w:r w:rsidRPr="00A3130C">
              <w:rPr>
                <w:rFonts w:eastAsia="Times"/>
              </w:rPr>
              <w:t>99,999</w:t>
            </w:r>
          </w:p>
        </w:tc>
      </w:tr>
      <w:tr w:rsidR="00F962BE" w:rsidRPr="00A3130C" w14:paraId="10ACDC27"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37514246" w14:textId="77777777" w:rsidR="00F962BE" w:rsidRPr="00A3130C" w:rsidRDefault="00F962BE">
            <w:pPr>
              <w:pStyle w:val="ARTabletext"/>
              <w:rPr>
                <w:rFonts w:eastAsia="Times"/>
              </w:rPr>
            </w:pPr>
            <w:proofErr w:type="spellStart"/>
            <w:r w:rsidRPr="00A3130C">
              <w:rPr>
                <w:rFonts w:eastAsia="Times"/>
              </w:rPr>
              <w:t>Weenthunga</w:t>
            </w:r>
            <w:proofErr w:type="spellEnd"/>
            <w:r w:rsidRPr="00A3130C">
              <w:rPr>
                <w:rFonts w:eastAsia="Times"/>
              </w:rPr>
              <w:t xml:space="preserve"> Health Network</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3683B04" w14:textId="77777777" w:rsidR="00F962BE" w:rsidRPr="00A3130C" w:rsidRDefault="00F962BE">
            <w:pPr>
              <w:pStyle w:val="ARTabletext"/>
              <w:jc w:val="right"/>
              <w:rPr>
                <w:rFonts w:eastAsia="Times"/>
              </w:rPr>
            </w:pPr>
            <w:r w:rsidRPr="00A3130C">
              <w:rPr>
                <w:rFonts w:eastAsia="Times"/>
              </w:rPr>
              <w:t>128,800</w:t>
            </w:r>
          </w:p>
        </w:tc>
      </w:tr>
      <w:tr w:rsidR="00F962BE" w:rsidRPr="00A3130C" w14:paraId="33B78E70"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52867386" w14:textId="77777777" w:rsidR="00F962BE" w:rsidRPr="00A3130C" w:rsidRDefault="00F962BE">
            <w:pPr>
              <w:pStyle w:val="ARTabletext"/>
              <w:rPr>
                <w:rFonts w:eastAsia="Times"/>
              </w:rPr>
            </w:pPr>
            <w:proofErr w:type="spellStart"/>
            <w:r w:rsidRPr="00A3130C">
              <w:rPr>
                <w:rFonts w:eastAsia="Times"/>
              </w:rPr>
              <w:t>Weeroona</w:t>
            </w:r>
            <w:proofErr w:type="spellEnd"/>
            <w:r w:rsidRPr="00A3130C">
              <w:rPr>
                <w:rFonts w:eastAsia="Times"/>
              </w:rPr>
              <w:t xml:space="preserve"> College Bendigo</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B0AADBB" w14:textId="77777777" w:rsidR="00F962BE" w:rsidRPr="00A3130C" w:rsidRDefault="00F962BE">
            <w:pPr>
              <w:pStyle w:val="ARTabletext"/>
              <w:jc w:val="right"/>
              <w:rPr>
                <w:rFonts w:eastAsia="Times"/>
              </w:rPr>
            </w:pPr>
            <w:r w:rsidRPr="00A3130C">
              <w:rPr>
                <w:rFonts w:eastAsia="Times"/>
              </w:rPr>
              <w:t>12,000</w:t>
            </w:r>
          </w:p>
        </w:tc>
      </w:tr>
      <w:tr w:rsidR="00F962BE" w:rsidRPr="00A3130C" w14:paraId="2CE384E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23E03EAC" w14:textId="77777777" w:rsidR="00F962BE" w:rsidRPr="00A3130C" w:rsidRDefault="00F962BE">
            <w:pPr>
              <w:pStyle w:val="ARTabletext"/>
              <w:rPr>
                <w:rFonts w:eastAsia="Times"/>
              </w:rPr>
            </w:pPr>
            <w:r w:rsidRPr="00A3130C">
              <w:rPr>
                <w:rFonts w:eastAsia="Times"/>
              </w:rPr>
              <w:t>Wellington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CD11A1C" w14:textId="77777777" w:rsidR="00F962BE" w:rsidRPr="00A3130C" w:rsidRDefault="00F962BE">
            <w:pPr>
              <w:pStyle w:val="ARTabletext"/>
              <w:jc w:val="right"/>
              <w:rPr>
                <w:rFonts w:eastAsia="Times"/>
              </w:rPr>
            </w:pPr>
            <w:r w:rsidRPr="00A3130C">
              <w:rPr>
                <w:rFonts w:eastAsia="Times"/>
              </w:rPr>
              <w:t>42,000</w:t>
            </w:r>
          </w:p>
        </w:tc>
      </w:tr>
      <w:tr w:rsidR="00F962BE" w:rsidRPr="00A3130C" w14:paraId="0F3D4635"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2F6E7EF1" w14:textId="77777777" w:rsidR="00F962BE" w:rsidRPr="00A3130C" w:rsidRDefault="00F962BE">
            <w:pPr>
              <w:pStyle w:val="ARTabletext"/>
              <w:rPr>
                <w:rFonts w:eastAsia="Times"/>
              </w:rPr>
            </w:pPr>
            <w:r w:rsidRPr="00A3130C">
              <w:rPr>
                <w:rFonts w:eastAsia="Times"/>
              </w:rPr>
              <w:t>West Wimmera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D08A20B" w14:textId="77777777" w:rsidR="00F962BE" w:rsidRPr="00A3130C" w:rsidRDefault="00F962BE">
            <w:pPr>
              <w:pStyle w:val="ARTabletext"/>
              <w:jc w:val="right"/>
              <w:rPr>
                <w:rFonts w:eastAsia="Times"/>
              </w:rPr>
            </w:pPr>
            <w:r w:rsidRPr="00A3130C">
              <w:rPr>
                <w:rFonts w:eastAsia="Times"/>
              </w:rPr>
              <w:t>89,999</w:t>
            </w:r>
          </w:p>
        </w:tc>
      </w:tr>
      <w:tr w:rsidR="00F962BE" w:rsidRPr="00A3130C" w14:paraId="43D717A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3CBB1A4C" w14:textId="77777777" w:rsidR="00F962BE" w:rsidRPr="00A3130C" w:rsidRDefault="00F962BE">
            <w:pPr>
              <w:pStyle w:val="ARTabletext"/>
              <w:rPr>
                <w:rFonts w:eastAsia="Times"/>
              </w:rPr>
            </w:pPr>
            <w:r w:rsidRPr="00A3130C">
              <w:rPr>
                <w:rFonts w:eastAsia="Times"/>
              </w:rPr>
              <w:t>Western Bulldogs Community</w:t>
            </w:r>
            <w:r>
              <w:rPr>
                <w:rFonts w:eastAsia="Times"/>
              </w:rPr>
              <w:t> </w:t>
            </w:r>
            <w:r w:rsidRPr="00A3130C">
              <w:rPr>
                <w:rFonts w:eastAsia="Times"/>
              </w:rPr>
              <w:t>Foundation</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0ECB48A" w14:textId="77777777" w:rsidR="00F962BE" w:rsidRPr="00A3130C" w:rsidRDefault="00F962BE">
            <w:pPr>
              <w:pStyle w:val="ARTabletext"/>
              <w:jc w:val="right"/>
              <w:rPr>
                <w:rFonts w:eastAsia="Times"/>
              </w:rPr>
            </w:pPr>
            <w:r w:rsidRPr="00A3130C">
              <w:rPr>
                <w:rFonts w:eastAsia="Times"/>
              </w:rPr>
              <w:t>30,000</w:t>
            </w:r>
          </w:p>
        </w:tc>
      </w:tr>
      <w:tr w:rsidR="00F962BE" w:rsidRPr="00A3130C" w14:paraId="1B4CD976"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2DB355E2" w14:textId="77777777" w:rsidR="00F962BE" w:rsidRPr="00A3130C" w:rsidRDefault="00F962BE">
            <w:pPr>
              <w:pStyle w:val="ARTabletext"/>
              <w:rPr>
                <w:rFonts w:eastAsia="Times"/>
              </w:rPr>
            </w:pPr>
            <w:r w:rsidRPr="00A3130C">
              <w:rPr>
                <w:rFonts w:eastAsia="Times"/>
              </w:rPr>
              <w:t>Western District Health Service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3F28E60" w14:textId="77777777" w:rsidR="00F962BE" w:rsidRPr="00A3130C" w:rsidRDefault="00F962BE">
            <w:pPr>
              <w:pStyle w:val="ARTabletext"/>
              <w:jc w:val="right"/>
              <w:rPr>
                <w:rFonts w:eastAsia="Times"/>
              </w:rPr>
            </w:pPr>
            <w:r w:rsidRPr="00A3130C">
              <w:rPr>
                <w:rFonts w:eastAsia="Times"/>
              </w:rPr>
              <w:t>50,000</w:t>
            </w:r>
          </w:p>
        </w:tc>
      </w:tr>
      <w:tr w:rsidR="00F962BE" w:rsidRPr="00A3130C" w14:paraId="4CF5837F"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6E3F3C83" w14:textId="77777777" w:rsidR="00F962BE" w:rsidRPr="00A3130C" w:rsidRDefault="00F962BE">
            <w:pPr>
              <w:pStyle w:val="ARTabletext"/>
              <w:rPr>
                <w:rFonts w:eastAsia="Times"/>
              </w:rPr>
            </w:pPr>
            <w:r w:rsidRPr="00A3130C">
              <w:rPr>
                <w:rFonts w:eastAsia="Times"/>
              </w:rPr>
              <w:t>Western Port Secondary College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B0153B8" w14:textId="77777777" w:rsidR="00F962BE" w:rsidRPr="00A3130C" w:rsidRDefault="00F962BE">
            <w:pPr>
              <w:pStyle w:val="ARTabletext"/>
              <w:jc w:val="right"/>
              <w:rPr>
                <w:rFonts w:eastAsia="Times"/>
              </w:rPr>
            </w:pPr>
            <w:r w:rsidRPr="00A3130C">
              <w:rPr>
                <w:rFonts w:eastAsia="Times"/>
              </w:rPr>
              <w:t>15,000</w:t>
            </w:r>
          </w:p>
        </w:tc>
      </w:tr>
      <w:tr w:rsidR="00F962BE" w:rsidRPr="00A3130C" w14:paraId="57332A39"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01C28E2F" w14:textId="77777777" w:rsidR="00F962BE" w:rsidRPr="00A3130C" w:rsidRDefault="00F962BE">
            <w:pPr>
              <w:pStyle w:val="ARTabletext"/>
              <w:rPr>
                <w:rFonts w:eastAsia="Times"/>
              </w:rPr>
            </w:pPr>
            <w:r w:rsidRPr="00A3130C">
              <w:rPr>
                <w:rFonts w:eastAsia="Times"/>
              </w:rPr>
              <w:t>Whittlesea Community Connections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1FD55BE5" w14:textId="77777777" w:rsidR="00F962BE" w:rsidRPr="00A3130C" w:rsidRDefault="00F962BE">
            <w:pPr>
              <w:pStyle w:val="ARTabletext"/>
              <w:jc w:val="right"/>
              <w:rPr>
                <w:rFonts w:eastAsia="Times"/>
              </w:rPr>
            </w:pPr>
            <w:r w:rsidRPr="00A3130C">
              <w:rPr>
                <w:rFonts w:eastAsia="Times"/>
              </w:rPr>
              <w:t>50,000</w:t>
            </w:r>
          </w:p>
        </w:tc>
      </w:tr>
      <w:tr w:rsidR="00F962BE" w:rsidRPr="00A3130C" w14:paraId="4AA67F68"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60E7A8DE" w14:textId="77777777" w:rsidR="00F962BE" w:rsidRPr="00A3130C" w:rsidRDefault="00F962BE">
            <w:pPr>
              <w:pStyle w:val="ARTabletext"/>
              <w:rPr>
                <w:rFonts w:eastAsia="Times"/>
              </w:rPr>
            </w:pPr>
            <w:r w:rsidRPr="00A3130C">
              <w:rPr>
                <w:rFonts w:eastAsia="Times"/>
              </w:rPr>
              <w:t>Winda-Mara Aboriginal Corporation</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32463686" w14:textId="77777777" w:rsidR="00F962BE" w:rsidRPr="00A3130C" w:rsidRDefault="00F962BE">
            <w:pPr>
              <w:pStyle w:val="ARTabletext"/>
              <w:jc w:val="right"/>
              <w:rPr>
                <w:rFonts w:eastAsia="Times"/>
              </w:rPr>
            </w:pPr>
            <w:r w:rsidRPr="00A3130C">
              <w:rPr>
                <w:rFonts w:eastAsia="Times"/>
              </w:rPr>
              <w:t>130,800</w:t>
            </w:r>
          </w:p>
        </w:tc>
      </w:tr>
      <w:tr w:rsidR="00F962BE" w:rsidRPr="00A3130C" w14:paraId="35AA0EDD"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7072929E" w14:textId="77777777" w:rsidR="00F962BE" w:rsidRPr="00A3130C" w:rsidRDefault="00F962BE">
            <w:pPr>
              <w:pStyle w:val="ARTabletext"/>
              <w:rPr>
                <w:rFonts w:eastAsia="Times"/>
              </w:rPr>
            </w:pPr>
            <w:r w:rsidRPr="00A3130C">
              <w:rPr>
                <w:rFonts w:eastAsia="Times"/>
              </w:rPr>
              <w:t>Wodonga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66FAF6E" w14:textId="77777777" w:rsidR="00F962BE" w:rsidRPr="00A3130C" w:rsidRDefault="00F962BE">
            <w:pPr>
              <w:pStyle w:val="ARTabletext"/>
              <w:jc w:val="right"/>
              <w:rPr>
                <w:rFonts w:eastAsia="Times"/>
              </w:rPr>
            </w:pPr>
            <w:r w:rsidRPr="00A3130C">
              <w:rPr>
                <w:rFonts w:eastAsia="Times"/>
              </w:rPr>
              <w:t>42,000</w:t>
            </w:r>
          </w:p>
        </w:tc>
      </w:tr>
      <w:tr w:rsidR="00F962BE" w:rsidRPr="00A3130C" w14:paraId="170B8081"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58091085" w14:textId="77777777" w:rsidR="00F962BE" w:rsidRPr="00A3130C" w:rsidRDefault="00F962BE">
            <w:pPr>
              <w:pStyle w:val="ARTabletext"/>
              <w:rPr>
                <w:rFonts w:eastAsia="Times"/>
              </w:rPr>
            </w:pPr>
            <w:r w:rsidRPr="00A3130C">
              <w:rPr>
                <w:rFonts w:eastAsia="Times"/>
              </w:rPr>
              <w:t>Wodonga Middle Years College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ECBAF28" w14:textId="77777777" w:rsidR="00F962BE" w:rsidRPr="00A3130C" w:rsidRDefault="00F962BE">
            <w:pPr>
              <w:pStyle w:val="ARTabletext"/>
              <w:jc w:val="right"/>
              <w:rPr>
                <w:rFonts w:eastAsia="Times"/>
              </w:rPr>
            </w:pPr>
            <w:r w:rsidRPr="00A3130C">
              <w:rPr>
                <w:rFonts w:eastAsia="Times"/>
              </w:rPr>
              <w:t>12,000</w:t>
            </w:r>
          </w:p>
        </w:tc>
      </w:tr>
      <w:tr w:rsidR="00F962BE" w:rsidRPr="00A3130C" w14:paraId="38EC4F87"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2F4D88CA" w14:textId="77777777" w:rsidR="00F962BE" w:rsidRPr="00A3130C" w:rsidRDefault="00F962BE">
            <w:pPr>
              <w:pStyle w:val="ARTabletext"/>
              <w:rPr>
                <w:rFonts w:eastAsia="Times"/>
              </w:rPr>
            </w:pPr>
            <w:r w:rsidRPr="00A3130C">
              <w:rPr>
                <w:rFonts w:eastAsia="Times"/>
              </w:rPr>
              <w:t>Wodonga Senior Secondary College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C858280" w14:textId="77777777" w:rsidR="00F962BE" w:rsidRPr="00A3130C" w:rsidRDefault="00F962BE">
            <w:pPr>
              <w:pStyle w:val="ARTabletext"/>
              <w:jc w:val="right"/>
              <w:rPr>
                <w:rFonts w:eastAsia="Times"/>
              </w:rPr>
            </w:pPr>
            <w:r w:rsidRPr="00A3130C">
              <w:rPr>
                <w:rFonts w:eastAsia="Times"/>
              </w:rPr>
              <w:t>15,000</w:t>
            </w:r>
          </w:p>
        </w:tc>
      </w:tr>
      <w:tr w:rsidR="00F962BE" w:rsidRPr="00A3130C" w14:paraId="0CCAA2FD"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5CB3BE84" w14:textId="77777777" w:rsidR="00F962BE" w:rsidRPr="00A3130C" w:rsidRDefault="00F962BE">
            <w:pPr>
              <w:pStyle w:val="ARTabletext"/>
              <w:rPr>
                <w:rFonts w:eastAsia="Times"/>
              </w:rPr>
            </w:pPr>
            <w:r w:rsidRPr="00A3130C">
              <w:rPr>
                <w:rFonts w:eastAsia="Times"/>
              </w:rPr>
              <w:t>Woodend Neighbourhood House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6A0AAF0" w14:textId="77777777" w:rsidR="00F962BE" w:rsidRPr="00A3130C" w:rsidRDefault="00F962BE">
            <w:pPr>
              <w:pStyle w:val="ARTabletext"/>
              <w:jc w:val="right"/>
              <w:rPr>
                <w:rFonts w:eastAsia="Times"/>
              </w:rPr>
            </w:pPr>
            <w:r w:rsidRPr="00A3130C">
              <w:rPr>
                <w:rFonts w:eastAsia="Times"/>
              </w:rPr>
              <w:t>2,000</w:t>
            </w:r>
          </w:p>
        </w:tc>
      </w:tr>
      <w:tr w:rsidR="00F962BE" w:rsidRPr="00A3130C" w14:paraId="1A434DEE"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54DB89AB" w14:textId="77777777" w:rsidR="00F962BE" w:rsidRPr="00A3130C" w:rsidRDefault="00F962BE">
            <w:pPr>
              <w:pStyle w:val="ARTabletext"/>
              <w:rPr>
                <w:rFonts w:eastAsia="Times"/>
              </w:rPr>
            </w:pPr>
            <w:r w:rsidRPr="00A3130C">
              <w:rPr>
                <w:rFonts w:eastAsia="Times"/>
              </w:rPr>
              <w:t>Wyndham City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53D4316" w14:textId="77777777" w:rsidR="00F962BE" w:rsidRPr="00A3130C" w:rsidRDefault="00F962BE">
            <w:pPr>
              <w:pStyle w:val="ARTabletext"/>
              <w:jc w:val="right"/>
              <w:rPr>
                <w:rFonts w:eastAsia="Times"/>
              </w:rPr>
            </w:pPr>
            <w:r w:rsidRPr="00A3130C">
              <w:rPr>
                <w:rFonts w:eastAsia="Times"/>
              </w:rPr>
              <w:t>232,000</w:t>
            </w:r>
          </w:p>
        </w:tc>
      </w:tr>
      <w:tr w:rsidR="00F962BE" w:rsidRPr="00A3130C" w14:paraId="61F7F4D4"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23115A03" w14:textId="77777777" w:rsidR="00F962BE" w:rsidRPr="00A3130C" w:rsidRDefault="00F962BE">
            <w:pPr>
              <w:pStyle w:val="ARTabletext"/>
              <w:rPr>
                <w:rFonts w:eastAsia="Times"/>
              </w:rPr>
            </w:pPr>
            <w:r w:rsidRPr="00A3130C">
              <w:rPr>
                <w:rFonts w:eastAsia="Times"/>
              </w:rPr>
              <w:t>Wyndham Community and Education</w:t>
            </w:r>
            <w:r>
              <w:rPr>
                <w:rFonts w:eastAsia="Times"/>
              </w:rPr>
              <w:t> </w:t>
            </w:r>
            <w:r w:rsidRPr="00A3130C">
              <w:rPr>
                <w:rFonts w:eastAsia="Times"/>
              </w:rPr>
              <w:t>Centre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BB6E18E" w14:textId="77777777" w:rsidR="00F962BE" w:rsidRPr="00A3130C" w:rsidRDefault="00F962BE">
            <w:pPr>
              <w:pStyle w:val="ARTabletext"/>
              <w:jc w:val="right"/>
              <w:rPr>
                <w:rFonts w:eastAsia="Times"/>
              </w:rPr>
            </w:pPr>
            <w:r w:rsidRPr="00A3130C">
              <w:rPr>
                <w:rFonts w:eastAsia="Times"/>
              </w:rPr>
              <w:t>2,009,060</w:t>
            </w:r>
          </w:p>
        </w:tc>
      </w:tr>
      <w:tr w:rsidR="00F962BE" w:rsidRPr="00A3130C" w14:paraId="0C4F3C24"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007846C1" w14:textId="77777777" w:rsidR="00F962BE" w:rsidRPr="00A3130C" w:rsidRDefault="00F962BE">
            <w:pPr>
              <w:pStyle w:val="ARTabletext"/>
              <w:rPr>
                <w:rFonts w:eastAsia="Times"/>
              </w:rPr>
            </w:pPr>
            <w:r w:rsidRPr="00A3130C">
              <w:rPr>
                <w:rFonts w:eastAsia="Times"/>
              </w:rPr>
              <w:t>Yarra Ranges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213F1682" w14:textId="77777777" w:rsidR="00F962BE" w:rsidRPr="00A3130C" w:rsidRDefault="00F962BE">
            <w:pPr>
              <w:pStyle w:val="ARTabletext"/>
              <w:jc w:val="right"/>
              <w:rPr>
                <w:rFonts w:eastAsia="Times"/>
              </w:rPr>
            </w:pPr>
            <w:r w:rsidRPr="00A3130C">
              <w:rPr>
                <w:rFonts w:eastAsia="Times"/>
              </w:rPr>
              <w:t>52,000</w:t>
            </w:r>
          </w:p>
        </w:tc>
      </w:tr>
      <w:tr w:rsidR="00F962BE" w:rsidRPr="00A3130C" w14:paraId="7DA2C323"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56C2F7EC" w14:textId="77777777" w:rsidR="00F962BE" w:rsidRPr="00A3130C" w:rsidRDefault="00F962BE">
            <w:pPr>
              <w:pStyle w:val="ARTabletext"/>
              <w:rPr>
                <w:rFonts w:eastAsia="Times"/>
              </w:rPr>
            </w:pPr>
            <w:r w:rsidRPr="00A3130C">
              <w:rPr>
                <w:rFonts w:eastAsia="Times"/>
              </w:rPr>
              <w:t>Yarram and District Health Service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10ADFBD5" w14:textId="77777777" w:rsidR="00F962BE" w:rsidRPr="00A3130C" w:rsidRDefault="00F962BE">
            <w:pPr>
              <w:pStyle w:val="ARTabletext"/>
              <w:jc w:val="right"/>
              <w:rPr>
                <w:rFonts w:eastAsia="Times"/>
              </w:rPr>
            </w:pPr>
            <w:r w:rsidRPr="00A3130C">
              <w:rPr>
                <w:rFonts w:eastAsia="Times"/>
              </w:rPr>
              <w:t>40,000</w:t>
            </w:r>
          </w:p>
        </w:tc>
      </w:tr>
      <w:tr w:rsidR="00F962BE" w:rsidRPr="00A3130C" w14:paraId="13116BC1"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68250EB9" w14:textId="77777777" w:rsidR="00F962BE" w:rsidRPr="00A3130C" w:rsidRDefault="00F962BE">
            <w:pPr>
              <w:pStyle w:val="ARTabletext"/>
              <w:rPr>
                <w:rFonts w:eastAsia="Times"/>
              </w:rPr>
            </w:pPr>
            <w:r w:rsidRPr="00A3130C">
              <w:rPr>
                <w:rFonts w:eastAsia="Times"/>
              </w:rPr>
              <w:t>Yarram Secondary College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0B2B688" w14:textId="77777777" w:rsidR="00F962BE" w:rsidRPr="00A3130C" w:rsidRDefault="00F962BE">
            <w:pPr>
              <w:pStyle w:val="ARTabletext"/>
              <w:jc w:val="right"/>
              <w:rPr>
                <w:rFonts w:eastAsia="Times"/>
              </w:rPr>
            </w:pPr>
            <w:r w:rsidRPr="00A3130C">
              <w:rPr>
                <w:rFonts w:eastAsia="Times"/>
              </w:rPr>
              <w:t>12,000</w:t>
            </w:r>
          </w:p>
        </w:tc>
      </w:tr>
      <w:tr w:rsidR="00F962BE" w:rsidRPr="00A3130C" w14:paraId="515867B2"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1E5F97C4" w14:textId="77777777" w:rsidR="00F962BE" w:rsidRPr="00A3130C" w:rsidRDefault="00F962BE">
            <w:pPr>
              <w:pStyle w:val="ARTabletext"/>
              <w:rPr>
                <w:rFonts w:eastAsia="Times"/>
              </w:rPr>
            </w:pPr>
            <w:r w:rsidRPr="00A3130C">
              <w:rPr>
                <w:rFonts w:eastAsia="Times"/>
              </w:rPr>
              <w:t>Yarrawonga Neighbourhood House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44E0D13" w14:textId="77777777" w:rsidR="00F962BE" w:rsidRPr="00A3130C" w:rsidRDefault="00F962BE">
            <w:pPr>
              <w:pStyle w:val="ARTabletext"/>
              <w:jc w:val="right"/>
              <w:rPr>
                <w:rFonts w:eastAsia="Times"/>
              </w:rPr>
            </w:pPr>
            <w:r w:rsidRPr="00A3130C">
              <w:rPr>
                <w:rFonts w:eastAsia="Times"/>
              </w:rPr>
              <w:t>22,000</w:t>
            </w:r>
          </w:p>
        </w:tc>
      </w:tr>
      <w:tr w:rsidR="00F962BE" w:rsidRPr="00A3130C" w14:paraId="0494DB5E"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478EF0AE" w14:textId="77777777" w:rsidR="00F962BE" w:rsidRPr="00A3130C" w:rsidRDefault="00F962BE">
            <w:pPr>
              <w:pStyle w:val="ARTabletext"/>
              <w:rPr>
                <w:rFonts w:eastAsia="Times"/>
              </w:rPr>
            </w:pPr>
            <w:proofErr w:type="spellStart"/>
            <w:r w:rsidRPr="00A3130C">
              <w:rPr>
                <w:rFonts w:eastAsia="Times"/>
              </w:rPr>
              <w:t>Yarriambiack</w:t>
            </w:r>
            <w:proofErr w:type="spellEnd"/>
            <w:r w:rsidRPr="00A3130C">
              <w:rPr>
                <w:rFonts w:eastAsia="Times"/>
              </w:rPr>
              <w:t xml:space="preserve"> Shire Council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1B414F5" w14:textId="77777777" w:rsidR="00F962BE" w:rsidRPr="00A3130C" w:rsidRDefault="00F962BE">
            <w:pPr>
              <w:pStyle w:val="ARTabletext"/>
              <w:jc w:val="right"/>
              <w:rPr>
                <w:rFonts w:eastAsia="Times"/>
              </w:rPr>
            </w:pPr>
            <w:r w:rsidRPr="00A3130C">
              <w:rPr>
                <w:rFonts w:eastAsia="Times"/>
              </w:rPr>
              <w:t>50,000</w:t>
            </w:r>
          </w:p>
        </w:tc>
      </w:tr>
      <w:tr w:rsidR="00F962BE" w:rsidRPr="00A3130C" w14:paraId="60556575"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5DB048E3" w14:textId="77777777" w:rsidR="00F962BE" w:rsidRPr="00A3130C" w:rsidRDefault="00F962BE">
            <w:pPr>
              <w:pStyle w:val="ARTabletext"/>
              <w:rPr>
                <w:rFonts w:eastAsia="Times"/>
              </w:rPr>
            </w:pPr>
            <w:r w:rsidRPr="00A3130C">
              <w:rPr>
                <w:rFonts w:eastAsia="Times"/>
              </w:rPr>
              <w:t>Yoruba Language School Australia Ltd.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4EE91EF4" w14:textId="77777777" w:rsidR="00F962BE" w:rsidRPr="00A3130C" w:rsidRDefault="00F962BE">
            <w:pPr>
              <w:pStyle w:val="ARTabletext"/>
              <w:jc w:val="right"/>
              <w:rPr>
                <w:rFonts w:eastAsia="Times"/>
              </w:rPr>
            </w:pPr>
            <w:r w:rsidRPr="00A3130C">
              <w:rPr>
                <w:rFonts w:eastAsia="Times"/>
              </w:rPr>
              <w:t>15,000</w:t>
            </w:r>
          </w:p>
        </w:tc>
      </w:tr>
      <w:tr w:rsidR="00F962BE" w:rsidRPr="00A3130C" w14:paraId="13909EC8"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47222C25" w14:textId="77777777" w:rsidR="00F962BE" w:rsidRPr="00A3130C" w:rsidRDefault="00F962BE">
            <w:pPr>
              <w:pStyle w:val="ARTabletext"/>
              <w:rPr>
                <w:rFonts w:eastAsia="Times"/>
              </w:rPr>
            </w:pPr>
            <w:r w:rsidRPr="00A3130C">
              <w:rPr>
                <w:rFonts w:eastAsia="Times"/>
              </w:rPr>
              <w:t>Young Australian Film Festival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5045DD6" w14:textId="77777777" w:rsidR="00F962BE" w:rsidRPr="00A3130C" w:rsidRDefault="00F962BE">
            <w:pPr>
              <w:pStyle w:val="ARTabletext"/>
              <w:jc w:val="right"/>
              <w:rPr>
                <w:rFonts w:eastAsia="Times"/>
              </w:rPr>
            </w:pPr>
            <w:r w:rsidRPr="00A3130C">
              <w:rPr>
                <w:rFonts w:eastAsia="Times"/>
              </w:rPr>
              <w:t>2,000</w:t>
            </w:r>
          </w:p>
        </w:tc>
      </w:tr>
      <w:tr w:rsidR="00F962BE" w:rsidRPr="00A3130C" w14:paraId="5824FF81"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2E280F70" w14:textId="1B2A68B6" w:rsidR="00F962BE" w:rsidRPr="00A3130C" w:rsidRDefault="00F962BE">
            <w:pPr>
              <w:pStyle w:val="ARTabletext"/>
              <w:rPr>
                <w:rFonts w:eastAsia="Times"/>
              </w:rPr>
            </w:pPr>
            <w:r w:rsidRPr="00A3130C">
              <w:rPr>
                <w:rFonts w:eastAsia="Times"/>
              </w:rPr>
              <w:t>Young Men</w:t>
            </w:r>
            <w:r w:rsidR="00907D6E">
              <w:rPr>
                <w:rFonts w:eastAsia="Times"/>
              </w:rPr>
              <w:t>’</w:t>
            </w:r>
            <w:r w:rsidRPr="00A3130C">
              <w:rPr>
                <w:rFonts w:eastAsia="Times"/>
              </w:rPr>
              <w:t>s Christian Association of</w:t>
            </w:r>
            <w:r>
              <w:rPr>
                <w:rFonts w:eastAsia="Times"/>
              </w:rPr>
              <w:t> </w:t>
            </w:r>
            <w:r w:rsidRPr="00A3130C">
              <w:rPr>
                <w:rFonts w:eastAsia="Times"/>
              </w:rPr>
              <w:t>Ballarat Youth Services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51E4F8AE" w14:textId="77777777" w:rsidR="00F962BE" w:rsidRPr="00A3130C" w:rsidRDefault="00F962BE">
            <w:pPr>
              <w:pStyle w:val="ARTabletext"/>
              <w:jc w:val="right"/>
              <w:rPr>
                <w:rFonts w:eastAsia="Times"/>
              </w:rPr>
            </w:pPr>
            <w:r w:rsidRPr="00A3130C">
              <w:rPr>
                <w:rFonts w:eastAsia="Times"/>
              </w:rPr>
              <w:t>53,333</w:t>
            </w:r>
          </w:p>
        </w:tc>
      </w:tr>
      <w:tr w:rsidR="00F962BE" w:rsidRPr="00A3130C" w14:paraId="4C804DD9"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1E6ADEF8" w14:textId="77777777" w:rsidR="00F962BE" w:rsidRPr="00A3130C" w:rsidRDefault="00F962BE">
            <w:pPr>
              <w:pStyle w:val="ARTabletext"/>
              <w:rPr>
                <w:rFonts w:eastAsia="Times"/>
              </w:rPr>
            </w:pPr>
            <w:r w:rsidRPr="00A3130C">
              <w:rPr>
                <w:rFonts w:eastAsia="Times"/>
              </w:rPr>
              <w:t>Young Workers Centre</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4F8812D" w14:textId="77777777" w:rsidR="00F962BE" w:rsidRPr="00A3130C" w:rsidRDefault="00F962BE">
            <w:pPr>
              <w:pStyle w:val="ARTabletext"/>
              <w:jc w:val="right"/>
              <w:rPr>
                <w:rFonts w:eastAsia="Times"/>
              </w:rPr>
            </w:pPr>
            <w:r w:rsidRPr="00A3130C">
              <w:rPr>
                <w:rFonts w:eastAsia="Times"/>
              </w:rPr>
              <w:t>2,000</w:t>
            </w:r>
          </w:p>
        </w:tc>
      </w:tr>
      <w:tr w:rsidR="00F962BE" w:rsidRPr="00A3130C" w14:paraId="434C8B16"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71376801" w14:textId="77777777" w:rsidR="00F962BE" w:rsidRPr="00A3130C" w:rsidRDefault="00F962BE">
            <w:pPr>
              <w:pStyle w:val="ARTabletext"/>
              <w:rPr>
                <w:rFonts w:eastAsia="Times"/>
              </w:rPr>
            </w:pPr>
            <w:r w:rsidRPr="00A3130C">
              <w:rPr>
                <w:rFonts w:eastAsia="Times"/>
              </w:rPr>
              <w:t>Youth Affairs Council of Victoria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759DD6F6" w14:textId="77777777" w:rsidR="00F962BE" w:rsidRPr="00A3130C" w:rsidRDefault="00F962BE">
            <w:pPr>
              <w:pStyle w:val="ARTabletext"/>
              <w:jc w:val="right"/>
              <w:rPr>
                <w:rFonts w:eastAsia="Times"/>
              </w:rPr>
            </w:pPr>
            <w:r w:rsidRPr="00A3130C">
              <w:rPr>
                <w:rFonts w:eastAsia="Times"/>
              </w:rPr>
              <w:t>1,136,821</w:t>
            </w:r>
          </w:p>
        </w:tc>
      </w:tr>
      <w:tr w:rsidR="00F962BE" w:rsidRPr="00A3130C" w14:paraId="2A3DD2BC" w14:textId="77777777" w:rsidTr="00735BAF">
        <w:trPr>
          <w:cnfStyle w:val="000000100000" w:firstRow="0" w:lastRow="0" w:firstColumn="0" w:lastColumn="0" w:oddVBand="0" w:evenVBand="0" w:oddHBand="1" w:evenHBand="0" w:firstRowFirstColumn="0" w:firstRowLastColumn="0" w:lastRowFirstColumn="0" w:lastRowLastColumn="0"/>
          <w:trHeight w:val="260"/>
        </w:trPr>
        <w:tc>
          <w:tcPr>
            <w:tcW w:w="4267" w:type="pct"/>
            <w:noWrap/>
            <w:hideMark/>
          </w:tcPr>
          <w:p w14:paraId="6A809E3C" w14:textId="77777777" w:rsidR="00F962BE" w:rsidRPr="00A3130C" w:rsidRDefault="00F962BE">
            <w:pPr>
              <w:pStyle w:val="ARTabletext"/>
              <w:rPr>
                <w:rFonts w:eastAsia="Times"/>
              </w:rPr>
            </w:pPr>
            <w:r w:rsidRPr="00A3130C">
              <w:rPr>
                <w:rFonts w:eastAsia="Times"/>
              </w:rPr>
              <w:t>Youth Albury Wodonga Inc</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63435C6E" w14:textId="77777777" w:rsidR="00F962BE" w:rsidRPr="00A3130C" w:rsidRDefault="00F962BE">
            <w:pPr>
              <w:pStyle w:val="ARTabletext"/>
              <w:jc w:val="right"/>
              <w:rPr>
                <w:rFonts w:eastAsia="Times"/>
              </w:rPr>
            </w:pPr>
            <w:r w:rsidRPr="00A3130C">
              <w:rPr>
                <w:rFonts w:eastAsia="Times"/>
              </w:rPr>
              <w:t>40,000</w:t>
            </w:r>
          </w:p>
        </w:tc>
      </w:tr>
      <w:tr w:rsidR="00F962BE" w:rsidRPr="00A3130C" w14:paraId="2A1FFA6E" w14:textId="77777777" w:rsidTr="00735BAF">
        <w:trPr>
          <w:cnfStyle w:val="000000010000" w:firstRow="0" w:lastRow="0" w:firstColumn="0" w:lastColumn="0" w:oddVBand="0" w:evenVBand="0" w:oddHBand="0" w:evenHBand="1" w:firstRowFirstColumn="0" w:firstRowLastColumn="0" w:lastRowFirstColumn="0" w:lastRowLastColumn="0"/>
          <w:trHeight w:val="260"/>
        </w:trPr>
        <w:tc>
          <w:tcPr>
            <w:tcW w:w="4267" w:type="pct"/>
            <w:noWrap/>
            <w:hideMark/>
          </w:tcPr>
          <w:p w14:paraId="20CA49EB" w14:textId="77777777" w:rsidR="00F962BE" w:rsidRPr="00A3130C" w:rsidRDefault="00F962BE">
            <w:pPr>
              <w:pStyle w:val="ARTabletext"/>
              <w:rPr>
                <w:rFonts w:eastAsia="Times"/>
              </w:rPr>
            </w:pPr>
            <w:r w:rsidRPr="00A3130C">
              <w:rPr>
                <w:rFonts w:eastAsia="Times"/>
              </w:rPr>
              <w:t>Youth Projects Ltd</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B828B20" w14:textId="77777777" w:rsidR="00F962BE" w:rsidRPr="00A3130C" w:rsidRDefault="00F962BE">
            <w:pPr>
              <w:pStyle w:val="ARTabletext"/>
              <w:jc w:val="right"/>
              <w:rPr>
                <w:rFonts w:eastAsia="Times"/>
              </w:rPr>
            </w:pPr>
            <w:r w:rsidRPr="00A3130C">
              <w:rPr>
                <w:rFonts w:eastAsia="Times"/>
              </w:rPr>
              <w:t>98,666</w:t>
            </w:r>
          </w:p>
        </w:tc>
      </w:tr>
      <w:tr w:rsidR="00F962BE" w:rsidRPr="00A3130C" w14:paraId="2D24282D" w14:textId="77777777" w:rsidTr="00735BAF">
        <w:trPr>
          <w:cnfStyle w:val="010000000000" w:firstRow="0" w:lastRow="1" w:firstColumn="0" w:lastColumn="0" w:oddVBand="0" w:evenVBand="0" w:oddHBand="0" w:evenHBand="0" w:firstRowFirstColumn="0" w:firstRowLastColumn="0" w:lastRowFirstColumn="0" w:lastRowLastColumn="0"/>
          <w:trHeight w:val="260"/>
        </w:trPr>
        <w:tc>
          <w:tcPr>
            <w:tcW w:w="4267" w:type="pct"/>
            <w:noWrap/>
            <w:hideMark/>
          </w:tcPr>
          <w:p w14:paraId="27D72375" w14:textId="77777777" w:rsidR="00F962BE" w:rsidRPr="00A3130C" w:rsidRDefault="00F962BE">
            <w:pPr>
              <w:pStyle w:val="ARtabletextbold"/>
              <w:rPr>
                <w:rFonts w:eastAsia="Times"/>
              </w:rPr>
            </w:pPr>
            <w:r w:rsidRPr="00A3130C">
              <w:rPr>
                <w:rFonts w:eastAsia="Times"/>
              </w:rPr>
              <w:t>Total</w:t>
            </w:r>
          </w:p>
        </w:tc>
        <w:tc>
          <w:tcPr>
            <w:cnfStyle w:val="000001000000" w:firstRow="0" w:lastRow="0" w:firstColumn="0" w:lastColumn="0" w:oddVBand="0" w:evenVBand="1" w:oddHBand="0" w:evenHBand="0" w:firstRowFirstColumn="0" w:firstRowLastColumn="0" w:lastRowFirstColumn="0" w:lastRowLastColumn="0"/>
            <w:tcW w:w="733" w:type="pct"/>
            <w:noWrap/>
            <w:hideMark/>
          </w:tcPr>
          <w:p w14:paraId="0377FCA6" w14:textId="77777777" w:rsidR="00F962BE" w:rsidRPr="00A3130C" w:rsidRDefault="00F962BE">
            <w:pPr>
              <w:pStyle w:val="ARtabletextbold"/>
              <w:jc w:val="right"/>
              <w:rPr>
                <w:rFonts w:eastAsia="Times"/>
              </w:rPr>
            </w:pPr>
            <w:r w:rsidRPr="00A3130C">
              <w:rPr>
                <w:rFonts w:eastAsia="Times"/>
              </w:rPr>
              <w:t>24,030,666</w:t>
            </w:r>
          </w:p>
        </w:tc>
      </w:tr>
    </w:tbl>
    <w:p w14:paraId="18D2209E" w14:textId="77777777" w:rsidR="0059225E" w:rsidRDefault="0059225E" w:rsidP="00F962BE">
      <w:pPr>
        <w:pStyle w:val="ARBody"/>
        <w:sectPr w:rsidR="0059225E" w:rsidSect="00E7077C">
          <w:headerReference w:type="even" r:id="rId94"/>
          <w:headerReference w:type="default" r:id="rId95"/>
          <w:footerReference w:type="even" r:id="rId96"/>
          <w:footerReference w:type="default" r:id="rId97"/>
          <w:headerReference w:type="first" r:id="rId98"/>
          <w:type w:val="continuous"/>
          <w:pgSz w:w="11906" w:h="16838" w:code="9"/>
          <w:pgMar w:top="1588" w:right="1134" w:bottom="851" w:left="1134" w:header="680" w:footer="567" w:gutter="0"/>
          <w:cols w:space="340"/>
          <w:docGrid w:linePitch="360"/>
        </w:sectPr>
      </w:pPr>
    </w:p>
    <w:p w14:paraId="226841BA" w14:textId="1953AA5D" w:rsidR="00C71659" w:rsidRPr="00A24508" w:rsidRDefault="00C71659" w:rsidP="00C71659">
      <w:pPr>
        <w:pStyle w:val="Heading2"/>
        <w:spacing w:before="0"/>
      </w:pPr>
      <w:bookmarkStart w:id="325" w:name="_Appendix_4:_Additional"/>
      <w:bookmarkStart w:id="326" w:name="_Toc82006220"/>
      <w:bookmarkStart w:id="327" w:name="_Ref85113909"/>
      <w:bookmarkStart w:id="328" w:name="_Toc110778206"/>
      <w:bookmarkStart w:id="329" w:name="_Toc110855620"/>
      <w:bookmarkStart w:id="330" w:name="_Toc114491224"/>
      <w:bookmarkStart w:id="331" w:name="_Toc144218682"/>
      <w:bookmarkStart w:id="332" w:name="_Toc149587073"/>
      <w:bookmarkStart w:id="333" w:name="_Toc212039561"/>
      <w:bookmarkStart w:id="334" w:name="_Toc241131736"/>
      <w:bookmarkStart w:id="335" w:name="_Toc212039562"/>
      <w:bookmarkEnd w:id="325"/>
      <w:r w:rsidRPr="00B34DE6">
        <w:t xml:space="preserve">Appendix </w:t>
      </w:r>
      <w:r>
        <w:t>4</w:t>
      </w:r>
      <w:r w:rsidRPr="00B34DE6">
        <w:t xml:space="preserve">: </w:t>
      </w:r>
      <w:r w:rsidRPr="00A24508">
        <w:t>Additional departmental information available</w:t>
      </w:r>
      <w:r>
        <w:t> </w:t>
      </w:r>
      <w:r w:rsidRPr="00A24508">
        <w:t>on request</w:t>
      </w:r>
      <w:bookmarkEnd w:id="326"/>
      <w:bookmarkEnd w:id="327"/>
      <w:bookmarkEnd w:id="328"/>
      <w:bookmarkEnd w:id="329"/>
      <w:bookmarkEnd w:id="330"/>
      <w:bookmarkEnd w:id="331"/>
      <w:bookmarkEnd w:id="332"/>
      <w:bookmarkEnd w:id="333"/>
      <w:bookmarkEnd w:id="334"/>
    </w:p>
    <w:p w14:paraId="14AE4840" w14:textId="77777777" w:rsidR="00C71659" w:rsidRPr="00A24508" w:rsidRDefault="00C71659" w:rsidP="00C71659">
      <w:pPr>
        <w:pStyle w:val="ARbody0"/>
      </w:pPr>
      <w:bookmarkStart w:id="336" w:name="_Toc110855621"/>
      <w:bookmarkStart w:id="337" w:name="_Toc114491225"/>
      <w:bookmarkStart w:id="338" w:name="_Toc144218683"/>
      <w:bookmarkEnd w:id="336"/>
      <w:bookmarkEnd w:id="337"/>
      <w:bookmarkEnd w:id="338"/>
      <w:r w:rsidRPr="00A24508">
        <w:t xml:space="preserve">In compliance with the requirements of the Standing Directions 2018 under the </w:t>
      </w:r>
      <w:r w:rsidRPr="00C71659">
        <w:rPr>
          <w:rStyle w:val="Emphasis"/>
        </w:rPr>
        <w:t>Financial Management Act 1994</w:t>
      </w:r>
      <w:r w:rsidRPr="00A24508">
        <w:t xml:space="preserve">, details in respect of the items listed below have been retained by the department and are available on request, subject to the provisions of the </w:t>
      </w:r>
      <w:r w:rsidRPr="00C71659">
        <w:rPr>
          <w:rStyle w:val="Emphasis"/>
        </w:rPr>
        <w:t>Freedom of Information Act 1982</w:t>
      </w:r>
      <w:r w:rsidRPr="00A24508">
        <w:t>:</w:t>
      </w:r>
    </w:p>
    <w:p w14:paraId="7D168441" w14:textId="77777777" w:rsidR="00C71659" w:rsidRPr="00A24508" w:rsidRDefault="00C71659" w:rsidP="00C71659">
      <w:pPr>
        <w:pStyle w:val="ARbullet10"/>
        <w:numPr>
          <w:ilvl w:val="0"/>
          <w:numId w:val="30"/>
        </w:numPr>
      </w:pPr>
      <w:r w:rsidRPr="00A24508">
        <w:t>a statement that declarations of pecuniary interests have been duly completed by all relevant officers</w:t>
      </w:r>
    </w:p>
    <w:p w14:paraId="63DCBCFA" w14:textId="77777777" w:rsidR="00C71659" w:rsidRPr="00A24508" w:rsidRDefault="00C71659" w:rsidP="00C71659">
      <w:pPr>
        <w:pStyle w:val="ARbullet10"/>
        <w:numPr>
          <w:ilvl w:val="0"/>
          <w:numId w:val="30"/>
        </w:numPr>
      </w:pPr>
      <w:r w:rsidRPr="00A24508">
        <w:t>details of shares held by a senior officer as nominee or held beneficially in a statutory authority or subsidiary</w:t>
      </w:r>
    </w:p>
    <w:p w14:paraId="264ABD54" w14:textId="77777777" w:rsidR="00C71659" w:rsidRPr="00A24508" w:rsidRDefault="00C71659" w:rsidP="00C71659">
      <w:pPr>
        <w:pStyle w:val="ARbullet10"/>
        <w:numPr>
          <w:ilvl w:val="0"/>
          <w:numId w:val="30"/>
        </w:numPr>
      </w:pPr>
      <w:r w:rsidRPr="00A24508">
        <w:t>details of publications produced by the entity about itself, and how these can be obtained</w:t>
      </w:r>
    </w:p>
    <w:p w14:paraId="1C4E18AF" w14:textId="77777777" w:rsidR="00C71659" w:rsidRPr="00A24508" w:rsidRDefault="00C71659" w:rsidP="00C71659">
      <w:pPr>
        <w:pStyle w:val="ARbullet10"/>
        <w:numPr>
          <w:ilvl w:val="0"/>
          <w:numId w:val="30"/>
        </w:numPr>
      </w:pPr>
      <w:r w:rsidRPr="00A24508">
        <w:t>details of changes in prices, fees, charges, rates and levies charged by the entity</w:t>
      </w:r>
    </w:p>
    <w:p w14:paraId="7B15AAE4" w14:textId="77777777" w:rsidR="00C71659" w:rsidRPr="00A24508" w:rsidRDefault="00C71659" w:rsidP="00C71659">
      <w:pPr>
        <w:pStyle w:val="ARbullet10"/>
        <w:numPr>
          <w:ilvl w:val="0"/>
          <w:numId w:val="30"/>
        </w:numPr>
      </w:pPr>
      <w:r w:rsidRPr="00A24508">
        <w:t>details of any major external reviews carried out on the entity</w:t>
      </w:r>
    </w:p>
    <w:p w14:paraId="0949EB50" w14:textId="77777777" w:rsidR="00C71659" w:rsidRPr="00A24508" w:rsidRDefault="00C71659" w:rsidP="00C71659">
      <w:pPr>
        <w:pStyle w:val="ARbullet10"/>
        <w:numPr>
          <w:ilvl w:val="0"/>
          <w:numId w:val="30"/>
        </w:numPr>
      </w:pPr>
      <w:r w:rsidRPr="00A24508">
        <w:t>details of major research and development activities undertaken by the entity</w:t>
      </w:r>
    </w:p>
    <w:p w14:paraId="73D5008D" w14:textId="77777777" w:rsidR="00C71659" w:rsidRPr="00A24508" w:rsidRDefault="00C71659" w:rsidP="00C71659">
      <w:pPr>
        <w:pStyle w:val="ARbullet10"/>
        <w:numPr>
          <w:ilvl w:val="0"/>
          <w:numId w:val="30"/>
        </w:numPr>
      </w:pPr>
      <w:r w:rsidRPr="00A24508">
        <w:t>details of overseas visits undertaken including a summary of the objectives and outcomes of each visit</w:t>
      </w:r>
    </w:p>
    <w:p w14:paraId="4D830CAB" w14:textId="77777777" w:rsidR="00C71659" w:rsidRPr="00A24508" w:rsidRDefault="00C71659" w:rsidP="00C71659">
      <w:pPr>
        <w:pStyle w:val="ARbullet10"/>
        <w:numPr>
          <w:ilvl w:val="0"/>
          <w:numId w:val="30"/>
        </w:numPr>
      </w:pPr>
      <w:r w:rsidRPr="00A24508">
        <w:t>details of major promotional, public relations and marketing activities undertaken by the entity to develop community awareness of the entity and its services</w:t>
      </w:r>
    </w:p>
    <w:p w14:paraId="3789E83E" w14:textId="77777777" w:rsidR="00C71659" w:rsidRPr="00A24508" w:rsidRDefault="00C71659" w:rsidP="00C71659">
      <w:pPr>
        <w:pStyle w:val="ARbullet10"/>
        <w:numPr>
          <w:ilvl w:val="0"/>
          <w:numId w:val="30"/>
        </w:numPr>
      </w:pPr>
      <w:r w:rsidRPr="00A24508">
        <w:t>details of assessments and measures undertaken to improve the occupational health and safety of employees</w:t>
      </w:r>
    </w:p>
    <w:p w14:paraId="409F707C" w14:textId="77777777" w:rsidR="00C71659" w:rsidRPr="00A24508" w:rsidRDefault="00C71659" w:rsidP="00C71659">
      <w:pPr>
        <w:pStyle w:val="ARbullet10"/>
        <w:numPr>
          <w:ilvl w:val="0"/>
          <w:numId w:val="30"/>
        </w:numPr>
      </w:pPr>
      <w:r w:rsidRPr="00A24508">
        <w:t>a general statement on industrial relations within the entity and details of time lost through industrial accidents and disputes</w:t>
      </w:r>
    </w:p>
    <w:p w14:paraId="3FAB1658" w14:textId="77777777" w:rsidR="00C71659" w:rsidRPr="00A24508" w:rsidRDefault="00C71659" w:rsidP="00C71659">
      <w:pPr>
        <w:pStyle w:val="ARbullet10"/>
        <w:numPr>
          <w:ilvl w:val="0"/>
          <w:numId w:val="30"/>
        </w:numPr>
      </w:pPr>
      <w:r w:rsidRPr="00A24508">
        <w:t>a list of major committees sponsored by the entity, the purposes of each committee and the extent to which the purposes have been achieved</w:t>
      </w:r>
    </w:p>
    <w:p w14:paraId="21850AE2" w14:textId="77777777" w:rsidR="00C71659" w:rsidRPr="00A24508" w:rsidRDefault="00C71659" w:rsidP="00C71659">
      <w:pPr>
        <w:pStyle w:val="ARbullet10"/>
        <w:numPr>
          <w:ilvl w:val="0"/>
          <w:numId w:val="30"/>
        </w:numPr>
      </w:pPr>
      <w:r w:rsidRPr="00A24508">
        <w:t>details of all consultancies and contractors including consultants/contractors engaged; services provided; and expenditure committed to for each engagement.</w:t>
      </w:r>
    </w:p>
    <w:p w14:paraId="07FF3C93" w14:textId="77777777" w:rsidR="00C71659" w:rsidRPr="00A24508" w:rsidRDefault="00C71659" w:rsidP="00C71659">
      <w:pPr>
        <w:pStyle w:val="ARbodyafterbullets0"/>
      </w:pPr>
      <w:r w:rsidRPr="00A24508">
        <w:t>Requests for additional information may be made in writing to the following:</w:t>
      </w:r>
    </w:p>
    <w:p w14:paraId="65C376EB" w14:textId="77777777" w:rsidR="00C71659" w:rsidRPr="00A24508" w:rsidRDefault="00C71659" w:rsidP="00C71659">
      <w:pPr>
        <w:pStyle w:val="ARbody0"/>
      </w:pPr>
      <w:r w:rsidRPr="00A24508">
        <w:t>Executive Director, Organisational Strategy and Governance</w:t>
      </w:r>
      <w:r w:rsidRPr="00A24508">
        <w:br/>
        <w:t>GPO Box 1774 Melbourne Vic 3001</w:t>
      </w:r>
    </w:p>
    <w:p w14:paraId="16B5F2F6" w14:textId="77777777" w:rsidR="00C71659" w:rsidRPr="00DE5AC4" w:rsidRDefault="00C71659" w:rsidP="00C71659">
      <w:pPr>
        <w:pStyle w:val="ARbody0"/>
      </w:pPr>
      <w:r w:rsidRPr="00A24508">
        <w:t xml:space="preserve">Email </w:t>
      </w:r>
      <w:hyperlink r:id="rId99" w:history="1">
        <w:r w:rsidRPr="00A24508">
          <w:rPr>
            <w:rStyle w:val="Hyperlink"/>
          </w:rPr>
          <w:t>DFFHcorporate.reporting@dffh.vic.gov.au</w:t>
        </w:r>
      </w:hyperlink>
    </w:p>
    <w:p w14:paraId="5D911890" w14:textId="77777777" w:rsidR="00C71659" w:rsidRDefault="00C71659" w:rsidP="00C71659">
      <w:pPr>
        <w:pStyle w:val="Heading2"/>
        <w:spacing w:before="0"/>
        <w:sectPr w:rsidR="00C71659" w:rsidSect="00E7077C">
          <w:pgSz w:w="11906" w:h="16838" w:code="9"/>
          <w:pgMar w:top="1588" w:right="1134" w:bottom="851" w:left="1134" w:header="680" w:footer="567" w:gutter="0"/>
          <w:cols w:space="340"/>
          <w:docGrid w:linePitch="360"/>
        </w:sectPr>
      </w:pPr>
    </w:p>
    <w:p w14:paraId="6BADC897" w14:textId="5164618E" w:rsidR="00C71659" w:rsidRPr="00400275" w:rsidRDefault="00C71659" w:rsidP="00C71659">
      <w:pPr>
        <w:pStyle w:val="Heading2"/>
        <w:spacing w:before="0"/>
        <w:rPr>
          <w:highlight w:val="cyan"/>
        </w:rPr>
      </w:pPr>
      <w:bookmarkStart w:id="339" w:name="_Toc241131737"/>
      <w:r w:rsidRPr="00B34DE6">
        <w:t xml:space="preserve">Appendix </w:t>
      </w:r>
      <w:r>
        <w:t xml:space="preserve">5: </w:t>
      </w:r>
      <w:r w:rsidRPr="0093412F">
        <w:t>Disclosure index</w:t>
      </w:r>
      <w:bookmarkEnd w:id="335"/>
      <w:bookmarkEnd w:id="339"/>
    </w:p>
    <w:p w14:paraId="04F536A1" w14:textId="77777777" w:rsidR="00C71659" w:rsidRPr="0093412F" w:rsidRDefault="00C71659" w:rsidP="00C71659">
      <w:pPr>
        <w:pStyle w:val="ARbody0"/>
      </w:pPr>
      <w:r w:rsidRPr="0093412F">
        <w:t>The annual report of the Department of Families, Fairness and Housing is prepared in accordance with all relevant Victorian legislation. This index has been prepared to facilitate identification of the department’s compliance with statutory disclosure requirements (FRD 10).</w:t>
      </w:r>
    </w:p>
    <w:p w14:paraId="4E3D7602" w14:textId="77777777" w:rsidR="00C71659" w:rsidRDefault="00C71659" w:rsidP="00C71659">
      <w:pPr>
        <w:pStyle w:val="ARbody0"/>
      </w:pPr>
      <w:r w:rsidRPr="0093412F">
        <w:t>Click on the page number (Ctrl + click in Microsoft Word) to refer to the relevant requirements for the corresponding disclosure requirements, or alternatively, refer to the corresponding page references.</w:t>
      </w:r>
    </w:p>
    <w:p w14:paraId="26E51B6C" w14:textId="77777777" w:rsidR="00C71659" w:rsidRPr="0093412F" w:rsidRDefault="00C71659" w:rsidP="00C71659">
      <w:pPr>
        <w:pStyle w:val="Heading3"/>
      </w:pPr>
      <w:r w:rsidRPr="0093412F">
        <w:t>Report of operations</w:t>
      </w:r>
    </w:p>
    <w:tbl>
      <w:tblPr>
        <w:tblW w:w="9634" w:type="dxa"/>
        <w:tblBorders>
          <w:left w:val="single" w:sz="4" w:space="0" w:color="FFFFFF"/>
          <w:bottom w:val="single" w:sz="4" w:space="0" w:color="auto"/>
          <w:right w:val="single" w:sz="4" w:space="0" w:color="FFFFFF"/>
          <w:insideH w:val="single" w:sz="4" w:space="0" w:color="auto"/>
          <w:insideV w:val="single" w:sz="4" w:space="0" w:color="FFFFFF"/>
        </w:tblBorders>
        <w:tblLayout w:type="fixed"/>
        <w:tblCellMar>
          <w:left w:w="0" w:type="dxa"/>
        </w:tblCellMar>
        <w:tblLook w:val="06A0" w:firstRow="1" w:lastRow="0" w:firstColumn="1" w:lastColumn="0" w:noHBand="1" w:noVBand="1"/>
      </w:tblPr>
      <w:tblGrid>
        <w:gridCol w:w="1985"/>
        <w:gridCol w:w="6520"/>
        <w:gridCol w:w="1129"/>
      </w:tblGrid>
      <w:tr w:rsidR="00C71659" w:rsidRPr="00400275" w14:paraId="5E63F79E" w14:textId="77777777" w:rsidTr="001E4576">
        <w:trPr>
          <w:cantSplit/>
          <w:tblHeader/>
        </w:trPr>
        <w:tc>
          <w:tcPr>
            <w:tcW w:w="1985" w:type="dxa"/>
            <w:tcBorders>
              <w:top w:val="nil"/>
            </w:tcBorders>
            <w:vAlign w:val="bottom"/>
          </w:tcPr>
          <w:p w14:paraId="3E59B8E7" w14:textId="77777777" w:rsidR="00C71659" w:rsidRPr="00BC5BD3" w:rsidRDefault="00C71659">
            <w:pPr>
              <w:pStyle w:val="ARtablecolhead"/>
              <w:spacing w:before="60" w:after="40"/>
            </w:pPr>
            <w:r w:rsidRPr="00BC5BD3">
              <w:t>Legislation</w:t>
            </w:r>
          </w:p>
        </w:tc>
        <w:tc>
          <w:tcPr>
            <w:tcW w:w="6520" w:type="dxa"/>
            <w:tcBorders>
              <w:top w:val="nil"/>
            </w:tcBorders>
            <w:vAlign w:val="bottom"/>
          </w:tcPr>
          <w:p w14:paraId="13175860" w14:textId="77777777" w:rsidR="00C71659" w:rsidRPr="00BC5BD3" w:rsidRDefault="00C71659">
            <w:pPr>
              <w:pStyle w:val="ARtablecolhead"/>
              <w:spacing w:before="60" w:after="40"/>
            </w:pPr>
            <w:r w:rsidRPr="00BC5BD3">
              <w:t>Requirement</w:t>
            </w:r>
          </w:p>
        </w:tc>
        <w:tc>
          <w:tcPr>
            <w:tcW w:w="1129" w:type="dxa"/>
            <w:tcBorders>
              <w:top w:val="nil"/>
            </w:tcBorders>
            <w:tcMar>
              <w:right w:w="0" w:type="dxa"/>
            </w:tcMar>
            <w:vAlign w:val="bottom"/>
          </w:tcPr>
          <w:p w14:paraId="01A62848" w14:textId="77777777" w:rsidR="00C71659" w:rsidRPr="00BC5BD3" w:rsidRDefault="00C71659">
            <w:pPr>
              <w:pStyle w:val="ARtablecolheadright"/>
              <w:spacing w:before="60" w:after="40"/>
            </w:pPr>
            <w:r w:rsidRPr="00BC5BD3">
              <w:t>Page reference</w:t>
            </w:r>
          </w:p>
        </w:tc>
      </w:tr>
      <w:tr w:rsidR="00C71659" w:rsidRPr="00F03694" w14:paraId="28071E10" w14:textId="77777777" w:rsidTr="001E4576">
        <w:trPr>
          <w:cantSplit/>
        </w:trPr>
        <w:tc>
          <w:tcPr>
            <w:tcW w:w="8505" w:type="dxa"/>
            <w:gridSpan w:val="2"/>
            <w:tcBorders>
              <w:bottom w:val="nil"/>
            </w:tcBorders>
          </w:tcPr>
          <w:p w14:paraId="3C1F61B6" w14:textId="77777777" w:rsidR="00C71659" w:rsidRPr="00F03694" w:rsidRDefault="00C71659">
            <w:pPr>
              <w:pStyle w:val="ARtabletextbold"/>
              <w:spacing w:before="60" w:after="40"/>
            </w:pPr>
            <w:r w:rsidRPr="00F03694">
              <w:t>Charter and purpose</w:t>
            </w:r>
          </w:p>
        </w:tc>
        <w:tc>
          <w:tcPr>
            <w:tcW w:w="1129" w:type="dxa"/>
            <w:tcBorders>
              <w:bottom w:val="nil"/>
            </w:tcBorders>
            <w:tcMar>
              <w:right w:w="0" w:type="dxa"/>
            </w:tcMar>
          </w:tcPr>
          <w:p w14:paraId="1AF444FB" w14:textId="77777777" w:rsidR="00C71659" w:rsidRPr="00F03694" w:rsidRDefault="00C71659">
            <w:pPr>
              <w:pStyle w:val="ARtabletextright"/>
              <w:spacing w:before="60" w:after="40"/>
            </w:pPr>
          </w:p>
        </w:tc>
      </w:tr>
      <w:tr w:rsidR="00C71659" w:rsidRPr="000F269C" w14:paraId="298C4DC3" w14:textId="77777777" w:rsidTr="001E4576">
        <w:trPr>
          <w:cantSplit/>
        </w:trPr>
        <w:tc>
          <w:tcPr>
            <w:tcW w:w="1985" w:type="dxa"/>
            <w:tcBorders>
              <w:top w:val="nil"/>
            </w:tcBorders>
          </w:tcPr>
          <w:p w14:paraId="34190D3A" w14:textId="77777777" w:rsidR="00C71659" w:rsidRPr="00F03694" w:rsidRDefault="00C71659">
            <w:pPr>
              <w:pStyle w:val="ARtabletext0"/>
              <w:spacing w:before="60" w:after="40"/>
            </w:pPr>
            <w:r w:rsidRPr="00F03694">
              <w:t>FRD 22</w:t>
            </w:r>
          </w:p>
        </w:tc>
        <w:tc>
          <w:tcPr>
            <w:tcW w:w="6520" w:type="dxa"/>
            <w:tcBorders>
              <w:top w:val="nil"/>
            </w:tcBorders>
          </w:tcPr>
          <w:p w14:paraId="401D3380" w14:textId="77777777" w:rsidR="00C71659" w:rsidRPr="000F269C" w:rsidRDefault="00C71659">
            <w:pPr>
              <w:pStyle w:val="ARtabletext0"/>
              <w:spacing w:before="60" w:after="40"/>
            </w:pPr>
            <w:r w:rsidRPr="000F269C">
              <w:t>Manner of establishment and the relevant ministers</w:t>
            </w:r>
          </w:p>
        </w:tc>
        <w:tc>
          <w:tcPr>
            <w:tcW w:w="1129" w:type="dxa"/>
            <w:tcBorders>
              <w:top w:val="nil"/>
            </w:tcBorders>
            <w:tcMar>
              <w:right w:w="0" w:type="dxa"/>
            </w:tcMar>
          </w:tcPr>
          <w:p w14:paraId="3B4D8FA4" w14:textId="1BD218F3" w:rsidR="00C71659" w:rsidRPr="000F269C" w:rsidRDefault="001B74E9">
            <w:pPr>
              <w:pStyle w:val="ARtabletextright"/>
              <w:spacing w:before="60" w:after="40"/>
            </w:pPr>
            <w:hyperlink w:anchor="_The_department’s_ministers" w:history="1">
              <w:r w:rsidRPr="000F269C">
                <w:rPr>
                  <w:rStyle w:val="Hyperlink"/>
                </w:rPr>
                <w:t>18–19</w:t>
              </w:r>
            </w:hyperlink>
          </w:p>
        </w:tc>
      </w:tr>
      <w:tr w:rsidR="00C71659" w:rsidRPr="000F269C" w14:paraId="5F28982C" w14:textId="77777777" w:rsidTr="001E4576">
        <w:trPr>
          <w:cantSplit/>
        </w:trPr>
        <w:tc>
          <w:tcPr>
            <w:tcW w:w="1985" w:type="dxa"/>
          </w:tcPr>
          <w:p w14:paraId="068FFAC0" w14:textId="77777777" w:rsidR="00C71659" w:rsidRPr="00F03694" w:rsidRDefault="00C71659">
            <w:pPr>
              <w:pStyle w:val="ARtabletext0"/>
              <w:spacing w:before="60" w:after="40"/>
            </w:pPr>
            <w:r w:rsidRPr="00F03694">
              <w:t>FRD 22</w:t>
            </w:r>
          </w:p>
        </w:tc>
        <w:tc>
          <w:tcPr>
            <w:tcW w:w="6520" w:type="dxa"/>
          </w:tcPr>
          <w:p w14:paraId="5C93411C" w14:textId="77777777" w:rsidR="00C71659" w:rsidRPr="000F269C" w:rsidRDefault="00C71659">
            <w:pPr>
              <w:pStyle w:val="ARtabletext0"/>
              <w:spacing w:before="60" w:after="40"/>
            </w:pPr>
            <w:r w:rsidRPr="000F269C">
              <w:t>Purpose, functions, powers and duties</w:t>
            </w:r>
          </w:p>
        </w:tc>
        <w:tc>
          <w:tcPr>
            <w:tcW w:w="1129" w:type="dxa"/>
            <w:tcMar>
              <w:right w:w="0" w:type="dxa"/>
            </w:tcMar>
          </w:tcPr>
          <w:p w14:paraId="1835B334" w14:textId="53CB0DFA" w:rsidR="00C71659" w:rsidRPr="000F269C" w:rsidRDefault="001B74E9">
            <w:pPr>
              <w:pStyle w:val="ARtabletextright"/>
              <w:spacing w:before="60" w:after="40"/>
            </w:pPr>
            <w:hyperlink w:anchor="_Purpose_and_functions" w:history="1">
              <w:r w:rsidRPr="000F269C">
                <w:rPr>
                  <w:rStyle w:val="Hyperlink"/>
                </w:rPr>
                <w:t>12–17</w:t>
              </w:r>
            </w:hyperlink>
          </w:p>
        </w:tc>
      </w:tr>
      <w:tr w:rsidR="00C71659" w:rsidRPr="000F269C" w14:paraId="48852C22" w14:textId="77777777" w:rsidTr="001E4576">
        <w:trPr>
          <w:cantSplit/>
        </w:trPr>
        <w:tc>
          <w:tcPr>
            <w:tcW w:w="1985" w:type="dxa"/>
          </w:tcPr>
          <w:p w14:paraId="3362B85C" w14:textId="77777777" w:rsidR="00C71659" w:rsidRPr="00F03694" w:rsidRDefault="00C71659">
            <w:pPr>
              <w:pStyle w:val="ARtabletext0"/>
              <w:spacing w:before="60" w:after="40"/>
            </w:pPr>
            <w:r w:rsidRPr="00F03694">
              <w:t>FRD 8</w:t>
            </w:r>
          </w:p>
        </w:tc>
        <w:tc>
          <w:tcPr>
            <w:tcW w:w="6520" w:type="dxa"/>
          </w:tcPr>
          <w:p w14:paraId="6D477C3C" w14:textId="77777777" w:rsidR="00C71659" w:rsidRPr="000F269C" w:rsidRDefault="00C71659">
            <w:pPr>
              <w:pStyle w:val="ARtabletext0"/>
              <w:spacing w:before="60" w:after="40"/>
            </w:pPr>
            <w:r w:rsidRPr="000F269C">
              <w:t>Departmental objectives, indicators and outputs</w:t>
            </w:r>
          </w:p>
        </w:tc>
        <w:tc>
          <w:tcPr>
            <w:tcW w:w="1129" w:type="dxa"/>
            <w:tcMar>
              <w:right w:w="0" w:type="dxa"/>
            </w:tcMar>
          </w:tcPr>
          <w:p w14:paraId="6A75E954" w14:textId="66F56831" w:rsidR="00C71659" w:rsidRPr="000F269C" w:rsidRDefault="00745C31">
            <w:pPr>
              <w:pStyle w:val="ARtabletextright"/>
              <w:spacing w:before="60" w:after="40"/>
            </w:pPr>
            <w:hyperlink w:anchor="_Departmental_objectives,_indicators" w:history="1">
              <w:r w:rsidRPr="000F269C">
                <w:rPr>
                  <w:rStyle w:val="Hyperlink"/>
                </w:rPr>
                <w:t>28–29</w:t>
              </w:r>
            </w:hyperlink>
          </w:p>
        </w:tc>
      </w:tr>
      <w:tr w:rsidR="00C71659" w:rsidRPr="000F269C" w14:paraId="20721B2B" w14:textId="77777777" w:rsidTr="001E4576">
        <w:trPr>
          <w:cantSplit/>
        </w:trPr>
        <w:tc>
          <w:tcPr>
            <w:tcW w:w="1985" w:type="dxa"/>
            <w:tcBorders>
              <w:top w:val="nil"/>
            </w:tcBorders>
          </w:tcPr>
          <w:p w14:paraId="37FAEE6B" w14:textId="77777777" w:rsidR="00C71659" w:rsidRPr="00F03694" w:rsidRDefault="00C71659">
            <w:pPr>
              <w:pStyle w:val="ARtabletext0"/>
              <w:spacing w:before="60" w:after="40"/>
            </w:pPr>
            <w:r w:rsidRPr="00F03694">
              <w:t>FRD 22</w:t>
            </w:r>
          </w:p>
        </w:tc>
        <w:tc>
          <w:tcPr>
            <w:tcW w:w="6520" w:type="dxa"/>
            <w:tcBorders>
              <w:top w:val="nil"/>
            </w:tcBorders>
          </w:tcPr>
          <w:p w14:paraId="30993F16" w14:textId="77777777" w:rsidR="00C71659" w:rsidRPr="000F269C" w:rsidRDefault="00C71659">
            <w:pPr>
              <w:pStyle w:val="ARtabletext0"/>
              <w:spacing w:before="60" w:after="40"/>
            </w:pPr>
            <w:r w:rsidRPr="000F269C">
              <w:t>Key initiatives and projects</w:t>
            </w:r>
          </w:p>
        </w:tc>
        <w:tc>
          <w:tcPr>
            <w:tcW w:w="1129" w:type="dxa"/>
            <w:tcBorders>
              <w:top w:val="nil"/>
            </w:tcBorders>
            <w:tcMar>
              <w:right w:w="0" w:type="dxa"/>
            </w:tcMar>
          </w:tcPr>
          <w:p w14:paraId="0215FC06" w14:textId="0A071391" w:rsidR="00C71659" w:rsidRPr="000F269C" w:rsidRDefault="00745C31">
            <w:pPr>
              <w:pStyle w:val="ARtabletextright"/>
              <w:spacing w:before="60" w:after="40"/>
            </w:pPr>
            <w:hyperlink w:anchor="_Objective:_Children,_young" w:history="1">
              <w:r w:rsidRPr="000F269C">
                <w:rPr>
                  <w:rStyle w:val="Hyperlink"/>
                </w:rPr>
                <w:t>30–62</w:t>
              </w:r>
            </w:hyperlink>
          </w:p>
        </w:tc>
      </w:tr>
      <w:tr w:rsidR="00C71659" w:rsidRPr="000F269C" w14:paraId="7226D9A0" w14:textId="77777777" w:rsidTr="001E4576">
        <w:trPr>
          <w:cantSplit/>
        </w:trPr>
        <w:tc>
          <w:tcPr>
            <w:tcW w:w="1985" w:type="dxa"/>
            <w:tcBorders>
              <w:top w:val="nil"/>
            </w:tcBorders>
          </w:tcPr>
          <w:p w14:paraId="548901CF" w14:textId="77777777" w:rsidR="00C71659" w:rsidRPr="00F03694" w:rsidRDefault="00C71659">
            <w:pPr>
              <w:pStyle w:val="ARtabletext0"/>
              <w:spacing w:before="60" w:after="40"/>
            </w:pPr>
            <w:r w:rsidRPr="00F03694">
              <w:t>FRD 22</w:t>
            </w:r>
          </w:p>
        </w:tc>
        <w:tc>
          <w:tcPr>
            <w:tcW w:w="6520" w:type="dxa"/>
            <w:tcBorders>
              <w:top w:val="nil"/>
            </w:tcBorders>
          </w:tcPr>
          <w:p w14:paraId="27175418" w14:textId="77777777" w:rsidR="00C71659" w:rsidRPr="000F269C" w:rsidRDefault="00C71659">
            <w:pPr>
              <w:pStyle w:val="ARtabletext0"/>
              <w:spacing w:before="60" w:after="40"/>
            </w:pPr>
            <w:r w:rsidRPr="000F269C">
              <w:t>Nature and range of services provided</w:t>
            </w:r>
          </w:p>
        </w:tc>
        <w:tc>
          <w:tcPr>
            <w:tcW w:w="1129" w:type="dxa"/>
            <w:tcBorders>
              <w:top w:val="nil"/>
            </w:tcBorders>
            <w:tcMar>
              <w:right w:w="0" w:type="dxa"/>
            </w:tcMar>
          </w:tcPr>
          <w:p w14:paraId="4501D3CB" w14:textId="15D6ABC6" w:rsidR="00C71659" w:rsidRPr="000F269C" w:rsidRDefault="001B74E9">
            <w:pPr>
              <w:pStyle w:val="ARtabletextright"/>
              <w:spacing w:before="60" w:after="40"/>
            </w:pPr>
            <w:hyperlink w:anchor="_Purpose_and_functions" w:history="1">
              <w:r w:rsidRPr="000F269C">
                <w:rPr>
                  <w:rStyle w:val="Hyperlink"/>
                </w:rPr>
                <w:t>12–17</w:t>
              </w:r>
            </w:hyperlink>
          </w:p>
        </w:tc>
      </w:tr>
      <w:tr w:rsidR="00C71659" w:rsidRPr="000F269C" w14:paraId="29626663" w14:textId="77777777" w:rsidTr="001E4576">
        <w:trPr>
          <w:cantSplit/>
        </w:trPr>
        <w:tc>
          <w:tcPr>
            <w:tcW w:w="9634" w:type="dxa"/>
            <w:gridSpan w:val="3"/>
            <w:tcBorders>
              <w:bottom w:val="nil"/>
            </w:tcBorders>
            <w:tcMar>
              <w:right w:w="0" w:type="dxa"/>
            </w:tcMar>
          </w:tcPr>
          <w:p w14:paraId="5777C8E2" w14:textId="77777777" w:rsidR="00C71659" w:rsidRPr="000F269C" w:rsidRDefault="00C71659">
            <w:pPr>
              <w:pStyle w:val="ARtabletextbold"/>
              <w:spacing w:before="60" w:after="40"/>
            </w:pPr>
            <w:r w:rsidRPr="000F269C">
              <w:t>Management and structure</w:t>
            </w:r>
          </w:p>
        </w:tc>
      </w:tr>
      <w:tr w:rsidR="00C71659" w:rsidRPr="000F269C" w14:paraId="46E6F32F" w14:textId="77777777" w:rsidTr="001E4576">
        <w:trPr>
          <w:cantSplit/>
        </w:trPr>
        <w:tc>
          <w:tcPr>
            <w:tcW w:w="1985" w:type="dxa"/>
            <w:tcBorders>
              <w:top w:val="nil"/>
            </w:tcBorders>
          </w:tcPr>
          <w:p w14:paraId="3EFEA71A" w14:textId="77777777" w:rsidR="00C71659" w:rsidRPr="00F03694" w:rsidRDefault="00C71659">
            <w:pPr>
              <w:pStyle w:val="ARtabletext0"/>
              <w:spacing w:before="60" w:after="40"/>
            </w:pPr>
            <w:r w:rsidRPr="00F03694">
              <w:t>FRD 22</w:t>
            </w:r>
          </w:p>
        </w:tc>
        <w:tc>
          <w:tcPr>
            <w:tcW w:w="6520" w:type="dxa"/>
            <w:tcBorders>
              <w:top w:val="nil"/>
            </w:tcBorders>
          </w:tcPr>
          <w:p w14:paraId="4A5D60B1" w14:textId="77777777" w:rsidR="00C71659" w:rsidRPr="000F269C" w:rsidRDefault="00C71659">
            <w:pPr>
              <w:pStyle w:val="ARtabletext0"/>
              <w:spacing w:before="60" w:after="40"/>
            </w:pPr>
            <w:r w:rsidRPr="000F269C">
              <w:t>Organisational structure</w:t>
            </w:r>
          </w:p>
        </w:tc>
        <w:tc>
          <w:tcPr>
            <w:tcW w:w="1129" w:type="dxa"/>
            <w:tcBorders>
              <w:top w:val="nil"/>
            </w:tcBorders>
            <w:tcMar>
              <w:right w:w="0" w:type="dxa"/>
            </w:tcMar>
          </w:tcPr>
          <w:p w14:paraId="7B5354BE" w14:textId="4710CE66" w:rsidR="00C71659" w:rsidRPr="000F269C" w:rsidRDefault="001B74E9">
            <w:pPr>
              <w:pStyle w:val="ARtabletextright"/>
              <w:spacing w:before="60" w:after="40"/>
            </w:pPr>
            <w:hyperlink w:anchor="_Organisational_structure_as" w:history="1">
              <w:r w:rsidRPr="000F269C">
                <w:rPr>
                  <w:rStyle w:val="Hyperlink"/>
                </w:rPr>
                <w:t>24–25</w:t>
              </w:r>
            </w:hyperlink>
          </w:p>
        </w:tc>
      </w:tr>
      <w:tr w:rsidR="00C71659" w:rsidRPr="000F269C" w14:paraId="6192A3EF" w14:textId="77777777" w:rsidTr="001E4576">
        <w:trPr>
          <w:cantSplit/>
          <w:trHeight w:val="70"/>
        </w:trPr>
        <w:tc>
          <w:tcPr>
            <w:tcW w:w="9634" w:type="dxa"/>
            <w:gridSpan w:val="3"/>
            <w:tcBorders>
              <w:bottom w:val="nil"/>
            </w:tcBorders>
            <w:tcMar>
              <w:right w:w="0" w:type="dxa"/>
            </w:tcMar>
          </w:tcPr>
          <w:p w14:paraId="250C3D26" w14:textId="77777777" w:rsidR="00C71659" w:rsidRPr="000F269C" w:rsidRDefault="00C71659">
            <w:pPr>
              <w:pStyle w:val="ARtabletextbold"/>
              <w:spacing w:before="60" w:after="40"/>
            </w:pPr>
            <w:r w:rsidRPr="000F269C">
              <w:t>Financial and other information</w:t>
            </w:r>
          </w:p>
        </w:tc>
      </w:tr>
      <w:tr w:rsidR="00C71659" w:rsidRPr="000F269C" w14:paraId="68CC911E" w14:textId="77777777" w:rsidTr="001E4576">
        <w:trPr>
          <w:cantSplit/>
        </w:trPr>
        <w:tc>
          <w:tcPr>
            <w:tcW w:w="1985" w:type="dxa"/>
            <w:tcBorders>
              <w:top w:val="nil"/>
            </w:tcBorders>
          </w:tcPr>
          <w:p w14:paraId="51A7EC74" w14:textId="77777777" w:rsidR="00C71659" w:rsidRPr="00F03694" w:rsidRDefault="00C71659">
            <w:pPr>
              <w:pStyle w:val="ARtabletext0"/>
              <w:spacing w:before="60" w:after="40"/>
            </w:pPr>
            <w:r w:rsidRPr="00F03694">
              <w:t>FRD 8</w:t>
            </w:r>
          </w:p>
        </w:tc>
        <w:tc>
          <w:tcPr>
            <w:tcW w:w="6520" w:type="dxa"/>
            <w:tcBorders>
              <w:top w:val="nil"/>
            </w:tcBorders>
          </w:tcPr>
          <w:p w14:paraId="3226F5CF" w14:textId="77777777" w:rsidR="00C71659" w:rsidRPr="000F269C" w:rsidRDefault="00C71659">
            <w:pPr>
              <w:pStyle w:val="ARtabletext0"/>
              <w:spacing w:before="60" w:after="40"/>
            </w:pPr>
            <w:r w:rsidRPr="000F269C">
              <w:t>Performance against output performance measures</w:t>
            </w:r>
          </w:p>
        </w:tc>
        <w:tc>
          <w:tcPr>
            <w:tcW w:w="1129" w:type="dxa"/>
            <w:tcBorders>
              <w:top w:val="nil"/>
            </w:tcBorders>
            <w:tcMar>
              <w:right w:w="0" w:type="dxa"/>
            </w:tcMar>
          </w:tcPr>
          <w:p w14:paraId="1BB0CD9C" w14:textId="118B7BBF" w:rsidR="00C71659" w:rsidRPr="000F269C" w:rsidRDefault="00F5238F">
            <w:pPr>
              <w:pStyle w:val="ARtabletextright"/>
              <w:spacing w:before="60" w:after="40"/>
            </w:pPr>
            <w:hyperlink w:anchor="_Performance_against_output_1" w:history="1">
              <w:r w:rsidRPr="000F269C">
                <w:rPr>
                  <w:rStyle w:val="Hyperlink"/>
                </w:rPr>
                <w:t>63–79</w:t>
              </w:r>
            </w:hyperlink>
          </w:p>
        </w:tc>
      </w:tr>
      <w:tr w:rsidR="00C71659" w:rsidRPr="000F269C" w14:paraId="232A6B48" w14:textId="77777777" w:rsidTr="001E4576">
        <w:trPr>
          <w:cantSplit/>
        </w:trPr>
        <w:tc>
          <w:tcPr>
            <w:tcW w:w="1985" w:type="dxa"/>
          </w:tcPr>
          <w:p w14:paraId="0AE815A0" w14:textId="77777777" w:rsidR="00C71659" w:rsidRPr="00F03694" w:rsidRDefault="00C71659">
            <w:pPr>
              <w:pStyle w:val="ARtabletext0"/>
              <w:spacing w:before="60" w:after="40"/>
            </w:pPr>
            <w:r w:rsidRPr="00F03694">
              <w:t>FRD 8</w:t>
            </w:r>
          </w:p>
        </w:tc>
        <w:tc>
          <w:tcPr>
            <w:tcW w:w="6520" w:type="dxa"/>
          </w:tcPr>
          <w:p w14:paraId="049259EB" w14:textId="77777777" w:rsidR="00C71659" w:rsidRPr="000F269C" w:rsidRDefault="00C71659">
            <w:pPr>
              <w:pStyle w:val="ARtabletext0"/>
              <w:spacing w:before="60" w:after="40"/>
            </w:pPr>
            <w:r w:rsidRPr="000F269C">
              <w:t>Budget portfolio outcomes</w:t>
            </w:r>
          </w:p>
        </w:tc>
        <w:tc>
          <w:tcPr>
            <w:tcW w:w="1129" w:type="dxa"/>
            <w:tcMar>
              <w:right w:w="0" w:type="dxa"/>
            </w:tcMar>
          </w:tcPr>
          <w:p w14:paraId="7D904816" w14:textId="39E667AF" w:rsidR="00C71659" w:rsidRPr="000F269C" w:rsidRDefault="00745C31">
            <w:pPr>
              <w:pStyle w:val="ARtabletextright"/>
              <w:spacing w:before="60" w:after="40"/>
            </w:pPr>
            <w:hyperlink w:anchor="_Budget_portfolio_outcomes" w:history="1">
              <w:r w:rsidRPr="000F269C">
                <w:rPr>
                  <w:rStyle w:val="Hyperlink"/>
                </w:rPr>
                <w:t>81</w:t>
              </w:r>
            </w:hyperlink>
          </w:p>
        </w:tc>
      </w:tr>
      <w:tr w:rsidR="00C71659" w:rsidRPr="000F269C" w14:paraId="25392C9C" w14:textId="77777777" w:rsidTr="001E4576">
        <w:trPr>
          <w:cantSplit/>
        </w:trPr>
        <w:tc>
          <w:tcPr>
            <w:tcW w:w="1985" w:type="dxa"/>
          </w:tcPr>
          <w:p w14:paraId="2D62633A" w14:textId="77777777" w:rsidR="00C71659" w:rsidRPr="00F03694" w:rsidRDefault="00C71659">
            <w:pPr>
              <w:pStyle w:val="ARtabletext0"/>
              <w:spacing w:before="60" w:after="40"/>
            </w:pPr>
            <w:r w:rsidRPr="00F03694">
              <w:t>FRD 10</w:t>
            </w:r>
          </w:p>
        </w:tc>
        <w:tc>
          <w:tcPr>
            <w:tcW w:w="6520" w:type="dxa"/>
          </w:tcPr>
          <w:p w14:paraId="32857925" w14:textId="77777777" w:rsidR="00C71659" w:rsidRPr="000F269C" w:rsidRDefault="00C71659">
            <w:pPr>
              <w:pStyle w:val="ARtabletext0"/>
              <w:spacing w:before="60" w:after="40"/>
            </w:pPr>
            <w:r w:rsidRPr="000F269C">
              <w:t>Disclosure index</w:t>
            </w:r>
          </w:p>
        </w:tc>
        <w:tc>
          <w:tcPr>
            <w:tcW w:w="1129" w:type="dxa"/>
            <w:tcMar>
              <w:right w:w="0" w:type="dxa"/>
            </w:tcMar>
          </w:tcPr>
          <w:p w14:paraId="45854873" w14:textId="77777777" w:rsidR="00C71659" w:rsidRPr="000F269C" w:rsidRDefault="00C71659">
            <w:pPr>
              <w:pStyle w:val="ARtabletextright"/>
              <w:spacing w:before="60" w:after="40"/>
            </w:pPr>
            <w:r w:rsidRPr="000F269C">
              <w:t>This page</w:t>
            </w:r>
          </w:p>
        </w:tc>
      </w:tr>
      <w:tr w:rsidR="00C71659" w:rsidRPr="000F269C" w14:paraId="7DFB35ED" w14:textId="77777777" w:rsidTr="001E4576">
        <w:trPr>
          <w:cantSplit/>
        </w:trPr>
        <w:tc>
          <w:tcPr>
            <w:tcW w:w="1985" w:type="dxa"/>
          </w:tcPr>
          <w:p w14:paraId="1D71256E" w14:textId="77777777" w:rsidR="00C71659" w:rsidRPr="00F03694" w:rsidRDefault="00C71659">
            <w:pPr>
              <w:pStyle w:val="ARtabletext0"/>
              <w:spacing w:before="60" w:after="40"/>
            </w:pPr>
            <w:r w:rsidRPr="00F03694">
              <w:t>FRD 12</w:t>
            </w:r>
          </w:p>
        </w:tc>
        <w:tc>
          <w:tcPr>
            <w:tcW w:w="6520" w:type="dxa"/>
          </w:tcPr>
          <w:p w14:paraId="18B5AEC0" w14:textId="77777777" w:rsidR="00C71659" w:rsidRPr="000F269C" w:rsidRDefault="00C71659">
            <w:pPr>
              <w:pStyle w:val="ARtabletext0"/>
              <w:spacing w:before="60" w:after="40"/>
            </w:pPr>
            <w:r w:rsidRPr="000F269C">
              <w:t>Disclosure of major contracts</w:t>
            </w:r>
          </w:p>
        </w:tc>
        <w:tc>
          <w:tcPr>
            <w:tcW w:w="1129" w:type="dxa"/>
            <w:tcMar>
              <w:right w:w="0" w:type="dxa"/>
            </w:tcMar>
          </w:tcPr>
          <w:p w14:paraId="0CFDC1A9" w14:textId="508DD02B" w:rsidR="00C71659" w:rsidRPr="000F269C" w:rsidRDefault="00502BB4">
            <w:pPr>
              <w:pStyle w:val="ARtabletextright"/>
              <w:spacing w:before="60" w:after="40"/>
            </w:pPr>
            <w:hyperlink w:anchor="_Disclosure_of_major" w:history="1">
              <w:r w:rsidRPr="000F269C">
                <w:rPr>
                  <w:rStyle w:val="Hyperlink"/>
                </w:rPr>
                <w:t>128</w:t>
              </w:r>
            </w:hyperlink>
          </w:p>
        </w:tc>
      </w:tr>
      <w:tr w:rsidR="00C71659" w:rsidRPr="000F269C" w14:paraId="04DC7A94" w14:textId="77777777" w:rsidTr="001E4576">
        <w:trPr>
          <w:cantSplit/>
        </w:trPr>
        <w:tc>
          <w:tcPr>
            <w:tcW w:w="1985" w:type="dxa"/>
          </w:tcPr>
          <w:p w14:paraId="2950B485" w14:textId="77777777" w:rsidR="00C71659" w:rsidRPr="00F03694" w:rsidRDefault="00C71659">
            <w:pPr>
              <w:pStyle w:val="ARtabletext0"/>
              <w:spacing w:before="60" w:after="40"/>
            </w:pPr>
            <w:r w:rsidRPr="00F03694">
              <w:t>FRD 15</w:t>
            </w:r>
          </w:p>
        </w:tc>
        <w:tc>
          <w:tcPr>
            <w:tcW w:w="6520" w:type="dxa"/>
          </w:tcPr>
          <w:p w14:paraId="182A09B1" w14:textId="77777777" w:rsidR="00C71659" w:rsidRPr="000F269C" w:rsidRDefault="00C71659">
            <w:pPr>
              <w:pStyle w:val="ARtabletext0"/>
              <w:spacing w:before="60" w:after="40"/>
            </w:pPr>
            <w:r w:rsidRPr="000F269C">
              <w:t>Executive officer disclosures</w:t>
            </w:r>
          </w:p>
        </w:tc>
        <w:tc>
          <w:tcPr>
            <w:tcW w:w="1129" w:type="dxa"/>
            <w:tcMar>
              <w:right w:w="0" w:type="dxa"/>
            </w:tcMar>
          </w:tcPr>
          <w:p w14:paraId="1FC287B2" w14:textId="5B204F10" w:rsidR="00C71659" w:rsidRPr="000F269C" w:rsidRDefault="00502BB4">
            <w:pPr>
              <w:pStyle w:val="ARtabletextright"/>
              <w:spacing w:before="60" w:after="40"/>
            </w:pPr>
            <w:hyperlink w:anchor="Executivedata" w:history="1">
              <w:r w:rsidRPr="000F269C">
                <w:rPr>
                  <w:rStyle w:val="Hyperlink"/>
                </w:rPr>
                <w:t>97–98</w:t>
              </w:r>
            </w:hyperlink>
          </w:p>
        </w:tc>
      </w:tr>
      <w:tr w:rsidR="00C71659" w:rsidRPr="000F269C" w14:paraId="73509119" w14:textId="77777777" w:rsidTr="001E4576">
        <w:trPr>
          <w:cantSplit/>
        </w:trPr>
        <w:tc>
          <w:tcPr>
            <w:tcW w:w="1985" w:type="dxa"/>
          </w:tcPr>
          <w:p w14:paraId="19573B1D" w14:textId="77777777" w:rsidR="00C71659" w:rsidRPr="00F03694" w:rsidRDefault="00C71659">
            <w:pPr>
              <w:pStyle w:val="ARtabletext0"/>
              <w:spacing w:before="60" w:after="40"/>
            </w:pPr>
            <w:r w:rsidRPr="00F03694">
              <w:t>FRD 22</w:t>
            </w:r>
          </w:p>
        </w:tc>
        <w:tc>
          <w:tcPr>
            <w:tcW w:w="6520" w:type="dxa"/>
          </w:tcPr>
          <w:p w14:paraId="4283759E" w14:textId="77777777" w:rsidR="00C71659" w:rsidRPr="000F269C" w:rsidRDefault="00C71659">
            <w:pPr>
              <w:pStyle w:val="ARtabletext0"/>
              <w:spacing w:before="60" w:after="40"/>
            </w:pPr>
            <w:r w:rsidRPr="000F269C">
              <w:t>Employment and conduct principles</w:t>
            </w:r>
          </w:p>
        </w:tc>
        <w:tc>
          <w:tcPr>
            <w:tcW w:w="1129" w:type="dxa"/>
            <w:tcMar>
              <w:right w:w="0" w:type="dxa"/>
            </w:tcMar>
          </w:tcPr>
          <w:p w14:paraId="4843FD13" w14:textId="2BF6CA85" w:rsidR="00C71659" w:rsidRPr="000F269C" w:rsidRDefault="00502BB4">
            <w:pPr>
              <w:pStyle w:val="ARtabletextright"/>
              <w:spacing w:before="60" w:after="40"/>
            </w:pPr>
            <w:hyperlink w:anchor="_Section_3:_Our_1" w:history="1">
              <w:r w:rsidRPr="000F269C">
                <w:rPr>
                  <w:rStyle w:val="Hyperlink"/>
                </w:rPr>
                <w:t>84–104</w:t>
              </w:r>
            </w:hyperlink>
          </w:p>
        </w:tc>
      </w:tr>
      <w:tr w:rsidR="00C71659" w:rsidRPr="000F269C" w14:paraId="2D58504A" w14:textId="77777777" w:rsidTr="001E4576">
        <w:trPr>
          <w:cantSplit/>
        </w:trPr>
        <w:tc>
          <w:tcPr>
            <w:tcW w:w="1985" w:type="dxa"/>
          </w:tcPr>
          <w:p w14:paraId="74DB6C0F" w14:textId="77777777" w:rsidR="00C71659" w:rsidRPr="00F03694" w:rsidRDefault="00C71659">
            <w:pPr>
              <w:pStyle w:val="ARtabletext0"/>
              <w:spacing w:before="60" w:after="40"/>
            </w:pPr>
            <w:r w:rsidRPr="00F03694">
              <w:t>FRD 22</w:t>
            </w:r>
          </w:p>
        </w:tc>
        <w:tc>
          <w:tcPr>
            <w:tcW w:w="6520" w:type="dxa"/>
          </w:tcPr>
          <w:p w14:paraId="20CD5E95" w14:textId="77777777" w:rsidR="00C71659" w:rsidRPr="000F269C" w:rsidRDefault="00C71659">
            <w:pPr>
              <w:pStyle w:val="ARtabletext0"/>
              <w:spacing w:before="60" w:after="40"/>
            </w:pPr>
            <w:r w:rsidRPr="000F269C">
              <w:t>Occupational health and safety policy</w:t>
            </w:r>
          </w:p>
        </w:tc>
        <w:tc>
          <w:tcPr>
            <w:tcW w:w="1129" w:type="dxa"/>
            <w:tcMar>
              <w:right w:w="0" w:type="dxa"/>
            </w:tcMar>
          </w:tcPr>
          <w:p w14:paraId="01B23999" w14:textId="7FDB1272" w:rsidR="00C71659" w:rsidRPr="000F269C" w:rsidRDefault="00502BB4">
            <w:pPr>
              <w:pStyle w:val="ARtabletextright"/>
              <w:spacing w:before="60" w:after="40"/>
            </w:pPr>
            <w:hyperlink w:anchor="_Employee_health,_safety" w:history="1">
              <w:r w:rsidRPr="000F269C">
                <w:rPr>
                  <w:rStyle w:val="Hyperlink"/>
                </w:rPr>
                <w:t>98–103</w:t>
              </w:r>
            </w:hyperlink>
          </w:p>
        </w:tc>
      </w:tr>
      <w:tr w:rsidR="00C71659" w:rsidRPr="000F269C" w14:paraId="2182CF1E" w14:textId="77777777" w:rsidTr="001E4576">
        <w:trPr>
          <w:cantSplit/>
        </w:trPr>
        <w:tc>
          <w:tcPr>
            <w:tcW w:w="1985" w:type="dxa"/>
          </w:tcPr>
          <w:p w14:paraId="300CF915" w14:textId="77777777" w:rsidR="00C71659" w:rsidRPr="00F03694" w:rsidRDefault="00C71659">
            <w:pPr>
              <w:pStyle w:val="ARtabletext0"/>
              <w:spacing w:before="60" w:after="40"/>
            </w:pPr>
            <w:r w:rsidRPr="00F03694">
              <w:t>FRD 22</w:t>
            </w:r>
          </w:p>
        </w:tc>
        <w:tc>
          <w:tcPr>
            <w:tcW w:w="6520" w:type="dxa"/>
          </w:tcPr>
          <w:p w14:paraId="7CBC6F12" w14:textId="77777777" w:rsidR="00C71659" w:rsidRPr="000F269C" w:rsidRDefault="00C71659">
            <w:pPr>
              <w:pStyle w:val="ARtabletext0"/>
              <w:spacing w:before="60" w:after="40"/>
            </w:pPr>
            <w:r w:rsidRPr="000F269C">
              <w:t>Summary of the financial results for the year</w:t>
            </w:r>
          </w:p>
        </w:tc>
        <w:tc>
          <w:tcPr>
            <w:tcW w:w="1129" w:type="dxa"/>
            <w:tcMar>
              <w:right w:w="0" w:type="dxa"/>
            </w:tcMar>
          </w:tcPr>
          <w:p w14:paraId="63FDFA93" w14:textId="5F3A12BE" w:rsidR="00C71659" w:rsidRPr="000F269C" w:rsidRDefault="00502BB4">
            <w:pPr>
              <w:pStyle w:val="ARtabletextright"/>
              <w:spacing w:before="60" w:after="40"/>
            </w:pPr>
            <w:hyperlink w:anchor="_Departmental_financial_summary" w:history="1">
              <w:r w:rsidRPr="000F269C">
                <w:rPr>
                  <w:rStyle w:val="Hyperlink"/>
                </w:rPr>
                <w:t>80</w:t>
              </w:r>
            </w:hyperlink>
          </w:p>
        </w:tc>
      </w:tr>
      <w:tr w:rsidR="00C71659" w:rsidRPr="000F269C" w14:paraId="0A9F8B96" w14:textId="77777777" w:rsidTr="001E4576">
        <w:trPr>
          <w:cantSplit/>
        </w:trPr>
        <w:tc>
          <w:tcPr>
            <w:tcW w:w="1985" w:type="dxa"/>
          </w:tcPr>
          <w:p w14:paraId="32507316" w14:textId="77777777" w:rsidR="00C71659" w:rsidRPr="00F03694" w:rsidRDefault="00C71659">
            <w:pPr>
              <w:pStyle w:val="ARtabletext0"/>
              <w:spacing w:before="60" w:after="40"/>
            </w:pPr>
            <w:r w:rsidRPr="00F03694">
              <w:t>FRD 22</w:t>
            </w:r>
          </w:p>
        </w:tc>
        <w:tc>
          <w:tcPr>
            <w:tcW w:w="6520" w:type="dxa"/>
          </w:tcPr>
          <w:p w14:paraId="535BEDE1" w14:textId="77777777" w:rsidR="00C71659" w:rsidRPr="000F269C" w:rsidRDefault="00C71659">
            <w:pPr>
              <w:pStyle w:val="ARtabletext0"/>
              <w:spacing w:before="60" w:after="40"/>
            </w:pPr>
            <w:r w:rsidRPr="000F269C">
              <w:t>Significant changes in financial position during the year</w:t>
            </w:r>
          </w:p>
        </w:tc>
        <w:tc>
          <w:tcPr>
            <w:tcW w:w="1129" w:type="dxa"/>
            <w:tcMar>
              <w:right w:w="0" w:type="dxa"/>
            </w:tcMar>
          </w:tcPr>
          <w:p w14:paraId="08C1B73E" w14:textId="480ACF4D" w:rsidR="00C71659" w:rsidRPr="000F269C" w:rsidRDefault="00502BB4">
            <w:pPr>
              <w:pStyle w:val="ARtabletextright"/>
              <w:spacing w:before="60" w:after="40"/>
            </w:pPr>
            <w:hyperlink w:anchor="_Current_year_financial" w:history="1">
              <w:r w:rsidRPr="000F269C">
                <w:rPr>
                  <w:rStyle w:val="Hyperlink"/>
                </w:rPr>
                <w:t>81–82</w:t>
              </w:r>
            </w:hyperlink>
          </w:p>
        </w:tc>
      </w:tr>
      <w:tr w:rsidR="00C71659" w:rsidRPr="000F269C" w14:paraId="0205BB36" w14:textId="77777777" w:rsidTr="001E4576">
        <w:trPr>
          <w:cantSplit/>
        </w:trPr>
        <w:tc>
          <w:tcPr>
            <w:tcW w:w="1985" w:type="dxa"/>
          </w:tcPr>
          <w:p w14:paraId="25BAA69A" w14:textId="77777777" w:rsidR="00C71659" w:rsidRPr="00F03694" w:rsidRDefault="00C71659">
            <w:pPr>
              <w:pStyle w:val="ARtabletext0"/>
              <w:spacing w:before="60" w:after="40"/>
            </w:pPr>
            <w:r w:rsidRPr="00F03694">
              <w:t>FRD 22</w:t>
            </w:r>
          </w:p>
        </w:tc>
        <w:tc>
          <w:tcPr>
            <w:tcW w:w="6520" w:type="dxa"/>
          </w:tcPr>
          <w:p w14:paraId="049622C3" w14:textId="77777777" w:rsidR="00C71659" w:rsidRPr="000F269C" w:rsidRDefault="00C71659">
            <w:pPr>
              <w:pStyle w:val="ARtabletext0"/>
              <w:spacing w:before="60" w:after="40"/>
            </w:pPr>
            <w:r w:rsidRPr="000F269C">
              <w:t>Major changes or factors affecting performance</w:t>
            </w:r>
          </w:p>
        </w:tc>
        <w:tc>
          <w:tcPr>
            <w:tcW w:w="1129" w:type="dxa"/>
            <w:tcMar>
              <w:right w:w="0" w:type="dxa"/>
            </w:tcMar>
          </w:tcPr>
          <w:p w14:paraId="0EC04AE4" w14:textId="6947D430" w:rsidR="00C71659" w:rsidRPr="000F269C" w:rsidRDefault="00F5238F">
            <w:pPr>
              <w:pStyle w:val="ARtabletextright"/>
              <w:spacing w:before="60" w:after="40"/>
            </w:pPr>
            <w:hyperlink w:anchor="_Performance_against_output_1" w:history="1">
              <w:r w:rsidRPr="000F269C">
                <w:rPr>
                  <w:rStyle w:val="Hyperlink"/>
                </w:rPr>
                <w:t>63–79</w:t>
              </w:r>
            </w:hyperlink>
          </w:p>
        </w:tc>
      </w:tr>
      <w:tr w:rsidR="00C71659" w:rsidRPr="000F269C" w14:paraId="58DEF395" w14:textId="77777777" w:rsidTr="001E4576">
        <w:trPr>
          <w:cantSplit/>
        </w:trPr>
        <w:tc>
          <w:tcPr>
            <w:tcW w:w="1985" w:type="dxa"/>
          </w:tcPr>
          <w:p w14:paraId="30EBCACE" w14:textId="77777777" w:rsidR="00C71659" w:rsidRPr="00F03694" w:rsidRDefault="00C71659">
            <w:pPr>
              <w:pStyle w:val="ARtabletext0"/>
              <w:spacing w:before="60" w:after="40"/>
            </w:pPr>
            <w:r w:rsidRPr="00F03694">
              <w:t>FRD 22</w:t>
            </w:r>
          </w:p>
        </w:tc>
        <w:tc>
          <w:tcPr>
            <w:tcW w:w="6520" w:type="dxa"/>
          </w:tcPr>
          <w:p w14:paraId="60CFFF8D" w14:textId="77777777" w:rsidR="00C71659" w:rsidRPr="000F269C" w:rsidRDefault="00C71659">
            <w:pPr>
              <w:pStyle w:val="ARtabletext0"/>
              <w:spacing w:before="60" w:after="40"/>
            </w:pPr>
            <w:r w:rsidRPr="000F269C">
              <w:t>Subsequent events</w:t>
            </w:r>
          </w:p>
        </w:tc>
        <w:tc>
          <w:tcPr>
            <w:tcW w:w="1129" w:type="dxa"/>
            <w:tcMar>
              <w:right w:w="0" w:type="dxa"/>
            </w:tcMar>
          </w:tcPr>
          <w:p w14:paraId="268BB657" w14:textId="471D6BAF" w:rsidR="00C71659" w:rsidRPr="000F269C" w:rsidRDefault="00217316">
            <w:pPr>
              <w:pStyle w:val="ARtabletextright"/>
              <w:spacing w:before="60" w:after="40"/>
            </w:pPr>
            <w:hyperlink w:anchor="_Subsequent_events" w:history="1">
              <w:r w:rsidRPr="000F269C">
                <w:rPr>
                  <w:rStyle w:val="Hyperlink"/>
                </w:rPr>
                <w:t>30</w:t>
              </w:r>
            </w:hyperlink>
          </w:p>
        </w:tc>
      </w:tr>
      <w:tr w:rsidR="00C71659" w:rsidRPr="000F269C" w14:paraId="34FDB781" w14:textId="77777777" w:rsidTr="001E4576">
        <w:trPr>
          <w:cantSplit/>
        </w:trPr>
        <w:tc>
          <w:tcPr>
            <w:tcW w:w="1985" w:type="dxa"/>
          </w:tcPr>
          <w:p w14:paraId="7C337C02" w14:textId="77777777" w:rsidR="00C71659" w:rsidRPr="00F03694" w:rsidRDefault="00C71659">
            <w:pPr>
              <w:pStyle w:val="ARtabletext0"/>
              <w:spacing w:before="60" w:after="40"/>
            </w:pPr>
            <w:r w:rsidRPr="00F03694">
              <w:t>FRD 22</w:t>
            </w:r>
          </w:p>
        </w:tc>
        <w:tc>
          <w:tcPr>
            <w:tcW w:w="6520" w:type="dxa"/>
          </w:tcPr>
          <w:p w14:paraId="5E29539C" w14:textId="77777777" w:rsidR="00C71659" w:rsidRPr="000F269C" w:rsidRDefault="00C71659">
            <w:pPr>
              <w:pStyle w:val="ARtabletext0"/>
              <w:spacing w:before="60" w:after="40"/>
            </w:pPr>
            <w:r w:rsidRPr="000F269C">
              <w:t xml:space="preserve">Application and operation of </w:t>
            </w:r>
            <w:r w:rsidRPr="000F269C">
              <w:rPr>
                <w:rStyle w:val="Emphasis"/>
              </w:rPr>
              <w:t>Freedom of Information Act 1982</w:t>
            </w:r>
          </w:p>
        </w:tc>
        <w:tc>
          <w:tcPr>
            <w:tcW w:w="1129" w:type="dxa"/>
            <w:tcMar>
              <w:right w:w="0" w:type="dxa"/>
            </w:tcMar>
          </w:tcPr>
          <w:p w14:paraId="72795D50" w14:textId="2BAB891B" w:rsidR="00C71659" w:rsidRPr="000F269C" w:rsidRDefault="00F5238F">
            <w:pPr>
              <w:pStyle w:val="ARtabletextright"/>
              <w:spacing w:before="60" w:after="40"/>
            </w:pPr>
            <w:hyperlink w:anchor="_Freedom_of_information_1" w:history="1">
              <w:r w:rsidRPr="000F269C">
                <w:rPr>
                  <w:rStyle w:val="Hyperlink"/>
                </w:rPr>
                <w:t>135</w:t>
              </w:r>
            </w:hyperlink>
          </w:p>
        </w:tc>
      </w:tr>
      <w:tr w:rsidR="00C71659" w:rsidRPr="000F269C" w14:paraId="359B6CEE" w14:textId="77777777" w:rsidTr="001E4576">
        <w:trPr>
          <w:cantSplit/>
        </w:trPr>
        <w:tc>
          <w:tcPr>
            <w:tcW w:w="1985" w:type="dxa"/>
          </w:tcPr>
          <w:p w14:paraId="0475AA02" w14:textId="77777777" w:rsidR="00C71659" w:rsidRPr="00F03694" w:rsidRDefault="00C71659">
            <w:pPr>
              <w:pStyle w:val="ARtabletext0"/>
              <w:spacing w:before="60" w:after="40"/>
            </w:pPr>
            <w:r w:rsidRPr="00F03694">
              <w:t>FRD 22</w:t>
            </w:r>
          </w:p>
        </w:tc>
        <w:tc>
          <w:tcPr>
            <w:tcW w:w="6520" w:type="dxa"/>
          </w:tcPr>
          <w:p w14:paraId="3107AF8C" w14:textId="079B47B8" w:rsidR="00C71659" w:rsidRPr="000F269C" w:rsidRDefault="00C71659">
            <w:pPr>
              <w:pStyle w:val="ARtabletext0"/>
              <w:spacing w:before="60" w:after="40"/>
            </w:pPr>
            <w:r w:rsidRPr="000F269C">
              <w:t xml:space="preserve">Compliance with building and maintenance provisions of </w:t>
            </w:r>
            <w:r w:rsidRPr="000F269C">
              <w:rPr>
                <w:rStyle w:val="Emphasis"/>
              </w:rPr>
              <w:t>Building Act 1993</w:t>
            </w:r>
          </w:p>
        </w:tc>
        <w:tc>
          <w:tcPr>
            <w:tcW w:w="1129" w:type="dxa"/>
            <w:tcMar>
              <w:right w:w="0" w:type="dxa"/>
            </w:tcMar>
          </w:tcPr>
          <w:p w14:paraId="0EE656C5" w14:textId="169153C8" w:rsidR="00C71659" w:rsidRPr="000F269C" w:rsidRDefault="00F31601">
            <w:pPr>
              <w:pStyle w:val="ARtabletextright"/>
              <w:spacing w:before="60" w:after="40"/>
            </w:pPr>
            <w:hyperlink w:anchor="_Compliance_with_the" w:history="1">
              <w:r w:rsidRPr="000F269C">
                <w:rPr>
                  <w:rStyle w:val="Hyperlink"/>
                </w:rPr>
                <w:t>129–130</w:t>
              </w:r>
            </w:hyperlink>
          </w:p>
        </w:tc>
      </w:tr>
      <w:tr w:rsidR="00C71659" w:rsidRPr="000F269C" w14:paraId="613458DD" w14:textId="77777777" w:rsidTr="001E4576">
        <w:trPr>
          <w:cantSplit/>
        </w:trPr>
        <w:tc>
          <w:tcPr>
            <w:tcW w:w="1985" w:type="dxa"/>
          </w:tcPr>
          <w:p w14:paraId="26AEA421" w14:textId="77777777" w:rsidR="00C71659" w:rsidRPr="00F03694" w:rsidRDefault="00C71659">
            <w:pPr>
              <w:pStyle w:val="ARtabletext0"/>
              <w:spacing w:before="60" w:after="40"/>
            </w:pPr>
            <w:r w:rsidRPr="00F03694">
              <w:t>FRD 22</w:t>
            </w:r>
          </w:p>
        </w:tc>
        <w:tc>
          <w:tcPr>
            <w:tcW w:w="6520" w:type="dxa"/>
          </w:tcPr>
          <w:p w14:paraId="14DB4C46" w14:textId="77777777" w:rsidR="00C71659" w:rsidRPr="000F269C" w:rsidRDefault="00C71659">
            <w:pPr>
              <w:pStyle w:val="ARtabletext0"/>
              <w:spacing w:before="60" w:after="40"/>
            </w:pPr>
            <w:r w:rsidRPr="000F269C">
              <w:t>Statement on National Competition Policy</w:t>
            </w:r>
          </w:p>
        </w:tc>
        <w:tc>
          <w:tcPr>
            <w:tcW w:w="1129" w:type="dxa"/>
            <w:tcMar>
              <w:right w:w="0" w:type="dxa"/>
            </w:tcMar>
          </w:tcPr>
          <w:p w14:paraId="3C09DB71" w14:textId="5B560E3D" w:rsidR="00C71659" w:rsidRPr="000F269C" w:rsidRDefault="00F31601">
            <w:pPr>
              <w:pStyle w:val="ARtabletextright"/>
              <w:spacing w:before="60" w:after="40"/>
            </w:pPr>
            <w:hyperlink w:anchor="_Competitive_neutrality_policy_1" w:history="1">
              <w:r w:rsidRPr="000F269C">
                <w:rPr>
                  <w:rStyle w:val="Hyperlink"/>
                </w:rPr>
                <w:t>105</w:t>
              </w:r>
            </w:hyperlink>
          </w:p>
        </w:tc>
      </w:tr>
      <w:tr w:rsidR="00C71659" w:rsidRPr="000F269C" w14:paraId="3017BBB6" w14:textId="77777777" w:rsidTr="001E4576">
        <w:trPr>
          <w:cantSplit/>
        </w:trPr>
        <w:tc>
          <w:tcPr>
            <w:tcW w:w="1985" w:type="dxa"/>
          </w:tcPr>
          <w:p w14:paraId="3041F5D2" w14:textId="77777777" w:rsidR="00C71659" w:rsidRPr="00F03694" w:rsidRDefault="00C71659">
            <w:pPr>
              <w:pStyle w:val="ARtabletext0"/>
              <w:spacing w:before="60" w:after="40"/>
            </w:pPr>
            <w:r w:rsidRPr="00F03694">
              <w:t>FRD 22</w:t>
            </w:r>
          </w:p>
        </w:tc>
        <w:tc>
          <w:tcPr>
            <w:tcW w:w="6520" w:type="dxa"/>
          </w:tcPr>
          <w:p w14:paraId="6D804377" w14:textId="77777777" w:rsidR="00C71659" w:rsidRPr="000F269C" w:rsidRDefault="00C71659">
            <w:pPr>
              <w:pStyle w:val="ARtabletext0"/>
              <w:spacing w:before="60" w:after="40"/>
            </w:pPr>
            <w:r w:rsidRPr="000F269C">
              <w:t>Application and operation of the</w:t>
            </w:r>
            <w:r w:rsidRPr="000F269C">
              <w:rPr>
                <w:rStyle w:val="Emphasis"/>
              </w:rPr>
              <w:t xml:space="preserve"> Public Interest Disclosures Act 2012</w:t>
            </w:r>
          </w:p>
        </w:tc>
        <w:tc>
          <w:tcPr>
            <w:tcW w:w="1129" w:type="dxa"/>
            <w:tcMar>
              <w:right w:w="0" w:type="dxa"/>
            </w:tcMar>
          </w:tcPr>
          <w:p w14:paraId="6CA925B0" w14:textId="459DE9DD" w:rsidR="00C71659" w:rsidRPr="000F269C" w:rsidRDefault="006B0BEC">
            <w:pPr>
              <w:pStyle w:val="ARtabletextright"/>
              <w:spacing w:before="60" w:after="40"/>
            </w:pPr>
            <w:hyperlink w:anchor="_Compliance_with_the_3" w:history="1">
              <w:r w:rsidRPr="000F269C">
                <w:rPr>
                  <w:rStyle w:val="Hyperlink"/>
                </w:rPr>
                <w:t>130–131</w:t>
              </w:r>
            </w:hyperlink>
          </w:p>
        </w:tc>
      </w:tr>
      <w:tr w:rsidR="00C71659" w:rsidRPr="000F269C" w14:paraId="2B073DC3" w14:textId="77777777" w:rsidTr="001E4576">
        <w:trPr>
          <w:cantSplit/>
        </w:trPr>
        <w:tc>
          <w:tcPr>
            <w:tcW w:w="1985" w:type="dxa"/>
          </w:tcPr>
          <w:p w14:paraId="198908D1" w14:textId="77777777" w:rsidR="00C71659" w:rsidRPr="00F03694" w:rsidRDefault="00C71659">
            <w:pPr>
              <w:pStyle w:val="ARtabletext0"/>
              <w:spacing w:before="60" w:after="40"/>
            </w:pPr>
            <w:r w:rsidRPr="00F03694">
              <w:t>FRD 22</w:t>
            </w:r>
          </w:p>
        </w:tc>
        <w:tc>
          <w:tcPr>
            <w:tcW w:w="6520" w:type="dxa"/>
          </w:tcPr>
          <w:p w14:paraId="3923E948" w14:textId="77777777" w:rsidR="00C71659" w:rsidRPr="000F269C" w:rsidRDefault="00C71659">
            <w:pPr>
              <w:pStyle w:val="ARtabletext0"/>
              <w:spacing w:before="60" w:after="40"/>
            </w:pPr>
            <w:r w:rsidRPr="000F269C">
              <w:t xml:space="preserve">Application and operation of the </w:t>
            </w:r>
            <w:r w:rsidRPr="000F269C">
              <w:rPr>
                <w:rStyle w:val="Emphasis"/>
              </w:rPr>
              <w:t>Carers Recognition Act 2012</w:t>
            </w:r>
          </w:p>
        </w:tc>
        <w:tc>
          <w:tcPr>
            <w:tcW w:w="1129" w:type="dxa"/>
            <w:tcMar>
              <w:right w:w="0" w:type="dxa"/>
            </w:tcMar>
          </w:tcPr>
          <w:p w14:paraId="31B94134" w14:textId="151A51CA" w:rsidR="00C71659" w:rsidRPr="000F269C" w:rsidRDefault="006B0BEC">
            <w:pPr>
              <w:pStyle w:val="ARtabletextright"/>
              <w:spacing w:before="60" w:after="40"/>
            </w:pPr>
            <w:hyperlink w:anchor="_Compliance_with_the_4" w:history="1">
              <w:r w:rsidRPr="000F269C">
                <w:rPr>
                  <w:rStyle w:val="Hyperlink"/>
                </w:rPr>
                <w:t>131–132</w:t>
              </w:r>
            </w:hyperlink>
          </w:p>
        </w:tc>
      </w:tr>
      <w:tr w:rsidR="00C71659" w:rsidRPr="000F269C" w14:paraId="6A469ECF" w14:textId="77777777" w:rsidTr="001E4576">
        <w:trPr>
          <w:cantSplit/>
        </w:trPr>
        <w:tc>
          <w:tcPr>
            <w:tcW w:w="1985" w:type="dxa"/>
          </w:tcPr>
          <w:p w14:paraId="4FD91B76" w14:textId="77777777" w:rsidR="00C71659" w:rsidRPr="00F03694" w:rsidRDefault="00C71659">
            <w:pPr>
              <w:pStyle w:val="ARtabletext0"/>
              <w:spacing w:before="60" w:after="40"/>
            </w:pPr>
            <w:r w:rsidRPr="00F03694">
              <w:t>FRD 22</w:t>
            </w:r>
          </w:p>
        </w:tc>
        <w:tc>
          <w:tcPr>
            <w:tcW w:w="6520" w:type="dxa"/>
          </w:tcPr>
          <w:p w14:paraId="56FF4B7E" w14:textId="77777777" w:rsidR="00C71659" w:rsidRPr="000F269C" w:rsidRDefault="00C71659">
            <w:pPr>
              <w:pStyle w:val="ARtabletext0"/>
              <w:spacing w:before="60" w:after="40"/>
            </w:pPr>
            <w:r w:rsidRPr="000F269C">
              <w:t>Details of consultancies over $10,000</w:t>
            </w:r>
          </w:p>
        </w:tc>
        <w:tc>
          <w:tcPr>
            <w:tcW w:w="1129" w:type="dxa"/>
            <w:tcMar>
              <w:right w:w="0" w:type="dxa"/>
            </w:tcMar>
          </w:tcPr>
          <w:p w14:paraId="1B000182" w14:textId="3FB868BB" w:rsidR="00C71659" w:rsidRPr="000F269C" w:rsidRDefault="00D02426">
            <w:pPr>
              <w:pStyle w:val="ARtabletextright"/>
              <w:spacing w:before="60" w:after="40"/>
            </w:pPr>
            <w:hyperlink w:anchor="_Consultancies_(valued_at_1" w:history="1">
              <w:r w:rsidRPr="000F269C">
                <w:rPr>
                  <w:rStyle w:val="Hyperlink"/>
                </w:rPr>
                <w:t>108–110</w:t>
              </w:r>
            </w:hyperlink>
          </w:p>
        </w:tc>
      </w:tr>
      <w:tr w:rsidR="00C71659" w:rsidRPr="000F269C" w14:paraId="10D84FD3" w14:textId="77777777" w:rsidTr="001E4576">
        <w:trPr>
          <w:cantSplit/>
        </w:trPr>
        <w:tc>
          <w:tcPr>
            <w:tcW w:w="1985" w:type="dxa"/>
          </w:tcPr>
          <w:p w14:paraId="32474916" w14:textId="77777777" w:rsidR="00C71659" w:rsidRPr="00F03694" w:rsidRDefault="00C71659">
            <w:pPr>
              <w:pStyle w:val="ARtabletext0"/>
              <w:spacing w:before="60" w:after="40"/>
            </w:pPr>
            <w:r w:rsidRPr="00F03694">
              <w:t>FRD 22</w:t>
            </w:r>
          </w:p>
        </w:tc>
        <w:tc>
          <w:tcPr>
            <w:tcW w:w="6520" w:type="dxa"/>
          </w:tcPr>
          <w:p w14:paraId="73CB9B51" w14:textId="77777777" w:rsidR="00C71659" w:rsidRPr="000F269C" w:rsidRDefault="00C71659">
            <w:pPr>
              <w:pStyle w:val="ARtabletext0"/>
              <w:spacing w:before="60" w:after="40"/>
            </w:pPr>
            <w:r w:rsidRPr="000F269C">
              <w:t>Details of consultancies under $10,000</w:t>
            </w:r>
          </w:p>
        </w:tc>
        <w:tc>
          <w:tcPr>
            <w:tcW w:w="1129" w:type="dxa"/>
            <w:tcMar>
              <w:right w:w="0" w:type="dxa"/>
            </w:tcMar>
          </w:tcPr>
          <w:p w14:paraId="651279D2" w14:textId="4BA0A33F" w:rsidR="00C71659" w:rsidRPr="000F269C" w:rsidRDefault="00D02426">
            <w:pPr>
              <w:pStyle w:val="ARtabletextright"/>
              <w:spacing w:before="60" w:after="40"/>
            </w:pPr>
            <w:hyperlink w:anchor="_Details_of_consultancies_1" w:history="1">
              <w:r w:rsidRPr="000F269C">
                <w:rPr>
                  <w:rStyle w:val="Hyperlink"/>
                </w:rPr>
                <w:t>110</w:t>
              </w:r>
            </w:hyperlink>
          </w:p>
        </w:tc>
      </w:tr>
      <w:tr w:rsidR="00C71659" w:rsidRPr="000F269C" w14:paraId="73063E71" w14:textId="77777777" w:rsidTr="001E4576">
        <w:trPr>
          <w:cantSplit/>
        </w:trPr>
        <w:tc>
          <w:tcPr>
            <w:tcW w:w="1985" w:type="dxa"/>
          </w:tcPr>
          <w:p w14:paraId="557AFFA8" w14:textId="77777777" w:rsidR="00C71659" w:rsidRPr="00F03694" w:rsidRDefault="00C71659">
            <w:pPr>
              <w:pStyle w:val="ARtabletext0"/>
              <w:spacing w:before="60" w:after="40"/>
            </w:pPr>
            <w:r w:rsidRPr="00F03694">
              <w:t>FRD 22</w:t>
            </w:r>
          </w:p>
        </w:tc>
        <w:tc>
          <w:tcPr>
            <w:tcW w:w="6520" w:type="dxa"/>
          </w:tcPr>
          <w:p w14:paraId="6AAEBE19" w14:textId="77777777" w:rsidR="00C71659" w:rsidRPr="000F269C" w:rsidRDefault="00C71659">
            <w:pPr>
              <w:pStyle w:val="ARtabletext0"/>
              <w:spacing w:before="60" w:after="40"/>
            </w:pPr>
            <w:r w:rsidRPr="000F269C">
              <w:t>Disclosure of government advertising expenditure</w:t>
            </w:r>
          </w:p>
        </w:tc>
        <w:tc>
          <w:tcPr>
            <w:tcW w:w="1129" w:type="dxa"/>
            <w:tcMar>
              <w:right w:w="0" w:type="dxa"/>
            </w:tcMar>
          </w:tcPr>
          <w:p w14:paraId="4CBFBEC4" w14:textId="01C30813" w:rsidR="00C71659" w:rsidRPr="000F269C" w:rsidRDefault="00D02426">
            <w:pPr>
              <w:pStyle w:val="ARtabletextright"/>
              <w:spacing w:before="60" w:after="40"/>
            </w:pPr>
            <w:hyperlink w:anchor="_Government_advertising_expenditure_1" w:history="1">
              <w:r w:rsidRPr="000F269C">
                <w:rPr>
                  <w:rStyle w:val="Hyperlink"/>
                </w:rPr>
                <w:t>106–107</w:t>
              </w:r>
            </w:hyperlink>
          </w:p>
        </w:tc>
      </w:tr>
      <w:tr w:rsidR="00C71659" w:rsidRPr="000F269C" w14:paraId="22314C83" w14:textId="77777777" w:rsidTr="001E4576">
        <w:trPr>
          <w:cantSplit/>
        </w:trPr>
        <w:tc>
          <w:tcPr>
            <w:tcW w:w="1985" w:type="dxa"/>
          </w:tcPr>
          <w:p w14:paraId="51965BB4" w14:textId="77777777" w:rsidR="00C71659" w:rsidRPr="00F03694" w:rsidRDefault="00C71659">
            <w:pPr>
              <w:pStyle w:val="ARtabletext0"/>
              <w:spacing w:before="60" w:after="40"/>
            </w:pPr>
            <w:r w:rsidRPr="00F03694">
              <w:t>FRD 22</w:t>
            </w:r>
          </w:p>
        </w:tc>
        <w:tc>
          <w:tcPr>
            <w:tcW w:w="6520" w:type="dxa"/>
          </w:tcPr>
          <w:p w14:paraId="1048DC8A" w14:textId="77777777" w:rsidR="00C71659" w:rsidRPr="000F269C" w:rsidRDefault="00C71659">
            <w:pPr>
              <w:pStyle w:val="ARtabletext0"/>
              <w:spacing w:before="60" w:after="40"/>
            </w:pPr>
            <w:r w:rsidRPr="000F269C">
              <w:t>Disclosure of ICT expenditure</w:t>
            </w:r>
          </w:p>
        </w:tc>
        <w:tc>
          <w:tcPr>
            <w:tcW w:w="1129" w:type="dxa"/>
            <w:tcMar>
              <w:right w:w="0" w:type="dxa"/>
            </w:tcMar>
          </w:tcPr>
          <w:p w14:paraId="56414CEF" w14:textId="13B195EB" w:rsidR="00C71659" w:rsidRPr="000F269C" w:rsidRDefault="00D02426">
            <w:pPr>
              <w:pStyle w:val="ARtabletextright"/>
              <w:spacing w:before="60" w:after="40"/>
            </w:pPr>
            <w:hyperlink w:anchor="_Information_and_communication" w:history="1">
              <w:r w:rsidRPr="000F269C">
                <w:rPr>
                  <w:rStyle w:val="Hyperlink"/>
                </w:rPr>
                <w:t>128</w:t>
              </w:r>
            </w:hyperlink>
          </w:p>
        </w:tc>
      </w:tr>
      <w:tr w:rsidR="00C71659" w:rsidRPr="000F269C" w14:paraId="7D3F0444" w14:textId="77777777" w:rsidTr="001E4576">
        <w:trPr>
          <w:cantSplit/>
        </w:trPr>
        <w:tc>
          <w:tcPr>
            <w:tcW w:w="1985" w:type="dxa"/>
          </w:tcPr>
          <w:p w14:paraId="5850EF57" w14:textId="77777777" w:rsidR="00C71659" w:rsidRPr="00F03694" w:rsidRDefault="00C71659">
            <w:pPr>
              <w:pStyle w:val="ARtabletext0"/>
              <w:spacing w:before="60" w:after="40"/>
            </w:pPr>
            <w:r w:rsidRPr="00F03694">
              <w:t>FRD 22</w:t>
            </w:r>
          </w:p>
        </w:tc>
        <w:tc>
          <w:tcPr>
            <w:tcW w:w="6520" w:type="dxa"/>
          </w:tcPr>
          <w:p w14:paraId="33FACDD3" w14:textId="77777777" w:rsidR="00C71659" w:rsidRPr="000F269C" w:rsidRDefault="00C71659">
            <w:pPr>
              <w:pStyle w:val="ARtabletext0"/>
              <w:spacing w:before="60" w:after="40"/>
            </w:pPr>
            <w:r w:rsidRPr="000F269C">
              <w:t>Reviews and studies expenditure</w:t>
            </w:r>
          </w:p>
        </w:tc>
        <w:tc>
          <w:tcPr>
            <w:tcW w:w="1129" w:type="dxa"/>
            <w:tcMar>
              <w:right w:w="0" w:type="dxa"/>
            </w:tcMar>
          </w:tcPr>
          <w:p w14:paraId="37B6DCBD" w14:textId="0C4DEE59" w:rsidR="00C71659" w:rsidRPr="000F269C" w:rsidRDefault="00701B1C">
            <w:pPr>
              <w:pStyle w:val="ARtabletextright"/>
              <w:spacing w:before="60" w:after="40"/>
            </w:pPr>
            <w:hyperlink w:anchor="_Review_and_study_1" w:history="1">
              <w:r w:rsidRPr="000F269C">
                <w:rPr>
                  <w:rStyle w:val="Hyperlink"/>
                </w:rPr>
                <w:t>111–127</w:t>
              </w:r>
            </w:hyperlink>
          </w:p>
        </w:tc>
      </w:tr>
      <w:tr w:rsidR="00C71659" w:rsidRPr="000F269C" w14:paraId="16128971" w14:textId="77777777" w:rsidTr="001E4576">
        <w:trPr>
          <w:cantSplit/>
        </w:trPr>
        <w:tc>
          <w:tcPr>
            <w:tcW w:w="1985" w:type="dxa"/>
          </w:tcPr>
          <w:p w14:paraId="75939B16" w14:textId="77777777" w:rsidR="00C71659" w:rsidRPr="00F03694" w:rsidRDefault="00C71659">
            <w:pPr>
              <w:pStyle w:val="ARtabletext0"/>
              <w:spacing w:before="60" w:after="40"/>
            </w:pPr>
            <w:r w:rsidRPr="00F03694">
              <w:t>FRD 22</w:t>
            </w:r>
          </w:p>
        </w:tc>
        <w:tc>
          <w:tcPr>
            <w:tcW w:w="6520" w:type="dxa"/>
          </w:tcPr>
          <w:p w14:paraId="3AB19AE5" w14:textId="77777777" w:rsidR="00C71659" w:rsidRPr="000F269C" w:rsidRDefault="00C71659">
            <w:pPr>
              <w:pStyle w:val="ARtabletext0"/>
              <w:spacing w:before="60" w:after="40"/>
            </w:pPr>
            <w:r w:rsidRPr="000F269C">
              <w:t>Statement of availability of other information</w:t>
            </w:r>
          </w:p>
        </w:tc>
        <w:tc>
          <w:tcPr>
            <w:tcW w:w="1129" w:type="dxa"/>
            <w:tcMar>
              <w:right w:w="0" w:type="dxa"/>
            </w:tcMar>
          </w:tcPr>
          <w:p w14:paraId="4A901F6E" w14:textId="1B9CBF7E" w:rsidR="00C71659" w:rsidRPr="000F269C" w:rsidRDefault="00701B1C">
            <w:pPr>
              <w:pStyle w:val="ARtabletextright"/>
              <w:spacing w:before="60" w:after="40"/>
            </w:pPr>
            <w:hyperlink w:anchor="_Appendix_4:_Additional" w:history="1">
              <w:r w:rsidRPr="000F269C">
                <w:rPr>
                  <w:rStyle w:val="Hyperlink"/>
                </w:rPr>
                <w:t>259</w:t>
              </w:r>
            </w:hyperlink>
          </w:p>
        </w:tc>
      </w:tr>
      <w:tr w:rsidR="00C71659" w:rsidRPr="000F269C" w14:paraId="0A51126C" w14:textId="77777777" w:rsidTr="001E4576">
        <w:trPr>
          <w:cantSplit/>
        </w:trPr>
        <w:tc>
          <w:tcPr>
            <w:tcW w:w="1985" w:type="dxa"/>
          </w:tcPr>
          <w:p w14:paraId="602F7CA8" w14:textId="77777777" w:rsidR="00C71659" w:rsidRPr="00F03694" w:rsidRDefault="00C71659">
            <w:pPr>
              <w:pStyle w:val="ARtabletext0"/>
              <w:spacing w:before="60" w:after="40"/>
            </w:pPr>
            <w:r w:rsidRPr="00F03694">
              <w:t>FRD 22</w:t>
            </w:r>
          </w:p>
        </w:tc>
        <w:tc>
          <w:tcPr>
            <w:tcW w:w="6520" w:type="dxa"/>
          </w:tcPr>
          <w:p w14:paraId="18CE133F" w14:textId="77777777" w:rsidR="00C71659" w:rsidRPr="000F269C" w:rsidRDefault="00C71659">
            <w:pPr>
              <w:pStyle w:val="ARtabletext0"/>
              <w:spacing w:before="60" w:after="40"/>
            </w:pPr>
            <w:r w:rsidRPr="000F269C">
              <w:t>Disclosure of emergency procurement</w:t>
            </w:r>
          </w:p>
        </w:tc>
        <w:tc>
          <w:tcPr>
            <w:tcW w:w="1129" w:type="dxa"/>
            <w:tcMar>
              <w:right w:w="0" w:type="dxa"/>
            </w:tcMar>
          </w:tcPr>
          <w:p w14:paraId="34C5260A" w14:textId="11088DC1" w:rsidR="00C71659" w:rsidRPr="000F269C" w:rsidRDefault="00701B1C">
            <w:pPr>
              <w:pStyle w:val="ARtabletextright"/>
              <w:spacing w:before="60" w:after="40"/>
            </w:pPr>
            <w:hyperlink w:anchor="_Disclosure_of_emergency" w:history="1">
              <w:r w:rsidRPr="000F269C">
                <w:rPr>
                  <w:rStyle w:val="Hyperlink"/>
                </w:rPr>
                <w:t>133</w:t>
              </w:r>
            </w:hyperlink>
          </w:p>
        </w:tc>
      </w:tr>
      <w:tr w:rsidR="00C71659" w:rsidRPr="000F269C" w14:paraId="708AD0CB" w14:textId="77777777" w:rsidTr="001E4576">
        <w:trPr>
          <w:cantSplit/>
        </w:trPr>
        <w:tc>
          <w:tcPr>
            <w:tcW w:w="1985" w:type="dxa"/>
          </w:tcPr>
          <w:p w14:paraId="633C62F8" w14:textId="77777777" w:rsidR="00C71659" w:rsidRPr="000F269C" w:rsidRDefault="00C71659">
            <w:pPr>
              <w:pStyle w:val="ARtabletext0"/>
              <w:spacing w:before="60" w:after="40"/>
            </w:pPr>
            <w:r w:rsidRPr="000F269C">
              <w:t>FRD 22</w:t>
            </w:r>
          </w:p>
        </w:tc>
        <w:tc>
          <w:tcPr>
            <w:tcW w:w="6520" w:type="dxa"/>
          </w:tcPr>
          <w:p w14:paraId="1EADA49B" w14:textId="1D333C5D" w:rsidR="00C71659" w:rsidRPr="000F269C" w:rsidRDefault="00C71659">
            <w:pPr>
              <w:pStyle w:val="ARtabletext0"/>
              <w:spacing w:before="60" w:after="40"/>
            </w:pPr>
            <w:r w:rsidRPr="000F269C">
              <w:t>Disclosure of social procurement activities under the Social Procurement</w:t>
            </w:r>
            <w:r w:rsidR="008D5856" w:rsidRPr="000F269C">
              <w:t> </w:t>
            </w:r>
            <w:r w:rsidRPr="000F269C">
              <w:t>Framework</w:t>
            </w:r>
          </w:p>
        </w:tc>
        <w:tc>
          <w:tcPr>
            <w:tcW w:w="1129" w:type="dxa"/>
            <w:tcMar>
              <w:right w:w="0" w:type="dxa"/>
            </w:tcMar>
          </w:tcPr>
          <w:p w14:paraId="06907FFD" w14:textId="6849449B" w:rsidR="00C71659" w:rsidRPr="000F269C" w:rsidRDefault="00FB1931">
            <w:pPr>
              <w:pStyle w:val="ARtabletextright"/>
              <w:spacing w:before="60" w:after="40"/>
            </w:pPr>
            <w:hyperlink w:anchor="_Social_procurement_framework_1" w:history="1">
              <w:r w:rsidRPr="000F269C">
                <w:rPr>
                  <w:rStyle w:val="Hyperlink"/>
                </w:rPr>
                <w:t>129</w:t>
              </w:r>
            </w:hyperlink>
          </w:p>
        </w:tc>
      </w:tr>
      <w:tr w:rsidR="00C71659" w:rsidRPr="000F269C" w14:paraId="74C1DC38" w14:textId="77777777" w:rsidTr="001E4576">
        <w:trPr>
          <w:cantSplit/>
        </w:trPr>
        <w:tc>
          <w:tcPr>
            <w:tcW w:w="1985" w:type="dxa"/>
          </w:tcPr>
          <w:p w14:paraId="1878EB51" w14:textId="77777777" w:rsidR="00C71659" w:rsidRPr="000F269C" w:rsidRDefault="00C71659">
            <w:pPr>
              <w:pStyle w:val="ARtabletext0"/>
              <w:spacing w:before="60" w:after="40"/>
            </w:pPr>
            <w:r w:rsidRPr="000F269C">
              <w:t>FRD 22</w:t>
            </w:r>
          </w:p>
        </w:tc>
        <w:tc>
          <w:tcPr>
            <w:tcW w:w="6520" w:type="dxa"/>
          </w:tcPr>
          <w:p w14:paraId="71E847BB" w14:textId="77777777" w:rsidR="00C71659" w:rsidRPr="000F269C" w:rsidRDefault="00C71659">
            <w:pPr>
              <w:pStyle w:val="ARtabletext0"/>
              <w:spacing w:before="60" w:after="40"/>
            </w:pPr>
            <w:r w:rsidRPr="000F269C">
              <w:t>Disclosure of procurement complaints</w:t>
            </w:r>
          </w:p>
        </w:tc>
        <w:tc>
          <w:tcPr>
            <w:tcW w:w="1129" w:type="dxa"/>
            <w:tcMar>
              <w:right w:w="0" w:type="dxa"/>
            </w:tcMar>
          </w:tcPr>
          <w:p w14:paraId="7714D1CF" w14:textId="7FADBDBF" w:rsidR="00C71659" w:rsidRPr="000F269C" w:rsidRDefault="00701B1C">
            <w:pPr>
              <w:pStyle w:val="ARtabletextright"/>
              <w:spacing w:before="60" w:after="40"/>
            </w:pPr>
            <w:hyperlink w:anchor="_Disclosure_of_procurement_1" w:history="1">
              <w:r w:rsidRPr="000F269C">
                <w:rPr>
                  <w:rStyle w:val="Hyperlink"/>
                </w:rPr>
                <w:t>133</w:t>
              </w:r>
            </w:hyperlink>
          </w:p>
        </w:tc>
      </w:tr>
      <w:tr w:rsidR="00C71659" w:rsidRPr="000F269C" w14:paraId="6B2C5AA8" w14:textId="77777777" w:rsidTr="001E4576">
        <w:trPr>
          <w:cantSplit/>
        </w:trPr>
        <w:tc>
          <w:tcPr>
            <w:tcW w:w="1985" w:type="dxa"/>
          </w:tcPr>
          <w:p w14:paraId="4C2A5172" w14:textId="77777777" w:rsidR="00C71659" w:rsidRPr="000F269C" w:rsidRDefault="00C71659">
            <w:pPr>
              <w:pStyle w:val="ARtabletext0"/>
              <w:spacing w:before="60" w:after="40"/>
            </w:pPr>
            <w:r w:rsidRPr="000F269C">
              <w:t>FRD 24</w:t>
            </w:r>
          </w:p>
        </w:tc>
        <w:tc>
          <w:tcPr>
            <w:tcW w:w="6520" w:type="dxa"/>
          </w:tcPr>
          <w:p w14:paraId="0E835B0F" w14:textId="77777777" w:rsidR="00C71659" w:rsidRPr="000F269C" w:rsidRDefault="00C71659">
            <w:pPr>
              <w:pStyle w:val="ARtabletext0"/>
              <w:spacing w:before="60" w:after="40"/>
            </w:pPr>
            <w:r w:rsidRPr="000F269C">
              <w:t>Reporting of environmental data</w:t>
            </w:r>
          </w:p>
        </w:tc>
        <w:tc>
          <w:tcPr>
            <w:tcW w:w="1129" w:type="dxa"/>
            <w:tcMar>
              <w:right w:w="0" w:type="dxa"/>
            </w:tcMar>
          </w:tcPr>
          <w:p w14:paraId="6048FD5A" w14:textId="0D4E47C2" w:rsidR="00C71659" w:rsidRPr="000F269C" w:rsidRDefault="00701B1C">
            <w:pPr>
              <w:pStyle w:val="ARtabletextright"/>
              <w:spacing w:before="60" w:after="40"/>
            </w:pPr>
            <w:hyperlink w:anchor="_Freedom_of_information" w:history="1">
              <w:r w:rsidRPr="000F269C">
                <w:rPr>
                  <w:rStyle w:val="Hyperlink"/>
                </w:rPr>
                <w:t>136–149</w:t>
              </w:r>
            </w:hyperlink>
          </w:p>
        </w:tc>
      </w:tr>
      <w:tr w:rsidR="00C71659" w:rsidRPr="000F269C" w14:paraId="5A14D81F" w14:textId="77777777" w:rsidTr="001E4576">
        <w:trPr>
          <w:cantSplit/>
        </w:trPr>
        <w:tc>
          <w:tcPr>
            <w:tcW w:w="1985" w:type="dxa"/>
          </w:tcPr>
          <w:p w14:paraId="1F9ECDA1" w14:textId="77777777" w:rsidR="00C71659" w:rsidRPr="000F269C" w:rsidRDefault="00C71659">
            <w:pPr>
              <w:pStyle w:val="ARtabletext0"/>
              <w:spacing w:before="60" w:after="40"/>
            </w:pPr>
            <w:r w:rsidRPr="000F269C">
              <w:t>FRD 25</w:t>
            </w:r>
          </w:p>
        </w:tc>
        <w:tc>
          <w:tcPr>
            <w:tcW w:w="6520" w:type="dxa"/>
          </w:tcPr>
          <w:p w14:paraId="2A4350DD" w14:textId="77777777" w:rsidR="00C71659" w:rsidRPr="000F269C" w:rsidRDefault="00C71659">
            <w:pPr>
              <w:pStyle w:val="ARtabletext0"/>
              <w:spacing w:before="60" w:after="40"/>
            </w:pPr>
            <w:r w:rsidRPr="000F269C">
              <w:t>Local Jobs First</w:t>
            </w:r>
          </w:p>
        </w:tc>
        <w:tc>
          <w:tcPr>
            <w:tcW w:w="1129" w:type="dxa"/>
            <w:tcMar>
              <w:right w:w="0" w:type="dxa"/>
            </w:tcMar>
          </w:tcPr>
          <w:p w14:paraId="7381EAAD" w14:textId="07773CED" w:rsidR="00C71659" w:rsidRPr="000F269C" w:rsidRDefault="00701B1C">
            <w:pPr>
              <w:pStyle w:val="ARtabletextright"/>
              <w:spacing w:before="60" w:after="40"/>
            </w:pPr>
            <w:hyperlink w:anchor="_Local_Jobs_First" w:history="1">
              <w:r w:rsidRPr="000F269C">
                <w:rPr>
                  <w:rStyle w:val="Hyperlink"/>
                </w:rPr>
                <w:t>104–105</w:t>
              </w:r>
            </w:hyperlink>
          </w:p>
        </w:tc>
      </w:tr>
      <w:tr w:rsidR="00C71659" w:rsidRPr="000F269C" w14:paraId="4EC4949A" w14:textId="77777777" w:rsidTr="001E4576">
        <w:trPr>
          <w:cantSplit/>
        </w:trPr>
        <w:tc>
          <w:tcPr>
            <w:tcW w:w="1985" w:type="dxa"/>
          </w:tcPr>
          <w:p w14:paraId="6CB3FF0A" w14:textId="77777777" w:rsidR="00C71659" w:rsidRPr="000F269C" w:rsidRDefault="00C71659">
            <w:pPr>
              <w:pStyle w:val="ARtabletext0"/>
              <w:spacing w:before="60" w:after="40"/>
            </w:pPr>
            <w:r w:rsidRPr="000F269C">
              <w:t>FRD 29</w:t>
            </w:r>
          </w:p>
        </w:tc>
        <w:tc>
          <w:tcPr>
            <w:tcW w:w="6520" w:type="dxa"/>
          </w:tcPr>
          <w:p w14:paraId="504C2468" w14:textId="77777777" w:rsidR="00C71659" w:rsidRPr="000F269C" w:rsidRDefault="00C71659">
            <w:pPr>
              <w:pStyle w:val="ARtabletext0"/>
              <w:spacing w:before="60" w:after="40"/>
            </w:pPr>
            <w:r w:rsidRPr="000F269C">
              <w:t>Workforce data disclosures</w:t>
            </w:r>
          </w:p>
        </w:tc>
        <w:tc>
          <w:tcPr>
            <w:tcW w:w="1129" w:type="dxa"/>
            <w:tcMar>
              <w:right w:w="0" w:type="dxa"/>
            </w:tcMar>
          </w:tcPr>
          <w:p w14:paraId="141D9AB4" w14:textId="04AD897E" w:rsidR="00C71659" w:rsidRPr="000F269C" w:rsidRDefault="00701B1C">
            <w:pPr>
              <w:pStyle w:val="ARtabletextright"/>
              <w:spacing w:before="60" w:after="40"/>
            </w:pPr>
            <w:hyperlink w:anchor="_Comparative_workforce_data_1" w:history="1">
              <w:r w:rsidRPr="000F269C">
                <w:rPr>
                  <w:rStyle w:val="Hyperlink"/>
                </w:rPr>
                <w:t>92–95</w:t>
              </w:r>
            </w:hyperlink>
          </w:p>
        </w:tc>
      </w:tr>
      <w:tr w:rsidR="00C71659" w:rsidRPr="000F269C" w14:paraId="19721264" w14:textId="77777777" w:rsidTr="001E4576">
        <w:trPr>
          <w:cantSplit/>
        </w:trPr>
        <w:tc>
          <w:tcPr>
            <w:tcW w:w="1985" w:type="dxa"/>
          </w:tcPr>
          <w:p w14:paraId="6685AE09" w14:textId="77777777" w:rsidR="00C71659" w:rsidRPr="000F269C" w:rsidRDefault="00C71659">
            <w:pPr>
              <w:pStyle w:val="ARtabletext0"/>
              <w:spacing w:before="60" w:after="40"/>
            </w:pPr>
            <w:r w:rsidRPr="000F269C">
              <w:t>SD 5.2</w:t>
            </w:r>
          </w:p>
        </w:tc>
        <w:tc>
          <w:tcPr>
            <w:tcW w:w="6520" w:type="dxa"/>
          </w:tcPr>
          <w:p w14:paraId="31728429" w14:textId="77777777" w:rsidR="00C71659" w:rsidRPr="000F269C" w:rsidRDefault="00C71659">
            <w:pPr>
              <w:pStyle w:val="ARtabletext0"/>
              <w:spacing w:before="60" w:after="40"/>
            </w:pPr>
            <w:r w:rsidRPr="000F269C">
              <w:t>Specific requirements under Standing Direction 5.2</w:t>
            </w:r>
          </w:p>
        </w:tc>
        <w:tc>
          <w:tcPr>
            <w:tcW w:w="1129" w:type="dxa"/>
            <w:tcMar>
              <w:right w:w="0" w:type="dxa"/>
            </w:tcMar>
          </w:tcPr>
          <w:p w14:paraId="1144DA29" w14:textId="422C2046" w:rsidR="00C71659" w:rsidRPr="000F269C" w:rsidRDefault="00C71659">
            <w:pPr>
              <w:pStyle w:val="ARtabletextright"/>
              <w:spacing w:before="60" w:after="40"/>
            </w:pPr>
            <w:hyperlink w:anchor="Standingdirection" w:history="1">
              <w:r w:rsidRPr="000F269C">
                <w:rPr>
                  <w:rStyle w:val="Hyperlink"/>
                </w:rPr>
                <w:t>2</w:t>
              </w:r>
            </w:hyperlink>
          </w:p>
        </w:tc>
      </w:tr>
      <w:tr w:rsidR="00C71659" w:rsidRPr="000F269C" w14:paraId="315616C4" w14:textId="77777777" w:rsidTr="001E4576">
        <w:trPr>
          <w:cantSplit/>
        </w:trPr>
        <w:tc>
          <w:tcPr>
            <w:tcW w:w="9634" w:type="dxa"/>
            <w:gridSpan w:val="3"/>
            <w:tcBorders>
              <w:bottom w:val="nil"/>
            </w:tcBorders>
            <w:tcMar>
              <w:right w:w="0" w:type="dxa"/>
            </w:tcMar>
          </w:tcPr>
          <w:p w14:paraId="48384258" w14:textId="77777777" w:rsidR="00C71659" w:rsidRPr="000F269C" w:rsidRDefault="00C71659">
            <w:pPr>
              <w:pStyle w:val="ARtabletextbold"/>
              <w:spacing w:before="60" w:after="40"/>
            </w:pPr>
            <w:r w:rsidRPr="000F269C">
              <w:t>Compliance attestation and declaration</w:t>
            </w:r>
          </w:p>
        </w:tc>
      </w:tr>
      <w:tr w:rsidR="00C71659" w:rsidRPr="000F269C" w14:paraId="596A8C20" w14:textId="77777777" w:rsidTr="001E4576">
        <w:trPr>
          <w:cantSplit/>
        </w:trPr>
        <w:tc>
          <w:tcPr>
            <w:tcW w:w="1985" w:type="dxa"/>
            <w:tcBorders>
              <w:top w:val="nil"/>
            </w:tcBorders>
          </w:tcPr>
          <w:p w14:paraId="4EB42D27" w14:textId="77777777" w:rsidR="00C71659" w:rsidRPr="000F269C" w:rsidRDefault="00C71659">
            <w:pPr>
              <w:pStyle w:val="ARtabletext0"/>
              <w:spacing w:before="60" w:after="40"/>
            </w:pPr>
            <w:r w:rsidRPr="000F269C">
              <w:t>SD 5.1.4</w:t>
            </w:r>
          </w:p>
        </w:tc>
        <w:tc>
          <w:tcPr>
            <w:tcW w:w="6520" w:type="dxa"/>
            <w:tcBorders>
              <w:top w:val="nil"/>
            </w:tcBorders>
          </w:tcPr>
          <w:p w14:paraId="713503BC" w14:textId="77777777" w:rsidR="00C71659" w:rsidRPr="000F269C" w:rsidRDefault="00C71659">
            <w:pPr>
              <w:pStyle w:val="ARtabletext0"/>
              <w:spacing w:before="60" w:after="40"/>
            </w:pPr>
            <w:r w:rsidRPr="000F269C">
              <w:t>Attestation for compliance with Ministerial Standing Direction</w:t>
            </w:r>
          </w:p>
        </w:tc>
        <w:tc>
          <w:tcPr>
            <w:tcW w:w="1129" w:type="dxa"/>
            <w:tcBorders>
              <w:top w:val="nil"/>
            </w:tcBorders>
            <w:tcMar>
              <w:right w:w="0" w:type="dxa"/>
            </w:tcMar>
          </w:tcPr>
          <w:p w14:paraId="19DD49F2" w14:textId="5847BC56" w:rsidR="00C71659" w:rsidRPr="000F269C" w:rsidRDefault="00BA5663">
            <w:pPr>
              <w:pStyle w:val="ARtabletextright"/>
              <w:spacing w:before="60" w:after="40"/>
            </w:pPr>
            <w:hyperlink w:anchor="_Financial_management_compliance" w:history="1">
              <w:r w:rsidRPr="000F269C">
                <w:rPr>
                  <w:rStyle w:val="Hyperlink"/>
                </w:rPr>
                <w:t>149</w:t>
              </w:r>
            </w:hyperlink>
          </w:p>
        </w:tc>
      </w:tr>
      <w:tr w:rsidR="00C71659" w:rsidRPr="000F269C" w14:paraId="06C0C3D5" w14:textId="77777777" w:rsidTr="001E4576">
        <w:trPr>
          <w:cantSplit/>
        </w:trPr>
        <w:tc>
          <w:tcPr>
            <w:tcW w:w="1985" w:type="dxa"/>
          </w:tcPr>
          <w:p w14:paraId="678E7ED7" w14:textId="77777777" w:rsidR="00C71659" w:rsidRPr="000F269C" w:rsidRDefault="00C71659">
            <w:pPr>
              <w:pStyle w:val="ARtabletext0"/>
              <w:spacing w:before="60" w:after="40"/>
            </w:pPr>
            <w:r w:rsidRPr="000F269C">
              <w:t>SD 5.2.3</w:t>
            </w:r>
          </w:p>
        </w:tc>
        <w:tc>
          <w:tcPr>
            <w:tcW w:w="6520" w:type="dxa"/>
          </w:tcPr>
          <w:p w14:paraId="60A4E86D" w14:textId="77777777" w:rsidR="00C71659" w:rsidRPr="000F269C" w:rsidRDefault="00C71659">
            <w:pPr>
              <w:pStyle w:val="ARtabletext0"/>
              <w:spacing w:before="60" w:after="40"/>
            </w:pPr>
            <w:r w:rsidRPr="000F269C">
              <w:t>Declaration in report of operations</w:t>
            </w:r>
          </w:p>
        </w:tc>
        <w:tc>
          <w:tcPr>
            <w:tcW w:w="1129" w:type="dxa"/>
            <w:tcMar>
              <w:right w:w="0" w:type="dxa"/>
            </w:tcMar>
          </w:tcPr>
          <w:p w14:paraId="31759423" w14:textId="127C99BA" w:rsidR="00C71659" w:rsidRPr="000F269C" w:rsidRDefault="00C71659">
            <w:pPr>
              <w:pStyle w:val="ARtabletextright"/>
              <w:spacing w:before="60" w:after="40"/>
            </w:pPr>
            <w:hyperlink w:anchor="_Responsible_body’s_declaration" w:history="1">
              <w:r w:rsidRPr="000F269C">
                <w:rPr>
                  <w:rStyle w:val="Hyperlink"/>
                </w:rPr>
                <w:t>3</w:t>
              </w:r>
            </w:hyperlink>
          </w:p>
        </w:tc>
      </w:tr>
    </w:tbl>
    <w:p w14:paraId="2C256FF0" w14:textId="77777777" w:rsidR="00C71659" w:rsidRPr="000F269C" w:rsidRDefault="00C71659" w:rsidP="00C71659">
      <w:pPr>
        <w:pStyle w:val="Heading3"/>
      </w:pPr>
      <w:bookmarkStart w:id="340" w:name="_Toc462577211"/>
      <w:bookmarkStart w:id="341" w:name="_Toc520974735"/>
      <w:bookmarkStart w:id="342" w:name="_Toc50998473"/>
      <w:bookmarkStart w:id="343" w:name="_Ref52282887"/>
      <w:bookmarkStart w:id="344" w:name="_Toc110778209"/>
      <w:r w:rsidRPr="000F269C">
        <w:t>Financial report</w:t>
      </w:r>
      <w:bookmarkEnd w:id="340"/>
      <w:bookmarkEnd w:id="341"/>
      <w:bookmarkEnd w:id="342"/>
      <w:bookmarkEnd w:id="343"/>
      <w:bookmarkEnd w:id="344"/>
    </w:p>
    <w:tbl>
      <w:tblPr>
        <w:tblW w:w="9639" w:type="dxa"/>
        <w:tblBorders>
          <w:left w:val="single" w:sz="4" w:space="0" w:color="FFFFFF"/>
          <w:bottom w:val="single" w:sz="4" w:space="0" w:color="auto"/>
          <w:right w:val="single" w:sz="4" w:space="0" w:color="FFFFFF"/>
          <w:insideH w:val="single" w:sz="4" w:space="0" w:color="auto"/>
          <w:insideV w:val="single" w:sz="4" w:space="0" w:color="FFFFFF"/>
        </w:tblBorders>
        <w:tblCellMar>
          <w:left w:w="0" w:type="dxa"/>
        </w:tblCellMar>
        <w:tblLook w:val="06A0" w:firstRow="1" w:lastRow="0" w:firstColumn="1" w:lastColumn="0" w:noHBand="1" w:noVBand="1"/>
      </w:tblPr>
      <w:tblGrid>
        <w:gridCol w:w="1985"/>
        <w:gridCol w:w="6374"/>
        <w:gridCol w:w="1280"/>
      </w:tblGrid>
      <w:tr w:rsidR="00C71659" w:rsidRPr="000F269C" w14:paraId="62922D57" w14:textId="77777777" w:rsidTr="001E4576">
        <w:trPr>
          <w:tblHeader/>
        </w:trPr>
        <w:tc>
          <w:tcPr>
            <w:tcW w:w="1985" w:type="dxa"/>
            <w:tcBorders>
              <w:top w:val="nil"/>
            </w:tcBorders>
            <w:vAlign w:val="bottom"/>
          </w:tcPr>
          <w:p w14:paraId="33440E73" w14:textId="77777777" w:rsidR="00C71659" w:rsidRPr="000F269C" w:rsidRDefault="00C71659">
            <w:pPr>
              <w:pStyle w:val="ARtablecolhead"/>
              <w:spacing w:before="60" w:after="40"/>
            </w:pPr>
            <w:r w:rsidRPr="000F269C">
              <w:t>Ministerial directions</w:t>
            </w:r>
          </w:p>
        </w:tc>
        <w:tc>
          <w:tcPr>
            <w:tcW w:w="6374" w:type="dxa"/>
            <w:tcBorders>
              <w:top w:val="nil"/>
            </w:tcBorders>
            <w:vAlign w:val="bottom"/>
          </w:tcPr>
          <w:p w14:paraId="54EB1776" w14:textId="77777777" w:rsidR="00C71659" w:rsidRPr="000F269C" w:rsidRDefault="00C71659">
            <w:pPr>
              <w:pStyle w:val="ARtablecolhead"/>
              <w:spacing w:before="60" w:after="40"/>
            </w:pPr>
            <w:r w:rsidRPr="000F269C">
              <w:t>Requirement</w:t>
            </w:r>
          </w:p>
        </w:tc>
        <w:tc>
          <w:tcPr>
            <w:tcW w:w="1280" w:type="dxa"/>
            <w:tcBorders>
              <w:top w:val="nil"/>
            </w:tcBorders>
            <w:tcMar>
              <w:right w:w="0" w:type="dxa"/>
            </w:tcMar>
            <w:vAlign w:val="bottom"/>
          </w:tcPr>
          <w:p w14:paraId="59EFE0DC" w14:textId="77777777" w:rsidR="00C71659" w:rsidRPr="000F269C" w:rsidRDefault="00C71659">
            <w:pPr>
              <w:pStyle w:val="ARtablecolheadright"/>
              <w:spacing w:before="60" w:after="40"/>
            </w:pPr>
            <w:r w:rsidRPr="000F269C">
              <w:t>Page</w:t>
            </w:r>
          </w:p>
        </w:tc>
      </w:tr>
      <w:tr w:rsidR="00C71659" w:rsidRPr="000F269C" w14:paraId="2E9D2E6E" w14:textId="77777777" w:rsidTr="001E4576">
        <w:tc>
          <w:tcPr>
            <w:tcW w:w="9639" w:type="dxa"/>
            <w:gridSpan w:val="3"/>
            <w:tcBorders>
              <w:bottom w:val="nil"/>
            </w:tcBorders>
            <w:tcMar>
              <w:right w:w="0" w:type="dxa"/>
            </w:tcMar>
          </w:tcPr>
          <w:p w14:paraId="1CE23F25" w14:textId="77777777" w:rsidR="00C71659" w:rsidRPr="000F269C" w:rsidRDefault="00C71659">
            <w:pPr>
              <w:pStyle w:val="ARtabletextbold"/>
              <w:spacing w:before="60" w:after="40"/>
            </w:pPr>
            <w:r w:rsidRPr="000F269C">
              <w:t>Declaration</w:t>
            </w:r>
          </w:p>
        </w:tc>
      </w:tr>
      <w:tr w:rsidR="00C71659" w:rsidRPr="000F269C" w14:paraId="750F0B2C" w14:textId="77777777" w:rsidTr="001E4576">
        <w:tc>
          <w:tcPr>
            <w:tcW w:w="1985" w:type="dxa"/>
            <w:tcBorders>
              <w:top w:val="nil"/>
              <w:bottom w:val="single" w:sz="4" w:space="0" w:color="auto"/>
            </w:tcBorders>
          </w:tcPr>
          <w:p w14:paraId="5F0B1072" w14:textId="77777777" w:rsidR="00C71659" w:rsidRPr="000F269C" w:rsidRDefault="00C71659">
            <w:pPr>
              <w:pStyle w:val="ARtabletext0"/>
              <w:spacing w:before="60" w:after="40"/>
            </w:pPr>
            <w:r w:rsidRPr="000F269C">
              <w:t>SD 5.2.2</w:t>
            </w:r>
          </w:p>
        </w:tc>
        <w:tc>
          <w:tcPr>
            <w:tcW w:w="6374" w:type="dxa"/>
            <w:tcBorders>
              <w:top w:val="nil"/>
              <w:bottom w:val="single" w:sz="4" w:space="0" w:color="auto"/>
            </w:tcBorders>
          </w:tcPr>
          <w:p w14:paraId="4682C120" w14:textId="77777777" w:rsidR="00C71659" w:rsidRPr="000F269C" w:rsidRDefault="00C71659">
            <w:pPr>
              <w:pStyle w:val="ARtabletext0"/>
              <w:spacing w:before="60" w:after="40"/>
            </w:pPr>
            <w:r w:rsidRPr="000F269C">
              <w:t>Declaration in financial statements</w:t>
            </w:r>
          </w:p>
        </w:tc>
        <w:tc>
          <w:tcPr>
            <w:tcW w:w="1280" w:type="dxa"/>
            <w:tcBorders>
              <w:top w:val="nil"/>
              <w:bottom w:val="single" w:sz="4" w:space="0" w:color="auto"/>
            </w:tcBorders>
            <w:tcMar>
              <w:right w:w="0" w:type="dxa"/>
            </w:tcMar>
          </w:tcPr>
          <w:p w14:paraId="2137CF0E" w14:textId="19BBD047" w:rsidR="00C71659" w:rsidRPr="000F269C" w:rsidRDefault="00F23D89">
            <w:pPr>
              <w:pStyle w:val="ARtabletextright"/>
              <w:spacing w:before="60" w:after="40"/>
            </w:pPr>
            <w:hyperlink w:anchor="Declarationinthefinancialstatements" w:history="1">
              <w:r w:rsidRPr="000F269C">
                <w:rPr>
                  <w:rStyle w:val="Hyperlink"/>
                </w:rPr>
                <w:t>151</w:t>
              </w:r>
            </w:hyperlink>
          </w:p>
        </w:tc>
      </w:tr>
      <w:tr w:rsidR="00C71659" w:rsidRPr="000F269C" w14:paraId="125AA211" w14:textId="77777777" w:rsidTr="001E4576">
        <w:tc>
          <w:tcPr>
            <w:tcW w:w="9639" w:type="dxa"/>
            <w:gridSpan w:val="3"/>
            <w:tcBorders>
              <w:top w:val="single" w:sz="4" w:space="0" w:color="auto"/>
              <w:bottom w:val="nil"/>
            </w:tcBorders>
            <w:tcMar>
              <w:right w:w="0" w:type="dxa"/>
            </w:tcMar>
          </w:tcPr>
          <w:p w14:paraId="5D2C94F0" w14:textId="77777777" w:rsidR="00C71659" w:rsidRPr="000F269C" w:rsidRDefault="00C71659">
            <w:pPr>
              <w:pStyle w:val="ARtabletextbold"/>
              <w:spacing w:before="60" w:after="40"/>
            </w:pPr>
            <w:r w:rsidRPr="000F269C">
              <w:t>Other requirements under Standing Directions 5.2</w:t>
            </w:r>
          </w:p>
        </w:tc>
      </w:tr>
      <w:tr w:rsidR="00C71659" w:rsidRPr="000F269C" w14:paraId="5BF02C9E" w14:textId="77777777" w:rsidTr="001E4576">
        <w:tc>
          <w:tcPr>
            <w:tcW w:w="1985" w:type="dxa"/>
            <w:tcBorders>
              <w:top w:val="nil"/>
            </w:tcBorders>
          </w:tcPr>
          <w:p w14:paraId="3A0828B6" w14:textId="77777777" w:rsidR="00C71659" w:rsidRPr="000F269C" w:rsidRDefault="00C71659">
            <w:pPr>
              <w:pStyle w:val="ARtabletext0"/>
              <w:spacing w:before="60" w:after="40"/>
            </w:pPr>
            <w:r w:rsidRPr="000F269C">
              <w:t>SD 5.2.1(a)</w:t>
            </w:r>
          </w:p>
        </w:tc>
        <w:tc>
          <w:tcPr>
            <w:tcW w:w="6374" w:type="dxa"/>
            <w:tcBorders>
              <w:top w:val="nil"/>
            </w:tcBorders>
          </w:tcPr>
          <w:p w14:paraId="660EB358" w14:textId="77777777" w:rsidR="00C71659" w:rsidRPr="000F269C" w:rsidRDefault="00C71659">
            <w:pPr>
              <w:pStyle w:val="ARtabletext0"/>
              <w:spacing w:before="60" w:after="40"/>
            </w:pPr>
            <w:r w:rsidRPr="000F269C">
              <w:t>Compliance with Australian accounting standards and other authoritative pronouncements</w:t>
            </w:r>
          </w:p>
        </w:tc>
        <w:tc>
          <w:tcPr>
            <w:tcW w:w="1280" w:type="dxa"/>
            <w:tcBorders>
              <w:top w:val="nil"/>
            </w:tcBorders>
            <w:tcMar>
              <w:right w:w="0" w:type="dxa"/>
            </w:tcMar>
          </w:tcPr>
          <w:p w14:paraId="5D032004" w14:textId="5F089876" w:rsidR="00C71659" w:rsidRPr="000F269C" w:rsidRDefault="00F23D89">
            <w:pPr>
              <w:pStyle w:val="ARtabletextright"/>
              <w:spacing w:before="60" w:after="40"/>
            </w:pPr>
            <w:hyperlink w:anchor="Declarationinthefinancialstatements" w:history="1">
              <w:r w:rsidRPr="000F269C">
                <w:rPr>
                  <w:rStyle w:val="Hyperlink"/>
                </w:rPr>
                <w:t>151</w:t>
              </w:r>
            </w:hyperlink>
          </w:p>
        </w:tc>
      </w:tr>
      <w:tr w:rsidR="00C71659" w:rsidRPr="000F269C" w14:paraId="1E5396A7" w14:textId="77777777" w:rsidTr="001E4576">
        <w:tc>
          <w:tcPr>
            <w:tcW w:w="1985" w:type="dxa"/>
          </w:tcPr>
          <w:p w14:paraId="27EC8A35" w14:textId="77777777" w:rsidR="00C71659" w:rsidRPr="000F269C" w:rsidRDefault="00C71659">
            <w:pPr>
              <w:pStyle w:val="ARtabletext0"/>
              <w:spacing w:before="60" w:after="40"/>
            </w:pPr>
            <w:r w:rsidRPr="000F269C">
              <w:t>SD 5.2.1(a)</w:t>
            </w:r>
          </w:p>
        </w:tc>
        <w:tc>
          <w:tcPr>
            <w:tcW w:w="6374" w:type="dxa"/>
          </w:tcPr>
          <w:p w14:paraId="387EE0CE" w14:textId="77777777" w:rsidR="00C71659" w:rsidRPr="000F269C" w:rsidRDefault="00C71659">
            <w:pPr>
              <w:pStyle w:val="ARtabletext0"/>
              <w:spacing w:before="60" w:after="40"/>
            </w:pPr>
            <w:r w:rsidRPr="000F269C">
              <w:t>Compliance with Standing Directions</w:t>
            </w:r>
          </w:p>
        </w:tc>
        <w:tc>
          <w:tcPr>
            <w:tcW w:w="1280" w:type="dxa"/>
            <w:tcMar>
              <w:right w:w="0" w:type="dxa"/>
            </w:tcMar>
          </w:tcPr>
          <w:p w14:paraId="76831899" w14:textId="31256CAD" w:rsidR="00C71659" w:rsidRPr="000F269C" w:rsidRDefault="00F23D89">
            <w:pPr>
              <w:pStyle w:val="ARtabletextright"/>
              <w:spacing w:before="60" w:after="40"/>
            </w:pPr>
            <w:hyperlink w:anchor="Declarationinthefinancialstatements" w:history="1">
              <w:r w:rsidRPr="000F269C">
                <w:rPr>
                  <w:rStyle w:val="Hyperlink"/>
                </w:rPr>
                <w:t>151</w:t>
              </w:r>
            </w:hyperlink>
          </w:p>
        </w:tc>
      </w:tr>
      <w:tr w:rsidR="00C71659" w:rsidRPr="000F269C" w14:paraId="4854E676" w14:textId="77777777" w:rsidTr="001E4576">
        <w:tc>
          <w:tcPr>
            <w:tcW w:w="1985" w:type="dxa"/>
            <w:tcBorders>
              <w:bottom w:val="single" w:sz="4" w:space="0" w:color="auto"/>
            </w:tcBorders>
          </w:tcPr>
          <w:p w14:paraId="07C73BE5" w14:textId="77777777" w:rsidR="00C71659" w:rsidRPr="000F269C" w:rsidRDefault="00C71659">
            <w:pPr>
              <w:pStyle w:val="ARtabletext0"/>
              <w:spacing w:before="60" w:after="40"/>
            </w:pPr>
            <w:r w:rsidRPr="000F269C">
              <w:t>SD 5.2.1(b)</w:t>
            </w:r>
          </w:p>
        </w:tc>
        <w:tc>
          <w:tcPr>
            <w:tcW w:w="6374" w:type="dxa"/>
            <w:tcBorders>
              <w:bottom w:val="single" w:sz="4" w:space="0" w:color="auto"/>
            </w:tcBorders>
          </w:tcPr>
          <w:p w14:paraId="01516EA7" w14:textId="77777777" w:rsidR="00C71659" w:rsidRPr="000F269C" w:rsidRDefault="00C71659">
            <w:pPr>
              <w:pStyle w:val="ARtabletext0"/>
              <w:spacing w:before="60" w:after="40"/>
            </w:pPr>
            <w:r w:rsidRPr="000F269C">
              <w:t>Compliance with Model Financial Report</w:t>
            </w:r>
          </w:p>
        </w:tc>
        <w:tc>
          <w:tcPr>
            <w:tcW w:w="1280" w:type="dxa"/>
            <w:tcBorders>
              <w:bottom w:val="single" w:sz="4" w:space="0" w:color="auto"/>
            </w:tcBorders>
            <w:tcMar>
              <w:right w:w="0" w:type="dxa"/>
            </w:tcMar>
          </w:tcPr>
          <w:p w14:paraId="2C0EA176" w14:textId="4F0CDE68" w:rsidR="00C71659" w:rsidRPr="000F269C" w:rsidRDefault="00F23D89">
            <w:pPr>
              <w:pStyle w:val="ARtabletextright"/>
              <w:spacing w:before="60" w:after="40"/>
            </w:pPr>
            <w:hyperlink w:anchor="Declarationinthefinancialstatements" w:history="1">
              <w:r w:rsidRPr="000F269C">
                <w:rPr>
                  <w:rStyle w:val="Hyperlink"/>
                </w:rPr>
                <w:t>151</w:t>
              </w:r>
            </w:hyperlink>
          </w:p>
        </w:tc>
      </w:tr>
      <w:tr w:rsidR="00C71659" w:rsidRPr="000F269C" w14:paraId="11DE68C5" w14:textId="77777777" w:rsidTr="001E4576">
        <w:tc>
          <w:tcPr>
            <w:tcW w:w="9639" w:type="dxa"/>
            <w:gridSpan w:val="3"/>
            <w:tcBorders>
              <w:top w:val="single" w:sz="4" w:space="0" w:color="auto"/>
              <w:bottom w:val="nil"/>
            </w:tcBorders>
            <w:tcMar>
              <w:right w:w="0" w:type="dxa"/>
            </w:tcMar>
          </w:tcPr>
          <w:p w14:paraId="7C1A23DA" w14:textId="7E9A7868" w:rsidR="00C71659" w:rsidRPr="000F269C" w:rsidRDefault="00C71659">
            <w:pPr>
              <w:pStyle w:val="ARtabletextbold"/>
              <w:spacing w:before="60" w:after="40"/>
            </w:pPr>
            <w:r w:rsidRPr="000F269C">
              <w:t>Other requirements as required by FRDs in notes to the financial statements</w:t>
            </w:r>
            <w:r w:rsidRPr="000F269C">
              <w:rPr>
                <w:rStyle w:val="FootnoteReference"/>
              </w:rPr>
              <w:footnoteReference w:id="43"/>
            </w:r>
          </w:p>
        </w:tc>
      </w:tr>
      <w:tr w:rsidR="00C71659" w:rsidRPr="000F269C" w14:paraId="73A13055" w14:textId="77777777" w:rsidTr="001E4576">
        <w:tc>
          <w:tcPr>
            <w:tcW w:w="1985" w:type="dxa"/>
            <w:tcBorders>
              <w:top w:val="nil"/>
            </w:tcBorders>
          </w:tcPr>
          <w:p w14:paraId="1C6609BC" w14:textId="77777777" w:rsidR="00C71659" w:rsidRPr="000F269C" w:rsidRDefault="00C71659">
            <w:pPr>
              <w:pStyle w:val="ARtabletext0"/>
              <w:spacing w:before="60" w:after="40"/>
            </w:pPr>
            <w:r w:rsidRPr="000F269C">
              <w:t>FRD 9</w:t>
            </w:r>
          </w:p>
        </w:tc>
        <w:tc>
          <w:tcPr>
            <w:tcW w:w="6374" w:type="dxa"/>
            <w:tcBorders>
              <w:top w:val="nil"/>
            </w:tcBorders>
          </w:tcPr>
          <w:p w14:paraId="119045AB" w14:textId="77777777" w:rsidR="00C71659" w:rsidRPr="000F269C" w:rsidRDefault="00C71659">
            <w:pPr>
              <w:pStyle w:val="ARtabletext0"/>
              <w:spacing w:before="60" w:after="40"/>
            </w:pPr>
            <w:r w:rsidRPr="000F269C">
              <w:t>Departmental disclosure of administered assets and liabilities by activity</w:t>
            </w:r>
          </w:p>
        </w:tc>
        <w:tc>
          <w:tcPr>
            <w:tcW w:w="1280" w:type="dxa"/>
            <w:tcBorders>
              <w:top w:val="nil"/>
            </w:tcBorders>
            <w:tcMar>
              <w:right w:w="0" w:type="dxa"/>
            </w:tcMar>
          </w:tcPr>
          <w:p w14:paraId="66CD78D3" w14:textId="69FB9B6B" w:rsidR="00C71659" w:rsidRPr="000F269C" w:rsidRDefault="00D82DC9" w:rsidP="00F415D5">
            <w:pPr>
              <w:pStyle w:val="ARtabletextright"/>
              <w:spacing w:before="60" w:after="40"/>
            </w:pPr>
            <w:hyperlink w:anchor="_4.2.2__Administered" w:history="1">
              <w:r w:rsidRPr="000F269C">
                <w:rPr>
                  <w:rStyle w:val="Hyperlink"/>
                </w:rPr>
                <w:t>181</w:t>
              </w:r>
            </w:hyperlink>
            <w:hyperlink w:anchor="_2.1__Summary" w:history="1"/>
          </w:p>
        </w:tc>
      </w:tr>
      <w:tr w:rsidR="00C71659" w:rsidRPr="000F269C" w14:paraId="62816D47" w14:textId="77777777" w:rsidTr="001E4576">
        <w:trPr>
          <w:trHeight w:val="239"/>
        </w:trPr>
        <w:tc>
          <w:tcPr>
            <w:tcW w:w="1985" w:type="dxa"/>
          </w:tcPr>
          <w:p w14:paraId="09C82C7C" w14:textId="77777777" w:rsidR="00C71659" w:rsidRPr="000F269C" w:rsidRDefault="00C71659">
            <w:pPr>
              <w:pStyle w:val="ARtabletext0"/>
              <w:spacing w:before="60" w:after="40"/>
            </w:pPr>
            <w:r w:rsidRPr="000F269C">
              <w:t>FRD 11</w:t>
            </w:r>
          </w:p>
        </w:tc>
        <w:tc>
          <w:tcPr>
            <w:tcW w:w="6374" w:type="dxa"/>
          </w:tcPr>
          <w:p w14:paraId="5F5F5169" w14:textId="77777777" w:rsidR="00C71659" w:rsidRPr="000F269C" w:rsidRDefault="00C71659">
            <w:pPr>
              <w:pStyle w:val="ARtabletext0"/>
              <w:spacing w:before="60" w:after="40"/>
            </w:pPr>
            <w:r w:rsidRPr="000F269C">
              <w:t>Disclosure of ex gratia expenses</w:t>
            </w:r>
          </w:p>
        </w:tc>
        <w:tc>
          <w:tcPr>
            <w:tcW w:w="1280" w:type="dxa"/>
            <w:tcMar>
              <w:right w:w="0" w:type="dxa"/>
            </w:tcMar>
          </w:tcPr>
          <w:p w14:paraId="66C3041B" w14:textId="76C0CEDB" w:rsidR="00C71659" w:rsidRPr="000F269C" w:rsidRDefault="002D5BD7">
            <w:pPr>
              <w:pStyle w:val="ARtabletextright"/>
              <w:spacing w:before="60" w:after="40"/>
            </w:pPr>
            <w:hyperlink w:anchor="Exgratiaexpenses" w:history="1">
              <w:r w:rsidRPr="000F269C">
                <w:rPr>
                  <w:rStyle w:val="Hyperlink"/>
                </w:rPr>
                <w:t>216</w:t>
              </w:r>
            </w:hyperlink>
          </w:p>
        </w:tc>
      </w:tr>
      <w:tr w:rsidR="00C71659" w:rsidRPr="000F269C" w14:paraId="775CB3E5" w14:textId="77777777" w:rsidTr="001E4576">
        <w:tc>
          <w:tcPr>
            <w:tcW w:w="1985" w:type="dxa"/>
          </w:tcPr>
          <w:p w14:paraId="1A4A2519" w14:textId="77777777" w:rsidR="00C71659" w:rsidRPr="000F269C" w:rsidRDefault="00C71659">
            <w:pPr>
              <w:pStyle w:val="ARtabletext0"/>
              <w:spacing w:before="60" w:after="40"/>
            </w:pPr>
            <w:r w:rsidRPr="000F269C">
              <w:t>FRD 13</w:t>
            </w:r>
          </w:p>
        </w:tc>
        <w:tc>
          <w:tcPr>
            <w:tcW w:w="6374" w:type="dxa"/>
          </w:tcPr>
          <w:p w14:paraId="297DDD91" w14:textId="77777777" w:rsidR="00C71659" w:rsidRPr="000F269C" w:rsidRDefault="00C71659">
            <w:pPr>
              <w:pStyle w:val="ARtabletext0"/>
              <w:spacing w:before="60" w:after="40"/>
            </w:pPr>
            <w:r w:rsidRPr="000F269C">
              <w:t xml:space="preserve">Disclosure of parliamentary appropriations </w:t>
            </w:r>
          </w:p>
        </w:tc>
        <w:tc>
          <w:tcPr>
            <w:tcW w:w="1280" w:type="dxa"/>
            <w:tcMar>
              <w:right w:w="0" w:type="dxa"/>
            </w:tcMar>
          </w:tcPr>
          <w:p w14:paraId="5CA9C0F7" w14:textId="7CC8361F" w:rsidR="00C71659" w:rsidRPr="000F269C" w:rsidRDefault="00242892">
            <w:pPr>
              <w:pStyle w:val="ARtabletextright"/>
              <w:spacing w:before="60" w:after="40"/>
            </w:pPr>
            <w:hyperlink w:anchor="_2.2__Appropriations" w:history="1">
              <w:r>
                <w:rPr>
                  <w:rStyle w:val="Hyperlink"/>
                </w:rPr>
                <w:t>153</w:t>
              </w:r>
            </w:hyperlink>
          </w:p>
        </w:tc>
      </w:tr>
      <w:tr w:rsidR="00C71659" w:rsidRPr="000F269C" w14:paraId="38D164DB" w14:textId="77777777" w:rsidTr="001E4576">
        <w:tc>
          <w:tcPr>
            <w:tcW w:w="1985" w:type="dxa"/>
          </w:tcPr>
          <w:p w14:paraId="3A6E552C" w14:textId="77777777" w:rsidR="00C71659" w:rsidRPr="000F269C" w:rsidRDefault="00C71659">
            <w:pPr>
              <w:pStyle w:val="ARtabletext0"/>
              <w:spacing w:before="60" w:after="40"/>
            </w:pPr>
            <w:r w:rsidRPr="000F269C">
              <w:t>FRD 21</w:t>
            </w:r>
          </w:p>
        </w:tc>
        <w:tc>
          <w:tcPr>
            <w:tcW w:w="6374" w:type="dxa"/>
          </w:tcPr>
          <w:p w14:paraId="35C651ED" w14:textId="77777777" w:rsidR="00C71659" w:rsidRPr="000F269C" w:rsidRDefault="00C71659">
            <w:pPr>
              <w:pStyle w:val="ARtabletext0"/>
              <w:spacing w:before="60" w:after="40"/>
            </w:pPr>
            <w:r w:rsidRPr="000F269C">
              <w:t>Disclosures of responsible persons, executive officers and other personnel (contractors with significant management responsibilities) in the financial report</w:t>
            </w:r>
          </w:p>
        </w:tc>
        <w:tc>
          <w:tcPr>
            <w:tcW w:w="1280" w:type="dxa"/>
            <w:tcMar>
              <w:right w:w="0" w:type="dxa"/>
            </w:tcMar>
          </w:tcPr>
          <w:p w14:paraId="1441BBE1" w14:textId="1D96CC87" w:rsidR="00C71659" w:rsidRPr="000F269C" w:rsidRDefault="009F6854">
            <w:pPr>
              <w:pStyle w:val="ARtabletextright"/>
              <w:spacing w:before="60" w:after="40"/>
            </w:pPr>
            <w:hyperlink w:anchor="Responsiblepersons" w:history="1">
              <w:r w:rsidRPr="000F269C">
                <w:rPr>
                  <w:rStyle w:val="Hyperlink"/>
                </w:rPr>
                <w:t>219–220</w:t>
              </w:r>
            </w:hyperlink>
          </w:p>
        </w:tc>
      </w:tr>
      <w:tr w:rsidR="00C71659" w:rsidRPr="000F269C" w14:paraId="76228CFF" w14:textId="77777777" w:rsidTr="001E4576">
        <w:tc>
          <w:tcPr>
            <w:tcW w:w="1985" w:type="dxa"/>
          </w:tcPr>
          <w:p w14:paraId="5416EF4A" w14:textId="77777777" w:rsidR="00C71659" w:rsidRPr="000F269C" w:rsidRDefault="00C71659">
            <w:pPr>
              <w:pStyle w:val="ARtabletext0"/>
              <w:spacing w:before="60" w:after="40"/>
            </w:pPr>
            <w:r w:rsidRPr="000F269C">
              <w:t>FRD 103</w:t>
            </w:r>
          </w:p>
        </w:tc>
        <w:tc>
          <w:tcPr>
            <w:tcW w:w="6374" w:type="dxa"/>
          </w:tcPr>
          <w:p w14:paraId="0EE6B989" w14:textId="77777777" w:rsidR="00C71659" w:rsidRPr="000F269C" w:rsidRDefault="00C71659">
            <w:pPr>
              <w:pStyle w:val="ARtabletext0"/>
              <w:spacing w:before="60" w:after="40"/>
            </w:pPr>
            <w:r w:rsidRPr="000F269C">
              <w:t>Non-financial physical assets</w:t>
            </w:r>
          </w:p>
        </w:tc>
        <w:tc>
          <w:tcPr>
            <w:tcW w:w="1280" w:type="dxa"/>
            <w:tcMar>
              <w:right w:w="0" w:type="dxa"/>
            </w:tcMar>
          </w:tcPr>
          <w:p w14:paraId="44687378" w14:textId="363F5790" w:rsidR="00C71659" w:rsidRPr="000F269C" w:rsidRDefault="00FA0849">
            <w:pPr>
              <w:pStyle w:val="ARtabletextright"/>
              <w:spacing w:before="60" w:after="40"/>
            </w:pPr>
            <w:hyperlink w:anchor="Balancesheet" w:history="1">
              <w:r w:rsidRPr="000F269C">
                <w:rPr>
                  <w:rStyle w:val="Hyperlink"/>
                </w:rPr>
                <w:t>232</w:t>
              </w:r>
            </w:hyperlink>
            <w:r w:rsidR="00C71659" w:rsidRPr="000F269C">
              <w:t>,</w:t>
            </w:r>
            <w:r w:rsidR="007F66D1" w:rsidRPr="000F269C">
              <w:t xml:space="preserve"> </w:t>
            </w:r>
            <w:hyperlink w:anchor="_Introduction" w:history="1">
              <w:r w:rsidRPr="000F269C">
                <w:rPr>
                  <w:rStyle w:val="Hyperlink"/>
                </w:rPr>
                <w:t>183</w:t>
              </w:r>
            </w:hyperlink>
            <w:r w:rsidR="007F66D1" w:rsidRPr="000F269C">
              <w:t>,</w:t>
            </w:r>
            <w:r w:rsidR="00C71659" w:rsidRPr="000F269C">
              <w:t xml:space="preserve"> </w:t>
            </w:r>
            <w:hyperlink w:anchor="Otherdisclosures" w:history="1">
              <w:r w:rsidRPr="000F269C">
                <w:rPr>
                  <w:rStyle w:val="Hyperlink"/>
                </w:rPr>
                <w:t>216</w:t>
              </w:r>
            </w:hyperlink>
            <w:r w:rsidR="00C71659" w:rsidRPr="000F269C">
              <w:t xml:space="preserve">, </w:t>
            </w:r>
            <w:hyperlink w:anchor="Reserves" w:history="1">
              <w:r w:rsidR="00F80012" w:rsidRPr="000F269C">
                <w:rPr>
                  <w:rStyle w:val="Hyperlink"/>
                </w:rPr>
                <w:t>217–218</w:t>
              </w:r>
            </w:hyperlink>
          </w:p>
        </w:tc>
      </w:tr>
      <w:tr w:rsidR="00C71659" w:rsidRPr="000F269C" w14:paraId="5779604E" w14:textId="77777777" w:rsidTr="001E4576">
        <w:tc>
          <w:tcPr>
            <w:tcW w:w="1985" w:type="dxa"/>
          </w:tcPr>
          <w:p w14:paraId="2687FAA4" w14:textId="77777777" w:rsidR="00C71659" w:rsidRPr="000F269C" w:rsidRDefault="00C71659">
            <w:pPr>
              <w:pStyle w:val="ARtabletext0"/>
              <w:spacing w:before="60" w:after="40"/>
            </w:pPr>
            <w:r w:rsidRPr="000F269C">
              <w:t>FRD 110</w:t>
            </w:r>
          </w:p>
        </w:tc>
        <w:tc>
          <w:tcPr>
            <w:tcW w:w="6374" w:type="dxa"/>
          </w:tcPr>
          <w:p w14:paraId="49A71D8D" w14:textId="77777777" w:rsidR="00C71659" w:rsidRPr="000F269C" w:rsidRDefault="00C71659">
            <w:pPr>
              <w:pStyle w:val="ARtabletext0"/>
              <w:spacing w:before="60" w:after="40"/>
            </w:pPr>
            <w:r w:rsidRPr="000F269C">
              <w:t>Cash flow statements</w:t>
            </w:r>
          </w:p>
        </w:tc>
        <w:tc>
          <w:tcPr>
            <w:tcW w:w="1280" w:type="dxa"/>
            <w:tcMar>
              <w:right w:w="0" w:type="dxa"/>
            </w:tcMar>
          </w:tcPr>
          <w:p w14:paraId="2B257800" w14:textId="0C891285" w:rsidR="00C71659" w:rsidRPr="000F269C" w:rsidRDefault="00F80012">
            <w:pPr>
              <w:pStyle w:val="ARtabletextright"/>
              <w:spacing w:before="60" w:after="40"/>
            </w:pPr>
            <w:hyperlink w:anchor="_Statement_of_cash" w:history="1">
              <w:r w:rsidRPr="000F269C">
                <w:rPr>
                  <w:rStyle w:val="Hyperlink"/>
                </w:rPr>
                <w:t>233</w:t>
              </w:r>
            </w:hyperlink>
            <w:r w:rsidR="003178EF" w:rsidRPr="000F269C">
              <w:t xml:space="preserve">, </w:t>
            </w:r>
            <w:hyperlink w:anchor="_Cash_flow_statement" w:history="1">
              <w:r w:rsidRPr="000F269C">
                <w:rPr>
                  <w:rStyle w:val="Hyperlink"/>
                </w:rPr>
                <w:t>238</w:t>
              </w:r>
            </w:hyperlink>
          </w:p>
        </w:tc>
      </w:tr>
      <w:tr w:rsidR="00C71659" w:rsidRPr="000F269C" w14:paraId="26A2E3E2" w14:textId="77777777" w:rsidTr="001E4576">
        <w:tc>
          <w:tcPr>
            <w:tcW w:w="1985" w:type="dxa"/>
          </w:tcPr>
          <w:p w14:paraId="6670750A" w14:textId="77777777" w:rsidR="00C71659" w:rsidRPr="000F269C" w:rsidRDefault="00C71659">
            <w:pPr>
              <w:pStyle w:val="ARtabletext0"/>
              <w:spacing w:before="60" w:after="40"/>
            </w:pPr>
            <w:r w:rsidRPr="000F269C">
              <w:t>FRD 112</w:t>
            </w:r>
          </w:p>
        </w:tc>
        <w:tc>
          <w:tcPr>
            <w:tcW w:w="6374" w:type="dxa"/>
          </w:tcPr>
          <w:p w14:paraId="0346DF45" w14:textId="77777777" w:rsidR="00C71659" w:rsidRPr="000F269C" w:rsidRDefault="00C71659">
            <w:pPr>
              <w:pStyle w:val="ARtabletext0"/>
              <w:spacing w:before="60" w:after="40"/>
            </w:pPr>
            <w:r w:rsidRPr="000F269C">
              <w:t>Defined benefit superannuation obligations</w:t>
            </w:r>
          </w:p>
        </w:tc>
        <w:tc>
          <w:tcPr>
            <w:tcW w:w="1280" w:type="dxa"/>
            <w:tcMar>
              <w:right w:w="0" w:type="dxa"/>
            </w:tcMar>
          </w:tcPr>
          <w:p w14:paraId="50F01D5A" w14:textId="6BCF4E18" w:rsidR="00C71659" w:rsidRPr="000F269C" w:rsidRDefault="00F80012">
            <w:pPr>
              <w:pStyle w:val="ARtabletextright"/>
              <w:spacing w:before="60" w:after="40"/>
            </w:pPr>
            <w:hyperlink w:anchor="_Provisions_for_superannuation" w:history="1">
              <w:r w:rsidRPr="000F269C">
                <w:rPr>
                  <w:rStyle w:val="Hyperlink"/>
                </w:rPr>
                <w:t>169</w:t>
              </w:r>
            </w:hyperlink>
          </w:p>
        </w:tc>
      </w:tr>
      <w:tr w:rsidR="00C71659" w:rsidRPr="00435585" w14:paraId="35D1E633" w14:textId="77777777" w:rsidTr="001E4576">
        <w:tc>
          <w:tcPr>
            <w:tcW w:w="1985" w:type="dxa"/>
          </w:tcPr>
          <w:p w14:paraId="520D2BF1" w14:textId="77777777" w:rsidR="00C71659" w:rsidRPr="000F269C" w:rsidRDefault="00C71659">
            <w:pPr>
              <w:pStyle w:val="ARtabletext0"/>
              <w:spacing w:before="60" w:after="40"/>
            </w:pPr>
            <w:r w:rsidRPr="000F269C">
              <w:t>FRD 114</w:t>
            </w:r>
          </w:p>
        </w:tc>
        <w:tc>
          <w:tcPr>
            <w:tcW w:w="6374" w:type="dxa"/>
          </w:tcPr>
          <w:p w14:paraId="5E5BAA65" w14:textId="77777777" w:rsidR="00C71659" w:rsidRPr="000F269C" w:rsidRDefault="00C71659">
            <w:pPr>
              <w:pStyle w:val="ARtabletext0"/>
              <w:spacing w:before="60" w:after="40"/>
            </w:pPr>
            <w:r w:rsidRPr="000F269C">
              <w:t xml:space="preserve">Financial instruments – general government entities and public </w:t>
            </w:r>
            <w:r w:rsidRPr="000F269C">
              <w:br/>
              <w:t>non-financial corporations</w:t>
            </w:r>
          </w:p>
        </w:tc>
        <w:tc>
          <w:tcPr>
            <w:tcW w:w="1280" w:type="dxa"/>
            <w:tcMar>
              <w:right w:w="0" w:type="dxa"/>
            </w:tcMar>
          </w:tcPr>
          <w:p w14:paraId="7DA4C977" w14:textId="1E5FA630" w:rsidR="00C71659" w:rsidRPr="000F269C" w:rsidRDefault="006C2CBA">
            <w:pPr>
              <w:pStyle w:val="ARtabletextright"/>
              <w:spacing w:before="60" w:after="40"/>
            </w:pPr>
            <w:hyperlink w:anchor="_8.1.1__Financial" w:history="1">
              <w:r w:rsidRPr="000F269C">
                <w:rPr>
                  <w:rStyle w:val="Hyperlink"/>
                </w:rPr>
                <w:t>204–205</w:t>
              </w:r>
            </w:hyperlink>
          </w:p>
        </w:tc>
      </w:tr>
    </w:tbl>
    <w:p w14:paraId="5078F1B1" w14:textId="77777777" w:rsidR="00C71659" w:rsidRPr="002516BF" w:rsidRDefault="00C71659" w:rsidP="00C71659">
      <w:pPr>
        <w:pStyle w:val="ARtablefootnote"/>
      </w:pPr>
      <w:r w:rsidRPr="002516BF">
        <w:t>Note: FRD = Financial Reporting Direction; SD = Standing Direction</w:t>
      </w:r>
    </w:p>
    <w:p w14:paraId="4ADCF1DC" w14:textId="77777777" w:rsidR="00C71659" w:rsidRPr="00400275" w:rsidRDefault="00C71659" w:rsidP="00C71659">
      <w:pPr>
        <w:pStyle w:val="ARbody0"/>
        <w:rPr>
          <w:highlight w:val="cyan"/>
        </w:rPr>
      </w:pPr>
      <w:bookmarkStart w:id="345" w:name="_Toc462577212"/>
      <w:bookmarkStart w:id="346" w:name="_Ref492894563"/>
      <w:bookmarkStart w:id="347" w:name="_Toc520974736"/>
      <w:bookmarkStart w:id="348" w:name="_Ref525048716"/>
      <w:bookmarkStart w:id="349" w:name="_Ref21862086"/>
      <w:bookmarkStart w:id="350" w:name="_Toc50998474"/>
      <w:bookmarkStart w:id="351" w:name="_Toc110778210"/>
      <w:r w:rsidRPr="00400275">
        <w:rPr>
          <w:highlight w:val="cyan"/>
        </w:rPr>
        <w:br w:type="page"/>
      </w:r>
    </w:p>
    <w:p w14:paraId="1937679B" w14:textId="77777777" w:rsidR="00C71659" w:rsidRPr="008859A6" w:rsidRDefault="00C71659" w:rsidP="00C71659">
      <w:pPr>
        <w:pStyle w:val="Heading3"/>
      </w:pPr>
      <w:r w:rsidRPr="008859A6">
        <w:t>Full report</w:t>
      </w:r>
      <w:bookmarkEnd w:id="345"/>
      <w:bookmarkEnd w:id="346"/>
      <w:bookmarkEnd w:id="347"/>
      <w:bookmarkEnd w:id="348"/>
      <w:bookmarkEnd w:id="349"/>
      <w:bookmarkEnd w:id="350"/>
      <w:bookmarkEnd w:id="351"/>
    </w:p>
    <w:tbl>
      <w:tblPr>
        <w:tblW w:w="0" w:type="auto"/>
        <w:tblBorders>
          <w:left w:val="single" w:sz="4" w:space="0" w:color="FFFFFF"/>
          <w:bottom w:val="single" w:sz="4" w:space="0" w:color="auto"/>
          <w:right w:val="single" w:sz="4" w:space="0" w:color="FFFFFF"/>
          <w:insideH w:val="single" w:sz="4" w:space="0" w:color="auto"/>
          <w:insideV w:val="single" w:sz="4" w:space="0" w:color="FFFFFF"/>
        </w:tblBorders>
        <w:tblLayout w:type="fixed"/>
        <w:tblCellMar>
          <w:left w:w="0" w:type="dxa"/>
        </w:tblCellMar>
        <w:tblLook w:val="06A0" w:firstRow="1" w:lastRow="0" w:firstColumn="1" w:lastColumn="0" w:noHBand="1" w:noVBand="1"/>
      </w:tblPr>
      <w:tblGrid>
        <w:gridCol w:w="8217"/>
        <w:gridCol w:w="1417"/>
      </w:tblGrid>
      <w:tr w:rsidR="00C71659" w:rsidRPr="000F269C" w14:paraId="5A306569" w14:textId="77777777" w:rsidTr="001E4576">
        <w:trPr>
          <w:cantSplit/>
          <w:tblHeader/>
        </w:trPr>
        <w:tc>
          <w:tcPr>
            <w:tcW w:w="8217" w:type="dxa"/>
            <w:tcBorders>
              <w:top w:val="nil"/>
            </w:tcBorders>
          </w:tcPr>
          <w:p w14:paraId="7D8E613F" w14:textId="77777777" w:rsidR="00C71659" w:rsidRPr="008859A6" w:rsidRDefault="00C71659">
            <w:pPr>
              <w:pStyle w:val="ARtablecolhead"/>
            </w:pPr>
            <w:r w:rsidRPr="008859A6">
              <w:t>Legislation</w:t>
            </w:r>
          </w:p>
        </w:tc>
        <w:tc>
          <w:tcPr>
            <w:tcW w:w="1417" w:type="dxa"/>
            <w:tcBorders>
              <w:top w:val="nil"/>
            </w:tcBorders>
            <w:tcMar>
              <w:right w:w="0" w:type="dxa"/>
            </w:tcMar>
          </w:tcPr>
          <w:p w14:paraId="5A35BA14" w14:textId="77777777" w:rsidR="00C71659" w:rsidRPr="000F269C" w:rsidRDefault="00C71659">
            <w:pPr>
              <w:pStyle w:val="ARtablecolheadright"/>
            </w:pPr>
            <w:r w:rsidRPr="000F269C">
              <w:t>Page</w:t>
            </w:r>
          </w:p>
        </w:tc>
      </w:tr>
      <w:tr w:rsidR="00C71659" w:rsidRPr="000F269C" w14:paraId="7D659BB7" w14:textId="77777777" w:rsidTr="001E4576">
        <w:trPr>
          <w:cantSplit/>
        </w:trPr>
        <w:tc>
          <w:tcPr>
            <w:tcW w:w="8217" w:type="dxa"/>
          </w:tcPr>
          <w:p w14:paraId="0DAF4650" w14:textId="77777777" w:rsidR="00C71659" w:rsidRPr="00C71659" w:rsidRDefault="00C71659">
            <w:pPr>
              <w:pStyle w:val="ARtabletext0"/>
              <w:rPr>
                <w:rStyle w:val="Emphasis"/>
              </w:rPr>
            </w:pPr>
            <w:r w:rsidRPr="00C71659">
              <w:rPr>
                <w:rStyle w:val="Emphasis"/>
              </w:rPr>
              <w:t>Building Act 1993</w:t>
            </w:r>
          </w:p>
        </w:tc>
        <w:tc>
          <w:tcPr>
            <w:tcW w:w="1417" w:type="dxa"/>
            <w:tcMar>
              <w:right w:w="0" w:type="dxa"/>
            </w:tcMar>
          </w:tcPr>
          <w:p w14:paraId="18292463" w14:textId="0E7543CD" w:rsidR="00C71659" w:rsidRPr="000F269C" w:rsidRDefault="00F80012" w:rsidP="00ED100D">
            <w:pPr>
              <w:pStyle w:val="ARtabletextright"/>
            </w:pPr>
            <w:hyperlink w:anchor="_Compliance_with_the" w:history="1">
              <w:r w:rsidRPr="000F269C">
                <w:rPr>
                  <w:rStyle w:val="Hyperlink"/>
                </w:rPr>
                <w:t>129–128</w:t>
              </w:r>
            </w:hyperlink>
          </w:p>
        </w:tc>
      </w:tr>
      <w:tr w:rsidR="00C71659" w:rsidRPr="000F269C" w14:paraId="70744203" w14:textId="77777777" w:rsidTr="001E4576">
        <w:trPr>
          <w:cantSplit/>
        </w:trPr>
        <w:tc>
          <w:tcPr>
            <w:tcW w:w="8217" w:type="dxa"/>
          </w:tcPr>
          <w:p w14:paraId="3E13ACB3" w14:textId="77777777" w:rsidR="00C71659" w:rsidRPr="00382411" w:rsidRDefault="00C71659">
            <w:pPr>
              <w:pStyle w:val="ARtabletext0"/>
              <w:rPr>
                <w:rStyle w:val="Emphasis"/>
              </w:rPr>
            </w:pPr>
            <w:r w:rsidRPr="00382411">
              <w:rPr>
                <w:rStyle w:val="Emphasis"/>
              </w:rPr>
              <w:t>Carers Recognition Act 2012</w:t>
            </w:r>
          </w:p>
        </w:tc>
        <w:tc>
          <w:tcPr>
            <w:tcW w:w="1417" w:type="dxa"/>
            <w:tcMar>
              <w:right w:w="0" w:type="dxa"/>
            </w:tcMar>
          </w:tcPr>
          <w:p w14:paraId="13D51430" w14:textId="30E99893" w:rsidR="00C71659" w:rsidRPr="000F269C" w:rsidRDefault="00F80012">
            <w:pPr>
              <w:pStyle w:val="ARtabletextright"/>
            </w:pPr>
            <w:hyperlink w:anchor="_Compliance_with_the_4" w:history="1">
              <w:r w:rsidRPr="000F269C">
                <w:rPr>
                  <w:rStyle w:val="Hyperlink"/>
                </w:rPr>
                <w:t>131–132</w:t>
              </w:r>
            </w:hyperlink>
          </w:p>
        </w:tc>
      </w:tr>
      <w:tr w:rsidR="00C71659" w:rsidRPr="000F269C" w14:paraId="4A26ABF8" w14:textId="77777777" w:rsidTr="001E4576">
        <w:trPr>
          <w:cantSplit/>
        </w:trPr>
        <w:tc>
          <w:tcPr>
            <w:tcW w:w="8217" w:type="dxa"/>
          </w:tcPr>
          <w:p w14:paraId="37155F5B" w14:textId="77777777" w:rsidR="00C71659" w:rsidRPr="00382411" w:rsidRDefault="00C71659">
            <w:pPr>
              <w:pStyle w:val="ARtabletext0"/>
              <w:rPr>
                <w:rStyle w:val="Emphasis"/>
              </w:rPr>
            </w:pPr>
            <w:r w:rsidRPr="00382411">
              <w:rPr>
                <w:rStyle w:val="Emphasis"/>
              </w:rPr>
              <w:t>Children, Youth and Families Act 2005</w:t>
            </w:r>
          </w:p>
        </w:tc>
        <w:tc>
          <w:tcPr>
            <w:tcW w:w="1417" w:type="dxa"/>
            <w:tcMar>
              <w:right w:w="0" w:type="dxa"/>
            </w:tcMar>
          </w:tcPr>
          <w:p w14:paraId="49F8000C" w14:textId="6AD8F08F" w:rsidR="00C71659" w:rsidRPr="000F269C" w:rsidRDefault="006C2CBA">
            <w:pPr>
              <w:pStyle w:val="ARtabletextright"/>
            </w:pPr>
            <w:hyperlink w:anchor="CYFact" w:history="1">
              <w:r w:rsidRPr="000F269C">
                <w:rPr>
                  <w:rStyle w:val="Hyperlink"/>
                </w:rPr>
                <w:t>20</w:t>
              </w:r>
            </w:hyperlink>
            <w:r w:rsidR="00810FAF" w:rsidRPr="000F269C">
              <w:t xml:space="preserve">, </w:t>
            </w:r>
            <w:hyperlink w:anchor="_Aboriginal_Children_in" w:history="1">
              <w:r w:rsidR="00F80012" w:rsidRPr="000F269C">
                <w:rPr>
                  <w:rStyle w:val="Hyperlink"/>
                </w:rPr>
                <w:t>33</w:t>
              </w:r>
            </w:hyperlink>
          </w:p>
        </w:tc>
      </w:tr>
      <w:tr w:rsidR="00C71659" w:rsidRPr="000F269C" w14:paraId="58C37235" w14:textId="77777777" w:rsidTr="001E4576">
        <w:trPr>
          <w:cantSplit/>
        </w:trPr>
        <w:tc>
          <w:tcPr>
            <w:tcW w:w="8217" w:type="dxa"/>
          </w:tcPr>
          <w:p w14:paraId="48A01A3E" w14:textId="77777777" w:rsidR="00C71659" w:rsidRPr="00382411" w:rsidRDefault="00C71659">
            <w:pPr>
              <w:pStyle w:val="ARtabletext0"/>
              <w:rPr>
                <w:rStyle w:val="Emphasis"/>
              </w:rPr>
            </w:pPr>
            <w:r w:rsidRPr="00382411">
              <w:rPr>
                <w:rStyle w:val="Emphasis"/>
              </w:rPr>
              <w:t>Disability Act 2006</w:t>
            </w:r>
          </w:p>
        </w:tc>
        <w:tc>
          <w:tcPr>
            <w:tcW w:w="1417" w:type="dxa"/>
            <w:tcMar>
              <w:right w:w="0" w:type="dxa"/>
            </w:tcMar>
          </w:tcPr>
          <w:p w14:paraId="411B8B80" w14:textId="260D3CBA" w:rsidR="00C71659" w:rsidRPr="000F269C" w:rsidRDefault="00F80012">
            <w:pPr>
              <w:pStyle w:val="ARtabletextright"/>
            </w:pPr>
            <w:hyperlink w:anchor="_Compliance_with_the_5" w:history="1">
              <w:r w:rsidRPr="000F269C">
                <w:rPr>
                  <w:rStyle w:val="Hyperlink"/>
                </w:rPr>
                <w:t>132</w:t>
              </w:r>
            </w:hyperlink>
          </w:p>
        </w:tc>
      </w:tr>
      <w:tr w:rsidR="00C71659" w:rsidRPr="000F269C" w14:paraId="525F7F1E" w14:textId="77777777" w:rsidTr="001E4576">
        <w:trPr>
          <w:cantSplit/>
        </w:trPr>
        <w:tc>
          <w:tcPr>
            <w:tcW w:w="8217" w:type="dxa"/>
          </w:tcPr>
          <w:p w14:paraId="5D014ABF" w14:textId="77777777" w:rsidR="00C71659" w:rsidRPr="00382411" w:rsidRDefault="00C71659">
            <w:pPr>
              <w:pStyle w:val="ARtabletext0"/>
              <w:rPr>
                <w:rStyle w:val="Emphasis"/>
              </w:rPr>
            </w:pPr>
            <w:r w:rsidRPr="00382411">
              <w:rPr>
                <w:rStyle w:val="Emphasis"/>
              </w:rPr>
              <w:t>Financial Management Act 1994</w:t>
            </w:r>
          </w:p>
        </w:tc>
        <w:tc>
          <w:tcPr>
            <w:tcW w:w="1417" w:type="dxa"/>
            <w:tcMar>
              <w:right w:w="0" w:type="dxa"/>
            </w:tcMar>
          </w:tcPr>
          <w:p w14:paraId="159D6605" w14:textId="3FAE0389" w:rsidR="00C71659" w:rsidRPr="000F269C" w:rsidRDefault="00F80012">
            <w:pPr>
              <w:pStyle w:val="ARtabletextright"/>
            </w:pPr>
            <w:hyperlink w:anchor="_Financial_management_compliance" w:history="1">
              <w:r w:rsidRPr="000F269C">
                <w:rPr>
                  <w:rStyle w:val="Hyperlink"/>
                </w:rPr>
                <w:t>149</w:t>
              </w:r>
            </w:hyperlink>
          </w:p>
        </w:tc>
      </w:tr>
      <w:tr w:rsidR="00C71659" w:rsidRPr="000F269C" w14:paraId="4439442F" w14:textId="77777777" w:rsidTr="001E4576">
        <w:trPr>
          <w:cantSplit/>
        </w:trPr>
        <w:tc>
          <w:tcPr>
            <w:tcW w:w="8217" w:type="dxa"/>
          </w:tcPr>
          <w:p w14:paraId="349C8FAB" w14:textId="77777777" w:rsidR="00C71659" w:rsidRPr="00382411" w:rsidRDefault="00C71659">
            <w:pPr>
              <w:pStyle w:val="ARtabletext0"/>
              <w:rPr>
                <w:rStyle w:val="Emphasis"/>
              </w:rPr>
            </w:pPr>
            <w:r w:rsidRPr="00382411">
              <w:rPr>
                <w:rStyle w:val="Emphasis"/>
              </w:rPr>
              <w:t>Freedom of Information Act 1982</w:t>
            </w:r>
          </w:p>
        </w:tc>
        <w:tc>
          <w:tcPr>
            <w:tcW w:w="1417" w:type="dxa"/>
            <w:tcMar>
              <w:right w:w="0" w:type="dxa"/>
            </w:tcMar>
          </w:tcPr>
          <w:p w14:paraId="754070EE" w14:textId="0E82C2C7" w:rsidR="00C71659" w:rsidRPr="000F269C" w:rsidRDefault="00F80012">
            <w:pPr>
              <w:pStyle w:val="ARtabletextright"/>
            </w:pPr>
            <w:hyperlink w:anchor="_Freedom_of_information_1" w:history="1">
              <w:r w:rsidRPr="000F269C">
                <w:rPr>
                  <w:rStyle w:val="Hyperlink"/>
                </w:rPr>
                <w:t>135</w:t>
              </w:r>
            </w:hyperlink>
          </w:p>
        </w:tc>
      </w:tr>
      <w:tr w:rsidR="00C71659" w:rsidRPr="000F269C" w14:paraId="3D173DFB" w14:textId="77777777" w:rsidTr="001E4576">
        <w:trPr>
          <w:cantSplit/>
        </w:trPr>
        <w:tc>
          <w:tcPr>
            <w:tcW w:w="8217" w:type="dxa"/>
          </w:tcPr>
          <w:p w14:paraId="63F9A44D" w14:textId="77777777" w:rsidR="00C71659" w:rsidRPr="00382411" w:rsidRDefault="00C71659">
            <w:pPr>
              <w:pStyle w:val="ARtabletext0"/>
              <w:rPr>
                <w:rStyle w:val="Emphasis"/>
              </w:rPr>
            </w:pPr>
            <w:r w:rsidRPr="00382411">
              <w:rPr>
                <w:rStyle w:val="Emphasis"/>
              </w:rPr>
              <w:t>Local Jobs Act 2003</w:t>
            </w:r>
          </w:p>
        </w:tc>
        <w:tc>
          <w:tcPr>
            <w:tcW w:w="1417" w:type="dxa"/>
            <w:tcMar>
              <w:right w:w="0" w:type="dxa"/>
            </w:tcMar>
          </w:tcPr>
          <w:p w14:paraId="7B210705" w14:textId="1C1BEAC3" w:rsidR="00C71659" w:rsidRPr="000F269C" w:rsidRDefault="00F80012">
            <w:pPr>
              <w:pStyle w:val="ARtabletextright"/>
            </w:pPr>
            <w:hyperlink w:anchor="_Local_Jobs_First" w:history="1">
              <w:r w:rsidRPr="000F269C">
                <w:rPr>
                  <w:rStyle w:val="Hyperlink"/>
                </w:rPr>
                <w:t>104–105</w:t>
              </w:r>
            </w:hyperlink>
          </w:p>
        </w:tc>
      </w:tr>
      <w:tr w:rsidR="00C71659" w:rsidRPr="000F269C" w14:paraId="7BC4814E" w14:textId="77777777" w:rsidTr="001E4576">
        <w:trPr>
          <w:cantSplit/>
        </w:trPr>
        <w:tc>
          <w:tcPr>
            <w:tcW w:w="8217" w:type="dxa"/>
          </w:tcPr>
          <w:p w14:paraId="3FB1A711" w14:textId="77777777" w:rsidR="00C71659" w:rsidRPr="00382411" w:rsidRDefault="00C71659">
            <w:pPr>
              <w:pStyle w:val="ARtabletext0"/>
              <w:rPr>
                <w:rStyle w:val="Emphasis"/>
              </w:rPr>
            </w:pPr>
            <w:r w:rsidRPr="00382411">
              <w:rPr>
                <w:rStyle w:val="Emphasis"/>
              </w:rPr>
              <w:t>Public Administration Act 2004</w:t>
            </w:r>
          </w:p>
        </w:tc>
        <w:tc>
          <w:tcPr>
            <w:tcW w:w="1417" w:type="dxa"/>
            <w:tcMar>
              <w:right w:w="0" w:type="dxa"/>
            </w:tcMar>
          </w:tcPr>
          <w:p w14:paraId="1D630BB3" w14:textId="331B53E3" w:rsidR="00C71659" w:rsidRPr="000F269C" w:rsidRDefault="00F80012">
            <w:pPr>
              <w:pStyle w:val="ARtabletextright"/>
            </w:pPr>
            <w:hyperlink w:anchor="_Public_sector_values" w:history="1">
              <w:r w:rsidRPr="000F269C">
                <w:rPr>
                  <w:rStyle w:val="Hyperlink"/>
                </w:rPr>
                <w:t>84</w:t>
              </w:r>
            </w:hyperlink>
            <w:r w:rsidR="00C71659" w:rsidRPr="000F269C">
              <w:t xml:space="preserve">, </w:t>
            </w:r>
            <w:hyperlink w:anchor="_Executive_data" w:history="1">
              <w:r w:rsidR="000F269C" w:rsidRPr="000F269C">
                <w:rPr>
                  <w:rStyle w:val="Hyperlink"/>
                </w:rPr>
                <w:t>97–98</w:t>
              </w:r>
            </w:hyperlink>
            <w:r w:rsidR="00C71659" w:rsidRPr="000F269C">
              <w:t xml:space="preserve">, </w:t>
            </w:r>
            <w:hyperlink w:anchor="Notes" w:history="1">
              <w:r w:rsidR="000F269C" w:rsidRPr="000F269C">
                <w:rPr>
                  <w:rStyle w:val="Hyperlink"/>
                </w:rPr>
                <w:t>160–161</w:t>
              </w:r>
            </w:hyperlink>
            <w:r w:rsidR="00C71659" w:rsidRPr="000F269C">
              <w:t xml:space="preserve">, </w:t>
            </w:r>
            <w:hyperlink w:anchor="_Transactions_and_balances" w:history="1">
              <w:r w:rsidR="000F269C" w:rsidRPr="000F269C">
                <w:rPr>
                  <w:rStyle w:val="Hyperlink"/>
                </w:rPr>
                <w:t>224</w:t>
              </w:r>
            </w:hyperlink>
          </w:p>
        </w:tc>
      </w:tr>
      <w:tr w:rsidR="00C71659" w:rsidRPr="00435585" w14:paraId="25F7D382" w14:textId="77777777" w:rsidTr="001E4576">
        <w:trPr>
          <w:cantSplit/>
        </w:trPr>
        <w:tc>
          <w:tcPr>
            <w:tcW w:w="8217" w:type="dxa"/>
          </w:tcPr>
          <w:p w14:paraId="3CA17EC7" w14:textId="77777777" w:rsidR="00C71659" w:rsidRPr="00382411" w:rsidRDefault="00C71659">
            <w:pPr>
              <w:pStyle w:val="ARtabletext0"/>
              <w:rPr>
                <w:rStyle w:val="Emphasis"/>
              </w:rPr>
            </w:pPr>
            <w:r w:rsidRPr="00382411">
              <w:rPr>
                <w:rStyle w:val="Emphasis"/>
              </w:rPr>
              <w:t>Public Interest Disclosure Act 2012</w:t>
            </w:r>
          </w:p>
        </w:tc>
        <w:tc>
          <w:tcPr>
            <w:tcW w:w="1417" w:type="dxa"/>
            <w:tcMar>
              <w:right w:w="0" w:type="dxa"/>
            </w:tcMar>
          </w:tcPr>
          <w:p w14:paraId="1A89726F" w14:textId="7DC3E53F" w:rsidR="00C71659" w:rsidRPr="00765046" w:rsidRDefault="000F269C">
            <w:pPr>
              <w:pStyle w:val="ARtabletextright"/>
            </w:pPr>
            <w:hyperlink w:anchor="_Compliance_with_the_3" w:history="1">
              <w:r>
                <w:rPr>
                  <w:rStyle w:val="Hyperlink"/>
                </w:rPr>
                <w:t>130–131</w:t>
              </w:r>
            </w:hyperlink>
          </w:p>
        </w:tc>
      </w:tr>
    </w:tbl>
    <w:p w14:paraId="43229948" w14:textId="77777777" w:rsidR="004944DF" w:rsidRPr="004944DF" w:rsidRDefault="004944DF" w:rsidP="00F962BE">
      <w:pPr>
        <w:pStyle w:val="ARBody"/>
        <w:rPr>
          <w:lang w:eastAsia="en-AU"/>
        </w:rPr>
      </w:pPr>
    </w:p>
    <w:sectPr w:rsidR="004944DF" w:rsidRPr="004944DF" w:rsidSect="00E7077C">
      <w:pgSz w:w="11906" w:h="16838" w:code="9"/>
      <w:pgMar w:top="1588" w:right="1134" w:bottom="851" w:left="1134" w:header="680" w:footer="56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35A35" w14:textId="77777777" w:rsidR="00F32657" w:rsidRDefault="00F32657">
      <w:r>
        <w:separator/>
      </w:r>
    </w:p>
    <w:p w14:paraId="3158742D" w14:textId="77777777" w:rsidR="00F32657" w:rsidRDefault="00F32657"/>
  </w:endnote>
  <w:endnote w:type="continuationSeparator" w:id="0">
    <w:p w14:paraId="72D643BA" w14:textId="77777777" w:rsidR="00F32657" w:rsidRDefault="00F32657">
      <w:r>
        <w:continuationSeparator/>
      </w:r>
    </w:p>
    <w:p w14:paraId="20F124F1" w14:textId="77777777" w:rsidR="00F32657" w:rsidRDefault="00F32657"/>
  </w:endnote>
  <w:endnote w:type="continuationNotice" w:id="1">
    <w:p w14:paraId="7EEF2A39" w14:textId="77777777" w:rsidR="00F32657" w:rsidRDefault="00F326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lano Grotesque">
    <w:altName w:val="Calibri"/>
    <w:panose1 w:val="000000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imHei">
    <w:panose1 w:val="0201060003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Grande">
    <w:altName w:val="Ebrima"/>
    <w:charset w:val="00"/>
    <w:family w:val="auto"/>
    <w:pitch w:val="variable"/>
    <w:sig w:usb0="00000000"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PGothic">
    <w:panose1 w:val="020B0600070205080204"/>
    <w:charset w:val="80"/>
    <w:family w:val="swiss"/>
    <w:pitch w:val="variable"/>
    <w:sig w:usb0="E00002FF" w:usb1="6AC7FDFB" w:usb2="08000012" w:usb3="00000000" w:csb0="0002009F" w:csb1="00000000"/>
  </w:font>
  <w:font w:name="Arial-BoldMT">
    <w:altName w:val="Calibri"/>
    <w:charset w:val="00"/>
    <w:family w:val="swiss"/>
    <w:pitch w:val="variable"/>
    <w:sig w:usb0="E0002AFF" w:usb1="C0007843" w:usb2="00000009" w:usb3="00000000" w:csb0="000001FF" w:csb1="00000000"/>
  </w:font>
  <w:font w:name="Yu Mincho">
    <w:charset w:val="80"/>
    <w:family w:val="roman"/>
    <w:pitch w:val="variable"/>
    <w:sig w:usb0="800002E7" w:usb1="2AC7FCFF" w:usb2="00000012" w:usb3="00000000" w:csb0="0002009F" w:csb1="00000000"/>
  </w:font>
  <w:font w:name="AvantGarde Bk BT">
    <w:altName w:val="Arial"/>
    <w:panose1 w:val="00000000000000000000"/>
    <w:charset w:val="00"/>
    <w:family w:val="auto"/>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657B" w14:textId="77777777" w:rsidR="00EB4BC7" w:rsidRDefault="00EB4BC7">
    <w:pPr>
      <w:pStyle w:val="Footer"/>
    </w:pPr>
    <w:r>
      <w:rPr>
        <w:noProof/>
      </w:rPr>
      <mc:AlternateContent>
        <mc:Choice Requires="wps">
          <w:drawing>
            <wp:anchor distT="0" distB="0" distL="114300" distR="114300" simplePos="0" relativeHeight="251658241" behindDoc="0" locked="0" layoutInCell="0" allowOverlap="1" wp14:anchorId="5F16E52C" wp14:editId="181E78CF">
              <wp:simplePos x="0" y="0"/>
              <wp:positionH relativeFrom="page">
                <wp:posOffset>0</wp:posOffset>
              </wp:positionH>
              <wp:positionV relativeFrom="page">
                <wp:posOffset>10189845</wp:posOffset>
              </wp:positionV>
              <wp:extent cx="7560310" cy="311785"/>
              <wp:effectExtent l="0" t="0" r="0" b="12065"/>
              <wp:wrapNone/>
              <wp:docPr id="7" name="MSIPCM9dd54572b391b968e538fedc"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D546205"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F16E52C" id="_x0000_t202" coordsize="21600,21600" o:spt="202" path="m,l,21600r21600,l21600,xe">
              <v:stroke joinstyle="miter"/>
              <v:path gradientshapeok="t" o:connecttype="rect"/>
            </v:shapetype>
            <v:shape id="MSIPCM9dd54572b391b968e538fedc" o:spid="_x0000_s1026" type="#_x0000_t202" alt="{&quot;HashCode&quot;:904758361,&quot;Height&quot;:841.0,&quot;Width&quot;:595.0,&quot;Placement&quot;:&quot;Footer&quot;,&quot;Index&quot;:&quot;OddAndEven&quot;,&quot;Section&quot;:1,&quot;Top&quot;:0.0,&quot;Left&quot;:0.0}"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" o:allowincell="f" filled="f" stroked="f" strokeweight=".5pt">
              <v:textbox inset=",0,,0">
                <w:txbxContent>
                  <w:p w14:paraId="4D546205"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BE936" w14:textId="77777777" w:rsidR="00431A70" w:rsidRDefault="00EB4BC7">
    <w:pPr>
      <w:pStyle w:val="Footer"/>
    </w:pPr>
    <w:r>
      <w:rPr>
        <w:noProof/>
        <w:lang w:eastAsia="en-AU"/>
      </w:rPr>
      <mc:AlternateContent>
        <mc:Choice Requires="wps">
          <w:drawing>
            <wp:anchor distT="0" distB="0" distL="114300" distR="114300" simplePos="0" relativeHeight="251658240" behindDoc="0" locked="0" layoutInCell="0" allowOverlap="1" wp14:anchorId="47C005B9" wp14:editId="033DE9C0">
              <wp:simplePos x="0" y="0"/>
              <wp:positionH relativeFrom="page">
                <wp:posOffset>0</wp:posOffset>
              </wp:positionH>
              <wp:positionV relativeFrom="page">
                <wp:posOffset>10189687</wp:posOffset>
              </wp:positionV>
              <wp:extent cx="7560310" cy="311785"/>
              <wp:effectExtent l="0" t="0" r="0" b="12065"/>
              <wp:wrapNone/>
              <wp:docPr id="5" name="MSIPCM36724fdbb2a52fcfc05f86a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64A5D6" w14:textId="77777777"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C005B9" id="_x0000_t202" coordsize="21600,21600" o:spt="202" path="m,l,21600r21600,l21600,xe">
              <v:stroke joinstyle="miter"/>
              <v:path gradientshapeok="t" o:connecttype="rect"/>
            </v:shapetype>
            <v:shape id="MSIPCM36724fdbb2a52fcfc05f86a5" o:spid="_x0000_s1027" type="#_x0000_t202" alt="{&quot;HashCode&quot;:904758361,&quot;Height&quot;:841.0,&quot;Width&quot;:595.0,&quot;Placement&quot;:&quot;Footer&quot;,&quot;Index&quot;:&quot;Primary&quot;,&quot;Section&quot;:1,&quot;Top&quot;:0.0,&quot;Left&quot;:0.0}" style="position:absolute;margin-left:0;margin-top:802.35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1564A5D6" w14:textId="77777777"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D5BC3" w14:textId="77777777" w:rsidR="00D63636" w:rsidRDefault="002C5B7C">
    <w:pPr>
      <w:pStyle w:val="Footer"/>
    </w:pPr>
    <w:r>
      <w:rPr>
        <w:noProof/>
        <w:lang w:eastAsia="en-AU"/>
      </w:rPr>
      <mc:AlternateContent>
        <mc:Choice Requires="wps">
          <w:drawing>
            <wp:anchor distT="0" distB="0" distL="114300" distR="114300" simplePos="0" relativeHeight="251658242" behindDoc="0" locked="0" layoutInCell="0" allowOverlap="1" wp14:anchorId="3B772BC9" wp14:editId="18CDC098">
              <wp:simplePos x="0" y="0"/>
              <wp:positionH relativeFrom="page">
                <wp:posOffset>0</wp:posOffset>
              </wp:positionH>
              <wp:positionV relativeFrom="page">
                <wp:posOffset>10189210</wp:posOffset>
              </wp:positionV>
              <wp:extent cx="7560310" cy="311785"/>
              <wp:effectExtent l="0" t="0" r="0" b="12065"/>
              <wp:wrapNone/>
              <wp:docPr id="4" name="MSIPCMd3f54469bd0204c6fb2f3fa8"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FA2DAD"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B772BC9" id="_x0000_t202" coordsize="21600,21600" o:spt="202" path="m,l,21600r21600,l21600,xe">
              <v:stroke joinstyle="miter"/>
              <v:path gradientshapeok="t" o:connecttype="rect"/>
            </v:shapetype>
            <v:shape id="MSIPCMd3f54469bd0204c6fb2f3fa8" o:spid="_x0000_s1028" type="#_x0000_t202" alt="{&quot;HashCode&quot;:904758361,&quot;Height&quot;:841.0,&quot;Width&quot;:595.0,&quot;Placement&quot;:&quot;Footer&quot;,&quot;Index&quot;:&quot;OddAndEven&quot;,&quot;Section&quot;:3,&quot;Top&quot;:0.0,&quot;Left&quot;:0.0}" style="position:absolute;margin-left:0;margin-top:802.3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54FA2DAD"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64EF3" w14:textId="77777777" w:rsidR="00431A70" w:rsidRDefault="00431A70" w:rsidP="00DC00C1">
    <w:pPr>
      <w:pStyle w:val="Footer"/>
      <w:tabs>
        <w:tab w:val="left" w:pos="3667"/>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C800C" w14:textId="79C200B9" w:rsidR="000227CB" w:rsidRPr="0054696F" w:rsidRDefault="000227C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F19F5" w14:textId="5781C4F6" w:rsidR="005E2BB1" w:rsidRPr="005E2BB1" w:rsidRDefault="005E2BB1" w:rsidP="005E2BB1"/>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91E18" w14:textId="286DE6F0" w:rsidR="005E2BB1" w:rsidRPr="005E2BB1" w:rsidRDefault="005E2BB1" w:rsidP="005E2BB1"/>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7F19E" w14:textId="32A5C6B8" w:rsidR="005E2BB1" w:rsidRPr="005E2BB1" w:rsidRDefault="005E2BB1" w:rsidP="005E2BB1"/>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054BA" w14:textId="1CC56015" w:rsidR="00611072" w:rsidRDefault="0061107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2B6EB" w14:textId="381ABB68" w:rsidR="0093198F" w:rsidRDefault="0093198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E470" w14:textId="7494479D" w:rsidR="0093198F" w:rsidRDefault="0093198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DAE4" w14:textId="5D5E3E5B" w:rsidR="0093198F" w:rsidRDefault="0093198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9FFD5" w14:textId="0D23EC3E" w:rsidR="006E51BF" w:rsidRDefault="006E51BF">
    <w:pPr>
      <w:pStyle w:val="Footer"/>
    </w:pPr>
    <w:r>
      <w:rPr>
        <w:noProof/>
        <w:lang w:eastAsia="en-AU"/>
      </w:rPr>
      <mc:AlternateContent>
        <mc:Choice Requires="wps">
          <w:drawing>
            <wp:anchor distT="0" distB="0" distL="114300" distR="114300" simplePos="0" relativeHeight="251658244" behindDoc="0" locked="0" layoutInCell="0" allowOverlap="1" wp14:anchorId="3024D0D9" wp14:editId="0F6CD1C1">
              <wp:simplePos x="0" y="0"/>
              <wp:positionH relativeFrom="page">
                <wp:posOffset>0</wp:posOffset>
              </wp:positionH>
              <wp:positionV relativeFrom="page">
                <wp:posOffset>10189210</wp:posOffset>
              </wp:positionV>
              <wp:extent cx="7560310" cy="311785"/>
              <wp:effectExtent l="0" t="0" r="0" b="12065"/>
              <wp:wrapNone/>
              <wp:docPr id="1415596192" name="MSIPCMd3f54469bd0204c6fb2f3fa8"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6E3277" w14:textId="77777777" w:rsidR="006E51BF" w:rsidRPr="002C5B7C" w:rsidRDefault="006E51BF" w:rsidP="002C5B7C">
                          <w:pPr>
                            <w:spacing w:after="0"/>
                            <w:jc w:val="center"/>
                            <w:rPr>
                              <w:rFonts w:ascii="Arial Black" w:hAnsi="Arial Black"/>
                              <w:color w:val="000000"/>
                              <w:sz w:val="20"/>
                            </w:rPr>
                          </w:pPr>
                          <w:r w:rsidRPr="002C5B7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024D0D9" id="_x0000_t202" coordsize="21600,21600" o:spt="202" path="m,l,21600r21600,l21600,xe">
              <v:stroke joinstyle="miter"/>
              <v:path gradientshapeok="t" o:connecttype="rect"/>
            </v:shapetype>
            <v:shape id="_x0000_s1031" type="#_x0000_t202" alt="{&quot;HashCode&quot;:904758361,&quot;Height&quot;:841.0,&quot;Width&quot;:595.0,&quot;Placement&quot;:&quot;Footer&quot;,&quot;Index&quot;:&quot;OddAndEven&quot;,&quot;Section&quot;:3,&quot;Top&quot;:0.0,&quot;Left&quot;:0.0}" style="position:absolute;margin-left:0;margin-top:802.3pt;width:595.3pt;height:24.5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" o:allowincell="f" filled="f" stroked="f" strokeweight=".5pt">
              <v:textbox inset=",0,,0">
                <w:txbxContent>
                  <w:p w14:paraId="666E3277" w14:textId="77777777" w:rsidR="006E51BF" w:rsidRPr="002C5B7C" w:rsidRDefault="006E51BF" w:rsidP="002C5B7C">
                    <w:pPr>
                      <w:spacing w:after="0"/>
                      <w:jc w:val="center"/>
                      <w:rPr>
                        <w:rFonts w:ascii="Arial Black" w:hAnsi="Arial Black"/>
                        <w:color w:val="000000"/>
                        <w:sz w:val="20"/>
                      </w:rPr>
                    </w:pPr>
                    <w:r w:rsidRPr="002C5B7C">
                      <w:rPr>
                        <w:rFonts w:ascii="Arial Black" w:hAnsi="Arial Black"/>
                        <w:color w:val="000000"/>
                        <w:sz w:val="20"/>
                      </w:rPr>
                      <w:t>OFFICIAL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860BD" w14:textId="1F5F6CFC" w:rsidR="006E51BF" w:rsidRDefault="006E51BF" w:rsidP="00DC00C1">
    <w:pPr>
      <w:pStyle w:val="Footer"/>
      <w:tabs>
        <w:tab w:val="left" w:pos="3667"/>
      </w:tabs>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79217" w14:textId="77777777" w:rsidR="00F962BE" w:rsidRDefault="00F962BE">
    <w:pPr>
      <w:pStyle w:val="Footer"/>
    </w:pPr>
    <w:r>
      <w:rPr>
        <w:noProof/>
        <w:lang w:eastAsia="en-AU"/>
      </w:rPr>
      <mc:AlternateContent>
        <mc:Choice Requires="wps">
          <w:drawing>
            <wp:anchor distT="0" distB="0" distL="114300" distR="114300" simplePos="0" relativeHeight="251658245" behindDoc="0" locked="0" layoutInCell="0" allowOverlap="1" wp14:anchorId="572716F2" wp14:editId="11A81D1B">
              <wp:simplePos x="0" y="0"/>
              <wp:positionH relativeFrom="page">
                <wp:posOffset>0</wp:posOffset>
              </wp:positionH>
              <wp:positionV relativeFrom="page">
                <wp:posOffset>10189210</wp:posOffset>
              </wp:positionV>
              <wp:extent cx="7560310" cy="311785"/>
              <wp:effectExtent l="0" t="0" r="0" b="12065"/>
              <wp:wrapNone/>
              <wp:docPr id="777232059" name="MSIPCMd3f54469bd0204c6fb2f3fa8"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AE7CA9" w14:textId="77777777" w:rsidR="00F962BE" w:rsidRPr="002C5B7C" w:rsidRDefault="00F962BE" w:rsidP="002C5B7C">
                          <w:pPr>
                            <w:spacing w:after="0"/>
                            <w:jc w:val="center"/>
                            <w:rPr>
                              <w:rFonts w:ascii="Arial Black" w:hAnsi="Arial Black"/>
                              <w:color w:val="000000"/>
                              <w:sz w:val="20"/>
                            </w:rPr>
                          </w:pPr>
                          <w:r w:rsidRPr="002C5B7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72716F2" id="_x0000_t202" coordsize="21600,21600" o:spt="202" path="m,l,21600r21600,l21600,xe">
              <v:stroke joinstyle="miter"/>
              <v:path gradientshapeok="t" o:connecttype="rect"/>
            </v:shapetype>
            <v:shape id="_x0000_s1032" type="#_x0000_t202" alt="{&quot;HashCode&quot;:904758361,&quot;Height&quot;:841.0,&quot;Width&quot;:595.0,&quot;Placement&quot;:&quot;Footer&quot;,&quot;Index&quot;:&quot;OddAndEven&quot;,&quot;Section&quot;:3,&quot;Top&quot;:0.0,&quot;Left&quot;:0.0}" style="position:absolute;margin-left:0;margin-top:802.3pt;width:595.3pt;height:24.5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4uIzwGAIAACsEAAAOAAAAAAAAAAAAAAAAAC4CAABkcnMvZTJvRG9jLnhtbFBLAQItABQA&#10;BgAIAAAAIQBIDV6a3wAAAAsBAAAPAAAAAAAAAAAAAAAAAHIEAABkcnMvZG93bnJldi54bWxQSwUG&#10;AAAAAAQABADzAAAAfgUAAAAA&#10;" o:allowincell="f" filled="f" stroked="f" strokeweight=".5pt">
              <v:textbox inset=",0,,0">
                <w:txbxContent>
                  <w:p w14:paraId="4FAE7CA9" w14:textId="77777777" w:rsidR="00F962BE" w:rsidRPr="002C5B7C" w:rsidRDefault="00F962BE" w:rsidP="002C5B7C">
                    <w:pPr>
                      <w:spacing w:after="0"/>
                      <w:jc w:val="center"/>
                      <w:rPr>
                        <w:rFonts w:ascii="Arial Black" w:hAnsi="Arial Black"/>
                        <w:color w:val="000000"/>
                        <w:sz w:val="20"/>
                      </w:rPr>
                    </w:pPr>
                    <w:r w:rsidRPr="002C5B7C">
                      <w:rPr>
                        <w:rFonts w:ascii="Arial Black" w:hAnsi="Arial Black"/>
                        <w:color w:val="000000"/>
                        <w:sz w:val="20"/>
                      </w:rPr>
                      <w:t>OFFICIAL</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2E5F3" w14:textId="77777777" w:rsidR="00F962BE" w:rsidRDefault="00F962BE" w:rsidP="00DC00C1">
    <w:pPr>
      <w:pStyle w:val="Footer"/>
      <w:tabs>
        <w:tab w:val="left" w:pos="366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0084F" w14:textId="77777777" w:rsidR="00F32657" w:rsidRDefault="00F32657" w:rsidP="00207717">
      <w:pPr>
        <w:spacing w:before="120"/>
      </w:pPr>
      <w:r>
        <w:separator/>
      </w:r>
    </w:p>
  </w:footnote>
  <w:footnote w:type="continuationSeparator" w:id="0">
    <w:p w14:paraId="0DCD881A" w14:textId="77777777" w:rsidR="00F32657" w:rsidRDefault="00F32657">
      <w:r>
        <w:continuationSeparator/>
      </w:r>
    </w:p>
    <w:p w14:paraId="20EB1501" w14:textId="77777777" w:rsidR="00F32657" w:rsidRDefault="00F32657"/>
  </w:footnote>
  <w:footnote w:type="continuationNotice" w:id="1">
    <w:p w14:paraId="6BD15CDE" w14:textId="77777777" w:rsidR="00F32657" w:rsidRDefault="00F32657">
      <w:pPr>
        <w:spacing w:after="0" w:line="240" w:lineRule="auto"/>
      </w:pPr>
    </w:p>
  </w:footnote>
  <w:footnote w:id="2">
    <w:p w14:paraId="1E9C17D8" w14:textId="77777777" w:rsidR="001F2AF6" w:rsidRPr="001A614A" w:rsidRDefault="001F2AF6" w:rsidP="001F2AF6">
      <w:pPr>
        <w:pStyle w:val="FootnoteText"/>
      </w:pPr>
      <w:r w:rsidRPr="001A614A">
        <w:rPr>
          <w:rStyle w:val="FootnoteReference"/>
          <w:vertAlign w:val="baseline"/>
        </w:rPr>
        <w:footnoteRef/>
      </w:r>
      <w:r w:rsidRPr="001A614A">
        <w:t xml:space="preserve"> </w:t>
      </w:r>
      <w:r>
        <w:tab/>
      </w:r>
      <w:r w:rsidRPr="001A614A">
        <w:t>creativecommons.org/licenses/by/4.0/</w:t>
      </w:r>
      <w:proofErr w:type="spellStart"/>
      <w:r w:rsidRPr="001A614A">
        <w:t>legalcode</w:t>
      </w:r>
      <w:proofErr w:type="spellEnd"/>
    </w:p>
  </w:footnote>
  <w:footnote w:id="3">
    <w:p w14:paraId="654B6EE4" w14:textId="77777777" w:rsidR="001F2AF6" w:rsidRPr="00B55528" w:rsidRDefault="001F2AF6" w:rsidP="001F2AF6">
      <w:pPr>
        <w:pStyle w:val="FootnoteText"/>
      </w:pPr>
      <w:r w:rsidRPr="001A614A">
        <w:footnoteRef/>
      </w:r>
      <w:r w:rsidRPr="001A614A">
        <w:t xml:space="preserve"> </w:t>
      </w:r>
      <w:r>
        <w:tab/>
      </w:r>
      <w:r w:rsidRPr="001A614A">
        <w:t>www</w:t>
      </w:r>
      <w:r w:rsidRPr="00E24962">
        <w:t>.dffh.vic.gov.au/publications/annual-reports-department-families-fairness-housing</w:t>
      </w:r>
    </w:p>
  </w:footnote>
  <w:footnote w:id="4">
    <w:p w14:paraId="66354149" w14:textId="77777777" w:rsidR="00780F68" w:rsidRDefault="00780F68" w:rsidP="00780F68">
      <w:pPr>
        <w:pStyle w:val="FootnoteText"/>
        <w:rPr>
          <w:lang w:val="en-US"/>
        </w:rPr>
      </w:pPr>
      <w:r w:rsidRPr="000D745B">
        <w:footnoteRef/>
      </w:r>
      <w:r w:rsidRPr="000D745B">
        <w:t xml:space="preserve"> </w:t>
      </w:r>
      <w:r w:rsidRPr="000D745B">
        <w:tab/>
        <w:t>https://vahhf</w:t>
      </w:r>
      <w:r>
        <w:t>.org.au/resources/ahhf-publications/</w:t>
      </w:r>
    </w:p>
  </w:footnote>
  <w:footnote w:id="5">
    <w:p w14:paraId="13C8AC1C" w14:textId="77777777" w:rsidR="005263DA" w:rsidRPr="007A1B47" w:rsidRDefault="005263DA" w:rsidP="005263DA">
      <w:pPr>
        <w:pStyle w:val="FootnoteText"/>
      </w:pPr>
      <w:r w:rsidRPr="00107A36" w:rsidDel="007A1B47">
        <w:footnoteRef/>
      </w:r>
      <w:r w:rsidRPr="00107A36">
        <w:t xml:space="preserve"> </w:t>
      </w:r>
      <w:r>
        <w:tab/>
      </w:r>
      <w:r>
        <w:rPr>
          <w:iCs/>
        </w:rPr>
        <w:t>Department of Treasury and Finance</w:t>
      </w:r>
      <w:r w:rsidRPr="00DC1D06">
        <w:rPr>
          <w:i/>
        </w:rPr>
        <w:t xml:space="preserve"> </w:t>
      </w:r>
      <w:r>
        <w:rPr>
          <w:iCs/>
        </w:rPr>
        <w:t xml:space="preserve">(2025) </w:t>
      </w:r>
      <w:r>
        <w:rPr>
          <w:i/>
        </w:rPr>
        <w:t xml:space="preserve">2025-26 </w:t>
      </w:r>
      <w:r w:rsidRPr="00007894">
        <w:rPr>
          <w:rStyle w:val="Emphasis"/>
        </w:rPr>
        <w:t>Budget Paper No. 3</w:t>
      </w:r>
      <w:r>
        <w:rPr>
          <w:rStyle w:val="Emphasis"/>
        </w:rPr>
        <w:t xml:space="preserve"> – </w:t>
      </w:r>
      <w:r w:rsidRPr="00007894">
        <w:rPr>
          <w:rStyle w:val="Emphasis"/>
        </w:rPr>
        <w:t>Service delivery</w:t>
      </w:r>
      <w:r>
        <w:rPr>
          <w:iCs/>
        </w:rPr>
        <w:t>, State of Victoria, Melbourne.</w:t>
      </w:r>
    </w:p>
  </w:footnote>
  <w:footnote w:id="6">
    <w:p w14:paraId="301CC885" w14:textId="77777777" w:rsidR="006714A7" w:rsidRPr="001A614A" w:rsidRDefault="006714A7" w:rsidP="006714A7">
      <w:pPr>
        <w:pStyle w:val="FootnoteText"/>
      </w:pPr>
      <w:r w:rsidRPr="001A614A">
        <w:rPr>
          <w:rStyle w:val="FootnoteReference"/>
          <w:vertAlign w:val="baseline"/>
        </w:rPr>
        <w:footnoteRef/>
      </w:r>
      <w:r w:rsidRPr="001A614A">
        <w:t xml:space="preserve"> </w:t>
      </w:r>
      <w:r>
        <w:tab/>
      </w:r>
      <w:r w:rsidRPr="001A614A">
        <w:t>https://menu.dffh.vic.gov.au/</w:t>
      </w:r>
    </w:p>
  </w:footnote>
  <w:footnote w:id="7">
    <w:p w14:paraId="7A2124E2" w14:textId="378922E4" w:rsidR="000D67BA" w:rsidRPr="000D67BA" w:rsidRDefault="000D67BA">
      <w:pPr>
        <w:pStyle w:val="FootnoteText"/>
        <w:rPr>
          <w:lang w:val="en-US"/>
        </w:rPr>
      </w:pPr>
      <w:r w:rsidRPr="000D67BA">
        <w:footnoteRef/>
      </w:r>
      <w:r>
        <w:t xml:space="preserve"> </w:t>
      </w:r>
      <w:r w:rsidRPr="000D67BA">
        <w:tab/>
      </w:r>
      <w:r w:rsidR="00B167D7" w:rsidRPr="00B167D7">
        <w:t>https://www.dffh.vic.gov.au/publications/korin-korin-balit-djak</w:t>
      </w:r>
    </w:p>
  </w:footnote>
  <w:footnote w:id="8">
    <w:p w14:paraId="198CB0CD" w14:textId="6AD40844" w:rsidR="005E2BB1" w:rsidRPr="005E2BB1" w:rsidRDefault="005E2BB1" w:rsidP="0093234E">
      <w:pPr>
        <w:pStyle w:val="FootnoteText"/>
      </w:pPr>
      <w:r w:rsidRPr="0093234E">
        <w:rPr>
          <w:rStyle w:val="FootnoteTextChar"/>
        </w:rPr>
        <w:footnoteRef/>
      </w:r>
      <w:r w:rsidR="00DC5A88">
        <w:rPr>
          <w:rStyle w:val="FootnoteTextChar"/>
        </w:rPr>
        <w:t xml:space="preserve"> </w:t>
      </w:r>
      <w:r w:rsidR="0093234E">
        <w:rPr>
          <w:rStyle w:val="FootnoteTextChar"/>
        </w:rPr>
        <w:tab/>
      </w:r>
      <w:r w:rsidRPr="0093234E">
        <w:rPr>
          <w:rStyle w:val="FootnoteTextChar"/>
        </w:rPr>
        <w:t xml:space="preserve">Part 2: Classification data includes all classified </w:t>
      </w:r>
      <w:r w:rsidR="008B7D85">
        <w:rPr>
          <w:rStyle w:val="FootnoteTextChar"/>
        </w:rPr>
        <w:t>c</w:t>
      </w:r>
      <w:r w:rsidRPr="0093234E">
        <w:rPr>
          <w:rStyle w:val="FootnoteTextChar"/>
        </w:rPr>
        <w:t xml:space="preserve">hild </w:t>
      </w:r>
      <w:r w:rsidR="008B7D85">
        <w:rPr>
          <w:rStyle w:val="FootnoteTextChar"/>
        </w:rPr>
        <w:t>p</w:t>
      </w:r>
      <w:r w:rsidRPr="0093234E">
        <w:rPr>
          <w:rStyle w:val="FootnoteTextChar"/>
        </w:rPr>
        <w:t xml:space="preserve">rotection </w:t>
      </w:r>
      <w:r w:rsidR="008B7D85">
        <w:rPr>
          <w:rStyle w:val="FootnoteTextChar"/>
        </w:rPr>
        <w:t>p</w:t>
      </w:r>
      <w:r w:rsidRPr="0093234E">
        <w:rPr>
          <w:rStyle w:val="FootnoteTextChar"/>
        </w:rPr>
        <w:t xml:space="preserve">ractitioners (CPP) within </w:t>
      </w:r>
      <w:r w:rsidR="008B7D85">
        <w:rPr>
          <w:rStyle w:val="FootnoteTextChar"/>
        </w:rPr>
        <w:t>the department</w:t>
      </w:r>
      <w:r w:rsidRPr="0093234E">
        <w:rPr>
          <w:rStyle w:val="FootnoteTextChar"/>
        </w:rPr>
        <w:t>. The CPP headcount and full-time equivalent numbers fluctuate throughout the year based on recruitment and attrition. Collectively, the full-time equivalent number of CPPs in statutory intervention positions (CPP3-6) has increased</w:t>
      </w:r>
      <w:r w:rsidRPr="005E2BB1">
        <w:t>.</w:t>
      </w:r>
    </w:p>
  </w:footnote>
  <w:footnote w:id="9">
    <w:p w14:paraId="695779DA" w14:textId="77777777" w:rsidR="00611072" w:rsidRPr="00622FF4" w:rsidRDefault="00611072" w:rsidP="00611072">
      <w:pPr>
        <w:pStyle w:val="FootnoteText"/>
      </w:pPr>
      <w:r w:rsidRPr="00AA05E2">
        <w:footnoteRef/>
      </w:r>
      <w:r w:rsidRPr="00AA05E2">
        <w:t xml:space="preserve"> </w:t>
      </w:r>
      <w:r w:rsidRPr="00AA05E2">
        <w:tab/>
        <w:t>Data provided by WorkSafe Victoria.</w:t>
      </w:r>
    </w:p>
  </w:footnote>
  <w:footnote w:id="10">
    <w:p w14:paraId="5BEA8A72" w14:textId="6EBFC8D5" w:rsidR="00611072" w:rsidRPr="004B684C" w:rsidRDefault="00611072" w:rsidP="00611072">
      <w:pPr>
        <w:pStyle w:val="FootnoteText"/>
      </w:pPr>
      <w:r w:rsidRPr="004B684C">
        <w:footnoteRef/>
      </w:r>
      <w:r w:rsidRPr="004B684C">
        <w:tab/>
        <w:t>Claims where weekly benefit payments or medical treatment expenses exceed (or are expected to exceed) employer excesses. For weekly benefit payments</w:t>
      </w:r>
      <w:r w:rsidR="001B1002">
        <w:t>,</w:t>
      </w:r>
      <w:r w:rsidRPr="004B684C">
        <w:t xml:space="preserve"> the employer threshold is 10 days. Excluded are claims closed with no payments or closed buyout claims which have not reached either excess. They are standardised </w:t>
      </w:r>
      <w:proofErr w:type="gramStart"/>
      <w:r w:rsidRPr="004B684C">
        <w:t>in order to</w:t>
      </w:r>
      <w:proofErr w:type="gramEnd"/>
      <w:r w:rsidRPr="004B684C">
        <w:t xml:space="preserve"> enable comparisons of claim numbers over time by</w:t>
      </w:r>
      <w:r w:rsidR="00566B8E">
        <w:t> </w:t>
      </w:r>
      <w:proofErr w:type="gramStart"/>
      <w:r w:rsidRPr="004B684C">
        <w:t>taking into account</w:t>
      </w:r>
      <w:proofErr w:type="gramEnd"/>
      <w:r w:rsidRPr="004B684C">
        <w:t xml:space="preserve"> changes in the way claims have been treated over time.</w:t>
      </w:r>
    </w:p>
  </w:footnote>
  <w:footnote w:id="11">
    <w:p w14:paraId="4FCE179F" w14:textId="77777777" w:rsidR="00611072" w:rsidRPr="004B684C" w:rsidRDefault="00611072" w:rsidP="00611072">
      <w:pPr>
        <w:pStyle w:val="FootnoteText"/>
      </w:pPr>
      <w:r w:rsidRPr="004B684C">
        <w:footnoteRef/>
      </w:r>
      <w:r w:rsidRPr="004B684C">
        <w:tab/>
        <w:t>Claims that involve more than 13 weeks of weekly benefits paid.</w:t>
      </w:r>
    </w:p>
  </w:footnote>
  <w:footnote w:id="12">
    <w:p w14:paraId="306D114B" w14:textId="77777777" w:rsidR="00611072" w:rsidRPr="004B684C" w:rsidRDefault="00611072" w:rsidP="00611072">
      <w:pPr>
        <w:pStyle w:val="FootnoteText"/>
      </w:pPr>
      <w:r w:rsidRPr="004B684C">
        <w:footnoteRef/>
      </w:r>
      <w:r w:rsidRPr="004B684C">
        <w:tab/>
        <w:t>Data based on total number of sick leave hours recorded by employees.</w:t>
      </w:r>
    </w:p>
  </w:footnote>
  <w:footnote w:id="13">
    <w:p w14:paraId="633D3E9D" w14:textId="77777777" w:rsidR="00611072" w:rsidRPr="004B684C" w:rsidRDefault="00611072" w:rsidP="00611072">
      <w:pPr>
        <w:pStyle w:val="FootnoteText"/>
      </w:pPr>
      <w:r w:rsidRPr="004B684C">
        <w:footnoteRef/>
      </w:r>
      <w:r w:rsidRPr="004B684C">
        <w:tab/>
        <w:t>Refers to health and safety-related prosecutions.</w:t>
      </w:r>
    </w:p>
  </w:footnote>
  <w:footnote w:id="14">
    <w:p w14:paraId="3F97FB1B" w14:textId="77777777" w:rsidR="00611072" w:rsidRPr="004B684C" w:rsidRDefault="00611072" w:rsidP="00611072">
      <w:pPr>
        <w:pStyle w:val="FootnoteText"/>
      </w:pPr>
      <w:r w:rsidRPr="004B684C">
        <w:footnoteRef/>
      </w:r>
      <w:r w:rsidRPr="004B684C">
        <w:tab/>
        <w:t>Estimated average cost per standardised claim, incorporating payments to date and estimated future payments. The FDC is an average and there can potentially be a wide variation in the size of individual cases within a category because of the individual circumstances of each case. The average can be volatile for the smaller categories, particularly those with high average severity. Comparability over time will be affected by events or scheme changes.</w:t>
      </w:r>
      <w:r>
        <w:t xml:space="preserve"> Figures from previous years have been adjusted to reflect mature data.</w:t>
      </w:r>
    </w:p>
  </w:footnote>
  <w:footnote w:id="15">
    <w:p w14:paraId="44890E21" w14:textId="77777777" w:rsidR="00611072" w:rsidRPr="00622FF4" w:rsidRDefault="00611072" w:rsidP="00611072">
      <w:pPr>
        <w:pStyle w:val="FootnoteText"/>
      </w:pPr>
      <w:r w:rsidRPr="00061EDE">
        <w:footnoteRef/>
      </w:r>
      <w:r w:rsidRPr="00061EDE">
        <w:t xml:space="preserve"> </w:t>
      </w:r>
      <w:r w:rsidRPr="00061EDE">
        <w:tab/>
        <w:t>Data provided by WorkSafe Victoria.</w:t>
      </w:r>
    </w:p>
  </w:footnote>
  <w:footnote w:id="16">
    <w:p w14:paraId="58EFE13A" w14:textId="77777777" w:rsidR="00611072" w:rsidRPr="00DD6CC2" w:rsidRDefault="00611072" w:rsidP="00611072">
      <w:pPr>
        <w:pStyle w:val="FootnoteText"/>
      </w:pPr>
      <w:r w:rsidRPr="00F96438">
        <w:footnoteRef/>
      </w:r>
      <w:r w:rsidRPr="00F96438">
        <w:t xml:space="preserve"> </w:t>
      </w:r>
      <w:r w:rsidRPr="00F96438">
        <w:tab/>
        <w:t>This training does not include locally arranged and bespoke HSW-related training that also occurs throughout the year.</w:t>
      </w:r>
    </w:p>
  </w:footnote>
  <w:footnote w:id="17">
    <w:p w14:paraId="7A259391" w14:textId="77777777" w:rsidR="00DC25DC" w:rsidRPr="001247A5" w:rsidRDefault="00DC25DC" w:rsidP="00DC25DC">
      <w:pPr>
        <w:pStyle w:val="FootnoteText"/>
        <w:rPr>
          <w:lang w:val="en-US"/>
        </w:rPr>
      </w:pPr>
      <w:r w:rsidRPr="001247A5">
        <w:rPr>
          <w:rStyle w:val="FootnoteReference"/>
          <w:vertAlign w:val="baseline"/>
        </w:rPr>
        <w:footnoteRef/>
      </w:r>
      <w:r w:rsidRPr="001247A5">
        <w:t xml:space="preserve"> </w:t>
      </w:r>
      <w:r w:rsidRPr="001247A5">
        <w:tab/>
        <w:t>https://www.genderequalitycommission.vic.gov.au/funded-research-projects-2024-targets-pilot</w:t>
      </w:r>
    </w:p>
  </w:footnote>
  <w:footnote w:id="18">
    <w:p w14:paraId="0E9B2C26" w14:textId="77777777" w:rsidR="00DC25DC" w:rsidRPr="001247A5" w:rsidRDefault="00DC25DC" w:rsidP="00DC25DC">
      <w:pPr>
        <w:pStyle w:val="FootnoteText"/>
        <w:rPr>
          <w:lang w:val="en-US"/>
        </w:rPr>
      </w:pPr>
      <w:r w:rsidRPr="001247A5">
        <w:footnoteRef/>
      </w:r>
      <w:r w:rsidRPr="001247A5">
        <w:t xml:space="preserve"> </w:t>
      </w:r>
      <w:r w:rsidRPr="001247A5">
        <w:tab/>
        <w:t>https://providers.dffh.vic.gov.au/neighbourhood-house-coordination-program</w:t>
      </w:r>
    </w:p>
  </w:footnote>
  <w:footnote w:id="19">
    <w:p w14:paraId="71F954B1" w14:textId="77777777" w:rsidR="00DC25DC" w:rsidRPr="001247A5" w:rsidRDefault="00DC25DC" w:rsidP="00DC25DC">
      <w:pPr>
        <w:pStyle w:val="FootnoteText"/>
        <w:rPr>
          <w:lang w:val="en-US"/>
        </w:rPr>
      </w:pPr>
      <w:r w:rsidRPr="001247A5">
        <w:footnoteRef/>
      </w:r>
      <w:r w:rsidRPr="001247A5">
        <w:t xml:space="preserve"> </w:t>
      </w:r>
      <w:r w:rsidRPr="001247A5">
        <w:tab/>
        <w:t>https://www.dffh.vic.gov.au/research-restrictive-practices-and-compulsory-treatment</w:t>
      </w:r>
    </w:p>
  </w:footnote>
  <w:footnote w:id="20">
    <w:p w14:paraId="454DB141" w14:textId="77777777" w:rsidR="006F2530" w:rsidRPr="001A614A" w:rsidRDefault="006F2530">
      <w:pPr>
        <w:pStyle w:val="FootnoteText"/>
      </w:pPr>
      <w:r w:rsidRPr="001A614A">
        <w:rPr>
          <w:rStyle w:val="FootnoteReference"/>
          <w:vertAlign w:val="baseline"/>
        </w:rPr>
        <w:footnoteRef/>
      </w:r>
      <w:r w:rsidRPr="001A614A">
        <w:t xml:space="preserve"> </w:t>
      </w:r>
      <w:r>
        <w:tab/>
      </w:r>
      <w:r w:rsidRPr="001A614A">
        <w:t>https://www.tenders.vic.gov.au</w:t>
      </w:r>
    </w:p>
  </w:footnote>
  <w:footnote w:id="21">
    <w:p w14:paraId="0368F68C" w14:textId="634E04BF" w:rsidR="00823A50" w:rsidRPr="00F95754" w:rsidRDefault="00823A50" w:rsidP="00F95754">
      <w:pPr>
        <w:pStyle w:val="FootnoteText"/>
      </w:pPr>
      <w:r w:rsidRPr="001A614A">
        <w:rPr>
          <w:rStyle w:val="FootnoteReference"/>
          <w:vertAlign w:val="baseline"/>
        </w:rPr>
        <w:footnoteRef/>
      </w:r>
      <w:r w:rsidRPr="001A614A">
        <w:t xml:space="preserve"> </w:t>
      </w:r>
      <w:r>
        <w:tab/>
      </w:r>
      <w:r w:rsidRPr="001A614A">
        <w:t>https://www.ibac.vic.gov.au</w:t>
      </w:r>
    </w:p>
  </w:footnote>
  <w:footnote w:id="22">
    <w:p w14:paraId="6CC70E35" w14:textId="77777777" w:rsidR="00823A50" w:rsidRPr="00F95754" w:rsidRDefault="00823A50" w:rsidP="00F95754">
      <w:pPr>
        <w:pStyle w:val="FootnoteText"/>
      </w:pPr>
      <w:r w:rsidRPr="00F95754">
        <w:rPr>
          <w:rStyle w:val="FootnoteReference"/>
          <w:vertAlign w:val="baseline"/>
        </w:rPr>
        <w:footnoteRef/>
      </w:r>
      <w:r w:rsidRPr="00F95754">
        <w:t xml:space="preserve"> </w:t>
      </w:r>
      <w:r w:rsidRPr="00F95754">
        <w:tab/>
        <w:t>https://www.dffh.vic.gov.au/public-interest-disclosure</w:t>
      </w:r>
    </w:p>
  </w:footnote>
  <w:footnote w:id="23">
    <w:p w14:paraId="16787930" w14:textId="2E234628" w:rsidR="00F95754" w:rsidRPr="00F95754" w:rsidRDefault="00F95754" w:rsidP="00F95754">
      <w:pPr>
        <w:pStyle w:val="FootnoteText"/>
        <w:rPr>
          <w:lang w:val="en-US"/>
        </w:rPr>
      </w:pPr>
      <w:r w:rsidRPr="00F95754">
        <w:rPr>
          <w:rStyle w:val="FootnoteReference"/>
          <w:vertAlign w:val="baseline"/>
        </w:rPr>
        <w:footnoteRef/>
      </w:r>
      <w:r w:rsidRPr="00F95754">
        <w:t xml:space="preserve"> </w:t>
      </w:r>
      <w:r>
        <w:tab/>
      </w:r>
      <w:r w:rsidRPr="00F95754">
        <w:t>mailto:public.interest.disclosures@dffh.vic.gov.au</w:t>
      </w:r>
    </w:p>
  </w:footnote>
  <w:footnote w:id="24">
    <w:p w14:paraId="2DC43038" w14:textId="77777777" w:rsidR="00F87DDC" w:rsidRPr="009913ED" w:rsidRDefault="00F87DDC" w:rsidP="00F87DDC">
      <w:pPr>
        <w:pStyle w:val="FootnoteText"/>
      </w:pPr>
      <w:r w:rsidRPr="009913ED">
        <w:rPr>
          <w:rStyle w:val="FootnoteReference"/>
          <w:vertAlign w:val="baseline"/>
        </w:rPr>
        <w:footnoteRef/>
      </w:r>
      <w:r w:rsidRPr="009913ED">
        <w:t xml:space="preserve"> </w:t>
      </w:r>
      <w:r w:rsidRPr="009913ED">
        <w:tab/>
        <w:t>https://www.data.vic.gov.au</w:t>
      </w:r>
    </w:p>
  </w:footnote>
  <w:footnote w:id="25">
    <w:p w14:paraId="5A7AA3B1" w14:textId="77777777" w:rsidR="00F87DDC" w:rsidRPr="00B55528" w:rsidRDefault="00F87DDC" w:rsidP="00F87DDC">
      <w:pPr>
        <w:pStyle w:val="FootnoteText"/>
      </w:pPr>
      <w:r w:rsidRPr="009913ED">
        <w:rPr>
          <w:rStyle w:val="FootnoteReference"/>
          <w:vertAlign w:val="baseline"/>
        </w:rPr>
        <w:footnoteRef/>
      </w:r>
      <w:r w:rsidRPr="009913ED">
        <w:t xml:space="preserve"> </w:t>
      </w:r>
      <w:r w:rsidRPr="009913ED">
        <w:tab/>
        <w:t>https://www.dffh.vic.gov.au/publications/annual-report</w:t>
      </w:r>
    </w:p>
  </w:footnote>
  <w:footnote w:id="26">
    <w:p w14:paraId="19AFD2D2" w14:textId="77777777" w:rsidR="00823A50" w:rsidRPr="001A614A" w:rsidRDefault="00823A50">
      <w:pPr>
        <w:pStyle w:val="FootnoteText"/>
      </w:pPr>
      <w:r w:rsidRPr="001A614A">
        <w:rPr>
          <w:rStyle w:val="FootnoteReference"/>
          <w:vertAlign w:val="baseline"/>
        </w:rPr>
        <w:footnoteRef/>
      </w:r>
      <w:r w:rsidRPr="001A614A">
        <w:t xml:space="preserve"> </w:t>
      </w:r>
      <w:r>
        <w:tab/>
      </w:r>
      <w:r w:rsidRPr="001A614A">
        <w:t>https://www.ovic.vic.gov.au</w:t>
      </w:r>
    </w:p>
  </w:footnote>
  <w:footnote w:id="27">
    <w:p w14:paraId="74ADD822" w14:textId="77777777" w:rsidR="006D7571" w:rsidRPr="005E3A7E" w:rsidRDefault="006D7571" w:rsidP="006D7571">
      <w:pPr>
        <w:pStyle w:val="FootnoteText"/>
      </w:pPr>
      <w:r w:rsidRPr="005E3A7E">
        <w:footnoteRef/>
      </w:r>
      <w:r>
        <w:t xml:space="preserve"> </w:t>
      </w:r>
      <w:r>
        <w:tab/>
      </w:r>
      <w:r w:rsidRPr="005E3A7E">
        <w:t>Th</w:t>
      </w:r>
      <w:r>
        <w:t xml:space="preserve">e calculations for 2025-26 greenhouse gas emissions differ from previous years due to </w:t>
      </w:r>
      <w:r w:rsidRPr="005E3A7E">
        <w:t xml:space="preserve">methodological </w:t>
      </w:r>
      <w:r>
        <w:t xml:space="preserve">changes stipulated by the Department for Climate Change, Energy, the Environment and Water in the </w:t>
      </w:r>
      <w:r w:rsidRPr="00C959AA">
        <w:t>Australian National Greenhouse Accounts Factors</w:t>
      </w:r>
      <w:r>
        <w:t>.</w:t>
      </w:r>
    </w:p>
  </w:footnote>
  <w:footnote w:id="28">
    <w:p w14:paraId="4C497BF3" w14:textId="77777777" w:rsidR="006D7571" w:rsidRPr="00EC00E8" w:rsidRDefault="006D7571" w:rsidP="006D7571">
      <w:pPr>
        <w:pStyle w:val="FootnoteText"/>
        <w:rPr>
          <w:highlight w:val="cyan"/>
          <w:lang w:val="en-US"/>
        </w:rPr>
      </w:pPr>
      <w:r w:rsidRPr="001D5B81">
        <w:footnoteRef/>
      </w:r>
      <w:r w:rsidRPr="001D5B81">
        <w:tab/>
        <w:t>Air travel calculated using total passenger kilometres (T4) and the average emissions factor of 1.43198 x 10</w:t>
      </w:r>
      <w:r w:rsidRPr="001D5B81">
        <w:rPr>
          <w:vertAlign w:val="superscript"/>
        </w:rPr>
        <w:t>-4</w:t>
      </w:r>
      <w:r w:rsidRPr="001D5B81">
        <w:t xml:space="preserve"> tonnes/passenger km for domestic aviation.</w:t>
      </w:r>
    </w:p>
  </w:footnote>
  <w:footnote w:id="29">
    <w:p w14:paraId="3A24ECD3" w14:textId="77777777" w:rsidR="006D7571" w:rsidRPr="0056720D" w:rsidRDefault="006D7571" w:rsidP="006D7571">
      <w:pPr>
        <w:pStyle w:val="FootnoteText"/>
        <w:rPr>
          <w:lang w:val="en-US"/>
        </w:rPr>
      </w:pPr>
      <w:r w:rsidRPr="0056720D">
        <w:footnoteRef/>
      </w:r>
      <w:r w:rsidRPr="0056720D">
        <w:t xml:space="preserve"> </w:t>
      </w:r>
      <w:r w:rsidRPr="0056720D">
        <w:tab/>
        <w:t xml:space="preserve">The current small market utility provider is currently consolidating </w:t>
      </w:r>
      <w:proofErr w:type="spellStart"/>
      <w:r w:rsidRPr="0056720D">
        <w:t>GreenPower</w:t>
      </w:r>
      <w:proofErr w:type="spellEnd"/>
      <w:r w:rsidRPr="0056720D">
        <w:t xml:space="preserve"> purchases across the portfolio. This information is currently not available.</w:t>
      </w:r>
    </w:p>
  </w:footnote>
  <w:footnote w:id="30">
    <w:p w14:paraId="359E226F" w14:textId="77777777" w:rsidR="006D7571" w:rsidRPr="0079591F" w:rsidRDefault="006D7571" w:rsidP="006D7571">
      <w:pPr>
        <w:pStyle w:val="FootnoteText"/>
        <w:rPr>
          <w:lang w:val="en-US"/>
        </w:rPr>
      </w:pPr>
      <w:r w:rsidRPr="0056720D">
        <w:footnoteRef/>
      </w:r>
      <w:r w:rsidRPr="0056720D">
        <w:t xml:space="preserve"> </w:t>
      </w:r>
      <w:r w:rsidRPr="0056720D">
        <w:tab/>
        <w:t>Electricity consumption includes a 4% estimate in 2025–26 due to some data being unavailable from energy retailers at the time of</w:t>
      </w:r>
      <w:r w:rsidRPr="0056720D">
        <w:rPr>
          <w:lang w:val="en-US"/>
        </w:rPr>
        <w:t> </w:t>
      </w:r>
      <w:r w:rsidRPr="0056720D">
        <w:t>reporting.</w:t>
      </w:r>
    </w:p>
  </w:footnote>
  <w:footnote w:id="31">
    <w:p w14:paraId="0E9BD69E" w14:textId="77777777" w:rsidR="006D7571" w:rsidRPr="00EC00E8" w:rsidRDefault="006D7571" w:rsidP="006D7571">
      <w:pPr>
        <w:pStyle w:val="FootnoteText"/>
        <w:rPr>
          <w:highlight w:val="cyan"/>
          <w:lang w:val="en-US"/>
        </w:rPr>
      </w:pPr>
      <w:r w:rsidRPr="0079591F">
        <w:footnoteRef/>
      </w:r>
      <w:r w:rsidRPr="0079591F">
        <w:t xml:space="preserve"> </w:t>
      </w:r>
      <w:r w:rsidRPr="0079591F">
        <w:tab/>
        <w:t xml:space="preserve">Solar PV consumption behind-the-meter and </w:t>
      </w:r>
      <w:proofErr w:type="spellStart"/>
      <w:r w:rsidRPr="0079591F">
        <w:t>GreenPower</w:t>
      </w:r>
      <w:proofErr w:type="spellEnd"/>
      <w:r w:rsidRPr="0079591F">
        <w:t xml:space="preserve"> electricity offsets include a proportion of electricity consumed in residential tenancies outside the department’s organisational boundary. This is attributable to new apartment building developments with shared on-site solar generation. These will be properly accounted for</w:t>
      </w:r>
      <w:r w:rsidRPr="0079591F">
        <w:rPr>
          <w:lang w:val="en-US"/>
        </w:rPr>
        <w:t> </w:t>
      </w:r>
      <w:r w:rsidRPr="0079591F">
        <w:t>in subsequent periods.</w:t>
      </w:r>
    </w:p>
  </w:footnote>
  <w:footnote w:id="32">
    <w:p w14:paraId="0B851A28" w14:textId="1854D1D4" w:rsidR="006D7571" w:rsidRPr="00EC00E8" w:rsidRDefault="006D7571" w:rsidP="006D7571">
      <w:pPr>
        <w:pStyle w:val="FootnoteText"/>
        <w:rPr>
          <w:highlight w:val="cyan"/>
        </w:rPr>
      </w:pPr>
      <w:r w:rsidRPr="00C05F35">
        <w:footnoteRef/>
      </w:r>
      <w:r w:rsidRPr="00C05F35">
        <w:t xml:space="preserve"> </w:t>
      </w:r>
      <w:r w:rsidRPr="00C05F35">
        <w:tab/>
        <w:t xml:space="preserve">Electricity offsets from the renewable power percentage were reported for Housing Services in 2024–25 for the first time. </w:t>
      </w:r>
      <w:r w:rsidR="00D91592">
        <w:br/>
      </w:r>
      <w:r w:rsidRPr="00C05F35">
        <w:t>This was due to continuous improvement in reporting methodology.</w:t>
      </w:r>
    </w:p>
  </w:footnote>
  <w:footnote w:id="33">
    <w:p w14:paraId="0C493133" w14:textId="77777777" w:rsidR="006D7571" w:rsidRPr="00EC00E8" w:rsidRDefault="006D7571" w:rsidP="006D7571">
      <w:pPr>
        <w:pStyle w:val="FootnoteText"/>
        <w:rPr>
          <w:highlight w:val="cyan"/>
          <w:lang w:val="en-US"/>
        </w:rPr>
      </w:pPr>
      <w:r w:rsidRPr="00C05F35">
        <w:footnoteRef/>
      </w:r>
      <w:r w:rsidRPr="00C05F35">
        <w:tab/>
        <w:t>Natural gas consumption includes a 33% estimate in 2025–26 due to some data being unavailable from energy retailers at the time of reporting.</w:t>
      </w:r>
    </w:p>
  </w:footnote>
  <w:footnote w:id="34">
    <w:p w14:paraId="6EF11BA2" w14:textId="562C9E72" w:rsidR="006D7571" w:rsidRPr="00046146" w:rsidRDefault="006D7571" w:rsidP="006D7571">
      <w:pPr>
        <w:pStyle w:val="FootnoteText"/>
      </w:pPr>
      <w:r w:rsidRPr="0096630E">
        <w:footnoteRef/>
      </w:r>
      <w:r w:rsidRPr="0096630E">
        <w:t xml:space="preserve"> </w:t>
      </w:r>
      <w:r w:rsidR="0096630E" w:rsidRPr="0096630E">
        <w:tab/>
      </w:r>
      <w:r w:rsidRPr="0096630E">
        <w:t>The</w:t>
      </w:r>
      <w:r>
        <w:t xml:space="preserve"> d</w:t>
      </w:r>
      <w:r w:rsidRPr="00046146">
        <w:t xml:space="preserve">epartment </w:t>
      </w:r>
      <w:r>
        <w:t xml:space="preserve">has now </w:t>
      </w:r>
      <w:r w:rsidRPr="00046146">
        <w:t xml:space="preserve">disposed of all goods vehicles </w:t>
      </w:r>
      <w:proofErr w:type="gramStart"/>
      <w:r w:rsidRPr="00046146">
        <w:t>with</w:t>
      </w:r>
      <w:r>
        <w:t xml:space="preserve"> the</w:t>
      </w:r>
      <w:r w:rsidRPr="00046146">
        <w:t xml:space="preserve"> exception of</w:t>
      </w:r>
      <w:proofErr w:type="gramEnd"/>
      <w:r w:rsidRPr="00046146">
        <w:t xml:space="preserve"> </w:t>
      </w:r>
      <w:r>
        <w:t>one</w:t>
      </w:r>
      <w:r w:rsidRPr="00046146">
        <w:t xml:space="preserve"> tractor which consumed 22ltrs</w:t>
      </w:r>
      <w:r>
        <w:t xml:space="preserve"> of diesel.</w:t>
      </w:r>
    </w:p>
  </w:footnote>
  <w:footnote w:id="35">
    <w:p w14:paraId="32BE1934" w14:textId="77777777" w:rsidR="006D7571" w:rsidRPr="007A4EE2" w:rsidRDefault="006D7571" w:rsidP="006D7571">
      <w:pPr>
        <w:pStyle w:val="FootnoteText"/>
      </w:pPr>
      <w:r w:rsidRPr="0016117D">
        <w:footnoteRef/>
      </w:r>
      <w:r w:rsidRPr="0016117D">
        <w:t xml:space="preserve"> </w:t>
      </w:r>
      <w:r w:rsidRPr="0016117D">
        <w:tab/>
        <w:t xml:space="preserve">E4 is not reported </w:t>
      </w:r>
      <w:r w:rsidRPr="00D170F4">
        <w:t xml:space="preserve">for Housing Services as </w:t>
      </w:r>
      <w:r>
        <w:t xml:space="preserve">the energy </w:t>
      </w:r>
      <w:r w:rsidRPr="00D170F4">
        <w:t xml:space="preserve">is </w:t>
      </w:r>
      <w:r>
        <w:t>used</w:t>
      </w:r>
      <w:r w:rsidRPr="00D170F4">
        <w:t xml:space="preserve"> by tenants. No applicable FTE data for normalisation.</w:t>
      </w:r>
    </w:p>
  </w:footnote>
  <w:footnote w:id="36">
    <w:p w14:paraId="41D9A367" w14:textId="77777777" w:rsidR="006D7571" w:rsidRPr="00840AA4" w:rsidRDefault="006D7571" w:rsidP="006D7571">
      <w:pPr>
        <w:pStyle w:val="FootnoteText"/>
        <w:rPr>
          <w:highlight w:val="yellow"/>
        </w:rPr>
      </w:pPr>
      <w:r w:rsidRPr="00C05F35">
        <w:rPr>
          <w:rStyle w:val="FootnoteReference"/>
          <w:vertAlign w:val="baseline"/>
        </w:rPr>
        <w:footnoteRef/>
      </w:r>
      <w:r w:rsidRPr="00C05F35">
        <w:t xml:space="preserve"> </w:t>
      </w:r>
      <w:r w:rsidRPr="00C05F35">
        <w:tab/>
        <w:t xml:space="preserve">Potable water consumption includes </w:t>
      </w:r>
      <w:r w:rsidRPr="002C0F98">
        <w:t>a 15% estimate</w:t>
      </w:r>
      <w:r w:rsidRPr="00C05F35">
        <w:t xml:space="preserve"> in 2025–26 due to some data being unavailable from water corporations at the time of reporting.</w:t>
      </w:r>
    </w:p>
  </w:footnote>
  <w:footnote w:id="37">
    <w:p w14:paraId="555E7325" w14:textId="77777777" w:rsidR="006D7571" w:rsidRPr="001719D3" w:rsidRDefault="006D7571" w:rsidP="006D7571">
      <w:pPr>
        <w:pStyle w:val="FootnoteText"/>
      </w:pPr>
      <w:r w:rsidRPr="00C05F35">
        <w:rPr>
          <w:rStyle w:val="FootnoteReference"/>
          <w:vertAlign w:val="baseline"/>
        </w:rPr>
        <w:footnoteRef/>
      </w:r>
      <w:r w:rsidRPr="00C05F35">
        <w:t xml:space="preserve"> </w:t>
      </w:r>
      <w:r w:rsidRPr="00C05F35">
        <w:tab/>
        <w:t>W2 is not reported for Housing Services</w:t>
      </w:r>
      <w:r>
        <w:t xml:space="preserve"> as metered water is consumed by tenants. N</w:t>
      </w:r>
      <w:r w:rsidRPr="00C05F35">
        <w:t>o applicable FTE data for normalisation</w:t>
      </w:r>
      <w:r>
        <w:t>.</w:t>
      </w:r>
    </w:p>
  </w:footnote>
  <w:footnote w:id="38">
    <w:p w14:paraId="23742C48" w14:textId="77777777" w:rsidR="006D7571" w:rsidRPr="00562B99" w:rsidRDefault="006D7571" w:rsidP="006D7571">
      <w:pPr>
        <w:pStyle w:val="FootnoteText"/>
      </w:pPr>
      <w:r w:rsidRPr="00562B99">
        <w:footnoteRef/>
      </w:r>
      <w:r w:rsidRPr="00562B99">
        <w:tab/>
        <w:t>Increased confidential paper waste is due to ongoing efforts to digitise records</w:t>
      </w:r>
      <w:r>
        <w:t xml:space="preserve"> at all department offices throughout the state</w:t>
      </w:r>
      <w:r w:rsidRPr="00562B99">
        <w:t>.</w:t>
      </w:r>
    </w:p>
  </w:footnote>
  <w:footnote w:id="39">
    <w:p w14:paraId="3AD397D4" w14:textId="5A26B4CF" w:rsidR="006D7571" w:rsidRPr="00DC06AC" w:rsidRDefault="006D7571" w:rsidP="00C0321B">
      <w:pPr>
        <w:pStyle w:val="FootnoteText"/>
      </w:pPr>
      <w:r w:rsidRPr="00D8297E">
        <w:footnoteRef/>
      </w:r>
      <w:r w:rsidRPr="00D8297E">
        <w:tab/>
      </w:r>
      <w:r w:rsidR="00961C2C">
        <w:t xml:space="preserve">Estimates </w:t>
      </w:r>
      <w:r w:rsidR="0090607B">
        <w:t xml:space="preserve">were unavailable for previous years but are now included. The </w:t>
      </w:r>
      <w:r w:rsidR="00AD6ADD">
        <w:t>up</w:t>
      </w:r>
      <w:r w:rsidR="00241BA4">
        <w:t>take</w:t>
      </w:r>
      <w:r w:rsidR="00AD6ADD">
        <w:t xml:space="preserve"> of</w:t>
      </w:r>
      <w:r w:rsidR="0090607B">
        <w:t xml:space="preserve"> ‘follow-me printing’ is responsible for the decrease </w:t>
      </w:r>
      <w:r w:rsidR="00AD6ADD">
        <w:t xml:space="preserve">in </w:t>
      </w:r>
      <w:r w:rsidR="00E1627D">
        <w:t>print</w:t>
      </w:r>
      <w:r w:rsidR="00AD6ADD">
        <w:t>er</w:t>
      </w:r>
      <w:r w:rsidR="00E1627D">
        <w:t xml:space="preserve"> usage over the past two-years.</w:t>
      </w:r>
    </w:p>
  </w:footnote>
  <w:footnote w:id="40">
    <w:p w14:paraId="62747967" w14:textId="6E476349" w:rsidR="006D7571" w:rsidRPr="00DC06AC" w:rsidRDefault="006D7571" w:rsidP="006D7571">
      <w:pPr>
        <w:pStyle w:val="FootnoteText"/>
      </w:pPr>
      <w:r w:rsidRPr="00DC06AC">
        <w:footnoteRef/>
      </w:r>
      <w:r w:rsidR="00C01322">
        <w:t xml:space="preserve"> </w:t>
      </w:r>
      <w:r w:rsidR="00C01322">
        <w:tab/>
      </w:r>
      <w:r w:rsidRPr="00DC06AC">
        <w:t>The department did not occupy sites that offered this recycling opportunity in previous reporting periods.</w:t>
      </w:r>
    </w:p>
  </w:footnote>
  <w:footnote w:id="41">
    <w:p w14:paraId="29625902" w14:textId="77777777" w:rsidR="006D7571" w:rsidRPr="002F0E56" w:rsidRDefault="006D7571" w:rsidP="006D7571">
      <w:pPr>
        <w:pStyle w:val="FootnoteText"/>
      </w:pPr>
      <w:r w:rsidRPr="00DE5B87">
        <w:footnoteRef/>
      </w:r>
      <w:r w:rsidRPr="00DE5B87">
        <w:tab/>
        <w:t>Supported by department staff who move e-waste from smaller offices and more remote offices to larger</w:t>
      </w:r>
      <w:r>
        <w:t>,</w:t>
      </w:r>
      <w:r w:rsidRPr="00DE5B87">
        <w:t xml:space="preserve"> central locations </w:t>
      </w:r>
      <w:r w:rsidRPr="002F0E56">
        <w:t>for collection.</w:t>
      </w:r>
    </w:p>
  </w:footnote>
  <w:footnote w:id="42">
    <w:p w14:paraId="3CFD6D7B" w14:textId="7E5936E4" w:rsidR="006D7571" w:rsidRPr="002570D1" w:rsidRDefault="006D7571" w:rsidP="006D7571">
      <w:pPr>
        <w:pStyle w:val="FootnoteText"/>
        <w:rPr>
          <w:lang w:val="en-US"/>
        </w:rPr>
      </w:pPr>
      <w:r w:rsidRPr="002F0E56">
        <w:footnoteRef/>
      </w:r>
      <w:r w:rsidRPr="002F0E56">
        <w:tab/>
        <w:t xml:space="preserve">The methodology for calculating greenhouse gas emissions </w:t>
      </w:r>
      <w:r w:rsidR="00F9178E">
        <w:t>changed in</w:t>
      </w:r>
      <w:r w:rsidRPr="002F0E56">
        <w:t xml:space="preserve"> 2023–24 </w:t>
      </w:r>
      <w:r w:rsidR="00F9178E">
        <w:t>as per updates to FRD24 reporting</w:t>
      </w:r>
      <w:r w:rsidRPr="002F0E56">
        <w:t>.</w:t>
      </w:r>
    </w:p>
  </w:footnote>
  <w:footnote w:id="43">
    <w:p w14:paraId="3FFAAE0E" w14:textId="77777777" w:rsidR="00C71659" w:rsidRPr="00182A82" w:rsidRDefault="00C71659" w:rsidP="00C71659">
      <w:pPr>
        <w:pStyle w:val="FootnoteText"/>
      </w:pPr>
      <w:r w:rsidRPr="009169F8">
        <w:footnoteRef/>
      </w:r>
      <w:r>
        <w:tab/>
        <w:t xml:space="preserve">References to FRDs have been removed from the disclosure index if the specific FRDs do not contain requirements that are </w:t>
      </w:r>
      <w:proofErr w:type="gramStart"/>
      <w:r>
        <w:t>in the nature of disclosure</w:t>
      </w:r>
      <w:proofErr w:type="gram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53127" w14:textId="55F11CCC" w:rsidR="00431A70" w:rsidRDefault="00C60411">
    <w:pPr>
      <w:pStyle w:val="Header"/>
    </w:pPr>
    <w:r w:rsidRPr="00DE6C85">
      <w:rPr>
        <w:b w:val="0"/>
        <w:bCs/>
      </w:rPr>
      <w:fldChar w:fldCharType="begin"/>
    </w:r>
    <w:r w:rsidRPr="00DE6C85">
      <w:rPr>
        <w:bCs/>
      </w:rPr>
      <w:instrText xml:space="preserve"> PAGE </w:instrText>
    </w:r>
    <w:r w:rsidRPr="00DE6C85">
      <w:rPr>
        <w:b w:val="0"/>
        <w:bCs/>
      </w:rPr>
      <w:fldChar w:fldCharType="separate"/>
    </w:r>
    <w:r>
      <w:rPr>
        <w:bCs/>
      </w:rPr>
      <w:t>11</w:t>
    </w:r>
    <w:r w:rsidRPr="00DE6C85">
      <w:rPr>
        <w:b w:val="0"/>
        <w:bCs/>
      </w:rPr>
      <w:fldChar w:fldCharType="end"/>
    </w:r>
    <w:r>
      <w:rPr>
        <w:bCs/>
      </w:rPr>
      <w:ptab w:relativeTo="margin" w:alignment="right" w:leader="none"/>
    </w:r>
    <w:r>
      <w:t>Document title</w:t>
    </w:r>
    <w:r>
      <w:rPr>
        <w:noProof/>
      </w:rPr>
      <w:t xml:space="preserve"> </w:t>
    </w:r>
    <w:r w:rsidR="009C245E" w:rsidRPr="009C245E">
      <w:rPr>
        <w:noProof/>
      </w:rPr>
      <w:t>(use Header style)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90861" w14:textId="4B066C3C" w:rsidR="00562811" w:rsidRPr="002B6DE4" w:rsidRDefault="002B6DE4" w:rsidP="002B6DE4">
    <w:pPr>
      <w:pStyle w:val="Header"/>
    </w:pPr>
    <w:r w:rsidRPr="00C24DD7">
      <w:t xml:space="preserve">Department of Families, Fairness and Housing </w:t>
    </w:r>
    <w:r w:rsidR="001607B6">
      <w:t>A</w:t>
    </w:r>
    <w:r w:rsidRPr="00C24DD7">
      <w:t xml:space="preserve">nnual </w:t>
    </w:r>
    <w:r w:rsidR="001607B6">
      <w:t>R</w:t>
    </w:r>
    <w:r w:rsidRPr="00C24DD7">
      <w:t>eport 202</w:t>
    </w:r>
    <w:r>
      <w:t>5</w:t>
    </w:r>
    <w:r w:rsidRPr="00C24DD7">
      <w:t>–2</w:t>
    </w:r>
    <w:r>
      <w:t>6</w:t>
    </w:r>
    <w:r>
      <w:ptab w:relativeTo="margin" w:alignment="right" w:leader="none"/>
    </w:r>
    <w:r w:rsidRPr="00DE6C85">
      <w:rPr>
        <w:b w:val="0"/>
        <w:bCs/>
      </w:rPr>
      <w:fldChar w:fldCharType="begin"/>
    </w:r>
    <w:r w:rsidRPr="00DE6C85">
      <w:rPr>
        <w:bCs/>
      </w:rPr>
      <w:instrText xml:space="preserve"> PAGE </w:instrText>
    </w:r>
    <w:r w:rsidRPr="00DE6C85">
      <w:rPr>
        <w:b w:val="0"/>
        <w:bCs/>
      </w:rPr>
      <w:fldChar w:fldCharType="separate"/>
    </w:r>
    <w:r>
      <w:rPr>
        <w:b w:val="0"/>
        <w:bCs/>
      </w:rPr>
      <w:t>6</w:t>
    </w:r>
    <w:r w:rsidRPr="00DE6C85">
      <w:rPr>
        <w:b w:val="0"/>
        <w:bC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6125E" w14:textId="664A92DD" w:rsidR="00FE1C8B" w:rsidRDefault="00FE1C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29B2D" w14:textId="5127483A" w:rsidR="00FE1C8B" w:rsidRDefault="00FE1C8B">
    <w:pPr>
      <w:pStyle w:val="Header"/>
    </w:pPr>
    <w:r w:rsidRPr="00DE6C85">
      <w:rPr>
        <w:b w:val="0"/>
        <w:bCs/>
      </w:rPr>
      <w:fldChar w:fldCharType="begin"/>
    </w:r>
    <w:r w:rsidRPr="00DE6C85">
      <w:rPr>
        <w:bCs/>
      </w:rPr>
      <w:instrText xml:space="preserve"> PAGE </w:instrText>
    </w:r>
    <w:r w:rsidRPr="00DE6C85">
      <w:rPr>
        <w:b w:val="0"/>
        <w:bCs/>
      </w:rPr>
      <w:fldChar w:fldCharType="separate"/>
    </w:r>
    <w:r>
      <w:rPr>
        <w:bCs/>
      </w:rPr>
      <w:t>11</w:t>
    </w:r>
    <w:r w:rsidRPr="00DE6C85">
      <w:rPr>
        <w:b w:val="0"/>
        <w:bCs/>
      </w:rPr>
      <w:fldChar w:fldCharType="end"/>
    </w:r>
    <w:r>
      <w:rPr>
        <w:bCs/>
      </w:rPr>
      <w:ptab w:relativeTo="margin" w:alignment="right" w:leader="none"/>
    </w:r>
    <w:r>
      <w:t>Document title</w:t>
    </w:r>
    <w:r>
      <w:rPr>
        <w:noProof/>
      </w:rPr>
      <w:t xml:space="preserve"> </w:t>
    </w:r>
    <w:r w:rsidRPr="009C245E">
      <w:rPr>
        <w:noProof/>
      </w:rPr>
      <w:t>(use Header style)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2FC97" w14:textId="67AC3664" w:rsidR="007F3425" w:rsidRDefault="00C24DD7">
    <w:pPr>
      <w:pStyle w:val="Header"/>
    </w:pPr>
    <w:r w:rsidRPr="00C24DD7">
      <w:t xml:space="preserve">Department of Families, Fairness and Housing </w:t>
    </w:r>
    <w:r w:rsidR="001607B6">
      <w:t>A</w:t>
    </w:r>
    <w:r w:rsidRPr="00C24DD7">
      <w:t xml:space="preserve">nnual </w:t>
    </w:r>
    <w:r w:rsidR="001607B6">
      <w:t>R</w:t>
    </w:r>
    <w:r w:rsidR="00396D70" w:rsidRPr="00C24DD7">
      <w:t xml:space="preserve">eport </w:t>
    </w:r>
    <w:r w:rsidRPr="00C24DD7">
      <w:t>202</w:t>
    </w:r>
    <w:r>
      <w:t>5</w:t>
    </w:r>
    <w:r w:rsidRPr="00C24DD7">
      <w:t>–2</w:t>
    </w:r>
    <w:r>
      <w:t>6</w:t>
    </w:r>
    <w:r w:rsidR="00887518">
      <w:ptab w:relativeTo="margin" w:alignment="right" w:leader="none"/>
    </w:r>
    <w:r w:rsidR="00887518" w:rsidRPr="00DE6C85">
      <w:rPr>
        <w:b w:val="0"/>
        <w:bCs/>
      </w:rPr>
      <w:fldChar w:fldCharType="begin"/>
    </w:r>
    <w:r w:rsidR="00887518" w:rsidRPr="00DE6C85">
      <w:rPr>
        <w:bCs/>
      </w:rPr>
      <w:instrText xml:space="preserve"> PAGE </w:instrText>
    </w:r>
    <w:r w:rsidR="00887518" w:rsidRPr="00DE6C85">
      <w:rPr>
        <w:b w:val="0"/>
        <w:bCs/>
      </w:rPr>
      <w:fldChar w:fldCharType="separate"/>
    </w:r>
    <w:r w:rsidR="00887518">
      <w:rPr>
        <w:b w:val="0"/>
        <w:bCs/>
      </w:rPr>
      <w:t>2</w:t>
    </w:r>
    <w:r w:rsidR="00887518" w:rsidRPr="00DE6C85">
      <w:rPr>
        <w:b w:val="0"/>
        <w:bCs/>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7FC86" w14:textId="3BFAE691" w:rsidR="00FE1C8B" w:rsidRDefault="007C1C58">
    <w:pPr>
      <w:pStyle w:val="Header"/>
    </w:pPr>
    <w:r>
      <w:rPr>
        <w:noProof/>
      </w:rPr>
      <mc:AlternateContent>
        <mc:Choice Requires="wps">
          <w:drawing>
            <wp:anchor distT="0" distB="0" distL="114300" distR="114300" simplePos="0" relativeHeight="251658246" behindDoc="1" locked="0" layoutInCell="0" allowOverlap="1" wp14:anchorId="7806195D" wp14:editId="0D66CE09">
              <wp:simplePos x="0" y="0"/>
              <wp:positionH relativeFrom="margin">
                <wp:align>center</wp:align>
              </wp:positionH>
              <wp:positionV relativeFrom="margin">
                <wp:align>center</wp:align>
              </wp:positionV>
              <wp:extent cx="6163310" cy="2465070"/>
              <wp:effectExtent l="0" t="1666875" r="0" b="1354455"/>
              <wp:wrapNone/>
              <wp:docPr id="270092890" name="WordArt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163310" cy="24650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0F92462" w14:textId="77777777" w:rsidR="007C1C58" w:rsidRDefault="007C1C58" w:rsidP="007C1C58">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806195D" id="_x0000_t202" coordsize="21600,21600" o:spt="202" path="m,l,21600r21600,l21600,xe">
              <v:stroke joinstyle="miter"/>
              <v:path gradientshapeok="t" o:connecttype="rect"/>
            </v:shapetype>
            <v:shape id="WordArt 25" o:spid="_x0000_s1029" type="#_x0000_t202" style="position:absolute;margin-left:0;margin-top:0;width:485.3pt;height:194.1pt;rotation:-45;z-index:-25165823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" o:allowincell="f" filled="f" stroked="f">
              <v:stroke joinstyle="round"/>
              <o:lock v:ext="edit" shapetype="t"/>
              <v:textbox style="mso-fit-shape-to-text:t">
                <w:txbxContent>
                  <w:p w14:paraId="50F92462" w14:textId="77777777" w:rsidR="007C1C58" w:rsidRDefault="007C1C58" w:rsidP="007C1C58">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CA992" w14:textId="397E25F8" w:rsidR="00FE1C8B" w:rsidRDefault="00FE1C8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68A6F" w14:textId="3783613A" w:rsidR="00B3222D" w:rsidRPr="00C24DD7" w:rsidRDefault="00B3222D" w:rsidP="00C24DD7">
    <w:pPr>
      <w:pStyle w:val="Header"/>
    </w:pPr>
    <w:r w:rsidRPr="00C24DD7">
      <w:t>Department of Families, Fairness and Housing Annual Report 202</w:t>
    </w:r>
    <w:r>
      <w:t>5</w:t>
    </w:r>
    <w:r w:rsidRPr="00C24DD7">
      <w:t>–2</w:t>
    </w:r>
    <w:r>
      <w:t>6</w:t>
    </w:r>
    <w:r>
      <w:ptab w:relativeTo="margin" w:alignment="right" w:leader="none"/>
    </w:r>
    <w:r w:rsidRPr="00DE6C85">
      <w:rPr>
        <w:b w:val="0"/>
        <w:bCs/>
      </w:rPr>
      <w:fldChar w:fldCharType="begin"/>
    </w:r>
    <w:r w:rsidRPr="00DE6C85">
      <w:rPr>
        <w:bCs/>
      </w:rPr>
      <w:instrText xml:space="preserve"> PAGE </w:instrText>
    </w:r>
    <w:r w:rsidRPr="00DE6C85">
      <w:rPr>
        <w:b w:val="0"/>
        <w:bCs/>
      </w:rPr>
      <w:fldChar w:fldCharType="separate"/>
    </w:r>
    <w:r>
      <w:rPr>
        <w:b w:val="0"/>
        <w:bCs/>
      </w:rPr>
      <w:t>76</w:t>
    </w:r>
    <w:r w:rsidRPr="00DE6C85">
      <w:rPr>
        <w:b w:val="0"/>
        <w:bCs/>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E43A7" w14:textId="65EC68D2" w:rsidR="00B3222D" w:rsidRDefault="00B3222D">
    <w:r w:rsidRPr="009F2313">
      <w:t>Department of Families, Fairness and Housing Annual Report 2024–25</w:t>
    </w:r>
    <w:r w:rsidRPr="009F2313">
      <w:tab/>
    </w:r>
    <w:r>
      <w:fldChar w:fldCharType="begin"/>
    </w:r>
    <w:r>
      <w:instrText xml:space="preserve"> PAGE   \* MERGEFORMAT </w:instrText>
    </w:r>
    <w:r>
      <w:fldChar w:fldCharType="separate"/>
    </w:r>
    <w:r>
      <w:rPr>
        <w:noProof/>
      </w:rPr>
      <w:t>1</w:t>
    </w:r>
    <w:r>
      <w:rPr>
        <w:noProof/>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54BCB" w14:textId="2F982961" w:rsidR="00FE1C8B" w:rsidRDefault="00FE1C8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B19FB" w14:textId="50AFD6F1" w:rsidR="00FE1C8B" w:rsidRPr="00C24DD7" w:rsidRDefault="00FE1C8B" w:rsidP="00C24DD7">
    <w:pPr>
      <w:pStyle w:val="Header"/>
    </w:pPr>
    <w:r w:rsidRPr="00C24DD7">
      <w:t>Department of Families, Fairness and Housing Annual Report 202</w:t>
    </w:r>
    <w:r>
      <w:t>5</w:t>
    </w:r>
    <w:r w:rsidRPr="00C24DD7">
      <w:t>–2</w:t>
    </w:r>
    <w:r>
      <w:t>6</w:t>
    </w:r>
    <w:r>
      <w:ptab w:relativeTo="margin" w:alignment="right" w:leader="none"/>
    </w:r>
    <w:r w:rsidRPr="00DE6C85">
      <w:rPr>
        <w:b w:val="0"/>
        <w:bCs/>
      </w:rPr>
      <w:fldChar w:fldCharType="begin"/>
    </w:r>
    <w:r w:rsidRPr="00DE6C85">
      <w:rPr>
        <w:bCs/>
      </w:rPr>
      <w:instrText xml:space="preserve"> PAGE </w:instrText>
    </w:r>
    <w:r w:rsidRPr="00DE6C85">
      <w:rPr>
        <w:b w:val="0"/>
        <w:bCs/>
      </w:rPr>
      <w:fldChar w:fldCharType="separate"/>
    </w:r>
    <w:r>
      <w:rPr>
        <w:b w:val="0"/>
        <w:bCs/>
      </w:rPr>
      <w:t>76</w:t>
    </w:r>
    <w:r w:rsidRPr="00DE6C85">
      <w:rPr>
        <w:b w:val="0"/>
        <w:bCs/>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5F44B" w14:textId="4635C882" w:rsidR="00FE1C8B" w:rsidRDefault="00FE1C8B">
    <w:r w:rsidRPr="009F2313">
      <w:t>Department of Families, Fairness and Housing Annual Report 2024–25</w:t>
    </w:r>
    <w:r w:rsidRPr="009F2313">
      <w:tab/>
    </w:r>
    <w:r>
      <w:fldChar w:fldCharType="begin"/>
    </w:r>
    <w:r>
      <w:instrText xml:space="preserve"> PAGE   \* MERGEFORMAT </w:instrText>
    </w:r>
    <w:r>
      <w:fldChar w:fldCharType="separate"/>
    </w:r>
    <w:r>
      <w:rPr>
        <w:noProof/>
      </w:rPr>
      <w:t>1</w:t>
    </w:r>
    <w:r>
      <w:rPr>
        <w:noProof/>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771AD" w14:textId="1451FDE0" w:rsidR="005E2BB1" w:rsidRPr="005E2BB1" w:rsidRDefault="005E2BB1" w:rsidP="005E2BB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31944" w14:textId="28853AF7" w:rsidR="00FE1C8B" w:rsidRPr="00C24DD7" w:rsidRDefault="00FE1C8B" w:rsidP="00C24DD7">
    <w:pPr>
      <w:pStyle w:val="Header"/>
    </w:pPr>
    <w:r w:rsidRPr="00C24DD7">
      <w:t>Department of Families, Fairness and Housing Annual Report 202</w:t>
    </w:r>
    <w:r>
      <w:t>5</w:t>
    </w:r>
    <w:r w:rsidRPr="00C24DD7">
      <w:t>–2</w:t>
    </w:r>
    <w:r>
      <w:t>6</w:t>
    </w:r>
    <w:r>
      <w:ptab w:relativeTo="margin" w:alignment="right" w:leader="none"/>
    </w:r>
    <w:r w:rsidRPr="00DE6C85">
      <w:rPr>
        <w:b w:val="0"/>
        <w:bCs/>
      </w:rPr>
      <w:fldChar w:fldCharType="begin"/>
    </w:r>
    <w:r w:rsidRPr="00DE6C85">
      <w:rPr>
        <w:bCs/>
      </w:rPr>
      <w:instrText xml:space="preserve"> PAGE </w:instrText>
    </w:r>
    <w:r w:rsidRPr="00DE6C85">
      <w:rPr>
        <w:b w:val="0"/>
        <w:bCs/>
      </w:rPr>
      <w:fldChar w:fldCharType="separate"/>
    </w:r>
    <w:r>
      <w:rPr>
        <w:b w:val="0"/>
        <w:bCs/>
      </w:rPr>
      <w:t>76</w:t>
    </w:r>
    <w:r w:rsidRPr="00DE6C85">
      <w:rPr>
        <w:b w:val="0"/>
        <w:bCs/>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11FC5" w14:textId="04D5ACC7" w:rsidR="005E2BB1" w:rsidRPr="005E2BB1" w:rsidRDefault="005E2BB1" w:rsidP="005E2BB1"/>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61FEA" w14:textId="5307E1E7" w:rsidR="00FE1C8B" w:rsidRPr="005E2BB1" w:rsidRDefault="00FE1C8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32C81" w14:textId="7B78338B" w:rsidR="00FE1C8B" w:rsidRPr="00C24DD7" w:rsidRDefault="00FE1C8B" w:rsidP="00C24DD7">
    <w:pPr>
      <w:pStyle w:val="Header"/>
    </w:pPr>
    <w:r w:rsidRPr="00C24DD7">
      <w:t>Department of Families, Fairness and Housing Annual Report 202</w:t>
    </w:r>
    <w:r>
      <w:t>5</w:t>
    </w:r>
    <w:r w:rsidRPr="00C24DD7">
      <w:t>–2</w:t>
    </w:r>
    <w:r>
      <w:t>6</w:t>
    </w:r>
    <w:r>
      <w:ptab w:relativeTo="margin" w:alignment="right" w:leader="none"/>
    </w:r>
    <w:r w:rsidRPr="00DE6C85">
      <w:rPr>
        <w:b w:val="0"/>
        <w:bCs/>
      </w:rPr>
      <w:fldChar w:fldCharType="begin"/>
    </w:r>
    <w:r w:rsidRPr="00DE6C85">
      <w:rPr>
        <w:bCs/>
      </w:rPr>
      <w:instrText xml:space="preserve"> PAGE </w:instrText>
    </w:r>
    <w:r w:rsidRPr="00DE6C85">
      <w:rPr>
        <w:b w:val="0"/>
        <w:bCs/>
      </w:rPr>
      <w:fldChar w:fldCharType="separate"/>
    </w:r>
    <w:r>
      <w:rPr>
        <w:b w:val="0"/>
        <w:bCs/>
      </w:rPr>
      <w:t>76</w:t>
    </w:r>
    <w:r w:rsidRPr="00DE6C85">
      <w:rPr>
        <w:b w:val="0"/>
        <w:bCs/>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2634A" w14:textId="1A33DF3D" w:rsidR="00FE1C8B" w:rsidRPr="005E2BB1" w:rsidRDefault="00FE1C8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EE8C1" w14:textId="30673C9A" w:rsidR="0093198F" w:rsidRDefault="0093198F"/>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A896D" w14:textId="22E82DDB" w:rsidR="00FE1C8B" w:rsidRPr="00C24DD7" w:rsidRDefault="00FE1C8B" w:rsidP="00C24DD7">
    <w:pPr>
      <w:pStyle w:val="Header"/>
    </w:pPr>
    <w:r w:rsidRPr="00C24DD7">
      <w:t>Department of Families, Fairness and Housing Annual Report 202</w:t>
    </w:r>
    <w:r>
      <w:t>5</w:t>
    </w:r>
    <w:r w:rsidRPr="00C24DD7">
      <w:t>–2</w:t>
    </w:r>
    <w:r>
      <w:t>6</w:t>
    </w:r>
    <w:r>
      <w:ptab w:relativeTo="margin" w:alignment="right" w:leader="none"/>
    </w:r>
    <w:r w:rsidRPr="00DE6C85">
      <w:rPr>
        <w:b w:val="0"/>
        <w:bCs/>
      </w:rPr>
      <w:fldChar w:fldCharType="begin"/>
    </w:r>
    <w:r w:rsidRPr="00DE6C85">
      <w:rPr>
        <w:bCs/>
      </w:rPr>
      <w:instrText xml:space="preserve"> PAGE </w:instrText>
    </w:r>
    <w:r w:rsidRPr="00DE6C85">
      <w:rPr>
        <w:b w:val="0"/>
        <w:bCs/>
      </w:rPr>
      <w:fldChar w:fldCharType="separate"/>
    </w:r>
    <w:r>
      <w:rPr>
        <w:b w:val="0"/>
        <w:bCs/>
      </w:rPr>
      <w:t>76</w:t>
    </w:r>
    <w:r w:rsidRPr="00DE6C85">
      <w:rPr>
        <w:b w:val="0"/>
        <w:bCs/>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A9AE1" w14:textId="6AB4AD3F" w:rsidR="0093198F" w:rsidRDefault="0093198F"/>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C4B53" w14:textId="03ACD62D" w:rsidR="00FE1C8B" w:rsidRDefault="007C1C58">
    <w:pPr>
      <w:pStyle w:val="Header"/>
    </w:pPr>
    <w:r>
      <w:rPr>
        <w:noProof/>
      </w:rPr>
      <mc:AlternateContent>
        <mc:Choice Requires="wps">
          <w:drawing>
            <wp:anchor distT="0" distB="0" distL="114300" distR="114300" simplePos="0" relativeHeight="251658250" behindDoc="1" locked="0" layoutInCell="0" allowOverlap="1" wp14:anchorId="543768CC" wp14:editId="44A4DC86">
              <wp:simplePos x="0" y="0"/>
              <wp:positionH relativeFrom="margin">
                <wp:align>center</wp:align>
              </wp:positionH>
              <wp:positionV relativeFrom="margin">
                <wp:align>center</wp:align>
              </wp:positionV>
              <wp:extent cx="6163310" cy="2465070"/>
              <wp:effectExtent l="0" t="1666875" r="0" b="1354455"/>
              <wp:wrapNone/>
              <wp:docPr id="515880176" name="WordArt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163310" cy="24650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0843B07" w14:textId="77777777" w:rsidR="007C1C58" w:rsidRDefault="007C1C58" w:rsidP="007C1C58">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43768CC" id="_x0000_t202" coordsize="21600,21600" o:spt="202" path="m,l,21600r21600,l21600,xe">
              <v:stroke joinstyle="miter"/>
              <v:path gradientshapeok="t" o:connecttype="rect"/>
            </v:shapetype>
            <v:shape id="WordArt 116" o:spid="_x0000_s1030" type="#_x0000_t202" style="position:absolute;margin-left:0;margin-top:0;width:485.3pt;height:194.1pt;rotation:-45;z-index:-25165823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" o:allowincell="f" filled="f" stroked="f">
              <v:stroke joinstyle="round"/>
              <o:lock v:ext="edit" shapetype="t"/>
              <v:textbox style="mso-fit-shape-to-text:t">
                <w:txbxContent>
                  <w:p w14:paraId="40843B07" w14:textId="77777777" w:rsidR="007C1C58" w:rsidRDefault="007C1C58" w:rsidP="007C1C58">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DD3A9" w14:textId="68FD0800" w:rsidR="006D7571" w:rsidRPr="007E5278" w:rsidRDefault="007E5278" w:rsidP="007E5278">
    <w:pPr>
      <w:pStyle w:val="Header"/>
    </w:pPr>
    <w:r w:rsidRPr="00C24DD7">
      <w:t xml:space="preserve">Department of Families, Fairness and Housing </w:t>
    </w:r>
    <w:r w:rsidR="001607B6">
      <w:t>A</w:t>
    </w:r>
    <w:r w:rsidRPr="00C24DD7">
      <w:t xml:space="preserve">nnual </w:t>
    </w:r>
    <w:r w:rsidR="001607B6">
      <w:t>R</w:t>
    </w:r>
    <w:r w:rsidRPr="00C24DD7">
      <w:t>eport 202</w:t>
    </w:r>
    <w:r>
      <w:t>5</w:t>
    </w:r>
    <w:r w:rsidRPr="00C24DD7">
      <w:t>–2</w:t>
    </w:r>
    <w:r>
      <w:t>6</w:t>
    </w:r>
    <w:r>
      <w:ptab w:relativeTo="margin" w:alignment="right" w:leader="none"/>
    </w:r>
    <w:r w:rsidRPr="00DE6C85">
      <w:rPr>
        <w:b w:val="0"/>
        <w:bCs/>
      </w:rPr>
      <w:fldChar w:fldCharType="begin"/>
    </w:r>
    <w:r w:rsidRPr="00DE6C85">
      <w:rPr>
        <w:bCs/>
      </w:rPr>
      <w:instrText xml:space="preserve"> PAGE </w:instrText>
    </w:r>
    <w:r w:rsidRPr="00DE6C85">
      <w:rPr>
        <w:b w:val="0"/>
        <w:bCs/>
      </w:rPr>
      <w:fldChar w:fldCharType="separate"/>
    </w:r>
    <w:r>
      <w:rPr>
        <w:b w:val="0"/>
        <w:bCs/>
      </w:rPr>
      <w:t>128</w:t>
    </w:r>
    <w:r w:rsidRPr="00DE6C85">
      <w:rPr>
        <w:b w:val="0"/>
        <w:bCs/>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20750" w14:textId="69C38A4F" w:rsidR="006D7571" w:rsidRDefault="006D7571" w:rsidP="00A538AD">
    <w:pPr>
      <w:pStyle w:val="Header"/>
    </w:pPr>
    <w:r w:rsidRPr="009F2313">
      <w:t xml:space="preserve">Department of Families, Fairness and Housing </w:t>
    </w:r>
    <w:r w:rsidR="001607B6">
      <w:t>A</w:t>
    </w:r>
    <w:r w:rsidR="00A538AD" w:rsidRPr="00C24DD7">
      <w:t xml:space="preserve">nnual </w:t>
    </w:r>
    <w:r w:rsidR="001607B6">
      <w:t>R</w:t>
    </w:r>
    <w:r w:rsidRPr="009F2313">
      <w:t>eport 202</w:t>
    </w:r>
    <w:r>
      <w:t>5</w:t>
    </w:r>
    <w:r w:rsidRPr="009F2313">
      <w:t>–</w:t>
    </w:r>
    <w:r w:rsidR="00A538AD" w:rsidRPr="00C24DD7">
      <w:t>2</w:t>
    </w:r>
    <w:r w:rsidR="00A538AD">
      <w:t>6</w:t>
    </w:r>
    <w:r w:rsidR="00A538AD">
      <w:ptab w:relativeTo="margin" w:alignment="right" w:leader="none"/>
    </w:r>
    <w:r w:rsidR="00A538AD" w:rsidRPr="00DE6C85">
      <w:rPr>
        <w:b w:val="0"/>
        <w:bCs/>
      </w:rPr>
      <w:fldChar w:fldCharType="begin"/>
    </w:r>
    <w:r w:rsidR="00A538AD" w:rsidRPr="00DE6C85">
      <w:rPr>
        <w:bCs/>
      </w:rPr>
      <w:instrText xml:space="preserve"> PAGE </w:instrText>
    </w:r>
    <w:r w:rsidR="00A538AD" w:rsidRPr="00DE6C85">
      <w:rPr>
        <w:b w:val="0"/>
        <w:bCs/>
      </w:rPr>
      <w:fldChar w:fldCharType="separate"/>
    </w:r>
    <w:r w:rsidR="00A538AD">
      <w:rPr>
        <w:b w:val="0"/>
        <w:bCs/>
      </w:rPr>
      <w:t>140</w:t>
    </w:r>
    <w:r w:rsidR="00A538AD" w:rsidRPr="00DE6C85">
      <w:rPr>
        <w:b w:val="0"/>
        <w:bCs/>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12E16" w14:textId="49653495" w:rsidR="006E51BF" w:rsidRDefault="006E51BF">
    <w:pPr>
      <w:pStyle w:val="Header"/>
    </w:pPr>
    <w:r w:rsidRPr="00DE6C85">
      <w:rPr>
        <w:b w:val="0"/>
        <w:bCs/>
      </w:rPr>
      <w:fldChar w:fldCharType="begin"/>
    </w:r>
    <w:r w:rsidRPr="00DE6C85">
      <w:rPr>
        <w:bCs/>
      </w:rPr>
      <w:instrText xml:space="preserve"> PAGE </w:instrText>
    </w:r>
    <w:r w:rsidRPr="00DE6C85">
      <w:rPr>
        <w:b w:val="0"/>
        <w:bCs/>
      </w:rPr>
      <w:fldChar w:fldCharType="separate"/>
    </w:r>
    <w:r>
      <w:rPr>
        <w:bCs/>
      </w:rPr>
      <w:t>11</w:t>
    </w:r>
    <w:r w:rsidRPr="00DE6C85">
      <w:rPr>
        <w:b w:val="0"/>
        <w:bCs/>
      </w:rPr>
      <w:fldChar w:fldCharType="end"/>
    </w:r>
    <w:r>
      <w:rPr>
        <w:bCs/>
      </w:rPr>
      <w:ptab w:relativeTo="margin" w:alignment="right" w:leader="none"/>
    </w:r>
    <w:r>
      <w:t>Document title</w:t>
    </w:r>
    <w:r>
      <w:rPr>
        <w:noProof/>
      </w:rPr>
      <w:t xml:space="preserve"> </w:t>
    </w:r>
    <w:r w:rsidRPr="009C245E">
      <w:rPr>
        <w:noProof/>
      </w:rPr>
      <w:t>(use Header style)</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D52C5" w14:textId="4A9F115E" w:rsidR="006E51BF" w:rsidRPr="001C7128" w:rsidRDefault="006E51BF" w:rsidP="001C7128">
    <w:pPr>
      <w:pStyle w:val="Header"/>
    </w:pPr>
    <w:r w:rsidRPr="009F2313">
      <w:t xml:space="preserve">Department of Families, Fairness and Housing Annual </w:t>
    </w:r>
    <w:r w:rsidRPr="008071FB">
      <w:t>Report</w:t>
    </w:r>
    <w:r w:rsidRPr="009F2313">
      <w:t xml:space="preserve"> </w:t>
    </w:r>
    <w:r>
      <w:t>2025</w:t>
    </w:r>
    <w:r w:rsidRPr="0006512F">
      <w:rPr>
        <w:bCs/>
      </w:rPr>
      <w:t>–</w:t>
    </w:r>
    <w:r>
      <w:t>26</w:t>
    </w:r>
    <w:r>
      <w:ptab w:relativeTo="margin" w:alignment="right" w:leader="none"/>
    </w:r>
    <w:r w:rsidRPr="00DE6C85">
      <w:rPr>
        <w:b w:val="0"/>
        <w:bCs/>
      </w:rPr>
      <w:fldChar w:fldCharType="begin"/>
    </w:r>
    <w:r w:rsidRPr="00DE6C85">
      <w:rPr>
        <w:bCs/>
      </w:rPr>
      <w:instrText xml:space="preserve"> PAGE </w:instrText>
    </w:r>
    <w:r w:rsidRPr="00DE6C85">
      <w:rPr>
        <w:b w:val="0"/>
        <w:bCs/>
      </w:rPr>
      <w:fldChar w:fldCharType="separate"/>
    </w:r>
    <w:r>
      <w:rPr>
        <w:bCs/>
      </w:rPr>
      <w:t>7</w:t>
    </w:r>
    <w:r w:rsidRPr="00DE6C85">
      <w:rPr>
        <w:b w:val="0"/>
        <w:bCs/>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450B4" w14:textId="5B6EEC1E" w:rsidR="00FE1C8B" w:rsidRDefault="00FE1C8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13137" w14:textId="2AD27178" w:rsidR="00F962BE" w:rsidRDefault="00F962BE">
    <w:pPr>
      <w:pStyle w:val="Header"/>
    </w:pPr>
    <w:r w:rsidRPr="00DE6C85">
      <w:rPr>
        <w:b w:val="0"/>
        <w:bCs/>
      </w:rPr>
      <w:fldChar w:fldCharType="begin"/>
    </w:r>
    <w:r w:rsidRPr="00DE6C85">
      <w:rPr>
        <w:bCs/>
      </w:rPr>
      <w:instrText xml:space="preserve"> PAGE </w:instrText>
    </w:r>
    <w:r w:rsidRPr="00DE6C85">
      <w:rPr>
        <w:b w:val="0"/>
        <w:bCs/>
      </w:rPr>
      <w:fldChar w:fldCharType="separate"/>
    </w:r>
    <w:r>
      <w:rPr>
        <w:bCs/>
      </w:rPr>
      <w:t>11</w:t>
    </w:r>
    <w:r w:rsidRPr="00DE6C85">
      <w:rPr>
        <w:b w:val="0"/>
        <w:bCs/>
      </w:rPr>
      <w:fldChar w:fldCharType="end"/>
    </w:r>
    <w:r>
      <w:rPr>
        <w:bCs/>
      </w:rPr>
      <w:ptab w:relativeTo="margin" w:alignment="right" w:leader="none"/>
    </w:r>
    <w:r>
      <w:t>Document title</w:t>
    </w:r>
    <w:r>
      <w:rPr>
        <w:noProof/>
      </w:rPr>
      <w:t xml:space="preserve"> </w:t>
    </w:r>
    <w:r w:rsidRPr="009C245E">
      <w:rPr>
        <w:noProof/>
      </w:rPr>
      <w:t>(use Header style)</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186C2" w14:textId="5E4DB3A3" w:rsidR="00F962BE" w:rsidRPr="001C7128" w:rsidRDefault="001607B6" w:rsidP="001C7128">
    <w:pPr>
      <w:pStyle w:val="Header"/>
    </w:pPr>
    <w:r w:rsidRPr="009F2313">
      <w:t xml:space="preserve">Department of Families, Fairness and Housing Annual </w:t>
    </w:r>
    <w:r w:rsidRPr="008071FB">
      <w:t>Report</w:t>
    </w:r>
    <w:r w:rsidRPr="009F2313">
      <w:t xml:space="preserve"> </w:t>
    </w:r>
    <w:r>
      <w:t>2025</w:t>
    </w:r>
    <w:r w:rsidRPr="0006512F">
      <w:rPr>
        <w:bCs/>
      </w:rPr>
      <w:t>–</w:t>
    </w:r>
    <w:r>
      <w:t>26</w:t>
    </w:r>
    <w:r w:rsidR="00F962BE">
      <w:ptab w:relativeTo="margin" w:alignment="right" w:leader="none"/>
    </w:r>
    <w:r w:rsidR="00F962BE" w:rsidRPr="00DE6C85">
      <w:rPr>
        <w:b w:val="0"/>
        <w:bCs/>
      </w:rPr>
      <w:fldChar w:fldCharType="begin"/>
    </w:r>
    <w:r w:rsidR="00F962BE" w:rsidRPr="00DE6C85">
      <w:rPr>
        <w:bCs/>
      </w:rPr>
      <w:instrText xml:space="preserve"> PAGE </w:instrText>
    </w:r>
    <w:r w:rsidR="00F962BE" w:rsidRPr="00DE6C85">
      <w:rPr>
        <w:b w:val="0"/>
        <w:bCs/>
      </w:rPr>
      <w:fldChar w:fldCharType="separate"/>
    </w:r>
    <w:r w:rsidR="00F962BE">
      <w:rPr>
        <w:bCs/>
      </w:rPr>
      <w:t>7</w:t>
    </w:r>
    <w:r w:rsidR="00F962BE" w:rsidRPr="00DE6C85">
      <w:rPr>
        <w:b w:val="0"/>
        <w:bCs/>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5D116" w14:textId="536A29CD" w:rsidR="00FE1C8B" w:rsidRDefault="00FE1C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4BE88EA2"/>
    <w:lvl w:ilvl="0">
      <w:start w:val="1"/>
      <w:numFmt w:val="decimal"/>
      <w:pStyle w:val="ListNumber2"/>
      <w:lvlText w:val="%1."/>
      <w:lvlJc w:val="left"/>
      <w:pPr>
        <w:tabs>
          <w:tab w:val="num" w:pos="8156"/>
        </w:tabs>
        <w:ind w:left="8156" w:hanging="360"/>
      </w:pPr>
    </w:lvl>
  </w:abstractNum>
  <w:abstractNum w:abstractNumId="1" w15:restartNumberingAfterBreak="0">
    <w:nsid w:val="02C90043"/>
    <w:multiLevelType w:val="hybridMultilevel"/>
    <w:tmpl w:val="834C7E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F2323C"/>
    <w:multiLevelType w:val="hybridMultilevel"/>
    <w:tmpl w:val="A61C06F4"/>
    <w:lvl w:ilvl="0" w:tplc="24BCA682">
      <w:start w:val="1"/>
      <w:numFmt w:val="bullet"/>
      <w:pStyle w:val="ListBullet"/>
      <w:lvlText w:val=""/>
      <w:lvlJc w:val="left"/>
      <w:pPr>
        <w:ind w:left="284" w:hanging="284"/>
      </w:pPr>
      <w:rPr>
        <w:rFonts w:ascii="Symbol" w:hAnsi="Symbol" w:hint="default"/>
      </w:rPr>
    </w:lvl>
    <w:lvl w:ilvl="1" w:tplc="62942078">
      <w:start w:val="1"/>
      <w:numFmt w:val="bullet"/>
      <w:pStyle w:val="ListBullet2"/>
      <w:lvlText w:val="–"/>
      <w:lvlJc w:val="left"/>
      <w:pPr>
        <w:ind w:left="568" w:hanging="284"/>
      </w:pPr>
      <w:rPr>
        <w:rFonts w:ascii="Arial" w:hAnsi="Arial" w:hint="default"/>
      </w:rPr>
    </w:lvl>
    <w:lvl w:ilvl="2" w:tplc="DE587716">
      <w:start w:val="1"/>
      <w:numFmt w:val="bullet"/>
      <w:pStyle w:val="ListBullet3"/>
      <w:lvlText w:val=""/>
      <w:lvlJc w:val="left"/>
      <w:pPr>
        <w:ind w:left="852" w:hanging="284"/>
      </w:pPr>
      <w:rPr>
        <w:rFonts w:ascii="Symbol" w:hAnsi="Symbol" w:hint="default"/>
      </w:rPr>
    </w:lvl>
    <w:lvl w:ilvl="3" w:tplc="0584F940">
      <w:start w:val="1"/>
      <w:numFmt w:val="decimal"/>
      <w:lvlText w:val="(%4)"/>
      <w:lvlJc w:val="left"/>
      <w:pPr>
        <w:ind w:left="1136" w:hanging="284"/>
      </w:pPr>
      <w:rPr>
        <w:rFonts w:hint="default"/>
      </w:rPr>
    </w:lvl>
    <w:lvl w:ilvl="4" w:tplc="B0960C8E">
      <w:start w:val="1"/>
      <w:numFmt w:val="lowerLetter"/>
      <w:lvlText w:val="(%5)"/>
      <w:lvlJc w:val="left"/>
      <w:pPr>
        <w:ind w:left="1420" w:hanging="284"/>
      </w:pPr>
      <w:rPr>
        <w:rFonts w:hint="default"/>
      </w:rPr>
    </w:lvl>
    <w:lvl w:ilvl="5" w:tplc="24E03318">
      <w:start w:val="1"/>
      <w:numFmt w:val="lowerRoman"/>
      <w:lvlText w:val="(%6)"/>
      <w:lvlJc w:val="left"/>
      <w:pPr>
        <w:ind w:left="1704" w:hanging="284"/>
      </w:pPr>
      <w:rPr>
        <w:rFonts w:hint="default"/>
      </w:rPr>
    </w:lvl>
    <w:lvl w:ilvl="6" w:tplc="A5705250">
      <w:start w:val="1"/>
      <w:numFmt w:val="decimal"/>
      <w:lvlText w:val="%7."/>
      <w:lvlJc w:val="left"/>
      <w:pPr>
        <w:ind w:left="1988" w:hanging="284"/>
      </w:pPr>
      <w:rPr>
        <w:rFonts w:hint="default"/>
      </w:rPr>
    </w:lvl>
    <w:lvl w:ilvl="7" w:tplc="4274CDDC">
      <w:start w:val="1"/>
      <w:numFmt w:val="lowerLetter"/>
      <w:lvlText w:val="%8."/>
      <w:lvlJc w:val="left"/>
      <w:pPr>
        <w:ind w:left="2272" w:hanging="284"/>
      </w:pPr>
      <w:rPr>
        <w:rFonts w:hint="default"/>
      </w:rPr>
    </w:lvl>
    <w:lvl w:ilvl="8" w:tplc="0A50ECDE">
      <w:start w:val="1"/>
      <w:numFmt w:val="lowerRoman"/>
      <w:lvlText w:val="%9."/>
      <w:lvlJc w:val="left"/>
      <w:pPr>
        <w:ind w:left="2556" w:hanging="284"/>
      </w:pPr>
      <w:rPr>
        <w:rFonts w:hint="default"/>
      </w:rPr>
    </w:lvl>
  </w:abstractNum>
  <w:abstractNum w:abstractNumId="3" w15:restartNumberingAfterBreak="0">
    <w:nsid w:val="03A50056"/>
    <w:multiLevelType w:val="multilevel"/>
    <w:tmpl w:val="0AAE1EBA"/>
    <w:numStyleLink w:val="ZZNumbersloweralpha"/>
  </w:abstractNum>
  <w:abstractNum w:abstractNumId="4" w15:restartNumberingAfterBreak="0">
    <w:nsid w:val="04432514"/>
    <w:multiLevelType w:val="hybridMultilevel"/>
    <w:tmpl w:val="2390CEF8"/>
    <w:lvl w:ilvl="0" w:tplc="5B20610C">
      <w:start w:val="1"/>
      <w:numFmt w:val="lowerLetter"/>
      <w:pStyle w:val="ARfinnumberalpha"/>
      <w:lvlText w:val="%1)"/>
      <w:lvlJc w:val="left"/>
      <w:pPr>
        <w:ind w:left="284" w:hanging="284"/>
      </w:pPr>
      <w:rPr>
        <w:rFonts w:hint="default"/>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9A0784D"/>
    <w:multiLevelType w:val="hybridMultilevel"/>
    <w:tmpl w:val="0D1C39D6"/>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BAD2E30"/>
    <w:multiLevelType w:val="multilevel"/>
    <w:tmpl w:val="0AAE1EBA"/>
    <w:styleLink w:val="ZZNumbersloweralpha"/>
    <w:lvl w:ilvl="0">
      <w:start w:val="1"/>
      <w:numFmt w:val="lowerLetter"/>
      <w:pStyle w:val="ARNumberloweralpha"/>
      <w:lvlText w:val="(%1)"/>
      <w:lvlJc w:val="left"/>
      <w:pPr>
        <w:tabs>
          <w:tab w:val="num" w:pos="397"/>
        </w:tabs>
        <w:ind w:left="397" w:hanging="397"/>
      </w:pPr>
      <w:rPr>
        <w:rFonts w:hint="default"/>
      </w:rPr>
    </w:lvl>
    <w:lvl w:ilvl="1">
      <w:start w:val="1"/>
      <w:numFmt w:val="lowerLetter"/>
      <w:pStyle w:val="AR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7" w15:restartNumberingAfterBreak="0">
    <w:nsid w:val="0C996DC6"/>
    <w:multiLevelType w:val="hybridMultilevel"/>
    <w:tmpl w:val="A4CE1F22"/>
    <w:lvl w:ilvl="0" w:tplc="24E03318">
      <w:start w:val="1"/>
      <w:numFmt w:val="lowerRoman"/>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0460543"/>
    <w:multiLevelType w:val="hybridMultilevel"/>
    <w:tmpl w:val="154C414E"/>
    <w:lvl w:ilvl="0" w:tplc="EC8EA568">
      <w:start w:val="1"/>
      <w:numFmt w:val="bullet"/>
      <w:lvlText w:val="•"/>
      <w:lvlJc w:val="left"/>
      <w:pPr>
        <w:ind w:left="227" w:hanging="227"/>
      </w:pPr>
      <w:rPr>
        <w:rFonts w:ascii="Calibri" w:hAnsi="Calibri" w:hint="default"/>
      </w:rPr>
    </w:lvl>
    <w:lvl w:ilvl="1" w:tplc="1BB2CB32">
      <w:start w:val="1"/>
      <w:numFmt w:val="bullet"/>
      <w:lvlRestart w:val="0"/>
      <w:lvlText w:val="–"/>
      <w:lvlJc w:val="left"/>
      <w:pPr>
        <w:ind w:left="454" w:hanging="227"/>
      </w:pPr>
      <w:rPr>
        <w:rFonts w:ascii="Calibri" w:hAnsi="Calibri" w:hint="default"/>
      </w:rPr>
    </w:lvl>
    <w:lvl w:ilvl="2" w:tplc="DBB69344">
      <w:start w:val="1"/>
      <w:numFmt w:val="none"/>
      <w:lvlRestart w:val="0"/>
      <w:lvlText w:val=""/>
      <w:lvlJc w:val="left"/>
      <w:pPr>
        <w:ind w:left="0" w:firstLine="0"/>
      </w:pPr>
      <w:rPr>
        <w:rFonts w:hint="default"/>
      </w:rPr>
    </w:lvl>
    <w:lvl w:ilvl="3" w:tplc="3EA6E694">
      <w:start w:val="1"/>
      <w:numFmt w:val="none"/>
      <w:lvlRestart w:val="0"/>
      <w:lvlText w:val=""/>
      <w:lvlJc w:val="left"/>
      <w:pPr>
        <w:ind w:left="0" w:firstLine="0"/>
      </w:pPr>
      <w:rPr>
        <w:rFonts w:hint="default"/>
      </w:rPr>
    </w:lvl>
    <w:lvl w:ilvl="4" w:tplc="4B767A1A">
      <w:start w:val="1"/>
      <w:numFmt w:val="none"/>
      <w:lvlRestart w:val="0"/>
      <w:lvlText w:val=""/>
      <w:lvlJc w:val="left"/>
      <w:pPr>
        <w:ind w:left="0" w:firstLine="0"/>
      </w:pPr>
      <w:rPr>
        <w:rFonts w:hint="default"/>
      </w:rPr>
    </w:lvl>
    <w:lvl w:ilvl="5" w:tplc="CA76A10E">
      <w:start w:val="1"/>
      <w:numFmt w:val="none"/>
      <w:lvlRestart w:val="0"/>
      <w:lvlText w:val=""/>
      <w:lvlJc w:val="left"/>
      <w:pPr>
        <w:ind w:left="0" w:firstLine="0"/>
      </w:pPr>
      <w:rPr>
        <w:rFonts w:hint="default"/>
      </w:rPr>
    </w:lvl>
    <w:lvl w:ilvl="6" w:tplc="01D0E186">
      <w:start w:val="1"/>
      <w:numFmt w:val="none"/>
      <w:lvlRestart w:val="0"/>
      <w:lvlText w:val=""/>
      <w:lvlJc w:val="left"/>
      <w:pPr>
        <w:ind w:left="0" w:firstLine="0"/>
      </w:pPr>
      <w:rPr>
        <w:rFonts w:hint="default"/>
      </w:rPr>
    </w:lvl>
    <w:lvl w:ilvl="7" w:tplc="8BDC2024">
      <w:start w:val="1"/>
      <w:numFmt w:val="none"/>
      <w:lvlRestart w:val="0"/>
      <w:lvlText w:val=""/>
      <w:lvlJc w:val="left"/>
      <w:pPr>
        <w:ind w:left="0" w:firstLine="0"/>
      </w:pPr>
      <w:rPr>
        <w:rFonts w:hint="default"/>
      </w:rPr>
    </w:lvl>
    <w:lvl w:ilvl="8" w:tplc="4FA0FEFC">
      <w:start w:val="1"/>
      <w:numFmt w:val="none"/>
      <w:lvlRestart w:val="0"/>
      <w:lvlText w:val=""/>
      <w:lvlJc w:val="left"/>
      <w:pPr>
        <w:ind w:left="0" w:firstLine="0"/>
      </w:pPr>
      <w:rPr>
        <w:rFonts w:hint="default"/>
      </w:rPr>
    </w:lvl>
  </w:abstractNum>
  <w:abstractNum w:abstractNumId="9" w15:restartNumberingAfterBreak="0">
    <w:nsid w:val="1482025E"/>
    <w:multiLevelType w:val="hybridMultilevel"/>
    <w:tmpl w:val="1242E2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5004D28"/>
    <w:multiLevelType w:val="hybridMultilevel"/>
    <w:tmpl w:val="77CA1FA2"/>
    <w:lvl w:ilvl="0" w:tplc="8DDC958E">
      <w:start w:val="1"/>
      <w:numFmt w:val="bullet"/>
      <w:pStyle w:val="ARfinbullet2"/>
      <w:lvlText w:val="−"/>
      <w:lvlJc w:val="left"/>
      <w:pPr>
        <w:ind w:left="720" w:hanging="360"/>
      </w:pPr>
      <w:rPr>
        <w:rFonts w:ascii="Arial" w:hAnsi="Aria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54F1F60"/>
    <w:multiLevelType w:val="hybridMultilevel"/>
    <w:tmpl w:val="6BB2FD10"/>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7607F30"/>
    <w:multiLevelType w:val="hybridMultilevel"/>
    <w:tmpl w:val="517A3424"/>
    <w:lvl w:ilvl="0" w:tplc="D046BE34">
      <w:start w:val="1"/>
      <w:numFmt w:val="bullet"/>
      <w:pStyle w:val="ARfootnotebullet"/>
      <w:lvlText w:val="•"/>
      <w:lvlJc w:val="left"/>
      <w:pPr>
        <w:ind w:left="1080" w:hanging="360"/>
      </w:pPr>
      <w:rPr>
        <w:rFonts w:ascii="Galano Grotesque" w:hAnsi="Galano Grotesque"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89003B8"/>
    <w:multiLevelType w:val="multilevel"/>
    <w:tmpl w:val="4D60B420"/>
    <w:lvl w:ilvl="0">
      <w:start w:val="1"/>
      <w:numFmt w:val="lowerRoman"/>
      <w:pStyle w:val="ARfintablenoteroman"/>
      <w:lvlText w:val="(%1)"/>
      <w:lvlJc w:val="left"/>
      <w:pPr>
        <w:ind w:left="357" w:hanging="35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CD95887"/>
    <w:multiLevelType w:val="hybridMultilevel"/>
    <w:tmpl w:val="564299E6"/>
    <w:styleLink w:val="Tablefootnotes"/>
    <w:lvl w:ilvl="0" w:tplc="915E6960">
      <w:start w:val="1"/>
      <w:numFmt w:val="none"/>
      <w:suff w:val="nothing"/>
      <w:lvlText w:val=""/>
      <w:lvlJc w:val="left"/>
      <w:pPr>
        <w:ind w:left="0" w:firstLine="0"/>
      </w:pPr>
      <w:rPr>
        <w:rFonts w:hint="default"/>
      </w:rPr>
    </w:lvl>
    <w:lvl w:ilvl="1" w:tplc="1F32490C">
      <w:start w:val="1"/>
      <w:numFmt w:val="lowerRoman"/>
      <w:lvlText w:val="(%2)"/>
      <w:lvlJc w:val="left"/>
      <w:pPr>
        <w:tabs>
          <w:tab w:val="num" w:pos="284"/>
        </w:tabs>
        <w:ind w:left="284" w:hanging="284"/>
      </w:pPr>
      <w:rPr>
        <w:rFonts w:hint="default"/>
      </w:rPr>
    </w:lvl>
    <w:lvl w:ilvl="2" w:tplc="C0064F14">
      <w:start w:val="1"/>
      <w:numFmt w:val="bullet"/>
      <w:lvlRestart w:val="0"/>
      <w:lvlText w:val="•"/>
      <w:lvlJc w:val="left"/>
      <w:pPr>
        <w:ind w:left="510" w:hanging="226"/>
      </w:pPr>
      <w:rPr>
        <w:rFonts w:ascii="Calibri" w:hAnsi="Calibri" w:hint="default"/>
        <w:color w:val="auto"/>
      </w:rPr>
    </w:lvl>
    <w:lvl w:ilvl="3" w:tplc="279AC4D6">
      <w:start w:val="1"/>
      <w:numFmt w:val="decimal"/>
      <w:lvlText w:val="(%4)"/>
      <w:lvlJc w:val="left"/>
      <w:pPr>
        <w:ind w:left="1440" w:hanging="360"/>
      </w:pPr>
      <w:rPr>
        <w:rFonts w:hint="default"/>
      </w:rPr>
    </w:lvl>
    <w:lvl w:ilvl="4" w:tplc="E4505786">
      <w:start w:val="1"/>
      <w:numFmt w:val="lowerLetter"/>
      <w:lvlText w:val="(%5)"/>
      <w:lvlJc w:val="left"/>
      <w:pPr>
        <w:ind w:left="1800" w:hanging="360"/>
      </w:pPr>
      <w:rPr>
        <w:rFonts w:hint="default"/>
      </w:rPr>
    </w:lvl>
    <w:lvl w:ilvl="5" w:tplc="492EE5F8">
      <w:start w:val="1"/>
      <w:numFmt w:val="lowerRoman"/>
      <w:lvlText w:val="(%6)"/>
      <w:lvlJc w:val="left"/>
      <w:pPr>
        <w:ind w:left="2160" w:hanging="360"/>
      </w:pPr>
      <w:rPr>
        <w:rFonts w:hint="default"/>
      </w:rPr>
    </w:lvl>
    <w:lvl w:ilvl="6" w:tplc="ECF407E6">
      <w:start w:val="1"/>
      <w:numFmt w:val="decimal"/>
      <w:lvlText w:val="%7."/>
      <w:lvlJc w:val="left"/>
      <w:pPr>
        <w:ind w:left="2520" w:hanging="360"/>
      </w:pPr>
      <w:rPr>
        <w:rFonts w:hint="default"/>
      </w:rPr>
    </w:lvl>
    <w:lvl w:ilvl="7" w:tplc="630E965C">
      <w:start w:val="1"/>
      <w:numFmt w:val="lowerLetter"/>
      <w:lvlText w:val="%8."/>
      <w:lvlJc w:val="left"/>
      <w:pPr>
        <w:ind w:left="2880" w:hanging="360"/>
      </w:pPr>
      <w:rPr>
        <w:rFonts w:hint="default"/>
      </w:rPr>
    </w:lvl>
    <w:lvl w:ilvl="8" w:tplc="F6F0DF1A">
      <w:start w:val="1"/>
      <w:numFmt w:val="lowerRoman"/>
      <w:lvlText w:val="%9."/>
      <w:lvlJc w:val="left"/>
      <w:pPr>
        <w:ind w:left="3240" w:hanging="360"/>
      </w:pPr>
      <w:rPr>
        <w:rFonts w:hint="default"/>
      </w:rPr>
    </w:lvl>
  </w:abstractNum>
  <w:abstractNum w:abstractNumId="15" w15:restartNumberingAfterBreak="0">
    <w:nsid w:val="1F054B89"/>
    <w:multiLevelType w:val="hybridMultilevel"/>
    <w:tmpl w:val="745C4D6E"/>
    <w:lvl w:ilvl="0" w:tplc="5B288802">
      <w:start w:val="5"/>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20CB48EC"/>
    <w:multiLevelType w:val="hybridMultilevel"/>
    <w:tmpl w:val="13003532"/>
    <w:lvl w:ilvl="0" w:tplc="0C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21FD1567"/>
    <w:multiLevelType w:val="hybridMultilevel"/>
    <w:tmpl w:val="76B68A5C"/>
    <w:styleLink w:val="Style2"/>
    <w:lvl w:ilvl="0" w:tplc="0FB88C0A">
      <w:start w:val="1"/>
      <w:numFmt w:val="lowerRoman"/>
      <w:pStyle w:val="ARtablefootnoteroman"/>
      <w:lvlText w:val="(%1)"/>
      <w:lvlJc w:val="left"/>
      <w:pPr>
        <w:tabs>
          <w:tab w:val="num" w:pos="284"/>
        </w:tabs>
        <w:ind w:left="284" w:hanging="284"/>
      </w:pPr>
      <w:rPr>
        <w:rFonts w:hint="default"/>
      </w:rPr>
    </w:lvl>
    <w:lvl w:ilvl="1" w:tplc="BEDCA2C6">
      <w:start w:val="1"/>
      <w:numFmt w:val="none"/>
      <w:lvlRestart w:val="0"/>
      <w:lvlText w:val=""/>
      <w:lvlJc w:val="left"/>
      <w:pPr>
        <w:ind w:left="0" w:firstLine="0"/>
      </w:pPr>
      <w:rPr>
        <w:rFonts w:hint="default"/>
      </w:rPr>
    </w:lvl>
    <w:lvl w:ilvl="2" w:tplc="1410005C">
      <w:start w:val="1"/>
      <w:numFmt w:val="none"/>
      <w:lvlRestart w:val="0"/>
      <w:lvlText w:val=""/>
      <w:lvlJc w:val="left"/>
      <w:pPr>
        <w:ind w:left="0" w:firstLine="0"/>
      </w:pPr>
      <w:rPr>
        <w:rFonts w:hint="default"/>
      </w:rPr>
    </w:lvl>
    <w:lvl w:ilvl="3" w:tplc="25523A14">
      <w:start w:val="1"/>
      <w:numFmt w:val="none"/>
      <w:lvlRestart w:val="0"/>
      <w:lvlText w:val=""/>
      <w:lvlJc w:val="left"/>
      <w:pPr>
        <w:ind w:left="0" w:firstLine="0"/>
      </w:pPr>
      <w:rPr>
        <w:rFonts w:hint="default"/>
      </w:rPr>
    </w:lvl>
    <w:lvl w:ilvl="4" w:tplc="6BE47768">
      <w:start w:val="1"/>
      <w:numFmt w:val="none"/>
      <w:lvlRestart w:val="0"/>
      <w:lvlText w:val=""/>
      <w:lvlJc w:val="left"/>
      <w:pPr>
        <w:ind w:left="0" w:firstLine="0"/>
      </w:pPr>
      <w:rPr>
        <w:rFonts w:hint="default"/>
      </w:rPr>
    </w:lvl>
    <w:lvl w:ilvl="5" w:tplc="663ECBFC">
      <w:start w:val="1"/>
      <w:numFmt w:val="none"/>
      <w:lvlRestart w:val="0"/>
      <w:lvlText w:val=""/>
      <w:lvlJc w:val="left"/>
      <w:pPr>
        <w:ind w:left="0" w:firstLine="0"/>
      </w:pPr>
      <w:rPr>
        <w:rFonts w:hint="default"/>
      </w:rPr>
    </w:lvl>
    <w:lvl w:ilvl="6" w:tplc="2A7896FE">
      <w:start w:val="1"/>
      <w:numFmt w:val="none"/>
      <w:lvlRestart w:val="0"/>
      <w:lvlText w:val=""/>
      <w:lvlJc w:val="left"/>
      <w:pPr>
        <w:ind w:left="0" w:firstLine="0"/>
      </w:pPr>
      <w:rPr>
        <w:rFonts w:hint="default"/>
      </w:rPr>
    </w:lvl>
    <w:lvl w:ilvl="7" w:tplc="27926564">
      <w:start w:val="1"/>
      <w:numFmt w:val="none"/>
      <w:lvlRestart w:val="0"/>
      <w:lvlText w:val=""/>
      <w:lvlJc w:val="left"/>
      <w:pPr>
        <w:ind w:left="0" w:firstLine="0"/>
      </w:pPr>
      <w:rPr>
        <w:rFonts w:hint="default"/>
      </w:rPr>
    </w:lvl>
    <w:lvl w:ilvl="8" w:tplc="386034F4">
      <w:start w:val="1"/>
      <w:numFmt w:val="none"/>
      <w:lvlRestart w:val="0"/>
      <w:lvlText w:val=""/>
      <w:lvlJc w:val="left"/>
      <w:pPr>
        <w:ind w:left="0" w:firstLine="0"/>
      </w:pPr>
      <w:rPr>
        <w:rFonts w:hint="default"/>
      </w:rPr>
    </w:lvl>
  </w:abstractNum>
  <w:abstractNum w:abstractNumId="18" w15:restartNumberingAfterBreak="0">
    <w:nsid w:val="2AF37A74"/>
    <w:multiLevelType w:val="hybridMultilevel"/>
    <w:tmpl w:val="23665F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2BE10B9D"/>
    <w:multiLevelType w:val="hybridMultilevel"/>
    <w:tmpl w:val="DF0C7988"/>
    <w:lvl w:ilvl="0" w:tplc="B3FC5F9E">
      <w:start w:val="1"/>
      <w:numFmt w:val="bullet"/>
      <w:pStyle w:val="ARtablefigurenotebullet"/>
      <w:lvlText w:val="•"/>
      <w:lvlJc w:val="left"/>
      <w:pPr>
        <w:ind w:left="720" w:hanging="360"/>
      </w:pPr>
      <w:rPr>
        <w:rFonts w:ascii="Calibri" w:hAnsi="Calibri"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BEC4788"/>
    <w:multiLevelType w:val="multilevel"/>
    <w:tmpl w:val="916A0BAA"/>
    <w:lvl w:ilvl="0">
      <w:start w:val="1"/>
      <w:numFmt w:val="lowerLetter"/>
      <w:pStyle w:val="ARfinnumberalpha1"/>
      <w:lvlText w:val="(%1)"/>
      <w:lvlJc w:val="left"/>
      <w:pPr>
        <w:ind w:left="284" w:hanging="284"/>
      </w:pPr>
      <w:rPr>
        <w:rFonts w:hint="default"/>
      </w:rPr>
    </w:lvl>
    <w:lvl w:ilvl="1">
      <w:start w:val="1"/>
      <w:numFmt w:val="none"/>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2D014732"/>
    <w:multiLevelType w:val="multilevel"/>
    <w:tmpl w:val="CE309E2E"/>
    <w:styleLink w:val="ZZIntrobullets1"/>
    <w:lvl w:ilvl="0">
      <w:start w:val="1"/>
      <w:numFmt w:val="lowerLetter"/>
      <w:pStyle w:val="ARtablefootnotealpha"/>
      <w:lvlText w:val="(%1)"/>
      <w:lvlJc w:val="left"/>
      <w:pPr>
        <w:tabs>
          <w:tab w:val="num" w:pos="340"/>
        </w:tabs>
        <w:ind w:left="340" w:hanging="340"/>
      </w:pPr>
      <w:rPr>
        <w:rFonts w:hint="default"/>
        <w:strike w:val="0"/>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345D22CC"/>
    <w:multiLevelType w:val="hybridMultilevel"/>
    <w:tmpl w:val="447A7214"/>
    <w:lvl w:ilvl="0" w:tplc="05804B1E">
      <w:start w:val="1"/>
      <w:numFmt w:val="decimal"/>
      <w:lvlText w:val="%1."/>
      <w:lvlJc w:val="left"/>
      <w:pPr>
        <w:ind w:left="1020" w:hanging="360"/>
      </w:pPr>
    </w:lvl>
    <w:lvl w:ilvl="1" w:tplc="2916BF82">
      <w:start w:val="1"/>
      <w:numFmt w:val="decimal"/>
      <w:lvlText w:val="%2."/>
      <w:lvlJc w:val="left"/>
      <w:pPr>
        <w:ind w:left="1020" w:hanging="360"/>
      </w:pPr>
    </w:lvl>
    <w:lvl w:ilvl="2" w:tplc="53AA04D2">
      <w:start w:val="1"/>
      <w:numFmt w:val="decimal"/>
      <w:lvlText w:val="%3."/>
      <w:lvlJc w:val="left"/>
      <w:pPr>
        <w:ind w:left="1020" w:hanging="360"/>
      </w:pPr>
    </w:lvl>
    <w:lvl w:ilvl="3" w:tplc="26FCFF92">
      <w:start w:val="1"/>
      <w:numFmt w:val="decimal"/>
      <w:lvlText w:val="%4."/>
      <w:lvlJc w:val="left"/>
      <w:pPr>
        <w:ind w:left="1020" w:hanging="360"/>
      </w:pPr>
    </w:lvl>
    <w:lvl w:ilvl="4" w:tplc="214A8048">
      <w:start w:val="1"/>
      <w:numFmt w:val="decimal"/>
      <w:lvlText w:val="%5."/>
      <w:lvlJc w:val="left"/>
      <w:pPr>
        <w:ind w:left="1020" w:hanging="360"/>
      </w:pPr>
    </w:lvl>
    <w:lvl w:ilvl="5" w:tplc="E5F0CA4C">
      <w:start w:val="1"/>
      <w:numFmt w:val="decimal"/>
      <w:lvlText w:val="%6."/>
      <w:lvlJc w:val="left"/>
      <w:pPr>
        <w:ind w:left="1020" w:hanging="360"/>
      </w:pPr>
    </w:lvl>
    <w:lvl w:ilvl="6" w:tplc="805A923A">
      <w:start w:val="1"/>
      <w:numFmt w:val="decimal"/>
      <w:lvlText w:val="%7."/>
      <w:lvlJc w:val="left"/>
      <w:pPr>
        <w:ind w:left="1020" w:hanging="360"/>
      </w:pPr>
    </w:lvl>
    <w:lvl w:ilvl="7" w:tplc="6598DB46">
      <w:start w:val="1"/>
      <w:numFmt w:val="decimal"/>
      <w:lvlText w:val="%8."/>
      <w:lvlJc w:val="left"/>
      <w:pPr>
        <w:ind w:left="1020" w:hanging="360"/>
      </w:pPr>
    </w:lvl>
    <w:lvl w:ilvl="8" w:tplc="BAEC6B12">
      <w:start w:val="1"/>
      <w:numFmt w:val="decimal"/>
      <w:lvlText w:val="%9."/>
      <w:lvlJc w:val="left"/>
      <w:pPr>
        <w:ind w:left="1020" w:hanging="360"/>
      </w:pPr>
    </w:lvl>
  </w:abstractNum>
  <w:abstractNum w:abstractNumId="23" w15:restartNumberingAfterBreak="0">
    <w:nsid w:val="36D41CCC"/>
    <w:multiLevelType w:val="hybridMultilevel"/>
    <w:tmpl w:val="8900559C"/>
    <w:lvl w:ilvl="0" w:tplc="CD18976E">
      <w:numFmt w:val="bullet"/>
      <w:lvlText w:val="•"/>
      <w:lvlJc w:val="left"/>
      <w:pPr>
        <w:ind w:left="720" w:hanging="360"/>
      </w:pPr>
      <w:rPr>
        <w:rFonts w:ascii="Arial" w:hAnsi="Arial" w:cstheme="minorBidi" w:hint="default"/>
        <w:sz w:val="2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8C8144E"/>
    <w:multiLevelType w:val="hybridMultilevel"/>
    <w:tmpl w:val="3E7C77E6"/>
    <w:lvl w:ilvl="0" w:tplc="2FB47868">
      <w:start w:val="1"/>
      <w:numFmt w:val="decimal"/>
      <w:lvlText w:val="%1."/>
      <w:lvlJc w:val="left"/>
      <w:pPr>
        <w:ind w:left="1020" w:hanging="360"/>
      </w:pPr>
    </w:lvl>
    <w:lvl w:ilvl="1" w:tplc="ACA6F2DA">
      <w:start w:val="1"/>
      <w:numFmt w:val="decimal"/>
      <w:lvlText w:val="%2."/>
      <w:lvlJc w:val="left"/>
      <w:pPr>
        <w:ind w:left="1020" w:hanging="360"/>
      </w:pPr>
    </w:lvl>
    <w:lvl w:ilvl="2" w:tplc="19C4D54C">
      <w:start w:val="1"/>
      <w:numFmt w:val="decimal"/>
      <w:lvlText w:val="%3."/>
      <w:lvlJc w:val="left"/>
      <w:pPr>
        <w:ind w:left="1020" w:hanging="360"/>
      </w:pPr>
    </w:lvl>
    <w:lvl w:ilvl="3" w:tplc="475AA31E">
      <w:start w:val="1"/>
      <w:numFmt w:val="decimal"/>
      <w:lvlText w:val="%4."/>
      <w:lvlJc w:val="left"/>
      <w:pPr>
        <w:ind w:left="1020" w:hanging="360"/>
      </w:pPr>
    </w:lvl>
    <w:lvl w:ilvl="4" w:tplc="43022C5E">
      <w:start w:val="1"/>
      <w:numFmt w:val="decimal"/>
      <w:lvlText w:val="%5."/>
      <w:lvlJc w:val="left"/>
      <w:pPr>
        <w:ind w:left="1020" w:hanging="360"/>
      </w:pPr>
    </w:lvl>
    <w:lvl w:ilvl="5" w:tplc="6C6600E6">
      <w:start w:val="1"/>
      <w:numFmt w:val="decimal"/>
      <w:lvlText w:val="%6."/>
      <w:lvlJc w:val="left"/>
      <w:pPr>
        <w:ind w:left="1020" w:hanging="360"/>
      </w:pPr>
    </w:lvl>
    <w:lvl w:ilvl="6" w:tplc="E6502AE2">
      <w:start w:val="1"/>
      <w:numFmt w:val="decimal"/>
      <w:lvlText w:val="%7."/>
      <w:lvlJc w:val="left"/>
      <w:pPr>
        <w:ind w:left="1020" w:hanging="360"/>
      </w:pPr>
    </w:lvl>
    <w:lvl w:ilvl="7" w:tplc="9E6E93F0">
      <w:start w:val="1"/>
      <w:numFmt w:val="decimal"/>
      <w:lvlText w:val="%8."/>
      <w:lvlJc w:val="left"/>
      <w:pPr>
        <w:ind w:left="1020" w:hanging="360"/>
      </w:pPr>
    </w:lvl>
    <w:lvl w:ilvl="8" w:tplc="E0F6CA40">
      <w:start w:val="1"/>
      <w:numFmt w:val="decimal"/>
      <w:lvlText w:val="%9."/>
      <w:lvlJc w:val="left"/>
      <w:pPr>
        <w:ind w:left="1020" w:hanging="360"/>
      </w:pPr>
    </w:lvl>
  </w:abstractNum>
  <w:abstractNum w:abstractNumId="25" w15:restartNumberingAfterBreak="0">
    <w:nsid w:val="399C44AE"/>
    <w:multiLevelType w:val="hybridMultilevel"/>
    <w:tmpl w:val="1C72C6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3B5C0921"/>
    <w:multiLevelType w:val="hybridMultilevel"/>
    <w:tmpl w:val="BF9667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3E6C68D4"/>
    <w:multiLevelType w:val="multilevel"/>
    <w:tmpl w:val="7E76E574"/>
    <w:styleLink w:val="ZZNumbersdigit"/>
    <w:lvl w:ilvl="0">
      <w:start w:val="1"/>
      <w:numFmt w:val="decimal"/>
      <w:pStyle w:val="ARNumberdigit"/>
      <w:lvlText w:val="%1."/>
      <w:lvlJc w:val="left"/>
      <w:pPr>
        <w:tabs>
          <w:tab w:val="num" w:pos="397"/>
        </w:tabs>
        <w:ind w:left="397" w:hanging="397"/>
      </w:pPr>
      <w:rPr>
        <w:rFonts w:hint="default"/>
      </w:rPr>
    </w:lvl>
    <w:lvl w:ilvl="1">
      <w:start w:val="1"/>
      <w:numFmt w:val="decimal"/>
      <w:pStyle w:val="ARNumberdigitindent"/>
      <w:lvlText w:val="%2."/>
      <w:lvlJc w:val="left"/>
      <w:pPr>
        <w:tabs>
          <w:tab w:val="num" w:pos="794"/>
        </w:tabs>
        <w:ind w:left="794" w:hanging="397"/>
      </w:pPr>
      <w:rPr>
        <w:rFonts w:hint="default"/>
      </w:rPr>
    </w:lvl>
    <w:lvl w:ilvl="2">
      <w:start w:val="1"/>
      <w:numFmt w:val="bullet"/>
      <w:lvlRestart w:val="0"/>
      <w:pStyle w:val="ARBulletafternumbers1"/>
      <w:lvlText w:val="•"/>
      <w:lvlJc w:val="left"/>
      <w:pPr>
        <w:ind w:left="794" w:hanging="397"/>
      </w:pPr>
      <w:rPr>
        <w:rFonts w:ascii="Calibri" w:hAnsi="Calibri" w:hint="default"/>
        <w:color w:val="auto"/>
      </w:rPr>
    </w:lvl>
    <w:lvl w:ilvl="3">
      <w:start w:val="1"/>
      <w:numFmt w:val="bullet"/>
      <w:lvlRestart w:val="0"/>
      <w:pStyle w:val="AR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8" w15:restartNumberingAfterBreak="0">
    <w:nsid w:val="3EC54A41"/>
    <w:multiLevelType w:val="multilevel"/>
    <w:tmpl w:val="5F3AA63E"/>
    <w:styleLink w:val="ZZNumberslowerroman"/>
    <w:lvl w:ilvl="0">
      <w:start w:val="1"/>
      <w:numFmt w:val="lowerRoman"/>
      <w:pStyle w:val="ARNumberlowerroman"/>
      <w:lvlText w:val="(%1)"/>
      <w:lvlJc w:val="left"/>
      <w:pPr>
        <w:tabs>
          <w:tab w:val="num" w:pos="397"/>
        </w:tabs>
        <w:ind w:left="397" w:hanging="397"/>
      </w:pPr>
      <w:rPr>
        <w:rFonts w:hint="default"/>
      </w:rPr>
    </w:lvl>
    <w:lvl w:ilvl="1">
      <w:start w:val="1"/>
      <w:numFmt w:val="lowerRoman"/>
      <w:pStyle w:val="AR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9" w15:restartNumberingAfterBreak="0">
    <w:nsid w:val="3F822AB7"/>
    <w:multiLevelType w:val="multilevel"/>
    <w:tmpl w:val="E69C74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BB7D37"/>
    <w:multiLevelType w:val="multilevel"/>
    <w:tmpl w:val="0FC8E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6417553"/>
    <w:multiLevelType w:val="hybridMultilevel"/>
    <w:tmpl w:val="F2509E80"/>
    <w:lvl w:ilvl="0" w:tplc="B7DADE98">
      <w:start w:val="1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7D15FB7"/>
    <w:multiLevelType w:val="hybridMultilevel"/>
    <w:tmpl w:val="B638F02E"/>
    <w:lvl w:ilvl="0" w:tplc="A3EC13DE">
      <w:start w:val="1"/>
      <w:numFmt w:val="bullet"/>
      <w:pStyle w:val="ARfinbullet1"/>
      <w:lvlText w:val="•"/>
      <w:lvlJc w:val="left"/>
      <w:pPr>
        <w:ind w:left="720" w:hanging="360"/>
      </w:pPr>
      <w:rPr>
        <w:rFonts w:ascii="Calibri" w:hAnsi="Calibri"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850C52"/>
    <w:multiLevelType w:val="hybridMultilevel"/>
    <w:tmpl w:val="C6E279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DE34BE8"/>
    <w:multiLevelType w:val="hybridMultilevel"/>
    <w:tmpl w:val="B0EC04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4F2C0A9D"/>
    <w:multiLevelType w:val="multilevel"/>
    <w:tmpl w:val="2D6858F6"/>
    <w:lvl w:ilvl="0">
      <w:start w:val="1"/>
      <w:numFmt w:val="bullet"/>
      <w:lvlText w:val="&gt;"/>
      <w:lvlJc w:val="left"/>
      <w:pPr>
        <w:ind w:left="284" w:hanging="284"/>
      </w:pPr>
      <w:rPr>
        <w:rFonts w:ascii="Calibri" w:hAnsi="Calibri" w:hint="default"/>
        <w:color w:val="201547" w:themeColor="text2"/>
        <w:sz w:val="22"/>
      </w:rPr>
    </w:lvl>
    <w:lvl w:ilvl="1">
      <w:start w:val="1"/>
      <w:numFmt w:val="bullet"/>
      <w:lvlRestart w:val="0"/>
      <w:lvlText w:val="–"/>
      <w:lvlJc w:val="left"/>
      <w:pPr>
        <w:ind w:left="567" w:hanging="283"/>
      </w:pPr>
      <w:rPr>
        <w:rFonts w:ascii="Calibri" w:hAnsi="Calibri" w:hint="default"/>
        <w:color w:val="auto"/>
      </w:rPr>
    </w:lvl>
    <w:lvl w:ilvl="2">
      <w:start w:val="1"/>
      <w:numFmt w:val="bullet"/>
      <w:lvlRestart w:val="0"/>
      <w:pStyle w:val="ARbullet3"/>
      <w:lvlText w:val="▪"/>
      <w:lvlJc w:val="left"/>
      <w:pPr>
        <w:ind w:left="851" w:hanging="284"/>
      </w:pPr>
      <w:rPr>
        <w:rFonts w:ascii="Calibri" w:hAnsi="Calibri" w:hint="default"/>
        <w:color w:val="auto"/>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6" w15:restartNumberingAfterBreak="0">
    <w:nsid w:val="50D66A14"/>
    <w:multiLevelType w:val="hybridMultilevel"/>
    <w:tmpl w:val="8190EB30"/>
    <w:lvl w:ilvl="0" w:tplc="025A8F12">
      <w:start w:val="1"/>
      <w:numFmt w:val="bullet"/>
      <w:pStyle w:val="ARfintablefootnoteindentbullet1"/>
      <w:lvlText w:val="•"/>
      <w:lvlJc w:val="left"/>
      <w:pPr>
        <w:ind w:left="720" w:hanging="360"/>
      </w:pPr>
      <w:rPr>
        <w:rFonts w:ascii="Galano Grotesque" w:hAnsi="Galano Grotesqu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1364E9D"/>
    <w:multiLevelType w:val="multilevel"/>
    <w:tmpl w:val="A67C8CAE"/>
    <w:styleLink w:val="ZZTablefootnotenumbers"/>
    <w:lvl w:ilvl="0">
      <w:start w:val="1"/>
      <w:numFmt w:val="decimal"/>
      <w:pStyle w:val="ARtablefootnotenumbered"/>
      <w:lvlText w:val="%1."/>
      <w:lvlJc w:val="left"/>
      <w:pPr>
        <w:tabs>
          <w:tab w:val="num" w:pos="284"/>
        </w:tabs>
        <w:ind w:left="284" w:hanging="284"/>
      </w:pPr>
      <w:rPr>
        <w:rFonts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8" w15:restartNumberingAfterBreak="0">
    <w:nsid w:val="52C5076B"/>
    <w:multiLevelType w:val="hybridMultilevel"/>
    <w:tmpl w:val="7910F22A"/>
    <w:lvl w:ilvl="0" w:tplc="062E628E">
      <w:start w:val="1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41611C2"/>
    <w:multiLevelType w:val="multilevel"/>
    <w:tmpl w:val="350ED9F2"/>
    <w:styleLink w:val="ZZTablebullets"/>
    <w:lvl w:ilvl="0">
      <w:start w:val="1"/>
      <w:numFmt w:val="bullet"/>
      <w:pStyle w:val="ARTablebullet1"/>
      <w:lvlText w:val="•"/>
      <w:lvlJc w:val="left"/>
      <w:pPr>
        <w:ind w:left="227" w:hanging="227"/>
      </w:pPr>
      <w:rPr>
        <w:rFonts w:ascii="Calibri" w:hAnsi="Calibri" w:hint="default"/>
      </w:rPr>
    </w:lvl>
    <w:lvl w:ilvl="1">
      <w:start w:val="1"/>
      <w:numFmt w:val="bullet"/>
      <w:lvlRestart w:val="0"/>
      <w:pStyle w:val="AR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0" w15:restartNumberingAfterBreak="0">
    <w:nsid w:val="54BA1E5A"/>
    <w:multiLevelType w:val="multilevel"/>
    <w:tmpl w:val="73E6C5CC"/>
    <w:styleLink w:val="ZZBullets"/>
    <w:lvl w:ilvl="0">
      <w:start w:val="1"/>
      <w:numFmt w:val="bullet"/>
      <w:pStyle w:val="ARBullet1"/>
      <w:lvlText w:val="&gt;"/>
      <w:lvlJc w:val="left"/>
      <w:pPr>
        <w:ind w:left="284" w:hanging="284"/>
      </w:pPr>
      <w:rPr>
        <w:rFonts w:ascii="Arial" w:hAnsi="Arial" w:hint="default"/>
        <w:color w:val="201547" w:themeColor="text2"/>
      </w:rPr>
    </w:lvl>
    <w:lvl w:ilvl="1">
      <w:start w:val="1"/>
      <w:numFmt w:val="bullet"/>
      <w:lvlRestart w:val="0"/>
      <w:pStyle w:val="AR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1" w15:restartNumberingAfterBreak="0">
    <w:nsid w:val="564C6E74"/>
    <w:multiLevelType w:val="hybridMultilevel"/>
    <w:tmpl w:val="172EAB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57870FF5"/>
    <w:multiLevelType w:val="hybridMultilevel"/>
    <w:tmpl w:val="37E01C10"/>
    <w:lvl w:ilvl="0" w:tplc="2FC60B06">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CAC0192"/>
    <w:multiLevelType w:val="hybridMultilevel"/>
    <w:tmpl w:val="1D62ABA8"/>
    <w:lvl w:ilvl="0" w:tplc="ADECB708">
      <w:start w:val="2"/>
      <w:numFmt w:val="bullet"/>
      <w:lvlText w:val=""/>
      <w:lvlJc w:val="left"/>
      <w:pPr>
        <w:ind w:left="720" w:hanging="360"/>
      </w:pPr>
      <w:rPr>
        <w:rFonts w:ascii="Symbol" w:eastAsia="Times"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CFB5A4A"/>
    <w:multiLevelType w:val="hybridMultilevel"/>
    <w:tmpl w:val="03FC1F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309259F"/>
    <w:multiLevelType w:val="multilevel"/>
    <w:tmpl w:val="EE4C9942"/>
    <w:styleLink w:val="ZZQuotebullets"/>
    <w:lvl w:ilvl="0">
      <w:start w:val="1"/>
      <w:numFmt w:val="bullet"/>
      <w:pStyle w:val="ARQuotebullet1"/>
      <w:lvlText w:val="•"/>
      <w:lvlJc w:val="left"/>
      <w:pPr>
        <w:ind w:left="680" w:hanging="283"/>
      </w:pPr>
      <w:rPr>
        <w:rFonts w:ascii="Calibri" w:hAnsi="Calibri" w:hint="default"/>
        <w:color w:val="auto"/>
      </w:rPr>
    </w:lvl>
    <w:lvl w:ilvl="1">
      <w:start w:val="1"/>
      <w:numFmt w:val="bullet"/>
      <w:lvlRestart w:val="0"/>
      <w:pStyle w:val="AR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6" w15:restartNumberingAfterBreak="0">
    <w:nsid w:val="63310F62"/>
    <w:multiLevelType w:val="hybridMultilevel"/>
    <w:tmpl w:val="C5865E98"/>
    <w:lvl w:ilvl="0" w:tplc="6D525302">
      <w:start w:val="1"/>
      <w:numFmt w:val="bullet"/>
      <w:lvlText w:val=""/>
      <w:lvlJc w:val="left"/>
      <w:pPr>
        <w:ind w:left="1020" w:hanging="360"/>
      </w:pPr>
      <w:rPr>
        <w:rFonts w:ascii="Symbol" w:hAnsi="Symbol"/>
      </w:rPr>
    </w:lvl>
    <w:lvl w:ilvl="1" w:tplc="DDD261F4">
      <w:start w:val="1"/>
      <w:numFmt w:val="bullet"/>
      <w:lvlText w:val=""/>
      <w:lvlJc w:val="left"/>
      <w:pPr>
        <w:ind w:left="1020" w:hanging="360"/>
      </w:pPr>
      <w:rPr>
        <w:rFonts w:ascii="Symbol" w:hAnsi="Symbol"/>
      </w:rPr>
    </w:lvl>
    <w:lvl w:ilvl="2" w:tplc="278ED72E">
      <w:start w:val="1"/>
      <w:numFmt w:val="bullet"/>
      <w:lvlText w:val=""/>
      <w:lvlJc w:val="left"/>
      <w:pPr>
        <w:ind w:left="1020" w:hanging="360"/>
      </w:pPr>
      <w:rPr>
        <w:rFonts w:ascii="Symbol" w:hAnsi="Symbol"/>
      </w:rPr>
    </w:lvl>
    <w:lvl w:ilvl="3" w:tplc="8A882782">
      <w:start w:val="1"/>
      <w:numFmt w:val="bullet"/>
      <w:lvlText w:val=""/>
      <w:lvlJc w:val="left"/>
      <w:pPr>
        <w:ind w:left="1020" w:hanging="360"/>
      </w:pPr>
      <w:rPr>
        <w:rFonts w:ascii="Symbol" w:hAnsi="Symbol"/>
      </w:rPr>
    </w:lvl>
    <w:lvl w:ilvl="4" w:tplc="11AE81B6">
      <w:start w:val="1"/>
      <w:numFmt w:val="bullet"/>
      <w:lvlText w:val=""/>
      <w:lvlJc w:val="left"/>
      <w:pPr>
        <w:ind w:left="1020" w:hanging="360"/>
      </w:pPr>
      <w:rPr>
        <w:rFonts w:ascii="Symbol" w:hAnsi="Symbol"/>
      </w:rPr>
    </w:lvl>
    <w:lvl w:ilvl="5" w:tplc="9EFA77E8">
      <w:start w:val="1"/>
      <w:numFmt w:val="bullet"/>
      <w:lvlText w:val=""/>
      <w:lvlJc w:val="left"/>
      <w:pPr>
        <w:ind w:left="1020" w:hanging="360"/>
      </w:pPr>
      <w:rPr>
        <w:rFonts w:ascii="Symbol" w:hAnsi="Symbol"/>
      </w:rPr>
    </w:lvl>
    <w:lvl w:ilvl="6" w:tplc="863C2176">
      <w:start w:val="1"/>
      <w:numFmt w:val="bullet"/>
      <w:lvlText w:val=""/>
      <w:lvlJc w:val="left"/>
      <w:pPr>
        <w:ind w:left="1020" w:hanging="360"/>
      </w:pPr>
      <w:rPr>
        <w:rFonts w:ascii="Symbol" w:hAnsi="Symbol"/>
      </w:rPr>
    </w:lvl>
    <w:lvl w:ilvl="7" w:tplc="1A28D890">
      <w:start w:val="1"/>
      <w:numFmt w:val="bullet"/>
      <w:lvlText w:val=""/>
      <w:lvlJc w:val="left"/>
      <w:pPr>
        <w:ind w:left="1020" w:hanging="360"/>
      </w:pPr>
      <w:rPr>
        <w:rFonts w:ascii="Symbol" w:hAnsi="Symbol"/>
      </w:rPr>
    </w:lvl>
    <w:lvl w:ilvl="8" w:tplc="C92412F2">
      <w:start w:val="1"/>
      <w:numFmt w:val="bullet"/>
      <w:lvlText w:val=""/>
      <w:lvlJc w:val="left"/>
      <w:pPr>
        <w:ind w:left="1020" w:hanging="360"/>
      </w:pPr>
      <w:rPr>
        <w:rFonts w:ascii="Symbol" w:hAnsi="Symbol"/>
      </w:rPr>
    </w:lvl>
  </w:abstractNum>
  <w:abstractNum w:abstractNumId="47" w15:restartNumberingAfterBreak="0">
    <w:nsid w:val="6BAE31FB"/>
    <w:multiLevelType w:val="multilevel"/>
    <w:tmpl w:val="568249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DA17913"/>
    <w:multiLevelType w:val="hybridMultilevel"/>
    <w:tmpl w:val="E7847168"/>
    <w:lvl w:ilvl="0" w:tplc="FFFFFFFF">
      <w:start w:val="1"/>
      <w:numFmt w:val="lowerRoman"/>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72707A71"/>
    <w:multiLevelType w:val="multilevel"/>
    <w:tmpl w:val="CF2A3AE8"/>
    <w:styleLink w:val="ZZTablefootnotebullets"/>
    <w:lvl w:ilvl="0">
      <w:numFmt w:val="bullet"/>
      <w:pStyle w:val="ARtablefootnotebullet"/>
      <w:lvlText w:val="•"/>
      <w:lvlJc w:val="left"/>
      <w:pPr>
        <w:ind w:left="284" w:hanging="284"/>
      </w:pPr>
      <w:rPr>
        <w:rFonts w:ascii="Calibri" w:hAnsi="Calibri" w:hint="default"/>
        <w:color w:va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0" w15:restartNumberingAfterBreak="0">
    <w:nsid w:val="77F24574"/>
    <w:multiLevelType w:val="hybridMultilevel"/>
    <w:tmpl w:val="4BE02F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8E37B8A"/>
    <w:multiLevelType w:val="multilevel"/>
    <w:tmpl w:val="C13EE590"/>
    <w:styleLink w:val="Style1"/>
    <w:lvl w:ilvl="0">
      <w:start w:val="1"/>
      <w:numFmt w:val="bullet"/>
      <w:lvlText w:val="•"/>
      <w:lvlJc w:val="left"/>
      <w:pPr>
        <w:tabs>
          <w:tab w:val="num" w:pos="227"/>
        </w:tabs>
        <w:ind w:left="227" w:hanging="227"/>
      </w:pPr>
      <w:rPr>
        <w:rFonts w:ascii="Aptos" w:hAnsi="Aptos" w:hint="default"/>
      </w:rPr>
    </w:lvl>
    <w:lvl w:ilvl="1">
      <w:start w:val="1"/>
      <w:numFmt w:val="bullet"/>
      <w:lvlText w:val="−"/>
      <w:lvlJc w:val="left"/>
      <w:pPr>
        <w:tabs>
          <w:tab w:val="num" w:pos="454"/>
        </w:tabs>
        <w:ind w:left="454" w:hanging="227"/>
      </w:pPr>
      <w:rPr>
        <w:rFonts w:ascii="Arial" w:hAnsi="Arial" w:hint="default"/>
        <w:color w:val="201547" w:themeColor="text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7A1D6BA9"/>
    <w:multiLevelType w:val="hybridMultilevel"/>
    <w:tmpl w:val="89E2305C"/>
    <w:lvl w:ilvl="0" w:tplc="24E03318">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7BC62620"/>
    <w:multiLevelType w:val="hybridMultilevel"/>
    <w:tmpl w:val="1CCC3620"/>
    <w:lvl w:ilvl="0" w:tplc="0C090001">
      <w:start w:val="2"/>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74787977">
    <w:abstractNumId w:val="27"/>
  </w:num>
  <w:num w:numId="2" w16cid:durableId="19857413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2066259">
    <w:abstractNumId w:val="40"/>
  </w:num>
  <w:num w:numId="4" w16cid:durableId="597568604">
    <w:abstractNumId w:val="39"/>
  </w:num>
  <w:num w:numId="5" w16cid:durableId="1605532688">
    <w:abstractNumId w:val="45"/>
  </w:num>
  <w:num w:numId="6" w16cid:durableId="1371142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0564946">
    <w:abstractNumId w:val="28"/>
  </w:num>
  <w:num w:numId="8" w16cid:durableId="17892737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1496931">
    <w:abstractNumId w:val="6"/>
  </w:num>
  <w:num w:numId="10" w16cid:durableId="2046863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74659254">
    <w:abstractNumId w:val="40"/>
  </w:num>
  <w:num w:numId="12" w16cid:durableId="376707780">
    <w:abstractNumId w:val="10"/>
  </w:num>
  <w:num w:numId="13" w16cid:durableId="140393183">
    <w:abstractNumId w:val="32"/>
  </w:num>
  <w:num w:numId="14" w16cid:durableId="715549508">
    <w:abstractNumId w:val="4"/>
  </w:num>
  <w:num w:numId="15" w16cid:durableId="1609577915">
    <w:abstractNumId w:val="13"/>
  </w:num>
  <w:num w:numId="16" w16cid:durableId="521288929">
    <w:abstractNumId w:val="27"/>
  </w:num>
  <w:num w:numId="17" w16cid:durableId="1614826595">
    <w:abstractNumId w:val="6"/>
  </w:num>
  <w:num w:numId="18" w16cid:durableId="1490637821">
    <w:abstractNumId w:val="28"/>
  </w:num>
  <w:num w:numId="19" w16cid:durableId="135412037">
    <w:abstractNumId w:val="45"/>
  </w:num>
  <w:num w:numId="20" w16cid:durableId="659580623">
    <w:abstractNumId w:val="39"/>
  </w:num>
  <w:num w:numId="21" w16cid:durableId="1687754504">
    <w:abstractNumId w:val="19"/>
  </w:num>
  <w:num w:numId="22" w16cid:durableId="198015211">
    <w:abstractNumId w:val="17"/>
  </w:num>
  <w:num w:numId="23" w16cid:durableId="274604891">
    <w:abstractNumId w:val="37"/>
  </w:num>
  <w:num w:numId="24" w16cid:durableId="1284311954">
    <w:abstractNumId w:val="20"/>
  </w:num>
  <w:num w:numId="25" w16cid:durableId="506292126">
    <w:abstractNumId w:val="49"/>
  </w:num>
  <w:num w:numId="26" w16cid:durableId="828905072">
    <w:abstractNumId w:val="14"/>
  </w:num>
  <w:num w:numId="27" w16cid:durableId="887413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607570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04792510">
    <w:abstractNumId w:val="50"/>
  </w:num>
  <w:num w:numId="30" w16cid:durableId="459227521">
    <w:abstractNumId w:val="35"/>
  </w:num>
  <w:num w:numId="31" w16cid:durableId="538708765">
    <w:abstractNumId w:val="1"/>
  </w:num>
  <w:num w:numId="32" w16cid:durableId="1680496817">
    <w:abstractNumId w:val="33"/>
  </w:num>
  <w:num w:numId="33" w16cid:durableId="1239093457">
    <w:abstractNumId w:val="43"/>
  </w:num>
  <w:num w:numId="34" w16cid:durableId="1913393727">
    <w:abstractNumId w:val="35"/>
    <w:lvlOverride w:ilvl="0">
      <w:lvl w:ilvl="0">
        <w:start w:val="1"/>
        <w:numFmt w:val="bullet"/>
        <w:lvlText w:val="&gt;"/>
        <w:lvlJc w:val="left"/>
        <w:pPr>
          <w:ind w:left="284" w:hanging="284"/>
        </w:pPr>
        <w:rPr>
          <w:rFonts w:ascii="Calibri" w:hAnsi="Calibri" w:hint="default"/>
          <w:color w:val="00645F"/>
          <w:sz w:val="22"/>
        </w:rPr>
      </w:lvl>
    </w:lvlOverride>
  </w:num>
  <w:num w:numId="35" w16cid:durableId="1362704040">
    <w:abstractNumId w:val="30"/>
  </w:num>
  <w:num w:numId="36" w16cid:durableId="789862514">
    <w:abstractNumId w:val="34"/>
  </w:num>
  <w:num w:numId="37" w16cid:durableId="908424734">
    <w:abstractNumId w:val="8"/>
  </w:num>
  <w:num w:numId="38" w16cid:durableId="1649674167">
    <w:abstractNumId w:val="11"/>
  </w:num>
  <w:num w:numId="39" w16cid:durableId="2062947642">
    <w:abstractNumId w:val="5"/>
  </w:num>
  <w:num w:numId="40" w16cid:durableId="1653825336">
    <w:abstractNumId w:val="25"/>
  </w:num>
  <w:num w:numId="41" w16cid:durableId="977684201">
    <w:abstractNumId w:val="18"/>
  </w:num>
  <w:num w:numId="42" w16cid:durableId="1223326913">
    <w:abstractNumId w:val="41"/>
  </w:num>
  <w:num w:numId="43" w16cid:durableId="1250696718">
    <w:abstractNumId w:val="26"/>
  </w:num>
  <w:num w:numId="44" w16cid:durableId="121075388">
    <w:abstractNumId w:val="52"/>
  </w:num>
  <w:num w:numId="45" w16cid:durableId="1161653804">
    <w:abstractNumId w:val="21"/>
  </w:num>
  <w:num w:numId="46" w16cid:durableId="2808448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37373373">
    <w:abstractNumId w:val="35"/>
    <w:lvlOverride w:ilvl="0">
      <w:lvl w:ilvl="0">
        <w:start w:val="1"/>
        <w:numFmt w:val="bullet"/>
        <w:lvlText w:val="&gt;"/>
        <w:lvlJc w:val="left"/>
        <w:pPr>
          <w:ind w:left="284" w:hanging="284"/>
        </w:pPr>
        <w:rPr>
          <w:rFonts w:ascii="Calibri" w:hAnsi="Calibri" w:hint="default"/>
          <w:color w:val="00645F"/>
          <w:sz w:val="22"/>
        </w:rPr>
      </w:lvl>
    </w:lvlOverride>
  </w:num>
  <w:num w:numId="48" w16cid:durableId="1350637989">
    <w:abstractNumId w:val="16"/>
  </w:num>
  <w:num w:numId="49" w16cid:durableId="11097412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4361618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553631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838047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230258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6993527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7866085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856934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975151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714957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213578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8806248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579213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1226467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473167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5834897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152463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333997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8319451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4138901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57589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4435764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5887772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6258204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5034731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6036870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21194436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1234570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1007591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4043740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2289117">
    <w:abstractNumId w:val="4"/>
    <w:lvlOverride w:ilvl="0">
      <w:startOverride w:val="1"/>
    </w:lvlOverride>
  </w:num>
  <w:num w:numId="80" w16cid:durableId="1106777871">
    <w:abstractNumId w:val="4"/>
    <w:lvlOverride w:ilvl="0">
      <w:startOverride w:val="1"/>
    </w:lvlOverride>
  </w:num>
  <w:num w:numId="81" w16cid:durableId="7866297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8316755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4640877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618219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4826505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108951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419324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3349671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722324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8261687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484203630">
    <w:abstractNumId w:val="32"/>
    <w:lvlOverride w:ilvl="0">
      <w:startOverride w:val="1"/>
    </w:lvlOverride>
  </w:num>
  <w:num w:numId="92" w16cid:durableId="726807472">
    <w:abstractNumId w:val="2"/>
  </w:num>
  <w:num w:numId="93" w16cid:durableId="1869100726">
    <w:abstractNumId w:val="0"/>
  </w:num>
  <w:num w:numId="94" w16cid:durableId="1333099491">
    <w:abstractNumId w:val="12"/>
  </w:num>
  <w:num w:numId="95" w16cid:durableId="334116809">
    <w:abstractNumId w:val="36"/>
  </w:num>
  <w:num w:numId="96" w16cid:durableId="6772720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2229141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406026368">
    <w:abstractNumId w:val="51"/>
  </w:num>
  <w:num w:numId="99" w16cid:durableId="1417482372">
    <w:abstractNumId w:val="31"/>
  </w:num>
  <w:num w:numId="100" w16cid:durableId="72775673">
    <w:abstractNumId w:val="7"/>
  </w:num>
  <w:num w:numId="101" w16cid:durableId="296111039">
    <w:abstractNumId w:val="48"/>
  </w:num>
  <w:num w:numId="102" w16cid:durableId="591821656">
    <w:abstractNumId w:val="47"/>
  </w:num>
  <w:num w:numId="103" w16cid:durableId="1604142708">
    <w:abstractNumId w:val="38"/>
  </w:num>
  <w:num w:numId="104" w16cid:durableId="21438639">
    <w:abstractNumId w:val="9"/>
  </w:num>
  <w:num w:numId="105" w16cid:durableId="1117333156">
    <w:abstractNumId w:val="42"/>
  </w:num>
  <w:num w:numId="106" w16cid:durableId="28839936">
    <w:abstractNumId w:val="15"/>
  </w:num>
  <w:num w:numId="107" w16cid:durableId="430669138">
    <w:abstractNumId w:val="46"/>
  </w:num>
  <w:num w:numId="108" w16cid:durableId="172224270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873100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50097296">
    <w:abstractNumId w:val="22"/>
  </w:num>
  <w:num w:numId="111" w16cid:durableId="322974748">
    <w:abstractNumId w:val="29"/>
  </w:num>
  <w:num w:numId="112" w16cid:durableId="1357731752">
    <w:abstractNumId w:val="24"/>
  </w:num>
  <w:num w:numId="113" w16cid:durableId="811404704">
    <w:abstractNumId w:val="44"/>
  </w:num>
  <w:num w:numId="114" w16cid:durableId="6728042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434719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9317397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164517889">
    <w:abstractNumId w:val="23"/>
  </w:num>
  <w:num w:numId="118" w16cid:durableId="1408966327">
    <w:abstractNumId w:val="53"/>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trackedChanges" w:enforcement="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A43"/>
    <w:rsid w:val="00000213"/>
    <w:rsid w:val="000003BE"/>
    <w:rsid w:val="00000719"/>
    <w:rsid w:val="00000A29"/>
    <w:rsid w:val="00000B8F"/>
    <w:rsid w:val="00001306"/>
    <w:rsid w:val="00001365"/>
    <w:rsid w:val="00001686"/>
    <w:rsid w:val="0000218B"/>
    <w:rsid w:val="00002300"/>
    <w:rsid w:val="00002D68"/>
    <w:rsid w:val="00002F7F"/>
    <w:rsid w:val="00002FED"/>
    <w:rsid w:val="00003010"/>
    <w:rsid w:val="000033F7"/>
    <w:rsid w:val="00003403"/>
    <w:rsid w:val="00003720"/>
    <w:rsid w:val="00003A51"/>
    <w:rsid w:val="00004709"/>
    <w:rsid w:val="00004B79"/>
    <w:rsid w:val="00005347"/>
    <w:rsid w:val="00005459"/>
    <w:rsid w:val="000055C5"/>
    <w:rsid w:val="0000589B"/>
    <w:rsid w:val="00005B98"/>
    <w:rsid w:val="000069AD"/>
    <w:rsid w:val="00006DE3"/>
    <w:rsid w:val="000072B6"/>
    <w:rsid w:val="00007818"/>
    <w:rsid w:val="00007CEB"/>
    <w:rsid w:val="00007D9A"/>
    <w:rsid w:val="00007E85"/>
    <w:rsid w:val="00010196"/>
    <w:rsid w:val="0001021B"/>
    <w:rsid w:val="00010463"/>
    <w:rsid w:val="000105F5"/>
    <w:rsid w:val="00010968"/>
    <w:rsid w:val="00010C10"/>
    <w:rsid w:val="00011268"/>
    <w:rsid w:val="00011677"/>
    <w:rsid w:val="000116A9"/>
    <w:rsid w:val="00011A4E"/>
    <w:rsid w:val="00011C6F"/>
    <w:rsid w:val="00011D89"/>
    <w:rsid w:val="00011E80"/>
    <w:rsid w:val="000123AC"/>
    <w:rsid w:val="00013630"/>
    <w:rsid w:val="00013DD5"/>
    <w:rsid w:val="00014027"/>
    <w:rsid w:val="000143A8"/>
    <w:rsid w:val="00014707"/>
    <w:rsid w:val="00014D19"/>
    <w:rsid w:val="00014F00"/>
    <w:rsid w:val="000154FD"/>
    <w:rsid w:val="00015E28"/>
    <w:rsid w:val="00015E36"/>
    <w:rsid w:val="000160BE"/>
    <w:rsid w:val="000162C7"/>
    <w:rsid w:val="000164FA"/>
    <w:rsid w:val="00016534"/>
    <w:rsid w:val="00016BEB"/>
    <w:rsid w:val="00016DFC"/>
    <w:rsid w:val="00017AB9"/>
    <w:rsid w:val="00017B1E"/>
    <w:rsid w:val="000202EE"/>
    <w:rsid w:val="00020678"/>
    <w:rsid w:val="00020772"/>
    <w:rsid w:val="000209E5"/>
    <w:rsid w:val="00020D13"/>
    <w:rsid w:val="0002156F"/>
    <w:rsid w:val="0002183D"/>
    <w:rsid w:val="00021B43"/>
    <w:rsid w:val="00021F18"/>
    <w:rsid w:val="000220A8"/>
    <w:rsid w:val="000221EF"/>
    <w:rsid w:val="00022271"/>
    <w:rsid w:val="000227CB"/>
    <w:rsid w:val="0002284E"/>
    <w:rsid w:val="0002286D"/>
    <w:rsid w:val="00023112"/>
    <w:rsid w:val="00023275"/>
    <w:rsid w:val="000232CF"/>
    <w:rsid w:val="000232DA"/>
    <w:rsid w:val="000232F8"/>
    <w:rsid w:val="000235CE"/>
    <w:rsid w:val="000235E8"/>
    <w:rsid w:val="0002371B"/>
    <w:rsid w:val="00023F5D"/>
    <w:rsid w:val="00024B99"/>
    <w:rsid w:val="00024D89"/>
    <w:rsid w:val="000250B6"/>
    <w:rsid w:val="00025DB7"/>
    <w:rsid w:val="00025F4A"/>
    <w:rsid w:val="000264FA"/>
    <w:rsid w:val="000265D9"/>
    <w:rsid w:val="000268EC"/>
    <w:rsid w:val="00027360"/>
    <w:rsid w:val="0002738E"/>
    <w:rsid w:val="0002769E"/>
    <w:rsid w:val="00027A55"/>
    <w:rsid w:val="00027E52"/>
    <w:rsid w:val="00027F3D"/>
    <w:rsid w:val="00027FA4"/>
    <w:rsid w:val="000304CE"/>
    <w:rsid w:val="000309DC"/>
    <w:rsid w:val="00030E49"/>
    <w:rsid w:val="00031371"/>
    <w:rsid w:val="000313F7"/>
    <w:rsid w:val="00031CC8"/>
    <w:rsid w:val="00031EF3"/>
    <w:rsid w:val="00032473"/>
    <w:rsid w:val="0003270C"/>
    <w:rsid w:val="00032A48"/>
    <w:rsid w:val="00033B1A"/>
    <w:rsid w:val="00033D81"/>
    <w:rsid w:val="00033DC9"/>
    <w:rsid w:val="00033F90"/>
    <w:rsid w:val="00034823"/>
    <w:rsid w:val="00034AE5"/>
    <w:rsid w:val="00034CAC"/>
    <w:rsid w:val="00034F75"/>
    <w:rsid w:val="0003543C"/>
    <w:rsid w:val="000356F8"/>
    <w:rsid w:val="00035984"/>
    <w:rsid w:val="00035F5F"/>
    <w:rsid w:val="00036038"/>
    <w:rsid w:val="00036186"/>
    <w:rsid w:val="0003658C"/>
    <w:rsid w:val="00036949"/>
    <w:rsid w:val="0003696F"/>
    <w:rsid w:val="00037366"/>
    <w:rsid w:val="000373D3"/>
    <w:rsid w:val="00037662"/>
    <w:rsid w:val="0004014B"/>
    <w:rsid w:val="00040938"/>
    <w:rsid w:val="00040958"/>
    <w:rsid w:val="00040F59"/>
    <w:rsid w:val="000417FA"/>
    <w:rsid w:val="00041A5A"/>
    <w:rsid w:val="00041BF0"/>
    <w:rsid w:val="00041C83"/>
    <w:rsid w:val="00041DE5"/>
    <w:rsid w:val="00041F50"/>
    <w:rsid w:val="00041F7B"/>
    <w:rsid w:val="00041FB9"/>
    <w:rsid w:val="00042218"/>
    <w:rsid w:val="00042C8A"/>
    <w:rsid w:val="00042CBE"/>
    <w:rsid w:val="00043137"/>
    <w:rsid w:val="0004313C"/>
    <w:rsid w:val="0004398C"/>
    <w:rsid w:val="00043C35"/>
    <w:rsid w:val="00044158"/>
    <w:rsid w:val="00044538"/>
    <w:rsid w:val="00044757"/>
    <w:rsid w:val="0004536B"/>
    <w:rsid w:val="000459BE"/>
    <w:rsid w:val="00045FF2"/>
    <w:rsid w:val="0004632F"/>
    <w:rsid w:val="000463E7"/>
    <w:rsid w:val="000465E6"/>
    <w:rsid w:val="00046B0E"/>
    <w:rsid w:val="00046B68"/>
    <w:rsid w:val="00047611"/>
    <w:rsid w:val="00047E7E"/>
    <w:rsid w:val="0005074B"/>
    <w:rsid w:val="00050BAC"/>
    <w:rsid w:val="0005119E"/>
    <w:rsid w:val="00051865"/>
    <w:rsid w:val="00051A83"/>
    <w:rsid w:val="00051D30"/>
    <w:rsid w:val="000527DD"/>
    <w:rsid w:val="00052D31"/>
    <w:rsid w:val="00053A02"/>
    <w:rsid w:val="00053A40"/>
    <w:rsid w:val="000540A4"/>
    <w:rsid w:val="0005449C"/>
    <w:rsid w:val="0005470F"/>
    <w:rsid w:val="000548C4"/>
    <w:rsid w:val="0005497C"/>
    <w:rsid w:val="00054B77"/>
    <w:rsid w:val="00054BB5"/>
    <w:rsid w:val="000550C4"/>
    <w:rsid w:val="0005553D"/>
    <w:rsid w:val="000557C7"/>
    <w:rsid w:val="000557CC"/>
    <w:rsid w:val="00056031"/>
    <w:rsid w:val="000563E9"/>
    <w:rsid w:val="000566B3"/>
    <w:rsid w:val="000566F3"/>
    <w:rsid w:val="00056D4A"/>
    <w:rsid w:val="00056EC4"/>
    <w:rsid w:val="00057395"/>
    <w:rsid w:val="00057500"/>
    <w:rsid w:val="000578B2"/>
    <w:rsid w:val="00057B4A"/>
    <w:rsid w:val="00057C40"/>
    <w:rsid w:val="0006019D"/>
    <w:rsid w:val="00060301"/>
    <w:rsid w:val="000607ED"/>
    <w:rsid w:val="00060959"/>
    <w:rsid w:val="00060C8F"/>
    <w:rsid w:val="000610C5"/>
    <w:rsid w:val="0006120C"/>
    <w:rsid w:val="00061689"/>
    <w:rsid w:val="00061879"/>
    <w:rsid w:val="00061A59"/>
    <w:rsid w:val="00061AF8"/>
    <w:rsid w:val="00061D4B"/>
    <w:rsid w:val="00061E07"/>
    <w:rsid w:val="00062003"/>
    <w:rsid w:val="000623BA"/>
    <w:rsid w:val="0006245C"/>
    <w:rsid w:val="00062472"/>
    <w:rsid w:val="0006254C"/>
    <w:rsid w:val="0006298A"/>
    <w:rsid w:val="00062C0F"/>
    <w:rsid w:val="00063389"/>
    <w:rsid w:val="00063BCE"/>
    <w:rsid w:val="00063D19"/>
    <w:rsid w:val="00063F30"/>
    <w:rsid w:val="00064109"/>
    <w:rsid w:val="0006451E"/>
    <w:rsid w:val="00064781"/>
    <w:rsid w:val="00064896"/>
    <w:rsid w:val="00064D06"/>
    <w:rsid w:val="0006512F"/>
    <w:rsid w:val="00065164"/>
    <w:rsid w:val="0006531C"/>
    <w:rsid w:val="000659D0"/>
    <w:rsid w:val="00065B27"/>
    <w:rsid w:val="00065C3E"/>
    <w:rsid w:val="00065FD3"/>
    <w:rsid w:val="000663B9"/>
    <w:rsid w:val="000663CD"/>
    <w:rsid w:val="000668DC"/>
    <w:rsid w:val="0006696E"/>
    <w:rsid w:val="00066EAA"/>
    <w:rsid w:val="00066F92"/>
    <w:rsid w:val="00067149"/>
    <w:rsid w:val="000679C6"/>
    <w:rsid w:val="00067A23"/>
    <w:rsid w:val="00067E24"/>
    <w:rsid w:val="00067E80"/>
    <w:rsid w:val="00070044"/>
    <w:rsid w:val="00070459"/>
    <w:rsid w:val="0007058E"/>
    <w:rsid w:val="00070FAE"/>
    <w:rsid w:val="00070FDB"/>
    <w:rsid w:val="00071383"/>
    <w:rsid w:val="000713F5"/>
    <w:rsid w:val="0007175C"/>
    <w:rsid w:val="000723FB"/>
    <w:rsid w:val="000724A2"/>
    <w:rsid w:val="000726F7"/>
    <w:rsid w:val="00072793"/>
    <w:rsid w:val="000727CC"/>
    <w:rsid w:val="00072A2D"/>
    <w:rsid w:val="00072B2A"/>
    <w:rsid w:val="00072C6C"/>
    <w:rsid w:val="00072DB7"/>
    <w:rsid w:val="000733FE"/>
    <w:rsid w:val="00073541"/>
    <w:rsid w:val="00073600"/>
    <w:rsid w:val="00073C43"/>
    <w:rsid w:val="00074136"/>
    <w:rsid w:val="00074219"/>
    <w:rsid w:val="00074340"/>
    <w:rsid w:val="00074A4E"/>
    <w:rsid w:val="00074D94"/>
    <w:rsid w:val="00074DB4"/>
    <w:rsid w:val="00074DF8"/>
    <w:rsid w:val="00074E64"/>
    <w:rsid w:val="00074ED5"/>
    <w:rsid w:val="0007578B"/>
    <w:rsid w:val="00075B03"/>
    <w:rsid w:val="00075CBF"/>
    <w:rsid w:val="0007624E"/>
    <w:rsid w:val="00076796"/>
    <w:rsid w:val="00076DA3"/>
    <w:rsid w:val="0007719F"/>
    <w:rsid w:val="000773D1"/>
    <w:rsid w:val="000775D6"/>
    <w:rsid w:val="00077677"/>
    <w:rsid w:val="000776C2"/>
    <w:rsid w:val="00077E34"/>
    <w:rsid w:val="00077F89"/>
    <w:rsid w:val="000805BA"/>
    <w:rsid w:val="00080C57"/>
    <w:rsid w:val="00080FF7"/>
    <w:rsid w:val="00081326"/>
    <w:rsid w:val="0008170F"/>
    <w:rsid w:val="0008204A"/>
    <w:rsid w:val="00082819"/>
    <w:rsid w:val="00082C34"/>
    <w:rsid w:val="00082F4B"/>
    <w:rsid w:val="000830DF"/>
    <w:rsid w:val="000832D9"/>
    <w:rsid w:val="0008363C"/>
    <w:rsid w:val="00083DD7"/>
    <w:rsid w:val="00083ED3"/>
    <w:rsid w:val="00083F46"/>
    <w:rsid w:val="0008426B"/>
    <w:rsid w:val="00084419"/>
    <w:rsid w:val="0008458F"/>
    <w:rsid w:val="00084CF2"/>
    <w:rsid w:val="0008508E"/>
    <w:rsid w:val="00085387"/>
    <w:rsid w:val="00085B8E"/>
    <w:rsid w:val="00085F50"/>
    <w:rsid w:val="00086293"/>
    <w:rsid w:val="00086453"/>
    <w:rsid w:val="000867BF"/>
    <w:rsid w:val="00086E3C"/>
    <w:rsid w:val="000875F5"/>
    <w:rsid w:val="0008767E"/>
    <w:rsid w:val="000876D1"/>
    <w:rsid w:val="00087951"/>
    <w:rsid w:val="00087BF7"/>
    <w:rsid w:val="000905EB"/>
    <w:rsid w:val="00090B29"/>
    <w:rsid w:val="0009113B"/>
    <w:rsid w:val="00091A71"/>
    <w:rsid w:val="00091DB8"/>
    <w:rsid w:val="00092021"/>
    <w:rsid w:val="00093402"/>
    <w:rsid w:val="00093451"/>
    <w:rsid w:val="000939ED"/>
    <w:rsid w:val="00093F2D"/>
    <w:rsid w:val="00094A05"/>
    <w:rsid w:val="00094B80"/>
    <w:rsid w:val="00094C29"/>
    <w:rsid w:val="00094DA3"/>
    <w:rsid w:val="000954A8"/>
    <w:rsid w:val="000954FA"/>
    <w:rsid w:val="000957A8"/>
    <w:rsid w:val="00095BBD"/>
    <w:rsid w:val="00095EB8"/>
    <w:rsid w:val="00095FA5"/>
    <w:rsid w:val="0009618C"/>
    <w:rsid w:val="00096611"/>
    <w:rsid w:val="00096770"/>
    <w:rsid w:val="0009682C"/>
    <w:rsid w:val="00096B7B"/>
    <w:rsid w:val="00096C8D"/>
    <w:rsid w:val="00096CD1"/>
    <w:rsid w:val="0009739E"/>
    <w:rsid w:val="000973AF"/>
    <w:rsid w:val="000979AA"/>
    <w:rsid w:val="00097A8A"/>
    <w:rsid w:val="00097E89"/>
    <w:rsid w:val="00097F2A"/>
    <w:rsid w:val="000A012C"/>
    <w:rsid w:val="000A0605"/>
    <w:rsid w:val="000A089D"/>
    <w:rsid w:val="000A090B"/>
    <w:rsid w:val="000A092C"/>
    <w:rsid w:val="000A0942"/>
    <w:rsid w:val="000A0EB9"/>
    <w:rsid w:val="000A115F"/>
    <w:rsid w:val="000A167C"/>
    <w:rsid w:val="000A186C"/>
    <w:rsid w:val="000A1B6A"/>
    <w:rsid w:val="000A1BAB"/>
    <w:rsid w:val="000A1E3D"/>
    <w:rsid w:val="000A1EA4"/>
    <w:rsid w:val="000A2476"/>
    <w:rsid w:val="000A3093"/>
    <w:rsid w:val="000A3EAF"/>
    <w:rsid w:val="000A4797"/>
    <w:rsid w:val="000A4F57"/>
    <w:rsid w:val="000A5014"/>
    <w:rsid w:val="000A5386"/>
    <w:rsid w:val="000A5720"/>
    <w:rsid w:val="000A581C"/>
    <w:rsid w:val="000A5AE9"/>
    <w:rsid w:val="000A5B88"/>
    <w:rsid w:val="000A641A"/>
    <w:rsid w:val="000A6484"/>
    <w:rsid w:val="000A6C48"/>
    <w:rsid w:val="000A6F7C"/>
    <w:rsid w:val="000A769D"/>
    <w:rsid w:val="000A785C"/>
    <w:rsid w:val="000A7AEC"/>
    <w:rsid w:val="000A7E12"/>
    <w:rsid w:val="000B0176"/>
    <w:rsid w:val="000B0232"/>
    <w:rsid w:val="000B0D8F"/>
    <w:rsid w:val="000B0F22"/>
    <w:rsid w:val="000B0FE5"/>
    <w:rsid w:val="000B1108"/>
    <w:rsid w:val="000B139C"/>
    <w:rsid w:val="000B1930"/>
    <w:rsid w:val="000B1A7C"/>
    <w:rsid w:val="000B1BEF"/>
    <w:rsid w:val="000B1D3C"/>
    <w:rsid w:val="000B1FFD"/>
    <w:rsid w:val="000B201B"/>
    <w:rsid w:val="000B2F08"/>
    <w:rsid w:val="000B3102"/>
    <w:rsid w:val="000B3EDB"/>
    <w:rsid w:val="000B4AB7"/>
    <w:rsid w:val="000B4D2B"/>
    <w:rsid w:val="000B543D"/>
    <w:rsid w:val="000B552C"/>
    <w:rsid w:val="000B55F9"/>
    <w:rsid w:val="000B58E2"/>
    <w:rsid w:val="000B5BF7"/>
    <w:rsid w:val="000B6072"/>
    <w:rsid w:val="000B64F4"/>
    <w:rsid w:val="000B6BC8"/>
    <w:rsid w:val="000B7AB7"/>
    <w:rsid w:val="000C0303"/>
    <w:rsid w:val="000C0330"/>
    <w:rsid w:val="000C03CD"/>
    <w:rsid w:val="000C062B"/>
    <w:rsid w:val="000C0658"/>
    <w:rsid w:val="000C0685"/>
    <w:rsid w:val="000C0793"/>
    <w:rsid w:val="000C0F09"/>
    <w:rsid w:val="000C11AE"/>
    <w:rsid w:val="000C1667"/>
    <w:rsid w:val="000C1FAD"/>
    <w:rsid w:val="000C2320"/>
    <w:rsid w:val="000C3170"/>
    <w:rsid w:val="000C3248"/>
    <w:rsid w:val="000C3682"/>
    <w:rsid w:val="000C386D"/>
    <w:rsid w:val="000C3A53"/>
    <w:rsid w:val="000C42EA"/>
    <w:rsid w:val="000C4329"/>
    <w:rsid w:val="000C4546"/>
    <w:rsid w:val="000C5430"/>
    <w:rsid w:val="000C5AB2"/>
    <w:rsid w:val="000C626F"/>
    <w:rsid w:val="000C64AD"/>
    <w:rsid w:val="000C6548"/>
    <w:rsid w:val="000C76D7"/>
    <w:rsid w:val="000D02EC"/>
    <w:rsid w:val="000D097E"/>
    <w:rsid w:val="000D1186"/>
    <w:rsid w:val="000D1242"/>
    <w:rsid w:val="000D1981"/>
    <w:rsid w:val="000D1CCD"/>
    <w:rsid w:val="000D1EB0"/>
    <w:rsid w:val="000D1EDD"/>
    <w:rsid w:val="000D1FC6"/>
    <w:rsid w:val="000D25E7"/>
    <w:rsid w:val="000D2ABA"/>
    <w:rsid w:val="000D2C07"/>
    <w:rsid w:val="000D3294"/>
    <w:rsid w:val="000D35D9"/>
    <w:rsid w:val="000D424C"/>
    <w:rsid w:val="000D47BC"/>
    <w:rsid w:val="000D4A46"/>
    <w:rsid w:val="000D4A68"/>
    <w:rsid w:val="000D4C12"/>
    <w:rsid w:val="000D4CE5"/>
    <w:rsid w:val="000D4EFE"/>
    <w:rsid w:val="000D5083"/>
    <w:rsid w:val="000D5DA4"/>
    <w:rsid w:val="000D61D6"/>
    <w:rsid w:val="000D61EC"/>
    <w:rsid w:val="000D6382"/>
    <w:rsid w:val="000D6600"/>
    <w:rsid w:val="000D6730"/>
    <w:rsid w:val="000D67BA"/>
    <w:rsid w:val="000D6994"/>
    <w:rsid w:val="000D6A6B"/>
    <w:rsid w:val="000D6B80"/>
    <w:rsid w:val="000D6B8A"/>
    <w:rsid w:val="000D6D8C"/>
    <w:rsid w:val="000D70F6"/>
    <w:rsid w:val="000D720E"/>
    <w:rsid w:val="000D745B"/>
    <w:rsid w:val="000E0158"/>
    <w:rsid w:val="000E0366"/>
    <w:rsid w:val="000E03BE"/>
    <w:rsid w:val="000E0879"/>
    <w:rsid w:val="000E0970"/>
    <w:rsid w:val="000E0D98"/>
    <w:rsid w:val="000E0DF4"/>
    <w:rsid w:val="000E0F1C"/>
    <w:rsid w:val="000E1006"/>
    <w:rsid w:val="000E1364"/>
    <w:rsid w:val="000E14DB"/>
    <w:rsid w:val="000E16FD"/>
    <w:rsid w:val="000E1ACB"/>
    <w:rsid w:val="000E1AF6"/>
    <w:rsid w:val="000E348D"/>
    <w:rsid w:val="000E398D"/>
    <w:rsid w:val="000E3CC7"/>
    <w:rsid w:val="000E3ED8"/>
    <w:rsid w:val="000E494C"/>
    <w:rsid w:val="000E4A60"/>
    <w:rsid w:val="000E4E80"/>
    <w:rsid w:val="000E5798"/>
    <w:rsid w:val="000E6067"/>
    <w:rsid w:val="000E6150"/>
    <w:rsid w:val="000E63AB"/>
    <w:rsid w:val="000E65C9"/>
    <w:rsid w:val="000E6BD4"/>
    <w:rsid w:val="000E6C49"/>
    <w:rsid w:val="000E6D6D"/>
    <w:rsid w:val="000E7101"/>
    <w:rsid w:val="000E71D4"/>
    <w:rsid w:val="000E7985"/>
    <w:rsid w:val="000E79A9"/>
    <w:rsid w:val="000F0172"/>
    <w:rsid w:val="000F08B4"/>
    <w:rsid w:val="000F09D6"/>
    <w:rsid w:val="000F13E4"/>
    <w:rsid w:val="000F14B0"/>
    <w:rsid w:val="000F1ECC"/>
    <w:rsid w:val="000F1F1E"/>
    <w:rsid w:val="000F21E3"/>
    <w:rsid w:val="000F2259"/>
    <w:rsid w:val="000F25C4"/>
    <w:rsid w:val="000F269C"/>
    <w:rsid w:val="000F2B3B"/>
    <w:rsid w:val="000F2C49"/>
    <w:rsid w:val="000F2DD9"/>
    <w:rsid w:val="000F2DDA"/>
    <w:rsid w:val="000F2E22"/>
    <w:rsid w:val="000F2EA0"/>
    <w:rsid w:val="000F31A5"/>
    <w:rsid w:val="000F353A"/>
    <w:rsid w:val="000F38E3"/>
    <w:rsid w:val="000F3D9D"/>
    <w:rsid w:val="000F3FD0"/>
    <w:rsid w:val="000F44CA"/>
    <w:rsid w:val="000F4575"/>
    <w:rsid w:val="000F489D"/>
    <w:rsid w:val="000F4E36"/>
    <w:rsid w:val="000F4FD2"/>
    <w:rsid w:val="000F5213"/>
    <w:rsid w:val="000F52D5"/>
    <w:rsid w:val="000F53CC"/>
    <w:rsid w:val="000F5985"/>
    <w:rsid w:val="000F5B4E"/>
    <w:rsid w:val="000F5F99"/>
    <w:rsid w:val="000F64E7"/>
    <w:rsid w:val="000F6901"/>
    <w:rsid w:val="000F7150"/>
    <w:rsid w:val="0010069E"/>
    <w:rsid w:val="00101001"/>
    <w:rsid w:val="001011D1"/>
    <w:rsid w:val="0010160A"/>
    <w:rsid w:val="00101BE7"/>
    <w:rsid w:val="00101E3D"/>
    <w:rsid w:val="00102A55"/>
    <w:rsid w:val="00102FB9"/>
    <w:rsid w:val="00103245"/>
    <w:rsid w:val="00103276"/>
    <w:rsid w:val="001032AC"/>
    <w:rsid w:val="0010337A"/>
    <w:rsid w:val="001035E7"/>
    <w:rsid w:val="0010392D"/>
    <w:rsid w:val="00103936"/>
    <w:rsid w:val="00103FCF"/>
    <w:rsid w:val="0010406C"/>
    <w:rsid w:val="0010447F"/>
    <w:rsid w:val="00104739"/>
    <w:rsid w:val="00104BD4"/>
    <w:rsid w:val="00104D28"/>
    <w:rsid w:val="00104FE3"/>
    <w:rsid w:val="00105304"/>
    <w:rsid w:val="001056B9"/>
    <w:rsid w:val="0010590A"/>
    <w:rsid w:val="00105D91"/>
    <w:rsid w:val="00105E4C"/>
    <w:rsid w:val="00105F09"/>
    <w:rsid w:val="0010654F"/>
    <w:rsid w:val="001068B8"/>
    <w:rsid w:val="00106D3D"/>
    <w:rsid w:val="0010714F"/>
    <w:rsid w:val="0010726D"/>
    <w:rsid w:val="00107FED"/>
    <w:rsid w:val="00110066"/>
    <w:rsid w:val="00110268"/>
    <w:rsid w:val="0011060D"/>
    <w:rsid w:val="001106A1"/>
    <w:rsid w:val="001111F9"/>
    <w:rsid w:val="00111CDD"/>
    <w:rsid w:val="00111D0E"/>
    <w:rsid w:val="001120C5"/>
    <w:rsid w:val="001126FA"/>
    <w:rsid w:val="00112FDB"/>
    <w:rsid w:val="00112FE0"/>
    <w:rsid w:val="0011306E"/>
    <w:rsid w:val="00113220"/>
    <w:rsid w:val="00113423"/>
    <w:rsid w:val="00113534"/>
    <w:rsid w:val="0011368D"/>
    <w:rsid w:val="001138B0"/>
    <w:rsid w:val="00113C28"/>
    <w:rsid w:val="00113CF1"/>
    <w:rsid w:val="001141FE"/>
    <w:rsid w:val="001143CB"/>
    <w:rsid w:val="001144FB"/>
    <w:rsid w:val="00114EBB"/>
    <w:rsid w:val="001150D1"/>
    <w:rsid w:val="001153FE"/>
    <w:rsid w:val="0011548E"/>
    <w:rsid w:val="00115565"/>
    <w:rsid w:val="00115609"/>
    <w:rsid w:val="00115C0C"/>
    <w:rsid w:val="00115C9D"/>
    <w:rsid w:val="0011623A"/>
    <w:rsid w:val="00116295"/>
    <w:rsid w:val="00116E87"/>
    <w:rsid w:val="0011719B"/>
    <w:rsid w:val="001172B7"/>
    <w:rsid w:val="0011785E"/>
    <w:rsid w:val="001178C7"/>
    <w:rsid w:val="00117902"/>
    <w:rsid w:val="00117A81"/>
    <w:rsid w:val="00117AF1"/>
    <w:rsid w:val="00117E52"/>
    <w:rsid w:val="001200B5"/>
    <w:rsid w:val="00120299"/>
    <w:rsid w:val="00120BD3"/>
    <w:rsid w:val="001215A2"/>
    <w:rsid w:val="0012166B"/>
    <w:rsid w:val="00122214"/>
    <w:rsid w:val="00122872"/>
    <w:rsid w:val="00122B52"/>
    <w:rsid w:val="00122FEA"/>
    <w:rsid w:val="00122FF7"/>
    <w:rsid w:val="001232BD"/>
    <w:rsid w:val="00123552"/>
    <w:rsid w:val="00123A3C"/>
    <w:rsid w:val="00123B84"/>
    <w:rsid w:val="00123FC6"/>
    <w:rsid w:val="001248E7"/>
    <w:rsid w:val="001249B3"/>
    <w:rsid w:val="00124ADA"/>
    <w:rsid w:val="00124C6C"/>
    <w:rsid w:val="00124DF0"/>
    <w:rsid w:val="00124ED5"/>
    <w:rsid w:val="0012554F"/>
    <w:rsid w:val="00125781"/>
    <w:rsid w:val="00125AC2"/>
    <w:rsid w:val="00125AE0"/>
    <w:rsid w:val="00125DEE"/>
    <w:rsid w:val="0012641A"/>
    <w:rsid w:val="00126E5A"/>
    <w:rsid w:val="00127057"/>
    <w:rsid w:val="00127191"/>
    <w:rsid w:val="00127283"/>
    <w:rsid w:val="001272CC"/>
    <w:rsid w:val="001276FA"/>
    <w:rsid w:val="0012770A"/>
    <w:rsid w:val="0012783A"/>
    <w:rsid w:val="00127A68"/>
    <w:rsid w:val="00130267"/>
    <w:rsid w:val="0013092D"/>
    <w:rsid w:val="0013146A"/>
    <w:rsid w:val="00131B4A"/>
    <w:rsid w:val="00131CFA"/>
    <w:rsid w:val="00131EFA"/>
    <w:rsid w:val="001322F8"/>
    <w:rsid w:val="001328B6"/>
    <w:rsid w:val="00133304"/>
    <w:rsid w:val="00133495"/>
    <w:rsid w:val="001335B8"/>
    <w:rsid w:val="00133875"/>
    <w:rsid w:val="00134543"/>
    <w:rsid w:val="00134B7D"/>
    <w:rsid w:val="00134D23"/>
    <w:rsid w:val="00134E48"/>
    <w:rsid w:val="001355A1"/>
    <w:rsid w:val="001356C6"/>
    <w:rsid w:val="0013590D"/>
    <w:rsid w:val="0013595D"/>
    <w:rsid w:val="00135E36"/>
    <w:rsid w:val="00135ED3"/>
    <w:rsid w:val="0013632B"/>
    <w:rsid w:val="001365F4"/>
    <w:rsid w:val="001368B4"/>
    <w:rsid w:val="0013695B"/>
    <w:rsid w:val="00136B34"/>
    <w:rsid w:val="00137644"/>
    <w:rsid w:val="00137F4D"/>
    <w:rsid w:val="00140197"/>
    <w:rsid w:val="001409E9"/>
    <w:rsid w:val="001411B9"/>
    <w:rsid w:val="0014144D"/>
    <w:rsid w:val="0014159C"/>
    <w:rsid w:val="001416DE"/>
    <w:rsid w:val="00141863"/>
    <w:rsid w:val="00141A23"/>
    <w:rsid w:val="00141A52"/>
    <w:rsid w:val="00141D0C"/>
    <w:rsid w:val="001420DD"/>
    <w:rsid w:val="001422AE"/>
    <w:rsid w:val="00142C16"/>
    <w:rsid w:val="00142EDB"/>
    <w:rsid w:val="001436E6"/>
    <w:rsid w:val="001447B3"/>
    <w:rsid w:val="00144809"/>
    <w:rsid w:val="00144B74"/>
    <w:rsid w:val="001450F5"/>
    <w:rsid w:val="001454DB"/>
    <w:rsid w:val="00145A3A"/>
    <w:rsid w:val="00145BDC"/>
    <w:rsid w:val="00145C79"/>
    <w:rsid w:val="00145E96"/>
    <w:rsid w:val="00145F80"/>
    <w:rsid w:val="00146089"/>
    <w:rsid w:val="001461ED"/>
    <w:rsid w:val="00146419"/>
    <w:rsid w:val="001467B4"/>
    <w:rsid w:val="00146AF5"/>
    <w:rsid w:val="00146CB5"/>
    <w:rsid w:val="001471AB"/>
    <w:rsid w:val="00147597"/>
    <w:rsid w:val="0015036C"/>
    <w:rsid w:val="001505E3"/>
    <w:rsid w:val="00150714"/>
    <w:rsid w:val="001507D5"/>
    <w:rsid w:val="00150B72"/>
    <w:rsid w:val="00150B9C"/>
    <w:rsid w:val="00150E9A"/>
    <w:rsid w:val="001516AF"/>
    <w:rsid w:val="00151A43"/>
    <w:rsid w:val="00151BEE"/>
    <w:rsid w:val="00152073"/>
    <w:rsid w:val="00152329"/>
    <w:rsid w:val="001523C0"/>
    <w:rsid w:val="00152C14"/>
    <w:rsid w:val="00152D53"/>
    <w:rsid w:val="00153072"/>
    <w:rsid w:val="001531F9"/>
    <w:rsid w:val="00153410"/>
    <w:rsid w:val="00153626"/>
    <w:rsid w:val="00153C18"/>
    <w:rsid w:val="00153C5C"/>
    <w:rsid w:val="00153F6D"/>
    <w:rsid w:val="0015406A"/>
    <w:rsid w:val="0015408B"/>
    <w:rsid w:val="001540CA"/>
    <w:rsid w:val="00154C61"/>
    <w:rsid w:val="00154F97"/>
    <w:rsid w:val="00155C0E"/>
    <w:rsid w:val="00156007"/>
    <w:rsid w:val="00156598"/>
    <w:rsid w:val="00156664"/>
    <w:rsid w:val="001566D2"/>
    <w:rsid w:val="00156AA6"/>
    <w:rsid w:val="00156B7E"/>
    <w:rsid w:val="00156F47"/>
    <w:rsid w:val="001607B6"/>
    <w:rsid w:val="001607CD"/>
    <w:rsid w:val="0016085B"/>
    <w:rsid w:val="00160B44"/>
    <w:rsid w:val="00160E40"/>
    <w:rsid w:val="0016117D"/>
    <w:rsid w:val="00161939"/>
    <w:rsid w:val="00161AA0"/>
    <w:rsid w:val="00161CD6"/>
    <w:rsid w:val="00161D2E"/>
    <w:rsid w:val="00161EAE"/>
    <w:rsid w:val="00161F3E"/>
    <w:rsid w:val="00161F47"/>
    <w:rsid w:val="00162093"/>
    <w:rsid w:val="001620D9"/>
    <w:rsid w:val="00162156"/>
    <w:rsid w:val="001627DE"/>
    <w:rsid w:val="0016282E"/>
    <w:rsid w:val="00162B05"/>
    <w:rsid w:val="00162CA9"/>
    <w:rsid w:val="00163191"/>
    <w:rsid w:val="001633CE"/>
    <w:rsid w:val="00163562"/>
    <w:rsid w:val="00163BA5"/>
    <w:rsid w:val="00163D28"/>
    <w:rsid w:val="00163EBA"/>
    <w:rsid w:val="0016418D"/>
    <w:rsid w:val="001642E7"/>
    <w:rsid w:val="0016455F"/>
    <w:rsid w:val="00164A35"/>
    <w:rsid w:val="00164F1F"/>
    <w:rsid w:val="00165445"/>
    <w:rsid w:val="00165459"/>
    <w:rsid w:val="00165858"/>
    <w:rsid w:val="0016598A"/>
    <w:rsid w:val="00165A57"/>
    <w:rsid w:val="00165C34"/>
    <w:rsid w:val="00165D0F"/>
    <w:rsid w:val="00165D48"/>
    <w:rsid w:val="00166A31"/>
    <w:rsid w:val="00167730"/>
    <w:rsid w:val="0017000C"/>
    <w:rsid w:val="00170313"/>
    <w:rsid w:val="00170752"/>
    <w:rsid w:val="001708A9"/>
    <w:rsid w:val="001708CA"/>
    <w:rsid w:val="00170CFA"/>
    <w:rsid w:val="00170F91"/>
    <w:rsid w:val="001710CE"/>
    <w:rsid w:val="001712C2"/>
    <w:rsid w:val="00171537"/>
    <w:rsid w:val="0017154F"/>
    <w:rsid w:val="00171C3A"/>
    <w:rsid w:val="00171C76"/>
    <w:rsid w:val="00172490"/>
    <w:rsid w:val="001726EC"/>
    <w:rsid w:val="00172BAF"/>
    <w:rsid w:val="00172BBE"/>
    <w:rsid w:val="00172EB7"/>
    <w:rsid w:val="00172ED0"/>
    <w:rsid w:val="00173D89"/>
    <w:rsid w:val="0017400F"/>
    <w:rsid w:val="001746B3"/>
    <w:rsid w:val="00174C80"/>
    <w:rsid w:val="00175272"/>
    <w:rsid w:val="00175648"/>
    <w:rsid w:val="00175DFF"/>
    <w:rsid w:val="001763B5"/>
    <w:rsid w:val="001763E0"/>
    <w:rsid w:val="0017655B"/>
    <w:rsid w:val="0017674D"/>
    <w:rsid w:val="0017678A"/>
    <w:rsid w:val="001768EE"/>
    <w:rsid w:val="0017691E"/>
    <w:rsid w:val="00176927"/>
    <w:rsid w:val="00176ED1"/>
    <w:rsid w:val="00176F6E"/>
    <w:rsid w:val="001771DD"/>
    <w:rsid w:val="00177578"/>
    <w:rsid w:val="00177888"/>
    <w:rsid w:val="00177995"/>
    <w:rsid w:val="00177A8C"/>
    <w:rsid w:val="00177B25"/>
    <w:rsid w:val="00177BF6"/>
    <w:rsid w:val="00177C9E"/>
    <w:rsid w:val="00180436"/>
    <w:rsid w:val="001806D4"/>
    <w:rsid w:val="00180E81"/>
    <w:rsid w:val="00180F3C"/>
    <w:rsid w:val="001814E7"/>
    <w:rsid w:val="00181840"/>
    <w:rsid w:val="00181CAD"/>
    <w:rsid w:val="00181E36"/>
    <w:rsid w:val="00182020"/>
    <w:rsid w:val="0018244E"/>
    <w:rsid w:val="00182614"/>
    <w:rsid w:val="0018283E"/>
    <w:rsid w:val="00182E5A"/>
    <w:rsid w:val="0018302E"/>
    <w:rsid w:val="0018324C"/>
    <w:rsid w:val="00183356"/>
    <w:rsid w:val="00183C12"/>
    <w:rsid w:val="00183D10"/>
    <w:rsid w:val="00184149"/>
    <w:rsid w:val="00184E21"/>
    <w:rsid w:val="00184EE8"/>
    <w:rsid w:val="00185017"/>
    <w:rsid w:val="001852BA"/>
    <w:rsid w:val="00185309"/>
    <w:rsid w:val="001865C5"/>
    <w:rsid w:val="00186790"/>
    <w:rsid w:val="00186B33"/>
    <w:rsid w:val="00187337"/>
    <w:rsid w:val="0018745E"/>
    <w:rsid w:val="00187F83"/>
    <w:rsid w:val="001902CF"/>
    <w:rsid w:val="0019058D"/>
    <w:rsid w:val="001908A3"/>
    <w:rsid w:val="00190AFE"/>
    <w:rsid w:val="00190B77"/>
    <w:rsid w:val="00190DBE"/>
    <w:rsid w:val="00190DE7"/>
    <w:rsid w:val="00191925"/>
    <w:rsid w:val="00191B0B"/>
    <w:rsid w:val="00191C53"/>
    <w:rsid w:val="00192255"/>
    <w:rsid w:val="00192A5C"/>
    <w:rsid w:val="00192F9D"/>
    <w:rsid w:val="00193466"/>
    <w:rsid w:val="00193EE2"/>
    <w:rsid w:val="00194CBD"/>
    <w:rsid w:val="00194E51"/>
    <w:rsid w:val="001950F8"/>
    <w:rsid w:val="00195635"/>
    <w:rsid w:val="001957F2"/>
    <w:rsid w:val="001969DD"/>
    <w:rsid w:val="00196A1B"/>
    <w:rsid w:val="00196A9D"/>
    <w:rsid w:val="00196B27"/>
    <w:rsid w:val="00196EB8"/>
    <w:rsid w:val="00196EFB"/>
    <w:rsid w:val="0019730F"/>
    <w:rsid w:val="001974C2"/>
    <w:rsid w:val="001976A3"/>
    <w:rsid w:val="001976D3"/>
    <w:rsid w:val="0019786E"/>
    <w:rsid w:val="001979FF"/>
    <w:rsid w:val="00197A5E"/>
    <w:rsid w:val="00197B17"/>
    <w:rsid w:val="00197BDC"/>
    <w:rsid w:val="00197BF2"/>
    <w:rsid w:val="00197BF4"/>
    <w:rsid w:val="001A035F"/>
    <w:rsid w:val="001A0F7D"/>
    <w:rsid w:val="001A1127"/>
    <w:rsid w:val="001A1523"/>
    <w:rsid w:val="001A154D"/>
    <w:rsid w:val="001A1788"/>
    <w:rsid w:val="001A1950"/>
    <w:rsid w:val="001A1C54"/>
    <w:rsid w:val="001A1EC5"/>
    <w:rsid w:val="001A21BB"/>
    <w:rsid w:val="001A2624"/>
    <w:rsid w:val="001A2822"/>
    <w:rsid w:val="001A2873"/>
    <w:rsid w:val="001A2890"/>
    <w:rsid w:val="001A2FF4"/>
    <w:rsid w:val="001A3ACE"/>
    <w:rsid w:val="001A4539"/>
    <w:rsid w:val="001A47EF"/>
    <w:rsid w:val="001A4CB7"/>
    <w:rsid w:val="001A4F48"/>
    <w:rsid w:val="001A5613"/>
    <w:rsid w:val="001A5C63"/>
    <w:rsid w:val="001A6272"/>
    <w:rsid w:val="001A62EF"/>
    <w:rsid w:val="001A6E9A"/>
    <w:rsid w:val="001A7218"/>
    <w:rsid w:val="001A7282"/>
    <w:rsid w:val="001A74C0"/>
    <w:rsid w:val="001A77E0"/>
    <w:rsid w:val="001A784B"/>
    <w:rsid w:val="001B00AA"/>
    <w:rsid w:val="001B04F5"/>
    <w:rsid w:val="001B058F"/>
    <w:rsid w:val="001B0AB5"/>
    <w:rsid w:val="001B1002"/>
    <w:rsid w:val="001B119D"/>
    <w:rsid w:val="001B1418"/>
    <w:rsid w:val="001B1710"/>
    <w:rsid w:val="001B18BD"/>
    <w:rsid w:val="001B1DF8"/>
    <w:rsid w:val="001B1E92"/>
    <w:rsid w:val="001B22D3"/>
    <w:rsid w:val="001B22E6"/>
    <w:rsid w:val="001B248F"/>
    <w:rsid w:val="001B253D"/>
    <w:rsid w:val="001B33C8"/>
    <w:rsid w:val="001B3862"/>
    <w:rsid w:val="001B3BDF"/>
    <w:rsid w:val="001B4ADA"/>
    <w:rsid w:val="001B5403"/>
    <w:rsid w:val="001B5D53"/>
    <w:rsid w:val="001B609E"/>
    <w:rsid w:val="001B6B96"/>
    <w:rsid w:val="001B7080"/>
    <w:rsid w:val="001B738B"/>
    <w:rsid w:val="001B74E9"/>
    <w:rsid w:val="001C0202"/>
    <w:rsid w:val="001C02E2"/>
    <w:rsid w:val="001C0485"/>
    <w:rsid w:val="001C0873"/>
    <w:rsid w:val="001C09DB"/>
    <w:rsid w:val="001C0A2E"/>
    <w:rsid w:val="001C1A2F"/>
    <w:rsid w:val="001C1DD7"/>
    <w:rsid w:val="001C1DF1"/>
    <w:rsid w:val="001C2167"/>
    <w:rsid w:val="001C277E"/>
    <w:rsid w:val="001C2838"/>
    <w:rsid w:val="001C2A72"/>
    <w:rsid w:val="001C319D"/>
    <w:rsid w:val="001C31B7"/>
    <w:rsid w:val="001C34B3"/>
    <w:rsid w:val="001C3BB9"/>
    <w:rsid w:val="001C454C"/>
    <w:rsid w:val="001C485E"/>
    <w:rsid w:val="001C494C"/>
    <w:rsid w:val="001C4ADA"/>
    <w:rsid w:val="001C5023"/>
    <w:rsid w:val="001C5715"/>
    <w:rsid w:val="001C57FF"/>
    <w:rsid w:val="001C5DC8"/>
    <w:rsid w:val="001C6542"/>
    <w:rsid w:val="001C65BD"/>
    <w:rsid w:val="001C6FEE"/>
    <w:rsid w:val="001C7128"/>
    <w:rsid w:val="001C74D5"/>
    <w:rsid w:val="001C7A33"/>
    <w:rsid w:val="001D0065"/>
    <w:rsid w:val="001D08CA"/>
    <w:rsid w:val="001D0B75"/>
    <w:rsid w:val="001D103A"/>
    <w:rsid w:val="001D1663"/>
    <w:rsid w:val="001D256A"/>
    <w:rsid w:val="001D2658"/>
    <w:rsid w:val="001D271E"/>
    <w:rsid w:val="001D2747"/>
    <w:rsid w:val="001D2E34"/>
    <w:rsid w:val="001D396A"/>
    <w:rsid w:val="001D39A5"/>
    <w:rsid w:val="001D3C09"/>
    <w:rsid w:val="001D3D57"/>
    <w:rsid w:val="001D3EA0"/>
    <w:rsid w:val="001D44E8"/>
    <w:rsid w:val="001D4718"/>
    <w:rsid w:val="001D54B4"/>
    <w:rsid w:val="001D5B14"/>
    <w:rsid w:val="001D60EC"/>
    <w:rsid w:val="001D65B8"/>
    <w:rsid w:val="001D6878"/>
    <w:rsid w:val="001D6BE6"/>
    <w:rsid w:val="001D6F59"/>
    <w:rsid w:val="001D7A87"/>
    <w:rsid w:val="001D7D23"/>
    <w:rsid w:val="001E041A"/>
    <w:rsid w:val="001E0624"/>
    <w:rsid w:val="001E0BD0"/>
    <w:rsid w:val="001E148C"/>
    <w:rsid w:val="001E176D"/>
    <w:rsid w:val="001E183B"/>
    <w:rsid w:val="001E1DF3"/>
    <w:rsid w:val="001E1F7B"/>
    <w:rsid w:val="001E207C"/>
    <w:rsid w:val="001E246E"/>
    <w:rsid w:val="001E29DC"/>
    <w:rsid w:val="001E2D20"/>
    <w:rsid w:val="001E2D92"/>
    <w:rsid w:val="001E2DD3"/>
    <w:rsid w:val="001E4465"/>
    <w:rsid w:val="001E44DF"/>
    <w:rsid w:val="001E4576"/>
    <w:rsid w:val="001E463F"/>
    <w:rsid w:val="001E4653"/>
    <w:rsid w:val="001E465E"/>
    <w:rsid w:val="001E4670"/>
    <w:rsid w:val="001E4CF7"/>
    <w:rsid w:val="001E4E2F"/>
    <w:rsid w:val="001E4F0C"/>
    <w:rsid w:val="001E5006"/>
    <w:rsid w:val="001E5FAF"/>
    <w:rsid w:val="001E68A5"/>
    <w:rsid w:val="001E6BB0"/>
    <w:rsid w:val="001E6F2C"/>
    <w:rsid w:val="001E7282"/>
    <w:rsid w:val="001E7771"/>
    <w:rsid w:val="001E77E4"/>
    <w:rsid w:val="001E7CE9"/>
    <w:rsid w:val="001F0100"/>
    <w:rsid w:val="001F05B3"/>
    <w:rsid w:val="001F099C"/>
    <w:rsid w:val="001F0C6B"/>
    <w:rsid w:val="001F0EB3"/>
    <w:rsid w:val="001F1325"/>
    <w:rsid w:val="001F1F59"/>
    <w:rsid w:val="001F2011"/>
    <w:rsid w:val="001F223A"/>
    <w:rsid w:val="001F2243"/>
    <w:rsid w:val="001F256F"/>
    <w:rsid w:val="001F28FD"/>
    <w:rsid w:val="001F2932"/>
    <w:rsid w:val="001F2AF6"/>
    <w:rsid w:val="001F2BA3"/>
    <w:rsid w:val="001F2C49"/>
    <w:rsid w:val="001F2CB1"/>
    <w:rsid w:val="001F2DEF"/>
    <w:rsid w:val="001F2EC2"/>
    <w:rsid w:val="001F3069"/>
    <w:rsid w:val="001F32D4"/>
    <w:rsid w:val="001F330C"/>
    <w:rsid w:val="001F370B"/>
    <w:rsid w:val="001F3826"/>
    <w:rsid w:val="001F3990"/>
    <w:rsid w:val="001F3C4A"/>
    <w:rsid w:val="001F3D02"/>
    <w:rsid w:val="001F3EE8"/>
    <w:rsid w:val="001F449D"/>
    <w:rsid w:val="001F44C8"/>
    <w:rsid w:val="001F4A69"/>
    <w:rsid w:val="001F53D0"/>
    <w:rsid w:val="001F5AFA"/>
    <w:rsid w:val="001F5E08"/>
    <w:rsid w:val="001F637A"/>
    <w:rsid w:val="001F64EC"/>
    <w:rsid w:val="001F69A5"/>
    <w:rsid w:val="001F6E46"/>
    <w:rsid w:val="001F6EC7"/>
    <w:rsid w:val="001F701B"/>
    <w:rsid w:val="001F770B"/>
    <w:rsid w:val="001F77D0"/>
    <w:rsid w:val="001F7C91"/>
    <w:rsid w:val="001F7DD1"/>
    <w:rsid w:val="002000B9"/>
    <w:rsid w:val="002006D1"/>
    <w:rsid w:val="00200CE1"/>
    <w:rsid w:val="00201030"/>
    <w:rsid w:val="002013D7"/>
    <w:rsid w:val="00201A3A"/>
    <w:rsid w:val="00201BC1"/>
    <w:rsid w:val="00202238"/>
    <w:rsid w:val="002023B3"/>
    <w:rsid w:val="002025E2"/>
    <w:rsid w:val="002028ED"/>
    <w:rsid w:val="00203090"/>
    <w:rsid w:val="002030B3"/>
    <w:rsid w:val="002033B7"/>
    <w:rsid w:val="002033D8"/>
    <w:rsid w:val="002033DF"/>
    <w:rsid w:val="0020350E"/>
    <w:rsid w:val="00203642"/>
    <w:rsid w:val="002038C6"/>
    <w:rsid w:val="00203ADA"/>
    <w:rsid w:val="00203B3C"/>
    <w:rsid w:val="00203C05"/>
    <w:rsid w:val="00203FBF"/>
    <w:rsid w:val="00203FFA"/>
    <w:rsid w:val="00204274"/>
    <w:rsid w:val="002045B1"/>
    <w:rsid w:val="00204B5F"/>
    <w:rsid w:val="00205064"/>
    <w:rsid w:val="0020548E"/>
    <w:rsid w:val="00205842"/>
    <w:rsid w:val="00205E31"/>
    <w:rsid w:val="0020608A"/>
    <w:rsid w:val="00206372"/>
    <w:rsid w:val="002063B8"/>
    <w:rsid w:val="00206463"/>
    <w:rsid w:val="00206B03"/>
    <w:rsid w:val="00206CA7"/>
    <w:rsid w:val="00206F2F"/>
    <w:rsid w:val="00207442"/>
    <w:rsid w:val="00207717"/>
    <w:rsid w:val="00207A73"/>
    <w:rsid w:val="00207B6B"/>
    <w:rsid w:val="00210008"/>
    <w:rsid w:val="002104EB"/>
    <w:rsid w:val="0021053D"/>
    <w:rsid w:val="00210751"/>
    <w:rsid w:val="002108BE"/>
    <w:rsid w:val="00210A92"/>
    <w:rsid w:val="00210F6F"/>
    <w:rsid w:val="00211251"/>
    <w:rsid w:val="0021177C"/>
    <w:rsid w:val="00211A8B"/>
    <w:rsid w:val="00211C24"/>
    <w:rsid w:val="00211E34"/>
    <w:rsid w:val="0021206E"/>
    <w:rsid w:val="00212561"/>
    <w:rsid w:val="0021295B"/>
    <w:rsid w:val="00212AA9"/>
    <w:rsid w:val="00212B95"/>
    <w:rsid w:val="00212DB1"/>
    <w:rsid w:val="00212EB5"/>
    <w:rsid w:val="00212EC9"/>
    <w:rsid w:val="00213730"/>
    <w:rsid w:val="00213C94"/>
    <w:rsid w:val="0021402F"/>
    <w:rsid w:val="00214036"/>
    <w:rsid w:val="0021448E"/>
    <w:rsid w:val="0021488D"/>
    <w:rsid w:val="00214C22"/>
    <w:rsid w:val="00214E04"/>
    <w:rsid w:val="00215151"/>
    <w:rsid w:val="00215206"/>
    <w:rsid w:val="00215CC8"/>
    <w:rsid w:val="002165FA"/>
    <w:rsid w:val="00216C03"/>
    <w:rsid w:val="00217316"/>
    <w:rsid w:val="0021756D"/>
    <w:rsid w:val="00217816"/>
    <w:rsid w:val="00217B7D"/>
    <w:rsid w:val="00217F6E"/>
    <w:rsid w:val="00220232"/>
    <w:rsid w:val="002207A6"/>
    <w:rsid w:val="00220A1A"/>
    <w:rsid w:val="00220C04"/>
    <w:rsid w:val="00220CC6"/>
    <w:rsid w:val="00220D9E"/>
    <w:rsid w:val="00220DAA"/>
    <w:rsid w:val="0022110D"/>
    <w:rsid w:val="0022161E"/>
    <w:rsid w:val="0022248B"/>
    <w:rsid w:val="0022278D"/>
    <w:rsid w:val="00222BE8"/>
    <w:rsid w:val="00222F33"/>
    <w:rsid w:val="0022364D"/>
    <w:rsid w:val="002242C9"/>
    <w:rsid w:val="0022450A"/>
    <w:rsid w:val="002246A6"/>
    <w:rsid w:val="00224CEF"/>
    <w:rsid w:val="0022581F"/>
    <w:rsid w:val="0022637B"/>
    <w:rsid w:val="0022657C"/>
    <w:rsid w:val="002268D2"/>
    <w:rsid w:val="00226D3F"/>
    <w:rsid w:val="0022701F"/>
    <w:rsid w:val="002272E6"/>
    <w:rsid w:val="002273F8"/>
    <w:rsid w:val="00227BF5"/>
    <w:rsid w:val="00227C68"/>
    <w:rsid w:val="00227F92"/>
    <w:rsid w:val="002301D3"/>
    <w:rsid w:val="0023034B"/>
    <w:rsid w:val="00230825"/>
    <w:rsid w:val="002314D7"/>
    <w:rsid w:val="00231AE4"/>
    <w:rsid w:val="00231C29"/>
    <w:rsid w:val="0023200D"/>
    <w:rsid w:val="0023216A"/>
    <w:rsid w:val="00232264"/>
    <w:rsid w:val="00232765"/>
    <w:rsid w:val="002333F5"/>
    <w:rsid w:val="00233724"/>
    <w:rsid w:val="002337B5"/>
    <w:rsid w:val="00233EAB"/>
    <w:rsid w:val="0023402B"/>
    <w:rsid w:val="002340B5"/>
    <w:rsid w:val="0023457F"/>
    <w:rsid w:val="00234FA8"/>
    <w:rsid w:val="002356DA"/>
    <w:rsid w:val="0023584E"/>
    <w:rsid w:val="002359E4"/>
    <w:rsid w:val="00235E96"/>
    <w:rsid w:val="0023619F"/>
    <w:rsid w:val="002365B4"/>
    <w:rsid w:val="0023691C"/>
    <w:rsid w:val="00236A30"/>
    <w:rsid w:val="00236B3C"/>
    <w:rsid w:val="00237111"/>
    <w:rsid w:val="002372FF"/>
    <w:rsid w:val="002377E3"/>
    <w:rsid w:val="002378EE"/>
    <w:rsid w:val="00237AC5"/>
    <w:rsid w:val="00237BEA"/>
    <w:rsid w:val="00237D87"/>
    <w:rsid w:val="00240E8B"/>
    <w:rsid w:val="00241A03"/>
    <w:rsid w:val="00241BA4"/>
    <w:rsid w:val="00241E81"/>
    <w:rsid w:val="00242431"/>
    <w:rsid w:val="00242479"/>
    <w:rsid w:val="002426E7"/>
    <w:rsid w:val="00242892"/>
    <w:rsid w:val="00242CB5"/>
    <w:rsid w:val="00242D2D"/>
    <w:rsid w:val="002432E1"/>
    <w:rsid w:val="0024330B"/>
    <w:rsid w:val="002435CC"/>
    <w:rsid w:val="002436E6"/>
    <w:rsid w:val="00243C89"/>
    <w:rsid w:val="00243FFB"/>
    <w:rsid w:val="002442C0"/>
    <w:rsid w:val="002442C9"/>
    <w:rsid w:val="002446C5"/>
    <w:rsid w:val="00244743"/>
    <w:rsid w:val="0024487A"/>
    <w:rsid w:val="00244B73"/>
    <w:rsid w:val="00244D98"/>
    <w:rsid w:val="00245275"/>
    <w:rsid w:val="002456E4"/>
    <w:rsid w:val="00246207"/>
    <w:rsid w:val="00246431"/>
    <w:rsid w:val="00246A57"/>
    <w:rsid w:val="00246C5E"/>
    <w:rsid w:val="00246DA9"/>
    <w:rsid w:val="002470E8"/>
    <w:rsid w:val="0024764D"/>
    <w:rsid w:val="002476FE"/>
    <w:rsid w:val="0025030C"/>
    <w:rsid w:val="002504FA"/>
    <w:rsid w:val="0025074B"/>
    <w:rsid w:val="002507B6"/>
    <w:rsid w:val="00250960"/>
    <w:rsid w:val="00251343"/>
    <w:rsid w:val="00251CBA"/>
    <w:rsid w:val="00251EAB"/>
    <w:rsid w:val="00251F1A"/>
    <w:rsid w:val="0025202A"/>
    <w:rsid w:val="002521A4"/>
    <w:rsid w:val="002521FA"/>
    <w:rsid w:val="00252202"/>
    <w:rsid w:val="00252B53"/>
    <w:rsid w:val="00252BF9"/>
    <w:rsid w:val="00252D91"/>
    <w:rsid w:val="00252F80"/>
    <w:rsid w:val="00253206"/>
    <w:rsid w:val="00253546"/>
    <w:rsid w:val="002536A4"/>
    <w:rsid w:val="00253A3E"/>
    <w:rsid w:val="00253DA3"/>
    <w:rsid w:val="002546A3"/>
    <w:rsid w:val="00254C9A"/>
    <w:rsid w:val="00254F58"/>
    <w:rsid w:val="00255BCE"/>
    <w:rsid w:val="00256235"/>
    <w:rsid w:val="00256A38"/>
    <w:rsid w:val="00256C1E"/>
    <w:rsid w:val="00256C1F"/>
    <w:rsid w:val="002600BD"/>
    <w:rsid w:val="00260166"/>
    <w:rsid w:val="00260E30"/>
    <w:rsid w:val="00261265"/>
    <w:rsid w:val="00261943"/>
    <w:rsid w:val="00261A18"/>
    <w:rsid w:val="00261B94"/>
    <w:rsid w:val="00261D8D"/>
    <w:rsid w:val="002620BC"/>
    <w:rsid w:val="00262293"/>
    <w:rsid w:val="00262584"/>
    <w:rsid w:val="00262802"/>
    <w:rsid w:val="00262C6B"/>
    <w:rsid w:val="00262EBA"/>
    <w:rsid w:val="00263A90"/>
    <w:rsid w:val="00263E58"/>
    <w:rsid w:val="00263E75"/>
    <w:rsid w:val="00263EFD"/>
    <w:rsid w:val="00263F63"/>
    <w:rsid w:val="00263FC6"/>
    <w:rsid w:val="0026408B"/>
    <w:rsid w:val="00264238"/>
    <w:rsid w:val="0026445E"/>
    <w:rsid w:val="00264618"/>
    <w:rsid w:val="00264E64"/>
    <w:rsid w:val="00265607"/>
    <w:rsid w:val="002656BC"/>
    <w:rsid w:val="002659B0"/>
    <w:rsid w:val="00265AE5"/>
    <w:rsid w:val="00265BF4"/>
    <w:rsid w:val="00265ED5"/>
    <w:rsid w:val="0026608B"/>
    <w:rsid w:val="002661C3"/>
    <w:rsid w:val="00266613"/>
    <w:rsid w:val="00266C3D"/>
    <w:rsid w:val="0026720A"/>
    <w:rsid w:val="00267485"/>
    <w:rsid w:val="00267C3E"/>
    <w:rsid w:val="00267E2C"/>
    <w:rsid w:val="00267F06"/>
    <w:rsid w:val="00267FB3"/>
    <w:rsid w:val="00270804"/>
    <w:rsid w:val="002708FC"/>
    <w:rsid w:val="002709BB"/>
    <w:rsid w:val="00270D28"/>
    <w:rsid w:val="00270D32"/>
    <w:rsid w:val="002710B2"/>
    <w:rsid w:val="0027131C"/>
    <w:rsid w:val="00271443"/>
    <w:rsid w:val="00271E10"/>
    <w:rsid w:val="00271F28"/>
    <w:rsid w:val="00272116"/>
    <w:rsid w:val="0027224A"/>
    <w:rsid w:val="002725B2"/>
    <w:rsid w:val="0027270E"/>
    <w:rsid w:val="00273474"/>
    <w:rsid w:val="00273BAC"/>
    <w:rsid w:val="00274482"/>
    <w:rsid w:val="00274709"/>
    <w:rsid w:val="00274804"/>
    <w:rsid w:val="002749B2"/>
    <w:rsid w:val="002755DB"/>
    <w:rsid w:val="002757AB"/>
    <w:rsid w:val="00275A28"/>
    <w:rsid w:val="002760B7"/>
    <w:rsid w:val="002763B3"/>
    <w:rsid w:val="0027676C"/>
    <w:rsid w:val="00276A05"/>
    <w:rsid w:val="00276A39"/>
    <w:rsid w:val="00276B0A"/>
    <w:rsid w:val="002770C7"/>
    <w:rsid w:val="00277EC0"/>
    <w:rsid w:val="002802E3"/>
    <w:rsid w:val="00280897"/>
    <w:rsid w:val="00280C27"/>
    <w:rsid w:val="00280CA6"/>
    <w:rsid w:val="00281705"/>
    <w:rsid w:val="00281B31"/>
    <w:rsid w:val="00281F95"/>
    <w:rsid w:val="0028213D"/>
    <w:rsid w:val="00282350"/>
    <w:rsid w:val="00282374"/>
    <w:rsid w:val="002825A6"/>
    <w:rsid w:val="00282A7F"/>
    <w:rsid w:val="0028347D"/>
    <w:rsid w:val="0028364A"/>
    <w:rsid w:val="002838FF"/>
    <w:rsid w:val="00283D58"/>
    <w:rsid w:val="0028404D"/>
    <w:rsid w:val="0028406D"/>
    <w:rsid w:val="00284C48"/>
    <w:rsid w:val="00285349"/>
    <w:rsid w:val="00286224"/>
    <w:rsid w:val="002862F1"/>
    <w:rsid w:val="002863B9"/>
    <w:rsid w:val="002869F4"/>
    <w:rsid w:val="00286D06"/>
    <w:rsid w:val="00286E6E"/>
    <w:rsid w:val="0028708A"/>
    <w:rsid w:val="002875D5"/>
    <w:rsid w:val="00287D2D"/>
    <w:rsid w:val="00287DD5"/>
    <w:rsid w:val="00290A9C"/>
    <w:rsid w:val="00290B73"/>
    <w:rsid w:val="00290BB3"/>
    <w:rsid w:val="00290E1E"/>
    <w:rsid w:val="00290EF8"/>
    <w:rsid w:val="00290F98"/>
    <w:rsid w:val="002911A1"/>
    <w:rsid w:val="00291373"/>
    <w:rsid w:val="002914E6"/>
    <w:rsid w:val="002915A0"/>
    <w:rsid w:val="00292331"/>
    <w:rsid w:val="002924EC"/>
    <w:rsid w:val="00292BAC"/>
    <w:rsid w:val="00292E8B"/>
    <w:rsid w:val="0029325A"/>
    <w:rsid w:val="00293B92"/>
    <w:rsid w:val="00293DA0"/>
    <w:rsid w:val="00293FA8"/>
    <w:rsid w:val="002948BC"/>
    <w:rsid w:val="00294962"/>
    <w:rsid w:val="00294B1F"/>
    <w:rsid w:val="00295064"/>
    <w:rsid w:val="00295167"/>
    <w:rsid w:val="00295945"/>
    <w:rsid w:val="0029597D"/>
    <w:rsid w:val="00295D89"/>
    <w:rsid w:val="002962C3"/>
    <w:rsid w:val="00296515"/>
    <w:rsid w:val="00296992"/>
    <w:rsid w:val="00296E6A"/>
    <w:rsid w:val="0029746E"/>
    <w:rsid w:val="0029752B"/>
    <w:rsid w:val="0029759A"/>
    <w:rsid w:val="00297719"/>
    <w:rsid w:val="00297D99"/>
    <w:rsid w:val="00297FB8"/>
    <w:rsid w:val="00297FC5"/>
    <w:rsid w:val="002A0161"/>
    <w:rsid w:val="002A0893"/>
    <w:rsid w:val="002A0904"/>
    <w:rsid w:val="002A0A9C"/>
    <w:rsid w:val="002A1014"/>
    <w:rsid w:val="002A1AC5"/>
    <w:rsid w:val="002A1D66"/>
    <w:rsid w:val="002A1FED"/>
    <w:rsid w:val="002A25A1"/>
    <w:rsid w:val="002A2655"/>
    <w:rsid w:val="002A27FF"/>
    <w:rsid w:val="002A28AE"/>
    <w:rsid w:val="002A2FE1"/>
    <w:rsid w:val="002A3173"/>
    <w:rsid w:val="002A351D"/>
    <w:rsid w:val="002A3B29"/>
    <w:rsid w:val="002A4050"/>
    <w:rsid w:val="002A416A"/>
    <w:rsid w:val="002A429A"/>
    <w:rsid w:val="002A440A"/>
    <w:rsid w:val="002A45F2"/>
    <w:rsid w:val="002A483C"/>
    <w:rsid w:val="002A4A21"/>
    <w:rsid w:val="002A4AAC"/>
    <w:rsid w:val="002A4AFE"/>
    <w:rsid w:val="002A4DAF"/>
    <w:rsid w:val="002A4FB0"/>
    <w:rsid w:val="002A50D6"/>
    <w:rsid w:val="002A545D"/>
    <w:rsid w:val="002A56D0"/>
    <w:rsid w:val="002A581C"/>
    <w:rsid w:val="002A5A6E"/>
    <w:rsid w:val="002A5A98"/>
    <w:rsid w:val="002A5DA7"/>
    <w:rsid w:val="002A641A"/>
    <w:rsid w:val="002A642C"/>
    <w:rsid w:val="002A67A8"/>
    <w:rsid w:val="002A6F1A"/>
    <w:rsid w:val="002A708B"/>
    <w:rsid w:val="002A764A"/>
    <w:rsid w:val="002A765E"/>
    <w:rsid w:val="002A76C5"/>
    <w:rsid w:val="002A7AA4"/>
    <w:rsid w:val="002A7AD6"/>
    <w:rsid w:val="002A7BAF"/>
    <w:rsid w:val="002B012F"/>
    <w:rsid w:val="002B0264"/>
    <w:rsid w:val="002B0315"/>
    <w:rsid w:val="002B0614"/>
    <w:rsid w:val="002B0886"/>
    <w:rsid w:val="002B0C7C"/>
    <w:rsid w:val="002B0E02"/>
    <w:rsid w:val="002B10B3"/>
    <w:rsid w:val="002B1295"/>
    <w:rsid w:val="002B16D6"/>
    <w:rsid w:val="002B1729"/>
    <w:rsid w:val="002B1A07"/>
    <w:rsid w:val="002B2751"/>
    <w:rsid w:val="002B364C"/>
    <w:rsid w:val="002B36BA"/>
    <w:rsid w:val="002B36C7"/>
    <w:rsid w:val="002B3AB0"/>
    <w:rsid w:val="002B3BCC"/>
    <w:rsid w:val="002B4219"/>
    <w:rsid w:val="002B4800"/>
    <w:rsid w:val="002B4DD4"/>
    <w:rsid w:val="002B5277"/>
    <w:rsid w:val="002B5375"/>
    <w:rsid w:val="002B5541"/>
    <w:rsid w:val="002B57D1"/>
    <w:rsid w:val="002B585C"/>
    <w:rsid w:val="002B625B"/>
    <w:rsid w:val="002B64EE"/>
    <w:rsid w:val="002B6AC9"/>
    <w:rsid w:val="002B6DE4"/>
    <w:rsid w:val="002B6F89"/>
    <w:rsid w:val="002B7096"/>
    <w:rsid w:val="002B774D"/>
    <w:rsid w:val="002B7756"/>
    <w:rsid w:val="002B77C1"/>
    <w:rsid w:val="002B795F"/>
    <w:rsid w:val="002B7D31"/>
    <w:rsid w:val="002B7EBE"/>
    <w:rsid w:val="002C0271"/>
    <w:rsid w:val="002C09A7"/>
    <w:rsid w:val="002C0ED7"/>
    <w:rsid w:val="002C14B9"/>
    <w:rsid w:val="002C163D"/>
    <w:rsid w:val="002C1835"/>
    <w:rsid w:val="002C1C5C"/>
    <w:rsid w:val="002C213D"/>
    <w:rsid w:val="002C2728"/>
    <w:rsid w:val="002C2BBE"/>
    <w:rsid w:val="002C2D3A"/>
    <w:rsid w:val="002C2ED3"/>
    <w:rsid w:val="002C3164"/>
    <w:rsid w:val="002C328C"/>
    <w:rsid w:val="002C343B"/>
    <w:rsid w:val="002C367A"/>
    <w:rsid w:val="002C3885"/>
    <w:rsid w:val="002C3AD5"/>
    <w:rsid w:val="002C3B68"/>
    <w:rsid w:val="002C3C9C"/>
    <w:rsid w:val="002C3E4B"/>
    <w:rsid w:val="002C425C"/>
    <w:rsid w:val="002C434A"/>
    <w:rsid w:val="002C4364"/>
    <w:rsid w:val="002C43C4"/>
    <w:rsid w:val="002C4B51"/>
    <w:rsid w:val="002C5A24"/>
    <w:rsid w:val="002C5B7C"/>
    <w:rsid w:val="002C6902"/>
    <w:rsid w:val="002C6D78"/>
    <w:rsid w:val="002C6FFB"/>
    <w:rsid w:val="002C723F"/>
    <w:rsid w:val="002C78E4"/>
    <w:rsid w:val="002C7DCC"/>
    <w:rsid w:val="002C7E7E"/>
    <w:rsid w:val="002D0417"/>
    <w:rsid w:val="002D0BFC"/>
    <w:rsid w:val="002D0C9F"/>
    <w:rsid w:val="002D0E0C"/>
    <w:rsid w:val="002D1097"/>
    <w:rsid w:val="002D121E"/>
    <w:rsid w:val="002D1854"/>
    <w:rsid w:val="002D1E0D"/>
    <w:rsid w:val="002D22B7"/>
    <w:rsid w:val="002D26C4"/>
    <w:rsid w:val="002D2726"/>
    <w:rsid w:val="002D2762"/>
    <w:rsid w:val="002D2818"/>
    <w:rsid w:val="002D2D77"/>
    <w:rsid w:val="002D3081"/>
    <w:rsid w:val="002D31D2"/>
    <w:rsid w:val="002D33D0"/>
    <w:rsid w:val="002D3B98"/>
    <w:rsid w:val="002D44E8"/>
    <w:rsid w:val="002D4564"/>
    <w:rsid w:val="002D4636"/>
    <w:rsid w:val="002D4AEF"/>
    <w:rsid w:val="002D4E30"/>
    <w:rsid w:val="002D4FA4"/>
    <w:rsid w:val="002D5006"/>
    <w:rsid w:val="002D51AF"/>
    <w:rsid w:val="002D5318"/>
    <w:rsid w:val="002D586E"/>
    <w:rsid w:val="002D5BD7"/>
    <w:rsid w:val="002D608D"/>
    <w:rsid w:val="002D655A"/>
    <w:rsid w:val="002D6658"/>
    <w:rsid w:val="002D6815"/>
    <w:rsid w:val="002D68B7"/>
    <w:rsid w:val="002D69D7"/>
    <w:rsid w:val="002D70DF"/>
    <w:rsid w:val="002D7780"/>
    <w:rsid w:val="002D7C61"/>
    <w:rsid w:val="002D7D47"/>
    <w:rsid w:val="002D7DDB"/>
    <w:rsid w:val="002E01D0"/>
    <w:rsid w:val="002E0368"/>
    <w:rsid w:val="002E041A"/>
    <w:rsid w:val="002E08BA"/>
    <w:rsid w:val="002E09E9"/>
    <w:rsid w:val="002E0F36"/>
    <w:rsid w:val="002E1135"/>
    <w:rsid w:val="002E1229"/>
    <w:rsid w:val="002E161D"/>
    <w:rsid w:val="002E1D28"/>
    <w:rsid w:val="002E1FD9"/>
    <w:rsid w:val="002E252C"/>
    <w:rsid w:val="002E25F2"/>
    <w:rsid w:val="002E28A2"/>
    <w:rsid w:val="002E2C55"/>
    <w:rsid w:val="002E2CA9"/>
    <w:rsid w:val="002E2E36"/>
    <w:rsid w:val="002E3049"/>
    <w:rsid w:val="002E3100"/>
    <w:rsid w:val="002E372A"/>
    <w:rsid w:val="002E3D63"/>
    <w:rsid w:val="002E42C4"/>
    <w:rsid w:val="002E4424"/>
    <w:rsid w:val="002E46EC"/>
    <w:rsid w:val="002E4EAE"/>
    <w:rsid w:val="002E4EDA"/>
    <w:rsid w:val="002E53D7"/>
    <w:rsid w:val="002E5BA4"/>
    <w:rsid w:val="002E62EE"/>
    <w:rsid w:val="002E679B"/>
    <w:rsid w:val="002E6C95"/>
    <w:rsid w:val="002E6EF8"/>
    <w:rsid w:val="002E7AC9"/>
    <w:rsid w:val="002E7C36"/>
    <w:rsid w:val="002E7C8A"/>
    <w:rsid w:val="002F04BC"/>
    <w:rsid w:val="002F0630"/>
    <w:rsid w:val="002F12E2"/>
    <w:rsid w:val="002F1312"/>
    <w:rsid w:val="002F1935"/>
    <w:rsid w:val="002F1A0E"/>
    <w:rsid w:val="002F1C0B"/>
    <w:rsid w:val="002F1D71"/>
    <w:rsid w:val="002F1DED"/>
    <w:rsid w:val="002F217B"/>
    <w:rsid w:val="002F2246"/>
    <w:rsid w:val="002F231C"/>
    <w:rsid w:val="002F2F2D"/>
    <w:rsid w:val="002F3343"/>
    <w:rsid w:val="002F35CE"/>
    <w:rsid w:val="002F36BF"/>
    <w:rsid w:val="002F3D32"/>
    <w:rsid w:val="002F3E10"/>
    <w:rsid w:val="002F3E5E"/>
    <w:rsid w:val="002F41BF"/>
    <w:rsid w:val="002F463D"/>
    <w:rsid w:val="002F4E85"/>
    <w:rsid w:val="002F5230"/>
    <w:rsid w:val="002F55C9"/>
    <w:rsid w:val="002F5914"/>
    <w:rsid w:val="002F59DC"/>
    <w:rsid w:val="002F59FA"/>
    <w:rsid w:val="002F5CF1"/>
    <w:rsid w:val="002F5D72"/>
    <w:rsid w:val="002F5E28"/>
    <w:rsid w:val="002F5F31"/>
    <w:rsid w:val="002F5F46"/>
    <w:rsid w:val="002F6170"/>
    <w:rsid w:val="002F624F"/>
    <w:rsid w:val="002F6842"/>
    <w:rsid w:val="002F6CC4"/>
    <w:rsid w:val="002F71E9"/>
    <w:rsid w:val="002F72DE"/>
    <w:rsid w:val="002F7669"/>
    <w:rsid w:val="002F778F"/>
    <w:rsid w:val="00300673"/>
    <w:rsid w:val="00300744"/>
    <w:rsid w:val="00300B19"/>
    <w:rsid w:val="00300E04"/>
    <w:rsid w:val="0030132B"/>
    <w:rsid w:val="003016AE"/>
    <w:rsid w:val="00301811"/>
    <w:rsid w:val="00301F2E"/>
    <w:rsid w:val="00302216"/>
    <w:rsid w:val="00302329"/>
    <w:rsid w:val="00302936"/>
    <w:rsid w:val="00302B3F"/>
    <w:rsid w:val="00302BE6"/>
    <w:rsid w:val="00302FB6"/>
    <w:rsid w:val="00303313"/>
    <w:rsid w:val="003033D8"/>
    <w:rsid w:val="00303756"/>
    <w:rsid w:val="00303E53"/>
    <w:rsid w:val="00303FAC"/>
    <w:rsid w:val="00304284"/>
    <w:rsid w:val="0030442B"/>
    <w:rsid w:val="00304785"/>
    <w:rsid w:val="003048CB"/>
    <w:rsid w:val="00304BA9"/>
    <w:rsid w:val="00305458"/>
    <w:rsid w:val="00305CC1"/>
    <w:rsid w:val="00305D03"/>
    <w:rsid w:val="00305E2E"/>
    <w:rsid w:val="0030651F"/>
    <w:rsid w:val="003068B0"/>
    <w:rsid w:val="003069CF"/>
    <w:rsid w:val="00306E5F"/>
    <w:rsid w:val="00306ED8"/>
    <w:rsid w:val="00307E14"/>
    <w:rsid w:val="00307F4F"/>
    <w:rsid w:val="00310422"/>
    <w:rsid w:val="0031180A"/>
    <w:rsid w:val="003119CB"/>
    <w:rsid w:val="003121E2"/>
    <w:rsid w:val="003123EA"/>
    <w:rsid w:val="0031240D"/>
    <w:rsid w:val="00312461"/>
    <w:rsid w:val="0031285D"/>
    <w:rsid w:val="00312D81"/>
    <w:rsid w:val="003135AD"/>
    <w:rsid w:val="003138EA"/>
    <w:rsid w:val="0031402C"/>
    <w:rsid w:val="00314054"/>
    <w:rsid w:val="00314B3D"/>
    <w:rsid w:val="00314F71"/>
    <w:rsid w:val="00315352"/>
    <w:rsid w:val="00315734"/>
    <w:rsid w:val="00315B37"/>
    <w:rsid w:val="00316727"/>
    <w:rsid w:val="0031694D"/>
    <w:rsid w:val="00316F27"/>
    <w:rsid w:val="003173D8"/>
    <w:rsid w:val="003175DB"/>
    <w:rsid w:val="00317649"/>
    <w:rsid w:val="003178EF"/>
    <w:rsid w:val="00317B83"/>
    <w:rsid w:val="00320935"/>
    <w:rsid w:val="003211CF"/>
    <w:rsid w:val="003214F1"/>
    <w:rsid w:val="00321B0C"/>
    <w:rsid w:val="003223B7"/>
    <w:rsid w:val="00322490"/>
    <w:rsid w:val="003228EC"/>
    <w:rsid w:val="00322983"/>
    <w:rsid w:val="00322A0C"/>
    <w:rsid w:val="00322A5C"/>
    <w:rsid w:val="00322ABB"/>
    <w:rsid w:val="00322E4B"/>
    <w:rsid w:val="00322F7E"/>
    <w:rsid w:val="003235DB"/>
    <w:rsid w:val="00323B2C"/>
    <w:rsid w:val="003242C0"/>
    <w:rsid w:val="003244B7"/>
    <w:rsid w:val="003245D7"/>
    <w:rsid w:val="00325397"/>
    <w:rsid w:val="00325547"/>
    <w:rsid w:val="00325556"/>
    <w:rsid w:val="00326086"/>
    <w:rsid w:val="0032623D"/>
    <w:rsid w:val="003266B2"/>
    <w:rsid w:val="00326758"/>
    <w:rsid w:val="00326E5D"/>
    <w:rsid w:val="00326EA8"/>
    <w:rsid w:val="0032702D"/>
    <w:rsid w:val="0032717D"/>
    <w:rsid w:val="003271BE"/>
    <w:rsid w:val="00327271"/>
    <w:rsid w:val="00327286"/>
    <w:rsid w:val="00327419"/>
    <w:rsid w:val="0032744A"/>
    <w:rsid w:val="00327870"/>
    <w:rsid w:val="00330098"/>
    <w:rsid w:val="003304E7"/>
    <w:rsid w:val="0033098D"/>
    <w:rsid w:val="00330D6C"/>
    <w:rsid w:val="00330DEA"/>
    <w:rsid w:val="003311F8"/>
    <w:rsid w:val="0033138C"/>
    <w:rsid w:val="00331410"/>
    <w:rsid w:val="00331905"/>
    <w:rsid w:val="003321A3"/>
    <w:rsid w:val="0033259D"/>
    <w:rsid w:val="003326BD"/>
    <w:rsid w:val="0033289B"/>
    <w:rsid w:val="003332C7"/>
    <w:rsid w:val="003333D2"/>
    <w:rsid w:val="00333488"/>
    <w:rsid w:val="003334EA"/>
    <w:rsid w:val="00333A02"/>
    <w:rsid w:val="00333AF3"/>
    <w:rsid w:val="003345CF"/>
    <w:rsid w:val="00334686"/>
    <w:rsid w:val="0033469F"/>
    <w:rsid w:val="0033497A"/>
    <w:rsid w:val="0033538C"/>
    <w:rsid w:val="003355F3"/>
    <w:rsid w:val="00335F80"/>
    <w:rsid w:val="00336139"/>
    <w:rsid w:val="00336848"/>
    <w:rsid w:val="00336BD1"/>
    <w:rsid w:val="00336EA1"/>
    <w:rsid w:val="00336F0B"/>
    <w:rsid w:val="00337115"/>
    <w:rsid w:val="00337339"/>
    <w:rsid w:val="00337AEE"/>
    <w:rsid w:val="00337DEE"/>
    <w:rsid w:val="00337ED8"/>
    <w:rsid w:val="00340047"/>
    <w:rsid w:val="00340345"/>
    <w:rsid w:val="003404AB"/>
    <w:rsid w:val="003406C6"/>
    <w:rsid w:val="00340A44"/>
    <w:rsid w:val="0034103B"/>
    <w:rsid w:val="0034129B"/>
    <w:rsid w:val="003418CC"/>
    <w:rsid w:val="00341C23"/>
    <w:rsid w:val="00342072"/>
    <w:rsid w:val="00342264"/>
    <w:rsid w:val="00342721"/>
    <w:rsid w:val="00342972"/>
    <w:rsid w:val="00342A17"/>
    <w:rsid w:val="00342BB1"/>
    <w:rsid w:val="00342EA3"/>
    <w:rsid w:val="00342F78"/>
    <w:rsid w:val="00342FBB"/>
    <w:rsid w:val="003434EE"/>
    <w:rsid w:val="0034478C"/>
    <w:rsid w:val="00344BFA"/>
    <w:rsid w:val="0034509F"/>
    <w:rsid w:val="00345493"/>
    <w:rsid w:val="003459BD"/>
    <w:rsid w:val="00345B72"/>
    <w:rsid w:val="00345DD0"/>
    <w:rsid w:val="003466F2"/>
    <w:rsid w:val="00346CE2"/>
    <w:rsid w:val="003476A6"/>
    <w:rsid w:val="00347C77"/>
    <w:rsid w:val="00347CA9"/>
    <w:rsid w:val="00347DDB"/>
    <w:rsid w:val="00347DE4"/>
    <w:rsid w:val="00347EB9"/>
    <w:rsid w:val="0035008B"/>
    <w:rsid w:val="003504D6"/>
    <w:rsid w:val="00350536"/>
    <w:rsid w:val="00350831"/>
    <w:rsid w:val="00350C22"/>
    <w:rsid w:val="00350D38"/>
    <w:rsid w:val="00350E34"/>
    <w:rsid w:val="00351B36"/>
    <w:rsid w:val="00351B3B"/>
    <w:rsid w:val="00351D76"/>
    <w:rsid w:val="00351DA2"/>
    <w:rsid w:val="00352119"/>
    <w:rsid w:val="00352CDC"/>
    <w:rsid w:val="00352CF3"/>
    <w:rsid w:val="00353824"/>
    <w:rsid w:val="00353863"/>
    <w:rsid w:val="00353B33"/>
    <w:rsid w:val="00353F66"/>
    <w:rsid w:val="003540BB"/>
    <w:rsid w:val="003541DC"/>
    <w:rsid w:val="003542DB"/>
    <w:rsid w:val="003547EC"/>
    <w:rsid w:val="00354ADE"/>
    <w:rsid w:val="0035522B"/>
    <w:rsid w:val="003553FF"/>
    <w:rsid w:val="00355507"/>
    <w:rsid w:val="003559A2"/>
    <w:rsid w:val="00355ADF"/>
    <w:rsid w:val="00355C4C"/>
    <w:rsid w:val="00356229"/>
    <w:rsid w:val="00356C1D"/>
    <w:rsid w:val="00356EB4"/>
    <w:rsid w:val="00356F75"/>
    <w:rsid w:val="003576DC"/>
    <w:rsid w:val="00357B4E"/>
    <w:rsid w:val="003604FF"/>
    <w:rsid w:val="00361806"/>
    <w:rsid w:val="00361CEC"/>
    <w:rsid w:val="003620DB"/>
    <w:rsid w:val="00362C8C"/>
    <w:rsid w:val="00363205"/>
    <w:rsid w:val="0036329C"/>
    <w:rsid w:val="00363416"/>
    <w:rsid w:val="003637E4"/>
    <w:rsid w:val="0036380C"/>
    <w:rsid w:val="00363C2A"/>
    <w:rsid w:val="00364155"/>
    <w:rsid w:val="003644C9"/>
    <w:rsid w:val="0036452D"/>
    <w:rsid w:val="00365507"/>
    <w:rsid w:val="00365599"/>
    <w:rsid w:val="003656BC"/>
    <w:rsid w:val="00365C52"/>
    <w:rsid w:val="00365E43"/>
    <w:rsid w:val="00365FCA"/>
    <w:rsid w:val="00366073"/>
    <w:rsid w:val="00366507"/>
    <w:rsid w:val="0036658D"/>
    <w:rsid w:val="003674FE"/>
    <w:rsid w:val="003676AC"/>
    <w:rsid w:val="00370AD2"/>
    <w:rsid w:val="00370C2E"/>
    <w:rsid w:val="00370CDD"/>
    <w:rsid w:val="00370E90"/>
    <w:rsid w:val="00370F66"/>
    <w:rsid w:val="0037116E"/>
    <w:rsid w:val="00371258"/>
    <w:rsid w:val="003716FD"/>
    <w:rsid w:val="003717B1"/>
    <w:rsid w:val="00371A3E"/>
    <w:rsid w:val="00371C7F"/>
    <w:rsid w:val="00371CAF"/>
    <w:rsid w:val="0037204B"/>
    <w:rsid w:val="00372135"/>
    <w:rsid w:val="003723F8"/>
    <w:rsid w:val="00372886"/>
    <w:rsid w:val="0037375E"/>
    <w:rsid w:val="00373AA2"/>
    <w:rsid w:val="00373CF8"/>
    <w:rsid w:val="003744CF"/>
    <w:rsid w:val="00374717"/>
    <w:rsid w:val="00374983"/>
    <w:rsid w:val="00374A27"/>
    <w:rsid w:val="00374CB2"/>
    <w:rsid w:val="003752A2"/>
    <w:rsid w:val="00375427"/>
    <w:rsid w:val="0037545B"/>
    <w:rsid w:val="0037548E"/>
    <w:rsid w:val="0037551A"/>
    <w:rsid w:val="003755CB"/>
    <w:rsid w:val="0037562D"/>
    <w:rsid w:val="0037563A"/>
    <w:rsid w:val="003756C2"/>
    <w:rsid w:val="0037626C"/>
    <w:rsid w:val="0037676C"/>
    <w:rsid w:val="00376783"/>
    <w:rsid w:val="00376844"/>
    <w:rsid w:val="003772AF"/>
    <w:rsid w:val="00377ADA"/>
    <w:rsid w:val="003801A3"/>
    <w:rsid w:val="00380228"/>
    <w:rsid w:val="00380246"/>
    <w:rsid w:val="00380B83"/>
    <w:rsid w:val="00381012"/>
    <w:rsid w:val="00381043"/>
    <w:rsid w:val="003814CE"/>
    <w:rsid w:val="00382228"/>
    <w:rsid w:val="00382400"/>
    <w:rsid w:val="003829E5"/>
    <w:rsid w:val="00382C4C"/>
    <w:rsid w:val="00382D96"/>
    <w:rsid w:val="00383721"/>
    <w:rsid w:val="003845A8"/>
    <w:rsid w:val="00384D8E"/>
    <w:rsid w:val="00384E4B"/>
    <w:rsid w:val="00384ED3"/>
    <w:rsid w:val="0038504B"/>
    <w:rsid w:val="003852BA"/>
    <w:rsid w:val="003856AF"/>
    <w:rsid w:val="003856C0"/>
    <w:rsid w:val="00385CFC"/>
    <w:rsid w:val="00385E4C"/>
    <w:rsid w:val="00386109"/>
    <w:rsid w:val="00386558"/>
    <w:rsid w:val="003867D8"/>
    <w:rsid w:val="0038691C"/>
    <w:rsid w:val="00386944"/>
    <w:rsid w:val="00386C7A"/>
    <w:rsid w:val="00386FB2"/>
    <w:rsid w:val="003870EF"/>
    <w:rsid w:val="00387361"/>
    <w:rsid w:val="003874DF"/>
    <w:rsid w:val="00387674"/>
    <w:rsid w:val="00387A54"/>
    <w:rsid w:val="00387F08"/>
    <w:rsid w:val="00387F2F"/>
    <w:rsid w:val="00390528"/>
    <w:rsid w:val="00390906"/>
    <w:rsid w:val="0039150A"/>
    <w:rsid w:val="00391964"/>
    <w:rsid w:val="00391FBF"/>
    <w:rsid w:val="00391FF5"/>
    <w:rsid w:val="00392505"/>
    <w:rsid w:val="00392510"/>
    <w:rsid w:val="003925D2"/>
    <w:rsid w:val="00392714"/>
    <w:rsid w:val="00392874"/>
    <w:rsid w:val="00392EB1"/>
    <w:rsid w:val="00392F51"/>
    <w:rsid w:val="00393515"/>
    <w:rsid w:val="003939B0"/>
    <w:rsid w:val="00394586"/>
    <w:rsid w:val="00394B08"/>
    <w:rsid w:val="00394CB4"/>
    <w:rsid w:val="0039514E"/>
    <w:rsid w:val="003952E0"/>
    <w:rsid w:val="0039563F"/>
    <w:rsid w:val="003956CC"/>
    <w:rsid w:val="00395C9A"/>
    <w:rsid w:val="00395DBA"/>
    <w:rsid w:val="003969E1"/>
    <w:rsid w:val="00396C68"/>
    <w:rsid w:val="00396D70"/>
    <w:rsid w:val="00397489"/>
    <w:rsid w:val="0039755F"/>
    <w:rsid w:val="00397AF6"/>
    <w:rsid w:val="003A01DE"/>
    <w:rsid w:val="003A03A8"/>
    <w:rsid w:val="003A0853"/>
    <w:rsid w:val="003A1AFB"/>
    <w:rsid w:val="003A1ECB"/>
    <w:rsid w:val="003A1EFC"/>
    <w:rsid w:val="003A242E"/>
    <w:rsid w:val="003A2703"/>
    <w:rsid w:val="003A2E8F"/>
    <w:rsid w:val="003A309B"/>
    <w:rsid w:val="003A344F"/>
    <w:rsid w:val="003A34F9"/>
    <w:rsid w:val="003A351B"/>
    <w:rsid w:val="003A3A72"/>
    <w:rsid w:val="003A3E4C"/>
    <w:rsid w:val="003A3EDC"/>
    <w:rsid w:val="003A4254"/>
    <w:rsid w:val="003A45A0"/>
    <w:rsid w:val="003A4684"/>
    <w:rsid w:val="003A528C"/>
    <w:rsid w:val="003A5448"/>
    <w:rsid w:val="003A579D"/>
    <w:rsid w:val="003A59E4"/>
    <w:rsid w:val="003A60B9"/>
    <w:rsid w:val="003A6115"/>
    <w:rsid w:val="003A664F"/>
    <w:rsid w:val="003A6B67"/>
    <w:rsid w:val="003A6C17"/>
    <w:rsid w:val="003A6C6F"/>
    <w:rsid w:val="003A713C"/>
    <w:rsid w:val="003A78B1"/>
    <w:rsid w:val="003A79C1"/>
    <w:rsid w:val="003B0154"/>
    <w:rsid w:val="003B0216"/>
    <w:rsid w:val="003B022C"/>
    <w:rsid w:val="003B0399"/>
    <w:rsid w:val="003B086D"/>
    <w:rsid w:val="003B0901"/>
    <w:rsid w:val="003B0988"/>
    <w:rsid w:val="003B0997"/>
    <w:rsid w:val="003B13B6"/>
    <w:rsid w:val="003B14C3"/>
    <w:rsid w:val="003B156F"/>
    <w:rsid w:val="003B15E6"/>
    <w:rsid w:val="003B1785"/>
    <w:rsid w:val="003B1B9F"/>
    <w:rsid w:val="003B1BA2"/>
    <w:rsid w:val="003B1FD6"/>
    <w:rsid w:val="003B22EF"/>
    <w:rsid w:val="003B242D"/>
    <w:rsid w:val="003B25A7"/>
    <w:rsid w:val="003B2AF6"/>
    <w:rsid w:val="003B2D57"/>
    <w:rsid w:val="003B357B"/>
    <w:rsid w:val="003B3686"/>
    <w:rsid w:val="003B37B8"/>
    <w:rsid w:val="003B39E6"/>
    <w:rsid w:val="003B408A"/>
    <w:rsid w:val="003B423C"/>
    <w:rsid w:val="003B442A"/>
    <w:rsid w:val="003B4610"/>
    <w:rsid w:val="003B4A25"/>
    <w:rsid w:val="003B54EA"/>
    <w:rsid w:val="003B56FC"/>
    <w:rsid w:val="003B5751"/>
    <w:rsid w:val="003B5761"/>
    <w:rsid w:val="003B5B74"/>
    <w:rsid w:val="003B689F"/>
    <w:rsid w:val="003B6FEC"/>
    <w:rsid w:val="003C0008"/>
    <w:rsid w:val="003C0464"/>
    <w:rsid w:val="003C0510"/>
    <w:rsid w:val="003C08A2"/>
    <w:rsid w:val="003C09A0"/>
    <w:rsid w:val="003C0C30"/>
    <w:rsid w:val="003C0C8A"/>
    <w:rsid w:val="003C1514"/>
    <w:rsid w:val="003C1544"/>
    <w:rsid w:val="003C1737"/>
    <w:rsid w:val="003C19F9"/>
    <w:rsid w:val="003C1A53"/>
    <w:rsid w:val="003C1B04"/>
    <w:rsid w:val="003C2045"/>
    <w:rsid w:val="003C2269"/>
    <w:rsid w:val="003C2331"/>
    <w:rsid w:val="003C24F6"/>
    <w:rsid w:val="003C28CD"/>
    <w:rsid w:val="003C3616"/>
    <w:rsid w:val="003C3B04"/>
    <w:rsid w:val="003C3EB9"/>
    <w:rsid w:val="003C43A1"/>
    <w:rsid w:val="003C4A32"/>
    <w:rsid w:val="003C4BAE"/>
    <w:rsid w:val="003C4C73"/>
    <w:rsid w:val="003C4E55"/>
    <w:rsid w:val="003C4FC0"/>
    <w:rsid w:val="003C5225"/>
    <w:rsid w:val="003C551C"/>
    <w:rsid w:val="003C55F4"/>
    <w:rsid w:val="003C606F"/>
    <w:rsid w:val="003C6EBE"/>
    <w:rsid w:val="003C77F9"/>
    <w:rsid w:val="003C7897"/>
    <w:rsid w:val="003C795F"/>
    <w:rsid w:val="003C7A3F"/>
    <w:rsid w:val="003C7CC0"/>
    <w:rsid w:val="003C7E42"/>
    <w:rsid w:val="003C7EBC"/>
    <w:rsid w:val="003D011E"/>
    <w:rsid w:val="003D0194"/>
    <w:rsid w:val="003D09C5"/>
    <w:rsid w:val="003D0B32"/>
    <w:rsid w:val="003D1145"/>
    <w:rsid w:val="003D1FA9"/>
    <w:rsid w:val="003D224D"/>
    <w:rsid w:val="003D252E"/>
    <w:rsid w:val="003D2766"/>
    <w:rsid w:val="003D2A74"/>
    <w:rsid w:val="003D2FB2"/>
    <w:rsid w:val="003D305A"/>
    <w:rsid w:val="003D3D88"/>
    <w:rsid w:val="003D3E8F"/>
    <w:rsid w:val="003D3ED7"/>
    <w:rsid w:val="003D410C"/>
    <w:rsid w:val="003D4886"/>
    <w:rsid w:val="003D4EB6"/>
    <w:rsid w:val="003D5263"/>
    <w:rsid w:val="003D548C"/>
    <w:rsid w:val="003D5BC5"/>
    <w:rsid w:val="003D5CBA"/>
    <w:rsid w:val="003D5E00"/>
    <w:rsid w:val="003D6014"/>
    <w:rsid w:val="003D6475"/>
    <w:rsid w:val="003D64FF"/>
    <w:rsid w:val="003D69A6"/>
    <w:rsid w:val="003D6DBA"/>
    <w:rsid w:val="003D6E5A"/>
    <w:rsid w:val="003D6EE6"/>
    <w:rsid w:val="003D76B4"/>
    <w:rsid w:val="003D78CF"/>
    <w:rsid w:val="003D7F0D"/>
    <w:rsid w:val="003E009D"/>
    <w:rsid w:val="003E01D5"/>
    <w:rsid w:val="003E107B"/>
    <w:rsid w:val="003E13BC"/>
    <w:rsid w:val="003E187A"/>
    <w:rsid w:val="003E1E53"/>
    <w:rsid w:val="003E215F"/>
    <w:rsid w:val="003E2528"/>
    <w:rsid w:val="003E275F"/>
    <w:rsid w:val="003E2807"/>
    <w:rsid w:val="003E2B06"/>
    <w:rsid w:val="003E2BE6"/>
    <w:rsid w:val="003E2ED2"/>
    <w:rsid w:val="003E3069"/>
    <w:rsid w:val="003E375C"/>
    <w:rsid w:val="003E4086"/>
    <w:rsid w:val="003E447D"/>
    <w:rsid w:val="003E469C"/>
    <w:rsid w:val="003E473D"/>
    <w:rsid w:val="003E49B5"/>
    <w:rsid w:val="003E4CAB"/>
    <w:rsid w:val="003E5651"/>
    <w:rsid w:val="003E5DBD"/>
    <w:rsid w:val="003E636F"/>
    <w:rsid w:val="003E639E"/>
    <w:rsid w:val="003E68A6"/>
    <w:rsid w:val="003E71E5"/>
    <w:rsid w:val="003E7467"/>
    <w:rsid w:val="003E790F"/>
    <w:rsid w:val="003F0445"/>
    <w:rsid w:val="003F0659"/>
    <w:rsid w:val="003F0CF0"/>
    <w:rsid w:val="003F0DD2"/>
    <w:rsid w:val="003F0DD9"/>
    <w:rsid w:val="003F1028"/>
    <w:rsid w:val="003F128D"/>
    <w:rsid w:val="003F14B1"/>
    <w:rsid w:val="003F16D6"/>
    <w:rsid w:val="003F175C"/>
    <w:rsid w:val="003F1B98"/>
    <w:rsid w:val="003F1F31"/>
    <w:rsid w:val="003F23C1"/>
    <w:rsid w:val="003F290F"/>
    <w:rsid w:val="003F291E"/>
    <w:rsid w:val="003F2B20"/>
    <w:rsid w:val="003F2D0F"/>
    <w:rsid w:val="003F303E"/>
    <w:rsid w:val="003F3249"/>
    <w:rsid w:val="003F3289"/>
    <w:rsid w:val="003F3AB6"/>
    <w:rsid w:val="003F3C62"/>
    <w:rsid w:val="003F3D35"/>
    <w:rsid w:val="003F3D65"/>
    <w:rsid w:val="003F4183"/>
    <w:rsid w:val="003F4408"/>
    <w:rsid w:val="003F4869"/>
    <w:rsid w:val="003F4E63"/>
    <w:rsid w:val="003F57C6"/>
    <w:rsid w:val="003F5A1A"/>
    <w:rsid w:val="003F5CB9"/>
    <w:rsid w:val="003F5D81"/>
    <w:rsid w:val="003F6786"/>
    <w:rsid w:val="003F6B7C"/>
    <w:rsid w:val="003F6D54"/>
    <w:rsid w:val="003F7643"/>
    <w:rsid w:val="003F7A11"/>
    <w:rsid w:val="003F7DCC"/>
    <w:rsid w:val="003F7DCF"/>
    <w:rsid w:val="0040003F"/>
    <w:rsid w:val="004000DE"/>
    <w:rsid w:val="00400690"/>
    <w:rsid w:val="004012C2"/>
    <w:rsid w:val="0040138F"/>
    <w:rsid w:val="004013BA"/>
    <w:rsid w:val="004013C7"/>
    <w:rsid w:val="00401563"/>
    <w:rsid w:val="00401FCF"/>
    <w:rsid w:val="0040263D"/>
    <w:rsid w:val="00402977"/>
    <w:rsid w:val="00402B4E"/>
    <w:rsid w:val="00402E93"/>
    <w:rsid w:val="00402EDC"/>
    <w:rsid w:val="00402FAE"/>
    <w:rsid w:val="004037F2"/>
    <w:rsid w:val="00403967"/>
    <w:rsid w:val="00403A98"/>
    <w:rsid w:val="00403D25"/>
    <w:rsid w:val="00403FE3"/>
    <w:rsid w:val="0040468B"/>
    <w:rsid w:val="0040485A"/>
    <w:rsid w:val="00404883"/>
    <w:rsid w:val="00404ED2"/>
    <w:rsid w:val="0040501D"/>
    <w:rsid w:val="004056E3"/>
    <w:rsid w:val="004057DB"/>
    <w:rsid w:val="00405EBA"/>
    <w:rsid w:val="0040627A"/>
    <w:rsid w:val="00406285"/>
    <w:rsid w:val="0040668F"/>
    <w:rsid w:val="00406725"/>
    <w:rsid w:val="00406BE3"/>
    <w:rsid w:val="00407DAC"/>
    <w:rsid w:val="0041000F"/>
    <w:rsid w:val="004104AA"/>
    <w:rsid w:val="00410591"/>
    <w:rsid w:val="0041069F"/>
    <w:rsid w:val="00410ACD"/>
    <w:rsid w:val="00410BE8"/>
    <w:rsid w:val="00410E60"/>
    <w:rsid w:val="004115A2"/>
    <w:rsid w:val="00411AEE"/>
    <w:rsid w:val="00411CAF"/>
    <w:rsid w:val="00412418"/>
    <w:rsid w:val="00412518"/>
    <w:rsid w:val="0041269F"/>
    <w:rsid w:val="00412779"/>
    <w:rsid w:val="004127EA"/>
    <w:rsid w:val="004129EF"/>
    <w:rsid w:val="00412F16"/>
    <w:rsid w:val="00412F7A"/>
    <w:rsid w:val="0041338E"/>
    <w:rsid w:val="00413775"/>
    <w:rsid w:val="00413A46"/>
    <w:rsid w:val="00413B91"/>
    <w:rsid w:val="00413EF8"/>
    <w:rsid w:val="00413FBF"/>
    <w:rsid w:val="004140E9"/>
    <w:rsid w:val="00414761"/>
    <w:rsid w:val="00414781"/>
    <w:rsid w:val="004148F9"/>
    <w:rsid w:val="00414902"/>
    <w:rsid w:val="00414961"/>
    <w:rsid w:val="00414BCA"/>
    <w:rsid w:val="00414E1C"/>
    <w:rsid w:val="00415B52"/>
    <w:rsid w:val="00416071"/>
    <w:rsid w:val="004160EA"/>
    <w:rsid w:val="00416521"/>
    <w:rsid w:val="00416607"/>
    <w:rsid w:val="00416A0B"/>
    <w:rsid w:val="00416ADF"/>
    <w:rsid w:val="00416BA1"/>
    <w:rsid w:val="00416E79"/>
    <w:rsid w:val="0041739A"/>
    <w:rsid w:val="00417BF4"/>
    <w:rsid w:val="004200CC"/>
    <w:rsid w:val="0042084E"/>
    <w:rsid w:val="00420EB4"/>
    <w:rsid w:val="00420F75"/>
    <w:rsid w:val="00420FFE"/>
    <w:rsid w:val="0042132A"/>
    <w:rsid w:val="004215C0"/>
    <w:rsid w:val="00421EEF"/>
    <w:rsid w:val="004221DB"/>
    <w:rsid w:val="0042227C"/>
    <w:rsid w:val="00422801"/>
    <w:rsid w:val="00423355"/>
    <w:rsid w:val="00423484"/>
    <w:rsid w:val="00423603"/>
    <w:rsid w:val="004238C2"/>
    <w:rsid w:val="0042392E"/>
    <w:rsid w:val="00423B82"/>
    <w:rsid w:val="00423C6F"/>
    <w:rsid w:val="00423EB6"/>
    <w:rsid w:val="00423EE0"/>
    <w:rsid w:val="004248EA"/>
    <w:rsid w:val="004249F4"/>
    <w:rsid w:val="00424D65"/>
    <w:rsid w:val="00425058"/>
    <w:rsid w:val="0042526D"/>
    <w:rsid w:val="00425280"/>
    <w:rsid w:val="00425321"/>
    <w:rsid w:val="00425667"/>
    <w:rsid w:val="004258C5"/>
    <w:rsid w:val="004258D5"/>
    <w:rsid w:val="00425CDF"/>
    <w:rsid w:val="00426102"/>
    <w:rsid w:val="004265C9"/>
    <w:rsid w:val="0042663A"/>
    <w:rsid w:val="0042688A"/>
    <w:rsid w:val="00426A10"/>
    <w:rsid w:val="00426BB7"/>
    <w:rsid w:val="00426BEF"/>
    <w:rsid w:val="00426C5A"/>
    <w:rsid w:val="00427684"/>
    <w:rsid w:val="0042788C"/>
    <w:rsid w:val="00427C40"/>
    <w:rsid w:val="0043017E"/>
    <w:rsid w:val="0043022D"/>
    <w:rsid w:val="00430393"/>
    <w:rsid w:val="00430587"/>
    <w:rsid w:val="004310D5"/>
    <w:rsid w:val="00431391"/>
    <w:rsid w:val="00431806"/>
    <w:rsid w:val="00431A70"/>
    <w:rsid w:val="00431BD2"/>
    <w:rsid w:val="00431F42"/>
    <w:rsid w:val="00431F93"/>
    <w:rsid w:val="00432676"/>
    <w:rsid w:val="00432952"/>
    <w:rsid w:val="0043298F"/>
    <w:rsid w:val="004331FE"/>
    <w:rsid w:val="00433883"/>
    <w:rsid w:val="004340A8"/>
    <w:rsid w:val="00434466"/>
    <w:rsid w:val="00434684"/>
    <w:rsid w:val="00434B66"/>
    <w:rsid w:val="00434E6A"/>
    <w:rsid w:val="0043535F"/>
    <w:rsid w:val="00435585"/>
    <w:rsid w:val="00435B01"/>
    <w:rsid w:val="00436BBA"/>
    <w:rsid w:val="004375C4"/>
    <w:rsid w:val="00437809"/>
    <w:rsid w:val="004378FF"/>
    <w:rsid w:val="00437C5C"/>
    <w:rsid w:val="00437D64"/>
    <w:rsid w:val="00437F9E"/>
    <w:rsid w:val="00440587"/>
    <w:rsid w:val="004406D5"/>
    <w:rsid w:val="00440923"/>
    <w:rsid w:val="00440E4F"/>
    <w:rsid w:val="004423F6"/>
    <w:rsid w:val="00442A9C"/>
    <w:rsid w:val="00442B0C"/>
    <w:rsid w:val="00442C6C"/>
    <w:rsid w:val="0044345E"/>
    <w:rsid w:val="004435B2"/>
    <w:rsid w:val="00443A73"/>
    <w:rsid w:val="00443CBE"/>
    <w:rsid w:val="00443DE8"/>
    <w:rsid w:val="00443E8A"/>
    <w:rsid w:val="004441BC"/>
    <w:rsid w:val="0044475F"/>
    <w:rsid w:val="00444788"/>
    <w:rsid w:val="004448DB"/>
    <w:rsid w:val="00444E42"/>
    <w:rsid w:val="00444FDD"/>
    <w:rsid w:val="004451F6"/>
    <w:rsid w:val="00445794"/>
    <w:rsid w:val="00445B9A"/>
    <w:rsid w:val="004463E7"/>
    <w:rsid w:val="004465BC"/>
    <w:rsid w:val="004466B4"/>
    <w:rsid w:val="004468B4"/>
    <w:rsid w:val="00446D86"/>
    <w:rsid w:val="004478E3"/>
    <w:rsid w:val="0044794F"/>
    <w:rsid w:val="00447B13"/>
    <w:rsid w:val="00447F71"/>
    <w:rsid w:val="0045028D"/>
    <w:rsid w:val="004507D4"/>
    <w:rsid w:val="004509B4"/>
    <w:rsid w:val="004513B4"/>
    <w:rsid w:val="00451952"/>
    <w:rsid w:val="00451AB7"/>
    <w:rsid w:val="00451B5F"/>
    <w:rsid w:val="0045229C"/>
    <w:rsid w:val="0045230A"/>
    <w:rsid w:val="00452325"/>
    <w:rsid w:val="0045330E"/>
    <w:rsid w:val="004535D4"/>
    <w:rsid w:val="0045380A"/>
    <w:rsid w:val="004538C4"/>
    <w:rsid w:val="00453F6B"/>
    <w:rsid w:val="00454210"/>
    <w:rsid w:val="00454418"/>
    <w:rsid w:val="0045467B"/>
    <w:rsid w:val="004548C8"/>
    <w:rsid w:val="00454AD0"/>
    <w:rsid w:val="00454C13"/>
    <w:rsid w:val="00455062"/>
    <w:rsid w:val="00455091"/>
    <w:rsid w:val="004551B4"/>
    <w:rsid w:val="004556AF"/>
    <w:rsid w:val="004558B6"/>
    <w:rsid w:val="00455B83"/>
    <w:rsid w:val="00455E91"/>
    <w:rsid w:val="00456181"/>
    <w:rsid w:val="0045653C"/>
    <w:rsid w:val="004566AA"/>
    <w:rsid w:val="00456F14"/>
    <w:rsid w:val="00457337"/>
    <w:rsid w:val="004574A5"/>
    <w:rsid w:val="004575B8"/>
    <w:rsid w:val="00457684"/>
    <w:rsid w:val="00457C49"/>
    <w:rsid w:val="00457FAF"/>
    <w:rsid w:val="00460208"/>
    <w:rsid w:val="00460539"/>
    <w:rsid w:val="00460785"/>
    <w:rsid w:val="00460802"/>
    <w:rsid w:val="004613D0"/>
    <w:rsid w:val="004615F6"/>
    <w:rsid w:val="00461C9B"/>
    <w:rsid w:val="00461DB0"/>
    <w:rsid w:val="00461E81"/>
    <w:rsid w:val="00462812"/>
    <w:rsid w:val="00462C51"/>
    <w:rsid w:val="00462E3D"/>
    <w:rsid w:val="004633D2"/>
    <w:rsid w:val="0046347F"/>
    <w:rsid w:val="0046375F"/>
    <w:rsid w:val="00463821"/>
    <w:rsid w:val="00463B8F"/>
    <w:rsid w:val="00463CF6"/>
    <w:rsid w:val="004645A5"/>
    <w:rsid w:val="004647E2"/>
    <w:rsid w:val="00464933"/>
    <w:rsid w:val="004649CC"/>
    <w:rsid w:val="004655AC"/>
    <w:rsid w:val="00465BF2"/>
    <w:rsid w:val="00466123"/>
    <w:rsid w:val="0046628C"/>
    <w:rsid w:val="00466551"/>
    <w:rsid w:val="00466E79"/>
    <w:rsid w:val="00466F20"/>
    <w:rsid w:val="00467064"/>
    <w:rsid w:val="00467499"/>
    <w:rsid w:val="0046757E"/>
    <w:rsid w:val="0046771B"/>
    <w:rsid w:val="004677E4"/>
    <w:rsid w:val="00467CE6"/>
    <w:rsid w:val="00467D27"/>
    <w:rsid w:val="004707C4"/>
    <w:rsid w:val="0047080C"/>
    <w:rsid w:val="00470D24"/>
    <w:rsid w:val="00470D7D"/>
    <w:rsid w:val="0047152D"/>
    <w:rsid w:val="00471D9F"/>
    <w:rsid w:val="00472121"/>
    <w:rsid w:val="004723FC"/>
    <w:rsid w:val="004724AB"/>
    <w:rsid w:val="004725B7"/>
    <w:rsid w:val="004725BD"/>
    <w:rsid w:val="004725D7"/>
    <w:rsid w:val="00472958"/>
    <w:rsid w:val="00472C37"/>
    <w:rsid w:val="00472EB1"/>
    <w:rsid w:val="0047308A"/>
    <w:rsid w:val="0047372D"/>
    <w:rsid w:val="004738DA"/>
    <w:rsid w:val="00473BA3"/>
    <w:rsid w:val="00473D94"/>
    <w:rsid w:val="00473ED9"/>
    <w:rsid w:val="00474374"/>
    <w:rsid w:val="004743DD"/>
    <w:rsid w:val="00474503"/>
    <w:rsid w:val="0047480E"/>
    <w:rsid w:val="00474A3E"/>
    <w:rsid w:val="00474BAB"/>
    <w:rsid w:val="00474CEA"/>
    <w:rsid w:val="00474D30"/>
    <w:rsid w:val="00474DD9"/>
    <w:rsid w:val="00475077"/>
    <w:rsid w:val="004752E5"/>
    <w:rsid w:val="004753FD"/>
    <w:rsid w:val="004759C0"/>
    <w:rsid w:val="00475B24"/>
    <w:rsid w:val="00475CD4"/>
    <w:rsid w:val="00475E7A"/>
    <w:rsid w:val="00475F99"/>
    <w:rsid w:val="0047613F"/>
    <w:rsid w:val="004767F5"/>
    <w:rsid w:val="00476A6D"/>
    <w:rsid w:val="00476DCC"/>
    <w:rsid w:val="004772AD"/>
    <w:rsid w:val="004777D7"/>
    <w:rsid w:val="004779A4"/>
    <w:rsid w:val="00477AB2"/>
    <w:rsid w:val="00477C2F"/>
    <w:rsid w:val="004801AE"/>
    <w:rsid w:val="00480666"/>
    <w:rsid w:val="00480E05"/>
    <w:rsid w:val="0048111E"/>
    <w:rsid w:val="00481A51"/>
    <w:rsid w:val="00481A9C"/>
    <w:rsid w:val="00481BAB"/>
    <w:rsid w:val="0048223F"/>
    <w:rsid w:val="0048235A"/>
    <w:rsid w:val="0048271E"/>
    <w:rsid w:val="0048276C"/>
    <w:rsid w:val="00482AF8"/>
    <w:rsid w:val="00483763"/>
    <w:rsid w:val="00483968"/>
    <w:rsid w:val="00484136"/>
    <w:rsid w:val="004841BE"/>
    <w:rsid w:val="004847DD"/>
    <w:rsid w:val="00484A2D"/>
    <w:rsid w:val="00484C81"/>
    <w:rsid w:val="00484F86"/>
    <w:rsid w:val="00485158"/>
    <w:rsid w:val="00485B1B"/>
    <w:rsid w:val="00485CC9"/>
    <w:rsid w:val="00485EAB"/>
    <w:rsid w:val="0048622C"/>
    <w:rsid w:val="004868A5"/>
    <w:rsid w:val="004868DE"/>
    <w:rsid w:val="0048706E"/>
    <w:rsid w:val="00487536"/>
    <w:rsid w:val="004876A8"/>
    <w:rsid w:val="00487A7D"/>
    <w:rsid w:val="00487F75"/>
    <w:rsid w:val="00490288"/>
    <w:rsid w:val="0049046C"/>
    <w:rsid w:val="004906A4"/>
    <w:rsid w:val="00490746"/>
    <w:rsid w:val="00490798"/>
    <w:rsid w:val="004907D9"/>
    <w:rsid w:val="00490852"/>
    <w:rsid w:val="00490C58"/>
    <w:rsid w:val="00491C9C"/>
    <w:rsid w:val="00491D7A"/>
    <w:rsid w:val="00492557"/>
    <w:rsid w:val="00492AC0"/>
    <w:rsid w:val="00492F11"/>
    <w:rsid w:val="00492F30"/>
    <w:rsid w:val="00493386"/>
    <w:rsid w:val="00493564"/>
    <w:rsid w:val="0049382C"/>
    <w:rsid w:val="00493874"/>
    <w:rsid w:val="00493C2F"/>
    <w:rsid w:val="004944DF"/>
    <w:rsid w:val="004945A8"/>
    <w:rsid w:val="004946F4"/>
    <w:rsid w:val="0049487E"/>
    <w:rsid w:val="00494DBB"/>
    <w:rsid w:val="00494EC6"/>
    <w:rsid w:val="00495116"/>
    <w:rsid w:val="004953C2"/>
    <w:rsid w:val="00496188"/>
    <w:rsid w:val="004962F4"/>
    <w:rsid w:val="00497062"/>
    <w:rsid w:val="00497653"/>
    <w:rsid w:val="004A016C"/>
    <w:rsid w:val="004A01AE"/>
    <w:rsid w:val="004A09AF"/>
    <w:rsid w:val="004A0DF6"/>
    <w:rsid w:val="004A0FD1"/>
    <w:rsid w:val="004A1120"/>
    <w:rsid w:val="004A160D"/>
    <w:rsid w:val="004A1FEF"/>
    <w:rsid w:val="004A216F"/>
    <w:rsid w:val="004A21E5"/>
    <w:rsid w:val="004A25BD"/>
    <w:rsid w:val="004A276D"/>
    <w:rsid w:val="004A2AC9"/>
    <w:rsid w:val="004A315C"/>
    <w:rsid w:val="004A3776"/>
    <w:rsid w:val="004A3E7B"/>
    <w:rsid w:val="004A3E81"/>
    <w:rsid w:val="004A4195"/>
    <w:rsid w:val="004A43AD"/>
    <w:rsid w:val="004A4F20"/>
    <w:rsid w:val="004A5436"/>
    <w:rsid w:val="004A5C62"/>
    <w:rsid w:val="004A5CE5"/>
    <w:rsid w:val="004A6299"/>
    <w:rsid w:val="004A66E7"/>
    <w:rsid w:val="004A6785"/>
    <w:rsid w:val="004A6B13"/>
    <w:rsid w:val="004A6C67"/>
    <w:rsid w:val="004A6D92"/>
    <w:rsid w:val="004A6F71"/>
    <w:rsid w:val="004A707D"/>
    <w:rsid w:val="004A725D"/>
    <w:rsid w:val="004A730D"/>
    <w:rsid w:val="004A77E5"/>
    <w:rsid w:val="004A7EDC"/>
    <w:rsid w:val="004B0111"/>
    <w:rsid w:val="004B057D"/>
    <w:rsid w:val="004B06EE"/>
    <w:rsid w:val="004B0974"/>
    <w:rsid w:val="004B1083"/>
    <w:rsid w:val="004B12E2"/>
    <w:rsid w:val="004B135C"/>
    <w:rsid w:val="004B1394"/>
    <w:rsid w:val="004B15A2"/>
    <w:rsid w:val="004B18F8"/>
    <w:rsid w:val="004B221B"/>
    <w:rsid w:val="004B23BB"/>
    <w:rsid w:val="004B244B"/>
    <w:rsid w:val="004B24EA"/>
    <w:rsid w:val="004B2B20"/>
    <w:rsid w:val="004B2F93"/>
    <w:rsid w:val="004B33A0"/>
    <w:rsid w:val="004B35A5"/>
    <w:rsid w:val="004B35AF"/>
    <w:rsid w:val="004B4185"/>
    <w:rsid w:val="004B44E1"/>
    <w:rsid w:val="004B47AC"/>
    <w:rsid w:val="004B4B4B"/>
    <w:rsid w:val="004B5184"/>
    <w:rsid w:val="004B584D"/>
    <w:rsid w:val="004B589A"/>
    <w:rsid w:val="004B59FC"/>
    <w:rsid w:val="004B5AB8"/>
    <w:rsid w:val="004B62BC"/>
    <w:rsid w:val="004B67D4"/>
    <w:rsid w:val="004B6B51"/>
    <w:rsid w:val="004B7092"/>
    <w:rsid w:val="004B7A1D"/>
    <w:rsid w:val="004B7B82"/>
    <w:rsid w:val="004C00F1"/>
    <w:rsid w:val="004C014B"/>
    <w:rsid w:val="004C034D"/>
    <w:rsid w:val="004C03C2"/>
    <w:rsid w:val="004C05E4"/>
    <w:rsid w:val="004C0916"/>
    <w:rsid w:val="004C0B26"/>
    <w:rsid w:val="004C0ECE"/>
    <w:rsid w:val="004C1559"/>
    <w:rsid w:val="004C16D1"/>
    <w:rsid w:val="004C1821"/>
    <w:rsid w:val="004C1E47"/>
    <w:rsid w:val="004C20E2"/>
    <w:rsid w:val="004C2377"/>
    <w:rsid w:val="004C2984"/>
    <w:rsid w:val="004C2FC0"/>
    <w:rsid w:val="004C3AB6"/>
    <w:rsid w:val="004C435F"/>
    <w:rsid w:val="004C449B"/>
    <w:rsid w:val="004C4578"/>
    <w:rsid w:val="004C458A"/>
    <w:rsid w:val="004C4FEF"/>
    <w:rsid w:val="004C5100"/>
    <w:rsid w:val="004C5541"/>
    <w:rsid w:val="004C55D6"/>
    <w:rsid w:val="004C5672"/>
    <w:rsid w:val="004C584E"/>
    <w:rsid w:val="004C632E"/>
    <w:rsid w:val="004C6BD4"/>
    <w:rsid w:val="004C6C6A"/>
    <w:rsid w:val="004C6EEE"/>
    <w:rsid w:val="004C702B"/>
    <w:rsid w:val="004C76E8"/>
    <w:rsid w:val="004C77F9"/>
    <w:rsid w:val="004C798E"/>
    <w:rsid w:val="004C7EF0"/>
    <w:rsid w:val="004D0033"/>
    <w:rsid w:val="004D016B"/>
    <w:rsid w:val="004D01FA"/>
    <w:rsid w:val="004D087B"/>
    <w:rsid w:val="004D1078"/>
    <w:rsid w:val="004D1717"/>
    <w:rsid w:val="004D1A51"/>
    <w:rsid w:val="004D1B22"/>
    <w:rsid w:val="004D23CC"/>
    <w:rsid w:val="004D2542"/>
    <w:rsid w:val="004D257A"/>
    <w:rsid w:val="004D276A"/>
    <w:rsid w:val="004D286D"/>
    <w:rsid w:val="004D2F3C"/>
    <w:rsid w:val="004D2F69"/>
    <w:rsid w:val="004D31C7"/>
    <w:rsid w:val="004D35B0"/>
    <w:rsid w:val="004D36F2"/>
    <w:rsid w:val="004D3ADB"/>
    <w:rsid w:val="004D43B5"/>
    <w:rsid w:val="004D4927"/>
    <w:rsid w:val="004D4A82"/>
    <w:rsid w:val="004D5159"/>
    <w:rsid w:val="004D51AA"/>
    <w:rsid w:val="004D5356"/>
    <w:rsid w:val="004D5421"/>
    <w:rsid w:val="004D557C"/>
    <w:rsid w:val="004D571C"/>
    <w:rsid w:val="004D5867"/>
    <w:rsid w:val="004D5F1A"/>
    <w:rsid w:val="004D602D"/>
    <w:rsid w:val="004D619D"/>
    <w:rsid w:val="004D652A"/>
    <w:rsid w:val="004D6634"/>
    <w:rsid w:val="004D6982"/>
    <w:rsid w:val="004D6F67"/>
    <w:rsid w:val="004D711A"/>
    <w:rsid w:val="004D77BD"/>
    <w:rsid w:val="004D7D94"/>
    <w:rsid w:val="004E013F"/>
    <w:rsid w:val="004E0BEF"/>
    <w:rsid w:val="004E0E95"/>
    <w:rsid w:val="004E0F7F"/>
    <w:rsid w:val="004E1079"/>
    <w:rsid w:val="004E1106"/>
    <w:rsid w:val="004E117F"/>
    <w:rsid w:val="004E138F"/>
    <w:rsid w:val="004E1FD6"/>
    <w:rsid w:val="004E2122"/>
    <w:rsid w:val="004E2487"/>
    <w:rsid w:val="004E293D"/>
    <w:rsid w:val="004E2F24"/>
    <w:rsid w:val="004E2F4B"/>
    <w:rsid w:val="004E2FDF"/>
    <w:rsid w:val="004E2FE8"/>
    <w:rsid w:val="004E34EE"/>
    <w:rsid w:val="004E360B"/>
    <w:rsid w:val="004E3EC2"/>
    <w:rsid w:val="004E3F69"/>
    <w:rsid w:val="004E4636"/>
    <w:rsid w:val="004E4649"/>
    <w:rsid w:val="004E48B1"/>
    <w:rsid w:val="004E4ACC"/>
    <w:rsid w:val="004E4BC8"/>
    <w:rsid w:val="004E5069"/>
    <w:rsid w:val="004E52FF"/>
    <w:rsid w:val="004E5A7B"/>
    <w:rsid w:val="004E5C2B"/>
    <w:rsid w:val="004E5D30"/>
    <w:rsid w:val="004E5FC5"/>
    <w:rsid w:val="004E65FA"/>
    <w:rsid w:val="004E6779"/>
    <w:rsid w:val="004E6A0E"/>
    <w:rsid w:val="004E6C67"/>
    <w:rsid w:val="004E7767"/>
    <w:rsid w:val="004E7D08"/>
    <w:rsid w:val="004F00DD"/>
    <w:rsid w:val="004F054F"/>
    <w:rsid w:val="004F09A7"/>
    <w:rsid w:val="004F0AE8"/>
    <w:rsid w:val="004F110E"/>
    <w:rsid w:val="004F1485"/>
    <w:rsid w:val="004F14A4"/>
    <w:rsid w:val="004F1C20"/>
    <w:rsid w:val="004F1D58"/>
    <w:rsid w:val="004F2133"/>
    <w:rsid w:val="004F257F"/>
    <w:rsid w:val="004F266E"/>
    <w:rsid w:val="004F29FC"/>
    <w:rsid w:val="004F406D"/>
    <w:rsid w:val="004F42CC"/>
    <w:rsid w:val="004F43E7"/>
    <w:rsid w:val="004F480B"/>
    <w:rsid w:val="004F5398"/>
    <w:rsid w:val="004F55F1"/>
    <w:rsid w:val="004F60BA"/>
    <w:rsid w:val="004F6643"/>
    <w:rsid w:val="004F6936"/>
    <w:rsid w:val="004F6D20"/>
    <w:rsid w:val="004F6E1E"/>
    <w:rsid w:val="004F6EFE"/>
    <w:rsid w:val="004F71F8"/>
    <w:rsid w:val="004F7228"/>
    <w:rsid w:val="004F748C"/>
    <w:rsid w:val="005009BD"/>
    <w:rsid w:val="00500C51"/>
    <w:rsid w:val="00500E04"/>
    <w:rsid w:val="00501233"/>
    <w:rsid w:val="00501479"/>
    <w:rsid w:val="005016C4"/>
    <w:rsid w:val="00501729"/>
    <w:rsid w:val="00501CBE"/>
    <w:rsid w:val="0050248A"/>
    <w:rsid w:val="0050251F"/>
    <w:rsid w:val="005025AE"/>
    <w:rsid w:val="005027B8"/>
    <w:rsid w:val="00502BB4"/>
    <w:rsid w:val="0050314A"/>
    <w:rsid w:val="0050348E"/>
    <w:rsid w:val="00503520"/>
    <w:rsid w:val="005039EB"/>
    <w:rsid w:val="00503DC6"/>
    <w:rsid w:val="0050454A"/>
    <w:rsid w:val="0050465D"/>
    <w:rsid w:val="0050488C"/>
    <w:rsid w:val="00504E7B"/>
    <w:rsid w:val="00505085"/>
    <w:rsid w:val="005050A0"/>
    <w:rsid w:val="0050514F"/>
    <w:rsid w:val="0050534D"/>
    <w:rsid w:val="0050558E"/>
    <w:rsid w:val="00505629"/>
    <w:rsid w:val="00506853"/>
    <w:rsid w:val="005069AE"/>
    <w:rsid w:val="00506A9C"/>
    <w:rsid w:val="00506C37"/>
    <w:rsid w:val="00506DF1"/>
    <w:rsid w:val="00506F5D"/>
    <w:rsid w:val="005070A5"/>
    <w:rsid w:val="0050722D"/>
    <w:rsid w:val="00507593"/>
    <w:rsid w:val="0050792A"/>
    <w:rsid w:val="00507A48"/>
    <w:rsid w:val="00510132"/>
    <w:rsid w:val="0051016C"/>
    <w:rsid w:val="005101AF"/>
    <w:rsid w:val="00510749"/>
    <w:rsid w:val="00510878"/>
    <w:rsid w:val="00510994"/>
    <w:rsid w:val="00510C37"/>
    <w:rsid w:val="00511AC4"/>
    <w:rsid w:val="00511C90"/>
    <w:rsid w:val="00511D24"/>
    <w:rsid w:val="005126D0"/>
    <w:rsid w:val="00512714"/>
    <w:rsid w:val="00512802"/>
    <w:rsid w:val="00512C99"/>
    <w:rsid w:val="0051378F"/>
    <w:rsid w:val="005137FC"/>
    <w:rsid w:val="0051398E"/>
    <w:rsid w:val="00513AC0"/>
    <w:rsid w:val="00513B89"/>
    <w:rsid w:val="00514317"/>
    <w:rsid w:val="00514667"/>
    <w:rsid w:val="005148CA"/>
    <w:rsid w:val="00514A04"/>
    <w:rsid w:val="00514BE2"/>
    <w:rsid w:val="00514E0B"/>
    <w:rsid w:val="00515019"/>
    <w:rsid w:val="005151B2"/>
    <w:rsid w:val="005154B3"/>
    <w:rsid w:val="0051568D"/>
    <w:rsid w:val="00516165"/>
    <w:rsid w:val="00516237"/>
    <w:rsid w:val="005177EB"/>
    <w:rsid w:val="00517867"/>
    <w:rsid w:val="00517D27"/>
    <w:rsid w:val="00517D4D"/>
    <w:rsid w:val="00517E5B"/>
    <w:rsid w:val="00517EF1"/>
    <w:rsid w:val="00520C8D"/>
    <w:rsid w:val="005212CA"/>
    <w:rsid w:val="00521903"/>
    <w:rsid w:val="00521D33"/>
    <w:rsid w:val="00522010"/>
    <w:rsid w:val="005225EA"/>
    <w:rsid w:val="0052263D"/>
    <w:rsid w:val="00522933"/>
    <w:rsid w:val="005229A2"/>
    <w:rsid w:val="0052326C"/>
    <w:rsid w:val="00523455"/>
    <w:rsid w:val="005239D1"/>
    <w:rsid w:val="00523D16"/>
    <w:rsid w:val="005249A1"/>
    <w:rsid w:val="00524AFB"/>
    <w:rsid w:val="00524F89"/>
    <w:rsid w:val="0052528F"/>
    <w:rsid w:val="00525319"/>
    <w:rsid w:val="00525E5C"/>
    <w:rsid w:val="00526201"/>
    <w:rsid w:val="00526259"/>
    <w:rsid w:val="00526307"/>
    <w:rsid w:val="005263DA"/>
    <w:rsid w:val="00526411"/>
    <w:rsid w:val="005268D5"/>
    <w:rsid w:val="00526AC7"/>
    <w:rsid w:val="00526C15"/>
    <w:rsid w:val="00527A8B"/>
    <w:rsid w:val="00530C3C"/>
    <w:rsid w:val="00530D97"/>
    <w:rsid w:val="00531936"/>
    <w:rsid w:val="00531A54"/>
    <w:rsid w:val="0053222D"/>
    <w:rsid w:val="0053227C"/>
    <w:rsid w:val="00532324"/>
    <w:rsid w:val="005323D6"/>
    <w:rsid w:val="00532466"/>
    <w:rsid w:val="00532746"/>
    <w:rsid w:val="00533100"/>
    <w:rsid w:val="00533208"/>
    <w:rsid w:val="0053417C"/>
    <w:rsid w:val="00534C76"/>
    <w:rsid w:val="00534CD7"/>
    <w:rsid w:val="00534D65"/>
    <w:rsid w:val="00534D77"/>
    <w:rsid w:val="00534F5F"/>
    <w:rsid w:val="005353F6"/>
    <w:rsid w:val="005355E9"/>
    <w:rsid w:val="00535F6C"/>
    <w:rsid w:val="00536499"/>
    <w:rsid w:val="00536743"/>
    <w:rsid w:val="005377EB"/>
    <w:rsid w:val="005377EF"/>
    <w:rsid w:val="0054026F"/>
    <w:rsid w:val="00540738"/>
    <w:rsid w:val="005407DF"/>
    <w:rsid w:val="005411A6"/>
    <w:rsid w:val="0054160F"/>
    <w:rsid w:val="00541B81"/>
    <w:rsid w:val="00541C3E"/>
    <w:rsid w:val="0054252D"/>
    <w:rsid w:val="00542A03"/>
    <w:rsid w:val="00543265"/>
    <w:rsid w:val="005434EB"/>
    <w:rsid w:val="00543903"/>
    <w:rsid w:val="00543B07"/>
    <w:rsid w:val="00543BCC"/>
    <w:rsid w:val="00543F11"/>
    <w:rsid w:val="0054436E"/>
    <w:rsid w:val="00544494"/>
    <w:rsid w:val="00544D54"/>
    <w:rsid w:val="0054585D"/>
    <w:rsid w:val="00546305"/>
    <w:rsid w:val="00546347"/>
    <w:rsid w:val="00546A0B"/>
    <w:rsid w:val="00546DAA"/>
    <w:rsid w:val="005477A1"/>
    <w:rsid w:val="0054795D"/>
    <w:rsid w:val="00547A95"/>
    <w:rsid w:val="00547B5E"/>
    <w:rsid w:val="00547ED7"/>
    <w:rsid w:val="00547FC6"/>
    <w:rsid w:val="00550312"/>
    <w:rsid w:val="00550D5C"/>
    <w:rsid w:val="0055119B"/>
    <w:rsid w:val="00551355"/>
    <w:rsid w:val="00551B15"/>
    <w:rsid w:val="00551E45"/>
    <w:rsid w:val="00551FE3"/>
    <w:rsid w:val="0055228F"/>
    <w:rsid w:val="00552E16"/>
    <w:rsid w:val="00552E53"/>
    <w:rsid w:val="00552F92"/>
    <w:rsid w:val="005531C2"/>
    <w:rsid w:val="00553275"/>
    <w:rsid w:val="005533AA"/>
    <w:rsid w:val="00553909"/>
    <w:rsid w:val="00553B82"/>
    <w:rsid w:val="00553BF0"/>
    <w:rsid w:val="0055412E"/>
    <w:rsid w:val="005542A7"/>
    <w:rsid w:val="00554350"/>
    <w:rsid w:val="00554696"/>
    <w:rsid w:val="00554DD2"/>
    <w:rsid w:val="00554FB6"/>
    <w:rsid w:val="0055532C"/>
    <w:rsid w:val="0055561E"/>
    <w:rsid w:val="00555D3B"/>
    <w:rsid w:val="00555F87"/>
    <w:rsid w:val="005561D3"/>
    <w:rsid w:val="00556950"/>
    <w:rsid w:val="005569AE"/>
    <w:rsid w:val="00556A85"/>
    <w:rsid w:val="00556DD8"/>
    <w:rsid w:val="00556DF4"/>
    <w:rsid w:val="00557770"/>
    <w:rsid w:val="0055792A"/>
    <w:rsid w:val="00557C11"/>
    <w:rsid w:val="00557E35"/>
    <w:rsid w:val="0056040E"/>
    <w:rsid w:val="00560BDE"/>
    <w:rsid w:val="00560F64"/>
    <w:rsid w:val="00561088"/>
    <w:rsid w:val="00561202"/>
    <w:rsid w:val="005612DD"/>
    <w:rsid w:val="005617C3"/>
    <w:rsid w:val="00562507"/>
    <w:rsid w:val="005626ED"/>
    <w:rsid w:val="005627BF"/>
    <w:rsid w:val="00562811"/>
    <w:rsid w:val="00562BCD"/>
    <w:rsid w:val="00562C10"/>
    <w:rsid w:val="00562CFE"/>
    <w:rsid w:val="00562F24"/>
    <w:rsid w:val="00562FA5"/>
    <w:rsid w:val="005632EE"/>
    <w:rsid w:val="005635BB"/>
    <w:rsid w:val="00563C4C"/>
    <w:rsid w:val="005640AF"/>
    <w:rsid w:val="005641D2"/>
    <w:rsid w:val="0056425F"/>
    <w:rsid w:val="005644A6"/>
    <w:rsid w:val="0056464E"/>
    <w:rsid w:val="00564E29"/>
    <w:rsid w:val="00564FF1"/>
    <w:rsid w:val="00565080"/>
    <w:rsid w:val="0056528E"/>
    <w:rsid w:val="005654BA"/>
    <w:rsid w:val="005658E7"/>
    <w:rsid w:val="00565F7F"/>
    <w:rsid w:val="005666BC"/>
    <w:rsid w:val="00566B8E"/>
    <w:rsid w:val="00567A8A"/>
    <w:rsid w:val="005706F4"/>
    <w:rsid w:val="00570BB4"/>
    <w:rsid w:val="00571177"/>
    <w:rsid w:val="00571834"/>
    <w:rsid w:val="00571C39"/>
    <w:rsid w:val="00572031"/>
    <w:rsid w:val="00572282"/>
    <w:rsid w:val="0057301A"/>
    <w:rsid w:val="0057316E"/>
    <w:rsid w:val="00573376"/>
    <w:rsid w:val="00573A30"/>
    <w:rsid w:val="00573C2C"/>
    <w:rsid w:val="00573CE3"/>
    <w:rsid w:val="00573E09"/>
    <w:rsid w:val="00574287"/>
    <w:rsid w:val="0057492D"/>
    <w:rsid w:val="00574ACF"/>
    <w:rsid w:val="00574CE1"/>
    <w:rsid w:val="00574E79"/>
    <w:rsid w:val="005751D3"/>
    <w:rsid w:val="005759CC"/>
    <w:rsid w:val="00575AD1"/>
    <w:rsid w:val="00576556"/>
    <w:rsid w:val="005768C0"/>
    <w:rsid w:val="0057691C"/>
    <w:rsid w:val="00576E84"/>
    <w:rsid w:val="00577575"/>
    <w:rsid w:val="00577A40"/>
    <w:rsid w:val="00577C3E"/>
    <w:rsid w:val="00577C44"/>
    <w:rsid w:val="00577CB7"/>
    <w:rsid w:val="00580394"/>
    <w:rsid w:val="0058099D"/>
    <w:rsid w:val="005809CD"/>
    <w:rsid w:val="005809EF"/>
    <w:rsid w:val="00580B24"/>
    <w:rsid w:val="00580B60"/>
    <w:rsid w:val="00580C15"/>
    <w:rsid w:val="00580D14"/>
    <w:rsid w:val="00580D59"/>
    <w:rsid w:val="00580E33"/>
    <w:rsid w:val="00580F1E"/>
    <w:rsid w:val="00581A32"/>
    <w:rsid w:val="005822C3"/>
    <w:rsid w:val="00582484"/>
    <w:rsid w:val="00582993"/>
    <w:rsid w:val="00582B8C"/>
    <w:rsid w:val="00582F09"/>
    <w:rsid w:val="005831E5"/>
    <w:rsid w:val="0058331C"/>
    <w:rsid w:val="00583475"/>
    <w:rsid w:val="005837A2"/>
    <w:rsid w:val="0058394A"/>
    <w:rsid w:val="00583A92"/>
    <w:rsid w:val="00583D95"/>
    <w:rsid w:val="0058462F"/>
    <w:rsid w:val="005848C2"/>
    <w:rsid w:val="00584927"/>
    <w:rsid w:val="00584A58"/>
    <w:rsid w:val="00584E2A"/>
    <w:rsid w:val="00584E3A"/>
    <w:rsid w:val="00585377"/>
    <w:rsid w:val="00585472"/>
    <w:rsid w:val="00585849"/>
    <w:rsid w:val="00585B2F"/>
    <w:rsid w:val="00585D72"/>
    <w:rsid w:val="005860BF"/>
    <w:rsid w:val="00586490"/>
    <w:rsid w:val="00586B0A"/>
    <w:rsid w:val="0058757E"/>
    <w:rsid w:val="005876BA"/>
    <w:rsid w:val="005878F0"/>
    <w:rsid w:val="0059028B"/>
    <w:rsid w:val="005902EF"/>
    <w:rsid w:val="0059072D"/>
    <w:rsid w:val="0059090E"/>
    <w:rsid w:val="0059092F"/>
    <w:rsid w:val="00590E32"/>
    <w:rsid w:val="0059126A"/>
    <w:rsid w:val="00591336"/>
    <w:rsid w:val="00591583"/>
    <w:rsid w:val="00591BCD"/>
    <w:rsid w:val="0059225E"/>
    <w:rsid w:val="00592410"/>
    <w:rsid w:val="00592933"/>
    <w:rsid w:val="00593385"/>
    <w:rsid w:val="00593578"/>
    <w:rsid w:val="005936AF"/>
    <w:rsid w:val="005936C1"/>
    <w:rsid w:val="00593818"/>
    <w:rsid w:val="0059395A"/>
    <w:rsid w:val="00594180"/>
    <w:rsid w:val="00594302"/>
    <w:rsid w:val="00594309"/>
    <w:rsid w:val="0059432B"/>
    <w:rsid w:val="00594883"/>
    <w:rsid w:val="005948EC"/>
    <w:rsid w:val="00594B71"/>
    <w:rsid w:val="00594DCE"/>
    <w:rsid w:val="0059507D"/>
    <w:rsid w:val="005953B5"/>
    <w:rsid w:val="005955C1"/>
    <w:rsid w:val="00595C2A"/>
    <w:rsid w:val="00596A4B"/>
    <w:rsid w:val="00596CC9"/>
    <w:rsid w:val="00597175"/>
    <w:rsid w:val="005973DB"/>
    <w:rsid w:val="00597507"/>
    <w:rsid w:val="0059765F"/>
    <w:rsid w:val="005978A8"/>
    <w:rsid w:val="005A002A"/>
    <w:rsid w:val="005A0233"/>
    <w:rsid w:val="005A0583"/>
    <w:rsid w:val="005A058F"/>
    <w:rsid w:val="005A0B7E"/>
    <w:rsid w:val="005A0DCE"/>
    <w:rsid w:val="005A11AF"/>
    <w:rsid w:val="005A1345"/>
    <w:rsid w:val="005A1425"/>
    <w:rsid w:val="005A1496"/>
    <w:rsid w:val="005A1739"/>
    <w:rsid w:val="005A1B08"/>
    <w:rsid w:val="005A1D33"/>
    <w:rsid w:val="005A2088"/>
    <w:rsid w:val="005A22C6"/>
    <w:rsid w:val="005A281D"/>
    <w:rsid w:val="005A2B7B"/>
    <w:rsid w:val="005A2DAA"/>
    <w:rsid w:val="005A3727"/>
    <w:rsid w:val="005A3799"/>
    <w:rsid w:val="005A4500"/>
    <w:rsid w:val="005A45E3"/>
    <w:rsid w:val="005A479D"/>
    <w:rsid w:val="005A48EC"/>
    <w:rsid w:val="005A4AD4"/>
    <w:rsid w:val="005A4BB7"/>
    <w:rsid w:val="005A4CBF"/>
    <w:rsid w:val="005A4FBF"/>
    <w:rsid w:val="005A5395"/>
    <w:rsid w:val="005A5C2A"/>
    <w:rsid w:val="005A644E"/>
    <w:rsid w:val="005A68A1"/>
    <w:rsid w:val="005A6968"/>
    <w:rsid w:val="005A6D4B"/>
    <w:rsid w:val="005A6FC6"/>
    <w:rsid w:val="005A715E"/>
    <w:rsid w:val="005A729B"/>
    <w:rsid w:val="005A75E4"/>
    <w:rsid w:val="005A7998"/>
    <w:rsid w:val="005A79E7"/>
    <w:rsid w:val="005A7B8C"/>
    <w:rsid w:val="005A7D13"/>
    <w:rsid w:val="005B0126"/>
    <w:rsid w:val="005B0323"/>
    <w:rsid w:val="005B04C7"/>
    <w:rsid w:val="005B06BC"/>
    <w:rsid w:val="005B0A0D"/>
    <w:rsid w:val="005B0A32"/>
    <w:rsid w:val="005B0B3E"/>
    <w:rsid w:val="005B14BA"/>
    <w:rsid w:val="005B1681"/>
    <w:rsid w:val="005B19FF"/>
    <w:rsid w:val="005B1AD2"/>
    <w:rsid w:val="005B1B9A"/>
    <w:rsid w:val="005B1C6D"/>
    <w:rsid w:val="005B1FCC"/>
    <w:rsid w:val="005B21B6"/>
    <w:rsid w:val="005B2C14"/>
    <w:rsid w:val="005B321D"/>
    <w:rsid w:val="005B3244"/>
    <w:rsid w:val="005B3A08"/>
    <w:rsid w:val="005B3A97"/>
    <w:rsid w:val="005B426C"/>
    <w:rsid w:val="005B4352"/>
    <w:rsid w:val="005B4772"/>
    <w:rsid w:val="005B4DE0"/>
    <w:rsid w:val="005B5851"/>
    <w:rsid w:val="005B61A2"/>
    <w:rsid w:val="005B65E3"/>
    <w:rsid w:val="005B68EC"/>
    <w:rsid w:val="005B6AB9"/>
    <w:rsid w:val="005B6B30"/>
    <w:rsid w:val="005B6B84"/>
    <w:rsid w:val="005B6BE9"/>
    <w:rsid w:val="005B74BB"/>
    <w:rsid w:val="005B76CC"/>
    <w:rsid w:val="005B7A63"/>
    <w:rsid w:val="005C0025"/>
    <w:rsid w:val="005C0495"/>
    <w:rsid w:val="005C0708"/>
    <w:rsid w:val="005C0955"/>
    <w:rsid w:val="005C1277"/>
    <w:rsid w:val="005C137F"/>
    <w:rsid w:val="005C175B"/>
    <w:rsid w:val="005C19E3"/>
    <w:rsid w:val="005C1B0E"/>
    <w:rsid w:val="005C1E40"/>
    <w:rsid w:val="005C25AC"/>
    <w:rsid w:val="005C270A"/>
    <w:rsid w:val="005C27FF"/>
    <w:rsid w:val="005C287D"/>
    <w:rsid w:val="005C2E00"/>
    <w:rsid w:val="005C2ECC"/>
    <w:rsid w:val="005C31BC"/>
    <w:rsid w:val="005C32E3"/>
    <w:rsid w:val="005C3D07"/>
    <w:rsid w:val="005C3D9F"/>
    <w:rsid w:val="005C4056"/>
    <w:rsid w:val="005C40C9"/>
    <w:rsid w:val="005C45D6"/>
    <w:rsid w:val="005C48B7"/>
    <w:rsid w:val="005C49DA"/>
    <w:rsid w:val="005C49E9"/>
    <w:rsid w:val="005C4E47"/>
    <w:rsid w:val="005C50F3"/>
    <w:rsid w:val="005C533C"/>
    <w:rsid w:val="005C54B5"/>
    <w:rsid w:val="005C54F8"/>
    <w:rsid w:val="005C554C"/>
    <w:rsid w:val="005C5A3E"/>
    <w:rsid w:val="005C5D80"/>
    <w:rsid w:val="005C5D91"/>
    <w:rsid w:val="005C5DB9"/>
    <w:rsid w:val="005C5E0F"/>
    <w:rsid w:val="005C6C02"/>
    <w:rsid w:val="005C6DDE"/>
    <w:rsid w:val="005C72F6"/>
    <w:rsid w:val="005C774B"/>
    <w:rsid w:val="005C78BA"/>
    <w:rsid w:val="005C7FD2"/>
    <w:rsid w:val="005D07B8"/>
    <w:rsid w:val="005D0FDE"/>
    <w:rsid w:val="005D12AA"/>
    <w:rsid w:val="005D13F3"/>
    <w:rsid w:val="005D1667"/>
    <w:rsid w:val="005D25CB"/>
    <w:rsid w:val="005D26E5"/>
    <w:rsid w:val="005D28D5"/>
    <w:rsid w:val="005D2A8C"/>
    <w:rsid w:val="005D2BCA"/>
    <w:rsid w:val="005D2CD4"/>
    <w:rsid w:val="005D39CD"/>
    <w:rsid w:val="005D3A30"/>
    <w:rsid w:val="005D3CF3"/>
    <w:rsid w:val="005D405D"/>
    <w:rsid w:val="005D48A9"/>
    <w:rsid w:val="005D4C94"/>
    <w:rsid w:val="005D503A"/>
    <w:rsid w:val="005D53FA"/>
    <w:rsid w:val="005D576E"/>
    <w:rsid w:val="005D5820"/>
    <w:rsid w:val="005D60B2"/>
    <w:rsid w:val="005D61CA"/>
    <w:rsid w:val="005D61FA"/>
    <w:rsid w:val="005D6555"/>
    <w:rsid w:val="005D6597"/>
    <w:rsid w:val="005D665C"/>
    <w:rsid w:val="005D6662"/>
    <w:rsid w:val="005D7163"/>
    <w:rsid w:val="005D74CD"/>
    <w:rsid w:val="005D7C67"/>
    <w:rsid w:val="005E0513"/>
    <w:rsid w:val="005E077C"/>
    <w:rsid w:val="005E0801"/>
    <w:rsid w:val="005E0BE8"/>
    <w:rsid w:val="005E0C17"/>
    <w:rsid w:val="005E117C"/>
    <w:rsid w:val="005E12BA"/>
    <w:rsid w:val="005E1381"/>
    <w:rsid w:val="005E14E7"/>
    <w:rsid w:val="005E15FB"/>
    <w:rsid w:val="005E1D62"/>
    <w:rsid w:val="005E1DA9"/>
    <w:rsid w:val="005E26A3"/>
    <w:rsid w:val="005E2BB1"/>
    <w:rsid w:val="005E2C05"/>
    <w:rsid w:val="005E2DA1"/>
    <w:rsid w:val="005E2ECB"/>
    <w:rsid w:val="005E2F2D"/>
    <w:rsid w:val="005E324D"/>
    <w:rsid w:val="005E3A48"/>
    <w:rsid w:val="005E3EAA"/>
    <w:rsid w:val="005E447E"/>
    <w:rsid w:val="005E4981"/>
    <w:rsid w:val="005E4D96"/>
    <w:rsid w:val="005E4F96"/>
    <w:rsid w:val="005E4FD1"/>
    <w:rsid w:val="005E5675"/>
    <w:rsid w:val="005E58EE"/>
    <w:rsid w:val="005E5B6E"/>
    <w:rsid w:val="005E62D0"/>
    <w:rsid w:val="005E65FF"/>
    <w:rsid w:val="005E66BB"/>
    <w:rsid w:val="005E726B"/>
    <w:rsid w:val="005E743F"/>
    <w:rsid w:val="005E789C"/>
    <w:rsid w:val="005E7AD3"/>
    <w:rsid w:val="005E7C64"/>
    <w:rsid w:val="005E7FDC"/>
    <w:rsid w:val="005F05D0"/>
    <w:rsid w:val="005F0775"/>
    <w:rsid w:val="005F07A4"/>
    <w:rsid w:val="005F0CF5"/>
    <w:rsid w:val="005F0DA8"/>
    <w:rsid w:val="005F0E06"/>
    <w:rsid w:val="005F1046"/>
    <w:rsid w:val="005F11DF"/>
    <w:rsid w:val="005F1875"/>
    <w:rsid w:val="005F1958"/>
    <w:rsid w:val="005F1BA7"/>
    <w:rsid w:val="005F1D8E"/>
    <w:rsid w:val="005F21EB"/>
    <w:rsid w:val="005F253F"/>
    <w:rsid w:val="005F2791"/>
    <w:rsid w:val="005F29E3"/>
    <w:rsid w:val="005F30F0"/>
    <w:rsid w:val="005F3A95"/>
    <w:rsid w:val="005F3C63"/>
    <w:rsid w:val="005F4322"/>
    <w:rsid w:val="005F432D"/>
    <w:rsid w:val="005F4700"/>
    <w:rsid w:val="005F4721"/>
    <w:rsid w:val="005F4B83"/>
    <w:rsid w:val="005F50E7"/>
    <w:rsid w:val="005F55D9"/>
    <w:rsid w:val="005F64CF"/>
    <w:rsid w:val="005F6669"/>
    <w:rsid w:val="005F695F"/>
    <w:rsid w:val="005F69E7"/>
    <w:rsid w:val="005F6C7C"/>
    <w:rsid w:val="005F6E9D"/>
    <w:rsid w:val="005F72CC"/>
    <w:rsid w:val="005F7455"/>
    <w:rsid w:val="005F76DB"/>
    <w:rsid w:val="005F79B9"/>
    <w:rsid w:val="005F7A09"/>
    <w:rsid w:val="005F7B54"/>
    <w:rsid w:val="005F7FE9"/>
    <w:rsid w:val="00600172"/>
    <w:rsid w:val="0060026F"/>
    <w:rsid w:val="0060073A"/>
    <w:rsid w:val="00600D46"/>
    <w:rsid w:val="00601696"/>
    <w:rsid w:val="00601704"/>
    <w:rsid w:val="00601BE3"/>
    <w:rsid w:val="0060235E"/>
    <w:rsid w:val="006023A2"/>
    <w:rsid w:val="00602765"/>
    <w:rsid w:val="00602F54"/>
    <w:rsid w:val="00602F5D"/>
    <w:rsid w:val="006035F7"/>
    <w:rsid w:val="0060382F"/>
    <w:rsid w:val="00603A7F"/>
    <w:rsid w:val="006041AD"/>
    <w:rsid w:val="00604832"/>
    <w:rsid w:val="00605046"/>
    <w:rsid w:val="00605297"/>
    <w:rsid w:val="006052C4"/>
    <w:rsid w:val="0060557D"/>
    <w:rsid w:val="006055D0"/>
    <w:rsid w:val="0060586E"/>
    <w:rsid w:val="00605908"/>
    <w:rsid w:val="00605C2E"/>
    <w:rsid w:val="00605E0D"/>
    <w:rsid w:val="0060602F"/>
    <w:rsid w:val="006064BD"/>
    <w:rsid w:val="006065C6"/>
    <w:rsid w:val="00607297"/>
    <w:rsid w:val="00607850"/>
    <w:rsid w:val="00607EF7"/>
    <w:rsid w:val="00607F1D"/>
    <w:rsid w:val="006102DC"/>
    <w:rsid w:val="00610A6F"/>
    <w:rsid w:val="00610D7C"/>
    <w:rsid w:val="00610DDF"/>
    <w:rsid w:val="00611072"/>
    <w:rsid w:val="00611141"/>
    <w:rsid w:val="00611700"/>
    <w:rsid w:val="00611B6D"/>
    <w:rsid w:val="00611DAF"/>
    <w:rsid w:val="0061291A"/>
    <w:rsid w:val="006130C3"/>
    <w:rsid w:val="00613414"/>
    <w:rsid w:val="00613724"/>
    <w:rsid w:val="0061373A"/>
    <w:rsid w:val="006138BD"/>
    <w:rsid w:val="00613AE5"/>
    <w:rsid w:val="00613B62"/>
    <w:rsid w:val="00613C72"/>
    <w:rsid w:val="00613DBD"/>
    <w:rsid w:val="00613DE1"/>
    <w:rsid w:val="006143EB"/>
    <w:rsid w:val="0061478A"/>
    <w:rsid w:val="00615522"/>
    <w:rsid w:val="00615715"/>
    <w:rsid w:val="00615952"/>
    <w:rsid w:val="00615B2E"/>
    <w:rsid w:val="00615DDB"/>
    <w:rsid w:val="00615F40"/>
    <w:rsid w:val="00616179"/>
    <w:rsid w:val="006167FD"/>
    <w:rsid w:val="00616A31"/>
    <w:rsid w:val="00616C2F"/>
    <w:rsid w:val="00616F72"/>
    <w:rsid w:val="006173C1"/>
    <w:rsid w:val="0061759D"/>
    <w:rsid w:val="00617A6D"/>
    <w:rsid w:val="00617C50"/>
    <w:rsid w:val="00620154"/>
    <w:rsid w:val="00620251"/>
    <w:rsid w:val="0062069F"/>
    <w:rsid w:val="00620B98"/>
    <w:rsid w:val="00620CCC"/>
    <w:rsid w:val="00620E07"/>
    <w:rsid w:val="00621185"/>
    <w:rsid w:val="0062123F"/>
    <w:rsid w:val="006212B5"/>
    <w:rsid w:val="006213FA"/>
    <w:rsid w:val="006214F9"/>
    <w:rsid w:val="0062191E"/>
    <w:rsid w:val="00621C51"/>
    <w:rsid w:val="00621EA1"/>
    <w:rsid w:val="006227EF"/>
    <w:rsid w:val="006235EB"/>
    <w:rsid w:val="0062366E"/>
    <w:rsid w:val="00623735"/>
    <w:rsid w:val="0062387D"/>
    <w:rsid w:val="00623B91"/>
    <w:rsid w:val="0062408D"/>
    <w:rsid w:val="006240CC"/>
    <w:rsid w:val="006241EA"/>
    <w:rsid w:val="006243EE"/>
    <w:rsid w:val="00624940"/>
    <w:rsid w:val="00624B0F"/>
    <w:rsid w:val="00624BB1"/>
    <w:rsid w:val="00624EBE"/>
    <w:rsid w:val="00624EF5"/>
    <w:rsid w:val="00624F7E"/>
    <w:rsid w:val="006254F8"/>
    <w:rsid w:val="00625C75"/>
    <w:rsid w:val="00625E4F"/>
    <w:rsid w:val="0062651B"/>
    <w:rsid w:val="00626570"/>
    <w:rsid w:val="00626D3C"/>
    <w:rsid w:val="006271E5"/>
    <w:rsid w:val="00627DA7"/>
    <w:rsid w:val="006300F5"/>
    <w:rsid w:val="00630385"/>
    <w:rsid w:val="00630862"/>
    <w:rsid w:val="00630C88"/>
    <w:rsid w:val="00630DA4"/>
    <w:rsid w:val="00630EAF"/>
    <w:rsid w:val="00631186"/>
    <w:rsid w:val="00631214"/>
    <w:rsid w:val="0063147B"/>
    <w:rsid w:val="006317C0"/>
    <w:rsid w:val="006318EA"/>
    <w:rsid w:val="00631A5B"/>
    <w:rsid w:val="00631AE8"/>
    <w:rsid w:val="00631CD4"/>
    <w:rsid w:val="00631F25"/>
    <w:rsid w:val="006321FD"/>
    <w:rsid w:val="00632597"/>
    <w:rsid w:val="006328A5"/>
    <w:rsid w:val="00632FF5"/>
    <w:rsid w:val="006331B6"/>
    <w:rsid w:val="006332F5"/>
    <w:rsid w:val="00633561"/>
    <w:rsid w:val="00633A0C"/>
    <w:rsid w:val="00633FDC"/>
    <w:rsid w:val="0063416F"/>
    <w:rsid w:val="0063475C"/>
    <w:rsid w:val="006347AE"/>
    <w:rsid w:val="00634C2E"/>
    <w:rsid w:val="00634C42"/>
    <w:rsid w:val="00634D13"/>
    <w:rsid w:val="00634F03"/>
    <w:rsid w:val="006357A3"/>
    <w:rsid w:val="006358B4"/>
    <w:rsid w:val="00635B70"/>
    <w:rsid w:val="0063627B"/>
    <w:rsid w:val="006366FF"/>
    <w:rsid w:val="006368A8"/>
    <w:rsid w:val="00636BC7"/>
    <w:rsid w:val="00636F2C"/>
    <w:rsid w:val="00637823"/>
    <w:rsid w:val="00637DF9"/>
    <w:rsid w:val="006404B4"/>
    <w:rsid w:val="006407F8"/>
    <w:rsid w:val="00640C9A"/>
    <w:rsid w:val="00640EE3"/>
    <w:rsid w:val="00640F71"/>
    <w:rsid w:val="00640FAA"/>
    <w:rsid w:val="00641500"/>
    <w:rsid w:val="00641545"/>
    <w:rsid w:val="00641724"/>
    <w:rsid w:val="006419AA"/>
    <w:rsid w:val="00642BD4"/>
    <w:rsid w:val="00642C62"/>
    <w:rsid w:val="0064331C"/>
    <w:rsid w:val="00643503"/>
    <w:rsid w:val="00643DAB"/>
    <w:rsid w:val="00644402"/>
    <w:rsid w:val="0064498B"/>
    <w:rsid w:val="00644B1F"/>
    <w:rsid w:val="00644B7E"/>
    <w:rsid w:val="006454E6"/>
    <w:rsid w:val="00645AC9"/>
    <w:rsid w:val="00646235"/>
    <w:rsid w:val="00646399"/>
    <w:rsid w:val="00646918"/>
    <w:rsid w:val="00646A68"/>
    <w:rsid w:val="006479DA"/>
    <w:rsid w:val="0065051E"/>
    <w:rsid w:val="006505BD"/>
    <w:rsid w:val="00650866"/>
    <w:rsid w:val="006508EA"/>
    <w:rsid w:val="0065092E"/>
    <w:rsid w:val="0065116C"/>
    <w:rsid w:val="006515A0"/>
    <w:rsid w:val="00651691"/>
    <w:rsid w:val="0065172A"/>
    <w:rsid w:val="00651843"/>
    <w:rsid w:val="006518B9"/>
    <w:rsid w:val="00651989"/>
    <w:rsid w:val="00651AE4"/>
    <w:rsid w:val="00651D2C"/>
    <w:rsid w:val="00651D66"/>
    <w:rsid w:val="00651F52"/>
    <w:rsid w:val="006521E5"/>
    <w:rsid w:val="00652778"/>
    <w:rsid w:val="0065288C"/>
    <w:rsid w:val="00652C2F"/>
    <w:rsid w:val="00653003"/>
    <w:rsid w:val="00653264"/>
    <w:rsid w:val="006532EB"/>
    <w:rsid w:val="006537DD"/>
    <w:rsid w:val="0065383F"/>
    <w:rsid w:val="00653E98"/>
    <w:rsid w:val="00653F07"/>
    <w:rsid w:val="00653FA0"/>
    <w:rsid w:val="00654318"/>
    <w:rsid w:val="00654581"/>
    <w:rsid w:val="00654BDE"/>
    <w:rsid w:val="00654EEF"/>
    <w:rsid w:val="00654F42"/>
    <w:rsid w:val="006551CA"/>
    <w:rsid w:val="00655576"/>
    <w:rsid w:val="006557A7"/>
    <w:rsid w:val="00655E62"/>
    <w:rsid w:val="0065613F"/>
    <w:rsid w:val="00656290"/>
    <w:rsid w:val="00656E66"/>
    <w:rsid w:val="0065751F"/>
    <w:rsid w:val="00657BEF"/>
    <w:rsid w:val="00657C27"/>
    <w:rsid w:val="00657F1F"/>
    <w:rsid w:val="006601C9"/>
    <w:rsid w:val="00660598"/>
    <w:rsid w:val="006605DE"/>
    <w:rsid w:val="006608D8"/>
    <w:rsid w:val="00660AE5"/>
    <w:rsid w:val="00660B79"/>
    <w:rsid w:val="00660C62"/>
    <w:rsid w:val="00660CC5"/>
    <w:rsid w:val="00660E74"/>
    <w:rsid w:val="006610FA"/>
    <w:rsid w:val="0066153E"/>
    <w:rsid w:val="00661C7D"/>
    <w:rsid w:val="00661D11"/>
    <w:rsid w:val="00661E05"/>
    <w:rsid w:val="00662176"/>
    <w:rsid w:val="006621D7"/>
    <w:rsid w:val="00662A42"/>
    <w:rsid w:val="0066302A"/>
    <w:rsid w:val="006630D8"/>
    <w:rsid w:val="00663BCF"/>
    <w:rsid w:val="00663ED9"/>
    <w:rsid w:val="006643ED"/>
    <w:rsid w:val="00664E2C"/>
    <w:rsid w:val="006650EE"/>
    <w:rsid w:val="0066511F"/>
    <w:rsid w:val="0066518B"/>
    <w:rsid w:val="00665818"/>
    <w:rsid w:val="00665A17"/>
    <w:rsid w:val="00665BFC"/>
    <w:rsid w:val="00665C4E"/>
    <w:rsid w:val="00665C91"/>
    <w:rsid w:val="006660AE"/>
    <w:rsid w:val="0066663F"/>
    <w:rsid w:val="006667BA"/>
    <w:rsid w:val="00666873"/>
    <w:rsid w:val="00666AF0"/>
    <w:rsid w:val="00667770"/>
    <w:rsid w:val="0066778F"/>
    <w:rsid w:val="0066792D"/>
    <w:rsid w:val="00667977"/>
    <w:rsid w:val="00667A78"/>
    <w:rsid w:val="00667EC6"/>
    <w:rsid w:val="00667FF0"/>
    <w:rsid w:val="006703A3"/>
    <w:rsid w:val="00670597"/>
    <w:rsid w:val="006706D0"/>
    <w:rsid w:val="00670701"/>
    <w:rsid w:val="0067076A"/>
    <w:rsid w:val="006709FA"/>
    <w:rsid w:val="00671280"/>
    <w:rsid w:val="006714A7"/>
    <w:rsid w:val="0067164E"/>
    <w:rsid w:val="006719AA"/>
    <w:rsid w:val="00671DD7"/>
    <w:rsid w:val="00671F27"/>
    <w:rsid w:val="00672641"/>
    <w:rsid w:val="0067298A"/>
    <w:rsid w:val="006729A0"/>
    <w:rsid w:val="00672D8A"/>
    <w:rsid w:val="00673332"/>
    <w:rsid w:val="0067366B"/>
    <w:rsid w:val="00673757"/>
    <w:rsid w:val="006737B8"/>
    <w:rsid w:val="00673E73"/>
    <w:rsid w:val="006747EB"/>
    <w:rsid w:val="00674941"/>
    <w:rsid w:val="00674FA6"/>
    <w:rsid w:val="00675625"/>
    <w:rsid w:val="00675E49"/>
    <w:rsid w:val="00675FED"/>
    <w:rsid w:val="00676659"/>
    <w:rsid w:val="006768D6"/>
    <w:rsid w:val="00677430"/>
    <w:rsid w:val="00677563"/>
    <w:rsid w:val="00677574"/>
    <w:rsid w:val="00677E3D"/>
    <w:rsid w:val="0068029B"/>
    <w:rsid w:val="0068049B"/>
    <w:rsid w:val="0068073F"/>
    <w:rsid w:val="00680938"/>
    <w:rsid w:val="00680946"/>
    <w:rsid w:val="0068117C"/>
    <w:rsid w:val="006812ED"/>
    <w:rsid w:val="00682645"/>
    <w:rsid w:val="006827E6"/>
    <w:rsid w:val="00682ED4"/>
    <w:rsid w:val="006831C1"/>
    <w:rsid w:val="00683878"/>
    <w:rsid w:val="0068398C"/>
    <w:rsid w:val="00684380"/>
    <w:rsid w:val="0068454C"/>
    <w:rsid w:val="0068481E"/>
    <w:rsid w:val="00684DAB"/>
    <w:rsid w:val="00685218"/>
    <w:rsid w:val="006853E5"/>
    <w:rsid w:val="00685ECA"/>
    <w:rsid w:val="00685F91"/>
    <w:rsid w:val="006862C8"/>
    <w:rsid w:val="00686C03"/>
    <w:rsid w:val="00686CC5"/>
    <w:rsid w:val="006875FA"/>
    <w:rsid w:val="006877F9"/>
    <w:rsid w:val="00687925"/>
    <w:rsid w:val="0068798B"/>
    <w:rsid w:val="00687998"/>
    <w:rsid w:val="00687B2F"/>
    <w:rsid w:val="00687E38"/>
    <w:rsid w:val="00687F2F"/>
    <w:rsid w:val="00687F44"/>
    <w:rsid w:val="006900F9"/>
    <w:rsid w:val="006904C2"/>
    <w:rsid w:val="0069115B"/>
    <w:rsid w:val="00691167"/>
    <w:rsid w:val="00691319"/>
    <w:rsid w:val="006913DF"/>
    <w:rsid w:val="00691B62"/>
    <w:rsid w:val="00691E28"/>
    <w:rsid w:val="00691FC9"/>
    <w:rsid w:val="006920DD"/>
    <w:rsid w:val="00692142"/>
    <w:rsid w:val="0069265F"/>
    <w:rsid w:val="006926D9"/>
    <w:rsid w:val="00692890"/>
    <w:rsid w:val="00692D81"/>
    <w:rsid w:val="00692F57"/>
    <w:rsid w:val="00692F88"/>
    <w:rsid w:val="006933B5"/>
    <w:rsid w:val="00693546"/>
    <w:rsid w:val="00693715"/>
    <w:rsid w:val="00693924"/>
    <w:rsid w:val="00693C47"/>
    <w:rsid w:val="00693D14"/>
    <w:rsid w:val="0069408A"/>
    <w:rsid w:val="00694607"/>
    <w:rsid w:val="006948E8"/>
    <w:rsid w:val="00694B72"/>
    <w:rsid w:val="0069563C"/>
    <w:rsid w:val="00695AC7"/>
    <w:rsid w:val="00695ACA"/>
    <w:rsid w:val="00695DC9"/>
    <w:rsid w:val="0069636E"/>
    <w:rsid w:val="006963C8"/>
    <w:rsid w:val="0069649A"/>
    <w:rsid w:val="0069655D"/>
    <w:rsid w:val="00696572"/>
    <w:rsid w:val="00696788"/>
    <w:rsid w:val="00696836"/>
    <w:rsid w:val="00696CA2"/>
    <w:rsid w:val="00696D7E"/>
    <w:rsid w:val="00696F27"/>
    <w:rsid w:val="00696FC5"/>
    <w:rsid w:val="0069725A"/>
    <w:rsid w:val="00697344"/>
    <w:rsid w:val="00697A6F"/>
    <w:rsid w:val="00697B12"/>
    <w:rsid w:val="00697DF6"/>
    <w:rsid w:val="006A00FE"/>
    <w:rsid w:val="006A040E"/>
    <w:rsid w:val="006A0436"/>
    <w:rsid w:val="006A096F"/>
    <w:rsid w:val="006A0A57"/>
    <w:rsid w:val="006A0CC6"/>
    <w:rsid w:val="006A0E6A"/>
    <w:rsid w:val="006A0F19"/>
    <w:rsid w:val="006A12FC"/>
    <w:rsid w:val="006A184D"/>
    <w:rsid w:val="006A18C2"/>
    <w:rsid w:val="006A1922"/>
    <w:rsid w:val="006A1A05"/>
    <w:rsid w:val="006A1BE9"/>
    <w:rsid w:val="006A1DCC"/>
    <w:rsid w:val="006A1F90"/>
    <w:rsid w:val="006A21FC"/>
    <w:rsid w:val="006A2500"/>
    <w:rsid w:val="006A2717"/>
    <w:rsid w:val="006A2B3D"/>
    <w:rsid w:val="006A2E07"/>
    <w:rsid w:val="006A3383"/>
    <w:rsid w:val="006A3629"/>
    <w:rsid w:val="006A4375"/>
    <w:rsid w:val="006A499D"/>
    <w:rsid w:val="006A4ADC"/>
    <w:rsid w:val="006A504B"/>
    <w:rsid w:val="006A56A6"/>
    <w:rsid w:val="006A60FF"/>
    <w:rsid w:val="006A62CD"/>
    <w:rsid w:val="006A634D"/>
    <w:rsid w:val="006A63AE"/>
    <w:rsid w:val="006A65B6"/>
    <w:rsid w:val="006A6925"/>
    <w:rsid w:val="006A6C4E"/>
    <w:rsid w:val="006A724E"/>
    <w:rsid w:val="006A7FDE"/>
    <w:rsid w:val="006B017B"/>
    <w:rsid w:val="006B037B"/>
    <w:rsid w:val="006B077C"/>
    <w:rsid w:val="006B08CC"/>
    <w:rsid w:val="006B092C"/>
    <w:rsid w:val="006B0BEC"/>
    <w:rsid w:val="006B0C1B"/>
    <w:rsid w:val="006B0C81"/>
    <w:rsid w:val="006B0F84"/>
    <w:rsid w:val="006B10DE"/>
    <w:rsid w:val="006B1E6F"/>
    <w:rsid w:val="006B2225"/>
    <w:rsid w:val="006B2303"/>
    <w:rsid w:val="006B2675"/>
    <w:rsid w:val="006B3560"/>
    <w:rsid w:val="006B3FB6"/>
    <w:rsid w:val="006B4A39"/>
    <w:rsid w:val="006B4E84"/>
    <w:rsid w:val="006B4F03"/>
    <w:rsid w:val="006B50A6"/>
    <w:rsid w:val="006B55EE"/>
    <w:rsid w:val="006B5648"/>
    <w:rsid w:val="006B5917"/>
    <w:rsid w:val="006B5AA0"/>
    <w:rsid w:val="006B5FA8"/>
    <w:rsid w:val="006B62E8"/>
    <w:rsid w:val="006B6803"/>
    <w:rsid w:val="006B6E69"/>
    <w:rsid w:val="006B719F"/>
    <w:rsid w:val="006B7260"/>
    <w:rsid w:val="006B73C8"/>
    <w:rsid w:val="006B7512"/>
    <w:rsid w:val="006B7A10"/>
    <w:rsid w:val="006B7A7A"/>
    <w:rsid w:val="006B7DE6"/>
    <w:rsid w:val="006C041D"/>
    <w:rsid w:val="006C08AC"/>
    <w:rsid w:val="006C0EF5"/>
    <w:rsid w:val="006C13B2"/>
    <w:rsid w:val="006C1ACE"/>
    <w:rsid w:val="006C234E"/>
    <w:rsid w:val="006C25A5"/>
    <w:rsid w:val="006C268A"/>
    <w:rsid w:val="006C27FB"/>
    <w:rsid w:val="006C2AAA"/>
    <w:rsid w:val="006C2CBA"/>
    <w:rsid w:val="006C2E7E"/>
    <w:rsid w:val="006C3550"/>
    <w:rsid w:val="006C372C"/>
    <w:rsid w:val="006C3B35"/>
    <w:rsid w:val="006C3B38"/>
    <w:rsid w:val="006C3E49"/>
    <w:rsid w:val="006C4383"/>
    <w:rsid w:val="006C47C3"/>
    <w:rsid w:val="006C4A18"/>
    <w:rsid w:val="006C4C91"/>
    <w:rsid w:val="006C5BBC"/>
    <w:rsid w:val="006C5D5E"/>
    <w:rsid w:val="006C61EB"/>
    <w:rsid w:val="006C656D"/>
    <w:rsid w:val="006C65D0"/>
    <w:rsid w:val="006C77F5"/>
    <w:rsid w:val="006D000C"/>
    <w:rsid w:val="006D0451"/>
    <w:rsid w:val="006D05D4"/>
    <w:rsid w:val="006D07B2"/>
    <w:rsid w:val="006D0ED4"/>
    <w:rsid w:val="006D0F16"/>
    <w:rsid w:val="006D1EE3"/>
    <w:rsid w:val="006D242A"/>
    <w:rsid w:val="006D2450"/>
    <w:rsid w:val="006D246C"/>
    <w:rsid w:val="006D293E"/>
    <w:rsid w:val="006D2A06"/>
    <w:rsid w:val="006D2A3F"/>
    <w:rsid w:val="006D2AF6"/>
    <w:rsid w:val="006D2B54"/>
    <w:rsid w:val="006D2CAB"/>
    <w:rsid w:val="006D2EFA"/>
    <w:rsid w:val="006D2FBC"/>
    <w:rsid w:val="006D3EF9"/>
    <w:rsid w:val="006D40C5"/>
    <w:rsid w:val="006D41BF"/>
    <w:rsid w:val="006D4C0C"/>
    <w:rsid w:val="006D4C51"/>
    <w:rsid w:val="006D4D9D"/>
    <w:rsid w:val="006D5332"/>
    <w:rsid w:val="006D53B0"/>
    <w:rsid w:val="006D54D3"/>
    <w:rsid w:val="006D588C"/>
    <w:rsid w:val="006D58A8"/>
    <w:rsid w:val="006D61F8"/>
    <w:rsid w:val="006D697B"/>
    <w:rsid w:val="006D6E34"/>
    <w:rsid w:val="006D7571"/>
    <w:rsid w:val="006D75EA"/>
    <w:rsid w:val="006D77D2"/>
    <w:rsid w:val="006D79EA"/>
    <w:rsid w:val="006E020D"/>
    <w:rsid w:val="006E06DF"/>
    <w:rsid w:val="006E0B13"/>
    <w:rsid w:val="006E138B"/>
    <w:rsid w:val="006E1524"/>
    <w:rsid w:val="006E1867"/>
    <w:rsid w:val="006E1D39"/>
    <w:rsid w:val="006E2C08"/>
    <w:rsid w:val="006E2F1C"/>
    <w:rsid w:val="006E34C9"/>
    <w:rsid w:val="006E3D6B"/>
    <w:rsid w:val="006E3E5A"/>
    <w:rsid w:val="006E3EEA"/>
    <w:rsid w:val="006E3F61"/>
    <w:rsid w:val="006E3F76"/>
    <w:rsid w:val="006E4012"/>
    <w:rsid w:val="006E4028"/>
    <w:rsid w:val="006E41C2"/>
    <w:rsid w:val="006E41ED"/>
    <w:rsid w:val="006E4B31"/>
    <w:rsid w:val="006E4F06"/>
    <w:rsid w:val="006E51BF"/>
    <w:rsid w:val="006E53AA"/>
    <w:rsid w:val="006E5571"/>
    <w:rsid w:val="006E5F35"/>
    <w:rsid w:val="006E622E"/>
    <w:rsid w:val="006E63BC"/>
    <w:rsid w:val="006E6B4E"/>
    <w:rsid w:val="006E6EEC"/>
    <w:rsid w:val="006E73B6"/>
    <w:rsid w:val="006E74DE"/>
    <w:rsid w:val="006E770F"/>
    <w:rsid w:val="006E798B"/>
    <w:rsid w:val="006E7D51"/>
    <w:rsid w:val="006E7D92"/>
    <w:rsid w:val="006E7E6E"/>
    <w:rsid w:val="006E7F31"/>
    <w:rsid w:val="006F0330"/>
    <w:rsid w:val="006F0F38"/>
    <w:rsid w:val="006F1088"/>
    <w:rsid w:val="006F1369"/>
    <w:rsid w:val="006F1470"/>
    <w:rsid w:val="006F1589"/>
    <w:rsid w:val="006F1906"/>
    <w:rsid w:val="006F1FDC"/>
    <w:rsid w:val="006F250A"/>
    <w:rsid w:val="006F2530"/>
    <w:rsid w:val="006F2DC8"/>
    <w:rsid w:val="006F2E80"/>
    <w:rsid w:val="006F2F80"/>
    <w:rsid w:val="006F357D"/>
    <w:rsid w:val="006F36AC"/>
    <w:rsid w:val="006F3803"/>
    <w:rsid w:val="006F3A4A"/>
    <w:rsid w:val="006F3D86"/>
    <w:rsid w:val="006F3DD1"/>
    <w:rsid w:val="006F46CB"/>
    <w:rsid w:val="006F47CA"/>
    <w:rsid w:val="006F4B05"/>
    <w:rsid w:val="006F521E"/>
    <w:rsid w:val="006F54BA"/>
    <w:rsid w:val="006F601E"/>
    <w:rsid w:val="006F6309"/>
    <w:rsid w:val="006F6464"/>
    <w:rsid w:val="006F6862"/>
    <w:rsid w:val="006F693B"/>
    <w:rsid w:val="006F6AA9"/>
    <w:rsid w:val="006F6B76"/>
    <w:rsid w:val="006F6B8C"/>
    <w:rsid w:val="006F7004"/>
    <w:rsid w:val="006F7631"/>
    <w:rsid w:val="006F79BC"/>
    <w:rsid w:val="006F79DE"/>
    <w:rsid w:val="006F79F4"/>
    <w:rsid w:val="006F7A62"/>
    <w:rsid w:val="006F7BBB"/>
    <w:rsid w:val="006F7F5A"/>
    <w:rsid w:val="006F7F5B"/>
    <w:rsid w:val="00700211"/>
    <w:rsid w:val="007006EB"/>
    <w:rsid w:val="00700D6F"/>
    <w:rsid w:val="007010C7"/>
    <w:rsid w:val="007013EF"/>
    <w:rsid w:val="00701442"/>
    <w:rsid w:val="00701642"/>
    <w:rsid w:val="00701B1C"/>
    <w:rsid w:val="00701E08"/>
    <w:rsid w:val="0070204F"/>
    <w:rsid w:val="00702184"/>
    <w:rsid w:val="007021DA"/>
    <w:rsid w:val="007022F9"/>
    <w:rsid w:val="00702450"/>
    <w:rsid w:val="0070287F"/>
    <w:rsid w:val="007036B2"/>
    <w:rsid w:val="007037BF"/>
    <w:rsid w:val="00703A15"/>
    <w:rsid w:val="00703B5C"/>
    <w:rsid w:val="0070411C"/>
    <w:rsid w:val="007044F6"/>
    <w:rsid w:val="00704FA3"/>
    <w:rsid w:val="007051E6"/>
    <w:rsid w:val="007055BD"/>
    <w:rsid w:val="00705712"/>
    <w:rsid w:val="00705AAC"/>
    <w:rsid w:val="00705B48"/>
    <w:rsid w:val="00705BD2"/>
    <w:rsid w:val="00705C64"/>
    <w:rsid w:val="00705D2E"/>
    <w:rsid w:val="007067E2"/>
    <w:rsid w:val="00706B48"/>
    <w:rsid w:val="0070788E"/>
    <w:rsid w:val="0071005C"/>
    <w:rsid w:val="007102C2"/>
    <w:rsid w:val="00710516"/>
    <w:rsid w:val="00710C07"/>
    <w:rsid w:val="00711520"/>
    <w:rsid w:val="007115B0"/>
    <w:rsid w:val="00711781"/>
    <w:rsid w:val="007120C4"/>
    <w:rsid w:val="007122CD"/>
    <w:rsid w:val="007123F5"/>
    <w:rsid w:val="0071377D"/>
    <w:rsid w:val="00713AAB"/>
    <w:rsid w:val="00713D1A"/>
    <w:rsid w:val="00713D20"/>
    <w:rsid w:val="00713D9B"/>
    <w:rsid w:val="00713DF6"/>
    <w:rsid w:val="00713F78"/>
    <w:rsid w:val="007142E8"/>
    <w:rsid w:val="0071462B"/>
    <w:rsid w:val="00714AD6"/>
    <w:rsid w:val="00714D22"/>
    <w:rsid w:val="00714D7C"/>
    <w:rsid w:val="00715016"/>
    <w:rsid w:val="00715242"/>
    <w:rsid w:val="0071555E"/>
    <w:rsid w:val="007155DC"/>
    <w:rsid w:val="00715BD0"/>
    <w:rsid w:val="00715E3E"/>
    <w:rsid w:val="00716054"/>
    <w:rsid w:val="007160D7"/>
    <w:rsid w:val="007165AF"/>
    <w:rsid w:val="007166B0"/>
    <w:rsid w:val="00716B58"/>
    <w:rsid w:val="007172BE"/>
    <w:rsid w:val="007173CA"/>
    <w:rsid w:val="0071757E"/>
    <w:rsid w:val="00717773"/>
    <w:rsid w:val="00717D0D"/>
    <w:rsid w:val="00717D50"/>
    <w:rsid w:val="00717DA2"/>
    <w:rsid w:val="0072004C"/>
    <w:rsid w:val="007204DB"/>
    <w:rsid w:val="00720A4C"/>
    <w:rsid w:val="0072129A"/>
    <w:rsid w:val="007216AA"/>
    <w:rsid w:val="00721AB5"/>
    <w:rsid w:val="00721CFB"/>
    <w:rsid w:val="00721D67"/>
    <w:rsid w:val="00721DEF"/>
    <w:rsid w:val="00722232"/>
    <w:rsid w:val="007229C8"/>
    <w:rsid w:val="007229CA"/>
    <w:rsid w:val="00722D87"/>
    <w:rsid w:val="007234A9"/>
    <w:rsid w:val="00724112"/>
    <w:rsid w:val="00724543"/>
    <w:rsid w:val="0072461F"/>
    <w:rsid w:val="0072483E"/>
    <w:rsid w:val="007248D9"/>
    <w:rsid w:val="00724959"/>
    <w:rsid w:val="00724A43"/>
    <w:rsid w:val="00724ED4"/>
    <w:rsid w:val="007252C8"/>
    <w:rsid w:val="0072530D"/>
    <w:rsid w:val="0072543D"/>
    <w:rsid w:val="007260AF"/>
    <w:rsid w:val="007261A8"/>
    <w:rsid w:val="0072628E"/>
    <w:rsid w:val="0072656A"/>
    <w:rsid w:val="00726704"/>
    <w:rsid w:val="00726EF5"/>
    <w:rsid w:val="007273AC"/>
    <w:rsid w:val="00727652"/>
    <w:rsid w:val="00730262"/>
    <w:rsid w:val="007308C5"/>
    <w:rsid w:val="007309F7"/>
    <w:rsid w:val="00730C4F"/>
    <w:rsid w:val="0073114A"/>
    <w:rsid w:val="00731194"/>
    <w:rsid w:val="00731586"/>
    <w:rsid w:val="00731734"/>
    <w:rsid w:val="00731AD4"/>
    <w:rsid w:val="00731BA0"/>
    <w:rsid w:val="00731BAB"/>
    <w:rsid w:val="00731C2C"/>
    <w:rsid w:val="00731FEC"/>
    <w:rsid w:val="00732616"/>
    <w:rsid w:val="00732ED1"/>
    <w:rsid w:val="00732F37"/>
    <w:rsid w:val="00732F4B"/>
    <w:rsid w:val="007335A6"/>
    <w:rsid w:val="007337B9"/>
    <w:rsid w:val="0073464A"/>
    <w:rsid w:val="007346E4"/>
    <w:rsid w:val="00734C3E"/>
    <w:rsid w:val="00734D49"/>
    <w:rsid w:val="00734E7B"/>
    <w:rsid w:val="0073508C"/>
    <w:rsid w:val="007354E2"/>
    <w:rsid w:val="00735564"/>
    <w:rsid w:val="00735888"/>
    <w:rsid w:val="0073597B"/>
    <w:rsid w:val="00735BAF"/>
    <w:rsid w:val="007364F8"/>
    <w:rsid w:val="007367FF"/>
    <w:rsid w:val="007368F4"/>
    <w:rsid w:val="00737159"/>
    <w:rsid w:val="007377CF"/>
    <w:rsid w:val="00737BB9"/>
    <w:rsid w:val="007400E5"/>
    <w:rsid w:val="007404AA"/>
    <w:rsid w:val="0074079D"/>
    <w:rsid w:val="00740E6C"/>
    <w:rsid w:val="00740F22"/>
    <w:rsid w:val="007410A8"/>
    <w:rsid w:val="007411AB"/>
    <w:rsid w:val="00741501"/>
    <w:rsid w:val="00741568"/>
    <w:rsid w:val="0074190E"/>
    <w:rsid w:val="00741CF0"/>
    <w:rsid w:val="00741F1A"/>
    <w:rsid w:val="00742DB3"/>
    <w:rsid w:val="00743771"/>
    <w:rsid w:val="007439D2"/>
    <w:rsid w:val="00743C97"/>
    <w:rsid w:val="00743F4A"/>
    <w:rsid w:val="007447DA"/>
    <w:rsid w:val="007450CD"/>
    <w:rsid w:val="007450F8"/>
    <w:rsid w:val="0074517D"/>
    <w:rsid w:val="007453FE"/>
    <w:rsid w:val="00745561"/>
    <w:rsid w:val="0074563D"/>
    <w:rsid w:val="00745980"/>
    <w:rsid w:val="00745A55"/>
    <w:rsid w:val="00745C31"/>
    <w:rsid w:val="00745D01"/>
    <w:rsid w:val="007462D8"/>
    <w:rsid w:val="00746606"/>
    <w:rsid w:val="0074696E"/>
    <w:rsid w:val="00746ADB"/>
    <w:rsid w:val="00746DA5"/>
    <w:rsid w:val="00746E6E"/>
    <w:rsid w:val="00746FBD"/>
    <w:rsid w:val="00747622"/>
    <w:rsid w:val="00747C1A"/>
    <w:rsid w:val="00747D1D"/>
    <w:rsid w:val="00750135"/>
    <w:rsid w:val="0075080C"/>
    <w:rsid w:val="00750C83"/>
    <w:rsid w:val="00750EC2"/>
    <w:rsid w:val="007510C7"/>
    <w:rsid w:val="007516D6"/>
    <w:rsid w:val="00751CC0"/>
    <w:rsid w:val="00751CD5"/>
    <w:rsid w:val="00752394"/>
    <w:rsid w:val="0075297A"/>
    <w:rsid w:val="00752A87"/>
    <w:rsid w:val="00752B28"/>
    <w:rsid w:val="00753615"/>
    <w:rsid w:val="007536BC"/>
    <w:rsid w:val="00753754"/>
    <w:rsid w:val="00753BA1"/>
    <w:rsid w:val="00753CF4"/>
    <w:rsid w:val="00753F15"/>
    <w:rsid w:val="007541A9"/>
    <w:rsid w:val="00754D5B"/>
    <w:rsid w:val="00754E36"/>
    <w:rsid w:val="0075532C"/>
    <w:rsid w:val="007558DC"/>
    <w:rsid w:val="00755B90"/>
    <w:rsid w:val="00755EBA"/>
    <w:rsid w:val="00756B96"/>
    <w:rsid w:val="00756D2C"/>
    <w:rsid w:val="00757552"/>
    <w:rsid w:val="00757CFC"/>
    <w:rsid w:val="00757DCA"/>
    <w:rsid w:val="007606E9"/>
    <w:rsid w:val="00760A6D"/>
    <w:rsid w:val="00760EFB"/>
    <w:rsid w:val="007613B5"/>
    <w:rsid w:val="007615D9"/>
    <w:rsid w:val="00761AF5"/>
    <w:rsid w:val="00761EEA"/>
    <w:rsid w:val="0076207A"/>
    <w:rsid w:val="00762606"/>
    <w:rsid w:val="00762624"/>
    <w:rsid w:val="007627CD"/>
    <w:rsid w:val="00762AB2"/>
    <w:rsid w:val="00762DE9"/>
    <w:rsid w:val="00762EC7"/>
    <w:rsid w:val="00762FC6"/>
    <w:rsid w:val="00763028"/>
    <w:rsid w:val="00763139"/>
    <w:rsid w:val="00763B81"/>
    <w:rsid w:val="00763D4B"/>
    <w:rsid w:val="00763E44"/>
    <w:rsid w:val="0076435F"/>
    <w:rsid w:val="00764661"/>
    <w:rsid w:val="0076497C"/>
    <w:rsid w:val="00764C85"/>
    <w:rsid w:val="00764F58"/>
    <w:rsid w:val="00765046"/>
    <w:rsid w:val="00765B49"/>
    <w:rsid w:val="00765F79"/>
    <w:rsid w:val="00765FB8"/>
    <w:rsid w:val="00766490"/>
    <w:rsid w:val="0076686D"/>
    <w:rsid w:val="00767CBA"/>
    <w:rsid w:val="0077061F"/>
    <w:rsid w:val="00770F37"/>
    <w:rsid w:val="007711A0"/>
    <w:rsid w:val="0077125F"/>
    <w:rsid w:val="007713BA"/>
    <w:rsid w:val="0077142E"/>
    <w:rsid w:val="00771C1A"/>
    <w:rsid w:val="00771CDF"/>
    <w:rsid w:val="00771CFF"/>
    <w:rsid w:val="007720A3"/>
    <w:rsid w:val="00772188"/>
    <w:rsid w:val="00772231"/>
    <w:rsid w:val="007723A9"/>
    <w:rsid w:val="00772C70"/>
    <w:rsid w:val="00772D5E"/>
    <w:rsid w:val="00772FBC"/>
    <w:rsid w:val="00773441"/>
    <w:rsid w:val="00773A05"/>
    <w:rsid w:val="00774017"/>
    <w:rsid w:val="007742BF"/>
    <w:rsid w:val="0077436A"/>
    <w:rsid w:val="0077463E"/>
    <w:rsid w:val="0077579A"/>
    <w:rsid w:val="007759EC"/>
    <w:rsid w:val="00775FC2"/>
    <w:rsid w:val="00776557"/>
    <w:rsid w:val="00776649"/>
    <w:rsid w:val="00776928"/>
    <w:rsid w:val="0077698D"/>
    <w:rsid w:val="00776D56"/>
    <w:rsid w:val="00776E0F"/>
    <w:rsid w:val="00776E3B"/>
    <w:rsid w:val="007774B1"/>
    <w:rsid w:val="00777A69"/>
    <w:rsid w:val="00777BE1"/>
    <w:rsid w:val="00780013"/>
    <w:rsid w:val="007808D6"/>
    <w:rsid w:val="007809D0"/>
    <w:rsid w:val="00780B76"/>
    <w:rsid w:val="00780BA1"/>
    <w:rsid w:val="00780F68"/>
    <w:rsid w:val="00780FF5"/>
    <w:rsid w:val="007812C7"/>
    <w:rsid w:val="007813D8"/>
    <w:rsid w:val="00781602"/>
    <w:rsid w:val="00782222"/>
    <w:rsid w:val="00782409"/>
    <w:rsid w:val="00782A68"/>
    <w:rsid w:val="007833D8"/>
    <w:rsid w:val="0078348F"/>
    <w:rsid w:val="00783496"/>
    <w:rsid w:val="00783731"/>
    <w:rsid w:val="00783FC3"/>
    <w:rsid w:val="00784046"/>
    <w:rsid w:val="007841D7"/>
    <w:rsid w:val="007847E4"/>
    <w:rsid w:val="00784B36"/>
    <w:rsid w:val="007851A0"/>
    <w:rsid w:val="00785677"/>
    <w:rsid w:val="007856B4"/>
    <w:rsid w:val="00785A35"/>
    <w:rsid w:val="00785D3D"/>
    <w:rsid w:val="00785DC3"/>
    <w:rsid w:val="00785E19"/>
    <w:rsid w:val="00786040"/>
    <w:rsid w:val="0078652A"/>
    <w:rsid w:val="007869F0"/>
    <w:rsid w:val="00786A64"/>
    <w:rsid w:val="00786BED"/>
    <w:rsid w:val="00786CFE"/>
    <w:rsid w:val="00786F16"/>
    <w:rsid w:val="00787169"/>
    <w:rsid w:val="00787DE2"/>
    <w:rsid w:val="00790000"/>
    <w:rsid w:val="007902BC"/>
    <w:rsid w:val="0079051E"/>
    <w:rsid w:val="00790C2A"/>
    <w:rsid w:val="00790FFD"/>
    <w:rsid w:val="00791242"/>
    <w:rsid w:val="007913A1"/>
    <w:rsid w:val="00791463"/>
    <w:rsid w:val="007914AA"/>
    <w:rsid w:val="007919E6"/>
    <w:rsid w:val="00791BD7"/>
    <w:rsid w:val="00792197"/>
    <w:rsid w:val="00793290"/>
    <w:rsid w:val="007933F7"/>
    <w:rsid w:val="007937AE"/>
    <w:rsid w:val="0079412D"/>
    <w:rsid w:val="007947D5"/>
    <w:rsid w:val="0079574B"/>
    <w:rsid w:val="00795992"/>
    <w:rsid w:val="00795C14"/>
    <w:rsid w:val="00796020"/>
    <w:rsid w:val="0079651A"/>
    <w:rsid w:val="00796E20"/>
    <w:rsid w:val="007974FA"/>
    <w:rsid w:val="0079757C"/>
    <w:rsid w:val="00797ABC"/>
    <w:rsid w:val="00797C32"/>
    <w:rsid w:val="00797D6E"/>
    <w:rsid w:val="007A0056"/>
    <w:rsid w:val="007A0186"/>
    <w:rsid w:val="007A11E8"/>
    <w:rsid w:val="007A156E"/>
    <w:rsid w:val="007A1D8D"/>
    <w:rsid w:val="007A1EC0"/>
    <w:rsid w:val="007A229C"/>
    <w:rsid w:val="007A26CD"/>
    <w:rsid w:val="007A3120"/>
    <w:rsid w:val="007A3E59"/>
    <w:rsid w:val="007A4993"/>
    <w:rsid w:val="007A52FA"/>
    <w:rsid w:val="007A5597"/>
    <w:rsid w:val="007A57A2"/>
    <w:rsid w:val="007A5BB7"/>
    <w:rsid w:val="007A5C7C"/>
    <w:rsid w:val="007A6273"/>
    <w:rsid w:val="007A6851"/>
    <w:rsid w:val="007A6B9A"/>
    <w:rsid w:val="007A7171"/>
    <w:rsid w:val="007A71E1"/>
    <w:rsid w:val="007B026A"/>
    <w:rsid w:val="007B0567"/>
    <w:rsid w:val="007B0738"/>
    <w:rsid w:val="007B0914"/>
    <w:rsid w:val="007B10A9"/>
    <w:rsid w:val="007B1374"/>
    <w:rsid w:val="007B13D1"/>
    <w:rsid w:val="007B240C"/>
    <w:rsid w:val="007B2AF6"/>
    <w:rsid w:val="007B2BEE"/>
    <w:rsid w:val="007B3193"/>
    <w:rsid w:val="007B3235"/>
    <w:rsid w:val="007B3279"/>
    <w:rsid w:val="007B32E5"/>
    <w:rsid w:val="007B343A"/>
    <w:rsid w:val="007B370C"/>
    <w:rsid w:val="007B3777"/>
    <w:rsid w:val="007B3DB9"/>
    <w:rsid w:val="007B42E5"/>
    <w:rsid w:val="007B4796"/>
    <w:rsid w:val="007B4C27"/>
    <w:rsid w:val="007B513E"/>
    <w:rsid w:val="007B5167"/>
    <w:rsid w:val="007B521C"/>
    <w:rsid w:val="007B589F"/>
    <w:rsid w:val="007B58BA"/>
    <w:rsid w:val="007B58FA"/>
    <w:rsid w:val="007B58FF"/>
    <w:rsid w:val="007B5B5D"/>
    <w:rsid w:val="007B5ECA"/>
    <w:rsid w:val="007B6186"/>
    <w:rsid w:val="007B62D7"/>
    <w:rsid w:val="007B6935"/>
    <w:rsid w:val="007B70E5"/>
    <w:rsid w:val="007B7176"/>
    <w:rsid w:val="007B73BC"/>
    <w:rsid w:val="007B781A"/>
    <w:rsid w:val="007B7B23"/>
    <w:rsid w:val="007B7DC1"/>
    <w:rsid w:val="007B7E9A"/>
    <w:rsid w:val="007C0600"/>
    <w:rsid w:val="007C087F"/>
    <w:rsid w:val="007C08C2"/>
    <w:rsid w:val="007C0982"/>
    <w:rsid w:val="007C16C1"/>
    <w:rsid w:val="007C1771"/>
    <w:rsid w:val="007C1838"/>
    <w:rsid w:val="007C1BAF"/>
    <w:rsid w:val="007C1C58"/>
    <w:rsid w:val="007C20B9"/>
    <w:rsid w:val="007C2968"/>
    <w:rsid w:val="007C2B1E"/>
    <w:rsid w:val="007C2D40"/>
    <w:rsid w:val="007C2E81"/>
    <w:rsid w:val="007C3069"/>
    <w:rsid w:val="007C3213"/>
    <w:rsid w:val="007C34DA"/>
    <w:rsid w:val="007C3769"/>
    <w:rsid w:val="007C38D2"/>
    <w:rsid w:val="007C4078"/>
    <w:rsid w:val="007C46F7"/>
    <w:rsid w:val="007C491F"/>
    <w:rsid w:val="007C4BF8"/>
    <w:rsid w:val="007C5185"/>
    <w:rsid w:val="007C548D"/>
    <w:rsid w:val="007C58BB"/>
    <w:rsid w:val="007C5B5C"/>
    <w:rsid w:val="007C669D"/>
    <w:rsid w:val="007C6795"/>
    <w:rsid w:val="007C6C1D"/>
    <w:rsid w:val="007C6DE5"/>
    <w:rsid w:val="007C7219"/>
    <w:rsid w:val="007C725E"/>
    <w:rsid w:val="007C7301"/>
    <w:rsid w:val="007C77C7"/>
    <w:rsid w:val="007C7859"/>
    <w:rsid w:val="007C7983"/>
    <w:rsid w:val="007C7BC6"/>
    <w:rsid w:val="007C7CC6"/>
    <w:rsid w:val="007C7D53"/>
    <w:rsid w:val="007C7EF3"/>
    <w:rsid w:val="007C7F28"/>
    <w:rsid w:val="007D00FB"/>
    <w:rsid w:val="007D0772"/>
    <w:rsid w:val="007D0A4E"/>
    <w:rsid w:val="007D0F85"/>
    <w:rsid w:val="007D144D"/>
    <w:rsid w:val="007D1458"/>
    <w:rsid w:val="007D1466"/>
    <w:rsid w:val="007D1511"/>
    <w:rsid w:val="007D18E9"/>
    <w:rsid w:val="007D19D8"/>
    <w:rsid w:val="007D1B41"/>
    <w:rsid w:val="007D1D48"/>
    <w:rsid w:val="007D284C"/>
    <w:rsid w:val="007D2A5F"/>
    <w:rsid w:val="007D2BDE"/>
    <w:rsid w:val="007D2D74"/>
    <w:rsid w:val="007D2FB6"/>
    <w:rsid w:val="007D31CA"/>
    <w:rsid w:val="007D3392"/>
    <w:rsid w:val="007D393E"/>
    <w:rsid w:val="007D39F9"/>
    <w:rsid w:val="007D3D9C"/>
    <w:rsid w:val="007D478D"/>
    <w:rsid w:val="007D47C5"/>
    <w:rsid w:val="007D49EB"/>
    <w:rsid w:val="007D4BA1"/>
    <w:rsid w:val="007D4C51"/>
    <w:rsid w:val="007D527B"/>
    <w:rsid w:val="007D52D0"/>
    <w:rsid w:val="007D591B"/>
    <w:rsid w:val="007D5C96"/>
    <w:rsid w:val="007D5E1C"/>
    <w:rsid w:val="007D6179"/>
    <w:rsid w:val="007D6397"/>
    <w:rsid w:val="007D6916"/>
    <w:rsid w:val="007D72F4"/>
    <w:rsid w:val="007D7638"/>
    <w:rsid w:val="007D7837"/>
    <w:rsid w:val="007E03F1"/>
    <w:rsid w:val="007E04DD"/>
    <w:rsid w:val="007E0BA0"/>
    <w:rsid w:val="007E0C9E"/>
    <w:rsid w:val="007E0DE2"/>
    <w:rsid w:val="007E0E8A"/>
    <w:rsid w:val="007E116B"/>
    <w:rsid w:val="007E2CCC"/>
    <w:rsid w:val="007E3072"/>
    <w:rsid w:val="007E34AC"/>
    <w:rsid w:val="007E3667"/>
    <w:rsid w:val="007E38D7"/>
    <w:rsid w:val="007E3AA4"/>
    <w:rsid w:val="007E3B98"/>
    <w:rsid w:val="007E4164"/>
    <w:rsid w:val="007E417A"/>
    <w:rsid w:val="007E42B3"/>
    <w:rsid w:val="007E486B"/>
    <w:rsid w:val="007E5057"/>
    <w:rsid w:val="007E514C"/>
    <w:rsid w:val="007E517E"/>
    <w:rsid w:val="007E5278"/>
    <w:rsid w:val="007E59D3"/>
    <w:rsid w:val="007E5A31"/>
    <w:rsid w:val="007E5D0A"/>
    <w:rsid w:val="007E5E9E"/>
    <w:rsid w:val="007E7659"/>
    <w:rsid w:val="007E7962"/>
    <w:rsid w:val="007E7E8F"/>
    <w:rsid w:val="007F0A33"/>
    <w:rsid w:val="007F0B69"/>
    <w:rsid w:val="007F0C24"/>
    <w:rsid w:val="007F0D36"/>
    <w:rsid w:val="007F0E6D"/>
    <w:rsid w:val="007F1050"/>
    <w:rsid w:val="007F121C"/>
    <w:rsid w:val="007F18B3"/>
    <w:rsid w:val="007F193D"/>
    <w:rsid w:val="007F1CBE"/>
    <w:rsid w:val="007F1D66"/>
    <w:rsid w:val="007F1E20"/>
    <w:rsid w:val="007F1EC9"/>
    <w:rsid w:val="007F23ED"/>
    <w:rsid w:val="007F2A42"/>
    <w:rsid w:val="007F2BAD"/>
    <w:rsid w:val="007F2FB8"/>
    <w:rsid w:val="007F31B6"/>
    <w:rsid w:val="007F3425"/>
    <w:rsid w:val="007F3A8D"/>
    <w:rsid w:val="007F40F1"/>
    <w:rsid w:val="007F4108"/>
    <w:rsid w:val="007F490C"/>
    <w:rsid w:val="007F4920"/>
    <w:rsid w:val="007F5225"/>
    <w:rsid w:val="007F533A"/>
    <w:rsid w:val="007F546C"/>
    <w:rsid w:val="007F5A70"/>
    <w:rsid w:val="007F5BE4"/>
    <w:rsid w:val="007F5BF0"/>
    <w:rsid w:val="007F601A"/>
    <w:rsid w:val="007F625F"/>
    <w:rsid w:val="007F665E"/>
    <w:rsid w:val="007F66D1"/>
    <w:rsid w:val="007F6A63"/>
    <w:rsid w:val="007F72DA"/>
    <w:rsid w:val="007F7750"/>
    <w:rsid w:val="007F7BA6"/>
    <w:rsid w:val="007F7C23"/>
    <w:rsid w:val="007F7D9B"/>
    <w:rsid w:val="00800412"/>
    <w:rsid w:val="0080076D"/>
    <w:rsid w:val="0080161C"/>
    <w:rsid w:val="00801C56"/>
    <w:rsid w:val="00802326"/>
    <w:rsid w:val="00802332"/>
    <w:rsid w:val="008026A1"/>
    <w:rsid w:val="00802748"/>
    <w:rsid w:val="00802789"/>
    <w:rsid w:val="00802AE7"/>
    <w:rsid w:val="00802B8A"/>
    <w:rsid w:val="00803419"/>
    <w:rsid w:val="008034E7"/>
    <w:rsid w:val="00803503"/>
    <w:rsid w:val="008039F7"/>
    <w:rsid w:val="00803C36"/>
    <w:rsid w:val="00803E5B"/>
    <w:rsid w:val="008040E0"/>
    <w:rsid w:val="008041CE"/>
    <w:rsid w:val="00804547"/>
    <w:rsid w:val="008045E3"/>
    <w:rsid w:val="00804A00"/>
    <w:rsid w:val="00804AA7"/>
    <w:rsid w:val="00804AF1"/>
    <w:rsid w:val="00804E0B"/>
    <w:rsid w:val="008054A8"/>
    <w:rsid w:val="008056CE"/>
    <w:rsid w:val="0080587B"/>
    <w:rsid w:val="00805B53"/>
    <w:rsid w:val="0080607C"/>
    <w:rsid w:val="00806468"/>
    <w:rsid w:val="00806820"/>
    <w:rsid w:val="008068E2"/>
    <w:rsid w:val="00807062"/>
    <w:rsid w:val="00807162"/>
    <w:rsid w:val="008073E0"/>
    <w:rsid w:val="008074B3"/>
    <w:rsid w:val="00807E7C"/>
    <w:rsid w:val="00810311"/>
    <w:rsid w:val="008106FF"/>
    <w:rsid w:val="008108C7"/>
    <w:rsid w:val="00810FAF"/>
    <w:rsid w:val="00810FF4"/>
    <w:rsid w:val="0081115A"/>
    <w:rsid w:val="0081119D"/>
    <w:rsid w:val="008112F8"/>
    <w:rsid w:val="008114D4"/>
    <w:rsid w:val="00811717"/>
    <w:rsid w:val="008119CA"/>
    <w:rsid w:val="00811D5C"/>
    <w:rsid w:val="00811E70"/>
    <w:rsid w:val="0081213F"/>
    <w:rsid w:val="0081219E"/>
    <w:rsid w:val="008126AF"/>
    <w:rsid w:val="0081289C"/>
    <w:rsid w:val="008129A6"/>
    <w:rsid w:val="00812BCD"/>
    <w:rsid w:val="00813095"/>
    <w:rsid w:val="008130C4"/>
    <w:rsid w:val="008133BF"/>
    <w:rsid w:val="008134A5"/>
    <w:rsid w:val="0081354C"/>
    <w:rsid w:val="00813ED8"/>
    <w:rsid w:val="00814381"/>
    <w:rsid w:val="00814988"/>
    <w:rsid w:val="00815528"/>
    <w:rsid w:val="008155F0"/>
    <w:rsid w:val="00815DDE"/>
    <w:rsid w:val="00816643"/>
    <w:rsid w:val="0081669B"/>
    <w:rsid w:val="00816735"/>
    <w:rsid w:val="00816760"/>
    <w:rsid w:val="008169CC"/>
    <w:rsid w:val="00816AD5"/>
    <w:rsid w:val="00816E52"/>
    <w:rsid w:val="008171BD"/>
    <w:rsid w:val="00817A19"/>
    <w:rsid w:val="00817AC2"/>
    <w:rsid w:val="00817B6D"/>
    <w:rsid w:val="00820141"/>
    <w:rsid w:val="00820147"/>
    <w:rsid w:val="008207C2"/>
    <w:rsid w:val="00820D71"/>
    <w:rsid w:val="00820E0C"/>
    <w:rsid w:val="008210AB"/>
    <w:rsid w:val="0082127B"/>
    <w:rsid w:val="00821E8B"/>
    <w:rsid w:val="00821FBE"/>
    <w:rsid w:val="00822114"/>
    <w:rsid w:val="0082212E"/>
    <w:rsid w:val="00822357"/>
    <w:rsid w:val="008226BD"/>
    <w:rsid w:val="00822C6A"/>
    <w:rsid w:val="00822D40"/>
    <w:rsid w:val="00822E23"/>
    <w:rsid w:val="0082320D"/>
    <w:rsid w:val="00823275"/>
    <w:rsid w:val="0082336C"/>
    <w:rsid w:val="0082366F"/>
    <w:rsid w:val="00823949"/>
    <w:rsid w:val="00823A50"/>
    <w:rsid w:val="00823AEA"/>
    <w:rsid w:val="00823B28"/>
    <w:rsid w:val="00823DE4"/>
    <w:rsid w:val="00824157"/>
    <w:rsid w:val="008241F3"/>
    <w:rsid w:val="00824307"/>
    <w:rsid w:val="008245E6"/>
    <w:rsid w:val="008249DD"/>
    <w:rsid w:val="00824A3A"/>
    <w:rsid w:val="00824E65"/>
    <w:rsid w:val="00825324"/>
    <w:rsid w:val="00825BDB"/>
    <w:rsid w:val="008262E8"/>
    <w:rsid w:val="00826653"/>
    <w:rsid w:val="00826A45"/>
    <w:rsid w:val="008272C6"/>
    <w:rsid w:val="00827482"/>
    <w:rsid w:val="008275B1"/>
    <w:rsid w:val="0082791A"/>
    <w:rsid w:val="0082799E"/>
    <w:rsid w:val="00827D8F"/>
    <w:rsid w:val="00830147"/>
    <w:rsid w:val="00830257"/>
    <w:rsid w:val="00830298"/>
    <w:rsid w:val="00830ACC"/>
    <w:rsid w:val="00830ED1"/>
    <w:rsid w:val="008312E4"/>
    <w:rsid w:val="0083167B"/>
    <w:rsid w:val="008316AD"/>
    <w:rsid w:val="00831B47"/>
    <w:rsid w:val="00831F45"/>
    <w:rsid w:val="00832101"/>
    <w:rsid w:val="00832443"/>
    <w:rsid w:val="00832711"/>
    <w:rsid w:val="00833224"/>
    <w:rsid w:val="00833738"/>
    <w:rsid w:val="008338A2"/>
    <w:rsid w:val="0083430C"/>
    <w:rsid w:val="00834622"/>
    <w:rsid w:val="00834639"/>
    <w:rsid w:val="00834B47"/>
    <w:rsid w:val="00835CF4"/>
    <w:rsid w:val="00835CFD"/>
    <w:rsid w:val="00835D1B"/>
    <w:rsid w:val="008365DD"/>
    <w:rsid w:val="00836AB5"/>
    <w:rsid w:val="00836EFF"/>
    <w:rsid w:val="008378F5"/>
    <w:rsid w:val="00837A7E"/>
    <w:rsid w:val="00837CB4"/>
    <w:rsid w:val="00837DBC"/>
    <w:rsid w:val="00840069"/>
    <w:rsid w:val="0084051F"/>
    <w:rsid w:val="00840593"/>
    <w:rsid w:val="0084076D"/>
    <w:rsid w:val="00840AB7"/>
    <w:rsid w:val="00840BF9"/>
    <w:rsid w:val="00840CFF"/>
    <w:rsid w:val="008414D6"/>
    <w:rsid w:val="00841AA9"/>
    <w:rsid w:val="00841BCF"/>
    <w:rsid w:val="00841BFB"/>
    <w:rsid w:val="0084241E"/>
    <w:rsid w:val="00842551"/>
    <w:rsid w:val="00842554"/>
    <w:rsid w:val="0084342B"/>
    <w:rsid w:val="008437A7"/>
    <w:rsid w:val="00843C81"/>
    <w:rsid w:val="00844727"/>
    <w:rsid w:val="00844F21"/>
    <w:rsid w:val="0084535D"/>
    <w:rsid w:val="008454C1"/>
    <w:rsid w:val="008457AC"/>
    <w:rsid w:val="00845820"/>
    <w:rsid w:val="008459D4"/>
    <w:rsid w:val="00845A14"/>
    <w:rsid w:val="00845F36"/>
    <w:rsid w:val="0084725A"/>
    <w:rsid w:val="0084738D"/>
    <w:rsid w:val="008474FE"/>
    <w:rsid w:val="00847837"/>
    <w:rsid w:val="00847962"/>
    <w:rsid w:val="00847A7C"/>
    <w:rsid w:val="00847FF5"/>
    <w:rsid w:val="00847FFD"/>
    <w:rsid w:val="00850070"/>
    <w:rsid w:val="0085035A"/>
    <w:rsid w:val="00850CB8"/>
    <w:rsid w:val="00850F72"/>
    <w:rsid w:val="00851175"/>
    <w:rsid w:val="008513B4"/>
    <w:rsid w:val="008515BF"/>
    <w:rsid w:val="00851611"/>
    <w:rsid w:val="00851B34"/>
    <w:rsid w:val="00851C84"/>
    <w:rsid w:val="0085211E"/>
    <w:rsid w:val="00852311"/>
    <w:rsid w:val="008527B8"/>
    <w:rsid w:val="0085290E"/>
    <w:rsid w:val="008532FA"/>
    <w:rsid w:val="008536DA"/>
    <w:rsid w:val="008538EC"/>
    <w:rsid w:val="00853BF8"/>
    <w:rsid w:val="00853EE4"/>
    <w:rsid w:val="00854241"/>
    <w:rsid w:val="00854486"/>
    <w:rsid w:val="00854E69"/>
    <w:rsid w:val="00855287"/>
    <w:rsid w:val="008552DB"/>
    <w:rsid w:val="00855535"/>
    <w:rsid w:val="00855B34"/>
    <w:rsid w:val="00855FF8"/>
    <w:rsid w:val="008560C1"/>
    <w:rsid w:val="00856613"/>
    <w:rsid w:val="00856E1A"/>
    <w:rsid w:val="00857491"/>
    <w:rsid w:val="00857755"/>
    <w:rsid w:val="0085790A"/>
    <w:rsid w:val="00857C5A"/>
    <w:rsid w:val="00857DDE"/>
    <w:rsid w:val="00860115"/>
    <w:rsid w:val="0086039B"/>
    <w:rsid w:val="008605B8"/>
    <w:rsid w:val="00860614"/>
    <w:rsid w:val="00860673"/>
    <w:rsid w:val="00860A43"/>
    <w:rsid w:val="00860A71"/>
    <w:rsid w:val="00860DF7"/>
    <w:rsid w:val="0086111F"/>
    <w:rsid w:val="00861906"/>
    <w:rsid w:val="00861C2F"/>
    <w:rsid w:val="00861D42"/>
    <w:rsid w:val="00861E3E"/>
    <w:rsid w:val="00862555"/>
    <w:rsid w:val="0086255E"/>
    <w:rsid w:val="00863009"/>
    <w:rsid w:val="008633F0"/>
    <w:rsid w:val="008634ED"/>
    <w:rsid w:val="00863841"/>
    <w:rsid w:val="0086399E"/>
    <w:rsid w:val="00863A15"/>
    <w:rsid w:val="00863B7C"/>
    <w:rsid w:val="00863D2E"/>
    <w:rsid w:val="00864510"/>
    <w:rsid w:val="00864C0D"/>
    <w:rsid w:val="00865477"/>
    <w:rsid w:val="0086593B"/>
    <w:rsid w:val="00865A55"/>
    <w:rsid w:val="00865BBF"/>
    <w:rsid w:val="00865F23"/>
    <w:rsid w:val="008675DB"/>
    <w:rsid w:val="00867BB8"/>
    <w:rsid w:val="00867CA5"/>
    <w:rsid w:val="00867D9D"/>
    <w:rsid w:val="0087056D"/>
    <w:rsid w:val="00870BB0"/>
    <w:rsid w:val="008711C3"/>
    <w:rsid w:val="008713AB"/>
    <w:rsid w:val="0087147A"/>
    <w:rsid w:val="00871C7C"/>
    <w:rsid w:val="00871F81"/>
    <w:rsid w:val="0087261A"/>
    <w:rsid w:val="00872832"/>
    <w:rsid w:val="00872E0A"/>
    <w:rsid w:val="00873594"/>
    <w:rsid w:val="00873B2B"/>
    <w:rsid w:val="00873C8C"/>
    <w:rsid w:val="00873CDD"/>
    <w:rsid w:val="008749F0"/>
    <w:rsid w:val="00875285"/>
    <w:rsid w:val="008754B9"/>
    <w:rsid w:val="008758F8"/>
    <w:rsid w:val="00875A40"/>
    <w:rsid w:val="00875CBA"/>
    <w:rsid w:val="00877635"/>
    <w:rsid w:val="00877882"/>
    <w:rsid w:val="00877D90"/>
    <w:rsid w:val="00877F59"/>
    <w:rsid w:val="008800F6"/>
    <w:rsid w:val="00880106"/>
    <w:rsid w:val="0088043B"/>
    <w:rsid w:val="008805A8"/>
    <w:rsid w:val="00880956"/>
    <w:rsid w:val="00880C8A"/>
    <w:rsid w:val="008813DF"/>
    <w:rsid w:val="008816A4"/>
    <w:rsid w:val="00881757"/>
    <w:rsid w:val="00882035"/>
    <w:rsid w:val="0088206B"/>
    <w:rsid w:val="008828F6"/>
    <w:rsid w:val="00882A7C"/>
    <w:rsid w:val="00882B17"/>
    <w:rsid w:val="00882C8E"/>
    <w:rsid w:val="008831F7"/>
    <w:rsid w:val="008833DA"/>
    <w:rsid w:val="00883B9C"/>
    <w:rsid w:val="00883CE0"/>
    <w:rsid w:val="00883E31"/>
    <w:rsid w:val="00883F04"/>
    <w:rsid w:val="00884281"/>
    <w:rsid w:val="008842E3"/>
    <w:rsid w:val="0088439C"/>
    <w:rsid w:val="00884419"/>
    <w:rsid w:val="00884B62"/>
    <w:rsid w:val="00885046"/>
    <w:rsid w:val="0088529C"/>
    <w:rsid w:val="008852DE"/>
    <w:rsid w:val="00885AF5"/>
    <w:rsid w:val="00886A9B"/>
    <w:rsid w:val="00886FF5"/>
    <w:rsid w:val="00887303"/>
    <w:rsid w:val="00887518"/>
    <w:rsid w:val="00887903"/>
    <w:rsid w:val="00887E3F"/>
    <w:rsid w:val="00887EA1"/>
    <w:rsid w:val="0089014B"/>
    <w:rsid w:val="0089042F"/>
    <w:rsid w:val="00890C6F"/>
    <w:rsid w:val="00890DEC"/>
    <w:rsid w:val="00890FF3"/>
    <w:rsid w:val="00891739"/>
    <w:rsid w:val="0089179D"/>
    <w:rsid w:val="008918D7"/>
    <w:rsid w:val="0089200D"/>
    <w:rsid w:val="008921E1"/>
    <w:rsid w:val="00892489"/>
    <w:rsid w:val="0089270A"/>
    <w:rsid w:val="0089284E"/>
    <w:rsid w:val="00892B58"/>
    <w:rsid w:val="00892F63"/>
    <w:rsid w:val="0089372A"/>
    <w:rsid w:val="008937A6"/>
    <w:rsid w:val="00893AF6"/>
    <w:rsid w:val="00893BC5"/>
    <w:rsid w:val="00893FA9"/>
    <w:rsid w:val="008940A1"/>
    <w:rsid w:val="008940EB"/>
    <w:rsid w:val="00894978"/>
    <w:rsid w:val="00894BC1"/>
    <w:rsid w:val="00894BC4"/>
    <w:rsid w:val="0089501E"/>
    <w:rsid w:val="008950B4"/>
    <w:rsid w:val="0089528E"/>
    <w:rsid w:val="00895416"/>
    <w:rsid w:val="00895944"/>
    <w:rsid w:val="00895CB6"/>
    <w:rsid w:val="0089678F"/>
    <w:rsid w:val="00896890"/>
    <w:rsid w:val="00896C8C"/>
    <w:rsid w:val="00896DD4"/>
    <w:rsid w:val="008972AF"/>
    <w:rsid w:val="00897B20"/>
    <w:rsid w:val="00897B3E"/>
    <w:rsid w:val="00897B98"/>
    <w:rsid w:val="008A00DA"/>
    <w:rsid w:val="008A0189"/>
    <w:rsid w:val="008A07CE"/>
    <w:rsid w:val="008A0834"/>
    <w:rsid w:val="008A13D2"/>
    <w:rsid w:val="008A142C"/>
    <w:rsid w:val="008A14FE"/>
    <w:rsid w:val="008A1A81"/>
    <w:rsid w:val="008A20FE"/>
    <w:rsid w:val="008A2233"/>
    <w:rsid w:val="008A2403"/>
    <w:rsid w:val="008A28A8"/>
    <w:rsid w:val="008A28EC"/>
    <w:rsid w:val="008A2D6D"/>
    <w:rsid w:val="008A32E0"/>
    <w:rsid w:val="008A367D"/>
    <w:rsid w:val="008A38F6"/>
    <w:rsid w:val="008A393E"/>
    <w:rsid w:val="008A3A43"/>
    <w:rsid w:val="008A3B77"/>
    <w:rsid w:val="008A3EEB"/>
    <w:rsid w:val="008A40F3"/>
    <w:rsid w:val="008A4147"/>
    <w:rsid w:val="008A41D2"/>
    <w:rsid w:val="008A42DE"/>
    <w:rsid w:val="008A4C73"/>
    <w:rsid w:val="008A4E94"/>
    <w:rsid w:val="008A5220"/>
    <w:rsid w:val="008A5338"/>
    <w:rsid w:val="008A5B32"/>
    <w:rsid w:val="008A5F39"/>
    <w:rsid w:val="008A60EB"/>
    <w:rsid w:val="008A616E"/>
    <w:rsid w:val="008A6E72"/>
    <w:rsid w:val="008A71E9"/>
    <w:rsid w:val="008A73E4"/>
    <w:rsid w:val="008A74BE"/>
    <w:rsid w:val="008A74C2"/>
    <w:rsid w:val="008A7568"/>
    <w:rsid w:val="008A773A"/>
    <w:rsid w:val="008B03E5"/>
    <w:rsid w:val="008B0D5C"/>
    <w:rsid w:val="008B0E4E"/>
    <w:rsid w:val="008B1038"/>
    <w:rsid w:val="008B10B0"/>
    <w:rsid w:val="008B1336"/>
    <w:rsid w:val="008B1D9B"/>
    <w:rsid w:val="008B2029"/>
    <w:rsid w:val="008B21B3"/>
    <w:rsid w:val="008B2365"/>
    <w:rsid w:val="008B23F2"/>
    <w:rsid w:val="008B26A0"/>
    <w:rsid w:val="008B2B1C"/>
    <w:rsid w:val="008B2EE4"/>
    <w:rsid w:val="008B3304"/>
    <w:rsid w:val="008B34BD"/>
    <w:rsid w:val="008B35E1"/>
    <w:rsid w:val="008B3821"/>
    <w:rsid w:val="008B3E89"/>
    <w:rsid w:val="008B4349"/>
    <w:rsid w:val="008B49D7"/>
    <w:rsid w:val="008B4D3D"/>
    <w:rsid w:val="008B52E7"/>
    <w:rsid w:val="008B55EC"/>
    <w:rsid w:val="008B57C7"/>
    <w:rsid w:val="008B5EAB"/>
    <w:rsid w:val="008B603B"/>
    <w:rsid w:val="008B6220"/>
    <w:rsid w:val="008B6CA7"/>
    <w:rsid w:val="008B6DDB"/>
    <w:rsid w:val="008B7072"/>
    <w:rsid w:val="008B76E1"/>
    <w:rsid w:val="008B79FF"/>
    <w:rsid w:val="008B7B7E"/>
    <w:rsid w:val="008B7B89"/>
    <w:rsid w:val="008B7CA9"/>
    <w:rsid w:val="008B7D85"/>
    <w:rsid w:val="008B7F7B"/>
    <w:rsid w:val="008C0078"/>
    <w:rsid w:val="008C095F"/>
    <w:rsid w:val="008C27D1"/>
    <w:rsid w:val="008C2843"/>
    <w:rsid w:val="008C296F"/>
    <w:rsid w:val="008C2B0D"/>
    <w:rsid w:val="008C2F92"/>
    <w:rsid w:val="008C3197"/>
    <w:rsid w:val="008C3481"/>
    <w:rsid w:val="008C3546"/>
    <w:rsid w:val="008C36D1"/>
    <w:rsid w:val="008C3E43"/>
    <w:rsid w:val="008C3E74"/>
    <w:rsid w:val="008C40E0"/>
    <w:rsid w:val="008C4137"/>
    <w:rsid w:val="008C45A1"/>
    <w:rsid w:val="008C47A8"/>
    <w:rsid w:val="008C5088"/>
    <w:rsid w:val="008C55D6"/>
    <w:rsid w:val="008C56D5"/>
    <w:rsid w:val="008C589D"/>
    <w:rsid w:val="008C5E69"/>
    <w:rsid w:val="008C5F10"/>
    <w:rsid w:val="008C656C"/>
    <w:rsid w:val="008C662D"/>
    <w:rsid w:val="008C6B77"/>
    <w:rsid w:val="008C6D51"/>
    <w:rsid w:val="008C708F"/>
    <w:rsid w:val="008C73A8"/>
    <w:rsid w:val="008C7974"/>
    <w:rsid w:val="008C7A33"/>
    <w:rsid w:val="008D033A"/>
    <w:rsid w:val="008D0664"/>
    <w:rsid w:val="008D0717"/>
    <w:rsid w:val="008D0C14"/>
    <w:rsid w:val="008D1AD9"/>
    <w:rsid w:val="008D2010"/>
    <w:rsid w:val="008D252C"/>
    <w:rsid w:val="008D2846"/>
    <w:rsid w:val="008D2DF4"/>
    <w:rsid w:val="008D315F"/>
    <w:rsid w:val="008D31E8"/>
    <w:rsid w:val="008D3280"/>
    <w:rsid w:val="008D3FB4"/>
    <w:rsid w:val="008D419D"/>
    <w:rsid w:val="008D4204"/>
    <w:rsid w:val="008D4236"/>
    <w:rsid w:val="008D4526"/>
    <w:rsid w:val="008D462F"/>
    <w:rsid w:val="008D47E5"/>
    <w:rsid w:val="008D4A59"/>
    <w:rsid w:val="008D4AD8"/>
    <w:rsid w:val="008D5856"/>
    <w:rsid w:val="008D5C7E"/>
    <w:rsid w:val="008D5F01"/>
    <w:rsid w:val="008D6040"/>
    <w:rsid w:val="008D60DE"/>
    <w:rsid w:val="008D6DCF"/>
    <w:rsid w:val="008D6F34"/>
    <w:rsid w:val="008D72F2"/>
    <w:rsid w:val="008D7E3B"/>
    <w:rsid w:val="008E06F6"/>
    <w:rsid w:val="008E09D5"/>
    <w:rsid w:val="008E1112"/>
    <w:rsid w:val="008E14CF"/>
    <w:rsid w:val="008E1665"/>
    <w:rsid w:val="008E17F8"/>
    <w:rsid w:val="008E1C30"/>
    <w:rsid w:val="008E1E2E"/>
    <w:rsid w:val="008E2238"/>
    <w:rsid w:val="008E24CE"/>
    <w:rsid w:val="008E2579"/>
    <w:rsid w:val="008E294B"/>
    <w:rsid w:val="008E29BF"/>
    <w:rsid w:val="008E2A7C"/>
    <w:rsid w:val="008E39BB"/>
    <w:rsid w:val="008E4376"/>
    <w:rsid w:val="008E4A99"/>
    <w:rsid w:val="008E4EAC"/>
    <w:rsid w:val="008E4FC2"/>
    <w:rsid w:val="008E5580"/>
    <w:rsid w:val="008E55D4"/>
    <w:rsid w:val="008E58B9"/>
    <w:rsid w:val="008E5AED"/>
    <w:rsid w:val="008E6530"/>
    <w:rsid w:val="008E6993"/>
    <w:rsid w:val="008E70EB"/>
    <w:rsid w:val="008E726C"/>
    <w:rsid w:val="008E7764"/>
    <w:rsid w:val="008E7769"/>
    <w:rsid w:val="008E7807"/>
    <w:rsid w:val="008E7A0A"/>
    <w:rsid w:val="008E7B49"/>
    <w:rsid w:val="008E7EE5"/>
    <w:rsid w:val="008F0413"/>
    <w:rsid w:val="008F06C1"/>
    <w:rsid w:val="008F0A56"/>
    <w:rsid w:val="008F0C50"/>
    <w:rsid w:val="008F0D86"/>
    <w:rsid w:val="008F101C"/>
    <w:rsid w:val="008F12D0"/>
    <w:rsid w:val="008F1309"/>
    <w:rsid w:val="008F13F6"/>
    <w:rsid w:val="008F1796"/>
    <w:rsid w:val="008F1A2C"/>
    <w:rsid w:val="008F243E"/>
    <w:rsid w:val="008F2A54"/>
    <w:rsid w:val="008F2B12"/>
    <w:rsid w:val="008F31D9"/>
    <w:rsid w:val="008F4154"/>
    <w:rsid w:val="008F4434"/>
    <w:rsid w:val="008F4A9D"/>
    <w:rsid w:val="008F4AD6"/>
    <w:rsid w:val="008F4DDF"/>
    <w:rsid w:val="008F4ECE"/>
    <w:rsid w:val="008F5547"/>
    <w:rsid w:val="008F59F6"/>
    <w:rsid w:val="008F5B27"/>
    <w:rsid w:val="008F5BBB"/>
    <w:rsid w:val="008F5EB7"/>
    <w:rsid w:val="008F67B8"/>
    <w:rsid w:val="008F6952"/>
    <w:rsid w:val="008F713D"/>
    <w:rsid w:val="008F7920"/>
    <w:rsid w:val="00900719"/>
    <w:rsid w:val="00900CA7"/>
    <w:rsid w:val="009011E1"/>
    <w:rsid w:val="00901511"/>
    <w:rsid w:val="009017AC"/>
    <w:rsid w:val="00901A91"/>
    <w:rsid w:val="00901B10"/>
    <w:rsid w:val="00901C9B"/>
    <w:rsid w:val="009022CF"/>
    <w:rsid w:val="0090270F"/>
    <w:rsid w:val="00902766"/>
    <w:rsid w:val="0090279B"/>
    <w:rsid w:val="00902A7D"/>
    <w:rsid w:val="00902A9A"/>
    <w:rsid w:val="00902CF6"/>
    <w:rsid w:val="0090306A"/>
    <w:rsid w:val="009030D1"/>
    <w:rsid w:val="009032E4"/>
    <w:rsid w:val="0090361A"/>
    <w:rsid w:val="0090380B"/>
    <w:rsid w:val="00903885"/>
    <w:rsid w:val="009038B4"/>
    <w:rsid w:val="0090399E"/>
    <w:rsid w:val="00903CA8"/>
    <w:rsid w:val="00904200"/>
    <w:rsid w:val="009046AA"/>
    <w:rsid w:val="009047A7"/>
    <w:rsid w:val="0090493B"/>
    <w:rsid w:val="0090497F"/>
    <w:rsid w:val="00904A1C"/>
    <w:rsid w:val="00904C78"/>
    <w:rsid w:val="00905030"/>
    <w:rsid w:val="009050DE"/>
    <w:rsid w:val="00905312"/>
    <w:rsid w:val="00905A25"/>
    <w:rsid w:val="00905D0F"/>
    <w:rsid w:val="00905FE3"/>
    <w:rsid w:val="0090607B"/>
    <w:rsid w:val="00906490"/>
    <w:rsid w:val="0090667F"/>
    <w:rsid w:val="009066C5"/>
    <w:rsid w:val="00906770"/>
    <w:rsid w:val="009068C2"/>
    <w:rsid w:val="00906B02"/>
    <w:rsid w:val="00906F36"/>
    <w:rsid w:val="009070F3"/>
    <w:rsid w:val="009071B1"/>
    <w:rsid w:val="00907A92"/>
    <w:rsid w:val="00907D6E"/>
    <w:rsid w:val="00910278"/>
    <w:rsid w:val="0091074C"/>
    <w:rsid w:val="009108C6"/>
    <w:rsid w:val="00910C50"/>
    <w:rsid w:val="00910C9A"/>
    <w:rsid w:val="00910F5A"/>
    <w:rsid w:val="00911090"/>
    <w:rsid w:val="0091116E"/>
    <w:rsid w:val="009111B2"/>
    <w:rsid w:val="009115A4"/>
    <w:rsid w:val="00911816"/>
    <w:rsid w:val="00911AA5"/>
    <w:rsid w:val="00911E33"/>
    <w:rsid w:val="009122A5"/>
    <w:rsid w:val="0091248E"/>
    <w:rsid w:val="0091253B"/>
    <w:rsid w:val="009125E6"/>
    <w:rsid w:val="00912C09"/>
    <w:rsid w:val="009139AD"/>
    <w:rsid w:val="00914A94"/>
    <w:rsid w:val="009151F5"/>
    <w:rsid w:val="0091526F"/>
    <w:rsid w:val="00915936"/>
    <w:rsid w:val="00915B99"/>
    <w:rsid w:val="00916079"/>
    <w:rsid w:val="009163DB"/>
    <w:rsid w:val="00916410"/>
    <w:rsid w:val="009165FE"/>
    <w:rsid w:val="00916746"/>
    <w:rsid w:val="00916931"/>
    <w:rsid w:val="009169A6"/>
    <w:rsid w:val="00917829"/>
    <w:rsid w:val="00917D97"/>
    <w:rsid w:val="00917E5F"/>
    <w:rsid w:val="00920001"/>
    <w:rsid w:val="009200AD"/>
    <w:rsid w:val="00920460"/>
    <w:rsid w:val="009204F1"/>
    <w:rsid w:val="009208B9"/>
    <w:rsid w:val="009208DB"/>
    <w:rsid w:val="00920A21"/>
    <w:rsid w:val="00920E24"/>
    <w:rsid w:val="00921467"/>
    <w:rsid w:val="009214E7"/>
    <w:rsid w:val="00921572"/>
    <w:rsid w:val="00921CFC"/>
    <w:rsid w:val="009222FD"/>
    <w:rsid w:val="00922A3D"/>
    <w:rsid w:val="00922CCF"/>
    <w:rsid w:val="00922DFF"/>
    <w:rsid w:val="00922F6B"/>
    <w:rsid w:val="00923908"/>
    <w:rsid w:val="00923A14"/>
    <w:rsid w:val="009243CE"/>
    <w:rsid w:val="00924AE1"/>
    <w:rsid w:val="00924B57"/>
    <w:rsid w:val="009257BB"/>
    <w:rsid w:val="0092589F"/>
    <w:rsid w:val="0092592D"/>
    <w:rsid w:val="00925A04"/>
    <w:rsid w:val="009265A6"/>
    <w:rsid w:val="00926795"/>
    <w:rsid w:val="009269B1"/>
    <w:rsid w:val="00926B24"/>
    <w:rsid w:val="0092724D"/>
    <w:rsid w:val="009272B3"/>
    <w:rsid w:val="009315BE"/>
    <w:rsid w:val="0093198F"/>
    <w:rsid w:val="0093216C"/>
    <w:rsid w:val="0093220B"/>
    <w:rsid w:val="0093224A"/>
    <w:rsid w:val="0093234E"/>
    <w:rsid w:val="009326DD"/>
    <w:rsid w:val="00932ABC"/>
    <w:rsid w:val="00933046"/>
    <w:rsid w:val="0093338F"/>
    <w:rsid w:val="00933567"/>
    <w:rsid w:val="009338BF"/>
    <w:rsid w:val="00933B17"/>
    <w:rsid w:val="00933D5A"/>
    <w:rsid w:val="00934547"/>
    <w:rsid w:val="00934576"/>
    <w:rsid w:val="009345DB"/>
    <w:rsid w:val="00934CAA"/>
    <w:rsid w:val="00935043"/>
    <w:rsid w:val="00935330"/>
    <w:rsid w:val="00935660"/>
    <w:rsid w:val="00936018"/>
    <w:rsid w:val="00936109"/>
    <w:rsid w:val="0093650A"/>
    <w:rsid w:val="00936C32"/>
    <w:rsid w:val="00937812"/>
    <w:rsid w:val="00937BD9"/>
    <w:rsid w:val="00940168"/>
    <w:rsid w:val="009407FD"/>
    <w:rsid w:val="00940BA4"/>
    <w:rsid w:val="0094195E"/>
    <w:rsid w:val="00941A5B"/>
    <w:rsid w:val="00941AB2"/>
    <w:rsid w:val="00942A5B"/>
    <w:rsid w:val="00942EAA"/>
    <w:rsid w:val="0094352C"/>
    <w:rsid w:val="00943533"/>
    <w:rsid w:val="0094441E"/>
    <w:rsid w:val="00944581"/>
    <w:rsid w:val="009446E0"/>
    <w:rsid w:val="00944B00"/>
    <w:rsid w:val="00944C14"/>
    <w:rsid w:val="00944CC6"/>
    <w:rsid w:val="00944CE9"/>
    <w:rsid w:val="00944E6F"/>
    <w:rsid w:val="00945432"/>
    <w:rsid w:val="00945CDD"/>
    <w:rsid w:val="00945CE8"/>
    <w:rsid w:val="00945D9E"/>
    <w:rsid w:val="00945FDC"/>
    <w:rsid w:val="00946858"/>
    <w:rsid w:val="00946879"/>
    <w:rsid w:val="00947238"/>
    <w:rsid w:val="009479B2"/>
    <w:rsid w:val="00947ADB"/>
    <w:rsid w:val="00947D23"/>
    <w:rsid w:val="00947E44"/>
    <w:rsid w:val="0095010D"/>
    <w:rsid w:val="009503E9"/>
    <w:rsid w:val="0095070B"/>
    <w:rsid w:val="009507D4"/>
    <w:rsid w:val="00950B0C"/>
    <w:rsid w:val="00950E2C"/>
    <w:rsid w:val="009513E2"/>
    <w:rsid w:val="0095164D"/>
    <w:rsid w:val="00951D22"/>
    <w:rsid w:val="00951D50"/>
    <w:rsid w:val="00952024"/>
    <w:rsid w:val="0095218B"/>
    <w:rsid w:val="009522FC"/>
    <w:rsid w:val="009525EB"/>
    <w:rsid w:val="0095286A"/>
    <w:rsid w:val="009529F1"/>
    <w:rsid w:val="00952A2E"/>
    <w:rsid w:val="00952A3F"/>
    <w:rsid w:val="00952DDF"/>
    <w:rsid w:val="00953146"/>
    <w:rsid w:val="009532F5"/>
    <w:rsid w:val="009533A2"/>
    <w:rsid w:val="00953952"/>
    <w:rsid w:val="00953BB0"/>
    <w:rsid w:val="00953C57"/>
    <w:rsid w:val="00953CD0"/>
    <w:rsid w:val="0095457B"/>
    <w:rsid w:val="009545E8"/>
    <w:rsid w:val="0095470B"/>
    <w:rsid w:val="00954721"/>
    <w:rsid w:val="00954874"/>
    <w:rsid w:val="00954A4B"/>
    <w:rsid w:val="00954E1D"/>
    <w:rsid w:val="00954E8C"/>
    <w:rsid w:val="00954F07"/>
    <w:rsid w:val="00954F33"/>
    <w:rsid w:val="009552C1"/>
    <w:rsid w:val="0095553C"/>
    <w:rsid w:val="0095615A"/>
    <w:rsid w:val="00956923"/>
    <w:rsid w:val="009569C4"/>
    <w:rsid w:val="00956B05"/>
    <w:rsid w:val="00956E4C"/>
    <w:rsid w:val="00956FD0"/>
    <w:rsid w:val="00957046"/>
    <w:rsid w:val="009570D7"/>
    <w:rsid w:val="00957153"/>
    <w:rsid w:val="0095752C"/>
    <w:rsid w:val="009577FD"/>
    <w:rsid w:val="00957A39"/>
    <w:rsid w:val="00957E4E"/>
    <w:rsid w:val="00960088"/>
    <w:rsid w:val="009600D5"/>
    <w:rsid w:val="009605EA"/>
    <w:rsid w:val="00960D0F"/>
    <w:rsid w:val="00961331"/>
    <w:rsid w:val="009613D5"/>
    <w:rsid w:val="00961400"/>
    <w:rsid w:val="00961435"/>
    <w:rsid w:val="00961758"/>
    <w:rsid w:val="00961906"/>
    <w:rsid w:val="0096199C"/>
    <w:rsid w:val="00961A50"/>
    <w:rsid w:val="00961BD8"/>
    <w:rsid w:val="00961C2C"/>
    <w:rsid w:val="00961D43"/>
    <w:rsid w:val="00961EA6"/>
    <w:rsid w:val="0096292C"/>
    <w:rsid w:val="00963597"/>
    <w:rsid w:val="00963646"/>
    <w:rsid w:val="009636FC"/>
    <w:rsid w:val="00963B14"/>
    <w:rsid w:val="00963D2E"/>
    <w:rsid w:val="00963DD7"/>
    <w:rsid w:val="009642D5"/>
    <w:rsid w:val="00964749"/>
    <w:rsid w:val="009647D1"/>
    <w:rsid w:val="009647EB"/>
    <w:rsid w:val="00964927"/>
    <w:rsid w:val="0096500B"/>
    <w:rsid w:val="0096506F"/>
    <w:rsid w:val="00965115"/>
    <w:rsid w:val="00965757"/>
    <w:rsid w:val="009658CA"/>
    <w:rsid w:val="009662E3"/>
    <w:rsid w:val="0096630E"/>
    <w:rsid w:val="0096632D"/>
    <w:rsid w:val="00966411"/>
    <w:rsid w:val="009668D3"/>
    <w:rsid w:val="00966947"/>
    <w:rsid w:val="00966A5B"/>
    <w:rsid w:val="00967124"/>
    <w:rsid w:val="009675B7"/>
    <w:rsid w:val="00967641"/>
    <w:rsid w:val="009676FB"/>
    <w:rsid w:val="00967725"/>
    <w:rsid w:val="009678D7"/>
    <w:rsid w:val="00967DF7"/>
    <w:rsid w:val="00967ED0"/>
    <w:rsid w:val="00970263"/>
    <w:rsid w:val="009707BC"/>
    <w:rsid w:val="009709D2"/>
    <w:rsid w:val="0097166C"/>
    <w:rsid w:val="009718C7"/>
    <w:rsid w:val="00972735"/>
    <w:rsid w:val="00972B3D"/>
    <w:rsid w:val="00973169"/>
    <w:rsid w:val="0097339B"/>
    <w:rsid w:val="00974512"/>
    <w:rsid w:val="009746E6"/>
    <w:rsid w:val="00974CEC"/>
    <w:rsid w:val="00974D6F"/>
    <w:rsid w:val="00974E9A"/>
    <w:rsid w:val="00975177"/>
    <w:rsid w:val="0097559F"/>
    <w:rsid w:val="009756A7"/>
    <w:rsid w:val="009758F3"/>
    <w:rsid w:val="00975B79"/>
    <w:rsid w:val="00975D8E"/>
    <w:rsid w:val="00975E49"/>
    <w:rsid w:val="009761EA"/>
    <w:rsid w:val="009761EF"/>
    <w:rsid w:val="0097624F"/>
    <w:rsid w:val="009765B0"/>
    <w:rsid w:val="009767D2"/>
    <w:rsid w:val="00976895"/>
    <w:rsid w:val="00976C33"/>
    <w:rsid w:val="00976EAA"/>
    <w:rsid w:val="00976ECF"/>
    <w:rsid w:val="00977532"/>
    <w:rsid w:val="0097761E"/>
    <w:rsid w:val="009779B1"/>
    <w:rsid w:val="00977C31"/>
    <w:rsid w:val="00977F54"/>
    <w:rsid w:val="0098008E"/>
    <w:rsid w:val="009801F8"/>
    <w:rsid w:val="00980E68"/>
    <w:rsid w:val="0098152E"/>
    <w:rsid w:val="00981559"/>
    <w:rsid w:val="0098159A"/>
    <w:rsid w:val="009817E6"/>
    <w:rsid w:val="00981BAF"/>
    <w:rsid w:val="00982287"/>
    <w:rsid w:val="00982454"/>
    <w:rsid w:val="00982743"/>
    <w:rsid w:val="00982CF0"/>
    <w:rsid w:val="00983354"/>
    <w:rsid w:val="00983A22"/>
    <w:rsid w:val="009842B6"/>
    <w:rsid w:val="009842CC"/>
    <w:rsid w:val="00984496"/>
    <w:rsid w:val="0098473B"/>
    <w:rsid w:val="00984AA7"/>
    <w:rsid w:val="009850B8"/>
    <w:rsid w:val="009853E1"/>
    <w:rsid w:val="00985737"/>
    <w:rsid w:val="00985837"/>
    <w:rsid w:val="0098584B"/>
    <w:rsid w:val="00985F3E"/>
    <w:rsid w:val="00986546"/>
    <w:rsid w:val="00986A0A"/>
    <w:rsid w:val="00986E6B"/>
    <w:rsid w:val="009872E9"/>
    <w:rsid w:val="00987388"/>
    <w:rsid w:val="00987463"/>
    <w:rsid w:val="00987ACC"/>
    <w:rsid w:val="00987B6D"/>
    <w:rsid w:val="00990032"/>
    <w:rsid w:val="0099010A"/>
    <w:rsid w:val="009904BE"/>
    <w:rsid w:val="00990703"/>
    <w:rsid w:val="009907F1"/>
    <w:rsid w:val="009908A9"/>
    <w:rsid w:val="009908AC"/>
    <w:rsid w:val="00990A53"/>
    <w:rsid w:val="00990B19"/>
    <w:rsid w:val="00990D4C"/>
    <w:rsid w:val="009913ED"/>
    <w:rsid w:val="0099153B"/>
    <w:rsid w:val="009915A8"/>
    <w:rsid w:val="00991769"/>
    <w:rsid w:val="00991771"/>
    <w:rsid w:val="009918F4"/>
    <w:rsid w:val="00991D37"/>
    <w:rsid w:val="0099232C"/>
    <w:rsid w:val="00992A6F"/>
    <w:rsid w:val="00993B08"/>
    <w:rsid w:val="00993B18"/>
    <w:rsid w:val="00993F09"/>
    <w:rsid w:val="00994386"/>
    <w:rsid w:val="0099447D"/>
    <w:rsid w:val="0099475F"/>
    <w:rsid w:val="00995371"/>
    <w:rsid w:val="00995618"/>
    <w:rsid w:val="00995631"/>
    <w:rsid w:val="00995913"/>
    <w:rsid w:val="00995D6E"/>
    <w:rsid w:val="009964F0"/>
    <w:rsid w:val="0099685C"/>
    <w:rsid w:val="00996864"/>
    <w:rsid w:val="00996BB1"/>
    <w:rsid w:val="00996C8E"/>
    <w:rsid w:val="00997478"/>
    <w:rsid w:val="009A01D0"/>
    <w:rsid w:val="009A0C5C"/>
    <w:rsid w:val="009A0F1F"/>
    <w:rsid w:val="009A13D8"/>
    <w:rsid w:val="009A1A94"/>
    <w:rsid w:val="009A1B2D"/>
    <w:rsid w:val="009A23E5"/>
    <w:rsid w:val="009A2456"/>
    <w:rsid w:val="009A250A"/>
    <w:rsid w:val="009A279E"/>
    <w:rsid w:val="009A28EE"/>
    <w:rsid w:val="009A3015"/>
    <w:rsid w:val="009A3490"/>
    <w:rsid w:val="009A3802"/>
    <w:rsid w:val="009A398A"/>
    <w:rsid w:val="009A3AC1"/>
    <w:rsid w:val="009A3B4F"/>
    <w:rsid w:val="009A42A9"/>
    <w:rsid w:val="009A45FB"/>
    <w:rsid w:val="009A4B77"/>
    <w:rsid w:val="009A4ED8"/>
    <w:rsid w:val="009A5C72"/>
    <w:rsid w:val="009A5CEC"/>
    <w:rsid w:val="009A5DF5"/>
    <w:rsid w:val="009A6DB3"/>
    <w:rsid w:val="009A7A12"/>
    <w:rsid w:val="009A7D40"/>
    <w:rsid w:val="009B0063"/>
    <w:rsid w:val="009B0312"/>
    <w:rsid w:val="009B05FD"/>
    <w:rsid w:val="009B0A6F"/>
    <w:rsid w:val="009B0A94"/>
    <w:rsid w:val="009B0C62"/>
    <w:rsid w:val="009B0E65"/>
    <w:rsid w:val="009B0F8E"/>
    <w:rsid w:val="009B111F"/>
    <w:rsid w:val="009B11F4"/>
    <w:rsid w:val="009B143D"/>
    <w:rsid w:val="009B1D29"/>
    <w:rsid w:val="009B2575"/>
    <w:rsid w:val="009B2AE8"/>
    <w:rsid w:val="009B2FFB"/>
    <w:rsid w:val="009B30E5"/>
    <w:rsid w:val="009B37E5"/>
    <w:rsid w:val="009B3A00"/>
    <w:rsid w:val="009B3A6D"/>
    <w:rsid w:val="009B3A6F"/>
    <w:rsid w:val="009B3F20"/>
    <w:rsid w:val="009B405C"/>
    <w:rsid w:val="009B479B"/>
    <w:rsid w:val="009B4C96"/>
    <w:rsid w:val="009B5424"/>
    <w:rsid w:val="009B5622"/>
    <w:rsid w:val="009B56B5"/>
    <w:rsid w:val="009B57A6"/>
    <w:rsid w:val="009B588F"/>
    <w:rsid w:val="009B59E9"/>
    <w:rsid w:val="009B5ACF"/>
    <w:rsid w:val="009B5FEE"/>
    <w:rsid w:val="009B6371"/>
    <w:rsid w:val="009B6A16"/>
    <w:rsid w:val="009B6BE2"/>
    <w:rsid w:val="009B70AA"/>
    <w:rsid w:val="009B72B0"/>
    <w:rsid w:val="009B749D"/>
    <w:rsid w:val="009B79D0"/>
    <w:rsid w:val="009B7EBC"/>
    <w:rsid w:val="009C0795"/>
    <w:rsid w:val="009C0B37"/>
    <w:rsid w:val="009C0B44"/>
    <w:rsid w:val="009C10DC"/>
    <w:rsid w:val="009C1641"/>
    <w:rsid w:val="009C1B26"/>
    <w:rsid w:val="009C1F31"/>
    <w:rsid w:val="009C22FD"/>
    <w:rsid w:val="009C245E"/>
    <w:rsid w:val="009C24C8"/>
    <w:rsid w:val="009C271D"/>
    <w:rsid w:val="009C27E1"/>
    <w:rsid w:val="009C27FF"/>
    <w:rsid w:val="009C2DB7"/>
    <w:rsid w:val="009C30B9"/>
    <w:rsid w:val="009C352F"/>
    <w:rsid w:val="009C3895"/>
    <w:rsid w:val="009C3CF1"/>
    <w:rsid w:val="009C3EB5"/>
    <w:rsid w:val="009C4878"/>
    <w:rsid w:val="009C49B5"/>
    <w:rsid w:val="009C4BCD"/>
    <w:rsid w:val="009C5118"/>
    <w:rsid w:val="009C5420"/>
    <w:rsid w:val="009C5506"/>
    <w:rsid w:val="009C58DC"/>
    <w:rsid w:val="009C5E39"/>
    <w:rsid w:val="009C5E77"/>
    <w:rsid w:val="009C712E"/>
    <w:rsid w:val="009C77DD"/>
    <w:rsid w:val="009C79F7"/>
    <w:rsid w:val="009C7A7E"/>
    <w:rsid w:val="009C7AEA"/>
    <w:rsid w:val="009C7FEA"/>
    <w:rsid w:val="009D02E8"/>
    <w:rsid w:val="009D0382"/>
    <w:rsid w:val="009D0A4B"/>
    <w:rsid w:val="009D0C56"/>
    <w:rsid w:val="009D189C"/>
    <w:rsid w:val="009D1A9F"/>
    <w:rsid w:val="009D2129"/>
    <w:rsid w:val="009D223A"/>
    <w:rsid w:val="009D2550"/>
    <w:rsid w:val="009D2A70"/>
    <w:rsid w:val="009D2BC9"/>
    <w:rsid w:val="009D2C12"/>
    <w:rsid w:val="009D2CF2"/>
    <w:rsid w:val="009D3061"/>
    <w:rsid w:val="009D3132"/>
    <w:rsid w:val="009D328F"/>
    <w:rsid w:val="009D3437"/>
    <w:rsid w:val="009D3920"/>
    <w:rsid w:val="009D3A29"/>
    <w:rsid w:val="009D4C00"/>
    <w:rsid w:val="009D51D0"/>
    <w:rsid w:val="009D51E3"/>
    <w:rsid w:val="009D53CA"/>
    <w:rsid w:val="009D53D9"/>
    <w:rsid w:val="009D55D9"/>
    <w:rsid w:val="009D5AEB"/>
    <w:rsid w:val="009D5B47"/>
    <w:rsid w:val="009D5CDB"/>
    <w:rsid w:val="009D5CE3"/>
    <w:rsid w:val="009D605E"/>
    <w:rsid w:val="009D630D"/>
    <w:rsid w:val="009D6FAC"/>
    <w:rsid w:val="009D70A4"/>
    <w:rsid w:val="009D76DD"/>
    <w:rsid w:val="009D7B14"/>
    <w:rsid w:val="009E03CB"/>
    <w:rsid w:val="009E08D1"/>
    <w:rsid w:val="009E08FF"/>
    <w:rsid w:val="009E0D96"/>
    <w:rsid w:val="009E0E05"/>
    <w:rsid w:val="009E0F84"/>
    <w:rsid w:val="009E1395"/>
    <w:rsid w:val="009E1465"/>
    <w:rsid w:val="009E1873"/>
    <w:rsid w:val="009E1B95"/>
    <w:rsid w:val="009E1E57"/>
    <w:rsid w:val="009E1FCC"/>
    <w:rsid w:val="009E2163"/>
    <w:rsid w:val="009E24D2"/>
    <w:rsid w:val="009E271D"/>
    <w:rsid w:val="009E2A1C"/>
    <w:rsid w:val="009E3391"/>
    <w:rsid w:val="009E353A"/>
    <w:rsid w:val="009E38CD"/>
    <w:rsid w:val="009E3DB5"/>
    <w:rsid w:val="009E3F60"/>
    <w:rsid w:val="009E47B1"/>
    <w:rsid w:val="009E496F"/>
    <w:rsid w:val="009E4B0D"/>
    <w:rsid w:val="009E4C68"/>
    <w:rsid w:val="009E4CEF"/>
    <w:rsid w:val="009E4EDC"/>
    <w:rsid w:val="009E5250"/>
    <w:rsid w:val="009E5438"/>
    <w:rsid w:val="009E5A44"/>
    <w:rsid w:val="009E5C70"/>
    <w:rsid w:val="009E5DE2"/>
    <w:rsid w:val="009E5FFE"/>
    <w:rsid w:val="009E6590"/>
    <w:rsid w:val="009E6907"/>
    <w:rsid w:val="009E6C6F"/>
    <w:rsid w:val="009E6E55"/>
    <w:rsid w:val="009E6E99"/>
    <w:rsid w:val="009E703D"/>
    <w:rsid w:val="009E709D"/>
    <w:rsid w:val="009E731D"/>
    <w:rsid w:val="009E7510"/>
    <w:rsid w:val="009E772B"/>
    <w:rsid w:val="009E7A69"/>
    <w:rsid w:val="009E7DDD"/>
    <w:rsid w:val="009E7F92"/>
    <w:rsid w:val="009E7FBF"/>
    <w:rsid w:val="009F00E1"/>
    <w:rsid w:val="009F01BC"/>
    <w:rsid w:val="009F020D"/>
    <w:rsid w:val="009F02A3"/>
    <w:rsid w:val="009F0459"/>
    <w:rsid w:val="009F053B"/>
    <w:rsid w:val="009F0BA9"/>
    <w:rsid w:val="009F0DF0"/>
    <w:rsid w:val="009F175D"/>
    <w:rsid w:val="009F1CA9"/>
    <w:rsid w:val="009F1EE6"/>
    <w:rsid w:val="009F2059"/>
    <w:rsid w:val="009F2182"/>
    <w:rsid w:val="009F2F27"/>
    <w:rsid w:val="009F34AA"/>
    <w:rsid w:val="009F36AC"/>
    <w:rsid w:val="009F3B31"/>
    <w:rsid w:val="009F3BE7"/>
    <w:rsid w:val="009F3CFD"/>
    <w:rsid w:val="009F4355"/>
    <w:rsid w:val="009F4396"/>
    <w:rsid w:val="009F43DA"/>
    <w:rsid w:val="009F4D3F"/>
    <w:rsid w:val="009F4D9A"/>
    <w:rsid w:val="009F56D1"/>
    <w:rsid w:val="009F5752"/>
    <w:rsid w:val="009F5D62"/>
    <w:rsid w:val="009F5E41"/>
    <w:rsid w:val="009F60CF"/>
    <w:rsid w:val="009F6854"/>
    <w:rsid w:val="009F6BB9"/>
    <w:rsid w:val="009F6BCB"/>
    <w:rsid w:val="009F6C0B"/>
    <w:rsid w:val="009F6E0D"/>
    <w:rsid w:val="009F72BA"/>
    <w:rsid w:val="009F778F"/>
    <w:rsid w:val="009F77AA"/>
    <w:rsid w:val="009F79E1"/>
    <w:rsid w:val="009F7B78"/>
    <w:rsid w:val="00A0057A"/>
    <w:rsid w:val="00A00E44"/>
    <w:rsid w:val="00A00F68"/>
    <w:rsid w:val="00A013C7"/>
    <w:rsid w:val="00A01BDB"/>
    <w:rsid w:val="00A01F9E"/>
    <w:rsid w:val="00A01FB1"/>
    <w:rsid w:val="00A021D1"/>
    <w:rsid w:val="00A02269"/>
    <w:rsid w:val="00A02377"/>
    <w:rsid w:val="00A02B49"/>
    <w:rsid w:val="00A02FA1"/>
    <w:rsid w:val="00A031BA"/>
    <w:rsid w:val="00A03B1A"/>
    <w:rsid w:val="00A03BC0"/>
    <w:rsid w:val="00A03D92"/>
    <w:rsid w:val="00A0427F"/>
    <w:rsid w:val="00A04C94"/>
    <w:rsid w:val="00A04CAF"/>
    <w:rsid w:val="00A04CCE"/>
    <w:rsid w:val="00A04E9B"/>
    <w:rsid w:val="00A052E9"/>
    <w:rsid w:val="00A05935"/>
    <w:rsid w:val="00A05999"/>
    <w:rsid w:val="00A059E7"/>
    <w:rsid w:val="00A05CFC"/>
    <w:rsid w:val="00A06118"/>
    <w:rsid w:val="00A0625F"/>
    <w:rsid w:val="00A063D0"/>
    <w:rsid w:val="00A0649F"/>
    <w:rsid w:val="00A06765"/>
    <w:rsid w:val="00A0685E"/>
    <w:rsid w:val="00A06F3B"/>
    <w:rsid w:val="00A07421"/>
    <w:rsid w:val="00A0776B"/>
    <w:rsid w:val="00A07BE9"/>
    <w:rsid w:val="00A07E12"/>
    <w:rsid w:val="00A10ADB"/>
    <w:rsid w:val="00A10C39"/>
    <w:rsid w:val="00A10FB9"/>
    <w:rsid w:val="00A11421"/>
    <w:rsid w:val="00A1165E"/>
    <w:rsid w:val="00A124D1"/>
    <w:rsid w:val="00A12988"/>
    <w:rsid w:val="00A12E53"/>
    <w:rsid w:val="00A13086"/>
    <w:rsid w:val="00A135D5"/>
    <w:rsid w:val="00A13844"/>
    <w:rsid w:val="00A1389F"/>
    <w:rsid w:val="00A139A0"/>
    <w:rsid w:val="00A141A7"/>
    <w:rsid w:val="00A1439E"/>
    <w:rsid w:val="00A1563A"/>
    <w:rsid w:val="00A157B1"/>
    <w:rsid w:val="00A15924"/>
    <w:rsid w:val="00A15E36"/>
    <w:rsid w:val="00A1619D"/>
    <w:rsid w:val="00A16394"/>
    <w:rsid w:val="00A16500"/>
    <w:rsid w:val="00A16E82"/>
    <w:rsid w:val="00A16EDF"/>
    <w:rsid w:val="00A17239"/>
    <w:rsid w:val="00A17503"/>
    <w:rsid w:val="00A176B5"/>
    <w:rsid w:val="00A17AF1"/>
    <w:rsid w:val="00A17D0E"/>
    <w:rsid w:val="00A17D7A"/>
    <w:rsid w:val="00A201DA"/>
    <w:rsid w:val="00A202AA"/>
    <w:rsid w:val="00A20378"/>
    <w:rsid w:val="00A205C5"/>
    <w:rsid w:val="00A2065E"/>
    <w:rsid w:val="00A20762"/>
    <w:rsid w:val="00A20905"/>
    <w:rsid w:val="00A20A5E"/>
    <w:rsid w:val="00A20CEF"/>
    <w:rsid w:val="00A210FF"/>
    <w:rsid w:val="00A216DC"/>
    <w:rsid w:val="00A21DF2"/>
    <w:rsid w:val="00A2217B"/>
    <w:rsid w:val="00A22229"/>
    <w:rsid w:val="00A227C6"/>
    <w:rsid w:val="00A22B13"/>
    <w:rsid w:val="00A22E24"/>
    <w:rsid w:val="00A2366D"/>
    <w:rsid w:val="00A23D44"/>
    <w:rsid w:val="00A2400D"/>
    <w:rsid w:val="00A24442"/>
    <w:rsid w:val="00A24ADA"/>
    <w:rsid w:val="00A25045"/>
    <w:rsid w:val="00A2504D"/>
    <w:rsid w:val="00A2553F"/>
    <w:rsid w:val="00A256ED"/>
    <w:rsid w:val="00A25772"/>
    <w:rsid w:val="00A25AB1"/>
    <w:rsid w:val="00A269E2"/>
    <w:rsid w:val="00A27758"/>
    <w:rsid w:val="00A2778C"/>
    <w:rsid w:val="00A278EB"/>
    <w:rsid w:val="00A30801"/>
    <w:rsid w:val="00A30863"/>
    <w:rsid w:val="00A30914"/>
    <w:rsid w:val="00A3091A"/>
    <w:rsid w:val="00A30B5B"/>
    <w:rsid w:val="00A311D9"/>
    <w:rsid w:val="00A312C1"/>
    <w:rsid w:val="00A31419"/>
    <w:rsid w:val="00A31871"/>
    <w:rsid w:val="00A31D26"/>
    <w:rsid w:val="00A31DED"/>
    <w:rsid w:val="00A32310"/>
    <w:rsid w:val="00A323DD"/>
    <w:rsid w:val="00A32577"/>
    <w:rsid w:val="00A32822"/>
    <w:rsid w:val="00A32A49"/>
    <w:rsid w:val="00A3306E"/>
    <w:rsid w:val="00A330BB"/>
    <w:rsid w:val="00A334C1"/>
    <w:rsid w:val="00A33674"/>
    <w:rsid w:val="00A3391A"/>
    <w:rsid w:val="00A33B02"/>
    <w:rsid w:val="00A33C77"/>
    <w:rsid w:val="00A34201"/>
    <w:rsid w:val="00A344C3"/>
    <w:rsid w:val="00A345CC"/>
    <w:rsid w:val="00A346D3"/>
    <w:rsid w:val="00A349E2"/>
    <w:rsid w:val="00A34CC6"/>
    <w:rsid w:val="00A34E32"/>
    <w:rsid w:val="00A35357"/>
    <w:rsid w:val="00A354CC"/>
    <w:rsid w:val="00A35CE7"/>
    <w:rsid w:val="00A35DFE"/>
    <w:rsid w:val="00A3633F"/>
    <w:rsid w:val="00A370D8"/>
    <w:rsid w:val="00A37176"/>
    <w:rsid w:val="00A37C74"/>
    <w:rsid w:val="00A37C96"/>
    <w:rsid w:val="00A37DD2"/>
    <w:rsid w:val="00A4021D"/>
    <w:rsid w:val="00A40A0E"/>
    <w:rsid w:val="00A40B6A"/>
    <w:rsid w:val="00A40CDE"/>
    <w:rsid w:val="00A40E63"/>
    <w:rsid w:val="00A40F3D"/>
    <w:rsid w:val="00A41866"/>
    <w:rsid w:val="00A41895"/>
    <w:rsid w:val="00A418A5"/>
    <w:rsid w:val="00A42090"/>
    <w:rsid w:val="00A4225E"/>
    <w:rsid w:val="00A42310"/>
    <w:rsid w:val="00A4241F"/>
    <w:rsid w:val="00A42A6B"/>
    <w:rsid w:val="00A43242"/>
    <w:rsid w:val="00A43254"/>
    <w:rsid w:val="00A432A0"/>
    <w:rsid w:val="00A43850"/>
    <w:rsid w:val="00A43909"/>
    <w:rsid w:val="00A43B81"/>
    <w:rsid w:val="00A44283"/>
    <w:rsid w:val="00A442CF"/>
    <w:rsid w:val="00A445C7"/>
    <w:rsid w:val="00A446F5"/>
    <w:rsid w:val="00A44882"/>
    <w:rsid w:val="00A45125"/>
    <w:rsid w:val="00A454F2"/>
    <w:rsid w:val="00A45697"/>
    <w:rsid w:val="00A456CF"/>
    <w:rsid w:val="00A45DD3"/>
    <w:rsid w:val="00A45F34"/>
    <w:rsid w:val="00A4678E"/>
    <w:rsid w:val="00A46F8A"/>
    <w:rsid w:val="00A475AC"/>
    <w:rsid w:val="00A47A75"/>
    <w:rsid w:val="00A50D9E"/>
    <w:rsid w:val="00A5102F"/>
    <w:rsid w:val="00A51063"/>
    <w:rsid w:val="00A5184F"/>
    <w:rsid w:val="00A5194E"/>
    <w:rsid w:val="00A519B7"/>
    <w:rsid w:val="00A51C75"/>
    <w:rsid w:val="00A51C80"/>
    <w:rsid w:val="00A52118"/>
    <w:rsid w:val="00A523DC"/>
    <w:rsid w:val="00A52485"/>
    <w:rsid w:val="00A52E22"/>
    <w:rsid w:val="00A530F0"/>
    <w:rsid w:val="00A53351"/>
    <w:rsid w:val="00A534F2"/>
    <w:rsid w:val="00A53719"/>
    <w:rsid w:val="00A538AD"/>
    <w:rsid w:val="00A53B7A"/>
    <w:rsid w:val="00A53E9A"/>
    <w:rsid w:val="00A541C6"/>
    <w:rsid w:val="00A541FE"/>
    <w:rsid w:val="00A5443C"/>
    <w:rsid w:val="00A54715"/>
    <w:rsid w:val="00A54B74"/>
    <w:rsid w:val="00A54D22"/>
    <w:rsid w:val="00A551AE"/>
    <w:rsid w:val="00A55630"/>
    <w:rsid w:val="00A556BD"/>
    <w:rsid w:val="00A55744"/>
    <w:rsid w:val="00A5577B"/>
    <w:rsid w:val="00A55D04"/>
    <w:rsid w:val="00A56BFF"/>
    <w:rsid w:val="00A57223"/>
    <w:rsid w:val="00A57C50"/>
    <w:rsid w:val="00A57F07"/>
    <w:rsid w:val="00A603F4"/>
    <w:rsid w:val="00A6061C"/>
    <w:rsid w:val="00A60D5A"/>
    <w:rsid w:val="00A61540"/>
    <w:rsid w:val="00A615A4"/>
    <w:rsid w:val="00A61A43"/>
    <w:rsid w:val="00A62310"/>
    <w:rsid w:val="00A62573"/>
    <w:rsid w:val="00A62A85"/>
    <w:rsid w:val="00A62AE5"/>
    <w:rsid w:val="00A62D44"/>
    <w:rsid w:val="00A62EED"/>
    <w:rsid w:val="00A6306E"/>
    <w:rsid w:val="00A6316B"/>
    <w:rsid w:val="00A635D3"/>
    <w:rsid w:val="00A63CB4"/>
    <w:rsid w:val="00A63CBF"/>
    <w:rsid w:val="00A63E0A"/>
    <w:rsid w:val="00A63FCC"/>
    <w:rsid w:val="00A640BF"/>
    <w:rsid w:val="00A6413F"/>
    <w:rsid w:val="00A64C92"/>
    <w:rsid w:val="00A64CA9"/>
    <w:rsid w:val="00A64CB7"/>
    <w:rsid w:val="00A6516A"/>
    <w:rsid w:val="00A651F1"/>
    <w:rsid w:val="00A652E8"/>
    <w:rsid w:val="00A65441"/>
    <w:rsid w:val="00A6544F"/>
    <w:rsid w:val="00A6593B"/>
    <w:rsid w:val="00A66130"/>
    <w:rsid w:val="00A663FF"/>
    <w:rsid w:val="00A66786"/>
    <w:rsid w:val="00A66DBF"/>
    <w:rsid w:val="00A66DC1"/>
    <w:rsid w:val="00A67082"/>
    <w:rsid w:val="00A67110"/>
    <w:rsid w:val="00A67263"/>
    <w:rsid w:val="00A6731C"/>
    <w:rsid w:val="00A6763D"/>
    <w:rsid w:val="00A678CF"/>
    <w:rsid w:val="00A6799C"/>
    <w:rsid w:val="00A67C61"/>
    <w:rsid w:val="00A703F7"/>
    <w:rsid w:val="00A70579"/>
    <w:rsid w:val="00A7091E"/>
    <w:rsid w:val="00A70ADD"/>
    <w:rsid w:val="00A70BCE"/>
    <w:rsid w:val="00A70D2D"/>
    <w:rsid w:val="00A70DD2"/>
    <w:rsid w:val="00A712D4"/>
    <w:rsid w:val="00A7143E"/>
    <w:rsid w:val="00A7161C"/>
    <w:rsid w:val="00A719B2"/>
    <w:rsid w:val="00A71CE4"/>
    <w:rsid w:val="00A71F3D"/>
    <w:rsid w:val="00A7267F"/>
    <w:rsid w:val="00A726B8"/>
    <w:rsid w:val="00A72A80"/>
    <w:rsid w:val="00A72CFD"/>
    <w:rsid w:val="00A72E24"/>
    <w:rsid w:val="00A74266"/>
    <w:rsid w:val="00A74485"/>
    <w:rsid w:val="00A74E55"/>
    <w:rsid w:val="00A750F4"/>
    <w:rsid w:val="00A754FB"/>
    <w:rsid w:val="00A75622"/>
    <w:rsid w:val="00A757EC"/>
    <w:rsid w:val="00A758A5"/>
    <w:rsid w:val="00A758B9"/>
    <w:rsid w:val="00A75F1C"/>
    <w:rsid w:val="00A75FC8"/>
    <w:rsid w:val="00A760FE"/>
    <w:rsid w:val="00A772FF"/>
    <w:rsid w:val="00A77314"/>
    <w:rsid w:val="00A777FA"/>
    <w:rsid w:val="00A77A5B"/>
    <w:rsid w:val="00A77A8B"/>
    <w:rsid w:val="00A77AA3"/>
    <w:rsid w:val="00A77C9B"/>
    <w:rsid w:val="00A80057"/>
    <w:rsid w:val="00A804BF"/>
    <w:rsid w:val="00A80945"/>
    <w:rsid w:val="00A80972"/>
    <w:rsid w:val="00A80EF2"/>
    <w:rsid w:val="00A81282"/>
    <w:rsid w:val="00A8171D"/>
    <w:rsid w:val="00A81A75"/>
    <w:rsid w:val="00A81FB3"/>
    <w:rsid w:val="00A8225F"/>
    <w:rsid w:val="00A8236D"/>
    <w:rsid w:val="00A82590"/>
    <w:rsid w:val="00A826B8"/>
    <w:rsid w:val="00A8282B"/>
    <w:rsid w:val="00A82E35"/>
    <w:rsid w:val="00A82F44"/>
    <w:rsid w:val="00A8348A"/>
    <w:rsid w:val="00A83556"/>
    <w:rsid w:val="00A83792"/>
    <w:rsid w:val="00A83933"/>
    <w:rsid w:val="00A83D8F"/>
    <w:rsid w:val="00A84866"/>
    <w:rsid w:val="00A84C16"/>
    <w:rsid w:val="00A84D1C"/>
    <w:rsid w:val="00A84F69"/>
    <w:rsid w:val="00A854EB"/>
    <w:rsid w:val="00A85A66"/>
    <w:rsid w:val="00A85A6A"/>
    <w:rsid w:val="00A85AE7"/>
    <w:rsid w:val="00A86038"/>
    <w:rsid w:val="00A86A24"/>
    <w:rsid w:val="00A86E8D"/>
    <w:rsid w:val="00A86F76"/>
    <w:rsid w:val="00A872E5"/>
    <w:rsid w:val="00A876CF"/>
    <w:rsid w:val="00A87932"/>
    <w:rsid w:val="00A9005D"/>
    <w:rsid w:val="00A906B9"/>
    <w:rsid w:val="00A90828"/>
    <w:rsid w:val="00A90976"/>
    <w:rsid w:val="00A90A25"/>
    <w:rsid w:val="00A90F37"/>
    <w:rsid w:val="00A91406"/>
    <w:rsid w:val="00A91473"/>
    <w:rsid w:val="00A9193E"/>
    <w:rsid w:val="00A91A04"/>
    <w:rsid w:val="00A91CE4"/>
    <w:rsid w:val="00A91D78"/>
    <w:rsid w:val="00A91EA7"/>
    <w:rsid w:val="00A9233A"/>
    <w:rsid w:val="00A926B9"/>
    <w:rsid w:val="00A92C6F"/>
    <w:rsid w:val="00A92E71"/>
    <w:rsid w:val="00A933ED"/>
    <w:rsid w:val="00A9378F"/>
    <w:rsid w:val="00A93DAD"/>
    <w:rsid w:val="00A93EDB"/>
    <w:rsid w:val="00A94256"/>
    <w:rsid w:val="00A9492B"/>
    <w:rsid w:val="00A94E77"/>
    <w:rsid w:val="00A94FD8"/>
    <w:rsid w:val="00A9508D"/>
    <w:rsid w:val="00A9554C"/>
    <w:rsid w:val="00A959FC"/>
    <w:rsid w:val="00A95D1D"/>
    <w:rsid w:val="00A961D9"/>
    <w:rsid w:val="00A96298"/>
    <w:rsid w:val="00A96563"/>
    <w:rsid w:val="00A966FC"/>
    <w:rsid w:val="00A96B1B"/>
    <w:rsid w:val="00A96DC3"/>
    <w:rsid w:val="00A96E65"/>
    <w:rsid w:val="00A96ECE"/>
    <w:rsid w:val="00A9706A"/>
    <w:rsid w:val="00A9730B"/>
    <w:rsid w:val="00A973A1"/>
    <w:rsid w:val="00A97A78"/>
    <w:rsid w:val="00A97C72"/>
    <w:rsid w:val="00AA004F"/>
    <w:rsid w:val="00AA02E9"/>
    <w:rsid w:val="00AA05EB"/>
    <w:rsid w:val="00AA0817"/>
    <w:rsid w:val="00AA0869"/>
    <w:rsid w:val="00AA09E1"/>
    <w:rsid w:val="00AA1085"/>
    <w:rsid w:val="00AA1471"/>
    <w:rsid w:val="00AA1F20"/>
    <w:rsid w:val="00AA226A"/>
    <w:rsid w:val="00AA22F8"/>
    <w:rsid w:val="00AA2429"/>
    <w:rsid w:val="00AA245B"/>
    <w:rsid w:val="00AA2670"/>
    <w:rsid w:val="00AA2AF6"/>
    <w:rsid w:val="00AA30E3"/>
    <w:rsid w:val="00AA310B"/>
    <w:rsid w:val="00AA3771"/>
    <w:rsid w:val="00AA3B25"/>
    <w:rsid w:val="00AA3EBD"/>
    <w:rsid w:val="00AA4504"/>
    <w:rsid w:val="00AA458C"/>
    <w:rsid w:val="00AA4604"/>
    <w:rsid w:val="00AA4880"/>
    <w:rsid w:val="00AA4BDD"/>
    <w:rsid w:val="00AA4C2D"/>
    <w:rsid w:val="00AA4CC7"/>
    <w:rsid w:val="00AA4D01"/>
    <w:rsid w:val="00AA5530"/>
    <w:rsid w:val="00AA58C6"/>
    <w:rsid w:val="00AA5D50"/>
    <w:rsid w:val="00AA5F0E"/>
    <w:rsid w:val="00AA5FE3"/>
    <w:rsid w:val="00AA63D4"/>
    <w:rsid w:val="00AA63E0"/>
    <w:rsid w:val="00AA6D08"/>
    <w:rsid w:val="00AA7060"/>
    <w:rsid w:val="00AA70DE"/>
    <w:rsid w:val="00AA72AA"/>
    <w:rsid w:val="00AA7585"/>
    <w:rsid w:val="00AA7A4C"/>
    <w:rsid w:val="00AA7B3A"/>
    <w:rsid w:val="00AA7DE6"/>
    <w:rsid w:val="00AB06E8"/>
    <w:rsid w:val="00AB0BD2"/>
    <w:rsid w:val="00AB1101"/>
    <w:rsid w:val="00AB1355"/>
    <w:rsid w:val="00AB18DB"/>
    <w:rsid w:val="00AB1B3A"/>
    <w:rsid w:val="00AB1CD3"/>
    <w:rsid w:val="00AB1D64"/>
    <w:rsid w:val="00AB1E16"/>
    <w:rsid w:val="00AB1F2C"/>
    <w:rsid w:val="00AB2027"/>
    <w:rsid w:val="00AB209E"/>
    <w:rsid w:val="00AB2524"/>
    <w:rsid w:val="00AB2544"/>
    <w:rsid w:val="00AB270F"/>
    <w:rsid w:val="00AB27CA"/>
    <w:rsid w:val="00AB2871"/>
    <w:rsid w:val="00AB28E2"/>
    <w:rsid w:val="00AB2C07"/>
    <w:rsid w:val="00AB2D47"/>
    <w:rsid w:val="00AB2F24"/>
    <w:rsid w:val="00AB352F"/>
    <w:rsid w:val="00AB4950"/>
    <w:rsid w:val="00AB4BD8"/>
    <w:rsid w:val="00AB5015"/>
    <w:rsid w:val="00AB5647"/>
    <w:rsid w:val="00AB5B3C"/>
    <w:rsid w:val="00AB6032"/>
    <w:rsid w:val="00AB658F"/>
    <w:rsid w:val="00AB6AB7"/>
    <w:rsid w:val="00AB7028"/>
    <w:rsid w:val="00AB76BD"/>
    <w:rsid w:val="00AB770E"/>
    <w:rsid w:val="00AB7AE0"/>
    <w:rsid w:val="00AB7CA5"/>
    <w:rsid w:val="00AB7DA5"/>
    <w:rsid w:val="00AC01E0"/>
    <w:rsid w:val="00AC04B0"/>
    <w:rsid w:val="00AC051F"/>
    <w:rsid w:val="00AC056E"/>
    <w:rsid w:val="00AC05DB"/>
    <w:rsid w:val="00AC0834"/>
    <w:rsid w:val="00AC0983"/>
    <w:rsid w:val="00AC0A42"/>
    <w:rsid w:val="00AC0CA5"/>
    <w:rsid w:val="00AC107C"/>
    <w:rsid w:val="00AC1481"/>
    <w:rsid w:val="00AC1C48"/>
    <w:rsid w:val="00AC2573"/>
    <w:rsid w:val="00AC274B"/>
    <w:rsid w:val="00AC28E3"/>
    <w:rsid w:val="00AC2BDB"/>
    <w:rsid w:val="00AC2E53"/>
    <w:rsid w:val="00AC2F7C"/>
    <w:rsid w:val="00AC37CB"/>
    <w:rsid w:val="00AC380C"/>
    <w:rsid w:val="00AC387A"/>
    <w:rsid w:val="00AC3A73"/>
    <w:rsid w:val="00AC3DA1"/>
    <w:rsid w:val="00AC3FD4"/>
    <w:rsid w:val="00AC4124"/>
    <w:rsid w:val="00AC43F9"/>
    <w:rsid w:val="00AC46F5"/>
    <w:rsid w:val="00AC475F"/>
    <w:rsid w:val="00AC4764"/>
    <w:rsid w:val="00AC4B9E"/>
    <w:rsid w:val="00AC4C29"/>
    <w:rsid w:val="00AC4C41"/>
    <w:rsid w:val="00AC4D58"/>
    <w:rsid w:val="00AC4F86"/>
    <w:rsid w:val="00AC576A"/>
    <w:rsid w:val="00AC586D"/>
    <w:rsid w:val="00AC5929"/>
    <w:rsid w:val="00AC5A5B"/>
    <w:rsid w:val="00AC5AB5"/>
    <w:rsid w:val="00AC5FF9"/>
    <w:rsid w:val="00AC6B47"/>
    <w:rsid w:val="00AC6D1A"/>
    <w:rsid w:val="00AC6D36"/>
    <w:rsid w:val="00AC6E1E"/>
    <w:rsid w:val="00AC6F6D"/>
    <w:rsid w:val="00AC6F9A"/>
    <w:rsid w:val="00AC756A"/>
    <w:rsid w:val="00AC7B4C"/>
    <w:rsid w:val="00AD0249"/>
    <w:rsid w:val="00AD0847"/>
    <w:rsid w:val="00AD0CBA"/>
    <w:rsid w:val="00AD115B"/>
    <w:rsid w:val="00AD177E"/>
    <w:rsid w:val="00AD1979"/>
    <w:rsid w:val="00AD1AA9"/>
    <w:rsid w:val="00AD1B11"/>
    <w:rsid w:val="00AD1BA0"/>
    <w:rsid w:val="00AD1CA2"/>
    <w:rsid w:val="00AD1E47"/>
    <w:rsid w:val="00AD26E2"/>
    <w:rsid w:val="00AD28A6"/>
    <w:rsid w:val="00AD29EA"/>
    <w:rsid w:val="00AD2CE7"/>
    <w:rsid w:val="00AD2D23"/>
    <w:rsid w:val="00AD2F20"/>
    <w:rsid w:val="00AD309A"/>
    <w:rsid w:val="00AD3C67"/>
    <w:rsid w:val="00AD3F56"/>
    <w:rsid w:val="00AD3FB4"/>
    <w:rsid w:val="00AD4435"/>
    <w:rsid w:val="00AD446C"/>
    <w:rsid w:val="00AD4733"/>
    <w:rsid w:val="00AD51C1"/>
    <w:rsid w:val="00AD5295"/>
    <w:rsid w:val="00AD5543"/>
    <w:rsid w:val="00AD6155"/>
    <w:rsid w:val="00AD6ADD"/>
    <w:rsid w:val="00AD6D8D"/>
    <w:rsid w:val="00AD6DF2"/>
    <w:rsid w:val="00AD7145"/>
    <w:rsid w:val="00AD784C"/>
    <w:rsid w:val="00AD79BD"/>
    <w:rsid w:val="00AE00B6"/>
    <w:rsid w:val="00AE0383"/>
    <w:rsid w:val="00AE0898"/>
    <w:rsid w:val="00AE0FBC"/>
    <w:rsid w:val="00AE10A3"/>
    <w:rsid w:val="00AE10EA"/>
    <w:rsid w:val="00AE126A"/>
    <w:rsid w:val="00AE15E7"/>
    <w:rsid w:val="00AE1AC5"/>
    <w:rsid w:val="00AE1BAE"/>
    <w:rsid w:val="00AE1EF2"/>
    <w:rsid w:val="00AE249A"/>
    <w:rsid w:val="00AE2CE6"/>
    <w:rsid w:val="00AE3005"/>
    <w:rsid w:val="00AE309A"/>
    <w:rsid w:val="00AE357D"/>
    <w:rsid w:val="00AE3BD5"/>
    <w:rsid w:val="00AE3FCD"/>
    <w:rsid w:val="00AE4416"/>
    <w:rsid w:val="00AE4FCE"/>
    <w:rsid w:val="00AE51F8"/>
    <w:rsid w:val="00AE585D"/>
    <w:rsid w:val="00AE59A0"/>
    <w:rsid w:val="00AE6201"/>
    <w:rsid w:val="00AE689F"/>
    <w:rsid w:val="00AE6B89"/>
    <w:rsid w:val="00AE71E4"/>
    <w:rsid w:val="00AE72E6"/>
    <w:rsid w:val="00AE77F5"/>
    <w:rsid w:val="00AE7BD1"/>
    <w:rsid w:val="00AE7E85"/>
    <w:rsid w:val="00AE7E96"/>
    <w:rsid w:val="00AF00C0"/>
    <w:rsid w:val="00AF0693"/>
    <w:rsid w:val="00AF0C57"/>
    <w:rsid w:val="00AF103B"/>
    <w:rsid w:val="00AF1081"/>
    <w:rsid w:val="00AF17D2"/>
    <w:rsid w:val="00AF1906"/>
    <w:rsid w:val="00AF19A8"/>
    <w:rsid w:val="00AF1B61"/>
    <w:rsid w:val="00AF1C88"/>
    <w:rsid w:val="00AF1EB5"/>
    <w:rsid w:val="00AF1ED8"/>
    <w:rsid w:val="00AF21D3"/>
    <w:rsid w:val="00AF26F3"/>
    <w:rsid w:val="00AF333E"/>
    <w:rsid w:val="00AF3557"/>
    <w:rsid w:val="00AF3755"/>
    <w:rsid w:val="00AF377E"/>
    <w:rsid w:val="00AF4091"/>
    <w:rsid w:val="00AF4ABD"/>
    <w:rsid w:val="00AF503D"/>
    <w:rsid w:val="00AF5EF8"/>
    <w:rsid w:val="00AF5F04"/>
    <w:rsid w:val="00AF61CE"/>
    <w:rsid w:val="00AF67CF"/>
    <w:rsid w:val="00AF681E"/>
    <w:rsid w:val="00AF68C8"/>
    <w:rsid w:val="00AF6C0B"/>
    <w:rsid w:val="00AF7098"/>
    <w:rsid w:val="00AF70C0"/>
    <w:rsid w:val="00AF7378"/>
    <w:rsid w:val="00AF7639"/>
    <w:rsid w:val="00AF76B4"/>
    <w:rsid w:val="00B000BB"/>
    <w:rsid w:val="00B00349"/>
    <w:rsid w:val="00B00672"/>
    <w:rsid w:val="00B008D7"/>
    <w:rsid w:val="00B00B19"/>
    <w:rsid w:val="00B0107E"/>
    <w:rsid w:val="00B0141A"/>
    <w:rsid w:val="00B01430"/>
    <w:rsid w:val="00B016FB"/>
    <w:rsid w:val="00B0181A"/>
    <w:rsid w:val="00B01B4D"/>
    <w:rsid w:val="00B01E97"/>
    <w:rsid w:val="00B02238"/>
    <w:rsid w:val="00B02A87"/>
    <w:rsid w:val="00B02C2B"/>
    <w:rsid w:val="00B02DB7"/>
    <w:rsid w:val="00B02F00"/>
    <w:rsid w:val="00B0376E"/>
    <w:rsid w:val="00B03CF3"/>
    <w:rsid w:val="00B042AD"/>
    <w:rsid w:val="00B04489"/>
    <w:rsid w:val="00B04493"/>
    <w:rsid w:val="00B04558"/>
    <w:rsid w:val="00B0496F"/>
    <w:rsid w:val="00B04A83"/>
    <w:rsid w:val="00B04CA6"/>
    <w:rsid w:val="00B04D85"/>
    <w:rsid w:val="00B04DD4"/>
    <w:rsid w:val="00B050C6"/>
    <w:rsid w:val="00B0550D"/>
    <w:rsid w:val="00B055B4"/>
    <w:rsid w:val="00B05BA0"/>
    <w:rsid w:val="00B06571"/>
    <w:rsid w:val="00B068BA"/>
    <w:rsid w:val="00B06AF3"/>
    <w:rsid w:val="00B07217"/>
    <w:rsid w:val="00B074AA"/>
    <w:rsid w:val="00B07A64"/>
    <w:rsid w:val="00B07C2E"/>
    <w:rsid w:val="00B1003A"/>
    <w:rsid w:val="00B10535"/>
    <w:rsid w:val="00B1057E"/>
    <w:rsid w:val="00B106B9"/>
    <w:rsid w:val="00B1099C"/>
    <w:rsid w:val="00B109DB"/>
    <w:rsid w:val="00B10D1C"/>
    <w:rsid w:val="00B113C2"/>
    <w:rsid w:val="00B116AD"/>
    <w:rsid w:val="00B11C52"/>
    <w:rsid w:val="00B1286E"/>
    <w:rsid w:val="00B12DC1"/>
    <w:rsid w:val="00B12EF1"/>
    <w:rsid w:val="00B12F52"/>
    <w:rsid w:val="00B1365C"/>
    <w:rsid w:val="00B13851"/>
    <w:rsid w:val="00B13A69"/>
    <w:rsid w:val="00B13B1C"/>
    <w:rsid w:val="00B13E84"/>
    <w:rsid w:val="00B13EB7"/>
    <w:rsid w:val="00B1426D"/>
    <w:rsid w:val="00B14B5F"/>
    <w:rsid w:val="00B15188"/>
    <w:rsid w:val="00B151EB"/>
    <w:rsid w:val="00B1520E"/>
    <w:rsid w:val="00B15291"/>
    <w:rsid w:val="00B156AF"/>
    <w:rsid w:val="00B15BB7"/>
    <w:rsid w:val="00B15F82"/>
    <w:rsid w:val="00B15FFE"/>
    <w:rsid w:val="00B163A6"/>
    <w:rsid w:val="00B165D3"/>
    <w:rsid w:val="00B167D7"/>
    <w:rsid w:val="00B173BC"/>
    <w:rsid w:val="00B17FBC"/>
    <w:rsid w:val="00B17FFA"/>
    <w:rsid w:val="00B205B0"/>
    <w:rsid w:val="00B21154"/>
    <w:rsid w:val="00B21353"/>
    <w:rsid w:val="00B21A1A"/>
    <w:rsid w:val="00B21F90"/>
    <w:rsid w:val="00B21FBB"/>
    <w:rsid w:val="00B220C9"/>
    <w:rsid w:val="00B220F0"/>
    <w:rsid w:val="00B22291"/>
    <w:rsid w:val="00B223BD"/>
    <w:rsid w:val="00B2280D"/>
    <w:rsid w:val="00B22B50"/>
    <w:rsid w:val="00B22C36"/>
    <w:rsid w:val="00B22C99"/>
    <w:rsid w:val="00B22CD6"/>
    <w:rsid w:val="00B2335B"/>
    <w:rsid w:val="00B23396"/>
    <w:rsid w:val="00B2341F"/>
    <w:rsid w:val="00B23BA1"/>
    <w:rsid w:val="00B23D3B"/>
    <w:rsid w:val="00B23F24"/>
    <w:rsid w:val="00B23F7E"/>
    <w:rsid w:val="00B23F9A"/>
    <w:rsid w:val="00B2417B"/>
    <w:rsid w:val="00B24A67"/>
    <w:rsid w:val="00B24B45"/>
    <w:rsid w:val="00B24B7F"/>
    <w:rsid w:val="00B24C02"/>
    <w:rsid w:val="00B24C77"/>
    <w:rsid w:val="00B24E6F"/>
    <w:rsid w:val="00B25234"/>
    <w:rsid w:val="00B25289"/>
    <w:rsid w:val="00B26085"/>
    <w:rsid w:val="00B269A8"/>
    <w:rsid w:val="00B26CB5"/>
    <w:rsid w:val="00B2707E"/>
    <w:rsid w:val="00B27326"/>
    <w:rsid w:val="00B2752E"/>
    <w:rsid w:val="00B2757F"/>
    <w:rsid w:val="00B2789A"/>
    <w:rsid w:val="00B27B15"/>
    <w:rsid w:val="00B30105"/>
    <w:rsid w:val="00B30597"/>
    <w:rsid w:val="00B307CC"/>
    <w:rsid w:val="00B30B85"/>
    <w:rsid w:val="00B30CC7"/>
    <w:rsid w:val="00B3101F"/>
    <w:rsid w:val="00B317E0"/>
    <w:rsid w:val="00B3222D"/>
    <w:rsid w:val="00B3249A"/>
    <w:rsid w:val="00B326B7"/>
    <w:rsid w:val="00B32B0E"/>
    <w:rsid w:val="00B33398"/>
    <w:rsid w:val="00B3381E"/>
    <w:rsid w:val="00B33AD3"/>
    <w:rsid w:val="00B33D3F"/>
    <w:rsid w:val="00B33DD4"/>
    <w:rsid w:val="00B3445C"/>
    <w:rsid w:val="00B34741"/>
    <w:rsid w:val="00B34829"/>
    <w:rsid w:val="00B34D7F"/>
    <w:rsid w:val="00B3588E"/>
    <w:rsid w:val="00B36717"/>
    <w:rsid w:val="00B3753B"/>
    <w:rsid w:val="00B401C8"/>
    <w:rsid w:val="00B40253"/>
    <w:rsid w:val="00B40631"/>
    <w:rsid w:val="00B40736"/>
    <w:rsid w:val="00B412B9"/>
    <w:rsid w:val="00B412BF"/>
    <w:rsid w:val="00B413F6"/>
    <w:rsid w:val="00B41969"/>
    <w:rsid w:val="00B4198F"/>
    <w:rsid w:val="00B419CE"/>
    <w:rsid w:val="00B41B55"/>
    <w:rsid w:val="00B41F3D"/>
    <w:rsid w:val="00B420C9"/>
    <w:rsid w:val="00B42303"/>
    <w:rsid w:val="00B42778"/>
    <w:rsid w:val="00B4296A"/>
    <w:rsid w:val="00B42AB7"/>
    <w:rsid w:val="00B42BD5"/>
    <w:rsid w:val="00B430AA"/>
    <w:rsid w:val="00B431E8"/>
    <w:rsid w:val="00B43353"/>
    <w:rsid w:val="00B4378C"/>
    <w:rsid w:val="00B43A61"/>
    <w:rsid w:val="00B44439"/>
    <w:rsid w:val="00B45141"/>
    <w:rsid w:val="00B451FA"/>
    <w:rsid w:val="00B45555"/>
    <w:rsid w:val="00B4564F"/>
    <w:rsid w:val="00B45DDF"/>
    <w:rsid w:val="00B46196"/>
    <w:rsid w:val="00B461BC"/>
    <w:rsid w:val="00B466CF"/>
    <w:rsid w:val="00B46B8D"/>
    <w:rsid w:val="00B47C26"/>
    <w:rsid w:val="00B47D44"/>
    <w:rsid w:val="00B47D93"/>
    <w:rsid w:val="00B47E5E"/>
    <w:rsid w:val="00B50CDA"/>
    <w:rsid w:val="00B50D1F"/>
    <w:rsid w:val="00B5142B"/>
    <w:rsid w:val="00B51450"/>
    <w:rsid w:val="00B5185B"/>
    <w:rsid w:val="00B518BE"/>
    <w:rsid w:val="00B5194F"/>
    <w:rsid w:val="00B519CD"/>
    <w:rsid w:val="00B5273A"/>
    <w:rsid w:val="00B527AB"/>
    <w:rsid w:val="00B52A3E"/>
    <w:rsid w:val="00B52D38"/>
    <w:rsid w:val="00B52E58"/>
    <w:rsid w:val="00B54241"/>
    <w:rsid w:val="00B54367"/>
    <w:rsid w:val="00B54F34"/>
    <w:rsid w:val="00B55287"/>
    <w:rsid w:val="00B557F2"/>
    <w:rsid w:val="00B55D96"/>
    <w:rsid w:val="00B55DBA"/>
    <w:rsid w:val="00B563FC"/>
    <w:rsid w:val="00B567EE"/>
    <w:rsid w:val="00B568A2"/>
    <w:rsid w:val="00B56C57"/>
    <w:rsid w:val="00B57000"/>
    <w:rsid w:val="00B570DC"/>
    <w:rsid w:val="00B572D8"/>
    <w:rsid w:val="00B57329"/>
    <w:rsid w:val="00B574B6"/>
    <w:rsid w:val="00B574F2"/>
    <w:rsid w:val="00B5769D"/>
    <w:rsid w:val="00B57E3C"/>
    <w:rsid w:val="00B57EE7"/>
    <w:rsid w:val="00B60E61"/>
    <w:rsid w:val="00B6105D"/>
    <w:rsid w:val="00B610CC"/>
    <w:rsid w:val="00B61170"/>
    <w:rsid w:val="00B612B5"/>
    <w:rsid w:val="00B61373"/>
    <w:rsid w:val="00B615A0"/>
    <w:rsid w:val="00B61957"/>
    <w:rsid w:val="00B6197F"/>
    <w:rsid w:val="00B61B8B"/>
    <w:rsid w:val="00B624BE"/>
    <w:rsid w:val="00B6250D"/>
    <w:rsid w:val="00B62636"/>
    <w:rsid w:val="00B62B38"/>
    <w:rsid w:val="00B62B50"/>
    <w:rsid w:val="00B62E72"/>
    <w:rsid w:val="00B6301F"/>
    <w:rsid w:val="00B6331F"/>
    <w:rsid w:val="00B635B7"/>
    <w:rsid w:val="00B63AE8"/>
    <w:rsid w:val="00B645BF"/>
    <w:rsid w:val="00B64F52"/>
    <w:rsid w:val="00B650B4"/>
    <w:rsid w:val="00B65145"/>
    <w:rsid w:val="00B65602"/>
    <w:rsid w:val="00B65757"/>
    <w:rsid w:val="00B658C6"/>
    <w:rsid w:val="00B65950"/>
    <w:rsid w:val="00B65A94"/>
    <w:rsid w:val="00B65EAA"/>
    <w:rsid w:val="00B65EB3"/>
    <w:rsid w:val="00B660F3"/>
    <w:rsid w:val="00B6627E"/>
    <w:rsid w:val="00B6687F"/>
    <w:rsid w:val="00B66D83"/>
    <w:rsid w:val="00B672C0"/>
    <w:rsid w:val="00B673E5"/>
    <w:rsid w:val="00B67452"/>
    <w:rsid w:val="00B676FD"/>
    <w:rsid w:val="00B678A9"/>
    <w:rsid w:val="00B678B6"/>
    <w:rsid w:val="00B678D0"/>
    <w:rsid w:val="00B67A70"/>
    <w:rsid w:val="00B67AF1"/>
    <w:rsid w:val="00B701BD"/>
    <w:rsid w:val="00B70337"/>
    <w:rsid w:val="00B7033D"/>
    <w:rsid w:val="00B7074B"/>
    <w:rsid w:val="00B708E5"/>
    <w:rsid w:val="00B70BCB"/>
    <w:rsid w:val="00B70EE0"/>
    <w:rsid w:val="00B714D9"/>
    <w:rsid w:val="00B716AD"/>
    <w:rsid w:val="00B719BF"/>
    <w:rsid w:val="00B71B94"/>
    <w:rsid w:val="00B72EBB"/>
    <w:rsid w:val="00B72EF1"/>
    <w:rsid w:val="00B7311A"/>
    <w:rsid w:val="00B7380B"/>
    <w:rsid w:val="00B73C83"/>
    <w:rsid w:val="00B73E0D"/>
    <w:rsid w:val="00B740C6"/>
    <w:rsid w:val="00B74183"/>
    <w:rsid w:val="00B745FE"/>
    <w:rsid w:val="00B7491F"/>
    <w:rsid w:val="00B7511B"/>
    <w:rsid w:val="00B751D8"/>
    <w:rsid w:val="00B752DB"/>
    <w:rsid w:val="00B75493"/>
    <w:rsid w:val="00B75646"/>
    <w:rsid w:val="00B75B15"/>
    <w:rsid w:val="00B76156"/>
    <w:rsid w:val="00B7629E"/>
    <w:rsid w:val="00B76F73"/>
    <w:rsid w:val="00B771ED"/>
    <w:rsid w:val="00B80259"/>
    <w:rsid w:val="00B803EB"/>
    <w:rsid w:val="00B8077D"/>
    <w:rsid w:val="00B809B3"/>
    <w:rsid w:val="00B80B59"/>
    <w:rsid w:val="00B80B81"/>
    <w:rsid w:val="00B81432"/>
    <w:rsid w:val="00B81ACD"/>
    <w:rsid w:val="00B82999"/>
    <w:rsid w:val="00B82D62"/>
    <w:rsid w:val="00B837FE"/>
    <w:rsid w:val="00B838F6"/>
    <w:rsid w:val="00B83C84"/>
    <w:rsid w:val="00B83DA9"/>
    <w:rsid w:val="00B855DD"/>
    <w:rsid w:val="00B85712"/>
    <w:rsid w:val="00B863FA"/>
    <w:rsid w:val="00B86BD6"/>
    <w:rsid w:val="00B871DC"/>
    <w:rsid w:val="00B8755D"/>
    <w:rsid w:val="00B87722"/>
    <w:rsid w:val="00B87A6F"/>
    <w:rsid w:val="00B87DFA"/>
    <w:rsid w:val="00B90017"/>
    <w:rsid w:val="00B90224"/>
    <w:rsid w:val="00B90675"/>
    <w:rsid w:val="00B90729"/>
    <w:rsid w:val="00B907DA"/>
    <w:rsid w:val="00B90C7B"/>
    <w:rsid w:val="00B90D7A"/>
    <w:rsid w:val="00B90EDF"/>
    <w:rsid w:val="00B90F63"/>
    <w:rsid w:val="00B90FFA"/>
    <w:rsid w:val="00B9168D"/>
    <w:rsid w:val="00B919DD"/>
    <w:rsid w:val="00B91DA5"/>
    <w:rsid w:val="00B92E5C"/>
    <w:rsid w:val="00B9312D"/>
    <w:rsid w:val="00B93BBB"/>
    <w:rsid w:val="00B949B6"/>
    <w:rsid w:val="00B94C43"/>
    <w:rsid w:val="00B94C5E"/>
    <w:rsid w:val="00B950BC"/>
    <w:rsid w:val="00B9547B"/>
    <w:rsid w:val="00B958A8"/>
    <w:rsid w:val="00B959D3"/>
    <w:rsid w:val="00B96760"/>
    <w:rsid w:val="00B96817"/>
    <w:rsid w:val="00B96AA0"/>
    <w:rsid w:val="00B9714C"/>
    <w:rsid w:val="00B9735F"/>
    <w:rsid w:val="00B97596"/>
    <w:rsid w:val="00B975A1"/>
    <w:rsid w:val="00B97C78"/>
    <w:rsid w:val="00BA0110"/>
    <w:rsid w:val="00BA0217"/>
    <w:rsid w:val="00BA04A5"/>
    <w:rsid w:val="00BA09CB"/>
    <w:rsid w:val="00BA0B6F"/>
    <w:rsid w:val="00BA0B98"/>
    <w:rsid w:val="00BA0D9B"/>
    <w:rsid w:val="00BA1981"/>
    <w:rsid w:val="00BA1A71"/>
    <w:rsid w:val="00BA1CD8"/>
    <w:rsid w:val="00BA21D4"/>
    <w:rsid w:val="00BA251D"/>
    <w:rsid w:val="00BA2768"/>
    <w:rsid w:val="00BA27D4"/>
    <w:rsid w:val="00BA29AD"/>
    <w:rsid w:val="00BA337E"/>
    <w:rsid w:val="00BA33CF"/>
    <w:rsid w:val="00BA3401"/>
    <w:rsid w:val="00BA3ADF"/>
    <w:rsid w:val="00BA3F8D"/>
    <w:rsid w:val="00BA4360"/>
    <w:rsid w:val="00BA4382"/>
    <w:rsid w:val="00BA475B"/>
    <w:rsid w:val="00BA4EC5"/>
    <w:rsid w:val="00BA5663"/>
    <w:rsid w:val="00BA5A1E"/>
    <w:rsid w:val="00BA5C09"/>
    <w:rsid w:val="00BA61D5"/>
    <w:rsid w:val="00BA6844"/>
    <w:rsid w:val="00BA6B6A"/>
    <w:rsid w:val="00BA70D7"/>
    <w:rsid w:val="00BA71B9"/>
    <w:rsid w:val="00BA7279"/>
    <w:rsid w:val="00BA732B"/>
    <w:rsid w:val="00BA7ED1"/>
    <w:rsid w:val="00BB00A3"/>
    <w:rsid w:val="00BB0401"/>
    <w:rsid w:val="00BB15B0"/>
    <w:rsid w:val="00BB182D"/>
    <w:rsid w:val="00BB1906"/>
    <w:rsid w:val="00BB2DD7"/>
    <w:rsid w:val="00BB49B0"/>
    <w:rsid w:val="00BB4CAE"/>
    <w:rsid w:val="00BB5679"/>
    <w:rsid w:val="00BB5C7E"/>
    <w:rsid w:val="00BB60C9"/>
    <w:rsid w:val="00BB6420"/>
    <w:rsid w:val="00BB6C88"/>
    <w:rsid w:val="00BB7056"/>
    <w:rsid w:val="00BB705B"/>
    <w:rsid w:val="00BB730D"/>
    <w:rsid w:val="00BB7357"/>
    <w:rsid w:val="00BB740E"/>
    <w:rsid w:val="00BB7472"/>
    <w:rsid w:val="00BB7625"/>
    <w:rsid w:val="00BB7821"/>
    <w:rsid w:val="00BB7A10"/>
    <w:rsid w:val="00BB7A25"/>
    <w:rsid w:val="00BB7CB9"/>
    <w:rsid w:val="00BC09FB"/>
    <w:rsid w:val="00BC0ABD"/>
    <w:rsid w:val="00BC0EA4"/>
    <w:rsid w:val="00BC13D6"/>
    <w:rsid w:val="00BC14A3"/>
    <w:rsid w:val="00BC1A40"/>
    <w:rsid w:val="00BC1DDD"/>
    <w:rsid w:val="00BC2228"/>
    <w:rsid w:val="00BC2567"/>
    <w:rsid w:val="00BC2AA7"/>
    <w:rsid w:val="00BC30BB"/>
    <w:rsid w:val="00BC325C"/>
    <w:rsid w:val="00BC35F3"/>
    <w:rsid w:val="00BC35FE"/>
    <w:rsid w:val="00BC37D5"/>
    <w:rsid w:val="00BC38A9"/>
    <w:rsid w:val="00BC39C1"/>
    <w:rsid w:val="00BC3B50"/>
    <w:rsid w:val="00BC3FB0"/>
    <w:rsid w:val="00BC41C0"/>
    <w:rsid w:val="00BC5066"/>
    <w:rsid w:val="00BC60BE"/>
    <w:rsid w:val="00BC6EAF"/>
    <w:rsid w:val="00BC73D7"/>
    <w:rsid w:val="00BC7468"/>
    <w:rsid w:val="00BC76B7"/>
    <w:rsid w:val="00BC76FE"/>
    <w:rsid w:val="00BC7D4F"/>
    <w:rsid w:val="00BC7D71"/>
    <w:rsid w:val="00BC7ED7"/>
    <w:rsid w:val="00BD057C"/>
    <w:rsid w:val="00BD05C4"/>
    <w:rsid w:val="00BD092E"/>
    <w:rsid w:val="00BD0980"/>
    <w:rsid w:val="00BD0EEA"/>
    <w:rsid w:val="00BD1055"/>
    <w:rsid w:val="00BD126F"/>
    <w:rsid w:val="00BD1403"/>
    <w:rsid w:val="00BD26E9"/>
    <w:rsid w:val="00BD2850"/>
    <w:rsid w:val="00BD31A0"/>
    <w:rsid w:val="00BD32E3"/>
    <w:rsid w:val="00BD35DB"/>
    <w:rsid w:val="00BD3A5A"/>
    <w:rsid w:val="00BD3B01"/>
    <w:rsid w:val="00BD3F40"/>
    <w:rsid w:val="00BD4193"/>
    <w:rsid w:val="00BD41C4"/>
    <w:rsid w:val="00BD4624"/>
    <w:rsid w:val="00BD4682"/>
    <w:rsid w:val="00BD4715"/>
    <w:rsid w:val="00BD4A3D"/>
    <w:rsid w:val="00BD4BF0"/>
    <w:rsid w:val="00BD5032"/>
    <w:rsid w:val="00BD58F0"/>
    <w:rsid w:val="00BD598E"/>
    <w:rsid w:val="00BD5F2F"/>
    <w:rsid w:val="00BD6006"/>
    <w:rsid w:val="00BD6153"/>
    <w:rsid w:val="00BD641A"/>
    <w:rsid w:val="00BD6427"/>
    <w:rsid w:val="00BD65B5"/>
    <w:rsid w:val="00BD7626"/>
    <w:rsid w:val="00BD7A88"/>
    <w:rsid w:val="00BD7AF8"/>
    <w:rsid w:val="00BE019D"/>
    <w:rsid w:val="00BE0424"/>
    <w:rsid w:val="00BE05C0"/>
    <w:rsid w:val="00BE0B84"/>
    <w:rsid w:val="00BE0CCD"/>
    <w:rsid w:val="00BE0F48"/>
    <w:rsid w:val="00BE16D3"/>
    <w:rsid w:val="00BE188A"/>
    <w:rsid w:val="00BE18F1"/>
    <w:rsid w:val="00BE199C"/>
    <w:rsid w:val="00BE1A93"/>
    <w:rsid w:val="00BE1D7A"/>
    <w:rsid w:val="00BE21A4"/>
    <w:rsid w:val="00BE23BE"/>
    <w:rsid w:val="00BE263F"/>
    <w:rsid w:val="00BE28D2"/>
    <w:rsid w:val="00BE29DA"/>
    <w:rsid w:val="00BE2CEC"/>
    <w:rsid w:val="00BE2F17"/>
    <w:rsid w:val="00BE2F5C"/>
    <w:rsid w:val="00BE3637"/>
    <w:rsid w:val="00BE3896"/>
    <w:rsid w:val="00BE404A"/>
    <w:rsid w:val="00BE40CB"/>
    <w:rsid w:val="00BE4264"/>
    <w:rsid w:val="00BE436D"/>
    <w:rsid w:val="00BE493A"/>
    <w:rsid w:val="00BE4A64"/>
    <w:rsid w:val="00BE4E3F"/>
    <w:rsid w:val="00BE5E43"/>
    <w:rsid w:val="00BE678B"/>
    <w:rsid w:val="00BE6958"/>
    <w:rsid w:val="00BE6FC2"/>
    <w:rsid w:val="00BE7458"/>
    <w:rsid w:val="00BE762C"/>
    <w:rsid w:val="00BE7A51"/>
    <w:rsid w:val="00BE7E57"/>
    <w:rsid w:val="00BF0221"/>
    <w:rsid w:val="00BF048A"/>
    <w:rsid w:val="00BF06A1"/>
    <w:rsid w:val="00BF077B"/>
    <w:rsid w:val="00BF08FC"/>
    <w:rsid w:val="00BF0BAB"/>
    <w:rsid w:val="00BF0E59"/>
    <w:rsid w:val="00BF1039"/>
    <w:rsid w:val="00BF113D"/>
    <w:rsid w:val="00BF1181"/>
    <w:rsid w:val="00BF15A8"/>
    <w:rsid w:val="00BF17C8"/>
    <w:rsid w:val="00BF180D"/>
    <w:rsid w:val="00BF1A91"/>
    <w:rsid w:val="00BF1E2B"/>
    <w:rsid w:val="00BF1F1D"/>
    <w:rsid w:val="00BF1F7C"/>
    <w:rsid w:val="00BF203E"/>
    <w:rsid w:val="00BF245F"/>
    <w:rsid w:val="00BF303A"/>
    <w:rsid w:val="00BF351F"/>
    <w:rsid w:val="00BF3A9B"/>
    <w:rsid w:val="00BF3F86"/>
    <w:rsid w:val="00BF4439"/>
    <w:rsid w:val="00BF4499"/>
    <w:rsid w:val="00BF44D7"/>
    <w:rsid w:val="00BF46B9"/>
    <w:rsid w:val="00BF488F"/>
    <w:rsid w:val="00BF4A66"/>
    <w:rsid w:val="00BF4ECE"/>
    <w:rsid w:val="00BF519D"/>
    <w:rsid w:val="00BF557D"/>
    <w:rsid w:val="00BF58F3"/>
    <w:rsid w:val="00BF5ABD"/>
    <w:rsid w:val="00BF63E7"/>
    <w:rsid w:val="00BF658D"/>
    <w:rsid w:val="00BF659A"/>
    <w:rsid w:val="00BF7944"/>
    <w:rsid w:val="00BF7F58"/>
    <w:rsid w:val="00C0062A"/>
    <w:rsid w:val="00C01322"/>
    <w:rsid w:val="00C01381"/>
    <w:rsid w:val="00C01AB1"/>
    <w:rsid w:val="00C01B2D"/>
    <w:rsid w:val="00C02390"/>
    <w:rsid w:val="00C02674"/>
    <w:rsid w:val="00C026A0"/>
    <w:rsid w:val="00C026C8"/>
    <w:rsid w:val="00C02D7D"/>
    <w:rsid w:val="00C0321B"/>
    <w:rsid w:val="00C04493"/>
    <w:rsid w:val="00C0496E"/>
    <w:rsid w:val="00C04B65"/>
    <w:rsid w:val="00C050E4"/>
    <w:rsid w:val="00C054E4"/>
    <w:rsid w:val="00C05852"/>
    <w:rsid w:val="00C05959"/>
    <w:rsid w:val="00C06137"/>
    <w:rsid w:val="00C06376"/>
    <w:rsid w:val="00C06593"/>
    <w:rsid w:val="00C06929"/>
    <w:rsid w:val="00C06BE8"/>
    <w:rsid w:val="00C06D42"/>
    <w:rsid w:val="00C074B7"/>
    <w:rsid w:val="00C07518"/>
    <w:rsid w:val="00C076F8"/>
    <w:rsid w:val="00C079B8"/>
    <w:rsid w:val="00C07CFE"/>
    <w:rsid w:val="00C10037"/>
    <w:rsid w:val="00C10155"/>
    <w:rsid w:val="00C101E2"/>
    <w:rsid w:val="00C104BF"/>
    <w:rsid w:val="00C10802"/>
    <w:rsid w:val="00C10BC8"/>
    <w:rsid w:val="00C10C18"/>
    <w:rsid w:val="00C10EB9"/>
    <w:rsid w:val="00C113EC"/>
    <w:rsid w:val="00C115E1"/>
    <w:rsid w:val="00C11EF5"/>
    <w:rsid w:val="00C123EA"/>
    <w:rsid w:val="00C1241D"/>
    <w:rsid w:val="00C12429"/>
    <w:rsid w:val="00C12A49"/>
    <w:rsid w:val="00C12A7D"/>
    <w:rsid w:val="00C12B05"/>
    <w:rsid w:val="00C12DA2"/>
    <w:rsid w:val="00C13287"/>
    <w:rsid w:val="00C132A3"/>
    <w:rsid w:val="00C133EE"/>
    <w:rsid w:val="00C1348B"/>
    <w:rsid w:val="00C13F0C"/>
    <w:rsid w:val="00C13F3E"/>
    <w:rsid w:val="00C141F7"/>
    <w:rsid w:val="00C148F2"/>
    <w:rsid w:val="00C149D0"/>
    <w:rsid w:val="00C14F6E"/>
    <w:rsid w:val="00C1518D"/>
    <w:rsid w:val="00C157FF"/>
    <w:rsid w:val="00C15D95"/>
    <w:rsid w:val="00C161EA"/>
    <w:rsid w:val="00C16967"/>
    <w:rsid w:val="00C16B6C"/>
    <w:rsid w:val="00C16BD1"/>
    <w:rsid w:val="00C17082"/>
    <w:rsid w:val="00C171AB"/>
    <w:rsid w:val="00C172E7"/>
    <w:rsid w:val="00C17572"/>
    <w:rsid w:val="00C17854"/>
    <w:rsid w:val="00C17976"/>
    <w:rsid w:val="00C17EB0"/>
    <w:rsid w:val="00C206A7"/>
    <w:rsid w:val="00C20F93"/>
    <w:rsid w:val="00C213F5"/>
    <w:rsid w:val="00C2179D"/>
    <w:rsid w:val="00C217C0"/>
    <w:rsid w:val="00C21F57"/>
    <w:rsid w:val="00C22116"/>
    <w:rsid w:val="00C2274E"/>
    <w:rsid w:val="00C22B9D"/>
    <w:rsid w:val="00C22FFF"/>
    <w:rsid w:val="00C23792"/>
    <w:rsid w:val="00C2397A"/>
    <w:rsid w:val="00C23CA5"/>
    <w:rsid w:val="00C23EE1"/>
    <w:rsid w:val="00C24428"/>
    <w:rsid w:val="00C249E5"/>
    <w:rsid w:val="00C24DD7"/>
    <w:rsid w:val="00C251EF"/>
    <w:rsid w:val="00C25242"/>
    <w:rsid w:val="00C258D8"/>
    <w:rsid w:val="00C25EC8"/>
    <w:rsid w:val="00C26140"/>
    <w:rsid w:val="00C262C9"/>
    <w:rsid w:val="00C2644A"/>
    <w:rsid w:val="00C26588"/>
    <w:rsid w:val="00C2659B"/>
    <w:rsid w:val="00C26ABF"/>
    <w:rsid w:val="00C26D84"/>
    <w:rsid w:val="00C274CB"/>
    <w:rsid w:val="00C2780B"/>
    <w:rsid w:val="00C27900"/>
    <w:rsid w:val="00C27DE9"/>
    <w:rsid w:val="00C302A2"/>
    <w:rsid w:val="00C30C3D"/>
    <w:rsid w:val="00C30CCA"/>
    <w:rsid w:val="00C30D89"/>
    <w:rsid w:val="00C30E95"/>
    <w:rsid w:val="00C315C0"/>
    <w:rsid w:val="00C31807"/>
    <w:rsid w:val="00C31AFE"/>
    <w:rsid w:val="00C31C20"/>
    <w:rsid w:val="00C32989"/>
    <w:rsid w:val="00C329F7"/>
    <w:rsid w:val="00C32BE1"/>
    <w:rsid w:val="00C33388"/>
    <w:rsid w:val="00C333B1"/>
    <w:rsid w:val="00C3362F"/>
    <w:rsid w:val="00C33BBE"/>
    <w:rsid w:val="00C34021"/>
    <w:rsid w:val="00C3435F"/>
    <w:rsid w:val="00C34FB1"/>
    <w:rsid w:val="00C35267"/>
    <w:rsid w:val="00C3539D"/>
    <w:rsid w:val="00C35484"/>
    <w:rsid w:val="00C35966"/>
    <w:rsid w:val="00C35DF3"/>
    <w:rsid w:val="00C3616A"/>
    <w:rsid w:val="00C361B6"/>
    <w:rsid w:val="00C3633F"/>
    <w:rsid w:val="00C36B08"/>
    <w:rsid w:val="00C37143"/>
    <w:rsid w:val="00C37C34"/>
    <w:rsid w:val="00C37EB5"/>
    <w:rsid w:val="00C37F5F"/>
    <w:rsid w:val="00C40BA2"/>
    <w:rsid w:val="00C40D09"/>
    <w:rsid w:val="00C4173A"/>
    <w:rsid w:val="00C419EB"/>
    <w:rsid w:val="00C41F0D"/>
    <w:rsid w:val="00C420F3"/>
    <w:rsid w:val="00C422B6"/>
    <w:rsid w:val="00C4260C"/>
    <w:rsid w:val="00C42BC6"/>
    <w:rsid w:val="00C42E12"/>
    <w:rsid w:val="00C4325A"/>
    <w:rsid w:val="00C4353D"/>
    <w:rsid w:val="00C436D3"/>
    <w:rsid w:val="00C44515"/>
    <w:rsid w:val="00C44FF4"/>
    <w:rsid w:val="00C4517E"/>
    <w:rsid w:val="00C453CD"/>
    <w:rsid w:val="00C45767"/>
    <w:rsid w:val="00C45991"/>
    <w:rsid w:val="00C45A97"/>
    <w:rsid w:val="00C45F81"/>
    <w:rsid w:val="00C464F2"/>
    <w:rsid w:val="00C46535"/>
    <w:rsid w:val="00C466FA"/>
    <w:rsid w:val="00C46BDB"/>
    <w:rsid w:val="00C46D3F"/>
    <w:rsid w:val="00C46ED5"/>
    <w:rsid w:val="00C473AB"/>
    <w:rsid w:val="00C47424"/>
    <w:rsid w:val="00C478D4"/>
    <w:rsid w:val="00C47C37"/>
    <w:rsid w:val="00C47D7E"/>
    <w:rsid w:val="00C47F0E"/>
    <w:rsid w:val="00C50A12"/>
    <w:rsid w:val="00C50B9D"/>
    <w:rsid w:val="00C50C06"/>
    <w:rsid w:val="00C50C84"/>
    <w:rsid w:val="00C50DED"/>
    <w:rsid w:val="00C51255"/>
    <w:rsid w:val="00C512DF"/>
    <w:rsid w:val="00C52217"/>
    <w:rsid w:val="00C525AB"/>
    <w:rsid w:val="00C5270A"/>
    <w:rsid w:val="00C528BF"/>
    <w:rsid w:val="00C52BAC"/>
    <w:rsid w:val="00C530CF"/>
    <w:rsid w:val="00C531EF"/>
    <w:rsid w:val="00C531FF"/>
    <w:rsid w:val="00C53319"/>
    <w:rsid w:val="00C53324"/>
    <w:rsid w:val="00C5367A"/>
    <w:rsid w:val="00C5382C"/>
    <w:rsid w:val="00C539AC"/>
    <w:rsid w:val="00C53ADC"/>
    <w:rsid w:val="00C53C0A"/>
    <w:rsid w:val="00C53D35"/>
    <w:rsid w:val="00C54352"/>
    <w:rsid w:val="00C545B4"/>
    <w:rsid w:val="00C546BB"/>
    <w:rsid w:val="00C5478B"/>
    <w:rsid w:val="00C5541B"/>
    <w:rsid w:val="00C55ABA"/>
    <w:rsid w:val="00C55AE6"/>
    <w:rsid w:val="00C55C57"/>
    <w:rsid w:val="00C55F32"/>
    <w:rsid w:val="00C56001"/>
    <w:rsid w:val="00C561B0"/>
    <w:rsid w:val="00C56676"/>
    <w:rsid w:val="00C5733B"/>
    <w:rsid w:val="00C577C2"/>
    <w:rsid w:val="00C578A1"/>
    <w:rsid w:val="00C57CAC"/>
    <w:rsid w:val="00C602FF"/>
    <w:rsid w:val="00C60411"/>
    <w:rsid w:val="00C60567"/>
    <w:rsid w:val="00C605B1"/>
    <w:rsid w:val="00C609F2"/>
    <w:rsid w:val="00C60A87"/>
    <w:rsid w:val="00C60AB1"/>
    <w:rsid w:val="00C60B49"/>
    <w:rsid w:val="00C61174"/>
    <w:rsid w:val="00C6148F"/>
    <w:rsid w:val="00C61962"/>
    <w:rsid w:val="00C61D71"/>
    <w:rsid w:val="00C621B1"/>
    <w:rsid w:val="00C623C3"/>
    <w:rsid w:val="00C62B19"/>
    <w:rsid w:val="00C62F7A"/>
    <w:rsid w:val="00C63212"/>
    <w:rsid w:val="00C6338C"/>
    <w:rsid w:val="00C63497"/>
    <w:rsid w:val="00C63598"/>
    <w:rsid w:val="00C63729"/>
    <w:rsid w:val="00C637E1"/>
    <w:rsid w:val="00C63B9C"/>
    <w:rsid w:val="00C6417B"/>
    <w:rsid w:val="00C647DE"/>
    <w:rsid w:val="00C64BB4"/>
    <w:rsid w:val="00C64F3D"/>
    <w:rsid w:val="00C657DB"/>
    <w:rsid w:val="00C6600E"/>
    <w:rsid w:val="00C660AE"/>
    <w:rsid w:val="00C6682F"/>
    <w:rsid w:val="00C66F61"/>
    <w:rsid w:val="00C673EB"/>
    <w:rsid w:val="00C679D2"/>
    <w:rsid w:val="00C67A04"/>
    <w:rsid w:val="00C67AC5"/>
    <w:rsid w:val="00C67BF4"/>
    <w:rsid w:val="00C703DA"/>
    <w:rsid w:val="00C7081F"/>
    <w:rsid w:val="00C70F97"/>
    <w:rsid w:val="00C71617"/>
    <w:rsid w:val="00C71659"/>
    <w:rsid w:val="00C71A7E"/>
    <w:rsid w:val="00C71B4C"/>
    <w:rsid w:val="00C71B90"/>
    <w:rsid w:val="00C71B96"/>
    <w:rsid w:val="00C71C5A"/>
    <w:rsid w:val="00C71C79"/>
    <w:rsid w:val="00C7243D"/>
    <w:rsid w:val="00C7260B"/>
    <w:rsid w:val="00C7275E"/>
    <w:rsid w:val="00C731AF"/>
    <w:rsid w:val="00C73B5A"/>
    <w:rsid w:val="00C73C3B"/>
    <w:rsid w:val="00C742C3"/>
    <w:rsid w:val="00C74480"/>
    <w:rsid w:val="00C74572"/>
    <w:rsid w:val="00C748D1"/>
    <w:rsid w:val="00C7491B"/>
    <w:rsid w:val="00C7494C"/>
    <w:rsid w:val="00C74C5D"/>
    <w:rsid w:val="00C74E03"/>
    <w:rsid w:val="00C74E16"/>
    <w:rsid w:val="00C74EB5"/>
    <w:rsid w:val="00C75043"/>
    <w:rsid w:val="00C750E0"/>
    <w:rsid w:val="00C75269"/>
    <w:rsid w:val="00C7559B"/>
    <w:rsid w:val="00C75952"/>
    <w:rsid w:val="00C76078"/>
    <w:rsid w:val="00C76294"/>
    <w:rsid w:val="00C76397"/>
    <w:rsid w:val="00C76633"/>
    <w:rsid w:val="00C76874"/>
    <w:rsid w:val="00C769A3"/>
    <w:rsid w:val="00C76F63"/>
    <w:rsid w:val="00C77345"/>
    <w:rsid w:val="00C777DF"/>
    <w:rsid w:val="00C779A1"/>
    <w:rsid w:val="00C77E7B"/>
    <w:rsid w:val="00C803F0"/>
    <w:rsid w:val="00C8074B"/>
    <w:rsid w:val="00C80763"/>
    <w:rsid w:val="00C80D4A"/>
    <w:rsid w:val="00C80FFD"/>
    <w:rsid w:val="00C81213"/>
    <w:rsid w:val="00C812FA"/>
    <w:rsid w:val="00C81FA7"/>
    <w:rsid w:val="00C8254B"/>
    <w:rsid w:val="00C82D9A"/>
    <w:rsid w:val="00C83021"/>
    <w:rsid w:val="00C8335A"/>
    <w:rsid w:val="00C83ABC"/>
    <w:rsid w:val="00C8419B"/>
    <w:rsid w:val="00C84556"/>
    <w:rsid w:val="00C847D4"/>
    <w:rsid w:val="00C85142"/>
    <w:rsid w:val="00C85215"/>
    <w:rsid w:val="00C862CD"/>
    <w:rsid w:val="00C863A3"/>
    <w:rsid w:val="00C863C4"/>
    <w:rsid w:val="00C86897"/>
    <w:rsid w:val="00C868B3"/>
    <w:rsid w:val="00C8697B"/>
    <w:rsid w:val="00C86A97"/>
    <w:rsid w:val="00C86DBE"/>
    <w:rsid w:val="00C86E70"/>
    <w:rsid w:val="00C87075"/>
    <w:rsid w:val="00C878C8"/>
    <w:rsid w:val="00C87931"/>
    <w:rsid w:val="00C90284"/>
    <w:rsid w:val="00C90533"/>
    <w:rsid w:val="00C906DB"/>
    <w:rsid w:val="00C906F1"/>
    <w:rsid w:val="00C90BA9"/>
    <w:rsid w:val="00C90DAB"/>
    <w:rsid w:val="00C91C40"/>
    <w:rsid w:val="00C9205B"/>
    <w:rsid w:val="00C92099"/>
    <w:rsid w:val="00C920EA"/>
    <w:rsid w:val="00C92DE3"/>
    <w:rsid w:val="00C92F09"/>
    <w:rsid w:val="00C9342F"/>
    <w:rsid w:val="00C9382E"/>
    <w:rsid w:val="00C93C3E"/>
    <w:rsid w:val="00C93DA2"/>
    <w:rsid w:val="00C941CB"/>
    <w:rsid w:val="00C94423"/>
    <w:rsid w:val="00C945B1"/>
    <w:rsid w:val="00C945F2"/>
    <w:rsid w:val="00C94F4E"/>
    <w:rsid w:val="00C9502D"/>
    <w:rsid w:val="00C9581D"/>
    <w:rsid w:val="00C95EA3"/>
    <w:rsid w:val="00C968A6"/>
    <w:rsid w:val="00C97056"/>
    <w:rsid w:val="00C9706F"/>
    <w:rsid w:val="00C976B1"/>
    <w:rsid w:val="00C97749"/>
    <w:rsid w:val="00C978EE"/>
    <w:rsid w:val="00C97BFA"/>
    <w:rsid w:val="00C97D43"/>
    <w:rsid w:val="00C97F64"/>
    <w:rsid w:val="00C97F9A"/>
    <w:rsid w:val="00CA00D1"/>
    <w:rsid w:val="00CA022E"/>
    <w:rsid w:val="00CA0280"/>
    <w:rsid w:val="00CA03BA"/>
    <w:rsid w:val="00CA06FE"/>
    <w:rsid w:val="00CA08E2"/>
    <w:rsid w:val="00CA0AE6"/>
    <w:rsid w:val="00CA12E3"/>
    <w:rsid w:val="00CA13C7"/>
    <w:rsid w:val="00CA1476"/>
    <w:rsid w:val="00CA1CCD"/>
    <w:rsid w:val="00CA26B6"/>
    <w:rsid w:val="00CA3162"/>
    <w:rsid w:val="00CA337B"/>
    <w:rsid w:val="00CA363D"/>
    <w:rsid w:val="00CA379D"/>
    <w:rsid w:val="00CA3853"/>
    <w:rsid w:val="00CA3B3D"/>
    <w:rsid w:val="00CA3C28"/>
    <w:rsid w:val="00CA3C4A"/>
    <w:rsid w:val="00CA3DE3"/>
    <w:rsid w:val="00CA442B"/>
    <w:rsid w:val="00CA4594"/>
    <w:rsid w:val="00CA468E"/>
    <w:rsid w:val="00CA47F0"/>
    <w:rsid w:val="00CA4956"/>
    <w:rsid w:val="00CA4957"/>
    <w:rsid w:val="00CA4A8D"/>
    <w:rsid w:val="00CA4E9C"/>
    <w:rsid w:val="00CA5197"/>
    <w:rsid w:val="00CA5306"/>
    <w:rsid w:val="00CA5396"/>
    <w:rsid w:val="00CA53BD"/>
    <w:rsid w:val="00CA53CE"/>
    <w:rsid w:val="00CA5982"/>
    <w:rsid w:val="00CA5B27"/>
    <w:rsid w:val="00CA6611"/>
    <w:rsid w:val="00CA682E"/>
    <w:rsid w:val="00CA6AE6"/>
    <w:rsid w:val="00CA6DB7"/>
    <w:rsid w:val="00CA703D"/>
    <w:rsid w:val="00CA731D"/>
    <w:rsid w:val="00CA7347"/>
    <w:rsid w:val="00CA7774"/>
    <w:rsid w:val="00CA782F"/>
    <w:rsid w:val="00CA795A"/>
    <w:rsid w:val="00CA7C23"/>
    <w:rsid w:val="00CA7C6D"/>
    <w:rsid w:val="00CB026D"/>
    <w:rsid w:val="00CB0871"/>
    <w:rsid w:val="00CB097C"/>
    <w:rsid w:val="00CB187B"/>
    <w:rsid w:val="00CB18A0"/>
    <w:rsid w:val="00CB1B2C"/>
    <w:rsid w:val="00CB1D68"/>
    <w:rsid w:val="00CB228D"/>
    <w:rsid w:val="00CB2713"/>
    <w:rsid w:val="00CB2835"/>
    <w:rsid w:val="00CB28E3"/>
    <w:rsid w:val="00CB29B8"/>
    <w:rsid w:val="00CB2AF0"/>
    <w:rsid w:val="00CB3285"/>
    <w:rsid w:val="00CB342E"/>
    <w:rsid w:val="00CB358E"/>
    <w:rsid w:val="00CB3695"/>
    <w:rsid w:val="00CB3CA9"/>
    <w:rsid w:val="00CB3CFE"/>
    <w:rsid w:val="00CB3E83"/>
    <w:rsid w:val="00CB4081"/>
    <w:rsid w:val="00CB4500"/>
    <w:rsid w:val="00CB4892"/>
    <w:rsid w:val="00CB4952"/>
    <w:rsid w:val="00CB4A02"/>
    <w:rsid w:val="00CB5B01"/>
    <w:rsid w:val="00CB5EA8"/>
    <w:rsid w:val="00CB63AD"/>
    <w:rsid w:val="00CB6BEC"/>
    <w:rsid w:val="00CB6C34"/>
    <w:rsid w:val="00CB707E"/>
    <w:rsid w:val="00CB7258"/>
    <w:rsid w:val="00CB726D"/>
    <w:rsid w:val="00CB7281"/>
    <w:rsid w:val="00CB73B5"/>
    <w:rsid w:val="00CB7512"/>
    <w:rsid w:val="00CB7541"/>
    <w:rsid w:val="00CB75EF"/>
    <w:rsid w:val="00CB75F3"/>
    <w:rsid w:val="00CB76A7"/>
    <w:rsid w:val="00CB7B38"/>
    <w:rsid w:val="00CC051D"/>
    <w:rsid w:val="00CC08C4"/>
    <w:rsid w:val="00CC0ADE"/>
    <w:rsid w:val="00CC0C72"/>
    <w:rsid w:val="00CC1A03"/>
    <w:rsid w:val="00CC1A72"/>
    <w:rsid w:val="00CC1C7B"/>
    <w:rsid w:val="00CC2A80"/>
    <w:rsid w:val="00CC2ADF"/>
    <w:rsid w:val="00CC2B22"/>
    <w:rsid w:val="00CC2BFD"/>
    <w:rsid w:val="00CC2DFE"/>
    <w:rsid w:val="00CC30C5"/>
    <w:rsid w:val="00CC3179"/>
    <w:rsid w:val="00CC3780"/>
    <w:rsid w:val="00CC3B23"/>
    <w:rsid w:val="00CC426F"/>
    <w:rsid w:val="00CC45B2"/>
    <w:rsid w:val="00CC47DA"/>
    <w:rsid w:val="00CC4A24"/>
    <w:rsid w:val="00CC4B20"/>
    <w:rsid w:val="00CC4ED7"/>
    <w:rsid w:val="00CC5093"/>
    <w:rsid w:val="00CC53B1"/>
    <w:rsid w:val="00CC5889"/>
    <w:rsid w:val="00CC5C38"/>
    <w:rsid w:val="00CC5F33"/>
    <w:rsid w:val="00CC6018"/>
    <w:rsid w:val="00CC652B"/>
    <w:rsid w:val="00CC65DC"/>
    <w:rsid w:val="00CC68EF"/>
    <w:rsid w:val="00CC6BD3"/>
    <w:rsid w:val="00CC6C10"/>
    <w:rsid w:val="00CC6C1B"/>
    <w:rsid w:val="00CC6F40"/>
    <w:rsid w:val="00CC6F49"/>
    <w:rsid w:val="00CC7361"/>
    <w:rsid w:val="00CD011D"/>
    <w:rsid w:val="00CD0241"/>
    <w:rsid w:val="00CD04D5"/>
    <w:rsid w:val="00CD06FA"/>
    <w:rsid w:val="00CD07DA"/>
    <w:rsid w:val="00CD080D"/>
    <w:rsid w:val="00CD1161"/>
    <w:rsid w:val="00CD1611"/>
    <w:rsid w:val="00CD198D"/>
    <w:rsid w:val="00CD2168"/>
    <w:rsid w:val="00CD2815"/>
    <w:rsid w:val="00CD2C06"/>
    <w:rsid w:val="00CD2E8F"/>
    <w:rsid w:val="00CD2EE1"/>
    <w:rsid w:val="00CD3476"/>
    <w:rsid w:val="00CD38A1"/>
    <w:rsid w:val="00CD3A98"/>
    <w:rsid w:val="00CD3CFB"/>
    <w:rsid w:val="00CD44B0"/>
    <w:rsid w:val="00CD4617"/>
    <w:rsid w:val="00CD46C5"/>
    <w:rsid w:val="00CD5433"/>
    <w:rsid w:val="00CD5A49"/>
    <w:rsid w:val="00CD5BD0"/>
    <w:rsid w:val="00CD60D1"/>
    <w:rsid w:val="00CD64DF"/>
    <w:rsid w:val="00CD659F"/>
    <w:rsid w:val="00CD74BB"/>
    <w:rsid w:val="00CD768F"/>
    <w:rsid w:val="00CD77F4"/>
    <w:rsid w:val="00CD7F04"/>
    <w:rsid w:val="00CE0233"/>
    <w:rsid w:val="00CE0514"/>
    <w:rsid w:val="00CE154C"/>
    <w:rsid w:val="00CE1556"/>
    <w:rsid w:val="00CE17B2"/>
    <w:rsid w:val="00CE1FE6"/>
    <w:rsid w:val="00CE203E"/>
    <w:rsid w:val="00CE20EA"/>
    <w:rsid w:val="00CE217B"/>
    <w:rsid w:val="00CE225F"/>
    <w:rsid w:val="00CE23EC"/>
    <w:rsid w:val="00CE28F3"/>
    <w:rsid w:val="00CE2B41"/>
    <w:rsid w:val="00CE2BC5"/>
    <w:rsid w:val="00CE2F7C"/>
    <w:rsid w:val="00CE3380"/>
    <w:rsid w:val="00CE355E"/>
    <w:rsid w:val="00CE41E6"/>
    <w:rsid w:val="00CE476F"/>
    <w:rsid w:val="00CE4837"/>
    <w:rsid w:val="00CE48D6"/>
    <w:rsid w:val="00CE4A07"/>
    <w:rsid w:val="00CE54CA"/>
    <w:rsid w:val="00CE57D9"/>
    <w:rsid w:val="00CE58B0"/>
    <w:rsid w:val="00CE58D0"/>
    <w:rsid w:val="00CE5CD9"/>
    <w:rsid w:val="00CE5F2B"/>
    <w:rsid w:val="00CE6169"/>
    <w:rsid w:val="00CE651E"/>
    <w:rsid w:val="00CE66B5"/>
    <w:rsid w:val="00CE6DE5"/>
    <w:rsid w:val="00CE7108"/>
    <w:rsid w:val="00CE7289"/>
    <w:rsid w:val="00CE767A"/>
    <w:rsid w:val="00CE77EA"/>
    <w:rsid w:val="00CE793E"/>
    <w:rsid w:val="00CE7A58"/>
    <w:rsid w:val="00CE7BEE"/>
    <w:rsid w:val="00CE7CD6"/>
    <w:rsid w:val="00CE7E4D"/>
    <w:rsid w:val="00CE7F3A"/>
    <w:rsid w:val="00CF0086"/>
    <w:rsid w:val="00CF05F7"/>
    <w:rsid w:val="00CF0752"/>
    <w:rsid w:val="00CF080F"/>
    <w:rsid w:val="00CF0B4F"/>
    <w:rsid w:val="00CF0DF9"/>
    <w:rsid w:val="00CF0F12"/>
    <w:rsid w:val="00CF155F"/>
    <w:rsid w:val="00CF16E2"/>
    <w:rsid w:val="00CF1C23"/>
    <w:rsid w:val="00CF1F2B"/>
    <w:rsid w:val="00CF230C"/>
    <w:rsid w:val="00CF24D4"/>
    <w:rsid w:val="00CF2694"/>
    <w:rsid w:val="00CF2F50"/>
    <w:rsid w:val="00CF3843"/>
    <w:rsid w:val="00CF394E"/>
    <w:rsid w:val="00CF426E"/>
    <w:rsid w:val="00CF45F5"/>
    <w:rsid w:val="00CF49DE"/>
    <w:rsid w:val="00CF4BE7"/>
    <w:rsid w:val="00CF50EA"/>
    <w:rsid w:val="00CF5369"/>
    <w:rsid w:val="00CF56D4"/>
    <w:rsid w:val="00CF6198"/>
    <w:rsid w:val="00CF6264"/>
    <w:rsid w:val="00CF6394"/>
    <w:rsid w:val="00CF672C"/>
    <w:rsid w:val="00CF6F06"/>
    <w:rsid w:val="00CF6F29"/>
    <w:rsid w:val="00CF6F36"/>
    <w:rsid w:val="00CF7000"/>
    <w:rsid w:val="00CF70A5"/>
    <w:rsid w:val="00CF72CF"/>
    <w:rsid w:val="00CF7471"/>
    <w:rsid w:val="00CF77BC"/>
    <w:rsid w:val="00CF78BC"/>
    <w:rsid w:val="00CF7A7C"/>
    <w:rsid w:val="00CF7D1B"/>
    <w:rsid w:val="00D006F8"/>
    <w:rsid w:val="00D009DB"/>
    <w:rsid w:val="00D00ED4"/>
    <w:rsid w:val="00D010CF"/>
    <w:rsid w:val="00D0173D"/>
    <w:rsid w:val="00D01FAA"/>
    <w:rsid w:val="00D02426"/>
    <w:rsid w:val="00D02817"/>
    <w:rsid w:val="00D02919"/>
    <w:rsid w:val="00D02E3E"/>
    <w:rsid w:val="00D03692"/>
    <w:rsid w:val="00D036FF"/>
    <w:rsid w:val="00D03929"/>
    <w:rsid w:val="00D03BAA"/>
    <w:rsid w:val="00D03EEF"/>
    <w:rsid w:val="00D042B7"/>
    <w:rsid w:val="00D0480A"/>
    <w:rsid w:val="00D04AD6"/>
    <w:rsid w:val="00D04C34"/>
    <w:rsid w:val="00D04C61"/>
    <w:rsid w:val="00D05260"/>
    <w:rsid w:val="00D05543"/>
    <w:rsid w:val="00D056EA"/>
    <w:rsid w:val="00D05B8D"/>
    <w:rsid w:val="00D05B9B"/>
    <w:rsid w:val="00D06494"/>
    <w:rsid w:val="00D064E0"/>
    <w:rsid w:val="00D065A2"/>
    <w:rsid w:val="00D06BBD"/>
    <w:rsid w:val="00D071F6"/>
    <w:rsid w:val="00D07282"/>
    <w:rsid w:val="00D074CB"/>
    <w:rsid w:val="00D079AA"/>
    <w:rsid w:val="00D07F00"/>
    <w:rsid w:val="00D07FB5"/>
    <w:rsid w:val="00D1038E"/>
    <w:rsid w:val="00D10894"/>
    <w:rsid w:val="00D10C14"/>
    <w:rsid w:val="00D10C7F"/>
    <w:rsid w:val="00D1130F"/>
    <w:rsid w:val="00D11506"/>
    <w:rsid w:val="00D1151F"/>
    <w:rsid w:val="00D1158F"/>
    <w:rsid w:val="00D11923"/>
    <w:rsid w:val="00D11AB4"/>
    <w:rsid w:val="00D11AD9"/>
    <w:rsid w:val="00D11C80"/>
    <w:rsid w:val="00D11DEE"/>
    <w:rsid w:val="00D12911"/>
    <w:rsid w:val="00D12D22"/>
    <w:rsid w:val="00D12D2B"/>
    <w:rsid w:val="00D12DC2"/>
    <w:rsid w:val="00D12F9F"/>
    <w:rsid w:val="00D132E9"/>
    <w:rsid w:val="00D1333E"/>
    <w:rsid w:val="00D13623"/>
    <w:rsid w:val="00D13AFA"/>
    <w:rsid w:val="00D14C50"/>
    <w:rsid w:val="00D14F65"/>
    <w:rsid w:val="00D155F3"/>
    <w:rsid w:val="00D1571F"/>
    <w:rsid w:val="00D157D0"/>
    <w:rsid w:val="00D1588C"/>
    <w:rsid w:val="00D15C1C"/>
    <w:rsid w:val="00D15C82"/>
    <w:rsid w:val="00D15F4A"/>
    <w:rsid w:val="00D16511"/>
    <w:rsid w:val="00D166AF"/>
    <w:rsid w:val="00D16E29"/>
    <w:rsid w:val="00D17466"/>
    <w:rsid w:val="00D1794F"/>
    <w:rsid w:val="00D17B72"/>
    <w:rsid w:val="00D20B57"/>
    <w:rsid w:val="00D20D53"/>
    <w:rsid w:val="00D20EFC"/>
    <w:rsid w:val="00D21105"/>
    <w:rsid w:val="00D217CA"/>
    <w:rsid w:val="00D2185E"/>
    <w:rsid w:val="00D21D94"/>
    <w:rsid w:val="00D22453"/>
    <w:rsid w:val="00D22916"/>
    <w:rsid w:val="00D232E5"/>
    <w:rsid w:val="00D2361D"/>
    <w:rsid w:val="00D238C2"/>
    <w:rsid w:val="00D23C14"/>
    <w:rsid w:val="00D241BE"/>
    <w:rsid w:val="00D24402"/>
    <w:rsid w:val="00D24BDF"/>
    <w:rsid w:val="00D24EC4"/>
    <w:rsid w:val="00D25CE5"/>
    <w:rsid w:val="00D25D6B"/>
    <w:rsid w:val="00D25DC3"/>
    <w:rsid w:val="00D26055"/>
    <w:rsid w:val="00D2616B"/>
    <w:rsid w:val="00D26955"/>
    <w:rsid w:val="00D26F8D"/>
    <w:rsid w:val="00D27020"/>
    <w:rsid w:val="00D27141"/>
    <w:rsid w:val="00D27211"/>
    <w:rsid w:val="00D27446"/>
    <w:rsid w:val="00D276B1"/>
    <w:rsid w:val="00D278A8"/>
    <w:rsid w:val="00D27938"/>
    <w:rsid w:val="00D3003E"/>
    <w:rsid w:val="00D30381"/>
    <w:rsid w:val="00D30895"/>
    <w:rsid w:val="00D30C1D"/>
    <w:rsid w:val="00D30C8C"/>
    <w:rsid w:val="00D30CCF"/>
    <w:rsid w:val="00D30E73"/>
    <w:rsid w:val="00D30F45"/>
    <w:rsid w:val="00D30F88"/>
    <w:rsid w:val="00D31049"/>
    <w:rsid w:val="00D315E3"/>
    <w:rsid w:val="00D317B3"/>
    <w:rsid w:val="00D3185C"/>
    <w:rsid w:val="00D31934"/>
    <w:rsid w:val="00D319DC"/>
    <w:rsid w:val="00D31FB5"/>
    <w:rsid w:val="00D3205F"/>
    <w:rsid w:val="00D32455"/>
    <w:rsid w:val="00D324C5"/>
    <w:rsid w:val="00D32E06"/>
    <w:rsid w:val="00D32F2E"/>
    <w:rsid w:val="00D3318E"/>
    <w:rsid w:val="00D3374C"/>
    <w:rsid w:val="00D338EF"/>
    <w:rsid w:val="00D33E72"/>
    <w:rsid w:val="00D34100"/>
    <w:rsid w:val="00D345A1"/>
    <w:rsid w:val="00D3480D"/>
    <w:rsid w:val="00D351D0"/>
    <w:rsid w:val="00D352FF"/>
    <w:rsid w:val="00D35BD6"/>
    <w:rsid w:val="00D361B5"/>
    <w:rsid w:val="00D36466"/>
    <w:rsid w:val="00D36598"/>
    <w:rsid w:val="00D36874"/>
    <w:rsid w:val="00D36925"/>
    <w:rsid w:val="00D36DFE"/>
    <w:rsid w:val="00D37867"/>
    <w:rsid w:val="00D3787C"/>
    <w:rsid w:val="00D379C0"/>
    <w:rsid w:val="00D37B2C"/>
    <w:rsid w:val="00D400D1"/>
    <w:rsid w:val="00D40569"/>
    <w:rsid w:val="00D40876"/>
    <w:rsid w:val="00D40AF1"/>
    <w:rsid w:val="00D40C9B"/>
    <w:rsid w:val="00D40F44"/>
    <w:rsid w:val="00D40F8C"/>
    <w:rsid w:val="00D41026"/>
    <w:rsid w:val="00D411A2"/>
    <w:rsid w:val="00D411AF"/>
    <w:rsid w:val="00D413DC"/>
    <w:rsid w:val="00D41AF1"/>
    <w:rsid w:val="00D41C8D"/>
    <w:rsid w:val="00D420B2"/>
    <w:rsid w:val="00D42AC6"/>
    <w:rsid w:val="00D42DF3"/>
    <w:rsid w:val="00D434A7"/>
    <w:rsid w:val="00D43B11"/>
    <w:rsid w:val="00D43C46"/>
    <w:rsid w:val="00D44641"/>
    <w:rsid w:val="00D44865"/>
    <w:rsid w:val="00D44C99"/>
    <w:rsid w:val="00D44F4E"/>
    <w:rsid w:val="00D45260"/>
    <w:rsid w:val="00D4606D"/>
    <w:rsid w:val="00D4642B"/>
    <w:rsid w:val="00D46C92"/>
    <w:rsid w:val="00D46E30"/>
    <w:rsid w:val="00D475C0"/>
    <w:rsid w:val="00D47831"/>
    <w:rsid w:val="00D50804"/>
    <w:rsid w:val="00D50B9C"/>
    <w:rsid w:val="00D513AF"/>
    <w:rsid w:val="00D525EE"/>
    <w:rsid w:val="00D5275D"/>
    <w:rsid w:val="00D527A8"/>
    <w:rsid w:val="00D52C9D"/>
    <w:rsid w:val="00D52D73"/>
    <w:rsid w:val="00D52E58"/>
    <w:rsid w:val="00D53D0F"/>
    <w:rsid w:val="00D53DA3"/>
    <w:rsid w:val="00D547E9"/>
    <w:rsid w:val="00D54946"/>
    <w:rsid w:val="00D55E68"/>
    <w:rsid w:val="00D564A8"/>
    <w:rsid w:val="00D56760"/>
    <w:rsid w:val="00D56808"/>
    <w:rsid w:val="00D56833"/>
    <w:rsid w:val="00D56A27"/>
    <w:rsid w:val="00D56B20"/>
    <w:rsid w:val="00D56C3B"/>
    <w:rsid w:val="00D56F2C"/>
    <w:rsid w:val="00D56F96"/>
    <w:rsid w:val="00D57016"/>
    <w:rsid w:val="00D57122"/>
    <w:rsid w:val="00D5753D"/>
    <w:rsid w:val="00D578B3"/>
    <w:rsid w:val="00D60021"/>
    <w:rsid w:val="00D608BD"/>
    <w:rsid w:val="00D60B29"/>
    <w:rsid w:val="00D60E64"/>
    <w:rsid w:val="00D60E79"/>
    <w:rsid w:val="00D60F01"/>
    <w:rsid w:val="00D61124"/>
    <w:rsid w:val="00D612CD"/>
    <w:rsid w:val="00D61790"/>
    <w:rsid w:val="00D618F4"/>
    <w:rsid w:val="00D618F9"/>
    <w:rsid w:val="00D61902"/>
    <w:rsid w:val="00D62577"/>
    <w:rsid w:val="00D62E06"/>
    <w:rsid w:val="00D63102"/>
    <w:rsid w:val="00D633E3"/>
    <w:rsid w:val="00D63636"/>
    <w:rsid w:val="00D63A8F"/>
    <w:rsid w:val="00D63E52"/>
    <w:rsid w:val="00D640AD"/>
    <w:rsid w:val="00D642CD"/>
    <w:rsid w:val="00D642DE"/>
    <w:rsid w:val="00D64ED7"/>
    <w:rsid w:val="00D65140"/>
    <w:rsid w:val="00D655CB"/>
    <w:rsid w:val="00D65ABA"/>
    <w:rsid w:val="00D65E70"/>
    <w:rsid w:val="00D6649D"/>
    <w:rsid w:val="00D6692F"/>
    <w:rsid w:val="00D66A5C"/>
    <w:rsid w:val="00D66D69"/>
    <w:rsid w:val="00D66EB5"/>
    <w:rsid w:val="00D66FB5"/>
    <w:rsid w:val="00D67827"/>
    <w:rsid w:val="00D67B36"/>
    <w:rsid w:val="00D67D49"/>
    <w:rsid w:val="00D7009C"/>
    <w:rsid w:val="00D701AE"/>
    <w:rsid w:val="00D701BC"/>
    <w:rsid w:val="00D706E5"/>
    <w:rsid w:val="00D70EA6"/>
    <w:rsid w:val="00D71073"/>
    <w:rsid w:val="00D710BA"/>
    <w:rsid w:val="00D7147F"/>
    <w:rsid w:val="00D714CC"/>
    <w:rsid w:val="00D71CCB"/>
    <w:rsid w:val="00D721C9"/>
    <w:rsid w:val="00D72B91"/>
    <w:rsid w:val="00D73EE7"/>
    <w:rsid w:val="00D746B1"/>
    <w:rsid w:val="00D74AD6"/>
    <w:rsid w:val="00D74E82"/>
    <w:rsid w:val="00D74E9C"/>
    <w:rsid w:val="00D752AF"/>
    <w:rsid w:val="00D75894"/>
    <w:rsid w:val="00D75A5D"/>
    <w:rsid w:val="00D75A65"/>
    <w:rsid w:val="00D75EA7"/>
    <w:rsid w:val="00D763DC"/>
    <w:rsid w:val="00D76666"/>
    <w:rsid w:val="00D7679B"/>
    <w:rsid w:val="00D76AB5"/>
    <w:rsid w:val="00D76BFC"/>
    <w:rsid w:val="00D77134"/>
    <w:rsid w:val="00D77252"/>
    <w:rsid w:val="00D773BE"/>
    <w:rsid w:val="00D77424"/>
    <w:rsid w:val="00D7788E"/>
    <w:rsid w:val="00D8032C"/>
    <w:rsid w:val="00D8079F"/>
    <w:rsid w:val="00D80E76"/>
    <w:rsid w:val="00D810CD"/>
    <w:rsid w:val="00D81894"/>
    <w:rsid w:val="00D81ADF"/>
    <w:rsid w:val="00D81C45"/>
    <w:rsid w:val="00D81F21"/>
    <w:rsid w:val="00D82214"/>
    <w:rsid w:val="00D82559"/>
    <w:rsid w:val="00D82788"/>
    <w:rsid w:val="00D82B54"/>
    <w:rsid w:val="00D82C01"/>
    <w:rsid w:val="00D82DC9"/>
    <w:rsid w:val="00D8306E"/>
    <w:rsid w:val="00D835C3"/>
    <w:rsid w:val="00D83AB9"/>
    <w:rsid w:val="00D83D06"/>
    <w:rsid w:val="00D83D63"/>
    <w:rsid w:val="00D83EA2"/>
    <w:rsid w:val="00D84282"/>
    <w:rsid w:val="00D84344"/>
    <w:rsid w:val="00D84364"/>
    <w:rsid w:val="00D8542D"/>
    <w:rsid w:val="00D85684"/>
    <w:rsid w:val="00D86430"/>
    <w:rsid w:val="00D864F2"/>
    <w:rsid w:val="00D867EE"/>
    <w:rsid w:val="00D86E20"/>
    <w:rsid w:val="00D86F19"/>
    <w:rsid w:val="00D875FD"/>
    <w:rsid w:val="00D877AC"/>
    <w:rsid w:val="00D87DCE"/>
    <w:rsid w:val="00D87E4C"/>
    <w:rsid w:val="00D87EB4"/>
    <w:rsid w:val="00D900AC"/>
    <w:rsid w:val="00D90234"/>
    <w:rsid w:val="00D9030A"/>
    <w:rsid w:val="00D903F2"/>
    <w:rsid w:val="00D90BBD"/>
    <w:rsid w:val="00D90D48"/>
    <w:rsid w:val="00D91592"/>
    <w:rsid w:val="00D91E72"/>
    <w:rsid w:val="00D92DF4"/>
    <w:rsid w:val="00D934C0"/>
    <w:rsid w:val="00D93760"/>
    <w:rsid w:val="00D93923"/>
    <w:rsid w:val="00D93B09"/>
    <w:rsid w:val="00D93D79"/>
    <w:rsid w:val="00D943F8"/>
    <w:rsid w:val="00D944B5"/>
    <w:rsid w:val="00D944EF"/>
    <w:rsid w:val="00D947D3"/>
    <w:rsid w:val="00D949ED"/>
    <w:rsid w:val="00D9506D"/>
    <w:rsid w:val="00D950B2"/>
    <w:rsid w:val="00D951F9"/>
    <w:rsid w:val="00D9532A"/>
    <w:rsid w:val="00D95470"/>
    <w:rsid w:val="00D95690"/>
    <w:rsid w:val="00D95D20"/>
    <w:rsid w:val="00D961F4"/>
    <w:rsid w:val="00D9621B"/>
    <w:rsid w:val="00D9655B"/>
    <w:rsid w:val="00D966D8"/>
    <w:rsid w:val="00D96752"/>
    <w:rsid w:val="00D9698A"/>
    <w:rsid w:val="00D96B55"/>
    <w:rsid w:val="00D96DCB"/>
    <w:rsid w:val="00D96F3A"/>
    <w:rsid w:val="00D971A4"/>
    <w:rsid w:val="00D977C6"/>
    <w:rsid w:val="00D97AB5"/>
    <w:rsid w:val="00D97B5E"/>
    <w:rsid w:val="00D97DC0"/>
    <w:rsid w:val="00D97FF8"/>
    <w:rsid w:val="00DA06E6"/>
    <w:rsid w:val="00DA08A7"/>
    <w:rsid w:val="00DA0E7F"/>
    <w:rsid w:val="00DA0FF0"/>
    <w:rsid w:val="00DA14A7"/>
    <w:rsid w:val="00DA15BB"/>
    <w:rsid w:val="00DA1A43"/>
    <w:rsid w:val="00DA2585"/>
    <w:rsid w:val="00DA2619"/>
    <w:rsid w:val="00DA2744"/>
    <w:rsid w:val="00DA2A34"/>
    <w:rsid w:val="00DA335E"/>
    <w:rsid w:val="00DA3846"/>
    <w:rsid w:val="00DA3C0D"/>
    <w:rsid w:val="00DA3E79"/>
    <w:rsid w:val="00DA4239"/>
    <w:rsid w:val="00DA4454"/>
    <w:rsid w:val="00DA4989"/>
    <w:rsid w:val="00DA4A8B"/>
    <w:rsid w:val="00DA4B4C"/>
    <w:rsid w:val="00DA4F61"/>
    <w:rsid w:val="00DA56B8"/>
    <w:rsid w:val="00DA56E9"/>
    <w:rsid w:val="00DA588C"/>
    <w:rsid w:val="00DA5A6F"/>
    <w:rsid w:val="00DA60B5"/>
    <w:rsid w:val="00DA6143"/>
    <w:rsid w:val="00DA61F6"/>
    <w:rsid w:val="00DA6284"/>
    <w:rsid w:val="00DA65D1"/>
    <w:rsid w:val="00DA65DE"/>
    <w:rsid w:val="00DA6BBE"/>
    <w:rsid w:val="00DA6CA5"/>
    <w:rsid w:val="00DA6D64"/>
    <w:rsid w:val="00DA7675"/>
    <w:rsid w:val="00DA77BA"/>
    <w:rsid w:val="00DA7E4E"/>
    <w:rsid w:val="00DB0419"/>
    <w:rsid w:val="00DB0430"/>
    <w:rsid w:val="00DB04E0"/>
    <w:rsid w:val="00DB0913"/>
    <w:rsid w:val="00DB0B61"/>
    <w:rsid w:val="00DB0EDE"/>
    <w:rsid w:val="00DB102D"/>
    <w:rsid w:val="00DB12A6"/>
    <w:rsid w:val="00DB1474"/>
    <w:rsid w:val="00DB1488"/>
    <w:rsid w:val="00DB186D"/>
    <w:rsid w:val="00DB18CE"/>
    <w:rsid w:val="00DB1A70"/>
    <w:rsid w:val="00DB2962"/>
    <w:rsid w:val="00DB2ED2"/>
    <w:rsid w:val="00DB424E"/>
    <w:rsid w:val="00DB4311"/>
    <w:rsid w:val="00DB4DB8"/>
    <w:rsid w:val="00DB4F93"/>
    <w:rsid w:val="00DB5055"/>
    <w:rsid w:val="00DB5202"/>
    <w:rsid w:val="00DB52FB"/>
    <w:rsid w:val="00DB5A56"/>
    <w:rsid w:val="00DB6114"/>
    <w:rsid w:val="00DB62F1"/>
    <w:rsid w:val="00DB64FD"/>
    <w:rsid w:val="00DB69B4"/>
    <w:rsid w:val="00DB6B86"/>
    <w:rsid w:val="00DB6D12"/>
    <w:rsid w:val="00DB6D2E"/>
    <w:rsid w:val="00DB713A"/>
    <w:rsid w:val="00DB73F3"/>
    <w:rsid w:val="00DB744E"/>
    <w:rsid w:val="00DB78BE"/>
    <w:rsid w:val="00DC00C1"/>
    <w:rsid w:val="00DC013B"/>
    <w:rsid w:val="00DC090B"/>
    <w:rsid w:val="00DC1270"/>
    <w:rsid w:val="00DC1679"/>
    <w:rsid w:val="00DC1A8C"/>
    <w:rsid w:val="00DC20E5"/>
    <w:rsid w:val="00DC219B"/>
    <w:rsid w:val="00DC2218"/>
    <w:rsid w:val="00DC25DC"/>
    <w:rsid w:val="00DC2B1E"/>
    <w:rsid w:val="00DC2B85"/>
    <w:rsid w:val="00DC2CF1"/>
    <w:rsid w:val="00DC2DC7"/>
    <w:rsid w:val="00DC2F0C"/>
    <w:rsid w:val="00DC302D"/>
    <w:rsid w:val="00DC31FB"/>
    <w:rsid w:val="00DC3271"/>
    <w:rsid w:val="00DC331F"/>
    <w:rsid w:val="00DC3599"/>
    <w:rsid w:val="00DC3644"/>
    <w:rsid w:val="00DC383B"/>
    <w:rsid w:val="00DC3A7C"/>
    <w:rsid w:val="00DC3ACF"/>
    <w:rsid w:val="00DC3C65"/>
    <w:rsid w:val="00DC3D8F"/>
    <w:rsid w:val="00DC3F8E"/>
    <w:rsid w:val="00DC4049"/>
    <w:rsid w:val="00DC44C1"/>
    <w:rsid w:val="00DC452E"/>
    <w:rsid w:val="00DC4B64"/>
    <w:rsid w:val="00DC4B94"/>
    <w:rsid w:val="00DC4F0E"/>
    <w:rsid w:val="00DC4FCF"/>
    <w:rsid w:val="00DC50D1"/>
    <w:rsid w:val="00DC50E0"/>
    <w:rsid w:val="00DC569A"/>
    <w:rsid w:val="00DC57E5"/>
    <w:rsid w:val="00DC5A88"/>
    <w:rsid w:val="00DC5E85"/>
    <w:rsid w:val="00DC6386"/>
    <w:rsid w:val="00DC6447"/>
    <w:rsid w:val="00DC646B"/>
    <w:rsid w:val="00DC6529"/>
    <w:rsid w:val="00DC6761"/>
    <w:rsid w:val="00DC6C52"/>
    <w:rsid w:val="00DC6C6C"/>
    <w:rsid w:val="00DC72EF"/>
    <w:rsid w:val="00DC7404"/>
    <w:rsid w:val="00DC7564"/>
    <w:rsid w:val="00DC7CF7"/>
    <w:rsid w:val="00DC7EA3"/>
    <w:rsid w:val="00DC7FBF"/>
    <w:rsid w:val="00DD02ED"/>
    <w:rsid w:val="00DD0B27"/>
    <w:rsid w:val="00DD0DAE"/>
    <w:rsid w:val="00DD0F37"/>
    <w:rsid w:val="00DD102D"/>
    <w:rsid w:val="00DD1130"/>
    <w:rsid w:val="00DD11A5"/>
    <w:rsid w:val="00DD1951"/>
    <w:rsid w:val="00DD26E6"/>
    <w:rsid w:val="00DD27B0"/>
    <w:rsid w:val="00DD30ED"/>
    <w:rsid w:val="00DD3A57"/>
    <w:rsid w:val="00DD3CE3"/>
    <w:rsid w:val="00DD3DD4"/>
    <w:rsid w:val="00DD45CC"/>
    <w:rsid w:val="00DD487D"/>
    <w:rsid w:val="00DD4D8D"/>
    <w:rsid w:val="00DD4E83"/>
    <w:rsid w:val="00DD4F19"/>
    <w:rsid w:val="00DD52D7"/>
    <w:rsid w:val="00DD5E67"/>
    <w:rsid w:val="00DD5E74"/>
    <w:rsid w:val="00DD64FA"/>
    <w:rsid w:val="00DD6555"/>
    <w:rsid w:val="00DD6628"/>
    <w:rsid w:val="00DD66C7"/>
    <w:rsid w:val="00DD6945"/>
    <w:rsid w:val="00DD69CE"/>
    <w:rsid w:val="00DD6A55"/>
    <w:rsid w:val="00DD6C85"/>
    <w:rsid w:val="00DD70A0"/>
    <w:rsid w:val="00DD7398"/>
    <w:rsid w:val="00DD7637"/>
    <w:rsid w:val="00DD7663"/>
    <w:rsid w:val="00DD7C3C"/>
    <w:rsid w:val="00DD7E57"/>
    <w:rsid w:val="00DE0093"/>
    <w:rsid w:val="00DE18FE"/>
    <w:rsid w:val="00DE2CF9"/>
    <w:rsid w:val="00DE2D04"/>
    <w:rsid w:val="00DE3244"/>
    <w:rsid w:val="00DE3250"/>
    <w:rsid w:val="00DE32C5"/>
    <w:rsid w:val="00DE3321"/>
    <w:rsid w:val="00DE3385"/>
    <w:rsid w:val="00DE34CA"/>
    <w:rsid w:val="00DE3971"/>
    <w:rsid w:val="00DE3AB6"/>
    <w:rsid w:val="00DE3DBF"/>
    <w:rsid w:val="00DE3DDE"/>
    <w:rsid w:val="00DE3F63"/>
    <w:rsid w:val="00DE40FC"/>
    <w:rsid w:val="00DE4392"/>
    <w:rsid w:val="00DE485A"/>
    <w:rsid w:val="00DE49D0"/>
    <w:rsid w:val="00DE54F3"/>
    <w:rsid w:val="00DE57CB"/>
    <w:rsid w:val="00DE6028"/>
    <w:rsid w:val="00DE67C2"/>
    <w:rsid w:val="00DE6876"/>
    <w:rsid w:val="00DE6C63"/>
    <w:rsid w:val="00DE6C7D"/>
    <w:rsid w:val="00DE6C85"/>
    <w:rsid w:val="00DE6FA1"/>
    <w:rsid w:val="00DE73ED"/>
    <w:rsid w:val="00DE7868"/>
    <w:rsid w:val="00DE78A3"/>
    <w:rsid w:val="00DE796C"/>
    <w:rsid w:val="00DE7F76"/>
    <w:rsid w:val="00DE7FA5"/>
    <w:rsid w:val="00DF0159"/>
    <w:rsid w:val="00DF034F"/>
    <w:rsid w:val="00DF084E"/>
    <w:rsid w:val="00DF0946"/>
    <w:rsid w:val="00DF0A7F"/>
    <w:rsid w:val="00DF0B53"/>
    <w:rsid w:val="00DF0B5B"/>
    <w:rsid w:val="00DF0C81"/>
    <w:rsid w:val="00DF0F6D"/>
    <w:rsid w:val="00DF11BC"/>
    <w:rsid w:val="00DF15A6"/>
    <w:rsid w:val="00DF1A71"/>
    <w:rsid w:val="00DF2364"/>
    <w:rsid w:val="00DF23EC"/>
    <w:rsid w:val="00DF307D"/>
    <w:rsid w:val="00DF3235"/>
    <w:rsid w:val="00DF3479"/>
    <w:rsid w:val="00DF36C4"/>
    <w:rsid w:val="00DF3DDD"/>
    <w:rsid w:val="00DF4AF1"/>
    <w:rsid w:val="00DF4BD2"/>
    <w:rsid w:val="00DF4D63"/>
    <w:rsid w:val="00DF4ED0"/>
    <w:rsid w:val="00DF50FC"/>
    <w:rsid w:val="00DF5658"/>
    <w:rsid w:val="00DF57B2"/>
    <w:rsid w:val="00DF5B6F"/>
    <w:rsid w:val="00DF5D2F"/>
    <w:rsid w:val="00DF6138"/>
    <w:rsid w:val="00DF68C7"/>
    <w:rsid w:val="00DF6EB2"/>
    <w:rsid w:val="00DF6F01"/>
    <w:rsid w:val="00DF731A"/>
    <w:rsid w:val="00DF7575"/>
    <w:rsid w:val="00DF7781"/>
    <w:rsid w:val="00DF7BD4"/>
    <w:rsid w:val="00DF7C20"/>
    <w:rsid w:val="00DF7FEA"/>
    <w:rsid w:val="00E00250"/>
    <w:rsid w:val="00E004A1"/>
    <w:rsid w:val="00E006C9"/>
    <w:rsid w:val="00E007E6"/>
    <w:rsid w:val="00E00AC3"/>
    <w:rsid w:val="00E00BC4"/>
    <w:rsid w:val="00E00C00"/>
    <w:rsid w:val="00E01102"/>
    <w:rsid w:val="00E01453"/>
    <w:rsid w:val="00E015D4"/>
    <w:rsid w:val="00E01EA5"/>
    <w:rsid w:val="00E02367"/>
    <w:rsid w:val="00E027BE"/>
    <w:rsid w:val="00E02A1C"/>
    <w:rsid w:val="00E03313"/>
    <w:rsid w:val="00E03738"/>
    <w:rsid w:val="00E03B7F"/>
    <w:rsid w:val="00E03C7D"/>
    <w:rsid w:val="00E040A2"/>
    <w:rsid w:val="00E04BBB"/>
    <w:rsid w:val="00E05DA9"/>
    <w:rsid w:val="00E065E6"/>
    <w:rsid w:val="00E065F9"/>
    <w:rsid w:val="00E067EB"/>
    <w:rsid w:val="00E069FF"/>
    <w:rsid w:val="00E06B75"/>
    <w:rsid w:val="00E070E1"/>
    <w:rsid w:val="00E0724E"/>
    <w:rsid w:val="00E0782E"/>
    <w:rsid w:val="00E079D5"/>
    <w:rsid w:val="00E07E89"/>
    <w:rsid w:val="00E1009E"/>
    <w:rsid w:val="00E10457"/>
    <w:rsid w:val="00E10B48"/>
    <w:rsid w:val="00E10D51"/>
    <w:rsid w:val="00E10D72"/>
    <w:rsid w:val="00E1116D"/>
    <w:rsid w:val="00E111A5"/>
    <w:rsid w:val="00E11332"/>
    <w:rsid w:val="00E11352"/>
    <w:rsid w:val="00E1138B"/>
    <w:rsid w:val="00E1174D"/>
    <w:rsid w:val="00E11AE0"/>
    <w:rsid w:val="00E11B73"/>
    <w:rsid w:val="00E11EC9"/>
    <w:rsid w:val="00E12D1E"/>
    <w:rsid w:val="00E134A6"/>
    <w:rsid w:val="00E13A2C"/>
    <w:rsid w:val="00E13DFB"/>
    <w:rsid w:val="00E13E87"/>
    <w:rsid w:val="00E143BE"/>
    <w:rsid w:val="00E146C8"/>
    <w:rsid w:val="00E14A93"/>
    <w:rsid w:val="00E14CC1"/>
    <w:rsid w:val="00E15E96"/>
    <w:rsid w:val="00E16086"/>
    <w:rsid w:val="00E1627D"/>
    <w:rsid w:val="00E16DC3"/>
    <w:rsid w:val="00E170DC"/>
    <w:rsid w:val="00E17546"/>
    <w:rsid w:val="00E17886"/>
    <w:rsid w:val="00E17BB1"/>
    <w:rsid w:val="00E17E2C"/>
    <w:rsid w:val="00E17F24"/>
    <w:rsid w:val="00E20465"/>
    <w:rsid w:val="00E2047A"/>
    <w:rsid w:val="00E20700"/>
    <w:rsid w:val="00E20C61"/>
    <w:rsid w:val="00E210B5"/>
    <w:rsid w:val="00E2163A"/>
    <w:rsid w:val="00E216A0"/>
    <w:rsid w:val="00E21871"/>
    <w:rsid w:val="00E21A49"/>
    <w:rsid w:val="00E21C6E"/>
    <w:rsid w:val="00E222E9"/>
    <w:rsid w:val="00E22911"/>
    <w:rsid w:val="00E229A9"/>
    <w:rsid w:val="00E229FE"/>
    <w:rsid w:val="00E22B1D"/>
    <w:rsid w:val="00E2306B"/>
    <w:rsid w:val="00E23AAF"/>
    <w:rsid w:val="00E23B34"/>
    <w:rsid w:val="00E241CD"/>
    <w:rsid w:val="00E242C0"/>
    <w:rsid w:val="00E244F2"/>
    <w:rsid w:val="00E24528"/>
    <w:rsid w:val="00E248E0"/>
    <w:rsid w:val="00E24AF9"/>
    <w:rsid w:val="00E24E79"/>
    <w:rsid w:val="00E250AB"/>
    <w:rsid w:val="00E2540F"/>
    <w:rsid w:val="00E25595"/>
    <w:rsid w:val="00E25C6D"/>
    <w:rsid w:val="00E25D1E"/>
    <w:rsid w:val="00E25E99"/>
    <w:rsid w:val="00E25EA3"/>
    <w:rsid w:val="00E261B3"/>
    <w:rsid w:val="00E26818"/>
    <w:rsid w:val="00E26A46"/>
    <w:rsid w:val="00E26D60"/>
    <w:rsid w:val="00E270F8"/>
    <w:rsid w:val="00E27113"/>
    <w:rsid w:val="00E27240"/>
    <w:rsid w:val="00E27242"/>
    <w:rsid w:val="00E272FD"/>
    <w:rsid w:val="00E275EB"/>
    <w:rsid w:val="00E27841"/>
    <w:rsid w:val="00E27898"/>
    <w:rsid w:val="00E27AB7"/>
    <w:rsid w:val="00E27E53"/>
    <w:rsid w:val="00E27F7B"/>
    <w:rsid w:val="00E27FA2"/>
    <w:rsid w:val="00E27FFC"/>
    <w:rsid w:val="00E30393"/>
    <w:rsid w:val="00E30B13"/>
    <w:rsid w:val="00E30B15"/>
    <w:rsid w:val="00E3110F"/>
    <w:rsid w:val="00E317F8"/>
    <w:rsid w:val="00E31DD2"/>
    <w:rsid w:val="00E328E1"/>
    <w:rsid w:val="00E32B7A"/>
    <w:rsid w:val="00E33237"/>
    <w:rsid w:val="00E33C71"/>
    <w:rsid w:val="00E33CD5"/>
    <w:rsid w:val="00E34275"/>
    <w:rsid w:val="00E343A1"/>
    <w:rsid w:val="00E344AA"/>
    <w:rsid w:val="00E349F1"/>
    <w:rsid w:val="00E354E4"/>
    <w:rsid w:val="00E356D9"/>
    <w:rsid w:val="00E35A10"/>
    <w:rsid w:val="00E365B6"/>
    <w:rsid w:val="00E367F4"/>
    <w:rsid w:val="00E36B9A"/>
    <w:rsid w:val="00E37857"/>
    <w:rsid w:val="00E37CB8"/>
    <w:rsid w:val="00E37D9D"/>
    <w:rsid w:val="00E400A6"/>
    <w:rsid w:val="00E40181"/>
    <w:rsid w:val="00E401FE"/>
    <w:rsid w:val="00E40332"/>
    <w:rsid w:val="00E40E2C"/>
    <w:rsid w:val="00E417AD"/>
    <w:rsid w:val="00E41911"/>
    <w:rsid w:val="00E41BA9"/>
    <w:rsid w:val="00E41CE6"/>
    <w:rsid w:val="00E42391"/>
    <w:rsid w:val="00E43F95"/>
    <w:rsid w:val="00E440D8"/>
    <w:rsid w:val="00E44909"/>
    <w:rsid w:val="00E44E3F"/>
    <w:rsid w:val="00E4502B"/>
    <w:rsid w:val="00E4561B"/>
    <w:rsid w:val="00E457C1"/>
    <w:rsid w:val="00E45DF3"/>
    <w:rsid w:val="00E467BB"/>
    <w:rsid w:val="00E46D8B"/>
    <w:rsid w:val="00E4717D"/>
    <w:rsid w:val="00E475F6"/>
    <w:rsid w:val="00E47ACD"/>
    <w:rsid w:val="00E50150"/>
    <w:rsid w:val="00E509F7"/>
    <w:rsid w:val="00E51158"/>
    <w:rsid w:val="00E51DF5"/>
    <w:rsid w:val="00E51FAD"/>
    <w:rsid w:val="00E522DB"/>
    <w:rsid w:val="00E5259B"/>
    <w:rsid w:val="00E5291A"/>
    <w:rsid w:val="00E52B61"/>
    <w:rsid w:val="00E5305B"/>
    <w:rsid w:val="00E53197"/>
    <w:rsid w:val="00E53931"/>
    <w:rsid w:val="00E53BB6"/>
    <w:rsid w:val="00E53C98"/>
    <w:rsid w:val="00E54402"/>
    <w:rsid w:val="00E54950"/>
    <w:rsid w:val="00E54CD7"/>
    <w:rsid w:val="00E55171"/>
    <w:rsid w:val="00E55445"/>
    <w:rsid w:val="00E55662"/>
    <w:rsid w:val="00E558F7"/>
    <w:rsid w:val="00E559AF"/>
    <w:rsid w:val="00E55BF0"/>
    <w:rsid w:val="00E55FB3"/>
    <w:rsid w:val="00E5604C"/>
    <w:rsid w:val="00E5646E"/>
    <w:rsid w:val="00E564E0"/>
    <w:rsid w:val="00E56A01"/>
    <w:rsid w:val="00E56B48"/>
    <w:rsid w:val="00E56EB3"/>
    <w:rsid w:val="00E57B1B"/>
    <w:rsid w:val="00E57E7C"/>
    <w:rsid w:val="00E60275"/>
    <w:rsid w:val="00E60CA0"/>
    <w:rsid w:val="00E60DC4"/>
    <w:rsid w:val="00E60FB1"/>
    <w:rsid w:val="00E61703"/>
    <w:rsid w:val="00E617CC"/>
    <w:rsid w:val="00E6186D"/>
    <w:rsid w:val="00E622F8"/>
    <w:rsid w:val="00E629A1"/>
    <w:rsid w:val="00E62BEA"/>
    <w:rsid w:val="00E6313D"/>
    <w:rsid w:val="00E631BE"/>
    <w:rsid w:val="00E63712"/>
    <w:rsid w:val="00E642D3"/>
    <w:rsid w:val="00E64723"/>
    <w:rsid w:val="00E648C9"/>
    <w:rsid w:val="00E64BB2"/>
    <w:rsid w:val="00E64E5B"/>
    <w:rsid w:val="00E6516F"/>
    <w:rsid w:val="00E6555B"/>
    <w:rsid w:val="00E657CC"/>
    <w:rsid w:val="00E65D7D"/>
    <w:rsid w:val="00E6608C"/>
    <w:rsid w:val="00E66735"/>
    <w:rsid w:val="00E66A00"/>
    <w:rsid w:val="00E66A19"/>
    <w:rsid w:val="00E66AB3"/>
    <w:rsid w:val="00E67492"/>
    <w:rsid w:val="00E675E4"/>
    <w:rsid w:val="00E6794C"/>
    <w:rsid w:val="00E67A15"/>
    <w:rsid w:val="00E7037D"/>
    <w:rsid w:val="00E70493"/>
    <w:rsid w:val="00E7077C"/>
    <w:rsid w:val="00E70A15"/>
    <w:rsid w:val="00E70A30"/>
    <w:rsid w:val="00E71104"/>
    <w:rsid w:val="00E71106"/>
    <w:rsid w:val="00E71284"/>
    <w:rsid w:val="00E713D4"/>
    <w:rsid w:val="00E71432"/>
    <w:rsid w:val="00E71591"/>
    <w:rsid w:val="00E717FA"/>
    <w:rsid w:val="00E71CEB"/>
    <w:rsid w:val="00E720E0"/>
    <w:rsid w:val="00E7229B"/>
    <w:rsid w:val="00E723E0"/>
    <w:rsid w:val="00E7255A"/>
    <w:rsid w:val="00E726E9"/>
    <w:rsid w:val="00E72EE4"/>
    <w:rsid w:val="00E7341C"/>
    <w:rsid w:val="00E73605"/>
    <w:rsid w:val="00E736DE"/>
    <w:rsid w:val="00E7417D"/>
    <w:rsid w:val="00E742AE"/>
    <w:rsid w:val="00E7474F"/>
    <w:rsid w:val="00E74EA0"/>
    <w:rsid w:val="00E7505B"/>
    <w:rsid w:val="00E75264"/>
    <w:rsid w:val="00E75274"/>
    <w:rsid w:val="00E75479"/>
    <w:rsid w:val="00E75531"/>
    <w:rsid w:val="00E75841"/>
    <w:rsid w:val="00E75ACE"/>
    <w:rsid w:val="00E75F10"/>
    <w:rsid w:val="00E75FAE"/>
    <w:rsid w:val="00E7602F"/>
    <w:rsid w:val="00E7606A"/>
    <w:rsid w:val="00E76668"/>
    <w:rsid w:val="00E76A7C"/>
    <w:rsid w:val="00E76BC5"/>
    <w:rsid w:val="00E77146"/>
    <w:rsid w:val="00E771FC"/>
    <w:rsid w:val="00E77AC5"/>
    <w:rsid w:val="00E77CB3"/>
    <w:rsid w:val="00E77F8E"/>
    <w:rsid w:val="00E802E9"/>
    <w:rsid w:val="00E80529"/>
    <w:rsid w:val="00E806F9"/>
    <w:rsid w:val="00E807CB"/>
    <w:rsid w:val="00E80A3D"/>
    <w:rsid w:val="00E80DAF"/>
    <w:rsid w:val="00E80DE3"/>
    <w:rsid w:val="00E80E66"/>
    <w:rsid w:val="00E80F44"/>
    <w:rsid w:val="00E81870"/>
    <w:rsid w:val="00E81A91"/>
    <w:rsid w:val="00E81AD5"/>
    <w:rsid w:val="00E81C3B"/>
    <w:rsid w:val="00E827DE"/>
    <w:rsid w:val="00E82904"/>
    <w:rsid w:val="00E8293C"/>
    <w:rsid w:val="00E82C55"/>
    <w:rsid w:val="00E83481"/>
    <w:rsid w:val="00E83C8B"/>
    <w:rsid w:val="00E84151"/>
    <w:rsid w:val="00E842AC"/>
    <w:rsid w:val="00E8434C"/>
    <w:rsid w:val="00E844B8"/>
    <w:rsid w:val="00E846EC"/>
    <w:rsid w:val="00E854AE"/>
    <w:rsid w:val="00E8552A"/>
    <w:rsid w:val="00E8579F"/>
    <w:rsid w:val="00E861DE"/>
    <w:rsid w:val="00E86BDC"/>
    <w:rsid w:val="00E86E7F"/>
    <w:rsid w:val="00E86EA0"/>
    <w:rsid w:val="00E86F57"/>
    <w:rsid w:val="00E8787E"/>
    <w:rsid w:val="00E87A50"/>
    <w:rsid w:val="00E87DD2"/>
    <w:rsid w:val="00E87E08"/>
    <w:rsid w:val="00E90058"/>
    <w:rsid w:val="00E9020C"/>
    <w:rsid w:val="00E90634"/>
    <w:rsid w:val="00E906D7"/>
    <w:rsid w:val="00E90725"/>
    <w:rsid w:val="00E9074F"/>
    <w:rsid w:val="00E90DD9"/>
    <w:rsid w:val="00E9110B"/>
    <w:rsid w:val="00E9110F"/>
    <w:rsid w:val="00E91203"/>
    <w:rsid w:val="00E92AC3"/>
    <w:rsid w:val="00E932E0"/>
    <w:rsid w:val="00E9330D"/>
    <w:rsid w:val="00E93620"/>
    <w:rsid w:val="00E940D0"/>
    <w:rsid w:val="00E94544"/>
    <w:rsid w:val="00E952A5"/>
    <w:rsid w:val="00E957FD"/>
    <w:rsid w:val="00E95978"/>
    <w:rsid w:val="00E96157"/>
    <w:rsid w:val="00E963CF"/>
    <w:rsid w:val="00E96A5F"/>
    <w:rsid w:val="00E9712B"/>
    <w:rsid w:val="00E97555"/>
    <w:rsid w:val="00E979B6"/>
    <w:rsid w:val="00E97C2D"/>
    <w:rsid w:val="00E97D41"/>
    <w:rsid w:val="00E97E3C"/>
    <w:rsid w:val="00E97E71"/>
    <w:rsid w:val="00EA0544"/>
    <w:rsid w:val="00EA0CC7"/>
    <w:rsid w:val="00EA0D45"/>
    <w:rsid w:val="00EA0F6C"/>
    <w:rsid w:val="00EA16DF"/>
    <w:rsid w:val="00EA17F2"/>
    <w:rsid w:val="00EA1833"/>
    <w:rsid w:val="00EA2454"/>
    <w:rsid w:val="00EA24A5"/>
    <w:rsid w:val="00EA27DF"/>
    <w:rsid w:val="00EA2C95"/>
    <w:rsid w:val="00EA2F6A"/>
    <w:rsid w:val="00EA325A"/>
    <w:rsid w:val="00EA367C"/>
    <w:rsid w:val="00EA3A7C"/>
    <w:rsid w:val="00EA3A7F"/>
    <w:rsid w:val="00EA3FF4"/>
    <w:rsid w:val="00EA42F3"/>
    <w:rsid w:val="00EA4AEF"/>
    <w:rsid w:val="00EA4BF9"/>
    <w:rsid w:val="00EA4C0B"/>
    <w:rsid w:val="00EA4C52"/>
    <w:rsid w:val="00EA502B"/>
    <w:rsid w:val="00EA5670"/>
    <w:rsid w:val="00EA6308"/>
    <w:rsid w:val="00EA633D"/>
    <w:rsid w:val="00EA6833"/>
    <w:rsid w:val="00EA6B21"/>
    <w:rsid w:val="00EA6C1A"/>
    <w:rsid w:val="00EA6C9B"/>
    <w:rsid w:val="00EA7191"/>
    <w:rsid w:val="00EA7B0E"/>
    <w:rsid w:val="00EA7E8F"/>
    <w:rsid w:val="00EB00E0"/>
    <w:rsid w:val="00EB027C"/>
    <w:rsid w:val="00EB0382"/>
    <w:rsid w:val="00EB05D5"/>
    <w:rsid w:val="00EB0C06"/>
    <w:rsid w:val="00EB10C6"/>
    <w:rsid w:val="00EB16BC"/>
    <w:rsid w:val="00EB18AC"/>
    <w:rsid w:val="00EB1D0D"/>
    <w:rsid w:val="00EB240C"/>
    <w:rsid w:val="00EB294C"/>
    <w:rsid w:val="00EB31CF"/>
    <w:rsid w:val="00EB38EE"/>
    <w:rsid w:val="00EB3CB3"/>
    <w:rsid w:val="00EB3E93"/>
    <w:rsid w:val="00EB415C"/>
    <w:rsid w:val="00EB4267"/>
    <w:rsid w:val="00EB4A99"/>
    <w:rsid w:val="00EB4BC7"/>
    <w:rsid w:val="00EB4D48"/>
    <w:rsid w:val="00EB54BA"/>
    <w:rsid w:val="00EB55DB"/>
    <w:rsid w:val="00EB56BF"/>
    <w:rsid w:val="00EB5AB6"/>
    <w:rsid w:val="00EB5FEF"/>
    <w:rsid w:val="00EB6F1D"/>
    <w:rsid w:val="00EB7942"/>
    <w:rsid w:val="00EB79A4"/>
    <w:rsid w:val="00EC030F"/>
    <w:rsid w:val="00EC057A"/>
    <w:rsid w:val="00EC059F"/>
    <w:rsid w:val="00EC0A13"/>
    <w:rsid w:val="00EC0E50"/>
    <w:rsid w:val="00EC120A"/>
    <w:rsid w:val="00EC1332"/>
    <w:rsid w:val="00EC13B1"/>
    <w:rsid w:val="00EC145B"/>
    <w:rsid w:val="00EC1789"/>
    <w:rsid w:val="00EC1F24"/>
    <w:rsid w:val="00EC1FD4"/>
    <w:rsid w:val="00EC22F6"/>
    <w:rsid w:val="00EC24BD"/>
    <w:rsid w:val="00EC2635"/>
    <w:rsid w:val="00EC2EE6"/>
    <w:rsid w:val="00EC306F"/>
    <w:rsid w:val="00EC3325"/>
    <w:rsid w:val="00EC3747"/>
    <w:rsid w:val="00EC38CA"/>
    <w:rsid w:val="00EC3C6F"/>
    <w:rsid w:val="00EC3C74"/>
    <w:rsid w:val="00EC3DB9"/>
    <w:rsid w:val="00EC4121"/>
    <w:rsid w:val="00EC46BF"/>
    <w:rsid w:val="00EC4B49"/>
    <w:rsid w:val="00EC4D44"/>
    <w:rsid w:val="00EC5102"/>
    <w:rsid w:val="00EC545C"/>
    <w:rsid w:val="00EC5642"/>
    <w:rsid w:val="00EC56ED"/>
    <w:rsid w:val="00EC67E7"/>
    <w:rsid w:val="00EC6C2E"/>
    <w:rsid w:val="00EC739E"/>
    <w:rsid w:val="00ED03A9"/>
    <w:rsid w:val="00ED0858"/>
    <w:rsid w:val="00ED0FE1"/>
    <w:rsid w:val="00ED100D"/>
    <w:rsid w:val="00ED108C"/>
    <w:rsid w:val="00ED11F4"/>
    <w:rsid w:val="00ED16CB"/>
    <w:rsid w:val="00ED189F"/>
    <w:rsid w:val="00ED220F"/>
    <w:rsid w:val="00ED32BA"/>
    <w:rsid w:val="00ED3B40"/>
    <w:rsid w:val="00ED3E30"/>
    <w:rsid w:val="00ED4049"/>
    <w:rsid w:val="00ED4389"/>
    <w:rsid w:val="00ED4A17"/>
    <w:rsid w:val="00ED4BA6"/>
    <w:rsid w:val="00ED52F3"/>
    <w:rsid w:val="00ED5B9B"/>
    <w:rsid w:val="00ED5D4A"/>
    <w:rsid w:val="00ED5D8C"/>
    <w:rsid w:val="00ED5F5E"/>
    <w:rsid w:val="00ED5FDA"/>
    <w:rsid w:val="00ED5FF5"/>
    <w:rsid w:val="00ED62A9"/>
    <w:rsid w:val="00ED69EB"/>
    <w:rsid w:val="00ED6A23"/>
    <w:rsid w:val="00ED6BAD"/>
    <w:rsid w:val="00ED7122"/>
    <w:rsid w:val="00ED719D"/>
    <w:rsid w:val="00ED7447"/>
    <w:rsid w:val="00ED7762"/>
    <w:rsid w:val="00ED7791"/>
    <w:rsid w:val="00ED7B47"/>
    <w:rsid w:val="00EE0091"/>
    <w:rsid w:val="00EE00B2"/>
    <w:rsid w:val="00EE00D6"/>
    <w:rsid w:val="00EE0188"/>
    <w:rsid w:val="00EE02BD"/>
    <w:rsid w:val="00EE0413"/>
    <w:rsid w:val="00EE058C"/>
    <w:rsid w:val="00EE0932"/>
    <w:rsid w:val="00EE0E97"/>
    <w:rsid w:val="00EE11E7"/>
    <w:rsid w:val="00EE1488"/>
    <w:rsid w:val="00EE15D1"/>
    <w:rsid w:val="00EE183C"/>
    <w:rsid w:val="00EE1B8F"/>
    <w:rsid w:val="00EE1C69"/>
    <w:rsid w:val="00EE224A"/>
    <w:rsid w:val="00EE29AD"/>
    <w:rsid w:val="00EE29C9"/>
    <w:rsid w:val="00EE2FD8"/>
    <w:rsid w:val="00EE36CF"/>
    <w:rsid w:val="00EE3B8B"/>
    <w:rsid w:val="00EE3C1E"/>
    <w:rsid w:val="00EE3CF2"/>
    <w:rsid w:val="00EE3E0A"/>
    <w:rsid w:val="00EE3E24"/>
    <w:rsid w:val="00EE44B3"/>
    <w:rsid w:val="00EE44F3"/>
    <w:rsid w:val="00EE44F6"/>
    <w:rsid w:val="00EE461D"/>
    <w:rsid w:val="00EE4BB7"/>
    <w:rsid w:val="00EE4D5D"/>
    <w:rsid w:val="00EE4DAA"/>
    <w:rsid w:val="00EE5131"/>
    <w:rsid w:val="00EE52DB"/>
    <w:rsid w:val="00EE591B"/>
    <w:rsid w:val="00EE5F30"/>
    <w:rsid w:val="00EE61E2"/>
    <w:rsid w:val="00EE6529"/>
    <w:rsid w:val="00EE6A8D"/>
    <w:rsid w:val="00EE6F8B"/>
    <w:rsid w:val="00EE74C9"/>
    <w:rsid w:val="00EE758B"/>
    <w:rsid w:val="00EE78A7"/>
    <w:rsid w:val="00EE7D9B"/>
    <w:rsid w:val="00EE7DB5"/>
    <w:rsid w:val="00EE7F9D"/>
    <w:rsid w:val="00EF064C"/>
    <w:rsid w:val="00EF0D05"/>
    <w:rsid w:val="00EF109B"/>
    <w:rsid w:val="00EF1219"/>
    <w:rsid w:val="00EF16D9"/>
    <w:rsid w:val="00EF182F"/>
    <w:rsid w:val="00EF1B94"/>
    <w:rsid w:val="00EF201C"/>
    <w:rsid w:val="00EF21B4"/>
    <w:rsid w:val="00EF2C72"/>
    <w:rsid w:val="00EF36AF"/>
    <w:rsid w:val="00EF36BC"/>
    <w:rsid w:val="00EF3F2D"/>
    <w:rsid w:val="00EF42E7"/>
    <w:rsid w:val="00EF47AC"/>
    <w:rsid w:val="00EF47E8"/>
    <w:rsid w:val="00EF4816"/>
    <w:rsid w:val="00EF4965"/>
    <w:rsid w:val="00EF4D2E"/>
    <w:rsid w:val="00EF59A3"/>
    <w:rsid w:val="00EF5B85"/>
    <w:rsid w:val="00EF5E2E"/>
    <w:rsid w:val="00EF6120"/>
    <w:rsid w:val="00EF6675"/>
    <w:rsid w:val="00EF718C"/>
    <w:rsid w:val="00EF74CE"/>
    <w:rsid w:val="00EF78C4"/>
    <w:rsid w:val="00EF78DB"/>
    <w:rsid w:val="00EF79B5"/>
    <w:rsid w:val="00EF7D48"/>
    <w:rsid w:val="00F0005F"/>
    <w:rsid w:val="00F00394"/>
    <w:rsid w:val="00F0063D"/>
    <w:rsid w:val="00F006F7"/>
    <w:rsid w:val="00F00A4C"/>
    <w:rsid w:val="00F00F9C"/>
    <w:rsid w:val="00F01200"/>
    <w:rsid w:val="00F012DD"/>
    <w:rsid w:val="00F012E6"/>
    <w:rsid w:val="00F01305"/>
    <w:rsid w:val="00F01DD4"/>
    <w:rsid w:val="00F01E5F"/>
    <w:rsid w:val="00F021F3"/>
    <w:rsid w:val="00F02308"/>
    <w:rsid w:val="00F024EB"/>
    <w:rsid w:val="00F024F3"/>
    <w:rsid w:val="00F0264C"/>
    <w:rsid w:val="00F0282A"/>
    <w:rsid w:val="00F02ABA"/>
    <w:rsid w:val="00F02D16"/>
    <w:rsid w:val="00F02FBA"/>
    <w:rsid w:val="00F0368E"/>
    <w:rsid w:val="00F03694"/>
    <w:rsid w:val="00F03C5A"/>
    <w:rsid w:val="00F0437A"/>
    <w:rsid w:val="00F04658"/>
    <w:rsid w:val="00F046BD"/>
    <w:rsid w:val="00F047AB"/>
    <w:rsid w:val="00F0501A"/>
    <w:rsid w:val="00F067CE"/>
    <w:rsid w:val="00F06A71"/>
    <w:rsid w:val="00F078C9"/>
    <w:rsid w:val="00F101B8"/>
    <w:rsid w:val="00F1035C"/>
    <w:rsid w:val="00F1043D"/>
    <w:rsid w:val="00F104E3"/>
    <w:rsid w:val="00F10974"/>
    <w:rsid w:val="00F10AFB"/>
    <w:rsid w:val="00F11037"/>
    <w:rsid w:val="00F11351"/>
    <w:rsid w:val="00F11588"/>
    <w:rsid w:val="00F1197B"/>
    <w:rsid w:val="00F11F40"/>
    <w:rsid w:val="00F12751"/>
    <w:rsid w:val="00F127D8"/>
    <w:rsid w:val="00F12AF8"/>
    <w:rsid w:val="00F12B0A"/>
    <w:rsid w:val="00F13069"/>
    <w:rsid w:val="00F135D6"/>
    <w:rsid w:val="00F1364E"/>
    <w:rsid w:val="00F13858"/>
    <w:rsid w:val="00F13C77"/>
    <w:rsid w:val="00F13D5F"/>
    <w:rsid w:val="00F13FC0"/>
    <w:rsid w:val="00F145C5"/>
    <w:rsid w:val="00F14858"/>
    <w:rsid w:val="00F14B19"/>
    <w:rsid w:val="00F14C33"/>
    <w:rsid w:val="00F14EC2"/>
    <w:rsid w:val="00F15144"/>
    <w:rsid w:val="00F15878"/>
    <w:rsid w:val="00F15F8C"/>
    <w:rsid w:val="00F16342"/>
    <w:rsid w:val="00F16570"/>
    <w:rsid w:val="00F166C4"/>
    <w:rsid w:val="00F167FC"/>
    <w:rsid w:val="00F16EB9"/>
    <w:rsid w:val="00F16F1B"/>
    <w:rsid w:val="00F170C6"/>
    <w:rsid w:val="00F17331"/>
    <w:rsid w:val="00F20513"/>
    <w:rsid w:val="00F207C1"/>
    <w:rsid w:val="00F208BF"/>
    <w:rsid w:val="00F20B51"/>
    <w:rsid w:val="00F20CF2"/>
    <w:rsid w:val="00F20FAD"/>
    <w:rsid w:val="00F2121A"/>
    <w:rsid w:val="00F215CE"/>
    <w:rsid w:val="00F21F67"/>
    <w:rsid w:val="00F22162"/>
    <w:rsid w:val="00F227A9"/>
    <w:rsid w:val="00F229D5"/>
    <w:rsid w:val="00F22BE3"/>
    <w:rsid w:val="00F2335D"/>
    <w:rsid w:val="00F2346D"/>
    <w:rsid w:val="00F2389D"/>
    <w:rsid w:val="00F23D89"/>
    <w:rsid w:val="00F240CA"/>
    <w:rsid w:val="00F241E7"/>
    <w:rsid w:val="00F24510"/>
    <w:rsid w:val="00F250A9"/>
    <w:rsid w:val="00F259C9"/>
    <w:rsid w:val="00F25A39"/>
    <w:rsid w:val="00F25E21"/>
    <w:rsid w:val="00F2604D"/>
    <w:rsid w:val="00F264F7"/>
    <w:rsid w:val="00F267AF"/>
    <w:rsid w:val="00F26AE3"/>
    <w:rsid w:val="00F26B0C"/>
    <w:rsid w:val="00F26BB5"/>
    <w:rsid w:val="00F26EF0"/>
    <w:rsid w:val="00F2703E"/>
    <w:rsid w:val="00F27656"/>
    <w:rsid w:val="00F27DBE"/>
    <w:rsid w:val="00F27F42"/>
    <w:rsid w:val="00F3041D"/>
    <w:rsid w:val="00F304C6"/>
    <w:rsid w:val="00F30634"/>
    <w:rsid w:val="00F30FF4"/>
    <w:rsid w:val="00F31174"/>
    <w:rsid w:val="00F3122E"/>
    <w:rsid w:val="00F31601"/>
    <w:rsid w:val="00F316AA"/>
    <w:rsid w:val="00F31827"/>
    <w:rsid w:val="00F31F68"/>
    <w:rsid w:val="00F320E0"/>
    <w:rsid w:val="00F32368"/>
    <w:rsid w:val="00F32636"/>
    <w:rsid w:val="00F32657"/>
    <w:rsid w:val="00F32FC8"/>
    <w:rsid w:val="00F330CB"/>
    <w:rsid w:val="00F331AD"/>
    <w:rsid w:val="00F3337E"/>
    <w:rsid w:val="00F33688"/>
    <w:rsid w:val="00F33A0D"/>
    <w:rsid w:val="00F33AE5"/>
    <w:rsid w:val="00F342DC"/>
    <w:rsid w:val="00F34517"/>
    <w:rsid w:val="00F3485B"/>
    <w:rsid w:val="00F348C0"/>
    <w:rsid w:val="00F3523F"/>
    <w:rsid w:val="00F35287"/>
    <w:rsid w:val="00F3574B"/>
    <w:rsid w:val="00F3583F"/>
    <w:rsid w:val="00F362E6"/>
    <w:rsid w:val="00F368BE"/>
    <w:rsid w:val="00F369AB"/>
    <w:rsid w:val="00F3758A"/>
    <w:rsid w:val="00F37AF1"/>
    <w:rsid w:val="00F37BA4"/>
    <w:rsid w:val="00F37E9F"/>
    <w:rsid w:val="00F37F03"/>
    <w:rsid w:val="00F37FFA"/>
    <w:rsid w:val="00F4002A"/>
    <w:rsid w:val="00F403D0"/>
    <w:rsid w:val="00F4065D"/>
    <w:rsid w:val="00F40A70"/>
    <w:rsid w:val="00F40E05"/>
    <w:rsid w:val="00F40EC3"/>
    <w:rsid w:val="00F411D2"/>
    <w:rsid w:val="00F41512"/>
    <w:rsid w:val="00F415D5"/>
    <w:rsid w:val="00F4172E"/>
    <w:rsid w:val="00F419A1"/>
    <w:rsid w:val="00F419E3"/>
    <w:rsid w:val="00F41B1C"/>
    <w:rsid w:val="00F420F3"/>
    <w:rsid w:val="00F42701"/>
    <w:rsid w:val="00F43134"/>
    <w:rsid w:val="00F43169"/>
    <w:rsid w:val="00F43199"/>
    <w:rsid w:val="00F431B1"/>
    <w:rsid w:val="00F438F1"/>
    <w:rsid w:val="00F438F9"/>
    <w:rsid w:val="00F43A37"/>
    <w:rsid w:val="00F44AC5"/>
    <w:rsid w:val="00F44C6D"/>
    <w:rsid w:val="00F45126"/>
    <w:rsid w:val="00F45200"/>
    <w:rsid w:val="00F452AB"/>
    <w:rsid w:val="00F4532F"/>
    <w:rsid w:val="00F453FA"/>
    <w:rsid w:val="00F45846"/>
    <w:rsid w:val="00F45B08"/>
    <w:rsid w:val="00F45B25"/>
    <w:rsid w:val="00F45F11"/>
    <w:rsid w:val="00F46133"/>
    <w:rsid w:val="00F4641B"/>
    <w:rsid w:val="00F4683B"/>
    <w:rsid w:val="00F46DA5"/>
    <w:rsid w:val="00F46EB8"/>
    <w:rsid w:val="00F46EFC"/>
    <w:rsid w:val="00F4734E"/>
    <w:rsid w:val="00F47716"/>
    <w:rsid w:val="00F47846"/>
    <w:rsid w:val="00F47A10"/>
    <w:rsid w:val="00F5046D"/>
    <w:rsid w:val="00F50AA2"/>
    <w:rsid w:val="00F50CD1"/>
    <w:rsid w:val="00F511E4"/>
    <w:rsid w:val="00F5121B"/>
    <w:rsid w:val="00F51802"/>
    <w:rsid w:val="00F51936"/>
    <w:rsid w:val="00F52353"/>
    <w:rsid w:val="00F5238F"/>
    <w:rsid w:val="00F52D09"/>
    <w:rsid w:val="00F52E08"/>
    <w:rsid w:val="00F53A66"/>
    <w:rsid w:val="00F53B3D"/>
    <w:rsid w:val="00F53D55"/>
    <w:rsid w:val="00F53E92"/>
    <w:rsid w:val="00F544BA"/>
    <w:rsid w:val="00F5462D"/>
    <w:rsid w:val="00F54D73"/>
    <w:rsid w:val="00F54D7A"/>
    <w:rsid w:val="00F54EB1"/>
    <w:rsid w:val="00F54EDA"/>
    <w:rsid w:val="00F55051"/>
    <w:rsid w:val="00F55113"/>
    <w:rsid w:val="00F551F5"/>
    <w:rsid w:val="00F5558F"/>
    <w:rsid w:val="00F556C2"/>
    <w:rsid w:val="00F55B21"/>
    <w:rsid w:val="00F55DB3"/>
    <w:rsid w:val="00F55EDE"/>
    <w:rsid w:val="00F5620E"/>
    <w:rsid w:val="00F563EE"/>
    <w:rsid w:val="00F566C1"/>
    <w:rsid w:val="00F56B08"/>
    <w:rsid w:val="00F56EF6"/>
    <w:rsid w:val="00F57628"/>
    <w:rsid w:val="00F57689"/>
    <w:rsid w:val="00F57E70"/>
    <w:rsid w:val="00F60046"/>
    <w:rsid w:val="00F60082"/>
    <w:rsid w:val="00F600B1"/>
    <w:rsid w:val="00F60A9C"/>
    <w:rsid w:val="00F616E3"/>
    <w:rsid w:val="00F61A52"/>
    <w:rsid w:val="00F61A9F"/>
    <w:rsid w:val="00F61B5F"/>
    <w:rsid w:val="00F620BF"/>
    <w:rsid w:val="00F622DA"/>
    <w:rsid w:val="00F62AAF"/>
    <w:rsid w:val="00F63027"/>
    <w:rsid w:val="00F63DEB"/>
    <w:rsid w:val="00F642A0"/>
    <w:rsid w:val="00F64696"/>
    <w:rsid w:val="00F64B5C"/>
    <w:rsid w:val="00F64D1A"/>
    <w:rsid w:val="00F65687"/>
    <w:rsid w:val="00F656DE"/>
    <w:rsid w:val="00F657F1"/>
    <w:rsid w:val="00F659C1"/>
    <w:rsid w:val="00F65AA9"/>
    <w:rsid w:val="00F65AD2"/>
    <w:rsid w:val="00F65C59"/>
    <w:rsid w:val="00F65DCC"/>
    <w:rsid w:val="00F66B2B"/>
    <w:rsid w:val="00F66FDE"/>
    <w:rsid w:val="00F673CC"/>
    <w:rsid w:val="00F6768F"/>
    <w:rsid w:val="00F67940"/>
    <w:rsid w:val="00F67E4F"/>
    <w:rsid w:val="00F67F5A"/>
    <w:rsid w:val="00F70081"/>
    <w:rsid w:val="00F70BD6"/>
    <w:rsid w:val="00F711CB"/>
    <w:rsid w:val="00F7194E"/>
    <w:rsid w:val="00F71E7B"/>
    <w:rsid w:val="00F71FD9"/>
    <w:rsid w:val="00F723F9"/>
    <w:rsid w:val="00F72529"/>
    <w:rsid w:val="00F7288B"/>
    <w:rsid w:val="00F72C2C"/>
    <w:rsid w:val="00F72EE1"/>
    <w:rsid w:val="00F73435"/>
    <w:rsid w:val="00F73828"/>
    <w:rsid w:val="00F73908"/>
    <w:rsid w:val="00F73B55"/>
    <w:rsid w:val="00F741F2"/>
    <w:rsid w:val="00F742E6"/>
    <w:rsid w:val="00F74E60"/>
    <w:rsid w:val="00F74FE4"/>
    <w:rsid w:val="00F7532F"/>
    <w:rsid w:val="00F75B7D"/>
    <w:rsid w:val="00F76356"/>
    <w:rsid w:val="00F76467"/>
    <w:rsid w:val="00F76AD0"/>
    <w:rsid w:val="00F76C7A"/>
    <w:rsid w:val="00F76CAB"/>
    <w:rsid w:val="00F76DAC"/>
    <w:rsid w:val="00F77100"/>
    <w:rsid w:val="00F771A1"/>
    <w:rsid w:val="00F772C6"/>
    <w:rsid w:val="00F77818"/>
    <w:rsid w:val="00F77B34"/>
    <w:rsid w:val="00F77D2D"/>
    <w:rsid w:val="00F77D48"/>
    <w:rsid w:val="00F77ED0"/>
    <w:rsid w:val="00F77F93"/>
    <w:rsid w:val="00F80012"/>
    <w:rsid w:val="00F80840"/>
    <w:rsid w:val="00F80C80"/>
    <w:rsid w:val="00F810AF"/>
    <w:rsid w:val="00F814F3"/>
    <w:rsid w:val="00F815B5"/>
    <w:rsid w:val="00F816B6"/>
    <w:rsid w:val="00F819D2"/>
    <w:rsid w:val="00F81BD1"/>
    <w:rsid w:val="00F824B3"/>
    <w:rsid w:val="00F824B4"/>
    <w:rsid w:val="00F82538"/>
    <w:rsid w:val="00F82B42"/>
    <w:rsid w:val="00F8362C"/>
    <w:rsid w:val="00F83728"/>
    <w:rsid w:val="00F837F1"/>
    <w:rsid w:val="00F83B3D"/>
    <w:rsid w:val="00F83CD9"/>
    <w:rsid w:val="00F83D28"/>
    <w:rsid w:val="00F83D68"/>
    <w:rsid w:val="00F83F05"/>
    <w:rsid w:val="00F8400F"/>
    <w:rsid w:val="00F8411B"/>
    <w:rsid w:val="00F842BC"/>
    <w:rsid w:val="00F84677"/>
    <w:rsid w:val="00F84A98"/>
    <w:rsid w:val="00F85020"/>
    <w:rsid w:val="00F85032"/>
    <w:rsid w:val="00F850A3"/>
    <w:rsid w:val="00F85195"/>
    <w:rsid w:val="00F851EA"/>
    <w:rsid w:val="00F852A2"/>
    <w:rsid w:val="00F8566F"/>
    <w:rsid w:val="00F857D4"/>
    <w:rsid w:val="00F85DA5"/>
    <w:rsid w:val="00F86109"/>
    <w:rsid w:val="00F8617F"/>
    <w:rsid w:val="00F8657C"/>
    <w:rsid w:val="00F86598"/>
    <w:rsid w:val="00F868E3"/>
    <w:rsid w:val="00F870B7"/>
    <w:rsid w:val="00F874D3"/>
    <w:rsid w:val="00F87DDC"/>
    <w:rsid w:val="00F87FCC"/>
    <w:rsid w:val="00F90514"/>
    <w:rsid w:val="00F91639"/>
    <w:rsid w:val="00F9178E"/>
    <w:rsid w:val="00F91B16"/>
    <w:rsid w:val="00F91B24"/>
    <w:rsid w:val="00F91FFA"/>
    <w:rsid w:val="00F92396"/>
    <w:rsid w:val="00F92AD5"/>
    <w:rsid w:val="00F92E17"/>
    <w:rsid w:val="00F931A6"/>
    <w:rsid w:val="00F938BA"/>
    <w:rsid w:val="00F94494"/>
    <w:rsid w:val="00F946DB"/>
    <w:rsid w:val="00F955E9"/>
    <w:rsid w:val="00F95636"/>
    <w:rsid w:val="00F95732"/>
    <w:rsid w:val="00F95754"/>
    <w:rsid w:val="00F958CE"/>
    <w:rsid w:val="00F95920"/>
    <w:rsid w:val="00F95980"/>
    <w:rsid w:val="00F962BE"/>
    <w:rsid w:val="00F966E2"/>
    <w:rsid w:val="00F96CBE"/>
    <w:rsid w:val="00F96EDF"/>
    <w:rsid w:val="00F974DA"/>
    <w:rsid w:val="00F97629"/>
    <w:rsid w:val="00F97919"/>
    <w:rsid w:val="00F97B0C"/>
    <w:rsid w:val="00F97BE1"/>
    <w:rsid w:val="00F97CF3"/>
    <w:rsid w:val="00FA05D1"/>
    <w:rsid w:val="00FA05D8"/>
    <w:rsid w:val="00FA07DC"/>
    <w:rsid w:val="00FA0849"/>
    <w:rsid w:val="00FA14F6"/>
    <w:rsid w:val="00FA22DD"/>
    <w:rsid w:val="00FA230B"/>
    <w:rsid w:val="00FA2A27"/>
    <w:rsid w:val="00FA2A9E"/>
    <w:rsid w:val="00FA2C46"/>
    <w:rsid w:val="00FA33D8"/>
    <w:rsid w:val="00FA3525"/>
    <w:rsid w:val="00FA37FC"/>
    <w:rsid w:val="00FA4242"/>
    <w:rsid w:val="00FA49B1"/>
    <w:rsid w:val="00FA4FDE"/>
    <w:rsid w:val="00FA540E"/>
    <w:rsid w:val="00FA562B"/>
    <w:rsid w:val="00FA5A53"/>
    <w:rsid w:val="00FA5BE3"/>
    <w:rsid w:val="00FA5E09"/>
    <w:rsid w:val="00FA6D6D"/>
    <w:rsid w:val="00FA7475"/>
    <w:rsid w:val="00FA78E1"/>
    <w:rsid w:val="00FA7ACC"/>
    <w:rsid w:val="00FA7B6B"/>
    <w:rsid w:val="00FB0336"/>
    <w:rsid w:val="00FB03D3"/>
    <w:rsid w:val="00FB084E"/>
    <w:rsid w:val="00FB0BC1"/>
    <w:rsid w:val="00FB0F2D"/>
    <w:rsid w:val="00FB0FF8"/>
    <w:rsid w:val="00FB1931"/>
    <w:rsid w:val="00FB1F6E"/>
    <w:rsid w:val="00FB208D"/>
    <w:rsid w:val="00FB2195"/>
    <w:rsid w:val="00FB22B7"/>
    <w:rsid w:val="00FB2958"/>
    <w:rsid w:val="00FB2E3C"/>
    <w:rsid w:val="00FB2EC0"/>
    <w:rsid w:val="00FB399C"/>
    <w:rsid w:val="00FB39D3"/>
    <w:rsid w:val="00FB3B48"/>
    <w:rsid w:val="00FB3D34"/>
    <w:rsid w:val="00FB3F42"/>
    <w:rsid w:val="00FB42BC"/>
    <w:rsid w:val="00FB4769"/>
    <w:rsid w:val="00FB4CDA"/>
    <w:rsid w:val="00FB554C"/>
    <w:rsid w:val="00FB5D3E"/>
    <w:rsid w:val="00FB6046"/>
    <w:rsid w:val="00FB6481"/>
    <w:rsid w:val="00FB6552"/>
    <w:rsid w:val="00FB685F"/>
    <w:rsid w:val="00FB6A11"/>
    <w:rsid w:val="00FB6D36"/>
    <w:rsid w:val="00FB6ED0"/>
    <w:rsid w:val="00FC0910"/>
    <w:rsid w:val="00FC0965"/>
    <w:rsid w:val="00FC0A30"/>
    <w:rsid w:val="00FC0DED"/>
    <w:rsid w:val="00FC0F81"/>
    <w:rsid w:val="00FC10CF"/>
    <w:rsid w:val="00FC1303"/>
    <w:rsid w:val="00FC18CC"/>
    <w:rsid w:val="00FC1AAF"/>
    <w:rsid w:val="00FC1C18"/>
    <w:rsid w:val="00FC1FB5"/>
    <w:rsid w:val="00FC2326"/>
    <w:rsid w:val="00FC252F"/>
    <w:rsid w:val="00FC26E5"/>
    <w:rsid w:val="00FC2BF4"/>
    <w:rsid w:val="00FC2DEA"/>
    <w:rsid w:val="00FC2DF9"/>
    <w:rsid w:val="00FC2F01"/>
    <w:rsid w:val="00FC316A"/>
    <w:rsid w:val="00FC3776"/>
    <w:rsid w:val="00FC395C"/>
    <w:rsid w:val="00FC3AF5"/>
    <w:rsid w:val="00FC4341"/>
    <w:rsid w:val="00FC43C5"/>
    <w:rsid w:val="00FC4783"/>
    <w:rsid w:val="00FC484B"/>
    <w:rsid w:val="00FC5AB9"/>
    <w:rsid w:val="00FC5E8E"/>
    <w:rsid w:val="00FC65D1"/>
    <w:rsid w:val="00FC6720"/>
    <w:rsid w:val="00FC6DB7"/>
    <w:rsid w:val="00FC6DE1"/>
    <w:rsid w:val="00FC7012"/>
    <w:rsid w:val="00FC7C12"/>
    <w:rsid w:val="00FC7D33"/>
    <w:rsid w:val="00FC7F51"/>
    <w:rsid w:val="00FD0250"/>
    <w:rsid w:val="00FD0F11"/>
    <w:rsid w:val="00FD1040"/>
    <w:rsid w:val="00FD1381"/>
    <w:rsid w:val="00FD1C58"/>
    <w:rsid w:val="00FD22BF"/>
    <w:rsid w:val="00FD24E3"/>
    <w:rsid w:val="00FD2DE2"/>
    <w:rsid w:val="00FD34E8"/>
    <w:rsid w:val="00FD3766"/>
    <w:rsid w:val="00FD3772"/>
    <w:rsid w:val="00FD3BC9"/>
    <w:rsid w:val="00FD3D05"/>
    <w:rsid w:val="00FD3E3F"/>
    <w:rsid w:val="00FD4563"/>
    <w:rsid w:val="00FD4656"/>
    <w:rsid w:val="00FD47C4"/>
    <w:rsid w:val="00FD47DE"/>
    <w:rsid w:val="00FD4864"/>
    <w:rsid w:val="00FD4949"/>
    <w:rsid w:val="00FD4AA9"/>
    <w:rsid w:val="00FD4F02"/>
    <w:rsid w:val="00FD50FE"/>
    <w:rsid w:val="00FD5B68"/>
    <w:rsid w:val="00FD5BEA"/>
    <w:rsid w:val="00FD5C24"/>
    <w:rsid w:val="00FD67F0"/>
    <w:rsid w:val="00FD697D"/>
    <w:rsid w:val="00FD6C40"/>
    <w:rsid w:val="00FD75A6"/>
    <w:rsid w:val="00FD789D"/>
    <w:rsid w:val="00FD7C13"/>
    <w:rsid w:val="00FD7E5A"/>
    <w:rsid w:val="00FE048D"/>
    <w:rsid w:val="00FE07C0"/>
    <w:rsid w:val="00FE0AAE"/>
    <w:rsid w:val="00FE1577"/>
    <w:rsid w:val="00FE174E"/>
    <w:rsid w:val="00FE1C8B"/>
    <w:rsid w:val="00FE21ED"/>
    <w:rsid w:val="00FE22AF"/>
    <w:rsid w:val="00FE22E0"/>
    <w:rsid w:val="00FE2674"/>
    <w:rsid w:val="00FE27DC"/>
    <w:rsid w:val="00FE2DCF"/>
    <w:rsid w:val="00FE2E19"/>
    <w:rsid w:val="00FE2FF2"/>
    <w:rsid w:val="00FE331E"/>
    <w:rsid w:val="00FE3A69"/>
    <w:rsid w:val="00FE3FA7"/>
    <w:rsid w:val="00FE4081"/>
    <w:rsid w:val="00FE5750"/>
    <w:rsid w:val="00FE57AD"/>
    <w:rsid w:val="00FE594A"/>
    <w:rsid w:val="00FE5C9E"/>
    <w:rsid w:val="00FE5D6F"/>
    <w:rsid w:val="00FE6A11"/>
    <w:rsid w:val="00FE6EDF"/>
    <w:rsid w:val="00FE6F31"/>
    <w:rsid w:val="00FE7362"/>
    <w:rsid w:val="00FE757A"/>
    <w:rsid w:val="00FE75DD"/>
    <w:rsid w:val="00FE79F8"/>
    <w:rsid w:val="00FE7E9D"/>
    <w:rsid w:val="00FE7F98"/>
    <w:rsid w:val="00FF01A3"/>
    <w:rsid w:val="00FF0282"/>
    <w:rsid w:val="00FF0709"/>
    <w:rsid w:val="00FF0DA5"/>
    <w:rsid w:val="00FF0EEE"/>
    <w:rsid w:val="00FF1168"/>
    <w:rsid w:val="00FF1B00"/>
    <w:rsid w:val="00FF1B64"/>
    <w:rsid w:val="00FF1EDA"/>
    <w:rsid w:val="00FF2A4E"/>
    <w:rsid w:val="00FF2AA7"/>
    <w:rsid w:val="00FF2FCE"/>
    <w:rsid w:val="00FF3994"/>
    <w:rsid w:val="00FF3AA2"/>
    <w:rsid w:val="00FF45A2"/>
    <w:rsid w:val="00FF4683"/>
    <w:rsid w:val="00FF4F7D"/>
    <w:rsid w:val="00FF52AD"/>
    <w:rsid w:val="00FF541B"/>
    <w:rsid w:val="00FF54AA"/>
    <w:rsid w:val="00FF558F"/>
    <w:rsid w:val="00FF6119"/>
    <w:rsid w:val="00FF6D9D"/>
    <w:rsid w:val="00FF72E3"/>
    <w:rsid w:val="00FF7422"/>
    <w:rsid w:val="00FF7620"/>
    <w:rsid w:val="00FF7DD5"/>
    <w:rsid w:val="1CD1E787"/>
    <w:rsid w:val="262083A6"/>
    <w:rsid w:val="341AC313"/>
    <w:rsid w:val="696762CD"/>
    <w:rsid w:val="729F27F5"/>
    <w:rsid w:val="799C77E4"/>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2A9544"/>
  <w15:docId w15:val="{D939092C-EE4D-43F1-B003-91C987110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iPriority="98"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iPriority="10" w:unhideWhenUsed="1"/>
    <w:lsdException w:name="footer" w:semiHidden="1" w:uiPriority="8" w:unhideWhenUsed="1"/>
    <w:lsdException w:name="index heading" w:semiHidden="1" w:unhideWhenUsed="1"/>
    <w:lsdException w:name="caption" w:semiHidden="1" w:uiPriority="35" w:unhideWhenUsed="1" w:qFormat="1"/>
    <w:lsdException w:name="table of figures" w:semiHidden="1" w:uiPriority="98" w:unhideWhenUsed="1"/>
    <w:lsdException w:name="envelope address" w:semiHidden="1" w:unhideWhenUsed="1"/>
    <w:lsdException w:name="envelope return" w:semiHidden="1" w:unhideWhenUsed="1"/>
    <w:lsdException w:name="footnote reference" w:semiHidden="1" w:uiPriority="1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29" w:qFormat="1"/>
    <w:lsdException w:name="Intense Quote" w:semiHidden="1"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19" w:qFormat="1"/>
    <w:lsdException w:name="Intense Emphasis" w:semiHidden="1" w:uiPriority="21" w:qFormat="1"/>
    <w:lsdException w:name="Subtle Reference" w:semiHidden="1" w:uiPriority="67" w:qFormat="1"/>
    <w:lsdException w:name="Intense Reference" w:semiHidden="1" w:uiPriority="32"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rsid w:val="00477AB2"/>
    <w:pPr>
      <w:spacing w:after="120" w:line="280" w:lineRule="atLeast"/>
    </w:pPr>
    <w:rPr>
      <w:rFonts w:ascii="Arial" w:hAnsi="Arial"/>
      <w:sz w:val="21"/>
      <w:lang w:eastAsia="en-US"/>
    </w:rPr>
  </w:style>
  <w:style w:type="paragraph" w:styleId="Heading1">
    <w:name w:val="heading 1"/>
    <w:next w:val="ARBody"/>
    <w:link w:val="Heading1Char"/>
    <w:uiPriority w:val="9"/>
    <w:qFormat/>
    <w:rsid w:val="00B81432"/>
    <w:pPr>
      <w:keepNext/>
      <w:keepLines/>
      <w:spacing w:before="520" w:after="240" w:line="480" w:lineRule="atLeast"/>
      <w:outlineLvl w:val="0"/>
    </w:pPr>
    <w:rPr>
      <w:rFonts w:asciiTheme="majorHAnsi" w:eastAsia="MS Gothic" w:hAnsiTheme="majorHAnsi" w:cs="Arial"/>
      <w:bCs/>
      <w:color w:val="201547" w:themeColor="text2"/>
      <w:kern w:val="32"/>
      <w:sz w:val="48"/>
      <w:szCs w:val="44"/>
      <w:lang w:eastAsia="en-US"/>
    </w:rPr>
  </w:style>
  <w:style w:type="paragraph" w:styleId="Heading2">
    <w:name w:val="heading 2"/>
    <w:next w:val="ARBody"/>
    <w:link w:val="Heading2Char"/>
    <w:uiPriority w:val="9"/>
    <w:qFormat/>
    <w:rsid w:val="00B81432"/>
    <w:pPr>
      <w:keepNext/>
      <w:keepLines/>
      <w:spacing w:before="360" w:after="240" w:line="360" w:lineRule="atLeast"/>
      <w:outlineLvl w:val="1"/>
    </w:pPr>
    <w:rPr>
      <w:rFonts w:asciiTheme="majorHAnsi" w:hAnsiTheme="majorHAnsi"/>
      <w:color w:val="53565A"/>
      <w:sz w:val="44"/>
      <w:szCs w:val="28"/>
      <w:lang w:eastAsia="en-US"/>
    </w:rPr>
  </w:style>
  <w:style w:type="paragraph" w:styleId="Heading3">
    <w:name w:val="heading 3"/>
    <w:next w:val="ARBody"/>
    <w:link w:val="Heading3Char"/>
    <w:uiPriority w:val="9"/>
    <w:qFormat/>
    <w:rsid w:val="00B81432"/>
    <w:pPr>
      <w:keepNext/>
      <w:keepLines/>
      <w:spacing w:before="280" w:after="120" w:line="320" w:lineRule="atLeast"/>
      <w:outlineLvl w:val="2"/>
    </w:pPr>
    <w:rPr>
      <w:rFonts w:asciiTheme="majorHAnsi" w:eastAsia="MS Gothic" w:hAnsiTheme="majorHAnsi"/>
      <w:bCs/>
      <w:color w:val="201547" w:themeColor="text2"/>
      <w:sz w:val="32"/>
      <w:szCs w:val="26"/>
      <w:lang w:eastAsia="en-US"/>
    </w:rPr>
  </w:style>
  <w:style w:type="paragraph" w:styleId="Heading4">
    <w:name w:val="heading 4"/>
    <w:next w:val="ARBody"/>
    <w:link w:val="Heading4Char"/>
    <w:uiPriority w:val="9"/>
    <w:qFormat/>
    <w:rsid w:val="00B81432"/>
    <w:pPr>
      <w:keepNext/>
      <w:keepLines/>
      <w:spacing w:before="240" w:after="80" w:line="280" w:lineRule="atLeast"/>
      <w:outlineLvl w:val="3"/>
    </w:pPr>
    <w:rPr>
      <w:rFonts w:asciiTheme="majorHAnsi" w:eastAsia="MS Mincho" w:hAnsiTheme="majorHAnsi"/>
      <w:b/>
      <w:bCs/>
      <w:color w:val="53565A" w:themeColor="accent1"/>
      <w:sz w:val="24"/>
      <w:szCs w:val="22"/>
      <w:lang w:eastAsia="en-US"/>
    </w:rPr>
  </w:style>
  <w:style w:type="paragraph" w:styleId="Heading5">
    <w:name w:val="heading 5"/>
    <w:next w:val="ARBody"/>
    <w:link w:val="Heading5Char"/>
    <w:uiPriority w:val="9"/>
    <w:qFormat/>
    <w:rsid w:val="00B81432"/>
    <w:pPr>
      <w:keepNext/>
      <w:keepLines/>
      <w:spacing w:before="240" w:after="80" w:line="240" w:lineRule="atLeast"/>
      <w:outlineLvl w:val="4"/>
    </w:pPr>
    <w:rPr>
      <w:rFonts w:asciiTheme="majorHAnsi" w:eastAsia="MS Mincho" w:hAnsiTheme="majorHAnsi"/>
      <w:b/>
      <w:bCs/>
      <w:iCs/>
      <w:color w:val="201547" w:themeColor="text2"/>
      <w:sz w:val="22"/>
      <w:szCs w:val="26"/>
      <w:lang w:eastAsia="en-US"/>
    </w:rPr>
  </w:style>
  <w:style w:type="paragraph" w:styleId="Heading6">
    <w:name w:val="heading 6"/>
    <w:basedOn w:val="Normal"/>
    <w:next w:val="Normal"/>
    <w:link w:val="Heading6Char"/>
    <w:uiPriority w:val="9"/>
    <w:qFormat/>
    <w:rsid w:val="00B27B15"/>
    <w:pPr>
      <w:keepNext/>
      <w:keepLines/>
      <w:spacing w:before="200" w:after="80"/>
      <w:outlineLvl w:val="5"/>
    </w:pPr>
    <w:rPr>
      <w:rFonts w:asciiTheme="majorHAnsi" w:eastAsiaTheme="majorEastAsia" w:hAnsiTheme="majorHAnsi" w:cstheme="majorBidi"/>
      <w:b/>
      <w:color w:val="000000" w:themeColor="text1"/>
    </w:rPr>
  </w:style>
  <w:style w:type="paragraph" w:styleId="Heading7">
    <w:name w:val="heading 7"/>
    <w:basedOn w:val="Normal"/>
    <w:next w:val="Normal"/>
    <w:link w:val="Heading7Char"/>
    <w:uiPriority w:val="9"/>
    <w:qFormat/>
    <w:rsid w:val="00BF1E2B"/>
    <w:pPr>
      <w:keepNext/>
      <w:keepLines/>
      <w:spacing w:before="120" w:after="0"/>
      <w:outlineLvl w:val="6"/>
    </w:pPr>
    <w:rPr>
      <w:rFonts w:asciiTheme="majorHAnsi" w:eastAsiaTheme="majorEastAsia" w:hAnsiTheme="majorHAnsi" w:cstheme="majorBidi"/>
      <w:b/>
      <w:iCs/>
      <w:color w:val="53565A" w:themeColor="accent1"/>
      <w:sz w:val="20"/>
    </w:rPr>
  </w:style>
  <w:style w:type="paragraph" w:styleId="Heading8">
    <w:name w:val="heading 8"/>
    <w:basedOn w:val="Normal"/>
    <w:next w:val="Normal"/>
    <w:link w:val="Heading8Char"/>
    <w:uiPriority w:val="9"/>
    <w:qFormat/>
    <w:rsid w:val="00AC6F9A"/>
    <w:pPr>
      <w:keepNext/>
      <w:keepLines/>
      <w:spacing w:before="120" w:after="0" w:line="240" w:lineRule="auto"/>
      <w:contextualSpacing/>
      <w:outlineLvl w:val="7"/>
    </w:pPr>
    <w:rPr>
      <w:rFonts w:asciiTheme="minorHAnsi" w:eastAsiaTheme="majorEastAsia" w:hAnsiTheme="minorHAnsi" w:cstheme="majorBidi"/>
      <w:b/>
      <w:iCs/>
      <w:color w:val="201547" w:themeColor="text2"/>
      <w:kern w:val="2"/>
      <w:sz w:val="19"/>
      <w:szCs w:val="24"/>
      <w:lang w:eastAsia="en-AU"/>
      <w14:ligatures w14:val="standardContextual"/>
    </w:rPr>
  </w:style>
  <w:style w:type="paragraph" w:styleId="Heading9">
    <w:name w:val="heading 9"/>
    <w:basedOn w:val="Normal"/>
    <w:next w:val="Normal"/>
    <w:link w:val="Heading9Char"/>
    <w:uiPriority w:val="9"/>
    <w:qFormat/>
    <w:rsid w:val="00AC6F9A"/>
    <w:pPr>
      <w:keepNext/>
      <w:keepLines/>
      <w:spacing w:before="120" w:after="0" w:line="240" w:lineRule="auto"/>
      <w:outlineLvl w:val="8"/>
    </w:pPr>
    <w:rPr>
      <w:rFonts w:asciiTheme="minorHAnsi" w:eastAsiaTheme="majorEastAsia" w:hAnsiTheme="minorHAnsi" w:cstheme="majorBidi"/>
      <w:b/>
      <w:color w:val="53565A" w:themeColor="accent1"/>
      <w:kern w:val="2"/>
      <w:sz w:val="18"/>
      <w:szCs w:val="24"/>
      <w:lang w:eastAsia="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Body">
    <w:name w:val="AR Body"/>
    <w:link w:val="ARBodyChar"/>
    <w:qFormat/>
    <w:rsid w:val="00DA6BBE"/>
    <w:pPr>
      <w:spacing w:after="120" w:line="260" w:lineRule="atLeast"/>
    </w:pPr>
    <w:rPr>
      <w:rFonts w:ascii="Arial" w:eastAsia="Times" w:hAnsi="Arial"/>
      <w:lang w:eastAsia="en-US"/>
    </w:rPr>
  </w:style>
  <w:style w:type="character" w:customStyle="1" w:styleId="Heading1Char">
    <w:name w:val="Heading 1 Char"/>
    <w:link w:val="Heading1"/>
    <w:uiPriority w:val="9"/>
    <w:rsid w:val="00B81432"/>
    <w:rPr>
      <w:rFonts w:asciiTheme="majorHAnsi" w:eastAsia="MS Gothic" w:hAnsiTheme="majorHAnsi" w:cs="Arial"/>
      <w:bCs/>
      <w:color w:val="201547" w:themeColor="text2"/>
      <w:kern w:val="32"/>
      <w:sz w:val="48"/>
      <w:szCs w:val="44"/>
      <w:lang w:eastAsia="en-US"/>
    </w:rPr>
  </w:style>
  <w:style w:type="character" w:customStyle="1" w:styleId="Heading2Char">
    <w:name w:val="Heading 2 Char"/>
    <w:link w:val="Heading2"/>
    <w:uiPriority w:val="9"/>
    <w:rsid w:val="00B81432"/>
    <w:rPr>
      <w:rFonts w:asciiTheme="majorHAnsi" w:hAnsiTheme="majorHAnsi"/>
      <w:color w:val="53565A"/>
      <w:sz w:val="44"/>
      <w:szCs w:val="28"/>
      <w:lang w:eastAsia="en-US"/>
    </w:rPr>
  </w:style>
  <w:style w:type="character" w:customStyle="1" w:styleId="Heading3Char">
    <w:name w:val="Heading 3 Char"/>
    <w:link w:val="Heading3"/>
    <w:uiPriority w:val="9"/>
    <w:rsid w:val="00B81432"/>
    <w:rPr>
      <w:rFonts w:asciiTheme="majorHAnsi" w:eastAsia="MS Gothic" w:hAnsiTheme="majorHAnsi"/>
      <w:bCs/>
      <w:color w:val="201547" w:themeColor="text2"/>
      <w:sz w:val="32"/>
      <w:szCs w:val="26"/>
      <w:lang w:eastAsia="en-US"/>
    </w:rPr>
  </w:style>
  <w:style w:type="character" w:customStyle="1" w:styleId="Heading4Char">
    <w:name w:val="Heading 4 Char"/>
    <w:link w:val="Heading4"/>
    <w:uiPriority w:val="9"/>
    <w:rsid w:val="00B81432"/>
    <w:rPr>
      <w:rFonts w:asciiTheme="majorHAnsi" w:eastAsia="MS Mincho" w:hAnsiTheme="majorHAnsi"/>
      <w:b/>
      <w:bCs/>
      <w:color w:val="53565A" w:themeColor="accent1"/>
      <w:sz w:val="24"/>
      <w:szCs w:val="22"/>
      <w:lang w:eastAsia="en-US"/>
    </w:rPr>
  </w:style>
  <w:style w:type="paragraph" w:styleId="Header">
    <w:name w:val="header"/>
    <w:link w:val="HeaderChar"/>
    <w:uiPriority w:val="10"/>
    <w:rsid w:val="00F15144"/>
    <w:rPr>
      <w:rFonts w:ascii="Arial" w:hAnsi="Arial" w:cs="Arial"/>
      <w:b/>
      <w:color w:val="201547"/>
      <w:sz w:val="18"/>
      <w:szCs w:val="18"/>
      <w:lang w:eastAsia="en-US"/>
    </w:rPr>
  </w:style>
  <w:style w:type="paragraph" w:styleId="Footer">
    <w:name w:val="footer"/>
    <w:link w:val="FooterChar"/>
    <w:uiPriority w:val="8"/>
    <w:rsid w:val="00D24BDF"/>
    <w:rPr>
      <w:rFonts w:ascii="Arial" w:hAnsi="Arial" w:cs="Arial"/>
      <w:sz w:val="18"/>
      <w:szCs w:val="18"/>
      <w:lang w:eastAsia="en-US"/>
    </w:rPr>
  </w:style>
  <w:style w:type="character" w:styleId="FollowedHyperlink">
    <w:name w:val="FollowedHyperlink"/>
    <w:uiPriority w:val="99"/>
    <w:rsid w:val="009E7A69"/>
    <w:rPr>
      <w:color w:val="87189D"/>
      <w:u w:val="dotted"/>
    </w:rPr>
  </w:style>
  <w:style w:type="paragraph" w:customStyle="1" w:styleId="ARTabletext6pt">
    <w:name w:val="AR Table text + 6pt"/>
    <w:basedOn w:val="ARTabletext"/>
    <w:rsid w:val="006F0F38"/>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aliases w:val="DFFH table 2"/>
    <w:basedOn w:val="TableNormal"/>
    <w:uiPriority w:val="39"/>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Bodynospace">
    <w:name w:val="AR Body no space"/>
    <w:basedOn w:val="ARBody"/>
    <w:rsid w:val="006F0F38"/>
    <w:pPr>
      <w:spacing w:after="0"/>
    </w:pPr>
  </w:style>
  <w:style w:type="paragraph" w:customStyle="1" w:styleId="ARBullet1">
    <w:name w:val="AR Bullet 1"/>
    <w:basedOn w:val="ARBody"/>
    <w:qFormat/>
    <w:rsid w:val="00F15878"/>
    <w:pPr>
      <w:numPr>
        <w:numId w:val="11"/>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qFormat/>
    <w:rsid w:val="00440E4F"/>
    <w:pPr>
      <w:keepNext/>
      <w:keepLines/>
      <w:pBdr>
        <w:bottom w:val="single" w:sz="4" w:space="3" w:color="201547" w:themeColor="text2"/>
        <w:between w:val="single" w:sz="4" w:space="1" w:color="201547" w:themeColor="text2"/>
      </w:pBdr>
      <w:tabs>
        <w:tab w:val="right" w:pos="9638"/>
      </w:tabs>
      <w:spacing w:before="160" w:after="60"/>
    </w:pPr>
    <w:rPr>
      <w:b/>
      <w:noProof/>
    </w:rPr>
  </w:style>
  <w:style w:type="character" w:customStyle="1" w:styleId="Heading5Char">
    <w:name w:val="Heading 5 Char"/>
    <w:link w:val="Heading5"/>
    <w:uiPriority w:val="9"/>
    <w:rsid w:val="00B81432"/>
    <w:rPr>
      <w:rFonts w:asciiTheme="majorHAnsi" w:eastAsia="MS Mincho" w:hAnsiTheme="majorHAnsi"/>
      <w:b/>
      <w:bCs/>
      <w:iCs/>
      <w:color w:val="201547" w:themeColor="text2"/>
      <w:sz w:val="22"/>
      <w:szCs w:val="26"/>
      <w:lang w:eastAsia="en-US"/>
    </w:rPr>
  </w:style>
  <w:style w:type="character" w:styleId="Strong">
    <w:name w:val="Strong"/>
    <w:uiPriority w:val="22"/>
    <w:qFormat/>
    <w:rsid w:val="00FA3525"/>
    <w:rPr>
      <w:b/>
      <w:bCs/>
    </w:rPr>
  </w:style>
  <w:style w:type="paragraph" w:customStyle="1" w:styleId="ARTOCheadingreport">
    <w:name w:val="AR TOC heading report"/>
    <w:basedOn w:val="Heading1"/>
    <w:next w:val="ARBody"/>
    <w:link w:val="ARTOCheadingreportChar"/>
    <w:uiPriority w:val="4"/>
    <w:rsid w:val="006F0F38"/>
    <w:pPr>
      <w:pageBreakBefore/>
      <w:spacing w:before="0"/>
    </w:pPr>
  </w:style>
  <w:style w:type="character" w:customStyle="1" w:styleId="ARTOCheadingreportChar">
    <w:name w:val="AR TOC heading report Char"/>
    <w:link w:val="ARTOCheadingreport"/>
    <w:uiPriority w:val="4"/>
    <w:rsid w:val="006F0F38"/>
    <w:rPr>
      <w:rFonts w:asciiTheme="majorHAnsi" w:eastAsia="MS Gothic" w:hAnsiTheme="majorHAnsi" w:cs="Arial"/>
      <w:bCs/>
      <w:color w:val="201547" w:themeColor="text2"/>
      <w:kern w:val="32"/>
      <w:sz w:val="48"/>
      <w:szCs w:val="44"/>
      <w:lang w:eastAsia="en-US"/>
    </w:rPr>
  </w:style>
  <w:style w:type="paragraph" w:styleId="TOC2">
    <w:name w:val="toc 2"/>
    <w:basedOn w:val="Normal"/>
    <w:next w:val="Normal"/>
    <w:uiPriority w:val="39"/>
    <w:qFormat/>
    <w:rsid w:val="00440E4F"/>
    <w:pPr>
      <w:keepLines/>
      <w:pBdr>
        <w:bottom w:val="single" w:sz="4" w:space="3" w:color="53565A"/>
        <w:between w:val="single" w:sz="4" w:space="1" w:color="53565A"/>
      </w:pBdr>
      <w:tabs>
        <w:tab w:val="right" w:pos="9638"/>
      </w:tabs>
      <w:spacing w:after="60"/>
      <w:ind w:left="284"/>
    </w:pPr>
    <w:rPr>
      <w:noProof/>
    </w:rPr>
  </w:style>
  <w:style w:type="paragraph" w:styleId="TOC3">
    <w:name w:val="toc 3"/>
    <w:basedOn w:val="Normal"/>
    <w:next w:val="Normal"/>
    <w:uiPriority w:val="39"/>
    <w:qFormat/>
    <w:rsid w:val="000033F7"/>
    <w:pPr>
      <w:keepLines/>
      <w:tabs>
        <w:tab w:val="right" w:leader="dot" w:pos="9299"/>
      </w:tabs>
      <w:spacing w:after="60"/>
      <w:ind w:left="284"/>
    </w:pPr>
    <w:rPr>
      <w:rFonts w:cs="Arial"/>
    </w:rPr>
  </w:style>
  <w:style w:type="paragraph" w:styleId="TOC4">
    <w:name w:val="toc 4"/>
    <w:basedOn w:val="TOC3"/>
    <w:uiPriority w:val="39"/>
    <w:rsid w:val="000033F7"/>
    <w:pPr>
      <w:ind w:left="567"/>
    </w:pPr>
  </w:style>
  <w:style w:type="paragraph" w:styleId="TOC5">
    <w:name w:val="toc 5"/>
    <w:basedOn w:val="TOC4"/>
    <w:rsid w:val="000033F7"/>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qFormat/>
    <w:rsid w:val="00152073"/>
    <w:pPr>
      <w:spacing w:after="60"/>
      <w:jc w:val="center"/>
    </w:pPr>
    <w:rPr>
      <w:rFonts w:ascii="Calibri Light" w:hAnsi="Calibri Light"/>
      <w:sz w:val="24"/>
      <w:szCs w:val="24"/>
    </w:rPr>
  </w:style>
  <w:style w:type="paragraph" w:customStyle="1" w:styleId="ARTabletext">
    <w:name w:val="AR Table text"/>
    <w:uiPriority w:val="3"/>
    <w:qFormat/>
    <w:rsid w:val="006F0F38"/>
    <w:pPr>
      <w:spacing w:before="80" w:after="60"/>
    </w:pPr>
    <w:rPr>
      <w:rFonts w:ascii="Arial" w:hAnsi="Arial"/>
      <w:sz w:val="18"/>
      <w:lang w:eastAsia="en-US"/>
    </w:rPr>
  </w:style>
  <w:style w:type="paragraph" w:customStyle="1" w:styleId="ARTablecaption">
    <w:name w:val="AR Table caption"/>
    <w:next w:val="ARBody"/>
    <w:uiPriority w:val="3"/>
    <w:qFormat/>
    <w:rsid w:val="005C5E0F"/>
    <w:pPr>
      <w:keepNext/>
      <w:keepLines/>
      <w:spacing w:before="240" w:after="120" w:line="250" w:lineRule="atLeast"/>
    </w:pPr>
    <w:rPr>
      <w:rFonts w:ascii="Arial" w:hAnsi="Arial"/>
      <w:b/>
      <w:color w:val="201547" w:themeColor="text2"/>
      <w:sz w:val="21"/>
      <w:lang w:eastAsia="en-US"/>
    </w:rPr>
  </w:style>
  <w:style w:type="paragraph" w:customStyle="1" w:styleId="Documenttitle">
    <w:name w:val="Document title"/>
    <w:uiPriority w:val="8"/>
    <w:rsid w:val="00431F42"/>
    <w:pPr>
      <w:spacing w:after="240" w:line="560" w:lineRule="atLeast"/>
    </w:pPr>
    <w:rPr>
      <w:rFonts w:ascii="Arial" w:hAnsi="Arial"/>
      <w:b/>
      <w:color w:val="201547"/>
      <w:sz w:val="48"/>
      <w:szCs w:val="50"/>
      <w:lang w:eastAsia="en-US"/>
    </w:rPr>
  </w:style>
  <w:style w:type="character" w:styleId="FootnoteReference">
    <w:name w:val="footnote reference"/>
    <w:uiPriority w:val="11"/>
    <w:rsid w:val="00BC7ED7"/>
    <w:rPr>
      <w:vertAlign w:val="superscript"/>
    </w:rPr>
  </w:style>
  <w:style w:type="paragraph" w:customStyle="1" w:styleId="ARheader">
    <w:name w:val="AR header"/>
    <w:basedOn w:val="Normal"/>
    <w:rsid w:val="00631214"/>
    <w:pPr>
      <w:spacing w:after="0" w:line="264" w:lineRule="auto"/>
    </w:pPr>
    <w:rPr>
      <w:rFonts w:eastAsiaTheme="minorEastAsia" w:cstheme="minorBidi"/>
      <w:b/>
      <w:bCs/>
      <w:color w:val="53565A"/>
      <w:sz w:val="18"/>
      <w:szCs w:val="24"/>
    </w:rPr>
  </w:style>
  <w:style w:type="paragraph" w:customStyle="1" w:styleId="ARFigurecaption">
    <w:name w:val="AR Figure caption"/>
    <w:next w:val="ARBody"/>
    <w:rsid w:val="005E2BB1"/>
    <w:pPr>
      <w:keepNext/>
      <w:keepLines/>
      <w:spacing w:before="240" w:after="120" w:line="250" w:lineRule="atLeast"/>
    </w:pPr>
    <w:rPr>
      <w:rFonts w:ascii="Arial" w:hAnsi="Arial"/>
      <w:b/>
      <w:color w:val="201547" w:themeColor="text2"/>
      <w:sz w:val="21"/>
      <w:lang w:eastAsia="en-US"/>
    </w:rPr>
  </w:style>
  <w:style w:type="paragraph" w:customStyle="1" w:styleId="ARBullet2">
    <w:name w:val="AR Bullet 2"/>
    <w:basedOn w:val="ARBody"/>
    <w:uiPriority w:val="2"/>
    <w:qFormat/>
    <w:rsid w:val="00F15878"/>
    <w:pPr>
      <w:numPr>
        <w:ilvl w:val="1"/>
        <w:numId w:val="11"/>
      </w:numPr>
      <w:spacing w:after="40"/>
    </w:pPr>
  </w:style>
  <w:style w:type="paragraph" w:customStyle="1" w:styleId="ARBodyafterbullets">
    <w:name w:val="AR Body after bullets"/>
    <w:basedOn w:val="ARBody"/>
    <w:rsid w:val="006F0F38"/>
    <w:pPr>
      <w:spacing w:before="120"/>
    </w:pPr>
  </w:style>
  <w:style w:type="paragraph" w:customStyle="1" w:styleId="ARTablebullet2">
    <w:name w:val="AR Table bullet 2"/>
    <w:basedOn w:val="ARTabletext"/>
    <w:uiPriority w:val="11"/>
    <w:rsid w:val="006F0F38"/>
    <w:pPr>
      <w:numPr>
        <w:ilvl w:val="1"/>
        <w:numId w:val="20"/>
      </w:numPr>
    </w:pPr>
  </w:style>
  <w:style w:type="character" w:customStyle="1" w:styleId="SubtitleChar">
    <w:name w:val="Subtitle Char"/>
    <w:link w:val="Subtitle"/>
    <w:uiPriority w:val="11"/>
    <w:rsid w:val="00152073"/>
    <w:rPr>
      <w:rFonts w:ascii="Calibri Light" w:hAnsi="Calibri Light"/>
      <w:sz w:val="24"/>
      <w:szCs w:val="24"/>
      <w:lang w:eastAsia="en-US"/>
    </w:rPr>
  </w:style>
  <w:style w:type="paragraph" w:customStyle="1" w:styleId="ARTablebullet1">
    <w:name w:val="AR Table bullet 1"/>
    <w:basedOn w:val="ARTabletext"/>
    <w:uiPriority w:val="3"/>
    <w:qFormat/>
    <w:rsid w:val="006F0F38"/>
    <w:pPr>
      <w:numPr>
        <w:numId w:val="20"/>
      </w:numPr>
    </w:pPr>
  </w:style>
  <w:style w:type="numbering" w:customStyle="1" w:styleId="ZZTablebullets">
    <w:name w:val="ZZ Table bullets"/>
    <w:basedOn w:val="NoList"/>
    <w:rsid w:val="00C60411"/>
    <w:pPr>
      <w:numPr>
        <w:numId w:val="4"/>
      </w:numPr>
    </w:pPr>
  </w:style>
  <w:style w:type="paragraph" w:customStyle="1" w:styleId="ARtablecolhead">
    <w:name w:val="AR table col head"/>
    <w:uiPriority w:val="3"/>
    <w:qFormat/>
    <w:rsid w:val="006F0F38"/>
    <w:pPr>
      <w:spacing w:before="80" w:after="60"/>
    </w:pPr>
    <w:rPr>
      <w:rFonts w:ascii="Arial" w:hAnsi="Arial"/>
      <w:b/>
      <w:color w:val="201547" w:themeColor="text2"/>
      <w:sz w:val="18"/>
      <w:lang w:eastAsia="en-US"/>
    </w:rPr>
  </w:style>
  <w:style w:type="paragraph" w:customStyle="1" w:styleId="ARBulletafternumbers1">
    <w:name w:val="AR Bullet after numbers 1"/>
    <w:basedOn w:val="ARBody"/>
    <w:rsid w:val="006F0F38"/>
    <w:pPr>
      <w:numPr>
        <w:ilvl w:val="2"/>
        <w:numId w:val="16"/>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C12B05"/>
    <w:pPr>
      <w:spacing w:after="120" w:line="360" w:lineRule="atLeast"/>
    </w:pPr>
    <w:rPr>
      <w:rFonts w:ascii="Arial" w:hAnsi="Arial"/>
      <w:color w:val="201547"/>
      <w:sz w:val="32"/>
      <w:szCs w:val="24"/>
      <w:lang w:eastAsia="en-US"/>
    </w:rPr>
  </w:style>
  <w:style w:type="paragraph" w:styleId="FootnoteText">
    <w:name w:val="footnote text"/>
    <w:basedOn w:val="Normal"/>
    <w:link w:val="FootnoteTextChar"/>
    <w:uiPriority w:val="9"/>
    <w:qFormat/>
    <w:rsid w:val="000D745B"/>
    <w:pPr>
      <w:tabs>
        <w:tab w:val="left" w:pos="454"/>
      </w:tabs>
      <w:spacing w:before="60" w:after="60" w:line="220" w:lineRule="atLeast"/>
      <w:ind w:left="340" w:hanging="340"/>
    </w:pPr>
    <w:rPr>
      <w:rFonts w:eastAsia="MS Gothic" w:cs="Arial"/>
      <w:sz w:val="16"/>
      <w:szCs w:val="16"/>
    </w:rPr>
  </w:style>
  <w:style w:type="character" w:customStyle="1" w:styleId="FootnoteTextChar">
    <w:name w:val="Footnote Text Char"/>
    <w:link w:val="FootnoteText"/>
    <w:uiPriority w:val="9"/>
    <w:rsid w:val="000D745B"/>
    <w:rPr>
      <w:rFonts w:ascii="Arial" w:eastAsia="MS Gothic" w:hAnsi="Arial" w:cs="Arial"/>
      <w:sz w:val="16"/>
      <w:szCs w:val="16"/>
      <w:lang w:eastAsia="en-US"/>
    </w:rPr>
  </w:style>
  <w:style w:type="paragraph" w:customStyle="1" w:styleId="Spacerparatopoffirstpage">
    <w:name w:val="Spacer para top of first page"/>
    <w:basedOn w:val="ARBodynospace"/>
    <w:semiHidden/>
    <w:rsid w:val="00DE6028"/>
    <w:pPr>
      <w:spacing w:line="240" w:lineRule="auto"/>
    </w:pPr>
    <w:rPr>
      <w:noProof/>
      <w:sz w:val="12"/>
    </w:rPr>
  </w:style>
  <w:style w:type="paragraph" w:styleId="Title">
    <w:name w:val="Title"/>
    <w:basedOn w:val="Normal"/>
    <w:next w:val="Normal"/>
    <w:link w:val="TitleChar"/>
    <w:uiPriority w:val="10"/>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rsid w:val="00152073"/>
    <w:rPr>
      <w:rFonts w:ascii="Calibri Light" w:hAnsi="Calibri Light"/>
      <w:b/>
      <w:bCs/>
      <w:kern w:val="28"/>
      <w:sz w:val="32"/>
      <w:szCs w:val="32"/>
      <w:lang w:eastAsia="en-US"/>
    </w:rPr>
  </w:style>
  <w:style w:type="numbering" w:customStyle="1" w:styleId="ZZBullets">
    <w:name w:val="ZZ Bullets"/>
    <w:rsid w:val="00F15878"/>
    <w:pPr>
      <w:numPr>
        <w:numId w:val="3"/>
      </w:numPr>
    </w:pPr>
  </w:style>
  <w:style w:type="numbering" w:customStyle="1" w:styleId="ZZNumbersdigit">
    <w:name w:val="ZZ Numbers digit"/>
    <w:rsid w:val="00F15144"/>
    <w:pPr>
      <w:numPr>
        <w:numId w:val="1"/>
      </w:numPr>
    </w:pPr>
  </w:style>
  <w:style w:type="numbering" w:customStyle="1" w:styleId="ZZQuotebullets">
    <w:name w:val="ZZ Quote bullets"/>
    <w:basedOn w:val="ZZNumbersdigit"/>
    <w:rsid w:val="00C60411"/>
    <w:pPr>
      <w:numPr>
        <w:numId w:val="5"/>
      </w:numPr>
    </w:pPr>
  </w:style>
  <w:style w:type="paragraph" w:customStyle="1" w:styleId="ARNumberdigit">
    <w:name w:val="AR Number digit"/>
    <w:basedOn w:val="ARBody"/>
    <w:uiPriority w:val="2"/>
    <w:rsid w:val="006F0F38"/>
    <w:pPr>
      <w:numPr>
        <w:numId w:val="16"/>
      </w:numPr>
    </w:pPr>
  </w:style>
  <w:style w:type="paragraph" w:customStyle="1" w:styleId="ARNumberloweralphaindent">
    <w:name w:val="AR Number lower alpha indent"/>
    <w:basedOn w:val="ARBody"/>
    <w:uiPriority w:val="3"/>
    <w:rsid w:val="006F0F38"/>
    <w:pPr>
      <w:numPr>
        <w:ilvl w:val="1"/>
        <w:numId w:val="17"/>
      </w:numPr>
    </w:pPr>
  </w:style>
  <w:style w:type="paragraph" w:customStyle="1" w:styleId="ARNumberdigitindent">
    <w:name w:val="AR Number digit indent"/>
    <w:basedOn w:val="ARBody"/>
    <w:uiPriority w:val="3"/>
    <w:rsid w:val="006F0F38"/>
    <w:pPr>
      <w:numPr>
        <w:ilvl w:val="1"/>
        <w:numId w:val="16"/>
      </w:numPr>
    </w:pPr>
  </w:style>
  <w:style w:type="paragraph" w:customStyle="1" w:styleId="ARNumberloweralpha">
    <w:name w:val="AR Number lower alpha"/>
    <w:basedOn w:val="ARBody"/>
    <w:uiPriority w:val="3"/>
    <w:rsid w:val="006F0F38"/>
    <w:pPr>
      <w:numPr>
        <w:numId w:val="17"/>
      </w:numPr>
    </w:pPr>
  </w:style>
  <w:style w:type="paragraph" w:customStyle="1" w:styleId="ARNumberlowerroman">
    <w:name w:val="AR Number lower roman"/>
    <w:basedOn w:val="ARBody"/>
    <w:uiPriority w:val="3"/>
    <w:rsid w:val="006F0F38"/>
    <w:pPr>
      <w:numPr>
        <w:numId w:val="18"/>
      </w:numPr>
    </w:pPr>
  </w:style>
  <w:style w:type="paragraph" w:customStyle="1" w:styleId="ARNumberlowerromanindent">
    <w:name w:val="AR Number lower roman indent"/>
    <w:basedOn w:val="ARBody"/>
    <w:uiPriority w:val="3"/>
    <w:rsid w:val="006F0F38"/>
    <w:pPr>
      <w:numPr>
        <w:ilvl w:val="1"/>
        <w:numId w:val="18"/>
      </w:numPr>
    </w:pPr>
  </w:style>
  <w:style w:type="paragraph" w:customStyle="1" w:styleId="ARQuotetext">
    <w:name w:val="AR Quote text"/>
    <w:basedOn w:val="ARBody"/>
    <w:uiPriority w:val="4"/>
    <w:rsid w:val="006F0F38"/>
    <w:pPr>
      <w:ind w:left="397"/>
    </w:pPr>
    <w:rPr>
      <w:szCs w:val="18"/>
    </w:rPr>
  </w:style>
  <w:style w:type="paragraph" w:customStyle="1" w:styleId="ARTablefigurenote">
    <w:name w:val="AR Table/figure note"/>
    <w:uiPriority w:val="4"/>
    <w:rsid w:val="006F0F38"/>
    <w:pPr>
      <w:spacing w:before="60" w:after="60" w:line="240" w:lineRule="exact"/>
    </w:pPr>
    <w:rPr>
      <w:rFonts w:ascii="Arial" w:hAnsi="Arial"/>
      <w:sz w:val="16"/>
      <w:lang w:eastAsia="en-US"/>
    </w:rPr>
  </w:style>
  <w:style w:type="paragraph" w:customStyle="1" w:styleId="ARBodyaftertablefigure">
    <w:name w:val="AR Body after table/figure"/>
    <w:basedOn w:val="ARBody"/>
    <w:next w:val="ARBody"/>
    <w:rsid w:val="006F0F38"/>
    <w:pPr>
      <w:spacing w:before="240"/>
    </w:pPr>
  </w:style>
  <w:style w:type="paragraph" w:customStyle="1" w:styleId="ARBulletafternumbers2">
    <w:name w:val="AR Bullet after numbers 2"/>
    <w:basedOn w:val="ARBody"/>
    <w:rsid w:val="006F0F38"/>
    <w:pPr>
      <w:numPr>
        <w:ilvl w:val="3"/>
        <w:numId w:val="16"/>
      </w:numPr>
    </w:pPr>
  </w:style>
  <w:style w:type="numbering" w:customStyle="1" w:styleId="ZZNumberslowerroman">
    <w:name w:val="ZZ Numbers lower roman"/>
    <w:basedOn w:val="ZZQuotebullets"/>
    <w:rsid w:val="00C60411"/>
    <w:pPr>
      <w:numPr>
        <w:numId w:val="7"/>
      </w:numPr>
    </w:pPr>
  </w:style>
  <w:style w:type="numbering" w:customStyle="1" w:styleId="ZZNumbersloweralpha">
    <w:name w:val="ZZ Numbers lower alpha"/>
    <w:basedOn w:val="NoList"/>
    <w:rsid w:val="00C60411"/>
    <w:pPr>
      <w:numPr>
        <w:numId w:val="9"/>
      </w:numPr>
    </w:pPr>
  </w:style>
  <w:style w:type="paragraph" w:customStyle="1" w:styleId="ARQuotebullet1">
    <w:name w:val="AR Quote bullet 1"/>
    <w:basedOn w:val="ARQuotetext"/>
    <w:rsid w:val="006F0F38"/>
    <w:pPr>
      <w:numPr>
        <w:numId w:val="19"/>
      </w:numPr>
    </w:pPr>
  </w:style>
  <w:style w:type="paragraph" w:customStyle="1" w:styleId="ARQuotebullet2">
    <w:name w:val="AR Quote bullet 2"/>
    <w:basedOn w:val="ARQuotetext"/>
    <w:rsid w:val="006F0F38"/>
    <w:pPr>
      <w:numPr>
        <w:ilvl w:val="1"/>
        <w:numId w:val="19"/>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ARBodyChar">
    <w:name w:val="AR Body Char"/>
    <w:basedOn w:val="DefaultParagraphFont"/>
    <w:link w:val="ARBody"/>
    <w:rsid w:val="00DA6BBE"/>
    <w:rPr>
      <w:rFonts w:ascii="Arial" w:eastAsia="Times" w:hAnsi="Arial"/>
      <w:lang w:eastAsia="en-US"/>
    </w:rPr>
  </w:style>
  <w:style w:type="paragraph" w:customStyle="1" w:styleId="Bannermarking">
    <w:name w:val="Banner marking"/>
    <w:basedOn w:val="ARBody"/>
    <w:uiPriority w:val="11"/>
    <w:rsid w:val="00020678"/>
    <w:pPr>
      <w:spacing w:after="0"/>
    </w:pPr>
    <w:rPr>
      <w:b/>
      <w:bCs/>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ARBody"/>
    <w:uiPriority w:val="11"/>
    <w:rsid w:val="00020678"/>
    <w:pPr>
      <w:spacing w:after="60" w:line="270" w:lineRule="atLeast"/>
    </w:pPr>
  </w:style>
  <w:style w:type="paragraph" w:customStyle="1" w:styleId="ARIntrotext">
    <w:name w:val="AR Intro text"/>
    <w:basedOn w:val="ARBody"/>
    <w:uiPriority w:val="11"/>
    <w:rsid w:val="001A1EC5"/>
    <w:pPr>
      <w:spacing w:line="300" w:lineRule="atLeast"/>
    </w:pPr>
    <w:rPr>
      <w:color w:val="201547"/>
      <w:sz w:val="24"/>
    </w:rPr>
  </w:style>
  <w:style w:type="character" w:customStyle="1" w:styleId="HeaderChar">
    <w:name w:val="Header Char"/>
    <w:basedOn w:val="DefaultParagraphFont"/>
    <w:link w:val="Header"/>
    <w:uiPriority w:val="10"/>
    <w:rsid w:val="00F15144"/>
    <w:rPr>
      <w:rFonts w:ascii="Arial" w:hAnsi="Arial" w:cs="Arial"/>
      <w:b/>
      <w:color w:val="201547"/>
      <w:sz w:val="18"/>
      <w:szCs w:val="18"/>
      <w:lang w:eastAsia="en-US"/>
    </w:rPr>
  </w:style>
  <w:style w:type="paragraph" w:styleId="Caption">
    <w:name w:val="caption"/>
    <w:basedOn w:val="Normal"/>
    <w:next w:val="Normal"/>
    <w:uiPriority w:val="35"/>
    <w:unhideWhenUsed/>
    <w:qFormat/>
    <w:rsid w:val="001A154D"/>
    <w:pPr>
      <w:spacing w:before="240" w:line="250" w:lineRule="atLeast"/>
    </w:pPr>
    <w:rPr>
      <w:b/>
      <w:iCs/>
      <w:color w:val="000000" w:themeColor="text1"/>
      <w:szCs w:val="18"/>
    </w:rPr>
  </w:style>
  <w:style w:type="paragraph" w:customStyle="1" w:styleId="ARtabletextright">
    <w:name w:val="AR table text right"/>
    <w:basedOn w:val="ARTabletext"/>
    <w:uiPriority w:val="3"/>
    <w:qFormat/>
    <w:rsid w:val="009D5CE3"/>
    <w:pPr>
      <w:jc w:val="right"/>
    </w:pPr>
  </w:style>
  <w:style w:type="paragraph" w:customStyle="1" w:styleId="ARtabletextrightbold">
    <w:name w:val="AR table text right bold"/>
    <w:basedOn w:val="ARtabletextright"/>
    <w:uiPriority w:val="11"/>
    <w:qFormat/>
    <w:rsid w:val="006F0F38"/>
    <w:rPr>
      <w:b/>
    </w:rPr>
  </w:style>
  <w:style w:type="paragraph" w:customStyle="1" w:styleId="ARtabletextbold">
    <w:name w:val="AR table text bold"/>
    <w:basedOn w:val="ARTabletext"/>
    <w:uiPriority w:val="3"/>
    <w:qFormat/>
    <w:rsid w:val="006F0F38"/>
    <w:rPr>
      <w:b/>
    </w:rPr>
  </w:style>
  <w:style w:type="paragraph" w:customStyle="1" w:styleId="ARtableperformancesymbol">
    <w:name w:val="AR table performance symbol"/>
    <w:basedOn w:val="ARTabletext"/>
    <w:link w:val="ARtableperformancesymbolChar"/>
    <w:uiPriority w:val="11"/>
    <w:qFormat/>
    <w:rsid w:val="00A534F2"/>
    <w:pPr>
      <w:jc w:val="right"/>
    </w:pPr>
    <w:rPr>
      <w:rFonts w:ascii="Wingdings" w:hAnsi="Wingdings"/>
    </w:rPr>
  </w:style>
  <w:style w:type="paragraph" w:customStyle="1" w:styleId="ARtablefigurenoteindent">
    <w:name w:val="AR table/figurenote indent"/>
    <w:basedOn w:val="ARTabletext"/>
    <w:uiPriority w:val="11"/>
    <w:rsid w:val="0088439C"/>
    <w:pPr>
      <w:spacing w:after="80"/>
      <w:ind w:left="454"/>
    </w:pPr>
    <w:rPr>
      <w:sz w:val="16"/>
    </w:rPr>
  </w:style>
  <w:style w:type="table" w:customStyle="1" w:styleId="ARtable1">
    <w:name w:val="AR table 1"/>
    <w:basedOn w:val="TableNormal"/>
    <w:uiPriority w:val="99"/>
    <w:rsid w:val="000069AD"/>
    <w:tblPr>
      <w:tblStyleRowBandSize w:val="1"/>
      <w:tblStyleColBandSize w:val="1"/>
      <w:tblBorders>
        <w:top w:val="single" w:sz="4" w:space="0" w:color="53565A" w:themeColor="accent1"/>
        <w:left w:val="single" w:sz="4" w:space="0" w:color="53565A" w:themeColor="accent1"/>
        <w:bottom w:val="single" w:sz="4" w:space="0" w:color="53565A" w:themeColor="accent1"/>
        <w:right w:val="single" w:sz="4" w:space="0" w:color="53565A" w:themeColor="accent1"/>
        <w:insideH w:val="single" w:sz="4" w:space="0" w:color="53565A" w:themeColor="accent1"/>
        <w:insideV w:val="single" w:sz="4" w:space="0" w:color="53565A" w:themeColor="accent1"/>
      </w:tblBorders>
      <w:tblCellMar>
        <w:left w:w="113" w:type="dxa"/>
        <w:right w:w="113" w:type="dxa"/>
      </w:tblCellMar>
    </w:tblPr>
    <w:trPr>
      <w:cantSplit/>
    </w:trPr>
    <w:tcPr>
      <w:tcMar>
        <w:right w:w="113" w:type="dxa"/>
      </w:tcMar>
    </w:tcPr>
    <w:tblStylePr w:type="firstRow">
      <w:tblPr/>
      <w:tcPr>
        <w:tcBorders>
          <w:top w:val="single" w:sz="4" w:space="0" w:color="53565A" w:themeColor="accent1"/>
          <w:left w:val="single" w:sz="4" w:space="0" w:color="53565A" w:themeColor="accent1"/>
          <w:bottom w:val="single" w:sz="4" w:space="0" w:color="53565A" w:themeColor="accent1"/>
          <w:right w:val="single" w:sz="4" w:space="0" w:color="53565A" w:themeColor="accent1"/>
          <w:insideH w:val="single" w:sz="4" w:space="0" w:color="53565A" w:themeColor="accent1"/>
          <w:insideV w:val="single" w:sz="4" w:space="0" w:color="53565A" w:themeColor="accent1"/>
        </w:tcBorders>
        <w:vAlign w:val="bottom"/>
      </w:tcPr>
    </w:tblStylePr>
    <w:tblStylePr w:type="lastRow">
      <w:tblPr/>
      <w:tcPr>
        <w:tcBorders>
          <w:top w:val="single" w:sz="4" w:space="0" w:color="53565A" w:themeColor="accent1"/>
          <w:left w:val="single" w:sz="4" w:space="0" w:color="53565A" w:themeColor="accent1"/>
          <w:bottom w:val="single" w:sz="4" w:space="0" w:color="53565A" w:themeColor="accent1"/>
          <w:right w:val="single" w:sz="4" w:space="0" w:color="53565A" w:themeColor="accent1"/>
          <w:insideH w:val="single" w:sz="4" w:space="0" w:color="53565A" w:themeColor="accent1"/>
          <w:insideV w:val="single" w:sz="4" w:space="0" w:color="53565A" w:themeColor="accent1"/>
        </w:tcBorders>
      </w:tcPr>
    </w:tblStylePr>
    <w:tblStylePr w:type="band2Vert">
      <w:tblPr/>
      <w:tcPr>
        <w:shd w:val="clear" w:color="auto" w:fill="E7E6E6"/>
      </w:tcPr>
    </w:tblStylePr>
    <w:tblStylePr w:type="band1Horz">
      <w:tblPr/>
      <w:tcPr>
        <w:tcBorders>
          <w:top w:val="nil"/>
          <w:insideH w:val="nil"/>
        </w:tcBorders>
      </w:tcPr>
    </w:tblStylePr>
    <w:tblStylePr w:type="band2Horz">
      <w:tblPr/>
      <w:tcPr>
        <w:tcBorders>
          <w:top w:val="nil"/>
        </w:tcBorders>
      </w:tcPr>
    </w:tblStylePr>
  </w:style>
  <w:style w:type="paragraph" w:customStyle="1" w:styleId="ARtablecolheadright">
    <w:name w:val="AR table col head right"/>
    <w:basedOn w:val="ARtablecolhead"/>
    <w:uiPriority w:val="99"/>
    <w:qFormat/>
    <w:rsid w:val="009D5CE3"/>
    <w:pPr>
      <w:jc w:val="right"/>
    </w:pPr>
  </w:style>
  <w:style w:type="paragraph" w:customStyle="1" w:styleId="ARtablefigurenotebullet">
    <w:name w:val="AR table/figure note bullet"/>
    <w:basedOn w:val="ARTablefigurenote"/>
    <w:uiPriority w:val="11"/>
    <w:rsid w:val="00434684"/>
    <w:pPr>
      <w:numPr>
        <w:numId w:val="21"/>
      </w:numPr>
      <w:ind w:left="284" w:hanging="284"/>
    </w:pPr>
  </w:style>
  <w:style w:type="paragraph" w:customStyle="1" w:styleId="ARfintabletext">
    <w:name w:val="AR fin table text"/>
    <w:basedOn w:val="ARTabletext"/>
    <w:uiPriority w:val="11"/>
    <w:rsid w:val="006F0F38"/>
    <w:pPr>
      <w:spacing w:before="40" w:after="40"/>
      <w:ind w:right="113"/>
    </w:pPr>
  </w:style>
  <w:style w:type="table" w:customStyle="1" w:styleId="ARtable2">
    <w:name w:val="AR table 2"/>
    <w:basedOn w:val="TableNormal"/>
    <w:uiPriority w:val="99"/>
    <w:rsid w:val="00457FAF"/>
    <w:tblPr>
      <w:tblStyleRowBandSize w:val="1"/>
      <w:tblStyleColBandSize w:val="1"/>
      <w:tblBorders>
        <w:top w:val="single" w:sz="4" w:space="0" w:color="53565A" w:themeColor="accent1"/>
        <w:left w:val="single" w:sz="4" w:space="0" w:color="53565A" w:themeColor="accent1"/>
        <w:bottom w:val="single" w:sz="4" w:space="0" w:color="53565A" w:themeColor="accent1"/>
        <w:right w:val="single" w:sz="4" w:space="0" w:color="53565A" w:themeColor="accent1"/>
        <w:insideH w:val="single" w:sz="4" w:space="0" w:color="53565A" w:themeColor="accent1"/>
        <w:insideV w:val="single" w:sz="4" w:space="0" w:color="53565A" w:themeColor="accent1"/>
      </w:tblBorders>
      <w:tblCellMar>
        <w:left w:w="113" w:type="dxa"/>
      </w:tblCellMar>
    </w:tblPr>
    <w:tcPr>
      <w:tcMar>
        <w:left w:w="113" w:type="dxa"/>
        <w:right w:w="0" w:type="dxa"/>
      </w:tcMar>
    </w:tcPr>
    <w:tblStylePr w:type="firstRow">
      <w:tblPr>
        <w:tblCellMar>
          <w:top w:w="0" w:type="dxa"/>
          <w:left w:w="113" w:type="dxa"/>
          <w:bottom w:w="0" w:type="dxa"/>
          <w:right w:w="108" w:type="dxa"/>
        </w:tblCellMar>
      </w:tblPr>
      <w:tcPr>
        <w:tcBorders>
          <w:top w:val="single" w:sz="4" w:space="0" w:color="53565A" w:themeColor="accent1"/>
          <w:left w:val="single" w:sz="4" w:space="0" w:color="53565A" w:themeColor="accent1"/>
          <w:bottom w:val="single" w:sz="4" w:space="0" w:color="53565A" w:themeColor="accent1"/>
          <w:right w:val="single" w:sz="4" w:space="0" w:color="53565A" w:themeColor="accent1"/>
          <w:insideH w:val="single" w:sz="4" w:space="0" w:color="53565A" w:themeColor="accent1"/>
          <w:insideV w:val="single" w:sz="4" w:space="0" w:color="53565A" w:themeColor="accent1"/>
        </w:tcBorders>
        <w:vAlign w:val="bottom"/>
      </w:tcPr>
    </w:tblStylePr>
    <w:tblStylePr w:type="lastRow">
      <w:tblPr/>
      <w:tcPr>
        <w:tcBorders>
          <w:top w:val="single" w:sz="4" w:space="0" w:color="53565A" w:themeColor="accent1"/>
          <w:left w:val="single" w:sz="4" w:space="0" w:color="53565A" w:themeColor="accent1"/>
          <w:bottom w:val="single" w:sz="4" w:space="0" w:color="53565A" w:themeColor="accent1"/>
          <w:right w:val="single" w:sz="4" w:space="0" w:color="53565A" w:themeColor="accent1"/>
          <w:insideH w:val="single" w:sz="4" w:space="0" w:color="53565A" w:themeColor="accent1"/>
          <w:insideV w:val="single" w:sz="4" w:space="0" w:color="53565A" w:themeColor="accent1"/>
        </w:tcBorders>
      </w:tcPr>
    </w:tblStylePr>
    <w:tblStylePr w:type="band1Vert">
      <w:tblPr/>
      <w:tcPr>
        <w:shd w:val="clear" w:color="auto" w:fill="E7E6E6" w:themeFill="background2"/>
      </w:tcPr>
    </w:tblStylePr>
  </w:style>
  <w:style w:type="paragraph" w:customStyle="1" w:styleId="Heading2financials">
    <w:name w:val="Heading 2 financials"/>
    <w:basedOn w:val="Heading2"/>
    <w:uiPriority w:val="11"/>
    <w:rsid w:val="001F2EC2"/>
  </w:style>
  <w:style w:type="paragraph" w:customStyle="1" w:styleId="Heading3financials">
    <w:name w:val="Heading 3 financials"/>
    <w:basedOn w:val="Heading3"/>
    <w:uiPriority w:val="11"/>
    <w:rsid w:val="006521E5"/>
  </w:style>
  <w:style w:type="paragraph" w:customStyle="1" w:styleId="Heading3forTOC">
    <w:name w:val="Heading 3 for TOC"/>
    <w:basedOn w:val="Heading3"/>
    <w:uiPriority w:val="11"/>
    <w:rsid w:val="000A115F"/>
  </w:style>
  <w:style w:type="paragraph" w:customStyle="1" w:styleId="ARfinbody">
    <w:name w:val="AR fin body"/>
    <w:basedOn w:val="ARBody"/>
    <w:uiPriority w:val="11"/>
    <w:qFormat/>
    <w:rsid w:val="00A635D3"/>
    <w:pPr>
      <w:spacing w:after="60" w:line="240" w:lineRule="atLeast"/>
    </w:pPr>
    <w:rPr>
      <w:sz w:val="18"/>
    </w:rPr>
  </w:style>
  <w:style w:type="character" w:customStyle="1" w:styleId="Heading6Char">
    <w:name w:val="Heading 6 Char"/>
    <w:basedOn w:val="DefaultParagraphFont"/>
    <w:link w:val="Heading6"/>
    <w:uiPriority w:val="9"/>
    <w:rsid w:val="00B27B15"/>
    <w:rPr>
      <w:rFonts w:asciiTheme="majorHAnsi" w:eastAsiaTheme="majorEastAsia" w:hAnsiTheme="majorHAnsi" w:cstheme="majorBidi"/>
      <w:b/>
      <w:color w:val="000000" w:themeColor="text1"/>
      <w:sz w:val="21"/>
      <w:lang w:eastAsia="en-US"/>
    </w:rPr>
  </w:style>
  <w:style w:type="character" w:customStyle="1" w:styleId="Heading7Char">
    <w:name w:val="Heading 7 Char"/>
    <w:basedOn w:val="DefaultParagraphFont"/>
    <w:link w:val="Heading7"/>
    <w:uiPriority w:val="9"/>
    <w:rsid w:val="00BF1E2B"/>
    <w:rPr>
      <w:rFonts w:asciiTheme="majorHAnsi" w:eastAsiaTheme="majorEastAsia" w:hAnsiTheme="majorHAnsi" w:cstheme="majorBidi"/>
      <w:b/>
      <w:iCs/>
      <w:color w:val="53565A" w:themeColor="accent1"/>
      <w:lang w:eastAsia="en-US"/>
    </w:rPr>
  </w:style>
  <w:style w:type="paragraph" w:customStyle="1" w:styleId="ARfintabletextpt8">
    <w:name w:val="AR fin table text pt8"/>
    <w:basedOn w:val="ARTabletext"/>
    <w:uiPriority w:val="11"/>
    <w:rsid w:val="00F95636"/>
    <w:pPr>
      <w:spacing w:before="16" w:after="16" w:line="228" w:lineRule="auto"/>
    </w:pPr>
    <w:rPr>
      <w:sz w:val="16"/>
    </w:rPr>
  </w:style>
  <w:style w:type="paragraph" w:customStyle="1" w:styleId="ARfintabletextboldpt8">
    <w:name w:val="AR fin table text bold pt 8"/>
    <w:basedOn w:val="ARfintabletext8pt"/>
    <w:uiPriority w:val="11"/>
    <w:rsid w:val="006F0F38"/>
    <w:rPr>
      <w:b/>
    </w:rPr>
  </w:style>
  <w:style w:type="paragraph" w:customStyle="1" w:styleId="ARfintablecolheadpt8">
    <w:name w:val="AR fin table col head pt8"/>
    <w:basedOn w:val="ARtablecolhead"/>
    <w:uiPriority w:val="11"/>
    <w:rsid w:val="009F5E41"/>
    <w:pPr>
      <w:spacing w:before="16" w:after="16" w:line="228" w:lineRule="auto"/>
    </w:pPr>
    <w:rPr>
      <w:sz w:val="16"/>
    </w:rPr>
  </w:style>
  <w:style w:type="paragraph" w:customStyle="1" w:styleId="ARfintablecolhead">
    <w:name w:val="AR fin table col head"/>
    <w:basedOn w:val="ARtablecolhead"/>
    <w:uiPriority w:val="11"/>
    <w:qFormat/>
    <w:rsid w:val="005C5E0F"/>
    <w:pPr>
      <w:spacing w:before="40" w:after="40"/>
    </w:pPr>
  </w:style>
  <w:style w:type="paragraph" w:customStyle="1" w:styleId="ARfintablecolheadrightpt8">
    <w:name w:val="AR fin table col head right pt8"/>
    <w:basedOn w:val="ARfintablecolheadpt8"/>
    <w:uiPriority w:val="11"/>
    <w:rsid w:val="009F5E41"/>
    <w:pPr>
      <w:jc w:val="right"/>
    </w:pPr>
  </w:style>
  <w:style w:type="paragraph" w:customStyle="1" w:styleId="ARfintabletextright">
    <w:name w:val="AR fin table text right"/>
    <w:basedOn w:val="ARfintabletext"/>
    <w:uiPriority w:val="11"/>
    <w:rsid w:val="000069AD"/>
    <w:pPr>
      <w:ind w:right="0"/>
      <w:jc w:val="right"/>
    </w:pPr>
  </w:style>
  <w:style w:type="paragraph" w:customStyle="1" w:styleId="ARfintablecolheadright">
    <w:name w:val="AR fin table col head right"/>
    <w:basedOn w:val="ARfintablecolhead"/>
    <w:uiPriority w:val="11"/>
    <w:qFormat/>
    <w:rsid w:val="00E1009E"/>
    <w:pPr>
      <w:jc w:val="right"/>
    </w:pPr>
  </w:style>
  <w:style w:type="paragraph" w:customStyle="1" w:styleId="ARfintablenote">
    <w:name w:val="AR fin table note"/>
    <w:basedOn w:val="ARTablefigurenote"/>
    <w:uiPriority w:val="11"/>
    <w:rsid w:val="006F0F38"/>
    <w:pPr>
      <w:spacing w:line="180" w:lineRule="exact"/>
    </w:pPr>
  </w:style>
  <w:style w:type="paragraph" w:customStyle="1" w:styleId="ARfintablenoteroman">
    <w:name w:val="AR fin table note roman"/>
    <w:basedOn w:val="ARfintablenote"/>
    <w:uiPriority w:val="11"/>
    <w:rsid w:val="006F0F38"/>
    <w:pPr>
      <w:numPr>
        <w:numId w:val="90"/>
      </w:numPr>
      <w:tabs>
        <w:tab w:val="left" w:pos="357"/>
      </w:tabs>
      <w:spacing w:line="180" w:lineRule="atLeast"/>
    </w:pPr>
    <w:rPr>
      <w:lang w:eastAsia="en-AU"/>
    </w:rPr>
  </w:style>
  <w:style w:type="paragraph" w:customStyle="1" w:styleId="ARfinbullet1">
    <w:name w:val="AR fin bullet 1"/>
    <w:basedOn w:val="ARfinbody"/>
    <w:uiPriority w:val="11"/>
    <w:qFormat/>
    <w:rsid w:val="009F3BE7"/>
    <w:pPr>
      <w:numPr>
        <w:numId w:val="91"/>
      </w:numPr>
      <w:ind w:left="714" w:hanging="357"/>
    </w:pPr>
  </w:style>
  <w:style w:type="paragraph" w:customStyle="1" w:styleId="ARnumberdigit0">
    <w:name w:val="AR number digit"/>
    <w:basedOn w:val="Normal"/>
    <w:uiPriority w:val="2"/>
    <w:rsid w:val="006F0F38"/>
    <w:pPr>
      <w:tabs>
        <w:tab w:val="num" w:pos="284"/>
      </w:tabs>
      <w:spacing w:after="60" w:line="260" w:lineRule="atLeast"/>
      <w:ind w:left="284" w:hanging="284"/>
    </w:pPr>
    <w:rPr>
      <w:rFonts w:eastAsia="Times" w:cstheme="minorBidi"/>
      <w:sz w:val="20"/>
      <w:lang w:eastAsia="en-AU"/>
    </w:rPr>
  </w:style>
  <w:style w:type="character" w:styleId="Emphasis">
    <w:name w:val="Emphasis"/>
    <w:basedOn w:val="DefaultParagraphFont"/>
    <w:uiPriority w:val="20"/>
    <w:qFormat/>
    <w:rsid w:val="00C92099"/>
    <w:rPr>
      <w:i/>
      <w:iCs/>
    </w:rPr>
  </w:style>
  <w:style w:type="numbering" w:customStyle="1" w:styleId="ZZTablefootnotenumbers">
    <w:name w:val="ZZ Table footnote numbers"/>
    <w:basedOn w:val="NoList"/>
    <w:uiPriority w:val="99"/>
    <w:rsid w:val="00C92099"/>
    <w:pPr>
      <w:numPr>
        <w:numId w:val="23"/>
      </w:numPr>
    </w:pPr>
  </w:style>
  <w:style w:type="paragraph" w:customStyle="1" w:styleId="ARfinbulletafterdigitoralpha">
    <w:name w:val="AR fin bullet after digit or alpha"/>
    <w:basedOn w:val="ARfinbullet1"/>
    <w:uiPriority w:val="11"/>
    <w:rsid w:val="006F0F38"/>
    <w:pPr>
      <w:ind w:left="567" w:hanging="284"/>
    </w:pPr>
  </w:style>
  <w:style w:type="paragraph" w:customStyle="1" w:styleId="ARfinnumberalpha">
    <w:name w:val="AR fin number alpha"/>
    <w:basedOn w:val="ARfinbody"/>
    <w:uiPriority w:val="11"/>
    <w:rsid w:val="006F0F38"/>
    <w:pPr>
      <w:numPr>
        <w:numId w:val="80"/>
      </w:numPr>
      <w:tabs>
        <w:tab w:val="left" w:pos="284"/>
      </w:tabs>
      <w:spacing w:line="264" w:lineRule="auto"/>
    </w:pPr>
  </w:style>
  <w:style w:type="paragraph" w:customStyle="1" w:styleId="ARfinstructure1">
    <w:name w:val="AR fin structure 1"/>
    <w:basedOn w:val="ARfinbody"/>
    <w:uiPriority w:val="11"/>
    <w:qFormat/>
    <w:rsid w:val="006F0F38"/>
    <w:pPr>
      <w:spacing w:line="264" w:lineRule="auto"/>
      <w:ind w:left="397" w:hanging="397"/>
    </w:pPr>
  </w:style>
  <w:style w:type="paragraph" w:customStyle="1" w:styleId="ARfinstructure2">
    <w:name w:val="AR fin structure 2"/>
    <w:basedOn w:val="ARfinstructure1"/>
    <w:uiPriority w:val="11"/>
    <w:qFormat/>
    <w:rsid w:val="006F0F38"/>
    <w:pPr>
      <w:ind w:left="992" w:hanging="567"/>
    </w:pPr>
  </w:style>
  <w:style w:type="paragraph" w:customStyle="1" w:styleId="ARfintabletextbold">
    <w:name w:val="AR fin table text bold"/>
    <w:basedOn w:val="ARfintabletext"/>
    <w:uiPriority w:val="11"/>
    <w:rsid w:val="006F0F38"/>
    <w:rPr>
      <w:b/>
      <w:color w:val="000000" w:themeColor="text1"/>
    </w:rPr>
  </w:style>
  <w:style w:type="paragraph" w:customStyle="1" w:styleId="ARfintabletextboldright">
    <w:name w:val="AR fin table text bold right"/>
    <w:basedOn w:val="ARfintabletextbold"/>
    <w:uiPriority w:val="11"/>
    <w:rsid w:val="00E1009E"/>
    <w:pPr>
      <w:ind w:right="0"/>
      <w:jc w:val="right"/>
    </w:pPr>
  </w:style>
  <w:style w:type="paragraph" w:customStyle="1" w:styleId="ARfintabletextboldcoloured">
    <w:name w:val="AR fin table text bold coloured"/>
    <w:basedOn w:val="ARfintabletextbold"/>
    <w:uiPriority w:val="11"/>
    <w:rsid w:val="006F0F38"/>
    <w:rPr>
      <w:color w:val="201547" w:themeColor="text2"/>
    </w:rPr>
  </w:style>
  <w:style w:type="paragraph" w:customStyle="1" w:styleId="Heading2Appendices">
    <w:name w:val="Heading 2 Appendices"/>
    <w:basedOn w:val="Heading2"/>
    <w:uiPriority w:val="11"/>
    <w:rsid w:val="00BC38A9"/>
  </w:style>
  <w:style w:type="paragraph" w:customStyle="1" w:styleId="Heading1Appendices">
    <w:name w:val="Heading 1 Appendices"/>
    <w:basedOn w:val="Heading1"/>
    <w:uiPriority w:val="11"/>
    <w:rsid w:val="00EC3C74"/>
  </w:style>
  <w:style w:type="paragraph" w:customStyle="1" w:styleId="Heading3Disclosureindex">
    <w:name w:val="Heading 3 Disclosure index"/>
    <w:basedOn w:val="Normal"/>
    <w:uiPriority w:val="11"/>
    <w:rsid w:val="00352CF3"/>
    <w:pPr>
      <w:keepNext/>
      <w:keepLines/>
      <w:spacing w:before="280" w:line="320" w:lineRule="atLeast"/>
      <w:outlineLvl w:val="2"/>
    </w:pPr>
    <w:rPr>
      <w:rFonts w:asciiTheme="majorHAnsi" w:eastAsia="MS Gothic" w:hAnsiTheme="majorHAnsi"/>
      <w:b/>
      <w:bCs/>
      <w:color w:val="201547" w:themeColor="text2"/>
      <w:sz w:val="22"/>
      <w:szCs w:val="26"/>
    </w:rPr>
  </w:style>
  <w:style w:type="paragraph" w:customStyle="1" w:styleId="Heading1Financials">
    <w:name w:val="Heading 1 Financials"/>
    <w:basedOn w:val="Heading1"/>
    <w:uiPriority w:val="11"/>
    <w:rsid w:val="00EC3C74"/>
  </w:style>
  <w:style w:type="paragraph" w:customStyle="1" w:styleId="Heading2withinTOC">
    <w:name w:val="Heading 2 within TOC"/>
    <w:basedOn w:val="Normal"/>
    <w:rsid w:val="00034AE5"/>
    <w:pPr>
      <w:keepNext/>
      <w:keepLines/>
      <w:spacing w:before="240" w:after="80" w:line="240" w:lineRule="auto"/>
      <w:outlineLvl w:val="1"/>
    </w:pPr>
    <w:rPr>
      <w:b/>
      <w:bCs/>
      <w:color w:val="53565A" w:themeColor="accent1"/>
      <w:sz w:val="22"/>
      <w:szCs w:val="24"/>
      <w:lang w:val="x-none"/>
    </w:rPr>
  </w:style>
  <w:style w:type="paragraph" w:customStyle="1" w:styleId="ARbodybold">
    <w:name w:val="AR body bold"/>
    <w:basedOn w:val="ARBody"/>
    <w:uiPriority w:val="11"/>
    <w:rsid w:val="006F0F38"/>
    <w:rPr>
      <w:b/>
    </w:rPr>
  </w:style>
  <w:style w:type="paragraph" w:customStyle="1" w:styleId="ARfinbodyaftertableorfigure">
    <w:name w:val="AR fin body after table or figure"/>
    <w:basedOn w:val="ARfinbody"/>
    <w:uiPriority w:val="11"/>
    <w:rsid w:val="006F0F38"/>
    <w:pPr>
      <w:spacing w:before="240"/>
    </w:pPr>
    <w:rPr>
      <w:lang w:eastAsia="en-AU"/>
    </w:rPr>
  </w:style>
  <w:style w:type="paragraph" w:customStyle="1" w:styleId="ARfinbodybeforetableorfigure">
    <w:name w:val="AR fin body before table or figure"/>
    <w:basedOn w:val="ARfinbody"/>
    <w:uiPriority w:val="11"/>
    <w:rsid w:val="006F0F38"/>
    <w:pPr>
      <w:spacing w:after="240"/>
    </w:pPr>
    <w:rPr>
      <w:lang w:eastAsia="en-AU"/>
    </w:rPr>
  </w:style>
  <w:style w:type="paragraph" w:customStyle="1" w:styleId="ARfinbodynospace">
    <w:name w:val="AR fin body no space"/>
    <w:basedOn w:val="ARfinbody"/>
    <w:uiPriority w:val="11"/>
    <w:rsid w:val="006F0F38"/>
    <w:pPr>
      <w:spacing w:after="0"/>
    </w:pPr>
  </w:style>
  <w:style w:type="paragraph" w:customStyle="1" w:styleId="ARfinbullet2">
    <w:name w:val="AR fin bullet 2"/>
    <w:basedOn w:val="ARfinbody"/>
    <w:uiPriority w:val="11"/>
    <w:qFormat/>
    <w:rsid w:val="006F0F38"/>
    <w:pPr>
      <w:numPr>
        <w:numId w:val="12"/>
      </w:numPr>
    </w:pPr>
    <w:rPr>
      <w:lang w:eastAsia="en-AU"/>
    </w:rPr>
  </w:style>
  <w:style w:type="paragraph" w:customStyle="1" w:styleId="ARfintablecolhead8pt">
    <w:name w:val="AR fin table col head 8pt"/>
    <w:basedOn w:val="ARtablecolhead"/>
    <w:uiPriority w:val="11"/>
    <w:rsid w:val="006F0F38"/>
    <w:pPr>
      <w:spacing w:before="16" w:after="16" w:line="228" w:lineRule="auto"/>
    </w:pPr>
    <w:rPr>
      <w:color w:val="000000" w:themeColor="text1"/>
      <w:sz w:val="16"/>
    </w:rPr>
  </w:style>
  <w:style w:type="paragraph" w:customStyle="1" w:styleId="ARfintablecolheadcentre">
    <w:name w:val="AR fin table col head centre"/>
    <w:basedOn w:val="ARfintablecolheadright"/>
    <w:uiPriority w:val="11"/>
    <w:qFormat/>
    <w:rsid w:val="006F0F38"/>
    <w:pPr>
      <w:jc w:val="center"/>
    </w:pPr>
    <w:rPr>
      <w:lang w:eastAsia="en-AU"/>
    </w:rPr>
  </w:style>
  <w:style w:type="paragraph" w:customStyle="1" w:styleId="ARfintablecolheadright8pt">
    <w:name w:val="AR fin table col head right 8pt"/>
    <w:basedOn w:val="ARfintablecolhead8pt"/>
    <w:uiPriority w:val="11"/>
    <w:rsid w:val="00E1009E"/>
    <w:pPr>
      <w:jc w:val="right"/>
    </w:pPr>
    <w:rPr>
      <w:color w:val="201547" w:themeColor="text2"/>
    </w:rPr>
  </w:style>
  <w:style w:type="paragraph" w:customStyle="1" w:styleId="ARfintabletext8pt">
    <w:name w:val="AR fin table text 8pt"/>
    <w:basedOn w:val="ARTabletext"/>
    <w:uiPriority w:val="11"/>
    <w:rsid w:val="006F0F38"/>
    <w:pPr>
      <w:spacing w:before="16" w:after="16" w:line="228" w:lineRule="auto"/>
    </w:pPr>
    <w:rPr>
      <w:sz w:val="16"/>
    </w:rPr>
  </w:style>
  <w:style w:type="paragraph" w:customStyle="1" w:styleId="ARfintabletextbold8pt">
    <w:name w:val="AR fin table text bold 8pt"/>
    <w:basedOn w:val="ARfintabletext8pt"/>
    <w:uiPriority w:val="11"/>
    <w:rsid w:val="006F0F38"/>
    <w:rPr>
      <w:b/>
      <w:lang w:eastAsia="en-AU"/>
    </w:rPr>
  </w:style>
  <w:style w:type="paragraph" w:customStyle="1" w:styleId="Arfintabletextboldcoloured8pt">
    <w:name w:val="Ar fin table text bold coloured 8pt"/>
    <w:basedOn w:val="ARfintabletextboldcoloured"/>
    <w:uiPriority w:val="11"/>
    <w:rsid w:val="006F0F38"/>
    <w:pPr>
      <w:spacing w:before="16" w:after="16" w:line="228" w:lineRule="auto"/>
    </w:pPr>
    <w:rPr>
      <w:sz w:val="16"/>
      <w:lang w:eastAsia="en-AU"/>
    </w:rPr>
  </w:style>
  <w:style w:type="paragraph" w:customStyle="1" w:styleId="ARfintabletextright8pt">
    <w:name w:val="AR fin table text right 8pt"/>
    <w:basedOn w:val="ARfintabletextright"/>
    <w:uiPriority w:val="11"/>
    <w:rsid w:val="006F0F38"/>
    <w:pPr>
      <w:spacing w:before="16" w:after="16" w:line="228" w:lineRule="auto"/>
    </w:pPr>
    <w:rPr>
      <w:sz w:val="16"/>
      <w:lang w:eastAsia="en-AU"/>
    </w:rPr>
  </w:style>
  <w:style w:type="paragraph" w:customStyle="1" w:styleId="ARfintabletextboldright8pt">
    <w:name w:val="AR fin table text bold right 8pt"/>
    <w:basedOn w:val="ARfintabletextright8pt"/>
    <w:uiPriority w:val="11"/>
    <w:rsid w:val="006F0F38"/>
    <w:rPr>
      <w:b/>
    </w:rPr>
  </w:style>
  <w:style w:type="paragraph" w:customStyle="1" w:styleId="ARfintabletextindent">
    <w:name w:val="AR fin table text indent"/>
    <w:basedOn w:val="ARfintabletext"/>
    <w:uiPriority w:val="11"/>
    <w:rsid w:val="006F0F38"/>
    <w:pPr>
      <w:ind w:left="284"/>
    </w:pPr>
    <w:rPr>
      <w:lang w:eastAsia="en-AU"/>
    </w:rPr>
  </w:style>
  <w:style w:type="paragraph" w:customStyle="1" w:styleId="ARsignatureline">
    <w:name w:val="AR signature line"/>
    <w:basedOn w:val="ARBody"/>
    <w:uiPriority w:val="11"/>
    <w:rsid w:val="006F0F38"/>
    <w:pPr>
      <w:spacing w:before="960"/>
    </w:pPr>
  </w:style>
  <w:style w:type="paragraph" w:customStyle="1" w:styleId="ARtablefigurenoteindent0">
    <w:name w:val="AR table/figure note indent"/>
    <w:basedOn w:val="ARTabletext"/>
    <w:uiPriority w:val="11"/>
    <w:rsid w:val="006F0F38"/>
    <w:pPr>
      <w:spacing w:after="80"/>
      <w:ind w:left="454"/>
    </w:pPr>
    <w:rPr>
      <w:sz w:val="16"/>
    </w:rPr>
  </w:style>
  <w:style w:type="paragraph" w:customStyle="1" w:styleId="ARaccessibilitypara">
    <w:name w:val="AR accessibility para"/>
    <w:uiPriority w:val="3"/>
    <w:rsid w:val="001F2AF6"/>
    <w:pPr>
      <w:spacing w:after="200" w:line="300" w:lineRule="atLeast"/>
    </w:pPr>
    <w:rPr>
      <w:rFonts w:ascii="Arial" w:eastAsia="Times" w:hAnsi="Arial" w:cstheme="minorBidi"/>
      <w:sz w:val="24"/>
      <w:szCs w:val="19"/>
      <w:lang w:eastAsia="en-US"/>
    </w:rPr>
  </w:style>
  <w:style w:type="numbering" w:customStyle="1" w:styleId="Style2">
    <w:name w:val="Style2"/>
    <w:rsid w:val="001F2AF6"/>
    <w:pPr>
      <w:numPr>
        <w:numId w:val="22"/>
      </w:numPr>
    </w:pPr>
  </w:style>
  <w:style w:type="paragraph" w:customStyle="1" w:styleId="ARtablefootnoteroman">
    <w:name w:val="AR table footnote roman"/>
    <w:basedOn w:val="Normal"/>
    <w:uiPriority w:val="3"/>
    <w:rsid w:val="001F2AF6"/>
    <w:pPr>
      <w:numPr>
        <w:numId w:val="22"/>
      </w:numPr>
      <w:tabs>
        <w:tab w:val="clear" w:pos="284"/>
        <w:tab w:val="num" w:pos="992"/>
      </w:tabs>
      <w:spacing w:before="40" w:after="20" w:line="264" w:lineRule="auto"/>
    </w:pPr>
    <w:rPr>
      <w:rFonts w:eastAsiaTheme="minorEastAsia" w:cstheme="minorBidi"/>
      <w:sz w:val="16"/>
      <w:szCs w:val="16"/>
      <w:lang w:eastAsia="en-AU"/>
    </w:rPr>
  </w:style>
  <w:style w:type="character" w:customStyle="1" w:styleId="ARraisedby10pt">
    <w:name w:val="AR raised by 10pt"/>
    <w:basedOn w:val="DefaultParagraphFont"/>
    <w:uiPriority w:val="1"/>
    <w:rsid w:val="00371C7F"/>
    <w:rPr>
      <w:b w:val="0"/>
      <w:bCs/>
      <w:color w:val="201547" w:themeColor="text2"/>
      <w:position w:val="20"/>
    </w:rPr>
  </w:style>
  <w:style w:type="paragraph" w:customStyle="1" w:styleId="Heading3Values">
    <w:name w:val="Heading 3 Values"/>
    <w:uiPriority w:val="4"/>
    <w:rsid w:val="005E3EAA"/>
    <w:pPr>
      <w:keepNext/>
      <w:keepLines/>
      <w:spacing w:before="240" w:after="60"/>
      <w:outlineLvl w:val="2"/>
    </w:pPr>
    <w:rPr>
      <w:rFonts w:ascii="Arial" w:eastAsia="Times" w:hAnsi="Arial" w:cs="Arial"/>
      <w:b/>
      <w:color w:val="201547" w:themeColor="text2"/>
      <w:sz w:val="22"/>
      <w:szCs w:val="24"/>
      <w:lang w:eastAsia="en-US"/>
    </w:rPr>
  </w:style>
  <w:style w:type="paragraph" w:customStyle="1" w:styleId="ARtablefootnotenumbered">
    <w:name w:val="AR table footnote numbered"/>
    <w:basedOn w:val="Normal"/>
    <w:link w:val="ARtablefootnotenumberedChar"/>
    <w:uiPriority w:val="99"/>
    <w:qFormat/>
    <w:rsid w:val="00780F68"/>
    <w:pPr>
      <w:numPr>
        <w:numId w:val="23"/>
      </w:numPr>
      <w:spacing w:before="40" w:after="20" w:line="264" w:lineRule="auto"/>
    </w:pPr>
    <w:rPr>
      <w:rFonts w:eastAsiaTheme="minorEastAsia" w:cstheme="minorBidi"/>
      <w:color w:val="000000" w:themeColor="text1"/>
      <w:sz w:val="16"/>
      <w:szCs w:val="16"/>
    </w:rPr>
  </w:style>
  <w:style w:type="paragraph" w:customStyle="1" w:styleId="ARTabletextboldcoloured">
    <w:name w:val="AR Table text bold coloured"/>
    <w:basedOn w:val="ARtabletextbold"/>
    <w:uiPriority w:val="3"/>
    <w:rsid w:val="006E53AA"/>
    <w:rPr>
      <w:color w:val="201547" w:themeColor="text2"/>
    </w:rPr>
  </w:style>
  <w:style w:type="character" w:styleId="Mention">
    <w:name w:val="Mention"/>
    <w:basedOn w:val="DefaultParagraphFont"/>
    <w:uiPriority w:val="99"/>
    <w:unhideWhenUsed/>
    <w:rsid w:val="00DB5A56"/>
    <w:rPr>
      <w:color w:val="2B579A"/>
      <w:shd w:val="clear" w:color="auto" w:fill="E1DFDD"/>
    </w:rPr>
  </w:style>
  <w:style w:type="paragraph" w:customStyle="1" w:styleId="ARfinnumberalpha1">
    <w:name w:val="AR fin number alpha 1"/>
    <w:basedOn w:val="ARfinbody"/>
    <w:uiPriority w:val="3"/>
    <w:rsid w:val="00C779A1"/>
    <w:pPr>
      <w:numPr>
        <w:numId w:val="28"/>
      </w:numPr>
      <w:suppressAutoHyphens/>
      <w:autoSpaceDE w:val="0"/>
      <w:autoSpaceDN w:val="0"/>
      <w:adjustRightInd w:val="0"/>
      <w:spacing w:line="264" w:lineRule="auto"/>
      <w:textAlignment w:val="center"/>
    </w:pPr>
    <w:rPr>
      <w:rFonts w:eastAsiaTheme="minorEastAsia" w:cs="ArialMT"/>
      <w:color w:val="000000"/>
      <w:szCs w:val="16"/>
      <w:lang w:eastAsia="en-AU"/>
    </w:rPr>
  </w:style>
  <w:style w:type="numbering" w:customStyle="1" w:styleId="Tablefootnotes">
    <w:name w:val="Table footnotes"/>
    <w:uiPriority w:val="99"/>
    <w:rsid w:val="00C779A1"/>
    <w:pPr>
      <w:numPr>
        <w:numId w:val="26"/>
      </w:numPr>
    </w:pPr>
  </w:style>
  <w:style w:type="paragraph" w:customStyle="1" w:styleId="ARtablefootnotebullet">
    <w:name w:val="AR table footnote bullet"/>
    <w:basedOn w:val="Normal"/>
    <w:link w:val="ARtablefootnotebulletChar"/>
    <w:uiPriority w:val="3"/>
    <w:qFormat/>
    <w:rsid w:val="006E53AA"/>
    <w:pPr>
      <w:numPr>
        <w:numId w:val="25"/>
      </w:numPr>
      <w:tabs>
        <w:tab w:val="left" w:pos="340"/>
        <w:tab w:val="num" w:pos="643"/>
      </w:tabs>
      <w:spacing w:before="40" w:after="20" w:line="264" w:lineRule="auto"/>
    </w:pPr>
    <w:rPr>
      <w:rFonts w:eastAsiaTheme="minorEastAsia" w:cstheme="minorBidi"/>
      <w:sz w:val="16"/>
      <w:szCs w:val="16"/>
    </w:rPr>
  </w:style>
  <w:style w:type="numbering" w:customStyle="1" w:styleId="ZZTablefootnotebullets">
    <w:name w:val="ZZ Table footnote bullets"/>
    <w:basedOn w:val="NoList"/>
    <w:uiPriority w:val="99"/>
    <w:rsid w:val="00C779A1"/>
    <w:pPr>
      <w:numPr>
        <w:numId w:val="25"/>
      </w:numPr>
    </w:pPr>
  </w:style>
  <w:style w:type="character" w:customStyle="1" w:styleId="FooterChar">
    <w:name w:val="Footer Char"/>
    <w:basedOn w:val="DefaultParagraphFont"/>
    <w:link w:val="Footer"/>
    <w:uiPriority w:val="99"/>
    <w:rsid w:val="00C779A1"/>
    <w:rPr>
      <w:rFonts w:ascii="Arial" w:hAnsi="Arial" w:cs="Arial"/>
      <w:sz w:val="18"/>
      <w:szCs w:val="18"/>
      <w:lang w:eastAsia="en-US"/>
    </w:rPr>
  </w:style>
  <w:style w:type="paragraph" w:customStyle="1" w:styleId="ARbullet3">
    <w:name w:val="AR bullet 3"/>
    <w:basedOn w:val="Normal"/>
    <w:rsid w:val="006F2530"/>
    <w:pPr>
      <w:numPr>
        <w:ilvl w:val="2"/>
        <w:numId w:val="47"/>
      </w:numPr>
      <w:tabs>
        <w:tab w:val="num" w:pos="284"/>
        <w:tab w:val="num" w:pos="360"/>
      </w:tabs>
      <w:spacing w:after="40" w:line="260" w:lineRule="atLeast"/>
    </w:pPr>
    <w:rPr>
      <w:rFonts w:eastAsia="Times" w:cs="Arial"/>
      <w:sz w:val="20"/>
      <w:szCs w:val="24"/>
    </w:rPr>
  </w:style>
  <w:style w:type="paragraph" w:customStyle="1" w:styleId="ARbodybeforetable">
    <w:name w:val="AR body before table"/>
    <w:basedOn w:val="Normal"/>
    <w:qFormat/>
    <w:rsid w:val="006E53AA"/>
    <w:pPr>
      <w:spacing w:after="240" w:line="260" w:lineRule="atLeast"/>
    </w:pPr>
    <w:rPr>
      <w:rFonts w:eastAsia="Times" w:cs="Arial"/>
      <w:sz w:val="20"/>
      <w:szCs w:val="24"/>
      <w:lang w:eastAsia="en-AU"/>
    </w:rPr>
  </w:style>
  <w:style w:type="paragraph" w:customStyle="1" w:styleId="ARtablecolheadcentre">
    <w:name w:val="AR table col head centre"/>
    <w:basedOn w:val="ARtablecolheadright"/>
    <w:uiPriority w:val="3"/>
    <w:qFormat/>
    <w:rsid w:val="00823A50"/>
    <w:pPr>
      <w:jc w:val="center"/>
    </w:pPr>
    <w:rPr>
      <w:rFonts w:eastAsia="Times" w:cs="Arial"/>
      <w:szCs w:val="18"/>
    </w:rPr>
  </w:style>
  <w:style w:type="paragraph" w:customStyle="1" w:styleId="ARtabletextcentre">
    <w:name w:val="AR table text centre"/>
    <w:basedOn w:val="Normal"/>
    <w:rsid w:val="008E70EB"/>
    <w:pPr>
      <w:spacing w:before="80" w:after="60" w:line="264" w:lineRule="auto"/>
      <w:jc w:val="center"/>
    </w:pPr>
    <w:rPr>
      <w:rFonts w:eastAsia="Times" w:cs="Arial"/>
      <w:sz w:val="18"/>
      <w:szCs w:val="18"/>
      <w:lang w:eastAsia="en-AU"/>
    </w:rPr>
  </w:style>
  <w:style w:type="paragraph" w:customStyle="1" w:styleId="Heading3Ministers">
    <w:name w:val="Heading 3 Ministers"/>
    <w:basedOn w:val="Heading3Values"/>
    <w:uiPriority w:val="4"/>
    <w:rsid w:val="00484A2D"/>
  </w:style>
  <w:style w:type="paragraph" w:customStyle="1" w:styleId="Accessibilitypara">
    <w:name w:val="Accessibility para"/>
    <w:uiPriority w:val="8"/>
    <w:rsid w:val="006E51BF"/>
    <w:pPr>
      <w:spacing w:before="120" w:after="200" w:line="300" w:lineRule="atLeast"/>
    </w:pPr>
    <w:rPr>
      <w:rFonts w:ascii="Arial" w:eastAsia="Times" w:hAnsi="Arial"/>
      <w:sz w:val="24"/>
      <w:szCs w:val="19"/>
      <w:lang w:eastAsia="en-US"/>
    </w:rPr>
  </w:style>
  <w:style w:type="paragraph" w:customStyle="1" w:styleId="ARtablefootnotealpha">
    <w:name w:val="AR table footnote alpha"/>
    <w:basedOn w:val="Normal"/>
    <w:rsid w:val="001F2BA3"/>
    <w:pPr>
      <w:numPr>
        <w:numId w:val="50"/>
      </w:numPr>
      <w:spacing w:before="80" w:after="60" w:line="264" w:lineRule="auto"/>
    </w:pPr>
    <w:rPr>
      <w:rFonts w:eastAsiaTheme="minorEastAsia" w:cstheme="minorBidi"/>
      <w:sz w:val="16"/>
      <w:szCs w:val="16"/>
      <w:lang w:eastAsia="en-AU"/>
    </w:rPr>
  </w:style>
  <w:style w:type="numbering" w:customStyle="1" w:styleId="ZZIntrobullets1">
    <w:name w:val="ZZ Intro bullets1"/>
    <w:basedOn w:val="NoList"/>
    <w:uiPriority w:val="99"/>
    <w:rsid w:val="001F2BA3"/>
    <w:pPr>
      <w:numPr>
        <w:numId w:val="45"/>
      </w:numPr>
    </w:pPr>
  </w:style>
  <w:style w:type="paragraph" w:customStyle="1" w:styleId="ARtablenoteindent">
    <w:name w:val="AR table note indent"/>
    <w:link w:val="ARtablenoteindentChar"/>
    <w:uiPriority w:val="3"/>
    <w:qFormat/>
    <w:rsid w:val="00602F54"/>
    <w:pPr>
      <w:spacing w:before="80" w:after="80" w:line="288" w:lineRule="auto"/>
      <w:ind w:left="454"/>
    </w:pPr>
    <w:rPr>
      <w:rFonts w:ascii="Arial" w:eastAsia="Times" w:hAnsi="Arial" w:cstheme="minorBidi"/>
      <w:iCs/>
      <w:sz w:val="16"/>
      <w:szCs w:val="18"/>
    </w:rPr>
  </w:style>
  <w:style w:type="character" w:customStyle="1" w:styleId="ARtablenoteindentChar">
    <w:name w:val="AR table note indent Char"/>
    <w:link w:val="ARtablenoteindent"/>
    <w:uiPriority w:val="3"/>
    <w:rsid w:val="00602F54"/>
    <w:rPr>
      <w:rFonts w:ascii="Arial" w:eastAsia="Times" w:hAnsi="Arial" w:cstheme="minorBidi"/>
      <w:iCs/>
      <w:sz w:val="16"/>
      <w:szCs w:val="18"/>
    </w:rPr>
  </w:style>
  <w:style w:type="character" w:customStyle="1" w:styleId="ARtableperformancesymbolChar">
    <w:name w:val="AR table performance symbol Char"/>
    <w:link w:val="ARtableperformancesymbol"/>
    <w:uiPriority w:val="11"/>
    <w:rsid w:val="00A534F2"/>
    <w:rPr>
      <w:rFonts w:ascii="Wingdings" w:hAnsi="Wingdings"/>
      <w:sz w:val="18"/>
      <w:lang w:eastAsia="en-US"/>
    </w:rPr>
  </w:style>
  <w:style w:type="paragraph" w:customStyle="1" w:styleId="ARtablegreybold">
    <w:name w:val="AR table grey bold"/>
    <w:basedOn w:val="Normal"/>
    <w:uiPriority w:val="3"/>
    <w:rsid w:val="00602F54"/>
    <w:pPr>
      <w:spacing w:before="80" w:after="60" w:line="240" w:lineRule="auto"/>
    </w:pPr>
    <w:rPr>
      <w:rFonts w:eastAsia="Calibri" w:cs="Arial"/>
      <w:b/>
      <w:color w:val="53565A"/>
      <w:sz w:val="18"/>
      <w:szCs w:val="18"/>
      <w:lang w:eastAsia="en-AU"/>
    </w:rPr>
  </w:style>
  <w:style w:type="paragraph" w:customStyle="1" w:styleId="ARbody125">
    <w:name w:val="AR body 12.5"/>
    <w:basedOn w:val="ARBody"/>
    <w:rsid w:val="000F353A"/>
    <w:pPr>
      <w:spacing w:line="250" w:lineRule="atLeast"/>
    </w:pPr>
  </w:style>
  <w:style w:type="character" w:customStyle="1" w:styleId="Heading8Char">
    <w:name w:val="Heading 8 Char"/>
    <w:basedOn w:val="DefaultParagraphFont"/>
    <w:link w:val="Heading8"/>
    <w:uiPriority w:val="9"/>
    <w:rsid w:val="00AC6F9A"/>
    <w:rPr>
      <w:rFonts w:asciiTheme="minorHAnsi" w:eastAsiaTheme="majorEastAsia" w:hAnsiTheme="minorHAnsi" w:cstheme="majorBidi"/>
      <w:b/>
      <w:iCs/>
      <w:color w:val="201547" w:themeColor="text2"/>
      <w:kern w:val="2"/>
      <w:sz w:val="19"/>
      <w:szCs w:val="24"/>
      <w14:ligatures w14:val="standardContextual"/>
    </w:rPr>
  </w:style>
  <w:style w:type="character" w:customStyle="1" w:styleId="Heading9Char">
    <w:name w:val="Heading 9 Char"/>
    <w:basedOn w:val="DefaultParagraphFont"/>
    <w:link w:val="Heading9"/>
    <w:uiPriority w:val="9"/>
    <w:rsid w:val="00AC6F9A"/>
    <w:rPr>
      <w:rFonts w:asciiTheme="minorHAnsi" w:eastAsiaTheme="majorEastAsia" w:hAnsiTheme="minorHAnsi" w:cstheme="majorBidi"/>
      <w:b/>
      <w:color w:val="53565A" w:themeColor="accent1"/>
      <w:kern w:val="2"/>
      <w:sz w:val="18"/>
      <w:szCs w:val="24"/>
      <w14:ligatures w14:val="standardContextual"/>
    </w:rPr>
  </w:style>
  <w:style w:type="paragraph" w:customStyle="1" w:styleId="Introtext">
    <w:name w:val="Intro text"/>
    <w:basedOn w:val="ARBody"/>
    <w:uiPriority w:val="11"/>
    <w:rsid w:val="00AC6F9A"/>
    <w:pPr>
      <w:spacing w:line="320" w:lineRule="atLeast"/>
    </w:pPr>
    <w:rPr>
      <w:color w:val="201547"/>
      <w:sz w:val="24"/>
    </w:rPr>
  </w:style>
  <w:style w:type="paragraph" w:customStyle="1" w:styleId="Table">
    <w:name w:val="Table"/>
    <w:basedOn w:val="Normal"/>
    <w:qFormat/>
    <w:rsid w:val="00AC6F9A"/>
    <w:pPr>
      <w:spacing w:after="160" w:line="278" w:lineRule="auto"/>
    </w:pPr>
    <w:rPr>
      <w:rFonts w:asciiTheme="minorHAnsi" w:eastAsiaTheme="minorHAnsi" w:hAnsiTheme="minorHAnsi" w:cstheme="minorBidi"/>
      <w:kern w:val="2"/>
      <w:sz w:val="24"/>
      <w:szCs w:val="24"/>
      <w14:ligatures w14:val="standardContextual"/>
    </w:rPr>
  </w:style>
  <w:style w:type="paragraph" w:styleId="ListParagraph">
    <w:name w:val="List Paragraph"/>
    <w:basedOn w:val="Normal"/>
    <w:link w:val="ListParagraphChar"/>
    <w:uiPriority w:val="34"/>
    <w:qFormat/>
    <w:rsid w:val="00AC6F9A"/>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paragraph" w:customStyle="1" w:styleId="ARfintablebullet1">
    <w:name w:val="AR fin table bullet 1"/>
    <w:basedOn w:val="ARfinbullet1"/>
    <w:uiPriority w:val="11"/>
    <w:rsid w:val="00AC6F9A"/>
    <w:pPr>
      <w:numPr>
        <w:numId w:val="0"/>
      </w:numPr>
      <w:spacing w:before="40" w:after="40"/>
      <w:ind w:left="170" w:right="113" w:hanging="170"/>
    </w:pPr>
    <w:rPr>
      <w:lang w:eastAsia="en-AU"/>
    </w:rPr>
  </w:style>
  <w:style w:type="paragraph" w:styleId="Quote">
    <w:name w:val="Quote"/>
    <w:basedOn w:val="Normal"/>
    <w:next w:val="Normal"/>
    <w:link w:val="QuoteChar"/>
    <w:uiPriority w:val="29"/>
    <w:qFormat/>
    <w:rsid w:val="00AC6F9A"/>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C6F9A"/>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IntenseEmphasis">
    <w:name w:val="Intense Emphasis"/>
    <w:basedOn w:val="DefaultParagraphFont"/>
    <w:uiPriority w:val="21"/>
    <w:qFormat/>
    <w:rsid w:val="00AC6F9A"/>
    <w:rPr>
      <w:i/>
      <w:iCs/>
      <w:color w:val="3E4043" w:themeColor="accent1" w:themeShade="BF"/>
    </w:rPr>
  </w:style>
  <w:style w:type="paragraph" w:styleId="IntenseQuote">
    <w:name w:val="Intense Quote"/>
    <w:basedOn w:val="Normal"/>
    <w:next w:val="Normal"/>
    <w:link w:val="IntenseQuoteChar"/>
    <w:uiPriority w:val="30"/>
    <w:qFormat/>
    <w:rsid w:val="00AC6F9A"/>
    <w:pPr>
      <w:pBdr>
        <w:top w:val="single" w:sz="4" w:space="10" w:color="3E4043" w:themeColor="accent1" w:themeShade="BF"/>
        <w:bottom w:val="single" w:sz="4" w:space="10" w:color="3E4043" w:themeColor="accent1" w:themeShade="BF"/>
      </w:pBdr>
      <w:spacing w:before="360" w:after="360" w:line="278" w:lineRule="auto"/>
      <w:ind w:left="864" w:right="864"/>
      <w:jc w:val="center"/>
    </w:pPr>
    <w:rPr>
      <w:rFonts w:asciiTheme="minorHAnsi" w:eastAsiaTheme="minorHAnsi" w:hAnsiTheme="minorHAnsi" w:cstheme="minorBidi"/>
      <w:i/>
      <w:iCs/>
      <w:color w:val="3E4043"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C6F9A"/>
    <w:rPr>
      <w:rFonts w:asciiTheme="minorHAnsi" w:eastAsiaTheme="minorHAnsi" w:hAnsiTheme="minorHAnsi" w:cstheme="minorBidi"/>
      <w:i/>
      <w:iCs/>
      <w:color w:val="3E4043"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AC6F9A"/>
    <w:rPr>
      <w:b/>
      <w:bCs/>
      <w:smallCaps/>
      <w:color w:val="3E4043" w:themeColor="accent1" w:themeShade="BF"/>
      <w:spacing w:val="5"/>
    </w:rPr>
  </w:style>
  <w:style w:type="character" w:styleId="BookTitle">
    <w:name w:val="Book Title"/>
    <w:basedOn w:val="DefaultParagraphFont"/>
    <w:uiPriority w:val="69"/>
    <w:semiHidden/>
    <w:qFormat/>
    <w:rsid w:val="00AC6F9A"/>
    <w:rPr>
      <w:b/>
      <w:bCs/>
      <w:i/>
      <w:iCs/>
      <w:spacing w:val="5"/>
    </w:rPr>
  </w:style>
  <w:style w:type="paragraph" w:styleId="NoSpacing">
    <w:name w:val="No Spacing"/>
    <w:uiPriority w:val="99"/>
    <w:semiHidden/>
    <w:qFormat/>
    <w:rsid w:val="00AC6F9A"/>
    <w:rPr>
      <w:rFonts w:ascii="Arial" w:hAnsi="Arial"/>
      <w:sz w:val="21"/>
      <w:lang w:eastAsia="en-US"/>
    </w:rPr>
  </w:style>
  <w:style w:type="character" w:styleId="SubtleEmphasis">
    <w:name w:val="Subtle Emphasis"/>
    <w:basedOn w:val="DefaultParagraphFont"/>
    <w:uiPriority w:val="19"/>
    <w:qFormat/>
    <w:rsid w:val="00AC6F9A"/>
    <w:rPr>
      <w:i/>
      <w:iCs/>
      <w:color w:val="404040" w:themeColor="text1" w:themeTint="BF"/>
    </w:rPr>
  </w:style>
  <w:style w:type="character" w:styleId="SubtleReference">
    <w:name w:val="Subtle Reference"/>
    <w:basedOn w:val="DefaultParagraphFont"/>
    <w:uiPriority w:val="67"/>
    <w:qFormat/>
    <w:rsid w:val="00AC6F9A"/>
    <w:rPr>
      <w:smallCaps/>
      <w:color w:val="5A5A5A" w:themeColor="text1" w:themeTint="A5"/>
    </w:rPr>
  </w:style>
  <w:style w:type="paragraph" w:styleId="TOCHeading">
    <w:name w:val="TOC Heading"/>
    <w:basedOn w:val="Heading1"/>
    <w:next w:val="Normal"/>
    <w:uiPriority w:val="71"/>
    <w:unhideWhenUsed/>
    <w:qFormat/>
    <w:rsid w:val="00AC6F9A"/>
    <w:pPr>
      <w:spacing w:before="240" w:after="0" w:line="280" w:lineRule="atLeast"/>
      <w:outlineLvl w:val="9"/>
    </w:pPr>
    <w:rPr>
      <w:rFonts w:eastAsiaTheme="majorEastAsia" w:cstheme="majorBidi"/>
      <w:bCs w:val="0"/>
      <w:color w:val="3E4043" w:themeColor="accent1" w:themeShade="BF"/>
      <w:kern w:val="0"/>
      <w:sz w:val="32"/>
      <w:szCs w:val="32"/>
    </w:rPr>
  </w:style>
  <w:style w:type="paragraph" w:styleId="PlainText">
    <w:name w:val="Plain Text"/>
    <w:basedOn w:val="Normal"/>
    <w:link w:val="PlainTextChar"/>
    <w:uiPriority w:val="99"/>
    <w:semiHidden/>
    <w:rsid w:val="00B7380B"/>
    <w:pPr>
      <w:spacing w:line="264" w:lineRule="auto"/>
    </w:pPr>
    <w:rPr>
      <w:rFonts w:ascii="Consolas" w:eastAsia="Calibri" w:hAnsi="Consolas" w:cstheme="minorBidi"/>
      <w:szCs w:val="21"/>
      <w:lang w:val="x-none" w:eastAsia="x-none"/>
    </w:rPr>
  </w:style>
  <w:style w:type="paragraph" w:customStyle="1" w:styleId="ARTOCheading">
    <w:name w:val="AR TOC heading"/>
    <w:basedOn w:val="Heading1"/>
    <w:next w:val="Normal"/>
    <w:link w:val="ARTOCheadingChar"/>
    <w:uiPriority w:val="3"/>
    <w:qFormat/>
    <w:rsid w:val="00946858"/>
    <w:pPr>
      <w:spacing w:before="0" w:after="480"/>
    </w:pPr>
    <w:rPr>
      <w:rFonts w:ascii="Arial" w:hAnsi="Arial" w:cs="Times New Roman"/>
      <w:szCs w:val="64"/>
      <w:lang w:val="x-none" w:eastAsia="x-none"/>
    </w:rPr>
  </w:style>
  <w:style w:type="character" w:customStyle="1" w:styleId="ARTOCheadingChar">
    <w:name w:val="AR TOC heading Char"/>
    <w:link w:val="ARTOCheading"/>
    <w:uiPriority w:val="3"/>
    <w:rsid w:val="00946858"/>
    <w:rPr>
      <w:rFonts w:ascii="Arial" w:eastAsia="MS Gothic" w:hAnsi="Arial"/>
      <w:bCs/>
      <w:color w:val="201547" w:themeColor="text2"/>
      <w:kern w:val="32"/>
      <w:sz w:val="48"/>
      <w:szCs w:val="64"/>
      <w:lang w:val="x-none" w:eastAsia="x-none"/>
    </w:rPr>
  </w:style>
  <w:style w:type="character" w:customStyle="1" w:styleId="PlainTextChar">
    <w:name w:val="Plain Text Char"/>
    <w:basedOn w:val="DefaultParagraphFont"/>
    <w:link w:val="PlainText"/>
    <w:uiPriority w:val="98"/>
    <w:semiHidden/>
    <w:rsid w:val="00B7380B"/>
    <w:rPr>
      <w:rFonts w:ascii="Consolas" w:eastAsia="Calibri" w:hAnsi="Consolas" w:cstheme="minorBidi"/>
      <w:sz w:val="21"/>
      <w:szCs w:val="21"/>
      <w:lang w:val="x-none" w:eastAsia="x-none"/>
    </w:rPr>
  </w:style>
  <w:style w:type="paragraph" w:customStyle="1" w:styleId="ARtablefootnote">
    <w:name w:val="AR table footnote"/>
    <w:uiPriority w:val="99"/>
    <w:qFormat/>
    <w:rsid w:val="00946858"/>
    <w:pPr>
      <w:tabs>
        <w:tab w:val="left" w:pos="340"/>
      </w:tabs>
      <w:spacing w:before="40" w:after="20" w:line="264" w:lineRule="auto"/>
    </w:pPr>
    <w:rPr>
      <w:rFonts w:ascii="Arial" w:eastAsia="MS PGothic" w:hAnsi="Arial" w:cs="Arial"/>
      <w:sz w:val="16"/>
      <w:szCs w:val="16"/>
      <w:lang w:eastAsia="en-US"/>
    </w:rPr>
  </w:style>
  <w:style w:type="numbering" w:customStyle="1" w:styleId="NoList1">
    <w:name w:val="No List1"/>
    <w:next w:val="NoList"/>
    <w:uiPriority w:val="99"/>
    <w:semiHidden/>
    <w:unhideWhenUsed/>
    <w:rsid w:val="000557CC"/>
  </w:style>
  <w:style w:type="table" w:customStyle="1" w:styleId="DFFHtable21">
    <w:name w:val="DFFH table 21"/>
    <w:basedOn w:val="TableNormal"/>
    <w:next w:val="TableGrid"/>
    <w:rsid w:val="00457FAF"/>
    <w:pPr>
      <w:spacing w:after="120" w:line="264" w:lineRule="auto"/>
    </w:pPr>
    <w:rPr>
      <w:rFonts w:ascii="Arial" w:eastAsia="MS PGothic" w:hAnsi="Arial" w:cs="Arial"/>
    </w:rPr>
    <w:tblPr>
      <w:tblStyleColBandSize w:val="1"/>
      <w:tblBorders>
        <w:top w:val="single" w:sz="4" w:space="0" w:color="53565A" w:themeColor="accent1"/>
        <w:left w:val="single" w:sz="4" w:space="0" w:color="53565A" w:themeColor="accent1"/>
        <w:bottom w:val="single" w:sz="4" w:space="0" w:color="53565A" w:themeColor="accent1"/>
        <w:right w:val="single" w:sz="4" w:space="0" w:color="53565A" w:themeColor="accent1"/>
        <w:insideH w:val="single" w:sz="4" w:space="0" w:color="53565A" w:themeColor="accent1"/>
        <w:insideV w:val="single" w:sz="4" w:space="0" w:color="53565A" w:themeColor="accent1"/>
      </w:tblBorders>
      <w:tblCellMar>
        <w:left w:w="113" w:type="dxa"/>
        <w:right w:w="113" w:type="dxa"/>
      </w:tblCellMar>
    </w:tblPr>
    <w:trPr>
      <w:cantSplit/>
    </w:trPr>
    <w:tblStylePr w:type="firstRow">
      <w:pPr>
        <w:jc w:val="left"/>
      </w:pPr>
      <w:tblPr/>
      <w:trPr>
        <w:cantSplit w:val="0"/>
      </w:trPr>
      <w:tcPr>
        <w:tcBorders>
          <w:bottom w:val="single" w:sz="4" w:space="0" w:color="000000"/>
        </w:tcBorders>
        <w:vAlign w:val="bottom"/>
      </w:tcPr>
    </w:tblStylePr>
    <w:tblStylePr w:type="lastRow">
      <w:tblPr/>
      <w:tcPr>
        <w:tcBorders>
          <w:top w:val="single" w:sz="4" w:space="0" w:color="000000"/>
          <w:bottom w:val="single" w:sz="4" w:space="0" w:color="000000"/>
        </w:tcBorders>
      </w:tcPr>
    </w:tblStylePr>
    <w:tblStylePr w:type="band2Vert">
      <w:tblPr/>
      <w:tcPr>
        <w:shd w:val="clear" w:color="auto" w:fill="E7E6E6"/>
      </w:tcPr>
    </w:tblStylePr>
  </w:style>
  <w:style w:type="numbering" w:customStyle="1" w:styleId="ARnumberedparas2">
    <w:name w:val="AR numbered paras2"/>
    <w:rsid w:val="00B7380B"/>
  </w:style>
  <w:style w:type="paragraph" w:customStyle="1" w:styleId="LightList-Accent31">
    <w:name w:val="Light List - Accent 31"/>
    <w:hidden/>
    <w:uiPriority w:val="99"/>
    <w:semiHidden/>
    <w:rsid w:val="00946858"/>
    <w:pPr>
      <w:spacing w:after="120" w:line="264" w:lineRule="auto"/>
    </w:pPr>
    <w:rPr>
      <w:rFonts w:ascii="Arial" w:eastAsia="MS PGothic" w:hAnsi="Arial" w:cs="Arial"/>
      <w:sz w:val="24"/>
      <w:szCs w:val="24"/>
      <w:lang w:eastAsia="en-US"/>
    </w:rPr>
  </w:style>
  <w:style w:type="paragraph" w:customStyle="1" w:styleId="ARpublicationtitle">
    <w:name w:val="AR publication title"/>
    <w:link w:val="ARpublicationtitleChar"/>
    <w:uiPriority w:val="3"/>
    <w:qFormat/>
    <w:rsid w:val="006F79DE"/>
    <w:pPr>
      <w:spacing w:before="240" w:after="200" w:line="264" w:lineRule="auto"/>
    </w:pPr>
    <w:rPr>
      <w:rFonts w:ascii="Arial" w:eastAsia="MS Mincho" w:hAnsi="Arial" w:cstheme="minorBidi"/>
      <w:color w:val="201547" w:themeColor="text2"/>
      <w:sz w:val="50"/>
      <w:szCs w:val="50"/>
      <w:lang w:eastAsia="en-US"/>
    </w:rPr>
  </w:style>
  <w:style w:type="character" w:customStyle="1" w:styleId="ARpublicationtitleChar">
    <w:name w:val="AR publication title Char"/>
    <w:link w:val="ARpublicationtitle"/>
    <w:uiPriority w:val="3"/>
    <w:rsid w:val="00946858"/>
    <w:rPr>
      <w:rFonts w:ascii="Arial" w:eastAsia="MS Mincho" w:hAnsi="Arial" w:cstheme="minorBidi"/>
      <w:color w:val="201547" w:themeColor="text2"/>
      <w:sz w:val="50"/>
      <w:szCs w:val="50"/>
      <w:lang w:eastAsia="en-US"/>
    </w:rPr>
  </w:style>
  <w:style w:type="paragraph" w:customStyle="1" w:styleId="LightList-Accent311">
    <w:name w:val="Light List - Accent 31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
    <w:name w:val="Medium List 2 - Accent 21"/>
    <w:hidden/>
    <w:uiPriority w:val="99"/>
    <w:semiHidden/>
    <w:rsid w:val="00946858"/>
    <w:pPr>
      <w:spacing w:after="120" w:line="264" w:lineRule="auto"/>
    </w:pPr>
    <w:rPr>
      <w:rFonts w:ascii="Arial" w:eastAsia="MS PGothic" w:hAnsi="Arial" w:cs="Arial"/>
      <w:sz w:val="24"/>
      <w:szCs w:val="24"/>
      <w:lang w:eastAsia="en-US"/>
    </w:rPr>
  </w:style>
  <w:style w:type="numbering" w:customStyle="1" w:styleId="Tablefootnotes2">
    <w:name w:val="Table footnotes2"/>
    <w:uiPriority w:val="99"/>
    <w:rsid w:val="00B7380B"/>
  </w:style>
  <w:style w:type="paragraph" w:customStyle="1" w:styleId="MediumList2-Accent22">
    <w:name w:val="Medium List 2 - Accent 22"/>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
    <w:name w:val="Colorful Shading - Accent 11"/>
    <w:hidden/>
    <w:uiPriority w:val="99"/>
    <w:unhideWhenUsed/>
    <w:rsid w:val="00946858"/>
    <w:pPr>
      <w:spacing w:after="120" w:line="264" w:lineRule="auto"/>
    </w:pPr>
    <w:rPr>
      <w:rFonts w:ascii="Arial" w:eastAsia="MS PGothic" w:hAnsi="Arial" w:cs="Arial"/>
      <w:sz w:val="24"/>
      <w:szCs w:val="24"/>
      <w:lang w:eastAsia="en-US"/>
    </w:rPr>
  </w:style>
  <w:style w:type="character" w:customStyle="1" w:styleId="ListBulletChar">
    <w:name w:val="List Bullet Char"/>
    <w:basedOn w:val="DefaultParagraphFont"/>
    <w:link w:val="ListBullet"/>
    <w:uiPriority w:val="99"/>
    <w:semiHidden/>
    <w:rsid w:val="006F79DE"/>
    <w:rPr>
      <w:rFonts w:asciiTheme="minorHAnsi" w:eastAsiaTheme="minorHAnsi" w:hAnsiTheme="minorHAnsi" w:cstheme="minorBidi"/>
      <w:spacing w:val="2"/>
      <w:sz w:val="18"/>
      <w:szCs w:val="18"/>
    </w:rPr>
  </w:style>
  <w:style w:type="numbering" w:customStyle="1" w:styleId="Style22">
    <w:name w:val="Style22"/>
    <w:rsid w:val="00B7380B"/>
  </w:style>
  <w:style w:type="paragraph" w:customStyle="1" w:styleId="ColorfulShading-Accent12">
    <w:name w:val="Colorful Shading - Accent 12"/>
    <w:hidden/>
    <w:uiPriority w:val="99"/>
    <w:semiHidden/>
    <w:rsid w:val="00946858"/>
    <w:pPr>
      <w:spacing w:after="120" w:line="264" w:lineRule="auto"/>
    </w:pPr>
    <w:rPr>
      <w:rFonts w:ascii="Verdana" w:eastAsia="MS PGothic" w:hAnsi="Verdana" w:cs="Arial"/>
      <w:lang w:eastAsia="en-US"/>
    </w:rPr>
  </w:style>
  <w:style w:type="character" w:customStyle="1" w:styleId="Superscript">
    <w:name w:val="Superscript"/>
    <w:uiPriority w:val="99"/>
    <w:rsid w:val="00946858"/>
    <w:rPr>
      <w:vertAlign w:val="superscript"/>
    </w:rPr>
  </w:style>
  <w:style w:type="paragraph" w:customStyle="1" w:styleId="LightList-Accent312">
    <w:name w:val="Light List - Accent 312"/>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1">
    <w:name w:val="Light List - Accent 311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1">
    <w:name w:val="Medium List 2 - Accent 21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1">
    <w:name w:val="Medium List 2 - Accent 22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1">
    <w:name w:val="Colorful Shading - Accent 11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1">
    <w:name w:val="Colorful Shading - Accent 121"/>
    <w:hidden/>
    <w:uiPriority w:val="99"/>
    <w:semiHidden/>
    <w:rsid w:val="00946858"/>
    <w:pPr>
      <w:spacing w:after="120" w:line="264" w:lineRule="auto"/>
    </w:pPr>
    <w:rPr>
      <w:rFonts w:ascii="Verdana" w:eastAsia="MS PGothic" w:hAnsi="Verdana" w:cs="Arial"/>
      <w:lang w:eastAsia="en-US"/>
    </w:rPr>
  </w:style>
  <w:style w:type="paragraph" w:customStyle="1" w:styleId="LightList-Accent313">
    <w:name w:val="Light List - Accent 313"/>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2">
    <w:name w:val="Light List - Accent 311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2">
    <w:name w:val="Medium List 2 - Accent 21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2">
    <w:name w:val="Medium List 2 - Accent 222"/>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2">
    <w:name w:val="Colorful Shading - Accent 112"/>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2">
    <w:name w:val="Colorful Shading - Accent 122"/>
    <w:hidden/>
    <w:uiPriority w:val="99"/>
    <w:semiHidden/>
    <w:rsid w:val="00946858"/>
    <w:pPr>
      <w:spacing w:after="120" w:line="264" w:lineRule="auto"/>
    </w:pPr>
    <w:rPr>
      <w:rFonts w:ascii="Verdana" w:eastAsia="MS PGothic" w:hAnsi="Verdana" w:cs="Arial"/>
      <w:lang w:eastAsia="en-US"/>
    </w:rPr>
  </w:style>
  <w:style w:type="paragraph" w:customStyle="1" w:styleId="LightList-Accent3121">
    <w:name w:val="Light List - Accent 312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11">
    <w:name w:val="Light List - Accent 3111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11">
    <w:name w:val="Medium List 2 - Accent 211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11">
    <w:name w:val="Medium List 2 - Accent 221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11">
    <w:name w:val="Colorful Shading - Accent 111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11">
    <w:name w:val="Colorful Shading - Accent 1211"/>
    <w:hidden/>
    <w:uiPriority w:val="99"/>
    <w:semiHidden/>
    <w:rsid w:val="00946858"/>
    <w:pPr>
      <w:spacing w:after="120" w:line="264" w:lineRule="auto"/>
    </w:pPr>
    <w:rPr>
      <w:rFonts w:ascii="Verdana" w:eastAsia="MS PGothic" w:hAnsi="Verdana" w:cs="Arial"/>
      <w:lang w:eastAsia="en-US"/>
    </w:rPr>
  </w:style>
  <w:style w:type="paragraph" w:customStyle="1" w:styleId="LightList-Accent3131">
    <w:name w:val="Light List - Accent 313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21">
    <w:name w:val="Light List - Accent 3112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21">
    <w:name w:val="Medium List 2 - Accent 212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21">
    <w:name w:val="Medium List 2 - Accent 222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21">
    <w:name w:val="Colorful Shading - Accent 112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21">
    <w:name w:val="Colorful Shading - Accent 1221"/>
    <w:hidden/>
    <w:uiPriority w:val="99"/>
    <w:semiHidden/>
    <w:rsid w:val="00946858"/>
    <w:pPr>
      <w:spacing w:after="120" w:line="264" w:lineRule="auto"/>
    </w:pPr>
    <w:rPr>
      <w:rFonts w:ascii="Verdana" w:eastAsia="MS PGothic" w:hAnsi="Verdana" w:cs="Arial"/>
      <w:lang w:eastAsia="en-US"/>
    </w:rPr>
  </w:style>
  <w:style w:type="paragraph" w:styleId="MacroText">
    <w:name w:val="macro"/>
    <w:link w:val="MacroTextChar"/>
    <w:semiHidden/>
    <w:rsid w:val="00946858"/>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urier New" w:hAnsi="Courier New" w:cs="Courier New"/>
      <w:sz w:val="18"/>
      <w:lang w:val="en-GB" w:eastAsia="en-US"/>
    </w:rPr>
  </w:style>
  <w:style w:type="character" w:customStyle="1" w:styleId="MacroTextChar">
    <w:name w:val="Macro Text Char"/>
    <w:basedOn w:val="DefaultParagraphFont"/>
    <w:link w:val="MacroText"/>
    <w:semiHidden/>
    <w:rsid w:val="00946858"/>
    <w:rPr>
      <w:rFonts w:ascii="Courier New" w:hAnsi="Courier New" w:cs="Courier New"/>
      <w:sz w:val="18"/>
      <w:lang w:val="en-GB" w:eastAsia="en-US"/>
    </w:rPr>
  </w:style>
  <w:style w:type="paragraph" w:styleId="z-BottomofForm">
    <w:name w:val="HTML Bottom of Form"/>
    <w:basedOn w:val="Normal"/>
    <w:next w:val="Normal"/>
    <w:link w:val="z-BottomofFormChar"/>
    <w:hidden/>
    <w:rsid w:val="00946858"/>
    <w:pPr>
      <w:pBdr>
        <w:top w:val="single" w:sz="6" w:space="1" w:color="auto"/>
      </w:pBdr>
      <w:spacing w:after="0" w:line="260" w:lineRule="atLeast"/>
      <w:jc w:val="center"/>
    </w:pPr>
    <w:rPr>
      <w:rFonts w:cs="Arial"/>
      <w:vanish/>
      <w:sz w:val="16"/>
      <w:szCs w:val="16"/>
    </w:rPr>
  </w:style>
  <w:style w:type="character" w:customStyle="1" w:styleId="z-BottomofFormChar">
    <w:name w:val="z-Bottom of Form Char"/>
    <w:basedOn w:val="DefaultParagraphFont"/>
    <w:link w:val="z-BottomofForm"/>
    <w:rsid w:val="00946858"/>
    <w:rPr>
      <w:rFonts w:ascii="Arial" w:hAnsi="Arial" w:cs="Arial"/>
      <w:vanish/>
      <w:sz w:val="16"/>
      <w:szCs w:val="16"/>
      <w:lang w:eastAsia="en-US"/>
    </w:rPr>
  </w:style>
  <w:style w:type="paragraph" w:styleId="z-TopofForm">
    <w:name w:val="HTML Top of Form"/>
    <w:basedOn w:val="Normal"/>
    <w:next w:val="Normal"/>
    <w:link w:val="z-TopofFormChar"/>
    <w:hidden/>
    <w:rsid w:val="00946858"/>
    <w:pPr>
      <w:pBdr>
        <w:bottom w:val="single" w:sz="6" w:space="1" w:color="auto"/>
      </w:pBdr>
      <w:spacing w:after="0" w:line="260" w:lineRule="atLeast"/>
      <w:jc w:val="center"/>
    </w:pPr>
    <w:rPr>
      <w:rFonts w:cs="Arial"/>
      <w:vanish/>
      <w:sz w:val="16"/>
      <w:szCs w:val="16"/>
    </w:rPr>
  </w:style>
  <w:style w:type="character" w:customStyle="1" w:styleId="z-TopofFormChar">
    <w:name w:val="z-Top of Form Char"/>
    <w:basedOn w:val="DefaultParagraphFont"/>
    <w:link w:val="z-TopofForm"/>
    <w:rsid w:val="00946858"/>
    <w:rPr>
      <w:rFonts w:ascii="Arial" w:hAnsi="Arial" w:cs="Arial"/>
      <w:vanish/>
      <w:sz w:val="16"/>
      <w:szCs w:val="16"/>
      <w:lang w:eastAsia="en-US"/>
    </w:rPr>
  </w:style>
  <w:style w:type="paragraph" w:customStyle="1" w:styleId="LightList-Accent314">
    <w:name w:val="Light List - Accent 314"/>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3">
    <w:name w:val="Light List - Accent 3113"/>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3">
    <w:name w:val="Medium List 2 - Accent 213"/>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3">
    <w:name w:val="Medium List 2 - Accent 223"/>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3">
    <w:name w:val="Colorful Shading - Accent 113"/>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3">
    <w:name w:val="Colorful Shading - Accent 123"/>
    <w:hidden/>
    <w:uiPriority w:val="99"/>
    <w:semiHidden/>
    <w:rsid w:val="00946858"/>
    <w:pPr>
      <w:spacing w:after="120" w:line="264" w:lineRule="auto"/>
    </w:pPr>
    <w:rPr>
      <w:rFonts w:ascii="Verdana" w:eastAsia="MS PGothic" w:hAnsi="Verdana" w:cs="Arial"/>
      <w:lang w:eastAsia="en-US"/>
    </w:rPr>
  </w:style>
  <w:style w:type="paragraph" w:customStyle="1" w:styleId="LightList-Accent315">
    <w:name w:val="Light List - Accent 315"/>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4">
    <w:name w:val="Light List - Accent 3114"/>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4">
    <w:name w:val="Medium List 2 - Accent 214"/>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4">
    <w:name w:val="Medium List 2 - Accent 224"/>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4">
    <w:name w:val="Colorful Shading - Accent 114"/>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4">
    <w:name w:val="Colorful Shading - Accent 124"/>
    <w:hidden/>
    <w:uiPriority w:val="99"/>
    <w:semiHidden/>
    <w:rsid w:val="00946858"/>
    <w:pPr>
      <w:spacing w:after="120" w:line="264" w:lineRule="auto"/>
    </w:pPr>
    <w:rPr>
      <w:rFonts w:ascii="Verdana" w:eastAsia="MS PGothic" w:hAnsi="Verdana" w:cs="Arial"/>
      <w:lang w:eastAsia="en-US"/>
    </w:rPr>
  </w:style>
  <w:style w:type="numbering" w:customStyle="1" w:styleId="ZZBullets2">
    <w:name w:val="ZZ Bullets2"/>
    <w:rsid w:val="000557CC"/>
  </w:style>
  <w:style w:type="paragraph" w:customStyle="1" w:styleId="Heading4Grants">
    <w:name w:val="Heading 4 Grants"/>
    <w:basedOn w:val="Heading5"/>
    <w:uiPriority w:val="4"/>
    <w:qFormat/>
    <w:rsid w:val="00946858"/>
    <w:pPr>
      <w:spacing w:line="260" w:lineRule="atLeast"/>
      <w:outlineLvl w:val="3"/>
    </w:pPr>
    <w:rPr>
      <w:rFonts w:ascii="Arial" w:eastAsia="Times New Roman" w:hAnsi="Arial"/>
      <w:bCs w:val="0"/>
      <w:iCs w:val="0"/>
      <w:color w:val="53565A"/>
      <w:szCs w:val="24"/>
    </w:rPr>
  </w:style>
  <w:style w:type="numbering" w:customStyle="1" w:styleId="ZZNumbersdigit2">
    <w:name w:val="ZZ Numbers digit2"/>
    <w:rsid w:val="000557CC"/>
  </w:style>
  <w:style w:type="paragraph" w:customStyle="1" w:styleId="ARfintablebodyindent">
    <w:name w:val="AR fin table body indent"/>
    <w:basedOn w:val="ARfintablebody"/>
    <w:uiPriority w:val="3"/>
    <w:rsid w:val="00946858"/>
    <w:pPr>
      <w:ind w:left="227"/>
    </w:pPr>
  </w:style>
  <w:style w:type="paragraph" w:customStyle="1" w:styleId="ARfintablebody">
    <w:name w:val="AR fin table body"/>
    <w:uiPriority w:val="3"/>
    <w:qFormat/>
    <w:rsid w:val="00946858"/>
    <w:pPr>
      <w:suppressAutoHyphens/>
      <w:spacing w:before="40" w:after="20" w:line="264" w:lineRule="auto"/>
      <w:ind w:right="113"/>
    </w:pPr>
    <w:rPr>
      <w:rFonts w:ascii="Arial" w:eastAsia="MS Mincho" w:hAnsi="Arial" w:cs="Arial"/>
      <w:color w:val="000000"/>
      <w:sz w:val="18"/>
      <w:szCs w:val="16"/>
    </w:rPr>
  </w:style>
  <w:style w:type="paragraph" w:customStyle="1" w:styleId="ARfintablebodybold">
    <w:name w:val="AR fin table body bold"/>
    <w:basedOn w:val="ARfintablebody"/>
    <w:uiPriority w:val="3"/>
    <w:rsid w:val="00946858"/>
    <w:rPr>
      <w:rFonts w:cs="Arial-BoldMT"/>
      <w:b/>
      <w:bCs/>
    </w:rPr>
  </w:style>
  <w:style w:type="paragraph" w:customStyle="1" w:styleId="ARfintablefootnote">
    <w:name w:val="AR fin table footnote"/>
    <w:basedOn w:val="Normal"/>
    <w:uiPriority w:val="3"/>
    <w:qFormat/>
    <w:rsid w:val="00946858"/>
    <w:pPr>
      <w:spacing w:before="60" w:after="60" w:line="180" w:lineRule="atLeast"/>
    </w:pPr>
    <w:rPr>
      <w:color w:val="000000"/>
      <w:sz w:val="16"/>
      <w:szCs w:val="14"/>
    </w:rPr>
  </w:style>
  <w:style w:type="paragraph" w:customStyle="1" w:styleId="ARfintablebodyright">
    <w:name w:val="AR fin table body right"/>
    <w:basedOn w:val="ARfintablebody"/>
    <w:uiPriority w:val="3"/>
    <w:qFormat/>
    <w:rsid w:val="00946858"/>
    <w:pPr>
      <w:jc w:val="right"/>
    </w:pPr>
  </w:style>
  <w:style w:type="paragraph" w:customStyle="1" w:styleId="ARfintablefootnoteindent">
    <w:name w:val="AR fin table footnote indent"/>
    <w:link w:val="ARfintablefootnoteindentChar"/>
    <w:qFormat/>
    <w:rsid w:val="00946858"/>
    <w:pPr>
      <w:spacing w:before="40" w:after="40" w:line="180" w:lineRule="atLeast"/>
      <w:ind w:left="284" w:hanging="284"/>
    </w:pPr>
    <w:rPr>
      <w:rFonts w:ascii="Arial" w:eastAsia="MS PGothic" w:hAnsi="Arial" w:cs="Arial"/>
      <w:color w:val="000000"/>
      <w:sz w:val="16"/>
      <w:szCs w:val="14"/>
    </w:rPr>
  </w:style>
  <w:style w:type="character" w:customStyle="1" w:styleId="ARfintablefootnoteindentChar">
    <w:name w:val="AR fin table footnote indent Char"/>
    <w:link w:val="ARfintablefootnoteindent"/>
    <w:rsid w:val="00946858"/>
    <w:rPr>
      <w:rFonts w:ascii="Arial" w:eastAsia="MS PGothic" w:hAnsi="Arial" w:cs="Arial"/>
      <w:color w:val="000000"/>
      <w:sz w:val="16"/>
      <w:szCs w:val="14"/>
    </w:rPr>
  </w:style>
  <w:style w:type="paragraph" w:customStyle="1" w:styleId="ARfinbodyaftertable">
    <w:name w:val="AR fin body after table"/>
    <w:basedOn w:val="ARfintablebody"/>
    <w:uiPriority w:val="3"/>
    <w:qFormat/>
    <w:rsid w:val="00946858"/>
    <w:pPr>
      <w:spacing w:before="160" w:after="60"/>
    </w:pPr>
  </w:style>
  <w:style w:type="paragraph" w:customStyle="1" w:styleId="ARfintablebullet2">
    <w:name w:val="AR fin table bullet 2"/>
    <w:basedOn w:val="Normal"/>
    <w:uiPriority w:val="3"/>
    <w:rsid w:val="006F79DE"/>
    <w:pPr>
      <w:suppressAutoHyphens/>
      <w:spacing w:before="40" w:after="20" w:line="264" w:lineRule="auto"/>
      <w:ind w:right="113"/>
    </w:pPr>
    <w:rPr>
      <w:rFonts w:asciiTheme="minorHAnsi" w:eastAsia="MS Mincho" w:hAnsiTheme="minorHAnsi" w:cs="Arial"/>
      <w:color w:val="000000"/>
      <w:sz w:val="16"/>
      <w:szCs w:val="16"/>
      <w:lang w:eastAsia="en-AU"/>
    </w:rPr>
  </w:style>
  <w:style w:type="paragraph" w:customStyle="1" w:styleId="ARfintablebodyrightbold">
    <w:name w:val="AR fin table body right bold"/>
    <w:basedOn w:val="ARfintablebodyright"/>
    <w:uiPriority w:val="3"/>
    <w:rsid w:val="00946858"/>
    <w:rPr>
      <w:b/>
    </w:rPr>
  </w:style>
  <w:style w:type="paragraph" w:customStyle="1" w:styleId="ARfinbodylargespace">
    <w:name w:val="AR fin body large space"/>
    <w:basedOn w:val="ARfinbody"/>
    <w:uiPriority w:val="3"/>
    <w:qFormat/>
    <w:rsid w:val="00946858"/>
    <w:pPr>
      <w:suppressAutoHyphens/>
      <w:autoSpaceDE w:val="0"/>
      <w:autoSpaceDN w:val="0"/>
      <w:adjustRightInd w:val="0"/>
      <w:spacing w:after="160" w:line="264" w:lineRule="auto"/>
      <w:textAlignment w:val="center"/>
    </w:pPr>
    <w:rPr>
      <w:rFonts w:eastAsia="MS PGothic" w:cs="Arial"/>
      <w:color w:val="000000"/>
      <w:szCs w:val="16"/>
      <w:lang w:eastAsia="en-AU"/>
    </w:rPr>
  </w:style>
  <w:style w:type="paragraph" w:customStyle="1" w:styleId="ARfintablebodycentre">
    <w:name w:val="AR fin table body centre"/>
    <w:basedOn w:val="ARfintablebody"/>
    <w:uiPriority w:val="3"/>
    <w:rsid w:val="00946858"/>
    <w:pPr>
      <w:ind w:right="0"/>
      <w:jc w:val="center"/>
    </w:pPr>
  </w:style>
  <w:style w:type="character" w:customStyle="1" w:styleId="Subscript">
    <w:name w:val="Subscript"/>
    <w:basedOn w:val="DefaultParagraphFont"/>
    <w:uiPriority w:val="1"/>
    <w:rsid w:val="00946858"/>
    <w:rPr>
      <w:vertAlign w:val="subscript"/>
    </w:rPr>
  </w:style>
  <w:style w:type="paragraph" w:customStyle="1" w:styleId="Heading2Financials0">
    <w:name w:val="Heading 2 Financials"/>
    <w:basedOn w:val="Heading2"/>
    <w:uiPriority w:val="4"/>
    <w:rsid w:val="006F79DE"/>
    <w:pPr>
      <w:spacing w:line="480" w:lineRule="atLeast"/>
    </w:pPr>
    <w:rPr>
      <w:rFonts w:ascii="Arial" w:eastAsia="MS Gothic" w:hAnsi="Arial"/>
      <w:bCs/>
      <w:iCs/>
      <w:color w:val="BFBFBF" w:themeColor="accent2"/>
      <w:szCs w:val="40"/>
    </w:rPr>
  </w:style>
  <w:style w:type="paragraph" w:customStyle="1" w:styleId="ARfintablebodycentrebold">
    <w:name w:val="AR fin table body centre bold"/>
    <w:basedOn w:val="ARfintablebodybold"/>
    <w:uiPriority w:val="3"/>
    <w:rsid w:val="006F79DE"/>
  </w:style>
  <w:style w:type="paragraph" w:customStyle="1" w:styleId="Heading3Grants">
    <w:name w:val="Heading 3 Grants"/>
    <w:uiPriority w:val="4"/>
    <w:rsid w:val="006F79DE"/>
    <w:pPr>
      <w:keepNext/>
      <w:keepLines/>
      <w:spacing w:before="320" w:after="120"/>
      <w:outlineLvl w:val="2"/>
    </w:pPr>
    <w:rPr>
      <w:rFonts w:ascii="Arial" w:eastAsia="Times" w:hAnsi="Arial" w:cs="Arial"/>
      <w:b/>
      <w:color w:val="201547" w:themeColor="text2"/>
      <w:sz w:val="24"/>
      <w:szCs w:val="24"/>
    </w:rPr>
  </w:style>
  <w:style w:type="paragraph" w:customStyle="1" w:styleId="ARfintableboldsubhead">
    <w:name w:val="AR fin table bold subhead"/>
    <w:basedOn w:val="ARfintablebody"/>
    <w:uiPriority w:val="3"/>
    <w:rsid w:val="00946858"/>
    <w:pPr>
      <w:spacing w:before="160"/>
    </w:pPr>
    <w:rPr>
      <w:b/>
      <w:szCs w:val="18"/>
    </w:rPr>
  </w:style>
  <w:style w:type="paragraph" w:customStyle="1" w:styleId="ARfinbodyindent">
    <w:name w:val="AR fin body indent"/>
    <w:basedOn w:val="ARfinbody"/>
    <w:uiPriority w:val="2"/>
    <w:rsid w:val="00946858"/>
    <w:pPr>
      <w:suppressAutoHyphens/>
      <w:autoSpaceDE w:val="0"/>
      <w:autoSpaceDN w:val="0"/>
      <w:adjustRightInd w:val="0"/>
      <w:spacing w:line="264" w:lineRule="auto"/>
      <w:ind w:left="284"/>
      <w:textAlignment w:val="center"/>
    </w:pPr>
    <w:rPr>
      <w:rFonts w:eastAsia="MS PGothic" w:cs="ArialMT"/>
      <w:color w:val="000000"/>
      <w:szCs w:val="16"/>
      <w:lang w:eastAsia="en-AU"/>
    </w:rPr>
  </w:style>
  <w:style w:type="numbering" w:customStyle="1" w:styleId="ZZFinbullets2">
    <w:name w:val="ZZ Fin bullets2"/>
    <w:basedOn w:val="NoList"/>
    <w:rsid w:val="000557CC"/>
  </w:style>
  <w:style w:type="paragraph" w:customStyle="1" w:styleId="ARfooter">
    <w:name w:val="AR footer"/>
    <w:uiPriority w:val="3"/>
    <w:qFormat/>
    <w:rsid w:val="00946858"/>
    <w:pPr>
      <w:spacing w:line="264" w:lineRule="auto"/>
    </w:pPr>
    <w:rPr>
      <w:rFonts w:ascii="Arial" w:eastAsia="MS PGothic" w:hAnsi="Arial" w:cs="Arial"/>
      <w:sz w:val="18"/>
      <w:szCs w:val="24"/>
      <w:lang w:eastAsia="en-US"/>
    </w:rPr>
  </w:style>
  <w:style w:type="paragraph" w:customStyle="1" w:styleId="ARtablebluebold">
    <w:name w:val="AR table blue bold"/>
    <w:basedOn w:val="Normal"/>
    <w:uiPriority w:val="3"/>
    <w:qFormat/>
    <w:rsid w:val="00434684"/>
    <w:pPr>
      <w:spacing w:before="80" w:after="60" w:line="240" w:lineRule="auto"/>
    </w:pPr>
    <w:rPr>
      <w:rFonts w:eastAsia="Times" w:cs="Arial"/>
      <w:b/>
      <w:color w:val="201547" w:themeColor="text2"/>
      <w:sz w:val="18"/>
      <w:szCs w:val="18"/>
      <w:lang w:eastAsia="en-AU"/>
    </w:rPr>
  </w:style>
  <w:style w:type="paragraph" w:customStyle="1" w:styleId="LightList-Accent316">
    <w:name w:val="Light List - Accent 316"/>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5">
    <w:name w:val="Light List - Accent 3115"/>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5">
    <w:name w:val="Medium List 2 - Accent 215"/>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5">
    <w:name w:val="Medium List 2 - Accent 225"/>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5">
    <w:name w:val="Colorful Shading - Accent 115"/>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5">
    <w:name w:val="Colorful Shading - Accent 125"/>
    <w:hidden/>
    <w:uiPriority w:val="99"/>
    <w:semiHidden/>
    <w:rsid w:val="00946858"/>
    <w:pPr>
      <w:spacing w:after="120" w:line="264" w:lineRule="auto"/>
    </w:pPr>
    <w:rPr>
      <w:rFonts w:ascii="Verdana" w:eastAsia="MS PGothic" w:hAnsi="Verdana" w:cs="Arial"/>
      <w:lang w:eastAsia="en-US"/>
    </w:rPr>
  </w:style>
  <w:style w:type="paragraph" w:customStyle="1" w:styleId="LightList-Accent3122">
    <w:name w:val="Light List - Accent 3122"/>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12">
    <w:name w:val="Light List - Accent 3111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12">
    <w:name w:val="Medium List 2 - Accent 211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12">
    <w:name w:val="Medium List 2 - Accent 2212"/>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12">
    <w:name w:val="Colorful Shading - Accent 1112"/>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12">
    <w:name w:val="Colorful Shading - Accent 1212"/>
    <w:hidden/>
    <w:uiPriority w:val="99"/>
    <w:semiHidden/>
    <w:rsid w:val="00946858"/>
    <w:pPr>
      <w:spacing w:after="120" w:line="264" w:lineRule="auto"/>
    </w:pPr>
    <w:rPr>
      <w:rFonts w:ascii="Verdana" w:eastAsia="MS PGothic" w:hAnsi="Verdana" w:cs="Arial"/>
      <w:lang w:eastAsia="en-US"/>
    </w:rPr>
  </w:style>
  <w:style w:type="paragraph" w:customStyle="1" w:styleId="LightList-Accent3132">
    <w:name w:val="Light List - Accent 3132"/>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22">
    <w:name w:val="Light List - Accent 3112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22">
    <w:name w:val="Medium List 2 - Accent 212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22">
    <w:name w:val="Medium List 2 - Accent 2222"/>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22">
    <w:name w:val="Colorful Shading - Accent 1122"/>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22">
    <w:name w:val="Colorful Shading - Accent 1222"/>
    <w:hidden/>
    <w:uiPriority w:val="99"/>
    <w:semiHidden/>
    <w:rsid w:val="00946858"/>
    <w:pPr>
      <w:spacing w:after="120" w:line="264" w:lineRule="auto"/>
    </w:pPr>
    <w:rPr>
      <w:rFonts w:ascii="Verdana" w:eastAsia="MS PGothic" w:hAnsi="Verdana" w:cs="Arial"/>
      <w:lang w:eastAsia="en-US"/>
    </w:rPr>
  </w:style>
  <w:style w:type="paragraph" w:customStyle="1" w:styleId="LightList-Accent31211">
    <w:name w:val="Light List - Accent 3121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111">
    <w:name w:val="Light List - Accent 31111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111">
    <w:name w:val="Medium List 2 - Accent 2111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111">
    <w:name w:val="Medium List 2 - Accent 2211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111">
    <w:name w:val="Colorful Shading - Accent 1111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111">
    <w:name w:val="Colorful Shading - Accent 12111"/>
    <w:hidden/>
    <w:uiPriority w:val="99"/>
    <w:semiHidden/>
    <w:rsid w:val="00946858"/>
    <w:pPr>
      <w:spacing w:after="120" w:line="264" w:lineRule="auto"/>
    </w:pPr>
    <w:rPr>
      <w:rFonts w:ascii="Verdana" w:eastAsia="MS PGothic" w:hAnsi="Verdana" w:cs="Arial"/>
      <w:lang w:eastAsia="en-US"/>
    </w:rPr>
  </w:style>
  <w:style w:type="paragraph" w:customStyle="1" w:styleId="LightList-Accent31311">
    <w:name w:val="Light List - Accent 3131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211">
    <w:name w:val="Light List - Accent 31121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211">
    <w:name w:val="Medium List 2 - Accent 2121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211">
    <w:name w:val="Medium List 2 - Accent 2221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211">
    <w:name w:val="Colorful Shading - Accent 1121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211">
    <w:name w:val="Colorful Shading - Accent 12211"/>
    <w:hidden/>
    <w:uiPriority w:val="99"/>
    <w:semiHidden/>
    <w:rsid w:val="00946858"/>
    <w:pPr>
      <w:spacing w:after="120" w:line="264" w:lineRule="auto"/>
    </w:pPr>
    <w:rPr>
      <w:rFonts w:ascii="Verdana" w:eastAsia="MS PGothic" w:hAnsi="Verdana" w:cs="Arial"/>
      <w:lang w:eastAsia="en-US"/>
    </w:rPr>
  </w:style>
  <w:style w:type="paragraph" w:customStyle="1" w:styleId="LightList-Accent3141">
    <w:name w:val="Light List - Accent 314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31">
    <w:name w:val="Light List - Accent 3113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31">
    <w:name w:val="Medium List 2 - Accent 213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31">
    <w:name w:val="Medium List 2 - Accent 223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31">
    <w:name w:val="Colorful Shading - Accent 113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31">
    <w:name w:val="Colorful Shading - Accent 1231"/>
    <w:hidden/>
    <w:uiPriority w:val="99"/>
    <w:semiHidden/>
    <w:rsid w:val="00946858"/>
    <w:pPr>
      <w:spacing w:after="120" w:line="264" w:lineRule="auto"/>
    </w:pPr>
    <w:rPr>
      <w:rFonts w:ascii="Verdana" w:eastAsia="MS PGothic" w:hAnsi="Verdana" w:cs="Arial"/>
      <w:lang w:eastAsia="en-US"/>
    </w:rPr>
  </w:style>
  <w:style w:type="paragraph" w:customStyle="1" w:styleId="LightList-Accent3151">
    <w:name w:val="Light List - Accent 315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41">
    <w:name w:val="Light List - Accent 3114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41">
    <w:name w:val="Medium List 2 - Accent 214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41">
    <w:name w:val="Medium List 2 - Accent 224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41">
    <w:name w:val="Colorful Shading - Accent 114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41">
    <w:name w:val="Colorful Shading - Accent 1241"/>
    <w:hidden/>
    <w:uiPriority w:val="99"/>
    <w:semiHidden/>
    <w:rsid w:val="00946858"/>
    <w:pPr>
      <w:spacing w:after="120" w:line="264" w:lineRule="auto"/>
    </w:pPr>
    <w:rPr>
      <w:rFonts w:ascii="Verdana" w:eastAsia="MS PGothic" w:hAnsi="Verdana" w:cs="Arial"/>
      <w:lang w:eastAsia="en-US"/>
    </w:rPr>
  </w:style>
  <w:style w:type="paragraph" w:customStyle="1" w:styleId="LightList-Accent317">
    <w:name w:val="Light List - Accent 317"/>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6">
    <w:name w:val="Light List - Accent 3116"/>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6">
    <w:name w:val="Medium List 2 - Accent 216"/>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6">
    <w:name w:val="Medium List 2 - Accent 226"/>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6">
    <w:name w:val="Colorful Shading - Accent 116"/>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6">
    <w:name w:val="Colorful Shading - Accent 126"/>
    <w:hidden/>
    <w:uiPriority w:val="99"/>
    <w:semiHidden/>
    <w:rsid w:val="00946858"/>
    <w:pPr>
      <w:spacing w:after="120" w:line="264" w:lineRule="auto"/>
    </w:pPr>
    <w:rPr>
      <w:rFonts w:ascii="Verdana" w:eastAsia="MS PGothic" w:hAnsi="Verdana" w:cs="Arial"/>
      <w:lang w:eastAsia="en-US"/>
    </w:rPr>
  </w:style>
  <w:style w:type="paragraph" w:customStyle="1" w:styleId="LightList-Accent3123">
    <w:name w:val="Light List - Accent 3123"/>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13">
    <w:name w:val="Light List - Accent 31113"/>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13">
    <w:name w:val="Medium List 2 - Accent 2113"/>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13">
    <w:name w:val="Medium List 2 - Accent 2213"/>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13">
    <w:name w:val="Colorful Shading - Accent 1113"/>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13">
    <w:name w:val="Colorful Shading - Accent 1213"/>
    <w:hidden/>
    <w:uiPriority w:val="99"/>
    <w:semiHidden/>
    <w:rsid w:val="00946858"/>
    <w:pPr>
      <w:spacing w:after="120" w:line="264" w:lineRule="auto"/>
    </w:pPr>
    <w:rPr>
      <w:rFonts w:ascii="Verdana" w:eastAsia="MS PGothic" w:hAnsi="Verdana" w:cs="Arial"/>
      <w:lang w:eastAsia="en-US"/>
    </w:rPr>
  </w:style>
  <w:style w:type="paragraph" w:customStyle="1" w:styleId="LightList-Accent3133">
    <w:name w:val="Light List - Accent 3133"/>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23">
    <w:name w:val="Light List - Accent 31123"/>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23">
    <w:name w:val="Medium List 2 - Accent 2123"/>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23">
    <w:name w:val="Medium List 2 - Accent 2223"/>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23">
    <w:name w:val="Colorful Shading - Accent 1123"/>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23">
    <w:name w:val="Colorful Shading - Accent 1223"/>
    <w:hidden/>
    <w:uiPriority w:val="99"/>
    <w:semiHidden/>
    <w:rsid w:val="00946858"/>
    <w:pPr>
      <w:spacing w:after="120" w:line="264" w:lineRule="auto"/>
    </w:pPr>
    <w:rPr>
      <w:rFonts w:ascii="Verdana" w:eastAsia="MS PGothic" w:hAnsi="Verdana" w:cs="Arial"/>
      <w:lang w:eastAsia="en-US"/>
    </w:rPr>
  </w:style>
  <w:style w:type="paragraph" w:customStyle="1" w:styleId="LightList-Accent31212">
    <w:name w:val="Light List - Accent 31212"/>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112">
    <w:name w:val="Light List - Accent 31111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112">
    <w:name w:val="Medium List 2 - Accent 2111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112">
    <w:name w:val="Medium List 2 - Accent 22112"/>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112">
    <w:name w:val="Colorful Shading - Accent 11112"/>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112">
    <w:name w:val="Colorful Shading - Accent 12112"/>
    <w:hidden/>
    <w:uiPriority w:val="99"/>
    <w:semiHidden/>
    <w:rsid w:val="00946858"/>
    <w:pPr>
      <w:spacing w:after="120" w:line="264" w:lineRule="auto"/>
    </w:pPr>
    <w:rPr>
      <w:rFonts w:ascii="Verdana" w:eastAsia="MS PGothic" w:hAnsi="Verdana" w:cs="Arial"/>
      <w:lang w:eastAsia="en-US"/>
    </w:rPr>
  </w:style>
  <w:style w:type="paragraph" w:customStyle="1" w:styleId="LightList-Accent31312">
    <w:name w:val="Light List - Accent 31312"/>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212">
    <w:name w:val="Light List - Accent 31121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212">
    <w:name w:val="Medium List 2 - Accent 2121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212">
    <w:name w:val="Medium List 2 - Accent 22212"/>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212">
    <w:name w:val="Colorful Shading - Accent 11212"/>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212">
    <w:name w:val="Colorful Shading - Accent 12212"/>
    <w:hidden/>
    <w:uiPriority w:val="99"/>
    <w:semiHidden/>
    <w:rsid w:val="00946858"/>
    <w:pPr>
      <w:spacing w:after="120" w:line="264" w:lineRule="auto"/>
    </w:pPr>
    <w:rPr>
      <w:rFonts w:ascii="Verdana" w:eastAsia="MS PGothic" w:hAnsi="Verdana" w:cs="Arial"/>
      <w:lang w:eastAsia="en-US"/>
    </w:rPr>
  </w:style>
  <w:style w:type="paragraph" w:customStyle="1" w:styleId="LightList-Accent3142">
    <w:name w:val="Light List - Accent 3142"/>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32">
    <w:name w:val="Light List - Accent 3113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32">
    <w:name w:val="Medium List 2 - Accent 213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32">
    <w:name w:val="Medium List 2 - Accent 2232"/>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32">
    <w:name w:val="Colorful Shading - Accent 1132"/>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32">
    <w:name w:val="Colorful Shading - Accent 1232"/>
    <w:hidden/>
    <w:uiPriority w:val="99"/>
    <w:semiHidden/>
    <w:rsid w:val="00946858"/>
    <w:pPr>
      <w:spacing w:after="120" w:line="264" w:lineRule="auto"/>
    </w:pPr>
    <w:rPr>
      <w:rFonts w:ascii="Verdana" w:eastAsia="MS PGothic" w:hAnsi="Verdana" w:cs="Arial"/>
      <w:lang w:eastAsia="en-US"/>
    </w:rPr>
  </w:style>
  <w:style w:type="paragraph" w:customStyle="1" w:styleId="LightList-Accent3152">
    <w:name w:val="Light List - Accent 3152"/>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42">
    <w:name w:val="Light List - Accent 3114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42">
    <w:name w:val="Medium List 2 - Accent 214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42">
    <w:name w:val="Medium List 2 - Accent 2242"/>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42">
    <w:name w:val="Colorful Shading - Accent 1142"/>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42">
    <w:name w:val="Colorful Shading - Accent 1242"/>
    <w:hidden/>
    <w:uiPriority w:val="99"/>
    <w:semiHidden/>
    <w:rsid w:val="00946858"/>
    <w:pPr>
      <w:spacing w:after="120" w:line="264" w:lineRule="auto"/>
    </w:pPr>
    <w:rPr>
      <w:rFonts w:ascii="Verdana" w:eastAsia="MS PGothic" w:hAnsi="Verdana" w:cs="Arial"/>
      <w:lang w:eastAsia="en-US"/>
    </w:rPr>
  </w:style>
  <w:style w:type="paragraph" w:customStyle="1" w:styleId="LightList-Accent318">
    <w:name w:val="Light List - Accent 318"/>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7">
    <w:name w:val="Light List - Accent 3117"/>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7">
    <w:name w:val="Medium List 2 - Accent 217"/>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7">
    <w:name w:val="Medium List 2 - Accent 227"/>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7">
    <w:name w:val="Colorful Shading - Accent 117"/>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7">
    <w:name w:val="Colorful Shading - Accent 127"/>
    <w:hidden/>
    <w:uiPriority w:val="99"/>
    <w:semiHidden/>
    <w:rsid w:val="00946858"/>
    <w:pPr>
      <w:spacing w:after="120" w:line="264" w:lineRule="auto"/>
    </w:pPr>
    <w:rPr>
      <w:rFonts w:ascii="Verdana" w:eastAsia="MS PGothic" w:hAnsi="Verdana" w:cs="Arial"/>
      <w:lang w:eastAsia="en-US"/>
    </w:rPr>
  </w:style>
  <w:style w:type="paragraph" w:customStyle="1" w:styleId="LightList-Accent3124">
    <w:name w:val="Light List - Accent 3124"/>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14">
    <w:name w:val="Light List - Accent 31114"/>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14">
    <w:name w:val="Medium List 2 - Accent 2114"/>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14">
    <w:name w:val="Medium List 2 - Accent 2214"/>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14">
    <w:name w:val="Colorful Shading - Accent 1114"/>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14">
    <w:name w:val="Colorful Shading - Accent 1214"/>
    <w:hidden/>
    <w:uiPriority w:val="99"/>
    <w:semiHidden/>
    <w:rsid w:val="00946858"/>
    <w:pPr>
      <w:spacing w:after="120" w:line="264" w:lineRule="auto"/>
    </w:pPr>
    <w:rPr>
      <w:rFonts w:ascii="Verdana" w:eastAsia="MS PGothic" w:hAnsi="Verdana" w:cs="Arial"/>
      <w:lang w:eastAsia="en-US"/>
    </w:rPr>
  </w:style>
  <w:style w:type="paragraph" w:customStyle="1" w:styleId="LightList-Accent3134">
    <w:name w:val="Light List - Accent 3134"/>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24">
    <w:name w:val="Light List - Accent 31124"/>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24">
    <w:name w:val="Medium List 2 - Accent 2124"/>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24">
    <w:name w:val="Medium List 2 - Accent 2224"/>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24">
    <w:name w:val="Colorful Shading - Accent 1124"/>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24">
    <w:name w:val="Colorful Shading - Accent 1224"/>
    <w:hidden/>
    <w:uiPriority w:val="99"/>
    <w:semiHidden/>
    <w:rsid w:val="00946858"/>
    <w:pPr>
      <w:spacing w:after="120" w:line="264" w:lineRule="auto"/>
    </w:pPr>
    <w:rPr>
      <w:rFonts w:ascii="Verdana" w:eastAsia="MS PGothic" w:hAnsi="Verdana" w:cs="Arial"/>
      <w:lang w:eastAsia="en-US"/>
    </w:rPr>
  </w:style>
  <w:style w:type="paragraph" w:customStyle="1" w:styleId="LightList-Accent31213">
    <w:name w:val="Light List - Accent 31213"/>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113">
    <w:name w:val="Light List - Accent 311113"/>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113">
    <w:name w:val="Medium List 2 - Accent 21113"/>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113">
    <w:name w:val="Medium List 2 - Accent 22113"/>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113">
    <w:name w:val="Colorful Shading - Accent 11113"/>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113">
    <w:name w:val="Colorful Shading - Accent 12113"/>
    <w:hidden/>
    <w:uiPriority w:val="99"/>
    <w:semiHidden/>
    <w:rsid w:val="00946858"/>
    <w:pPr>
      <w:spacing w:after="120" w:line="264" w:lineRule="auto"/>
    </w:pPr>
    <w:rPr>
      <w:rFonts w:ascii="Verdana" w:eastAsia="MS PGothic" w:hAnsi="Verdana" w:cs="Arial"/>
      <w:lang w:eastAsia="en-US"/>
    </w:rPr>
  </w:style>
  <w:style w:type="paragraph" w:customStyle="1" w:styleId="LightList-Accent31313">
    <w:name w:val="Light List - Accent 31313"/>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213">
    <w:name w:val="Light List - Accent 311213"/>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213">
    <w:name w:val="Medium List 2 - Accent 21213"/>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213">
    <w:name w:val="Medium List 2 - Accent 22213"/>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213">
    <w:name w:val="Colorful Shading - Accent 11213"/>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213">
    <w:name w:val="Colorful Shading - Accent 12213"/>
    <w:hidden/>
    <w:uiPriority w:val="99"/>
    <w:semiHidden/>
    <w:rsid w:val="00946858"/>
    <w:pPr>
      <w:spacing w:after="120" w:line="264" w:lineRule="auto"/>
    </w:pPr>
    <w:rPr>
      <w:rFonts w:ascii="Verdana" w:eastAsia="MS PGothic" w:hAnsi="Verdana" w:cs="Arial"/>
      <w:lang w:eastAsia="en-US"/>
    </w:rPr>
  </w:style>
  <w:style w:type="paragraph" w:customStyle="1" w:styleId="LightList-Accent3143">
    <w:name w:val="Light List - Accent 3143"/>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33">
    <w:name w:val="Light List - Accent 31133"/>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33">
    <w:name w:val="Medium List 2 - Accent 2133"/>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33">
    <w:name w:val="Medium List 2 - Accent 2233"/>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33">
    <w:name w:val="Colorful Shading - Accent 1133"/>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33">
    <w:name w:val="Colorful Shading - Accent 1233"/>
    <w:hidden/>
    <w:uiPriority w:val="99"/>
    <w:semiHidden/>
    <w:rsid w:val="00946858"/>
    <w:pPr>
      <w:spacing w:after="120" w:line="264" w:lineRule="auto"/>
    </w:pPr>
    <w:rPr>
      <w:rFonts w:ascii="Verdana" w:eastAsia="MS PGothic" w:hAnsi="Verdana" w:cs="Arial"/>
      <w:lang w:eastAsia="en-US"/>
    </w:rPr>
  </w:style>
  <w:style w:type="paragraph" w:customStyle="1" w:styleId="LightList-Accent3153">
    <w:name w:val="Light List - Accent 3153"/>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43">
    <w:name w:val="Light List - Accent 31143"/>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43">
    <w:name w:val="Medium List 2 - Accent 2143"/>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43">
    <w:name w:val="Medium List 2 - Accent 2243"/>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43">
    <w:name w:val="Colorful Shading - Accent 1143"/>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43">
    <w:name w:val="Colorful Shading - Accent 1243"/>
    <w:hidden/>
    <w:uiPriority w:val="99"/>
    <w:semiHidden/>
    <w:rsid w:val="00946858"/>
    <w:pPr>
      <w:spacing w:after="120" w:line="264" w:lineRule="auto"/>
    </w:pPr>
    <w:rPr>
      <w:rFonts w:ascii="Verdana" w:eastAsia="MS PGothic" w:hAnsi="Verdana" w:cs="Arial"/>
      <w:lang w:eastAsia="en-US"/>
    </w:rPr>
  </w:style>
  <w:style w:type="paragraph" w:customStyle="1" w:styleId="LightList-Accent3161">
    <w:name w:val="Light List - Accent 316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51">
    <w:name w:val="Light List - Accent 3115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51">
    <w:name w:val="Medium List 2 - Accent 215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51">
    <w:name w:val="Medium List 2 - Accent 225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51">
    <w:name w:val="Colorful Shading - Accent 115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51">
    <w:name w:val="Colorful Shading - Accent 1251"/>
    <w:hidden/>
    <w:uiPriority w:val="99"/>
    <w:semiHidden/>
    <w:rsid w:val="00946858"/>
    <w:pPr>
      <w:spacing w:after="120" w:line="264" w:lineRule="auto"/>
    </w:pPr>
    <w:rPr>
      <w:rFonts w:ascii="Verdana" w:eastAsia="MS PGothic" w:hAnsi="Verdana" w:cs="Arial"/>
      <w:lang w:eastAsia="en-US"/>
    </w:rPr>
  </w:style>
  <w:style w:type="paragraph" w:customStyle="1" w:styleId="LightList-Accent31221">
    <w:name w:val="Light List - Accent 3122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121">
    <w:name w:val="Light List - Accent 31112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121">
    <w:name w:val="Medium List 2 - Accent 2112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121">
    <w:name w:val="Medium List 2 - Accent 2212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121">
    <w:name w:val="Colorful Shading - Accent 1112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121">
    <w:name w:val="Colorful Shading - Accent 12121"/>
    <w:hidden/>
    <w:uiPriority w:val="99"/>
    <w:semiHidden/>
    <w:rsid w:val="00946858"/>
    <w:pPr>
      <w:spacing w:after="120" w:line="264" w:lineRule="auto"/>
    </w:pPr>
    <w:rPr>
      <w:rFonts w:ascii="Verdana" w:eastAsia="MS PGothic" w:hAnsi="Verdana" w:cs="Arial"/>
      <w:lang w:eastAsia="en-US"/>
    </w:rPr>
  </w:style>
  <w:style w:type="paragraph" w:customStyle="1" w:styleId="LightList-Accent31321">
    <w:name w:val="Light List - Accent 3132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221">
    <w:name w:val="Light List - Accent 31122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221">
    <w:name w:val="Medium List 2 - Accent 2122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221">
    <w:name w:val="Medium List 2 - Accent 2222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221">
    <w:name w:val="Colorful Shading - Accent 1122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221">
    <w:name w:val="Colorful Shading - Accent 12221"/>
    <w:hidden/>
    <w:uiPriority w:val="99"/>
    <w:semiHidden/>
    <w:rsid w:val="00946858"/>
    <w:pPr>
      <w:spacing w:after="120" w:line="264" w:lineRule="auto"/>
    </w:pPr>
    <w:rPr>
      <w:rFonts w:ascii="Verdana" w:eastAsia="MS PGothic" w:hAnsi="Verdana" w:cs="Arial"/>
      <w:lang w:eastAsia="en-US"/>
    </w:rPr>
  </w:style>
  <w:style w:type="paragraph" w:customStyle="1" w:styleId="LightList-Accent312111">
    <w:name w:val="Light List - Accent 31211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1111">
    <w:name w:val="Light List - Accent 311111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1111">
    <w:name w:val="Medium List 2 - Accent 21111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1111">
    <w:name w:val="Medium List 2 - Accent 22111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1111">
    <w:name w:val="Colorful Shading - Accent 11111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1111">
    <w:name w:val="Colorful Shading - Accent 121111"/>
    <w:hidden/>
    <w:uiPriority w:val="99"/>
    <w:semiHidden/>
    <w:rsid w:val="00946858"/>
    <w:pPr>
      <w:spacing w:after="120" w:line="264" w:lineRule="auto"/>
    </w:pPr>
    <w:rPr>
      <w:rFonts w:ascii="Verdana" w:eastAsia="MS PGothic" w:hAnsi="Verdana" w:cs="Arial"/>
      <w:lang w:eastAsia="en-US"/>
    </w:rPr>
  </w:style>
  <w:style w:type="paragraph" w:customStyle="1" w:styleId="LightList-Accent313111">
    <w:name w:val="Light List - Accent 31311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2111">
    <w:name w:val="Light List - Accent 311211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2111">
    <w:name w:val="Medium List 2 - Accent 21211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2111">
    <w:name w:val="Medium List 2 - Accent 22211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2111">
    <w:name w:val="Colorful Shading - Accent 11211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2111">
    <w:name w:val="Colorful Shading - Accent 122111"/>
    <w:hidden/>
    <w:uiPriority w:val="99"/>
    <w:semiHidden/>
    <w:rsid w:val="00946858"/>
    <w:pPr>
      <w:spacing w:after="120" w:line="264" w:lineRule="auto"/>
    </w:pPr>
    <w:rPr>
      <w:rFonts w:ascii="Verdana" w:eastAsia="MS PGothic" w:hAnsi="Verdana" w:cs="Arial"/>
      <w:lang w:eastAsia="en-US"/>
    </w:rPr>
  </w:style>
  <w:style w:type="paragraph" w:customStyle="1" w:styleId="LightList-Accent31411">
    <w:name w:val="Light List - Accent 3141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311">
    <w:name w:val="Light List - Accent 31131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311">
    <w:name w:val="Medium List 2 - Accent 2131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311">
    <w:name w:val="Medium List 2 - Accent 2231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311">
    <w:name w:val="Colorful Shading - Accent 1131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311">
    <w:name w:val="Colorful Shading - Accent 12311"/>
    <w:hidden/>
    <w:uiPriority w:val="99"/>
    <w:semiHidden/>
    <w:rsid w:val="00946858"/>
    <w:pPr>
      <w:spacing w:after="120" w:line="264" w:lineRule="auto"/>
    </w:pPr>
    <w:rPr>
      <w:rFonts w:ascii="Verdana" w:eastAsia="MS PGothic" w:hAnsi="Verdana" w:cs="Arial"/>
      <w:lang w:eastAsia="en-US"/>
    </w:rPr>
  </w:style>
  <w:style w:type="paragraph" w:customStyle="1" w:styleId="LightList-Accent31511">
    <w:name w:val="Light List - Accent 3151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411">
    <w:name w:val="Light List - Accent 31141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411">
    <w:name w:val="Medium List 2 - Accent 2141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411">
    <w:name w:val="Medium List 2 - Accent 2241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411">
    <w:name w:val="Colorful Shading - Accent 1141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411">
    <w:name w:val="Colorful Shading - Accent 12411"/>
    <w:hidden/>
    <w:uiPriority w:val="99"/>
    <w:semiHidden/>
    <w:rsid w:val="00946858"/>
    <w:pPr>
      <w:spacing w:after="120" w:line="264" w:lineRule="auto"/>
    </w:pPr>
    <w:rPr>
      <w:rFonts w:ascii="Verdana" w:eastAsia="MS PGothic" w:hAnsi="Verdana" w:cs="Arial"/>
      <w:lang w:eastAsia="en-US"/>
    </w:rPr>
  </w:style>
  <w:style w:type="paragraph" w:customStyle="1" w:styleId="LightList-Accent319">
    <w:name w:val="Light List - Accent 319"/>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8">
    <w:name w:val="Light List - Accent 3118"/>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8">
    <w:name w:val="Medium List 2 - Accent 218"/>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8">
    <w:name w:val="Medium List 2 - Accent 228"/>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8">
    <w:name w:val="Colorful Shading - Accent 118"/>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8">
    <w:name w:val="Colorful Shading - Accent 128"/>
    <w:hidden/>
    <w:uiPriority w:val="99"/>
    <w:semiHidden/>
    <w:rsid w:val="00946858"/>
    <w:pPr>
      <w:spacing w:after="120" w:line="264" w:lineRule="auto"/>
    </w:pPr>
    <w:rPr>
      <w:rFonts w:ascii="Verdana" w:eastAsia="MS PGothic" w:hAnsi="Verdana" w:cs="Arial"/>
      <w:lang w:eastAsia="en-US"/>
    </w:rPr>
  </w:style>
  <w:style w:type="paragraph" w:customStyle="1" w:styleId="LightList-Accent3125">
    <w:name w:val="Light List - Accent 3125"/>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15">
    <w:name w:val="Light List - Accent 31115"/>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15">
    <w:name w:val="Medium List 2 - Accent 2115"/>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15">
    <w:name w:val="Medium List 2 - Accent 2215"/>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15">
    <w:name w:val="Colorful Shading - Accent 1115"/>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15">
    <w:name w:val="Colorful Shading - Accent 1215"/>
    <w:hidden/>
    <w:uiPriority w:val="99"/>
    <w:semiHidden/>
    <w:rsid w:val="00946858"/>
    <w:pPr>
      <w:spacing w:after="120" w:line="264" w:lineRule="auto"/>
    </w:pPr>
    <w:rPr>
      <w:rFonts w:ascii="Verdana" w:eastAsia="MS PGothic" w:hAnsi="Verdana" w:cs="Arial"/>
      <w:lang w:eastAsia="en-US"/>
    </w:rPr>
  </w:style>
  <w:style w:type="paragraph" w:customStyle="1" w:styleId="LightList-Accent3135">
    <w:name w:val="Light List - Accent 3135"/>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25">
    <w:name w:val="Light List - Accent 31125"/>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25">
    <w:name w:val="Medium List 2 - Accent 2125"/>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25">
    <w:name w:val="Medium List 2 - Accent 2225"/>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25">
    <w:name w:val="Colorful Shading - Accent 1125"/>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25">
    <w:name w:val="Colorful Shading - Accent 1225"/>
    <w:hidden/>
    <w:uiPriority w:val="99"/>
    <w:semiHidden/>
    <w:rsid w:val="00946858"/>
    <w:pPr>
      <w:spacing w:after="120" w:line="264" w:lineRule="auto"/>
    </w:pPr>
    <w:rPr>
      <w:rFonts w:ascii="Verdana" w:eastAsia="MS PGothic" w:hAnsi="Verdana" w:cs="Arial"/>
      <w:lang w:eastAsia="en-US"/>
    </w:rPr>
  </w:style>
  <w:style w:type="paragraph" w:customStyle="1" w:styleId="LightList-Accent31214">
    <w:name w:val="Light List - Accent 31214"/>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114">
    <w:name w:val="Light List - Accent 311114"/>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114">
    <w:name w:val="Medium List 2 - Accent 21114"/>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114">
    <w:name w:val="Medium List 2 - Accent 22114"/>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114">
    <w:name w:val="Colorful Shading - Accent 11114"/>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114">
    <w:name w:val="Colorful Shading - Accent 12114"/>
    <w:hidden/>
    <w:uiPriority w:val="99"/>
    <w:semiHidden/>
    <w:rsid w:val="00946858"/>
    <w:pPr>
      <w:spacing w:after="120" w:line="264" w:lineRule="auto"/>
    </w:pPr>
    <w:rPr>
      <w:rFonts w:ascii="Verdana" w:eastAsia="MS PGothic" w:hAnsi="Verdana" w:cs="Arial"/>
      <w:lang w:eastAsia="en-US"/>
    </w:rPr>
  </w:style>
  <w:style w:type="paragraph" w:customStyle="1" w:styleId="LightList-Accent31314">
    <w:name w:val="Light List - Accent 31314"/>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214">
    <w:name w:val="Light List - Accent 311214"/>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214">
    <w:name w:val="Medium List 2 - Accent 21214"/>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214">
    <w:name w:val="Medium List 2 - Accent 22214"/>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214">
    <w:name w:val="Colorful Shading - Accent 11214"/>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214">
    <w:name w:val="Colorful Shading - Accent 12214"/>
    <w:hidden/>
    <w:uiPriority w:val="99"/>
    <w:semiHidden/>
    <w:rsid w:val="00946858"/>
    <w:pPr>
      <w:spacing w:after="120" w:line="264" w:lineRule="auto"/>
    </w:pPr>
    <w:rPr>
      <w:rFonts w:ascii="Verdana" w:eastAsia="MS PGothic" w:hAnsi="Verdana" w:cs="Arial"/>
      <w:lang w:eastAsia="en-US"/>
    </w:rPr>
  </w:style>
  <w:style w:type="paragraph" w:customStyle="1" w:styleId="LightList-Accent3144">
    <w:name w:val="Light List - Accent 3144"/>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34">
    <w:name w:val="Light List - Accent 31134"/>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34">
    <w:name w:val="Medium List 2 - Accent 2134"/>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34">
    <w:name w:val="Medium List 2 - Accent 2234"/>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34">
    <w:name w:val="Colorful Shading - Accent 1134"/>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34">
    <w:name w:val="Colorful Shading - Accent 1234"/>
    <w:hidden/>
    <w:uiPriority w:val="99"/>
    <w:semiHidden/>
    <w:rsid w:val="00946858"/>
    <w:pPr>
      <w:spacing w:after="120" w:line="264" w:lineRule="auto"/>
    </w:pPr>
    <w:rPr>
      <w:rFonts w:ascii="Verdana" w:eastAsia="MS PGothic" w:hAnsi="Verdana" w:cs="Arial"/>
      <w:lang w:eastAsia="en-US"/>
    </w:rPr>
  </w:style>
  <w:style w:type="paragraph" w:customStyle="1" w:styleId="LightList-Accent3154">
    <w:name w:val="Light List - Accent 3154"/>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44">
    <w:name w:val="Light List - Accent 31144"/>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44">
    <w:name w:val="Medium List 2 - Accent 2144"/>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44">
    <w:name w:val="Medium List 2 - Accent 2244"/>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44">
    <w:name w:val="Colorful Shading - Accent 1144"/>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44">
    <w:name w:val="Colorful Shading - Accent 1244"/>
    <w:hidden/>
    <w:uiPriority w:val="99"/>
    <w:semiHidden/>
    <w:rsid w:val="00946858"/>
    <w:pPr>
      <w:spacing w:after="120" w:line="264" w:lineRule="auto"/>
    </w:pPr>
    <w:rPr>
      <w:rFonts w:ascii="Verdana" w:eastAsia="MS PGothic" w:hAnsi="Verdana" w:cs="Arial"/>
      <w:lang w:eastAsia="en-US"/>
    </w:rPr>
  </w:style>
  <w:style w:type="paragraph" w:customStyle="1" w:styleId="LightList-Accent3162">
    <w:name w:val="Light List - Accent 3162"/>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52">
    <w:name w:val="Light List - Accent 3115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52">
    <w:name w:val="Medium List 2 - Accent 215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52">
    <w:name w:val="Medium List 2 - Accent 2252"/>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52">
    <w:name w:val="Colorful Shading - Accent 1152"/>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52">
    <w:name w:val="Colorful Shading - Accent 1252"/>
    <w:hidden/>
    <w:uiPriority w:val="99"/>
    <w:semiHidden/>
    <w:rsid w:val="00946858"/>
    <w:pPr>
      <w:spacing w:after="120" w:line="264" w:lineRule="auto"/>
    </w:pPr>
    <w:rPr>
      <w:rFonts w:ascii="Verdana" w:eastAsia="MS PGothic" w:hAnsi="Verdana" w:cs="Arial"/>
      <w:lang w:eastAsia="en-US"/>
    </w:rPr>
  </w:style>
  <w:style w:type="paragraph" w:customStyle="1" w:styleId="LightList-Accent31222">
    <w:name w:val="Light List - Accent 31222"/>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122">
    <w:name w:val="Light List - Accent 31112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122">
    <w:name w:val="Medium List 2 - Accent 2112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122">
    <w:name w:val="Medium List 2 - Accent 22122"/>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122">
    <w:name w:val="Colorful Shading - Accent 11122"/>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122">
    <w:name w:val="Colorful Shading - Accent 12122"/>
    <w:hidden/>
    <w:uiPriority w:val="99"/>
    <w:semiHidden/>
    <w:rsid w:val="00946858"/>
    <w:pPr>
      <w:spacing w:after="120" w:line="264" w:lineRule="auto"/>
    </w:pPr>
    <w:rPr>
      <w:rFonts w:ascii="Verdana" w:eastAsia="MS PGothic" w:hAnsi="Verdana" w:cs="Arial"/>
      <w:lang w:eastAsia="en-US"/>
    </w:rPr>
  </w:style>
  <w:style w:type="paragraph" w:customStyle="1" w:styleId="LightList-Accent31322">
    <w:name w:val="Light List - Accent 31322"/>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222">
    <w:name w:val="Light List - Accent 31122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222">
    <w:name w:val="Medium List 2 - Accent 2122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222">
    <w:name w:val="Medium List 2 - Accent 22222"/>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222">
    <w:name w:val="Colorful Shading - Accent 11222"/>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222">
    <w:name w:val="Colorful Shading - Accent 12222"/>
    <w:hidden/>
    <w:uiPriority w:val="99"/>
    <w:semiHidden/>
    <w:rsid w:val="00946858"/>
    <w:pPr>
      <w:spacing w:after="120" w:line="264" w:lineRule="auto"/>
    </w:pPr>
    <w:rPr>
      <w:rFonts w:ascii="Verdana" w:eastAsia="MS PGothic" w:hAnsi="Verdana" w:cs="Arial"/>
      <w:lang w:eastAsia="en-US"/>
    </w:rPr>
  </w:style>
  <w:style w:type="paragraph" w:customStyle="1" w:styleId="LightList-Accent312112">
    <w:name w:val="Light List - Accent 312112"/>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1112">
    <w:name w:val="Light List - Accent 311111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1112">
    <w:name w:val="Medium List 2 - Accent 21111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1112">
    <w:name w:val="Medium List 2 - Accent 221112"/>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1112">
    <w:name w:val="Colorful Shading - Accent 111112"/>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1112">
    <w:name w:val="Colorful Shading - Accent 121112"/>
    <w:hidden/>
    <w:uiPriority w:val="99"/>
    <w:semiHidden/>
    <w:rsid w:val="00946858"/>
    <w:pPr>
      <w:spacing w:after="120" w:line="264" w:lineRule="auto"/>
    </w:pPr>
    <w:rPr>
      <w:rFonts w:ascii="Verdana" w:eastAsia="MS PGothic" w:hAnsi="Verdana" w:cs="Arial"/>
      <w:lang w:eastAsia="en-US"/>
    </w:rPr>
  </w:style>
  <w:style w:type="paragraph" w:customStyle="1" w:styleId="LightList-Accent313112">
    <w:name w:val="Light List - Accent 313112"/>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2112">
    <w:name w:val="Light List - Accent 311211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2112">
    <w:name w:val="Medium List 2 - Accent 21211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2112">
    <w:name w:val="Medium List 2 - Accent 222112"/>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2112">
    <w:name w:val="Colorful Shading - Accent 112112"/>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2112">
    <w:name w:val="Colorful Shading - Accent 122112"/>
    <w:hidden/>
    <w:uiPriority w:val="99"/>
    <w:semiHidden/>
    <w:rsid w:val="00946858"/>
    <w:pPr>
      <w:spacing w:after="120" w:line="264" w:lineRule="auto"/>
    </w:pPr>
    <w:rPr>
      <w:rFonts w:ascii="Verdana" w:eastAsia="MS PGothic" w:hAnsi="Verdana" w:cs="Arial"/>
      <w:lang w:eastAsia="en-US"/>
    </w:rPr>
  </w:style>
  <w:style w:type="paragraph" w:customStyle="1" w:styleId="LightList-Accent31412">
    <w:name w:val="Light List - Accent 31412"/>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312">
    <w:name w:val="Light List - Accent 31131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312">
    <w:name w:val="Medium List 2 - Accent 2131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312">
    <w:name w:val="Medium List 2 - Accent 22312"/>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312">
    <w:name w:val="Colorful Shading - Accent 11312"/>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312">
    <w:name w:val="Colorful Shading - Accent 12312"/>
    <w:hidden/>
    <w:uiPriority w:val="99"/>
    <w:semiHidden/>
    <w:rsid w:val="00946858"/>
    <w:pPr>
      <w:spacing w:after="120" w:line="264" w:lineRule="auto"/>
    </w:pPr>
    <w:rPr>
      <w:rFonts w:ascii="Verdana" w:eastAsia="MS PGothic" w:hAnsi="Verdana" w:cs="Arial"/>
      <w:lang w:eastAsia="en-US"/>
    </w:rPr>
  </w:style>
  <w:style w:type="paragraph" w:customStyle="1" w:styleId="LightList-Accent31512">
    <w:name w:val="Light List - Accent 31512"/>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412">
    <w:name w:val="Light List - Accent 31141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412">
    <w:name w:val="Medium List 2 - Accent 21412"/>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412">
    <w:name w:val="Medium List 2 - Accent 22412"/>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412">
    <w:name w:val="Colorful Shading - Accent 11412"/>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412">
    <w:name w:val="Colorful Shading - Accent 12412"/>
    <w:hidden/>
    <w:uiPriority w:val="99"/>
    <w:semiHidden/>
    <w:rsid w:val="00946858"/>
    <w:pPr>
      <w:spacing w:after="120" w:line="264" w:lineRule="auto"/>
    </w:pPr>
    <w:rPr>
      <w:rFonts w:ascii="Verdana" w:eastAsia="MS PGothic" w:hAnsi="Verdana" w:cs="Arial"/>
      <w:lang w:eastAsia="en-US"/>
    </w:rPr>
  </w:style>
  <w:style w:type="paragraph" w:customStyle="1" w:styleId="LightList-Accent3171">
    <w:name w:val="Light List - Accent 317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61">
    <w:name w:val="Light List - Accent 3116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61">
    <w:name w:val="Medium List 2 - Accent 216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61">
    <w:name w:val="Medium List 2 - Accent 226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61">
    <w:name w:val="Colorful Shading - Accent 116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61">
    <w:name w:val="Colorful Shading - Accent 1261"/>
    <w:hidden/>
    <w:uiPriority w:val="99"/>
    <w:semiHidden/>
    <w:rsid w:val="00946858"/>
    <w:pPr>
      <w:spacing w:after="120" w:line="264" w:lineRule="auto"/>
    </w:pPr>
    <w:rPr>
      <w:rFonts w:ascii="Verdana" w:eastAsia="MS PGothic" w:hAnsi="Verdana" w:cs="Arial"/>
      <w:lang w:eastAsia="en-US"/>
    </w:rPr>
  </w:style>
  <w:style w:type="paragraph" w:customStyle="1" w:styleId="LightList-Accent31231">
    <w:name w:val="Light List - Accent 3123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131">
    <w:name w:val="Light List - Accent 31113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131">
    <w:name w:val="Medium List 2 - Accent 2113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131">
    <w:name w:val="Medium List 2 - Accent 2213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131">
    <w:name w:val="Colorful Shading - Accent 1113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131">
    <w:name w:val="Colorful Shading - Accent 12131"/>
    <w:hidden/>
    <w:uiPriority w:val="99"/>
    <w:semiHidden/>
    <w:rsid w:val="00946858"/>
    <w:pPr>
      <w:spacing w:after="120" w:line="264" w:lineRule="auto"/>
    </w:pPr>
    <w:rPr>
      <w:rFonts w:ascii="Verdana" w:eastAsia="MS PGothic" w:hAnsi="Verdana" w:cs="Arial"/>
      <w:lang w:eastAsia="en-US"/>
    </w:rPr>
  </w:style>
  <w:style w:type="paragraph" w:customStyle="1" w:styleId="LightList-Accent31331">
    <w:name w:val="Light List - Accent 3133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231">
    <w:name w:val="Light List - Accent 31123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231">
    <w:name w:val="Medium List 2 - Accent 2123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231">
    <w:name w:val="Medium List 2 - Accent 2223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231">
    <w:name w:val="Colorful Shading - Accent 1123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231">
    <w:name w:val="Colorful Shading - Accent 12231"/>
    <w:hidden/>
    <w:uiPriority w:val="99"/>
    <w:semiHidden/>
    <w:rsid w:val="00946858"/>
    <w:pPr>
      <w:spacing w:after="120" w:line="264" w:lineRule="auto"/>
    </w:pPr>
    <w:rPr>
      <w:rFonts w:ascii="Verdana" w:eastAsia="MS PGothic" w:hAnsi="Verdana" w:cs="Arial"/>
      <w:lang w:eastAsia="en-US"/>
    </w:rPr>
  </w:style>
  <w:style w:type="paragraph" w:customStyle="1" w:styleId="LightList-Accent312121">
    <w:name w:val="Light List - Accent 31212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1121">
    <w:name w:val="Light List - Accent 311112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1121">
    <w:name w:val="Medium List 2 - Accent 21112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1121">
    <w:name w:val="Medium List 2 - Accent 22112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1121">
    <w:name w:val="Colorful Shading - Accent 11112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1121">
    <w:name w:val="Colorful Shading - Accent 121121"/>
    <w:hidden/>
    <w:uiPriority w:val="99"/>
    <w:semiHidden/>
    <w:rsid w:val="00946858"/>
    <w:pPr>
      <w:spacing w:after="120" w:line="264" w:lineRule="auto"/>
    </w:pPr>
    <w:rPr>
      <w:rFonts w:ascii="Verdana" w:eastAsia="MS PGothic" w:hAnsi="Verdana" w:cs="Arial"/>
      <w:lang w:eastAsia="en-US"/>
    </w:rPr>
  </w:style>
  <w:style w:type="paragraph" w:customStyle="1" w:styleId="LightList-Accent313121">
    <w:name w:val="Light List - Accent 31312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2121">
    <w:name w:val="Light List - Accent 311212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2121">
    <w:name w:val="Medium List 2 - Accent 21212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2121">
    <w:name w:val="Medium List 2 - Accent 22212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2121">
    <w:name w:val="Colorful Shading - Accent 11212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2121">
    <w:name w:val="Colorful Shading - Accent 122121"/>
    <w:hidden/>
    <w:uiPriority w:val="99"/>
    <w:semiHidden/>
    <w:rsid w:val="00946858"/>
    <w:pPr>
      <w:spacing w:after="120" w:line="264" w:lineRule="auto"/>
    </w:pPr>
    <w:rPr>
      <w:rFonts w:ascii="Verdana" w:eastAsia="MS PGothic" w:hAnsi="Verdana" w:cs="Arial"/>
      <w:lang w:eastAsia="en-US"/>
    </w:rPr>
  </w:style>
  <w:style w:type="paragraph" w:customStyle="1" w:styleId="LightList-Accent31421">
    <w:name w:val="Light List - Accent 3142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321">
    <w:name w:val="Light List - Accent 31132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321">
    <w:name w:val="Medium List 2 - Accent 2132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321">
    <w:name w:val="Medium List 2 - Accent 2232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321">
    <w:name w:val="Colorful Shading - Accent 1132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321">
    <w:name w:val="Colorful Shading - Accent 12321"/>
    <w:hidden/>
    <w:uiPriority w:val="99"/>
    <w:semiHidden/>
    <w:rsid w:val="00946858"/>
    <w:pPr>
      <w:spacing w:after="120" w:line="264" w:lineRule="auto"/>
    </w:pPr>
    <w:rPr>
      <w:rFonts w:ascii="Verdana" w:eastAsia="MS PGothic" w:hAnsi="Verdana" w:cs="Arial"/>
      <w:lang w:eastAsia="en-US"/>
    </w:rPr>
  </w:style>
  <w:style w:type="paragraph" w:customStyle="1" w:styleId="LightList-Accent31521">
    <w:name w:val="Light List - Accent 31521"/>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421">
    <w:name w:val="Light List - Accent 31142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421">
    <w:name w:val="Medium List 2 - Accent 21421"/>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421">
    <w:name w:val="Medium List 2 - Accent 22421"/>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421">
    <w:name w:val="Colorful Shading - Accent 11421"/>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421">
    <w:name w:val="Colorful Shading - Accent 12421"/>
    <w:hidden/>
    <w:uiPriority w:val="99"/>
    <w:semiHidden/>
    <w:rsid w:val="00946858"/>
    <w:pPr>
      <w:spacing w:after="120" w:line="264" w:lineRule="auto"/>
    </w:pPr>
    <w:rPr>
      <w:rFonts w:ascii="Verdana" w:eastAsia="MS PGothic" w:hAnsi="Verdana" w:cs="Arial"/>
      <w:lang w:eastAsia="en-US"/>
    </w:rPr>
  </w:style>
  <w:style w:type="paragraph" w:customStyle="1" w:styleId="LightList-Accent3110">
    <w:name w:val="Light List - Accent 3110"/>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9">
    <w:name w:val="Light List - Accent 3119"/>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9">
    <w:name w:val="Medium List 2 - Accent 219"/>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9">
    <w:name w:val="Medium List 2 - Accent 229"/>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9">
    <w:name w:val="Colorful Shading - Accent 119"/>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9">
    <w:name w:val="Colorful Shading - Accent 129"/>
    <w:hidden/>
    <w:uiPriority w:val="99"/>
    <w:semiHidden/>
    <w:rsid w:val="00946858"/>
    <w:pPr>
      <w:spacing w:after="120" w:line="264" w:lineRule="auto"/>
    </w:pPr>
    <w:rPr>
      <w:rFonts w:ascii="Verdana" w:eastAsia="MS PGothic" w:hAnsi="Verdana" w:cs="Arial"/>
      <w:lang w:eastAsia="en-US"/>
    </w:rPr>
  </w:style>
  <w:style w:type="paragraph" w:customStyle="1" w:styleId="LightList-Accent3126">
    <w:name w:val="Light List - Accent 3126"/>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16">
    <w:name w:val="Light List - Accent 31116"/>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16">
    <w:name w:val="Medium List 2 - Accent 2116"/>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16">
    <w:name w:val="Medium List 2 - Accent 2216"/>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16">
    <w:name w:val="Colorful Shading - Accent 1116"/>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16">
    <w:name w:val="Colorful Shading - Accent 1216"/>
    <w:hidden/>
    <w:uiPriority w:val="99"/>
    <w:semiHidden/>
    <w:rsid w:val="00946858"/>
    <w:pPr>
      <w:spacing w:after="120" w:line="264" w:lineRule="auto"/>
    </w:pPr>
    <w:rPr>
      <w:rFonts w:ascii="Verdana" w:eastAsia="MS PGothic" w:hAnsi="Verdana" w:cs="Arial"/>
      <w:lang w:eastAsia="en-US"/>
    </w:rPr>
  </w:style>
  <w:style w:type="paragraph" w:customStyle="1" w:styleId="LightList-Accent3136">
    <w:name w:val="Light List - Accent 3136"/>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26">
    <w:name w:val="Light List - Accent 31126"/>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26">
    <w:name w:val="Medium List 2 - Accent 2126"/>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26">
    <w:name w:val="Medium List 2 - Accent 2226"/>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26">
    <w:name w:val="Colorful Shading - Accent 1126"/>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26">
    <w:name w:val="Colorful Shading - Accent 1226"/>
    <w:hidden/>
    <w:uiPriority w:val="99"/>
    <w:semiHidden/>
    <w:rsid w:val="00946858"/>
    <w:pPr>
      <w:spacing w:after="120" w:line="264" w:lineRule="auto"/>
    </w:pPr>
    <w:rPr>
      <w:rFonts w:ascii="Verdana" w:eastAsia="MS PGothic" w:hAnsi="Verdana" w:cs="Arial"/>
      <w:lang w:eastAsia="en-US"/>
    </w:rPr>
  </w:style>
  <w:style w:type="paragraph" w:customStyle="1" w:styleId="LightList-Accent31215">
    <w:name w:val="Light List - Accent 31215"/>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115">
    <w:name w:val="Light List - Accent 311115"/>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115">
    <w:name w:val="Medium List 2 - Accent 21115"/>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115">
    <w:name w:val="Medium List 2 - Accent 22115"/>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115">
    <w:name w:val="Colorful Shading - Accent 11115"/>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115">
    <w:name w:val="Colorful Shading - Accent 12115"/>
    <w:hidden/>
    <w:uiPriority w:val="99"/>
    <w:semiHidden/>
    <w:rsid w:val="00946858"/>
    <w:pPr>
      <w:spacing w:after="120" w:line="264" w:lineRule="auto"/>
    </w:pPr>
    <w:rPr>
      <w:rFonts w:ascii="Verdana" w:eastAsia="MS PGothic" w:hAnsi="Verdana" w:cs="Arial"/>
      <w:lang w:eastAsia="en-US"/>
    </w:rPr>
  </w:style>
  <w:style w:type="paragraph" w:customStyle="1" w:styleId="LightList-Accent31315">
    <w:name w:val="Light List - Accent 31315"/>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215">
    <w:name w:val="Light List - Accent 311215"/>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215">
    <w:name w:val="Medium List 2 - Accent 21215"/>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215">
    <w:name w:val="Medium List 2 - Accent 22215"/>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215">
    <w:name w:val="Colorful Shading - Accent 11215"/>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215">
    <w:name w:val="Colorful Shading - Accent 12215"/>
    <w:hidden/>
    <w:uiPriority w:val="99"/>
    <w:semiHidden/>
    <w:rsid w:val="00946858"/>
    <w:pPr>
      <w:spacing w:after="120" w:line="264" w:lineRule="auto"/>
    </w:pPr>
    <w:rPr>
      <w:rFonts w:ascii="Verdana" w:eastAsia="MS PGothic" w:hAnsi="Verdana" w:cs="Arial"/>
      <w:lang w:eastAsia="en-US"/>
    </w:rPr>
  </w:style>
  <w:style w:type="paragraph" w:customStyle="1" w:styleId="LightList-Accent3145">
    <w:name w:val="Light List - Accent 3145"/>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35">
    <w:name w:val="Light List - Accent 31135"/>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35">
    <w:name w:val="Medium List 2 - Accent 2135"/>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35">
    <w:name w:val="Medium List 2 - Accent 2235"/>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35">
    <w:name w:val="Colorful Shading - Accent 1135"/>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35">
    <w:name w:val="Colorful Shading - Accent 1235"/>
    <w:hidden/>
    <w:uiPriority w:val="99"/>
    <w:semiHidden/>
    <w:rsid w:val="00946858"/>
    <w:pPr>
      <w:spacing w:after="120" w:line="264" w:lineRule="auto"/>
    </w:pPr>
    <w:rPr>
      <w:rFonts w:ascii="Verdana" w:eastAsia="MS PGothic" w:hAnsi="Verdana" w:cs="Arial"/>
      <w:lang w:eastAsia="en-US"/>
    </w:rPr>
  </w:style>
  <w:style w:type="paragraph" w:customStyle="1" w:styleId="LightList-Accent3155">
    <w:name w:val="Light List - Accent 3155"/>
    <w:hidden/>
    <w:uiPriority w:val="99"/>
    <w:semiHidden/>
    <w:rsid w:val="00946858"/>
    <w:pPr>
      <w:spacing w:after="120" w:line="264" w:lineRule="auto"/>
    </w:pPr>
    <w:rPr>
      <w:rFonts w:ascii="Arial" w:eastAsia="MS PGothic" w:hAnsi="Arial" w:cs="Arial"/>
      <w:sz w:val="24"/>
      <w:szCs w:val="24"/>
      <w:lang w:eastAsia="en-US"/>
    </w:rPr>
  </w:style>
  <w:style w:type="paragraph" w:customStyle="1" w:styleId="LightList-Accent31145">
    <w:name w:val="Light List - Accent 31145"/>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145">
    <w:name w:val="Medium List 2 - Accent 2145"/>
    <w:hidden/>
    <w:uiPriority w:val="99"/>
    <w:semiHidden/>
    <w:rsid w:val="00946858"/>
    <w:pPr>
      <w:spacing w:after="120" w:line="264" w:lineRule="auto"/>
    </w:pPr>
    <w:rPr>
      <w:rFonts w:ascii="Arial" w:eastAsia="MS PGothic" w:hAnsi="Arial" w:cs="Arial"/>
      <w:sz w:val="24"/>
      <w:szCs w:val="24"/>
      <w:lang w:eastAsia="en-US"/>
    </w:rPr>
  </w:style>
  <w:style w:type="paragraph" w:customStyle="1" w:styleId="MediumList2-Accent2245">
    <w:name w:val="Medium List 2 - Accent 2245"/>
    <w:hidden/>
    <w:uiPriority w:val="71"/>
    <w:unhideWhenUsed/>
    <w:rsid w:val="00946858"/>
    <w:pPr>
      <w:spacing w:after="120" w:line="264" w:lineRule="auto"/>
    </w:pPr>
    <w:rPr>
      <w:rFonts w:ascii="Arial" w:eastAsia="MS PGothic" w:hAnsi="Arial" w:cs="Arial"/>
      <w:sz w:val="24"/>
      <w:szCs w:val="24"/>
      <w:lang w:eastAsia="en-US"/>
    </w:rPr>
  </w:style>
  <w:style w:type="paragraph" w:customStyle="1" w:styleId="ColorfulShading-Accent1145">
    <w:name w:val="Colorful Shading - Accent 1145"/>
    <w:hidden/>
    <w:uiPriority w:val="99"/>
    <w:unhideWhenUsed/>
    <w:rsid w:val="00946858"/>
    <w:pPr>
      <w:spacing w:after="120" w:line="264" w:lineRule="auto"/>
    </w:pPr>
    <w:rPr>
      <w:rFonts w:ascii="Arial" w:eastAsia="MS PGothic" w:hAnsi="Arial" w:cs="Arial"/>
      <w:sz w:val="24"/>
      <w:szCs w:val="24"/>
      <w:lang w:eastAsia="en-US"/>
    </w:rPr>
  </w:style>
  <w:style w:type="paragraph" w:customStyle="1" w:styleId="ColorfulShading-Accent1245">
    <w:name w:val="Colorful Shading - Accent 1245"/>
    <w:hidden/>
    <w:uiPriority w:val="99"/>
    <w:semiHidden/>
    <w:rsid w:val="00946858"/>
    <w:pPr>
      <w:spacing w:after="120" w:line="264" w:lineRule="auto"/>
    </w:pPr>
    <w:rPr>
      <w:rFonts w:ascii="Verdana" w:eastAsia="MS PGothic" w:hAnsi="Verdana" w:cs="Arial"/>
      <w:lang w:eastAsia="en-US"/>
    </w:rPr>
  </w:style>
  <w:style w:type="numbering" w:customStyle="1" w:styleId="ZZTablefootnotenumbers2">
    <w:name w:val="ZZ Table footnote numbers2"/>
    <w:basedOn w:val="NoList"/>
    <w:uiPriority w:val="99"/>
    <w:rsid w:val="00B7380B"/>
  </w:style>
  <w:style w:type="numbering" w:customStyle="1" w:styleId="ZZTablefootnotebullets2">
    <w:name w:val="ZZ Table footnote bullets2"/>
    <w:basedOn w:val="NoList"/>
    <w:uiPriority w:val="99"/>
    <w:rsid w:val="00B7380B"/>
  </w:style>
  <w:style w:type="numbering" w:customStyle="1" w:styleId="ZZFinnumbersalpha12">
    <w:name w:val="ZZ Fin numbers alpha 12"/>
    <w:basedOn w:val="NoList"/>
    <w:uiPriority w:val="99"/>
    <w:rsid w:val="000557CC"/>
  </w:style>
  <w:style w:type="numbering" w:customStyle="1" w:styleId="Style11">
    <w:name w:val="Style11"/>
    <w:uiPriority w:val="99"/>
    <w:rsid w:val="00B7380B"/>
  </w:style>
  <w:style w:type="numbering" w:customStyle="1" w:styleId="ARnumberedparas">
    <w:name w:val="AR numbered paras"/>
    <w:rsid w:val="00946858"/>
  </w:style>
  <w:style w:type="numbering" w:customStyle="1" w:styleId="ARnumberedparas11">
    <w:name w:val="AR numbered paras11"/>
    <w:rsid w:val="000557CC"/>
  </w:style>
  <w:style w:type="numbering" w:customStyle="1" w:styleId="Tablefootnotes11">
    <w:name w:val="Table footnotes11"/>
    <w:uiPriority w:val="99"/>
    <w:rsid w:val="000557CC"/>
  </w:style>
  <w:style w:type="numbering" w:customStyle="1" w:styleId="Style211">
    <w:name w:val="Style211"/>
    <w:rsid w:val="000557CC"/>
  </w:style>
  <w:style w:type="numbering" w:customStyle="1" w:styleId="ZZBullets11">
    <w:name w:val="ZZ Bullets11"/>
    <w:rsid w:val="000557CC"/>
  </w:style>
  <w:style w:type="numbering" w:customStyle="1" w:styleId="ZZNumbersdigit11">
    <w:name w:val="ZZ Numbers digit11"/>
    <w:rsid w:val="000557CC"/>
  </w:style>
  <w:style w:type="numbering" w:customStyle="1" w:styleId="ZZFinbullets11">
    <w:name w:val="ZZ Fin bullets11"/>
    <w:basedOn w:val="NoList"/>
    <w:rsid w:val="000557CC"/>
  </w:style>
  <w:style w:type="numbering" w:customStyle="1" w:styleId="Tablefootnotes1">
    <w:name w:val="Table footnotes1"/>
    <w:uiPriority w:val="99"/>
    <w:rsid w:val="006F79DE"/>
  </w:style>
  <w:style w:type="numbering" w:customStyle="1" w:styleId="Style21">
    <w:name w:val="Style21"/>
    <w:rsid w:val="006F79DE"/>
  </w:style>
  <w:style w:type="numbering" w:customStyle="1" w:styleId="ZZBullets1">
    <w:name w:val="ZZ Bullets1"/>
    <w:rsid w:val="006F79DE"/>
  </w:style>
  <w:style w:type="numbering" w:customStyle="1" w:styleId="ZZNumbersdigit1">
    <w:name w:val="ZZ Numbers digit1"/>
    <w:rsid w:val="006F79DE"/>
  </w:style>
  <w:style w:type="paragraph" w:customStyle="1" w:styleId="ARfootnotebullet">
    <w:name w:val="AR footnote bullet"/>
    <w:basedOn w:val="Normal"/>
    <w:link w:val="ARfootnotebulletChar"/>
    <w:qFormat/>
    <w:rsid w:val="006F79DE"/>
    <w:pPr>
      <w:numPr>
        <w:numId w:val="94"/>
      </w:numPr>
      <w:spacing w:after="60" w:line="200" w:lineRule="atLeast"/>
      <w:ind w:left="0" w:firstLine="0"/>
    </w:pPr>
    <w:rPr>
      <w:rFonts w:eastAsiaTheme="minorEastAsia" w:cstheme="minorBidi"/>
      <w:color w:val="000000"/>
      <w:sz w:val="16"/>
      <w:lang w:eastAsia="en-AU"/>
    </w:rPr>
  </w:style>
  <w:style w:type="character" w:customStyle="1" w:styleId="ARfootnotebulletChar">
    <w:name w:val="AR footnote bullet Char"/>
    <w:link w:val="ARfootnotebullet"/>
    <w:rsid w:val="00946858"/>
    <w:rPr>
      <w:rFonts w:ascii="Arial" w:eastAsiaTheme="minorEastAsia" w:hAnsi="Arial" w:cstheme="minorBidi"/>
      <w:color w:val="000000"/>
      <w:sz w:val="16"/>
    </w:rPr>
  </w:style>
  <w:style w:type="character" w:customStyle="1" w:styleId="ARtablefootnotebulletChar">
    <w:name w:val="AR table footnote bullet Char"/>
    <w:link w:val="ARtablefootnotebullet"/>
    <w:uiPriority w:val="3"/>
    <w:rsid w:val="00946858"/>
    <w:rPr>
      <w:rFonts w:ascii="Arial" w:eastAsiaTheme="minorEastAsia" w:hAnsi="Arial" w:cstheme="minorBidi"/>
      <w:sz w:val="16"/>
      <w:szCs w:val="16"/>
      <w:lang w:eastAsia="en-US"/>
    </w:rPr>
  </w:style>
  <w:style w:type="numbering" w:customStyle="1" w:styleId="ZZFinbullets">
    <w:name w:val="ZZ Fin bullets"/>
    <w:basedOn w:val="NoList"/>
    <w:rsid w:val="006F79DE"/>
  </w:style>
  <w:style w:type="character" w:customStyle="1" w:styleId="ARtablefootnotenumberedChar">
    <w:name w:val="AR table footnote numbered Char"/>
    <w:link w:val="ARtablefootnotenumbered"/>
    <w:uiPriority w:val="99"/>
    <w:rsid w:val="00946858"/>
    <w:rPr>
      <w:rFonts w:ascii="Arial" w:eastAsiaTheme="minorEastAsia" w:hAnsi="Arial" w:cstheme="minorBidi"/>
      <w:color w:val="000000" w:themeColor="text1"/>
      <w:sz w:val="16"/>
      <w:szCs w:val="16"/>
      <w:lang w:eastAsia="en-US"/>
    </w:rPr>
  </w:style>
  <w:style w:type="numbering" w:customStyle="1" w:styleId="ZZTablefootnotenumbers1">
    <w:name w:val="ZZ Table footnote numbers1"/>
    <w:basedOn w:val="NoList"/>
    <w:uiPriority w:val="99"/>
    <w:rsid w:val="006F79DE"/>
  </w:style>
  <w:style w:type="numbering" w:customStyle="1" w:styleId="ZZTablefootnotebullets1">
    <w:name w:val="ZZ Table footnote bullets1"/>
    <w:basedOn w:val="NoList"/>
    <w:uiPriority w:val="99"/>
    <w:rsid w:val="006F79DE"/>
  </w:style>
  <w:style w:type="numbering" w:customStyle="1" w:styleId="ZZFinnumbersalpha1">
    <w:name w:val="ZZ Fin numbers alpha 1"/>
    <w:basedOn w:val="NoList"/>
    <w:uiPriority w:val="99"/>
    <w:rsid w:val="006F79DE"/>
  </w:style>
  <w:style w:type="paragraph" w:customStyle="1" w:styleId="Heading4Small">
    <w:name w:val="Heading 4 Small"/>
    <w:basedOn w:val="Heading6"/>
    <w:uiPriority w:val="4"/>
    <w:rsid w:val="00946858"/>
    <w:pPr>
      <w:overflowPunct w:val="0"/>
      <w:autoSpaceDE w:val="0"/>
      <w:autoSpaceDN w:val="0"/>
      <w:adjustRightInd w:val="0"/>
      <w:spacing w:before="240" w:line="240" w:lineRule="auto"/>
      <w:textAlignment w:val="baseline"/>
      <w:outlineLvl w:val="3"/>
    </w:pPr>
    <w:rPr>
      <w:rFonts w:ascii="Arial" w:eastAsia="Yu Mincho" w:hAnsi="Arial" w:cs="ArialMT"/>
      <w:bCs/>
      <w:sz w:val="18"/>
      <w:szCs w:val="18"/>
      <w:lang w:val="x-none"/>
    </w:rPr>
  </w:style>
  <w:style w:type="paragraph" w:customStyle="1" w:styleId="ARfintablefootnotetabindent">
    <w:name w:val="AR fin table footnote tab indent"/>
    <w:link w:val="ARfintablefootnotetabindentChar"/>
    <w:uiPriority w:val="3"/>
    <w:qFormat/>
    <w:rsid w:val="00946858"/>
    <w:pPr>
      <w:spacing w:before="40" w:after="40" w:line="180" w:lineRule="atLeast"/>
      <w:ind w:left="284" w:hanging="284"/>
    </w:pPr>
    <w:rPr>
      <w:rFonts w:ascii="Arial" w:eastAsia="MS PGothic" w:hAnsi="Arial" w:cs="Arial"/>
      <w:color w:val="000000"/>
      <w:sz w:val="16"/>
      <w:szCs w:val="14"/>
    </w:rPr>
  </w:style>
  <w:style w:type="character" w:customStyle="1" w:styleId="ARfintablefootnotetabindentChar">
    <w:name w:val="AR fin table footnote tab indent Char"/>
    <w:link w:val="ARfintablefootnotetabindent"/>
    <w:uiPriority w:val="3"/>
    <w:rsid w:val="00946858"/>
    <w:rPr>
      <w:rFonts w:ascii="Arial" w:eastAsia="MS PGothic" w:hAnsi="Arial" w:cs="Arial"/>
      <w:color w:val="000000"/>
      <w:sz w:val="16"/>
      <w:szCs w:val="14"/>
    </w:rPr>
  </w:style>
  <w:style w:type="paragraph" w:customStyle="1" w:styleId="ARfinbodyafterandbeforetable">
    <w:name w:val="AR fin body after and before table"/>
    <w:basedOn w:val="ARfinbodyaftertable"/>
    <w:uiPriority w:val="3"/>
    <w:rsid w:val="00946858"/>
    <w:pPr>
      <w:spacing w:after="160"/>
    </w:pPr>
  </w:style>
  <w:style w:type="paragraph" w:customStyle="1" w:styleId="ARfinbullet1afterdigitoralpha">
    <w:name w:val="AR fin bullet 1 after digit or alpha"/>
    <w:basedOn w:val="ARfinbullet1"/>
    <w:uiPriority w:val="3"/>
    <w:rsid w:val="006F79DE"/>
    <w:pPr>
      <w:numPr>
        <w:numId w:val="0"/>
      </w:numPr>
      <w:suppressAutoHyphens/>
      <w:autoSpaceDE w:val="0"/>
      <w:autoSpaceDN w:val="0"/>
      <w:adjustRightInd w:val="0"/>
      <w:textAlignment w:val="center"/>
    </w:pPr>
    <w:rPr>
      <w:rFonts w:eastAsia="Verdana" w:cs="ArialMT"/>
      <w:color w:val="000000"/>
      <w:szCs w:val="16"/>
      <w:lang w:eastAsia="en-AU"/>
    </w:rPr>
  </w:style>
  <w:style w:type="paragraph" w:customStyle="1" w:styleId="ARtablefootnotelargespacebefore">
    <w:name w:val="AR table footnote large space before"/>
    <w:basedOn w:val="ARtablefootnote"/>
    <w:rsid w:val="00946858"/>
    <w:pPr>
      <w:spacing w:before="160"/>
    </w:pPr>
  </w:style>
  <w:style w:type="paragraph" w:customStyle="1" w:styleId="ARfintablerightforreplace">
    <w:name w:val="AR fin table right for replace"/>
    <w:basedOn w:val="ARfintablebodyright"/>
    <w:rsid w:val="00946858"/>
  </w:style>
  <w:style w:type="paragraph" w:customStyle="1" w:styleId="ARfintablebodybold8pt">
    <w:name w:val="AR fin table body bold 8 pt"/>
    <w:basedOn w:val="ARfintablebodybold"/>
    <w:uiPriority w:val="3"/>
    <w:rsid w:val="00946858"/>
    <w:pPr>
      <w:spacing w:before="16" w:after="10" w:line="228" w:lineRule="auto"/>
      <w:ind w:right="0"/>
    </w:pPr>
    <w:rPr>
      <w:sz w:val="16"/>
    </w:rPr>
  </w:style>
  <w:style w:type="paragraph" w:customStyle="1" w:styleId="ARfintablefootnoteindentbullet1">
    <w:name w:val="AR fin table footnote indent bullet 1"/>
    <w:basedOn w:val="ARfintablefootnotetabindent"/>
    <w:uiPriority w:val="3"/>
    <w:rsid w:val="006F79DE"/>
    <w:pPr>
      <w:numPr>
        <w:numId w:val="95"/>
      </w:numPr>
      <w:tabs>
        <w:tab w:val="num" w:pos="360"/>
        <w:tab w:val="num" w:pos="397"/>
      </w:tabs>
      <w:ind w:left="0" w:firstLine="0"/>
    </w:pPr>
    <w:rPr>
      <w:rFonts w:eastAsiaTheme="minorEastAsia" w:cstheme="minorBidi"/>
    </w:rPr>
  </w:style>
  <w:style w:type="paragraph" w:customStyle="1" w:styleId="ARfintablecolhead8">
    <w:name w:val="AR fin table col head 8"/>
    <w:basedOn w:val="ARfintablecolhead"/>
    <w:uiPriority w:val="3"/>
    <w:rsid w:val="00946858"/>
    <w:pPr>
      <w:spacing w:before="16" w:after="10" w:line="228" w:lineRule="auto"/>
    </w:pPr>
    <w:rPr>
      <w:rFonts w:eastAsia="MS PGothic" w:cs="Arial"/>
      <w:sz w:val="16"/>
      <w:szCs w:val="15"/>
      <w:lang w:eastAsia="en-AU"/>
    </w:rPr>
  </w:style>
  <w:style w:type="paragraph" w:customStyle="1" w:styleId="ARfintablecolheadright8">
    <w:name w:val="AR fin table col head right 8"/>
    <w:basedOn w:val="ARfintablecolheadright"/>
    <w:uiPriority w:val="3"/>
    <w:rsid w:val="00946858"/>
    <w:pPr>
      <w:spacing w:before="16" w:after="10" w:line="228" w:lineRule="auto"/>
    </w:pPr>
    <w:rPr>
      <w:rFonts w:eastAsia="MS PGothic" w:cs="Arial"/>
      <w:sz w:val="16"/>
      <w:szCs w:val="15"/>
      <w:lang w:eastAsia="en-AU"/>
    </w:rPr>
  </w:style>
  <w:style w:type="paragraph" w:customStyle="1" w:styleId="ARfintablebody8pt">
    <w:name w:val="AR fin table body 8 pt"/>
    <w:basedOn w:val="ARfintablebody"/>
    <w:uiPriority w:val="3"/>
    <w:rsid w:val="00946858"/>
    <w:pPr>
      <w:spacing w:before="16" w:after="10" w:line="228" w:lineRule="auto"/>
      <w:ind w:right="0"/>
    </w:pPr>
    <w:rPr>
      <w:sz w:val="16"/>
      <w:szCs w:val="15"/>
    </w:rPr>
  </w:style>
  <w:style w:type="paragraph" w:customStyle="1" w:styleId="ARfintablebodyright8pt">
    <w:name w:val="AR fin table body right 8 pt"/>
    <w:basedOn w:val="ARfintablebodyright"/>
    <w:uiPriority w:val="3"/>
    <w:rsid w:val="00946858"/>
    <w:pPr>
      <w:spacing w:before="16" w:after="10" w:line="228" w:lineRule="auto"/>
      <w:ind w:right="0"/>
    </w:pPr>
    <w:rPr>
      <w:sz w:val="16"/>
    </w:rPr>
  </w:style>
  <w:style w:type="paragraph" w:customStyle="1" w:styleId="ARfintablebodyrightbold8pt">
    <w:name w:val="AR fin table body right bold 8pt"/>
    <w:basedOn w:val="ARfintablebodyrightbold"/>
    <w:uiPriority w:val="3"/>
    <w:rsid w:val="00946858"/>
    <w:pPr>
      <w:spacing w:before="16" w:after="10" w:line="228" w:lineRule="auto"/>
      <w:ind w:right="0"/>
    </w:pPr>
    <w:rPr>
      <w:sz w:val="16"/>
    </w:rPr>
  </w:style>
  <w:style w:type="paragraph" w:customStyle="1" w:styleId="ARGrantstabletext">
    <w:name w:val="AR Grants table text"/>
    <w:basedOn w:val="Normal"/>
    <w:rsid w:val="00434684"/>
    <w:pPr>
      <w:spacing w:before="40" w:after="30" w:line="210" w:lineRule="atLeast"/>
    </w:pPr>
    <w:rPr>
      <w:rFonts w:eastAsia="Times" w:cs="Arial"/>
      <w:sz w:val="18"/>
      <w:szCs w:val="18"/>
      <w:lang w:eastAsia="en-AU"/>
    </w:rPr>
  </w:style>
  <w:style w:type="paragraph" w:customStyle="1" w:styleId="ARGrantstabletextright">
    <w:name w:val="AR Grants table text right"/>
    <w:basedOn w:val="ARGrantstabletext"/>
    <w:rsid w:val="00946858"/>
    <w:pPr>
      <w:jc w:val="right"/>
    </w:pPr>
  </w:style>
  <w:style w:type="paragraph" w:customStyle="1" w:styleId="ARGrantstabletextbold">
    <w:name w:val="AR Grants table text bold"/>
    <w:basedOn w:val="ARGrantstabletext"/>
    <w:rsid w:val="00946858"/>
    <w:rPr>
      <w:b/>
    </w:rPr>
  </w:style>
  <w:style w:type="paragraph" w:customStyle="1" w:styleId="ARGrantstabletextrightbold">
    <w:name w:val="AR Grants table text right bold"/>
    <w:basedOn w:val="ARGrantstabletextright"/>
    <w:rsid w:val="00946858"/>
    <w:rPr>
      <w:b/>
    </w:rPr>
  </w:style>
  <w:style w:type="paragraph" w:customStyle="1" w:styleId="ARGrantstablecolhead">
    <w:name w:val="AR Grants table col head"/>
    <w:basedOn w:val="ARtablecolhead"/>
    <w:rsid w:val="00946858"/>
    <w:pPr>
      <w:spacing w:before="40" w:after="40" w:line="200" w:lineRule="atLeast"/>
    </w:pPr>
    <w:rPr>
      <w:rFonts w:eastAsia="Times" w:cs="Arial"/>
      <w:szCs w:val="18"/>
      <w:lang w:eastAsia="en-AU"/>
    </w:rPr>
  </w:style>
  <w:style w:type="paragraph" w:customStyle="1" w:styleId="ARGrantstablecolheadright">
    <w:name w:val="AR Grants table col head right"/>
    <w:basedOn w:val="ARGrantstablecolhead"/>
    <w:rsid w:val="00946858"/>
    <w:pPr>
      <w:jc w:val="right"/>
    </w:pPr>
  </w:style>
  <w:style w:type="table" w:customStyle="1" w:styleId="DHARGrantstable">
    <w:name w:val="DH AR Grants table"/>
    <w:basedOn w:val="TableNormal"/>
    <w:uiPriority w:val="99"/>
    <w:rsid w:val="006F79DE"/>
    <w:rPr>
      <w:rFonts w:asciiTheme="minorHAnsi" w:eastAsiaTheme="minorHAnsi" w:hAnsiTheme="minorHAnsi" w:cstheme="minorBidi"/>
      <w:sz w:val="22"/>
      <w:szCs w:val="22"/>
      <w:lang w:eastAsia="en-US"/>
    </w:rPr>
    <w:tblPr>
      <w:tblBorders>
        <w:bottom w:val="single" w:sz="4" w:space="0" w:color="000000" w:themeColor="text1"/>
        <w:insideH w:val="single" w:sz="4" w:space="0" w:color="000000" w:themeColor="text1"/>
      </w:tblBorders>
      <w:tblCellMar>
        <w:left w:w="0" w:type="dxa"/>
      </w:tblCellMar>
    </w:tblPr>
    <w:tblStylePr w:type="firstRow">
      <w:tblPr/>
      <w:trPr>
        <w:cantSplit/>
        <w:tblHeader/>
      </w:trPr>
      <w:tcPr>
        <w:tcBorders>
          <w:bottom w:val="nil"/>
        </w:tcBorders>
      </w:tcPr>
    </w:tblStylePr>
  </w:style>
  <w:style w:type="paragraph" w:customStyle="1" w:styleId="ARTabletextlessleading">
    <w:name w:val="AR Table text less leading"/>
    <w:basedOn w:val="Normal"/>
    <w:rsid w:val="00434684"/>
    <w:pPr>
      <w:spacing w:before="80" w:after="60" w:line="216" w:lineRule="exact"/>
    </w:pPr>
    <w:rPr>
      <w:rFonts w:eastAsia="Times" w:cs="Arial"/>
      <w:sz w:val="18"/>
      <w:szCs w:val="18"/>
      <w:lang w:eastAsia="en-AU"/>
    </w:rPr>
  </w:style>
  <w:style w:type="paragraph" w:customStyle="1" w:styleId="ARTabletextrightlessleading">
    <w:name w:val="AR Table text right less leading"/>
    <w:basedOn w:val="ARtabletextright"/>
    <w:rsid w:val="00946858"/>
    <w:pPr>
      <w:spacing w:line="216" w:lineRule="exact"/>
    </w:pPr>
    <w:rPr>
      <w:rFonts w:eastAsia="Times" w:cs="Arial"/>
      <w:color w:val="000000"/>
      <w:szCs w:val="18"/>
      <w:lang w:eastAsia="en-AU"/>
    </w:rPr>
  </w:style>
  <w:style w:type="paragraph" w:customStyle="1" w:styleId="ARbodyforsignatures">
    <w:name w:val="AR body for signatures"/>
    <w:basedOn w:val="Normal"/>
    <w:rsid w:val="00541B81"/>
    <w:pPr>
      <w:spacing w:before="840" w:after="240" w:line="260" w:lineRule="atLeast"/>
    </w:pPr>
    <w:rPr>
      <w:rFonts w:eastAsia="Times" w:cs="Arial"/>
      <w:sz w:val="20"/>
      <w:szCs w:val="24"/>
    </w:rPr>
  </w:style>
  <w:style w:type="paragraph" w:customStyle="1" w:styleId="ARfintablebodyboldcoloured">
    <w:name w:val="AR fin table body bold coloured"/>
    <w:basedOn w:val="ARfintablebodybold"/>
    <w:rsid w:val="006F79DE"/>
    <w:rPr>
      <w:color w:val="201547" w:themeColor="text2"/>
    </w:rPr>
  </w:style>
  <w:style w:type="numbering" w:customStyle="1" w:styleId="Style1">
    <w:name w:val="Style1"/>
    <w:uiPriority w:val="99"/>
    <w:rsid w:val="006F79DE"/>
    <w:pPr>
      <w:numPr>
        <w:numId w:val="98"/>
      </w:numPr>
    </w:pPr>
  </w:style>
  <w:style w:type="paragraph" w:customStyle="1" w:styleId="ARfintablebodyitalics">
    <w:name w:val="AR fin table body italics"/>
    <w:basedOn w:val="ARfintablebody"/>
    <w:rsid w:val="00946858"/>
    <w:rPr>
      <w:i/>
    </w:rPr>
  </w:style>
  <w:style w:type="numbering" w:customStyle="1" w:styleId="ZZTablefootnotenumbers11">
    <w:name w:val="ZZ Table footnote numbers11"/>
    <w:basedOn w:val="NoList"/>
    <w:uiPriority w:val="99"/>
    <w:rsid w:val="000557CC"/>
  </w:style>
  <w:style w:type="numbering" w:customStyle="1" w:styleId="ARnumberedparas1">
    <w:name w:val="AR numbered paras1"/>
    <w:rsid w:val="006F79DE"/>
  </w:style>
  <w:style w:type="numbering" w:customStyle="1" w:styleId="ZZTablefootnotebullets11">
    <w:name w:val="ZZ Table footnote bullets11"/>
    <w:basedOn w:val="NoList"/>
    <w:uiPriority w:val="99"/>
    <w:rsid w:val="000557CC"/>
  </w:style>
  <w:style w:type="numbering" w:customStyle="1" w:styleId="ZZFinnumbersalpha111">
    <w:name w:val="ZZ Fin numbers alpha 111"/>
    <w:basedOn w:val="NoList"/>
    <w:uiPriority w:val="99"/>
    <w:rsid w:val="000557CC"/>
  </w:style>
  <w:style w:type="numbering" w:customStyle="1" w:styleId="ZZTablefootnotenumbers3">
    <w:name w:val="ZZ Table footnote numbers3"/>
    <w:basedOn w:val="NoList"/>
    <w:uiPriority w:val="99"/>
    <w:rsid w:val="00FC1303"/>
  </w:style>
  <w:style w:type="numbering" w:customStyle="1" w:styleId="ZZFinbullets1">
    <w:name w:val="ZZ Fin bullets1"/>
    <w:basedOn w:val="NoList"/>
    <w:rsid w:val="006F79DE"/>
  </w:style>
  <w:style w:type="numbering" w:customStyle="1" w:styleId="ZZBullets3">
    <w:name w:val="ZZ Bullets3"/>
    <w:rsid w:val="00AC5AB5"/>
  </w:style>
  <w:style w:type="numbering" w:customStyle="1" w:styleId="ZZFinnumbersalpha11">
    <w:name w:val="ZZ Fin numbers alpha 11"/>
    <w:basedOn w:val="NoList"/>
    <w:uiPriority w:val="99"/>
    <w:rsid w:val="006F79DE"/>
  </w:style>
  <w:style w:type="table" w:customStyle="1" w:styleId="DFFHtable3">
    <w:name w:val="DFFH table 3"/>
    <w:basedOn w:val="TableNormal"/>
    <w:next w:val="TableGrid"/>
    <w:rsid w:val="006F79DE"/>
    <w:pPr>
      <w:spacing w:after="120" w:line="264" w:lineRule="auto"/>
    </w:pPr>
    <w:rPr>
      <w:rFonts w:asciiTheme="minorHAnsi" w:eastAsia="MS PGothic" w:hAnsiTheme="minorHAnsi" w:cstheme="minorBidi"/>
    </w:rPr>
    <w:tblPr>
      <w:tblBorders>
        <w:insideH w:val="single" w:sz="4" w:space="0" w:color="A6A6A6"/>
      </w:tblBorders>
      <w:tblCellMar>
        <w:left w:w="0" w:type="dxa"/>
      </w:tblCellMar>
    </w:tblPr>
    <w:trPr>
      <w:cantSplit/>
    </w:trPr>
    <w:tblStylePr w:type="firstRow">
      <w:pPr>
        <w:jc w:val="right"/>
      </w:pPr>
      <w:tblPr/>
      <w:trPr>
        <w:cantSplit w:val="0"/>
      </w:trPr>
      <w:tcPr>
        <w:tcBorders>
          <w:bottom w:val="single" w:sz="4" w:space="0" w:color="000000"/>
        </w:tcBorders>
        <w:vAlign w:val="bottom"/>
      </w:tcPr>
    </w:tblStylePr>
    <w:tblStylePr w:type="lastRow">
      <w:tblPr/>
      <w:tcPr>
        <w:tcBorders>
          <w:top w:val="single" w:sz="4" w:space="0" w:color="000000"/>
          <w:bottom w:val="single" w:sz="4" w:space="0" w:color="000000"/>
        </w:tcBorders>
      </w:tcPr>
    </w:tblStylePr>
  </w:style>
  <w:style w:type="character" w:customStyle="1" w:styleId="ListParagraphChar">
    <w:name w:val="List Paragraph Char"/>
    <w:link w:val="ListParagraph"/>
    <w:uiPriority w:val="34"/>
    <w:locked/>
    <w:rsid w:val="00946858"/>
    <w:rPr>
      <w:rFonts w:asciiTheme="minorHAnsi" w:eastAsiaTheme="minorHAnsi" w:hAnsiTheme="minorHAnsi" w:cstheme="minorBidi"/>
      <w:kern w:val="2"/>
      <w:sz w:val="24"/>
      <w:szCs w:val="24"/>
      <w:lang w:eastAsia="en-US"/>
      <w14:ligatures w14:val="standardContextual"/>
    </w:rPr>
  </w:style>
  <w:style w:type="paragraph" w:styleId="ListBullet">
    <w:name w:val="List Bullet"/>
    <w:basedOn w:val="Normal"/>
    <w:link w:val="ListBulletChar"/>
    <w:uiPriority w:val="99"/>
    <w:semiHidden/>
    <w:qFormat/>
    <w:rsid w:val="006F79DE"/>
    <w:pPr>
      <w:keepLines/>
      <w:numPr>
        <w:numId w:val="92"/>
      </w:numPr>
      <w:tabs>
        <w:tab w:val="num" w:pos="397"/>
      </w:tabs>
      <w:spacing w:before="60" w:line="264" w:lineRule="auto"/>
      <w:ind w:left="0" w:firstLine="0"/>
      <w:contextualSpacing/>
    </w:pPr>
    <w:rPr>
      <w:rFonts w:asciiTheme="minorHAnsi" w:eastAsiaTheme="minorHAnsi" w:hAnsiTheme="minorHAnsi" w:cstheme="minorBidi"/>
      <w:spacing w:val="2"/>
      <w:sz w:val="18"/>
      <w:szCs w:val="18"/>
      <w:lang w:eastAsia="en-AU"/>
    </w:rPr>
  </w:style>
  <w:style w:type="paragraph" w:styleId="ListBullet2">
    <w:name w:val="List Bullet 2"/>
    <w:basedOn w:val="ListBullet"/>
    <w:uiPriority w:val="99"/>
    <w:semiHidden/>
    <w:rsid w:val="006F79DE"/>
    <w:pPr>
      <w:numPr>
        <w:ilvl w:val="1"/>
      </w:numPr>
      <w:tabs>
        <w:tab w:val="num" w:pos="284"/>
        <w:tab w:val="num" w:pos="360"/>
        <w:tab w:val="num" w:pos="680"/>
      </w:tabs>
      <w:ind w:left="0" w:firstLine="0"/>
    </w:pPr>
  </w:style>
  <w:style w:type="paragraph" w:styleId="ListBullet3">
    <w:name w:val="List Bullet 3"/>
    <w:basedOn w:val="ListBullet2"/>
    <w:uiPriority w:val="99"/>
    <w:semiHidden/>
    <w:rsid w:val="006F79DE"/>
    <w:pPr>
      <w:numPr>
        <w:ilvl w:val="2"/>
      </w:numPr>
      <w:tabs>
        <w:tab w:val="num" w:pos="360"/>
        <w:tab w:val="num" w:pos="794"/>
      </w:tabs>
      <w:ind w:left="0" w:firstLine="0"/>
    </w:pPr>
  </w:style>
  <w:style w:type="paragraph" w:styleId="ListNumber">
    <w:name w:val="List Number"/>
    <w:basedOn w:val="Normal"/>
    <w:uiPriority w:val="99"/>
    <w:semiHidden/>
    <w:rsid w:val="006F79DE"/>
    <w:pPr>
      <w:spacing w:line="264" w:lineRule="auto"/>
      <w:ind w:left="720" w:hanging="720"/>
    </w:pPr>
    <w:rPr>
      <w:rFonts w:ascii="Verdana" w:eastAsiaTheme="minorEastAsia" w:hAnsi="Verdana" w:cstheme="minorBidi"/>
      <w:sz w:val="20"/>
      <w:lang w:eastAsia="en-AU"/>
    </w:rPr>
  </w:style>
  <w:style w:type="paragraph" w:styleId="NormalIndent">
    <w:name w:val="Normal Indent"/>
    <w:basedOn w:val="Normal"/>
    <w:uiPriority w:val="99"/>
    <w:semiHidden/>
    <w:unhideWhenUsed/>
    <w:rsid w:val="006F79DE"/>
    <w:pPr>
      <w:spacing w:line="264" w:lineRule="auto"/>
      <w:ind w:left="720"/>
    </w:pPr>
    <w:rPr>
      <w:rFonts w:asciiTheme="minorHAnsi" w:eastAsiaTheme="minorEastAsia" w:hAnsiTheme="minorHAnsi" w:cstheme="minorBidi"/>
      <w:sz w:val="20"/>
      <w:lang w:eastAsia="en-AU"/>
    </w:rPr>
  </w:style>
  <w:style w:type="table" w:styleId="ColorfulList">
    <w:name w:val="Colorful List"/>
    <w:basedOn w:val="TableNormal"/>
    <w:uiPriority w:val="63"/>
    <w:rsid w:val="006F79DE"/>
    <w:rPr>
      <w:rFonts w:eastAsia="MS Mincho"/>
      <w:color w:val="000000" w:themeColor="text1"/>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989898" w:themeFill="accent2" w:themeFillShade="CC"/>
      </w:tcPr>
    </w:tblStylePr>
    <w:tblStylePr w:type="lastRow">
      <w:rPr>
        <w:b/>
        <w:bCs/>
        <w:color w:val="98989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ListNumber2">
    <w:name w:val="List Number 2"/>
    <w:basedOn w:val="Normal"/>
    <w:uiPriority w:val="99"/>
    <w:semiHidden/>
    <w:unhideWhenUsed/>
    <w:rsid w:val="006F79DE"/>
    <w:pPr>
      <w:numPr>
        <w:numId w:val="93"/>
      </w:numPr>
      <w:tabs>
        <w:tab w:val="clear" w:pos="8156"/>
      </w:tabs>
      <w:spacing w:after="160" w:line="259" w:lineRule="auto"/>
      <w:ind w:left="0" w:firstLine="0"/>
      <w:contextualSpacing/>
    </w:pPr>
    <w:rPr>
      <w:rFonts w:asciiTheme="minorHAnsi" w:eastAsiaTheme="minorHAnsi" w:hAnsiTheme="minorHAnsi" w:cstheme="minorBidi"/>
      <w:sz w:val="22"/>
      <w:szCs w:val="22"/>
    </w:rPr>
  </w:style>
  <w:style w:type="table" w:styleId="TableGrid1">
    <w:name w:val="Table Grid 1"/>
    <w:basedOn w:val="TableNormal"/>
    <w:uiPriority w:val="99"/>
    <w:rsid w:val="006F79DE"/>
    <w:pPr>
      <w:spacing w:after="120" w:line="264" w:lineRule="auto"/>
    </w:pPr>
    <w:rPr>
      <w:rFonts w:asciiTheme="minorHAnsi" w:eastAsiaTheme="minorEastAsia" w:hAnsiTheme="minorHAnsi" w:cstheme="minorBid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ightList">
    <w:name w:val="Light List"/>
    <w:basedOn w:val="TableNormal"/>
    <w:uiPriority w:val="99"/>
    <w:rsid w:val="006F79DE"/>
    <w:pPr>
      <w:spacing w:after="120" w:line="264" w:lineRule="auto"/>
    </w:pPr>
    <w:rPr>
      <w:rFonts w:asciiTheme="minorHAnsi" w:eastAsiaTheme="minorEastAsia" w:hAnsiTheme="minorHAnsi" w:cstheme="minorBidi"/>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TableElegant">
    <w:name w:val="Table Elegant"/>
    <w:basedOn w:val="TableNormal"/>
    <w:uiPriority w:val="99"/>
    <w:rsid w:val="006F79DE"/>
    <w:pPr>
      <w:spacing w:after="120" w:line="264" w:lineRule="auto"/>
    </w:pPr>
    <w:rPr>
      <w:rFonts w:asciiTheme="minorHAnsi" w:eastAsiaTheme="minorEastAsia" w:hAnsiTheme="minorHAnsi" w:cstheme="minorBid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5">
    <w:name w:val="Table Grid 5"/>
    <w:basedOn w:val="TableNormal"/>
    <w:uiPriority w:val="99"/>
    <w:rsid w:val="006F79DE"/>
    <w:pPr>
      <w:spacing w:after="120" w:line="264" w:lineRule="auto"/>
    </w:pPr>
    <w:rPr>
      <w:rFonts w:asciiTheme="minorHAnsi" w:eastAsiaTheme="minorEastAsia" w:hAnsiTheme="minorHAnsi" w:cstheme="minorBid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ightShading-Accent2">
    <w:name w:val="Light Shading Accent 2"/>
    <w:basedOn w:val="TableNormal"/>
    <w:uiPriority w:val="30"/>
    <w:qFormat/>
    <w:rsid w:val="006F79DE"/>
    <w:pPr>
      <w:spacing w:before="120"/>
    </w:pPr>
    <w:rPr>
      <w:rFonts w:asciiTheme="minorHAnsi" w:eastAsiaTheme="minorHAnsi" w:hAnsiTheme="minorHAnsi" w:cstheme="minorBidi"/>
      <w:color w:val="8F8F8F" w:themeColor="accent2" w:themeShade="BF"/>
      <w:sz w:val="22"/>
      <w:szCs w:val="22"/>
      <w:lang w:eastAsia="en-US"/>
    </w:rPr>
    <w:tblPr>
      <w:tblStyleRowBandSize w:val="1"/>
      <w:tblStyleColBandSize w:val="1"/>
      <w:tblBorders>
        <w:top w:val="single" w:sz="8" w:space="0" w:color="BFBFBF" w:themeColor="accent2"/>
        <w:bottom w:val="single" w:sz="8" w:space="0" w:color="BFBFBF" w:themeColor="accent2"/>
      </w:tblBorders>
    </w:tblPr>
    <w:tblStylePr w:type="firstRow">
      <w:pPr>
        <w:spacing w:before="0" w:after="0" w:line="240" w:lineRule="auto"/>
      </w:pPr>
      <w:rPr>
        <w:b/>
        <w:bCs/>
      </w:rPr>
      <w:tblPr/>
      <w:tcPr>
        <w:tcBorders>
          <w:top w:val="single" w:sz="8" w:space="0" w:color="BFBFBF" w:themeColor="accent2"/>
          <w:left w:val="nil"/>
          <w:bottom w:val="single" w:sz="8" w:space="0" w:color="BFBFBF" w:themeColor="accent2"/>
          <w:right w:val="nil"/>
          <w:insideH w:val="nil"/>
          <w:insideV w:val="nil"/>
        </w:tcBorders>
      </w:tcPr>
    </w:tblStylePr>
    <w:tblStylePr w:type="lastRow">
      <w:pPr>
        <w:spacing w:before="0" w:after="0" w:line="240" w:lineRule="auto"/>
      </w:pPr>
      <w:rPr>
        <w:b/>
        <w:bCs/>
      </w:rPr>
      <w:tblPr/>
      <w:tcPr>
        <w:tcBorders>
          <w:top w:val="single" w:sz="8" w:space="0" w:color="BFBFBF" w:themeColor="accent2"/>
          <w:left w:val="nil"/>
          <w:bottom w:val="single" w:sz="8" w:space="0" w:color="BFBFB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2" w:themeFillTint="3F"/>
      </w:tcPr>
    </w:tblStylePr>
    <w:tblStylePr w:type="band1Horz">
      <w:tblPr/>
      <w:tcPr>
        <w:tcBorders>
          <w:left w:val="nil"/>
          <w:right w:val="nil"/>
          <w:insideH w:val="nil"/>
          <w:insideV w:val="nil"/>
        </w:tcBorders>
        <w:shd w:val="clear" w:color="auto" w:fill="EFEFEF" w:themeFill="accent2" w:themeFillTint="3F"/>
      </w:tcPr>
    </w:tblStylePr>
  </w:style>
  <w:style w:type="table" w:styleId="MediumShading2-Accent3">
    <w:name w:val="Medium Shading 2 Accent 3"/>
    <w:basedOn w:val="TableNormal"/>
    <w:uiPriority w:val="69"/>
    <w:rsid w:val="006F79DE"/>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4">
    <w:name w:val="Plain Table 4"/>
    <w:basedOn w:val="TableNormal"/>
    <w:uiPriority w:val="44"/>
    <w:rsid w:val="006F79DE"/>
    <w:rPr>
      <w:rFonts w:asciiTheme="minorHAnsi" w:eastAsiaTheme="minorHAnsi" w:hAnsiTheme="minorHAnsi" w:cstheme="minorBid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6F79DE"/>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rsid w:val="006F79DE"/>
    <w:pPr>
      <w:spacing w:before="100" w:beforeAutospacing="1" w:after="100" w:afterAutospacing="1" w:line="264" w:lineRule="auto"/>
    </w:pPr>
    <w:rPr>
      <w:rFonts w:ascii="Times New Roman" w:eastAsiaTheme="minorEastAsia" w:hAnsi="Times New Roman" w:cstheme="minorBidi"/>
      <w:sz w:val="20"/>
      <w:lang w:eastAsia="en-AU"/>
    </w:rPr>
  </w:style>
  <w:style w:type="table" w:styleId="TableGridLight">
    <w:name w:val="Grid Table Light"/>
    <w:basedOn w:val="TableNormal"/>
    <w:uiPriority w:val="40"/>
    <w:rsid w:val="006F79DE"/>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6F79DE"/>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ableofFigures">
    <w:name w:val="table of figures"/>
    <w:basedOn w:val="Normal"/>
    <w:next w:val="Normal"/>
    <w:uiPriority w:val="98"/>
    <w:semiHidden/>
    <w:rsid w:val="00A53B7A"/>
    <w:pPr>
      <w:spacing w:line="264" w:lineRule="auto"/>
      <w:jc w:val="right"/>
    </w:pPr>
    <w:rPr>
      <w:rFonts w:ascii="AvantGarde Bk BT" w:eastAsiaTheme="minorEastAsia" w:hAnsi="AvantGarde Bk BT" w:cstheme="minorBidi"/>
      <w:sz w:val="18"/>
      <w:szCs w:val="18"/>
      <w:lang w:eastAsia="en-AU"/>
    </w:rPr>
  </w:style>
  <w:style w:type="paragraph" w:styleId="Index1">
    <w:name w:val="index 1"/>
    <w:basedOn w:val="Normal"/>
    <w:next w:val="Normal"/>
    <w:autoRedefine/>
    <w:uiPriority w:val="98"/>
    <w:semiHidden/>
    <w:rsid w:val="00A53B7A"/>
    <w:pPr>
      <w:spacing w:line="264" w:lineRule="auto"/>
      <w:ind w:left="180" w:hanging="180"/>
    </w:pPr>
    <w:rPr>
      <w:rFonts w:ascii="Times New Roman" w:eastAsiaTheme="minorEastAsia" w:hAnsi="Times New Roman" w:cstheme="minorBidi"/>
      <w:b/>
      <w:sz w:val="18"/>
      <w:szCs w:val="18"/>
      <w:lang w:eastAsia="en-AU"/>
    </w:rPr>
  </w:style>
  <w:style w:type="paragraph" w:customStyle="1" w:styleId="ARbody0">
    <w:name w:val="AR body"/>
    <w:uiPriority w:val="99"/>
    <w:qFormat/>
    <w:rsid w:val="00C71659"/>
    <w:pPr>
      <w:spacing w:after="120" w:line="260" w:lineRule="atLeast"/>
    </w:pPr>
    <w:rPr>
      <w:rFonts w:ascii="Arial" w:eastAsia="Times" w:hAnsi="Arial" w:cs="Arial"/>
      <w:szCs w:val="24"/>
      <w:lang w:eastAsia="en-US"/>
    </w:rPr>
  </w:style>
  <w:style w:type="paragraph" w:customStyle="1" w:styleId="ARtabletext0">
    <w:name w:val="AR table text"/>
    <w:uiPriority w:val="99"/>
    <w:qFormat/>
    <w:rsid w:val="00C71659"/>
    <w:pPr>
      <w:spacing w:before="80" w:after="60" w:line="264" w:lineRule="auto"/>
    </w:pPr>
    <w:rPr>
      <w:rFonts w:ascii="Arial" w:eastAsia="Times" w:hAnsi="Arial" w:cs="Arial"/>
      <w:sz w:val="18"/>
      <w:szCs w:val="18"/>
    </w:rPr>
  </w:style>
  <w:style w:type="paragraph" w:customStyle="1" w:styleId="ARbodyafterbullets0">
    <w:name w:val="AR body after bullets"/>
    <w:basedOn w:val="ARbody0"/>
    <w:uiPriority w:val="3"/>
    <w:qFormat/>
    <w:rsid w:val="00C71659"/>
    <w:pPr>
      <w:spacing w:before="120"/>
    </w:pPr>
  </w:style>
  <w:style w:type="paragraph" w:customStyle="1" w:styleId="ARbullet10">
    <w:name w:val="AR bullet 1"/>
    <w:basedOn w:val="Normal"/>
    <w:qFormat/>
    <w:rsid w:val="00C71659"/>
    <w:pPr>
      <w:spacing w:after="40" w:line="260" w:lineRule="atLeast"/>
      <w:ind w:left="284" w:hanging="284"/>
    </w:pPr>
    <w:rPr>
      <w:rFonts w:eastAsia="Times" w:cs="Arial"/>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svg"/><Relationship Id="rId21" Type="http://schemas.openxmlformats.org/officeDocument/2006/relationships/footer" Target="footer3.xml"/><Relationship Id="rId42" Type="http://schemas.openxmlformats.org/officeDocument/2006/relationships/header" Target="header6.xml"/><Relationship Id="rId47" Type="http://schemas.openxmlformats.org/officeDocument/2006/relationships/header" Target="header7.xml"/><Relationship Id="rId63" Type="http://schemas.openxmlformats.org/officeDocument/2006/relationships/footer" Target="footer9.xml"/><Relationship Id="rId68" Type="http://schemas.openxmlformats.org/officeDocument/2006/relationships/footer" Target="footer11.xml"/><Relationship Id="rId84" Type="http://schemas.openxmlformats.org/officeDocument/2006/relationships/image" Target="media/image21.png"/><Relationship Id="rId89" Type="http://schemas.openxmlformats.org/officeDocument/2006/relationships/header" Target="header25.xml"/><Relationship Id="rId16" Type="http://schemas.openxmlformats.org/officeDocument/2006/relationships/hyperlink" Target="https://creativecommons.org/licenses/by/4.0/legalcode" TargetMode="External"/><Relationship Id="rId11" Type="http://schemas.openxmlformats.org/officeDocument/2006/relationships/image" Target="media/image1.jpeg"/><Relationship Id="rId32" Type="http://schemas.openxmlformats.org/officeDocument/2006/relationships/image" Target="media/image12.svg"/><Relationship Id="rId37" Type="http://schemas.openxmlformats.org/officeDocument/2006/relationships/image" Target="media/image17.png"/><Relationship Id="rId53" Type="http://schemas.openxmlformats.org/officeDocument/2006/relationships/header" Target="header12.xml"/><Relationship Id="rId58" Type="http://schemas.openxmlformats.org/officeDocument/2006/relationships/footer" Target="footer7.xml"/><Relationship Id="rId74" Type="http://schemas.openxmlformats.org/officeDocument/2006/relationships/hyperlink" Target="https://www.tenders.vic.gov.au/" TargetMode="External"/><Relationship Id="rId79" Type="http://schemas.openxmlformats.org/officeDocument/2006/relationships/hyperlink" Target="http://www.dffh.vic.gov.au/publications/annual-report" TargetMode="External"/><Relationship Id="rId5" Type="http://schemas.openxmlformats.org/officeDocument/2006/relationships/numbering" Target="numbering.xml"/><Relationship Id="rId90" Type="http://schemas.openxmlformats.org/officeDocument/2006/relationships/header" Target="header26.xml"/><Relationship Id="rId95" Type="http://schemas.openxmlformats.org/officeDocument/2006/relationships/header" Target="header29.xml"/><Relationship Id="rId22" Type="http://schemas.openxmlformats.org/officeDocument/2006/relationships/footer" Target="footer4.xml"/><Relationship Id="rId27" Type="http://schemas.openxmlformats.org/officeDocument/2006/relationships/image" Target="media/image7.png"/><Relationship Id="rId43" Type="http://schemas.openxmlformats.org/officeDocument/2006/relationships/image" Target="media/image19.png"/><Relationship Id="rId48" Type="http://schemas.openxmlformats.org/officeDocument/2006/relationships/header" Target="header8.xml"/><Relationship Id="rId64" Type="http://schemas.openxmlformats.org/officeDocument/2006/relationships/header" Target="header18.xml"/><Relationship Id="rId69" Type="http://schemas.openxmlformats.org/officeDocument/2006/relationships/header" Target="header21.xml"/><Relationship Id="rId80" Type="http://schemas.openxmlformats.org/officeDocument/2006/relationships/hyperlink" Target="https://ovic.vic.gov.au" TargetMode="External"/><Relationship Id="rId85" Type="http://schemas.openxmlformats.org/officeDocument/2006/relationships/image" Target="media/image22.png"/><Relationship Id="rId12" Type="http://schemas.openxmlformats.org/officeDocument/2006/relationships/footer" Target="footer1.xml"/><Relationship Id="rId17" Type="http://schemas.openxmlformats.org/officeDocument/2006/relationships/hyperlink" Target="https://www.dffh.vic.gov.au/publications/annual-reports-department-families-fairness-housing" TargetMode="Externa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8.svg"/><Relationship Id="rId46" Type="http://schemas.openxmlformats.org/officeDocument/2006/relationships/hyperlink" Target="https://www.dffh.vic.gov.au/publications/korin-korin-balit-djak" TargetMode="External"/><Relationship Id="rId59" Type="http://schemas.openxmlformats.org/officeDocument/2006/relationships/header" Target="header15.xml"/><Relationship Id="rId67" Type="http://schemas.openxmlformats.org/officeDocument/2006/relationships/footer" Target="footer10.xml"/><Relationship Id="rId20" Type="http://schemas.openxmlformats.org/officeDocument/2006/relationships/header" Target="header2.xml"/><Relationship Id="rId41" Type="http://schemas.openxmlformats.org/officeDocument/2006/relationships/header" Target="header5.xml"/><Relationship Id="rId54" Type="http://schemas.openxmlformats.org/officeDocument/2006/relationships/hyperlink" Target="file:///C:/Users/vidckqs/AppData/Local/Microsoft/Windows/INetCache/Content.MSO/4AF3540E.xlsx" TargetMode="External"/><Relationship Id="rId62" Type="http://schemas.openxmlformats.org/officeDocument/2006/relationships/header" Target="header17.xml"/><Relationship Id="rId70" Type="http://schemas.openxmlformats.org/officeDocument/2006/relationships/footer" Target="footer12.xml"/><Relationship Id="rId75" Type="http://schemas.openxmlformats.org/officeDocument/2006/relationships/hyperlink" Target="http://www.ibac.vic.gov.au" TargetMode="External"/><Relationship Id="rId83" Type="http://schemas.openxmlformats.org/officeDocument/2006/relationships/header" Target="header24.xml"/><Relationship Id="rId88" Type="http://schemas.openxmlformats.org/officeDocument/2006/relationships/image" Target="media/image25.png"/><Relationship Id="rId91" Type="http://schemas.openxmlformats.org/officeDocument/2006/relationships/footer" Target="footer13.xml"/><Relationship Id="rId96"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eader" Target="header3.xml"/><Relationship Id="rId28" Type="http://schemas.openxmlformats.org/officeDocument/2006/relationships/image" Target="media/image8.svg"/><Relationship Id="rId36" Type="http://schemas.openxmlformats.org/officeDocument/2006/relationships/image" Target="media/image16.svg"/><Relationship Id="rId49" Type="http://schemas.openxmlformats.org/officeDocument/2006/relationships/header" Target="header9.xml"/><Relationship Id="rId57" Type="http://schemas.openxmlformats.org/officeDocument/2006/relationships/footer" Target="footer6.xml"/><Relationship Id="rId10" Type="http://schemas.openxmlformats.org/officeDocument/2006/relationships/endnotes" Target="endnotes.xml"/><Relationship Id="rId31" Type="http://schemas.openxmlformats.org/officeDocument/2006/relationships/image" Target="media/image11.png"/><Relationship Id="rId44" Type="http://schemas.openxmlformats.org/officeDocument/2006/relationships/image" Target="media/image20.png"/><Relationship Id="rId52" Type="http://schemas.openxmlformats.org/officeDocument/2006/relationships/footer" Target="footer5.xml"/><Relationship Id="rId60" Type="http://schemas.openxmlformats.org/officeDocument/2006/relationships/footer" Target="footer8.xml"/><Relationship Id="rId65" Type="http://schemas.openxmlformats.org/officeDocument/2006/relationships/header" Target="header19.xml"/><Relationship Id="rId73" Type="http://schemas.openxmlformats.org/officeDocument/2006/relationships/hyperlink" Target="https://www.dffh.vic.gov.au/research-restrictive-practices-and-compulsory-treatment" TargetMode="External"/><Relationship Id="rId78" Type="http://schemas.openxmlformats.org/officeDocument/2006/relationships/hyperlink" Target="https://www.data.vic.gov.au" TargetMode="External"/><Relationship Id="rId81" Type="http://schemas.openxmlformats.org/officeDocument/2006/relationships/header" Target="header22.xml"/><Relationship Id="rId86" Type="http://schemas.openxmlformats.org/officeDocument/2006/relationships/image" Target="media/image23.png"/><Relationship Id="rId94" Type="http://schemas.openxmlformats.org/officeDocument/2006/relationships/header" Target="header28.xml"/><Relationship Id="rId99" Type="http://schemas.openxmlformats.org/officeDocument/2006/relationships/hyperlink" Target="mailto:DFFHcorporate.reporting@dffh.vic.gov.au" TargetMode="External"/><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3.jpeg"/><Relationship Id="rId39" Type="http://schemas.openxmlformats.org/officeDocument/2006/relationships/hyperlink" Target="https://vahhf.org.au/resources/ahhf-publications" TargetMode="External"/><Relationship Id="rId34" Type="http://schemas.openxmlformats.org/officeDocument/2006/relationships/image" Target="media/image14.svg"/><Relationship Id="rId50" Type="http://schemas.openxmlformats.org/officeDocument/2006/relationships/header" Target="header10.xml"/><Relationship Id="rId55" Type="http://schemas.openxmlformats.org/officeDocument/2006/relationships/header" Target="header13.xml"/><Relationship Id="rId76" Type="http://schemas.openxmlformats.org/officeDocument/2006/relationships/hyperlink" Target="https://www.dffh.vic.gov.au/public-interest-disclosure" TargetMode="External"/><Relationship Id="rId97" Type="http://schemas.openxmlformats.org/officeDocument/2006/relationships/footer" Target="footer16.xml"/><Relationship Id="rId7" Type="http://schemas.openxmlformats.org/officeDocument/2006/relationships/settings" Target="settings.xml"/><Relationship Id="rId71" Type="http://schemas.openxmlformats.org/officeDocument/2006/relationships/hyperlink" Target="https://www.genderequalitycommission.vic.gov.au/funded-research-projects-2024-targets-pilot" TargetMode="External"/><Relationship Id="rId92" Type="http://schemas.openxmlformats.org/officeDocument/2006/relationships/footer" Target="footer14.xml"/><Relationship Id="rId2" Type="http://schemas.openxmlformats.org/officeDocument/2006/relationships/customXml" Target="../customXml/item2.xml"/><Relationship Id="rId29" Type="http://schemas.openxmlformats.org/officeDocument/2006/relationships/image" Target="media/image9.png"/><Relationship Id="rId24" Type="http://schemas.openxmlformats.org/officeDocument/2006/relationships/image" Target="media/image4.jpeg"/><Relationship Id="rId40" Type="http://schemas.openxmlformats.org/officeDocument/2006/relationships/header" Target="header4.xml"/><Relationship Id="rId45" Type="http://schemas.openxmlformats.org/officeDocument/2006/relationships/hyperlink" Target="https://menu.dffh.vic.gov.au/" TargetMode="External"/><Relationship Id="rId66" Type="http://schemas.openxmlformats.org/officeDocument/2006/relationships/header" Target="header20.xml"/><Relationship Id="rId87" Type="http://schemas.openxmlformats.org/officeDocument/2006/relationships/image" Target="media/image24.png"/><Relationship Id="rId61" Type="http://schemas.openxmlformats.org/officeDocument/2006/relationships/header" Target="header16.xml"/><Relationship Id="rId82" Type="http://schemas.openxmlformats.org/officeDocument/2006/relationships/header" Target="header23.xml"/><Relationship Id="rId19" Type="http://schemas.openxmlformats.org/officeDocument/2006/relationships/header" Target="header1.xml"/><Relationship Id="rId14" Type="http://schemas.openxmlformats.org/officeDocument/2006/relationships/hyperlink" Target="mailto:DFFHcorporate.reporting@dffh.vic.gov.au" TargetMode="External"/><Relationship Id="rId30" Type="http://schemas.openxmlformats.org/officeDocument/2006/relationships/image" Target="media/image10.svg"/><Relationship Id="rId35" Type="http://schemas.openxmlformats.org/officeDocument/2006/relationships/image" Target="media/image15.png"/><Relationship Id="rId56" Type="http://schemas.openxmlformats.org/officeDocument/2006/relationships/header" Target="header14.xml"/><Relationship Id="rId77" Type="http://schemas.openxmlformats.org/officeDocument/2006/relationships/hyperlink" Target="mailto:public.interest.disclosures@dffh.vic.gov.au" TargetMode="External"/><Relationship Id="rId100"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11.xml"/><Relationship Id="rId72" Type="http://schemas.openxmlformats.org/officeDocument/2006/relationships/hyperlink" Target="https://providers.dffh.vic.gov.au/neighbourhood-house-coordination-program" TargetMode="External"/><Relationship Id="rId93" Type="http://schemas.openxmlformats.org/officeDocument/2006/relationships/header" Target="header27.xml"/><Relationship Id="rId98" Type="http://schemas.openxmlformats.org/officeDocument/2006/relationships/header" Target="header30.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uelmacgeorge\OneDrive\WORKING%20FOLDER\DFFH%20AR%202025-26\Template\DFFH%20Annual%20report%20template.dotx" TargetMode="External"/></Relationships>
</file>

<file path=word/theme/theme1.xml><?xml version="1.0" encoding="utf-8"?>
<a:theme xmlns:a="http://schemas.openxmlformats.org/drawingml/2006/main" name="Office Theme">
  <a:themeElements>
    <a:clrScheme name="Annual Report">
      <a:dk1>
        <a:sysClr val="windowText" lastClr="000000"/>
      </a:dk1>
      <a:lt1>
        <a:sysClr val="window" lastClr="FFFFFF"/>
      </a:lt1>
      <a:dk2>
        <a:srgbClr val="201547"/>
      </a:dk2>
      <a:lt2>
        <a:srgbClr val="E7E6E6"/>
      </a:lt2>
      <a:accent1>
        <a:srgbClr val="53565A"/>
      </a:accent1>
      <a:accent2>
        <a:srgbClr val="BFBFBF"/>
      </a:accent2>
      <a:accent3>
        <a:srgbClr val="9BBB59"/>
      </a:accent3>
      <a:accent4>
        <a:srgbClr val="8064A2"/>
      </a:accent4>
      <a:accent5>
        <a:srgbClr val="4BACC6"/>
      </a:accent5>
      <a:accent6>
        <a:srgbClr val="F79646"/>
      </a:accent6>
      <a:hlink>
        <a:srgbClr val="0000FF"/>
      </a:hlink>
      <a:folHlink>
        <a:srgbClr val="800080"/>
      </a:folHlink>
    </a:clrScheme>
    <a:fontScheme name="Annual Repor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9B5ADC3-6C2F-0F4C-8166-A5301B745C1D}">
  <we:reference id="e6f93f79-d76c-4e30-ae6c-4feecf57b76e" version="2.2.7.0" store="EXCatalog" storeType="EXCatalog"/>
  <we:alternateReferences>
    <we:reference id="WA104380773" version="2.2.7.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e8aa0b-93a9-42f6-9fcf-48fa5436d759" xsi:nil="true"/>
    <lcf76f155ced4ddcb4097134ff3c332f xmlns="6b86ac80-c944-46d7-8abb-a27332fc2530">
      <Terms xmlns="http://schemas.microsoft.com/office/infopath/2007/PartnerControls"/>
    </lcf76f155ced4ddcb4097134ff3c332f>
    <Edit_x0020_item xmlns="6b86ac80-c944-46d7-8abb-a27332fc2530" xsi:nil="true"/>
    <Comment xmlns="6b86ac80-c944-46d7-8abb-a27332fc2530" xsi:nil="true"/>
    <dateandtime xmlns="6b86ac80-c944-46d7-8abb-a27332fc2530">2026-10-08T22:02:28+00:00</dateandtime>
    <Portfolio xmlns="6b86ac80-c944-46d7-8abb-a27332fc2530" xsi:nil="true"/>
    <Comments xmlns="6b86ac80-c944-46d7-8abb-a27332fc2530" xsi:nil="true"/>
    <SecretaryReview xmlns="6b86ac80-c944-46d7-8abb-a27332fc253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66D8A972E7D544B000403D9E9A334F" ma:contentTypeVersion="28" ma:contentTypeDescription="Create a new document." ma:contentTypeScope="" ma:versionID="d14a57db918777a9d018c3ed894e88f3">
  <xsd:schema xmlns:xsd="http://www.w3.org/2001/XMLSchema" xmlns:xs="http://www.w3.org/2001/XMLSchema" xmlns:p="http://schemas.microsoft.com/office/2006/metadata/properties" xmlns:ns2="6b86ac80-c944-46d7-8abb-a27332fc2530" xmlns:ns3="48e8aa0b-93a9-42f6-9fcf-48fa5436d759" targetNamespace="http://schemas.microsoft.com/office/2006/metadata/properties" ma:root="true" ma:fieldsID="d52a4673f0696559393ec369ae89938c" ns2:_="" ns3:_="">
    <xsd:import namespace="6b86ac80-c944-46d7-8abb-a27332fc2530"/>
    <xsd:import namespace="48e8aa0b-93a9-42f6-9fcf-48fa5436d759"/>
    <xsd:element name="properties">
      <xsd:complexType>
        <xsd:sequence>
          <xsd:element name="documentManagement">
            <xsd:complexType>
              <xsd:all>
                <xsd:element ref="ns2:SecretaryReview" minOccurs="0"/>
                <xsd:element ref="ns2:Comments" minOccurs="0"/>
                <xsd:element ref="ns2:dateandtime" minOccurs="0"/>
                <xsd:element ref="ns2:Portfolio" minOccurs="0"/>
                <xsd:element ref="ns2:Edit_x0020_item"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element ref="ns2:Comment"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86ac80-c944-46d7-8abb-a27332fc2530" elementFormDefault="qualified">
    <xsd:import namespace="http://schemas.microsoft.com/office/2006/documentManagement/types"/>
    <xsd:import namespace="http://schemas.microsoft.com/office/infopath/2007/PartnerControls"/>
    <xsd:element name="SecretaryReview" ma:index="2" nillable="true" ma:displayName="Secretary Review" ma:format="Dropdown" ma:internalName="SecretaryReview">
      <xsd:simpleType>
        <xsd:restriction base="dms:Choice">
          <xsd:enumeration value="Approved"/>
          <xsd:enumeration value="Reviewed"/>
          <xsd:enumeration value="Redraft"/>
        </xsd:restriction>
      </xsd:simpleType>
    </xsd:element>
    <xsd:element name="Comments" ma:index="3" nillable="true" ma:displayName="Comments" ma:format="Dropdown" ma:internalName="Comments">
      <xsd:simpleType>
        <xsd:restriction base="dms:Text">
          <xsd:maxLength value="255"/>
        </xsd:restriction>
      </xsd:simpleType>
    </xsd:element>
    <xsd:element name="dateandtime" ma:index="4" nillable="true" ma:displayName="date and time" ma:default="[today]" ma:description="description" ma:format="DateOnly" ma:internalName="dateandtime">
      <xsd:simpleType>
        <xsd:restriction base="dms:DateTime"/>
      </xsd:simpleType>
    </xsd:element>
    <xsd:element name="Portfolio" ma:index="5" nillable="true" ma:displayName="Portfolio" ma:format="Dropdown" ma:internalName="Portfolio">
      <xsd:simpleType>
        <xsd:restriction base="dms:Choice">
          <xsd:enumeration value="Ageing"/>
          <xsd:enumeration value="Carers and Volunteers"/>
          <xsd:enumeration value="Children"/>
          <xsd:enumeration value="Corporate"/>
          <xsd:enumeration value="Disability"/>
          <xsd:enumeration value="Equality"/>
          <xsd:enumeration value="Housing"/>
          <xsd:enumeration value="Prevention of Family Violence"/>
          <xsd:enumeration value="Veterans"/>
          <xsd:enumeration value="Women"/>
          <xsd:enumeration value="Youth"/>
        </xsd:restriction>
      </xsd:simpleType>
    </xsd:element>
    <xsd:element name="Edit_x0020_item" ma:index="6" nillable="true" ma:displayName="Edit item" ma:internalName="Edit_x0020_item">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Comment" ma:index="26" nillable="true" ma:displayName="Comment" ma:format="Dropdown" ma:internalName="Comment">
      <xsd:simpleType>
        <xsd:restriction base="dms:Note">
          <xsd:maxLength value="255"/>
        </xsd:restriction>
      </xsd:simpleType>
    </xsd:element>
    <xsd:element name="MediaServiceOCR" ma:index="2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e8aa0b-93a9-42f6-9fcf-48fa5436d75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b6138b2-8cdc-441f-bede-39b978309216}" ma:internalName="TaxCatchAll" ma:showField="CatchAllData" ma:web="48e8aa0b-93a9-42f6-9fcf-48fa5436d75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48e8aa0b-93a9-42f6-9fcf-48fa5436d759"/>
    <ds:schemaRef ds:uri="6b86ac80-c944-46d7-8abb-a27332fc2530"/>
  </ds:schemaRefs>
</ds:datastoreItem>
</file>

<file path=customXml/itemProps2.xml><?xml version="1.0" encoding="utf-8"?>
<ds:datastoreItem xmlns:ds="http://schemas.openxmlformats.org/officeDocument/2006/customXml" ds:itemID="{594440F7-C4D4-4D67-8004-679A4AAFB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86ac80-c944-46d7-8abb-a27332fc2530"/>
    <ds:schemaRef ds:uri="48e8aa0b-93a9-42f6-9fcf-48fa5436d7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4.xml><?xml version="1.0" encoding="utf-8"?>
<ds:datastoreItem xmlns:ds="http://schemas.openxmlformats.org/officeDocument/2006/customXml" ds:itemID="{58CE1EBB-C189-4849-810F-0EC61D30BA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DFFH Annual report template.dotx</Template>
  <TotalTime>1041</TotalTime>
  <Pages>1</Pages>
  <Words>92941</Words>
  <Characters>529764</Characters>
  <Application>Microsoft Office Word</Application>
  <DocSecurity>0</DocSecurity>
  <Lines>4414</Lines>
  <Paragraphs>1242</Paragraphs>
  <ScaleCrop>false</ScaleCrop>
  <HeadingPairs>
    <vt:vector size="2" baseType="variant">
      <vt:variant>
        <vt:lpstr>Title</vt:lpstr>
      </vt:variant>
      <vt:variant>
        <vt:i4>1</vt:i4>
      </vt:variant>
    </vt:vector>
  </HeadingPairs>
  <TitlesOfParts>
    <vt:vector size="1" baseType="lpstr">
      <vt:lpstr>Department of Families, Fairness and Housing annual report 2025–26</vt:lpstr>
    </vt:vector>
  </TitlesOfParts>
  <Company>Victoria State Government, Department of Families, Fairness and Housing</Company>
  <LinksUpToDate>false</LinksUpToDate>
  <CharactersWithSpaces>621463</CharactersWithSpaces>
  <SharedDoc>false</SharedDoc>
  <HyperlinkBase/>
  <HLinks>
    <vt:vector size="960" baseType="variant">
      <vt:variant>
        <vt:i4>1835081</vt:i4>
      </vt:variant>
      <vt:variant>
        <vt:i4>699</vt:i4>
      </vt:variant>
      <vt:variant>
        <vt:i4>0</vt:i4>
      </vt:variant>
      <vt:variant>
        <vt:i4>5</vt:i4>
      </vt:variant>
      <vt:variant>
        <vt:lpwstr/>
      </vt:variant>
      <vt:variant>
        <vt:lpwstr>_Compliance_with_the_3</vt:lpwstr>
      </vt:variant>
      <vt:variant>
        <vt:i4>8126538</vt:i4>
      </vt:variant>
      <vt:variant>
        <vt:i4>696</vt:i4>
      </vt:variant>
      <vt:variant>
        <vt:i4>0</vt:i4>
      </vt:variant>
      <vt:variant>
        <vt:i4>5</vt:i4>
      </vt:variant>
      <vt:variant>
        <vt:lpwstr/>
      </vt:variant>
      <vt:variant>
        <vt:lpwstr>_Transactions_and_balances</vt:lpwstr>
      </vt:variant>
      <vt:variant>
        <vt:i4>655386</vt:i4>
      </vt:variant>
      <vt:variant>
        <vt:i4>693</vt:i4>
      </vt:variant>
      <vt:variant>
        <vt:i4>0</vt:i4>
      </vt:variant>
      <vt:variant>
        <vt:i4>5</vt:i4>
      </vt:variant>
      <vt:variant>
        <vt:lpwstr/>
      </vt:variant>
      <vt:variant>
        <vt:lpwstr>Notes</vt:lpwstr>
      </vt:variant>
      <vt:variant>
        <vt:i4>6881400</vt:i4>
      </vt:variant>
      <vt:variant>
        <vt:i4>690</vt:i4>
      </vt:variant>
      <vt:variant>
        <vt:i4>0</vt:i4>
      </vt:variant>
      <vt:variant>
        <vt:i4>5</vt:i4>
      </vt:variant>
      <vt:variant>
        <vt:lpwstr/>
      </vt:variant>
      <vt:variant>
        <vt:lpwstr>_Executive_data</vt:lpwstr>
      </vt:variant>
      <vt:variant>
        <vt:i4>3670033</vt:i4>
      </vt:variant>
      <vt:variant>
        <vt:i4>687</vt:i4>
      </vt:variant>
      <vt:variant>
        <vt:i4>0</vt:i4>
      </vt:variant>
      <vt:variant>
        <vt:i4>5</vt:i4>
      </vt:variant>
      <vt:variant>
        <vt:lpwstr/>
      </vt:variant>
      <vt:variant>
        <vt:lpwstr>_Public_sector_values</vt:lpwstr>
      </vt:variant>
      <vt:variant>
        <vt:i4>3014662</vt:i4>
      </vt:variant>
      <vt:variant>
        <vt:i4>684</vt:i4>
      </vt:variant>
      <vt:variant>
        <vt:i4>0</vt:i4>
      </vt:variant>
      <vt:variant>
        <vt:i4>5</vt:i4>
      </vt:variant>
      <vt:variant>
        <vt:lpwstr/>
      </vt:variant>
      <vt:variant>
        <vt:lpwstr>_Local_Jobs_First</vt:lpwstr>
      </vt:variant>
      <vt:variant>
        <vt:i4>1179653</vt:i4>
      </vt:variant>
      <vt:variant>
        <vt:i4>681</vt:i4>
      </vt:variant>
      <vt:variant>
        <vt:i4>0</vt:i4>
      </vt:variant>
      <vt:variant>
        <vt:i4>5</vt:i4>
      </vt:variant>
      <vt:variant>
        <vt:lpwstr/>
      </vt:variant>
      <vt:variant>
        <vt:lpwstr>_Freedom_of_information_1</vt:lpwstr>
      </vt:variant>
      <vt:variant>
        <vt:i4>2490398</vt:i4>
      </vt:variant>
      <vt:variant>
        <vt:i4>678</vt:i4>
      </vt:variant>
      <vt:variant>
        <vt:i4>0</vt:i4>
      </vt:variant>
      <vt:variant>
        <vt:i4>5</vt:i4>
      </vt:variant>
      <vt:variant>
        <vt:lpwstr/>
      </vt:variant>
      <vt:variant>
        <vt:lpwstr>_Financial_management_compliance</vt:lpwstr>
      </vt:variant>
      <vt:variant>
        <vt:i4>1704009</vt:i4>
      </vt:variant>
      <vt:variant>
        <vt:i4>675</vt:i4>
      </vt:variant>
      <vt:variant>
        <vt:i4>0</vt:i4>
      </vt:variant>
      <vt:variant>
        <vt:i4>5</vt:i4>
      </vt:variant>
      <vt:variant>
        <vt:lpwstr/>
      </vt:variant>
      <vt:variant>
        <vt:lpwstr>_Compliance_with_the_5</vt:lpwstr>
      </vt:variant>
      <vt:variant>
        <vt:i4>4259966</vt:i4>
      </vt:variant>
      <vt:variant>
        <vt:i4>672</vt:i4>
      </vt:variant>
      <vt:variant>
        <vt:i4>0</vt:i4>
      </vt:variant>
      <vt:variant>
        <vt:i4>5</vt:i4>
      </vt:variant>
      <vt:variant>
        <vt:lpwstr/>
      </vt:variant>
      <vt:variant>
        <vt:lpwstr>_Aboriginal_Children_in</vt:lpwstr>
      </vt:variant>
      <vt:variant>
        <vt:i4>7077990</vt:i4>
      </vt:variant>
      <vt:variant>
        <vt:i4>669</vt:i4>
      </vt:variant>
      <vt:variant>
        <vt:i4>0</vt:i4>
      </vt:variant>
      <vt:variant>
        <vt:i4>5</vt:i4>
      </vt:variant>
      <vt:variant>
        <vt:lpwstr/>
      </vt:variant>
      <vt:variant>
        <vt:lpwstr>CYFact</vt:lpwstr>
      </vt:variant>
      <vt:variant>
        <vt:i4>1769545</vt:i4>
      </vt:variant>
      <vt:variant>
        <vt:i4>666</vt:i4>
      </vt:variant>
      <vt:variant>
        <vt:i4>0</vt:i4>
      </vt:variant>
      <vt:variant>
        <vt:i4>5</vt:i4>
      </vt:variant>
      <vt:variant>
        <vt:lpwstr/>
      </vt:variant>
      <vt:variant>
        <vt:lpwstr>_Compliance_with_the_4</vt:lpwstr>
      </vt:variant>
      <vt:variant>
        <vt:i4>3080214</vt:i4>
      </vt:variant>
      <vt:variant>
        <vt:i4>663</vt:i4>
      </vt:variant>
      <vt:variant>
        <vt:i4>0</vt:i4>
      </vt:variant>
      <vt:variant>
        <vt:i4>5</vt:i4>
      </vt:variant>
      <vt:variant>
        <vt:lpwstr/>
      </vt:variant>
      <vt:variant>
        <vt:lpwstr>_Compliance_with_the</vt:lpwstr>
      </vt:variant>
      <vt:variant>
        <vt:i4>7143439</vt:i4>
      </vt:variant>
      <vt:variant>
        <vt:i4>660</vt:i4>
      </vt:variant>
      <vt:variant>
        <vt:i4>0</vt:i4>
      </vt:variant>
      <vt:variant>
        <vt:i4>5</vt:i4>
      </vt:variant>
      <vt:variant>
        <vt:lpwstr/>
      </vt:variant>
      <vt:variant>
        <vt:lpwstr>_8.1.1__Financial</vt:lpwstr>
      </vt:variant>
      <vt:variant>
        <vt:i4>6750289</vt:i4>
      </vt:variant>
      <vt:variant>
        <vt:i4>657</vt:i4>
      </vt:variant>
      <vt:variant>
        <vt:i4>0</vt:i4>
      </vt:variant>
      <vt:variant>
        <vt:i4>5</vt:i4>
      </vt:variant>
      <vt:variant>
        <vt:lpwstr/>
      </vt:variant>
      <vt:variant>
        <vt:lpwstr>_Provisions_for_superannuation</vt:lpwstr>
      </vt:variant>
      <vt:variant>
        <vt:i4>3276803</vt:i4>
      </vt:variant>
      <vt:variant>
        <vt:i4>654</vt:i4>
      </vt:variant>
      <vt:variant>
        <vt:i4>0</vt:i4>
      </vt:variant>
      <vt:variant>
        <vt:i4>5</vt:i4>
      </vt:variant>
      <vt:variant>
        <vt:lpwstr/>
      </vt:variant>
      <vt:variant>
        <vt:lpwstr>_Cash_flow_statement</vt:lpwstr>
      </vt:variant>
      <vt:variant>
        <vt:i4>6226037</vt:i4>
      </vt:variant>
      <vt:variant>
        <vt:i4>651</vt:i4>
      </vt:variant>
      <vt:variant>
        <vt:i4>0</vt:i4>
      </vt:variant>
      <vt:variant>
        <vt:i4>5</vt:i4>
      </vt:variant>
      <vt:variant>
        <vt:lpwstr/>
      </vt:variant>
      <vt:variant>
        <vt:lpwstr>_Statement_of_cash</vt:lpwstr>
      </vt:variant>
      <vt:variant>
        <vt:i4>327702</vt:i4>
      </vt:variant>
      <vt:variant>
        <vt:i4>648</vt:i4>
      </vt:variant>
      <vt:variant>
        <vt:i4>0</vt:i4>
      </vt:variant>
      <vt:variant>
        <vt:i4>5</vt:i4>
      </vt:variant>
      <vt:variant>
        <vt:lpwstr/>
      </vt:variant>
      <vt:variant>
        <vt:lpwstr>Reserves</vt:lpwstr>
      </vt:variant>
      <vt:variant>
        <vt:i4>1572864</vt:i4>
      </vt:variant>
      <vt:variant>
        <vt:i4>645</vt:i4>
      </vt:variant>
      <vt:variant>
        <vt:i4>0</vt:i4>
      </vt:variant>
      <vt:variant>
        <vt:i4>5</vt:i4>
      </vt:variant>
      <vt:variant>
        <vt:lpwstr/>
      </vt:variant>
      <vt:variant>
        <vt:lpwstr>Otherdisclosures</vt:lpwstr>
      </vt:variant>
      <vt:variant>
        <vt:i4>1835053</vt:i4>
      </vt:variant>
      <vt:variant>
        <vt:i4>642</vt:i4>
      </vt:variant>
      <vt:variant>
        <vt:i4>0</vt:i4>
      </vt:variant>
      <vt:variant>
        <vt:i4>5</vt:i4>
      </vt:variant>
      <vt:variant>
        <vt:lpwstr/>
      </vt:variant>
      <vt:variant>
        <vt:lpwstr>_Introduction</vt:lpwstr>
      </vt:variant>
      <vt:variant>
        <vt:i4>65544</vt:i4>
      </vt:variant>
      <vt:variant>
        <vt:i4>639</vt:i4>
      </vt:variant>
      <vt:variant>
        <vt:i4>0</vt:i4>
      </vt:variant>
      <vt:variant>
        <vt:i4>5</vt:i4>
      </vt:variant>
      <vt:variant>
        <vt:lpwstr/>
      </vt:variant>
      <vt:variant>
        <vt:lpwstr>Balancesheet</vt:lpwstr>
      </vt:variant>
      <vt:variant>
        <vt:i4>6291554</vt:i4>
      </vt:variant>
      <vt:variant>
        <vt:i4>636</vt:i4>
      </vt:variant>
      <vt:variant>
        <vt:i4>0</vt:i4>
      </vt:variant>
      <vt:variant>
        <vt:i4>5</vt:i4>
      </vt:variant>
      <vt:variant>
        <vt:lpwstr/>
      </vt:variant>
      <vt:variant>
        <vt:lpwstr>Responsiblepersons</vt:lpwstr>
      </vt:variant>
      <vt:variant>
        <vt:i4>3407953</vt:i4>
      </vt:variant>
      <vt:variant>
        <vt:i4>633</vt:i4>
      </vt:variant>
      <vt:variant>
        <vt:i4>0</vt:i4>
      </vt:variant>
      <vt:variant>
        <vt:i4>5</vt:i4>
      </vt:variant>
      <vt:variant>
        <vt:lpwstr/>
      </vt:variant>
      <vt:variant>
        <vt:lpwstr>_2.3__Summary</vt:lpwstr>
      </vt:variant>
      <vt:variant>
        <vt:i4>131092</vt:i4>
      </vt:variant>
      <vt:variant>
        <vt:i4>630</vt:i4>
      </vt:variant>
      <vt:variant>
        <vt:i4>0</vt:i4>
      </vt:variant>
      <vt:variant>
        <vt:i4>5</vt:i4>
      </vt:variant>
      <vt:variant>
        <vt:lpwstr/>
      </vt:variant>
      <vt:variant>
        <vt:lpwstr>Exgratiaexpenses</vt:lpwstr>
      </vt:variant>
      <vt:variant>
        <vt:i4>3539025</vt:i4>
      </vt:variant>
      <vt:variant>
        <vt:i4>627</vt:i4>
      </vt:variant>
      <vt:variant>
        <vt:i4>0</vt:i4>
      </vt:variant>
      <vt:variant>
        <vt:i4>5</vt:i4>
      </vt:variant>
      <vt:variant>
        <vt:lpwstr/>
      </vt:variant>
      <vt:variant>
        <vt:lpwstr>_2.1__Summary</vt:lpwstr>
      </vt:variant>
      <vt:variant>
        <vt:i4>7143441</vt:i4>
      </vt:variant>
      <vt:variant>
        <vt:i4>624</vt:i4>
      </vt:variant>
      <vt:variant>
        <vt:i4>0</vt:i4>
      </vt:variant>
      <vt:variant>
        <vt:i4>5</vt:i4>
      </vt:variant>
      <vt:variant>
        <vt:lpwstr/>
      </vt:variant>
      <vt:variant>
        <vt:lpwstr>_4.2.2__Administered</vt:lpwstr>
      </vt:variant>
      <vt:variant>
        <vt:i4>7602278</vt:i4>
      </vt:variant>
      <vt:variant>
        <vt:i4>621</vt:i4>
      </vt:variant>
      <vt:variant>
        <vt:i4>0</vt:i4>
      </vt:variant>
      <vt:variant>
        <vt:i4>5</vt:i4>
      </vt:variant>
      <vt:variant>
        <vt:lpwstr/>
      </vt:variant>
      <vt:variant>
        <vt:lpwstr>Declarationinthefinancialstatements</vt:lpwstr>
      </vt:variant>
      <vt:variant>
        <vt:i4>7602278</vt:i4>
      </vt:variant>
      <vt:variant>
        <vt:i4>618</vt:i4>
      </vt:variant>
      <vt:variant>
        <vt:i4>0</vt:i4>
      </vt:variant>
      <vt:variant>
        <vt:i4>5</vt:i4>
      </vt:variant>
      <vt:variant>
        <vt:lpwstr/>
      </vt:variant>
      <vt:variant>
        <vt:lpwstr>Declarationinthefinancialstatements</vt:lpwstr>
      </vt:variant>
      <vt:variant>
        <vt:i4>7602278</vt:i4>
      </vt:variant>
      <vt:variant>
        <vt:i4>615</vt:i4>
      </vt:variant>
      <vt:variant>
        <vt:i4>0</vt:i4>
      </vt:variant>
      <vt:variant>
        <vt:i4>5</vt:i4>
      </vt:variant>
      <vt:variant>
        <vt:lpwstr/>
      </vt:variant>
      <vt:variant>
        <vt:lpwstr>Declarationinthefinancialstatements</vt:lpwstr>
      </vt:variant>
      <vt:variant>
        <vt:i4>7602278</vt:i4>
      </vt:variant>
      <vt:variant>
        <vt:i4>612</vt:i4>
      </vt:variant>
      <vt:variant>
        <vt:i4>0</vt:i4>
      </vt:variant>
      <vt:variant>
        <vt:i4>5</vt:i4>
      </vt:variant>
      <vt:variant>
        <vt:lpwstr/>
      </vt:variant>
      <vt:variant>
        <vt:lpwstr>Declarationinthefinancialstatements</vt:lpwstr>
      </vt:variant>
      <vt:variant>
        <vt:i4>540672117</vt:i4>
      </vt:variant>
      <vt:variant>
        <vt:i4>609</vt:i4>
      </vt:variant>
      <vt:variant>
        <vt:i4>0</vt:i4>
      </vt:variant>
      <vt:variant>
        <vt:i4>5</vt:i4>
      </vt:variant>
      <vt:variant>
        <vt:lpwstr/>
      </vt:variant>
      <vt:variant>
        <vt:lpwstr>_Responsible_body’s_declaration</vt:lpwstr>
      </vt:variant>
      <vt:variant>
        <vt:i4>2490398</vt:i4>
      </vt:variant>
      <vt:variant>
        <vt:i4>606</vt:i4>
      </vt:variant>
      <vt:variant>
        <vt:i4>0</vt:i4>
      </vt:variant>
      <vt:variant>
        <vt:i4>5</vt:i4>
      </vt:variant>
      <vt:variant>
        <vt:lpwstr/>
      </vt:variant>
      <vt:variant>
        <vt:lpwstr>_Financial_management_compliance</vt:lpwstr>
      </vt:variant>
      <vt:variant>
        <vt:i4>196612</vt:i4>
      </vt:variant>
      <vt:variant>
        <vt:i4>603</vt:i4>
      </vt:variant>
      <vt:variant>
        <vt:i4>0</vt:i4>
      </vt:variant>
      <vt:variant>
        <vt:i4>5</vt:i4>
      </vt:variant>
      <vt:variant>
        <vt:lpwstr/>
      </vt:variant>
      <vt:variant>
        <vt:lpwstr>Standingdirection</vt:lpwstr>
      </vt:variant>
      <vt:variant>
        <vt:i4>3735608</vt:i4>
      </vt:variant>
      <vt:variant>
        <vt:i4>600</vt:i4>
      </vt:variant>
      <vt:variant>
        <vt:i4>0</vt:i4>
      </vt:variant>
      <vt:variant>
        <vt:i4>5</vt:i4>
      </vt:variant>
      <vt:variant>
        <vt:lpwstr/>
      </vt:variant>
      <vt:variant>
        <vt:lpwstr>_Comparative_workforce_data_1</vt:lpwstr>
      </vt:variant>
      <vt:variant>
        <vt:i4>3014662</vt:i4>
      </vt:variant>
      <vt:variant>
        <vt:i4>597</vt:i4>
      </vt:variant>
      <vt:variant>
        <vt:i4>0</vt:i4>
      </vt:variant>
      <vt:variant>
        <vt:i4>5</vt:i4>
      </vt:variant>
      <vt:variant>
        <vt:lpwstr/>
      </vt:variant>
      <vt:variant>
        <vt:lpwstr>_Local_Jobs_First</vt:lpwstr>
      </vt:variant>
      <vt:variant>
        <vt:i4>5046379</vt:i4>
      </vt:variant>
      <vt:variant>
        <vt:i4>594</vt:i4>
      </vt:variant>
      <vt:variant>
        <vt:i4>0</vt:i4>
      </vt:variant>
      <vt:variant>
        <vt:i4>5</vt:i4>
      </vt:variant>
      <vt:variant>
        <vt:lpwstr/>
      </vt:variant>
      <vt:variant>
        <vt:lpwstr>_Freedom_of_information</vt:lpwstr>
      </vt:variant>
      <vt:variant>
        <vt:i4>7077925</vt:i4>
      </vt:variant>
      <vt:variant>
        <vt:i4>591</vt:i4>
      </vt:variant>
      <vt:variant>
        <vt:i4>0</vt:i4>
      </vt:variant>
      <vt:variant>
        <vt:i4>5</vt:i4>
      </vt:variant>
      <vt:variant>
        <vt:lpwstr/>
      </vt:variant>
      <vt:variant>
        <vt:lpwstr>_Disclosure_of_procurement_1</vt:lpwstr>
      </vt:variant>
      <vt:variant>
        <vt:i4>5505101</vt:i4>
      </vt:variant>
      <vt:variant>
        <vt:i4>588</vt:i4>
      </vt:variant>
      <vt:variant>
        <vt:i4>0</vt:i4>
      </vt:variant>
      <vt:variant>
        <vt:i4>5</vt:i4>
      </vt:variant>
      <vt:variant>
        <vt:lpwstr/>
      </vt:variant>
      <vt:variant>
        <vt:lpwstr>_Social_procurement_framework_1</vt:lpwstr>
      </vt:variant>
      <vt:variant>
        <vt:i4>3342339</vt:i4>
      </vt:variant>
      <vt:variant>
        <vt:i4>585</vt:i4>
      </vt:variant>
      <vt:variant>
        <vt:i4>0</vt:i4>
      </vt:variant>
      <vt:variant>
        <vt:i4>5</vt:i4>
      </vt:variant>
      <vt:variant>
        <vt:lpwstr/>
      </vt:variant>
      <vt:variant>
        <vt:lpwstr>_Disclosure_of_emergency</vt:lpwstr>
      </vt:variant>
      <vt:variant>
        <vt:i4>786487</vt:i4>
      </vt:variant>
      <vt:variant>
        <vt:i4>582</vt:i4>
      </vt:variant>
      <vt:variant>
        <vt:i4>0</vt:i4>
      </vt:variant>
      <vt:variant>
        <vt:i4>5</vt:i4>
      </vt:variant>
      <vt:variant>
        <vt:lpwstr/>
      </vt:variant>
      <vt:variant>
        <vt:lpwstr>_Appendix_4:_Additional</vt:lpwstr>
      </vt:variant>
      <vt:variant>
        <vt:i4>4194398</vt:i4>
      </vt:variant>
      <vt:variant>
        <vt:i4>579</vt:i4>
      </vt:variant>
      <vt:variant>
        <vt:i4>0</vt:i4>
      </vt:variant>
      <vt:variant>
        <vt:i4>5</vt:i4>
      </vt:variant>
      <vt:variant>
        <vt:lpwstr/>
      </vt:variant>
      <vt:variant>
        <vt:lpwstr>_Review_and_study_1</vt:lpwstr>
      </vt:variant>
      <vt:variant>
        <vt:i4>6946898</vt:i4>
      </vt:variant>
      <vt:variant>
        <vt:i4>576</vt:i4>
      </vt:variant>
      <vt:variant>
        <vt:i4>0</vt:i4>
      </vt:variant>
      <vt:variant>
        <vt:i4>5</vt:i4>
      </vt:variant>
      <vt:variant>
        <vt:lpwstr/>
      </vt:variant>
      <vt:variant>
        <vt:lpwstr>_Information_and_communication</vt:lpwstr>
      </vt:variant>
      <vt:variant>
        <vt:i4>2621482</vt:i4>
      </vt:variant>
      <vt:variant>
        <vt:i4>573</vt:i4>
      </vt:variant>
      <vt:variant>
        <vt:i4>0</vt:i4>
      </vt:variant>
      <vt:variant>
        <vt:i4>5</vt:i4>
      </vt:variant>
      <vt:variant>
        <vt:lpwstr/>
      </vt:variant>
      <vt:variant>
        <vt:lpwstr>_Government_advertising_expenditure_1</vt:lpwstr>
      </vt:variant>
      <vt:variant>
        <vt:i4>7471222</vt:i4>
      </vt:variant>
      <vt:variant>
        <vt:i4>570</vt:i4>
      </vt:variant>
      <vt:variant>
        <vt:i4>0</vt:i4>
      </vt:variant>
      <vt:variant>
        <vt:i4>5</vt:i4>
      </vt:variant>
      <vt:variant>
        <vt:lpwstr/>
      </vt:variant>
      <vt:variant>
        <vt:lpwstr>_Details_of_consultancies_1</vt:lpwstr>
      </vt:variant>
      <vt:variant>
        <vt:i4>1966147</vt:i4>
      </vt:variant>
      <vt:variant>
        <vt:i4>567</vt:i4>
      </vt:variant>
      <vt:variant>
        <vt:i4>0</vt:i4>
      </vt:variant>
      <vt:variant>
        <vt:i4>5</vt:i4>
      </vt:variant>
      <vt:variant>
        <vt:lpwstr/>
      </vt:variant>
      <vt:variant>
        <vt:lpwstr>_Consultancies_(valued_at_1</vt:lpwstr>
      </vt:variant>
      <vt:variant>
        <vt:i4>1769545</vt:i4>
      </vt:variant>
      <vt:variant>
        <vt:i4>564</vt:i4>
      </vt:variant>
      <vt:variant>
        <vt:i4>0</vt:i4>
      </vt:variant>
      <vt:variant>
        <vt:i4>5</vt:i4>
      </vt:variant>
      <vt:variant>
        <vt:lpwstr/>
      </vt:variant>
      <vt:variant>
        <vt:lpwstr>_Compliance_with_the_4</vt:lpwstr>
      </vt:variant>
      <vt:variant>
        <vt:i4>1835081</vt:i4>
      </vt:variant>
      <vt:variant>
        <vt:i4>561</vt:i4>
      </vt:variant>
      <vt:variant>
        <vt:i4>0</vt:i4>
      </vt:variant>
      <vt:variant>
        <vt:i4>5</vt:i4>
      </vt:variant>
      <vt:variant>
        <vt:lpwstr/>
      </vt:variant>
      <vt:variant>
        <vt:lpwstr>_Compliance_with_the_3</vt:lpwstr>
      </vt:variant>
      <vt:variant>
        <vt:i4>7209001</vt:i4>
      </vt:variant>
      <vt:variant>
        <vt:i4>558</vt:i4>
      </vt:variant>
      <vt:variant>
        <vt:i4>0</vt:i4>
      </vt:variant>
      <vt:variant>
        <vt:i4>5</vt:i4>
      </vt:variant>
      <vt:variant>
        <vt:lpwstr/>
      </vt:variant>
      <vt:variant>
        <vt:lpwstr>_Competitive_neutrality_policy_1</vt:lpwstr>
      </vt:variant>
      <vt:variant>
        <vt:i4>3080214</vt:i4>
      </vt:variant>
      <vt:variant>
        <vt:i4>555</vt:i4>
      </vt:variant>
      <vt:variant>
        <vt:i4>0</vt:i4>
      </vt:variant>
      <vt:variant>
        <vt:i4>5</vt:i4>
      </vt:variant>
      <vt:variant>
        <vt:lpwstr/>
      </vt:variant>
      <vt:variant>
        <vt:lpwstr>_Compliance_with_the</vt:lpwstr>
      </vt:variant>
      <vt:variant>
        <vt:i4>1179653</vt:i4>
      </vt:variant>
      <vt:variant>
        <vt:i4>552</vt:i4>
      </vt:variant>
      <vt:variant>
        <vt:i4>0</vt:i4>
      </vt:variant>
      <vt:variant>
        <vt:i4>5</vt:i4>
      </vt:variant>
      <vt:variant>
        <vt:lpwstr/>
      </vt:variant>
      <vt:variant>
        <vt:lpwstr>_Freedom_of_information_1</vt:lpwstr>
      </vt:variant>
      <vt:variant>
        <vt:i4>5963853</vt:i4>
      </vt:variant>
      <vt:variant>
        <vt:i4>549</vt:i4>
      </vt:variant>
      <vt:variant>
        <vt:i4>0</vt:i4>
      </vt:variant>
      <vt:variant>
        <vt:i4>5</vt:i4>
      </vt:variant>
      <vt:variant>
        <vt:lpwstr/>
      </vt:variant>
      <vt:variant>
        <vt:lpwstr>_Subsequent_events</vt:lpwstr>
      </vt:variant>
      <vt:variant>
        <vt:i4>2097184</vt:i4>
      </vt:variant>
      <vt:variant>
        <vt:i4>546</vt:i4>
      </vt:variant>
      <vt:variant>
        <vt:i4>0</vt:i4>
      </vt:variant>
      <vt:variant>
        <vt:i4>5</vt:i4>
      </vt:variant>
      <vt:variant>
        <vt:lpwstr/>
      </vt:variant>
      <vt:variant>
        <vt:lpwstr>_Performance_against_output_1</vt:lpwstr>
      </vt:variant>
      <vt:variant>
        <vt:i4>5046385</vt:i4>
      </vt:variant>
      <vt:variant>
        <vt:i4>543</vt:i4>
      </vt:variant>
      <vt:variant>
        <vt:i4>0</vt:i4>
      </vt:variant>
      <vt:variant>
        <vt:i4>5</vt:i4>
      </vt:variant>
      <vt:variant>
        <vt:lpwstr/>
      </vt:variant>
      <vt:variant>
        <vt:lpwstr>_Current_year_financial</vt:lpwstr>
      </vt:variant>
      <vt:variant>
        <vt:i4>6553678</vt:i4>
      </vt:variant>
      <vt:variant>
        <vt:i4>540</vt:i4>
      </vt:variant>
      <vt:variant>
        <vt:i4>0</vt:i4>
      </vt:variant>
      <vt:variant>
        <vt:i4>5</vt:i4>
      </vt:variant>
      <vt:variant>
        <vt:lpwstr/>
      </vt:variant>
      <vt:variant>
        <vt:lpwstr>_Departmental_financial_summary</vt:lpwstr>
      </vt:variant>
      <vt:variant>
        <vt:i4>196722</vt:i4>
      </vt:variant>
      <vt:variant>
        <vt:i4>537</vt:i4>
      </vt:variant>
      <vt:variant>
        <vt:i4>0</vt:i4>
      </vt:variant>
      <vt:variant>
        <vt:i4>5</vt:i4>
      </vt:variant>
      <vt:variant>
        <vt:lpwstr/>
      </vt:variant>
      <vt:variant>
        <vt:lpwstr>_Employee_health,_safety</vt:lpwstr>
      </vt:variant>
      <vt:variant>
        <vt:i4>5308505</vt:i4>
      </vt:variant>
      <vt:variant>
        <vt:i4>534</vt:i4>
      </vt:variant>
      <vt:variant>
        <vt:i4>0</vt:i4>
      </vt:variant>
      <vt:variant>
        <vt:i4>5</vt:i4>
      </vt:variant>
      <vt:variant>
        <vt:lpwstr/>
      </vt:variant>
      <vt:variant>
        <vt:lpwstr>_Section_3:_Our_1</vt:lpwstr>
      </vt:variant>
      <vt:variant>
        <vt:i4>589848</vt:i4>
      </vt:variant>
      <vt:variant>
        <vt:i4>531</vt:i4>
      </vt:variant>
      <vt:variant>
        <vt:i4>0</vt:i4>
      </vt:variant>
      <vt:variant>
        <vt:i4>5</vt:i4>
      </vt:variant>
      <vt:variant>
        <vt:lpwstr/>
      </vt:variant>
      <vt:variant>
        <vt:lpwstr>Executivedata</vt:lpwstr>
      </vt:variant>
      <vt:variant>
        <vt:i4>3538964</vt:i4>
      </vt:variant>
      <vt:variant>
        <vt:i4>528</vt:i4>
      </vt:variant>
      <vt:variant>
        <vt:i4>0</vt:i4>
      </vt:variant>
      <vt:variant>
        <vt:i4>5</vt:i4>
      </vt:variant>
      <vt:variant>
        <vt:lpwstr/>
      </vt:variant>
      <vt:variant>
        <vt:lpwstr>_Disclosure_of_major</vt:lpwstr>
      </vt:variant>
      <vt:variant>
        <vt:i4>7733327</vt:i4>
      </vt:variant>
      <vt:variant>
        <vt:i4>525</vt:i4>
      </vt:variant>
      <vt:variant>
        <vt:i4>0</vt:i4>
      </vt:variant>
      <vt:variant>
        <vt:i4>5</vt:i4>
      </vt:variant>
      <vt:variant>
        <vt:lpwstr/>
      </vt:variant>
      <vt:variant>
        <vt:lpwstr>_Budget_portfolio_outcomes</vt:lpwstr>
      </vt:variant>
      <vt:variant>
        <vt:i4>2097184</vt:i4>
      </vt:variant>
      <vt:variant>
        <vt:i4>522</vt:i4>
      </vt:variant>
      <vt:variant>
        <vt:i4>0</vt:i4>
      </vt:variant>
      <vt:variant>
        <vt:i4>5</vt:i4>
      </vt:variant>
      <vt:variant>
        <vt:lpwstr/>
      </vt:variant>
      <vt:variant>
        <vt:lpwstr>_Performance_against_output_1</vt:lpwstr>
      </vt:variant>
      <vt:variant>
        <vt:i4>1769532</vt:i4>
      </vt:variant>
      <vt:variant>
        <vt:i4>519</vt:i4>
      </vt:variant>
      <vt:variant>
        <vt:i4>0</vt:i4>
      </vt:variant>
      <vt:variant>
        <vt:i4>5</vt:i4>
      </vt:variant>
      <vt:variant>
        <vt:lpwstr/>
      </vt:variant>
      <vt:variant>
        <vt:lpwstr>_Organisational_structure_as</vt:lpwstr>
      </vt:variant>
      <vt:variant>
        <vt:i4>7143510</vt:i4>
      </vt:variant>
      <vt:variant>
        <vt:i4>516</vt:i4>
      </vt:variant>
      <vt:variant>
        <vt:i4>0</vt:i4>
      </vt:variant>
      <vt:variant>
        <vt:i4>5</vt:i4>
      </vt:variant>
      <vt:variant>
        <vt:lpwstr/>
      </vt:variant>
      <vt:variant>
        <vt:lpwstr>_Purpose_and_functions</vt:lpwstr>
      </vt:variant>
      <vt:variant>
        <vt:i4>7536715</vt:i4>
      </vt:variant>
      <vt:variant>
        <vt:i4>513</vt:i4>
      </vt:variant>
      <vt:variant>
        <vt:i4>0</vt:i4>
      </vt:variant>
      <vt:variant>
        <vt:i4>5</vt:i4>
      </vt:variant>
      <vt:variant>
        <vt:lpwstr/>
      </vt:variant>
      <vt:variant>
        <vt:lpwstr>_Objective:_Children,_young</vt:lpwstr>
      </vt:variant>
      <vt:variant>
        <vt:i4>524412</vt:i4>
      </vt:variant>
      <vt:variant>
        <vt:i4>510</vt:i4>
      </vt:variant>
      <vt:variant>
        <vt:i4>0</vt:i4>
      </vt:variant>
      <vt:variant>
        <vt:i4>5</vt:i4>
      </vt:variant>
      <vt:variant>
        <vt:lpwstr/>
      </vt:variant>
      <vt:variant>
        <vt:lpwstr>_Departmental_objectives,_indicators</vt:lpwstr>
      </vt:variant>
      <vt:variant>
        <vt:i4>7143510</vt:i4>
      </vt:variant>
      <vt:variant>
        <vt:i4>507</vt:i4>
      </vt:variant>
      <vt:variant>
        <vt:i4>0</vt:i4>
      </vt:variant>
      <vt:variant>
        <vt:i4>5</vt:i4>
      </vt:variant>
      <vt:variant>
        <vt:lpwstr/>
      </vt:variant>
      <vt:variant>
        <vt:lpwstr>_Purpose_and_functions</vt:lpwstr>
      </vt:variant>
      <vt:variant>
        <vt:i4>540278895</vt:i4>
      </vt:variant>
      <vt:variant>
        <vt:i4>504</vt:i4>
      </vt:variant>
      <vt:variant>
        <vt:i4>0</vt:i4>
      </vt:variant>
      <vt:variant>
        <vt:i4>5</vt:i4>
      </vt:variant>
      <vt:variant>
        <vt:lpwstr/>
      </vt:variant>
      <vt:variant>
        <vt:lpwstr>_The_department’s_ministers</vt:lpwstr>
      </vt:variant>
      <vt:variant>
        <vt:i4>3866696</vt:i4>
      </vt:variant>
      <vt:variant>
        <vt:i4>501</vt:i4>
      </vt:variant>
      <vt:variant>
        <vt:i4>0</vt:i4>
      </vt:variant>
      <vt:variant>
        <vt:i4>5</vt:i4>
      </vt:variant>
      <vt:variant>
        <vt:lpwstr>mailto:DFFHcorporate.reporting@dffh.vic.gov.au</vt:lpwstr>
      </vt:variant>
      <vt:variant>
        <vt:lpwstr/>
      </vt:variant>
      <vt:variant>
        <vt:i4>1966128</vt:i4>
      </vt:variant>
      <vt:variant>
        <vt:i4>494</vt:i4>
      </vt:variant>
      <vt:variant>
        <vt:i4>0</vt:i4>
      </vt:variant>
      <vt:variant>
        <vt:i4>5</vt:i4>
      </vt:variant>
      <vt:variant>
        <vt:lpwstr/>
      </vt:variant>
      <vt:variant>
        <vt:lpwstr>_Toc241068552</vt:lpwstr>
      </vt:variant>
      <vt:variant>
        <vt:i4>1966128</vt:i4>
      </vt:variant>
      <vt:variant>
        <vt:i4>488</vt:i4>
      </vt:variant>
      <vt:variant>
        <vt:i4>0</vt:i4>
      </vt:variant>
      <vt:variant>
        <vt:i4>5</vt:i4>
      </vt:variant>
      <vt:variant>
        <vt:lpwstr/>
      </vt:variant>
      <vt:variant>
        <vt:lpwstr>_Toc241068551</vt:lpwstr>
      </vt:variant>
      <vt:variant>
        <vt:i4>1966128</vt:i4>
      </vt:variant>
      <vt:variant>
        <vt:i4>482</vt:i4>
      </vt:variant>
      <vt:variant>
        <vt:i4>0</vt:i4>
      </vt:variant>
      <vt:variant>
        <vt:i4>5</vt:i4>
      </vt:variant>
      <vt:variant>
        <vt:lpwstr/>
      </vt:variant>
      <vt:variant>
        <vt:lpwstr>_Toc241068550</vt:lpwstr>
      </vt:variant>
      <vt:variant>
        <vt:i4>2031664</vt:i4>
      </vt:variant>
      <vt:variant>
        <vt:i4>476</vt:i4>
      </vt:variant>
      <vt:variant>
        <vt:i4>0</vt:i4>
      </vt:variant>
      <vt:variant>
        <vt:i4>5</vt:i4>
      </vt:variant>
      <vt:variant>
        <vt:lpwstr/>
      </vt:variant>
      <vt:variant>
        <vt:lpwstr>_Toc241068549</vt:lpwstr>
      </vt:variant>
      <vt:variant>
        <vt:i4>2031664</vt:i4>
      </vt:variant>
      <vt:variant>
        <vt:i4>470</vt:i4>
      </vt:variant>
      <vt:variant>
        <vt:i4>0</vt:i4>
      </vt:variant>
      <vt:variant>
        <vt:i4>5</vt:i4>
      </vt:variant>
      <vt:variant>
        <vt:lpwstr/>
      </vt:variant>
      <vt:variant>
        <vt:lpwstr>_Toc241068548</vt:lpwstr>
      </vt:variant>
      <vt:variant>
        <vt:i4>2031664</vt:i4>
      </vt:variant>
      <vt:variant>
        <vt:i4>464</vt:i4>
      </vt:variant>
      <vt:variant>
        <vt:i4>0</vt:i4>
      </vt:variant>
      <vt:variant>
        <vt:i4>5</vt:i4>
      </vt:variant>
      <vt:variant>
        <vt:lpwstr/>
      </vt:variant>
      <vt:variant>
        <vt:lpwstr>_Toc241068547</vt:lpwstr>
      </vt:variant>
      <vt:variant>
        <vt:i4>2031664</vt:i4>
      </vt:variant>
      <vt:variant>
        <vt:i4>458</vt:i4>
      </vt:variant>
      <vt:variant>
        <vt:i4>0</vt:i4>
      </vt:variant>
      <vt:variant>
        <vt:i4>5</vt:i4>
      </vt:variant>
      <vt:variant>
        <vt:lpwstr/>
      </vt:variant>
      <vt:variant>
        <vt:lpwstr>_Toc241068546</vt:lpwstr>
      </vt:variant>
      <vt:variant>
        <vt:i4>2031664</vt:i4>
      </vt:variant>
      <vt:variant>
        <vt:i4>452</vt:i4>
      </vt:variant>
      <vt:variant>
        <vt:i4>0</vt:i4>
      </vt:variant>
      <vt:variant>
        <vt:i4>5</vt:i4>
      </vt:variant>
      <vt:variant>
        <vt:lpwstr/>
      </vt:variant>
      <vt:variant>
        <vt:lpwstr>_Toc241068545</vt:lpwstr>
      </vt:variant>
      <vt:variant>
        <vt:i4>2031664</vt:i4>
      </vt:variant>
      <vt:variant>
        <vt:i4>446</vt:i4>
      </vt:variant>
      <vt:variant>
        <vt:i4>0</vt:i4>
      </vt:variant>
      <vt:variant>
        <vt:i4>5</vt:i4>
      </vt:variant>
      <vt:variant>
        <vt:lpwstr/>
      </vt:variant>
      <vt:variant>
        <vt:lpwstr>_Toc241068544</vt:lpwstr>
      </vt:variant>
      <vt:variant>
        <vt:i4>2031664</vt:i4>
      </vt:variant>
      <vt:variant>
        <vt:i4>440</vt:i4>
      </vt:variant>
      <vt:variant>
        <vt:i4>0</vt:i4>
      </vt:variant>
      <vt:variant>
        <vt:i4>5</vt:i4>
      </vt:variant>
      <vt:variant>
        <vt:lpwstr/>
      </vt:variant>
      <vt:variant>
        <vt:lpwstr>_Toc241068543</vt:lpwstr>
      </vt:variant>
      <vt:variant>
        <vt:i4>2031664</vt:i4>
      </vt:variant>
      <vt:variant>
        <vt:i4>434</vt:i4>
      </vt:variant>
      <vt:variant>
        <vt:i4>0</vt:i4>
      </vt:variant>
      <vt:variant>
        <vt:i4>5</vt:i4>
      </vt:variant>
      <vt:variant>
        <vt:lpwstr/>
      </vt:variant>
      <vt:variant>
        <vt:lpwstr>_Toc241068542</vt:lpwstr>
      </vt:variant>
      <vt:variant>
        <vt:i4>2031664</vt:i4>
      </vt:variant>
      <vt:variant>
        <vt:i4>428</vt:i4>
      </vt:variant>
      <vt:variant>
        <vt:i4>0</vt:i4>
      </vt:variant>
      <vt:variant>
        <vt:i4>5</vt:i4>
      </vt:variant>
      <vt:variant>
        <vt:lpwstr/>
      </vt:variant>
      <vt:variant>
        <vt:lpwstr>_Toc241068541</vt:lpwstr>
      </vt:variant>
      <vt:variant>
        <vt:i4>2031664</vt:i4>
      </vt:variant>
      <vt:variant>
        <vt:i4>422</vt:i4>
      </vt:variant>
      <vt:variant>
        <vt:i4>0</vt:i4>
      </vt:variant>
      <vt:variant>
        <vt:i4>5</vt:i4>
      </vt:variant>
      <vt:variant>
        <vt:lpwstr/>
      </vt:variant>
      <vt:variant>
        <vt:lpwstr>_Toc241068540</vt:lpwstr>
      </vt:variant>
      <vt:variant>
        <vt:i4>1572912</vt:i4>
      </vt:variant>
      <vt:variant>
        <vt:i4>416</vt:i4>
      </vt:variant>
      <vt:variant>
        <vt:i4>0</vt:i4>
      </vt:variant>
      <vt:variant>
        <vt:i4>5</vt:i4>
      </vt:variant>
      <vt:variant>
        <vt:lpwstr/>
      </vt:variant>
      <vt:variant>
        <vt:lpwstr>_Toc241068539</vt:lpwstr>
      </vt:variant>
      <vt:variant>
        <vt:i4>1572912</vt:i4>
      </vt:variant>
      <vt:variant>
        <vt:i4>410</vt:i4>
      </vt:variant>
      <vt:variant>
        <vt:i4>0</vt:i4>
      </vt:variant>
      <vt:variant>
        <vt:i4>5</vt:i4>
      </vt:variant>
      <vt:variant>
        <vt:lpwstr/>
      </vt:variant>
      <vt:variant>
        <vt:lpwstr>_Toc241068538</vt:lpwstr>
      </vt:variant>
      <vt:variant>
        <vt:i4>1572912</vt:i4>
      </vt:variant>
      <vt:variant>
        <vt:i4>404</vt:i4>
      </vt:variant>
      <vt:variant>
        <vt:i4>0</vt:i4>
      </vt:variant>
      <vt:variant>
        <vt:i4>5</vt:i4>
      </vt:variant>
      <vt:variant>
        <vt:lpwstr/>
      </vt:variant>
      <vt:variant>
        <vt:lpwstr>_Toc241068537</vt:lpwstr>
      </vt:variant>
      <vt:variant>
        <vt:i4>5111835</vt:i4>
      </vt:variant>
      <vt:variant>
        <vt:i4>399</vt:i4>
      </vt:variant>
      <vt:variant>
        <vt:i4>0</vt:i4>
      </vt:variant>
      <vt:variant>
        <vt:i4>5</vt:i4>
      </vt:variant>
      <vt:variant>
        <vt:lpwstr>https://ovic.vic.gov.au/</vt:lpwstr>
      </vt:variant>
      <vt:variant>
        <vt:lpwstr/>
      </vt:variant>
      <vt:variant>
        <vt:i4>4259919</vt:i4>
      </vt:variant>
      <vt:variant>
        <vt:i4>396</vt:i4>
      </vt:variant>
      <vt:variant>
        <vt:i4>0</vt:i4>
      </vt:variant>
      <vt:variant>
        <vt:i4>5</vt:i4>
      </vt:variant>
      <vt:variant>
        <vt:lpwstr>http://www.dffh.vic.gov.au/publications/annual-report</vt:lpwstr>
      </vt:variant>
      <vt:variant>
        <vt:lpwstr/>
      </vt:variant>
      <vt:variant>
        <vt:i4>131085</vt:i4>
      </vt:variant>
      <vt:variant>
        <vt:i4>393</vt:i4>
      </vt:variant>
      <vt:variant>
        <vt:i4>0</vt:i4>
      </vt:variant>
      <vt:variant>
        <vt:i4>5</vt:i4>
      </vt:variant>
      <vt:variant>
        <vt:lpwstr>https://www.data.vic.gov.au/</vt:lpwstr>
      </vt:variant>
      <vt:variant>
        <vt:lpwstr/>
      </vt:variant>
      <vt:variant>
        <vt:i4>8061020</vt:i4>
      </vt:variant>
      <vt:variant>
        <vt:i4>390</vt:i4>
      </vt:variant>
      <vt:variant>
        <vt:i4>0</vt:i4>
      </vt:variant>
      <vt:variant>
        <vt:i4>5</vt:i4>
      </vt:variant>
      <vt:variant>
        <vt:lpwstr>mailto:public.interest.disclosures@dffh.vic.gov.au</vt:lpwstr>
      </vt:variant>
      <vt:variant>
        <vt:lpwstr/>
      </vt:variant>
      <vt:variant>
        <vt:i4>3276841</vt:i4>
      </vt:variant>
      <vt:variant>
        <vt:i4>387</vt:i4>
      </vt:variant>
      <vt:variant>
        <vt:i4>0</vt:i4>
      </vt:variant>
      <vt:variant>
        <vt:i4>5</vt:i4>
      </vt:variant>
      <vt:variant>
        <vt:lpwstr>https://www.dffh.vic.gov.au/public-interest-disclosure</vt:lpwstr>
      </vt:variant>
      <vt:variant>
        <vt:lpwstr/>
      </vt:variant>
      <vt:variant>
        <vt:i4>8257588</vt:i4>
      </vt:variant>
      <vt:variant>
        <vt:i4>384</vt:i4>
      </vt:variant>
      <vt:variant>
        <vt:i4>0</vt:i4>
      </vt:variant>
      <vt:variant>
        <vt:i4>5</vt:i4>
      </vt:variant>
      <vt:variant>
        <vt:lpwstr>http://www.ibac.vic.gov.au/</vt:lpwstr>
      </vt:variant>
      <vt:variant>
        <vt:lpwstr/>
      </vt:variant>
      <vt:variant>
        <vt:i4>6684713</vt:i4>
      </vt:variant>
      <vt:variant>
        <vt:i4>381</vt:i4>
      </vt:variant>
      <vt:variant>
        <vt:i4>0</vt:i4>
      </vt:variant>
      <vt:variant>
        <vt:i4>5</vt:i4>
      </vt:variant>
      <vt:variant>
        <vt:lpwstr>https://www.tenders.vic.gov.au/</vt:lpwstr>
      </vt:variant>
      <vt:variant>
        <vt:lpwstr/>
      </vt:variant>
      <vt:variant>
        <vt:i4>3997808</vt:i4>
      </vt:variant>
      <vt:variant>
        <vt:i4>378</vt:i4>
      </vt:variant>
      <vt:variant>
        <vt:i4>0</vt:i4>
      </vt:variant>
      <vt:variant>
        <vt:i4>5</vt:i4>
      </vt:variant>
      <vt:variant>
        <vt:lpwstr>https://www.dffh.vic.gov.au/research-restrictive-practices-and-compulsory-treatment</vt:lpwstr>
      </vt:variant>
      <vt:variant>
        <vt:lpwstr/>
      </vt:variant>
      <vt:variant>
        <vt:i4>7667770</vt:i4>
      </vt:variant>
      <vt:variant>
        <vt:i4>375</vt:i4>
      </vt:variant>
      <vt:variant>
        <vt:i4>0</vt:i4>
      </vt:variant>
      <vt:variant>
        <vt:i4>5</vt:i4>
      </vt:variant>
      <vt:variant>
        <vt:lpwstr>https://providers.dffh.vic.gov.au/neighbourhood-house-coordination-program</vt:lpwstr>
      </vt:variant>
      <vt:variant>
        <vt:lpwstr/>
      </vt:variant>
      <vt:variant>
        <vt:i4>2097267</vt:i4>
      </vt:variant>
      <vt:variant>
        <vt:i4>372</vt:i4>
      </vt:variant>
      <vt:variant>
        <vt:i4>0</vt:i4>
      </vt:variant>
      <vt:variant>
        <vt:i4>5</vt:i4>
      </vt:variant>
      <vt:variant>
        <vt:lpwstr>https://www.genderequalitycommission.vic.gov.au/funded-research-projects-2024-targets-pilot</vt:lpwstr>
      </vt:variant>
      <vt:variant>
        <vt:lpwstr/>
      </vt:variant>
      <vt:variant>
        <vt:i4>6684711</vt:i4>
      </vt:variant>
      <vt:variant>
        <vt:i4>369</vt:i4>
      </vt:variant>
      <vt:variant>
        <vt:i4>0</vt:i4>
      </vt:variant>
      <vt:variant>
        <vt:i4>5</vt:i4>
      </vt:variant>
      <vt:variant>
        <vt:lpwstr>C:\Users\vidckqs\AppData\Local\Microsoft\Windows\INetCache\Content.MSO\4AF3540E.xlsx</vt:lpwstr>
      </vt:variant>
      <vt:variant>
        <vt:lpwstr>Sheet1!_ftn5</vt:lpwstr>
      </vt:variant>
      <vt:variant>
        <vt:i4>25</vt:i4>
      </vt:variant>
      <vt:variant>
        <vt:i4>366</vt:i4>
      </vt:variant>
      <vt:variant>
        <vt:i4>0</vt:i4>
      </vt:variant>
      <vt:variant>
        <vt:i4>5</vt:i4>
      </vt:variant>
      <vt:variant>
        <vt:lpwstr>https://www.dffh.vic.gov.au/sites/default/files/documents/202302/korin-korin-balit-djak-word.docx</vt:lpwstr>
      </vt:variant>
      <vt:variant>
        <vt:lpwstr/>
      </vt:variant>
      <vt:variant>
        <vt:i4>6160390</vt:i4>
      </vt:variant>
      <vt:variant>
        <vt:i4>363</vt:i4>
      </vt:variant>
      <vt:variant>
        <vt:i4>0</vt:i4>
      </vt:variant>
      <vt:variant>
        <vt:i4>5</vt:i4>
      </vt:variant>
      <vt:variant>
        <vt:lpwstr>https://menu.dffh.vic.gov.au/</vt:lpwstr>
      </vt:variant>
      <vt:variant>
        <vt:lpwstr/>
      </vt:variant>
      <vt:variant>
        <vt:i4>5046367</vt:i4>
      </vt:variant>
      <vt:variant>
        <vt:i4>360</vt:i4>
      </vt:variant>
      <vt:variant>
        <vt:i4>0</vt:i4>
      </vt:variant>
      <vt:variant>
        <vt:i4>5</vt:i4>
      </vt:variant>
      <vt:variant>
        <vt:lpwstr>https://vahhf.org.au/resources/ahhf-publications</vt:lpwstr>
      </vt:variant>
      <vt:variant>
        <vt:lpwstr/>
      </vt:variant>
      <vt:variant>
        <vt:i4>1048631</vt:i4>
      </vt:variant>
      <vt:variant>
        <vt:i4>353</vt:i4>
      </vt:variant>
      <vt:variant>
        <vt:i4>0</vt:i4>
      </vt:variant>
      <vt:variant>
        <vt:i4>5</vt:i4>
      </vt:variant>
      <vt:variant>
        <vt:lpwstr/>
      </vt:variant>
      <vt:variant>
        <vt:lpwstr>_Toc241131737</vt:lpwstr>
      </vt:variant>
      <vt:variant>
        <vt:i4>1048631</vt:i4>
      </vt:variant>
      <vt:variant>
        <vt:i4>347</vt:i4>
      </vt:variant>
      <vt:variant>
        <vt:i4>0</vt:i4>
      </vt:variant>
      <vt:variant>
        <vt:i4>5</vt:i4>
      </vt:variant>
      <vt:variant>
        <vt:lpwstr/>
      </vt:variant>
      <vt:variant>
        <vt:lpwstr>_Toc241131736</vt:lpwstr>
      </vt:variant>
      <vt:variant>
        <vt:i4>1048631</vt:i4>
      </vt:variant>
      <vt:variant>
        <vt:i4>341</vt:i4>
      </vt:variant>
      <vt:variant>
        <vt:i4>0</vt:i4>
      </vt:variant>
      <vt:variant>
        <vt:i4>5</vt:i4>
      </vt:variant>
      <vt:variant>
        <vt:lpwstr/>
      </vt:variant>
      <vt:variant>
        <vt:lpwstr>_Toc241131735</vt:lpwstr>
      </vt:variant>
      <vt:variant>
        <vt:i4>1048631</vt:i4>
      </vt:variant>
      <vt:variant>
        <vt:i4>335</vt:i4>
      </vt:variant>
      <vt:variant>
        <vt:i4>0</vt:i4>
      </vt:variant>
      <vt:variant>
        <vt:i4>5</vt:i4>
      </vt:variant>
      <vt:variant>
        <vt:lpwstr/>
      </vt:variant>
      <vt:variant>
        <vt:lpwstr>_Toc241131734</vt:lpwstr>
      </vt:variant>
      <vt:variant>
        <vt:i4>1048631</vt:i4>
      </vt:variant>
      <vt:variant>
        <vt:i4>329</vt:i4>
      </vt:variant>
      <vt:variant>
        <vt:i4>0</vt:i4>
      </vt:variant>
      <vt:variant>
        <vt:i4>5</vt:i4>
      </vt:variant>
      <vt:variant>
        <vt:lpwstr/>
      </vt:variant>
      <vt:variant>
        <vt:lpwstr>_Toc241131733</vt:lpwstr>
      </vt:variant>
      <vt:variant>
        <vt:i4>1048631</vt:i4>
      </vt:variant>
      <vt:variant>
        <vt:i4>323</vt:i4>
      </vt:variant>
      <vt:variant>
        <vt:i4>0</vt:i4>
      </vt:variant>
      <vt:variant>
        <vt:i4>5</vt:i4>
      </vt:variant>
      <vt:variant>
        <vt:lpwstr/>
      </vt:variant>
      <vt:variant>
        <vt:lpwstr>_Toc241131732</vt:lpwstr>
      </vt:variant>
      <vt:variant>
        <vt:i4>1048631</vt:i4>
      </vt:variant>
      <vt:variant>
        <vt:i4>317</vt:i4>
      </vt:variant>
      <vt:variant>
        <vt:i4>0</vt:i4>
      </vt:variant>
      <vt:variant>
        <vt:i4>5</vt:i4>
      </vt:variant>
      <vt:variant>
        <vt:lpwstr/>
      </vt:variant>
      <vt:variant>
        <vt:lpwstr>_Toc241131731</vt:lpwstr>
      </vt:variant>
      <vt:variant>
        <vt:i4>1048631</vt:i4>
      </vt:variant>
      <vt:variant>
        <vt:i4>311</vt:i4>
      </vt:variant>
      <vt:variant>
        <vt:i4>0</vt:i4>
      </vt:variant>
      <vt:variant>
        <vt:i4>5</vt:i4>
      </vt:variant>
      <vt:variant>
        <vt:lpwstr/>
      </vt:variant>
      <vt:variant>
        <vt:lpwstr>_Toc241131730</vt:lpwstr>
      </vt:variant>
      <vt:variant>
        <vt:i4>1114167</vt:i4>
      </vt:variant>
      <vt:variant>
        <vt:i4>305</vt:i4>
      </vt:variant>
      <vt:variant>
        <vt:i4>0</vt:i4>
      </vt:variant>
      <vt:variant>
        <vt:i4>5</vt:i4>
      </vt:variant>
      <vt:variant>
        <vt:lpwstr/>
      </vt:variant>
      <vt:variant>
        <vt:lpwstr>_Toc241131729</vt:lpwstr>
      </vt:variant>
      <vt:variant>
        <vt:i4>1114167</vt:i4>
      </vt:variant>
      <vt:variant>
        <vt:i4>299</vt:i4>
      </vt:variant>
      <vt:variant>
        <vt:i4>0</vt:i4>
      </vt:variant>
      <vt:variant>
        <vt:i4>5</vt:i4>
      </vt:variant>
      <vt:variant>
        <vt:lpwstr/>
      </vt:variant>
      <vt:variant>
        <vt:lpwstr>_Toc241131728</vt:lpwstr>
      </vt:variant>
      <vt:variant>
        <vt:i4>1114167</vt:i4>
      </vt:variant>
      <vt:variant>
        <vt:i4>293</vt:i4>
      </vt:variant>
      <vt:variant>
        <vt:i4>0</vt:i4>
      </vt:variant>
      <vt:variant>
        <vt:i4>5</vt:i4>
      </vt:variant>
      <vt:variant>
        <vt:lpwstr/>
      </vt:variant>
      <vt:variant>
        <vt:lpwstr>_Toc241131727</vt:lpwstr>
      </vt:variant>
      <vt:variant>
        <vt:i4>1114167</vt:i4>
      </vt:variant>
      <vt:variant>
        <vt:i4>287</vt:i4>
      </vt:variant>
      <vt:variant>
        <vt:i4>0</vt:i4>
      </vt:variant>
      <vt:variant>
        <vt:i4>5</vt:i4>
      </vt:variant>
      <vt:variant>
        <vt:lpwstr/>
      </vt:variant>
      <vt:variant>
        <vt:lpwstr>_Toc241131726</vt:lpwstr>
      </vt:variant>
      <vt:variant>
        <vt:i4>1114167</vt:i4>
      </vt:variant>
      <vt:variant>
        <vt:i4>281</vt:i4>
      </vt:variant>
      <vt:variant>
        <vt:i4>0</vt:i4>
      </vt:variant>
      <vt:variant>
        <vt:i4>5</vt:i4>
      </vt:variant>
      <vt:variant>
        <vt:lpwstr/>
      </vt:variant>
      <vt:variant>
        <vt:lpwstr>_Toc241131725</vt:lpwstr>
      </vt:variant>
      <vt:variant>
        <vt:i4>1114167</vt:i4>
      </vt:variant>
      <vt:variant>
        <vt:i4>275</vt:i4>
      </vt:variant>
      <vt:variant>
        <vt:i4>0</vt:i4>
      </vt:variant>
      <vt:variant>
        <vt:i4>5</vt:i4>
      </vt:variant>
      <vt:variant>
        <vt:lpwstr/>
      </vt:variant>
      <vt:variant>
        <vt:lpwstr>_Toc241131724</vt:lpwstr>
      </vt:variant>
      <vt:variant>
        <vt:i4>1114167</vt:i4>
      </vt:variant>
      <vt:variant>
        <vt:i4>269</vt:i4>
      </vt:variant>
      <vt:variant>
        <vt:i4>0</vt:i4>
      </vt:variant>
      <vt:variant>
        <vt:i4>5</vt:i4>
      </vt:variant>
      <vt:variant>
        <vt:lpwstr/>
      </vt:variant>
      <vt:variant>
        <vt:lpwstr>_Toc241131723</vt:lpwstr>
      </vt:variant>
      <vt:variant>
        <vt:i4>1114167</vt:i4>
      </vt:variant>
      <vt:variant>
        <vt:i4>263</vt:i4>
      </vt:variant>
      <vt:variant>
        <vt:i4>0</vt:i4>
      </vt:variant>
      <vt:variant>
        <vt:i4>5</vt:i4>
      </vt:variant>
      <vt:variant>
        <vt:lpwstr/>
      </vt:variant>
      <vt:variant>
        <vt:lpwstr>_Toc241131722</vt:lpwstr>
      </vt:variant>
      <vt:variant>
        <vt:i4>1114167</vt:i4>
      </vt:variant>
      <vt:variant>
        <vt:i4>257</vt:i4>
      </vt:variant>
      <vt:variant>
        <vt:i4>0</vt:i4>
      </vt:variant>
      <vt:variant>
        <vt:i4>5</vt:i4>
      </vt:variant>
      <vt:variant>
        <vt:lpwstr/>
      </vt:variant>
      <vt:variant>
        <vt:lpwstr>_Toc241131721</vt:lpwstr>
      </vt:variant>
      <vt:variant>
        <vt:i4>1114167</vt:i4>
      </vt:variant>
      <vt:variant>
        <vt:i4>251</vt:i4>
      </vt:variant>
      <vt:variant>
        <vt:i4>0</vt:i4>
      </vt:variant>
      <vt:variant>
        <vt:i4>5</vt:i4>
      </vt:variant>
      <vt:variant>
        <vt:lpwstr/>
      </vt:variant>
      <vt:variant>
        <vt:lpwstr>_Toc241131720</vt:lpwstr>
      </vt:variant>
      <vt:variant>
        <vt:i4>1179703</vt:i4>
      </vt:variant>
      <vt:variant>
        <vt:i4>245</vt:i4>
      </vt:variant>
      <vt:variant>
        <vt:i4>0</vt:i4>
      </vt:variant>
      <vt:variant>
        <vt:i4>5</vt:i4>
      </vt:variant>
      <vt:variant>
        <vt:lpwstr/>
      </vt:variant>
      <vt:variant>
        <vt:lpwstr>_Toc241131719</vt:lpwstr>
      </vt:variant>
      <vt:variant>
        <vt:i4>1179703</vt:i4>
      </vt:variant>
      <vt:variant>
        <vt:i4>239</vt:i4>
      </vt:variant>
      <vt:variant>
        <vt:i4>0</vt:i4>
      </vt:variant>
      <vt:variant>
        <vt:i4>5</vt:i4>
      </vt:variant>
      <vt:variant>
        <vt:lpwstr/>
      </vt:variant>
      <vt:variant>
        <vt:lpwstr>_Toc241131718</vt:lpwstr>
      </vt:variant>
      <vt:variant>
        <vt:i4>1179703</vt:i4>
      </vt:variant>
      <vt:variant>
        <vt:i4>233</vt:i4>
      </vt:variant>
      <vt:variant>
        <vt:i4>0</vt:i4>
      </vt:variant>
      <vt:variant>
        <vt:i4>5</vt:i4>
      </vt:variant>
      <vt:variant>
        <vt:lpwstr/>
      </vt:variant>
      <vt:variant>
        <vt:lpwstr>_Toc241131717</vt:lpwstr>
      </vt:variant>
      <vt:variant>
        <vt:i4>1179703</vt:i4>
      </vt:variant>
      <vt:variant>
        <vt:i4>227</vt:i4>
      </vt:variant>
      <vt:variant>
        <vt:i4>0</vt:i4>
      </vt:variant>
      <vt:variant>
        <vt:i4>5</vt:i4>
      </vt:variant>
      <vt:variant>
        <vt:lpwstr/>
      </vt:variant>
      <vt:variant>
        <vt:lpwstr>_Toc241131716</vt:lpwstr>
      </vt:variant>
      <vt:variant>
        <vt:i4>1179703</vt:i4>
      </vt:variant>
      <vt:variant>
        <vt:i4>221</vt:i4>
      </vt:variant>
      <vt:variant>
        <vt:i4>0</vt:i4>
      </vt:variant>
      <vt:variant>
        <vt:i4>5</vt:i4>
      </vt:variant>
      <vt:variant>
        <vt:lpwstr/>
      </vt:variant>
      <vt:variant>
        <vt:lpwstr>_Toc241131715</vt:lpwstr>
      </vt:variant>
      <vt:variant>
        <vt:i4>1179703</vt:i4>
      </vt:variant>
      <vt:variant>
        <vt:i4>215</vt:i4>
      </vt:variant>
      <vt:variant>
        <vt:i4>0</vt:i4>
      </vt:variant>
      <vt:variant>
        <vt:i4>5</vt:i4>
      </vt:variant>
      <vt:variant>
        <vt:lpwstr/>
      </vt:variant>
      <vt:variant>
        <vt:lpwstr>_Toc241131714</vt:lpwstr>
      </vt:variant>
      <vt:variant>
        <vt:i4>1179703</vt:i4>
      </vt:variant>
      <vt:variant>
        <vt:i4>209</vt:i4>
      </vt:variant>
      <vt:variant>
        <vt:i4>0</vt:i4>
      </vt:variant>
      <vt:variant>
        <vt:i4>5</vt:i4>
      </vt:variant>
      <vt:variant>
        <vt:lpwstr/>
      </vt:variant>
      <vt:variant>
        <vt:lpwstr>_Toc241131713</vt:lpwstr>
      </vt:variant>
      <vt:variant>
        <vt:i4>1179703</vt:i4>
      </vt:variant>
      <vt:variant>
        <vt:i4>203</vt:i4>
      </vt:variant>
      <vt:variant>
        <vt:i4>0</vt:i4>
      </vt:variant>
      <vt:variant>
        <vt:i4>5</vt:i4>
      </vt:variant>
      <vt:variant>
        <vt:lpwstr/>
      </vt:variant>
      <vt:variant>
        <vt:lpwstr>_Toc241131712</vt:lpwstr>
      </vt:variant>
      <vt:variant>
        <vt:i4>1179703</vt:i4>
      </vt:variant>
      <vt:variant>
        <vt:i4>197</vt:i4>
      </vt:variant>
      <vt:variant>
        <vt:i4>0</vt:i4>
      </vt:variant>
      <vt:variant>
        <vt:i4>5</vt:i4>
      </vt:variant>
      <vt:variant>
        <vt:lpwstr/>
      </vt:variant>
      <vt:variant>
        <vt:lpwstr>_Toc241131711</vt:lpwstr>
      </vt:variant>
      <vt:variant>
        <vt:i4>1179703</vt:i4>
      </vt:variant>
      <vt:variant>
        <vt:i4>191</vt:i4>
      </vt:variant>
      <vt:variant>
        <vt:i4>0</vt:i4>
      </vt:variant>
      <vt:variant>
        <vt:i4>5</vt:i4>
      </vt:variant>
      <vt:variant>
        <vt:lpwstr/>
      </vt:variant>
      <vt:variant>
        <vt:lpwstr>_Toc241131710</vt:lpwstr>
      </vt:variant>
      <vt:variant>
        <vt:i4>1245239</vt:i4>
      </vt:variant>
      <vt:variant>
        <vt:i4>185</vt:i4>
      </vt:variant>
      <vt:variant>
        <vt:i4>0</vt:i4>
      </vt:variant>
      <vt:variant>
        <vt:i4>5</vt:i4>
      </vt:variant>
      <vt:variant>
        <vt:lpwstr/>
      </vt:variant>
      <vt:variant>
        <vt:lpwstr>_Toc241131709</vt:lpwstr>
      </vt:variant>
      <vt:variant>
        <vt:i4>1245239</vt:i4>
      </vt:variant>
      <vt:variant>
        <vt:i4>179</vt:i4>
      </vt:variant>
      <vt:variant>
        <vt:i4>0</vt:i4>
      </vt:variant>
      <vt:variant>
        <vt:i4>5</vt:i4>
      </vt:variant>
      <vt:variant>
        <vt:lpwstr/>
      </vt:variant>
      <vt:variant>
        <vt:lpwstr>_Toc241131708</vt:lpwstr>
      </vt:variant>
      <vt:variant>
        <vt:i4>1245239</vt:i4>
      </vt:variant>
      <vt:variant>
        <vt:i4>173</vt:i4>
      </vt:variant>
      <vt:variant>
        <vt:i4>0</vt:i4>
      </vt:variant>
      <vt:variant>
        <vt:i4>5</vt:i4>
      </vt:variant>
      <vt:variant>
        <vt:lpwstr/>
      </vt:variant>
      <vt:variant>
        <vt:lpwstr>_Toc241131707</vt:lpwstr>
      </vt:variant>
      <vt:variant>
        <vt:i4>1245239</vt:i4>
      </vt:variant>
      <vt:variant>
        <vt:i4>167</vt:i4>
      </vt:variant>
      <vt:variant>
        <vt:i4>0</vt:i4>
      </vt:variant>
      <vt:variant>
        <vt:i4>5</vt:i4>
      </vt:variant>
      <vt:variant>
        <vt:lpwstr/>
      </vt:variant>
      <vt:variant>
        <vt:lpwstr>_Toc241131706</vt:lpwstr>
      </vt:variant>
      <vt:variant>
        <vt:i4>1245239</vt:i4>
      </vt:variant>
      <vt:variant>
        <vt:i4>161</vt:i4>
      </vt:variant>
      <vt:variant>
        <vt:i4>0</vt:i4>
      </vt:variant>
      <vt:variant>
        <vt:i4>5</vt:i4>
      </vt:variant>
      <vt:variant>
        <vt:lpwstr/>
      </vt:variant>
      <vt:variant>
        <vt:lpwstr>_Toc241131705</vt:lpwstr>
      </vt:variant>
      <vt:variant>
        <vt:i4>1245239</vt:i4>
      </vt:variant>
      <vt:variant>
        <vt:i4>155</vt:i4>
      </vt:variant>
      <vt:variant>
        <vt:i4>0</vt:i4>
      </vt:variant>
      <vt:variant>
        <vt:i4>5</vt:i4>
      </vt:variant>
      <vt:variant>
        <vt:lpwstr/>
      </vt:variant>
      <vt:variant>
        <vt:lpwstr>_Toc241131704</vt:lpwstr>
      </vt:variant>
      <vt:variant>
        <vt:i4>1245239</vt:i4>
      </vt:variant>
      <vt:variant>
        <vt:i4>149</vt:i4>
      </vt:variant>
      <vt:variant>
        <vt:i4>0</vt:i4>
      </vt:variant>
      <vt:variant>
        <vt:i4>5</vt:i4>
      </vt:variant>
      <vt:variant>
        <vt:lpwstr/>
      </vt:variant>
      <vt:variant>
        <vt:lpwstr>_Toc241131703</vt:lpwstr>
      </vt:variant>
      <vt:variant>
        <vt:i4>1245239</vt:i4>
      </vt:variant>
      <vt:variant>
        <vt:i4>143</vt:i4>
      </vt:variant>
      <vt:variant>
        <vt:i4>0</vt:i4>
      </vt:variant>
      <vt:variant>
        <vt:i4>5</vt:i4>
      </vt:variant>
      <vt:variant>
        <vt:lpwstr/>
      </vt:variant>
      <vt:variant>
        <vt:lpwstr>_Toc241131702</vt:lpwstr>
      </vt:variant>
      <vt:variant>
        <vt:i4>1245239</vt:i4>
      </vt:variant>
      <vt:variant>
        <vt:i4>137</vt:i4>
      </vt:variant>
      <vt:variant>
        <vt:i4>0</vt:i4>
      </vt:variant>
      <vt:variant>
        <vt:i4>5</vt:i4>
      </vt:variant>
      <vt:variant>
        <vt:lpwstr/>
      </vt:variant>
      <vt:variant>
        <vt:lpwstr>_Toc241131701</vt:lpwstr>
      </vt:variant>
      <vt:variant>
        <vt:i4>1245239</vt:i4>
      </vt:variant>
      <vt:variant>
        <vt:i4>131</vt:i4>
      </vt:variant>
      <vt:variant>
        <vt:i4>0</vt:i4>
      </vt:variant>
      <vt:variant>
        <vt:i4>5</vt:i4>
      </vt:variant>
      <vt:variant>
        <vt:lpwstr/>
      </vt:variant>
      <vt:variant>
        <vt:lpwstr>_Toc241131700</vt:lpwstr>
      </vt:variant>
      <vt:variant>
        <vt:i4>1703990</vt:i4>
      </vt:variant>
      <vt:variant>
        <vt:i4>125</vt:i4>
      </vt:variant>
      <vt:variant>
        <vt:i4>0</vt:i4>
      </vt:variant>
      <vt:variant>
        <vt:i4>5</vt:i4>
      </vt:variant>
      <vt:variant>
        <vt:lpwstr/>
      </vt:variant>
      <vt:variant>
        <vt:lpwstr>_Toc241131699</vt:lpwstr>
      </vt:variant>
      <vt:variant>
        <vt:i4>1703990</vt:i4>
      </vt:variant>
      <vt:variant>
        <vt:i4>119</vt:i4>
      </vt:variant>
      <vt:variant>
        <vt:i4>0</vt:i4>
      </vt:variant>
      <vt:variant>
        <vt:i4>5</vt:i4>
      </vt:variant>
      <vt:variant>
        <vt:lpwstr/>
      </vt:variant>
      <vt:variant>
        <vt:lpwstr>_Toc241131698</vt:lpwstr>
      </vt:variant>
      <vt:variant>
        <vt:i4>1703990</vt:i4>
      </vt:variant>
      <vt:variant>
        <vt:i4>113</vt:i4>
      </vt:variant>
      <vt:variant>
        <vt:i4>0</vt:i4>
      </vt:variant>
      <vt:variant>
        <vt:i4>5</vt:i4>
      </vt:variant>
      <vt:variant>
        <vt:lpwstr/>
      </vt:variant>
      <vt:variant>
        <vt:lpwstr>_Toc241131697</vt:lpwstr>
      </vt:variant>
      <vt:variant>
        <vt:i4>1703990</vt:i4>
      </vt:variant>
      <vt:variant>
        <vt:i4>107</vt:i4>
      </vt:variant>
      <vt:variant>
        <vt:i4>0</vt:i4>
      </vt:variant>
      <vt:variant>
        <vt:i4>5</vt:i4>
      </vt:variant>
      <vt:variant>
        <vt:lpwstr/>
      </vt:variant>
      <vt:variant>
        <vt:lpwstr>_Toc241131696</vt:lpwstr>
      </vt:variant>
      <vt:variant>
        <vt:i4>1703990</vt:i4>
      </vt:variant>
      <vt:variant>
        <vt:i4>101</vt:i4>
      </vt:variant>
      <vt:variant>
        <vt:i4>0</vt:i4>
      </vt:variant>
      <vt:variant>
        <vt:i4>5</vt:i4>
      </vt:variant>
      <vt:variant>
        <vt:lpwstr/>
      </vt:variant>
      <vt:variant>
        <vt:lpwstr>_Toc241131695</vt:lpwstr>
      </vt:variant>
      <vt:variant>
        <vt:i4>1703990</vt:i4>
      </vt:variant>
      <vt:variant>
        <vt:i4>95</vt:i4>
      </vt:variant>
      <vt:variant>
        <vt:i4>0</vt:i4>
      </vt:variant>
      <vt:variant>
        <vt:i4>5</vt:i4>
      </vt:variant>
      <vt:variant>
        <vt:lpwstr/>
      </vt:variant>
      <vt:variant>
        <vt:lpwstr>_Toc241131694</vt:lpwstr>
      </vt:variant>
      <vt:variant>
        <vt:i4>1703990</vt:i4>
      </vt:variant>
      <vt:variant>
        <vt:i4>89</vt:i4>
      </vt:variant>
      <vt:variant>
        <vt:i4>0</vt:i4>
      </vt:variant>
      <vt:variant>
        <vt:i4>5</vt:i4>
      </vt:variant>
      <vt:variant>
        <vt:lpwstr/>
      </vt:variant>
      <vt:variant>
        <vt:lpwstr>_Toc241131693</vt:lpwstr>
      </vt:variant>
      <vt:variant>
        <vt:i4>1703990</vt:i4>
      </vt:variant>
      <vt:variant>
        <vt:i4>83</vt:i4>
      </vt:variant>
      <vt:variant>
        <vt:i4>0</vt:i4>
      </vt:variant>
      <vt:variant>
        <vt:i4>5</vt:i4>
      </vt:variant>
      <vt:variant>
        <vt:lpwstr/>
      </vt:variant>
      <vt:variant>
        <vt:lpwstr>_Toc241131692</vt:lpwstr>
      </vt:variant>
      <vt:variant>
        <vt:i4>1703990</vt:i4>
      </vt:variant>
      <vt:variant>
        <vt:i4>77</vt:i4>
      </vt:variant>
      <vt:variant>
        <vt:i4>0</vt:i4>
      </vt:variant>
      <vt:variant>
        <vt:i4>5</vt:i4>
      </vt:variant>
      <vt:variant>
        <vt:lpwstr/>
      </vt:variant>
      <vt:variant>
        <vt:lpwstr>_Toc241131691</vt:lpwstr>
      </vt:variant>
      <vt:variant>
        <vt:i4>1703990</vt:i4>
      </vt:variant>
      <vt:variant>
        <vt:i4>71</vt:i4>
      </vt:variant>
      <vt:variant>
        <vt:i4>0</vt:i4>
      </vt:variant>
      <vt:variant>
        <vt:i4>5</vt:i4>
      </vt:variant>
      <vt:variant>
        <vt:lpwstr/>
      </vt:variant>
      <vt:variant>
        <vt:lpwstr>_Toc241131690</vt:lpwstr>
      </vt:variant>
      <vt:variant>
        <vt:i4>1769526</vt:i4>
      </vt:variant>
      <vt:variant>
        <vt:i4>65</vt:i4>
      </vt:variant>
      <vt:variant>
        <vt:i4>0</vt:i4>
      </vt:variant>
      <vt:variant>
        <vt:i4>5</vt:i4>
      </vt:variant>
      <vt:variant>
        <vt:lpwstr/>
      </vt:variant>
      <vt:variant>
        <vt:lpwstr>_Toc241131689</vt:lpwstr>
      </vt:variant>
      <vt:variant>
        <vt:i4>1769526</vt:i4>
      </vt:variant>
      <vt:variant>
        <vt:i4>59</vt:i4>
      </vt:variant>
      <vt:variant>
        <vt:i4>0</vt:i4>
      </vt:variant>
      <vt:variant>
        <vt:i4>5</vt:i4>
      </vt:variant>
      <vt:variant>
        <vt:lpwstr/>
      </vt:variant>
      <vt:variant>
        <vt:lpwstr>_Toc241131688</vt:lpwstr>
      </vt:variant>
      <vt:variant>
        <vt:i4>1769526</vt:i4>
      </vt:variant>
      <vt:variant>
        <vt:i4>53</vt:i4>
      </vt:variant>
      <vt:variant>
        <vt:i4>0</vt:i4>
      </vt:variant>
      <vt:variant>
        <vt:i4>5</vt:i4>
      </vt:variant>
      <vt:variant>
        <vt:lpwstr/>
      </vt:variant>
      <vt:variant>
        <vt:lpwstr>_Toc241131687</vt:lpwstr>
      </vt:variant>
      <vt:variant>
        <vt:i4>1769526</vt:i4>
      </vt:variant>
      <vt:variant>
        <vt:i4>47</vt:i4>
      </vt:variant>
      <vt:variant>
        <vt:i4>0</vt:i4>
      </vt:variant>
      <vt:variant>
        <vt:i4>5</vt:i4>
      </vt:variant>
      <vt:variant>
        <vt:lpwstr/>
      </vt:variant>
      <vt:variant>
        <vt:lpwstr>_Toc241131686</vt:lpwstr>
      </vt:variant>
      <vt:variant>
        <vt:i4>1769526</vt:i4>
      </vt:variant>
      <vt:variant>
        <vt:i4>41</vt:i4>
      </vt:variant>
      <vt:variant>
        <vt:i4>0</vt:i4>
      </vt:variant>
      <vt:variant>
        <vt:i4>5</vt:i4>
      </vt:variant>
      <vt:variant>
        <vt:lpwstr/>
      </vt:variant>
      <vt:variant>
        <vt:lpwstr>_Toc241131685</vt:lpwstr>
      </vt:variant>
      <vt:variant>
        <vt:i4>1769526</vt:i4>
      </vt:variant>
      <vt:variant>
        <vt:i4>35</vt:i4>
      </vt:variant>
      <vt:variant>
        <vt:i4>0</vt:i4>
      </vt:variant>
      <vt:variant>
        <vt:i4>5</vt:i4>
      </vt:variant>
      <vt:variant>
        <vt:lpwstr/>
      </vt:variant>
      <vt:variant>
        <vt:lpwstr>_Toc241131684</vt:lpwstr>
      </vt:variant>
      <vt:variant>
        <vt:i4>1769526</vt:i4>
      </vt:variant>
      <vt:variant>
        <vt:i4>29</vt:i4>
      </vt:variant>
      <vt:variant>
        <vt:i4>0</vt:i4>
      </vt:variant>
      <vt:variant>
        <vt:i4>5</vt:i4>
      </vt:variant>
      <vt:variant>
        <vt:lpwstr/>
      </vt:variant>
      <vt:variant>
        <vt:lpwstr>_Toc241131683</vt:lpwstr>
      </vt:variant>
      <vt:variant>
        <vt:i4>1769526</vt:i4>
      </vt:variant>
      <vt:variant>
        <vt:i4>23</vt:i4>
      </vt:variant>
      <vt:variant>
        <vt:i4>0</vt:i4>
      </vt:variant>
      <vt:variant>
        <vt:i4>5</vt:i4>
      </vt:variant>
      <vt:variant>
        <vt:lpwstr/>
      </vt:variant>
      <vt:variant>
        <vt:lpwstr>_Toc241131682</vt:lpwstr>
      </vt:variant>
      <vt:variant>
        <vt:i4>1769526</vt:i4>
      </vt:variant>
      <vt:variant>
        <vt:i4>17</vt:i4>
      </vt:variant>
      <vt:variant>
        <vt:i4>0</vt:i4>
      </vt:variant>
      <vt:variant>
        <vt:i4>5</vt:i4>
      </vt:variant>
      <vt:variant>
        <vt:lpwstr/>
      </vt:variant>
      <vt:variant>
        <vt:lpwstr>_Toc241131681</vt:lpwstr>
      </vt:variant>
      <vt:variant>
        <vt:i4>1769526</vt:i4>
      </vt:variant>
      <vt:variant>
        <vt:i4>11</vt:i4>
      </vt:variant>
      <vt:variant>
        <vt:i4>0</vt:i4>
      </vt:variant>
      <vt:variant>
        <vt:i4>5</vt:i4>
      </vt:variant>
      <vt:variant>
        <vt:lpwstr/>
      </vt:variant>
      <vt:variant>
        <vt:lpwstr>_Toc241131680</vt:lpwstr>
      </vt:variant>
      <vt:variant>
        <vt:i4>5636174</vt:i4>
      </vt:variant>
      <vt:variant>
        <vt:i4>6</vt:i4>
      </vt:variant>
      <vt:variant>
        <vt:i4>0</vt:i4>
      </vt:variant>
      <vt:variant>
        <vt:i4>5</vt:i4>
      </vt:variant>
      <vt:variant>
        <vt:lpwstr>https://www.dffh.vic.gov.au/publications/annual-reports-department-families-fairness-housing</vt:lpwstr>
      </vt:variant>
      <vt:variant>
        <vt:lpwstr/>
      </vt:variant>
      <vt:variant>
        <vt:i4>5373952</vt:i4>
      </vt:variant>
      <vt:variant>
        <vt:i4>3</vt:i4>
      </vt:variant>
      <vt:variant>
        <vt:i4>0</vt:i4>
      </vt:variant>
      <vt:variant>
        <vt:i4>5</vt:i4>
      </vt:variant>
      <vt:variant>
        <vt:lpwstr>https://creativecommons.org/licenses/by/4.0/legalcode</vt:lpwstr>
      </vt:variant>
      <vt:variant>
        <vt:lpwstr/>
      </vt:variant>
      <vt:variant>
        <vt:i4>3866696</vt:i4>
      </vt:variant>
      <vt:variant>
        <vt:i4>0</vt:i4>
      </vt:variant>
      <vt:variant>
        <vt:i4>0</vt:i4>
      </vt:variant>
      <vt:variant>
        <vt:i4>5</vt:i4>
      </vt:variant>
      <vt:variant>
        <vt:lpwstr>mailto:DFFHcorporate.reporting@dffh.vic.gov.au</vt:lpwstr>
      </vt:variant>
      <vt:variant>
        <vt:lpwstr/>
      </vt:variant>
      <vt:variant>
        <vt:i4>5767203</vt:i4>
      </vt:variant>
      <vt:variant>
        <vt:i4>3</vt:i4>
      </vt:variant>
      <vt:variant>
        <vt:i4>0</vt:i4>
      </vt:variant>
      <vt:variant>
        <vt:i4>5</vt:i4>
      </vt:variant>
      <vt:variant>
        <vt:lpwstr>mailto:Salli.Edwards@dffh.vic.gov.au</vt:lpwstr>
      </vt:variant>
      <vt:variant>
        <vt:lpwstr/>
      </vt:variant>
      <vt:variant>
        <vt:i4>5767203</vt:i4>
      </vt:variant>
      <vt:variant>
        <vt:i4>0</vt:i4>
      </vt:variant>
      <vt:variant>
        <vt:i4>0</vt:i4>
      </vt:variant>
      <vt:variant>
        <vt:i4>5</vt:i4>
      </vt:variant>
      <vt:variant>
        <vt:lpwstr>mailto:Salli.Edwards@dffh.vic.gov.au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Families, Fairness and Housing annual report 2025–26</dc:title>
  <dc:subject>Department of Families, Fairness and Housing annual report 2025–26</dc:subject>
  <dc:creator>Victoria State Government, Department of Families, Fairness and Housing</dc:creator>
  <cp:keywords>annual, report, 2025–26, DFFH, accessible, Department of Families, Fairness and Housing</cp:keywords>
  <cp:lastPrinted>2026-10-21T21:56:00Z</cp:lastPrinted>
  <dcterms:created xsi:type="dcterms:W3CDTF">2026-10-19T22:51:00Z</dcterms:created>
  <dcterms:modified xsi:type="dcterms:W3CDTF">2026-10-23T04:42:00Z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version">
    <vt:lpwstr>2026v2 23022026</vt:lpwstr>
  </property>
  <property fmtid="{D5CDD505-2E9C-101B-9397-08002B2CF9AE}" pid="4" name="MSIP_Label_43e64453-338c-4f93-8a4d-0039a0a41f2a_Enabled">
    <vt:lpwstr>true</vt:lpwstr>
  </property>
  <property fmtid="{D5CDD505-2E9C-101B-9397-08002B2CF9AE}" pid="5" name="MSIP_Label_43e64453-338c-4f93-8a4d-0039a0a41f2a_SetDate">
    <vt:lpwstr>2022-02-28T01:49:00Z</vt:lpwstr>
  </property>
  <property fmtid="{D5CDD505-2E9C-101B-9397-08002B2CF9AE}" pid="6" name="MSIP_Label_43e64453-338c-4f93-8a4d-0039a0a41f2a_Method">
    <vt:lpwstr>Privileged</vt:lpwstr>
  </property>
  <property fmtid="{D5CDD505-2E9C-101B-9397-08002B2CF9AE}" pid="7" name="MSIP_Label_43e64453-338c-4f93-8a4d-0039a0a41f2a_Name">
    <vt:lpwstr>43e64453-338c-4f93-8a4d-0039a0a41f2a</vt:lpwstr>
  </property>
  <property fmtid="{D5CDD505-2E9C-101B-9397-08002B2CF9AE}" pid="8" name="MSIP_Label_43e64453-338c-4f93-8a4d-0039a0a41f2a_SiteId">
    <vt:lpwstr>c0e0601f-0fac-449c-9c88-a104c4eb9f28</vt:lpwstr>
  </property>
  <property fmtid="{D5CDD505-2E9C-101B-9397-08002B2CF9AE}" pid="9" name="MSIP_Label_43e64453-338c-4f93-8a4d-0039a0a41f2a_ActionId">
    <vt:lpwstr>63f486b4-8569-4046-8df0-77b8936f4c9d</vt:lpwstr>
  </property>
  <property fmtid="{D5CDD505-2E9C-101B-9397-08002B2CF9AE}" pid="10" name="MSIP_Label_43e64453-338c-4f93-8a4d-0039a0a41f2a_ContentBits">
    <vt:lpwstr>2</vt:lpwstr>
  </property>
  <property fmtid="{D5CDD505-2E9C-101B-9397-08002B2CF9AE}" pid="11" name="Order">
    <vt:r8>2600</vt:r8>
  </property>
  <property fmtid="{D5CDD505-2E9C-101B-9397-08002B2CF9AE}" pid="12" name="xd_ProgID">
    <vt:lpwstr/>
  </property>
  <property fmtid="{D5CDD505-2E9C-101B-9397-08002B2CF9AE}" pid="13" name="Daysbeforethenextreview">
    <vt:r8>365</vt:r8>
  </property>
  <property fmtid="{D5CDD505-2E9C-101B-9397-08002B2CF9AE}" pid="14" name="ComplianceAssetId">
    <vt:lpwstr/>
  </property>
  <property fmtid="{D5CDD505-2E9C-101B-9397-08002B2CF9AE}" pid="15" name="TemplateUrl">
    <vt:lpwstr/>
  </property>
  <property fmtid="{D5CDD505-2E9C-101B-9397-08002B2CF9AE}" pid="16" name="Format">
    <vt:lpwstr>Report</vt:lpwstr>
  </property>
  <property fmtid="{D5CDD505-2E9C-101B-9397-08002B2CF9AE}" pid="17" name="_ExtendedDescription">
    <vt:lpwstr/>
  </property>
  <property fmtid="{D5CDD505-2E9C-101B-9397-08002B2CF9AE}" pid="18" name="TemplateVersion">
    <vt:i4>1</vt:i4>
  </property>
  <property fmtid="{D5CDD505-2E9C-101B-9397-08002B2CF9AE}" pid="19" name="Hyperlink Base">
    <vt:lpwstr>https://dhhsvicgovau.sharepoint.com/:w:/s/dffh/Ec1sUX29ovVNg1yz-k3q1CIBvxIHfUXXZlqlU8WV6A4LBA</vt:lpwstr>
  </property>
  <property fmtid="{D5CDD505-2E9C-101B-9397-08002B2CF9AE}" pid="20" name="Link">
    <vt:lpwstr>https://dhhsvicgovau.sharepoint.com/:w:/s/dffh/Ec1sUX29ovVNg1yz-k3q1CIBvxIHfUXXZlqlU8WV6A4LBA, https://dhhsvicgovau.sharepoint.com/:w:/s/dffh/Ec1sUX29ovVNg1yz-k3q1CIBvxIHfUXXZlqlU8WV6A4LBA</vt:lpwstr>
  </property>
  <property fmtid="{D5CDD505-2E9C-101B-9397-08002B2CF9AE}" pid="21" name="xd_Signature">
    <vt:bool>false</vt:bool>
  </property>
  <property fmtid="{D5CDD505-2E9C-101B-9397-08002B2CF9AE}" pid="22" name="GrammarlyDocumentId">
    <vt:lpwstr>6461dc9e-6069-4ca4-862e-f9527cb4175d</vt:lpwstr>
  </property>
  <property fmtid="{D5CDD505-2E9C-101B-9397-08002B2CF9AE}" pid="23" name="ContentTypeId">
    <vt:lpwstr>0x010100F566D8A972E7D544B000403D9E9A334F</vt:lpwstr>
  </property>
  <property fmtid="{D5CDD505-2E9C-101B-9397-08002B2CF9AE}" pid="24" name="MediaServiceImageTags">
    <vt:lpwstr/>
  </property>
</Properties>
</file>